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Default Extension="png" ContentType="image/pn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footer37.xml" ContentType="application/vnd.openxmlformats-officedocument.wordprocessingml.footer+xml"/>
  <Override PartName="/word/header37.xml" ContentType="application/vnd.openxmlformats-officedocument.wordprocessingml.head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footer40.xml" ContentType="application/vnd.openxmlformats-officedocument.wordprocessingml.footer+xml"/>
  <Override PartName="/word/header40.xml" ContentType="application/vnd.openxmlformats-officedocument.wordprocessingml.head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footer43.xml" ContentType="application/vnd.openxmlformats-officedocument.wordprocessingml.footer+xml"/>
  <Override PartName="/word/header43.xml" ContentType="application/vnd.openxmlformats-officedocument.wordprocessingml.head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footer46.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0pt;margin-top:.00002pt;width:595.35pt;height:842.35pt;mso-position-horizontal-relative:page;mso-position-vertical-relative:page;z-index:-32487424" coordorigin="0,0" coordsize="11907,16847">
            <v:rect style="position:absolute;left:0;top:15819;width:512;height:1021" filled="true" fillcolor="#001f5f" stroked="false">
              <v:fill type="solid"/>
            </v:rect>
            <v:line style="position:absolute" from="0,16837" to="512,16837" stroked="true" strokeweight=".41488pt" strokecolor="#000000">
              <v:stroke dashstyle="solid"/>
            </v:line>
            <v:shape style="position:absolute;left:655;top:15819;width:11251;height:1021" coordorigin="655,15819" coordsize="11251,1021" path="m11406,15819l655,15819,655,16840,11406,16840,11406,15819xm11906,15819l11549,15819,11549,16840,11906,16840,11906,15819xe" filled="true" fillcolor="#001f5f" stroked="false">
              <v:path arrowok="t"/>
              <v:fill type="solid"/>
            </v:shape>
            <v:line style="position:absolute" from="655,16837" to="11906,16837" stroked="true" strokeweight=".41488pt" strokecolor="#000000">
              <v:stroke dashstyle="solid"/>
            </v:line>
            <v:shape style="position:absolute;left:0;top:16840;width:11906;height:5" coordorigin="0,16840" coordsize="11906,5" path="m0,16840l11906,16840m0,16845l11906,16845e" filled="false" stroked="true" strokeweight=".140pt" strokecolor="#000000">
              <v:path arrowok="t"/>
              <v:stroke dashstyle="solid"/>
            </v:shape>
            <v:shape style="position:absolute;left:0;top:15819;width:11906;height:2" coordorigin="0,15819" coordsize="11906,0" path="m0,15819l512,15819m655,15819l11406,15819m11549,15819l11906,15819e" filled="false" stroked="true" strokeweight=".75pt" strokecolor="#000000">
              <v:path arrowok="t"/>
              <v:stroke dashstyle="solid"/>
            </v:shape>
            <v:rect style="position:absolute;left:11549;top:15;width:358;height:1021" filled="true" fillcolor="#001f5f" stroked="false">
              <v:fill type="solid"/>
            </v:rect>
            <v:shape style="position:absolute;left:11549;top:0;width:357;height:16841" coordorigin="11549,0" coordsize="357,16841" path="m11549,1036l11906,1036m11549,15l11906,15m11549,16841l11549,0e" filled="false" stroked="true" strokeweight=".75pt" strokecolor="#000000">
              <v:path arrowok="t"/>
              <v:stroke dashstyle="solid"/>
            </v:shape>
            <v:rect style="position:absolute;left:655;top:15;width:10751;height:1021" filled="true" fillcolor="#001f5f" stroked="false">
              <v:fill type="solid"/>
            </v:rect>
            <v:shape style="position:absolute;left:655;top:0;width:10751;height:16841" coordorigin="655,0" coordsize="10751,16841" path="m655,1036l11406,1036m655,15l11406,15m11406,0l11406,16841m655,16841l655,0e" filled="false" stroked="true" strokeweight=".75pt" strokecolor="#000000">
              <v:path arrowok="t"/>
              <v:stroke dashstyle="solid"/>
            </v:shape>
            <v:rect style="position:absolute;left:0;top:15;width:512;height:1021" filled="true" fillcolor="#001f5f" stroked="false">
              <v:fill type="solid"/>
            </v:rect>
            <v:shape style="position:absolute;left:0;top:0;width:512;height:16841" coordorigin="0,0" coordsize="512,16841" path="m0,1036l512,1036m0,15l512,15m512,0l512,16841e" filled="false" stroked="true" strokeweight=".75pt" strokecolor="#000000">
              <v:path arrowok="t"/>
              <v:stroke dashstyle="solid"/>
            </v:shape>
            <v:shape style="position:absolute;left:1192;top:1200;width:2872;height:1476" type="#_x0000_t75" alt="SEGUNDA-VIA-CEB-–-SOLICITAR-2-VIA-PARA-PAGEMNTO-DETUDOWEB-2.jpg" stroked="false">
              <v:imagedata r:id="rId5" o:title=""/>
            </v:shape>
            <w10:wrap type="none"/>
          </v:group>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sz w:val="16"/>
        </w:rPr>
      </w:pPr>
    </w:p>
    <w:p>
      <w:pPr>
        <w:spacing w:before="76"/>
        <w:ind w:left="641" w:right="858" w:firstLine="0"/>
        <w:jc w:val="center"/>
        <w:rPr>
          <w:rFonts w:ascii="Times New Roman" w:hAnsi="Times New Roman"/>
          <w:b/>
          <w:sz w:val="56"/>
        </w:rPr>
      </w:pPr>
      <w:r>
        <w:rPr>
          <w:rFonts w:ascii="Times New Roman" w:hAnsi="Times New Roman"/>
          <w:b/>
          <w:sz w:val="56"/>
        </w:rPr>
        <w:t>RELATÓRIO DA</w:t>
      </w:r>
      <w:r>
        <w:rPr>
          <w:rFonts w:ascii="Times New Roman" w:hAnsi="Times New Roman"/>
          <w:b/>
          <w:spacing w:val="-94"/>
          <w:sz w:val="56"/>
        </w:rPr>
        <w:t> </w:t>
      </w:r>
      <w:r>
        <w:rPr>
          <w:rFonts w:ascii="Times New Roman" w:hAnsi="Times New Roman"/>
          <w:b/>
          <w:sz w:val="56"/>
        </w:rPr>
        <w:t>ADMINISTRAÇÃO 2019</w:t>
      </w:r>
    </w:p>
    <w:p>
      <w:pPr>
        <w:pStyle w:val="BodyText"/>
        <w:spacing w:before="10"/>
        <w:rPr>
          <w:rFonts w:ascii="Times New Roman"/>
          <w:b/>
          <w:sz w:val="75"/>
        </w:rPr>
      </w:pPr>
    </w:p>
    <w:p>
      <w:pPr>
        <w:spacing w:before="0"/>
        <w:ind w:left="641" w:right="847" w:firstLine="0"/>
        <w:jc w:val="center"/>
        <w:rPr>
          <w:rFonts w:ascii="Times New Roman" w:hAnsi="Times New Roman"/>
          <w:b/>
          <w:sz w:val="40"/>
        </w:rPr>
      </w:pPr>
      <w:r>
        <w:rPr>
          <w:rFonts w:ascii="Times New Roman" w:hAnsi="Times New Roman"/>
          <w:b/>
          <w:sz w:val="40"/>
        </w:rPr>
        <w:t>COMPANHIA ENERGÉTICA DE BRASÍLIA – CEB</w:t>
      </w: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rPr>
          <w:rFonts w:ascii="Times New Roman"/>
          <w:b/>
        </w:rPr>
      </w:pPr>
    </w:p>
    <w:p>
      <w:pPr>
        <w:pStyle w:val="BodyText"/>
        <w:spacing w:before="10"/>
        <w:rPr>
          <w:rFonts w:ascii="Times New Roman"/>
          <w:b/>
          <w:sz w:val="19"/>
        </w:rPr>
      </w:pPr>
    </w:p>
    <w:p>
      <w:pPr>
        <w:spacing w:before="91"/>
        <w:ind w:left="0" w:right="139" w:firstLine="0"/>
        <w:jc w:val="right"/>
        <w:rPr>
          <w:rFonts w:ascii="Times New Roman"/>
          <w:sz w:val="22"/>
        </w:rPr>
      </w:pPr>
      <w:r>
        <w:rPr>
          <w:rFonts w:ascii="Times New Roman"/>
          <w:w w:val="100"/>
          <w:sz w:val="22"/>
        </w:rPr>
        <w:t>1</w:t>
      </w:r>
    </w:p>
    <w:p>
      <w:pPr>
        <w:spacing w:after="0"/>
        <w:jc w:val="right"/>
        <w:rPr>
          <w:rFonts w:ascii="Times New Roman"/>
          <w:sz w:val="22"/>
        </w:rPr>
        <w:sectPr>
          <w:type w:val="continuous"/>
          <w:pgSz w:w="11920" w:h="16860"/>
          <w:pgMar w:top="1600" w:bottom="280" w:left="780" w:right="280"/>
        </w:sectPr>
      </w:pPr>
    </w:p>
    <w:p>
      <w:pPr>
        <w:pStyle w:val="BodyText"/>
        <w:ind w:left="516"/>
        <w:rPr>
          <w:rFonts w:ascii="Times New Roman"/>
        </w:rPr>
      </w:pPr>
      <w:r>
        <w:rPr>
          <w:rFonts w:ascii="Times New Roman"/>
        </w:rPr>
        <w:drawing>
          <wp:inline distT="0" distB="0" distL="0" distR="0">
            <wp:extent cx="989985" cy="472249"/>
            <wp:effectExtent l="0" t="0" r="0" b="0"/>
            <wp:docPr id="1" name="image2.jpeg"/>
            <wp:cNvGraphicFramePr>
              <a:graphicFrameLocks noChangeAspect="1"/>
            </wp:cNvGraphicFramePr>
            <a:graphic>
              <a:graphicData uri="http://schemas.openxmlformats.org/drawingml/2006/picture">
                <pic:pic>
                  <pic:nvPicPr>
                    <pic:cNvPr id="2"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spacing w:before="1"/>
        <w:rPr>
          <w:rFonts w:ascii="Times New Roman"/>
          <w:sz w:val="2"/>
        </w:rPr>
      </w:pPr>
    </w:p>
    <w:p>
      <w:pPr>
        <w:pStyle w:val="BodyText"/>
        <w:ind w:left="384"/>
        <w:rPr>
          <w:rFonts w:ascii="Times New Roman"/>
        </w:rPr>
      </w:pPr>
      <w:r>
        <w:rPr>
          <w:rFonts w:ascii="Times New Roman"/>
        </w:rPr>
        <w:pict>
          <v:shapetype id="_x0000_t202" o:spt="202" coordsize="21600,21600" path="m,l,21600r21600,l21600,xe">
            <v:stroke joinstyle="miter"/>
            <v:path gradientshapeok="t" o:connecttype="rect"/>
          </v:shapetype>
          <v:shape style="width:496.1pt;height:20.7pt;mso-position-horizontal-relative:char;mso-position-vertical-relative:line" type="#_x0000_t202" filled="true" fillcolor="#f0f0f0" stroked="false">
            <w10:anchorlock/>
            <v:textbox inset="0,0,0,0">
              <w:txbxContent>
                <w:p>
                  <w:pPr>
                    <w:tabs>
                      <w:tab w:pos="3312" w:val="left" w:leader="none"/>
                    </w:tabs>
                    <w:spacing w:line="269" w:lineRule="exact" w:before="0"/>
                    <w:ind w:left="2592" w:right="0" w:firstLine="0"/>
                    <w:jc w:val="left"/>
                    <w:rPr>
                      <w:rFonts w:ascii="Times New Roman" w:hAnsi="Times New Roman"/>
                      <w:b/>
                      <w:sz w:val="24"/>
                    </w:rPr>
                  </w:pPr>
                  <w:r>
                    <w:rPr>
                      <w:rFonts w:ascii="Times New Roman" w:hAnsi="Times New Roman"/>
                      <w:b/>
                      <w:sz w:val="24"/>
                    </w:rPr>
                    <w:t>I.</w:t>
                    <w:tab/>
                    <w:t>MENSAGEM DA</w:t>
                  </w:r>
                  <w:r>
                    <w:rPr>
                      <w:rFonts w:ascii="Times New Roman" w:hAnsi="Times New Roman"/>
                      <w:b/>
                      <w:spacing w:val="-2"/>
                      <w:sz w:val="24"/>
                    </w:rPr>
                    <w:t> </w:t>
                  </w:r>
                  <w:r>
                    <w:rPr>
                      <w:rFonts w:ascii="Times New Roman" w:hAnsi="Times New Roman"/>
                      <w:b/>
                      <w:sz w:val="24"/>
                    </w:rPr>
                    <w:t>ADMINISTRAÇÃO</w:t>
                  </w:r>
                </w:p>
              </w:txbxContent>
            </v:textbox>
            <v:fill type="solid"/>
          </v:shape>
        </w:pict>
      </w:r>
      <w:r>
        <w:rPr>
          <w:rFonts w:ascii="Times New Roman"/>
        </w:rPr>
      </w:r>
    </w:p>
    <w:p>
      <w:pPr>
        <w:spacing w:before="93"/>
        <w:ind w:left="847" w:right="0" w:firstLine="0"/>
        <w:jc w:val="left"/>
        <w:rPr>
          <w:rFonts w:ascii="Times New Roman"/>
          <w:sz w:val="22"/>
        </w:rPr>
      </w:pPr>
      <w:r>
        <w:rPr>
          <w:rFonts w:ascii="Times New Roman"/>
          <w:sz w:val="22"/>
        </w:rPr>
        <w:t>Senhores e Senhoras Acionistas,</w:t>
      </w:r>
    </w:p>
    <w:p>
      <w:pPr>
        <w:pStyle w:val="BodyText"/>
        <w:spacing w:before="5"/>
        <w:rPr>
          <w:rFonts w:ascii="Times New Roman"/>
          <w:sz w:val="21"/>
        </w:rPr>
      </w:pPr>
    </w:p>
    <w:p>
      <w:pPr>
        <w:spacing w:line="360" w:lineRule="auto" w:before="0"/>
        <w:ind w:left="139" w:right="137" w:firstLine="708"/>
        <w:jc w:val="both"/>
        <w:rPr>
          <w:rFonts w:ascii="Times New Roman" w:hAnsi="Times New Roman"/>
          <w:sz w:val="22"/>
        </w:rPr>
      </w:pPr>
      <w:r>
        <w:rPr>
          <w:rFonts w:ascii="Times New Roman" w:hAnsi="Times New Roman"/>
          <w:sz w:val="22"/>
        </w:rPr>
        <w:t>De</w:t>
      </w:r>
      <w:r>
        <w:rPr>
          <w:rFonts w:ascii="Times New Roman" w:hAnsi="Times New Roman"/>
          <w:spacing w:val="-4"/>
          <w:sz w:val="22"/>
        </w:rPr>
        <w:t> </w:t>
      </w:r>
      <w:r>
        <w:rPr>
          <w:rFonts w:ascii="Times New Roman" w:hAnsi="Times New Roman"/>
          <w:sz w:val="22"/>
        </w:rPr>
        <w:t>acordo</w:t>
      </w:r>
      <w:r>
        <w:rPr>
          <w:rFonts w:ascii="Times New Roman" w:hAnsi="Times New Roman"/>
          <w:spacing w:val="-4"/>
          <w:sz w:val="22"/>
        </w:rPr>
        <w:t> </w:t>
      </w:r>
      <w:r>
        <w:rPr>
          <w:rFonts w:ascii="Times New Roman" w:hAnsi="Times New Roman"/>
          <w:sz w:val="22"/>
        </w:rPr>
        <w:t>com</w:t>
      </w:r>
      <w:r>
        <w:rPr>
          <w:rFonts w:ascii="Times New Roman" w:hAnsi="Times New Roman"/>
          <w:spacing w:val="-8"/>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legislação</w:t>
      </w:r>
      <w:r>
        <w:rPr>
          <w:rFonts w:ascii="Times New Roman" w:hAnsi="Times New Roman"/>
          <w:spacing w:val="-6"/>
          <w:sz w:val="22"/>
        </w:rPr>
        <w:t> </w:t>
      </w:r>
      <w:r>
        <w:rPr>
          <w:rFonts w:ascii="Times New Roman" w:hAnsi="Times New Roman"/>
          <w:sz w:val="22"/>
        </w:rPr>
        <w:t>vigente</w:t>
      </w:r>
      <w:r>
        <w:rPr>
          <w:rFonts w:ascii="Times New Roman" w:hAnsi="Times New Roman"/>
          <w:spacing w:val="-4"/>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as</w:t>
      </w:r>
      <w:r>
        <w:rPr>
          <w:rFonts w:ascii="Times New Roman" w:hAnsi="Times New Roman"/>
          <w:spacing w:val="-4"/>
          <w:sz w:val="22"/>
        </w:rPr>
        <w:t> </w:t>
      </w:r>
      <w:r>
        <w:rPr>
          <w:rFonts w:ascii="Times New Roman" w:hAnsi="Times New Roman"/>
          <w:sz w:val="22"/>
        </w:rPr>
        <w:t>disposições</w:t>
      </w:r>
      <w:r>
        <w:rPr>
          <w:rFonts w:ascii="Times New Roman" w:hAnsi="Times New Roman"/>
          <w:spacing w:val="-3"/>
          <w:sz w:val="22"/>
        </w:rPr>
        <w:t> </w:t>
      </w:r>
      <w:r>
        <w:rPr>
          <w:rFonts w:ascii="Times New Roman" w:hAnsi="Times New Roman"/>
          <w:sz w:val="22"/>
        </w:rPr>
        <w:t>estatutárias,</w:t>
      </w:r>
      <w:r>
        <w:rPr>
          <w:rFonts w:ascii="Times New Roman" w:hAnsi="Times New Roman"/>
          <w:spacing w:val="-5"/>
          <w:sz w:val="22"/>
        </w:rPr>
        <w:t> </w:t>
      </w:r>
      <w:r>
        <w:rPr>
          <w:rFonts w:ascii="Times New Roman" w:hAnsi="Times New Roman"/>
          <w:sz w:val="22"/>
        </w:rPr>
        <w:t>apresentamos</w:t>
      </w:r>
      <w:r>
        <w:rPr>
          <w:rFonts w:ascii="Times New Roman" w:hAnsi="Times New Roman"/>
          <w:spacing w:val="-3"/>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Relatório</w:t>
      </w:r>
      <w:r>
        <w:rPr>
          <w:rFonts w:ascii="Times New Roman" w:hAnsi="Times New Roman"/>
          <w:spacing w:val="-5"/>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Administração,</w:t>
      </w:r>
      <w:r>
        <w:rPr>
          <w:rFonts w:ascii="Times New Roman" w:hAnsi="Times New Roman"/>
          <w:spacing w:val="-5"/>
          <w:sz w:val="22"/>
        </w:rPr>
        <w:t> </w:t>
      </w:r>
      <w:r>
        <w:rPr>
          <w:rFonts w:ascii="Times New Roman" w:hAnsi="Times New Roman"/>
          <w:sz w:val="22"/>
        </w:rPr>
        <w:t>as Demonstrações Financeiras Consolidadas da Companhia Energética de Brasília – CEB, acompanhadas da notas explicativas</w:t>
      </w:r>
      <w:r>
        <w:rPr>
          <w:rFonts w:ascii="Times New Roman" w:hAnsi="Times New Roman"/>
          <w:spacing w:val="-6"/>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dos</w:t>
      </w:r>
      <w:r>
        <w:rPr>
          <w:rFonts w:ascii="Times New Roman" w:hAnsi="Times New Roman"/>
          <w:spacing w:val="-4"/>
          <w:sz w:val="22"/>
        </w:rPr>
        <w:t> </w:t>
      </w:r>
      <w:r>
        <w:rPr>
          <w:rFonts w:ascii="Times New Roman" w:hAnsi="Times New Roman"/>
          <w:sz w:val="22"/>
        </w:rPr>
        <w:t>pareceres</w:t>
      </w:r>
      <w:r>
        <w:rPr>
          <w:rFonts w:ascii="Times New Roman" w:hAnsi="Times New Roman"/>
          <w:spacing w:val="-6"/>
          <w:sz w:val="22"/>
        </w:rPr>
        <w:t> </w:t>
      </w:r>
      <w:r>
        <w:rPr>
          <w:rFonts w:ascii="Times New Roman" w:hAnsi="Times New Roman"/>
          <w:sz w:val="22"/>
        </w:rPr>
        <w:t>dos</w:t>
      </w:r>
      <w:r>
        <w:rPr>
          <w:rFonts w:ascii="Times New Roman" w:hAnsi="Times New Roman"/>
          <w:spacing w:val="-6"/>
          <w:sz w:val="22"/>
        </w:rPr>
        <w:t> </w:t>
      </w:r>
      <w:r>
        <w:rPr>
          <w:rFonts w:ascii="Times New Roman" w:hAnsi="Times New Roman"/>
          <w:sz w:val="22"/>
        </w:rPr>
        <w:t>Auditores</w:t>
      </w:r>
      <w:r>
        <w:rPr>
          <w:rFonts w:ascii="Times New Roman" w:hAnsi="Times New Roman"/>
          <w:spacing w:val="-5"/>
          <w:sz w:val="22"/>
        </w:rPr>
        <w:t> </w:t>
      </w:r>
      <w:r>
        <w:rPr>
          <w:rFonts w:ascii="Times New Roman" w:hAnsi="Times New Roman"/>
          <w:sz w:val="22"/>
        </w:rPr>
        <w:t>Independentes</w:t>
      </w:r>
      <w:r>
        <w:rPr>
          <w:rFonts w:ascii="Times New Roman" w:hAnsi="Times New Roman"/>
          <w:spacing w:val="-5"/>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Conselho</w:t>
      </w:r>
      <w:r>
        <w:rPr>
          <w:rFonts w:ascii="Times New Roman" w:hAnsi="Times New Roman"/>
          <w:spacing w:val="-4"/>
          <w:sz w:val="22"/>
        </w:rPr>
        <w:t> </w:t>
      </w:r>
      <w:r>
        <w:rPr>
          <w:rFonts w:ascii="Times New Roman" w:hAnsi="Times New Roman"/>
          <w:sz w:val="22"/>
        </w:rPr>
        <w:t>Fiscal,</w:t>
      </w:r>
      <w:r>
        <w:rPr>
          <w:rFonts w:ascii="Times New Roman" w:hAnsi="Times New Roman"/>
          <w:spacing w:val="-6"/>
          <w:sz w:val="22"/>
        </w:rPr>
        <w:t> </w:t>
      </w:r>
      <w:r>
        <w:rPr>
          <w:rFonts w:ascii="Times New Roman" w:hAnsi="Times New Roman"/>
          <w:sz w:val="22"/>
        </w:rPr>
        <w:t>relativos</w:t>
      </w:r>
      <w:r>
        <w:rPr>
          <w:rFonts w:ascii="Times New Roman" w:hAnsi="Times New Roman"/>
          <w:spacing w:val="-6"/>
          <w:sz w:val="22"/>
        </w:rPr>
        <w:t> </w:t>
      </w:r>
      <w:r>
        <w:rPr>
          <w:rFonts w:ascii="Times New Roman" w:hAnsi="Times New Roman"/>
          <w:sz w:val="22"/>
        </w:rPr>
        <w:t>ao</w:t>
      </w:r>
      <w:r>
        <w:rPr>
          <w:rFonts w:ascii="Times New Roman" w:hAnsi="Times New Roman"/>
          <w:spacing w:val="-6"/>
          <w:sz w:val="22"/>
        </w:rPr>
        <w:t> </w:t>
      </w:r>
      <w:r>
        <w:rPr>
          <w:rFonts w:ascii="Times New Roman" w:hAnsi="Times New Roman"/>
          <w:sz w:val="22"/>
        </w:rPr>
        <w:t>exercício</w:t>
      </w:r>
      <w:r>
        <w:rPr>
          <w:rFonts w:ascii="Times New Roman" w:hAnsi="Times New Roman"/>
          <w:spacing w:val="-7"/>
          <w:sz w:val="22"/>
        </w:rPr>
        <w:t> </w:t>
      </w:r>
      <w:r>
        <w:rPr>
          <w:rFonts w:ascii="Times New Roman" w:hAnsi="Times New Roman"/>
          <w:sz w:val="22"/>
        </w:rPr>
        <w:t>social</w:t>
      </w:r>
      <w:r>
        <w:rPr>
          <w:rFonts w:ascii="Times New Roman" w:hAnsi="Times New Roman"/>
          <w:spacing w:val="-5"/>
          <w:sz w:val="22"/>
        </w:rPr>
        <w:t> </w:t>
      </w:r>
      <w:r>
        <w:rPr>
          <w:rFonts w:ascii="Times New Roman" w:hAnsi="Times New Roman"/>
          <w:sz w:val="22"/>
        </w:rPr>
        <w:t>findo</w:t>
      </w:r>
      <w:r>
        <w:rPr>
          <w:rFonts w:ascii="Times New Roman" w:hAnsi="Times New Roman"/>
          <w:spacing w:val="-4"/>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31 de dezembro de</w:t>
      </w:r>
      <w:r>
        <w:rPr>
          <w:rFonts w:ascii="Times New Roman" w:hAnsi="Times New Roman"/>
          <w:spacing w:val="-1"/>
          <w:sz w:val="22"/>
        </w:rPr>
        <w:t> </w:t>
      </w:r>
      <w:r>
        <w:rPr>
          <w:rFonts w:ascii="Times New Roman" w:hAnsi="Times New Roman"/>
          <w:sz w:val="22"/>
        </w:rPr>
        <w:t>2019.</w:t>
      </w:r>
    </w:p>
    <w:p>
      <w:pPr>
        <w:spacing w:line="360" w:lineRule="auto" w:before="121"/>
        <w:ind w:left="139" w:right="135" w:firstLine="708"/>
        <w:jc w:val="both"/>
        <w:rPr>
          <w:rFonts w:ascii="Times New Roman" w:hAnsi="Times New Roman"/>
          <w:sz w:val="22"/>
        </w:rPr>
      </w:pPr>
      <w:r>
        <w:rPr>
          <w:rFonts w:ascii="Times New Roman" w:hAnsi="Times New Roman"/>
          <w:sz w:val="22"/>
        </w:rPr>
        <w:t>No</w:t>
      </w:r>
      <w:r>
        <w:rPr>
          <w:rFonts w:ascii="Times New Roman" w:hAnsi="Times New Roman"/>
          <w:spacing w:val="-10"/>
          <w:sz w:val="22"/>
        </w:rPr>
        <w:t> </w:t>
      </w:r>
      <w:r>
        <w:rPr>
          <w:rFonts w:ascii="Times New Roman" w:hAnsi="Times New Roman"/>
          <w:sz w:val="22"/>
        </w:rPr>
        <w:t>âmbito</w:t>
      </w:r>
      <w:r>
        <w:rPr>
          <w:rFonts w:ascii="Times New Roman" w:hAnsi="Times New Roman"/>
          <w:spacing w:val="-10"/>
          <w:sz w:val="22"/>
        </w:rPr>
        <w:t> </w:t>
      </w:r>
      <w:r>
        <w:rPr>
          <w:rFonts w:ascii="Times New Roman" w:hAnsi="Times New Roman"/>
          <w:sz w:val="22"/>
        </w:rPr>
        <w:t>nacional,</w:t>
      </w:r>
      <w:r>
        <w:rPr>
          <w:rFonts w:ascii="Times New Roman" w:hAnsi="Times New Roman"/>
          <w:spacing w:val="-9"/>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ano</w:t>
      </w:r>
      <w:r>
        <w:rPr>
          <w:rFonts w:ascii="Times New Roman" w:hAnsi="Times New Roman"/>
          <w:spacing w:val="-12"/>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2019</w:t>
      </w:r>
      <w:r>
        <w:rPr>
          <w:rFonts w:ascii="Times New Roman" w:hAnsi="Times New Roman"/>
          <w:spacing w:val="-12"/>
          <w:sz w:val="22"/>
        </w:rPr>
        <w:t> </w:t>
      </w:r>
      <w:r>
        <w:rPr>
          <w:rFonts w:ascii="Times New Roman" w:hAnsi="Times New Roman"/>
          <w:sz w:val="22"/>
        </w:rPr>
        <w:t>caracterizou-se</w:t>
      </w:r>
      <w:r>
        <w:rPr>
          <w:rFonts w:ascii="Times New Roman" w:hAnsi="Times New Roman"/>
          <w:spacing w:val="-8"/>
          <w:sz w:val="22"/>
        </w:rPr>
        <w:t> </w:t>
      </w:r>
      <w:r>
        <w:rPr>
          <w:rFonts w:ascii="Times New Roman" w:hAnsi="Times New Roman"/>
          <w:sz w:val="22"/>
        </w:rPr>
        <w:t>pela</w:t>
      </w:r>
      <w:r>
        <w:rPr>
          <w:rFonts w:ascii="Times New Roman" w:hAnsi="Times New Roman"/>
          <w:spacing w:val="-11"/>
          <w:sz w:val="22"/>
        </w:rPr>
        <w:t> </w:t>
      </w:r>
      <w:r>
        <w:rPr>
          <w:rFonts w:ascii="Times New Roman" w:hAnsi="Times New Roman"/>
          <w:sz w:val="22"/>
        </w:rPr>
        <w:t>aprovação</w:t>
      </w:r>
      <w:r>
        <w:rPr>
          <w:rFonts w:ascii="Times New Roman" w:hAnsi="Times New Roman"/>
          <w:spacing w:val="-10"/>
          <w:sz w:val="22"/>
        </w:rPr>
        <w:t> </w:t>
      </w:r>
      <w:r>
        <w:rPr>
          <w:rFonts w:ascii="Times New Roman" w:hAnsi="Times New Roman"/>
          <w:sz w:val="22"/>
        </w:rPr>
        <w:t>pelo</w:t>
      </w:r>
      <w:r>
        <w:rPr>
          <w:rFonts w:ascii="Times New Roman" w:hAnsi="Times New Roman"/>
          <w:spacing w:val="-10"/>
          <w:sz w:val="22"/>
        </w:rPr>
        <w:t> </w:t>
      </w:r>
      <w:r>
        <w:rPr>
          <w:rFonts w:ascii="Times New Roman" w:hAnsi="Times New Roman"/>
          <w:sz w:val="22"/>
        </w:rPr>
        <w:t>Poder</w:t>
      </w:r>
      <w:r>
        <w:rPr>
          <w:rFonts w:ascii="Times New Roman" w:hAnsi="Times New Roman"/>
          <w:spacing w:val="-9"/>
          <w:sz w:val="22"/>
        </w:rPr>
        <w:t> </w:t>
      </w:r>
      <w:r>
        <w:rPr>
          <w:rFonts w:ascii="Times New Roman" w:hAnsi="Times New Roman"/>
          <w:sz w:val="22"/>
        </w:rPr>
        <w:t>Legislativo</w:t>
      </w:r>
      <w:r>
        <w:rPr>
          <w:rFonts w:ascii="Times New Roman" w:hAnsi="Times New Roman"/>
          <w:spacing w:val="-9"/>
          <w:sz w:val="22"/>
        </w:rPr>
        <w:t> </w:t>
      </w:r>
      <w:r>
        <w:rPr>
          <w:rFonts w:ascii="Times New Roman" w:hAnsi="Times New Roman"/>
          <w:sz w:val="22"/>
        </w:rPr>
        <w:t>das</w:t>
      </w:r>
      <w:r>
        <w:rPr>
          <w:rFonts w:ascii="Times New Roman" w:hAnsi="Times New Roman"/>
          <w:spacing w:val="-10"/>
          <w:sz w:val="22"/>
        </w:rPr>
        <w:t> </w:t>
      </w:r>
      <w:r>
        <w:rPr>
          <w:rFonts w:ascii="Times New Roman" w:hAnsi="Times New Roman"/>
          <w:sz w:val="22"/>
        </w:rPr>
        <w:t>reformas</w:t>
      </w:r>
      <w:r>
        <w:rPr>
          <w:rFonts w:ascii="Times New Roman" w:hAnsi="Times New Roman"/>
          <w:spacing w:val="-8"/>
          <w:sz w:val="22"/>
        </w:rPr>
        <w:t> </w:t>
      </w:r>
      <w:r>
        <w:rPr>
          <w:rFonts w:ascii="Times New Roman" w:hAnsi="Times New Roman"/>
          <w:sz w:val="22"/>
        </w:rPr>
        <w:t>propostas pelo Poder Executivo, necessárias para impulsionar a economia. Foram aprovadas as reformas trabalhista e previdenciária.</w:t>
      </w:r>
      <w:r>
        <w:rPr>
          <w:rFonts w:ascii="Times New Roman" w:hAnsi="Times New Roman"/>
          <w:spacing w:val="-17"/>
          <w:sz w:val="22"/>
        </w:rPr>
        <w:t> </w:t>
      </w:r>
      <w:r>
        <w:rPr>
          <w:rFonts w:ascii="Times New Roman" w:hAnsi="Times New Roman"/>
          <w:sz w:val="22"/>
        </w:rPr>
        <w:t>Também</w:t>
      </w:r>
      <w:r>
        <w:rPr>
          <w:rFonts w:ascii="Times New Roman" w:hAnsi="Times New Roman"/>
          <w:spacing w:val="-18"/>
          <w:sz w:val="22"/>
        </w:rPr>
        <w:t> </w:t>
      </w:r>
      <w:r>
        <w:rPr>
          <w:rFonts w:ascii="Times New Roman" w:hAnsi="Times New Roman"/>
          <w:sz w:val="22"/>
        </w:rPr>
        <w:t>foi</w:t>
      </w:r>
      <w:r>
        <w:rPr>
          <w:rFonts w:ascii="Times New Roman" w:hAnsi="Times New Roman"/>
          <w:spacing w:val="-16"/>
          <w:sz w:val="22"/>
        </w:rPr>
        <w:t> </w:t>
      </w:r>
      <w:r>
        <w:rPr>
          <w:rFonts w:ascii="Times New Roman" w:hAnsi="Times New Roman"/>
          <w:sz w:val="22"/>
        </w:rPr>
        <w:t>anunciado</w:t>
      </w:r>
      <w:r>
        <w:rPr>
          <w:rFonts w:ascii="Times New Roman" w:hAnsi="Times New Roman"/>
          <w:spacing w:val="-14"/>
          <w:sz w:val="22"/>
        </w:rPr>
        <w:t> </w:t>
      </w:r>
      <w:r>
        <w:rPr>
          <w:rFonts w:ascii="Times New Roman" w:hAnsi="Times New Roman"/>
          <w:sz w:val="22"/>
        </w:rPr>
        <w:t>como</w:t>
      </w:r>
      <w:r>
        <w:rPr>
          <w:rFonts w:ascii="Times New Roman" w:hAnsi="Times New Roman"/>
          <w:spacing w:val="-14"/>
          <w:sz w:val="22"/>
        </w:rPr>
        <w:t> </w:t>
      </w:r>
      <w:r>
        <w:rPr>
          <w:rFonts w:ascii="Times New Roman" w:hAnsi="Times New Roman"/>
          <w:sz w:val="22"/>
        </w:rPr>
        <w:t>políticas</w:t>
      </w:r>
      <w:r>
        <w:rPr>
          <w:rFonts w:ascii="Times New Roman" w:hAnsi="Times New Roman"/>
          <w:spacing w:val="-13"/>
          <w:sz w:val="22"/>
        </w:rPr>
        <w:t> </w:t>
      </w:r>
      <w:r>
        <w:rPr>
          <w:rFonts w:ascii="Times New Roman" w:hAnsi="Times New Roman"/>
          <w:sz w:val="22"/>
        </w:rPr>
        <w:t>públicas</w:t>
      </w:r>
      <w:r>
        <w:rPr>
          <w:rFonts w:ascii="Times New Roman" w:hAnsi="Times New Roman"/>
          <w:spacing w:val="-16"/>
          <w:sz w:val="22"/>
        </w:rPr>
        <w:t> </w:t>
      </w:r>
      <w:r>
        <w:rPr>
          <w:rFonts w:ascii="Times New Roman" w:hAnsi="Times New Roman"/>
          <w:sz w:val="22"/>
        </w:rPr>
        <w:t>fiscais</w:t>
      </w:r>
      <w:r>
        <w:rPr>
          <w:rFonts w:ascii="Times New Roman" w:hAnsi="Times New Roman"/>
          <w:spacing w:val="-16"/>
          <w:sz w:val="22"/>
        </w:rPr>
        <w:t> </w:t>
      </w:r>
      <w:r>
        <w:rPr>
          <w:rFonts w:ascii="Times New Roman" w:hAnsi="Times New Roman"/>
          <w:sz w:val="22"/>
        </w:rPr>
        <w:t>do</w:t>
      </w:r>
      <w:r>
        <w:rPr>
          <w:rFonts w:ascii="Times New Roman" w:hAnsi="Times New Roman"/>
          <w:spacing w:val="-14"/>
          <w:sz w:val="22"/>
        </w:rPr>
        <w:t> </w:t>
      </w:r>
      <w:r>
        <w:rPr>
          <w:rFonts w:ascii="Times New Roman" w:hAnsi="Times New Roman"/>
          <w:sz w:val="22"/>
        </w:rPr>
        <w:t>Governo</w:t>
      </w:r>
      <w:r>
        <w:rPr>
          <w:rFonts w:ascii="Times New Roman" w:hAnsi="Times New Roman"/>
          <w:spacing w:val="-17"/>
          <w:sz w:val="22"/>
        </w:rPr>
        <w:t> </w:t>
      </w:r>
      <w:r>
        <w:rPr>
          <w:rFonts w:ascii="Times New Roman" w:hAnsi="Times New Roman"/>
          <w:sz w:val="22"/>
        </w:rPr>
        <w:t>Federal</w:t>
      </w:r>
      <w:r>
        <w:rPr>
          <w:rFonts w:ascii="Times New Roman" w:hAnsi="Times New Roman"/>
          <w:spacing w:val="-16"/>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alienação</w:t>
      </w:r>
      <w:r>
        <w:rPr>
          <w:rFonts w:ascii="Times New Roman" w:hAnsi="Times New Roman"/>
          <w:spacing w:val="-14"/>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ativos,</w:t>
      </w:r>
      <w:r>
        <w:rPr>
          <w:rFonts w:ascii="Times New Roman" w:hAnsi="Times New Roman"/>
          <w:spacing w:val="-14"/>
          <w:sz w:val="22"/>
        </w:rPr>
        <w:t> </w:t>
      </w:r>
      <w:r>
        <w:rPr>
          <w:rFonts w:ascii="Times New Roman" w:hAnsi="Times New Roman"/>
          <w:sz w:val="22"/>
        </w:rPr>
        <w:t>inclusive de participações em empresas estatais federais. Entretanto, não obstante todas as mudanças implementadas, o Produto Interno Bruto do Brasil, em 2019, cresceu apenas</w:t>
      </w:r>
      <w:r>
        <w:rPr>
          <w:rFonts w:ascii="Times New Roman" w:hAnsi="Times New Roman"/>
          <w:spacing w:val="-4"/>
          <w:sz w:val="22"/>
        </w:rPr>
        <w:t> </w:t>
      </w:r>
      <w:r>
        <w:rPr>
          <w:rFonts w:ascii="Times New Roman" w:hAnsi="Times New Roman"/>
          <w:sz w:val="22"/>
        </w:rPr>
        <w:t>1,1%.</w:t>
      </w:r>
    </w:p>
    <w:p>
      <w:pPr>
        <w:spacing w:line="360" w:lineRule="auto" w:before="120"/>
        <w:ind w:left="139" w:right="134" w:firstLine="708"/>
        <w:jc w:val="both"/>
        <w:rPr>
          <w:rFonts w:ascii="Times New Roman" w:hAnsi="Times New Roman"/>
          <w:sz w:val="22"/>
        </w:rPr>
      </w:pPr>
      <w:r>
        <w:rPr>
          <w:rFonts w:ascii="Times New Roman" w:hAnsi="Times New Roman"/>
          <w:sz w:val="22"/>
        </w:rPr>
        <w:t>No</w:t>
      </w:r>
      <w:r>
        <w:rPr>
          <w:rFonts w:ascii="Times New Roman" w:hAnsi="Times New Roman"/>
          <w:spacing w:val="-9"/>
          <w:sz w:val="22"/>
        </w:rPr>
        <w:t> </w:t>
      </w:r>
      <w:r>
        <w:rPr>
          <w:rFonts w:ascii="Times New Roman" w:hAnsi="Times New Roman"/>
          <w:sz w:val="22"/>
        </w:rPr>
        <w:t>Distrito</w:t>
      </w:r>
      <w:r>
        <w:rPr>
          <w:rFonts w:ascii="Times New Roman" w:hAnsi="Times New Roman"/>
          <w:spacing w:val="-9"/>
          <w:sz w:val="22"/>
        </w:rPr>
        <w:t> </w:t>
      </w:r>
      <w:r>
        <w:rPr>
          <w:rFonts w:ascii="Times New Roman" w:hAnsi="Times New Roman"/>
          <w:sz w:val="22"/>
        </w:rPr>
        <w:t>Federal,</w:t>
      </w:r>
      <w:r>
        <w:rPr>
          <w:rFonts w:ascii="Times New Roman" w:hAnsi="Times New Roman"/>
          <w:spacing w:val="-6"/>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economia</w:t>
      </w:r>
      <w:r>
        <w:rPr>
          <w:rFonts w:ascii="Times New Roman" w:hAnsi="Times New Roman"/>
          <w:spacing w:val="-8"/>
          <w:sz w:val="22"/>
        </w:rPr>
        <w:t> </w:t>
      </w:r>
      <w:r>
        <w:rPr>
          <w:rFonts w:ascii="Times New Roman" w:hAnsi="Times New Roman"/>
          <w:sz w:val="22"/>
        </w:rPr>
        <w:t>cresceu</w:t>
      </w:r>
      <w:r>
        <w:rPr>
          <w:rFonts w:ascii="Times New Roman" w:hAnsi="Times New Roman"/>
          <w:spacing w:val="-6"/>
          <w:sz w:val="22"/>
        </w:rPr>
        <w:t> </w:t>
      </w:r>
      <w:r>
        <w:rPr>
          <w:rFonts w:ascii="Times New Roman" w:hAnsi="Times New Roman"/>
          <w:sz w:val="22"/>
        </w:rPr>
        <w:t>mais</w:t>
      </w:r>
      <w:r>
        <w:rPr>
          <w:rFonts w:ascii="Times New Roman" w:hAnsi="Times New Roman"/>
          <w:spacing w:val="-7"/>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que</w:t>
      </w:r>
      <w:r>
        <w:rPr>
          <w:rFonts w:ascii="Times New Roman" w:hAnsi="Times New Roman"/>
          <w:spacing w:val="-7"/>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média</w:t>
      </w:r>
      <w:r>
        <w:rPr>
          <w:rFonts w:ascii="Times New Roman" w:hAnsi="Times New Roman"/>
          <w:spacing w:val="-8"/>
          <w:sz w:val="22"/>
        </w:rPr>
        <w:t> </w:t>
      </w:r>
      <w:r>
        <w:rPr>
          <w:rFonts w:ascii="Times New Roman" w:hAnsi="Times New Roman"/>
          <w:sz w:val="22"/>
        </w:rPr>
        <w:t>brasileira.</w:t>
      </w:r>
      <w:r>
        <w:rPr>
          <w:rFonts w:ascii="Times New Roman" w:hAnsi="Times New Roman"/>
          <w:spacing w:val="-5"/>
          <w:sz w:val="22"/>
        </w:rPr>
        <w:t> </w:t>
      </w:r>
      <w:r>
        <w:rPr>
          <w:rFonts w:ascii="Times New Roman" w:hAnsi="Times New Roman"/>
          <w:sz w:val="22"/>
        </w:rPr>
        <w:t>Em</w:t>
      </w:r>
      <w:r>
        <w:rPr>
          <w:rFonts w:ascii="Times New Roman" w:hAnsi="Times New Roman"/>
          <w:spacing w:val="-13"/>
          <w:sz w:val="22"/>
        </w:rPr>
        <w:t> </w:t>
      </w:r>
      <w:r>
        <w:rPr>
          <w:rFonts w:ascii="Times New Roman" w:hAnsi="Times New Roman"/>
          <w:sz w:val="22"/>
        </w:rPr>
        <w:t>fins</w:t>
      </w:r>
      <w:r>
        <w:rPr>
          <w:rFonts w:ascii="Times New Roman" w:hAnsi="Times New Roman"/>
          <w:spacing w:val="-9"/>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2019,</w:t>
      </w:r>
      <w:r>
        <w:rPr>
          <w:rFonts w:ascii="Times New Roman" w:hAnsi="Times New Roman"/>
          <w:spacing w:val="-9"/>
          <w:sz w:val="22"/>
        </w:rPr>
        <w:t> </w:t>
      </w:r>
      <w:r>
        <w:rPr>
          <w:rFonts w:ascii="Times New Roman" w:hAnsi="Times New Roman"/>
          <w:sz w:val="22"/>
        </w:rPr>
        <w:t>indicadores</w:t>
      </w:r>
      <w:r>
        <w:rPr>
          <w:rFonts w:ascii="Times New Roman" w:hAnsi="Times New Roman"/>
          <w:spacing w:val="-9"/>
          <w:sz w:val="22"/>
        </w:rPr>
        <w:t> </w:t>
      </w:r>
      <w:r>
        <w:rPr>
          <w:rFonts w:ascii="Times New Roman" w:hAnsi="Times New Roman"/>
          <w:sz w:val="22"/>
        </w:rPr>
        <w:t>apontavam um crescimento do Produto Interno Bruto do DF de</w:t>
      </w:r>
      <w:r>
        <w:rPr>
          <w:rFonts w:ascii="Times New Roman" w:hAnsi="Times New Roman"/>
          <w:spacing w:val="-10"/>
          <w:sz w:val="22"/>
        </w:rPr>
        <w:t> </w:t>
      </w:r>
      <w:r>
        <w:rPr>
          <w:rFonts w:ascii="Times New Roman" w:hAnsi="Times New Roman"/>
          <w:sz w:val="22"/>
        </w:rPr>
        <w:t>1,8%.</w:t>
      </w:r>
    </w:p>
    <w:p>
      <w:pPr>
        <w:spacing w:line="360" w:lineRule="auto" w:before="119"/>
        <w:ind w:left="139" w:right="136" w:firstLine="708"/>
        <w:jc w:val="both"/>
        <w:rPr>
          <w:rFonts w:ascii="Times New Roman" w:hAnsi="Times New Roman"/>
          <w:sz w:val="22"/>
        </w:rPr>
      </w:pPr>
      <w:r>
        <w:rPr>
          <w:rFonts w:ascii="Times New Roman" w:hAnsi="Times New Roman"/>
          <w:sz w:val="22"/>
        </w:rPr>
        <w:t>A situação de pandemia global, provocada pelo coronavirus, está abalando a economia de todos os países, mas reafirmamos</w:t>
      </w:r>
      <w:r>
        <w:rPr>
          <w:rFonts w:ascii="Times New Roman" w:hAnsi="Times New Roman"/>
          <w:spacing w:val="-3"/>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compromisso</w:t>
      </w:r>
      <w:r>
        <w:rPr>
          <w:rFonts w:ascii="Times New Roman" w:hAnsi="Times New Roman"/>
          <w:spacing w:val="-4"/>
          <w:sz w:val="22"/>
        </w:rPr>
        <w:t> </w:t>
      </w:r>
      <w:r>
        <w:rPr>
          <w:rFonts w:ascii="Times New Roman" w:hAnsi="Times New Roman"/>
          <w:sz w:val="22"/>
        </w:rPr>
        <w:t>dos</w:t>
      </w:r>
      <w:r>
        <w:rPr>
          <w:rFonts w:ascii="Times New Roman" w:hAnsi="Times New Roman"/>
          <w:spacing w:val="-3"/>
          <w:sz w:val="22"/>
        </w:rPr>
        <w:t> </w:t>
      </w:r>
      <w:r>
        <w:rPr>
          <w:rFonts w:ascii="Times New Roman" w:hAnsi="Times New Roman"/>
          <w:sz w:val="22"/>
        </w:rPr>
        <w:t>administradores</w:t>
      </w:r>
      <w:r>
        <w:rPr>
          <w:rFonts w:ascii="Times New Roman" w:hAnsi="Times New Roman"/>
          <w:spacing w:val="-2"/>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colaboradores</w:t>
      </w:r>
      <w:r>
        <w:rPr>
          <w:rFonts w:ascii="Times New Roman" w:hAnsi="Times New Roman"/>
          <w:spacing w:val="-3"/>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Companhia</w:t>
      </w:r>
      <w:r>
        <w:rPr>
          <w:rFonts w:ascii="Times New Roman" w:hAnsi="Times New Roman"/>
          <w:spacing w:val="-6"/>
          <w:sz w:val="22"/>
        </w:rPr>
        <w:t> </w:t>
      </w:r>
      <w:r>
        <w:rPr>
          <w:rFonts w:ascii="Times New Roman" w:hAnsi="Times New Roman"/>
          <w:sz w:val="22"/>
        </w:rPr>
        <w:t>Energética</w:t>
      </w:r>
      <w:r>
        <w:rPr>
          <w:rFonts w:ascii="Times New Roman" w:hAnsi="Times New Roman"/>
          <w:spacing w:val="-2"/>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Brasília</w:t>
      </w:r>
      <w:r>
        <w:rPr>
          <w:rFonts w:ascii="Times New Roman" w:hAnsi="Times New Roman"/>
          <w:spacing w:val="-3"/>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buscar</w:t>
      </w:r>
      <w:r>
        <w:rPr>
          <w:rFonts w:ascii="Times New Roman" w:hAnsi="Times New Roman"/>
          <w:spacing w:val="-3"/>
          <w:sz w:val="22"/>
        </w:rPr>
        <w:t> </w:t>
      </w:r>
      <w:r>
        <w:rPr>
          <w:rFonts w:ascii="Times New Roman" w:hAnsi="Times New Roman"/>
          <w:sz w:val="22"/>
        </w:rPr>
        <w:t>todos os meios para superar os desafios que se apresentam.</w:t>
      </w:r>
    </w:p>
    <w:p>
      <w:pPr>
        <w:spacing w:line="360" w:lineRule="auto" w:before="122"/>
        <w:ind w:left="139" w:right="136" w:firstLine="708"/>
        <w:jc w:val="both"/>
        <w:rPr>
          <w:rFonts w:ascii="Times New Roman" w:hAnsi="Times New Roman"/>
          <w:sz w:val="22"/>
        </w:rPr>
      </w:pPr>
      <w:r>
        <w:rPr>
          <w:rFonts w:ascii="Times New Roman" w:hAnsi="Times New Roman"/>
          <w:sz w:val="22"/>
        </w:rPr>
        <w:t>Em 2019, a Alta Administração da Companhia Energética de Brasília foi renovada, tendo se deparado, no início de seu mandato, com informações bem diversas daquelas que foram divulgadas no 3º Trimestre de 2018, em especial sobre a CEB DISTRIBUIÇÃO S.A..</w:t>
      </w:r>
    </w:p>
    <w:p>
      <w:pPr>
        <w:spacing w:line="360" w:lineRule="auto" w:before="119"/>
        <w:ind w:left="139" w:right="141" w:firstLine="708"/>
        <w:jc w:val="both"/>
        <w:rPr>
          <w:rFonts w:ascii="Times New Roman" w:hAnsi="Times New Roman"/>
          <w:sz w:val="22"/>
        </w:rPr>
      </w:pPr>
      <w:r>
        <w:rPr>
          <w:rFonts w:ascii="Times New Roman" w:hAnsi="Times New Roman"/>
          <w:sz w:val="22"/>
        </w:rPr>
        <w:t>A CEB Distribuição S/A, empresa concessionária do serviço público de distribuição de energia elétrica do Distrito Federal, é a principal subsidiária da Companhia Energética de Brasília e responde por cerca de 96% da Receita Bruta do Grupo.</w:t>
      </w:r>
    </w:p>
    <w:p>
      <w:pPr>
        <w:spacing w:line="360" w:lineRule="auto" w:before="119"/>
        <w:ind w:left="139" w:right="137" w:firstLine="708"/>
        <w:jc w:val="both"/>
        <w:rPr>
          <w:rFonts w:ascii="Times New Roman" w:hAnsi="Times New Roman"/>
          <w:sz w:val="22"/>
        </w:rPr>
      </w:pPr>
      <w:r>
        <w:rPr>
          <w:rFonts w:ascii="Times New Roman" w:hAnsi="Times New Roman"/>
          <w:sz w:val="22"/>
        </w:rPr>
        <w:t>Com base nas informações constantes das Demonstrações Financeiras do 3º trimestre do exercício 2018, havia uma expectativa de que a CEB DISTRIBUIÇÃO S.A. teria o resultado do exercício com lucro. Também não foi adequadamente divulgado o nível de endividamento da CEB DIS, em especial quanto ao fato de ter havido no final do exercício a emissão de R$ 250 milhões de reais em debêntures, o que levou a Companhia a um endividamento extremamente elevado.</w:t>
      </w:r>
    </w:p>
    <w:p>
      <w:pPr>
        <w:spacing w:line="360" w:lineRule="auto" w:before="122"/>
        <w:ind w:left="139" w:right="137" w:firstLine="708"/>
        <w:jc w:val="both"/>
        <w:rPr>
          <w:rFonts w:ascii="Times New Roman" w:hAnsi="Times New Roman"/>
          <w:sz w:val="22"/>
        </w:rPr>
      </w:pPr>
      <w:r>
        <w:rPr>
          <w:rFonts w:ascii="Times New Roman" w:hAnsi="Times New Roman"/>
          <w:sz w:val="22"/>
        </w:rPr>
        <w:t>Ao tomar conhecimento, no primeiro trimestre de 2019 da realidade dos números, quando do fechamento do exercício</w:t>
      </w:r>
      <w:r>
        <w:rPr>
          <w:rFonts w:ascii="Times New Roman" w:hAnsi="Times New Roman"/>
          <w:spacing w:val="-17"/>
          <w:sz w:val="22"/>
        </w:rPr>
        <w:t> </w:t>
      </w:r>
      <w:r>
        <w:rPr>
          <w:rFonts w:ascii="Times New Roman" w:hAnsi="Times New Roman"/>
          <w:sz w:val="22"/>
        </w:rPr>
        <w:t>de</w:t>
      </w:r>
      <w:r>
        <w:rPr>
          <w:rFonts w:ascii="Times New Roman" w:hAnsi="Times New Roman"/>
          <w:spacing w:val="-16"/>
          <w:sz w:val="22"/>
        </w:rPr>
        <w:t> </w:t>
      </w:r>
      <w:r>
        <w:rPr>
          <w:rFonts w:ascii="Times New Roman" w:hAnsi="Times New Roman"/>
          <w:sz w:val="22"/>
        </w:rPr>
        <w:t>2018,</w:t>
      </w:r>
      <w:r>
        <w:rPr>
          <w:rFonts w:ascii="Times New Roman" w:hAnsi="Times New Roman"/>
          <w:spacing w:val="-15"/>
          <w:sz w:val="22"/>
        </w:rPr>
        <w:t> </w:t>
      </w:r>
      <w:r>
        <w:rPr>
          <w:rFonts w:ascii="Times New Roman" w:hAnsi="Times New Roman"/>
          <w:sz w:val="22"/>
        </w:rPr>
        <w:t>a</w:t>
      </w:r>
      <w:r>
        <w:rPr>
          <w:rFonts w:ascii="Times New Roman" w:hAnsi="Times New Roman"/>
          <w:spacing w:val="-16"/>
          <w:sz w:val="22"/>
        </w:rPr>
        <w:t> </w:t>
      </w:r>
      <w:r>
        <w:rPr>
          <w:rFonts w:ascii="Times New Roman" w:hAnsi="Times New Roman"/>
          <w:sz w:val="22"/>
        </w:rPr>
        <w:t>atual</w:t>
      </w:r>
      <w:r>
        <w:rPr>
          <w:rFonts w:ascii="Times New Roman" w:hAnsi="Times New Roman"/>
          <w:spacing w:val="-15"/>
          <w:sz w:val="22"/>
        </w:rPr>
        <w:t> </w:t>
      </w:r>
      <w:r>
        <w:rPr>
          <w:rFonts w:ascii="Times New Roman" w:hAnsi="Times New Roman"/>
          <w:sz w:val="22"/>
        </w:rPr>
        <w:t>administração</w:t>
      </w:r>
      <w:r>
        <w:rPr>
          <w:rFonts w:ascii="Times New Roman" w:hAnsi="Times New Roman"/>
          <w:spacing w:val="-15"/>
          <w:sz w:val="22"/>
        </w:rPr>
        <w:t> </w:t>
      </w:r>
      <w:r>
        <w:rPr>
          <w:rFonts w:ascii="Times New Roman" w:hAnsi="Times New Roman"/>
          <w:sz w:val="22"/>
        </w:rPr>
        <w:t>vislumbrou</w:t>
      </w:r>
      <w:r>
        <w:rPr>
          <w:rFonts w:ascii="Times New Roman" w:hAnsi="Times New Roman"/>
          <w:spacing w:val="-14"/>
          <w:sz w:val="22"/>
        </w:rPr>
        <w:t> </w:t>
      </w:r>
      <w:r>
        <w:rPr>
          <w:rFonts w:ascii="Times New Roman" w:hAnsi="Times New Roman"/>
          <w:sz w:val="22"/>
        </w:rPr>
        <w:t>que</w:t>
      </w:r>
      <w:r>
        <w:rPr>
          <w:rFonts w:ascii="Times New Roman" w:hAnsi="Times New Roman"/>
          <w:spacing w:val="-16"/>
          <w:sz w:val="22"/>
        </w:rPr>
        <w:t> </w:t>
      </w:r>
      <w:r>
        <w:rPr>
          <w:rFonts w:ascii="Times New Roman" w:hAnsi="Times New Roman"/>
          <w:sz w:val="22"/>
        </w:rPr>
        <w:t>o</w:t>
      </w:r>
      <w:r>
        <w:rPr>
          <w:rFonts w:ascii="Times New Roman" w:hAnsi="Times New Roman"/>
          <w:spacing w:val="-14"/>
          <w:sz w:val="22"/>
        </w:rPr>
        <w:t> </w:t>
      </w:r>
      <w:r>
        <w:rPr>
          <w:rFonts w:ascii="Times New Roman" w:hAnsi="Times New Roman"/>
          <w:sz w:val="22"/>
        </w:rPr>
        <w:t>desequilibrio</w:t>
      </w:r>
      <w:r>
        <w:rPr>
          <w:rFonts w:ascii="Times New Roman" w:hAnsi="Times New Roman"/>
          <w:spacing w:val="-13"/>
          <w:sz w:val="22"/>
        </w:rPr>
        <w:t> </w:t>
      </w:r>
      <w:r>
        <w:rPr>
          <w:rFonts w:ascii="Times New Roman" w:hAnsi="Times New Roman"/>
          <w:sz w:val="22"/>
        </w:rPr>
        <w:t>econômico-financeiro</w:t>
      </w:r>
      <w:r>
        <w:rPr>
          <w:rFonts w:ascii="Times New Roman" w:hAnsi="Times New Roman"/>
          <w:spacing w:val="-17"/>
          <w:sz w:val="22"/>
        </w:rPr>
        <w:t> </w:t>
      </w:r>
      <w:r>
        <w:rPr>
          <w:rFonts w:ascii="Times New Roman" w:hAnsi="Times New Roman"/>
          <w:sz w:val="22"/>
        </w:rPr>
        <w:t>da</w:t>
      </w:r>
      <w:r>
        <w:rPr>
          <w:rFonts w:ascii="Times New Roman" w:hAnsi="Times New Roman"/>
          <w:spacing w:val="-16"/>
          <w:sz w:val="22"/>
        </w:rPr>
        <w:t> </w:t>
      </w:r>
      <w:r>
        <w:rPr>
          <w:rFonts w:ascii="Times New Roman" w:hAnsi="Times New Roman"/>
          <w:sz w:val="22"/>
        </w:rPr>
        <w:t>CEB-DIS</w:t>
      </w:r>
      <w:r>
        <w:rPr>
          <w:rFonts w:ascii="Times New Roman" w:hAnsi="Times New Roman"/>
          <w:spacing w:val="-14"/>
          <w:sz w:val="22"/>
        </w:rPr>
        <w:t> </w:t>
      </w:r>
      <w:r>
        <w:rPr>
          <w:rFonts w:ascii="Times New Roman" w:hAnsi="Times New Roman"/>
          <w:sz w:val="22"/>
        </w:rPr>
        <w:t>caracterizaria o descumprimento das condições mínimas de sustentabilidade econômico-financeira, indicador relevante para o cumprimento</w:t>
      </w:r>
      <w:r>
        <w:rPr>
          <w:rFonts w:ascii="Times New Roman" w:hAnsi="Times New Roman"/>
          <w:spacing w:val="-5"/>
          <w:sz w:val="22"/>
        </w:rPr>
        <w:t> </w:t>
      </w:r>
      <w:r>
        <w:rPr>
          <w:rFonts w:ascii="Times New Roman" w:hAnsi="Times New Roman"/>
          <w:sz w:val="22"/>
        </w:rPr>
        <w:t>das</w:t>
      </w:r>
      <w:r>
        <w:rPr>
          <w:rFonts w:ascii="Times New Roman" w:hAnsi="Times New Roman"/>
          <w:spacing w:val="-5"/>
          <w:sz w:val="22"/>
        </w:rPr>
        <w:t> </w:t>
      </w:r>
      <w:r>
        <w:rPr>
          <w:rFonts w:ascii="Times New Roman" w:hAnsi="Times New Roman"/>
          <w:sz w:val="22"/>
        </w:rPr>
        <w:t>condições</w:t>
      </w:r>
      <w:r>
        <w:rPr>
          <w:rFonts w:ascii="Times New Roman" w:hAnsi="Times New Roman"/>
          <w:spacing w:val="-3"/>
          <w:sz w:val="22"/>
        </w:rPr>
        <w:t> </w:t>
      </w:r>
      <w:r>
        <w:rPr>
          <w:rFonts w:ascii="Times New Roman" w:hAnsi="Times New Roman"/>
          <w:sz w:val="22"/>
        </w:rPr>
        <w:t>contratuais</w:t>
      </w:r>
      <w:r>
        <w:rPr>
          <w:rFonts w:ascii="Times New Roman" w:hAnsi="Times New Roman"/>
          <w:spacing w:val="-6"/>
          <w:sz w:val="22"/>
        </w:rPr>
        <w:t> </w:t>
      </w:r>
      <w:r>
        <w:rPr>
          <w:rFonts w:ascii="Times New Roman" w:hAnsi="Times New Roman"/>
          <w:sz w:val="22"/>
        </w:rPr>
        <w:t>regulatórias</w:t>
      </w:r>
      <w:r>
        <w:rPr>
          <w:rFonts w:ascii="Times New Roman" w:hAnsi="Times New Roman"/>
          <w:spacing w:val="-5"/>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societárias,</w:t>
      </w:r>
      <w:r>
        <w:rPr>
          <w:rFonts w:ascii="Times New Roman" w:hAnsi="Times New Roman"/>
          <w:spacing w:val="-4"/>
          <w:sz w:val="22"/>
        </w:rPr>
        <w:t> </w:t>
      </w:r>
      <w:r>
        <w:rPr>
          <w:rFonts w:ascii="Times New Roman" w:hAnsi="Times New Roman"/>
          <w:sz w:val="22"/>
        </w:rPr>
        <w:t>do</w:t>
      </w:r>
      <w:r>
        <w:rPr>
          <w:rFonts w:ascii="Times New Roman" w:hAnsi="Times New Roman"/>
          <w:spacing w:val="-4"/>
          <w:sz w:val="22"/>
        </w:rPr>
        <w:t> </w:t>
      </w:r>
      <w:r>
        <w:rPr>
          <w:rFonts w:ascii="Times New Roman" w:hAnsi="Times New Roman"/>
          <w:sz w:val="22"/>
        </w:rPr>
        <w:t>contrato</w:t>
      </w:r>
      <w:r>
        <w:rPr>
          <w:rFonts w:ascii="Times New Roman" w:hAnsi="Times New Roman"/>
          <w:spacing w:val="-4"/>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concessão</w:t>
      </w:r>
      <w:r>
        <w:rPr>
          <w:rFonts w:ascii="Times New Roman" w:hAnsi="Times New Roman"/>
          <w:spacing w:val="-6"/>
          <w:sz w:val="22"/>
        </w:rPr>
        <w:t> </w:t>
      </w:r>
      <w:r>
        <w:rPr>
          <w:rFonts w:ascii="Times New Roman" w:hAnsi="Times New Roman"/>
          <w:sz w:val="22"/>
        </w:rPr>
        <w:t>celebrado</w:t>
      </w:r>
      <w:r>
        <w:rPr>
          <w:rFonts w:ascii="Times New Roman" w:hAnsi="Times New Roman"/>
          <w:spacing w:val="-6"/>
          <w:sz w:val="22"/>
        </w:rPr>
        <w:t> </w:t>
      </w:r>
      <w:r>
        <w:rPr>
          <w:rFonts w:ascii="Times New Roman" w:hAnsi="Times New Roman"/>
          <w:sz w:val="22"/>
        </w:rPr>
        <w:t>com</w:t>
      </w:r>
      <w:r>
        <w:rPr>
          <w:rFonts w:ascii="Times New Roman" w:hAnsi="Times New Roman"/>
          <w:spacing w:val="-7"/>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ANEEL</w:t>
      </w:r>
      <w:r>
        <w:rPr>
          <w:rFonts w:ascii="Times New Roman" w:hAnsi="Times New Roman"/>
          <w:spacing w:val="-4"/>
          <w:sz w:val="22"/>
        </w:rPr>
        <w:t> </w:t>
      </w:r>
      <w:r>
        <w:rPr>
          <w:rFonts w:ascii="Times New Roman" w:hAnsi="Times New Roman"/>
          <w:sz w:val="22"/>
        </w:rPr>
        <w:t>em 2015. Esse fato colocava em risco a continuidade do negócio com a hipótese de caducidade da</w:t>
      </w:r>
      <w:r>
        <w:rPr>
          <w:rFonts w:ascii="Times New Roman" w:hAnsi="Times New Roman"/>
          <w:spacing w:val="-15"/>
          <w:sz w:val="22"/>
        </w:rPr>
        <w:t> </w:t>
      </w:r>
      <w:r>
        <w:rPr>
          <w:rFonts w:ascii="Times New Roman" w:hAnsi="Times New Roman"/>
          <w:sz w:val="22"/>
        </w:rPr>
        <w:t>concessão.</w:t>
      </w:r>
    </w:p>
    <w:p>
      <w:pPr>
        <w:spacing w:line="360" w:lineRule="auto" w:before="121"/>
        <w:ind w:left="139" w:right="136" w:firstLine="708"/>
        <w:jc w:val="both"/>
        <w:rPr>
          <w:rFonts w:ascii="Times New Roman" w:hAnsi="Times New Roman"/>
          <w:sz w:val="22"/>
        </w:rPr>
      </w:pPr>
      <w:r>
        <w:rPr>
          <w:rFonts w:ascii="Times New Roman" w:hAnsi="Times New Roman"/>
          <w:sz w:val="22"/>
        </w:rPr>
        <w:t>Diante dessa realidade, não caberia outra medida para a administração senão rever e implementar alterações significativas na estratégia empresarial então vigente.</w:t>
      </w:r>
    </w:p>
    <w:p>
      <w:pPr>
        <w:spacing w:line="380" w:lineRule="exact" w:before="21"/>
        <w:ind w:left="139" w:right="135" w:firstLine="708"/>
        <w:jc w:val="right"/>
        <w:rPr>
          <w:rFonts w:ascii="Times New Roman" w:hAnsi="Times New Roman"/>
          <w:sz w:val="22"/>
        </w:rPr>
      </w:pPr>
      <w:r>
        <w:rPr/>
        <w:pict>
          <v:rect style="position:absolute;margin-left:44.52pt;margin-top:25.250002pt;width:531.48pt;height:18.984pt;mso-position-horizontal-relative:page;mso-position-vertical-relative:paragraph;z-index:-32485888" filled="true" fillcolor="#ffffff" stroked="false">
            <v:fill type="solid"/>
            <w10:wrap type="none"/>
          </v:rect>
        </w:pict>
      </w:r>
      <w:r>
        <w:rPr>
          <w:rFonts w:ascii="Times New Roman" w:hAnsi="Times New Roman"/>
          <w:sz w:val="22"/>
        </w:rPr>
        <w:t>A situação dos números da CEB – Distribuição demonstrava uma perda significativa de aderência</w:t>
      </w:r>
      <w:r>
        <w:rPr>
          <w:rFonts w:ascii="Times New Roman" w:hAnsi="Times New Roman"/>
          <w:spacing w:val="48"/>
          <w:sz w:val="22"/>
        </w:rPr>
        <w:t> </w:t>
      </w:r>
      <w:r>
        <w:rPr>
          <w:rFonts w:ascii="Times New Roman" w:hAnsi="Times New Roman"/>
          <w:sz w:val="22"/>
        </w:rPr>
        <w:t>às</w:t>
      </w:r>
      <w:r>
        <w:rPr>
          <w:rFonts w:ascii="Times New Roman" w:hAnsi="Times New Roman"/>
          <w:spacing w:val="4"/>
          <w:sz w:val="22"/>
        </w:rPr>
        <w:t> </w:t>
      </w:r>
      <w:r>
        <w:rPr>
          <w:rFonts w:ascii="Times New Roman" w:hAnsi="Times New Roman"/>
          <w:sz w:val="22"/>
        </w:rPr>
        <w:t>premissas</w:t>
      </w:r>
      <w:r>
        <w:rPr>
          <w:rFonts w:ascii="Times New Roman" w:hAnsi="Times New Roman"/>
          <w:w w:val="100"/>
          <w:sz w:val="22"/>
        </w:rPr>
        <w:t> </w:t>
      </w:r>
      <w:r>
        <w:rPr>
          <w:rFonts w:ascii="Times New Roman" w:hAnsi="Times New Roman"/>
          <w:sz w:val="22"/>
        </w:rPr>
        <w:t>que</w:t>
      </w:r>
      <w:r>
        <w:rPr>
          <w:rFonts w:ascii="Times New Roman" w:hAnsi="Times New Roman"/>
          <w:spacing w:val="-13"/>
          <w:sz w:val="22"/>
        </w:rPr>
        <w:t> </w:t>
      </w:r>
      <w:r>
        <w:rPr>
          <w:rFonts w:ascii="Times New Roman" w:hAnsi="Times New Roman"/>
          <w:sz w:val="22"/>
        </w:rPr>
        <w:t>levaram</w:t>
      </w:r>
      <w:r>
        <w:rPr>
          <w:rFonts w:ascii="Times New Roman" w:hAnsi="Times New Roman"/>
          <w:spacing w:val="-16"/>
          <w:sz w:val="22"/>
        </w:rPr>
        <w:t> </w:t>
      </w:r>
      <w:r>
        <w:rPr>
          <w:rFonts w:ascii="Times New Roman" w:hAnsi="Times New Roman"/>
          <w:sz w:val="22"/>
        </w:rPr>
        <w:t>à</w:t>
      </w:r>
      <w:r>
        <w:rPr>
          <w:rFonts w:ascii="Times New Roman" w:hAnsi="Times New Roman"/>
          <w:spacing w:val="-12"/>
          <w:sz w:val="22"/>
        </w:rPr>
        <w:t> </w:t>
      </w:r>
      <w:r>
        <w:rPr>
          <w:rFonts w:ascii="Times New Roman" w:hAnsi="Times New Roman"/>
          <w:sz w:val="22"/>
        </w:rPr>
        <w:t>elaboração</w:t>
      </w:r>
      <w:r>
        <w:rPr>
          <w:rFonts w:ascii="Times New Roman" w:hAnsi="Times New Roman"/>
          <w:spacing w:val="-12"/>
          <w:sz w:val="22"/>
        </w:rPr>
        <w:t> </w:t>
      </w:r>
      <w:r>
        <w:rPr>
          <w:rFonts w:ascii="Times New Roman" w:hAnsi="Times New Roman"/>
          <w:sz w:val="22"/>
        </w:rPr>
        <w:t>e</w:t>
      </w:r>
      <w:r>
        <w:rPr>
          <w:rFonts w:ascii="Times New Roman" w:hAnsi="Times New Roman"/>
          <w:spacing w:val="28"/>
          <w:sz w:val="22"/>
        </w:rPr>
        <w:t> </w:t>
      </w:r>
      <w:r>
        <w:rPr>
          <w:rFonts w:ascii="Times New Roman" w:hAnsi="Times New Roman"/>
          <w:sz w:val="22"/>
        </w:rPr>
        <w:t>aprovação</w:t>
      </w:r>
      <w:r>
        <w:rPr>
          <w:rFonts w:ascii="Times New Roman" w:hAnsi="Times New Roman"/>
          <w:spacing w:val="-13"/>
          <w:sz w:val="22"/>
        </w:rPr>
        <w:t> </w:t>
      </w:r>
      <w:r>
        <w:rPr>
          <w:rFonts w:ascii="Times New Roman" w:hAnsi="Times New Roman"/>
          <w:sz w:val="22"/>
        </w:rPr>
        <w:t>do</w:t>
      </w:r>
      <w:r>
        <w:rPr>
          <w:rFonts w:ascii="Times New Roman" w:hAnsi="Times New Roman"/>
          <w:spacing w:val="-12"/>
          <w:sz w:val="22"/>
        </w:rPr>
        <w:t> </w:t>
      </w:r>
      <w:r>
        <w:rPr>
          <w:rFonts w:ascii="Times New Roman" w:hAnsi="Times New Roman"/>
          <w:sz w:val="22"/>
        </w:rPr>
        <w:t>Plano</w:t>
      </w:r>
      <w:r>
        <w:rPr>
          <w:rFonts w:ascii="Times New Roman" w:hAnsi="Times New Roman"/>
          <w:spacing w:val="-13"/>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Negócios</w:t>
      </w:r>
      <w:r>
        <w:rPr>
          <w:rFonts w:ascii="Times New Roman" w:hAnsi="Times New Roman"/>
          <w:spacing w:val="-13"/>
          <w:sz w:val="22"/>
        </w:rPr>
        <w:t> </w:t>
      </w:r>
      <w:r>
        <w:rPr>
          <w:rFonts w:ascii="Times New Roman" w:hAnsi="Times New Roman"/>
          <w:sz w:val="22"/>
        </w:rPr>
        <w:t>2019-2023</w:t>
      </w:r>
      <w:r>
        <w:rPr>
          <w:rFonts w:ascii="Times New Roman" w:hAnsi="Times New Roman"/>
          <w:spacing w:val="-12"/>
          <w:sz w:val="22"/>
        </w:rPr>
        <w:t> </w:t>
      </w:r>
      <w:r>
        <w:rPr>
          <w:rFonts w:ascii="Times New Roman" w:hAnsi="Times New Roman"/>
          <w:sz w:val="22"/>
        </w:rPr>
        <w:t>da</w:t>
      </w:r>
      <w:r>
        <w:rPr>
          <w:rFonts w:ascii="Times New Roman" w:hAnsi="Times New Roman"/>
          <w:spacing w:val="-13"/>
          <w:sz w:val="22"/>
        </w:rPr>
        <w:t> </w:t>
      </w:r>
      <w:r>
        <w:rPr>
          <w:rFonts w:ascii="Times New Roman" w:hAnsi="Times New Roman"/>
          <w:sz w:val="22"/>
        </w:rPr>
        <w:t>Companhia</w:t>
      </w:r>
      <w:r>
        <w:rPr>
          <w:rFonts w:ascii="Times New Roman" w:hAnsi="Times New Roman"/>
          <w:spacing w:val="-12"/>
          <w:sz w:val="22"/>
        </w:rPr>
        <w:t> </w:t>
      </w:r>
      <w:r>
        <w:rPr>
          <w:rFonts w:ascii="Times New Roman" w:hAnsi="Times New Roman"/>
          <w:sz w:val="22"/>
        </w:rPr>
        <w:t>Energética</w:t>
      </w:r>
      <w:r>
        <w:rPr>
          <w:rFonts w:ascii="Times New Roman" w:hAnsi="Times New Roman"/>
          <w:spacing w:val="-13"/>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Brasília,</w:t>
      </w:r>
      <w:r>
        <w:rPr>
          <w:rFonts w:ascii="Times New Roman" w:hAnsi="Times New Roman"/>
          <w:spacing w:val="-12"/>
          <w:sz w:val="22"/>
        </w:rPr>
        <w:t> </w:t>
      </w:r>
      <w:r>
        <w:rPr>
          <w:rFonts w:ascii="Times New Roman" w:hAnsi="Times New Roman"/>
          <w:sz w:val="22"/>
        </w:rPr>
        <w:t>deliberado</w:t>
      </w:r>
    </w:p>
    <w:p>
      <w:pPr>
        <w:spacing w:before="21"/>
        <w:ind w:left="0" w:right="139" w:firstLine="0"/>
        <w:jc w:val="right"/>
        <w:rPr>
          <w:rFonts w:ascii="Times New Roman"/>
          <w:sz w:val="22"/>
        </w:rPr>
      </w:pPr>
      <w:r>
        <w:rPr>
          <w:rFonts w:ascii="Times New Roman"/>
          <w:w w:val="100"/>
          <w:sz w:val="22"/>
        </w:rPr>
        <w:t>2</w:t>
      </w:r>
    </w:p>
    <w:p>
      <w:pPr>
        <w:spacing w:after="0"/>
        <w:jc w:val="right"/>
        <w:rPr>
          <w:rFonts w:ascii="Times New Roman"/>
          <w:sz w:val="22"/>
        </w:rPr>
        <w:sectPr>
          <w:pgSz w:w="11920" w:h="16860"/>
          <w:pgMar w:top="540" w:bottom="0" w:left="780" w:right="280"/>
        </w:sectPr>
      </w:pPr>
    </w:p>
    <w:p>
      <w:pPr>
        <w:pStyle w:val="BodyText"/>
        <w:ind w:left="516"/>
        <w:rPr>
          <w:rFonts w:ascii="Times New Roman"/>
        </w:rPr>
      </w:pPr>
      <w:r>
        <w:rPr>
          <w:rFonts w:ascii="Times New Roman"/>
        </w:rPr>
        <w:drawing>
          <wp:inline distT="0" distB="0" distL="0" distR="0">
            <wp:extent cx="989985" cy="472249"/>
            <wp:effectExtent l="0" t="0" r="0" b="0"/>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139" w:right="0" w:firstLine="0"/>
        <w:jc w:val="both"/>
        <w:rPr>
          <w:rFonts w:ascii="Times New Roman" w:hAnsi="Times New Roman"/>
          <w:sz w:val="22"/>
        </w:rPr>
      </w:pPr>
      <w:r>
        <w:rPr>
          <w:rFonts w:ascii="Times New Roman" w:hAnsi="Times New Roman"/>
          <w:sz w:val="22"/>
        </w:rPr>
        <w:t>pela então administração em dezembro de 2018. Diante de um cenário diverso das expectativas apresentadas pela</w:t>
      </w:r>
    </w:p>
    <w:p>
      <w:pPr>
        <w:spacing w:line="360" w:lineRule="auto" w:before="126"/>
        <w:ind w:left="139" w:right="138" w:firstLine="0"/>
        <w:jc w:val="both"/>
        <w:rPr>
          <w:rFonts w:ascii="Times New Roman" w:hAnsi="Times New Roman"/>
          <w:sz w:val="22"/>
        </w:rPr>
      </w:pPr>
      <w:r>
        <w:rPr>
          <w:rFonts w:ascii="Times New Roman" w:hAnsi="Times New Roman"/>
          <w:sz w:val="22"/>
        </w:rPr>
        <w:t>administração anterior, não poderiam os administradores adotar medida diversa que não a de promover a revisão do Plano, de forma a preservar os melhores interesses da companhia.</w:t>
      </w:r>
    </w:p>
    <w:p>
      <w:pPr>
        <w:spacing w:line="360" w:lineRule="auto" w:before="120"/>
        <w:ind w:left="139" w:right="134" w:firstLine="708"/>
        <w:jc w:val="both"/>
        <w:rPr>
          <w:rFonts w:ascii="Times New Roman" w:hAnsi="Times New Roman"/>
          <w:sz w:val="22"/>
        </w:rPr>
      </w:pPr>
      <w:r>
        <w:rPr>
          <w:rFonts w:ascii="Times New Roman" w:hAnsi="Times New Roman"/>
          <w:sz w:val="22"/>
        </w:rPr>
        <w:t>Relativamente às garantias contratuais societárias descumpridas, principalmente aquelas relativas à operação, realizada</w:t>
      </w:r>
      <w:r>
        <w:rPr>
          <w:rFonts w:ascii="Times New Roman" w:hAnsi="Times New Roman"/>
          <w:spacing w:val="-10"/>
          <w:sz w:val="22"/>
        </w:rPr>
        <w:t> </w:t>
      </w:r>
      <w:r>
        <w:rPr>
          <w:rFonts w:ascii="Times New Roman" w:hAnsi="Times New Roman"/>
          <w:sz w:val="22"/>
        </w:rPr>
        <w:t>em</w:t>
      </w:r>
      <w:r>
        <w:rPr>
          <w:rFonts w:ascii="Times New Roman" w:hAnsi="Times New Roman"/>
          <w:spacing w:val="-12"/>
          <w:sz w:val="22"/>
        </w:rPr>
        <w:t> </w:t>
      </w:r>
      <w:r>
        <w:rPr>
          <w:rFonts w:ascii="Times New Roman" w:hAnsi="Times New Roman"/>
          <w:sz w:val="22"/>
        </w:rPr>
        <w:t>outubro</w:t>
      </w:r>
      <w:r>
        <w:rPr>
          <w:rFonts w:ascii="Times New Roman" w:hAnsi="Times New Roman"/>
          <w:spacing w:val="-9"/>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2018,</w:t>
      </w:r>
      <w:r>
        <w:rPr>
          <w:rFonts w:ascii="Times New Roman" w:hAnsi="Times New Roman"/>
          <w:spacing w:val="-9"/>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3ª</w:t>
      </w:r>
      <w:r>
        <w:rPr>
          <w:rFonts w:ascii="Times New Roman" w:hAnsi="Times New Roman"/>
          <w:spacing w:val="-12"/>
          <w:sz w:val="22"/>
        </w:rPr>
        <w:t> </w:t>
      </w:r>
      <w:r>
        <w:rPr>
          <w:rFonts w:ascii="Times New Roman" w:hAnsi="Times New Roman"/>
          <w:sz w:val="22"/>
        </w:rPr>
        <w:t>Emissão</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Debêntures</w:t>
      </w:r>
      <w:r>
        <w:rPr>
          <w:rFonts w:ascii="Times New Roman" w:hAnsi="Times New Roman"/>
          <w:spacing w:val="-8"/>
          <w:sz w:val="22"/>
        </w:rPr>
        <w:t> </w:t>
      </w:r>
      <w:r>
        <w:rPr>
          <w:rFonts w:ascii="Times New Roman" w:hAnsi="Times New Roman"/>
          <w:sz w:val="22"/>
        </w:rPr>
        <w:t>Simples,</w:t>
      </w:r>
      <w:r>
        <w:rPr>
          <w:rFonts w:ascii="Times New Roman" w:hAnsi="Times New Roman"/>
          <w:spacing w:val="-9"/>
          <w:sz w:val="22"/>
        </w:rPr>
        <w:t> </w:t>
      </w:r>
      <w:r>
        <w:rPr>
          <w:rFonts w:ascii="Times New Roman" w:hAnsi="Times New Roman"/>
          <w:sz w:val="22"/>
        </w:rPr>
        <w:t>não</w:t>
      </w:r>
      <w:r>
        <w:rPr>
          <w:rFonts w:ascii="Times New Roman" w:hAnsi="Times New Roman"/>
          <w:spacing w:val="-8"/>
          <w:sz w:val="22"/>
        </w:rPr>
        <w:t> </w:t>
      </w:r>
      <w:r>
        <w:rPr>
          <w:rFonts w:ascii="Times New Roman" w:hAnsi="Times New Roman"/>
          <w:sz w:val="22"/>
        </w:rPr>
        <w:t>conversíveis</w:t>
      </w:r>
      <w:r>
        <w:rPr>
          <w:rFonts w:ascii="Times New Roman" w:hAnsi="Times New Roman"/>
          <w:spacing w:val="-8"/>
          <w:sz w:val="22"/>
        </w:rPr>
        <w:t> </w:t>
      </w:r>
      <w:r>
        <w:rPr>
          <w:rFonts w:ascii="Times New Roman" w:hAnsi="Times New Roman"/>
          <w:sz w:val="22"/>
        </w:rPr>
        <w:t>em</w:t>
      </w:r>
      <w:r>
        <w:rPr>
          <w:rFonts w:ascii="Times New Roman" w:hAnsi="Times New Roman"/>
          <w:spacing w:val="-12"/>
          <w:sz w:val="22"/>
        </w:rPr>
        <w:t> </w:t>
      </w:r>
      <w:r>
        <w:rPr>
          <w:rFonts w:ascii="Times New Roman" w:hAnsi="Times New Roman"/>
          <w:sz w:val="22"/>
        </w:rPr>
        <w:t>ações,</w:t>
      </w:r>
      <w:r>
        <w:rPr>
          <w:rFonts w:ascii="Times New Roman" w:hAnsi="Times New Roman"/>
          <w:spacing w:val="-11"/>
          <w:sz w:val="22"/>
        </w:rPr>
        <w:t> </w:t>
      </w:r>
      <w:r>
        <w:rPr>
          <w:rFonts w:ascii="Times New Roman" w:hAnsi="Times New Roman"/>
          <w:sz w:val="22"/>
        </w:rPr>
        <w:t>da</w:t>
      </w:r>
      <w:r>
        <w:rPr>
          <w:rFonts w:ascii="Times New Roman" w:hAnsi="Times New Roman"/>
          <w:spacing w:val="-10"/>
          <w:sz w:val="22"/>
        </w:rPr>
        <w:t> </w:t>
      </w:r>
      <w:r>
        <w:rPr>
          <w:rFonts w:ascii="Times New Roman" w:hAnsi="Times New Roman"/>
          <w:sz w:val="22"/>
        </w:rPr>
        <w:t>espécie</w:t>
      </w:r>
      <w:r>
        <w:rPr>
          <w:rFonts w:ascii="Times New Roman" w:hAnsi="Times New Roman"/>
          <w:spacing w:val="-8"/>
          <w:sz w:val="22"/>
        </w:rPr>
        <w:t> </w:t>
      </w:r>
      <w:r>
        <w:rPr>
          <w:rFonts w:ascii="Times New Roman" w:hAnsi="Times New Roman"/>
          <w:sz w:val="22"/>
        </w:rPr>
        <w:t>com</w:t>
      </w:r>
      <w:r>
        <w:rPr>
          <w:rFonts w:ascii="Times New Roman" w:hAnsi="Times New Roman"/>
          <w:spacing w:val="-10"/>
          <w:sz w:val="22"/>
        </w:rPr>
        <w:t> </w:t>
      </w:r>
      <w:r>
        <w:rPr>
          <w:rFonts w:ascii="Times New Roman" w:hAnsi="Times New Roman"/>
          <w:sz w:val="22"/>
        </w:rPr>
        <w:t>garantia real, em série única, sob coordenação do Banco BocomBBM, foram realizadas negociações com os debenturistas, que deliberaram em assembleia pela concessão de </w:t>
      </w:r>
      <w:r>
        <w:rPr>
          <w:rFonts w:ascii="Times New Roman" w:hAnsi="Times New Roman"/>
          <w:i/>
          <w:sz w:val="22"/>
        </w:rPr>
        <w:t>waiver </w:t>
      </w:r>
      <w:r>
        <w:rPr>
          <w:rFonts w:ascii="Times New Roman" w:hAnsi="Times New Roman"/>
          <w:sz w:val="22"/>
        </w:rPr>
        <w:t>das obrigações não cumpridas, tendo sido renegociadas algumas cláusulas</w:t>
      </w:r>
      <w:r>
        <w:rPr>
          <w:rFonts w:ascii="Times New Roman" w:hAnsi="Times New Roman"/>
          <w:spacing w:val="-4"/>
          <w:sz w:val="22"/>
        </w:rPr>
        <w:t> </w:t>
      </w:r>
      <w:r>
        <w:rPr>
          <w:rFonts w:ascii="Times New Roman" w:hAnsi="Times New Roman"/>
          <w:sz w:val="22"/>
        </w:rPr>
        <w:t>contratuais,</w:t>
      </w:r>
      <w:r>
        <w:rPr>
          <w:rFonts w:ascii="Times New Roman" w:hAnsi="Times New Roman"/>
          <w:spacing w:val="-5"/>
          <w:sz w:val="22"/>
        </w:rPr>
        <w:t> </w:t>
      </w:r>
      <w:r>
        <w:rPr>
          <w:rFonts w:ascii="Times New Roman" w:hAnsi="Times New Roman"/>
          <w:sz w:val="22"/>
        </w:rPr>
        <w:t>mediante</w:t>
      </w:r>
      <w:r>
        <w:rPr>
          <w:rFonts w:ascii="Times New Roman" w:hAnsi="Times New Roman"/>
          <w:spacing w:val="-2"/>
          <w:sz w:val="22"/>
        </w:rPr>
        <w:t> </w:t>
      </w:r>
      <w:r>
        <w:rPr>
          <w:rFonts w:ascii="Times New Roman" w:hAnsi="Times New Roman"/>
          <w:sz w:val="22"/>
        </w:rPr>
        <w:t>o</w:t>
      </w:r>
      <w:r>
        <w:rPr>
          <w:rFonts w:ascii="Times New Roman" w:hAnsi="Times New Roman"/>
          <w:spacing w:val="-5"/>
          <w:sz w:val="22"/>
        </w:rPr>
        <w:t> </w:t>
      </w:r>
      <w:r>
        <w:rPr>
          <w:rFonts w:ascii="Times New Roman" w:hAnsi="Times New Roman"/>
          <w:sz w:val="22"/>
        </w:rPr>
        <w:t>pagamento</w:t>
      </w:r>
      <w:r>
        <w:rPr>
          <w:rFonts w:ascii="Times New Roman" w:hAnsi="Times New Roman"/>
          <w:spacing w:val="-3"/>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um</w:t>
      </w:r>
      <w:r>
        <w:rPr>
          <w:rFonts w:ascii="Times New Roman" w:hAnsi="Times New Roman"/>
          <w:spacing w:val="-6"/>
          <w:sz w:val="22"/>
        </w:rPr>
        <w:t> </w:t>
      </w:r>
      <w:r>
        <w:rPr>
          <w:rFonts w:ascii="Times New Roman" w:hAnsi="Times New Roman"/>
          <w:sz w:val="22"/>
        </w:rPr>
        <w:t>custo</w:t>
      </w:r>
      <w:r>
        <w:rPr>
          <w:rFonts w:ascii="Times New Roman" w:hAnsi="Times New Roman"/>
          <w:spacing w:val="-5"/>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renegociação</w:t>
      </w:r>
      <w:r>
        <w:rPr>
          <w:rFonts w:ascii="Times New Roman" w:hAnsi="Times New Roman"/>
          <w:spacing w:val="-5"/>
          <w:sz w:val="22"/>
        </w:rPr>
        <w:t> </w:t>
      </w:r>
      <w:r>
        <w:rPr>
          <w:rFonts w:ascii="Times New Roman" w:hAnsi="Times New Roman"/>
          <w:sz w:val="22"/>
        </w:rPr>
        <w:t>(</w:t>
      </w:r>
      <w:r>
        <w:rPr>
          <w:rFonts w:ascii="Times New Roman" w:hAnsi="Times New Roman"/>
          <w:i/>
          <w:sz w:val="22"/>
        </w:rPr>
        <w:t>waiver</w:t>
      </w:r>
      <w:r>
        <w:rPr>
          <w:rFonts w:ascii="Times New Roman" w:hAnsi="Times New Roman"/>
          <w:i/>
          <w:spacing w:val="-4"/>
          <w:sz w:val="22"/>
        </w:rPr>
        <w:t> </w:t>
      </w:r>
      <w:r>
        <w:rPr>
          <w:rFonts w:ascii="Times New Roman" w:hAnsi="Times New Roman"/>
          <w:i/>
          <w:sz w:val="22"/>
        </w:rPr>
        <w:t>fee)</w:t>
      </w:r>
      <w:r>
        <w:rPr>
          <w:rFonts w:ascii="Times New Roman" w:hAnsi="Times New Roman"/>
          <w:i/>
          <w:spacing w:val="-4"/>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1%</w:t>
      </w:r>
      <w:r>
        <w:rPr>
          <w:rFonts w:ascii="Times New Roman" w:hAnsi="Times New Roman"/>
          <w:spacing w:val="-4"/>
          <w:sz w:val="22"/>
        </w:rPr>
        <w:t> </w:t>
      </w:r>
      <w:r>
        <w:rPr>
          <w:rFonts w:ascii="Times New Roman" w:hAnsi="Times New Roman"/>
          <w:sz w:val="22"/>
        </w:rPr>
        <w:t>sobre</w:t>
      </w:r>
      <w:r>
        <w:rPr>
          <w:rFonts w:ascii="Times New Roman" w:hAnsi="Times New Roman"/>
          <w:spacing w:val="-5"/>
          <w:sz w:val="22"/>
        </w:rPr>
        <w:t> </w:t>
      </w:r>
      <w:r>
        <w:rPr>
          <w:rFonts w:ascii="Times New Roman" w:hAnsi="Times New Roman"/>
          <w:sz w:val="22"/>
        </w:rPr>
        <w:t>o</w:t>
      </w:r>
      <w:r>
        <w:rPr>
          <w:rFonts w:ascii="Times New Roman" w:hAnsi="Times New Roman"/>
          <w:spacing w:val="-5"/>
          <w:sz w:val="22"/>
        </w:rPr>
        <w:t> </w:t>
      </w:r>
      <w:r>
        <w:rPr>
          <w:rFonts w:ascii="Times New Roman" w:hAnsi="Times New Roman"/>
          <w:sz w:val="22"/>
        </w:rPr>
        <w:t>saldo</w:t>
      </w:r>
      <w:r>
        <w:rPr>
          <w:rFonts w:ascii="Times New Roman" w:hAnsi="Times New Roman"/>
          <w:spacing w:val="-3"/>
          <w:sz w:val="22"/>
        </w:rPr>
        <w:t> </w:t>
      </w:r>
      <w:r>
        <w:rPr>
          <w:rFonts w:ascii="Times New Roman" w:hAnsi="Times New Roman"/>
          <w:sz w:val="22"/>
        </w:rPr>
        <w:t>da</w:t>
      </w:r>
      <w:r>
        <w:rPr>
          <w:rFonts w:ascii="Times New Roman" w:hAnsi="Times New Roman"/>
          <w:spacing w:val="-5"/>
          <w:sz w:val="22"/>
        </w:rPr>
        <w:t> </w:t>
      </w:r>
      <w:r>
        <w:rPr>
          <w:rFonts w:ascii="Times New Roman" w:hAnsi="Times New Roman"/>
          <w:sz w:val="22"/>
        </w:rPr>
        <w:t>operação.</w:t>
      </w:r>
    </w:p>
    <w:p>
      <w:pPr>
        <w:spacing w:line="360" w:lineRule="auto" w:before="121"/>
        <w:ind w:left="139" w:right="136" w:firstLine="708"/>
        <w:jc w:val="both"/>
        <w:rPr>
          <w:rFonts w:ascii="Times New Roman" w:hAnsi="Times New Roman"/>
          <w:sz w:val="22"/>
        </w:rPr>
      </w:pPr>
      <w:r>
        <w:rPr>
          <w:rFonts w:ascii="Times New Roman" w:hAnsi="Times New Roman"/>
          <w:sz w:val="22"/>
        </w:rPr>
        <w:t>Diante da situação de forte desequilíbrio econômico-financeiro da CEB Distribuição S/A, a Companhia Energética de Brasília realizou um aporte de R$ 81.173 mil, em 28/06/2019, para a melhoria da situação econômico- financeira, conforme recomendado pela Agência Nacional de Energia Elétrica – ANEEL.</w:t>
      </w:r>
    </w:p>
    <w:p>
      <w:pPr>
        <w:spacing w:line="360" w:lineRule="auto" w:before="120"/>
        <w:ind w:left="139" w:right="137" w:firstLine="708"/>
        <w:jc w:val="both"/>
        <w:rPr>
          <w:rFonts w:ascii="Times New Roman" w:hAnsi="Times New Roman"/>
          <w:sz w:val="22"/>
        </w:rPr>
      </w:pPr>
      <w:r>
        <w:rPr>
          <w:rFonts w:ascii="Times New Roman" w:hAnsi="Times New Roman"/>
          <w:sz w:val="22"/>
        </w:rPr>
        <w:t>Adicionalmente, considerando a necessidade de mitigar o risco de quebra de garantias contratuais regulatórias pelo</w:t>
      </w:r>
      <w:r>
        <w:rPr>
          <w:rFonts w:ascii="Times New Roman" w:hAnsi="Times New Roman"/>
          <w:spacing w:val="-11"/>
          <w:sz w:val="22"/>
        </w:rPr>
        <w:t> </w:t>
      </w:r>
      <w:r>
        <w:rPr>
          <w:rFonts w:ascii="Times New Roman" w:hAnsi="Times New Roman"/>
          <w:sz w:val="22"/>
        </w:rPr>
        <w:t>segundo</w:t>
      </w:r>
      <w:r>
        <w:rPr>
          <w:rFonts w:ascii="Times New Roman" w:hAnsi="Times New Roman"/>
          <w:spacing w:val="-9"/>
          <w:sz w:val="22"/>
        </w:rPr>
        <w:t> </w:t>
      </w:r>
      <w:r>
        <w:rPr>
          <w:rFonts w:ascii="Times New Roman" w:hAnsi="Times New Roman"/>
          <w:sz w:val="22"/>
        </w:rPr>
        <w:t>ano</w:t>
      </w:r>
      <w:r>
        <w:rPr>
          <w:rFonts w:ascii="Times New Roman" w:hAnsi="Times New Roman"/>
          <w:spacing w:val="-9"/>
          <w:sz w:val="22"/>
        </w:rPr>
        <w:t> </w:t>
      </w:r>
      <w:r>
        <w:rPr>
          <w:rFonts w:ascii="Times New Roman" w:hAnsi="Times New Roman"/>
          <w:sz w:val="22"/>
        </w:rPr>
        <w:t>consecutivo,</w:t>
      </w:r>
      <w:r>
        <w:rPr>
          <w:rFonts w:ascii="Times New Roman" w:hAnsi="Times New Roman"/>
          <w:spacing w:val="-8"/>
          <w:sz w:val="22"/>
        </w:rPr>
        <w:t> </w:t>
      </w:r>
      <w:r>
        <w:rPr>
          <w:rFonts w:ascii="Times New Roman" w:hAnsi="Times New Roman"/>
          <w:sz w:val="22"/>
        </w:rPr>
        <w:t>em</w:t>
      </w:r>
      <w:r>
        <w:rPr>
          <w:rFonts w:ascii="Times New Roman" w:hAnsi="Times New Roman"/>
          <w:spacing w:val="-12"/>
          <w:sz w:val="22"/>
        </w:rPr>
        <w:t> </w:t>
      </w:r>
      <w:r>
        <w:rPr>
          <w:rFonts w:ascii="Times New Roman" w:hAnsi="Times New Roman"/>
          <w:sz w:val="22"/>
        </w:rPr>
        <w:t>2019,</w:t>
      </w:r>
      <w:r>
        <w:rPr>
          <w:rFonts w:ascii="Times New Roman" w:hAnsi="Times New Roman"/>
          <w:spacing w:val="-9"/>
          <w:sz w:val="22"/>
        </w:rPr>
        <w:t> </w:t>
      </w:r>
      <w:r>
        <w:rPr>
          <w:rFonts w:ascii="Times New Roman" w:hAnsi="Times New Roman"/>
          <w:sz w:val="22"/>
        </w:rPr>
        <w:t>e</w:t>
      </w:r>
      <w:r>
        <w:rPr>
          <w:rFonts w:ascii="Times New Roman" w:hAnsi="Times New Roman"/>
          <w:spacing w:val="-7"/>
          <w:sz w:val="22"/>
        </w:rPr>
        <w:t> </w:t>
      </w:r>
      <w:r>
        <w:rPr>
          <w:rFonts w:ascii="Times New Roman" w:hAnsi="Times New Roman"/>
          <w:sz w:val="22"/>
        </w:rPr>
        <w:t>evitar</w:t>
      </w:r>
      <w:r>
        <w:rPr>
          <w:rFonts w:ascii="Times New Roman" w:hAnsi="Times New Roman"/>
          <w:spacing w:val="-10"/>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abertura</w:t>
      </w:r>
      <w:r>
        <w:rPr>
          <w:rFonts w:ascii="Times New Roman" w:hAnsi="Times New Roman"/>
          <w:spacing w:val="-10"/>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processo</w:t>
      </w:r>
      <w:r>
        <w:rPr>
          <w:rFonts w:ascii="Times New Roman" w:hAnsi="Times New Roman"/>
          <w:spacing w:val="-7"/>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caducidade</w:t>
      </w:r>
      <w:r>
        <w:rPr>
          <w:rFonts w:ascii="Times New Roman" w:hAnsi="Times New Roman"/>
          <w:spacing w:val="-8"/>
          <w:sz w:val="22"/>
        </w:rPr>
        <w:t> </w:t>
      </w:r>
      <w:r>
        <w:rPr>
          <w:rFonts w:ascii="Times New Roman" w:hAnsi="Times New Roman"/>
          <w:sz w:val="22"/>
        </w:rPr>
        <w:t>da</w:t>
      </w:r>
      <w:r>
        <w:rPr>
          <w:rFonts w:ascii="Times New Roman" w:hAnsi="Times New Roman"/>
          <w:spacing w:val="-11"/>
          <w:sz w:val="22"/>
        </w:rPr>
        <w:t> </w:t>
      </w:r>
      <w:r>
        <w:rPr>
          <w:rFonts w:ascii="Times New Roman" w:hAnsi="Times New Roman"/>
          <w:sz w:val="22"/>
        </w:rPr>
        <w:t>concessão</w:t>
      </w:r>
      <w:r>
        <w:rPr>
          <w:rFonts w:ascii="Times New Roman" w:hAnsi="Times New Roman"/>
          <w:spacing w:val="-7"/>
          <w:sz w:val="22"/>
        </w:rPr>
        <w:t> </w:t>
      </w:r>
      <w:r>
        <w:rPr>
          <w:rFonts w:ascii="Times New Roman" w:hAnsi="Times New Roman"/>
          <w:sz w:val="22"/>
        </w:rPr>
        <w:t>da</w:t>
      </w:r>
      <w:r>
        <w:rPr>
          <w:rFonts w:ascii="Times New Roman" w:hAnsi="Times New Roman"/>
          <w:spacing w:val="-8"/>
          <w:sz w:val="22"/>
        </w:rPr>
        <w:t> </w:t>
      </w:r>
      <w:r>
        <w:rPr>
          <w:rFonts w:ascii="Times New Roman" w:hAnsi="Times New Roman"/>
          <w:sz w:val="22"/>
        </w:rPr>
        <w:t>CEB</w:t>
      </w:r>
      <w:r>
        <w:rPr>
          <w:rFonts w:ascii="Times New Roman" w:hAnsi="Times New Roman"/>
          <w:spacing w:val="-10"/>
          <w:sz w:val="22"/>
        </w:rPr>
        <w:t> </w:t>
      </w:r>
      <w:r>
        <w:rPr>
          <w:rFonts w:ascii="Times New Roman" w:hAnsi="Times New Roman"/>
          <w:sz w:val="22"/>
        </w:rPr>
        <w:t>Distribuição S/A, a Assembleia Geral Extraordinária – AGE da Companhia Energética de Brasília – CEB, em 19 de junho de 2019, deliberou por alterar as estratégias definidas no Plano de Negócios 2019-2023 da CEB, relativas à alienação das participações em sociedades geradoras de energia para capitalizar a CEB Distribuição S/A, e determinou a realização de estudos para transferência do controle societário da CEB Distribuição S/A para a iniciativa privada, conforme fato relevante comunicado ao mercado, em 14 de maio de</w:t>
      </w:r>
      <w:r>
        <w:rPr>
          <w:rFonts w:ascii="Times New Roman" w:hAnsi="Times New Roman"/>
          <w:spacing w:val="-7"/>
          <w:sz w:val="22"/>
        </w:rPr>
        <w:t> </w:t>
      </w:r>
      <w:r>
        <w:rPr>
          <w:rFonts w:ascii="Times New Roman" w:hAnsi="Times New Roman"/>
          <w:sz w:val="22"/>
        </w:rPr>
        <w:t>2019.</w:t>
      </w:r>
    </w:p>
    <w:p>
      <w:pPr>
        <w:spacing w:line="360" w:lineRule="auto" w:before="120"/>
        <w:ind w:left="139" w:right="136" w:firstLine="708"/>
        <w:jc w:val="both"/>
        <w:rPr>
          <w:rFonts w:ascii="Times New Roman" w:hAnsi="Times New Roman"/>
          <w:sz w:val="22"/>
        </w:rPr>
      </w:pPr>
      <w:r>
        <w:rPr>
          <w:rFonts w:ascii="Times New Roman" w:hAnsi="Times New Roman"/>
          <w:sz w:val="22"/>
        </w:rPr>
        <w:t>Pela análise realizada pela Diretoria Financeira e Gestão de Riscos da CEB DIS, a venda de todos os ativos daquela</w:t>
      </w:r>
      <w:r>
        <w:rPr>
          <w:rFonts w:ascii="Times New Roman" w:hAnsi="Times New Roman"/>
          <w:spacing w:val="-11"/>
          <w:sz w:val="22"/>
        </w:rPr>
        <w:t> </w:t>
      </w:r>
      <w:r>
        <w:rPr>
          <w:rFonts w:ascii="Times New Roman" w:hAnsi="Times New Roman"/>
          <w:sz w:val="22"/>
        </w:rPr>
        <w:t>Companhia,</w:t>
      </w:r>
      <w:r>
        <w:rPr>
          <w:rFonts w:ascii="Times New Roman" w:hAnsi="Times New Roman"/>
          <w:spacing w:val="-11"/>
          <w:sz w:val="22"/>
        </w:rPr>
        <w:t> </w:t>
      </w:r>
      <w:r>
        <w:rPr>
          <w:rFonts w:ascii="Times New Roman" w:hAnsi="Times New Roman"/>
          <w:sz w:val="22"/>
        </w:rPr>
        <w:t>sejam</w:t>
      </w:r>
      <w:r>
        <w:rPr>
          <w:rFonts w:ascii="Times New Roman" w:hAnsi="Times New Roman"/>
          <w:spacing w:val="-14"/>
          <w:sz w:val="22"/>
        </w:rPr>
        <w:t> </w:t>
      </w:r>
      <w:r>
        <w:rPr>
          <w:rFonts w:ascii="Times New Roman" w:hAnsi="Times New Roman"/>
          <w:sz w:val="22"/>
        </w:rPr>
        <w:t>as</w:t>
      </w:r>
      <w:r>
        <w:rPr>
          <w:rFonts w:ascii="Times New Roman" w:hAnsi="Times New Roman"/>
          <w:spacing w:val="-10"/>
          <w:sz w:val="22"/>
        </w:rPr>
        <w:t> </w:t>
      </w:r>
      <w:r>
        <w:rPr>
          <w:rFonts w:ascii="Times New Roman" w:hAnsi="Times New Roman"/>
          <w:sz w:val="22"/>
        </w:rPr>
        <w:t>participações</w:t>
      </w:r>
      <w:r>
        <w:rPr>
          <w:rFonts w:ascii="Times New Roman" w:hAnsi="Times New Roman"/>
          <w:spacing w:val="-10"/>
          <w:sz w:val="22"/>
        </w:rPr>
        <w:t> </w:t>
      </w:r>
      <w:r>
        <w:rPr>
          <w:rFonts w:ascii="Times New Roman" w:hAnsi="Times New Roman"/>
          <w:sz w:val="22"/>
        </w:rPr>
        <w:t>societárias</w:t>
      </w:r>
      <w:r>
        <w:rPr>
          <w:rFonts w:ascii="Times New Roman" w:hAnsi="Times New Roman"/>
          <w:spacing w:val="-10"/>
          <w:sz w:val="22"/>
        </w:rPr>
        <w:t> </w:t>
      </w:r>
      <w:r>
        <w:rPr>
          <w:rFonts w:ascii="Times New Roman" w:hAnsi="Times New Roman"/>
          <w:sz w:val="22"/>
        </w:rPr>
        <w:t>ou</w:t>
      </w:r>
      <w:r>
        <w:rPr>
          <w:rFonts w:ascii="Times New Roman" w:hAnsi="Times New Roman"/>
          <w:spacing w:val="-11"/>
          <w:sz w:val="22"/>
        </w:rPr>
        <w:t> </w:t>
      </w:r>
      <w:r>
        <w:rPr>
          <w:rFonts w:ascii="Times New Roman" w:hAnsi="Times New Roman"/>
          <w:sz w:val="22"/>
        </w:rPr>
        <w:t>os</w:t>
      </w:r>
      <w:r>
        <w:rPr>
          <w:rFonts w:ascii="Times New Roman" w:hAnsi="Times New Roman"/>
          <w:spacing w:val="-11"/>
          <w:sz w:val="22"/>
        </w:rPr>
        <w:t> </w:t>
      </w:r>
      <w:r>
        <w:rPr>
          <w:rFonts w:ascii="Times New Roman" w:hAnsi="Times New Roman"/>
          <w:sz w:val="22"/>
        </w:rPr>
        <w:t>ativos</w:t>
      </w:r>
      <w:r>
        <w:rPr>
          <w:rFonts w:ascii="Times New Roman" w:hAnsi="Times New Roman"/>
          <w:spacing w:val="-10"/>
          <w:sz w:val="22"/>
        </w:rPr>
        <w:t> </w:t>
      </w:r>
      <w:r>
        <w:rPr>
          <w:rFonts w:ascii="Times New Roman" w:hAnsi="Times New Roman"/>
          <w:sz w:val="22"/>
        </w:rPr>
        <w:t>imobiliários,</w:t>
      </w:r>
      <w:r>
        <w:rPr>
          <w:rFonts w:ascii="Times New Roman" w:hAnsi="Times New Roman"/>
          <w:spacing w:val="-10"/>
          <w:sz w:val="22"/>
        </w:rPr>
        <w:t> </w:t>
      </w:r>
      <w:r>
        <w:rPr>
          <w:rFonts w:ascii="Times New Roman" w:hAnsi="Times New Roman"/>
          <w:sz w:val="22"/>
        </w:rPr>
        <w:t>reduziria</w:t>
      </w:r>
      <w:r>
        <w:rPr>
          <w:rFonts w:ascii="Times New Roman" w:hAnsi="Times New Roman"/>
          <w:spacing w:val="-11"/>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dívida</w:t>
      </w:r>
      <w:r>
        <w:rPr>
          <w:rFonts w:ascii="Times New Roman" w:hAnsi="Times New Roman"/>
          <w:spacing w:val="-10"/>
          <w:sz w:val="22"/>
        </w:rPr>
        <w:t> </w:t>
      </w:r>
      <w:r>
        <w:rPr>
          <w:rFonts w:ascii="Times New Roman" w:hAnsi="Times New Roman"/>
          <w:sz w:val="22"/>
        </w:rPr>
        <w:t>bruta</w:t>
      </w:r>
      <w:r>
        <w:rPr>
          <w:rFonts w:ascii="Times New Roman" w:hAnsi="Times New Roman"/>
          <w:spacing w:val="-11"/>
          <w:sz w:val="22"/>
        </w:rPr>
        <w:t> </w:t>
      </w:r>
      <w:r>
        <w:rPr>
          <w:rFonts w:ascii="Times New Roman" w:hAnsi="Times New Roman"/>
          <w:sz w:val="22"/>
        </w:rPr>
        <w:t>da</w:t>
      </w:r>
      <w:r>
        <w:rPr>
          <w:rFonts w:ascii="Times New Roman" w:hAnsi="Times New Roman"/>
          <w:spacing w:val="-11"/>
          <w:sz w:val="22"/>
        </w:rPr>
        <w:t> </w:t>
      </w:r>
      <w:r>
        <w:rPr>
          <w:rFonts w:ascii="Times New Roman" w:hAnsi="Times New Roman"/>
          <w:sz w:val="22"/>
        </w:rPr>
        <w:t>empresa,</w:t>
      </w:r>
      <w:r>
        <w:rPr>
          <w:rFonts w:ascii="Times New Roman" w:hAnsi="Times New Roman"/>
          <w:spacing w:val="-11"/>
          <w:sz w:val="22"/>
        </w:rPr>
        <w:t> </w:t>
      </w:r>
      <w:r>
        <w:rPr>
          <w:rFonts w:ascii="Times New Roman" w:hAnsi="Times New Roman"/>
          <w:sz w:val="22"/>
        </w:rPr>
        <w:t>mas as projeções indicavam que, mesmo com a venda de ativos e redução da dívida, a empresa não alcançaria o necessário equilíbrio</w:t>
      </w:r>
      <w:r>
        <w:rPr>
          <w:rFonts w:ascii="Times New Roman" w:hAnsi="Times New Roman"/>
          <w:spacing w:val="-10"/>
          <w:sz w:val="22"/>
        </w:rPr>
        <w:t> </w:t>
      </w:r>
      <w:r>
        <w:rPr>
          <w:rFonts w:ascii="Times New Roman" w:hAnsi="Times New Roman"/>
          <w:sz w:val="22"/>
        </w:rPr>
        <w:t>entre</w:t>
      </w:r>
      <w:r>
        <w:rPr>
          <w:rFonts w:ascii="Times New Roman" w:hAnsi="Times New Roman"/>
          <w:spacing w:val="-12"/>
          <w:sz w:val="22"/>
        </w:rPr>
        <w:t> </w:t>
      </w:r>
      <w:r>
        <w:rPr>
          <w:rFonts w:ascii="Times New Roman" w:hAnsi="Times New Roman"/>
          <w:sz w:val="22"/>
        </w:rPr>
        <w:t>as</w:t>
      </w:r>
      <w:r>
        <w:rPr>
          <w:rFonts w:ascii="Times New Roman" w:hAnsi="Times New Roman"/>
          <w:spacing w:val="-11"/>
          <w:sz w:val="22"/>
        </w:rPr>
        <w:t> </w:t>
      </w:r>
      <w:r>
        <w:rPr>
          <w:rFonts w:ascii="Times New Roman" w:hAnsi="Times New Roman"/>
          <w:sz w:val="22"/>
        </w:rPr>
        <w:t>receitas</w:t>
      </w:r>
      <w:r>
        <w:rPr>
          <w:rFonts w:ascii="Times New Roman" w:hAnsi="Times New Roman"/>
          <w:spacing w:val="-8"/>
          <w:sz w:val="22"/>
        </w:rPr>
        <w:t> </w:t>
      </w:r>
      <w:r>
        <w:rPr>
          <w:rFonts w:ascii="Times New Roman" w:hAnsi="Times New Roman"/>
          <w:sz w:val="22"/>
        </w:rPr>
        <w:t>e</w:t>
      </w:r>
      <w:r>
        <w:rPr>
          <w:rFonts w:ascii="Times New Roman" w:hAnsi="Times New Roman"/>
          <w:spacing w:val="-12"/>
          <w:sz w:val="22"/>
        </w:rPr>
        <w:t> </w:t>
      </w:r>
      <w:r>
        <w:rPr>
          <w:rFonts w:ascii="Times New Roman" w:hAnsi="Times New Roman"/>
          <w:sz w:val="22"/>
        </w:rPr>
        <w:t>despesas,</w:t>
      </w:r>
      <w:r>
        <w:rPr>
          <w:rFonts w:ascii="Times New Roman" w:hAnsi="Times New Roman"/>
          <w:spacing w:val="-9"/>
          <w:sz w:val="22"/>
        </w:rPr>
        <w:t> </w:t>
      </w:r>
      <w:r>
        <w:rPr>
          <w:rFonts w:ascii="Times New Roman" w:hAnsi="Times New Roman"/>
          <w:sz w:val="22"/>
        </w:rPr>
        <w:t>o</w:t>
      </w:r>
      <w:r>
        <w:rPr>
          <w:rFonts w:ascii="Times New Roman" w:hAnsi="Times New Roman"/>
          <w:spacing w:val="-9"/>
          <w:sz w:val="22"/>
        </w:rPr>
        <w:t> </w:t>
      </w:r>
      <w:r>
        <w:rPr>
          <w:rFonts w:ascii="Times New Roman" w:hAnsi="Times New Roman"/>
          <w:sz w:val="22"/>
        </w:rPr>
        <w:t>que</w:t>
      </w:r>
      <w:r>
        <w:rPr>
          <w:rFonts w:ascii="Times New Roman" w:hAnsi="Times New Roman"/>
          <w:spacing w:val="-9"/>
          <w:sz w:val="22"/>
        </w:rPr>
        <w:t> </w:t>
      </w:r>
      <w:r>
        <w:rPr>
          <w:rFonts w:ascii="Times New Roman" w:hAnsi="Times New Roman"/>
          <w:sz w:val="22"/>
        </w:rPr>
        <w:t>geraria</w:t>
      </w:r>
      <w:r>
        <w:rPr>
          <w:rFonts w:ascii="Times New Roman" w:hAnsi="Times New Roman"/>
          <w:spacing w:val="-11"/>
          <w:sz w:val="22"/>
        </w:rPr>
        <w:t> </w:t>
      </w:r>
      <w:r>
        <w:rPr>
          <w:rFonts w:ascii="Times New Roman" w:hAnsi="Times New Roman"/>
          <w:sz w:val="22"/>
        </w:rPr>
        <w:t>a</w:t>
      </w:r>
      <w:r>
        <w:rPr>
          <w:rFonts w:ascii="Times New Roman" w:hAnsi="Times New Roman"/>
          <w:spacing w:val="-9"/>
          <w:sz w:val="22"/>
        </w:rPr>
        <w:t> </w:t>
      </w:r>
      <w:r>
        <w:rPr>
          <w:rFonts w:ascii="Times New Roman" w:hAnsi="Times New Roman"/>
          <w:sz w:val="22"/>
        </w:rPr>
        <w:t>necessidade,</w:t>
      </w:r>
      <w:r>
        <w:rPr>
          <w:rFonts w:ascii="Times New Roman" w:hAnsi="Times New Roman"/>
          <w:spacing w:val="-11"/>
          <w:sz w:val="22"/>
        </w:rPr>
        <w:t> </w:t>
      </w:r>
      <w:r>
        <w:rPr>
          <w:rFonts w:ascii="Times New Roman" w:hAnsi="Times New Roman"/>
          <w:sz w:val="22"/>
        </w:rPr>
        <w:t>a</w:t>
      </w:r>
      <w:r>
        <w:rPr>
          <w:rFonts w:ascii="Times New Roman" w:hAnsi="Times New Roman"/>
          <w:spacing w:val="-9"/>
          <w:sz w:val="22"/>
        </w:rPr>
        <w:t> </w:t>
      </w:r>
      <w:r>
        <w:rPr>
          <w:rFonts w:ascii="Times New Roman" w:hAnsi="Times New Roman"/>
          <w:sz w:val="22"/>
        </w:rPr>
        <w:t>médio</w:t>
      </w:r>
      <w:r>
        <w:rPr>
          <w:rFonts w:ascii="Times New Roman" w:hAnsi="Times New Roman"/>
          <w:spacing w:val="-12"/>
          <w:sz w:val="22"/>
        </w:rPr>
        <w:t> </w:t>
      </w:r>
      <w:r>
        <w:rPr>
          <w:rFonts w:ascii="Times New Roman" w:hAnsi="Times New Roman"/>
          <w:sz w:val="22"/>
        </w:rPr>
        <w:t>prazo,</w:t>
      </w:r>
      <w:r>
        <w:rPr>
          <w:rFonts w:ascii="Times New Roman" w:hAnsi="Times New Roman"/>
          <w:spacing w:val="-8"/>
          <w:sz w:val="22"/>
        </w:rPr>
        <w:t> </w:t>
      </w:r>
      <w:r>
        <w:rPr>
          <w:rFonts w:ascii="Times New Roman" w:hAnsi="Times New Roman"/>
          <w:sz w:val="22"/>
        </w:rPr>
        <w:t>de</w:t>
      </w:r>
      <w:r>
        <w:rPr>
          <w:rFonts w:ascii="Times New Roman" w:hAnsi="Times New Roman"/>
          <w:spacing w:val="-9"/>
          <w:sz w:val="22"/>
        </w:rPr>
        <w:t> </w:t>
      </w:r>
      <w:r>
        <w:rPr>
          <w:rFonts w:ascii="Times New Roman" w:hAnsi="Times New Roman"/>
          <w:sz w:val="22"/>
        </w:rPr>
        <w:t>novos</w:t>
      </w:r>
      <w:r>
        <w:rPr>
          <w:rFonts w:ascii="Times New Roman" w:hAnsi="Times New Roman"/>
          <w:spacing w:val="-11"/>
          <w:sz w:val="22"/>
        </w:rPr>
        <w:t> </w:t>
      </w:r>
      <w:r>
        <w:rPr>
          <w:rFonts w:ascii="Times New Roman" w:hAnsi="Times New Roman"/>
          <w:sz w:val="22"/>
        </w:rPr>
        <w:t>e</w:t>
      </w:r>
      <w:r>
        <w:rPr>
          <w:rFonts w:ascii="Times New Roman" w:hAnsi="Times New Roman"/>
          <w:spacing w:val="-9"/>
          <w:sz w:val="22"/>
        </w:rPr>
        <w:t> </w:t>
      </w:r>
      <w:r>
        <w:rPr>
          <w:rFonts w:ascii="Times New Roman" w:hAnsi="Times New Roman"/>
          <w:sz w:val="22"/>
        </w:rPr>
        <w:t>vultosos</w:t>
      </w:r>
      <w:r>
        <w:rPr>
          <w:rFonts w:ascii="Times New Roman" w:hAnsi="Times New Roman"/>
          <w:spacing w:val="-8"/>
          <w:sz w:val="22"/>
        </w:rPr>
        <w:t> </w:t>
      </w:r>
      <w:r>
        <w:rPr>
          <w:rFonts w:ascii="Times New Roman" w:hAnsi="Times New Roman"/>
          <w:sz w:val="22"/>
        </w:rPr>
        <w:t>aportes</w:t>
      </w:r>
      <w:r>
        <w:rPr>
          <w:rFonts w:ascii="Times New Roman" w:hAnsi="Times New Roman"/>
          <w:spacing w:val="-11"/>
          <w:sz w:val="22"/>
        </w:rPr>
        <w:t> </w:t>
      </w:r>
      <w:r>
        <w:rPr>
          <w:rFonts w:ascii="Times New Roman" w:hAnsi="Times New Roman"/>
          <w:sz w:val="22"/>
        </w:rPr>
        <w:t>financeiros da acionista</w:t>
      </w:r>
      <w:r>
        <w:rPr>
          <w:rFonts w:ascii="Times New Roman" w:hAnsi="Times New Roman"/>
          <w:spacing w:val="-1"/>
          <w:sz w:val="22"/>
        </w:rPr>
        <w:t> </w:t>
      </w:r>
      <w:r>
        <w:rPr>
          <w:rFonts w:ascii="Times New Roman" w:hAnsi="Times New Roman"/>
          <w:sz w:val="22"/>
        </w:rPr>
        <w:t>controladora.</w:t>
      </w:r>
    </w:p>
    <w:p>
      <w:pPr>
        <w:spacing w:line="360" w:lineRule="auto" w:before="119"/>
        <w:ind w:left="139" w:right="137" w:firstLine="708"/>
        <w:jc w:val="both"/>
        <w:rPr>
          <w:rFonts w:ascii="Times New Roman" w:hAnsi="Times New Roman"/>
          <w:sz w:val="22"/>
        </w:rPr>
      </w:pPr>
      <w:r>
        <w:rPr>
          <w:rFonts w:ascii="Times New Roman" w:hAnsi="Times New Roman"/>
          <w:sz w:val="22"/>
        </w:rPr>
        <w:t>A</w:t>
      </w:r>
      <w:r>
        <w:rPr>
          <w:rFonts w:ascii="Times New Roman" w:hAnsi="Times New Roman"/>
          <w:spacing w:val="-11"/>
          <w:sz w:val="22"/>
        </w:rPr>
        <w:t> </w:t>
      </w:r>
      <w:r>
        <w:rPr>
          <w:rFonts w:ascii="Times New Roman" w:hAnsi="Times New Roman"/>
          <w:sz w:val="22"/>
        </w:rPr>
        <w:t>situação</w:t>
      </w:r>
      <w:r>
        <w:rPr>
          <w:rFonts w:ascii="Times New Roman" w:hAnsi="Times New Roman"/>
          <w:spacing w:val="-9"/>
          <w:sz w:val="22"/>
        </w:rPr>
        <w:t> </w:t>
      </w:r>
      <w:r>
        <w:rPr>
          <w:rFonts w:ascii="Times New Roman" w:hAnsi="Times New Roman"/>
          <w:sz w:val="22"/>
        </w:rPr>
        <w:t>atual</w:t>
      </w:r>
      <w:r>
        <w:rPr>
          <w:rFonts w:ascii="Times New Roman" w:hAnsi="Times New Roman"/>
          <w:spacing w:val="-8"/>
          <w:sz w:val="22"/>
        </w:rPr>
        <w:t> </w:t>
      </w:r>
      <w:r>
        <w:rPr>
          <w:rFonts w:ascii="Times New Roman" w:hAnsi="Times New Roman"/>
          <w:sz w:val="22"/>
        </w:rPr>
        <w:t>dos</w:t>
      </w:r>
      <w:r>
        <w:rPr>
          <w:rFonts w:ascii="Times New Roman" w:hAnsi="Times New Roman"/>
          <w:spacing w:val="-11"/>
          <w:sz w:val="22"/>
        </w:rPr>
        <w:t> </w:t>
      </w:r>
      <w:r>
        <w:rPr>
          <w:rFonts w:ascii="Times New Roman" w:hAnsi="Times New Roman"/>
          <w:sz w:val="22"/>
        </w:rPr>
        <w:t>ativos</w:t>
      </w:r>
      <w:r>
        <w:rPr>
          <w:rFonts w:ascii="Times New Roman" w:hAnsi="Times New Roman"/>
          <w:spacing w:val="-9"/>
          <w:sz w:val="22"/>
        </w:rPr>
        <w:t> </w:t>
      </w:r>
      <w:r>
        <w:rPr>
          <w:rFonts w:ascii="Times New Roman" w:hAnsi="Times New Roman"/>
          <w:sz w:val="22"/>
        </w:rPr>
        <w:t>regulatórios</w:t>
      </w:r>
      <w:r>
        <w:rPr>
          <w:rFonts w:ascii="Times New Roman" w:hAnsi="Times New Roman"/>
          <w:spacing w:val="-9"/>
          <w:sz w:val="22"/>
        </w:rPr>
        <w:t> </w:t>
      </w:r>
      <w:r>
        <w:rPr>
          <w:rFonts w:ascii="Times New Roman" w:hAnsi="Times New Roman"/>
          <w:sz w:val="22"/>
        </w:rPr>
        <w:t>e</w:t>
      </w:r>
      <w:r>
        <w:rPr>
          <w:rFonts w:ascii="Times New Roman" w:hAnsi="Times New Roman"/>
          <w:spacing w:val="-9"/>
          <w:sz w:val="22"/>
        </w:rPr>
        <w:t> </w:t>
      </w:r>
      <w:r>
        <w:rPr>
          <w:rFonts w:ascii="Times New Roman" w:hAnsi="Times New Roman"/>
          <w:sz w:val="22"/>
        </w:rPr>
        <w:t>operacionais</w:t>
      </w:r>
      <w:r>
        <w:rPr>
          <w:rFonts w:ascii="Times New Roman" w:hAnsi="Times New Roman"/>
          <w:spacing w:val="-9"/>
          <w:sz w:val="22"/>
        </w:rPr>
        <w:t> </w:t>
      </w:r>
      <w:r>
        <w:rPr>
          <w:rFonts w:ascii="Times New Roman" w:hAnsi="Times New Roman"/>
          <w:sz w:val="22"/>
        </w:rPr>
        <w:t>da</w:t>
      </w:r>
      <w:r>
        <w:rPr>
          <w:rFonts w:ascii="Times New Roman" w:hAnsi="Times New Roman"/>
          <w:spacing w:val="-6"/>
          <w:sz w:val="22"/>
        </w:rPr>
        <w:t> </w:t>
      </w:r>
      <w:r>
        <w:rPr>
          <w:rFonts w:ascii="Times New Roman" w:hAnsi="Times New Roman"/>
          <w:sz w:val="22"/>
        </w:rPr>
        <w:t>Distribuidora</w:t>
      </w:r>
      <w:r>
        <w:rPr>
          <w:rFonts w:ascii="Times New Roman" w:hAnsi="Times New Roman"/>
          <w:spacing w:val="-9"/>
          <w:sz w:val="22"/>
        </w:rPr>
        <w:t> </w:t>
      </w:r>
      <w:r>
        <w:rPr>
          <w:rFonts w:ascii="Times New Roman" w:hAnsi="Times New Roman"/>
          <w:sz w:val="22"/>
        </w:rPr>
        <w:t>demandam</w:t>
      </w:r>
      <w:r>
        <w:rPr>
          <w:rFonts w:ascii="Times New Roman" w:hAnsi="Times New Roman"/>
          <w:spacing w:val="-13"/>
          <w:sz w:val="22"/>
        </w:rPr>
        <w:t> </w:t>
      </w:r>
      <w:r>
        <w:rPr>
          <w:rFonts w:ascii="Times New Roman" w:hAnsi="Times New Roman"/>
          <w:sz w:val="22"/>
        </w:rPr>
        <w:t>novos</w:t>
      </w:r>
      <w:r>
        <w:rPr>
          <w:rFonts w:ascii="Times New Roman" w:hAnsi="Times New Roman"/>
          <w:spacing w:val="-9"/>
          <w:sz w:val="22"/>
        </w:rPr>
        <w:t> </w:t>
      </w:r>
      <w:r>
        <w:rPr>
          <w:rFonts w:ascii="Times New Roman" w:hAnsi="Times New Roman"/>
          <w:sz w:val="22"/>
        </w:rPr>
        <w:t>investimentos,</w:t>
      </w:r>
      <w:r>
        <w:rPr>
          <w:rFonts w:ascii="Times New Roman" w:hAnsi="Times New Roman"/>
          <w:spacing w:val="-9"/>
          <w:sz w:val="22"/>
        </w:rPr>
        <w:t> </w:t>
      </w:r>
      <w:r>
        <w:rPr>
          <w:rFonts w:ascii="Times New Roman" w:hAnsi="Times New Roman"/>
          <w:sz w:val="22"/>
        </w:rPr>
        <w:t>no</w:t>
      </w:r>
      <w:r>
        <w:rPr>
          <w:rFonts w:ascii="Times New Roman" w:hAnsi="Times New Roman"/>
          <w:spacing w:val="-12"/>
          <w:sz w:val="22"/>
        </w:rPr>
        <w:t> </w:t>
      </w:r>
      <w:r>
        <w:rPr>
          <w:rFonts w:ascii="Times New Roman" w:hAnsi="Times New Roman"/>
          <w:sz w:val="22"/>
        </w:rPr>
        <w:t>atual e próximos exercícios, condição essa para manter a qualidade do serviços prestados aos consumidores. É fato que, a perspectiva de geração de lucros futuros, mantido o Plano de Negócios anterior, não indica que seria suficiente para, no prazo necessário, suportar um plano de investimentos adequado e que se revertesse na melhora dos serviços e da tarifa. Nesse sentido, a atual administração levou aos acionistas proposta de suspender a venda dos ativos de geração, que têm distribuído lucros à controladora, e de alienação do controle da distribuidora ao setor privado, mantendo participação relevante, de pelos menos 49% do capital</w:t>
      </w:r>
      <w:r>
        <w:rPr>
          <w:rFonts w:ascii="Times New Roman" w:hAnsi="Times New Roman"/>
          <w:spacing w:val="-2"/>
          <w:sz w:val="22"/>
        </w:rPr>
        <w:t> </w:t>
      </w:r>
      <w:r>
        <w:rPr>
          <w:rFonts w:ascii="Times New Roman" w:hAnsi="Times New Roman"/>
          <w:sz w:val="22"/>
        </w:rPr>
        <w:t>social.</w:t>
      </w:r>
    </w:p>
    <w:p>
      <w:pPr>
        <w:spacing w:line="360" w:lineRule="auto" w:before="121"/>
        <w:ind w:left="139" w:right="140" w:firstLine="708"/>
        <w:jc w:val="both"/>
        <w:rPr>
          <w:rFonts w:ascii="Times New Roman" w:hAnsi="Times New Roman"/>
          <w:sz w:val="22"/>
        </w:rPr>
      </w:pPr>
      <w:r>
        <w:rPr>
          <w:rFonts w:ascii="Times New Roman" w:hAnsi="Times New Roman"/>
          <w:sz w:val="22"/>
        </w:rPr>
        <w:t>De forma a atender à deliberação da AGE, a Companhia Energética de Brasília assinou contrato com o Banco Nacional de Desenvolvimento Econômico e Social – BNDES objetivando a estruturação de projeto de alienação do controle</w:t>
      </w:r>
      <w:r>
        <w:rPr>
          <w:rFonts w:ascii="Times New Roman" w:hAnsi="Times New Roman"/>
          <w:spacing w:val="-9"/>
          <w:sz w:val="22"/>
        </w:rPr>
        <w:t> </w:t>
      </w:r>
      <w:r>
        <w:rPr>
          <w:rFonts w:ascii="Times New Roman" w:hAnsi="Times New Roman"/>
          <w:sz w:val="22"/>
        </w:rPr>
        <w:t>societário</w:t>
      </w:r>
      <w:r>
        <w:rPr>
          <w:rFonts w:ascii="Times New Roman" w:hAnsi="Times New Roman"/>
          <w:spacing w:val="-10"/>
          <w:sz w:val="22"/>
        </w:rPr>
        <w:t> </w:t>
      </w:r>
      <w:r>
        <w:rPr>
          <w:rFonts w:ascii="Times New Roman" w:hAnsi="Times New Roman"/>
          <w:sz w:val="22"/>
        </w:rPr>
        <w:t>da</w:t>
      </w:r>
      <w:r>
        <w:rPr>
          <w:rFonts w:ascii="Times New Roman" w:hAnsi="Times New Roman"/>
          <w:spacing w:val="-9"/>
          <w:sz w:val="22"/>
        </w:rPr>
        <w:t> </w:t>
      </w:r>
      <w:r>
        <w:rPr>
          <w:rFonts w:ascii="Times New Roman" w:hAnsi="Times New Roman"/>
          <w:sz w:val="22"/>
        </w:rPr>
        <w:t>CEB</w:t>
      </w:r>
      <w:r>
        <w:rPr>
          <w:rFonts w:ascii="Times New Roman" w:hAnsi="Times New Roman"/>
          <w:spacing w:val="-12"/>
          <w:sz w:val="22"/>
        </w:rPr>
        <w:t> </w:t>
      </w:r>
      <w:r>
        <w:rPr>
          <w:rFonts w:ascii="Times New Roman" w:hAnsi="Times New Roman"/>
          <w:sz w:val="22"/>
        </w:rPr>
        <w:t>Distribuição</w:t>
      </w:r>
      <w:r>
        <w:rPr>
          <w:rFonts w:ascii="Times New Roman" w:hAnsi="Times New Roman"/>
          <w:spacing w:val="-9"/>
          <w:sz w:val="22"/>
        </w:rPr>
        <w:t> </w:t>
      </w:r>
      <w:r>
        <w:rPr>
          <w:rFonts w:ascii="Times New Roman" w:hAnsi="Times New Roman"/>
          <w:sz w:val="22"/>
        </w:rPr>
        <w:t>S/A</w:t>
      </w:r>
      <w:r>
        <w:rPr>
          <w:rFonts w:ascii="Times New Roman" w:hAnsi="Times New Roman"/>
          <w:spacing w:val="-11"/>
          <w:sz w:val="22"/>
        </w:rPr>
        <w:t> </w:t>
      </w:r>
      <w:r>
        <w:rPr>
          <w:rFonts w:ascii="Times New Roman" w:hAnsi="Times New Roman"/>
          <w:sz w:val="22"/>
        </w:rPr>
        <w:t>à</w:t>
      </w:r>
      <w:r>
        <w:rPr>
          <w:rFonts w:ascii="Times New Roman" w:hAnsi="Times New Roman"/>
          <w:spacing w:val="-9"/>
          <w:sz w:val="22"/>
        </w:rPr>
        <w:t> </w:t>
      </w:r>
      <w:r>
        <w:rPr>
          <w:rFonts w:ascii="Times New Roman" w:hAnsi="Times New Roman"/>
          <w:sz w:val="22"/>
        </w:rPr>
        <w:t>iniciativa</w:t>
      </w:r>
      <w:r>
        <w:rPr>
          <w:rFonts w:ascii="Times New Roman" w:hAnsi="Times New Roman"/>
          <w:spacing w:val="-8"/>
          <w:sz w:val="22"/>
        </w:rPr>
        <w:t> </w:t>
      </w:r>
      <w:r>
        <w:rPr>
          <w:rFonts w:ascii="Times New Roman" w:hAnsi="Times New Roman"/>
          <w:sz w:val="22"/>
        </w:rPr>
        <w:t>privada,</w:t>
      </w:r>
      <w:r>
        <w:rPr>
          <w:rFonts w:ascii="Times New Roman" w:hAnsi="Times New Roman"/>
          <w:spacing w:val="-10"/>
          <w:sz w:val="22"/>
        </w:rPr>
        <w:t> </w:t>
      </w:r>
      <w:r>
        <w:rPr>
          <w:rFonts w:ascii="Times New Roman" w:hAnsi="Times New Roman"/>
          <w:sz w:val="22"/>
        </w:rPr>
        <w:t>incluindo</w:t>
      </w:r>
      <w:r>
        <w:rPr>
          <w:rFonts w:ascii="Times New Roman" w:hAnsi="Times New Roman"/>
          <w:spacing w:val="-11"/>
          <w:sz w:val="22"/>
        </w:rPr>
        <w:t> </w:t>
      </w:r>
      <w:r>
        <w:rPr>
          <w:rFonts w:ascii="Times New Roman" w:hAnsi="Times New Roman"/>
          <w:sz w:val="22"/>
        </w:rPr>
        <w:t>a</w:t>
      </w:r>
      <w:r>
        <w:rPr>
          <w:rFonts w:ascii="Times New Roman" w:hAnsi="Times New Roman"/>
          <w:spacing w:val="-9"/>
          <w:sz w:val="22"/>
        </w:rPr>
        <w:t> </w:t>
      </w:r>
      <w:r>
        <w:rPr>
          <w:rFonts w:ascii="Times New Roman" w:hAnsi="Times New Roman"/>
          <w:sz w:val="22"/>
        </w:rPr>
        <w:t>prévia</w:t>
      </w:r>
      <w:r>
        <w:rPr>
          <w:rFonts w:ascii="Times New Roman" w:hAnsi="Times New Roman"/>
          <w:spacing w:val="-8"/>
          <w:sz w:val="22"/>
        </w:rPr>
        <w:t> </w:t>
      </w:r>
      <w:r>
        <w:rPr>
          <w:rFonts w:ascii="Times New Roman" w:hAnsi="Times New Roman"/>
          <w:sz w:val="22"/>
        </w:rPr>
        <w:t>estruturação</w:t>
      </w:r>
      <w:r>
        <w:rPr>
          <w:rFonts w:ascii="Times New Roman" w:hAnsi="Times New Roman"/>
          <w:spacing w:val="-12"/>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operação</w:t>
      </w:r>
      <w:r>
        <w:rPr>
          <w:rFonts w:ascii="Times New Roman" w:hAnsi="Times New Roman"/>
          <w:spacing w:val="-12"/>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captação de recursos para reestruturação financeira da CEB Distribuição S/A, medida de ajuste prévio julgada necessária para o sucesso da alienação do controle da empresa. Nesse sentido, em 30 de dezembro de 2019, a Companhia Energética de Brasília realizou mais um aporte de R$ 91.000 mil na CEB Distribuição</w:t>
      </w:r>
      <w:r>
        <w:rPr>
          <w:rFonts w:ascii="Times New Roman" w:hAnsi="Times New Roman"/>
          <w:spacing w:val="-9"/>
          <w:sz w:val="22"/>
        </w:rPr>
        <w:t> </w:t>
      </w:r>
      <w:r>
        <w:rPr>
          <w:rFonts w:ascii="Times New Roman" w:hAnsi="Times New Roman"/>
          <w:sz w:val="22"/>
        </w:rPr>
        <w:t>S.A.</w:t>
      </w:r>
    </w:p>
    <w:p>
      <w:pPr>
        <w:spacing w:after="0" w:line="360" w:lineRule="auto"/>
        <w:jc w:val="both"/>
        <w:rPr>
          <w:rFonts w:ascii="Times New Roman" w:hAnsi="Times New Roman"/>
          <w:sz w:val="22"/>
        </w:rPr>
        <w:sectPr>
          <w:footerReference w:type="default" r:id="rId7"/>
          <w:pgSz w:w="11920" w:h="16860"/>
          <w:pgMar w:footer="302" w:header="0" w:top="540" w:bottom="500" w:left="780" w:right="280"/>
          <w:pgNumType w:start="3"/>
        </w:sectPr>
      </w:pPr>
    </w:p>
    <w:p>
      <w:pPr>
        <w:pStyle w:val="BodyText"/>
        <w:ind w:left="516"/>
        <w:rPr>
          <w:rFonts w:ascii="Times New Roman"/>
        </w:rPr>
      </w:pPr>
      <w:r>
        <w:rPr>
          <w:rFonts w:ascii="Times New Roman"/>
        </w:rPr>
        <w:drawing>
          <wp:inline distT="0" distB="0" distL="0" distR="0">
            <wp:extent cx="989985" cy="472249"/>
            <wp:effectExtent l="0" t="0" r="0" b="0"/>
            <wp:docPr id="5" name="image2.jpeg"/>
            <wp:cNvGraphicFramePr>
              <a:graphicFrameLocks noChangeAspect="1"/>
            </wp:cNvGraphicFramePr>
            <a:graphic>
              <a:graphicData uri="http://schemas.openxmlformats.org/drawingml/2006/picture">
                <pic:pic>
                  <pic:nvPicPr>
                    <pic:cNvPr id="6"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847" w:right="0" w:firstLine="0"/>
        <w:jc w:val="left"/>
        <w:rPr>
          <w:rFonts w:ascii="Times New Roman" w:hAnsi="Times New Roman"/>
          <w:sz w:val="22"/>
        </w:rPr>
      </w:pPr>
      <w:r>
        <w:rPr>
          <w:rFonts w:ascii="Times New Roman" w:hAnsi="Times New Roman"/>
          <w:sz w:val="22"/>
        </w:rPr>
        <w:t>Simultaneamente, a administração da CEB Distribuição, que também iniciou sua gestão em janeiro de 2019,</w:t>
      </w:r>
    </w:p>
    <w:p>
      <w:pPr>
        <w:spacing w:line="360" w:lineRule="auto" w:before="126"/>
        <w:ind w:left="139" w:right="0" w:firstLine="0"/>
        <w:jc w:val="left"/>
        <w:rPr>
          <w:rFonts w:ascii="Times New Roman" w:hAnsi="Times New Roman"/>
          <w:sz w:val="22"/>
        </w:rPr>
      </w:pPr>
      <w:r>
        <w:rPr>
          <w:rFonts w:ascii="Times New Roman" w:hAnsi="Times New Roman"/>
          <w:sz w:val="22"/>
        </w:rPr>
        <w:t>envidou esforços na melhoria da qualidade dos serviços prestados aos clientes, na redução dos custos, na recuperação de receita, redução da inadimplência e no aumento da eficiência.</w:t>
      </w:r>
    </w:p>
    <w:p>
      <w:pPr>
        <w:spacing w:before="120"/>
        <w:ind w:left="847" w:right="0" w:firstLine="0"/>
        <w:jc w:val="left"/>
        <w:rPr>
          <w:rFonts w:ascii="Times New Roman"/>
          <w:sz w:val="22"/>
        </w:rPr>
      </w:pPr>
      <w:r>
        <w:rPr>
          <w:rFonts w:ascii="Times New Roman"/>
          <w:sz w:val="22"/>
        </w:rPr>
        <w:t>Nesse sentido, vale destacar:</w:t>
      </w:r>
    </w:p>
    <w:p>
      <w:pPr>
        <w:pStyle w:val="BodyText"/>
        <w:spacing w:before="4"/>
        <w:rPr>
          <w:rFonts w:ascii="Times New Roman"/>
          <w:sz w:val="21"/>
        </w:rPr>
      </w:pPr>
    </w:p>
    <w:p>
      <w:pPr>
        <w:pStyle w:val="ListParagraph"/>
        <w:numPr>
          <w:ilvl w:val="0"/>
          <w:numId w:val="1"/>
        </w:numPr>
        <w:tabs>
          <w:tab w:pos="1568" w:val="left" w:leader="none"/>
        </w:tabs>
        <w:spacing w:line="360" w:lineRule="auto" w:before="1" w:after="0"/>
        <w:ind w:left="1567" w:right="142" w:hanging="360"/>
        <w:jc w:val="left"/>
        <w:rPr>
          <w:rFonts w:ascii="Times New Roman" w:hAnsi="Times New Roman"/>
          <w:sz w:val="22"/>
        </w:rPr>
      </w:pPr>
      <w:r>
        <w:rPr>
          <w:rFonts w:ascii="Times New Roman" w:hAnsi="Times New Roman"/>
          <w:sz w:val="22"/>
        </w:rPr>
        <w:t>redução de dívidas cujos custos situavam-se em níveis elevados (328% do CDI), em especial, as quitações junto à ITAIPU e à</w:t>
      </w:r>
      <w:r>
        <w:rPr>
          <w:rFonts w:ascii="Times New Roman" w:hAnsi="Times New Roman"/>
          <w:spacing w:val="-5"/>
          <w:sz w:val="22"/>
        </w:rPr>
        <w:t> </w:t>
      </w:r>
      <w:r>
        <w:rPr>
          <w:rFonts w:ascii="Times New Roman" w:hAnsi="Times New Roman"/>
          <w:sz w:val="22"/>
        </w:rPr>
        <w:t>CCEE;</w:t>
      </w:r>
    </w:p>
    <w:p>
      <w:pPr>
        <w:pStyle w:val="ListParagraph"/>
        <w:numPr>
          <w:ilvl w:val="0"/>
          <w:numId w:val="1"/>
        </w:numPr>
        <w:tabs>
          <w:tab w:pos="1568" w:val="left" w:leader="none"/>
        </w:tabs>
        <w:spacing w:line="360" w:lineRule="auto" w:before="0" w:after="0"/>
        <w:ind w:left="1567" w:right="143" w:hanging="360"/>
        <w:jc w:val="left"/>
        <w:rPr>
          <w:rFonts w:ascii="Times New Roman" w:hAnsi="Times New Roman"/>
          <w:sz w:val="22"/>
        </w:rPr>
      </w:pPr>
      <w:r>
        <w:rPr>
          <w:rFonts w:ascii="Times New Roman" w:hAnsi="Times New Roman"/>
          <w:sz w:val="22"/>
        </w:rPr>
        <w:t>renegociação, junto ao Governo do Distrito Federal, do ICMS relativo a competência de março a dezembro de 2019, postergando o pagamento para</w:t>
      </w:r>
      <w:r>
        <w:rPr>
          <w:rFonts w:ascii="Times New Roman" w:hAnsi="Times New Roman"/>
          <w:spacing w:val="-3"/>
          <w:sz w:val="22"/>
        </w:rPr>
        <w:t> </w:t>
      </w:r>
      <w:r>
        <w:rPr>
          <w:rFonts w:ascii="Times New Roman" w:hAnsi="Times New Roman"/>
          <w:sz w:val="22"/>
        </w:rPr>
        <w:t>2020;</w:t>
      </w:r>
    </w:p>
    <w:p>
      <w:pPr>
        <w:pStyle w:val="ListParagraph"/>
        <w:numPr>
          <w:ilvl w:val="0"/>
          <w:numId w:val="1"/>
        </w:numPr>
        <w:tabs>
          <w:tab w:pos="1568" w:val="left" w:leader="none"/>
        </w:tabs>
        <w:spacing w:line="360" w:lineRule="auto" w:before="1" w:after="0"/>
        <w:ind w:left="1567" w:right="137" w:hanging="360"/>
        <w:jc w:val="left"/>
        <w:rPr>
          <w:rFonts w:ascii="Times New Roman" w:hAnsi="Times New Roman"/>
          <w:sz w:val="22"/>
        </w:rPr>
      </w:pPr>
      <w:r>
        <w:rPr>
          <w:rFonts w:ascii="Times New Roman" w:hAnsi="Times New Roman"/>
          <w:sz w:val="22"/>
        </w:rPr>
        <w:t>adequação do contrato relativo à 3ª Emissão de Debentures à condições mais realistas para a CEB-DIS, conformando os covenants financeiros ao indicador ICSD (Índice de Cobertura do Serviço da</w:t>
      </w:r>
      <w:r>
        <w:rPr>
          <w:rFonts w:ascii="Times New Roman" w:hAnsi="Times New Roman"/>
          <w:spacing w:val="-26"/>
          <w:sz w:val="22"/>
        </w:rPr>
        <w:t> </w:t>
      </w:r>
      <w:r>
        <w:rPr>
          <w:rFonts w:ascii="Times New Roman" w:hAnsi="Times New Roman"/>
          <w:sz w:val="22"/>
        </w:rPr>
        <w:t>Dívida);</w:t>
      </w:r>
    </w:p>
    <w:p>
      <w:pPr>
        <w:pStyle w:val="ListParagraph"/>
        <w:numPr>
          <w:ilvl w:val="0"/>
          <w:numId w:val="1"/>
        </w:numPr>
        <w:tabs>
          <w:tab w:pos="1568" w:val="left" w:leader="none"/>
        </w:tabs>
        <w:spacing w:line="240" w:lineRule="auto" w:before="0" w:after="0"/>
        <w:ind w:left="1567" w:right="0" w:hanging="361"/>
        <w:jc w:val="left"/>
        <w:rPr>
          <w:rFonts w:ascii="Times New Roman" w:hAnsi="Times New Roman"/>
          <w:sz w:val="22"/>
        </w:rPr>
      </w:pPr>
      <w:r>
        <w:rPr>
          <w:rFonts w:ascii="Times New Roman" w:hAnsi="Times New Roman"/>
          <w:sz w:val="22"/>
        </w:rPr>
        <w:t>mitigação do risco vinculado à operação da rede de transmissão Brasília</w:t>
      </w:r>
      <w:r>
        <w:rPr>
          <w:rFonts w:ascii="Times New Roman" w:hAnsi="Times New Roman"/>
          <w:spacing w:val="50"/>
          <w:sz w:val="22"/>
        </w:rPr>
        <w:t> </w:t>
      </w:r>
      <w:r>
        <w:rPr>
          <w:rFonts w:ascii="Times New Roman" w:hAnsi="Times New Roman"/>
          <w:sz w:val="22"/>
        </w:rPr>
        <w:t>Leste;</w:t>
      </w:r>
    </w:p>
    <w:p>
      <w:pPr>
        <w:pStyle w:val="ListParagraph"/>
        <w:numPr>
          <w:ilvl w:val="0"/>
          <w:numId w:val="1"/>
        </w:numPr>
        <w:tabs>
          <w:tab w:pos="1568" w:val="left" w:leader="none"/>
        </w:tabs>
        <w:spacing w:line="360" w:lineRule="auto" w:before="126" w:after="0"/>
        <w:ind w:left="1567" w:right="137" w:hanging="360"/>
        <w:jc w:val="both"/>
        <w:rPr>
          <w:rFonts w:ascii="Times New Roman" w:hAnsi="Times New Roman"/>
          <w:sz w:val="22"/>
        </w:rPr>
      </w:pPr>
      <w:r>
        <w:rPr>
          <w:rFonts w:ascii="Times New Roman" w:hAnsi="Times New Roman"/>
          <w:sz w:val="22"/>
        </w:rPr>
        <w:t>redução dos gastos com PMSO (Pessoal – Material – Serviços – Outros), decorrente de redução/adequação dos valores dos contratos de Serviço de Terceiros e na negociação do Acordo Coletivo de Trabalho (ACT 2019/2020) dos empregados</w:t>
      </w:r>
      <w:r>
        <w:rPr>
          <w:rFonts w:ascii="Times New Roman" w:hAnsi="Times New Roman"/>
          <w:spacing w:val="-7"/>
          <w:sz w:val="22"/>
        </w:rPr>
        <w:t> </w:t>
      </w:r>
      <w:r>
        <w:rPr>
          <w:rFonts w:ascii="Times New Roman" w:hAnsi="Times New Roman"/>
          <w:sz w:val="22"/>
        </w:rPr>
        <w:t>;</w:t>
      </w:r>
    </w:p>
    <w:p>
      <w:pPr>
        <w:pStyle w:val="ListParagraph"/>
        <w:numPr>
          <w:ilvl w:val="0"/>
          <w:numId w:val="1"/>
        </w:numPr>
        <w:tabs>
          <w:tab w:pos="1568" w:val="left" w:leader="none"/>
        </w:tabs>
        <w:spacing w:line="252" w:lineRule="exact" w:before="0" w:after="0"/>
        <w:ind w:left="1567" w:right="0" w:hanging="361"/>
        <w:jc w:val="both"/>
        <w:rPr>
          <w:rFonts w:ascii="Times New Roman" w:hAnsi="Times New Roman"/>
          <w:sz w:val="22"/>
        </w:rPr>
      </w:pPr>
      <w:r>
        <w:rPr>
          <w:rFonts w:ascii="Times New Roman" w:hAnsi="Times New Roman"/>
          <w:sz w:val="22"/>
        </w:rPr>
        <w:t>equalização final do déficit atuarial do plano FACEB;</w:t>
      </w:r>
      <w:r>
        <w:rPr>
          <w:rFonts w:ascii="Times New Roman" w:hAnsi="Times New Roman"/>
          <w:spacing w:val="-4"/>
          <w:sz w:val="22"/>
        </w:rPr>
        <w:t> </w:t>
      </w:r>
      <w:r>
        <w:rPr>
          <w:rFonts w:ascii="Times New Roman" w:hAnsi="Times New Roman"/>
          <w:sz w:val="22"/>
        </w:rPr>
        <w:t>e</w:t>
      </w:r>
    </w:p>
    <w:p>
      <w:pPr>
        <w:pStyle w:val="ListParagraph"/>
        <w:numPr>
          <w:ilvl w:val="0"/>
          <w:numId w:val="1"/>
        </w:numPr>
        <w:tabs>
          <w:tab w:pos="1568" w:val="left" w:leader="none"/>
        </w:tabs>
        <w:spacing w:line="360" w:lineRule="auto" w:before="126" w:after="0"/>
        <w:ind w:left="1567" w:right="136" w:hanging="360"/>
        <w:jc w:val="both"/>
        <w:rPr>
          <w:rFonts w:ascii="Times New Roman" w:hAnsi="Times New Roman"/>
          <w:sz w:val="22"/>
        </w:rPr>
      </w:pPr>
      <w:r>
        <w:rPr>
          <w:rFonts w:ascii="Times New Roman" w:hAnsi="Times New Roman"/>
          <w:sz w:val="22"/>
        </w:rPr>
        <w:t>implantação do programa de recuperação de créditos – RECUPERA. Foram renegociados e parcelados cerca de R$ 103,0 milhões, dos quais resultou em um impacto imediato de caixa de aproximadamente R$ 22,0 milhões. Este programa, além de melhorar a situação financeira da CEB DIS, também proporcionou sentimento de cidadania ao possibilitar que mais de 25 mil famílias tirassem seus nomes da lista de inadimplentes dos órgãos de proteção ao crédito e voltassem a pagar suas contas de energia em</w:t>
      </w:r>
      <w:r>
        <w:rPr>
          <w:rFonts w:ascii="Times New Roman" w:hAnsi="Times New Roman"/>
          <w:spacing w:val="-4"/>
          <w:sz w:val="22"/>
        </w:rPr>
        <w:t> </w:t>
      </w:r>
      <w:r>
        <w:rPr>
          <w:rFonts w:ascii="Times New Roman" w:hAnsi="Times New Roman"/>
          <w:sz w:val="22"/>
        </w:rPr>
        <w:t>dia.</w:t>
      </w:r>
    </w:p>
    <w:p>
      <w:pPr>
        <w:spacing w:line="360" w:lineRule="auto" w:before="122"/>
        <w:ind w:left="139" w:right="136" w:firstLine="708"/>
        <w:jc w:val="both"/>
        <w:rPr>
          <w:rFonts w:ascii="Times New Roman" w:hAnsi="Times New Roman"/>
          <w:sz w:val="22"/>
        </w:rPr>
      </w:pPr>
      <w:r>
        <w:rPr>
          <w:rFonts w:ascii="Times New Roman" w:hAnsi="Times New Roman"/>
          <w:sz w:val="22"/>
        </w:rPr>
        <w:t>Não obstante o êxito conseguido, a qualidade do fornecimento do serviço de energia elétrica, medida pelos dois principais indicadores DEC – Duração Equivalente de Interrupção por Unidades Consumidoras e o FEC – Frequência Equivalente</w:t>
      </w:r>
      <w:r>
        <w:rPr>
          <w:rFonts w:ascii="Times New Roman" w:hAnsi="Times New Roman"/>
          <w:spacing w:val="-13"/>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Interrupção</w:t>
      </w:r>
      <w:r>
        <w:rPr>
          <w:rFonts w:ascii="Times New Roman" w:hAnsi="Times New Roman"/>
          <w:spacing w:val="-16"/>
          <w:sz w:val="22"/>
        </w:rPr>
        <w:t> </w:t>
      </w:r>
      <w:r>
        <w:rPr>
          <w:rFonts w:ascii="Times New Roman" w:hAnsi="Times New Roman"/>
          <w:sz w:val="22"/>
        </w:rPr>
        <w:t>por</w:t>
      </w:r>
      <w:r>
        <w:rPr>
          <w:rFonts w:ascii="Times New Roman" w:hAnsi="Times New Roman"/>
          <w:spacing w:val="-13"/>
          <w:sz w:val="22"/>
        </w:rPr>
        <w:t> </w:t>
      </w:r>
      <w:r>
        <w:rPr>
          <w:rFonts w:ascii="Times New Roman" w:hAnsi="Times New Roman"/>
          <w:sz w:val="22"/>
        </w:rPr>
        <w:t>Unidades</w:t>
      </w:r>
      <w:r>
        <w:rPr>
          <w:rFonts w:ascii="Times New Roman" w:hAnsi="Times New Roman"/>
          <w:spacing w:val="-13"/>
          <w:sz w:val="22"/>
        </w:rPr>
        <w:t> </w:t>
      </w:r>
      <w:r>
        <w:rPr>
          <w:rFonts w:ascii="Times New Roman" w:hAnsi="Times New Roman"/>
          <w:sz w:val="22"/>
        </w:rPr>
        <w:t>Consumidoras,</w:t>
      </w:r>
      <w:r>
        <w:rPr>
          <w:rFonts w:ascii="Times New Roman" w:hAnsi="Times New Roman"/>
          <w:spacing w:val="-13"/>
          <w:sz w:val="22"/>
        </w:rPr>
        <w:t> </w:t>
      </w:r>
      <w:r>
        <w:rPr>
          <w:rFonts w:ascii="Times New Roman" w:hAnsi="Times New Roman"/>
          <w:sz w:val="22"/>
        </w:rPr>
        <w:t>situou-se,</w:t>
      </w:r>
      <w:r>
        <w:rPr>
          <w:rFonts w:ascii="Times New Roman" w:hAnsi="Times New Roman"/>
          <w:spacing w:val="-13"/>
          <w:sz w:val="22"/>
        </w:rPr>
        <w:t> </w:t>
      </w:r>
      <w:r>
        <w:rPr>
          <w:rFonts w:ascii="Times New Roman" w:hAnsi="Times New Roman"/>
          <w:sz w:val="22"/>
        </w:rPr>
        <w:t>no</w:t>
      </w:r>
      <w:r>
        <w:rPr>
          <w:rFonts w:ascii="Times New Roman" w:hAnsi="Times New Roman"/>
          <w:spacing w:val="-13"/>
          <w:sz w:val="22"/>
        </w:rPr>
        <w:t> </w:t>
      </w:r>
      <w:r>
        <w:rPr>
          <w:rFonts w:ascii="Times New Roman" w:hAnsi="Times New Roman"/>
          <w:sz w:val="22"/>
        </w:rPr>
        <w:t>mês</w:t>
      </w:r>
      <w:r>
        <w:rPr>
          <w:rFonts w:ascii="Times New Roman" w:hAnsi="Times New Roman"/>
          <w:spacing w:val="-13"/>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dezembro</w:t>
      </w:r>
      <w:r>
        <w:rPr>
          <w:rFonts w:ascii="Times New Roman" w:hAnsi="Times New Roman"/>
          <w:spacing w:val="-13"/>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2019,</w:t>
      </w:r>
      <w:r>
        <w:rPr>
          <w:rFonts w:ascii="Times New Roman" w:hAnsi="Times New Roman"/>
          <w:spacing w:val="29"/>
          <w:sz w:val="22"/>
        </w:rPr>
        <w:t> </w:t>
      </w:r>
      <w:r>
        <w:rPr>
          <w:rFonts w:ascii="Times New Roman" w:hAnsi="Times New Roman"/>
          <w:sz w:val="22"/>
        </w:rPr>
        <w:t>pouco</w:t>
      </w:r>
      <w:r>
        <w:rPr>
          <w:rFonts w:ascii="Times New Roman" w:hAnsi="Times New Roman"/>
          <w:spacing w:val="-13"/>
          <w:sz w:val="22"/>
        </w:rPr>
        <w:t> </w:t>
      </w:r>
      <w:r>
        <w:rPr>
          <w:rFonts w:ascii="Times New Roman" w:hAnsi="Times New Roman"/>
          <w:sz w:val="22"/>
        </w:rPr>
        <w:t>além</w:t>
      </w:r>
      <w:r>
        <w:rPr>
          <w:rFonts w:ascii="Times New Roman" w:hAnsi="Times New Roman"/>
          <w:spacing w:val="28"/>
          <w:sz w:val="22"/>
        </w:rPr>
        <w:t> </w:t>
      </w:r>
      <w:r>
        <w:rPr>
          <w:rFonts w:ascii="Times New Roman" w:hAnsi="Times New Roman"/>
          <w:sz w:val="22"/>
        </w:rPr>
        <w:t>dos</w:t>
      </w:r>
      <w:r>
        <w:rPr>
          <w:rFonts w:ascii="Times New Roman" w:hAnsi="Times New Roman"/>
          <w:spacing w:val="-13"/>
          <w:sz w:val="22"/>
        </w:rPr>
        <w:t> </w:t>
      </w:r>
      <w:r>
        <w:rPr>
          <w:rFonts w:ascii="Times New Roman" w:hAnsi="Times New Roman"/>
          <w:sz w:val="22"/>
        </w:rPr>
        <w:t>limites estabelecidos pelo Regulador. Registra-se a atipicidade do mês de dezembro de 2019, que teve grande quantidade </w:t>
      </w:r>
      <w:r>
        <w:rPr>
          <w:rFonts w:ascii="Times New Roman" w:hAnsi="Times New Roman"/>
          <w:spacing w:val="-3"/>
          <w:sz w:val="22"/>
        </w:rPr>
        <w:t>de </w:t>
      </w:r>
      <w:r>
        <w:rPr>
          <w:rFonts w:ascii="Times New Roman" w:hAnsi="Times New Roman"/>
          <w:sz w:val="22"/>
        </w:rPr>
        <w:t>tempestades e ventanias, de volume pluviométrico que superou todas as expectativas e previsões. Somado a isso, houve a decretação de greve pelo sindicado dos empregados, cujos dias parados coincidiram com esses eventos climáticos no Distrito</w:t>
      </w:r>
      <w:r>
        <w:rPr>
          <w:rFonts w:ascii="Times New Roman" w:hAnsi="Times New Roman"/>
          <w:spacing w:val="-1"/>
          <w:sz w:val="22"/>
        </w:rPr>
        <w:t> </w:t>
      </w:r>
      <w:r>
        <w:rPr>
          <w:rFonts w:ascii="Times New Roman" w:hAnsi="Times New Roman"/>
          <w:sz w:val="22"/>
        </w:rPr>
        <w:t>Federal.</w:t>
      </w:r>
    </w:p>
    <w:p>
      <w:pPr>
        <w:spacing w:before="121"/>
        <w:ind w:left="847" w:right="0" w:firstLine="0"/>
        <w:jc w:val="both"/>
        <w:rPr>
          <w:rFonts w:ascii="Times New Roman" w:hAnsi="Times New Roman"/>
          <w:sz w:val="22"/>
        </w:rPr>
      </w:pPr>
      <w:r>
        <w:rPr>
          <w:rFonts w:ascii="Times New Roman" w:hAnsi="Times New Roman"/>
          <w:sz w:val="22"/>
        </w:rPr>
        <w:t>Os gráficos seguintes mostram a evolução destes indicadores nos últimos 6 anos:</w:t>
      </w:r>
    </w:p>
    <w:p>
      <w:pPr>
        <w:pStyle w:val="BodyText"/>
        <w:spacing w:before="5"/>
        <w:rPr>
          <w:rFonts w:ascii="Times New Roman"/>
          <w:sz w:val="27"/>
        </w:rPr>
      </w:pPr>
      <w:r>
        <w:rPr/>
        <w:drawing>
          <wp:anchor distT="0" distB="0" distL="0" distR="0" allowOverlap="1" layoutInCell="1" locked="0" behindDoc="0" simplePos="0" relativeHeight="6">
            <wp:simplePos x="0" y="0"/>
            <wp:positionH relativeFrom="page">
              <wp:posOffset>1042589</wp:posOffset>
            </wp:positionH>
            <wp:positionV relativeFrom="paragraph">
              <wp:posOffset>225190</wp:posOffset>
            </wp:positionV>
            <wp:extent cx="5750515" cy="1794224"/>
            <wp:effectExtent l="0" t="0" r="0" b="0"/>
            <wp:wrapTopAndBottom/>
            <wp:docPr id="7" name="image3.jpeg"/>
            <wp:cNvGraphicFramePr>
              <a:graphicFrameLocks noChangeAspect="1"/>
            </wp:cNvGraphicFramePr>
            <a:graphic>
              <a:graphicData uri="http://schemas.openxmlformats.org/drawingml/2006/picture">
                <pic:pic>
                  <pic:nvPicPr>
                    <pic:cNvPr id="8" name="image3.jpeg"/>
                    <pic:cNvPicPr/>
                  </pic:nvPicPr>
                  <pic:blipFill>
                    <a:blip r:embed="rId8" cstate="print"/>
                    <a:stretch>
                      <a:fillRect/>
                    </a:stretch>
                  </pic:blipFill>
                  <pic:spPr>
                    <a:xfrm>
                      <a:off x="0" y="0"/>
                      <a:ext cx="5750515" cy="1794224"/>
                    </a:xfrm>
                    <a:prstGeom prst="rect">
                      <a:avLst/>
                    </a:prstGeom>
                  </pic:spPr>
                </pic:pic>
              </a:graphicData>
            </a:graphic>
          </wp:anchor>
        </w:drawing>
      </w:r>
    </w:p>
    <w:p>
      <w:pPr>
        <w:spacing w:after="0"/>
        <w:rPr>
          <w:rFonts w:ascii="Times New Roman"/>
          <w:sz w:val="27"/>
        </w:rPr>
        <w:sectPr>
          <w:pgSz w:w="11920" w:h="16860"/>
          <w:pgMar w:header="0" w:footer="302" w:top="54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9" name="image2.jpeg"/>
            <wp:cNvGraphicFramePr>
              <a:graphicFrameLocks noChangeAspect="1"/>
            </wp:cNvGraphicFramePr>
            <a:graphic>
              <a:graphicData uri="http://schemas.openxmlformats.org/drawingml/2006/picture">
                <pic:pic>
                  <pic:nvPicPr>
                    <pic:cNvPr id="10"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rPr>
          <w:rFonts w:ascii="Times New Roman"/>
        </w:rPr>
      </w:pPr>
    </w:p>
    <w:p>
      <w:pPr>
        <w:pStyle w:val="BodyText"/>
        <w:spacing w:before="1"/>
        <w:rPr>
          <w:rFonts w:ascii="Times New Roman"/>
          <w:sz w:val="21"/>
        </w:rPr>
      </w:pPr>
    </w:p>
    <w:p>
      <w:pPr>
        <w:spacing w:line="360" w:lineRule="auto" w:before="1"/>
        <w:ind w:left="139" w:right="135" w:firstLine="708"/>
        <w:jc w:val="both"/>
        <w:rPr>
          <w:rFonts w:ascii="Times New Roman" w:hAnsi="Times New Roman"/>
          <w:sz w:val="22"/>
        </w:rPr>
      </w:pPr>
      <w:r>
        <w:rPr>
          <w:rFonts w:ascii="Times New Roman" w:hAnsi="Times New Roman"/>
          <w:sz w:val="22"/>
        </w:rPr>
        <w:t>Não sem razão, a melhor performance na gestão de custos, de pessoas e de prestação de serviços redundou em reconhecimento relevante em 2019. Com um índice de satisfação IASC de 73,04, a CEB Distribuição S.A. logrou obter, no</w:t>
      </w:r>
      <w:r>
        <w:rPr>
          <w:rFonts w:ascii="Times New Roman" w:hAnsi="Times New Roman"/>
          <w:spacing w:val="-4"/>
          <w:sz w:val="22"/>
        </w:rPr>
        <w:t> </w:t>
      </w:r>
      <w:r>
        <w:rPr>
          <w:rFonts w:ascii="Times New Roman" w:hAnsi="Times New Roman"/>
          <w:sz w:val="22"/>
        </w:rPr>
        <w:t>Prêmio</w:t>
      </w:r>
      <w:r>
        <w:rPr>
          <w:rFonts w:ascii="Times New Roman" w:hAnsi="Times New Roman"/>
          <w:spacing w:val="-4"/>
          <w:sz w:val="22"/>
        </w:rPr>
        <w:t> </w:t>
      </w:r>
      <w:r>
        <w:rPr>
          <w:rFonts w:ascii="Times New Roman" w:hAnsi="Times New Roman"/>
          <w:sz w:val="22"/>
        </w:rPr>
        <w:t>ANEEL</w:t>
      </w:r>
      <w:r>
        <w:rPr>
          <w:rFonts w:ascii="Times New Roman" w:hAnsi="Times New Roman"/>
          <w:spacing w:val="-4"/>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Qualidade,</w:t>
      </w:r>
      <w:r>
        <w:rPr>
          <w:rFonts w:ascii="Times New Roman" w:hAnsi="Times New Roman"/>
          <w:spacing w:val="-3"/>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1ª</w:t>
      </w:r>
      <w:r>
        <w:rPr>
          <w:rFonts w:ascii="Times New Roman" w:hAnsi="Times New Roman"/>
          <w:spacing w:val="-7"/>
          <w:sz w:val="22"/>
        </w:rPr>
        <w:t> </w:t>
      </w:r>
      <w:r>
        <w:rPr>
          <w:rFonts w:ascii="Times New Roman" w:hAnsi="Times New Roman"/>
          <w:sz w:val="22"/>
        </w:rPr>
        <w:t>colocação</w:t>
      </w:r>
      <w:r>
        <w:rPr>
          <w:rFonts w:ascii="Times New Roman" w:hAnsi="Times New Roman"/>
          <w:spacing w:val="-5"/>
          <w:sz w:val="22"/>
        </w:rPr>
        <w:t> </w:t>
      </w:r>
      <w:r>
        <w:rPr>
          <w:rFonts w:ascii="Times New Roman" w:hAnsi="Times New Roman"/>
          <w:sz w:val="22"/>
        </w:rPr>
        <w:t>entre</w:t>
      </w:r>
      <w:r>
        <w:rPr>
          <w:rFonts w:ascii="Times New Roman" w:hAnsi="Times New Roman"/>
          <w:spacing w:val="-6"/>
          <w:sz w:val="22"/>
        </w:rPr>
        <w:t> </w:t>
      </w:r>
      <w:r>
        <w:rPr>
          <w:rFonts w:ascii="Times New Roman" w:hAnsi="Times New Roman"/>
          <w:sz w:val="22"/>
        </w:rPr>
        <w:t>as</w:t>
      </w:r>
      <w:r>
        <w:rPr>
          <w:rFonts w:ascii="Times New Roman" w:hAnsi="Times New Roman"/>
          <w:spacing w:val="-2"/>
          <w:sz w:val="22"/>
        </w:rPr>
        <w:t> </w:t>
      </w:r>
      <w:r>
        <w:rPr>
          <w:rFonts w:ascii="Times New Roman" w:hAnsi="Times New Roman"/>
          <w:sz w:val="22"/>
        </w:rPr>
        <w:t>distribuidoras</w:t>
      </w:r>
      <w:r>
        <w:rPr>
          <w:rFonts w:ascii="Times New Roman" w:hAnsi="Times New Roman"/>
          <w:spacing w:val="-3"/>
          <w:sz w:val="22"/>
        </w:rPr>
        <w:t> </w:t>
      </w:r>
      <w:r>
        <w:rPr>
          <w:rFonts w:ascii="Times New Roman" w:hAnsi="Times New Roman"/>
          <w:sz w:val="22"/>
        </w:rPr>
        <w:t>da</w:t>
      </w:r>
      <w:r>
        <w:rPr>
          <w:rFonts w:ascii="Times New Roman" w:hAnsi="Times New Roman"/>
          <w:spacing w:val="-6"/>
          <w:sz w:val="22"/>
        </w:rPr>
        <w:t> </w:t>
      </w:r>
      <w:r>
        <w:rPr>
          <w:rFonts w:ascii="Times New Roman" w:hAnsi="Times New Roman"/>
          <w:sz w:val="22"/>
        </w:rPr>
        <w:t>região</w:t>
      </w:r>
      <w:r>
        <w:rPr>
          <w:rFonts w:ascii="Times New Roman" w:hAnsi="Times New Roman"/>
          <w:spacing w:val="-6"/>
          <w:sz w:val="22"/>
        </w:rPr>
        <w:t> </w:t>
      </w:r>
      <w:r>
        <w:rPr>
          <w:rFonts w:ascii="Times New Roman" w:hAnsi="Times New Roman"/>
          <w:sz w:val="22"/>
        </w:rPr>
        <w:t>centro-oeste,</w:t>
      </w:r>
      <w:r>
        <w:rPr>
          <w:rFonts w:ascii="Times New Roman" w:hAnsi="Times New Roman"/>
          <w:spacing w:val="-5"/>
          <w:sz w:val="22"/>
        </w:rPr>
        <w:t> </w:t>
      </w:r>
      <w:r>
        <w:rPr>
          <w:rFonts w:ascii="Times New Roman" w:hAnsi="Times New Roman"/>
          <w:sz w:val="22"/>
        </w:rPr>
        <w:t>apresentando</w:t>
      </w:r>
      <w:r>
        <w:rPr>
          <w:rFonts w:ascii="Times New Roman" w:hAnsi="Times New Roman"/>
          <w:spacing w:val="-6"/>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7º</w:t>
      </w:r>
      <w:r>
        <w:rPr>
          <w:rFonts w:ascii="Times New Roman" w:hAnsi="Times New Roman"/>
          <w:spacing w:val="-3"/>
          <w:sz w:val="22"/>
        </w:rPr>
        <w:t> </w:t>
      </w:r>
      <w:r>
        <w:rPr>
          <w:rFonts w:ascii="Times New Roman" w:hAnsi="Times New Roman"/>
          <w:sz w:val="22"/>
        </w:rPr>
        <w:t>melhor desempenho num universo de 53 concessionárias acima de 400 mil unidades</w:t>
      </w:r>
      <w:r>
        <w:rPr>
          <w:rFonts w:ascii="Times New Roman" w:hAnsi="Times New Roman"/>
          <w:spacing w:val="-12"/>
          <w:sz w:val="22"/>
        </w:rPr>
        <w:t> </w:t>
      </w:r>
      <w:r>
        <w:rPr>
          <w:rFonts w:ascii="Times New Roman" w:hAnsi="Times New Roman"/>
          <w:sz w:val="22"/>
        </w:rPr>
        <w:t>consumidoras.</w:t>
      </w:r>
    </w:p>
    <w:p>
      <w:pPr>
        <w:spacing w:line="360" w:lineRule="auto" w:before="118"/>
        <w:ind w:left="139" w:right="136" w:firstLine="708"/>
        <w:jc w:val="both"/>
        <w:rPr>
          <w:rFonts w:ascii="Times New Roman" w:hAnsi="Times New Roman"/>
          <w:sz w:val="22"/>
        </w:rPr>
      </w:pPr>
      <w:r>
        <w:rPr>
          <w:rFonts w:ascii="Times New Roman" w:hAnsi="Times New Roman"/>
          <w:sz w:val="22"/>
        </w:rPr>
        <w:t>A</w:t>
      </w:r>
      <w:r>
        <w:rPr>
          <w:rFonts w:ascii="Times New Roman" w:hAnsi="Times New Roman"/>
          <w:spacing w:val="-12"/>
          <w:sz w:val="22"/>
        </w:rPr>
        <w:t> </w:t>
      </w:r>
      <w:r>
        <w:rPr>
          <w:rFonts w:ascii="Times New Roman" w:hAnsi="Times New Roman"/>
          <w:sz w:val="22"/>
        </w:rPr>
        <w:t>expressiva</w:t>
      </w:r>
      <w:r>
        <w:rPr>
          <w:rFonts w:ascii="Times New Roman" w:hAnsi="Times New Roman"/>
          <w:spacing w:val="-11"/>
          <w:sz w:val="22"/>
        </w:rPr>
        <w:t> </w:t>
      </w:r>
      <w:r>
        <w:rPr>
          <w:rFonts w:ascii="Times New Roman" w:hAnsi="Times New Roman"/>
          <w:sz w:val="22"/>
        </w:rPr>
        <w:t>melhora</w:t>
      </w:r>
      <w:r>
        <w:rPr>
          <w:rFonts w:ascii="Times New Roman" w:hAnsi="Times New Roman"/>
          <w:spacing w:val="-13"/>
          <w:sz w:val="22"/>
        </w:rPr>
        <w:t> </w:t>
      </w:r>
      <w:r>
        <w:rPr>
          <w:rFonts w:ascii="Times New Roman" w:hAnsi="Times New Roman"/>
          <w:sz w:val="22"/>
        </w:rPr>
        <w:t>no</w:t>
      </w:r>
      <w:r>
        <w:rPr>
          <w:rFonts w:ascii="Times New Roman" w:hAnsi="Times New Roman"/>
          <w:spacing w:val="-11"/>
          <w:sz w:val="22"/>
        </w:rPr>
        <w:t> </w:t>
      </w:r>
      <w:r>
        <w:rPr>
          <w:rFonts w:ascii="Times New Roman" w:hAnsi="Times New Roman"/>
          <w:sz w:val="22"/>
        </w:rPr>
        <w:t>desempenho</w:t>
      </w:r>
      <w:r>
        <w:rPr>
          <w:rFonts w:ascii="Times New Roman" w:hAnsi="Times New Roman"/>
          <w:spacing w:val="-11"/>
          <w:sz w:val="22"/>
        </w:rPr>
        <w:t> </w:t>
      </w:r>
      <w:r>
        <w:rPr>
          <w:rFonts w:ascii="Times New Roman" w:hAnsi="Times New Roman"/>
          <w:sz w:val="22"/>
        </w:rPr>
        <w:t>da</w:t>
      </w:r>
      <w:r>
        <w:rPr>
          <w:rFonts w:ascii="Times New Roman" w:hAnsi="Times New Roman"/>
          <w:spacing w:val="-12"/>
          <w:sz w:val="22"/>
        </w:rPr>
        <w:t> </w:t>
      </w:r>
      <w:r>
        <w:rPr>
          <w:rFonts w:ascii="Times New Roman" w:hAnsi="Times New Roman"/>
          <w:sz w:val="22"/>
        </w:rPr>
        <w:t>CEB</w:t>
      </w:r>
      <w:r>
        <w:rPr>
          <w:rFonts w:ascii="Times New Roman" w:hAnsi="Times New Roman"/>
          <w:spacing w:val="-11"/>
          <w:sz w:val="22"/>
        </w:rPr>
        <w:t> </w:t>
      </w:r>
      <w:r>
        <w:rPr>
          <w:rFonts w:ascii="Times New Roman" w:hAnsi="Times New Roman"/>
          <w:sz w:val="22"/>
        </w:rPr>
        <w:t>Distribuição</w:t>
      </w:r>
      <w:r>
        <w:rPr>
          <w:rFonts w:ascii="Times New Roman" w:hAnsi="Times New Roman"/>
          <w:spacing w:val="-12"/>
          <w:sz w:val="22"/>
        </w:rPr>
        <w:t> </w:t>
      </w:r>
      <w:r>
        <w:rPr>
          <w:rFonts w:ascii="Times New Roman" w:hAnsi="Times New Roman"/>
          <w:sz w:val="22"/>
        </w:rPr>
        <w:t>S.A.</w:t>
      </w:r>
      <w:r>
        <w:rPr>
          <w:rFonts w:ascii="Times New Roman" w:hAnsi="Times New Roman"/>
          <w:spacing w:val="-11"/>
          <w:sz w:val="22"/>
        </w:rPr>
        <w:t> </w:t>
      </w:r>
      <w:r>
        <w:rPr>
          <w:rFonts w:ascii="Times New Roman" w:hAnsi="Times New Roman"/>
          <w:sz w:val="22"/>
        </w:rPr>
        <w:t>aliada</w:t>
      </w:r>
      <w:r>
        <w:rPr>
          <w:rFonts w:ascii="Times New Roman" w:hAnsi="Times New Roman"/>
          <w:spacing w:val="-7"/>
          <w:sz w:val="22"/>
        </w:rPr>
        <w:t> </w:t>
      </w:r>
      <w:r>
        <w:rPr>
          <w:rFonts w:ascii="Times New Roman" w:hAnsi="Times New Roman"/>
          <w:sz w:val="22"/>
        </w:rPr>
        <w:t>aos</w:t>
      </w:r>
      <w:r>
        <w:rPr>
          <w:rFonts w:ascii="Times New Roman" w:hAnsi="Times New Roman"/>
          <w:spacing w:val="-10"/>
          <w:sz w:val="22"/>
        </w:rPr>
        <w:t> </w:t>
      </w:r>
      <w:r>
        <w:rPr>
          <w:rFonts w:ascii="Times New Roman" w:hAnsi="Times New Roman"/>
          <w:sz w:val="22"/>
        </w:rPr>
        <w:t>resultados</w:t>
      </w:r>
      <w:r>
        <w:rPr>
          <w:rFonts w:ascii="Times New Roman" w:hAnsi="Times New Roman"/>
          <w:spacing w:val="-10"/>
          <w:sz w:val="22"/>
        </w:rPr>
        <w:t> </w:t>
      </w:r>
      <w:r>
        <w:rPr>
          <w:rFonts w:ascii="Times New Roman" w:hAnsi="Times New Roman"/>
          <w:sz w:val="22"/>
        </w:rPr>
        <w:t>das</w:t>
      </w:r>
      <w:r>
        <w:rPr>
          <w:rFonts w:ascii="Times New Roman" w:hAnsi="Times New Roman"/>
          <w:spacing w:val="-13"/>
          <w:sz w:val="22"/>
        </w:rPr>
        <w:t> </w:t>
      </w:r>
      <w:r>
        <w:rPr>
          <w:rFonts w:ascii="Times New Roman" w:hAnsi="Times New Roman"/>
          <w:sz w:val="22"/>
        </w:rPr>
        <w:t>subsidiárias</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geração de energia elétrica da Companhia Energética de Brasília se refletiram nos números da empresa, que encerrou o ano de 2019 apurando lucro R$ 119,0 milhões, frente a um lucro de R$ 90,0 milhões em</w:t>
      </w:r>
      <w:r>
        <w:rPr>
          <w:rFonts w:ascii="Times New Roman" w:hAnsi="Times New Roman"/>
          <w:spacing w:val="-13"/>
          <w:sz w:val="22"/>
        </w:rPr>
        <w:t> </w:t>
      </w:r>
      <w:r>
        <w:rPr>
          <w:rFonts w:ascii="Times New Roman" w:hAnsi="Times New Roman"/>
          <w:sz w:val="22"/>
        </w:rPr>
        <w:t>2018.</w:t>
      </w:r>
    </w:p>
    <w:p>
      <w:pPr>
        <w:spacing w:line="360" w:lineRule="auto" w:before="122"/>
        <w:ind w:left="139" w:right="147" w:firstLine="708"/>
        <w:jc w:val="both"/>
        <w:rPr>
          <w:rFonts w:ascii="Times New Roman" w:hAnsi="Times New Roman"/>
          <w:sz w:val="22"/>
        </w:rPr>
      </w:pPr>
      <w:r>
        <w:rPr>
          <w:rFonts w:ascii="Times New Roman" w:hAnsi="Times New Roman"/>
          <w:sz w:val="22"/>
        </w:rPr>
        <w:t>Além do relevante crescimento de 32,3% no resultado, quando comparado com o exercicio de 2018, outros indicadores da Companhia Energética de Brasília merecem atenção, a saber:</w:t>
      </w:r>
    </w:p>
    <w:p>
      <w:pPr>
        <w:pStyle w:val="BodyText"/>
        <w:rPr>
          <w:rFonts w:ascii="Times New Roman"/>
        </w:rPr>
      </w:pPr>
    </w:p>
    <w:p>
      <w:pPr>
        <w:pStyle w:val="BodyText"/>
        <w:rPr>
          <w:rFonts w:ascii="Times New Roman"/>
        </w:rPr>
      </w:pPr>
    </w:p>
    <w:p>
      <w:pPr>
        <w:pStyle w:val="BodyText"/>
        <w:spacing w:before="4" w:after="1"/>
        <w:rPr>
          <w:rFonts w:ascii="Times New Roman"/>
          <w:sz w:val="14"/>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5343"/>
        <w:gridCol w:w="1433"/>
        <w:gridCol w:w="1713"/>
        <w:gridCol w:w="1425"/>
      </w:tblGrid>
      <w:tr>
        <w:trPr>
          <w:trHeight w:val="477" w:hRule="atLeast"/>
        </w:trPr>
        <w:tc>
          <w:tcPr>
            <w:tcW w:w="5343" w:type="dxa"/>
            <w:tcBorders>
              <w:top w:val="nil"/>
              <w:left w:val="nil"/>
              <w:bottom w:val="nil"/>
              <w:right w:val="nil"/>
            </w:tcBorders>
            <w:shd w:val="clear" w:color="auto" w:fill="4470C4"/>
          </w:tcPr>
          <w:p>
            <w:pPr>
              <w:pStyle w:val="TableParagraph"/>
              <w:spacing w:before="120"/>
              <w:ind w:left="2301" w:right="2273"/>
              <w:jc w:val="center"/>
              <w:rPr>
                <w:rFonts w:ascii="Times New Roman"/>
                <w:b/>
                <w:sz w:val="20"/>
              </w:rPr>
            </w:pPr>
            <w:r>
              <w:rPr>
                <w:rFonts w:ascii="Times New Roman"/>
                <w:b/>
                <w:color w:val="FFFFFF"/>
                <w:sz w:val="20"/>
              </w:rPr>
              <w:t>(R$ Mil)</w:t>
            </w:r>
          </w:p>
        </w:tc>
        <w:tc>
          <w:tcPr>
            <w:tcW w:w="1433" w:type="dxa"/>
            <w:tcBorders>
              <w:top w:val="nil"/>
              <w:left w:val="nil"/>
              <w:bottom w:val="nil"/>
              <w:right w:val="nil"/>
            </w:tcBorders>
            <w:shd w:val="clear" w:color="auto" w:fill="4470C4"/>
          </w:tcPr>
          <w:p>
            <w:pPr>
              <w:pStyle w:val="TableParagraph"/>
              <w:spacing w:before="120"/>
              <w:ind w:left="509" w:right="483"/>
              <w:jc w:val="center"/>
              <w:rPr>
                <w:rFonts w:ascii="Times New Roman"/>
                <w:b/>
                <w:sz w:val="20"/>
              </w:rPr>
            </w:pPr>
            <w:r>
              <w:rPr>
                <w:rFonts w:ascii="Times New Roman"/>
                <w:b/>
                <w:color w:val="FFFFFF"/>
                <w:sz w:val="20"/>
              </w:rPr>
              <w:t>2019</w:t>
            </w:r>
          </w:p>
        </w:tc>
        <w:tc>
          <w:tcPr>
            <w:tcW w:w="1713" w:type="dxa"/>
            <w:tcBorders>
              <w:top w:val="nil"/>
              <w:left w:val="nil"/>
              <w:bottom w:val="nil"/>
              <w:right w:val="nil"/>
            </w:tcBorders>
            <w:shd w:val="clear" w:color="auto" w:fill="4470C4"/>
          </w:tcPr>
          <w:p>
            <w:pPr>
              <w:pStyle w:val="TableParagraph"/>
              <w:spacing w:before="120"/>
              <w:ind w:left="649" w:right="623"/>
              <w:jc w:val="center"/>
              <w:rPr>
                <w:rFonts w:ascii="Times New Roman"/>
                <w:b/>
                <w:sz w:val="20"/>
              </w:rPr>
            </w:pPr>
            <w:r>
              <w:rPr>
                <w:rFonts w:ascii="Times New Roman"/>
                <w:b/>
                <w:color w:val="FFFFFF"/>
                <w:sz w:val="20"/>
              </w:rPr>
              <w:t>2018</w:t>
            </w:r>
          </w:p>
        </w:tc>
        <w:tc>
          <w:tcPr>
            <w:tcW w:w="1425" w:type="dxa"/>
            <w:tcBorders>
              <w:top w:val="nil"/>
              <w:left w:val="nil"/>
              <w:bottom w:val="nil"/>
              <w:right w:val="nil"/>
            </w:tcBorders>
            <w:shd w:val="clear" w:color="auto" w:fill="4470C4"/>
          </w:tcPr>
          <w:p>
            <w:pPr>
              <w:pStyle w:val="TableParagraph"/>
              <w:spacing w:before="120"/>
              <w:ind w:left="188" w:right="165"/>
              <w:jc w:val="center"/>
              <w:rPr>
                <w:rFonts w:ascii="Times New Roman" w:hAnsi="Times New Roman"/>
                <w:b/>
                <w:sz w:val="20"/>
              </w:rPr>
            </w:pPr>
            <w:r>
              <w:rPr>
                <w:rFonts w:ascii="Times New Roman" w:hAnsi="Times New Roman"/>
                <w:b/>
                <w:color w:val="FFFFFF"/>
                <w:sz w:val="20"/>
              </w:rPr>
              <w:t>Δ 2019/2018</w:t>
            </w:r>
          </w:p>
        </w:tc>
      </w:tr>
      <w:tr>
        <w:trPr>
          <w:trHeight w:val="451" w:hRule="atLeast"/>
        </w:trPr>
        <w:tc>
          <w:tcPr>
            <w:tcW w:w="5343" w:type="dxa"/>
            <w:tcBorders>
              <w:top w:val="nil"/>
            </w:tcBorders>
            <w:shd w:val="clear" w:color="auto" w:fill="D9E0F3"/>
          </w:tcPr>
          <w:p>
            <w:pPr>
              <w:pStyle w:val="TableParagraph"/>
              <w:spacing w:before="103"/>
              <w:ind w:left="1665"/>
              <w:rPr>
                <w:rFonts w:ascii="Times New Roman"/>
                <w:b/>
                <w:sz w:val="20"/>
              </w:rPr>
            </w:pPr>
            <w:r>
              <w:rPr>
                <w:rFonts w:ascii="Times New Roman"/>
                <w:b/>
                <w:sz w:val="20"/>
              </w:rPr>
              <w:t>Receita Operacional Bruta</w:t>
            </w:r>
          </w:p>
        </w:tc>
        <w:tc>
          <w:tcPr>
            <w:tcW w:w="1433" w:type="dxa"/>
            <w:tcBorders>
              <w:top w:val="nil"/>
            </w:tcBorders>
            <w:shd w:val="clear" w:color="auto" w:fill="D9E0F3"/>
          </w:tcPr>
          <w:p>
            <w:pPr>
              <w:pStyle w:val="TableParagraph"/>
              <w:spacing w:before="103"/>
              <w:ind w:left="367"/>
              <w:rPr>
                <w:rFonts w:ascii="Times New Roman"/>
                <w:b/>
                <w:sz w:val="20"/>
              </w:rPr>
            </w:pPr>
            <w:r>
              <w:rPr>
                <w:rFonts w:ascii="Times New Roman"/>
                <w:b/>
                <w:sz w:val="20"/>
              </w:rPr>
              <w:t>4.404.331</w:t>
            </w:r>
          </w:p>
        </w:tc>
        <w:tc>
          <w:tcPr>
            <w:tcW w:w="1713" w:type="dxa"/>
            <w:tcBorders>
              <w:top w:val="nil"/>
            </w:tcBorders>
            <w:shd w:val="clear" w:color="auto" w:fill="D9E0F3"/>
          </w:tcPr>
          <w:p>
            <w:pPr>
              <w:pStyle w:val="TableParagraph"/>
              <w:spacing w:before="103"/>
              <w:ind w:right="296"/>
              <w:jc w:val="right"/>
              <w:rPr>
                <w:rFonts w:ascii="Times New Roman"/>
                <w:b/>
                <w:sz w:val="20"/>
              </w:rPr>
            </w:pPr>
            <w:r>
              <w:rPr>
                <w:rFonts w:ascii="Times New Roman"/>
                <w:b/>
                <w:w w:val="90"/>
                <w:sz w:val="20"/>
              </w:rPr>
              <w:t>4.086.212</w:t>
            </w:r>
          </w:p>
        </w:tc>
        <w:tc>
          <w:tcPr>
            <w:tcW w:w="1425" w:type="dxa"/>
            <w:tcBorders>
              <w:top w:val="nil"/>
            </w:tcBorders>
            <w:shd w:val="clear" w:color="auto" w:fill="D9E0F3"/>
          </w:tcPr>
          <w:p>
            <w:pPr>
              <w:pStyle w:val="TableParagraph"/>
              <w:spacing w:before="103"/>
              <w:ind w:left="375" w:right="349"/>
              <w:jc w:val="center"/>
              <w:rPr>
                <w:rFonts w:ascii="Times New Roman"/>
                <w:b/>
                <w:sz w:val="20"/>
              </w:rPr>
            </w:pPr>
            <w:r>
              <w:rPr>
                <w:rFonts w:ascii="Times New Roman"/>
                <w:b/>
                <w:sz w:val="20"/>
              </w:rPr>
              <w:t>7,79%</w:t>
            </w:r>
          </w:p>
        </w:tc>
      </w:tr>
      <w:tr>
        <w:trPr>
          <w:trHeight w:val="450" w:hRule="atLeast"/>
        </w:trPr>
        <w:tc>
          <w:tcPr>
            <w:tcW w:w="5343" w:type="dxa"/>
          </w:tcPr>
          <w:p>
            <w:pPr>
              <w:pStyle w:val="TableParagraph"/>
              <w:spacing w:before="103"/>
              <w:ind w:left="1576"/>
              <w:rPr>
                <w:rFonts w:ascii="Times New Roman" w:hAnsi="Times New Roman"/>
                <w:b/>
                <w:sz w:val="20"/>
              </w:rPr>
            </w:pPr>
            <w:r>
              <w:rPr>
                <w:rFonts w:ascii="Times New Roman" w:hAnsi="Times New Roman"/>
                <w:b/>
                <w:sz w:val="20"/>
              </w:rPr>
              <w:t>Receita Operacional Líquida</w:t>
            </w:r>
          </w:p>
        </w:tc>
        <w:tc>
          <w:tcPr>
            <w:tcW w:w="1433" w:type="dxa"/>
          </w:tcPr>
          <w:p>
            <w:pPr>
              <w:pStyle w:val="TableParagraph"/>
              <w:spacing w:before="103"/>
              <w:ind w:left="367"/>
              <w:rPr>
                <w:rFonts w:ascii="Times New Roman"/>
                <w:b/>
                <w:sz w:val="20"/>
              </w:rPr>
            </w:pPr>
            <w:r>
              <w:rPr>
                <w:rFonts w:ascii="Times New Roman"/>
                <w:b/>
                <w:sz w:val="20"/>
              </w:rPr>
              <w:t>2.749.737</w:t>
            </w:r>
          </w:p>
        </w:tc>
        <w:tc>
          <w:tcPr>
            <w:tcW w:w="1713" w:type="dxa"/>
          </w:tcPr>
          <w:p>
            <w:pPr>
              <w:pStyle w:val="TableParagraph"/>
              <w:spacing w:before="103"/>
              <w:ind w:right="296"/>
              <w:jc w:val="right"/>
              <w:rPr>
                <w:rFonts w:ascii="Times New Roman"/>
                <w:b/>
                <w:sz w:val="20"/>
              </w:rPr>
            </w:pPr>
            <w:r>
              <w:rPr>
                <w:rFonts w:ascii="Times New Roman"/>
                <w:b/>
                <w:w w:val="90"/>
                <w:sz w:val="20"/>
              </w:rPr>
              <w:t>2.590.210</w:t>
            </w:r>
          </w:p>
        </w:tc>
        <w:tc>
          <w:tcPr>
            <w:tcW w:w="1425" w:type="dxa"/>
          </w:tcPr>
          <w:p>
            <w:pPr>
              <w:pStyle w:val="TableParagraph"/>
              <w:spacing w:before="103"/>
              <w:ind w:left="375" w:right="349"/>
              <w:jc w:val="center"/>
              <w:rPr>
                <w:rFonts w:ascii="Times New Roman"/>
                <w:b/>
                <w:sz w:val="20"/>
              </w:rPr>
            </w:pPr>
            <w:r>
              <w:rPr>
                <w:rFonts w:ascii="Times New Roman"/>
                <w:b/>
                <w:sz w:val="20"/>
              </w:rPr>
              <w:t>6,16%</w:t>
            </w:r>
          </w:p>
        </w:tc>
      </w:tr>
      <w:tr>
        <w:trPr>
          <w:trHeight w:val="448" w:hRule="atLeast"/>
        </w:trPr>
        <w:tc>
          <w:tcPr>
            <w:tcW w:w="5343" w:type="dxa"/>
            <w:shd w:val="clear" w:color="auto" w:fill="D9E0F3"/>
          </w:tcPr>
          <w:p>
            <w:pPr>
              <w:pStyle w:val="TableParagraph"/>
              <w:spacing w:before="103"/>
              <w:ind w:left="628"/>
              <w:rPr>
                <w:rFonts w:ascii="Times New Roman" w:hAnsi="Times New Roman"/>
                <w:b/>
                <w:sz w:val="20"/>
              </w:rPr>
            </w:pPr>
            <w:r>
              <w:rPr>
                <w:rFonts w:ascii="Times New Roman" w:hAnsi="Times New Roman"/>
                <w:b/>
                <w:sz w:val="20"/>
              </w:rPr>
              <w:t>Resultado Operacional Líquido Antes dos Tributos</w:t>
            </w:r>
          </w:p>
        </w:tc>
        <w:tc>
          <w:tcPr>
            <w:tcW w:w="1433" w:type="dxa"/>
            <w:shd w:val="clear" w:color="auto" w:fill="D9E0F3"/>
          </w:tcPr>
          <w:p>
            <w:pPr>
              <w:pStyle w:val="TableParagraph"/>
              <w:spacing w:before="103"/>
              <w:ind w:left="434"/>
              <w:rPr>
                <w:rFonts w:ascii="Times New Roman"/>
                <w:b/>
                <w:sz w:val="20"/>
              </w:rPr>
            </w:pPr>
            <w:r>
              <w:rPr>
                <w:rFonts w:ascii="Times New Roman"/>
                <w:b/>
                <w:sz w:val="20"/>
              </w:rPr>
              <w:t>205.909</w:t>
            </w:r>
          </w:p>
        </w:tc>
        <w:tc>
          <w:tcPr>
            <w:tcW w:w="1713" w:type="dxa"/>
            <w:shd w:val="clear" w:color="auto" w:fill="D9E0F3"/>
          </w:tcPr>
          <w:p>
            <w:pPr>
              <w:pStyle w:val="TableParagraph"/>
              <w:spacing w:before="103"/>
              <w:ind w:right="370"/>
              <w:jc w:val="right"/>
              <w:rPr>
                <w:rFonts w:ascii="Times New Roman"/>
                <w:b/>
                <w:sz w:val="20"/>
              </w:rPr>
            </w:pPr>
            <w:r>
              <w:rPr>
                <w:rFonts w:ascii="Times New Roman"/>
                <w:b/>
                <w:w w:val="90"/>
                <w:sz w:val="20"/>
              </w:rPr>
              <w:t>123.305</w:t>
            </w:r>
          </w:p>
        </w:tc>
        <w:tc>
          <w:tcPr>
            <w:tcW w:w="1425" w:type="dxa"/>
            <w:shd w:val="clear" w:color="auto" w:fill="D9E0F3"/>
          </w:tcPr>
          <w:p>
            <w:pPr>
              <w:pStyle w:val="TableParagraph"/>
              <w:spacing w:before="103"/>
              <w:ind w:left="375" w:right="349"/>
              <w:jc w:val="center"/>
              <w:rPr>
                <w:rFonts w:ascii="Times New Roman"/>
                <w:b/>
                <w:sz w:val="20"/>
              </w:rPr>
            </w:pPr>
            <w:r>
              <w:rPr>
                <w:rFonts w:ascii="Times New Roman"/>
                <w:b/>
                <w:sz w:val="20"/>
              </w:rPr>
              <w:t>66,99%</w:t>
            </w:r>
          </w:p>
        </w:tc>
      </w:tr>
      <w:tr>
        <w:trPr>
          <w:trHeight w:val="450" w:hRule="atLeast"/>
        </w:trPr>
        <w:tc>
          <w:tcPr>
            <w:tcW w:w="5343" w:type="dxa"/>
          </w:tcPr>
          <w:p>
            <w:pPr>
              <w:pStyle w:val="TableParagraph"/>
              <w:spacing w:before="103"/>
              <w:ind w:left="1962"/>
              <w:rPr>
                <w:rFonts w:ascii="Times New Roman"/>
                <w:b/>
                <w:sz w:val="20"/>
              </w:rPr>
            </w:pPr>
            <w:r>
              <w:rPr>
                <w:rFonts w:ascii="Times New Roman"/>
                <w:b/>
                <w:sz w:val="20"/>
              </w:rPr>
              <w:t>EBITDA (LAJIDA)</w:t>
            </w:r>
          </w:p>
        </w:tc>
        <w:tc>
          <w:tcPr>
            <w:tcW w:w="1433" w:type="dxa"/>
          </w:tcPr>
          <w:p>
            <w:pPr>
              <w:pStyle w:val="TableParagraph"/>
              <w:spacing w:before="103"/>
              <w:ind w:left="400"/>
              <w:rPr>
                <w:rFonts w:ascii="Times New Roman"/>
                <w:b/>
                <w:sz w:val="20"/>
              </w:rPr>
            </w:pPr>
            <w:r>
              <w:rPr>
                <w:rFonts w:ascii="Times New Roman"/>
                <w:b/>
                <w:sz w:val="20"/>
              </w:rPr>
              <w:t>311.668</w:t>
            </w:r>
          </w:p>
        </w:tc>
        <w:tc>
          <w:tcPr>
            <w:tcW w:w="1713" w:type="dxa"/>
          </w:tcPr>
          <w:p>
            <w:pPr>
              <w:pStyle w:val="TableParagraph"/>
              <w:spacing w:before="103"/>
              <w:ind w:right="370"/>
              <w:jc w:val="right"/>
              <w:rPr>
                <w:rFonts w:ascii="Times New Roman"/>
                <w:b/>
                <w:sz w:val="20"/>
              </w:rPr>
            </w:pPr>
            <w:r>
              <w:rPr>
                <w:rFonts w:ascii="Times New Roman"/>
                <w:b/>
                <w:w w:val="90"/>
                <w:sz w:val="20"/>
              </w:rPr>
              <w:t>293.107</w:t>
            </w:r>
          </w:p>
        </w:tc>
        <w:tc>
          <w:tcPr>
            <w:tcW w:w="1425" w:type="dxa"/>
          </w:tcPr>
          <w:p>
            <w:pPr>
              <w:pStyle w:val="TableParagraph"/>
              <w:spacing w:before="103"/>
              <w:ind w:left="375" w:right="349"/>
              <w:jc w:val="center"/>
              <w:rPr>
                <w:rFonts w:ascii="Times New Roman"/>
                <w:b/>
                <w:sz w:val="20"/>
              </w:rPr>
            </w:pPr>
            <w:r>
              <w:rPr>
                <w:rFonts w:ascii="Times New Roman"/>
                <w:b/>
                <w:sz w:val="20"/>
              </w:rPr>
              <w:t>6,33%</w:t>
            </w:r>
          </w:p>
        </w:tc>
      </w:tr>
      <w:tr>
        <w:trPr>
          <w:trHeight w:val="450" w:hRule="atLeast"/>
        </w:trPr>
        <w:tc>
          <w:tcPr>
            <w:tcW w:w="5343" w:type="dxa"/>
            <w:shd w:val="clear" w:color="auto" w:fill="D9E0F3"/>
          </w:tcPr>
          <w:p>
            <w:pPr>
              <w:pStyle w:val="TableParagraph"/>
              <w:spacing w:before="103"/>
              <w:ind w:left="2159" w:right="1882"/>
              <w:jc w:val="center"/>
              <w:rPr>
                <w:rFonts w:ascii="Times New Roman" w:hAnsi="Times New Roman"/>
                <w:b/>
                <w:sz w:val="20"/>
              </w:rPr>
            </w:pPr>
            <w:r>
              <w:rPr>
                <w:rFonts w:ascii="Times New Roman" w:hAnsi="Times New Roman"/>
                <w:b/>
                <w:sz w:val="20"/>
              </w:rPr>
              <w:t>Lucro Líquido</w:t>
            </w:r>
          </w:p>
        </w:tc>
        <w:tc>
          <w:tcPr>
            <w:tcW w:w="1433" w:type="dxa"/>
            <w:shd w:val="clear" w:color="auto" w:fill="D9E0F3"/>
          </w:tcPr>
          <w:p>
            <w:pPr>
              <w:pStyle w:val="TableParagraph"/>
              <w:spacing w:before="103"/>
              <w:ind w:left="448"/>
              <w:rPr>
                <w:rFonts w:ascii="Times New Roman"/>
                <w:b/>
                <w:sz w:val="20"/>
              </w:rPr>
            </w:pPr>
            <w:r>
              <w:rPr>
                <w:rFonts w:ascii="Times New Roman"/>
                <w:b/>
                <w:sz w:val="20"/>
              </w:rPr>
              <w:t>119.045</w:t>
            </w:r>
          </w:p>
        </w:tc>
        <w:tc>
          <w:tcPr>
            <w:tcW w:w="1713" w:type="dxa"/>
            <w:shd w:val="clear" w:color="auto" w:fill="D9E0F3"/>
          </w:tcPr>
          <w:p>
            <w:pPr>
              <w:pStyle w:val="TableParagraph"/>
              <w:spacing w:before="103"/>
              <w:ind w:right="348"/>
              <w:jc w:val="right"/>
              <w:rPr>
                <w:rFonts w:ascii="Times New Roman"/>
                <w:b/>
                <w:sz w:val="20"/>
              </w:rPr>
            </w:pPr>
            <w:r>
              <w:rPr>
                <w:rFonts w:ascii="Times New Roman"/>
                <w:b/>
                <w:w w:val="95"/>
                <w:sz w:val="20"/>
              </w:rPr>
              <w:t>89.972</w:t>
            </w:r>
          </w:p>
        </w:tc>
        <w:tc>
          <w:tcPr>
            <w:tcW w:w="1425" w:type="dxa"/>
            <w:shd w:val="clear" w:color="auto" w:fill="D9E0F3"/>
          </w:tcPr>
          <w:p>
            <w:pPr>
              <w:pStyle w:val="TableParagraph"/>
              <w:spacing w:before="103"/>
              <w:ind w:left="375" w:right="349"/>
              <w:jc w:val="center"/>
              <w:rPr>
                <w:rFonts w:ascii="Times New Roman"/>
                <w:b/>
                <w:sz w:val="20"/>
              </w:rPr>
            </w:pPr>
            <w:r>
              <w:rPr>
                <w:rFonts w:ascii="Times New Roman"/>
                <w:b/>
                <w:sz w:val="20"/>
              </w:rPr>
              <w:t>32,31%</w:t>
            </w:r>
          </w:p>
        </w:tc>
      </w:tr>
      <w:tr>
        <w:trPr>
          <w:trHeight w:val="448" w:hRule="atLeast"/>
        </w:trPr>
        <w:tc>
          <w:tcPr>
            <w:tcW w:w="5343" w:type="dxa"/>
          </w:tcPr>
          <w:p>
            <w:pPr>
              <w:pStyle w:val="TableParagraph"/>
              <w:spacing w:before="104"/>
              <w:ind w:left="1353"/>
              <w:rPr>
                <w:rFonts w:ascii="Times New Roman" w:hAnsi="Times New Roman"/>
                <w:b/>
                <w:sz w:val="20"/>
              </w:rPr>
            </w:pPr>
            <w:r>
              <w:rPr>
                <w:rFonts w:ascii="Times New Roman" w:hAnsi="Times New Roman"/>
                <w:b/>
                <w:sz w:val="20"/>
              </w:rPr>
              <w:t>Patrimônio Líquido Controladora</w:t>
            </w:r>
          </w:p>
        </w:tc>
        <w:tc>
          <w:tcPr>
            <w:tcW w:w="1433" w:type="dxa"/>
          </w:tcPr>
          <w:p>
            <w:pPr>
              <w:pStyle w:val="TableParagraph"/>
              <w:spacing w:before="104"/>
              <w:ind w:left="434"/>
              <w:rPr>
                <w:rFonts w:ascii="Times New Roman"/>
                <w:b/>
                <w:sz w:val="20"/>
              </w:rPr>
            </w:pPr>
            <w:r>
              <w:rPr>
                <w:rFonts w:ascii="Times New Roman"/>
                <w:b/>
                <w:sz w:val="20"/>
              </w:rPr>
              <w:t>783.986</w:t>
            </w:r>
          </w:p>
        </w:tc>
        <w:tc>
          <w:tcPr>
            <w:tcW w:w="1713" w:type="dxa"/>
          </w:tcPr>
          <w:p>
            <w:pPr>
              <w:pStyle w:val="TableParagraph"/>
              <w:spacing w:before="104"/>
              <w:ind w:right="370"/>
              <w:jc w:val="right"/>
              <w:rPr>
                <w:rFonts w:ascii="Times New Roman"/>
                <w:b/>
                <w:sz w:val="20"/>
              </w:rPr>
            </w:pPr>
            <w:r>
              <w:rPr>
                <w:rFonts w:ascii="Times New Roman"/>
                <w:b/>
                <w:w w:val="90"/>
                <w:sz w:val="20"/>
              </w:rPr>
              <w:t>734.451</w:t>
            </w:r>
          </w:p>
        </w:tc>
        <w:tc>
          <w:tcPr>
            <w:tcW w:w="1425" w:type="dxa"/>
          </w:tcPr>
          <w:p>
            <w:pPr>
              <w:pStyle w:val="TableParagraph"/>
              <w:spacing w:before="104"/>
              <w:ind w:left="375" w:right="349"/>
              <w:jc w:val="center"/>
              <w:rPr>
                <w:rFonts w:ascii="Times New Roman"/>
                <w:b/>
                <w:sz w:val="20"/>
              </w:rPr>
            </w:pPr>
            <w:r>
              <w:rPr>
                <w:rFonts w:ascii="Times New Roman"/>
                <w:b/>
                <w:sz w:val="20"/>
              </w:rPr>
              <w:t>6,74%</w:t>
            </w:r>
          </w:p>
        </w:tc>
      </w:tr>
    </w:tbl>
    <w:p>
      <w:pPr>
        <w:pStyle w:val="BodyText"/>
        <w:rPr>
          <w:rFonts w:ascii="Times New Roman"/>
          <w:sz w:val="24"/>
        </w:rPr>
      </w:pPr>
    </w:p>
    <w:p>
      <w:pPr>
        <w:spacing w:line="360" w:lineRule="auto" w:before="92"/>
        <w:ind w:left="139" w:right="140" w:firstLine="720"/>
        <w:jc w:val="both"/>
        <w:rPr>
          <w:rFonts w:ascii="Times New Roman" w:hAnsi="Times New Roman"/>
          <w:sz w:val="22"/>
        </w:rPr>
      </w:pPr>
      <w:r>
        <w:rPr>
          <w:rFonts w:ascii="Times New Roman" w:hAnsi="Times New Roman"/>
          <w:sz w:val="22"/>
        </w:rPr>
        <w:t>Não obstante os bons resultados obtidos pela gestão em 2019, o cenário para a Companhia em 2020 permanece desafiador. Prosseguem os trabalhos para a alienação do controle da CEB Distribuição S.A.</w:t>
      </w:r>
    </w:p>
    <w:p>
      <w:pPr>
        <w:spacing w:line="360" w:lineRule="auto" w:before="119"/>
        <w:ind w:left="139" w:right="136" w:firstLine="720"/>
        <w:jc w:val="both"/>
        <w:rPr>
          <w:rFonts w:ascii="Times New Roman" w:hAnsi="Times New Roman"/>
          <w:sz w:val="22"/>
        </w:rPr>
      </w:pPr>
      <w:r>
        <w:rPr>
          <w:rFonts w:ascii="Times New Roman" w:hAnsi="Times New Roman"/>
          <w:sz w:val="22"/>
        </w:rPr>
        <w:t>Na execução do contrato celebrado entre a Companhia Energética de Brasília – CEB e o Banco Nacional de Desenvolvimento Econômico e Social – BNDE para os estudos, modelagem e avaliação da CEB Distribuição S.A., objetivando</w:t>
      </w:r>
      <w:r>
        <w:rPr>
          <w:rFonts w:ascii="Times New Roman" w:hAnsi="Times New Roman"/>
          <w:spacing w:val="-6"/>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alienação</w:t>
      </w:r>
      <w:r>
        <w:rPr>
          <w:rFonts w:ascii="Times New Roman" w:hAnsi="Times New Roman"/>
          <w:spacing w:val="-6"/>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seu</w:t>
      </w:r>
      <w:r>
        <w:rPr>
          <w:rFonts w:ascii="Times New Roman" w:hAnsi="Times New Roman"/>
          <w:spacing w:val="-6"/>
          <w:sz w:val="22"/>
        </w:rPr>
        <w:t> </w:t>
      </w:r>
      <w:r>
        <w:rPr>
          <w:rFonts w:ascii="Times New Roman" w:hAnsi="Times New Roman"/>
          <w:sz w:val="22"/>
        </w:rPr>
        <w:t>controle</w:t>
      </w:r>
      <w:r>
        <w:rPr>
          <w:rFonts w:ascii="Times New Roman" w:hAnsi="Times New Roman"/>
          <w:spacing w:val="-6"/>
          <w:sz w:val="22"/>
        </w:rPr>
        <w:t> </w:t>
      </w:r>
      <w:r>
        <w:rPr>
          <w:rFonts w:ascii="Times New Roman" w:hAnsi="Times New Roman"/>
          <w:sz w:val="22"/>
        </w:rPr>
        <w:t>acionário,</w:t>
      </w:r>
      <w:r>
        <w:rPr>
          <w:rFonts w:ascii="Times New Roman" w:hAnsi="Times New Roman"/>
          <w:spacing w:val="-4"/>
          <w:sz w:val="22"/>
        </w:rPr>
        <w:t> </w:t>
      </w:r>
      <w:r>
        <w:rPr>
          <w:rFonts w:ascii="Times New Roman" w:hAnsi="Times New Roman"/>
          <w:sz w:val="22"/>
        </w:rPr>
        <w:t>o</w:t>
      </w:r>
      <w:r>
        <w:rPr>
          <w:rFonts w:ascii="Times New Roman" w:hAnsi="Times New Roman"/>
          <w:spacing w:val="-6"/>
          <w:sz w:val="22"/>
        </w:rPr>
        <w:t> </w:t>
      </w:r>
      <w:r>
        <w:rPr>
          <w:rFonts w:ascii="Times New Roman" w:hAnsi="Times New Roman"/>
          <w:sz w:val="22"/>
        </w:rPr>
        <w:t>banco</w:t>
      </w:r>
      <w:r>
        <w:rPr>
          <w:rFonts w:ascii="Times New Roman" w:hAnsi="Times New Roman"/>
          <w:spacing w:val="-6"/>
          <w:sz w:val="22"/>
        </w:rPr>
        <w:t> </w:t>
      </w:r>
      <w:r>
        <w:rPr>
          <w:rFonts w:ascii="Times New Roman" w:hAnsi="Times New Roman"/>
          <w:sz w:val="22"/>
        </w:rPr>
        <w:t>realizou,</w:t>
      </w:r>
      <w:r>
        <w:rPr>
          <w:rFonts w:ascii="Times New Roman" w:hAnsi="Times New Roman"/>
          <w:spacing w:val="-6"/>
          <w:sz w:val="22"/>
        </w:rPr>
        <w:t> </w:t>
      </w:r>
      <w:r>
        <w:rPr>
          <w:rFonts w:ascii="Times New Roman" w:hAnsi="Times New Roman"/>
          <w:sz w:val="22"/>
        </w:rPr>
        <w:t>no</w:t>
      </w:r>
      <w:r>
        <w:rPr>
          <w:rFonts w:ascii="Times New Roman" w:hAnsi="Times New Roman"/>
          <w:spacing w:val="-6"/>
          <w:sz w:val="22"/>
        </w:rPr>
        <w:t> </w:t>
      </w:r>
      <w:r>
        <w:rPr>
          <w:rFonts w:ascii="Times New Roman" w:hAnsi="Times New Roman"/>
          <w:sz w:val="22"/>
        </w:rPr>
        <w:t>final</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2019,</w:t>
      </w:r>
      <w:r>
        <w:rPr>
          <w:rFonts w:ascii="Times New Roman" w:hAnsi="Times New Roman"/>
          <w:spacing w:val="-4"/>
          <w:sz w:val="22"/>
        </w:rPr>
        <w:t> </w:t>
      </w:r>
      <w:r>
        <w:rPr>
          <w:rFonts w:ascii="Times New Roman" w:hAnsi="Times New Roman"/>
          <w:sz w:val="22"/>
        </w:rPr>
        <w:t>um</w:t>
      </w:r>
      <w:r>
        <w:rPr>
          <w:rFonts w:ascii="Times New Roman" w:hAnsi="Times New Roman"/>
          <w:spacing w:val="-7"/>
          <w:sz w:val="22"/>
        </w:rPr>
        <w:t> </w:t>
      </w:r>
      <w:r>
        <w:rPr>
          <w:rFonts w:ascii="Times New Roman" w:hAnsi="Times New Roman"/>
          <w:sz w:val="22"/>
        </w:rPr>
        <w:t>processo</w:t>
      </w:r>
      <w:r>
        <w:rPr>
          <w:rFonts w:ascii="Times New Roman" w:hAnsi="Times New Roman"/>
          <w:spacing w:val="-4"/>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licitação,</w:t>
      </w:r>
      <w:r>
        <w:rPr>
          <w:rFonts w:ascii="Times New Roman" w:hAnsi="Times New Roman"/>
          <w:spacing w:val="-4"/>
          <w:sz w:val="22"/>
        </w:rPr>
        <w:t> </w:t>
      </w:r>
      <w:r>
        <w:rPr>
          <w:rFonts w:ascii="Times New Roman" w:hAnsi="Times New Roman"/>
          <w:sz w:val="22"/>
        </w:rPr>
        <w:t>por</w:t>
      </w:r>
      <w:r>
        <w:rPr>
          <w:rFonts w:ascii="Times New Roman" w:hAnsi="Times New Roman"/>
          <w:spacing w:val="-3"/>
          <w:sz w:val="22"/>
        </w:rPr>
        <w:t> </w:t>
      </w:r>
      <w:r>
        <w:rPr>
          <w:rFonts w:ascii="Times New Roman" w:hAnsi="Times New Roman"/>
          <w:sz w:val="22"/>
        </w:rPr>
        <w:t>meio de pregão eletrônico público, para contratar os consultores que estão realizado os estudos modelagens e proposta de avaliação da</w:t>
      </w:r>
      <w:r>
        <w:rPr>
          <w:rFonts w:ascii="Times New Roman" w:hAnsi="Times New Roman"/>
          <w:spacing w:val="-3"/>
          <w:sz w:val="22"/>
        </w:rPr>
        <w:t> </w:t>
      </w:r>
      <w:r>
        <w:rPr>
          <w:rFonts w:ascii="Times New Roman" w:hAnsi="Times New Roman"/>
          <w:sz w:val="22"/>
        </w:rPr>
        <w:t>distribuidora.</w:t>
      </w:r>
    </w:p>
    <w:p>
      <w:pPr>
        <w:spacing w:line="360" w:lineRule="auto" w:before="122"/>
        <w:ind w:left="139" w:right="145" w:firstLine="720"/>
        <w:jc w:val="both"/>
        <w:rPr>
          <w:rFonts w:ascii="Times New Roman" w:hAnsi="Times New Roman"/>
          <w:sz w:val="22"/>
        </w:rPr>
      </w:pPr>
      <w:r>
        <w:rPr>
          <w:rFonts w:ascii="Times New Roman" w:hAnsi="Times New Roman"/>
          <w:sz w:val="22"/>
        </w:rPr>
        <w:t>O modelo utilizado pelo BNDES advém das regras contidas no Programa Nacional de Desestatização (PND), o qual pressupõe 02 (dois) serviços. O serviço A, que é um serviço exclusivamente de avaliação e o serviço B, que é composto pela avaliação e mais as diligências técnicas, econômicas e jurídicas que avaliam a empresa sob a ótica dos seus ativos regulatórios, fluxo de caixa, passivos, riscos regulatórios e jurídicos. Insumos estes que são remetidos a posteriori para o banco avaliador contatado para o serviço A, que irá avaliar o serviço A.</w:t>
      </w:r>
    </w:p>
    <w:p>
      <w:pPr>
        <w:spacing w:line="360" w:lineRule="auto" w:before="119"/>
        <w:ind w:left="139" w:right="138" w:firstLine="720"/>
        <w:jc w:val="both"/>
        <w:rPr>
          <w:rFonts w:ascii="Times New Roman" w:hAnsi="Times New Roman"/>
          <w:sz w:val="22"/>
        </w:rPr>
      </w:pPr>
      <w:r>
        <w:rPr>
          <w:rFonts w:ascii="Times New Roman" w:hAnsi="Times New Roman"/>
          <w:sz w:val="22"/>
        </w:rPr>
        <w:t>O processo seletivo conduzido pelo BNDES contou com a participação de doze empresas, entre consultorias nacionais e multinacionais. Ao final do certame sagraram-se vencedores: i) para o serviço A: o Consórcio BR/LMDM Power, formado pelas empresas BR Partners Assessoria Financeira LTDA e LMDM Consultoria LTDA, que será o responsável</w:t>
      </w:r>
      <w:r>
        <w:rPr>
          <w:rFonts w:ascii="Times New Roman" w:hAnsi="Times New Roman"/>
          <w:spacing w:val="-6"/>
          <w:sz w:val="22"/>
        </w:rPr>
        <w:t> </w:t>
      </w:r>
      <w:r>
        <w:rPr>
          <w:rFonts w:ascii="Times New Roman" w:hAnsi="Times New Roman"/>
          <w:sz w:val="22"/>
        </w:rPr>
        <w:t>por</w:t>
      </w:r>
      <w:r>
        <w:rPr>
          <w:rFonts w:ascii="Times New Roman" w:hAnsi="Times New Roman"/>
          <w:spacing w:val="-8"/>
          <w:sz w:val="22"/>
        </w:rPr>
        <w:t> </w:t>
      </w:r>
      <w:r>
        <w:rPr>
          <w:rFonts w:ascii="Times New Roman" w:hAnsi="Times New Roman"/>
          <w:sz w:val="22"/>
        </w:rPr>
        <w:t>realizar</w:t>
      </w:r>
      <w:r>
        <w:rPr>
          <w:rFonts w:ascii="Times New Roman" w:hAnsi="Times New Roman"/>
          <w:spacing w:val="-8"/>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avaliação</w:t>
      </w:r>
      <w:r>
        <w:rPr>
          <w:rFonts w:ascii="Times New Roman" w:hAnsi="Times New Roman"/>
          <w:spacing w:val="-7"/>
          <w:sz w:val="22"/>
        </w:rPr>
        <w:t> </w:t>
      </w:r>
      <w:r>
        <w:rPr>
          <w:rFonts w:ascii="Times New Roman" w:hAnsi="Times New Roman"/>
          <w:sz w:val="22"/>
        </w:rPr>
        <w:t>econômico-financeira</w:t>
      </w:r>
      <w:r>
        <w:rPr>
          <w:rFonts w:ascii="Times New Roman" w:hAnsi="Times New Roman"/>
          <w:spacing w:val="-6"/>
          <w:sz w:val="22"/>
        </w:rPr>
        <w:t> </w:t>
      </w:r>
      <w:r>
        <w:rPr>
          <w:rFonts w:ascii="Times New Roman" w:hAnsi="Times New Roman"/>
          <w:sz w:val="22"/>
        </w:rPr>
        <w:t>da</w:t>
      </w:r>
      <w:r>
        <w:rPr>
          <w:rFonts w:ascii="Times New Roman" w:hAnsi="Times New Roman"/>
          <w:spacing w:val="-7"/>
          <w:sz w:val="22"/>
        </w:rPr>
        <w:t> </w:t>
      </w:r>
      <w:r>
        <w:rPr>
          <w:rFonts w:ascii="Times New Roman" w:hAnsi="Times New Roman"/>
          <w:sz w:val="22"/>
        </w:rPr>
        <w:t>CEB</w:t>
      </w:r>
      <w:r>
        <w:rPr>
          <w:rFonts w:ascii="Times New Roman" w:hAnsi="Times New Roman"/>
          <w:spacing w:val="-7"/>
          <w:sz w:val="22"/>
        </w:rPr>
        <w:t> </w:t>
      </w:r>
      <w:r>
        <w:rPr>
          <w:rFonts w:ascii="Times New Roman" w:hAnsi="Times New Roman"/>
          <w:sz w:val="22"/>
        </w:rPr>
        <w:t>Distribuição</w:t>
      </w:r>
      <w:r>
        <w:rPr>
          <w:rFonts w:ascii="Times New Roman" w:hAnsi="Times New Roman"/>
          <w:spacing w:val="-7"/>
          <w:sz w:val="22"/>
        </w:rPr>
        <w:t> </w:t>
      </w:r>
      <w:r>
        <w:rPr>
          <w:rFonts w:ascii="Times New Roman" w:hAnsi="Times New Roman"/>
          <w:sz w:val="22"/>
        </w:rPr>
        <w:t>S.A.,</w:t>
      </w:r>
      <w:r>
        <w:rPr>
          <w:rFonts w:ascii="Times New Roman" w:hAnsi="Times New Roman"/>
          <w:spacing w:val="-6"/>
          <w:sz w:val="22"/>
        </w:rPr>
        <w:t> </w:t>
      </w:r>
      <w:r>
        <w:rPr>
          <w:rFonts w:ascii="Times New Roman" w:hAnsi="Times New Roman"/>
          <w:sz w:val="22"/>
        </w:rPr>
        <w:t>para</w:t>
      </w:r>
      <w:r>
        <w:rPr>
          <w:rFonts w:ascii="Times New Roman" w:hAnsi="Times New Roman"/>
          <w:spacing w:val="-9"/>
          <w:sz w:val="22"/>
        </w:rPr>
        <w:t> </w:t>
      </w:r>
      <w:r>
        <w:rPr>
          <w:rFonts w:ascii="Times New Roman" w:hAnsi="Times New Roman"/>
          <w:sz w:val="22"/>
        </w:rPr>
        <w:t>fins</w:t>
      </w:r>
      <w:r>
        <w:rPr>
          <w:rFonts w:ascii="Times New Roman" w:hAnsi="Times New Roman"/>
          <w:spacing w:val="-5"/>
          <w:sz w:val="22"/>
        </w:rPr>
        <w:t> </w:t>
      </w:r>
      <w:r>
        <w:rPr>
          <w:rFonts w:ascii="Times New Roman" w:hAnsi="Times New Roman"/>
          <w:sz w:val="22"/>
        </w:rPr>
        <w:t>de</w:t>
      </w:r>
      <w:r>
        <w:rPr>
          <w:rFonts w:ascii="Times New Roman" w:hAnsi="Times New Roman"/>
          <w:spacing w:val="-9"/>
          <w:sz w:val="22"/>
        </w:rPr>
        <w:t> </w:t>
      </w:r>
      <w:r>
        <w:rPr>
          <w:rFonts w:ascii="Times New Roman" w:hAnsi="Times New Roman"/>
          <w:sz w:val="22"/>
        </w:rPr>
        <w:t>determinação</w:t>
      </w:r>
      <w:r>
        <w:rPr>
          <w:rFonts w:ascii="Times New Roman" w:hAnsi="Times New Roman"/>
          <w:spacing w:val="-6"/>
          <w:sz w:val="22"/>
        </w:rPr>
        <w:t> </w:t>
      </w:r>
      <w:r>
        <w:rPr>
          <w:rFonts w:ascii="Times New Roman" w:hAnsi="Times New Roman"/>
          <w:sz w:val="22"/>
        </w:rPr>
        <w:t>do</w:t>
      </w:r>
      <w:r>
        <w:rPr>
          <w:rFonts w:ascii="Times New Roman" w:hAnsi="Times New Roman"/>
          <w:spacing w:val="-7"/>
          <w:sz w:val="22"/>
        </w:rPr>
        <w:t> </w:t>
      </w:r>
      <w:r>
        <w:rPr>
          <w:rFonts w:ascii="Times New Roman" w:hAnsi="Times New Roman"/>
          <w:sz w:val="22"/>
        </w:rPr>
        <w:t>preço</w:t>
      </w:r>
    </w:p>
    <w:p>
      <w:pPr>
        <w:spacing w:after="0" w:line="360" w:lineRule="auto"/>
        <w:jc w:val="both"/>
        <w:rPr>
          <w:rFonts w:ascii="Times New Roman" w:hAnsi="Times New Roman"/>
          <w:sz w:val="22"/>
        </w:rPr>
        <w:sectPr>
          <w:pgSz w:w="11920" w:h="16860"/>
          <w:pgMar w:header="0" w:footer="302" w:top="54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11" name="image2.jpeg"/>
            <wp:cNvGraphicFramePr>
              <a:graphicFrameLocks noChangeAspect="1"/>
            </wp:cNvGraphicFramePr>
            <a:graphic>
              <a:graphicData uri="http://schemas.openxmlformats.org/drawingml/2006/picture">
                <pic:pic>
                  <pic:nvPicPr>
                    <pic:cNvPr id="12"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139" w:right="0" w:firstLine="0"/>
        <w:jc w:val="both"/>
        <w:rPr>
          <w:rFonts w:ascii="Times New Roman" w:hAnsi="Times New Roman"/>
          <w:sz w:val="22"/>
        </w:rPr>
      </w:pPr>
      <w:r>
        <w:rPr>
          <w:rFonts w:ascii="Times New Roman" w:hAnsi="Times New Roman"/>
          <w:sz w:val="22"/>
        </w:rPr>
        <w:t>mínimo da venda das ações e/ou outro critério de desestatização que venha a ser definido; e ii) para o serviço B: o</w:t>
      </w:r>
    </w:p>
    <w:p>
      <w:pPr>
        <w:spacing w:line="360" w:lineRule="auto" w:before="126"/>
        <w:ind w:left="139" w:right="143" w:firstLine="0"/>
        <w:jc w:val="both"/>
        <w:rPr>
          <w:rFonts w:ascii="Times New Roman" w:hAnsi="Times New Roman"/>
          <w:sz w:val="22"/>
        </w:rPr>
      </w:pPr>
      <w:r>
        <w:rPr>
          <w:rFonts w:ascii="Times New Roman" w:hAnsi="Times New Roman"/>
          <w:sz w:val="22"/>
        </w:rPr>
        <w:t>Consórcio Nova CEB, liderado pelo Banco Plural S.A e composto pela Sociedade de advogados Demarest (Almeida, Rotemberg e Boscoli), a consultoria Thymos Energia, Engenharia e Consultoria LTDA, que ficará responsável por realizar a avaliação econômico-financeira da CEB Distribuição S.A.</w:t>
      </w:r>
    </w:p>
    <w:p>
      <w:pPr>
        <w:spacing w:line="360" w:lineRule="auto" w:before="120"/>
        <w:ind w:left="139" w:right="142" w:firstLine="720"/>
        <w:jc w:val="both"/>
        <w:rPr>
          <w:rFonts w:ascii="Times New Roman" w:hAnsi="Times New Roman"/>
          <w:sz w:val="22"/>
        </w:rPr>
      </w:pPr>
      <w:r>
        <w:rPr>
          <w:rFonts w:ascii="Times New Roman" w:hAnsi="Times New Roman"/>
          <w:sz w:val="22"/>
        </w:rPr>
        <w:t>O</w:t>
      </w:r>
      <w:r>
        <w:rPr>
          <w:rFonts w:ascii="Times New Roman" w:hAnsi="Times New Roman"/>
          <w:spacing w:val="-5"/>
          <w:sz w:val="22"/>
        </w:rPr>
        <w:t> </w:t>
      </w:r>
      <w:r>
        <w:rPr>
          <w:rFonts w:ascii="Times New Roman" w:hAnsi="Times New Roman"/>
          <w:sz w:val="22"/>
        </w:rPr>
        <w:t>início</w:t>
      </w:r>
      <w:r>
        <w:rPr>
          <w:rFonts w:ascii="Times New Roman" w:hAnsi="Times New Roman"/>
          <w:spacing w:val="-3"/>
          <w:sz w:val="22"/>
        </w:rPr>
        <w:t> </w:t>
      </w:r>
      <w:r>
        <w:rPr>
          <w:rFonts w:ascii="Times New Roman" w:hAnsi="Times New Roman"/>
          <w:sz w:val="22"/>
        </w:rPr>
        <w:t>dos</w:t>
      </w:r>
      <w:r>
        <w:rPr>
          <w:rFonts w:ascii="Times New Roman" w:hAnsi="Times New Roman"/>
          <w:spacing w:val="-4"/>
          <w:sz w:val="22"/>
        </w:rPr>
        <w:t> </w:t>
      </w:r>
      <w:r>
        <w:rPr>
          <w:rFonts w:ascii="Times New Roman" w:hAnsi="Times New Roman"/>
          <w:sz w:val="22"/>
        </w:rPr>
        <w:t>trabalhos</w:t>
      </w:r>
      <w:r>
        <w:rPr>
          <w:rFonts w:ascii="Times New Roman" w:hAnsi="Times New Roman"/>
          <w:spacing w:val="-5"/>
          <w:sz w:val="22"/>
        </w:rPr>
        <w:t> </w:t>
      </w:r>
      <w:r>
        <w:rPr>
          <w:rFonts w:ascii="Times New Roman" w:hAnsi="Times New Roman"/>
          <w:sz w:val="22"/>
        </w:rPr>
        <w:t>se</w:t>
      </w:r>
      <w:r>
        <w:rPr>
          <w:rFonts w:ascii="Times New Roman" w:hAnsi="Times New Roman"/>
          <w:spacing w:val="-2"/>
          <w:sz w:val="22"/>
        </w:rPr>
        <w:t> </w:t>
      </w:r>
      <w:r>
        <w:rPr>
          <w:rFonts w:ascii="Times New Roman" w:hAnsi="Times New Roman"/>
          <w:sz w:val="22"/>
        </w:rPr>
        <w:t>deu</w:t>
      </w:r>
      <w:r>
        <w:rPr>
          <w:rFonts w:ascii="Times New Roman" w:hAnsi="Times New Roman"/>
          <w:spacing w:val="-3"/>
          <w:sz w:val="22"/>
        </w:rPr>
        <w:t> </w:t>
      </w:r>
      <w:r>
        <w:rPr>
          <w:rFonts w:ascii="Times New Roman" w:hAnsi="Times New Roman"/>
          <w:sz w:val="22"/>
        </w:rPr>
        <w:t>em</w:t>
      </w:r>
      <w:r>
        <w:rPr>
          <w:rFonts w:ascii="Times New Roman" w:hAnsi="Times New Roman"/>
          <w:spacing w:val="-6"/>
          <w:sz w:val="22"/>
        </w:rPr>
        <w:t> </w:t>
      </w:r>
      <w:r>
        <w:rPr>
          <w:rFonts w:ascii="Times New Roman" w:hAnsi="Times New Roman"/>
          <w:sz w:val="22"/>
        </w:rPr>
        <w:t>janeiro</w:t>
      </w:r>
      <w:r>
        <w:rPr>
          <w:rFonts w:ascii="Times New Roman" w:hAnsi="Times New Roman"/>
          <w:spacing w:val="-4"/>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2020</w:t>
      </w:r>
      <w:r>
        <w:rPr>
          <w:rFonts w:ascii="Times New Roman" w:hAnsi="Times New Roman"/>
          <w:spacing w:val="-5"/>
          <w:sz w:val="22"/>
        </w:rPr>
        <w:t> </w:t>
      </w:r>
      <w:r>
        <w:rPr>
          <w:rFonts w:ascii="Times New Roman" w:hAnsi="Times New Roman"/>
          <w:sz w:val="22"/>
        </w:rPr>
        <w:t>e</w:t>
      </w:r>
      <w:r>
        <w:rPr>
          <w:rFonts w:ascii="Times New Roman" w:hAnsi="Times New Roman"/>
          <w:spacing w:val="-2"/>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apresentação</w:t>
      </w:r>
      <w:r>
        <w:rPr>
          <w:rFonts w:ascii="Times New Roman" w:hAnsi="Times New Roman"/>
          <w:spacing w:val="-3"/>
          <w:sz w:val="22"/>
        </w:rPr>
        <w:t> </w:t>
      </w:r>
      <w:r>
        <w:rPr>
          <w:rFonts w:ascii="Times New Roman" w:hAnsi="Times New Roman"/>
          <w:sz w:val="22"/>
        </w:rPr>
        <w:t>dos</w:t>
      </w:r>
      <w:r>
        <w:rPr>
          <w:rFonts w:ascii="Times New Roman" w:hAnsi="Times New Roman"/>
          <w:spacing w:val="-2"/>
          <w:sz w:val="22"/>
        </w:rPr>
        <w:t> </w:t>
      </w:r>
      <w:r>
        <w:rPr>
          <w:rFonts w:ascii="Times New Roman" w:hAnsi="Times New Roman"/>
          <w:sz w:val="22"/>
        </w:rPr>
        <w:t>resultados</w:t>
      </w:r>
      <w:r>
        <w:rPr>
          <w:rFonts w:ascii="Times New Roman" w:hAnsi="Times New Roman"/>
          <w:spacing w:val="-2"/>
          <w:sz w:val="22"/>
        </w:rPr>
        <w:t> </w:t>
      </w:r>
      <w:r>
        <w:rPr>
          <w:rFonts w:ascii="Times New Roman" w:hAnsi="Times New Roman"/>
          <w:sz w:val="22"/>
        </w:rPr>
        <w:t>à</w:t>
      </w:r>
      <w:r>
        <w:rPr>
          <w:rFonts w:ascii="Times New Roman" w:hAnsi="Times New Roman"/>
          <w:spacing w:val="-6"/>
          <w:sz w:val="22"/>
        </w:rPr>
        <w:t> </w:t>
      </w:r>
      <w:r>
        <w:rPr>
          <w:rFonts w:ascii="Times New Roman" w:hAnsi="Times New Roman"/>
          <w:sz w:val="22"/>
        </w:rPr>
        <w:t>CEB</w:t>
      </w:r>
      <w:r>
        <w:rPr>
          <w:rFonts w:ascii="Times New Roman" w:hAnsi="Times New Roman"/>
          <w:spacing w:val="-4"/>
          <w:sz w:val="22"/>
        </w:rPr>
        <w:t> </w:t>
      </w:r>
      <w:r>
        <w:rPr>
          <w:rFonts w:ascii="Times New Roman" w:hAnsi="Times New Roman"/>
          <w:sz w:val="22"/>
        </w:rPr>
        <w:t>está</w:t>
      </w:r>
      <w:r>
        <w:rPr>
          <w:rFonts w:ascii="Times New Roman" w:hAnsi="Times New Roman"/>
          <w:spacing w:val="-2"/>
          <w:sz w:val="22"/>
        </w:rPr>
        <w:t> </w:t>
      </w:r>
      <w:r>
        <w:rPr>
          <w:rFonts w:ascii="Times New Roman" w:hAnsi="Times New Roman"/>
          <w:sz w:val="22"/>
        </w:rPr>
        <w:t>prevista</w:t>
      </w:r>
      <w:r>
        <w:rPr>
          <w:rFonts w:ascii="Times New Roman" w:hAnsi="Times New Roman"/>
          <w:spacing w:val="-2"/>
          <w:sz w:val="22"/>
        </w:rPr>
        <w:t> </w:t>
      </w:r>
      <w:r>
        <w:rPr>
          <w:rFonts w:ascii="Times New Roman" w:hAnsi="Times New Roman"/>
          <w:sz w:val="22"/>
        </w:rPr>
        <w:t>para</w:t>
      </w:r>
      <w:r>
        <w:rPr>
          <w:rFonts w:ascii="Times New Roman" w:hAnsi="Times New Roman"/>
          <w:spacing w:val="-3"/>
          <w:sz w:val="22"/>
        </w:rPr>
        <w:t> </w:t>
      </w:r>
      <w:r>
        <w:rPr>
          <w:rFonts w:ascii="Times New Roman" w:hAnsi="Times New Roman"/>
          <w:sz w:val="22"/>
        </w:rPr>
        <w:t>o</w:t>
      </w:r>
      <w:r>
        <w:rPr>
          <w:rFonts w:ascii="Times New Roman" w:hAnsi="Times New Roman"/>
          <w:spacing w:val="-3"/>
          <w:sz w:val="22"/>
        </w:rPr>
        <w:t> </w:t>
      </w:r>
      <w:r>
        <w:rPr>
          <w:rFonts w:ascii="Times New Roman" w:hAnsi="Times New Roman"/>
          <w:sz w:val="22"/>
        </w:rPr>
        <w:t>mês de abril de 2020, ocasião em que, com base nesta avaliação, será submetida aos acionistas a validação da modelagem e do preço mínimo conferido à CEB Distribuição S.A., que será objeto de leilão público na Bolsa de Valores</w:t>
      </w:r>
      <w:r>
        <w:rPr>
          <w:rFonts w:ascii="Times New Roman" w:hAnsi="Times New Roman"/>
          <w:spacing w:val="-21"/>
          <w:sz w:val="22"/>
        </w:rPr>
        <w:t> </w:t>
      </w:r>
      <w:r>
        <w:rPr>
          <w:rFonts w:ascii="Times New Roman" w:hAnsi="Times New Roman"/>
          <w:sz w:val="22"/>
        </w:rPr>
        <w:t>B3.</w:t>
      </w:r>
    </w:p>
    <w:p>
      <w:pPr>
        <w:spacing w:line="360" w:lineRule="auto" w:before="119"/>
        <w:ind w:left="139" w:right="144" w:firstLine="708"/>
        <w:jc w:val="both"/>
        <w:rPr>
          <w:rFonts w:ascii="Times New Roman" w:hAnsi="Times New Roman"/>
          <w:sz w:val="22"/>
        </w:rPr>
      </w:pPr>
      <w:r>
        <w:rPr>
          <w:rFonts w:ascii="Times New Roman" w:hAnsi="Times New Roman"/>
          <w:sz w:val="22"/>
        </w:rPr>
        <w:t>A equipe CEB e as equipes técnicas do BNDES e dos Consórcios contratados têm trabalhado permanentemente de forma a criar todas as condições técnica e prestar todas as informações necessárias que venham a resultar em uma avaliação adequada e técnica por parte dos Consórcios contratados.</w:t>
      </w:r>
    </w:p>
    <w:p>
      <w:pPr>
        <w:spacing w:line="360" w:lineRule="auto" w:before="122"/>
        <w:ind w:left="139" w:right="137" w:firstLine="708"/>
        <w:jc w:val="both"/>
        <w:rPr>
          <w:rFonts w:ascii="Times New Roman" w:hAnsi="Times New Roman"/>
          <w:sz w:val="22"/>
        </w:rPr>
      </w:pPr>
      <w:r>
        <w:rPr>
          <w:rFonts w:ascii="Times New Roman" w:hAnsi="Times New Roman"/>
          <w:sz w:val="22"/>
        </w:rPr>
        <w:t>Também, será necessário atuar com vistas a equacionar a continuidade do negócio da CEB Geração, tendo em vista o fim do contrato de concessão da PCH Paranoá, que se encerra em 29 de abril de 2020. A empresa envidará esforçosa fim de viabilizar a continuidade operacional da Usina.</w:t>
      </w:r>
    </w:p>
    <w:p>
      <w:pPr>
        <w:spacing w:line="360" w:lineRule="auto" w:before="119"/>
        <w:ind w:left="139" w:right="137" w:firstLine="708"/>
        <w:jc w:val="both"/>
        <w:rPr>
          <w:rFonts w:ascii="Times New Roman" w:hAnsi="Times New Roman"/>
          <w:sz w:val="22"/>
        </w:rPr>
      </w:pPr>
      <w:r>
        <w:rPr>
          <w:rFonts w:ascii="Times New Roman" w:hAnsi="Times New Roman"/>
          <w:sz w:val="22"/>
        </w:rPr>
        <w:t>A Companhia Energética de Brasilia se mantém como a gestora operacional da manutenção e implantação do parque de iluminação pública do Distrito Federal. O parque de IP é composto atualmente por cerca de 303 mil pontos, cuja</w:t>
      </w:r>
      <w:r>
        <w:rPr>
          <w:rFonts w:ascii="Times New Roman" w:hAnsi="Times New Roman"/>
          <w:spacing w:val="-6"/>
          <w:sz w:val="22"/>
        </w:rPr>
        <w:t> </w:t>
      </w:r>
      <w:r>
        <w:rPr>
          <w:rFonts w:ascii="Times New Roman" w:hAnsi="Times New Roman"/>
          <w:sz w:val="22"/>
        </w:rPr>
        <w:t>manutenção</w:t>
      </w:r>
      <w:r>
        <w:rPr>
          <w:rFonts w:ascii="Times New Roman" w:hAnsi="Times New Roman"/>
          <w:spacing w:val="-6"/>
          <w:sz w:val="22"/>
        </w:rPr>
        <w:t> </w:t>
      </w:r>
      <w:r>
        <w:rPr>
          <w:rFonts w:ascii="Times New Roman" w:hAnsi="Times New Roman"/>
          <w:sz w:val="22"/>
        </w:rPr>
        <w:t>é</w:t>
      </w:r>
      <w:r>
        <w:rPr>
          <w:rFonts w:ascii="Times New Roman" w:hAnsi="Times New Roman"/>
          <w:spacing w:val="-6"/>
          <w:sz w:val="22"/>
        </w:rPr>
        <w:t> </w:t>
      </w:r>
      <w:r>
        <w:rPr>
          <w:rFonts w:ascii="Times New Roman" w:hAnsi="Times New Roman"/>
          <w:sz w:val="22"/>
        </w:rPr>
        <w:t>realizada</w:t>
      </w:r>
      <w:r>
        <w:rPr>
          <w:rFonts w:ascii="Times New Roman" w:hAnsi="Times New Roman"/>
          <w:spacing w:val="-3"/>
          <w:sz w:val="22"/>
        </w:rPr>
        <w:t> </w:t>
      </w:r>
      <w:r>
        <w:rPr>
          <w:rFonts w:ascii="Times New Roman" w:hAnsi="Times New Roman"/>
          <w:sz w:val="22"/>
        </w:rPr>
        <w:t>por</w:t>
      </w:r>
      <w:r>
        <w:rPr>
          <w:rFonts w:ascii="Times New Roman" w:hAnsi="Times New Roman"/>
          <w:spacing w:val="-5"/>
          <w:sz w:val="22"/>
        </w:rPr>
        <w:t> </w:t>
      </w:r>
      <w:r>
        <w:rPr>
          <w:rFonts w:ascii="Times New Roman" w:hAnsi="Times New Roman"/>
          <w:sz w:val="22"/>
        </w:rPr>
        <w:t>empresas</w:t>
      </w:r>
      <w:r>
        <w:rPr>
          <w:rFonts w:ascii="Times New Roman" w:hAnsi="Times New Roman"/>
          <w:spacing w:val="-5"/>
          <w:sz w:val="22"/>
        </w:rPr>
        <w:t> </w:t>
      </w:r>
      <w:r>
        <w:rPr>
          <w:rFonts w:ascii="Times New Roman" w:hAnsi="Times New Roman"/>
          <w:sz w:val="22"/>
        </w:rPr>
        <w:t>contratadas.</w:t>
      </w:r>
      <w:r>
        <w:rPr>
          <w:rFonts w:ascii="Times New Roman" w:hAnsi="Times New Roman"/>
          <w:spacing w:val="-6"/>
          <w:sz w:val="22"/>
        </w:rPr>
        <w:t> </w:t>
      </w:r>
      <w:r>
        <w:rPr>
          <w:rFonts w:ascii="Times New Roman" w:hAnsi="Times New Roman"/>
          <w:sz w:val="22"/>
        </w:rPr>
        <w:t>A</w:t>
      </w:r>
      <w:r>
        <w:rPr>
          <w:rFonts w:ascii="Times New Roman" w:hAnsi="Times New Roman"/>
          <w:spacing w:val="-4"/>
          <w:sz w:val="22"/>
        </w:rPr>
        <w:t> </w:t>
      </w:r>
      <w:r>
        <w:rPr>
          <w:rFonts w:ascii="Times New Roman" w:hAnsi="Times New Roman"/>
          <w:sz w:val="22"/>
        </w:rPr>
        <w:t>Companhia</w:t>
      </w:r>
      <w:r>
        <w:rPr>
          <w:rFonts w:ascii="Times New Roman" w:hAnsi="Times New Roman"/>
          <w:spacing w:val="-6"/>
          <w:sz w:val="22"/>
        </w:rPr>
        <w:t> </w:t>
      </w:r>
      <w:r>
        <w:rPr>
          <w:rFonts w:ascii="Times New Roman" w:hAnsi="Times New Roman"/>
          <w:sz w:val="22"/>
        </w:rPr>
        <w:t>refez</w:t>
      </w:r>
      <w:r>
        <w:rPr>
          <w:rFonts w:ascii="Times New Roman" w:hAnsi="Times New Roman"/>
          <w:spacing w:val="-8"/>
          <w:sz w:val="22"/>
        </w:rPr>
        <w:t> </w:t>
      </w:r>
      <w:r>
        <w:rPr>
          <w:rFonts w:ascii="Times New Roman" w:hAnsi="Times New Roman"/>
          <w:sz w:val="22"/>
        </w:rPr>
        <w:t>as</w:t>
      </w:r>
      <w:r>
        <w:rPr>
          <w:rFonts w:ascii="Times New Roman" w:hAnsi="Times New Roman"/>
          <w:spacing w:val="-5"/>
          <w:sz w:val="22"/>
        </w:rPr>
        <w:t> </w:t>
      </w:r>
      <w:r>
        <w:rPr>
          <w:rFonts w:ascii="Times New Roman" w:hAnsi="Times New Roman"/>
          <w:sz w:val="22"/>
        </w:rPr>
        <w:t>licitações</w:t>
      </w:r>
      <w:r>
        <w:rPr>
          <w:rFonts w:ascii="Times New Roman" w:hAnsi="Times New Roman"/>
          <w:spacing w:val="-5"/>
          <w:sz w:val="22"/>
        </w:rPr>
        <w:t> </w:t>
      </w:r>
      <w:r>
        <w:rPr>
          <w:rFonts w:ascii="Times New Roman" w:hAnsi="Times New Roman"/>
          <w:sz w:val="22"/>
        </w:rPr>
        <w:t>dessa</w:t>
      </w:r>
      <w:r>
        <w:rPr>
          <w:rFonts w:ascii="Times New Roman" w:hAnsi="Times New Roman"/>
          <w:spacing w:val="-6"/>
          <w:sz w:val="22"/>
        </w:rPr>
        <w:t> </w:t>
      </w:r>
      <w:r>
        <w:rPr>
          <w:rFonts w:ascii="Times New Roman" w:hAnsi="Times New Roman"/>
          <w:sz w:val="22"/>
        </w:rPr>
        <w:t>manutenção,</w:t>
      </w:r>
      <w:r>
        <w:rPr>
          <w:rFonts w:ascii="Times New Roman" w:hAnsi="Times New Roman"/>
          <w:spacing w:val="-6"/>
          <w:sz w:val="22"/>
        </w:rPr>
        <w:t> </w:t>
      </w:r>
      <w:r>
        <w:rPr>
          <w:rFonts w:ascii="Times New Roman" w:hAnsi="Times New Roman"/>
          <w:sz w:val="22"/>
        </w:rPr>
        <w:t>tendo</w:t>
      </w:r>
      <w:r>
        <w:rPr>
          <w:rFonts w:ascii="Times New Roman" w:hAnsi="Times New Roman"/>
          <w:spacing w:val="-3"/>
          <w:sz w:val="22"/>
        </w:rPr>
        <w:t> </w:t>
      </w:r>
      <w:r>
        <w:rPr>
          <w:rFonts w:ascii="Times New Roman" w:hAnsi="Times New Roman"/>
          <w:sz w:val="22"/>
        </w:rPr>
        <w:t>havido a substituição de uma empresa que não vinha atendendo na qualidade que se esperava, e as novas licitações resultaram em novos contratos com a redução de cerca de 20% nos preços mensais que vinham sendo praticados nos contratos anteriores. Os serviços de iluminação pública, que a CEB gerencia por contrato com a Secretaria de Estado de Obras, geraram receita operacional líquida da ordem de R$ 60.270 mil no exercício. Há também expediente do Senhor Governador do Distrito Federal, dirigido a esta Companhia, com a proposta de que a CEB seja a delegatária de gerenciamento dos serviços de iluminação pública no DF, podendo, inclusive, constituir subsidiária integral para ser a operadora</w:t>
      </w:r>
      <w:r>
        <w:rPr>
          <w:rFonts w:ascii="Times New Roman" w:hAnsi="Times New Roman"/>
          <w:spacing w:val="-11"/>
          <w:sz w:val="22"/>
        </w:rPr>
        <w:t> </w:t>
      </w:r>
      <w:r>
        <w:rPr>
          <w:rFonts w:ascii="Times New Roman" w:hAnsi="Times New Roman"/>
          <w:sz w:val="22"/>
        </w:rPr>
        <w:t>do</w:t>
      </w:r>
      <w:r>
        <w:rPr>
          <w:rFonts w:ascii="Times New Roman" w:hAnsi="Times New Roman"/>
          <w:spacing w:val="-11"/>
          <w:sz w:val="22"/>
        </w:rPr>
        <w:t> </w:t>
      </w:r>
      <w:r>
        <w:rPr>
          <w:rFonts w:ascii="Times New Roman" w:hAnsi="Times New Roman"/>
          <w:sz w:val="22"/>
        </w:rPr>
        <w:t>sistema.</w:t>
      </w:r>
      <w:r>
        <w:rPr>
          <w:rFonts w:ascii="Times New Roman" w:hAnsi="Times New Roman"/>
          <w:spacing w:val="-11"/>
          <w:sz w:val="22"/>
        </w:rPr>
        <w:t> </w:t>
      </w:r>
      <w:r>
        <w:rPr>
          <w:rFonts w:ascii="Times New Roman" w:hAnsi="Times New Roman"/>
          <w:sz w:val="22"/>
        </w:rPr>
        <w:t>Essa</w:t>
      </w:r>
      <w:r>
        <w:rPr>
          <w:rFonts w:ascii="Times New Roman" w:hAnsi="Times New Roman"/>
          <w:spacing w:val="-13"/>
          <w:sz w:val="22"/>
        </w:rPr>
        <w:t> </w:t>
      </w:r>
      <w:r>
        <w:rPr>
          <w:rFonts w:ascii="Times New Roman" w:hAnsi="Times New Roman"/>
          <w:sz w:val="22"/>
        </w:rPr>
        <w:t>matéria</w:t>
      </w:r>
      <w:r>
        <w:rPr>
          <w:rFonts w:ascii="Times New Roman" w:hAnsi="Times New Roman"/>
          <w:spacing w:val="-12"/>
          <w:sz w:val="22"/>
        </w:rPr>
        <w:t> </w:t>
      </w:r>
      <w:r>
        <w:rPr>
          <w:rFonts w:ascii="Times New Roman" w:hAnsi="Times New Roman"/>
          <w:sz w:val="22"/>
        </w:rPr>
        <w:t>ainda</w:t>
      </w:r>
      <w:r>
        <w:rPr>
          <w:rFonts w:ascii="Times New Roman" w:hAnsi="Times New Roman"/>
          <w:spacing w:val="-11"/>
          <w:sz w:val="22"/>
        </w:rPr>
        <w:t> </w:t>
      </w:r>
      <w:r>
        <w:rPr>
          <w:rFonts w:ascii="Times New Roman" w:hAnsi="Times New Roman"/>
          <w:sz w:val="22"/>
        </w:rPr>
        <w:t>está</w:t>
      </w:r>
      <w:r>
        <w:rPr>
          <w:rFonts w:ascii="Times New Roman" w:hAnsi="Times New Roman"/>
          <w:spacing w:val="-13"/>
          <w:sz w:val="22"/>
        </w:rPr>
        <w:t> </w:t>
      </w:r>
      <w:r>
        <w:rPr>
          <w:rFonts w:ascii="Times New Roman" w:hAnsi="Times New Roman"/>
          <w:sz w:val="22"/>
        </w:rPr>
        <w:t>em</w:t>
      </w:r>
      <w:r>
        <w:rPr>
          <w:rFonts w:ascii="Times New Roman" w:hAnsi="Times New Roman"/>
          <w:spacing w:val="-14"/>
          <w:sz w:val="22"/>
        </w:rPr>
        <w:t> </w:t>
      </w:r>
      <w:r>
        <w:rPr>
          <w:rFonts w:ascii="Times New Roman" w:hAnsi="Times New Roman"/>
          <w:sz w:val="22"/>
        </w:rPr>
        <w:t>estudos</w:t>
      </w:r>
      <w:r>
        <w:rPr>
          <w:rFonts w:ascii="Times New Roman" w:hAnsi="Times New Roman"/>
          <w:spacing w:val="-9"/>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desenvolvimento</w:t>
      </w:r>
      <w:r>
        <w:rPr>
          <w:rFonts w:ascii="Times New Roman" w:hAnsi="Times New Roman"/>
          <w:spacing w:val="-11"/>
          <w:sz w:val="22"/>
        </w:rPr>
        <w:t> </w:t>
      </w:r>
      <w:r>
        <w:rPr>
          <w:rFonts w:ascii="Times New Roman" w:hAnsi="Times New Roman"/>
          <w:sz w:val="22"/>
        </w:rPr>
        <w:t>pelas</w:t>
      </w:r>
      <w:r>
        <w:rPr>
          <w:rFonts w:ascii="Times New Roman" w:hAnsi="Times New Roman"/>
          <w:spacing w:val="-13"/>
          <w:sz w:val="22"/>
        </w:rPr>
        <w:t> </w:t>
      </w:r>
      <w:r>
        <w:rPr>
          <w:rFonts w:ascii="Times New Roman" w:hAnsi="Times New Roman"/>
          <w:sz w:val="22"/>
        </w:rPr>
        <w:t>áreas</w:t>
      </w:r>
      <w:r>
        <w:rPr>
          <w:rFonts w:ascii="Times New Roman" w:hAnsi="Times New Roman"/>
          <w:spacing w:val="-12"/>
          <w:sz w:val="22"/>
        </w:rPr>
        <w:t> </w:t>
      </w:r>
      <w:r>
        <w:rPr>
          <w:rFonts w:ascii="Times New Roman" w:hAnsi="Times New Roman"/>
          <w:sz w:val="22"/>
        </w:rPr>
        <w:t>jurídica</w:t>
      </w:r>
      <w:r>
        <w:rPr>
          <w:rFonts w:ascii="Times New Roman" w:hAnsi="Times New Roman"/>
          <w:spacing w:val="-10"/>
          <w:sz w:val="22"/>
        </w:rPr>
        <w:t> </w:t>
      </w:r>
      <w:r>
        <w:rPr>
          <w:rFonts w:ascii="Times New Roman" w:hAnsi="Times New Roman"/>
          <w:sz w:val="22"/>
        </w:rPr>
        <w:t>e</w:t>
      </w:r>
      <w:r>
        <w:rPr>
          <w:rFonts w:ascii="Times New Roman" w:hAnsi="Times New Roman"/>
          <w:spacing w:val="-13"/>
          <w:sz w:val="22"/>
        </w:rPr>
        <w:t> </w:t>
      </w:r>
      <w:r>
        <w:rPr>
          <w:rFonts w:ascii="Times New Roman" w:hAnsi="Times New Roman"/>
          <w:sz w:val="22"/>
        </w:rPr>
        <w:t>técnica</w:t>
      </w:r>
      <w:r>
        <w:rPr>
          <w:rFonts w:ascii="Times New Roman" w:hAnsi="Times New Roman"/>
          <w:spacing w:val="-11"/>
          <w:sz w:val="22"/>
        </w:rPr>
        <w:t> </w:t>
      </w:r>
      <w:r>
        <w:rPr>
          <w:rFonts w:ascii="Times New Roman" w:hAnsi="Times New Roman"/>
          <w:sz w:val="22"/>
        </w:rPr>
        <w:t>da</w:t>
      </w:r>
      <w:r>
        <w:rPr>
          <w:rFonts w:ascii="Times New Roman" w:hAnsi="Times New Roman"/>
          <w:spacing w:val="-10"/>
          <w:sz w:val="22"/>
        </w:rPr>
        <w:t> </w:t>
      </w:r>
      <w:r>
        <w:rPr>
          <w:rFonts w:ascii="Times New Roman" w:hAnsi="Times New Roman"/>
          <w:sz w:val="22"/>
        </w:rPr>
        <w:t>Companhia.</w:t>
      </w:r>
    </w:p>
    <w:p>
      <w:pPr>
        <w:spacing w:line="360" w:lineRule="auto" w:before="120"/>
        <w:ind w:left="139" w:right="137" w:firstLine="708"/>
        <w:jc w:val="both"/>
        <w:rPr>
          <w:rFonts w:ascii="Times New Roman" w:hAnsi="Times New Roman"/>
          <w:sz w:val="22"/>
        </w:rPr>
      </w:pPr>
      <w:r>
        <w:rPr>
          <w:rFonts w:ascii="Times New Roman" w:hAnsi="Times New Roman"/>
          <w:sz w:val="22"/>
        </w:rPr>
        <w:t>Finalmente,</w:t>
      </w:r>
      <w:r>
        <w:rPr>
          <w:rFonts w:ascii="Times New Roman" w:hAnsi="Times New Roman"/>
          <w:spacing w:val="-7"/>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CEB</w:t>
      </w:r>
      <w:r>
        <w:rPr>
          <w:rFonts w:ascii="Times New Roman" w:hAnsi="Times New Roman"/>
          <w:spacing w:val="-7"/>
          <w:sz w:val="22"/>
        </w:rPr>
        <w:t> </w:t>
      </w:r>
      <w:r>
        <w:rPr>
          <w:rFonts w:ascii="Times New Roman" w:hAnsi="Times New Roman"/>
          <w:sz w:val="22"/>
        </w:rPr>
        <w:t>agradece</w:t>
      </w:r>
      <w:r>
        <w:rPr>
          <w:rFonts w:ascii="Times New Roman" w:hAnsi="Times New Roman"/>
          <w:spacing w:val="-6"/>
          <w:sz w:val="22"/>
        </w:rPr>
        <w:t> </w:t>
      </w:r>
      <w:r>
        <w:rPr>
          <w:rFonts w:ascii="Times New Roman" w:hAnsi="Times New Roman"/>
          <w:sz w:val="22"/>
        </w:rPr>
        <w:t>aos</w:t>
      </w:r>
      <w:r>
        <w:rPr>
          <w:rFonts w:ascii="Times New Roman" w:hAnsi="Times New Roman"/>
          <w:spacing w:val="-8"/>
          <w:sz w:val="22"/>
        </w:rPr>
        <w:t> </w:t>
      </w:r>
      <w:r>
        <w:rPr>
          <w:rFonts w:ascii="Times New Roman" w:hAnsi="Times New Roman"/>
          <w:sz w:val="22"/>
        </w:rPr>
        <w:t>seus</w:t>
      </w:r>
      <w:r>
        <w:rPr>
          <w:rFonts w:ascii="Times New Roman" w:hAnsi="Times New Roman"/>
          <w:spacing w:val="-8"/>
          <w:sz w:val="22"/>
        </w:rPr>
        <w:t> </w:t>
      </w:r>
      <w:r>
        <w:rPr>
          <w:rFonts w:ascii="Times New Roman" w:hAnsi="Times New Roman"/>
          <w:sz w:val="22"/>
        </w:rPr>
        <w:t>consumidores,</w:t>
      </w:r>
      <w:r>
        <w:rPr>
          <w:rFonts w:ascii="Times New Roman" w:hAnsi="Times New Roman"/>
          <w:spacing w:val="-10"/>
          <w:sz w:val="22"/>
        </w:rPr>
        <w:t> </w:t>
      </w:r>
      <w:r>
        <w:rPr>
          <w:rFonts w:ascii="Times New Roman" w:hAnsi="Times New Roman"/>
          <w:sz w:val="22"/>
        </w:rPr>
        <w:t>fornecedores,</w:t>
      </w:r>
      <w:r>
        <w:rPr>
          <w:rFonts w:ascii="Times New Roman" w:hAnsi="Times New Roman"/>
          <w:spacing w:val="-9"/>
          <w:sz w:val="22"/>
        </w:rPr>
        <w:t> </w:t>
      </w:r>
      <w:r>
        <w:rPr>
          <w:rFonts w:ascii="Times New Roman" w:hAnsi="Times New Roman"/>
          <w:sz w:val="22"/>
        </w:rPr>
        <w:t>acionistas,</w:t>
      </w:r>
      <w:r>
        <w:rPr>
          <w:rFonts w:ascii="Times New Roman" w:hAnsi="Times New Roman"/>
          <w:spacing w:val="-9"/>
          <w:sz w:val="22"/>
        </w:rPr>
        <w:t> </w:t>
      </w:r>
      <w:r>
        <w:rPr>
          <w:rFonts w:ascii="Times New Roman" w:hAnsi="Times New Roman"/>
          <w:sz w:val="22"/>
        </w:rPr>
        <w:t>colaboradores,</w:t>
      </w:r>
      <w:r>
        <w:rPr>
          <w:rFonts w:ascii="Times New Roman" w:hAnsi="Times New Roman"/>
          <w:spacing w:val="-5"/>
          <w:sz w:val="22"/>
        </w:rPr>
        <w:t> </w:t>
      </w:r>
      <w:r>
        <w:rPr>
          <w:rFonts w:ascii="Times New Roman" w:hAnsi="Times New Roman"/>
          <w:sz w:val="22"/>
        </w:rPr>
        <w:t>entidades</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classe e à população do Distrito Federal pela confiança depositada em sua gestão, e reafirma seu compromisso de continuar prestando serviços de energia elétrica com qualidade e</w:t>
      </w:r>
      <w:r>
        <w:rPr>
          <w:rFonts w:ascii="Times New Roman" w:hAnsi="Times New Roman"/>
          <w:spacing w:val="-13"/>
          <w:sz w:val="22"/>
        </w:rPr>
        <w:t> </w:t>
      </w:r>
      <w:r>
        <w:rPr>
          <w:rFonts w:ascii="Times New Roman" w:hAnsi="Times New Roman"/>
          <w:sz w:val="22"/>
        </w:rPr>
        <w:t>confiabilidade.</w:t>
      </w:r>
    </w:p>
    <w:p>
      <w:pPr>
        <w:pStyle w:val="BodyText"/>
        <w:rPr>
          <w:rFonts w:ascii="Times New Roman"/>
          <w:sz w:val="24"/>
        </w:rPr>
      </w:pPr>
    </w:p>
    <w:p>
      <w:pPr>
        <w:pStyle w:val="BodyText"/>
        <w:rPr>
          <w:rFonts w:ascii="Times New Roman"/>
          <w:sz w:val="30"/>
        </w:rPr>
      </w:pPr>
    </w:p>
    <w:p>
      <w:pPr>
        <w:spacing w:before="1"/>
        <w:ind w:left="4234" w:right="0" w:firstLine="0"/>
        <w:jc w:val="left"/>
        <w:rPr>
          <w:rFonts w:ascii="Times New Roman" w:hAnsi="Times New Roman"/>
          <w:sz w:val="22"/>
        </w:rPr>
      </w:pPr>
      <w:r>
        <w:rPr>
          <w:rFonts w:ascii="Times New Roman" w:hAnsi="Times New Roman"/>
          <w:sz w:val="22"/>
        </w:rPr>
        <w:t>Brasília, DF, 26 de março de 2020.</w:t>
      </w:r>
    </w:p>
    <w:p>
      <w:pPr>
        <w:pStyle w:val="BodyText"/>
        <w:rPr>
          <w:rFonts w:ascii="Times New Roman"/>
          <w:sz w:val="24"/>
        </w:rPr>
      </w:pPr>
    </w:p>
    <w:p>
      <w:pPr>
        <w:pStyle w:val="BodyText"/>
        <w:rPr>
          <w:rFonts w:ascii="Times New Roman"/>
          <w:sz w:val="24"/>
        </w:rPr>
      </w:pPr>
    </w:p>
    <w:p>
      <w:pPr>
        <w:pStyle w:val="BodyText"/>
        <w:rPr>
          <w:rFonts w:ascii="Times New Roman"/>
          <w:sz w:val="23"/>
        </w:rPr>
      </w:pPr>
    </w:p>
    <w:p>
      <w:pPr>
        <w:tabs>
          <w:tab w:pos="6411" w:val="left" w:leader="none"/>
        </w:tabs>
        <w:spacing w:before="1"/>
        <w:ind w:left="139" w:right="0" w:firstLine="0"/>
        <w:jc w:val="both"/>
        <w:rPr>
          <w:rFonts w:ascii="Times New Roman" w:hAnsi="Times New Roman"/>
          <w:b/>
          <w:sz w:val="22"/>
        </w:rPr>
      </w:pPr>
      <w:r>
        <w:rPr>
          <w:rFonts w:ascii="Times New Roman" w:hAnsi="Times New Roman"/>
          <w:b/>
          <w:sz w:val="22"/>
        </w:rPr>
        <w:t>EDISON ANTÔNIO COSTA</w:t>
      </w:r>
      <w:r>
        <w:rPr>
          <w:rFonts w:ascii="Times New Roman" w:hAnsi="Times New Roman"/>
          <w:b/>
          <w:spacing w:val="-7"/>
          <w:sz w:val="22"/>
        </w:rPr>
        <w:t> </w:t>
      </w:r>
      <w:r>
        <w:rPr>
          <w:rFonts w:ascii="Times New Roman" w:hAnsi="Times New Roman"/>
          <w:b/>
          <w:sz w:val="22"/>
        </w:rPr>
        <w:t>BRITTO</w:t>
      </w:r>
      <w:r>
        <w:rPr>
          <w:rFonts w:ascii="Times New Roman" w:hAnsi="Times New Roman"/>
          <w:b/>
          <w:spacing w:val="-2"/>
          <w:sz w:val="22"/>
        </w:rPr>
        <w:t> </w:t>
      </w:r>
      <w:r>
        <w:rPr>
          <w:rFonts w:ascii="Times New Roman" w:hAnsi="Times New Roman"/>
          <w:b/>
          <w:sz w:val="22"/>
        </w:rPr>
        <w:t>GARCIA</w:t>
        <w:tab/>
        <w:t>IVAN</w:t>
      </w:r>
      <w:r>
        <w:rPr>
          <w:rFonts w:ascii="Times New Roman" w:hAnsi="Times New Roman"/>
          <w:b/>
          <w:spacing w:val="-1"/>
          <w:sz w:val="22"/>
        </w:rPr>
        <w:t> </w:t>
      </w:r>
      <w:r>
        <w:rPr>
          <w:rFonts w:ascii="Times New Roman" w:hAnsi="Times New Roman"/>
          <w:b/>
          <w:sz w:val="22"/>
        </w:rPr>
        <w:t>CAMARGO</w:t>
      </w:r>
    </w:p>
    <w:p>
      <w:pPr>
        <w:tabs>
          <w:tab w:pos="3766" w:val="left" w:leader="none"/>
        </w:tabs>
        <w:spacing w:before="186"/>
        <w:ind w:left="0" w:right="20" w:firstLine="0"/>
        <w:jc w:val="center"/>
        <w:rPr>
          <w:rFonts w:ascii="Times New Roman" w:hAnsi="Times New Roman"/>
          <w:b/>
          <w:sz w:val="22"/>
        </w:rPr>
      </w:pPr>
      <w:r>
        <w:rPr>
          <w:rFonts w:ascii="Times New Roman" w:hAnsi="Times New Roman"/>
          <w:b/>
          <w:sz w:val="22"/>
        </w:rPr>
        <w:t>Diretor-Presidente</w:t>
        <w:tab/>
        <w:t>Presidente do Conselho de</w:t>
      </w:r>
      <w:r>
        <w:rPr>
          <w:rFonts w:ascii="Times New Roman" w:hAnsi="Times New Roman"/>
          <w:b/>
          <w:spacing w:val="-24"/>
          <w:sz w:val="22"/>
        </w:rPr>
        <w:t> </w:t>
      </w:r>
      <w:r>
        <w:rPr>
          <w:rFonts w:ascii="Times New Roman" w:hAnsi="Times New Roman"/>
          <w:b/>
          <w:sz w:val="22"/>
        </w:rPr>
        <w:t>Administração</w:t>
      </w:r>
    </w:p>
    <w:p>
      <w:pPr>
        <w:spacing w:after="0"/>
        <w:jc w:val="center"/>
        <w:rPr>
          <w:rFonts w:ascii="Times New Roman" w:hAnsi="Times New Roman"/>
          <w:sz w:val="22"/>
        </w:rPr>
        <w:sectPr>
          <w:pgSz w:w="11920" w:h="16860"/>
          <w:pgMar w:header="0" w:footer="302" w:top="54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13" name="image2.jpeg"/>
            <wp:cNvGraphicFramePr>
              <a:graphicFrameLocks noChangeAspect="1"/>
            </wp:cNvGraphicFramePr>
            <a:graphic>
              <a:graphicData uri="http://schemas.openxmlformats.org/drawingml/2006/picture">
                <pic:pic>
                  <pic:nvPicPr>
                    <pic:cNvPr id="14"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b/>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ind w:left="384"/>
        <w:rPr>
          <w:rFonts w:ascii="Times New Roman"/>
        </w:rPr>
      </w:pPr>
      <w:r>
        <w:rPr>
          <w:rFonts w:ascii="Times New Roman"/>
        </w:rPr>
        <w:pict>
          <v:shape style="width:496.1pt;height:13.8pt;mso-position-horizontal-relative:char;mso-position-vertical-relative:line" type="#_x0000_t202" filled="true" fillcolor="#f0f0f0" stroked="false">
            <w10:anchorlock/>
            <v:textbox inset="0,0,0,0">
              <w:txbxContent>
                <w:p>
                  <w:pPr>
                    <w:tabs>
                      <w:tab w:pos="3476" w:val="left" w:leader="none"/>
                    </w:tabs>
                    <w:spacing w:line="273" w:lineRule="exact" w:before="0"/>
                    <w:ind w:left="2756" w:right="0" w:firstLine="0"/>
                    <w:jc w:val="left"/>
                    <w:rPr>
                      <w:rFonts w:ascii="Times New Roman" w:hAnsi="Times New Roman"/>
                      <w:b/>
                      <w:sz w:val="24"/>
                    </w:rPr>
                  </w:pPr>
                  <w:r>
                    <w:rPr>
                      <w:rFonts w:ascii="Times New Roman" w:hAnsi="Times New Roman"/>
                      <w:b/>
                      <w:sz w:val="24"/>
                    </w:rPr>
                    <w:t>II.</w:t>
                    <w:tab/>
                    <w:t>CENÁRIO</w:t>
                  </w:r>
                  <w:r>
                    <w:rPr>
                      <w:rFonts w:ascii="Times New Roman" w:hAnsi="Times New Roman"/>
                      <w:b/>
                      <w:spacing w:val="-1"/>
                      <w:sz w:val="24"/>
                    </w:rPr>
                    <w:t> </w:t>
                  </w:r>
                  <w:r>
                    <w:rPr>
                      <w:rFonts w:ascii="Times New Roman" w:hAnsi="Times New Roman"/>
                      <w:b/>
                      <w:sz w:val="24"/>
                    </w:rPr>
                    <w:t>MACROECONÔMICO</w:t>
                  </w:r>
                </w:p>
              </w:txbxContent>
            </v:textbox>
            <v:fill type="solid"/>
          </v:shape>
        </w:pict>
      </w:r>
      <w:r>
        <w:rPr>
          <w:rFonts w:ascii="Times New Roman"/>
        </w:rPr>
      </w:r>
    </w:p>
    <w:p>
      <w:pPr>
        <w:spacing w:line="360" w:lineRule="auto" w:before="101"/>
        <w:ind w:left="139" w:right="134" w:firstLine="708"/>
        <w:jc w:val="both"/>
        <w:rPr>
          <w:rFonts w:ascii="Times New Roman" w:hAnsi="Times New Roman"/>
          <w:sz w:val="22"/>
        </w:rPr>
      </w:pPr>
      <w:r>
        <w:rPr>
          <w:rFonts w:ascii="Times New Roman" w:hAnsi="Times New Roman"/>
          <w:sz w:val="22"/>
        </w:rPr>
        <w:t>As perspectivas do início do ano, relativas ao Produto Interno Bruto – PIB, que giravam em torno de 2,5% (primeiro</w:t>
      </w:r>
      <w:r>
        <w:rPr>
          <w:rFonts w:ascii="Times New Roman" w:hAnsi="Times New Roman"/>
          <w:spacing w:val="-6"/>
          <w:sz w:val="22"/>
        </w:rPr>
        <w:t> </w:t>
      </w:r>
      <w:r>
        <w:rPr>
          <w:rFonts w:ascii="Times New Roman" w:hAnsi="Times New Roman"/>
          <w:sz w:val="22"/>
        </w:rPr>
        <w:t>boletim</w:t>
      </w:r>
      <w:r>
        <w:rPr>
          <w:rFonts w:ascii="Times New Roman" w:hAnsi="Times New Roman"/>
          <w:spacing w:val="-10"/>
          <w:sz w:val="22"/>
        </w:rPr>
        <w:t> </w:t>
      </w:r>
      <w:r>
        <w:rPr>
          <w:rFonts w:ascii="Times New Roman" w:hAnsi="Times New Roman"/>
          <w:sz w:val="22"/>
        </w:rPr>
        <w:t>Focus),</w:t>
      </w:r>
      <w:r>
        <w:rPr>
          <w:rFonts w:ascii="Times New Roman" w:hAnsi="Times New Roman"/>
          <w:spacing w:val="-9"/>
          <w:sz w:val="22"/>
        </w:rPr>
        <w:t> </w:t>
      </w:r>
      <w:r>
        <w:rPr>
          <w:rFonts w:ascii="Times New Roman" w:hAnsi="Times New Roman"/>
          <w:sz w:val="22"/>
        </w:rPr>
        <w:t>foram</w:t>
      </w:r>
      <w:r>
        <w:rPr>
          <w:rFonts w:ascii="Times New Roman" w:hAnsi="Times New Roman"/>
          <w:spacing w:val="-9"/>
          <w:sz w:val="22"/>
        </w:rPr>
        <w:t> </w:t>
      </w:r>
      <w:r>
        <w:rPr>
          <w:rFonts w:ascii="Times New Roman" w:hAnsi="Times New Roman"/>
          <w:sz w:val="22"/>
        </w:rPr>
        <w:t>frustradas.</w:t>
      </w:r>
      <w:r>
        <w:rPr>
          <w:rFonts w:ascii="Times New Roman" w:hAnsi="Times New Roman"/>
          <w:spacing w:val="-5"/>
          <w:sz w:val="22"/>
        </w:rPr>
        <w:t> </w:t>
      </w:r>
      <w:r>
        <w:rPr>
          <w:rFonts w:ascii="Times New Roman" w:hAnsi="Times New Roman"/>
          <w:sz w:val="22"/>
        </w:rPr>
        <w:t>A</w:t>
      </w:r>
      <w:r>
        <w:rPr>
          <w:rFonts w:ascii="Times New Roman" w:hAnsi="Times New Roman"/>
          <w:spacing w:val="-10"/>
          <w:sz w:val="22"/>
        </w:rPr>
        <w:t> </w:t>
      </w:r>
      <w:r>
        <w:rPr>
          <w:rFonts w:ascii="Times New Roman" w:hAnsi="Times New Roman"/>
          <w:sz w:val="22"/>
        </w:rPr>
        <w:t>dinâmica</w:t>
      </w:r>
      <w:r>
        <w:rPr>
          <w:rFonts w:ascii="Times New Roman" w:hAnsi="Times New Roman"/>
          <w:spacing w:val="-6"/>
          <w:sz w:val="22"/>
        </w:rPr>
        <w:t> </w:t>
      </w:r>
      <w:r>
        <w:rPr>
          <w:rFonts w:ascii="Times New Roman" w:hAnsi="Times New Roman"/>
          <w:sz w:val="22"/>
        </w:rPr>
        <w:t>observada,</w:t>
      </w:r>
      <w:r>
        <w:rPr>
          <w:rFonts w:ascii="Times New Roman" w:hAnsi="Times New Roman"/>
          <w:spacing w:val="-9"/>
          <w:sz w:val="22"/>
        </w:rPr>
        <w:t> </w:t>
      </w:r>
      <w:r>
        <w:rPr>
          <w:rFonts w:ascii="Times New Roman" w:hAnsi="Times New Roman"/>
          <w:sz w:val="22"/>
        </w:rPr>
        <w:t>durante</w:t>
      </w:r>
      <w:r>
        <w:rPr>
          <w:rFonts w:ascii="Times New Roman" w:hAnsi="Times New Roman"/>
          <w:spacing w:val="-7"/>
          <w:sz w:val="22"/>
        </w:rPr>
        <w:t> </w:t>
      </w:r>
      <w:r>
        <w:rPr>
          <w:rFonts w:ascii="Times New Roman" w:hAnsi="Times New Roman"/>
          <w:sz w:val="22"/>
        </w:rPr>
        <w:t>todo</w:t>
      </w:r>
      <w:r>
        <w:rPr>
          <w:rFonts w:ascii="Times New Roman" w:hAnsi="Times New Roman"/>
          <w:spacing w:val="-9"/>
          <w:sz w:val="22"/>
        </w:rPr>
        <w:t> </w:t>
      </w:r>
      <w:r>
        <w:rPr>
          <w:rFonts w:ascii="Times New Roman" w:hAnsi="Times New Roman"/>
          <w:sz w:val="22"/>
        </w:rPr>
        <w:t>o</w:t>
      </w:r>
      <w:r>
        <w:rPr>
          <w:rFonts w:ascii="Times New Roman" w:hAnsi="Times New Roman"/>
          <w:spacing w:val="-9"/>
          <w:sz w:val="22"/>
        </w:rPr>
        <w:t> </w:t>
      </w:r>
      <w:r>
        <w:rPr>
          <w:rFonts w:ascii="Times New Roman" w:hAnsi="Times New Roman"/>
          <w:sz w:val="22"/>
        </w:rPr>
        <w:t>ano</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2019,</w:t>
      </w:r>
      <w:r>
        <w:rPr>
          <w:rFonts w:ascii="Times New Roman" w:hAnsi="Times New Roman"/>
          <w:spacing w:val="-9"/>
          <w:sz w:val="22"/>
        </w:rPr>
        <w:t> </w:t>
      </w:r>
      <w:r>
        <w:rPr>
          <w:rFonts w:ascii="Times New Roman" w:hAnsi="Times New Roman"/>
          <w:sz w:val="22"/>
        </w:rPr>
        <w:t>foi</w:t>
      </w:r>
      <w:r>
        <w:rPr>
          <w:rFonts w:ascii="Times New Roman" w:hAnsi="Times New Roman"/>
          <w:spacing w:val="-7"/>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redução</w:t>
      </w:r>
      <w:r>
        <w:rPr>
          <w:rFonts w:ascii="Times New Roman" w:hAnsi="Times New Roman"/>
          <w:spacing w:val="-8"/>
          <w:sz w:val="22"/>
        </w:rPr>
        <w:t> </w:t>
      </w:r>
      <w:r>
        <w:rPr>
          <w:rFonts w:ascii="Times New Roman" w:hAnsi="Times New Roman"/>
          <w:sz w:val="22"/>
        </w:rPr>
        <w:t>constante, consolidando-se a variação anual, pelo indicador do Instituto Brasileiro de Geografia e Estatística – IBGE, em 1,1% - Gráfico a seguir -, totalizando R$ 7,3 trilhões em</w:t>
      </w:r>
      <w:r>
        <w:rPr>
          <w:rFonts w:ascii="Times New Roman" w:hAnsi="Times New Roman"/>
          <w:spacing w:val="-11"/>
          <w:sz w:val="22"/>
        </w:rPr>
        <w:t> </w:t>
      </w:r>
      <w:r>
        <w:rPr>
          <w:rFonts w:ascii="Times New Roman" w:hAnsi="Times New Roman"/>
          <w:sz w:val="22"/>
        </w:rPr>
        <w:t>2019.</w:t>
      </w:r>
    </w:p>
    <w:p>
      <w:pPr>
        <w:pStyle w:val="BodyText"/>
        <w:spacing w:before="6"/>
        <w:rPr>
          <w:rFonts w:ascii="Times New Roman"/>
          <w:sz w:val="33"/>
        </w:rPr>
      </w:pPr>
    </w:p>
    <w:p>
      <w:pPr>
        <w:spacing w:before="0"/>
        <w:ind w:left="1564" w:right="858" w:firstLine="0"/>
        <w:jc w:val="center"/>
        <w:rPr>
          <w:rFonts w:ascii="Times New Roman" w:hAnsi="Times New Roman"/>
          <w:b/>
          <w:sz w:val="22"/>
        </w:rPr>
      </w:pPr>
      <w:r>
        <w:rPr/>
        <w:drawing>
          <wp:anchor distT="0" distB="0" distL="0" distR="0" allowOverlap="1" layoutInCell="1" locked="0" behindDoc="0" simplePos="0" relativeHeight="11">
            <wp:simplePos x="0" y="0"/>
            <wp:positionH relativeFrom="page">
              <wp:posOffset>2374264</wp:posOffset>
            </wp:positionH>
            <wp:positionV relativeFrom="paragraph">
              <wp:posOffset>241420</wp:posOffset>
            </wp:positionV>
            <wp:extent cx="3546111" cy="1652777"/>
            <wp:effectExtent l="0" t="0" r="0" b="0"/>
            <wp:wrapTopAndBottom/>
            <wp:docPr id="15" name="image4.png"/>
            <wp:cNvGraphicFramePr>
              <a:graphicFrameLocks noChangeAspect="1"/>
            </wp:cNvGraphicFramePr>
            <a:graphic>
              <a:graphicData uri="http://schemas.openxmlformats.org/drawingml/2006/picture">
                <pic:pic>
                  <pic:nvPicPr>
                    <pic:cNvPr id="16" name="image4.png"/>
                    <pic:cNvPicPr/>
                  </pic:nvPicPr>
                  <pic:blipFill>
                    <a:blip r:embed="rId9" cstate="print"/>
                    <a:stretch>
                      <a:fillRect/>
                    </a:stretch>
                  </pic:blipFill>
                  <pic:spPr>
                    <a:xfrm>
                      <a:off x="0" y="0"/>
                      <a:ext cx="3546111" cy="1652777"/>
                    </a:xfrm>
                    <a:prstGeom prst="rect">
                      <a:avLst/>
                    </a:prstGeom>
                  </pic:spPr>
                </pic:pic>
              </a:graphicData>
            </a:graphic>
          </wp:anchor>
        </w:drawing>
      </w:r>
      <w:r>
        <w:rPr>
          <w:rFonts w:ascii="Times New Roman" w:hAnsi="Times New Roman"/>
          <w:b/>
          <w:sz w:val="22"/>
        </w:rPr>
        <w:t>BRASIL – EVOLUÇÃO DO PIB ANUAL – (%)</w:t>
      </w:r>
    </w:p>
    <w:p>
      <w:pPr>
        <w:spacing w:before="135"/>
        <w:ind w:left="1565" w:right="858" w:firstLine="0"/>
        <w:jc w:val="center"/>
        <w:rPr>
          <w:rFonts w:ascii="Times New Roman"/>
          <w:b/>
          <w:sz w:val="22"/>
        </w:rPr>
      </w:pPr>
      <w:r>
        <w:rPr>
          <w:rFonts w:ascii="Times New Roman"/>
          <w:b/>
          <w:sz w:val="22"/>
        </w:rPr>
        <w:t>Fonte: Banco Central do Brasil.</w:t>
      </w:r>
    </w:p>
    <w:p>
      <w:pPr>
        <w:pStyle w:val="BodyText"/>
        <w:rPr>
          <w:rFonts w:ascii="Times New Roman"/>
          <w:b/>
          <w:sz w:val="24"/>
        </w:rPr>
      </w:pPr>
    </w:p>
    <w:p>
      <w:pPr>
        <w:pStyle w:val="BodyText"/>
        <w:spacing w:before="6"/>
        <w:rPr>
          <w:rFonts w:ascii="Times New Roman"/>
          <w:b/>
          <w:sz w:val="19"/>
        </w:rPr>
      </w:pPr>
    </w:p>
    <w:p>
      <w:pPr>
        <w:spacing w:line="360" w:lineRule="auto" w:before="0"/>
        <w:ind w:left="139" w:right="136" w:firstLine="708"/>
        <w:jc w:val="both"/>
        <w:rPr>
          <w:rFonts w:ascii="Times New Roman" w:hAnsi="Times New Roman"/>
          <w:sz w:val="22"/>
        </w:rPr>
      </w:pPr>
      <w:r>
        <w:rPr>
          <w:rFonts w:ascii="Times New Roman" w:hAnsi="Times New Roman"/>
          <w:sz w:val="22"/>
        </w:rPr>
        <w:t>A inflação, medida pelo Índice Nacional de Preços ao Consumidor Amplo – IPCA, divulgado pelo IBGE, apresentou variação de 4,31%, acima dos 3,75% observados em 2018. Esse descolamento em relação ao PIB deveu-se ao significativo aumento dos preços do grupo Alimentação e Bebidas para o índice final.</w:t>
      </w:r>
    </w:p>
    <w:p>
      <w:pPr>
        <w:pStyle w:val="BodyText"/>
        <w:spacing w:before="4"/>
        <w:rPr>
          <w:rFonts w:ascii="Times New Roman"/>
          <w:sz w:val="33"/>
        </w:rPr>
      </w:pPr>
    </w:p>
    <w:p>
      <w:pPr>
        <w:spacing w:before="0"/>
        <w:ind w:left="641" w:right="641" w:firstLine="0"/>
        <w:jc w:val="center"/>
        <w:rPr>
          <w:rFonts w:ascii="Times New Roman" w:hAnsi="Times New Roman"/>
          <w:b/>
          <w:sz w:val="22"/>
        </w:rPr>
      </w:pPr>
      <w:r>
        <w:rPr>
          <w:rFonts w:ascii="Times New Roman" w:hAnsi="Times New Roman"/>
          <w:b/>
          <w:sz w:val="22"/>
        </w:rPr>
        <w:t>EVOLUÇÃO ANUAL DA INFLAÇÃO (%)</w:t>
      </w:r>
    </w:p>
    <w:p>
      <w:pPr>
        <w:pStyle w:val="BodyText"/>
        <w:spacing w:before="1"/>
        <w:rPr>
          <w:rFonts w:ascii="Times New Roman"/>
          <w:b/>
          <w:sz w:val="18"/>
        </w:rPr>
      </w:pPr>
      <w:r>
        <w:rPr/>
        <w:drawing>
          <wp:anchor distT="0" distB="0" distL="0" distR="0" allowOverlap="1" layoutInCell="1" locked="0" behindDoc="0" simplePos="0" relativeHeight="12">
            <wp:simplePos x="0" y="0"/>
            <wp:positionH relativeFrom="page">
              <wp:posOffset>1688719</wp:posOffset>
            </wp:positionH>
            <wp:positionV relativeFrom="paragraph">
              <wp:posOffset>157044</wp:posOffset>
            </wp:positionV>
            <wp:extent cx="4976299" cy="2066544"/>
            <wp:effectExtent l="0" t="0" r="0" b="0"/>
            <wp:wrapTopAndBottom/>
            <wp:docPr id="17" name="image5.png"/>
            <wp:cNvGraphicFramePr>
              <a:graphicFrameLocks noChangeAspect="1"/>
            </wp:cNvGraphicFramePr>
            <a:graphic>
              <a:graphicData uri="http://schemas.openxmlformats.org/drawingml/2006/picture">
                <pic:pic>
                  <pic:nvPicPr>
                    <pic:cNvPr id="18" name="image5.png"/>
                    <pic:cNvPicPr/>
                  </pic:nvPicPr>
                  <pic:blipFill>
                    <a:blip r:embed="rId10" cstate="print"/>
                    <a:stretch>
                      <a:fillRect/>
                    </a:stretch>
                  </pic:blipFill>
                  <pic:spPr>
                    <a:xfrm>
                      <a:off x="0" y="0"/>
                      <a:ext cx="4976299" cy="2066544"/>
                    </a:xfrm>
                    <a:prstGeom prst="rect">
                      <a:avLst/>
                    </a:prstGeom>
                  </pic:spPr>
                </pic:pic>
              </a:graphicData>
            </a:graphic>
          </wp:anchor>
        </w:drawing>
      </w:r>
    </w:p>
    <w:p>
      <w:pPr>
        <w:spacing w:before="203"/>
        <w:ind w:left="1563" w:right="858" w:firstLine="0"/>
        <w:jc w:val="center"/>
        <w:rPr>
          <w:rFonts w:ascii="Times New Roman" w:hAnsi="Times New Roman"/>
          <w:b/>
          <w:sz w:val="22"/>
        </w:rPr>
      </w:pPr>
      <w:r>
        <w:rPr>
          <w:rFonts w:ascii="Times New Roman" w:hAnsi="Times New Roman"/>
          <w:b/>
          <w:sz w:val="22"/>
        </w:rPr>
        <w:t>FONTE: Instituto Brasileiro de Geografia e Estatística – IBGE.</w:t>
      </w:r>
    </w:p>
    <w:p>
      <w:pPr>
        <w:pStyle w:val="BodyText"/>
        <w:rPr>
          <w:rFonts w:ascii="Times New Roman"/>
          <w:b/>
          <w:sz w:val="21"/>
        </w:rPr>
      </w:pPr>
    </w:p>
    <w:p>
      <w:pPr>
        <w:spacing w:line="360" w:lineRule="auto" w:before="0"/>
        <w:ind w:left="139" w:right="137" w:firstLine="708"/>
        <w:jc w:val="both"/>
        <w:rPr>
          <w:rFonts w:ascii="Times New Roman" w:hAnsi="Times New Roman"/>
          <w:sz w:val="22"/>
        </w:rPr>
      </w:pPr>
      <w:r>
        <w:rPr>
          <w:rFonts w:ascii="Times New Roman" w:hAnsi="Times New Roman"/>
          <w:sz w:val="22"/>
        </w:rPr>
        <w:t>Não</w:t>
      </w:r>
      <w:r>
        <w:rPr>
          <w:rFonts w:ascii="Times New Roman" w:hAnsi="Times New Roman"/>
          <w:spacing w:val="-6"/>
          <w:sz w:val="22"/>
        </w:rPr>
        <w:t> </w:t>
      </w:r>
      <w:r>
        <w:rPr>
          <w:rFonts w:ascii="Times New Roman" w:hAnsi="Times New Roman"/>
          <w:sz w:val="22"/>
        </w:rPr>
        <w:t>sem</w:t>
      </w:r>
      <w:r>
        <w:rPr>
          <w:rFonts w:ascii="Times New Roman" w:hAnsi="Times New Roman"/>
          <w:spacing w:val="-9"/>
          <w:sz w:val="22"/>
        </w:rPr>
        <w:t> </w:t>
      </w:r>
      <w:r>
        <w:rPr>
          <w:rFonts w:ascii="Times New Roman" w:hAnsi="Times New Roman"/>
          <w:sz w:val="22"/>
        </w:rPr>
        <w:t>razão,</w:t>
      </w:r>
      <w:r>
        <w:rPr>
          <w:rFonts w:ascii="Times New Roman" w:hAnsi="Times New Roman"/>
          <w:spacing w:val="-6"/>
          <w:sz w:val="22"/>
        </w:rPr>
        <w:t> </w:t>
      </w:r>
      <w:r>
        <w:rPr>
          <w:rFonts w:ascii="Times New Roman" w:hAnsi="Times New Roman"/>
          <w:sz w:val="22"/>
        </w:rPr>
        <w:t>com</w:t>
      </w:r>
      <w:r>
        <w:rPr>
          <w:rFonts w:ascii="Times New Roman" w:hAnsi="Times New Roman"/>
          <w:spacing w:val="-9"/>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inflação</w:t>
      </w:r>
      <w:r>
        <w:rPr>
          <w:rFonts w:ascii="Times New Roman" w:hAnsi="Times New Roman"/>
          <w:spacing w:val="-6"/>
          <w:sz w:val="22"/>
        </w:rPr>
        <w:t> </w:t>
      </w:r>
      <w:r>
        <w:rPr>
          <w:rFonts w:ascii="Times New Roman" w:hAnsi="Times New Roman"/>
          <w:sz w:val="22"/>
        </w:rPr>
        <w:t>situando-se</w:t>
      </w:r>
      <w:r>
        <w:rPr>
          <w:rFonts w:ascii="Times New Roman" w:hAnsi="Times New Roman"/>
          <w:spacing w:val="-4"/>
          <w:sz w:val="22"/>
        </w:rPr>
        <w:t> </w:t>
      </w:r>
      <w:r>
        <w:rPr>
          <w:rFonts w:ascii="Times New Roman" w:hAnsi="Times New Roman"/>
          <w:sz w:val="22"/>
        </w:rPr>
        <w:t>abaixo</w:t>
      </w:r>
      <w:r>
        <w:rPr>
          <w:rFonts w:ascii="Times New Roman" w:hAnsi="Times New Roman"/>
          <w:spacing w:val="-9"/>
          <w:sz w:val="22"/>
        </w:rPr>
        <w:t> </w:t>
      </w:r>
      <w:r>
        <w:rPr>
          <w:rFonts w:ascii="Times New Roman" w:hAnsi="Times New Roman"/>
          <w:sz w:val="22"/>
        </w:rPr>
        <w:t>do</w:t>
      </w:r>
      <w:r>
        <w:rPr>
          <w:rFonts w:ascii="Times New Roman" w:hAnsi="Times New Roman"/>
          <w:spacing w:val="-8"/>
          <w:sz w:val="22"/>
        </w:rPr>
        <w:t> </w:t>
      </w:r>
      <w:r>
        <w:rPr>
          <w:rFonts w:ascii="Times New Roman" w:hAnsi="Times New Roman"/>
          <w:sz w:val="22"/>
        </w:rPr>
        <w:t>centro</w:t>
      </w:r>
      <w:r>
        <w:rPr>
          <w:rFonts w:ascii="Times New Roman" w:hAnsi="Times New Roman"/>
          <w:spacing w:val="-6"/>
          <w:sz w:val="22"/>
        </w:rPr>
        <w:t> </w:t>
      </w:r>
      <w:r>
        <w:rPr>
          <w:rFonts w:ascii="Times New Roman" w:hAnsi="Times New Roman"/>
          <w:sz w:val="22"/>
        </w:rPr>
        <w:t>da</w:t>
      </w:r>
      <w:r>
        <w:rPr>
          <w:rFonts w:ascii="Times New Roman" w:hAnsi="Times New Roman"/>
          <w:spacing w:val="-7"/>
          <w:sz w:val="22"/>
        </w:rPr>
        <w:t> </w:t>
      </w:r>
      <w:r>
        <w:rPr>
          <w:rFonts w:ascii="Times New Roman" w:hAnsi="Times New Roman"/>
          <w:sz w:val="22"/>
        </w:rPr>
        <w:t>meta,</w:t>
      </w:r>
      <w:r>
        <w:rPr>
          <w:rFonts w:ascii="Times New Roman" w:hAnsi="Times New Roman"/>
          <w:spacing w:val="-6"/>
          <w:sz w:val="22"/>
        </w:rPr>
        <w:t> </w:t>
      </w:r>
      <w:r>
        <w:rPr>
          <w:rFonts w:ascii="Times New Roman" w:hAnsi="Times New Roman"/>
          <w:sz w:val="22"/>
        </w:rPr>
        <w:t>o</w:t>
      </w:r>
      <w:r>
        <w:rPr>
          <w:rFonts w:ascii="Times New Roman" w:hAnsi="Times New Roman"/>
          <w:spacing w:val="-8"/>
          <w:sz w:val="22"/>
        </w:rPr>
        <w:t> </w:t>
      </w:r>
      <w:r>
        <w:rPr>
          <w:rFonts w:ascii="Times New Roman" w:hAnsi="Times New Roman"/>
          <w:sz w:val="22"/>
        </w:rPr>
        <w:t>ano</w:t>
      </w:r>
      <w:r>
        <w:rPr>
          <w:rFonts w:ascii="Times New Roman" w:hAnsi="Times New Roman"/>
          <w:spacing w:val="-6"/>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2019</w:t>
      </w:r>
      <w:r>
        <w:rPr>
          <w:rFonts w:ascii="Times New Roman" w:hAnsi="Times New Roman"/>
          <w:spacing w:val="-6"/>
          <w:sz w:val="22"/>
        </w:rPr>
        <w:t> </w:t>
      </w:r>
      <w:r>
        <w:rPr>
          <w:rFonts w:ascii="Times New Roman" w:hAnsi="Times New Roman"/>
          <w:sz w:val="22"/>
        </w:rPr>
        <w:t>caracterizou-se</w:t>
      </w:r>
      <w:r>
        <w:rPr>
          <w:rFonts w:ascii="Times New Roman" w:hAnsi="Times New Roman"/>
          <w:spacing w:val="-4"/>
          <w:sz w:val="22"/>
        </w:rPr>
        <w:t> </w:t>
      </w:r>
      <w:r>
        <w:rPr>
          <w:rFonts w:ascii="Times New Roman" w:hAnsi="Times New Roman"/>
          <w:sz w:val="22"/>
        </w:rPr>
        <w:t>por</w:t>
      </w:r>
      <w:r>
        <w:rPr>
          <w:rFonts w:ascii="Times New Roman" w:hAnsi="Times New Roman"/>
          <w:spacing w:val="-8"/>
          <w:sz w:val="22"/>
        </w:rPr>
        <w:t> </w:t>
      </w:r>
      <w:r>
        <w:rPr>
          <w:rFonts w:ascii="Times New Roman" w:hAnsi="Times New Roman"/>
          <w:sz w:val="22"/>
        </w:rPr>
        <w:t>reduções contínuas</w:t>
      </w:r>
      <w:r>
        <w:rPr>
          <w:rFonts w:ascii="Times New Roman" w:hAnsi="Times New Roman"/>
          <w:spacing w:val="-8"/>
          <w:sz w:val="22"/>
        </w:rPr>
        <w:t> </w:t>
      </w:r>
      <w:r>
        <w:rPr>
          <w:rFonts w:ascii="Times New Roman" w:hAnsi="Times New Roman"/>
          <w:sz w:val="22"/>
        </w:rPr>
        <w:t>da</w:t>
      </w:r>
      <w:r>
        <w:rPr>
          <w:rFonts w:ascii="Times New Roman" w:hAnsi="Times New Roman"/>
          <w:spacing w:val="-8"/>
          <w:sz w:val="22"/>
        </w:rPr>
        <w:t> </w:t>
      </w:r>
      <w:r>
        <w:rPr>
          <w:rFonts w:ascii="Times New Roman" w:hAnsi="Times New Roman"/>
          <w:sz w:val="22"/>
        </w:rPr>
        <w:t>taxa</w:t>
      </w:r>
      <w:r>
        <w:rPr>
          <w:rFonts w:ascii="Times New Roman" w:hAnsi="Times New Roman"/>
          <w:spacing w:val="-10"/>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juros</w:t>
      </w:r>
      <w:r>
        <w:rPr>
          <w:rFonts w:ascii="Times New Roman" w:hAnsi="Times New Roman"/>
          <w:spacing w:val="-11"/>
          <w:sz w:val="22"/>
        </w:rPr>
        <w:t> </w:t>
      </w:r>
      <w:r>
        <w:rPr>
          <w:rFonts w:ascii="Times New Roman" w:hAnsi="Times New Roman"/>
          <w:sz w:val="22"/>
        </w:rPr>
        <w:t>Selic</w:t>
      </w:r>
      <w:r>
        <w:rPr>
          <w:rFonts w:ascii="Times New Roman" w:hAnsi="Times New Roman"/>
          <w:spacing w:val="-7"/>
          <w:sz w:val="22"/>
        </w:rPr>
        <w:t> </w:t>
      </w:r>
      <w:r>
        <w:rPr>
          <w:rFonts w:ascii="Times New Roman" w:hAnsi="Times New Roman"/>
          <w:sz w:val="22"/>
        </w:rPr>
        <w:t>que,</w:t>
      </w:r>
      <w:r>
        <w:rPr>
          <w:rFonts w:ascii="Times New Roman" w:hAnsi="Times New Roman"/>
          <w:spacing w:val="-11"/>
          <w:sz w:val="22"/>
        </w:rPr>
        <w:t> </w:t>
      </w:r>
      <w:r>
        <w:rPr>
          <w:rFonts w:ascii="Times New Roman" w:hAnsi="Times New Roman"/>
          <w:sz w:val="22"/>
        </w:rPr>
        <w:t>após</w:t>
      </w:r>
      <w:r>
        <w:rPr>
          <w:rFonts w:ascii="Times New Roman" w:hAnsi="Times New Roman"/>
          <w:spacing w:val="-10"/>
          <w:sz w:val="22"/>
        </w:rPr>
        <w:t> </w:t>
      </w:r>
      <w:r>
        <w:rPr>
          <w:rFonts w:ascii="Times New Roman" w:hAnsi="Times New Roman"/>
          <w:sz w:val="22"/>
        </w:rPr>
        <w:t>quatro</w:t>
      </w:r>
      <w:r>
        <w:rPr>
          <w:rFonts w:ascii="Times New Roman" w:hAnsi="Times New Roman"/>
          <w:spacing w:val="-10"/>
          <w:sz w:val="22"/>
        </w:rPr>
        <w:t> </w:t>
      </w:r>
      <w:r>
        <w:rPr>
          <w:rFonts w:ascii="Times New Roman" w:hAnsi="Times New Roman"/>
          <w:sz w:val="22"/>
        </w:rPr>
        <w:t>quedas</w:t>
      </w:r>
      <w:r>
        <w:rPr>
          <w:rFonts w:ascii="Times New Roman" w:hAnsi="Times New Roman"/>
          <w:spacing w:val="-10"/>
          <w:sz w:val="22"/>
        </w:rPr>
        <w:t> </w:t>
      </w:r>
      <w:r>
        <w:rPr>
          <w:rFonts w:ascii="Times New Roman" w:hAnsi="Times New Roman"/>
          <w:sz w:val="22"/>
        </w:rPr>
        <w:t>consecutivas</w:t>
      </w:r>
      <w:r>
        <w:rPr>
          <w:rFonts w:ascii="Times New Roman" w:hAnsi="Times New Roman"/>
          <w:spacing w:val="-10"/>
          <w:sz w:val="22"/>
        </w:rPr>
        <w:t> </w:t>
      </w:r>
      <w:r>
        <w:rPr>
          <w:rFonts w:ascii="Times New Roman" w:hAnsi="Times New Roman"/>
          <w:sz w:val="22"/>
        </w:rPr>
        <w:t>de</w:t>
      </w:r>
      <w:r>
        <w:rPr>
          <w:rFonts w:ascii="Times New Roman" w:hAnsi="Times New Roman"/>
          <w:spacing w:val="-7"/>
          <w:sz w:val="22"/>
        </w:rPr>
        <w:t> </w:t>
      </w:r>
      <w:r>
        <w:rPr>
          <w:rFonts w:ascii="Times New Roman" w:hAnsi="Times New Roman"/>
          <w:sz w:val="22"/>
        </w:rPr>
        <w:t>meio</w:t>
      </w:r>
      <w:r>
        <w:rPr>
          <w:rFonts w:ascii="Times New Roman" w:hAnsi="Times New Roman"/>
          <w:spacing w:val="-11"/>
          <w:sz w:val="22"/>
        </w:rPr>
        <w:t> </w:t>
      </w:r>
      <w:r>
        <w:rPr>
          <w:rFonts w:ascii="Times New Roman" w:hAnsi="Times New Roman"/>
          <w:sz w:val="22"/>
        </w:rPr>
        <w:t>ponto</w:t>
      </w:r>
      <w:r>
        <w:rPr>
          <w:rFonts w:ascii="Times New Roman" w:hAnsi="Times New Roman"/>
          <w:spacing w:val="-9"/>
          <w:sz w:val="22"/>
        </w:rPr>
        <w:t> </w:t>
      </w:r>
      <w:r>
        <w:rPr>
          <w:rFonts w:ascii="Times New Roman" w:hAnsi="Times New Roman"/>
          <w:sz w:val="22"/>
        </w:rPr>
        <w:t>percentual,</w:t>
      </w:r>
      <w:r>
        <w:rPr>
          <w:rFonts w:ascii="Times New Roman" w:hAnsi="Times New Roman"/>
          <w:spacing w:val="-10"/>
          <w:sz w:val="22"/>
        </w:rPr>
        <w:t> </w:t>
      </w:r>
      <w:r>
        <w:rPr>
          <w:rFonts w:ascii="Times New Roman" w:hAnsi="Times New Roman"/>
          <w:sz w:val="22"/>
        </w:rPr>
        <w:t>encerrou</w:t>
      </w:r>
      <w:r>
        <w:rPr>
          <w:rFonts w:ascii="Times New Roman" w:hAnsi="Times New Roman"/>
          <w:spacing w:val="-9"/>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ano</w:t>
      </w:r>
      <w:r>
        <w:rPr>
          <w:rFonts w:ascii="Times New Roman" w:hAnsi="Times New Roman"/>
          <w:spacing w:val="-8"/>
          <w:sz w:val="22"/>
        </w:rPr>
        <w:t> </w:t>
      </w:r>
      <w:r>
        <w:rPr>
          <w:rFonts w:ascii="Times New Roman" w:hAnsi="Times New Roman"/>
          <w:sz w:val="22"/>
        </w:rPr>
        <w:t>em</w:t>
      </w:r>
      <w:r>
        <w:rPr>
          <w:rFonts w:ascii="Times New Roman" w:hAnsi="Times New Roman"/>
          <w:spacing w:val="-12"/>
          <w:sz w:val="22"/>
        </w:rPr>
        <w:t> </w:t>
      </w:r>
      <w:r>
        <w:rPr>
          <w:rFonts w:ascii="Times New Roman" w:hAnsi="Times New Roman"/>
          <w:sz w:val="22"/>
        </w:rPr>
        <w:t>4,5%, um recorde</w:t>
      </w:r>
      <w:r>
        <w:rPr>
          <w:rFonts w:ascii="Times New Roman" w:hAnsi="Times New Roman"/>
          <w:spacing w:val="-4"/>
          <w:sz w:val="22"/>
        </w:rPr>
        <w:t> </w:t>
      </w:r>
      <w:r>
        <w:rPr>
          <w:rFonts w:ascii="Times New Roman" w:hAnsi="Times New Roman"/>
          <w:sz w:val="22"/>
        </w:rPr>
        <w:t>histórico.</w:t>
      </w:r>
    </w:p>
    <w:p>
      <w:pPr>
        <w:spacing w:line="360" w:lineRule="auto" w:before="2"/>
        <w:ind w:left="139" w:right="136" w:firstLine="708"/>
        <w:jc w:val="both"/>
        <w:rPr>
          <w:rFonts w:ascii="Times New Roman" w:hAnsi="Times New Roman"/>
          <w:sz w:val="22"/>
        </w:rPr>
      </w:pPr>
      <w:r>
        <w:rPr>
          <w:rFonts w:ascii="Times New Roman" w:hAnsi="Times New Roman"/>
          <w:sz w:val="22"/>
        </w:rPr>
        <w:t>O mercado de trabalho, por sua vez, refletiu o desempenho do PIB, não mostrando reação considerável. Dois pontos merecem atenção: o número de pessoas desocupadas ainda se mantém elevado, em torno de 12 milhões; e a informalidade que segue processo de elevação, representada por algo próximo a 38 milhões de pessoas, equivalente a 41,4% da força de trabalho.</w:t>
      </w:r>
    </w:p>
    <w:p>
      <w:pPr>
        <w:spacing w:after="0" w:line="360" w:lineRule="auto"/>
        <w:jc w:val="both"/>
        <w:rPr>
          <w:rFonts w:ascii="Times New Roman" w:hAnsi="Times New Roman"/>
          <w:sz w:val="22"/>
        </w:rPr>
        <w:sectPr>
          <w:pgSz w:w="11920" w:h="16860"/>
          <w:pgMar w:header="0" w:footer="302" w:top="54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19" name="image2.jpeg"/>
            <wp:cNvGraphicFramePr>
              <a:graphicFrameLocks noChangeAspect="1"/>
            </wp:cNvGraphicFramePr>
            <a:graphic>
              <a:graphicData uri="http://schemas.openxmlformats.org/drawingml/2006/picture">
                <pic:pic>
                  <pic:nvPicPr>
                    <pic:cNvPr id="20"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902" w:right="0" w:firstLine="0"/>
        <w:jc w:val="both"/>
        <w:rPr>
          <w:rFonts w:ascii="Times New Roman" w:hAnsi="Times New Roman"/>
          <w:sz w:val="22"/>
        </w:rPr>
      </w:pPr>
      <w:r>
        <w:rPr>
          <w:rFonts w:ascii="Times New Roman" w:hAnsi="Times New Roman"/>
          <w:color w:val="1B1B1B"/>
          <w:sz w:val="22"/>
        </w:rPr>
        <w:t>A </w:t>
      </w:r>
      <w:hyperlink r:id="rId11">
        <w:r>
          <w:rPr>
            <w:rFonts w:ascii="Times New Roman" w:hAnsi="Times New Roman"/>
            <w:sz w:val="22"/>
          </w:rPr>
          <w:t>reforma da previdência, </w:t>
        </w:r>
      </w:hyperlink>
      <w:r>
        <w:rPr>
          <w:rFonts w:ascii="Times New Roman" w:hAnsi="Times New Roman"/>
          <w:color w:val="1B1B1B"/>
          <w:sz w:val="22"/>
        </w:rPr>
        <w:t>que se esperava aprovada ainda no primeiro semestre do ano, só foi promulgada em</w:t>
      </w:r>
    </w:p>
    <w:p>
      <w:pPr>
        <w:spacing w:line="360" w:lineRule="auto" w:before="126"/>
        <w:ind w:left="139" w:right="135" w:firstLine="0"/>
        <w:jc w:val="both"/>
        <w:rPr>
          <w:rFonts w:ascii="Times New Roman" w:hAnsi="Times New Roman"/>
          <w:sz w:val="22"/>
        </w:rPr>
      </w:pPr>
      <w:r>
        <w:rPr>
          <w:rFonts w:ascii="Times New Roman" w:hAnsi="Times New Roman"/>
          <w:color w:val="1B1B1B"/>
          <w:sz w:val="22"/>
        </w:rPr>
        <w:t>novembro, após quase nove meses de tramitação no </w:t>
      </w:r>
      <w:hyperlink r:id="rId12">
        <w:r>
          <w:rPr>
            <w:rFonts w:ascii="Times New Roman" w:hAnsi="Times New Roman"/>
            <w:sz w:val="22"/>
          </w:rPr>
          <w:t>Congresso. </w:t>
        </w:r>
      </w:hyperlink>
      <w:r>
        <w:rPr>
          <w:rFonts w:ascii="Times New Roman" w:hAnsi="Times New Roman"/>
          <w:sz w:val="22"/>
        </w:rPr>
        <w:t>A projeção inicial de reduzir em R$ 1 trilhão os gastos públicos com aposentadorias e benefícios, em dez anos, </w:t>
      </w:r>
      <w:hyperlink r:id="rId13">
        <w:r>
          <w:rPr>
            <w:rFonts w:ascii="Times New Roman" w:hAnsi="Times New Roman"/>
            <w:sz w:val="22"/>
          </w:rPr>
          <w:t>foi reduzida, na versão aprovada, para algo em torno de R$ 800</w:t>
        </w:r>
      </w:hyperlink>
      <w:r>
        <w:rPr>
          <w:rFonts w:ascii="Times New Roman" w:hAnsi="Times New Roman"/>
          <w:sz w:val="22"/>
        </w:rPr>
        <w:t> </w:t>
      </w:r>
      <w:hyperlink r:id="rId13">
        <w:r>
          <w:rPr>
            <w:rFonts w:ascii="Times New Roman" w:hAnsi="Times New Roman"/>
            <w:sz w:val="22"/>
          </w:rPr>
          <w:t>bilhões, </w:t>
        </w:r>
      </w:hyperlink>
      <w:r>
        <w:rPr>
          <w:rFonts w:ascii="Times New Roman" w:hAnsi="Times New Roman"/>
          <w:sz w:val="22"/>
        </w:rPr>
        <w:t>nas previsões anunciadas em fevereiro de 2020, pelo Ministro da</w:t>
      </w:r>
      <w:r>
        <w:rPr>
          <w:rFonts w:ascii="Times New Roman" w:hAnsi="Times New Roman"/>
          <w:spacing w:val="-15"/>
          <w:sz w:val="22"/>
        </w:rPr>
        <w:t> </w:t>
      </w:r>
      <w:r>
        <w:rPr>
          <w:rFonts w:ascii="Times New Roman" w:hAnsi="Times New Roman"/>
          <w:sz w:val="22"/>
        </w:rPr>
        <w:t>Economia.</w:t>
      </w:r>
    </w:p>
    <w:p>
      <w:pPr>
        <w:spacing w:line="360" w:lineRule="auto" w:before="0"/>
        <w:ind w:left="139" w:right="140" w:firstLine="708"/>
        <w:jc w:val="both"/>
        <w:rPr>
          <w:rFonts w:ascii="Times New Roman" w:hAnsi="Times New Roman"/>
          <w:sz w:val="22"/>
        </w:rPr>
      </w:pPr>
      <w:r>
        <w:rPr>
          <w:rFonts w:ascii="Times New Roman" w:hAnsi="Times New Roman"/>
          <w:sz w:val="22"/>
        </w:rPr>
        <w:t>O ambiente externo, embora não sendo um fato novo, foi caracterizado pelo conflito comercial entre China e Estados Unidos, cujas negociações se estenderam durante todo o ano de 2019. Ainda assim, as tensões continuam, bem como a possibilidade de uma nova escalada permanece sendo um risco</w:t>
      </w:r>
      <w:r>
        <w:rPr>
          <w:rFonts w:ascii="Times New Roman" w:hAnsi="Times New Roman"/>
          <w:spacing w:val="-10"/>
          <w:sz w:val="22"/>
        </w:rPr>
        <w:t> </w:t>
      </w:r>
      <w:r>
        <w:rPr>
          <w:rFonts w:ascii="Times New Roman" w:hAnsi="Times New Roman"/>
          <w:sz w:val="22"/>
        </w:rPr>
        <w:t>significativo.</w:t>
      </w:r>
    </w:p>
    <w:p>
      <w:pPr>
        <w:spacing w:line="360" w:lineRule="auto" w:before="0"/>
        <w:ind w:left="139" w:right="141" w:firstLine="708"/>
        <w:jc w:val="both"/>
        <w:rPr>
          <w:rFonts w:ascii="Times New Roman" w:hAnsi="Times New Roman"/>
          <w:sz w:val="22"/>
        </w:rPr>
      </w:pPr>
      <w:r>
        <w:rPr>
          <w:rFonts w:ascii="Times New Roman" w:hAnsi="Times New Roman"/>
          <w:sz w:val="22"/>
        </w:rPr>
        <w:t>Nesse ambiente tensionado, observou-se, em agosto passado, a inversão da lógica da curva de juros dos títulos de</w:t>
      </w:r>
      <w:r>
        <w:rPr>
          <w:rFonts w:ascii="Times New Roman" w:hAnsi="Times New Roman"/>
          <w:spacing w:val="-8"/>
          <w:sz w:val="22"/>
        </w:rPr>
        <w:t> </w:t>
      </w:r>
      <w:r>
        <w:rPr>
          <w:rFonts w:ascii="Times New Roman" w:hAnsi="Times New Roman"/>
          <w:sz w:val="22"/>
        </w:rPr>
        <w:t>longo</w:t>
      </w:r>
      <w:r>
        <w:rPr>
          <w:rFonts w:ascii="Times New Roman" w:hAnsi="Times New Roman"/>
          <w:spacing w:val="-9"/>
          <w:sz w:val="22"/>
        </w:rPr>
        <w:t> </w:t>
      </w:r>
      <w:r>
        <w:rPr>
          <w:rFonts w:ascii="Times New Roman" w:hAnsi="Times New Roman"/>
          <w:sz w:val="22"/>
        </w:rPr>
        <w:t>prazo</w:t>
      </w:r>
      <w:r>
        <w:rPr>
          <w:rFonts w:ascii="Times New Roman" w:hAnsi="Times New Roman"/>
          <w:spacing w:val="-11"/>
          <w:sz w:val="22"/>
        </w:rPr>
        <w:t> </w:t>
      </w:r>
      <w:r>
        <w:rPr>
          <w:rFonts w:ascii="Times New Roman" w:hAnsi="Times New Roman"/>
          <w:sz w:val="22"/>
        </w:rPr>
        <w:t>da</w:t>
      </w:r>
      <w:r>
        <w:rPr>
          <w:rFonts w:ascii="Times New Roman" w:hAnsi="Times New Roman"/>
          <w:spacing w:val="-7"/>
          <w:sz w:val="22"/>
        </w:rPr>
        <w:t> </w:t>
      </w:r>
      <w:r>
        <w:rPr>
          <w:rFonts w:ascii="Times New Roman" w:hAnsi="Times New Roman"/>
          <w:sz w:val="22"/>
        </w:rPr>
        <w:t>dívida</w:t>
      </w:r>
      <w:r>
        <w:rPr>
          <w:rFonts w:ascii="Times New Roman" w:hAnsi="Times New Roman"/>
          <w:spacing w:val="-11"/>
          <w:sz w:val="22"/>
        </w:rPr>
        <w:t> </w:t>
      </w:r>
      <w:r>
        <w:rPr>
          <w:rFonts w:ascii="Times New Roman" w:hAnsi="Times New Roman"/>
          <w:sz w:val="22"/>
        </w:rPr>
        <w:t>norte-americana,</w:t>
      </w:r>
      <w:r>
        <w:rPr>
          <w:rFonts w:ascii="Times New Roman" w:hAnsi="Times New Roman"/>
          <w:spacing w:val="-11"/>
          <w:sz w:val="22"/>
        </w:rPr>
        <w:t> </w:t>
      </w:r>
      <w:r>
        <w:rPr>
          <w:rFonts w:ascii="Times New Roman" w:hAnsi="Times New Roman"/>
          <w:sz w:val="22"/>
        </w:rPr>
        <w:t>que</w:t>
      </w:r>
      <w:r>
        <w:rPr>
          <w:rFonts w:ascii="Times New Roman" w:hAnsi="Times New Roman"/>
          <w:spacing w:val="-10"/>
          <w:sz w:val="22"/>
        </w:rPr>
        <w:t> </w:t>
      </w:r>
      <w:r>
        <w:rPr>
          <w:rFonts w:ascii="Times New Roman" w:hAnsi="Times New Roman"/>
          <w:sz w:val="22"/>
        </w:rPr>
        <w:t>pagaram</w:t>
      </w:r>
      <w:r>
        <w:rPr>
          <w:rFonts w:ascii="Times New Roman" w:hAnsi="Times New Roman"/>
          <w:spacing w:val="-12"/>
          <w:sz w:val="22"/>
        </w:rPr>
        <w:t> </w:t>
      </w:r>
      <w:r>
        <w:rPr>
          <w:rFonts w:ascii="Times New Roman" w:hAnsi="Times New Roman"/>
          <w:sz w:val="22"/>
        </w:rPr>
        <w:t>juros</w:t>
      </w:r>
      <w:r>
        <w:rPr>
          <w:rFonts w:ascii="Times New Roman" w:hAnsi="Times New Roman"/>
          <w:spacing w:val="-11"/>
          <w:sz w:val="22"/>
        </w:rPr>
        <w:t> </w:t>
      </w:r>
      <w:r>
        <w:rPr>
          <w:rFonts w:ascii="Times New Roman" w:hAnsi="Times New Roman"/>
          <w:sz w:val="22"/>
        </w:rPr>
        <w:t>mais</w:t>
      </w:r>
      <w:r>
        <w:rPr>
          <w:rFonts w:ascii="Times New Roman" w:hAnsi="Times New Roman"/>
          <w:spacing w:val="-7"/>
          <w:sz w:val="22"/>
        </w:rPr>
        <w:t> </w:t>
      </w:r>
      <w:r>
        <w:rPr>
          <w:rFonts w:ascii="Times New Roman" w:hAnsi="Times New Roman"/>
          <w:sz w:val="22"/>
        </w:rPr>
        <w:t>baixos</w:t>
      </w:r>
      <w:r>
        <w:rPr>
          <w:rFonts w:ascii="Times New Roman" w:hAnsi="Times New Roman"/>
          <w:spacing w:val="-11"/>
          <w:sz w:val="22"/>
        </w:rPr>
        <w:t> </w:t>
      </w:r>
      <w:r>
        <w:rPr>
          <w:rFonts w:ascii="Times New Roman" w:hAnsi="Times New Roman"/>
          <w:sz w:val="22"/>
        </w:rPr>
        <w:t>do</w:t>
      </w:r>
      <w:r>
        <w:rPr>
          <w:rFonts w:ascii="Times New Roman" w:hAnsi="Times New Roman"/>
          <w:spacing w:val="-11"/>
          <w:sz w:val="22"/>
        </w:rPr>
        <w:t> </w:t>
      </w:r>
      <w:r>
        <w:rPr>
          <w:rFonts w:ascii="Times New Roman" w:hAnsi="Times New Roman"/>
          <w:sz w:val="22"/>
        </w:rPr>
        <w:t>que</w:t>
      </w:r>
      <w:r>
        <w:rPr>
          <w:rFonts w:ascii="Times New Roman" w:hAnsi="Times New Roman"/>
          <w:spacing w:val="-10"/>
          <w:sz w:val="22"/>
        </w:rPr>
        <w:t> </w:t>
      </w:r>
      <w:r>
        <w:rPr>
          <w:rFonts w:ascii="Times New Roman" w:hAnsi="Times New Roman"/>
          <w:sz w:val="22"/>
        </w:rPr>
        <w:t>os</w:t>
      </w:r>
      <w:r>
        <w:rPr>
          <w:rFonts w:ascii="Times New Roman" w:hAnsi="Times New Roman"/>
          <w:spacing w:val="-11"/>
          <w:sz w:val="22"/>
        </w:rPr>
        <w:t> </w:t>
      </w:r>
      <w:r>
        <w:rPr>
          <w:rFonts w:ascii="Times New Roman" w:hAnsi="Times New Roman"/>
          <w:sz w:val="22"/>
        </w:rPr>
        <w:t>papéis</w:t>
      </w:r>
      <w:r>
        <w:rPr>
          <w:rFonts w:ascii="Times New Roman" w:hAnsi="Times New Roman"/>
          <w:spacing w:val="-11"/>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curto</w:t>
      </w:r>
      <w:r>
        <w:rPr>
          <w:rFonts w:ascii="Times New Roman" w:hAnsi="Times New Roman"/>
          <w:spacing w:val="-11"/>
          <w:sz w:val="22"/>
        </w:rPr>
        <w:t> </w:t>
      </w:r>
      <w:r>
        <w:rPr>
          <w:rFonts w:ascii="Times New Roman" w:hAnsi="Times New Roman"/>
          <w:sz w:val="22"/>
        </w:rPr>
        <w:t>prazo,</w:t>
      </w:r>
      <w:r>
        <w:rPr>
          <w:rFonts w:ascii="Times New Roman" w:hAnsi="Times New Roman"/>
          <w:spacing w:val="-9"/>
          <w:sz w:val="22"/>
        </w:rPr>
        <w:t> </w:t>
      </w:r>
      <w:r>
        <w:rPr>
          <w:rFonts w:ascii="Times New Roman" w:hAnsi="Times New Roman"/>
          <w:sz w:val="22"/>
        </w:rPr>
        <w:t>caracterizando os temores de uma nova crise impactando o comércio</w:t>
      </w:r>
      <w:r>
        <w:rPr>
          <w:rFonts w:ascii="Times New Roman" w:hAnsi="Times New Roman"/>
          <w:spacing w:val="-8"/>
          <w:sz w:val="22"/>
        </w:rPr>
        <w:t> </w:t>
      </w:r>
      <w:r>
        <w:rPr>
          <w:rFonts w:ascii="Times New Roman" w:hAnsi="Times New Roman"/>
          <w:sz w:val="22"/>
        </w:rPr>
        <w:t>global.</w:t>
      </w:r>
    </w:p>
    <w:p>
      <w:pPr>
        <w:spacing w:line="360" w:lineRule="auto" w:before="1"/>
        <w:ind w:left="139" w:right="136" w:firstLine="708"/>
        <w:jc w:val="both"/>
        <w:rPr>
          <w:rFonts w:ascii="Times New Roman" w:hAnsi="Times New Roman"/>
          <w:sz w:val="22"/>
        </w:rPr>
      </w:pPr>
      <w:r>
        <w:rPr>
          <w:rFonts w:ascii="Times New Roman" w:hAnsi="Times New Roman"/>
          <w:sz w:val="22"/>
        </w:rPr>
        <w:t>Nesse</w:t>
      </w:r>
      <w:r>
        <w:rPr>
          <w:rFonts w:ascii="Times New Roman" w:hAnsi="Times New Roman"/>
          <w:spacing w:val="-15"/>
          <w:sz w:val="22"/>
        </w:rPr>
        <w:t> </w:t>
      </w:r>
      <w:r>
        <w:rPr>
          <w:rFonts w:ascii="Times New Roman" w:hAnsi="Times New Roman"/>
          <w:sz w:val="22"/>
        </w:rPr>
        <w:t>contexto,</w:t>
      </w:r>
      <w:r>
        <w:rPr>
          <w:rFonts w:ascii="Times New Roman" w:hAnsi="Times New Roman"/>
          <w:spacing w:val="-14"/>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cotação</w:t>
      </w:r>
      <w:r>
        <w:rPr>
          <w:rFonts w:ascii="Times New Roman" w:hAnsi="Times New Roman"/>
          <w:spacing w:val="-14"/>
          <w:sz w:val="22"/>
        </w:rPr>
        <w:t> </w:t>
      </w:r>
      <w:r>
        <w:rPr>
          <w:rFonts w:ascii="Times New Roman" w:hAnsi="Times New Roman"/>
          <w:sz w:val="22"/>
        </w:rPr>
        <w:t>US$</w:t>
      </w:r>
      <w:r>
        <w:rPr>
          <w:rFonts w:ascii="Times New Roman" w:hAnsi="Times New Roman"/>
          <w:spacing w:val="-14"/>
          <w:sz w:val="22"/>
        </w:rPr>
        <w:t> </w:t>
      </w:r>
      <w:r>
        <w:rPr>
          <w:rFonts w:ascii="Times New Roman" w:hAnsi="Times New Roman"/>
          <w:sz w:val="22"/>
        </w:rPr>
        <w:t>X</w:t>
      </w:r>
      <w:r>
        <w:rPr>
          <w:rFonts w:ascii="Times New Roman" w:hAnsi="Times New Roman"/>
          <w:spacing w:val="-14"/>
          <w:sz w:val="22"/>
        </w:rPr>
        <w:t> </w:t>
      </w:r>
      <w:r>
        <w:rPr>
          <w:rFonts w:ascii="Times New Roman" w:hAnsi="Times New Roman"/>
          <w:sz w:val="22"/>
        </w:rPr>
        <w:t>R$</w:t>
      </w:r>
      <w:r>
        <w:rPr>
          <w:rFonts w:ascii="Times New Roman" w:hAnsi="Times New Roman"/>
          <w:spacing w:val="-13"/>
          <w:sz w:val="22"/>
        </w:rPr>
        <w:t> </w:t>
      </w:r>
      <w:r>
        <w:rPr>
          <w:rFonts w:ascii="Times New Roman" w:hAnsi="Times New Roman"/>
          <w:sz w:val="22"/>
        </w:rPr>
        <w:t>atingiu,</w:t>
      </w:r>
      <w:r>
        <w:rPr>
          <w:rFonts w:ascii="Times New Roman" w:hAnsi="Times New Roman"/>
          <w:spacing w:val="-16"/>
          <w:sz w:val="22"/>
        </w:rPr>
        <w:t> </w:t>
      </w:r>
      <w:r>
        <w:rPr>
          <w:rFonts w:ascii="Times New Roman" w:hAnsi="Times New Roman"/>
          <w:sz w:val="22"/>
        </w:rPr>
        <w:t>em</w:t>
      </w:r>
      <w:r>
        <w:rPr>
          <w:rFonts w:ascii="Times New Roman" w:hAnsi="Times New Roman"/>
          <w:spacing w:val="-16"/>
          <w:sz w:val="22"/>
        </w:rPr>
        <w:t> </w:t>
      </w:r>
      <w:r>
        <w:rPr>
          <w:rFonts w:ascii="Times New Roman" w:hAnsi="Times New Roman"/>
          <w:sz w:val="22"/>
        </w:rPr>
        <w:t>27</w:t>
      </w:r>
      <w:r>
        <w:rPr>
          <w:rFonts w:ascii="Times New Roman" w:hAnsi="Times New Roman"/>
          <w:spacing w:val="-13"/>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novembro,</w:t>
      </w:r>
      <w:r>
        <w:rPr>
          <w:rFonts w:ascii="Times New Roman" w:hAnsi="Times New Roman"/>
          <w:spacing w:val="-13"/>
          <w:sz w:val="22"/>
        </w:rPr>
        <w:t> </w:t>
      </w:r>
      <w:r>
        <w:rPr>
          <w:rFonts w:ascii="Times New Roman" w:hAnsi="Times New Roman"/>
          <w:sz w:val="22"/>
        </w:rPr>
        <w:t>o</w:t>
      </w:r>
      <w:r>
        <w:rPr>
          <w:rFonts w:ascii="Times New Roman" w:hAnsi="Times New Roman"/>
          <w:spacing w:val="-13"/>
          <w:sz w:val="22"/>
        </w:rPr>
        <w:t> </w:t>
      </w:r>
      <w:r>
        <w:rPr>
          <w:rFonts w:ascii="Times New Roman" w:hAnsi="Times New Roman"/>
          <w:sz w:val="22"/>
        </w:rPr>
        <w:t>maior</w:t>
      </w:r>
      <w:r>
        <w:rPr>
          <w:rFonts w:ascii="Times New Roman" w:hAnsi="Times New Roman"/>
          <w:spacing w:val="-15"/>
          <w:sz w:val="22"/>
        </w:rPr>
        <w:t> </w:t>
      </w:r>
      <w:r>
        <w:rPr>
          <w:rFonts w:ascii="Times New Roman" w:hAnsi="Times New Roman"/>
          <w:sz w:val="22"/>
        </w:rPr>
        <w:t>preço</w:t>
      </w:r>
      <w:r>
        <w:rPr>
          <w:rFonts w:ascii="Times New Roman" w:hAnsi="Times New Roman"/>
          <w:spacing w:val="-13"/>
          <w:sz w:val="22"/>
        </w:rPr>
        <w:t> </w:t>
      </w:r>
      <w:r>
        <w:rPr>
          <w:rFonts w:ascii="Times New Roman" w:hAnsi="Times New Roman"/>
          <w:sz w:val="22"/>
        </w:rPr>
        <w:t>nominal</w:t>
      </w:r>
      <w:r>
        <w:rPr>
          <w:rFonts w:ascii="Times New Roman" w:hAnsi="Times New Roman"/>
          <w:spacing w:val="-12"/>
          <w:sz w:val="22"/>
        </w:rPr>
        <w:t> </w:t>
      </w:r>
      <w:r>
        <w:rPr>
          <w:rFonts w:ascii="Times New Roman" w:hAnsi="Times New Roman"/>
          <w:sz w:val="22"/>
        </w:rPr>
        <w:t>(R$</w:t>
      </w:r>
      <w:r>
        <w:rPr>
          <w:rFonts w:ascii="Times New Roman" w:hAnsi="Times New Roman"/>
          <w:spacing w:val="-13"/>
          <w:sz w:val="22"/>
        </w:rPr>
        <w:t> </w:t>
      </w:r>
      <w:r>
        <w:rPr>
          <w:rFonts w:ascii="Times New Roman" w:hAnsi="Times New Roman"/>
          <w:sz w:val="22"/>
        </w:rPr>
        <w:t>4,2584),</w:t>
      </w:r>
      <w:r>
        <w:rPr>
          <w:rFonts w:ascii="Times New Roman" w:hAnsi="Times New Roman"/>
          <w:spacing w:val="-13"/>
          <w:sz w:val="22"/>
        </w:rPr>
        <w:t> </w:t>
      </w:r>
      <w:r>
        <w:rPr>
          <w:rFonts w:ascii="Times New Roman" w:hAnsi="Times New Roman"/>
          <w:sz w:val="22"/>
        </w:rPr>
        <w:t>encerrando o ano ao redor de R$ 4,00. Note-se, ainda, que aquele ambiente também potencializou o movimento de saída da moeda estrangeira,</w:t>
      </w:r>
      <w:r>
        <w:rPr>
          <w:rFonts w:ascii="Times New Roman" w:hAnsi="Times New Roman"/>
          <w:spacing w:val="-4"/>
          <w:sz w:val="22"/>
        </w:rPr>
        <w:t> </w:t>
      </w:r>
      <w:r>
        <w:rPr>
          <w:rFonts w:ascii="Times New Roman" w:hAnsi="Times New Roman"/>
          <w:sz w:val="22"/>
        </w:rPr>
        <w:t>impactando</w:t>
      </w:r>
      <w:r>
        <w:rPr>
          <w:rFonts w:ascii="Times New Roman" w:hAnsi="Times New Roman"/>
          <w:spacing w:val="-5"/>
          <w:sz w:val="22"/>
        </w:rPr>
        <w:t> </w:t>
      </w:r>
      <w:r>
        <w:rPr>
          <w:rFonts w:ascii="Times New Roman" w:hAnsi="Times New Roman"/>
          <w:sz w:val="22"/>
        </w:rPr>
        <w:t>negativamente</w:t>
      </w:r>
      <w:r>
        <w:rPr>
          <w:rFonts w:ascii="Times New Roman" w:hAnsi="Times New Roman"/>
          <w:spacing w:val="-2"/>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retomada</w:t>
      </w:r>
      <w:r>
        <w:rPr>
          <w:rFonts w:ascii="Times New Roman" w:hAnsi="Times New Roman"/>
          <w:spacing w:val="-2"/>
          <w:sz w:val="22"/>
        </w:rPr>
        <w:t> </w:t>
      </w:r>
      <w:r>
        <w:rPr>
          <w:rFonts w:ascii="Times New Roman" w:hAnsi="Times New Roman"/>
          <w:sz w:val="22"/>
        </w:rPr>
        <w:t>dos</w:t>
      </w:r>
      <w:r>
        <w:rPr>
          <w:rFonts w:ascii="Times New Roman" w:hAnsi="Times New Roman"/>
          <w:spacing w:val="-2"/>
          <w:sz w:val="22"/>
        </w:rPr>
        <w:t> </w:t>
      </w:r>
      <w:r>
        <w:rPr>
          <w:rFonts w:ascii="Times New Roman" w:hAnsi="Times New Roman"/>
          <w:sz w:val="22"/>
        </w:rPr>
        <w:t>investimentos</w:t>
      </w:r>
      <w:r>
        <w:rPr>
          <w:rFonts w:ascii="Times New Roman" w:hAnsi="Times New Roman"/>
          <w:spacing w:val="-2"/>
          <w:sz w:val="22"/>
        </w:rPr>
        <w:t> </w:t>
      </w:r>
      <w:r>
        <w:rPr>
          <w:rFonts w:ascii="Times New Roman" w:hAnsi="Times New Roman"/>
          <w:sz w:val="22"/>
        </w:rPr>
        <w:t>estrangeiros</w:t>
      </w:r>
      <w:r>
        <w:rPr>
          <w:rFonts w:ascii="Times New Roman" w:hAnsi="Times New Roman"/>
          <w:spacing w:val="-2"/>
          <w:sz w:val="22"/>
        </w:rPr>
        <w:t> </w:t>
      </w:r>
      <w:r>
        <w:rPr>
          <w:rFonts w:ascii="Times New Roman" w:hAnsi="Times New Roman"/>
          <w:sz w:val="22"/>
        </w:rPr>
        <w:t>na</w:t>
      </w:r>
      <w:r>
        <w:rPr>
          <w:rFonts w:ascii="Times New Roman" w:hAnsi="Times New Roman"/>
          <w:spacing w:val="-3"/>
          <w:sz w:val="22"/>
        </w:rPr>
        <w:t> </w:t>
      </w:r>
      <w:r>
        <w:rPr>
          <w:rFonts w:ascii="Times New Roman" w:hAnsi="Times New Roman"/>
          <w:sz w:val="22"/>
        </w:rPr>
        <w:t>bolsa.</w:t>
      </w:r>
      <w:r>
        <w:rPr>
          <w:rFonts w:ascii="Times New Roman" w:hAnsi="Times New Roman"/>
          <w:spacing w:val="-5"/>
          <w:sz w:val="22"/>
        </w:rPr>
        <w:t> </w:t>
      </w:r>
      <w:r>
        <w:rPr>
          <w:rFonts w:ascii="Times New Roman" w:hAnsi="Times New Roman"/>
          <w:sz w:val="22"/>
        </w:rPr>
        <w:t>O</w:t>
      </w:r>
      <w:r>
        <w:rPr>
          <w:rFonts w:ascii="Times New Roman" w:hAnsi="Times New Roman"/>
          <w:spacing w:val="-6"/>
          <w:sz w:val="22"/>
        </w:rPr>
        <w:t> </w:t>
      </w:r>
      <w:r>
        <w:rPr>
          <w:rFonts w:ascii="Times New Roman" w:hAnsi="Times New Roman"/>
          <w:sz w:val="22"/>
        </w:rPr>
        <w:t>ano</w:t>
      </w:r>
      <w:r>
        <w:rPr>
          <w:rFonts w:ascii="Times New Roman" w:hAnsi="Times New Roman"/>
          <w:spacing w:val="-3"/>
          <w:sz w:val="22"/>
        </w:rPr>
        <w:t> </w:t>
      </w:r>
      <w:r>
        <w:rPr>
          <w:rFonts w:ascii="Times New Roman" w:hAnsi="Times New Roman"/>
          <w:sz w:val="22"/>
        </w:rPr>
        <w:t>encerrou</w:t>
      </w:r>
      <w:r>
        <w:rPr>
          <w:rFonts w:ascii="Times New Roman" w:hAnsi="Times New Roman"/>
          <w:spacing w:val="-5"/>
          <w:sz w:val="22"/>
        </w:rPr>
        <w:t> </w:t>
      </w:r>
      <w:r>
        <w:rPr>
          <w:rFonts w:ascii="Times New Roman" w:hAnsi="Times New Roman"/>
          <w:sz w:val="22"/>
        </w:rPr>
        <w:t>com</w:t>
      </w:r>
      <w:r>
        <w:rPr>
          <w:rFonts w:ascii="Times New Roman" w:hAnsi="Times New Roman"/>
          <w:spacing w:val="-6"/>
          <w:sz w:val="22"/>
        </w:rPr>
        <w:t> </w:t>
      </w:r>
      <w:r>
        <w:rPr>
          <w:rFonts w:ascii="Times New Roman" w:hAnsi="Times New Roman"/>
          <w:sz w:val="22"/>
        </w:rPr>
        <w:t>o</w:t>
      </w:r>
      <w:r>
        <w:rPr>
          <w:rFonts w:ascii="Times New Roman" w:hAnsi="Times New Roman"/>
          <w:spacing w:val="-2"/>
          <w:sz w:val="22"/>
        </w:rPr>
        <w:t> </w:t>
      </w:r>
      <w:r>
        <w:rPr>
          <w:rFonts w:ascii="Times New Roman" w:hAnsi="Times New Roman"/>
          <w:sz w:val="22"/>
        </w:rPr>
        <w:t>saldo negativo em torno de US$ 44,7 bilhões, segundo o Banco</w:t>
      </w:r>
      <w:r>
        <w:rPr>
          <w:rFonts w:ascii="Times New Roman" w:hAnsi="Times New Roman"/>
          <w:spacing w:val="-7"/>
          <w:sz w:val="22"/>
        </w:rPr>
        <w:t> </w:t>
      </w:r>
      <w:r>
        <w:rPr>
          <w:rFonts w:ascii="Times New Roman" w:hAnsi="Times New Roman"/>
          <w:sz w:val="22"/>
        </w:rPr>
        <w:t>Central.</w:t>
      </w:r>
    </w:p>
    <w:p>
      <w:pPr>
        <w:pStyle w:val="BodyText"/>
        <w:rPr>
          <w:rFonts w:ascii="Times New Roman"/>
          <w:sz w:val="24"/>
        </w:rPr>
      </w:pPr>
    </w:p>
    <w:p>
      <w:pPr>
        <w:pStyle w:val="BodyText"/>
        <w:spacing w:before="8"/>
        <w:rPr>
          <w:rFonts w:ascii="Times New Roman"/>
          <w:sz w:val="19"/>
        </w:rPr>
      </w:pPr>
    </w:p>
    <w:p>
      <w:pPr>
        <w:spacing w:before="0"/>
        <w:ind w:left="641" w:right="643" w:firstLine="0"/>
        <w:jc w:val="center"/>
        <w:rPr>
          <w:rFonts w:ascii="Times New Roman" w:hAnsi="Times New Roman"/>
          <w:b/>
          <w:sz w:val="22"/>
        </w:rPr>
      </w:pPr>
      <w:r>
        <w:rPr>
          <w:rFonts w:ascii="Times New Roman" w:hAnsi="Times New Roman"/>
          <w:b/>
          <w:sz w:val="22"/>
        </w:rPr>
        <w:t>EVOLUÇÃO ANUAL DO CAMBIO (Em R$/USS)</w:t>
      </w:r>
    </w:p>
    <w:p>
      <w:pPr>
        <w:pStyle w:val="BodyText"/>
        <w:spacing w:before="2"/>
        <w:rPr>
          <w:rFonts w:ascii="Times New Roman"/>
          <w:b/>
          <w:sz w:val="18"/>
        </w:rPr>
      </w:pPr>
      <w:r>
        <w:rPr/>
        <w:drawing>
          <wp:anchor distT="0" distB="0" distL="0" distR="0" allowOverlap="1" layoutInCell="1" locked="0" behindDoc="0" simplePos="0" relativeHeight="14">
            <wp:simplePos x="0" y="0"/>
            <wp:positionH relativeFrom="page">
              <wp:posOffset>2630804</wp:posOffset>
            </wp:positionH>
            <wp:positionV relativeFrom="paragraph">
              <wp:posOffset>157667</wp:posOffset>
            </wp:positionV>
            <wp:extent cx="3032954" cy="1771650"/>
            <wp:effectExtent l="0" t="0" r="0" b="0"/>
            <wp:wrapTopAndBottom/>
            <wp:docPr id="21" name="image6.png"/>
            <wp:cNvGraphicFramePr>
              <a:graphicFrameLocks noChangeAspect="1"/>
            </wp:cNvGraphicFramePr>
            <a:graphic>
              <a:graphicData uri="http://schemas.openxmlformats.org/drawingml/2006/picture">
                <pic:pic>
                  <pic:nvPicPr>
                    <pic:cNvPr id="22" name="image6.png"/>
                    <pic:cNvPicPr/>
                  </pic:nvPicPr>
                  <pic:blipFill>
                    <a:blip r:embed="rId14" cstate="print"/>
                    <a:stretch>
                      <a:fillRect/>
                    </a:stretch>
                  </pic:blipFill>
                  <pic:spPr>
                    <a:xfrm>
                      <a:off x="0" y="0"/>
                      <a:ext cx="3032954" cy="1771650"/>
                    </a:xfrm>
                    <a:prstGeom prst="rect">
                      <a:avLst/>
                    </a:prstGeom>
                  </pic:spPr>
                </pic:pic>
              </a:graphicData>
            </a:graphic>
          </wp:anchor>
        </w:drawing>
      </w:r>
    </w:p>
    <w:p>
      <w:pPr>
        <w:spacing w:before="125"/>
        <w:ind w:left="4285" w:right="0" w:firstLine="0"/>
        <w:jc w:val="left"/>
        <w:rPr>
          <w:rFonts w:ascii="Times New Roman"/>
          <w:b/>
          <w:sz w:val="22"/>
        </w:rPr>
      </w:pPr>
      <w:r>
        <w:rPr>
          <w:rFonts w:ascii="Times New Roman"/>
          <w:b/>
          <w:sz w:val="22"/>
        </w:rPr>
        <w:t>Fonte: Banco Central do Brasil.</w:t>
      </w:r>
    </w:p>
    <w:p>
      <w:pPr>
        <w:spacing w:after="0"/>
        <w:jc w:val="left"/>
        <w:rPr>
          <w:rFonts w:ascii="Times New Roman"/>
          <w:sz w:val="22"/>
        </w:rPr>
        <w:sectPr>
          <w:pgSz w:w="11920" w:h="16860"/>
          <w:pgMar w:header="0" w:footer="302" w:top="540" w:bottom="500" w:left="780" w:right="280"/>
        </w:sectPr>
      </w:pPr>
    </w:p>
    <w:p>
      <w:pPr>
        <w:tabs>
          <w:tab w:pos="3543" w:val="left" w:leader="none"/>
          <w:tab w:pos="10305" w:val="left" w:leader="none"/>
        </w:tabs>
        <w:spacing w:before="77"/>
        <w:ind w:left="384" w:right="0" w:firstLine="0"/>
        <w:jc w:val="left"/>
        <w:rPr>
          <w:rFonts w:ascii="Times New Roman"/>
          <w:b/>
          <w:sz w:val="24"/>
        </w:rPr>
      </w:pPr>
      <w:r>
        <w:rPr>
          <w:rFonts w:ascii="Times New Roman"/>
          <w:b/>
          <w:sz w:val="24"/>
          <w:shd w:fill="F0F0F0" w:color="auto" w:val="clear"/>
        </w:rPr>
        <w:t> </w:t>
        <w:tab/>
        <w:t>III. PERFIL DA</w:t>
      </w:r>
      <w:r>
        <w:rPr>
          <w:rFonts w:ascii="Times New Roman"/>
          <w:b/>
          <w:spacing w:val="8"/>
          <w:sz w:val="24"/>
          <w:shd w:fill="F0F0F0" w:color="auto" w:val="clear"/>
        </w:rPr>
        <w:t> </w:t>
      </w:r>
      <w:r>
        <w:rPr>
          <w:rFonts w:ascii="Times New Roman"/>
          <w:b/>
          <w:sz w:val="24"/>
          <w:shd w:fill="F0F0F0" w:color="auto" w:val="clear"/>
        </w:rPr>
        <w:t>COMPANHIA</w:t>
        <w:tab/>
      </w:r>
    </w:p>
    <w:p>
      <w:pPr>
        <w:pStyle w:val="BodyText"/>
        <w:rPr>
          <w:rFonts w:ascii="Times New Roman"/>
          <w:b/>
          <w:sz w:val="26"/>
        </w:rPr>
      </w:pPr>
    </w:p>
    <w:p>
      <w:pPr>
        <w:spacing w:line="360" w:lineRule="auto" w:before="172"/>
        <w:ind w:left="139" w:right="139" w:firstLine="708"/>
        <w:jc w:val="both"/>
        <w:rPr>
          <w:rFonts w:ascii="Times New Roman" w:hAnsi="Times New Roman"/>
          <w:sz w:val="22"/>
        </w:rPr>
      </w:pPr>
      <w:r>
        <w:rPr>
          <w:rFonts w:ascii="Times New Roman" w:hAnsi="Times New Roman"/>
          <w:sz w:val="22"/>
        </w:rPr>
        <w:t>A</w:t>
      </w:r>
      <w:r>
        <w:rPr>
          <w:rFonts w:ascii="Times New Roman" w:hAnsi="Times New Roman"/>
          <w:spacing w:val="-5"/>
          <w:sz w:val="22"/>
        </w:rPr>
        <w:t> </w:t>
      </w:r>
      <w:r>
        <w:rPr>
          <w:rFonts w:ascii="Times New Roman" w:hAnsi="Times New Roman"/>
          <w:sz w:val="22"/>
        </w:rPr>
        <w:t>Companhia</w:t>
      </w:r>
      <w:r>
        <w:rPr>
          <w:rFonts w:ascii="Times New Roman" w:hAnsi="Times New Roman"/>
          <w:spacing w:val="-4"/>
          <w:sz w:val="22"/>
        </w:rPr>
        <w:t> </w:t>
      </w:r>
      <w:r>
        <w:rPr>
          <w:rFonts w:ascii="Times New Roman" w:hAnsi="Times New Roman"/>
          <w:sz w:val="22"/>
        </w:rPr>
        <w:t>Energética</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Brasília</w:t>
      </w:r>
      <w:r>
        <w:rPr>
          <w:rFonts w:ascii="Times New Roman" w:hAnsi="Times New Roman"/>
          <w:spacing w:val="-1"/>
          <w:sz w:val="22"/>
        </w:rPr>
        <w:t> </w:t>
      </w:r>
      <w:r>
        <w:rPr>
          <w:rFonts w:ascii="Times New Roman" w:hAnsi="Times New Roman"/>
          <w:sz w:val="22"/>
        </w:rPr>
        <w:t>–</w:t>
      </w:r>
      <w:r>
        <w:rPr>
          <w:rFonts w:ascii="Times New Roman" w:hAnsi="Times New Roman"/>
          <w:spacing w:val="-4"/>
          <w:sz w:val="22"/>
        </w:rPr>
        <w:t> </w:t>
      </w:r>
      <w:r>
        <w:rPr>
          <w:rFonts w:ascii="Times New Roman" w:hAnsi="Times New Roman"/>
          <w:sz w:val="22"/>
        </w:rPr>
        <w:t>CEB</w:t>
      </w:r>
      <w:r>
        <w:rPr>
          <w:rFonts w:ascii="Times New Roman" w:hAnsi="Times New Roman"/>
          <w:spacing w:val="-5"/>
          <w:sz w:val="22"/>
        </w:rPr>
        <w:t> </w:t>
      </w:r>
      <w:r>
        <w:rPr>
          <w:rFonts w:ascii="Times New Roman" w:hAnsi="Times New Roman"/>
          <w:sz w:val="22"/>
        </w:rPr>
        <w:t>originou-se</w:t>
      </w:r>
      <w:r>
        <w:rPr>
          <w:rFonts w:ascii="Times New Roman" w:hAnsi="Times New Roman"/>
          <w:spacing w:val="-3"/>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Companhia</w:t>
      </w:r>
      <w:r>
        <w:rPr>
          <w:rFonts w:ascii="Times New Roman" w:hAnsi="Times New Roman"/>
          <w:spacing w:val="-3"/>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Eletricidade</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Brasília,</w:t>
      </w:r>
      <w:r>
        <w:rPr>
          <w:rFonts w:ascii="Times New Roman" w:hAnsi="Times New Roman"/>
          <w:spacing w:val="-3"/>
          <w:sz w:val="22"/>
        </w:rPr>
        <w:t> </w:t>
      </w:r>
      <w:r>
        <w:rPr>
          <w:rFonts w:ascii="Times New Roman" w:hAnsi="Times New Roman"/>
          <w:sz w:val="22"/>
        </w:rPr>
        <w:t>criada</w:t>
      </w:r>
      <w:r>
        <w:rPr>
          <w:rFonts w:ascii="Times New Roman" w:hAnsi="Times New Roman"/>
          <w:spacing w:val="-3"/>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16 de dezembro de 1968, oriunda do Departamento de Força e Luz – DFL da</w:t>
      </w:r>
      <w:r>
        <w:rPr>
          <w:rFonts w:ascii="Times New Roman" w:hAnsi="Times New Roman"/>
          <w:spacing w:val="-7"/>
          <w:sz w:val="22"/>
        </w:rPr>
        <w:t> </w:t>
      </w:r>
      <w:r>
        <w:rPr>
          <w:rFonts w:ascii="Times New Roman" w:hAnsi="Times New Roman"/>
          <w:sz w:val="22"/>
        </w:rPr>
        <w:t>Novacap.</w:t>
      </w:r>
    </w:p>
    <w:p>
      <w:pPr>
        <w:pStyle w:val="BodyText"/>
        <w:spacing w:before="9"/>
        <w:rPr>
          <w:rFonts w:ascii="Times New Roman"/>
        </w:rPr>
      </w:pPr>
    </w:p>
    <w:p>
      <w:pPr>
        <w:spacing w:line="360" w:lineRule="auto" w:before="0"/>
        <w:ind w:left="139" w:right="136" w:firstLine="708"/>
        <w:jc w:val="both"/>
        <w:rPr>
          <w:rFonts w:ascii="Times New Roman" w:hAnsi="Times New Roman"/>
          <w:sz w:val="22"/>
        </w:rPr>
      </w:pPr>
      <w:r>
        <w:rPr>
          <w:rFonts w:ascii="Times New Roman" w:hAnsi="Times New Roman"/>
          <w:sz w:val="22"/>
        </w:rPr>
        <w:t>No início da década de 1990 a CEB passou a investir em novos negócios, obtendo concessão de gás canalizado em 1993 bem como participação em consórcio de aproveitamento hidrelétrico, em 1994. No ano de 2006, atendendo ao disposto na Lei nº 10.848/2004 e na Resolução Autorizativa nº 318/2005 – ANEEL, a CEB foi submetida a uma reestruturação</w:t>
      </w:r>
      <w:r>
        <w:rPr>
          <w:rFonts w:ascii="Times New Roman" w:hAnsi="Times New Roman"/>
          <w:spacing w:val="-10"/>
          <w:sz w:val="22"/>
        </w:rPr>
        <w:t> </w:t>
      </w:r>
      <w:r>
        <w:rPr>
          <w:rFonts w:ascii="Times New Roman" w:hAnsi="Times New Roman"/>
          <w:sz w:val="22"/>
        </w:rPr>
        <w:t>societária,</w:t>
      </w:r>
      <w:r>
        <w:rPr>
          <w:rFonts w:ascii="Times New Roman" w:hAnsi="Times New Roman"/>
          <w:spacing w:val="-9"/>
          <w:sz w:val="22"/>
        </w:rPr>
        <w:t> </w:t>
      </w:r>
      <w:r>
        <w:rPr>
          <w:rFonts w:ascii="Times New Roman" w:hAnsi="Times New Roman"/>
          <w:sz w:val="22"/>
        </w:rPr>
        <w:t>passando,</w:t>
      </w:r>
      <w:r>
        <w:rPr>
          <w:rFonts w:ascii="Times New Roman" w:hAnsi="Times New Roman"/>
          <w:spacing w:val="-11"/>
          <w:sz w:val="22"/>
        </w:rPr>
        <w:t> </w:t>
      </w:r>
      <w:r>
        <w:rPr>
          <w:rFonts w:ascii="Times New Roman" w:hAnsi="Times New Roman"/>
          <w:sz w:val="22"/>
        </w:rPr>
        <w:t>respectivamente,</w:t>
      </w:r>
      <w:r>
        <w:rPr>
          <w:rFonts w:ascii="Times New Roman" w:hAnsi="Times New Roman"/>
          <w:spacing w:val="-9"/>
          <w:sz w:val="22"/>
        </w:rPr>
        <w:t> </w:t>
      </w:r>
      <w:r>
        <w:rPr>
          <w:rFonts w:ascii="Times New Roman" w:hAnsi="Times New Roman"/>
          <w:sz w:val="22"/>
        </w:rPr>
        <w:t>as</w:t>
      </w:r>
      <w:r>
        <w:rPr>
          <w:rFonts w:ascii="Times New Roman" w:hAnsi="Times New Roman"/>
          <w:spacing w:val="-11"/>
          <w:sz w:val="22"/>
        </w:rPr>
        <w:t> </w:t>
      </w:r>
      <w:r>
        <w:rPr>
          <w:rFonts w:ascii="Times New Roman" w:hAnsi="Times New Roman"/>
          <w:sz w:val="22"/>
        </w:rPr>
        <w:t>concessões</w:t>
      </w:r>
      <w:r>
        <w:rPr>
          <w:rFonts w:ascii="Times New Roman" w:hAnsi="Times New Roman"/>
          <w:spacing w:val="-10"/>
          <w:sz w:val="22"/>
        </w:rPr>
        <w:t> </w:t>
      </w:r>
      <w:r>
        <w:rPr>
          <w:rFonts w:ascii="Times New Roman" w:hAnsi="Times New Roman"/>
          <w:spacing w:val="2"/>
          <w:sz w:val="22"/>
        </w:rPr>
        <w:t>de</w:t>
      </w:r>
      <w:r>
        <w:rPr>
          <w:rFonts w:ascii="Times New Roman" w:hAnsi="Times New Roman"/>
          <w:spacing w:val="-12"/>
          <w:sz w:val="22"/>
        </w:rPr>
        <w:t> </w:t>
      </w:r>
      <w:r>
        <w:rPr>
          <w:rFonts w:ascii="Times New Roman" w:hAnsi="Times New Roman"/>
          <w:sz w:val="22"/>
        </w:rPr>
        <w:t>distribuição</w:t>
      </w:r>
      <w:r>
        <w:rPr>
          <w:rFonts w:ascii="Times New Roman" w:hAnsi="Times New Roman"/>
          <w:spacing w:val="-12"/>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energia</w:t>
      </w:r>
      <w:r>
        <w:rPr>
          <w:rFonts w:ascii="Times New Roman" w:hAnsi="Times New Roman"/>
          <w:spacing w:val="-9"/>
          <w:sz w:val="22"/>
        </w:rPr>
        <w:t> </w:t>
      </w:r>
      <w:r>
        <w:rPr>
          <w:rFonts w:ascii="Times New Roman" w:hAnsi="Times New Roman"/>
          <w:sz w:val="22"/>
        </w:rPr>
        <w:t>elétrica</w:t>
      </w:r>
      <w:r>
        <w:rPr>
          <w:rFonts w:ascii="Times New Roman" w:hAnsi="Times New Roman"/>
          <w:spacing w:val="-10"/>
          <w:sz w:val="22"/>
        </w:rPr>
        <w:t> </w:t>
      </w:r>
      <w:r>
        <w:rPr>
          <w:rFonts w:ascii="Times New Roman" w:hAnsi="Times New Roman"/>
          <w:sz w:val="22"/>
        </w:rPr>
        <w:t>no</w:t>
      </w:r>
      <w:r>
        <w:rPr>
          <w:rFonts w:ascii="Times New Roman" w:hAnsi="Times New Roman"/>
          <w:spacing w:val="-9"/>
          <w:sz w:val="22"/>
        </w:rPr>
        <w:t> </w:t>
      </w:r>
      <w:r>
        <w:rPr>
          <w:rFonts w:ascii="Times New Roman" w:hAnsi="Times New Roman"/>
          <w:sz w:val="22"/>
        </w:rPr>
        <w:t>Distrito</w:t>
      </w:r>
      <w:r>
        <w:rPr>
          <w:rFonts w:ascii="Times New Roman" w:hAnsi="Times New Roman"/>
          <w:spacing w:val="-9"/>
          <w:sz w:val="22"/>
        </w:rPr>
        <w:t> </w:t>
      </w:r>
      <w:r>
        <w:rPr>
          <w:rFonts w:ascii="Times New Roman" w:hAnsi="Times New Roman"/>
          <w:sz w:val="22"/>
        </w:rPr>
        <w:t>Federal e de gerações das Usinas Hidrelétrica do Paranoá, Termelétrica de Brasília, e da Usina de Queimado (parte da CEB no Consórcio Cemig/CEB), para as empresas CEB Distribuição S.A., CEB Geração S.A. e CEB Participações</w:t>
      </w:r>
      <w:r>
        <w:rPr>
          <w:rFonts w:ascii="Times New Roman" w:hAnsi="Times New Roman"/>
          <w:spacing w:val="-18"/>
          <w:sz w:val="22"/>
        </w:rPr>
        <w:t> </w:t>
      </w:r>
      <w:r>
        <w:rPr>
          <w:rFonts w:ascii="Times New Roman" w:hAnsi="Times New Roman"/>
          <w:sz w:val="22"/>
        </w:rPr>
        <w:t>S.A..</w:t>
      </w:r>
    </w:p>
    <w:p>
      <w:pPr>
        <w:pStyle w:val="BodyText"/>
        <w:rPr>
          <w:rFonts w:ascii="Times New Roman"/>
          <w:sz w:val="21"/>
        </w:rPr>
      </w:pPr>
    </w:p>
    <w:p>
      <w:pPr>
        <w:spacing w:line="360" w:lineRule="auto" w:before="0"/>
        <w:ind w:left="139" w:right="138" w:firstLine="708"/>
        <w:jc w:val="both"/>
        <w:rPr>
          <w:rFonts w:ascii="Times New Roman" w:hAnsi="Times New Roman"/>
          <w:sz w:val="22"/>
        </w:rPr>
      </w:pPr>
      <w:r>
        <w:rPr>
          <w:rFonts w:ascii="Times New Roman" w:hAnsi="Times New Roman"/>
          <w:sz w:val="22"/>
        </w:rPr>
        <w:t>Dessa</w:t>
      </w:r>
      <w:r>
        <w:rPr>
          <w:rFonts w:ascii="Times New Roman" w:hAnsi="Times New Roman"/>
          <w:spacing w:val="-11"/>
          <w:sz w:val="22"/>
        </w:rPr>
        <w:t> </w:t>
      </w:r>
      <w:r>
        <w:rPr>
          <w:rFonts w:ascii="Times New Roman" w:hAnsi="Times New Roman"/>
          <w:sz w:val="22"/>
        </w:rPr>
        <w:t>forma,</w:t>
      </w:r>
      <w:r>
        <w:rPr>
          <w:rFonts w:ascii="Times New Roman" w:hAnsi="Times New Roman"/>
          <w:spacing w:val="-10"/>
          <w:sz w:val="22"/>
        </w:rPr>
        <w:t> </w:t>
      </w:r>
      <w:r>
        <w:rPr>
          <w:rFonts w:ascii="Times New Roman" w:hAnsi="Times New Roman"/>
          <w:sz w:val="22"/>
        </w:rPr>
        <w:t>a</w:t>
      </w:r>
      <w:r>
        <w:rPr>
          <w:rFonts w:ascii="Times New Roman" w:hAnsi="Times New Roman"/>
          <w:spacing w:val="-10"/>
          <w:sz w:val="22"/>
        </w:rPr>
        <w:t> </w:t>
      </w:r>
      <w:r>
        <w:rPr>
          <w:rFonts w:ascii="Times New Roman" w:hAnsi="Times New Roman"/>
          <w:sz w:val="22"/>
        </w:rPr>
        <w:t>Companhia</w:t>
      </w:r>
      <w:r>
        <w:rPr>
          <w:rFonts w:ascii="Times New Roman" w:hAnsi="Times New Roman"/>
          <w:spacing w:val="-12"/>
          <w:sz w:val="22"/>
        </w:rPr>
        <w:t> </w:t>
      </w:r>
      <w:r>
        <w:rPr>
          <w:rFonts w:ascii="Times New Roman" w:hAnsi="Times New Roman"/>
          <w:sz w:val="22"/>
        </w:rPr>
        <w:t>tornou-se</w:t>
      </w:r>
      <w:r>
        <w:rPr>
          <w:rFonts w:ascii="Times New Roman" w:hAnsi="Times New Roman"/>
          <w:spacing w:val="-10"/>
          <w:sz w:val="22"/>
        </w:rPr>
        <w:t> </w:t>
      </w:r>
      <w:r>
        <w:rPr>
          <w:rFonts w:ascii="Times New Roman" w:hAnsi="Times New Roman"/>
          <w:sz w:val="22"/>
        </w:rPr>
        <w:t>controladora</w:t>
      </w:r>
      <w:r>
        <w:rPr>
          <w:rFonts w:ascii="Times New Roman" w:hAnsi="Times New Roman"/>
          <w:spacing w:val="-9"/>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empresas</w:t>
      </w:r>
      <w:r>
        <w:rPr>
          <w:rFonts w:ascii="Times New Roman" w:hAnsi="Times New Roman"/>
          <w:spacing w:val="-10"/>
          <w:sz w:val="22"/>
        </w:rPr>
        <w:t> </w:t>
      </w:r>
      <w:r>
        <w:rPr>
          <w:rFonts w:ascii="Times New Roman" w:hAnsi="Times New Roman"/>
          <w:sz w:val="22"/>
        </w:rPr>
        <w:t>nos</w:t>
      </w:r>
      <w:r>
        <w:rPr>
          <w:rFonts w:ascii="Times New Roman" w:hAnsi="Times New Roman"/>
          <w:spacing w:val="-10"/>
          <w:sz w:val="22"/>
        </w:rPr>
        <w:t> </w:t>
      </w:r>
      <w:r>
        <w:rPr>
          <w:rFonts w:ascii="Times New Roman" w:hAnsi="Times New Roman"/>
          <w:sz w:val="22"/>
        </w:rPr>
        <w:t>ramos</w:t>
      </w:r>
      <w:r>
        <w:rPr>
          <w:rFonts w:ascii="Times New Roman" w:hAnsi="Times New Roman"/>
          <w:spacing w:val="-10"/>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distribuição</w:t>
      </w:r>
      <w:r>
        <w:rPr>
          <w:rFonts w:ascii="Times New Roman" w:hAnsi="Times New Roman"/>
          <w:spacing w:val="-10"/>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geração</w:t>
      </w:r>
      <w:r>
        <w:rPr>
          <w:rFonts w:ascii="Times New Roman" w:hAnsi="Times New Roman"/>
          <w:spacing w:val="-10"/>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energia elétrica, tendo também participações em empresas coligadas, controlada em conjunto e</w:t>
      </w:r>
      <w:r>
        <w:rPr>
          <w:rFonts w:ascii="Times New Roman" w:hAnsi="Times New Roman"/>
          <w:spacing w:val="-14"/>
          <w:sz w:val="22"/>
        </w:rPr>
        <w:t> </w:t>
      </w:r>
      <w:r>
        <w:rPr>
          <w:rFonts w:ascii="Times New Roman" w:hAnsi="Times New Roman"/>
          <w:sz w:val="22"/>
        </w:rPr>
        <w:t>ligada.</w:t>
      </w:r>
    </w:p>
    <w:p>
      <w:pPr>
        <w:pStyle w:val="BodyText"/>
        <w:spacing w:before="3"/>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Estrutura Societária</w:t>
      </w:r>
    </w:p>
    <w:p>
      <w:pPr>
        <w:pStyle w:val="BodyText"/>
        <w:rPr>
          <w:rFonts w:ascii="Times New Roman"/>
          <w:b/>
          <w:sz w:val="24"/>
        </w:rPr>
      </w:pPr>
    </w:p>
    <w:p>
      <w:pPr>
        <w:spacing w:line="360" w:lineRule="auto" w:before="193"/>
        <w:ind w:left="139" w:right="136" w:firstLine="708"/>
        <w:jc w:val="both"/>
        <w:rPr>
          <w:rFonts w:ascii="Times New Roman" w:hAnsi="Times New Roman"/>
          <w:sz w:val="22"/>
        </w:rPr>
      </w:pPr>
      <w:r>
        <w:rPr>
          <w:rFonts w:ascii="Times New Roman" w:hAnsi="Times New Roman"/>
          <w:sz w:val="22"/>
        </w:rPr>
        <w:t>A Companhia Energética de Brasília é uma sociedade de economia mista, de capital aberto, regida pela Lei das Sociedades Anônimas (Lei nº 6.404/1976), tendo por órgão fiscalizador de suas ações mercadológicas a Comissão de Valores Mobiliários (CVM), desde seu registro na entidade, em 4 de julho de 1994.</w:t>
      </w:r>
    </w:p>
    <w:p>
      <w:pPr>
        <w:pStyle w:val="BodyText"/>
        <w:spacing w:before="10"/>
        <w:rPr>
          <w:rFonts w:ascii="Times New Roman"/>
        </w:rPr>
      </w:pPr>
    </w:p>
    <w:p>
      <w:pPr>
        <w:spacing w:line="360" w:lineRule="auto" w:before="0"/>
        <w:ind w:left="139" w:right="136" w:firstLine="708"/>
        <w:jc w:val="both"/>
        <w:rPr>
          <w:rFonts w:ascii="Times New Roman" w:hAnsi="Times New Roman"/>
          <w:sz w:val="22"/>
        </w:rPr>
      </w:pPr>
      <w:r>
        <w:rPr>
          <w:rFonts w:ascii="Times New Roman" w:hAnsi="Times New Roman"/>
          <w:sz w:val="22"/>
        </w:rPr>
        <w:t>Em atendimento à orientação da então Bolsa de Valores do Estado de São Paulo (BM&amp;FBOVESPA), por intermédio</w:t>
      </w:r>
      <w:r>
        <w:rPr>
          <w:rFonts w:ascii="Times New Roman" w:hAnsi="Times New Roman"/>
          <w:spacing w:val="-6"/>
          <w:sz w:val="22"/>
        </w:rPr>
        <w:t> </w:t>
      </w:r>
      <w:r>
        <w:rPr>
          <w:rFonts w:ascii="Times New Roman" w:hAnsi="Times New Roman"/>
          <w:sz w:val="22"/>
        </w:rPr>
        <w:t>do</w:t>
      </w:r>
      <w:r>
        <w:rPr>
          <w:rFonts w:ascii="Times New Roman" w:hAnsi="Times New Roman"/>
          <w:spacing w:val="-5"/>
          <w:sz w:val="22"/>
        </w:rPr>
        <w:t> </w:t>
      </w:r>
      <w:r>
        <w:rPr>
          <w:rFonts w:ascii="Times New Roman" w:hAnsi="Times New Roman"/>
          <w:sz w:val="22"/>
        </w:rPr>
        <w:t>Ofício</w:t>
      </w:r>
      <w:r>
        <w:rPr>
          <w:rFonts w:ascii="Times New Roman" w:hAnsi="Times New Roman"/>
          <w:spacing w:val="-6"/>
          <w:sz w:val="22"/>
        </w:rPr>
        <w:t> </w:t>
      </w:r>
      <w:r>
        <w:rPr>
          <w:rFonts w:ascii="Times New Roman" w:hAnsi="Times New Roman"/>
          <w:sz w:val="22"/>
        </w:rPr>
        <w:t>nº</w:t>
      </w:r>
      <w:r>
        <w:rPr>
          <w:rFonts w:ascii="Times New Roman" w:hAnsi="Times New Roman"/>
          <w:spacing w:val="-7"/>
          <w:sz w:val="22"/>
        </w:rPr>
        <w:t> </w:t>
      </w:r>
      <w:r>
        <w:rPr>
          <w:rFonts w:ascii="Times New Roman" w:hAnsi="Times New Roman"/>
          <w:sz w:val="22"/>
        </w:rPr>
        <w:t>041/2007</w:t>
      </w:r>
      <w:r>
        <w:rPr>
          <w:rFonts w:ascii="Times New Roman" w:hAnsi="Times New Roman"/>
          <w:spacing w:val="-3"/>
          <w:sz w:val="22"/>
        </w:rPr>
        <w:t> </w:t>
      </w:r>
      <w:r>
        <w:rPr>
          <w:rFonts w:ascii="Times New Roman" w:hAnsi="Times New Roman"/>
          <w:sz w:val="22"/>
        </w:rPr>
        <w:t>–</w:t>
      </w:r>
      <w:r>
        <w:rPr>
          <w:rFonts w:ascii="Times New Roman" w:hAnsi="Times New Roman"/>
          <w:spacing w:val="-5"/>
          <w:sz w:val="22"/>
        </w:rPr>
        <w:t> </w:t>
      </w:r>
      <w:r>
        <w:rPr>
          <w:rFonts w:ascii="Times New Roman" w:hAnsi="Times New Roman"/>
          <w:sz w:val="22"/>
        </w:rPr>
        <w:t>SEO,</w:t>
      </w:r>
      <w:r>
        <w:rPr>
          <w:rFonts w:ascii="Times New Roman" w:hAnsi="Times New Roman"/>
          <w:spacing w:val="-6"/>
          <w:sz w:val="22"/>
        </w:rPr>
        <w:t> </w:t>
      </w:r>
      <w:r>
        <w:rPr>
          <w:rFonts w:ascii="Times New Roman" w:hAnsi="Times New Roman"/>
          <w:sz w:val="22"/>
        </w:rPr>
        <w:t>de</w:t>
      </w:r>
      <w:r>
        <w:rPr>
          <w:rFonts w:ascii="Times New Roman" w:hAnsi="Times New Roman"/>
          <w:spacing w:val="-7"/>
          <w:sz w:val="22"/>
        </w:rPr>
        <w:t> </w:t>
      </w:r>
      <w:r>
        <w:rPr>
          <w:rFonts w:ascii="Times New Roman" w:hAnsi="Times New Roman"/>
          <w:sz w:val="22"/>
        </w:rPr>
        <w:t>15</w:t>
      </w:r>
      <w:r>
        <w:rPr>
          <w:rFonts w:ascii="Times New Roman" w:hAnsi="Times New Roman"/>
          <w:spacing w:val="-6"/>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março</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2007,</w:t>
      </w:r>
      <w:r>
        <w:rPr>
          <w:rFonts w:ascii="Times New Roman" w:hAnsi="Times New Roman"/>
          <w:spacing w:val="-8"/>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CEB,</w:t>
      </w:r>
      <w:r>
        <w:rPr>
          <w:rFonts w:ascii="Times New Roman" w:hAnsi="Times New Roman"/>
          <w:spacing w:val="-5"/>
          <w:sz w:val="22"/>
        </w:rPr>
        <w:t> </w:t>
      </w:r>
      <w:r>
        <w:rPr>
          <w:rFonts w:ascii="Times New Roman" w:hAnsi="Times New Roman"/>
          <w:sz w:val="22"/>
        </w:rPr>
        <w:t>após</w:t>
      </w:r>
      <w:r>
        <w:rPr>
          <w:rFonts w:ascii="Times New Roman" w:hAnsi="Times New Roman"/>
          <w:spacing w:val="-5"/>
          <w:sz w:val="22"/>
        </w:rPr>
        <w:t> </w:t>
      </w:r>
      <w:r>
        <w:rPr>
          <w:rFonts w:ascii="Times New Roman" w:hAnsi="Times New Roman"/>
          <w:sz w:val="22"/>
        </w:rPr>
        <w:t>decisão</w:t>
      </w:r>
      <w:r>
        <w:rPr>
          <w:rFonts w:ascii="Times New Roman" w:hAnsi="Times New Roman"/>
          <w:spacing w:val="-5"/>
          <w:sz w:val="22"/>
        </w:rPr>
        <w:t> </w:t>
      </w:r>
      <w:r>
        <w:rPr>
          <w:rFonts w:ascii="Times New Roman" w:hAnsi="Times New Roman"/>
          <w:sz w:val="22"/>
        </w:rPr>
        <w:t>tomada</w:t>
      </w:r>
      <w:r>
        <w:rPr>
          <w:rFonts w:ascii="Times New Roman" w:hAnsi="Times New Roman"/>
          <w:spacing w:val="-6"/>
          <w:sz w:val="22"/>
        </w:rPr>
        <w:t> </w:t>
      </w:r>
      <w:r>
        <w:rPr>
          <w:rFonts w:ascii="Times New Roman" w:hAnsi="Times New Roman"/>
          <w:sz w:val="22"/>
        </w:rPr>
        <w:t>na</w:t>
      </w:r>
      <w:r>
        <w:rPr>
          <w:rFonts w:ascii="Times New Roman" w:hAnsi="Times New Roman"/>
          <w:spacing w:val="-5"/>
          <w:sz w:val="22"/>
        </w:rPr>
        <w:t> </w:t>
      </w:r>
      <w:r>
        <w:rPr>
          <w:rFonts w:ascii="Times New Roman" w:hAnsi="Times New Roman"/>
          <w:sz w:val="22"/>
        </w:rPr>
        <w:t>45ª</w:t>
      </w:r>
      <w:r>
        <w:rPr>
          <w:rFonts w:ascii="Times New Roman" w:hAnsi="Times New Roman"/>
          <w:spacing w:val="-8"/>
          <w:sz w:val="22"/>
        </w:rPr>
        <w:t> </w:t>
      </w:r>
      <w:r>
        <w:rPr>
          <w:rFonts w:ascii="Times New Roman" w:hAnsi="Times New Roman"/>
          <w:sz w:val="22"/>
        </w:rPr>
        <w:t>Assembleia</w:t>
      </w:r>
      <w:r>
        <w:rPr>
          <w:rFonts w:ascii="Times New Roman" w:hAnsi="Times New Roman"/>
          <w:spacing w:val="-6"/>
          <w:sz w:val="22"/>
        </w:rPr>
        <w:t> </w:t>
      </w:r>
      <w:r>
        <w:rPr>
          <w:rFonts w:ascii="Times New Roman" w:hAnsi="Times New Roman"/>
          <w:sz w:val="22"/>
        </w:rPr>
        <w:t>Geral Ordinária, agrupou suas ações, a partir de 18 de junho de 2007. Dessa forma, foi adotada a cotação unitária, passando o seu</w:t>
      </w:r>
      <w:r>
        <w:rPr>
          <w:rFonts w:ascii="Times New Roman" w:hAnsi="Times New Roman"/>
          <w:spacing w:val="-14"/>
          <w:sz w:val="22"/>
        </w:rPr>
        <w:t> </w:t>
      </w:r>
      <w:r>
        <w:rPr>
          <w:rFonts w:ascii="Times New Roman" w:hAnsi="Times New Roman"/>
          <w:sz w:val="22"/>
        </w:rPr>
        <w:t>capital</w:t>
      </w:r>
      <w:r>
        <w:rPr>
          <w:rFonts w:ascii="Times New Roman" w:hAnsi="Times New Roman"/>
          <w:spacing w:val="-12"/>
          <w:sz w:val="22"/>
        </w:rPr>
        <w:t> </w:t>
      </w:r>
      <w:r>
        <w:rPr>
          <w:rFonts w:ascii="Times New Roman" w:hAnsi="Times New Roman"/>
          <w:sz w:val="22"/>
        </w:rPr>
        <w:t>social</w:t>
      </w:r>
      <w:r>
        <w:rPr>
          <w:rFonts w:ascii="Times New Roman" w:hAnsi="Times New Roman"/>
          <w:spacing w:val="-14"/>
          <w:sz w:val="22"/>
        </w:rPr>
        <w:t> </w:t>
      </w:r>
      <w:r>
        <w:rPr>
          <w:rFonts w:ascii="Times New Roman" w:hAnsi="Times New Roman"/>
          <w:sz w:val="22"/>
        </w:rPr>
        <w:t>a</w:t>
      </w:r>
      <w:r>
        <w:rPr>
          <w:rFonts w:ascii="Times New Roman" w:hAnsi="Times New Roman"/>
          <w:spacing w:val="-16"/>
          <w:sz w:val="22"/>
        </w:rPr>
        <w:t> </w:t>
      </w:r>
      <w:r>
        <w:rPr>
          <w:rFonts w:ascii="Times New Roman" w:hAnsi="Times New Roman"/>
          <w:sz w:val="22"/>
        </w:rPr>
        <w:t>ser</w:t>
      </w:r>
      <w:r>
        <w:rPr>
          <w:rFonts w:ascii="Times New Roman" w:hAnsi="Times New Roman"/>
          <w:spacing w:val="-15"/>
          <w:sz w:val="22"/>
        </w:rPr>
        <w:t> </w:t>
      </w:r>
      <w:r>
        <w:rPr>
          <w:rFonts w:ascii="Times New Roman" w:hAnsi="Times New Roman"/>
          <w:sz w:val="22"/>
        </w:rPr>
        <w:t>representado</w:t>
      </w:r>
      <w:r>
        <w:rPr>
          <w:rFonts w:ascii="Times New Roman" w:hAnsi="Times New Roman"/>
          <w:spacing w:val="-13"/>
          <w:sz w:val="22"/>
        </w:rPr>
        <w:t> </w:t>
      </w:r>
      <w:r>
        <w:rPr>
          <w:rFonts w:ascii="Times New Roman" w:hAnsi="Times New Roman"/>
          <w:sz w:val="22"/>
        </w:rPr>
        <w:t>por</w:t>
      </w:r>
      <w:r>
        <w:rPr>
          <w:rFonts w:ascii="Times New Roman" w:hAnsi="Times New Roman"/>
          <w:spacing w:val="-15"/>
          <w:sz w:val="22"/>
        </w:rPr>
        <w:t> </w:t>
      </w:r>
      <w:r>
        <w:rPr>
          <w:rFonts w:ascii="Times New Roman" w:hAnsi="Times New Roman"/>
          <w:sz w:val="22"/>
        </w:rPr>
        <w:t>9.183.458</w:t>
      </w:r>
      <w:r>
        <w:rPr>
          <w:rFonts w:ascii="Times New Roman" w:hAnsi="Times New Roman"/>
          <w:spacing w:val="-14"/>
          <w:sz w:val="22"/>
        </w:rPr>
        <w:t> </w:t>
      </w:r>
      <w:r>
        <w:rPr>
          <w:rFonts w:ascii="Times New Roman" w:hAnsi="Times New Roman"/>
          <w:sz w:val="22"/>
        </w:rPr>
        <w:t>ações</w:t>
      </w:r>
      <w:r>
        <w:rPr>
          <w:rFonts w:ascii="Times New Roman" w:hAnsi="Times New Roman"/>
          <w:spacing w:val="-13"/>
          <w:sz w:val="22"/>
        </w:rPr>
        <w:t> </w:t>
      </w:r>
      <w:r>
        <w:rPr>
          <w:rFonts w:ascii="Times New Roman" w:hAnsi="Times New Roman"/>
          <w:sz w:val="22"/>
        </w:rPr>
        <w:t>escriturais,</w:t>
      </w:r>
      <w:r>
        <w:rPr>
          <w:rFonts w:ascii="Times New Roman" w:hAnsi="Times New Roman"/>
          <w:spacing w:val="-15"/>
          <w:sz w:val="22"/>
        </w:rPr>
        <w:t> </w:t>
      </w:r>
      <w:r>
        <w:rPr>
          <w:rFonts w:ascii="Times New Roman" w:hAnsi="Times New Roman"/>
          <w:sz w:val="22"/>
        </w:rPr>
        <w:t>sem</w:t>
      </w:r>
      <w:r>
        <w:rPr>
          <w:rFonts w:ascii="Times New Roman" w:hAnsi="Times New Roman"/>
          <w:spacing w:val="-17"/>
          <w:sz w:val="22"/>
        </w:rPr>
        <w:t> </w:t>
      </w:r>
      <w:r>
        <w:rPr>
          <w:rFonts w:ascii="Times New Roman" w:hAnsi="Times New Roman"/>
          <w:sz w:val="22"/>
        </w:rPr>
        <w:t>valor</w:t>
      </w:r>
      <w:r>
        <w:rPr>
          <w:rFonts w:ascii="Times New Roman" w:hAnsi="Times New Roman"/>
          <w:spacing w:val="-14"/>
          <w:sz w:val="22"/>
        </w:rPr>
        <w:t> </w:t>
      </w:r>
      <w:r>
        <w:rPr>
          <w:rFonts w:ascii="Times New Roman" w:hAnsi="Times New Roman"/>
          <w:sz w:val="22"/>
        </w:rPr>
        <w:t>nominal,</w:t>
      </w:r>
      <w:r>
        <w:rPr>
          <w:rFonts w:ascii="Times New Roman" w:hAnsi="Times New Roman"/>
          <w:spacing w:val="-13"/>
          <w:sz w:val="22"/>
        </w:rPr>
        <w:t> </w:t>
      </w:r>
      <w:r>
        <w:rPr>
          <w:rFonts w:ascii="Times New Roman" w:hAnsi="Times New Roman"/>
          <w:sz w:val="22"/>
        </w:rPr>
        <w:t>sendo</w:t>
      </w:r>
      <w:r>
        <w:rPr>
          <w:rFonts w:ascii="Times New Roman" w:hAnsi="Times New Roman"/>
          <w:spacing w:val="-10"/>
          <w:sz w:val="22"/>
        </w:rPr>
        <w:t> </w:t>
      </w:r>
      <w:r>
        <w:rPr>
          <w:rFonts w:ascii="Times New Roman" w:hAnsi="Times New Roman"/>
          <w:sz w:val="22"/>
        </w:rPr>
        <w:t>4.576.432</w:t>
      </w:r>
      <w:r>
        <w:rPr>
          <w:rFonts w:ascii="Times New Roman" w:hAnsi="Times New Roman"/>
          <w:spacing w:val="-14"/>
          <w:sz w:val="22"/>
        </w:rPr>
        <w:t> </w:t>
      </w:r>
      <w:r>
        <w:rPr>
          <w:rFonts w:ascii="Times New Roman" w:hAnsi="Times New Roman"/>
          <w:sz w:val="22"/>
        </w:rPr>
        <w:t>ações</w:t>
      </w:r>
      <w:r>
        <w:rPr>
          <w:rFonts w:ascii="Times New Roman" w:hAnsi="Times New Roman"/>
          <w:spacing w:val="-18"/>
          <w:sz w:val="22"/>
        </w:rPr>
        <w:t> </w:t>
      </w:r>
      <w:r>
        <w:rPr>
          <w:rFonts w:ascii="Times New Roman" w:hAnsi="Times New Roman"/>
          <w:sz w:val="22"/>
        </w:rPr>
        <w:t>ordinárias,</w:t>
      </w:r>
    </w:p>
    <w:p>
      <w:pPr>
        <w:spacing w:line="252" w:lineRule="exact" w:before="0"/>
        <w:ind w:left="139" w:right="0" w:firstLine="0"/>
        <w:jc w:val="both"/>
        <w:rPr>
          <w:rFonts w:ascii="Times New Roman" w:hAnsi="Times New Roman"/>
          <w:sz w:val="22"/>
        </w:rPr>
      </w:pPr>
      <w:r>
        <w:rPr>
          <w:rFonts w:ascii="Times New Roman" w:hAnsi="Times New Roman"/>
          <w:sz w:val="22"/>
        </w:rPr>
        <w:t>1.313.002 ações preferenciais classe A e 3.294.024 ações preferenciais classe B.</w:t>
      </w:r>
    </w:p>
    <w:p>
      <w:pPr>
        <w:pStyle w:val="BodyText"/>
        <w:rPr>
          <w:rFonts w:ascii="Times New Roman"/>
          <w:sz w:val="32"/>
        </w:rPr>
      </w:pPr>
    </w:p>
    <w:p>
      <w:pPr>
        <w:spacing w:line="360" w:lineRule="auto" w:before="1"/>
        <w:ind w:left="139" w:right="137" w:firstLine="708"/>
        <w:jc w:val="both"/>
        <w:rPr>
          <w:rFonts w:ascii="Times New Roman" w:hAnsi="Times New Roman"/>
          <w:sz w:val="22"/>
        </w:rPr>
      </w:pPr>
      <w:r>
        <w:rPr>
          <w:rFonts w:ascii="Times New Roman" w:hAnsi="Times New Roman"/>
          <w:sz w:val="22"/>
        </w:rPr>
        <w:t>Em 23 setembro de 2015, a 89ª Assembleia Geral Extraordinária – AGE homologou o aumento de capital da CEB em R$ 223.969.190,00, mediante as subscrições particulares de 2.607.746 ações ordinárias e de 2.625.179 ações preferenciais Classe B.</w:t>
      </w:r>
    </w:p>
    <w:p>
      <w:pPr>
        <w:pStyle w:val="BodyText"/>
        <w:spacing w:before="9"/>
        <w:rPr>
          <w:rFonts w:ascii="Times New Roman"/>
        </w:rPr>
      </w:pPr>
    </w:p>
    <w:p>
      <w:pPr>
        <w:spacing w:line="360" w:lineRule="auto" w:before="0"/>
        <w:ind w:left="139" w:right="145" w:firstLine="708"/>
        <w:jc w:val="both"/>
        <w:rPr>
          <w:rFonts w:ascii="Times New Roman" w:hAnsi="Times New Roman"/>
          <w:sz w:val="22"/>
        </w:rPr>
      </w:pPr>
      <w:r>
        <w:rPr>
          <w:rFonts w:ascii="Times New Roman" w:hAnsi="Times New Roman"/>
          <w:sz w:val="22"/>
        </w:rPr>
        <w:t>Atualmente, o capital social da CEB, no montante de R$ 566.025.355,62 (quinhentos e sessenta e seis milhões, vinte e cinco mil, trezentos e cinquenta e cinco reais e sessenta e dois centavos), apresenta a seguinte composição:</w:t>
      </w:r>
    </w:p>
    <w:p>
      <w:pPr>
        <w:pStyle w:val="BodyText"/>
        <w:spacing w:before="3"/>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Composição Acionária (Controlador)</w:t>
      </w:r>
    </w:p>
    <w:p>
      <w:pPr>
        <w:pStyle w:val="BodyText"/>
        <w:spacing w:before="1" w:after="1"/>
        <w:rPr>
          <w:rFonts w:ascii="Times New Roman"/>
          <w:b/>
          <w:sz w:val="21"/>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3272"/>
        <w:gridCol w:w="1205"/>
        <w:gridCol w:w="993"/>
        <w:gridCol w:w="1207"/>
        <w:gridCol w:w="989"/>
        <w:gridCol w:w="1212"/>
        <w:gridCol w:w="984"/>
      </w:tblGrid>
      <w:tr>
        <w:trPr>
          <w:trHeight w:val="309" w:hRule="atLeast"/>
        </w:trPr>
        <w:tc>
          <w:tcPr>
            <w:tcW w:w="3272" w:type="dxa"/>
            <w:tcBorders>
              <w:top w:val="nil"/>
              <w:left w:val="nil"/>
              <w:bottom w:val="nil"/>
              <w:right w:val="nil"/>
            </w:tcBorders>
            <w:shd w:val="clear" w:color="auto" w:fill="4470C4"/>
          </w:tcPr>
          <w:p>
            <w:pPr>
              <w:pStyle w:val="TableParagraph"/>
              <w:spacing w:before="10"/>
              <w:ind w:left="1186" w:right="1168"/>
              <w:jc w:val="center"/>
              <w:rPr>
                <w:rFonts w:ascii="Times New Roman"/>
                <w:b/>
                <w:sz w:val="20"/>
              </w:rPr>
            </w:pPr>
            <w:r>
              <w:rPr>
                <w:rFonts w:ascii="Times New Roman"/>
                <w:b/>
                <w:color w:val="FFFFFF"/>
                <w:sz w:val="20"/>
              </w:rPr>
              <w:t>Acionistas</w:t>
            </w:r>
          </w:p>
        </w:tc>
        <w:tc>
          <w:tcPr>
            <w:tcW w:w="2198" w:type="dxa"/>
            <w:gridSpan w:val="2"/>
            <w:tcBorders>
              <w:top w:val="nil"/>
              <w:left w:val="nil"/>
              <w:bottom w:val="nil"/>
              <w:right w:val="nil"/>
            </w:tcBorders>
            <w:shd w:val="clear" w:color="auto" w:fill="4470C4"/>
          </w:tcPr>
          <w:p>
            <w:pPr>
              <w:pStyle w:val="TableParagraph"/>
              <w:spacing w:before="10"/>
              <w:ind w:left="362"/>
              <w:rPr>
                <w:rFonts w:ascii="Times New Roman" w:hAnsi="Times New Roman"/>
                <w:b/>
                <w:sz w:val="20"/>
              </w:rPr>
            </w:pPr>
            <w:r>
              <w:rPr>
                <w:rFonts w:ascii="Times New Roman" w:hAnsi="Times New Roman"/>
                <w:b/>
                <w:color w:val="FFFFFF"/>
                <w:sz w:val="20"/>
              </w:rPr>
              <w:t>Ações Ordinárias</w:t>
            </w:r>
          </w:p>
        </w:tc>
        <w:tc>
          <w:tcPr>
            <w:tcW w:w="2196" w:type="dxa"/>
            <w:gridSpan w:val="2"/>
            <w:tcBorders>
              <w:top w:val="nil"/>
              <w:left w:val="nil"/>
              <w:bottom w:val="nil"/>
              <w:right w:val="nil"/>
            </w:tcBorders>
            <w:shd w:val="clear" w:color="auto" w:fill="4470C4"/>
          </w:tcPr>
          <w:p>
            <w:pPr>
              <w:pStyle w:val="TableParagraph"/>
              <w:spacing w:before="10"/>
              <w:ind w:left="276"/>
              <w:rPr>
                <w:rFonts w:ascii="Times New Roman" w:hAnsi="Times New Roman"/>
                <w:b/>
                <w:sz w:val="20"/>
              </w:rPr>
            </w:pPr>
            <w:r>
              <w:rPr>
                <w:rFonts w:ascii="Times New Roman" w:hAnsi="Times New Roman"/>
                <w:b/>
                <w:color w:val="FFFFFF"/>
                <w:sz w:val="20"/>
              </w:rPr>
              <w:t>Ações Preferenciais</w:t>
            </w:r>
          </w:p>
        </w:tc>
        <w:tc>
          <w:tcPr>
            <w:tcW w:w="2196" w:type="dxa"/>
            <w:gridSpan w:val="2"/>
            <w:tcBorders>
              <w:top w:val="nil"/>
              <w:left w:val="nil"/>
              <w:bottom w:val="nil"/>
              <w:right w:val="nil"/>
            </w:tcBorders>
            <w:shd w:val="clear" w:color="auto" w:fill="4470C4"/>
          </w:tcPr>
          <w:p>
            <w:pPr>
              <w:pStyle w:val="TableParagraph"/>
              <w:spacing w:before="10"/>
              <w:ind w:left="567"/>
              <w:rPr>
                <w:rFonts w:ascii="Times New Roman" w:hAnsi="Times New Roman"/>
                <w:b/>
                <w:sz w:val="20"/>
              </w:rPr>
            </w:pPr>
            <w:r>
              <w:rPr>
                <w:rFonts w:ascii="Times New Roman" w:hAnsi="Times New Roman"/>
                <w:b/>
                <w:color w:val="FFFFFF"/>
                <w:sz w:val="20"/>
              </w:rPr>
              <w:t>Ações Totais</w:t>
            </w:r>
          </w:p>
        </w:tc>
      </w:tr>
      <w:tr>
        <w:trPr>
          <w:trHeight w:val="227" w:hRule="atLeast"/>
        </w:trPr>
        <w:tc>
          <w:tcPr>
            <w:tcW w:w="3272" w:type="dxa"/>
            <w:tcBorders>
              <w:top w:val="nil"/>
            </w:tcBorders>
            <w:shd w:val="clear" w:color="auto" w:fill="D9E0F3"/>
          </w:tcPr>
          <w:p>
            <w:pPr>
              <w:pStyle w:val="TableParagraph"/>
              <w:rPr>
                <w:rFonts w:ascii="Times New Roman"/>
                <w:sz w:val="16"/>
              </w:rPr>
            </w:pPr>
          </w:p>
        </w:tc>
        <w:tc>
          <w:tcPr>
            <w:tcW w:w="1205" w:type="dxa"/>
            <w:tcBorders>
              <w:top w:val="nil"/>
            </w:tcBorders>
            <w:shd w:val="clear" w:color="auto" w:fill="D9E0F3"/>
          </w:tcPr>
          <w:p>
            <w:pPr>
              <w:pStyle w:val="TableParagraph"/>
              <w:spacing w:line="208" w:lineRule="exact"/>
              <w:ind w:left="419" w:right="401"/>
              <w:jc w:val="center"/>
              <w:rPr>
                <w:rFonts w:ascii="Times New Roman"/>
                <w:b/>
                <w:sz w:val="20"/>
              </w:rPr>
            </w:pPr>
            <w:r>
              <w:rPr>
                <w:rFonts w:ascii="Times New Roman"/>
                <w:b/>
                <w:sz w:val="20"/>
              </w:rPr>
              <w:t>Qtd</w:t>
            </w:r>
          </w:p>
        </w:tc>
        <w:tc>
          <w:tcPr>
            <w:tcW w:w="993" w:type="dxa"/>
            <w:tcBorders>
              <w:top w:val="nil"/>
            </w:tcBorders>
            <w:shd w:val="clear" w:color="auto" w:fill="D9E0F3"/>
          </w:tcPr>
          <w:p>
            <w:pPr>
              <w:pStyle w:val="TableParagraph"/>
              <w:spacing w:line="208" w:lineRule="exact"/>
              <w:ind w:left="25"/>
              <w:jc w:val="center"/>
              <w:rPr>
                <w:rFonts w:ascii="Times New Roman"/>
                <w:b/>
                <w:sz w:val="20"/>
              </w:rPr>
            </w:pPr>
            <w:r>
              <w:rPr>
                <w:rFonts w:ascii="Times New Roman"/>
                <w:b/>
                <w:w w:val="96"/>
                <w:sz w:val="20"/>
              </w:rPr>
              <w:t>%</w:t>
            </w:r>
          </w:p>
        </w:tc>
        <w:tc>
          <w:tcPr>
            <w:tcW w:w="1207" w:type="dxa"/>
            <w:tcBorders>
              <w:top w:val="nil"/>
            </w:tcBorders>
            <w:shd w:val="clear" w:color="auto" w:fill="D9E0F3"/>
          </w:tcPr>
          <w:p>
            <w:pPr>
              <w:pStyle w:val="TableParagraph"/>
              <w:spacing w:line="208" w:lineRule="exact"/>
              <w:ind w:left="422" w:right="400"/>
              <w:jc w:val="center"/>
              <w:rPr>
                <w:rFonts w:ascii="Times New Roman"/>
                <w:b/>
                <w:sz w:val="20"/>
              </w:rPr>
            </w:pPr>
            <w:r>
              <w:rPr>
                <w:rFonts w:ascii="Times New Roman"/>
                <w:b/>
                <w:sz w:val="20"/>
              </w:rPr>
              <w:t>Qtd</w:t>
            </w:r>
          </w:p>
        </w:tc>
        <w:tc>
          <w:tcPr>
            <w:tcW w:w="989" w:type="dxa"/>
            <w:tcBorders>
              <w:top w:val="nil"/>
            </w:tcBorders>
            <w:shd w:val="clear" w:color="auto" w:fill="D9E0F3"/>
          </w:tcPr>
          <w:p>
            <w:pPr>
              <w:pStyle w:val="TableParagraph"/>
              <w:spacing w:line="208" w:lineRule="exact"/>
              <w:ind w:left="23"/>
              <w:jc w:val="center"/>
              <w:rPr>
                <w:rFonts w:ascii="Times New Roman"/>
                <w:b/>
                <w:sz w:val="20"/>
              </w:rPr>
            </w:pPr>
            <w:r>
              <w:rPr>
                <w:rFonts w:ascii="Times New Roman"/>
                <w:b/>
                <w:w w:val="96"/>
                <w:sz w:val="20"/>
              </w:rPr>
              <w:t>%</w:t>
            </w:r>
          </w:p>
        </w:tc>
        <w:tc>
          <w:tcPr>
            <w:tcW w:w="1212" w:type="dxa"/>
            <w:tcBorders>
              <w:top w:val="nil"/>
            </w:tcBorders>
            <w:shd w:val="clear" w:color="auto" w:fill="D9E0F3"/>
          </w:tcPr>
          <w:p>
            <w:pPr>
              <w:pStyle w:val="TableParagraph"/>
              <w:spacing w:line="208" w:lineRule="exact"/>
              <w:ind w:left="423" w:right="404"/>
              <w:jc w:val="center"/>
              <w:rPr>
                <w:rFonts w:ascii="Times New Roman"/>
                <w:b/>
                <w:sz w:val="20"/>
              </w:rPr>
            </w:pPr>
            <w:r>
              <w:rPr>
                <w:rFonts w:ascii="Times New Roman"/>
                <w:b/>
                <w:sz w:val="20"/>
              </w:rPr>
              <w:t>Qtd</w:t>
            </w:r>
          </w:p>
        </w:tc>
        <w:tc>
          <w:tcPr>
            <w:tcW w:w="984" w:type="dxa"/>
            <w:tcBorders>
              <w:top w:val="nil"/>
            </w:tcBorders>
            <w:shd w:val="clear" w:color="auto" w:fill="D9E0F3"/>
          </w:tcPr>
          <w:p>
            <w:pPr>
              <w:pStyle w:val="TableParagraph"/>
              <w:spacing w:line="208" w:lineRule="exact"/>
              <w:ind w:left="399"/>
              <w:rPr>
                <w:rFonts w:ascii="Times New Roman"/>
                <w:b/>
                <w:sz w:val="20"/>
              </w:rPr>
            </w:pPr>
            <w:r>
              <w:rPr>
                <w:rFonts w:ascii="Times New Roman"/>
                <w:b/>
                <w:w w:val="96"/>
                <w:sz w:val="20"/>
              </w:rPr>
              <w:t>%</w:t>
            </w:r>
          </w:p>
        </w:tc>
      </w:tr>
      <w:tr>
        <w:trPr>
          <w:trHeight w:val="230" w:hRule="atLeast"/>
        </w:trPr>
        <w:tc>
          <w:tcPr>
            <w:tcW w:w="3272" w:type="dxa"/>
          </w:tcPr>
          <w:p>
            <w:pPr>
              <w:pStyle w:val="TableParagraph"/>
              <w:spacing w:line="210" w:lineRule="exact"/>
              <w:ind w:left="379"/>
              <w:rPr>
                <w:rFonts w:ascii="Times New Roman"/>
                <w:b/>
                <w:sz w:val="20"/>
              </w:rPr>
            </w:pPr>
            <w:r>
              <w:rPr>
                <w:rFonts w:ascii="Times New Roman"/>
                <w:b/>
                <w:sz w:val="20"/>
              </w:rPr>
              <w:t>Governo do Distrito Federal</w:t>
            </w:r>
          </w:p>
        </w:tc>
        <w:tc>
          <w:tcPr>
            <w:tcW w:w="1205" w:type="dxa"/>
          </w:tcPr>
          <w:p>
            <w:pPr>
              <w:pStyle w:val="TableParagraph"/>
              <w:spacing w:line="210" w:lineRule="exact"/>
              <w:ind w:right="83"/>
              <w:jc w:val="right"/>
              <w:rPr>
                <w:rFonts w:ascii="Times New Roman"/>
                <w:b/>
                <w:sz w:val="20"/>
              </w:rPr>
            </w:pPr>
            <w:r>
              <w:rPr>
                <w:rFonts w:ascii="Times New Roman"/>
                <w:b/>
                <w:w w:val="95"/>
                <w:sz w:val="20"/>
              </w:rPr>
              <w:t>6.695.752</w:t>
            </w:r>
          </w:p>
        </w:tc>
        <w:tc>
          <w:tcPr>
            <w:tcW w:w="993" w:type="dxa"/>
          </w:tcPr>
          <w:p>
            <w:pPr>
              <w:pStyle w:val="TableParagraph"/>
              <w:spacing w:line="210" w:lineRule="exact"/>
              <w:ind w:right="82"/>
              <w:jc w:val="right"/>
              <w:rPr>
                <w:rFonts w:ascii="Times New Roman"/>
                <w:b/>
                <w:sz w:val="20"/>
              </w:rPr>
            </w:pPr>
            <w:r>
              <w:rPr>
                <w:rFonts w:ascii="Times New Roman"/>
                <w:b/>
                <w:sz w:val="20"/>
              </w:rPr>
              <w:t>93,20</w:t>
            </w:r>
          </w:p>
        </w:tc>
        <w:tc>
          <w:tcPr>
            <w:tcW w:w="1207" w:type="dxa"/>
          </w:tcPr>
          <w:p>
            <w:pPr>
              <w:pStyle w:val="TableParagraph"/>
              <w:spacing w:line="210" w:lineRule="exact"/>
              <w:ind w:right="85"/>
              <w:jc w:val="right"/>
              <w:rPr>
                <w:rFonts w:ascii="Times New Roman"/>
                <w:b/>
                <w:sz w:val="20"/>
              </w:rPr>
            </w:pPr>
            <w:r>
              <w:rPr>
                <w:rFonts w:ascii="Times New Roman"/>
                <w:b/>
                <w:w w:val="90"/>
                <w:sz w:val="20"/>
              </w:rPr>
              <w:t>4.859.525</w:t>
            </w:r>
          </w:p>
        </w:tc>
        <w:tc>
          <w:tcPr>
            <w:tcW w:w="989" w:type="dxa"/>
          </w:tcPr>
          <w:p>
            <w:pPr>
              <w:pStyle w:val="TableParagraph"/>
              <w:spacing w:line="210" w:lineRule="exact"/>
              <w:ind w:right="80"/>
              <w:jc w:val="right"/>
              <w:rPr>
                <w:rFonts w:ascii="Times New Roman"/>
                <w:b/>
                <w:sz w:val="20"/>
              </w:rPr>
            </w:pPr>
            <w:r>
              <w:rPr>
                <w:rFonts w:ascii="Times New Roman"/>
                <w:b/>
                <w:sz w:val="20"/>
              </w:rPr>
              <w:t>67,19</w:t>
            </w:r>
          </w:p>
        </w:tc>
        <w:tc>
          <w:tcPr>
            <w:tcW w:w="1212" w:type="dxa"/>
          </w:tcPr>
          <w:p>
            <w:pPr>
              <w:pStyle w:val="TableParagraph"/>
              <w:spacing w:line="210" w:lineRule="exact"/>
              <w:ind w:right="87"/>
              <w:jc w:val="right"/>
              <w:rPr>
                <w:rFonts w:ascii="Times New Roman"/>
                <w:b/>
                <w:sz w:val="20"/>
              </w:rPr>
            </w:pPr>
            <w:r>
              <w:rPr>
                <w:rFonts w:ascii="Times New Roman"/>
                <w:b/>
                <w:w w:val="90"/>
                <w:sz w:val="20"/>
              </w:rPr>
              <w:t>11.555.277</w:t>
            </w:r>
          </w:p>
        </w:tc>
        <w:tc>
          <w:tcPr>
            <w:tcW w:w="984" w:type="dxa"/>
          </w:tcPr>
          <w:p>
            <w:pPr>
              <w:pStyle w:val="TableParagraph"/>
              <w:spacing w:line="210" w:lineRule="exact"/>
              <w:ind w:left="433"/>
              <w:rPr>
                <w:rFonts w:ascii="Times New Roman"/>
                <w:b/>
                <w:sz w:val="20"/>
              </w:rPr>
            </w:pPr>
            <w:r>
              <w:rPr>
                <w:rFonts w:ascii="Times New Roman"/>
                <w:b/>
                <w:sz w:val="20"/>
              </w:rPr>
              <w:t>80,15</w:t>
            </w:r>
          </w:p>
        </w:tc>
      </w:tr>
      <w:tr>
        <w:trPr>
          <w:trHeight w:val="229" w:hRule="atLeast"/>
        </w:trPr>
        <w:tc>
          <w:tcPr>
            <w:tcW w:w="3272" w:type="dxa"/>
            <w:shd w:val="clear" w:color="auto" w:fill="D9E0F3"/>
          </w:tcPr>
          <w:p>
            <w:pPr>
              <w:pStyle w:val="TableParagraph"/>
              <w:spacing w:line="210" w:lineRule="exact"/>
              <w:ind w:left="379"/>
              <w:rPr>
                <w:rFonts w:ascii="Times New Roman"/>
                <w:b/>
                <w:sz w:val="20"/>
              </w:rPr>
            </w:pPr>
            <w:r>
              <w:rPr>
                <w:rFonts w:ascii="Times New Roman"/>
                <w:b/>
                <w:sz w:val="20"/>
              </w:rPr>
              <w:t>Outros Acionistas</w:t>
            </w:r>
          </w:p>
        </w:tc>
        <w:tc>
          <w:tcPr>
            <w:tcW w:w="1205" w:type="dxa"/>
            <w:shd w:val="clear" w:color="auto" w:fill="D9E0F3"/>
          </w:tcPr>
          <w:p>
            <w:pPr>
              <w:pStyle w:val="TableParagraph"/>
              <w:spacing w:line="210" w:lineRule="exact"/>
              <w:ind w:right="81"/>
              <w:jc w:val="right"/>
              <w:rPr>
                <w:rFonts w:ascii="Times New Roman"/>
                <w:b/>
                <w:sz w:val="20"/>
              </w:rPr>
            </w:pPr>
            <w:r>
              <w:rPr>
                <w:rFonts w:ascii="Times New Roman"/>
                <w:b/>
                <w:w w:val="95"/>
                <w:sz w:val="20"/>
              </w:rPr>
              <w:t>488.426</w:t>
            </w:r>
          </w:p>
        </w:tc>
        <w:tc>
          <w:tcPr>
            <w:tcW w:w="993" w:type="dxa"/>
            <w:shd w:val="clear" w:color="auto" w:fill="D9E0F3"/>
          </w:tcPr>
          <w:p>
            <w:pPr>
              <w:pStyle w:val="TableParagraph"/>
              <w:spacing w:line="210" w:lineRule="exact"/>
              <w:ind w:right="81"/>
              <w:jc w:val="right"/>
              <w:rPr>
                <w:rFonts w:ascii="Times New Roman"/>
                <w:b/>
                <w:sz w:val="20"/>
              </w:rPr>
            </w:pPr>
            <w:r>
              <w:rPr>
                <w:rFonts w:ascii="Times New Roman"/>
                <w:b/>
                <w:sz w:val="20"/>
              </w:rPr>
              <w:t>6,80</w:t>
            </w:r>
          </w:p>
        </w:tc>
        <w:tc>
          <w:tcPr>
            <w:tcW w:w="1207" w:type="dxa"/>
            <w:shd w:val="clear" w:color="auto" w:fill="D9E0F3"/>
          </w:tcPr>
          <w:p>
            <w:pPr>
              <w:pStyle w:val="TableParagraph"/>
              <w:spacing w:line="210" w:lineRule="exact"/>
              <w:ind w:right="82"/>
              <w:jc w:val="right"/>
              <w:rPr>
                <w:rFonts w:ascii="Times New Roman"/>
                <w:b/>
                <w:sz w:val="20"/>
              </w:rPr>
            </w:pPr>
            <w:r>
              <w:rPr>
                <w:rFonts w:ascii="Times New Roman"/>
                <w:b/>
                <w:w w:val="95"/>
                <w:sz w:val="20"/>
              </w:rPr>
              <w:t>2.372.680</w:t>
            </w:r>
          </w:p>
        </w:tc>
        <w:tc>
          <w:tcPr>
            <w:tcW w:w="989" w:type="dxa"/>
            <w:shd w:val="clear" w:color="auto" w:fill="D9E0F3"/>
          </w:tcPr>
          <w:p>
            <w:pPr>
              <w:pStyle w:val="TableParagraph"/>
              <w:spacing w:line="210" w:lineRule="exact"/>
              <w:ind w:right="80"/>
              <w:jc w:val="right"/>
              <w:rPr>
                <w:rFonts w:ascii="Times New Roman"/>
                <w:b/>
                <w:sz w:val="20"/>
              </w:rPr>
            </w:pPr>
            <w:r>
              <w:rPr>
                <w:rFonts w:ascii="Times New Roman"/>
                <w:b/>
                <w:sz w:val="20"/>
              </w:rPr>
              <w:t>32,81</w:t>
            </w:r>
          </w:p>
        </w:tc>
        <w:tc>
          <w:tcPr>
            <w:tcW w:w="1212" w:type="dxa"/>
            <w:shd w:val="clear" w:color="auto" w:fill="D9E0F3"/>
          </w:tcPr>
          <w:p>
            <w:pPr>
              <w:pStyle w:val="TableParagraph"/>
              <w:spacing w:line="210" w:lineRule="exact"/>
              <w:ind w:right="87"/>
              <w:jc w:val="right"/>
              <w:rPr>
                <w:rFonts w:ascii="Times New Roman"/>
                <w:b/>
                <w:sz w:val="20"/>
              </w:rPr>
            </w:pPr>
            <w:r>
              <w:rPr>
                <w:rFonts w:ascii="Times New Roman"/>
                <w:b/>
                <w:w w:val="90"/>
                <w:sz w:val="20"/>
              </w:rPr>
              <w:t>2.861.106</w:t>
            </w:r>
          </w:p>
        </w:tc>
        <w:tc>
          <w:tcPr>
            <w:tcW w:w="984" w:type="dxa"/>
            <w:shd w:val="clear" w:color="auto" w:fill="D9E0F3"/>
          </w:tcPr>
          <w:p>
            <w:pPr>
              <w:pStyle w:val="TableParagraph"/>
              <w:spacing w:line="210" w:lineRule="exact"/>
              <w:ind w:left="433"/>
              <w:rPr>
                <w:rFonts w:ascii="Times New Roman"/>
                <w:b/>
                <w:sz w:val="20"/>
              </w:rPr>
            </w:pPr>
            <w:r>
              <w:rPr>
                <w:rFonts w:ascii="Times New Roman"/>
                <w:b/>
                <w:sz w:val="20"/>
              </w:rPr>
              <w:t>19,85</w:t>
            </w:r>
          </w:p>
        </w:tc>
      </w:tr>
      <w:tr>
        <w:trPr>
          <w:trHeight w:val="232" w:hRule="atLeast"/>
        </w:trPr>
        <w:tc>
          <w:tcPr>
            <w:tcW w:w="3272" w:type="dxa"/>
          </w:tcPr>
          <w:p>
            <w:pPr>
              <w:pStyle w:val="TableParagraph"/>
              <w:spacing w:line="212" w:lineRule="exact"/>
              <w:ind w:left="379"/>
              <w:rPr>
                <w:rFonts w:ascii="Times New Roman"/>
                <w:b/>
                <w:sz w:val="20"/>
              </w:rPr>
            </w:pPr>
            <w:r>
              <w:rPr>
                <w:rFonts w:ascii="Times New Roman"/>
                <w:b/>
                <w:sz w:val="20"/>
              </w:rPr>
              <w:t>Total</w:t>
            </w:r>
          </w:p>
        </w:tc>
        <w:tc>
          <w:tcPr>
            <w:tcW w:w="1205" w:type="dxa"/>
          </w:tcPr>
          <w:p>
            <w:pPr>
              <w:pStyle w:val="TableParagraph"/>
              <w:spacing w:line="212" w:lineRule="exact"/>
              <w:ind w:right="84"/>
              <w:jc w:val="right"/>
              <w:rPr>
                <w:rFonts w:ascii="Times New Roman"/>
                <w:b/>
                <w:sz w:val="20"/>
              </w:rPr>
            </w:pPr>
            <w:r>
              <w:rPr>
                <w:rFonts w:ascii="Times New Roman"/>
                <w:b/>
                <w:w w:val="95"/>
                <w:sz w:val="20"/>
              </w:rPr>
              <w:t>7.184.178</w:t>
            </w:r>
          </w:p>
        </w:tc>
        <w:tc>
          <w:tcPr>
            <w:tcW w:w="993" w:type="dxa"/>
          </w:tcPr>
          <w:p>
            <w:pPr>
              <w:pStyle w:val="TableParagraph"/>
              <w:spacing w:line="212" w:lineRule="exact"/>
              <w:ind w:right="86"/>
              <w:jc w:val="right"/>
              <w:rPr>
                <w:rFonts w:ascii="Times New Roman"/>
                <w:b/>
                <w:sz w:val="20"/>
              </w:rPr>
            </w:pPr>
            <w:r>
              <w:rPr>
                <w:rFonts w:ascii="Times New Roman"/>
                <w:b/>
                <w:w w:val="90"/>
                <w:sz w:val="20"/>
              </w:rPr>
              <w:t>100,00</w:t>
            </w:r>
          </w:p>
        </w:tc>
        <w:tc>
          <w:tcPr>
            <w:tcW w:w="1207" w:type="dxa"/>
          </w:tcPr>
          <w:p>
            <w:pPr>
              <w:pStyle w:val="TableParagraph"/>
              <w:spacing w:line="212" w:lineRule="exact"/>
              <w:ind w:right="86"/>
              <w:jc w:val="right"/>
              <w:rPr>
                <w:rFonts w:ascii="Times New Roman"/>
                <w:b/>
                <w:sz w:val="20"/>
              </w:rPr>
            </w:pPr>
            <w:r>
              <w:rPr>
                <w:rFonts w:ascii="Times New Roman"/>
                <w:b/>
                <w:w w:val="90"/>
                <w:sz w:val="20"/>
              </w:rPr>
              <w:t>7.232.205</w:t>
            </w:r>
          </w:p>
        </w:tc>
        <w:tc>
          <w:tcPr>
            <w:tcW w:w="989" w:type="dxa"/>
          </w:tcPr>
          <w:p>
            <w:pPr>
              <w:pStyle w:val="TableParagraph"/>
              <w:spacing w:line="212" w:lineRule="exact"/>
              <w:ind w:right="85"/>
              <w:jc w:val="right"/>
              <w:rPr>
                <w:rFonts w:ascii="Times New Roman"/>
                <w:b/>
                <w:sz w:val="20"/>
              </w:rPr>
            </w:pPr>
            <w:r>
              <w:rPr>
                <w:rFonts w:ascii="Times New Roman"/>
                <w:b/>
                <w:w w:val="90"/>
                <w:sz w:val="20"/>
              </w:rPr>
              <w:t>100,00</w:t>
            </w:r>
          </w:p>
        </w:tc>
        <w:tc>
          <w:tcPr>
            <w:tcW w:w="1212" w:type="dxa"/>
          </w:tcPr>
          <w:p>
            <w:pPr>
              <w:pStyle w:val="TableParagraph"/>
              <w:spacing w:line="212" w:lineRule="exact"/>
              <w:ind w:right="88"/>
              <w:jc w:val="right"/>
              <w:rPr>
                <w:rFonts w:ascii="Times New Roman"/>
                <w:b/>
                <w:sz w:val="20"/>
              </w:rPr>
            </w:pPr>
            <w:r>
              <w:rPr>
                <w:rFonts w:ascii="Times New Roman"/>
                <w:b/>
                <w:w w:val="90"/>
                <w:sz w:val="20"/>
              </w:rPr>
              <w:t>14.416.383</w:t>
            </w:r>
          </w:p>
        </w:tc>
        <w:tc>
          <w:tcPr>
            <w:tcW w:w="984" w:type="dxa"/>
          </w:tcPr>
          <w:p>
            <w:pPr>
              <w:pStyle w:val="TableParagraph"/>
              <w:spacing w:line="212" w:lineRule="exact"/>
              <w:ind w:left="361"/>
              <w:rPr>
                <w:rFonts w:ascii="Times New Roman"/>
                <w:b/>
                <w:sz w:val="20"/>
              </w:rPr>
            </w:pPr>
            <w:r>
              <w:rPr>
                <w:rFonts w:ascii="Times New Roman"/>
                <w:b/>
                <w:sz w:val="20"/>
              </w:rPr>
              <w:t>100,00</w:t>
            </w:r>
          </w:p>
        </w:tc>
      </w:tr>
    </w:tbl>
    <w:p>
      <w:pPr>
        <w:spacing w:after="0" w:line="212" w:lineRule="exact"/>
        <w:rPr>
          <w:rFonts w:ascii="Times New Roman"/>
          <w:sz w:val="20"/>
        </w:rPr>
        <w:sectPr>
          <w:headerReference w:type="default" r:id="rId15"/>
          <w:footerReference w:type="default" r:id="rId16"/>
          <w:pgSz w:w="11920" w:h="16860"/>
          <w:pgMar w:header="544" w:footer="302" w:top="1360" w:bottom="500" w:left="780" w:right="280"/>
          <w:pgNumType w:start="9"/>
        </w:sectPr>
      </w:pPr>
    </w:p>
    <w:p>
      <w:pPr>
        <w:spacing w:before="31"/>
        <w:ind w:left="350" w:right="0" w:firstLine="0"/>
        <w:jc w:val="left"/>
        <w:rPr>
          <w:rFonts w:ascii="Times New Roman" w:hAnsi="Times New Roman"/>
          <w:b/>
          <w:sz w:val="22"/>
        </w:rPr>
      </w:pPr>
      <w:r>
        <w:rPr>
          <w:rFonts w:ascii="Times New Roman" w:hAnsi="Times New Roman"/>
          <w:b/>
          <w:sz w:val="22"/>
        </w:rPr>
        <w:t>Organização Societária</w:t>
      </w:r>
    </w:p>
    <w:p>
      <w:pPr>
        <w:pStyle w:val="BodyText"/>
        <w:spacing w:before="8"/>
        <w:rPr>
          <w:rFonts w:ascii="Times New Roman"/>
          <w:b/>
          <w:sz w:val="14"/>
        </w:rPr>
      </w:pPr>
      <w:r>
        <w:rPr/>
        <w:drawing>
          <wp:anchor distT="0" distB="0" distL="0" distR="0" allowOverlap="1" layoutInCell="1" locked="0" behindDoc="0" simplePos="0" relativeHeight="15">
            <wp:simplePos x="0" y="0"/>
            <wp:positionH relativeFrom="page">
              <wp:posOffset>584200</wp:posOffset>
            </wp:positionH>
            <wp:positionV relativeFrom="paragraph">
              <wp:posOffset>132347</wp:posOffset>
            </wp:positionV>
            <wp:extent cx="6702683" cy="2279046"/>
            <wp:effectExtent l="0" t="0" r="0" b="0"/>
            <wp:wrapTopAndBottom/>
            <wp:docPr id="25" name="image7.jpeg"/>
            <wp:cNvGraphicFramePr>
              <a:graphicFrameLocks noChangeAspect="1"/>
            </wp:cNvGraphicFramePr>
            <a:graphic>
              <a:graphicData uri="http://schemas.openxmlformats.org/drawingml/2006/picture">
                <pic:pic>
                  <pic:nvPicPr>
                    <pic:cNvPr id="26" name="image7.jpeg"/>
                    <pic:cNvPicPr/>
                  </pic:nvPicPr>
                  <pic:blipFill>
                    <a:blip r:embed="rId17" cstate="print"/>
                    <a:stretch>
                      <a:fillRect/>
                    </a:stretch>
                  </pic:blipFill>
                  <pic:spPr>
                    <a:xfrm>
                      <a:off x="0" y="0"/>
                      <a:ext cx="6702683" cy="2279046"/>
                    </a:xfrm>
                    <a:prstGeom prst="rect">
                      <a:avLst/>
                    </a:prstGeom>
                  </pic:spPr>
                </pic:pic>
              </a:graphicData>
            </a:graphic>
          </wp:anchor>
        </w:drawing>
      </w:r>
    </w:p>
    <w:p>
      <w:pPr>
        <w:pStyle w:val="BodyText"/>
        <w:spacing w:before="10"/>
        <w:rPr>
          <w:rFonts w:ascii="Times New Roman"/>
          <w:b/>
          <w:sz w:val="22"/>
        </w:rPr>
      </w:pPr>
    </w:p>
    <w:p>
      <w:pPr>
        <w:spacing w:before="0"/>
        <w:ind w:left="350" w:right="0" w:firstLine="0"/>
        <w:jc w:val="left"/>
        <w:rPr>
          <w:rFonts w:ascii="Times New Roman" w:hAnsi="Times New Roman"/>
          <w:b/>
          <w:sz w:val="22"/>
        </w:rPr>
      </w:pPr>
      <w:r>
        <w:rPr>
          <w:rFonts w:ascii="Times New Roman" w:hAnsi="Times New Roman"/>
          <w:b/>
          <w:sz w:val="22"/>
        </w:rPr>
        <w:t>Dados Econômico-Financeiros Consolidado</w:t>
      </w:r>
    </w:p>
    <w:p>
      <w:pPr>
        <w:pStyle w:val="BodyText"/>
        <w:spacing w:before="5"/>
        <w:rPr>
          <w:rFonts w:ascii="Times New Roman"/>
          <w:b/>
          <w:sz w:val="22"/>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5343"/>
        <w:gridCol w:w="1433"/>
        <w:gridCol w:w="1713"/>
        <w:gridCol w:w="1425"/>
      </w:tblGrid>
      <w:tr>
        <w:trPr>
          <w:trHeight w:val="477" w:hRule="atLeast"/>
        </w:trPr>
        <w:tc>
          <w:tcPr>
            <w:tcW w:w="5343" w:type="dxa"/>
            <w:tcBorders>
              <w:top w:val="nil"/>
              <w:left w:val="nil"/>
              <w:bottom w:val="nil"/>
              <w:right w:val="nil"/>
            </w:tcBorders>
            <w:shd w:val="clear" w:color="auto" w:fill="4470C4"/>
          </w:tcPr>
          <w:p>
            <w:pPr>
              <w:pStyle w:val="TableParagraph"/>
              <w:spacing w:before="125"/>
              <w:ind w:left="2301" w:right="2273"/>
              <w:jc w:val="center"/>
              <w:rPr>
                <w:rFonts w:ascii="Times New Roman"/>
                <w:b/>
                <w:sz w:val="20"/>
              </w:rPr>
            </w:pPr>
            <w:r>
              <w:rPr>
                <w:rFonts w:ascii="Times New Roman"/>
                <w:b/>
                <w:color w:val="FFFFFF"/>
                <w:sz w:val="20"/>
              </w:rPr>
              <w:t>(R$ Mil)</w:t>
            </w:r>
          </w:p>
        </w:tc>
        <w:tc>
          <w:tcPr>
            <w:tcW w:w="1433" w:type="dxa"/>
            <w:tcBorders>
              <w:top w:val="nil"/>
              <w:left w:val="nil"/>
              <w:bottom w:val="nil"/>
              <w:right w:val="nil"/>
            </w:tcBorders>
            <w:shd w:val="clear" w:color="auto" w:fill="4470C4"/>
          </w:tcPr>
          <w:p>
            <w:pPr>
              <w:pStyle w:val="TableParagraph"/>
              <w:spacing w:before="125"/>
              <w:ind w:left="509" w:right="483"/>
              <w:jc w:val="center"/>
              <w:rPr>
                <w:rFonts w:ascii="Times New Roman"/>
                <w:b/>
                <w:sz w:val="20"/>
              </w:rPr>
            </w:pPr>
            <w:r>
              <w:rPr>
                <w:rFonts w:ascii="Times New Roman"/>
                <w:b/>
                <w:color w:val="FFFFFF"/>
                <w:sz w:val="20"/>
              </w:rPr>
              <w:t>2019</w:t>
            </w:r>
          </w:p>
        </w:tc>
        <w:tc>
          <w:tcPr>
            <w:tcW w:w="1713" w:type="dxa"/>
            <w:tcBorders>
              <w:top w:val="nil"/>
              <w:left w:val="nil"/>
              <w:bottom w:val="nil"/>
              <w:right w:val="nil"/>
            </w:tcBorders>
            <w:shd w:val="clear" w:color="auto" w:fill="4470C4"/>
          </w:tcPr>
          <w:p>
            <w:pPr>
              <w:pStyle w:val="TableParagraph"/>
              <w:spacing w:before="125"/>
              <w:ind w:left="649" w:right="623"/>
              <w:jc w:val="center"/>
              <w:rPr>
                <w:rFonts w:ascii="Times New Roman"/>
                <w:b/>
                <w:sz w:val="20"/>
              </w:rPr>
            </w:pPr>
            <w:r>
              <w:rPr>
                <w:rFonts w:ascii="Times New Roman"/>
                <w:b/>
                <w:color w:val="FFFFFF"/>
                <w:sz w:val="20"/>
              </w:rPr>
              <w:t>2018</w:t>
            </w:r>
          </w:p>
        </w:tc>
        <w:tc>
          <w:tcPr>
            <w:tcW w:w="1425" w:type="dxa"/>
            <w:tcBorders>
              <w:top w:val="nil"/>
              <w:left w:val="nil"/>
              <w:bottom w:val="nil"/>
              <w:right w:val="nil"/>
            </w:tcBorders>
            <w:shd w:val="clear" w:color="auto" w:fill="4470C4"/>
          </w:tcPr>
          <w:p>
            <w:pPr>
              <w:pStyle w:val="TableParagraph"/>
              <w:spacing w:before="125"/>
              <w:ind w:left="188" w:right="164"/>
              <w:jc w:val="center"/>
              <w:rPr>
                <w:rFonts w:ascii="Times New Roman" w:hAnsi="Times New Roman"/>
                <w:b/>
                <w:sz w:val="20"/>
              </w:rPr>
            </w:pPr>
            <w:r>
              <w:rPr>
                <w:rFonts w:ascii="Times New Roman" w:hAnsi="Times New Roman"/>
                <w:b/>
                <w:color w:val="FFFFFF"/>
                <w:sz w:val="20"/>
              </w:rPr>
              <w:t>Δ 2019/2018</w:t>
            </w:r>
          </w:p>
        </w:tc>
      </w:tr>
      <w:tr>
        <w:trPr>
          <w:trHeight w:val="230" w:hRule="atLeast"/>
        </w:trPr>
        <w:tc>
          <w:tcPr>
            <w:tcW w:w="5343" w:type="dxa"/>
            <w:tcBorders>
              <w:top w:val="nil"/>
            </w:tcBorders>
            <w:shd w:val="clear" w:color="auto" w:fill="D9E0F3"/>
          </w:tcPr>
          <w:p>
            <w:pPr>
              <w:pStyle w:val="TableParagraph"/>
              <w:spacing w:line="210" w:lineRule="exact"/>
              <w:ind w:left="1665"/>
              <w:rPr>
                <w:rFonts w:ascii="Times New Roman"/>
                <w:b/>
                <w:sz w:val="20"/>
              </w:rPr>
            </w:pPr>
            <w:r>
              <w:rPr>
                <w:rFonts w:ascii="Times New Roman"/>
                <w:b/>
                <w:sz w:val="20"/>
              </w:rPr>
              <w:t>Receita Operacional Bruta</w:t>
            </w:r>
          </w:p>
        </w:tc>
        <w:tc>
          <w:tcPr>
            <w:tcW w:w="1433" w:type="dxa"/>
            <w:tcBorders>
              <w:top w:val="nil"/>
            </w:tcBorders>
            <w:shd w:val="clear" w:color="auto" w:fill="D9E0F3"/>
          </w:tcPr>
          <w:p>
            <w:pPr>
              <w:pStyle w:val="TableParagraph"/>
              <w:spacing w:line="210" w:lineRule="exact"/>
              <w:ind w:left="367"/>
              <w:rPr>
                <w:rFonts w:ascii="Times New Roman"/>
                <w:b/>
                <w:sz w:val="20"/>
              </w:rPr>
            </w:pPr>
            <w:r>
              <w:rPr>
                <w:rFonts w:ascii="Times New Roman"/>
                <w:b/>
                <w:sz w:val="20"/>
              </w:rPr>
              <w:t>4.404.331</w:t>
            </w:r>
          </w:p>
        </w:tc>
        <w:tc>
          <w:tcPr>
            <w:tcW w:w="1713" w:type="dxa"/>
            <w:tcBorders>
              <w:top w:val="nil"/>
            </w:tcBorders>
            <w:shd w:val="clear" w:color="auto" w:fill="D9E0F3"/>
          </w:tcPr>
          <w:p>
            <w:pPr>
              <w:pStyle w:val="TableParagraph"/>
              <w:spacing w:line="210" w:lineRule="exact"/>
              <w:ind w:right="296"/>
              <w:jc w:val="right"/>
              <w:rPr>
                <w:rFonts w:ascii="Times New Roman"/>
                <w:b/>
                <w:sz w:val="20"/>
              </w:rPr>
            </w:pPr>
            <w:r>
              <w:rPr>
                <w:rFonts w:ascii="Times New Roman"/>
                <w:b/>
                <w:w w:val="90"/>
                <w:sz w:val="20"/>
              </w:rPr>
              <w:t>4.086.212</w:t>
            </w:r>
          </w:p>
        </w:tc>
        <w:tc>
          <w:tcPr>
            <w:tcW w:w="1425" w:type="dxa"/>
            <w:tcBorders>
              <w:top w:val="nil"/>
            </w:tcBorders>
            <w:shd w:val="clear" w:color="auto" w:fill="D9E0F3"/>
          </w:tcPr>
          <w:p>
            <w:pPr>
              <w:pStyle w:val="TableParagraph"/>
              <w:spacing w:line="210" w:lineRule="exact"/>
              <w:ind w:left="375" w:right="349"/>
              <w:jc w:val="center"/>
              <w:rPr>
                <w:rFonts w:ascii="Times New Roman"/>
                <w:b/>
                <w:sz w:val="20"/>
              </w:rPr>
            </w:pPr>
            <w:r>
              <w:rPr>
                <w:rFonts w:ascii="Times New Roman"/>
                <w:b/>
                <w:sz w:val="20"/>
              </w:rPr>
              <w:t>7,79%</w:t>
            </w:r>
          </w:p>
        </w:tc>
      </w:tr>
      <w:tr>
        <w:trPr>
          <w:trHeight w:val="230" w:hRule="atLeast"/>
        </w:trPr>
        <w:tc>
          <w:tcPr>
            <w:tcW w:w="5343" w:type="dxa"/>
          </w:tcPr>
          <w:p>
            <w:pPr>
              <w:pStyle w:val="TableParagraph"/>
              <w:spacing w:line="210" w:lineRule="exact"/>
              <w:ind w:left="1576"/>
              <w:rPr>
                <w:rFonts w:ascii="Times New Roman" w:hAnsi="Times New Roman"/>
                <w:b/>
                <w:sz w:val="20"/>
              </w:rPr>
            </w:pPr>
            <w:r>
              <w:rPr>
                <w:rFonts w:ascii="Times New Roman" w:hAnsi="Times New Roman"/>
                <w:b/>
                <w:sz w:val="20"/>
              </w:rPr>
              <w:t>Receita Operacional Líquida</w:t>
            </w:r>
          </w:p>
        </w:tc>
        <w:tc>
          <w:tcPr>
            <w:tcW w:w="1433" w:type="dxa"/>
          </w:tcPr>
          <w:p>
            <w:pPr>
              <w:pStyle w:val="TableParagraph"/>
              <w:spacing w:line="210" w:lineRule="exact"/>
              <w:ind w:left="367"/>
              <w:rPr>
                <w:rFonts w:ascii="Times New Roman"/>
                <w:b/>
                <w:sz w:val="20"/>
              </w:rPr>
            </w:pPr>
            <w:r>
              <w:rPr>
                <w:rFonts w:ascii="Times New Roman"/>
                <w:b/>
                <w:sz w:val="20"/>
              </w:rPr>
              <w:t>2.749.737</w:t>
            </w:r>
          </w:p>
        </w:tc>
        <w:tc>
          <w:tcPr>
            <w:tcW w:w="1713" w:type="dxa"/>
          </w:tcPr>
          <w:p>
            <w:pPr>
              <w:pStyle w:val="TableParagraph"/>
              <w:spacing w:line="210" w:lineRule="exact"/>
              <w:ind w:right="296"/>
              <w:jc w:val="right"/>
              <w:rPr>
                <w:rFonts w:ascii="Times New Roman"/>
                <w:b/>
                <w:sz w:val="20"/>
              </w:rPr>
            </w:pPr>
            <w:r>
              <w:rPr>
                <w:rFonts w:ascii="Times New Roman"/>
                <w:b/>
                <w:w w:val="90"/>
                <w:sz w:val="20"/>
              </w:rPr>
              <w:t>2.590.210</w:t>
            </w:r>
          </w:p>
        </w:tc>
        <w:tc>
          <w:tcPr>
            <w:tcW w:w="1425" w:type="dxa"/>
          </w:tcPr>
          <w:p>
            <w:pPr>
              <w:pStyle w:val="TableParagraph"/>
              <w:spacing w:line="210" w:lineRule="exact"/>
              <w:ind w:left="375" w:right="349"/>
              <w:jc w:val="center"/>
              <w:rPr>
                <w:rFonts w:ascii="Times New Roman"/>
                <w:b/>
                <w:sz w:val="20"/>
              </w:rPr>
            </w:pPr>
            <w:r>
              <w:rPr>
                <w:rFonts w:ascii="Times New Roman"/>
                <w:b/>
                <w:sz w:val="20"/>
              </w:rPr>
              <w:t>6,16%</w:t>
            </w:r>
          </w:p>
        </w:tc>
      </w:tr>
      <w:tr>
        <w:trPr>
          <w:trHeight w:val="230" w:hRule="atLeast"/>
        </w:trPr>
        <w:tc>
          <w:tcPr>
            <w:tcW w:w="5343" w:type="dxa"/>
            <w:shd w:val="clear" w:color="auto" w:fill="D9E0F3"/>
          </w:tcPr>
          <w:p>
            <w:pPr>
              <w:pStyle w:val="TableParagraph"/>
              <w:spacing w:line="210" w:lineRule="exact"/>
              <w:ind w:left="628"/>
              <w:rPr>
                <w:rFonts w:ascii="Times New Roman" w:hAnsi="Times New Roman"/>
                <w:b/>
                <w:sz w:val="20"/>
              </w:rPr>
            </w:pPr>
            <w:r>
              <w:rPr>
                <w:rFonts w:ascii="Times New Roman" w:hAnsi="Times New Roman"/>
                <w:b/>
                <w:sz w:val="20"/>
              </w:rPr>
              <w:t>Resultado Operacional Líquido Antes dos Tributos</w:t>
            </w:r>
          </w:p>
        </w:tc>
        <w:tc>
          <w:tcPr>
            <w:tcW w:w="1433" w:type="dxa"/>
            <w:shd w:val="clear" w:color="auto" w:fill="D9E0F3"/>
          </w:tcPr>
          <w:p>
            <w:pPr>
              <w:pStyle w:val="TableParagraph"/>
              <w:spacing w:line="210" w:lineRule="exact"/>
              <w:ind w:left="434"/>
              <w:rPr>
                <w:rFonts w:ascii="Times New Roman"/>
                <w:b/>
                <w:sz w:val="20"/>
              </w:rPr>
            </w:pPr>
            <w:r>
              <w:rPr>
                <w:rFonts w:ascii="Times New Roman"/>
                <w:b/>
                <w:sz w:val="20"/>
              </w:rPr>
              <w:t>205.909</w:t>
            </w:r>
          </w:p>
        </w:tc>
        <w:tc>
          <w:tcPr>
            <w:tcW w:w="1713" w:type="dxa"/>
            <w:shd w:val="clear" w:color="auto" w:fill="D9E0F3"/>
          </w:tcPr>
          <w:p>
            <w:pPr>
              <w:pStyle w:val="TableParagraph"/>
              <w:spacing w:line="210" w:lineRule="exact"/>
              <w:ind w:right="370"/>
              <w:jc w:val="right"/>
              <w:rPr>
                <w:rFonts w:ascii="Times New Roman"/>
                <w:b/>
                <w:sz w:val="20"/>
              </w:rPr>
            </w:pPr>
            <w:r>
              <w:rPr>
                <w:rFonts w:ascii="Times New Roman"/>
                <w:b/>
                <w:w w:val="90"/>
                <w:sz w:val="20"/>
              </w:rPr>
              <w:t>123.305</w:t>
            </w:r>
          </w:p>
        </w:tc>
        <w:tc>
          <w:tcPr>
            <w:tcW w:w="1425" w:type="dxa"/>
            <w:shd w:val="clear" w:color="auto" w:fill="D9E0F3"/>
          </w:tcPr>
          <w:p>
            <w:pPr>
              <w:pStyle w:val="TableParagraph"/>
              <w:spacing w:line="210" w:lineRule="exact"/>
              <w:ind w:left="375" w:right="349"/>
              <w:jc w:val="center"/>
              <w:rPr>
                <w:rFonts w:ascii="Times New Roman"/>
                <w:b/>
                <w:sz w:val="20"/>
              </w:rPr>
            </w:pPr>
            <w:r>
              <w:rPr>
                <w:rFonts w:ascii="Times New Roman"/>
                <w:b/>
                <w:sz w:val="20"/>
              </w:rPr>
              <w:t>66,99%</w:t>
            </w:r>
          </w:p>
        </w:tc>
      </w:tr>
      <w:tr>
        <w:trPr>
          <w:trHeight w:val="230" w:hRule="atLeast"/>
        </w:trPr>
        <w:tc>
          <w:tcPr>
            <w:tcW w:w="5343" w:type="dxa"/>
          </w:tcPr>
          <w:p>
            <w:pPr>
              <w:pStyle w:val="TableParagraph"/>
              <w:spacing w:line="210" w:lineRule="exact"/>
              <w:ind w:left="1962"/>
              <w:rPr>
                <w:rFonts w:ascii="Times New Roman"/>
                <w:b/>
                <w:sz w:val="20"/>
              </w:rPr>
            </w:pPr>
            <w:r>
              <w:rPr>
                <w:rFonts w:ascii="Times New Roman"/>
                <w:b/>
                <w:sz w:val="20"/>
              </w:rPr>
              <w:t>EBITDA (LAJIDA)</w:t>
            </w:r>
          </w:p>
        </w:tc>
        <w:tc>
          <w:tcPr>
            <w:tcW w:w="1433" w:type="dxa"/>
          </w:tcPr>
          <w:p>
            <w:pPr>
              <w:pStyle w:val="TableParagraph"/>
              <w:spacing w:line="210" w:lineRule="exact"/>
              <w:ind w:left="400"/>
              <w:rPr>
                <w:rFonts w:ascii="Times New Roman"/>
                <w:b/>
                <w:sz w:val="20"/>
              </w:rPr>
            </w:pPr>
            <w:r>
              <w:rPr>
                <w:rFonts w:ascii="Times New Roman"/>
                <w:b/>
                <w:sz w:val="20"/>
              </w:rPr>
              <w:t>311.668</w:t>
            </w:r>
          </w:p>
        </w:tc>
        <w:tc>
          <w:tcPr>
            <w:tcW w:w="1713" w:type="dxa"/>
          </w:tcPr>
          <w:p>
            <w:pPr>
              <w:pStyle w:val="TableParagraph"/>
              <w:spacing w:line="210" w:lineRule="exact"/>
              <w:ind w:right="370"/>
              <w:jc w:val="right"/>
              <w:rPr>
                <w:rFonts w:ascii="Times New Roman"/>
                <w:b/>
                <w:sz w:val="20"/>
              </w:rPr>
            </w:pPr>
            <w:r>
              <w:rPr>
                <w:rFonts w:ascii="Times New Roman"/>
                <w:b/>
                <w:w w:val="90"/>
                <w:sz w:val="20"/>
              </w:rPr>
              <w:t>293.107</w:t>
            </w:r>
          </w:p>
        </w:tc>
        <w:tc>
          <w:tcPr>
            <w:tcW w:w="1425" w:type="dxa"/>
          </w:tcPr>
          <w:p>
            <w:pPr>
              <w:pStyle w:val="TableParagraph"/>
              <w:spacing w:line="210" w:lineRule="exact"/>
              <w:ind w:left="375" w:right="348"/>
              <w:jc w:val="center"/>
              <w:rPr>
                <w:rFonts w:ascii="Times New Roman"/>
                <w:b/>
                <w:sz w:val="20"/>
              </w:rPr>
            </w:pPr>
            <w:r>
              <w:rPr>
                <w:rFonts w:ascii="Times New Roman"/>
                <w:b/>
                <w:sz w:val="20"/>
              </w:rPr>
              <w:t>6,33%</w:t>
            </w:r>
          </w:p>
        </w:tc>
      </w:tr>
      <w:tr>
        <w:trPr>
          <w:trHeight w:val="230" w:hRule="atLeast"/>
        </w:trPr>
        <w:tc>
          <w:tcPr>
            <w:tcW w:w="5343" w:type="dxa"/>
            <w:shd w:val="clear" w:color="auto" w:fill="D9E0F3"/>
          </w:tcPr>
          <w:p>
            <w:pPr>
              <w:pStyle w:val="TableParagraph"/>
              <w:spacing w:line="210" w:lineRule="exact"/>
              <w:ind w:left="2159" w:right="1882"/>
              <w:jc w:val="center"/>
              <w:rPr>
                <w:rFonts w:ascii="Times New Roman" w:hAnsi="Times New Roman"/>
                <w:b/>
                <w:sz w:val="20"/>
              </w:rPr>
            </w:pPr>
            <w:r>
              <w:rPr>
                <w:rFonts w:ascii="Times New Roman" w:hAnsi="Times New Roman"/>
                <w:b/>
                <w:sz w:val="20"/>
              </w:rPr>
              <w:t>Lucro Líquido</w:t>
            </w:r>
          </w:p>
        </w:tc>
        <w:tc>
          <w:tcPr>
            <w:tcW w:w="1433" w:type="dxa"/>
            <w:shd w:val="clear" w:color="auto" w:fill="D9E0F3"/>
          </w:tcPr>
          <w:p>
            <w:pPr>
              <w:pStyle w:val="TableParagraph"/>
              <w:spacing w:line="210" w:lineRule="exact"/>
              <w:ind w:left="448"/>
              <w:rPr>
                <w:rFonts w:ascii="Times New Roman"/>
                <w:b/>
                <w:sz w:val="20"/>
              </w:rPr>
            </w:pPr>
            <w:r>
              <w:rPr>
                <w:rFonts w:ascii="Times New Roman"/>
                <w:b/>
                <w:sz w:val="20"/>
              </w:rPr>
              <w:t>119.045</w:t>
            </w:r>
          </w:p>
        </w:tc>
        <w:tc>
          <w:tcPr>
            <w:tcW w:w="1713" w:type="dxa"/>
            <w:shd w:val="clear" w:color="auto" w:fill="D9E0F3"/>
          </w:tcPr>
          <w:p>
            <w:pPr>
              <w:pStyle w:val="TableParagraph"/>
              <w:spacing w:line="210" w:lineRule="exact"/>
              <w:ind w:right="348"/>
              <w:jc w:val="right"/>
              <w:rPr>
                <w:rFonts w:ascii="Times New Roman"/>
                <w:b/>
                <w:sz w:val="20"/>
              </w:rPr>
            </w:pPr>
            <w:r>
              <w:rPr>
                <w:rFonts w:ascii="Times New Roman"/>
                <w:b/>
                <w:w w:val="95"/>
                <w:sz w:val="20"/>
              </w:rPr>
              <w:t>89.972</w:t>
            </w:r>
          </w:p>
        </w:tc>
        <w:tc>
          <w:tcPr>
            <w:tcW w:w="1425" w:type="dxa"/>
            <w:shd w:val="clear" w:color="auto" w:fill="D9E0F3"/>
          </w:tcPr>
          <w:p>
            <w:pPr>
              <w:pStyle w:val="TableParagraph"/>
              <w:spacing w:line="210" w:lineRule="exact"/>
              <w:ind w:left="375" w:right="349"/>
              <w:jc w:val="center"/>
              <w:rPr>
                <w:rFonts w:ascii="Times New Roman"/>
                <w:b/>
                <w:sz w:val="20"/>
              </w:rPr>
            </w:pPr>
            <w:r>
              <w:rPr>
                <w:rFonts w:ascii="Times New Roman"/>
                <w:b/>
                <w:sz w:val="20"/>
              </w:rPr>
              <w:t>32,31%</w:t>
            </w:r>
          </w:p>
        </w:tc>
      </w:tr>
      <w:tr>
        <w:trPr>
          <w:trHeight w:val="230" w:hRule="atLeast"/>
        </w:trPr>
        <w:tc>
          <w:tcPr>
            <w:tcW w:w="5343" w:type="dxa"/>
          </w:tcPr>
          <w:p>
            <w:pPr>
              <w:pStyle w:val="TableParagraph"/>
              <w:spacing w:line="210" w:lineRule="exact"/>
              <w:ind w:left="1353"/>
              <w:rPr>
                <w:rFonts w:ascii="Times New Roman" w:hAnsi="Times New Roman"/>
                <w:b/>
                <w:sz w:val="20"/>
              </w:rPr>
            </w:pPr>
            <w:r>
              <w:rPr>
                <w:rFonts w:ascii="Times New Roman" w:hAnsi="Times New Roman"/>
                <w:b/>
                <w:sz w:val="20"/>
              </w:rPr>
              <w:t>Patrimônio Líquido Controladora</w:t>
            </w:r>
          </w:p>
        </w:tc>
        <w:tc>
          <w:tcPr>
            <w:tcW w:w="1433" w:type="dxa"/>
          </w:tcPr>
          <w:p>
            <w:pPr>
              <w:pStyle w:val="TableParagraph"/>
              <w:spacing w:line="210" w:lineRule="exact"/>
              <w:ind w:left="434"/>
              <w:rPr>
                <w:rFonts w:ascii="Times New Roman"/>
                <w:b/>
                <w:sz w:val="20"/>
              </w:rPr>
            </w:pPr>
            <w:r>
              <w:rPr>
                <w:rFonts w:ascii="Times New Roman"/>
                <w:b/>
                <w:sz w:val="20"/>
              </w:rPr>
              <w:t>783.986</w:t>
            </w:r>
          </w:p>
        </w:tc>
        <w:tc>
          <w:tcPr>
            <w:tcW w:w="1713" w:type="dxa"/>
          </w:tcPr>
          <w:p>
            <w:pPr>
              <w:pStyle w:val="TableParagraph"/>
              <w:spacing w:line="210" w:lineRule="exact"/>
              <w:ind w:right="370"/>
              <w:jc w:val="right"/>
              <w:rPr>
                <w:rFonts w:ascii="Times New Roman"/>
                <w:b/>
                <w:sz w:val="20"/>
              </w:rPr>
            </w:pPr>
            <w:r>
              <w:rPr>
                <w:rFonts w:ascii="Times New Roman"/>
                <w:b/>
                <w:w w:val="90"/>
                <w:sz w:val="20"/>
              </w:rPr>
              <w:t>734.451</w:t>
            </w:r>
          </w:p>
        </w:tc>
        <w:tc>
          <w:tcPr>
            <w:tcW w:w="1425" w:type="dxa"/>
          </w:tcPr>
          <w:p>
            <w:pPr>
              <w:pStyle w:val="TableParagraph"/>
              <w:spacing w:line="210" w:lineRule="exact"/>
              <w:ind w:left="375" w:right="349"/>
              <w:jc w:val="center"/>
              <w:rPr>
                <w:rFonts w:ascii="Times New Roman"/>
                <w:b/>
                <w:sz w:val="20"/>
              </w:rPr>
            </w:pPr>
            <w:r>
              <w:rPr>
                <w:rFonts w:ascii="Times New Roman"/>
                <w:b/>
                <w:sz w:val="20"/>
              </w:rPr>
              <w:t>6,74%</w:t>
            </w:r>
          </w:p>
        </w:tc>
      </w:tr>
    </w:tbl>
    <w:p>
      <w:pPr>
        <w:spacing w:before="35"/>
        <w:ind w:left="350" w:right="0" w:firstLine="0"/>
        <w:jc w:val="left"/>
        <w:rPr>
          <w:rFonts w:ascii="Times New Roman" w:hAnsi="Times New Roman"/>
          <w:b/>
          <w:sz w:val="16"/>
        </w:rPr>
      </w:pPr>
      <w:r>
        <w:rPr>
          <w:rFonts w:ascii="Times New Roman" w:hAnsi="Times New Roman"/>
          <w:b/>
          <w:sz w:val="16"/>
        </w:rPr>
        <w:t>Fonte: Demonstrações Contábeis da Companhia Energética de Brasília.</w:t>
      </w:r>
    </w:p>
    <w:p>
      <w:pPr>
        <w:pStyle w:val="BodyText"/>
        <w:rPr>
          <w:rFonts w:ascii="Times New Roman"/>
          <w:b/>
          <w:sz w:val="18"/>
        </w:rPr>
      </w:pPr>
    </w:p>
    <w:p>
      <w:pPr>
        <w:pStyle w:val="BodyText"/>
        <w:spacing w:before="2"/>
        <w:rPr>
          <w:rFonts w:ascii="Times New Roman"/>
          <w:b/>
          <w:sz w:val="23"/>
        </w:rPr>
      </w:pPr>
    </w:p>
    <w:p>
      <w:pPr>
        <w:spacing w:line="360" w:lineRule="auto" w:before="0"/>
        <w:ind w:left="139" w:right="137" w:firstLine="708"/>
        <w:jc w:val="both"/>
        <w:rPr>
          <w:rFonts w:ascii="Times New Roman" w:hAnsi="Times New Roman"/>
          <w:sz w:val="22"/>
        </w:rPr>
      </w:pPr>
      <w:r>
        <w:rPr>
          <w:rFonts w:ascii="Times New Roman" w:hAnsi="Times New Roman"/>
          <w:sz w:val="22"/>
        </w:rPr>
        <w:t>Em 2019 a Receita Operacional Líquida apresentou acréscimo de 6,16% em relação a 2018, justificada pelo crescimento</w:t>
      </w:r>
      <w:r>
        <w:rPr>
          <w:rFonts w:ascii="Times New Roman" w:hAnsi="Times New Roman"/>
          <w:spacing w:val="-9"/>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9,43%</w:t>
      </w:r>
      <w:r>
        <w:rPr>
          <w:rFonts w:ascii="Times New Roman" w:hAnsi="Times New Roman"/>
          <w:spacing w:val="-8"/>
          <w:sz w:val="22"/>
        </w:rPr>
        <w:t> </w:t>
      </w:r>
      <w:r>
        <w:rPr>
          <w:rFonts w:ascii="Times New Roman" w:hAnsi="Times New Roman"/>
          <w:sz w:val="22"/>
        </w:rPr>
        <w:t>no</w:t>
      </w:r>
      <w:r>
        <w:rPr>
          <w:rFonts w:ascii="Times New Roman" w:hAnsi="Times New Roman"/>
          <w:spacing w:val="-9"/>
          <w:sz w:val="22"/>
        </w:rPr>
        <w:t> </w:t>
      </w:r>
      <w:r>
        <w:rPr>
          <w:rFonts w:ascii="Times New Roman" w:hAnsi="Times New Roman"/>
          <w:sz w:val="22"/>
        </w:rPr>
        <w:t>Fornecimento</w:t>
      </w:r>
      <w:r>
        <w:rPr>
          <w:rFonts w:ascii="Times New Roman" w:hAnsi="Times New Roman"/>
          <w:spacing w:val="-9"/>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Energia</w:t>
      </w:r>
      <w:r>
        <w:rPr>
          <w:rFonts w:ascii="Times New Roman" w:hAnsi="Times New Roman"/>
          <w:spacing w:val="-8"/>
          <w:sz w:val="22"/>
        </w:rPr>
        <w:t> </w:t>
      </w:r>
      <w:r>
        <w:rPr>
          <w:rFonts w:ascii="Times New Roman" w:hAnsi="Times New Roman"/>
          <w:sz w:val="22"/>
        </w:rPr>
        <w:t>Elétrica</w:t>
      </w:r>
      <w:r>
        <w:rPr>
          <w:rFonts w:ascii="Times New Roman" w:hAnsi="Times New Roman"/>
          <w:spacing w:val="-7"/>
          <w:sz w:val="22"/>
        </w:rPr>
        <w:t> </w:t>
      </w:r>
      <w:r>
        <w:rPr>
          <w:rFonts w:ascii="Times New Roman" w:hAnsi="Times New Roman"/>
          <w:sz w:val="22"/>
        </w:rPr>
        <w:t>(8,84%</w:t>
      </w:r>
      <w:r>
        <w:rPr>
          <w:rFonts w:ascii="Times New Roman" w:hAnsi="Times New Roman"/>
          <w:spacing w:val="-8"/>
          <w:sz w:val="22"/>
        </w:rPr>
        <w:t> </w:t>
      </w:r>
      <w:r>
        <w:rPr>
          <w:rFonts w:ascii="Times New Roman" w:hAnsi="Times New Roman"/>
          <w:sz w:val="22"/>
        </w:rPr>
        <w:t>em</w:t>
      </w:r>
      <w:r>
        <w:rPr>
          <w:rFonts w:ascii="Times New Roman" w:hAnsi="Times New Roman"/>
          <w:spacing w:val="-11"/>
          <w:sz w:val="22"/>
        </w:rPr>
        <w:t> </w:t>
      </w:r>
      <w:r>
        <w:rPr>
          <w:rFonts w:ascii="Times New Roman" w:hAnsi="Times New Roman"/>
          <w:sz w:val="22"/>
        </w:rPr>
        <w:t>2018)</w:t>
      </w:r>
      <w:r>
        <w:rPr>
          <w:rFonts w:ascii="Times New Roman" w:hAnsi="Times New Roman"/>
          <w:spacing w:val="-8"/>
          <w:sz w:val="22"/>
        </w:rPr>
        <w:t> </w:t>
      </w:r>
      <w:r>
        <w:rPr>
          <w:rFonts w:ascii="Times New Roman" w:hAnsi="Times New Roman"/>
          <w:sz w:val="22"/>
        </w:rPr>
        <w:t>e</w:t>
      </w:r>
      <w:r>
        <w:rPr>
          <w:rFonts w:ascii="Times New Roman" w:hAnsi="Times New Roman"/>
          <w:spacing w:val="-8"/>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97,55%</w:t>
      </w:r>
      <w:r>
        <w:rPr>
          <w:rFonts w:ascii="Times New Roman" w:hAnsi="Times New Roman"/>
          <w:spacing w:val="-10"/>
          <w:sz w:val="22"/>
        </w:rPr>
        <w:t> </w:t>
      </w:r>
      <w:r>
        <w:rPr>
          <w:rFonts w:ascii="Times New Roman" w:hAnsi="Times New Roman"/>
          <w:sz w:val="22"/>
        </w:rPr>
        <w:t>na</w:t>
      </w:r>
      <w:r>
        <w:rPr>
          <w:rFonts w:ascii="Times New Roman" w:hAnsi="Times New Roman"/>
          <w:spacing w:val="-8"/>
          <w:sz w:val="22"/>
        </w:rPr>
        <w:t> </w:t>
      </w:r>
      <w:r>
        <w:rPr>
          <w:rFonts w:ascii="Times New Roman" w:hAnsi="Times New Roman"/>
          <w:sz w:val="22"/>
        </w:rPr>
        <w:t>Receita</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Energia</w:t>
      </w:r>
      <w:r>
        <w:rPr>
          <w:rFonts w:ascii="Times New Roman" w:hAnsi="Times New Roman"/>
          <w:spacing w:val="-7"/>
          <w:sz w:val="22"/>
        </w:rPr>
        <w:t> </w:t>
      </w:r>
      <w:r>
        <w:rPr>
          <w:rFonts w:ascii="Times New Roman" w:hAnsi="Times New Roman"/>
          <w:sz w:val="22"/>
        </w:rPr>
        <w:t>Elétrica de Curto</w:t>
      </w:r>
      <w:r>
        <w:rPr>
          <w:rFonts w:ascii="Times New Roman" w:hAnsi="Times New Roman"/>
          <w:spacing w:val="-1"/>
          <w:sz w:val="22"/>
        </w:rPr>
        <w:t> </w:t>
      </w:r>
      <w:r>
        <w:rPr>
          <w:rFonts w:ascii="Times New Roman" w:hAnsi="Times New Roman"/>
          <w:sz w:val="22"/>
        </w:rPr>
        <w:t>Prazo</w:t>
      </w:r>
    </w:p>
    <w:p>
      <w:pPr>
        <w:pStyle w:val="BodyText"/>
        <w:spacing w:before="9"/>
        <w:rPr>
          <w:rFonts w:ascii="Times New Roman"/>
        </w:rPr>
      </w:pPr>
    </w:p>
    <w:p>
      <w:pPr>
        <w:spacing w:line="360" w:lineRule="auto" w:before="0"/>
        <w:ind w:left="139" w:right="134" w:firstLine="708"/>
        <w:jc w:val="both"/>
        <w:rPr>
          <w:rFonts w:ascii="Times New Roman" w:hAnsi="Times New Roman"/>
          <w:sz w:val="22"/>
        </w:rPr>
      </w:pPr>
      <w:r>
        <w:rPr>
          <w:rFonts w:ascii="Times New Roman" w:hAnsi="Times New Roman"/>
          <w:sz w:val="22"/>
        </w:rPr>
        <w:t>O</w:t>
      </w:r>
      <w:r>
        <w:rPr>
          <w:rFonts w:ascii="Times New Roman" w:hAnsi="Times New Roman"/>
          <w:spacing w:val="-6"/>
          <w:sz w:val="22"/>
        </w:rPr>
        <w:t> </w:t>
      </w:r>
      <w:r>
        <w:rPr>
          <w:rFonts w:ascii="Times New Roman" w:hAnsi="Times New Roman"/>
          <w:sz w:val="22"/>
        </w:rPr>
        <w:t>Lucro</w:t>
      </w:r>
      <w:r>
        <w:rPr>
          <w:rFonts w:ascii="Times New Roman" w:hAnsi="Times New Roman"/>
          <w:spacing w:val="-5"/>
          <w:sz w:val="22"/>
        </w:rPr>
        <w:t> </w:t>
      </w:r>
      <w:r>
        <w:rPr>
          <w:rFonts w:ascii="Times New Roman" w:hAnsi="Times New Roman"/>
          <w:sz w:val="22"/>
        </w:rPr>
        <w:t>Líquido</w:t>
      </w:r>
      <w:r>
        <w:rPr>
          <w:rFonts w:ascii="Times New Roman" w:hAnsi="Times New Roman"/>
          <w:spacing w:val="-5"/>
          <w:sz w:val="22"/>
        </w:rPr>
        <w:t> </w:t>
      </w:r>
      <w:r>
        <w:rPr>
          <w:rFonts w:ascii="Times New Roman" w:hAnsi="Times New Roman"/>
          <w:sz w:val="22"/>
        </w:rPr>
        <w:t>atingiu</w:t>
      </w:r>
      <w:r>
        <w:rPr>
          <w:rFonts w:ascii="Times New Roman" w:hAnsi="Times New Roman"/>
          <w:spacing w:val="-5"/>
          <w:sz w:val="22"/>
        </w:rPr>
        <w:t> </w:t>
      </w:r>
      <w:r>
        <w:rPr>
          <w:rFonts w:ascii="Times New Roman" w:hAnsi="Times New Roman"/>
          <w:sz w:val="22"/>
        </w:rPr>
        <w:t>R$</w:t>
      </w:r>
      <w:r>
        <w:rPr>
          <w:rFonts w:ascii="Times New Roman" w:hAnsi="Times New Roman"/>
          <w:spacing w:val="-6"/>
          <w:sz w:val="22"/>
        </w:rPr>
        <w:t> </w:t>
      </w:r>
      <w:r>
        <w:rPr>
          <w:rFonts w:ascii="Times New Roman" w:hAnsi="Times New Roman"/>
          <w:sz w:val="22"/>
        </w:rPr>
        <w:t>119.045</w:t>
      </w:r>
      <w:r>
        <w:rPr>
          <w:rFonts w:ascii="Times New Roman" w:hAnsi="Times New Roman"/>
          <w:spacing w:val="-5"/>
          <w:sz w:val="22"/>
        </w:rPr>
        <w:t> </w:t>
      </w:r>
      <w:r>
        <w:rPr>
          <w:rFonts w:ascii="Times New Roman" w:hAnsi="Times New Roman"/>
          <w:sz w:val="22"/>
        </w:rPr>
        <w:t>mil</w:t>
      </w:r>
      <w:r>
        <w:rPr>
          <w:rFonts w:ascii="Times New Roman" w:hAnsi="Times New Roman"/>
          <w:spacing w:val="-4"/>
          <w:sz w:val="22"/>
        </w:rPr>
        <w:t> </w:t>
      </w:r>
      <w:r>
        <w:rPr>
          <w:rFonts w:ascii="Times New Roman" w:hAnsi="Times New Roman"/>
          <w:sz w:val="22"/>
        </w:rPr>
        <w:t>no</w:t>
      </w:r>
      <w:r>
        <w:rPr>
          <w:rFonts w:ascii="Times New Roman" w:hAnsi="Times New Roman"/>
          <w:spacing w:val="-5"/>
          <w:sz w:val="22"/>
        </w:rPr>
        <w:t> </w:t>
      </w:r>
      <w:r>
        <w:rPr>
          <w:rFonts w:ascii="Times New Roman" w:hAnsi="Times New Roman"/>
          <w:sz w:val="22"/>
        </w:rPr>
        <w:t>exercício</w:t>
      </w:r>
      <w:r>
        <w:rPr>
          <w:rFonts w:ascii="Times New Roman" w:hAnsi="Times New Roman"/>
          <w:spacing w:val="-5"/>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2019,</w:t>
      </w:r>
      <w:r>
        <w:rPr>
          <w:rFonts w:ascii="Times New Roman" w:hAnsi="Times New Roman"/>
          <w:spacing w:val="-5"/>
          <w:sz w:val="22"/>
        </w:rPr>
        <w:t> </w:t>
      </w:r>
      <w:r>
        <w:rPr>
          <w:rFonts w:ascii="Times New Roman" w:hAnsi="Times New Roman"/>
          <w:sz w:val="22"/>
        </w:rPr>
        <w:t>representando</w:t>
      </w:r>
      <w:r>
        <w:rPr>
          <w:rFonts w:ascii="Times New Roman" w:hAnsi="Times New Roman"/>
          <w:spacing w:val="-5"/>
          <w:sz w:val="22"/>
        </w:rPr>
        <w:t> </w:t>
      </w:r>
      <w:r>
        <w:rPr>
          <w:rFonts w:ascii="Times New Roman" w:hAnsi="Times New Roman"/>
          <w:sz w:val="22"/>
        </w:rPr>
        <w:t>um</w:t>
      </w:r>
      <w:r>
        <w:rPr>
          <w:rFonts w:ascii="Times New Roman" w:hAnsi="Times New Roman"/>
          <w:spacing w:val="-8"/>
          <w:sz w:val="22"/>
        </w:rPr>
        <w:t> </w:t>
      </w:r>
      <w:r>
        <w:rPr>
          <w:rFonts w:ascii="Times New Roman" w:hAnsi="Times New Roman"/>
          <w:sz w:val="22"/>
        </w:rPr>
        <w:t>aumento</w:t>
      </w:r>
      <w:r>
        <w:rPr>
          <w:rFonts w:ascii="Times New Roman" w:hAnsi="Times New Roman"/>
          <w:spacing w:val="-5"/>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R$</w:t>
      </w:r>
      <w:r>
        <w:rPr>
          <w:rFonts w:ascii="Times New Roman" w:hAnsi="Times New Roman"/>
          <w:spacing w:val="-5"/>
          <w:sz w:val="22"/>
        </w:rPr>
        <w:t> </w:t>
      </w:r>
      <w:r>
        <w:rPr>
          <w:rFonts w:ascii="Times New Roman" w:hAnsi="Times New Roman"/>
          <w:sz w:val="22"/>
        </w:rPr>
        <w:t>29.073</w:t>
      </w:r>
      <w:r>
        <w:rPr>
          <w:rFonts w:ascii="Times New Roman" w:hAnsi="Times New Roman"/>
          <w:spacing w:val="-5"/>
          <w:sz w:val="22"/>
        </w:rPr>
        <w:t> </w:t>
      </w:r>
      <w:r>
        <w:rPr>
          <w:rFonts w:ascii="Times New Roman" w:hAnsi="Times New Roman"/>
          <w:sz w:val="22"/>
        </w:rPr>
        <w:t>mil,</w:t>
      </w:r>
      <w:r>
        <w:rPr>
          <w:rFonts w:ascii="Times New Roman" w:hAnsi="Times New Roman"/>
          <w:spacing w:val="-5"/>
          <w:sz w:val="22"/>
        </w:rPr>
        <w:t> </w:t>
      </w:r>
      <w:r>
        <w:rPr>
          <w:rFonts w:ascii="Times New Roman" w:hAnsi="Times New Roman"/>
          <w:sz w:val="22"/>
        </w:rPr>
        <w:t>em relação àquele reapresentado em 2018 (R$ 89.972</w:t>
      </w:r>
      <w:r>
        <w:rPr>
          <w:rFonts w:ascii="Times New Roman" w:hAnsi="Times New Roman"/>
          <w:spacing w:val="-9"/>
          <w:sz w:val="22"/>
        </w:rPr>
        <w:t> </w:t>
      </w:r>
      <w:r>
        <w:rPr>
          <w:rFonts w:ascii="Times New Roman" w:hAnsi="Times New Roman"/>
          <w:sz w:val="22"/>
        </w:rPr>
        <w:t>mil).</w:t>
      </w:r>
    </w:p>
    <w:p>
      <w:pPr>
        <w:pStyle w:val="BodyText"/>
        <w:spacing w:before="9"/>
        <w:rPr>
          <w:rFonts w:ascii="Times New Roman"/>
        </w:rPr>
      </w:pPr>
    </w:p>
    <w:p>
      <w:pPr>
        <w:spacing w:line="360" w:lineRule="auto" w:before="1"/>
        <w:ind w:left="139" w:right="138" w:firstLine="708"/>
        <w:jc w:val="both"/>
        <w:rPr>
          <w:rFonts w:ascii="Times New Roman" w:hAnsi="Times New Roman"/>
          <w:sz w:val="22"/>
        </w:rPr>
      </w:pPr>
      <w:r>
        <w:rPr>
          <w:rFonts w:ascii="Times New Roman" w:hAnsi="Times New Roman"/>
          <w:sz w:val="22"/>
        </w:rPr>
        <w:t>Por último, destaca-se o acréscimo do Patrimônio Líquido, ao evoluir de R$ 734.451 mil em 2018, para R$ 783.986 mil em 2019. Este comportamento se justifica pelo resultado apurado no exercício de 2019.</w:t>
      </w:r>
    </w:p>
    <w:p>
      <w:pPr>
        <w:spacing w:after="0" w:line="360" w:lineRule="auto"/>
        <w:jc w:val="both"/>
        <w:rPr>
          <w:rFonts w:ascii="Times New Roman" w:hAnsi="Times New Roman"/>
          <w:sz w:val="22"/>
        </w:rPr>
        <w:sectPr>
          <w:pgSz w:w="11920" w:h="16860"/>
          <w:pgMar w:header="544" w:footer="302" w:top="1360" w:bottom="500" w:left="780" w:right="280"/>
        </w:sectPr>
      </w:pPr>
    </w:p>
    <w:p>
      <w:pPr>
        <w:pStyle w:val="BodyText"/>
        <w:spacing w:before="2"/>
        <w:rPr>
          <w:rFonts w:ascii="Times New Roman"/>
          <w:sz w:val="7"/>
        </w:rPr>
      </w:pPr>
    </w:p>
    <w:p>
      <w:pPr>
        <w:pStyle w:val="BodyText"/>
        <w:ind w:left="384"/>
        <w:rPr>
          <w:rFonts w:ascii="Times New Roman"/>
        </w:rPr>
      </w:pPr>
      <w:r>
        <w:rPr>
          <w:rFonts w:ascii="Times New Roman"/>
        </w:rPr>
        <w:pict>
          <v:shape style="width:496.1pt;height:13.55pt;mso-position-horizontal-relative:char;mso-position-vertical-relative:line" type="#_x0000_t202" filled="true" fillcolor="#f0f0f0" stroked="false">
            <w10:anchorlock/>
            <v:textbox inset="0,0,0,0">
              <w:txbxContent>
                <w:p>
                  <w:pPr>
                    <w:spacing w:line="270" w:lineRule="exact" w:before="0"/>
                    <w:ind w:left="2952" w:right="0" w:firstLine="0"/>
                    <w:jc w:val="left"/>
                    <w:rPr>
                      <w:rFonts w:ascii="Times New Roman" w:hAnsi="Times New Roman"/>
                      <w:b/>
                      <w:sz w:val="24"/>
                    </w:rPr>
                  </w:pPr>
                  <w:r>
                    <w:rPr>
                      <w:rFonts w:ascii="Times New Roman" w:hAnsi="Times New Roman"/>
                      <w:b/>
                      <w:sz w:val="24"/>
                    </w:rPr>
                    <w:t>IV. NEGÓCIOS DACOMPANHIA</w:t>
                  </w:r>
                </w:p>
              </w:txbxContent>
            </v:textbox>
            <v:fill type="solid"/>
          </v:shape>
        </w:pict>
      </w:r>
      <w:r>
        <w:rPr>
          <w:rFonts w:ascii="Times New Roman"/>
        </w:rPr>
      </w:r>
    </w:p>
    <w:p>
      <w:pPr>
        <w:pStyle w:val="BodyText"/>
        <w:spacing w:before="3"/>
        <w:rPr>
          <w:rFonts w:ascii="Times New Roman"/>
          <w:sz w:val="10"/>
        </w:rPr>
      </w:pPr>
    </w:p>
    <w:p>
      <w:pPr>
        <w:spacing w:line="465" w:lineRule="auto" w:before="92"/>
        <w:ind w:left="350" w:right="8344" w:firstLine="0"/>
        <w:jc w:val="left"/>
        <w:rPr>
          <w:rFonts w:ascii="Times New Roman" w:hAnsi="Times New Roman"/>
          <w:b/>
          <w:sz w:val="22"/>
        </w:rPr>
      </w:pPr>
      <w:r>
        <w:rPr/>
        <w:pict>
          <v:rect style="position:absolute;margin-left:52.549999pt;margin-top:-21.140448pt;width:5.674pt;height:.5pt;mso-position-horizontal-relative:page;mso-position-vertical-relative:paragraph;z-index:15737344" filled="true" fillcolor="#000080" stroked="false">
            <v:fill type="solid"/>
            <w10:wrap type="none"/>
          </v:rect>
        </w:pict>
      </w:r>
      <w:r>
        <w:rPr>
          <w:rFonts w:ascii="Times New Roman" w:hAnsi="Times New Roman"/>
          <w:b/>
          <w:sz w:val="22"/>
        </w:rPr>
        <w:t>Empresas Controladas CEB Distribuição S.A.</w:t>
      </w:r>
    </w:p>
    <w:p>
      <w:pPr>
        <w:pStyle w:val="BodyText"/>
        <w:spacing w:before="3"/>
        <w:rPr>
          <w:rFonts w:ascii="Times New Roman"/>
          <w:b/>
        </w:rPr>
      </w:pPr>
    </w:p>
    <w:p>
      <w:pPr>
        <w:spacing w:line="360" w:lineRule="auto" w:before="0"/>
        <w:ind w:left="139" w:right="131" w:firstLine="708"/>
        <w:jc w:val="both"/>
        <w:rPr>
          <w:rFonts w:ascii="Times New Roman" w:hAnsi="Times New Roman"/>
          <w:sz w:val="22"/>
        </w:rPr>
      </w:pPr>
      <w:r>
        <w:rPr>
          <w:rFonts w:ascii="Times New Roman" w:hAnsi="Times New Roman"/>
          <w:sz w:val="22"/>
        </w:rPr>
        <w:t>Nos termos do Contrato de Concessão nº 66/1999 – ANEEL, a Empresa tem por objeto a distribuição e comercialização de energia elétrica no Distrito Federal ou em outras áreas do País, cuja concessão para exploração seja- lhe outorgada.</w:t>
      </w:r>
    </w:p>
    <w:p>
      <w:pPr>
        <w:pStyle w:val="BodyText"/>
        <w:spacing w:before="9"/>
        <w:rPr>
          <w:rFonts w:ascii="Times New Roman"/>
        </w:rPr>
      </w:pPr>
    </w:p>
    <w:p>
      <w:pPr>
        <w:spacing w:line="360" w:lineRule="auto" w:before="0"/>
        <w:ind w:left="139" w:right="134" w:firstLine="708"/>
        <w:jc w:val="both"/>
        <w:rPr>
          <w:rFonts w:ascii="Times New Roman" w:hAnsi="Times New Roman"/>
          <w:sz w:val="22"/>
        </w:rPr>
      </w:pPr>
      <w:r>
        <w:rPr>
          <w:rFonts w:ascii="Times New Roman" w:hAnsi="Times New Roman"/>
          <w:sz w:val="22"/>
        </w:rPr>
        <w:t>Em 9 de dezembro de 2015, a CEB Distribuição S.A. e o Poder Concedente, por intermédio do Ministério de Minas</w:t>
      </w:r>
      <w:r>
        <w:rPr>
          <w:rFonts w:ascii="Times New Roman" w:hAnsi="Times New Roman"/>
          <w:spacing w:val="-10"/>
          <w:sz w:val="22"/>
        </w:rPr>
        <w:t> </w:t>
      </w:r>
      <w:r>
        <w:rPr>
          <w:rFonts w:ascii="Times New Roman" w:hAnsi="Times New Roman"/>
          <w:sz w:val="22"/>
        </w:rPr>
        <w:t>e</w:t>
      </w:r>
      <w:r>
        <w:rPr>
          <w:rFonts w:ascii="Times New Roman" w:hAnsi="Times New Roman"/>
          <w:spacing w:val="-13"/>
          <w:sz w:val="22"/>
        </w:rPr>
        <w:t> </w:t>
      </w:r>
      <w:r>
        <w:rPr>
          <w:rFonts w:ascii="Times New Roman" w:hAnsi="Times New Roman"/>
          <w:sz w:val="22"/>
        </w:rPr>
        <w:t>Energia</w:t>
      </w:r>
      <w:r>
        <w:rPr>
          <w:rFonts w:ascii="Times New Roman" w:hAnsi="Times New Roman"/>
          <w:spacing w:val="-12"/>
          <w:sz w:val="22"/>
        </w:rPr>
        <w:t> </w:t>
      </w:r>
      <w:r>
        <w:rPr>
          <w:rFonts w:ascii="Times New Roman" w:hAnsi="Times New Roman"/>
          <w:sz w:val="22"/>
        </w:rPr>
        <w:t>–</w:t>
      </w:r>
      <w:r>
        <w:rPr>
          <w:rFonts w:ascii="Times New Roman" w:hAnsi="Times New Roman"/>
          <w:spacing w:val="-13"/>
          <w:sz w:val="22"/>
        </w:rPr>
        <w:t> </w:t>
      </w:r>
      <w:r>
        <w:rPr>
          <w:rFonts w:ascii="Times New Roman" w:hAnsi="Times New Roman"/>
          <w:sz w:val="22"/>
        </w:rPr>
        <w:t>MME,</w:t>
      </w:r>
      <w:r>
        <w:rPr>
          <w:rFonts w:ascii="Times New Roman" w:hAnsi="Times New Roman"/>
          <w:spacing w:val="-14"/>
          <w:sz w:val="22"/>
        </w:rPr>
        <w:t> </w:t>
      </w:r>
      <w:r>
        <w:rPr>
          <w:rFonts w:ascii="Times New Roman" w:hAnsi="Times New Roman"/>
          <w:sz w:val="22"/>
        </w:rPr>
        <w:t>celebraram</w:t>
      </w:r>
      <w:r>
        <w:rPr>
          <w:rFonts w:ascii="Times New Roman" w:hAnsi="Times New Roman"/>
          <w:spacing w:val="-14"/>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Quarto</w:t>
      </w:r>
      <w:r>
        <w:rPr>
          <w:rFonts w:ascii="Times New Roman" w:hAnsi="Times New Roman"/>
          <w:spacing w:val="-13"/>
          <w:sz w:val="22"/>
        </w:rPr>
        <w:t> </w:t>
      </w:r>
      <w:r>
        <w:rPr>
          <w:rFonts w:ascii="Times New Roman" w:hAnsi="Times New Roman"/>
          <w:sz w:val="22"/>
        </w:rPr>
        <w:t>Termo</w:t>
      </w:r>
      <w:r>
        <w:rPr>
          <w:rFonts w:ascii="Times New Roman" w:hAnsi="Times New Roman"/>
          <w:spacing w:val="-11"/>
          <w:sz w:val="22"/>
        </w:rPr>
        <w:t> </w:t>
      </w:r>
      <w:r>
        <w:rPr>
          <w:rFonts w:ascii="Times New Roman" w:hAnsi="Times New Roman"/>
          <w:sz w:val="22"/>
        </w:rPr>
        <w:t>Aditivo</w:t>
      </w:r>
      <w:r>
        <w:rPr>
          <w:rFonts w:ascii="Times New Roman" w:hAnsi="Times New Roman"/>
          <w:spacing w:val="-11"/>
          <w:sz w:val="22"/>
        </w:rPr>
        <w:t> </w:t>
      </w:r>
      <w:r>
        <w:rPr>
          <w:rFonts w:ascii="Times New Roman" w:hAnsi="Times New Roman"/>
          <w:sz w:val="22"/>
        </w:rPr>
        <w:t>ao</w:t>
      </w:r>
      <w:r>
        <w:rPr>
          <w:rFonts w:ascii="Times New Roman" w:hAnsi="Times New Roman"/>
          <w:spacing w:val="-11"/>
          <w:sz w:val="22"/>
        </w:rPr>
        <w:t> </w:t>
      </w:r>
      <w:r>
        <w:rPr>
          <w:rFonts w:ascii="Times New Roman" w:hAnsi="Times New Roman"/>
          <w:sz w:val="22"/>
        </w:rPr>
        <w:t>Contrato</w:t>
      </w:r>
      <w:r>
        <w:rPr>
          <w:rFonts w:ascii="Times New Roman" w:hAnsi="Times New Roman"/>
          <w:spacing w:val="-11"/>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Concessão</w:t>
      </w:r>
      <w:r>
        <w:rPr>
          <w:rFonts w:ascii="Times New Roman" w:hAnsi="Times New Roman"/>
          <w:spacing w:val="-11"/>
          <w:sz w:val="22"/>
        </w:rPr>
        <w:t> </w:t>
      </w:r>
      <w:r>
        <w:rPr>
          <w:rFonts w:ascii="Times New Roman" w:hAnsi="Times New Roman"/>
          <w:sz w:val="22"/>
        </w:rPr>
        <w:t>nº</w:t>
      </w:r>
      <w:r>
        <w:rPr>
          <w:rFonts w:ascii="Times New Roman" w:hAnsi="Times New Roman"/>
          <w:spacing w:val="-10"/>
          <w:sz w:val="22"/>
        </w:rPr>
        <w:t> </w:t>
      </w:r>
      <w:r>
        <w:rPr>
          <w:rFonts w:ascii="Times New Roman" w:hAnsi="Times New Roman"/>
          <w:sz w:val="22"/>
        </w:rPr>
        <w:t>66/1999</w:t>
      </w:r>
      <w:r>
        <w:rPr>
          <w:rFonts w:ascii="Times New Roman" w:hAnsi="Times New Roman"/>
          <w:spacing w:val="-7"/>
          <w:sz w:val="22"/>
        </w:rPr>
        <w:t> </w:t>
      </w:r>
      <w:r>
        <w:rPr>
          <w:rFonts w:ascii="Times New Roman" w:hAnsi="Times New Roman"/>
          <w:sz w:val="22"/>
        </w:rPr>
        <w:t>–</w:t>
      </w:r>
      <w:r>
        <w:rPr>
          <w:rFonts w:ascii="Times New Roman" w:hAnsi="Times New Roman"/>
          <w:spacing w:val="-10"/>
          <w:sz w:val="22"/>
        </w:rPr>
        <w:t> </w:t>
      </w:r>
      <w:r>
        <w:rPr>
          <w:rFonts w:ascii="Times New Roman" w:hAnsi="Times New Roman"/>
          <w:sz w:val="22"/>
        </w:rPr>
        <w:t>ANEEL,</w:t>
      </w:r>
      <w:r>
        <w:rPr>
          <w:rFonts w:ascii="Times New Roman" w:hAnsi="Times New Roman"/>
          <w:spacing w:val="-14"/>
          <w:sz w:val="22"/>
        </w:rPr>
        <w:t> </w:t>
      </w:r>
      <w:r>
        <w:rPr>
          <w:rFonts w:ascii="Times New Roman" w:hAnsi="Times New Roman"/>
          <w:sz w:val="22"/>
        </w:rPr>
        <w:t>publicado na</w:t>
      </w:r>
      <w:r>
        <w:rPr>
          <w:rFonts w:ascii="Times New Roman" w:hAnsi="Times New Roman"/>
          <w:spacing w:val="-13"/>
          <w:sz w:val="22"/>
        </w:rPr>
        <w:t> </w:t>
      </w:r>
      <w:r>
        <w:rPr>
          <w:rFonts w:ascii="Times New Roman" w:hAnsi="Times New Roman"/>
          <w:sz w:val="22"/>
        </w:rPr>
        <w:t>edição</w:t>
      </w:r>
      <w:r>
        <w:rPr>
          <w:rFonts w:ascii="Times New Roman" w:hAnsi="Times New Roman"/>
          <w:spacing w:val="-13"/>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24</w:t>
      </w:r>
      <w:r>
        <w:rPr>
          <w:rFonts w:ascii="Times New Roman" w:hAnsi="Times New Roman"/>
          <w:spacing w:val="-12"/>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dezembro</w:t>
      </w:r>
      <w:r>
        <w:rPr>
          <w:rFonts w:ascii="Times New Roman" w:hAnsi="Times New Roman"/>
          <w:spacing w:val="-13"/>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2015</w:t>
      </w:r>
      <w:r>
        <w:rPr>
          <w:rFonts w:ascii="Times New Roman" w:hAnsi="Times New Roman"/>
          <w:spacing w:val="-12"/>
          <w:sz w:val="22"/>
        </w:rPr>
        <w:t> </w:t>
      </w:r>
      <w:r>
        <w:rPr>
          <w:rFonts w:ascii="Times New Roman" w:hAnsi="Times New Roman"/>
          <w:sz w:val="22"/>
        </w:rPr>
        <w:t>do</w:t>
      </w:r>
      <w:r>
        <w:rPr>
          <w:rFonts w:ascii="Times New Roman" w:hAnsi="Times New Roman"/>
          <w:spacing w:val="-13"/>
          <w:sz w:val="22"/>
        </w:rPr>
        <w:t> </w:t>
      </w:r>
      <w:r>
        <w:rPr>
          <w:rFonts w:ascii="Times New Roman" w:hAnsi="Times New Roman"/>
          <w:sz w:val="22"/>
        </w:rPr>
        <w:t>Diário</w:t>
      </w:r>
      <w:r>
        <w:rPr>
          <w:rFonts w:ascii="Times New Roman" w:hAnsi="Times New Roman"/>
          <w:spacing w:val="-13"/>
          <w:sz w:val="22"/>
        </w:rPr>
        <w:t> </w:t>
      </w:r>
      <w:r>
        <w:rPr>
          <w:rFonts w:ascii="Times New Roman" w:hAnsi="Times New Roman"/>
          <w:sz w:val="22"/>
        </w:rPr>
        <w:t>Oficial</w:t>
      </w:r>
      <w:r>
        <w:rPr>
          <w:rFonts w:ascii="Times New Roman" w:hAnsi="Times New Roman"/>
          <w:spacing w:val="-14"/>
          <w:sz w:val="22"/>
        </w:rPr>
        <w:t> </w:t>
      </w:r>
      <w:r>
        <w:rPr>
          <w:rFonts w:ascii="Times New Roman" w:hAnsi="Times New Roman"/>
          <w:sz w:val="22"/>
        </w:rPr>
        <w:t>da</w:t>
      </w:r>
      <w:r>
        <w:rPr>
          <w:rFonts w:ascii="Times New Roman" w:hAnsi="Times New Roman"/>
          <w:spacing w:val="-13"/>
          <w:sz w:val="22"/>
        </w:rPr>
        <w:t> </w:t>
      </w:r>
      <w:r>
        <w:rPr>
          <w:rFonts w:ascii="Times New Roman" w:hAnsi="Times New Roman"/>
          <w:sz w:val="22"/>
        </w:rPr>
        <w:t>União,</w:t>
      </w:r>
      <w:r>
        <w:rPr>
          <w:rFonts w:ascii="Times New Roman" w:hAnsi="Times New Roman"/>
          <w:spacing w:val="-13"/>
          <w:sz w:val="22"/>
        </w:rPr>
        <w:t> </w:t>
      </w:r>
      <w:r>
        <w:rPr>
          <w:rFonts w:ascii="Times New Roman" w:hAnsi="Times New Roman"/>
          <w:sz w:val="22"/>
        </w:rPr>
        <w:t>que</w:t>
      </w:r>
      <w:r>
        <w:rPr>
          <w:rFonts w:ascii="Times New Roman" w:hAnsi="Times New Roman"/>
          <w:spacing w:val="-14"/>
          <w:sz w:val="22"/>
        </w:rPr>
        <w:t> </w:t>
      </w:r>
      <w:r>
        <w:rPr>
          <w:rFonts w:ascii="Times New Roman" w:hAnsi="Times New Roman"/>
          <w:sz w:val="22"/>
        </w:rPr>
        <w:t>formalizou</w:t>
      </w:r>
      <w:r>
        <w:rPr>
          <w:rFonts w:ascii="Times New Roman" w:hAnsi="Times New Roman"/>
          <w:spacing w:val="-13"/>
          <w:sz w:val="22"/>
        </w:rPr>
        <w:t> </w:t>
      </w:r>
      <w:r>
        <w:rPr>
          <w:rFonts w:ascii="Times New Roman" w:hAnsi="Times New Roman"/>
          <w:sz w:val="22"/>
        </w:rPr>
        <w:t>a</w:t>
      </w:r>
      <w:r>
        <w:rPr>
          <w:rFonts w:ascii="Times New Roman" w:hAnsi="Times New Roman"/>
          <w:spacing w:val="-15"/>
          <w:sz w:val="22"/>
        </w:rPr>
        <w:t> </w:t>
      </w:r>
      <w:r>
        <w:rPr>
          <w:rFonts w:ascii="Times New Roman" w:hAnsi="Times New Roman"/>
          <w:sz w:val="22"/>
        </w:rPr>
        <w:t>prorrogação</w:t>
      </w:r>
      <w:r>
        <w:rPr>
          <w:rFonts w:ascii="Times New Roman" w:hAnsi="Times New Roman"/>
          <w:spacing w:val="-13"/>
          <w:sz w:val="22"/>
        </w:rPr>
        <w:t> </w:t>
      </w:r>
      <w:r>
        <w:rPr>
          <w:rFonts w:ascii="Times New Roman" w:hAnsi="Times New Roman"/>
          <w:sz w:val="22"/>
        </w:rPr>
        <w:t>do</w:t>
      </w:r>
      <w:r>
        <w:rPr>
          <w:rFonts w:ascii="Times New Roman" w:hAnsi="Times New Roman"/>
          <w:spacing w:val="-12"/>
          <w:sz w:val="22"/>
        </w:rPr>
        <w:t> </w:t>
      </w:r>
      <w:r>
        <w:rPr>
          <w:rFonts w:ascii="Times New Roman" w:hAnsi="Times New Roman"/>
          <w:sz w:val="22"/>
        </w:rPr>
        <w:t>Contrato</w:t>
      </w:r>
      <w:r>
        <w:rPr>
          <w:rFonts w:ascii="Times New Roman" w:hAnsi="Times New Roman"/>
          <w:spacing w:val="-13"/>
          <w:sz w:val="22"/>
        </w:rPr>
        <w:t> </w:t>
      </w:r>
      <w:r>
        <w:rPr>
          <w:rFonts w:ascii="Times New Roman" w:hAnsi="Times New Roman"/>
          <w:sz w:val="22"/>
        </w:rPr>
        <w:t>de</w:t>
      </w:r>
      <w:r>
        <w:rPr>
          <w:rFonts w:ascii="Times New Roman" w:hAnsi="Times New Roman"/>
          <w:spacing w:val="-15"/>
          <w:sz w:val="22"/>
        </w:rPr>
        <w:t> </w:t>
      </w:r>
      <w:r>
        <w:rPr>
          <w:rFonts w:ascii="Times New Roman" w:hAnsi="Times New Roman"/>
          <w:sz w:val="22"/>
        </w:rPr>
        <w:t>Concessão do Serviço Público de Distribuição de Energia Elétrica por mais 30 anos, vigente até 7 de julho de</w:t>
      </w:r>
      <w:r>
        <w:rPr>
          <w:rFonts w:ascii="Times New Roman" w:hAnsi="Times New Roman"/>
          <w:spacing w:val="-14"/>
          <w:sz w:val="22"/>
        </w:rPr>
        <w:t> </w:t>
      </w:r>
      <w:r>
        <w:rPr>
          <w:rFonts w:ascii="Times New Roman" w:hAnsi="Times New Roman"/>
          <w:sz w:val="22"/>
        </w:rPr>
        <w:t>2045.</w:t>
      </w:r>
    </w:p>
    <w:p>
      <w:pPr>
        <w:pStyle w:val="BodyText"/>
        <w:rPr>
          <w:rFonts w:ascii="Times New Roman"/>
          <w:sz w:val="21"/>
        </w:rPr>
      </w:pPr>
    </w:p>
    <w:p>
      <w:pPr>
        <w:spacing w:line="360" w:lineRule="auto" w:before="1"/>
        <w:ind w:left="139" w:right="135" w:firstLine="708"/>
        <w:jc w:val="both"/>
        <w:rPr>
          <w:rFonts w:ascii="Times New Roman" w:hAnsi="Times New Roman"/>
          <w:sz w:val="22"/>
        </w:rPr>
      </w:pPr>
      <w:r>
        <w:rPr>
          <w:rFonts w:ascii="Times New Roman" w:hAnsi="Times New Roman"/>
          <w:sz w:val="22"/>
        </w:rPr>
        <w:t>A área de concessão da CEB Distribuição S.A. corresponde a 5.780 km</w:t>
      </w:r>
      <w:r>
        <w:rPr>
          <w:rFonts w:ascii="Times New Roman" w:hAnsi="Times New Roman"/>
          <w:sz w:val="22"/>
          <w:vertAlign w:val="superscript"/>
        </w:rPr>
        <w:t>2</w:t>
      </w:r>
      <w:r>
        <w:rPr>
          <w:rFonts w:ascii="Times New Roman" w:hAnsi="Times New Roman"/>
          <w:sz w:val="22"/>
          <w:vertAlign w:val="baseline"/>
        </w:rPr>
        <w:t> e abrange todo o Distrito Federal, dividido em regiões administrativas, atendendo a 1.085.146 clientes.</w:t>
      </w:r>
    </w:p>
    <w:p>
      <w:pPr>
        <w:pStyle w:val="BodyText"/>
        <w:rPr>
          <w:rFonts w:ascii="Times New Roman"/>
          <w:sz w:val="24"/>
        </w:rPr>
      </w:pPr>
    </w:p>
    <w:p>
      <w:pPr>
        <w:spacing w:before="210"/>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2"/>
        <w:rPr>
          <w:rFonts w:ascii="Times New Roman"/>
          <w:b/>
          <w:sz w:val="24"/>
        </w:rPr>
      </w:pPr>
    </w:p>
    <w:tbl>
      <w:tblPr>
        <w:tblW w:w="0" w:type="auto"/>
        <w:jc w:val="left"/>
        <w:tblInd w:w="36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top w:w="0" w:type="dxa"/>
          <w:left w:w="0" w:type="dxa"/>
          <w:bottom w:w="0" w:type="dxa"/>
          <w:right w:w="0" w:type="dxa"/>
        </w:tblCellMar>
        <w:tblLook w:val="01E0"/>
      </w:tblPr>
      <w:tblGrid>
        <w:gridCol w:w="2162"/>
        <w:gridCol w:w="1294"/>
        <w:gridCol w:w="1294"/>
        <w:gridCol w:w="1294"/>
        <w:gridCol w:w="1294"/>
        <w:gridCol w:w="1294"/>
        <w:gridCol w:w="1294"/>
      </w:tblGrid>
      <w:tr>
        <w:trPr>
          <w:trHeight w:val="224" w:hRule="atLeast"/>
        </w:trPr>
        <w:tc>
          <w:tcPr>
            <w:tcW w:w="9926" w:type="dxa"/>
            <w:gridSpan w:val="7"/>
          </w:tcPr>
          <w:p>
            <w:pPr>
              <w:pStyle w:val="TableParagraph"/>
              <w:spacing w:line="176" w:lineRule="exact" w:before="28"/>
              <w:ind w:right="11"/>
              <w:jc w:val="right"/>
              <w:rPr>
                <w:rFonts w:ascii="Georgia"/>
                <w:b/>
                <w:sz w:val="16"/>
              </w:rPr>
            </w:pPr>
            <w:r>
              <w:rPr>
                <w:rFonts w:ascii="Georgia"/>
                <w:b/>
                <w:w w:val="90"/>
                <w:sz w:val="16"/>
              </w:rPr>
              <w:t>R$ mil</w:t>
            </w:r>
          </w:p>
        </w:tc>
      </w:tr>
      <w:tr>
        <w:trPr>
          <w:trHeight w:val="413" w:hRule="atLeast"/>
        </w:trPr>
        <w:tc>
          <w:tcPr>
            <w:tcW w:w="2162" w:type="dxa"/>
            <w:shd w:val="clear" w:color="auto" w:fill="DCE6F0"/>
          </w:tcPr>
          <w:p>
            <w:pPr>
              <w:pStyle w:val="TableParagraph"/>
              <w:spacing w:before="116"/>
              <w:ind w:left="862" w:right="855"/>
              <w:jc w:val="center"/>
              <w:rPr>
                <w:rFonts w:ascii="Georgia"/>
                <w:b/>
                <w:sz w:val="16"/>
              </w:rPr>
            </w:pPr>
            <w:r>
              <w:rPr>
                <w:rFonts w:ascii="Georgia"/>
                <w:b/>
                <w:sz w:val="16"/>
              </w:rPr>
              <w:t>Item</w:t>
            </w:r>
          </w:p>
        </w:tc>
        <w:tc>
          <w:tcPr>
            <w:tcW w:w="1294" w:type="dxa"/>
            <w:shd w:val="clear" w:color="auto" w:fill="DCE6F0"/>
          </w:tcPr>
          <w:p>
            <w:pPr>
              <w:pStyle w:val="TableParagraph"/>
              <w:spacing w:before="16"/>
              <w:ind w:left="30" w:right="17"/>
              <w:jc w:val="center"/>
              <w:rPr>
                <w:rFonts w:ascii="Georgia"/>
                <w:b/>
                <w:sz w:val="16"/>
              </w:rPr>
            </w:pPr>
            <w:r>
              <w:rPr>
                <w:rFonts w:ascii="Georgia"/>
                <w:b/>
                <w:sz w:val="16"/>
              </w:rPr>
              <w:t>2015</w:t>
            </w:r>
          </w:p>
          <w:p>
            <w:pPr>
              <w:pStyle w:val="TableParagraph"/>
              <w:spacing w:line="163" w:lineRule="exact" w:before="32"/>
              <w:ind w:left="33" w:right="17"/>
              <w:jc w:val="center"/>
              <w:rPr>
                <w:rFonts w:ascii="Georgia"/>
                <w:b/>
                <w:sz w:val="16"/>
              </w:rPr>
            </w:pPr>
            <w:r>
              <w:rPr>
                <w:rFonts w:ascii="Georgia"/>
                <w:b/>
                <w:w w:val="95"/>
                <w:sz w:val="16"/>
              </w:rPr>
              <w:t>Reapresentado</w:t>
            </w:r>
          </w:p>
        </w:tc>
        <w:tc>
          <w:tcPr>
            <w:tcW w:w="1294" w:type="dxa"/>
            <w:shd w:val="clear" w:color="auto" w:fill="DCE6F0"/>
          </w:tcPr>
          <w:p>
            <w:pPr>
              <w:pStyle w:val="TableParagraph"/>
              <w:spacing w:before="16"/>
              <w:ind w:left="31" w:right="17"/>
              <w:jc w:val="center"/>
              <w:rPr>
                <w:rFonts w:ascii="Georgia"/>
                <w:b/>
                <w:sz w:val="16"/>
              </w:rPr>
            </w:pPr>
            <w:r>
              <w:rPr>
                <w:rFonts w:ascii="Georgia"/>
                <w:b/>
                <w:sz w:val="16"/>
              </w:rPr>
              <w:t>2016</w:t>
            </w:r>
          </w:p>
          <w:p>
            <w:pPr>
              <w:pStyle w:val="TableParagraph"/>
              <w:spacing w:line="163" w:lineRule="exact" w:before="32"/>
              <w:ind w:left="35" w:right="17"/>
              <w:jc w:val="center"/>
              <w:rPr>
                <w:rFonts w:ascii="Georgia"/>
                <w:b/>
                <w:sz w:val="16"/>
              </w:rPr>
            </w:pPr>
            <w:r>
              <w:rPr>
                <w:rFonts w:ascii="Georgia"/>
                <w:b/>
                <w:w w:val="95"/>
                <w:sz w:val="16"/>
              </w:rPr>
              <w:t>Reapresentado</w:t>
            </w:r>
          </w:p>
        </w:tc>
        <w:tc>
          <w:tcPr>
            <w:tcW w:w="1294" w:type="dxa"/>
            <w:shd w:val="clear" w:color="auto" w:fill="DCE6F0"/>
          </w:tcPr>
          <w:p>
            <w:pPr>
              <w:pStyle w:val="TableParagraph"/>
              <w:spacing w:before="16"/>
              <w:ind w:left="33" w:right="17"/>
              <w:jc w:val="center"/>
              <w:rPr>
                <w:rFonts w:ascii="Georgia"/>
                <w:b/>
                <w:sz w:val="16"/>
              </w:rPr>
            </w:pPr>
            <w:r>
              <w:rPr>
                <w:rFonts w:ascii="Georgia"/>
                <w:b/>
                <w:sz w:val="16"/>
              </w:rPr>
              <w:t>2017</w:t>
            </w:r>
          </w:p>
          <w:p>
            <w:pPr>
              <w:pStyle w:val="TableParagraph"/>
              <w:spacing w:line="163" w:lineRule="exact" w:before="32"/>
              <w:ind w:left="36" w:right="16"/>
              <w:jc w:val="center"/>
              <w:rPr>
                <w:rFonts w:ascii="Georgia"/>
                <w:b/>
                <w:sz w:val="16"/>
              </w:rPr>
            </w:pPr>
            <w:r>
              <w:rPr>
                <w:rFonts w:ascii="Georgia"/>
                <w:b/>
                <w:w w:val="95"/>
                <w:sz w:val="16"/>
              </w:rPr>
              <w:t>Reapresentado</w:t>
            </w:r>
          </w:p>
        </w:tc>
        <w:tc>
          <w:tcPr>
            <w:tcW w:w="1294" w:type="dxa"/>
            <w:shd w:val="clear" w:color="auto" w:fill="DCE6F0"/>
          </w:tcPr>
          <w:p>
            <w:pPr>
              <w:pStyle w:val="TableParagraph"/>
              <w:spacing w:before="16"/>
              <w:ind w:left="35" w:right="17"/>
              <w:jc w:val="center"/>
              <w:rPr>
                <w:rFonts w:ascii="Georgia"/>
                <w:b/>
                <w:sz w:val="16"/>
              </w:rPr>
            </w:pPr>
            <w:r>
              <w:rPr>
                <w:rFonts w:ascii="Georgia"/>
                <w:b/>
                <w:sz w:val="16"/>
              </w:rPr>
              <w:t>2018</w:t>
            </w:r>
          </w:p>
          <w:p>
            <w:pPr>
              <w:pStyle w:val="TableParagraph"/>
              <w:spacing w:line="163" w:lineRule="exact" w:before="32"/>
              <w:ind w:left="36" w:right="15"/>
              <w:jc w:val="center"/>
              <w:rPr>
                <w:rFonts w:ascii="Georgia"/>
                <w:b/>
                <w:sz w:val="16"/>
              </w:rPr>
            </w:pPr>
            <w:r>
              <w:rPr>
                <w:rFonts w:ascii="Georgia"/>
                <w:b/>
                <w:w w:val="95"/>
                <w:sz w:val="16"/>
              </w:rPr>
              <w:t>Reapresentado</w:t>
            </w:r>
          </w:p>
        </w:tc>
        <w:tc>
          <w:tcPr>
            <w:tcW w:w="1294" w:type="dxa"/>
            <w:shd w:val="clear" w:color="auto" w:fill="DCE6F0"/>
          </w:tcPr>
          <w:p>
            <w:pPr>
              <w:pStyle w:val="TableParagraph"/>
              <w:spacing w:before="116"/>
              <w:ind w:left="36" w:right="17"/>
              <w:jc w:val="center"/>
              <w:rPr>
                <w:rFonts w:ascii="Georgia"/>
                <w:b/>
                <w:sz w:val="16"/>
              </w:rPr>
            </w:pPr>
            <w:r>
              <w:rPr>
                <w:rFonts w:ascii="Georgia"/>
                <w:b/>
                <w:sz w:val="16"/>
              </w:rPr>
              <w:t>2019</w:t>
            </w:r>
          </w:p>
        </w:tc>
        <w:tc>
          <w:tcPr>
            <w:tcW w:w="1294" w:type="dxa"/>
            <w:shd w:val="clear" w:color="auto" w:fill="DCE6F0"/>
          </w:tcPr>
          <w:p>
            <w:pPr>
              <w:pStyle w:val="TableParagraph"/>
              <w:spacing w:before="16"/>
              <w:ind w:right="295"/>
              <w:jc w:val="right"/>
              <w:rPr>
                <w:rFonts w:ascii="Georgia" w:hAnsi="Georgia"/>
                <w:b/>
                <w:sz w:val="16"/>
              </w:rPr>
            </w:pPr>
            <w:r>
              <w:rPr>
                <w:rFonts w:ascii="Georgia" w:hAnsi="Georgia"/>
                <w:b/>
                <w:w w:val="90"/>
                <w:sz w:val="16"/>
              </w:rPr>
              <w:t>Variação</w:t>
            </w:r>
          </w:p>
          <w:p>
            <w:pPr>
              <w:pStyle w:val="TableParagraph"/>
              <w:spacing w:line="163" w:lineRule="exact" w:before="32"/>
              <w:ind w:right="204"/>
              <w:jc w:val="right"/>
              <w:rPr>
                <w:rFonts w:ascii="Georgia"/>
                <w:b/>
                <w:sz w:val="16"/>
              </w:rPr>
            </w:pPr>
            <w:r>
              <w:rPr>
                <w:rFonts w:ascii="Georgia"/>
                <w:b/>
                <w:w w:val="95"/>
                <w:sz w:val="16"/>
              </w:rPr>
              <w:t>2019-2018</w:t>
            </w:r>
          </w:p>
        </w:tc>
      </w:tr>
      <w:tr>
        <w:trPr>
          <w:trHeight w:val="224" w:hRule="atLeast"/>
        </w:trPr>
        <w:tc>
          <w:tcPr>
            <w:tcW w:w="2162" w:type="dxa"/>
          </w:tcPr>
          <w:p>
            <w:pPr>
              <w:pStyle w:val="TableParagraph"/>
              <w:spacing w:line="179" w:lineRule="exact" w:before="24"/>
              <w:ind w:left="30"/>
              <w:rPr>
                <w:sz w:val="16"/>
              </w:rPr>
            </w:pPr>
            <w:r>
              <w:rPr>
                <w:sz w:val="16"/>
              </w:rPr>
              <w:t>Receita Operacional Líquida</w:t>
            </w:r>
          </w:p>
        </w:tc>
        <w:tc>
          <w:tcPr>
            <w:tcW w:w="1294" w:type="dxa"/>
          </w:tcPr>
          <w:p>
            <w:pPr>
              <w:pStyle w:val="TableParagraph"/>
              <w:spacing w:line="179" w:lineRule="exact" w:before="24"/>
              <w:ind w:right="75"/>
              <w:jc w:val="right"/>
              <w:rPr>
                <w:sz w:val="16"/>
              </w:rPr>
            </w:pPr>
            <w:r>
              <w:rPr>
                <w:w w:val="95"/>
                <w:sz w:val="16"/>
              </w:rPr>
              <w:t>2.348.022</w:t>
            </w:r>
          </w:p>
        </w:tc>
        <w:tc>
          <w:tcPr>
            <w:tcW w:w="1294" w:type="dxa"/>
          </w:tcPr>
          <w:p>
            <w:pPr>
              <w:pStyle w:val="TableParagraph"/>
              <w:spacing w:line="179" w:lineRule="exact" w:before="24"/>
              <w:ind w:right="74"/>
              <w:jc w:val="right"/>
              <w:rPr>
                <w:sz w:val="16"/>
              </w:rPr>
            </w:pPr>
            <w:r>
              <w:rPr>
                <w:w w:val="95"/>
                <w:sz w:val="16"/>
              </w:rPr>
              <w:t>2.052.795</w:t>
            </w:r>
          </w:p>
        </w:tc>
        <w:tc>
          <w:tcPr>
            <w:tcW w:w="1294" w:type="dxa"/>
          </w:tcPr>
          <w:p>
            <w:pPr>
              <w:pStyle w:val="TableParagraph"/>
              <w:spacing w:line="179" w:lineRule="exact" w:before="24"/>
              <w:ind w:right="73"/>
              <w:jc w:val="right"/>
              <w:rPr>
                <w:sz w:val="16"/>
              </w:rPr>
            </w:pPr>
            <w:r>
              <w:rPr>
                <w:w w:val="95"/>
                <w:sz w:val="16"/>
              </w:rPr>
              <w:t>2.651.663</w:t>
            </w:r>
          </w:p>
        </w:tc>
        <w:tc>
          <w:tcPr>
            <w:tcW w:w="1294" w:type="dxa"/>
          </w:tcPr>
          <w:p>
            <w:pPr>
              <w:pStyle w:val="TableParagraph"/>
              <w:spacing w:line="179" w:lineRule="exact" w:before="24"/>
              <w:ind w:right="72"/>
              <w:jc w:val="right"/>
              <w:rPr>
                <w:sz w:val="16"/>
              </w:rPr>
            </w:pPr>
            <w:r>
              <w:rPr>
                <w:w w:val="95"/>
                <w:sz w:val="16"/>
              </w:rPr>
              <w:t>2.463.379</w:t>
            </w:r>
          </w:p>
        </w:tc>
        <w:tc>
          <w:tcPr>
            <w:tcW w:w="1294" w:type="dxa"/>
          </w:tcPr>
          <w:p>
            <w:pPr>
              <w:pStyle w:val="TableParagraph"/>
              <w:spacing w:line="179" w:lineRule="exact" w:before="24"/>
              <w:ind w:right="71"/>
              <w:jc w:val="right"/>
              <w:rPr>
                <w:sz w:val="16"/>
              </w:rPr>
            </w:pPr>
            <w:r>
              <w:rPr>
                <w:w w:val="95"/>
                <w:sz w:val="16"/>
              </w:rPr>
              <w:t>2.615.566</w:t>
            </w:r>
          </w:p>
        </w:tc>
        <w:tc>
          <w:tcPr>
            <w:tcW w:w="1294" w:type="dxa"/>
          </w:tcPr>
          <w:p>
            <w:pPr>
              <w:pStyle w:val="TableParagraph"/>
              <w:spacing w:line="179" w:lineRule="exact" w:before="24"/>
              <w:ind w:right="70"/>
              <w:jc w:val="right"/>
              <w:rPr>
                <w:sz w:val="16"/>
              </w:rPr>
            </w:pPr>
            <w:r>
              <w:rPr>
                <w:sz w:val="16"/>
              </w:rPr>
              <w:t>152.187</w:t>
            </w:r>
          </w:p>
        </w:tc>
      </w:tr>
      <w:tr>
        <w:trPr>
          <w:trHeight w:val="224" w:hRule="atLeast"/>
        </w:trPr>
        <w:tc>
          <w:tcPr>
            <w:tcW w:w="2162" w:type="dxa"/>
          </w:tcPr>
          <w:p>
            <w:pPr>
              <w:pStyle w:val="TableParagraph"/>
              <w:spacing w:line="179" w:lineRule="exact" w:before="25"/>
              <w:ind w:left="30"/>
              <w:rPr>
                <w:sz w:val="16"/>
              </w:rPr>
            </w:pPr>
            <w:r>
              <w:rPr>
                <w:sz w:val="16"/>
              </w:rPr>
              <w:t>Custo/Despesa Operacional</w:t>
            </w:r>
          </w:p>
        </w:tc>
        <w:tc>
          <w:tcPr>
            <w:tcW w:w="1294" w:type="dxa"/>
          </w:tcPr>
          <w:p>
            <w:pPr>
              <w:pStyle w:val="TableParagraph"/>
              <w:spacing w:line="179" w:lineRule="exact" w:before="25"/>
              <w:ind w:right="75"/>
              <w:jc w:val="right"/>
              <w:rPr>
                <w:sz w:val="16"/>
              </w:rPr>
            </w:pPr>
            <w:r>
              <w:rPr>
                <w:w w:val="95"/>
                <w:sz w:val="16"/>
              </w:rPr>
              <w:t>2.139.135</w:t>
            </w:r>
          </w:p>
        </w:tc>
        <w:tc>
          <w:tcPr>
            <w:tcW w:w="1294" w:type="dxa"/>
          </w:tcPr>
          <w:p>
            <w:pPr>
              <w:pStyle w:val="TableParagraph"/>
              <w:spacing w:line="179" w:lineRule="exact" w:before="25"/>
              <w:ind w:right="74"/>
              <w:jc w:val="right"/>
              <w:rPr>
                <w:sz w:val="16"/>
              </w:rPr>
            </w:pPr>
            <w:r>
              <w:rPr>
                <w:w w:val="95"/>
                <w:sz w:val="16"/>
              </w:rPr>
              <w:t>1.973.418</w:t>
            </w:r>
          </w:p>
        </w:tc>
        <w:tc>
          <w:tcPr>
            <w:tcW w:w="1294" w:type="dxa"/>
          </w:tcPr>
          <w:p>
            <w:pPr>
              <w:pStyle w:val="TableParagraph"/>
              <w:spacing w:line="179" w:lineRule="exact" w:before="25"/>
              <w:ind w:right="73"/>
              <w:jc w:val="right"/>
              <w:rPr>
                <w:sz w:val="16"/>
              </w:rPr>
            </w:pPr>
            <w:r>
              <w:rPr>
                <w:w w:val="95"/>
                <w:sz w:val="16"/>
              </w:rPr>
              <w:t>2.563.627</w:t>
            </w:r>
          </w:p>
        </w:tc>
        <w:tc>
          <w:tcPr>
            <w:tcW w:w="1294" w:type="dxa"/>
          </w:tcPr>
          <w:p>
            <w:pPr>
              <w:pStyle w:val="TableParagraph"/>
              <w:spacing w:line="179" w:lineRule="exact" w:before="25"/>
              <w:ind w:right="72"/>
              <w:jc w:val="right"/>
              <w:rPr>
                <w:sz w:val="16"/>
              </w:rPr>
            </w:pPr>
            <w:r>
              <w:rPr>
                <w:w w:val="95"/>
                <w:sz w:val="16"/>
              </w:rPr>
              <w:t>2.422.366</w:t>
            </w:r>
          </w:p>
        </w:tc>
        <w:tc>
          <w:tcPr>
            <w:tcW w:w="1294" w:type="dxa"/>
          </w:tcPr>
          <w:p>
            <w:pPr>
              <w:pStyle w:val="TableParagraph"/>
              <w:spacing w:line="179" w:lineRule="exact" w:before="25"/>
              <w:ind w:right="71"/>
              <w:jc w:val="right"/>
              <w:rPr>
                <w:sz w:val="16"/>
              </w:rPr>
            </w:pPr>
            <w:r>
              <w:rPr>
                <w:w w:val="95"/>
                <w:sz w:val="16"/>
              </w:rPr>
              <w:t>2.498.149</w:t>
            </w:r>
          </w:p>
        </w:tc>
        <w:tc>
          <w:tcPr>
            <w:tcW w:w="1294" w:type="dxa"/>
          </w:tcPr>
          <w:p>
            <w:pPr>
              <w:pStyle w:val="TableParagraph"/>
              <w:spacing w:line="179" w:lineRule="exact" w:before="25"/>
              <w:ind w:right="70"/>
              <w:jc w:val="right"/>
              <w:rPr>
                <w:sz w:val="16"/>
              </w:rPr>
            </w:pPr>
            <w:r>
              <w:rPr>
                <w:sz w:val="16"/>
              </w:rPr>
              <w:t>75.783</w:t>
            </w:r>
          </w:p>
        </w:tc>
      </w:tr>
      <w:tr>
        <w:trPr>
          <w:trHeight w:val="224" w:hRule="atLeast"/>
        </w:trPr>
        <w:tc>
          <w:tcPr>
            <w:tcW w:w="2162" w:type="dxa"/>
          </w:tcPr>
          <w:p>
            <w:pPr>
              <w:pStyle w:val="TableParagraph"/>
              <w:spacing w:line="179" w:lineRule="exact" w:before="25"/>
              <w:ind w:left="30"/>
              <w:rPr>
                <w:sz w:val="16"/>
              </w:rPr>
            </w:pPr>
            <w:r>
              <w:rPr>
                <w:w w:val="110"/>
                <w:sz w:val="16"/>
              </w:rPr>
              <w:t>EBTIDA</w:t>
            </w:r>
          </w:p>
        </w:tc>
        <w:tc>
          <w:tcPr>
            <w:tcW w:w="1294" w:type="dxa"/>
          </w:tcPr>
          <w:p>
            <w:pPr>
              <w:pStyle w:val="TableParagraph"/>
              <w:spacing w:line="179" w:lineRule="exact" w:before="25"/>
              <w:ind w:right="75"/>
              <w:jc w:val="right"/>
              <w:rPr>
                <w:sz w:val="16"/>
              </w:rPr>
            </w:pPr>
            <w:r>
              <w:rPr>
                <w:sz w:val="16"/>
              </w:rPr>
              <w:t>256.053</w:t>
            </w:r>
          </w:p>
        </w:tc>
        <w:tc>
          <w:tcPr>
            <w:tcW w:w="1294" w:type="dxa"/>
          </w:tcPr>
          <w:p>
            <w:pPr>
              <w:pStyle w:val="TableParagraph"/>
              <w:spacing w:line="179" w:lineRule="exact" w:before="25"/>
              <w:ind w:right="74"/>
              <w:jc w:val="right"/>
              <w:rPr>
                <w:sz w:val="16"/>
              </w:rPr>
            </w:pPr>
            <w:r>
              <w:rPr>
                <w:sz w:val="16"/>
              </w:rPr>
              <w:t>125.599</w:t>
            </w:r>
          </w:p>
        </w:tc>
        <w:tc>
          <w:tcPr>
            <w:tcW w:w="1294" w:type="dxa"/>
          </w:tcPr>
          <w:p>
            <w:pPr>
              <w:pStyle w:val="TableParagraph"/>
              <w:spacing w:line="179" w:lineRule="exact" w:before="25"/>
              <w:ind w:right="73"/>
              <w:jc w:val="right"/>
              <w:rPr>
                <w:sz w:val="16"/>
              </w:rPr>
            </w:pPr>
            <w:r>
              <w:rPr>
                <w:sz w:val="16"/>
              </w:rPr>
              <w:t>145.365</w:t>
            </w:r>
          </w:p>
        </w:tc>
        <w:tc>
          <w:tcPr>
            <w:tcW w:w="1294" w:type="dxa"/>
          </w:tcPr>
          <w:p>
            <w:pPr>
              <w:pStyle w:val="TableParagraph"/>
              <w:spacing w:line="179" w:lineRule="exact" w:before="25"/>
              <w:ind w:right="72"/>
              <w:jc w:val="right"/>
              <w:rPr>
                <w:sz w:val="16"/>
              </w:rPr>
            </w:pPr>
            <w:r>
              <w:rPr>
                <w:sz w:val="16"/>
              </w:rPr>
              <w:t>89.545</w:t>
            </w:r>
          </w:p>
        </w:tc>
        <w:tc>
          <w:tcPr>
            <w:tcW w:w="1294" w:type="dxa"/>
          </w:tcPr>
          <w:p>
            <w:pPr>
              <w:pStyle w:val="TableParagraph"/>
              <w:spacing w:line="179" w:lineRule="exact" w:before="25"/>
              <w:ind w:right="71"/>
              <w:jc w:val="right"/>
              <w:rPr>
                <w:sz w:val="16"/>
              </w:rPr>
            </w:pPr>
            <w:r>
              <w:rPr>
                <w:sz w:val="16"/>
              </w:rPr>
              <w:t>167.261</w:t>
            </w:r>
          </w:p>
        </w:tc>
        <w:tc>
          <w:tcPr>
            <w:tcW w:w="1294" w:type="dxa"/>
          </w:tcPr>
          <w:p>
            <w:pPr>
              <w:pStyle w:val="TableParagraph"/>
              <w:spacing w:line="179" w:lineRule="exact" w:before="25"/>
              <w:ind w:right="70"/>
              <w:jc w:val="right"/>
              <w:rPr>
                <w:sz w:val="16"/>
              </w:rPr>
            </w:pPr>
            <w:r>
              <w:rPr>
                <w:sz w:val="16"/>
              </w:rPr>
              <w:t>77.716</w:t>
            </w:r>
          </w:p>
        </w:tc>
      </w:tr>
      <w:tr>
        <w:trPr>
          <w:trHeight w:val="224" w:hRule="atLeast"/>
        </w:trPr>
        <w:tc>
          <w:tcPr>
            <w:tcW w:w="2162" w:type="dxa"/>
          </w:tcPr>
          <w:p>
            <w:pPr>
              <w:pStyle w:val="TableParagraph"/>
              <w:spacing w:line="179" w:lineRule="exact" w:before="24"/>
              <w:ind w:left="30"/>
              <w:rPr>
                <w:sz w:val="16"/>
              </w:rPr>
            </w:pPr>
            <w:r>
              <w:rPr>
                <w:sz w:val="16"/>
              </w:rPr>
              <w:t>Lucro(prejuízo) no exercício</w:t>
            </w:r>
          </w:p>
        </w:tc>
        <w:tc>
          <w:tcPr>
            <w:tcW w:w="1294" w:type="dxa"/>
          </w:tcPr>
          <w:p>
            <w:pPr>
              <w:pStyle w:val="TableParagraph"/>
              <w:spacing w:line="179" w:lineRule="exact" w:before="24"/>
              <w:ind w:right="74"/>
              <w:jc w:val="right"/>
              <w:rPr>
                <w:sz w:val="16"/>
              </w:rPr>
            </w:pPr>
            <w:r>
              <w:rPr>
                <w:sz w:val="16"/>
              </w:rPr>
              <w:t>36.446</w:t>
            </w:r>
          </w:p>
        </w:tc>
        <w:tc>
          <w:tcPr>
            <w:tcW w:w="1294" w:type="dxa"/>
          </w:tcPr>
          <w:p>
            <w:pPr>
              <w:pStyle w:val="TableParagraph"/>
              <w:spacing w:line="179" w:lineRule="exact" w:before="24"/>
              <w:ind w:right="73"/>
              <w:jc w:val="right"/>
              <w:rPr>
                <w:sz w:val="16"/>
              </w:rPr>
            </w:pPr>
            <w:r>
              <w:rPr>
                <w:sz w:val="16"/>
              </w:rPr>
              <w:t>50.270</w:t>
            </w:r>
          </w:p>
        </w:tc>
        <w:tc>
          <w:tcPr>
            <w:tcW w:w="1294" w:type="dxa"/>
          </w:tcPr>
          <w:p>
            <w:pPr>
              <w:pStyle w:val="TableParagraph"/>
              <w:spacing w:line="179" w:lineRule="exact" w:before="24"/>
              <w:ind w:right="73"/>
              <w:jc w:val="right"/>
              <w:rPr>
                <w:sz w:val="16"/>
              </w:rPr>
            </w:pPr>
            <w:r>
              <w:rPr>
                <w:sz w:val="16"/>
              </w:rPr>
              <w:t>29.522</w:t>
            </w:r>
          </w:p>
        </w:tc>
        <w:tc>
          <w:tcPr>
            <w:tcW w:w="1294" w:type="dxa"/>
          </w:tcPr>
          <w:p>
            <w:pPr>
              <w:pStyle w:val="TableParagraph"/>
              <w:spacing w:line="179" w:lineRule="exact" w:before="24"/>
              <w:ind w:right="13"/>
              <w:jc w:val="right"/>
              <w:rPr>
                <w:sz w:val="16"/>
              </w:rPr>
            </w:pPr>
            <w:r>
              <w:rPr>
                <w:sz w:val="16"/>
              </w:rPr>
              <w:t>(33.678)</w:t>
            </w:r>
          </w:p>
        </w:tc>
        <w:tc>
          <w:tcPr>
            <w:tcW w:w="1294" w:type="dxa"/>
          </w:tcPr>
          <w:p>
            <w:pPr>
              <w:pStyle w:val="TableParagraph"/>
              <w:spacing w:line="179" w:lineRule="exact" w:before="24"/>
              <w:ind w:right="71"/>
              <w:jc w:val="right"/>
              <w:rPr>
                <w:sz w:val="16"/>
              </w:rPr>
            </w:pPr>
            <w:r>
              <w:rPr>
                <w:sz w:val="16"/>
              </w:rPr>
              <w:t>41.892</w:t>
            </w:r>
          </w:p>
        </w:tc>
        <w:tc>
          <w:tcPr>
            <w:tcW w:w="1294" w:type="dxa"/>
          </w:tcPr>
          <w:p>
            <w:pPr>
              <w:pStyle w:val="TableParagraph"/>
              <w:spacing w:line="179" w:lineRule="exact" w:before="24"/>
              <w:ind w:right="70"/>
              <w:jc w:val="right"/>
              <w:rPr>
                <w:sz w:val="16"/>
              </w:rPr>
            </w:pPr>
            <w:r>
              <w:rPr>
                <w:sz w:val="16"/>
              </w:rPr>
              <w:t>75.570</w:t>
            </w:r>
          </w:p>
        </w:tc>
      </w:tr>
      <w:tr>
        <w:trPr>
          <w:trHeight w:val="224" w:hRule="atLeast"/>
        </w:trPr>
        <w:tc>
          <w:tcPr>
            <w:tcW w:w="2162" w:type="dxa"/>
          </w:tcPr>
          <w:p>
            <w:pPr>
              <w:pStyle w:val="TableParagraph"/>
              <w:spacing w:line="179" w:lineRule="exact" w:before="25"/>
              <w:ind w:left="30"/>
              <w:rPr>
                <w:sz w:val="16"/>
              </w:rPr>
            </w:pPr>
            <w:r>
              <w:rPr>
                <w:sz w:val="16"/>
              </w:rPr>
              <w:t>Investimentos</w:t>
            </w:r>
          </w:p>
        </w:tc>
        <w:tc>
          <w:tcPr>
            <w:tcW w:w="1294" w:type="dxa"/>
          </w:tcPr>
          <w:p>
            <w:pPr>
              <w:pStyle w:val="TableParagraph"/>
              <w:spacing w:line="179" w:lineRule="exact" w:before="25"/>
              <w:ind w:right="74"/>
              <w:jc w:val="right"/>
              <w:rPr>
                <w:sz w:val="16"/>
              </w:rPr>
            </w:pPr>
            <w:r>
              <w:rPr>
                <w:sz w:val="16"/>
              </w:rPr>
              <w:t>82.157</w:t>
            </w:r>
          </w:p>
        </w:tc>
        <w:tc>
          <w:tcPr>
            <w:tcW w:w="1294" w:type="dxa"/>
          </w:tcPr>
          <w:p>
            <w:pPr>
              <w:pStyle w:val="TableParagraph"/>
              <w:spacing w:line="179" w:lineRule="exact" w:before="25"/>
              <w:ind w:right="73"/>
              <w:jc w:val="right"/>
              <w:rPr>
                <w:sz w:val="16"/>
              </w:rPr>
            </w:pPr>
            <w:r>
              <w:rPr>
                <w:sz w:val="16"/>
              </w:rPr>
              <w:t>72.309</w:t>
            </w:r>
          </w:p>
        </w:tc>
        <w:tc>
          <w:tcPr>
            <w:tcW w:w="1294" w:type="dxa"/>
          </w:tcPr>
          <w:p>
            <w:pPr>
              <w:pStyle w:val="TableParagraph"/>
              <w:spacing w:line="179" w:lineRule="exact" w:before="25"/>
              <w:ind w:right="73"/>
              <w:jc w:val="right"/>
              <w:rPr>
                <w:sz w:val="16"/>
              </w:rPr>
            </w:pPr>
            <w:r>
              <w:rPr>
                <w:sz w:val="16"/>
              </w:rPr>
              <w:t>85.278</w:t>
            </w:r>
          </w:p>
        </w:tc>
        <w:tc>
          <w:tcPr>
            <w:tcW w:w="1294" w:type="dxa"/>
          </w:tcPr>
          <w:p>
            <w:pPr>
              <w:pStyle w:val="TableParagraph"/>
              <w:spacing w:line="179" w:lineRule="exact" w:before="25"/>
              <w:ind w:right="72"/>
              <w:jc w:val="right"/>
              <w:rPr>
                <w:sz w:val="16"/>
              </w:rPr>
            </w:pPr>
            <w:r>
              <w:rPr>
                <w:sz w:val="16"/>
              </w:rPr>
              <w:t>82.576</w:t>
            </w:r>
          </w:p>
        </w:tc>
        <w:tc>
          <w:tcPr>
            <w:tcW w:w="1294" w:type="dxa"/>
          </w:tcPr>
          <w:p>
            <w:pPr>
              <w:pStyle w:val="TableParagraph"/>
              <w:spacing w:line="179" w:lineRule="exact" w:before="25"/>
              <w:ind w:right="71"/>
              <w:jc w:val="right"/>
              <w:rPr>
                <w:sz w:val="16"/>
              </w:rPr>
            </w:pPr>
            <w:r>
              <w:rPr>
                <w:sz w:val="16"/>
              </w:rPr>
              <w:t>40.181</w:t>
            </w:r>
          </w:p>
        </w:tc>
        <w:tc>
          <w:tcPr>
            <w:tcW w:w="1294" w:type="dxa"/>
          </w:tcPr>
          <w:p>
            <w:pPr>
              <w:pStyle w:val="TableParagraph"/>
              <w:spacing w:line="179" w:lineRule="exact" w:before="25"/>
              <w:ind w:right="11"/>
              <w:jc w:val="right"/>
              <w:rPr>
                <w:sz w:val="16"/>
              </w:rPr>
            </w:pPr>
            <w:r>
              <w:rPr>
                <w:sz w:val="16"/>
              </w:rPr>
              <w:t>(42.395)</w:t>
            </w:r>
          </w:p>
        </w:tc>
      </w:tr>
      <w:tr>
        <w:trPr>
          <w:trHeight w:val="224" w:hRule="atLeast"/>
        </w:trPr>
        <w:tc>
          <w:tcPr>
            <w:tcW w:w="2162" w:type="dxa"/>
          </w:tcPr>
          <w:p>
            <w:pPr>
              <w:pStyle w:val="TableParagraph"/>
              <w:spacing w:line="179" w:lineRule="exact" w:before="24"/>
              <w:ind w:left="30"/>
              <w:rPr>
                <w:sz w:val="16"/>
              </w:rPr>
            </w:pPr>
            <w:r>
              <w:rPr>
                <w:sz w:val="16"/>
              </w:rPr>
              <w:t>Patrimônio Líquido</w:t>
            </w:r>
          </w:p>
        </w:tc>
        <w:tc>
          <w:tcPr>
            <w:tcW w:w="1294" w:type="dxa"/>
          </w:tcPr>
          <w:p>
            <w:pPr>
              <w:pStyle w:val="TableParagraph"/>
              <w:spacing w:line="179" w:lineRule="exact" w:before="24"/>
              <w:ind w:right="75"/>
              <w:jc w:val="right"/>
              <w:rPr>
                <w:sz w:val="16"/>
              </w:rPr>
            </w:pPr>
            <w:r>
              <w:rPr>
                <w:sz w:val="16"/>
              </w:rPr>
              <w:t>308.875</w:t>
            </w:r>
          </w:p>
        </w:tc>
        <w:tc>
          <w:tcPr>
            <w:tcW w:w="1294" w:type="dxa"/>
          </w:tcPr>
          <w:p>
            <w:pPr>
              <w:pStyle w:val="TableParagraph"/>
              <w:spacing w:line="179" w:lineRule="exact" w:before="24"/>
              <w:ind w:right="74"/>
              <w:jc w:val="right"/>
              <w:rPr>
                <w:sz w:val="16"/>
              </w:rPr>
            </w:pPr>
            <w:r>
              <w:rPr>
                <w:sz w:val="16"/>
              </w:rPr>
              <w:t>359.180</w:t>
            </w:r>
          </w:p>
        </w:tc>
        <w:tc>
          <w:tcPr>
            <w:tcW w:w="1294" w:type="dxa"/>
          </w:tcPr>
          <w:p>
            <w:pPr>
              <w:pStyle w:val="TableParagraph"/>
              <w:spacing w:line="179" w:lineRule="exact" w:before="24"/>
              <w:ind w:right="73"/>
              <w:jc w:val="right"/>
              <w:rPr>
                <w:sz w:val="16"/>
              </w:rPr>
            </w:pPr>
            <w:r>
              <w:rPr>
                <w:sz w:val="16"/>
              </w:rPr>
              <w:t>320.459</w:t>
            </w:r>
          </w:p>
        </w:tc>
        <w:tc>
          <w:tcPr>
            <w:tcW w:w="1294" w:type="dxa"/>
          </w:tcPr>
          <w:p>
            <w:pPr>
              <w:pStyle w:val="TableParagraph"/>
              <w:spacing w:line="179" w:lineRule="exact" w:before="24"/>
              <w:ind w:right="72"/>
              <w:jc w:val="right"/>
              <w:rPr>
                <w:sz w:val="16"/>
              </w:rPr>
            </w:pPr>
            <w:r>
              <w:rPr>
                <w:sz w:val="16"/>
              </w:rPr>
              <w:t>414.801</w:t>
            </w:r>
          </w:p>
        </w:tc>
        <w:tc>
          <w:tcPr>
            <w:tcW w:w="1294" w:type="dxa"/>
          </w:tcPr>
          <w:p>
            <w:pPr>
              <w:pStyle w:val="TableParagraph"/>
              <w:spacing w:line="179" w:lineRule="exact" w:before="24"/>
              <w:ind w:right="71"/>
              <w:jc w:val="right"/>
              <w:rPr>
                <w:sz w:val="16"/>
              </w:rPr>
            </w:pPr>
            <w:r>
              <w:rPr>
                <w:sz w:val="16"/>
              </w:rPr>
              <w:t>587.874</w:t>
            </w:r>
          </w:p>
        </w:tc>
        <w:tc>
          <w:tcPr>
            <w:tcW w:w="1294" w:type="dxa"/>
          </w:tcPr>
          <w:p>
            <w:pPr>
              <w:pStyle w:val="TableParagraph"/>
              <w:spacing w:line="179" w:lineRule="exact" w:before="24"/>
              <w:ind w:right="70"/>
              <w:jc w:val="right"/>
              <w:rPr>
                <w:sz w:val="16"/>
              </w:rPr>
            </w:pPr>
            <w:r>
              <w:rPr>
                <w:sz w:val="16"/>
              </w:rPr>
              <w:t>173.073</w:t>
            </w:r>
          </w:p>
        </w:tc>
      </w:tr>
    </w:tbl>
    <w:p>
      <w:pPr>
        <w:spacing w:before="49"/>
        <w:ind w:left="350" w:right="0" w:firstLine="0"/>
        <w:jc w:val="left"/>
        <w:rPr>
          <w:rFonts w:ascii="Times New Roman" w:hAnsi="Times New Roman"/>
          <w:b/>
          <w:sz w:val="16"/>
        </w:rPr>
      </w:pPr>
      <w:r>
        <w:rPr>
          <w:rFonts w:ascii="Times New Roman" w:hAnsi="Times New Roman"/>
          <w:b/>
          <w:sz w:val="16"/>
        </w:rPr>
        <w:t>Fonte: Relatório de Administração da CEB Distribuição S.A.</w:t>
      </w:r>
    </w:p>
    <w:p>
      <w:pPr>
        <w:pStyle w:val="BodyText"/>
        <w:rPr>
          <w:rFonts w:ascii="Times New Roman"/>
          <w:b/>
          <w:sz w:val="18"/>
        </w:rPr>
      </w:pPr>
    </w:p>
    <w:p>
      <w:pPr>
        <w:pStyle w:val="BodyText"/>
        <w:spacing w:before="2"/>
        <w:rPr>
          <w:rFonts w:ascii="Times New Roman"/>
          <w:b/>
          <w:sz w:val="23"/>
        </w:rPr>
      </w:pPr>
    </w:p>
    <w:p>
      <w:pPr>
        <w:spacing w:line="360" w:lineRule="auto" w:before="0"/>
        <w:ind w:left="139" w:right="137" w:firstLine="708"/>
        <w:jc w:val="both"/>
        <w:rPr>
          <w:rFonts w:ascii="Times New Roman" w:hAnsi="Times New Roman"/>
          <w:sz w:val="22"/>
        </w:rPr>
      </w:pPr>
      <w:r>
        <w:rPr>
          <w:rFonts w:ascii="Times New Roman" w:hAnsi="Times New Roman"/>
          <w:sz w:val="22"/>
        </w:rPr>
        <w:t>A CEB-DIS e sua antecessora Companhia Energética de Brasília, atuam há 50 anos no segmento de</w:t>
      </w:r>
      <w:r>
        <w:rPr>
          <w:rFonts w:ascii="Times New Roman" w:hAnsi="Times New Roman"/>
          <w:spacing w:val="-36"/>
          <w:sz w:val="22"/>
        </w:rPr>
        <w:t> </w:t>
      </w:r>
      <w:r>
        <w:rPr>
          <w:rFonts w:ascii="Times New Roman" w:hAnsi="Times New Roman"/>
          <w:sz w:val="22"/>
        </w:rPr>
        <w:t>distribuição de energia elétrica no Distrito Federal, atendendo às 31 regiões administrativas, com população estimada de 2.974.703 habitantes</w:t>
      </w:r>
      <w:r>
        <w:rPr>
          <w:rFonts w:ascii="Times New Roman" w:hAnsi="Times New Roman"/>
          <w:spacing w:val="-5"/>
          <w:sz w:val="22"/>
        </w:rPr>
        <w:t> </w:t>
      </w:r>
      <w:r>
        <w:rPr>
          <w:rFonts w:ascii="Times New Roman" w:hAnsi="Times New Roman"/>
          <w:sz w:val="22"/>
        </w:rPr>
        <w:t>(população</w:t>
      </w:r>
      <w:r>
        <w:rPr>
          <w:rFonts w:ascii="Times New Roman" w:hAnsi="Times New Roman"/>
          <w:spacing w:val="-6"/>
          <w:sz w:val="22"/>
        </w:rPr>
        <w:t> </w:t>
      </w:r>
      <w:r>
        <w:rPr>
          <w:rFonts w:ascii="Times New Roman" w:hAnsi="Times New Roman"/>
          <w:sz w:val="22"/>
        </w:rPr>
        <w:t>estimada -</w:t>
      </w:r>
      <w:r>
        <w:rPr>
          <w:rFonts w:ascii="Times New Roman" w:hAnsi="Times New Roman"/>
          <w:spacing w:val="-5"/>
          <w:sz w:val="22"/>
        </w:rPr>
        <w:t> </w:t>
      </w:r>
      <w:r>
        <w:rPr>
          <w:rFonts w:ascii="Times New Roman" w:hAnsi="Times New Roman"/>
          <w:sz w:val="22"/>
        </w:rPr>
        <w:t>IBGE</w:t>
      </w:r>
      <w:r>
        <w:rPr>
          <w:rFonts w:ascii="Times New Roman" w:hAnsi="Times New Roman"/>
          <w:spacing w:val="-4"/>
          <w:sz w:val="22"/>
        </w:rPr>
        <w:t> </w:t>
      </w:r>
      <w:r>
        <w:rPr>
          <w:rFonts w:ascii="Times New Roman" w:hAnsi="Times New Roman"/>
          <w:sz w:val="22"/>
        </w:rPr>
        <w:t>2018),</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2018,</w:t>
      </w:r>
      <w:r>
        <w:rPr>
          <w:rFonts w:ascii="Times New Roman" w:hAnsi="Times New Roman"/>
          <w:spacing w:val="-4"/>
          <w:sz w:val="22"/>
        </w:rPr>
        <w:t> </w:t>
      </w:r>
      <w:r>
        <w:rPr>
          <w:rFonts w:ascii="Times New Roman" w:hAnsi="Times New Roman"/>
          <w:sz w:val="22"/>
        </w:rPr>
        <w:t>atendeu</w:t>
      </w:r>
      <w:r>
        <w:rPr>
          <w:rFonts w:ascii="Times New Roman" w:hAnsi="Times New Roman"/>
          <w:spacing w:val="-6"/>
          <w:sz w:val="22"/>
        </w:rPr>
        <w:t> </w:t>
      </w:r>
      <w:r>
        <w:rPr>
          <w:rFonts w:ascii="Times New Roman" w:hAnsi="Times New Roman"/>
          <w:sz w:val="22"/>
        </w:rPr>
        <w:t>1.085.002</w:t>
      </w:r>
      <w:r>
        <w:rPr>
          <w:rFonts w:ascii="Times New Roman" w:hAnsi="Times New Roman"/>
          <w:spacing w:val="-3"/>
          <w:sz w:val="22"/>
        </w:rPr>
        <w:t> </w:t>
      </w:r>
      <w:r>
        <w:rPr>
          <w:rFonts w:ascii="Times New Roman" w:hAnsi="Times New Roman"/>
          <w:sz w:val="22"/>
        </w:rPr>
        <w:t>consumidores</w:t>
      </w:r>
      <w:r>
        <w:rPr>
          <w:rFonts w:ascii="Times New Roman" w:hAnsi="Times New Roman"/>
          <w:spacing w:val="-3"/>
          <w:sz w:val="22"/>
        </w:rPr>
        <w:t> </w:t>
      </w:r>
      <w:r>
        <w:rPr>
          <w:rFonts w:ascii="Times New Roman" w:hAnsi="Times New Roman"/>
          <w:sz w:val="22"/>
        </w:rPr>
        <w:t>cativos</w:t>
      </w:r>
      <w:r>
        <w:rPr>
          <w:rFonts w:ascii="Times New Roman" w:hAnsi="Times New Roman"/>
          <w:spacing w:val="-3"/>
          <w:sz w:val="22"/>
        </w:rPr>
        <w:t> </w:t>
      </w:r>
      <w:r>
        <w:rPr>
          <w:rFonts w:ascii="Times New Roman" w:hAnsi="Times New Roman"/>
          <w:sz w:val="22"/>
        </w:rPr>
        <w:t>e</w:t>
      </w:r>
      <w:r>
        <w:rPr>
          <w:rFonts w:ascii="Times New Roman" w:hAnsi="Times New Roman"/>
          <w:spacing w:val="-1"/>
          <w:sz w:val="22"/>
        </w:rPr>
        <w:t> </w:t>
      </w:r>
      <w:r>
        <w:rPr>
          <w:rFonts w:ascii="Times New Roman" w:hAnsi="Times New Roman"/>
          <w:sz w:val="22"/>
        </w:rPr>
        <w:t>143</w:t>
      </w:r>
      <w:r>
        <w:rPr>
          <w:rFonts w:ascii="Times New Roman" w:hAnsi="Times New Roman"/>
          <w:spacing w:val="-6"/>
          <w:sz w:val="22"/>
        </w:rPr>
        <w:t> </w:t>
      </w:r>
      <w:r>
        <w:rPr>
          <w:rFonts w:ascii="Times New Roman" w:hAnsi="Times New Roman"/>
          <w:sz w:val="22"/>
        </w:rPr>
        <w:t>consumidores livres.</w:t>
      </w:r>
    </w:p>
    <w:p>
      <w:pPr>
        <w:pStyle w:val="BodyText"/>
        <w:spacing w:before="9"/>
        <w:rPr>
          <w:rFonts w:ascii="Times New Roman"/>
        </w:rPr>
      </w:pPr>
    </w:p>
    <w:p>
      <w:pPr>
        <w:spacing w:line="360" w:lineRule="auto" w:before="0"/>
        <w:ind w:left="139" w:right="142" w:firstLine="708"/>
        <w:jc w:val="both"/>
        <w:rPr>
          <w:rFonts w:ascii="Times New Roman" w:hAnsi="Times New Roman"/>
          <w:sz w:val="22"/>
        </w:rPr>
      </w:pPr>
      <w:r>
        <w:rPr>
          <w:rFonts w:ascii="Times New Roman" w:hAnsi="Times New Roman"/>
          <w:sz w:val="22"/>
        </w:rPr>
        <w:t>Em 2019, a CEB-DIS forneceu 5.563.767 GWh a seus clientes. O consumo de energia elétrica em 2019 retraiu 0,60%, como reflexo das condições de renda no Distrito Federal, devido às alterações no comportamento dos consumidores e ao aumento da migração dos consumidores cativos para o Ambiente de Contratação Livre (ACL).</w:t>
      </w:r>
    </w:p>
    <w:p>
      <w:pPr>
        <w:pStyle w:val="BodyText"/>
        <w:rPr>
          <w:rFonts w:ascii="Times New Roman"/>
          <w:sz w:val="21"/>
        </w:rPr>
      </w:pPr>
    </w:p>
    <w:p>
      <w:pPr>
        <w:spacing w:line="360" w:lineRule="auto" w:before="0"/>
        <w:ind w:left="139" w:right="135" w:firstLine="763"/>
        <w:jc w:val="both"/>
        <w:rPr>
          <w:rFonts w:ascii="Times New Roman" w:hAnsi="Times New Roman"/>
          <w:sz w:val="22"/>
        </w:rPr>
      </w:pPr>
      <w:r>
        <w:rPr>
          <w:rFonts w:ascii="Times New Roman" w:hAnsi="Times New Roman"/>
          <w:sz w:val="22"/>
        </w:rPr>
        <w:t>Entretanto, observa-se que a queda no consumo total foi inferior à retração verificada em 2018 (-2,10%). O consumo da classe residencial cresceu 0,50%, indicando recuperação do consumo, refletindo o aumento do número de consumidores para esta classe. O consumo da classe serviço público cresceu 1,35%, enquanto a classe Poder Público aumentou 2,61% em relação a 2018.</w:t>
      </w:r>
    </w:p>
    <w:p>
      <w:pPr>
        <w:spacing w:after="0" w:line="360" w:lineRule="auto"/>
        <w:jc w:val="both"/>
        <w:rPr>
          <w:rFonts w:ascii="Times New Roman" w:hAnsi="Times New Roman"/>
          <w:sz w:val="22"/>
        </w:rPr>
        <w:sectPr>
          <w:headerReference w:type="default" r:id="rId18"/>
          <w:footerReference w:type="default" r:id="rId19"/>
          <w:pgSz w:w="11920" w:h="16860"/>
          <w:pgMar w:header="544" w:footer="302" w:top="1280" w:bottom="500" w:left="780" w:right="280"/>
          <w:pgNumType w:start="11"/>
        </w:sectPr>
      </w:pPr>
    </w:p>
    <w:p>
      <w:pPr>
        <w:pStyle w:val="BodyText"/>
        <w:spacing w:before="9"/>
        <w:rPr>
          <w:rFonts w:ascii="Times New Roman"/>
          <w:sz w:val="6"/>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360" w:lineRule="auto" w:before="0"/>
        <w:ind w:left="139" w:right="143" w:firstLine="708"/>
        <w:jc w:val="both"/>
        <w:rPr>
          <w:rFonts w:ascii="Times New Roman" w:hAnsi="Times New Roman"/>
          <w:sz w:val="22"/>
        </w:rPr>
      </w:pPr>
      <w:r>
        <w:rPr>
          <w:rFonts w:ascii="Times New Roman" w:hAnsi="Times New Roman"/>
          <w:sz w:val="22"/>
        </w:rPr>
        <w:t>Já o consumo da classe comercial registrou queda de 1,66%, enquanto a classe industrial apresentou decréscimo de</w:t>
      </w:r>
      <w:r>
        <w:rPr>
          <w:rFonts w:ascii="Times New Roman" w:hAnsi="Times New Roman"/>
          <w:spacing w:val="-6"/>
          <w:sz w:val="22"/>
        </w:rPr>
        <w:t> </w:t>
      </w:r>
      <w:r>
        <w:rPr>
          <w:rFonts w:ascii="Times New Roman" w:hAnsi="Times New Roman"/>
          <w:sz w:val="22"/>
        </w:rPr>
        <w:t>21,28%</w:t>
      </w:r>
      <w:r>
        <w:rPr>
          <w:rFonts w:ascii="Times New Roman" w:hAnsi="Times New Roman"/>
          <w:spacing w:val="-5"/>
          <w:sz w:val="22"/>
        </w:rPr>
        <w:t> </w:t>
      </w:r>
      <w:r>
        <w:rPr>
          <w:rFonts w:ascii="Times New Roman" w:hAnsi="Times New Roman"/>
          <w:sz w:val="22"/>
        </w:rPr>
        <w:t>em</w:t>
      </w:r>
      <w:r>
        <w:rPr>
          <w:rFonts w:ascii="Times New Roman" w:hAnsi="Times New Roman"/>
          <w:spacing w:val="-8"/>
          <w:sz w:val="22"/>
        </w:rPr>
        <w:t> </w:t>
      </w:r>
      <w:r>
        <w:rPr>
          <w:rFonts w:ascii="Times New Roman" w:hAnsi="Times New Roman"/>
          <w:sz w:val="22"/>
        </w:rPr>
        <w:t>relação</w:t>
      </w:r>
      <w:r>
        <w:rPr>
          <w:rFonts w:ascii="Times New Roman" w:hAnsi="Times New Roman"/>
          <w:spacing w:val="-6"/>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2018,</w:t>
      </w:r>
      <w:r>
        <w:rPr>
          <w:rFonts w:ascii="Times New Roman" w:hAnsi="Times New Roman"/>
          <w:spacing w:val="-6"/>
          <w:sz w:val="22"/>
        </w:rPr>
        <w:t> </w:t>
      </w:r>
      <w:r>
        <w:rPr>
          <w:rFonts w:ascii="Times New Roman" w:hAnsi="Times New Roman"/>
          <w:sz w:val="22"/>
        </w:rPr>
        <w:t>representando</w:t>
      </w:r>
      <w:r>
        <w:rPr>
          <w:rFonts w:ascii="Times New Roman" w:hAnsi="Times New Roman"/>
          <w:spacing w:val="-5"/>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redução</w:t>
      </w:r>
      <w:r>
        <w:rPr>
          <w:rFonts w:ascii="Times New Roman" w:hAnsi="Times New Roman"/>
          <w:spacing w:val="-7"/>
          <w:sz w:val="22"/>
        </w:rPr>
        <w:t> </w:t>
      </w:r>
      <w:r>
        <w:rPr>
          <w:rFonts w:ascii="Times New Roman" w:hAnsi="Times New Roman"/>
          <w:sz w:val="22"/>
        </w:rPr>
        <w:t>mais</w:t>
      </w:r>
      <w:r>
        <w:rPr>
          <w:rFonts w:ascii="Times New Roman" w:hAnsi="Times New Roman"/>
          <w:spacing w:val="-5"/>
          <w:sz w:val="22"/>
        </w:rPr>
        <w:t> </w:t>
      </w:r>
      <w:r>
        <w:rPr>
          <w:rFonts w:ascii="Times New Roman" w:hAnsi="Times New Roman"/>
          <w:sz w:val="22"/>
        </w:rPr>
        <w:t>significativa,</w:t>
      </w:r>
      <w:r>
        <w:rPr>
          <w:rFonts w:ascii="Times New Roman" w:hAnsi="Times New Roman"/>
          <w:spacing w:val="-6"/>
          <w:sz w:val="22"/>
        </w:rPr>
        <w:t> </w:t>
      </w:r>
      <w:r>
        <w:rPr>
          <w:rFonts w:ascii="Times New Roman" w:hAnsi="Times New Roman"/>
          <w:sz w:val="22"/>
        </w:rPr>
        <w:t>mantendo</w:t>
      </w:r>
      <w:r>
        <w:rPr>
          <w:rFonts w:ascii="Times New Roman" w:hAnsi="Times New Roman"/>
          <w:spacing w:val="-6"/>
          <w:sz w:val="22"/>
        </w:rPr>
        <w:t> </w:t>
      </w:r>
      <w:r>
        <w:rPr>
          <w:rFonts w:ascii="Times New Roman" w:hAnsi="Times New Roman"/>
          <w:sz w:val="22"/>
        </w:rPr>
        <w:t>a</w:t>
      </w:r>
      <w:r>
        <w:rPr>
          <w:rFonts w:ascii="Times New Roman" w:hAnsi="Times New Roman"/>
          <w:spacing w:val="-5"/>
          <w:sz w:val="22"/>
        </w:rPr>
        <w:t> </w:t>
      </w:r>
      <w:r>
        <w:rPr>
          <w:rFonts w:ascii="Times New Roman" w:hAnsi="Times New Roman"/>
          <w:sz w:val="22"/>
        </w:rPr>
        <w:t>tendência</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queda</w:t>
      </w:r>
      <w:r>
        <w:rPr>
          <w:rFonts w:ascii="Times New Roman" w:hAnsi="Times New Roman"/>
          <w:spacing w:val="-5"/>
          <w:sz w:val="22"/>
        </w:rPr>
        <w:t> </w:t>
      </w:r>
      <w:r>
        <w:rPr>
          <w:rFonts w:ascii="Times New Roman" w:hAnsi="Times New Roman"/>
          <w:sz w:val="22"/>
        </w:rPr>
        <w:t>observada</w:t>
      </w:r>
      <w:r>
        <w:rPr>
          <w:rFonts w:ascii="Times New Roman" w:hAnsi="Times New Roman"/>
          <w:spacing w:val="-6"/>
          <w:sz w:val="22"/>
        </w:rPr>
        <w:t> </w:t>
      </w:r>
      <w:r>
        <w:rPr>
          <w:rFonts w:ascii="Times New Roman" w:hAnsi="Times New Roman"/>
          <w:sz w:val="22"/>
        </w:rPr>
        <w:t>nos últimos</w:t>
      </w:r>
      <w:r>
        <w:rPr>
          <w:rFonts w:ascii="Times New Roman" w:hAnsi="Times New Roman"/>
          <w:spacing w:val="-1"/>
          <w:sz w:val="22"/>
        </w:rPr>
        <w:t> </w:t>
      </w:r>
      <w:r>
        <w:rPr>
          <w:rFonts w:ascii="Times New Roman" w:hAnsi="Times New Roman"/>
          <w:sz w:val="22"/>
        </w:rPr>
        <w:t>anos.</w:t>
      </w:r>
    </w:p>
    <w:p>
      <w:pPr>
        <w:pStyle w:val="BodyText"/>
        <w:spacing w:before="9"/>
        <w:rPr>
          <w:rFonts w:ascii="Times New Roman"/>
        </w:rPr>
      </w:pPr>
    </w:p>
    <w:p>
      <w:pPr>
        <w:spacing w:line="360" w:lineRule="auto" w:before="0"/>
        <w:ind w:left="139" w:right="139" w:firstLine="708"/>
        <w:jc w:val="both"/>
        <w:rPr>
          <w:rFonts w:ascii="Times New Roman" w:hAnsi="Times New Roman"/>
          <w:sz w:val="22"/>
        </w:rPr>
      </w:pPr>
      <w:r>
        <w:rPr>
          <w:rFonts w:ascii="Times New Roman" w:hAnsi="Times New Roman"/>
          <w:sz w:val="22"/>
        </w:rPr>
        <w:t>A forte queda nessas classes pode ser explicada, principalmente, pela migração de clientes ambiente cativo para o ACL. Isso resultou no crescimento de 6,7% na classe industrial e 4,7% na comercial dos consumidores livres, no período.</w:t>
      </w:r>
    </w:p>
    <w:p>
      <w:pPr>
        <w:pStyle w:val="BodyText"/>
        <w:spacing w:before="9"/>
        <w:rPr>
          <w:rFonts w:ascii="Times New Roman"/>
        </w:rPr>
      </w:pPr>
    </w:p>
    <w:p>
      <w:pPr>
        <w:spacing w:line="360" w:lineRule="auto" w:before="1"/>
        <w:ind w:left="139" w:right="137" w:firstLine="708"/>
        <w:jc w:val="both"/>
        <w:rPr>
          <w:rFonts w:ascii="Times New Roman" w:hAnsi="Times New Roman"/>
          <w:sz w:val="22"/>
        </w:rPr>
      </w:pPr>
      <w:r>
        <w:rPr>
          <w:rFonts w:ascii="Times New Roman" w:hAnsi="Times New Roman"/>
          <w:sz w:val="22"/>
        </w:rPr>
        <w:t>A redução da classe iluminação pública decorre basicamente de dois fatores: a substituição gradativa para lâmpadas de LED e a redução do tempo médio dos pontos de iluminação para o faturamento, que saiu de 11:52hrs para 11:27hrs, a partir de agosto de 2019, conforme a aplicação da alteração do Art. 24 da Resolução Nº 414/2010-ANEEL, o qual foi objeto de Audiência Pública e que normatizou o faturamento de iluminação</w:t>
      </w:r>
      <w:r>
        <w:rPr>
          <w:rFonts w:ascii="Times New Roman" w:hAnsi="Times New Roman"/>
          <w:spacing w:val="-11"/>
          <w:sz w:val="22"/>
        </w:rPr>
        <w:t> </w:t>
      </w:r>
      <w:r>
        <w:rPr>
          <w:rFonts w:ascii="Times New Roman" w:hAnsi="Times New Roman"/>
          <w:sz w:val="22"/>
        </w:rPr>
        <w:t>pública.</w:t>
      </w:r>
    </w:p>
    <w:p>
      <w:pPr>
        <w:pStyle w:val="BodyText"/>
        <w:rPr>
          <w:rFonts w:ascii="Times New Roman"/>
          <w:sz w:val="21"/>
        </w:rPr>
      </w:pPr>
    </w:p>
    <w:p>
      <w:pPr>
        <w:spacing w:line="360" w:lineRule="auto" w:before="0"/>
        <w:ind w:left="139" w:right="137" w:firstLine="708"/>
        <w:jc w:val="both"/>
        <w:rPr>
          <w:rFonts w:ascii="Times New Roman" w:hAnsi="Times New Roman"/>
          <w:sz w:val="22"/>
        </w:rPr>
      </w:pPr>
      <w:r>
        <w:rPr>
          <w:rFonts w:ascii="Times New Roman" w:hAnsi="Times New Roman"/>
          <w:sz w:val="22"/>
        </w:rPr>
        <w:t>Em</w:t>
      </w:r>
      <w:r>
        <w:rPr>
          <w:rFonts w:ascii="Times New Roman" w:hAnsi="Times New Roman"/>
          <w:spacing w:val="-14"/>
          <w:sz w:val="22"/>
        </w:rPr>
        <w:t> </w:t>
      </w:r>
      <w:r>
        <w:rPr>
          <w:rFonts w:ascii="Times New Roman" w:hAnsi="Times New Roman"/>
          <w:sz w:val="22"/>
        </w:rPr>
        <w:t>2019,</w:t>
      </w:r>
      <w:r>
        <w:rPr>
          <w:rFonts w:ascii="Times New Roman" w:hAnsi="Times New Roman"/>
          <w:spacing w:val="-9"/>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CEB-DIS</w:t>
      </w:r>
      <w:r>
        <w:rPr>
          <w:rFonts w:ascii="Times New Roman" w:hAnsi="Times New Roman"/>
          <w:spacing w:val="-9"/>
          <w:sz w:val="22"/>
        </w:rPr>
        <w:t> </w:t>
      </w:r>
      <w:r>
        <w:rPr>
          <w:rFonts w:ascii="Times New Roman" w:hAnsi="Times New Roman"/>
          <w:sz w:val="22"/>
        </w:rPr>
        <w:t>apurou</w:t>
      </w:r>
      <w:r>
        <w:rPr>
          <w:rFonts w:ascii="Times New Roman" w:hAnsi="Times New Roman"/>
          <w:spacing w:val="-9"/>
          <w:sz w:val="22"/>
        </w:rPr>
        <w:t> </w:t>
      </w:r>
      <w:r>
        <w:rPr>
          <w:rFonts w:ascii="Times New Roman" w:hAnsi="Times New Roman"/>
          <w:sz w:val="22"/>
        </w:rPr>
        <w:t>14,14%</w:t>
      </w:r>
      <w:r>
        <w:rPr>
          <w:rFonts w:ascii="Times New Roman" w:hAnsi="Times New Roman"/>
          <w:spacing w:val="36"/>
          <w:sz w:val="22"/>
        </w:rPr>
        <w:t> </w:t>
      </w:r>
      <w:r>
        <w:rPr>
          <w:rFonts w:ascii="Times New Roman" w:hAnsi="Times New Roman"/>
          <w:sz w:val="22"/>
        </w:rPr>
        <w:t>(1.083,1</w:t>
      </w:r>
      <w:r>
        <w:rPr>
          <w:rFonts w:ascii="Times New Roman" w:hAnsi="Times New Roman"/>
          <w:spacing w:val="-11"/>
          <w:sz w:val="22"/>
        </w:rPr>
        <w:t> </w:t>
      </w:r>
      <w:r>
        <w:rPr>
          <w:rFonts w:ascii="Times New Roman" w:hAnsi="Times New Roman"/>
          <w:sz w:val="22"/>
        </w:rPr>
        <w:t>GWh)</w:t>
      </w:r>
      <w:r>
        <w:rPr>
          <w:rFonts w:ascii="Times New Roman" w:hAnsi="Times New Roman"/>
          <w:spacing w:val="-10"/>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Perdas</w:t>
      </w:r>
      <w:r>
        <w:rPr>
          <w:rFonts w:ascii="Times New Roman" w:hAnsi="Times New Roman"/>
          <w:spacing w:val="-13"/>
          <w:sz w:val="22"/>
        </w:rPr>
        <w:t> </w:t>
      </w:r>
      <w:r>
        <w:rPr>
          <w:rFonts w:ascii="Times New Roman" w:hAnsi="Times New Roman"/>
          <w:sz w:val="22"/>
        </w:rPr>
        <w:t>Totais</w:t>
      </w:r>
      <w:r>
        <w:rPr>
          <w:rFonts w:ascii="Times New Roman" w:hAnsi="Times New Roman"/>
          <w:spacing w:val="-8"/>
          <w:sz w:val="22"/>
        </w:rPr>
        <w:t> </w:t>
      </w:r>
      <w:r>
        <w:rPr>
          <w:rFonts w:ascii="Times New Roman" w:hAnsi="Times New Roman"/>
          <w:sz w:val="22"/>
        </w:rPr>
        <w:t>na</w:t>
      </w:r>
      <w:r>
        <w:rPr>
          <w:rFonts w:ascii="Times New Roman" w:hAnsi="Times New Roman"/>
          <w:spacing w:val="-8"/>
          <w:sz w:val="22"/>
        </w:rPr>
        <w:t> </w:t>
      </w:r>
      <w:r>
        <w:rPr>
          <w:rFonts w:ascii="Times New Roman" w:hAnsi="Times New Roman"/>
          <w:sz w:val="22"/>
        </w:rPr>
        <w:t>Distribuição</w:t>
      </w:r>
      <w:r>
        <w:rPr>
          <w:rFonts w:ascii="Times New Roman" w:hAnsi="Times New Roman"/>
          <w:spacing w:val="-11"/>
          <w:sz w:val="22"/>
        </w:rPr>
        <w:t> </w:t>
      </w:r>
      <w:r>
        <w:rPr>
          <w:rFonts w:ascii="Times New Roman" w:hAnsi="Times New Roman"/>
          <w:sz w:val="22"/>
        </w:rPr>
        <w:t>(Técnicas</w:t>
      </w:r>
      <w:r>
        <w:rPr>
          <w:rFonts w:ascii="Times New Roman" w:hAnsi="Times New Roman"/>
          <w:spacing w:val="-10"/>
          <w:sz w:val="22"/>
        </w:rPr>
        <w:t> </w:t>
      </w:r>
      <w:r>
        <w:rPr>
          <w:rFonts w:ascii="Times New Roman" w:hAnsi="Times New Roman"/>
          <w:sz w:val="22"/>
        </w:rPr>
        <w:t>e</w:t>
      </w:r>
      <w:r>
        <w:rPr>
          <w:rFonts w:ascii="Times New Roman" w:hAnsi="Times New Roman"/>
          <w:spacing w:val="-9"/>
          <w:sz w:val="22"/>
        </w:rPr>
        <w:t> </w:t>
      </w:r>
      <w:r>
        <w:rPr>
          <w:rFonts w:ascii="Times New Roman" w:hAnsi="Times New Roman"/>
          <w:sz w:val="22"/>
        </w:rPr>
        <w:t>Não</w:t>
      </w:r>
      <w:r>
        <w:rPr>
          <w:rFonts w:ascii="Times New Roman" w:hAnsi="Times New Roman"/>
          <w:spacing w:val="-11"/>
          <w:sz w:val="22"/>
        </w:rPr>
        <w:t> </w:t>
      </w:r>
      <w:r>
        <w:rPr>
          <w:rFonts w:ascii="Times New Roman" w:hAnsi="Times New Roman"/>
          <w:sz w:val="22"/>
        </w:rPr>
        <w:t>Técnicas sobre Energia Injetada) contra 12,41% (910,7 GWh), em 2018, enquanto o nível de perdas regulatória saiu de 11,26% (826,0 GWh) para 11,09% (849,4 GWh), no mesmo período. Essa diferença, para o nível regulatório, resultou em um custo</w:t>
      </w:r>
      <w:r>
        <w:rPr>
          <w:rFonts w:ascii="Times New Roman" w:hAnsi="Times New Roman"/>
          <w:spacing w:val="-6"/>
          <w:sz w:val="22"/>
        </w:rPr>
        <w:t> </w:t>
      </w:r>
      <w:r>
        <w:rPr>
          <w:rFonts w:ascii="Times New Roman" w:hAnsi="Times New Roman"/>
          <w:sz w:val="22"/>
        </w:rPr>
        <w:t>adicional</w:t>
      </w:r>
      <w:r>
        <w:rPr>
          <w:rFonts w:ascii="Times New Roman" w:hAnsi="Times New Roman"/>
          <w:spacing w:val="-4"/>
          <w:sz w:val="22"/>
        </w:rPr>
        <w:t> </w:t>
      </w:r>
      <w:r>
        <w:rPr>
          <w:rFonts w:ascii="Times New Roman" w:hAnsi="Times New Roman"/>
          <w:sz w:val="22"/>
        </w:rPr>
        <w:t>na</w:t>
      </w:r>
      <w:r>
        <w:rPr>
          <w:rFonts w:ascii="Times New Roman" w:hAnsi="Times New Roman"/>
          <w:spacing w:val="-3"/>
          <w:sz w:val="22"/>
        </w:rPr>
        <w:t> </w:t>
      </w:r>
      <w:r>
        <w:rPr>
          <w:rFonts w:ascii="Times New Roman" w:hAnsi="Times New Roman"/>
          <w:sz w:val="22"/>
        </w:rPr>
        <w:t>compra</w:t>
      </w:r>
      <w:r>
        <w:rPr>
          <w:rFonts w:ascii="Times New Roman" w:hAnsi="Times New Roman"/>
          <w:spacing w:val="-5"/>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energia</w:t>
      </w:r>
      <w:r>
        <w:rPr>
          <w:rFonts w:ascii="Times New Roman" w:hAnsi="Times New Roman"/>
          <w:spacing w:val="-2"/>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R$</w:t>
      </w:r>
      <w:r>
        <w:rPr>
          <w:rFonts w:ascii="Times New Roman" w:hAnsi="Times New Roman"/>
          <w:spacing w:val="-3"/>
          <w:sz w:val="22"/>
        </w:rPr>
        <w:t> </w:t>
      </w:r>
      <w:r>
        <w:rPr>
          <w:rFonts w:ascii="Times New Roman" w:hAnsi="Times New Roman"/>
          <w:sz w:val="22"/>
        </w:rPr>
        <w:t>41,6</w:t>
      </w:r>
      <w:r>
        <w:rPr>
          <w:rFonts w:ascii="Times New Roman" w:hAnsi="Times New Roman"/>
          <w:spacing w:val="-4"/>
          <w:sz w:val="22"/>
        </w:rPr>
        <w:t> </w:t>
      </w:r>
      <w:r>
        <w:rPr>
          <w:rFonts w:ascii="Times New Roman" w:hAnsi="Times New Roman"/>
          <w:sz w:val="22"/>
        </w:rPr>
        <w:t>milhões</w:t>
      </w:r>
      <w:r>
        <w:rPr>
          <w:rFonts w:ascii="Times New Roman" w:hAnsi="Times New Roman"/>
          <w:spacing w:val="-2"/>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2019</w:t>
      </w:r>
      <w:r>
        <w:rPr>
          <w:rFonts w:ascii="Times New Roman" w:hAnsi="Times New Roman"/>
          <w:spacing w:val="-3"/>
          <w:sz w:val="22"/>
        </w:rPr>
        <w:t> </w:t>
      </w:r>
      <w:r>
        <w:rPr>
          <w:rFonts w:ascii="Times New Roman" w:hAnsi="Times New Roman"/>
          <w:sz w:val="22"/>
        </w:rPr>
        <w:t>contra</w:t>
      </w:r>
      <w:r>
        <w:rPr>
          <w:rFonts w:ascii="Times New Roman" w:hAnsi="Times New Roman"/>
          <w:spacing w:val="-2"/>
          <w:sz w:val="22"/>
        </w:rPr>
        <w:t> </w:t>
      </w:r>
      <w:r>
        <w:rPr>
          <w:rFonts w:ascii="Times New Roman" w:hAnsi="Times New Roman"/>
          <w:sz w:val="22"/>
        </w:rPr>
        <w:t>R$</w:t>
      </w:r>
      <w:r>
        <w:rPr>
          <w:rFonts w:ascii="Times New Roman" w:hAnsi="Times New Roman"/>
          <w:spacing w:val="-4"/>
          <w:sz w:val="22"/>
        </w:rPr>
        <w:t> </w:t>
      </w:r>
      <w:r>
        <w:rPr>
          <w:rFonts w:ascii="Times New Roman" w:hAnsi="Times New Roman"/>
          <w:sz w:val="22"/>
        </w:rPr>
        <w:t>23,0</w:t>
      </w:r>
      <w:r>
        <w:rPr>
          <w:rFonts w:ascii="Times New Roman" w:hAnsi="Times New Roman"/>
          <w:spacing w:val="-3"/>
          <w:sz w:val="22"/>
        </w:rPr>
        <w:t> </w:t>
      </w:r>
      <w:r>
        <w:rPr>
          <w:rFonts w:ascii="Times New Roman" w:hAnsi="Times New Roman"/>
          <w:sz w:val="22"/>
        </w:rPr>
        <w:t>milhões</w:t>
      </w:r>
      <w:r>
        <w:rPr>
          <w:rFonts w:ascii="Times New Roman" w:hAnsi="Times New Roman"/>
          <w:spacing w:val="-3"/>
          <w:sz w:val="22"/>
        </w:rPr>
        <w:t> </w:t>
      </w:r>
      <w:r>
        <w:rPr>
          <w:rFonts w:ascii="Times New Roman" w:hAnsi="Times New Roman"/>
          <w:sz w:val="22"/>
        </w:rPr>
        <w:t>em</w:t>
      </w:r>
      <w:r>
        <w:rPr>
          <w:rFonts w:ascii="Times New Roman" w:hAnsi="Times New Roman"/>
          <w:spacing w:val="-6"/>
          <w:sz w:val="22"/>
        </w:rPr>
        <w:t> </w:t>
      </w:r>
      <w:r>
        <w:rPr>
          <w:rFonts w:ascii="Times New Roman" w:hAnsi="Times New Roman"/>
          <w:sz w:val="22"/>
        </w:rPr>
        <w:t>2018,</w:t>
      </w:r>
      <w:r>
        <w:rPr>
          <w:rFonts w:ascii="Times New Roman" w:hAnsi="Times New Roman"/>
          <w:spacing w:val="2"/>
          <w:sz w:val="22"/>
        </w:rPr>
        <w:t> </w:t>
      </w:r>
      <w:r>
        <w:rPr>
          <w:rFonts w:ascii="Times New Roman" w:hAnsi="Times New Roman"/>
          <w:sz w:val="22"/>
        </w:rPr>
        <w:t>sem</w:t>
      </w:r>
      <w:r>
        <w:rPr>
          <w:rFonts w:ascii="Times New Roman" w:hAnsi="Times New Roman"/>
          <w:spacing w:val="-6"/>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possibilidade de repasse ao consumidor impactando negativamente o Resultado antes da Parcela</w:t>
      </w:r>
      <w:r>
        <w:rPr>
          <w:rFonts w:ascii="Times New Roman" w:hAnsi="Times New Roman"/>
          <w:spacing w:val="-7"/>
          <w:sz w:val="22"/>
        </w:rPr>
        <w:t> </w:t>
      </w:r>
      <w:r>
        <w:rPr>
          <w:rFonts w:ascii="Times New Roman" w:hAnsi="Times New Roman"/>
          <w:sz w:val="22"/>
        </w:rPr>
        <w:t>B.</w:t>
      </w:r>
    </w:p>
    <w:p>
      <w:pPr>
        <w:pStyle w:val="BodyText"/>
        <w:spacing w:before="2"/>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CEB Geração S.A.</w:t>
      </w:r>
    </w:p>
    <w:p>
      <w:pPr>
        <w:pStyle w:val="BodyText"/>
        <w:spacing w:before="6"/>
        <w:rPr>
          <w:rFonts w:ascii="Times New Roman"/>
          <w:b/>
        </w:rPr>
      </w:pPr>
    </w:p>
    <w:p>
      <w:pPr>
        <w:spacing w:line="360" w:lineRule="auto" w:before="1"/>
        <w:ind w:left="139" w:right="144" w:firstLine="708"/>
        <w:jc w:val="both"/>
        <w:rPr>
          <w:rFonts w:ascii="Times New Roman" w:hAnsi="Times New Roman"/>
          <w:sz w:val="22"/>
        </w:rPr>
      </w:pPr>
      <w:r>
        <w:rPr>
          <w:rFonts w:ascii="Times New Roman" w:hAnsi="Times New Roman"/>
          <w:sz w:val="22"/>
        </w:rPr>
        <w:t>A CEB Geração S/A é uma concessionária na condição de Produtora Independente, obtendo sua receita operacional exclusivamente da venda de energia da PCH Paranoá.</w:t>
      </w:r>
    </w:p>
    <w:p>
      <w:pPr>
        <w:pStyle w:val="BodyText"/>
        <w:spacing w:before="9"/>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A receita operacional líquida da Companhia, em 2019, totalizou R$ 24.597 mil, com aumento em 34,37% em relação ao ano de 2018. Tal variação justifica-se, principalmente, pelo aumento da receita do Mercado de Curto Prazo – MCP e pela realização de dois leilões de venda de energia no Ambiente de Contratação Livre – ACL.</w:t>
      </w:r>
    </w:p>
    <w:p>
      <w:pPr>
        <w:pStyle w:val="BodyText"/>
        <w:spacing w:before="10"/>
        <w:rPr>
          <w:rFonts w:ascii="Times New Roman"/>
        </w:rPr>
      </w:pPr>
    </w:p>
    <w:p>
      <w:pPr>
        <w:spacing w:line="360" w:lineRule="auto" w:before="0"/>
        <w:ind w:left="139" w:right="132" w:firstLine="708"/>
        <w:jc w:val="both"/>
        <w:rPr>
          <w:rFonts w:ascii="Times New Roman" w:hAnsi="Times New Roman"/>
          <w:sz w:val="22"/>
        </w:rPr>
      </w:pPr>
      <w:r>
        <w:rPr>
          <w:rFonts w:ascii="Times New Roman" w:hAnsi="Times New Roman"/>
          <w:sz w:val="22"/>
        </w:rPr>
        <w:t>Embora apresente aumento na receita líquida do ano 2019, ocorreu diminuição no lucro líquido no exercício encerrado, com relação a 2018, alusivo ao ganho auferido com a venda promovida pela CEB Geração de um terreno em que se encontra instalada a Substação SE 08 no SIA, cujo valor não recorrente foi apropriado no balanço de 2018 (R$</w:t>
      </w:r>
    </w:p>
    <w:p>
      <w:pPr>
        <w:spacing w:before="1"/>
        <w:ind w:left="139" w:right="0" w:firstLine="0"/>
        <w:jc w:val="both"/>
        <w:rPr>
          <w:rFonts w:ascii="Times New Roman"/>
          <w:sz w:val="22"/>
        </w:rPr>
      </w:pPr>
      <w:r>
        <w:rPr>
          <w:rFonts w:ascii="Times New Roman"/>
          <w:sz w:val="22"/>
        </w:rPr>
        <w:t>76.100 mil).</w:t>
      </w:r>
    </w:p>
    <w:p>
      <w:pPr>
        <w:pStyle w:val="BodyText"/>
        <w:rPr>
          <w:rFonts w:ascii="Times New Roman"/>
        </w:rPr>
      </w:pPr>
    </w:p>
    <w:p>
      <w:pPr>
        <w:pStyle w:val="BodyText"/>
        <w:spacing w:before="2"/>
        <w:rPr>
          <w:rFonts w:ascii="Times New Roman"/>
          <w:sz w:val="27"/>
        </w:rPr>
      </w:pPr>
      <w:r>
        <w:rPr/>
        <w:drawing>
          <wp:anchor distT="0" distB="0" distL="0" distR="0" allowOverlap="1" layoutInCell="1" locked="0" behindDoc="0" simplePos="0" relativeHeight="19">
            <wp:simplePos x="0" y="0"/>
            <wp:positionH relativeFrom="page">
              <wp:posOffset>1558925</wp:posOffset>
            </wp:positionH>
            <wp:positionV relativeFrom="paragraph">
              <wp:posOffset>223263</wp:posOffset>
            </wp:positionV>
            <wp:extent cx="4734576" cy="1895379"/>
            <wp:effectExtent l="0" t="0" r="0" b="0"/>
            <wp:wrapTopAndBottom/>
            <wp:docPr id="29" name="image8.png"/>
            <wp:cNvGraphicFramePr>
              <a:graphicFrameLocks noChangeAspect="1"/>
            </wp:cNvGraphicFramePr>
            <a:graphic>
              <a:graphicData uri="http://schemas.openxmlformats.org/drawingml/2006/picture">
                <pic:pic>
                  <pic:nvPicPr>
                    <pic:cNvPr id="30" name="image8.png"/>
                    <pic:cNvPicPr/>
                  </pic:nvPicPr>
                  <pic:blipFill>
                    <a:blip r:embed="rId20" cstate="print"/>
                    <a:stretch>
                      <a:fillRect/>
                    </a:stretch>
                  </pic:blipFill>
                  <pic:spPr>
                    <a:xfrm>
                      <a:off x="0" y="0"/>
                      <a:ext cx="4734576" cy="1895379"/>
                    </a:xfrm>
                    <a:prstGeom prst="rect">
                      <a:avLst/>
                    </a:prstGeom>
                  </pic:spPr>
                </pic:pic>
              </a:graphicData>
            </a:graphic>
          </wp:anchor>
        </w:drawing>
      </w:r>
    </w:p>
    <w:p>
      <w:pPr>
        <w:spacing w:after="0"/>
        <w:rPr>
          <w:rFonts w:ascii="Times New Roman"/>
          <w:sz w:val="27"/>
        </w:rPr>
        <w:sectPr>
          <w:pgSz w:w="11920" w:h="16860"/>
          <w:pgMar w:header="544" w:footer="302" w:top="1280" w:bottom="500" w:left="780" w:right="280"/>
        </w:sectPr>
      </w:pPr>
    </w:p>
    <w:p>
      <w:pPr>
        <w:pStyle w:val="BodyText"/>
        <w:rPr>
          <w:rFonts w:ascii="Times New Roman"/>
        </w:rPr>
      </w:pPr>
    </w:p>
    <w:p>
      <w:pPr>
        <w:pStyle w:val="BodyText"/>
        <w:spacing w:before="5"/>
        <w:rPr>
          <w:rFonts w:ascii="Times New Roman"/>
          <w:sz w:val="24"/>
        </w:rPr>
      </w:pPr>
    </w:p>
    <w:p>
      <w:pPr>
        <w:spacing w:line="360" w:lineRule="auto" w:before="92"/>
        <w:ind w:left="139" w:right="136" w:firstLine="708"/>
        <w:jc w:val="both"/>
        <w:rPr>
          <w:rFonts w:ascii="Times New Roman" w:hAnsi="Times New Roman"/>
          <w:sz w:val="22"/>
        </w:rPr>
      </w:pPr>
      <w:r>
        <w:rPr>
          <w:rFonts w:ascii="Times New Roman" w:hAnsi="Times New Roman"/>
          <w:sz w:val="22"/>
        </w:rPr>
        <w:t>Do ponto de vista das despesas operacionais, ocorreu o aumento na rubrica de serviços de terceiros em 27,04%, em</w:t>
      </w:r>
      <w:r>
        <w:rPr>
          <w:rFonts w:ascii="Times New Roman" w:hAnsi="Times New Roman"/>
          <w:spacing w:val="-7"/>
          <w:sz w:val="22"/>
        </w:rPr>
        <w:t> </w:t>
      </w:r>
      <w:r>
        <w:rPr>
          <w:rFonts w:ascii="Times New Roman" w:hAnsi="Times New Roman"/>
          <w:sz w:val="22"/>
        </w:rPr>
        <w:t>função</w:t>
      </w:r>
      <w:r>
        <w:rPr>
          <w:rFonts w:ascii="Times New Roman" w:hAnsi="Times New Roman"/>
          <w:spacing w:val="-4"/>
          <w:sz w:val="22"/>
        </w:rPr>
        <w:t> </w:t>
      </w:r>
      <w:r>
        <w:rPr>
          <w:rFonts w:ascii="Times New Roman" w:hAnsi="Times New Roman"/>
          <w:sz w:val="22"/>
        </w:rPr>
        <w:t>dos</w:t>
      </w:r>
      <w:r>
        <w:rPr>
          <w:rFonts w:ascii="Times New Roman" w:hAnsi="Times New Roman"/>
          <w:spacing w:val="-5"/>
          <w:sz w:val="22"/>
        </w:rPr>
        <w:t> </w:t>
      </w:r>
      <w:r>
        <w:rPr>
          <w:rFonts w:ascii="Times New Roman" w:hAnsi="Times New Roman"/>
          <w:sz w:val="22"/>
        </w:rPr>
        <w:t>ajustes</w:t>
      </w:r>
      <w:r>
        <w:rPr>
          <w:rFonts w:ascii="Times New Roman" w:hAnsi="Times New Roman"/>
          <w:spacing w:val="-2"/>
          <w:sz w:val="22"/>
        </w:rPr>
        <w:t> </w:t>
      </w:r>
      <w:r>
        <w:rPr>
          <w:rFonts w:ascii="Times New Roman" w:hAnsi="Times New Roman"/>
          <w:sz w:val="22"/>
        </w:rPr>
        <w:t>nos</w:t>
      </w:r>
      <w:r>
        <w:rPr>
          <w:rFonts w:ascii="Times New Roman" w:hAnsi="Times New Roman"/>
          <w:spacing w:val="-3"/>
          <w:sz w:val="22"/>
        </w:rPr>
        <w:t> </w:t>
      </w:r>
      <w:r>
        <w:rPr>
          <w:rFonts w:ascii="Times New Roman" w:hAnsi="Times New Roman"/>
          <w:sz w:val="22"/>
        </w:rPr>
        <w:t>serviços</w:t>
      </w:r>
      <w:r>
        <w:rPr>
          <w:rFonts w:ascii="Times New Roman" w:hAnsi="Times New Roman"/>
          <w:spacing w:val="-5"/>
          <w:sz w:val="22"/>
        </w:rPr>
        <w:t> </w:t>
      </w:r>
      <w:r>
        <w:rPr>
          <w:rFonts w:ascii="Times New Roman" w:hAnsi="Times New Roman"/>
          <w:sz w:val="22"/>
        </w:rPr>
        <w:t>contratados</w:t>
      </w:r>
      <w:r>
        <w:rPr>
          <w:rFonts w:ascii="Times New Roman" w:hAnsi="Times New Roman"/>
          <w:spacing w:val="-3"/>
          <w:sz w:val="22"/>
        </w:rPr>
        <w:t> </w:t>
      </w:r>
      <w:r>
        <w:rPr>
          <w:rFonts w:ascii="Times New Roman" w:hAnsi="Times New Roman"/>
          <w:sz w:val="22"/>
        </w:rPr>
        <w:t>para manter</w:t>
      </w:r>
      <w:r>
        <w:rPr>
          <w:rFonts w:ascii="Times New Roman" w:hAnsi="Times New Roman"/>
          <w:spacing w:val="-5"/>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operar</w:t>
      </w:r>
      <w:r>
        <w:rPr>
          <w:rFonts w:ascii="Times New Roman" w:hAnsi="Times New Roman"/>
          <w:spacing w:val="-2"/>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PCH</w:t>
      </w:r>
      <w:r>
        <w:rPr>
          <w:rFonts w:ascii="Times New Roman" w:hAnsi="Times New Roman"/>
          <w:spacing w:val="-5"/>
          <w:sz w:val="22"/>
        </w:rPr>
        <w:t> </w:t>
      </w:r>
      <w:r>
        <w:rPr>
          <w:rFonts w:ascii="Times New Roman" w:hAnsi="Times New Roman"/>
          <w:sz w:val="22"/>
        </w:rPr>
        <w:t>Paranoá,</w:t>
      </w:r>
      <w:r>
        <w:rPr>
          <w:rFonts w:ascii="Times New Roman" w:hAnsi="Times New Roman"/>
          <w:spacing w:val="-3"/>
          <w:sz w:val="22"/>
        </w:rPr>
        <w:t> </w:t>
      </w:r>
      <w:r>
        <w:rPr>
          <w:rFonts w:ascii="Times New Roman" w:hAnsi="Times New Roman"/>
          <w:sz w:val="22"/>
        </w:rPr>
        <w:t>outros</w:t>
      </w:r>
      <w:r>
        <w:rPr>
          <w:rFonts w:ascii="Times New Roman" w:hAnsi="Times New Roman"/>
          <w:spacing w:val="-4"/>
          <w:sz w:val="22"/>
        </w:rPr>
        <w:t> </w:t>
      </w:r>
      <w:r>
        <w:rPr>
          <w:rFonts w:ascii="Times New Roman" w:hAnsi="Times New Roman"/>
          <w:sz w:val="22"/>
        </w:rPr>
        <w:t>serviços</w:t>
      </w:r>
      <w:r>
        <w:rPr>
          <w:rFonts w:ascii="Times New Roman" w:hAnsi="Times New Roman"/>
          <w:spacing w:val="-1"/>
          <w:sz w:val="22"/>
        </w:rPr>
        <w:t> </w:t>
      </w:r>
      <w:r>
        <w:rPr>
          <w:rFonts w:ascii="Times New Roman" w:hAnsi="Times New Roman"/>
          <w:sz w:val="22"/>
        </w:rPr>
        <w:t>advindos</w:t>
      </w:r>
      <w:r>
        <w:rPr>
          <w:rFonts w:ascii="Times New Roman" w:hAnsi="Times New Roman"/>
          <w:spacing w:val="-5"/>
          <w:sz w:val="22"/>
        </w:rPr>
        <w:t> </w:t>
      </w:r>
      <w:r>
        <w:rPr>
          <w:rFonts w:ascii="Times New Roman" w:hAnsi="Times New Roman"/>
          <w:sz w:val="22"/>
        </w:rPr>
        <w:t>das</w:t>
      </w:r>
      <w:r>
        <w:rPr>
          <w:rFonts w:ascii="Times New Roman" w:hAnsi="Times New Roman"/>
          <w:spacing w:val="-3"/>
          <w:sz w:val="22"/>
        </w:rPr>
        <w:t> </w:t>
      </w:r>
      <w:r>
        <w:rPr>
          <w:rFonts w:ascii="Times New Roman" w:hAnsi="Times New Roman"/>
          <w:sz w:val="22"/>
        </w:rPr>
        <w:t>novas demandas de implementação do Plano de Segurança da Barragem e o aumento do quantitativo de pessoal (empregados em comissão e requisitados de outros órgãos), para a melhora dos trabalhos e controles, conforme previsto no Plano de Negócios.</w:t>
      </w:r>
    </w:p>
    <w:p>
      <w:pPr>
        <w:pStyle w:val="BodyText"/>
        <w:spacing w:before="2"/>
        <w:rPr>
          <w:rFonts w:ascii="Times New Roman"/>
          <w:sz w:val="21"/>
        </w:rPr>
      </w:pPr>
    </w:p>
    <w:p>
      <w:pPr>
        <w:spacing w:before="0"/>
        <w:ind w:left="350" w:right="0" w:firstLine="0"/>
        <w:jc w:val="left"/>
        <w:rPr>
          <w:rFonts w:ascii="Times New Roman"/>
          <w:b/>
          <w:sz w:val="22"/>
        </w:rPr>
      </w:pPr>
      <w:r>
        <w:rPr>
          <w:rFonts w:ascii="Times New Roman"/>
          <w:b/>
          <w:sz w:val="22"/>
        </w:rPr>
        <w:t>CEB Lajeado S.A.</w:t>
      </w:r>
    </w:p>
    <w:p>
      <w:pPr>
        <w:pStyle w:val="BodyText"/>
        <w:spacing w:before="6"/>
        <w:rPr>
          <w:rFonts w:ascii="Times New Roman"/>
          <w:b/>
        </w:rPr>
      </w:pPr>
    </w:p>
    <w:p>
      <w:pPr>
        <w:spacing w:line="360" w:lineRule="auto" w:before="1"/>
        <w:ind w:left="139" w:right="136" w:firstLine="708"/>
        <w:jc w:val="both"/>
        <w:rPr>
          <w:rFonts w:ascii="Times New Roman" w:hAnsi="Times New Roman"/>
          <w:sz w:val="22"/>
        </w:rPr>
      </w:pPr>
      <w:r>
        <w:rPr>
          <w:rFonts w:ascii="Times New Roman" w:hAnsi="Times New Roman"/>
          <w:sz w:val="22"/>
        </w:rPr>
        <w:t>A</w:t>
      </w:r>
      <w:r>
        <w:rPr>
          <w:rFonts w:ascii="Times New Roman" w:hAnsi="Times New Roman"/>
          <w:spacing w:val="-5"/>
          <w:sz w:val="22"/>
        </w:rPr>
        <w:t> </w:t>
      </w:r>
      <w:r>
        <w:rPr>
          <w:rFonts w:ascii="Times New Roman" w:hAnsi="Times New Roman"/>
          <w:sz w:val="22"/>
        </w:rPr>
        <w:t>CEB</w:t>
      </w:r>
      <w:r>
        <w:rPr>
          <w:rFonts w:ascii="Times New Roman" w:hAnsi="Times New Roman"/>
          <w:spacing w:val="-4"/>
          <w:sz w:val="22"/>
        </w:rPr>
        <w:t> </w:t>
      </w:r>
      <w:r>
        <w:rPr>
          <w:rFonts w:ascii="Times New Roman" w:hAnsi="Times New Roman"/>
          <w:sz w:val="22"/>
        </w:rPr>
        <w:t>Lajeado</w:t>
      </w:r>
      <w:r>
        <w:rPr>
          <w:rFonts w:ascii="Times New Roman" w:hAnsi="Times New Roman"/>
          <w:spacing w:val="-2"/>
          <w:sz w:val="22"/>
        </w:rPr>
        <w:t> </w:t>
      </w:r>
      <w:r>
        <w:rPr>
          <w:rFonts w:ascii="Times New Roman" w:hAnsi="Times New Roman"/>
          <w:sz w:val="22"/>
        </w:rPr>
        <w:t>S.A.,</w:t>
      </w:r>
      <w:r>
        <w:rPr>
          <w:rFonts w:ascii="Times New Roman" w:hAnsi="Times New Roman"/>
          <w:spacing w:val="-4"/>
          <w:sz w:val="22"/>
        </w:rPr>
        <w:t> </w:t>
      </w:r>
      <w:r>
        <w:rPr>
          <w:rFonts w:ascii="Times New Roman" w:hAnsi="Times New Roman"/>
          <w:sz w:val="22"/>
        </w:rPr>
        <w:t>em</w:t>
      </w:r>
      <w:r>
        <w:rPr>
          <w:rFonts w:ascii="Times New Roman" w:hAnsi="Times New Roman"/>
          <w:spacing w:val="-6"/>
          <w:sz w:val="22"/>
        </w:rPr>
        <w:t> </w:t>
      </w:r>
      <w:r>
        <w:rPr>
          <w:rFonts w:ascii="Times New Roman" w:hAnsi="Times New Roman"/>
          <w:sz w:val="22"/>
        </w:rPr>
        <w:t>conjunto</w:t>
      </w:r>
      <w:r>
        <w:rPr>
          <w:rFonts w:ascii="Times New Roman" w:hAnsi="Times New Roman"/>
          <w:spacing w:val="-3"/>
          <w:sz w:val="22"/>
        </w:rPr>
        <w:t> </w:t>
      </w:r>
      <w:r>
        <w:rPr>
          <w:rFonts w:ascii="Times New Roman" w:hAnsi="Times New Roman"/>
          <w:sz w:val="22"/>
        </w:rPr>
        <w:t>com</w:t>
      </w:r>
      <w:r>
        <w:rPr>
          <w:rFonts w:ascii="Times New Roman" w:hAnsi="Times New Roman"/>
          <w:spacing w:val="-6"/>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Lajeado</w:t>
      </w:r>
      <w:r>
        <w:rPr>
          <w:rFonts w:ascii="Times New Roman" w:hAnsi="Times New Roman"/>
          <w:spacing w:val="-2"/>
          <w:sz w:val="22"/>
        </w:rPr>
        <w:t> </w:t>
      </w:r>
      <w:r>
        <w:rPr>
          <w:rFonts w:ascii="Times New Roman" w:hAnsi="Times New Roman"/>
          <w:sz w:val="22"/>
        </w:rPr>
        <w:t>Energia</w:t>
      </w:r>
      <w:r>
        <w:rPr>
          <w:rFonts w:ascii="Times New Roman" w:hAnsi="Times New Roman"/>
          <w:spacing w:val="-2"/>
          <w:sz w:val="22"/>
        </w:rPr>
        <w:t> </w:t>
      </w:r>
      <w:r>
        <w:rPr>
          <w:rFonts w:ascii="Times New Roman" w:hAnsi="Times New Roman"/>
          <w:sz w:val="22"/>
        </w:rPr>
        <w:t>S.A.,</w:t>
      </w:r>
      <w:r>
        <w:rPr>
          <w:rFonts w:ascii="Times New Roman" w:hAnsi="Times New Roman"/>
          <w:spacing w:val="-3"/>
          <w:sz w:val="22"/>
        </w:rPr>
        <w:t> </w:t>
      </w:r>
      <w:r>
        <w:rPr>
          <w:rFonts w:ascii="Times New Roman" w:hAnsi="Times New Roman"/>
          <w:sz w:val="22"/>
        </w:rPr>
        <w:t>Paulista</w:t>
      </w:r>
      <w:r>
        <w:rPr>
          <w:rFonts w:ascii="Times New Roman" w:hAnsi="Times New Roman"/>
          <w:spacing w:val="-3"/>
          <w:sz w:val="22"/>
        </w:rPr>
        <w:t> </w:t>
      </w:r>
      <w:r>
        <w:rPr>
          <w:rFonts w:ascii="Times New Roman" w:hAnsi="Times New Roman"/>
          <w:sz w:val="22"/>
        </w:rPr>
        <w:t>Lajeado</w:t>
      </w:r>
      <w:r>
        <w:rPr>
          <w:rFonts w:ascii="Times New Roman" w:hAnsi="Times New Roman"/>
          <w:spacing w:val="-5"/>
          <w:sz w:val="22"/>
        </w:rPr>
        <w:t> </w:t>
      </w:r>
      <w:r>
        <w:rPr>
          <w:rFonts w:ascii="Times New Roman" w:hAnsi="Times New Roman"/>
          <w:sz w:val="22"/>
        </w:rPr>
        <w:t>Energia</w:t>
      </w:r>
      <w:r>
        <w:rPr>
          <w:rFonts w:ascii="Times New Roman" w:hAnsi="Times New Roman"/>
          <w:spacing w:val="-2"/>
          <w:sz w:val="22"/>
        </w:rPr>
        <w:t> </w:t>
      </w:r>
      <w:r>
        <w:rPr>
          <w:rFonts w:ascii="Times New Roman" w:hAnsi="Times New Roman"/>
          <w:sz w:val="22"/>
        </w:rPr>
        <w:t>S.A.</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a</w:t>
      </w:r>
      <w:r>
        <w:rPr>
          <w:rFonts w:ascii="Times New Roman" w:hAnsi="Times New Roman"/>
          <w:spacing w:val="-2"/>
          <w:sz w:val="22"/>
        </w:rPr>
        <w:t> </w:t>
      </w:r>
      <w:r>
        <w:rPr>
          <w:rFonts w:ascii="Times New Roman" w:hAnsi="Times New Roman"/>
          <w:sz w:val="22"/>
        </w:rPr>
        <w:t>Investco</w:t>
      </w:r>
      <w:r>
        <w:rPr>
          <w:rFonts w:ascii="Times New Roman" w:hAnsi="Times New Roman"/>
          <w:spacing w:val="-2"/>
          <w:sz w:val="22"/>
        </w:rPr>
        <w:t> </w:t>
      </w:r>
      <w:r>
        <w:rPr>
          <w:rFonts w:ascii="Times New Roman" w:hAnsi="Times New Roman"/>
          <w:sz w:val="22"/>
        </w:rPr>
        <w:t>S.A. constituem o denominado “Consórcio Lajeado”, cujo objeto é a exploração compartilhada da concessão de uso de bem público do Aproveitamento Hidroelétrico da UHE Luís Eduardo Magalhães e Sistema de Transmissão Associado, nos termos</w:t>
      </w:r>
      <w:r>
        <w:rPr>
          <w:rFonts w:ascii="Times New Roman" w:hAnsi="Times New Roman"/>
          <w:spacing w:val="-6"/>
          <w:sz w:val="22"/>
        </w:rPr>
        <w:t> </w:t>
      </w:r>
      <w:r>
        <w:rPr>
          <w:rFonts w:ascii="Times New Roman" w:hAnsi="Times New Roman"/>
          <w:sz w:val="22"/>
        </w:rPr>
        <w:t>do</w:t>
      </w:r>
      <w:r>
        <w:rPr>
          <w:rFonts w:ascii="Times New Roman" w:hAnsi="Times New Roman"/>
          <w:spacing w:val="-7"/>
          <w:sz w:val="22"/>
        </w:rPr>
        <w:t> </w:t>
      </w:r>
      <w:r>
        <w:rPr>
          <w:rFonts w:ascii="Times New Roman" w:hAnsi="Times New Roman"/>
          <w:sz w:val="22"/>
        </w:rPr>
        <w:t>Contrato</w:t>
      </w:r>
      <w:r>
        <w:rPr>
          <w:rFonts w:ascii="Times New Roman" w:hAnsi="Times New Roman"/>
          <w:spacing w:val="-10"/>
          <w:sz w:val="22"/>
        </w:rPr>
        <w:t> </w:t>
      </w:r>
      <w:r>
        <w:rPr>
          <w:rFonts w:ascii="Times New Roman" w:hAnsi="Times New Roman"/>
          <w:sz w:val="22"/>
        </w:rPr>
        <w:t>de</w:t>
      </w:r>
      <w:r>
        <w:rPr>
          <w:rFonts w:ascii="Times New Roman" w:hAnsi="Times New Roman"/>
          <w:spacing w:val="-7"/>
          <w:sz w:val="22"/>
        </w:rPr>
        <w:t> </w:t>
      </w:r>
      <w:r>
        <w:rPr>
          <w:rFonts w:ascii="Times New Roman" w:hAnsi="Times New Roman"/>
          <w:sz w:val="22"/>
        </w:rPr>
        <w:t>Concessão</w:t>
      </w:r>
      <w:r>
        <w:rPr>
          <w:rFonts w:ascii="Times New Roman" w:hAnsi="Times New Roman"/>
          <w:spacing w:val="-7"/>
          <w:sz w:val="22"/>
        </w:rPr>
        <w:t> </w:t>
      </w:r>
      <w:r>
        <w:rPr>
          <w:rFonts w:ascii="Times New Roman" w:hAnsi="Times New Roman"/>
          <w:sz w:val="22"/>
        </w:rPr>
        <w:t>nº</w:t>
      </w:r>
      <w:r>
        <w:rPr>
          <w:rFonts w:ascii="Times New Roman" w:hAnsi="Times New Roman"/>
          <w:spacing w:val="-6"/>
          <w:sz w:val="22"/>
        </w:rPr>
        <w:t> </w:t>
      </w:r>
      <w:r>
        <w:rPr>
          <w:rFonts w:ascii="Times New Roman" w:hAnsi="Times New Roman"/>
          <w:sz w:val="22"/>
        </w:rPr>
        <w:t>05/97</w:t>
      </w:r>
      <w:r>
        <w:rPr>
          <w:rFonts w:ascii="Times New Roman" w:hAnsi="Times New Roman"/>
          <w:spacing w:val="-7"/>
          <w:sz w:val="22"/>
        </w:rPr>
        <w:t> </w:t>
      </w:r>
      <w:r>
        <w:rPr>
          <w:rFonts w:ascii="Times New Roman" w:hAnsi="Times New Roman"/>
          <w:sz w:val="22"/>
        </w:rPr>
        <w:t>e</w:t>
      </w:r>
      <w:r>
        <w:rPr>
          <w:rFonts w:ascii="Times New Roman" w:hAnsi="Times New Roman"/>
          <w:spacing w:val="-8"/>
          <w:sz w:val="22"/>
        </w:rPr>
        <w:t> </w:t>
      </w:r>
      <w:r>
        <w:rPr>
          <w:rFonts w:ascii="Times New Roman" w:hAnsi="Times New Roman"/>
          <w:sz w:val="22"/>
        </w:rPr>
        <w:t>respectivos</w:t>
      </w:r>
      <w:r>
        <w:rPr>
          <w:rFonts w:ascii="Times New Roman" w:hAnsi="Times New Roman"/>
          <w:spacing w:val="-6"/>
          <w:sz w:val="22"/>
        </w:rPr>
        <w:t> </w:t>
      </w:r>
      <w:r>
        <w:rPr>
          <w:rFonts w:ascii="Times New Roman" w:hAnsi="Times New Roman"/>
          <w:sz w:val="22"/>
        </w:rPr>
        <w:t>aditivos</w:t>
      </w:r>
      <w:r>
        <w:rPr>
          <w:rFonts w:ascii="Times New Roman" w:hAnsi="Times New Roman"/>
          <w:spacing w:val="-6"/>
          <w:sz w:val="22"/>
        </w:rPr>
        <w:t> </w:t>
      </w:r>
      <w:r>
        <w:rPr>
          <w:rFonts w:ascii="Times New Roman" w:hAnsi="Times New Roman"/>
          <w:sz w:val="22"/>
        </w:rPr>
        <w:t>celebrados</w:t>
      </w:r>
      <w:r>
        <w:rPr>
          <w:rFonts w:ascii="Times New Roman" w:hAnsi="Times New Roman"/>
          <w:spacing w:val="-9"/>
          <w:sz w:val="22"/>
        </w:rPr>
        <w:t> </w:t>
      </w:r>
      <w:r>
        <w:rPr>
          <w:rFonts w:ascii="Times New Roman" w:hAnsi="Times New Roman"/>
          <w:sz w:val="22"/>
        </w:rPr>
        <w:t>com</w:t>
      </w:r>
      <w:r>
        <w:rPr>
          <w:rFonts w:ascii="Times New Roman" w:hAnsi="Times New Roman"/>
          <w:spacing w:val="-10"/>
          <w:sz w:val="22"/>
        </w:rPr>
        <w:t> </w:t>
      </w:r>
      <w:r>
        <w:rPr>
          <w:rFonts w:ascii="Times New Roman" w:hAnsi="Times New Roman"/>
          <w:sz w:val="22"/>
        </w:rPr>
        <w:t>a</w:t>
      </w:r>
      <w:r>
        <w:rPr>
          <w:rFonts w:ascii="Times New Roman" w:hAnsi="Times New Roman"/>
          <w:spacing w:val="-7"/>
          <w:sz w:val="22"/>
        </w:rPr>
        <w:t> </w:t>
      </w:r>
      <w:r>
        <w:rPr>
          <w:rFonts w:ascii="Times New Roman" w:hAnsi="Times New Roman"/>
          <w:sz w:val="22"/>
        </w:rPr>
        <w:t>Agência</w:t>
      </w:r>
      <w:r>
        <w:rPr>
          <w:rFonts w:ascii="Times New Roman" w:hAnsi="Times New Roman"/>
          <w:spacing w:val="-7"/>
          <w:sz w:val="22"/>
        </w:rPr>
        <w:t> </w:t>
      </w:r>
      <w:r>
        <w:rPr>
          <w:rFonts w:ascii="Times New Roman" w:hAnsi="Times New Roman"/>
          <w:sz w:val="22"/>
        </w:rPr>
        <w:t>Nacional</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Energia</w:t>
      </w:r>
      <w:r>
        <w:rPr>
          <w:rFonts w:ascii="Times New Roman" w:hAnsi="Times New Roman"/>
          <w:spacing w:val="-7"/>
          <w:sz w:val="22"/>
        </w:rPr>
        <w:t> </w:t>
      </w:r>
      <w:r>
        <w:rPr>
          <w:rFonts w:ascii="Times New Roman" w:hAnsi="Times New Roman"/>
          <w:sz w:val="22"/>
        </w:rPr>
        <w:t>Elétrica</w:t>
      </w:r>
    </w:p>
    <w:p>
      <w:pPr>
        <w:spacing w:line="360" w:lineRule="auto" w:before="0"/>
        <w:ind w:left="139" w:right="141" w:firstLine="0"/>
        <w:jc w:val="both"/>
        <w:rPr>
          <w:rFonts w:ascii="Times New Roman" w:hAnsi="Times New Roman"/>
          <w:sz w:val="22"/>
        </w:rPr>
      </w:pPr>
      <w:r>
        <w:rPr>
          <w:rFonts w:ascii="Times New Roman" w:hAnsi="Times New Roman"/>
          <w:sz w:val="22"/>
        </w:rPr>
        <w:t>–</w:t>
      </w:r>
      <w:r>
        <w:rPr>
          <w:rFonts w:ascii="Times New Roman" w:hAnsi="Times New Roman"/>
          <w:spacing w:val="-10"/>
          <w:sz w:val="22"/>
        </w:rPr>
        <w:t> </w:t>
      </w:r>
      <w:r>
        <w:rPr>
          <w:rFonts w:ascii="Times New Roman" w:hAnsi="Times New Roman"/>
          <w:sz w:val="22"/>
        </w:rPr>
        <w:t>ANEEL.</w:t>
      </w:r>
      <w:r>
        <w:rPr>
          <w:rFonts w:ascii="Times New Roman" w:hAnsi="Times New Roman"/>
          <w:spacing w:val="-11"/>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prazo</w:t>
      </w:r>
      <w:r>
        <w:rPr>
          <w:rFonts w:ascii="Times New Roman" w:hAnsi="Times New Roman"/>
          <w:spacing w:val="-11"/>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duração</w:t>
      </w:r>
      <w:r>
        <w:rPr>
          <w:rFonts w:ascii="Times New Roman" w:hAnsi="Times New Roman"/>
          <w:spacing w:val="-11"/>
          <w:sz w:val="22"/>
        </w:rPr>
        <w:t> </w:t>
      </w:r>
      <w:r>
        <w:rPr>
          <w:rFonts w:ascii="Times New Roman" w:hAnsi="Times New Roman"/>
          <w:sz w:val="22"/>
        </w:rPr>
        <w:t>do</w:t>
      </w:r>
      <w:r>
        <w:rPr>
          <w:rFonts w:ascii="Times New Roman" w:hAnsi="Times New Roman"/>
          <w:spacing w:val="-10"/>
          <w:sz w:val="22"/>
        </w:rPr>
        <w:t> </w:t>
      </w:r>
      <w:r>
        <w:rPr>
          <w:rFonts w:ascii="Times New Roman" w:hAnsi="Times New Roman"/>
          <w:sz w:val="22"/>
        </w:rPr>
        <w:t>contrato</w:t>
      </w:r>
      <w:r>
        <w:rPr>
          <w:rFonts w:ascii="Times New Roman" w:hAnsi="Times New Roman"/>
          <w:spacing w:val="-11"/>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concessão</w:t>
      </w:r>
      <w:r>
        <w:rPr>
          <w:rFonts w:ascii="Times New Roman" w:hAnsi="Times New Roman"/>
          <w:spacing w:val="-11"/>
          <w:sz w:val="22"/>
        </w:rPr>
        <w:t> </w:t>
      </w:r>
      <w:r>
        <w:rPr>
          <w:rFonts w:ascii="Times New Roman" w:hAnsi="Times New Roman"/>
          <w:sz w:val="22"/>
        </w:rPr>
        <w:t>é</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35</w:t>
      </w:r>
      <w:r>
        <w:rPr>
          <w:rFonts w:ascii="Times New Roman" w:hAnsi="Times New Roman"/>
          <w:spacing w:val="-10"/>
          <w:sz w:val="22"/>
        </w:rPr>
        <w:t> </w:t>
      </w:r>
      <w:r>
        <w:rPr>
          <w:rFonts w:ascii="Times New Roman" w:hAnsi="Times New Roman"/>
          <w:sz w:val="22"/>
        </w:rPr>
        <w:t>(trinta</w:t>
      </w:r>
      <w:r>
        <w:rPr>
          <w:rFonts w:ascii="Times New Roman" w:hAnsi="Times New Roman"/>
          <w:spacing w:val="-11"/>
          <w:sz w:val="22"/>
        </w:rPr>
        <w:t> </w:t>
      </w:r>
      <w:r>
        <w:rPr>
          <w:rFonts w:ascii="Times New Roman" w:hAnsi="Times New Roman"/>
          <w:sz w:val="22"/>
        </w:rPr>
        <w:t>e</w:t>
      </w:r>
      <w:r>
        <w:rPr>
          <w:rFonts w:ascii="Times New Roman" w:hAnsi="Times New Roman"/>
          <w:spacing w:val="-10"/>
          <w:sz w:val="22"/>
        </w:rPr>
        <w:t> </w:t>
      </w:r>
      <w:r>
        <w:rPr>
          <w:rFonts w:ascii="Times New Roman" w:hAnsi="Times New Roman"/>
          <w:sz w:val="22"/>
        </w:rPr>
        <w:t>cinco)</w:t>
      </w:r>
      <w:r>
        <w:rPr>
          <w:rFonts w:ascii="Times New Roman" w:hAnsi="Times New Roman"/>
          <w:spacing w:val="-10"/>
          <w:sz w:val="22"/>
        </w:rPr>
        <w:t> </w:t>
      </w:r>
      <w:r>
        <w:rPr>
          <w:rFonts w:ascii="Times New Roman" w:hAnsi="Times New Roman"/>
          <w:sz w:val="22"/>
        </w:rPr>
        <w:t>anos,</w:t>
      </w:r>
      <w:r>
        <w:rPr>
          <w:rFonts w:ascii="Times New Roman" w:hAnsi="Times New Roman"/>
          <w:spacing w:val="-9"/>
          <w:sz w:val="22"/>
        </w:rPr>
        <w:t> </w:t>
      </w:r>
      <w:r>
        <w:rPr>
          <w:rFonts w:ascii="Times New Roman" w:hAnsi="Times New Roman"/>
          <w:sz w:val="22"/>
        </w:rPr>
        <w:t>contados</w:t>
      </w:r>
      <w:r>
        <w:rPr>
          <w:rFonts w:ascii="Times New Roman" w:hAnsi="Times New Roman"/>
          <w:spacing w:val="-10"/>
          <w:sz w:val="22"/>
        </w:rPr>
        <w:t> </w:t>
      </w:r>
      <w:r>
        <w:rPr>
          <w:rFonts w:ascii="Times New Roman" w:hAnsi="Times New Roman"/>
          <w:sz w:val="22"/>
        </w:rPr>
        <w:t>a</w:t>
      </w:r>
      <w:r>
        <w:rPr>
          <w:rFonts w:ascii="Times New Roman" w:hAnsi="Times New Roman"/>
          <w:spacing w:val="-10"/>
          <w:sz w:val="22"/>
        </w:rPr>
        <w:t> </w:t>
      </w:r>
      <w:r>
        <w:rPr>
          <w:rFonts w:ascii="Times New Roman" w:hAnsi="Times New Roman"/>
          <w:sz w:val="22"/>
        </w:rPr>
        <w:t>partir</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16</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dezembro de 1997. A energia elétrica gerada pelo empreendimento é comercializada pelas Concessionárias, na proporção da participação de cada uma delas na formação do Consórcio</w:t>
      </w:r>
      <w:r>
        <w:rPr>
          <w:rFonts w:ascii="Times New Roman" w:hAnsi="Times New Roman"/>
          <w:spacing w:val="-5"/>
          <w:sz w:val="22"/>
        </w:rPr>
        <w:t> </w:t>
      </w:r>
      <w:r>
        <w:rPr>
          <w:rFonts w:ascii="Times New Roman" w:hAnsi="Times New Roman"/>
          <w:sz w:val="22"/>
        </w:rPr>
        <w:t>Lajeado.</w:t>
      </w:r>
    </w:p>
    <w:p>
      <w:pPr>
        <w:pStyle w:val="BodyText"/>
        <w:spacing w:before="11"/>
        <w:rPr>
          <w:rFonts w:ascii="Times New Roman"/>
        </w:rPr>
      </w:pPr>
    </w:p>
    <w:p>
      <w:pPr>
        <w:spacing w:line="360" w:lineRule="auto" w:before="0"/>
        <w:ind w:left="139" w:right="136" w:firstLine="708"/>
        <w:jc w:val="both"/>
        <w:rPr>
          <w:rFonts w:ascii="Times New Roman" w:hAnsi="Times New Roman"/>
          <w:sz w:val="22"/>
        </w:rPr>
      </w:pPr>
      <w:r>
        <w:rPr>
          <w:rFonts w:ascii="Times New Roman" w:hAnsi="Times New Roman"/>
          <w:sz w:val="22"/>
        </w:rPr>
        <w:t>Quase todo montante de energia da CEB Lajeado S.A. é comercializado com a CEB Distribuição S.A. por meio de um contrato bilateral de compra e venda de energia com vencimento em 15 de dezembro de 2032, prazo limite de suprimento previsto no contrato de concessão do empreendimento. À vista da questão hídrica vivenciada, esse contrato não alcançou a totalidade do bloco de energia de titularidade da Empresa, conforme estratégia de hedge detalhada no item “Contexto Operacional” deste relatório. Mesmo com a redução no volume de venda anteriormente contratado, a manutenção desse instrumento significa garantia firme de receita até o final da concessão de produção independente da qual a CEB Lajeado S.A. é titular.</w:t>
      </w:r>
    </w:p>
    <w:p>
      <w:pPr>
        <w:pStyle w:val="BodyText"/>
        <w:spacing w:before="8"/>
        <w:rPr>
          <w:rFonts w:ascii="Times New Roman"/>
        </w:rPr>
      </w:pPr>
    </w:p>
    <w:p>
      <w:pPr>
        <w:spacing w:line="360" w:lineRule="auto" w:before="0"/>
        <w:ind w:left="139" w:right="147" w:firstLine="708"/>
        <w:jc w:val="both"/>
        <w:rPr>
          <w:rFonts w:ascii="Times New Roman" w:hAnsi="Times New Roman"/>
          <w:sz w:val="22"/>
        </w:rPr>
      </w:pPr>
      <w:r>
        <w:rPr>
          <w:rFonts w:ascii="Times New Roman" w:hAnsi="Times New Roman"/>
          <w:sz w:val="22"/>
        </w:rPr>
        <w:t>A receita da Empresa oriunda da venda de energia é somada pelo rendimento de aplicações financeiras e pelos resultados provenientes da participação acionária na empresa Investco S.A, detentora dos ativos de geração da Usina.</w:t>
      </w:r>
    </w:p>
    <w:p>
      <w:pPr>
        <w:pStyle w:val="BodyText"/>
        <w:spacing w:before="5"/>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Organização Societária</w:t>
      </w:r>
    </w:p>
    <w:p>
      <w:pPr>
        <w:pStyle w:val="BodyText"/>
        <w:spacing w:before="6"/>
        <w:rPr>
          <w:rFonts w:ascii="Times New Roman"/>
          <w:b/>
          <w:sz w:val="17"/>
        </w:rPr>
      </w:pPr>
      <w:r>
        <w:rPr/>
        <w:drawing>
          <wp:anchor distT="0" distB="0" distL="0" distR="0" allowOverlap="1" layoutInCell="1" locked="0" behindDoc="0" simplePos="0" relativeHeight="20">
            <wp:simplePos x="0" y="0"/>
            <wp:positionH relativeFrom="page">
              <wp:posOffset>2032000</wp:posOffset>
            </wp:positionH>
            <wp:positionV relativeFrom="paragraph">
              <wp:posOffset>152769</wp:posOffset>
            </wp:positionV>
            <wp:extent cx="3623755" cy="2102834"/>
            <wp:effectExtent l="0" t="0" r="0" b="0"/>
            <wp:wrapTopAndBottom/>
            <wp:docPr id="33" name="image9.jpeg" descr="cid:image002.png@01D3A99B.ECCD2A10"/>
            <wp:cNvGraphicFramePr>
              <a:graphicFrameLocks noChangeAspect="1"/>
            </wp:cNvGraphicFramePr>
            <a:graphic>
              <a:graphicData uri="http://schemas.openxmlformats.org/drawingml/2006/picture">
                <pic:pic>
                  <pic:nvPicPr>
                    <pic:cNvPr id="34" name="image9.jpeg"/>
                    <pic:cNvPicPr/>
                  </pic:nvPicPr>
                  <pic:blipFill>
                    <a:blip r:embed="rId23" cstate="print"/>
                    <a:stretch>
                      <a:fillRect/>
                    </a:stretch>
                  </pic:blipFill>
                  <pic:spPr>
                    <a:xfrm>
                      <a:off x="0" y="0"/>
                      <a:ext cx="3623755" cy="2102834"/>
                    </a:xfrm>
                    <a:prstGeom prst="rect">
                      <a:avLst/>
                    </a:prstGeom>
                  </pic:spPr>
                </pic:pic>
              </a:graphicData>
            </a:graphic>
          </wp:anchor>
        </w:drawing>
      </w:r>
    </w:p>
    <w:p>
      <w:pPr>
        <w:spacing w:after="0"/>
        <w:rPr>
          <w:rFonts w:ascii="Times New Roman"/>
          <w:sz w:val="17"/>
        </w:rPr>
        <w:sectPr>
          <w:headerReference w:type="default" r:id="rId21"/>
          <w:footerReference w:type="default" r:id="rId22"/>
          <w:pgSz w:w="11920" w:h="16860"/>
          <w:pgMar w:header="544" w:footer="302" w:top="1360" w:bottom="500" w:left="780" w:right="280"/>
          <w:pgNumType w:start="13"/>
        </w:sectPr>
      </w:pPr>
    </w:p>
    <w:p>
      <w:pPr>
        <w:pStyle w:val="BodyText"/>
        <w:spacing w:before="11"/>
        <w:rPr>
          <w:rFonts w:ascii="Times New Roman"/>
          <w:b/>
          <w:sz w:val="12"/>
        </w:rPr>
      </w:pPr>
    </w:p>
    <w:p>
      <w:pPr>
        <w:spacing w:before="92"/>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1"/>
        <w:rPr>
          <w:rFonts w:ascii="Times New Roman"/>
          <w:b/>
          <w:sz w:val="21"/>
        </w:rPr>
      </w:pPr>
    </w:p>
    <w:tbl>
      <w:tblPr>
        <w:tblW w:w="0" w:type="auto"/>
        <w:jc w:val="left"/>
        <w:tblInd w:w="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37"/>
        <w:gridCol w:w="1516"/>
        <w:gridCol w:w="1521"/>
        <w:gridCol w:w="1742"/>
      </w:tblGrid>
      <w:tr>
        <w:trPr>
          <w:trHeight w:val="405" w:hRule="atLeast"/>
        </w:trPr>
        <w:tc>
          <w:tcPr>
            <w:tcW w:w="5137" w:type="dxa"/>
            <w:shd w:val="clear" w:color="auto" w:fill="4470C4"/>
          </w:tcPr>
          <w:p>
            <w:pPr>
              <w:pStyle w:val="TableParagraph"/>
              <w:spacing w:before="87"/>
              <w:ind w:left="2166" w:right="2203"/>
              <w:jc w:val="center"/>
              <w:rPr>
                <w:rFonts w:ascii="Times New Roman"/>
                <w:b/>
                <w:sz w:val="20"/>
              </w:rPr>
            </w:pPr>
            <w:r>
              <w:rPr>
                <w:rFonts w:ascii="Times New Roman"/>
                <w:b/>
                <w:color w:val="FFFFFF"/>
                <w:sz w:val="20"/>
              </w:rPr>
              <w:t>(R$ Mil)</w:t>
            </w:r>
          </w:p>
        </w:tc>
        <w:tc>
          <w:tcPr>
            <w:tcW w:w="1516" w:type="dxa"/>
            <w:shd w:val="clear" w:color="auto" w:fill="4470C4"/>
          </w:tcPr>
          <w:p>
            <w:pPr>
              <w:pStyle w:val="TableParagraph"/>
              <w:spacing w:before="87"/>
              <w:ind w:left="408" w:right="414"/>
              <w:jc w:val="center"/>
              <w:rPr>
                <w:rFonts w:ascii="Times New Roman"/>
                <w:b/>
                <w:sz w:val="20"/>
              </w:rPr>
            </w:pPr>
            <w:r>
              <w:rPr>
                <w:rFonts w:ascii="Times New Roman"/>
                <w:b/>
                <w:color w:val="FFFFFF"/>
                <w:sz w:val="20"/>
              </w:rPr>
              <w:t>2019</w:t>
            </w:r>
          </w:p>
        </w:tc>
        <w:tc>
          <w:tcPr>
            <w:tcW w:w="1521" w:type="dxa"/>
            <w:shd w:val="clear" w:color="auto" w:fill="4470C4"/>
          </w:tcPr>
          <w:p>
            <w:pPr>
              <w:pStyle w:val="TableParagraph"/>
              <w:spacing w:before="87"/>
              <w:ind w:right="460"/>
              <w:jc w:val="right"/>
              <w:rPr>
                <w:rFonts w:ascii="Times New Roman"/>
                <w:b/>
                <w:sz w:val="20"/>
              </w:rPr>
            </w:pPr>
            <w:r>
              <w:rPr>
                <w:rFonts w:ascii="Times New Roman"/>
                <w:b/>
                <w:color w:val="FFFFFF"/>
                <w:sz w:val="20"/>
              </w:rPr>
              <w:t>2018</w:t>
            </w:r>
          </w:p>
        </w:tc>
        <w:tc>
          <w:tcPr>
            <w:tcW w:w="1742" w:type="dxa"/>
            <w:shd w:val="clear" w:color="auto" w:fill="4470C4"/>
          </w:tcPr>
          <w:p>
            <w:pPr>
              <w:pStyle w:val="TableParagraph"/>
              <w:spacing w:before="87"/>
              <w:ind w:left="433"/>
              <w:rPr>
                <w:rFonts w:ascii="Times New Roman" w:hAnsi="Times New Roman"/>
                <w:b/>
                <w:sz w:val="20"/>
              </w:rPr>
            </w:pPr>
            <w:r>
              <w:rPr>
                <w:rFonts w:ascii="Times New Roman" w:hAnsi="Times New Roman"/>
                <w:b/>
                <w:color w:val="FFFFFF"/>
                <w:sz w:val="20"/>
              </w:rPr>
              <w:t>Δ 2019/2018</w:t>
            </w:r>
          </w:p>
        </w:tc>
      </w:tr>
      <w:tr>
        <w:trPr>
          <w:trHeight w:val="227" w:hRule="atLeast"/>
        </w:trPr>
        <w:tc>
          <w:tcPr>
            <w:tcW w:w="5137" w:type="dxa"/>
            <w:tcBorders>
              <w:left w:val="single" w:sz="4" w:space="0" w:color="8EAADB"/>
              <w:bottom w:val="single" w:sz="4" w:space="0" w:color="8EAADB"/>
            </w:tcBorders>
            <w:shd w:val="clear" w:color="auto" w:fill="D9E0F3"/>
          </w:tcPr>
          <w:p>
            <w:pPr>
              <w:pStyle w:val="TableParagraph"/>
              <w:spacing w:line="208" w:lineRule="exact"/>
              <w:ind w:left="338" w:right="391"/>
              <w:jc w:val="center"/>
              <w:rPr>
                <w:rFonts w:ascii="Times New Roman"/>
                <w:b/>
                <w:sz w:val="20"/>
              </w:rPr>
            </w:pPr>
            <w:r>
              <w:rPr>
                <w:rFonts w:ascii="Times New Roman"/>
                <w:b/>
                <w:sz w:val="20"/>
              </w:rPr>
              <w:t>Receita Operacional Bruta</w:t>
            </w:r>
          </w:p>
        </w:tc>
        <w:tc>
          <w:tcPr>
            <w:tcW w:w="1516" w:type="dxa"/>
            <w:tcBorders>
              <w:bottom w:val="single" w:sz="4" w:space="0" w:color="8EAADB"/>
            </w:tcBorders>
            <w:shd w:val="clear" w:color="auto" w:fill="D9E0F3"/>
          </w:tcPr>
          <w:p>
            <w:pPr>
              <w:pStyle w:val="TableParagraph"/>
              <w:spacing w:line="208" w:lineRule="exact"/>
              <w:ind w:left="408" w:right="417"/>
              <w:jc w:val="center"/>
              <w:rPr>
                <w:rFonts w:ascii="Times New Roman"/>
                <w:b/>
                <w:sz w:val="20"/>
              </w:rPr>
            </w:pPr>
            <w:r>
              <w:rPr>
                <w:rFonts w:ascii="Times New Roman"/>
                <w:b/>
                <w:sz w:val="20"/>
              </w:rPr>
              <w:t>216.441</w:t>
            </w:r>
          </w:p>
        </w:tc>
        <w:tc>
          <w:tcPr>
            <w:tcW w:w="1521" w:type="dxa"/>
            <w:tcBorders>
              <w:bottom w:val="single" w:sz="4" w:space="0" w:color="8EAADB"/>
            </w:tcBorders>
            <w:shd w:val="clear" w:color="auto" w:fill="D9E0F3"/>
          </w:tcPr>
          <w:p>
            <w:pPr>
              <w:pStyle w:val="TableParagraph"/>
              <w:spacing w:line="208" w:lineRule="exact"/>
              <w:ind w:right="418"/>
              <w:jc w:val="right"/>
              <w:rPr>
                <w:rFonts w:ascii="Times New Roman"/>
                <w:b/>
                <w:sz w:val="20"/>
              </w:rPr>
            </w:pPr>
            <w:r>
              <w:rPr>
                <w:rFonts w:ascii="Times New Roman"/>
                <w:b/>
                <w:w w:val="95"/>
                <w:sz w:val="20"/>
              </w:rPr>
              <w:t>196.051</w:t>
            </w:r>
          </w:p>
        </w:tc>
        <w:tc>
          <w:tcPr>
            <w:tcW w:w="1742" w:type="dxa"/>
            <w:tcBorders>
              <w:bottom w:val="single" w:sz="4" w:space="0" w:color="8EAADB"/>
              <w:right w:val="single" w:sz="4" w:space="0" w:color="8EAADB"/>
            </w:tcBorders>
            <w:shd w:val="clear" w:color="auto" w:fill="D9E0F3"/>
          </w:tcPr>
          <w:p>
            <w:pPr>
              <w:pStyle w:val="TableParagraph"/>
              <w:spacing w:line="207" w:lineRule="exact"/>
              <w:ind w:left="541"/>
              <w:rPr>
                <w:rFonts w:ascii="Times New Roman"/>
                <w:b/>
                <w:sz w:val="20"/>
              </w:rPr>
            </w:pPr>
            <w:r>
              <w:rPr>
                <w:rFonts w:ascii="Times New Roman"/>
                <w:b/>
                <w:sz w:val="20"/>
              </w:rPr>
              <w:t>10,40%</w:t>
            </w:r>
          </w:p>
        </w:tc>
      </w:tr>
      <w:tr>
        <w:trPr>
          <w:trHeight w:val="230" w:hRule="atLeast"/>
        </w:trPr>
        <w:tc>
          <w:tcPr>
            <w:tcW w:w="5137" w:type="dxa"/>
            <w:tcBorders>
              <w:top w:val="single" w:sz="4" w:space="0" w:color="8EAADB"/>
              <w:left w:val="single" w:sz="4" w:space="0" w:color="8EAADB"/>
              <w:bottom w:val="single" w:sz="4" w:space="0" w:color="8EAADB"/>
            </w:tcBorders>
          </w:tcPr>
          <w:p>
            <w:pPr>
              <w:pStyle w:val="TableParagraph"/>
              <w:spacing w:line="210" w:lineRule="exact"/>
              <w:ind w:left="337" w:right="392"/>
              <w:jc w:val="center"/>
              <w:rPr>
                <w:rFonts w:ascii="Times New Roman" w:hAnsi="Times New Roman"/>
                <w:b/>
                <w:sz w:val="20"/>
              </w:rPr>
            </w:pPr>
            <w:r>
              <w:rPr>
                <w:rFonts w:ascii="Times New Roman" w:hAnsi="Times New Roman"/>
                <w:b/>
                <w:sz w:val="20"/>
              </w:rPr>
              <w:t>Receita Operacional Líquida</w:t>
            </w:r>
          </w:p>
        </w:tc>
        <w:tc>
          <w:tcPr>
            <w:tcW w:w="1516" w:type="dxa"/>
            <w:tcBorders>
              <w:top w:val="single" w:sz="4" w:space="0" w:color="8EAADB"/>
              <w:bottom w:val="single" w:sz="4" w:space="0" w:color="8EAADB"/>
            </w:tcBorders>
          </w:tcPr>
          <w:p>
            <w:pPr>
              <w:pStyle w:val="TableParagraph"/>
              <w:spacing w:line="210" w:lineRule="exact"/>
              <w:ind w:left="408" w:right="417"/>
              <w:jc w:val="center"/>
              <w:rPr>
                <w:rFonts w:ascii="Times New Roman"/>
                <w:b/>
                <w:sz w:val="20"/>
              </w:rPr>
            </w:pPr>
            <w:r>
              <w:rPr>
                <w:rFonts w:ascii="Times New Roman"/>
                <w:b/>
                <w:sz w:val="20"/>
              </w:rPr>
              <w:t>190.435</w:t>
            </w:r>
          </w:p>
        </w:tc>
        <w:tc>
          <w:tcPr>
            <w:tcW w:w="1521" w:type="dxa"/>
            <w:tcBorders>
              <w:top w:val="single" w:sz="4" w:space="0" w:color="8EAADB"/>
              <w:bottom w:val="single" w:sz="4" w:space="0" w:color="8EAADB"/>
            </w:tcBorders>
          </w:tcPr>
          <w:p>
            <w:pPr>
              <w:pStyle w:val="TableParagraph"/>
              <w:spacing w:line="210" w:lineRule="exact"/>
              <w:ind w:right="418"/>
              <w:jc w:val="right"/>
              <w:rPr>
                <w:rFonts w:ascii="Times New Roman"/>
                <w:b/>
                <w:sz w:val="20"/>
              </w:rPr>
            </w:pPr>
            <w:r>
              <w:rPr>
                <w:rFonts w:ascii="Times New Roman"/>
                <w:b/>
                <w:w w:val="95"/>
                <w:sz w:val="20"/>
              </w:rPr>
              <w:t>171.589</w:t>
            </w:r>
          </w:p>
        </w:tc>
        <w:tc>
          <w:tcPr>
            <w:tcW w:w="1742" w:type="dxa"/>
            <w:tcBorders>
              <w:top w:val="single" w:sz="4" w:space="0" w:color="8EAADB"/>
              <w:bottom w:val="single" w:sz="4" w:space="0" w:color="8EAADB"/>
              <w:right w:val="single" w:sz="4" w:space="0" w:color="8EAADB"/>
            </w:tcBorders>
          </w:tcPr>
          <w:p>
            <w:pPr>
              <w:pStyle w:val="TableParagraph"/>
              <w:spacing w:line="207" w:lineRule="exact" w:before="2"/>
              <w:ind w:left="541"/>
              <w:rPr>
                <w:rFonts w:ascii="Times New Roman"/>
                <w:b/>
                <w:sz w:val="20"/>
              </w:rPr>
            </w:pPr>
            <w:r>
              <w:rPr>
                <w:rFonts w:ascii="Times New Roman"/>
                <w:b/>
                <w:sz w:val="20"/>
              </w:rPr>
              <w:t>10,98%</w:t>
            </w:r>
          </w:p>
        </w:tc>
      </w:tr>
      <w:tr>
        <w:trPr>
          <w:trHeight w:val="230" w:hRule="atLeast"/>
        </w:trPr>
        <w:tc>
          <w:tcPr>
            <w:tcW w:w="5137" w:type="dxa"/>
            <w:tcBorders>
              <w:top w:val="single" w:sz="4" w:space="0" w:color="8EAADB"/>
              <w:left w:val="single" w:sz="4" w:space="0" w:color="8EAADB"/>
              <w:bottom w:val="single" w:sz="4" w:space="0" w:color="8EAADB"/>
            </w:tcBorders>
            <w:shd w:val="clear" w:color="auto" w:fill="D9E0F3"/>
          </w:tcPr>
          <w:p>
            <w:pPr>
              <w:pStyle w:val="TableParagraph"/>
              <w:spacing w:line="210" w:lineRule="exact"/>
              <w:ind w:left="338" w:right="392"/>
              <w:jc w:val="center"/>
              <w:rPr>
                <w:rFonts w:ascii="Times New Roman" w:hAnsi="Times New Roman"/>
                <w:b/>
                <w:sz w:val="20"/>
              </w:rPr>
            </w:pPr>
            <w:r>
              <w:rPr>
                <w:rFonts w:ascii="Times New Roman" w:hAnsi="Times New Roman"/>
                <w:b/>
                <w:sz w:val="20"/>
              </w:rPr>
              <w:t>Resultado Operacional Líquido Antes dos Tributos</w:t>
            </w:r>
          </w:p>
        </w:tc>
        <w:tc>
          <w:tcPr>
            <w:tcW w:w="1516" w:type="dxa"/>
            <w:tcBorders>
              <w:top w:val="single" w:sz="4" w:space="0" w:color="8EAADB"/>
              <w:bottom w:val="single" w:sz="4" w:space="0" w:color="8EAADB"/>
            </w:tcBorders>
            <w:shd w:val="clear" w:color="auto" w:fill="D9E0F3"/>
          </w:tcPr>
          <w:p>
            <w:pPr>
              <w:pStyle w:val="TableParagraph"/>
              <w:spacing w:line="210" w:lineRule="exact"/>
              <w:ind w:left="408" w:right="417"/>
              <w:jc w:val="center"/>
              <w:rPr>
                <w:rFonts w:ascii="Times New Roman"/>
                <w:b/>
                <w:sz w:val="20"/>
              </w:rPr>
            </w:pPr>
            <w:r>
              <w:rPr>
                <w:rFonts w:ascii="Times New Roman"/>
                <w:b/>
                <w:sz w:val="20"/>
              </w:rPr>
              <w:t>106.259</w:t>
            </w:r>
          </w:p>
        </w:tc>
        <w:tc>
          <w:tcPr>
            <w:tcW w:w="1521" w:type="dxa"/>
            <w:tcBorders>
              <w:top w:val="single" w:sz="4" w:space="0" w:color="8EAADB"/>
              <w:bottom w:val="single" w:sz="4" w:space="0" w:color="8EAADB"/>
            </w:tcBorders>
            <w:shd w:val="clear" w:color="auto" w:fill="D9E0F3"/>
          </w:tcPr>
          <w:p>
            <w:pPr>
              <w:pStyle w:val="TableParagraph"/>
              <w:spacing w:line="210" w:lineRule="exact"/>
              <w:ind w:right="468"/>
              <w:jc w:val="right"/>
              <w:rPr>
                <w:rFonts w:ascii="Times New Roman"/>
                <w:b/>
                <w:sz w:val="20"/>
              </w:rPr>
            </w:pPr>
            <w:r>
              <w:rPr>
                <w:rFonts w:ascii="Times New Roman"/>
                <w:b/>
                <w:w w:val="95"/>
                <w:sz w:val="20"/>
              </w:rPr>
              <w:t>71.898</w:t>
            </w:r>
          </w:p>
        </w:tc>
        <w:tc>
          <w:tcPr>
            <w:tcW w:w="1742" w:type="dxa"/>
            <w:tcBorders>
              <w:top w:val="single" w:sz="4" w:space="0" w:color="8EAADB"/>
              <w:bottom w:val="single" w:sz="4" w:space="0" w:color="8EAADB"/>
              <w:right w:val="single" w:sz="4" w:space="0" w:color="8EAADB"/>
            </w:tcBorders>
            <w:shd w:val="clear" w:color="auto" w:fill="D9E0F3"/>
          </w:tcPr>
          <w:p>
            <w:pPr>
              <w:pStyle w:val="TableParagraph"/>
              <w:spacing w:line="207" w:lineRule="exact" w:before="2"/>
              <w:ind w:left="541"/>
              <w:rPr>
                <w:rFonts w:ascii="Times New Roman"/>
                <w:b/>
                <w:sz w:val="20"/>
              </w:rPr>
            </w:pPr>
            <w:r>
              <w:rPr>
                <w:rFonts w:ascii="Times New Roman"/>
                <w:b/>
                <w:sz w:val="20"/>
              </w:rPr>
              <w:t>47,79%</w:t>
            </w:r>
          </w:p>
        </w:tc>
      </w:tr>
      <w:tr>
        <w:trPr>
          <w:trHeight w:val="230" w:hRule="atLeast"/>
        </w:trPr>
        <w:tc>
          <w:tcPr>
            <w:tcW w:w="5137" w:type="dxa"/>
            <w:tcBorders>
              <w:top w:val="single" w:sz="4" w:space="0" w:color="8EAADB"/>
              <w:left w:val="single" w:sz="4" w:space="0" w:color="8EAADB"/>
              <w:bottom w:val="single" w:sz="4" w:space="0" w:color="8EAADB"/>
            </w:tcBorders>
          </w:tcPr>
          <w:p>
            <w:pPr>
              <w:pStyle w:val="TableParagraph"/>
              <w:spacing w:line="210" w:lineRule="exact"/>
              <w:ind w:left="331" w:right="392"/>
              <w:jc w:val="center"/>
              <w:rPr>
                <w:rFonts w:ascii="Times New Roman"/>
                <w:b/>
                <w:sz w:val="20"/>
              </w:rPr>
            </w:pPr>
            <w:r>
              <w:rPr>
                <w:rFonts w:ascii="Times New Roman"/>
                <w:b/>
                <w:sz w:val="20"/>
              </w:rPr>
              <w:t>EBITDA (LAJIDA)</w:t>
            </w:r>
          </w:p>
        </w:tc>
        <w:tc>
          <w:tcPr>
            <w:tcW w:w="1516" w:type="dxa"/>
            <w:tcBorders>
              <w:top w:val="single" w:sz="4" w:space="0" w:color="8EAADB"/>
              <w:bottom w:val="single" w:sz="4" w:space="0" w:color="8EAADB"/>
            </w:tcBorders>
          </w:tcPr>
          <w:p>
            <w:pPr>
              <w:pStyle w:val="TableParagraph"/>
              <w:spacing w:line="210" w:lineRule="exact"/>
              <w:ind w:left="408" w:right="417"/>
              <w:jc w:val="center"/>
              <w:rPr>
                <w:rFonts w:ascii="Times New Roman"/>
                <w:b/>
                <w:sz w:val="20"/>
              </w:rPr>
            </w:pPr>
            <w:r>
              <w:rPr>
                <w:rFonts w:ascii="Times New Roman"/>
                <w:b/>
                <w:sz w:val="20"/>
              </w:rPr>
              <w:t>111.258</w:t>
            </w:r>
          </w:p>
        </w:tc>
        <w:tc>
          <w:tcPr>
            <w:tcW w:w="1521" w:type="dxa"/>
            <w:tcBorders>
              <w:top w:val="single" w:sz="4" w:space="0" w:color="8EAADB"/>
              <w:bottom w:val="single" w:sz="4" w:space="0" w:color="8EAADB"/>
            </w:tcBorders>
          </w:tcPr>
          <w:p>
            <w:pPr>
              <w:pStyle w:val="TableParagraph"/>
              <w:spacing w:line="210" w:lineRule="exact"/>
              <w:ind w:right="468"/>
              <w:jc w:val="right"/>
              <w:rPr>
                <w:rFonts w:ascii="Times New Roman"/>
                <w:b/>
                <w:sz w:val="20"/>
              </w:rPr>
            </w:pPr>
            <w:r>
              <w:rPr>
                <w:rFonts w:ascii="Times New Roman"/>
                <w:b/>
                <w:w w:val="95"/>
                <w:sz w:val="20"/>
              </w:rPr>
              <w:t>75.767</w:t>
            </w:r>
          </w:p>
        </w:tc>
        <w:tc>
          <w:tcPr>
            <w:tcW w:w="1742" w:type="dxa"/>
            <w:tcBorders>
              <w:top w:val="single" w:sz="4" w:space="0" w:color="8EAADB"/>
              <w:bottom w:val="single" w:sz="4" w:space="0" w:color="8EAADB"/>
              <w:right w:val="single" w:sz="4" w:space="0" w:color="8EAADB"/>
            </w:tcBorders>
          </w:tcPr>
          <w:p>
            <w:pPr>
              <w:pStyle w:val="TableParagraph"/>
              <w:spacing w:line="207" w:lineRule="exact" w:before="2"/>
              <w:ind w:left="541"/>
              <w:rPr>
                <w:rFonts w:ascii="Times New Roman"/>
                <w:b/>
                <w:sz w:val="20"/>
              </w:rPr>
            </w:pPr>
            <w:r>
              <w:rPr>
                <w:rFonts w:ascii="Times New Roman"/>
                <w:b/>
                <w:sz w:val="20"/>
              </w:rPr>
              <w:t>46,84%</w:t>
            </w:r>
          </w:p>
        </w:tc>
      </w:tr>
      <w:tr>
        <w:trPr>
          <w:trHeight w:val="230" w:hRule="atLeast"/>
        </w:trPr>
        <w:tc>
          <w:tcPr>
            <w:tcW w:w="5137" w:type="dxa"/>
            <w:tcBorders>
              <w:top w:val="single" w:sz="4" w:space="0" w:color="8EAADB"/>
              <w:left w:val="single" w:sz="4" w:space="0" w:color="8EAADB"/>
              <w:bottom w:val="single" w:sz="4" w:space="0" w:color="8EAADB"/>
            </w:tcBorders>
            <w:shd w:val="clear" w:color="auto" w:fill="D9E0F3"/>
          </w:tcPr>
          <w:p>
            <w:pPr>
              <w:pStyle w:val="TableParagraph"/>
              <w:spacing w:line="210" w:lineRule="exact"/>
              <w:ind w:left="337" w:right="392"/>
              <w:jc w:val="center"/>
              <w:rPr>
                <w:rFonts w:ascii="Times New Roman" w:hAnsi="Times New Roman"/>
                <w:b/>
                <w:sz w:val="20"/>
              </w:rPr>
            </w:pPr>
            <w:r>
              <w:rPr>
                <w:rFonts w:ascii="Times New Roman" w:hAnsi="Times New Roman"/>
                <w:b/>
                <w:sz w:val="20"/>
              </w:rPr>
              <w:t>Lucro Líquido (Prejuízo)</w:t>
            </w:r>
          </w:p>
        </w:tc>
        <w:tc>
          <w:tcPr>
            <w:tcW w:w="1516" w:type="dxa"/>
            <w:tcBorders>
              <w:top w:val="single" w:sz="4" w:space="0" w:color="8EAADB"/>
              <w:bottom w:val="single" w:sz="4" w:space="0" w:color="8EAADB"/>
            </w:tcBorders>
            <w:shd w:val="clear" w:color="auto" w:fill="D9E0F3"/>
          </w:tcPr>
          <w:p>
            <w:pPr>
              <w:pStyle w:val="TableParagraph"/>
              <w:spacing w:line="210" w:lineRule="exact"/>
              <w:ind w:left="408" w:right="416"/>
              <w:jc w:val="center"/>
              <w:rPr>
                <w:rFonts w:ascii="Times New Roman"/>
                <w:b/>
                <w:sz w:val="20"/>
              </w:rPr>
            </w:pPr>
            <w:r>
              <w:rPr>
                <w:rFonts w:ascii="Times New Roman"/>
                <w:b/>
                <w:sz w:val="20"/>
              </w:rPr>
              <w:t>68.612</w:t>
            </w:r>
          </w:p>
        </w:tc>
        <w:tc>
          <w:tcPr>
            <w:tcW w:w="1521" w:type="dxa"/>
            <w:tcBorders>
              <w:top w:val="single" w:sz="4" w:space="0" w:color="8EAADB"/>
              <w:bottom w:val="single" w:sz="4" w:space="0" w:color="8EAADB"/>
            </w:tcBorders>
            <w:shd w:val="clear" w:color="auto" w:fill="D9E0F3"/>
          </w:tcPr>
          <w:p>
            <w:pPr>
              <w:pStyle w:val="TableParagraph"/>
              <w:spacing w:line="210" w:lineRule="exact"/>
              <w:ind w:right="468"/>
              <w:jc w:val="right"/>
              <w:rPr>
                <w:rFonts w:ascii="Times New Roman"/>
                <w:b/>
                <w:sz w:val="20"/>
              </w:rPr>
            </w:pPr>
            <w:r>
              <w:rPr>
                <w:rFonts w:ascii="Times New Roman"/>
                <w:b/>
                <w:w w:val="95"/>
                <w:sz w:val="20"/>
              </w:rPr>
              <w:t>47.149</w:t>
            </w:r>
          </w:p>
        </w:tc>
        <w:tc>
          <w:tcPr>
            <w:tcW w:w="1742" w:type="dxa"/>
            <w:tcBorders>
              <w:top w:val="single" w:sz="4" w:space="0" w:color="8EAADB"/>
              <w:bottom w:val="single" w:sz="4" w:space="0" w:color="8EAADB"/>
              <w:right w:val="single" w:sz="4" w:space="0" w:color="8EAADB"/>
            </w:tcBorders>
            <w:shd w:val="clear" w:color="auto" w:fill="D9E0F3"/>
          </w:tcPr>
          <w:p>
            <w:pPr>
              <w:pStyle w:val="TableParagraph"/>
              <w:spacing w:line="207" w:lineRule="exact" w:before="2"/>
              <w:ind w:left="541"/>
              <w:rPr>
                <w:rFonts w:ascii="Times New Roman"/>
                <w:b/>
                <w:sz w:val="20"/>
              </w:rPr>
            </w:pPr>
            <w:r>
              <w:rPr>
                <w:rFonts w:ascii="Times New Roman"/>
                <w:b/>
                <w:sz w:val="20"/>
              </w:rPr>
              <w:t>45,52%</w:t>
            </w:r>
          </w:p>
        </w:tc>
      </w:tr>
      <w:tr>
        <w:trPr>
          <w:trHeight w:val="230" w:hRule="atLeast"/>
        </w:trPr>
        <w:tc>
          <w:tcPr>
            <w:tcW w:w="5137" w:type="dxa"/>
            <w:tcBorders>
              <w:top w:val="single" w:sz="4" w:space="0" w:color="8EAADB"/>
              <w:left w:val="single" w:sz="4" w:space="0" w:color="8EAADB"/>
              <w:bottom w:val="single" w:sz="4" w:space="0" w:color="8EAADB"/>
            </w:tcBorders>
          </w:tcPr>
          <w:p>
            <w:pPr>
              <w:pStyle w:val="TableParagraph"/>
              <w:spacing w:line="210" w:lineRule="exact"/>
              <w:ind w:left="337" w:right="392"/>
              <w:jc w:val="center"/>
              <w:rPr>
                <w:rFonts w:ascii="Times New Roman" w:hAnsi="Times New Roman"/>
                <w:b/>
                <w:sz w:val="20"/>
              </w:rPr>
            </w:pPr>
            <w:r>
              <w:rPr>
                <w:rFonts w:ascii="Times New Roman" w:hAnsi="Times New Roman"/>
                <w:b/>
                <w:sz w:val="20"/>
              </w:rPr>
              <w:t>Patrimônio Líquido</w:t>
            </w:r>
          </w:p>
        </w:tc>
        <w:tc>
          <w:tcPr>
            <w:tcW w:w="1516" w:type="dxa"/>
            <w:tcBorders>
              <w:top w:val="single" w:sz="4" w:space="0" w:color="8EAADB"/>
              <w:bottom w:val="single" w:sz="4" w:space="0" w:color="8EAADB"/>
            </w:tcBorders>
          </w:tcPr>
          <w:p>
            <w:pPr>
              <w:pStyle w:val="TableParagraph"/>
              <w:spacing w:line="210" w:lineRule="exact"/>
              <w:ind w:left="408" w:right="417"/>
              <w:jc w:val="center"/>
              <w:rPr>
                <w:rFonts w:ascii="Times New Roman"/>
                <w:b/>
                <w:sz w:val="20"/>
              </w:rPr>
            </w:pPr>
            <w:r>
              <w:rPr>
                <w:rFonts w:ascii="Times New Roman"/>
                <w:b/>
                <w:sz w:val="20"/>
              </w:rPr>
              <w:t>308.566</w:t>
            </w:r>
          </w:p>
        </w:tc>
        <w:tc>
          <w:tcPr>
            <w:tcW w:w="1521" w:type="dxa"/>
            <w:tcBorders>
              <w:top w:val="single" w:sz="4" w:space="0" w:color="8EAADB"/>
              <w:bottom w:val="single" w:sz="4" w:space="0" w:color="8EAADB"/>
            </w:tcBorders>
          </w:tcPr>
          <w:p>
            <w:pPr>
              <w:pStyle w:val="TableParagraph"/>
              <w:spacing w:line="210" w:lineRule="exact"/>
              <w:ind w:right="418"/>
              <w:jc w:val="right"/>
              <w:rPr>
                <w:rFonts w:ascii="Times New Roman"/>
                <w:b/>
                <w:sz w:val="20"/>
              </w:rPr>
            </w:pPr>
            <w:r>
              <w:rPr>
                <w:rFonts w:ascii="Times New Roman"/>
                <w:b/>
                <w:w w:val="95"/>
                <w:sz w:val="20"/>
              </w:rPr>
              <w:t>283.004</w:t>
            </w:r>
          </w:p>
        </w:tc>
        <w:tc>
          <w:tcPr>
            <w:tcW w:w="1742" w:type="dxa"/>
            <w:tcBorders>
              <w:top w:val="single" w:sz="4" w:space="0" w:color="8EAADB"/>
              <w:bottom w:val="single" w:sz="4" w:space="0" w:color="8EAADB"/>
              <w:right w:val="single" w:sz="4" w:space="0" w:color="8EAADB"/>
            </w:tcBorders>
          </w:tcPr>
          <w:p>
            <w:pPr>
              <w:pStyle w:val="TableParagraph"/>
              <w:spacing w:line="207" w:lineRule="exact" w:before="2"/>
              <w:ind w:left="327" w:right="328"/>
              <w:jc w:val="center"/>
              <w:rPr>
                <w:rFonts w:ascii="Times New Roman"/>
                <w:b/>
                <w:sz w:val="20"/>
              </w:rPr>
            </w:pPr>
            <w:r>
              <w:rPr>
                <w:rFonts w:ascii="Times New Roman"/>
                <w:b/>
                <w:sz w:val="20"/>
              </w:rPr>
              <w:t>9,03%</w:t>
            </w:r>
          </w:p>
        </w:tc>
      </w:tr>
    </w:tbl>
    <w:p>
      <w:pPr>
        <w:spacing w:before="35"/>
        <w:ind w:left="350" w:right="0" w:firstLine="0"/>
        <w:jc w:val="left"/>
        <w:rPr>
          <w:rFonts w:ascii="Times New Roman" w:hAnsi="Times New Roman"/>
          <w:b/>
          <w:sz w:val="16"/>
        </w:rPr>
      </w:pPr>
      <w:r>
        <w:rPr>
          <w:rFonts w:ascii="Times New Roman" w:hAnsi="Times New Roman"/>
          <w:b/>
          <w:sz w:val="16"/>
        </w:rPr>
        <w:t>Fonte: Demonstrações Contábeis da CEB Lajeado S.A.</w:t>
      </w:r>
    </w:p>
    <w:p>
      <w:pPr>
        <w:pStyle w:val="BodyText"/>
        <w:rPr>
          <w:rFonts w:ascii="Times New Roman"/>
          <w:b/>
          <w:sz w:val="18"/>
        </w:rPr>
      </w:pPr>
    </w:p>
    <w:p>
      <w:pPr>
        <w:pStyle w:val="BodyText"/>
        <w:spacing w:before="1"/>
        <w:rPr>
          <w:rFonts w:ascii="Times New Roman"/>
          <w:b/>
          <w:sz w:val="23"/>
        </w:rPr>
      </w:pPr>
    </w:p>
    <w:p>
      <w:pPr>
        <w:spacing w:line="360" w:lineRule="auto" w:before="0"/>
        <w:ind w:left="139" w:right="145" w:firstLine="708"/>
        <w:jc w:val="both"/>
        <w:rPr>
          <w:rFonts w:ascii="Times New Roman" w:hAnsi="Times New Roman"/>
          <w:sz w:val="22"/>
        </w:rPr>
      </w:pPr>
      <w:r>
        <w:rPr>
          <w:rFonts w:ascii="Times New Roman" w:hAnsi="Times New Roman"/>
          <w:sz w:val="22"/>
        </w:rPr>
        <w:t>Após a amortização dos financiamentos contraídos para a construção da UHE Luís Eduardo Magalhães, os resultados líquidos apurados pela CEB Lajeado S.A. vêm se mantendo consistentes ao longo dos anos. A CEB Lajeado</w:t>
      </w:r>
    </w:p>
    <w:p>
      <w:pPr>
        <w:spacing w:line="360" w:lineRule="auto" w:before="1"/>
        <w:ind w:left="139" w:right="0" w:firstLine="0"/>
        <w:jc w:val="left"/>
        <w:rPr>
          <w:rFonts w:ascii="Times New Roman" w:hAnsi="Times New Roman"/>
          <w:sz w:val="22"/>
        </w:rPr>
      </w:pPr>
      <w:r>
        <w:rPr>
          <w:rFonts w:ascii="Times New Roman" w:hAnsi="Times New Roman"/>
          <w:sz w:val="22"/>
        </w:rPr>
        <w:t>S.A. tem cumprido, rigorosamente, com as obrigações legais do exercício, bem como com as metas fixadas pela Administração.</w:t>
      </w:r>
    </w:p>
    <w:p>
      <w:pPr>
        <w:pStyle w:val="BodyText"/>
        <w:spacing w:before="9"/>
        <w:rPr>
          <w:rFonts w:ascii="Times New Roman"/>
        </w:rPr>
      </w:pPr>
    </w:p>
    <w:p>
      <w:pPr>
        <w:spacing w:line="360" w:lineRule="auto" w:before="0"/>
        <w:ind w:left="139" w:right="134" w:firstLine="708"/>
        <w:jc w:val="both"/>
        <w:rPr>
          <w:rFonts w:ascii="Times New Roman" w:hAnsi="Times New Roman"/>
          <w:sz w:val="22"/>
        </w:rPr>
      </w:pPr>
      <w:r>
        <w:rPr>
          <w:rFonts w:ascii="Times New Roman" w:hAnsi="Times New Roman"/>
          <w:sz w:val="22"/>
        </w:rPr>
        <w:t>O exercício também foi caracterizado pelo expressivo desempenho econômico-financeiro da CEB Lajeado S.A, superior</w:t>
      </w:r>
      <w:r>
        <w:rPr>
          <w:rFonts w:ascii="Times New Roman" w:hAnsi="Times New Roman"/>
          <w:spacing w:val="-2"/>
          <w:sz w:val="22"/>
        </w:rPr>
        <w:t> </w:t>
      </w:r>
      <w:r>
        <w:rPr>
          <w:rFonts w:ascii="Times New Roman" w:hAnsi="Times New Roman"/>
          <w:sz w:val="22"/>
        </w:rPr>
        <w:t>ao</w:t>
      </w:r>
      <w:r>
        <w:rPr>
          <w:rFonts w:ascii="Times New Roman" w:hAnsi="Times New Roman"/>
          <w:spacing w:val="-5"/>
          <w:sz w:val="22"/>
        </w:rPr>
        <w:t> </w:t>
      </w:r>
      <w:r>
        <w:rPr>
          <w:rFonts w:ascii="Times New Roman" w:hAnsi="Times New Roman"/>
          <w:sz w:val="22"/>
        </w:rPr>
        <w:t>apurado</w:t>
      </w:r>
      <w:r>
        <w:rPr>
          <w:rFonts w:ascii="Times New Roman" w:hAnsi="Times New Roman"/>
          <w:spacing w:val="-5"/>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2018.</w:t>
      </w:r>
      <w:r>
        <w:rPr>
          <w:rFonts w:ascii="Times New Roman" w:hAnsi="Times New Roman"/>
          <w:spacing w:val="-3"/>
          <w:sz w:val="22"/>
        </w:rPr>
        <w:t> </w:t>
      </w:r>
      <w:r>
        <w:rPr>
          <w:rFonts w:ascii="Times New Roman" w:hAnsi="Times New Roman"/>
          <w:sz w:val="22"/>
        </w:rPr>
        <w:t>No</w:t>
      </w:r>
      <w:r>
        <w:rPr>
          <w:rFonts w:ascii="Times New Roman" w:hAnsi="Times New Roman"/>
          <w:spacing w:val="-3"/>
          <w:sz w:val="22"/>
        </w:rPr>
        <w:t> </w:t>
      </w:r>
      <w:r>
        <w:rPr>
          <w:rFonts w:ascii="Times New Roman" w:hAnsi="Times New Roman"/>
          <w:sz w:val="22"/>
        </w:rPr>
        <w:t>campo</w:t>
      </w:r>
      <w:r>
        <w:rPr>
          <w:rFonts w:ascii="Times New Roman" w:hAnsi="Times New Roman"/>
          <w:spacing w:val="-4"/>
          <w:sz w:val="22"/>
        </w:rPr>
        <w:t> </w:t>
      </w:r>
      <w:r>
        <w:rPr>
          <w:rFonts w:ascii="Times New Roman" w:hAnsi="Times New Roman"/>
          <w:sz w:val="22"/>
        </w:rPr>
        <w:t>econômico</w:t>
      </w:r>
      <w:r>
        <w:rPr>
          <w:rFonts w:ascii="Times New Roman" w:hAnsi="Times New Roman"/>
          <w:spacing w:val="-5"/>
          <w:sz w:val="22"/>
        </w:rPr>
        <w:t> </w:t>
      </w:r>
      <w:r>
        <w:rPr>
          <w:rFonts w:ascii="Times New Roman" w:hAnsi="Times New Roman"/>
          <w:sz w:val="22"/>
        </w:rPr>
        <w:t>a</w:t>
      </w:r>
      <w:r>
        <w:rPr>
          <w:rFonts w:ascii="Times New Roman" w:hAnsi="Times New Roman"/>
          <w:spacing w:val="-5"/>
          <w:sz w:val="22"/>
        </w:rPr>
        <w:t> </w:t>
      </w:r>
      <w:r>
        <w:rPr>
          <w:rFonts w:ascii="Times New Roman" w:hAnsi="Times New Roman"/>
          <w:sz w:val="22"/>
        </w:rPr>
        <w:t>Empresa</w:t>
      </w:r>
      <w:r>
        <w:rPr>
          <w:rFonts w:ascii="Times New Roman" w:hAnsi="Times New Roman"/>
          <w:spacing w:val="-3"/>
          <w:sz w:val="22"/>
        </w:rPr>
        <w:t> </w:t>
      </w:r>
      <w:r>
        <w:rPr>
          <w:rFonts w:ascii="Times New Roman" w:hAnsi="Times New Roman"/>
          <w:sz w:val="22"/>
        </w:rPr>
        <w:t>alcançou</w:t>
      </w:r>
      <w:r>
        <w:rPr>
          <w:rFonts w:ascii="Times New Roman" w:hAnsi="Times New Roman"/>
          <w:spacing w:val="-3"/>
          <w:sz w:val="22"/>
        </w:rPr>
        <w:t> </w:t>
      </w:r>
      <w:r>
        <w:rPr>
          <w:rFonts w:ascii="Times New Roman" w:hAnsi="Times New Roman"/>
          <w:sz w:val="22"/>
        </w:rPr>
        <w:t>um</w:t>
      </w:r>
      <w:r>
        <w:rPr>
          <w:rFonts w:ascii="Times New Roman" w:hAnsi="Times New Roman"/>
          <w:spacing w:val="-6"/>
          <w:sz w:val="22"/>
        </w:rPr>
        <w:t> </w:t>
      </w:r>
      <w:r>
        <w:rPr>
          <w:rFonts w:ascii="Times New Roman" w:hAnsi="Times New Roman"/>
          <w:sz w:val="22"/>
        </w:rPr>
        <w:t>dos</w:t>
      </w:r>
      <w:r>
        <w:rPr>
          <w:rFonts w:ascii="Times New Roman" w:hAnsi="Times New Roman"/>
          <w:spacing w:val="-5"/>
          <w:sz w:val="22"/>
        </w:rPr>
        <w:t> </w:t>
      </w:r>
      <w:r>
        <w:rPr>
          <w:rFonts w:ascii="Times New Roman" w:hAnsi="Times New Roman"/>
          <w:sz w:val="22"/>
        </w:rPr>
        <w:t>maiores</w:t>
      </w:r>
      <w:r>
        <w:rPr>
          <w:rFonts w:ascii="Times New Roman" w:hAnsi="Times New Roman"/>
          <w:spacing w:val="-2"/>
          <w:sz w:val="22"/>
        </w:rPr>
        <w:t> </w:t>
      </w:r>
      <w:r>
        <w:rPr>
          <w:rFonts w:ascii="Times New Roman" w:hAnsi="Times New Roman"/>
          <w:sz w:val="22"/>
        </w:rPr>
        <w:t>resultados</w:t>
      </w:r>
      <w:r>
        <w:rPr>
          <w:rFonts w:ascii="Times New Roman" w:hAnsi="Times New Roman"/>
          <w:spacing w:val="-4"/>
          <w:sz w:val="22"/>
        </w:rPr>
        <w:t> </w:t>
      </w:r>
      <w:r>
        <w:rPr>
          <w:rFonts w:ascii="Times New Roman" w:hAnsi="Times New Roman"/>
          <w:sz w:val="22"/>
        </w:rPr>
        <w:t>desde</w:t>
      </w:r>
      <w:r>
        <w:rPr>
          <w:rFonts w:ascii="Times New Roman" w:hAnsi="Times New Roman"/>
          <w:spacing w:val="-3"/>
          <w:sz w:val="22"/>
        </w:rPr>
        <w:t> </w:t>
      </w:r>
      <w:r>
        <w:rPr>
          <w:rFonts w:ascii="Times New Roman" w:hAnsi="Times New Roman"/>
          <w:sz w:val="22"/>
        </w:rPr>
        <w:t>a</w:t>
      </w:r>
      <w:r>
        <w:rPr>
          <w:rFonts w:ascii="Times New Roman" w:hAnsi="Times New Roman"/>
          <w:spacing w:val="-5"/>
          <w:sz w:val="22"/>
        </w:rPr>
        <w:t> </w:t>
      </w:r>
      <w:r>
        <w:rPr>
          <w:rFonts w:ascii="Times New Roman" w:hAnsi="Times New Roman"/>
          <w:sz w:val="22"/>
        </w:rPr>
        <w:t>sua</w:t>
      </w:r>
      <w:r>
        <w:rPr>
          <w:rFonts w:ascii="Times New Roman" w:hAnsi="Times New Roman"/>
          <w:spacing w:val="1"/>
          <w:sz w:val="22"/>
        </w:rPr>
        <w:t> </w:t>
      </w:r>
      <w:r>
        <w:rPr>
          <w:rFonts w:ascii="Times New Roman" w:hAnsi="Times New Roman"/>
          <w:sz w:val="22"/>
        </w:rPr>
        <w:t>criação, fruto</w:t>
      </w:r>
      <w:r>
        <w:rPr>
          <w:rFonts w:ascii="Times New Roman" w:hAnsi="Times New Roman"/>
          <w:spacing w:val="-12"/>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práticas</w:t>
      </w:r>
      <w:r>
        <w:rPr>
          <w:rFonts w:ascii="Times New Roman" w:hAnsi="Times New Roman"/>
          <w:spacing w:val="-10"/>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governança</w:t>
      </w:r>
      <w:r>
        <w:rPr>
          <w:rFonts w:ascii="Times New Roman" w:hAnsi="Times New Roman"/>
          <w:spacing w:val="-11"/>
          <w:sz w:val="22"/>
        </w:rPr>
        <w:t> </w:t>
      </w:r>
      <w:r>
        <w:rPr>
          <w:rFonts w:ascii="Times New Roman" w:hAnsi="Times New Roman"/>
          <w:sz w:val="22"/>
        </w:rPr>
        <w:t>corporativa</w:t>
      </w:r>
      <w:r>
        <w:rPr>
          <w:rFonts w:ascii="Times New Roman" w:hAnsi="Times New Roman"/>
          <w:spacing w:val="-11"/>
          <w:sz w:val="22"/>
        </w:rPr>
        <w:t> </w:t>
      </w:r>
      <w:r>
        <w:rPr>
          <w:rFonts w:ascii="Times New Roman" w:hAnsi="Times New Roman"/>
          <w:sz w:val="22"/>
        </w:rPr>
        <w:t>eficientes,</w:t>
      </w:r>
      <w:r>
        <w:rPr>
          <w:rFonts w:ascii="Times New Roman" w:hAnsi="Times New Roman"/>
          <w:spacing w:val="-12"/>
          <w:sz w:val="22"/>
        </w:rPr>
        <w:t> </w:t>
      </w:r>
      <w:r>
        <w:rPr>
          <w:rFonts w:ascii="Times New Roman" w:hAnsi="Times New Roman"/>
          <w:sz w:val="22"/>
        </w:rPr>
        <w:t>controle</w:t>
      </w:r>
      <w:r>
        <w:rPr>
          <w:rFonts w:ascii="Times New Roman" w:hAnsi="Times New Roman"/>
          <w:spacing w:val="-13"/>
          <w:sz w:val="22"/>
        </w:rPr>
        <w:t> </w:t>
      </w:r>
      <w:r>
        <w:rPr>
          <w:rFonts w:ascii="Times New Roman" w:hAnsi="Times New Roman"/>
          <w:sz w:val="22"/>
        </w:rPr>
        <w:t>intensivo</w:t>
      </w:r>
      <w:r>
        <w:rPr>
          <w:rFonts w:ascii="Times New Roman" w:hAnsi="Times New Roman"/>
          <w:spacing w:val="-12"/>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custos</w:t>
      </w:r>
      <w:r>
        <w:rPr>
          <w:rFonts w:ascii="Times New Roman" w:hAnsi="Times New Roman"/>
          <w:spacing w:val="-13"/>
          <w:sz w:val="22"/>
        </w:rPr>
        <w:t> </w:t>
      </w:r>
      <w:r>
        <w:rPr>
          <w:rFonts w:ascii="Times New Roman" w:hAnsi="Times New Roman"/>
          <w:sz w:val="22"/>
        </w:rPr>
        <w:t>e</w:t>
      </w:r>
      <w:r>
        <w:rPr>
          <w:rFonts w:ascii="Times New Roman" w:hAnsi="Times New Roman"/>
          <w:spacing w:val="-12"/>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estratégias</w:t>
      </w:r>
      <w:r>
        <w:rPr>
          <w:rFonts w:ascii="Times New Roman" w:hAnsi="Times New Roman"/>
          <w:spacing w:val="-10"/>
          <w:sz w:val="22"/>
        </w:rPr>
        <w:t> </w:t>
      </w:r>
      <w:r>
        <w:rPr>
          <w:rFonts w:ascii="Times New Roman" w:hAnsi="Times New Roman"/>
          <w:sz w:val="22"/>
        </w:rPr>
        <w:t>comerciais</w:t>
      </w:r>
      <w:r>
        <w:rPr>
          <w:rFonts w:ascii="Times New Roman" w:hAnsi="Times New Roman"/>
          <w:spacing w:val="-14"/>
          <w:sz w:val="22"/>
        </w:rPr>
        <w:t> </w:t>
      </w:r>
      <w:r>
        <w:rPr>
          <w:rFonts w:ascii="Times New Roman" w:hAnsi="Times New Roman"/>
          <w:sz w:val="22"/>
        </w:rPr>
        <w:t>adequadas.</w:t>
      </w:r>
    </w:p>
    <w:p>
      <w:pPr>
        <w:pStyle w:val="BodyText"/>
        <w:spacing w:before="9"/>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Cabe</w:t>
      </w:r>
      <w:r>
        <w:rPr>
          <w:rFonts w:ascii="Times New Roman" w:hAnsi="Times New Roman"/>
          <w:spacing w:val="-3"/>
          <w:sz w:val="22"/>
        </w:rPr>
        <w:t> </w:t>
      </w:r>
      <w:r>
        <w:rPr>
          <w:rFonts w:ascii="Times New Roman" w:hAnsi="Times New Roman"/>
          <w:sz w:val="22"/>
        </w:rPr>
        <w:t>ressaltar</w:t>
      </w:r>
      <w:r>
        <w:rPr>
          <w:rFonts w:ascii="Times New Roman" w:hAnsi="Times New Roman"/>
          <w:spacing w:val="-2"/>
          <w:sz w:val="22"/>
        </w:rPr>
        <w:t> </w:t>
      </w:r>
      <w:r>
        <w:rPr>
          <w:rFonts w:ascii="Times New Roman" w:hAnsi="Times New Roman"/>
          <w:sz w:val="22"/>
        </w:rPr>
        <w:t>que</w:t>
      </w:r>
      <w:r>
        <w:rPr>
          <w:rFonts w:ascii="Times New Roman" w:hAnsi="Times New Roman"/>
          <w:spacing w:val="-3"/>
          <w:sz w:val="22"/>
        </w:rPr>
        <w:t> </w:t>
      </w:r>
      <w:r>
        <w:rPr>
          <w:rFonts w:ascii="Times New Roman" w:hAnsi="Times New Roman"/>
          <w:sz w:val="22"/>
        </w:rPr>
        <w:t>o</w:t>
      </w:r>
      <w:r>
        <w:rPr>
          <w:rFonts w:ascii="Times New Roman" w:hAnsi="Times New Roman"/>
          <w:spacing w:val="-3"/>
          <w:sz w:val="22"/>
        </w:rPr>
        <w:t> </w:t>
      </w:r>
      <w:r>
        <w:rPr>
          <w:rFonts w:ascii="Times New Roman" w:hAnsi="Times New Roman"/>
          <w:sz w:val="22"/>
        </w:rPr>
        <w:t>Ministério</w:t>
      </w:r>
      <w:r>
        <w:rPr>
          <w:rFonts w:ascii="Times New Roman" w:hAnsi="Times New Roman"/>
          <w:spacing w:val="-4"/>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Minas</w:t>
      </w:r>
      <w:r>
        <w:rPr>
          <w:rFonts w:ascii="Times New Roman" w:hAnsi="Times New Roman"/>
          <w:spacing w:val="-3"/>
          <w:sz w:val="22"/>
        </w:rPr>
        <w:t> </w:t>
      </w:r>
      <w:r>
        <w:rPr>
          <w:rFonts w:ascii="Times New Roman" w:hAnsi="Times New Roman"/>
          <w:sz w:val="22"/>
        </w:rPr>
        <w:t>e</w:t>
      </w:r>
      <w:r>
        <w:rPr>
          <w:rFonts w:ascii="Times New Roman" w:hAnsi="Times New Roman"/>
          <w:spacing w:val="-2"/>
          <w:sz w:val="22"/>
        </w:rPr>
        <w:t> </w:t>
      </w:r>
      <w:r>
        <w:rPr>
          <w:rFonts w:ascii="Times New Roman" w:hAnsi="Times New Roman"/>
          <w:sz w:val="22"/>
        </w:rPr>
        <w:t>Energia</w:t>
      </w:r>
      <w:r>
        <w:rPr>
          <w:rFonts w:ascii="Times New Roman" w:hAnsi="Times New Roman"/>
          <w:spacing w:val="-3"/>
          <w:sz w:val="22"/>
        </w:rPr>
        <w:t> </w:t>
      </w:r>
      <w:r>
        <w:rPr>
          <w:rFonts w:ascii="Times New Roman" w:hAnsi="Times New Roman"/>
          <w:sz w:val="22"/>
        </w:rPr>
        <w:t>publicou</w:t>
      </w:r>
      <w:r>
        <w:rPr>
          <w:rFonts w:ascii="Times New Roman" w:hAnsi="Times New Roman"/>
          <w:spacing w:val="-2"/>
          <w:sz w:val="22"/>
        </w:rPr>
        <w:t> </w:t>
      </w:r>
      <w:r>
        <w:rPr>
          <w:rFonts w:ascii="Times New Roman" w:hAnsi="Times New Roman"/>
          <w:sz w:val="22"/>
        </w:rPr>
        <w:t>a</w:t>
      </w:r>
      <w:r>
        <w:rPr>
          <w:rFonts w:ascii="Times New Roman" w:hAnsi="Times New Roman"/>
          <w:spacing w:val="-2"/>
          <w:sz w:val="22"/>
        </w:rPr>
        <w:t> </w:t>
      </w:r>
      <w:r>
        <w:rPr>
          <w:rFonts w:ascii="Times New Roman" w:hAnsi="Times New Roman"/>
          <w:sz w:val="22"/>
        </w:rPr>
        <w:t>Portaria</w:t>
      </w:r>
      <w:r>
        <w:rPr>
          <w:rFonts w:ascii="Times New Roman" w:hAnsi="Times New Roman"/>
          <w:spacing w:val="-3"/>
          <w:sz w:val="22"/>
        </w:rPr>
        <w:t> </w:t>
      </w:r>
      <w:r>
        <w:rPr>
          <w:rFonts w:ascii="Times New Roman" w:hAnsi="Times New Roman"/>
          <w:sz w:val="22"/>
        </w:rPr>
        <w:t>nº</w:t>
      </w:r>
      <w:r>
        <w:rPr>
          <w:rFonts w:ascii="Times New Roman" w:hAnsi="Times New Roman"/>
          <w:spacing w:val="3"/>
          <w:sz w:val="22"/>
        </w:rPr>
        <w:t> </w:t>
      </w:r>
      <w:r>
        <w:rPr>
          <w:rFonts w:ascii="Times New Roman" w:hAnsi="Times New Roman"/>
          <w:sz w:val="22"/>
        </w:rPr>
        <w:t>178,</w:t>
      </w:r>
      <w:r>
        <w:rPr>
          <w:rFonts w:ascii="Times New Roman" w:hAnsi="Times New Roman"/>
          <w:spacing w:val="-4"/>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3</w:t>
      </w:r>
      <w:r>
        <w:rPr>
          <w:rFonts w:ascii="Times New Roman" w:hAnsi="Times New Roman"/>
          <w:spacing w:val="-4"/>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maio</w:t>
      </w:r>
      <w:r>
        <w:rPr>
          <w:rFonts w:ascii="Times New Roman" w:hAnsi="Times New Roman"/>
          <w:spacing w:val="-4"/>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2017,</w:t>
      </w:r>
      <w:r>
        <w:rPr>
          <w:rFonts w:ascii="Times New Roman" w:hAnsi="Times New Roman"/>
          <w:spacing w:val="-3"/>
          <w:sz w:val="22"/>
        </w:rPr>
        <w:t> </w:t>
      </w:r>
      <w:r>
        <w:rPr>
          <w:rFonts w:ascii="Times New Roman" w:hAnsi="Times New Roman"/>
          <w:sz w:val="22"/>
        </w:rPr>
        <w:t>aprovando a metodologia adotada no relatório "Revisão Ordinária de Garantia Física de Energia das Usinas Hidrelétricas – UHEs Despachadas Centralizadamente no Sistema Interligado Nacional – SIN". O documento determinou uma redução do montante</w:t>
      </w:r>
      <w:r>
        <w:rPr>
          <w:rFonts w:ascii="Times New Roman" w:hAnsi="Times New Roman"/>
          <w:spacing w:val="-14"/>
          <w:sz w:val="22"/>
        </w:rPr>
        <w:t> </w:t>
      </w:r>
      <w:r>
        <w:rPr>
          <w:rFonts w:ascii="Times New Roman" w:hAnsi="Times New Roman"/>
          <w:sz w:val="22"/>
        </w:rPr>
        <w:t>de</w:t>
      </w:r>
      <w:r>
        <w:rPr>
          <w:rFonts w:ascii="Times New Roman" w:hAnsi="Times New Roman"/>
          <w:spacing w:val="-15"/>
          <w:sz w:val="22"/>
        </w:rPr>
        <w:t> </w:t>
      </w:r>
      <w:r>
        <w:rPr>
          <w:rFonts w:ascii="Times New Roman" w:hAnsi="Times New Roman"/>
          <w:sz w:val="22"/>
        </w:rPr>
        <w:t>Garantia</w:t>
      </w:r>
      <w:r>
        <w:rPr>
          <w:rFonts w:ascii="Times New Roman" w:hAnsi="Times New Roman"/>
          <w:spacing w:val="-13"/>
          <w:sz w:val="22"/>
        </w:rPr>
        <w:t> </w:t>
      </w:r>
      <w:r>
        <w:rPr>
          <w:rFonts w:ascii="Times New Roman" w:hAnsi="Times New Roman"/>
          <w:sz w:val="22"/>
        </w:rPr>
        <w:t>Física</w:t>
      </w:r>
      <w:r>
        <w:rPr>
          <w:rFonts w:ascii="Times New Roman" w:hAnsi="Times New Roman"/>
          <w:spacing w:val="-15"/>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Energia</w:t>
      </w:r>
      <w:r>
        <w:rPr>
          <w:rFonts w:ascii="Times New Roman" w:hAnsi="Times New Roman"/>
          <w:spacing w:val="-13"/>
          <w:sz w:val="22"/>
        </w:rPr>
        <w:t> </w:t>
      </w:r>
      <w:r>
        <w:rPr>
          <w:rFonts w:ascii="Times New Roman" w:hAnsi="Times New Roman"/>
          <w:sz w:val="22"/>
        </w:rPr>
        <w:t>da</w:t>
      </w:r>
      <w:r>
        <w:rPr>
          <w:rFonts w:ascii="Times New Roman" w:hAnsi="Times New Roman"/>
          <w:spacing w:val="-13"/>
          <w:sz w:val="22"/>
        </w:rPr>
        <w:t> </w:t>
      </w:r>
      <w:r>
        <w:rPr>
          <w:rFonts w:ascii="Times New Roman" w:hAnsi="Times New Roman"/>
          <w:sz w:val="22"/>
        </w:rPr>
        <w:t>UHE</w:t>
      </w:r>
      <w:r>
        <w:rPr>
          <w:rFonts w:ascii="Times New Roman" w:hAnsi="Times New Roman"/>
          <w:spacing w:val="-15"/>
          <w:sz w:val="22"/>
        </w:rPr>
        <w:t> </w:t>
      </w:r>
      <w:r>
        <w:rPr>
          <w:rFonts w:ascii="Times New Roman" w:hAnsi="Times New Roman"/>
          <w:sz w:val="22"/>
        </w:rPr>
        <w:t>Luís</w:t>
      </w:r>
      <w:r>
        <w:rPr>
          <w:rFonts w:ascii="Times New Roman" w:hAnsi="Times New Roman"/>
          <w:spacing w:val="-13"/>
          <w:sz w:val="22"/>
        </w:rPr>
        <w:t> </w:t>
      </w:r>
      <w:r>
        <w:rPr>
          <w:rFonts w:ascii="Times New Roman" w:hAnsi="Times New Roman"/>
          <w:sz w:val="22"/>
        </w:rPr>
        <w:t>Eduardo</w:t>
      </w:r>
      <w:r>
        <w:rPr>
          <w:rFonts w:ascii="Times New Roman" w:hAnsi="Times New Roman"/>
          <w:spacing w:val="-16"/>
          <w:sz w:val="22"/>
        </w:rPr>
        <w:t> </w:t>
      </w:r>
      <w:r>
        <w:rPr>
          <w:rFonts w:ascii="Times New Roman" w:hAnsi="Times New Roman"/>
          <w:sz w:val="22"/>
        </w:rPr>
        <w:t>Magalhães</w:t>
      </w:r>
      <w:r>
        <w:rPr>
          <w:rFonts w:ascii="Times New Roman" w:hAnsi="Times New Roman"/>
          <w:spacing w:val="-15"/>
          <w:sz w:val="22"/>
        </w:rPr>
        <w:t> </w:t>
      </w:r>
      <w:r>
        <w:rPr>
          <w:rFonts w:ascii="Times New Roman" w:hAnsi="Times New Roman"/>
          <w:sz w:val="22"/>
        </w:rPr>
        <w:t>correspondente</w:t>
      </w:r>
      <w:r>
        <w:rPr>
          <w:rFonts w:ascii="Times New Roman" w:hAnsi="Times New Roman"/>
          <w:spacing w:val="-15"/>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4,08%,</w:t>
      </w:r>
      <w:r>
        <w:rPr>
          <w:rFonts w:ascii="Times New Roman" w:hAnsi="Times New Roman"/>
          <w:spacing w:val="-16"/>
          <w:sz w:val="22"/>
        </w:rPr>
        <w:t> </w:t>
      </w:r>
      <w:r>
        <w:rPr>
          <w:rFonts w:ascii="Times New Roman" w:hAnsi="Times New Roman"/>
          <w:sz w:val="22"/>
        </w:rPr>
        <w:t>diminuindo</w:t>
      </w:r>
      <w:r>
        <w:rPr>
          <w:rFonts w:ascii="Times New Roman" w:hAnsi="Times New Roman"/>
          <w:spacing w:val="-16"/>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Garantia Física da CEB Lajeado S.A. de 104,260 MWmédios para 100,010</w:t>
      </w:r>
      <w:r>
        <w:rPr>
          <w:rFonts w:ascii="Times New Roman" w:hAnsi="Times New Roman"/>
          <w:spacing w:val="-3"/>
          <w:sz w:val="22"/>
        </w:rPr>
        <w:t> </w:t>
      </w:r>
      <w:r>
        <w:rPr>
          <w:rFonts w:ascii="Times New Roman" w:hAnsi="Times New Roman"/>
          <w:sz w:val="22"/>
        </w:rPr>
        <w:t>MWmédios.</w:t>
      </w:r>
    </w:p>
    <w:p>
      <w:pPr>
        <w:pStyle w:val="BodyText"/>
        <w:spacing w:before="1"/>
        <w:rPr>
          <w:rFonts w:ascii="Times New Roman"/>
          <w:sz w:val="13"/>
        </w:rPr>
      </w:pPr>
    </w:p>
    <w:p>
      <w:pPr>
        <w:spacing w:before="91"/>
        <w:ind w:left="847" w:right="0" w:firstLine="0"/>
        <w:jc w:val="left"/>
        <w:rPr>
          <w:rFonts w:ascii="Times New Roman" w:hAnsi="Times New Roman"/>
          <w:sz w:val="22"/>
        </w:rPr>
      </w:pPr>
      <w:r>
        <w:rPr>
          <w:rFonts w:ascii="Times New Roman" w:hAnsi="Times New Roman"/>
          <w:sz w:val="22"/>
        </w:rPr>
        <w:t>Observa-se bons resultados na apuração do EBITDA e do Lucro Líquido, conforme verifica-se no quadro a</w:t>
      </w:r>
    </w:p>
    <w:p>
      <w:pPr>
        <w:spacing w:before="126"/>
        <w:ind w:left="139" w:right="0" w:firstLine="0"/>
        <w:jc w:val="left"/>
        <w:rPr>
          <w:rFonts w:ascii="Times New Roman"/>
          <w:sz w:val="22"/>
        </w:rPr>
      </w:pPr>
      <w:r>
        <w:rPr>
          <w:rFonts w:ascii="Times New Roman"/>
          <w:sz w:val="22"/>
        </w:rPr>
        <w:t>seguir:</w:t>
      </w:r>
    </w:p>
    <w:p>
      <w:pPr>
        <w:pStyle w:val="BodyText"/>
        <w:rPr>
          <w:rFonts w:ascii="Times New Roman"/>
        </w:rPr>
      </w:pPr>
    </w:p>
    <w:p>
      <w:pPr>
        <w:pStyle w:val="BodyText"/>
        <w:spacing w:before="8"/>
        <w:rPr>
          <w:rFonts w:ascii="Times New Roman"/>
          <w:sz w:val="13"/>
        </w:rPr>
      </w:pPr>
    </w:p>
    <w:tbl>
      <w:tblPr>
        <w:tblW w:w="0" w:type="auto"/>
        <w:jc w:val="left"/>
        <w:tblInd w:w="231"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top w:w="0" w:type="dxa"/>
          <w:left w:w="0" w:type="dxa"/>
          <w:bottom w:w="0" w:type="dxa"/>
          <w:right w:w="0" w:type="dxa"/>
        </w:tblCellMar>
        <w:tblLook w:val="01E0"/>
      </w:tblPr>
      <w:tblGrid>
        <w:gridCol w:w="1731"/>
        <w:gridCol w:w="1551"/>
        <w:gridCol w:w="1390"/>
        <w:gridCol w:w="1730"/>
        <w:gridCol w:w="1733"/>
        <w:gridCol w:w="1843"/>
      </w:tblGrid>
      <w:tr>
        <w:trPr>
          <w:trHeight w:val="433" w:hRule="atLeast"/>
        </w:trPr>
        <w:tc>
          <w:tcPr>
            <w:tcW w:w="1731" w:type="dxa"/>
            <w:tcBorders>
              <w:bottom w:val="single" w:sz="4" w:space="0" w:color="000000"/>
              <w:right w:val="single" w:sz="4" w:space="0" w:color="000000"/>
            </w:tcBorders>
            <w:shd w:val="clear" w:color="auto" w:fill="C5D9F0"/>
          </w:tcPr>
          <w:p>
            <w:pPr>
              <w:pStyle w:val="TableParagraph"/>
              <w:spacing w:before="121"/>
              <w:ind w:left="448"/>
              <w:rPr>
                <w:rFonts w:ascii="Verdana" w:hAnsi="Verdana"/>
                <w:b/>
                <w:sz w:val="16"/>
              </w:rPr>
            </w:pPr>
            <w:r>
              <w:rPr>
                <w:rFonts w:ascii="Verdana" w:hAnsi="Verdana"/>
                <w:b/>
                <w:sz w:val="16"/>
              </w:rPr>
              <w:t>Exercício</w:t>
            </w:r>
          </w:p>
        </w:tc>
        <w:tc>
          <w:tcPr>
            <w:tcW w:w="1551" w:type="dxa"/>
            <w:tcBorders>
              <w:left w:val="single" w:sz="4" w:space="0" w:color="000000"/>
              <w:bottom w:val="single" w:sz="4" w:space="0" w:color="000000"/>
              <w:right w:val="single" w:sz="4" w:space="0" w:color="000000"/>
            </w:tcBorders>
            <w:shd w:val="clear" w:color="auto" w:fill="C5D9F0"/>
          </w:tcPr>
          <w:p>
            <w:pPr>
              <w:pStyle w:val="TableParagraph"/>
              <w:spacing w:before="121"/>
              <w:ind w:left="530" w:right="516"/>
              <w:jc w:val="center"/>
              <w:rPr>
                <w:rFonts w:ascii="Verdana"/>
                <w:b/>
                <w:sz w:val="16"/>
              </w:rPr>
            </w:pPr>
            <w:r>
              <w:rPr>
                <w:rFonts w:ascii="Verdana"/>
                <w:b/>
                <w:sz w:val="16"/>
              </w:rPr>
              <w:t>2017</w:t>
            </w:r>
          </w:p>
        </w:tc>
        <w:tc>
          <w:tcPr>
            <w:tcW w:w="1390" w:type="dxa"/>
            <w:tcBorders>
              <w:left w:val="single" w:sz="4" w:space="0" w:color="000000"/>
              <w:bottom w:val="single" w:sz="4" w:space="0" w:color="000000"/>
              <w:right w:val="single" w:sz="4" w:space="0" w:color="000000"/>
            </w:tcBorders>
            <w:shd w:val="clear" w:color="auto" w:fill="C5D9F0"/>
          </w:tcPr>
          <w:p>
            <w:pPr>
              <w:pStyle w:val="TableParagraph"/>
              <w:spacing w:before="121"/>
              <w:ind w:left="467"/>
              <w:rPr>
                <w:rFonts w:ascii="Verdana"/>
                <w:b/>
                <w:sz w:val="16"/>
              </w:rPr>
            </w:pPr>
            <w:r>
              <w:rPr>
                <w:rFonts w:ascii="Verdana"/>
                <w:b/>
                <w:sz w:val="16"/>
              </w:rPr>
              <w:t>2018</w:t>
            </w:r>
          </w:p>
        </w:tc>
        <w:tc>
          <w:tcPr>
            <w:tcW w:w="1730" w:type="dxa"/>
            <w:tcBorders>
              <w:left w:val="single" w:sz="4" w:space="0" w:color="000000"/>
              <w:bottom w:val="single" w:sz="4" w:space="0" w:color="000000"/>
              <w:right w:val="single" w:sz="4" w:space="0" w:color="000000"/>
            </w:tcBorders>
            <w:shd w:val="clear" w:color="auto" w:fill="C5D9F0"/>
          </w:tcPr>
          <w:p>
            <w:pPr>
              <w:pStyle w:val="TableParagraph"/>
              <w:spacing w:before="121"/>
              <w:ind w:left="621" w:right="604"/>
              <w:jc w:val="center"/>
              <w:rPr>
                <w:rFonts w:ascii="Verdana"/>
                <w:b/>
                <w:sz w:val="16"/>
              </w:rPr>
            </w:pPr>
            <w:r>
              <w:rPr>
                <w:rFonts w:ascii="Verdana"/>
                <w:b/>
                <w:sz w:val="16"/>
              </w:rPr>
              <w:t>2019</w:t>
            </w:r>
          </w:p>
        </w:tc>
        <w:tc>
          <w:tcPr>
            <w:tcW w:w="1733" w:type="dxa"/>
            <w:tcBorders>
              <w:left w:val="single" w:sz="4" w:space="0" w:color="000000"/>
              <w:bottom w:val="single" w:sz="4" w:space="0" w:color="000000"/>
              <w:right w:val="single" w:sz="4" w:space="0" w:color="000000"/>
            </w:tcBorders>
            <w:shd w:val="clear" w:color="auto" w:fill="C5D9F0"/>
          </w:tcPr>
          <w:p>
            <w:pPr>
              <w:pStyle w:val="TableParagraph"/>
              <w:spacing w:before="121"/>
              <w:ind w:left="268"/>
              <w:rPr>
                <w:rFonts w:ascii="Verdana" w:hAnsi="Verdana"/>
                <w:b/>
                <w:sz w:val="16"/>
              </w:rPr>
            </w:pPr>
            <w:r>
              <w:rPr>
                <w:rFonts w:ascii="Verdana" w:hAnsi="Verdana"/>
                <w:b/>
                <w:sz w:val="16"/>
              </w:rPr>
              <w:t>Δ</w:t>
            </w:r>
            <w:r>
              <w:rPr>
                <w:rFonts w:ascii="Verdana" w:hAnsi="Verdana"/>
                <w:b/>
                <w:spacing w:val="51"/>
                <w:sz w:val="16"/>
              </w:rPr>
              <w:t> </w:t>
            </w:r>
            <w:r>
              <w:rPr>
                <w:rFonts w:ascii="Verdana" w:hAnsi="Verdana"/>
                <w:b/>
                <w:sz w:val="16"/>
              </w:rPr>
              <w:t>2018/2017</w:t>
            </w:r>
          </w:p>
        </w:tc>
        <w:tc>
          <w:tcPr>
            <w:tcW w:w="1843" w:type="dxa"/>
            <w:tcBorders>
              <w:left w:val="single" w:sz="4" w:space="0" w:color="000000"/>
              <w:bottom w:val="single" w:sz="4" w:space="0" w:color="000000"/>
            </w:tcBorders>
            <w:shd w:val="clear" w:color="auto" w:fill="C5D9F0"/>
          </w:tcPr>
          <w:p>
            <w:pPr>
              <w:pStyle w:val="TableParagraph"/>
              <w:spacing w:before="121"/>
              <w:ind w:left="321"/>
              <w:rPr>
                <w:rFonts w:ascii="Verdana" w:hAnsi="Verdana"/>
                <w:b/>
                <w:sz w:val="16"/>
              </w:rPr>
            </w:pPr>
            <w:r>
              <w:rPr>
                <w:rFonts w:ascii="Verdana" w:hAnsi="Verdana"/>
                <w:b/>
                <w:sz w:val="16"/>
              </w:rPr>
              <w:t>Δ</w:t>
            </w:r>
            <w:r>
              <w:rPr>
                <w:rFonts w:ascii="Verdana" w:hAnsi="Verdana"/>
                <w:b/>
                <w:spacing w:val="51"/>
                <w:sz w:val="16"/>
              </w:rPr>
              <w:t> </w:t>
            </w:r>
            <w:r>
              <w:rPr>
                <w:rFonts w:ascii="Verdana" w:hAnsi="Verdana"/>
                <w:b/>
                <w:sz w:val="16"/>
              </w:rPr>
              <w:t>2019/2018</w:t>
            </w:r>
          </w:p>
        </w:tc>
      </w:tr>
      <w:tr>
        <w:trPr>
          <w:trHeight w:val="330" w:hRule="atLeast"/>
        </w:trPr>
        <w:tc>
          <w:tcPr>
            <w:tcW w:w="1731" w:type="dxa"/>
            <w:tcBorders>
              <w:top w:val="single" w:sz="4" w:space="0" w:color="000000"/>
              <w:bottom w:val="single" w:sz="4" w:space="0" w:color="000000"/>
              <w:right w:val="single" w:sz="4" w:space="0" w:color="000000"/>
            </w:tcBorders>
          </w:tcPr>
          <w:p>
            <w:pPr>
              <w:pStyle w:val="TableParagraph"/>
              <w:spacing w:before="71"/>
              <w:ind w:left="57"/>
              <w:rPr>
                <w:rFonts w:ascii="Verdana" w:hAnsi="Verdana"/>
                <w:sz w:val="16"/>
              </w:rPr>
            </w:pPr>
            <w:r>
              <w:rPr>
                <w:rFonts w:ascii="Verdana" w:hAnsi="Verdana"/>
                <w:sz w:val="16"/>
              </w:rPr>
              <w:t>Lucro Líquido</w:t>
            </w:r>
          </w:p>
        </w:tc>
        <w:tc>
          <w:tcPr>
            <w:tcW w:w="1551" w:type="dxa"/>
            <w:tcBorders>
              <w:top w:val="single" w:sz="4" w:space="0" w:color="000000"/>
              <w:left w:val="single" w:sz="4" w:space="0" w:color="000000"/>
              <w:bottom w:val="single" w:sz="4" w:space="0" w:color="000000"/>
              <w:right w:val="single" w:sz="4" w:space="0" w:color="000000"/>
            </w:tcBorders>
          </w:tcPr>
          <w:p>
            <w:pPr>
              <w:pStyle w:val="TableParagraph"/>
              <w:spacing w:before="71"/>
              <w:ind w:right="56"/>
              <w:jc w:val="right"/>
              <w:rPr>
                <w:rFonts w:ascii="Verdana"/>
                <w:sz w:val="16"/>
              </w:rPr>
            </w:pPr>
            <w:r>
              <w:rPr>
                <w:rFonts w:ascii="Verdana"/>
                <w:sz w:val="16"/>
              </w:rPr>
              <w:t>45.676</w:t>
            </w:r>
          </w:p>
        </w:tc>
        <w:tc>
          <w:tcPr>
            <w:tcW w:w="1390" w:type="dxa"/>
            <w:tcBorders>
              <w:top w:val="single" w:sz="4" w:space="0" w:color="000000"/>
              <w:left w:val="single" w:sz="4" w:space="0" w:color="000000"/>
              <w:bottom w:val="single" w:sz="4" w:space="0" w:color="000000"/>
              <w:right w:val="single" w:sz="4" w:space="0" w:color="000000"/>
            </w:tcBorders>
          </w:tcPr>
          <w:p>
            <w:pPr>
              <w:pStyle w:val="TableParagraph"/>
              <w:spacing w:before="71"/>
              <w:ind w:right="57"/>
              <w:jc w:val="right"/>
              <w:rPr>
                <w:rFonts w:ascii="Verdana"/>
                <w:sz w:val="16"/>
              </w:rPr>
            </w:pPr>
            <w:r>
              <w:rPr>
                <w:rFonts w:ascii="Verdana"/>
                <w:sz w:val="16"/>
              </w:rPr>
              <w:t>47.149</w:t>
            </w:r>
          </w:p>
        </w:tc>
        <w:tc>
          <w:tcPr>
            <w:tcW w:w="1730" w:type="dxa"/>
            <w:tcBorders>
              <w:top w:val="single" w:sz="4" w:space="0" w:color="000000"/>
              <w:left w:val="single" w:sz="4" w:space="0" w:color="000000"/>
              <w:bottom w:val="single" w:sz="4" w:space="0" w:color="000000"/>
              <w:right w:val="single" w:sz="4" w:space="0" w:color="000000"/>
            </w:tcBorders>
          </w:tcPr>
          <w:p>
            <w:pPr>
              <w:pStyle w:val="TableParagraph"/>
              <w:spacing w:before="71"/>
              <w:ind w:right="54"/>
              <w:jc w:val="right"/>
              <w:rPr>
                <w:rFonts w:ascii="Verdana"/>
                <w:sz w:val="16"/>
              </w:rPr>
            </w:pPr>
            <w:r>
              <w:rPr>
                <w:rFonts w:ascii="Verdana"/>
                <w:sz w:val="16"/>
              </w:rPr>
              <w:t>68.612</w:t>
            </w:r>
          </w:p>
        </w:tc>
        <w:tc>
          <w:tcPr>
            <w:tcW w:w="1733" w:type="dxa"/>
            <w:tcBorders>
              <w:top w:val="single" w:sz="4" w:space="0" w:color="000000"/>
              <w:left w:val="single" w:sz="4" w:space="0" w:color="000000"/>
              <w:bottom w:val="single" w:sz="4" w:space="0" w:color="000000"/>
              <w:right w:val="single" w:sz="4" w:space="0" w:color="000000"/>
            </w:tcBorders>
          </w:tcPr>
          <w:p>
            <w:pPr>
              <w:pStyle w:val="TableParagraph"/>
              <w:spacing w:before="71"/>
              <w:ind w:right="52"/>
              <w:jc w:val="right"/>
              <w:rPr>
                <w:rFonts w:ascii="Verdana"/>
                <w:sz w:val="16"/>
              </w:rPr>
            </w:pPr>
            <w:r>
              <w:rPr>
                <w:rFonts w:ascii="Verdana"/>
                <w:sz w:val="16"/>
              </w:rPr>
              <w:t>3,22%</w:t>
            </w:r>
          </w:p>
        </w:tc>
        <w:tc>
          <w:tcPr>
            <w:tcW w:w="1843" w:type="dxa"/>
            <w:tcBorders>
              <w:top w:val="single" w:sz="4" w:space="0" w:color="000000"/>
              <w:left w:val="single" w:sz="4" w:space="0" w:color="000000"/>
              <w:bottom w:val="single" w:sz="4" w:space="0" w:color="000000"/>
            </w:tcBorders>
          </w:tcPr>
          <w:p>
            <w:pPr>
              <w:pStyle w:val="TableParagraph"/>
              <w:spacing w:before="71"/>
              <w:ind w:right="34"/>
              <w:jc w:val="right"/>
              <w:rPr>
                <w:rFonts w:ascii="Verdana"/>
                <w:sz w:val="16"/>
              </w:rPr>
            </w:pPr>
            <w:r>
              <w:rPr>
                <w:rFonts w:ascii="Verdana"/>
                <w:sz w:val="16"/>
              </w:rPr>
              <w:t>45,52%</w:t>
            </w:r>
          </w:p>
        </w:tc>
      </w:tr>
      <w:tr>
        <w:trPr>
          <w:trHeight w:val="333" w:hRule="atLeast"/>
        </w:trPr>
        <w:tc>
          <w:tcPr>
            <w:tcW w:w="1731" w:type="dxa"/>
            <w:tcBorders>
              <w:top w:val="single" w:sz="4" w:space="0" w:color="000000"/>
              <w:bottom w:val="single" w:sz="4" w:space="0" w:color="000000"/>
              <w:right w:val="single" w:sz="4" w:space="0" w:color="000000"/>
            </w:tcBorders>
          </w:tcPr>
          <w:p>
            <w:pPr>
              <w:pStyle w:val="TableParagraph"/>
              <w:spacing w:before="71"/>
              <w:ind w:left="57"/>
              <w:rPr>
                <w:rFonts w:ascii="Verdana"/>
                <w:sz w:val="16"/>
              </w:rPr>
            </w:pPr>
            <w:r>
              <w:rPr>
                <w:rFonts w:ascii="Verdana"/>
                <w:sz w:val="16"/>
              </w:rPr>
              <w:t>Ebitda</w:t>
            </w:r>
          </w:p>
        </w:tc>
        <w:tc>
          <w:tcPr>
            <w:tcW w:w="1551" w:type="dxa"/>
            <w:tcBorders>
              <w:top w:val="single" w:sz="4" w:space="0" w:color="000000"/>
              <w:left w:val="single" w:sz="4" w:space="0" w:color="000000"/>
              <w:bottom w:val="single" w:sz="4" w:space="0" w:color="000000"/>
              <w:right w:val="single" w:sz="4" w:space="0" w:color="000000"/>
            </w:tcBorders>
          </w:tcPr>
          <w:p>
            <w:pPr>
              <w:pStyle w:val="TableParagraph"/>
              <w:spacing w:before="71"/>
              <w:ind w:right="56"/>
              <w:jc w:val="right"/>
              <w:rPr>
                <w:rFonts w:ascii="Verdana"/>
                <w:sz w:val="16"/>
              </w:rPr>
            </w:pPr>
            <w:r>
              <w:rPr>
                <w:rFonts w:ascii="Verdana"/>
                <w:sz w:val="16"/>
              </w:rPr>
              <w:t>72.845</w:t>
            </w:r>
          </w:p>
        </w:tc>
        <w:tc>
          <w:tcPr>
            <w:tcW w:w="1390" w:type="dxa"/>
            <w:tcBorders>
              <w:top w:val="single" w:sz="4" w:space="0" w:color="000000"/>
              <w:left w:val="single" w:sz="4" w:space="0" w:color="000000"/>
              <w:bottom w:val="single" w:sz="4" w:space="0" w:color="000000"/>
              <w:right w:val="single" w:sz="4" w:space="0" w:color="000000"/>
            </w:tcBorders>
          </w:tcPr>
          <w:p>
            <w:pPr>
              <w:pStyle w:val="TableParagraph"/>
              <w:spacing w:before="71"/>
              <w:ind w:right="57"/>
              <w:jc w:val="right"/>
              <w:rPr>
                <w:rFonts w:ascii="Verdana"/>
                <w:sz w:val="16"/>
              </w:rPr>
            </w:pPr>
            <w:r>
              <w:rPr>
                <w:rFonts w:ascii="Verdana"/>
                <w:sz w:val="16"/>
              </w:rPr>
              <w:t>75.767</w:t>
            </w:r>
          </w:p>
        </w:tc>
        <w:tc>
          <w:tcPr>
            <w:tcW w:w="1730" w:type="dxa"/>
            <w:tcBorders>
              <w:top w:val="single" w:sz="4" w:space="0" w:color="000000"/>
              <w:left w:val="single" w:sz="4" w:space="0" w:color="000000"/>
              <w:bottom w:val="single" w:sz="4" w:space="0" w:color="000000"/>
              <w:right w:val="single" w:sz="4" w:space="0" w:color="000000"/>
            </w:tcBorders>
          </w:tcPr>
          <w:p>
            <w:pPr>
              <w:pStyle w:val="TableParagraph"/>
              <w:spacing w:before="71"/>
              <w:ind w:right="51"/>
              <w:jc w:val="right"/>
              <w:rPr>
                <w:rFonts w:ascii="Verdana"/>
                <w:sz w:val="16"/>
              </w:rPr>
            </w:pPr>
            <w:r>
              <w:rPr>
                <w:rFonts w:ascii="Verdana"/>
                <w:sz w:val="16"/>
              </w:rPr>
              <w:t>111.258</w:t>
            </w:r>
          </w:p>
        </w:tc>
        <w:tc>
          <w:tcPr>
            <w:tcW w:w="1733" w:type="dxa"/>
            <w:tcBorders>
              <w:top w:val="single" w:sz="4" w:space="0" w:color="000000"/>
              <w:left w:val="single" w:sz="4" w:space="0" w:color="000000"/>
              <w:bottom w:val="single" w:sz="4" w:space="0" w:color="000000"/>
              <w:right w:val="single" w:sz="4" w:space="0" w:color="000000"/>
            </w:tcBorders>
          </w:tcPr>
          <w:p>
            <w:pPr>
              <w:pStyle w:val="TableParagraph"/>
              <w:spacing w:before="71"/>
              <w:ind w:right="52"/>
              <w:jc w:val="right"/>
              <w:rPr>
                <w:rFonts w:ascii="Verdana"/>
                <w:sz w:val="16"/>
              </w:rPr>
            </w:pPr>
            <w:r>
              <w:rPr>
                <w:rFonts w:ascii="Verdana"/>
                <w:sz w:val="16"/>
              </w:rPr>
              <w:t>4,01%</w:t>
            </w:r>
          </w:p>
        </w:tc>
        <w:tc>
          <w:tcPr>
            <w:tcW w:w="1843" w:type="dxa"/>
            <w:tcBorders>
              <w:top w:val="single" w:sz="4" w:space="0" w:color="000000"/>
              <w:left w:val="single" w:sz="4" w:space="0" w:color="000000"/>
              <w:bottom w:val="single" w:sz="4" w:space="0" w:color="000000"/>
            </w:tcBorders>
          </w:tcPr>
          <w:p>
            <w:pPr>
              <w:pStyle w:val="TableParagraph"/>
              <w:spacing w:before="71"/>
              <w:ind w:right="34"/>
              <w:jc w:val="right"/>
              <w:rPr>
                <w:rFonts w:ascii="Verdana"/>
                <w:sz w:val="16"/>
              </w:rPr>
            </w:pPr>
            <w:r>
              <w:rPr>
                <w:rFonts w:ascii="Verdana"/>
                <w:sz w:val="16"/>
              </w:rPr>
              <w:t>46,84%</w:t>
            </w:r>
          </w:p>
        </w:tc>
      </w:tr>
      <w:tr>
        <w:trPr>
          <w:trHeight w:val="349" w:hRule="atLeast"/>
        </w:trPr>
        <w:tc>
          <w:tcPr>
            <w:tcW w:w="1731" w:type="dxa"/>
            <w:tcBorders>
              <w:top w:val="single" w:sz="4" w:space="0" w:color="000000"/>
              <w:right w:val="single" w:sz="4" w:space="0" w:color="000000"/>
            </w:tcBorders>
          </w:tcPr>
          <w:p>
            <w:pPr>
              <w:pStyle w:val="TableParagraph"/>
              <w:spacing w:before="79"/>
              <w:ind w:left="57"/>
              <w:rPr>
                <w:rFonts w:ascii="Verdana"/>
                <w:sz w:val="16"/>
              </w:rPr>
            </w:pPr>
            <w:r>
              <w:rPr>
                <w:rFonts w:ascii="Verdana"/>
                <w:sz w:val="16"/>
              </w:rPr>
              <w:t>Margem Ebitda</w:t>
            </w:r>
          </w:p>
        </w:tc>
        <w:tc>
          <w:tcPr>
            <w:tcW w:w="1551" w:type="dxa"/>
            <w:tcBorders>
              <w:top w:val="single" w:sz="4" w:space="0" w:color="000000"/>
              <w:left w:val="single" w:sz="4" w:space="0" w:color="000000"/>
              <w:right w:val="single" w:sz="4" w:space="0" w:color="000000"/>
            </w:tcBorders>
          </w:tcPr>
          <w:p>
            <w:pPr>
              <w:pStyle w:val="TableParagraph"/>
              <w:spacing w:before="79"/>
              <w:ind w:right="53"/>
              <w:jc w:val="right"/>
              <w:rPr>
                <w:rFonts w:ascii="Verdana"/>
                <w:sz w:val="16"/>
              </w:rPr>
            </w:pPr>
            <w:r>
              <w:rPr>
                <w:rFonts w:ascii="Verdana"/>
                <w:sz w:val="16"/>
              </w:rPr>
              <w:t>42,4%</w:t>
            </w:r>
          </w:p>
        </w:tc>
        <w:tc>
          <w:tcPr>
            <w:tcW w:w="1390" w:type="dxa"/>
            <w:tcBorders>
              <w:top w:val="single" w:sz="4" w:space="0" w:color="000000"/>
              <w:left w:val="single" w:sz="4" w:space="0" w:color="000000"/>
              <w:right w:val="single" w:sz="4" w:space="0" w:color="000000"/>
            </w:tcBorders>
          </w:tcPr>
          <w:p>
            <w:pPr>
              <w:pStyle w:val="TableParagraph"/>
              <w:spacing w:before="79"/>
              <w:ind w:right="53"/>
              <w:jc w:val="right"/>
              <w:rPr>
                <w:rFonts w:ascii="Verdana"/>
                <w:sz w:val="16"/>
              </w:rPr>
            </w:pPr>
            <w:r>
              <w:rPr>
                <w:rFonts w:ascii="Verdana"/>
                <w:sz w:val="16"/>
              </w:rPr>
              <w:t>44,2%</w:t>
            </w:r>
          </w:p>
        </w:tc>
        <w:tc>
          <w:tcPr>
            <w:tcW w:w="1730" w:type="dxa"/>
            <w:tcBorders>
              <w:top w:val="single" w:sz="4" w:space="0" w:color="000000"/>
              <w:left w:val="single" w:sz="4" w:space="0" w:color="000000"/>
              <w:right w:val="single" w:sz="4" w:space="0" w:color="000000"/>
            </w:tcBorders>
          </w:tcPr>
          <w:p>
            <w:pPr>
              <w:pStyle w:val="TableParagraph"/>
              <w:spacing w:before="79"/>
              <w:ind w:right="50"/>
              <w:jc w:val="right"/>
              <w:rPr>
                <w:rFonts w:ascii="Verdana"/>
                <w:sz w:val="16"/>
              </w:rPr>
            </w:pPr>
            <w:r>
              <w:rPr>
                <w:rFonts w:ascii="Verdana"/>
                <w:sz w:val="16"/>
              </w:rPr>
              <w:t>58,4%</w:t>
            </w:r>
          </w:p>
        </w:tc>
        <w:tc>
          <w:tcPr>
            <w:tcW w:w="1733" w:type="dxa"/>
            <w:tcBorders>
              <w:top w:val="single" w:sz="4" w:space="0" w:color="000000"/>
              <w:left w:val="single" w:sz="4" w:space="0" w:color="000000"/>
              <w:right w:val="single" w:sz="4" w:space="0" w:color="000000"/>
            </w:tcBorders>
          </w:tcPr>
          <w:p>
            <w:pPr>
              <w:pStyle w:val="TableParagraph"/>
              <w:spacing w:before="79"/>
              <w:ind w:right="52"/>
              <w:jc w:val="right"/>
              <w:rPr>
                <w:rFonts w:ascii="Verdana"/>
                <w:sz w:val="16"/>
              </w:rPr>
            </w:pPr>
            <w:r>
              <w:rPr>
                <w:rFonts w:ascii="Verdana"/>
                <w:sz w:val="16"/>
              </w:rPr>
              <w:t>4,25%</w:t>
            </w:r>
          </w:p>
        </w:tc>
        <w:tc>
          <w:tcPr>
            <w:tcW w:w="1843" w:type="dxa"/>
            <w:tcBorders>
              <w:top w:val="single" w:sz="4" w:space="0" w:color="000000"/>
              <w:left w:val="single" w:sz="4" w:space="0" w:color="000000"/>
            </w:tcBorders>
          </w:tcPr>
          <w:p>
            <w:pPr>
              <w:pStyle w:val="TableParagraph"/>
              <w:spacing w:before="79"/>
              <w:ind w:right="34"/>
              <w:jc w:val="right"/>
              <w:rPr>
                <w:rFonts w:ascii="Verdana"/>
                <w:sz w:val="16"/>
              </w:rPr>
            </w:pPr>
            <w:r>
              <w:rPr>
                <w:rFonts w:ascii="Verdana"/>
                <w:sz w:val="16"/>
              </w:rPr>
              <w:t>32,13%</w:t>
            </w:r>
          </w:p>
        </w:tc>
      </w:tr>
    </w:tbl>
    <w:p>
      <w:pPr>
        <w:spacing w:after="0"/>
        <w:jc w:val="right"/>
        <w:rPr>
          <w:rFonts w:ascii="Verdana"/>
          <w:sz w:val="16"/>
        </w:rPr>
        <w:sectPr>
          <w:pgSz w:w="11920" w:h="16860"/>
          <w:pgMar w:header="544" w:footer="302" w:top="136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35" name="image2.jpeg"/>
            <wp:cNvGraphicFramePr>
              <a:graphicFrameLocks noChangeAspect="1"/>
            </wp:cNvGraphicFramePr>
            <a:graphic>
              <a:graphicData uri="http://schemas.openxmlformats.org/drawingml/2006/picture">
                <pic:pic>
                  <pic:nvPicPr>
                    <pic:cNvPr id="36"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31" w:lineRule="exact" w:before="0"/>
        <w:ind w:left="350" w:right="0" w:firstLine="0"/>
        <w:jc w:val="left"/>
        <w:rPr>
          <w:rFonts w:ascii="Times New Roman" w:hAnsi="Times New Roman"/>
          <w:b/>
          <w:sz w:val="22"/>
        </w:rPr>
      </w:pPr>
      <w:r>
        <w:rPr>
          <w:rFonts w:ascii="Times New Roman" w:hAnsi="Times New Roman"/>
          <w:b/>
          <w:sz w:val="22"/>
        </w:rPr>
        <w:t>CEB Participações S.A.</w:t>
      </w:r>
    </w:p>
    <w:p>
      <w:pPr>
        <w:pStyle w:val="BodyText"/>
        <w:spacing w:before="4"/>
        <w:rPr>
          <w:rFonts w:ascii="Times New Roman"/>
          <w:b/>
        </w:rPr>
      </w:pPr>
    </w:p>
    <w:p>
      <w:pPr>
        <w:spacing w:line="360" w:lineRule="auto" w:before="0"/>
        <w:ind w:left="139" w:right="136" w:firstLine="708"/>
        <w:jc w:val="both"/>
        <w:rPr>
          <w:rFonts w:ascii="Times New Roman" w:hAnsi="Times New Roman"/>
          <w:sz w:val="22"/>
        </w:rPr>
      </w:pPr>
      <w:r>
        <w:rPr>
          <w:rFonts w:ascii="Times New Roman" w:hAnsi="Times New Roman"/>
          <w:sz w:val="22"/>
        </w:rPr>
        <w:t>A CEB Participações S.A. foi criada pela Lei Distrital nº 1.788, de 27/11/1997, constituída como sociedade anônima de capital fechado, subsidiária integral da Companhia Energética de Brasília – CEB. A Empresa possui patrimônio próprio e autonomia administrativo-financeira com sede e foro na cidade de Brasília-DF, nos termos da legislação em vigor.</w:t>
      </w:r>
    </w:p>
    <w:p>
      <w:pPr>
        <w:pStyle w:val="BodyText"/>
        <w:rPr>
          <w:rFonts w:ascii="Times New Roman"/>
          <w:sz w:val="21"/>
        </w:rPr>
      </w:pPr>
    </w:p>
    <w:p>
      <w:pPr>
        <w:spacing w:line="360" w:lineRule="auto" w:before="0"/>
        <w:ind w:left="139" w:right="137" w:firstLine="708"/>
        <w:jc w:val="both"/>
        <w:rPr>
          <w:rFonts w:ascii="Times New Roman" w:hAnsi="Times New Roman"/>
          <w:sz w:val="22"/>
        </w:rPr>
      </w:pPr>
      <w:r>
        <w:rPr>
          <w:rFonts w:ascii="Times New Roman" w:hAnsi="Times New Roman"/>
          <w:sz w:val="22"/>
        </w:rPr>
        <w:t>O seu objeto social é comprar e vender participações acionárias ou cotas de outras empresas energéticas, de telecomunicações e de transmissão de dados, mediante comprovação de viabilidade técnica, econômica e financeira dos negócios, sendo vedada a participação em entidades sem fins lucrativos.</w:t>
      </w:r>
    </w:p>
    <w:p>
      <w:pPr>
        <w:pStyle w:val="BodyText"/>
        <w:spacing w:before="9"/>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Pode ainda, participar diretamente ou por meio de consórcio, da exploração de empreendimentos de geração, como é o caso da Usina Hidrelétrica Queimado, bem como comercializar a sua cota-parte da energia elétrica produzida, nos limites constantes dos respectivos contratos de concessão.</w:t>
      </w:r>
    </w:p>
    <w:p>
      <w:pPr>
        <w:pStyle w:val="BodyText"/>
        <w:spacing w:before="10"/>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Iniciou sua atividade operacional em 13 de janeiro de 2006 por meio do processo de segregação das atividades de distribuição e geração de energia elétrica na Companhia Energética de Brasília – CEB, aprovada pela Resolução Autorizativa nº 318, de 14 de setembro de 2005, da ANEEL.</w:t>
      </w:r>
    </w:p>
    <w:p>
      <w:pPr>
        <w:pStyle w:val="BodyText"/>
        <w:rPr>
          <w:rFonts w:ascii="Times New Roman"/>
          <w:sz w:val="21"/>
        </w:rPr>
      </w:pPr>
    </w:p>
    <w:p>
      <w:pPr>
        <w:spacing w:line="360" w:lineRule="auto" w:before="0"/>
        <w:ind w:left="139" w:right="133" w:firstLine="708"/>
        <w:jc w:val="both"/>
        <w:rPr>
          <w:rFonts w:ascii="Times New Roman" w:hAnsi="Times New Roman"/>
          <w:sz w:val="22"/>
        </w:rPr>
      </w:pPr>
      <w:r>
        <w:rPr>
          <w:rFonts w:ascii="Times New Roman" w:hAnsi="Times New Roman"/>
          <w:sz w:val="22"/>
        </w:rPr>
        <w:t>Atualmente, detém 17,5% do Consórcio Cemig-CEB, responsável pela administração e operação da UHE Queimado, com potência instalada de 105 MW, e comercializa a sua cotaparte de energia elétrica produzida na usina localizada no Rio Preto, entre os municípios de Unaí/MG e Cristalina/GO. A energia gerada nesta unidade é comercializada para várias regiões do território nacional.</w:t>
      </w:r>
    </w:p>
    <w:p>
      <w:pPr>
        <w:pStyle w:val="BodyText"/>
        <w:spacing w:before="9"/>
        <w:rPr>
          <w:rFonts w:ascii="Times New Roman"/>
        </w:rPr>
      </w:pPr>
    </w:p>
    <w:p>
      <w:pPr>
        <w:spacing w:line="360" w:lineRule="auto" w:before="1"/>
        <w:ind w:left="139" w:right="135" w:firstLine="708"/>
        <w:jc w:val="both"/>
        <w:rPr>
          <w:rFonts w:ascii="Times New Roman" w:hAnsi="Times New Roman"/>
          <w:sz w:val="22"/>
        </w:rPr>
      </w:pPr>
      <w:r>
        <w:rPr>
          <w:rFonts w:ascii="Times New Roman" w:hAnsi="Times New Roman"/>
          <w:sz w:val="22"/>
        </w:rPr>
        <w:t>Possui, ainda, participação acionária de 1,5172% na Companhia Corumbá Concessões S.A., cujo empreendimento denomina-se UHE Corumbá IV. A usina foi inaugurada em 4 de abril de 2006 e possui capacidade instalada</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129,6</w:t>
      </w:r>
      <w:r>
        <w:rPr>
          <w:rFonts w:ascii="Times New Roman" w:hAnsi="Times New Roman"/>
          <w:spacing w:val="-9"/>
          <w:sz w:val="22"/>
        </w:rPr>
        <w:t> </w:t>
      </w:r>
      <w:r>
        <w:rPr>
          <w:rFonts w:ascii="Times New Roman" w:hAnsi="Times New Roman"/>
          <w:sz w:val="22"/>
        </w:rPr>
        <w:t>Megawatts</w:t>
      </w:r>
      <w:r>
        <w:rPr>
          <w:rFonts w:ascii="Times New Roman" w:hAnsi="Times New Roman"/>
          <w:spacing w:val="-5"/>
          <w:sz w:val="22"/>
        </w:rPr>
        <w:t> </w:t>
      </w:r>
      <w:r>
        <w:rPr>
          <w:rFonts w:ascii="Times New Roman" w:hAnsi="Times New Roman"/>
          <w:sz w:val="22"/>
        </w:rPr>
        <w:t>(MW)</w:t>
      </w:r>
      <w:r>
        <w:rPr>
          <w:rFonts w:ascii="Times New Roman" w:hAnsi="Times New Roman"/>
          <w:spacing w:val="-8"/>
          <w:sz w:val="22"/>
        </w:rPr>
        <w:t> </w:t>
      </w:r>
      <w:r>
        <w:rPr>
          <w:rFonts w:ascii="Times New Roman" w:hAnsi="Times New Roman"/>
          <w:sz w:val="22"/>
        </w:rPr>
        <w:t>médios,</w:t>
      </w:r>
      <w:r>
        <w:rPr>
          <w:rFonts w:ascii="Times New Roman" w:hAnsi="Times New Roman"/>
          <w:spacing w:val="-9"/>
          <w:sz w:val="22"/>
        </w:rPr>
        <w:t> </w:t>
      </w:r>
      <w:r>
        <w:rPr>
          <w:rFonts w:ascii="Times New Roman" w:hAnsi="Times New Roman"/>
          <w:sz w:val="22"/>
        </w:rPr>
        <w:t>e</w:t>
      </w:r>
      <w:r>
        <w:rPr>
          <w:rFonts w:ascii="Times New Roman" w:hAnsi="Times New Roman"/>
          <w:spacing w:val="-8"/>
          <w:sz w:val="22"/>
        </w:rPr>
        <w:t> </w:t>
      </w:r>
      <w:r>
        <w:rPr>
          <w:rFonts w:ascii="Times New Roman" w:hAnsi="Times New Roman"/>
          <w:sz w:val="22"/>
        </w:rPr>
        <w:t>fornece</w:t>
      </w:r>
      <w:r>
        <w:rPr>
          <w:rFonts w:ascii="Times New Roman" w:hAnsi="Times New Roman"/>
          <w:spacing w:val="-11"/>
          <w:sz w:val="22"/>
        </w:rPr>
        <w:t> </w:t>
      </w:r>
      <w:r>
        <w:rPr>
          <w:rFonts w:ascii="Times New Roman" w:hAnsi="Times New Roman"/>
          <w:sz w:val="22"/>
        </w:rPr>
        <w:t>energia</w:t>
      </w:r>
      <w:r>
        <w:rPr>
          <w:rFonts w:ascii="Times New Roman" w:hAnsi="Times New Roman"/>
          <w:spacing w:val="-6"/>
          <w:sz w:val="22"/>
        </w:rPr>
        <w:t> </w:t>
      </w:r>
      <w:r>
        <w:rPr>
          <w:rFonts w:ascii="Times New Roman" w:hAnsi="Times New Roman"/>
          <w:sz w:val="22"/>
        </w:rPr>
        <w:t>para</w:t>
      </w:r>
      <w:r>
        <w:rPr>
          <w:rFonts w:ascii="Times New Roman" w:hAnsi="Times New Roman"/>
          <w:spacing w:val="-7"/>
          <w:sz w:val="22"/>
        </w:rPr>
        <w:t> </w:t>
      </w:r>
      <w:r>
        <w:rPr>
          <w:rFonts w:ascii="Times New Roman" w:hAnsi="Times New Roman"/>
          <w:sz w:val="22"/>
        </w:rPr>
        <w:t>cerca</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250</w:t>
      </w:r>
      <w:r>
        <w:rPr>
          <w:rFonts w:ascii="Times New Roman" w:hAnsi="Times New Roman"/>
          <w:spacing w:val="-9"/>
          <w:sz w:val="22"/>
        </w:rPr>
        <w:t> </w:t>
      </w:r>
      <w:r>
        <w:rPr>
          <w:rFonts w:ascii="Times New Roman" w:hAnsi="Times New Roman"/>
          <w:sz w:val="22"/>
        </w:rPr>
        <w:t>mil</w:t>
      </w:r>
      <w:r>
        <w:rPr>
          <w:rFonts w:ascii="Times New Roman" w:hAnsi="Times New Roman"/>
          <w:spacing w:val="-8"/>
          <w:sz w:val="22"/>
        </w:rPr>
        <w:t> </w:t>
      </w:r>
      <w:r>
        <w:rPr>
          <w:rFonts w:ascii="Times New Roman" w:hAnsi="Times New Roman"/>
          <w:sz w:val="22"/>
        </w:rPr>
        <w:t>habitantes</w:t>
      </w:r>
      <w:r>
        <w:rPr>
          <w:rFonts w:ascii="Times New Roman" w:hAnsi="Times New Roman"/>
          <w:spacing w:val="-7"/>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Distrito</w:t>
      </w:r>
      <w:r>
        <w:rPr>
          <w:rFonts w:ascii="Times New Roman" w:hAnsi="Times New Roman"/>
          <w:spacing w:val="-9"/>
          <w:sz w:val="22"/>
        </w:rPr>
        <w:t> </w:t>
      </w:r>
      <w:r>
        <w:rPr>
          <w:rFonts w:ascii="Times New Roman" w:hAnsi="Times New Roman"/>
          <w:sz w:val="22"/>
        </w:rPr>
        <w:t>Federal</w:t>
      </w:r>
      <w:r>
        <w:rPr>
          <w:rFonts w:ascii="Times New Roman" w:hAnsi="Times New Roman"/>
          <w:spacing w:val="-8"/>
          <w:sz w:val="22"/>
        </w:rPr>
        <w:t> </w:t>
      </w:r>
      <w:r>
        <w:rPr>
          <w:rFonts w:ascii="Times New Roman" w:hAnsi="Times New Roman"/>
          <w:sz w:val="22"/>
        </w:rPr>
        <w:t>(DF). O empreendimento está localizado no rio Corumbá, próximo ao município de Luziânia</w:t>
      </w:r>
      <w:r>
        <w:rPr>
          <w:rFonts w:ascii="Times New Roman" w:hAnsi="Times New Roman"/>
          <w:spacing w:val="-7"/>
          <w:sz w:val="22"/>
        </w:rPr>
        <w:t> </w:t>
      </w:r>
      <w:r>
        <w:rPr>
          <w:rFonts w:ascii="Times New Roman" w:hAnsi="Times New Roman"/>
          <w:sz w:val="22"/>
        </w:rPr>
        <w:t>(GO).</w:t>
      </w:r>
    </w:p>
    <w:p>
      <w:pPr>
        <w:pStyle w:val="BodyText"/>
        <w:spacing w:before="2"/>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1"/>
        <w:rPr>
          <w:rFonts w:ascii="Times New Roman"/>
          <w:b/>
          <w:sz w:val="21"/>
        </w:rPr>
      </w:pPr>
    </w:p>
    <w:tbl>
      <w:tblPr>
        <w:tblW w:w="0" w:type="auto"/>
        <w:jc w:val="left"/>
        <w:tblInd w:w="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044"/>
        <w:gridCol w:w="1679"/>
        <w:gridCol w:w="1495"/>
        <w:gridCol w:w="1698"/>
      </w:tblGrid>
      <w:tr>
        <w:trPr>
          <w:trHeight w:val="273" w:hRule="atLeast"/>
        </w:trPr>
        <w:tc>
          <w:tcPr>
            <w:tcW w:w="5044" w:type="dxa"/>
            <w:shd w:val="clear" w:color="auto" w:fill="4470C4"/>
          </w:tcPr>
          <w:p>
            <w:pPr>
              <w:pStyle w:val="TableParagraph"/>
              <w:spacing w:before="7"/>
              <w:ind w:left="2167" w:right="2109"/>
              <w:jc w:val="center"/>
              <w:rPr>
                <w:rFonts w:ascii="Times New Roman"/>
                <w:b/>
                <w:sz w:val="20"/>
              </w:rPr>
            </w:pPr>
            <w:r>
              <w:rPr>
                <w:rFonts w:ascii="Times New Roman"/>
                <w:b/>
                <w:color w:val="FFFFFF"/>
                <w:sz w:val="20"/>
              </w:rPr>
              <w:t>(R$ Mil)</w:t>
            </w:r>
          </w:p>
        </w:tc>
        <w:tc>
          <w:tcPr>
            <w:tcW w:w="1679" w:type="dxa"/>
            <w:shd w:val="clear" w:color="auto" w:fill="4470C4"/>
          </w:tcPr>
          <w:p>
            <w:pPr>
              <w:pStyle w:val="TableParagraph"/>
              <w:spacing w:before="7"/>
              <w:ind w:right="612"/>
              <w:jc w:val="right"/>
              <w:rPr>
                <w:rFonts w:ascii="Times New Roman"/>
                <w:b/>
                <w:sz w:val="20"/>
              </w:rPr>
            </w:pPr>
            <w:r>
              <w:rPr>
                <w:rFonts w:ascii="Times New Roman"/>
                <w:b/>
                <w:color w:val="FFFFFF"/>
                <w:sz w:val="20"/>
              </w:rPr>
              <w:t>2019</w:t>
            </w:r>
          </w:p>
        </w:tc>
        <w:tc>
          <w:tcPr>
            <w:tcW w:w="1495" w:type="dxa"/>
            <w:shd w:val="clear" w:color="auto" w:fill="4470C4"/>
          </w:tcPr>
          <w:p>
            <w:pPr>
              <w:pStyle w:val="TableParagraph"/>
              <w:spacing w:before="7"/>
              <w:ind w:left="603"/>
              <w:rPr>
                <w:rFonts w:ascii="Times New Roman"/>
                <w:b/>
                <w:sz w:val="20"/>
              </w:rPr>
            </w:pPr>
            <w:r>
              <w:rPr>
                <w:rFonts w:ascii="Times New Roman"/>
                <w:b/>
                <w:color w:val="FFFFFF"/>
                <w:sz w:val="20"/>
              </w:rPr>
              <w:t>2018</w:t>
            </w:r>
          </w:p>
        </w:tc>
        <w:tc>
          <w:tcPr>
            <w:tcW w:w="1698" w:type="dxa"/>
            <w:shd w:val="clear" w:color="auto" w:fill="4470C4"/>
          </w:tcPr>
          <w:p>
            <w:pPr>
              <w:pStyle w:val="TableParagraph"/>
              <w:spacing w:before="10"/>
              <w:ind w:left="373" w:right="253"/>
              <w:jc w:val="center"/>
              <w:rPr>
                <w:rFonts w:ascii="Times New Roman" w:hAnsi="Times New Roman"/>
                <w:b/>
                <w:sz w:val="20"/>
              </w:rPr>
            </w:pPr>
            <w:r>
              <w:rPr>
                <w:rFonts w:ascii="Times New Roman" w:hAnsi="Times New Roman"/>
                <w:b/>
                <w:color w:val="FFFFFF"/>
                <w:sz w:val="20"/>
              </w:rPr>
              <w:t>Δ 2019/2018</w:t>
            </w:r>
          </w:p>
        </w:tc>
      </w:tr>
      <w:tr>
        <w:trPr>
          <w:trHeight w:val="251" w:hRule="atLeast"/>
        </w:trPr>
        <w:tc>
          <w:tcPr>
            <w:tcW w:w="5044" w:type="dxa"/>
            <w:tcBorders>
              <w:left w:val="single" w:sz="4" w:space="0" w:color="8EAADB"/>
              <w:bottom w:val="single" w:sz="4" w:space="0" w:color="8EAADB"/>
            </w:tcBorders>
            <w:shd w:val="clear" w:color="auto" w:fill="D9E0F3"/>
          </w:tcPr>
          <w:p>
            <w:pPr>
              <w:pStyle w:val="TableParagraph"/>
              <w:spacing w:line="226" w:lineRule="exact"/>
              <w:ind w:left="115"/>
              <w:rPr>
                <w:rFonts w:ascii="Times New Roman"/>
                <w:b/>
                <w:sz w:val="20"/>
              </w:rPr>
            </w:pPr>
            <w:r>
              <w:rPr>
                <w:rFonts w:ascii="Times New Roman"/>
                <w:b/>
                <w:sz w:val="20"/>
              </w:rPr>
              <w:t>Receita Operacional Bruta</w:t>
            </w:r>
          </w:p>
        </w:tc>
        <w:tc>
          <w:tcPr>
            <w:tcW w:w="1679" w:type="dxa"/>
            <w:tcBorders>
              <w:bottom w:val="single" w:sz="4" w:space="0" w:color="8EAADB"/>
            </w:tcBorders>
            <w:shd w:val="clear" w:color="auto" w:fill="D9E0F3"/>
          </w:tcPr>
          <w:p>
            <w:pPr>
              <w:pStyle w:val="TableParagraph"/>
              <w:ind w:right="549"/>
              <w:jc w:val="right"/>
              <w:rPr>
                <w:rFonts w:ascii="Times New Roman"/>
                <w:b/>
                <w:sz w:val="20"/>
              </w:rPr>
            </w:pPr>
            <w:r>
              <w:rPr>
                <w:rFonts w:ascii="Times New Roman"/>
                <w:b/>
                <w:w w:val="95"/>
                <w:sz w:val="20"/>
              </w:rPr>
              <w:t>28.009</w:t>
            </w:r>
          </w:p>
        </w:tc>
        <w:tc>
          <w:tcPr>
            <w:tcW w:w="1495" w:type="dxa"/>
            <w:tcBorders>
              <w:bottom w:val="single" w:sz="4" w:space="0" w:color="8EAADB"/>
            </w:tcBorders>
            <w:shd w:val="clear" w:color="auto" w:fill="D9E0F3"/>
          </w:tcPr>
          <w:p>
            <w:pPr>
              <w:pStyle w:val="TableParagraph"/>
              <w:ind w:left="560"/>
              <w:rPr>
                <w:rFonts w:ascii="Times New Roman"/>
                <w:b/>
                <w:sz w:val="20"/>
              </w:rPr>
            </w:pPr>
            <w:r>
              <w:rPr>
                <w:rFonts w:ascii="Times New Roman"/>
                <w:b/>
                <w:sz w:val="20"/>
              </w:rPr>
              <w:t>21.198</w:t>
            </w:r>
          </w:p>
        </w:tc>
        <w:tc>
          <w:tcPr>
            <w:tcW w:w="1698" w:type="dxa"/>
            <w:tcBorders>
              <w:bottom w:val="single" w:sz="4" w:space="0" w:color="8EAADB"/>
              <w:right w:val="single" w:sz="4" w:space="0" w:color="8EAADB"/>
            </w:tcBorders>
            <w:shd w:val="clear" w:color="auto" w:fill="D9E0F3"/>
          </w:tcPr>
          <w:p>
            <w:pPr>
              <w:pStyle w:val="TableParagraph"/>
              <w:spacing w:line="227" w:lineRule="exact" w:before="5"/>
              <w:ind w:left="562" w:right="440"/>
              <w:jc w:val="center"/>
              <w:rPr>
                <w:rFonts w:ascii="Times New Roman"/>
                <w:b/>
                <w:sz w:val="20"/>
              </w:rPr>
            </w:pPr>
            <w:r>
              <w:rPr>
                <w:rFonts w:ascii="Times New Roman"/>
                <w:b/>
                <w:sz w:val="20"/>
              </w:rPr>
              <w:t>32,13%</w:t>
            </w:r>
          </w:p>
        </w:tc>
      </w:tr>
      <w:tr>
        <w:trPr>
          <w:trHeight w:val="254" w:hRule="atLeast"/>
        </w:trPr>
        <w:tc>
          <w:tcPr>
            <w:tcW w:w="5044" w:type="dxa"/>
            <w:tcBorders>
              <w:top w:val="single" w:sz="4" w:space="0" w:color="8EAADB"/>
              <w:left w:val="single" w:sz="4" w:space="0" w:color="8EAADB"/>
              <w:bottom w:val="single" w:sz="4" w:space="0" w:color="8EAADB"/>
            </w:tcBorders>
          </w:tcPr>
          <w:p>
            <w:pPr>
              <w:pStyle w:val="TableParagraph"/>
              <w:spacing w:line="225" w:lineRule="exact"/>
              <w:ind w:left="115"/>
              <w:rPr>
                <w:rFonts w:ascii="Times New Roman" w:hAnsi="Times New Roman"/>
                <w:b/>
                <w:sz w:val="20"/>
              </w:rPr>
            </w:pPr>
            <w:r>
              <w:rPr>
                <w:rFonts w:ascii="Times New Roman" w:hAnsi="Times New Roman"/>
                <w:b/>
                <w:sz w:val="20"/>
              </w:rPr>
              <w:t>Receita Operacional Líquida</w:t>
            </w:r>
          </w:p>
        </w:tc>
        <w:tc>
          <w:tcPr>
            <w:tcW w:w="1679" w:type="dxa"/>
            <w:tcBorders>
              <w:top w:val="single" w:sz="4" w:space="0" w:color="8EAADB"/>
              <w:bottom w:val="single" w:sz="4" w:space="0" w:color="8EAADB"/>
            </w:tcBorders>
          </w:tcPr>
          <w:p>
            <w:pPr>
              <w:pStyle w:val="TableParagraph"/>
              <w:spacing w:line="229" w:lineRule="exact" w:before="5"/>
              <w:ind w:right="549"/>
              <w:jc w:val="right"/>
              <w:rPr>
                <w:rFonts w:ascii="Times New Roman"/>
                <w:b/>
                <w:sz w:val="20"/>
              </w:rPr>
            </w:pPr>
            <w:r>
              <w:rPr>
                <w:rFonts w:ascii="Times New Roman"/>
                <w:b/>
                <w:w w:val="95"/>
                <w:sz w:val="20"/>
              </w:rPr>
              <w:t>26.143</w:t>
            </w:r>
          </w:p>
        </w:tc>
        <w:tc>
          <w:tcPr>
            <w:tcW w:w="1495" w:type="dxa"/>
            <w:tcBorders>
              <w:top w:val="single" w:sz="4" w:space="0" w:color="8EAADB"/>
              <w:bottom w:val="single" w:sz="4" w:space="0" w:color="8EAADB"/>
            </w:tcBorders>
          </w:tcPr>
          <w:p>
            <w:pPr>
              <w:pStyle w:val="TableParagraph"/>
              <w:spacing w:line="229" w:lineRule="exact" w:before="5"/>
              <w:ind w:left="560"/>
              <w:rPr>
                <w:rFonts w:ascii="Times New Roman"/>
                <w:b/>
                <w:sz w:val="20"/>
              </w:rPr>
            </w:pPr>
            <w:r>
              <w:rPr>
                <w:rFonts w:ascii="Times New Roman"/>
                <w:b/>
                <w:sz w:val="20"/>
              </w:rPr>
              <w:t>19.743</w:t>
            </w:r>
          </w:p>
        </w:tc>
        <w:tc>
          <w:tcPr>
            <w:tcW w:w="1698" w:type="dxa"/>
            <w:tcBorders>
              <w:top w:val="single" w:sz="4" w:space="0" w:color="8EAADB"/>
              <w:bottom w:val="single" w:sz="4" w:space="0" w:color="8EAADB"/>
              <w:right w:val="single" w:sz="4" w:space="0" w:color="8EAADB"/>
            </w:tcBorders>
          </w:tcPr>
          <w:p>
            <w:pPr>
              <w:pStyle w:val="TableParagraph"/>
              <w:spacing w:line="227" w:lineRule="exact" w:before="7"/>
              <w:ind w:left="562" w:right="440"/>
              <w:jc w:val="center"/>
              <w:rPr>
                <w:rFonts w:ascii="Times New Roman"/>
                <w:b/>
                <w:sz w:val="20"/>
              </w:rPr>
            </w:pPr>
            <w:r>
              <w:rPr>
                <w:rFonts w:ascii="Times New Roman"/>
                <w:b/>
                <w:sz w:val="20"/>
              </w:rPr>
              <w:t>32,42%</w:t>
            </w:r>
          </w:p>
        </w:tc>
      </w:tr>
      <w:tr>
        <w:trPr>
          <w:trHeight w:val="249" w:hRule="atLeast"/>
        </w:trPr>
        <w:tc>
          <w:tcPr>
            <w:tcW w:w="5044" w:type="dxa"/>
            <w:tcBorders>
              <w:top w:val="single" w:sz="4" w:space="0" w:color="8EAADB"/>
              <w:left w:val="single" w:sz="4" w:space="0" w:color="8EAADB"/>
              <w:bottom w:val="single" w:sz="4" w:space="0" w:color="8EAADB"/>
            </w:tcBorders>
            <w:shd w:val="clear" w:color="auto" w:fill="D9E0F3"/>
          </w:tcPr>
          <w:p>
            <w:pPr>
              <w:pStyle w:val="TableParagraph"/>
              <w:spacing w:line="226" w:lineRule="exact"/>
              <w:ind w:left="115"/>
              <w:rPr>
                <w:rFonts w:ascii="Times New Roman" w:hAnsi="Times New Roman"/>
                <w:b/>
                <w:sz w:val="20"/>
              </w:rPr>
            </w:pPr>
            <w:r>
              <w:rPr>
                <w:rFonts w:ascii="Times New Roman" w:hAnsi="Times New Roman"/>
                <w:b/>
                <w:sz w:val="20"/>
              </w:rPr>
              <w:t>Resultado Operacional Líquido Antes dos Tributos</w:t>
            </w:r>
          </w:p>
        </w:tc>
        <w:tc>
          <w:tcPr>
            <w:tcW w:w="1679" w:type="dxa"/>
            <w:tcBorders>
              <w:top w:val="single" w:sz="4" w:space="0" w:color="8EAADB"/>
              <w:bottom w:val="single" w:sz="4" w:space="0" w:color="8EAADB"/>
            </w:tcBorders>
            <w:shd w:val="clear" w:color="auto" w:fill="D9E0F3"/>
          </w:tcPr>
          <w:p>
            <w:pPr>
              <w:pStyle w:val="TableParagraph"/>
              <w:spacing w:line="229" w:lineRule="exact" w:before="1"/>
              <w:ind w:right="549"/>
              <w:jc w:val="right"/>
              <w:rPr>
                <w:rFonts w:ascii="Times New Roman"/>
                <w:b/>
                <w:sz w:val="20"/>
              </w:rPr>
            </w:pPr>
            <w:r>
              <w:rPr>
                <w:rFonts w:ascii="Times New Roman"/>
                <w:b/>
                <w:w w:val="95"/>
                <w:sz w:val="20"/>
              </w:rPr>
              <w:t>16.814</w:t>
            </w:r>
          </w:p>
        </w:tc>
        <w:tc>
          <w:tcPr>
            <w:tcW w:w="1495" w:type="dxa"/>
            <w:tcBorders>
              <w:top w:val="single" w:sz="4" w:space="0" w:color="8EAADB"/>
              <w:bottom w:val="single" w:sz="4" w:space="0" w:color="8EAADB"/>
            </w:tcBorders>
            <w:shd w:val="clear" w:color="auto" w:fill="D9E0F3"/>
          </w:tcPr>
          <w:p>
            <w:pPr>
              <w:pStyle w:val="TableParagraph"/>
              <w:spacing w:line="229" w:lineRule="exact" w:before="1"/>
              <w:ind w:left="560"/>
              <w:rPr>
                <w:rFonts w:ascii="Times New Roman"/>
                <w:b/>
                <w:sz w:val="20"/>
              </w:rPr>
            </w:pPr>
            <w:r>
              <w:rPr>
                <w:rFonts w:ascii="Times New Roman"/>
                <w:b/>
                <w:sz w:val="20"/>
              </w:rPr>
              <w:t>15.539</w:t>
            </w:r>
          </w:p>
        </w:tc>
        <w:tc>
          <w:tcPr>
            <w:tcW w:w="1698" w:type="dxa"/>
            <w:tcBorders>
              <w:top w:val="single" w:sz="4" w:space="0" w:color="8EAADB"/>
              <w:bottom w:val="single" w:sz="4" w:space="0" w:color="8EAADB"/>
              <w:right w:val="single" w:sz="4" w:space="0" w:color="8EAADB"/>
            </w:tcBorders>
            <w:shd w:val="clear" w:color="auto" w:fill="D9E0F3"/>
          </w:tcPr>
          <w:p>
            <w:pPr>
              <w:pStyle w:val="TableParagraph"/>
              <w:spacing w:line="227" w:lineRule="exact" w:before="3"/>
              <w:ind w:left="562" w:right="440"/>
              <w:jc w:val="center"/>
              <w:rPr>
                <w:rFonts w:ascii="Times New Roman"/>
                <w:b/>
                <w:sz w:val="20"/>
              </w:rPr>
            </w:pPr>
            <w:r>
              <w:rPr>
                <w:rFonts w:ascii="Times New Roman"/>
                <w:b/>
                <w:sz w:val="20"/>
              </w:rPr>
              <w:t>8,21%</w:t>
            </w:r>
          </w:p>
        </w:tc>
      </w:tr>
      <w:tr>
        <w:trPr>
          <w:trHeight w:val="254" w:hRule="atLeast"/>
        </w:trPr>
        <w:tc>
          <w:tcPr>
            <w:tcW w:w="5044" w:type="dxa"/>
            <w:tcBorders>
              <w:top w:val="single" w:sz="4" w:space="0" w:color="8EAADB"/>
              <w:left w:val="single" w:sz="4" w:space="0" w:color="8EAADB"/>
              <w:bottom w:val="single" w:sz="4" w:space="0" w:color="8EAADB"/>
            </w:tcBorders>
          </w:tcPr>
          <w:p>
            <w:pPr>
              <w:pStyle w:val="TableParagraph"/>
              <w:ind w:left="115"/>
              <w:rPr>
                <w:rFonts w:ascii="Times New Roman"/>
                <w:b/>
                <w:sz w:val="20"/>
              </w:rPr>
            </w:pPr>
            <w:r>
              <w:rPr>
                <w:rFonts w:ascii="Times New Roman"/>
                <w:b/>
                <w:sz w:val="20"/>
              </w:rPr>
              <w:t>EBITDA (LAJIDA)</w:t>
            </w:r>
          </w:p>
        </w:tc>
        <w:tc>
          <w:tcPr>
            <w:tcW w:w="1679" w:type="dxa"/>
            <w:tcBorders>
              <w:top w:val="single" w:sz="4" w:space="0" w:color="8EAADB"/>
              <w:bottom w:val="single" w:sz="4" w:space="0" w:color="8EAADB"/>
            </w:tcBorders>
          </w:tcPr>
          <w:p>
            <w:pPr>
              <w:pStyle w:val="TableParagraph"/>
              <w:spacing w:line="229" w:lineRule="exact" w:before="5"/>
              <w:ind w:right="549"/>
              <w:jc w:val="right"/>
              <w:rPr>
                <w:rFonts w:ascii="Times New Roman"/>
                <w:b/>
                <w:sz w:val="20"/>
              </w:rPr>
            </w:pPr>
            <w:r>
              <w:rPr>
                <w:rFonts w:ascii="Times New Roman"/>
                <w:b/>
                <w:w w:val="95"/>
                <w:sz w:val="20"/>
              </w:rPr>
              <w:t>17.979</w:t>
            </w:r>
          </w:p>
        </w:tc>
        <w:tc>
          <w:tcPr>
            <w:tcW w:w="1495" w:type="dxa"/>
            <w:tcBorders>
              <w:top w:val="single" w:sz="4" w:space="0" w:color="8EAADB"/>
              <w:bottom w:val="single" w:sz="4" w:space="0" w:color="8EAADB"/>
            </w:tcBorders>
          </w:tcPr>
          <w:p>
            <w:pPr>
              <w:pStyle w:val="TableParagraph"/>
              <w:spacing w:line="229" w:lineRule="exact" w:before="5"/>
              <w:ind w:left="560"/>
              <w:rPr>
                <w:rFonts w:ascii="Times New Roman"/>
                <w:b/>
                <w:sz w:val="20"/>
              </w:rPr>
            </w:pPr>
            <w:r>
              <w:rPr>
                <w:rFonts w:ascii="Times New Roman"/>
                <w:b/>
                <w:sz w:val="20"/>
              </w:rPr>
              <w:t>15.704</w:t>
            </w:r>
          </w:p>
        </w:tc>
        <w:tc>
          <w:tcPr>
            <w:tcW w:w="1698" w:type="dxa"/>
            <w:tcBorders>
              <w:top w:val="single" w:sz="4" w:space="0" w:color="8EAADB"/>
              <w:bottom w:val="single" w:sz="4" w:space="0" w:color="8EAADB"/>
              <w:right w:val="single" w:sz="4" w:space="0" w:color="8EAADB"/>
            </w:tcBorders>
          </w:tcPr>
          <w:p>
            <w:pPr>
              <w:pStyle w:val="TableParagraph"/>
              <w:spacing w:line="229" w:lineRule="exact" w:before="5"/>
              <w:ind w:left="562" w:right="440"/>
              <w:jc w:val="center"/>
              <w:rPr>
                <w:rFonts w:ascii="Times New Roman"/>
                <w:b/>
                <w:sz w:val="20"/>
              </w:rPr>
            </w:pPr>
            <w:r>
              <w:rPr>
                <w:rFonts w:ascii="Times New Roman"/>
                <w:b/>
                <w:sz w:val="20"/>
              </w:rPr>
              <w:t>14,49%</w:t>
            </w:r>
          </w:p>
        </w:tc>
      </w:tr>
      <w:tr>
        <w:trPr>
          <w:trHeight w:val="251" w:hRule="atLeast"/>
        </w:trPr>
        <w:tc>
          <w:tcPr>
            <w:tcW w:w="5044" w:type="dxa"/>
            <w:tcBorders>
              <w:top w:val="single" w:sz="4" w:space="0" w:color="8EAADB"/>
              <w:left w:val="single" w:sz="4" w:space="0" w:color="8EAADB"/>
              <w:bottom w:val="single" w:sz="4" w:space="0" w:color="8EAADB"/>
            </w:tcBorders>
            <w:shd w:val="clear" w:color="auto" w:fill="D9E0F3"/>
          </w:tcPr>
          <w:p>
            <w:pPr>
              <w:pStyle w:val="TableParagraph"/>
              <w:spacing w:line="225" w:lineRule="exact"/>
              <w:ind w:left="115"/>
              <w:rPr>
                <w:rFonts w:ascii="Times New Roman" w:hAnsi="Times New Roman"/>
                <w:b/>
                <w:sz w:val="20"/>
              </w:rPr>
            </w:pPr>
            <w:r>
              <w:rPr>
                <w:rFonts w:ascii="Times New Roman" w:hAnsi="Times New Roman"/>
                <w:b/>
                <w:sz w:val="20"/>
              </w:rPr>
              <w:t>Lucro Líquido (Prejuízo)</w:t>
            </w:r>
          </w:p>
        </w:tc>
        <w:tc>
          <w:tcPr>
            <w:tcW w:w="1679" w:type="dxa"/>
            <w:tcBorders>
              <w:top w:val="single" w:sz="4" w:space="0" w:color="8EAADB"/>
              <w:bottom w:val="single" w:sz="4" w:space="0" w:color="8EAADB"/>
            </w:tcBorders>
            <w:shd w:val="clear" w:color="auto" w:fill="D9E0F3"/>
          </w:tcPr>
          <w:p>
            <w:pPr>
              <w:pStyle w:val="TableParagraph"/>
              <w:spacing w:line="227" w:lineRule="exact" w:before="5"/>
              <w:ind w:right="549"/>
              <w:jc w:val="right"/>
              <w:rPr>
                <w:rFonts w:ascii="Times New Roman"/>
                <w:b/>
                <w:sz w:val="20"/>
              </w:rPr>
            </w:pPr>
            <w:r>
              <w:rPr>
                <w:rFonts w:ascii="Times New Roman"/>
                <w:b/>
                <w:w w:val="95"/>
                <w:sz w:val="20"/>
              </w:rPr>
              <w:t>15.598</w:t>
            </w:r>
          </w:p>
        </w:tc>
        <w:tc>
          <w:tcPr>
            <w:tcW w:w="1495" w:type="dxa"/>
            <w:tcBorders>
              <w:top w:val="single" w:sz="4" w:space="0" w:color="8EAADB"/>
              <w:bottom w:val="single" w:sz="4" w:space="0" w:color="8EAADB"/>
            </w:tcBorders>
            <w:shd w:val="clear" w:color="auto" w:fill="D9E0F3"/>
          </w:tcPr>
          <w:p>
            <w:pPr>
              <w:pStyle w:val="TableParagraph"/>
              <w:spacing w:line="227" w:lineRule="exact" w:before="5"/>
              <w:ind w:left="560"/>
              <w:rPr>
                <w:rFonts w:ascii="Times New Roman"/>
                <w:b/>
                <w:sz w:val="20"/>
              </w:rPr>
            </w:pPr>
            <w:r>
              <w:rPr>
                <w:rFonts w:ascii="Times New Roman"/>
                <w:b/>
                <w:sz w:val="20"/>
              </w:rPr>
              <w:t>14.621</w:t>
            </w:r>
          </w:p>
        </w:tc>
        <w:tc>
          <w:tcPr>
            <w:tcW w:w="1698" w:type="dxa"/>
            <w:tcBorders>
              <w:top w:val="single" w:sz="4" w:space="0" w:color="8EAADB"/>
              <w:bottom w:val="single" w:sz="4" w:space="0" w:color="8EAADB"/>
              <w:right w:val="single" w:sz="4" w:space="0" w:color="8EAADB"/>
            </w:tcBorders>
            <w:shd w:val="clear" w:color="auto" w:fill="D9E0F3"/>
          </w:tcPr>
          <w:p>
            <w:pPr>
              <w:pStyle w:val="TableParagraph"/>
              <w:spacing w:line="227" w:lineRule="exact" w:before="5"/>
              <w:ind w:left="562" w:right="440"/>
              <w:jc w:val="center"/>
              <w:rPr>
                <w:rFonts w:ascii="Times New Roman"/>
                <w:b/>
                <w:sz w:val="20"/>
              </w:rPr>
            </w:pPr>
            <w:r>
              <w:rPr>
                <w:rFonts w:ascii="Times New Roman"/>
                <w:b/>
                <w:sz w:val="20"/>
              </w:rPr>
              <w:t>6,68%</w:t>
            </w:r>
          </w:p>
        </w:tc>
      </w:tr>
      <w:tr>
        <w:trPr>
          <w:trHeight w:val="251" w:hRule="atLeast"/>
        </w:trPr>
        <w:tc>
          <w:tcPr>
            <w:tcW w:w="5044" w:type="dxa"/>
            <w:tcBorders>
              <w:top w:val="single" w:sz="4" w:space="0" w:color="8EAADB"/>
              <w:left w:val="single" w:sz="4" w:space="0" w:color="8EAADB"/>
              <w:bottom w:val="single" w:sz="4" w:space="0" w:color="8EAADB"/>
            </w:tcBorders>
          </w:tcPr>
          <w:p>
            <w:pPr>
              <w:pStyle w:val="TableParagraph"/>
              <w:spacing w:line="228" w:lineRule="exact"/>
              <w:ind w:left="115"/>
              <w:rPr>
                <w:rFonts w:ascii="Times New Roman" w:hAnsi="Times New Roman"/>
                <w:b/>
                <w:sz w:val="20"/>
              </w:rPr>
            </w:pPr>
            <w:r>
              <w:rPr>
                <w:rFonts w:ascii="Times New Roman" w:hAnsi="Times New Roman"/>
                <w:b/>
                <w:sz w:val="20"/>
              </w:rPr>
              <w:t>Patrimônio Líquido</w:t>
            </w:r>
          </w:p>
        </w:tc>
        <w:tc>
          <w:tcPr>
            <w:tcW w:w="1679" w:type="dxa"/>
            <w:tcBorders>
              <w:top w:val="single" w:sz="4" w:space="0" w:color="8EAADB"/>
              <w:bottom w:val="single" w:sz="4" w:space="0" w:color="8EAADB"/>
            </w:tcBorders>
          </w:tcPr>
          <w:p>
            <w:pPr>
              <w:pStyle w:val="TableParagraph"/>
              <w:spacing w:line="229" w:lineRule="exact" w:before="2"/>
              <w:ind w:right="549"/>
              <w:jc w:val="right"/>
              <w:rPr>
                <w:rFonts w:ascii="Times New Roman"/>
                <w:b/>
                <w:sz w:val="20"/>
              </w:rPr>
            </w:pPr>
            <w:r>
              <w:rPr>
                <w:rFonts w:ascii="Times New Roman"/>
                <w:b/>
                <w:w w:val="95"/>
                <w:sz w:val="20"/>
              </w:rPr>
              <w:t>32.785</w:t>
            </w:r>
          </w:p>
        </w:tc>
        <w:tc>
          <w:tcPr>
            <w:tcW w:w="1495" w:type="dxa"/>
            <w:tcBorders>
              <w:top w:val="single" w:sz="4" w:space="0" w:color="8EAADB"/>
              <w:bottom w:val="single" w:sz="4" w:space="0" w:color="8EAADB"/>
            </w:tcBorders>
          </w:tcPr>
          <w:p>
            <w:pPr>
              <w:pStyle w:val="TableParagraph"/>
              <w:spacing w:line="229" w:lineRule="exact" w:before="2"/>
              <w:ind w:left="560"/>
              <w:rPr>
                <w:rFonts w:ascii="Times New Roman"/>
                <w:b/>
                <w:sz w:val="20"/>
              </w:rPr>
            </w:pPr>
            <w:r>
              <w:rPr>
                <w:rFonts w:ascii="Times New Roman"/>
                <w:b/>
                <w:sz w:val="20"/>
              </w:rPr>
              <w:t>31.529</w:t>
            </w:r>
          </w:p>
        </w:tc>
        <w:tc>
          <w:tcPr>
            <w:tcW w:w="1698" w:type="dxa"/>
            <w:tcBorders>
              <w:top w:val="single" w:sz="4" w:space="0" w:color="8EAADB"/>
              <w:bottom w:val="single" w:sz="4" w:space="0" w:color="8EAADB"/>
              <w:right w:val="single" w:sz="4" w:space="0" w:color="8EAADB"/>
            </w:tcBorders>
          </w:tcPr>
          <w:p>
            <w:pPr>
              <w:pStyle w:val="TableParagraph"/>
              <w:spacing w:line="227" w:lineRule="exact" w:before="5"/>
              <w:ind w:left="562" w:right="440"/>
              <w:jc w:val="center"/>
              <w:rPr>
                <w:rFonts w:ascii="Times New Roman"/>
                <w:b/>
                <w:sz w:val="20"/>
              </w:rPr>
            </w:pPr>
            <w:r>
              <w:rPr>
                <w:rFonts w:ascii="Times New Roman"/>
                <w:b/>
                <w:sz w:val="20"/>
              </w:rPr>
              <w:t>3,98%</w:t>
            </w:r>
          </w:p>
        </w:tc>
      </w:tr>
    </w:tbl>
    <w:p>
      <w:pPr>
        <w:spacing w:before="35"/>
        <w:ind w:left="350" w:right="0" w:firstLine="0"/>
        <w:jc w:val="left"/>
        <w:rPr>
          <w:rFonts w:ascii="Times New Roman" w:hAnsi="Times New Roman"/>
          <w:b/>
          <w:sz w:val="16"/>
        </w:rPr>
      </w:pPr>
      <w:r>
        <w:rPr>
          <w:rFonts w:ascii="Times New Roman" w:hAnsi="Times New Roman"/>
          <w:b/>
          <w:sz w:val="16"/>
        </w:rPr>
        <w:t>Fonte: Relatório de Administração da CEB Participações S.A.</w:t>
      </w:r>
    </w:p>
    <w:p>
      <w:pPr>
        <w:pStyle w:val="BodyText"/>
        <w:spacing w:before="8"/>
        <w:rPr>
          <w:rFonts w:ascii="Times New Roman"/>
          <w:b/>
        </w:rPr>
      </w:pPr>
    </w:p>
    <w:p>
      <w:pPr>
        <w:spacing w:line="360" w:lineRule="auto" w:before="0"/>
        <w:ind w:left="139" w:right="141" w:firstLine="708"/>
        <w:jc w:val="both"/>
        <w:rPr>
          <w:rFonts w:ascii="Times New Roman" w:hAnsi="Times New Roman"/>
          <w:sz w:val="22"/>
        </w:rPr>
      </w:pPr>
      <w:r>
        <w:rPr>
          <w:rFonts w:ascii="Times New Roman" w:hAnsi="Times New Roman"/>
          <w:sz w:val="22"/>
        </w:rPr>
        <w:t>A receita da CEB Participações S.A. é proveniente, em sua maior parte, da comercialização de energia gerada pela Usina Hidrelétrica Queimado, complementada pelos recursos oriundos do contrato de prestação de serviços administrativo-financeiros prestados para o Consórcio Cemig-CEB, pelas aplicações financeiras e pelo recebimento de resultados da participação acionária na empresa Corumbá Concessões S.A..</w:t>
      </w:r>
    </w:p>
    <w:p>
      <w:pPr>
        <w:spacing w:after="0" w:line="360" w:lineRule="auto"/>
        <w:jc w:val="both"/>
        <w:rPr>
          <w:rFonts w:ascii="Times New Roman" w:hAnsi="Times New Roman"/>
          <w:sz w:val="22"/>
        </w:rPr>
        <w:sectPr>
          <w:headerReference w:type="default" r:id="rId24"/>
          <w:footerReference w:type="default" r:id="rId25"/>
          <w:pgSz w:w="11920" w:h="16860"/>
          <w:pgMar w:header="0" w:footer="302" w:top="540" w:bottom="500" w:left="780" w:right="280"/>
          <w:pgNumType w:start="15"/>
        </w:sectPr>
      </w:pPr>
    </w:p>
    <w:p>
      <w:pPr>
        <w:pStyle w:val="BodyText"/>
        <w:ind w:left="516"/>
        <w:rPr>
          <w:rFonts w:ascii="Times New Roman"/>
        </w:rPr>
      </w:pPr>
      <w:r>
        <w:rPr>
          <w:rFonts w:ascii="Times New Roman"/>
        </w:rPr>
        <w:drawing>
          <wp:inline distT="0" distB="0" distL="0" distR="0">
            <wp:extent cx="989985" cy="472249"/>
            <wp:effectExtent l="0" t="0" r="0" b="0"/>
            <wp:docPr id="37" name="image2.jpeg"/>
            <wp:cNvGraphicFramePr>
              <a:graphicFrameLocks noChangeAspect="1"/>
            </wp:cNvGraphicFramePr>
            <a:graphic>
              <a:graphicData uri="http://schemas.openxmlformats.org/drawingml/2006/picture">
                <pic:pic>
                  <pic:nvPicPr>
                    <pic:cNvPr id="38"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847" w:right="0" w:firstLine="0"/>
        <w:jc w:val="both"/>
        <w:rPr>
          <w:rFonts w:ascii="Times New Roman" w:hAnsi="Times New Roman"/>
          <w:sz w:val="22"/>
        </w:rPr>
      </w:pPr>
      <w:r>
        <w:rPr>
          <w:rFonts w:ascii="Times New Roman" w:hAnsi="Times New Roman"/>
          <w:sz w:val="22"/>
        </w:rPr>
        <w:t>A receita manteve a tendência de crescimento apresentada nos últimos anos. Foi marcada pela continuidade dos</w:t>
      </w:r>
    </w:p>
    <w:p>
      <w:pPr>
        <w:spacing w:line="360" w:lineRule="auto" w:before="126"/>
        <w:ind w:left="139" w:right="136" w:firstLine="0"/>
        <w:jc w:val="both"/>
        <w:rPr>
          <w:rFonts w:ascii="Times New Roman" w:hAnsi="Times New Roman"/>
          <w:sz w:val="22"/>
        </w:rPr>
      </w:pPr>
      <w:r>
        <w:rPr>
          <w:rFonts w:ascii="Times New Roman" w:hAnsi="Times New Roman"/>
          <w:sz w:val="22"/>
        </w:rPr>
        <w:t>contratos de venda de energia gerada pela UHE Queimado, que representou a principal fonte de recursos da Empresa, e complementada pela prestação de serviços administrativos ao Consórcio Cemig-CEB, pelos resultados da participação acionária na Companhia Corumbá Concessões S.A. e pelas aplicações financeiras.</w:t>
      </w:r>
    </w:p>
    <w:p>
      <w:pPr>
        <w:pStyle w:val="BodyText"/>
        <w:spacing w:before="3"/>
        <w:rPr>
          <w:rFonts w:ascii="Times New Roman"/>
          <w:sz w:val="21"/>
        </w:rPr>
      </w:pPr>
    </w:p>
    <w:p>
      <w:pPr>
        <w:spacing w:before="0"/>
        <w:ind w:left="0" w:right="7619" w:firstLine="0"/>
        <w:jc w:val="right"/>
        <w:rPr>
          <w:rFonts w:ascii="Times New Roman" w:hAnsi="Times New Roman"/>
          <w:b/>
          <w:sz w:val="22"/>
        </w:rPr>
      </w:pPr>
      <w:r>
        <w:rPr>
          <w:rFonts w:ascii="Times New Roman" w:hAnsi="Times New Roman"/>
          <w:b/>
          <w:sz w:val="22"/>
        </w:rPr>
        <w:t>Companhia Brasiliense de Gás</w:t>
      </w:r>
    </w:p>
    <w:p>
      <w:pPr>
        <w:pStyle w:val="BodyText"/>
        <w:spacing w:before="6"/>
        <w:rPr>
          <w:rFonts w:ascii="Times New Roman"/>
          <w:b/>
        </w:rPr>
      </w:pPr>
    </w:p>
    <w:p>
      <w:pPr>
        <w:spacing w:line="360" w:lineRule="auto" w:before="0"/>
        <w:ind w:left="139" w:right="137" w:firstLine="708"/>
        <w:jc w:val="both"/>
        <w:rPr>
          <w:rFonts w:ascii="Times New Roman" w:hAnsi="Times New Roman"/>
          <w:sz w:val="22"/>
        </w:rPr>
      </w:pPr>
      <w:r>
        <w:rPr>
          <w:rFonts w:ascii="Times New Roman" w:hAnsi="Times New Roman"/>
          <w:sz w:val="22"/>
        </w:rPr>
        <w:t>A</w:t>
      </w:r>
      <w:r>
        <w:rPr>
          <w:rFonts w:ascii="Times New Roman" w:hAnsi="Times New Roman"/>
          <w:spacing w:val="-5"/>
          <w:sz w:val="22"/>
        </w:rPr>
        <w:t> </w:t>
      </w:r>
      <w:r>
        <w:rPr>
          <w:rFonts w:ascii="Times New Roman" w:hAnsi="Times New Roman"/>
          <w:sz w:val="22"/>
        </w:rPr>
        <w:t>Companhia</w:t>
      </w:r>
      <w:r>
        <w:rPr>
          <w:rFonts w:ascii="Times New Roman" w:hAnsi="Times New Roman"/>
          <w:spacing w:val="-3"/>
          <w:sz w:val="22"/>
        </w:rPr>
        <w:t> </w:t>
      </w:r>
      <w:r>
        <w:rPr>
          <w:rFonts w:ascii="Times New Roman" w:hAnsi="Times New Roman"/>
          <w:sz w:val="22"/>
        </w:rPr>
        <w:t>Brasiliense</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Gás</w:t>
      </w:r>
      <w:r>
        <w:rPr>
          <w:rFonts w:ascii="Times New Roman" w:hAnsi="Times New Roman"/>
          <w:spacing w:val="-5"/>
          <w:sz w:val="22"/>
        </w:rPr>
        <w:t> </w:t>
      </w:r>
      <w:r>
        <w:rPr>
          <w:rFonts w:ascii="Times New Roman" w:hAnsi="Times New Roman"/>
          <w:sz w:val="22"/>
        </w:rPr>
        <w:t>é</w:t>
      </w:r>
      <w:r>
        <w:rPr>
          <w:rFonts w:ascii="Times New Roman" w:hAnsi="Times New Roman"/>
          <w:spacing w:val="-4"/>
          <w:sz w:val="22"/>
        </w:rPr>
        <w:t> </w:t>
      </w:r>
      <w:r>
        <w:rPr>
          <w:rFonts w:ascii="Times New Roman" w:hAnsi="Times New Roman"/>
          <w:sz w:val="22"/>
        </w:rPr>
        <w:t>uma</w:t>
      </w:r>
      <w:r>
        <w:rPr>
          <w:rFonts w:ascii="Times New Roman" w:hAnsi="Times New Roman"/>
          <w:spacing w:val="-3"/>
          <w:sz w:val="22"/>
        </w:rPr>
        <w:t> </w:t>
      </w:r>
      <w:r>
        <w:rPr>
          <w:rFonts w:ascii="Times New Roman" w:hAnsi="Times New Roman"/>
          <w:sz w:val="22"/>
        </w:rPr>
        <w:t>sociedade</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economia</w:t>
      </w:r>
      <w:r>
        <w:rPr>
          <w:rFonts w:ascii="Times New Roman" w:hAnsi="Times New Roman"/>
          <w:spacing w:val="-3"/>
          <w:sz w:val="22"/>
        </w:rPr>
        <w:t> </w:t>
      </w:r>
      <w:r>
        <w:rPr>
          <w:rFonts w:ascii="Times New Roman" w:hAnsi="Times New Roman"/>
          <w:sz w:val="22"/>
        </w:rPr>
        <w:t>mista,</w:t>
      </w:r>
      <w:r>
        <w:rPr>
          <w:rFonts w:ascii="Times New Roman" w:hAnsi="Times New Roman"/>
          <w:spacing w:val="-6"/>
          <w:sz w:val="22"/>
        </w:rPr>
        <w:t> </w:t>
      </w:r>
      <w:r>
        <w:rPr>
          <w:rFonts w:ascii="Times New Roman" w:hAnsi="Times New Roman"/>
          <w:sz w:val="22"/>
        </w:rPr>
        <w:t>constituída</w:t>
      </w:r>
      <w:r>
        <w:rPr>
          <w:rFonts w:ascii="Times New Roman" w:hAnsi="Times New Roman"/>
          <w:spacing w:val="-8"/>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20</w:t>
      </w:r>
      <w:r>
        <w:rPr>
          <w:rFonts w:ascii="Times New Roman" w:hAnsi="Times New Roman"/>
          <w:spacing w:val="-4"/>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março</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2001,</w:t>
      </w:r>
      <w:r>
        <w:rPr>
          <w:rFonts w:ascii="Times New Roman" w:hAnsi="Times New Roman"/>
          <w:spacing w:val="-6"/>
          <w:sz w:val="22"/>
        </w:rPr>
        <w:t> </w:t>
      </w:r>
      <w:r>
        <w:rPr>
          <w:rFonts w:ascii="Times New Roman" w:hAnsi="Times New Roman"/>
          <w:sz w:val="22"/>
        </w:rPr>
        <w:t>com autorização da Lei Distrital nº 2.518, de 10 de janeiro de</w:t>
      </w:r>
      <w:r>
        <w:rPr>
          <w:rFonts w:ascii="Times New Roman" w:hAnsi="Times New Roman"/>
          <w:spacing w:val="-4"/>
          <w:sz w:val="22"/>
        </w:rPr>
        <w:t> </w:t>
      </w:r>
      <w:r>
        <w:rPr>
          <w:rFonts w:ascii="Times New Roman" w:hAnsi="Times New Roman"/>
          <w:sz w:val="22"/>
        </w:rPr>
        <w:t>2000.</w:t>
      </w:r>
    </w:p>
    <w:p>
      <w:pPr>
        <w:pStyle w:val="BodyText"/>
        <w:spacing w:before="10"/>
        <w:rPr>
          <w:rFonts w:ascii="Times New Roman"/>
        </w:rPr>
      </w:pPr>
    </w:p>
    <w:p>
      <w:pPr>
        <w:spacing w:line="360" w:lineRule="auto" w:before="0"/>
        <w:ind w:left="139" w:right="137" w:firstLine="708"/>
        <w:jc w:val="both"/>
        <w:rPr>
          <w:rFonts w:ascii="Times New Roman" w:hAnsi="Times New Roman"/>
          <w:sz w:val="22"/>
        </w:rPr>
      </w:pPr>
      <w:r>
        <w:rPr>
          <w:rFonts w:ascii="Times New Roman" w:hAnsi="Times New Roman"/>
          <w:sz w:val="22"/>
        </w:rPr>
        <w:t>Tem por objeto social a exploração, com exclusividade, do serviço de distribuição e comercialização de gás natural canalizado, de produção própria ou de terceiros. Poderá, inclusive, importar o suprimento para distribuição nos segmentos comercial, industrial, residencial, automotivo, de geração termelétrica, ou quaisquer outras finalidades e usos possibilitados pelos avanços tecnológicos, em todo território do Distrito Federal.</w:t>
      </w:r>
    </w:p>
    <w:p>
      <w:pPr>
        <w:pStyle w:val="BodyText"/>
        <w:spacing w:before="9"/>
        <w:rPr>
          <w:rFonts w:ascii="Times New Roman"/>
        </w:rPr>
      </w:pPr>
    </w:p>
    <w:p>
      <w:pPr>
        <w:spacing w:before="1"/>
        <w:ind w:left="0" w:right="7526" w:firstLine="0"/>
        <w:jc w:val="right"/>
        <w:rPr>
          <w:rFonts w:ascii="Times New Roman" w:hAnsi="Times New Roman"/>
          <w:sz w:val="22"/>
        </w:rPr>
      </w:pPr>
      <w:r>
        <w:rPr>
          <w:rFonts w:ascii="Times New Roman" w:hAnsi="Times New Roman"/>
          <w:sz w:val="22"/>
        </w:rPr>
        <w:t>A Companhia poderá ainda:</w:t>
      </w:r>
    </w:p>
    <w:p>
      <w:pPr>
        <w:pStyle w:val="BodyText"/>
        <w:spacing w:before="10"/>
        <w:rPr>
          <w:rFonts w:ascii="Times New Roman"/>
          <w:sz w:val="31"/>
        </w:rPr>
      </w:pPr>
    </w:p>
    <w:p>
      <w:pPr>
        <w:pStyle w:val="ListParagraph"/>
        <w:numPr>
          <w:ilvl w:val="1"/>
          <w:numId w:val="2"/>
        </w:numPr>
        <w:tabs>
          <w:tab w:pos="1208" w:val="left" w:leader="none"/>
        </w:tabs>
        <w:spacing w:line="240" w:lineRule="auto" w:before="0" w:after="0"/>
        <w:ind w:left="1207" w:right="137" w:hanging="360"/>
        <w:jc w:val="both"/>
        <w:rPr>
          <w:rFonts w:ascii="Times New Roman" w:hAnsi="Times New Roman"/>
          <w:sz w:val="22"/>
        </w:rPr>
      </w:pPr>
      <w:r>
        <w:rPr>
          <w:rFonts w:ascii="Times New Roman" w:hAnsi="Times New Roman"/>
          <w:sz w:val="22"/>
        </w:rPr>
        <w:t>Efetuar a implantação e a operação das redes de distribuição de gás canalizado, podendo ainda adquirir e importar diretamente gás natural e executar os serviços de</w:t>
      </w:r>
      <w:r>
        <w:rPr>
          <w:rFonts w:ascii="Times New Roman" w:hAnsi="Times New Roman"/>
          <w:spacing w:val="-4"/>
          <w:sz w:val="22"/>
        </w:rPr>
        <w:t> </w:t>
      </w:r>
      <w:r>
        <w:rPr>
          <w:rFonts w:ascii="Times New Roman" w:hAnsi="Times New Roman"/>
          <w:sz w:val="22"/>
        </w:rPr>
        <w:t>transporte;</w:t>
      </w:r>
    </w:p>
    <w:p>
      <w:pPr>
        <w:pStyle w:val="ListParagraph"/>
        <w:numPr>
          <w:ilvl w:val="1"/>
          <w:numId w:val="2"/>
        </w:numPr>
        <w:tabs>
          <w:tab w:pos="1208" w:val="left" w:leader="none"/>
        </w:tabs>
        <w:spacing w:line="240" w:lineRule="auto" w:before="121" w:after="0"/>
        <w:ind w:left="1207" w:right="146" w:hanging="360"/>
        <w:jc w:val="both"/>
        <w:rPr>
          <w:rFonts w:ascii="Times New Roman" w:hAnsi="Times New Roman"/>
          <w:sz w:val="22"/>
        </w:rPr>
      </w:pPr>
      <w:r>
        <w:rPr>
          <w:rFonts w:ascii="Times New Roman" w:hAnsi="Times New Roman"/>
          <w:sz w:val="22"/>
        </w:rPr>
        <w:t>Exercer atividades correlatas à sua finalidade principal, especialmente execução de estudos, pesquisas e projetos relacionados com o setor de gás, inclusive, sob a forma de prestação de serviços de consultoria técnica a terceiros; e</w:t>
      </w:r>
    </w:p>
    <w:p>
      <w:pPr>
        <w:pStyle w:val="ListParagraph"/>
        <w:numPr>
          <w:ilvl w:val="1"/>
          <w:numId w:val="2"/>
        </w:numPr>
        <w:tabs>
          <w:tab w:pos="1208" w:val="left" w:leader="none"/>
        </w:tabs>
        <w:spacing w:line="240" w:lineRule="auto" w:before="117" w:after="0"/>
        <w:ind w:left="1207" w:right="145" w:hanging="360"/>
        <w:jc w:val="both"/>
        <w:rPr>
          <w:rFonts w:ascii="Times New Roman" w:hAnsi="Times New Roman"/>
          <w:sz w:val="22"/>
        </w:rPr>
      </w:pPr>
      <w:r>
        <w:rPr>
          <w:rFonts w:ascii="Times New Roman" w:hAnsi="Times New Roman"/>
          <w:sz w:val="22"/>
        </w:rPr>
        <w:t>Constituir ou participar de outras sociedades, inclusive subsidiárias integrais, visando o êxito na realização de suas</w:t>
      </w:r>
      <w:r>
        <w:rPr>
          <w:rFonts w:ascii="Times New Roman" w:hAnsi="Times New Roman"/>
          <w:spacing w:val="-1"/>
          <w:sz w:val="22"/>
        </w:rPr>
        <w:t> </w:t>
      </w:r>
      <w:r>
        <w:rPr>
          <w:rFonts w:ascii="Times New Roman" w:hAnsi="Times New Roman"/>
          <w:sz w:val="22"/>
        </w:rPr>
        <w:t>atividades.</w:t>
      </w:r>
    </w:p>
    <w:p>
      <w:pPr>
        <w:pStyle w:val="BodyText"/>
        <w:spacing w:before="11"/>
        <w:rPr>
          <w:rFonts w:ascii="Times New Roman"/>
          <w:sz w:val="12"/>
        </w:rPr>
      </w:pPr>
    </w:p>
    <w:p>
      <w:pPr>
        <w:spacing w:before="91"/>
        <w:ind w:left="847" w:right="0" w:firstLine="0"/>
        <w:jc w:val="left"/>
        <w:rPr>
          <w:rFonts w:ascii="Times New Roman" w:hAnsi="Times New Roman"/>
          <w:sz w:val="22"/>
        </w:rPr>
      </w:pPr>
      <w:r>
        <w:rPr>
          <w:rFonts w:ascii="Times New Roman" w:hAnsi="Times New Roman"/>
          <w:sz w:val="22"/>
        </w:rPr>
        <w:t>A concessão da exploração tem prazo de vigência até 9 de janeiro de 2030, podendo ser prorrogado por mais 30</w:t>
      </w:r>
    </w:p>
    <w:p>
      <w:pPr>
        <w:spacing w:before="127"/>
        <w:ind w:left="139" w:right="0" w:firstLine="0"/>
        <w:jc w:val="left"/>
        <w:rPr>
          <w:rFonts w:ascii="Times New Roman"/>
          <w:sz w:val="22"/>
        </w:rPr>
      </w:pPr>
      <w:r>
        <w:rPr>
          <w:rFonts w:ascii="Times New Roman"/>
          <w:sz w:val="22"/>
        </w:rPr>
        <w:t>anos.</w:t>
      </w:r>
    </w:p>
    <w:p>
      <w:pPr>
        <w:pStyle w:val="BodyText"/>
        <w:spacing w:before="10"/>
        <w:rPr>
          <w:rFonts w:ascii="Times New Roman"/>
          <w:sz w:val="23"/>
        </w:rPr>
      </w:pPr>
    </w:p>
    <w:p>
      <w:pPr>
        <w:spacing w:line="360" w:lineRule="auto" w:before="91"/>
        <w:ind w:left="139" w:right="136" w:firstLine="708"/>
        <w:jc w:val="both"/>
        <w:rPr>
          <w:rFonts w:ascii="Times New Roman" w:hAnsi="Times New Roman"/>
          <w:sz w:val="22"/>
        </w:rPr>
      </w:pPr>
      <w:r>
        <w:rPr>
          <w:rFonts w:ascii="Times New Roman" w:hAnsi="Times New Roman"/>
          <w:sz w:val="22"/>
        </w:rPr>
        <w:t>Atualmente,</w:t>
      </w:r>
      <w:r>
        <w:rPr>
          <w:rFonts w:ascii="Times New Roman" w:hAnsi="Times New Roman"/>
          <w:spacing w:val="-15"/>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Companhia</w:t>
      </w:r>
      <w:r>
        <w:rPr>
          <w:rFonts w:ascii="Times New Roman" w:hAnsi="Times New Roman"/>
          <w:spacing w:val="-13"/>
          <w:sz w:val="22"/>
        </w:rPr>
        <w:t> </w:t>
      </w:r>
      <w:r>
        <w:rPr>
          <w:rFonts w:ascii="Times New Roman" w:hAnsi="Times New Roman"/>
          <w:sz w:val="22"/>
        </w:rPr>
        <w:t>explora</w:t>
      </w:r>
      <w:r>
        <w:rPr>
          <w:rFonts w:ascii="Times New Roman" w:hAnsi="Times New Roman"/>
          <w:spacing w:val="-13"/>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distribuição</w:t>
      </w:r>
      <w:r>
        <w:rPr>
          <w:rFonts w:ascii="Times New Roman" w:hAnsi="Times New Roman"/>
          <w:spacing w:val="-12"/>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gás</w:t>
      </w:r>
      <w:r>
        <w:rPr>
          <w:rFonts w:ascii="Times New Roman" w:hAnsi="Times New Roman"/>
          <w:spacing w:val="-12"/>
          <w:sz w:val="22"/>
        </w:rPr>
        <w:t> </w:t>
      </w:r>
      <w:r>
        <w:rPr>
          <w:rFonts w:ascii="Times New Roman" w:hAnsi="Times New Roman"/>
          <w:sz w:val="22"/>
        </w:rPr>
        <w:t>veicular,</w:t>
      </w:r>
      <w:r>
        <w:rPr>
          <w:rFonts w:ascii="Times New Roman" w:hAnsi="Times New Roman"/>
          <w:spacing w:val="-12"/>
          <w:sz w:val="22"/>
        </w:rPr>
        <w:t> </w:t>
      </w:r>
      <w:r>
        <w:rPr>
          <w:rFonts w:ascii="Times New Roman" w:hAnsi="Times New Roman"/>
          <w:sz w:val="22"/>
        </w:rPr>
        <w:t>em</w:t>
      </w:r>
      <w:r>
        <w:rPr>
          <w:rFonts w:ascii="Times New Roman" w:hAnsi="Times New Roman"/>
          <w:spacing w:val="-15"/>
          <w:sz w:val="22"/>
        </w:rPr>
        <w:t> </w:t>
      </w:r>
      <w:r>
        <w:rPr>
          <w:rFonts w:ascii="Times New Roman" w:hAnsi="Times New Roman"/>
          <w:sz w:val="22"/>
        </w:rPr>
        <w:t>montantes</w:t>
      </w:r>
      <w:r>
        <w:rPr>
          <w:rFonts w:ascii="Times New Roman" w:hAnsi="Times New Roman"/>
          <w:spacing w:val="-12"/>
          <w:sz w:val="22"/>
        </w:rPr>
        <w:t> </w:t>
      </w:r>
      <w:r>
        <w:rPr>
          <w:rFonts w:ascii="Times New Roman" w:hAnsi="Times New Roman"/>
          <w:sz w:val="22"/>
        </w:rPr>
        <w:t>limitados</w:t>
      </w:r>
      <w:r>
        <w:rPr>
          <w:rFonts w:ascii="Times New Roman" w:hAnsi="Times New Roman"/>
          <w:spacing w:val="-12"/>
          <w:sz w:val="22"/>
        </w:rPr>
        <w:t> </w:t>
      </w:r>
      <w:r>
        <w:rPr>
          <w:rFonts w:ascii="Times New Roman" w:hAnsi="Times New Roman"/>
          <w:sz w:val="22"/>
        </w:rPr>
        <w:t>que</w:t>
      </w:r>
      <w:r>
        <w:rPr>
          <w:rFonts w:ascii="Times New Roman" w:hAnsi="Times New Roman"/>
          <w:spacing w:val="-13"/>
          <w:sz w:val="22"/>
        </w:rPr>
        <w:t> </w:t>
      </w:r>
      <w:r>
        <w:rPr>
          <w:rFonts w:ascii="Times New Roman" w:hAnsi="Times New Roman"/>
          <w:sz w:val="22"/>
        </w:rPr>
        <w:t>tem</w:t>
      </w:r>
      <w:r>
        <w:rPr>
          <w:rFonts w:ascii="Times New Roman" w:hAnsi="Times New Roman"/>
          <w:spacing w:val="-16"/>
          <w:sz w:val="22"/>
        </w:rPr>
        <w:t> </w:t>
      </w:r>
      <w:r>
        <w:rPr>
          <w:rFonts w:ascii="Times New Roman" w:hAnsi="Times New Roman"/>
          <w:sz w:val="22"/>
        </w:rPr>
        <w:t>impossibilitado a apuração de resultados</w:t>
      </w:r>
      <w:r>
        <w:rPr>
          <w:rFonts w:ascii="Times New Roman" w:hAnsi="Times New Roman"/>
          <w:spacing w:val="-1"/>
          <w:sz w:val="22"/>
        </w:rPr>
        <w:t> </w:t>
      </w:r>
      <w:r>
        <w:rPr>
          <w:rFonts w:ascii="Times New Roman" w:hAnsi="Times New Roman"/>
          <w:sz w:val="22"/>
        </w:rPr>
        <w:t>favoráveis.</w:t>
      </w:r>
    </w:p>
    <w:p>
      <w:pPr>
        <w:pStyle w:val="BodyText"/>
        <w:spacing w:before="10"/>
        <w:rPr>
          <w:rFonts w:ascii="Times New Roman"/>
        </w:rPr>
      </w:pPr>
    </w:p>
    <w:p>
      <w:pPr>
        <w:spacing w:line="360" w:lineRule="auto" w:before="0"/>
        <w:ind w:left="139" w:right="141" w:firstLine="708"/>
        <w:jc w:val="both"/>
        <w:rPr>
          <w:rFonts w:ascii="Times New Roman" w:hAnsi="Times New Roman"/>
          <w:sz w:val="22"/>
        </w:rPr>
      </w:pPr>
      <w:r>
        <w:rPr>
          <w:rFonts w:ascii="Times New Roman" w:hAnsi="Times New Roman"/>
          <w:sz w:val="22"/>
        </w:rPr>
        <w:t>Para que sua operação seja similar à de outras empresas Distribuidoras de Gás Canalizado no Brasil, faz-se necessária a viabilização de um suprimento adequado às necessidades do Distrito Federal, por meio de um gasoduto de transporte de gás natural.</w:t>
      </w:r>
    </w:p>
    <w:p>
      <w:pPr>
        <w:pStyle w:val="BodyText"/>
        <w:rPr>
          <w:rFonts w:ascii="Times New Roman"/>
          <w:sz w:val="21"/>
        </w:rPr>
      </w:pPr>
    </w:p>
    <w:p>
      <w:pPr>
        <w:spacing w:before="1"/>
        <w:ind w:left="847" w:right="0" w:firstLine="0"/>
        <w:jc w:val="left"/>
        <w:rPr>
          <w:rFonts w:ascii="Times New Roman" w:hAnsi="Times New Roman"/>
          <w:sz w:val="22"/>
        </w:rPr>
      </w:pPr>
      <w:r>
        <w:rPr>
          <w:rFonts w:ascii="Times New Roman" w:hAnsi="Times New Roman"/>
          <w:sz w:val="22"/>
        </w:rPr>
        <w:t>A</w:t>
      </w:r>
      <w:r>
        <w:rPr>
          <w:rFonts w:ascii="Times New Roman" w:hAnsi="Times New Roman"/>
          <w:spacing w:val="-12"/>
          <w:sz w:val="22"/>
        </w:rPr>
        <w:t> </w:t>
      </w:r>
      <w:r>
        <w:rPr>
          <w:rFonts w:ascii="Times New Roman" w:hAnsi="Times New Roman"/>
          <w:sz w:val="22"/>
        </w:rPr>
        <w:t>CEB</w:t>
      </w:r>
      <w:r>
        <w:rPr>
          <w:rFonts w:ascii="Times New Roman" w:hAnsi="Times New Roman"/>
          <w:spacing w:val="-12"/>
          <w:sz w:val="22"/>
        </w:rPr>
        <w:t> </w:t>
      </w:r>
      <w:r>
        <w:rPr>
          <w:rFonts w:ascii="Times New Roman" w:hAnsi="Times New Roman"/>
          <w:sz w:val="22"/>
        </w:rPr>
        <w:t>é</w:t>
      </w:r>
      <w:r>
        <w:rPr>
          <w:rFonts w:ascii="Times New Roman" w:hAnsi="Times New Roman"/>
          <w:spacing w:val="-11"/>
          <w:sz w:val="22"/>
        </w:rPr>
        <w:t> </w:t>
      </w:r>
      <w:r>
        <w:rPr>
          <w:rFonts w:ascii="Times New Roman" w:hAnsi="Times New Roman"/>
          <w:sz w:val="22"/>
        </w:rPr>
        <w:t>controladora</w:t>
      </w:r>
      <w:r>
        <w:rPr>
          <w:rFonts w:ascii="Times New Roman" w:hAnsi="Times New Roman"/>
          <w:spacing w:val="-11"/>
          <w:sz w:val="22"/>
        </w:rPr>
        <w:t> </w:t>
      </w:r>
      <w:r>
        <w:rPr>
          <w:rFonts w:ascii="Times New Roman" w:hAnsi="Times New Roman"/>
          <w:sz w:val="22"/>
        </w:rPr>
        <w:t>da</w:t>
      </w:r>
      <w:r>
        <w:rPr>
          <w:rFonts w:ascii="Times New Roman" w:hAnsi="Times New Roman"/>
          <w:spacing w:val="-10"/>
          <w:sz w:val="22"/>
        </w:rPr>
        <w:t> </w:t>
      </w:r>
      <w:r>
        <w:rPr>
          <w:rFonts w:ascii="Times New Roman" w:hAnsi="Times New Roman"/>
          <w:sz w:val="22"/>
        </w:rPr>
        <w:t>Companhia</w:t>
      </w:r>
      <w:r>
        <w:rPr>
          <w:rFonts w:ascii="Times New Roman" w:hAnsi="Times New Roman"/>
          <w:spacing w:val="-11"/>
          <w:sz w:val="22"/>
        </w:rPr>
        <w:t> </w:t>
      </w:r>
      <w:r>
        <w:rPr>
          <w:rFonts w:ascii="Times New Roman" w:hAnsi="Times New Roman"/>
          <w:sz w:val="22"/>
        </w:rPr>
        <w:t>Brasiliense</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Gás,</w:t>
      </w:r>
      <w:r>
        <w:rPr>
          <w:rFonts w:ascii="Times New Roman" w:hAnsi="Times New Roman"/>
          <w:spacing w:val="-9"/>
          <w:sz w:val="22"/>
        </w:rPr>
        <w:t> </w:t>
      </w:r>
      <w:r>
        <w:rPr>
          <w:rFonts w:ascii="Times New Roman" w:hAnsi="Times New Roman"/>
          <w:sz w:val="22"/>
        </w:rPr>
        <w:t>com</w:t>
      </w:r>
      <w:r>
        <w:rPr>
          <w:rFonts w:ascii="Times New Roman" w:hAnsi="Times New Roman"/>
          <w:spacing w:val="-14"/>
          <w:sz w:val="22"/>
        </w:rPr>
        <w:t> </w:t>
      </w:r>
      <w:r>
        <w:rPr>
          <w:rFonts w:ascii="Times New Roman" w:hAnsi="Times New Roman"/>
          <w:sz w:val="22"/>
        </w:rPr>
        <w:t>51%</w:t>
      </w:r>
      <w:r>
        <w:rPr>
          <w:rFonts w:ascii="Times New Roman" w:hAnsi="Times New Roman"/>
          <w:spacing w:val="-10"/>
          <w:sz w:val="22"/>
        </w:rPr>
        <w:t> </w:t>
      </w:r>
      <w:r>
        <w:rPr>
          <w:rFonts w:ascii="Times New Roman" w:hAnsi="Times New Roman"/>
          <w:sz w:val="22"/>
        </w:rPr>
        <w:t>das</w:t>
      </w:r>
      <w:r>
        <w:rPr>
          <w:rFonts w:ascii="Times New Roman" w:hAnsi="Times New Roman"/>
          <w:spacing w:val="-10"/>
          <w:sz w:val="22"/>
        </w:rPr>
        <w:t> </w:t>
      </w:r>
      <w:r>
        <w:rPr>
          <w:rFonts w:ascii="Times New Roman" w:hAnsi="Times New Roman"/>
          <w:sz w:val="22"/>
        </w:rPr>
        <w:t>ações</w:t>
      </w:r>
      <w:r>
        <w:rPr>
          <w:rFonts w:ascii="Times New Roman" w:hAnsi="Times New Roman"/>
          <w:spacing w:val="-12"/>
          <w:sz w:val="22"/>
        </w:rPr>
        <w:t> </w:t>
      </w:r>
      <w:r>
        <w:rPr>
          <w:rFonts w:ascii="Times New Roman" w:hAnsi="Times New Roman"/>
          <w:sz w:val="22"/>
        </w:rPr>
        <w:t>ordinárias</w:t>
      </w:r>
      <w:r>
        <w:rPr>
          <w:rFonts w:ascii="Times New Roman" w:hAnsi="Times New Roman"/>
          <w:spacing w:val="-10"/>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17%</w:t>
      </w:r>
      <w:r>
        <w:rPr>
          <w:rFonts w:ascii="Times New Roman" w:hAnsi="Times New Roman"/>
          <w:spacing w:val="-10"/>
          <w:sz w:val="22"/>
        </w:rPr>
        <w:t> </w:t>
      </w:r>
      <w:r>
        <w:rPr>
          <w:rFonts w:ascii="Times New Roman" w:hAnsi="Times New Roman"/>
          <w:sz w:val="22"/>
        </w:rPr>
        <w:t>do</w:t>
      </w:r>
      <w:r>
        <w:rPr>
          <w:rFonts w:ascii="Times New Roman" w:hAnsi="Times New Roman"/>
          <w:spacing w:val="-12"/>
          <w:sz w:val="22"/>
        </w:rPr>
        <w:t> </w:t>
      </w:r>
      <w:r>
        <w:rPr>
          <w:rFonts w:ascii="Times New Roman" w:hAnsi="Times New Roman"/>
          <w:sz w:val="22"/>
        </w:rPr>
        <w:t>total</w:t>
      </w:r>
      <w:r>
        <w:rPr>
          <w:rFonts w:ascii="Times New Roman" w:hAnsi="Times New Roman"/>
          <w:spacing w:val="-10"/>
          <w:sz w:val="22"/>
        </w:rPr>
        <w:t> </w:t>
      </w:r>
      <w:r>
        <w:rPr>
          <w:rFonts w:ascii="Times New Roman" w:hAnsi="Times New Roman"/>
          <w:sz w:val="22"/>
        </w:rPr>
        <w:t>das</w:t>
      </w:r>
      <w:r>
        <w:rPr>
          <w:rFonts w:ascii="Times New Roman" w:hAnsi="Times New Roman"/>
          <w:spacing w:val="-10"/>
          <w:sz w:val="22"/>
        </w:rPr>
        <w:t> </w:t>
      </w:r>
      <w:r>
        <w:rPr>
          <w:rFonts w:ascii="Times New Roman" w:hAnsi="Times New Roman"/>
          <w:sz w:val="22"/>
        </w:rPr>
        <w:t>ações.</w:t>
      </w:r>
    </w:p>
    <w:p>
      <w:pPr>
        <w:pStyle w:val="BodyText"/>
        <w:spacing w:before="9"/>
        <w:rPr>
          <w:rFonts w:ascii="Times New Roman"/>
          <w:sz w:val="28"/>
        </w:rPr>
      </w:pPr>
      <w:r>
        <w:rPr/>
        <w:drawing>
          <wp:anchor distT="0" distB="0" distL="0" distR="0" allowOverlap="1" layoutInCell="1" locked="0" behindDoc="0" simplePos="0" relativeHeight="23">
            <wp:simplePos x="0" y="0"/>
            <wp:positionH relativeFrom="page">
              <wp:posOffset>2751454</wp:posOffset>
            </wp:positionH>
            <wp:positionV relativeFrom="paragraph">
              <wp:posOffset>235125</wp:posOffset>
            </wp:positionV>
            <wp:extent cx="2222726" cy="1697354"/>
            <wp:effectExtent l="0" t="0" r="0" b="0"/>
            <wp:wrapTopAndBottom/>
            <wp:docPr id="39" name="image10.png" descr="cid:image001.png@01D29E6E.AB1818C0"/>
            <wp:cNvGraphicFramePr>
              <a:graphicFrameLocks noChangeAspect="1"/>
            </wp:cNvGraphicFramePr>
            <a:graphic>
              <a:graphicData uri="http://schemas.openxmlformats.org/drawingml/2006/picture">
                <pic:pic>
                  <pic:nvPicPr>
                    <pic:cNvPr id="40" name="image10.png"/>
                    <pic:cNvPicPr/>
                  </pic:nvPicPr>
                  <pic:blipFill>
                    <a:blip r:embed="rId28" cstate="print"/>
                    <a:stretch>
                      <a:fillRect/>
                    </a:stretch>
                  </pic:blipFill>
                  <pic:spPr>
                    <a:xfrm>
                      <a:off x="0" y="0"/>
                      <a:ext cx="2222726" cy="1697354"/>
                    </a:xfrm>
                    <a:prstGeom prst="rect">
                      <a:avLst/>
                    </a:prstGeom>
                  </pic:spPr>
                </pic:pic>
              </a:graphicData>
            </a:graphic>
          </wp:anchor>
        </w:drawing>
      </w:r>
    </w:p>
    <w:p>
      <w:pPr>
        <w:spacing w:after="0"/>
        <w:rPr>
          <w:rFonts w:ascii="Times New Roman"/>
          <w:sz w:val="28"/>
        </w:rPr>
        <w:sectPr>
          <w:headerReference w:type="default" r:id="rId26"/>
          <w:footerReference w:type="default" r:id="rId27"/>
          <w:pgSz w:w="11920" w:h="16860"/>
          <w:pgMar w:header="0" w:footer="302" w:top="540" w:bottom="500" w:left="780" w:right="280"/>
          <w:pgNumType w:start="16"/>
        </w:sectPr>
      </w:pPr>
    </w:p>
    <w:p>
      <w:pPr>
        <w:pStyle w:val="BodyText"/>
        <w:ind w:left="516"/>
        <w:rPr>
          <w:rFonts w:ascii="Times New Roman"/>
        </w:rPr>
      </w:pPr>
      <w:r>
        <w:rPr>
          <w:rFonts w:ascii="Times New Roman"/>
        </w:rPr>
        <w:drawing>
          <wp:inline distT="0" distB="0" distL="0" distR="0">
            <wp:extent cx="989985" cy="472249"/>
            <wp:effectExtent l="0" t="0" r="0" b="0"/>
            <wp:docPr id="41" name="image2.jpeg"/>
            <wp:cNvGraphicFramePr>
              <a:graphicFrameLocks noChangeAspect="1"/>
            </wp:cNvGraphicFramePr>
            <a:graphic>
              <a:graphicData uri="http://schemas.openxmlformats.org/drawingml/2006/picture">
                <pic:pic>
                  <pic:nvPicPr>
                    <pic:cNvPr id="42"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31" w:lineRule="exact" w:before="0"/>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4"/>
        <w:rPr>
          <w:rFonts w:ascii="Times New Roman"/>
          <w:b/>
          <w:sz w:val="21"/>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5063"/>
        <w:gridCol w:w="1623"/>
        <w:gridCol w:w="1621"/>
        <w:gridCol w:w="1614"/>
      </w:tblGrid>
      <w:tr>
        <w:trPr>
          <w:trHeight w:val="434" w:hRule="atLeast"/>
        </w:trPr>
        <w:tc>
          <w:tcPr>
            <w:tcW w:w="5063" w:type="dxa"/>
            <w:tcBorders>
              <w:top w:val="nil"/>
              <w:left w:val="nil"/>
              <w:bottom w:val="nil"/>
              <w:right w:val="nil"/>
            </w:tcBorders>
            <w:shd w:val="clear" w:color="auto" w:fill="4470C4"/>
          </w:tcPr>
          <w:p>
            <w:pPr>
              <w:pStyle w:val="TableParagraph"/>
              <w:spacing w:before="87"/>
              <w:ind w:left="2159" w:right="2135"/>
              <w:jc w:val="center"/>
              <w:rPr>
                <w:rFonts w:ascii="Times New Roman"/>
                <w:b/>
                <w:sz w:val="20"/>
              </w:rPr>
            </w:pPr>
            <w:r>
              <w:rPr>
                <w:rFonts w:ascii="Times New Roman"/>
                <w:b/>
                <w:color w:val="FFFFFF"/>
                <w:sz w:val="20"/>
              </w:rPr>
              <w:t>(R$ Mil)</w:t>
            </w:r>
          </w:p>
        </w:tc>
        <w:tc>
          <w:tcPr>
            <w:tcW w:w="1623" w:type="dxa"/>
            <w:tcBorders>
              <w:top w:val="nil"/>
              <w:left w:val="nil"/>
              <w:bottom w:val="nil"/>
              <w:right w:val="nil"/>
            </w:tcBorders>
            <w:shd w:val="clear" w:color="auto" w:fill="4470C4"/>
          </w:tcPr>
          <w:p>
            <w:pPr>
              <w:pStyle w:val="TableParagraph"/>
              <w:spacing w:before="87"/>
              <w:ind w:left="623"/>
              <w:rPr>
                <w:rFonts w:ascii="Times New Roman"/>
                <w:b/>
                <w:sz w:val="20"/>
              </w:rPr>
            </w:pPr>
            <w:r>
              <w:rPr>
                <w:rFonts w:ascii="Times New Roman"/>
                <w:b/>
                <w:color w:val="FFFFFF"/>
                <w:sz w:val="20"/>
              </w:rPr>
              <w:t>2019</w:t>
            </w:r>
          </w:p>
        </w:tc>
        <w:tc>
          <w:tcPr>
            <w:tcW w:w="1621" w:type="dxa"/>
            <w:tcBorders>
              <w:top w:val="nil"/>
              <w:left w:val="nil"/>
              <w:bottom w:val="nil"/>
              <w:right w:val="nil"/>
            </w:tcBorders>
            <w:shd w:val="clear" w:color="auto" w:fill="4470C4"/>
          </w:tcPr>
          <w:p>
            <w:pPr>
              <w:pStyle w:val="TableParagraph"/>
              <w:spacing w:before="87"/>
              <w:ind w:right="592"/>
              <w:jc w:val="right"/>
              <w:rPr>
                <w:rFonts w:ascii="Times New Roman"/>
                <w:b/>
                <w:sz w:val="20"/>
              </w:rPr>
            </w:pPr>
            <w:r>
              <w:rPr>
                <w:rFonts w:ascii="Times New Roman"/>
                <w:b/>
                <w:color w:val="FFFFFF"/>
                <w:sz w:val="20"/>
              </w:rPr>
              <w:t>2018</w:t>
            </w:r>
          </w:p>
        </w:tc>
        <w:tc>
          <w:tcPr>
            <w:tcW w:w="1614" w:type="dxa"/>
            <w:tcBorders>
              <w:top w:val="nil"/>
              <w:left w:val="nil"/>
              <w:bottom w:val="nil"/>
              <w:right w:val="nil"/>
            </w:tcBorders>
            <w:shd w:val="clear" w:color="auto" w:fill="4470C4"/>
          </w:tcPr>
          <w:p>
            <w:pPr>
              <w:pStyle w:val="TableParagraph"/>
              <w:spacing w:before="101"/>
              <w:ind w:left="300"/>
              <w:rPr>
                <w:rFonts w:ascii="Times New Roman" w:hAnsi="Times New Roman"/>
                <w:b/>
                <w:sz w:val="20"/>
              </w:rPr>
            </w:pPr>
            <w:r>
              <w:rPr>
                <w:rFonts w:ascii="Times New Roman" w:hAnsi="Times New Roman"/>
                <w:b/>
                <w:color w:val="FFFFFF"/>
                <w:sz w:val="20"/>
              </w:rPr>
              <w:t>Δ 2019/2018</w:t>
            </w:r>
          </w:p>
        </w:tc>
      </w:tr>
      <w:tr>
        <w:trPr>
          <w:trHeight w:val="254" w:hRule="atLeast"/>
        </w:trPr>
        <w:tc>
          <w:tcPr>
            <w:tcW w:w="5063" w:type="dxa"/>
            <w:tcBorders>
              <w:top w:val="nil"/>
            </w:tcBorders>
            <w:shd w:val="clear" w:color="auto" w:fill="D9E0F3"/>
          </w:tcPr>
          <w:p>
            <w:pPr>
              <w:pStyle w:val="TableParagraph"/>
              <w:spacing w:line="226" w:lineRule="exact"/>
              <w:ind w:left="331" w:right="317"/>
              <w:jc w:val="center"/>
              <w:rPr>
                <w:rFonts w:ascii="Times New Roman"/>
                <w:b/>
                <w:sz w:val="20"/>
              </w:rPr>
            </w:pPr>
            <w:r>
              <w:rPr>
                <w:rFonts w:ascii="Times New Roman"/>
                <w:b/>
                <w:sz w:val="20"/>
              </w:rPr>
              <w:t>Receita Operacional Bruta</w:t>
            </w:r>
          </w:p>
        </w:tc>
        <w:tc>
          <w:tcPr>
            <w:tcW w:w="1623" w:type="dxa"/>
            <w:tcBorders>
              <w:top w:val="nil"/>
            </w:tcBorders>
            <w:shd w:val="clear" w:color="auto" w:fill="D9E0F3"/>
          </w:tcPr>
          <w:p>
            <w:pPr>
              <w:pStyle w:val="TableParagraph"/>
              <w:spacing w:line="229" w:lineRule="exact" w:before="5"/>
              <w:ind w:left="592"/>
              <w:rPr>
                <w:rFonts w:ascii="Times New Roman"/>
                <w:b/>
                <w:sz w:val="20"/>
              </w:rPr>
            </w:pPr>
            <w:r>
              <w:rPr>
                <w:rFonts w:ascii="Times New Roman"/>
                <w:b/>
                <w:sz w:val="20"/>
              </w:rPr>
              <w:t>6.932</w:t>
            </w:r>
          </w:p>
        </w:tc>
        <w:tc>
          <w:tcPr>
            <w:tcW w:w="1621" w:type="dxa"/>
            <w:tcBorders>
              <w:top w:val="nil"/>
            </w:tcBorders>
            <w:shd w:val="clear" w:color="auto" w:fill="D9E0F3"/>
          </w:tcPr>
          <w:p>
            <w:pPr>
              <w:pStyle w:val="TableParagraph"/>
              <w:spacing w:line="229" w:lineRule="exact" w:before="5"/>
              <w:ind w:right="567"/>
              <w:jc w:val="right"/>
              <w:rPr>
                <w:rFonts w:ascii="Times New Roman"/>
                <w:b/>
                <w:sz w:val="20"/>
              </w:rPr>
            </w:pPr>
            <w:r>
              <w:rPr>
                <w:rFonts w:ascii="Times New Roman"/>
                <w:b/>
                <w:sz w:val="20"/>
              </w:rPr>
              <w:t>5.242</w:t>
            </w:r>
          </w:p>
        </w:tc>
        <w:tc>
          <w:tcPr>
            <w:tcW w:w="1614" w:type="dxa"/>
            <w:tcBorders>
              <w:top w:val="nil"/>
            </w:tcBorders>
            <w:shd w:val="clear" w:color="auto" w:fill="D9E0F3"/>
          </w:tcPr>
          <w:p>
            <w:pPr>
              <w:pStyle w:val="TableParagraph"/>
              <w:spacing w:line="210" w:lineRule="exact" w:before="24"/>
              <w:ind w:left="591"/>
              <w:rPr>
                <w:rFonts w:ascii="Times New Roman"/>
                <w:b/>
                <w:sz w:val="20"/>
              </w:rPr>
            </w:pPr>
            <w:r>
              <w:rPr>
                <w:rFonts w:ascii="Times New Roman"/>
                <w:b/>
                <w:sz w:val="20"/>
              </w:rPr>
              <w:t>32,24%</w:t>
            </w:r>
          </w:p>
        </w:tc>
      </w:tr>
      <w:tr>
        <w:trPr>
          <w:trHeight w:val="251" w:hRule="atLeast"/>
        </w:trPr>
        <w:tc>
          <w:tcPr>
            <w:tcW w:w="5063" w:type="dxa"/>
          </w:tcPr>
          <w:p>
            <w:pPr>
              <w:pStyle w:val="TableParagraph"/>
              <w:spacing w:line="225" w:lineRule="exact"/>
              <w:ind w:left="330" w:right="319"/>
              <w:jc w:val="center"/>
              <w:rPr>
                <w:rFonts w:ascii="Times New Roman" w:hAnsi="Times New Roman"/>
                <w:b/>
                <w:sz w:val="20"/>
              </w:rPr>
            </w:pPr>
            <w:r>
              <w:rPr>
                <w:rFonts w:ascii="Times New Roman" w:hAnsi="Times New Roman"/>
                <w:b/>
                <w:sz w:val="20"/>
              </w:rPr>
              <w:t>Receita Operacional Líquida</w:t>
            </w:r>
          </w:p>
        </w:tc>
        <w:tc>
          <w:tcPr>
            <w:tcW w:w="1623" w:type="dxa"/>
          </w:tcPr>
          <w:p>
            <w:pPr>
              <w:pStyle w:val="TableParagraph"/>
              <w:ind w:left="592"/>
              <w:rPr>
                <w:rFonts w:ascii="Times New Roman"/>
                <w:b/>
                <w:sz w:val="20"/>
              </w:rPr>
            </w:pPr>
            <w:r>
              <w:rPr>
                <w:rFonts w:ascii="Times New Roman"/>
                <w:b/>
                <w:sz w:val="20"/>
              </w:rPr>
              <w:t>5.359</w:t>
            </w:r>
          </w:p>
        </w:tc>
        <w:tc>
          <w:tcPr>
            <w:tcW w:w="1621" w:type="dxa"/>
          </w:tcPr>
          <w:p>
            <w:pPr>
              <w:pStyle w:val="TableParagraph"/>
              <w:ind w:right="567"/>
              <w:jc w:val="right"/>
              <w:rPr>
                <w:rFonts w:ascii="Times New Roman"/>
                <w:b/>
                <w:sz w:val="20"/>
              </w:rPr>
            </w:pPr>
            <w:r>
              <w:rPr>
                <w:rFonts w:ascii="Times New Roman"/>
                <w:b/>
                <w:sz w:val="20"/>
              </w:rPr>
              <w:t>4.053</w:t>
            </w:r>
          </w:p>
        </w:tc>
        <w:tc>
          <w:tcPr>
            <w:tcW w:w="1614" w:type="dxa"/>
          </w:tcPr>
          <w:p>
            <w:pPr>
              <w:pStyle w:val="TableParagraph"/>
              <w:spacing w:line="210" w:lineRule="exact" w:before="22"/>
              <w:ind w:left="591"/>
              <w:rPr>
                <w:rFonts w:ascii="Times New Roman"/>
                <w:b/>
                <w:sz w:val="20"/>
              </w:rPr>
            </w:pPr>
            <w:r>
              <w:rPr>
                <w:rFonts w:ascii="Times New Roman"/>
                <w:b/>
                <w:sz w:val="20"/>
              </w:rPr>
              <w:t>32,22%</w:t>
            </w:r>
          </w:p>
        </w:tc>
      </w:tr>
      <w:tr>
        <w:trPr>
          <w:trHeight w:val="251" w:hRule="atLeast"/>
        </w:trPr>
        <w:tc>
          <w:tcPr>
            <w:tcW w:w="5063" w:type="dxa"/>
            <w:shd w:val="clear" w:color="auto" w:fill="D9E0F3"/>
          </w:tcPr>
          <w:p>
            <w:pPr>
              <w:pStyle w:val="TableParagraph"/>
              <w:spacing w:line="225" w:lineRule="exact"/>
              <w:ind w:left="331" w:right="319"/>
              <w:jc w:val="center"/>
              <w:rPr>
                <w:rFonts w:ascii="Times New Roman" w:hAnsi="Times New Roman"/>
                <w:b/>
                <w:sz w:val="20"/>
              </w:rPr>
            </w:pPr>
            <w:r>
              <w:rPr>
                <w:rFonts w:ascii="Times New Roman" w:hAnsi="Times New Roman"/>
                <w:b/>
                <w:sz w:val="20"/>
              </w:rPr>
              <w:t>Resultado Operacional Líquido Antes dos Tributos</w:t>
            </w:r>
          </w:p>
        </w:tc>
        <w:tc>
          <w:tcPr>
            <w:tcW w:w="1623" w:type="dxa"/>
            <w:shd w:val="clear" w:color="auto" w:fill="D9E0F3"/>
          </w:tcPr>
          <w:p>
            <w:pPr>
              <w:pStyle w:val="TableParagraph"/>
              <w:spacing w:line="229" w:lineRule="exact" w:before="2"/>
              <w:ind w:left="601"/>
              <w:rPr>
                <w:rFonts w:ascii="Times New Roman"/>
                <w:b/>
                <w:sz w:val="20"/>
              </w:rPr>
            </w:pPr>
            <w:r>
              <w:rPr>
                <w:rFonts w:ascii="Times New Roman"/>
                <w:b/>
                <w:sz w:val="20"/>
              </w:rPr>
              <w:t>(358)</w:t>
            </w:r>
          </w:p>
        </w:tc>
        <w:tc>
          <w:tcPr>
            <w:tcW w:w="1621" w:type="dxa"/>
            <w:shd w:val="clear" w:color="auto" w:fill="D9E0F3"/>
          </w:tcPr>
          <w:p>
            <w:pPr>
              <w:pStyle w:val="TableParagraph"/>
              <w:spacing w:line="229" w:lineRule="exact" w:before="2"/>
              <w:ind w:right="574"/>
              <w:jc w:val="right"/>
              <w:rPr>
                <w:rFonts w:ascii="Times New Roman"/>
                <w:b/>
                <w:sz w:val="20"/>
              </w:rPr>
            </w:pPr>
            <w:r>
              <w:rPr>
                <w:rFonts w:ascii="Times New Roman"/>
                <w:b/>
                <w:sz w:val="20"/>
              </w:rPr>
              <w:t>(376)</w:t>
            </w:r>
          </w:p>
        </w:tc>
        <w:tc>
          <w:tcPr>
            <w:tcW w:w="1614" w:type="dxa"/>
            <w:shd w:val="clear" w:color="auto" w:fill="D9E0F3"/>
          </w:tcPr>
          <w:p>
            <w:pPr>
              <w:pStyle w:val="TableParagraph"/>
              <w:spacing w:line="210" w:lineRule="exact" w:before="22"/>
              <w:ind w:left="591"/>
              <w:rPr>
                <w:rFonts w:ascii="Times New Roman"/>
                <w:b/>
                <w:sz w:val="20"/>
              </w:rPr>
            </w:pPr>
            <w:r>
              <w:rPr>
                <w:rFonts w:ascii="Times New Roman"/>
                <w:b/>
                <w:sz w:val="20"/>
              </w:rPr>
              <w:t>-4,79%</w:t>
            </w:r>
          </w:p>
        </w:tc>
      </w:tr>
      <w:tr>
        <w:trPr>
          <w:trHeight w:val="251" w:hRule="atLeast"/>
        </w:trPr>
        <w:tc>
          <w:tcPr>
            <w:tcW w:w="5063" w:type="dxa"/>
          </w:tcPr>
          <w:p>
            <w:pPr>
              <w:pStyle w:val="TableParagraph"/>
              <w:spacing w:line="228" w:lineRule="exact"/>
              <w:ind w:left="330" w:right="319"/>
              <w:jc w:val="center"/>
              <w:rPr>
                <w:rFonts w:ascii="Times New Roman"/>
                <w:b/>
                <w:sz w:val="20"/>
              </w:rPr>
            </w:pPr>
            <w:r>
              <w:rPr>
                <w:rFonts w:ascii="Times New Roman"/>
                <w:b/>
                <w:sz w:val="20"/>
              </w:rPr>
              <w:t>EBITDA (LAJIDA)</w:t>
            </w:r>
          </w:p>
        </w:tc>
        <w:tc>
          <w:tcPr>
            <w:tcW w:w="1623" w:type="dxa"/>
          </w:tcPr>
          <w:p>
            <w:pPr>
              <w:pStyle w:val="TableParagraph"/>
              <w:spacing w:line="229" w:lineRule="exact" w:before="2"/>
              <w:ind w:left="601"/>
              <w:rPr>
                <w:rFonts w:ascii="Times New Roman"/>
                <w:b/>
                <w:sz w:val="20"/>
              </w:rPr>
            </w:pPr>
            <w:r>
              <w:rPr>
                <w:rFonts w:ascii="Times New Roman"/>
                <w:b/>
                <w:sz w:val="20"/>
              </w:rPr>
              <w:t>(355)</w:t>
            </w:r>
          </w:p>
        </w:tc>
        <w:tc>
          <w:tcPr>
            <w:tcW w:w="1621" w:type="dxa"/>
          </w:tcPr>
          <w:p>
            <w:pPr>
              <w:pStyle w:val="TableParagraph"/>
              <w:spacing w:line="229" w:lineRule="exact" w:before="2"/>
              <w:ind w:right="574"/>
              <w:jc w:val="right"/>
              <w:rPr>
                <w:rFonts w:ascii="Times New Roman"/>
                <w:b/>
                <w:sz w:val="20"/>
              </w:rPr>
            </w:pPr>
            <w:r>
              <w:rPr>
                <w:rFonts w:ascii="Times New Roman"/>
                <w:b/>
                <w:sz w:val="20"/>
              </w:rPr>
              <w:t>(367)</w:t>
            </w:r>
          </w:p>
        </w:tc>
        <w:tc>
          <w:tcPr>
            <w:tcW w:w="1614" w:type="dxa"/>
          </w:tcPr>
          <w:p>
            <w:pPr>
              <w:pStyle w:val="TableParagraph"/>
              <w:spacing w:line="210" w:lineRule="exact" w:before="22"/>
              <w:ind w:left="591"/>
              <w:rPr>
                <w:rFonts w:ascii="Times New Roman"/>
                <w:b/>
                <w:sz w:val="20"/>
              </w:rPr>
            </w:pPr>
            <w:r>
              <w:rPr>
                <w:rFonts w:ascii="Times New Roman"/>
                <w:b/>
                <w:sz w:val="20"/>
              </w:rPr>
              <w:t>-3,27%</w:t>
            </w:r>
          </w:p>
        </w:tc>
      </w:tr>
      <w:tr>
        <w:trPr>
          <w:trHeight w:val="253" w:hRule="atLeast"/>
        </w:trPr>
        <w:tc>
          <w:tcPr>
            <w:tcW w:w="5063" w:type="dxa"/>
            <w:shd w:val="clear" w:color="auto" w:fill="D9E0F3"/>
          </w:tcPr>
          <w:p>
            <w:pPr>
              <w:pStyle w:val="TableParagraph"/>
              <w:ind w:left="331" w:right="318"/>
              <w:jc w:val="center"/>
              <w:rPr>
                <w:rFonts w:ascii="Times New Roman" w:hAnsi="Times New Roman"/>
                <w:b/>
                <w:sz w:val="20"/>
              </w:rPr>
            </w:pPr>
            <w:r>
              <w:rPr>
                <w:rFonts w:ascii="Times New Roman" w:hAnsi="Times New Roman"/>
                <w:b/>
                <w:sz w:val="20"/>
              </w:rPr>
              <w:t>Lucro Líquido (Prejuízo)</w:t>
            </w:r>
          </w:p>
        </w:tc>
        <w:tc>
          <w:tcPr>
            <w:tcW w:w="1623" w:type="dxa"/>
            <w:shd w:val="clear" w:color="auto" w:fill="D9E0F3"/>
          </w:tcPr>
          <w:p>
            <w:pPr>
              <w:pStyle w:val="TableParagraph"/>
              <w:spacing w:line="229" w:lineRule="exact" w:before="5"/>
              <w:ind w:left="601"/>
              <w:rPr>
                <w:rFonts w:ascii="Times New Roman"/>
                <w:b/>
                <w:sz w:val="20"/>
              </w:rPr>
            </w:pPr>
            <w:r>
              <w:rPr>
                <w:rFonts w:ascii="Times New Roman"/>
                <w:b/>
                <w:sz w:val="20"/>
              </w:rPr>
              <w:t>(350)</w:t>
            </w:r>
          </w:p>
        </w:tc>
        <w:tc>
          <w:tcPr>
            <w:tcW w:w="1621" w:type="dxa"/>
            <w:shd w:val="clear" w:color="auto" w:fill="D9E0F3"/>
          </w:tcPr>
          <w:p>
            <w:pPr>
              <w:pStyle w:val="TableParagraph"/>
              <w:spacing w:line="229" w:lineRule="exact" w:before="5"/>
              <w:ind w:right="574"/>
              <w:jc w:val="right"/>
              <w:rPr>
                <w:rFonts w:ascii="Times New Roman"/>
                <w:b/>
                <w:sz w:val="20"/>
              </w:rPr>
            </w:pPr>
            <w:r>
              <w:rPr>
                <w:rFonts w:ascii="Times New Roman"/>
                <w:b/>
                <w:sz w:val="20"/>
              </w:rPr>
              <w:t>(342)</w:t>
            </w:r>
          </w:p>
        </w:tc>
        <w:tc>
          <w:tcPr>
            <w:tcW w:w="1614" w:type="dxa"/>
            <w:shd w:val="clear" w:color="auto" w:fill="D9E0F3"/>
          </w:tcPr>
          <w:p>
            <w:pPr>
              <w:pStyle w:val="TableParagraph"/>
              <w:spacing w:line="210" w:lineRule="exact" w:before="24"/>
              <w:ind w:left="591"/>
              <w:rPr>
                <w:rFonts w:ascii="Times New Roman"/>
                <w:b/>
                <w:sz w:val="20"/>
              </w:rPr>
            </w:pPr>
            <w:r>
              <w:rPr>
                <w:rFonts w:ascii="Times New Roman"/>
                <w:b/>
                <w:sz w:val="20"/>
              </w:rPr>
              <w:t>2,34%</w:t>
            </w:r>
          </w:p>
        </w:tc>
      </w:tr>
      <w:tr>
        <w:trPr>
          <w:trHeight w:val="251" w:hRule="atLeast"/>
        </w:trPr>
        <w:tc>
          <w:tcPr>
            <w:tcW w:w="5063" w:type="dxa"/>
          </w:tcPr>
          <w:p>
            <w:pPr>
              <w:pStyle w:val="TableParagraph"/>
              <w:spacing w:line="225" w:lineRule="exact"/>
              <w:ind w:left="331" w:right="319"/>
              <w:jc w:val="center"/>
              <w:rPr>
                <w:rFonts w:ascii="Times New Roman" w:hAnsi="Times New Roman"/>
                <w:b/>
                <w:sz w:val="20"/>
              </w:rPr>
            </w:pPr>
            <w:r>
              <w:rPr>
                <w:rFonts w:ascii="Times New Roman" w:hAnsi="Times New Roman"/>
                <w:b/>
                <w:sz w:val="20"/>
              </w:rPr>
              <w:t>Patrimônio Líquido</w:t>
            </w:r>
          </w:p>
        </w:tc>
        <w:tc>
          <w:tcPr>
            <w:tcW w:w="1623" w:type="dxa"/>
          </w:tcPr>
          <w:p>
            <w:pPr>
              <w:pStyle w:val="TableParagraph"/>
              <w:spacing w:line="229" w:lineRule="exact" w:before="2"/>
              <w:ind w:left="668"/>
              <w:rPr>
                <w:rFonts w:ascii="Times New Roman"/>
                <w:b/>
                <w:sz w:val="20"/>
              </w:rPr>
            </w:pPr>
            <w:r>
              <w:rPr>
                <w:rFonts w:ascii="Times New Roman"/>
                <w:b/>
                <w:sz w:val="20"/>
              </w:rPr>
              <w:t>741</w:t>
            </w:r>
          </w:p>
        </w:tc>
        <w:tc>
          <w:tcPr>
            <w:tcW w:w="1621" w:type="dxa"/>
          </w:tcPr>
          <w:p>
            <w:pPr>
              <w:pStyle w:val="TableParagraph"/>
              <w:spacing w:line="229" w:lineRule="exact" w:before="2"/>
              <w:ind w:right="640"/>
              <w:jc w:val="right"/>
              <w:rPr>
                <w:rFonts w:ascii="Times New Roman"/>
                <w:b/>
                <w:sz w:val="20"/>
              </w:rPr>
            </w:pPr>
            <w:r>
              <w:rPr>
                <w:rFonts w:ascii="Times New Roman"/>
                <w:b/>
                <w:sz w:val="20"/>
              </w:rPr>
              <w:t>791</w:t>
            </w:r>
          </w:p>
        </w:tc>
        <w:tc>
          <w:tcPr>
            <w:tcW w:w="1614" w:type="dxa"/>
          </w:tcPr>
          <w:p>
            <w:pPr>
              <w:pStyle w:val="TableParagraph"/>
              <w:spacing w:line="210" w:lineRule="exact" w:before="22"/>
              <w:ind w:left="591"/>
              <w:rPr>
                <w:rFonts w:ascii="Times New Roman"/>
                <w:b/>
                <w:sz w:val="20"/>
              </w:rPr>
            </w:pPr>
            <w:r>
              <w:rPr>
                <w:rFonts w:ascii="Times New Roman"/>
                <w:b/>
                <w:sz w:val="20"/>
              </w:rPr>
              <w:t>-6,32%</w:t>
            </w:r>
          </w:p>
        </w:tc>
      </w:tr>
    </w:tbl>
    <w:p>
      <w:pPr>
        <w:spacing w:before="35"/>
        <w:ind w:left="350" w:right="0" w:firstLine="0"/>
        <w:jc w:val="left"/>
        <w:rPr>
          <w:rFonts w:ascii="Times New Roman" w:hAnsi="Times New Roman"/>
          <w:b/>
          <w:sz w:val="16"/>
        </w:rPr>
      </w:pPr>
      <w:r>
        <w:rPr>
          <w:rFonts w:ascii="Times New Roman" w:hAnsi="Times New Roman"/>
          <w:b/>
          <w:sz w:val="16"/>
        </w:rPr>
        <w:t>Fonte: Demonstrações Contábeis da Companhia Brasiliense de Gás.</w:t>
      </w:r>
    </w:p>
    <w:p>
      <w:pPr>
        <w:pStyle w:val="BodyText"/>
        <w:spacing w:before="8"/>
        <w:rPr>
          <w:rFonts w:ascii="Times New Roman"/>
          <w:b/>
        </w:rPr>
      </w:pPr>
    </w:p>
    <w:p>
      <w:pPr>
        <w:spacing w:line="360" w:lineRule="auto" w:before="0"/>
        <w:ind w:left="139" w:right="142" w:firstLine="708"/>
        <w:jc w:val="both"/>
        <w:rPr>
          <w:rFonts w:ascii="Times New Roman" w:hAnsi="Times New Roman"/>
          <w:sz w:val="22"/>
        </w:rPr>
      </w:pPr>
      <w:r>
        <w:rPr>
          <w:rFonts w:ascii="Times New Roman" w:hAnsi="Times New Roman"/>
          <w:sz w:val="22"/>
        </w:rPr>
        <w:t>O principal desafio para distribuição do gás canalizado é o desenvolvimento de uma infraestrutura logística adequada</w:t>
      </w:r>
      <w:r>
        <w:rPr>
          <w:rFonts w:ascii="Times New Roman" w:hAnsi="Times New Roman"/>
          <w:spacing w:val="-4"/>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suprimento.</w:t>
      </w:r>
      <w:r>
        <w:rPr>
          <w:rFonts w:ascii="Times New Roman" w:hAnsi="Times New Roman"/>
          <w:spacing w:val="-5"/>
          <w:sz w:val="22"/>
        </w:rPr>
        <w:t> </w:t>
      </w:r>
      <w:r>
        <w:rPr>
          <w:rFonts w:ascii="Times New Roman" w:hAnsi="Times New Roman"/>
          <w:sz w:val="22"/>
        </w:rPr>
        <w:t>O</w:t>
      </w:r>
      <w:r>
        <w:rPr>
          <w:rFonts w:ascii="Times New Roman" w:hAnsi="Times New Roman"/>
          <w:spacing w:val="-7"/>
          <w:sz w:val="22"/>
        </w:rPr>
        <w:t> </w:t>
      </w:r>
      <w:r>
        <w:rPr>
          <w:rFonts w:ascii="Times New Roman" w:hAnsi="Times New Roman"/>
          <w:sz w:val="22"/>
        </w:rPr>
        <w:t>Distrito</w:t>
      </w:r>
      <w:r>
        <w:rPr>
          <w:rFonts w:ascii="Times New Roman" w:hAnsi="Times New Roman"/>
          <w:spacing w:val="-5"/>
          <w:sz w:val="22"/>
        </w:rPr>
        <w:t> </w:t>
      </w:r>
      <w:r>
        <w:rPr>
          <w:rFonts w:ascii="Times New Roman" w:hAnsi="Times New Roman"/>
          <w:sz w:val="22"/>
        </w:rPr>
        <w:t>Federal</w:t>
      </w:r>
      <w:r>
        <w:rPr>
          <w:rFonts w:ascii="Times New Roman" w:hAnsi="Times New Roman"/>
          <w:spacing w:val="-6"/>
          <w:sz w:val="22"/>
        </w:rPr>
        <w:t> </w:t>
      </w:r>
      <w:r>
        <w:rPr>
          <w:rFonts w:ascii="Times New Roman" w:hAnsi="Times New Roman"/>
          <w:sz w:val="22"/>
        </w:rPr>
        <w:t>não</w:t>
      </w:r>
      <w:r>
        <w:rPr>
          <w:rFonts w:ascii="Times New Roman" w:hAnsi="Times New Roman"/>
          <w:spacing w:val="-6"/>
          <w:sz w:val="22"/>
        </w:rPr>
        <w:t> </w:t>
      </w:r>
      <w:r>
        <w:rPr>
          <w:rFonts w:ascii="Times New Roman" w:hAnsi="Times New Roman"/>
          <w:sz w:val="22"/>
        </w:rPr>
        <w:t>é</w:t>
      </w:r>
      <w:r>
        <w:rPr>
          <w:rFonts w:ascii="Times New Roman" w:hAnsi="Times New Roman"/>
          <w:spacing w:val="-4"/>
          <w:sz w:val="22"/>
        </w:rPr>
        <w:t> </w:t>
      </w:r>
      <w:r>
        <w:rPr>
          <w:rFonts w:ascii="Times New Roman" w:hAnsi="Times New Roman"/>
          <w:sz w:val="22"/>
        </w:rPr>
        <w:t>abastecido</w:t>
      </w:r>
      <w:r>
        <w:rPr>
          <w:rFonts w:ascii="Times New Roman" w:hAnsi="Times New Roman"/>
          <w:spacing w:val="-7"/>
          <w:sz w:val="22"/>
        </w:rPr>
        <w:t> </w:t>
      </w:r>
      <w:r>
        <w:rPr>
          <w:rFonts w:ascii="Times New Roman" w:hAnsi="Times New Roman"/>
          <w:sz w:val="22"/>
        </w:rPr>
        <w:t>por</w:t>
      </w:r>
      <w:r>
        <w:rPr>
          <w:rFonts w:ascii="Times New Roman" w:hAnsi="Times New Roman"/>
          <w:spacing w:val="-3"/>
          <w:sz w:val="22"/>
        </w:rPr>
        <w:t> </w:t>
      </w:r>
      <w:r>
        <w:rPr>
          <w:rFonts w:ascii="Times New Roman" w:hAnsi="Times New Roman"/>
          <w:sz w:val="22"/>
        </w:rPr>
        <w:t>gasoduto</w:t>
      </w:r>
      <w:r>
        <w:rPr>
          <w:rFonts w:ascii="Times New Roman" w:hAnsi="Times New Roman"/>
          <w:spacing w:val="-5"/>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transporte</w:t>
      </w:r>
      <w:r>
        <w:rPr>
          <w:rFonts w:ascii="Times New Roman" w:hAnsi="Times New Roman"/>
          <w:spacing w:val="-3"/>
          <w:sz w:val="22"/>
        </w:rPr>
        <w:t> </w:t>
      </w:r>
      <w:r>
        <w:rPr>
          <w:rFonts w:ascii="Times New Roman" w:hAnsi="Times New Roman"/>
          <w:sz w:val="22"/>
        </w:rPr>
        <w:t>que</w:t>
      </w:r>
      <w:r>
        <w:rPr>
          <w:rFonts w:ascii="Times New Roman" w:hAnsi="Times New Roman"/>
          <w:spacing w:val="-4"/>
          <w:sz w:val="22"/>
        </w:rPr>
        <w:t> </w:t>
      </w:r>
      <w:r>
        <w:rPr>
          <w:rFonts w:ascii="Times New Roman" w:hAnsi="Times New Roman"/>
          <w:sz w:val="22"/>
        </w:rPr>
        <w:t>possa</w:t>
      </w:r>
      <w:r>
        <w:rPr>
          <w:rFonts w:ascii="Times New Roman" w:hAnsi="Times New Roman"/>
          <w:spacing w:val="-4"/>
          <w:sz w:val="22"/>
        </w:rPr>
        <w:t> </w:t>
      </w:r>
      <w:r>
        <w:rPr>
          <w:rFonts w:ascii="Times New Roman" w:hAnsi="Times New Roman"/>
          <w:sz w:val="22"/>
        </w:rPr>
        <w:t>garantir</w:t>
      </w:r>
      <w:r>
        <w:rPr>
          <w:rFonts w:ascii="Times New Roman" w:hAnsi="Times New Roman"/>
          <w:spacing w:val="-6"/>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suprimento contínuo de gás, de forma que, enquanto as iniciativas de implantação desta infraestrutura não se materializarem, a solução utilizada para a antecipação da oferta ao mercado é o suprimento de estoques de gás natural</w:t>
      </w:r>
      <w:r>
        <w:rPr>
          <w:rFonts w:ascii="Times New Roman" w:hAnsi="Times New Roman"/>
          <w:spacing w:val="-20"/>
          <w:sz w:val="22"/>
        </w:rPr>
        <w:t> </w:t>
      </w:r>
      <w:r>
        <w:rPr>
          <w:rFonts w:ascii="Times New Roman" w:hAnsi="Times New Roman"/>
          <w:sz w:val="22"/>
        </w:rPr>
        <w:t>liquefeito.</w:t>
      </w:r>
    </w:p>
    <w:p>
      <w:pPr>
        <w:pStyle w:val="BodyText"/>
        <w:spacing w:before="9"/>
        <w:rPr>
          <w:rFonts w:ascii="Times New Roman"/>
        </w:rPr>
      </w:pPr>
    </w:p>
    <w:p>
      <w:pPr>
        <w:spacing w:line="360" w:lineRule="auto" w:before="0"/>
        <w:ind w:left="139" w:right="139" w:firstLine="708"/>
        <w:jc w:val="both"/>
        <w:rPr>
          <w:rFonts w:ascii="Times New Roman" w:hAnsi="Times New Roman"/>
          <w:sz w:val="22"/>
        </w:rPr>
      </w:pPr>
      <w:r>
        <w:rPr>
          <w:rFonts w:ascii="Times New Roman" w:hAnsi="Times New Roman"/>
          <w:sz w:val="22"/>
        </w:rPr>
        <w:t>O gás natural liquefeito é suprido para a Companhia Brasiliense de Gás pela empresa GNL Gemini Logística e Comercialização de Gás Ltda – Gemini, uma sociedade formada pelas empresas White Martins, Petrobrás e a Gaspetro.</w:t>
      </w:r>
    </w:p>
    <w:p>
      <w:pPr>
        <w:pStyle w:val="BodyText"/>
        <w:rPr>
          <w:rFonts w:ascii="Times New Roman"/>
          <w:sz w:val="21"/>
        </w:rPr>
      </w:pPr>
    </w:p>
    <w:p>
      <w:pPr>
        <w:spacing w:line="360" w:lineRule="auto" w:before="1"/>
        <w:ind w:left="139" w:right="135" w:firstLine="708"/>
        <w:jc w:val="both"/>
        <w:rPr>
          <w:rFonts w:ascii="Times New Roman" w:hAnsi="Times New Roman"/>
          <w:sz w:val="22"/>
        </w:rPr>
      </w:pPr>
      <w:r>
        <w:rPr>
          <w:rFonts w:ascii="Times New Roman" w:hAnsi="Times New Roman"/>
          <w:sz w:val="22"/>
        </w:rPr>
        <w:t>A alternativa para redução do prejuízo que vem sendo apurado no negócio anualmente (R$ 350 mil em 2019), seria a estruturação de um projeto para conectar o gasoduto Bolívia-Brasil – Gasbol ao Distrito Federal, iniciativa que compete à União, por força do artigo 177 da Constituição da República.</w:t>
      </w:r>
    </w:p>
    <w:p>
      <w:pPr>
        <w:pStyle w:val="BodyText"/>
        <w:spacing w:before="2"/>
        <w:rPr>
          <w:rFonts w:ascii="Times New Roman"/>
          <w:sz w:val="21"/>
        </w:rPr>
      </w:pPr>
    </w:p>
    <w:p>
      <w:pPr>
        <w:spacing w:line="465" w:lineRule="auto" w:before="0"/>
        <w:ind w:left="350" w:right="8041" w:firstLine="0"/>
        <w:jc w:val="both"/>
        <w:rPr>
          <w:rFonts w:ascii="Times New Roman" w:hAnsi="Times New Roman"/>
          <w:b/>
          <w:sz w:val="22"/>
        </w:rPr>
      </w:pPr>
      <w:r>
        <w:rPr>
          <w:rFonts w:ascii="Times New Roman" w:hAnsi="Times New Roman"/>
          <w:b/>
          <w:sz w:val="22"/>
        </w:rPr>
        <w:t>Empresa Coligada Corumbá Concessões S.A.</w:t>
      </w:r>
    </w:p>
    <w:p>
      <w:pPr>
        <w:pStyle w:val="BodyText"/>
        <w:spacing w:before="3"/>
        <w:rPr>
          <w:rFonts w:ascii="Times New Roman"/>
          <w:b/>
        </w:rPr>
      </w:pPr>
    </w:p>
    <w:p>
      <w:pPr>
        <w:spacing w:line="360" w:lineRule="auto" w:before="0"/>
        <w:ind w:left="139" w:right="138" w:firstLine="708"/>
        <w:jc w:val="both"/>
        <w:rPr>
          <w:rFonts w:ascii="Times New Roman" w:hAnsi="Times New Roman"/>
          <w:sz w:val="22"/>
        </w:rPr>
      </w:pPr>
      <w:r>
        <w:rPr>
          <w:rFonts w:ascii="Times New Roman" w:hAnsi="Times New Roman"/>
          <w:sz w:val="22"/>
        </w:rPr>
        <w:t>A Corumbá Concessões S.A. é uma sociedade por ações de capital fechado, constituída em 6 de dezembro de 2000, concessionária do serviço público de energia elétrica, atuando na geração de energia elétrica, na condição de produtora independente. A participação do Grupo CEB no capital social da Empresa é de 33,68%, sendo 32,14% de propriedade da CEB e 1,52% da CEB Participações S.A..</w:t>
      </w:r>
    </w:p>
    <w:p>
      <w:pPr>
        <w:pStyle w:val="BodyText"/>
        <w:spacing w:before="5"/>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10" w:after="1"/>
        <w:rPr>
          <w:rFonts w:ascii="Times New Roman"/>
          <w:b/>
        </w:rPr>
      </w:pPr>
    </w:p>
    <w:tbl>
      <w:tblPr>
        <w:tblW w:w="0" w:type="auto"/>
        <w:jc w:val="left"/>
        <w:tblInd w:w="392"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Layout w:type="fixed"/>
        <w:tblCellMar>
          <w:top w:w="0" w:type="dxa"/>
          <w:left w:w="0" w:type="dxa"/>
          <w:bottom w:w="0" w:type="dxa"/>
          <w:right w:w="0" w:type="dxa"/>
        </w:tblCellMar>
        <w:tblLook w:val="01E0"/>
      </w:tblPr>
      <w:tblGrid>
        <w:gridCol w:w="5058"/>
        <w:gridCol w:w="1621"/>
        <w:gridCol w:w="1619"/>
        <w:gridCol w:w="1612"/>
      </w:tblGrid>
      <w:tr>
        <w:trPr>
          <w:trHeight w:val="505" w:hRule="atLeast"/>
        </w:trPr>
        <w:tc>
          <w:tcPr>
            <w:tcW w:w="5058" w:type="dxa"/>
            <w:tcBorders>
              <w:bottom w:val="single" w:sz="18" w:space="0" w:color="DDDDDD"/>
            </w:tcBorders>
            <w:shd w:val="clear" w:color="auto" w:fill="006EC0"/>
          </w:tcPr>
          <w:p>
            <w:pPr>
              <w:pStyle w:val="TableParagraph"/>
              <w:spacing w:before="125"/>
              <w:ind w:left="2181" w:right="2089"/>
              <w:jc w:val="center"/>
              <w:rPr>
                <w:rFonts w:ascii="Times New Roman"/>
                <w:b/>
                <w:sz w:val="20"/>
              </w:rPr>
            </w:pPr>
            <w:r>
              <w:rPr>
                <w:rFonts w:ascii="Times New Roman"/>
                <w:b/>
                <w:color w:val="FFFFFF"/>
                <w:sz w:val="20"/>
              </w:rPr>
              <w:t>(R$ Mil)</w:t>
            </w:r>
          </w:p>
        </w:tc>
        <w:tc>
          <w:tcPr>
            <w:tcW w:w="1621" w:type="dxa"/>
            <w:tcBorders>
              <w:bottom w:val="single" w:sz="18" w:space="0" w:color="DDDDDD"/>
            </w:tcBorders>
            <w:shd w:val="clear" w:color="auto" w:fill="006EC0"/>
          </w:tcPr>
          <w:p>
            <w:pPr>
              <w:pStyle w:val="TableParagraph"/>
              <w:spacing w:before="125"/>
              <w:ind w:left="471" w:right="433"/>
              <w:jc w:val="center"/>
              <w:rPr>
                <w:rFonts w:ascii="Times New Roman"/>
                <w:b/>
                <w:sz w:val="20"/>
              </w:rPr>
            </w:pPr>
            <w:r>
              <w:rPr>
                <w:rFonts w:ascii="Times New Roman"/>
                <w:b/>
                <w:color w:val="FFFFFF"/>
                <w:sz w:val="20"/>
              </w:rPr>
              <w:t>2019</w:t>
            </w:r>
          </w:p>
        </w:tc>
        <w:tc>
          <w:tcPr>
            <w:tcW w:w="1619" w:type="dxa"/>
            <w:tcBorders>
              <w:bottom w:val="single" w:sz="18" w:space="0" w:color="DDDDDD"/>
            </w:tcBorders>
            <w:shd w:val="clear" w:color="auto" w:fill="006EC0"/>
          </w:tcPr>
          <w:p>
            <w:pPr>
              <w:pStyle w:val="TableParagraph"/>
              <w:spacing w:before="141"/>
              <w:ind w:left="468" w:right="428"/>
              <w:jc w:val="center"/>
              <w:rPr>
                <w:rFonts w:ascii="Times New Roman"/>
                <w:b/>
                <w:sz w:val="20"/>
              </w:rPr>
            </w:pPr>
            <w:r>
              <w:rPr>
                <w:rFonts w:ascii="Times New Roman"/>
                <w:b/>
                <w:color w:val="FFFFFF"/>
                <w:sz w:val="20"/>
              </w:rPr>
              <w:t>2018</w:t>
            </w:r>
          </w:p>
        </w:tc>
        <w:tc>
          <w:tcPr>
            <w:tcW w:w="1612" w:type="dxa"/>
            <w:tcBorders>
              <w:bottom w:val="single" w:sz="18" w:space="0" w:color="DDDDDD"/>
            </w:tcBorders>
            <w:shd w:val="clear" w:color="auto" w:fill="006EC0"/>
          </w:tcPr>
          <w:p>
            <w:pPr>
              <w:pStyle w:val="TableParagraph"/>
              <w:spacing w:before="141"/>
              <w:ind w:left="278" w:right="242"/>
              <w:jc w:val="center"/>
              <w:rPr>
                <w:rFonts w:ascii="Times New Roman" w:hAnsi="Times New Roman"/>
                <w:b/>
                <w:sz w:val="20"/>
              </w:rPr>
            </w:pPr>
            <w:r>
              <w:rPr>
                <w:rFonts w:ascii="Times New Roman" w:hAnsi="Times New Roman"/>
                <w:b/>
                <w:color w:val="FFFFFF"/>
                <w:sz w:val="20"/>
              </w:rPr>
              <w:t>Δ 2019/2018</w:t>
            </w:r>
          </w:p>
        </w:tc>
      </w:tr>
      <w:tr>
        <w:trPr>
          <w:trHeight w:val="253" w:hRule="atLeast"/>
        </w:trPr>
        <w:tc>
          <w:tcPr>
            <w:tcW w:w="5058" w:type="dxa"/>
            <w:tcBorders>
              <w:top w:val="single" w:sz="18" w:space="0" w:color="DDDDDD"/>
            </w:tcBorders>
            <w:shd w:val="clear" w:color="auto" w:fill="F6F6F6"/>
          </w:tcPr>
          <w:p>
            <w:pPr>
              <w:pStyle w:val="TableParagraph"/>
              <w:ind w:left="119"/>
              <w:rPr>
                <w:rFonts w:ascii="Times New Roman"/>
                <w:b/>
                <w:sz w:val="20"/>
              </w:rPr>
            </w:pPr>
            <w:r>
              <w:rPr>
                <w:rFonts w:ascii="Times New Roman"/>
                <w:b/>
                <w:sz w:val="20"/>
              </w:rPr>
              <w:t>Receita Operacional Bruta</w:t>
            </w:r>
          </w:p>
        </w:tc>
        <w:tc>
          <w:tcPr>
            <w:tcW w:w="1621" w:type="dxa"/>
            <w:tcBorders>
              <w:top w:val="single" w:sz="18" w:space="0" w:color="DDDDDD"/>
            </w:tcBorders>
            <w:shd w:val="clear" w:color="auto" w:fill="F6F6F6"/>
          </w:tcPr>
          <w:p>
            <w:pPr>
              <w:pStyle w:val="TableParagraph"/>
              <w:spacing w:line="229" w:lineRule="exact" w:before="5"/>
              <w:ind w:left="471" w:right="439"/>
              <w:jc w:val="center"/>
              <w:rPr>
                <w:rFonts w:ascii="Times New Roman"/>
                <w:b/>
                <w:sz w:val="20"/>
              </w:rPr>
            </w:pPr>
            <w:r>
              <w:rPr>
                <w:rFonts w:ascii="Times New Roman"/>
                <w:b/>
                <w:sz w:val="20"/>
              </w:rPr>
              <w:t>193.860</w:t>
            </w:r>
          </w:p>
        </w:tc>
        <w:tc>
          <w:tcPr>
            <w:tcW w:w="1619" w:type="dxa"/>
            <w:tcBorders>
              <w:top w:val="single" w:sz="18" w:space="0" w:color="DDDDDD"/>
            </w:tcBorders>
            <w:shd w:val="clear" w:color="auto" w:fill="F6F6F6"/>
          </w:tcPr>
          <w:p>
            <w:pPr>
              <w:pStyle w:val="TableParagraph"/>
              <w:spacing w:line="229" w:lineRule="exact" w:before="5"/>
              <w:ind w:left="468" w:right="440"/>
              <w:jc w:val="center"/>
              <w:rPr>
                <w:rFonts w:ascii="Times New Roman"/>
                <w:b/>
                <w:sz w:val="20"/>
              </w:rPr>
            </w:pPr>
            <w:r>
              <w:rPr>
                <w:rFonts w:ascii="Times New Roman"/>
                <w:b/>
                <w:sz w:val="20"/>
              </w:rPr>
              <w:t>172.077</w:t>
            </w:r>
          </w:p>
        </w:tc>
        <w:tc>
          <w:tcPr>
            <w:tcW w:w="1612" w:type="dxa"/>
            <w:tcBorders>
              <w:top w:val="single" w:sz="18" w:space="0" w:color="DDDDDD"/>
            </w:tcBorders>
            <w:shd w:val="clear" w:color="auto" w:fill="F6F6F6"/>
          </w:tcPr>
          <w:p>
            <w:pPr>
              <w:pStyle w:val="TableParagraph"/>
              <w:spacing w:line="219" w:lineRule="exact" w:before="14"/>
              <w:ind w:left="271" w:right="242"/>
              <w:jc w:val="center"/>
              <w:rPr>
                <w:rFonts w:ascii="Times New Roman"/>
                <w:b/>
                <w:sz w:val="20"/>
              </w:rPr>
            </w:pPr>
            <w:r>
              <w:rPr>
                <w:rFonts w:ascii="Times New Roman"/>
                <w:b/>
                <w:sz w:val="20"/>
              </w:rPr>
              <w:t>12,66%</w:t>
            </w:r>
          </w:p>
        </w:tc>
      </w:tr>
      <w:tr>
        <w:trPr>
          <w:trHeight w:val="253" w:hRule="atLeast"/>
        </w:trPr>
        <w:tc>
          <w:tcPr>
            <w:tcW w:w="5058" w:type="dxa"/>
          </w:tcPr>
          <w:p>
            <w:pPr>
              <w:pStyle w:val="TableParagraph"/>
              <w:ind w:left="119"/>
              <w:rPr>
                <w:rFonts w:ascii="Times New Roman" w:hAnsi="Times New Roman"/>
                <w:b/>
                <w:sz w:val="20"/>
              </w:rPr>
            </w:pPr>
            <w:r>
              <w:rPr>
                <w:rFonts w:ascii="Times New Roman" w:hAnsi="Times New Roman"/>
                <w:b/>
                <w:sz w:val="20"/>
              </w:rPr>
              <w:t>Receita Operacional Líquida</w:t>
            </w:r>
          </w:p>
        </w:tc>
        <w:tc>
          <w:tcPr>
            <w:tcW w:w="1621" w:type="dxa"/>
          </w:tcPr>
          <w:p>
            <w:pPr>
              <w:pStyle w:val="TableParagraph"/>
              <w:spacing w:line="229" w:lineRule="exact" w:before="5"/>
              <w:ind w:left="471" w:right="439"/>
              <w:jc w:val="center"/>
              <w:rPr>
                <w:rFonts w:ascii="Times New Roman"/>
                <w:b/>
                <w:sz w:val="20"/>
              </w:rPr>
            </w:pPr>
            <w:r>
              <w:rPr>
                <w:rFonts w:ascii="Times New Roman"/>
                <w:b/>
                <w:sz w:val="20"/>
              </w:rPr>
              <w:t>186.122</w:t>
            </w:r>
          </w:p>
        </w:tc>
        <w:tc>
          <w:tcPr>
            <w:tcW w:w="1619" w:type="dxa"/>
          </w:tcPr>
          <w:p>
            <w:pPr>
              <w:pStyle w:val="TableParagraph"/>
              <w:spacing w:line="229" w:lineRule="exact" w:before="5"/>
              <w:ind w:left="468" w:right="440"/>
              <w:jc w:val="center"/>
              <w:rPr>
                <w:rFonts w:ascii="Times New Roman"/>
                <w:b/>
                <w:sz w:val="20"/>
              </w:rPr>
            </w:pPr>
            <w:r>
              <w:rPr>
                <w:rFonts w:ascii="Times New Roman"/>
                <w:b/>
                <w:sz w:val="20"/>
              </w:rPr>
              <w:t>165.750</w:t>
            </w:r>
          </w:p>
        </w:tc>
        <w:tc>
          <w:tcPr>
            <w:tcW w:w="1612" w:type="dxa"/>
          </w:tcPr>
          <w:p>
            <w:pPr>
              <w:pStyle w:val="TableParagraph"/>
              <w:spacing w:line="219" w:lineRule="exact" w:before="14"/>
              <w:ind w:left="271" w:right="242"/>
              <w:jc w:val="center"/>
              <w:rPr>
                <w:rFonts w:ascii="Times New Roman"/>
                <w:b/>
                <w:sz w:val="20"/>
              </w:rPr>
            </w:pPr>
            <w:r>
              <w:rPr>
                <w:rFonts w:ascii="Times New Roman"/>
                <w:b/>
                <w:sz w:val="20"/>
              </w:rPr>
              <w:t>12,29%</w:t>
            </w:r>
          </w:p>
        </w:tc>
      </w:tr>
      <w:tr>
        <w:trPr>
          <w:trHeight w:val="253" w:hRule="atLeast"/>
        </w:trPr>
        <w:tc>
          <w:tcPr>
            <w:tcW w:w="5058" w:type="dxa"/>
            <w:shd w:val="clear" w:color="auto" w:fill="F6F6F6"/>
          </w:tcPr>
          <w:p>
            <w:pPr>
              <w:pStyle w:val="TableParagraph"/>
              <w:spacing w:line="225" w:lineRule="exact"/>
              <w:ind w:left="119"/>
              <w:rPr>
                <w:rFonts w:ascii="Times New Roman" w:hAnsi="Times New Roman"/>
                <w:b/>
                <w:sz w:val="20"/>
              </w:rPr>
            </w:pPr>
            <w:r>
              <w:rPr>
                <w:rFonts w:ascii="Times New Roman" w:hAnsi="Times New Roman"/>
                <w:b/>
                <w:sz w:val="20"/>
              </w:rPr>
              <w:t>Resultado Operacional Líquido Antes dos Tributos</w:t>
            </w:r>
          </w:p>
        </w:tc>
        <w:tc>
          <w:tcPr>
            <w:tcW w:w="1621" w:type="dxa"/>
            <w:shd w:val="clear" w:color="auto" w:fill="F6F6F6"/>
          </w:tcPr>
          <w:p>
            <w:pPr>
              <w:pStyle w:val="TableParagraph"/>
              <w:spacing w:line="229" w:lineRule="exact" w:before="5"/>
              <w:ind w:left="471" w:right="434"/>
              <w:jc w:val="center"/>
              <w:rPr>
                <w:rFonts w:ascii="Times New Roman"/>
                <w:b/>
                <w:sz w:val="20"/>
              </w:rPr>
            </w:pPr>
            <w:r>
              <w:rPr>
                <w:rFonts w:ascii="Times New Roman"/>
                <w:b/>
                <w:sz w:val="20"/>
              </w:rPr>
              <w:t>30.791</w:t>
            </w:r>
          </w:p>
        </w:tc>
        <w:tc>
          <w:tcPr>
            <w:tcW w:w="1619" w:type="dxa"/>
            <w:shd w:val="clear" w:color="auto" w:fill="F6F6F6"/>
          </w:tcPr>
          <w:p>
            <w:pPr>
              <w:pStyle w:val="TableParagraph"/>
              <w:spacing w:line="229" w:lineRule="exact" w:before="5"/>
              <w:ind w:left="468" w:right="435"/>
              <w:jc w:val="center"/>
              <w:rPr>
                <w:rFonts w:ascii="Times New Roman"/>
                <w:b/>
                <w:sz w:val="20"/>
              </w:rPr>
            </w:pPr>
            <w:r>
              <w:rPr>
                <w:rFonts w:ascii="Times New Roman"/>
                <w:b/>
                <w:sz w:val="20"/>
              </w:rPr>
              <w:t>60.346</w:t>
            </w:r>
          </w:p>
        </w:tc>
        <w:tc>
          <w:tcPr>
            <w:tcW w:w="1612" w:type="dxa"/>
            <w:shd w:val="clear" w:color="auto" w:fill="F6F6F6"/>
          </w:tcPr>
          <w:p>
            <w:pPr>
              <w:pStyle w:val="TableParagraph"/>
              <w:spacing w:line="222" w:lineRule="exact" w:before="12"/>
              <w:ind w:left="269" w:right="242"/>
              <w:jc w:val="center"/>
              <w:rPr>
                <w:rFonts w:ascii="Times New Roman"/>
                <w:b/>
                <w:sz w:val="20"/>
              </w:rPr>
            </w:pPr>
            <w:r>
              <w:rPr>
                <w:rFonts w:ascii="Times New Roman"/>
                <w:b/>
                <w:sz w:val="20"/>
              </w:rPr>
              <w:t>-48,98%</w:t>
            </w:r>
          </w:p>
        </w:tc>
      </w:tr>
      <w:tr>
        <w:trPr>
          <w:trHeight w:val="251" w:hRule="atLeast"/>
        </w:trPr>
        <w:tc>
          <w:tcPr>
            <w:tcW w:w="5058" w:type="dxa"/>
          </w:tcPr>
          <w:p>
            <w:pPr>
              <w:pStyle w:val="TableParagraph"/>
              <w:spacing w:line="225" w:lineRule="exact"/>
              <w:ind w:left="119"/>
              <w:rPr>
                <w:rFonts w:ascii="Times New Roman"/>
                <w:b/>
                <w:sz w:val="20"/>
              </w:rPr>
            </w:pPr>
            <w:r>
              <w:rPr>
                <w:rFonts w:ascii="Times New Roman"/>
                <w:b/>
                <w:sz w:val="20"/>
              </w:rPr>
              <w:t>EBITDA (LAJIDA)</w:t>
            </w:r>
          </w:p>
        </w:tc>
        <w:tc>
          <w:tcPr>
            <w:tcW w:w="1621" w:type="dxa"/>
          </w:tcPr>
          <w:p>
            <w:pPr>
              <w:pStyle w:val="TableParagraph"/>
              <w:spacing w:line="229" w:lineRule="exact" w:before="2"/>
              <w:ind w:left="471" w:right="439"/>
              <w:jc w:val="center"/>
              <w:rPr>
                <w:rFonts w:ascii="Times New Roman"/>
                <w:b/>
                <w:sz w:val="20"/>
              </w:rPr>
            </w:pPr>
            <w:r>
              <w:rPr>
                <w:rFonts w:ascii="Times New Roman"/>
                <w:b/>
                <w:sz w:val="20"/>
              </w:rPr>
              <w:t>80.262</w:t>
            </w:r>
          </w:p>
        </w:tc>
        <w:tc>
          <w:tcPr>
            <w:tcW w:w="1619" w:type="dxa"/>
          </w:tcPr>
          <w:p>
            <w:pPr>
              <w:pStyle w:val="TableParagraph"/>
              <w:spacing w:line="229" w:lineRule="exact" w:before="2"/>
              <w:ind w:left="468" w:right="440"/>
              <w:jc w:val="center"/>
              <w:rPr>
                <w:rFonts w:ascii="Times New Roman"/>
                <w:b/>
                <w:sz w:val="20"/>
              </w:rPr>
            </w:pPr>
            <w:r>
              <w:rPr>
                <w:rFonts w:ascii="Times New Roman"/>
                <w:b/>
                <w:sz w:val="20"/>
              </w:rPr>
              <w:t>111.081</w:t>
            </w:r>
          </w:p>
        </w:tc>
        <w:tc>
          <w:tcPr>
            <w:tcW w:w="1612" w:type="dxa"/>
          </w:tcPr>
          <w:p>
            <w:pPr>
              <w:pStyle w:val="TableParagraph"/>
              <w:spacing w:line="219" w:lineRule="exact" w:before="12"/>
              <w:ind w:left="269" w:right="242"/>
              <w:jc w:val="center"/>
              <w:rPr>
                <w:rFonts w:ascii="Times New Roman"/>
                <w:b/>
                <w:sz w:val="20"/>
              </w:rPr>
            </w:pPr>
            <w:r>
              <w:rPr>
                <w:rFonts w:ascii="Times New Roman"/>
                <w:b/>
                <w:sz w:val="20"/>
              </w:rPr>
              <w:t>-27,74%</w:t>
            </w:r>
          </w:p>
        </w:tc>
      </w:tr>
      <w:tr>
        <w:trPr>
          <w:trHeight w:val="251" w:hRule="atLeast"/>
        </w:trPr>
        <w:tc>
          <w:tcPr>
            <w:tcW w:w="5058" w:type="dxa"/>
            <w:shd w:val="clear" w:color="auto" w:fill="F6F6F6"/>
          </w:tcPr>
          <w:p>
            <w:pPr>
              <w:pStyle w:val="TableParagraph"/>
              <w:spacing w:line="228" w:lineRule="exact"/>
              <w:ind w:left="119"/>
              <w:rPr>
                <w:rFonts w:ascii="Times New Roman" w:hAnsi="Times New Roman"/>
                <w:b/>
                <w:sz w:val="20"/>
              </w:rPr>
            </w:pPr>
            <w:r>
              <w:rPr>
                <w:rFonts w:ascii="Times New Roman" w:hAnsi="Times New Roman"/>
                <w:b/>
                <w:sz w:val="20"/>
              </w:rPr>
              <w:t>Lucro Líquido (Prejuízo)</w:t>
            </w:r>
          </w:p>
        </w:tc>
        <w:tc>
          <w:tcPr>
            <w:tcW w:w="1621" w:type="dxa"/>
            <w:shd w:val="clear" w:color="auto" w:fill="F6F6F6"/>
          </w:tcPr>
          <w:p>
            <w:pPr>
              <w:pStyle w:val="TableParagraph"/>
              <w:spacing w:line="229" w:lineRule="exact" w:before="2"/>
              <w:ind w:left="471" w:right="434"/>
              <w:jc w:val="center"/>
              <w:rPr>
                <w:rFonts w:ascii="Times New Roman"/>
                <w:b/>
                <w:sz w:val="20"/>
              </w:rPr>
            </w:pPr>
            <w:r>
              <w:rPr>
                <w:rFonts w:ascii="Times New Roman"/>
                <w:b/>
                <w:sz w:val="20"/>
              </w:rPr>
              <w:t>20.276</w:t>
            </w:r>
          </w:p>
        </w:tc>
        <w:tc>
          <w:tcPr>
            <w:tcW w:w="1619" w:type="dxa"/>
            <w:shd w:val="clear" w:color="auto" w:fill="F6F6F6"/>
          </w:tcPr>
          <w:p>
            <w:pPr>
              <w:pStyle w:val="TableParagraph"/>
              <w:spacing w:line="229" w:lineRule="exact" w:before="2"/>
              <w:ind w:left="468" w:right="435"/>
              <w:jc w:val="center"/>
              <w:rPr>
                <w:rFonts w:ascii="Times New Roman"/>
                <w:b/>
                <w:sz w:val="20"/>
              </w:rPr>
            </w:pPr>
            <w:r>
              <w:rPr>
                <w:rFonts w:ascii="Times New Roman"/>
                <w:b/>
                <w:sz w:val="20"/>
              </w:rPr>
              <w:t>40.000</w:t>
            </w:r>
          </w:p>
        </w:tc>
        <w:tc>
          <w:tcPr>
            <w:tcW w:w="1612" w:type="dxa"/>
            <w:shd w:val="clear" w:color="auto" w:fill="F6F6F6"/>
          </w:tcPr>
          <w:p>
            <w:pPr>
              <w:pStyle w:val="TableParagraph"/>
              <w:spacing w:line="219" w:lineRule="exact" w:before="12"/>
              <w:ind w:left="269" w:right="242"/>
              <w:jc w:val="center"/>
              <w:rPr>
                <w:rFonts w:ascii="Times New Roman"/>
                <w:b/>
                <w:sz w:val="20"/>
              </w:rPr>
            </w:pPr>
            <w:r>
              <w:rPr>
                <w:rFonts w:ascii="Times New Roman"/>
                <w:b/>
                <w:sz w:val="20"/>
              </w:rPr>
              <w:t>-49,31%</w:t>
            </w:r>
          </w:p>
        </w:tc>
      </w:tr>
      <w:tr>
        <w:trPr>
          <w:trHeight w:val="253" w:hRule="atLeast"/>
        </w:trPr>
        <w:tc>
          <w:tcPr>
            <w:tcW w:w="5058" w:type="dxa"/>
          </w:tcPr>
          <w:p>
            <w:pPr>
              <w:pStyle w:val="TableParagraph"/>
              <w:ind w:left="119"/>
              <w:rPr>
                <w:rFonts w:ascii="Times New Roman" w:hAnsi="Times New Roman"/>
                <w:b/>
                <w:sz w:val="20"/>
              </w:rPr>
            </w:pPr>
            <w:r>
              <w:rPr>
                <w:rFonts w:ascii="Times New Roman" w:hAnsi="Times New Roman"/>
                <w:b/>
                <w:sz w:val="20"/>
              </w:rPr>
              <w:t>Patrimônio Líquido</w:t>
            </w:r>
          </w:p>
        </w:tc>
        <w:tc>
          <w:tcPr>
            <w:tcW w:w="1621" w:type="dxa"/>
          </w:tcPr>
          <w:p>
            <w:pPr>
              <w:pStyle w:val="TableParagraph"/>
              <w:spacing w:line="229" w:lineRule="exact" w:before="5"/>
              <w:ind w:left="471" w:right="439"/>
              <w:jc w:val="center"/>
              <w:rPr>
                <w:rFonts w:ascii="Times New Roman"/>
                <w:b/>
                <w:sz w:val="20"/>
              </w:rPr>
            </w:pPr>
            <w:r>
              <w:rPr>
                <w:rFonts w:ascii="Times New Roman"/>
                <w:b/>
                <w:sz w:val="20"/>
              </w:rPr>
              <w:t>320.804</w:t>
            </w:r>
          </w:p>
        </w:tc>
        <w:tc>
          <w:tcPr>
            <w:tcW w:w="1619" w:type="dxa"/>
          </w:tcPr>
          <w:p>
            <w:pPr>
              <w:pStyle w:val="TableParagraph"/>
              <w:spacing w:line="229" w:lineRule="exact" w:before="5"/>
              <w:ind w:left="468" w:right="440"/>
              <w:jc w:val="center"/>
              <w:rPr>
                <w:rFonts w:ascii="Times New Roman"/>
                <w:b/>
                <w:sz w:val="20"/>
              </w:rPr>
            </w:pPr>
            <w:r>
              <w:rPr>
                <w:rFonts w:ascii="Times New Roman"/>
                <w:b/>
                <w:sz w:val="20"/>
              </w:rPr>
              <w:t>194.291</w:t>
            </w:r>
          </w:p>
        </w:tc>
        <w:tc>
          <w:tcPr>
            <w:tcW w:w="1612" w:type="dxa"/>
          </w:tcPr>
          <w:p>
            <w:pPr>
              <w:pStyle w:val="TableParagraph"/>
              <w:spacing w:line="219" w:lineRule="exact" w:before="14"/>
              <w:ind w:left="271" w:right="242"/>
              <w:jc w:val="center"/>
              <w:rPr>
                <w:rFonts w:ascii="Times New Roman"/>
                <w:b/>
                <w:sz w:val="20"/>
              </w:rPr>
            </w:pPr>
            <w:r>
              <w:rPr>
                <w:rFonts w:ascii="Times New Roman"/>
                <w:b/>
                <w:sz w:val="20"/>
              </w:rPr>
              <w:t>65,12%</w:t>
            </w:r>
          </w:p>
        </w:tc>
      </w:tr>
    </w:tbl>
    <w:p>
      <w:pPr>
        <w:spacing w:before="35"/>
        <w:ind w:left="350" w:right="0" w:firstLine="0"/>
        <w:jc w:val="left"/>
        <w:rPr>
          <w:rFonts w:ascii="Times New Roman" w:hAnsi="Times New Roman"/>
          <w:b/>
          <w:sz w:val="16"/>
        </w:rPr>
      </w:pPr>
      <w:r>
        <w:rPr>
          <w:rFonts w:ascii="Times New Roman" w:hAnsi="Times New Roman"/>
          <w:b/>
          <w:sz w:val="16"/>
        </w:rPr>
        <w:t>Fonte: Demonstrações Contábeis da Corumbá Concessões S.A.</w:t>
      </w:r>
    </w:p>
    <w:p>
      <w:pPr>
        <w:pStyle w:val="BodyText"/>
        <w:rPr>
          <w:rFonts w:ascii="Times New Roman"/>
          <w:b/>
          <w:sz w:val="18"/>
        </w:rPr>
      </w:pPr>
    </w:p>
    <w:p>
      <w:pPr>
        <w:pStyle w:val="BodyText"/>
        <w:spacing w:before="4"/>
        <w:rPr>
          <w:rFonts w:ascii="Times New Roman"/>
          <w:b/>
          <w:sz w:val="23"/>
        </w:rPr>
      </w:pPr>
    </w:p>
    <w:p>
      <w:pPr>
        <w:spacing w:line="360" w:lineRule="auto" w:before="0"/>
        <w:ind w:left="139" w:right="139" w:firstLine="708"/>
        <w:jc w:val="both"/>
        <w:rPr>
          <w:rFonts w:ascii="Times New Roman" w:hAnsi="Times New Roman"/>
          <w:sz w:val="22"/>
        </w:rPr>
      </w:pPr>
      <w:r>
        <w:rPr>
          <w:rFonts w:ascii="Times New Roman" w:hAnsi="Times New Roman"/>
          <w:sz w:val="22"/>
        </w:rPr>
        <w:t>A estrutura de endividamento que restou, preponderantemente, em decorrência do 1º Procedimento Arbitral demandado</w:t>
      </w:r>
      <w:r>
        <w:rPr>
          <w:rFonts w:ascii="Times New Roman" w:hAnsi="Times New Roman"/>
          <w:spacing w:val="-14"/>
          <w:sz w:val="22"/>
        </w:rPr>
        <w:t> </w:t>
      </w:r>
      <w:r>
        <w:rPr>
          <w:rFonts w:ascii="Times New Roman" w:hAnsi="Times New Roman"/>
          <w:sz w:val="22"/>
        </w:rPr>
        <w:t>pela</w:t>
      </w:r>
      <w:r>
        <w:rPr>
          <w:rFonts w:ascii="Times New Roman" w:hAnsi="Times New Roman"/>
          <w:spacing w:val="-13"/>
          <w:sz w:val="22"/>
        </w:rPr>
        <w:t> </w:t>
      </w:r>
      <w:r>
        <w:rPr>
          <w:rFonts w:ascii="Times New Roman" w:hAnsi="Times New Roman"/>
          <w:sz w:val="22"/>
        </w:rPr>
        <w:t>Controladora</w:t>
      </w:r>
      <w:r>
        <w:rPr>
          <w:rFonts w:ascii="Times New Roman" w:hAnsi="Times New Roman"/>
          <w:spacing w:val="-14"/>
          <w:sz w:val="22"/>
        </w:rPr>
        <w:t> </w:t>
      </w:r>
      <w:r>
        <w:rPr>
          <w:rFonts w:ascii="Times New Roman" w:hAnsi="Times New Roman"/>
          <w:sz w:val="22"/>
        </w:rPr>
        <w:t>Serveng</w:t>
      </w:r>
      <w:r>
        <w:rPr>
          <w:rFonts w:ascii="Times New Roman" w:hAnsi="Times New Roman"/>
          <w:spacing w:val="-15"/>
          <w:sz w:val="22"/>
        </w:rPr>
        <w:t> </w:t>
      </w:r>
      <w:r>
        <w:rPr>
          <w:rFonts w:ascii="Times New Roman" w:hAnsi="Times New Roman"/>
          <w:sz w:val="22"/>
        </w:rPr>
        <w:t>Civilsan</w:t>
      </w:r>
      <w:r>
        <w:rPr>
          <w:rFonts w:ascii="Times New Roman" w:hAnsi="Times New Roman"/>
          <w:spacing w:val="-13"/>
          <w:sz w:val="22"/>
        </w:rPr>
        <w:t> </w:t>
      </w:r>
      <w:r>
        <w:rPr>
          <w:rFonts w:ascii="Times New Roman" w:hAnsi="Times New Roman"/>
          <w:sz w:val="22"/>
        </w:rPr>
        <w:t>S.A.</w:t>
      </w:r>
      <w:r>
        <w:rPr>
          <w:rFonts w:ascii="Times New Roman" w:hAnsi="Times New Roman"/>
          <w:spacing w:val="-13"/>
          <w:sz w:val="22"/>
        </w:rPr>
        <w:t> </w:t>
      </w:r>
      <w:r>
        <w:rPr>
          <w:rFonts w:ascii="Times New Roman" w:hAnsi="Times New Roman"/>
          <w:sz w:val="22"/>
        </w:rPr>
        <w:t>contra</w:t>
      </w:r>
      <w:r>
        <w:rPr>
          <w:rFonts w:ascii="Times New Roman" w:hAnsi="Times New Roman"/>
          <w:spacing w:val="-14"/>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Corumbá</w:t>
      </w:r>
      <w:r>
        <w:rPr>
          <w:rFonts w:ascii="Times New Roman" w:hAnsi="Times New Roman"/>
          <w:spacing w:val="-14"/>
          <w:sz w:val="22"/>
        </w:rPr>
        <w:t> </w:t>
      </w:r>
      <w:r>
        <w:rPr>
          <w:rFonts w:ascii="Times New Roman" w:hAnsi="Times New Roman"/>
          <w:sz w:val="22"/>
        </w:rPr>
        <w:t>Concessões</w:t>
      </w:r>
      <w:r>
        <w:rPr>
          <w:rFonts w:ascii="Times New Roman" w:hAnsi="Times New Roman"/>
          <w:spacing w:val="-13"/>
          <w:sz w:val="22"/>
        </w:rPr>
        <w:t> </w:t>
      </w:r>
      <w:r>
        <w:rPr>
          <w:rFonts w:ascii="Times New Roman" w:hAnsi="Times New Roman"/>
          <w:sz w:val="22"/>
        </w:rPr>
        <w:t>S.A.,</w:t>
      </w:r>
      <w:r>
        <w:rPr>
          <w:rFonts w:ascii="Times New Roman" w:hAnsi="Times New Roman"/>
          <w:spacing w:val="-13"/>
          <w:sz w:val="22"/>
        </w:rPr>
        <w:t> </w:t>
      </w:r>
      <w:r>
        <w:rPr>
          <w:rFonts w:ascii="Times New Roman" w:hAnsi="Times New Roman"/>
          <w:sz w:val="22"/>
        </w:rPr>
        <w:t>cujo</w:t>
      </w:r>
      <w:r>
        <w:rPr>
          <w:rFonts w:ascii="Times New Roman" w:hAnsi="Times New Roman"/>
          <w:spacing w:val="-10"/>
          <w:sz w:val="22"/>
        </w:rPr>
        <w:t> </w:t>
      </w:r>
      <w:r>
        <w:rPr>
          <w:rFonts w:ascii="Times New Roman" w:hAnsi="Times New Roman"/>
          <w:sz w:val="22"/>
        </w:rPr>
        <w:t>desfecho</w:t>
      </w:r>
      <w:r>
        <w:rPr>
          <w:rFonts w:ascii="Times New Roman" w:hAnsi="Times New Roman"/>
          <w:spacing w:val="-13"/>
          <w:sz w:val="22"/>
        </w:rPr>
        <w:t> </w:t>
      </w:r>
      <w:r>
        <w:rPr>
          <w:rFonts w:ascii="Times New Roman" w:hAnsi="Times New Roman"/>
          <w:sz w:val="22"/>
        </w:rPr>
        <w:t>ocorreu</w:t>
      </w:r>
      <w:r>
        <w:rPr>
          <w:rFonts w:ascii="Times New Roman" w:hAnsi="Times New Roman"/>
          <w:spacing w:val="-13"/>
          <w:sz w:val="22"/>
        </w:rPr>
        <w:t> </w:t>
      </w:r>
      <w:r>
        <w:rPr>
          <w:rFonts w:ascii="Times New Roman" w:hAnsi="Times New Roman"/>
          <w:sz w:val="22"/>
        </w:rPr>
        <w:t>em</w:t>
      </w:r>
      <w:r>
        <w:rPr>
          <w:rFonts w:ascii="Times New Roman" w:hAnsi="Times New Roman"/>
          <w:spacing w:val="-18"/>
          <w:sz w:val="22"/>
        </w:rPr>
        <w:t> </w:t>
      </w:r>
      <w:r>
        <w:rPr>
          <w:rFonts w:ascii="Times New Roman" w:hAnsi="Times New Roman"/>
          <w:sz w:val="22"/>
        </w:rPr>
        <w:t>2014, produz</w:t>
      </w:r>
      <w:r>
        <w:rPr>
          <w:rFonts w:ascii="Times New Roman" w:hAnsi="Times New Roman"/>
          <w:spacing w:val="-8"/>
          <w:sz w:val="22"/>
        </w:rPr>
        <w:t> </w:t>
      </w:r>
      <w:r>
        <w:rPr>
          <w:rFonts w:ascii="Times New Roman" w:hAnsi="Times New Roman"/>
          <w:sz w:val="22"/>
        </w:rPr>
        <w:t>resultados</w:t>
      </w:r>
      <w:r>
        <w:rPr>
          <w:rFonts w:ascii="Times New Roman" w:hAnsi="Times New Roman"/>
          <w:spacing w:val="-5"/>
          <w:sz w:val="22"/>
        </w:rPr>
        <w:t> </w:t>
      </w:r>
      <w:r>
        <w:rPr>
          <w:rFonts w:ascii="Times New Roman" w:hAnsi="Times New Roman"/>
          <w:sz w:val="22"/>
        </w:rPr>
        <w:t>financeiros</w:t>
      </w:r>
      <w:r>
        <w:rPr>
          <w:rFonts w:ascii="Times New Roman" w:hAnsi="Times New Roman"/>
          <w:spacing w:val="-5"/>
          <w:sz w:val="22"/>
        </w:rPr>
        <w:t> </w:t>
      </w:r>
      <w:r>
        <w:rPr>
          <w:rFonts w:ascii="Times New Roman" w:hAnsi="Times New Roman"/>
          <w:sz w:val="22"/>
        </w:rPr>
        <w:t>negativos</w:t>
      </w:r>
      <w:r>
        <w:rPr>
          <w:rFonts w:ascii="Times New Roman" w:hAnsi="Times New Roman"/>
          <w:spacing w:val="-6"/>
          <w:sz w:val="22"/>
        </w:rPr>
        <w:t> </w:t>
      </w:r>
      <w:r>
        <w:rPr>
          <w:rFonts w:ascii="Times New Roman" w:hAnsi="Times New Roman"/>
          <w:sz w:val="22"/>
        </w:rPr>
        <w:t>que</w:t>
      </w:r>
      <w:r>
        <w:rPr>
          <w:rFonts w:ascii="Times New Roman" w:hAnsi="Times New Roman"/>
          <w:spacing w:val="-8"/>
          <w:sz w:val="22"/>
        </w:rPr>
        <w:t> </w:t>
      </w:r>
      <w:r>
        <w:rPr>
          <w:rFonts w:ascii="Times New Roman" w:hAnsi="Times New Roman"/>
          <w:sz w:val="22"/>
        </w:rPr>
        <w:t>exigirão</w:t>
      </w:r>
      <w:r>
        <w:rPr>
          <w:rFonts w:ascii="Times New Roman" w:hAnsi="Times New Roman"/>
          <w:spacing w:val="-5"/>
          <w:sz w:val="22"/>
        </w:rPr>
        <w:t> </w:t>
      </w:r>
      <w:r>
        <w:rPr>
          <w:rFonts w:ascii="Times New Roman" w:hAnsi="Times New Roman"/>
          <w:sz w:val="22"/>
        </w:rPr>
        <w:t>longo</w:t>
      </w:r>
      <w:r>
        <w:rPr>
          <w:rFonts w:ascii="Times New Roman" w:hAnsi="Times New Roman"/>
          <w:spacing w:val="-6"/>
          <w:sz w:val="22"/>
        </w:rPr>
        <w:t> </w:t>
      </w:r>
      <w:r>
        <w:rPr>
          <w:rFonts w:ascii="Times New Roman" w:hAnsi="Times New Roman"/>
          <w:sz w:val="22"/>
        </w:rPr>
        <w:t>período</w:t>
      </w:r>
      <w:r>
        <w:rPr>
          <w:rFonts w:ascii="Times New Roman" w:hAnsi="Times New Roman"/>
          <w:spacing w:val="-7"/>
          <w:sz w:val="22"/>
        </w:rPr>
        <w:t> </w:t>
      </w:r>
      <w:r>
        <w:rPr>
          <w:rFonts w:ascii="Times New Roman" w:hAnsi="Times New Roman"/>
          <w:sz w:val="22"/>
        </w:rPr>
        <w:t>para</w:t>
      </w:r>
      <w:r>
        <w:rPr>
          <w:rFonts w:ascii="Times New Roman" w:hAnsi="Times New Roman"/>
          <w:spacing w:val="-8"/>
          <w:sz w:val="22"/>
        </w:rPr>
        <w:t> </w:t>
      </w:r>
      <w:r>
        <w:rPr>
          <w:rFonts w:ascii="Times New Roman" w:hAnsi="Times New Roman"/>
          <w:sz w:val="22"/>
        </w:rPr>
        <w:t>superação</w:t>
      </w:r>
      <w:r>
        <w:rPr>
          <w:rFonts w:ascii="Times New Roman" w:hAnsi="Times New Roman"/>
          <w:spacing w:val="-7"/>
          <w:sz w:val="22"/>
        </w:rPr>
        <w:t> </w:t>
      </w:r>
      <w:r>
        <w:rPr>
          <w:rFonts w:ascii="Times New Roman" w:hAnsi="Times New Roman"/>
          <w:sz w:val="22"/>
        </w:rPr>
        <w:t>das</w:t>
      </w:r>
      <w:r>
        <w:rPr>
          <w:rFonts w:ascii="Times New Roman" w:hAnsi="Times New Roman"/>
          <w:spacing w:val="-5"/>
          <w:sz w:val="22"/>
        </w:rPr>
        <w:t> </w:t>
      </w:r>
      <w:r>
        <w:rPr>
          <w:rFonts w:ascii="Times New Roman" w:hAnsi="Times New Roman"/>
          <w:sz w:val="22"/>
        </w:rPr>
        <w:t>obrigações</w:t>
      </w:r>
      <w:r>
        <w:rPr>
          <w:rFonts w:ascii="Times New Roman" w:hAnsi="Times New Roman"/>
          <w:spacing w:val="-7"/>
          <w:sz w:val="22"/>
        </w:rPr>
        <w:t> </w:t>
      </w:r>
      <w:r>
        <w:rPr>
          <w:rFonts w:ascii="Times New Roman" w:hAnsi="Times New Roman"/>
          <w:sz w:val="22"/>
        </w:rPr>
        <w:t>relativas</w:t>
      </w:r>
      <w:r>
        <w:rPr>
          <w:rFonts w:ascii="Times New Roman" w:hAnsi="Times New Roman"/>
          <w:spacing w:val="-5"/>
          <w:sz w:val="22"/>
        </w:rPr>
        <w:t> </w:t>
      </w:r>
      <w:r>
        <w:rPr>
          <w:rFonts w:ascii="Times New Roman" w:hAnsi="Times New Roman"/>
          <w:sz w:val="22"/>
        </w:rPr>
        <w:t>aos</w:t>
      </w:r>
      <w:r>
        <w:rPr>
          <w:rFonts w:ascii="Times New Roman" w:hAnsi="Times New Roman"/>
          <w:spacing w:val="-6"/>
          <w:sz w:val="22"/>
        </w:rPr>
        <w:t> </w:t>
      </w:r>
      <w:r>
        <w:rPr>
          <w:rFonts w:ascii="Times New Roman" w:hAnsi="Times New Roman"/>
          <w:sz w:val="22"/>
        </w:rPr>
        <w:t>encargos de dívidas, situação que influencia a apuração de resultados mais satisfatórios nos próximos</w:t>
      </w:r>
      <w:r>
        <w:rPr>
          <w:rFonts w:ascii="Times New Roman" w:hAnsi="Times New Roman"/>
          <w:spacing w:val="-6"/>
          <w:sz w:val="22"/>
        </w:rPr>
        <w:t> </w:t>
      </w:r>
      <w:r>
        <w:rPr>
          <w:rFonts w:ascii="Times New Roman" w:hAnsi="Times New Roman"/>
          <w:sz w:val="22"/>
        </w:rPr>
        <w:t>anos.</w:t>
      </w:r>
    </w:p>
    <w:p>
      <w:pPr>
        <w:spacing w:after="0" w:line="360" w:lineRule="auto"/>
        <w:jc w:val="both"/>
        <w:rPr>
          <w:rFonts w:ascii="Times New Roman" w:hAnsi="Times New Roman"/>
          <w:sz w:val="22"/>
        </w:rPr>
        <w:sectPr>
          <w:headerReference w:type="default" r:id="rId29"/>
          <w:footerReference w:type="default" r:id="rId30"/>
          <w:pgSz w:w="11920" w:h="16860"/>
          <w:pgMar w:header="0" w:footer="302" w:top="540" w:bottom="500" w:left="780" w:right="280"/>
          <w:pgNumType w:start="17"/>
        </w:sectPr>
      </w:pPr>
    </w:p>
    <w:p>
      <w:pPr>
        <w:pStyle w:val="BodyText"/>
        <w:ind w:left="516"/>
        <w:rPr>
          <w:rFonts w:ascii="Times New Roman"/>
        </w:rPr>
      </w:pPr>
      <w:r>
        <w:rPr>
          <w:rFonts w:ascii="Times New Roman"/>
        </w:rPr>
        <w:drawing>
          <wp:inline distT="0" distB="0" distL="0" distR="0">
            <wp:extent cx="989985" cy="472249"/>
            <wp:effectExtent l="0" t="0" r="0" b="0"/>
            <wp:docPr id="43" name="image2.jpeg"/>
            <wp:cNvGraphicFramePr>
              <a:graphicFrameLocks noChangeAspect="1"/>
            </wp:cNvGraphicFramePr>
            <a:graphic>
              <a:graphicData uri="http://schemas.openxmlformats.org/drawingml/2006/picture">
                <pic:pic>
                  <pic:nvPicPr>
                    <pic:cNvPr id="44"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847" w:right="0" w:firstLine="0"/>
        <w:jc w:val="both"/>
        <w:rPr>
          <w:rFonts w:ascii="Times New Roman" w:hAnsi="Times New Roman"/>
          <w:sz w:val="22"/>
        </w:rPr>
      </w:pPr>
      <w:r>
        <w:rPr>
          <w:rFonts w:ascii="Times New Roman" w:hAnsi="Times New Roman"/>
          <w:sz w:val="22"/>
        </w:rPr>
        <w:t>Por essas razões, os acionistas realizaram operações de mútuo para suprir as dificuldades de caixa da Empresa,</w:t>
      </w:r>
    </w:p>
    <w:p>
      <w:pPr>
        <w:spacing w:line="360" w:lineRule="auto" w:before="126"/>
        <w:ind w:left="139" w:right="143" w:firstLine="0"/>
        <w:jc w:val="both"/>
        <w:rPr>
          <w:rFonts w:ascii="Times New Roman" w:hAnsi="Times New Roman"/>
          <w:sz w:val="22"/>
        </w:rPr>
      </w:pPr>
      <w:r>
        <w:rPr>
          <w:rFonts w:ascii="Times New Roman" w:hAnsi="Times New Roman"/>
          <w:sz w:val="22"/>
        </w:rPr>
        <w:t>restando</w:t>
      </w:r>
      <w:r>
        <w:rPr>
          <w:rFonts w:ascii="Times New Roman" w:hAnsi="Times New Roman"/>
          <w:spacing w:val="-3"/>
          <w:sz w:val="22"/>
        </w:rPr>
        <w:t> </w:t>
      </w:r>
      <w:r>
        <w:rPr>
          <w:rFonts w:ascii="Times New Roman" w:hAnsi="Times New Roman"/>
          <w:sz w:val="22"/>
        </w:rPr>
        <w:t>à</w:t>
      </w:r>
      <w:r>
        <w:rPr>
          <w:rFonts w:ascii="Times New Roman" w:hAnsi="Times New Roman"/>
          <w:spacing w:val="-3"/>
          <w:sz w:val="22"/>
        </w:rPr>
        <w:t> </w:t>
      </w:r>
      <w:r>
        <w:rPr>
          <w:rFonts w:ascii="Times New Roman" w:hAnsi="Times New Roman"/>
          <w:sz w:val="22"/>
        </w:rPr>
        <w:t>CEB</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à</w:t>
      </w:r>
      <w:r>
        <w:rPr>
          <w:rFonts w:ascii="Times New Roman" w:hAnsi="Times New Roman"/>
          <w:spacing w:val="-2"/>
          <w:sz w:val="22"/>
        </w:rPr>
        <w:t> </w:t>
      </w:r>
      <w:r>
        <w:rPr>
          <w:rFonts w:ascii="Times New Roman" w:hAnsi="Times New Roman"/>
          <w:sz w:val="22"/>
        </w:rPr>
        <w:t>CEB</w:t>
      </w:r>
      <w:r>
        <w:rPr>
          <w:rFonts w:ascii="Times New Roman" w:hAnsi="Times New Roman"/>
          <w:spacing w:val="-2"/>
          <w:sz w:val="22"/>
        </w:rPr>
        <w:t> </w:t>
      </w:r>
      <w:r>
        <w:rPr>
          <w:rFonts w:ascii="Times New Roman" w:hAnsi="Times New Roman"/>
          <w:sz w:val="22"/>
        </w:rPr>
        <w:t>Participações</w:t>
      </w:r>
      <w:r>
        <w:rPr>
          <w:rFonts w:ascii="Times New Roman" w:hAnsi="Times New Roman"/>
          <w:spacing w:val="-1"/>
          <w:sz w:val="22"/>
        </w:rPr>
        <w:t> </w:t>
      </w:r>
      <w:r>
        <w:rPr>
          <w:rFonts w:ascii="Times New Roman" w:hAnsi="Times New Roman"/>
          <w:sz w:val="22"/>
        </w:rPr>
        <w:t>S.A.,</w:t>
      </w:r>
      <w:r>
        <w:rPr>
          <w:rFonts w:ascii="Times New Roman" w:hAnsi="Times New Roman"/>
          <w:spacing w:val="-4"/>
          <w:sz w:val="22"/>
        </w:rPr>
        <w:t> </w:t>
      </w:r>
      <w:r>
        <w:rPr>
          <w:rFonts w:ascii="Times New Roman" w:hAnsi="Times New Roman"/>
          <w:sz w:val="22"/>
        </w:rPr>
        <w:t>as</w:t>
      </w:r>
      <w:r>
        <w:rPr>
          <w:rFonts w:ascii="Times New Roman" w:hAnsi="Times New Roman"/>
          <w:spacing w:val="-1"/>
          <w:sz w:val="22"/>
        </w:rPr>
        <w:t> </w:t>
      </w:r>
      <w:r>
        <w:rPr>
          <w:rFonts w:ascii="Times New Roman" w:hAnsi="Times New Roman"/>
          <w:sz w:val="22"/>
        </w:rPr>
        <w:t>formalizações</w:t>
      </w:r>
      <w:r>
        <w:rPr>
          <w:rFonts w:ascii="Times New Roman" w:hAnsi="Times New Roman"/>
          <w:spacing w:val="-1"/>
          <w:sz w:val="22"/>
        </w:rPr>
        <w:t> </w:t>
      </w:r>
      <w:r>
        <w:rPr>
          <w:rFonts w:ascii="Times New Roman" w:hAnsi="Times New Roman"/>
          <w:sz w:val="22"/>
        </w:rPr>
        <w:t>de</w:t>
      </w:r>
      <w:r>
        <w:rPr>
          <w:rFonts w:ascii="Times New Roman" w:hAnsi="Times New Roman"/>
          <w:spacing w:val="-1"/>
          <w:sz w:val="22"/>
        </w:rPr>
        <w:t> </w:t>
      </w:r>
      <w:r>
        <w:rPr>
          <w:rFonts w:ascii="Times New Roman" w:hAnsi="Times New Roman"/>
          <w:sz w:val="22"/>
        </w:rPr>
        <w:t>empréstimos</w:t>
      </w:r>
      <w:r>
        <w:rPr>
          <w:rFonts w:ascii="Times New Roman" w:hAnsi="Times New Roman"/>
          <w:spacing w:val="-1"/>
          <w:sz w:val="22"/>
        </w:rPr>
        <w:t> </w:t>
      </w:r>
      <w:r>
        <w:rPr>
          <w:rFonts w:ascii="Times New Roman" w:hAnsi="Times New Roman"/>
          <w:sz w:val="22"/>
        </w:rPr>
        <w:t>nos</w:t>
      </w:r>
      <w:r>
        <w:rPr>
          <w:rFonts w:ascii="Times New Roman" w:hAnsi="Times New Roman"/>
          <w:spacing w:val="-3"/>
          <w:sz w:val="22"/>
        </w:rPr>
        <w:t> </w:t>
      </w:r>
      <w:r>
        <w:rPr>
          <w:rFonts w:ascii="Times New Roman" w:hAnsi="Times New Roman"/>
          <w:sz w:val="22"/>
        </w:rPr>
        <w:t>valores</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R$</w:t>
      </w:r>
      <w:r>
        <w:rPr>
          <w:rFonts w:ascii="Times New Roman" w:hAnsi="Times New Roman"/>
          <w:spacing w:val="-1"/>
          <w:sz w:val="22"/>
        </w:rPr>
        <w:t> </w:t>
      </w:r>
      <w:r>
        <w:rPr>
          <w:rFonts w:ascii="Times New Roman" w:hAnsi="Times New Roman"/>
          <w:sz w:val="22"/>
        </w:rPr>
        <w:t>3.706</w:t>
      </w:r>
      <w:r>
        <w:rPr>
          <w:rFonts w:ascii="Times New Roman" w:hAnsi="Times New Roman"/>
          <w:spacing w:val="-1"/>
          <w:sz w:val="22"/>
        </w:rPr>
        <w:t> </w:t>
      </w:r>
      <w:r>
        <w:rPr>
          <w:rFonts w:ascii="Times New Roman" w:hAnsi="Times New Roman"/>
          <w:sz w:val="22"/>
        </w:rPr>
        <w:t>mil</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R$</w:t>
      </w:r>
      <w:r>
        <w:rPr>
          <w:rFonts w:ascii="Times New Roman" w:hAnsi="Times New Roman"/>
          <w:spacing w:val="-1"/>
          <w:sz w:val="22"/>
        </w:rPr>
        <w:t> </w:t>
      </w:r>
      <w:r>
        <w:rPr>
          <w:rFonts w:ascii="Times New Roman" w:hAnsi="Times New Roman"/>
          <w:sz w:val="22"/>
        </w:rPr>
        <w:t>192</w:t>
      </w:r>
      <w:r>
        <w:rPr>
          <w:rFonts w:ascii="Times New Roman" w:hAnsi="Times New Roman"/>
          <w:spacing w:val="-1"/>
          <w:sz w:val="22"/>
        </w:rPr>
        <w:t> </w:t>
      </w:r>
      <w:r>
        <w:rPr>
          <w:rFonts w:ascii="Times New Roman" w:hAnsi="Times New Roman"/>
          <w:spacing w:val="-2"/>
          <w:sz w:val="22"/>
        </w:rPr>
        <w:t>mil </w:t>
      </w:r>
      <w:r>
        <w:rPr>
          <w:rFonts w:ascii="Times New Roman" w:hAnsi="Times New Roman"/>
          <w:sz w:val="22"/>
        </w:rPr>
        <w:t>em 2016; e de R$ 7.461 mil e R$ 384 mil, em 2017,</w:t>
      </w:r>
      <w:r>
        <w:rPr>
          <w:rFonts w:ascii="Times New Roman" w:hAnsi="Times New Roman"/>
          <w:spacing w:val="-13"/>
          <w:sz w:val="22"/>
        </w:rPr>
        <w:t> </w:t>
      </w:r>
      <w:r>
        <w:rPr>
          <w:rFonts w:ascii="Times New Roman" w:hAnsi="Times New Roman"/>
          <w:sz w:val="22"/>
        </w:rPr>
        <w:t>respectivamente.</w:t>
      </w:r>
    </w:p>
    <w:p>
      <w:pPr>
        <w:spacing w:line="360" w:lineRule="auto" w:before="120"/>
        <w:ind w:left="139" w:right="144" w:firstLine="708"/>
        <w:jc w:val="both"/>
        <w:rPr>
          <w:rFonts w:ascii="Times New Roman" w:hAnsi="Times New Roman"/>
          <w:sz w:val="22"/>
        </w:rPr>
      </w:pPr>
      <w:r>
        <w:rPr>
          <w:rFonts w:ascii="Times New Roman" w:hAnsi="Times New Roman"/>
          <w:sz w:val="22"/>
        </w:rPr>
        <w:t>Finalmente, é relevante comentar o 2º Requerimento de Instauração de Procedimento Arbitral também de iniciativa da Controladora Serveng Civilsan S.A., em desfavor da Corumbá Concessões S.A..</w:t>
      </w:r>
    </w:p>
    <w:p>
      <w:pPr>
        <w:spacing w:line="360" w:lineRule="auto" w:before="119"/>
        <w:ind w:left="139" w:right="141" w:firstLine="708"/>
        <w:jc w:val="both"/>
        <w:rPr>
          <w:rFonts w:ascii="Times New Roman" w:hAnsi="Times New Roman"/>
          <w:sz w:val="22"/>
        </w:rPr>
      </w:pPr>
      <w:r>
        <w:rPr>
          <w:rFonts w:ascii="Times New Roman" w:hAnsi="Times New Roman"/>
          <w:sz w:val="22"/>
        </w:rPr>
        <w:t>No período de julho de 2005 a abril de 2008, a Serveng Civilsan S.A. aportou na Corumbá Concessões S.A. o montante de R$ 38.195 mil, enquanto a CEB destinou R$ 3.232 mil, para suprir desequilíbrio de caixa da geradora.</w:t>
      </w:r>
    </w:p>
    <w:p>
      <w:pPr>
        <w:spacing w:line="360" w:lineRule="auto" w:before="120"/>
        <w:ind w:left="139" w:right="143" w:firstLine="708"/>
        <w:jc w:val="both"/>
        <w:rPr>
          <w:rFonts w:ascii="Times New Roman" w:hAnsi="Times New Roman"/>
          <w:sz w:val="22"/>
        </w:rPr>
      </w:pPr>
      <w:r>
        <w:rPr>
          <w:rFonts w:ascii="Times New Roman" w:hAnsi="Times New Roman"/>
          <w:sz w:val="22"/>
        </w:rPr>
        <w:t>Entretanto tais aportes, inicialmente, foram contabilizados no Patrimônio Líquido e, posteriormente, migraram para</w:t>
      </w:r>
      <w:r>
        <w:rPr>
          <w:rFonts w:ascii="Times New Roman" w:hAnsi="Times New Roman"/>
          <w:spacing w:val="-7"/>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conta</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passivo.</w:t>
      </w:r>
      <w:r>
        <w:rPr>
          <w:rFonts w:ascii="Times New Roman" w:hAnsi="Times New Roman"/>
          <w:spacing w:val="-4"/>
          <w:sz w:val="22"/>
        </w:rPr>
        <w:t> </w:t>
      </w:r>
      <w:r>
        <w:rPr>
          <w:rFonts w:ascii="Times New Roman" w:hAnsi="Times New Roman"/>
          <w:sz w:val="22"/>
        </w:rPr>
        <w:t>Restou</w:t>
      </w:r>
      <w:r>
        <w:rPr>
          <w:rFonts w:ascii="Times New Roman" w:hAnsi="Times New Roman"/>
          <w:spacing w:val="-6"/>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indefinição</w:t>
      </w:r>
      <w:r>
        <w:rPr>
          <w:rFonts w:ascii="Times New Roman" w:hAnsi="Times New Roman"/>
          <w:spacing w:val="-6"/>
          <w:sz w:val="22"/>
        </w:rPr>
        <w:t> </w:t>
      </w:r>
      <w:r>
        <w:rPr>
          <w:rFonts w:ascii="Times New Roman" w:hAnsi="Times New Roman"/>
          <w:sz w:val="22"/>
        </w:rPr>
        <w:t>se</w:t>
      </w:r>
      <w:r>
        <w:rPr>
          <w:rFonts w:ascii="Times New Roman" w:hAnsi="Times New Roman"/>
          <w:spacing w:val="-6"/>
          <w:sz w:val="22"/>
        </w:rPr>
        <w:t> </w:t>
      </w:r>
      <w:r>
        <w:rPr>
          <w:rFonts w:ascii="Times New Roman" w:hAnsi="Times New Roman"/>
          <w:sz w:val="22"/>
        </w:rPr>
        <w:t>os</w:t>
      </w:r>
      <w:r>
        <w:rPr>
          <w:rFonts w:ascii="Times New Roman" w:hAnsi="Times New Roman"/>
          <w:spacing w:val="-6"/>
          <w:sz w:val="22"/>
        </w:rPr>
        <w:t> </w:t>
      </w:r>
      <w:r>
        <w:rPr>
          <w:rFonts w:ascii="Times New Roman" w:hAnsi="Times New Roman"/>
          <w:sz w:val="22"/>
        </w:rPr>
        <w:t>montantes</w:t>
      </w:r>
      <w:r>
        <w:rPr>
          <w:rFonts w:ascii="Times New Roman" w:hAnsi="Times New Roman"/>
          <w:spacing w:val="-5"/>
          <w:sz w:val="22"/>
        </w:rPr>
        <w:t> </w:t>
      </w:r>
      <w:r>
        <w:rPr>
          <w:rFonts w:ascii="Times New Roman" w:hAnsi="Times New Roman"/>
          <w:sz w:val="22"/>
        </w:rPr>
        <w:t>estariam</w:t>
      </w:r>
      <w:r>
        <w:rPr>
          <w:rFonts w:ascii="Times New Roman" w:hAnsi="Times New Roman"/>
          <w:spacing w:val="-7"/>
          <w:sz w:val="22"/>
        </w:rPr>
        <w:t> </w:t>
      </w:r>
      <w:r>
        <w:rPr>
          <w:rFonts w:ascii="Times New Roman" w:hAnsi="Times New Roman"/>
          <w:sz w:val="22"/>
        </w:rPr>
        <w:t>caracterizados</w:t>
      </w:r>
      <w:r>
        <w:rPr>
          <w:rFonts w:ascii="Times New Roman" w:hAnsi="Times New Roman"/>
          <w:spacing w:val="-3"/>
          <w:sz w:val="22"/>
        </w:rPr>
        <w:t> </w:t>
      </w:r>
      <w:r>
        <w:rPr>
          <w:rFonts w:ascii="Times New Roman" w:hAnsi="Times New Roman"/>
          <w:sz w:val="22"/>
        </w:rPr>
        <w:t>como</w:t>
      </w:r>
      <w:r>
        <w:rPr>
          <w:rFonts w:ascii="Times New Roman" w:hAnsi="Times New Roman"/>
          <w:spacing w:val="-4"/>
          <w:sz w:val="22"/>
        </w:rPr>
        <w:t> </w:t>
      </w:r>
      <w:r>
        <w:rPr>
          <w:rFonts w:ascii="Times New Roman" w:hAnsi="Times New Roman"/>
          <w:sz w:val="22"/>
        </w:rPr>
        <w:t>Adiantamentos</w:t>
      </w:r>
      <w:r>
        <w:rPr>
          <w:rFonts w:ascii="Times New Roman" w:hAnsi="Times New Roman"/>
          <w:spacing w:val="-3"/>
          <w:sz w:val="22"/>
        </w:rPr>
        <w:t> </w:t>
      </w:r>
      <w:r>
        <w:rPr>
          <w:rFonts w:ascii="Times New Roman" w:hAnsi="Times New Roman"/>
          <w:sz w:val="22"/>
        </w:rPr>
        <w:t>Para</w:t>
      </w:r>
      <w:r>
        <w:rPr>
          <w:rFonts w:ascii="Times New Roman" w:hAnsi="Times New Roman"/>
          <w:spacing w:val="-7"/>
          <w:sz w:val="22"/>
        </w:rPr>
        <w:t> </w:t>
      </w:r>
      <w:r>
        <w:rPr>
          <w:rFonts w:ascii="Times New Roman" w:hAnsi="Times New Roman"/>
          <w:sz w:val="22"/>
        </w:rPr>
        <w:t>Futuros Aumentos de Capital ou como</w:t>
      </w:r>
      <w:r>
        <w:rPr>
          <w:rFonts w:ascii="Times New Roman" w:hAnsi="Times New Roman"/>
          <w:spacing w:val="1"/>
          <w:sz w:val="22"/>
        </w:rPr>
        <w:t> </w:t>
      </w:r>
      <w:r>
        <w:rPr>
          <w:rFonts w:ascii="Times New Roman" w:hAnsi="Times New Roman"/>
          <w:sz w:val="22"/>
        </w:rPr>
        <w:t>mútuos.</w:t>
      </w:r>
    </w:p>
    <w:p>
      <w:pPr>
        <w:spacing w:line="360" w:lineRule="auto" w:before="122"/>
        <w:ind w:left="139" w:right="137" w:firstLine="708"/>
        <w:jc w:val="both"/>
        <w:rPr>
          <w:rFonts w:ascii="Times New Roman" w:hAnsi="Times New Roman"/>
          <w:sz w:val="22"/>
        </w:rPr>
      </w:pPr>
      <w:r>
        <w:rPr>
          <w:rFonts w:ascii="Times New Roman" w:hAnsi="Times New Roman"/>
          <w:sz w:val="22"/>
        </w:rPr>
        <w:t>Diante do cenário de discordância em relação aos citados aportes, em agosto de 2017, a Controladora Serveng Civilsan S.A. requereu ao Centro de Arbitragem e Medição da Câmara de Comércio Brasil-Canadá, o reconhecimento de dívida (mútuo), com correção dos valores.</w:t>
      </w:r>
    </w:p>
    <w:p>
      <w:pPr>
        <w:spacing w:line="360" w:lineRule="auto" w:before="119"/>
        <w:ind w:left="139" w:right="136" w:firstLine="708"/>
        <w:jc w:val="both"/>
        <w:rPr>
          <w:rFonts w:ascii="Times New Roman" w:hAnsi="Times New Roman"/>
          <w:sz w:val="22"/>
        </w:rPr>
      </w:pPr>
      <w:r>
        <w:rPr>
          <w:rFonts w:ascii="Times New Roman" w:hAnsi="Times New Roman"/>
          <w:sz w:val="22"/>
        </w:rPr>
        <w:t>Em 01 de agosto de 2019, o CAM-CCBC apresentou a decisão Arbitral nº 74/2017, que condenou Corumbá Concessões</w:t>
      </w:r>
      <w:r>
        <w:rPr>
          <w:rFonts w:ascii="Times New Roman" w:hAnsi="Times New Roman"/>
          <w:spacing w:val="-4"/>
          <w:sz w:val="22"/>
        </w:rPr>
        <w:t> </w:t>
      </w:r>
      <w:r>
        <w:rPr>
          <w:rFonts w:ascii="Times New Roman" w:hAnsi="Times New Roman"/>
          <w:sz w:val="22"/>
        </w:rPr>
        <w:t>S.A.</w:t>
      </w:r>
      <w:r>
        <w:rPr>
          <w:rFonts w:ascii="Times New Roman" w:hAnsi="Times New Roman"/>
          <w:spacing w:val="-7"/>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restituir</w:t>
      </w:r>
      <w:r>
        <w:rPr>
          <w:rFonts w:ascii="Times New Roman" w:hAnsi="Times New Roman"/>
          <w:spacing w:val="-6"/>
          <w:sz w:val="22"/>
        </w:rPr>
        <w:t> </w:t>
      </w:r>
      <w:r>
        <w:rPr>
          <w:rFonts w:ascii="Times New Roman" w:hAnsi="Times New Roman"/>
          <w:sz w:val="22"/>
        </w:rPr>
        <w:t>os</w:t>
      </w:r>
      <w:r>
        <w:rPr>
          <w:rFonts w:ascii="Times New Roman" w:hAnsi="Times New Roman"/>
          <w:spacing w:val="-3"/>
          <w:sz w:val="22"/>
        </w:rPr>
        <w:t> </w:t>
      </w:r>
      <w:r>
        <w:rPr>
          <w:rFonts w:ascii="Times New Roman" w:hAnsi="Times New Roman"/>
          <w:sz w:val="22"/>
        </w:rPr>
        <w:t>AFAC’s</w:t>
      </w:r>
      <w:r>
        <w:rPr>
          <w:rFonts w:ascii="Times New Roman" w:hAnsi="Times New Roman"/>
          <w:spacing w:val="-4"/>
          <w:sz w:val="22"/>
        </w:rPr>
        <w:t> </w:t>
      </w:r>
      <w:r>
        <w:rPr>
          <w:rFonts w:ascii="Times New Roman" w:hAnsi="Times New Roman"/>
          <w:sz w:val="22"/>
        </w:rPr>
        <w:t>realizados</w:t>
      </w:r>
      <w:r>
        <w:rPr>
          <w:rFonts w:ascii="Times New Roman" w:hAnsi="Times New Roman"/>
          <w:spacing w:val="-4"/>
          <w:sz w:val="22"/>
        </w:rPr>
        <w:t> </w:t>
      </w:r>
      <w:r>
        <w:rPr>
          <w:rFonts w:ascii="Times New Roman" w:hAnsi="Times New Roman"/>
          <w:sz w:val="22"/>
        </w:rPr>
        <w:t>pela</w:t>
      </w:r>
      <w:r>
        <w:rPr>
          <w:rFonts w:ascii="Times New Roman" w:hAnsi="Times New Roman"/>
          <w:spacing w:val="-6"/>
          <w:sz w:val="22"/>
        </w:rPr>
        <w:t> </w:t>
      </w:r>
      <w:r>
        <w:rPr>
          <w:rFonts w:ascii="Times New Roman" w:hAnsi="Times New Roman"/>
          <w:sz w:val="22"/>
        </w:rPr>
        <w:t>Serveng</w:t>
      </w:r>
      <w:r>
        <w:rPr>
          <w:rFonts w:ascii="Times New Roman" w:hAnsi="Times New Roman"/>
          <w:spacing w:val="-7"/>
          <w:sz w:val="22"/>
        </w:rPr>
        <w:t> </w:t>
      </w:r>
      <w:r>
        <w:rPr>
          <w:rFonts w:ascii="Times New Roman" w:hAnsi="Times New Roman"/>
          <w:sz w:val="22"/>
        </w:rPr>
        <w:t>Civilsan</w:t>
      </w:r>
      <w:r>
        <w:rPr>
          <w:rFonts w:ascii="Times New Roman" w:hAnsi="Times New Roman"/>
          <w:spacing w:val="-4"/>
          <w:sz w:val="22"/>
        </w:rPr>
        <w:t> </w:t>
      </w:r>
      <w:r>
        <w:rPr>
          <w:rFonts w:ascii="Times New Roman" w:hAnsi="Times New Roman"/>
          <w:sz w:val="22"/>
        </w:rPr>
        <w:t>S.A.</w:t>
      </w:r>
      <w:r>
        <w:rPr>
          <w:rFonts w:ascii="Times New Roman" w:hAnsi="Times New Roman"/>
          <w:spacing w:val="-5"/>
          <w:sz w:val="22"/>
        </w:rPr>
        <w:t> </w:t>
      </w:r>
      <w:r>
        <w:rPr>
          <w:rFonts w:ascii="Times New Roman" w:hAnsi="Times New Roman"/>
          <w:sz w:val="22"/>
        </w:rPr>
        <w:t>no</w:t>
      </w:r>
      <w:r>
        <w:rPr>
          <w:rFonts w:ascii="Times New Roman" w:hAnsi="Times New Roman"/>
          <w:spacing w:val="-6"/>
          <w:sz w:val="22"/>
        </w:rPr>
        <w:t> </w:t>
      </w:r>
      <w:r>
        <w:rPr>
          <w:rFonts w:ascii="Times New Roman" w:hAnsi="Times New Roman"/>
          <w:sz w:val="22"/>
        </w:rPr>
        <w:t>período</w:t>
      </w:r>
      <w:r>
        <w:rPr>
          <w:rFonts w:ascii="Times New Roman" w:hAnsi="Times New Roman"/>
          <w:spacing w:val="-5"/>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dezembro</w:t>
      </w:r>
      <w:r>
        <w:rPr>
          <w:rFonts w:ascii="Times New Roman" w:hAnsi="Times New Roman"/>
          <w:spacing w:val="-4"/>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2006</w:t>
      </w:r>
      <w:r>
        <w:rPr>
          <w:rFonts w:ascii="Times New Roman" w:hAnsi="Times New Roman"/>
          <w:spacing w:val="-5"/>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abril</w:t>
      </w:r>
      <w:r>
        <w:rPr>
          <w:rFonts w:ascii="Times New Roman" w:hAnsi="Times New Roman"/>
          <w:spacing w:val="-4"/>
          <w:sz w:val="22"/>
        </w:rPr>
        <w:t> </w:t>
      </w:r>
      <w:r>
        <w:rPr>
          <w:rFonts w:ascii="Times New Roman" w:hAnsi="Times New Roman"/>
          <w:sz w:val="22"/>
        </w:rPr>
        <w:t>de 2008, cujo valor histórico aportado soma R$ 38.195 mil. Na sentença o CAM-CCBC determinou que o aporte deveria ser corrigido monetariamente pelo IGPM, com multa de 1% a partir da data da instauração de sentença arbitral, 28 de julho de 2017, até 31 de outubro de</w:t>
      </w:r>
      <w:r>
        <w:rPr>
          <w:rFonts w:ascii="Times New Roman" w:hAnsi="Times New Roman"/>
          <w:spacing w:val="-1"/>
          <w:sz w:val="22"/>
        </w:rPr>
        <w:t> </w:t>
      </w:r>
      <w:r>
        <w:rPr>
          <w:rFonts w:ascii="Times New Roman" w:hAnsi="Times New Roman"/>
          <w:sz w:val="22"/>
        </w:rPr>
        <w:t>2019.</w:t>
      </w:r>
    </w:p>
    <w:p>
      <w:pPr>
        <w:spacing w:line="360" w:lineRule="auto" w:before="122"/>
        <w:ind w:left="139" w:right="145" w:firstLine="708"/>
        <w:jc w:val="both"/>
        <w:rPr>
          <w:rFonts w:ascii="Times New Roman" w:hAnsi="Times New Roman"/>
          <w:sz w:val="22"/>
        </w:rPr>
      </w:pPr>
      <w:r>
        <w:rPr>
          <w:rFonts w:ascii="Times New Roman" w:hAnsi="Times New Roman"/>
          <w:sz w:val="22"/>
        </w:rPr>
        <w:t>A Corumbá Concessões S.A. registrou a dívida atualizada, que no mês de novembro se aproximava dos R$ 100 milhões e, por não possuir caixa para honrar esse compromisso, convocou os acionistas para solucionarem a questão.</w:t>
      </w:r>
    </w:p>
    <w:p>
      <w:pPr>
        <w:spacing w:line="360" w:lineRule="auto" w:before="119"/>
        <w:ind w:left="139" w:right="136" w:firstLine="708"/>
        <w:jc w:val="both"/>
        <w:rPr>
          <w:rFonts w:ascii="Times New Roman" w:hAnsi="Times New Roman"/>
          <w:sz w:val="22"/>
        </w:rPr>
      </w:pPr>
      <w:r>
        <w:rPr>
          <w:rFonts w:ascii="Times New Roman" w:hAnsi="Times New Roman"/>
          <w:sz w:val="22"/>
        </w:rPr>
        <w:t>A decisão foi tomada em Assembleia Geral Extraordinária dos Acionistas da Companhia, realizada em 20 de dezembro de 2019, com o seguinte desfecho: foi deliberado pelos acionistas na AGE que o pagamento da dívida de Corumbá Concessões S.A. para com a SERVENG seria liquidado mediante aumento do capital social da Corumbá Concessões S.A., com a conversão dos créditos de AFAC´s da Serveng-Civilsan S.A. em ações preferenciais da companhia. Foi deliberado também que os AFAC’s da CEB, cujas administrações anteriores não haviam postulado a mesma</w:t>
      </w:r>
      <w:r>
        <w:rPr>
          <w:rFonts w:ascii="Times New Roman" w:hAnsi="Times New Roman"/>
          <w:spacing w:val="-7"/>
          <w:sz w:val="22"/>
        </w:rPr>
        <w:t> </w:t>
      </w:r>
      <w:r>
        <w:rPr>
          <w:rFonts w:ascii="Times New Roman" w:hAnsi="Times New Roman"/>
          <w:sz w:val="22"/>
        </w:rPr>
        <w:t>arbitragem,</w:t>
      </w:r>
      <w:r>
        <w:rPr>
          <w:rFonts w:ascii="Times New Roman" w:hAnsi="Times New Roman"/>
          <w:spacing w:val="-6"/>
          <w:sz w:val="22"/>
        </w:rPr>
        <w:t> </w:t>
      </w:r>
      <w:r>
        <w:rPr>
          <w:rFonts w:ascii="Times New Roman" w:hAnsi="Times New Roman"/>
          <w:sz w:val="22"/>
        </w:rPr>
        <w:t>foram</w:t>
      </w:r>
      <w:r>
        <w:rPr>
          <w:rFonts w:ascii="Times New Roman" w:hAnsi="Times New Roman"/>
          <w:spacing w:val="-10"/>
          <w:sz w:val="22"/>
        </w:rPr>
        <w:t> </w:t>
      </w:r>
      <w:r>
        <w:rPr>
          <w:rFonts w:ascii="Times New Roman" w:hAnsi="Times New Roman"/>
          <w:sz w:val="22"/>
        </w:rPr>
        <w:t>convertidos</w:t>
      </w:r>
      <w:r>
        <w:rPr>
          <w:rFonts w:ascii="Times New Roman" w:hAnsi="Times New Roman"/>
          <w:spacing w:val="-8"/>
          <w:sz w:val="22"/>
        </w:rPr>
        <w:t> </w:t>
      </w:r>
      <w:r>
        <w:rPr>
          <w:rFonts w:ascii="Times New Roman" w:hAnsi="Times New Roman"/>
          <w:sz w:val="22"/>
        </w:rPr>
        <w:t>em</w:t>
      </w:r>
      <w:r>
        <w:rPr>
          <w:rFonts w:ascii="Times New Roman" w:hAnsi="Times New Roman"/>
          <w:spacing w:val="-10"/>
          <w:sz w:val="22"/>
        </w:rPr>
        <w:t> </w:t>
      </w:r>
      <w:r>
        <w:rPr>
          <w:rFonts w:ascii="Times New Roman" w:hAnsi="Times New Roman"/>
          <w:sz w:val="22"/>
        </w:rPr>
        <w:t>aumento</w:t>
      </w:r>
      <w:r>
        <w:rPr>
          <w:rFonts w:ascii="Times New Roman" w:hAnsi="Times New Roman"/>
          <w:spacing w:val="-6"/>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capital,</w:t>
      </w:r>
      <w:r>
        <w:rPr>
          <w:rFonts w:ascii="Times New Roman" w:hAnsi="Times New Roman"/>
          <w:spacing w:val="-7"/>
          <w:sz w:val="22"/>
        </w:rPr>
        <w:t> </w:t>
      </w:r>
      <w:r>
        <w:rPr>
          <w:rFonts w:ascii="Times New Roman" w:hAnsi="Times New Roman"/>
          <w:sz w:val="22"/>
        </w:rPr>
        <w:t>nos</w:t>
      </w:r>
      <w:r>
        <w:rPr>
          <w:rFonts w:ascii="Times New Roman" w:hAnsi="Times New Roman"/>
          <w:spacing w:val="43"/>
          <w:sz w:val="22"/>
        </w:rPr>
        <w:t> </w:t>
      </w:r>
      <w:r>
        <w:rPr>
          <w:rFonts w:ascii="Times New Roman" w:hAnsi="Times New Roman"/>
          <w:sz w:val="22"/>
        </w:rPr>
        <w:t>mesmos</w:t>
      </w:r>
      <w:r>
        <w:rPr>
          <w:rFonts w:ascii="Times New Roman" w:hAnsi="Times New Roman"/>
          <w:spacing w:val="-5"/>
          <w:sz w:val="22"/>
        </w:rPr>
        <w:t> </w:t>
      </w:r>
      <w:r>
        <w:rPr>
          <w:rFonts w:ascii="Times New Roman" w:hAnsi="Times New Roman"/>
          <w:sz w:val="22"/>
        </w:rPr>
        <w:t>critérios</w:t>
      </w:r>
      <w:r>
        <w:rPr>
          <w:rFonts w:ascii="Times New Roman" w:hAnsi="Times New Roman"/>
          <w:spacing w:val="-6"/>
          <w:sz w:val="22"/>
        </w:rPr>
        <w:t> </w:t>
      </w:r>
      <w:r>
        <w:rPr>
          <w:rFonts w:ascii="Times New Roman" w:hAnsi="Times New Roman"/>
          <w:sz w:val="22"/>
        </w:rPr>
        <w:t>dos</w:t>
      </w:r>
      <w:r>
        <w:rPr>
          <w:rFonts w:ascii="Times New Roman" w:hAnsi="Times New Roman"/>
          <w:spacing w:val="-6"/>
          <w:sz w:val="22"/>
        </w:rPr>
        <w:t> </w:t>
      </w:r>
      <w:r>
        <w:rPr>
          <w:rFonts w:ascii="Times New Roman" w:hAnsi="Times New Roman"/>
          <w:sz w:val="22"/>
        </w:rPr>
        <w:t>AFAC’s</w:t>
      </w:r>
      <w:r>
        <w:rPr>
          <w:rFonts w:ascii="Times New Roman" w:hAnsi="Times New Roman"/>
          <w:spacing w:val="-9"/>
          <w:sz w:val="22"/>
        </w:rPr>
        <w:t> </w:t>
      </w:r>
      <w:r>
        <w:rPr>
          <w:rFonts w:ascii="Times New Roman" w:hAnsi="Times New Roman"/>
          <w:sz w:val="22"/>
        </w:rPr>
        <w:t>feitos</w:t>
      </w:r>
      <w:r>
        <w:rPr>
          <w:rFonts w:ascii="Times New Roman" w:hAnsi="Times New Roman"/>
          <w:spacing w:val="-8"/>
          <w:sz w:val="22"/>
        </w:rPr>
        <w:t> </w:t>
      </w:r>
      <w:r>
        <w:rPr>
          <w:rFonts w:ascii="Times New Roman" w:hAnsi="Times New Roman"/>
          <w:sz w:val="22"/>
        </w:rPr>
        <w:t>pela</w:t>
      </w:r>
      <w:r>
        <w:rPr>
          <w:rFonts w:ascii="Times New Roman" w:hAnsi="Times New Roman"/>
          <w:spacing w:val="-9"/>
          <w:sz w:val="22"/>
        </w:rPr>
        <w:t> </w:t>
      </w:r>
      <w:r>
        <w:rPr>
          <w:rFonts w:ascii="Times New Roman" w:hAnsi="Times New Roman"/>
          <w:sz w:val="22"/>
        </w:rPr>
        <w:t>Serveng.</w:t>
      </w:r>
      <w:r>
        <w:rPr>
          <w:rFonts w:ascii="Times New Roman" w:hAnsi="Times New Roman"/>
          <w:spacing w:val="-6"/>
          <w:sz w:val="22"/>
        </w:rPr>
        <w:t> </w:t>
      </w:r>
      <w:r>
        <w:rPr>
          <w:rFonts w:ascii="Times New Roman" w:hAnsi="Times New Roman"/>
          <w:sz w:val="22"/>
        </w:rPr>
        <w:t>Os valores de AFAC’s da Serveng e da CEB resultaram em R$ 99.593 mil e R$ 8.903 mil , respectivamente. Os valores foram</w:t>
      </w:r>
      <w:r>
        <w:rPr>
          <w:rFonts w:ascii="Times New Roman" w:hAnsi="Times New Roman"/>
          <w:spacing w:val="-15"/>
          <w:sz w:val="22"/>
        </w:rPr>
        <w:t> </w:t>
      </w:r>
      <w:r>
        <w:rPr>
          <w:rFonts w:ascii="Times New Roman" w:hAnsi="Times New Roman"/>
          <w:sz w:val="22"/>
        </w:rPr>
        <w:t>calculados</w:t>
      </w:r>
      <w:r>
        <w:rPr>
          <w:rFonts w:ascii="Times New Roman" w:hAnsi="Times New Roman"/>
          <w:spacing w:val="-11"/>
          <w:sz w:val="22"/>
        </w:rPr>
        <w:t> </w:t>
      </w:r>
      <w:r>
        <w:rPr>
          <w:rFonts w:ascii="Times New Roman" w:hAnsi="Times New Roman"/>
          <w:sz w:val="22"/>
        </w:rPr>
        <w:t>pela</w:t>
      </w:r>
      <w:r>
        <w:rPr>
          <w:rFonts w:ascii="Times New Roman" w:hAnsi="Times New Roman"/>
          <w:spacing w:val="-13"/>
          <w:sz w:val="22"/>
        </w:rPr>
        <w:t> </w:t>
      </w:r>
      <w:r>
        <w:rPr>
          <w:rFonts w:ascii="Times New Roman" w:hAnsi="Times New Roman"/>
          <w:sz w:val="22"/>
        </w:rPr>
        <w:t>Corumbá</w:t>
      </w:r>
      <w:r>
        <w:rPr>
          <w:rFonts w:ascii="Times New Roman" w:hAnsi="Times New Roman"/>
          <w:spacing w:val="-12"/>
          <w:sz w:val="22"/>
        </w:rPr>
        <w:t> </w:t>
      </w:r>
      <w:r>
        <w:rPr>
          <w:rFonts w:ascii="Times New Roman" w:hAnsi="Times New Roman"/>
          <w:sz w:val="22"/>
        </w:rPr>
        <w:t>Concessões</w:t>
      </w:r>
      <w:r>
        <w:rPr>
          <w:rFonts w:ascii="Times New Roman" w:hAnsi="Times New Roman"/>
          <w:spacing w:val="-10"/>
          <w:sz w:val="22"/>
        </w:rPr>
        <w:t> </w:t>
      </w:r>
      <w:r>
        <w:rPr>
          <w:rFonts w:ascii="Times New Roman" w:hAnsi="Times New Roman"/>
          <w:sz w:val="22"/>
        </w:rPr>
        <w:t>S.A.</w:t>
      </w:r>
      <w:r>
        <w:rPr>
          <w:rFonts w:ascii="Times New Roman" w:hAnsi="Times New Roman"/>
          <w:spacing w:val="-14"/>
          <w:sz w:val="22"/>
        </w:rPr>
        <w:t> </w:t>
      </w:r>
      <w:r>
        <w:rPr>
          <w:rFonts w:ascii="Times New Roman" w:hAnsi="Times New Roman"/>
          <w:sz w:val="22"/>
        </w:rPr>
        <w:t>e</w:t>
      </w:r>
      <w:r>
        <w:rPr>
          <w:rFonts w:ascii="Times New Roman" w:hAnsi="Times New Roman"/>
          <w:spacing w:val="-8"/>
          <w:sz w:val="22"/>
        </w:rPr>
        <w:t> </w:t>
      </w:r>
      <w:r>
        <w:rPr>
          <w:rFonts w:ascii="Times New Roman" w:hAnsi="Times New Roman"/>
          <w:sz w:val="22"/>
        </w:rPr>
        <w:t>validados</w:t>
      </w:r>
      <w:r>
        <w:rPr>
          <w:rFonts w:ascii="Times New Roman" w:hAnsi="Times New Roman"/>
          <w:spacing w:val="-13"/>
          <w:sz w:val="22"/>
        </w:rPr>
        <w:t> </w:t>
      </w:r>
      <w:r>
        <w:rPr>
          <w:rFonts w:ascii="Times New Roman" w:hAnsi="Times New Roman"/>
          <w:sz w:val="22"/>
        </w:rPr>
        <w:t>por</w:t>
      </w:r>
      <w:r>
        <w:rPr>
          <w:rFonts w:ascii="Times New Roman" w:hAnsi="Times New Roman"/>
          <w:spacing w:val="-12"/>
          <w:sz w:val="22"/>
        </w:rPr>
        <w:t> </w:t>
      </w:r>
      <w:r>
        <w:rPr>
          <w:rFonts w:ascii="Times New Roman" w:hAnsi="Times New Roman"/>
          <w:sz w:val="22"/>
        </w:rPr>
        <w:t>empresa</w:t>
      </w:r>
      <w:r>
        <w:rPr>
          <w:rFonts w:ascii="Times New Roman" w:hAnsi="Times New Roman"/>
          <w:spacing w:val="-14"/>
          <w:sz w:val="22"/>
        </w:rPr>
        <w:t> </w:t>
      </w:r>
      <w:r>
        <w:rPr>
          <w:rFonts w:ascii="Times New Roman" w:hAnsi="Times New Roman"/>
          <w:sz w:val="22"/>
        </w:rPr>
        <w:t>especializada</w:t>
      </w:r>
      <w:r>
        <w:rPr>
          <w:rFonts w:ascii="Times New Roman" w:hAnsi="Times New Roman"/>
          <w:spacing w:val="-10"/>
          <w:sz w:val="22"/>
        </w:rPr>
        <w:t> </w:t>
      </w:r>
      <w:r>
        <w:rPr>
          <w:rFonts w:ascii="Times New Roman" w:hAnsi="Times New Roman"/>
          <w:sz w:val="22"/>
        </w:rPr>
        <w:t>contratada.</w:t>
      </w:r>
      <w:r>
        <w:rPr>
          <w:rFonts w:ascii="Times New Roman" w:hAnsi="Times New Roman"/>
          <w:spacing w:val="-12"/>
          <w:sz w:val="22"/>
        </w:rPr>
        <w:t> </w:t>
      </w:r>
      <w:r>
        <w:rPr>
          <w:rFonts w:ascii="Times New Roman" w:hAnsi="Times New Roman"/>
          <w:sz w:val="22"/>
        </w:rPr>
        <w:t>Para</w:t>
      </w:r>
      <w:r>
        <w:rPr>
          <w:rFonts w:ascii="Times New Roman" w:hAnsi="Times New Roman"/>
          <w:spacing w:val="-13"/>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Serveng</w:t>
      </w:r>
      <w:r>
        <w:rPr>
          <w:rFonts w:ascii="Times New Roman" w:hAnsi="Times New Roman"/>
          <w:spacing w:val="-13"/>
          <w:sz w:val="22"/>
        </w:rPr>
        <w:t> </w:t>
      </w:r>
      <w:r>
        <w:rPr>
          <w:rFonts w:ascii="Times New Roman" w:hAnsi="Times New Roman"/>
          <w:sz w:val="22"/>
        </w:rPr>
        <w:t>foram emitidas ações da classe preferenciais, classe B e sem direitos adicionais na distribuição de dividendos, condições presentes na classe A. Como consequência dessa operação a Serveng teve sua participação acionária aumentada de 22,93% para 47,26% do Capital Social. A CEB teve sua participação acionária reduzida de 45,21% para 32,14% no Capital Social, a qual incorporou novas ações ordinárias, passando de 21,65% para 26,79% das ações Ordinárias. Já em relação às ações preferenciais, com a nova emissão de ações com aumento de capital da companhia, a CEB foi diluída, passando de 63,04% para</w:t>
      </w:r>
      <w:r>
        <w:rPr>
          <w:rFonts w:ascii="Times New Roman" w:hAnsi="Times New Roman"/>
          <w:spacing w:val="-4"/>
          <w:sz w:val="22"/>
        </w:rPr>
        <w:t> </w:t>
      </w:r>
      <w:r>
        <w:rPr>
          <w:rFonts w:ascii="Times New Roman" w:hAnsi="Times New Roman"/>
          <w:sz w:val="22"/>
        </w:rPr>
        <w:t>34,81%.</w:t>
      </w:r>
    </w:p>
    <w:p>
      <w:pPr>
        <w:spacing w:after="0" w:line="360" w:lineRule="auto"/>
        <w:jc w:val="both"/>
        <w:rPr>
          <w:rFonts w:ascii="Times New Roman" w:hAnsi="Times New Roman"/>
          <w:sz w:val="22"/>
        </w:rPr>
        <w:sectPr>
          <w:headerReference w:type="default" r:id="rId31"/>
          <w:footerReference w:type="default" r:id="rId32"/>
          <w:pgSz w:w="11920" w:h="16860"/>
          <w:pgMar w:header="0" w:footer="302" w:top="540" w:bottom="500" w:left="780" w:right="280"/>
          <w:pgNumType w:start="18"/>
        </w:sectPr>
      </w:pPr>
    </w:p>
    <w:p>
      <w:pPr>
        <w:pStyle w:val="BodyText"/>
        <w:ind w:left="516"/>
        <w:rPr>
          <w:rFonts w:ascii="Times New Roman"/>
        </w:rPr>
      </w:pPr>
      <w:r>
        <w:rPr>
          <w:rFonts w:ascii="Times New Roman"/>
        </w:rPr>
        <w:drawing>
          <wp:inline distT="0" distB="0" distL="0" distR="0">
            <wp:extent cx="989985" cy="472249"/>
            <wp:effectExtent l="0" t="0" r="0" b="0"/>
            <wp:docPr id="45" name="image2.jpeg"/>
            <wp:cNvGraphicFramePr>
              <a:graphicFrameLocks noChangeAspect="1"/>
            </wp:cNvGraphicFramePr>
            <a:graphic>
              <a:graphicData uri="http://schemas.openxmlformats.org/drawingml/2006/picture">
                <pic:pic>
                  <pic:nvPicPr>
                    <pic:cNvPr id="46"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31" w:lineRule="exact" w:before="0"/>
        <w:ind w:left="350" w:right="0" w:firstLine="0"/>
        <w:jc w:val="left"/>
        <w:rPr>
          <w:rFonts w:ascii="Times New Roman"/>
          <w:b/>
          <w:sz w:val="22"/>
        </w:rPr>
      </w:pPr>
      <w:r>
        <w:rPr>
          <w:rFonts w:ascii="Times New Roman"/>
          <w:b/>
          <w:sz w:val="22"/>
        </w:rPr>
        <w:t>Empresa Controlada em Conjunto</w:t>
      </w:r>
    </w:p>
    <w:p>
      <w:pPr>
        <w:pStyle w:val="BodyText"/>
        <w:spacing w:before="7"/>
        <w:rPr>
          <w:rFonts w:ascii="Times New Roman"/>
          <w:b/>
        </w:rPr>
      </w:pPr>
    </w:p>
    <w:p>
      <w:pPr>
        <w:spacing w:before="0"/>
        <w:ind w:left="350" w:right="0" w:firstLine="0"/>
        <w:jc w:val="left"/>
        <w:rPr>
          <w:rFonts w:ascii="Times New Roman" w:hAnsi="Times New Roman"/>
          <w:b/>
          <w:sz w:val="22"/>
        </w:rPr>
      </w:pPr>
      <w:r>
        <w:rPr>
          <w:rFonts w:ascii="Times New Roman" w:hAnsi="Times New Roman"/>
          <w:b/>
          <w:sz w:val="22"/>
        </w:rPr>
        <w:t>Energética Corumbá III S.A.</w:t>
      </w:r>
    </w:p>
    <w:p>
      <w:pPr>
        <w:pStyle w:val="BodyText"/>
        <w:rPr>
          <w:rFonts w:ascii="Times New Roman"/>
          <w:b/>
          <w:sz w:val="24"/>
        </w:rPr>
      </w:pPr>
    </w:p>
    <w:p>
      <w:pPr>
        <w:spacing w:line="360" w:lineRule="auto" w:before="196"/>
        <w:ind w:left="139" w:right="138" w:firstLine="708"/>
        <w:jc w:val="both"/>
        <w:rPr>
          <w:rFonts w:ascii="Times New Roman" w:hAnsi="Times New Roman"/>
          <w:sz w:val="22"/>
        </w:rPr>
      </w:pPr>
      <w:r>
        <w:rPr>
          <w:rFonts w:ascii="Times New Roman" w:hAnsi="Times New Roman"/>
          <w:sz w:val="22"/>
        </w:rPr>
        <w:t>A Energética Corumbá III S.A. é uma sociedade por ações de capital fechado, constituída em 25 de julho de 2001, concessionária do serviço público de energia elétrica, na condição de produtora independente. A CEB detém uma participação de 37,5% do capital social, sendo 25% das ações ordinárias e 50% das ações preferenciais.</w:t>
      </w:r>
    </w:p>
    <w:p>
      <w:pPr>
        <w:pStyle w:val="BodyText"/>
        <w:spacing w:before="2"/>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Organização Societária</w:t>
      </w:r>
    </w:p>
    <w:p>
      <w:pPr>
        <w:pStyle w:val="BodyText"/>
        <w:spacing w:before="7"/>
        <w:rPr>
          <w:rFonts w:ascii="Times New Roman"/>
          <w:b/>
          <w:sz w:val="17"/>
        </w:rPr>
      </w:pPr>
      <w:r>
        <w:rPr/>
        <w:drawing>
          <wp:anchor distT="0" distB="0" distL="0" distR="0" allowOverlap="1" layoutInCell="1" locked="0" behindDoc="0" simplePos="0" relativeHeight="27">
            <wp:simplePos x="0" y="0"/>
            <wp:positionH relativeFrom="page">
              <wp:posOffset>2032000</wp:posOffset>
            </wp:positionH>
            <wp:positionV relativeFrom="paragraph">
              <wp:posOffset>153934</wp:posOffset>
            </wp:positionV>
            <wp:extent cx="3668585" cy="2447925"/>
            <wp:effectExtent l="0" t="0" r="0" b="0"/>
            <wp:wrapTopAndBottom/>
            <wp:docPr id="47" name="image11.jpeg" descr="cid:image006.png@01D3A99B.ECCD2A10"/>
            <wp:cNvGraphicFramePr>
              <a:graphicFrameLocks noChangeAspect="1"/>
            </wp:cNvGraphicFramePr>
            <a:graphic>
              <a:graphicData uri="http://schemas.openxmlformats.org/drawingml/2006/picture">
                <pic:pic>
                  <pic:nvPicPr>
                    <pic:cNvPr id="48" name="image11.jpeg"/>
                    <pic:cNvPicPr/>
                  </pic:nvPicPr>
                  <pic:blipFill>
                    <a:blip r:embed="rId35" cstate="print"/>
                    <a:stretch>
                      <a:fillRect/>
                    </a:stretch>
                  </pic:blipFill>
                  <pic:spPr>
                    <a:xfrm>
                      <a:off x="0" y="0"/>
                      <a:ext cx="3668585" cy="2447925"/>
                    </a:xfrm>
                    <a:prstGeom prst="rect">
                      <a:avLst/>
                    </a:prstGeom>
                  </pic:spPr>
                </pic:pic>
              </a:graphicData>
            </a:graphic>
          </wp:anchor>
        </w:drawing>
      </w:r>
    </w:p>
    <w:p>
      <w:pPr>
        <w:pStyle w:val="BodyText"/>
        <w:spacing w:before="5"/>
        <w:rPr>
          <w:rFonts w:ascii="Times New Roman"/>
          <w:b/>
          <w:sz w:val="22"/>
        </w:rPr>
      </w:pPr>
    </w:p>
    <w:p>
      <w:pPr>
        <w:spacing w:before="0"/>
        <w:ind w:left="350" w:right="0" w:firstLine="0"/>
        <w:jc w:val="left"/>
        <w:rPr>
          <w:rFonts w:ascii="Times New Roman" w:hAnsi="Times New Roman"/>
          <w:b/>
          <w:sz w:val="22"/>
        </w:rPr>
      </w:pPr>
      <w:r>
        <w:rPr>
          <w:rFonts w:ascii="Times New Roman" w:hAnsi="Times New Roman"/>
          <w:b/>
          <w:sz w:val="22"/>
        </w:rPr>
        <w:t>Dados Econômico-Financeiros</w:t>
      </w:r>
    </w:p>
    <w:p>
      <w:pPr>
        <w:pStyle w:val="BodyText"/>
        <w:spacing w:before="11"/>
        <w:rPr>
          <w:rFonts w:ascii="Times New Roman"/>
          <w:b/>
        </w:rPr>
      </w:pPr>
    </w:p>
    <w:tbl>
      <w:tblPr>
        <w:tblW w:w="0" w:type="auto"/>
        <w:jc w:val="left"/>
        <w:tblInd w:w="392" w:type="dxa"/>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Layout w:type="fixed"/>
        <w:tblCellMar>
          <w:top w:w="0" w:type="dxa"/>
          <w:left w:w="0" w:type="dxa"/>
          <w:bottom w:w="0" w:type="dxa"/>
          <w:right w:w="0" w:type="dxa"/>
        </w:tblCellMar>
        <w:tblLook w:val="01E0"/>
      </w:tblPr>
      <w:tblGrid>
        <w:gridCol w:w="5084"/>
        <w:gridCol w:w="1611"/>
        <w:gridCol w:w="1615"/>
        <w:gridCol w:w="1596"/>
      </w:tblGrid>
      <w:tr>
        <w:trPr>
          <w:trHeight w:val="385" w:hRule="atLeast"/>
        </w:trPr>
        <w:tc>
          <w:tcPr>
            <w:tcW w:w="5084" w:type="dxa"/>
            <w:tcBorders>
              <w:bottom w:val="single" w:sz="18" w:space="0" w:color="DDDDDD"/>
            </w:tcBorders>
            <w:shd w:val="clear" w:color="auto" w:fill="006EC0"/>
          </w:tcPr>
          <w:p>
            <w:pPr>
              <w:pStyle w:val="TableParagraph"/>
              <w:spacing w:before="65"/>
              <w:ind w:left="2169" w:right="2127"/>
              <w:jc w:val="center"/>
              <w:rPr>
                <w:rFonts w:ascii="Times New Roman"/>
                <w:b/>
                <w:sz w:val="20"/>
              </w:rPr>
            </w:pPr>
            <w:r>
              <w:rPr>
                <w:rFonts w:ascii="Times New Roman"/>
                <w:b/>
                <w:color w:val="FFFFFF"/>
                <w:sz w:val="20"/>
              </w:rPr>
              <w:t>(R$ Mil)</w:t>
            </w:r>
          </w:p>
        </w:tc>
        <w:tc>
          <w:tcPr>
            <w:tcW w:w="1611" w:type="dxa"/>
            <w:tcBorders>
              <w:bottom w:val="single" w:sz="18" w:space="0" w:color="DDDDDD"/>
            </w:tcBorders>
            <w:shd w:val="clear" w:color="auto" w:fill="006EC0"/>
          </w:tcPr>
          <w:p>
            <w:pPr>
              <w:pStyle w:val="TableParagraph"/>
              <w:spacing w:before="65"/>
              <w:ind w:left="472" w:right="428"/>
              <w:jc w:val="center"/>
              <w:rPr>
                <w:rFonts w:ascii="Times New Roman"/>
                <w:b/>
                <w:sz w:val="20"/>
              </w:rPr>
            </w:pPr>
            <w:r>
              <w:rPr>
                <w:rFonts w:ascii="Times New Roman"/>
                <w:b/>
                <w:color w:val="FFFFFF"/>
                <w:sz w:val="20"/>
              </w:rPr>
              <w:t>2019</w:t>
            </w:r>
          </w:p>
        </w:tc>
        <w:tc>
          <w:tcPr>
            <w:tcW w:w="1615" w:type="dxa"/>
            <w:tcBorders>
              <w:bottom w:val="single" w:sz="18" w:space="0" w:color="DDDDDD"/>
            </w:tcBorders>
            <w:shd w:val="clear" w:color="auto" w:fill="006EC0"/>
          </w:tcPr>
          <w:p>
            <w:pPr>
              <w:pStyle w:val="TableParagraph"/>
              <w:spacing w:before="65"/>
              <w:ind w:left="472" w:right="428"/>
              <w:jc w:val="center"/>
              <w:rPr>
                <w:rFonts w:ascii="Times New Roman"/>
                <w:b/>
                <w:sz w:val="20"/>
              </w:rPr>
            </w:pPr>
            <w:r>
              <w:rPr>
                <w:rFonts w:ascii="Times New Roman"/>
                <w:b/>
                <w:color w:val="FFFFFF"/>
                <w:sz w:val="20"/>
              </w:rPr>
              <w:t>2018</w:t>
            </w:r>
          </w:p>
        </w:tc>
        <w:tc>
          <w:tcPr>
            <w:tcW w:w="1596" w:type="dxa"/>
            <w:tcBorders>
              <w:bottom w:val="single" w:sz="18" w:space="0" w:color="DDDDDD"/>
            </w:tcBorders>
            <w:shd w:val="clear" w:color="auto" w:fill="006EC0"/>
          </w:tcPr>
          <w:p>
            <w:pPr>
              <w:pStyle w:val="TableParagraph"/>
              <w:spacing w:before="77"/>
              <w:ind w:left="269" w:right="236"/>
              <w:jc w:val="center"/>
              <w:rPr>
                <w:rFonts w:ascii="Times New Roman" w:hAnsi="Times New Roman"/>
                <w:b/>
                <w:sz w:val="20"/>
              </w:rPr>
            </w:pPr>
            <w:r>
              <w:rPr>
                <w:rFonts w:ascii="Times New Roman" w:hAnsi="Times New Roman"/>
                <w:b/>
                <w:color w:val="FFFFFF"/>
                <w:sz w:val="20"/>
              </w:rPr>
              <w:t>Δ 2019/2018</w:t>
            </w:r>
          </w:p>
        </w:tc>
      </w:tr>
      <w:tr>
        <w:trPr>
          <w:trHeight w:val="253" w:hRule="atLeast"/>
        </w:trPr>
        <w:tc>
          <w:tcPr>
            <w:tcW w:w="5084" w:type="dxa"/>
            <w:tcBorders>
              <w:top w:val="single" w:sz="18" w:space="0" w:color="DDDDDD"/>
            </w:tcBorders>
            <w:shd w:val="clear" w:color="auto" w:fill="F6F6F6"/>
          </w:tcPr>
          <w:p>
            <w:pPr>
              <w:pStyle w:val="TableParagraph"/>
              <w:spacing w:line="225" w:lineRule="exact"/>
              <w:ind w:left="119"/>
              <w:rPr>
                <w:rFonts w:ascii="Times New Roman"/>
                <w:b/>
                <w:sz w:val="20"/>
              </w:rPr>
            </w:pPr>
            <w:r>
              <w:rPr>
                <w:rFonts w:ascii="Times New Roman"/>
                <w:b/>
                <w:sz w:val="20"/>
              </w:rPr>
              <w:t>Receita Operacional Bruta</w:t>
            </w:r>
          </w:p>
        </w:tc>
        <w:tc>
          <w:tcPr>
            <w:tcW w:w="1611" w:type="dxa"/>
            <w:tcBorders>
              <w:top w:val="single" w:sz="18" w:space="0" w:color="DDDDDD"/>
            </w:tcBorders>
            <w:shd w:val="clear" w:color="auto" w:fill="F6F6F6"/>
          </w:tcPr>
          <w:p>
            <w:pPr>
              <w:pStyle w:val="TableParagraph"/>
              <w:spacing w:line="229" w:lineRule="exact" w:before="4"/>
              <w:ind w:left="472" w:right="429"/>
              <w:jc w:val="center"/>
              <w:rPr>
                <w:rFonts w:ascii="Times New Roman"/>
                <w:b/>
                <w:sz w:val="20"/>
              </w:rPr>
            </w:pPr>
            <w:r>
              <w:rPr>
                <w:rFonts w:ascii="Times New Roman"/>
                <w:b/>
                <w:sz w:val="20"/>
              </w:rPr>
              <w:t>50.450</w:t>
            </w:r>
          </w:p>
        </w:tc>
        <w:tc>
          <w:tcPr>
            <w:tcW w:w="1615" w:type="dxa"/>
            <w:tcBorders>
              <w:top w:val="single" w:sz="18" w:space="0" w:color="DDDDDD"/>
            </w:tcBorders>
            <w:shd w:val="clear" w:color="auto" w:fill="F6F6F6"/>
          </w:tcPr>
          <w:p>
            <w:pPr>
              <w:pStyle w:val="TableParagraph"/>
              <w:spacing w:line="229" w:lineRule="exact" w:before="4"/>
              <w:ind w:left="472" w:right="428"/>
              <w:jc w:val="center"/>
              <w:rPr>
                <w:rFonts w:ascii="Times New Roman"/>
                <w:b/>
                <w:sz w:val="20"/>
              </w:rPr>
            </w:pPr>
            <w:r>
              <w:rPr>
                <w:rFonts w:ascii="Times New Roman"/>
                <w:b/>
                <w:sz w:val="20"/>
              </w:rPr>
              <w:t>47.659</w:t>
            </w:r>
          </w:p>
        </w:tc>
        <w:tc>
          <w:tcPr>
            <w:tcW w:w="1596" w:type="dxa"/>
            <w:tcBorders>
              <w:top w:val="single" w:sz="18" w:space="0" w:color="DDDDDD"/>
            </w:tcBorders>
            <w:shd w:val="clear" w:color="auto" w:fill="F6F6F6"/>
          </w:tcPr>
          <w:p>
            <w:pPr>
              <w:pStyle w:val="TableParagraph"/>
              <w:spacing w:line="210" w:lineRule="exact" w:before="23"/>
              <w:ind w:left="269" w:right="229"/>
              <w:jc w:val="center"/>
              <w:rPr>
                <w:rFonts w:ascii="Times New Roman"/>
                <w:b/>
                <w:sz w:val="20"/>
              </w:rPr>
            </w:pPr>
            <w:r>
              <w:rPr>
                <w:rFonts w:ascii="Times New Roman"/>
                <w:b/>
                <w:sz w:val="20"/>
              </w:rPr>
              <w:t>5,86%</w:t>
            </w:r>
          </w:p>
        </w:tc>
      </w:tr>
      <w:tr>
        <w:trPr>
          <w:trHeight w:val="253" w:hRule="atLeast"/>
        </w:trPr>
        <w:tc>
          <w:tcPr>
            <w:tcW w:w="5084" w:type="dxa"/>
          </w:tcPr>
          <w:p>
            <w:pPr>
              <w:pStyle w:val="TableParagraph"/>
              <w:spacing w:line="225" w:lineRule="exact"/>
              <w:ind w:left="119"/>
              <w:rPr>
                <w:rFonts w:ascii="Times New Roman" w:hAnsi="Times New Roman"/>
                <w:b/>
                <w:sz w:val="20"/>
              </w:rPr>
            </w:pPr>
            <w:r>
              <w:rPr>
                <w:rFonts w:ascii="Times New Roman" w:hAnsi="Times New Roman"/>
                <w:b/>
                <w:sz w:val="20"/>
              </w:rPr>
              <w:t>Receita Operacional Líquida</w:t>
            </w:r>
          </w:p>
        </w:tc>
        <w:tc>
          <w:tcPr>
            <w:tcW w:w="1611" w:type="dxa"/>
          </w:tcPr>
          <w:p>
            <w:pPr>
              <w:pStyle w:val="TableParagraph"/>
              <w:spacing w:line="229" w:lineRule="exact" w:before="5"/>
              <w:ind w:left="472" w:right="429"/>
              <w:jc w:val="center"/>
              <w:rPr>
                <w:rFonts w:ascii="Times New Roman"/>
                <w:b/>
                <w:sz w:val="20"/>
              </w:rPr>
            </w:pPr>
            <w:r>
              <w:rPr>
                <w:rFonts w:ascii="Times New Roman"/>
                <w:b/>
                <w:sz w:val="20"/>
              </w:rPr>
              <w:t>47.562</w:t>
            </w:r>
          </w:p>
        </w:tc>
        <w:tc>
          <w:tcPr>
            <w:tcW w:w="1615" w:type="dxa"/>
          </w:tcPr>
          <w:p>
            <w:pPr>
              <w:pStyle w:val="TableParagraph"/>
              <w:spacing w:line="229" w:lineRule="exact" w:before="5"/>
              <w:ind w:left="472" w:right="428"/>
              <w:jc w:val="center"/>
              <w:rPr>
                <w:rFonts w:ascii="Times New Roman"/>
                <w:b/>
                <w:sz w:val="20"/>
              </w:rPr>
            </w:pPr>
            <w:r>
              <w:rPr>
                <w:rFonts w:ascii="Times New Roman"/>
                <w:b/>
                <w:sz w:val="20"/>
              </w:rPr>
              <w:t>44.830</w:t>
            </w:r>
          </w:p>
        </w:tc>
        <w:tc>
          <w:tcPr>
            <w:tcW w:w="1596" w:type="dxa"/>
          </w:tcPr>
          <w:p>
            <w:pPr>
              <w:pStyle w:val="TableParagraph"/>
              <w:spacing w:line="210" w:lineRule="exact" w:before="24"/>
              <w:ind w:left="269" w:right="229"/>
              <w:jc w:val="center"/>
              <w:rPr>
                <w:rFonts w:ascii="Times New Roman"/>
                <w:b/>
                <w:sz w:val="20"/>
              </w:rPr>
            </w:pPr>
            <w:r>
              <w:rPr>
                <w:rFonts w:ascii="Times New Roman"/>
                <w:b/>
                <w:sz w:val="20"/>
              </w:rPr>
              <w:t>6,09%</w:t>
            </w:r>
          </w:p>
        </w:tc>
      </w:tr>
      <w:tr>
        <w:trPr>
          <w:trHeight w:val="251" w:hRule="atLeast"/>
        </w:trPr>
        <w:tc>
          <w:tcPr>
            <w:tcW w:w="5084" w:type="dxa"/>
            <w:shd w:val="clear" w:color="auto" w:fill="F6F6F6"/>
          </w:tcPr>
          <w:p>
            <w:pPr>
              <w:pStyle w:val="TableParagraph"/>
              <w:spacing w:line="225" w:lineRule="exact"/>
              <w:ind w:left="119"/>
              <w:rPr>
                <w:rFonts w:ascii="Times New Roman" w:hAnsi="Times New Roman"/>
                <w:b/>
                <w:sz w:val="20"/>
              </w:rPr>
            </w:pPr>
            <w:r>
              <w:rPr>
                <w:rFonts w:ascii="Times New Roman" w:hAnsi="Times New Roman"/>
                <w:b/>
                <w:sz w:val="20"/>
              </w:rPr>
              <w:t>Resultado Operacional Líquido Antes dos Tributos</w:t>
            </w:r>
          </w:p>
        </w:tc>
        <w:tc>
          <w:tcPr>
            <w:tcW w:w="1611" w:type="dxa"/>
            <w:shd w:val="clear" w:color="auto" w:fill="F6F6F6"/>
          </w:tcPr>
          <w:p>
            <w:pPr>
              <w:pStyle w:val="TableParagraph"/>
              <w:ind w:left="472" w:right="429"/>
              <w:jc w:val="center"/>
              <w:rPr>
                <w:rFonts w:ascii="Times New Roman"/>
                <w:b/>
                <w:sz w:val="20"/>
              </w:rPr>
            </w:pPr>
            <w:r>
              <w:rPr>
                <w:rFonts w:ascii="Times New Roman"/>
                <w:b/>
                <w:sz w:val="20"/>
              </w:rPr>
              <w:t>21.979</w:t>
            </w:r>
          </w:p>
        </w:tc>
        <w:tc>
          <w:tcPr>
            <w:tcW w:w="1615" w:type="dxa"/>
            <w:shd w:val="clear" w:color="auto" w:fill="F6F6F6"/>
          </w:tcPr>
          <w:p>
            <w:pPr>
              <w:pStyle w:val="TableParagraph"/>
              <w:ind w:left="472" w:right="428"/>
              <w:jc w:val="center"/>
              <w:rPr>
                <w:rFonts w:ascii="Times New Roman"/>
                <w:b/>
                <w:sz w:val="20"/>
              </w:rPr>
            </w:pPr>
            <w:r>
              <w:rPr>
                <w:rFonts w:ascii="Times New Roman"/>
                <w:b/>
                <w:sz w:val="20"/>
              </w:rPr>
              <w:t>15.694</w:t>
            </w:r>
          </w:p>
        </w:tc>
        <w:tc>
          <w:tcPr>
            <w:tcW w:w="1596" w:type="dxa"/>
            <w:shd w:val="clear" w:color="auto" w:fill="F6F6F6"/>
          </w:tcPr>
          <w:p>
            <w:pPr>
              <w:pStyle w:val="TableParagraph"/>
              <w:spacing w:line="210" w:lineRule="exact" w:before="21"/>
              <w:ind w:left="269" w:right="229"/>
              <w:jc w:val="center"/>
              <w:rPr>
                <w:rFonts w:ascii="Times New Roman"/>
                <w:b/>
                <w:sz w:val="20"/>
              </w:rPr>
            </w:pPr>
            <w:r>
              <w:rPr>
                <w:rFonts w:ascii="Times New Roman"/>
                <w:b/>
                <w:sz w:val="20"/>
              </w:rPr>
              <w:t>40,05%</w:t>
            </w:r>
          </w:p>
        </w:tc>
      </w:tr>
      <w:tr>
        <w:trPr>
          <w:trHeight w:val="251" w:hRule="atLeast"/>
        </w:trPr>
        <w:tc>
          <w:tcPr>
            <w:tcW w:w="5084" w:type="dxa"/>
          </w:tcPr>
          <w:p>
            <w:pPr>
              <w:pStyle w:val="TableParagraph"/>
              <w:ind w:left="119"/>
              <w:rPr>
                <w:rFonts w:ascii="Times New Roman"/>
                <w:b/>
                <w:sz w:val="20"/>
              </w:rPr>
            </w:pPr>
            <w:r>
              <w:rPr>
                <w:rFonts w:ascii="Times New Roman"/>
                <w:b/>
                <w:sz w:val="20"/>
              </w:rPr>
              <w:t>EBITDA (LAJIDA)</w:t>
            </w:r>
          </w:p>
        </w:tc>
        <w:tc>
          <w:tcPr>
            <w:tcW w:w="1611" w:type="dxa"/>
          </w:tcPr>
          <w:p>
            <w:pPr>
              <w:pStyle w:val="TableParagraph"/>
              <w:spacing w:line="226" w:lineRule="exact" w:before="5"/>
              <w:ind w:left="472" w:right="429"/>
              <w:jc w:val="center"/>
              <w:rPr>
                <w:rFonts w:ascii="Times New Roman"/>
                <w:b/>
                <w:sz w:val="20"/>
              </w:rPr>
            </w:pPr>
            <w:r>
              <w:rPr>
                <w:rFonts w:ascii="Times New Roman"/>
                <w:b/>
                <w:sz w:val="20"/>
              </w:rPr>
              <w:t>25.526</w:t>
            </w:r>
          </w:p>
        </w:tc>
        <w:tc>
          <w:tcPr>
            <w:tcW w:w="1615" w:type="dxa"/>
          </w:tcPr>
          <w:p>
            <w:pPr>
              <w:pStyle w:val="TableParagraph"/>
              <w:spacing w:line="226" w:lineRule="exact" w:before="5"/>
              <w:ind w:left="472" w:right="428"/>
              <w:jc w:val="center"/>
              <w:rPr>
                <w:rFonts w:ascii="Times New Roman"/>
                <w:b/>
                <w:sz w:val="20"/>
              </w:rPr>
            </w:pPr>
            <w:r>
              <w:rPr>
                <w:rFonts w:ascii="Times New Roman"/>
                <w:b/>
                <w:sz w:val="20"/>
              </w:rPr>
              <w:t>25.054</w:t>
            </w:r>
          </w:p>
        </w:tc>
        <w:tc>
          <w:tcPr>
            <w:tcW w:w="1596" w:type="dxa"/>
          </w:tcPr>
          <w:p>
            <w:pPr>
              <w:pStyle w:val="TableParagraph"/>
              <w:spacing w:line="210" w:lineRule="exact" w:before="21"/>
              <w:ind w:left="269" w:right="229"/>
              <w:jc w:val="center"/>
              <w:rPr>
                <w:rFonts w:ascii="Times New Roman"/>
                <w:b/>
                <w:sz w:val="20"/>
              </w:rPr>
            </w:pPr>
            <w:r>
              <w:rPr>
                <w:rFonts w:ascii="Times New Roman"/>
                <w:b/>
                <w:sz w:val="20"/>
              </w:rPr>
              <w:t>1,88%</w:t>
            </w:r>
          </w:p>
        </w:tc>
      </w:tr>
      <w:tr>
        <w:trPr>
          <w:trHeight w:val="253" w:hRule="atLeast"/>
        </w:trPr>
        <w:tc>
          <w:tcPr>
            <w:tcW w:w="5084" w:type="dxa"/>
            <w:shd w:val="clear" w:color="auto" w:fill="F6F6F6"/>
          </w:tcPr>
          <w:p>
            <w:pPr>
              <w:pStyle w:val="TableParagraph"/>
              <w:spacing w:line="228" w:lineRule="exact"/>
              <w:ind w:left="119"/>
              <w:rPr>
                <w:rFonts w:ascii="Times New Roman" w:hAnsi="Times New Roman"/>
                <w:b/>
                <w:sz w:val="20"/>
              </w:rPr>
            </w:pPr>
            <w:r>
              <w:rPr>
                <w:rFonts w:ascii="Times New Roman" w:hAnsi="Times New Roman"/>
                <w:b/>
                <w:sz w:val="20"/>
              </w:rPr>
              <w:t>Lucro Líquido (Prejuízo)</w:t>
            </w:r>
          </w:p>
        </w:tc>
        <w:tc>
          <w:tcPr>
            <w:tcW w:w="1611" w:type="dxa"/>
            <w:shd w:val="clear" w:color="auto" w:fill="F6F6F6"/>
          </w:tcPr>
          <w:p>
            <w:pPr>
              <w:pStyle w:val="TableParagraph"/>
              <w:spacing w:line="229" w:lineRule="exact" w:before="5"/>
              <w:ind w:left="472" w:right="429"/>
              <w:jc w:val="center"/>
              <w:rPr>
                <w:rFonts w:ascii="Times New Roman"/>
                <w:b/>
                <w:sz w:val="20"/>
              </w:rPr>
            </w:pPr>
            <w:r>
              <w:rPr>
                <w:rFonts w:ascii="Times New Roman"/>
                <w:b/>
                <w:sz w:val="20"/>
              </w:rPr>
              <w:t>20.246</w:t>
            </w:r>
          </w:p>
        </w:tc>
        <w:tc>
          <w:tcPr>
            <w:tcW w:w="1615" w:type="dxa"/>
            <w:shd w:val="clear" w:color="auto" w:fill="F6F6F6"/>
          </w:tcPr>
          <w:p>
            <w:pPr>
              <w:pStyle w:val="TableParagraph"/>
              <w:spacing w:line="229" w:lineRule="exact" w:before="5"/>
              <w:ind w:left="472" w:right="428"/>
              <w:jc w:val="center"/>
              <w:rPr>
                <w:rFonts w:ascii="Times New Roman"/>
                <w:b/>
                <w:sz w:val="20"/>
              </w:rPr>
            </w:pPr>
            <w:r>
              <w:rPr>
                <w:rFonts w:ascii="Times New Roman"/>
                <w:b/>
                <w:sz w:val="20"/>
              </w:rPr>
              <w:t>14.129</w:t>
            </w:r>
          </w:p>
        </w:tc>
        <w:tc>
          <w:tcPr>
            <w:tcW w:w="1596" w:type="dxa"/>
            <w:shd w:val="clear" w:color="auto" w:fill="F6F6F6"/>
          </w:tcPr>
          <w:p>
            <w:pPr>
              <w:pStyle w:val="TableParagraph"/>
              <w:spacing w:line="210" w:lineRule="exact" w:before="24"/>
              <w:ind w:left="269" w:right="229"/>
              <w:jc w:val="center"/>
              <w:rPr>
                <w:rFonts w:ascii="Times New Roman"/>
                <w:b/>
                <w:sz w:val="20"/>
              </w:rPr>
            </w:pPr>
            <w:r>
              <w:rPr>
                <w:rFonts w:ascii="Times New Roman"/>
                <w:b/>
                <w:sz w:val="20"/>
              </w:rPr>
              <w:t>43,29%</w:t>
            </w:r>
          </w:p>
        </w:tc>
      </w:tr>
      <w:tr>
        <w:trPr>
          <w:trHeight w:val="253" w:hRule="atLeast"/>
        </w:trPr>
        <w:tc>
          <w:tcPr>
            <w:tcW w:w="5084" w:type="dxa"/>
          </w:tcPr>
          <w:p>
            <w:pPr>
              <w:pStyle w:val="TableParagraph"/>
              <w:spacing w:line="228" w:lineRule="exact"/>
              <w:ind w:left="119"/>
              <w:rPr>
                <w:rFonts w:ascii="Times New Roman" w:hAnsi="Times New Roman"/>
                <w:b/>
                <w:sz w:val="20"/>
              </w:rPr>
            </w:pPr>
            <w:r>
              <w:rPr>
                <w:rFonts w:ascii="Times New Roman" w:hAnsi="Times New Roman"/>
                <w:b/>
                <w:sz w:val="20"/>
              </w:rPr>
              <w:t>Patrimônio Líquido</w:t>
            </w:r>
          </w:p>
        </w:tc>
        <w:tc>
          <w:tcPr>
            <w:tcW w:w="1611" w:type="dxa"/>
          </w:tcPr>
          <w:p>
            <w:pPr>
              <w:pStyle w:val="TableParagraph"/>
              <w:spacing w:line="229" w:lineRule="exact" w:before="5"/>
              <w:ind w:left="472" w:right="429"/>
              <w:jc w:val="center"/>
              <w:rPr>
                <w:rFonts w:ascii="Times New Roman"/>
                <w:b/>
                <w:sz w:val="20"/>
              </w:rPr>
            </w:pPr>
            <w:r>
              <w:rPr>
                <w:rFonts w:ascii="Times New Roman"/>
                <w:b/>
                <w:sz w:val="20"/>
              </w:rPr>
              <w:t>173.478</w:t>
            </w:r>
          </w:p>
        </w:tc>
        <w:tc>
          <w:tcPr>
            <w:tcW w:w="1615" w:type="dxa"/>
          </w:tcPr>
          <w:p>
            <w:pPr>
              <w:pStyle w:val="TableParagraph"/>
              <w:spacing w:line="229" w:lineRule="exact" w:before="5"/>
              <w:ind w:left="472" w:right="433"/>
              <w:jc w:val="center"/>
              <w:rPr>
                <w:rFonts w:ascii="Times New Roman"/>
                <w:b/>
                <w:sz w:val="20"/>
              </w:rPr>
            </w:pPr>
            <w:r>
              <w:rPr>
                <w:rFonts w:ascii="Times New Roman"/>
                <w:b/>
                <w:sz w:val="20"/>
              </w:rPr>
              <w:t>167.479</w:t>
            </w:r>
          </w:p>
        </w:tc>
        <w:tc>
          <w:tcPr>
            <w:tcW w:w="1596" w:type="dxa"/>
          </w:tcPr>
          <w:p>
            <w:pPr>
              <w:pStyle w:val="TableParagraph"/>
              <w:spacing w:line="210" w:lineRule="exact" w:before="24"/>
              <w:ind w:left="269" w:right="229"/>
              <w:jc w:val="center"/>
              <w:rPr>
                <w:rFonts w:ascii="Times New Roman"/>
                <w:b/>
                <w:sz w:val="20"/>
              </w:rPr>
            </w:pPr>
            <w:r>
              <w:rPr>
                <w:rFonts w:ascii="Times New Roman"/>
                <w:b/>
                <w:sz w:val="20"/>
              </w:rPr>
              <w:t>3,58%</w:t>
            </w:r>
          </w:p>
        </w:tc>
      </w:tr>
    </w:tbl>
    <w:p>
      <w:pPr>
        <w:spacing w:before="35"/>
        <w:ind w:left="350" w:right="0" w:firstLine="0"/>
        <w:jc w:val="left"/>
        <w:rPr>
          <w:rFonts w:ascii="Times New Roman" w:hAnsi="Times New Roman"/>
          <w:b/>
          <w:sz w:val="16"/>
        </w:rPr>
      </w:pPr>
      <w:r>
        <w:rPr>
          <w:rFonts w:ascii="Times New Roman" w:hAnsi="Times New Roman"/>
          <w:b/>
          <w:sz w:val="16"/>
        </w:rPr>
        <w:t>Fonte: Demonstrações Contábeis da Energética Corumbá III S.A.</w:t>
      </w:r>
    </w:p>
    <w:p>
      <w:pPr>
        <w:pStyle w:val="BodyText"/>
        <w:spacing w:before="8"/>
        <w:rPr>
          <w:rFonts w:ascii="Times New Roman"/>
          <w:b/>
        </w:rPr>
      </w:pPr>
    </w:p>
    <w:p>
      <w:pPr>
        <w:spacing w:line="360" w:lineRule="auto" w:before="0"/>
        <w:ind w:left="139" w:right="137" w:firstLine="708"/>
        <w:jc w:val="both"/>
        <w:rPr>
          <w:rFonts w:ascii="Times New Roman" w:hAnsi="Times New Roman"/>
          <w:sz w:val="22"/>
        </w:rPr>
      </w:pPr>
      <w:r>
        <w:rPr>
          <w:rFonts w:ascii="Times New Roman" w:hAnsi="Times New Roman"/>
          <w:sz w:val="22"/>
        </w:rPr>
        <w:t>Ano a ano, os resultados da Energética Corumbá III S.A. têm sido positivos e crescentes, à medida em que se amortiza o montante do financiamento captado para a construção da Usina Corumbá III. Em 2019, por exemplo, observou-se um incremento de 43,29% no Lucro Líquido, quando comparado ao de 2018.</w:t>
      </w:r>
    </w:p>
    <w:p>
      <w:pPr>
        <w:pStyle w:val="BodyText"/>
        <w:spacing w:before="9"/>
        <w:rPr>
          <w:rFonts w:ascii="Times New Roman"/>
        </w:rPr>
      </w:pPr>
    </w:p>
    <w:p>
      <w:pPr>
        <w:spacing w:line="360" w:lineRule="auto" w:before="1"/>
        <w:ind w:left="139" w:right="136" w:firstLine="708"/>
        <w:jc w:val="both"/>
        <w:rPr>
          <w:rFonts w:ascii="Times New Roman" w:hAnsi="Times New Roman"/>
          <w:sz w:val="22"/>
        </w:rPr>
      </w:pPr>
      <w:r>
        <w:rPr>
          <w:rFonts w:ascii="Times New Roman" w:hAnsi="Times New Roman"/>
          <w:sz w:val="22"/>
        </w:rPr>
        <w:t>Fato relevante a ser destacado foi a formalização do Acordo Global concluído em 2016, envolvendo diversas empresas, incluindo aquelas acionistas da Energética Corumbá III S.A., e participantes dos Consórcios Empreendedor Corumbá III e Construtor Corumbá III.</w:t>
      </w:r>
    </w:p>
    <w:p>
      <w:pPr>
        <w:pStyle w:val="BodyText"/>
        <w:spacing w:before="9"/>
        <w:rPr>
          <w:rFonts w:ascii="Times New Roman"/>
        </w:rPr>
      </w:pPr>
    </w:p>
    <w:p>
      <w:pPr>
        <w:spacing w:line="360" w:lineRule="auto" w:before="0"/>
        <w:ind w:left="139" w:right="137" w:firstLine="708"/>
        <w:jc w:val="both"/>
        <w:rPr>
          <w:rFonts w:ascii="Times New Roman" w:hAnsi="Times New Roman"/>
          <w:sz w:val="22"/>
        </w:rPr>
      </w:pPr>
      <w:r>
        <w:rPr>
          <w:rFonts w:ascii="Times New Roman" w:hAnsi="Times New Roman"/>
          <w:sz w:val="22"/>
        </w:rPr>
        <w:t>Em 2017, o mencionado Acordo resultou nas eliminações de diversas demandas tratadas em ambiente arbitral e jurídico, remanescentes de reivindicações (claims) oriundas da época da construção da usina. Tais eliminações significaram</w:t>
      </w:r>
      <w:r>
        <w:rPr>
          <w:rFonts w:ascii="Times New Roman" w:hAnsi="Times New Roman"/>
          <w:spacing w:val="-12"/>
          <w:sz w:val="22"/>
        </w:rPr>
        <w:t> </w:t>
      </w:r>
      <w:r>
        <w:rPr>
          <w:rFonts w:ascii="Times New Roman" w:hAnsi="Times New Roman"/>
          <w:sz w:val="22"/>
        </w:rPr>
        <w:t>desistências</w:t>
      </w:r>
      <w:r>
        <w:rPr>
          <w:rFonts w:ascii="Times New Roman" w:hAnsi="Times New Roman"/>
          <w:spacing w:val="-8"/>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quitações</w:t>
      </w:r>
      <w:r>
        <w:rPr>
          <w:rFonts w:ascii="Times New Roman" w:hAnsi="Times New Roman"/>
          <w:spacing w:val="-9"/>
          <w:sz w:val="22"/>
        </w:rPr>
        <w:t> </w:t>
      </w:r>
      <w:r>
        <w:rPr>
          <w:rFonts w:ascii="Times New Roman" w:hAnsi="Times New Roman"/>
          <w:sz w:val="22"/>
        </w:rPr>
        <w:t>de</w:t>
      </w:r>
      <w:r>
        <w:rPr>
          <w:rFonts w:ascii="Times New Roman" w:hAnsi="Times New Roman"/>
          <w:spacing w:val="-10"/>
          <w:sz w:val="22"/>
        </w:rPr>
        <w:t> </w:t>
      </w:r>
      <w:r>
        <w:rPr>
          <w:rFonts w:ascii="Times New Roman" w:hAnsi="Times New Roman"/>
          <w:sz w:val="22"/>
        </w:rPr>
        <w:t>eventuais</w:t>
      </w:r>
      <w:r>
        <w:rPr>
          <w:rFonts w:ascii="Times New Roman" w:hAnsi="Times New Roman"/>
          <w:spacing w:val="-9"/>
          <w:sz w:val="22"/>
        </w:rPr>
        <w:t> </w:t>
      </w:r>
      <w:r>
        <w:rPr>
          <w:rFonts w:ascii="Times New Roman" w:hAnsi="Times New Roman"/>
          <w:sz w:val="22"/>
        </w:rPr>
        <w:t>obrigações</w:t>
      </w:r>
      <w:r>
        <w:rPr>
          <w:rFonts w:ascii="Times New Roman" w:hAnsi="Times New Roman"/>
          <w:spacing w:val="-8"/>
          <w:sz w:val="22"/>
        </w:rPr>
        <w:t> </w:t>
      </w:r>
      <w:r>
        <w:rPr>
          <w:rFonts w:ascii="Times New Roman" w:hAnsi="Times New Roman"/>
          <w:sz w:val="22"/>
        </w:rPr>
        <w:t>recíprocas,</w:t>
      </w:r>
      <w:r>
        <w:rPr>
          <w:rFonts w:ascii="Times New Roman" w:hAnsi="Times New Roman"/>
          <w:spacing w:val="-9"/>
          <w:sz w:val="22"/>
        </w:rPr>
        <w:t> </w:t>
      </w:r>
      <w:r>
        <w:rPr>
          <w:rFonts w:ascii="Times New Roman" w:hAnsi="Times New Roman"/>
          <w:sz w:val="22"/>
        </w:rPr>
        <w:t>pendentes</w:t>
      </w:r>
      <w:r>
        <w:rPr>
          <w:rFonts w:ascii="Times New Roman" w:hAnsi="Times New Roman"/>
          <w:spacing w:val="-8"/>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julgamentos,</w:t>
      </w:r>
      <w:r>
        <w:rPr>
          <w:rFonts w:ascii="Times New Roman" w:hAnsi="Times New Roman"/>
          <w:spacing w:val="-8"/>
          <w:sz w:val="22"/>
        </w:rPr>
        <w:t> </w:t>
      </w:r>
      <w:r>
        <w:rPr>
          <w:rFonts w:ascii="Times New Roman" w:hAnsi="Times New Roman"/>
          <w:sz w:val="22"/>
        </w:rPr>
        <w:t>que</w:t>
      </w:r>
      <w:r>
        <w:rPr>
          <w:rFonts w:ascii="Times New Roman" w:hAnsi="Times New Roman"/>
          <w:spacing w:val="-11"/>
          <w:sz w:val="22"/>
        </w:rPr>
        <w:t> </w:t>
      </w:r>
      <w:r>
        <w:rPr>
          <w:rFonts w:ascii="Times New Roman" w:hAnsi="Times New Roman"/>
          <w:sz w:val="22"/>
        </w:rPr>
        <w:t>agregaram</w:t>
      </w:r>
      <w:r>
        <w:rPr>
          <w:rFonts w:ascii="Times New Roman" w:hAnsi="Times New Roman"/>
          <w:spacing w:val="-12"/>
          <w:sz w:val="22"/>
        </w:rPr>
        <w:t> </w:t>
      </w:r>
      <w:r>
        <w:rPr>
          <w:rFonts w:ascii="Times New Roman" w:hAnsi="Times New Roman"/>
          <w:sz w:val="22"/>
        </w:rPr>
        <w:t>valor ao negócio, uma vez que deixaram de existir expectativas futuras de provisões no passivo da Energética Corumbá III S.A..</w:t>
      </w:r>
    </w:p>
    <w:p>
      <w:pPr>
        <w:spacing w:after="0" w:line="360" w:lineRule="auto"/>
        <w:jc w:val="both"/>
        <w:rPr>
          <w:rFonts w:ascii="Times New Roman" w:hAnsi="Times New Roman"/>
          <w:sz w:val="22"/>
        </w:rPr>
        <w:sectPr>
          <w:headerReference w:type="default" r:id="rId33"/>
          <w:footerReference w:type="default" r:id="rId34"/>
          <w:pgSz w:w="11920" w:h="16860"/>
          <w:pgMar w:header="0" w:footer="302" w:top="540" w:bottom="500" w:left="780" w:right="280"/>
          <w:pgNumType w:start="19"/>
        </w:sectPr>
      </w:pPr>
    </w:p>
    <w:p>
      <w:pPr>
        <w:pStyle w:val="BodyText"/>
        <w:rPr>
          <w:rFonts w:ascii="Times New Roman"/>
        </w:rPr>
      </w:pPr>
    </w:p>
    <w:p>
      <w:pPr>
        <w:pStyle w:val="BodyText"/>
        <w:spacing w:before="5"/>
        <w:rPr>
          <w:rFonts w:ascii="Times New Roman"/>
          <w:sz w:val="24"/>
        </w:rPr>
      </w:pPr>
    </w:p>
    <w:p>
      <w:pPr>
        <w:spacing w:line="360" w:lineRule="auto" w:before="92"/>
        <w:ind w:left="139" w:right="136" w:firstLine="708"/>
        <w:jc w:val="both"/>
        <w:rPr>
          <w:rFonts w:ascii="Times New Roman" w:hAnsi="Times New Roman"/>
          <w:sz w:val="22"/>
        </w:rPr>
      </w:pPr>
      <w:r>
        <w:rPr>
          <w:rFonts w:ascii="Times New Roman" w:hAnsi="Times New Roman"/>
          <w:sz w:val="22"/>
        </w:rPr>
        <w:t>Outro aspecto positivo reside nas solicitações dos acionistas para que seja elevado o limite de distribuição de resultados, atualmente restrito ao percentual mínimo legal (25%), por exigência do BNDES quando da contratação do financiamento, tendo em vista que parte significativa deste compromisso foi honrado, de forma a permitir recebimentos de dividendos em montantes mais elevados.</w:t>
      </w:r>
    </w:p>
    <w:p>
      <w:pPr>
        <w:pStyle w:val="BodyText"/>
        <w:spacing w:before="2"/>
        <w:rPr>
          <w:rFonts w:ascii="Times New Roman"/>
          <w:sz w:val="21"/>
        </w:rPr>
      </w:pPr>
    </w:p>
    <w:p>
      <w:pPr>
        <w:spacing w:line="465" w:lineRule="auto" w:before="0"/>
        <w:ind w:left="350" w:right="8564" w:firstLine="0"/>
        <w:jc w:val="both"/>
        <w:rPr>
          <w:rFonts w:ascii="Times New Roman" w:hAnsi="Times New Roman"/>
          <w:b/>
          <w:sz w:val="22"/>
        </w:rPr>
      </w:pPr>
      <w:r>
        <w:rPr>
          <w:rFonts w:ascii="Times New Roman" w:hAnsi="Times New Roman"/>
          <w:b/>
          <w:sz w:val="22"/>
        </w:rPr>
        <w:t>Empresa Ligada BSB Energética S.A.</w:t>
      </w:r>
    </w:p>
    <w:p>
      <w:pPr>
        <w:pStyle w:val="BodyText"/>
        <w:spacing w:before="5"/>
        <w:rPr>
          <w:rFonts w:ascii="Times New Roman"/>
          <w:b/>
        </w:rPr>
      </w:pPr>
    </w:p>
    <w:p>
      <w:pPr>
        <w:spacing w:line="360" w:lineRule="auto" w:before="0"/>
        <w:ind w:left="139" w:right="137" w:firstLine="708"/>
        <w:jc w:val="both"/>
        <w:rPr>
          <w:rFonts w:ascii="Times New Roman" w:hAnsi="Times New Roman"/>
          <w:sz w:val="22"/>
        </w:rPr>
      </w:pPr>
      <w:r>
        <w:rPr>
          <w:rFonts w:ascii="Times New Roman" w:hAnsi="Times New Roman"/>
          <w:sz w:val="22"/>
        </w:rPr>
        <w:t>A</w:t>
      </w:r>
      <w:r>
        <w:rPr>
          <w:rFonts w:ascii="Times New Roman" w:hAnsi="Times New Roman"/>
          <w:spacing w:val="-6"/>
          <w:sz w:val="22"/>
        </w:rPr>
        <w:t> </w:t>
      </w:r>
      <w:r>
        <w:rPr>
          <w:rFonts w:ascii="Times New Roman" w:hAnsi="Times New Roman"/>
          <w:sz w:val="22"/>
        </w:rPr>
        <w:t>BSB</w:t>
      </w:r>
      <w:r>
        <w:rPr>
          <w:rFonts w:ascii="Times New Roman" w:hAnsi="Times New Roman"/>
          <w:spacing w:val="-6"/>
          <w:sz w:val="22"/>
        </w:rPr>
        <w:t> </w:t>
      </w:r>
      <w:r>
        <w:rPr>
          <w:rFonts w:ascii="Times New Roman" w:hAnsi="Times New Roman"/>
          <w:sz w:val="22"/>
        </w:rPr>
        <w:t>Energética</w:t>
      </w:r>
      <w:r>
        <w:rPr>
          <w:rFonts w:ascii="Times New Roman" w:hAnsi="Times New Roman"/>
          <w:spacing w:val="-4"/>
          <w:sz w:val="22"/>
        </w:rPr>
        <w:t> </w:t>
      </w:r>
      <w:r>
        <w:rPr>
          <w:rFonts w:ascii="Times New Roman" w:hAnsi="Times New Roman"/>
          <w:sz w:val="22"/>
        </w:rPr>
        <w:t>S.A.</w:t>
      </w:r>
      <w:r>
        <w:rPr>
          <w:rFonts w:ascii="Times New Roman" w:hAnsi="Times New Roman"/>
          <w:spacing w:val="-5"/>
          <w:sz w:val="22"/>
        </w:rPr>
        <w:t> </w:t>
      </w:r>
      <w:r>
        <w:rPr>
          <w:rFonts w:ascii="Times New Roman" w:hAnsi="Times New Roman"/>
          <w:sz w:val="22"/>
        </w:rPr>
        <w:t>é</w:t>
      </w:r>
      <w:r>
        <w:rPr>
          <w:rFonts w:ascii="Times New Roman" w:hAnsi="Times New Roman"/>
          <w:spacing w:val="-3"/>
          <w:sz w:val="22"/>
        </w:rPr>
        <w:t> uma</w:t>
      </w:r>
      <w:r>
        <w:rPr>
          <w:rFonts w:ascii="Times New Roman" w:hAnsi="Times New Roman"/>
          <w:spacing w:val="-4"/>
          <w:sz w:val="22"/>
        </w:rPr>
        <w:t> </w:t>
      </w:r>
      <w:r>
        <w:rPr>
          <w:rFonts w:ascii="Times New Roman" w:hAnsi="Times New Roman"/>
          <w:sz w:val="22"/>
        </w:rPr>
        <w:t>sociedade</w:t>
      </w:r>
      <w:r>
        <w:rPr>
          <w:rFonts w:ascii="Times New Roman" w:hAnsi="Times New Roman"/>
          <w:spacing w:val="-5"/>
          <w:sz w:val="22"/>
        </w:rPr>
        <w:t> </w:t>
      </w:r>
      <w:r>
        <w:rPr>
          <w:rFonts w:ascii="Times New Roman" w:hAnsi="Times New Roman"/>
          <w:sz w:val="22"/>
        </w:rPr>
        <w:t>por</w:t>
      </w:r>
      <w:r>
        <w:rPr>
          <w:rFonts w:ascii="Times New Roman" w:hAnsi="Times New Roman"/>
          <w:spacing w:val="-3"/>
          <w:sz w:val="22"/>
        </w:rPr>
        <w:t> </w:t>
      </w:r>
      <w:r>
        <w:rPr>
          <w:rFonts w:ascii="Times New Roman" w:hAnsi="Times New Roman"/>
          <w:sz w:val="22"/>
        </w:rPr>
        <w:t>ações,</w:t>
      </w:r>
      <w:r>
        <w:rPr>
          <w:rFonts w:ascii="Times New Roman" w:hAnsi="Times New Roman"/>
          <w:spacing w:val="-5"/>
          <w:sz w:val="22"/>
        </w:rPr>
        <w:t> </w:t>
      </w:r>
      <w:r>
        <w:rPr>
          <w:rFonts w:ascii="Times New Roman" w:hAnsi="Times New Roman"/>
          <w:sz w:val="22"/>
        </w:rPr>
        <w:t>constituída</w:t>
      </w:r>
      <w:r>
        <w:rPr>
          <w:rFonts w:ascii="Times New Roman" w:hAnsi="Times New Roman"/>
          <w:spacing w:val="-5"/>
          <w:sz w:val="22"/>
        </w:rPr>
        <w:t> </w:t>
      </w:r>
      <w:r>
        <w:rPr>
          <w:rFonts w:ascii="Times New Roman" w:hAnsi="Times New Roman"/>
          <w:sz w:val="22"/>
        </w:rPr>
        <w:t>em</w:t>
      </w:r>
      <w:r>
        <w:rPr>
          <w:rFonts w:ascii="Times New Roman" w:hAnsi="Times New Roman"/>
          <w:spacing w:val="-7"/>
          <w:sz w:val="22"/>
        </w:rPr>
        <w:t> </w:t>
      </w:r>
      <w:r>
        <w:rPr>
          <w:rFonts w:ascii="Times New Roman" w:hAnsi="Times New Roman"/>
          <w:sz w:val="22"/>
        </w:rPr>
        <w:t>24</w:t>
      </w:r>
      <w:r>
        <w:rPr>
          <w:rFonts w:ascii="Times New Roman" w:hAnsi="Times New Roman"/>
          <w:spacing w:val="-5"/>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março</w:t>
      </w:r>
      <w:r>
        <w:rPr>
          <w:rFonts w:ascii="Times New Roman" w:hAnsi="Times New Roman"/>
          <w:spacing w:val="-5"/>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2000,</w:t>
      </w:r>
      <w:r>
        <w:rPr>
          <w:rFonts w:ascii="Times New Roman" w:hAnsi="Times New Roman"/>
          <w:spacing w:val="-4"/>
          <w:sz w:val="22"/>
        </w:rPr>
        <w:t> </w:t>
      </w:r>
      <w:r>
        <w:rPr>
          <w:rFonts w:ascii="Times New Roman" w:hAnsi="Times New Roman"/>
          <w:sz w:val="22"/>
        </w:rPr>
        <w:t>para</w:t>
      </w:r>
      <w:r>
        <w:rPr>
          <w:rFonts w:ascii="Times New Roman" w:hAnsi="Times New Roman"/>
          <w:spacing w:val="-5"/>
          <w:sz w:val="22"/>
        </w:rPr>
        <w:t> </w:t>
      </w:r>
      <w:r>
        <w:rPr>
          <w:rFonts w:ascii="Times New Roman" w:hAnsi="Times New Roman"/>
          <w:sz w:val="22"/>
        </w:rPr>
        <w:t>explorar</w:t>
      </w:r>
      <w:r>
        <w:rPr>
          <w:rFonts w:ascii="Times New Roman" w:hAnsi="Times New Roman"/>
          <w:spacing w:val="-4"/>
          <w:sz w:val="22"/>
        </w:rPr>
        <w:t> </w:t>
      </w:r>
      <w:r>
        <w:rPr>
          <w:rFonts w:ascii="Times New Roman" w:hAnsi="Times New Roman"/>
          <w:sz w:val="22"/>
        </w:rPr>
        <w:t>Pequenas Centrais Hidrelétricas – PCHs, com potência global máxima instalada de 200 MW e, estatutariamente, está autorizada a participar de outros empreendimentos ou sociedades, seja como acionista ou quotista. A CEB detém uma participação acionária de 9,0% do capital social da BSB Energética</w:t>
      </w:r>
      <w:r>
        <w:rPr>
          <w:rFonts w:ascii="Times New Roman" w:hAnsi="Times New Roman"/>
          <w:spacing w:val="-2"/>
          <w:sz w:val="22"/>
        </w:rPr>
        <w:t> </w:t>
      </w:r>
      <w:r>
        <w:rPr>
          <w:rFonts w:ascii="Times New Roman" w:hAnsi="Times New Roman"/>
          <w:sz w:val="22"/>
        </w:rPr>
        <w:t>S.A..</w:t>
      </w:r>
    </w:p>
    <w:p>
      <w:pPr>
        <w:pStyle w:val="BodyText"/>
        <w:spacing w:before="10"/>
        <w:rPr>
          <w:rFonts w:ascii="Times New Roman"/>
        </w:rPr>
      </w:pPr>
    </w:p>
    <w:p>
      <w:pPr>
        <w:spacing w:line="360" w:lineRule="auto" w:before="0"/>
        <w:ind w:left="139" w:right="137" w:firstLine="708"/>
        <w:jc w:val="both"/>
        <w:rPr>
          <w:rFonts w:ascii="Times New Roman" w:hAnsi="Times New Roman"/>
          <w:sz w:val="22"/>
        </w:rPr>
      </w:pPr>
      <w:r>
        <w:rPr>
          <w:rFonts w:ascii="Times New Roman" w:hAnsi="Times New Roman"/>
          <w:sz w:val="22"/>
        </w:rPr>
        <w:t>Em 2006, ao associar-se com outras empresas que possuíam concessões, projetos e licenças ambientais de empreendimentos de mesma natureza (PCHs), a BSB Energética S.A. passou a deter participação acionária na Brasil PCH S.A..</w:t>
      </w:r>
    </w:p>
    <w:p>
      <w:pPr>
        <w:pStyle w:val="BodyText"/>
        <w:spacing w:before="9"/>
        <w:rPr>
          <w:rFonts w:ascii="Times New Roman"/>
        </w:rPr>
      </w:pPr>
    </w:p>
    <w:p>
      <w:pPr>
        <w:spacing w:line="362" w:lineRule="auto" w:before="0"/>
        <w:ind w:left="139" w:right="142" w:firstLine="708"/>
        <w:jc w:val="both"/>
        <w:rPr>
          <w:rFonts w:ascii="Times New Roman" w:hAnsi="Times New Roman"/>
          <w:sz w:val="22"/>
        </w:rPr>
      </w:pPr>
      <w:r>
        <w:rPr>
          <w:rFonts w:ascii="Times New Roman" w:hAnsi="Times New Roman"/>
          <w:sz w:val="22"/>
        </w:rPr>
        <w:t>A Brasil PCH S.A. possui 13 Pequenas Centrais Hidrelétricas com capacidade total de 291 MW e a BSB Energética S.A. tem participação equivalente a 14,70% do capital.</w:t>
      </w:r>
    </w:p>
    <w:p>
      <w:pPr>
        <w:pStyle w:val="BodyText"/>
        <w:spacing w:before="7"/>
        <w:rPr>
          <w:rFonts w:ascii="Times New Roman"/>
        </w:rPr>
      </w:pPr>
    </w:p>
    <w:p>
      <w:pPr>
        <w:spacing w:line="360" w:lineRule="auto" w:before="0"/>
        <w:ind w:left="139" w:right="138" w:firstLine="708"/>
        <w:jc w:val="both"/>
        <w:rPr>
          <w:rFonts w:ascii="Times New Roman" w:hAnsi="Times New Roman"/>
          <w:sz w:val="22"/>
        </w:rPr>
      </w:pPr>
      <w:r>
        <w:rPr>
          <w:rFonts w:ascii="Times New Roman" w:hAnsi="Times New Roman"/>
          <w:sz w:val="22"/>
        </w:rPr>
        <w:t>A venda da energia gerada se dá por meio de contratos de compra e venda firmados por cada uma das empresas relacionadas</w:t>
      </w:r>
      <w:r>
        <w:rPr>
          <w:rFonts w:ascii="Times New Roman" w:hAnsi="Times New Roman"/>
          <w:spacing w:val="-6"/>
          <w:sz w:val="22"/>
        </w:rPr>
        <w:t> </w:t>
      </w:r>
      <w:r>
        <w:rPr>
          <w:rFonts w:ascii="Times New Roman" w:hAnsi="Times New Roman"/>
          <w:sz w:val="22"/>
        </w:rPr>
        <w:t>com</w:t>
      </w:r>
      <w:r>
        <w:rPr>
          <w:rFonts w:ascii="Times New Roman" w:hAnsi="Times New Roman"/>
          <w:spacing w:val="-9"/>
          <w:sz w:val="22"/>
        </w:rPr>
        <w:t> </w:t>
      </w:r>
      <w:r>
        <w:rPr>
          <w:rFonts w:ascii="Times New Roman" w:hAnsi="Times New Roman"/>
          <w:sz w:val="22"/>
        </w:rPr>
        <w:t>as</w:t>
      </w:r>
      <w:r>
        <w:rPr>
          <w:rFonts w:ascii="Times New Roman" w:hAnsi="Times New Roman"/>
          <w:spacing w:val="-5"/>
          <w:sz w:val="22"/>
        </w:rPr>
        <w:t> </w:t>
      </w:r>
      <w:r>
        <w:rPr>
          <w:rFonts w:ascii="Times New Roman" w:hAnsi="Times New Roman"/>
          <w:sz w:val="22"/>
        </w:rPr>
        <w:t>PCHs</w:t>
      </w:r>
      <w:r>
        <w:rPr>
          <w:rFonts w:ascii="Times New Roman" w:hAnsi="Times New Roman"/>
          <w:spacing w:val="-6"/>
          <w:sz w:val="22"/>
        </w:rPr>
        <w:t> </w:t>
      </w:r>
      <w:r>
        <w:rPr>
          <w:rFonts w:ascii="Times New Roman" w:hAnsi="Times New Roman"/>
          <w:sz w:val="22"/>
        </w:rPr>
        <w:t>para</w:t>
      </w:r>
      <w:r>
        <w:rPr>
          <w:rFonts w:ascii="Times New Roman" w:hAnsi="Times New Roman"/>
          <w:spacing w:val="-6"/>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Eletrobrás,</w:t>
      </w:r>
      <w:r>
        <w:rPr>
          <w:rFonts w:ascii="Times New Roman" w:hAnsi="Times New Roman"/>
          <w:spacing w:val="-6"/>
          <w:sz w:val="22"/>
        </w:rPr>
        <w:t> </w:t>
      </w:r>
      <w:r>
        <w:rPr>
          <w:rFonts w:ascii="Times New Roman" w:hAnsi="Times New Roman"/>
          <w:sz w:val="22"/>
        </w:rPr>
        <w:t>por</w:t>
      </w:r>
      <w:r>
        <w:rPr>
          <w:rFonts w:ascii="Times New Roman" w:hAnsi="Times New Roman"/>
          <w:spacing w:val="-8"/>
          <w:sz w:val="22"/>
        </w:rPr>
        <w:t> </w:t>
      </w:r>
      <w:r>
        <w:rPr>
          <w:rFonts w:ascii="Times New Roman" w:hAnsi="Times New Roman"/>
          <w:sz w:val="22"/>
        </w:rPr>
        <w:t>intermédio</w:t>
      </w:r>
      <w:r>
        <w:rPr>
          <w:rFonts w:ascii="Times New Roman" w:hAnsi="Times New Roman"/>
          <w:spacing w:val="-6"/>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Programa</w:t>
      </w:r>
      <w:r>
        <w:rPr>
          <w:rFonts w:ascii="Times New Roman" w:hAnsi="Times New Roman"/>
          <w:spacing w:val="-7"/>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Incentivo</w:t>
      </w:r>
      <w:r>
        <w:rPr>
          <w:rFonts w:ascii="Times New Roman" w:hAnsi="Times New Roman"/>
          <w:spacing w:val="-6"/>
          <w:sz w:val="22"/>
        </w:rPr>
        <w:t> </w:t>
      </w:r>
      <w:r>
        <w:rPr>
          <w:rFonts w:ascii="Times New Roman" w:hAnsi="Times New Roman"/>
          <w:sz w:val="22"/>
        </w:rPr>
        <w:t>às</w:t>
      </w:r>
      <w:r>
        <w:rPr>
          <w:rFonts w:ascii="Times New Roman" w:hAnsi="Times New Roman"/>
          <w:spacing w:val="-6"/>
          <w:sz w:val="22"/>
        </w:rPr>
        <w:t> </w:t>
      </w:r>
      <w:r>
        <w:rPr>
          <w:rFonts w:ascii="Times New Roman" w:hAnsi="Times New Roman"/>
          <w:sz w:val="22"/>
        </w:rPr>
        <w:t>Fontes</w:t>
      </w:r>
      <w:r>
        <w:rPr>
          <w:rFonts w:ascii="Times New Roman" w:hAnsi="Times New Roman"/>
          <w:spacing w:val="-5"/>
          <w:sz w:val="22"/>
        </w:rPr>
        <w:t> </w:t>
      </w:r>
      <w:r>
        <w:rPr>
          <w:rFonts w:ascii="Times New Roman" w:hAnsi="Times New Roman"/>
          <w:sz w:val="22"/>
        </w:rPr>
        <w:t>Alternativas</w:t>
      </w:r>
      <w:r>
        <w:rPr>
          <w:rFonts w:ascii="Times New Roman" w:hAnsi="Times New Roman"/>
          <w:spacing w:val="-8"/>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Energia Elétrica – Proinfa.</w:t>
      </w:r>
    </w:p>
    <w:p>
      <w:pPr>
        <w:pStyle w:val="BodyText"/>
        <w:spacing w:before="3"/>
        <w:rPr>
          <w:rFonts w:ascii="Times New Roman"/>
          <w:sz w:val="21"/>
        </w:rPr>
      </w:pPr>
    </w:p>
    <w:p>
      <w:pPr>
        <w:spacing w:before="0"/>
        <w:ind w:left="350" w:right="0" w:firstLine="0"/>
        <w:jc w:val="left"/>
        <w:rPr>
          <w:rFonts w:ascii="Times New Roman" w:hAnsi="Times New Roman"/>
          <w:b/>
          <w:sz w:val="22"/>
        </w:rPr>
      </w:pPr>
      <w:r>
        <w:rPr/>
        <w:drawing>
          <wp:anchor distT="0" distB="0" distL="0" distR="0" allowOverlap="1" layoutInCell="1" locked="0" behindDoc="0" simplePos="0" relativeHeight="28">
            <wp:simplePos x="0" y="0"/>
            <wp:positionH relativeFrom="page">
              <wp:posOffset>2432685</wp:posOffset>
            </wp:positionH>
            <wp:positionV relativeFrom="paragraph">
              <wp:posOffset>205099</wp:posOffset>
            </wp:positionV>
            <wp:extent cx="2428875" cy="2066925"/>
            <wp:effectExtent l="0" t="0" r="0" b="0"/>
            <wp:wrapTopAndBottom/>
            <wp:docPr id="51" name="image12.jpeg" descr="cid:image007.png@01D3A99B.ECCD2A10"/>
            <wp:cNvGraphicFramePr>
              <a:graphicFrameLocks noChangeAspect="1"/>
            </wp:cNvGraphicFramePr>
            <a:graphic>
              <a:graphicData uri="http://schemas.openxmlformats.org/drawingml/2006/picture">
                <pic:pic>
                  <pic:nvPicPr>
                    <pic:cNvPr id="52" name="image12.jpeg"/>
                    <pic:cNvPicPr/>
                  </pic:nvPicPr>
                  <pic:blipFill>
                    <a:blip r:embed="rId38" cstate="print"/>
                    <a:stretch>
                      <a:fillRect/>
                    </a:stretch>
                  </pic:blipFill>
                  <pic:spPr>
                    <a:xfrm>
                      <a:off x="0" y="0"/>
                      <a:ext cx="2428875" cy="2066925"/>
                    </a:xfrm>
                    <a:prstGeom prst="rect">
                      <a:avLst/>
                    </a:prstGeom>
                  </pic:spPr>
                </pic:pic>
              </a:graphicData>
            </a:graphic>
          </wp:anchor>
        </w:drawing>
      </w:r>
      <w:r>
        <w:rPr>
          <w:rFonts w:ascii="Times New Roman" w:hAnsi="Times New Roman"/>
          <w:b/>
          <w:sz w:val="22"/>
        </w:rPr>
        <w:t>Organização Societária</w:t>
      </w:r>
    </w:p>
    <w:p>
      <w:pPr>
        <w:pStyle w:val="ListParagraph"/>
        <w:numPr>
          <w:ilvl w:val="1"/>
          <w:numId w:val="2"/>
        </w:numPr>
        <w:tabs>
          <w:tab w:pos="1208" w:val="left" w:leader="none"/>
        </w:tabs>
        <w:spacing w:line="355" w:lineRule="auto" w:before="208" w:after="0"/>
        <w:ind w:left="1207" w:right="136" w:hanging="360"/>
        <w:jc w:val="both"/>
        <w:rPr>
          <w:rFonts w:ascii="Times New Roman" w:hAnsi="Times New Roman"/>
          <w:sz w:val="22"/>
        </w:rPr>
      </w:pPr>
      <w:r>
        <w:rPr>
          <w:rFonts w:ascii="Times New Roman" w:hAnsi="Times New Roman"/>
          <w:sz w:val="22"/>
        </w:rPr>
        <w:t>A BSB Energética S.A. é </w:t>
      </w:r>
      <w:r>
        <w:rPr>
          <w:rFonts w:ascii="Times New Roman" w:hAnsi="Times New Roman"/>
          <w:spacing w:val="-3"/>
          <w:sz w:val="22"/>
        </w:rPr>
        <w:t>uma </w:t>
      </w:r>
      <w:r>
        <w:rPr>
          <w:rFonts w:ascii="Times New Roman" w:hAnsi="Times New Roman"/>
          <w:sz w:val="22"/>
        </w:rPr>
        <w:t>empresa holding pura, que recebe dividendos da Brasil PCH, companhia que controla 13 Sociedades de Propósito Específico – SPEs de geração hidrelétrica. Sua receita, portanto, é exclusivamente decorrente do recebimento da distribuição de</w:t>
      </w:r>
      <w:r>
        <w:rPr>
          <w:rFonts w:ascii="Times New Roman" w:hAnsi="Times New Roman"/>
          <w:spacing w:val="-2"/>
          <w:sz w:val="22"/>
        </w:rPr>
        <w:t> </w:t>
      </w:r>
      <w:r>
        <w:rPr>
          <w:rFonts w:ascii="Times New Roman" w:hAnsi="Times New Roman"/>
          <w:sz w:val="22"/>
        </w:rPr>
        <w:t>resultados;</w:t>
      </w:r>
    </w:p>
    <w:p>
      <w:pPr>
        <w:spacing w:after="0" w:line="355" w:lineRule="auto"/>
        <w:jc w:val="both"/>
        <w:rPr>
          <w:rFonts w:ascii="Times New Roman" w:hAnsi="Times New Roman"/>
          <w:sz w:val="22"/>
        </w:rPr>
        <w:sectPr>
          <w:headerReference w:type="default" r:id="rId36"/>
          <w:footerReference w:type="default" r:id="rId37"/>
          <w:pgSz w:w="11920" w:h="16860"/>
          <w:pgMar w:header="544" w:footer="302" w:top="1360" w:bottom="500" w:left="780" w:right="280"/>
          <w:pgNumType w:start="20"/>
        </w:sectPr>
      </w:pPr>
    </w:p>
    <w:p>
      <w:pPr>
        <w:pStyle w:val="BodyText"/>
        <w:spacing w:before="7"/>
        <w:rPr>
          <w:rFonts w:ascii="Times New Roman"/>
          <w:sz w:val="23"/>
        </w:rPr>
      </w:pPr>
    </w:p>
    <w:p>
      <w:pPr>
        <w:pStyle w:val="BodyText"/>
        <w:ind w:left="384"/>
        <w:rPr>
          <w:rFonts w:ascii="Times New Roman"/>
        </w:rPr>
      </w:pPr>
      <w:r>
        <w:rPr>
          <w:rFonts w:ascii="Times New Roman"/>
        </w:rPr>
        <w:pict>
          <v:shape style="width:496.1pt;height:13.8pt;mso-position-horizontal-relative:char;mso-position-vertical-relative:line" type="#_x0000_t202" filled="true" fillcolor="#f0f0f0" stroked="false">
            <w10:anchorlock/>
            <v:textbox inset="0,0,0,0">
              <w:txbxContent>
                <w:p>
                  <w:pPr>
                    <w:tabs>
                      <w:tab w:pos="1905" w:val="left" w:leader="none"/>
                    </w:tabs>
                    <w:spacing w:line="274" w:lineRule="exact" w:before="0"/>
                    <w:ind w:left="1186" w:right="0" w:firstLine="0"/>
                    <w:jc w:val="left"/>
                    <w:rPr>
                      <w:rFonts w:ascii="Times New Roman" w:hAnsi="Times New Roman"/>
                      <w:b/>
                      <w:sz w:val="24"/>
                    </w:rPr>
                  </w:pPr>
                  <w:r>
                    <w:rPr>
                      <w:rFonts w:ascii="Times New Roman" w:hAnsi="Times New Roman"/>
                      <w:b/>
                      <w:sz w:val="24"/>
                    </w:rPr>
                    <w:t>V.</w:t>
                    <w:tab/>
                    <w:t>DESEMPENHO ECONÔMICO-FINANCEIRO CONSOLIDADO</w:t>
                  </w:r>
                </w:p>
              </w:txbxContent>
            </v:textbox>
            <v:fill type="solid"/>
          </v:shape>
        </w:pict>
      </w:r>
      <w:r>
        <w:rPr>
          <w:rFonts w:ascii="Times New Roman"/>
        </w:rPr>
      </w:r>
    </w:p>
    <w:p>
      <w:pPr>
        <w:spacing w:before="67"/>
        <w:ind w:left="350" w:right="0" w:firstLine="0"/>
        <w:jc w:val="left"/>
        <w:rPr>
          <w:rFonts w:ascii="Times New Roman"/>
          <w:b/>
          <w:sz w:val="22"/>
        </w:rPr>
      </w:pPr>
      <w:r>
        <w:rPr>
          <w:rFonts w:ascii="Times New Roman"/>
          <w:b/>
          <w:sz w:val="22"/>
        </w:rPr>
        <w:t>Receita Operacional</w:t>
      </w:r>
    </w:p>
    <w:p>
      <w:pPr>
        <w:pStyle w:val="BodyText"/>
        <w:rPr>
          <w:rFonts w:ascii="Times New Roman"/>
          <w:b/>
          <w:sz w:val="24"/>
        </w:rPr>
      </w:pPr>
    </w:p>
    <w:p>
      <w:pPr>
        <w:spacing w:line="360" w:lineRule="auto" w:before="196"/>
        <w:ind w:left="139" w:right="58" w:firstLine="708"/>
        <w:jc w:val="left"/>
        <w:rPr>
          <w:rFonts w:ascii="Times New Roman" w:hAnsi="Times New Roman"/>
          <w:sz w:val="22"/>
        </w:rPr>
      </w:pPr>
      <w:r>
        <w:rPr>
          <w:rFonts w:ascii="Times New Roman" w:hAnsi="Times New Roman"/>
          <w:sz w:val="22"/>
        </w:rPr>
        <w:t>A Receita Operacional Bruta consolidada apurada no ano de 2019 totalizou R$ 4.404.331 mil, sendo R$ 318.119 mil superior à receita obtida no ano de 2018, que foi de R$ 4.086.212 mil.</w:t>
      </w:r>
    </w:p>
    <w:p>
      <w:pPr>
        <w:pStyle w:val="BodyText"/>
        <w:spacing w:before="9"/>
        <w:rPr>
          <w:rFonts w:ascii="Times New Roman"/>
        </w:rPr>
      </w:pPr>
    </w:p>
    <w:p>
      <w:pPr>
        <w:spacing w:before="0"/>
        <w:ind w:left="847" w:right="0" w:firstLine="0"/>
        <w:jc w:val="left"/>
        <w:rPr>
          <w:rFonts w:ascii="Times New Roman" w:hAnsi="Times New Roman"/>
          <w:sz w:val="22"/>
        </w:rPr>
      </w:pPr>
      <w:r>
        <w:rPr>
          <w:rFonts w:ascii="Times New Roman" w:hAnsi="Times New Roman"/>
          <w:sz w:val="22"/>
        </w:rPr>
        <w:t>As principais variações da Receita Operacional foram as seguintes:</w:t>
      </w:r>
    </w:p>
    <w:p>
      <w:pPr>
        <w:pStyle w:val="BodyText"/>
        <w:rPr>
          <w:rFonts w:ascii="Times New Roman"/>
        </w:rPr>
      </w:pPr>
    </w:p>
    <w:p>
      <w:pPr>
        <w:pStyle w:val="BodyText"/>
        <w:spacing w:before="4" w:after="1"/>
        <w:rPr>
          <w:rFonts w:ascii="Times New Roman"/>
          <w:sz w:val="12"/>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837"/>
        <w:gridCol w:w="1502"/>
        <w:gridCol w:w="1503"/>
        <w:gridCol w:w="1196"/>
        <w:gridCol w:w="1186"/>
      </w:tblGrid>
      <w:tr>
        <w:trPr>
          <w:trHeight w:val="480" w:hRule="atLeast"/>
        </w:trPr>
        <w:tc>
          <w:tcPr>
            <w:tcW w:w="4837" w:type="dxa"/>
            <w:tcBorders>
              <w:top w:val="nil"/>
              <w:left w:val="nil"/>
              <w:bottom w:val="nil"/>
              <w:right w:val="nil"/>
            </w:tcBorders>
            <w:shd w:val="clear" w:color="auto" w:fill="4470C4"/>
          </w:tcPr>
          <w:p>
            <w:pPr>
              <w:pStyle w:val="TableParagraph"/>
              <w:rPr>
                <w:rFonts w:ascii="Times New Roman"/>
                <w:sz w:val="20"/>
              </w:rPr>
            </w:pPr>
          </w:p>
        </w:tc>
        <w:tc>
          <w:tcPr>
            <w:tcW w:w="1502" w:type="dxa"/>
            <w:tcBorders>
              <w:top w:val="nil"/>
              <w:left w:val="nil"/>
              <w:bottom w:val="nil"/>
              <w:right w:val="nil"/>
            </w:tcBorders>
            <w:shd w:val="clear" w:color="auto" w:fill="4470C4"/>
          </w:tcPr>
          <w:p>
            <w:pPr>
              <w:pStyle w:val="TableParagraph"/>
              <w:spacing w:before="125"/>
              <w:ind w:left="542" w:right="519"/>
              <w:jc w:val="center"/>
              <w:rPr>
                <w:rFonts w:ascii="Times New Roman"/>
                <w:b/>
                <w:sz w:val="20"/>
              </w:rPr>
            </w:pPr>
            <w:r>
              <w:rPr>
                <w:rFonts w:ascii="Times New Roman"/>
                <w:b/>
                <w:color w:val="FFFFFF"/>
                <w:sz w:val="20"/>
              </w:rPr>
              <w:t>2019</w:t>
            </w:r>
          </w:p>
        </w:tc>
        <w:tc>
          <w:tcPr>
            <w:tcW w:w="1503" w:type="dxa"/>
            <w:tcBorders>
              <w:top w:val="nil"/>
              <w:left w:val="nil"/>
              <w:bottom w:val="nil"/>
              <w:right w:val="nil"/>
            </w:tcBorders>
            <w:shd w:val="clear" w:color="auto" w:fill="4470C4"/>
          </w:tcPr>
          <w:p>
            <w:pPr>
              <w:pStyle w:val="TableParagraph"/>
              <w:spacing w:before="125"/>
              <w:ind w:left="543" w:right="519"/>
              <w:jc w:val="center"/>
              <w:rPr>
                <w:rFonts w:ascii="Times New Roman"/>
                <w:b/>
                <w:sz w:val="20"/>
              </w:rPr>
            </w:pPr>
            <w:r>
              <w:rPr>
                <w:rFonts w:ascii="Times New Roman"/>
                <w:b/>
                <w:color w:val="FFFFFF"/>
                <w:sz w:val="20"/>
              </w:rPr>
              <w:t>2018</w:t>
            </w:r>
          </w:p>
        </w:tc>
        <w:tc>
          <w:tcPr>
            <w:tcW w:w="2382" w:type="dxa"/>
            <w:gridSpan w:val="2"/>
            <w:tcBorders>
              <w:top w:val="nil"/>
              <w:left w:val="nil"/>
              <w:bottom w:val="nil"/>
              <w:right w:val="nil"/>
            </w:tcBorders>
            <w:shd w:val="clear" w:color="auto" w:fill="4470C4"/>
          </w:tcPr>
          <w:p>
            <w:pPr>
              <w:pStyle w:val="TableParagraph"/>
              <w:spacing w:before="125"/>
              <w:ind w:left="912" w:right="897"/>
              <w:jc w:val="center"/>
              <w:rPr>
                <w:rFonts w:ascii="Times New Roman" w:hAnsi="Times New Roman"/>
                <w:b/>
                <w:sz w:val="20"/>
              </w:rPr>
            </w:pPr>
            <w:r>
              <w:rPr>
                <w:rFonts w:ascii="Times New Roman" w:hAnsi="Times New Roman"/>
                <w:b/>
                <w:color w:val="FFFFFF"/>
                <w:sz w:val="20"/>
              </w:rPr>
              <w:t>Δ Ano</w:t>
            </w:r>
          </w:p>
        </w:tc>
      </w:tr>
      <w:tr>
        <w:trPr>
          <w:trHeight w:val="280" w:hRule="atLeast"/>
        </w:trPr>
        <w:tc>
          <w:tcPr>
            <w:tcW w:w="4837" w:type="dxa"/>
            <w:tcBorders>
              <w:top w:val="nil"/>
            </w:tcBorders>
            <w:shd w:val="clear" w:color="auto" w:fill="D9E0F3"/>
          </w:tcPr>
          <w:p>
            <w:pPr>
              <w:pStyle w:val="TableParagraph"/>
              <w:rPr>
                <w:rFonts w:ascii="Times New Roman"/>
                <w:sz w:val="20"/>
              </w:rPr>
            </w:pPr>
          </w:p>
        </w:tc>
        <w:tc>
          <w:tcPr>
            <w:tcW w:w="1502" w:type="dxa"/>
            <w:tcBorders>
              <w:top w:val="nil"/>
            </w:tcBorders>
            <w:shd w:val="clear" w:color="auto" w:fill="D9E0F3"/>
          </w:tcPr>
          <w:p>
            <w:pPr>
              <w:pStyle w:val="TableParagraph"/>
              <w:rPr>
                <w:rFonts w:ascii="Times New Roman"/>
                <w:sz w:val="20"/>
              </w:rPr>
            </w:pPr>
          </w:p>
        </w:tc>
        <w:tc>
          <w:tcPr>
            <w:tcW w:w="1503" w:type="dxa"/>
            <w:tcBorders>
              <w:top w:val="nil"/>
            </w:tcBorders>
            <w:shd w:val="clear" w:color="auto" w:fill="D9E0F3"/>
          </w:tcPr>
          <w:p>
            <w:pPr>
              <w:pStyle w:val="TableParagraph"/>
              <w:rPr>
                <w:rFonts w:ascii="Times New Roman"/>
                <w:sz w:val="20"/>
              </w:rPr>
            </w:pPr>
          </w:p>
        </w:tc>
        <w:tc>
          <w:tcPr>
            <w:tcW w:w="1196" w:type="dxa"/>
            <w:tcBorders>
              <w:top w:val="nil"/>
            </w:tcBorders>
            <w:shd w:val="clear" w:color="auto" w:fill="D9E0F3"/>
          </w:tcPr>
          <w:p>
            <w:pPr>
              <w:pStyle w:val="TableParagraph"/>
              <w:spacing w:line="228" w:lineRule="exact"/>
              <w:ind w:right="85"/>
              <w:jc w:val="right"/>
              <w:rPr>
                <w:rFonts w:ascii="Times New Roman"/>
                <w:b/>
                <w:sz w:val="20"/>
              </w:rPr>
            </w:pPr>
            <w:r>
              <w:rPr>
                <w:rFonts w:ascii="Times New Roman"/>
                <w:b/>
                <w:sz w:val="20"/>
              </w:rPr>
              <w:t>(R$ Mil)</w:t>
            </w:r>
          </w:p>
        </w:tc>
        <w:tc>
          <w:tcPr>
            <w:tcW w:w="1186" w:type="dxa"/>
            <w:tcBorders>
              <w:top w:val="nil"/>
            </w:tcBorders>
            <w:shd w:val="clear" w:color="auto" w:fill="D9E0F3"/>
          </w:tcPr>
          <w:p>
            <w:pPr>
              <w:pStyle w:val="TableParagraph"/>
              <w:spacing w:line="228" w:lineRule="exact"/>
              <w:ind w:right="91"/>
              <w:jc w:val="right"/>
              <w:rPr>
                <w:rFonts w:ascii="Times New Roman"/>
                <w:b/>
                <w:sz w:val="20"/>
              </w:rPr>
            </w:pPr>
            <w:r>
              <w:rPr>
                <w:rFonts w:ascii="Times New Roman"/>
                <w:b/>
                <w:w w:val="90"/>
                <w:sz w:val="20"/>
              </w:rPr>
              <w:t>(%)</w:t>
            </w:r>
          </w:p>
        </w:tc>
      </w:tr>
      <w:tr>
        <w:trPr>
          <w:trHeight w:val="283" w:hRule="atLeast"/>
        </w:trPr>
        <w:tc>
          <w:tcPr>
            <w:tcW w:w="4837" w:type="dxa"/>
          </w:tcPr>
          <w:p>
            <w:pPr>
              <w:pStyle w:val="TableParagraph"/>
              <w:ind w:left="115"/>
              <w:rPr>
                <w:rFonts w:ascii="Times New Roman" w:hAnsi="Times New Roman"/>
                <w:b/>
                <w:sz w:val="20"/>
              </w:rPr>
            </w:pPr>
            <w:r>
              <w:rPr>
                <w:rFonts w:ascii="Times New Roman" w:hAnsi="Times New Roman"/>
                <w:b/>
                <w:sz w:val="20"/>
              </w:rPr>
              <w:t>Fornecimento de Energia Elétrica</w:t>
            </w:r>
          </w:p>
        </w:tc>
        <w:tc>
          <w:tcPr>
            <w:tcW w:w="1502" w:type="dxa"/>
          </w:tcPr>
          <w:p>
            <w:pPr>
              <w:pStyle w:val="TableParagraph"/>
              <w:ind w:right="88"/>
              <w:jc w:val="right"/>
              <w:rPr>
                <w:rFonts w:ascii="Times New Roman"/>
                <w:b/>
                <w:sz w:val="20"/>
              </w:rPr>
            </w:pPr>
            <w:r>
              <w:rPr>
                <w:rFonts w:ascii="Times New Roman"/>
                <w:b/>
                <w:w w:val="90"/>
                <w:sz w:val="20"/>
              </w:rPr>
              <w:t>3.964.515</w:t>
            </w:r>
          </w:p>
        </w:tc>
        <w:tc>
          <w:tcPr>
            <w:tcW w:w="1503" w:type="dxa"/>
          </w:tcPr>
          <w:p>
            <w:pPr>
              <w:pStyle w:val="TableParagraph"/>
              <w:ind w:right="91"/>
              <w:jc w:val="right"/>
              <w:rPr>
                <w:rFonts w:ascii="Times New Roman"/>
                <w:b/>
                <w:sz w:val="20"/>
              </w:rPr>
            </w:pPr>
            <w:r>
              <w:rPr>
                <w:rFonts w:ascii="Times New Roman"/>
                <w:b/>
                <w:w w:val="90"/>
                <w:sz w:val="20"/>
              </w:rPr>
              <w:t>3.622.738</w:t>
            </w:r>
          </w:p>
        </w:tc>
        <w:tc>
          <w:tcPr>
            <w:tcW w:w="1196" w:type="dxa"/>
          </w:tcPr>
          <w:p>
            <w:pPr>
              <w:pStyle w:val="TableParagraph"/>
              <w:spacing w:line="210" w:lineRule="exact" w:before="53"/>
              <w:ind w:right="91"/>
              <w:jc w:val="right"/>
              <w:rPr>
                <w:rFonts w:ascii="Times New Roman"/>
                <w:b/>
                <w:sz w:val="20"/>
              </w:rPr>
            </w:pPr>
            <w:r>
              <w:rPr>
                <w:rFonts w:ascii="Times New Roman"/>
                <w:b/>
                <w:w w:val="90"/>
                <w:sz w:val="20"/>
              </w:rPr>
              <w:t>341.777</w:t>
            </w:r>
          </w:p>
        </w:tc>
        <w:tc>
          <w:tcPr>
            <w:tcW w:w="1186" w:type="dxa"/>
          </w:tcPr>
          <w:p>
            <w:pPr>
              <w:pStyle w:val="TableParagraph"/>
              <w:spacing w:line="210" w:lineRule="exact" w:before="53"/>
              <w:ind w:right="91"/>
              <w:jc w:val="right"/>
              <w:rPr>
                <w:rFonts w:ascii="Times New Roman"/>
                <w:b/>
                <w:sz w:val="20"/>
              </w:rPr>
            </w:pPr>
            <w:r>
              <w:rPr>
                <w:rFonts w:ascii="Times New Roman"/>
                <w:b/>
                <w:w w:val="90"/>
                <w:sz w:val="20"/>
              </w:rPr>
              <w:t>9,43%</w:t>
            </w:r>
          </w:p>
        </w:tc>
      </w:tr>
      <w:tr>
        <w:trPr>
          <w:trHeight w:val="282" w:hRule="atLeast"/>
        </w:trPr>
        <w:tc>
          <w:tcPr>
            <w:tcW w:w="4837" w:type="dxa"/>
            <w:shd w:val="clear" w:color="auto" w:fill="D9E0F3"/>
          </w:tcPr>
          <w:p>
            <w:pPr>
              <w:pStyle w:val="TableParagraph"/>
              <w:ind w:left="115"/>
              <w:rPr>
                <w:rFonts w:ascii="Times New Roman" w:hAnsi="Times New Roman"/>
                <w:b/>
                <w:sz w:val="20"/>
              </w:rPr>
            </w:pPr>
            <w:r>
              <w:rPr>
                <w:rFonts w:ascii="Times New Roman" w:hAnsi="Times New Roman"/>
                <w:b/>
                <w:sz w:val="20"/>
              </w:rPr>
              <w:t>Energia Elétrica de Curto Prazo</w:t>
            </w:r>
          </w:p>
        </w:tc>
        <w:tc>
          <w:tcPr>
            <w:tcW w:w="1502" w:type="dxa"/>
            <w:shd w:val="clear" w:color="auto" w:fill="D9E0F3"/>
          </w:tcPr>
          <w:p>
            <w:pPr>
              <w:pStyle w:val="TableParagraph"/>
              <w:ind w:right="88"/>
              <w:jc w:val="right"/>
              <w:rPr>
                <w:rFonts w:ascii="Times New Roman"/>
                <w:b/>
                <w:sz w:val="20"/>
              </w:rPr>
            </w:pPr>
            <w:r>
              <w:rPr>
                <w:rFonts w:ascii="Times New Roman"/>
                <w:b/>
                <w:w w:val="90"/>
                <w:sz w:val="20"/>
              </w:rPr>
              <w:t>386.950</w:t>
            </w:r>
          </w:p>
        </w:tc>
        <w:tc>
          <w:tcPr>
            <w:tcW w:w="1503" w:type="dxa"/>
            <w:shd w:val="clear" w:color="auto" w:fill="D9E0F3"/>
          </w:tcPr>
          <w:p>
            <w:pPr>
              <w:pStyle w:val="TableParagraph"/>
              <w:ind w:right="91"/>
              <w:jc w:val="right"/>
              <w:rPr>
                <w:rFonts w:ascii="Times New Roman"/>
                <w:b/>
                <w:sz w:val="20"/>
              </w:rPr>
            </w:pPr>
            <w:r>
              <w:rPr>
                <w:rFonts w:ascii="Times New Roman"/>
                <w:b/>
                <w:w w:val="90"/>
                <w:sz w:val="20"/>
              </w:rPr>
              <w:t>195.879</w:t>
            </w:r>
          </w:p>
        </w:tc>
        <w:tc>
          <w:tcPr>
            <w:tcW w:w="1196" w:type="dxa"/>
            <w:shd w:val="clear" w:color="auto" w:fill="D9E0F3"/>
          </w:tcPr>
          <w:p>
            <w:pPr>
              <w:pStyle w:val="TableParagraph"/>
              <w:spacing w:line="210" w:lineRule="exact" w:before="53"/>
              <w:ind w:right="91"/>
              <w:jc w:val="right"/>
              <w:rPr>
                <w:rFonts w:ascii="Times New Roman"/>
                <w:b/>
                <w:sz w:val="20"/>
              </w:rPr>
            </w:pPr>
            <w:r>
              <w:rPr>
                <w:rFonts w:ascii="Times New Roman"/>
                <w:b/>
                <w:w w:val="90"/>
                <w:sz w:val="20"/>
              </w:rPr>
              <w:t>191.071</w:t>
            </w:r>
          </w:p>
        </w:tc>
        <w:tc>
          <w:tcPr>
            <w:tcW w:w="1186" w:type="dxa"/>
            <w:shd w:val="clear" w:color="auto" w:fill="D9E0F3"/>
          </w:tcPr>
          <w:p>
            <w:pPr>
              <w:pStyle w:val="TableParagraph"/>
              <w:spacing w:line="210" w:lineRule="exact" w:before="53"/>
              <w:ind w:right="91"/>
              <w:jc w:val="right"/>
              <w:rPr>
                <w:rFonts w:ascii="Times New Roman"/>
                <w:b/>
                <w:sz w:val="20"/>
              </w:rPr>
            </w:pPr>
            <w:r>
              <w:rPr>
                <w:rFonts w:ascii="Times New Roman"/>
                <w:b/>
                <w:w w:val="90"/>
                <w:sz w:val="20"/>
              </w:rPr>
              <w:t>97,55%</w:t>
            </w:r>
          </w:p>
        </w:tc>
      </w:tr>
      <w:tr>
        <w:trPr>
          <w:trHeight w:val="282" w:hRule="atLeast"/>
        </w:trPr>
        <w:tc>
          <w:tcPr>
            <w:tcW w:w="4837" w:type="dxa"/>
          </w:tcPr>
          <w:p>
            <w:pPr>
              <w:pStyle w:val="TableParagraph"/>
              <w:ind w:left="115"/>
              <w:rPr>
                <w:rFonts w:ascii="Times New Roman"/>
                <w:b/>
                <w:sz w:val="20"/>
              </w:rPr>
            </w:pPr>
            <w:r>
              <w:rPr>
                <w:rFonts w:ascii="Times New Roman"/>
                <w:b/>
                <w:sz w:val="20"/>
              </w:rPr>
              <w:t>Recursos de Parcela A e Outros Itens Financeiros</w:t>
            </w:r>
          </w:p>
        </w:tc>
        <w:tc>
          <w:tcPr>
            <w:tcW w:w="1502" w:type="dxa"/>
          </w:tcPr>
          <w:p>
            <w:pPr>
              <w:pStyle w:val="TableParagraph"/>
              <w:ind w:right="89"/>
              <w:jc w:val="right"/>
              <w:rPr>
                <w:rFonts w:ascii="Times New Roman"/>
                <w:b/>
                <w:sz w:val="20"/>
              </w:rPr>
            </w:pPr>
            <w:r>
              <w:rPr>
                <w:rFonts w:ascii="Times New Roman"/>
                <w:b/>
                <w:w w:val="90"/>
                <w:sz w:val="20"/>
              </w:rPr>
              <w:t>(230.218)</w:t>
            </w:r>
          </w:p>
        </w:tc>
        <w:tc>
          <w:tcPr>
            <w:tcW w:w="1503" w:type="dxa"/>
          </w:tcPr>
          <w:p>
            <w:pPr>
              <w:pStyle w:val="TableParagraph"/>
              <w:ind w:right="91"/>
              <w:jc w:val="right"/>
              <w:rPr>
                <w:rFonts w:ascii="Times New Roman"/>
                <w:b/>
                <w:sz w:val="20"/>
              </w:rPr>
            </w:pPr>
            <w:r>
              <w:rPr>
                <w:rFonts w:ascii="Times New Roman"/>
                <w:b/>
                <w:w w:val="90"/>
                <w:sz w:val="20"/>
              </w:rPr>
              <w:t>(94.548)</w:t>
            </w:r>
          </w:p>
        </w:tc>
        <w:tc>
          <w:tcPr>
            <w:tcW w:w="1196" w:type="dxa"/>
          </w:tcPr>
          <w:p>
            <w:pPr>
              <w:pStyle w:val="TableParagraph"/>
              <w:spacing w:line="212" w:lineRule="exact" w:before="50"/>
              <w:ind w:right="91"/>
              <w:jc w:val="right"/>
              <w:rPr>
                <w:rFonts w:ascii="Times New Roman"/>
                <w:b/>
                <w:sz w:val="20"/>
              </w:rPr>
            </w:pPr>
            <w:r>
              <w:rPr>
                <w:rFonts w:ascii="Times New Roman"/>
                <w:b/>
                <w:w w:val="90"/>
                <w:sz w:val="20"/>
              </w:rPr>
              <w:t>-135.670</w:t>
            </w:r>
          </w:p>
        </w:tc>
        <w:tc>
          <w:tcPr>
            <w:tcW w:w="1186" w:type="dxa"/>
          </w:tcPr>
          <w:p>
            <w:pPr>
              <w:pStyle w:val="TableParagraph"/>
              <w:spacing w:line="212" w:lineRule="exact" w:before="50"/>
              <w:ind w:right="92"/>
              <w:jc w:val="right"/>
              <w:rPr>
                <w:rFonts w:ascii="Times New Roman"/>
                <w:b/>
                <w:sz w:val="20"/>
              </w:rPr>
            </w:pPr>
            <w:r>
              <w:rPr>
                <w:rFonts w:ascii="Times New Roman"/>
                <w:b/>
                <w:w w:val="90"/>
                <w:sz w:val="20"/>
              </w:rPr>
              <w:t>143,49%</w:t>
            </w:r>
          </w:p>
        </w:tc>
      </w:tr>
    </w:tbl>
    <w:p>
      <w:pPr>
        <w:pStyle w:val="BodyText"/>
        <w:spacing w:before="4"/>
        <w:rPr>
          <w:rFonts w:ascii="Times New Roman"/>
        </w:rPr>
      </w:pPr>
    </w:p>
    <w:p>
      <w:pPr>
        <w:pStyle w:val="ListParagraph"/>
        <w:numPr>
          <w:ilvl w:val="1"/>
          <w:numId w:val="2"/>
        </w:numPr>
        <w:tabs>
          <w:tab w:pos="1208" w:val="left" w:leader="none"/>
        </w:tabs>
        <w:spacing w:line="357" w:lineRule="auto" w:before="1" w:after="0"/>
        <w:ind w:left="1207" w:right="136" w:hanging="360"/>
        <w:jc w:val="both"/>
        <w:rPr>
          <w:rFonts w:ascii="Times New Roman" w:hAnsi="Times New Roman"/>
          <w:sz w:val="22"/>
        </w:rPr>
      </w:pPr>
      <w:r>
        <w:rPr>
          <w:rFonts w:ascii="Times New Roman" w:hAnsi="Times New Roman"/>
          <w:sz w:val="22"/>
        </w:rPr>
        <w:t>A Receita de Fornecimento de Energia Elétrica registrou, em 2019, R$ 3.964.515 mil, 9,43% superior ao reconhecido em 2018. Isso se justifica pelo aumento no consumo dos consumidores de energia do Distrito Federal bem como pelos Reajustes Tarifários Anuais que em 2018 representou efeito médio de 6,50% e em 2019, de</w:t>
      </w:r>
      <w:r>
        <w:rPr>
          <w:rFonts w:ascii="Times New Roman" w:hAnsi="Times New Roman"/>
          <w:spacing w:val="-2"/>
          <w:sz w:val="22"/>
        </w:rPr>
        <w:t> </w:t>
      </w:r>
      <w:r>
        <w:rPr>
          <w:rFonts w:ascii="Times New Roman" w:hAnsi="Times New Roman"/>
          <w:sz w:val="22"/>
        </w:rPr>
        <w:t>6,79%.</w:t>
      </w:r>
    </w:p>
    <w:p>
      <w:pPr>
        <w:pStyle w:val="BodyText"/>
        <w:spacing w:before="11"/>
        <w:rPr>
          <w:rFonts w:ascii="Times New Roman"/>
        </w:rPr>
      </w:pPr>
    </w:p>
    <w:p>
      <w:pPr>
        <w:pStyle w:val="ListParagraph"/>
        <w:numPr>
          <w:ilvl w:val="1"/>
          <w:numId w:val="2"/>
        </w:numPr>
        <w:tabs>
          <w:tab w:pos="1208" w:val="left" w:leader="none"/>
        </w:tabs>
        <w:spacing w:line="360" w:lineRule="auto" w:before="0" w:after="0"/>
        <w:ind w:left="1207" w:right="137" w:hanging="360"/>
        <w:jc w:val="both"/>
        <w:rPr>
          <w:rFonts w:ascii="Times New Roman" w:hAnsi="Times New Roman"/>
          <w:sz w:val="22"/>
        </w:rPr>
      </w:pPr>
      <w:r>
        <w:rPr>
          <w:rFonts w:ascii="Times New Roman" w:hAnsi="Times New Roman"/>
          <w:sz w:val="22"/>
        </w:rPr>
        <w:t>A</w:t>
      </w:r>
      <w:r>
        <w:rPr>
          <w:rFonts w:ascii="Times New Roman" w:hAnsi="Times New Roman"/>
          <w:spacing w:val="-12"/>
          <w:sz w:val="22"/>
        </w:rPr>
        <w:t> </w:t>
      </w:r>
      <w:r>
        <w:rPr>
          <w:rFonts w:ascii="Times New Roman" w:hAnsi="Times New Roman"/>
          <w:sz w:val="22"/>
        </w:rPr>
        <w:t>receita</w:t>
      </w:r>
      <w:r>
        <w:rPr>
          <w:rFonts w:ascii="Times New Roman" w:hAnsi="Times New Roman"/>
          <w:spacing w:val="-11"/>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Energia</w:t>
      </w:r>
      <w:r>
        <w:rPr>
          <w:rFonts w:ascii="Times New Roman" w:hAnsi="Times New Roman"/>
          <w:spacing w:val="-13"/>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Curto</w:t>
      </w:r>
      <w:r>
        <w:rPr>
          <w:rFonts w:ascii="Times New Roman" w:hAnsi="Times New Roman"/>
          <w:spacing w:val="-11"/>
          <w:sz w:val="22"/>
        </w:rPr>
        <w:t> </w:t>
      </w:r>
      <w:r>
        <w:rPr>
          <w:rFonts w:ascii="Times New Roman" w:hAnsi="Times New Roman"/>
          <w:sz w:val="22"/>
        </w:rPr>
        <w:t>Prazo</w:t>
      </w:r>
      <w:r>
        <w:rPr>
          <w:rFonts w:ascii="Times New Roman" w:hAnsi="Times New Roman"/>
          <w:spacing w:val="-11"/>
          <w:sz w:val="22"/>
        </w:rPr>
        <w:t> </w:t>
      </w:r>
      <w:r>
        <w:rPr>
          <w:rFonts w:ascii="Times New Roman" w:hAnsi="Times New Roman"/>
          <w:sz w:val="22"/>
        </w:rPr>
        <w:t>atingiu,</w:t>
      </w:r>
      <w:r>
        <w:rPr>
          <w:rFonts w:ascii="Times New Roman" w:hAnsi="Times New Roman"/>
          <w:spacing w:val="-13"/>
          <w:sz w:val="22"/>
        </w:rPr>
        <w:t> </w:t>
      </w:r>
      <w:r>
        <w:rPr>
          <w:rFonts w:ascii="Times New Roman" w:hAnsi="Times New Roman"/>
          <w:sz w:val="22"/>
        </w:rPr>
        <w:t>em</w:t>
      </w:r>
      <w:r>
        <w:rPr>
          <w:rFonts w:ascii="Times New Roman" w:hAnsi="Times New Roman"/>
          <w:spacing w:val="-14"/>
          <w:sz w:val="22"/>
        </w:rPr>
        <w:t> </w:t>
      </w:r>
      <w:r>
        <w:rPr>
          <w:rFonts w:ascii="Times New Roman" w:hAnsi="Times New Roman"/>
          <w:sz w:val="22"/>
        </w:rPr>
        <w:t>2019,</w:t>
      </w:r>
      <w:r>
        <w:rPr>
          <w:rFonts w:ascii="Times New Roman" w:hAnsi="Times New Roman"/>
          <w:spacing w:val="-13"/>
          <w:sz w:val="22"/>
        </w:rPr>
        <w:t> </w:t>
      </w:r>
      <w:r>
        <w:rPr>
          <w:rFonts w:ascii="Times New Roman" w:hAnsi="Times New Roman"/>
          <w:sz w:val="22"/>
        </w:rPr>
        <w:t>R$</w:t>
      </w:r>
      <w:r>
        <w:rPr>
          <w:rFonts w:ascii="Times New Roman" w:hAnsi="Times New Roman"/>
          <w:spacing w:val="-11"/>
          <w:sz w:val="22"/>
        </w:rPr>
        <w:t> </w:t>
      </w:r>
      <w:r>
        <w:rPr>
          <w:rFonts w:ascii="Times New Roman" w:hAnsi="Times New Roman"/>
          <w:sz w:val="22"/>
        </w:rPr>
        <w:t>386.950</w:t>
      </w:r>
      <w:r>
        <w:rPr>
          <w:rFonts w:ascii="Times New Roman" w:hAnsi="Times New Roman"/>
          <w:spacing w:val="-12"/>
          <w:sz w:val="22"/>
        </w:rPr>
        <w:t> </w:t>
      </w:r>
      <w:r>
        <w:rPr>
          <w:rFonts w:ascii="Times New Roman" w:hAnsi="Times New Roman"/>
          <w:sz w:val="22"/>
        </w:rPr>
        <w:t>mil,</w:t>
      </w:r>
      <w:r>
        <w:rPr>
          <w:rFonts w:ascii="Times New Roman" w:hAnsi="Times New Roman"/>
          <w:spacing w:val="-10"/>
          <w:sz w:val="22"/>
        </w:rPr>
        <w:t> </w:t>
      </w:r>
      <w:r>
        <w:rPr>
          <w:rFonts w:ascii="Times New Roman" w:hAnsi="Times New Roman"/>
          <w:sz w:val="22"/>
        </w:rPr>
        <w:t>97,55%</w:t>
      </w:r>
      <w:r>
        <w:rPr>
          <w:rFonts w:ascii="Times New Roman" w:hAnsi="Times New Roman"/>
          <w:spacing w:val="-12"/>
          <w:sz w:val="22"/>
        </w:rPr>
        <w:t> </w:t>
      </w:r>
      <w:r>
        <w:rPr>
          <w:rFonts w:ascii="Times New Roman" w:hAnsi="Times New Roman"/>
          <w:sz w:val="22"/>
        </w:rPr>
        <w:t>superior</w:t>
      </w:r>
      <w:r>
        <w:rPr>
          <w:rFonts w:ascii="Times New Roman" w:hAnsi="Times New Roman"/>
          <w:spacing w:val="-13"/>
          <w:sz w:val="22"/>
        </w:rPr>
        <w:t> </w:t>
      </w:r>
      <w:r>
        <w:rPr>
          <w:rFonts w:ascii="Times New Roman" w:hAnsi="Times New Roman"/>
          <w:sz w:val="22"/>
        </w:rPr>
        <w:t>à</w:t>
      </w:r>
      <w:r>
        <w:rPr>
          <w:rFonts w:ascii="Times New Roman" w:hAnsi="Times New Roman"/>
          <w:spacing w:val="-13"/>
          <w:sz w:val="22"/>
        </w:rPr>
        <w:t> </w:t>
      </w:r>
      <w:r>
        <w:rPr>
          <w:rFonts w:ascii="Times New Roman" w:hAnsi="Times New Roman"/>
          <w:sz w:val="22"/>
        </w:rPr>
        <w:t>receita</w:t>
      </w:r>
      <w:r>
        <w:rPr>
          <w:rFonts w:ascii="Times New Roman" w:hAnsi="Times New Roman"/>
          <w:spacing w:val="-13"/>
          <w:sz w:val="22"/>
        </w:rPr>
        <w:t> </w:t>
      </w:r>
      <w:r>
        <w:rPr>
          <w:rFonts w:ascii="Times New Roman" w:hAnsi="Times New Roman"/>
          <w:sz w:val="22"/>
        </w:rPr>
        <w:t>reconhecida em 2018. A variação ocorreu devido aos seguintes impactos: (i) Participação no Mecanismo de Venda de Excedentes – MVE, onde observou-se os critérios estabelecidos na Resolução Normativa nº 824, de 10 de julho de 2018, a qual estabelece que poderão participar como vendedores os agentes de distribuição que declararem sobras contratuais de energia elétrica. O processamento do MVE ocorrerá anualmente, semestralmente e trimestralmente, estando o montante total de energia elétrica declarado pelo agente de distribuição</w:t>
      </w:r>
      <w:r>
        <w:rPr>
          <w:rFonts w:ascii="Times New Roman" w:hAnsi="Times New Roman"/>
          <w:spacing w:val="-7"/>
          <w:sz w:val="22"/>
        </w:rPr>
        <w:t> </w:t>
      </w:r>
      <w:r>
        <w:rPr>
          <w:rFonts w:ascii="Times New Roman" w:hAnsi="Times New Roman"/>
          <w:sz w:val="22"/>
        </w:rPr>
        <w:t>limitado</w:t>
      </w:r>
      <w:r>
        <w:rPr>
          <w:rFonts w:ascii="Times New Roman" w:hAnsi="Times New Roman"/>
          <w:spacing w:val="-7"/>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15%</w:t>
      </w:r>
      <w:r>
        <w:rPr>
          <w:rFonts w:ascii="Times New Roman" w:hAnsi="Times New Roman"/>
          <w:spacing w:val="-6"/>
          <w:sz w:val="22"/>
        </w:rPr>
        <w:t> </w:t>
      </w:r>
      <w:r>
        <w:rPr>
          <w:rFonts w:ascii="Times New Roman" w:hAnsi="Times New Roman"/>
          <w:sz w:val="22"/>
        </w:rPr>
        <w:t>da</w:t>
      </w:r>
      <w:r>
        <w:rPr>
          <w:rFonts w:ascii="Times New Roman" w:hAnsi="Times New Roman"/>
          <w:spacing w:val="-4"/>
          <w:sz w:val="22"/>
        </w:rPr>
        <w:t> </w:t>
      </w:r>
      <w:r>
        <w:rPr>
          <w:rFonts w:ascii="Times New Roman" w:hAnsi="Times New Roman"/>
          <w:sz w:val="22"/>
        </w:rPr>
        <w:t>sua</w:t>
      </w:r>
      <w:r>
        <w:rPr>
          <w:rFonts w:ascii="Times New Roman" w:hAnsi="Times New Roman"/>
          <w:spacing w:val="-6"/>
          <w:sz w:val="22"/>
        </w:rPr>
        <w:t> </w:t>
      </w:r>
      <w:r>
        <w:rPr>
          <w:rFonts w:ascii="Times New Roman" w:hAnsi="Times New Roman"/>
          <w:sz w:val="22"/>
        </w:rPr>
        <w:t>respectiva</w:t>
      </w:r>
      <w:r>
        <w:rPr>
          <w:rFonts w:ascii="Times New Roman" w:hAnsi="Times New Roman"/>
          <w:spacing w:val="-4"/>
          <w:sz w:val="22"/>
        </w:rPr>
        <w:t> </w:t>
      </w:r>
      <w:r>
        <w:rPr>
          <w:rFonts w:ascii="Times New Roman" w:hAnsi="Times New Roman"/>
          <w:sz w:val="22"/>
        </w:rPr>
        <w:t>carga</w:t>
      </w:r>
      <w:r>
        <w:rPr>
          <w:rFonts w:ascii="Times New Roman" w:hAnsi="Times New Roman"/>
          <w:spacing w:val="-4"/>
          <w:sz w:val="22"/>
        </w:rPr>
        <w:t> </w:t>
      </w:r>
      <w:r>
        <w:rPr>
          <w:rFonts w:ascii="Times New Roman" w:hAnsi="Times New Roman"/>
          <w:sz w:val="22"/>
        </w:rPr>
        <w:t>no</w:t>
      </w:r>
      <w:r>
        <w:rPr>
          <w:rFonts w:ascii="Times New Roman" w:hAnsi="Times New Roman"/>
          <w:spacing w:val="-6"/>
          <w:sz w:val="22"/>
        </w:rPr>
        <w:t> </w:t>
      </w:r>
      <w:r>
        <w:rPr>
          <w:rFonts w:ascii="Times New Roman" w:hAnsi="Times New Roman"/>
          <w:sz w:val="22"/>
        </w:rPr>
        <w:t>centro</w:t>
      </w:r>
      <w:r>
        <w:rPr>
          <w:rFonts w:ascii="Times New Roman" w:hAnsi="Times New Roman"/>
          <w:spacing w:val="-5"/>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gravidade,</w:t>
      </w:r>
      <w:r>
        <w:rPr>
          <w:rFonts w:ascii="Times New Roman" w:hAnsi="Times New Roman"/>
          <w:spacing w:val="-4"/>
          <w:sz w:val="22"/>
        </w:rPr>
        <w:t> </w:t>
      </w:r>
      <w:r>
        <w:rPr>
          <w:rFonts w:ascii="Times New Roman" w:hAnsi="Times New Roman"/>
          <w:sz w:val="22"/>
        </w:rPr>
        <w:t>apurada</w:t>
      </w:r>
      <w:r>
        <w:rPr>
          <w:rFonts w:ascii="Times New Roman" w:hAnsi="Times New Roman"/>
          <w:spacing w:val="-4"/>
          <w:sz w:val="22"/>
        </w:rPr>
        <w:t> </w:t>
      </w:r>
      <w:r>
        <w:rPr>
          <w:rFonts w:ascii="Times New Roman" w:hAnsi="Times New Roman"/>
          <w:sz w:val="22"/>
        </w:rPr>
        <w:t>nos</w:t>
      </w:r>
      <w:r>
        <w:rPr>
          <w:rFonts w:ascii="Times New Roman" w:hAnsi="Times New Roman"/>
          <w:spacing w:val="-6"/>
          <w:sz w:val="22"/>
        </w:rPr>
        <w:t> </w:t>
      </w:r>
      <w:r>
        <w:rPr>
          <w:rFonts w:ascii="Times New Roman" w:hAnsi="Times New Roman"/>
          <w:sz w:val="22"/>
        </w:rPr>
        <w:t>12</w:t>
      </w:r>
      <w:r>
        <w:rPr>
          <w:rFonts w:ascii="Times New Roman" w:hAnsi="Times New Roman"/>
          <w:spacing w:val="-5"/>
          <w:sz w:val="22"/>
        </w:rPr>
        <w:t> </w:t>
      </w:r>
      <w:r>
        <w:rPr>
          <w:rFonts w:ascii="Times New Roman" w:hAnsi="Times New Roman"/>
          <w:sz w:val="22"/>
        </w:rPr>
        <w:t>meses</w:t>
      </w:r>
      <w:r>
        <w:rPr>
          <w:rFonts w:ascii="Times New Roman" w:hAnsi="Times New Roman"/>
          <w:spacing w:val="-6"/>
          <w:sz w:val="22"/>
        </w:rPr>
        <w:t> </w:t>
      </w:r>
      <w:r>
        <w:rPr>
          <w:rFonts w:ascii="Times New Roman" w:hAnsi="Times New Roman"/>
          <w:sz w:val="22"/>
        </w:rPr>
        <w:t>anteriores de</w:t>
      </w:r>
      <w:r>
        <w:rPr>
          <w:rFonts w:ascii="Times New Roman" w:hAnsi="Times New Roman"/>
          <w:spacing w:val="-3"/>
          <w:sz w:val="22"/>
        </w:rPr>
        <w:t> </w:t>
      </w:r>
      <w:r>
        <w:rPr>
          <w:rFonts w:ascii="Times New Roman" w:hAnsi="Times New Roman"/>
          <w:sz w:val="22"/>
        </w:rPr>
        <w:t>dados</w:t>
      </w:r>
      <w:r>
        <w:rPr>
          <w:rFonts w:ascii="Times New Roman" w:hAnsi="Times New Roman"/>
          <w:spacing w:val="-3"/>
          <w:sz w:val="22"/>
        </w:rPr>
        <w:t> </w:t>
      </w:r>
      <w:r>
        <w:rPr>
          <w:rFonts w:ascii="Times New Roman" w:hAnsi="Times New Roman"/>
          <w:sz w:val="22"/>
        </w:rPr>
        <w:t>disponíveis</w:t>
      </w:r>
      <w:r>
        <w:rPr>
          <w:rFonts w:ascii="Times New Roman" w:hAnsi="Times New Roman"/>
          <w:spacing w:val="-5"/>
          <w:sz w:val="22"/>
        </w:rPr>
        <w:t> </w:t>
      </w:r>
      <w:r>
        <w:rPr>
          <w:rFonts w:ascii="Times New Roman" w:hAnsi="Times New Roman"/>
          <w:sz w:val="22"/>
        </w:rPr>
        <w:t>(montante</w:t>
      </w:r>
      <w:r>
        <w:rPr>
          <w:rFonts w:ascii="Times New Roman" w:hAnsi="Times New Roman"/>
          <w:spacing w:val="-6"/>
          <w:sz w:val="22"/>
        </w:rPr>
        <w:t> </w:t>
      </w:r>
      <w:r>
        <w:rPr>
          <w:rFonts w:ascii="Times New Roman" w:hAnsi="Times New Roman"/>
          <w:sz w:val="22"/>
        </w:rPr>
        <w:t>divulgado</w:t>
      </w:r>
      <w:r>
        <w:rPr>
          <w:rFonts w:ascii="Times New Roman" w:hAnsi="Times New Roman"/>
          <w:spacing w:val="-2"/>
          <w:sz w:val="22"/>
        </w:rPr>
        <w:t> </w:t>
      </w:r>
      <w:r>
        <w:rPr>
          <w:rFonts w:ascii="Times New Roman" w:hAnsi="Times New Roman"/>
          <w:sz w:val="22"/>
        </w:rPr>
        <w:t>pela</w:t>
      </w:r>
      <w:r>
        <w:rPr>
          <w:rFonts w:ascii="Times New Roman" w:hAnsi="Times New Roman"/>
          <w:spacing w:val="-6"/>
          <w:sz w:val="22"/>
        </w:rPr>
        <w:t> </w:t>
      </w:r>
      <w:r>
        <w:rPr>
          <w:rFonts w:ascii="Times New Roman" w:hAnsi="Times New Roman"/>
          <w:sz w:val="22"/>
        </w:rPr>
        <w:t>CCEE).</w:t>
      </w:r>
      <w:r>
        <w:rPr>
          <w:rFonts w:ascii="Times New Roman" w:hAnsi="Times New Roman"/>
          <w:spacing w:val="-3"/>
          <w:sz w:val="22"/>
        </w:rPr>
        <w:t> </w:t>
      </w:r>
      <w:r>
        <w:rPr>
          <w:rFonts w:ascii="Times New Roman" w:hAnsi="Times New Roman"/>
          <w:sz w:val="22"/>
        </w:rPr>
        <w:t>Nesse</w:t>
      </w:r>
      <w:r>
        <w:rPr>
          <w:rFonts w:ascii="Times New Roman" w:hAnsi="Times New Roman"/>
          <w:spacing w:val="-5"/>
          <w:sz w:val="22"/>
        </w:rPr>
        <w:t> </w:t>
      </w:r>
      <w:r>
        <w:rPr>
          <w:rFonts w:ascii="Times New Roman" w:hAnsi="Times New Roman"/>
          <w:sz w:val="22"/>
        </w:rPr>
        <w:t>sentido,</w:t>
      </w:r>
      <w:r>
        <w:rPr>
          <w:rFonts w:ascii="Times New Roman" w:hAnsi="Times New Roman"/>
          <w:spacing w:val="-3"/>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CEB-D</w:t>
      </w:r>
      <w:r>
        <w:rPr>
          <w:rFonts w:ascii="Times New Roman" w:hAnsi="Times New Roman"/>
          <w:spacing w:val="-2"/>
          <w:sz w:val="22"/>
        </w:rPr>
        <w:t> </w:t>
      </w:r>
      <w:r>
        <w:rPr>
          <w:rFonts w:ascii="Times New Roman" w:hAnsi="Times New Roman"/>
          <w:sz w:val="22"/>
        </w:rPr>
        <w:t>vendeu</w:t>
      </w:r>
      <w:r>
        <w:rPr>
          <w:rFonts w:ascii="Times New Roman" w:hAnsi="Times New Roman"/>
          <w:spacing w:val="-5"/>
          <w:sz w:val="22"/>
        </w:rPr>
        <w:t> </w:t>
      </w:r>
      <w:r>
        <w:rPr>
          <w:rFonts w:ascii="Times New Roman" w:hAnsi="Times New Roman"/>
          <w:sz w:val="22"/>
        </w:rPr>
        <w:t>73,9</w:t>
      </w:r>
      <w:r>
        <w:rPr>
          <w:rFonts w:ascii="Times New Roman" w:hAnsi="Times New Roman"/>
          <w:spacing w:val="-6"/>
          <w:sz w:val="22"/>
        </w:rPr>
        <w:t> </w:t>
      </w:r>
      <w:r>
        <w:rPr>
          <w:rFonts w:ascii="Times New Roman" w:hAnsi="Times New Roman"/>
          <w:sz w:val="22"/>
        </w:rPr>
        <w:t>MW</w:t>
      </w:r>
      <w:r>
        <w:rPr>
          <w:rFonts w:ascii="Times New Roman" w:hAnsi="Times New Roman"/>
          <w:spacing w:val="-2"/>
          <w:sz w:val="22"/>
        </w:rPr>
        <w:t> </w:t>
      </w:r>
      <w:r>
        <w:rPr>
          <w:rFonts w:ascii="Times New Roman" w:hAnsi="Times New Roman"/>
          <w:sz w:val="22"/>
        </w:rPr>
        <w:t>médio</w:t>
      </w:r>
      <w:r>
        <w:rPr>
          <w:rFonts w:ascii="Times New Roman" w:hAnsi="Times New Roman"/>
          <w:spacing w:val="-6"/>
          <w:sz w:val="22"/>
        </w:rPr>
        <w:t> </w:t>
      </w:r>
      <w:r>
        <w:rPr>
          <w:rFonts w:ascii="Times New Roman" w:hAnsi="Times New Roman"/>
          <w:sz w:val="22"/>
        </w:rPr>
        <w:t>no mecanismo semestral, com validade de julho a dezembro de 2019, na modalidade de Energia Convencional Especial ao preço de “PLD + Spread”, gerando </w:t>
      </w:r>
      <w:r>
        <w:rPr>
          <w:rFonts w:ascii="Times New Roman" w:hAnsi="Times New Roman"/>
          <w:spacing w:val="-3"/>
          <w:sz w:val="22"/>
        </w:rPr>
        <w:t>uma </w:t>
      </w:r>
      <w:r>
        <w:rPr>
          <w:rFonts w:ascii="Times New Roman" w:hAnsi="Times New Roman"/>
          <w:sz w:val="22"/>
        </w:rPr>
        <w:t>receita de R$ 80 milhões. (ii) Participação nos Mecanismos</w:t>
      </w:r>
      <w:r>
        <w:rPr>
          <w:rFonts w:ascii="Times New Roman" w:hAnsi="Times New Roman"/>
          <w:spacing w:val="-3"/>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Compensação</w:t>
      </w:r>
      <w:r>
        <w:rPr>
          <w:rFonts w:ascii="Times New Roman" w:hAnsi="Times New Roman"/>
          <w:spacing w:val="-2"/>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Sobras</w:t>
      </w:r>
      <w:r>
        <w:rPr>
          <w:rFonts w:ascii="Times New Roman" w:hAnsi="Times New Roman"/>
          <w:spacing w:val="-2"/>
          <w:sz w:val="22"/>
        </w:rPr>
        <w:t> </w:t>
      </w:r>
      <w:r>
        <w:rPr>
          <w:rFonts w:ascii="Times New Roman" w:hAnsi="Times New Roman"/>
          <w:sz w:val="22"/>
        </w:rPr>
        <w:t>e</w:t>
      </w:r>
      <w:r>
        <w:rPr>
          <w:rFonts w:ascii="Times New Roman" w:hAnsi="Times New Roman"/>
          <w:spacing w:val="-2"/>
          <w:sz w:val="22"/>
        </w:rPr>
        <w:t> </w:t>
      </w:r>
      <w:r>
        <w:rPr>
          <w:rFonts w:ascii="Times New Roman" w:hAnsi="Times New Roman"/>
          <w:sz w:val="22"/>
        </w:rPr>
        <w:t>Déficits</w:t>
      </w:r>
      <w:r>
        <w:rPr>
          <w:rFonts w:ascii="Times New Roman" w:hAnsi="Times New Roman"/>
          <w:spacing w:val="-2"/>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Energia</w:t>
      </w:r>
      <w:r>
        <w:rPr>
          <w:rFonts w:ascii="Times New Roman" w:hAnsi="Times New Roman"/>
          <w:spacing w:val="-3"/>
          <w:sz w:val="22"/>
        </w:rPr>
        <w:t> </w:t>
      </w:r>
      <w:r>
        <w:rPr>
          <w:rFonts w:ascii="Times New Roman" w:hAnsi="Times New Roman"/>
          <w:sz w:val="22"/>
        </w:rPr>
        <w:t>Nova</w:t>
      </w:r>
      <w:r>
        <w:rPr>
          <w:rFonts w:ascii="Times New Roman" w:hAnsi="Times New Roman"/>
          <w:spacing w:val="-2"/>
          <w:sz w:val="22"/>
        </w:rPr>
        <w:t> </w:t>
      </w:r>
      <w:r>
        <w:rPr>
          <w:rFonts w:ascii="Times New Roman" w:hAnsi="Times New Roman"/>
          <w:sz w:val="22"/>
        </w:rPr>
        <w:t>(MCSD</w:t>
      </w:r>
      <w:r>
        <w:rPr>
          <w:rFonts w:ascii="Times New Roman" w:hAnsi="Times New Roman"/>
          <w:spacing w:val="-4"/>
          <w:sz w:val="22"/>
        </w:rPr>
        <w:t> </w:t>
      </w:r>
      <w:r>
        <w:rPr>
          <w:rFonts w:ascii="Times New Roman" w:hAnsi="Times New Roman"/>
          <w:sz w:val="22"/>
        </w:rPr>
        <w:t>EN),</w:t>
      </w:r>
      <w:r>
        <w:rPr>
          <w:rFonts w:ascii="Times New Roman" w:hAnsi="Times New Roman"/>
          <w:spacing w:val="-3"/>
          <w:sz w:val="22"/>
        </w:rPr>
        <w:t> </w:t>
      </w:r>
      <w:r>
        <w:rPr>
          <w:rFonts w:ascii="Times New Roman" w:hAnsi="Times New Roman"/>
          <w:sz w:val="22"/>
        </w:rPr>
        <w:t>definida</w:t>
      </w:r>
      <w:r>
        <w:rPr>
          <w:rFonts w:ascii="Times New Roman" w:hAnsi="Times New Roman"/>
          <w:spacing w:val="-2"/>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acordo</w:t>
      </w:r>
      <w:r>
        <w:rPr>
          <w:rFonts w:ascii="Times New Roman" w:hAnsi="Times New Roman"/>
          <w:spacing w:val="-3"/>
          <w:sz w:val="22"/>
        </w:rPr>
        <w:t> </w:t>
      </w:r>
      <w:r>
        <w:rPr>
          <w:rFonts w:ascii="Times New Roman" w:hAnsi="Times New Roman"/>
          <w:sz w:val="22"/>
        </w:rPr>
        <w:t>com</w:t>
      </w:r>
      <w:r>
        <w:rPr>
          <w:rFonts w:ascii="Times New Roman" w:hAnsi="Times New Roman"/>
          <w:spacing w:val="-6"/>
          <w:sz w:val="22"/>
        </w:rPr>
        <w:t> </w:t>
      </w:r>
      <w:r>
        <w:rPr>
          <w:rFonts w:ascii="Times New Roman" w:hAnsi="Times New Roman"/>
          <w:sz w:val="22"/>
        </w:rPr>
        <w:t>a Resolução Normativa Nº 693, de 15 de Dezembro de 2015, que estabelece os critérios para aplicação do mecanismo de compensação de sobras e déficits de energia elétrica e de potência de contrato de comercialização de energia elétrica proveniente de novos empreendimentos de geração. A regra prevê a ocorrência dos mecanismos A0: abr-dez, jul-dez e out-dez. Os mecanismos A-1 ocorrem em dezembro para vigência de jan-dez do ano seguinte. Em 2019, a CEB-DIS descontratou via MCSD EN o montante de 404 GWh contra o montante de 1.477 GWh em 2018, considerando as declarações em vários produtos. Essa redução</w:t>
      </w:r>
      <w:r>
        <w:rPr>
          <w:rFonts w:ascii="Times New Roman" w:hAnsi="Times New Roman"/>
          <w:spacing w:val="-16"/>
          <w:sz w:val="22"/>
        </w:rPr>
        <w:t> </w:t>
      </w:r>
      <w:r>
        <w:rPr>
          <w:rFonts w:ascii="Times New Roman" w:hAnsi="Times New Roman"/>
          <w:sz w:val="22"/>
        </w:rPr>
        <w:t>impacta</w:t>
      </w:r>
      <w:r>
        <w:rPr>
          <w:rFonts w:ascii="Times New Roman" w:hAnsi="Times New Roman"/>
          <w:spacing w:val="-13"/>
          <w:sz w:val="22"/>
        </w:rPr>
        <w:t> </w:t>
      </w:r>
      <w:r>
        <w:rPr>
          <w:rFonts w:ascii="Times New Roman" w:hAnsi="Times New Roman"/>
          <w:sz w:val="22"/>
        </w:rPr>
        <w:t>diretamente</w:t>
      </w:r>
      <w:r>
        <w:rPr>
          <w:rFonts w:ascii="Times New Roman" w:hAnsi="Times New Roman"/>
          <w:spacing w:val="-13"/>
          <w:sz w:val="22"/>
        </w:rPr>
        <w:t> </w:t>
      </w:r>
      <w:r>
        <w:rPr>
          <w:rFonts w:ascii="Times New Roman" w:hAnsi="Times New Roman"/>
          <w:sz w:val="22"/>
        </w:rPr>
        <w:t>na</w:t>
      </w:r>
      <w:r>
        <w:rPr>
          <w:rFonts w:ascii="Times New Roman" w:hAnsi="Times New Roman"/>
          <w:spacing w:val="-14"/>
          <w:sz w:val="22"/>
        </w:rPr>
        <w:t> </w:t>
      </w:r>
      <w:r>
        <w:rPr>
          <w:rFonts w:ascii="Times New Roman" w:hAnsi="Times New Roman"/>
          <w:sz w:val="22"/>
        </w:rPr>
        <w:t>Receita</w:t>
      </w:r>
      <w:r>
        <w:rPr>
          <w:rFonts w:ascii="Times New Roman" w:hAnsi="Times New Roman"/>
          <w:spacing w:val="-15"/>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Energia</w:t>
      </w:r>
      <w:r>
        <w:rPr>
          <w:rFonts w:ascii="Times New Roman" w:hAnsi="Times New Roman"/>
          <w:spacing w:val="-15"/>
          <w:sz w:val="22"/>
        </w:rPr>
        <w:t> </w:t>
      </w:r>
      <w:r>
        <w:rPr>
          <w:rFonts w:ascii="Times New Roman" w:hAnsi="Times New Roman"/>
          <w:sz w:val="22"/>
        </w:rPr>
        <w:t>de</w:t>
      </w:r>
      <w:r>
        <w:rPr>
          <w:rFonts w:ascii="Times New Roman" w:hAnsi="Times New Roman"/>
          <w:spacing w:val="-16"/>
          <w:sz w:val="22"/>
        </w:rPr>
        <w:t> </w:t>
      </w:r>
      <w:r>
        <w:rPr>
          <w:rFonts w:ascii="Times New Roman" w:hAnsi="Times New Roman"/>
          <w:sz w:val="22"/>
        </w:rPr>
        <w:t>Curto</w:t>
      </w:r>
      <w:r>
        <w:rPr>
          <w:rFonts w:ascii="Times New Roman" w:hAnsi="Times New Roman"/>
          <w:spacing w:val="-13"/>
          <w:sz w:val="22"/>
        </w:rPr>
        <w:t> </w:t>
      </w:r>
      <w:r>
        <w:rPr>
          <w:rFonts w:ascii="Times New Roman" w:hAnsi="Times New Roman"/>
          <w:sz w:val="22"/>
        </w:rPr>
        <w:t>Prazo</w:t>
      </w:r>
      <w:r>
        <w:rPr>
          <w:rFonts w:ascii="Times New Roman" w:hAnsi="Times New Roman"/>
          <w:spacing w:val="-13"/>
          <w:sz w:val="22"/>
        </w:rPr>
        <w:t> </w:t>
      </w:r>
      <w:r>
        <w:rPr>
          <w:rFonts w:ascii="Times New Roman" w:hAnsi="Times New Roman"/>
          <w:sz w:val="22"/>
        </w:rPr>
        <w:t>que</w:t>
      </w:r>
      <w:r>
        <w:rPr>
          <w:rFonts w:ascii="Times New Roman" w:hAnsi="Times New Roman"/>
          <w:spacing w:val="-14"/>
          <w:sz w:val="22"/>
        </w:rPr>
        <w:t> </w:t>
      </w:r>
      <w:r>
        <w:rPr>
          <w:rFonts w:ascii="Times New Roman" w:hAnsi="Times New Roman"/>
          <w:sz w:val="22"/>
        </w:rPr>
        <w:t>teve</w:t>
      </w:r>
      <w:r>
        <w:rPr>
          <w:rFonts w:ascii="Times New Roman" w:hAnsi="Times New Roman"/>
          <w:spacing w:val="-13"/>
          <w:sz w:val="22"/>
        </w:rPr>
        <w:t> </w:t>
      </w:r>
      <w:r>
        <w:rPr>
          <w:rFonts w:ascii="Times New Roman" w:hAnsi="Times New Roman"/>
          <w:sz w:val="22"/>
        </w:rPr>
        <w:t>um</w:t>
      </w:r>
      <w:r>
        <w:rPr>
          <w:rFonts w:ascii="Times New Roman" w:hAnsi="Times New Roman"/>
          <w:spacing w:val="-17"/>
          <w:sz w:val="22"/>
        </w:rPr>
        <w:t> </w:t>
      </w:r>
      <w:r>
        <w:rPr>
          <w:rFonts w:ascii="Times New Roman" w:hAnsi="Times New Roman"/>
          <w:sz w:val="22"/>
        </w:rPr>
        <w:t>aumento</w:t>
      </w:r>
      <w:r>
        <w:rPr>
          <w:rFonts w:ascii="Times New Roman" w:hAnsi="Times New Roman"/>
          <w:spacing w:val="-13"/>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R$</w:t>
      </w:r>
      <w:r>
        <w:rPr>
          <w:rFonts w:ascii="Times New Roman" w:hAnsi="Times New Roman"/>
          <w:spacing w:val="-13"/>
          <w:sz w:val="22"/>
        </w:rPr>
        <w:t> </w:t>
      </w:r>
      <w:r>
        <w:rPr>
          <w:rFonts w:ascii="Times New Roman" w:hAnsi="Times New Roman"/>
          <w:sz w:val="22"/>
        </w:rPr>
        <w:t>146,5</w:t>
      </w:r>
      <w:r>
        <w:rPr>
          <w:rFonts w:ascii="Times New Roman" w:hAnsi="Times New Roman"/>
          <w:spacing w:val="-13"/>
          <w:sz w:val="22"/>
        </w:rPr>
        <w:t> </w:t>
      </w:r>
      <w:r>
        <w:rPr>
          <w:rFonts w:ascii="Times New Roman" w:hAnsi="Times New Roman"/>
          <w:sz w:val="22"/>
        </w:rPr>
        <w:t>milhões para R$ 348,9</w:t>
      </w:r>
      <w:r>
        <w:rPr>
          <w:rFonts w:ascii="Times New Roman" w:hAnsi="Times New Roman"/>
          <w:spacing w:val="-3"/>
          <w:sz w:val="22"/>
        </w:rPr>
        <w:t> </w:t>
      </w:r>
      <w:r>
        <w:rPr>
          <w:rFonts w:ascii="Times New Roman" w:hAnsi="Times New Roman"/>
          <w:sz w:val="22"/>
        </w:rPr>
        <w:t>milhões.</w:t>
      </w:r>
    </w:p>
    <w:p>
      <w:pPr>
        <w:spacing w:after="0" w:line="360" w:lineRule="auto"/>
        <w:jc w:val="both"/>
        <w:rPr>
          <w:rFonts w:ascii="Times New Roman" w:hAnsi="Times New Roman"/>
          <w:sz w:val="22"/>
        </w:rPr>
        <w:sectPr>
          <w:pgSz w:w="11920" w:h="16860"/>
          <w:pgMar w:header="544" w:footer="302" w:top="136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53" name="image2.jpeg"/>
            <wp:cNvGraphicFramePr>
              <a:graphicFrameLocks noChangeAspect="1"/>
            </wp:cNvGraphicFramePr>
            <a:graphic>
              <a:graphicData uri="http://schemas.openxmlformats.org/drawingml/2006/picture">
                <pic:pic>
                  <pic:nvPicPr>
                    <pic:cNvPr id="54"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ListParagraph"/>
        <w:numPr>
          <w:ilvl w:val="1"/>
          <w:numId w:val="2"/>
        </w:numPr>
        <w:tabs>
          <w:tab w:pos="1208" w:val="left" w:leader="none"/>
        </w:tabs>
        <w:spacing w:line="244" w:lineRule="exact" w:before="0" w:after="0"/>
        <w:ind w:left="1207" w:right="0" w:hanging="361"/>
        <w:jc w:val="both"/>
        <w:rPr>
          <w:rFonts w:ascii="Times New Roman" w:hAnsi="Times New Roman"/>
          <w:sz w:val="22"/>
        </w:rPr>
      </w:pPr>
      <w:r>
        <w:rPr>
          <w:rFonts w:ascii="Times New Roman" w:hAnsi="Times New Roman"/>
          <w:sz w:val="22"/>
        </w:rPr>
        <w:t>A</w:t>
      </w:r>
      <w:r>
        <w:rPr>
          <w:rFonts w:ascii="Times New Roman" w:hAnsi="Times New Roman"/>
          <w:spacing w:val="12"/>
          <w:sz w:val="22"/>
        </w:rPr>
        <w:t> </w:t>
      </w:r>
      <w:r>
        <w:rPr>
          <w:rFonts w:ascii="Times New Roman" w:hAnsi="Times New Roman"/>
          <w:sz w:val="22"/>
        </w:rPr>
        <w:t>variação</w:t>
      </w:r>
      <w:r>
        <w:rPr>
          <w:rFonts w:ascii="Times New Roman" w:hAnsi="Times New Roman"/>
          <w:spacing w:val="14"/>
          <w:sz w:val="22"/>
        </w:rPr>
        <w:t> </w:t>
      </w:r>
      <w:r>
        <w:rPr>
          <w:rFonts w:ascii="Times New Roman" w:hAnsi="Times New Roman"/>
          <w:sz w:val="22"/>
        </w:rPr>
        <w:t>da</w:t>
      </w:r>
      <w:r>
        <w:rPr>
          <w:rFonts w:ascii="Times New Roman" w:hAnsi="Times New Roman"/>
          <w:spacing w:val="15"/>
          <w:sz w:val="22"/>
        </w:rPr>
        <w:t> </w:t>
      </w:r>
      <w:r>
        <w:rPr>
          <w:rFonts w:ascii="Times New Roman" w:hAnsi="Times New Roman"/>
          <w:sz w:val="22"/>
        </w:rPr>
        <w:t>receita</w:t>
      </w:r>
      <w:r>
        <w:rPr>
          <w:rFonts w:ascii="Times New Roman" w:hAnsi="Times New Roman"/>
          <w:spacing w:val="14"/>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Recursos</w:t>
      </w:r>
      <w:r>
        <w:rPr>
          <w:rFonts w:ascii="Times New Roman" w:hAnsi="Times New Roman"/>
          <w:spacing w:val="15"/>
          <w:sz w:val="22"/>
        </w:rPr>
        <w:t> </w:t>
      </w:r>
      <w:r>
        <w:rPr>
          <w:rFonts w:ascii="Times New Roman" w:hAnsi="Times New Roman"/>
          <w:sz w:val="22"/>
        </w:rPr>
        <w:t>da</w:t>
      </w:r>
      <w:r>
        <w:rPr>
          <w:rFonts w:ascii="Times New Roman" w:hAnsi="Times New Roman"/>
          <w:spacing w:val="13"/>
          <w:sz w:val="22"/>
        </w:rPr>
        <w:t> </w:t>
      </w:r>
      <w:r>
        <w:rPr>
          <w:rFonts w:ascii="Times New Roman" w:hAnsi="Times New Roman"/>
          <w:sz w:val="22"/>
        </w:rPr>
        <w:t>Parcela</w:t>
      </w:r>
      <w:r>
        <w:rPr>
          <w:rFonts w:ascii="Times New Roman" w:hAnsi="Times New Roman"/>
          <w:spacing w:val="14"/>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e</w:t>
      </w:r>
      <w:r>
        <w:rPr>
          <w:rFonts w:ascii="Times New Roman" w:hAnsi="Times New Roman"/>
          <w:spacing w:val="14"/>
          <w:sz w:val="22"/>
        </w:rPr>
        <w:t> </w:t>
      </w:r>
      <w:r>
        <w:rPr>
          <w:rFonts w:ascii="Times New Roman" w:hAnsi="Times New Roman"/>
          <w:sz w:val="22"/>
        </w:rPr>
        <w:t>Outros</w:t>
      </w:r>
      <w:r>
        <w:rPr>
          <w:rFonts w:ascii="Times New Roman" w:hAnsi="Times New Roman"/>
          <w:spacing w:val="15"/>
          <w:sz w:val="22"/>
        </w:rPr>
        <w:t> </w:t>
      </w:r>
      <w:r>
        <w:rPr>
          <w:rFonts w:ascii="Times New Roman" w:hAnsi="Times New Roman"/>
          <w:sz w:val="22"/>
        </w:rPr>
        <w:t>Itens</w:t>
      </w:r>
      <w:r>
        <w:rPr>
          <w:rFonts w:ascii="Times New Roman" w:hAnsi="Times New Roman"/>
          <w:spacing w:val="15"/>
          <w:sz w:val="22"/>
        </w:rPr>
        <w:t> </w:t>
      </w:r>
      <w:r>
        <w:rPr>
          <w:rFonts w:ascii="Times New Roman" w:hAnsi="Times New Roman"/>
          <w:sz w:val="22"/>
        </w:rPr>
        <w:t>Financeiros,</w:t>
      </w:r>
      <w:r>
        <w:rPr>
          <w:rFonts w:ascii="Times New Roman" w:hAnsi="Times New Roman"/>
          <w:spacing w:val="14"/>
          <w:sz w:val="22"/>
        </w:rPr>
        <w:t> </w:t>
      </w:r>
      <w:r>
        <w:rPr>
          <w:rFonts w:ascii="Times New Roman" w:hAnsi="Times New Roman"/>
          <w:sz w:val="22"/>
        </w:rPr>
        <w:t>exclusiva</w:t>
      </w:r>
      <w:r>
        <w:rPr>
          <w:rFonts w:ascii="Times New Roman" w:hAnsi="Times New Roman"/>
          <w:spacing w:val="14"/>
          <w:sz w:val="22"/>
        </w:rPr>
        <w:t> </w:t>
      </w:r>
      <w:r>
        <w:rPr>
          <w:rFonts w:ascii="Times New Roman" w:hAnsi="Times New Roman"/>
          <w:sz w:val="22"/>
        </w:rPr>
        <w:t>da</w:t>
      </w:r>
      <w:r>
        <w:rPr>
          <w:rFonts w:ascii="Times New Roman" w:hAnsi="Times New Roman"/>
          <w:spacing w:val="14"/>
          <w:sz w:val="22"/>
        </w:rPr>
        <w:t> </w:t>
      </w:r>
      <w:r>
        <w:rPr>
          <w:rFonts w:ascii="Times New Roman" w:hAnsi="Times New Roman"/>
          <w:sz w:val="22"/>
        </w:rPr>
        <w:t>Controlada</w:t>
      </w:r>
      <w:r>
        <w:rPr>
          <w:rFonts w:ascii="Times New Roman" w:hAnsi="Times New Roman"/>
          <w:spacing w:val="14"/>
          <w:sz w:val="22"/>
        </w:rPr>
        <w:t> </w:t>
      </w:r>
      <w:r>
        <w:rPr>
          <w:rFonts w:ascii="Times New Roman" w:hAnsi="Times New Roman"/>
          <w:sz w:val="22"/>
        </w:rPr>
        <w:t>CEB</w:t>
      </w:r>
    </w:p>
    <w:p>
      <w:pPr>
        <w:spacing w:line="360" w:lineRule="auto" w:before="123"/>
        <w:ind w:left="1207" w:right="136" w:firstLine="0"/>
        <w:jc w:val="both"/>
        <w:rPr>
          <w:rFonts w:ascii="Times New Roman" w:hAnsi="Times New Roman"/>
          <w:sz w:val="22"/>
        </w:rPr>
      </w:pPr>
      <w:r>
        <w:rPr>
          <w:rFonts w:ascii="Times New Roman" w:hAnsi="Times New Roman"/>
          <w:sz w:val="22"/>
        </w:rPr>
        <w:t>Distribuição S/A, ocorrida de 2018 para 2019, na ótica da amortização, decorre basicamente de 10 meses de amortização da CVA energia reconhecida no ciclo anterior (2018/2019 - RTA 2018), no montante de R$ 394,4 milhões, e 2 meses de amortização do ciclo atual (2019/2020 - RTA 2019), no montante de R$ 236,2 milhões. Na constituição, refere-se principalmente aos custos no mercado de curto prazo decorrentes dos altos valores de Risco Hidrológico que são precificados pelo PLD. O Risco Hidrológico ativo foi impactado pela</w:t>
      </w:r>
      <w:r>
        <w:rPr>
          <w:rFonts w:ascii="Times New Roman" w:hAnsi="Times New Roman"/>
          <w:spacing w:val="-3"/>
          <w:sz w:val="22"/>
        </w:rPr>
        <w:t> </w:t>
      </w:r>
      <w:r>
        <w:rPr>
          <w:rFonts w:ascii="Times New Roman" w:hAnsi="Times New Roman"/>
          <w:sz w:val="22"/>
        </w:rPr>
        <w:t>amortização</w:t>
      </w:r>
      <w:r>
        <w:rPr>
          <w:rFonts w:ascii="Times New Roman" w:hAnsi="Times New Roman"/>
          <w:spacing w:val="-2"/>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R$</w:t>
      </w:r>
      <w:r>
        <w:rPr>
          <w:rFonts w:ascii="Times New Roman" w:hAnsi="Times New Roman"/>
          <w:spacing w:val="-3"/>
          <w:sz w:val="22"/>
        </w:rPr>
        <w:t> </w:t>
      </w:r>
      <w:r>
        <w:rPr>
          <w:rFonts w:ascii="Times New Roman" w:hAnsi="Times New Roman"/>
          <w:sz w:val="22"/>
        </w:rPr>
        <w:t>101</w:t>
      </w:r>
      <w:r>
        <w:rPr>
          <w:rFonts w:ascii="Times New Roman" w:hAnsi="Times New Roman"/>
          <w:spacing w:val="-6"/>
          <w:sz w:val="22"/>
        </w:rPr>
        <w:t> </w:t>
      </w:r>
      <w:r>
        <w:rPr>
          <w:rFonts w:ascii="Times New Roman" w:hAnsi="Times New Roman"/>
          <w:sz w:val="22"/>
        </w:rPr>
        <w:t>milhões,</w:t>
      </w:r>
      <w:r>
        <w:rPr>
          <w:rFonts w:ascii="Times New Roman" w:hAnsi="Times New Roman"/>
          <w:spacing w:val="-3"/>
          <w:sz w:val="22"/>
        </w:rPr>
        <w:t> </w:t>
      </w:r>
      <w:r>
        <w:rPr>
          <w:rFonts w:ascii="Times New Roman" w:hAnsi="Times New Roman"/>
          <w:sz w:val="22"/>
        </w:rPr>
        <w:t>no</w:t>
      </w:r>
      <w:r>
        <w:rPr>
          <w:rFonts w:ascii="Times New Roman" w:hAnsi="Times New Roman"/>
          <w:spacing w:val="-3"/>
          <w:sz w:val="22"/>
        </w:rPr>
        <w:t> </w:t>
      </w:r>
      <w:r>
        <w:rPr>
          <w:rFonts w:ascii="Times New Roman" w:hAnsi="Times New Roman"/>
          <w:sz w:val="22"/>
        </w:rPr>
        <w:t>ano</w:t>
      </w:r>
      <w:r>
        <w:rPr>
          <w:rFonts w:ascii="Times New Roman" w:hAnsi="Times New Roman"/>
          <w:spacing w:val="-3"/>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2019,</w:t>
      </w:r>
      <w:r>
        <w:rPr>
          <w:rFonts w:ascii="Times New Roman" w:hAnsi="Times New Roman"/>
          <w:spacing w:val="-6"/>
          <w:sz w:val="22"/>
        </w:rPr>
        <w:t> </w:t>
      </w:r>
      <w:r>
        <w:rPr>
          <w:rFonts w:ascii="Times New Roman" w:hAnsi="Times New Roman"/>
          <w:sz w:val="22"/>
        </w:rPr>
        <w:t>considerando</w:t>
      </w:r>
      <w:r>
        <w:rPr>
          <w:rFonts w:ascii="Times New Roman" w:hAnsi="Times New Roman"/>
          <w:spacing w:val="-3"/>
          <w:sz w:val="22"/>
        </w:rPr>
        <w:t> </w:t>
      </w:r>
      <w:r>
        <w:rPr>
          <w:rFonts w:ascii="Times New Roman" w:hAnsi="Times New Roman"/>
          <w:sz w:val="22"/>
        </w:rPr>
        <w:t>também</w:t>
      </w:r>
      <w:r>
        <w:rPr>
          <w:rFonts w:ascii="Times New Roman" w:hAnsi="Times New Roman"/>
          <w:spacing w:val="-5"/>
          <w:sz w:val="22"/>
        </w:rPr>
        <w:t> </w:t>
      </w:r>
      <w:r>
        <w:rPr>
          <w:rFonts w:ascii="Times New Roman" w:hAnsi="Times New Roman"/>
          <w:sz w:val="22"/>
        </w:rPr>
        <w:t>o</w:t>
      </w:r>
      <w:r>
        <w:rPr>
          <w:rFonts w:ascii="Times New Roman" w:hAnsi="Times New Roman"/>
          <w:spacing w:val="-3"/>
          <w:sz w:val="22"/>
        </w:rPr>
        <w:t> </w:t>
      </w:r>
      <w:r>
        <w:rPr>
          <w:rFonts w:ascii="Times New Roman" w:hAnsi="Times New Roman"/>
          <w:sz w:val="22"/>
        </w:rPr>
        <w:t>ciclo</w:t>
      </w:r>
      <w:r>
        <w:rPr>
          <w:rFonts w:ascii="Times New Roman" w:hAnsi="Times New Roman"/>
          <w:spacing w:val="-3"/>
          <w:sz w:val="22"/>
        </w:rPr>
        <w:t> </w:t>
      </w:r>
      <w:r>
        <w:rPr>
          <w:rFonts w:ascii="Times New Roman" w:hAnsi="Times New Roman"/>
          <w:sz w:val="22"/>
        </w:rPr>
        <w:t>anterior</w:t>
      </w:r>
      <w:r>
        <w:rPr>
          <w:rFonts w:ascii="Times New Roman" w:hAnsi="Times New Roman"/>
          <w:spacing w:val="-3"/>
          <w:sz w:val="22"/>
        </w:rPr>
        <w:t> </w:t>
      </w:r>
      <w:r>
        <w:rPr>
          <w:rFonts w:ascii="Times New Roman" w:hAnsi="Times New Roman"/>
          <w:sz w:val="22"/>
        </w:rPr>
        <w:t>e</w:t>
      </w:r>
      <w:r>
        <w:rPr>
          <w:rFonts w:ascii="Times New Roman" w:hAnsi="Times New Roman"/>
          <w:spacing w:val="-2"/>
          <w:sz w:val="22"/>
        </w:rPr>
        <w:t> </w:t>
      </w:r>
      <w:r>
        <w:rPr>
          <w:rFonts w:ascii="Times New Roman" w:hAnsi="Times New Roman"/>
          <w:sz w:val="22"/>
        </w:rPr>
        <w:t>atual,</w:t>
      </w:r>
      <w:r>
        <w:rPr>
          <w:rFonts w:ascii="Times New Roman" w:hAnsi="Times New Roman"/>
          <w:spacing w:val="-4"/>
          <w:sz w:val="22"/>
        </w:rPr>
        <w:t> </w:t>
      </w:r>
      <w:r>
        <w:rPr>
          <w:rFonts w:ascii="Times New Roman" w:hAnsi="Times New Roman"/>
          <w:sz w:val="22"/>
        </w:rPr>
        <w:t>além</w:t>
      </w:r>
      <w:r>
        <w:rPr>
          <w:rFonts w:ascii="Times New Roman" w:hAnsi="Times New Roman"/>
          <w:spacing w:val="-6"/>
          <w:sz w:val="22"/>
        </w:rPr>
        <w:t> </w:t>
      </w:r>
      <w:r>
        <w:rPr>
          <w:rFonts w:ascii="Times New Roman" w:hAnsi="Times New Roman"/>
          <w:sz w:val="22"/>
        </w:rPr>
        <w:t>da constituição do adiantamento da Previsão do Risco Hidrológico, de R$ 144 milhões, reconhecido na RTA 2019, conforme definido no item 5.12 do Submódulo 4.4A do PRORET, o qual será revertido no processo tarifário</w:t>
      </w:r>
      <w:r>
        <w:rPr>
          <w:rFonts w:ascii="Times New Roman" w:hAnsi="Times New Roman"/>
          <w:spacing w:val="-17"/>
          <w:sz w:val="22"/>
        </w:rPr>
        <w:t> </w:t>
      </w:r>
      <w:r>
        <w:rPr>
          <w:rFonts w:ascii="Times New Roman" w:hAnsi="Times New Roman"/>
          <w:sz w:val="22"/>
        </w:rPr>
        <w:t>subsequente,</w:t>
      </w:r>
      <w:r>
        <w:rPr>
          <w:rFonts w:ascii="Times New Roman" w:hAnsi="Times New Roman"/>
          <w:spacing w:val="-15"/>
          <w:sz w:val="22"/>
        </w:rPr>
        <w:t> </w:t>
      </w:r>
      <w:r>
        <w:rPr>
          <w:rFonts w:ascii="Times New Roman" w:hAnsi="Times New Roman"/>
          <w:sz w:val="22"/>
        </w:rPr>
        <w:t>devidamente</w:t>
      </w:r>
      <w:r>
        <w:rPr>
          <w:rFonts w:ascii="Times New Roman" w:hAnsi="Times New Roman"/>
          <w:spacing w:val="-16"/>
          <w:sz w:val="22"/>
        </w:rPr>
        <w:t> </w:t>
      </w:r>
      <w:r>
        <w:rPr>
          <w:rFonts w:ascii="Times New Roman" w:hAnsi="Times New Roman"/>
          <w:sz w:val="22"/>
        </w:rPr>
        <w:t>atualizado.</w:t>
      </w:r>
      <w:r>
        <w:rPr>
          <w:rFonts w:ascii="Times New Roman" w:hAnsi="Times New Roman"/>
          <w:spacing w:val="-15"/>
          <w:sz w:val="22"/>
        </w:rPr>
        <w:t> </w:t>
      </w:r>
      <w:r>
        <w:rPr>
          <w:rFonts w:ascii="Times New Roman" w:hAnsi="Times New Roman"/>
          <w:sz w:val="22"/>
        </w:rPr>
        <w:t>Por</w:t>
      </w:r>
      <w:r>
        <w:rPr>
          <w:rFonts w:ascii="Times New Roman" w:hAnsi="Times New Roman"/>
          <w:spacing w:val="-15"/>
          <w:sz w:val="22"/>
        </w:rPr>
        <w:t> </w:t>
      </w:r>
      <w:r>
        <w:rPr>
          <w:rFonts w:ascii="Times New Roman" w:hAnsi="Times New Roman"/>
          <w:sz w:val="22"/>
        </w:rPr>
        <w:t>se</w:t>
      </w:r>
      <w:r>
        <w:rPr>
          <w:rFonts w:ascii="Times New Roman" w:hAnsi="Times New Roman"/>
          <w:spacing w:val="-16"/>
          <w:sz w:val="22"/>
        </w:rPr>
        <w:t> </w:t>
      </w:r>
      <w:r>
        <w:rPr>
          <w:rFonts w:ascii="Times New Roman" w:hAnsi="Times New Roman"/>
          <w:sz w:val="22"/>
        </w:rPr>
        <w:t>tratar</w:t>
      </w:r>
      <w:r>
        <w:rPr>
          <w:rFonts w:ascii="Times New Roman" w:hAnsi="Times New Roman"/>
          <w:spacing w:val="-15"/>
          <w:sz w:val="22"/>
        </w:rPr>
        <w:t> </w:t>
      </w:r>
      <w:r>
        <w:rPr>
          <w:rFonts w:ascii="Times New Roman" w:hAnsi="Times New Roman"/>
          <w:sz w:val="22"/>
        </w:rPr>
        <w:t>de</w:t>
      </w:r>
      <w:r>
        <w:rPr>
          <w:rFonts w:ascii="Times New Roman" w:hAnsi="Times New Roman"/>
          <w:spacing w:val="-16"/>
          <w:sz w:val="22"/>
        </w:rPr>
        <w:t> </w:t>
      </w:r>
      <w:r>
        <w:rPr>
          <w:rFonts w:ascii="Times New Roman" w:hAnsi="Times New Roman"/>
          <w:sz w:val="22"/>
        </w:rPr>
        <w:t>“adiantamento”</w:t>
      </w:r>
      <w:r>
        <w:rPr>
          <w:rFonts w:ascii="Times New Roman" w:hAnsi="Times New Roman"/>
          <w:spacing w:val="-15"/>
          <w:sz w:val="22"/>
        </w:rPr>
        <w:t> </w:t>
      </w:r>
      <w:r>
        <w:rPr>
          <w:rFonts w:ascii="Times New Roman" w:hAnsi="Times New Roman"/>
          <w:sz w:val="22"/>
        </w:rPr>
        <w:t>de</w:t>
      </w:r>
      <w:r>
        <w:rPr>
          <w:rFonts w:ascii="Times New Roman" w:hAnsi="Times New Roman"/>
          <w:spacing w:val="-15"/>
          <w:sz w:val="22"/>
        </w:rPr>
        <w:t> </w:t>
      </w:r>
      <w:r>
        <w:rPr>
          <w:rFonts w:ascii="Times New Roman" w:hAnsi="Times New Roman"/>
          <w:sz w:val="22"/>
        </w:rPr>
        <w:t>custos</w:t>
      </w:r>
      <w:r>
        <w:rPr>
          <w:rFonts w:ascii="Times New Roman" w:hAnsi="Times New Roman"/>
          <w:spacing w:val="-16"/>
          <w:sz w:val="22"/>
        </w:rPr>
        <w:t> </w:t>
      </w:r>
      <w:r>
        <w:rPr>
          <w:rFonts w:ascii="Times New Roman" w:hAnsi="Times New Roman"/>
          <w:sz w:val="22"/>
        </w:rPr>
        <w:t>ainda</w:t>
      </w:r>
      <w:r>
        <w:rPr>
          <w:rFonts w:ascii="Times New Roman" w:hAnsi="Times New Roman"/>
          <w:spacing w:val="-15"/>
          <w:sz w:val="22"/>
        </w:rPr>
        <w:t> </w:t>
      </w:r>
      <w:r>
        <w:rPr>
          <w:rFonts w:ascii="Times New Roman" w:hAnsi="Times New Roman"/>
          <w:sz w:val="22"/>
        </w:rPr>
        <w:t>não</w:t>
      </w:r>
      <w:r>
        <w:rPr>
          <w:rFonts w:ascii="Times New Roman" w:hAnsi="Times New Roman"/>
          <w:spacing w:val="-15"/>
          <w:sz w:val="22"/>
        </w:rPr>
        <w:t> </w:t>
      </w:r>
      <w:r>
        <w:rPr>
          <w:rFonts w:ascii="Times New Roman" w:hAnsi="Times New Roman"/>
          <w:sz w:val="22"/>
        </w:rPr>
        <w:t>incorridos, ao</w:t>
      </w:r>
      <w:r>
        <w:rPr>
          <w:rFonts w:ascii="Times New Roman" w:hAnsi="Times New Roman"/>
          <w:spacing w:val="-9"/>
          <w:sz w:val="22"/>
        </w:rPr>
        <w:t> </w:t>
      </w:r>
      <w:r>
        <w:rPr>
          <w:rFonts w:ascii="Times New Roman" w:hAnsi="Times New Roman"/>
          <w:sz w:val="22"/>
        </w:rPr>
        <w:t>registrar</w:t>
      </w:r>
      <w:r>
        <w:rPr>
          <w:rFonts w:ascii="Times New Roman" w:hAnsi="Times New Roman"/>
          <w:spacing w:val="-10"/>
          <w:sz w:val="22"/>
        </w:rPr>
        <w:t> </w:t>
      </w:r>
      <w:r>
        <w:rPr>
          <w:rFonts w:ascii="Times New Roman" w:hAnsi="Times New Roman"/>
          <w:sz w:val="22"/>
        </w:rPr>
        <w:t>o</w:t>
      </w:r>
      <w:r>
        <w:rPr>
          <w:rFonts w:ascii="Times New Roman" w:hAnsi="Times New Roman"/>
          <w:spacing w:val="-10"/>
          <w:sz w:val="22"/>
        </w:rPr>
        <w:t> </w:t>
      </w:r>
      <w:r>
        <w:rPr>
          <w:rFonts w:ascii="Times New Roman" w:hAnsi="Times New Roman"/>
          <w:sz w:val="22"/>
        </w:rPr>
        <w:t>montante</w:t>
      </w:r>
      <w:r>
        <w:rPr>
          <w:rFonts w:ascii="Times New Roman" w:hAnsi="Times New Roman"/>
          <w:spacing w:val="-11"/>
          <w:sz w:val="22"/>
        </w:rPr>
        <w:t> </w:t>
      </w:r>
      <w:r>
        <w:rPr>
          <w:rFonts w:ascii="Times New Roman" w:hAnsi="Times New Roman"/>
          <w:sz w:val="22"/>
        </w:rPr>
        <w:t>no</w:t>
      </w:r>
      <w:r>
        <w:rPr>
          <w:rFonts w:ascii="Times New Roman" w:hAnsi="Times New Roman"/>
          <w:spacing w:val="-12"/>
          <w:sz w:val="22"/>
        </w:rPr>
        <w:t> </w:t>
      </w:r>
      <w:r>
        <w:rPr>
          <w:rFonts w:ascii="Times New Roman" w:hAnsi="Times New Roman"/>
          <w:sz w:val="22"/>
        </w:rPr>
        <w:t>Ativo,</w:t>
      </w:r>
      <w:r>
        <w:rPr>
          <w:rFonts w:ascii="Times New Roman" w:hAnsi="Times New Roman"/>
          <w:spacing w:val="-9"/>
          <w:sz w:val="22"/>
        </w:rPr>
        <w:t> </w:t>
      </w:r>
      <w:r>
        <w:rPr>
          <w:rFonts w:ascii="Times New Roman" w:hAnsi="Times New Roman"/>
          <w:sz w:val="22"/>
        </w:rPr>
        <w:t>provisionou-se</w:t>
      </w:r>
      <w:r>
        <w:rPr>
          <w:rFonts w:ascii="Times New Roman" w:hAnsi="Times New Roman"/>
          <w:spacing w:val="-9"/>
          <w:sz w:val="22"/>
        </w:rPr>
        <w:t> </w:t>
      </w:r>
      <w:r>
        <w:rPr>
          <w:rFonts w:ascii="Times New Roman" w:hAnsi="Times New Roman"/>
          <w:sz w:val="22"/>
        </w:rPr>
        <w:t>o</w:t>
      </w:r>
      <w:r>
        <w:rPr>
          <w:rFonts w:ascii="Times New Roman" w:hAnsi="Times New Roman"/>
          <w:spacing w:val="-9"/>
          <w:sz w:val="22"/>
        </w:rPr>
        <w:t> </w:t>
      </w:r>
      <w:r>
        <w:rPr>
          <w:rFonts w:ascii="Times New Roman" w:hAnsi="Times New Roman"/>
          <w:sz w:val="22"/>
        </w:rPr>
        <w:t>mesmo</w:t>
      </w:r>
      <w:r>
        <w:rPr>
          <w:rFonts w:ascii="Times New Roman" w:hAnsi="Times New Roman"/>
          <w:spacing w:val="-7"/>
          <w:sz w:val="22"/>
        </w:rPr>
        <w:t> </w:t>
      </w:r>
      <w:r>
        <w:rPr>
          <w:rFonts w:ascii="Times New Roman" w:hAnsi="Times New Roman"/>
          <w:sz w:val="22"/>
        </w:rPr>
        <w:t>montante</w:t>
      </w:r>
      <w:r>
        <w:rPr>
          <w:rFonts w:ascii="Times New Roman" w:hAnsi="Times New Roman"/>
          <w:spacing w:val="-11"/>
          <w:sz w:val="22"/>
        </w:rPr>
        <w:t> </w:t>
      </w:r>
      <w:r>
        <w:rPr>
          <w:rFonts w:ascii="Times New Roman" w:hAnsi="Times New Roman"/>
          <w:sz w:val="22"/>
        </w:rPr>
        <w:t>no</w:t>
      </w:r>
      <w:r>
        <w:rPr>
          <w:rFonts w:ascii="Times New Roman" w:hAnsi="Times New Roman"/>
          <w:spacing w:val="-11"/>
          <w:sz w:val="22"/>
        </w:rPr>
        <w:t> </w:t>
      </w:r>
      <w:r>
        <w:rPr>
          <w:rFonts w:ascii="Times New Roman" w:hAnsi="Times New Roman"/>
          <w:sz w:val="22"/>
        </w:rPr>
        <w:t>Passivo</w:t>
      </w:r>
      <w:r>
        <w:rPr>
          <w:rFonts w:ascii="Times New Roman" w:hAnsi="Times New Roman"/>
          <w:spacing w:val="-10"/>
          <w:sz w:val="22"/>
        </w:rPr>
        <w:t> </w:t>
      </w:r>
      <w:r>
        <w:rPr>
          <w:rFonts w:ascii="Times New Roman" w:hAnsi="Times New Roman"/>
          <w:sz w:val="22"/>
        </w:rPr>
        <w:t>para</w:t>
      </w:r>
      <w:r>
        <w:rPr>
          <w:rFonts w:ascii="Times New Roman" w:hAnsi="Times New Roman"/>
          <w:spacing w:val="-11"/>
          <w:sz w:val="22"/>
        </w:rPr>
        <w:t> </w:t>
      </w:r>
      <w:r>
        <w:rPr>
          <w:rFonts w:ascii="Times New Roman" w:hAnsi="Times New Roman"/>
          <w:sz w:val="22"/>
        </w:rPr>
        <w:t>a</w:t>
      </w:r>
      <w:r>
        <w:rPr>
          <w:rFonts w:ascii="Times New Roman" w:hAnsi="Times New Roman"/>
          <w:spacing w:val="-9"/>
          <w:sz w:val="22"/>
        </w:rPr>
        <w:t> </w:t>
      </w:r>
      <w:r>
        <w:rPr>
          <w:rFonts w:ascii="Times New Roman" w:hAnsi="Times New Roman"/>
          <w:sz w:val="22"/>
        </w:rPr>
        <w:t>devolução,</w:t>
      </w:r>
      <w:r>
        <w:rPr>
          <w:rFonts w:ascii="Times New Roman" w:hAnsi="Times New Roman"/>
          <w:spacing w:val="-9"/>
          <w:sz w:val="22"/>
        </w:rPr>
        <w:t> </w:t>
      </w:r>
      <w:r>
        <w:rPr>
          <w:rFonts w:ascii="Times New Roman" w:hAnsi="Times New Roman"/>
          <w:sz w:val="22"/>
        </w:rPr>
        <w:t>no</w:t>
      </w:r>
      <w:r>
        <w:rPr>
          <w:rFonts w:ascii="Times New Roman" w:hAnsi="Times New Roman"/>
          <w:spacing w:val="-12"/>
          <w:sz w:val="22"/>
        </w:rPr>
        <w:t> </w:t>
      </w:r>
      <w:r>
        <w:rPr>
          <w:rFonts w:ascii="Times New Roman" w:hAnsi="Times New Roman"/>
          <w:sz w:val="22"/>
        </w:rPr>
        <w:t>reajuste seguinte, mantendo a neutralidade no resultado. A ANEEL reprocessou os cálculos dos Acordos Bilaterais celebrados pela CEB-DIS que foram considerados nos reajustes anteriores (RTA 2017 e 2018), além de reconhecer o direito daqueles realizados no ciclo regulatório vigente, totalizando o montante de R$ 24 milhões, o qual foi registrado como Ativo Financeiro Setorial, em setembro de 2019, tendo 2 (dois) meses de</w:t>
      </w:r>
      <w:r>
        <w:rPr>
          <w:rFonts w:ascii="Times New Roman" w:hAnsi="Times New Roman"/>
          <w:spacing w:val="-12"/>
          <w:sz w:val="22"/>
        </w:rPr>
        <w:t> </w:t>
      </w:r>
      <w:r>
        <w:rPr>
          <w:rFonts w:ascii="Times New Roman" w:hAnsi="Times New Roman"/>
          <w:sz w:val="22"/>
        </w:rPr>
        <w:t>amortização.</w:t>
      </w:r>
      <w:r>
        <w:rPr>
          <w:rFonts w:ascii="Times New Roman" w:hAnsi="Times New Roman"/>
          <w:spacing w:val="-11"/>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variação</w:t>
      </w:r>
      <w:r>
        <w:rPr>
          <w:rFonts w:ascii="Times New Roman" w:hAnsi="Times New Roman"/>
          <w:spacing w:val="-13"/>
          <w:sz w:val="22"/>
        </w:rPr>
        <w:t> </w:t>
      </w:r>
      <w:r>
        <w:rPr>
          <w:rFonts w:ascii="Times New Roman" w:hAnsi="Times New Roman"/>
          <w:sz w:val="22"/>
        </w:rPr>
        <w:t>entre</w:t>
      </w:r>
      <w:r>
        <w:rPr>
          <w:rFonts w:ascii="Times New Roman" w:hAnsi="Times New Roman"/>
          <w:spacing w:val="-11"/>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receita</w:t>
      </w:r>
      <w:r>
        <w:rPr>
          <w:rFonts w:ascii="Times New Roman" w:hAnsi="Times New Roman"/>
          <w:spacing w:val="-11"/>
          <w:sz w:val="22"/>
        </w:rPr>
        <w:t> </w:t>
      </w:r>
      <w:r>
        <w:rPr>
          <w:rFonts w:ascii="Times New Roman" w:hAnsi="Times New Roman"/>
          <w:sz w:val="22"/>
        </w:rPr>
        <w:t>auferida</w:t>
      </w:r>
      <w:r>
        <w:rPr>
          <w:rFonts w:ascii="Times New Roman" w:hAnsi="Times New Roman"/>
          <w:spacing w:val="-11"/>
          <w:sz w:val="22"/>
        </w:rPr>
        <w:t> </w:t>
      </w:r>
      <w:r>
        <w:rPr>
          <w:rFonts w:ascii="Times New Roman" w:hAnsi="Times New Roman"/>
          <w:sz w:val="22"/>
        </w:rPr>
        <w:t>pela</w:t>
      </w:r>
      <w:r>
        <w:rPr>
          <w:rFonts w:ascii="Times New Roman" w:hAnsi="Times New Roman"/>
          <w:spacing w:val="-14"/>
          <w:sz w:val="22"/>
        </w:rPr>
        <w:t> </w:t>
      </w:r>
      <w:r>
        <w:rPr>
          <w:rFonts w:ascii="Times New Roman" w:hAnsi="Times New Roman"/>
          <w:sz w:val="22"/>
        </w:rPr>
        <w:t>Companhia</w:t>
      </w:r>
      <w:r>
        <w:rPr>
          <w:rFonts w:ascii="Times New Roman" w:hAnsi="Times New Roman"/>
          <w:spacing w:val="-11"/>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cobertura</w:t>
      </w:r>
      <w:r>
        <w:rPr>
          <w:rFonts w:ascii="Times New Roman" w:hAnsi="Times New Roman"/>
          <w:spacing w:val="-13"/>
          <w:sz w:val="22"/>
        </w:rPr>
        <w:t> </w:t>
      </w:r>
      <w:r>
        <w:rPr>
          <w:rFonts w:ascii="Times New Roman" w:hAnsi="Times New Roman"/>
          <w:sz w:val="22"/>
        </w:rPr>
        <w:t>tarifária</w:t>
      </w:r>
      <w:r>
        <w:rPr>
          <w:rFonts w:ascii="Times New Roman" w:hAnsi="Times New Roman"/>
          <w:spacing w:val="-11"/>
          <w:sz w:val="22"/>
        </w:rPr>
        <w:t> </w:t>
      </w:r>
      <w:r>
        <w:rPr>
          <w:rFonts w:ascii="Times New Roman" w:hAnsi="Times New Roman"/>
          <w:sz w:val="22"/>
        </w:rPr>
        <w:t>prevista</w:t>
      </w:r>
      <w:r>
        <w:rPr>
          <w:rFonts w:ascii="Times New Roman" w:hAnsi="Times New Roman"/>
          <w:spacing w:val="-12"/>
          <w:sz w:val="22"/>
        </w:rPr>
        <w:t> </w:t>
      </w:r>
      <w:r>
        <w:rPr>
          <w:rFonts w:ascii="Times New Roman" w:hAnsi="Times New Roman"/>
          <w:sz w:val="22"/>
        </w:rPr>
        <w:t>pela</w:t>
      </w:r>
      <w:r>
        <w:rPr>
          <w:rFonts w:ascii="Times New Roman" w:hAnsi="Times New Roman"/>
          <w:spacing w:val="-11"/>
          <w:sz w:val="22"/>
        </w:rPr>
        <w:t> </w:t>
      </w:r>
      <w:r>
        <w:rPr>
          <w:rFonts w:ascii="Times New Roman" w:hAnsi="Times New Roman"/>
          <w:sz w:val="22"/>
        </w:rPr>
        <w:t>Aneel em</w:t>
      </w:r>
      <w:r>
        <w:rPr>
          <w:rFonts w:ascii="Times New Roman" w:hAnsi="Times New Roman"/>
          <w:spacing w:val="-13"/>
          <w:sz w:val="22"/>
        </w:rPr>
        <w:t> </w:t>
      </w:r>
      <w:r>
        <w:rPr>
          <w:rFonts w:ascii="Times New Roman" w:hAnsi="Times New Roman"/>
          <w:sz w:val="22"/>
        </w:rPr>
        <w:t>razão</w:t>
      </w:r>
      <w:r>
        <w:rPr>
          <w:rFonts w:ascii="Times New Roman" w:hAnsi="Times New Roman"/>
          <w:spacing w:val="-8"/>
          <w:sz w:val="22"/>
        </w:rPr>
        <w:t> </w:t>
      </w:r>
      <w:r>
        <w:rPr>
          <w:rFonts w:ascii="Times New Roman" w:hAnsi="Times New Roman"/>
          <w:sz w:val="22"/>
        </w:rPr>
        <w:t>do</w:t>
      </w:r>
      <w:r>
        <w:rPr>
          <w:rFonts w:ascii="Times New Roman" w:hAnsi="Times New Roman"/>
          <w:spacing w:val="-10"/>
          <w:sz w:val="22"/>
        </w:rPr>
        <w:t> </w:t>
      </w:r>
      <w:r>
        <w:rPr>
          <w:rFonts w:ascii="Times New Roman" w:hAnsi="Times New Roman"/>
          <w:sz w:val="22"/>
        </w:rPr>
        <w:t>mercado</w:t>
      </w:r>
      <w:r>
        <w:rPr>
          <w:rFonts w:ascii="Times New Roman" w:hAnsi="Times New Roman"/>
          <w:spacing w:val="-11"/>
          <w:sz w:val="22"/>
        </w:rPr>
        <w:t> </w:t>
      </w:r>
      <w:r>
        <w:rPr>
          <w:rFonts w:ascii="Times New Roman" w:hAnsi="Times New Roman"/>
          <w:sz w:val="22"/>
        </w:rPr>
        <w:t>de</w:t>
      </w:r>
      <w:r>
        <w:rPr>
          <w:rFonts w:ascii="Times New Roman" w:hAnsi="Times New Roman"/>
          <w:spacing w:val="-9"/>
          <w:sz w:val="22"/>
        </w:rPr>
        <w:t> </w:t>
      </w:r>
      <w:r>
        <w:rPr>
          <w:rFonts w:ascii="Times New Roman" w:hAnsi="Times New Roman"/>
          <w:sz w:val="22"/>
        </w:rPr>
        <w:t>energia</w:t>
      </w:r>
      <w:r>
        <w:rPr>
          <w:rFonts w:ascii="Times New Roman" w:hAnsi="Times New Roman"/>
          <w:spacing w:val="-11"/>
          <w:sz w:val="22"/>
        </w:rPr>
        <w:t> </w:t>
      </w:r>
      <w:r>
        <w:rPr>
          <w:rFonts w:ascii="Times New Roman" w:hAnsi="Times New Roman"/>
          <w:sz w:val="22"/>
        </w:rPr>
        <w:t>resulta</w:t>
      </w:r>
      <w:r>
        <w:rPr>
          <w:rFonts w:ascii="Times New Roman" w:hAnsi="Times New Roman"/>
          <w:spacing w:val="-8"/>
          <w:sz w:val="22"/>
        </w:rPr>
        <w:t> </w:t>
      </w:r>
      <w:r>
        <w:rPr>
          <w:rFonts w:ascii="Times New Roman" w:hAnsi="Times New Roman"/>
          <w:sz w:val="22"/>
        </w:rPr>
        <w:t>na</w:t>
      </w:r>
      <w:r>
        <w:rPr>
          <w:rFonts w:ascii="Times New Roman" w:hAnsi="Times New Roman"/>
          <w:spacing w:val="-12"/>
          <w:sz w:val="22"/>
        </w:rPr>
        <w:t> </w:t>
      </w:r>
      <w:r>
        <w:rPr>
          <w:rFonts w:ascii="Times New Roman" w:hAnsi="Times New Roman"/>
          <w:sz w:val="22"/>
        </w:rPr>
        <w:t>Neutralidade</w:t>
      </w:r>
      <w:r>
        <w:rPr>
          <w:rFonts w:ascii="Times New Roman" w:hAnsi="Times New Roman"/>
          <w:spacing w:val="-8"/>
          <w:sz w:val="22"/>
        </w:rPr>
        <w:t> </w:t>
      </w:r>
      <w:r>
        <w:rPr>
          <w:rFonts w:ascii="Times New Roman" w:hAnsi="Times New Roman"/>
          <w:sz w:val="22"/>
        </w:rPr>
        <w:t>da</w:t>
      </w:r>
      <w:r>
        <w:rPr>
          <w:rFonts w:ascii="Times New Roman" w:hAnsi="Times New Roman"/>
          <w:spacing w:val="-9"/>
          <w:sz w:val="22"/>
        </w:rPr>
        <w:t> </w:t>
      </w:r>
      <w:r>
        <w:rPr>
          <w:rFonts w:ascii="Times New Roman" w:hAnsi="Times New Roman"/>
          <w:sz w:val="22"/>
        </w:rPr>
        <w:t>Parcela</w:t>
      </w:r>
      <w:r>
        <w:rPr>
          <w:rFonts w:ascii="Times New Roman" w:hAnsi="Times New Roman"/>
          <w:spacing w:val="-8"/>
          <w:sz w:val="22"/>
        </w:rPr>
        <w:t> </w:t>
      </w:r>
      <w:r>
        <w:rPr>
          <w:rFonts w:ascii="Times New Roman" w:hAnsi="Times New Roman"/>
          <w:sz w:val="22"/>
        </w:rPr>
        <w:t>A.</w:t>
      </w:r>
      <w:r>
        <w:rPr>
          <w:rFonts w:ascii="Times New Roman" w:hAnsi="Times New Roman"/>
          <w:spacing w:val="-10"/>
          <w:sz w:val="22"/>
        </w:rPr>
        <w:t> </w:t>
      </w:r>
      <w:r>
        <w:rPr>
          <w:rFonts w:ascii="Times New Roman" w:hAnsi="Times New Roman"/>
          <w:sz w:val="22"/>
        </w:rPr>
        <w:t>Assim,</w:t>
      </w:r>
      <w:r>
        <w:rPr>
          <w:rFonts w:ascii="Times New Roman" w:hAnsi="Times New Roman"/>
          <w:spacing w:val="-9"/>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leve</w:t>
      </w:r>
      <w:r>
        <w:rPr>
          <w:rFonts w:ascii="Times New Roman" w:hAnsi="Times New Roman"/>
          <w:spacing w:val="-9"/>
          <w:sz w:val="22"/>
        </w:rPr>
        <w:t> </w:t>
      </w:r>
      <w:r>
        <w:rPr>
          <w:rFonts w:ascii="Times New Roman" w:hAnsi="Times New Roman"/>
          <w:sz w:val="22"/>
        </w:rPr>
        <w:t>recuperação</w:t>
      </w:r>
      <w:r>
        <w:rPr>
          <w:rFonts w:ascii="Times New Roman" w:hAnsi="Times New Roman"/>
          <w:spacing w:val="-8"/>
          <w:sz w:val="22"/>
        </w:rPr>
        <w:t> </w:t>
      </w:r>
      <w:r>
        <w:rPr>
          <w:rFonts w:ascii="Times New Roman" w:hAnsi="Times New Roman"/>
          <w:sz w:val="22"/>
        </w:rPr>
        <w:t>do</w:t>
      </w:r>
      <w:r>
        <w:rPr>
          <w:rFonts w:ascii="Times New Roman" w:hAnsi="Times New Roman"/>
          <w:spacing w:val="-12"/>
          <w:sz w:val="22"/>
        </w:rPr>
        <w:t> </w:t>
      </w:r>
      <w:r>
        <w:rPr>
          <w:rFonts w:ascii="Times New Roman" w:hAnsi="Times New Roman"/>
          <w:sz w:val="22"/>
        </w:rPr>
        <w:t>mercado apurado na RTA 2019 resultou no aumento de receita e uma consequente neutralidade negativa no processo tarifário. Entretanto, o efeito negativo foi superado pela neutralidade positiva em razão do reconhecimento dos</w:t>
      </w:r>
      <w:r>
        <w:rPr>
          <w:rFonts w:ascii="Times New Roman" w:hAnsi="Times New Roman"/>
          <w:spacing w:val="-9"/>
          <w:sz w:val="22"/>
        </w:rPr>
        <w:t> </w:t>
      </w:r>
      <w:r>
        <w:rPr>
          <w:rFonts w:ascii="Times New Roman" w:hAnsi="Times New Roman"/>
          <w:sz w:val="22"/>
        </w:rPr>
        <w:t>efeitos</w:t>
      </w:r>
      <w:r>
        <w:rPr>
          <w:rFonts w:ascii="Times New Roman" w:hAnsi="Times New Roman"/>
          <w:spacing w:val="-8"/>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Encargo</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Rede</w:t>
      </w:r>
      <w:r>
        <w:rPr>
          <w:rFonts w:ascii="Times New Roman" w:hAnsi="Times New Roman"/>
          <w:spacing w:val="-6"/>
          <w:sz w:val="22"/>
        </w:rPr>
        <w:t> </w:t>
      </w:r>
      <w:r>
        <w:rPr>
          <w:rFonts w:ascii="Times New Roman" w:hAnsi="Times New Roman"/>
          <w:sz w:val="22"/>
        </w:rPr>
        <w:t>Básica</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Brasília</w:t>
      </w:r>
      <w:r>
        <w:rPr>
          <w:rFonts w:ascii="Times New Roman" w:hAnsi="Times New Roman"/>
          <w:spacing w:val="-8"/>
          <w:sz w:val="22"/>
        </w:rPr>
        <w:t> </w:t>
      </w:r>
      <w:r>
        <w:rPr>
          <w:rFonts w:ascii="Times New Roman" w:hAnsi="Times New Roman"/>
          <w:sz w:val="22"/>
        </w:rPr>
        <w:t>Leste,</w:t>
      </w:r>
      <w:r>
        <w:rPr>
          <w:rFonts w:ascii="Times New Roman" w:hAnsi="Times New Roman"/>
          <w:spacing w:val="-7"/>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forma</w:t>
      </w:r>
      <w:r>
        <w:rPr>
          <w:rFonts w:ascii="Times New Roman" w:hAnsi="Times New Roman"/>
          <w:spacing w:val="-6"/>
          <w:sz w:val="22"/>
        </w:rPr>
        <w:t> </w:t>
      </w:r>
      <w:r>
        <w:rPr>
          <w:rFonts w:ascii="Times New Roman" w:hAnsi="Times New Roman"/>
          <w:sz w:val="22"/>
        </w:rPr>
        <w:t>parcial</w:t>
      </w:r>
      <w:r>
        <w:rPr>
          <w:rFonts w:ascii="Times New Roman" w:hAnsi="Times New Roman"/>
          <w:spacing w:val="-7"/>
          <w:sz w:val="22"/>
        </w:rPr>
        <w:t> </w:t>
      </w:r>
      <w:r>
        <w:rPr>
          <w:rFonts w:ascii="Times New Roman" w:hAnsi="Times New Roman"/>
          <w:sz w:val="22"/>
        </w:rPr>
        <w:t>na</w:t>
      </w:r>
      <w:r>
        <w:rPr>
          <w:rFonts w:ascii="Times New Roman" w:hAnsi="Times New Roman"/>
          <w:spacing w:val="-8"/>
          <w:sz w:val="22"/>
        </w:rPr>
        <w:t> </w:t>
      </w:r>
      <w:r>
        <w:rPr>
          <w:rFonts w:ascii="Times New Roman" w:hAnsi="Times New Roman"/>
          <w:sz w:val="22"/>
        </w:rPr>
        <w:t>neutralidade</w:t>
      </w:r>
      <w:r>
        <w:rPr>
          <w:rFonts w:ascii="Times New Roman" w:hAnsi="Times New Roman"/>
          <w:spacing w:val="-8"/>
          <w:sz w:val="22"/>
        </w:rPr>
        <w:t> </w:t>
      </w:r>
      <w:r>
        <w:rPr>
          <w:rFonts w:ascii="Times New Roman" w:hAnsi="Times New Roman"/>
          <w:sz w:val="22"/>
        </w:rPr>
        <w:t>com</w:t>
      </w:r>
      <w:r>
        <w:rPr>
          <w:rFonts w:ascii="Times New Roman" w:hAnsi="Times New Roman"/>
          <w:spacing w:val="-9"/>
          <w:sz w:val="22"/>
        </w:rPr>
        <w:t> </w:t>
      </w:r>
      <w:r>
        <w:rPr>
          <w:rFonts w:ascii="Times New Roman" w:hAnsi="Times New Roman"/>
          <w:sz w:val="22"/>
        </w:rPr>
        <w:t>complemento na CVA de Transporte de Rede Básica, conforme definido no</w:t>
      </w:r>
      <w:r>
        <w:rPr>
          <w:rFonts w:ascii="Times New Roman" w:hAnsi="Times New Roman"/>
          <w:spacing w:val="-12"/>
          <w:sz w:val="22"/>
        </w:rPr>
        <w:t> </w:t>
      </w:r>
      <w:r>
        <w:rPr>
          <w:rFonts w:ascii="Times New Roman" w:hAnsi="Times New Roman"/>
          <w:sz w:val="22"/>
        </w:rPr>
        <w:t>PRORET.</w:t>
      </w:r>
    </w:p>
    <w:p>
      <w:pPr>
        <w:pStyle w:val="BodyText"/>
        <w:spacing w:before="6"/>
        <w:rPr>
          <w:rFonts w:ascii="Times New Roman"/>
          <w:sz w:val="21"/>
        </w:rPr>
      </w:pPr>
    </w:p>
    <w:p>
      <w:pPr>
        <w:spacing w:before="0"/>
        <w:ind w:left="350" w:right="0" w:firstLine="0"/>
        <w:jc w:val="left"/>
        <w:rPr>
          <w:rFonts w:ascii="Times New Roman" w:hAnsi="Times New Roman"/>
          <w:b/>
          <w:sz w:val="22"/>
        </w:rPr>
      </w:pPr>
      <w:r>
        <w:rPr>
          <w:rFonts w:ascii="Times New Roman" w:hAnsi="Times New Roman"/>
          <w:b/>
          <w:sz w:val="22"/>
        </w:rPr>
        <w:t>Custos e Despesas Operacionais (Exceto Depreciação e Amortização)</w:t>
      </w:r>
    </w:p>
    <w:p>
      <w:pPr>
        <w:pStyle w:val="BodyText"/>
        <w:spacing w:before="4"/>
        <w:rPr>
          <w:rFonts w:ascii="Times New Roman"/>
          <w:b/>
        </w:rPr>
      </w:pPr>
    </w:p>
    <w:p>
      <w:pPr>
        <w:spacing w:line="360" w:lineRule="auto" w:before="1"/>
        <w:ind w:left="139" w:right="0" w:firstLine="708"/>
        <w:jc w:val="left"/>
        <w:rPr>
          <w:rFonts w:ascii="Times New Roman" w:hAnsi="Times New Roman"/>
          <w:sz w:val="22"/>
        </w:rPr>
      </w:pPr>
      <w:r>
        <w:rPr>
          <w:rFonts w:ascii="Times New Roman" w:hAnsi="Times New Roman"/>
          <w:sz w:val="22"/>
        </w:rPr>
        <w:t>Os custos e despesas operacionais consolidados em 2019 totalizaram R$ 2.479.207 mil, correspondendo a um aumento de R$ 18.832 mil (0,77%), em relação ao montante registrado em 2018.</w:t>
      </w:r>
    </w:p>
    <w:p>
      <w:pPr>
        <w:pStyle w:val="BodyText"/>
        <w:spacing w:before="9"/>
        <w:rPr>
          <w:rFonts w:ascii="Times New Roman"/>
        </w:rPr>
      </w:pPr>
    </w:p>
    <w:p>
      <w:pPr>
        <w:spacing w:before="0"/>
        <w:ind w:left="847" w:right="0" w:firstLine="0"/>
        <w:jc w:val="left"/>
        <w:rPr>
          <w:rFonts w:ascii="Times New Roman" w:hAnsi="Times New Roman"/>
          <w:sz w:val="22"/>
        </w:rPr>
      </w:pPr>
      <w:r>
        <w:rPr>
          <w:rFonts w:ascii="Times New Roman" w:hAnsi="Times New Roman"/>
          <w:sz w:val="22"/>
        </w:rPr>
        <w:t>As principais variações dos custos e despesas operacionais constam no quadro seguinte:</w:t>
      </w:r>
    </w:p>
    <w:p>
      <w:pPr>
        <w:pStyle w:val="BodyText"/>
        <w:rPr>
          <w:rFonts w:ascii="Times New Roman"/>
        </w:rPr>
      </w:pPr>
    </w:p>
    <w:p>
      <w:pPr>
        <w:pStyle w:val="BodyText"/>
        <w:rPr>
          <w:rFonts w:ascii="Times New Roman"/>
        </w:rPr>
      </w:pPr>
    </w:p>
    <w:p>
      <w:pPr>
        <w:pStyle w:val="BodyText"/>
        <w:spacing w:before="5"/>
        <w:rPr>
          <w:rFonts w:ascii="Times New Roman"/>
          <w:sz w:val="13"/>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959"/>
        <w:gridCol w:w="1528"/>
        <w:gridCol w:w="1526"/>
        <w:gridCol w:w="1108"/>
        <w:gridCol w:w="1098"/>
      </w:tblGrid>
      <w:tr>
        <w:trPr>
          <w:trHeight w:val="302" w:hRule="atLeast"/>
        </w:trPr>
        <w:tc>
          <w:tcPr>
            <w:tcW w:w="4959" w:type="dxa"/>
            <w:tcBorders>
              <w:top w:val="nil"/>
              <w:left w:val="nil"/>
              <w:bottom w:val="nil"/>
              <w:right w:val="nil"/>
            </w:tcBorders>
            <w:shd w:val="clear" w:color="auto" w:fill="4470C4"/>
          </w:tcPr>
          <w:p>
            <w:pPr>
              <w:pStyle w:val="TableParagraph"/>
              <w:rPr>
                <w:rFonts w:ascii="Times New Roman"/>
                <w:sz w:val="20"/>
              </w:rPr>
            </w:pPr>
          </w:p>
        </w:tc>
        <w:tc>
          <w:tcPr>
            <w:tcW w:w="1528" w:type="dxa"/>
            <w:tcBorders>
              <w:top w:val="nil"/>
              <w:left w:val="nil"/>
              <w:bottom w:val="nil"/>
              <w:right w:val="nil"/>
            </w:tcBorders>
            <w:shd w:val="clear" w:color="auto" w:fill="4470C4"/>
          </w:tcPr>
          <w:p>
            <w:pPr>
              <w:pStyle w:val="TableParagraph"/>
              <w:spacing w:before="36"/>
              <w:ind w:left="555" w:right="532"/>
              <w:jc w:val="center"/>
              <w:rPr>
                <w:rFonts w:ascii="Times New Roman"/>
                <w:b/>
                <w:sz w:val="20"/>
              </w:rPr>
            </w:pPr>
            <w:r>
              <w:rPr>
                <w:rFonts w:ascii="Times New Roman"/>
                <w:b/>
                <w:color w:val="FFFFFF"/>
                <w:sz w:val="20"/>
              </w:rPr>
              <w:t>2019</w:t>
            </w:r>
          </w:p>
        </w:tc>
        <w:tc>
          <w:tcPr>
            <w:tcW w:w="1526" w:type="dxa"/>
            <w:tcBorders>
              <w:top w:val="nil"/>
              <w:left w:val="nil"/>
              <w:bottom w:val="nil"/>
              <w:right w:val="nil"/>
            </w:tcBorders>
            <w:shd w:val="clear" w:color="auto" w:fill="4470C4"/>
          </w:tcPr>
          <w:p>
            <w:pPr>
              <w:pStyle w:val="TableParagraph"/>
              <w:spacing w:before="36"/>
              <w:ind w:left="554" w:right="531"/>
              <w:jc w:val="center"/>
              <w:rPr>
                <w:rFonts w:ascii="Times New Roman"/>
                <w:b/>
                <w:sz w:val="20"/>
              </w:rPr>
            </w:pPr>
            <w:r>
              <w:rPr>
                <w:rFonts w:ascii="Times New Roman"/>
                <w:b/>
                <w:color w:val="FFFFFF"/>
                <w:sz w:val="20"/>
              </w:rPr>
              <w:t>2018</w:t>
            </w:r>
          </w:p>
        </w:tc>
        <w:tc>
          <w:tcPr>
            <w:tcW w:w="2206" w:type="dxa"/>
            <w:gridSpan w:val="2"/>
            <w:tcBorders>
              <w:top w:val="nil"/>
              <w:left w:val="nil"/>
              <w:bottom w:val="nil"/>
              <w:right w:val="nil"/>
            </w:tcBorders>
            <w:shd w:val="clear" w:color="auto" w:fill="4470C4"/>
          </w:tcPr>
          <w:p>
            <w:pPr>
              <w:pStyle w:val="TableParagraph"/>
              <w:spacing w:before="36"/>
              <w:ind w:left="830" w:right="804"/>
              <w:jc w:val="center"/>
              <w:rPr>
                <w:rFonts w:ascii="Times New Roman" w:hAnsi="Times New Roman"/>
                <w:b/>
                <w:sz w:val="20"/>
              </w:rPr>
            </w:pPr>
            <w:r>
              <w:rPr>
                <w:rFonts w:ascii="Times New Roman" w:hAnsi="Times New Roman"/>
                <w:b/>
                <w:color w:val="FFFFFF"/>
                <w:sz w:val="20"/>
              </w:rPr>
              <w:t>Δ Ano</w:t>
            </w:r>
          </w:p>
        </w:tc>
      </w:tr>
      <w:tr>
        <w:trPr>
          <w:trHeight w:val="280" w:hRule="atLeast"/>
        </w:trPr>
        <w:tc>
          <w:tcPr>
            <w:tcW w:w="4959" w:type="dxa"/>
            <w:tcBorders>
              <w:top w:val="nil"/>
            </w:tcBorders>
            <w:shd w:val="clear" w:color="auto" w:fill="D9E0F3"/>
          </w:tcPr>
          <w:p>
            <w:pPr>
              <w:pStyle w:val="TableParagraph"/>
              <w:rPr>
                <w:rFonts w:ascii="Times New Roman"/>
                <w:sz w:val="20"/>
              </w:rPr>
            </w:pPr>
          </w:p>
        </w:tc>
        <w:tc>
          <w:tcPr>
            <w:tcW w:w="1528" w:type="dxa"/>
            <w:tcBorders>
              <w:top w:val="nil"/>
            </w:tcBorders>
            <w:shd w:val="clear" w:color="auto" w:fill="D9E0F3"/>
          </w:tcPr>
          <w:p>
            <w:pPr>
              <w:pStyle w:val="TableParagraph"/>
              <w:rPr>
                <w:rFonts w:ascii="Times New Roman"/>
                <w:sz w:val="20"/>
              </w:rPr>
            </w:pPr>
          </w:p>
        </w:tc>
        <w:tc>
          <w:tcPr>
            <w:tcW w:w="1526" w:type="dxa"/>
            <w:tcBorders>
              <w:top w:val="nil"/>
            </w:tcBorders>
            <w:shd w:val="clear" w:color="auto" w:fill="D9E0F3"/>
          </w:tcPr>
          <w:p>
            <w:pPr>
              <w:pStyle w:val="TableParagraph"/>
              <w:rPr>
                <w:rFonts w:ascii="Times New Roman"/>
                <w:sz w:val="20"/>
              </w:rPr>
            </w:pPr>
          </w:p>
        </w:tc>
        <w:tc>
          <w:tcPr>
            <w:tcW w:w="1108" w:type="dxa"/>
            <w:tcBorders>
              <w:top w:val="nil"/>
            </w:tcBorders>
            <w:shd w:val="clear" w:color="auto" w:fill="D9E0F3"/>
          </w:tcPr>
          <w:p>
            <w:pPr>
              <w:pStyle w:val="TableParagraph"/>
              <w:ind w:right="80"/>
              <w:jc w:val="right"/>
              <w:rPr>
                <w:rFonts w:ascii="Times New Roman"/>
                <w:b/>
                <w:sz w:val="20"/>
              </w:rPr>
            </w:pPr>
            <w:r>
              <w:rPr>
                <w:rFonts w:ascii="Times New Roman"/>
                <w:b/>
                <w:sz w:val="20"/>
              </w:rPr>
              <w:t>(R$ Mil)</w:t>
            </w:r>
          </w:p>
        </w:tc>
        <w:tc>
          <w:tcPr>
            <w:tcW w:w="1098" w:type="dxa"/>
            <w:tcBorders>
              <w:top w:val="nil"/>
            </w:tcBorders>
            <w:shd w:val="clear" w:color="auto" w:fill="D9E0F3"/>
          </w:tcPr>
          <w:p>
            <w:pPr>
              <w:pStyle w:val="TableParagraph"/>
              <w:ind w:right="84"/>
              <w:jc w:val="right"/>
              <w:rPr>
                <w:rFonts w:ascii="Times New Roman"/>
                <w:b/>
                <w:sz w:val="20"/>
              </w:rPr>
            </w:pPr>
            <w:r>
              <w:rPr>
                <w:rFonts w:ascii="Times New Roman"/>
                <w:b/>
                <w:w w:val="90"/>
                <w:sz w:val="20"/>
              </w:rPr>
              <w:t>(%)</w:t>
            </w:r>
          </w:p>
        </w:tc>
      </w:tr>
      <w:tr>
        <w:trPr>
          <w:trHeight w:val="283" w:hRule="atLeast"/>
        </w:trPr>
        <w:tc>
          <w:tcPr>
            <w:tcW w:w="4959" w:type="dxa"/>
            <w:shd w:val="clear" w:color="auto" w:fill="D9E0F3"/>
          </w:tcPr>
          <w:p>
            <w:pPr>
              <w:pStyle w:val="TableParagraph"/>
              <w:spacing w:before="1"/>
              <w:ind w:left="115"/>
              <w:rPr>
                <w:rFonts w:ascii="Times New Roman" w:hAnsi="Times New Roman"/>
                <w:b/>
                <w:sz w:val="20"/>
              </w:rPr>
            </w:pPr>
            <w:r>
              <w:rPr>
                <w:rFonts w:ascii="Times New Roman" w:hAnsi="Times New Roman"/>
                <w:b/>
                <w:sz w:val="20"/>
              </w:rPr>
              <w:t>Custo com Serviço de Energia Elétrica</w:t>
            </w:r>
          </w:p>
        </w:tc>
        <w:tc>
          <w:tcPr>
            <w:tcW w:w="1528" w:type="dxa"/>
            <w:shd w:val="clear" w:color="auto" w:fill="D9E0F3"/>
          </w:tcPr>
          <w:p>
            <w:pPr>
              <w:pStyle w:val="TableParagraph"/>
              <w:spacing w:before="1"/>
              <w:ind w:right="90"/>
              <w:jc w:val="right"/>
              <w:rPr>
                <w:rFonts w:ascii="Times New Roman"/>
                <w:b/>
                <w:sz w:val="20"/>
              </w:rPr>
            </w:pPr>
            <w:r>
              <w:rPr>
                <w:rFonts w:ascii="Times New Roman"/>
                <w:b/>
                <w:w w:val="90"/>
                <w:sz w:val="20"/>
              </w:rPr>
              <w:t>(1.922.956)</w:t>
            </w:r>
          </w:p>
        </w:tc>
        <w:tc>
          <w:tcPr>
            <w:tcW w:w="1526" w:type="dxa"/>
            <w:shd w:val="clear" w:color="auto" w:fill="D9E0F3"/>
          </w:tcPr>
          <w:p>
            <w:pPr>
              <w:pStyle w:val="TableParagraph"/>
              <w:spacing w:before="1"/>
              <w:ind w:right="89"/>
              <w:jc w:val="right"/>
              <w:rPr>
                <w:rFonts w:ascii="Times New Roman"/>
                <w:b/>
                <w:sz w:val="20"/>
              </w:rPr>
            </w:pPr>
            <w:r>
              <w:rPr>
                <w:rFonts w:ascii="Times New Roman"/>
                <w:b/>
                <w:w w:val="90"/>
                <w:sz w:val="20"/>
              </w:rPr>
              <w:t>(1.841.232)</w:t>
            </w:r>
          </w:p>
        </w:tc>
        <w:tc>
          <w:tcPr>
            <w:tcW w:w="1108" w:type="dxa"/>
            <w:shd w:val="clear" w:color="auto" w:fill="D9E0F3"/>
          </w:tcPr>
          <w:p>
            <w:pPr>
              <w:pStyle w:val="TableParagraph"/>
              <w:spacing w:before="1"/>
              <w:ind w:right="86"/>
              <w:jc w:val="right"/>
              <w:rPr>
                <w:rFonts w:ascii="Times New Roman"/>
                <w:b/>
                <w:sz w:val="20"/>
              </w:rPr>
            </w:pPr>
            <w:r>
              <w:rPr>
                <w:rFonts w:ascii="Times New Roman"/>
                <w:b/>
                <w:w w:val="90"/>
                <w:sz w:val="20"/>
              </w:rPr>
              <w:t>(81.724)</w:t>
            </w:r>
          </w:p>
        </w:tc>
        <w:tc>
          <w:tcPr>
            <w:tcW w:w="1098" w:type="dxa"/>
            <w:shd w:val="clear" w:color="auto" w:fill="D9E0F3"/>
          </w:tcPr>
          <w:p>
            <w:pPr>
              <w:pStyle w:val="TableParagraph"/>
              <w:spacing w:before="1"/>
              <w:ind w:right="78"/>
              <w:jc w:val="right"/>
              <w:rPr>
                <w:rFonts w:ascii="Times New Roman"/>
                <w:b/>
                <w:sz w:val="20"/>
              </w:rPr>
            </w:pPr>
            <w:r>
              <w:rPr>
                <w:rFonts w:ascii="Times New Roman"/>
                <w:b/>
                <w:sz w:val="20"/>
              </w:rPr>
              <w:t>4,44%</w:t>
            </w:r>
          </w:p>
        </w:tc>
      </w:tr>
      <w:tr>
        <w:trPr>
          <w:trHeight w:val="282" w:hRule="atLeast"/>
        </w:trPr>
        <w:tc>
          <w:tcPr>
            <w:tcW w:w="4959" w:type="dxa"/>
            <w:shd w:val="clear" w:color="auto" w:fill="D9E0F3"/>
          </w:tcPr>
          <w:p>
            <w:pPr>
              <w:pStyle w:val="TableParagraph"/>
              <w:ind w:left="115"/>
              <w:rPr>
                <w:rFonts w:ascii="Times New Roman" w:hAnsi="Times New Roman"/>
                <w:b/>
                <w:sz w:val="20"/>
              </w:rPr>
            </w:pPr>
            <w:r>
              <w:rPr>
                <w:rFonts w:ascii="Times New Roman" w:hAnsi="Times New Roman"/>
                <w:b/>
                <w:sz w:val="20"/>
              </w:rPr>
              <w:t>Custo da Operação</w:t>
            </w:r>
          </w:p>
        </w:tc>
        <w:tc>
          <w:tcPr>
            <w:tcW w:w="1528" w:type="dxa"/>
            <w:shd w:val="clear" w:color="auto" w:fill="D9E0F3"/>
          </w:tcPr>
          <w:p>
            <w:pPr>
              <w:pStyle w:val="TableParagraph"/>
              <w:spacing w:before="26"/>
              <w:ind w:right="90"/>
              <w:jc w:val="right"/>
              <w:rPr>
                <w:rFonts w:ascii="Times New Roman"/>
                <w:b/>
                <w:sz w:val="20"/>
              </w:rPr>
            </w:pPr>
            <w:r>
              <w:rPr>
                <w:rFonts w:ascii="Times New Roman"/>
                <w:b/>
                <w:w w:val="90"/>
                <w:sz w:val="20"/>
              </w:rPr>
              <w:t>(283.230)</w:t>
            </w:r>
          </w:p>
        </w:tc>
        <w:tc>
          <w:tcPr>
            <w:tcW w:w="1526" w:type="dxa"/>
            <w:shd w:val="clear" w:color="auto" w:fill="D9E0F3"/>
          </w:tcPr>
          <w:p>
            <w:pPr>
              <w:pStyle w:val="TableParagraph"/>
              <w:spacing w:before="26"/>
              <w:ind w:right="87"/>
              <w:jc w:val="right"/>
              <w:rPr>
                <w:rFonts w:ascii="Times New Roman"/>
                <w:b/>
                <w:sz w:val="20"/>
              </w:rPr>
            </w:pPr>
            <w:r>
              <w:rPr>
                <w:rFonts w:ascii="Times New Roman"/>
                <w:b/>
                <w:w w:val="90"/>
                <w:sz w:val="20"/>
              </w:rPr>
              <w:t>(304.649)</w:t>
            </w:r>
          </w:p>
        </w:tc>
        <w:tc>
          <w:tcPr>
            <w:tcW w:w="1108" w:type="dxa"/>
            <w:shd w:val="clear" w:color="auto" w:fill="D9E0F3"/>
          </w:tcPr>
          <w:p>
            <w:pPr>
              <w:pStyle w:val="TableParagraph"/>
              <w:spacing w:line="210" w:lineRule="exact" w:before="53"/>
              <w:ind w:right="86"/>
              <w:jc w:val="right"/>
              <w:rPr>
                <w:rFonts w:ascii="Times New Roman"/>
                <w:b/>
                <w:sz w:val="20"/>
              </w:rPr>
            </w:pPr>
            <w:r>
              <w:rPr>
                <w:rFonts w:ascii="Times New Roman"/>
                <w:b/>
                <w:w w:val="90"/>
                <w:sz w:val="20"/>
              </w:rPr>
              <w:t>21.419</w:t>
            </w:r>
          </w:p>
        </w:tc>
        <w:tc>
          <w:tcPr>
            <w:tcW w:w="1098" w:type="dxa"/>
            <w:shd w:val="clear" w:color="auto" w:fill="D9E0F3"/>
          </w:tcPr>
          <w:p>
            <w:pPr>
              <w:pStyle w:val="TableParagraph"/>
              <w:spacing w:line="210" w:lineRule="exact" w:before="53"/>
              <w:ind w:right="84"/>
              <w:jc w:val="right"/>
              <w:rPr>
                <w:rFonts w:ascii="Times New Roman"/>
                <w:b/>
                <w:sz w:val="20"/>
              </w:rPr>
            </w:pPr>
            <w:r>
              <w:rPr>
                <w:rFonts w:ascii="Times New Roman"/>
                <w:b/>
                <w:w w:val="90"/>
                <w:sz w:val="20"/>
              </w:rPr>
              <w:t>-7,03%</w:t>
            </w:r>
          </w:p>
        </w:tc>
      </w:tr>
      <w:tr>
        <w:trPr>
          <w:trHeight w:val="285" w:hRule="atLeast"/>
        </w:trPr>
        <w:tc>
          <w:tcPr>
            <w:tcW w:w="4959" w:type="dxa"/>
            <w:shd w:val="clear" w:color="auto" w:fill="D9E0F3"/>
          </w:tcPr>
          <w:p>
            <w:pPr>
              <w:pStyle w:val="TableParagraph"/>
              <w:ind w:left="115"/>
              <w:rPr>
                <w:rFonts w:ascii="Times New Roman" w:hAnsi="Times New Roman"/>
                <w:b/>
                <w:sz w:val="20"/>
              </w:rPr>
            </w:pPr>
            <w:r>
              <w:rPr>
                <w:rFonts w:ascii="Times New Roman" w:hAnsi="Times New Roman"/>
                <w:b/>
                <w:sz w:val="20"/>
              </w:rPr>
              <w:t>Custo dos Serviços Prestados a Terceiros</w:t>
            </w:r>
          </w:p>
        </w:tc>
        <w:tc>
          <w:tcPr>
            <w:tcW w:w="1528" w:type="dxa"/>
            <w:shd w:val="clear" w:color="auto" w:fill="D9E0F3"/>
          </w:tcPr>
          <w:p>
            <w:pPr>
              <w:pStyle w:val="TableParagraph"/>
              <w:spacing w:before="26"/>
              <w:ind w:right="90"/>
              <w:jc w:val="right"/>
              <w:rPr>
                <w:rFonts w:ascii="Times New Roman"/>
                <w:b/>
                <w:sz w:val="20"/>
              </w:rPr>
            </w:pPr>
            <w:r>
              <w:rPr>
                <w:rFonts w:ascii="Times New Roman"/>
                <w:b/>
                <w:w w:val="90"/>
                <w:sz w:val="20"/>
              </w:rPr>
              <w:t>(51.749)</w:t>
            </w:r>
          </w:p>
        </w:tc>
        <w:tc>
          <w:tcPr>
            <w:tcW w:w="1526" w:type="dxa"/>
            <w:shd w:val="clear" w:color="auto" w:fill="D9E0F3"/>
          </w:tcPr>
          <w:p>
            <w:pPr>
              <w:pStyle w:val="TableParagraph"/>
              <w:spacing w:before="26"/>
              <w:ind w:right="87"/>
              <w:jc w:val="right"/>
              <w:rPr>
                <w:rFonts w:ascii="Times New Roman"/>
                <w:b/>
                <w:sz w:val="20"/>
              </w:rPr>
            </w:pPr>
            <w:r>
              <w:rPr>
                <w:rFonts w:ascii="Times New Roman"/>
                <w:b/>
                <w:w w:val="90"/>
                <w:sz w:val="20"/>
              </w:rPr>
              <w:t>(64.017)</w:t>
            </w:r>
          </w:p>
        </w:tc>
        <w:tc>
          <w:tcPr>
            <w:tcW w:w="1108" w:type="dxa"/>
            <w:shd w:val="clear" w:color="auto" w:fill="D9E0F3"/>
          </w:tcPr>
          <w:p>
            <w:pPr>
              <w:pStyle w:val="TableParagraph"/>
              <w:spacing w:line="210" w:lineRule="exact" w:before="55"/>
              <w:ind w:right="86"/>
              <w:jc w:val="right"/>
              <w:rPr>
                <w:rFonts w:ascii="Times New Roman"/>
                <w:b/>
                <w:sz w:val="20"/>
              </w:rPr>
            </w:pPr>
            <w:r>
              <w:rPr>
                <w:rFonts w:ascii="Times New Roman"/>
                <w:b/>
                <w:w w:val="90"/>
                <w:sz w:val="20"/>
              </w:rPr>
              <w:t>12.268</w:t>
            </w:r>
          </w:p>
        </w:tc>
        <w:tc>
          <w:tcPr>
            <w:tcW w:w="1098" w:type="dxa"/>
            <w:shd w:val="clear" w:color="auto" w:fill="D9E0F3"/>
          </w:tcPr>
          <w:p>
            <w:pPr>
              <w:pStyle w:val="TableParagraph"/>
              <w:spacing w:line="210" w:lineRule="exact" w:before="55"/>
              <w:ind w:right="84"/>
              <w:jc w:val="right"/>
              <w:rPr>
                <w:rFonts w:ascii="Times New Roman"/>
                <w:b/>
                <w:sz w:val="20"/>
              </w:rPr>
            </w:pPr>
            <w:r>
              <w:rPr>
                <w:rFonts w:ascii="Times New Roman"/>
                <w:b/>
                <w:w w:val="90"/>
                <w:sz w:val="20"/>
              </w:rPr>
              <w:t>-19,16%</w:t>
            </w:r>
          </w:p>
        </w:tc>
      </w:tr>
      <w:tr>
        <w:trPr>
          <w:trHeight w:val="282" w:hRule="atLeast"/>
        </w:trPr>
        <w:tc>
          <w:tcPr>
            <w:tcW w:w="4959" w:type="dxa"/>
            <w:shd w:val="clear" w:color="auto" w:fill="D9E0F3"/>
          </w:tcPr>
          <w:p>
            <w:pPr>
              <w:pStyle w:val="TableParagraph"/>
              <w:spacing w:before="26"/>
              <w:ind w:left="115"/>
              <w:rPr>
                <w:rFonts w:ascii="Times New Roman"/>
                <w:b/>
                <w:sz w:val="20"/>
              </w:rPr>
            </w:pPr>
            <w:r>
              <w:rPr>
                <w:rFonts w:ascii="Times New Roman"/>
                <w:b/>
                <w:sz w:val="20"/>
              </w:rPr>
              <w:t>Despesas com Vendas</w:t>
            </w:r>
          </w:p>
        </w:tc>
        <w:tc>
          <w:tcPr>
            <w:tcW w:w="1528" w:type="dxa"/>
            <w:shd w:val="clear" w:color="auto" w:fill="D9E0F3"/>
          </w:tcPr>
          <w:p>
            <w:pPr>
              <w:pStyle w:val="TableParagraph"/>
              <w:spacing w:before="26"/>
              <w:ind w:right="90"/>
              <w:jc w:val="right"/>
              <w:rPr>
                <w:rFonts w:ascii="Times New Roman"/>
                <w:b/>
                <w:sz w:val="20"/>
              </w:rPr>
            </w:pPr>
            <w:r>
              <w:rPr>
                <w:rFonts w:ascii="Times New Roman"/>
                <w:b/>
                <w:w w:val="90"/>
                <w:sz w:val="20"/>
              </w:rPr>
              <w:t>(119.021)</w:t>
            </w:r>
          </w:p>
        </w:tc>
        <w:tc>
          <w:tcPr>
            <w:tcW w:w="1526" w:type="dxa"/>
            <w:shd w:val="clear" w:color="auto" w:fill="D9E0F3"/>
          </w:tcPr>
          <w:p>
            <w:pPr>
              <w:pStyle w:val="TableParagraph"/>
              <w:spacing w:before="26"/>
              <w:ind w:right="87"/>
              <w:jc w:val="right"/>
              <w:rPr>
                <w:rFonts w:ascii="Times New Roman"/>
                <w:b/>
                <w:sz w:val="20"/>
              </w:rPr>
            </w:pPr>
            <w:r>
              <w:rPr>
                <w:rFonts w:ascii="Times New Roman"/>
                <w:b/>
                <w:w w:val="90"/>
                <w:sz w:val="20"/>
              </w:rPr>
              <w:t>(137.758)</w:t>
            </w:r>
          </w:p>
        </w:tc>
        <w:tc>
          <w:tcPr>
            <w:tcW w:w="1108" w:type="dxa"/>
            <w:shd w:val="clear" w:color="auto" w:fill="D9E0F3"/>
          </w:tcPr>
          <w:p>
            <w:pPr>
              <w:pStyle w:val="TableParagraph"/>
              <w:spacing w:line="210" w:lineRule="exact" w:before="53"/>
              <w:ind w:right="86"/>
              <w:jc w:val="right"/>
              <w:rPr>
                <w:rFonts w:ascii="Times New Roman"/>
                <w:b/>
                <w:sz w:val="20"/>
              </w:rPr>
            </w:pPr>
            <w:r>
              <w:rPr>
                <w:rFonts w:ascii="Times New Roman"/>
                <w:b/>
                <w:w w:val="90"/>
                <w:sz w:val="20"/>
              </w:rPr>
              <w:t>18.737</w:t>
            </w:r>
          </w:p>
        </w:tc>
        <w:tc>
          <w:tcPr>
            <w:tcW w:w="1098" w:type="dxa"/>
            <w:shd w:val="clear" w:color="auto" w:fill="D9E0F3"/>
          </w:tcPr>
          <w:p>
            <w:pPr>
              <w:pStyle w:val="TableParagraph"/>
              <w:spacing w:line="210" w:lineRule="exact" w:before="53"/>
              <w:ind w:right="84"/>
              <w:jc w:val="right"/>
              <w:rPr>
                <w:rFonts w:ascii="Times New Roman"/>
                <w:b/>
                <w:sz w:val="20"/>
              </w:rPr>
            </w:pPr>
            <w:r>
              <w:rPr>
                <w:rFonts w:ascii="Times New Roman"/>
                <w:b/>
                <w:w w:val="90"/>
                <w:sz w:val="20"/>
              </w:rPr>
              <w:t>-13,60%</w:t>
            </w:r>
          </w:p>
        </w:tc>
      </w:tr>
      <w:tr>
        <w:trPr>
          <w:trHeight w:val="282" w:hRule="atLeast"/>
        </w:trPr>
        <w:tc>
          <w:tcPr>
            <w:tcW w:w="4959" w:type="dxa"/>
            <w:shd w:val="clear" w:color="auto" w:fill="D9E0F3"/>
          </w:tcPr>
          <w:p>
            <w:pPr>
              <w:pStyle w:val="TableParagraph"/>
              <w:spacing w:before="26"/>
              <w:ind w:left="115"/>
              <w:rPr>
                <w:rFonts w:ascii="Times New Roman"/>
                <w:b/>
                <w:sz w:val="20"/>
              </w:rPr>
            </w:pPr>
            <w:r>
              <w:rPr>
                <w:rFonts w:ascii="Times New Roman"/>
                <w:b/>
                <w:sz w:val="20"/>
              </w:rPr>
              <w:t>Despesas Gerais e Administrativas</w:t>
            </w:r>
          </w:p>
        </w:tc>
        <w:tc>
          <w:tcPr>
            <w:tcW w:w="1528" w:type="dxa"/>
            <w:shd w:val="clear" w:color="auto" w:fill="D9E0F3"/>
          </w:tcPr>
          <w:p>
            <w:pPr>
              <w:pStyle w:val="TableParagraph"/>
              <w:spacing w:before="26"/>
              <w:ind w:right="91"/>
              <w:jc w:val="right"/>
              <w:rPr>
                <w:rFonts w:ascii="Times New Roman"/>
                <w:b/>
                <w:sz w:val="20"/>
              </w:rPr>
            </w:pPr>
            <w:r>
              <w:rPr>
                <w:rFonts w:ascii="Times New Roman"/>
                <w:b/>
                <w:w w:val="90"/>
                <w:sz w:val="20"/>
              </w:rPr>
              <w:t>(160.643)</w:t>
            </w:r>
          </w:p>
        </w:tc>
        <w:tc>
          <w:tcPr>
            <w:tcW w:w="1526" w:type="dxa"/>
            <w:shd w:val="clear" w:color="auto" w:fill="D9E0F3"/>
          </w:tcPr>
          <w:p>
            <w:pPr>
              <w:pStyle w:val="TableParagraph"/>
              <w:spacing w:before="26"/>
              <w:ind w:right="87"/>
              <w:jc w:val="right"/>
              <w:rPr>
                <w:rFonts w:ascii="Times New Roman"/>
                <w:b/>
                <w:sz w:val="20"/>
              </w:rPr>
            </w:pPr>
            <w:r>
              <w:rPr>
                <w:rFonts w:ascii="Times New Roman"/>
                <w:b/>
                <w:w w:val="90"/>
                <w:sz w:val="20"/>
              </w:rPr>
              <w:t>(169.470)</w:t>
            </w:r>
          </w:p>
        </w:tc>
        <w:tc>
          <w:tcPr>
            <w:tcW w:w="1108" w:type="dxa"/>
            <w:shd w:val="clear" w:color="auto" w:fill="D9E0F3"/>
          </w:tcPr>
          <w:p>
            <w:pPr>
              <w:pStyle w:val="TableParagraph"/>
              <w:spacing w:line="210" w:lineRule="exact" w:before="53"/>
              <w:ind w:right="86"/>
              <w:jc w:val="right"/>
              <w:rPr>
                <w:rFonts w:ascii="Times New Roman"/>
                <w:b/>
                <w:sz w:val="20"/>
              </w:rPr>
            </w:pPr>
            <w:r>
              <w:rPr>
                <w:rFonts w:ascii="Times New Roman"/>
                <w:b/>
                <w:w w:val="90"/>
                <w:sz w:val="20"/>
              </w:rPr>
              <w:t>8.827</w:t>
            </w:r>
          </w:p>
        </w:tc>
        <w:tc>
          <w:tcPr>
            <w:tcW w:w="1098" w:type="dxa"/>
            <w:shd w:val="clear" w:color="auto" w:fill="D9E0F3"/>
          </w:tcPr>
          <w:p>
            <w:pPr>
              <w:pStyle w:val="TableParagraph"/>
              <w:spacing w:line="210" w:lineRule="exact" w:before="53"/>
              <w:ind w:right="84"/>
              <w:jc w:val="right"/>
              <w:rPr>
                <w:rFonts w:ascii="Times New Roman"/>
                <w:b/>
                <w:sz w:val="20"/>
              </w:rPr>
            </w:pPr>
            <w:r>
              <w:rPr>
                <w:rFonts w:ascii="Times New Roman"/>
                <w:b/>
                <w:w w:val="90"/>
                <w:sz w:val="20"/>
              </w:rPr>
              <w:t>-5,21%</w:t>
            </w:r>
          </w:p>
        </w:tc>
      </w:tr>
    </w:tbl>
    <w:p>
      <w:pPr>
        <w:pStyle w:val="BodyText"/>
        <w:spacing w:before="9"/>
        <w:rPr>
          <w:rFonts w:ascii="Times New Roman"/>
          <w:sz w:val="23"/>
        </w:rPr>
      </w:pPr>
    </w:p>
    <w:p>
      <w:pPr>
        <w:spacing w:line="360" w:lineRule="auto" w:before="92"/>
        <w:ind w:left="139" w:right="137" w:firstLine="708"/>
        <w:jc w:val="both"/>
        <w:rPr>
          <w:rFonts w:ascii="Times New Roman" w:hAnsi="Times New Roman"/>
          <w:sz w:val="22"/>
        </w:rPr>
      </w:pPr>
      <w:r>
        <w:rPr>
          <w:rFonts w:ascii="Times New Roman" w:hAnsi="Times New Roman"/>
          <w:sz w:val="22"/>
        </w:rPr>
        <w:t>O Custo total da Energia Elétrica e Encargos registrou um aumento de R$ 81.724 (4,44%), quando comparado com o mesmo período do ano anterior, tendo em vista: a) o aumento do custo da Energia Comprada para Revenda, em razão do nível de descontratação via MCSD ter sido menor em 2019 em relação a 2018 e b) a redução dos Custos Variáveis do Mercado de Curto Prazo, relativo, principalmente, ao Risco Hidrológico que é precificado pelo Preço de Liquidação das Diferenças – PLD.</w:t>
      </w:r>
    </w:p>
    <w:p>
      <w:pPr>
        <w:spacing w:after="0" w:line="360" w:lineRule="auto"/>
        <w:jc w:val="both"/>
        <w:rPr>
          <w:rFonts w:ascii="Times New Roman" w:hAnsi="Times New Roman"/>
          <w:sz w:val="22"/>
        </w:rPr>
        <w:sectPr>
          <w:headerReference w:type="default" r:id="rId39"/>
          <w:footerReference w:type="default" r:id="rId40"/>
          <w:pgSz w:w="11920" w:h="16860"/>
          <w:pgMar w:header="0" w:footer="302" w:top="540" w:bottom="500" w:left="780" w:right="280"/>
          <w:pgNumType w:start="22"/>
        </w:sectPr>
      </w:pPr>
    </w:p>
    <w:p>
      <w:pPr>
        <w:pStyle w:val="BodyText"/>
        <w:ind w:left="516"/>
        <w:rPr>
          <w:rFonts w:ascii="Times New Roman"/>
        </w:rPr>
      </w:pPr>
      <w:r>
        <w:rPr>
          <w:rFonts w:ascii="Times New Roman"/>
        </w:rPr>
        <w:drawing>
          <wp:inline distT="0" distB="0" distL="0" distR="0">
            <wp:extent cx="989985" cy="472249"/>
            <wp:effectExtent l="0" t="0" r="0" b="0"/>
            <wp:docPr id="55" name="image2.jpeg"/>
            <wp:cNvGraphicFramePr>
              <a:graphicFrameLocks noChangeAspect="1"/>
            </wp:cNvGraphicFramePr>
            <a:graphic>
              <a:graphicData uri="http://schemas.openxmlformats.org/drawingml/2006/picture">
                <pic:pic>
                  <pic:nvPicPr>
                    <pic:cNvPr id="56"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rPr>
          <w:rFonts w:ascii="Times New Roman"/>
        </w:rPr>
      </w:pPr>
    </w:p>
    <w:p>
      <w:pPr>
        <w:pStyle w:val="BodyText"/>
        <w:spacing w:before="7"/>
        <w:rPr>
          <w:rFonts w:ascii="Times New Roman"/>
          <w:sz w:val="23"/>
        </w:rPr>
      </w:pPr>
    </w:p>
    <w:p>
      <w:pPr>
        <w:spacing w:line="360" w:lineRule="auto" w:before="92"/>
        <w:ind w:left="139" w:right="139" w:firstLine="708"/>
        <w:jc w:val="both"/>
        <w:rPr>
          <w:rFonts w:ascii="Times New Roman" w:hAnsi="Times New Roman"/>
          <w:sz w:val="22"/>
        </w:rPr>
      </w:pPr>
      <w:r>
        <w:rPr>
          <w:rFonts w:ascii="Times New Roman" w:hAnsi="Times New Roman"/>
          <w:sz w:val="22"/>
        </w:rPr>
        <w:t>Observou-se aumento de despesa de pessoal, equivalente à 8,16% ocorreu devido aos seguintes fatores: (i) Demissão de 51 empregados, sendo 35 relativo à política de desligamento da Companhia; (ii) Aumento linear por meio do</w:t>
      </w:r>
      <w:r>
        <w:rPr>
          <w:rFonts w:ascii="Times New Roman" w:hAnsi="Times New Roman"/>
          <w:spacing w:val="-6"/>
          <w:sz w:val="22"/>
        </w:rPr>
        <w:t> </w:t>
      </w:r>
      <w:r>
        <w:rPr>
          <w:rFonts w:ascii="Times New Roman" w:hAnsi="Times New Roman"/>
          <w:sz w:val="22"/>
        </w:rPr>
        <w:t>Acordo</w:t>
      </w:r>
      <w:r>
        <w:rPr>
          <w:rFonts w:ascii="Times New Roman" w:hAnsi="Times New Roman"/>
          <w:spacing w:val="-6"/>
          <w:sz w:val="22"/>
        </w:rPr>
        <w:t> </w:t>
      </w:r>
      <w:r>
        <w:rPr>
          <w:rFonts w:ascii="Times New Roman" w:hAnsi="Times New Roman"/>
          <w:sz w:val="22"/>
        </w:rPr>
        <w:t>Coletivo</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Trabalho</w:t>
      </w:r>
      <w:r>
        <w:rPr>
          <w:rFonts w:ascii="Times New Roman" w:hAnsi="Times New Roman"/>
          <w:spacing w:val="-6"/>
          <w:sz w:val="22"/>
        </w:rPr>
        <w:t> </w:t>
      </w:r>
      <w:r>
        <w:rPr>
          <w:rFonts w:ascii="Times New Roman" w:hAnsi="Times New Roman"/>
          <w:sz w:val="22"/>
        </w:rPr>
        <w:t>2018/2019;</w:t>
      </w:r>
      <w:r>
        <w:rPr>
          <w:rFonts w:ascii="Times New Roman" w:hAnsi="Times New Roman"/>
          <w:spacing w:val="-8"/>
          <w:sz w:val="22"/>
        </w:rPr>
        <w:t> </w:t>
      </w:r>
      <w:r>
        <w:rPr>
          <w:rFonts w:ascii="Times New Roman" w:hAnsi="Times New Roman"/>
          <w:sz w:val="22"/>
        </w:rPr>
        <w:t>(iii)</w:t>
      </w:r>
      <w:r>
        <w:rPr>
          <w:rFonts w:ascii="Times New Roman" w:hAnsi="Times New Roman"/>
          <w:spacing w:val="-5"/>
          <w:sz w:val="22"/>
        </w:rPr>
        <w:t> </w:t>
      </w:r>
      <w:r>
        <w:rPr>
          <w:rFonts w:ascii="Times New Roman" w:hAnsi="Times New Roman"/>
          <w:sz w:val="22"/>
        </w:rPr>
        <w:t>Aumento</w:t>
      </w:r>
      <w:r>
        <w:rPr>
          <w:rFonts w:ascii="Times New Roman" w:hAnsi="Times New Roman"/>
          <w:spacing w:val="-6"/>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horas</w:t>
      </w:r>
      <w:r>
        <w:rPr>
          <w:rFonts w:ascii="Times New Roman" w:hAnsi="Times New Roman"/>
          <w:spacing w:val="-8"/>
          <w:sz w:val="22"/>
        </w:rPr>
        <w:t> </w:t>
      </w:r>
      <w:r>
        <w:rPr>
          <w:rFonts w:ascii="Times New Roman" w:hAnsi="Times New Roman"/>
          <w:sz w:val="22"/>
        </w:rPr>
        <w:t>extras;</w:t>
      </w:r>
      <w:r>
        <w:rPr>
          <w:rFonts w:ascii="Times New Roman" w:hAnsi="Times New Roman"/>
          <w:spacing w:val="-5"/>
          <w:sz w:val="22"/>
        </w:rPr>
        <w:t> </w:t>
      </w:r>
      <w:r>
        <w:rPr>
          <w:rFonts w:ascii="Times New Roman" w:hAnsi="Times New Roman"/>
          <w:sz w:val="22"/>
        </w:rPr>
        <w:t>(iv)</w:t>
      </w:r>
      <w:r>
        <w:rPr>
          <w:rFonts w:ascii="Times New Roman" w:hAnsi="Times New Roman"/>
          <w:spacing w:val="-5"/>
          <w:sz w:val="22"/>
        </w:rPr>
        <w:t> </w:t>
      </w:r>
      <w:r>
        <w:rPr>
          <w:rFonts w:ascii="Times New Roman" w:hAnsi="Times New Roman"/>
          <w:sz w:val="22"/>
        </w:rPr>
        <w:t>Aumento</w:t>
      </w:r>
      <w:r>
        <w:rPr>
          <w:rFonts w:ascii="Times New Roman" w:hAnsi="Times New Roman"/>
          <w:spacing w:val="-4"/>
          <w:sz w:val="22"/>
        </w:rPr>
        <w:t> </w:t>
      </w:r>
      <w:r>
        <w:rPr>
          <w:rFonts w:ascii="Times New Roman" w:hAnsi="Times New Roman"/>
          <w:sz w:val="22"/>
        </w:rPr>
        <w:t>médio</w:t>
      </w:r>
      <w:r>
        <w:rPr>
          <w:rFonts w:ascii="Times New Roman" w:hAnsi="Times New Roman"/>
          <w:spacing w:val="-6"/>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16%</w:t>
      </w:r>
      <w:r>
        <w:rPr>
          <w:rFonts w:ascii="Times New Roman" w:hAnsi="Times New Roman"/>
          <w:spacing w:val="-5"/>
          <w:sz w:val="22"/>
        </w:rPr>
        <w:t> </w:t>
      </w:r>
      <w:r>
        <w:rPr>
          <w:rFonts w:ascii="Times New Roman" w:hAnsi="Times New Roman"/>
          <w:sz w:val="22"/>
        </w:rPr>
        <w:t>na</w:t>
      </w:r>
      <w:r>
        <w:rPr>
          <w:rFonts w:ascii="Times New Roman" w:hAnsi="Times New Roman"/>
          <w:spacing w:val="-6"/>
          <w:sz w:val="22"/>
        </w:rPr>
        <w:t> </w:t>
      </w:r>
      <w:r>
        <w:rPr>
          <w:rFonts w:ascii="Times New Roman" w:hAnsi="Times New Roman"/>
          <w:sz w:val="22"/>
        </w:rPr>
        <w:t>remuneração dos diretores; os quais são vinculados ao teto remuneratório do GDF e (v) aumento das despesas assistenciais do Plano de Saúde e</w:t>
      </w:r>
      <w:r>
        <w:rPr>
          <w:rFonts w:ascii="Times New Roman" w:hAnsi="Times New Roman"/>
          <w:spacing w:val="-1"/>
          <w:sz w:val="22"/>
        </w:rPr>
        <w:t> </w:t>
      </w:r>
      <w:r>
        <w:rPr>
          <w:rFonts w:ascii="Times New Roman" w:hAnsi="Times New Roman"/>
          <w:sz w:val="22"/>
        </w:rPr>
        <w:t>Previdenciais.</w:t>
      </w:r>
    </w:p>
    <w:p>
      <w:pPr>
        <w:pStyle w:val="BodyText"/>
        <w:rPr>
          <w:rFonts w:ascii="Times New Roman"/>
          <w:sz w:val="24"/>
        </w:rPr>
      </w:pPr>
    </w:p>
    <w:p>
      <w:pPr>
        <w:pStyle w:val="BodyText"/>
        <w:spacing w:before="3"/>
        <w:rPr>
          <w:rFonts w:ascii="Times New Roman"/>
          <w:sz w:val="19"/>
        </w:rPr>
      </w:pPr>
    </w:p>
    <w:p>
      <w:pPr>
        <w:spacing w:before="0"/>
        <w:ind w:left="350" w:right="0" w:firstLine="0"/>
        <w:jc w:val="left"/>
        <w:rPr>
          <w:rFonts w:ascii="Times New Roman" w:hAnsi="Times New Roman"/>
          <w:b/>
          <w:sz w:val="22"/>
        </w:rPr>
      </w:pPr>
      <w:r>
        <w:rPr>
          <w:rFonts w:ascii="Times New Roman" w:hAnsi="Times New Roman"/>
          <w:b/>
          <w:sz w:val="22"/>
        </w:rPr>
        <w:t>Depreciação e Amortização</w:t>
      </w:r>
    </w:p>
    <w:p>
      <w:pPr>
        <w:pStyle w:val="BodyText"/>
        <w:spacing w:before="1"/>
        <w:rPr>
          <w:rFonts w:ascii="Times New Roman"/>
          <w:b/>
          <w:sz w:val="21"/>
        </w:rPr>
      </w:pPr>
    </w:p>
    <w:tbl>
      <w:tblPr>
        <w:tblW w:w="0" w:type="auto"/>
        <w:jc w:val="left"/>
        <w:tblInd w:w="26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674"/>
        <w:gridCol w:w="1493"/>
        <w:gridCol w:w="1496"/>
        <w:gridCol w:w="1198"/>
        <w:gridCol w:w="1323"/>
      </w:tblGrid>
      <w:tr>
        <w:trPr>
          <w:trHeight w:val="384" w:hRule="atLeast"/>
        </w:trPr>
        <w:tc>
          <w:tcPr>
            <w:tcW w:w="4674" w:type="dxa"/>
            <w:tcBorders>
              <w:top w:val="nil"/>
              <w:left w:val="nil"/>
              <w:bottom w:val="nil"/>
              <w:right w:val="nil"/>
            </w:tcBorders>
            <w:shd w:val="clear" w:color="auto" w:fill="4470C4"/>
          </w:tcPr>
          <w:p>
            <w:pPr>
              <w:pStyle w:val="TableParagraph"/>
              <w:spacing w:before="77"/>
              <w:ind w:left="1965" w:right="1941"/>
              <w:jc w:val="center"/>
              <w:rPr>
                <w:rFonts w:ascii="Times New Roman"/>
                <w:b/>
                <w:sz w:val="20"/>
              </w:rPr>
            </w:pPr>
            <w:r>
              <w:rPr>
                <w:rFonts w:ascii="Times New Roman"/>
                <w:b/>
                <w:color w:val="FFFFFF"/>
                <w:sz w:val="20"/>
              </w:rPr>
              <w:t>(R$ Mil)</w:t>
            </w:r>
          </w:p>
        </w:tc>
        <w:tc>
          <w:tcPr>
            <w:tcW w:w="1493" w:type="dxa"/>
            <w:tcBorders>
              <w:top w:val="nil"/>
              <w:left w:val="nil"/>
              <w:bottom w:val="nil"/>
              <w:right w:val="nil"/>
            </w:tcBorders>
            <w:shd w:val="clear" w:color="auto" w:fill="4470C4"/>
          </w:tcPr>
          <w:p>
            <w:pPr>
              <w:pStyle w:val="TableParagraph"/>
              <w:spacing w:before="77"/>
              <w:ind w:left="538" w:right="515"/>
              <w:jc w:val="center"/>
              <w:rPr>
                <w:rFonts w:ascii="Times New Roman"/>
                <w:b/>
                <w:sz w:val="20"/>
              </w:rPr>
            </w:pPr>
            <w:r>
              <w:rPr>
                <w:rFonts w:ascii="Times New Roman"/>
                <w:b/>
                <w:color w:val="FFFFFF"/>
                <w:sz w:val="20"/>
              </w:rPr>
              <w:t>2019</w:t>
            </w:r>
          </w:p>
        </w:tc>
        <w:tc>
          <w:tcPr>
            <w:tcW w:w="1496" w:type="dxa"/>
            <w:tcBorders>
              <w:top w:val="nil"/>
              <w:left w:val="nil"/>
              <w:bottom w:val="nil"/>
              <w:right w:val="nil"/>
            </w:tcBorders>
            <w:shd w:val="clear" w:color="auto" w:fill="4470C4"/>
          </w:tcPr>
          <w:p>
            <w:pPr>
              <w:pStyle w:val="TableParagraph"/>
              <w:spacing w:before="77"/>
              <w:ind w:left="559"/>
              <w:rPr>
                <w:rFonts w:ascii="Times New Roman"/>
                <w:b/>
                <w:sz w:val="20"/>
              </w:rPr>
            </w:pPr>
            <w:r>
              <w:rPr>
                <w:rFonts w:ascii="Times New Roman"/>
                <w:b/>
                <w:color w:val="FFFFFF"/>
                <w:sz w:val="20"/>
              </w:rPr>
              <w:t>2018</w:t>
            </w:r>
          </w:p>
        </w:tc>
        <w:tc>
          <w:tcPr>
            <w:tcW w:w="2521" w:type="dxa"/>
            <w:gridSpan w:val="2"/>
            <w:tcBorders>
              <w:top w:val="nil"/>
              <w:left w:val="nil"/>
              <w:bottom w:val="nil"/>
              <w:right w:val="nil"/>
            </w:tcBorders>
            <w:shd w:val="clear" w:color="auto" w:fill="4470C4"/>
          </w:tcPr>
          <w:p>
            <w:pPr>
              <w:pStyle w:val="TableParagraph"/>
              <w:spacing w:before="77"/>
              <w:ind w:left="984" w:right="965"/>
              <w:jc w:val="center"/>
              <w:rPr>
                <w:rFonts w:ascii="Times New Roman" w:hAnsi="Times New Roman"/>
                <w:b/>
                <w:sz w:val="20"/>
              </w:rPr>
            </w:pPr>
            <w:r>
              <w:rPr>
                <w:rFonts w:ascii="Times New Roman" w:hAnsi="Times New Roman"/>
                <w:b/>
                <w:color w:val="FFFFFF"/>
                <w:sz w:val="20"/>
              </w:rPr>
              <w:t>Δ Ano</w:t>
            </w:r>
          </w:p>
        </w:tc>
      </w:tr>
      <w:tr>
        <w:trPr>
          <w:trHeight w:val="283" w:hRule="atLeast"/>
        </w:trPr>
        <w:tc>
          <w:tcPr>
            <w:tcW w:w="4674" w:type="dxa"/>
            <w:tcBorders>
              <w:top w:val="nil"/>
            </w:tcBorders>
            <w:shd w:val="clear" w:color="auto" w:fill="D9E0F3"/>
          </w:tcPr>
          <w:p>
            <w:pPr>
              <w:pStyle w:val="TableParagraph"/>
              <w:rPr>
                <w:rFonts w:ascii="Times New Roman"/>
                <w:sz w:val="20"/>
              </w:rPr>
            </w:pPr>
          </w:p>
        </w:tc>
        <w:tc>
          <w:tcPr>
            <w:tcW w:w="1493" w:type="dxa"/>
            <w:tcBorders>
              <w:top w:val="nil"/>
            </w:tcBorders>
            <w:shd w:val="clear" w:color="auto" w:fill="D9E0F3"/>
          </w:tcPr>
          <w:p>
            <w:pPr>
              <w:pStyle w:val="TableParagraph"/>
              <w:rPr>
                <w:rFonts w:ascii="Times New Roman"/>
                <w:sz w:val="20"/>
              </w:rPr>
            </w:pPr>
          </w:p>
        </w:tc>
        <w:tc>
          <w:tcPr>
            <w:tcW w:w="1496" w:type="dxa"/>
            <w:tcBorders>
              <w:top w:val="nil"/>
            </w:tcBorders>
            <w:shd w:val="clear" w:color="auto" w:fill="D9E0F3"/>
          </w:tcPr>
          <w:p>
            <w:pPr>
              <w:pStyle w:val="TableParagraph"/>
              <w:rPr>
                <w:rFonts w:ascii="Times New Roman"/>
                <w:sz w:val="20"/>
              </w:rPr>
            </w:pPr>
          </w:p>
        </w:tc>
        <w:tc>
          <w:tcPr>
            <w:tcW w:w="1198" w:type="dxa"/>
            <w:tcBorders>
              <w:top w:val="nil"/>
            </w:tcBorders>
            <w:shd w:val="clear" w:color="auto" w:fill="D9E0F3"/>
          </w:tcPr>
          <w:p>
            <w:pPr>
              <w:pStyle w:val="TableParagraph"/>
              <w:spacing w:before="1"/>
              <w:ind w:left="222" w:right="198"/>
              <w:jc w:val="center"/>
              <w:rPr>
                <w:rFonts w:ascii="Times New Roman"/>
                <w:b/>
                <w:sz w:val="20"/>
              </w:rPr>
            </w:pPr>
            <w:r>
              <w:rPr>
                <w:rFonts w:ascii="Times New Roman"/>
                <w:b/>
                <w:sz w:val="20"/>
              </w:rPr>
              <w:t>(R$ Mil)</w:t>
            </w:r>
          </w:p>
        </w:tc>
        <w:tc>
          <w:tcPr>
            <w:tcW w:w="1323" w:type="dxa"/>
            <w:tcBorders>
              <w:top w:val="nil"/>
            </w:tcBorders>
            <w:shd w:val="clear" w:color="auto" w:fill="D9E0F3"/>
          </w:tcPr>
          <w:p>
            <w:pPr>
              <w:pStyle w:val="TableParagraph"/>
              <w:spacing w:before="1"/>
              <w:ind w:left="370" w:right="349"/>
              <w:jc w:val="center"/>
              <w:rPr>
                <w:rFonts w:ascii="Times New Roman"/>
                <w:b/>
                <w:sz w:val="20"/>
              </w:rPr>
            </w:pPr>
            <w:r>
              <w:rPr>
                <w:rFonts w:ascii="Times New Roman"/>
                <w:b/>
                <w:sz w:val="20"/>
              </w:rPr>
              <w:t>(%)</w:t>
            </w:r>
          </w:p>
        </w:tc>
      </w:tr>
      <w:tr>
        <w:trPr>
          <w:trHeight w:val="282" w:hRule="atLeast"/>
        </w:trPr>
        <w:tc>
          <w:tcPr>
            <w:tcW w:w="4674" w:type="dxa"/>
          </w:tcPr>
          <w:p>
            <w:pPr>
              <w:pStyle w:val="TableParagraph"/>
              <w:ind w:left="115"/>
              <w:rPr>
                <w:rFonts w:ascii="Times New Roman" w:hAnsi="Times New Roman"/>
                <w:b/>
                <w:sz w:val="20"/>
              </w:rPr>
            </w:pPr>
            <w:r>
              <w:rPr>
                <w:rFonts w:ascii="Times New Roman" w:hAnsi="Times New Roman"/>
                <w:b/>
                <w:sz w:val="20"/>
              </w:rPr>
              <w:t>Depreciação/Amortização</w:t>
            </w:r>
          </w:p>
        </w:tc>
        <w:tc>
          <w:tcPr>
            <w:tcW w:w="1493" w:type="dxa"/>
          </w:tcPr>
          <w:p>
            <w:pPr>
              <w:pStyle w:val="TableParagraph"/>
              <w:ind w:left="455" w:right="437"/>
              <w:jc w:val="center"/>
              <w:rPr>
                <w:rFonts w:ascii="Times New Roman"/>
                <w:b/>
                <w:sz w:val="20"/>
              </w:rPr>
            </w:pPr>
            <w:r>
              <w:rPr>
                <w:rFonts w:ascii="Times New Roman"/>
                <w:b/>
                <w:sz w:val="20"/>
              </w:rPr>
              <w:t>58.393</w:t>
            </w:r>
          </w:p>
        </w:tc>
        <w:tc>
          <w:tcPr>
            <w:tcW w:w="1496" w:type="dxa"/>
          </w:tcPr>
          <w:p>
            <w:pPr>
              <w:pStyle w:val="TableParagraph"/>
              <w:ind w:left="479"/>
              <w:rPr>
                <w:rFonts w:ascii="Times New Roman"/>
                <w:b/>
                <w:sz w:val="20"/>
              </w:rPr>
            </w:pPr>
            <w:r>
              <w:rPr>
                <w:rFonts w:ascii="Times New Roman"/>
                <w:b/>
                <w:sz w:val="20"/>
              </w:rPr>
              <w:t>56.751</w:t>
            </w:r>
          </w:p>
        </w:tc>
        <w:tc>
          <w:tcPr>
            <w:tcW w:w="1198" w:type="dxa"/>
          </w:tcPr>
          <w:p>
            <w:pPr>
              <w:pStyle w:val="TableParagraph"/>
              <w:ind w:left="221" w:right="198"/>
              <w:jc w:val="center"/>
              <w:rPr>
                <w:rFonts w:ascii="Times New Roman"/>
                <w:b/>
                <w:sz w:val="20"/>
              </w:rPr>
            </w:pPr>
            <w:r>
              <w:rPr>
                <w:rFonts w:ascii="Times New Roman"/>
                <w:b/>
                <w:sz w:val="20"/>
              </w:rPr>
              <w:t>1.642</w:t>
            </w:r>
          </w:p>
        </w:tc>
        <w:tc>
          <w:tcPr>
            <w:tcW w:w="1323" w:type="dxa"/>
          </w:tcPr>
          <w:p>
            <w:pPr>
              <w:pStyle w:val="TableParagraph"/>
              <w:ind w:left="374" w:right="349"/>
              <w:jc w:val="center"/>
              <w:rPr>
                <w:rFonts w:ascii="Times New Roman"/>
                <w:b/>
                <w:sz w:val="20"/>
              </w:rPr>
            </w:pPr>
            <w:r>
              <w:rPr>
                <w:rFonts w:ascii="Times New Roman"/>
                <w:b/>
                <w:sz w:val="20"/>
              </w:rPr>
              <w:t>2,89%</w:t>
            </w:r>
          </w:p>
        </w:tc>
      </w:tr>
    </w:tbl>
    <w:p>
      <w:pPr>
        <w:pStyle w:val="BodyText"/>
        <w:spacing w:before="3"/>
        <w:rPr>
          <w:rFonts w:ascii="Times New Roman"/>
          <w:b/>
        </w:rPr>
      </w:pPr>
    </w:p>
    <w:p>
      <w:pPr>
        <w:spacing w:line="360" w:lineRule="auto" w:before="1"/>
        <w:ind w:left="139" w:right="135" w:firstLine="708"/>
        <w:jc w:val="both"/>
        <w:rPr>
          <w:rFonts w:ascii="Times New Roman" w:hAnsi="Times New Roman"/>
          <w:sz w:val="22"/>
        </w:rPr>
      </w:pPr>
      <w:r>
        <w:rPr>
          <w:rFonts w:ascii="Times New Roman" w:hAnsi="Times New Roman"/>
          <w:sz w:val="22"/>
        </w:rPr>
        <w:t>A despesa com Depreciação e Amortização alcançou R$ 58.393 mil em 2019, significando um aumento de R$ 1.642 mil (2,89%) em relação ao total registrado em 2018, em função de itens que passaram a compor a base de remuneração regulatória da subsidiária CEB Distribuição S.A..</w:t>
      </w:r>
    </w:p>
    <w:p>
      <w:pPr>
        <w:pStyle w:val="BodyText"/>
        <w:rPr>
          <w:rFonts w:ascii="Times New Roman"/>
          <w:sz w:val="24"/>
        </w:rPr>
      </w:pPr>
    </w:p>
    <w:p>
      <w:pPr>
        <w:spacing w:before="210"/>
        <w:ind w:left="350" w:right="0" w:firstLine="0"/>
        <w:jc w:val="left"/>
        <w:rPr>
          <w:rFonts w:ascii="Times New Roman"/>
          <w:b/>
          <w:sz w:val="22"/>
        </w:rPr>
      </w:pPr>
      <w:r>
        <w:rPr>
          <w:rFonts w:ascii="Times New Roman"/>
          <w:b/>
          <w:sz w:val="22"/>
        </w:rPr>
        <w:t>Resultado Financeiro</w:t>
      </w:r>
    </w:p>
    <w:p>
      <w:pPr>
        <w:pStyle w:val="BodyText"/>
        <w:spacing w:before="6"/>
        <w:rPr>
          <w:rFonts w:ascii="Times New Roman"/>
          <w:b/>
        </w:rPr>
      </w:pPr>
    </w:p>
    <w:p>
      <w:pPr>
        <w:spacing w:line="360" w:lineRule="auto" w:before="1"/>
        <w:ind w:left="139" w:right="135" w:firstLine="708"/>
        <w:jc w:val="both"/>
        <w:rPr>
          <w:rFonts w:ascii="Times New Roman" w:hAnsi="Times New Roman"/>
          <w:sz w:val="22"/>
        </w:rPr>
      </w:pPr>
      <w:r>
        <w:rPr>
          <w:rFonts w:ascii="Times New Roman" w:hAnsi="Times New Roman"/>
          <w:sz w:val="22"/>
        </w:rPr>
        <w:t>O Resultado Financeiro acumulado no ano de 2019 foi negativo em R$ 47.366 mil (-R$ 113.051 mil em 2018), ocorrendo portanto, uma variação absoluta de R$ 65.685 mil (-58,10%).</w:t>
      </w:r>
    </w:p>
    <w:p>
      <w:pPr>
        <w:pStyle w:val="BodyText"/>
        <w:spacing w:before="4"/>
        <w:rPr>
          <w:rFonts w:ascii="Times New Roman"/>
          <w:sz w:val="21"/>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5238"/>
        <w:gridCol w:w="1239"/>
        <w:gridCol w:w="1280"/>
        <w:gridCol w:w="1097"/>
        <w:gridCol w:w="1059"/>
      </w:tblGrid>
      <w:tr>
        <w:trPr>
          <w:trHeight w:val="230" w:hRule="atLeast"/>
        </w:trPr>
        <w:tc>
          <w:tcPr>
            <w:tcW w:w="5238" w:type="dxa"/>
            <w:vMerge w:val="restart"/>
            <w:tcBorders>
              <w:top w:val="nil"/>
              <w:left w:val="nil"/>
              <w:right w:val="nil"/>
            </w:tcBorders>
            <w:shd w:val="clear" w:color="auto" w:fill="4470C4"/>
          </w:tcPr>
          <w:p>
            <w:pPr>
              <w:pStyle w:val="TableParagraph"/>
              <w:ind w:left="2246" w:right="2224"/>
              <w:jc w:val="center"/>
              <w:rPr>
                <w:rFonts w:ascii="Times New Roman"/>
                <w:b/>
                <w:sz w:val="20"/>
              </w:rPr>
            </w:pPr>
            <w:r>
              <w:rPr>
                <w:rFonts w:ascii="Times New Roman"/>
                <w:b/>
                <w:color w:val="FFFFFF"/>
                <w:sz w:val="20"/>
              </w:rPr>
              <w:t>(R$ Mil)</w:t>
            </w:r>
          </w:p>
        </w:tc>
        <w:tc>
          <w:tcPr>
            <w:tcW w:w="2519" w:type="dxa"/>
            <w:gridSpan w:val="2"/>
            <w:tcBorders>
              <w:top w:val="nil"/>
              <w:left w:val="nil"/>
              <w:bottom w:val="nil"/>
              <w:right w:val="nil"/>
            </w:tcBorders>
            <w:shd w:val="clear" w:color="auto" w:fill="4470C4"/>
          </w:tcPr>
          <w:p>
            <w:pPr>
              <w:pStyle w:val="TableParagraph"/>
              <w:spacing w:line="210" w:lineRule="exact"/>
              <w:ind w:left="736"/>
              <w:rPr>
                <w:rFonts w:ascii="Times New Roman"/>
                <w:b/>
                <w:sz w:val="20"/>
              </w:rPr>
            </w:pPr>
            <w:r>
              <w:rPr>
                <w:rFonts w:ascii="Times New Roman"/>
                <w:b/>
                <w:color w:val="FFFFFF"/>
                <w:sz w:val="20"/>
              </w:rPr>
              <w:t>Consolidado</w:t>
            </w:r>
          </w:p>
        </w:tc>
        <w:tc>
          <w:tcPr>
            <w:tcW w:w="2156" w:type="dxa"/>
            <w:gridSpan w:val="2"/>
            <w:tcBorders>
              <w:top w:val="nil"/>
              <w:left w:val="nil"/>
              <w:bottom w:val="nil"/>
              <w:right w:val="nil"/>
            </w:tcBorders>
            <w:shd w:val="clear" w:color="auto" w:fill="4470C4"/>
          </w:tcPr>
          <w:p>
            <w:pPr>
              <w:pStyle w:val="TableParagraph"/>
              <w:spacing w:line="210" w:lineRule="exact"/>
              <w:ind w:left="17"/>
              <w:jc w:val="center"/>
              <w:rPr>
                <w:rFonts w:ascii="Times New Roman" w:hAnsi="Times New Roman"/>
                <w:b/>
                <w:sz w:val="20"/>
              </w:rPr>
            </w:pPr>
            <w:r>
              <w:rPr>
                <w:rFonts w:ascii="Times New Roman" w:hAnsi="Times New Roman"/>
                <w:b/>
                <w:color w:val="FFFFFF"/>
                <w:w w:val="96"/>
                <w:sz w:val="20"/>
              </w:rPr>
              <w:t>Δ</w:t>
            </w:r>
          </w:p>
        </w:tc>
      </w:tr>
      <w:tr>
        <w:trPr>
          <w:trHeight w:val="229" w:hRule="atLeast"/>
        </w:trPr>
        <w:tc>
          <w:tcPr>
            <w:tcW w:w="5238" w:type="dxa"/>
            <w:vMerge/>
            <w:tcBorders>
              <w:top w:val="nil"/>
              <w:left w:val="nil"/>
              <w:right w:val="nil"/>
            </w:tcBorders>
            <w:shd w:val="clear" w:color="auto" w:fill="4470C4"/>
          </w:tcPr>
          <w:p>
            <w:pPr>
              <w:rPr>
                <w:sz w:val="2"/>
                <w:szCs w:val="2"/>
              </w:rPr>
            </w:pPr>
          </w:p>
        </w:tc>
        <w:tc>
          <w:tcPr>
            <w:tcW w:w="1239" w:type="dxa"/>
            <w:tcBorders>
              <w:top w:val="nil"/>
            </w:tcBorders>
            <w:shd w:val="clear" w:color="auto" w:fill="D9E0F3"/>
          </w:tcPr>
          <w:p>
            <w:pPr>
              <w:pStyle w:val="TableParagraph"/>
              <w:spacing w:line="210" w:lineRule="exact"/>
              <w:ind w:left="174"/>
              <w:rPr>
                <w:rFonts w:ascii="Times New Roman"/>
                <w:b/>
                <w:sz w:val="20"/>
              </w:rPr>
            </w:pPr>
            <w:r>
              <w:rPr>
                <w:rFonts w:ascii="Times New Roman"/>
                <w:b/>
                <w:sz w:val="20"/>
              </w:rPr>
              <w:t>31/12/2019</w:t>
            </w:r>
          </w:p>
        </w:tc>
        <w:tc>
          <w:tcPr>
            <w:tcW w:w="1280" w:type="dxa"/>
            <w:tcBorders>
              <w:top w:val="nil"/>
            </w:tcBorders>
            <w:shd w:val="clear" w:color="auto" w:fill="D9E0F3"/>
          </w:tcPr>
          <w:p>
            <w:pPr>
              <w:pStyle w:val="TableParagraph"/>
              <w:spacing w:line="210" w:lineRule="exact"/>
              <w:ind w:left="188"/>
              <w:rPr>
                <w:rFonts w:ascii="Times New Roman"/>
                <w:b/>
                <w:sz w:val="20"/>
              </w:rPr>
            </w:pPr>
            <w:r>
              <w:rPr>
                <w:rFonts w:ascii="Times New Roman"/>
                <w:b/>
                <w:sz w:val="20"/>
              </w:rPr>
              <w:t>31/12/2018</w:t>
            </w:r>
          </w:p>
        </w:tc>
        <w:tc>
          <w:tcPr>
            <w:tcW w:w="1097" w:type="dxa"/>
            <w:tcBorders>
              <w:top w:val="nil"/>
            </w:tcBorders>
            <w:shd w:val="clear" w:color="auto" w:fill="D9E0F3"/>
          </w:tcPr>
          <w:p>
            <w:pPr>
              <w:pStyle w:val="TableParagraph"/>
              <w:spacing w:line="210" w:lineRule="exact"/>
              <w:ind w:left="190"/>
              <w:rPr>
                <w:rFonts w:ascii="Times New Roman"/>
                <w:b/>
                <w:sz w:val="20"/>
              </w:rPr>
            </w:pPr>
            <w:r>
              <w:rPr>
                <w:rFonts w:ascii="Times New Roman"/>
                <w:b/>
                <w:sz w:val="20"/>
              </w:rPr>
              <w:t>(R$ Mil)</w:t>
            </w:r>
          </w:p>
        </w:tc>
        <w:tc>
          <w:tcPr>
            <w:tcW w:w="1059" w:type="dxa"/>
            <w:tcBorders>
              <w:top w:val="nil"/>
            </w:tcBorders>
            <w:shd w:val="clear" w:color="auto" w:fill="D9E0F3"/>
          </w:tcPr>
          <w:p>
            <w:pPr>
              <w:pStyle w:val="TableParagraph"/>
              <w:spacing w:line="210" w:lineRule="exact"/>
              <w:ind w:left="345" w:right="330"/>
              <w:jc w:val="center"/>
              <w:rPr>
                <w:rFonts w:ascii="Times New Roman"/>
                <w:b/>
                <w:sz w:val="20"/>
              </w:rPr>
            </w:pPr>
            <w:r>
              <w:rPr>
                <w:rFonts w:ascii="Times New Roman"/>
                <w:b/>
                <w:sz w:val="20"/>
              </w:rPr>
              <w:t>(%)</w:t>
            </w:r>
          </w:p>
        </w:tc>
      </w:tr>
      <w:tr>
        <w:trPr>
          <w:trHeight w:val="230" w:hRule="atLeast"/>
        </w:trPr>
        <w:tc>
          <w:tcPr>
            <w:tcW w:w="5238" w:type="dxa"/>
          </w:tcPr>
          <w:p>
            <w:pPr>
              <w:pStyle w:val="TableParagraph"/>
              <w:spacing w:line="210" w:lineRule="exact"/>
              <w:ind w:left="165"/>
              <w:rPr>
                <w:rFonts w:ascii="Times New Roman"/>
                <w:b/>
                <w:sz w:val="20"/>
              </w:rPr>
            </w:pPr>
            <w:r>
              <w:rPr>
                <w:rFonts w:ascii="Times New Roman"/>
                <w:b/>
                <w:sz w:val="20"/>
              </w:rPr>
              <w:t>Receitas Financeiras</w:t>
            </w:r>
          </w:p>
        </w:tc>
        <w:tc>
          <w:tcPr>
            <w:tcW w:w="1239" w:type="dxa"/>
          </w:tcPr>
          <w:p>
            <w:pPr>
              <w:pStyle w:val="TableParagraph"/>
              <w:rPr>
                <w:rFonts w:ascii="Times New Roman"/>
                <w:sz w:val="16"/>
              </w:rPr>
            </w:pPr>
          </w:p>
        </w:tc>
        <w:tc>
          <w:tcPr>
            <w:tcW w:w="1280" w:type="dxa"/>
          </w:tcPr>
          <w:p>
            <w:pPr>
              <w:pStyle w:val="TableParagraph"/>
              <w:rPr>
                <w:rFonts w:ascii="Times New Roman"/>
                <w:sz w:val="16"/>
              </w:rPr>
            </w:pPr>
          </w:p>
        </w:tc>
        <w:tc>
          <w:tcPr>
            <w:tcW w:w="1097" w:type="dxa"/>
          </w:tcPr>
          <w:p>
            <w:pPr>
              <w:pStyle w:val="TableParagraph"/>
              <w:rPr>
                <w:rFonts w:ascii="Times New Roman"/>
                <w:sz w:val="16"/>
              </w:rPr>
            </w:pPr>
          </w:p>
        </w:tc>
        <w:tc>
          <w:tcPr>
            <w:tcW w:w="1059" w:type="dxa"/>
          </w:tcPr>
          <w:p>
            <w:pPr>
              <w:pStyle w:val="TableParagraph"/>
              <w:rPr>
                <w:rFonts w:ascii="Times New Roman"/>
                <w:sz w:val="16"/>
              </w:rPr>
            </w:pP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Juros/Variações Monetárias Sobre Ativos</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33.260</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24.239</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sz w:val="20"/>
              </w:rPr>
              <w:t>9.021</w:t>
            </w:r>
          </w:p>
        </w:tc>
        <w:tc>
          <w:tcPr>
            <w:tcW w:w="1059" w:type="dxa"/>
            <w:shd w:val="clear" w:color="auto" w:fill="D9E0F3"/>
          </w:tcPr>
          <w:p>
            <w:pPr>
              <w:pStyle w:val="TableParagraph"/>
              <w:spacing w:line="207" w:lineRule="exact" w:before="2"/>
              <w:ind w:right="81"/>
              <w:jc w:val="right"/>
              <w:rPr>
                <w:rFonts w:ascii="Times New Roman"/>
                <w:b/>
                <w:sz w:val="20"/>
              </w:rPr>
            </w:pPr>
            <w:r>
              <w:rPr>
                <w:rFonts w:ascii="Times New Roman"/>
                <w:b/>
                <w:sz w:val="20"/>
              </w:rPr>
              <w:t>37,22%</w:t>
            </w:r>
          </w:p>
        </w:tc>
      </w:tr>
      <w:tr>
        <w:trPr>
          <w:trHeight w:val="230" w:hRule="atLeast"/>
        </w:trPr>
        <w:tc>
          <w:tcPr>
            <w:tcW w:w="5238" w:type="dxa"/>
          </w:tcPr>
          <w:p>
            <w:pPr>
              <w:pStyle w:val="TableParagraph"/>
              <w:spacing w:line="210" w:lineRule="exact"/>
              <w:ind w:left="165"/>
              <w:rPr>
                <w:rFonts w:ascii="Times New Roman" w:hAnsi="Times New Roman"/>
                <w:b/>
                <w:sz w:val="20"/>
              </w:rPr>
            </w:pPr>
            <w:r>
              <w:rPr>
                <w:rFonts w:ascii="Times New Roman" w:hAnsi="Times New Roman"/>
                <w:b/>
                <w:sz w:val="20"/>
              </w:rPr>
              <w:t>Atualização Monetária – Ativos Regulatórios</w:t>
            </w:r>
          </w:p>
        </w:tc>
        <w:tc>
          <w:tcPr>
            <w:tcW w:w="1239" w:type="dxa"/>
          </w:tcPr>
          <w:p>
            <w:pPr>
              <w:pStyle w:val="TableParagraph"/>
              <w:spacing w:line="210" w:lineRule="exact"/>
              <w:ind w:right="82"/>
              <w:jc w:val="right"/>
              <w:rPr>
                <w:rFonts w:ascii="Times New Roman"/>
                <w:b/>
                <w:sz w:val="20"/>
              </w:rPr>
            </w:pPr>
            <w:r>
              <w:rPr>
                <w:rFonts w:ascii="Times New Roman"/>
                <w:b/>
                <w:w w:val="95"/>
                <w:sz w:val="20"/>
              </w:rPr>
              <w:t>22.038</w:t>
            </w:r>
          </w:p>
        </w:tc>
        <w:tc>
          <w:tcPr>
            <w:tcW w:w="1280" w:type="dxa"/>
          </w:tcPr>
          <w:p>
            <w:pPr>
              <w:pStyle w:val="TableParagraph"/>
              <w:spacing w:line="210" w:lineRule="exact"/>
              <w:ind w:right="82"/>
              <w:jc w:val="right"/>
              <w:rPr>
                <w:rFonts w:ascii="Times New Roman"/>
                <w:b/>
                <w:sz w:val="20"/>
              </w:rPr>
            </w:pPr>
            <w:r>
              <w:rPr>
                <w:rFonts w:ascii="Times New Roman"/>
                <w:b/>
                <w:w w:val="95"/>
                <w:sz w:val="20"/>
              </w:rPr>
              <w:t>33.531</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-11.493</w:t>
            </w:r>
          </w:p>
        </w:tc>
        <w:tc>
          <w:tcPr>
            <w:tcW w:w="1059" w:type="dxa"/>
          </w:tcPr>
          <w:p>
            <w:pPr>
              <w:pStyle w:val="TableParagraph"/>
              <w:spacing w:line="207" w:lineRule="exact" w:before="2"/>
              <w:ind w:right="84"/>
              <w:jc w:val="right"/>
              <w:rPr>
                <w:rFonts w:ascii="Times New Roman"/>
                <w:b/>
                <w:sz w:val="20"/>
              </w:rPr>
            </w:pPr>
            <w:r>
              <w:rPr>
                <w:rFonts w:ascii="Times New Roman"/>
                <w:b/>
                <w:w w:val="95"/>
                <w:sz w:val="20"/>
              </w:rPr>
              <w:t>-34,28%</w:t>
            </w: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Acréscimos Moratórios em Conta de Energia</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38.450</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27.518</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w w:val="95"/>
                <w:sz w:val="20"/>
              </w:rPr>
              <w:t>10.932</w:t>
            </w:r>
          </w:p>
        </w:tc>
        <w:tc>
          <w:tcPr>
            <w:tcW w:w="1059" w:type="dxa"/>
            <w:shd w:val="clear" w:color="auto" w:fill="D9E0F3"/>
          </w:tcPr>
          <w:p>
            <w:pPr>
              <w:pStyle w:val="TableParagraph"/>
              <w:spacing w:line="207" w:lineRule="exact" w:before="2"/>
              <w:ind w:right="81"/>
              <w:jc w:val="right"/>
              <w:rPr>
                <w:rFonts w:ascii="Times New Roman"/>
                <w:b/>
                <w:sz w:val="20"/>
              </w:rPr>
            </w:pPr>
            <w:r>
              <w:rPr>
                <w:rFonts w:ascii="Times New Roman"/>
                <w:b/>
                <w:sz w:val="20"/>
              </w:rPr>
              <w:t>39,73%</w:t>
            </w:r>
          </w:p>
        </w:tc>
      </w:tr>
      <w:tr>
        <w:trPr>
          <w:trHeight w:val="230" w:hRule="atLeast"/>
        </w:trPr>
        <w:tc>
          <w:tcPr>
            <w:tcW w:w="5238" w:type="dxa"/>
          </w:tcPr>
          <w:p>
            <w:pPr>
              <w:pStyle w:val="TableParagraph"/>
              <w:spacing w:line="210" w:lineRule="exact"/>
              <w:ind w:left="165"/>
              <w:rPr>
                <w:rFonts w:ascii="Times New Roman" w:hAnsi="Times New Roman"/>
                <w:b/>
                <w:sz w:val="20"/>
              </w:rPr>
            </w:pPr>
            <w:r>
              <w:rPr>
                <w:rFonts w:ascii="Times New Roman" w:hAnsi="Times New Roman"/>
                <w:b/>
                <w:sz w:val="20"/>
              </w:rPr>
              <w:t>Rendimentos de Aplicações Financeiras</w:t>
            </w:r>
          </w:p>
        </w:tc>
        <w:tc>
          <w:tcPr>
            <w:tcW w:w="1239" w:type="dxa"/>
          </w:tcPr>
          <w:p>
            <w:pPr>
              <w:pStyle w:val="TableParagraph"/>
              <w:spacing w:line="210" w:lineRule="exact"/>
              <w:ind w:right="82"/>
              <w:jc w:val="right"/>
              <w:rPr>
                <w:rFonts w:ascii="Times New Roman"/>
                <w:b/>
                <w:sz w:val="20"/>
              </w:rPr>
            </w:pPr>
            <w:r>
              <w:rPr>
                <w:rFonts w:ascii="Times New Roman"/>
                <w:b/>
                <w:sz w:val="20"/>
              </w:rPr>
              <w:t>9.997</w:t>
            </w:r>
          </w:p>
        </w:tc>
        <w:tc>
          <w:tcPr>
            <w:tcW w:w="1280" w:type="dxa"/>
          </w:tcPr>
          <w:p>
            <w:pPr>
              <w:pStyle w:val="TableParagraph"/>
              <w:spacing w:line="210" w:lineRule="exact"/>
              <w:ind w:right="82"/>
              <w:jc w:val="right"/>
              <w:rPr>
                <w:rFonts w:ascii="Times New Roman"/>
                <w:b/>
                <w:sz w:val="20"/>
              </w:rPr>
            </w:pPr>
            <w:r>
              <w:rPr>
                <w:rFonts w:ascii="Times New Roman"/>
                <w:b/>
                <w:sz w:val="20"/>
              </w:rPr>
              <w:t>6.117</w:t>
            </w:r>
          </w:p>
        </w:tc>
        <w:tc>
          <w:tcPr>
            <w:tcW w:w="1097" w:type="dxa"/>
          </w:tcPr>
          <w:p>
            <w:pPr>
              <w:pStyle w:val="TableParagraph"/>
              <w:spacing w:line="207" w:lineRule="exact" w:before="2"/>
              <w:ind w:right="85"/>
              <w:jc w:val="right"/>
              <w:rPr>
                <w:rFonts w:ascii="Times New Roman"/>
                <w:b/>
                <w:sz w:val="20"/>
              </w:rPr>
            </w:pPr>
            <w:r>
              <w:rPr>
                <w:rFonts w:ascii="Times New Roman"/>
                <w:b/>
                <w:sz w:val="20"/>
              </w:rPr>
              <w:t>3.880</w:t>
            </w:r>
          </w:p>
        </w:tc>
        <w:tc>
          <w:tcPr>
            <w:tcW w:w="1059" w:type="dxa"/>
          </w:tcPr>
          <w:p>
            <w:pPr>
              <w:pStyle w:val="TableParagraph"/>
              <w:spacing w:line="207" w:lineRule="exact" w:before="2"/>
              <w:ind w:right="81"/>
              <w:jc w:val="right"/>
              <w:rPr>
                <w:rFonts w:ascii="Times New Roman"/>
                <w:b/>
                <w:sz w:val="20"/>
              </w:rPr>
            </w:pPr>
            <w:r>
              <w:rPr>
                <w:rFonts w:ascii="Times New Roman"/>
                <w:b/>
                <w:sz w:val="20"/>
              </w:rPr>
              <w:t>63,43%</w:t>
            </w: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Receita de Dividendos e Juros Sobre Capital Próprio</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28.115</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23.495</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sz w:val="20"/>
              </w:rPr>
              <w:t>4.620</w:t>
            </w:r>
          </w:p>
        </w:tc>
        <w:tc>
          <w:tcPr>
            <w:tcW w:w="1059" w:type="dxa"/>
            <w:shd w:val="clear" w:color="auto" w:fill="D9E0F3"/>
          </w:tcPr>
          <w:p>
            <w:pPr>
              <w:pStyle w:val="TableParagraph"/>
              <w:spacing w:line="207" w:lineRule="exact" w:before="2"/>
              <w:ind w:right="81"/>
              <w:jc w:val="right"/>
              <w:rPr>
                <w:rFonts w:ascii="Times New Roman"/>
                <w:b/>
                <w:sz w:val="20"/>
              </w:rPr>
            </w:pPr>
            <w:r>
              <w:rPr>
                <w:rFonts w:ascii="Times New Roman"/>
                <w:b/>
                <w:sz w:val="20"/>
              </w:rPr>
              <w:t>19,66%</w:t>
            </w:r>
          </w:p>
        </w:tc>
      </w:tr>
      <w:tr>
        <w:trPr>
          <w:trHeight w:val="230" w:hRule="atLeast"/>
        </w:trPr>
        <w:tc>
          <w:tcPr>
            <w:tcW w:w="5238" w:type="dxa"/>
          </w:tcPr>
          <w:p>
            <w:pPr>
              <w:pStyle w:val="TableParagraph"/>
              <w:spacing w:line="210" w:lineRule="exact"/>
              <w:ind w:left="165"/>
              <w:rPr>
                <w:rFonts w:ascii="Times New Roman" w:hAnsi="Times New Roman"/>
                <w:b/>
                <w:sz w:val="20"/>
              </w:rPr>
            </w:pPr>
            <w:r>
              <w:rPr>
                <w:rFonts w:ascii="Times New Roman" w:hAnsi="Times New Roman"/>
                <w:b/>
                <w:sz w:val="20"/>
              </w:rPr>
              <w:t>Reversão de Juros Sobre Capital Próprio</w:t>
            </w:r>
          </w:p>
        </w:tc>
        <w:tc>
          <w:tcPr>
            <w:tcW w:w="1239" w:type="dxa"/>
          </w:tcPr>
          <w:p>
            <w:pPr>
              <w:pStyle w:val="TableParagraph"/>
              <w:spacing w:line="210" w:lineRule="exact"/>
              <w:ind w:right="82"/>
              <w:jc w:val="right"/>
              <w:rPr>
                <w:rFonts w:ascii="Times New Roman"/>
                <w:b/>
                <w:sz w:val="20"/>
              </w:rPr>
            </w:pPr>
            <w:r>
              <w:rPr>
                <w:rFonts w:ascii="Times New Roman"/>
                <w:b/>
                <w:w w:val="95"/>
                <w:sz w:val="20"/>
              </w:rPr>
              <w:t>(23.338)</w:t>
            </w:r>
          </w:p>
        </w:tc>
        <w:tc>
          <w:tcPr>
            <w:tcW w:w="1280" w:type="dxa"/>
          </w:tcPr>
          <w:p>
            <w:pPr>
              <w:pStyle w:val="TableParagraph"/>
              <w:spacing w:line="210" w:lineRule="exact"/>
              <w:ind w:right="82"/>
              <w:jc w:val="right"/>
              <w:rPr>
                <w:rFonts w:ascii="Times New Roman"/>
                <w:b/>
                <w:sz w:val="20"/>
              </w:rPr>
            </w:pPr>
            <w:r>
              <w:rPr>
                <w:rFonts w:ascii="Times New Roman"/>
                <w:b/>
                <w:w w:val="95"/>
                <w:sz w:val="20"/>
              </w:rPr>
              <w:t>(23.388)</w:t>
            </w:r>
          </w:p>
        </w:tc>
        <w:tc>
          <w:tcPr>
            <w:tcW w:w="1097" w:type="dxa"/>
          </w:tcPr>
          <w:p>
            <w:pPr>
              <w:pStyle w:val="TableParagraph"/>
              <w:spacing w:line="207" w:lineRule="exact" w:before="2"/>
              <w:ind w:right="83"/>
              <w:jc w:val="right"/>
              <w:rPr>
                <w:rFonts w:ascii="Times New Roman"/>
                <w:b/>
                <w:sz w:val="20"/>
              </w:rPr>
            </w:pPr>
            <w:r>
              <w:rPr>
                <w:rFonts w:ascii="Times New Roman"/>
                <w:b/>
                <w:sz w:val="20"/>
              </w:rPr>
              <w:t>50</w:t>
            </w:r>
          </w:p>
        </w:tc>
        <w:tc>
          <w:tcPr>
            <w:tcW w:w="1059" w:type="dxa"/>
          </w:tcPr>
          <w:p>
            <w:pPr>
              <w:pStyle w:val="TableParagraph"/>
              <w:spacing w:line="207" w:lineRule="exact" w:before="2"/>
              <w:ind w:right="81"/>
              <w:jc w:val="right"/>
              <w:rPr>
                <w:rFonts w:ascii="Times New Roman"/>
                <w:b/>
                <w:sz w:val="20"/>
              </w:rPr>
            </w:pPr>
            <w:r>
              <w:rPr>
                <w:rFonts w:ascii="Times New Roman"/>
                <w:b/>
                <w:sz w:val="20"/>
              </w:rPr>
              <w:t>-0,21%</w:t>
            </w:r>
          </w:p>
        </w:tc>
      </w:tr>
      <w:tr>
        <w:trPr>
          <w:trHeight w:val="230" w:hRule="atLeast"/>
        </w:trPr>
        <w:tc>
          <w:tcPr>
            <w:tcW w:w="5238" w:type="dxa"/>
            <w:shd w:val="clear" w:color="auto" w:fill="D9E0F3"/>
          </w:tcPr>
          <w:p>
            <w:pPr>
              <w:pStyle w:val="TableParagraph"/>
              <w:spacing w:line="210" w:lineRule="exact"/>
              <w:ind w:left="163"/>
              <w:rPr>
                <w:rFonts w:ascii="Times New Roman"/>
                <w:b/>
                <w:sz w:val="20"/>
              </w:rPr>
            </w:pPr>
            <w:r>
              <w:rPr>
                <w:rFonts w:ascii="Times New Roman"/>
                <w:b/>
                <w:sz w:val="20"/>
              </w:rPr>
              <w:t>Multas e Penalidades Aplicadas</w:t>
            </w:r>
          </w:p>
        </w:tc>
        <w:tc>
          <w:tcPr>
            <w:tcW w:w="1239" w:type="dxa"/>
            <w:shd w:val="clear" w:color="auto" w:fill="D9E0F3"/>
          </w:tcPr>
          <w:p>
            <w:pPr>
              <w:pStyle w:val="TableParagraph"/>
              <w:spacing w:line="210" w:lineRule="exact"/>
              <w:ind w:right="80"/>
              <w:jc w:val="right"/>
              <w:rPr>
                <w:rFonts w:ascii="Times New Roman"/>
                <w:b/>
                <w:sz w:val="20"/>
              </w:rPr>
            </w:pPr>
            <w:r>
              <w:rPr>
                <w:rFonts w:ascii="Times New Roman"/>
                <w:b/>
                <w:sz w:val="20"/>
              </w:rPr>
              <w:t>758</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sz w:val="20"/>
              </w:rPr>
              <w:t>2.505</w:t>
            </w:r>
          </w:p>
        </w:tc>
        <w:tc>
          <w:tcPr>
            <w:tcW w:w="1097"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-1.747</w:t>
            </w:r>
          </w:p>
        </w:tc>
        <w:tc>
          <w:tcPr>
            <w:tcW w:w="1059"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-69,74%</w:t>
            </w:r>
          </w:p>
        </w:tc>
      </w:tr>
      <w:tr>
        <w:trPr>
          <w:trHeight w:val="229" w:hRule="atLeast"/>
        </w:trPr>
        <w:tc>
          <w:tcPr>
            <w:tcW w:w="5238" w:type="dxa"/>
          </w:tcPr>
          <w:p>
            <w:pPr>
              <w:pStyle w:val="TableParagraph"/>
              <w:spacing w:line="210" w:lineRule="exact"/>
              <w:ind w:left="165"/>
              <w:rPr>
                <w:rFonts w:ascii="Times New Roman"/>
                <w:b/>
                <w:sz w:val="20"/>
              </w:rPr>
            </w:pPr>
            <w:r>
              <w:rPr>
                <w:rFonts w:ascii="Times New Roman"/>
                <w:b/>
                <w:sz w:val="20"/>
              </w:rPr>
              <w:t>Tributos Sobre Receitas Financeiras</w:t>
            </w:r>
          </w:p>
        </w:tc>
        <w:tc>
          <w:tcPr>
            <w:tcW w:w="1239" w:type="dxa"/>
          </w:tcPr>
          <w:p>
            <w:pPr>
              <w:pStyle w:val="TableParagraph"/>
              <w:spacing w:line="210" w:lineRule="exact"/>
              <w:ind w:right="82"/>
              <w:jc w:val="right"/>
              <w:rPr>
                <w:rFonts w:ascii="Times New Roman"/>
                <w:b/>
                <w:sz w:val="20"/>
              </w:rPr>
            </w:pPr>
            <w:r>
              <w:rPr>
                <w:rFonts w:ascii="Times New Roman"/>
                <w:b/>
                <w:w w:val="95"/>
                <w:sz w:val="20"/>
              </w:rPr>
              <w:t>(4.768)</w:t>
            </w:r>
          </w:p>
        </w:tc>
        <w:tc>
          <w:tcPr>
            <w:tcW w:w="1280" w:type="dxa"/>
          </w:tcPr>
          <w:p>
            <w:pPr>
              <w:pStyle w:val="TableParagraph"/>
              <w:spacing w:line="210" w:lineRule="exact"/>
              <w:ind w:right="82"/>
              <w:jc w:val="right"/>
              <w:rPr>
                <w:rFonts w:ascii="Times New Roman"/>
                <w:b/>
                <w:sz w:val="20"/>
              </w:rPr>
            </w:pPr>
            <w:r>
              <w:rPr>
                <w:rFonts w:ascii="Times New Roman"/>
                <w:b/>
                <w:w w:val="95"/>
                <w:sz w:val="20"/>
              </w:rPr>
              <w:t>(3.718)</w:t>
            </w:r>
          </w:p>
        </w:tc>
        <w:tc>
          <w:tcPr>
            <w:tcW w:w="1097" w:type="dxa"/>
          </w:tcPr>
          <w:p>
            <w:pPr>
              <w:pStyle w:val="TableParagraph"/>
              <w:spacing w:line="207" w:lineRule="exact" w:before="2"/>
              <w:ind w:right="84"/>
              <w:jc w:val="right"/>
              <w:rPr>
                <w:rFonts w:ascii="Times New Roman"/>
                <w:b/>
                <w:sz w:val="20"/>
              </w:rPr>
            </w:pPr>
            <w:r>
              <w:rPr>
                <w:rFonts w:ascii="Times New Roman"/>
                <w:b/>
                <w:w w:val="95"/>
                <w:sz w:val="20"/>
              </w:rPr>
              <w:t>-1.050</w:t>
            </w:r>
          </w:p>
        </w:tc>
        <w:tc>
          <w:tcPr>
            <w:tcW w:w="1059" w:type="dxa"/>
          </w:tcPr>
          <w:p>
            <w:pPr>
              <w:pStyle w:val="TableParagraph"/>
              <w:spacing w:line="207" w:lineRule="exact" w:before="2"/>
              <w:ind w:right="81"/>
              <w:jc w:val="right"/>
              <w:rPr>
                <w:rFonts w:ascii="Times New Roman"/>
                <w:b/>
                <w:sz w:val="20"/>
              </w:rPr>
            </w:pPr>
            <w:r>
              <w:rPr>
                <w:rFonts w:ascii="Times New Roman"/>
                <w:b/>
                <w:sz w:val="20"/>
              </w:rPr>
              <w:t>28,24%</w:t>
            </w:r>
          </w:p>
        </w:tc>
      </w:tr>
      <w:tr>
        <w:trPr>
          <w:trHeight w:val="230" w:hRule="atLeast"/>
        </w:trPr>
        <w:tc>
          <w:tcPr>
            <w:tcW w:w="5238" w:type="dxa"/>
            <w:shd w:val="clear" w:color="auto" w:fill="D9E0F3"/>
          </w:tcPr>
          <w:p>
            <w:pPr>
              <w:pStyle w:val="TableParagraph"/>
              <w:spacing w:line="210" w:lineRule="exact"/>
              <w:ind w:left="165"/>
              <w:rPr>
                <w:rFonts w:ascii="Times New Roman"/>
                <w:b/>
                <w:sz w:val="20"/>
              </w:rPr>
            </w:pPr>
            <w:r>
              <w:rPr>
                <w:rFonts w:ascii="Times New Roman"/>
                <w:b/>
                <w:sz w:val="20"/>
              </w:rPr>
              <w:t>Outas Receitas Financeiras</w:t>
            </w:r>
          </w:p>
        </w:tc>
        <w:tc>
          <w:tcPr>
            <w:tcW w:w="1239" w:type="dxa"/>
            <w:shd w:val="clear" w:color="auto" w:fill="D9E0F3"/>
          </w:tcPr>
          <w:p>
            <w:pPr>
              <w:pStyle w:val="TableParagraph"/>
              <w:spacing w:line="210" w:lineRule="exact"/>
              <w:ind w:right="80"/>
              <w:jc w:val="right"/>
              <w:rPr>
                <w:rFonts w:ascii="Times New Roman"/>
                <w:b/>
                <w:sz w:val="20"/>
              </w:rPr>
            </w:pPr>
            <w:r>
              <w:rPr>
                <w:rFonts w:ascii="Times New Roman"/>
                <w:b/>
                <w:sz w:val="20"/>
              </w:rPr>
              <w:t>52</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sz w:val="20"/>
              </w:rPr>
              <w:t>1.632</w:t>
            </w:r>
          </w:p>
        </w:tc>
        <w:tc>
          <w:tcPr>
            <w:tcW w:w="1097"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-1.580</w:t>
            </w:r>
          </w:p>
        </w:tc>
        <w:tc>
          <w:tcPr>
            <w:tcW w:w="1059"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-96,81%</w:t>
            </w:r>
          </w:p>
        </w:tc>
      </w:tr>
      <w:tr>
        <w:trPr>
          <w:trHeight w:val="230" w:hRule="atLeast"/>
        </w:trPr>
        <w:tc>
          <w:tcPr>
            <w:tcW w:w="5238" w:type="dxa"/>
          </w:tcPr>
          <w:p>
            <w:pPr>
              <w:pStyle w:val="TableParagraph"/>
              <w:spacing w:line="210" w:lineRule="exact"/>
              <w:ind w:left="165"/>
              <w:rPr>
                <w:rFonts w:ascii="Times New Roman"/>
                <w:b/>
                <w:sz w:val="20"/>
              </w:rPr>
            </w:pPr>
            <w:r>
              <w:rPr>
                <w:rFonts w:ascii="Times New Roman"/>
                <w:b/>
                <w:sz w:val="20"/>
              </w:rPr>
              <w:t>Subtotal</w:t>
            </w:r>
          </w:p>
        </w:tc>
        <w:tc>
          <w:tcPr>
            <w:tcW w:w="1239" w:type="dxa"/>
          </w:tcPr>
          <w:p>
            <w:pPr>
              <w:pStyle w:val="TableParagraph"/>
              <w:spacing w:line="210" w:lineRule="exact"/>
              <w:ind w:right="82"/>
              <w:jc w:val="right"/>
              <w:rPr>
                <w:rFonts w:ascii="Times New Roman"/>
                <w:b/>
                <w:sz w:val="20"/>
              </w:rPr>
            </w:pPr>
            <w:r>
              <w:rPr>
                <w:rFonts w:ascii="Times New Roman"/>
                <w:b/>
                <w:w w:val="95"/>
                <w:sz w:val="20"/>
              </w:rPr>
              <w:t>104.514</w:t>
            </w:r>
          </w:p>
        </w:tc>
        <w:tc>
          <w:tcPr>
            <w:tcW w:w="1280" w:type="dxa"/>
          </w:tcPr>
          <w:p>
            <w:pPr>
              <w:pStyle w:val="TableParagraph"/>
              <w:spacing w:line="210" w:lineRule="exact"/>
              <w:ind w:right="82"/>
              <w:jc w:val="right"/>
              <w:rPr>
                <w:rFonts w:ascii="Times New Roman"/>
                <w:b/>
                <w:sz w:val="20"/>
              </w:rPr>
            </w:pPr>
            <w:r>
              <w:rPr>
                <w:rFonts w:ascii="Times New Roman"/>
                <w:b/>
                <w:w w:val="95"/>
                <w:sz w:val="20"/>
              </w:rPr>
              <w:t>91.931</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12.583</w:t>
            </w:r>
          </w:p>
        </w:tc>
        <w:tc>
          <w:tcPr>
            <w:tcW w:w="1059" w:type="dxa"/>
          </w:tcPr>
          <w:p>
            <w:pPr>
              <w:pStyle w:val="TableParagraph"/>
              <w:spacing w:line="207" w:lineRule="exact" w:before="2"/>
              <w:ind w:right="81"/>
              <w:jc w:val="right"/>
              <w:rPr>
                <w:rFonts w:ascii="Times New Roman"/>
                <w:b/>
                <w:sz w:val="20"/>
              </w:rPr>
            </w:pPr>
            <w:r>
              <w:rPr>
                <w:rFonts w:ascii="Times New Roman"/>
                <w:b/>
                <w:sz w:val="20"/>
              </w:rPr>
              <w:t>13,69%</w:t>
            </w:r>
          </w:p>
        </w:tc>
      </w:tr>
      <w:tr>
        <w:trPr>
          <w:trHeight w:val="230" w:hRule="atLeast"/>
        </w:trPr>
        <w:tc>
          <w:tcPr>
            <w:tcW w:w="5238" w:type="dxa"/>
            <w:shd w:val="clear" w:color="auto" w:fill="D9E0F3"/>
          </w:tcPr>
          <w:p>
            <w:pPr>
              <w:pStyle w:val="TableParagraph"/>
              <w:spacing w:line="210" w:lineRule="exact"/>
              <w:ind w:left="165"/>
              <w:rPr>
                <w:rFonts w:ascii="Times New Roman"/>
                <w:b/>
                <w:sz w:val="20"/>
              </w:rPr>
            </w:pPr>
            <w:r>
              <w:rPr>
                <w:rFonts w:ascii="Times New Roman"/>
                <w:b/>
                <w:sz w:val="20"/>
              </w:rPr>
              <w:t>Despesas Financeiras</w:t>
            </w:r>
          </w:p>
        </w:tc>
        <w:tc>
          <w:tcPr>
            <w:tcW w:w="1239" w:type="dxa"/>
            <w:shd w:val="clear" w:color="auto" w:fill="D9E0F3"/>
          </w:tcPr>
          <w:p>
            <w:pPr>
              <w:pStyle w:val="TableParagraph"/>
              <w:rPr>
                <w:rFonts w:ascii="Times New Roman"/>
                <w:sz w:val="16"/>
              </w:rPr>
            </w:pPr>
          </w:p>
        </w:tc>
        <w:tc>
          <w:tcPr>
            <w:tcW w:w="1280" w:type="dxa"/>
            <w:shd w:val="clear" w:color="auto" w:fill="D9E0F3"/>
          </w:tcPr>
          <w:p>
            <w:pPr>
              <w:pStyle w:val="TableParagraph"/>
              <w:rPr>
                <w:rFonts w:ascii="Times New Roman"/>
                <w:sz w:val="16"/>
              </w:rPr>
            </w:pPr>
          </w:p>
        </w:tc>
        <w:tc>
          <w:tcPr>
            <w:tcW w:w="1097" w:type="dxa"/>
            <w:shd w:val="clear" w:color="auto" w:fill="D9E0F3"/>
          </w:tcPr>
          <w:p>
            <w:pPr>
              <w:pStyle w:val="TableParagraph"/>
              <w:rPr>
                <w:rFonts w:ascii="Times New Roman"/>
                <w:sz w:val="16"/>
              </w:rPr>
            </w:pPr>
          </w:p>
        </w:tc>
        <w:tc>
          <w:tcPr>
            <w:tcW w:w="1059" w:type="dxa"/>
            <w:shd w:val="clear" w:color="auto" w:fill="D9E0F3"/>
          </w:tcPr>
          <w:p>
            <w:pPr>
              <w:pStyle w:val="TableParagraph"/>
              <w:rPr>
                <w:rFonts w:ascii="Times New Roman"/>
                <w:sz w:val="16"/>
              </w:rPr>
            </w:pPr>
          </w:p>
        </w:tc>
      </w:tr>
      <w:tr>
        <w:trPr>
          <w:trHeight w:val="230" w:hRule="atLeast"/>
        </w:trPr>
        <w:tc>
          <w:tcPr>
            <w:tcW w:w="5238" w:type="dxa"/>
          </w:tcPr>
          <w:p>
            <w:pPr>
              <w:pStyle w:val="TableParagraph"/>
              <w:spacing w:line="211" w:lineRule="exact"/>
              <w:ind w:left="165"/>
              <w:rPr>
                <w:rFonts w:ascii="Times New Roman" w:hAnsi="Times New Roman"/>
                <w:b/>
                <w:sz w:val="20"/>
              </w:rPr>
            </w:pPr>
            <w:r>
              <w:rPr>
                <w:rFonts w:ascii="Times New Roman" w:hAnsi="Times New Roman"/>
                <w:b/>
                <w:sz w:val="20"/>
              </w:rPr>
              <w:t>Juros/Variações Monetárias Sobre Passivos</w:t>
            </w:r>
          </w:p>
        </w:tc>
        <w:tc>
          <w:tcPr>
            <w:tcW w:w="1239" w:type="dxa"/>
          </w:tcPr>
          <w:p>
            <w:pPr>
              <w:pStyle w:val="TableParagraph"/>
              <w:spacing w:line="211" w:lineRule="exact"/>
              <w:ind w:right="82"/>
              <w:jc w:val="right"/>
              <w:rPr>
                <w:rFonts w:ascii="Times New Roman"/>
                <w:b/>
                <w:sz w:val="20"/>
              </w:rPr>
            </w:pPr>
            <w:r>
              <w:rPr>
                <w:rFonts w:ascii="Times New Roman"/>
                <w:b/>
                <w:w w:val="95"/>
                <w:sz w:val="20"/>
              </w:rPr>
              <w:t>(35.883)</w:t>
            </w:r>
          </w:p>
        </w:tc>
        <w:tc>
          <w:tcPr>
            <w:tcW w:w="1280" w:type="dxa"/>
          </w:tcPr>
          <w:p>
            <w:pPr>
              <w:pStyle w:val="TableParagraph"/>
              <w:spacing w:line="211" w:lineRule="exact"/>
              <w:ind w:right="82"/>
              <w:jc w:val="right"/>
              <w:rPr>
                <w:rFonts w:ascii="Times New Roman"/>
                <w:b/>
                <w:sz w:val="20"/>
              </w:rPr>
            </w:pPr>
            <w:r>
              <w:rPr>
                <w:rFonts w:ascii="Times New Roman"/>
                <w:b/>
                <w:w w:val="95"/>
                <w:sz w:val="20"/>
              </w:rPr>
              <w:t>(69.132)</w:t>
            </w:r>
          </w:p>
        </w:tc>
        <w:tc>
          <w:tcPr>
            <w:tcW w:w="1097" w:type="dxa"/>
          </w:tcPr>
          <w:p>
            <w:pPr>
              <w:pStyle w:val="TableParagraph"/>
              <w:spacing w:line="207" w:lineRule="exact" w:before="3"/>
              <w:ind w:right="85"/>
              <w:jc w:val="right"/>
              <w:rPr>
                <w:rFonts w:ascii="Times New Roman"/>
                <w:b/>
                <w:sz w:val="20"/>
              </w:rPr>
            </w:pPr>
            <w:r>
              <w:rPr>
                <w:rFonts w:ascii="Times New Roman"/>
                <w:b/>
                <w:w w:val="95"/>
                <w:sz w:val="20"/>
              </w:rPr>
              <w:t>33.249</w:t>
            </w:r>
          </w:p>
        </w:tc>
        <w:tc>
          <w:tcPr>
            <w:tcW w:w="1059" w:type="dxa"/>
          </w:tcPr>
          <w:p>
            <w:pPr>
              <w:pStyle w:val="TableParagraph"/>
              <w:spacing w:line="207" w:lineRule="exact" w:before="3"/>
              <w:ind w:right="84"/>
              <w:jc w:val="right"/>
              <w:rPr>
                <w:rFonts w:ascii="Times New Roman"/>
                <w:b/>
                <w:sz w:val="20"/>
              </w:rPr>
            </w:pPr>
            <w:r>
              <w:rPr>
                <w:rFonts w:ascii="Times New Roman"/>
                <w:b/>
                <w:w w:val="95"/>
                <w:sz w:val="20"/>
              </w:rPr>
              <w:t>-48,09%</w:t>
            </w: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Encargos de Dívidas</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(45.841)</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(56.465)</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w w:val="95"/>
                <w:sz w:val="20"/>
              </w:rPr>
              <w:t>10.624</w:t>
            </w:r>
          </w:p>
        </w:tc>
        <w:tc>
          <w:tcPr>
            <w:tcW w:w="1059"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-18,82%</w:t>
            </w:r>
          </w:p>
        </w:tc>
      </w:tr>
      <w:tr>
        <w:trPr>
          <w:trHeight w:val="230" w:hRule="atLeast"/>
        </w:trPr>
        <w:tc>
          <w:tcPr>
            <w:tcW w:w="5238" w:type="dxa"/>
          </w:tcPr>
          <w:p>
            <w:pPr>
              <w:pStyle w:val="TableParagraph"/>
              <w:spacing w:line="210" w:lineRule="exact"/>
              <w:ind w:left="165"/>
              <w:rPr>
                <w:rFonts w:ascii="Times New Roman" w:hAnsi="Times New Roman"/>
                <w:b/>
                <w:sz w:val="20"/>
              </w:rPr>
            </w:pPr>
            <w:r>
              <w:rPr>
                <w:rFonts w:ascii="Times New Roman" w:hAnsi="Times New Roman"/>
                <w:b/>
                <w:sz w:val="20"/>
              </w:rPr>
              <w:t>Atualização Monetária – Passivos Regulatórios</w:t>
            </w:r>
          </w:p>
        </w:tc>
        <w:tc>
          <w:tcPr>
            <w:tcW w:w="1239" w:type="dxa"/>
          </w:tcPr>
          <w:p>
            <w:pPr>
              <w:pStyle w:val="TableParagraph"/>
              <w:spacing w:line="210" w:lineRule="exact"/>
              <w:ind w:right="82"/>
              <w:jc w:val="right"/>
              <w:rPr>
                <w:rFonts w:ascii="Times New Roman"/>
                <w:b/>
                <w:sz w:val="20"/>
              </w:rPr>
            </w:pPr>
            <w:r>
              <w:rPr>
                <w:rFonts w:ascii="Times New Roman"/>
                <w:b/>
                <w:w w:val="95"/>
                <w:sz w:val="20"/>
              </w:rPr>
              <w:t>(27.652)</w:t>
            </w:r>
          </w:p>
        </w:tc>
        <w:tc>
          <w:tcPr>
            <w:tcW w:w="1280" w:type="dxa"/>
          </w:tcPr>
          <w:p>
            <w:pPr>
              <w:pStyle w:val="TableParagraph"/>
              <w:spacing w:line="210" w:lineRule="exact"/>
              <w:ind w:right="82"/>
              <w:jc w:val="right"/>
              <w:rPr>
                <w:rFonts w:ascii="Times New Roman"/>
                <w:b/>
                <w:sz w:val="20"/>
              </w:rPr>
            </w:pPr>
            <w:r>
              <w:rPr>
                <w:rFonts w:ascii="Times New Roman"/>
                <w:b/>
                <w:w w:val="95"/>
                <w:sz w:val="20"/>
              </w:rPr>
              <w:t>(53.770)</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26.118</w:t>
            </w:r>
          </w:p>
        </w:tc>
        <w:tc>
          <w:tcPr>
            <w:tcW w:w="1059" w:type="dxa"/>
          </w:tcPr>
          <w:p>
            <w:pPr>
              <w:pStyle w:val="TableParagraph"/>
              <w:spacing w:line="207" w:lineRule="exact" w:before="2"/>
              <w:ind w:right="84"/>
              <w:jc w:val="right"/>
              <w:rPr>
                <w:rFonts w:ascii="Times New Roman"/>
                <w:b/>
                <w:sz w:val="20"/>
              </w:rPr>
            </w:pPr>
            <w:r>
              <w:rPr>
                <w:rFonts w:ascii="Times New Roman"/>
                <w:b/>
                <w:w w:val="95"/>
                <w:sz w:val="20"/>
              </w:rPr>
              <w:t>-48,57%</w:t>
            </w: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Atualização de Benefício Pós-Emprego</w:t>
            </w:r>
          </w:p>
        </w:tc>
        <w:tc>
          <w:tcPr>
            <w:tcW w:w="1239" w:type="dxa"/>
            <w:shd w:val="clear" w:color="auto" w:fill="D9E0F3"/>
          </w:tcPr>
          <w:p>
            <w:pPr>
              <w:pStyle w:val="TableParagraph"/>
              <w:rPr>
                <w:rFonts w:ascii="Times New Roman"/>
                <w:sz w:val="16"/>
              </w:rPr>
            </w:pP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(1.014)</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sz w:val="20"/>
              </w:rPr>
              <w:t>1.014</w:t>
            </w:r>
          </w:p>
        </w:tc>
        <w:tc>
          <w:tcPr>
            <w:tcW w:w="1059" w:type="dxa"/>
            <w:shd w:val="clear" w:color="auto" w:fill="D9E0F3"/>
          </w:tcPr>
          <w:p>
            <w:pPr>
              <w:pStyle w:val="TableParagraph"/>
              <w:spacing w:line="207" w:lineRule="exact" w:before="2"/>
              <w:ind w:right="81"/>
              <w:jc w:val="right"/>
              <w:rPr>
                <w:rFonts w:ascii="Times New Roman"/>
                <w:b/>
                <w:sz w:val="20"/>
              </w:rPr>
            </w:pPr>
            <w:r>
              <w:rPr>
                <w:rFonts w:ascii="Times New Roman"/>
                <w:b/>
                <w:w w:val="95"/>
                <w:sz w:val="20"/>
              </w:rPr>
              <w:t>-100,00%</w:t>
            </w:r>
          </w:p>
        </w:tc>
      </w:tr>
      <w:tr>
        <w:trPr>
          <w:trHeight w:val="230" w:hRule="atLeast"/>
        </w:trPr>
        <w:tc>
          <w:tcPr>
            <w:tcW w:w="5238" w:type="dxa"/>
          </w:tcPr>
          <w:p>
            <w:pPr>
              <w:pStyle w:val="TableParagraph"/>
              <w:spacing w:line="210" w:lineRule="exact"/>
              <w:ind w:left="165"/>
              <w:rPr>
                <w:rFonts w:ascii="Times New Roman" w:hAnsi="Times New Roman"/>
                <w:b/>
                <w:sz w:val="20"/>
              </w:rPr>
            </w:pPr>
            <w:r>
              <w:rPr>
                <w:rFonts w:ascii="Times New Roman" w:hAnsi="Times New Roman"/>
                <w:b/>
                <w:sz w:val="20"/>
              </w:rPr>
              <w:t>Recuperação de Despesas</w:t>
            </w:r>
          </w:p>
        </w:tc>
        <w:tc>
          <w:tcPr>
            <w:tcW w:w="1239" w:type="dxa"/>
          </w:tcPr>
          <w:p>
            <w:pPr>
              <w:pStyle w:val="TableParagraph"/>
              <w:spacing w:line="210" w:lineRule="exact"/>
              <w:ind w:right="80"/>
              <w:jc w:val="right"/>
              <w:rPr>
                <w:rFonts w:ascii="Times New Roman"/>
                <w:b/>
                <w:sz w:val="20"/>
              </w:rPr>
            </w:pPr>
            <w:r>
              <w:rPr>
                <w:rFonts w:ascii="Times New Roman"/>
                <w:b/>
                <w:sz w:val="20"/>
              </w:rPr>
              <w:t>30</w:t>
            </w:r>
          </w:p>
        </w:tc>
        <w:tc>
          <w:tcPr>
            <w:tcW w:w="1280" w:type="dxa"/>
          </w:tcPr>
          <w:p>
            <w:pPr>
              <w:pStyle w:val="TableParagraph"/>
              <w:spacing w:line="210" w:lineRule="exact"/>
              <w:ind w:right="82"/>
              <w:jc w:val="right"/>
              <w:rPr>
                <w:rFonts w:ascii="Times New Roman"/>
                <w:b/>
                <w:sz w:val="20"/>
              </w:rPr>
            </w:pPr>
            <w:r>
              <w:rPr>
                <w:rFonts w:ascii="Times New Roman"/>
                <w:b/>
                <w:w w:val="95"/>
                <w:sz w:val="20"/>
              </w:rPr>
              <w:t>27.268</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-27.238</w:t>
            </w:r>
          </w:p>
        </w:tc>
        <w:tc>
          <w:tcPr>
            <w:tcW w:w="1059" w:type="dxa"/>
          </w:tcPr>
          <w:p>
            <w:pPr>
              <w:pStyle w:val="TableParagraph"/>
              <w:spacing w:line="207" w:lineRule="exact" w:before="2"/>
              <w:ind w:right="84"/>
              <w:jc w:val="right"/>
              <w:rPr>
                <w:rFonts w:ascii="Times New Roman"/>
                <w:b/>
                <w:sz w:val="20"/>
              </w:rPr>
            </w:pPr>
            <w:r>
              <w:rPr>
                <w:rFonts w:ascii="Times New Roman"/>
                <w:b/>
                <w:w w:val="95"/>
                <w:sz w:val="20"/>
              </w:rPr>
              <w:t>-99,89%</w:t>
            </w:r>
          </w:p>
        </w:tc>
      </w:tr>
      <w:tr>
        <w:trPr>
          <w:trHeight w:val="230" w:hRule="atLeast"/>
        </w:trPr>
        <w:tc>
          <w:tcPr>
            <w:tcW w:w="5238" w:type="dxa"/>
          </w:tcPr>
          <w:p>
            <w:pPr>
              <w:pStyle w:val="TableParagraph"/>
              <w:spacing w:line="210" w:lineRule="exact"/>
              <w:ind w:left="165"/>
              <w:rPr>
                <w:rFonts w:ascii="Times New Roman"/>
                <w:b/>
                <w:sz w:val="20"/>
              </w:rPr>
            </w:pPr>
            <w:r>
              <w:rPr>
                <w:rFonts w:ascii="Times New Roman"/>
                <w:b/>
                <w:sz w:val="20"/>
              </w:rPr>
              <w:t>Juros e multa por atraso de pagamento</w:t>
            </w:r>
          </w:p>
        </w:tc>
        <w:tc>
          <w:tcPr>
            <w:tcW w:w="1239" w:type="dxa"/>
          </w:tcPr>
          <w:p>
            <w:pPr>
              <w:pStyle w:val="TableParagraph"/>
              <w:spacing w:line="210" w:lineRule="exact"/>
              <w:ind w:right="82"/>
              <w:jc w:val="right"/>
              <w:rPr>
                <w:rFonts w:ascii="Times New Roman"/>
                <w:b/>
                <w:sz w:val="20"/>
              </w:rPr>
            </w:pPr>
            <w:r>
              <w:rPr>
                <w:rFonts w:ascii="Times New Roman"/>
                <w:b/>
                <w:w w:val="95"/>
                <w:sz w:val="20"/>
              </w:rPr>
              <w:t>(21.820)</w:t>
            </w:r>
          </w:p>
        </w:tc>
        <w:tc>
          <w:tcPr>
            <w:tcW w:w="1280" w:type="dxa"/>
          </w:tcPr>
          <w:p>
            <w:pPr>
              <w:pStyle w:val="TableParagraph"/>
              <w:rPr>
                <w:rFonts w:ascii="Times New Roman"/>
                <w:sz w:val="16"/>
              </w:rPr>
            </w:pPr>
          </w:p>
        </w:tc>
        <w:tc>
          <w:tcPr>
            <w:tcW w:w="1097" w:type="dxa"/>
          </w:tcPr>
          <w:p>
            <w:pPr>
              <w:pStyle w:val="TableParagraph"/>
              <w:spacing w:line="207" w:lineRule="exact" w:before="2"/>
              <w:ind w:right="85"/>
              <w:jc w:val="right"/>
              <w:rPr>
                <w:rFonts w:ascii="Times New Roman"/>
                <w:b/>
                <w:sz w:val="20"/>
              </w:rPr>
            </w:pPr>
            <w:r>
              <w:rPr>
                <w:rFonts w:ascii="Times New Roman"/>
                <w:b/>
                <w:w w:val="95"/>
                <w:sz w:val="20"/>
              </w:rPr>
              <w:t>-16.683</w:t>
            </w:r>
          </w:p>
        </w:tc>
        <w:tc>
          <w:tcPr>
            <w:tcW w:w="1059" w:type="dxa"/>
          </w:tcPr>
          <w:p>
            <w:pPr>
              <w:pStyle w:val="TableParagraph"/>
              <w:rPr>
                <w:rFonts w:ascii="Times New Roman"/>
                <w:sz w:val="16"/>
              </w:rPr>
            </w:pPr>
          </w:p>
        </w:tc>
      </w:tr>
      <w:tr>
        <w:trPr>
          <w:trHeight w:val="230" w:hRule="atLeast"/>
        </w:trPr>
        <w:tc>
          <w:tcPr>
            <w:tcW w:w="5238" w:type="dxa"/>
            <w:shd w:val="clear" w:color="auto" w:fill="D9E0F3"/>
          </w:tcPr>
          <w:p>
            <w:pPr>
              <w:pStyle w:val="TableParagraph"/>
              <w:spacing w:line="210" w:lineRule="exact"/>
              <w:ind w:left="165"/>
              <w:rPr>
                <w:rFonts w:ascii="Times New Roman"/>
                <w:b/>
                <w:sz w:val="20"/>
              </w:rPr>
            </w:pPr>
            <w:r>
              <w:rPr>
                <w:rFonts w:ascii="Times New Roman"/>
                <w:b/>
                <w:sz w:val="20"/>
              </w:rPr>
              <w:t>Outras Despesas Financeiras</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(19.500)</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(47.646)</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w w:val="95"/>
                <w:sz w:val="20"/>
              </w:rPr>
              <w:t>23.007</w:t>
            </w:r>
          </w:p>
        </w:tc>
        <w:tc>
          <w:tcPr>
            <w:tcW w:w="1059"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-48,29%</w:t>
            </w:r>
          </w:p>
        </w:tc>
      </w:tr>
      <w:tr>
        <w:trPr>
          <w:trHeight w:val="230" w:hRule="atLeast"/>
        </w:trPr>
        <w:tc>
          <w:tcPr>
            <w:tcW w:w="5238" w:type="dxa"/>
          </w:tcPr>
          <w:p>
            <w:pPr>
              <w:pStyle w:val="TableParagraph"/>
              <w:spacing w:line="210" w:lineRule="exact"/>
              <w:ind w:left="165"/>
              <w:rPr>
                <w:rFonts w:ascii="Times New Roman"/>
                <w:b/>
                <w:sz w:val="20"/>
              </w:rPr>
            </w:pPr>
            <w:r>
              <w:rPr>
                <w:rFonts w:ascii="Times New Roman"/>
                <w:b/>
                <w:sz w:val="20"/>
              </w:rPr>
              <w:t>Subtotal</w:t>
            </w:r>
          </w:p>
        </w:tc>
        <w:tc>
          <w:tcPr>
            <w:tcW w:w="1239" w:type="dxa"/>
          </w:tcPr>
          <w:p>
            <w:pPr>
              <w:pStyle w:val="TableParagraph"/>
              <w:spacing w:line="210" w:lineRule="exact"/>
              <w:ind w:right="82"/>
              <w:jc w:val="right"/>
              <w:rPr>
                <w:rFonts w:ascii="Times New Roman"/>
                <w:b/>
                <w:sz w:val="20"/>
              </w:rPr>
            </w:pPr>
            <w:r>
              <w:rPr>
                <w:rFonts w:ascii="Times New Roman"/>
                <w:b/>
                <w:w w:val="95"/>
                <w:sz w:val="20"/>
              </w:rPr>
              <w:t>(150.666)</w:t>
            </w:r>
          </w:p>
        </w:tc>
        <w:tc>
          <w:tcPr>
            <w:tcW w:w="1280" w:type="dxa"/>
          </w:tcPr>
          <w:p>
            <w:pPr>
              <w:pStyle w:val="TableParagraph"/>
              <w:spacing w:line="210" w:lineRule="exact"/>
              <w:ind w:right="82"/>
              <w:jc w:val="right"/>
              <w:rPr>
                <w:rFonts w:ascii="Times New Roman"/>
                <w:b/>
                <w:sz w:val="20"/>
              </w:rPr>
            </w:pPr>
            <w:r>
              <w:rPr>
                <w:rFonts w:ascii="Times New Roman"/>
                <w:b/>
                <w:w w:val="95"/>
                <w:sz w:val="20"/>
              </w:rPr>
              <w:t>(200.759)</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200.059</w:t>
            </w:r>
          </w:p>
        </w:tc>
        <w:tc>
          <w:tcPr>
            <w:tcW w:w="1059" w:type="dxa"/>
          </w:tcPr>
          <w:p>
            <w:pPr>
              <w:pStyle w:val="TableParagraph"/>
              <w:spacing w:line="207" w:lineRule="exact" w:before="2"/>
              <w:ind w:right="84"/>
              <w:jc w:val="right"/>
              <w:rPr>
                <w:rFonts w:ascii="Times New Roman"/>
                <w:b/>
                <w:sz w:val="20"/>
              </w:rPr>
            </w:pPr>
            <w:r>
              <w:rPr>
                <w:rFonts w:ascii="Times New Roman"/>
                <w:b/>
                <w:w w:val="95"/>
                <w:sz w:val="20"/>
              </w:rPr>
              <w:t>-99,65%</w:t>
            </w:r>
          </w:p>
        </w:tc>
      </w:tr>
      <w:tr>
        <w:trPr>
          <w:trHeight w:val="230" w:hRule="atLeast"/>
        </w:trPr>
        <w:tc>
          <w:tcPr>
            <w:tcW w:w="5238" w:type="dxa"/>
            <w:shd w:val="clear" w:color="auto" w:fill="D9E0F3"/>
          </w:tcPr>
          <w:p>
            <w:pPr>
              <w:pStyle w:val="TableParagraph"/>
              <w:spacing w:line="210" w:lineRule="exact"/>
              <w:ind w:left="165"/>
              <w:rPr>
                <w:rFonts w:ascii="Times New Roman" w:hAnsi="Times New Roman"/>
                <w:b/>
                <w:sz w:val="20"/>
              </w:rPr>
            </w:pPr>
            <w:r>
              <w:rPr>
                <w:rFonts w:ascii="Times New Roman" w:hAnsi="Times New Roman"/>
                <w:b/>
                <w:sz w:val="20"/>
              </w:rPr>
              <w:t>Variação Cambial (Itaipu Binacional)</w:t>
            </w:r>
          </w:p>
        </w:tc>
        <w:tc>
          <w:tcPr>
            <w:tcW w:w="1239" w:type="dxa"/>
            <w:shd w:val="clear" w:color="auto" w:fill="D9E0F3"/>
          </w:tcPr>
          <w:p>
            <w:pPr>
              <w:pStyle w:val="TableParagraph"/>
              <w:spacing w:line="210" w:lineRule="exact"/>
              <w:ind w:right="82"/>
              <w:jc w:val="right"/>
              <w:rPr>
                <w:rFonts w:ascii="Times New Roman"/>
                <w:b/>
                <w:sz w:val="20"/>
              </w:rPr>
            </w:pPr>
            <w:r>
              <w:rPr>
                <w:rFonts w:ascii="Times New Roman"/>
                <w:b/>
                <w:w w:val="95"/>
                <w:sz w:val="20"/>
              </w:rPr>
              <w:t>(1.214)</w:t>
            </w:r>
          </w:p>
        </w:tc>
        <w:tc>
          <w:tcPr>
            <w:tcW w:w="1280" w:type="dxa"/>
            <w:shd w:val="clear" w:color="auto" w:fill="D9E0F3"/>
          </w:tcPr>
          <w:p>
            <w:pPr>
              <w:pStyle w:val="TableParagraph"/>
              <w:spacing w:line="210" w:lineRule="exact"/>
              <w:ind w:right="82"/>
              <w:jc w:val="right"/>
              <w:rPr>
                <w:rFonts w:ascii="Times New Roman"/>
                <w:b/>
                <w:sz w:val="20"/>
              </w:rPr>
            </w:pPr>
            <w:r>
              <w:rPr>
                <w:rFonts w:ascii="Times New Roman"/>
                <w:b/>
                <w:w w:val="95"/>
                <w:sz w:val="20"/>
              </w:rPr>
              <w:t>(4.223)</w:t>
            </w:r>
          </w:p>
        </w:tc>
        <w:tc>
          <w:tcPr>
            <w:tcW w:w="1097" w:type="dxa"/>
            <w:shd w:val="clear" w:color="auto" w:fill="D9E0F3"/>
          </w:tcPr>
          <w:p>
            <w:pPr>
              <w:pStyle w:val="TableParagraph"/>
              <w:spacing w:line="207" w:lineRule="exact" w:before="2"/>
              <w:ind w:right="85"/>
              <w:jc w:val="right"/>
              <w:rPr>
                <w:rFonts w:ascii="Times New Roman"/>
                <w:b/>
                <w:sz w:val="20"/>
              </w:rPr>
            </w:pPr>
            <w:r>
              <w:rPr>
                <w:rFonts w:ascii="Times New Roman"/>
                <w:b/>
                <w:sz w:val="20"/>
              </w:rPr>
              <w:t>3.011</w:t>
            </w:r>
          </w:p>
        </w:tc>
        <w:tc>
          <w:tcPr>
            <w:tcW w:w="1059" w:type="dxa"/>
            <w:shd w:val="clear" w:color="auto" w:fill="D9E0F3"/>
          </w:tcPr>
          <w:p>
            <w:pPr>
              <w:pStyle w:val="TableParagraph"/>
              <w:spacing w:line="207" w:lineRule="exact" w:before="2"/>
              <w:ind w:right="84"/>
              <w:jc w:val="right"/>
              <w:rPr>
                <w:rFonts w:ascii="Times New Roman"/>
                <w:b/>
                <w:sz w:val="20"/>
              </w:rPr>
            </w:pPr>
            <w:r>
              <w:rPr>
                <w:rFonts w:ascii="Times New Roman"/>
                <w:b/>
                <w:w w:val="95"/>
                <w:sz w:val="20"/>
              </w:rPr>
              <w:t>-71,30%</w:t>
            </w:r>
          </w:p>
        </w:tc>
      </w:tr>
      <w:tr>
        <w:trPr>
          <w:trHeight w:val="229" w:hRule="atLeast"/>
        </w:trPr>
        <w:tc>
          <w:tcPr>
            <w:tcW w:w="5238" w:type="dxa"/>
          </w:tcPr>
          <w:p>
            <w:pPr>
              <w:pStyle w:val="TableParagraph"/>
              <w:spacing w:line="210" w:lineRule="exact"/>
              <w:ind w:left="165"/>
              <w:rPr>
                <w:rFonts w:ascii="Times New Roman"/>
                <w:b/>
                <w:sz w:val="20"/>
              </w:rPr>
            </w:pPr>
            <w:r>
              <w:rPr>
                <w:rFonts w:ascii="Times New Roman"/>
                <w:b/>
                <w:sz w:val="20"/>
              </w:rPr>
              <w:t>Resultado Financeiro</w:t>
            </w:r>
          </w:p>
        </w:tc>
        <w:tc>
          <w:tcPr>
            <w:tcW w:w="1239" w:type="dxa"/>
          </w:tcPr>
          <w:p>
            <w:pPr>
              <w:pStyle w:val="TableParagraph"/>
              <w:spacing w:line="210" w:lineRule="exact"/>
              <w:ind w:right="82"/>
              <w:jc w:val="right"/>
              <w:rPr>
                <w:rFonts w:ascii="Times New Roman"/>
                <w:b/>
                <w:sz w:val="20"/>
              </w:rPr>
            </w:pPr>
            <w:r>
              <w:rPr>
                <w:rFonts w:ascii="Times New Roman"/>
                <w:b/>
                <w:w w:val="95"/>
                <w:sz w:val="20"/>
              </w:rPr>
              <w:t>(47.366)</w:t>
            </w:r>
          </w:p>
        </w:tc>
        <w:tc>
          <w:tcPr>
            <w:tcW w:w="1280" w:type="dxa"/>
          </w:tcPr>
          <w:p>
            <w:pPr>
              <w:pStyle w:val="TableParagraph"/>
              <w:spacing w:line="210" w:lineRule="exact"/>
              <w:ind w:right="82"/>
              <w:jc w:val="right"/>
              <w:rPr>
                <w:rFonts w:ascii="Times New Roman"/>
                <w:b/>
                <w:sz w:val="20"/>
              </w:rPr>
            </w:pPr>
            <w:r>
              <w:rPr>
                <w:rFonts w:ascii="Times New Roman"/>
                <w:b/>
                <w:w w:val="95"/>
                <w:sz w:val="20"/>
              </w:rPr>
              <w:t>(113.051)</w:t>
            </w:r>
          </w:p>
        </w:tc>
        <w:tc>
          <w:tcPr>
            <w:tcW w:w="1097" w:type="dxa"/>
          </w:tcPr>
          <w:p>
            <w:pPr>
              <w:pStyle w:val="TableParagraph"/>
              <w:spacing w:line="207" w:lineRule="exact" w:before="2"/>
              <w:ind w:right="85"/>
              <w:jc w:val="right"/>
              <w:rPr>
                <w:rFonts w:ascii="Times New Roman"/>
                <w:b/>
                <w:sz w:val="20"/>
              </w:rPr>
            </w:pPr>
            <w:r>
              <w:rPr>
                <w:rFonts w:ascii="Times New Roman"/>
                <w:b/>
                <w:w w:val="95"/>
                <w:sz w:val="20"/>
              </w:rPr>
              <w:t>65.685</w:t>
            </w:r>
          </w:p>
        </w:tc>
        <w:tc>
          <w:tcPr>
            <w:tcW w:w="1059" w:type="dxa"/>
          </w:tcPr>
          <w:p>
            <w:pPr>
              <w:pStyle w:val="TableParagraph"/>
              <w:spacing w:line="207" w:lineRule="exact" w:before="2"/>
              <w:ind w:right="84"/>
              <w:jc w:val="right"/>
              <w:rPr>
                <w:rFonts w:ascii="Times New Roman"/>
                <w:b/>
                <w:sz w:val="20"/>
              </w:rPr>
            </w:pPr>
            <w:r>
              <w:rPr>
                <w:rFonts w:ascii="Times New Roman"/>
                <w:b/>
                <w:w w:val="95"/>
                <w:sz w:val="20"/>
              </w:rPr>
              <w:t>-58,10%</w:t>
            </w:r>
          </w:p>
        </w:tc>
      </w:tr>
    </w:tbl>
    <w:p>
      <w:pPr>
        <w:pStyle w:val="BodyText"/>
        <w:spacing w:before="3"/>
        <w:rPr>
          <w:rFonts w:ascii="Times New Roman"/>
        </w:rPr>
      </w:pPr>
    </w:p>
    <w:p>
      <w:pPr>
        <w:spacing w:line="360" w:lineRule="auto" w:before="1"/>
        <w:ind w:left="139" w:right="138" w:firstLine="708"/>
        <w:jc w:val="both"/>
        <w:rPr>
          <w:rFonts w:ascii="Times New Roman" w:hAnsi="Times New Roman"/>
          <w:sz w:val="22"/>
        </w:rPr>
      </w:pPr>
      <w:r>
        <w:rPr>
          <w:rFonts w:ascii="Times New Roman" w:hAnsi="Times New Roman"/>
          <w:sz w:val="22"/>
        </w:rPr>
        <w:t>As</w:t>
      </w:r>
      <w:r>
        <w:rPr>
          <w:rFonts w:ascii="Times New Roman" w:hAnsi="Times New Roman"/>
          <w:spacing w:val="-9"/>
          <w:sz w:val="22"/>
        </w:rPr>
        <w:t> </w:t>
      </w:r>
      <w:r>
        <w:rPr>
          <w:rFonts w:ascii="Times New Roman" w:hAnsi="Times New Roman"/>
          <w:sz w:val="22"/>
        </w:rPr>
        <w:t>principais</w:t>
      </w:r>
      <w:r>
        <w:rPr>
          <w:rFonts w:ascii="Times New Roman" w:hAnsi="Times New Roman"/>
          <w:spacing w:val="-8"/>
          <w:sz w:val="22"/>
        </w:rPr>
        <w:t> </w:t>
      </w:r>
      <w:r>
        <w:rPr>
          <w:rFonts w:ascii="Times New Roman" w:hAnsi="Times New Roman"/>
          <w:sz w:val="22"/>
        </w:rPr>
        <w:t>variações</w:t>
      </w:r>
      <w:r>
        <w:rPr>
          <w:rFonts w:ascii="Times New Roman" w:hAnsi="Times New Roman"/>
          <w:spacing w:val="-9"/>
          <w:sz w:val="22"/>
        </w:rPr>
        <w:t> </w:t>
      </w:r>
      <w:r>
        <w:rPr>
          <w:rFonts w:ascii="Times New Roman" w:hAnsi="Times New Roman"/>
          <w:sz w:val="22"/>
        </w:rPr>
        <w:t>na</w:t>
      </w:r>
      <w:r>
        <w:rPr>
          <w:rFonts w:ascii="Times New Roman" w:hAnsi="Times New Roman"/>
          <w:spacing w:val="-8"/>
          <w:sz w:val="22"/>
        </w:rPr>
        <w:t> </w:t>
      </w:r>
      <w:r>
        <w:rPr>
          <w:rFonts w:ascii="Times New Roman" w:hAnsi="Times New Roman"/>
          <w:sz w:val="22"/>
        </w:rPr>
        <w:t>composição</w:t>
      </w:r>
      <w:r>
        <w:rPr>
          <w:rFonts w:ascii="Times New Roman" w:hAnsi="Times New Roman"/>
          <w:spacing w:val="-10"/>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Resultado</w:t>
      </w:r>
      <w:r>
        <w:rPr>
          <w:rFonts w:ascii="Times New Roman" w:hAnsi="Times New Roman"/>
          <w:spacing w:val="-8"/>
          <w:sz w:val="22"/>
        </w:rPr>
        <w:t> </w:t>
      </w:r>
      <w:r>
        <w:rPr>
          <w:rFonts w:ascii="Times New Roman" w:hAnsi="Times New Roman"/>
          <w:sz w:val="22"/>
        </w:rPr>
        <w:t>Financeiro</w:t>
      </w:r>
      <w:r>
        <w:rPr>
          <w:rFonts w:ascii="Times New Roman" w:hAnsi="Times New Roman"/>
          <w:spacing w:val="-12"/>
          <w:sz w:val="22"/>
        </w:rPr>
        <w:t> </w:t>
      </w:r>
      <w:r>
        <w:rPr>
          <w:rFonts w:ascii="Times New Roman" w:hAnsi="Times New Roman"/>
          <w:sz w:val="22"/>
        </w:rPr>
        <w:t>que</w:t>
      </w:r>
      <w:r>
        <w:rPr>
          <w:rFonts w:ascii="Times New Roman" w:hAnsi="Times New Roman"/>
          <w:spacing w:val="-4"/>
          <w:sz w:val="22"/>
        </w:rPr>
        <w:t> </w:t>
      </w:r>
      <w:r>
        <w:rPr>
          <w:rFonts w:ascii="Times New Roman" w:hAnsi="Times New Roman"/>
          <w:sz w:val="22"/>
        </w:rPr>
        <w:t>contribuíram</w:t>
      </w:r>
      <w:r>
        <w:rPr>
          <w:rFonts w:ascii="Times New Roman" w:hAnsi="Times New Roman"/>
          <w:spacing w:val="-10"/>
          <w:sz w:val="22"/>
        </w:rPr>
        <w:t> </w:t>
      </w:r>
      <w:r>
        <w:rPr>
          <w:rFonts w:ascii="Times New Roman" w:hAnsi="Times New Roman"/>
          <w:sz w:val="22"/>
        </w:rPr>
        <w:t>para</w:t>
      </w:r>
      <w:r>
        <w:rPr>
          <w:rFonts w:ascii="Times New Roman" w:hAnsi="Times New Roman"/>
          <w:spacing w:val="-8"/>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apuração</w:t>
      </w:r>
      <w:r>
        <w:rPr>
          <w:rFonts w:ascii="Times New Roman" w:hAnsi="Times New Roman"/>
          <w:spacing w:val="-10"/>
          <w:sz w:val="22"/>
        </w:rPr>
        <w:t> </w:t>
      </w:r>
      <w:r>
        <w:rPr>
          <w:rFonts w:ascii="Times New Roman" w:hAnsi="Times New Roman"/>
          <w:sz w:val="22"/>
        </w:rPr>
        <w:t>negativa</w:t>
      </w:r>
      <w:r>
        <w:rPr>
          <w:rFonts w:ascii="Times New Roman" w:hAnsi="Times New Roman"/>
          <w:spacing w:val="-8"/>
          <w:sz w:val="22"/>
        </w:rPr>
        <w:t> </w:t>
      </w:r>
      <w:r>
        <w:rPr>
          <w:rFonts w:ascii="Times New Roman" w:hAnsi="Times New Roman"/>
          <w:sz w:val="22"/>
        </w:rPr>
        <w:t>desse agregado foram as</w:t>
      </w:r>
      <w:r>
        <w:rPr>
          <w:rFonts w:ascii="Times New Roman" w:hAnsi="Times New Roman"/>
          <w:spacing w:val="-5"/>
          <w:sz w:val="22"/>
        </w:rPr>
        <w:t> </w:t>
      </w:r>
      <w:r>
        <w:rPr>
          <w:rFonts w:ascii="Times New Roman" w:hAnsi="Times New Roman"/>
          <w:sz w:val="22"/>
        </w:rPr>
        <w:t>seguintes:</w:t>
      </w:r>
    </w:p>
    <w:p>
      <w:pPr>
        <w:spacing w:after="0" w:line="360" w:lineRule="auto"/>
        <w:jc w:val="both"/>
        <w:rPr>
          <w:rFonts w:ascii="Times New Roman" w:hAnsi="Times New Roman"/>
          <w:sz w:val="22"/>
        </w:rPr>
        <w:sectPr>
          <w:headerReference w:type="default" r:id="rId41"/>
          <w:footerReference w:type="default" r:id="rId42"/>
          <w:pgSz w:w="11920" w:h="16860"/>
          <w:pgMar w:header="0" w:footer="302" w:top="540" w:bottom="500" w:left="780" w:right="280"/>
          <w:pgNumType w:start="23"/>
        </w:sectPr>
      </w:pPr>
    </w:p>
    <w:p>
      <w:pPr>
        <w:pStyle w:val="BodyText"/>
        <w:ind w:left="516"/>
        <w:rPr>
          <w:rFonts w:ascii="Times New Roman"/>
        </w:rPr>
      </w:pPr>
      <w:r>
        <w:rPr>
          <w:rFonts w:ascii="Times New Roman"/>
        </w:rPr>
        <w:drawing>
          <wp:inline distT="0" distB="0" distL="0" distR="0">
            <wp:extent cx="989985" cy="472249"/>
            <wp:effectExtent l="0" t="0" r="0" b="0"/>
            <wp:docPr id="57" name="image2.jpeg"/>
            <wp:cNvGraphicFramePr>
              <a:graphicFrameLocks noChangeAspect="1"/>
            </wp:cNvGraphicFramePr>
            <a:graphic>
              <a:graphicData uri="http://schemas.openxmlformats.org/drawingml/2006/picture">
                <pic:pic>
                  <pic:nvPicPr>
                    <pic:cNvPr id="58"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139" w:right="0" w:firstLine="0"/>
        <w:jc w:val="both"/>
        <w:rPr>
          <w:rFonts w:ascii="Times New Roman" w:hAnsi="Times New Roman"/>
          <w:sz w:val="22"/>
        </w:rPr>
      </w:pPr>
      <w:r>
        <w:rPr>
          <w:rFonts w:ascii="Times New Roman" w:hAnsi="Times New Roman"/>
          <w:sz w:val="22"/>
        </w:rPr>
        <w:t>O Aumento de 37,22% (R$ 9.021 mil ) nos Juros/Variações Monetárias sobre Ativos foi reflexo das ações adotadas pela</w:t>
      </w:r>
    </w:p>
    <w:p>
      <w:pPr>
        <w:spacing w:line="360" w:lineRule="auto" w:before="126"/>
        <w:ind w:left="139" w:right="138" w:firstLine="0"/>
        <w:jc w:val="both"/>
        <w:rPr>
          <w:rFonts w:ascii="Times New Roman" w:hAnsi="Times New Roman"/>
          <w:sz w:val="22"/>
        </w:rPr>
      </w:pPr>
      <w:r>
        <w:rPr>
          <w:rFonts w:ascii="Times New Roman" w:hAnsi="Times New Roman"/>
          <w:sz w:val="22"/>
        </w:rPr>
        <w:t>Companhia para redução da inadimplência e melhora na performance operacional da empresa, com a intensificação das suspensões dos fornecimentos aos consumidores inadimplentes e o programa de recuperação de receita – RECUPERA, o qual foi criado para incentivar a recuperação de créditos com vencimentos anteriores a 31 de dezembro de 2018.</w:t>
      </w:r>
    </w:p>
    <w:p>
      <w:pPr>
        <w:pStyle w:val="BodyText"/>
        <w:spacing w:before="9"/>
        <w:rPr>
          <w:rFonts w:ascii="Times New Roman"/>
        </w:rPr>
      </w:pPr>
    </w:p>
    <w:p>
      <w:pPr>
        <w:spacing w:line="360" w:lineRule="auto" w:before="1"/>
        <w:ind w:left="139" w:right="139" w:firstLine="708"/>
        <w:jc w:val="both"/>
        <w:rPr>
          <w:rFonts w:ascii="Times New Roman" w:hAnsi="Times New Roman"/>
          <w:sz w:val="22"/>
        </w:rPr>
      </w:pPr>
      <w:r>
        <w:rPr>
          <w:rFonts w:ascii="Times New Roman" w:hAnsi="Times New Roman"/>
          <w:sz w:val="22"/>
        </w:rPr>
        <w:t>A</w:t>
      </w:r>
      <w:r>
        <w:rPr>
          <w:rFonts w:ascii="Times New Roman" w:hAnsi="Times New Roman"/>
          <w:spacing w:val="-15"/>
          <w:sz w:val="22"/>
        </w:rPr>
        <w:t> </w:t>
      </w:r>
      <w:r>
        <w:rPr>
          <w:rFonts w:ascii="Times New Roman" w:hAnsi="Times New Roman"/>
          <w:sz w:val="22"/>
        </w:rPr>
        <w:t>redução</w:t>
      </w:r>
      <w:r>
        <w:rPr>
          <w:rFonts w:ascii="Times New Roman" w:hAnsi="Times New Roman"/>
          <w:spacing w:val="-14"/>
          <w:sz w:val="22"/>
        </w:rPr>
        <w:t> </w:t>
      </w:r>
      <w:r>
        <w:rPr>
          <w:rFonts w:ascii="Times New Roman" w:hAnsi="Times New Roman"/>
          <w:sz w:val="22"/>
        </w:rPr>
        <w:t>de</w:t>
      </w:r>
      <w:r>
        <w:rPr>
          <w:rFonts w:ascii="Times New Roman" w:hAnsi="Times New Roman"/>
          <w:spacing w:val="-16"/>
          <w:sz w:val="22"/>
        </w:rPr>
        <w:t> </w:t>
      </w:r>
      <w:r>
        <w:rPr>
          <w:rFonts w:ascii="Times New Roman" w:hAnsi="Times New Roman"/>
          <w:sz w:val="22"/>
        </w:rPr>
        <w:t>48,09%</w:t>
      </w:r>
      <w:r>
        <w:rPr>
          <w:rFonts w:ascii="Times New Roman" w:hAnsi="Times New Roman"/>
          <w:spacing w:val="-14"/>
          <w:sz w:val="22"/>
        </w:rPr>
        <w:t> </w:t>
      </w:r>
      <w:r>
        <w:rPr>
          <w:rFonts w:ascii="Times New Roman" w:hAnsi="Times New Roman"/>
          <w:sz w:val="22"/>
        </w:rPr>
        <w:t>em</w:t>
      </w:r>
      <w:r>
        <w:rPr>
          <w:rFonts w:ascii="Times New Roman" w:hAnsi="Times New Roman"/>
          <w:spacing w:val="-17"/>
          <w:sz w:val="22"/>
        </w:rPr>
        <w:t> </w:t>
      </w:r>
      <w:r>
        <w:rPr>
          <w:rFonts w:ascii="Times New Roman" w:hAnsi="Times New Roman"/>
          <w:sz w:val="22"/>
        </w:rPr>
        <w:t>Juros/Variações</w:t>
      </w:r>
      <w:r>
        <w:rPr>
          <w:rFonts w:ascii="Times New Roman" w:hAnsi="Times New Roman"/>
          <w:spacing w:val="-16"/>
          <w:sz w:val="22"/>
        </w:rPr>
        <w:t> </w:t>
      </w:r>
      <w:r>
        <w:rPr>
          <w:rFonts w:ascii="Times New Roman" w:hAnsi="Times New Roman"/>
          <w:sz w:val="22"/>
        </w:rPr>
        <w:t>Monetárias</w:t>
      </w:r>
      <w:r>
        <w:rPr>
          <w:rFonts w:ascii="Times New Roman" w:hAnsi="Times New Roman"/>
          <w:spacing w:val="-14"/>
          <w:sz w:val="22"/>
        </w:rPr>
        <w:t> </w:t>
      </w:r>
      <w:r>
        <w:rPr>
          <w:rFonts w:ascii="Times New Roman" w:hAnsi="Times New Roman"/>
          <w:sz w:val="22"/>
        </w:rPr>
        <w:t>Sobre</w:t>
      </w:r>
      <w:r>
        <w:rPr>
          <w:rFonts w:ascii="Times New Roman" w:hAnsi="Times New Roman"/>
          <w:spacing w:val="-13"/>
          <w:sz w:val="22"/>
        </w:rPr>
        <w:t> </w:t>
      </w:r>
      <w:r>
        <w:rPr>
          <w:rFonts w:ascii="Times New Roman" w:hAnsi="Times New Roman"/>
          <w:sz w:val="22"/>
        </w:rPr>
        <w:t>Passivos:</w:t>
      </w:r>
      <w:r>
        <w:rPr>
          <w:rFonts w:ascii="Times New Roman" w:hAnsi="Times New Roman"/>
          <w:spacing w:val="-9"/>
          <w:sz w:val="22"/>
        </w:rPr>
        <w:t> </w:t>
      </w:r>
      <w:r>
        <w:rPr>
          <w:rFonts w:ascii="Times New Roman" w:hAnsi="Times New Roman"/>
          <w:sz w:val="22"/>
        </w:rPr>
        <w:t>se</w:t>
      </w:r>
      <w:r>
        <w:rPr>
          <w:rFonts w:ascii="Times New Roman" w:hAnsi="Times New Roman"/>
          <w:spacing w:val="-14"/>
          <w:sz w:val="22"/>
        </w:rPr>
        <w:t> </w:t>
      </w:r>
      <w:r>
        <w:rPr>
          <w:rFonts w:ascii="Times New Roman" w:hAnsi="Times New Roman"/>
          <w:sz w:val="22"/>
        </w:rPr>
        <w:t>deve,</w:t>
      </w:r>
      <w:r>
        <w:rPr>
          <w:rFonts w:ascii="Times New Roman" w:hAnsi="Times New Roman"/>
          <w:spacing w:val="-14"/>
          <w:sz w:val="22"/>
        </w:rPr>
        <w:t> </w:t>
      </w:r>
      <w:r>
        <w:rPr>
          <w:rFonts w:ascii="Times New Roman" w:hAnsi="Times New Roman"/>
          <w:sz w:val="22"/>
        </w:rPr>
        <w:t>substancialmente,</w:t>
      </w:r>
      <w:r>
        <w:rPr>
          <w:rFonts w:ascii="Times New Roman" w:hAnsi="Times New Roman"/>
          <w:spacing w:val="-14"/>
          <w:sz w:val="22"/>
        </w:rPr>
        <w:t> </w:t>
      </w:r>
      <w:r>
        <w:rPr>
          <w:rFonts w:ascii="Times New Roman" w:hAnsi="Times New Roman"/>
          <w:sz w:val="22"/>
        </w:rPr>
        <w:t>às</w:t>
      </w:r>
      <w:r>
        <w:rPr>
          <w:rFonts w:ascii="Times New Roman" w:hAnsi="Times New Roman"/>
          <w:spacing w:val="-14"/>
          <w:sz w:val="22"/>
        </w:rPr>
        <w:t> </w:t>
      </w:r>
      <w:r>
        <w:rPr>
          <w:rFonts w:ascii="Times New Roman" w:hAnsi="Times New Roman"/>
          <w:sz w:val="22"/>
        </w:rPr>
        <w:t>amortizações durante o exercício de 2019 de relevantes passivos que haviam sidos renegociados e parcelados e, consequentemente, à redução dos juros e variações monetárias se comparado os períodos, fato este que não ocorreu em 2018, sendo agravado pelos seguidos atrasos por falta de caixa da CEB Distribuição S.A. naquele</w:t>
      </w:r>
      <w:r>
        <w:rPr>
          <w:rFonts w:ascii="Times New Roman" w:hAnsi="Times New Roman"/>
          <w:spacing w:val="-12"/>
          <w:sz w:val="22"/>
        </w:rPr>
        <w:t> </w:t>
      </w:r>
      <w:r>
        <w:rPr>
          <w:rFonts w:ascii="Times New Roman" w:hAnsi="Times New Roman"/>
          <w:sz w:val="22"/>
        </w:rPr>
        <w:t>ano.</w:t>
      </w:r>
    </w:p>
    <w:p>
      <w:pPr>
        <w:pStyle w:val="BodyText"/>
        <w:spacing w:before="11"/>
        <w:rPr>
          <w:rFonts w:ascii="Times New Roman"/>
        </w:rPr>
      </w:pPr>
    </w:p>
    <w:p>
      <w:pPr>
        <w:spacing w:line="360" w:lineRule="auto" w:before="0"/>
        <w:ind w:left="139" w:right="138" w:firstLine="708"/>
        <w:jc w:val="both"/>
        <w:rPr>
          <w:rFonts w:ascii="Times New Roman" w:hAnsi="Times New Roman"/>
          <w:sz w:val="22"/>
        </w:rPr>
      </w:pPr>
      <w:r>
        <w:rPr>
          <w:rFonts w:ascii="Times New Roman" w:hAnsi="Times New Roman"/>
          <w:sz w:val="22"/>
        </w:rPr>
        <w:t>Os Juros e multa por atraso de pagamento no valor de R$21.820 mil refere-se aos encargos aplicados pela Secretaria</w:t>
      </w:r>
      <w:r>
        <w:rPr>
          <w:rFonts w:ascii="Times New Roman" w:hAnsi="Times New Roman"/>
          <w:spacing w:val="-4"/>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Fazenda</w:t>
      </w:r>
      <w:r>
        <w:rPr>
          <w:rFonts w:ascii="Times New Roman" w:hAnsi="Times New Roman"/>
          <w:spacing w:val="-4"/>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Distrito</w:t>
      </w:r>
      <w:r>
        <w:rPr>
          <w:rFonts w:ascii="Times New Roman" w:hAnsi="Times New Roman"/>
          <w:spacing w:val="-6"/>
          <w:sz w:val="22"/>
        </w:rPr>
        <w:t> </w:t>
      </w:r>
      <w:r>
        <w:rPr>
          <w:rFonts w:ascii="Times New Roman" w:hAnsi="Times New Roman"/>
          <w:sz w:val="22"/>
        </w:rPr>
        <w:t>Federal</w:t>
      </w:r>
      <w:r>
        <w:rPr>
          <w:rFonts w:ascii="Times New Roman" w:hAnsi="Times New Roman"/>
          <w:spacing w:val="-2"/>
          <w:sz w:val="22"/>
        </w:rPr>
        <w:t> </w:t>
      </w:r>
      <w:r>
        <w:rPr>
          <w:rFonts w:ascii="Times New Roman" w:hAnsi="Times New Roman"/>
          <w:sz w:val="22"/>
        </w:rPr>
        <w:t>–</w:t>
      </w:r>
      <w:r>
        <w:rPr>
          <w:rFonts w:ascii="Times New Roman" w:hAnsi="Times New Roman"/>
          <w:spacing w:val="-6"/>
          <w:sz w:val="22"/>
        </w:rPr>
        <w:t> </w:t>
      </w:r>
      <w:r>
        <w:rPr>
          <w:rFonts w:ascii="Times New Roman" w:hAnsi="Times New Roman"/>
          <w:sz w:val="22"/>
        </w:rPr>
        <w:t>SEFAZ,</w:t>
      </w:r>
      <w:r>
        <w:rPr>
          <w:rFonts w:ascii="Times New Roman" w:hAnsi="Times New Roman"/>
          <w:spacing w:val="-4"/>
          <w:sz w:val="22"/>
        </w:rPr>
        <w:t> </w:t>
      </w:r>
      <w:r>
        <w:rPr>
          <w:rFonts w:ascii="Times New Roman" w:hAnsi="Times New Roman"/>
          <w:sz w:val="22"/>
        </w:rPr>
        <w:t>relativo</w:t>
      </w:r>
      <w:r>
        <w:rPr>
          <w:rFonts w:ascii="Times New Roman" w:hAnsi="Times New Roman"/>
          <w:spacing w:val="-5"/>
          <w:sz w:val="22"/>
        </w:rPr>
        <w:t> </w:t>
      </w:r>
      <w:r>
        <w:rPr>
          <w:rFonts w:ascii="Times New Roman" w:hAnsi="Times New Roman"/>
          <w:sz w:val="22"/>
        </w:rPr>
        <w:t>ao</w:t>
      </w:r>
      <w:r>
        <w:rPr>
          <w:rFonts w:ascii="Times New Roman" w:hAnsi="Times New Roman"/>
          <w:spacing w:val="-4"/>
          <w:sz w:val="22"/>
        </w:rPr>
        <w:t> </w:t>
      </w:r>
      <w:r>
        <w:rPr>
          <w:rFonts w:ascii="Times New Roman" w:hAnsi="Times New Roman"/>
          <w:sz w:val="22"/>
        </w:rPr>
        <w:t>não</w:t>
      </w:r>
      <w:r>
        <w:rPr>
          <w:rFonts w:ascii="Times New Roman" w:hAnsi="Times New Roman"/>
          <w:spacing w:val="-6"/>
          <w:sz w:val="22"/>
        </w:rPr>
        <w:t> </w:t>
      </w:r>
      <w:r>
        <w:rPr>
          <w:rFonts w:ascii="Times New Roman" w:hAnsi="Times New Roman"/>
          <w:sz w:val="22"/>
        </w:rPr>
        <w:t>repasse</w:t>
      </w:r>
      <w:r>
        <w:rPr>
          <w:rFonts w:ascii="Times New Roman" w:hAnsi="Times New Roman"/>
          <w:spacing w:val="-7"/>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ICMS,</w:t>
      </w:r>
      <w:r>
        <w:rPr>
          <w:rFonts w:ascii="Times New Roman" w:hAnsi="Times New Roman"/>
          <w:spacing w:val="-3"/>
          <w:sz w:val="22"/>
        </w:rPr>
        <w:t> </w:t>
      </w:r>
      <w:r>
        <w:rPr>
          <w:rFonts w:ascii="Times New Roman" w:hAnsi="Times New Roman"/>
          <w:sz w:val="22"/>
        </w:rPr>
        <w:t>das</w:t>
      </w:r>
      <w:r>
        <w:rPr>
          <w:rFonts w:ascii="Times New Roman" w:hAnsi="Times New Roman"/>
          <w:spacing w:val="-6"/>
          <w:sz w:val="22"/>
        </w:rPr>
        <w:t> </w:t>
      </w:r>
      <w:r>
        <w:rPr>
          <w:rFonts w:ascii="Times New Roman" w:hAnsi="Times New Roman"/>
          <w:sz w:val="22"/>
        </w:rPr>
        <w:t>competências</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dezembro</w:t>
      </w:r>
      <w:r>
        <w:rPr>
          <w:rFonts w:ascii="Times New Roman" w:hAnsi="Times New Roman"/>
          <w:spacing w:val="-5"/>
          <w:sz w:val="22"/>
        </w:rPr>
        <w:t> </w:t>
      </w:r>
      <w:r>
        <w:rPr>
          <w:rFonts w:ascii="Times New Roman" w:hAnsi="Times New Roman"/>
          <w:sz w:val="22"/>
        </w:rPr>
        <w:t>de 2018, bem como de janeiro e fevereiro de</w:t>
      </w:r>
      <w:r>
        <w:rPr>
          <w:rFonts w:ascii="Times New Roman" w:hAnsi="Times New Roman"/>
          <w:spacing w:val="-9"/>
          <w:sz w:val="22"/>
        </w:rPr>
        <w:t> </w:t>
      </w:r>
      <w:r>
        <w:rPr>
          <w:rFonts w:ascii="Times New Roman" w:hAnsi="Times New Roman"/>
          <w:sz w:val="22"/>
        </w:rPr>
        <w:t>2019.</w:t>
      </w:r>
    </w:p>
    <w:p>
      <w:pPr>
        <w:pStyle w:val="BodyText"/>
        <w:spacing w:before="5"/>
        <w:rPr>
          <w:rFonts w:ascii="Times New Roman"/>
          <w:sz w:val="21"/>
        </w:rPr>
      </w:pPr>
    </w:p>
    <w:p>
      <w:pPr>
        <w:spacing w:before="0"/>
        <w:ind w:left="350" w:right="0" w:firstLine="0"/>
        <w:jc w:val="left"/>
        <w:rPr>
          <w:rFonts w:ascii="Times New Roman"/>
          <w:b/>
          <w:sz w:val="22"/>
        </w:rPr>
      </w:pPr>
      <w:r>
        <w:rPr>
          <w:rFonts w:ascii="Times New Roman"/>
          <w:b/>
          <w:sz w:val="22"/>
        </w:rPr>
        <w:t>EBITDA (LAJIDA)</w:t>
      </w:r>
    </w:p>
    <w:p>
      <w:pPr>
        <w:pStyle w:val="BodyText"/>
        <w:spacing w:before="8"/>
        <w:rPr>
          <w:rFonts w:ascii="Times New Roman"/>
          <w:b/>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789"/>
        <w:gridCol w:w="1462"/>
        <w:gridCol w:w="1463"/>
        <w:gridCol w:w="1220"/>
        <w:gridCol w:w="1225"/>
      </w:tblGrid>
      <w:tr>
        <w:trPr>
          <w:trHeight w:val="302" w:hRule="atLeast"/>
        </w:trPr>
        <w:tc>
          <w:tcPr>
            <w:tcW w:w="4789" w:type="dxa"/>
            <w:tcBorders>
              <w:top w:val="nil"/>
              <w:left w:val="nil"/>
              <w:bottom w:val="nil"/>
              <w:right w:val="nil"/>
            </w:tcBorders>
            <w:shd w:val="clear" w:color="auto" w:fill="4470C4"/>
          </w:tcPr>
          <w:p>
            <w:pPr>
              <w:pStyle w:val="TableParagraph"/>
              <w:spacing w:before="36"/>
              <w:ind w:left="2022" w:right="1998"/>
              <w:jc w:val="center"/>
              <w:rPr>
                <w:rFonts w:ascii="Times New Roman"/>
                <w:b/>
                <w:sz w:val="20"/>
              </w:rPr>
            </w:pPr>
            <w:r>
              <w:rPr>
                <w:rFonts w:ascii="Times New Roman"/>
                <w:b/>
                <w:color w:val="FFFFFF"/>
                <w:sz w:val="20"/>
              </w:rPr>
              <w:t>(R$ Mil)</w:t>
            </w:r>
          </w:p>
        </w:tc>
        <w:tc>
          <w:tcPr>
            <w:tcW w:w="1462" w:type="dxa"/>
            <w:tcBorders>
              <w:top w:val="nil"/>
              <w:left w:val="nil"/>
              <w:bottom w:val="nil"/>
              <w:right w:val="nil"/>
            </w:tcBorders>
            <w:shd w:val="clear" w:color="auto" w:fill="4470C4"/>
          </w:tcPr>
          <w:p>
            <w:pPr>
              <w:pStyle w:val="TableParagraph"/>
              <w:spacing w:before="36"/>
              <w:ind w:left="520" w:right="501"/>
              <w:jc w:val="center"/>
              <w:rPr>
                <w:rFonts w:ascii="Times New Roman"/>
                <w:b/>
                <w:sz w:val="20"/>
              </w:rPr>
            </w:pPr>
            <w:r>
              <w:rPr>
                <w:rFonts w:ascii="Times New Roman"/>
                <w:b/>
                <w:color w:val="FFFFFF"/>
                <w:sz w:val="20"/>
              </w:rPr>
              <w:t>2019</w:t>
            </w:r>
          </w:p>
        </w:tc>
        <w:tc>
          <w:tcPr>
            <w:tcW w:w="1463" w:type="dxa"/>
            <w:tcBorders>
              <w:top w:val="nil"/>
              <w:left w:val="nil"/>
              <w:bottom w:val="nil"/>
              <w:right w:val="nil"/>
            </w:tcBorders>
            <w:shd w:val="clear" w:color="auto" w:fill="4470C4"/>
          </w:tcPr>
          <w:p>
            <w:pPr>
              <w:pStyle w:val="TableParagraph"/>
              <w:spacing w:before="36"/>
              <w:ind w:left="521" w:right="502"/>
              <w:jc w:val="center"/>
              <w:rPr>
                <w:rFonts w:ascii="Times New Roman"/>
                <w:b/>
                <w:sz w:val="20"/>
              </w:rPr>
            </w:pPr>
            <w:r>
              <w:rPr>
                <w:rFonts w:ascii="Times New Roman"/>
                <w:b/>
                <w:color w:val="FFFFFF"/>
                <w:sz w:val="20"/>
              </w:rPr>
              <w:t>2018</w:t>
            </w:r>
          </w:p>
        </w:tc>
        <w:tc>
          <w:tcPr>
            <w:tcW w:w="2445" w:type="dxa"/>
            <w:gridSpan w:val="2"/>
            <w:tcBorders>
              <w:top w:val="nil"/>
              <w:left w:val="nil"/>
              <w:bottom w:val="nil"/>
              <w:right w:val="nil"/>
            </w:tcBorders>
            <w:shd w:val="clear" w:color="auto" w:fill="4470C4"/>
          </w:tcPr>
          <w:p>
            <w:pPr>
              <w:pStyle w:val="TableParagraph"/>
              <w:spacing w:before="36"/>
              <w:ind w:left="939" w:right="933"/>
              <w:jc w:val="center"/>
              <w:rPr>
                <w:rFonts w:ascii="Times New Roman" w:hAnsi="Times New Roman"/>
                <w:b/>
                <w:sz w:val="20"/>
              </w:rPr>
            </w:pPr>
            <w:r>
              <w:rPr>
                <w:rFonts w:ascii="Times New Roman" w:hAnsi="Times New Roman"/>
                <w:b/>
                <w:color w:val="FFFFFF"/>
                <w:sz w:val="20"/>
              </w:rPr>
              <w:t>Δ Ano</w:t>
            </w:r>
          </w:p>
        </w:tc>
      </w:tr>
      <w:tr>
        <w:trPr>
          <w:trHeight w:val="283" w:hRule="atLeast"/>
        </w:trPr>
        <w:tc>
          <w:tcPr>
            <w:tcW w:w="4789" w:type="dxa"/>
            <w:tcBorders>
              <w:top w:val="nil"/>
            </w:tcBorders>
            <w:shd w:val="clear" w:color="auto" w:fill="D9E0F3"/>
          </w:tcPr>
          <w:p>
            <w:pPr>
              <w:pStyle w:val="TableParagraph"/>
              <w:rPr>
                <w:rFonts w:ascii="Times New Roman"/>
                <w:sz w:val="20"/>
              </w:rPr>
            </w:pPr>
          </w:p>
        </w:tc>
        <w:tc>
          <w:tcPr>
            <w:tcW w:w="1462" w:type="dxa"/>
            <w:tcBorders>
              <w:top w:val="nil"/>
            </w:tcBorders>
            <w:shd w:val="clear" w:color="auto" w:fill="D9E0F3"/>
          </w:tcPr>
          <w:p>
            <w:pPr>
              <w:pStyle w:val="TableParagraph"/>
              <w:rPr>
                <w:rFonts w:ascii="Times New Roman"/>
                <w:sz w:val="20"/>
              </w:rPr>
            </w:pPr>
          </w:p>
        </w:tc>
        <w:tc>
          <w:tcPr>
            <w:tcW w:w="1463" w:type="dxa"/>
            <w:tcBorders>
              <w:top w:val="nil"/>
            </w:tcBorders>
            <w:shd w:val="clear" w:color="auto" w:fill="D9E0F3"/>
          </w:tcPr>
          <w:p>
            <w:pPr>
              <w:pStyle w:val="TableParagraph"/>
              <w:rPr>
                <w:rFonts w:ascii="Times New Roman"/>
                <w:sz w:val="20"/>
              </w:rPr>
            </w:pPr>
          </w:p>
        </w:tc>
        <w:tc>
          <w:tcPr>
            <w:tcW w:w="1220" w:type="dxa"/>
            <w:tcBorders>
              <w:top w:val="nil"/>
            </w:tcBorders>
            <w:shd w:val="clear" w:color="auto" w:fill="D9E0F3"/>
          </w:tcPr>
          <w:p>
            <w:pPr>
              <w:pStyle w:val="TableParagraph"/>
              <w:ind w:right="87"/>
              <w:jc w:val="right"/>
              <w:rPr>
                <w:rFonts w:ascii="Times New Roman"/>
                <w:b/>
                <w:sz w:val="20"/>
              </w:rPr>
            </w:pPr>
            <w:r>
              <w:rPr>
                <w:rFonts w:ascii="Times New Roman"/>
                <w:b/>
                <w:sz w:val="20"/>
              </w:rPr>
              <w:t>(R$ Mil)</w:t>
            </w:r>
          </w:p>
        </w:tc>
        <w:tc>
          <w:tcPr>
            <w:tcW w:w="1225" w:type="dxa"/>
            <w:tcBorders>
              <w:top w:val="nil"/>
            </w:tcBorders>
            <w:shd w:val="clear" w:color="auto" w:fill="D9E0F3"/>
          </w:tcPr>
          <w:p>
            <w:pPr>
              <w:pStyle w:val="TableParagraph"/>
              <w:ind w:right="94"/>
              <w:jc w:val="right"/>
              <w:rPr>
                <w:rFonts w:ascii="Times New Roman"/>
                <w:b/>
                <w:sz w:val="20"/>
              </w:rPr>
            </w:pPr>
            <w:r>
              <w:rPr>
                <w:rFonts w:ascii="Times New Roman"/>
                <w:b/>
                <w:w w:val="90"/>
                <w:sz w:val="20"/>
              </w:rPr>
              <w:t>(%)</w:t>
            </w:r>
          </w:p>
        </w:tc>
      </w:tr>
      <w:tr>
        <w:trPr>
          <w:trHeight w:val="280" w:hRule="atLeast"/>
        </w:trPr>
        <w:tc>
          <w:tcPr>
            <w:tcW w:w="4789" w:type="dxa"/>
          </w:tcPr>
          <w:p>
            <w:pPr>
              <w:pStyle w:val="TableParagraph"/>
              <w:ind w:left="398"/>
              <w:rPr>
                <w:rFonts w:ascii="Times New Roman" w:hAnsi="Times New Roman"/>
                <w:b/>
                <w:sz w:val="20"/>
              </w:rPr>
            </w:pPr>
            <w:r>
              <w:rPr>
                <w:rFonts w:ascii="Times New Roman" w:hAnsi="Times New Roman"/>
                <w:b/>
                <w:sz w:val="20"/>
              </w:rPr>
              <w:t>Lucro/Prejuízo Consolidado do Exercício</w:t>
            </w:r>
          </w:p>
        </w:tc>
        <w:tc>
          <w:tcPr>
            <w:tcW w:w="1462" w:type="dxa"/>
          </w:tcPr>
          <w:p>
            <w:pPr>
              <w:pStyle w:val="TableParagraph"/>
              <w:ind w:right="89"/>
              <w:jc w:val="right"/>
              <w:rPr>
                <w:rFonts w:ascii="Times New Roman"/>
                <w:b/>
                <w:sz w:val="20"/>
              </w:rPr>
            </w:pPr>
            <w:r>
              <w:rPr>
                <w:rFonts w:ascii="Times New Roman"/>
                <w:b/>
                <w:w w:val="90"/>
                <w:sz w:val="20"/>
              </w:rPr>
              <w:t>156.629</w:t>
            </w:r>
          </w:p>
        </w:tc>
        <w:tc>
          <w:tcPr>
            <w:tcW w:w="1463" w:type="dxa"/>
          </w:tcPr>
          <w:p>
            <w:pPr>
              <w:pStyle w:val="TableParagraph"/>
              <w:ind w:right="90"/>
              <w:jc w:val="right"/>
              <w:rPr>
                <w:rFonts w:ascii="Times New Roman"/>
                <w:b/>
                <w:sz w:val="20"/>
              </w:rPr>
            </w:pPr>
            <w:r>
              <w:rPr>
                <w:rFonts w:ascii="Times New Roman"/>
                <w:b/>
                <w:w w:val="90"/>
                <w:sz w:val="20"/>
              </w:rPr>
              <w:t>115.710</w:t>
            </w:r>
          </w:p>
        </w:tc>
        <w:tc>
          <w:tcPr>
            <w:tcW w:w="1220" w:type="dxa"/>
          </w:tcPr>
          <w:p>
            <w:pPr>
              <w:pStyle w:val="TableParagraph"/>
              <w:spacing w:line="210" w:lineRule="exact" w:before="50"/>
              <w:ind w:right="91"/>
              <w:jc w:val="right"/>
              <w:rPr>
                <w:rFonts w:ascii="Times New Roman"/>
                <w:b/>
                <w:sz w:val="20"/>
              </w:rPr>
            </w:pPr>
            <w:r>
              <w:rPr>
                <w:rFonts w:ascii="Times New Roman"/>
                <w:b/>
                <w:w w:val="90"/>
                <w:sz w:val="20"/>
              </w:rPr>
              <w:t>40.919</w:t>
            </w:r>
          </w:p>
        </w:tc>
        <w:tc>
          <w:tcPr>
            <w:tcW w:w="1225" w:type="dxa"/>
          </w:tcPr>
          <w:p>
            <w:pPr>
              <w:pStyle w:val="TableParagraph"/>
              <w:spacing w:line="210" w:lineRule="exact" w:before="50"/>
              <w:ind w:right="91"/>
              <w:jc w:val="right"/>
              <w:rPr>
                <w:rFonts w:ascii="Times New Roman"/>
                <w:b/>
                <w:sz w:val="20"/>
              </w:rPr>
            </w:pPr>
            <w:r>
              <w:rPr>
                <w:rFonts w:ascii="Times New Roman"/>
                <w:b/>
                <w:w w:val="90"/>
                <w:sz w:val="20"/>
              </w:rPr>
              <w:t>35,36%</w:t>
            </w:r>
          </w:p>
        </w:tc>
      </w:tr>
      <w:tr>
        <w:trPr>
          <w:trHeight w:val="282" w:hRule="atLeast"/>
        </w:trPr>
        <w:tc>
          <w:tcPr>
            <w:tcW w:w="4789" w:type="dxa"/>
            <w:shd w:val="clear" w:color="auto" w:fill="D9E0F3"/>
          </w:tcPr>
          <w:p>
            <w:pPr>
              <w:pStyle w:val="TableParagraph"/>
              <w:ind w:left="398"/>
              <w:rPr>
                <w:rFonts w:ascii="Times New Roman" w:hAnsi="Times New Roman"/>
                <w:b/>
                <w:sz w:val="20"/>
              </w:rPr>
            </w:pPr>
            <w:r>
              <w:rPr>
                <w:rFonts w:ascii="Times New Roman" w:hAnsi="Times New Roman"/>
                <w:b/>
                <w:sz w:val="20"/>
              </w:rPr>
              <w:t>(+/-) Imposto de Renda e Contribuição Social</w:t>
            </w:r>
          </w:p>
        </w:tc>
        <w:tc>
          <w:tcPr>
            <w:tcW w:w="1462" w:type="dxa"/>
            <w:shd w:val="clear" w:color="auto" w:fill="D9E0F3"/>
          </w:tcPr>
          <w:p>
            <w:pPr>
              <w:pStyle w:val="TableParagraph"/>
              <w:ind w:right="86"/>
              <w:jc w:val="right"/>
              <w:rPr>
                <w:rFonts w:ascii="Times New Roman"/>
                <w:b/>
                <w:sz w:val="20"/>
              </w:rPr>
            </w:pPr>
            <w:r>
              <w:rPr>
                <w:rFonts w:ascii="Times New Roman"/>
                <w:b/>
                <w:w w:val="95"/>
                <w:sz w:val="20"/>
              </w:rPr>
              <w:t>49.280</w:t>
            </w:r>
          </w:p>
        </w:tc>
        <w:tc>
          <w:tcPr>
            <w:tcW w:w="1463" w:type="dxa"/>
            <w:shd w:val="clear" w:color="auto" w:fill="D9E0F3"/>
          </w:tcPr>
          <w:p>
            <w:pPr>
              <w:pStyle w:val="TableParagraph"/>
              <w:ind w:right="87"/>
              <w:jc w:val="right"/>
              <w:rPr>
                <w:rFonts w:ascii="Times New Roman"/>
                <w:b/>
                <w:sz w:val="20"/>
              </w:rPr>
            </w:pPr>
            <w:r>
              <w:rPr>
                <w:rFonts w:ascii="Times New Roman"/>
                <w:b/>
                <w:sz w:val="20"/>
              </w:rPr>
              <w:t>7.595</w:t>
            </w:r>
          </w:p>
        </w:tc>
        <w:tc>
          <w:tcPr>
            <w:tcW w:w="1220" w:type="dxa"/>
            <w:shd w:val="clear" w:color="auto" w:fill="D9E0F3"/>
          </w:tcPr>
          <w:p>
            <w:pPr>
              <w:pStyle w:val="TableParagraph"/>
              <w:spacing w:line="210" w:lineRule="exact" w:before="53"/>
              <w:ind w:right="91"/>
              <w:jc w:val="right"/>
              <w:rPr>
                <w:rFonts w:ascii="Times New Roman"/>
                <w:b/>
                <w:sz w:val="20"/>
              </w:rPr>
            </w:pPr>
            <w:r>
              <w:rPr>
                <w:rFonts w:ascii="Times New Roman"/>
                <w:b/>
                <w:w w:val="90"/>
                <w:sz w:val="20"/>
              </w:rPr>
              <w:t>41.685</w:t>
            </w:r>
          </w:p>
        </w:tc>
        <w:tc>
          <w:tcPr>
            <w:tcW w:w="1225" w:type="dxa"/>
            <w:shd w:val="clear" w:color="auto" w:fill="D9E0F3"/>
          </w:tcPr>
          <w:p>
            <w:pPr>
              <w:pStyle w:val="TableParagraph"/>
              <w:spacing w:line="210" w:lineRule="exact" w:before="53"/>
              <w:ind w:right="91"/>
              <w:jc w:val="right"/>
              <w:rPr>
                <w:rFonts w:ascii="Times New Roman"/>
                <w:b/>
                <w:sz w:val="20"/>
              </w:rPr>
            </w:pPr>
            <w:r>
              <w:rPr>
                <w:rFonts w:ascii="Times New Roman"/>
                <w:b/>
                <w:w w:val="90"/>
                <w:sz w:val="20"/>
              </w:rPr>
              <w:t>548,85%</w:t>
            </w:r>
          </w:p>
        </w:tc>
      </w:tr>
      <w:tr>
        <w:trPr>
          <w:trHeight w:val="282" w:hRule="atLeast"/>
        </w:trPr>
        <w:tc>
          <w:tcPr>
            <w:tcW w:w="4789" w:type="dxa"/>
          </w:tcPr>
          <w:p>
            <w:pPr>
              <w:pStyle w:val="TableParagraph"/>
              <w:ind w:left="398"/>
              <w:rPr>
                <w:rFonts w:ascii="Times New Roman"/>
                <w:b/>
                <w:sz w:val="20"/>
              </w:rPr>
            </w:pPr>
            <w:r>
              <w:rPr>
                <w:rFonts w:ascii="Times New Roman"/>
                <w:b/>
                <w:sz w:val="20"/>
              </w:rPr>
              <w:t>(+/-) Resultado Financeiro</w:t>
            </w:r>
          </w:p>
        </w:tc>
        <w:tc>
          <w:tcPr>
            <w:tcW w:w="1462" w:type="dxa"/>
          </w:tcPr>
          <w:p>
            <w:pPr>
              <w:pStyle w:val="TableParagraph"/>
              <w:ind w:right="89"/>
              <w:jc w:val="right"/>
              <w:rPr>
                <w:rFonts w:ascii="Times New Roman"/>
                <w:b/>
                <w:sz w:val="20"/>
              </w:rPr>
            </w:pPr>
            <w:r>
              <w:rPr>
                <w:rFonts w:ascii="Times New Roman"/>
                <w:b/>
                <w:w w:val="90"/>
                <w:sz w:val="20"/>
              </w:rPr>
              <w:t>47.366</w:t>
            </w:r>
          </w:p>
        </w:tc>
        <w:tc>
          <w:tcPr>
            <w:tcW w:w="1463" w:type="dxa"/>
          </w:tcPr>
          <w:p>
            <w:pPr>
              <w:pStyle w:val="TableParagraph"/>
              <w:ind w:right="90"/>
              <w:jc w:val="right"/>
              <w:rPr>
                <w:rFonts w:ascii="Times New Roman"/>
                <w:b/>
                <w:sz w:val="20"/>
              </w:rPr>
            </w:pPr>
            <w:r>
              <w:rPr>
                <w:rFonts w:ascii="Times New Roman"/>
                <w:b/>
                <w:w w:val="90"/>
                <w:sz w:val="20"/>
              </w:rPr>
              <w:t>113.051</w:t>
            </w:r>
          </w:p>
        </w:tc>
        <w:tc>
          <w:tcPr>
            <w:tcW w:w="1220" w:type="dxa"/>
          </w:tcPr>
          <w:p>
            <w:pPr>
              <w:pStyle w:val="TableParagraph"/>
              <w:spacing w:line="210" w:lineRule="exact" w:before="53"/>
              <w:ind w:right="91"/>
              <w:jc w:val="right"/>
              <w:rPr>
                <w:rFonts w:ascii="Times New Roman"/>
                <w:b/>
                <w:sz w:val="20"/>
              </w:rPr>
            </w:pPr>
            <w:r>
              <w:rPr>
                <w:rFonts w:ascii="Times New Roman"/>
                <w:b/>
                <w:w w:val="90"/>
                <w:sz w:val="20"/>
              </w:rPr>
              <w:t>-65.685</w:t>
            </w:r>
          </w:p>
        </w:tc>
        <w:tc>
          <w:tcPr>
            <w:tcW w:w="1225" w:type="dxa"/>
          </w:tcPr>
          <w:p>
            <w:pPr>
              <w:pStyle w:val="TableParagraph"/>
              <w:spacing w:line="210" w:lineRule="exact" w:before="53"/>
              <w:ind w:right="91"/>
              <w:jc w:val="right"/>
              <w:rPr>
                <w:rFonts w:ascii="Times New Roman"/>
                <w:b/>
                <w:sz w:val="20"/>
              </w:rPr>
            </w:pPr>
            <w:r>
              <w:rPr>
                <w:rFonts w:ascii="Times New Roman"/>
                <w:b/>
                <w:w w:val="90"/>
                <w:sz w:val="20"/>
              </w:rPr>
              <w:t>-58,10%</w:t>
            </w:r>
          </w:p>
        </w:tc>
      </w:tr>
      <w:tr>
        <w:trPr>
          <w:trHeight w:val="285" w:hRule="atLeast"/>
        </w:trPr>
        <w:tc>
          <w:tcPr>
            <w:tcW w:w="4789" w:type="dxa"/>
            <w:shd w:val="clear" w:color="auto" w:fill="D9E0F3"/>
          </w:tcPr>
          <w:p>
            <w:pPr>
              <w:pStyle w:val="TableParagraph"/>
              <w:ind w:left="398"/>
              <w:rPr>
                <w:rFonts w:ascii="Times New Roman" w:hAnsi="Times New Roman"/>
                <w:b/>
                <w:sz w:val="20"/>
              </w:rPr>
            </w:pPr>
            <w:r>
              <w:rPr>
                <w:rFonts w:ascii="Times New Roman" w:hAnsi="Times New Roman"/>
                <w:b/>
                <w:sz w:val="20"/>
              </w:rPr>
              <w:t>(+/-) Depreciação/Amortização</w:t>
            </w:r>
          </w:p>
        </w:tc>
        <w:tc>
          <w:tcPr>
            <w:tcW w:w="1462" w:type="dxa"/>
            <w:shd w:val="clear" w:color="auto" w:fill="D9E0F3"/>
          </w:tcPr>
          <w:p>
            <w:pPr>
              <w:pStyle w:val="TableParagraph"/>
              <w:ind w:right="89"/>
              <w:jc w:val="right"/>
              <w:rPr>
                <w:rFonts w:ascii="Times New Roman"/>
                <w:b/>
                <w:sz w:val="20"/>
              </w:rPr>
            </w:pPr>
            <w:r>
              <w:rPr>
                <w:rFonts w:ascii="Times New Roman"/>
                <w:b/>
                <w:w w:val="90"/>
                <w:sz w:val="20"/>
              </w:rPr>
              <w:t>58.393</w:t>
            </w:r>
          </w:p>
        </w:tc>
        <w:tc>
          <w:tcPr>
            <w:tcW w:w="1463" w:type="dxa"/>
            <w:shd w:val="clear" w:color="auto" w:fill="D9E0F3"/>
          </w:tcPr>
          <w:p>
            <w:pPr>
              <w:pStyle w:val="TableParagraph"/>
              <w:ind w:right="90"/>
              <w:jc w:val="right"/>
              <w:rPr>
                <w:rFonts w:ascii="Times New Roman"/>
                <w:b/>
                <w:sz w:val="20"/>
              </w:rPr>
            </w:pPr>
            <w:r>
              <w:rPr>
                <w:rFonts w:ascii="Times New Roman"/>
                <w:b/>
                <w:w w:val="90"/>
                <w:sz w:val="20"/>
              </w:rPr>
              <w:t>56.751</w:t>
            </w:r>
          </w:p>
        </w:tc>
        <w:tc>
          <w:tcPr>
            <w:tcW w:w="1220" w:type="dxa"/>
            <w:shd w:val="clear" w:color="auto" w:fill="D9E0F3"/>
          </w:tcPr>
          <w:p>
            <w:pPr>
              <w:pStyle w:val="TableParagraph"/>
              <w:spacing w:line="210" w:lineRule="exact" w:before="55"/>
              <w:ind w:right="91"/>
              <w:jc w:val="right"/>
              <w:rPr>
                <w:rFonts w:ascii="Times New Roman"/>
                <w:b/>
                <w:sz w:val="20"/>
              </w:rPr>
            </w:pPr>
            <w:r>
              <w:rPr>
                <w:rFonts w:ascii="Times New Roman"/>
                <w:b/>
                <w:w w:val="90"/>
                <w:sz w:val="20"/>
              </w:rPr>
              <w:t>1.642</w:t>
            </w:r>
          </w:p>
        </w:tc>
        <w:tc>
          <w:tcPr>
            <w:tcW w:w="1225" w:type="dxa"/>
            <w:shd w:val="clear" w:color="auto" w:fill="D9E0F3"/>
          </w:tcPr>
          <w:p>
            <w:pPr>
              <w:pStyle w:val="TableParagraph"/>
              <w:spacing w:line="210" w:lineRule="exact" w:before="55"/>
              <w:ind w:right="91"/>
              <w:jc w:val="right"/>
              <w:rPr>
                <w:rFonts w:ascii="Times New Roman"/>
                <w:b/>
                <w:sz w:val="20"/>
              </w:rPr>
            </w:pPr>
            <w:r>
              <w:rPr>
                <w:rFonts w:ascii="Times New Roman"/>
                <w:b/>
                <w:w w:val="90"/>
                <w:sz w:val="20"/>
              </w:rPr>
              <w:t>2,89%</w:t>
            </w:r>
          </w:p>
        </w:tc>
      </w:tr>
      <w:tr>
        <w:trPr>
          <w:trHeight w:val="282" w:hRule="atLeast"/>
        </w:trPr>
        <w:tc>
          <w:tcPr>
            <w:tcW w:w="4789" w:type="dxa"/>
          </w:tcPr>
          <w:p>
            <w:pPr>
              <w:pStyle w:val="TableParagraph"/>
              <w:ind w:left="398"/>
              <w:rPr>
                <w:rFonts w:ascii="Times New Roman"/>
                <w:b/>
                <w:sz w:val="20"/>
              </w:rPr>
            </w:pPr>
            <w:r>
              <w:rPr>
                <w:rFonts w:ascii="Times New Roman"/>
                <w:b/>
                <w:sz w:val="20"/>
              </w:rPr>
              <w:t>EBITDA (LAJIDA)</w:t>
            </w:r>
          </w:p>
        </w:tc>
        <w:tc>
          <w:tcPr>
            <w:tcW w:w="1462" w:type="dxa"/>
          </w:tcPr>
          <w:p>
            <w:pPr>
              <w:pStyle w:val="TableParagraph"/>
              <w:ind w:right="89"/>
              <w:jc w:val="right"/>
              <w:rPr>
                <w:rFonts w:ascii="Times New Roman"/>
                <w:b/>
                <w:sz w:val="20"/>
              </w:rPr>
            </w:pPr>
            <w:r>
              <w:rPr>
                <w:rFonts w:ascii="Times New Roman"/>
                <w:b/>
                <w:w w:val="90"/>
                <w:sz w:val="20"/>
              </w:rPr>
              <w:t>311.668</w:t>
            </w:r>
          </w:p>
        </w:tc>
        <w:tc>
          <w:tcPr>
            <w:tcW w:w="1463" w:type="dxa"/>
          </w:tcPr>
          <w:p>
            <w:pPr>
              <w:pStyle w:val="TableParagraph"/>
              <w:ind w:right="90"/>
              <w:jc w:val="right"/>
              <w:rPr>
                <w:rFonts w:ascii="Times New Roman"/>
                <w:b/>
                <w:sz w:val="20"/>
              </w:rPr>
            </w:pPr>
            <w:r>
              <w:rPr>
                <w:rFonts w:ascii="Times New Roman"/>
                <w:b/>
                <w:w w:val="90"/>
                <w:sz w:val="20"/>
              </w:rPr>
              <w:t>293.107</w:t>
            </w:r>
          </w:p>
        </w:tc>
        <w:tc>
          <w:tcPr>
            <w:tcW w:w="1220" w:type="dxa"/>
          </w:tcPr>
          <w:p>
            <w:pPr>
              <w:pStyle w:val="TableParagraph"/>
              <w:spacing w:line="210" w:lineRule="exact" w:before="53"/>
              <w:ind w:right="91"/>
              <w:jc w:val="right"/>
              <w:rPr>
                <w:rFonts w:ascii="Times New Roman"/>
                <w:b/>
                <w:sz w:val="20"/>
              </w:rPr>
            </w:pPr>
            <w:r>
              <w:rPr>
                <w:rFonts w:ascii="Times New Roman"/>
                <w:b/>
                <w:w w:val="90"/>
                <w:sz w:val="20"/>
              </w:rPr>
              <w:t>18.561</w:t>
            </w:r>
          </w:p>
        </w:tc>
        <w:tc>
          <w:tcPr>
            <w:tcW w:w="1225" w:type="dxa"/>
          </w:tcPr>
          <w:p>
            <w:pPr>
              <w:pStyle w:val="TableParagraph"/>
              <w:spacing w:line="210" w:lineRule="exact" w:before="53"/>
              <w:ind w:right="91"/>
              <w:jc w:val="right"/>
              <w:rPr>
                <w:rFonts w:ascii="Times New Roman"/>
                <w:b/>
                <w:sz w:val="20"/>
              </w:rPr>
            </w:pPr>
            <w:r>
              <w:rPr>
                <w:rFonts w:ascii="Times New Roman"/>
                <w:b/>
                <w:w w:val="90"/>
                <w:sz w:val="20"/>
              </w:rPr>
              <w:t>6,33%</w:t>
            </w:r>
          </w:p>
        </w:tc>
      </w:tr>
      <w:tr>
        <w:trPr>
          <w:trHeight w:val="283" w:hRule="atLeast"/>
        </w:trPr>
        <w:tc>
          <w:tcPr>
            <w:tcW w:w="4789" w:type="dxa"/>
            <w:shd w:val="clear" w:color="auto" w:fill="D9E0F3"/>
          </w:tcPr>
          <w:p>
            <w:pPr>
              <w:pStyle w:val="TableParagraph"/>
              <w:ind w:left="398"/>
              <w:rPr>
                <w:rFonts w:ascii="Times New Roman"/>
                <w:b/>
                <w:sz w:val="20"/>
              </w:rPr>
            </w:pPr>
            <w:r>
              <w:rPr>
                <w:rFonts w:ascii="Times New Roman"/>
                <w:b/>
                <w:sz w:val="20"/>
              </w:rPr>
              <w:t>Margem EBITDA (LAJIDA) %</w:t>
            </w:r>
          </w:p>
        </w:tc>
        <w:tc>
          <w:tcPr>
            <w:tcW w:w="1462" w:type="dxa"/>
            <w:shd w:val="clear" w:color="auto" w:fill="D9E0F3"/>
          </w:tcPr>
          <w:p>
            <w:pPr>
              <w:pStyle w:val="TableParagraph"/>
              <w:ind w:right="82"/>
              <w:jc w:val="right"/>
              <w:rPr>
                <w:rFonts w:ascii="Times New Roman"/>
                <w:b/>
                <w:sz w:val="20"/>
              </w:rPr>
            </w:pPr>
            <w:r>
              <w:rPr>
                <w:rFonts w:ascii="Times New Roman"/>
                <w:b/>
                <w:sz w:val="20"/>
              </w:rPr>
              <w:t>11,33%</w:t>
            </w:r>
          </w:p>
        </w:tc>
        <w:tc>
          <w:tcPr>
            <w:tcW w:w="1463" w:type="dxa"/>
            <w:shd w:val="clear" w:color="auto" w:fill="D9E0F3"/>
          </w:tcPr>
          <w:p>
            <w:pPr>
              <w:pStyle w:val="TableParagraph"/>
              <w:ind w:right="84"/>
              <w:jc w:val="right"/>
              <w:rPr>
                <w:rFonts w:ascii="Times New Roman"/>
                <w:b/>
                <w:sz w:val="20"/>
              </w:rPr>
            </w:pPr>
            <w:r>
              <w:rPr>
                <w:rFonts w:ascii="Times New Roman"/>
                <w:b/>
                <w:sz w:val="20"/>
              </w:rPr>
              <w:t>11,32%</w:t>
            </w:r>
          </w:p>
        </w:tc>
        <w:tc>
          <w:tcPr>
            <w:tcW w:w="1220" w:type="dxa"/>
            <w:shd w:val="clear" w:color="auto" w:fill="D9E0F3"/>
          </w:tcPr>
          <w:p>
            <w:pPr>
              <w:pStyle w:val="TableParagraph"/>
              <w:rPr>
                <w:rFonts w:ascii="Times New Roman"/>
                <w:sz w:val="20"/>
              </w:rPr>
            </w:pPr>
          </w:p>
        </w:tc>
        <w:tc>
          <w:tcPr>
            <w:tcW w:w="1225" w:type="dxa"/>
            <w:shd w:val="clear" w:color="auto" w:fill="D9E0F3"/>
          </w:tcPr>
          <w:p>
            <w:pPr>
              <w:pStyle w:val="TableParagraph"/>
              <w:rPr>
                <w:rFonts w:ascii="Times New Roman"/>
                <w:sz w:val="20"/>
              </w:rPr>
            </w:pPr>
          </w:p>
        </w:tc>
      </w:tr>
    </w:tbl>
    <w:p>
      <w:pPr>
        <w:pStyle w:val="BodyText"/>
        <w:spacing w:before="3"/>
        <w:rPr>
          <w:rFonts w:ascii="Times New Roman"/>
          <w:b/>
        </w:rPr>
      </w:pPr>
    </w:p>
    <w:p>
      <w:pPr>
        <w:spacing w:line="360" w:lineRule="auto" w:before="1"/>
        <w:ind w:left="139" w:right="136" w:firstLine="708"/>
        <w:jc w:val="both"/>
        <w:rPr>
          <w:rFonts w:ascii="Times New Roman" w:hAnsi="Times New Roman"/>
          <w:sz w:val="22"/>
        </w:rPr>
      </w:pPr>
      <w:r>
        <w:rPr>
          <w:rFonts w:ascii="Times New Roman" w:hAnsi="Times New Roman"/>
          <w:sz w:val="22"/>
        </w:rPr>
        <w:t>O</w:t>
      </w:r>
      <w:r>
        <w:rPr>
          <w:rFonts w:ascii="Times New Roman" w:hAnsi="Times New Roman"/>
          <w:spacing w:val="-7"/>
          <w:sz w:val="22"/>
        </w:rPr>
        <w:t> </w:t>
      </w:r>
      <w:r>
        <w:rPr>
          <w:rFonts w:ascii="Times New Roman" w:hAnsi="Times New Roman"/>
          <w:sz w:val="22"/>
        </w:rPr>
        <w:t>EBITDA</w:t>
      </w:r>
      <w:r>
        <w:rPr>
          <w:rFonts w:ascii="Times New Roman" w:hAnsi="Times New Roman"/>
          <w:spacing w:val="-7"/>
          <w:sz w:val="22"/>
        </w:rPr>
        <w:t> </w:t>
      </w:r>
      <w:r>
        <w:rPr>
          <w:rFonts w:ascii="Times New Roman" w:hAnsi="Times New Roman"/>
          <w:sz w:val="22"/>
        </w:rPr>
        <w:t>(LAJIDA),</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R$</w:t>
      </w:r>
      <w:r>
        <w:rPr>
          <w:rFonts w:ascii="Times New Roman" w:hAnsi="Times New Roman"/>
          <w:spacing w:val="-6"/>
          <w:sz w:val="22"/>
        </w:rPr>
        <w:t> </w:t>
      </w:r>
      <w:r>
        <w:rPr>
          <w:rFonts w:ascii="Times New Roman" w:hAnsi="Times New Roman"/>
          <w:sz w:val="22"/>
        </w:rPr>
        <w:t>311.668</w:t>
      </w:r>
      <w:r>
        <w:rPr>
          <w:rFonts w:ascii="Times New Roman" w:hAnsi="Times New Roman"/>
          <w:spacing w:val="-6"/>
          <w:sz w:val="22"/>
        </w:rPr>
        <w:t> </w:t>
      </w:r>
      <w:r>
        <w:rPr>
          <w:rFonts w:ascii="Times New Roman" w:hAnsi="Times New Roman"/>
          <w:sz w:val="22"/>
        </w:rPr>
        <w:t>mil,</w:t>
      </w:r>
      <w:r>
        <w:rPr>
          <w:rFonts w:ascii="Times New Roman" w:hAnsi="Times New Roman"/>
          <w:spacing w:val="-8"/>
          <w:sz w:val="22"/>
        </w:rPr>
        <w:t> </w:t>
      </w:r>
      <w:r>
        <w:rPr>
          <w:rFonts w:ascii="Times New Roman" w:hAnsi="Times New Roman"/>
          <w:sz w:val="22"/>
        </w:rPr>
        <w:t>em</w:t>
      </w:r>
      <w:r>
        <w:rPr>
          <w:rFonts w:ascii="Times New Roman" w:hAnsi="Times New Roman"/>
          <w:spacing w:val="-9"/>
          <w:sz w:val="22"/>
        </w:rPr>
        <w:t> </w:t>
      </w:r>
      <w:r>
        <w:rPr>
          <w:rFonts w:ascii="Times New Roman" w:hAnsi="Times New Roman"/>
          <w:sz w:val="22"/>
        </w:rPr>
        <w:t>2019,</w:t>
      </w:r>
      <w:r>
        <w:rPr>
          <w:rFonts w:ascii="Times New Roman" w:hAnsi="Times New Roman"/>
          <w:spacing w:val="-6"/>
          <w:sz w:val="22"/>
        </w:rPr>
        <w:t> </w:t>
      </w:r>
      <w:r>
        <w:rPr>
          <w:rFonts w:ascii="Times New Roman" w:hAnsi="Times New Roman"/>
          <w:sz w:val="22"/>
        </w:rPr>
        <w:t>apresentou</w:t>
      </w:r>
      <w:r>
        <w:rPr>
          <w:rFonts w:ascii="Times New Roman" w:hAnsi="Times New Roman"/>
          <w:spacing w:val="-5"/>
          <w:sz w:val="22"/>
        </w:rPr>
        <w:t> </w:t>
      </w:r>
      <w:r>
        <w:rPr>
          <w:rFonts w:ascii="Times New Roman" w:hAnsi="Times New Roman"/>
          <w:sz w:val="22"/>
        </w:rPr>
        <w:t>leve</w:t>
      </w:r>
      <w:r>
        <w:rPr>
          <w:rFonts w:ascii="Times New Roman" w:hAnsi="Times New Roman"/>
          <w:spacing w:val="-6"/>
          <w:sz w:val="22"/>
        </w:rPr>
        <w:t> </w:t>
      </w:r>
      <w:r>
        <w:rPr>
          <w:rFonts w:ascii="Times New Roman" w:hAnsi="Times New Roman"/>
          <w:sz w:val="22"/>
        </w:rPr>
        <w:t>melhora</w:t>
      </w:r>
      <w:r>
        <w:rPr>
          <w:rFonts w:ascii="Times New Roman" w:hAnsi="Times New Roman"/>
          <w:spacing w:val="-6"/>
          <w:sz w:val="22"/>
        </w:rPr>
        <w:t> </w:t>
      </w:r>
      <w:r>
        <w:rPr>
          <w:rFonts w:ascii="Times New Roman" w:hAnsi="Times New Roman"/>
          <w:sz w:val="22"/>
        </w:rPr>
        <w:t>(+6,33%)</w:t>
      </w:r>
      <w:r>
        <w:rPr>
          <w:rFonts w:ascii="Times New Roman" w:hAnsi="Times New Roman"/>
          <w:spacing w:val="-6"/>
          <w:sz w:val="22"/>
        </w:rPr>
        <w:t> </w:t>
      </w:r>
      <w:r>
        <w:rPr>
          <w:rFonts w:ascii="Times New Roman" w:hAnsi="Times New Roman"/>
          <w:sz w:val="22"/>
        </w:rPr>
        <w:t>quando</w:t>
      </w:r>
      <w:r>
        <w:rPr>
          <w:rFonts w:ascii="Times New Roman" w:hAnsi="Times New Roman"/>
          <w:spacing w:val="-6"/>
          <w:sz w:val="22"/>
        </w:rPr>
        <w:t> </w:t>
      </w:r>
      <w:r>
        <w:rPr>
          <w:rFonts w:ascii="Times New Roman" w:hAnsi="Times New Roman"/>
          <w:sz w:val="22"/>
        </w:rPr>
        <w:t>comparado</w:t>
      </w:r>
      <w:r>
        <w:rPr>
          <w:rFonts w:ascii="Times New Roman" w:hAnsi="Times New Roman"/>
          <w:spacing w:val="-6"/>
          <w:sz w:val="22"/>
        </w:rPr>
        <w:t> </w:t>
      </w:r>
      <w:r>
        <w:rPr>
          <w:rFonts w:ascii="Times New Roman" w:hAnsi="Times New Roman"/>
          <w:sz w:val="22"/>
        </w:rPr>
        <w:t>com o</w:t>
      </w:r>
      <w:r>
        <w:rPr>
          <w:rFonts w:ascii="Times New Roman" w:hAnsi="Times New Roman"/>
          <w:spacing w:val="-3"/>
          <w:sz w:val="22"/>
        </w:rPr>
        <w:t> </w:t>
      </w:r>
      <w:r>
        <w:rPr>
          <w:rFonts w:ascii="Times New Roman" w:hAnsi="Times New Roman"/>
          <w:sz w:val="22"/>
        </w:rPr>
        <w:t>resultado</w:t>
      </w:r>
      <w:r>
        <w:rPr>
          <w:rFonts w:ascii="Times New Roman" w:hAnsi="Times New Roman"/>
          <w:spacing w:val="-3"/>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R$</w:t>
      </w:r>
      <w:r>
        <w:rPr>
          <w:rFonts w:ascii="Times New Roman" w:hAnsi="Times New Roman"/>
          <w:spacing w:val="-4"/>
          <w:sz w:val="22"/>
        </w:rPr>
        <w:t> </w:t>
      </w:r>
      <w:r>
        <w:rPr>
          <w:rFonts w:ascii="Times New Roman" w:hAnsi="Times New Roman"/>
          <w:sz w:val="22"/>
        </w:rPr>
        <w:t>293.107</w:t>
      </w:r>
      <w:r>
        <w:rPr>
          <w:rFonts w:ascii="Times New Roman" w:hAnsi="Times New Roman"/>
          <w:spacing w:val="-5"/>
          <w:sz w:val="22"/>
        </w:rPr>
        <w:t> </w:t>
      </w:r>
      <w:r>
        <w:rPr>
          <w:rFonts w:ascii="Times New Roman" w:hAnsi="Times New Roman"/>
          <w:sz w:val="22"/>
        </w:rPr>
        <w:t>mil</w:t>
      </w:r>
      <w:r>
        <w:rPr>
          <w:rFonts w:ascii="Times New Roman" w:hAnsi="Times New Roman"/>
          <w:spacing w:val="-3"/>
          <w:sz w:val="22"/>
        </w:rPr>
        <w:t> </w:t>
      </w:r>
      <w:r>
        <w:rPr>
          <w:rFonts w:ascii="Times New Roman" w:hAnsi="Times New Roman"/>
          <w:sz w:val="22"/>
        </w:rPr>
        <w:t>apurado</w:t>
      </w:r>
      <w:r>
        <w:rPr>
          <w:rFonts w:ascii="Times New Roman" w:hAnsi="Times New Roman"/>
          <w:spacing w:val="-6"/>
          <w:sz w:val="22"/>
        </w:rPr>
        <w:t> </w:t>
      </w:r>
      <w:r>
        <w:rPr>
          <w:rFonts w:ascii="Times New Roman" w:hAnsi="Times New Roman"/>
          <w:sz w:val="22"/>
        </w:rPr>
        <w:t>em</w:t>
      </w:r>
      <w:r>
        <w:rPr>
          <w:rFonts w:ascii="Times New Roman" w:hAnsi="Times New Roman"/>
          <w:spacing w:val="-6"/>
          <w:sz w:val="22"/>
        </w:rPr>
        <w:t> </w:t>
      </w:r>
      <w:r>
        <w:rPr>
          <w:rFonts w:ascii="Times New Roman" w:hAnsi="Times New Roman"/>
          <w:sz w:val="22"/>
        </w:rPr>
        <w:t>2018.</w:t>
      </w:r>
      <w:r>
        <w:rPr>
          <w:rFonts w:ascii="Times New Roman" w:hAnsi="Times New Roman"/>
          <w:spacing w:val="-4"/>
          <w:sz w:val="22"/>
        </w:rPr>
        <w:t> </w:t>
      </w:r>
      <w:r>
        <w:rPr>
          <w:rFonts w:ascii="Times New Roman" w:hAnsi="Times New Roman"/>
          <w:sz w:val="22"/>
        </w:rPr>
        <w:t>A</w:t>
      </w:r>
      <w:r>
        <w:rPr>
          <w:rFonts w:ascii="Times New Roman" w:hAnsi="Times New Roman"/>
          <w:spacing w:val="-4"/>
          <w:sz w:val="22"/>
        </w:rPr>
        <w:t> </w:t>
      </w:r>
      <w:r>
        <w:rPr>
          <w:rFonts w:ascii="Times New Roman" w:hAnsi="Times New Roman"/>
          <w:sz w:val="22"/>
        </w:rPr>
        <w:t>Margem</w:t>
      </w:r>
      <w:r>
        <w:rPr>
          <w:rFonts w:ascii="Times New Roman" w:hAnsi="Times New Roman"/>
          <w:spacing w:val="-7"/>
          <w:sz w:val="22"/>
        </w:rPr>
        <w:t> </w:t>
      </w:r>
      <w:r>
        <w:rPr>
          <w:rFonts w:ascii="Times New Roman" w:hAnsi="Times New Roman"/>
          <w:sz w:val="22"/>
        </w:rPr>
        <w:t>EBITDA</w:t>
      </w:r>
      <w:r>
        <w:rPr>
          <w:rFonts w:ascii="Times New Roman" w:hAnsi="Times New Roman"/>
          <w:spacing w:val="-4"/>
          <w:sz w:val="22"/>
        </w:rPr>
        <w:t> </w:t>
      </w:r>
      <w:r>
        <w:rPr>
          <w:rFonts w:ascii="Times New Roman" w:hAnsi="Times New Roman"/>
          <w:sz w:val="22"/>
        </w:rPr>
        <w:t>(LAJIDA),</w:t>
      </w:r>
      <w:r>
        <w:rPr>
          <w:rFonts w:ascii="Times New Roman" w:hAnsi="Times New Roman"/>
          <w:spacing w:val="-4"/>
          <w:sz w:val="22"/>
        </w:rPr>
        <w:t> </w:t>
      </w:r>
      <w:r>
        <w:rPr>
          <w:rFonts w:ascii="Times New Roman" w:hAnsi="Times New Roman"/>
          <w:sz w:val="22"/>
        </w:rPr>
        <w:t>porém</w:t>
      </w:r>
      <w:r>
        <w:rPr>
          <w:rFonts w:ascii="Times New Roman" w:hAnsi="Times New Roman"/>
          <w:spacing w:val="-3"/>
          <w:sz w:val="22"/>
        </w:rPr>
        <w:t> </w:t>
      </w:r>
      <w:r>
        <w:rPr>
          <w:rFonts w:ascii="Times New Roman" w:hAnsi="Times New Roman"/>
          <w:sz w:val="22"/>
        </w:rPr>
        <w:t>manteve-se</w:t>
      </w:r>
      <w:r>
        <w:rPr>
          <w:rFonts w:ascii="Times New Roman" w:hAnsi="Times New Roman"/>
          <w:spacing w:val="-3"/>
          <w:sz w:val="22"/>
        </w:rPr>
        <w:t> </w:t>
      </w:r>
      <w:r>
        <w:rPr>
          <w:rFonts w:ascii="Times New Roman" w:hAnsi="Times New Roman"/>
          <w:sz w:val="22"/>
        </w:rPr>
        <w:t>no</w:t>
      </w:r>
      <w:r>
        <w:rPr>
          <w:rFonts w:ascii="Times New Roman" w:hAnsi="Times New Roman"/>
          <w:spacing w:val="-1"/>
          <w:sz w:val="22"/>
        </w:rPr>
        <w:t> </w:t>
      </w:r>
      <w:r>
        <w:rPr>
          <w:rFonts w:ascii="Times New Roman" w:hAnsi="Times New Roman"/>
          <w:sz w:val="22"/>
        </w:rPr>
        <w:t>mesmo</w:t>
      </w:r>
      <w:r>
        <w:rPr>
          <w:rFonts w:ascii="Times New Roman" w:hAnsi="Times New Roman"/>
          <w:spacing w:val="-3"/>
          <w:sz w:val="22"/>
        </w:rPr>
        <w:t> </w:t>
      </w:r>
      <w:r>
        <w:rPr>
          <w:rFonts w:ascii="Times New Roman" w:hAnsi="Times New Roman"/>
          <w:sz w:val="22"/>
        </w:rPr>
        <w:t>patamar do ano anterior</w:t>
      </w:r>
      <w:r>
        <w:rPr>
          <w:rFonts w:ascii="Times New Roman" w:hAnsi="Times New Roman"/>
          <w:spacing w:val="-3"/>
          <w:sz w:val="22"/>
        </w:rPr>
        <w:t> </w:t>
      </w:r>
      <w:r>
        <w:rPr>
          <w:rFonts w:ascii="Times New Roman" w:hAnsi="Times New Roman"/>
          <w:sz w:val="22"/>
        </w:rPr>
        <w:t>(11,3%).</w:t>
      </w:r>
    </w:p>
    <w:p>
      <w:pPr>
        <w:pStyle w:val="BodyText"/>
        <w:rPr>
          <w:rFonts w:ascii="Times New Roman"/>
          <w:sz w:val="24"/>
        </w:rPr>
      </w:pPr>
    </w:p>
    <w:p>
      <w:pPr>
        <w:pStyle w:val="BodyText"/>
        <w:rPr>
          <w:rFonts w:ascii="Times New Roman"/>
          <w:sz w:val="24"/>
        </w:rPr>
      </w:pPr>
    </w:p>
    <w:p>
      <w:pPr>
        <w:pStyle w:val="BodyText"/>
        <w:rPr>
          <w:rFonts w:ascii="Times New Roman"/>
          <w:sz w:val="27"/>
        </w:rPr>
      </w:pPr>
    </w:p>
    <w:p>
      <w:pPr>
        <w:spacing w:before="0"/>
        <w:ind w:left="350" w:right="0" w:firstLine="0"/>
        <w:jc w:val="left"/>
        <w:rPr>
          <w:rFonts w:ascii="Times New Roman" w:hAnsi="Times New Roman"/>
          <w:b/>
          <w:sz w:val="22"/>
        </w:rPr>
      </w:pPr>
      <w:r>
        <w:rPr>
          <w:rFonts w:ascii="Times New Roman" w:hAnsi="Times New Roman"/>
          <w:b/>
          <w:sz w:val="22"/>
        </w:rPr>
        <w:t>Empréstimos e Financiamentos:</w:t>
      </w:r>
    </w:p>
    <w:p>
      <w:pPr>
        <w:pStyle w:val="BodyText"/>
        <w:spacing w:before="4"/>
        <w:rPr>
          <w:rFonts w:ascii="Times New Roman"/>
          <w:b/>
        </w:rPr>
      </w:pPr>
    </w:p>
    <w:p>
      <w:pPr>
        <w:spacing w:line="360" w:lineRule="auto" w:before="1"/>
        <w:ind w:left="139" w:right="135" w:firstLine="708"/>
        <w:jc w:val="both"/>
        <w:rPr>
          <w:rFonts w:ascii="Times New Roman" w:hAnsi="Times New Roman"/>
          <w:sz w:val="22"/>
        </w:rPr>
      </w:pPr>
      <w:r>
        <w:rPr>
          <w:rFonts w:ascii="Times New Roman" w:hAnsi="Times New Roman"/>
          <w:sz w:val="22"/>
        </w:rPr>
        <w:t>A seguir apresenta-se a composição da Divída Bancária Líquida da Companhia que foi reduzida em R$ 320.524 mil, registrando uma retração de 89,69%. Contribuiu para esse comportamento o aumento significativo de caixa disponível, oriundo da postergação do pagamento do ICMS.</w:t>
      </w:r>
    </w:p>
    <w:p>
      <w:pPr>
        <w:pStyle w:val="BodyText"/>
        <w:spacing w:before="6"/>
        <w:rPr>
          <w:rFonts w:ascii="Times New Roman"/>
          <w:sz w:val="21"/>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789"/>
        <w:gridCol w:w="1462"/>
        <w:gridCol w:w="1463"/>
        <w:gridCol w:w="1220"/>
        <w:gridCol w:w="1225"/>
      </w:tblGrid>
      <w:tr>
        <w:trPr>
          <w:trHeight w:val="302" w:hRule="atLeast"/>
        </w:trPr>
        <w:tc>
          <w:tcPr>
            <w:tcW w:w="4789" w:type="dxa"/>
            <w:tcBorders>
              <w:top w:val="nil"/>
              <w:left w:val="nil"/>
              <w:bottom w:val="nil"/>
              <w:right w:val="nil"/>
            </w:tcBorders>
            <w:shd w:val="clear" w:color="auto" w:fill="4470C4"/>
          </w:tcPr>
          <w:p>
            <w:pPr>
              <w:pStyle w:val="TableParagraph"/>
              <w:spacing w:before="36"/>
              <w:ind w:left="2022" w:right="1998"/>
              <w:jc w:val="center"/>
              <w:rPr>
                <w:rFonts w:ascii="Times New Roman"/>
                <w:b/>
                <w:sz w:val="20"/>
              </w:rPr>
            </w:pPr>
            <w:r>
              <w:rPr>
                <w:rFonts w:ascii="Times New Roman"/>
                <w:b/>
                <w:color w:val="FFFFFF"/>
                <w:sz w:val="20"/>
              </w:rPr>
              <w:t>(R$ Mil)</w:t>
            </w:r>
          </w:p>
        </w:tc>
        <w:tc>
          <w:tcPr>
            <w:tcW w:w="1462" w:type="dxa"/>
            <w:tcBorders>
              <w:top w:val="nil"/>
              <w:left w:val="nil"/>
              <w:bottom w:val="nil"/>
              <w:right w:val="nil"/>
            </w:tcBorders>
            <w:shd w:val="clear" w:color="auto" w:fill="4470C4"/>
          </w:tcPr>
          <w:p>
            <w:pPr>
              <w:pStyle w:val="TableParagraph"/>
              <w:spacing w:before="36"/>
              <w:ind w:left="520" w:right="501"/>
              <w:jc w:val="center"/>
              <w:rPr>
                <w:rFonts w:ascii="Times New Roman"/>
                <w:b/>
                <w:sz w:val="20"/>
              </w:rPr>
            </w:pPr>
            <w:r>
              <w:rPr>
                <w:rFonts w:ascii="Times New Roman"/>
                <w:b/>
                <w:color w:val="FFFFFF"/>
                <w:sz w:val="20"/>
              </w:rPr>
              <w:t>2019</w:t>
            </w:r>
          </w:p>
        </w:tc>
        <w:tc>
          <w:tcPr>
            <w:tcW w:w="1463" w:type="dxa"/>
            <w:tcBorders>
              <w:top w:val="nil"/>
              <w:left w:val="nil"/>
              <w:bottom w:val="nil"/>
              <w:right w:val="nil"/>
            </w:tcBorders>
            <w:shd w:val="clear" w:color="auto" w:fill="4470C4"/>
          </w:tcPr>
          <w:p>
            <w:pPr>
              <w:pStyle w:val="TableParagraph"/>
              <w:spacing w:before="36"/>
              <w:ind w:left="521" w:right="502"/>
              <w:jc w:val="center"/>
              <w:rPr>
                <w:rFonts w:ascii="Times New Roman"/>
                <w:b/>
                <w:sz w:val="20"/>
              </w:rPr>
            </w:pPr>
            <w:r>
              <w:rPr>
                <w:rFonts w:ascii="Times New Roman"/>
                <w:b/>
                <w:color w:val="FFFFFF"/>
                <w:sz w:val="20"/>
              </w:rPr>
              <w:t>2018</w:t>
            </w:r>
          </w:p>
        </w:tc>
        <w:tc>
          <w:tcPr>
            <w:tcW w:w="2445" w:type="dxa"/>
            <w:gridSpan w:val="2"/>
            <w:tcBorders>
              <w:top w:val="nil"/>
              <w:left w:val="nil"/>
              <w:bottom w:val="nil"/>
              <w:right w:val="nil"/>
            </w:tcBorders>
            <w:shd w:val="clear" w:color="auto" w:fill="4470C4"/>
          </w:tcPr>
          <w:p>
            <w:pPr>
              <w:pStyle w:val="TableParagraph"/>
              <w:spacing w:before="36"/>
              <w:ind w:left="939" w:right="933"/>
              <w:jc w:val="center"/>
              <w:rPr>
                <w:rFonts w:ascii="Times New Roman" w:hAnsi="Times New Roman"/>
                <w:b/>
                <w:sz w:val="20"/>
              </w:rPr>
            </w:pPr>
            <w:r>
              <w:rPr>
                <w:rFonts w:ascii="Times New Roman" w:hAnsi="Times New Roman"/>
                <w:b/>
                <w:color w:val="FFFFFF"/>
                <w:sz w:val="20"/>
              </w:rPr>
              <w:t>Δ Ano</w:t>
            </w:r>
          </w:p>
        </w:tc>
      </w:tr>
      <w:tr>
        <w:trPr>
          <w:trHeight w:val="280" w:hRule="atLeast"/>
        </w:trPr>
        <w:tc>
          <w:tcPr>
            <w:tcW w:w="4789" w:type="dxa"/>
            <w:tcBorders>
              <w:top w:val="nil"/>
            </w:tcBorders>
            <w:shd w:val="clear" w:color="auto" w:fill="D9E0F3"/>
          </w:tcPr>
          <w:p>
            <w:pPr>
              <w:pStyle w:val="TableParagraph"/>
              <w:rPr>
                <w:rFonts w:ascii="Times New Roman"/>
                <w:sz w:val="20"/>
              </w:rPr>
            </w:pPr>
          </w:p>
        </w:tc>
        <w:tc>
          <w:tcPr>
            <w:tcW w:w="1462" w:type="dxa"/>
            <w:tcBorders>
              <w:top w:val="nil"/>
            </w:tcBorders>
            <w:shd w:val="clear" w:color="auto" w:fill="D9E0F3"/>
          </w:tcPr>
          <w:p>
            <w:pPr>
              <w:pStyle w:val="TableParagraph"/>
              <w:rPr>
                <w:rFonts w:ascii="Times New Roman"/>
                <w:sz w:val="20"/>
              </w:rPr>
            </w:pPr>
          </w:p>
        </w:tc>
        <w:tc>
          <w:tcPr>
            <w:tcW w:w="1463" w:type="dxa"/>
            <w:tcBorders>
              <w:top w:val="nil"/>
            </w:tcBorders>
            <w:shd w:val="clear" w:color="auto" w:fill="D9E0F3"/>
          </w:tcPr>
          <w:p>
            <w:pPr>
              <w:pStyle w:val="TableParagraph"/>
              <w:rPr>
                <w:rFonts w:ascii="Times New Roman"/>
                <w:sz w:val="20"/>
              </w:rPr>
            </w:pPr>
          </w:p>
        </w:tc>
        <w:tc>
          <w:tcPr>
            <w:tcW w:w="1220" w:type="dxa"/>
            <w:tcBorders>
              <w:top w:val="nil"/>
            </w:tcBorders>
            <w:shd w:val="clear" w:color="auto" w:fill="D9E0F3"/>
          </w:tcPr>
          <w:p>
            <w:pPr>
              <w:pStyle w:val="TableParagraph"/>
              <w:spacing w:line="228" w:lineRule="exact"/>
              <w:ind w:right="87"/>
              <w:jc w:val="right"/>
              <w:rPr>
                <w:rFonts w:ascii="Times New Roman"/>
                <w:b/>
                <w:sz w:val="20"/>
              </w:rPr>
            </w:pPr>
            <w:r>
              <w:rPr>
                <w:rFonts w:ascii="Times New Roman"/>
                <w:b/>
                <w:sz w:val="20"/>
              </w:rPr>
              <w:t>(R$ Mil)</w:t>
            </w:r>
          </w:p>
        </w:tc>
        <w:tc>
          <w:tcPr>
            <w:tcW w:w="1225" w:type="dxa"/>
            <w:tcBorders>
              <w:top w:val="nil"/>
            </w:tcBorders>
            <w:shd w:val="clear" w:color="auto" w:fill="D9E0F3"/>
          </w:tcPr>
          <w:p>
            <w:pPr>
              <w:pStyle w:val="TableParagraph"/>
              <w:spacing w:line="228" w:lineRule="exact"/>
              <w:ind w:right="94"/>
              <w:jc w:val="right"/>
              <w:rPr>
                <w:rFonts w:ascii="Times New Roman"/>
                <w:b/>
                <w:sz w:val="20"/>
              </w:rPr>
            </w:pPr>
            <w:r>
              <w:rPr>
                <w:rFonts w:ascii="Times New Roman"/>
                <w:b/>
                <w:w w:val="90"/>
                <w:sz w:val="20"/>
              </w:rPr>
              <w:t>(%)</w:t>
            </w:r>
          </w:p>
        </w:tc>
      </w:tr>
      <w:tr>
        <w:trPr>
          <w:trHeight w:val="282" w:hRule="atLeast"/>
        </w:trPr>
        <w:tc>
          <w:tcPr>
            <w:tcW w:w="4789" w:type="dxa"/>
          </w:tcPr>
          <w:p>
            <w:pPr>
              <w:pStyle w:val="TableParagraph"/>
              <w:ind w:left="398"/>
              <w:rPr>
                <w:rFonts w:ascii="Times New Roman"/>
                <w:b/>
                <w:sz w:val="20"/>
              </w:rPr>
            </w:pPr>
            <w:r>
              <w:rPr>
                <w:rFonts w:ascii="Times New Roman"/>
                <w:b/>
                <w:sz w:val="20"/>
              </w:rPr>
              <w:t>Curto Prazo</w:t>
            </w:r>
          </w:p>
        </w:tc>
        <w:tc>
          <w:tcPr>
            <w:tcW w:w="1462" w:type="dxa"/>
          </w:tcPr>
          <w:p>
            <w:pPr>
              <w:pStyle w:val="TableParagraph"/>
              <w:spacing w:before="26"/>
              <w:ind w:right="89"/>
              <w:jc w:val="right"/>
              <w:rPr>
                <w:rFonts w:ascii="Times New Roman"/>
                <w:b/>
                <w:sz w:val="20"/>
              </w:rPr>
            </w:pPr>
            <w:r>
              <w:rPr>
                <w:rFonts w:ascii="Times New Roman"/>
                <w:b/>
                <w:w w:val="90"/>
                <w:sz w:val="20"/>
              </w:rPr>
              <w:t>147.647</w:t>
            </w:r>
          </w:p>
        </w:tc>
        <w:tc>
          <w:tcPr>
            <w:tcW w:w="1463" w:type="dxa"/>
          </w:tcPr>
          <w:p>
            <w:pPr>
              <w:pStyle w:val="TableParagraph"/>
              <w:spacing w:before="26"/>
              <w:ind w:right="92"/>
              <w:jc w:val="right"/>
              <w:rPr>
                <w:rFonts w:ascii="Times New Roman"/>
                <w:b/>
                <w:sz w:val="20"/>
              </w:rPr>
            </w:pPr>
            <w:r>
              <w:rPr>
                <w:rFonts w:ascii="Times New Roman"/>
                <w:b/>
                <w:w w:val="90"/>
                <w:sz w:val="20"/>
              </w:rPr>
              <w:t>333.847</w:t>
            </w:r>
          </w:p>
        </w:tc>
        <w:tc>
          <w:tcPr>
            <w:tcW w:w="1220" w:type="dxa"/>
          </w:tcPr>
          <w:p>
            <w:pPr>
              <w:pStyle w:val="TableParagraph"/>
              <w:spacing w:line="227" w:lineRule="exact" w:before="36"/>
              <w:ind w:right="93"/>
              <w:jc w:val="right"/>
              <w:rPr>
                <w:rFonts w:ascii="Times New Roman"/>
                <w:b/>
                <w:sz w:val="20"/>
              </w:rPr>
            </w:pPr>
            <w:r>
              <w:rPr>
                <w:rFonts w:ascii="Times New Roman"/>
                <w:b/>
                <w:w w:val="90"/>
                <w:sz w:val="20"/>
              </w:rPr>
              <w:t>-186.200</w:t>
            </w:r>
          </w:p>
        </w:tc>
        <w:tc>
          <w:tcPr>
            <w:tcW w:w="1225" w:type="dxa"/>
          </w:tcPr>
          <w:p>
            <w:pPr>
              <w:pStyle w:val="TableParagraph"/>
              <w:spacing w:line="227" w:lineRule="exact" w:before="36"/>
              <w:ind w:right="93"/>
              <w:jc w:val="right"/>
              <w:rPr>
                <w:rFonts w:ascii="Times New Roman"/>
                <w:b/>
                <w:sz w:val="20"/>
              </w:rPr>
            </w:pPr>
            <w:r>
              <w:rPr>
                <w:rFonts w:ascii="Times New Roman"/>
                <w:b/>
                <w:w w:val="90"/>
                <w:sz w:val="20"/>
              </w:rPr>
              <w:t>-55,77%</w:t>
            </w:r>
          </w:p>
        </w:tc>
      </w:tr>
      <w:tr>
        <w:trPr>
          <w:trHeight w:val="280" w:hRule="atLeast"/>
        </w:trPr>
        <w:tc>
          <w:tcPr>
            <w:tcW w:w="4789" w:type="dxa"/>
            <w:shd w:val="clear" w:color="auto" w:fill="D9E0F3"/>
          </w:tcPr>
          <w:p>
            <w:pPr>
              <w:pStyle w:val="TableParagraph"/>
              <w:ind w:left="398"/>
              <w:rPr>
                <w:rFonts w:ascii="Times New Roman"/>
                <w:b/>
                <w:sz w:val="20"/>
              </w:rPr>
            </w:pPr>
            <w:r>
              <w:rPr>
                <w:rFonts w:ascii="Times New Roman"/>
                <w:b/>
                <w:sz w:val="20"/>
              </w:rPr>
              <w:t>Longo Prazo</w:t>
            </w:r>
          </w:p>
        </w:tc>
        <w:tc>
          <w:tcPr>
            <w:tcW w:w="1462" w:type="dxa"/>
            <w:shd w:val="clear" w:color="auto" w:fill="D9E0F3"/>
          </w:tcPr>
          <w:p>
            <w:pPr>
              <w:pStyle w:val="TableParagraph"/>
              <w:spacing w:before="26"/>
              <w:ind w:right="89"/>
              <w:jc w:val="right"/>
              <w:rPr>
                <w:rFonts w:ascii="Times New Roman"/>
                <w:b/>
                <w:sz w:val="20"/>
              </w:rPr>
            </w:pPr>
            <w:r>
              <w:rPr>
                <w:rFonts w:ascii="Times New Roman"/>
                <w:b/>
                <w:w w:val="90"/>
                <w:sz w:val="20"/>
              </w:rPr>
              <w:t>354.528</w:t>
            </w:r>
          </w:p>
        </w:tc>
        <w:tc>
          <w:tcPr>
            <w:tcW w:w="1463" w:type="dxa"/>
            <w:shd w:val="clear" w:color="auto" w:fill="D9E0F3"/>
          </w:tcPr>
          <w:p>
            <w:pPr>
              <w:pStyle w:val="TableParagraph"/>
              <w:spacing w:before="26"/>
              <w:ind w:right="92"/>
              <w:jc w:val="right"/>
              <w:rPr>
                <w:rFonts w:ascii="Times New Roman"/>
                <w:b/>
                <w:sz w:val="20"/>
              </w:rPr>
            </w:pPr>
            <w:r>
              <w:rPr>
                <w:rFonts w:ascii="Times New Roman"/>
                <w:b/>
                <w:w w:val="90"/>
                <w:sz w:val="20"/>
              </w:rPr>
              <w:t>203.213</w:t>
            </w:r>
          </w:p>
        </w:tc>
        <w:tc>
          <w:tcPr>
            <w:tcW w:w="1220" w:type="dxa"/>
            <w:shd w:val="clear" w:color="auto" w:fill="D9E0F3"/>
          </w:tcPr>
          <w:p>
            <w:pPr>
              <w:pStyle w:val="TableParagraph"/>
              <w:spacing w:line="224" w:lineRule="exact" w:before="36"/>
              <w:ind w:right="93"/>
              <w:jc w:val="right"/>
              <w:rPr>
                <w:rFonts w:ascii="Times New Roman"/>
                <w:b/>
                <w:sz w:val="20"/>
              </w:rPr>
            </w:pPr>
            <w:r>
              <w:rPr>
                <w:rFonts w:ascii="Times New Roman"/>
                <w:b/>
                <w:w w:val="90"/>
                <w:sz w:val="20"/>
              </w:rPr>
              <w:t>151.315</w:t>
            </w:r>
          </w:p>
        </w:tc>
        <w:tc>
          <w:tcPr>
            <w:tcW w:w="1225" w:type="dxa"/>
            <w:shd w:val="clear" w:color="auto" w:fill="D9E0F3"/>
          </w:tcPr>
          <w:p>
            <w:pPr>
              <w:pStyle w:val="TableParagraph"/>
              <w:spacing w:line="224" w:lineRule="exact" w:before="36"/>
              <w:ind w:right="86"/>
              <w:jc w:val="right"/>
              <w:rPr>
                <w:rFonts w:ascii="Times New Roman"/>
                <w:b/>
                <w:sz w:val="20"/>
              </w:rPr>
            </w:pPr>
            <w:r>
              <w:rPr>
                <w:rFonts w:ascii="Times New Roman"/>
                <w:b/>
                <w:sz w:val="20"/>
              </w:rPr>
              <w:t>74,46%</w:t>
            </w:r>
          </w:p>
        </w:tc>
      </w:tr>
      <w:tr>
        <w:trPr>
          <w:trHeight w:val="282" w:hRule="atLeast"/>
        </w:trPr>
        <w:tc>
          <w:tcPr>
            <w:tcW w:w="4789" w:type="dxa"/>
          </w:tcPr>
          <w:p>
            <w:pPr>
              <w:pStyle w:val="TableParagraph"/>
              <w:ind w:left="398"/>
              <w:rPr>
                <w:rFonts w:ascii="Times New Roman"/>
                <w:b/>
                <w:sz w:val="20"/>
              </w:rPr>
            </w:pPr>
            <w:r>
              <w:rPr>
                <w:rFonts w:ascii="Times New Roman"/>
                <w:b/>
                <w:sz w:val="20"/>
              </w:rPr>
              <w:t>Endividamento</w:t>
            </w:r>
          </w:p>
        </w:tc>
        <w:tc>
          <w:tcPr>
            <w:tcW w:w="1462" w:type="dxa"/>
          </w:tcPr>
          <w:p>
            <w:pPr>
              <w:pStyle w:val="TableParagraph"/>
              <w:spacing w:before="26"/>
              <w:ind w:right="89"/>
              <w:jc w:val="right"/>
              <w:rPr>
                <w:rFonts w:ascii="Times New Roman"/>
                <w:b/>
                <w:sz w:val="20"/>
              </w:rPr>
            </w:pPr>
            <w:r>
              <w:rPr>
                <w:rFonts w:ascii="Times New Roman"/>
                <w:b/>
                <w:w w:val="90"/>
                <w:sz w:val="20"/>
              </w:rPr>
              <w:t>502.175</w:t>
            </w:r>
          </w:p>
        </w:tc>
        <w:tc>
          <w:tcPr>
            <w:tcW w:w="1463" w:type="dxa"/>
          </w:tcPr>
          <w:p>
            <w:pPr>
              <w:pStyle w:val="TableParagraph"/>
              <w:spacing w:before="26"/>
              <w:ind w:right="92"/>
              <w:jc w:val="right"/>
              <w:rPr>
                <w:rFonts w:ascii="Times New Roman"/>
                <w:b/>
                <w:sz w:val="20"/>
              </w:rPr>
            </w:pPr>
            <w:r>
              <w:rPr>
                <w:rFonts w:ascii="Times New Roman"/>
                <w:b/>
                <w:w w:val="90"/>
                <w:sz w:val="20"/>
              </w:rPr>
              <w:t>537.060</w:t>
            </w:r>
          </w:p>
        </w:tc>
        <w:tc>
          <w:tcPr>
            <w:tcW w:w="1220" w:type="dxa"/>
          </w:tcPr>
          <w:p>
            <w:pPr>
              <w:pStyle w:val="TableParagraph"/>
              <w:spacing w:line="227" w:lineRule="exact" w:before="36"/>
              <w:ind w:right="93"/>
              <w:jc w:val="right"/>
              <w:rPr>
                <w:rFonts w:ascii="Times New Roman"/>
                <w:b/>
                <w:sz w:val="20"/>
              </w:rPr>
            </w:pPr>
            <w:r>
              <w:rPr>
                <w:rFonts w:ascii="Times New Roman"/>
                <w:b/>
                <w:w w:val="90"/>
                <w:sz w:val="20"/>
              </w:rPr>
              <w:t>-34.885</w:t>
            </w:r>
          </w:p>
        </w:tc>
        <w:tc>
          <w:tcPr>
            <w:tcW w:w="1225" w:type="dxa"/>
          </w:tcPr>
          <w:p>
            <w:pPr>
              <w:pStyle w:val="TableParagraph"/>
              <w:spacing w:line="227" w:lineRule="exact" w:before="36"/>
              <w:ind w:right="86"/>
              <w:jc w:val="right"/>
              <w:rPr>
                <w:rFonts w:ascii="Times New Roman"/>
                <w:b/>
                <w:sz w:val="20"/>
              </w:rPr>
            </w:pPr>
            <w:r>
              <w:rPr>
                <w:rFonts w:ascii="Times New Roman"/>
                <w:b/>
                <w:sz w:val="20"/>
              </w:rPr>
              <w:t>-6,50%</w:t>
            </w:r>
          </w:p>
        </w:tc>
      </w:tr>
      <w:tr>
        <w:trPr>
          <w:trHeight w:val="282" w:hRule="atLeast"/>
        </w:trPr>
        <w:tc>
          <w:tcPr>
            <w:tcW w:w="4789" w:type="dxa"/>
            <w:shd w:val="clear" w:color="auto" w:fill="D9E0F3"/>
          </w:tcPr>
          <w:p>
            <w:pPr>
              <w:pStyle w:val="TableParagraph"/>
              <w:ind w:left="398"/>
              <w:rPr>
                <w:rFonts w:ascii="Times New Roman" w:hAnsi="Times New Roman"/>
                <w:b/>
                <w:sz w:val="20"/>
              </w:rPr>
            </w:pPr>
            <w:r>
              <w:rPr>
                <w:rFonts w:ascii="Times New Roman" w:hAnsi="Times New Roman"/>
                <w:b/>
                <w:sz w:val="20"/>
              </w:rPr>
              <w:t>(-) Caixa Disponível</w:t>
            </w:r>
          </w:p>
        </w:tc>
        <w:tc>
          <w:tcPr>
            <w:tcW w:w="1462" w:type="dxa"/>
            <w:shd w:val="clear" w:color="auto" w:fill="DEEAF6"/>
          </w:tcPr>
          <w:p>
            <w:pPr>
              <w:pStyle w:val="TableParagraph"/>
              <w:spacing w:before="26"/>
              <w:ind w:right="89"/>
              <w:jc w:val="right"/>
              <w:rPr>
                <w:rFonts w:ascii="Times New Roman"/>
                <w:b/>
                <w:sz w:val="20"/>
              </w:rPr>
            </w:pPr>
            <w:r>
              <w:rPr>
                <w:rFonts w:ascii="Times New Roman"/>
                <w:b/>
                <w:w w:val="90"/>
                <w:sz w:val="20"/>
              </w:rPr>
              <w:t>(465.338)</w:t>
            </w:r>
          </w:p>
        </w:tc>
        <w:tc>
          <w:tcPr>
            <w:tcW w:w="1463" w:type="dxa"/>
            <w:shd w:val="clear" w:color="auto" w:fill="DEEAF6"/>
          </w:tcPr>
          <w:p>
            <w:pPr>
              <w:pStyle w:val="TableParagraph"/>
              <w:spacing w:before="26"/>
              <w:ind w:right="92"/>
              <w:jc w:val="right"/>
              <w:rPr>
                <w:rFonts w:ascii="Times New Roman"/>
                <w:b/>
                <w:sz w:val="20"/>
              </w:rPr>
            </w:pPr>
            <w:r>
              <w:rPr>
                <w:rFonts w:ascii="Times New Roman"/>
                <w:b/>
                <w:w w:val="90"/>
                <w:sz w:val="20"/>
              </w:rPr>
              <w:t>(179.699)</w:t>
            </w:r>
          </w:p>
        </w:tc>
        <w:tc>
          <w:tcPr>
            <w:tcW w:w="1220" w:type="dxa"/>
            <w:shd w:val="clear" w:color="auto" w:fill="DEEAF6"/>
          </w:tcPr>
          <w:p>
            <w:pPr>
              <w:pStyle w:val="TableParagraph"/>
              <w:spacing w:line="227" w:lineRule="exact" w:before="36"/>
              <w:ind w:right="93"/>
              <w:jc w:val="right"/>
              <w:rPr>
                <w:rFonts w:ascii="Times New Roman"/>
                <w:b/>
                <w:sz w:val="20"/>
              </w:rPr>
            </w:pPr>
            <w:r>
              <w:rPr>
                <w:rFonts w:ascii="Times New Roman"/>
                <w:b/>
                <w:w w:val="90"/>
                <w:sz w:val="20"/>
              </w:rPr>
              <w:t>-285.639</w:t>
            </w:r>
          </w:p>
        </w:tc>
        <w:tc>
          <w:tcPr>
            <w:tcW w:w="1225" w:type="dxa"/>
            <w:shd w:val="clear" w:color="auto" w:fill="DEEAF6"/>
          </w:tcPr>
          <w:p>
            <w:pPr>
              <w:pStyle w:val="TableParagraph"/>
              <w:spacing w:line="227" w:lineRule="exact" w:before="36"/>
              <w:ind w:right="89"/>
              <w:jc w:val="right"/>
              <w:rPr>
                <w:rFonts w:ascii="Times New Roman"/>
                <w:b/>
                <w:sz w:val="20"/>
              </w:rPr>
            </w:pPr>
            <w:r>
              <w:rPr>
                <w:rFonts w:ascii="Times New Roman"/>
                <w:b/>
                <w:w w:val="95"/>
                <w:sz w:val="20"/>
              </w:rPr>
              <w:t>158,95%</w:t>
            </w:r>
          </w:p>
        </w:tc>
      </w:tr>
      <w:tr>
        <w:trPr>
          <w:trHeight w:val="285" w:hRule="atLeast"/>
        </w:trPr>
        <w:tc>
          <w:tcPr>
            <w:tcW w:w="4789" w:type="dxa"/>
          </w:tcPr>
          <w:p>
            <w:pPr>
              <w:pStyle w:val="TableParagraph"/>
              <w:ind w:left="398"/>
              <w:rPr>
                <w:rFonts w:ascii="Times New Roman" w:hAnsi="Times New Roman"/>
                <w:b/>
                <w:sz w:val="20"/>
              </w:rPr>
            </w:pPr>
            <w:r>
              <w:rPr>
                <w:rFonts w:ascii="Times New Roman" w:hAnsi="Times New Roman"/>
                <w:b/>
                <w:sz w:val="20"/>
              </w:rPr>
              <w:t>= Dívida Bancária Líquida</w:t>
            </w:r>
          </w:p>
        </w:tc>
        <w:tc>
          <w:tcPr>
            <w:tcW w:w="1462" w:type="dxa"/>
          </w:tcPr>
          <w:p>
            <w:pPr>
              <w:pStyle w:val="TableParagraph"/>
              <w:spacing w:before="26"/>
              <w:ind w:right="87"/>
              <w:jc w:val="right"/>
              <w:rPr>
                <w:rFonts w:ascii="Times New Roman"/>
                <w:b/>
                <w:sz w:val="20"/>
              </w:rPr>
            </w:pPr>
            <w:r>
              <w:rPr>
                <w:rFonts w:ascii="Times New Roman"/>
                <w:b/>
                <w:w w:val="90"/>
                <w:sz w:val="20"/>
              </w:rPr>
              <w:t>36.837</w:t>
            </w:r>
          </w:p>
        </w:tc>
        <w:tc>
          <w:tcPr>
            <w:tcW w:w="1463" w:type="dxa"/>
          </w:tcPr>
          <w:p>
            <w:pPr>
              <w:pStyle w:val="TableParagraph"/>
              <w:spacing w:before="26"/>
              <w:ind w:right="92"/>
              <w:jc w:val="right"/>
              <w:rPr>
                <w:rFonts w:ascii="Times New Roman"/>
                <w:b/>
                <w:sz w:val="20"/>
              </w:rPr>
            </w:pPr>
            <w:r>
              <w:rPr>
                <w:rFonts w:ascii="Times New Roman"/>
                <w:b/>
                <w:w w:val="90"/>
                <w:sz w:val="20"/>
              </w:rPr>
              <w:t>357.361</w:t>
            </w:r>
          </w:p>
        </w:tc>
        <w:tc>
          <w:tcPr>
            <w:tcW w:w="1220" w:type="dxa"/>
          </w:tcPr>
          <w:p>
            <w:pPr>
              <w:pStyle w:val="TableParagraph"/>
              <w:spacing w:line="229" w:lineRule="exact" w:before="36"/>
              <w:ind w:right="93"/>
              <w:jc w:val="right"/>
              <w:rPr>
                <w:rFonts w:ascii="Times New Roman"/>
                <w:b/>
                <w:sz w:val="20"/>
              </w:rPr>
            </w:pPr>
            <w:r>
              <w:rPr>
                <w:rFonts w:ascii="Times New Roman"/>
                <w:b/>
                <w:w w:val="90"/>
                <w:sz w:val="20"/>
              </w:rPr>
              <w:t>-320.524</w:t>
            </w:r>
          </w:p>
        </w:tc>
        <w:tc>
          <w:tcPr>
            <w:tcW w:w="1225" w:type="dxa"/>
          </w:tcPr>
          <w:p>
            <w:pPr>
              <w:pStyle w:val="TableParagraph"/>
              <w:spacing w:line="229" w:lineRule="exact" w:before="36"/>
              <w:ind w:right="93"/>
              <w:jc w:val="right"/>
              <w:rPr>
                <w:rFonts w:ascii="Times New Roman"/>
                <w:b/>
                <w:sz w:val="20"/>
              </w:rPr>
            </w:pPr>
            <w:r>
              <w:rPr>
                <w:rFonts w:ascii="Times New Roman"/>
                <w:b/>
                <w:w w:val="90"/>
                <w:sz w:val="20"/>
              </w:rPr>
              <w:t>-89,69%</w:t>
            </w:r>
          </w:p>
        </w:tc>
      </w:tr>
    </w:tbl>
    <w:p>
      <w:pPr>
        <w:spacing w:after="0" w:line="229" w:lineRule="exact"/>
        <w:jc w:val="right"/>
        <w:rPr>
          <w:rFonts w:ascii="Times New Roman"/>
          <w:sz w:val="20"/>
        </w:rPr>
        <w:sectPr>
          <w:headerReference w:type="default" r:id="rId43"/>
          <w:footerReference w:type="default" r:id="rId44"/>
          <w:pgSz w:w="11920" w:h="16860"/>
          <w:pgMar w:header="0" w:footer="302" w:top="540" w:bottom="500" w:left="780" w:right="280"/>
          <w:pgNumType w:start="24"/>
        </w:sectPr>
      </w:pPr>
    </w:p>
    <w:p>
      <w:pPr>
        <w:pStyle w:val="BodyText"/>
        <w:spacing w:before="11"/>
        <w:rPr>
          <w:rFonts w:ascii="Times New Roman"/>
          <w:sz w:val="12"/>
        </w:rPr>
      </w:pPr>
    </w:p>
    <w:p>
      <w:pPr>
        <w:spacing w:before="92"/>
        <w:ind w:left="350" w:right="0" w:firstLine="0"/>
        <w:jc w:val="left"/>
        <w:rPr>
          <w:rFonts w:ascii="Times New Roman" w:hAnsi="Times New Roman"/>
          <w:b/>
          <w:sz w:val="22"/>
        </w:rPr>
      </w:pPr>
      <w:r>
        <w:rPr>
          <w:rFonts w:ascii="Times New Roman" w:hAnsi="Times New Roman"/>
          <w:b/>
          <w:sz w:val="22"/>
        </w:rPr>
        <w:t>Movimentação dos Empréstimos, Financiamentos e Debêntures</w:t>
      </w:r>
    </w:p>
    <w:p>
      <w:pPr>
        <w:pStyle w:val="BodyText"/>
        <w:spacing w:before="10"/>
        <w:rPr>
          <w:rFonts w:ascii="Times New Roman"/>
          <w:b/>
          <w:sz w:val="19"/>
        </w:rPr>
      </w:pPr>
    </w:p>
    <w:p>
      <w:pPr>
        <w:spacing w:before="0"/>
        <w:ind w:left="847" w:right="0" w:firstLine="0"/>
        <w:jc w:val="both"/>
        <w:rPr>
          <w:rFonts w:ascii="Times New Roman" w:hAnsi="Times New Roman"/>
          <w:sz w:val="22"/>
        </w:rPr>
      </w:pPr>
      <w:r>
        <w:rPr>
          <w:rFonts w:ascii="Times New Roman" w:hAnsi="Times New Roman"/>
          <w:sz w:val="22"/>
        </w:rPr>
        <w:t>O quadro seguinte sintetiza a movimentação da dívida no exercício de 2019:</w:t>
      </w:r>
    </w:p>
    <w:p>
      <w:pPr>
        <w:pStyle w:val="BodyText"/>
        <w:spacing w:before="2"/>
        <w:rPr>
          <w:rFonts w:ascii="Times New Roman"/>
          <w:sz w:val="22"/>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8644"/>
        <w:gridCol w:w="1270"/>
      </w:tblGrid>
      <w:tr>
        <w:trPr>
          <w:trHeight w:val="300" w:hRule="atLeast"/>
        </w:trPr>
        <w:tc>
          <w:tcPr>
            <w:tcW w:w="8644" w:type="dxa"/>
            <w:tcBorders>
              <w:top w:val="nil"/>
              <w:left w:val="nil"/>
              <w:bottom w:val="nil"/>
              <w:right w:val="nil"/>
            </w:tcBorders>
            <w:shd w:val="clear" w:color="auto" w:fill="4470C4"/>
          </w:tcPr>
          <w:p>
            <w:pPr>
              <w:pStyle w:val="TableParagraph"/>
              <w:spacing w:before="7"/>
              <w:ind w:left="4091" w:right="3784"/>
              <w:jc w:val="center"/>
              <w:rPr>
                <w:rFonts w:ascii="Times New Roman"/>
                <w:b/>
                <w:sz w:val="20"/>
              </w:rPr>
            </w:pPr>
            <w:r>
              <w:rPr>
                <w:rFonts w:ascii="Times New Roman"/>
                <w:b/>
                <w:color w:val="FFFFFF"/>
                <w:sz w:val="20"/>
              </w:rPr>
              <w:t>(R$ Mil)</w:t>
            </w:r>
          </w:p>
        </w:tc>
        <w:tc>
          <w:tcPr>
            <w:tcW w:w="1270" w:type="dxa"/>
            <w:tcBorders>
              <w:top w:val="nil"/>
              <w:left w:val="nil"/>
              <w:bottom w:val="nil"/>
              <w:right w:val="nil"/>
            </w:tcBorders>
            <w:shd w:val="clear" w:color="auto" w:fill="4470C4"/>
          </w:tcPr>
          <w:p>
            <w:pPr>
              <w:pStyle w:val="TableParagraph"/>
              <w:spacing w:before="7"/>
              <w:ind w:left="191"/>
              <w:rPr>
                <w:rFonts w:ascii="Times New Roman"/>
                <w:b/>
                <w:sz w:val="20"/>
              </w:rPr>
            </w:pPr>
            <w:r>
              <w:rPr>
                <w:rFonts w:ascii="Times New Roman"/>
                <w:b/>
                <w:color w:val="FFFFFF"/>
                <w:sz w:val="20"/>
              </w:rPr>
              <w:t>31/12/2019</w:t>
            </w:r>
          </w:p>
        </w:tc>
      </w:tr>
      <w:tr>
        <w:trPr>
          <w:trHeight w:val="282" w:hRule="atLeast"/>
        </w:trPr>
        <w:tc>
          <w:tcPr>
            <w:tcW w:w="8644" w:type="dxa"/>
            <w:tcBorders>
              <w:top w:val="nil"/>
            </w:tcBorders>
            <w:shd w:val="clear" w:color="auto" w:fill="D9E0F3"/>
          </w:tcPr>
          <w:p>
            <w:pPr>
              <w:pStyle w:val="TableParagraph"/>
              <w:spacing w:before="27"/>
              <w:ind w:left="398"/>
              <w:rPr>
                <w:rFonts w:ascii="Times New Roman"/>
                <w:b/>
                <w:sz w:val="20"/>
              </w:rPr>
            </w:pPr>
            <w:r>
              <w:rPr>
                <w:rFonts w:ascii="Times New Roman"/>
                <w:b/>
                <w:sz w:val="20"/>
              </w:rPr>
              <w:t>Saldo Inicial em 31/12/2018</w:t>
            </w:r>
          </w:p>
        </w:tc>
        <w:tc>
          <w:tcPr>
            <w:tcW w:w="1270" w:type="dxa"/>
            <w:tcBorders>
              <w:top w:val="nil"/>
            </w:tcBorders>
            <w:shd w:val="clear" w:color="auto" w:fill="D9E0F3"/>
          </w:tcPr>
          <w:p>
            <w:pPr>
              <w:pStyle w:val="TableParagraph"/>
              <w:spacing w:before="27"/>
              <w:ind w:right="86"/>
              <w:jc w:val="right"/>
              <w:rPr>
                <w:rFonts w:ascii="Times New Roman"/>
                <w:b/>
                <w:sz w:val="20"/>
              </w:rPr>
            </w:pPr>
            <w:r>
              <w:rPr>
                <w:rFonts w:ascii="Times New Roman"/>
                <w:b/>
                <w:w w:val="90"/>
                <w:sz w:val="20"/>
              </w:rPr>
              <w:t>537.060</w:t>
            </w:r>
          </w:p>
        </w:tc>
      </w:tr>
      <w:tr>
        <w:trPr>
          <w:trHeight w:val="282" w:hRule="atLeast"/>
        </w:trPr>
        <w:tc>
          <w:tcPr>
            <w:tcW w:w="8644" w:type="dxa"/>
          </w:tcPr>
          <w:p>
            <w:pPr>
              <w:pStyle w:val="TableParagraph"/>
              <w:spacing w:before="26"/>
              <w:ind w:left="398"/>
              <w:rPr>
                <w:rFonts w:ascii="Times New Roman" w:hAnsi="Times New Roman"/>
                <w:b/>
                <w:sz w:val="20"/>
              </w:rPr>
            </w:pPr>
            <w:r>
              <w:rPr>
                <w:rFonts w:ascii="Times New Roman" w:hAnsi="Times New Roman"/>
                <w:b/>
                <w:sz w:val="20"/>
              </w:rPr>
              <w:t>Empréstimos e Financiamentos/Debêntures Obtidos</w:t>
            </w:r>
          </w:p>
        </w:tc>
        <w:tc>
          <w:tcPr>
            <w:tcW w:w="1270" w:type="dxa"/>
          </w:tcPr>
          <w:p>
            <w:pPr>
              <w:pStyle w:val="TableParagraph"/>
              <w:spacing w:before="26"/>
              <w:ind w:right="86"/>
              <w:jc w:val="right"/>
              <w:rPr>
                <w:rFonts w:ascii="Times New Roman"/>
                <w:b/>
                <w:sz w:val="20"/>
              </w:rPr>
            </w:pPr>
            <w:r>
              <w:rPr>
                <w:rFonts w:ascii="Times New Roman"/>
                <w:b/>
                <w:w w:val="90"/>
                <w:sz w:val="20"/>
              </w:rPr>
              <w:t>126.200</w:t>
            </w:r>
          </w:p>
        </w:tc>
      </w:tr>
      <w:tr>
        <w:trPr>
          <w:trHeight w:val="282" w:hRule="atLeast"/>
        </w:trPr>
        <w:tc>
          <w:tcPr>
            <w:tcW w:w="8644" w:type="dxa"/>
            <w:shd w:val="clear" w:color="auto" w:fill="D9E0F3"/>
          </w:tcPr>
          <w:p>
            <w:pPr>
              <w:pStyle w:val="TableParagraph"/>
              <w:spacing w:before="26"/>
              <w:ind w:left="398"/>
              <w:rPr>
                <w:rFonts w:ascii="Times New Roman" w:hAnsi="Times New Roman"/>
                <w:b/>
                <w:sz w:val="20"/>
              </w:rPr>
            </w:pPr>
            <w:r>
              <w:rPr>
                <w:rFonts w:ascii="Times New Roman" w:hAnsi="Times New Roman"/>
                <w:b/>
                <w:sz w:val="20"/>
              </w:rPr>
              <w:t>Encargos Incorridos no Período</w:t>
            </w:r>
          </w:p>
        </w:tc>
        <w:tc>
          <w:tcPr>
            <w:tcW w:w="1270" w:type="dxa"/>
            <w:shd w:val="clear" w:color="auto" w:fill="D9E0F3"/>
          </w:tcPr>
          <w:p>
            <w:pPr>
              <w:pStyle w:val="TableParagraph"/>
              <w:spacing w:before="26"/>
              <w:ind w:right="87"/>
              <w:jc w:val="right"/>
              <w:rPr>
                <w:rFonts w:ascii="Times New Roman"/>
                <w:b/>
                <w:sz w:val="20"/>
              </w:rPr>
            </w:pPr>
            <w:r>
              <w:rPr>
                <w:rFonts w:ascii="Times New Roman"/>
                <w:b/>
                <w:w w:val="90"/>
                <w:sz w:val="20"/>
              </w:rPr>
              <w:t>42.526</w:t>
            </w:r>
          </w:p>
        </w:tc>
      </w:tr>
      <w:tr>
        <w:trPr>
          <w:trHeight w:val="280" w:hRule="atLeast"/>
        </w:trPr>
        <w:tc>
          <w:tcPr>
            <w:tcW w:w="8644" w:type="dxa"/>
          </w:tcPr>
          <w:p>
            <w:pPr>
              <w:pStyle w:val="TableParagraph"/>
              <w:spacing w:before="24"/>
              <w:ind w:left="398"/>
              <w:rPr>
                <w:rFonts w:ascii="Times New Roman"/>
                <w:b/>
                <w:sz w:val="20"/>
              </w:rPr>
            </w:pPr>
            <w:r>
              <w:rPr>
                <w:rFonts w:ascii="Times New Roman"/>
                <w:b/>
                <w:sz w:val="20"/>
              </w:rPr>
              <w:t>Encargos Financeiros Pagos</w:t>
            </w:r>
          </w:p>
        </w:tc>
        <w:tc>
          <w:tcPr>
            <w:tcW w:w="1270" w:type="dxa"/>
          </w:tcPr>
          <w:p>
            <w:pPr>
              <w:pStyle w:val="TableParagraph"/>
              <w:spacing w:before="24"/>
              <w:ind w:right="86"/>
              <w:jc w:val="right"/>
              <w:rPr>
                <w:rFonts w:ascii="Times New Roman"/>
                <w:b/>
                <w:sz w:val="20"/>
              </w:rPr>
            </w:pPr>
            <w:r>
              <w:rPr>
                <w:rFonts w:ascii="Times New Roman"/>
                <w:b/>
                <w:w w:val="90"/>
                <w:sz w:val="20"/>
              </w:rPr>
              <w:t>(49.387)</w:t>
            </w:r>
          </w:p>
        </w:tc>
      </w:tr>
      <w:tr>
        <w:trPr>
          <w:trHeight w:val="282" w:hRule="atLeast"/>
        </w:trPr>
        <w:tc>
          <w:tcPr>
            <w:tcW w:w="8644" w:type="dxa"/>
            <w:shd w:val="clear" w:color="auto" w:fill="D9E0F3"/>
          </w:tcPr>
          <w:p>
            <w:pPr>
              <w:pStyle w:val="TableParagraph"/>
              <w:spacing w:before="26"/>
              <w:ind w:left="398"/>
              <w:rPr>
                <w:rFonts w:ascii="Times New Roman" w:hAnsi="Times New Roman"/>
                <w:b/>
                <w:sz w:val="20"/>
              </w:rPr>
            </w:pPr>
            <w:r>
              <w:rPr>
                <w:rFonts w:ascii="Times New Roman" w:hAnsi="Times New Roman"/>
                <w:b/>
                <w:sz w:val="20"/>
              </w:rPr>
              <w:t>Amortizações de Principal</w:t>
            </w:r>
          </w:p>
        </w:tc>
        <w:tc>
          <w:tcPr>
            <w:tcW w:w="1270" w:type="dxa"/>
            <w:shd w:val="clear" w:color="auto" w:fill="D9E0F3"/>
          </w:tcPr>
          <w:p>
            <w:pPr>
              <w:pStyle w:val="TableParagraph"/>
              <w:spacing w:before="26"/>
              <w:ind w:right="86"/>
              <w:jc w:val="right"/>
              <w:rPr>
                <w:rFonts w:ascii="Times New Roman"/>
                <w:b/>
                <w:sz w:val="20"/>
              </w:rPr>
            </w:pPr>
            <w:r>
              <w:rPr>
                <w:rFonts w:ascii="Times New Roman"/>
                <w:b/>
                <w:w w:val="90"/>
                <w:sz w:val="20"/>
              </w:rPr>
              <w:t>(159.288)</w:t>
            </w:r>
          </w:p>
        </w:tc>
      </w:tr>
      <w:tr>
        <w:trPr>
          <w:trHeight w:val="282" w:hRule="atLeast"/>
        </w:trPr>
        <w:tc>
          <w:tcPr>
            <w:tcW w:w="8644" w:type="dxa"/>
          </w:tcPr>
          <w:p>
            <w:pPr>
              <w:pStyle w:val="TableParagraph"/>
              <w:spacing w:before="26"/>
              <w:ind w:left="398"/>
              <w:rPr>
                <w:rFonts w:ascii="Times New Roman" w:hAnsi="Times New Roman"/>
                <w:b/>
                <w:sz w:val="20"/>
              </w:rPr>
            </w:pPr>
            <w:r>
              <w:rPr>
                <w:rFonts w:ascii="Times New Roman" w:hAnsi="Times New Roman"/>
                <w:b/>
                <w:sz w:val="20"/>
              </w:rPr>
              <w:t>Deságio, Variação Monetária e Custo da Transação</w:t>
            </w:r>
          </w:p>
        </w:tc>
        <w:tc>
          <w:tcPr>
            <w:tcW w:w="1270" w:type="dxa"/>
          </w:tcPr>
          <w:p>
            <w:pPr>
              <w:pStyle w:val="TableParagraph"/>
              <w:spacing w:before="26"/>
              <w:ind w:right="81"/>
              <w:jc w:val="right"/>
              <w:rPr>
                <w:rFonts w:ascii="Times New Roman"/>
                <w:b/>
                <w:sz w:val="20"/>
              </w:rPr>
            </w:pPr>
            <w:r>
              <w:rPr>
                <w:rFonts w:ascii="Times New Roman"/>
                <w:b/>
                <w:sz w:val="20"/>
              </w:rPr>
              <w:t>5.065</w:t>
            </w:r>
          </w:p>
        </w:tc>
      </w:tr>
      <w:tr>
        <w:trPr>
          <w:trHeight w:val="280" w:hRule="atLeast"/>
        </w:trPr>
        <w:tc>
          <w:tcPr>
            <w:tcW w:w="8644" w:type="dxa"/>
            <w:shd w:val="clear" w:color="auto" w:fill="D9E0F3"/>
          </w:tcPr>
          <w:p>
            <w:pPr>
              <w:pStyle w:val="TableParagraph"/>
              <w:spacing w:before="24"/>
              <w:ind w:left="398"/>
              <w:rPr>
                <w:rFonts w:ascii="Times New Roman"/>
                <w:b/>
                <w:sz w:val="20"/>
              </w:rPr>
            </w:pPr>
            <w:r>
              <w:rPr>
                <w:rFonts w:ascii="Times New Roman"/>
                <w:b/>
                <w:sz w:val="20"/>
              </w:rPr>
              <w:t>Saldo Final em 31/12/2019</w:t>
            </w:r>
          </w:p>
        </w:tc>
        <w:tc>
          <w:tcPr>
            <w:tcW w:w="1270" w:type="dxa"/>
            <w:shd w:val="clear" w:color="auto" w:fill="D9E0F3"/>
          </w:tcPr>
          <w:p>
            <w:pPr>
              <w:pStyle w:val="TableParagraph"/>
              <w:spacing w:before="24"/>
              <w:ind w:right="86"/>
              <w:jc w:val="right"/>
              <w:rPr>
                <w:rFonts w:ascii="Times New Roman"/>
                <w:b/>
                <w:sz w:val="20"/>
              </w:rPr>
            </w:pPr>
            <w:r>
              <w:rPr>
                <w:rFonts w:ascii="Times New Roman"/>
                <w:b/>
                <w:w w:val="90"/>
                <w:sz w:val="20"/>
              </w:rPr>
              <w:t>502.176</w:t>
            </w:r>
          </w:p>
        </w:tc>
      </w:tr>
    </w:tbl>
    <w:p>
      <w:pPr>
        <w:pStyle w:val="BodyText"/>
        <w:spacing w:before="8"/>
        <w:rPr>
          <w:rFonts w:ascii="Times New Roman"/>
          <w:sz w:val="29"/>
        </w:rPr>
      </w:pPr>
    </w:p>
    <w:p>
      <w:pPr>
        <w:spacing w:before="1"/>
        <w:ind w:left="350" w:right="0" w:firstLine="0"/>
        <w:jc w:val="left"/>
        <w:rPr>
          <w:rFonts w:ascii="Times New Roman"/>
          <w:b/>
          <w:sz w:val="22"/>
        </w:rPr>
      </w:pPr>
      <w:r>
        <w:rPr>
          <w:rFonts w:ascii="Times New Roman"/>
          <w:b/>
          <w:sz w:val="22"/>
        </w:rPr>
        <w:t>CAPEX</w:t>
      </w:r>
    </w:p>
    <w:p>
      <w:pPr>
        <w:pStyle w:val="BodyText"/>
        <w:spacing w:before="4"/>
        <w:rPr>
          <w:rFonts w:ascii="Times New Roman"/>
          <w:b/>
        </w:rPr>
      </w:pPr>
    </w:p>
    <w:p>
      <w:pPr>
        <w:spacing w:line="360" w:lineRule="auto" w:before="0"/>
        <w:ind w:left="139" w:right="137" w:firstLine="708"/>
        <w:jc w:val="both"/>
        <w:rPr>
          <w:rFonts w:ascii="Times New Roman" w:hAnsi="Times New Roman"/>
          <w:sz w:val="22"/>
        </w:rPr>
      </w:pPr>
      <w:r>
        <w:rPr>
          <w:rFonts w:ascii="Times New Roman" w:hAnsi="Times New Roman"/>
          <w:sz w:val="22"/>
        </w:rPr>
        <w:t>Os principais investimentos realizados no sistema elétrico em 2019 foram norteados, na CEB Distribuição S.A., pelo Plano de Desenvolvimento da Distribuição – PDD, que é atualizado anualmente, e pelo Plano de Melhorias e Providências (PLAMP), solicitado pela ANEEL, cujo objetivo é adequar aos requisitos mínimos de qualidade, confiabilidade, disponibilidade e segurança para as áreas técnica, comercial e econômico-financeira.</w:t>
      </w:r>
    </w:p>
    <w:p>
      <w:pPr>
        <w:spacing w:before="121"/>
        <w:ind w:left="847" w:right="0" w:firstLine="0"/>
        <w:jc w:val="both"/>
        <w:rPr>
          <w:rFonts w:ascii="Times New Roman"/>
          <w:sz w:val="22"/>
        </w:rPr>
      </w:pPr>
      <w:r>
        <w:rPr>
          <w:rFonts w:ascii="Times New Roman"/>
          <w:sz w:val="22"/>
        </w:rPr>
        <w:t>Seguem, abaixo, os principais investimentos:</w:t>
      </w:r>
    </w:p>
    <w:p>
      <w:pPr>
        <w:pStyle w:val="BodyText"/>
        <w:spacing w:before="6"/>
        <w:rPr>
          <w:rFonts w:ascii="Times New Roman"/>
          <w:sz w:val="21"/>
        </w:rPr>
      </w:pPr>
    </w:p>
    <w:p>
      <w:pPr>
        <w:pStyle w:val="ListParagraph"/>
        <w:numPr>
          <w:ilvl w:val="0"/>
          <w:numId w:val="3"/>
        </w:numPr>
        <w:tabs>
          <w:tab w:pos="992" w:val="left" w:leader="none"/>
        </w:tabs>
        <w:spacing w:line="357" w:lineRule="auto" w:before="0" w:after="0"/>
        <w:ind w:left="991" w:right="140" w:hanging="286"/>
        <w:jc w:val="both"/>
        <w:rPr>
          <w:rFonts w:ascii="Times New Roman" w:hAnsi="Times New Roman"/>
          <w:sz w:val="22"/>
        </w:rPr>
      </w:pPr>
      <w:r>
        <w:rPr>
          <w:rFonts w:ascii="Times New Roman" w:hAnsi="Times New Roman"/>
          <w:sz w:val="22"/>
        </w:rPr>
        <w:t>finalizada a obra de implantação da Linha de Interligação 138kV Brasília Leste x Itapoã. Como a obra da Subestação Itapoã, de responsabilidade de particular, não foi sequer iniciada, foi necessária a instalação da SE Móvel da CEB Distribuição no caminhamento da linha para a energização e tomada de carga na linha. A SE Móvel está abastecendo, portanto, cargas da região do Itapoã e</w:t>
      </w:r>
      <w:r>
        <w:rPr>
          <w:rFonts w:ascii="Times New Roman" w:hAnsi="Times New Roman"/>
          <w:spacing w:val="-11"/>
          <w:sz w:val="22"/>
        </w:rPr>
        <w:t> </w:t>
      </w:r>
      <w:r>
        <w:rPr>
          <w:rFonts w:ascii="Times New Roman" w:hAnsi="Times New Roman"/>
          <w:sz w:val="22"/>
        </w:rPr>
        <w:t>Paranoá;</w:t>
      </w:r>
    </w:p>
    <w:p>
      <w:pPr>
        <w:pStyle w:val="ListParagraph"/>
        <w:numPr>
          <w:ilvl w:val="0"/>
          <w:numId w:val="3"/>
        </w:numPr>
        <w:tabs>
          <w:tab w:pos="992" w:val="left" w:leader="none"/>
        </w:tabs>
        <w:spacing w:line="357" w:lineRule="auto" w:before="2" w:after="0"/>
        <w:ind w:left="991" w:right="136" w:hanging="286"/>
        <w:jc w:val="both"/>
        <w:rPr>
          <w:rFonts w:ascii="Times New Roman" w:hAnsi="Times New Roman"/>
          <w:sz w:val="22"/>
        </w:rPr>
      </w:pPr>
      <w:r>
        <w:rPr>
          <w:rFonts w:ascii="Times New Roman" w:hAnsi="Times New Roman"/>
          <w:sz w:val="22"/>
        </w:rPr>
        <w:t>a obra de implantação dos trechos aéreos das linhas 138kV Brasília Leste x Mangueiral-Brasília Centro-06 foi abandonada</w:t>
      </w:r>
      <w:r>
        <w:rPr>
          <w:rFonts w:ascii="Times New Roman" w:hAnsi="Times New Roman"/>
          <w:spacing w:val="-9"/>
          <w:sz w:val="22"/>
        </w:rPr>
        <w:t> </w:t>
      </w:r>
      <w:r>
        <w:rPr>
          <w:rFonts w:ascii="Times New Roman" w:hAnsi="Times New Roman"/>
          <w:sz w:val="22"/>
        </w:rPr>
        <w:t>pela</w:t>
      </w:r>
      <w:r>
        <w:rPr>
          <w:rFonts w:ascii="Times New Roman" w:hAnsi="Times New Roman"/>
          <w:spacing w:val="-9"/>
          <w:sz w:val="22"/>
        </w:rPr>
        <w:t> </w:t>
      </w:r>
      <w:r>
        <w:rPr>
          <w:rFonts w:ascii="Times New Roman" w:hAnsi="Times New Roman"/>
          <w:sz w:val="22"/>
        </w:rPr>
        <w:t>contratada,</w:t>
      </w:r>
      <w:r>
        <w:rPr>
          <w:rFonts w:ascii="Times New Roman" w:hAnsi="Times New Roman"/>
          <w:spacing w:val="-9"/>
          <w:sz w:val="22"/>
        </w:rPr>
        <w:t> </w:t>
      </w:r>
      <w:r>
        <w:rPr>
          <w:rFonts w:ascii="Times New Roman" w:hAnsi="Times New Roman"/>
          <w:sz w:val="22"/>
        </w:rPr>
        <w:t>que</w:t>
      </w:r>
      <w:r>
        <w:rPr>
          <w:rFonts w:ascii="Times New Roman" w:hAnsi="Times New Roman"/>
          <w:spacing w:val="-9"/>
          <w:sz w:val="22"/>
        </w:rPr>
        <w:t> </w:t>
      </w:r>
      <w:r>
        <w:rPr>
          <w:rFonts w:ascii="Times New Roman" w:hAnsi="Times New Roman"/>
          <w:sz w:val="22"/>
        </w:rPr>
        <w:t>acabou</w:t>
      </w:r>
      <w:r>
        <w:rPr>
          <w:rFonts w:ascii="Times New Roman" w:hAnsi="Times New Roman"/>
          <w:spacing w:val="-9"/>
          <w:sz w:val="22"/>
        </w:rPr>
        <w:t> </w:t>
      </w:r>
      <w:r>
        <w:rPr>
          <w:rFonts w:ascii="Times New Roman" w:hAnsi="Times New Roman"/>
          <w:sz w:val="22"/>
        </w:rPr>
        <w:t>por</w:t>
      </w:r>
      <w:r>
        <w:rPr>
          <w:rFonts w:ascii="Times New Roman" w:hAnsi="Times New Roman"/>
          <w:spacing w:val="-11"/>
          <w:sz w:val="22"/>
        </w:rPr>
        <w:t> </w:t>
      </w:r>
      <w:r>
        <w:rPr>
          <w:rFonts w:ascii="Times New Roman" w:hAnsi="Times New Roman"/>
          <w:sz w:val="22"/>
        </w:rPr>
        <w:t>ter</w:t>
      </w:r>
      <w:r>
        <w:rPr>
          <w:rFonts w:ascii="Times New Roman" w:hAnsi="Times New Roman"/>
          <w:spacing w:val="-9"/>
          <w:sz w:val="22"/>
        </w:rPr>
        <w:t> </w:t>
      </w:r>
      <w:r>
        <w:rPr>
          <w:rFonts w:ascii="Times New Roman" w:hAnsi="Times New Roman"/>
          <w:sz w:val="22"/>
        </w:rPr>
        <w:t>seu</w:t>
      </w:r>
      <w:r>
        <w:rPr>
          <w:rFonts w:ascii="Times New Roman" w:hAnsi="Times New Roman"/>
          <w:spacing w:val="-9"/>
          <w:sz w:val="22"/>
        </w:rPr>
        <w:t> </w:t>
      </w:r>
      <w:r>
        <w:rPr>
          <w:rFonts w:ascii="Times New Roman" w:hAnsi="Times New Roman"/>
          <w:sz w:val="22"/>
        </w:rPr>
        <w:t>contrato</w:t>
      </w:r>
      <w:r>
        <w:rPr>
          <w:rFonts w:ascii="Times New Roman" w:hAnsi="Times New Roman"/>
          <w:spacing w:val="-10"/>
          <w:sz w:val="22"/>
        </w:rPr>
        <w:t> </w:t>
      </w:r>
      <w:r>
        <w:rPr>
          <w:rFonts w:ascii="Times New Roman" w:hAnsi="Times New Roman"/>
          <w:sz w:val="22"/>
        </w:rPr>
        <w:t>rescindido</w:t>
      </w:r>
      <w:r>
        <w:rPr>
          <w:rFonts w:ascii="Times New Roman" w:hAnsi="Times New Roman"/>
          <w:spacing w:val="-9"/>
          <w:sz w:val="22"/>
        </w:rPr>
        <w:t> </w:t>
      </w:r>
      <w:r>
        <w:rPr>
          <w:rFonts w:ascii="Times New Roman" w:hAnsi="Times New Roman"/>
          <w:sz w:val="22"/>
        </w:rPr>
        <w:t>unilateralmente</w:t>
      </w:r>
      <w:r>
        <w:rPr>
          <w:rFonts w:ascii="Times New Roman" w:hAnsi="Times New Roman"/>
          <w:spacing w:val="-9"/>
          <w:sz w:val="22"/>
        </w:rPr>
        <w:t> </w:t>
      </w:r>
      <w:r>
        <w:rPr>
          <w:rFonts w:ascii="Times New Roman" w:hAnsi="Times New Roman"/>
          <w:sz w:val="22"/>
        </w:rPr>
        <w:t>pela</w:t>
      </w:r>
      <w:r>
        <w:rPr>
          <w:rFonts w:ascii="Times New Roman" w:hAnsi="Times New Roman"/>
          <w:spacing w:val="-8"/>
          <w:sz w:val="22"/>
        </w:rPr>
        <w:t> </w:t>
      </w:r>
      <w:r>
        <w:rPr>
          <w:rFonts w:ascii="Times New Roman" w:hAnsi="Times New Roman"/>
          <w:sz w:val="22"/>
        </w:rPr>
        <w:t>CEB</w:t>
      </w:r>
      <w:r>
        <w:rPr>
          <w:rFonts w:ascii="Times New Roman" w:hAnsi="Times New Roman"/>
          <w:spacing w:val="-11"/>
          <w:sz w:val="22"/>
        </w:rPr>
        <w:t> </w:t>
      </w:r>
      <w:r>
        <w:rPr>
          <w:rFonts w:ascii="Times New Roman" w:hAnsi="Times New Roman"/>
          <w:sz w:val="22"/>
        </w:rPr>
        <w:t>Distribuição. Devido a esse problema, foi iniciado novo processo licitatório para a contratação dos serviços remanescentes da obra;</w:t>
      </w:r>
    </w:p>
    <w:p>
      <w:pPr>
        <w:pStyle w:val="ListParagraph"/>
        <w:numPr>
          <w:ilvl w:val="0"/>
          <w:numId w:val="3"/>
        </w:numPr>
        <w:tabs>
          <w:tab w:pos="992" w:val="left" w:leader="none"/>
        </w:tabs>
        <w:spacing w:line="355" w:lineRule="auto" w:before="1" w:after="0"/>
        <w:ind w:left="991" w:right="137" w:hanging="286"/>
        <w:jc w:val="both"/>
        <w:rPr>
          <w:rFonts w:ascii="Times New Roman" w:hAnsi="Times New Roman"/>
          <w:sz w:val="22"/>
        </w:rPr>
      </w:pPr>
      <w:r>
        <w:rPr>
          <w:rFonts w:ascii="Times New Roman" w:hAnsi="Times New Roman"/>
          <w:sz w:val="22"/>
        </w:rPr>
        <w:t>foi licitado o projeto básico para contratação da obra de implantação do trecho sublacustre e subterrâneo das linhas</w:t>
      </w:r>
      <w:r>
        <w:rPr>
          <w:rFonts w:ascii="Times New Roman" w:hAnsi="Times New Roman"/>
          <w:spacing w:val="-10"/>
          <w:sz w:val="22"/>
        </w:rPr>
        <w:t> </w:t>
      </w:r>
      <w:r>
        <w:rPr>
          <w:rFonts w:ascii="Times New Roman" w:hAnsi="Times New Roman"/>
          <w:sz w:val="22"/>
        </w:rPr>
        <w:t>que</w:t>
      </w:r>
      <w:r>
        <w:rPr>
          <w:rFonts w:ascii="Times New Roman" w:hAnsi="Times New Roman"/>
          <w:spacing w:val="-11"/>
          <w:sz w:val="22"/>
        </w:rPr>
        <w:t> </w:t>
      </w:r>
      <w:r>
        <w:rPr>
          <w:rFonts w:ascii="Times New Roman" w:hAnsi="Times New Roman"/>
          <w:sz w:val="22"/>
        </w:rPr>
        <w:t>irão</w:t>
      </w:r>
      <w:r>
        <w:rPr>
          <w:rFonts w:ascii="Times New Roman" w:hAnsi="Times New Roman"/>
          <w:spacing w:val="-10"/>
          <w:sz w:val="22"/>
        </w:rPr>
        <w:t> </w:t>
      </w:r>
      <w:r>
        <w:rPr>
          <w:rFonts w:ascii="Times New Roman" w:hAnsi="Times New Roman"/>
          <w:sz w:val="22"/>
        </w:rPr>
        <w:t>conectar</w:t>
      </w:r>
      <w:r>
        <w:rPr>
          <w:rFonts w:ascii="Times New Roman" w:hAnsi="Times New Roman"/>
          <w:spacing w:val="-10"/>
          <w:sz w:val="22"/>
        </w:rPr>
        <w:t> </w:t>
      </w:r>
      <w:r>
        <w:rPr>
          <w:rFonts w:ascii="Times New Roman" w:hAnsi="Times New Roman"/>
          <w:sz w:val="22"/>
        </w:rPr>
        <w:t>a</w:t>
      </w:r>
      <w:r>
        <w:rPr>
          <w:rFonts w:ascii="Times New Roman" w:hAnsi="Times New Roman"/>
          <w:spacing w:val="-10"/>
          <w:sz w:val="22"/>
        </w:rPr>
        <w:t> </w:t>
      </w:r>
      <w:r>
        <w:rPr>
          <w:rFonts w:ascii="Times New Roman" w:hAnsi="Times New Roman"/>
          <w:sz w:val="22"/>
        </w:rPr>
        <w:t>Subestação</w:t>
      </w:r>
      <w:r>
        <w:rPr>
          <w:rFonts w:ascii="Times New Roman" w:hAnsi="Times New Roman"/>
          <w:spacing w:val="-11"/>
          <w:sz w:val="22"/>
        </w:rPr>
        <w:t> </w:t>
      </w:r>
      <w:r>
        <w:rPr>
          <w:rFonts w:ascii="Times New Roman" w:hAnsi="Times New Roman"/>
          <w:sz w:val="22"/>
        </w:rPr>
        <w:t>Brasília</w:t>
      </w:r>
      <w:r>
        <w:rPr>
          <w:rFonts w:ascii="Times New Roman" w:hAnsi="Times New Roman"/>
          <w:spacing w:val="-10"/>
          <w:sz w:val="22"/>
        </w:rPr>
        <w:t> </w:t>
      </w:r>
      <w:r>
        <w:rPr>
          <w:rFonts w:ascii="Times New Roman" w:hAnsi="Times New Roman"/>
          <w:sz w:val="22"/>
        </w:rPr>
        <w:t>Leste</w:t>
      </w:r>
      <w:r>
        <w:rPr>
          <w:rFonts w:ascii="Times New Roman" w:hAnsi="Times New Roman"/>
          <w:spacing w:val="-11"/>
          <w:sz w:val="22"/>
        </w:rPr>
        <w:t> </w:t>
      </w:r>
      <w:r>
        <w:rPr>
          <w:rFonts w:ascii="Times New Roman" w:hAnsi="Times New Roman"/>
          <w:sz w:val="22"/>
        </w:rPr>
        <w:t>às</w:t>
      </w:r>
      <w:r>
        <w:rPr>
          <w:rFonts w:ascii="Times New Roman" w:hAnsi="Times New Roman"/>
          <w:spacing w:val="-12"/>
          <w:sz w:val="22"/>
        </w:rPr>
        <w:t> </w:t>
      </w:r>
      <w:r>
        <w:rPr>
          <w:rFonts w:ascii="Times New Roman" w:hAnsi="Times New Roman"/>
          <w:sz w:val="22"/>
        </w:rPr>
        <w:t>subestações</w:t>
      </w:r>
      <w:r>
        <w:rPr>
          <w:rFonts w:ascii="Times New Roman" w:hAnsi="Times New Roman"/>
          <w:spacing w:val="-10"/>
          <w:sz w:val="22"/>
        </w:rPr>
        <w:t> </w:t>
      </w:r>
      <w:r>
        <w:rPr>
          <w:rFonts w:ascii="Times New Roman" w:hAnsi="Times New Roman"/>
          <w:sz w:val="22"/>
        </w:rPr>
        <w:t>Brasília</w:t>
      </w:r>
      <w:r>
        <w:rPr>
          <w:rFonts w:ascii="Times New Roman" w:hAnsi="Times New Roman"/>
          <w:spacing w:val="-4"/>
          <w:sz w:val="22"/>
        </w:rPr>
        <w:t> </w:t>
      </w:r>
      <w:r>
        <w:rPr>
          <w:rFonts w:ascii="Times New Roman" w:hAnsi="Times New Roman"/>
          <w:sz w:val="22"/>
        </w:rPr>
        <w:t>Centro</w:t>
      </w:r>
      <w:r>
        <w:rPr>
          <w:rFonts w:ascii="Times New Roman" w:hAnsi="Times New Roman"/>
          <w:spacing w:val="-13"/>
          <w:sz w:val="22"/>
        </w:rPr>
        <w:t> </w:t>
      </w:r>
      <w:r>
        <w:rPr>
          <w:rFonts w:ascii="Times New Roman" w:hAnsi="Times New Roman"/>
          <w:sz w:val="22"/>
        </w:rPr>
        <w:t>e</w:t>
      </w:r>
      <w:r>
        <w:rPr>
          <w:rFonts w:ascii="Times New Roman" w:hAnsi="Times New Roman"/>
          <w:spacing w:val="-10"/>
          <w:sz w:val="22"/>
        </w:rPr>
        <w:t> </w:t>
      </w:r>
      <w:r>
        <w:rPr>
          <w:rFonts w:ascii="Times New Roman" w:hAnsi="Times New Roman"/>
          <w:sz w:val="22"/>
        </w:rPr>
        <w:t>Subestação</w:t>
      </w:r>
      <w:r>
        <w:rPr>
          <w:rFonts w:ascii="Times New Roman" w:hAnsi="Times New Roman"/>
          <w:spacing w:val="-11"/>
          <w:sz w:val="22"/>
        </w:rPr>
        <w:t> </w:t>
      </w:r>
      <w:r>
        <w:rPr>
          <w:rFonts w:ascii="Times New Roman" w:hAnsi="Times New Roman"/>
          <w:sz w:val="22"/>
        </w:rPr>
        <w:t>06.</w:t>
      </w:r>
      <w:r>
        <w:rPr>
          <w:rFonts w:ascii="Times New Roman" w:hAnsi="Times New Roman"/>
          <w:spacing w:val="-10"/>
          <w:sz w:val="22"/>
        </w:rPr>
        <w:t> </w:t>
      </w:r>
      <w:r>
        <w:rPr>
          <w:rFonts w:ascii="Times New Roman" w:hAnsi="Times New Roman"/>
          <w:sz w:val="22"/>
        </w:rPr>
        <w:t>O</w:t>
      </w:r>
      <w:r>
        <w:rPr>
          <w:rFonts w:ascii="Times New Roman" w:hAnsi="Times New Roman"/>
          <w:spacing w:val="-12"/>
          <w:sz w:val="22"/>
        </w:rPr>
        <w:t> </w:t>
      </w:r>
      <w:r>
        <w:rPr>
          <w:rFonts w:ascii="Times New Roman" w:hAnsi="Times New Roman"/>
          <w:sz w:val="22"/>
        </w:rPr>
        <w:t>processo licitatório foi fracassado e foi iniciado novo processo que está na fase interna de</w:t>
      </w:r>
      <w:r>
        <w:rPr>
          <w:rFonts w:ascii="Times New Roman" w:hAnsi="Times New Roman"/>
          <w:spacing w:val="-13"/>
          <w:sz w:val="22"/>
        </w:rPr>
        <w:t> </w:t>
      </w:r>
      <w:r>
        <w:rPr>
          <w:rFonts w:ascii="Times New Roman" w:hAnsi="Times New Roman"/>
          <w:sz w:val="22"/>
        </w:rPr>
        <w:t>licitação;</w:t>
      </w:r>
    </w:p>
    <w:p>
      <w:pPr>
        <w:pStyle w:val="ListParagraph"/>
        <w:numPr>
          <w:ilvl w:val="0"/>
          <w:numId w:val="3"/>
        </w:numPr>
        <w:tabs>
          <w:tab w:pos="992" w:val="left" w:leader="none"/>
        </w:tabs>
        <w:spacing w:line="355" w:lineRule="auto" w:before="6" w:after="0"/>
        <w:ind w:left="991" w:right="141" w:hanging="286"/>
        <w:jc w:val="both"/>
        <w:rPr>
          <w:rFonts w:ascii="Times New Roman" w:hAnsi="Times New Roman"/>
          <w:sz w:val="22"/>
        </w:rPr>
      </w:pPr>
      <w:r>
        <w:rPr>
          <w:rFonts w:ascii="Times New Roman" w:hAnsi="Times New Roman"/>
          <w:sz w:val="22"/>
        </w:rPr>
        <w:t>foi fracassado também o processo licitatório para a obra de linha que conectará a futura Subestação Itapoã à Subestação Sobradinho Transmissão. Foi, então, iniciado novo processo licitatório, que já foi publicado e tem previsão de abertura da fase de lances para fevereiro de</w:t>
      </w:r>
      <w:r>
        <w:rPr>
          <w:rFonts w:ascii="Times New Roman" w:hAnsi="Times New Roman"/>
          <w:spacing w:val="-10"/>
          <w:sz w:val="22"/>
        </w:rPr>
        <w:t> </w:t>
      </w:r>
      <w:r>
        <w:rPr>
          <w:rFonts w:ascii="Times New Roman" w:hAnsi="Times New Roman"/>
          <w:sz w:val="22"/>
        </w:rPr>
        <w:t>2020;</w:t>
      </w:r>
    </w:p>
    <w:p>
      <w:pPr>
        <w:pStyle w:val="ListParagraph"/>
        <w:numPr>
          <w:ilvl w:val="0"/>
          <w:numId w:val="3"/>
        </w:numPr>
        <w:tabs>
          <w:tab w:pos="992" w:val="left" w:leader="none"/>
        </w:tabs>
        <w:spacing w:line="355" w:lineRule="auto" w:before="8" w:after="0"/>
        <w:ind w:left="991" w:right="135" w:hanging="286"/>
        <w:jc w:val="both"/>
        <w:rPr>
          <w:rFonts w:ascii="Times New Roman" w:hAnsi="Times New Roman"/>
          <w:sz w:val="22"/>
        </w:rPr>
      </w:pPr>
      <w:r>
        <w:rPr>
          <w:rFonts w:ascii="Times New Roman" w:hAnsi="Times New Roman"/>
          <w:sz w:val="22"/>
        </w:rPr>
        <w:t>iniciada a obra de ampliação da Subestação de Ceilândia Norte com a instalação de dois </w:t>
      </w:r>
      <w:r>
        <w:rPr>
          <w:rFonts w:ascii="Times New Roman" w:hAnsi="Times New Roman"/>
          <w:i/>
          <w:sz w:val="22"/>
        </w:rPr>
        <w:t>bays </w:t>
      </w:r>
      <w:r>
        <w:rPr>
          <w:rFonts w:ascii="Times New Roman" w:hAnsi="Times New Roman"/>
          <w:sz w:val="22"/>
        </w:rPr>
        <w:t>de linha, proporcionando maior confiabilidade ao conjunto elétrico e adjacências, em consonância com o que foi estabelecido no</w:t>
      </w:r>
      <w:r>
        <w:rPr>
          <w:rFonts w:ascii="Times New Roman" w:hAnsi="Times New Roman"/>
          <w:spacing w:val="-1"/>
          <w:sz w:val="22"/>
        </w:rPr>
        <w:t> </w:t>
      </w:r>
      <w:r>
        <w:rPr>
          <w:rFonts w:ascii="Times New Roman" w:hAnsi="Times New Roman"/>
          <w:sz w:val="22"/>
        </w:rPr>
        <w:t>PLAMP;</w:t>
      </w:r>
    </w:p>
    <w:p>
      <w:pPr>
        <w:pStyle w:val="ListParagraph"/>
        <w:numPr>
          <w:ilvl w:val="0"/>
          <w:numId w:val="3"/>
        </w:numPr>
        <w:tabs>
          <w:tab w:pos="992" w:val="left" w:leader="none"/>
        </w:tabs>
        <w:spacing w:line="350" w:lineRule="auto" w:before="6" w:after="0"/>
        <w:ind w:left="991" w:right="139" w:hanging="286"/>
        <w:jc w:val="both"/>
        <w:rPr>
          <w:rFonts w:ascii="Times New Roman" w:hAnsi="Times New Roman"/>
          <w:sz w:val="22"/>
        </w:rPr>
      </w:pPr>
      <w:r>
        <w:rPr>
          <w:rFonts w:ascii="Times New Roman" w:hAnsi="Times New Roman"/>
          <w:sz w:val="22"/>
        </w:rPr>
        <w:t>foi iniciada a obra de implantação da nova Subestação 08, com previsão para conclusão em outubro de 2020, que</w:t>
      </w:r>
      <w:r>
        <w:rPr>
          <w:rFonts w:ascii="Times New Roman" w:hAnsi="Times New Roman"/>
          <w:spacing w:val="-4"/>
          <w:sz w:val="22"/>
        </w:rPr>
        <w:t> </w:t>
      </w:r>
      <w:r>
        <w:rPr>
          <w:rFonts w:ascii="Times New Roman" w:hAnsi="Times New Roman"/>
          <w:sz w:val="22"/>
        </w:rPr>
        <w:t>irá</w:t>
      </w:r>
      <w:r>
        <w:rPr>
          <w:rFonts w:ascii="Times New Roman" w:hAnsi="Times New Roman"/>
          <w:spacing w:val="-3"/>
          <w:sz w:val="22"/>
        </w:rPr>
        <w:t> </w:t>
      </w:r>
      <w:r>
        <w:rPr>
          <w:rFonts w:ascii="Times New Roman" w:hAnsi="Times New Roman"/>
          <w:sz w:val="22"/>
        </w:rPr>
        <w:t>proporcionar</w:t>
      </w:r>
      <w:r>
        <w:rPr>
          <w:rFonts w:ascii="Times New Roman" w:hAnsi="Times New Roman"/>
          <w:spacing w:val="-3"/>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liberação</w:t>
      </w:r>
      <w:r>
        <w:rPr>
          <w:rFonts w:ascii="Times New Roman" w:hAnsi="Times New Roman"/>
          <w:spacing w:val="-3"/>
          <w:sz w:val="22"/>
        </w:rPr>
        <w:t> </w:t>
      </w:r>
      <w:r>
        <w:rPr>
          <w:rFonts w:ascii="Times New Roman" w:hAnsi="Times New Roman"/>
          <w:sz w:val="22"/>
        </w:rPr>
        <w:t>do</w:t>
      </w:r>
      <w:r>
        <w:rPr>
          <w:rFonts w:ascii="Times New Roman" w:hAnsi="Times New Roman"/>
          <w:spacing w:val="-6"/>
          <w:sz w:val="22"/>
        </w:rPr>
        <w:t> </w:t>
      </w:r>
      <w:r>
        <w:rPr>
          <w:rFonts w:ascii="Times New Roman" w:hAnsi="Times New Roman"/>
          <w:sz w:val="22"/>
        </w:rPr>
        <w:t>lote</w:t>
      </w:r>
      <w:r>
        <w:rPr>
          <w:rFonts w:ascii="Times New Roman" w:hAnsi="Times New Roman"/>
          <w:spacing w:val="-3"/>
          <w:sz w:val="22"/>
        </w:rPr>
        <w:t> </w:t>
      </w:r>
      <w:r>
        <w:rPr>
          <w:rFonts w:ascii="Times New Roman" w:hAnsi="Times New Roman"/>
          <w:sz w:val="22"/>
        </w:rPr>
        <w:t>da</w:t>
      </w:r>
      <w:r>
        <w:rPr>
          <w:rFonts w:ascii="Times New Roman" w:hAnsi="Times New Roman"/>
          <w:spacing w:val="-4"/>
          <w:sz w:val="22"/>
        </w:rPr>
        <w:t> </w:t>
      </w:r>
      <w:r>
        <w:rPr>
          <w:rFonts w:ascii="Times New Roman" w:hAnsi="Times New Roman"/>
          <w:sz w:val="22"/>
        </w:rPr>
        <w:t>Usina</w:t>
      </w:r>
      <w:r>
        <w:rPr>
          <w:rFonts w:ascii="Times New Roman" w:hAnsi="Times New Roman"/>
          <w:spacing w:val="-6"/>
          <w:sz w:val="22"/>
        </w:rPr>
        <w:t> </w:t>
      </w:r>
      <w:r>
        <w:rPr>
          <w:rFonts w:ascii="Times New Roman" w:hAnsi="Times New Roman"/>
          <w:sz w:val="22"/>
        </w:rPr>
        <w:t>Térmica</w:t>
      </w:r>
      <w:r>
        <w:rPr>
          <w:rFonts w:ascii="Times New Roman" w:hAnsi="Times New Roman"/>
          <w:spacing w:val="-3"/>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CEB</w:t>
      </w:r>
      <w:r>
        <w:rPr>
          <w:rFonts w:ascii="Times New Roman" w:hAnsi="Times New Roman"/>
          <w:spacing w:val="-5"/>
          <w:sz w:val="22"/>
        </w:rPr>
        <w:t> </w:t>
      </w:r>
      <w:r>
        <w:rPr>
          <w:rFonts w:ascii="Times New Roman" w:hAnsi="Times New Roman"/>
          <w:sz w:val="22"/>
        </w:rPr>
        <w:t>Geração</w:t>
      </w:r>
      <w:r>
        <w:rPr>
          <w:rFonts w:ascii="Times New Roman" w:hAnsi="Times New Roman"/>
          <w:spacing w:val="-4"/>
          <w:sz w:val="22"/>
        </w:rPr>
        <w:t> </w:t>
      </w:r>
      <w:r>
        <w:rPr>
          <w:rFonts w:ascii="Times New Roman" w:hAnsi="Times New Roman"/>
          <w:sz w:val="22"/>
        </w:rPr>
        <w:t>para</w:t>
      </w:r>
      <w:r>
        <w:rPr>
          <w:rFonts w:ascii="Times New Roman" w:hAnsi="Times New Roman"/>
          <w:spacing w:val="-3"/>
          <w:sz w:val="22"/>
        </w:rPr>
        <w:t> </w:t>
      </w:r>
      <w:r>
        <w:rPr>
          <w:rFonts w:ascii="Times New Roman" w:hAnsi="Times New Roman"/>
          <w:sz w:val="22"/>
        </w:rPr>
        <w:t>entrega</w:t>
      </w:r>
      <w:r>
        <w:rPr>
          <w:rFonts w:ascii="Times New Roman" w:hAnsi="Times New Roman"/>
          <w:spacing w:val="-3"/>
          <w:sz w:val="22"/>
        </w:rPr>
        <w:t> </w:t>
      </w:r>
      <w:r>
        <w:rPr>
          <w:rFonts w:ascii="Times New Roman" w:hAnsi="Times New Roman"/>
          <w:sz w:val="22"/>
        </w:rPr>
        <w:t>do</w:t>
      </w:r>
      <w:r>
        <w:rPr>
          <w:rFonts w:ascii="Times New Roman" w:hAnsi="Times New Roman"/>
          <w:spacing w:val="-7"/>
          <w:sz w:val="22"/>
        </w:rPr>
        <w:t> </w:t>
      </w:r>
      <w:r>
        <w:rPr>
          <w:rFonts w:ascii="Times New Roman" w:hAnsi="Times New Roman"/>
          <w:sz w:val="22"/>
        </w:rPr>
        <w:t>comprador</w:t>
      </w:r>
      <w:r>
        <w:rPr>
          <w:rFonts w:ascii="Times New Roman" w:hAnsi="Times New Roman"/>
          <w:spacing w:val="-5"/>
          <w:sz w:val="22"/>
        </w:rPr>
        <w:t> </w:t>
      </w:r>
      <w:r>
        <w:rPr>
          <w:rFonts w:ascii="Times New Roman" w:hAnsi="Times New Roman"/>
          <w:sz w:val="22"/>
        </w:rPr>
        <w:t>do</w:t>
      </w:r>
      <w:r>
        <w:rPr>
          <w:rFonts w:ascii="Times New Roman" w:hAnsi="Times New Roman"/>
          <w:spacing w:val="-4"/>
          <w:sz w:val="22"/>
        </w:rPr>
        <w:t> </w:t>
      </w:r>
      <w:r>
        <w:rPr>
          <w:rFonts w:ascii="Times New Roman" w:hAnsi="Times New Roman"/>
          <w:sz w:val="22"/>
        </w:rPr>
        <w:t>lote;</w:t>
      </w:r>
    </w:p>
    <w:p>
      <w:pPr>
        <w:spacing w:after="0" w:line="350" w:lineRule="auto"/>
        <w:jc w:val="both"/>
        <w:rPr>
          <w:rFonts w:ascii="Times New Roman" w:hAnsi="Times New Roman"/>
          <w:sz w:val="22"/>
        </w:rPr>
        <w:sectPr>
          <w:headerReference w:type="default" r:id="rId45"/>
          <w:footerReference w:type="default" r:id="rId46"/>
          <w:pgSz w:w="11920" w:h="16860"/>
          <w:pgMar w:header="544" w:footer="302" w:top="1360" w:bottom="500" w:left="780" w:right="280"/>
          <w:pgNumType w:start="25"/>
        </w:sectPr>
      </w:pPr>
    </w:p>
    <w:p>
      <w:pPr>
        <w:pStyle w:val="BodyText"/>
        <w:spacing w:before="10"/>
        <w:rPr>
          <w:rFonts w:ascii="Times New Roman"/>
          <w:sz w:val="22"/>
        </w:rPr>
      </w:pPr>
    </w:p>
    <w:p>
      <w:pPr>
        <w:pStyle w:val="ListParagraph"/>
        <w:numPr>
          <w:ilvl w:val="0"/>
          <w:numId w:val="4"/>
        </w:numPr>
        <w:tabs>
          <w:tab w:pos="991" w:val="left" w:leader="none"/>
          <w:tab w:pos="992" w:val="left" w:leader="none"/>
        </w:tabs>
        <w:spacing w:line="240" w:lineRule="auto" w:before="101" w:after="0"/>
        <w:ind w:left="991" w:right="0" w:hanging="361"/>
        <w:jc w:val="left"/>
        <w:rPr>
          <w:rFonts w:ascii="Times New Roman" w:hAnsi="Times New Roman"/>
          <w:sz w:val="22"/>
        </w:rPr>
      </w:pPr>
      <w:r>
        <w:rPr>
          <w:rFonts w:ascii="Times New Roman" w:hAnsi="Times New Roman"/>
          <w:sz w:val="22"/>
        </w:rPr>
        <w:t>contratação da a Obra de Retrofit da barra da Subestação de</w:t>
      </w:r>
      <w:r>
        <w:rPr>
          <w:rFonts w:ascii="Times New Roman" w:hAnsi="Times New Roman"/>
          <w:spacing w:val="-7"/>
          <w:sz w:val="22"/>
        </w:rPr>
        <w:t> </w:t>
      </w:r>
      <w:r>
        <w:rPr>
          <w:rFonts w:ascii="Times New Roman" w:hAnsi="Times New Roman"/>
          <w:sz w:val="22"/>
        </w:rPr>
        <w:t>Sobradinho:</w:t>
      </w:r>
    </w:p>
    <w:p>
      <w:pPr>
        <w:pStyle w:val="ListParagraph"/>
        <w:numPr>
          <w:ilvl w:val="1"/>
          <w:numId w:val="4"/>
        </w:numPr>
        <w:tabs>
          <w:tab w:pos="1712" w:val="left" w:leader="none"/>
        </w:tabs>
        <w:spacing w:line="240" w:lineRule="auto" w:before="123" w:after="0"/>
        <w:ind w:left="1711" w:right="0" w:hanging="361"/>
        <w:jc w:val="left"/>
        <w:rPr>
          <w:rFonts w:ascii="Times New Roman" w:hAnsi="Times New Roman"/>
          <w:sz w:val="22"/>
        </w:rPr>
      </w:pPr>
      <w:r>
        <w:rPr>
          <w:rFonts w:ascii="Times New Roman" w:hAnsi="Times New Roman"/>
          <w:sz w:val="22"/>
        </w:rPr>
        <w:t>Conclusão em</w:t>
      </w:r>
      <w:r>
        <w:rPr>
          <w:rFonts w:ascii="Times New Roman" w:hAnsi="Times New Roman"/>
          <w:spacing w:val="-4"/>
          <w:sz w:val="22"/>
        </w:rPr>
        <w:t> </w:t>
      </w:r>
      <w:r>
        <w:rPr>
          <w:rFonts w:ascii="Times New Roman" w:hAnsi="Times New Roman"/>
          <w:sz w:val="22"/>
        </w:rPr>
        <w:t>2019;</w:t>
      </w:r>
    </w:p>
    <w:p>
      <w:pPr>
        <w:pStyle w:val="ListParagraph"/>
        <w:numPr>
          <w:ilvl w:val="1"/>
          <w:numId w:val="4"/>
        </w:numPr>
        <w:tabs>
          <w:tab w:pos="1712" w:val="left" w:leader="none"/>
        </w:tabs>
        <w:spacing w:line="240" w:lineRule="auto" w:before="129" w:after="0"/>
        <w:ind w:left="1711" w:right="0" w:hanging="361"/>
        <w:jc w:val="left"/>
        <w:rPr>
          <w:rFonts w:ascii="Times New Roman" w:hAnsi="Times New Roman"/>
          <w:sz w:val="22"/>
        </w:rPr>
      </w:pPr>
      <w:r>
        <w:rPr>
          <w:rFonts w:ascii="Times New Roman" w:hAnsi="Times New Roman"/>
          <w:sz w:val="22"/>
        </w:rPr>
        <w:t>Objetivo: Proporcionar maior confiabilidade ao sistema</w:t>
      </w:r>
      <w:r>
        <w:rPr>
          <w:rFonts w:ascii="Times New Roman" w:hAnsi="Times New Roman"/>
          <w:spacing w:val="-2"/>
          <w:sz w:val="22"/>
        </w:rPr>
        <w:t> </w:t>
      </w:r>
      <w:r>
        <w:rPr>
          <w:rFonts w:ascii="Times New Roman" w:hAnsi="Times New Roman"/>
          <w:sz w:val="22"/>
        </w:rPr>
        <w:t>elétrico;</w:t>
      </w:r>
    </w:p>
    <w:p>
      <w:pPr>
        <w:pStyle w:val="ListParagraph"/>
        <w:numPr>
          <w:ilvl w:val="1"/>
          <w:numId w:val="4"/>
        </w:numPr>
        <w:tabs>
          <w:tab w:pos="1712" w:val="left" w:leader="none"/>
        </w:tabs>
        <w:spacing w:line="240" w:lineRule="auto" w:before="126" w:after="0"/>
        <w:ind w:left="1711" w:right="0" w:hanging="361"/>
        <w:jc w:val="left"/>
        <w:rPr>
          <w:rFonts w:ascii="Times New Roman" w:hAnsi="Times New Roman"/>
          <w:sz w:val="22"/>
        </w:rPr>
      </w:pPr>
      <w:r>
        <w:rPr>
          <w:rFonts w:ascii="Times New Roman" w:hAnsi="Times New Roman"/>
          <w:sz w:val="22"/>
        </w:rPr>
        <w:t>Regiões Beneficiadas: Sobradinho e adjacências;</w:t>
      </w:r>
      <w:r>
        <w:rPr>
          <w:rFonts w:ascii="Times New Roman" w:hAnsi="Times New Roman"/>
          <w:spacing w:val="-2"/>
          <w:sz w:val="22"/>
        </w:rPr>
        <w:t> </w:t>
      </w:r>
      <w:r>
        <w:rPr>
          <w:rFonts w:ascii="Times New Roman" w:hAnsi="Times New Roman"/>
          <w:sz w:val="22"/>
        </w:rPr>
        <w:t>e</w:t>
      </w:r>
    </w:p>
    <w:p>
      <w:pPr>
        <w:pStyle w:val="ListParagraph"/>
        <w:numPr>
          <w:ilvl w:val="1"/>
          <w:numId w:val="4"/>
        </w:numPr>
        <w:tabs>
          <w:tab w:pos="1712" w:val="left" w:leader="none"/>
        </w:tabs>
        <w:spacing w:line="240" w:lineRule="auto" w:before="126" w:after="0"/>
        <w:ind w:left="1711" w:right="0" w:hanging="361"/>
        <w:jc w:val="left"/>
        <w:rPr>
          <w:rFonts w:ascii="Times New Roman" w:hAnsi="Times New Roman"/>
          <w:sz w:val="22"/>
        </w:rPr>
      </w:pPr>
      <w:r>
        <w:rPr>
          <w:rFonts w:ascii="Times New Roman" w:hAnsi="Times New Roman"/>
          <w:sz w:val="22"/>
        </w:rPr>
        <w:t>Valor:</w:t>
      </w:r>
      <w:r>
        <w:rPr>
          <w:rFonts w:ascii="Times New Roman" w:hAnsi="Times New Roman"/>
          <w:spacing w:val="1"/>
          <w:sz w:val="22"/>
        </w:rPr>
        <w:t> </w:t>
      </w:r>
      <w:r>
        <w:rPr>
          <w:rFonts w:ascii="Times New Roman" w:hAnsi="Times New Roman"/>
          <w:sz w:val="22"/>
        </w:rPr>
        <w:t>594.000,00.</w:t>
      </w:r>
    </w:p>
    <w:p>
      <w:pPr>
        <w:pStyle w:val="ListParagraph"/>
        <w:numPr>
          <w:ilvl w:val="0"/>
          <w:numId w:val="4"/>
        </w:numPr>
        <w:tabs>
          <w:tab w:pos="991" w:val="left" w:leader="none"/>
          <w:tab w:pos="992" w:val="left" w:leader="none"/>
        </w:tabs>
        <w:spacing w:line="240" w:lineRule="auto" w:before="127" w:after="0"/>
        <w:ind w:left="991" w:right="0" w:hanging="361"/>
        <w:jc w:val="left"/>
        <w:rPr>
          <w:rFonts w:ascii="Times New Roman" w:hAnsi="Times New Roman"/>
          <w:sz w:val="22"/>
        </w:rPr>
      </w:pPr>
      <w:r>
        <w:rPr>
          <w:rFonts w:ascii="Times New Roman" w:hAnsi="Times New Roman"/>
          <w:sz w:val="22"/>
        </w:rPr>
        <w:t>contratação da obra de recuperação dos cubículos da Subestação Águas</w:t>
      </w:r>
      <w:r>
        <w:rPr>
          <w:rFonts w:ascii="Times New Roman" w:hAnsi="Times New Roman"/>
          <w:spacing w:val="-5"/>
          <w:sz w:val="22"/>
        </w:rPr>
        <w:t> </w:t>
      </w:r>
      <w:r>
        <w:rPr>
          <w:rFonts w:ascii="Times New Roman" w:hAnsi="Times New Roman"/>
          <w:sz w:val="22"/>
        </w:rPr>
        <w:t>Claras:</w:t>
      </w:r>
    </w:p>
    <w:p>
      <w:pPr>
        <w:pStyle w:val="ListParagraph"/>
        <w:numPr>
          <w:ilvl w:val="1"/>
          <w:numId w:val="4"/>
        </w:numPr>
        <w:tabs>
          <w:tab w:pos="1712" w:val="left" w:leader="none"/>
        </w:tabs>
        <w:spacing w:line="240" w:lineRule="auto" w:before="126" w:after="0"/>
        <w:ind w:left="1711" w:right="0" w:hanging="361"/>
        <w:jc w:val="left"/>
        <w:rPr>
          <w:rFonts w:ascii="Times New Roman" w:hAnsi="Times New Roman"/>
          <w:sz w:val="22"/>
        </w:rPr>
      </w:pPr>
      <w:r>
        <w:rPr>
          <w:rFonts w:ascii="Times New Roman" w:hAnsi="Times New Roman"/>
          <w:sz w:val="22"/>
        </w:rPr>
        <w:t>Conclusão em</w:t>
      </w:r>
      <w:r>
        <w:rPr>
          <w:rFonts w:ascii="Times New Roman" w:hAnsi="Times New Roman"/>
          <w:spacing w:val="-4"/>
          <w:sz w:val="22"/>
        </w:rPr>
        <w:t> </w:t>
      </w:r>
      <w:r>
        <w:rPr>
          <w:rFonts w:ascii="Times New Roman" w:hAnsi="Times New Roman"/>
          <w:sz w:val="22"/>
        </w:rPr>
        <w:t>2019;</w:t>
      </w:r>
    </w:p>
    <w:p>
      <w:pPr>
        <w:pStyle w:val="ListParagraph"/>
        <w:numPr>
          <w:ilvl w:val="1"/>
          <w:numId w:val="4"/>
        </w:numPr>
        <w:tabs>
          <w:tab w:pos="1712" w:val="left" w:leader="none"/>
        </w:tabs>
        <w:spacing w:line="240" w:lineRule="auto" w:before="126" w:after="0"/>
        <w:ind w:left="1711" w:right="0" w:hanging="361"/>
        <w:jc w:val="left"/>
        <w:rPr>
          <w:rFonts w:ascii="Times New Roman" w:hAnsi="Times New Roman"/>
          <w:sz w:val="22"/>
        </w:rPr>
      </w:pPr>
      <w:r>
        <w:rPr>
          <w:rFonts w:ascii="Times New Roman" w:hAnsi="Times New Roman"/>
          <w:sz w:val="22"/>
        </w:rPr>
        <w:t>Objetivo: Proporcionar maior confiabilidade ao sistema</w:t>
      </w:r>
      <w:r>
        <w:rPr>
          <w:rFonts w:ascii="Times New Roman" w:hAnsi="Times New Roman"/>
          <w:spacing w:val="-2"/>
          <w:sz w:val="22"/>
        </w:rPr>
        <w:t> </w:t>
      </w:r>
      <w:r>
        <w:rPr>
          <w:rFonts w:ascii="Times New Roman" w:hAnsi="Times New Roman"/>
          <w:sz w:val="22"/>
        </w:rPr>
        <w:t>elétrico;</w:t>
      </w:r>
    </w:p>
    <w:p>
      <w:pPr>
        <w:pStyle w:val="ListParagraph"/>
        <w:numPr>
          <w:ilvl w:val="1"/>
          <w:numId w:val="4"/>
        </w:numPr>
        <w:tabs>
          <w:tab w:pos="1712" w:val="left" w:leader="none"/>
        </w:tabs>
        <w:spacing w:line="240" w:lineRule="auto" w:before="126" w:after="0"/>
        <w:ind w:left="1711" w:right="0" w:hanging="361"/>
        <w:jc w:val="left"/>
        <w:rPr>
          <w:rFonts w:ascii="Times New Roman" w:hAnsi="Times New Roman"/>
          <w:sz w:val="22"/>
        </w:rPr>
      </w:pPr>
      <w:r>
        <w:rPr>
          <w:rFonts w:ascii="Times New Roman" w:hAnsi="Times New Roman"/>
          <w:sz w:val="22"/>
        </w:rPr>
        <w:t>Regiões Beneficiadas: Águas Claras e adjacências;</w:t>
      </w:r>
      <w:r>
        <w:rPr>
          <w:rFonts w:ascii="Times New Roman" w:hAnsi="Times New Roman"/>
          <w:spacing w:val="1"/>
          <w:sz w:val="22"/>
        </w:rPr>
        <w:t> </w:t>
      </w:r>
      <w:r>
        <w:rPr>
          <w:rFonts w:ascii="Times New Roman" w:hAnsi="Times New Roman"/>
          <w:sz w:val="22"/>
        </w:rPr>
        <w:t>e</w:t>
      </w:r>
    </w:p>
    <w:p>
      <w:pPr>
        <w:pStyle w:val="ListParagraph"/>
        <w:numPr>
          <w:ilvl w:val="1"/>
          <w:numId w:val="4"/>
        </w:numPr>
        <w:tabs>
          <w:tab w:pos="1712" w:val="left" w:leader="none"/>
        </w:tabs>
        <w:spacing w:line="240" w:lineRule="auto" w:before="127" w:after="0"/>
        <w:ind w:left="1711" w:right="0" w:hanging="361"/>
        <w:jc w:val="left"/>
        <w:rPr>
          <w:rFonts w:ascii="Times New Roman" w:hAnsi="Times New Roman"/>
          <w:sz w:val="22"/>
        </w:rPr>
      </w:pPr>
      <w:r>
        <w:rPr>
          <w:rFonts w:ascii="Times New Roman" w:hAnsi="Times New Roman"/>
          <w:sz w:val="22"/>
        </w:rPr>
        <w:t>Valor: R$ 364.700,81.</w:t>
      </w:r>
    </w:p>
    <w:p>
      <w:pPr>
        <w:spacing w:line="360" w:lineRule="auto" w:before="126"/>
        <w:ind w:left="139" w:right="76" w:firstLine="708"/>
        <w:jc w:val="left"/>
        <w:rPr>
          <w:rFonts w:ascii="Times New Roman" w:hAnsi="Times New Roman"/>
          <w:sz w:val="22"/>
        </w:rPr>
      </w:pPr>
      <w:r>
        <w:rPr>
          <w:rFonts w:ascii="Times New Roman" w:hAnsi="Times New Roman"/>
          <w:sz w:val="22"/>
        </w:rPr>
        <w:t>Em 2019, os investimentos foram de R$ 40,2 milhões (R$ 82,6 milhões em 2018), apresentando uma redução de 42,4% em relação ao volume investido em 2018.</w:t>
      </w:r>
    </w:p>
    <w:p>
      <w:pPr>
        <w:spacing w:before="125"/>
        <w:ind w:left="350" w:right="0" w:firstLine="0"/>
        <w:jc w:val="left"/>
        <w:rPr>
          <w:rFonts w:ascii="Times New Roman" w:hAnsi="Times New Roman"/>
          <w:b/>
          <w:sz w:val="22"/>
        </w:rPr>
      </w:pPr>
      <w:r>
        <w:rPr>
          <w:rFonts w:ascii="Times New Roman" w:hAnsi="Times New Roman"/>
          <w:b/>
          <w:sz w:val="22"/>
        </w:rPr>
        <w:t>Distribuição do Valor Adicionado</w:t>
      </w:r>
    </w:p>
    <w:p>
      <w:pPr>
        <w:pStyle w:val="BodyText"/>
        <w:spacing w:before="3"/>
        <w:rPr>
          <w:rFonts w:ascii="Times New Roman"/>
          <w:b/>
          <w:sz w:val="21"/>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4789"/>
        <w:gridCol w:w="1462"/>
        <w:gridCol w:w="1463"/>
        <w:gridCol w:w="1220"/>
        <w:gridCol w:w="1225"/>
      </w:tblGrid>
      <w:tr>
        <w:trPr>
          <w:trHeight w:val="331" w:hRule="atLeast"/>
        </w:trPr>
        <w:tc>
          <w:tcPr>
            <w:tcW w:w="4789" w:type="dxa"/>
            <w:tcBorders>
              <w:top w:val="nil"/>
              <w:left w:val="nil"/>
              <w:bottom w:val="nil"/>
              <w:right w:val="nil"/>
            </w:tcBorders>
            <w:shd w:val="clear" w:color="auto" w:fill="4470C4"/>
          </w:tcPr>
          <w:p>
            <w:pPr>
              <w:pStyle w:val="TableParagraph"/>
              <w:spacing w:before="51"/>
              <w:ind w:left="2022" w:right="1998"/>
              <w:jc w:val="center"/>
              <w:rPr>
                <w:rFonts w:ascii="Times New Roman"/>
                <w:b/>
                <w:sz w:val="20"/>
              </w:rPr>
            </w:pPr>
            <w:r>
              <w:rPr>
                <w:rFonts w:ascii="Times New Roman"/>
                <w:b/>
                <w:color w:val="FFFFFF"/>
                <w:sz w:val="20"/>
              </w:rPr>
              <w:t>(R$ Mil)</w:t>
            </w:r>
          </w:p>
        </w:tc>
        <w:tc>
          <w:tcPr>
            <w:tcW w:w="1462" w:type="dxa"/>
            <w:tcBorders>
              <w:top w:val="nil"/>
              <w:left w:val="nil"/>
              <w:bottom w:val="nil"/>
              <w:right w:val="nil"/>
            </w:tcBorders>
            <w:shd w:val="clear" w:color="auto" w:fill="4470C4"/>
          </w:tcPr>
          <w:p>
            <w:pPr>
              <w:pStyle w:val="TableParagraph"/>
              <w:spacing w:before="51"/>
              <w:ind w:left="539"/>
              <w:rPr>
                <w:rFonts w:ascii="Times New Roman"/>
                <w:b/>
                <w:sz w:val="20"/>
              </w:rPr>
            </w:pPr>
            <w:r>
              <w:rPr>
                <w:rFonts w:ascii="Times New Roman"/>
                <w:b/>
                <w:color w:val="FFFFFF"/>
                <w:sz w:val="20"/>
              </w:rPr>
              <w:t>2019</w:t>
            </w:r>
          </w:p>
        </w:tc>
        <w:tc>
          <w:tcPr>
            <w:tcW w:w="1463" w:type="dxa"/>
            <w:tcBorders>
              <w:top w:val="nil"/>
              <w:left w:val="nil"/>
              <w:bottom w:val="nil"/>
              <w:right w:val="nil"/>
            </w:tcBorders>
            <w:shd w:val="clear" w:color="auto" w:fill="4470C4"/>
          </w:tcPr>
          <w:p>
            <w:pPr>
              <w:pStyle w:val="TableParagraph"/>
              <w:spacing w:before="51"/>
              <w:ind w:left="537"/>
              <w:rPr>
                <w:rFonts w:ascii="Times New Roman"/>
                <w:b/>
                <w:sz w:val="20"/>
              </w:rPr>
            </w:pPr>
            <w:r>
              <w:rPr>
                <w:rFonts w:ascii="Times New Roman"/>
                <w:b/>
                <w:color w:val="FFFFFF"/>
                <w:sz w:val="20"/>
              </w:rPr>
              <w:t>2018</w:t>
            </w:r>
          </w:p>
        </w:tc>
        <w:tc>
          <w:tcPr>
            <w:tcW w:w="2445" w:type="dxa"/>
            <w:gridSpan w:val="2"/>
            <w:tcBorders>
              <w:top w:val="nil"/>
              <w:left w:val="nil"/>
              <w:bottom w:val="nil"/>
              <w:right w:val="nil"/>
            </w:tcBorders>
            <w:shd w:val="clear" w:color="auto" w:fill="4470C4"/>
          </w:tcPr>
          <w:p>
            <w:pPr>
              <w:pStyle w:val="TableParagraph"/>
              <w:spacing w:before="51"/>
              <w:ind w:left="939" w:right="933"/>
              <w:jc w:val="center"/>
              <w:rPr>
                <w:rFonts w:ascii="Times New Roman" w:hAnsi="Times New Roman"/>
                <w:b/>
                <w:sz w:val="20"/>
              </w:rPr>
            </w:pPr>
            <w:r>
              <w:rPr>
                <w:rFonts w:ascii="Times New Roman" w:hAnsi="Times New Roman"/>
                <w:b/>
                <w:color w:val="FFFFFF"/>
                <w:sz w:val="20"/>
              </w:rPr>
              <w:t>Δ Ano</w:t>
            </w:r>
          </w:p>
        </w:tc>
      </w:tr>
      <w:tr>
        <w:trPr>
          <w:trHeight w:val="309" w:hRule="atLeast"/>
        </w:trPr>
        <w:tc>
          <w:tcPr>
            <w:tcW w:w="4789" w:type="dxa"/>
            <w:tcBorders>
              <w:top w:val="nil"/>
            </w:tcBorders>
            <w:shd w:val="clear" w:color="auto" w:fill="D9E0F3"/>
          </w:tcPr>
          <w:p>
            <w:pPr>
              <w:pStyle w:val="TableParagraph"/>
              <w:rPr>
                <w:rFonts w:ascii="Times New Roman"/>
                <w:sz w:val="22"/>
              </w:rPr>
            </w:pPr>
          </w:p>
        </w:tc>
        <w:tc>
          <w:tcPr>
            <w:tcW w:w="1462" w:type="dxa"/>
            <w:tcBorders>
              <w:top w:val="nil"/>
            </w:tcBorders>
            <w:shd w:val="clear" w:color="auto" w:fill="D9E0F3"/>
          </w:tcPr>
          <w:p>
            <w:pPr>
              <w:pStyle w:val="TableParagraph"/>
              <w:rPr>
                <w:rFonts w:ascii="Times New Roman"/>
                <w:sz w:val="22"/>
              </w:rPr>
            </w:pPr>
          </w:p>
        </w:tc>
        <w:tc>
          <w:tcPr>
            <w:tcW w:w="1463" w:type="dxa"/>
            <w:tcBorders>
              <w:top w:val="nil"/>
            </w:tcBorders>
            <w:shd w:val="clear" w:color="auto" w:fill="D9E0F3"/>
          </w:tcPr>
          <w:p>
            <w:pPr>
              <w:pStyle w:val="TableParagraph"/>
              <w:rPr>
                <w:rFonts w:ascii="Times New Roman"/>
                <w:sz w:val="22"/>
              </w:rPr>
            </w:pPr>
          </w:p>
        </w:tc>
        <w:tc>
          <w:tcPr>
            <w:tcW w:w="1220" w:type="dxa"/>
            <w:tcBorders>
              <w:top w:val="nil"/>
            </w:tcBorders>
            <w:shd w:val="clear" w:color="auto" w:fill="D9E0F3"/>
          </w:tcPr>
          <w:p>
            <w:pPr>
              <w:pStyle w:val="TableParagraph"/>
              <w:spacing w:line="228" w:lineRule="exact"/>
              <w:ind w:right="87"/>
              <w:jc w:val="right"/>
              <w:rPr>
                <w:rFonts w:ascii="Times New Roman"/>
                <w:b/>
                <w:sz w:val="20"/>
              </w:rPr>
            </w:pPr>
            <w:r>
              <w:rPr>
                <w:rFonts w:ascii="Times New Roman"/>
                <w:b/>
                <w:sz w:val="20"/>
              </w:rPr>
              <w:t>(R$ Mil)</w:t>
            </w:r>
          </w:p>
        </w:tc>
        <w:tc>
          <w:tcPr>
            <w:tcW w:w="1225" w:type="dxa"/>
            <w:tcBorders>
              <w:top w:val="nil"/>
            </w:tcBorders>
            <w:shd w:val="clear" w:color="auto" w:fill="D9E0F3"/>
          </w:tcPr>
          <w:p>
            <w:pPr>
              <w:pStyle w:val="TableParagraph"/>
              <w:spacing w:line="228" w:lineRule="exact"/>
              <w:ind w:right="94"/>
              <w:jc w:val="right"/>
              <w:rPr>
                <w:rFonts w:ascii="Times New Roman"/>
                <w:b/>
                <w:sz w:val="20"/>
              </w:rPr>
            </w:pPr>
            <w:r>
              <w:rPr>
                <w:rFonts w:ascii="Times New Roman"/>
                <w:b/>
                <w:w w:val="90"/>
                <w:sz w:val="20"/>
              </w:rPr>
              <w:t>(%)</w:t>
            </w:r>
          </w:p>
        </w:tc>
      </w:tr>
      <w:tr>
        <w:trPr>
          <w:trHeight w:val="311" w:hRule="atLeast"/>
        </w:trPr>
        <w:tc>
          <w:tcPr>
            <w:tcW w:w="4789" w:type="dxa"/>
          </w:tcPr>
          <w:p>
            <w:pPr>
              <w:pStyle w:val="TableParagraph"/>
              <w:spacing w:before="41"/>
              <w:ind w:left="398"/>
              <w:rPr>
                <w:rFonts w:ascii="Times New Roman" w:hAnsi="Times New Roman"/>
                <w:b/>
                <w:sz w:val="20"/>
              </w:rPr>
            </w:pPr>
            <w:r>
              <w:rPr>
                <w:rFonts w:ascii="Times New Roman" w:hAnsi="Times New Roman"/>
                <w:b/>
                <w:sz w:val="20"/>
              </w:rPr>
              <w:t>Distribuição do Valor Adicionado</w:t>
            </w:r>
          </w:p>
        </w:tc>
        <w:tc>
          <w:tcPr>
            <w:tcW w:w="1462" w:type="dxa"/>
          </w:tcPr>
          <w:p>
            <w:pPr>
              <w:pStyle w:val="TableParagraph"/>
              <w:spacing w:before="41"/>
              <w:ind w:left="561"/>
              <w:rPr>
                <w:rFonts w:ascii="Times New Roman"/>
                <w:b/>
                <w:sz w:val="20"/>
              </w:rPr>
            </w:pPr>
            <w:r>
              <w:rPr>
                <w:rFonts w:ascii="Times New Roman"/>
                <w:b/>
                <w:sz w:val="20"/>
              </w:rPr>
              <w:t>2.071.063</w:t>
            </w:r>
          </w:p>
        </w:tc>
        <w:tc>
          <w:tcPr>
            <w:tcW w:w="1463" w:type="dxa"/>
          </w:tcPr>
          <w:p>
            <w:pPr>
              <w:pStyle w:val="TableParagraph"/>
              <w:spacing w:before="41"/>
              <w:ind w:left="556"/>
              <w:rPr>
                <w:rFonts w:ascii="Times New Roman"/>
                <w:b/>
                <w:sz w:val="20"/>
              </w:rPr>
            </w:pPr>
            <w:r>
              <w:rPr>
                <w:rFonts w:ascii="Times New Roman"/>
                <w:b/>
                <w:sz w:val="20"/>
              </w:rPr>
              <w:t>1.863.446</w:t>
            </w:r>
          </w:p>
        </w:tc>
        <w:tc>
          <w:tcPr>
            <w:tcW w:w="1220" w:type="dxa"/>
          </w:tcPr>
          <w:p>
            <w:pPr>
              <w:pStyle w:val="TableParagraph"/>
              <w:spacing w:before="41"/>
              <w:ind w:right="2"/>
              <w:jc w:val="right"/>
              <w:rPr>
                <w:rFonts w:ascii="Times New Roman"/>
                <w:b/>
                <w:sz w:val="20"/>
              </w:rPr>
            </w:pPr>
            <w:r>
              <w:rPr>
                <w:rFonts w:ascii="Times New Roman"/>
                <w:b/>
                <w:w w:val="95"/>
                <w:sz w:val="20"/>
              </w:rPr>
              <w:t>207.617</w:t>
            </w:r>
          </w:p>
        </w:tc>
        <w:tc>
          <w:tcPr>
            <w:tcW w:w="1225" w:type="dxa"/>
          </w:tcPr>
          <w:p>
            <w:pPr>
              <w:pStyle w:val="TableParagraph"/>
              <w:spacing w:before="41"/>
              <w:ind w:right="86"/>
              <w:jc w:val="right"/>
              <w:rPr>
                <w:rFonts w:ascii="Times New Roman"/>
                <w:b/>
                <w:sz w:val="20"/>
              </w:rPr>
            </w:pPr>
            <w:r>
              <w:rPr>
                <w:rFonts w:ascii="Times New Roman"/>
                <w:b/>
                <w:sz w:val="20"/>
              </w:rPr>
              <w:t>11,14%</w:t>
            </w:r>
          </w:p>
        </w:tc>
      </w:tr>
    </w:tbl>
    <w:p>
      <w:pPr>
        <w:pStyle w:val="BodyText"/>
        <w:rPr>
          <w:rFonts w:ascii="Times New Roman"/>
          <w:b/>
          <w:sz w:val="24"/>
        </w:rPr>
      </w:pPr>
    </w:p>
    <w:p>
      <w:pPr>
        <w:spacing w:line="360" w:lineRule="auto" w:before="190"/>
        <w:ind w:left="139" w:right="135" w:firstLine="708"/>
        <w:jc w:val="both"/>
        <w:rPr>
          <w:rFonts w:ascii="Times New Roman" w:hAnsi="Times New Roman"/>
          <w:sz w:val="22"/>
        </w:rPr>
      </w:pPr>
      <w:r>
        <w:rPr>
          <w:rFonts w:ascii="Times New Roman" w:hAnsi="Times New Roman"/>
          <w:sz w:val="22"/>
        </w:rPr>
        <w:t>Em</w:t>
      </w:r>
      <w:r>
        <w:rPr>
          <w:rFonts w:ascii="Times New Roman" w:hAnsi="Times New Roman"/>
          <w:spacing w:val="-5"/>
          <w:sz w:val="22"/>
        </w:rPr>
        <w:t> </w:t>
      </w:r>
      <w:r>
        <w:rPr>
          <w:rFonts w:ascii="Times New Roman" w:hAnsi="Times New Roman"/>
          <w:sz w:val="22"/>
        </w:rPr>
        <w:t>2019,</w:t>
      </w:r>
      <w:r>
        <w:rPr>
          <w:rFonts w:ascii="Times New Roman" w:hAnsi="Times New Roman"/>
          <w:spacing w:val="-3"/>
          <w:sz w:val="22"/>
        </w:rPr>
        <w:t> </w:t>
      </w:r>
      <w:r>
        <w:rPr>
          <w:rFonts w:ascii="Times New Roman" w:hAnsi="Times New Roman"/>
          <w:sz w:val="22"/>
        </w:rPr>
        <w:t>o</w:t>
      </w:r>
      <w:r>
        <w:rPr>
          <w:rFonts w:ascii="Times New Roman" w:hAnsi="Times New Roman"/>
          <w:spacing w:val="-3"/>
          <w:sz w:val="22"/>
        </w:rPr>
        <w:t> </w:t>
      </w:r>
      <w:r>
        <w:rPr>
          <w:rFonts w:ascii="Times New Roman" w:hAnsi="Times New Roman"/>
          <w:sz w:val="22"/>
        </w:rPr>
        <w:t>Valor</w:t>
      </w:r>
      <w:r>
        <w:rPr>
          <w:rFonts w:ascii="Times New Roman" w:hAnsi="Times New Roman"/>
          <w:spacing w:val="-2"/>
          <w:sz w:val="22"/>
        </w:rPr>
        <w:t> </w:t>
      </w:r>
      <w:r>
        <w:rPr>
          <w:rFonts w:ascii="Times New Roman" w:hAnsi="Times New Roman"/>
          <w:sz w:val="22"/>
        </w:rPr>
        <w:t>Adicionado</w:t>
      </w:r>
      <w:r>
        <w:rPr>
          <w:rFonts w:ascii="Times New Roman" w:hAnsi="Times New Roman"/>
          <w:spacing w:val="-3"/>
          <w:sz w:val="22"/>
        </w:rPr>
        <w:t> </w:t>
      </w:r>
      <w:r>
        <w:rPr>
          <w:rFonts w:ascii="Times New Roman" w:hAnsi="Times New Roman"/>
          <w:sz w:val="22"/>
        </w:rPr>
        <w:t>Distribuído</w:t>
      </w:r>
      <w:r>
        <w:rPr>
          <w:rFonts w:ascii="Times New Roman" w:hAnsi="Times New Roman"/>
          <w:spacing w:val="-3"/>
          <w:sz w:val="22"/>
        </w:rPr>
        <w:t> </w:t>
      </w:r>
      <w:r>
        <w:rPr>
          <w:rFonts w:ascii="Times New Roman" w:hAnsi="Times New Roman"/>
          <w:sz w:val="22"/>
        </w:rPr>
        <w:t>alcançou</w:t>
      </w:r>
      <w:r>
        <w:rPr>
          <w:rFonts w:ascii="Times New Roman" w:hAnsi="Times New Roman"/>
          <w:spacing w:val="-3"/>
          <w:sz w:val="22"/>
        </w:rPr>
        <w:t> </w:t>
      </w:r>
      <w:r>
        <w:rPr>
          <w:rFonts w:ascii="Times New Roman" w:hAnsi="Times New Roman"/>
          <w:sz w:val="22"/>
        </w:rPr>
        <w:t>R$</w:t>
      </w:r>
      <w:r>
        <w:rPr>
          <w:rFonts w:ascii="Times New Roman" w:hAnsi="Times New Roman"/>
          <w:spacing w:val="-2"/>
          <w:sz w:val="22"/>
        </w:rPr>
        <w:t> </w:t>
      </w:r>
      <w:r>
        <w:rPr>
          <w:rFonts w:ascii="Times New Roman" w:hAnsi="Times New Roman"/>
          <w:sz w:val="22"/>
        </w:rPr>
        <w:t>2.071.063</w:t>
      </w:r>
      <w:r>
        <w:rPr>
          <w:rFonts w:ascii="Times New Roman" w:hAnsi="Times New Roman"/>
          <w:spacing w:val="-2"/>
          <w:sz w:val="22"/>
        </w:rPr>
        <w:t> </w:t>
      </w:r>
      <w:r>
        <w:rPr>
          <w:rFonts w:ascii="Times New Roman" w:hAnsi="Times New Roman"/>
          <w:sz w:val="22"/>
        </w:rPr>
        <w:t>mil,</w:t>
      </w:r>
      <w:r>
        <w:rPr>
          <w:rFonts w:ascii="Times New Roman" w:hAnsi="Times New Roman"/>
          <w:spacing w:val="-3"/>
          <w:sz w:val="22"/>
        </w:rPr>
        <w:t> </w:t>
      </w:r>
      <w:r>
        <w:rPr>
          <w:rFonts w:ascii="Times New Roman" w:hAnsi="Times New Roman"/>
          <w:sz w:val="22"/>
        </w:rPr>
        <w:t>com</w:t>
      </w:r>
      <w:r>
        <w:rPr>
          <w:rFonts w:ascii="Times New Roman" w:hAnsi="Times New Roman"/>
          <w:spacing w:val="-5"/>
          <w:sz w:val="22"/>
        </w:rPr>
        <w:t> </w:t>
      </w:r>
      <w:r>
        <w:rPr>
          <w:rFonts w:ascii="Times New Roman" w:hAnsi="Times New Roman"/>
          <w:sz w:val="22"/>
        </w:rPr>
        <w:t>aumento</w:t>
      </w:r>
      <w:r>
        <w:rPr>
          <w:rFonts w:ascii="Times New Roman" w:hAnsi="Times New Roman"/>
          <w:spacing w:val="-2"/>
          <w:sz w:val="22"/>
        </w:rPr>
        <w:t> </w:t>
      </w:r>
      <w:r>
        <w:rPr>
          <w:rFonts w:ascii="Times New Roman" w:hAnsi="Times New Roman"/>
          <w:sz w:val="22"/>
        </w:rPr>
        <w:t>de</w:t>
      </w:r>
      <w:r>
        <w:rPr>
          <w:rFonts w:ascii="Times New Roman" w:hAnsi="Times New Roman"/>
          <w:spacing w:val="-2"/>
          <w:sz w:val="22"/>
        </w:rPr>
        <w:t> </w:t>
      </w:r>
      <w:r>
        <w:rPr>
          <w:rFonts w:ascii="Times New Roman" w:hAnsi="Times New Roman"/>
          <w:sz w:val="22"/>
        </w:rPr>
        <w:t>11,14%</w:t>
      </w:r>
      <w:r>
        <w:rPr>
          <w:rFonts w:ascii="Times New Roman" w:hAnsi="Times New Roman"/>
          <w:spacing w:val="-2"/>
          <w:sz w:val="22"/>
        </w:rPr>
        <w:t> </w:t>
      </w:r>
      <w:r>
        <w:rPr>
          <w:rFonts w:ascii="Times New Roman" w:hAnsi="Times New Roman"/>
          <w:sz w:val="22"/>
        </w:rPr>
        <w:t>em</w:t>
      </w:r>
      <w:r>
        <w:rPr>
          <w:rFonts w:ascii="Times New Roman" w:hAnsi="Times New Roman"/>
          <w:spacing w:val="-6"/>
          <w:sz w:val="22"/>
        </w:rPr>
        <w:t> </w:t>
      </w:r>
      <w:r>
        <w:rPr>
          <w:rFonts w:ascii="Times New Roman" w:hAnsi="Times New Roman"/>
          <w:sz w:val="22"/>
        </w:rPr>
        <w:t>comparação com</w:t>
      </w:r>
      <w:r>
        <w:rPr>
          <w:rFonts w:ascii="Times New Roman" w:hAnsi="Times New Roman"/>
          <w:spacing w:val="-19"/>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distribuição</w:t>
      </w:r>
      <w:r>
        <w:rPr>
          <w:rFonts w:ascii="Times New Roman" w:hAnsi="Times New Roman"/>
          <w:spacing w:val="-15"/>
          <w:sz w:val="22"/>
        </w:rPr>
        <w:t> </w:t>
      </w:r>
      <w:r>
        <w:rPr>
          <w:rFonts w:ascii="Times New Roman" w:hAnsi="Times New Roman"/>
          <w:sz w:val="22"/>
        </w:rPr>
        <w:t>do</w:t>
      </w:r>
      <w:r>
        <w:rPr>
          <w:rFonts w:ascii="Times New Roman" w:hAnsi="Times New Roman"/>
          <w:spacing w:val="-16"/>
          <w:sz w:val="22"/>
        </w:rPr>
        <w:t> </w:t>
      </w:r>
      <w:r>
        <w:rPr>
          <w:rFonts w:ascii="Times New Roman" w:hAnsi="Times New Roman"/>
          <w:sz w:val="22"/>
        </w:rPr>
        <w:t>ano</w:t>
      </w:r>
      <w:r>
        <w:rPr>
          <w:rFonts w:ascii="Times New Roman" w:hAnsi="Times New Roman"/>
          <w:spacing w:val="-15"/>
          <w:sz w:val="22"/>
        </w:rPr>
        <w:t> </w:t>
      </w:r>
      <w:r>
        <w:rPr>
          <w:rFonts w:ascii="Times New Roman" w:hAnsi="Times New Roman"/>
          <w:sz w:val="22"/>
        </w:rPr>
        <w:t>anterior.</w:t>
      </w:r>
      <w:r>
        <w:rPr>
          <w:rFonts w:ascii="Times New Roman" w:hAnsi="Times New Roman"/>
          <w:spacing w:val="-14"/>
          <w:sz w:val="22"/>
        </w:rPr>
        <w:t> </w:t>
      </w:r>
      <w:r>
        <w:rPr>
          <w:rFonts w:ascii="Times New Roman" w:hAnsi="Times New Roman"/>
          <w:sz w:val="22"/>
        </w:rPr>
        <w:t>Deste</w:t>
      </w:r>
      <w:r>
        <w:rPr>
          <w:rFonts w:ascii="Times New Roman" w:hAnsi="Times New Roman"/>
          <w:spacing w:val="-14"/>
          <w:sz w:val="22"/>
        </w:rPr>
        <w:t> </w:t>
      </w:r>
      <w:r>
        <w:rPr>
          <w:rFonts w:ascii="Times New Roman" w:hAnsi="Times New Roman"/>
          <w:sz w:val="22"/>
        </w:rPr>
        <w:t>valor,</w:t>
      </w:r>
      <w:r>
        <w:rPr>
          <w:rFonts w:ascii="Times New Roman" w:hAnsi="Times New Roman"/>
          <w:spacing w:val="-15"/>
          <w:sz w:val="22"/>
        </w:rPr>
        <w:t> </w:t>
      </w:r>
      <w:r>
        <w:rPr>
          <w:rFonts w:ascii="Times New Roman" w:hAnsi="Times New Roman"/>
          <w:sz w:val="22"/>
        </w:rPr>
        <w:t>R$</w:t>
      </w:r>
      <w:r>
        <w:rPr>
          <w:rFonts w:ascii="Times New Roman" w:hAnsi="Times New Roman"/>
          <w:spacing w:val="-16"/>
          <w:sz w:val="22"/>
        </w:rPr>
        <w:t> </w:t>
      </w:r>
      <w:r>
        <w:rPr>
          <w:rFonts w:ascii="Times New Roman" w:hAnsi="Times New Roman"/>
          <w:sz w:val="22"/>
        </w:rPr>
        <w:t>192.056</w:t>
      </w:r>
      <w:r>
        <w:rPr>
          <w:rFonts w:ascii="Times New Roman" w:hAnsi="Times New Roman"/>
          <w:spacing w:val="-15"/>
          <w:sz w:val="22"/>
        </w:rPr>
        <w:t> </w:t>
      </w:r>
      <w:r>
        <w:rPr>
          <w:rFonts w:ascii="Times New Roman" w:hAnsi="Times New Roman"/>
          <w:sz w:val="22"/>
        </w:rPr>
        <w:t>mil</w:t>
      </w:r>
      <w:r>
        <w:rPr>
          <w:rFonts w:ascii="Times New Roman" w:hAnsi="Times New Roman"/>
          <w:spacing w:val="-14"/>
          <w:sz w:val="22"/>
        </w:rPr>
        <w:t> </w:t>
      </w:r>
      <w:r>
        <w:rPr>
          <w:rFonts w:ascii="Times New Roman" w:hAnsi="Times New Roman"/>
          <w:sz w:val="22"/>
        </w:rPr>
        <w:t>foram</w:t>
      </w:r>
      <w:r>
        <w:rPr>
          <w:rFonts w:ascii="Times New Roman" w:hAnsi="Times New Roman"/>
          <w:spacing w:val="-19"/>
          <w:sz w:val="22"/>
        </w:rPr>
        <w:t> </w:t>
      </w:r>
      <w:r>
        <w:rPr>
          <w:rFonts w:ascii="Times New Roman" w:hAnsi="Times New Roman"/>
          <w:sz w:val="22"/>
        </w:rPr>
        <w:t>destinados</w:t>
      </w:r>
      <w:r>
        <w:rPr>
          <w:rFonts w:ascii="Times New Roman" w:hAnsi="Times New Roman"/>
          <w:spacing w:val="-14"/>
          <w:sz w:val="22"/>
        </w:rPr>
        <w:t> </w:t>
      </w:r>
      <w:r>
        <w:rPr>
          <w:rFonts w:ascii="Times New Roman" w:hAnsi="Times New Roman"/>
          <w:sz w:val="22"/>
        </w:rPr>
        <w:t>aos</w:t>
      </w:r>
      <w:r>
        <w:rPr>
          <w:rFonts w:ascii="Times New Roman" w:hAnsi="Times New Roman"/>
          <w:spacing w:val="-14"/>
          <w:sz w:val="22"/>
        </w:rPr>
        <w:t> </w:t>
      </w:r>
      <w:r>
        <w:rPr>
          <w:rFonts w:ascii="Times New Roman" w:hAnsi="Times New Roman"/>
          <w:sz w:val="22"/>
        </w:rPr>
        <w:t>Empregados</w:t>
      </w:r>
      <w:r>
        <w:rPr>
          <w:rFonts w:ascii="Times New Roman" w:hAnsi="Times New Roman"/>
          <w:spacing w:val="-15"/>
          <w:sz w:val="22"/>
        </w:rPr>
        <w:t> </w:t>
      </w:r>
      <w:r>
        <w:rPr>
          <w:rFonts w:ascii="Times New Roman" w:hAnsi="Times New Roman"/>
          <w:sz w:val="22"/>
        </w:rPr>
        <w:t>(9,27%);</w:t>
      </w:r>
      <w:r>
        <w:rPr>
          <w:rFonts w:ascii="Times New Roman" w:hAnsi="Times New Roman"/>
          <w:spacing w:val="28"/>
          <w:sz w:val="22"/>
        </w:rPr>
        <w:t> </w:t>
      </w:r>
      <w:r>
        <w:rPr>
          <w:rFonts w:ascii="Times New Roman" w:hAnsi="Times New Roman"/>
          <w:sz w:val="22"/>
        </w:rPr>
        <w:t>R$</w:t>
      </w:r>
      <w:r>
        <w:rPr>
          <w:rFonts w:ascii="Times New Roman" w:hAnsi="Times New Roman"/>
          <w:spacing w:val="-16"/>
          <w:sz w:val="22"/>
        </w:rPr>
        <w:t> </w:t>
      </w:r>
      <w:r>
        <w:rPr>
          <w:rFonts w:ascii="Times New Roman" w:hAnsi="Times New Roman"/>
          <w:sz w:val="22"/>
        </w:rPr>
        <w:t>1.537.078 mil a Impostos, Taxas e Contribuições (74,22%); R$ 185.301 mil à Remuneração de Capital de Terceiros (8,95%); e  R$ 156.628 mil à Remuneração de Capital Próprio</w:t>
      </w:r>
      <w:r>
        <w:rPr>
          <w:rFonts w:ascii="Times New Roman" w:hAnsi="Times New Roman"/>
          <w:spacing w:val="1"/>
          <w:sz w:val="22"/>
        </w:rPr>
        <w:t> </w:t>
      </w:r>
      <w:r>
        <w:rPr>
          <w:rFonts w:ascii="Times New Roman" w:hAnsi="Times New Roman"/>
          <w:sz w:val="22"/>
        </w:rPr>
        <w:t>(7,56%).</w:t>
      </w:r>
    </w:p>
    <w:p>
      <w:pPr>
        <w:pStyle w:val="BodyText"/>
        <w:rPr>
          <w:rFonts w:ascii="Times New Roman"/>
        </w:rPr>
      </w:pPr>
    </w:p>
    <w:p>
      <w:pPr>
        <w:pStyle w:val="BodyText"/>
        <w:spacing w:before="4"/>
        <w:rPr>
          <w:rFonts w:ascii="Times New Roman"/>
          <w:sz w:val="22"/>
        </w:rPr>
      </w:pPr>
    </w:p>
    <w:p>
      <w:pPr>
        <w:tabs>
          <w:tab w:pos="3723" w:val="left" w:leader="none"/>
          <w:tab w:pos="4443" w:val="left" w:leader="none"/>
          <w:tab w:pos="10305" w:val="left" w:leader="none"/>
        </w:tabs>
        <w:spacing w:before="0"/>
        <w:ind w:left="384" w:right="0" w:firstLine="0"/>
        <w:jc w:val="left"/>
        <w:rPr>
          <w:rFonts w:ascii="Times New Roman" w:hAnsi="Times New Roman"/>
          <w:b/>
          <w:sz w:val="24"/>
        </w:rPr>
      </w:pPr>
      <w:r>
        <w:rPr>
          <w:rFonts w:ascii="Times New Roman" w:hAnsi="Times New Roman"/>
          <w:b/>
          <w:sz w:val="24"/>
          <w:shd w:fill="F0F0F0" w:color="auto" w:val="clear"/>
        </w:rPr>
        <w:t> </w:t>
        <w:tab/>
        <w:t>VI.</w:t>
        <w:tab/>
        <w:t>GESTÃO DE</w:t>
      </w:r>
      <w:r>
        <w:rPr>
          <w:rFonts w:ascii="Times New Roman" w:hAnsi="Times New Roman"/>
          <w:b/>
          <w:spacing w:val="-12"/>
          <w:sz w:val="24"/>
          <w:shd w:fill="F0F0F0" w:color="auto" w:val="clear"/>
        </w:rPr>
        <w:t> </w:t>
      </w:r>
      <w:r>
        <w:rPr>
          <w:rFonts w:ascii="Times New Roman" w:hAnsi="Times New Roman"/>
          <w:b/>
          <w:sz w:val="24"/>
          <w:shd w:fill="F0F0F0" w:color="auto" w:val="clear"/>
        </w:rPr>
        <w:t>PESSOAS</w:t>
        <w:tab/>
      </w:r>
    </w:p>
    <w:p>
      <w:pPr>
        <w:pStyle w:val="BodyText"/>
        <w:spacing w:before="5"/>
        <w:rPr>
          <w:rFonts w:ascii="Times New Roman"/>
          <w:b/>
        </w:rPr>
      </w:pPr>
    </w:p>
    <w:p>
      <w:pPr>
        <w:spacing w:line="360" w:lineRule="auto" w:before="0"/>
        <w:ind w:left="139" w:right="144" w:firstLine="708"/>
        <w:jc w:val="both"/>
        <w:rPr>
          <w:rFonts w:ascii="Times New Roman" w:hAnsi="Times New Roman"/>
          <w:sz w:val="22"/>
        </w:rPr>
      </w:pPr>
      <w:r>
        <w:rPr>
          <w:rFonts w:ascii="Times New Roman" w:hAnsi="Times New Roman"/>
          <w:sz w:val="22"/>
        </w:rPr>
        <w:t>A CEB tem como cultura organizacional a valorização do ser humano, a meritocracia e o incentivo ao autodesenvolvimento, tendo como princípios a integridade e o comprometimento pessoal e das equipes, visando sempre o fiel cumprimento de sua Missão.</w:t>
      </w:r>
    </w:p>
    <w:p>
      <w:pPr>
        <w:pStyle w:val="BodyText"/>
        <w:rPr>
          <w:rFonts w:ascii="Times New Roman"/>
          <w:sz w:val="21"/>
        </w:rPr>
      </w:pPr>
    </w:p>
    <w:p>
      <w:pPr>
        <w:spacing w:line="360" w:lineRule="auto" w:before="0"/>
        <w:ind w:left="139" w:right="135" w:firstLine="708"/>
        <w:jc w:val="both"/>
        <w:rPr>
          <w:rFonts w:ascii="Times New Roman" w:hAnsi="Times New Roman"/>
          <w:sz w:val="22"/>
        </w:rPr>
      </w:pPr>
      <w:r>
        <w:rPr>
          <w:rFonts w:ascii="Times New Roman" w:hAnsi="Times New Roman"/>
          <w:sz w:val="22"/>
        </w:rPr>
        <w:t>Os principais projetos executados pela gestão dos recursos humanos, em 2019, foram voltados para o aprimoramento dos controles do sistema de RH, capacitação técnica, saúde e segurança no trabalho dos empregados, qualidade</w:t>
      </w:r>
      <w:r>
        <w:rPr>
          <w:rFonts w:ascii="Times New Roman" w:hAnsi="Times New Roman"/>
          <w:spacing w:val="-4"/>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vida</w:t>
      </w:r>
      <w:r>
        <w:rPr>
          <w:rFonts w:ascii="Times New Roman" w:hAnsi="Times New Roman"/>
          <w:spacing w:val="-2"/>
          <w:sz w:val="22"/>
        </w:rPr>
        <w:t> </w:t>
      </w:r>
      <w:r>
        <w:rPr>
          <w:rFonts w:ascii="Times New Roman" w:hAnsi="Times New Roman"/>
          <w:sz w:val="22"/>
        </w:rPr>
        <w:t>e</w:t>
      </w:r>
      <w:r>
        <w:rPr>
          <w:rFonts w:ascii="Times New Roman" w:hAnsi="Times New Roman"/>
          <w:spacing w:val="-4"/>
          <w:sz w:val="22"/>
        </w:rPr>
        <w:t> </w:t>
      </w:r>
      <w:r>
        <w:rPr>
          <w:rFonts w:ascii="Times New Roman" w:hAnsi="Times New Roman"/>
          <w:sz w:val="22"/>
        </w:rPr>
        <w:t>valorização</w:t>
      </w:r>
      <w:r>
        <w:rPr>
          <w:rFonts w:ascii="Times New Roman" w:hAnsi="Times New Roman"/>
          <w:spacing w:val="-3"/>
          <w:sz w:val="22"/>
        </w:rPr>
        <w:t> </w:t>
      </w:r>
      <w:r>
        <w:rPr>
          <w:rFonts w:ascii="Times New Roman" w:hAnsi="Times New Roman"/>
          <w:sz w:val="22"/>
        </w:rPr>
        <w:t>do</w:t>
      </w:r>
      <w:r>
        <w:rPr>
          <w:rFonts w:ascii="Times New Roman" w:hAnsi="Times New Roman"/>
          <w:spacing w:val="-4"/>
          <w:sz w:val="22"/>
        </w:rPr>
        <w:t> </w:t>
      </w:r>
      <w:r>
        <w:rPr>
          <w:rFonts w:ascii="Times New Roman" w:hAnsi="Times New Roman"/>
          <w:sz w:val="22"/>
        </w:rPr>
        <w:t>ser</w:t>
      </w:r>
      <w:r>
        <w:rPr>
          <w:rFonts w:ascii="Times New Roman" w:hAnsi="Times New Roman"/>
          <w:spacing w:val="-4"/>
          <w:sz w:val="22"/>
        </w:rPr>
        <w:t> </w:t>
      </w:r>
      <w:r>
        <w:rPr>
          <w:rFonts w:ascii="Times New Roman" w:hAnsi="Times New Roman"/>
          <w:sz w:val="22"/>
        </w:rPr>
        <w:t>humano,</w:t>
      </w:r>
      <w:r>
        <w:rPr>
          <w:rFonts w:ascii="Times New Roman" w:hAnsi="Times New Roman"/>
          <w:spacing w:val="-3"/>
          <w:sz w:val="22"/>
        </w:rPr>
        <w:t> </w:t>
      </w:r>
      <w:r>
        <w:rPr>
          <w:rFonts w:ascii="Times New Roman" w:hAnsi="Times New Roman"/>
          <w:sz w:val="22"/>
        </w:rPr>
        <w:t>além</w:t>
      </w:r>
      <w:r>
        <w:rPr>
          <w:rFonts w:ascii="Times New Roman" w:hAnsi="Times New Roman"/>
          <w:spacing w:val="-7"/>
          <w:sz w:val="22"/>
        </w:rPr>
        <w:t> </w:t>
      </w:r>
      <w:r>
        <w:rPr>
          <w:rFonts w:ascii="Times New Roman" w:hAnsi="Times New Roman"/>
          <w:sz w:val="22"/>
        </w:rPr>
        <w:t>do</w:t>
      </w:r>
      <w:r>
        <w:rPr>
          <w:rFonts w:ascii="Times New Roman" w:hAnsi="Times New Roman"/>
          <w:spacing w:val="-5"/>
          <w:sz w:val="22"/>
        </w:rPr>
        <w:t> </w:t>
      </w:r>
      <w:r>
        <w:rPr>
          <w:rFonts w:ascii="Times New Roman" w:hAnsi="Times New Roman"/>
          <w:sz w:val="22"/>
        </w:rPr>
        <w:t>fiel</w:t>
      </w:r>
      <w:r>
        <w:rPr>
          <w:rFonts w:ascii="Times New Roman" w:hAnsi="Times New Roman"/>
          <w:spacing w:val="-3"/>
          <w:sz w:val="22"/>
        </w:rPr>
        <w:t> </w:t>
      </w:r>
      <w:r>
        <w:rPr>
          <w:rFonts w:ascii="Times New Roman" w:hAnsi="Times New Roman"/>
          <w:sz w:val="22"/>
        </w:rPr>
        <w:t>cumprimento</w:t>
      </w:r>
      <w:r>
        <w:rPr>
          <w:rFonts w:ascii="Times New Roman" w:hAnsi="Times New Roman"/>
          <w:spacing w:val="-4"/>
          <w:sz w:val="22"/>
        </w:rPr>
        <w:t> </w:t>
      </w:r>
      <w:r>
        <w:rPr>
          <w:rFonts w:ascii="Times New Roman" w:hAnsi="Times New Roman"/>
          <w:sz w:val="22"/>
        </w:rPr>
        <w:t>dos</w:t>
      </w:r>
      <w:r>
        <w:rPr>
          <w:rFonts w:ascii="Times New Roman" w:hAnsi="Times New Roman"/>
          <w:spacing w:val="-3"/>
          <w:sz w:val="22"/>
        </w:rPr>
        <w:t> </w:t>
      </w:r>
      <w:r>
        <w:rPr>
          <w:rFonts w:ascii="Times New Roman" w:hAnsi="Times New Roman"/>
          <w:sz w:val="22"/>
        </w:rPr>
        <w:t>dispositivos</w:t>
      </w:r>
      <w:r>
        <w:rPr>
          <w:rFonts w:ascii="Times New Roman" w:hAnsi="Times New Roman"/>
          <w:spacing w:val="-4"/>
          <w:sz w:val="22"/>
        </w:rPr>
        <w:t> </w:t>
      </w:r>
      <w:r>
        <w:rPr>
          <w:rFonts w:ascii="Times New Roman" w:hAnsi="Times New Roman"/>
          <w:sz w:val="22"/>
        </w:rPr>
        <w:t>constitucionais,</w:t>
      </w:r>
      <w:r>
        <w:rPr>
          <w:rFonts w:ascii="Times New Roman" w:hAnsi="Times New Roman"/>
          <w:spacing w:val="-3"/>
          <w:sz w:val="22"/>
        </w:rPr>
        <w:t> </w:t>
      </w:r>
      <w:r>
        <w:rPr>
          <w:rFonts w:ascii="Times New Roman" w:hAnsi="Times New Roman"/>
          <w:sz w:val="22"/>
        </w:rPr>
        <w:t>legislatórios, previdenciários, tributários e normativos da Companhia. Também o ano de 2019 foi caracterizado pela busca de saneamento da FACEB, entidade de previdência complementar dos empregados, que apresenta desequilíbrio atuarial. Mudanças estruturais e propostas de equacionamento foram apresentadas à PREVIC, agência reguladora do setor, com recente aprovação da proposta. Criar as condições de sustentabilidade da FACEB tem por objetivo dar a necessária tranquilidade aos trabalhadores, que almejam a justa aposentadoria, como também para os atuais aposentados e beneficiários daquela</w:t>
      </w:r>
      <w:r>
        <w:rPr>
          <w:rFonts w:ascii="Times New Roman" w:hAnsi="Times New Roman"/>
          <w:spacing w:val="-1"/>
          <w:sz w:val="22"/>
        </w:rPr>
        <w:t> </w:t>
      </w:r>
      <w:r>
        <w:rPr>
          <w:rFonts w:ascii="Times New Roman" w:hAnsi="Times New Roman"/>
          <w:sz w:val="22"/>
        </w:rPr>
        <w:t>entidade.</w:t>
      </w:r>
    </w:p>
    <w:p>
      <w:pPr>
        <w:spacing w:after="0" w:line="360" w:lineRule="auto"/>
        <w:jc w:val="both"/>
        <w:rPr>
          <w:rFonts w:ascii="Times New Roman" w:hAnsi="Times New Roman"/>
          <w:sz w:val="22"/>
        </w:rPr>
        <w:sectPr>
          <w:pgSz w:w="11920" w:h="16860"/>
          <w:pgMar w:header="544" w:footer="302" w:top="1360" w:bottom="500" w:left="780" w:right="280"/>
        </w:sectPr>
      </w:pPr>
    </w:p>
    <w:p>
      <w:pPr>
        <w:pStyle w:val="BodyText"/>
        <w:ind w:left="516"/>
        <w:rPr>
          <w:rFonts w:ascii="Times New Roman"/>
        </w:rPr>
      </w:pPr>
      <w:r>
        <w:rPr>
          <w:rFonts w:ascii="Times New Roman"/>
        </w:rPr>
        <w:drawing>
          <wp:inline distT="0" distB="0" distL="0" distR="0">
            <wp:extent cx="989985" cy="472249"/>
            <wp:effectExtent l="0" t="0" r="0" b="0"/>
            <wp:docPr id="61" name="image2.jpeg"/>
            <wp:cNvGraphicFramePr>
              <a:graphicFrameLocks noChangeAspect="1"/>
            </wp:cNvGraphicFramePr>
            <a:graphic>
              <a:graphicData uri="http://schemas.openxmlformats.org/drawingml/2006/picture">
                <pic:pic>
                  <pic:nvPicPr>
                    <pic:cNvPr id="62"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847" w:right="0" w:firstLine="0"/>
        <w:jc w:val="both"/>
        <w:rPr>
          <w:rFonts w:ascii="Times New Roman" w:hAnsi="Times New Roman"/>
          <w:sz w:val="22"/>
        </w:rPr>
      </w:pPr>
      <w:r>
        <w:rPr>
          <w:rFonts w:ascii="Times New Roman" w:hAnsi="Times New Roman"/>
          <w:sz w:val="22"/>
        </w:rPr>
        <w:t>Em 31 de dezembro de 2019, a CEB Distribuição S.A. possuía 886 empregados efetivos. Destes: 823 estão</w:t>
      </w:r>
    </w:p>
    <w:p>
      <w:pPr>
        <w:spacing w:line="360" w:lineRule="auto" w:before="126"/>
        <w:ind w:left="139" w:right="133" w:firstLine="0"/>
        <w:jc w:val="both"/>
        <w:rPr>
          <w:rFonts w:ascii="Times New Roman" w:hAnsi="Times New Roman"/>
          <w:sz w:val="22"/>
        </w:rPr>
      </w:pPr>
      <w:r>
        <w:rPr>
          <w:rFonts w:ascii="Times New Roman" w:hAnsi="Times New Roman"/>
          <w:sz w:val="22"/>
        </w:rPr>
        <w:t>laborando na Empresa; 7 estão cedidos para o sindicato, com ônus para a Distribuidora; 45 cedidos à Companhia Energética de Brasília – CEB e suas controladas; e os demais 11 para outros Órgãos Públicos, todos com ônus para os cessionários.</w:t>
      </w:r>
    </w:p>
    <w:p>
      <w:pPr>
        <w:pStyle w:val="BodyText"/>
        <w:spacing w:before="9"/>
        <w:rPr>
          <w:rFonts w:ascii="Times New Roman"/>
        </w:rPr>
      </w:pPr>
    </w:p>
    <w:p>
      <w:pPr>
        <w:spacing w:line="360" w:lineRule="auto" w:before="1"/>
        <w:ind w:left="139" w:right="139" w:firstLine="708"/>
        <w:jc w:val="both"/>
        <w:rPr>
          <w:rFonts w:ascii="Times New Roman" w:hAnsi="Times New Roman"/>
          <w:sz w:val="22"/>
        </w:rPr>
      </w:pPr>
      <w:r>
        <w:rPr>
          <w:rFonts w:ascii="Times New Roman" w:hAnsi="Times New Roman"/>
          <w:sz w:val="22"/>
        </w:rPr>
        <w:t>Ocorreram, ainda, 6 contratações em função de ações judiciais relacionadas com o concurso público; 19 reposições recrutadas do concurso público; e 51 desligamentos, - 35 decorrentes da política de desligamento vigente (aposentadorias) e 02 por invalidez.</w:t>
      </w:r>
    </w:p>
    <w:p>
      <w:pPr>
        <w:pStyle w:val="BodyText"/>
        <w:spacing w:before="9"/>
        <w:rPr>
          <w:rFonts w:ascii="Times New Roman"/>
        </w:rPr>
      </w:pPr>
    </w:p>
    <w:p>
      <w:pPr>
        <w:spacing w:line="360" w:lineRule="auto" w:before="0"/>
        <w:ind w:left="139" w:right="136" w:firstLine="708"/>
        <w:jc w:val="both"/>
        <w:rPr>
          <w:rFonts w:ascii="Times New Roman" w:hAnsi="Times New Roman"/>
          <w:sz w:val="22"/>
        </w:rPr>
      </w:pPr>
      <w:r>
        <w:rPr>
          <w:rFonts w:ascii="Times New Roman" w:hAnsi="Times New Roman"/>
          <w:sz w:val="22"/>
        </w:rPr>
        <w:t>Além</w:t>
      </w:r>
      <w:r>
        <w:rPr>
          <w:rFonts w:ascii="Times New Roman" w:hAnsi="Times New Roman"/>
          <w:spacing w:val="-17"/>
          <w:sz w:val="22"/>
        </w:rPr>
        <w:t> </w:t>
      </w:r>
      <w:r>
        <w:rPr>
          <w:rFonts w:ascii="Times New Roman" w:hAnsi="Times New Roman"/>
          <w:sz w:val="22"/>
        </w:rPr>
        <w:t>dos</w:t>
      </w:r>
      <w:r>
        <w:rPr>
          <w:rFonts w:ascii="Times New Roman" w:hAnsi="Times New Roman"/>
          <w:spacing w:val="-13"/>
          <w:sz w:val="22"/>
        </w:rPr>
        <w:t> </w:t>
      </w:r>
      <w:r>
        <w:rPr>
          <w:rFonts w:ascii="Times New Roman" w:hAnsi="Times New Roman"/>
          <w:sz w:val="22"/>
        </w:rPr>
        <w:t>823</w:t>
      </w:r>
      <w:r>
        <w:rPr>
          <w:rFonts w:ascii="Times New Roman" w:hAnsi="Times New Roman"/>
          <w:spacing w:val="-16"/>
          <w:sz w:val="22"/>
        </w:rPr>
        <w:t> </w:t>
      </w:r>
      <w:r>
        <w:rPr>
          <w:rFonts w:ascii="Times New Roman" w:hAnsi="Times New Roman"/>
          <w:sz w:val="22"/>
        </w:rPr>
        <w:t>empregados</w:t>
      </w:r>
      <w:r>
        <w:rPr>
          <w:rFonts w:ascii="Times New Roman" w:hAnsi="Times New Roman"/>
          <w:spacing w:val="-12"/>
          <w:sz w:val="22"/>
        </w:rPr>
        <w:t> </w:t>
      </w:r>
      <w:r>
        <w:rPr>
          <w:rFonts w:ascii="Times New Roman" w:hAnsi="Times New Roman"/>
          <w:sz w:val="22"/>
        </w:rPr>
        <w:t>em</w:t>
      </w:r>
      <w:r>
        <w:rPr>
          <w:rFonts w:ascii="Times New Roman" w:hAnsi="Times New Roman"/>
          <w:spacing w:val="-17"/>
          <w:sz w:val="22"/>
        </w:rPr>
        <w:t> </w:t>
      </w:r>
      <w:r>
        <w:rPr>
          <w:rFonts w:ascii="Times New Roman" w:hAnsi="Times New Roman"/>
          <w:sz w:val="22"/>
        </w:rPr>
        <w:t>efetivo</w:t>
      </w:r>
      <w:r>
        <w:rPr>
          <w:rFonts w:ascii="Times New Roman" w:hAnsi="Times New Roman"/>
          <w:spacing w:val="-13"/>
          <w:sz w:val="22"/>
        </w:rPr>
        <w:t> </w:t>
      </w:r>
      <w:r>
        <w:rPr>
          <w:rFonts w:ascii="Times New Roman" w:hAnsi="Times New Roman"/>
          <w:sz w:val="22"/>
        </w:rPr>
        <w:t>labor</w:t>
      </w:r>
      <w:r>
        <w:rPr>
          <w:rFonts w:ascii="Times New Roman" w:hAnsi="Times New Roman"/>
          <w:spacing w:val="-13"/>
          <w:sz w:val="22"/>
        </w:rPr>
        <w:t> </w:t>
      </w:r>
      <w:r>
        <w:rPr>
          <w:rFonts w:ascii="Times New Roman" w:hAnsi="Times New Roman"/>
          <w:sz w:val="22"/>
        </w:rPr>
        <w:t>na</w:t>
      </w:r>
      <w:r>
        <w:rPr>
          <w:rFonts w:ascii="Times New Roman" w:hAnsi="Times New Roman"/>
          <w:spacing w:val="-13"/>
          <w:sz w:val="22"/>
        </w:rPr>
        <w:t> </w:t>
      </w:r>
      <w:r>
        <w:rPr>
          <w:rFonts w:ascii="Times New Roman" w:hAnsi="Times New Roman"/>
          <w:sz w:val="22"/>
        </w:rPr>
        <w:t>CEB</w:t>
      </w:r>
      <w:r>
        <w:rPr>
          <w:rFonts w:ascii="Times New Roman" w:hAnsi="Times New Roman"/>
          <w:spacing w:val="-15"/>
          <w:sz w:val="22"/>
        </w:rPr>
        <w:t> </w:t>
      </w:r>
      <w:r>
        <w:rPr>
          <w:rFonts w:ascii="Times New Roman" w:hAnsi="Times New Roman"/>
          <w:sz w:val="22"/>
        </w:rPr>
        <w:t>Distribuição</w:t>
      </w:r>
      <w:r>
        <w:rPr>
          <w:rFonts w:ascii="Times New Roman" w:hAnsi="Times New Roman"/>
          <w:spacing w:val="-12"/>
          <w:sz w:val="22"/>
        </w:rPr>
        <w:t> </w:t>
      </w:r>
      <w:r>
        <w:rPr>
          <w:rFonts w:ascii="Times New Roman" w:hAnsi="Times New Roman"/>
          <w:sz w:val="22"/>
        </w:rPr>
        <w:t>S.A.,</w:t>
      </w:r>
      <w:r>
        <w:rPr>
          <w:rFonts w:ascii="Times New Roman" w:hAnsi="Times New Roman"/>
          <w:spacing w:val="-16"/>
          <w:sz w:val="22"/>
        </w:rPr>
        <w:t> </w:t>
      </w:r>
      <w:r>
        <w:rPr>
          <w:rFonts w:ascii="Times New Roman" w:hAnsi="Times New Roman"/>
          <w:sz w:val="22"/>
        </w:rPr>
        <w:t>a</w:t>
      </w:r>
      <w:r>
        <w:rPr>
          <w:rFonts w:ascii="Times New Roman" w:hAnsi="Times New Roman"/>
          <w:spacing w:val="-13"/>
          <w:sz w:val="22"/>
        </w:rPr>
        <w:t> </w:t>
      </w:r>
      <w:r>
        <w:rPr>
          <w:rFonts w:ascii="Times New Roman" w:hAnsi="Times New Roman"/>
          <w:sz w:val="22"/>
        </w:rPr>
        <w:t>Empresa</w:t>
      </w:r>
      <w:r>
        <w:rPr>
          <w:rFonts w:ascii="Times New Roman" w:hAnsi="Times New Roman"/>
          <w:spacing w:val="-15"/>
          <w:sz w:val="22"/>
        </w:rPr>
        <w:t> </w:t>
      </w:r>
      <w:r>
        <w:rPr>
          <w:rFonts w:ascii="Times New Roman" w:hAnsi="Times New Roman"/>
          <w:sz w:val="22"/>
        </w:rPr>
        <w:t>conta</w:t>
      </w:r>
      <w:r>
        <w:rPr>
          <w:rFonts w:ascii="Times New Roman" w:hAnsi="Times New Roman"/>
          <w:spacing w:val="-14"/>
          <w:sz w:val="22"/>
        </w:rPr>
        <w:t> </w:t>
      </w:r>
      <w:r>
        <w:rPr>
          <w:rFonts w:ascii="Times New Roman" w:hAnsi="Times New Roman"/>
          <w:sz w:val="22"/>
        </w:rPr>
        <w:t>com</w:t>
      </w:r>
      <w:r>
        <w:rPr>
          <w:rFonts w:ascii="Times New Roman" w:hAnsi="Times New Roman"/>
          <w:spacing w:val="-17"/>
          <w:sz w:val="22"/>
        </w:rPr>
        <w:t> </w:t>
      </w:r>
      <w:r>
        <w:rPr>
          <w:rFonts w:ascii="Times New Roman" w:hAnsi="Times New Roman"/>
          <w:sz w:val="22"/>
        </w:rPr>
        <w:t>7</w:t>
      </w:r>
      <w:r>
        <w:rPr>
          <w:rFonts w:ascii="Times New Roman" w:hAnsi="Times New Roman"/>
          <w:spacing w:val="-13"/>
          <w:sz w:val="22"/>
        </w:rPr>
        <w:t> </w:t>
      </w:r>
      <w:r>
        <w:rPr>
          <w:rFonts w:ascii="Times New Roman" w:hAnsi="Times New Roman"/>
          <w:sz w:val="22"/>
        </w:rPr>
        <w:t>servidores</w:t>
      </w:r>
      <w:r>
        <w:rPr>
          <w:rFonts w:ascii="Times New Roman" w:hAnsi="Times New Roman"/>
          <w:spacing w:val="33"/>
          <w:sz w:val="22"/>
        </w:rPr>
        <w:t> </w:t>
      </w:r>
      <w:r>
        <w:rPr>
          <w:rFonts w:ascii="Times New Roman" w:hAnsi="Times New Roman"/>
          <w:sz w:val="22"/>
        </w:rPr>
        <w:t>cedidos pelos governos do DF e da União Federal. Finalmente, em atendimento ao seu papel social, a CEB Distribuição S.A. propicia aprendizagens supervisionadas para 42 Jovens Aprendizes e 45</w:t>
      </w:r>
      <w:r>
        <w:rPr>
          <w:rFonts w:ascii="Times New Roman" w:hAnsi="Times New Roman"/>
          <w:spacing w:val="-6"/>
          <w:sz w:val="22"/>
        </w:rPr>
        <w:t> </w:t>
      </w:r>
      <w:r>
        <w:rPr>
          <w:rFonts w:ascii="Times New Roman" w:hAnsi="Times New Roman"/>
          <w:sz w:val="22"/>
        </w:rPr>
        <w:t>Estagiários.</w:t>
      </w:r>
    </w:p>
    <w:p>
      <w:pPr>
        <w:pStyle w:val="BodyText"/>
        <w:rPr>
          <w:rFonts w:ascii="Times New Roman"/>
          <w:sz w:val="21"/>
        </w:rPr>
      </w:pPr>
    </w:p>
    <w:p>
      <w:pPr>
        <w:spacing w:line="360" w:lineRule="auto" w:before="0"/>
        <w:ind w:left="139" w:right="146" w:firstLine="708"/>
        <w:jc w:val="both"/>
        <w:rPr>
          <w:rFonts w:ascii="Times New Roman" w:hAnsi="Times New Roman"/>
          <w:sz w:val="22"/>
        </w:rPr>
      </w:pPr>
      <w:r>
        <w:rPr>
          <w:rFonts w:ascii="Times New Roman" w:hAnsi="Times New Roman"/>
          <w:sz w:val="22"/>
        </w:rPr>
        <w:t>Quanto às capacitações, foram realizados 105 eventos de treinamentos para o desenvolvimento da força de trabalho, perfazendo 27.592h de treinamento. Os principais cursos e eventos realizados foram:</w:t>
      </w:r>
    </w:p>
    <w:p>
      <w:pPr>
        <w:pStyle w:val="BodyText"/>
        <w:spacing w:before="2"/>
        <w:rPr>
          <w:rFonts w:ascii="Times New Roman"/>
          <w:sz w:val="21"/>
        </w:rPr>
      </w:pPr>
    </w:p>
    <w:p>
      <w:pPr>
        <w:pStyle w:val="ListParagraph"/>
        <w:numPr>
          <w:ilvl w:val="0"/>
          <w:numId w:val="5"/>
        </w:numPr>
        <w:tabs>
          <w:tab w:pos="1557" w:val="left" w:leader="none"/>
          <w:tab w:pos="1558" w:val="left" w:leader="none"/>
        </w:tabs>
        <w:spacing w:line="240" w:lineRule="auto" w:before="0" w:after="0"/>
        <w:ind w:left="1558" w:right="0" w:hanging="646"/>
        <w:jc w:val="left"/>
        <w:rPr>
          <w:rFonts w:ascii="Times New Roman" w:hAnsi="Times New Roman"/>
          <w:sz w:val="22"/>
        </w:rPr>
      </w:pPr>
      <w:r>
        <w:rPr>
          <w:rFonts w:ascii="Times New Roman" w:hAnsi="Times New Roman"/>
          <w:sz w:val="22"/>
        </w:rPr>
        <w:t>Formação e reciclagem em NR 10 – Segurança em Instalações e Serviços em</w:t>
      </w:r>
      <w:r>
        <w:rPr>
          <w:rFonts w:ascii="Times New Roman" w:hAnsi="Times New Roman"/>
          <w:spacing w:val="-16"/>
          <w:sz w:val="22"/>
        </w:rPr>
        <w:t> </w:t>
      </w:r>
      <w:r>
        <w:rPr>
          <w:rFonts w:ascii="Times New Roman" w:hAnsi="Times New Roman"/>
          <w:sz w:val="22"/>
        </w:rPr>
        <w:t>Eletricidade;</w:t>
      </w:r>
    </w:p>
    <w:p>
      <w:pPr>
        <w:pStyle w:val="ListParagraph"/>
        <w:numPr>
          <w:ilvl w:val="0"/>
          <w:numId w:val="5"/>
        </w:numPr>
        <w:tabs>
          <w:tab w:pos="1557" w:val="left" w:leader="none"/>
          <w:tab w:pos="1558" w:val="left" w:leader="none"/>
        </w:tabs>
        <w:spacing w:line="240" w:lineRule="auto" w:before="129" w:after="0"/>
        <w:ind w:left="1558" w:right="0" w:hanging="646"/>
        <w:jc w:val="left"/>
        <w:rPr>
          <w:rFonts w:ascii="Times New Roman" w:hAnsi="Times New Roman"/>
          <w:sz w:val="22"/>
        </w:rPr>
      </w:pPr>
      <w:r>
        <w:rPr>
          <w:rFonts w:ascii="Times New Roman" w:hAnsi="Times New Roman"/>
          <w:sz w:val="22"/>
        </w:rPr>
        <w:t>Formação e reciclagem em NR 33 – Trabalho em Espaço</w:t>
      </w:r>
      <w:r>
        <w:rPr>
          <w:rFonts w:ascii="Times New Roman" w:hAnsi="Times New Roman"/>
          <w:spacing w:val="-12"/>
          <w:sz w:val="22"/>
        </w:rPr>
        <w:t> </w:t>
      </w:r>
      <w:r>
        <w:rPr>
          <w:rFonts w:ascii="Times New Roman" w:hAnsi="Times New Roman"/>
          <w:sz w:val="22"/>
        </w:rPr>
        <w:t>Confinado;</w:t>
      </w:r>
    </w:p>
    <w:p>
      <w:pPr>
        <w:pStyle w:val="ListParagraph"/>
        <w:numPr>
          <w:ilvl w:val="0"/>
          <w:numId w:val="5"/>
        </w:numPr>
        <w:tabs>
          <w:tab w:pos="1557" w:val="left" w:leader="none"/>
          <w:tab w:pos="1558" w:val="left" w:leader="none"/>
        </w:tabs>
        <w:spacing w:line="240" w:lineRule="auto" w:before="126" w:after="0"/>
        <w:ind w:left="1558" w:right="0" w:hanging="646"/>
        <w:jc w:val="left"/>
        <w:rPr>
          <w:rFonts w:ascii="Times New Roman" w:hAnsi="Times New Roman"/>
          <w:sz w:val="22"/>
        </w:rPr>
      </w:pPr>
      <w:r>
        <w:rPr>
          <w:rFonts w:ascii="Times New Roman" w:hAnsi="Times New Roman"/>
          <w:sz w:val="22"/>
        </w:rPr>
        <w:t>Formação e reciclagem em NR 35 – Trabalho em</w:t>
      </w:r>
      <w:r>
        <w:rPr>
          <w:rFonts w:ascii="Times New Roman" w:hAnsi="Times New Roman"/>
          <w:spacing w:val="-13"/>
          <w:sz w:val="22"/>
        </w:rPr>
        <w:t> </w:t>
      </w:r>
      <w:r>
        <w:rPr>
          <w:rFonts w:ascii="Times New Roman" w:hAnsi="Times New Roman"/>
          <w:sz w:val="22"/>
        </w:rPr>
        <w:t>Altura;</w:t>
      </w:r>
    </w:p>
    <w:p>
      <w:pPr>
        <w:pStyle w:val="ListParagraph"/>
        <w:numPr>
          <w:ilvl w:val="0"/>
          <w:numId w:val="5"/>
        </w:numPr>
        <w:tabs>
          <w:tab w:pos="1557" w:val="left" w:leader="none"/>
          <w:tab w:pos="1558" w:val="left" w:leader="none"/>
        </w:tabs>
        <w:spacing w:line="240" w:lineRule="auto" w:before="128" w:after="0"/>
        <w:ind w:left="1558" w:right="0" w:hanging="646"/>
        <w:jc w:val="left"/>
        <w:rPr>
          <w:rFonts w:ascii="Times New Roman" w:hAnsi="Times New Roman"/>
          <w:sz w:val="22"/>
        </w:rPr>
      </w:pPr>
      <w:r>
        <w:rPr>
          <w:rFonts w:ascii="Times New Roman" w:hAnsi="Times New Roman"/>
          <w:sz w:val="22"/>
        </w:rPr>
        <w:t>Formação em NR 05 – Curso para membros da</w:t>
      </w:r>
      <w:r>
        <w:rPr>
          <w:rFonts w:ascii="Times New Roman" w:hAnsi="Times New Roman"/>
          <w:spacing w:val="-5"/>
          <w:sz w:val="22"/>
        </w:rPr>
        <w:t> </w:t>
      </w:r>
      <w:r>
        <w:rPr>
          <w:rFonts w:ascii="Times New Roman" w:hAnsi="Times New Roman"/>
          <w:sz w:val="22"/>
        </w:rPr>
        <w:t>CIPA;</w:t>
      </w:r>
    </w:p>
    <w:p>
      <w:pPr>
        <w:pStyle w:val="ListParagraph"/>
        <w:numPr>
          <w:ilvl w:val="0"/>
          <w:numId w:val="5"/>
        </w:numPr>
        <w:tabs>
          <w:tab w:pos="1557" w:val="left" w:leader="none"/>
          <w:tab w:pos="1558" w:val="left" w:leader="none"/>
        </w:tabs>
        <w:spacing w:line="240" w:lineRule="auto" w:before="129" w:after="0"/>
        <w:ind w:left="1558" w:right="0" w:hanging="646"/>
        <w:jc w:val="left"/>
        <w:rPr>
          <w:rFonts w:ascii="Times New Roman" w:hAnsi="Times New Roman"/>
          <w:sz w:val="22"/>
        </w:rPr>
      </w:pPr>
      <w:r>
        <w:rPr>
          <w:rFonts w:ascii="Times New Roman" w:hAnsi="Times New Roman"/>
          <w:sz w:val="22"/>
        </w:rPr>
        <w:t>Formação em Sistemas Elétricos</w:t>
      </w:r>
      <w:r>
        <w:rPr>
          <w:rFonts w:ascii="Times New Roman" w:hAnsi="Times New Roman"/>
          <w:spacing w:val="-5"/>
          <w:sz w:val="22"/>
        </w:rPr>
        <w:t> </w:t>
      </w:r>
      <w:r>
        <w:rPr>
          <w:rFonts w:ascii="Times New Roman" w:hAnsi="Times New Roman"/>
          <w:sz w:val="22"/>
        </w:rPr>
        <w:t>Prediais;</w:t>
      </w:r>
    </w:p>
    <w:p>
      <w:pPr>
        <w:pStyle w:val="ListParagraph"/>
        <w:numPr>
          <w:ilvl w:val="0"/>
          <w:numId w:val="5"/>
        </w:numPr>
        <w:tabs>
          <w:tab w:pos="1557" w:val="left" w:leader="none"/>
          <w:tab w:pos="1558" w:val="left" w:leader="none"/>
        </w:tabs>
        <w:spacing w:line="240" w:lineRule="auto" w:before="126" w:after="0"/>
        <w:ind w:left="1558" w:right="0" w:hanging="646"/>
        <w:jc w:val="left"/>
        <w:rPr>
          <w:rFonts w:ascii="Times New Roman" w:hAnsi="Times New Roman"/>
          <w:sz w:val="22"/>
        </w:rPr>
      </w:pPr>
      <w:r>
        <w:rPr>
          <w:rFonts w:ascii="Times New Roman" w:hAnsi="Times New Roman"/>
          <w:sz w:val="22"/>
        </w:rPr>
        <w:t>Curso de formação de eletricista para o cargo ASOE</w:t>
      </w:r>
      <w:r>
        <w:rPr>
          <w:rFonts w:ascii="Times New Roman" w:hAnsi="Times New Roman"/>
          <w:spacing w:val="-4"/>
          <w:sz w:val="22"/>
        </w:rPr>
        <w:t> </w:t>
      </w:r>
      <w:r>
        <w:rPr>
          <w:rFonts w:ascii="Times New Roman" w:hAnsi="Times New Roman"/>
          <w:sz w:val="22"/>
        </w:rPr>
        <w:t>(520h);</w:t>
      </w:r>
    </w:p>
    <w:p>
      <w:pPr>
        <w:pStyle w:val="ListParagraph"/>
        <w:numPr>
          <w:ilvl w:val="0"/>
          <w:numId w:val="5"/>
        </w:numPr>
        <w:tabs>
          <w:tab w:pos="1557" w:val="left" w:leader="none"/>
          <w:tab w:pos="1558" w:val="left" w:leader="none"/>
        </w:tabs>
        <w:spacing w:line="240" w:lineRule="auto" w:before="129" w:after="0"/>
        <w:ind w:left="1558" w:right="0" w:hanging="646"/>
        <w:jc w:val="left"/>
        <w:rPr>
          <w:rFonts w:ascii="Times New Roman" w:hAnsi="Times New Roman"/>
          <w:sz w:val="22"/>
        </w:rPr>
      </w:pPr>
      <w:r>
        <w:rPr>
          <w:rFonts w:ascii="Times New Roman" w:hAnsi="Times New Roman"/>
          <w:sz w:val="22"/>
        </w:rPr>
        <w:t>Curso de formação de eletricistas terceirizados</w:t>
      </w:r>
      <w:r>
        <w:rPr>
          <w:rFonts w:ascii="Times New Roman" w:hAnsi="Times New Roman"/>
          <w:spacing w:val="-5"/>
          <w:sz w:val="22"/>
        </w:rPr>
        <w:t> </w:t>
      </w:r>
      <w:r>
        <w:rPr>
          <w:rFonts w:ascii="Times New Roman" w:hAnsi="Times New Roman"/>
          <w:sz w:val="22"/>
        </w:rPr>
        <w:t>(520h);</w:t>
      </w:r>
    </w:p>
    <w:p>
      <w:pPr>
        <w:pStyle w:val="ListParagraph"/>
        <w:numPr>
          <w:ilvl w:val="0"/>
          <w:numId w:val="5"/>
        </w:numPr>
        <w:tabs>
          <w:tab w:pos="1557" w:val="left" w:leader="none"/>
          <w:tab w:pos="1558" w:val="left" w:leader="none"/>
        </w:tabs>
        <w:spacing w:line="240" w:lineRule="auto" w:before="126" w:after="0"/>
        <w:ind w:left="1558" w:right="0" w:hanging="646"/>
        <w:jc w:val="left"/>
        <w:rPr>
          <w:rFonts w:ascii="Times New Roman" w:hAnsi="Times New Roman"/>
          <w:sz w:val="22"/>
        </w:rPr>
      </w:pPr>
      <w:r>
        <w:rPr>
          <w:rFonts w:ascii="Times New Roman" w:hAnsi="Times New Roman"/>
          <w:sz w:val="22"/>
        </w:rPr>
        <w:t>Curso de capacitação no</w:t>
      </w:r>
      <w:r>
        <w:rPr>
          <w:rFonts w:ascii="Times New Roman" w:hAnsi="Times New Roman"/>
          <w:spacing w:val="-1"/>
          <w:sz w:val="22"/>
        </w:rPr>
        <w:t> </w:t>
      </w:r>
      <w:r>
        <w:rPr>
          <w:rFonts w:ascii="Times New Roman" w:hAnsi="Times New Roman"/>
          <w:sz w:val="22"/>
        </w:rPr>
        <w:t>SEI;</w:t>
      </w:r>
    </w:p>
    <w:p>
      <w:pPr>
        <w:pStyle w:val="ListParagraph"/>
        <w:numPr>
          <w:ilvl w:val="0"/>
          <w:numId w:val="5"/>
        </w:numPr>
        <w:tabs>
          <w:tab w:pos="1557" w:val="left" w:leader="none"/>
          <w:tab w:pos="1558" w:val="left" w:leader="none"/>
        </w:tabs>
        <w:spacing w:line="240" w:lineRule="auto" w:before="129" w:after="0"/>
        <w:ind w:left="1558" w:right="0" w:hanging="646"/>
        <w:jc w:val="left"/>
        <w:rPr>
          <w:rFonts w:ascii="Times New Roman" w:hAnsi="Times New Roman"/>
          <w:sz w:val="22"/>
        </w:rPr>
      </w:pPr>
      <w:r>
        <w:rPr>
          <w:rFonts w:ascii="Times New Roman" w:hAnsi="Times New Roman"/>
          <w:sz w:val="22"/>
        </w:rPr>
        <w:t>Curso de integração para novos</w:t>
      </w:r>
      <w:r>
        <w:rPr>
          <w:rFonts w:ascii="Times New Roman" w:hAnsi="Times New Roman"/>
          <w:spacing w:val="-1"/>
          <w:sz w:val="22"/>
        </w:rPr>
        <w:t> </w:t>
      </w:r>
      <w:r>
        <w:rPr>
          <w:rFonts w:ascii="Times New Roman" w:hAnsi="Times New Roman"/>
          <w:sz w:val="22"/>
        </w:rPr>
        <w:t>empregados;</w:t>
      </w:r>
    </w:p>
    <w:p>
      <w:pPr>
        <w:pStyle w:val="ListParagraph"/>
        <w:numPr>
          <w:ilvl w:val="0"/>
          <w:numId w:val="5"/>
        </w:numPr>
        <w:tabs>
          <w:tab w:pos="1557" w:val="left" w:leader="none"/>
          <w:tab w:pos="1558" w:val="left" w:leader="none"/>
        </w:tabs>
        <w:spacing w:line="240" w:lineRule="auto" w:before="128" w:after="0"/>
        <w:ind w:left="1558" w:right="0" w:hanging="646"/>
        <w:jc w:val="left"/>
        <w:rPr>
          <w:rFonts w:ascii="Times New Roman" w:hAnsi="Times New Roman"/>
          <w:sz w:val="22"/>
        </w:rPr>
      </w:pPr>
      <w:r>
        <w:rPr>
          <w:rFonts w:ascii="Times New Roman" w:hAnsi="Times New Roman"/>
          <w:sz w:val="22"/>
        </w:rPr>
        <w:t>Treinamento do módulo PM - Sistema</w:t>
      </w:r>
      <w:r>
        <w:rPr>
          <w:rFonts w:ascii="Times New Roman" w:hAnsi="Times New Roman"/>
          <w:spacing w:val="-3"/>
          <w:sz w:val="22"/>
        </w:rPr>
        <w:t> </w:t>
      </w:r>
      <w:r>
        <w:rPr>
          <w:rFonts w:ascii="Times New Roman" w:hAnsi="Times New Roman"/>
          <w:sz w:val="22"/>
        </w:rPr>
        <w:t>SAP;</w:t>
      </w:r>
    </w:p>
    <w:p>
      <w:pPr>
        <w:pStyle w:val="ListParagraph"/>
        <w:numPr>
          <w:ilvl w:val="0"/>
          <w:numId w:val="5"/>
        </w:numPr>
        <w:tabs>
          <w:tab w:pos="1557" w:val="left" w:leader="none"/>
          <w:tab w:pos="1558" w:val="left" w:leader="none"/>
        </w:tabs>
        <w:spacing w:line="240" w:lineRule="auto" w:before="126" w:after="0"/>
        <w:ind w:left="1558" w:right="0" w:hanging="646"/>
        <w:jc w:val="left"/>
        <w:rPr>
          <w:rFonts w:ascii="Times New Roman" w:hAnsi="Times New Roman"/>
          <w:sz w:val="22"/>
        </w:rPr>
      </w:pPr>
      <w:r>
        <w:rPr>
          <w:rFonts w:ascii="Times New Roman" w:hAnsi="Times New Roman"/>
          <w:sz w:val="22"/>
        </w:rPr>
        <w:t>Código de conduta e</w:t>
      </w:r>
      <w:r>
        <w:rPr>
          <w:rFonts w:ascii="Times New Roman" w:hAnsi="Times New Roman"/>
          <w:spacing w:val="-3"/>
          <w:sz w:val="22"/>
        </w:rPr>
        <w:t> </w:t>
      </w:r>
      <w:r>
        <w:rPr>
          <w:rFonts w:ascii="Times New Roman" w:hAnsi="Times New Roman"/>
          <w:sz w:val="22"/>
        </w:rPr>
        <w:t>integridade;</w:t>
      </w:r>
    </w:p>
    <w:p>
      <w:pPr>
        <w:pStyle w:val="ListParagraph"/>
        <w:numPr>
          <w:ilvl w:val="0"/>
          <w:numId w:val="5"/>
        </w:numPr>
        <w:tabs>
          <w:tab w:pos="1557" w:val="left" w:leader="none"/>
          <w:tab w:pos="1558" w:val="left" w:leader="none"/>
        </w:tabs>
        <w:spacing w:line="240" w:lineRule="auto" w:before="129" w:after="0"/>
        <w:ind w:left="1558" w:right="0" w:hanging="646"/>
        <w:jc w:val="left"/>
        <w:rPr>
          <w:rFonts w:ascii="Times New Roman" w:hAnsi="Times New Roman"/>
          <w:sz w:val="22"/>
        </w:rPr>
      </w:pPr>
      <w:r>
        <w:rPr>
          <w:rFonts w:ascii="Times New Roman" w:hAnsi="Times New Roman"/>
          <w:sz w:val="22"/>
        </w:rPr>
        <w:t>Gestão de Riscos - Lei</w:t>
      </w:r>
      <w:r>
        <w:rPr>
          <w:rFonts w:ascii="Times New Roman" w:hAnsi="Times New Roman"/>
          <w:spacing w:val="-5"/>
          <w:sz w:val="22"/>
        </w:rPr>
        <w:t> </w:t>
      </w:r>
      <w:r>
        <w:rPr>
          <w:rFonts w:ascii="Times New Roman" w:hAnsi="Times New Roman"/>
          <w:sz w:val="22"/>
        </w:rPr>
        <w:t>13.303/2016;</w:t>
      </w:r>
    </w:p>
    <w:p>
      <w:pPr>
        <w:pStyle w:val="ListParagraph"/>
        <w:numPr>
          <w:ilvl w:val="0"/>
          <w:numId w:val="5"/>
        </w:numPr>
        <w:tabs>
          <w:tab w:pos="1557" w:val="left" w:leader="none"/>
          <w:tab w:pos="1558" w:val="left" w:leader="none"/>
        </w:tabs>
        <w:spacing w:line="355" w:lineRule="auto" w:before="128" w:after="0"/>
        <w:ind w:left="1558" w:right="144" w:hanging="646"/>
        <w:jc w:val="left"/>
        <w:rPr>
          <w:rFonts w:ascii="Times New Roman" w:hAnsi="Times New Roman"/>
          <w:sz w:val="22"/>
        </w:rPr>
      </w:pPr>
      <w:r>
        <w:rPr>
          <w:rFonts w:ascii="Times New Roman" w:hAnsi="Times New Roman"/>
          <w:sz w:val="22"/>
        </w:rPr>
        <w:t>Curso de aprimoramento em Governança Coorporativa e Mercado e Capitais para Administradores de Empresas Públicas e Sociedade de Economia</w:t>
      </w:r>
      <w:r>
        <w:rPr>
          <w:rFonts w:ascii="Times New Roman" w:hAnsi="Times New Roman"/>
          <w:spacing w:val="-3"/>
          <w:sz w:val="22"/>
        </w:rPr>
        <w:t> </w:t>
      </w:r>
      <w:r>
        <w:rPr>
          <w:rFonts w:ascii="Times New Roman" w:hAnsi="Times New Roman"/>
          <w:sz w:val="22"/>
        </w:rPr>
        <w:t>Mista;</w:t>
      </w:r>
    </w:p>
    <w:p>
      <w:pPr>
        <w:pStyle w:val="ListParagraph"/>
        <w:numPr>
          <w:ilvl w:val="0"/>
          <w:numId w:val="5"/>
        </w:numPr>
        <w:tabs>
          <w:tab w:pos="1557" w:val="left" w:leader="none"/>
          <w:tab w:pos="1558" w:val="left" w:leader="none"/>
        </w:tabs>
        <w:spacing w:line="240" w:lineRule="auto" w:before="9" w:after="0"/>
        <w:ind w:left="1558" w:right="0" w:hanging="646"/>
        <w:jc w:val="left"/>
        <w:rPr>
          <w:rFonts w:ascii="Times New Roman" w:hAnsi="Times New Roman"/>
          <w:sz w:val="22"/>
        </w:rPr>
      </w:pPr>
      <w:r>
        <w:rPr>
          <w:rFonts w:ascii="Times New Roman" w:hAnsi="Times New Roman"/>
          <w:sz w:val="22"/>
        </w:rPr>
        <w:t>Curso de Diretrizes para Orçamento</w:t>
      </w:r>
      <w:r>
        <w:rPr>
          <w:rFonts w:ascii="Times New Roman" w:hAnsi="Times New Roman"/>
          <w:spacing w:val="-1"/>
          <w:sz w:val="22"/>
        </w:rPr>
        <w:t> </w:t>
      </w:r>
      <w:r>
        <w:rPr>
          <w:rFonts w:ascii="Times New Roman" w:hAnsi="Times New Roman"/>
          <w:sz w:val="22"/>
        </w:rPr>
        <w:t>2020.</w:t>
      </w:r>
    </w:p>
    <w:p>
      <w:pPr>
        <w:pStyle w:val="BodyText"/>
        <w:spacing w:before="9"/>
        <w:rPr>
          <w:rFonts w:ascii="Times New Roman"/>
          <w:sz w:val="31"/>
        </w:rPr>
      </w:pPr>
    </w:p>
    <w:p>
      <w:pPr>
        <w:spacing w:line="360" w:lineRule="auto" w:before="0"/>
        <w:ind w:left="139" w:right="148" w:firstLine="708"/>
        <w:jc w:val="both"/>
        <w:rPr>
          <w:rFonts w:ascii="Times New Roman" w:hAnsi="Times New Roman"/>
          <w:sz w:val="22"/>
        </w:rPr>
      </w:pPr>
      <w:r>
        <w:rPr>
          <w:rFonts w:ascii="Times New Roman" w:hAnsi="Times New Roman"/>
          <w:sz w:val="22"/>
        </w:rPr>
        <w:t>Atualmente, o quadro de pessoal do Grupo CEB é composto por 1.042 empregados e colaboradores, conforme demonstra o quadro seguinte:</w:t>
      </w:r>
    </w:p>
    <w:p>
      <w:pPr>
        <w:pStyle w:val="BodyText"/>
        <w:spacing w:before="10" w:after="1"/>
        <w:rPr>
          <w:rFonts w:ascii="Times New Roman"/>
          <w:sz w:val="10"/>
        </w:rPr>
      </w:pPr>
    </w:p>
    <w:tbl>
      <w:tblPr>
        <w:tblW w:w="0" w:type="auto"/>
        <w:jc w:val="left"/>
        <w:tblInd w:w="372"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CellMar>
          <w:top w:w="0" w:type="dxa"/>
          <w:left w:w="0" w:type="dxa"/>
          <w:bottom w:w="0" w:type="dxa"/>
          <w:right w:w="0" w:type="dxa"/>
        </w:tblCellMar>
        <w:tblLook w:val="01E0"/>
      </w:tblPr>
      <w:tblGrid>
        <w:gridCol w:w="2206"/>
        <w:gridCol w:w="1188"/>
        <w:gridCol w:w="1397"/>
        <w:gridCol w:w="1188"/>
        <w:gridCol w:w="1189"/>
        <w:gridCol w:w="1553"/>
        <w:gridCol w:w="1191"/>
      </w:tblGrid>
      <w:tr>
        <w:trPr>
          <w:trHeight w:val="710" w:hRule="atLeast"/>
        </w:trPr>
        <w:tc>
          <w:tcPr>
            <w:tcW w:w="2206" w:type="dxa"/>
            <w:tcBorders>
              <w:top w:val="nil"/>
              <w:left w:val="nil"/>
              <w:bottom w:val="nil"/>
              <w:right w:val="nil"/>
            </w:tcBorders>
            <w:shd w:val="clear" w:color="auto" w:fill="4470C4"/>
          </w:tcPr>
          <w:p>
            <w:pPr>
              <w:pStyle w:val="TableParagraph"/>
              <w:spacing w:before="10"/>
              <w:rPr>
                <w:rFonts w:ascii="Times New Roman"/>
                <w:sz w:val="20"/>
              </w:rPr>
            </w:pPr>
          </w:p>
          <w:p>
            <w:pPr>
              <w:pStyle w:val="TableParagraph"/>
              <w:ind w:left="751"/>
              <w:rPr>
                <w:rFonts w:ascii="Times New Roman"/>
                <w:b/>
                <w:sz w:val="20"/>
              </w:rPr>
            </w:pPr>
            <w:r>
              <w:rPr>
                <w:rFonts w:ascii="Times New Roman"/>
                <w:b/>
                <w:color w:val="FFFFFF"/>
                <w:sz w:val="20"/>
              </w:rPr>
              <w:t>(R$ Mil)</w:t>
            </w:r>
          </w:p>
        </w:tc>
        <w:tc>
          <w:tcPr>
            <w:tcW w:w="1188" w:type="dxa"/>
            <w:tcBorders>
              <w:top w:val="nil"/>
              <w:left w:val="nil"/>
              <w:bottom w:val="nil"/>
              <w:right w:val="nil"/>
            </w:tcBorders>
            <w:shd w:val="clear" w:color="auto" w:fill="4470C4"/>
          </w:tcPr>
          <w:p>
            <w:pPr>
              <w:pStyle w:val="TableParagraph"/>
              <w:spacing w:before="10"/>
              <w:rPr>
                <w:rFonts w:ascii="Times New Roman"/>
                <w:sz w:val="20"/>
              </w:rPr>
            </w:pPr>
          </w:p>
          <w:p>
            <w:pPr>
              <w:pStyle w:val="TableParagraph"/>
              <w:ind w:left="398"/>
              <w:rPr>
                <w:rFonts w:ascii="Times New Roman"/>
                <w:b/>
                <w:sz w:val="20"/>
              </w:rPr>
            </w:pPr>
            <w:r>
              <w:rPr>
                <w:rFonts w:ascii="Times New Roman"/>
                <w:b/>
                <w:color w:val="FFFFFF"/>
                <w:sz w:val="20"/>
              </w:rPr>
              <w:t>CEB</w:t>
            </w:r>
          </w:p>
        </w:tc>
        <w:tc>
          <w:tcPr>
            <w:tcW w:w="1397" w:type="dxa"/>
            <w:tcBorders>
              <w:top w:val="nil"/>
              <w:left w:val="nil"/>
              <w:bottom w:val="nil"/>
              <w:right w:val="nil"/>
            </w:tcBorders>
            <w:shd w:val="clear" w:color="auto" w:fill="4470C4"/>
          </w:tcPr>
          <w:p>
            <w:pPr>
              <w:pStyle w:val="TableParagraph"/>
              <w:spacing w:before="10"/>
              <w:ind w:left="210" w:right="195"/>
              <w:jc w:val="center"/>
              <w:rPr>
                <w:rFonts w:ascii="Times New Roman"/>
                <w:b/>
                <w:sz w:val="20"/>
              </w:rPr>
            </w:pPr>
            <w:r>
              <w:rPr>
                <w:rFonts w:ascii="Times New Roman"/>
                <w:b/>
                <w:color w:val="FFFFFF"/>
                <w:sz w:val="20"/>
              </w:rPr>
              <w:t>CEB</w:t>
            </w:r>
          </w:p>
          <w:p>
            <w:pPr>
              <w:pStyle w:val="TableParagraph"/>
              <w:spacing w:line="230" w:lineRule="atLeast"/>
              <w:ind w:left="212" w:right="195"/>
              <w:jc w:val="center"/>
              <w:rPr>
                <w:rFonts w:ascii="Times New Roman" w:hAnsi="Times New Roman"/>
                <w:b/>
                <w:sz w:val="20"/>
              </w:rPr>
            </w:pPr>
            <w:r>
              <w:rPr>
                <w:rFonts w:ascii="Times New Roman" w:hAnsi="Times New Roman"/>
                <w:b/>
                <w:color w:val="FFFFFF"/>
                <w:w w:val="90"/>
                <w:sz w:val="20"/>
              </w:rPr>
              <w:t>Distribuição </w:t>
            </w:r>
            <w:r>
              <w:rPr>
                <w:rFonts w:ascii="Times New Roman" w:hAnsi="Times New Roman"/>
                <w:b/>
                <w:color w:val="FFFFFF"/>
                <w:sz w:val="20"/>
              </w:rPr>
              <w:t>S.A.</w:t>
            </w:r>
          </w:p>
        </w:tc>
        <w:tc>
          <w:tcPr>
            <w:tcW w:w="1188" w:type="dxa"/>
            <w:tcBorders>
              <w:top w:val="nil"/>
              <w:left w:val="nil"/>
              <w:bottom w:val="nil"/>
              <w:right w:val="nil"/>
            </w:tcBorders>
            <w:shd w:val="clear" w:color="auto" w:fill="4470C4"/>
          </w:tcPr>
          <w:p>
            <w:pPr>
              <w:pStyle w:val="TableParagraph"/>
              <w:spacing w:before="10"/>
              <w:ind w:left="211" w:right="198"/>
              <w:jc w:val="center"/>
              <w:rPr>
                <w:rFonts w:ascii="Times New Roman"/>
                <w:b/>
                <w:sz w:val="20"/>
              </w:rPr>
            </w:pPr>
            <w:r>
              <w:rPr>
                <w:rFonts w:ascii="Times New Roman"/>
                <w:b/>
                <w:color w:val="FFFFFF"/>
                <w:sz w:val="20"/>
              </w:rPr>
              <w:t>CEB</w:t>
            </w:r>
          </w:p>
          <w:p>
            <w:pPr>
              <w:pStyle w:val="TableParagraph"/>
              <w:spacing w:line="230" w:lineRule="atLeast"/>
              <w:ind w:left="214" w:right="198"/>
              <w:jc w:val="center"/>
              <w:rPr>
                <w:rFonts w:ascii="Times New Roman" w:hAnsi="Times New Roman"/>
                <w:b/>
                <w:sz w:val="20"/>
              </w:rPr>
            </w:pPr>
            <w:r>
              <w:rPr>
                <w:rFonts w:ascii="Times New Roman" w:hAnsi="Times New Roman"/>
                <w:b/>
                <w:color w:val="FFFFFF"/>
                <w:w w:val="90"/>
                <w:sz w:val="20"/>
              </w:rPr>
              <w:t>Geração </w:t>
            </w:r>
            <w:r>
              <w:rPr>
                <w:rFonts w:ascii="Times New Roman" w:hAnsi="Times New Roman"/>
                <w:b/>
                <w:color w:val="FFFFFF"/>
                <w:sz w:val="20"/>
              </w:rPr>
              <w:t>S.A</w:t>
            </w:r>
          </w:p>
        </w:tc>
        <w:tc>
          <w:tcPr>
            <w:tcW w:w="1189" w:type="dxa"/>
            <w:tcBorders>
              <w:top w:val="nil"/>
              <w:left w:val="nil"/>
              <w:bottom w:val="nil"/>
              <w:right w:val="nil"/>
            </w:tcBorders>
            <w:shd w:val="clear" w:color="auto" w:fill="4470C4"/>
          </w:tcPr>
          <w:p>
            <w:pPr>
              <w:pStyle w:val="TableParagraph"/>
              <w:spacing w:before="10"/>
              <w:ind w:left="268" w:right="256"/>
              <w:jc w:val="center"/>
              <w:rPr>
                <w:rFonts w:ascii="Times New Roman"/>
                <w:b/>
                <w:sz w:val="20"/>
              </w:rPr>
            </w:pPr>
            <w:r>
              <w:rPr>
                <w:rFonts w:ascii="Times New Roman"/>
                <w:b/>
                <w:color w:val="FFFFFF"/>
                <w:sz w:val="20"/>
              </w:rPr>
              <w:t>CEB</w:t>
            </w:r>
          </w:p>
          <w:p>
            <w:pPr>
              <w:pStyle w:val="TableParagraph"/>
              <w:spacing w:line="230" w:lineRule="atLeast"/>
              <w:ind w:left="269" w:right="256"/>
              <w:jc w:val="center"/>
              <w:rPr>
                <w:rFonts w:ascii="Times New Roman"/>
                <w:b/>
                <w:sz w:val="20"/>
              </w:rPr>
            </w:pPr>
            <w:r>
              <w:rPr>
                <w:rFonts w:ascii="Times New Roman"/>
                <w:b/>
                <w:color w:val="FFFFFF"/>
                <w:w w:val="90"/>
                <w:sz w:val="20"/>
              </w:rPr>
              <w:t>Lajeado </w:t>
            </w:r>
            <w:r>
              <w:rPr>
                <w:rFonts w:ascii="Times New Roman"/>
                <w:b/>
                <w:color w:val="FFFFFF"/>
                <w:sz w:val="20"/>
              </w:rPr>
              <w:t>S.A.</w:t>
            </w:r>
          </w:p>
        </w:tc>
        <w:tc>
          <w:tcPr>
            <w:tcW w:w="1553" w:type="dxa"/>
            <w:tcBorders>
              <w:top w:val="nil"/>
              <w:left w:val="nil"/>
              <w:bottom w:val="nil"/>
              <w:right w:val="nil"/>
            </w:tcBorders>
            <w:shd w:val="clear" w:color="auto" w:fill="4470C4"/>
          </w:tcPr>
          <w:p>
            <w:pPr>
              <w:pStyle w:val="TableParagraph"/>
              <w:spacing w:before="10"/>
              <w:ind w:left="242" w:right="235"/>
              <w:jc w:val="center"/>
              <w:rPr>
                <w:rFonts w:ascii="Times New Roman"/>
                <w:b/>
                <w:sz w:val="20"/>
              </w:rPr>
            </w:pPr>
            <w:r>
              <w:rPr>
                <w:rFonts w:ascii="Times New Roman"/>
                <w:b/>
                <w:color w:val="FFFFFF"/>
                <w:sz w:val="20"/>
              </w:rPr>
              <w:t>CEB</w:t>
            </w:r>
          </w:p>
          <w:p>
            <w:pPr>
              <w:pStyle w:val="TableParagraph"/>
              <w:spacing w:line="230" w:lineRule="atLeast"/>
              <w:ind w:left="247" w:right="235"/>
              <w:jc w:val="center"/>
              <w:rPr>
                <w:rFonts w:ascii="Times New Roman" w:hAnsi="Times New Roman"/>
                <w:b/>
                <w:sz w:val="20"/>
              </w:rPr>
            </w:pPr>
            <w:r>
              <w:rPr>
                <w:rFonts w:ascii="Times New Roman" w:hAnsi="Times New Roman"/>
                <w:b/>
                <w:color w:val="FFFFFF"/>
                <w:w w:val="90"/>
                <w:sz w:val="20"/>
              </w:rPr>
              <w:t>Participações </w:t>
            </w:r>
            <w:r>
              <w:rPr>
                <w:rFonts w:ascii="Times New Roman" w:hAnsi="Times New Roman"/>
                <w:b/>
                <w:color w:val="FFFFFF"/>
                <w:sz w:val="20"/>
              </w:rPr>
              <w:t>S.A.</w:t>
            </w:r>
          </w:p>
        </w:tc>
        <w:tc>
          <w:tcPr>
            <w:tcW w:w="1191" w:type="dxa"/>
            <w:tcBorders>
              <w:top w:val="nil"/>
              <w:left w:val="nil"/>
              <w:bottom w:val="nil"/>
              <w:right w:val="nil"/>
            </w:tcBorders>
            <w:shd w:val="clear" w:color="auto" w:fill="4470C4"/>
          </w:tcPr>
          <w:p>
            <w:pPr>
              <w:pStyle w:val="TableParagraph"/>
              <w:spacing w:before="10"/>
              <w:rPr>
                <w:rFonts w:ascii="Times New Roman"/>
                <w:sz w:val="20"/>
              </w:rPr>
            </w:pPr>
          </w:p>
          <w:p>
            <w:pPr>
              <w:pStyle w:val="TableParagraph"/>
              <w:ind w:left="372"/>
              <w:rPr>
                <w:rFonts w:ascii="Times New Roman"/>
                <w:b/>
                <w:sz w:val="20"/>
              </w:rPr>
            </w:pPr>
            <w:r>
              <w:rPr>
                <w:rFonts w:ascii="Times New Roman"/>
                <w:b/>
                <w:color w:val="FFFFFF"/>
                <w:sz w:val="20"/>
              </w:rPr>
              <w:t>Total</w:t>
            </w:r>
          </w:p>
        </w:tc>
      </w:tr>
      <w:tr>
        <w:trPr>
          <w:trHeight w:val="230" w:hRule="atLeast"/>
        </w:trPr>
        <w:tc>
          <w:tcPr>
            <w:tcW w:w="2206" w:type="dxa"/>
            <w:tcBorders>
              <w:top w:val="nil"/>
            </w:tcBorders>
            <w:shd w:val="clear" w:color="auto" w:fill="D9E0F3"/>
          </w:tcPr>
          <w:p>
            <w:pPr>
              <w:pStyle w:val="TableParagraph"/>
              <w:spacing w:line="210" w:lineRule="exact"/>
              <w:ind w:left="256"/>
              <w:rPr>
                <w:rFonts w:ascii="Times New Roman"/>
                <w:b/>
                <w:sz w:val="20"/>
              </w:rPr>
            </w:pPr>
            <w:r>
              <w:rPr>
                <w:rFonts w:ascii="Times New Roman"/>
                <w:b/>
                <w:sz w:val="20"/>
              </w:rPr>
              <w:t>Efetivos / Diretores</w:t>
            </w:r>
          </w:p>
        </w:tc>
        <w:tc>
          <w:tcPr>
            <w:tcW w:w="1188" w:type="dxa"/>
            <w:tcBorders>
              <w:top w:val="nil"/>
            </w:tcBorders>
            <w:shd w:val="clear" w:color="auto" w:fill="D9E0F3"/>
          </w:tcPr>
          <w:p>
            <w:pPr>
              <w:pStyle w:val="TableParagraph"/>
              <w:spacing w:line="210" w:lineRule="exact"/>
              <w:ind w:right="90"/>
              <w:jc w:val="right"/>
              <w:rPr>
                <w:rFonts w:ascii="Times New Roman"/>
                <w:b/>
                <w:sz w:val="20"/>
              </w:rPr>
            </w:pPr>
            <w:r>
              <w:rPr>
                <w:rFonts w:ascii="Times New Roman"/>
                <w:b/>
                <w:w w:val="99"/>
                <w:sz w:val="20"/>
              </w:rPr>
              <w:t>4</w:t>
            </w:r>
          </w:p>
        </w:tc>
        <w:tc>
          <w:tcPr>
            <w:tcW w:w="1397" w:type="dxa"/>
            <w:tcBorders>
              <w:top w:val="nil"/>
            </w:tcBorders>
            <w:shd w:val="clear" w:color="auto" w:fill="D9E0F3"/>
          </w:tcPr>
          <w:p>
            <w:pPr>
              <w:pStyle w:val="TableParagraph"/>
              <w:spacing w:line="210" w:lineRule="exact"/>
              <w:ind w:right="86"/>
              <w:jc w:val="right"/>
              <w:rPr>
                <w:rFonts w:ascii="Times New Roman"/>
                <w:b/>
                <w:sz w:val="20"/>
              </w:rPr>
            </w:pPr>
            <w:r>
              <w:rPr>
                <w:rFonts w:ascii="Times New Roman"/>
                <w:b/>
                <w:sz w:val="20"/>
              </w:rPr>
              <w:t>823</w:t>
            </w:r>
          </w:p>
        </w:tc>
        <w:tc>
          <w:tcPr>
            <w:tcW w:w="1188" w:type="dxa"/>
            <w:tcBorders>
              <w:top w:val="nil"/>
            </w:tcBorders>
            <w:shd w:val="clear" w:color="auto" w:fill="D9E0F3"/>
          </w:tcPr>
          <w:p>
            <w:pPr>
              <w:pStyle w:val="TableParagraph"/>
              <w:spacing w:line="210" w:lineRule="exact"/>
              <w:ind w:right="92"/>
              <w:jc w:val="right"/>
              <w:rPr>
                <w:rFonts w:ascii="Times New Roman"/>
                <w:b/>
                <w:sz w:val="20"/>
              </w:rPr>
            </w:pPr>
            <w:r>
              <w:rPr>
                <w:rFonts w:ascii="Times New Roman"/>
                <w:b/>
                <w:w w:val="99"/>
                <w:sz w:val="20"/>
              </w:rPr>
              <w:t>2</w:t>
            </w:r>
          </w:p>
        </w:tc>
        <w:tc>
          <w:tcPr>
            <w:tcW w:w="1189" w:type="dxa"/>
            <w:tcBorders>
              <w:top w:val="nil"/>
            </w:tcBorders>
            <w:shd w:val="clear" w:color="auto" w:fill="D9E0F3"/>
          </w:tcPr>
          <w:p>
            <w:pPr>
              <w:pStyle w:val="TableParagraph"/>
              <w:spacing w:line="210" w:lineRule="exact"/>
              <w:ind w:right="95"/>
              <w:jc w:val="right"/>
              <w:rPr>
                <w:rFonts w:ascii="Times New Roman"/>
                <w:b/>
                <w:sz w:val="20"/>
              </w:rPr>
            </w:pPr>
            <w:r>
              <w:rPr>
                <w:rFonts w:ascii="Times New Roman"/>
                <w:b/>
                <w:w w:val="99"/>
                <w:sz w:val="20"/>
              </w:rPr>
              <w:t>3</w:t>
            </w:r>
          </w:p>
        </w:tc>
        <w:tc>
          <w:tcPr>
            <w:tcW w:w="1553" w:type="dxa"/>
            <w:tcBorders>
              <w:top w:val="nil"/>
            </w:tcBorders>
            <w:shd w:val="clear" w:color="auto" w:fill="D9E0F3"/>
          </w:tcPr>
          <w:p>
            <w:pPr>
              <w:pStyle w:val="TableParagraph"/>
              <w:spacing w:line="210" w:lineRule="exact"/>
              <w:ind w:right="95"/>
              <w:jc w:val="right"/>
              <w:rPr>
                <w:rFonts w:ascii="Times New Roman"/>
                <w:b/>
                <w:sz w:val="20"/>
              </w:rPr>
            </w:pPr>
            <w:r>
              <w:rPr>
                <w:rFonts w:ascii="Times New Roman"/>
                <w:b/>
                <w:w w:val="99"/>
                <w:sz w:val="20"/>
              </w:rPr>
              <w:t>3</w:t>
            </w:r>
          </w:p>
        </w:tc>
        <w:tc>
          <w:tcPr>
            <w:tcW w:w="1191" w:type="dxa"/>
            <w:tcBorders>
              <w:top w:val="nil"/>
            </w:tcBorders>
            <w:shd w:val="clear" w:color="auto" w:fill="D9E0F3"/>
          </w:tcPr>
          <w:p>
            <w:pPr>
              <w:pStyle w:val="TableParagraph"/>
              <w:spacing w:line="210" w:lineRule="exact"/>
              <w:ind w:right="89"/>
              <w:jc w:val="right"/>
              <w:rPr>
                <w:rFonts w:ascii="Times New Roman"/>
                <w:b/>
                <w:sz w:val="20"/>
              </w:rPr>
            </w:pPr>
            <w:r>
              <w:rPr>
                <w:rFonts w:ascii="Times New Roman"/>
                <w:b/>
                <w:sz w:val="20"/>
              </w:rPr>
              <w:t>835</w:t>
            </w:r>
          </w:p>
        </w:tc>
      </w:tr>
      <w:tr>
        <w:trPr>
          <w:trHeight w:val="229" w:hRule="atLeast"/>
        </w:trPr>
        <w:tc>
          <w:tcPr>
            <w:tcW w:w="2206" w:type="dxa"/>
          </w:tcPr>
          <w:p>
            <w:pPr>
              <w:pStyle w:val="TableParagraph"/>
              <w:spacing w:line="210" w:lineRule="exact"/>
              <w:ind w:left="256"/>
              <w:rPr>
                <w:rFonts w:ascii="Times New Roman"/>
                <w:b/>
                <w:sz w:val="20"/>
              </w:rPr>
            </w:pPr>
            <w:r>
              <w:rPr>
                <w:rFonts w:ascii="Times New Roman"/>
                <w:b/>
                <w:sz w:val="20"/>
              </w:rPr>
              <w:t>Requisitados</w:t>
            </w:r>
          </w:p>
        </w:tc>
        <w:tc>
          <w:tcPr>
            <w:tcW w:w="1188" w:type="dxa"/>
          </w:tcPr>
          <w:p>
            <w:pPr>
              <w:pStyle w:val="TableParagraph"/>
              <w:spacing w:line="210" w:lineRule="exact"/>
              <w:ind w:right="84"/>
              <w:jc w:val="right"/>
              <w:rPr>
                <w:rFonts w:ascii="Times New Roman"/>
                <w:b/>
                <w:sz w:val="20"/>
              </w:rPr>
            </w:pPr>
            <w:r>
              <w:rPr>
                <w:rFonts w:ascii="Times New Roman"/>
                <w:b/>
                <w:sz w:val="20"/>
              </w:rPr>
              <w:t>44</w:t>
            </w:r>
          </w:p>
        </w:tc>
        <w:tc>
          <w:tcPr>
            <w:tcW w:w="1397" w:type="dxa"/>
          </w:tcPr>
          <w:p>
            <w:pPr>
              <w:pStyle w:val="TableParagraph"/>
              <w:spacing w:line="210" w:lineRule="exact"/>
              <w:ind w:right="92"/>
              <w:jc w:val="right"/>
              <w:rPr>
                <w:rFonts w:ascii="Times New Roman"/>
                <w:b/>
                <w:sz w:val="20"/>
              </w:rPr>
            </w:pPr>
            <w:r>
              <w:rPr>
                <w:rFonts w:ascii="Times New Roman"/>
                <w:b/>
                <w:w w:val="96"/>
                <w:sz w:val="20"/>
              </w:rPr>
              <w:t>7</w:t>
            </w:r>
          </w:p>
        </w:tc>
        <w:tc>
          <w:tcPr>
            <w:tcW w:w="1188" w:type="dxa"/>
          </w:tcPr>
          <w:p>
            <w:pPr>
              <w:pStyle w:val="TableParagraph"/>
              <w:spacing w:line="210" w:lineRule="exact"/>
              <w:ind w:right="92"/>
              <w:jc w:val="right"/>
              <w:rPr>
                <w:rFonts w:ascii="Times New Roman"/>
                <w:b/>
                <w:sz w:val="20"/>
              </w:rPr>
            </w:pPr>
            <w:r>
              <w:rPr>
                <w:rFonts w:ascii="Times New Roman"/>
                <w:b/>
                <w:w w:val="99"/>
                <w:sz w:val="20"/>
              </w:rPr>
              <w:t>4</w:t>
            </w:r>
          </w:p>
        </w:tc>
        <w:tc>
          <w:tcPr>
            <w:tcW w:w="1189" w:type="dxa"/>
          </w:tcPr>
          <w:p>
            <w:pPr>
              <w:pStyle w:val="TableParagraph"/>
              <w:spacing w:line="210" w:lineRule="exact"/>
              <w:ind w:right="95"/>
              <w:jc w:val="right"/>
              <w:rPr>
                <w:rFonts w:ascii="Times New Roman"/>
                <w:b/>
                <w:sz w:val="20"/>
              </w:rPr>
            </w:pPr>
            <w:r>
              <w:rPr>
                <w:rFonts w:ascii="Times New Roman"/>
                <w:b/>
                <w:w w:val="99"/>
                <w:sz w:val="20"/>
              </w:rPr>
              <w:t>1</w:t>
            </w:r>
          </w:p>
        </w:tc>
        <w:tc>
          <w:tcPr>
            <w:tcW w:w="1553" w:type="dxa"/>
          </w:tcPr>
          <w:p>
            <w:pPr>
              <w:pStyle w:val="TableParagraph"/>
              <w:spacing w:line="210" w:lineRule="exact"/>
              <w:ind w:right="95"/>
              <w:jc w:val="right"/>
              <w:rPr>
                <w:rFonts w:ascii="Times New Roman"/>
                <w:b/>
                <w:sz w:val="20"/>
              </w:rPr>
            </w:pPr>
            <w:r>
              <w:rPr>
                <w:rFonts w:ascii="Times New Roman"/>
                <w:b/>
                <w:w w:val="99"/>
                <w:sz w:val="20"/>
              </w:rPr>
              <w:t>1</w:t>
            </w:r>
          </w:p>
        </w:tc>
        <w:tc>
          <w:tcPr>
            <w:tcW w:w="1191" w:type="dxa"/>
          </w:tcPr>
          <w:p>
            <w:pPr>
              <w:pStyle w:val="TableParagraph"/>
              <w:spacing w:line="210" w:lineRule="exact"/>
              <w:ind w:right="89"/>
              <w:jc w:val="right"/>
              <w:rPr>
                <w:rFonts w:ascii="Times New Roman"/>
                <w:b/>
                <w:sz w:val="20"/>
              </w:rPr>
            </w:pPr>
            <w:r>
              <w:rPr>
                <w:rFonts w:ascii="Times New Roman"/>
                <w:b/>
                <w:sz w:val="20"/>
              </w:rPr>
              <w:t>57</w:t>
            </w:r>
          </w:p>
        </w:tc>
      </w:tr>
      <w:tr>
        <w:trPr>
          <w:trHeight w:val="230" w:hRule="atLeast"/>
        </w:trPr>
        <w:tc>
          <w:tcPr>
            <w:tcW w:w="2206" w:type="dxa"/>
            <w:shd w:val="clear" w:color="auto" w:fill="D9E0F3"/>
          </w:tcPr>
          <w:p>
            <w:pPr>
              <w:pStyle w:val="TableParagraph"/>
              <w:spacing w:line="210" w:lineRule="exact"/>
              <w:ind w:left="256"/>
              <w:rPr>
                <w:rFonts w:ascii="Times New Roman"/>
                <w:b/>
                <w:sz w:val="20"/>
              </w:rPr>
            </w:pPr>
            <w:r>
              <w:rPr>
                <w:rFonts w:ascii="Times New Roman"/>
                <w:b/>
                <w:sz w:val="20"/>
              </w:rPr>
              <w:t>Cedidos</w:t>
            </w:r>
          </w:p>
        </w:tc>
        <w:tc>
          <w:tcPr>
            <w:tcW w:w="1188" w:type="dxa"/>
            <w:shd w:val="clear" w:color="auto" w:fill="D9E0F3"/>
          </w:tcPr>
          <w:p>
            <w:pPr>
              <w:pStyle w:val="TableParagraph"/>
              <w:spacing w:line="210" w:lineRule="exact"/>
              <w:ind w:right="90"/>
              <w:jc w:val="right"/>
              <w:rPr>
                <w:rFonts w:ascii="Times New Roman"/>
                <w:b/>
                <w:sz w:val="20"/>
              </w:rPr>
            </w:pPr>
            <w:r>
              <w:rPr>
                <w:rFonts w:ascii="Times New Roman"/>
                <w:b/>
                <w:w w:val="99"/>
                <w:sz w:val="20"/>
              </w:rPr>
              <w:t>0</w:t>
            </w:r>
          </w:p>
        </w:tc>
        <w:tc>
          <w:tcPr>
            <w:tcW w:w="1397" w:type="dxa"/>
            <w:shd w:val="clear" w:color="auto" w:fill="D9E0F3"/>
          </w:tcPr>
          <w:p>
            <w:pPr>
              <w:pStyle w:val="TableParagraph"/>
              <w:spacing w:line="210" w:lineRule="exact"/>
              <w:ind w:right="83"/>
              <w:jc w:val="right"/>
              <w:rPr>
                <w:rFonts w:ascii="Times New Roman"/>
                <w:b/>
                <w:sz w:val="20"/>
              </w:rPr>
            </w:pPr>
            <w:r>
              <w:rPr>
                <w:rFonts w:ascii="Times New Roman"/>
                <w:b/>
                <w:sz w:val="20"/>
              </w:rPr>
              <w:t>18</w:t>
            </w:r>
          </w:p>
        </w:tc>
        <w:tc>
          <w:tcPr>
            <w:tcW w:w="1188" w:type="dxa"/>
            <w:shd w:val="clear" w:color="auto" w:fill="D9E0F3"/>
          </w:tcPr>
          <w:p>
            <w:pPr>
              <w:pStyle w:val="TableParagraph"/>
              <w:spacing w:line="210" w:lineRule="exact"/>
              <w:ind w:right="92"/>
              <w:jc w:val="right"/>
              <w:rPr>
                <w:rFonts w:ascii="Times New Roman"/>
                <w:b/>
                <w:sz w:val="20"/>
              </w:rPr>
            </w:pPr>
            <w:r>
              <w:rPr>
                <w:rFonts w:ascii="Times New Roman"/>
                <w:b/>
                <w:w w:val="99"/>
                <w:sz w:val="20"/>
              </w:rPr>
              <w:t>0</w:t>
            </w:r>
          </w:p>
        </w:tc>
        <w:tc>
          <w:tcPr>
            <w:tcW w:w="1189" w:type="dxa"/>
            <w:shd w:val="clear" w:color="auto" w:fill="D9E0F3"/>
          </w:tcPr>
          <w:p>
            <w:pPr>
              <w:pStyle w:val="TableParagraph"/>
              <w:spacing w:line="210" w:lineRule="exact"/>
              <w:ind w:right="95"/>
              <w:jc w:val="right"/>
              <w:rPr>
                <w:rFonts w:ascii="Times New Roman"/>
                <w:b/>
                <w:sz w:val="20"/>
              </w:rPr>
            </w:pPr>
            <w:r>
              <w:rPr>
                <w:rFonts w:ascii="Times New Roman"/>
                <w:b/>
                <w:w w:val="99"/>
                <w:sz w:val="20"/>
              </w:rPr>
              <w:t>0</w:t>
            </w:r>
          </w:p>
        </w:tc>
        <w:tc>
          <w:tcPr>
            <w:tcW w:w="1553" w:type="dxa"/>
            <w:shd w:val="clear" w:color="auto" w:fill="D9E0F3"/>
          </w:tcPr>
          <w:p>
            <w:pPr>
              <w:pStyle w:val="TableParagraph"/>
              <w:spacing w:line="210" w:lineRule="exact"/>
              <w:ind w:right="95"/>
              <w:jc w:val="right"/>
              <w:rPr>
                <w:rFonts w:ascii="Times New Roman"/>
                <w:b/>
                <w:sz w:val="20"/>
              </w:rPr>
            </w:pPr>
            <w:r>
              <w:rPr>
                <w:rFonts w:ascii="Times New Roman"/>
                <w:b/>
                <w:w w:val="99"/>
                <w:sz w:val="20"/>
              </w:rPr>
              <w:t>0</w:t>
            </w:r>
          </w:p>
        </w:tc>
        <w:tc>
          <w:tcPr>
            <w:tcW w:w="1191" w:type="dxa"/>
            <w:shd w:val="clear" w:color="auto" w:fill="D9E0F3"/>
          </w:tcPr>
          <w:p>
            <w:pPr>
              <w:pStyle w:val="TableParagraph"/>
              <w:spacing w:line="210" w:lineRule="exact"/>
              <w:ind w:right="89"/>
              <w:jc w:val="right"/>
              <w:rPr>
                <w:rFonts w:ascii="Times New Roman"/>
                <w:b/>
                <w:sz w:val="20"/>
              </w:rPr>
            </w:pPr>
            <w:r>
              <w:rPr>
                <w:rFonts w:ascii="Times New Roman"/>
                <w:b/>
                <w:sz w:val="20"/>
              </w:rPr>
              <w:t>18</w:t>
            </w:r>
          </w:p>
        </w:tc>
      </w:tr>
      <w:tr>
        <w:trPr>
          <w:trHeight w:val="230" w:hRule="atLeast"/>
        </w:trPr>
        <w:tc>
          <w:tcPr>
            <w:tcW w:w="2206" w:type="dxa"/>
          </w:tcPr>
          <w:p>
            <w:pPr>
              <w:pStyle w:val="TableParagraph"/>
              <w:spacing w:line="210" w:lineRule="exact"/>
              <w:ind w:left="256"/>
              <w:rPr>
                <w:rFonts w:ascii="Times New Roman"/>
                <w:b/>
                <w:sz w:val="20"/>
              </w:rPr>
            </w:pPr>
            <w:r>
              <w:rPr>
                <w:rFonts w:ascii="Times New Roman"/>
                <w:b/>
                <w:sz w:val="20"/>
              </w:rPr>
              <w:t>Comissionados</w:t>
            </w:r>
          </w:p>
        </w:tc>
        <w:tc>
          <w:tcPr>
            <w:tcW w:w="1188" w:type="dxa"/>
          </w:tcPr>
          <w:p>
            <w:pPr>
              <w:pStyle w:val="TableParagraph"/>
              <w:spacing w:line="210" w:lineRule="exact"/>
              <w:ind w:right="86"/>
              <w:jc w:val="right"/>
              <w:rPr>
                <w:rFonts w:ascii="Times New Roman"/>
                <w:b/>
                <w:sz w:val="20"/>
              </w:rPr>
            </w:pPr>
            <w:r>
              <w:rPr>
                <w:rFonts w:ascii="Times New Roman"/>
                <w:b/>
                <w:sz w:val="20"/>
              </w:rPr>
              <w:t>14</w:t>
            </w:r>
          </w:p>
        </w:tc>
        <w:tc>
          <w:tcPr>
            <w:tcW w:w="1397" w:type="dxa"/>
          </w:tcPr>
          <w:p>
            <w:pPr>
              <w:pStyle w:val="TableParagraph"/>
              <w:spacing w:line="210" w:lineRule="exact"/>
              <w:ind w:right="92"/>
              <w:jc w:val="right"/>
              <w:rPr>
                <w:rFonts w:ascii="Times New Roman"/>
                <w:b/>
                <w:sz w:val="20"/>
              </w:rPr>
            </w:pPr>
            <w:r>
              <w:rPr>
                <w:rFonts w:ascii="Times New Roman"/>
                <w:b/>
                <w:w w:val="96"/>
                <w:sz w:val="20"/>
              </w:rPr>
              <w:t>0</w:t>
            </w:r>
          </w:p>
        </w:tc>
        <w:tc>
          <w:tcPr>
            <w:tcW w:w="1188" w:type="dxa"/>
          </w:tcPr>
          <w:p>
            <w:pPr>
              <w:pStyle w:val="TableParagraph"/>
              <w:spacing w:line="210" w:lineRule="exact"/>
              <w:ind w:right="92"/>
              <w:jc w:val="right"/>
              <w:rPr>
                <w:rFonts w:ascii="Times New Roman"/>
                <w:b/>
                <w:sz w:val="20"/>
              </w:rPr>
            </w:pPr>
            <w:r>
              <w:rPr>
                <w:rFonts w:ascii="Times New Roman"/>
                <w:b/>
                <w:w w:val="99"/>
                <w:sz w:val="20"/>
              </w:rPr>
              <w:t>3</w:t>
            </w:r>
          </w:p>
        </w:tc>
        <w:tc>
          <w:tcPr>
            <w:tcW w:w="1189" w:type="dxa"/>
          </w:tcPr>
          <w:p>
            <w:pPr>
              <w:pStyle w:val="TableParagraph"/>
              <w:spacing w:line="210" w:lineRule="exact"/>
              <w:ind w:right="95"/>
              <w:jc w:val="right"/>
              <w:rPr>
                <w:rFonts w:ascii="Times New Roman"/>
                <w:b/>
                <w:sz w:val="20"/>
              </w:rPr>
            </w:pPr>
            <w:r>
              <w:rPr>
                <w:rFonts w:ascii="Times New Roman"/>
                <w:b/>
                <w:w w:val="99"/>
                <w:sz w:val="20"/>
              </w:rPr>
              <w:t>8</w:t>
            </w:r>
          </w:p>
        </w:tc>
        <w:tc>
          <w:tcPr>
            <w:tcW w:w="1553" w:type="dxa"/>
          </w:tcPr>
          <w:p>
            <w:pPr>
              <w:pStyle w:val="TableParagraph"/>
              <w:spacing w:line="210" w:lineRule="exact"/>
              <w:ind w:right="95"/>
              <w:jc w:val="right"/>
              <w:rPr>
                <w:rFonts w:ascii="Times New Roman"/>
                <w:b/>
                <w:sz w:val="20"/>
              </w:rPr>
            </w:pPr>
            <w:r>
              <w:rPr>
                <w:rFonts w:ascii="Times New Roman"/>
                <w:b/>
                <w:w w:val="99"/>
                <w:sz w:val="20"/>
              </w:rPr>
              <w:t>5</w:t>
            </w:r>
          </w:p>
        </w:tc>
        <w:tc>
          <w:tcPr>
            <w:tcW w:w="1191" w:type="dxa"/>
          </w:tcPr>
          <w:p>
            <w:pPr>
              <w:pStyle w:val="TableParagraph"/>
              <w:spacing w:line="210" w:lineRule="exact"/>
              <w:ind w:right="89"/>
              <w:jc w:val="right"/>
              <w:rPr>
                <w:rFonts w:ascii="Times New Roman"/>
                <w:b/>
                <w:sz w:val="20"/>
              </w:rPr>
            </w:pPr>
            <w:r>
              <w:rPr>
                <w:rFonts w:ascii="Times New Roman"/>
                <w:b/>
                <w:sz w:val="20"/>
              </w:rPr>
              <w:t>30</w:t>
            </w:r>
          </w:p>
        </w:tc>
      </w:tr>
      <w:tr>
        <w:trPr>
          <w:trHeight w:val="230" w:hRule="atLeast"/>
        </w:trPr>
        <w:tc>
          <w:tcPr>
            <w:tcW w:w="2206" w:type="dxa"/>
            <w:shd w:val="clear" w:color="auto" w:fill="D9E0F3"/>
          </w:tcPr>
          <w:p>
            <w:pPr>
              <w:pStyle w:val="TableParagraph"/>
              <w:spacing w:line="210" w:lineRule="exact"/>
              <w:ind w:left="256"/>
              <w:rPr>
                <w:rFonts w:ascii="Times New Roman"/>
                <w:b/>
                <w:sz w:val="20"/>
              </w:rPr>
            </w:pPr>
            <w:r>
              <w:rPr>
                <w:rFonts w:ascii="Times New Roman"/>
                <w:b/>
                <w:sz w:val="20"/>
              </w:rPr>
              <w:t>Jovens Aprendizes</w:t>
            </w:r>
          </w:p>
        </w:tc>
        <w:tc>
          <w:tcPr>
            <w:tcW w:w="1188" w:type="dxa"/>
            <w:shd w:val="clear" w:color="auto" w:fill="D9E0F3"/>
          </w:tcPr>
          <w:p>
            <w:pPr>
              <w:pStyle w:val="TableParagraph"/>
              <w:spacing w:line="210" w:lineRule="exact"/>
              <w:ind w:right="90"/>
              <w:jc w:val="right"/>
              <w:rPr>
                <w:rFonts w:ascii="Times New Roman"/>
                <w:b/>
                <w:sz w:val="20"/>
              </w:rPr>
            </w:pPr>
            <w:r>
              <w:rPr>
                <w:rFonts w:ascii="Times New Roman"/>
                <w:b/>
                <w:w w:val="99"/>
                <w:sz w:val="20"/>
              </w:rPr>
              <w:t>0</w:t>
            </w:r>
          </w:p>
        </w:tc>
        <w:tc>
          <w:tcPr>
            <w:tcW w:w="1397" w:type="dxa"/>
            <w:shd w:val="clear" w:color="auto" w:fill="D9E0F3"/>
          </w:tcPr>
          <w:p>
            <w:pPr>
              <w:pStyle w:val="TableParagraph"/>
              <w:spacing w:line="210" w:lineRule="exact"/>
              <w:ind w:right="85"/>
              <w:jc w:val="right"/>
              <w:rPr>
                <w:rFonts w:ascii="Times New Roman"/>
                <w:b/>
                <w:sz w:val="20"/>
              </w:rPr>
            </w:pPr>
            <w:r>
              <w:rPr>
                <w:rFonts w:ascii="Times New Roman"/>
                <w:b/>
                <w:sz w:val="20"/>
              </w:rPr>
              <w:t>42</w:t>
            </w:r>
          </w:p>
        </w:tc>
        <w:tc>
          <w:tcPr>
            <w:tcW w:w="1188" w:type="dxa"/>
            <w:shd w:val="clear" w:color="auto" w:fill="D9E0F3"/>
          </w:tcPr>
          <w:p>
            <w:pPr>
              <w:pStyle w:val="TableParagraph"/>
              <w:spacing w:line="210" w:lineRule="exact"/>
              <w:ind w:right="92"/>
              <w:jc w:val="right"/>
              <w:rPr>
                <w:rFonts w:ascii="Times New Roman"/>
                <w:b/>
                <w:sz w:val="20"/>
              </w:rPr>
            </w:pPr>
            <w:r>
              <w:rPr>
                <w:rFonts w:ascii="Times New Roman"/>
                <w:b/>
                <w:w w:val="99"/>
                <w:sz w:val="20"/>
              </w:rPr>
              <w:t>0</w:t>
            </w:r>
          </w:p>
        </w:tc>
        <w:tc>
          <w:tcPr>
            <w:tcW w:w="1189" w:type="dxa"/>
            <w:shd w:val="clear" w:color="auto" w:fill="D9E0F3"/>
          </w:tcPr>
          <w:p>
            <w:pPr>
              <w:pStyle w:val="TableParagraph"/>
              <w:rPr>
                <w:rFonts w:ascii="Times New Roman"/>
                <w:sz w:val="16"/>
              </w:rPr>
            </w:pPr>
          </w:p>
        </w:tc>
        <w:tc>
          <w:tcPr>
            <w:tcW w:w="1553" w:type="dxa"/>
            <w:shd w:val="clear" w:color="auto" w:fill="D9E0F3"/>
          </w:tcPr>
          <w:p>
            <w:pPr>
              <w:pStyle w:val="TableParagraph"/>
              <w:spacing w:line="210" w:lineRule="exact"/>
              <w:ind w:right="95"/>
              <w:jc w:val="right"/>
              <w:rPr>
                <w:rFonts w:ascii="Times New Roman"/>
                <w:b/>
                <w:sz w:val="20"/>
              </w:rPr>
            </w:pPr>
            <w:r>
              <w:rPr>
                <w:rFonts w:ascii="Times New Roman"/>
                <w:b/>
                <w:w w:val="99"/>
                <w:sz w:val="20"/>
              </w:rPr>
              <w:t>0</w:t>
            </w:r>
          </w:p>
        </w:tc>
        <w:tc>
          <w:tcPr>
            <w:tcW w:w="1191" w:type="dxa"/>
            <w:shd w:val="clear" w:color="auto" w:fill="D9E0F3"/>
          </w:tcPr>
          <w:p>
            <w:pPr>
              <w:pStyle w:val="TableParagraph"/>
              <w:spacing w:line="210" w:lineRule="exact"/>
              <w:ind w:right="89"/>
              <w:jc w:val="right"/>
              <w:rPr>
                <w:rFonts w:ascii="Times New Roman"/>
                <w:b/>
                <w:sz w:val="20"/>
              </w:rPr>
            </w:pPr>
            <w:r>
              <w:rPr>
                <w:rFonts w:ascii="Times New Roman"/>
                <w:b/>
                <w:sz w:val="20"/>
              </w:rPr>
              <w:t>42</w:t>
            </w:r>
          </w:p>
        </w:tc>
      </w:tr>
      <w:tr>
        <w:trPr>
          <w:trHeight w:val="227" w:hRule="atLeast"/>
        </w:trPr>
        <w:tc>
          <w:tcPr>
            <w:tcW w:w="2206" w:type="dxa"/>
          </w:tcPr>
          <w:p>
            <w:pPr>
              <w:pStyle w:val="TableParagraph"/>
              <w:spacing w:line="208" w:lineRule="exact"/>
              <w:ind w:left="256"/>
              <w:rPr>
                <w:rFonts w:ascii="Times New Roman" w:hAnsi="Times New Roman"/>
                <w:b/>
                <w:sz w:val="20"/>
              </w:rPr>
            </w:pPr>
            <w:r>
              <w:rPr>
                <w:rFonts w:ascii="Times New Roman" w:hAnsi="Times New Roman"/>
                <w:b/>
                <w:sz w:val="20"/>
              </w:rPr>
              <w:t>Estagiários</w:t>
            </w:r>
          </w:p>
        </w:tc>
        <w:tc>
          <w:tcPr>
            <w:tcW w:w="1188" w:type="dxa"/>
          </w:tcPr>
          <w:p>
            <w:pPr>
              <w:pStyle w:val="TableParagraph"/>
              <w:spacing w:line="208" w:lineRule="exact"/>
              <w:ind w:right="84"/>
              <w:jc w:val="right"/>
              <w:rPr>
                <w:rFonts w:ascii="Times New Roman"/>
                <w:b/>
                <w:sz w:val="20"/>
              </w:rPr>
            </w:pPr>
            <w:r>
              <w:rPr>
                <w:rFonts w:ascii="Times New Roman"/>
                <w:b/>
                <w:sz w:val="20"/>
              </w:rPr>
              <w:t>19</w:t>
            </w:r>
          </w:p>
        </w:tc>
        <w:tc>
          <w:tcPr>
            <w:tcW w:w="1397" w:type="dxa"/>
          </w:tcPr>
          <w:p>
            <w:pPr>
              <w:pStyle w:val="TableParagraph"/>
              <w:spacing w:line="208" w:lineRule="exact"/>
              <w:ind w:right="85"/>
              <w:jc w:val="right"/>
              <w:rPr>
                <w:rFonts w:ascii="Times New Roman"/>
                <w:b/>
                <w:sz w:val="20"/>
              </w:rPr>
            </w:pPr>
            <w:r>
              <w:rPr>
                <w:rFonts w:ascii="Times New Roman"/>
                <w:b/>
                <w:sz w:val="20"/>
              </w:rPr>
              <w:t>45</w:t>
            </w:r>
          </w:p>
        </w:tc>
        <w:tc>
          <w:tcPr>
            <w:tcW w:w="1188" w:type="dxa"/>
          </w:tcPr>
          <w:p>
            <w:pPr>
              <w:pStyle w:val="TableParagraph"/>
              <w:spacing w:line="208" w:lineRule="exact"/>
              <w:ind w:right="92"/>
              <w:jc w:val="right"/>
              <w:rPr>
                <w:rFonts w:ascii="Times New Roman"/>
                <w:b/>
                <w:sz w:val="20"/>
              </w:rPr>
            </w:pPr>
            <w:r>
              <w:rPr>
                <w:rFonts w:ascii="Times New Roman"/>
                <w:b/>
                <w:w w:val="99"/>
                <w:sz w:val="20"/>
              </w:rPr>
              <w:t>0</w:t>
            </w:r>
          </w:p>
        </w:tc>
        <w:tc>
          <w:tcPr>
            <w:tcW w:w="1189" w:type="dxa"/>
          </w:tcPr>
          <w:p>
            <w:pPr>
              <w:pStyle w:val="TableParagraph"/>
              <w:rPr>
                <w:rFonts w:ascii="Times New Roman"/>
                <w:sz w:val="16"/>
              </w:rPr>
            </w:pPr>
          </w:p>
        </w:tc>
        <w:tc>
          <w:tcPr>
            <w:tcW w:w="1553" w:type="dxa"/>
          </w:tcPr>
          <w:p>
            <w:pPr>
              <w:pStyle w:val="TableParagraph"/>
              <w:spacing w:line="208" w:lineRule="exact"/>
              <w:ind w:right="95"/>
              <w:jc w:val="right"/>
              <w:rPr>
                <w:rFonts w:ascii="Times New Roman"/>
                <w:b/>
                <w:sz w:val="20"/>
              </w:rPr>
            </w:pPr>
            <w:r>
              <w:rPr>
                <w:rFonts w:ascii="Times New Roman"/>
                <w:b/>
                <w:w w:val="99"/>
                <w:sz w:val="20"/>
              </w:rPr>
              <w:t>0</w:t>
            </w:r>
          </w:p>
        </w:tc>
        <w:tc>
          <w:tcPr>
            <w:tcW w:w="1191" w:type="dxa"/>
          </w:tcPr>
          <w:p>
            <w:pPr>
              <w:pStyle w:val="TableParagraph"/>
              <w:spacing w:line="208" w:lineRule="exact"/>
              <w:ind w:right="89"/>
              <w:jc w:val="right"/>
              <w:rPr>
                <w:rFonts w:ascii="Times New Roman"/>
                <w:b/>
                <w:sz w:val="20"/>
              </w:rPr>
            </w:pPr>
            <w:r>
              <w:rPr>
                <w:rFonts w:ascii="Times New Roman"/>
                <w:b/>
                <w:sz w:val="20"/>
              </w:rPr>
              <w:t>64</w:t>
            </w:r>
          </w:p>
        </w:tc>
      </w:tr>
      <w:tr>
        <w:trPr>
          <w:trHeight w:val="232" w:hRule="atLeast"/>
        </w:trPr>
        <w:tc>
          <w:tcPr>
            <w:tcW w:w="2206" w:type="dxa"/>
            <w:shd w:val="clear" w:color="auto" w:fill="D9E0F3"/>
          </w:tcPr>
          <w:p>
            <w:pPr>
              <w:pStyle w:val="TableParagraph"/>
              <w:spacing w:line="212" w:lineRule="exact"/>
              <w:ind w:left="256"/>
              <w:rPr>
                <w:rFonts w:ascii="Times New Roman"/>
                <w:b/>
                <w:sz w:val="20"/>
              </w:rPr>
            </w:pPr>
            <w:r>
              <w:rPr>
                <w:rFonts w:ascii="Times New Roman"/>
                <w:b/>
                <w:sz w:val="20"/>
              </w:rPr>
              <w:t>Total</w:t>
            </w:r>
          </w:p>
        </w:tc>
        <w:tc>
          <w:tcPr>
            <w:tcW w:w="1188" w:type="dxa"/>
            <w:shd w:val="clear" w:color="auto" w:fill="D9E0F3"/>
          </w:tcPr>
          <w:p>
            <w:pPr>
              <w:pStyle w:val="TableParagraph"/>
              <w:spacing w:line="212" w:lineRule="exact"/>
              <w:ind w:right="84"/>
              <w:jc w:val="right"/>
              <w:rPr>
                <w:rFonts w:ascii="Times New Roman"/>
                <w:b/>
                <w:sz w:val="20"/>
              </w:rPr>
            </w:pPr>
            <w:r>
              <w:rPr>
                <w:rFonts w:ascii="Times New Roman"/>
                <w:b/>
                <w:sz w:val="20"/>
              </w:rPr>
              <w:t>81</w:t>
            </w:r>
          </w:p>
        </w:tc>
        <w:tc>
          <w:tcPr>
            <w:tcW w:w="1397" w:type="dxa"/>
            <w:shd w:val="clear" w:color="auto" w:fill="D9E0F3"/>
          </w:tcPr>
          <w:p>
            <w:pPr>
              <w:pStyle w:val="TableParagraph"/>
              <w:spacing w:line="212" w:lineRule="exact"/>
              <w:ind w:right="84"/>
              <w:jc w:val="right"/>
              <w:rPr>
                <w:rFonts w:ascii="Times New Roman"/>
                <w:b/>
                <w:sz w:val="20"/>
              </w:rPr>
            </w:pPr>
            <w:r>
              <w:rPr>
                <w:rFonts w:ascii="Times New Roman"/>
                <w:b/>
                <w:sz w:val="20"/>
              </w:rPr>
              <w:t>935</w:t>
            </w:r>
          </w:p>
        </w:tc>
        <w:tc>
          <w:tcPr>
            <w:tcW w:w="1188" w:type="dxa"/>
            <w:shd w:val="clear" w:color="auto" w:fill="D9E0F3"/>
          </w:tcPr>
          <w:p>
            <w:pPr>
              <w:pStyle w:val="TableParagraph"/>
              <w:spacing w:line="212" w:lineRule="exact"/>
              <w:ind w:right="92"/>
              <w:jc w:val="right"/>
              <w:rPr>
                <w:rFonts w:ascii="Times New Roman"/>
                <w:b/>
                <w:sz w:val="20"/>
              </w:rPr>
            </w:pPr>
            <w:r>
              <w:rPr>
                <w:rFonts w:ascii="Times New Roman"/>
                <w:b/>
                <w:w w:val="99"/>
                <w:sz w:val="20"/>
              </w:rPr>
              <w:t>9</w:t>
            </w:r>
          </w:p>
        </w:tc>
        <w:tc>
          <w:tcPr>
            <w:tcW w:w="1189" w:type="dxa"/>
            <w:shd w:val="clear" w:color="auto" w:fill="D9E0F3"/>
          </w:tcPr>
          <w:p>
            <w:pPr>
              <w:pStyle w:val="TableParagraph"/>
              <w:spacing w:line="212" w:lineRule="exact"/>
              <w:ind w:right="91"/>
              <w:jc w:val="right"/>
              <w:rPr>
                <w:rFonts w:ascii="Times New Roman"/>
                <w:b/>
                <w:sz w:val="20"/>
              </w:rPr>
            </w:pPr>
            <w:r>
              <w:rPr>
                <w:rFonts w:ascii="Times New Roman"/>
                <w:b/>
                <w:sz w:val="20"/>
              </w:rPr>
              <w:t>12</w:t>
            </w:r>
          </w:p>
        </w:tc>
        <w:tc>
          <w:tcPr>
            <w:tcW w:w="1553" w:type="dxa"/>
            <w:shd w:val="clear" w:color="auto" w:fill="D9E0F3"/>
          </w:tcPr>
          <w:p>
            <w:pPr>
              <w:pStyle w:val="TableParagraph"/>
              <w:spacing w:line="212" w:lineRule="exact"/>
              <w:ind w:right="90"/>
              <w:jc w:val="right"/>
              <w:rPr>
                <w:rFonts w:ascii="Times New Roman"/>
                <w:b/>
                <w:sz w:val="20"/>
              </w:rPr>
            </w:pPr>
            <w:r>
              <w:rPr>
                <w:rFonts w:ascii="Times New Roman"/>
                <w:b/>
                <w:w w:val="99"/>
                <w:sz w:val="20"/>
              </w:rPr>
              <w:t>9</w:t>
            </w:r>
          </w:p>
        </w:tc>
        <w:tc>
          <w:tcPr>
            <w:tcW w:w="1191" w:type="dxa"/>
            <w:shd w:val="clear" w:color="auto" w:fill="D9E0F3"/>
          </w:tcPr>
          <w:p>
            <w:pPr>
              <w:pStyle w:val="TableParagraph"/>
              <w:spacing w:line="212" w:lineRule="exact"/>
              <w:ind w:right="91"/>
              <w:jc w:val="right"/>
              <w:rPr>
                <w:rFonts w:ascii="Times New Roman"/>
                <w:b/>
                <w:sz w:val="20"/>
              </w:rPr>
            </w:pPr>
            <w:r>
              <w:rPr>
                <w:rFonts w:ascii="Times New Roman"/>
                <w:b/>
                <w:sz w:val="20"/>
              </w:rPr>
              <w:t>1.046</w:t>
            </w:r>
          </w:p>
        </w:tc>
      </w:tr>
    </w:tbl>
    <w:p>
      <w:pPr>
        <w:spacing w:after="0" w:line="212" w:lineRule="exact"/>
        <w:jc w:val="right"/>
        <w:rPr>
          <w:rFonts w:ascii="Times New Roman"/>
          <w:sz w:val="20"/>
        </w:rPr>
        <w:sectPr>
          <w:headerReference w:type="default" r:id="rId47"/>
          <w:footerReference w:type="default" r:id="rId48"/>
          <w:pgSz w:w="11920" w:h="16860"/>
          <w:pgMar w:header="0" w:footer="302" w:top="540" w:bottom="500" w:left="780" w:right="280"/>
          <w:pgNumType w:start="27"/>
        </w:sectPr>
      </w:pPr>
    </w:p>
    <w:p>
      <w:pPr>
        <w:pStyle w:val="BodyText"/>
        <w:ind w:left="516"/>
        <w:rPr>
          <w:rFonts w:ascii="Times New Roman"/>
        </w:rPr>
      </w:pPr>
      <w:r>
        <w:rPr>
          <w:rFonts w:ascii="Times New Roman"/>
        </w:rPr>
        <w:drawing>
          <wp:inline distT="0" distB="0" distL="0" distR="0">
            <wp:extent cx="989985" cy="472249"/>
            <wp:effectExtent l="0" t="0" r="0" b="0"/>
            <wp:docPr id="63" name="image2.jpeg"/>
            <wp:cNvGraphicFramePr>
              <a:graphicFrameLocks noChangeAspect="1"/>
            </wp:cNvGraphicFramePr>
            <a:graphic>
              <a:graphicData uri="http://schemas.openxmlformats.org/drawingml/2006/picture">
                <pic:pic>
                  <pic:nvPicPr>
                    <pic:cNvPr id="64"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spacing w:before="2"/>
        <w:rPr>
          <w:rFonts w:ascii="Times New Roman"/>
          <w:sz w:val="10"/>
        </w:rPr>
      </w:pPr>
    </w:p>
    <w:p>
      <w:pPr>
        <w:tabs>
          <w:tab w:pos="2592" w:val="left" w:leader="none"/>
          <w:tab w:pos="3312" w:val="left" w:leader="none"/>
          <w:tab w:pos="10305" w:val="left" w:leader="none"/>
        </w:tabs>
        <w:spacing w:before="90"/>
        <w:ind w:left="384" w:right="0" w:firstLine="0"/>
        <w:jc w:val="left"/>
        <w:rPr>
          <w:rFonts w:ascii="Times New Roman"/>
          <w:b/>
          <w:sz w:val="24"/>
        </w:rPr>
      </w:pPr>
      <w:r>
        <w:rPr>
          <w:rFonts w:ascii="Times New Roman"/>
          <w:b/>
          <w:sz w:val="24"/>
          <w:shd w:fill="F0F0F0" w:color="auto" w:val="clear"/>
        </w:rPr>
        <w:t> </w:t>
        <w:tab/>
        <w:t>VII.</w:t>
        <w:tab/>
        <w:t>RESPONSABILIDADE</w:t>
      </w:r>
      <w:r>
        <w:rPr>
          <w:rFonts w:ascii="Times New Roman"/>
          <w:b/>
          <w:spacing w:val="-15"/>
          <w:sz w:val="24"/>
          <w:shd w:fill="F0F0F0" w:color="auto" w:val="clear"/>
        </w:rPr>
        <w:t> </w:t>
      </w:r>
      <w:r>
        <w:rPr>
          <w:rFonts w:ascii="Times New Roman"/>
          <w:b/>
          <w:sz w:val="24"/>
          <w:shd w:fill="F0F0F0" w:color="auto" w:val="clear"/>
        </w:rPr>
        <w:t>SOCIOAMBIENTAL</w:t>
        <w:tab/>
      </w:r>
    </w:p>
    <w:p>
      <w:pPr>
        <w:pStyle w:val="BodyText"/>
        <w:spacing w:before="5"/>
        <w:rPr>
          <w:rFonts w:ascii="Times New Roman"/>
          <w:b/>
        </w:rPr>
      </w:pPr>
    </w:p>
    <w:p>
      <w:pPr>
        <w:spacing w:line="360" w:lineRule="auto" w:before="0"/>
        <w:ind w:left="139" w:right="143" w:firstLine="708"/>
        <w:jc w:val="both"/>
        <w:rPr>
          <w:rFonts w:ascii="Times New Roman" w:hAnsi="Times New Roman"/>
          <w:sz w:val="22"/>
        </w:rPr>
      </w:pPr>
      <w:r>
        <w:rPr>
          <w:rFonts w:ascii="Times New Roman" w:hAnsi="Times New Roman"/>
          <w:sz w:val="22"/>
        </w:rPr>
        <w:t>As</w:t>
      </w:r>
      <w:r>
        <w:rPr>
          <w:rFonts w:ascii="Times New Roman" w:hAnsi="Times New Roman"/>
          <w:spacing w:val="-9"/>
          <w:sz w:val="22"/>
        </w:rPr>
        <w:t> </w:t>
      </w:r>
      <w:r>
        <w:rPr>
          <w:rFonts w:ascii="Times New Roman" w:hAnsi="Times New Roman"/>
          <w:sz w:val="22"/>
        </w:rPr>
        <w:t>principais</w:t>
      </w:r>
      <w:r>
        <w:rPr>
          <w:rFonts w:ascii="Times New Roman" w:hAnsi="Times New Roman"/>
          <w:spacing w:val="-8"/>
          <w:sz w:val="22"/>
        </w:rPr>
        <w:t> </w:t>
      </w:r>
      <w:r>
        <w:rPr>
          <w:rFonts w:ascii="Times New Roman" w:hAnsi="Times New Roman"/>
          <w:sz w:val="22"/>
        </w:rPr>
        <w:t>ações</w:t>
      </w:r>
      <w:r>
        <w:rPr>
          <w:rFonts w:ascii="Times New Roman" w:hAnsi="Times New Roman"/>
          <w:spacing w:val="-8"/>
          <w:sz w:val="22"/>
        </w:rPr>
        <w:t> </w:t>
      </w:r>
      <w:r>
        <w:rPr>
          <w:rFonts w:ascii="Times New Roman" w:hAnsi="Times New Roman"/>
          <w:sz w:val="22"/>
        </w:rPr>
        <w:t>desenvolvidas</w:t>
      </w:r>
      <w:r>
        <w:rPr>
          <w:rFonts w:ascii="Times New Roman" w:hAnsi="Times New Roman"/>
          <w:spacing w:val="-8"/>
          <w:sz w:val="22"/>
        </w:rPr>
        <w:t> </w:t>
      </w:r>
      <w:r>
        <w:rPr>
          <w:rFonts w:ascii="Times New Roman" w:hAnsi="Times New Roman"/>
          <w:sz w:val="22"/>
        </w:rPr>
        <w:t>em</w:t>
      </w:r>
      <w:r>
        <w:rPr>
          <w:rFonts w:ascii="Times New Roman" w:hAnsi="Times New Roman"/>
          <w:spacing w:val="-12"/>
          <w:sz w:val="22"/>
        </w:rPr>
        <w:t> </w:t>
      </w:r>
      <w:r>
        <w:rPr>
          <w:rFonts w:ascii="Times New Roman" w:hAnsi="Times New Roman"/>
          <w:sz w:val="22"/>
        </w:rPr>
        <w:t>2019</w:t>
      </w:r>
      <w:r>
        <w:rPr>
          <w:rFonts w:ascii="Times New Roman" w:hAnsi="Times New Roman"/>
          <w:spacing w:val="-9"/>
          <w:sz w:val="22"/>
        </w:rPr>
        <w:t> </w:t>
      </w:r>
      <w:r>
        <w:rPr>
          <w:rFonts w:ascii="Times New Roman" w:hAnsi="Times New Roman"/>
          <w:sz w:val="22"/>
        </w:rPr>
        <w:t>foram</w:t>
      </w:r>
      <w:r>
        <w:rPr>
          <w:rFonts w:ascii="Times New Roman" w:hAnsi="Times New Roman"/>
          <w:spacing w:val="-12"/>
          <w:sz w:val="22"/>
        </w:rPr>
        <w:t> </w:t>
      </w:r>
      <w:r>
        <w:rPr>
          <w:rFonts w:ascii="Times New Roman" w:hAnsi="Times New Roman"/>
          <w:sz w:val="22"/>
        </w:rPr>
        <w:t>nos</w:t>
      </w:r>
      <w:r>
        <w:rPr>
          <w:rFonts w:ascii="Times New Roman" w:hAnsi="Times New Roman"/>
          <w:spacing w:val="-8"/>
          <w:sz w:val="22"/>
        </w:rPr>
        <w:t> </w:t>
      </w:r>
      <w:r>
        <w:rPr>
          <w:rFonts w:ascii="Times New Roman" w:hAnsi="Times New Roman"/>
          <w:sz w:val="22"/>
        </w:rPr>
        <w:t>seguintes</w:t>
      </w:r>
      <w:r>
        <w:rPr>
          <w:rFonts w:ascii="Times New Roman" w:hAnsi="Times New Roman"/>
          <w:spacing w:val="-8"/>
          <w:sz w:val="22"/>
        </w:rPr>
        <w:t> </w:t>
      </w:r>
      <w:r>
        <w:rPr>
          <w:rFonts w:ascii="Times New Roman" w:hAnsi="Times New Roman"/>
          <w:sz w:val="22"/>
        </w:rPr>
        <w:t>campos:</w:t>
      </w:r>
      <w:r>
        <w:rPr>
          <w:rFonts w:ascii="Times New Roman" w:hAnsi="Times New Roman"/>
          <w:spacing w:val="-7"/>
          <w:sz w:val="22"/>
        </w:rPr>
        <w:t> </w:t>
      </w:r>
      <w:r>
        <w:rPr>
          <w:rFonts w:ascii="Times New Roman" w:hAnsi="Times New Roman"/>
          <w:sz w:val="22"/>
        </w:rPr>
        <w:t>licenciamento</w:t>
      </w:r>
      <w:r>
        <w:rPr>
          <w:rFonts w:ascii="Times New Roman" w:hAnsi="Times New Roman"/>
          <w:spacing w:val="-9"/>
          <w:sz w:val="22"/>
        </w:rPr>
        <w:t> </w:t>
      </w:r>
      <w:r>
        <w:rPr>
          <w:rFonts w:ascii="Times New Roman" w:hAnsi="Times New Roman"/>
          <w:sz w:val="22"/>
        </w:rPr>
        <w:t>ambiental,</w:t>
      </w:r>
      <w:r>
        <w:rPr>
          <w:rFonts w:ascii="Times New Roman" w:hAnsi="Times New Roman"/>
          <w:spacing w:val="-9"/>
          <w:sz w:val="22"/>
        </w:rPr>
        <w:t> </w:t>
      </w:r>
      <w:r>
        <w:rPr>
          <w:rFonts w:ascii="Times New Roman" w:hAnsi="Times New Roman"/>
          <w:sz w:val="22"/>
        </w:rPr>
        <w:t>compensação florestal, manejo da vegetação próxima ao sistema elétrico, gestão de resíduos sólidos, uso racional de recursos hídricos e conscientização sobre o uso racional da</w:t>
      </w:r>
      <w:r>
        <w:rPr>
          <w:rFonts w:ascii="Times New Roman" w:hAnsi="Times New Roman"/>
          <w:spacing w:val="-5"/>
          <w:sz w:val="22"/>
        </w:rPr>
        <w:t> </w:t>
      </w:r>
      <w:r>
        <w:rPr>
          <w:rFonts w:ascii="Times New Roman" w:hAnsi="Times New Roman"/>
          <w:sz w:val="22"/>
        </w:rPr>
        <w:t>energia.</w:t>
      </w:r>
    </w:p>
    <w:p>
      <w:pPr>
        <w:pStyle w:val="BodyText"/>
        <w:rPr>
          <w:rFonts w:ascii="Times New Roman"/>
          <w:sz w:val="21"/>
        </w:rPr>
      </w:pPr>
    </w:p>
    <w:p>
      <w:pPr>
        <w:spacing w:line="360" w:lineRule="auto" w:before="0"/>
        <w:ind w:left="139" w:right="141" w:firstLine="708"/>
        <w:jc w:val="both"/>
        <w:rPr>
          <w:rFonts w:ascii="Times New Roman" w:hAnsi="Times New Roman"/>
          <w:sz w:val="22"/>
        </w:rPr>
      </w:pPr>
      <w:r>
        <w:rPr>
          <w:rFonts w:ascii="Times New Roman" w:hAnsi="Times New Roman"/>
          <w:sz w:val="22"/>
        </w:rPr>
        <w:t>Continua em andamento a implantação do “Plano de Recuperação de Áreas Degradas (PRAD) ” na área do Parque</w:t>
      </w:r>
      <w:r>
        <w:rPr>
          <w:rFonts w:ascii="Times New Roman" w:hAnsi="Times New Roman"/>
          <w:spacing w:val="-6"/>
          <w:sz w:val="22"/>
        </w:rPr>
        <w:t> </w:t>
      </w:r>
      <w:r>
        <w:rPr>
          <w:rFonts w:ascii="Times New Roman" w:hAnsi="Times New Roman"/>
          <w:sz w:val="22"/>
        </w:rPr>
        <w:t>Nacional</w:t>
      </w:r>
      <w:r>
        <w:rPr>
          <w:rFonts w:ascii="Times New Roman" w:hAnsi="Times New Roman"/>
          <w:spacing w:val="-5"/>
          <w:sz w:val="22"/>
        </w:rPr>
        <w:t> </w:t>
      </w:r>
      <w:r>
        <w:rPr>
          <w:rFonts w:ascii="Times New Roman" w:hAnsi="Times New Roman"/>
          <w:sz w:val="22"/>
        </w:rPr>
        <w:t>de</w:t>
      </w:r>
      <w:r>
        <w:rPr>
          <w:rFonts w:ascii="Times New Roman" w:hAnsi="Times New Roman"/>
          <w:spacing w:val="-5"/>
          <w:sz w:val="22"/>
        </w:rPr>
        <w:t> </w:t>
      </w:r>
      <w:r>
        <w:rPr>
          <w:rFonts w:ascii="Times New Roman" w:hAnsi="Times New Roman"/>
          <w:sz w:val="22"/>
        </w:rPr>
        <w:t>Brasília,</w:t>
      </w:r>
      <w:r>
        <w:rPr>
          <w:rFonts w:ascii="Times New Roman" w:hAnsi="Times New Roman"/>
          <w:spacing w:val="-6"/>
          <w:sz w:val="22"/>
        </w:rPr>
        <w:t> </w:t>
      </w:r>
      <w:r>
        <w:rPr>
          <w:rFonts w:ascii="Times New Roman" w:hAnsi="Times New Roman"/>
          <w:sz w:val="22"/>
        </w:rPr>
        <w:t>que</w:t>
      </w:r>
      <w:r>
        <w:rPr>
          <w:rFonts w:ascii="Times New Roman" w:hAnsi="Times New Roman"/>
          <w:spacing w:val="-6"/>
          <w:sz w:val="22"/>
        </w:rPr>
        <w:t> </w:t>
      </w:r>
      <w:r>
        <w:rPr>
          <w:rFonts w:ascii="Times New Roman" w:hAnsi="Times New Roman"/>
          <w:sz w:val="22"/>
        </w:rPr>
        <w:t>prevê</w:t>
      </w:r>
      <w:r>
        <w:rPr>
          <w:rFonts w:ascii="Times New Roman" w:hAnsi="Times New Roman"/>
          <w:spacing w:val="-5"/>
          <w:sz w:val="22"/>
        </w:rPr>
        <w:t> </w:t>
      </w:r>
      <w:r>
        <w:rPr>
          <w:rFonts w:ascii="Times New Roman" w:hAnsi="Times New Roman"/>
          <w:sz w:val="22"/>
        </w:rPr>
        <w:t>a</w:t>
      </w:r>
      <w:r>
        <w:rPr>
          <w:rFonts w:ascii="Times New Roman" w:hAnsi="Times New Roman"/>
          <w:spacing w:val="-6"/>
          <w:sz w:val="22"/>
        </w:rPr>
        <w:t> </w:t>
      </w:r>
      <w:r>
        <w:rPr>
          <w:rFonts w:ascii="Times New Roman" w:hAnsi="Times New Roman"/>
          <w:sz w:val="22"/>
        </w:rPr>
        <w:t>recuperação</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uma</w:t>
      </w:r>
      <w:r>
        <w:rPr>
          <w:rFonts w:ascii="Times New Roman" w:hAnsi="Times New Roman"/>
          <w:spacing w:val="-6"/>
          <w:sz w:val="22"/>
        </w:rPr>
        <w:t> </w:t>
      </w:r>
      <w:r>
        <w:rPr>
          <w:rFonts w:ascii="Times New Roman" w:hAnsi="Times New Roman"/>
          <w:sz w:val="22"/>
        </w:rPr>
        <w:t>área</w:t>
      </w:r>
      <w:r>
        <w:rPr>
          <w:rFonts w:ascii="Times New Roman" w:hAnsi="Times New Roman"/>
          <w:spacing w:val="-5"/>
          <w:sz w:val="22"/>
        </w:rPr>
        <w:t> </w:t>
      </w:r>
      <w:r>
        <w:rPr>
          <w:rFonts w:ascii="Times New Roman" w:hAnsi="Times New Roman"/>
          <w:sz w:val="22"/>
        </w:rPr>
        <w:t>de</w:t>
      </w:r>
      <w:r>
        <w:rPr>
          <w:rFonts w:ascii="Times New Roman" w:hAnsi="Times New Roman"/>
          <w:spacing w:val="-6"/>
          <w:sz w:val="22"/>
        </w:rPr>
        <w:t> </w:t>
      </w:r>
      <w:r>
        <w:rPr>
          <w:rFonts w:ascii="Times New Roman" w:hAnsi="Times New Roman"/>
          <w:sz w:val="22"/>
        </w:rPr>
        <w:t>8,79</w:t>
      </w:r>
      <w:r>
        <w:rPr>
          <w:rFonts w:ascii="Times New Roman" w:hAnsi="Times New Roman"/>
          <w:spacing w:val="-6"/>
          <w:sz w:val="22"/>
        </w:rPr>
        <w:t> </w:t>
      </w:r>
      <w:r>
        <w:rPr>
          <w:rFonts w:ascii="Times New Roman" w:hAnsi="Times New Roman"/>
          <w:sz w:val="22"/>
        </w:rPr>
        <w:t>hectares,</w:t>
      </w:r>
      <w:r>
        <w:rPr>
          <w:rFonts w:ascii="Times New Roman" w:hAnsi="Times New Roman"/>
          <w:spacing w:val="-5"/>
          <w:sz w:val="22"/>
        </w:rPr>
        <w:t> </w:t>
      </w:r>
      <w:r>
        <w:rPr>
          <w:rFonts w:ascii="Times New Roman" w:hAnsi="Times New Roman"/>
          <w:sz w:val="22"/>
        </w:rPr>
        <w:t>com</w:t>
      </w:r>
      <w:r>
        <w:rPr>
          <w:rFonts w:ascii="Times New Roman" w:hAnsi="Times New Roman"/>
          <w:spacing w:val="-9"/>
          <w:sz w:val="22"/>
        </w:rPr>
        <w:t> </w:t>
      </w:r>
      <w:r>
        <w:rPr>
          <w:rFonts w:ascii="Times New Roman" w:hAnsi="Times New Roman"/>
          <w:sz w:val="22"/>
        </w:rPr>
        <w:t>o</w:t>
      </w:r>
      <w:r>
        <w:rPr>
          <w:rFonts w:ascii="Times New Roman" w:hAnsi="Times New Roman"/>
          <w:spacing w:val="-3"/>
          <w:sz w:val="22"/>
        </w:rPr>
        <w:t> </w:t>
      </w:r>
      <w:r>
        <w:rPr>
          <w:rFonts w:ascii="Times New Roman" w:hAnsi="Times New Roman"/>
          <w:sz w:val="22"/>
        </w:rPr>
        <w:t>plantio</w:t>
      </w:r>
      <w:r>
        <w:rPr>
          <w:rFonts w:ascii="Times New Roman" w:hAnsi="Times New Roman"/>
          <w:spacing w:val="-6"/>
          <w:sz w:val="22"/>
        </w:rPr>
        <w:t> </w:t>
      </w:r>
      <w:r>
        <w:rPr>
          <w:rFonts w:ascii="Times New Roman" w:hAnsi="Times New Roman"/>
          <w:sz w:val="22"/>
        </w:rPr>
        <w:t>19.532</w:t>
      </w:r>
      <w:r>
        <w:rPr>
          <w:rFonts w:ascii="Times New Roman" w:hAnsi="Times New Roman"/>
          <w:spacing w:val="-6"/>
          <w:sz w:val="22"/>
        </w:rPr>
        <w:t> </w:t>
      </w:r>
      <w:r>
        <w:rPr>
          <w:rFonts w:ascii="Times New Roman" w:hAnsi="Times New Roman"/>
          <w:sz w:val="22"/>
        </w:rPr>
        <w:t>(dezenove</w:t>
      </w:r>
      <w:r>
        <w:rPr>
          <w:rFonts w:ascii="Times New Roman" w:hAnsi="Times New Roman"/>
          <w:spacing w:val="-2"/>
          <w:sz w:val="22"/>
        </w:rPr>
        <w:t> </w:t>
      </w:r>
      <w:r>
        <w:rPr>
          <w:rFonts w:ascii="Times New Roman" w:hAnsi="Times New Roman"/>
          <w:sz w:val="22"/>
        </w:rPr>
        <w:t>mil, quinhentos</w:t>
      </w:r>
      <w:r>
        <w:rPr>
          <w:rFonts w:ascii="Times New Roman" w:hAnsi="Times New Roman"/>
          <w:spacing w:val="-4"/>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trinta</w:t>
      </w:r>
      <w:r>
        <w:rPr>
          <w:rFonts w:ascii="Times New Roman" w:hAnsi="Times New Roman"/>
          <w:spacing w:val="-6"/>
          <w:sz w:val="22"/>
        </w:rPr>
        <w:t> </w:t>
      </w:r>
      <w:r>
        <w:rPr>
          <w:rFonts w:ascii="Times New Roman" w:hAnsi="Times New Roman"/>
          <w:sz w:val="22"/>
        </w:rPr>
        <w:t>e</w:t>
      </w:r>
      <w:r>
        <w:rPr>
          <w:rFonts w:ascii="Times New Roman" w:hAnsi="Times New Roman"/>
          <w:spacing w:val="-4"/>
          <w:sz w:val="22"/>
        </w:rPr>
        <w:t> </w:t>
      </w:r>
      <w:r>
        <w:rPr>
          <w:rFonts w:ascii="Times New Roman" w:hAnsi="Times New Roman"/>
          <w:sz w:val="22"/>
        </w:rPr>
        <w:t>duas)</w:t>
      </w:r>
      <w:r>
        <w:rPr>
          <w:rFonts w:ascii="Times New Roman" w:hAnsi="Times New Roman"/>
          <w:spacing w:val="-5"/>
          <w:sz w:val="22"/>
        </w:rPr>
        <w:t> </w:t>
      </w:r>
      <w:r>
        <w:rPr>
          <w:rFonts w:ascii="Times New Roman" w:hAnsi="Times New Roman"/>
          <w:sz w:val="22"/>
        </w:rPr>
        <w:t>mudas</w:t>
      </w:r>
      <w:r>
        <w:rPr>
          <w:rFonts w:ascii="Times New Roman" w:hAnsi="Times New Roman"/>
          <w:spacing w:val="-3"/>
          <w:sz w:val="22"/>
        </w:rPr>
        <w:t> </w:t>
      </w:r>
      <w:r>
        <w:rPr>
          <w:rFonts w:ascii="Times New Roman" w:hAnsi="Times New Roman"/>
          <w:sz w:val="22"/>
        </w:rPr>
        <w:t>nativas</w:t>
      </w:r>
      <w:r>
        <w:rPr>
          <w:rFonts w:ascii="Times New Roman" w:hAnsi="Times New Roman"/>
          <w:spacing w:val="-4"/>
          <w:sz w:val="22"/>
        </w:rPr>
        <w:t> </w:t>
      </w:r>
      <w:r>
        <w:rPr>
          <w:rFonts w:ascii="Times New Roman" w:hAnsi="Times New Roman"/>
          <w:sz w:val="22"/>
        </w:rPr>
        <w:t>do</w:t>
      </w:r>
      <w:r>
        <w:rPr>
          <w:rFonts w:ascii="Times New Roman" w:hAnsi="Times New Roman"/>
          <w:spacing w:val="-4"/>
          <w:sz w:val="22"/>
        </w:rPr>
        <w:t> </w:t>
      </w:r>
      <w:r>
        <w:rPr>
          <w:rFonts w:ascii="Times New Roman" w:hAnsi="Times New Roman"/>
          <w:sz w:val="22"/>
        </w:rPr>
        <w:t>Cerrado.</w:t>
      </w:r>
      <w:r>
        <w:rPr>
          <w:rFonts w:ascii="Times New Roman" w:hAnsi="Times New Roman"/>
          <w:spacing w:val="-8"/>
          <w:sz w:val="22"/>
        </w:rPr>
        <w:t> </w:t>
      </w:r>
      <w:r>
        <w:rPr>
          <w:rFonts w:ascii="Times New Roman" w:hAnsi="Times New Roman"/>
          <w:sz w:val="22"/>
        </w:rPr>
        <w:t>O</w:t>
      </w:r>
      <w:r>
        <w:rPr>
          <w:rFonts w:ascii="Times New Roman" w:hAnsi="Times New Roman"/>
          <w:spacing w:val="-6"/>
          <w:sz w:val="22"/>
        </w:rPr>
        <w:t> </w:t>
      </w:r>
      <w:r>
        <w:rPr>
          <w:rFonts w:ascii="Times New Roman" w:hAnsi="Times New Roman"/>
          <w:sz w:val="22"/>
        </w:rPr>
        <w:t>acompanhamento</w:t>
      </w:r>
      <w:r>
        <w:rPr>
          <w:rFonts w:ascii="Times New Roman" w:hAnsi="Times New Roman"/>
          <w:spacing w:val="-4"/>
          <w:sz w:val="22"/>
        </w:rPr>
        <w:t> </w:t>
      </w:r>
      <w:r>
        <w:rPr>
          <w:rFonts w:ascii="Times New Roman" w:hAnsi="Times New Roman"/>
          <w:sz w:val="22"/>
        </w:rPr>
        <w:t>ambiental</w:t>
      </w:r>
      <w:r>
        <w:rPr>
          <w:rFonts w:ascii="Times New Roman" w:hAnsi="Times New Roman"/>
          <w:spacing w:val="-3"/>
          <w:sz w:val="22"/>
        </w:rPr>
        <w:t> </w:t>
      </w:r>
      <w:r>
        <w:rPr>
          <w:rFonts w:ascii="Times New Roman" w:hAnsi="Times New Roman"/>
          <w:sz w:val="22"/>
        </w:rPr>
        <w:t>deste</w:t>
      </w:r>
      <w:r>
        <w:rPr>
          <w:rFonts w:ascii="Times New Roman" w:hAnsi="Times New Roman"/>
          <w:spacing w:val="-4"/>
          <w:sz w:val="22"/>
        </w:rPr>
        <w:t> </w:t>
      </w:r>
      <w:r>
        <w:rPr>
          <w:rFonts w:ascii="Times New Roman" w:hAnsi="Times New Roman"/>
          <w:sz w:val="22"/>
        </w:rPr>
        <w:t>PRAD,</w:t>
      </w:r>
      <w:r>
        <w:rPr>
          <w:rFonts w:ascii="Times New Roman" w:hAnsi="Times New Roman"/>
          <w:spacing w:val="-4"/>
          <w:sz w:val="22"/>
        </w:rPr>
        <w:t> </w:t>
      </w:r>
      <w:r>
        <w:rPr>
          <w:rFonts w:ascii="Times New Roman" w:hAnsi="Times New Roman"/>
          <w:sz w:val="22"/>
        </w:rPr>
        <w:t>tem</w:t>
      </w:r>
      <w:r>
        <w:rPr>
          <w:rFonts w:ascii="Times New Roman" w:hAnsi="Times New Roman"/>
          <w:spacing w:val="-7"/>
          <w:sz w:val="22"/>
        </w:rPr>
        <w:t> </w:t>
      </w:r>
      <w:r>
        <w:rPr>
          <w:rFonts w:ascii="Times New Roman" w:hAnsi="Times New Roman"/>
          <w:sz w:val="22"/>
        </w:rPr>
        <w:t>demonstrado</w:t>
      </w:r>
      <w:r>
        <w:rPr>
          <w:rFonts w:ascii="Times New Roman" w:hAnsi="Times New Roman"/>
          <w:spacing w:val="-6"/>
          <w:sz w:val="22"/>
        </w:rPr>
        <w:t> </w:t>
      </w:r>
      <w:r>
        <w:rPr>
          <w:rFonts w:ascii="Times New Roman" w:hAnsi="Times New Roman"/>
          <w:sz w:val="22"/>
        </w:rPr>
        <w:t>que a área tem se regenerado de forma</w:t>
      </w:r>
      <w:r>
        <w:rPr>
          <w:rFonts w:ascii="Times New Roman" w:hAnsi="Times New Roman"/>
          <w:spacing w:val="-7"/>
          <w:sz w:val="22"/>
        </w:rPr>
        <w:t> </w:t>
      </w:r>
      <w:r>
        <w:rPr>
          <w:rFonts w:ascii="Times New Roman" w:hAnsi="Times New Roman"/>
          <w:sz w:val="22"/>
        </w:rPr>
        <w:t>satisfatória.</w:t>
      </w:r>
    </w:p>
    <w:p>
      <w:pPr>
        <w:pStyle w:val="BodyText"/>
        <w:spacing w:before="9"/>
        <w:rPr>
          <w:rFonts w:ascii="Times New Roman"/>
        </w:rPr>
      </w:pPr>
    </w:p>
    <w:p>
      <w:pPr>
        <w:spacing w:line="360" w:lineRule="auto" w:before="1"/>
        <w:ind w:left="139" w:right="135" w:firstLine="708"/>
        <w:jc w:val="both"/>
        <w:rPr>
          <w:rFonts w:ascii="Times New Roman" w:hAnsi="Times New Roman"/>
          <w:sz w:val="22"/>
        </w:rPr>
      </w:pPr>
      <w:r>
        <w:rPr>
          <w:rFonts w:ascii="Times New Roman" w:hAnsi="Times New Roman"/>
          <w:sz w:val="22"/>
        </w:rPr>
        <w:t>Foram realizadas 04 palestras em escolas e universidades, capacitando cerca de 100 (cem) participantes sobre o uso racional da energia elétrica em casa e também no trabalho, com o intuito de conscientizar as pessoas quanto à economia de energia nas edificações.</w:t>
      </w:r>
    </w:p>
    <w:p>
      <w:pPr>
        <w:pStyle w:val="BodyText"/>
        <w:spacing w:before="11"/>
        <w:rPr>
          <w:rFonts w:ascii="Times New Roman"/>
        </w:rPr>
      </w:pPr>
    </w:p>
    <w:p>
      <w:pPr>
        <w:spacing w:line="360" w:lineRule="auto" w:before="0"/>
        <w:ind w:left="139" w:right="136" w:firstLine="708"/>
        <w:jc w:val="both"/>
        <w:rPr>
          <w:rFonts w:ascii="Times New Roman" w:hAnsi="Times New Roman"/>
          <w:sz w:val="22"/>
        </w:rPr>
      </w:pPr>
      <w:r>
        <w:rPr>
          <w:rFonts w:ascii="Times New Roman" w:hAnsi="Times New Roman"/>
          <w:sz w:val="22"/>
        </w:rPr>
        <w:t>O</w:t>
      </w:r>
      <w:r>
        <w:rPr>
          <w:rFonts w:ascii="Times New Roman" w:hAnsi="Times New Roman"/>
          <w:spacing w:val="-13"/>
          <w:sz w:val="22"/>
        </w:rPr>
        <w:t> </w:t>
      </w:r>
      <w:r>
        <w:rPr>
          <w:rFonts w:ascii="Times New Roman" w:hAnsi="Times New Roman"/>
          <w:sz w:val="22"/>
        </w:rPr>
        <w:t>serviço</w:t>
      </w:r>
      <w:r>
        <w:rPr>
          <w:rFonts w:ascii="Times New Roman" w:hAnsi="Times New Roman"/>
          <w:spacing w:val="-11"/>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poda</w:t>
      </w:r>
      <w:r>
        <w:rPr>
          <w:rFonts w:ascii="Times New Roman" w:hAnsi="Times New Roman"/>
          <w:spacing w:val="-11"/>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árvores</w:t>
      </w:r>
      <w:r>
        <w:rPr>
          <w:rFonts w:ascii="Times New Roman" w:hAnsi="Times New Roman"/>
          <w:spacing w:val="-10"/>
          <w:sz w:val="22"/>
        </w:rPr>
        <w:t> </w:t>
      </w:r>
      <w:r>
        <w:rPr>
          <w:rFonts w:ascii="Times New Roman" w:hAnsi="Times New Roman"/>
          <w:sz w:val="22"/>
        </w:rPr>
        <w:t>da</w:t>
      </w:r>
      <w:r>
        <w:rPr>
          <w:rFonts w:ascii="Times New Roman" w:hAnsi="Times New Roman"/>
          <w:spacing w:val="-11"/>
          <w:sz w:val="22"/>
        </w:rPr>
        <w:t> </w:t>
      </w:r>
      <w:r>
        <w:rPr>
          <w:rFonts w:ascii="Times New Roman" w:hAnsi="Times New Roman"/>
          <w:sz w:val="22"/>
        </w:rPr>
        <w:t>CEB-DIS</w:t>
      </w:r>
      <w:r>
        <w:rPr>
          <w:rFonts w:ascii="Times New Roman" w:hAnsi="Times New Roman"/>
          <w:spacing w:val="-11"/>
          <w:sz w:val="22"/>
        </w:rPr>
        <w:t> </w:t>
      </w:r>
      <w:r>
        <w:rPr>
          <w:rFonts w:ascii="Times New Roman" w:hAnsi="Times New Roman"/>
          <w:sz w:val="22"/>
        </w:rPr>
        <w:t>é</w:t>
      </w:r>
      <w:r>
        <w:rPr>
          <w:rFonts w:ascii="Times New Roman" w:hAnsi="Times New Roman"/>
          <w:spacing w:val="-12"/>
          <w:sz w:val="22"/>
        </w:rPr>
        <w:t> </w:t>
      </w:r>
      <w:r>
        <w:rPr>
          <w:rFonts w:ascii="Times New Roman" w:hAnsi="Times New Roman"/>
          <w:sz w:val="22"/>
        </w:rPr>
        <w:t>realizado</w:t>
      </w:r>
      <w:r>
        <w:rPr>
          <w:rFonts w:ascii="Times New Roman" w:hAnsi="Times New Roman"/>
          <w:spacing w:val="-11"/>
          <w:sz w:val="22"/>
        </w:rPr>
        <w:t> </w:t>
      </w:r>
      <w:r>
        <w:rPr>
          <w:rFonts w:ascii="Times New Roman" w:hAnsi="Times New Roman"/>
          <w:sz w:val="22"/>
        </w:rPr>
        <w:t>por</w:t>
      </w:r>
      <w:r>
        <w:rPr>
          <w:rFonts w:ascii="Times New Roman" w:hAnsi="Times New Roman"/>
          <w:spacing w:val="-10"/>
          <w:sz w:val="22"/>
        </w:rPr>
        <w:t> </w:t>
      </w:r>
      <w:r>
        <w:rPr>
          <w:rFonts w:ascii="Times New Roman" w:hAnsi="Times New Roman"/>
          <w:sz w:val="22"/>
        </w:rPr>
        <w:t>equipes</w:t>
      </w:r>
      <w:r>
        <w:rPr>
          <w:rFonts w:ascii="Times New Roman" w:hAnsi="Times New Roman"/>
          <w:spacing w:val="-13"/>
          <w:sz w:val="22"/>
        </w:rPr>
        <w:t> </w:t>
      </w:r>
      <w:r>
        <w:rPr>
          <w:rFonts w:ascii="Times New Roman" w:hAnsi="Times New Roman"/>
          <w:sz w:val="22"/>
        </w:rPr>
        <w:t>treinadas</w:t>
      </w:r>
      <w:r>
        <w:rPr>
          <w:rFonts w:ascii="Times New Roman" w:hAnsi="Times New Roman"/>
          <w:spacing w:val="-10"/>
          <w:sz w:val="22"/>
        </w:rPr>
        <w:t> </w:t>
      </w:r>
      <w:r>
        <w:rPr>
          <w:rFonts w:ascii="Times New Roman" w:hAnsi="Times New Roman"/>
          <w:sz w:val="22"/>
        </w:rPr>
        <w:t>que</w:t>
      </w:r>
      <w:r>
        <w:rPr>
          <w:rFonts w:ascii="Times New Roman" w:hAnsi="Times New Roman"/>
          <w:spacing w:val="-11"/>
          <w:sz w:val="22"/>
        </w:rPr>
        <w:t> </w:t>
      </w:r>
      <w:r>
        <w:rPr>
          <w:rFonts w:ascii="Times New Roman" w:hAnsi="Times New Roman"/>
          <w:sz w:val="22"/>
        </w:rPr>
        <w:t>contribui</w:t>
      </w:r>
      <w:r>
        <w:rPr>
          <w:rFonts w:ascii="Times New Roman" w:hAnsi="Times New Roman"/>
          <w:spacing w:val="-10"/>
          <w:sz w:val="22"/>
        </w:rPr>
        <w:t> </w:t>
      </w:r>
      <w:r>
        <w:rPr>
          <w:rFonts w:ascii="Times New Roman" w:hAnsi="Times New Roman"/>
          <w:sz w:val="22"/>
        </w:rPr>
        <w:t>significativamente</w:t>
      </w:r>
      <w:r>
        <w:rPr>
          <w:rFonts w:ascii="Times New Roman" w:hAnsi="Times New Roman"/>
          <w:spacing w:val="-11"/>
          <w:sz w:val="22"/>
        </w:rPr>
        <w:t> </w:t>
      </w:r>
      <w:r>
        <w:rPr>
          <w:rFonts w:ascii="Times New Roman" w:hAnsi="Times New Roman"/>
          <w:sz w:val="22"/>
        </w:rPr>
        <w:t>para o aperfeiçoamento do trabalho. Para o ano de 2020, espera-se aumentar a eficiência na prestação do serviço, bem como melhorar</w:t>
      </w:r>
      <w:r>
        <w:rPr>
          <w:rFonts w:ascii="Times New Roman" w:hAnsi="Times New Roman"/>
          <w:spacing w:val="-3"/>
          <w:sz w:val="22"/>
        </w:rPr>
        <w:t> </w:t>
      </w:r>
      <w:r>
        <w:rPr>
          <w:rFonts w:ascii="Times New Roman" w:hAnsi="Times New Roman"/>
          <w:sz w:val="22"/>
        </w:rPr>
        <w:t>a</w:t>
      </w:r>
      <w:r>
        <w:rPr>
          <w:rFonts w:ascii="Times New Roman" w:hAnsi="Times New Roman"/>
          <w:spacing w:val="-3"/>
          <w:sz w:val="22"/>
        </w:rPr>
        <w:t> </w:t>
      </w:r>
      <w:r>
        <w:rPr>
          <w:rFonts w:ascii="Times New Roman" w:hAnsi="Times New Roman"/>
          <w:sz w:val="22"/>
        </w:rPr>
        <w:t>gestão</w:t>
      </w:r>
      <w:r>
        <w:rPr>
          <w:rFonts w:ascii="Times New Roman" w:hAnsi="Times New Roman"/>
          <w:spacing w:val="-3"/>
          <w:sz w:val="22"/>
        </w:rPr>
        <w:t> </w:t>
      </w:r>
      <w:r>
        <w:rPr>
          <w:rFonts w:ascii="Times New Roman" w:hAnsi="Times New Roman"/>
          <w:sz w:val="22"/>
        </w:rPr>
        <w:t>dos</w:t>
      </w:r>
      <w:r>
        <w:rPr>
          <w:rFonts w:ascii="Times New Roman" w:hAnsi="Times New Roman"/>
          <w:spacing w:val="-5"/>
          <w:sz w:val="22"/>
        </w:rPr>
        <w:t> </w:t>
      </w:r>
      <w:r>
        <w:rPr>
          <w:rFonts w:ascii="Times New Roman" w:hAnsi="Times New Roman"/>
          <w:sz w:val="22"/>
        </w:rPr>
        <w:t>contratos</w:t>
      </w:r>
      <w:r>
        <w:rPr>
          <w:rFonts w:ascii="Times New Roman" w:hAnsi="Times New Roman"/>
          <w:spacing w:val="-3"/>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tempo</w:t>
      </w:r>
      <w:r>
        <w:rPr>
          <w:rFonts w:ascii="Times New Roman" w:hAnsi="Times New Roman"/>
          <w:spacing w:val="-4"/>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atendimento</w:t>
      </w:r>
      <w:r>
        <w:rPr>
          <w:rFonts w:ascii="Times New Roman" w:hAnsi="Times New Roman"/>
          <w:spacing w:val="-4"/>
          <w:sz w:val="22"/>
        </w:rPr>
        <w:t> </w:t>
      </w:r>
      <w:r>
        <w:rPr>
          <w:rFonts w:ascii="Times New Roman" w:hAnsi="Times New Roman"/>
          <w:sz w:val="22"/>
        </w:rPr>
        <w:t>ao</w:t>
      </w:r>
      <w:r>
        <w:rPr>
          <w:rFonts w:ascii="Times New Roman" w:hAnsi="Times New Roman"/>
          <w:spacing w:val="-3"/>
          <w:sz w:val="22"/>
        </w:rPr>
        <w:t> </w:t>
      </w:r>
      <w:r>
        <w:rPr>
          <w:rFonts w:ascii="Times New Roman" w:hAnsi="Times New Roman"/>
          <w:sz w:val="22"/>
        </w:rPr>
        <w:t>cliente,</w:t>
      </w:r>
      <w:r>
        <w:rPr>
          <w:rFonts w:ascii="Times New Roman" w:hAnsi="Times New Roman"/>
          <w:spacing w:val="-3"/>
          <w:sz w:val="22"/>
        </w:rPr>
        <w:t> </w:t>
      </w:r>
      <w:r>
        <w:rPr>
          <w:rFonts w:ascii="Times New Roman" w:hAnsi="Times New Roman"/>
          <w:sz w:val="22"/>
        </w:rPr>
        <w:t>pois</w:t>
      </w:r>
      <w:r>
        <w:rPr>
          <w:rFonts w:ascii="Times New Roman" w:hAnsi="Times New Roman"/>
          <w:spacing w:val="-3"/>
          <w:sz w:val="22"/>
        </w:rPr>
        <w:t> </w:t>
      </w:r>
      <w:r>
        <w:rPr>
          <w:rFonts w:ascii="Times New Roman" w:hAnsi="Times New Roman"/>
          <w:sz w:val="22"/>
        </w:rPr>
        <w:t>foi</w:t>
      </w:r>
      <w:r>
        <w:rPr>
          <w:rFonts w:ascii="Times New Roman" w:hAnsi="Times New Roman"/>
          <w:spacing w:val="-3"/>
          <w:sz w:val="22"/>
        </w:rPr>
        <w:t> </w:t>
      </w:r>
      <w:r>
        <w:rPr>
          <w:rFonts w:ascii="Times New Roman" w:hAnsi="Times New Roman"/>
          <w:sz w:val="22"/>
        </w:rPr>
        <w:t>alterado</w:t>
      </w:r>
      <w:r>
        <w:rPr>
          <w:rFonts w:ascii="Times New Roman" w:hAnsi="Times New Roman"/>
          <w:spacing w:val="-4"/>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regime</w:t>
      </w:r>
      <w:r>
        <w:rPr>
          <w:rFonts w:ascii="Times New Roman" w:hAnsi="Times New Roman"/>
          <w:spacing w:val="-3"/>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contratação</w:t>
      </w:r>
      <w:r>
        <w:rPr>
          <w:rFonts w:ascii="Times New Roman" w:hAnsi="Times New Roman"/>
          <w:spacing w:val="-4"/>
          <w:sz w:val="22"/>
        </w:rPr>
        <w:t> </w:t>
      </w:r>
      <w:r>
        <w:rPr>
          <w:rFonts w:ascii="Times New Roman" w:hAnsi="Times New Roman"/>
          <w:sz w:val="22"/>
        </w:rPr>
        <w:t>da</w:t>
      </w:r>
      <w:r>
        <w:rPr>
          <w:rFonts w:ascii="Times New Roman" w:hAnsi="Times New Roman"/>
          <w:spacing w:val="-3"/>
          <w:sz w:val="22"/>
        </w:rPr>
        <w:t> </w:t>
      </w:r>
      <w:r>
        <w:rPr>
          <w:rFonts w:ascii="Times New Roman" w:hAnsi="Times New Roman"/>
          <w:sz w:val="22"/>
        </w:rPr>
        <w:t>empresa prestadora.</w:t>
      </w:r>
    </w:p>
    <w:p>
      <w:pPr>
        <w:pStyle w:val="BodyText"/>
        <w:spacing w:before="9"/>
        <w:rPr>
          <w:rFonts w:ascii="Times New Roman"/>
        </w:rPr>
      </w:pPr>
    </w:p>
    <w:p>
      <w:pPr>
        <w:spacing w:line="360" w:lineRule="auto" w:before="0"/>
        <w:ind w:left="139" w:right="148" w:firstLine="708"/>
        <w:jc w:val="both"/>
        <w:rPr>
          <w:rFonts w:ascii="Times New Roman" w:hAnsi="Times New Roman"/>
          <w:sz w:val="22"/>
        </w:rPr>
      </w:pPr>
      <w:r>
        <w:rPr>
          <w:rFonts w:ascii="Times New Roman" w:hAnsi="Times New Roman"/>
          <w:sz w:val="22"/>
        </w:rPr>
        <w:t>No ano de 2019, o valor investido no manejo de vegetação próximo à rede aérea foi de aproximadamente R$ 5.889.700,28.</w:t>
      </w:r>
    </w:p>
    <w:p>
      <w:pPr>
        <w:pStyle w:val="BodyText"/>
        <w:spacing w:before="6"/>
        <w:rPr>
          <w:rFonts w:ascii="Times New Roman"/>
          <w:sz w:val="13"/>
        </w:rPr>
      </w:pPr>
    </w:p>
    <w:p>
      <w:pPr>
        <w:tabs>
          <w:tab w:pos="3118" w:val="left" w:leader="none"/>
        </w:tabs>
        <w:spacing w:before="90"/>
        <w:ind w:left="384" w:right="0" w:firstLine="0"/>
        <w:jc w:val="left"/>
        <w:rPr>
          <w:rFonts w:ascii="Times New Roman"/>
          <w:b/>
          <w:sz w:val="24"/>
        </w:rPr>
      </w:pPr>
      <w:r>
        <w:rPr/>
        <w:pict>
          <v:rect style="position:absolute;margin-left:410.019989pt;margin-top:4.183137pt;width:144.26pt;height:14.16pt;mso-position-horizontal-relative:page;mso-position-vertical-relative:paragraph;z-index:15746560" filled="true" fillcolor="#f0f0f0" stroked="false">
            <v:fill type="solid"/>
            <w10:wrap type="none"/>
          </v:rect>
        </w:pict>
      </w:r>
      <w:r>
        <w:rPr>
          <w:rFonts w:ascii="Times New Roman"/>
          <w:b/>
          <w:sz w:val="24"/>
          <w:shd w:fill="F0F0F0" w:color="auto" w:val="clear"/>
        </w:rPr>
        <w:t> </w:t>
        <w:tab/>
        <w:t>VIII. </w:t>
      </w:r>
      <w:r>
        <w:rPr>
          <w:rFonts w:ascii="Times New Roman"/>
          <w:b/>
          <w:sz w:val="24"/>
        </w:rPr>
        <w:t>PERSPECTIVAS</w:t>
      </w:r>
      <w:r>
        <w:rPr>
          <w:rFonts w:ascii="Times New Roman"/>
          <w:b/>
          <w:spacing w:val="-1"/>
          <w:sz w:val="24"/>
        </w:rPr>
        <w:t> </w:t>
      </w:r>
      <w:r>
        <w:rPr>
          <w:rFonts w:ascii="Times New Roman"/>
          <w:b/>
          <w:sz w:val="24"/>
        </w:rPr>
        <w:t>EMPRESARIAIS</w:t>
      </w:r>
    </w:p>
    <w:p>
      <w:pPr>
        <w:pStyle w:val="BodyText"/>
        <w:spacing w:before="4"/>
        <w:rPr>
          <w:rFonts w:ascii="Times New Roman"/>
          <w:b/>
        </w:rPr>
      </w:pPr>
    </w:p>
    <w:p>
      <w:pPr>
        <w:spacing w:line="360" w:lineRule="auto" w:before="1"/>
        <w:ind w:left="139" w:right="139" w:firstLine="708"/>
        <w:jc w:val="both"/>
        <w:rPr>
          <w:rFonts w:ascii="Times New Roman" w:hAnsi="Times New Roman"/>
          <w:sz w:val="22"/>
        </w:rPr>
      </w:pPr>
      <w:r>
        <w:rPr>
          <w:rFonts w:ascii="Times New Roman" w:hAnsi="Times New Roman"/>
          <w:sz w:val="22"/>
        </w:rPr>
        <w:t>O setor elétrico brasileiro tem suas diretrizes estabelecidas pelo Ministério de Minas e Energia (MME) e é regulado pela Agência Nacional de Energia Elétrica (ANEEL), sendo que o modelo conta ainda com agentes institucionais, quais sejam: Operador Nacional do Sistema (ONS), que coordena e controla a operação do Sistema</w:t>
      </w:r>
    </w:p>
    <w:p>
      <w:pPr>
        <w:spacing w:line="360" w:lineRule="auto" w:before="1"/>
        <w:ind w:left="139" w:right="143" w:firstLine="0"/>
        <w:jc w:val="both"/>
        <w:rPr>
          <w:rFonts w:ascii="Times New Roman" w:hAnsi="Times New Roman"/>
          <w:sz w:val="22"/>
        </w:rPr>
      </w:pPr>
      <w:r>
        <w:rPr>
          <w:rFonts w:ascii="Times New Roman" w:hAnsi="Times New Roman"/>
          <w:sz w:val="22"/>
        </w:rPr>
        <w:t>Interligado Nacional; a Câmara de Comercialização de Energia Elétrica (CCEE), que se responsabiliza pela contabilização e liquidação das transações no mercado de curto prazo e, ainda, por delegação do órgão regulador, coordena os leilões de energia elétrica; e, por último, a Empresa de Pesquisa Energética (EPE), que realiza os estudos necessários para o planejamento do setor.</w:t>
      </w:r>
    </w:p>
    <w:p>
      <w:pPr>
        <w:pStyle w:val="BodyText"/>
        <w:spacing w:before="9"/>
        <w:rPr>
          <w:rFonts w:ascii="Times New Roman"/>
        </w:rPr>
      </w:pPr>
    </w:p>
    <w:p>
      <w:pPr>
        <w:spacing w:line="360" w:lineRule="auto" w:before="1"/>
        <w:ind w:left="139" w:right="147" w:firstLine="708"/>
        <w:jc w:val="both"/>
        <w:rPr>
          <w:rFonts w:ascii="Times New Roman" w:hAnsi="Times New Roman"/>
          <w:sz w:val="22"/>
        </w:rPr>
      </w:pPr>
      <w:r>
        <w:rPr>
          <w:rFonts w:ascii="Times New Roman" w:hAnsi="Times New Roman"/>
          <w:sz w:val="22"/>
        </w:rPr>
        <w:t>O Decreto nº 7.805/2012, a Lei nº 12.783/2013 e o Decreto nº 8.461/2015 possibilitaram a prorrogação das concessões de geração, transmissão e de distribuição de energia elétrica.</w:t>
      </w:r>
    </w:p>
    <w:p>
      <w:pPr>
        <w:pStyle w:val="BodyText"/>
        <w:spacing w:before="9"/>
        <w:rPr>
          <w:rFonts w:ascii="Times New Roman"/>
        </w:rPr>
      </w:pPr>
    </w:p>
    <w:p>
      <w:pPr>
        <w:spacing w:line="360" w:lineRule="auto" w:before="0"/>
        <w:ind w:left="139" w:right="139" w:firstLine="708"/>
        <w:jc w:val="both"/>
        <w:rPr>
          <w:rFonts w:ascii="Times New Roman" w:hAnsi="Times New Roman"/>
          <w:sz w:val="22"/>
        </w:rPr>
      </w:pPr>
      <w:r>
        <w:rPr>
          <w:rFonts w:ascii="Times New Roman" w:hAnsi="Times New Roman"/>
          <w:sz w:val="22"/>
        </w:rPr>
        <w:t>No caso da CEB Distribuição S/A, em 9 de dezembro de 2015, o Poder Concedente, mediante a assinatura do Quarto</w:t>
      </w:r>
      <w:r>
        <w:rPr>
          <w:rFonts w:ascii="Times New Roman" w:hAnsi="Times New Roman"/>
          <w:spacing w:val="-16"/>
          <w:sz w:val="22"/>
        </w:rPr>
        <w:t> </w:t>
      </w:r>
      <w:r>
        <w:rPr>
          <w:rFonts w:ascii="Times New Roman" w:hAnsi="Times New Roman"/>
          <w:sz w:val="22"/>
        </w:rPr>
        <w:t>Termo</w:t>
      </w:r>
      <w:r>
        <w:rPr>
          <w:rFonts w:ascii="Times New Roman" w:hAnsi="Times New Roman"/>
          <w:spacing w:val="-12"/>
          <w:sz w:val="22"/>
        </w:rPr>
        <w:t> </w:t>
      </w:r>
      <w:r>
        <w:rPr>
          <w:rFonts w:ascii="Times New Roman" w:hAnsi="Times New Roman"/>
          <w:sz w:val="22"/>
        </w:rPr>
        <w:t>Aditivo</w:t>
      </w:r>
      <w:r>
        <w:rPr>
          <w:rFonts w:ascii="Times New Roman" w:hAnsi="Times New Roman"/>
          <w:spacing w:val="-12"/>
          <w:sz w:val="22"/>
        </w:rPr>
        <w:t> </w:t>
      </w:r>
      <w:r>
        <w:rPr>
          <w:rFonts w:ascii="Times New Roman" w:hAnsi="Times New Roman"/>
          <w:sz w:val="22"/>
        </w:rPr>
        <w:t>ao</w:t>
      </w:r>
      <w:r>
        <w:rPr>
          <w:rFonts w:ascii="Times New Roman" w:hAnsi="Times New Roman"/>
          <w:spacing w:val="-12"/>
          <w:sz w:val="22"/>
        </w:rPr>
        <w:t> </w:t>
      </w:r>
      <w:r>
        <w:rPr>
          <w:rFonts w:ascii="Times New Roman" w:hAnsi="Times New Roman"/>
          <w:sz w:val="22"/>
        </w:rPr>
        <w:t>Contrato</w:t>
      </w:r>
      <w:r>
        <w:rPr>
          <w:rFonts w:ascii="Times New Roman" w:hAnsi="Times New Roman"/>
          <w:spacing w:val="-13"/>
          <w:sz w:val="22"/>
        </w:rPr>
        <w:t> </w:t>
      </w:r>
      <w:r>
        <w:rPr>
          <w:rFonts w:ascii="Times New Roman" w:hAnsi="Times New Roman"/>
          <w:sz w:val="22"/>
        </w:rPr>
        <w:t>de</w:t>
      </w:r>
      <w:r>
        <w:rPr>
          <w:rFonts w:ascii="Times New Roman" w:hAnsi="Times New Roman"/>
          <w:spacing w:val="-12"/>
          <w:sz w:val="22"/>
        </w:rPr>
        <w:t> </w:t>
      </w:r>
      <w:r>
        <w:rPr>
          <w:rFonts w:ascii="Times New Roman" w:hAnsi="Times New Roman"/>
          <w:sz w:val="22"/>
        </w:rPr>
        <w:t>Concessão</w:t>
      </w:r>
      <w:r>
        <w:rPr>
          <w:rFonts w:ascii="Times New Roman" w:hAnsi="Times New Roman"/>
          <w:spacing w:val="-12"/>
          <w:sz w:val="22"/>
        </w:rPr>
        <w:t> </w:t>
      </w:r>
      <w:r>
        <w:rPr>
          <w:rFonts w:ascii="Times New Roman" w:hAnsi="Times New Roman"/>
          <w:sz w:val="22"/>
        </w:rPr>
        <w:t>nº</w:t>
      </w:r>
      <w:r>
        <w:rPr>
          <w:rFonts w:ascii="Times New Roman" w:hAnsi="Times New Roman"/>
          <w:spacing w:val="-11"/>
          <w:sz w:val="22"/>
        </w:rPr>
        <w:t> </w:t>
      </w:r>
      <w:r>
        <w:rPr>
          <w:rFonts w:ascii="Times New Roman" w:hAnsi="Times New Roman"/>
          <w:sz w:val="22"/>
        </w:rPr>
        <w:t>66/1999-ANEEL,</w:t>
      </w:r>
      <w:r>
        <w:rPr>
          <w:rFonts w:ascii="Times New Roman" w:hAnsi="Times New Roman"/>
          <w:spacing w:val="-11"/>
          <w:sz w:val="22"/>
        </w:rPr>
        <w:t> </w:t>
      </w:r>
      <w:r>
        <w:rPr>
          <w:rFonts w:ascii="Times New Roman" w:hAnsi="Times New Roman"/>
          <w:sz w:val="22"/>
        </w:rPr>
        <w:t>prorrogou,</w:t>
      </w:r>
      <w:r>
        <w:rPr>
          <w:rFonts w:ascii="Times New Roman" w:hAnsi="Times New Roman"/>
          <w:spacing w:val="-12"/>
          <w:sz w:val="22"/>
        </w:rPr>
        <w:t> </w:t>
      </w:r>
      <w:r>
        <w:rPr>
          <w:rFonts w:ascii="Times New Roman" w:hAnsi="Times New Roman"/>
          <w:sz w:val="22"/>
        </w:rPr>
        <w:t>para</w:t>
      </w:r>
      <w:r>
        <w:rPr>
          <w:rFonts w:ascii="Times New Roman" w:hAnsi="Times New Roman"/>
          <w:spacing w:val="-12"/>
          <w:sz w:val="22"/>
        </w:rPr>
        <w:t> </w:t>
      </w:r>
      <w:r>
        <w:rPr>
          <w:rFonts w:ascii="Times New Roman" w:hAnsi="Times New Roman"/>
          <w:sz w:val="22"/>
        </w:rPr>
        <w:t>até</w:t>
      </w:r>
      <w:r>
        <w:rPr>
          <w:rFonts w:ascii="Times New Roman" w:hAnsi="Times New Roman"/>
          <w:spacing w:val="-13"/>
          <w:sz w:val="22"/>
        </w:rPr>
        <w:t> </w:t>
      </w:r>
      <w:r>
        <w:rPr>
          <w:rFonts w:ascii="Times New Roman" w:hAnsi="Times New Roman"/>
          <w:sz w:val="22"/>
        </w:rPr>
        <w:t>7</w:t>
      </w:r>
      <w:r>
        <w:rPr>
          <w:rFonts w:ascii="Times New Roman" w:hAnsi="Times New Roman"/>
          <w:spacing w:val="-12"/>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julho</w:t>
      </w:r>
      <w:r>
        <w:rPr>
          <w:rFonts w:ascii="Times New Roman" w:hAnsi="Times New Roman"/>
          <w:spacing w:val="-12"/>
          <w:sz w:val="22"/>
        </w:rPr>
        <w:t> </w:t>
      </w:r>
      <w:r>
        <w:rPr>
          <w:rFonts w:ascii="Times New Roman" w:hAnsi="Times New Roman"/>
          <w:sz w:val="22"/>
        </w:rPr>
        <w:t>de</w:t>
      </w:r>
      <w:r>
        <w:rPr>
          <w:rFonts w:ascii="Times New Roman" w:hAnsi="Times New Roman"/>
          <w:spacing w:val="-13"/>
          <w:sz w:val="22"/>
        </w:rPr>
        <w:t> </w:t>
      </w:r>
      <w:r>
        <w:rPr>
          <w:rFonts w:ascii="Times New Roman" w:hAnsi="Times New Roman"/>
          <w:sz w:val="22"/>
        </w:rPr>
        <w:t>2045,</w:t>
      </w:r>
      <w:r>
        <w:rPr>
          <w:rFonts w:ascii="Times New Roman" w:hAnsi="Times New Roman"/>
          <w:spacing w:val="-12"/>
          <w:sz w:val="22"/>
        </w:rPr>
        <w:t> </w:t>
      </w:r>
      <w:r>
        <w:rPr>
          <w:rFonts w:ascii="Times New Roman" w:hAnsi="Times New Roman"/>
          <w:sz w:val="22"/>
        </w:rPr>
        <w:t>a</w:t>
      </w:r>
      <w:r>
        <w:rPr>
          <w:rFonts w:ascii="Times New Roman" w:hAnsi="Times New Roman"/>
          <w:spacing w:val="-14"/>
          <w:sz w:val="22"/>
        </w:rPr>
        <w:t> </w:t>
      </w:r>
      <w:r>
        <w:rPr>
          <w:rFonts w:ascii="Times New Roman" w:hAnsi="Times New Roman"/>
          <w:sz w:val="22"/>
        </w:rPr>
        <w:t>concessão do</w:t>
      </w:r>
      <w:r>
        <w:rPr>
          <w:rFonts w:ascii="Times New Roman" w:hAnsi="Times New Roman"/>
          <w:spacing w:val="-4"/>
          <w:sz w:val="22"/>
        </w:rPr>
        <w:t> </w:t>
      </w:r>
      <w:r>
        <w:rPr>
          <w:rFonts w:ascii="Times New Roman" w:hAnsi="Times New Roman"/>
          <w:sz w:val="22"/>
        </w:rPr>
        <w:t>serviço</w:t>
      </w:r>
      <w:r>
        <w:rPr>
          <w:rFonts w:ascii="Times New Roman" w:hAnsi="Times New Roman"/>
          <w:spacing w:val="-4"/>
          <w:sz w:val="22"/>
        </w:rPr>
        <w:t> </w:t>
      </w:r>
      <w:r>
        <w:rPr>
          <w:rFonts w:ascii="Times New Roman" w:hAnsi="Times New Roman"/>
          <w:sz w:val="22"/>
        </w:rPr>
        <w:t>público</w:t>
      </w:r>
      <w:r>
        <w:rPr>
          <w:rFonts w:ascii="Times New Roman" w:hAnsi="Times New Roman"/>
          <w:spacing w:val="-4"/>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distribuição</w:t>
      </w:r>
      <w:r>
        <w:rPr>
          <w:rFonts w:ascii="Times New Roman" w:hAnsi="Times New Roman"/>
          <w:spacing w:val="-5"/>
          <w:sz w:val="22"/>
        </w:rPr>
        <w:t> </w:t>
      </w:r>
      <w:r>
        <w:rPr>
          <w:rFonts w:ascii="Times New Roman" w:hAnsi="Times New Roman"/>
          <w:sz w:val="22"/>
        </w:rPr>
        <w:t>de</w:t>
      </w:r>
      <w:r>
        <w:rPr>
          <w:rFonts w:ascii="Times New Roman" w:hAnsi="Times New Roman"/>
          <w:spacing w:val="-4"/>
          <w:sz w:val="22"/>
        </w:rPr>
        <w:t> </w:t>
      </w:r>
      <w:r>
        <w:rPr>
          <w:rFonts w:ascii="Times New Roman" w:hAnsi="Times New Roman"/>
          <w:sz w:val="22"/>
        </w:rPr>
        <w:t>energia</w:t>
      </w:r>
      <w:r>
        <w:rPr>
          <w:rFonts w:ascii="Times New Roman" w:hAnsi="Times New Roman"/>
          <w:spacing w:val="-4"/>
          <w:sz w:val="22"/>
        </w:rPr>
        <w:t> </w:t>
      </w:r>
      <w:r>
        <w:rPr>
          <w:rFonts w:ascii="Times New Roman" w:hAnsi="Times New Roman"/>
          <w:sz w:val="22"/>
        </w:rPr>
        <w:t>elétrica</w:t>
      </w:r>
      <w:r>
        <w:rPr>
          <w:rFonts w:ascii="Times New Roman" w:hAnsi="Times New Roman"/>
          <w:spacing w:val="-4"/>
          <w:sz w:val="22"/>
        </w:rPr>
        <w:t> </w:t>
      </w:r>
      <w:r>
        <w:rPr>
          <w:rFonts w:ascii="Times New Roman" w:hAnsi="Times New Roman"/>
          <w:sz w:val="22"/>
        </w:rPr>
        <w:t>no</w:t>
      </w:r>
      <w:r>
        <w:rPr>
          <w:rFonts w:ascii="Times New Roman" w:hAnsi="Times New Roman"/>
          <w:spacing w:val="-5"/>
          <w:sz w:val="22"/>
        </w:rPr>
        <w:t> </w:t>
      </w:r>
      <w:r>
        <w:rPr>
          <w:rFonts w:ascii="Times New Roman" w:hAnsi="Times New Roman"/>
          <w:sz w:val="22"/>
        </w:rPr>
        <w:t>Distrito</w:t>
      </w:r>
      <w:r>
        <w:rPr>
          <w:rFonts w:ascii="Times New Roman" w:hAnsi="Times New Roman"/>
          <w:spacing w:val="-5"/>
          <w:sz w:val="22"/>
        </w:rPr>
        <w:t> </w:t>
      </w:r>
      <w:r>
        <w:rPr>
          <w:rFonts w:ascii="Times New Roman" w:hAnsi="Times New Roman"/>
          <w:sz w:val="22"/>
        </w:rPr>
        <w:t>Federal,</w:t>
      </w:r>
      <w:r>
        <w:rPr>
          <w:rFonts w:ascii="Times New Roman" w:hAnsi="Times New Roman"/>
          <w:spacing w:val="-5"/>
          <w:sz w:val="22"/>
        </w:rPr>
        <w:t> </w:t>
      </w:r>
      <w:r>
        <w:rPr>
          <w:rFonts w:ascii="Times New Roman" w:hAnsi="Times New Roman"/>
          <w:sz w:val="22"/>
        </w:rPr>
        <w:t>estabelecendo</w:t>
      </w:r>
      <w:r>
        <w:rPr>
          <w:rFonts w:ascii="Times New Roman" w:hAnsi="Times New Roman"/>
          <w:spacing w:val="-5"/>
          <w:sz w:val="22"/>
        </w:rPr>
        <w:t> </w:t>
      </w:r>
      <w:r>
        <w:rPr>
          <w:rFonts w:ascii="Times New Roman" w:hAnsi="Times New Roman"/>
          <w:sz w:val="22"/>
        </w:rPr>
        <w:t>novas</w:t>
      </w:r>
      <w:r>
        <w:rPr>
          <w:rFonts w:ascii="Times New Roman" w:hAnsi="Times New Roman"/>
          <w:spacing w:val="-3"/>
          <w:sz w:val="22"/>
        </w:rPr>
        <w:t> </w:t>
      </w:r>
      <w:r>
        <w:rPr>
          <w:rFonts w:ascii="Times New Roman" w:hAnsi="Times New Roman"/>
          <w:sz w:val="22"/>
        </w:rPr>
        <w:t>cláusulas</w:t>
      </w:r>
      <w:r>
        <w:rPr>
          <w:rFonts w:ascii="Times New Roman" w:hAnsi="Times New Roman"/>
          <w:spacing w:val="-4"/>
          <w:sz w:val="22"/>
        </w:rPr>
        <w:t> </w:t>
      </w:r>
      <w:r>
        <w:rPr>
          <w:rFonts w:ascii="Times New Roman" w:hAnsi="Times New Roman"/>
          <w:sz w:val="22"/>
        </w:rPr>
        <w:t>contratuais</w:t>
      </w:r>
      <w:r>
        <w:rPr>
          <w:rFonts w:ascii="Times New Roman" w:hAnsi="Times New Roman"/>
          <w:spacing w:val="-4"/>
          <w:sz w:val="22"/>
        </w:rPr>
        <w:t> </w:t>
      </w:r>
      <w:r>
        <w:rPr>
          <w:rFonts w:ascii="Times New Roman" w:hAnsi="Times New Roman"/>
          <w:sz w:val="22"/>
        </w:rPr>
        <w:t>com o objetivo de assegurar qualidade e eficiência ao serviço de distribuição, modicidade tarifária, garantias de equilíbrio na gestão econômica e financeira e emprego das melhores práticas de Governança Corporativa e</w:t>
      </w:r>
      <w:r>
        <w:rPr>
          <w:rFonts w:ascii="Times New Roman" w:hAnsi="Times New Roman"/>
          <w:spacing w:val="-16"/>
          <w:sz w:val="22"/>
        </w:rPr>
        <w:t> </w:t>
      </w:r>
      <w:r>
        <w:rPr>
          <w:rFonts w:ascii="Times New Roman" w:hAnsi="Times New Roman"/>
          <w:sz w:val="22"/>
        </w:rPr>
        <w:t>transparência.</w:t>
      </w:r>
    </w:p>
    <w:p>
      <w:pPr>
        <w:pStyle w:val="BodyText"/>
        <w:spacing w:before="11"/>
        <w:rPr>
          <w:rFonts w:ascii="Times New Roman"/>
        </w:rPr>
      </w:pPr>
    </w:p>
    <w:p>
      <w:pPr>
        <w:spacing w:before="0"/>
        <w:ind w:left="847" w:right="0" w:firstLine="0"/>
        <w:jc w:val="left"/>
        <w:rPr>
          <w:rFonts w:ascii="Times New Roman" w:hAnsi="Times New Roman"/>
          <w:sz w:val="22"/>
        </w:rPr>
      </w:pPr>
      <w:r>
        <w:rPr>
          <w:rFonts w:ascii="Times New Roman" w:hAnsi="Times New Roman"/>
          <w:sz w:val="22"/>
        </w:rPr>
        <w:t>A Resolução Homologatória nº 2.406, de 19 de junho de 2018, aprovou o resultado da Revisão Tarifária</w:t>
      </w:r>
    </w:p>
    <w:p>
      <w:pPr>
        <w:spacing w:after="0"/>
        <w:jc w:val="left"/>
        <w:rPr>
          <w:rFonts w:ascii="Times New Roman" w:hAnsi="Times New Roman"/>
          <w:sz w:val="22"/>
        </w:rPr>
        <w:sectPr>
          <w:headerReference w:type="default" r:id="rId49"/>
          <w:footerReference w:type="default" r:id="rId50"/>
          <w:pgSz w:w="11920" w:h="16860"/>
          <w:pgMar w:header="0" w:footer="302" w:top="540" w:bottom="500" w:left="780" w:right="280"/>
          <w:pgNumType w:start="28"/>
        </w:sectPr>
      </w:pPr>
    </w:p>
    <w:p>
      <w:pPr>
        <w:pStyle w:val="BodyText"/>
        <w:ind w:left="516"/>
        <w:rPr>
          <w:rFonts w:ascii="Times New Roman"/>
        </w:rPr>
      </w:pPr>
      <w:r>
        <w:rPr>
          <w:rFonts w:ascii="Times New Roman"/>
        </w:rPr>
        <w:drawing>
          <wp:inline distT="0" distB="0" distL="0" distR="0">
            <wp:extent cx="989985" cy="472249"/>
            <wp:effectExtent l="0" t="0" r="0" b="0"/>
            <wp:docPr id="65" name="image2.jpeg"/>
            <wp:cNvGraphicFramePr>
              <a:graphicFrameLocks noChangeAspect="1"/>
            </wp:cNvGraphicFramePr>
            <a:graphic>
              <a:graphicData uri="http://schemas.openxmlformats.org/drawingml/2006/picture">
                <pic:pic>
                  <pic:nvPicPr>
                    <pic:cNvPr id="66"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spacing w:line="227" w:lineRule="exact" w:before="0"/>
        <w:ind w:left="139" w:right="0" w:firstLine="0"/>
        <w:jc w:val="both"/>
        <w:rPr>
          <w:rFonts w:ascii="Times New Roman" w:hAnsi="Times New Roman"/>
          <w:sz w:val="22"/>
        </w:rPr>
      </w:pPr>
      <w:r>
        <w:rPr>
          <w:rFonts w:ascii="Times New Roman" w:hAnsi="Times New Roman"/>
          <w:sz w:val="22"/>
        </w:rPr>
        <w:t>Extraordinária,</w:t>
      </w:r>
      <w:r>
        <w:rPr>
          <w:rFonts w:ascii="Times New Roman" w:hAnsi="Times New Roman"/>
          <w:spacing w:val="-15"/>
          <w:sz w:val="22"/>
        </w:rPr>
        <w:t> </w:t>
      </w:r>
      <w:r>
        <w:rPr>
          <w:rFonts w:ascii="Times New Roman" w:hAnsi="Times New Roman"/>
          <w:sz w:val="22"/>
        </w:rPr>
        <w:t>republicando</w:t>
      </w:r>
      <w:r>
        <w:rPr>
          <w:rFonts w:ascii="Times New Roman" w:hAnsi="Times New Roman"/>
          <w:spacing w:val="-16"/>
          <w:sz w:val="22"/>
        </w:rPr>
        <w:t> </w:t>
      </w:r>
      <w:r>
        <w:rPr>
          <w:rFonts w:ascii="Times New Roman" w:hAnsi="Times New Roman"/>
          <w:sz w:val="22"/>
        </w:rPr>
        <w:t>as</w:t>
      </w:r>
      <w:r>
        <w:rPr>
          <w:rFonts w:ascii="Times New Roman" w:hAnsi="Times New Roman"/>
          <w:spacing w:val="-15"/>
          <w:sz w:val="22"/>
        </w:rPr>
        <w:t> </w:t>
      </w:r>
      <w:r>
        <w:rPr>
          <w:rFonts w:ascii="Times New Roman" w:hAnsi="Times New Roman"/>
          <w:sz w:val="22"/>
        </w:rPr>
        <w:t>Tarifas</w:t>
      </w:r>
      <w:r>
        <w:rPr>
          <w:rFonts w:ascii="Times New Roman" w:hAnsi="Times New Roman"/>
          <w:spacing w:val="-14"/>
          <w:sz w:val="22"/>
        </w:rPr>
        <w:t> </w:t>
      </w:r>
      <w:r>
        <w:rPr>
          <w:rFonts w:ascii="Times New Roman" w:hAnsi="Times New Roman"/>
          <w:sz w:val="22"/>
        </w:rPr>
        <w:t>de</w:t>
      </w:r>
      <w:r>
        <w:rPr>
          <w:rFonts w:ascii="Times New Roman" w:hAnsi="Times New Roman"/>
          <w:spacing w:val="-15"/>
          <w:sz w:val="22"/>
        </w:rPr>
        <w:t> </w:t>
      </w:r>
      <w:r>
        <w:rPr>
          <w:rFonts w:ascii="Times New Roman" w:hAnsi="Times New Roman"/>
          <w:sz w:val="22"/>
        </w:rPr>
        <w:t>Energia</w:t>
      </w:r>
      <w:r>
        <w:rPr>
          <w:rFonts w:ascii="Times New Roman" w:hAnsi="Times New Roman"/>
          <w:spacing w:val="-12"/>
          <w:sz w:val="22"/>
        </w:rPr>
        <w:t> </w:t>
      </w:r>
      <w:r>
        <w:rPr>
          <w:rFonts w:ascii="Times New Roman" w:hAnsi="Times New Roman"/>
          <w:sz w:val="22"/>
        </w:rPr>
        <w:t>–</w:t>
      </w:r>
      <w:r>
        <w:rPr>
          <w:rFonts w:ascii="Times New Roman" w:hAnsi="Times New Roman"/>
          <w:spacing w:val="-17"/>
          <w:sz w:val="22"/>
        </w:rPr>
        <w:t> </w:t>
      </w:r>
      <w:r>
        <w:rPr>
          <w:rFonts w:ascii="Times New Roman" w:hAnsi="Times New Roman"/>
          <w:sz w:val="22"/>
        </w:rPr>
        <w:t>TE</w:t>
      </w:r>
      <w:r>
        <w:rPr>
          <w:rFonts w:ascii="Times New Roman" w:hAnsi="Times New Roman"/>
          <w:spacing w:val="-18"/>
          <w:sz w:val="22"/>
        </w:rPr>
        <w:t> </w:t>
      </w:r>
      <w:r>
        <w:rPr>
          <w:rFonts w:ascii="Times New Roman" w:hAnsi="Times New Roman"/>
          <w:sz w:val="22"/>
        </w:rPr>
        <w:t>e</w:t>
      </w:r>
      <w:r>
        <w:rPr>
          <w:rFonts w:ascii="Times New Roman" w:hAnsi="Times New Roman"/>
          <w:spacing w:val="-15"/>
          <w:sz w:val="22"/>
        </w:rPr>
        <w:t> </w:t>
      </w:r>
      <w:r>
        <w:rPr>
          <w:rFonts w:ascii="Times New Roman" w:hAnsi="Times New Roman"/>
          <w:sz w:val="22"/>
        </w:rPr>
        <w:t>as</w:t>
      </w:r>
      <w:r>
        <w:rPr>
          <w:rFonts w:ascii="Times New Roman" w:hAnsi="Times New Roman"/>
          <w:spacing w:val="-14"/>
          <w:sz w:val="22"/>
        </w:rPr>
        <w:t> </w:t>
      </w:r>
      <w:r>
        <w:rPr>
          <w:rFonts w:ascii="Times New Roman" w:hAnsi="Times New Roman"/>
          <w:sz w:val="22"/>
        </w:rPr>
        <w:t>Tarifas</w:t>
      </w:r>
      <w:r>
        <w:rPr>
          <w:rFonts w:ascii="Times New Roman" w:hAnsi="Times New Roman"/>
          <w:spacing w:val="-15"/>
          <w:sz w:val="22"/>
        </w:rPr>
        <w:t> </w:t>
      </w:r>
      <w:r>
        <w:rPr>
          <w:rFonts w:ascii="Times New Roman" w:hAnsi="Times New Roman"/>
          <w:sz w:val="22"/>
        </w:rPr>
        <w:t>de</w:t>
      </w:r>
      <w:r>
        <w:rPr>
          <w:rFonts w:ascii="Times New Roman" w:hAnsi="Times New Roman"/>
          <w:spacing w:val="-15"/>
          <w:sz w:val="22"/>
        </w:rPr>
        <w:t> </w:t>
      </w:r>
      <w:r>
        <w:rPr>
          <w:rFonts w:ascii="Times New Roman" w:hAnsi="Times New Roman"/>
          <w:sz w:val="22"/>
        </w:rPr>
        <w:t>Uso</w:t>
      </w:r>
      <w:r>
        <w:rPr>
          <w:rFonts w:ascii="Times New Roman" w:hAnsi="Times New Roman"/>
          <w:spacing w:val="-14"/>
          <w:sz w:val="22"/>
        </w:rPr>
        <w:t> </w:t>
      </w:r>
      <w:r>
        <w:rPr>
          <w:rFonts w:ascii="Times New Roman" w:hAnsi="Times New Roman"/>
          <w:sz w:val="22"/>
        </w:rPr>
        <w:t>do</w:t>
      </w:r>
      <w:r>
        <w:rPr>
          <w:rFonts w:ascii="Times New Roman" w:hAnsi="Times New Roman"/>
          <w:spacing w:val="-16"/>
          <w:sz w:val="22"/>
        </w:rPr>
        <w:t> </w:t>
      </w:r>
      <w:r>
        <w:rPr>
          <w:rFonts w:ascii="Times New Roman" w:hAnsi="Times New Roman"/>
          <w:sz w:val="22"/>
        </w:rPr>
        <w:t>Sistema</w:t>
      </w:r>
      <w:r>
        <w:rPr>
          <w:rFonts w:ascii="Times New Roman" w:hAnsi="Times New Roman"/>
          <w:spacing w:val="-15"/>
          <w:sz w:val="22"/>
        </w:rPr>
        <w:t> </w:t>
      </w:r>
      <w:r>
        <w:rPr>
          <w:rFonts w:ascii="Times New Roman" w:hAnsi="Times New Roman"/>
          <w:sz w:val="22"/>
        </w:rPr>
        <w:t>de</w:t>
      </w:r>
      <w:r>
        <w:rPr>
          <w:rFonts w:ascii="Times New Roman" w:hAnsi="Times New Roman"/>
          <w:spacing w:val="-14"/>
          <w:sz w:val="22"/>
        </w:rPr>
        <w:t> </w:t>
      </w:r>
      <w:r>
        <w:rPr>
          <w:rFonts w:ascii="Times New Roman" w:hAnsi="Times New Roman"/>
          <w:sz w:val="22"/>
        </w:rPr>
        <w:t>Distribuição</w:t>
      </w:r>
      <w:r>
        <w:rPr>
          <w:rFonts w:ascii="Times New Roman" w:hAnsi="Times New Roman"/>
          <w:spacing w:val="-13"/>
          <w:sz w:val="22"/>
        </w:rPr>
        <w:t> </w:t>
      </w:r>
      <w:r>
        <w:rPr>
          <w:rFonts w:ascii="Times New Roman" w:hAnsi="Times New Roman"/>
          <w:sz w:val="22"/>
        </w:rPr>
        <w:t>–</w:t>
      </w:r>
      <w:r>
        <w:rPr>
          <w:rFonts w:ascii="Times New Roman" w:hAnsi="Times New Roman"/>
          <w:spacing w:val="-16"/>
          <w:sz w:val="22"/>
        </w:rPr>
        <w:t> </w:t>
      </w:r>
      <w:r>
        <w:rPr>
          <w:rFonts w:ascii="Times New Roman" w:hAnsi="Times New Roman"/>
          <w:sz w:val="22"/>
        </w:rPr>
        <w:t>TUSD</w:t>
      </w:r>
      <w:r>
        <w:rPr>
          <w:rFonts w:ascii="Times New Roman" w:hAnsi="Times New Roman"/>
          <w:spacing w:val="-18"/>
          <w:sz w:val="22"/>
        </w:rPr>
        <w:t> </w:t>
      </w:r>
      <w:r>
        <w:rPr>
          <w:rFonts w:ascii="Times New Roman" w:hAnsi="Times New Roman"/>
          <w:sz w:val="22"/>
        </w:rPr>
        <w:t>referentes</w:t>
      </w:r>
    </w:p>
    <w:p>
      <w:pPr>
        <w:spacing w:line="360" w:lineRule="auto" w:before="126"/>
        <w:ind w:left="139" w:right="136" w:firstLine="0"/>
        <w:jc w:val="both"/>
        <w:rPr>
          <w:rFonts w:ascii="Times New Roman" w:hAnsi="Times New Roman"/>
          <w:sz w:val="22"/>
        </w:rPr>
      </w:pPr>
      <w:r>
        <w:rPr>
          <w:rFonts w:ascii="Times New Roman" w:hAnsi="Times New Roman"/>
          <w:sz w:val="22"/>
        </w:rPr>
        <w:t>à CEB Distribuição S/A, com efeito médio de 8,81%, a ser percebido pelos consumidores. Tal revisão foi necessária em razão</w:t>
      </w:r>
      <w:r>
        <w:rPr>
          <w:rFonts w:ascii="Times New Roman" w:hAnsi="Times New Roman"/>
          <w:spacing w:val="-8"/>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desequilíbrio</w:t>
      </w:r>
      <w:r>
        <w:rPr>
          <w:rFonts w:ascii="Times New Roman" w:hAnsi="Times New Roman"/>
          <w:spacing w:val="-9"/>
          <w:sz w:val="22"/>
        </w:rPr>
        <w:t> </w:t>
      </w:r>
      <w:r>
        <w:rPr>
          <w:rFonts w:ascii="Times New Roman" w:hAnsi="Times New Roman"/>
          <w:sz w:val="22"/>
        </w:rPr>
        <w:t>econômico-financeiro</w:t>
      </w:r>
      <w:r>
        <w:rPr>
          <w:rFonts w:ascii="Times New Roman" w:hAnsi="Times New Roman"/>
          <w:spacing w:val="-9"/>
          <w:sz w:val="22"/>
        </w:rPr>
        <w:t> </w:t>
      </w:r>
      <w:r>
        <w:rPr>
          <w:rFonts w:ascii="Times New Roman" w:hAnsi="Times New Roman"/>
          <w:sz w:val="22"/>
        </w:rPr>
        <w:t>decorrente</w:t>
      </w:r>
      <w:r>
        <w:rPr>
          <w:rFonts w:ascii="Times New Roman" w:hAnsi="Times New Roman"/>
          <w:spacing w:val="-8"/>
          <w:sz w:val="22"/>
        </w:rPr>
        <w:t> </w:t>
      </w:r>
      <w:r>
        <w:rPr>
          <w:rFonts w:ascii="Times New Roman" w:hAnsi="Times New Roman"/>
          <w:sz w:val="22"/>
        </w:rPr>
        <w:t>do</w:t>
      </w:r>
      <w:r>
        <w:rPr>
          <w:rFonts w:ascii="Times New Roman" w:hAnsi="Times New Roman"/>
          <w:spacing w:val="-9"/>
          <w:sz w:val="22"/>
        </w:rPr>
        <w:t> </w:t>
      </w:r>
      <w:r>
        <w:rPr>
          <w:rFonts w:ascii="Times New Roman" w:hAnsi="Times New Roman"/>
          <w:sz w:val="22"/>
        </w:rPr>
        <w:t>descasamento</w:t>
      </w:r>
      <w:r>
        <w:rPr>
          <w:rFonts w:ascii="Times New Roman" w:hAnsi="Times New Roman"/>
          <w:spacing w:val="-9"/>
          <w:sz w:val="22"/>
        </w:rPr>
        <w:t> </w:t>
      </w:r>
      <w:r>
        <w:rPr>
          <w:rFonts w:ascii="Times New Roman" w:hAnsi="Times New Roman"/>
          <w:sz w:val="22"/>
        </w:rPr>
        <w:t>entre</w:t>
      </w:r>
      <w:r>
        <w:rPr>
          <w:rFonts w:ascii="Times New Roman" w:hAnsi="Times New Roman"/>
          <w:spacing w:val="-8"/>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receita</w:t>
      </w:r>
      <w:r>
        <w:rPr>
          <w:rFonts w:ascii="Times New Roman" w:hAnsi="Times New Roman"/>
          <w:spacing w:val="-8"/>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as</w:t>
      </w:r>
      <w:r>
        <w:rPr>
          <w:rFonts w:ascii="Times New Roman" w:hAnsi="Times New Roman"/>
          <w:spacing w:val="-8"/>
          <w:sz w:val="22"/>
        </w:rPr>
        <w:t> </w:t>
      </w:r>
      <w:r>
        <w:rPr>
          <w:rFonts w:ascii="Times New Roman" w:hAnsi="Times New Roman"/>
          <w:sz w:val="22"/>
        </w:rPr>
        <w:t>tarifas</w:t>
      </w:r>
      <w:r>
        <w:rPr>
          <w:rFonts w:ascii="Times New Roman" w:hAnsi="Times New Roman"/>
          <w:spacing w:val="-8"/>
          <w:sz w:val="22"/>
        </w:rPr>
        <w:t> </w:t>
      </w:r>
      <w:r>
        <w:rPr>
          <w:rFonts w:ascii="Times New Roman" w:hAnsi="Times New Roman"/>
          <w:sz w:val="22"/>
        </w:rPr>
        <w:t>vigentes</w:t>
      </w:r>
      <w:r>
        <w:rPr>
          <w:rFonts w:ascii="Times New Roman" w:hAnsi="Times New Roman"/>
          <w:spacing w:val="-8"/>
          <w:sz w:val="22"/>
        </w:rPr>
        <w:t> </w:t>
      </w:r>
      <w:r>
        <w:rPr>
          <w:rFonts w:ascii="Times New Roman" w:hAnsi="Times New Roman"/>
          <w:sz w:val="22"/>
        </w:rPr>
        <w:t>e</w:t>
      </w:r>
      <w:r>
        <w:rPr>
          <w:rFonts w:ascii="Times New Roman" w:hAnsi="Times New Roman"/>
          <w:spacing w:val="-11"/>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elevação desproporcional das despesas com custos não gerenciáveis pela</w:t>
      </w:r>
      <w:r>
        <w:rPr>
          <w:rFonts w:ascii="Times New Roman" w:hAnsi="Times New Roman"/>
          <w:spacing w:val="-12"/>
          <w:sz w:val="22"/>
        </w:rPr>
        <w:t> </w:t>
      </w:r>
      <w:r>
        <w:rPr>
          <w:rFonts w:ascii="Times New Roman" w:hAnsi="Times New Roman"/>
          <w:sz w:val="22"/>
        </w:rPr>
        <w:t>distribuidora.</w:t>
      </w:r>
    </w:p>
    <w:p>
      <w:pPr>
        <w:pStyle w:val="BodyText"/>
        <w:spacing w:before="9"/>
        <w:rPr>
          <w:rFonts w:ascii="Times New Roman"/>
        </w:rPr>
      </w:pPr>
    </w:p>
    <w:p>
      <w:pPr>
        <w:spacing w:line="360" w:lineRule="auto" w:before="1"/>
        <w:ind w:left="139" w:right="136" w:firstLine="708"/>
        <w:jc w:val="both"/>
        <w:rPr>
          <w:rFonts w:ascii="Times New Roman" w:hAnsi="Times New Roman"/>
          <w:sz w:val="22"/>
        </w:rPr>
      </w:pPr>
      <w:r>
        <w:rPr>
          <w:rFonts w:ascii="Times New Roman" w:hAnsi="Times New Roman"/>
          <w:sz w:val="22"/>
        </w:rPr>
        <w:t>A Resolução Homologatória nº 2.471, de 16 de outubro de 2018, ratificou o resultado do Reajuste Tarifário Anual, contendo as Tarifas de Energia – TE e as Tarifas de Uso do Sistema de Distribuição – TUSD referentes à CEB Distribuição S/A, com efeito médio de 6,50% a ser percebido pelos consumidores.</w:t>
      </w:r>
    </w:p>
    <w:p>
      <w:pPr>
        <w:pStyle w:val="BodyText"/>
        <w:spacing w:before="9"/>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Em 15 de outubro de 2019, a diretoria colegiada da ANEEL definiu, por meio da Resolução Homologatória nº 2.625/2019, o resultado do Reajuste Tarifário Anual da CEB Distribuição S/A. O RTA de 2019 reajustou as tarifas, configurando</w:t>
      </w:r>
      <w:r>
        <w:rPr>
          <w:rFonts w:ascii="Times New Roman" w:hAnsi="Times New Roman"/>
          <w:spacing w:val="-12"/>
          <w:sz w:val="22"/>
        </w:rPr>
        <w:t> </w:t>
      </w:r>
      <w:r>
        <w:rPr>
          <w:rFonts w:ascii="Times New Roman" w:hAnsi="Times New Roman"/>
          <w:sz w:val="22"/>
        </w:rPr>
        <w:t>o</w:t>
      </w:r>
      <w:r>
        <w:rPr>
          <w:rFonts w:ascii="Times New Roman" w:hAnsi="Times New Roman"/>
          <w:spacing w:val="-12"/>
          <w:sz w:val="22"/>
        </w:rPr>
        <w:t> </w:t>
      </w:r>
      <w:r>
        <w:rPr>
          <w:rFonts w:ascii="Times New Roman" w:hAnsi="Times New Roman"/>
          <w:sz w:val="22"/>
        </w:rPr>
        <w:t>efeito</w:t>
      </w:r>
      <w:r>
        <w:rPr>
          <w:rFonts w:ascii="Times New Roman" w:hAnsi="Times New Roman"/>
          <w:spacing w:val="-10"/>
          <w:sz w:val="22"/>
        </w:rPr>
        <w:t> </w:t>
      </w:r>
      <w:r>
        <w:rPr>
          <w:rFonts w:ascii="Times New Roman" w:hAnsi="Times New Roman"/>
          <w:sz w:val="22"/>
        </w:rPr>
        <w:t>médio</w:t>
      </w:r>
      <w:r>
        <w:rPr>
          <w:rFonts w:ascii="Times New Roman" w:hAnsi="Times New Roman"/>
          <w:spacing w:val="-10"/>
          <w:sz w:val="22"/>
        </w:rPr>
        <w:t> </w:t>
      </w:r>
      <w:r>
        <w:rPr>
          <w:rFonts w:ascii="Times New Roman" w:hAnsi="Times New Roman"/>
          <w:sz w:val="22"/>
        </w:rPr>
        <w:t>a</w:t>
      </w:r>
      <w:r>
        <w:rPr>
          <w:rFonts w:ascii="Times New Roman" w:hAnsi="Times New Roman"/>
          <w:spacing w:val="-12"/>
          <w:sz w:val="22"/>
        </w:rPr>
        <w:t> </w:t>
      </w:r>
      <w:r>
        <w:rPr>
          <w:rFonts w:ascii="Times New Roman" w:hAnsi="Times New Roman"/>
          <w:sz w:val="22"/>
        </w:rPr>
        <w:t>ser</w:t>
      </w:r>
      <w:r>
        <w:rPr>
          <w:rFonts w:ascii="Times New Roman" w:hAnsi="Times New Roman"/>
          <w:spacing w:val="-9"/>
          <w:sz w:val="22"/>
        </w:rPr>
        <w:t> </w:t>
      </w:r>
      <w:r>
        <w:rPr>
          <w:rFonts w:ascii="Times New Roman" w:hAnsi="Times New Roman"/>
          <w:sz w:val="22"/>
        </w:rPr>
        <w:t>percebido</w:t>
      </w:r>
      <w:r>
        <w:rPr>
          <w:rFonts w:ascii="Times New Roman" w:hAnsi="Times New Roman"/>
          <w:spacing w:val="-11"/>
          <w:sz w:val="22"/>
        </w:rPr>
        <w:t> </w:t>
      </w:r>
      <w:r>
        <w:rPr>
          <w:rFonts w:ascii="Times New Roman" w:hAnsi="Times New Roman"/>
          <w:sz w:val="22"/>
        </w:rPr>
        <w:t>pelos</w:t>
      </w:r>
      <w:r>
        <w:rPr>
          <w:rFonts w:ascii="Times New Roman" w:hAnsi="Times New Roman"/>
          <w:spacing w:val="-11"/>
          <w:sz w:val="22"/>
        </w:rPr>
        <w:t> </w:t>
      </w:r>
      <w:r>
        <w:rPr>
          <w:rFonts w:ascii="Times New Roman" w:hAnsi="Times New Roman"/>
          <w:sz w:val="22"/>
        </w:rPr>
        <w:t>consumidores,</w:t>
      </w:r>
      <w:r>
        <w:rPr>
          <w:rFonts w:ascii="Times New Roman" w:hAnsi="Times New Roman"/>
          <w:spacing w:val="-12"/>
          <w:sz w:val="22"/>
        </w:rPr>
        <w:t> </w:t>
      </w:r>
      <w:r>
        <w:rPr>
          <w:rFonts w:ascii="Times New Roman" w:hAnsi="Times New Roman"/>
          <w:sz w:val="22"/>
        </w:rPr>
        <w:t>usuários,</w:t>
      </w:r>
      <w:r>
        <w:rPr>
          <w:rFonts w:ascii="Times New Roman" w:hAnsi="Times New Roman"/>
          <w:spacing w:val="-12"/>
          <w:sz w:val="22"/>
        </w:rPr>
        <w:t> </w:t>
      </w:r>
      <w:r>
        <w:rPr>
          <w:rFonts w:ascii="Times New Roman" w:hAnsi="Times New Roman"/>
          <w:sz w:val="22"/>
        </w:rPr>
        <w:t>e</w:t>
      </w:r>
      <w:r>
        <w:rPr>
          <w:rFonts w:ascii="Times New Roman" w:hAnsi="Times New Roman"/>
          <w:spacing w:val="-12"/>
          <w:sz w:val="22"/>
        </w:rPr>
        <w:t> </w:t>
      </w:r>
      <w:r>
        <w:rPr>
          <w:rFonts w:ascii="Times New Roman" w:hAnsi="Times New Roman"/>
          <w:sz w:val="22"/>
        </w:rPr>
        <w:t>agentes</w:t>
      </w:r>
      <w:r>
        <w:rPr>
          <w:rFonts w:ascii="Times New Roman" w:hAnsi="Times New Roman"/>
          <w:spacing w:val="-10"/>
          <w:sz w:val="22"/>
        </w:rPr>
        <w:t> </w:t>
      </w:r>
      <w:r>
        <w:rPr>
          <w:rFonts w:ascii="Times New Roman" w:hAnsi="Times New Roman"/>
          <w:sz w:val="22"/>
        </w:rPr>
        <w:t>supridos</w:t>
      </w:r>
      <w:r>
        <w:rPr>
          <w:rFonts w:ascii="Times New Roman" w:hAnsi="Times New Roman"/>
          <w:spacing w:val="-9"/>
          <w:sz w:val="22"/>
        </w:rPr>
        <w:t> </w:t>
      </w:r>
      <w:r>
        <w:rPr>
          <w:rFonts w:ascii="Times New Roman" w:hAnsi="Times New Roman"/>
          <w:sz w:val="22"/>
        </w:rPr>
        <w:t>da</w:t>
      </w:r>
      <w:r>
        <w:rPr>
          <w:rFonts w:ascii="Times New Roman" w:hAnsi="Times New Roman"/>
          <w:spacing w:val="-9"/>
          <w:sz w:val="22"/>
        </w:rPr>
        <w:t> </w:t>
      </w:r>
      <w:r>
        <w:rPr>
          <w:rFonts w:ascii="Times New Roman" w:hAnsi="Times New Roman"/>
          <w:sz w:val="22"/>
        </w:rPr>
        <w:t>distribuidora</w:t>
      </w:r>
      <w:r>
        <w:rPr>
          <w:rFonts w:ascii="Times New Roman" w:hAnsi="Times New Roman"/>
          <w:spacing w:val="-12"/>
          <w:sz w:val="22"/>
        </w:rPr>
        <w:t> </w:t>
      </w:r>
      <w:r>
        <w:rPr>
          <w:rFonts w:ascii="Times New Roman" w:hAnsi="Times New Roman"/>
          <w:sz w:val="22"/>
        </w:rPr>
        <w:t>de</w:t>
      </w:r>
      <w:r>
        <w:rPr>
          <w:rFonts w:ascii="Times New Roman" w:hAnsi="Times New Roman"/>
          <w:spacing w:val="-3"/>
          <w:sz w:val="22"/>
        </w:rPr>
        <w:t> </w:t>
      </w:r>
      <w:r>
        <w:rPr>
          <w:rFonts w:ascii="Times New Roman" w:hAnsi="Times New Roman"/>
          <w:sz w:val="22"/>
        </w:rPr>
        <w:t>-6,79%, sendo</w:t>
      </w:r>
      <w:r>
        <w:rPr>
          <w:rFonts w:ascii="Times New Roman" w:hAnsi="Times New Roman"/>
          <w:spacing w:val="-8"/>
          <w:sz w:val="22"/>
        </w:rPr>
        <w:t> </w:t>
      </w:r>
      <w:r>
        <w:rPr>
          <w:rFonts w:ascii="Times New Roman" w:hAnsi="Times New Roman"/>
          <w:sz w:val="22"/>
        </w:rPr>
        <w:t>-6,52%</w:t>
      </w:r>
      <w:r>
        <w:rPr>
          <w:rFonts w:ascii="Times New Roman" w:hAnsi="Times New Roman"/>
          <w:spacing w:val="-8"/>
          <w:sz w:val="22"/>
        </w:rPr>
        <w:t> </w:t>
      </w:r>
      <w:r>
        <w:rPr>
          <w:rFonts w:ascii="Times New Roman" w:hAnsi="Times New Roman"/>
          <w:sz w:val="22"/>
        </w:rPr>
        <w:t>para</w:t>
      </w:r>
      <w:r>
        <w:rPr>
          <w:rFonts w:ascii="Times New Roman" w:hAnsi="Times New Roman"/>
          <w:spacing w:val="-8"/>
          <w:sz w:val="22"/>
        </w:rPr>
        <w:t> </w:t>
      </w:r>
      <w:r>
        <w:rPr>
          <w:rFonts w:ascii="Times New Roman" w:hAnsi="Times New Roman"/>
          <w:sz w:val="22"/>
        </w:rPr>
        <w:t>os</w:t>
      </w:r>
      <w:r>
        <w:rPr>
          <w:rFonts w:ascii="Times New Roman" w:hAnsi="Times New Roman"/>
          <w:spacing w:val="-7"/>
          <w:sz w:val="22"/>
        </w:rPr>
        <w:t> </w:t>
      </w:r>
      <w:r>
        <w:rPr>
          <w:rFonts w:ascii="Times New Roman" w:hAnsi="Times New Roman"/>
          <w:sz w:val="22"/>
        </w:rPr>
        <w:t>consumidores</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alta</w:t>
      </w:r>
      <w:r>
        <w:rPr>
          <w:rFonts w:ascii="Times New Roman" w:hAnsi="Times New Roman"/>
          <w:spacing w:val="-11"/>
          <w:sz w:val="22"/>
        </w:rPr>
        <w:t> </w:t>
      </w:r>
      <w:r>
        <w:rPr>
          <w:rFonts w:ascii="Times New Roman" w:hAnsi="Times New Roman"/>
          <w:sz w:val="22"/>
        </w:rPr>
        <w:t>tensão</w:t>
      </w:r>
      <w:r>
        <w:rPr>
          <w:rFonts w:ascii="Times New Roman" w:hAnsi="Times New Roman"/>
          <w:spacing w:val="-7"/>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-6,91%</w:t>
      </w:r>
      <w:r>
        <w:rPr>
          <w:rFonts w:ascii="Times New Roman" w:hAnsi="Times New Roman"/>
          <w:spacing w:val="-8"/>
          <w:sz w:val="22"/>
        </w:rPr>
        <w:t> </w:t>
      </w:r>
      <w:r>
        <w:rPr>
          <w:rFonts w:ascii="Times New Roman" w:hAnsi="Times New Roman"/>
          <w:sz w:val="22"/>
        </w:rPr>
        <w:t>para</w:t>
      </w:r>
      <w:r>
        <w:rPr>
          <w:rFonts w:ascii="Times New Roman" w:hAnsi="Times New Roman"/>
          <w:spacing w:val="-7"/>
          <w:sz w:val="22"/>
        </w:rPr>
        <w:t> </w:t>
      </w:r>
      <w:r>
        <w:rPr>
          <w:rFonts w:ascii="Times New Roman" w:hAnsi="Times New Roman"/>
          <w:sz w:val="22"/>
        </w:rPr>
        <w:t>os</w:t>
      </w:r>
      <w:r>
        <w:rPr>
          <w:rFonts w:ascii="Times New Roman" w:hAnsi="Times New Roman"/>
          <w:spacing w:val="-8"/>
          <w:sz w:val="22"/>
        </w:rPr>
        <w:t> </w:t>
      </w:r>
      <w:r>
        <w:rPr>
          <w:rFonts w:ascii="Times New Roman" w:hAnsi="Times New Roman"/>
          <w:sz w:val="22"/>
        </w:rPr>
        <w:t>consumidores</w:t>
      </w:r>
      <w:r>
        <w:rPr>
          <w:rFonts w:ascii="Times New Roman" w:hAnsi="Times New Roman"/>
          <w:spacing w:val="-8"/>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baixa</w:t>
      </w:r>
      <w:r>
        <w:rPr>
          <w:rFonts w:ascii="Times New Roman" w:hAnsi="Times New Roman"/>
          <w:spacing w:val="-7"/>
          <w:sz w:val="22"/>
        </w:rPr>
        <w:t> </w:t>
      </w:r>
      <w:r>
        <w:rPr>
          <w:rFonts w:ascii="Times New Roman" w:hAnsi="Times New Roman"/>
          <w:sz w:val="22"/>
        </w:rPr>
        <w:t>tensão.</w:t>
      </w:r>
      <w:r>
        <w:rPr>
          <w:rFonts w:ascii="Times New Roman" w:hAnsi="Times New Roman"/>
          <w:spacing w:val="-9"/>
          <w:sz w:val="22"/>
        </w:rPr>
        <w:t> </w:t>
      </w:r>
      <w:r>
        <w:rPr>
          <w:rFonts w:ascii="Times New Roman" w:hAnsi="Times New Roman"/>
          <w:sz w:val="22"/>
        </w:rPr>
        <w:t>As</w:t>
      </w:r>
      <w:r>
        <w:rPr>
          <w:rFonts w:ascii="Times New Roman" w:hAnsi="Times New Roman"/>
          <w:spacing w:val="-8"/>
          <w:sz w:val="22"/>
        </w:rPr>
        <w:t> </w:t>
      </w:r>
      <w:r>
        <w:rPr>
          <w:rFonts w:ascii="Times New Roman" w:hAnsi="Times New Roman"/>
          <w:sz w:val="22"/>
        </w:rPr>
        <w:t>novas</w:t>
      </w:r>
      <w:r>
        <w:rPr>
          <w:rFonts w:ascii="Times New Roman" w:hAnsi="Times New Roman"/>
          <w:spacing w:val="-8"/>
          <w:sz w:val="22"/>
        </w:rPr>
        <w:t> </w:t>
      </w:r>
      <w:r>
        <w:rPr>
          <w:rFonts w:ascii="Times New Roman" w:hAnsi="Times New Roman"/>
          <w:sz w:val="22"/>
        </w:rPr>
        <w:t>tarifas</w:t>
      </w:r>
      <w:r>
        <w:rPr>
          <w:rFonts w:ascii="Times New Roman" w:hAnsi="Times New Roman"/>
          <w:spacing w:val="-7"/>
          <w:sz w:val="22"/>
        </w:rPr>
        <w:t> </w:t>
      </w:r>
      <w:r>
        <w:rPr>
          <w:rFonts w:ascii="Times New Roman" w:hAnsi="Times New Roman"/>
          <w:sz w:val="22"/>
        </w:rPr>
        <w:t>serão aplicadas para o ciclo tarifário que compreende o período de 22 de outubro de 2019 a 21 de outubro de</w:t>
      </w:r>
      <w:r>
        <w:rPr>
          <w:rFonts w:ascii="Times New Roman" w:hAnsi="Times New Roman"/>
          <w:spacing w:val="-20"/>
          <w:sz w:val="22"/>
        </w:rPr>
        <w:t> </w:t>
      </w:r>
      <w:r>
        <w:rPr>
          <w:rFonts w:ascii="Times New Roman" w:hAnsi="Times New Roman"/>
          <w:sz w:val="22"/>
        </w:rPr>
        <w:t>2020.</w:t>
      </w:r>
    </w:p>
    <w:p>
      <w:pPr>
        <w:pStyle w:val="BodyText"/>
        <w:rPr>
          <w:rFonts w:ascii="Times New Roman"/>
          <w:sz w:val="21"/>
        </w:rPr>
      </w:pPr>
    </w:p>
    <w:p>
      <w:pPr>
        <w:spacing w:line="360" w:lineRule="auto" w:before="0"/>
        <w:ind w:left="139" w:right="136" w:firstLine="708"/>
        <w:jc w:val="both"/>
        <w:rPr>
          <w:rFonts w:ascii="Times New Roman" w:hAnsi="Times New Roman"/>
          <w:sz w:val="22"/>
        </w:rPr>
      </w:pPr>
      <w:r>
        <w:rPr>
          <w:rFonts w:ascii="Times New Roman" w:hAnsi="Times New Roman"/>
          <w:sz w:val="22"/>
        </w:rPr>
        <w:t>São incontestes as transformações do modelo do setor elétrico brasileiro nos últimos anos, principalmente nos campos das regulações técnica e econômico financeira, cuja atuação da concessionária está orientada para a obtenção simultânea</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dois</w:t>
      </w:r>
      <w:r>
        <w:rPr>
          <w:rFonts w:ascii="Times New Roman" w:hAnsi="Times New Roman"/>
          <w:spacing w:val="-10"/>
          <w:sz w:val="22"/>
        </w:rPr>
        <w:t> </w:t>
      </w:r>
      <w:r>
        <w:rPr>
          <w:rFonts w:ascii="Times New Roman" w:hAnsi="Times New Roman"/>
          <w:sz w:val="22"/>
        </w:rPr>
        <w:t>objetivos</w:t>
      </w:r>
      <w:r>
        <w:rPr>
          <w:rFonts w:ascii="Times New Roman" w:hAnsi="Times New Roman"/>
          <w:spacing w:val="-10"/>
          <w:sz w:val="22"/>
        </w:rPr>
        <w:t> </w:t>
      </w:r>
      <w:r>
        <w:rPr>
          <w:rFonts w:ascii="Times New Roman" w:hAnsi="Times New Roman"/>
          <w:sz w:val="22"/>
        </w:rPr>
        <w:t>fundamentais:</w:t>
      </w:r>
      <w:r>
        <w:rPr>
          <w:rFonts w:ascii="Times New Roman" w:hAnsi="Times New Roman"/>
          <w:spacing w:val="-10"/>
          <w:sz w:val="22"/>
        </w:rPr>
        <w:t> </w:t>
      </w:r>
      <w:r>
        <w:rPr>
          <w:rFonts w:ascii="Times New Roman" w:hAnsi="Times New Roman"/>
          <w:sz w:val="22"/>
        </w:rPr>
        <w:t>(i)</w:t>
      </w:r>
      <w:r>
        <w:rPr>
          <w:rFonts w:ascii="Times New Roman" w:hAnsi="Times New Roman"/>
          <w:spacing w:val="-10"/>
          <w:sz w:val="22"/>
        </w:rPr>
        <w:t> </w:t>
      </w:r>
      <w:r>
        <w:rPr>
          <w:rFonts w:ascii="Times New Roman" w:hAnsi="Times New Roman"/>
          <w:sz w:val="22"/>
        </w:rPr>
        <w:t>garantir</w:t>
      </w:r>
      <w:r>
        <w:rPr>
          <w:rFonts w:ascii="Times New Roman" w:hAnsi="Times New Roman"/>
          <w:spacing w:val="-13"/>
          <w:sz w:val="22"/>
        </w:rPr>
        <w:t> </w:t>
      </w:r>
      <w:r>
        <w:rPr>
          <w:rFonts w:ascii="Times New Roman" w:hAnsi="Times New Roman"/>
          <w:sz w:val="22"/>
        </w:rPr>
        <w:t>os</w:t>
      </w:r>
      <w:r>
        <w:rPr>
          <w:rFonts w:ascii="Times New Roman" w:hAnsi="Times New Roman"/>
          <w:spacing w:val="-10"/>
          <w:sz w:val="22"/>
        </w:rPr>
        <w:t> </w:t>
      </w:r>
      <w:r>
        <w:rPr>
          <w:rFonts w:ascii="Times New Roman" w:hAnsi="Times New Roman"/>
          <w:sz w:val="22"/>
        </w:rPr>
        <w:t>direitos</w:t>
      </w:r>
      <w:r>
        <w:rPr>
          <w:rFonts w:ascii="Times New Roman" w:hAnsi="Times New Roman"/>
          <w:spacing w:val="-10"/>
          <w:sz w:val="22"/>
        </w:rPr>
        <w:t> </w:t>
      </w:r>
      <w:r>
        <w:rPr>
          <w:rFonts w:ascii="Times New Roman" w:hAnsi="Times New Roman"/>
          <w:sz w:val="22"/>
        </w:rPr>
        <w:t>dos</w:t>
      </w:r>
      <w:r>
        <w:rPr>
          <w:rFonts w:ascii="Times New Roman" w:hAnsi="Times New Roman"/>
          <w:spacing w:val="-10"/>
          <w:sz w:val="22"/>
        </w:rPr>
        <w:t> </w:t>
      </w:r>
      <w:r>
        <w:rPr>
          <w:rFonts w:ascii="Times New Roman" w:hAnsi="Times New Roman"/>
          <w:sz w:val="22"/>
        </w:rPr>
        <w:t>consumidores</w:t>
      </w:r>
      <w:r>
        <w:rPr>
          <w:rFonts w:ascii="Times New Roman" w:hAnsi="Times New Roman"/>
          <w:spacing w:val="-10"/>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receber</w:t>
      </w:r>
      <w:r>
        <w:rPr>
          <w:rFonts w:ascii="Times New Roman" w:hAnsi="Times New Roman"/>
          <w:spacing w:val="-10"/>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serviço</w:t>
      </w:r>
      <w:r>
        <w:rPr>
          <w:rFonts w:ascii="Times New Roman" w:hAnsi="Times New Roman"/>
          <w:spacing w:val="-11"/>
          <w:sz w:val="22"/>
        </w:rPr>
        <w:t> </w:t>
      </w:r>
      <w:r>
        <w:rPr>
          <w:rFonts w:ascii="Times New Roman" w:hAnsi="Times New Roman"/>
          <w:sz w:val="22"/>
        </w:rPr>
        <w:t>com</w:t>
      </w:r>
      <w:r>
        <w:rPr>
          <w:rFonts w:ascii="Times New Roman" w:hAnsi="Times New Roman"/>
          <w:spacing w:val="-13"/>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qualidade estabelecida nos regulamentos e de pagar por este serviço uma tarifa justa; e (ii) garantir os direitos do prestador do serviço,</w:t>
      </w:r>
      <w:r>
        <w:rPr>
          <w:rFonts w:ascii="Times New Roman" w:hAnsi="Times New Roman"/>
          <w:spacing w:val="-13"/>
          <w:sz w:val="22"/>
        </w:rPr>
        <w:t> </w:t>
      </w:r>
      <w:r>
        <w:rPr>
          <w:rFonts w:ascii="Times New Roman" w:hAnsi="Times New Roman"/>
          <w:sz w:val="22"/>
        </w:rPr>
        <w:t>que</w:t>
      </w:r>
      <w:r>
        <w:rPr>
          <w:rFonts w:ascii="Times New Roman" w:hAnsi="Times New Roman"/>
          <w:spacing w:val="-13"/>
          <w:sz w:val="22"/>
        </w:rPr>
        <w:t> </w:t>
      </w:r>
      <w:r>
        <w:rPr>
          <w:rFonts w:ascii="Times New Roman" w:hAnsi="Times New Roman"/>
          <w:sz w:val="22"/>
        </w:rPr>
        <w:t>atua</w:t>
      </w:r>
      <w:r>
        <w:rPr>
          <w:rFonts w:ascii="Times New Roman" w:hAnsi="Times New Roman"/>
          <w:spacing w:val="-13"/>
          <w:sz w:val="22"/>
        </w:rPr>
        <w:t> </w:t>
      </w:r>
      <w:r>
        <w:rPr>
          <w:rFonts w:ascii="Times New Roman" w:hAnsi="Times New Roman"/>
          <w:sz w:val="22"/>
        </w:rPr>
        <w:t>com</w:t>
      </w:r>
      <w:r>
        <w:rPr>
          <w:rFonts w:ascii="Times New Roman" w:hAnsi="Times New Roman"/>
          <w:spacing w:val="-14"/>
          <w:sz w:val="22"/>
        </w:rPr>
        <w:t> </w:t>
      </w:r>
      <w:r>
        <w:rPr>
          <w:rFonts w:ascii="Times New Roman" w:hAnsi="Times New Roman"/>
          <w:sz w:val="22"/>
        </w:rPr>
        <w:t>eficiência</w:t>
      </w:r>
      <w:r>
        <w:rPr>
          <w:rFonts w:ascii="Times New Roman" w:hAnsi="Times New Roman"/>
          <w:spacing w:val="-12"/>
          <w:sz w:val="22"/>
        </w:rPr>
        <w:t> </w:t>
      </w:r>
      <w:r>
        <w:rPr>
          <w:rFonts w:ascii="Times New Roman" w:hAnsi="Times New Roman"/>
          <w:sz w:val="22"/>
        </w:rPr>
        <w:t>e</w:t>
      </w:r>
      <w:r>
        <w:rPr>
          <w:rFonts w:ascii="Times New Roman" w:hAnsi="Times New Roman"/>
          <w:spacing w:val="-13"/>
          <w:sz w:val="22"/>
        </w:rPr>
        <w:t> </w:t>
      </w:r>
      <w:r>
        <w:rPr>
          <w:rFonts w:ascii="Times New Roman" w:hAnsi="Times New Roman"/>
          <w:sz w:val="22"/>
        </w:rPr>
        <w:t>prudência,</w:t>
      </w:r>
      <w:r>
        <w:rPr>
          <w:rFonts w:ascii="Times New Roman" w:hAnsi="Times New Roman"/>
          <w:spacing w:val="-13"/>
          <w:sz w:val="22"/>
        </w:rPr>
        <w:t> </w:t>
      </w:r>
      <w:r>
        <w:rPr>
          <w:rFonts w:ascii="Times New Roman" w:hAnsi="Times New Roman"/>
          <w:sz w:val="22"/>
        </w:rPr>
        <w:t>de</w:t>
      </w:r>
      <w:r>
        <w:rPr>
          <w:rFonts w:ascii="Times New Roman" w:hAnsi="Times New Roman"/>
          <w:spacing w:val="-11"/>
          <w:sz w:val="22"/>
        </w:rPr>
        <w:t> </w:t>
      </w:r>
      <w:r>
        <w:rPr>
          <w:rFonts w:ascii="Times New Roman" w:hAnsi="Times New Roman"/>
          <w:sz w:val="22"/>
        </w:rPr>
        <w:t>obter</w:t>
      </w:r>
      <w:r>
        <w:rPr>
          <w:rFonts w:ascii="Times New Roman" w:hAnsi="Times New Roman"/>
          <w:spacing w:val="-10"/>
          <w:sz w:val="22"/>
        </w:rPr>
        <w:t> </w:t>
      </w:r>
      <w:r>
        <w:rPr>
          <w:rFonts w:ascii="Times New Roman" w:hAnsi="Times New Roman"/>
          <w:sz w:val="22"/>
        </w:rPr>
        <w:t>ganhos</w:t>
      </w:r>
      <w:r>
        <w:rPr>
          <w:rFonts w:ascii="Times New Roman" w:hAnsi="Times New Roman"/>
          <w:spacing w:val="-12"/>
          <w:sz w:val="22"/>
        </w:rPr>
        <w:t> </w:t>
      </w:r>
      <w:r>
        <w:rPr>
          <w:rFonts w:ascii="Times New Roman" w:hAnsi="Times New Roman"/>
          <w:sz w:val="22"/>
        </w:rPr>
        <w:t>suficientes</w:t>
      </w:r>
      <w:r>
        <w:rPr>
          <w:rFonts w:ascii="Times New Roman" w:hAnsi="Times New Roman"/>
          <w:spacing w:val="-12"/>
          <w:sz w:val="22"/>
        </w:rPr>
        <w:t> </w:t>
      </w:r>
      <w:r>
        <w:rPr>
          <w:rFonts w:ascii="Times New Roman" w:hAnsi="Times New Roman"/>
          <w:sz w:val="22"/>
        </w:rPr>
        <w:t>para</w:t>
      </w:r>
      <w:r>
        <w:rPr>
          <w:rFonts w:ascii="Times New Roman" w:hAnsi="Times New Roman"/>
          <w:spacing w:val="-13"/>
          <w:sz w:val="22"/>
        </w:rPr>
        <w:t> </w:t>
      </w:r>
      <w:r>
        <w:rPr>
          <w:rFonts w:ascii="Times New Roman" w:hAnsi="Times New Roman"/>
          <w:sz w:val="22"/>
        </w:rPr>
        <w:t>cobrir</w:t>
      </w:r>
      <w:r>
        <w:rPr>
          <w:rFonts w:ascii="Times New Roman" w:hAnsi="Times New Roman"/>
          <w:spacing w:val="-10"/>
          <w:sz w:val="22"/>
        </w:rPr>
        <w:t> </w:t>
      </w:r>
      <w:r>
        <w:rPr>
          <w:rFonts w:ascii="Times New Roman" w:hAnsi="Times New Roman"/>
          <w:sz w:val="22"/>
        </w:rPr>
        <w:t>custos</w:t>
      </w:r>
      <w:r>
        <w:rPr>
          <w:rFonts w:ascii="Times New Roman" w:hAnsi="Times New Roman"/>
          <w:spacing w:val="-10"/>
          <w:sz w:val="22"/>
        </w:rPr>
        <w:t> </w:t>
      </w:r>
      <w:r>
        <w:rPr>
          <w:rFonts w:ascii="Times New Roman" w:hAnsi="Times New Roman"/>
          <w:sz w:val="22"/>
        </w:rPr>
        <w:t>operacionais</w:t>
      </w:r>
      <w:r>
        <w:rPr>
          <w:rFonts w:ascii="Times New Roman" w:hAnsi="Times New Roman"/>
          <w:spacing w:val="-10"/>
          <w:sz w:val="22"/>
        </w:rPr>
        <w:t> </w:t>
      </w:r>
      <w:r>
        <w:rPr>
          <w:rFonts w:ascii="Times New Roman" w:hAnsi="Times New Roman"/>
          <w:sz w:val="22"/>
        </w:rPr>
        <w:t>e</w:t>
      </w:r>
      <w:r>
        <w:rPr>
          <w:rFonts w:ascii="Times New Roman" w:hAnsi="Times New Roman"/>
          <w:spacing w:val="-12"/>
          <w:sz w:val="22"/>
        </w:rPr>
        <w:t> </w:t>
      </w:r>
      <w:r>
        <w:rPr>
          <w:rFonts w:ascii="Times New Roman" w:hAnsi="Times New Roman"/>
          <w:sz w:val="22"/>
        </w:rPr>
        <w:t>obter</w:t>
      </w:r>
      <w:r>
        <w:rPr>
          <w:rFonts w:ascii="Times New Roman" w:hAnsi="Times New Roman"/>
          <w:spacing w:val="-10"/>
          <w:sz w:val="22"/>
        </w:rPr>
        <w:t> </w:t>
      </w:r>
      <w:r>
        <w:rPr>
          <w:rFonts w:ascii="Times New Roman" w:hAnsi="Times New Roman"/>
          <w:sz w:val="22"/>
        </w:rPr>
        <w:t>adequado retorno sobre o capital</w:t>
      </w:r>
      <w:r>
        <w:rPr>
          <w:rFonts w:ascii="Times New Roman" w:hAnsi="Times New Roman"/>
          <w:spacing w:val="-3"/>
          <w:sz w:val="22"/>
        </w:rPr>
        <w:t> </w:t>
      </w:r>
      <w:r>
        <w:rPr>
          <w:rFonts w:ascii="Times New Roman" w:hAnsi="Times New Roman"/>
          <w:sz w:val="22"/>
        </w:rPr>
        <w:t>investido.</w:t>
      </w:r>
    </w:p>
    <w:p>
      <w:pPr>
        <w:pStyle w:val="BodyText"/>
        <w:spacing w:before="11"/>
        <w:rPr>
          <w:rFonts w:ascii="Times New Roman"/>
        </w:rPr>
      </w:pPr>
    </w:p>
    <w:p>
      <w:pPr>
        <w:spacing w:line="360" w:lineRule="auto" w:before="0"/>
        <w:ind w:left="139" w:right="135" w:firstLine="708"/>
        <w:jc w:val="both"/>
        <w:rPr>
          <w:rFonts w:ascii="Times New Roman" w:hAnsi="Times New Roman"/>
          <w:sz w:val="22"/>
        </w:rPr>
      </w:pPr>
      <w:r>
        <w:rPr>
          <w:rFonts w:ascii="Times New Roman" w:hAnsi="Times New Roman"/>
          <w:sz w:val="22"/>
        </w:rPr>
        <w:t>Além disso, outro ponto que está na agenda do Governo é a desoneração das tarifas de energia elétrica. Principalmente, por meio da redução de subsídios que oneram as tarifas dos consumidores. Uma das ações realizadas de forma coordenada pelo Ministério de Minas e Energia, ANEEL e CCEE foi a antecipação da liquidação do empréstimo da Conta CDE-ACR que estava prevista para 2020. Com isso, houve uma redução do encargo de CDE correspondente que impactou na redução nas tarifas dos processos realizados em 2019.</w:t>
      </w:r>
    </w:p>
    <w:p>
      <w:pPr>
        <w:pStyle w:val="BodyText"/>
        <w:spacing w:before="9"/>
        <w:rPr>
          <w:rFonts w:ascii="Times New Roman"/>
        </w:rPr>
      </w:pPr>
    </w:p>
    <w:p>
      <w:pPr>
        <w:spacing w:line="360" w:lineRule="auto" w:before="0"/>
        <w:ind w:left="139" w:right="137" w:firstLine="708"/>
        <w:jc w:val="both"/>
        <w:rPr>
          <w:rFonts w:ascii="Times New Roman" w:hAnsi="Times New Roman"/>
          <w:sz w:val="22"/>
        </w:rPr>
      </w:pPr>
      <w:r>
        <w:rPr>
          <w:rFonts w:ascii="Times New Roman" w:hAnsi="Times New Roman"/>
          <w:sz w:val="22"/>
        </w:rPr>
        <w:t>Para tanto, as empresas do grupo devem estar preparadas para atender a esses objetivos, na busca da eficiência e melhoria contínua, adequando as despesas operacionais em conformidade com aquelas estabelecidas na tarifa dos serviços</w:t>
      </w:r>
      <w:r>
        <w:rPr>
          <w:rFonts w:ascii="Times New Roman" w:hAnsi="Times New Roman"/>
          <w:spacing w:val="-3"/>
          <w:sz w:val="22"/>
        </w:rPr>
        <w:t> </w:t>
      </w:r>
      <w:r>
        <w:rPr>
          <w:rFonts w:ascii="Times New Roman" w:hAnsi="Times New Roman"/>
          <w:sz w:val="22"/>
        </w:rPr>
        <w:t>prestados,</w:t>
      </w:r>
      <w:r>
        <w:rPr>
          <w:rFonts w:ascii="Times New Roman" w:hAnsi="Times New Roman"/>
          <w:spacing w:val="-3"/>
          <w:sz w:val="22"/>
        </w:rPr>
        <w:t> </w:t>
      </w:r>
      <w:r>
        <w:rPr>
          <w:rFonts w:ascii="Times New Roman" w:hAnsi="Times New Roman"/>
          <w:sz w:val="22"/>
        </w:rPr>
        <w:t>uma</w:t>
      </w:r>
      <w:r>
        <w:rPr>
          <w:rFonts w:ascii="Times New Roman" w:hAnsi="Times New Roman"/>
          <w:spacing w:val="-2"/>
          <w:sz w:val="22"/>
        </w:rPr>
        <w:t> </w:t>
      </w:r>
      <w:r>
        <w:rPr>
          <w:rFonts w:ascii="Times New Roman" w:hAnsi="Times New Roman"/>
          <w:sz w:val="22"/>
        </w:rPr>
        <w:t>vez</w:t>
      </w:r>
      <w:r>
        <w:rPr>
          <w:rFonts w:ascii="Times New Roman" w:hAnsi="Times New Roman"/>
          <w:spacing w:val="-3"/>
          <w:sz w:val="22"/>
        </w:rPr>
        <w:t> </w:t>
      </w:r>
      <w:r>
        <w:rPr>
          <w:rFonts w:ascii="Times New Roman" w:hAnsi="Times New Roman"/>
          <w:sz w:val="22"/>
        </w:rPr>
        <w:t>que</w:t>
      </w:r>
      <w:r>
        <w:rPr>
          <w:rFonts w:ascii="Times New Roman" w:hAnsi="Times New Roman"/>
          <w:spacing w:val="-2"/>
          <w:sz w:val="22"/>
        </w:rPr>
        <w:t> </w:t>
      </w:r>
      <w:r>
        <w:rPr>
          <w:rFonts w:ascii="Times New Roman" w:hAnsi="Times New Roman"/>
          <w:sz w:val="22"/>
        </w:rPr>
        <w:t>não</w:t>
      </w:r>
      <w:r>
        <w:rPr>
          <w:rFonts w:ascii="Times New Roman" w:hAnsi="Times New Roman"/>
          <w:spacing w:val="-3"/>
          <w:sz w:val="22"/>
        </w:rPr>
        <w:t> </w:t>
      </w:r>
      <w:r>
        <w:rPr>
          <w:rFonts w:ascii="Times New Roman" w:hAnsi="Times New Roman"/>
          <w:sz w:val="22"/>
        </w:rPr>
        <w:t>se</w:t>
      </w:r>
      <w:r>
        <w:rPr>
          <w:rFonts w:ascii="Times New Roman" w:hAnsi="Times New Roman"/>
          <w:spacing w:val="-2"/>
          <w:sz w:val="22"/>
        </w:rPr>
        <w:t> </w:t>
      </w:r>
      <w:r>
        <w:rPr>
          <w:rFonts w:ascii="Times New Roman" w:hAnsi="Times New Roman"/>
          <w:sz w:val="22"/>
        </w:rPr>
        <w:t>pratica</w:t>
      </w:r>
      <w:r>
        <w:rPr>
          <w:rFonts w:ascii="Times New Roman" w:hAnsi="Times New Roman"/>
          <w:spacing w:val="-3"/>
          <w:sz w:val="22"/>
        </w:rPr>
        <w:t> </w:t>
      </w:r>
      <w:r>
        <w:rPr>
          <w:rFonts w:ascii="Times New Roman" w:hAnsi="Times New Roman"/>
          <w:sz w:val="22"/>
        </w:rPr>
        <w:t>mais</w:t>
      </w:r>
      <w:r>
        <w:rPr>
          <w:rFonts w:ascii="Times New Roman" w:hAnsi="Times New Roman"/>
          <w:spacing w:val="-2"/>
          <w:sz w:val="22"/>
        </w:rPr>
        <w:t> </w:t>
      </w:r>
      <w:r>
        <w:rPr>
          <w:rFonts w:ascii="Times New Roman" w:hAnsi="Times New Roman"/>
          <w:sz w:val="22"/>
        </w:rPr>
        <w:t>tarifa</w:t>
      </w:r>
      <w:r>
        <w:rPr>
          <w:rFonts w:ascii="Times New Roman" w:hAnsi="Times New Roman"/>
          <w:spacing w:val="-3"/>
          <w:sz w:val="22"/>
        </w:rPr>
        <w:t> </w:t>
      </w:r>
      <w:r>
        <w:rPr>
          <w:rFonts w:ascii="Times New Roman" w:hAnsi="Times New Roman"/>
          <w:sz w:val="22"/>
        </w:rPr>
        <w:t>pelo</w:t>
      </w:r>
      <w:r>
        <w:rPr>
          <w:rFonts w:ascii="Times New Roman" w:hAnsi="Times New Roman"/>
          <w:spacing w:val="-4"/>
          <w:sz w:val="22"/>
        </w:rPr>
        <w:t> </w:t>
      </w:r>
      <w:r>
        <w:rPr>
          <w:rFonts w:ascii="Times New Roman" w:hAnsi="Times New Roman"/>
          <w:sz w:val="22"/>
        </w:rPr>
        <w:t>custo</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sim</w:t>
      </w:r>
      <w:r>
        <w:rPr>
          <w:rFonts w:ascii="Times New Roman" w:hAnsi="Times New Roman"/>
          <w:spacing w:val="-6"/>
          <w:sz w:val="22"/>
        </w:rPr>
        <w:t> </w:t>
      </w:r>
      <w:r>
        <w:rPr>
          <w:rFonts w:ascii="Times New Roman" w:hAnsi="Times New Roman"/>
          <w:sz w:val="22"/>
        </w:rPr>
        <w:t>tarifa</w:t>
      </w:r>
      <w:r>
        <w:rPr>
          <w:rFonts w:ascii="Times New Roman" w:hAnsi="Times New Roman"/>
          <w:spacing w:val="-3"/>
          <w:sz w:val="22"/>
        </w:rPr>
        <w:t> </w:t>
      </w:r>
      <w:r>
        <w:rPr>
          <w:rFonts w:ascii="Times New Roman" w:hAnsi="Times New Roman"/>
          <w:sz w:val="22"/>
        </w:rPr>
        <w:t>pelo</w:t>
      </w:r>
      <w:r>
        <w:rPr>
          <w:rFonts w:ascii="Times New Roman" w:hAnsi="Times New Roman"/>
          <w:spacing w:val="-3"/>
          <w:sz w:val="22"/>
        </w:rPr>
        <w:t> </w:t>
      </w:r>
      <w:r>
        <w:rPr>
          <w:rFonts w:ascii="Times New Roman" w:hAnsi="Times New Roman"/>
          <w:sz w:val="22"/>
        </w:rPr>
        <w:t>preço,</w:t>
      </w:r>
      <w:r>
        <w:rPr>
          <w:rFonts w:ascii="Times New Roman" w:hAnsi="Times New Roman"/>
          <w:spacing w:val="-3"/>
          <w:sz w:val="22"/>
        </w:rPr>
        <w:t> </w:t>
      </w:r>
      <w:r>
        <w:rPr>
          <w:rFonts w:ascii="Times New Roman" w:hAnsi="Times New Roman"/>
          <w:sz w:val="22"/>
        </w:rPr>
        <w:t>onde</w:t>
      </w:r>
      <w:r>
        <w:rPr>
          <w:rFonts w:ascii="Times New Roman" w:hAnsi="Times New Roman"/>
          <w:spacing w:val="-2"/>
          <w:sz w:val="22"/>
        </w:rPr>
        <w:t> </w:t>
      </w:r>
      <w:r>
        <w:rPr>
          <w:rFonts w:ascii="Times New Roman" w:hAnsi="Times New Roman"/>
          <w:sz w:val="22"/>
        </w:rPr>
        <w:t>o</w:t>
      </w:r>
      <w:r>
        <w:rPr>
          <w:rFonts w:ascii="Times New Roman" w:hAnsi="Times New Roman"/>
          <w:spacing w:val="-4"/>
          <w:sz w:val="22"/>
        </w:rPr>
        <w:t> </w:t>
      </w:r>
      <w:r>
        <w:rPr>
          <w:rFonts w:ascii="Times New Roman" w:hAnsi="Times New Roman"/>
          <w:sz w:val="22"/>
        </w:rPr>
        <w:t>prestador</w:t>
      </w:r>
      <w:r>
        <w:rPr>
          <w:rFonts w:ascii="Times New Roman" w:hAnsi="Times New Roman"/>
          <w:spacing w:val="-2"/>
          <w:sz w:val="22"/>
        </w:rPr>
        <w:t> </w:t>
      </w:r>
      <w:r>
        <w:rPr>
          <w:rFonts w:ascii="Times New Roman" w:hAnsi="Times New Roman"/>
          <w:sz w:val="22"/>
        </w:rPr>
        <w:t>do</w:t>
      </w:r>
      <w:r>
        <w:rPr>
          <w:rFonts w:ascii="Times New Roman" w:hAnsi="Times New Roman"/>
          <w:spacing w:val="-4"/>
          <w:sz w:val="22"/>
        </w:rPr>
        <w:t> </w:t>
      </w:r>
      <w:r>
        <w:rPr>
          <w:rFonts w:ascii="Times New Roman" w:hAnsi="Times New Roman"/>
          <w:sz w:val="22"/>
        </w:rPr>
        <w:t>serviço concedido tem uma receita permitida e eventuais ganhos superiores serão compartilhados com os consumidores por ocasião das revisões</w:t>
      </w:r>
      <w:r>
        <w:rPr>
          <w:rFonts w:ascii="Times New Roman" w:hAnsi="Times New Roman"/>
          <w:spacing w:val="-3"/>
          <w:sz w:val="22"/>
        </w:rPr>
        <w:t> </w:t>
      </w:r>
      <w:r>
        <w:rPr>
          <w:rFonts w:ascii="Times New Roman" w:hAnsi="Times New Roman"/>
          <w:sz w:val="22"/>
        </w:rPr>
        <w:t>tarifárias.</w:t>
      </w:r>
    </w:p>
    <w:p>
      <w:pPr>
        <w:pStyle w:val="BodyText"/>
        <w:rPr>
          <w:rFonts w:ascii="Times New Roman"/>
          <w:sz w:val="21"/>
        </w:rPr>
      </w:pPr>
    </w:p>
    <w:p>
      <w:pPr>
        <w:spacing w:line="360" w:lineRule="auto" w:before="0"/>
        <w:ind w:left="139" w:right="134" w:firstLine="708"/>
        <w:jc w:val="both"/>
        <w:rPr>
          <w:rFonts w:ascii="Times New Roman" w:hAnsi="Times New Roman"/>
          <w:sz w:val="22"/>
        </w:rPr>
      </w:pPr>
      <w:r>
        <w:rPr>
          <w:rFonts w:ascii="Times New Roman" w:hAnsi="Times New Roman"/>
          <w:sz w:val="22"/>
        </w:rPr>
        <w:t>Tal cenário ficou mais evidente após a 7ª Reunião Pública Ordinária, ocorrida em 10 de março de 2020, onde a diretoria da ANEEL aprovou a nova metodologia de cálculo da taxa regulatória de remuneração de capital – WACC. A partir desse ano, a taxa regulatória será atualizada anualmente e aplicada nos processos de revisão que acontecerem naquele</w:t>
      </w:r>
      <w:r>
        <w:rPr>
          <w:rFonts w:ascii="Times New Roman" w:hAnsi="Times New Roman"/>
          <w:spacing w:val="-8"/>
          <w:sz w:val="22"/>
        </w:rPr>
        <w:t> </w:t>
      </w:r>
      <w:r>
        <w:rPr>
          <w:rFonts w:ascii="Times New Roman" w:hAnsi="Times New Roman"/>
          <w:sz w:val="22"/>
        </w:rPr>
        <w:t>ano.</w:t>
      </w:r>
      <w:r>
        <w:rPr>
          <w:rFonts w:ascii="Times New Roman" w:hAnsi="Times New Roman"/>
          <w:spacing w:val="-8"/>
          <w:sz w:val="22"/>
        </w:rPr>
        <w:t> </w:t>
      </w:r>
      <w:r>
        <w:rPr>
          <w:rFonts w:ascii="Times New Roman" w:hAnsi="Times New Roman"/>
          <w:sz w:val="22"/>
        </w:rPr>
        <w:t>Para</w:t>
      </w:r>
      <w:r>
        <w:rPr>
          <w:rFonts w:ascii="Times New Roman" w:hAnsi="Times New Roman"/>
          <w:spacing w:val="-8"/>
          <w:sz w:val="22"/>
        </w:rPr>
        <w:t> </w:t>
      </w:r>
      <w:r>
        <w:rPr>
          <w:rFonts w:ascii="Times New Roman" w:hAnsi="Times New Roman"/>
          <w:sz w:val="22"/>
        </w:rPr>
        <w:t>o</w:t>
      </w:r>
      <w:r>
        <w:rPr>
          <w:rFonts w:ascii="Times New Roman" w:hAnsi="Times New Roman"/>
          <w:spacing w:val="-8"/>
          <w:sz w:val="22"/>
        </w:rPr>
        <w:t> </w:t>
      </w:r>
      <w:r>
        <w:rPr>
          <w:rFonts w:ascii="Times New Roman" w:hAnsi="Times New Roman"/>
          <w:sz w:val="22"/>
        </w:rPr>
        <w:t>segmento</w:t>
      </w:r>
      <w:r>
        <w:rPr>
          <w:rFonts w:ascii="Times New Roman" w:hAnsi="Times New Roman"/>
          <w:spacing w:val="-9"/>
          <w:sz w:val="22"/>
        </w:rPr>
        <w:t> </w:t>
      </w:r>
      <w:r>
        <w:rPr>
          <w:rFonts w:ascii="Times New Roman" w:hAnsi="Times New Roman"/>
          <w:sz w:val="22"/>
        </w:rPr>
        <w:t>de</w:t>
      </w:r>
      <w:r>
        <w:rPr>
          <w:rFonts w:ascii="Times New Roman" w:hAnsi="Times New Roman"/>
          <w:spacing w:val="-8"/>
          <w:sz w:val="22"/>
        </w:rPr>
        <w:t> </w:t>
      </w:r>
      <w:r>
        <w:rPr>
          <w:rFonts w:ascii="Times New Roman" w:hAnsi="Times New Roman"/>
          <w:sz w:val="22"/>
        </w:rPr>
        <w:t>distribuição,</w:t>
      </w:r>
      <w:r>
        <w:rPr>
          <w:rFonts w:ascii="Times New Roman" w:hAnsi="Times New Roman"/>
          <w:spacing w:val="-8"/>
          <w:sz w:val="22"/>
        </w:rPr>
        <w:t> </w:t>
      </w:r>
      <w:r>
        <w:rPr>
          <w:rFonts w:ascii="Times New Roman" w:hAnsi="Times New Roman"/>
          <w:sz w:val="22"/>
        </w:rPr>
        <w:t>anterior</w:t>
      </w:r>
      <w:r>
        <w:rPr>
          <w:rFonts w:ascii="Times New Roman" w:hAnsi="Times New Roman"/>
          <w:spacing w:val="-7"/>
          <w:sz w:val="22"/>
        </w:rPr>
        <w:t> </w:t>
      </w:r>
      <w:r>
        <w:rPr>
          <w:rFonts w:ascii="Times New Roman" w:hAnsi="Times New Roman"/>
          <w:sz w:val="22"/>
        </w:rPr>
        <w:t>a</w:t>
      </w:r>
      <w:r>
        <w:rPr>
          <w:rFonts w:ascii="Times New Roman" w:hAnsi="Times New Roman"/>
          <w:spacing w:val="-11"/>
          <w:sz w:val="22"/>
        </w:rPr>
        <w:t> </w:t>
      </w:r>
      <w:r>
        <w:rPr>
          <w:rFonts w:ascii="Times New Roman" w:hAnsi="Times New Roman"/>
          <w:sz w:val="22"/>
        </w:rPr>
        <w:t>deliberação</w:t>
      </w:r>
      <w:r>
        <w:rPr>
          <w:rFonts w:ascii="Times New Roman" w:hAnsi="Times New Roman"/>
          <w:spacing w:val="-8"/>
          <w:sz w:val="22"/>
        </w:rPr>
        <w:t> </w:t>
      </w:r>
      <w:r>
        <w:rPr>
          <w:rFonts w:ascii="Times New Roman" w:hAnsi="Times New Roman"/>
          <w:sz w:val="22"/>
        </w:rPr>
        <w:t>da</w:t>
      </w:r>
      <w:r>
        <w:rPr>
          <w:rFonts w:ascii="Times New Roman" w:hAnsi="Times New Roman"/>
          <w:spacing w:val="-8"/>
          <w:sz w:val="22"/>
        </w:rPr>
        <w:t> </w:t>
      </w:r>
      <w:r>
        <w:rPr>
          <w:rFonts w:ascii="Times New Roman" w:hAnsi="Times New Roman"/>
          <w:sz w:val="22"/>
        </w:rPr>
        <w:t>Agência,</w:t>
      </w:r>
      <w:r>
        <w:rPr>
          <w:rFonts w:ascii="Times New Roman" w:hAnsi="Times New Roman"/>
          <w:spacing w:val="-7"/>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taxa</w:t>
      </w:r>
      <w:r>
        <w:rPr>
          <w:rFonts w:ascii="Times New Roman" w:hAnsi="Times New Roman"/>
          <w:spacing w:val="-8"/>
          <w:sz w:val="22"/>
        </w:rPr>
        <w:t> </w:t>
      </w:r>
      <w:r>
        <w:rPr>
          <w:rFonts w:ascii="Times New Roman" w:hAnsi="Times New Roman"/>
          <w:sz w:val="22"/>
        </w:rPr>
        <w:t>regulatória</w:t>
      </w:r>
      <w:r>
        <w:rPr>
          <w:rFonts w:ascii="Times New Roman" w:hAnsi="Times New Roman"/>
          <w:spacing w:val="-7"/>
          <w:sz w:val="22"/>
        </w:rPr>
        <w:t> </w:t>
      </w:r>
      <w:r>
        <w:rPr>
          <w:rFonts w:ascii="Times New Roman" w:hAnsi="Times New Roman"/>
          <w:sz w:val="22"/>
        </w:rPr>
        <w:t>era</w:t>
      </w:r>
      <w:r>
        <w:rPr>
          <w:rFonts w:ascii="Times New Roman" w:hAnsi="Times New Roman"/>
          <w:spacing w:val="-8"/>
          <w:sz w:val="22"/>
        </w:rPr>
        <w:t> </w:t>
      </w:r>
      <w:r>
        <w:rPr>
          <w:rFonts w:ascii="Times New Roman" w:hAnsi="Times New Roman"/>
          <w:sz w:val="22"/>
        </w:rPr>
        <w:t>12,26%</w:t>
      </w:r>
      <w:r>
        <w:rPr>
          <w:rFonts w:ascii="Times New Roman" w:hAnsi="Times New Roman"/>
          <w:spacing w:val="-10"/>
          <w:sz w:val="22"/>
        </w:rPr>
        <w:t> </w:t>
      </w:r>
      <w:r>
        <w:rPr>
          <w:rFonts w:ascii="Times New Roman" w:hAnsi="Times New Roman"/>
          <w:sz w:val="22"/>
        </w:rPr>
        <w:t>real,</w:t>
      </w:r>
      <w:r>
        <w:rPr>
          <w:rFonts w:ascii="Times New Roman" w:hAnsi="Times New Roman"/>
          <w:spacing w:val="-9"/>
          <w:sz w:val="22"/>
        </w:rPr>
        <w:t> </w:t>
      </w:r>
      <w:r>
        <w:rPr>
          <w:rFonts w:ascii="Times New Roman" w:hAnsi="Times New Roman"/>
          <w:sz w:val="22"/>
        </w:rPr>
        <w:t>antes de impostos e 8,09% real, depois de impostos. A nova taxa regulatória para o ano de 2020 foi definida em 11,10% real, antes de impostos e 7,32% real, depois de</w:t>
      </w:r>
      <w:r>
        <w:rPr>
          <w:rFonts w:ascii="Times New Roman" w:hAnsi="Times New Roman"/>
          <w:spacing w:val="-10"/>
          <w:sz w:val="22"/>
        </w:rPr>
        <w:t> </w:t>
      </w:r>
      <w:r>
        <w:rPr>
          <w:rFonts w:ascii="Times New Roman" w:hAnsi="Times New Roman"/>
          <w:sz w:val="22"/>
        </w:rPr>
        <w:t>impostos.</w:t>
      </w:r>
    </w:p>
    <w:p>
      <w:pPr>
        <w:spacing w:after="0" w:line="360" w:lineRule="auto"/>
        <w:jc w:val="both"/>
        <w:rPr>
          <w:rFonts w:ascii="Times New Roman" w:hAnsi="Times New Roman"/>
          <w:sz w:val="22"/>
        </w:rPr>
        <w:sectPr>
          <w:headerReference w:type="default" r:id="rId51"/>
          <w:footerReference w:type="default" r:id="rId52"/>
          <w:pgSz w:w="11920" w:h="16860"/>
          <w:pgMar w:header="0" w:footer="302" w:top="540" w:bottom="500" w:left="780" w:right="280"/>
          <w:pgNumType w:start="29"/>
        </w:sectPr>
      </w:pPr>
    </w:p>
    <w:p>
      <w:pPr>
        <w:pStyle w:val="BodyText"/>
        <w:ind w:left="516"/>
        <w:rPr>
          <w:rFonts w:ascii="Times New Roman"/>
        </w:rPr>
      </w:pPr>
      <w:r>
        <w:rPr>
          <w:rFonts w:ascii="Times New Roman"/>
        </w:rPr>
        <w:drawing>
          <wp:inline distT="0" distB="0" distL="0" distR="0">
            <wp:extent cx="989985" cy="472249"/>
            <wp:effectExtent l="0" t="0" r="0" b="0"/>
            <wp:docPr id="67" name="image2.jpeg"/>
            <wp:cNvGraphicFramePr>
              <a:graphicFrameLocks noChangeAspect="1"/>
            </wp:cNvGraphicFramePr>
            <a:graphic>
              <a:graphicData uri="http://schemas.openxmlformats.org/drawingml/2006/picture">
                <pic:pic>
                  <pic:nvPicPr>
                    <pic:cNvPr id="68" name="image2.jpeg"/>
                    <pic:cNvPicPr/>
                  </pic:nvPicPr>
                  <pic:blipFill>
                    <a:blip r:embed="rId6" cstate="print"/>
                    <a:stretch>
                      <a:fillRect/>
                    </a:stretch>
                  </pic:blipFill>
                  <pic:spPr>
                    <a:xfrm>
                      <a:off x="0" y="0"/>
                      <a:ext cx="989985" cy="472249"/>
                    </a:xfrm>
                    <a:prstGeom prst="rect">
                      <a:avLst/>
                    </a:prstGeom>
                  </pic:spPr>
                </pic:pic>
              </a:graphicData>
            </a:graphic>
          </wp:inline>
        </w:drawing>
      </w:r>
      <w:r>
        <w:rPr>
          <w:rFonts w:ascii="Times New Roman"/>
        </w:rPr>
      </w:r>
    </w:p>
    <w:p>
      <w:pPr>
        <w:pStyle w:val="BodyText"/>
        <w:spacing w:before="9"/>
        <w:rPr>
          <w:rFonts w:ascii="Times New Roman"/>
          <w:sz w:val="5"/>
        </w:rPr>
      </w:pPr>
    </w:p>
    <w:p>
      <w:pPr>
        <w:pStyle w:val="BodyText"/>
        <w:spacing w:line="20" w:lineRule="exact"/>
        <w:ind w:left="271"/>
        <w:rPr>
          <w:rFonts w:ascii="Times New Roman"/>
          <w:sz w:val="2"/>
        </w:rPr>
      </w:pPr>
      <w:r>
        <w:rPr>
          <w:rFonts w:ascii="Times New Roman"/>
          <w:sz w:val="2"/>
        </w:rPr>
        <w:pict>
          <v:group style="width:503.85pt;height:.5pt;mso-position-horizontal-relative:char;mso-position-vertical-relative:line" coordorigin="0,0" coordsize="10077,10">
            <v:rect style="position:absolute;left:0;top:0;width:10077;height:10" filled="true" fillcolor="#000080" stroked="false">
              <v:fill type="solid"/>
            </v:rect>
          </v:group>
        </w:pict>
      </w:r>
      <w:r>
        <w:rPr>
          <w:rFonts w:ascii="Times New Roman"/>
          <w:sz w:val="2"/>
        </w:rPr>
      </w:r>
    </w:p>
    <w:p>
      <w:pPr>
        <w:pStyle w:val="BodyText"/>
        <w:spacing w:before="6"/>
        <w:rPr>
          <w:rFonts w:ascii="Times New Roman"/>
          <w:sz w:val="18"/>
        </w:rPr>
      </w:pPr>
      <w:r>
        <w:rPr/>
        <w:pict>
          <v:shape style="position:absolute;margin-left:64.150002pt;margin-top:11.855244pt;width:496.1pt;height:12.6pt;mso-position-horizontal-relative:page;mso-position-vertical-relative:paragraph;z-index:-15709184;mso-wrap-distance-left:0;mso-wrap-distance-right:0" type="#_x0000_t202" filled="true" fillcolor="#f0f0f0" stroked="false">
            <v:textbox inset="0,0,0,0">
              <w:txbxContent>
                <w:p>
                  <w:pPr>
                    <w:tabs>
                      <w:tab w:pos="750" w:val="left" w:leader="none"/>
                    </w:tabs>
                    <w:spacing w:line="249" w:lineRule="exact" w:before="0"/>
                    <w:ind w:left="30" w:right="0" w:firstLine="0"/>
                    <w:jc w:val="left"/>
                    <w:rPr>
                      <w:rFonts w:ascii="Times New Roman"/>
                      <w:b/>
                      <w:sz w:val="22"/>
                    </w:rPr>
                  </w:pPr>
                  <w:r>
                    <w:rPr>
                      <w:rFonts w:ascii="Times New Roman"/>
                      <w:b/>
                      <w:sz w:val="22"/>
                    </w:rPr>
                    <w:t>IX.</w:t>
                    <w:tab/>
                    <w:t>DISCLAIMER</w:t>
                  </w:r>
                </w:p>
              </w:txbxContent>
            </v:textbox>
            <v:fill type="solid"/>
            <w10:wrap type="topAndBottom"/>
          </v:shape>
        </w:pict>
      </w:r>
    </w:p>
    <w:p>
      <w:pPr>
        <w:spacing w:line="232" w:lineRule="exact" w:before="0"/>
        <w:ind w:left="859" w:right="0" w:firstLine="0"/>
        <w:jc w:val="left"/>
        <w:rPr>
          <w:rFonts w:ascii="Times New Roman" w:hAnsi="Times New Roman"/>
          <w:sz w:val="22"/>
        </w:rPr>
      </w:pPr>
      <w:r>
        <w:rPr>
          <w:rFonts w:ascii="Times New Roman" w:hAnsi="Times New Roman"/>
          <w:sz w:val="22"/>
        </w:rPr>
        <w:t>Esse documento foi preparado pela CEB, com o intuito de indicar a situação geral e o andamento dos negócios</w:t>
      </w:r>
    </w:p>
    <w:p>
      <w:pPr>
        <w:spacing w:line="360" w:lineRule="auto" w:before="126"/>
        <w:ind w:left="139" w:right="0" w:firstLine="0"/>
        <w:jc w:val="left"/>
        <w:rPr>
          <w:rFonts w:ascii="Times New Roman" w:hAnsi="Times New Roman"/>
          <w:sz w:val="22"/>
        </w:rPr>
      </w:pPr>
      <w:r>
        <w:rPr>
          <w:rFonts w:ascii="Times New Roman" w:hAnsi="Times New Roman"/>
          <w:sz w:val="22"/>
        </w:rPr>
        <w:t>da</w:t>
      </w:r>
      <w:r>
        <w:rPr>
          <w:rFonts w:ascii="Times New Roman" w:hAnsi="Times New Roman"/>
          <w:spacing w:val="-8"/>
          <w:sz w:val="22"/>
        </w:rPr>
        <w:t> </w:t>
      </w:r>
      <w:r>
        <w:rPr>
          <w:rFonts w:ascii="Times New Roman" w:hAnsi="Times New Roman"/>
          <w:sz w:val="22"/>
        </w:rPr>
        <w:t>Companhia.</w:t>
      </w:r>
      <w:r>
        <w:rPr>
          <w:rFonts w:ascii="Times New Roman" w:hAnsi="Times New Roman"/>
          <w:spacing w:val="-8"/>
          <w:sz w:val="22"/>
        </w:rPr>
        <w:t> </w:t>
      </w:r>
      <w:r>
        <w:rPr>
          <w:rFonts w:ascii="Times New Roman" w:hAnsi="Times New Roman"/>
          <w:sz w:val="22"/>
        </w:rPr>
        <w:t>O</w:t>
      </w:r>
      <w:r>
        <w:rPr>
          <w:rFonts w:ascii="Times New Roman" w:hAnsi="Times New Roman"/>
          <w:spacing w:val="-11"/>
          <w:sz w:val="22"/>
        </w:rPr>
        <w:t> </w:t>
      </w:r>
      <w:r>
        <w:rPr>
          <w:rFonts w:ascii="Times New Roman" w:hAnsi="Times New Roman"/>
          <w:sz w:val="22"/>
        </w:rPr>
        <w:t>documento</w:t>
      </w:r>
      <w:r>
        <w:rPr>
          <w:rFonts w:ascii="Times New Roman" w:hAnsi="Times New Roman"/>
          <w:spacing w:val="-9"/>
          <w:sz w:val="22"/>
        </w:rPr>
        <w:t> </w:t>
      </w:r>
      <w:r>
        <w:rPr>
          <w:rFonts w:ascii="Times New Roman" w:hAnsi="Times New Roman"/>
          <w:sz w:val="22"/>
        </w:rPr>
        <w:t>é</w:t>
      </w:r>
      <w:r>
        <w:rPr>
          <w:rFonts w:ascii="Times New Roman" w:hAnsi="Times New Roman"/>
          <w:spacing w:val="-8"/>
          <w:sz w:val="22"/>
        </w:rPr>
        <w:t> </w:t>
      </w:r>
      <w:r>
        <w:rPr>
          <w:rFonts w:ascii="Times New Roman" w:hAnsi="Times New Roman"/>
          <w:sz w:val="22"/>
        </w:rPr>
        <w:t>propriedade</w:t>
      </w:r>
      <w:r>
        <w:rPr>
          <w:rFonts w:ascii="Times New Roman" w:hAnsi="Times New Roman"/>
          <w:spacing w:val="-9"/>
          <w:sz w:val="22"/>
        </w:rPr>
        <w:t> </w:t>
      </w:r>
      <w:r>
        <w:rPr>
          <w:rFonts w:ascii="Times New Roman" w:hAnsi="Times New Roman"/>
          <w:sz w:val="22"/>
        </w:rPr>
        <w:t>da</w:t>
      </w:r>
      <w:r>
        <w:rPr>
          <w:rFonts w:ascii="Times New Roman" w:hAnsi="Times New Roman"/>
          <w:spacing w:val="-8"/>
          <w:sz w:val="22"/>
        </w:rPr>
        <w:t> </w:t>
      </w:r>
      <w:r>
        <w:rPr>
          <w:rFonts w:ascii="Times New Roman" w:hAnsi="Times New Roman"/>
          <w:sz w:val="22"/>
        </w:rPr>
        <w:t>CEB</w:t>
      </w:r>
      <w:r>
        <w:rPr>
          <w:rFonts w:ascii="Times New Roman" w:hAnsi="Times New Roman"/>
          <w:spacing w:val="-12"/>
          <w:sz w:val="22"/>
        </w:rPr>
        <w:t> </w:t>
      </w:r>
      <w:r>
        <w:rPr>
          <w:rFonts w:ascii="Times New Roman" w:hAnsi="Times New Roman"/>
          <w:sz w:val="22"/>
        </w:rPr>
        <w:t>e</w:t>
      </w:r>
      <w:r>
        <w:rPr>
          <w:rFonts w:ascii="Times New Roman" w:hAnsi="Times New Roman"/>
          <w:spacing w:val="-7"/>
          <w:sz w:val="22"/>
        </w:rPr>
        <w:t> </w:t>
      </w:r>
      <w:r>
        <w:rPr>
          <w:rFonts w:ascii="Times New Roman" w:hAnsi="Times New Roman"/>
          <w:sz w:val="22"/>
        </w:rPr>
        <w:t>não</w:t>
      </w:r>
      <w:r>
        <w:rPr>
          <w:rFonts w:ascii="Times New Roman" w:hAnsi="Times New Roman"/>
          <w:spacing w:val="-8"/>
          <w:sz w:val="22"/>
        </w:rPr>
        <w:t> </w:t>
      </w:r>
      <w:r>
        <w:rPr>
          <w:rFonts w:ascii="Times New Roman" w:hAnsi="Times New Roman"/>
          <w:sz w:val="22"/>
        </w:rPr>
        <w:t>deverá</w:t>
      </w:r>
      <w:r>
        <w:rPr>
          <w:rFonts w:ascii="Times New Roman" w:hAnsi="Times New Roman"/>
          <w:spacing w:val="-11"/>
          <w:sz w:val="22"/>
        </w:rPr>
        <w:t> </w:t>
      </w:r>
      <w:r>
        <w:rPr>
          <w:rFonts w:ascii="Times New Roman" w:hAnsi="Times New Roman"/>
          <w:sz w:val="22"/>
        </w:rPr>
        <w:t>ser</w:t>
      </w:r>
      <w:r>
        <w:rPr>
          <w:rFonts w:ascii="Times New Roman" w:hAnsi="Times New Roman"/>
          <w:spacing w:val="-7"/>
          <w:sz w:val="22"/>
        </w:rPr>
        <w:t> </w:t>
      </w:r>
      <w:r>
        <w:rPr>
          <w:rFonts w:ascii="Times New Roman" w:hAnsi="Times New Roman"/>
          <w:sz w:val="22"/>
        </w:rPr>
        <w:t>utilizado</w:t>
      </w:r>
      <w:r>
        <w:rPr>
          <w:rFonts w:ascii="Times New Roman" w:hAnsi="Times New Roman"/>
          <w:spacing w:val="-11"/>
          <w:sz w:val="22"/>
        </w:rPr>
        <w:t> </w:t>
      </w:r>
      <w:r>
        <w:rPr>
          <w:rFonts w:ascii="Times New Roman" w:hAnsi="Times New Roman"/>
          <w:sz w:val="22"/>
        </w:rPr>
        <w:t>para</w:t>
      </w:r>
      <w:r>
        <w:rPr>
          <w:rFonts w:ascii="Times New Roman" w:hAnsi="Times New Roman"/>
          <w:spacing w:val="-11"/>
          <w:sz w:val="22"/>
        </w:rPr>
        <w:t> </w:t>
      </w:r>
      <w:r>
        <w:rPr>
          <w:rFonts w:ascii="Times New Roman" w:hAnsi="Times New Roman"/>
          <w:sz w:val="22"/>
        </w:rPr>
        <w:t>qualquer</w:t>
      </w:r>
      <w:r>
        <w:rPr>
          <w:rFonts w:ascii="Times New Roman" w:hAnsi="Times New Roman"/>
          <w:spacing w:val="-9"/>
          <w:sz w:val="22"/>
        </w:rPr>
        <w:t> </w:t>
      </w:r>
      <w:r>
        <w:rPr>
          <w:rFonts w:ascii="Times New Roman" w:hAnsi="Times New Roman"/>
          <w:sz w:val="22"/>
        </w:rPr>
        <w:t>outro</w:t>
      </w:r>
      <w:r>
        <w:rPr>
          <w:rFonts w:ascii="Times New Roman" w:hAnsi="Times New Roman"/>
          <w:spacing w:val="-9"/>
          <w:sz w:val="22"/>
        </w:rPr>
        <w:t> </w:t>
      </w:r>
      <w:r>
        <w:rPr>
          <w:rFonts w:ascii="Times New Roman" w:hAnsi="Times New Roman"/>
          <w:sz w:val="22"/>
        </w:rPr>
        <w:t>propósito</w:t>
      </w:r>
      <w:r>
        <w:rPr>
          <w:rFonts w:ascii="Times New Roman" w:hAnsi="Times New Roman"/>
          <w:spacing w:val="-11"/>
          <w:sz w:val="22"/>
        </w:rPr>
        <w:t> </w:t>
      </w:r>
      <w:r>
        <w:rPr>
          <w:rFonts w:ascii="Times New Roman" w:hAnsi="Times New Roman"/>
          <w:sz w:val="22"/>
        </w:rPr>
        <w:t>sem</w:t>
      </w:r>
      <w:r>
        <w:rPr>
          <w:rFonts w:ascii="Times New Roman" w:hAnsi="Times New Roman"/>
          <w:spacing w:val="-11"/>
          <w:sz w:val="22"/>
        </w:rPr>
        <w:t> </w:t>
      </w:r>
      <w:r>
        <w:rPr>
          <w:rFonts w:ascii="Times New Roman" w:hAnsi="Times New Roman"/>
          <w:sz w:val="22"/>
        </w:rPr>
        <w:t>a</w:t>
      </w:r>
      <w:r>
        <w:rPr>
          <w:rFonts w:ascii="Times New Roman" w:hAnsi="Times New Roman"/>
          <w:spacing w:val="-8"/>
          <w:sz w:val="22"/>
        </w:rPr>
        <w:t> </w:t>
      </w:r>
      <w:r>
        <w:rPr>
          <w:rFonts w:ascii="Times New Roman" w:hAnsi="Times New Roman"/>
          <w:sz w:val="22"/>
        </w:rPr>
        <w:t>prévia autorização por</w:t>
      </w:r>
      <w:r>
        <w:rPr>
          <w:rFonts w:ascii="Times New Roman" w:hAnsi="Times New Roman"/>
          <w:spacing w:val="-3"/>
          <w:sz w:val="22"/>
        </w:rPr>
        <w:t> </w:t>
      </w:r>
      <w:r>
        <w:rPr>
          <w:rFonts w:ascii="Times New Roman" w:hAnsi="Times New Roman"/>
          <w:sz w:val="22"/>
        </w:rPr>
        <w:t>escrito.</w:t>
      </w:r>
    </w:p>
    <w:p>
      <w:pPr>
        <w:pStyle w:val="BodyText"/>
        <w:rPr>
          <w:rFonts w:ascii="Times New Roman"/>
          <w:sz w:val="21"/>
        </w:rPr>
      </w:pPr>
    </w:p>
    <w:p>
      <w:pPr>
        <w:spacing w:line="360" w:lineRule="auto" w:before="0"/>
        <w:ind w:left="139" w:right="137" w:firstLine="720"/>
        <w:jc w:val="both"/>
        <w:rPr>
          <w:rFonts w:ascii="Times New Roman" w:hAnsi="Times New Roman"/>
          <w:sz w:val="22"/>
        </w:rPr>
      </w:pPr>
      <w:r>
        <w:rPr>
          <w:rFonts w:ascii="Times New Roman" w:hAnsi="Times New Roman"/>
          <w:sz w:val="22"/>
        </w:rPr>
        <w:t>As</w:t>
      </w:r>
      <w:r>
        <w:rPr>
          <w:rFonts w:ascii="Times New Roman" w:hAnsi="Times New Roman"/>
          <w:spacing w:val="-6"/>
          <w:sz w:val="22"/>
        </w:rPr>
        <w:t> </w:t>
      </w:r>
      <w:r>
        <w:rPr>
          <w:rFonts w:ascii="Times New Roman" w:hAnsi="Times New Roman"/>
          <w:sz w:val="22"/>
        </w:rPr>
        <w:t>informações</w:t>
      </w:r>
      <w:r>
        <w:rPr>
          <w:rFonts w:ascii="Times New Roman" w:hAnsi="Times New Roman"/>
          <w:spacing w:val="-6"/>
          <w:sz w:val="22"/>
        </w:rPr>
        <w:t> </w:t>
      </w:r>
      <w:r>
        <w:rPr>
          <w:rFonts w:ascii="Times New Roman" w:hAnsi="Times New Roman"/>
          <w:sz w:val="22"/>
        </w:rPr>
        <w:t>contidas</w:t>
      </w:r>
      <w:r>
        <w:rPr>
          <w:rFonts w:ascii="Times New Roman" w:hAnsi="Times New Roman"/>
          <w:spacing w:val="-5"/>
          <w:sz w:val="22"/>
        </w:rPr>
        <w:t> </w:t>
      </w:r>
      <w:r>
        <w:rPr>
          <w:rFonts w:ascii="Times New Roman" w:hAnsi="Times New Roman"/>
          <w:sz w:val="22"/>
        </w:rPr>
        <w:t>neste</w:t>
      </w:r>
      <w:r>
        <w:rPr>
          <w:rFonts w:ascii="Times New Roman" w:hAnsi="Times New Roman"/>
          <w:spacing w:val="-8"/>
          <w:sz w:val="22"/>
        </w:rPr>
        <w:t> </w:t>
      </w:r>
      <w:r>
        <w:rPr>
          <w:rFonts w:ascii="Times New Roman" w:hAnsi="Times New Roman"/>
          <w:sz w:val="22"/>
        </w:rPr>
        <w:t>documento</w:t>
      </w:r>
      <w:r>
        <w:rPr>
          <w:rFonts w:ascii="Times New Roman" w:hAnsi="Times New Roman"/>
          <w:spacing w:val="-7"/>
          <w:sz w:val="22"/>
        </w:rPr>
        <w:t> </w:t>
      </w:r>
      <w:r>
        <w:rPr>
          <w:rFonts w:ascii="Times New Roman" w:hAnsi="Times New Roman"/>
          <w:sz w:val="22"/>
        </w:rPr>
        <w:t>refletem</w:t>
      </w:r>
      <w:r>
        <w:rPr>
          <w:rFonts w:ascii="Times New Roman" w:hAnsi="Times New Roman"/>
          <w:spacing w:val="-9"/>
          <w:sz w:val="22"/>
        </w:rPr>
        <w:t> </w:t>
      </w:r>
      <w:r>
        <w:rPr>
          <w:rFonts w:ascii="Times New Roman" w:hAnsi="Times New Roman"/>
          <w:sz w:val="22"/>
        </w:rPr>
        <w:t>as</w:t>
      </w:r>
      <w:r>
        <w:rPr>
          <w:rFonts w:ascii="Times New Roman" w:hAnsi="Times New Roman"/>
          <w:spacing w:val="-9"/>
          <w:sz w:val="22"/>
        </w:rPr>
        <w:t> </w:t>
      </w:r>
      <w:r>
        <w:rPr>
          <w:rFonts w:ascii="Times New Roman" w:hAnsi="Times New Roman"/>
          <w:sz w:val="22"/>
        </w:rPr>
        <w:t>atuais</w:t>
      </w:r>
      <w:r>
        <w:rPr>
          <w:rFonts w:ascii="Times New Roman" w:hAnsi="Times New Roman"/>
          <w:spacing w:val="-8"/>
          <w:sz w:val="22"/>
        </w:rPr>
        <w:t> </w:t>
      </w:r>
      <w:r>
        <w:rPr>
          <w:rFonts w:ascii="Times New Roman" w:hAnsi="Times New Roman"/>
          <w:sz w:val="22"/>
        </w:rPr>
        <w:t>condições</w:t>
      </w:r>
      <w:r>
        <w:rPr>
          <w:rFonts w:ascii="Times New Roman" w:hAnsi="Times New Roman"/>
          <w:spacing w:val="-9"/>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ponto</w:t>
      </w:r>
      <w:r>
        <w:rPr>
          <w:rFonts w:ascii="Times New Roman" w:hAnsi="Times New Roman"/>
          <w:spacing w:val="-9"/>
          <w:sz w:val="22"/>
        </w:rPr>
        <w:t> </w:t>
      </w:r>
      <w:r>
        <w:rPr>
          <w:rFonts w:ascii="Times New Roman" w:hAnsi="Times New Roman"/>
          <w:sz w:val="22"/>
        </w:rPr>
        <w:t>de</w:t>
      </w:r>
      <w:r>
        <w:rPr>
          <w:rFonts w:ascii="Times New Roman" w:hAnsi="Times New Roman"/>
          <w:spacing w:val="-9"/>
          <w:sz w:val="22"/>
        </w:rPr>
        <w:t> </w:t>
      </w:r>
      <w:r>
        <w:rPr>
          <w:rFonts w:ascii="Times New Roman" w:hAnsi="Times New Roman"/>
          <w:sz w:val="22"/>
        </w:rPr>
        <w:t>vista</w:t>
      </w:r>
      <w:r>
        <w:rPr>
          <w:rFonts w:ascii="Times New Roman" w:hAnsi="Times New Roman"/>
          <w:spacing w:val="-8"/>
          <w:sz w:val="22"/>
        </w:rPr>
        <w:t> </w:t>
      </w:r>
      <w:r>
        <w:rPr>
          <w:rFonts w:ascii="Times New Roman" w:hAnsi="Times New Roman"/>
          <w:sz w:val="22"/>
        </w:rPr>
        <w:t>da</w:t>
      </w:r>
      <w:r>
        <w:rPr>
          <w:rFonts w:ascii="Times New Roman" w:hAnsi="Times New Roman"/>
          <w:spacing w:val="-9"/>
          <w:sz w:val="22"/>
        </w:rPr>
        <w:t> </w:t>
      </w:r>
      <w:r>
        <w:rPr>
          <w:rFonts w:ascii="Times New Roman" w:hAnsi="Times New Roman"/>
          <w:sz w:val="22"/>
        </w:rPr>
        <w:t>administração</w:t>
      </w:r>
      <w:r>
        <w:rPr>
          <w:rFonts w:ascii="Times New Roman" w:hAnsi="Times New Roman"/>
          <w:spacing w:val="-9"/>
          <w:sz w:val="22"/>
        </w:rPr>
        <w:t> </w:t>
      </w:r>
      <w:r>
        <w:rPr>
          <w:rFonts w:ascii="Times New Roman" w:hAnsi="Times New Roman"/>
          <w:sz w:val="22"/>
        </w:rPr>
        <w:t>até</w:t>
      </w:r>
      <w:r>
        <w:rPr>
          <w:rFonts w:ascii="Times New Roman" w:hAnsi="Times New Roman"/>
          <w:spacing w:val="-9"/>
          <w:sz w:val="22"/>
        </w:rPr>
        <w:t> </w:t>
      </w:r>
      <w:r>
        <w:rPr>
          <w:rFonts w:ascii="Times New Roman" w:hAnsi="Times New Roman"/>
          <w:sz w:val="22"/>
        </w:rPr>
        <w:t>esta data, estando sujeitas a alterações. O documento contém declarações que apresentam expectativas e projeções da CEB sobre</w:t>
      </w:r>
      <w:r>
        <w:rPr>
          <w:rFonts w:ascii="Times New Roman" w:hAnsi="Times New Roman"/>
          <w:spacing w:val="-6"/>
          <w:sz w:val="22"/>
        </w:rPr>
        <w:t> </w:t>
      </w:r>
      <w:r>
        <w:rPr>
          <w:rFonts w:ascii="Times New Roman" w:hAnsi="Times New Roman"/>
          <w:sz w:val="22"/>
        </w:rPr>
        <w:t>eventos</w:t>
      </w:r>
      <w:r>
        <w:rPr>
          <w:rFonts w:ascii="Times New Roman" w:hAnsi="Times New Roman"/>
          <w:spacing w:val="-5"/>
          <w:sz w:val="22"/>
        </w:rPr>
        <w:t> </w:t>
      </w:r>
      <w:r>
        <w:rPr>
          <w:rFonts w:ascii="Times New Roman" w:hAnsi="Times New Roman"/>
          <w:sz w:val="22"/>
        </w:rPr>
        <w:t>futuros.</w:t>
      </w:r>
      <w:r>
        <w:rPr>
          <w:rFonts w:ascii="Times New Roman" w:hAnsi="Times New Roman"/>
          <w:spacing w:val="-4"/>
          <w:sz w:val="22"/>
        </w:rPr>
        <w:t> </w:t>
      </w:r>
      <w:r>
        <w:rPr>
          <w:rFonts w:ascii="Times New Roman" w:hAnsi="Times New Roman"/>
          <w:sz w:val="22"/>
        </w:rPr>
        <w:t>Estas</w:t>
      </w:r>
      <w:r>
        <w:rPr>
          <w:rFonts w:ascii="Times New Roman" w:hAnsi="Times New Roman"/>
          <w:spacing w:val="-5"/>
          <w:sz w:val="22"/>
        </w:rPr>
        <w:t> </w:t>
      </w:r>
      <w:r>
        <w:rPr>
          <w:rFonts w:ascii="Times New Roman" w:hAnsi="Times New Roman"/>
          <w:sz w:val="22"/>
        </w:rPr>
        <w:t>expectativas</w:t>
      </w:r>
      <w:r>
        <w:rPr>
          <w:rFonts w:ascii="Times New Roman" w:hAnsi="Times New Roman"/>
          <w:spacing w:val="-3"/>
          <w:sz w:val="22"/>
        </w:rPr>
        <w:t> </w:t>
      </w:r>
      <w:r>
        <w:rPr>
          <w:rFonts w:ascii="Times New Roman" w:hAnsi="Times New Roman"/>
          <w:sz w:val="22"/>
        </w:rPr>
        <w:t>envolvem</w:t>
      </w:r>
      <w:r>
        <w:rPr>
          <w:rFonts w:ascii="Times New Roman" w:hAnsi="Times New Roman"/>
          <w:spacing w:val="-5"/>
          <w:sz w:val="22"/>
        </w:rPr>
        <w:t> </w:t>
      </w:r>
      <w:r>
        <w:rPr>
          <w:rFonts w:ascii="Times New Roman" w:hAnsi="Times New Roman"/>
          <w:sz w:val="22"/>
        </w:rPr>
        <w:t>vários</w:t>
      </w:r>
      <w:r>
        <w:rPr>
          <w:rFonts w:ascii="Times New Roman" w:hAnsi="Times New Roman"/>
          <w:spacing w:val="-3"/>
          <w:sz w:val="22"/>
        </w:rPr>
        <w:t> </w:t>
      </w:r>
      <w:r>
        <w:rPr>
          <w:rFonts w:ascii="Times New Roman" w:hAnsi="Times New Roman"/>
          <w:sz w:val="22"/>
        </w:rPr>
        <w:t>riscos</w:t>
      </w:r>
      <w:r>
        <w:rPr>
          <w:rFonts w:ascii="Times New Roman" w:hAnsi="Times New Roman"/>
          <w:spacing w:val="-3"/>
          <w:sz w:val="22"/>
        </w:rPr>
        <w:t> </w:t>
      </w:r>
      <w:r>
        <w:rPr>
          <w:rFonts w:ascii="Times New Roman" w:hAnsi="Times New Roman"/>
          <w:sz w:val="22"/>
        </w:rPr>
        <w:t>e</w:t>
      </w:r>
      <w:r>
        <w:rPr>
          <w:rFonts w:ascii="Times New Roman" w:hAnsi="Times New Roman"/>
          <w:spacing w:val="-3"/>
          <w:sz w:val="22"/>
        </w:rPr>
        <w:t> </w:t>
      </w:r>
      <w:r>
        <w:rPr>
          <w:rFonts w:ascii="Times New Roman" w:hAnsi="Times New Roman"/>
          <w:sz w:val="22"/>
        </w:rPr>
        <w:t>incertezas,</w:t>
      </w:r>
      <w:r>
        <w:rPr>
          <w:rFonts w:ascii="Times New Roman" w:hAnsi="Times New Roman"/>
          <w:spacing w:val="-4"/>
          <w:sz w:val="22"/>
        </w:rPr>
        <w:t> </w:t>
      </w:r>
      <w:r>
        <w:rPr>
          <w:rFonts w:ascii="Times New Roman" w:hAnsi="Times New Roman"/>
          <w:sz w:val="22"/>
        </w:rPr>
        <w:t>podendo,</w:t>
      </w:r>
      <w:r>
        <w:rPr>
          <w:rFonts w:ascii="Times New Roman" w:hAnsi="Times New Roman"/>
          <w:spacing w:val="-4"/>
          <w:sz w:val="22"/>
        </w:rPr>
        <w:t> </w:t>
      </w:r>
      <w:r>
        <w:rPr>
          <w:rFonts w:ascii="Times New Roman" w:hAnsi="Times New Roman"/>
          <w:sz w:val="22"/>
        </w:rPr>
        <w:t>desta</w:t>
      </w:r>
      <w:r>
        <w:rPr>
          <w:rFonts w:ascii="Times New Roman" w:hAnsi="Times New Roman"/>
          <w:spacing w:val="-3"/>
          <w:sz w:val="22"/>
        </w:rPr>
        <w:t> </w:t>
      </w:r>
      <w:r>
        <w:rPr>
          <w:rFonts w:ascii="Times New Roman" w:hAnsi="Times New Roman"/>
          <w:sz w:val="22"/>
        </w:rPr>
        <w:t>forma,</w:t>
      </w:r>
      <w:r>
        <w:rPr>
          <w:rFonts w:ascii="Times New Roman" w:hAnsi="Times New Roman"/>
          <w:spacing w:val="-3"/>
          <w:sz w:val="22"/>
        </w:rPr>
        <w:t> </w:t>
      </w:r>
      <w:r>
        <w:rPr>
          <w:rFonts w:ascii="Times New Roman" w:hAnsi="Times New Roman"/>
          <w:sz w:val="22"/>
        </w:rPr>
        <w:t>haver</w:t>
      </w:r>
      <w:r>
        <w:rPr>
          <w:rFonts w:ascii="Times New Roman" w:hAnsi="Times New Roman"/>
          <w:spacing w:val="-3"/>
          <w:sz w:val="22"/>
        </w:rPr>
        <w:t> </w:t>
      </w:r>
      <w:r>
        <w:rPr>
          <w:rFonts w:ascii="Times New Roman" w:hAnsi="Times New Roman"/>
          <w:sz w:val="22"/>
        </w:rPr>
        <w:t>resultados</w:t>
      </w:r>
      <w:r>
        <w:rPr>
          <w:rFonts w:ascii="Times New Roman" w:hAnsi="Times New Roman"/>
          <w:spacing w:val="-3"/>
          <w:sz w:val="22"/>
        </w:rPr>
        <w:t> </w:t>
      </w:r>
      <w:r>
        <w:rPr>
          <w:rFonts w:ascii="Times New Roman" w:hAnsi="Times New Roman"/>
          <w:sz w:val="22"/>
        </w:rPr>
        <w:t>ou consequências diferentes daqueles aqui discutidos e antecipados, não podendo a Companhia garantir a sua</w:t>
      </w:r>
      <w:r>
        <w:rPr>
          <w:rFonts w:ascii="Times New Roman" w:hAnsi="Times New Roman"/>
          <w:spacing w:val="-25"/>
          <w:sz w:val="22"/>
        </w:rPr>
        <w:t> </w:t>
      </w:r>
      <w:r>
        <w:rPr>
          <w:rFonts w:ascii="Times New Roman" w:hAnsi="Times New Roman"/>
          <w:sz w:val="22"/>
        </w:rPr>
        <w:t>realização.</w:t>
      </w:r>
    </w:p>
    <w:p>
      <w:pPr>
        <w:pStyle w:val="BodyText"/>
        <w:spacing w:before="9"/>
        <w:rPr>
          <w:rFonts w:ascii="Times New Roman"/>
        </w:rPr>
      </w:pPr>
    </w:p>
    <w:p>
      <w:pPr>
        <w:spacing w:line="360" w:lineRule="auto" w:before="0"/>
        <w:ind w:left="139" w:right="138" w:firstLine="763"/>
        <w:jc w:val="both"/>
        <w:rPr>
          <w:rFonts w:ascii="Times New Roman" w:hAnsi="Times New Roman"/>
          <w:sz w:val="22"/>
        </w:rPr>
      </w:pPr>
      <w:r>
        <w:rPr>
          <w:rFonts w:ascii="Times New Roman" w:hAnsi="Times New Roman"/>
          <w:sz w:val="22"/>
        </w:rPr>
        <w:t>Todas</w:t>
      </w:r>
      <w:r>
        <w:rPr>
          <w:rFonts w:ascii="Times New Roman" w:hAnsi="Times New Roman"/>
          <w:spacing w:val="-9"/>
          <w:sz w:val="22"/>
        </w:rPr>
        <w:t> </w:t>
      </w:r>
      <w:r>
        <w:rPr>
          <w:rFonts w:ascii="Times New Roman" w:hAnsi="Times New Roman"/>
          <w:sz w:val="22"/>
        </w:rPr>
        <w:t>as</w:t>
      </w:r>
      <w:r>
        <w:rPr>
          <w:rFonts w:ascii="Times New Roman" w:hAnsi="Times New Roman"/>
          <w:spacing w:val="-9"/>
          <w:sz w:val="22"/>
        </w:rPr>
        <w:t> </w:t>
      </w:r>
      <w:r>
        <w:rPr>
          <w:rFonts w:ascii="Times New Roman" w:hAnsi="Times New Roman"/>
          <w:sz w:val="22"/>
        </w:rPr>
        <w:t>informações</w:t>
      </w:r>
      <w:r>
        <w:rPr>
          <w:rFonts w:ascii="Times New Roman" w:hAnsi="Times New Roman"/>
          <w:spacing w:val="-8"/>
          <w:sz w:val="22"/>
        </w:rPr>
        <w:t> </w:t>
      </w:r>
      <w:r>
        <w:rPr>
          <w:rFonts w:ascii="Times New Roman" w:hAnsi="Times New Roman"/>
          <w:sz w:val="22"/>
        </w:rPr>
        <w:t>relevantes,</w:t>
      </w:r>
      <w:r>
        <w:rPr>
          <w:rFonts w:ascii="Times New Roman" w:hAnsi="Times New Roman"/>
          <w:spacing w:val="-6"/>
          <w:sz w:val="22"/>
        </w:rPr>
        <w:t> </w:t>
      </w:r>
      <w:r>
        <w:rPr>
          <w:rFonts w:ascii="Times New Roman" w:hAnsi="Times New Roman"/>
          <w:sz w:val="22"/>
        </w:rPr>
        <w:t>ocorridas</w:t>
      </w:r>
      <w:r>
        <w:rPr>
          <w:rFonts w:ascii="Times New Roman" w:hAnsi="Times New Roman"/>
          <w:spacing w:val="-9"/>
          <w:sz w:val="22"/>
        </w:rPr>
        <w:t> </w:t>
      </w:r>
      <w:r>
        <w:rPr>
          <w:rFonts w:ascii="Times New Roman" w:hAnsi="Times New Roman"/>
          <w:sz w:val="22"/>
        </w:rPr>
        <w:t>no</w:t>
      </w:r>
      <w:r>
        <w:rPr>
          <w:rFonts w:ascii="Times New Roman" w:hAnsi="Times New Roman"/>
          <w:spacing w:val="-6"/>
          <w:sz w:val="22"/>
        </w:rPr>
        <w:t> </w:t>
      </w:r>
      <w:r>
        <w:rPr>
          <w:rFonts w:ascii="Times New Roman" w:hAnsi="Times New Roman"/>
          <w:sz w:val="22"/>
        </w:rPr>
        <w:t>período</w:t>
      </w:r>
      <w:r>
        <w:rPr>
          <w:rFonts w:ascii="Times New Roman" w:hAnsi="Times New Roman"/>
          <w:spacing w:val="-12"/>
          <w:sz w:val="22"/>
        </w:rPr>
        <w:t> </w:t>
      </w:r>
      <w:r>
        <w:rPr>
          <w:rFonts w:ascii="Times New Roman" w:hAnsi="Times New Roman"/>
          <w:sz w:val="22"/>
        </w:rPr>
        <w:t>e</w:t>
      </w:r>
      <w:r>
        <w:rPr>
          <w:rFonts w:ascii="Times New Roman" w:hAnsi="Times New Roman"/>
          <w:spacing w:val="-6"/>
          <w:sz w:val="22"/>
        </w:rPr>
        <w:t> </w:t>
      </w:r>
      <w:r>
        <w:rPr>
          <w:rFonts w:ascii="Times New Roman" w:hAnsi="Times New Roman"/>
          <w:sz w:val="22"/>
        </w:rPr>
        <w:t>utilizadas</w:t>
      </w:r>
      <w:r>
        <w:rPr>
          <w:rFonts w:ascii="Times New Roman" w:hAnsi="Times New Roman"/>
          <w:spacing w:val="-9"/>
          <w:sz w:val="22"/>
        </w:rPr>
        <w:t> </w:t>
      </w:r>
      <w:r>
        <w:rPr>
          <w:rFonts w:ascii="Times New Roman" w:hAnsi="Times New Roman"/>
          <w:sz w:val="22"/>
        </w:rPr>
        <w:t>pela</w:t>
      </w:r>
      <w:r>
        <w:rPr>
          <w:rFonts w:ascii="Times New Roman" w:hAnsi="Times New Roman"/>
          <w:spacing w:val="-9"/>
          <w:sz w:val="22"/>
        </w:rPr>
        <w:t> </w:t>
      </w:r>
      <w:r>
        <w:rPr>
          <w:rFonts w:ascii="Times New Roman" w:hAnsi="Times New Roman"/>
          <w:sz w:val="22"/>
        </w:rPr>
        <w:t>Administração</w:t>
      </w:r>
      <w:r>
        <w:rPr>
          <w:rFonts w:ascii="Times New Roman" w:hAnsi="Times New Roman"/>
          <w:spacing w:val="-6"/>
          <w:sz w:val="22"/>
        </w:rPr>
        <w:t> </w:t>
      </w:r>
      <w:r>
        <w:rPr>
          <w:rFonts w:ascii="Times New Roman" w:hAnsi="Times New Roman"/>
          <w:sz w:val="22"/>
        </w:rPr>
        <w:t>na</w:t>
      </w:r>
      <w:r>
        <w:rPr>
          <w:rFonts w:ascii="Times New Roman" w:hAnsi="Times New Roman"/>
          <w:spacing w:val="-7"/>
          <w:sz w:val="22"/>
        </w:rPr>
        <w:t> </w:t>
      </w:r>
      <w:r>
        <w:rPr>
          <w:rFonts w:ascii="Times New Roman" w:hAnsi="Times New Roman"/>
          <w:sz w:val="22"/>
        </w:rPr>
        <w:t>gestão</w:t>
      </w:r>
      <w:r>
        <w:rPr>
          <w:rFonts w:ascii="Times New Roman" w:hAnsi="Times New Roman"/>
          <w:spacing w:val="-7"/>
          <w:sz w:val="22"/>
        </w:rPr>
        <w:t> </w:t>
      </w:r>
      <w:r>
        <w:rPr>
          <w:rFonts w:ascii="Times New Roman" w:hAnsi="Times New Roman"/>
          <w:sz w:val="22"/>
        </w:rPr>
        <w:t>da</w:t>
      </w:r>
      <w:r>
        <w:rPr>
          <w:rFonts w:ascii="Times New Roman" w:hAnsi="Times New Roman"/>
          <w:spacing w:val="-6"/>
          <w:sz w:val="22"/>
        </w:rPr>
        <w:t> </w:t>
      </w:r>
      <w:r>
        <w:rPr>
          <w:rFonts w:ascii="Times New Roman" w:hAnsi="Times New Roman"/>
          <w:sz w:val="22"/>
        </w:rPr>
        <w:t>Companhia, estão</w:t>
      </w:r>
      <w:r>
        <w:rPr>
          <w:rFonts w:ascii="Times New Roman" w:hAnsi="Times New Roman"/>
          <w:spacing w:val="-5"/>
          <w:sz w:val="22"/>
        </w:rPr>
        <w:t> </w:t>
      </w:r>
      <w:r>
        <w:rPr>
          <w:rFonts w:ascii="Times New Roman" w:hAnsi="Times New Roman"/>
          <w:sz w:val="22"/>
        </w:rPr>
        <w:t>evidenciadas</w:t>
      </w:r>
      <w:r>
        <w:rPr>
          <w:rFonts w:ascii="Times New Roman" w:hAnsi="Times New Roman"/>
          <w:spacing w:val="-4"/>
          <w:sz w:val="22"/>
        </w:rPr>
        <w:t> </w:t>
      </w:r>
      <w:r>
        <w:rPr>
          <w:rFonts w:ascii="Times New Roman" w:hAnsi="Times New Roman"/>
          <w:sz w:val="22"/>
        </w:rPr>
        <w:t>neste</w:t>
      </w:r>
      <w:r>
        <w:rPr>
          <w:rFonts w:ascii="Times New Roman" w:hAnsi="Times New Roman"/>
          <w:spacing w:val="-3"/>
          <w:sz w:val="22"/>
        </w:rPr>
        <w:t> </w:t>
      </w:r>
      <w:r>
        <w:rPr>
          <w:rFonts w:ascii="Times New Roman" w:hAnsi="Times New Roman"/>
          <w:sz w:val="22"/>
        </w:rPr>
        <w:t>documento</w:t>
      </w:r>
      <w:r>
        <w:rPr>
          <w:rFonts w:ascii="Times New Roman" w:hAnsi="Times New Roman"/>
          <w:spacing w:val="-2"/>
          <w:sz w:val="22"/>
        </w:rPr>
        <w:t> </w:t>
      </w:r>
      <w:r>
        <w:rPr>
          <w:rFonts w:ascii="Times New Roman" w:hAnsi="Times New Roman"/>
          <w:sz w:val="22"/>
        </w:rPr>
        <w:t>e</w:t>
      </w:r>
      <w:r>
        <w:rPr>
          <w:rFonts w:ascii="Times New Roman" w:hAnsi="Times New Roman"/>
          <w:spacing w:val="-4"/>
          <w:sz w:val="22"/>
        </w:rPr>
        <w:t> </w:t>
      </w:r>
      <w:r>
        <w:rPr>
          <w:rFonts w:ascii="Times New Roman" w:hAnsi="Times New Roman"/>
          <w:sz w:val="22"/>
        </w:rPr>
        <w:t>nas</w:t>
      </w:r>
      <w:r>
        <w:rPr>
          <w:rFonts w:ascii="Times New Roman" w:hAnsi="Times New Roman"/>
          <w:spacing w:val="-1"/>
          <w:sz w:val="22"/>
        </w:rPr>
        <w:t> </w:t>
      </w:r>
      <w:r>
        <w:rPr>
          <w:rFonts w:ascii="Times New Roman" w:hAnsi="Times New Roman"/>
          <w:sz w:val="22"/>
        </w:rPr>
        <w:t>Demonstrações</w:t>
      </w:r>
      <w:r>
        <w:rPr>
          <w:rFonts w:ascii="Times New Roman" w:hAnsi="Times New Roman"/>
          <w:spacing w:val="-2"/>
          <w:sz w:val="22"/>
        </w:rPr>
        <w:t> </w:t>
      </w:r>
      <w:r>
        <w:rPr>
          <w:rFonts w:ascii="Times New Roman" w:hAnsi="Times New Roman"/>
          <w:sz w:val="22"/>
        </w:rPr>
        <w:t>Financeiras</w:t>
      </w:r>
      <w:r>
        <w:rPr>
          <w:rFonts w:ascii="Times New Roman" w:hAnsi="Times New Roman"/>
          <w:spacing w:val="-2"/>
          <w:sz w:val="22"/>
        </w:rPr>
        <w:t> </w:t>
      </w:r>
      <w:r>
        <w:rPr>
          <w:rFonts w:ascii="Times New Roman" w:hAnsi="Times New Roman"/>
          <w:sz w:val="22"/>
        </w:rPr>
        <w:t>Intermediárias,</w:t>
      </w:r>
      <w:r>
        <w:rPr>
          <w:rFonts w:ascii="Times New Roman" w:hAnsi="Times New Roman"/>
          <w:spacing w:val="-4"/>
          <w:sz w:val="22"/>
        </w:rPr>
        <w:t> </w:t>
      </w:r>
      <w:r>
        <w:rPr>
          <w:rFonts w:ascii="Times New Roman" w:hAnsi="Times New Roman"/>
          <w:sz w:val="22"/>
        </w:rPr>
        <w:t>que</w:t>
      </w:r>
      <w:r>
        <w:rPr>
          <w:rFonts w:ascii="Times New Roman" w:hAnsi="Times New Roman"/>
          <w:spacing w:val="-4"/>
          <w:sz w:val="22"/>
        </w:rPr>
        <w:t> </w:t>
      </w:r>
      <w:r>
        <w:rPr>
          <w:rFonts w:ascii="Times New Roman" w:hAnsi="Times New Roman"/>
          <w:sz w:val="22"/>
        </w:rPr>
        <w:t>podem</w:t>
      </w:r>
      <w:r>
        <w:rPr>
          <w:rFonts w:ascii="Times New Roman" w:hAnsi="Times New Roman"/>
          <w:spacing w:val="-5"/>
          <w:sz w:val="22"/>
        </w:rPr>
        <w:t> </w:t>
      </w:r>
      <w:r>
        <w:rPr>
          <w:rFonts w:ascii="Times New Roman" w:hAnsi="Times New Roman"/>
          <w:sz w:val="22"/>
        </w:rPr>
        <w:t>ser</w:t>
      </w:r>
      <w:r>
        <w:rPr>
          <w:rFonts w:ascii="Times New Roman" w:hAnsi="Times New Roman"/>
          <w:spacing w:val="-4"/>
          <w:sz w:val="22"/>
        </w:rPr>
        <w:t> </w:t>
      </w:r>
      <w:r>
        <w:rPr>
          <w:rFonts w:ascii="Times New Roman" w:hAnsi="Times New Roman"/>
          <w:sz w:val="22"/>
        </w:rPr>
        <w:t>acessadas</w:t>
      </w:r>
      <w:r>
        <w:rPr>
          <w:rFonts w:ascii="Times New Roman" w:hAnsi="Times New Roman"/>
          <w:spacing w:val="-1"/>
          <w:sz w:val="22"/>
        </w:rPr>
        <w:t> </w:t>
      </w:r>
      <w:r>
        <w:rPr>
          <w:rFonts w:ascii="Times New Roman" w:hAnsi="Times New Roman"/>
          <w:sz w:val="22"/>
        </w:rPr>
        <w:t>pelo</w:t>
      </w:r>
      <w:r>
        <w:rPr>
          <w:rFonts w:ascii="Times New Roman" w:hAnsi="Times New Roman"/>
          <w:spacing w:val="-5"/>
          <w:sz w:val="22"/>
        </w:rPr>
        <w:t> </w:t>
      </w:r>
      <w:r>
        <w:rPr>
          <w:rFonts w:ascii="Times New Roman" w:hAnsi="Times New Roman"/>
          <w:sz w:val="22"/>
        </w:rPr>
        <w:t>site da empresa</w:t>
      </w:r>
      <w:r>
        <w:rPr>
          <w:rFonts w:ascii="Times New Roman" w:hAnsi="Times New Roman"/>
          <w:spacing w:val="-3"/>
          <w:sz w:val="22"/>
        </w:rPr>
        <w:t> </w:t>
      </w:r>
      <w:r>
        <w:rPr>
          <w:rFonts w:ascii="Times New Roman" w:hAnsi="Times New Roman"/>
          <w:sz w:val="22"/>
        </w:rPr>
        <w:t>(www.ceb.com.br).</w:t>
      </w:r>
    </w:p>
    <w:p>
      <w:pPr>
        <w:pStyle w:val="BodyText"/>
        <w:rPr>
          <w:rFonts w:ascii="Times New Roman"/>
        </w:rPr>
      </w:pPr>
    </w:p>
    <w:p>
      <w:pPr>
        <w:pStyle w:val="BodyText"/>
        <w:spacing w:before="11"/>
        <w:rPr>
          <w:rFonts w:ascii="Times New Roman"/>
        </w:rPr>
      </w:pPr>
      <w:r>
        <w:rPr/>
        <w:pict>
          <v:shape style="position:absolute;margin-left:58.200001pt;margin-top:13.258083pt;width:496.1pt;height:13.7pt;mso-position-horizontal-relative:page;mso-position-vertical-relative:paragraph;z-index:-15708672;mso-wrap-distance-left:0;mso-wrap-distance-right:0" type="#_x0000_t202" filled="true" fillcolor="#f0f0f0" stroked="false">
            <v:textbox inset="0,0,0,0">
              <w:txbxContent>
                <w:p>
                  <w:pPr>
                    <w:tabs>
                      <w:tab w:pos="749" w:val="left" w:leader="none"/>
                    </w:tabs>
                    <w:spacing w:line="274" w:lineRule="exact" w:before="0"/>
                    <w:ind w:left="29" w:right="0" w:firstLine="0"/>
                    <w:jc w:val="left"/>
                    <w:rPr>
                      <w:rFonts w:ascii="Times New Roman"/>
                      <w:b/>
                      <w:sz w:val="24"/>
                    </w:rPr>
                  </w:pPr>
                  <w:r>
                    <w:rPr>
                      <w:rFonts w:ascii="Times New Roman"/>
                      <w:b/>
                      <w:sz w:val="24"/>
                    </w:rPr>
                    <w:t>X.</w:t>
                    <w:tab/>
                    <w:t>AUDITORES</w:t>
                  </w:r>
                  <w:r>
                    <w:rPr>
                      <w:rFonts w:ascii="Times New Roman"/>
                      <w:b/>
                      <w:spacing w:val="1"/>
                      <w:sz w:val="24"/>
                    </w:rPr>
                    <w:t> </w:t>
                  </w:r>
                  <w:r>
                    <w:rPr>
                      <w:rFonts w:ascii="Times New Roman"/>
                      <w:b/>
                      <w:sz w:val="24"/>
                    </w:rPr>
                    <w:t>INDEPENDENTES</w:t>
                  </w:r>
                </w:p>
              </w:txbxContent>
            </v:textbox>
            <v:fill type="solid"/>
            <w10:wrap type="topAndBottom"/>
          </v:shape>
        </w:pict>
      </w:r>
    </w:p>
    <w:p>
      <w:pPr>
        <w:pStyle w:val="BodyText"/>
        <w:rPr>
          <w:rFonts w:ascii="Times New Roman"/>
          <w:sz w:val="19"/>
        </w:rPr>
      </w:pPr>
    </w:p>
    <w:p>
      <w:pPr>
        <w:spacing w:line="360" w:lineRule="auto" w:before="1"/>
        <w:ind w:left="139" w:right="139" w:firstLine="720"/>
        <w:jc w:val="both"/>
        <w:rPr>
          <w:rFonts w:ascii="Times New Roman" w:hAnsi="Times New Roman"/>
          <w:sz w:val="22"/>
        </w:rPr>
      </w:pPr>
      <w:r>
        <w:rPr>
          <w:rFonts w:ascii="Times New Roman" w:hAnsi="Times New Roman"/>
          <w:sz w:val="22"/>
        </w:rPr>
        <w:t>A Companhia informa, nos termos da Instrução CVM nº 381, de 14 de janeiro de 2003, que utiliza os serviços de Auditoria Independente da Maciel Auditores S/S; e que em 2019 não usou outros serviços desses auditores senão aqueles ligados diretamente à auditoria das demonstrações contábeis.</w:t>
      </w:r>
    </w:p>
    <w:p>
      <w:pPr>
        <w:spacing w:after="0" w:line="360" w:lineRule="auto"/>
        <w:jc w:val="both"/>
        <w:rPr>
          <w:rFonts w:ascii="Times New Roman" w:hAnsi="Times New Roman"/>
          <w:sz w:val="22"/>
        </w:rPr>
        <w:sectPr>
          <w:headerReference w:type="default" r:id="rId53"/>
          <w:footerReference w:type="default" r:id="rId54"/>
          <w:pgSz w:w="11920" w:h="16860"/>
          <w:pgMar w:header="0" w:footer="302" w:top="540" w:bottom="500" w:left="780" w:right="280"/>
          <w:pgNumType w:start="30"/>
        </w:sectPr>
      </w:pPr>
    </w:p>
    <w:p>
      <w:pPr>
        <w:pStyle w:val="BodyText"/>
        <w:spacing w:line="20" w:lineRule="exact"/>
        <w:ind w:left="311"/>
        <w:rPr>
          <w:rFonts w:ascii="Times New Roman"/>
          <w:sz w:val="2"/>
        </w:rPr>
      </w:pPr>
      <w:r>
        <w:rPr/>
        <w:pict>
          <v:group style="position:absolute;margin-left:.0pt;margin-top:0pt;width:595.35pt;height:842.25pt;mso-position-horizontal-relative:page;mso-position-vertical-relative:page;z-index:-32465920" coordorigin="0,0" coordsize="11907,16845">
            <v:rect style="position:absolute;left:0;top:15819;width:512;height:1021" filled="true" fillcolor="#001f5f" stroked="false">
              <v:fill type="solid"/>
            </v:rect>
            <v:line style="position:absolute" from="0,16837" to="512,16837" stroked="true" strokeweight=".414856pt" strokecolor="#000000">
              <v:stroke dashstyle="solid"/>
            </v:line>
            <v:shape style="position:absolute;left:655;top:15819;width:11252;height:1021" coordorigin="655,15819" coordsize="11252,1021" path="m11406,15819l655,15819,655,16840,11406,16840,11406,15819xm11906,15819l11549,15819,11549,16840,11906,16840,11906,15819xe" filled="true" fillcolor="#001f5f" stroked="false">
              <v:path arrowok="t"/>
              <v:fill type="solid"/>
            </v:shape>
            <v:line style="position:absolute" from="655,16837" to="11906,16837" stroked="true" strokeweight=".414856pt" strokecolor="#000000">
              <v:stroke dashstyle="solid"/>
            </v:line>
            <v:shape style="position:absolute;left:0;top:16840;width:11907;height:5" coordorigin="0,16840" coordsize="11907,5" path="m0,16840l11906,16840m0,16845l11906,16845e" filled="false" stroked="true" strokeweight=".039795pt" strokecolor="#000000">
              <v:path arrowok="t"/>
              <v:stroke dashstyle="solid"/>
            </v:shape>
            <v:shape style="position:absolute;left:0;top:15819;width:11907;height:2" coordorigin="0,15819" coordsize="11907,0" path="m0,15819l512,15819m655,15819l11406,15819m11549,15819l11906,15819e" filled="false" stroked="true" strokeweight=".75pt" strokecolor="#000000">
              <v:path arrowok="t"/>
              <v:stroke dashstyle="solid"/>
            </v:shape>
            <v:rect style="position:absolute;left:11549;top:15;width:358;height:1021" filled="true" fillcolor="#001f5f" stroked="false">
              <v:fill type="solid"/>
            </v:rect>
            <v:shape style="position:absolute;left:11549;top:0;width:358;height:16841" coordorigin="11549,0" coordsize="358,16841" path="m11549,1036l11906,1036m11549,15l11906,15m11549,16841l11549,0e" filled="false" stroked="true" strokeweight=".75pt" strokecolor="#000000">
              <v:path arrowok="t"/>
              <v:stroke dashstyle="solid"/>
            </v:shape>
            <v:rect style="position:absolute;left:655;top:15;width:10751;height:1021" filled="true" fillcolor="#001f5f" stroked="false">
              <v:fill type="solid"/>
            </v:rect>
            <v:shape style="position:absolute;left:655;top:0;width:10751;height:16841" coordorigin="655,0" coordsize="10751,16841" path="m655,1036l11406,1036m655,15l11406,15m11406,0l11406,16841m655,16841l655,0e" filled="false" stroked="true" strokeweight=".75pt" strokecolor="#000000">
              <v:path arrowok="t"/>
              <v:stroke dashstyle="solid"/>
            </v:shape>
            <v:rect style="position:absolute;left:0;top:15;width:512;height:1021" filled="true" fillcolor="#001f5f" stroked="false">
              <v:fill type="solid"/>
            </v:rect>
            <v:shape style="position:absolute;left:0;top:0;width:512;height:16841" coordorigin="0,0" coordsize="512,16841" path="m0,1036l512,1036m0,15l512,15m512,0l512,16841e" filled="false" stroked="true" strokeweight=".75pt" strokecolor="#000000">
              <v:path arrowok="t"/>
              <v:stroke dashstyle="solid"/>
            </v:shape>
            <w10:wrap type="none"/>
          </v:group>
        </w:pict>
      </w:r>
      <w:r>
        <w:rPr>
          <w:rFonts w:ascii="Times New Roman"/>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Times New Roman"/>
          <w:sz w:val="2"/>
        </w:rPr>
      </w:r>
    </w:p>
    <w:p>
      <w:pPr>
        <w:pStyle w:val="BodyText"/>
        <w:spacing w:before="2"/>
        <w:rPr>
          <w:rFonts w:ascii="Times New Roman"/>
          <w:sz w:val="8"/>
        </w:rPr>
      </w:pPr>
    </w:p>
    <w:p>
      <w:pPr>
        <w:pStyle w:val="BodyText"/>
        <w:ind w:left="452"/>
        <w:rPr>
          <w:rFonts w:ascii="Times New Roman"/>
        </w:rPr>
      </w:pPr>
      <w:r>
        <w:rPr>
          <w:rFonts w:ascii="Times New Roman"/>
        </w:rPr>
        <w:drawing>
          <wp:inline distT="0" distB="0" distL="0" distR="0">
            <wp:extent cx="1823731" cy="938117"/>
            <wp:effectExtent l="0" t="0" r="0" b="0"/>
            <wp:docPr id="69" name="image13.jpeg"/>
            <wp:cNvGraphicFramePr>
              <a:graphicFrameLocks noChangeAspect="1"/>
            </wp:cNvGraphicFramePr>
            <a:graphic>
              <a:graphicData uri="http://schemas.openxmlformats.org/drawingml/2006/picture">
                <pic:pic>
                  <pic:nvPicPr>
                    <pic:cNvPr id="70" name="image13.jpeg"/>
                    <pic:cNvPicPr/>
                  </pic:nvPicPr>
                  <pic:blipFill>
                    <a:blip r:embed="rId57" cstate="print"/>
                    <a:stretch>
                      <a:fillRect/>
                    </a:stretch>
                  </pic:blipFill>
                  <pic:spPr>
                    <a:xfrm>
                      <a:off x="0" y="0"/>
                      <a:ext cx="1823731" cy="938117"/>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0"/>
        <w:rPr>
          <w:rFonts w:ascii="Times New Roman"/>
          <w:sz w:val="15"/>
        </w:rPr>
      </w:pPr>
    </w:p>
    <w:p>
      <w:pPr>
        <w:spacing w:line="283" w:lineRule="auto" w:before="100"/>
        <w:ind w:left="4689" w:right="1920" w:hanging="2732"/>
        <w:jc w:val="left"/>
        <w:rPr>
          <w:rFonts w:ascii="Caladea" w:hAnsi="Caladea"/>
          <w:b/>
          <w:sz w:val="56"/>
        </w:rPr>
      </w:pPr>
      <w:r>
        <w:rPr>
          <w:rFonts w:ascii="Caladea" w:hAnsi="Caladea"/>
          <w:b/>
          <w:sz w:val="56"/>
        </w:rPr>
        <w:t>D</w:t>
      </w:r>
      <w:r>
        <w:rPr>
          <w:rFonts w:ascii="Caladea" w:hAnsi="Caladea"/>
          <w:b/>
          <w:sz w:val="45"/>
        </w:rPr>
        <w:t>EMONSTRAÇÕES </w:t>
      </w:r>
      <w:r>
        <w:rPr>
          <w:rFonts w:ascii="Caladea" w:hAnsi="Caladea"/>
          <w:b/>
          <w:sz w:val="56"/>
        </w:rPr>
        <w:t>F</w:t>
      </w:r>
      <w:r>
        <w:rPr>
          <w:rFonts w:ascii="Caladea" w:hAnsi="Caladea"/>
          <w:b/>
          <w:sz w:val="45"/>
        </w:rPr>
        <w:t>INANCEIRAS </w:t>
      </w:r>
      <w:r>
        <w:rPr>
          <w:rFonts w:ascii="Caladea" w:hAnsi="Caladea"/>
          <w:b/>
          <w:sz w:val="56"/>
        </w:rPr>
        <w:t>2019</w:t>
      </w:r>
    </w:p>
    <w:p>
      <w:pPr>
        <w:pStyle w:val="BodyText"/>
        <w:rPr>
          <w:rFonts w:ascii="Caladea"/>
          <w:b/>
        </w:rPr>
      </w:pPr>
    </w:p>
    <w:p>
      <w:pPr>
        <w:pStyle w:val="BodyText"/>
        <w:rPr>
          <w:rFonts w:ascii="Caladea"/>
          <w:b/>
        </w:rPr>
      </w:pPr>
    </w:p>
    <w:p>
      <w:pPr>
        <w:pStyle w:val="BodyText"/>
        <w:spacing w:before="3"/>
        <w:rPr>
          <w:rFonts w:ascii="Caladea"/>
          <w:b/>
          <w:sz w:val="21"/>
        </w:rPr>
      </w:pPr>
      <w:r>
        <w:rPr/>
        <w:drawing>
          <wp:anchor distT="0" distB="0" distL="0" distR="0" allowOverlap="1" layoutInCell="1" locked="0" behindDoc="0" simplePos="0" relativeHeight="41">
            <wp:simplePos x="0" y="0"/>
            <wp:positionH relativeFrom="page">
              <wp:posOffset>533400</wp:posOffset>
            </wp:positionH>
            <wp:positionV relativeFrom="paragraph">
              <wp:posOffset>183556</wp:posOffset>
            </wp:positionV>
            <wp:extent cx="6573874" cy="5340096"/>
            <wp:effectExtent l="0" t="0" r="0" b="0"/>
            <wp:wrapTopAndBottom/>
            <wp:docPr id="71" name="image14.jpeg"/>
            <wp:cNvGraphicFramePr>
              <a:graphicFrameLocks noChangeAspect="1"/>
            </wp:cNvGraphicFramePr>
            <a:graphic>
              <a:graphicData uri="http://schemas.openxmlformats.org/drawingml/2006/picture">
                <pic:pic>
                  <pic:nvPicPr>
                    <pic:cNvPr id="72" name="image14.jpeg"/>
                    <pic:cNvPicPr/>
                  </pic:nvPicPr>
                  <pic:blipFill>
                    <a:blip r:embed="rId58" cstate="print"/>
                    <a:stretch>
                      <a:fillRect/>
                    </a:stretch>
                  </pic:blipFill>
                  <pic:spPr>
                    <a:xfrm>
                      <a:off x="0" y="0"/>
                      <a:ext cx="6573874" cy="5340096"/>
                    </a:xfrm>
                    <a:prstGeom prst="rect">
                      <a:avLst/>
                    </a:prstGeom>
                  </pic:spPr>
                </pic:pic>
              </a:graphicData>
            </a:graphic>
          </wp:anchor>
        </w:drawing>
      </w:r>
    </w:p>
    <w:p>
      <w:pPr>
        <w:spacing w:after="0"/>
        <w:rPr>
          <w:rFonts w:ascii="Caladea"/>
          <w:sz w:val="21"/>
        </w:rPr>
        <w:sectPr>
          <w:headerReference w:type="default" r:id="rId55"/>
          <w:footerReference w:type="default" r:id="rId56"/>
          <w:pgSz w:w="11910" w:h="16850"/>
          <w:pgMar w:header="0" w:footer="0" w:top="1360" w:bottom="280" w:left="740" w:right="480"/>
        </w:sectPr>
      </w:pPr>
    </w:p>
    <w:p>
      <w:pPr>
        <w:pStyle w:val="BodyText"/>
        <w:spacing w:line="20" w:lineRule="exact"/>
        <w:ind w:left="31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Heading1"/>
        <w:spacing w:line="360" w:lineRule="auto" w:before="272"/>
        <w:ind w:left="2353" w:right="2336"/>
      </w:pPr>
      <w:r>
        <w:rPr/>
        <w:t>DEMONSTRAÇÕES FINANCEIRAS 2019</w:t>
      </w:r>
    </w:p>
    <w:p>
      <w:pPr>
        <w:spacing w:after="0" w:line="360" w:lineRule="auto"/>
        <w:sectPr>
          <w:headerReference w:type="default" r:id="rId59"/>
          <w:footerReference w:type="default" r:id="rId60"/>
          <w:pgSz w:w="11910" w:h="16850"/>
          <w:pgMar w:header="0" w:footer="0" w:top="1360" w:bottom="280" w:left="740" w:right="480"/>
        </w:sectPr>
      </w:pPr>
    </w:p>
    <w:p>
      <w:pPr>
        <w:pStyle w:val="BodyText"/>
        <w:spacing w:before="8"/>
        <w:rPr>
          <w:rFonts w:ascii="Caladea"/>
          <w:b/>
        </w:rPr>
      </w:pPr>
    </w:p>
    <w:p>
      <w:pPr>
        <w:spacing w:before="100"/>
        <w:ind w:left="4800" w:right="5149" w:firstLine="0"/>
        <w:jc w:val="center"/>
        <w:rPr>
          <w:rFonts w:ascii="Caladea" w:hAnsi="Caladea"/>
          <w:b/>
          <w:sz w:val="18"/>
        </w:rPr>
      </w:pPr>
      <w:r>
        <w:rPr/>
        <w:drawing>
          <wp:anchor distT="0" distB="0" distL="0" distR="0" allowOverlap="1" layoutInCell="1" locked="0" behindDoc="0" simplePos="0" relativeHeight="15752192">
            <wp:simplePos x="0" y="0"/>
            <wp:positionH relativeFrom="page">
              <wp:posOffset>720090</wp:posOffset>
            </wp:positionH>
            <wp:positionV relativeFrom="paragraph">
              <wp:posOffset>-151002</wp:posOffset>
            </wp:positionV>
            <wp:extent cx="466725" cy="323087"/>
            <wp:effectExtent l="0" t="0" r="0" b="0"/>
            <wp:wrapNone/>
            <wp:docPr id="73" name="image15.jpeg"/>
            <wp:cNvGraphicFramePr>
              <a:graphicFrameLocks noChangeAspect="1"/>
            </wp:cNvGraphicFramePr>
            <a:graphic>
              <a:graphicData uri="http://schemas.openxmlformats.org/drawingml/2006/picture">
                <pic:pic>
                  <pic:nvPicPr>
                    <pic:cNvPr id="74" name="image15.jpeg"/>
                    <pic:cNvPicPr/>
                  </pic:nvPicPr>
                  <pic:blipFill>
                    <a:blip r:embed="rId63" cstate="print"/>
                    <a:stretch>
                      <a:fillRect/>
                    </a:stretch>
                  </pic:blipFill>
                  <pic:spPr>
                    <a:xfrm>
                      <a:off x="0" y="0"/>
                      <a:ext cx="466725" cy="323087"/>
                    </a:xfrm>
                    <a:prstGeom prst="rect">
                      <a:avLst/>
                    </a:prstGeom>
                  </pic:spPr>
                </pic:pic>
              </a:graphicData>
            </a:graphic>
          </wp:anchor>
        </w:drawing>
      </w:r>
      <w:r>
        <w:rPr>
          <w:rFonts w:ascii="Caladea" w:hAnsi="Caladea"/>
          <w:b/>
          <w:w w:val="105"/>
          <w:sz w:val="18"/>
        </w:rPr>
        <w:t>Companhia Energética de Brasília </w:t>
      </w:r>
      <w:r>
        <w:rPr>
          <w:b/>
          <w:w w:val="105"/>
          <w:sz w:val="18"/>
        </w:rPr>
        <w:t>– </w:t>
      </w:r>
      <w:r>
        <w:rPr>
          <w:rFonts w:ascii="Caladea" w:hAnsi="Caladea"/>
          <w:b/>
          <w:w w:val="105"/>
          <w:sz w:val="18"/>
        </w:rPr>
        <w:t>CEB</w:t>
      </w:r>
    </w:p>
    <w:p>
      <w:pPr>
        <w:spacing w:line="187" w:lineRule="exact" w:before="0"/>
        <w:ind w:left="5069" w:right="5144" w:firstLine="0"/>
        <w:jc w:val="center"/>
        <w:rPr>
          <w:rFonts w:ascii="Caladea"/>
          <w:b/>
          <w:sz w:val="16"/>
        </w:rPr>
      </w:pPr>
      <w:r>
        <w:rPr>
          <w:rFonts w:ascii="Caladea"/>
          <w:b/>
          <w:sz w:val="16"/>
        </w:rPr>
        <w:t>CNPJ 00.070.698/0001-11</w:t>
      </w:r>
    </w:p>
    <w:p>
      <w:pPr>
        <w:spacing w:line="187" w:lineRule="exact" w:before="0"/>
        <w:ind w:left="5069" w:right="5146" w:firstLine="0"/>
        <w:jc w:val="center"/>
        <w:rPr>
          <w:rFonts w:ascii="Caladea" w:hAnsi="Caladea"/>
          <w:b/>
          <w:sz w:val="16"/>
        </w:rPr>
      </w:pPr>
      <w:r>
        <w:rPr>
          <w:rFonts w:ascii="Caladea" w:hAnsi="Caladea"/>
          <w:b/>
          <w:sz w:val="16"/>
        </w:rPr>
        <w:t>Balanços Patrimoniais</w:t>
      </w:r>
    </w:p>
    <w:p>
      <w:pPr>
        <w:spacing w:before="0"/>
        <w:ind w:left="5069" w:right="5149" w:firstLine="0"/>
        <w:jc w:val="center"/>
        <w:rPr>
          <w:rFonts w:ascii="Caladea" w:hAnsi="Caladea"/>
          <w:b/>
          <w:sz w:val="14"/>
        </w:rPr>
      </w:pPr>
      <w:r>
        <w:rPr>
          <w:rFonts w:ascii="Caladea" w:hAnsi="Caladea"/>
          <w:b/>
          <w:sz w:val="14"/>
        </w:rPr>
        <w:t>Exercícios findos em 31 de dezembro de 2019 e 31 de dezembro de 2018 Em milhares de reais, exceto quando indicado de outra forma</w:t>
      </w:r>
    </w:p>
    <w:p>
      <w:pPr>
        <w:pStyle w:val="BodyText"/>
        <w:spacing w:before="2"/>
        <w:rPr>
          <w:rFonts w:ascii="Caladea"/>
          <w:b/>
          <w:sz w:val="12"/>
        </w:rPr>
      </w:pPr>
    </w:p>
    <w:p>
      <w:pPr>
        <w:tabs>
          <w:tab w:pos="6008" w:val="left" w:leader="none"/>
          <w:tab w:pos="11210" w:val="left" w:leader="none"/>
          <w:tab w:pos="13406" w:val="left" w:leader="none"/>
        </w:tabs>
        <w:spacing w:before="102" w:after="17"/>
        <w:ind w:left="3821" w:right="0" w:firstLine="0"/>
        <w:jc w:val="left"/>
        <w:rPr>
          <w:rFonts w:ascii="Caladea"/>
          <w:b/>
          <w:sz w:val="14"/>
        </w:rPr>
      </w:pPr>
      <w:r>
        <w:rPr>
          <w:rFonts w:ascii="Caladea"/>
          <w:b/>
          <w:w w:val="75"/>
          <w:sz w:val="14"/>
        </w:rPr>
        <w:t>Controladora</w:t>
        <w:tab/>
        <w:t>Consolidado</w:t>
        <w:tab/>
        <w:t>Controladora</w:t>
        <w:tab/>
      </w:r>
      <w:r>
        <w:rPr>
          <w:rFonts w:ascii="Caladea"/>
          <w:b/>
          <w:w w:val="85"/>
          <w:sz w:val="14"/>
        </w:rPr>
        <w:t>Consolidado</w:t>
      </w:r>
    </w:p>
    <w:p>
      <w:pPr>
        <w:tabs>
          <w:tab w:pos="10450" w:val="left" w:leader="none"/>
        </w:tabs>
        <w:spacing w:line="20" w:lineRule="exact"/>
        <w:ind w:left="3052" w:right="0" w:firstLine="0"/>
        <w:rPr>
          <w:rFonts w:ascii="Caladea"/>
          <w:sz w:val="2"/>
        </w:rPr>
      </w:pPr>
      <w:r>
        <w:rPr>
          <w:rFonts w:ascii="Caladea"/>
          <w:sz w:val="2"/>
        </w:rPr>
        <w:pict>
          <v:group style="width:214.95pt;height:.6pt;mso-position-horizontal-relative:char;mso-position-vertical-relative:line" coordorigin="0,0" coordsize="4299,12">
            <v:rect style="position:absolute;left:4;top:0;width:2154;height:12" filled="true" fillcolor="#000000" stroked="false">
              <v:fill type="solid"/>
            </v:rect>
            <v:rect style="position:absolute;left:0;top:0;width:2162;height:12" filled="true" fillcolor="#000000" stroked="false">
              <v:fill type="solid"/>
            </v:rect>
            <v:rect style="position:absolute;left:2191;top:0;width:2103;height:12" filled="true" fillcolor="#000000" stroked="false">
              <v:fill type="solid"/>
            </v:rect>
            <v:rect style="position:absolute;left:2187;top:0;width:2112;height:12" filled="true" fillcolor="#000000" stroked="false">
              <v:fill type="solid"/>
            </v:rect>
          </v:group>
        </w:pict>
      </w:r>
      <w:r>
        <w:rPr>
          <w:rFonts w:ascii="Caladea"/>
          <w:sz w:val="2"/>
        </w:rPr>
      </w:r>
      <w:r>
        <w:rPr>
          <w:rFonts w:ascii="Caladea"/>
          <w:sz w:val="2"/>
        </w:rPr>
        <w:tab/>
      </w:r>
      <w:r>
        <w:rPr>
          <w:rFonts w:ascii="Caladea"/>
          <w:sz w:val="2"/>
        </w:rPr>
        <w:pict>
          <v:group style="width:215.8pt;height:.6pt;mso-position-horizontal-relative:char;mso-position-vertical-relative:line" coordorigin="0,0" coordsize="4316,12">
            <v:rect style="position:absolute;left:4;top:0;width:2137;height:12" filled="true" fillcolor="#000000" stroked="false">
              <v:fill type="solid"/>
            </v:rect>
            <v:rect style="position:absolute;left:0;top:0;width:2146;height:12" filled="true" fillcolor="#000000" stroked="false">
              <v:fill type="solid"/>
            </v:rect>
            <v:rect style="position:absolute;left:2174;top:0;width:2137;height:12" filled="true" fillcolor="#000000" stroked="false">
              <v:fill type="solid"/>
            </v:rect>
            <v:rect style="position:absolute;left:2170;top:0;width:2145;height:12" filled="true" fillcolor="#000000" stroked="false">
              <v:fill type="solid"/>
            </v:rect>
          </v:group>
        </w:pict>
      </w:r>
      <w:r>
        <w:rPr>
          <w:rFonts w:ascii="Caladea"/>
          <w:sz w:val="2"/>
        </w:rPr>
      </w:r>
    </w:p>
    <w:p>
      <w:pPr>
        <w:tabs>
          <w:tab w:pos="2807" w:val="left" w:leader="none"/>
          <w:tab w:pos="10214" w:val="left" w:leader="none"/>
        </w:tabs>
        <w:spacing w:before="1"/>
        <w:ind w:left="139" w:right="0" w:firstLine="0"/>
        <w:jc w:val="left"/>
        <w:rPr>
          <w:rFonts w:ascii="Caladea"/>
          <w:b/>
          <w:sz w:val="14"/>
        </w:rPr>
      </w:pPr>
      <w:r>
        <w:rPr>
          <w:rFonts w:ascii="Caladea"/>
          <w:b/>
          <w:w w:val="85"/>
          <w:sz w:val="14"/>
        </w:rPr>
        <w:t>Ativo</w:t>
        <w:tab/>
      </w:r>
      <w:r>
        <w:rPr>
          <w:rFonts w:ascii="Caladea"/>
          <w:b/>
          <w:w w:val="80"/>
          <w:sz w:val="14"/>
        </w:rPr>
        <w:t>Nota</w:t>
      </w:r>
      <w:r>
        <w:rPr>
          <w:rFonts w:ascii="Caladea"/>
          <w:b/>
          <w:w w:val="80"/>
          <w:sz w:val="14"/>
          <w:u w:val="single"/>
        </w:rPr>
        <w:t>  31/12/2019   31/12/2018   01/01/2018   31/12/2019   31/12/2018 </w:t>
      </w:r>
      <w:r>
        <w:rPr>
          <w:rFonts w:ascii="Caladea"/>
          <w:b/>
          <w:spacing w:val="15"/>
          <w:w w:val="80"/>
          <w:sz w:val="14"/>
          <w:u w:val="single"/>
        </w:rPr>
        <w:t> </w:t>
      </w:r>
      <w:r>
        <w:rPr>
          <w:rFonts w:ascii="Caladea"/>
          <w:b/>
          <w:w w:val="80"/>
          <w:sz w:val="14"/>
          <w:u w:val="single"/>
        </w:rPr>
        <w:t>01/01/2018 </w:t>
      </w:r>
      <w:r>
        <w:rPr>
          <w:rFonts w:ascii="Caladea"/>
          <w:b/>
          <w:spacing w:val="12"/>
          <w:w w:val="80"/>
          <w:sz w:val="14"/>
        </w:rPr>
        <w:t> </w:t>
      </w:r>
      <w:r>
        <w:rPr>
          <w:rFonts w:ascii="Caladea"/>
          <w:b/>
          <w:w w:val="80"/>
          <w:sz w:val="14"/>
        </w:rPr>
        <w:t>Passivo</w:t>
        <w:tab/>
        <w:t>Nota</w:t>
      </w:r>
      <w:r>
        <w:rPr>
          <w:rFonts w:ascii="Caladea"/>
          <w:b/>
          <w:w w:val="80"/>
          <w:sz w:val="14"/>
          <w:u w:val="single"/>
        </w:rPr>
        <w:t> 31/12/2019 31/12/2018 01/01/2018 31/12/2019 31/12/2018</w:t>
      </w:r>
      <w:r>
        <w:rPr>
          <w:rFonts w:ascii="Caladea"/>
          <w:b/>
          <w:spacing w:val="21"/>
          <w:w w:val="80"/>
          <w:sz w:val="14"/>
          <w:u w:val="single"/>
        </w:rPr>
        <w:t> </w:t>
      </w:r>
      <w:r>
        <w:rPr>
          <w:rFonts w:ascii="Caladea"/>
          <w:b/>
          <w:w w:val="80"/>
          <w:sz w:val="14"/>
          <w:u w:val="single"/>
        </w:rPr>
        <w:t>01/01/2018</w:t>
      </w:r>
      <w:r>
        <w:rPr>
          <w:rFonts w:ascii="Caladea"/>
          <w:b/>
          <w:spacing w:val="13"/>
          <w:sz w:val="14"/>
          <w:u w:val="single"/>
        </w:rPr>
        <w:t> </w:t>
      </w:r>
    </w:p>
    <w:p>
      <w:pPr>
        <w:tabs>
          <w:tab w:pos="5932" w:val="left" w:leader="none"/>
          <w:tab w:pos="11151" w:val="left" w:leader="none"/>
          <w:tab w:pos="13321" w:val="left" w:leader="none"/>
        </w:tabs>
        <w:spacing w:before="27" w:after="24"/>
        <w:ind w:left="3796" w:right="0" w:firstLine="0"/>
        <w:jc w:val="left"/>
        <w:rPr>
          <w:sz w:val="14"/>
        </w:rPr>
      </w:pPr>
      <w:r>
        <w:rPr>
          <w:w w:val="75"/>
          <w:sz w:val="14"/>
        </w:rPr>
        <w:t>Reapresentado</w:t>
      </w:r>
      <w:r>
        <w:rPr>
          <w:spacing w:val="1"/>
          <w:w w:val="75"/>
          <w:sz w:val="14"/>
        </w:rPr>
        <w:t> </w:t>
      </w:r>
      <w:r>
        <w:rPr>
          <w:w w:val="75"/>
          <w:sz w:val="14"/>
        </w:rPr>
        <w:t>Reapresentado</w:t>
        <w:tab/>
        <w:t>Reapresentado</w:t>
      </w:r>
      <w:r>
        <w:rPr>
          <w:spacing w:val="1"/>
          <w:w w:val="75"/>
          <w:sz w:val="14"/>
        </w:rPr>
        <w:t> </w:t>
      </w:r>
      <w:r>
        <w:rPr>
          <w:w w:val="75"/>
          <w:sz w:val="14"/>
        </w:rPr>
        <w:t>Reapresentado</w:t>
        <w:tab/>
        <w:t>Reapresentado</w:t>
      </w:r>
      <w:r>
        <w:rPr>
          <w:spacing w:val="14"/>
          <w:w w:val="75"/>
          <w:sz w:val="14"/>
        </w:rPr>
        <w:t> </w:t>
      </w:r>
      <w:r>
        <w:rPr>
          <w:w w:val="75"/>
          <w:sz w:val="14"/>
        </w:rPr>
        <w:t>Reapresentado</w:t>
        <w:tab/>
        <w:t>Reapresentado</w:t>
      </w:r>
      <w:r>
        <w:rPr>
          <w:spacing w:val="29"/>
          <w:w w:val="75"/>
          <w:sz w:val="14"/>
        </w:rPr>
        <w:t> </w:t>
      </w:r>
      <w:r>
        <w:rPr>
          <w:w w:val="75"/>
          <w:sz w:val="14"/>
        </w:rPr>
        <w:t>Reapresentado</w:t>
      </w:r>
    </w:p>
    <w:tbl>
      <w:tblPr>
        <w:tblW w:w="0" w:type="auto"/>
        <w:jc w:val="left"/>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89"/>
        <w:gridCol w:w="250"/>
        <w:gridCol w:w="802"/>
        <w:gridCol w:w="734"/>
        <w:gridCol w:w="658"/>
        <w:gridCol w:w="700"/>
        <w:gridCol w:w="734"/>
        <w:gridCol w:w="666"/>
        <w:gridCol w:w="2819"/>
        <w:gridCol w:w="279"/>
        <w:gridCol w:w="762"/>
        <w:gridCol w:w="751"/>
        <w:gridCol w:w="683"/>
        <w:gridCol w:w="692"/>
        <w:gridCol w:w="751"/>
        <w:gridCol w:w="672"/>
      </w:tblGrid>
      <w:tr>
        <w:trPr>
          <w:trHeight w:val="178" w:hRule="atLeast"/>
        </w:trPr>
        <w:tc>
          <w:tcPr>
            <w:tcW w:w="2689" w:type="dxa"/>
          </w:tcPr>
          <w:p>
            <w:pPr>
              <w:pStyle w:val="TableParagraph"/>
              <w:spacing w:line="156" w:lineRule="exact" w:before="2"/>
              <w:ind w:left="26"/>
              <w:rPr>
                <w:rFonts w:ascii="Caladea"/>
                <w:b/>
                <w:sz w:val="14"/>
              </w:rPr>
            </w:pPr>
            <w:r>
              <w:rPr>
                <w:rFonts w:ascii="Caladea"/>
                <w:b/>
                <w:w w:val="85"/>
                <w:sz w:val="14"/>
              </w:rPr>
              <w:t>Circulante</w:t>
            </w: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6" w:lineRule="exact" w:before="2"/>
              <w:ind w:left="64"/>
              <w:rPr>
                <w:rFonts w:ascii="Caladea"/>
                <w:b/>
                <w:sz w:val="14"/>
              </w:rPr>
            </w:pPr>
            <w:r>
              <w:rPr>
                <w:rFonts w:ascii="Caladea"/>
                <w:b/>
                <w:w w:val="85"/>
                <w:sz w:val="14"/>
              </w:rPr>
              <w:t>Circulante</w:t>
            </w:r>
          </w:p>
        </w:tc>
        <w:tc>
          <w:tcPr>
            <w:tcW w:w="4590" w:type="dxa"/>
            <w:gridSpan w:val="7"/>
          </w:tcPr>
          <w:p>
            <w:pPr>
              <w:pStyle w:val="TableParagraph"/>
              <w:rPr>
                <w:rFonts w:ascii="Times New Roman"/>
                <w:sz w:val="10"/>
              </w:rPr>
            </w:pPr>
          </w:p>
        </w:tc>
      </w:tr>
      <w:tr>
        <w:trPr>
          <w:trHeight w:val="189" w:hRule="atLeast"/>
        </w:trPr>
        <w:tc>
          <w:tcPr>
            <w:tcW w:w="2689" w:type="dxa"/>
          </w:tcPr>
          <w:p>
            <w:pPr>
              <w:pStyle w:val="TableParagraph"/>
              <w:spacing w:line="155" w:lineRule="exact" w:before="15"/>
              <w:ind w:left="26"/>
              <w:rPr>
                <w:sz w:val="14"/>
              </w:rPr>
            </w:pPr>
            <w:r>
              <w:rPr>
                <w:w w:val="80"/>
                <w:sz w:val="14"/>
              </w:rPr>
              <w:t>Caixa e Equivalentes de Caixa</w:t>
            </w:r>
          </w:p>
        </w:tc>
        <w:tc>
          <w:tcPr>
            <w:tcW w:w="250" w:type="dxa"/>
          </w:tcPr>
          <w:p>
            <w:pPr>
              <w:pStyle w:val="TableParagraph"/>
              <w:spacing w:line="155" w:lineRule="exact" w:before="15"/>
              <w:ind w:left="70"/>
              <w:jc w:val="center"/>
              <w:rPr>
                <w:sz w:val="14"/>
              </w:rPr>
            </w:pPr>
            <w:r>
              <w:rPr>
                <w:w w:val="76"/>
                <w:sz w:val="14"/>
              </w:rPr>
              <w:t>5</w:t>
            </w:r>
          </w:p>
        </w:tc>
        <w:tc>
          <w:tcPr>
            <w:tcW w:w="802" w:type="dxa"/>
          </w:tcPr>
          <w:p>
            <w:pPr>
              <w:pStyle w:val="TableParagraph"/>
              <w:spacing w:line="155" w:lineRule="exact" w:before="15"/>
              <w:ind w:right="177"/>
              <w:jc w:val="right"/>
              <w:rPr>
                <w:sz w:val="14"/>
              </w:rPr>
            </w:pPr>
            <w:r>
              <w:rPr>
                <w:w w:val="70"/>
                <w:sz w:val="14"/>
              </w:rPr>
              <w:t>12.713</w:t>
            </w:r>
          </w:p>
        </w:tc>
        <w:tc>
          <w:tcPr>
            <w:tcW w:w="734" w:type="dxa"/>
          </w:tcPr>
          <w:p>
            <w:pPr>
              <w:pStyle w:val="TableParagraph"/>
              <w:spacing w:line="155" w:lineRule="exact" w:before="15"/>
              <w:ind w:left="186" w:right="120"/>
              <w:jc w:val="center"/>
              <w:rPr>
                <w:sz w:val="14"/>
              </w:rPr>
            </w:pPr>
            <w:r>
              <w:rPr>
                <w:w w:val="80"/>
                <w:sz w:val="14"/>
              </w:rPr>
              <w:t>12.784</w:t>
            </w:r>
          </w:p>
        </w:tc>
        <w:tc>
          <w:tcPr>
            <w:tcW w:w="658" w:type="dxa"/>
          </w:tcPr>
          <w:p>
            <w:pPr>
              <w:pStyle w:val="TableParagraph"/>
              <w:spacing w:line="155" w:lineRule="exact" w:before="15"/>
              <w:ind w:right="100"/>
              <w:jc w:val="right"/>
              <w:rPr>
                <w:sz w:val="14"/>
              </w:rPr>
            </w:pPr>
            <w:r>
              <w:rPr>
                <w:w w:val="70"/>
                <w:sz w:val="14"/>
              </w:rPr>
              <w:t>6.964</w:t>
            </w:r>
          </w:p>
        </w:tc>
        <w:tc>
          <w:tcPr>
            <w:tcW w:w="700" w:type="dxa"/>
          </w:tcPr>
          <w:p>
            <w:pPr>
              <w:pStyle w:val="TableParagraph"/>
              <w:spacing w:line="155" w:lineRule="exact" w:before="15"/>
              <w:ind w:right="133"/>
              <w:jc w:val="right"/>
              <w:rPr>
                <w:sz w:val="14"/>
              </w:rPr>
            </w:pPr>
            <w:r>
              <w:rPr>
                <w:w w:val="70"/>
                <w:sz w:val="14"/>
              </w:rPr>
              <w:t>465.338</w:t>
            </w:r>
          </w:p>
        </w:tc>
        <w:tc>
          <w:tcPr>
            <w:tcW w:w="734" w:type="dxa"/>
          </w:tcPr>
          <w:p>
            <w:pPr>
              <w:pStyle w:val="TableParagraph"/>
              <w:spacing w:line="155" w:lineRule="exact" w:before="15"/>
              <w:ind w:right="132"/>
              <w:jc w:val="right"/>
              <w:rPr>
                <w:sz w:val="14"/>
              </w:rPr>
            </w:pPr>
            <w:r>
              <w:rPr>
                <w:w w:val="70"/>
                <w:sz w:val="14"/>
              </w:rPr>
              <w:t>179.699</w:t>
            </w:r>
          </w:p>
        </w:tc>
        <w:tc>
          <w:tcPr>
            <w:tcW w:w="666" w:type="dxa"/>
          </w:tcPr>
          <w:p>
            <w:pPr>
              <w:pStyle w:val="TableParagraph"/>
              <w:spacing w:line="155" w:lineRule="exact" w:before="15"/>
              <w:ind w:right="63"/>
              <w:jc w:val="right"/>
              <w:rPr>
                <w:sz w:val="14"/>
              </w:rPr>
            </w:pPr>
            <w:r>
              <w:rPr>
                <w:w w:val="70"/>
                <w:sz w:val="14"/>
              </w:rPr>
              <w:t>92.001</w:t>
            </w:r>
          </w:p>
        </w:tc>
        <w:tc>
          <w:tcPr>
            <w:tcW w:w="2819" w:type="dxa"/>
          </w:tcPr>
          <w:p>
            <w:pPr>
              <w:pStyle w:val="TableParagraph"/>
              <w:spacing w:line="155" w:lineRule="exact" w:before="15"/>
              <w:ind w:left="64"/>
              <w:rPr>
                <w:sz w:val="14"/>
              </w:rPr>
            </w:pPr>
            <w:r>
              <w:rPr>
                <w:w w:val="80"/>
                <w:sz w:val="14"/>
              </w:rPr>
              <w:t>Fornecedores</w:t>
            </w:r>
          </w:p>
        </w:tc>
        <w:tc>
          <w:tcPr>
            <w:tcW w:w="279" w:type="dxa"/>
          </w:tcPr>
          <w:p>
            <w:pPr>
              <w:pStyle w:val="TableParagraph"/>
              <w:spacing w:line="155" w:lineRule="exact" w:before="15"/>
              <w:ind w:right="50"/>
              <w:jc w:val="right"/>
              <w:rPr>
                <w:sz w:val="14"/>
              </w:rPr>
            </w:pPr>
            <w:r>
              <w:rPr>
                <w:w w:val="75"/>
                <w:sz w:val="14"/>
              </w:rPr>
              <w:t>17</w:t>
            </w:r>
          </w:p>
        </w:tc>
        <w:tc>
          <w:tcPr>
            <w:tcW w:w="762" w:type="dxa"/>
          </w:tcPr>
          <w:p>
            <w:pPr>
              <w:pStyle w:val="TableParagraph"/>
              <w:spacing w:line="155" w:lineRule="exact" w:before="15"/>
              <w:ind w:right="182"/>
              <w:jc w:val="right"/>
              <w:rPr>
                <w:sz w:val="14"/>
              </w:rPr>
            </w:pPr>
            <w:r>
              <w:rPr>
                <w:w w:val="70"/>
                <w:sz w:val="14"/>
              </w:rPr>
              <w:t>10.660</w:t>
            </w:r>
          </w:p>
        </w:tc>
        <w:tc>
          <w:tcPr>
            <w:tcW w:w="751" w:type="dxa"/>
          </w:tcPr>
          <w:p>
            <w:pPr>
              <w:pStyle w:val="TableParagraph"/>
              <w:spacing w:line="155" w:lineRule="exact" w:before="15"/>
              <w:ind w:right="182"/>
              <w:jc w:val="right"/>
              <w:rPr>
                <w:sz w:val="14"/>
              </w:rPr>
            </w:pPr>
            <w:r>
              <w:rPr>
                <w:w w:val="70"/>
                <w:sz w:val="14"/>
              </w:rPr>
              <w:t>15.237</w:t>
            </w:r>
          </w:p>
        </w:tc>
        <w:tc>
          <w:tcPr>
            <w:tcW w:w="683" w:type="dxa"/>
          </w:tcPr>
          <w:p>
            <w:pPr>
              <w:pStyle w:val="TableParagraph"/>
              <w:spacing w:line="155" w:lineRule="exact" w:before="15"/>
              <w:ind w:right="113"/>
              <w:jc w:val="right"/>
              <w:rPr>
                <w:sz w:val="14"/>
              </w:rPr>
            </w:pPr>
            <w:r>
              <w:rPr>
                <w:w w:val="70"/>
                <w:sz w:val="14"/>
              </w:rPr>
              <w:t>8.795</w:t>
            </w:r>
          </w:p>
        </w:tc>
        <w:tc>
          <w:tcPr>
            <w:tcW w:w="692" w:type="dxa"/>
          </w:tcPr>
          <w:p>
            <w:pPr>
              <w:pStyle w:val="TableParagraph"/>
              <w:spacing w:line="155" w:lineRule="exact" w:before="15"/>
              <w:ind w:right="138"/>
              <w:jc w:val="right"/>
              <w:rPr>
                <w:sz w:val="14"/>
              </w:rPr>
            </w:pPr>
            <w:r>
              <w:rPr>
                <w:w w:val="70"/>
                <w:sz w:val="14"/>
              </w:rPr>
              <w:t>196.454</w:t>
            </w:r>
          </w:p>
        </w:tc>
        <w:tc>
          <w:tcPr>
            <w:tcW w:w="751" w:type="dxa"/>
          </w:tcPr>
          <w:p>
            <w:pPr>
              <w:pStyle w:val="TableParagraph"/>
              <w:spacing w:line="155" w:lineRule="exact" w:before="15"/>
              <w:ind w:right="137"/>
              <w:jc w:val="right"/>
              <w:rPr>
                <w:sz w:val="14"/>
              </w:rPr>
            </w:pPr>
            <w:r>
              <w:rPr>
                <w:w w:val="70"/>
                <w:sz w:val="14"/>
              </w:rPr>
              <w:t>488.018</w:t>
            </w:r>
          </w:p>
        </w:tc>
        <w:tc>
          <w:tcPr>
            <w:tcW w:w="672" w:type="dxa"/>
          </w:tcPr>
          <w:p>
            <w:pPr>
              <w:pStyle w:val="TableParagraph"/>
              <w:spacing w:line="155" w:lineRule="exact" w:before="15"/>
              <w:ind w:right="58"/>
              <w:jc w:val="right"/>
              <w:rPr>
                <w:sz w:val="14"/>
              </w:rPr>
            </w:pPr>
            <w:r>
              <w:rPr>
                <w:w w:val="70"/>
                <w:sz w:val="14"/>
              </w:rPr>
              <w:t>403.602</w:t>
            </w:r>
          </w:p>
        </w:tc>
      </w:tr>
      <w:tr>
        <w:trPr>
          <w:trHeight w:val="190" w:hRule="atLeast"/>
        </w:trPr>
        <w:tc>
          <w:tcPr>
            <w:tcW w:w="2689" w:type="dxa"/>
          </w:tcPr>
          <w:p>
            <w:pPr>
              <w:pStyle w:val="TableParagraph"/>
              <w:spacing w:line="155" w:lineRule="exact" w:before="15"/>
              <w:ind w:left="26"/>
              <w:rPr>
                <w:sz w:val="14"/>
              </w:rPr>
            </w:pPr>
            <w:r>
              <w:rPr>
                <w:w w:val="80"/>
                <w:sz w:val="14"/>
              </w:rPr>
              <w:t>Contas a Receber</w:t>
            </w:r>
          </w:p>
        </w:tc>
        <w:tc>
          <w:tcPr>
            <w:tcW w:w="250" w:type="dxa"/>
          </w:tcPr>
          <w:p>
            <w:pPr>
              <w:pStyle w:val="TableParagraph"/>
              <w:spacing w:line="155" w:lineRule="exact" w:before="15"/>
              <w:ind w:left="70"/>
              <w:jc w:val="center"/>
              <w:rPr>
                <w:sz w:val="14"/>
              </w:rPr>
            </w:pPr>
            <w:r>
              <w:rPr>
                <w:w w:val="76"/>
                <w:sz w:val="14"/>
              </w:rPr>
              <w:t>6</w:t>
            </w:r>
          </w:p>
        </w:tc>
        <w:tc>
          <w:tcPr>
            <w:tcW w:w="802" w:type="dxa"/>
          </w:tcPr>
          <w:p>
            <w:pPr>
              <w:pStyle w:val="TableParagraph"/>
              <w:spacing w:line="155" w:lineRule="exact" w:before="15"/>
              <w:ind w:right="177"/>
              <w:jc w:val="right"/>
              <w:rPr>
                <w:sz w:val="14"/>
              </w:rPr>
            </w:pPr>
            <w:r>
              <w:rPr>
                <w:w w:val="70"/>
                <w:sz w:val="14"/>
              </w:rPr>
              <w:t>18.526</w:t>
            </w:r>
          </w:p>
        </w:tc>
        <w:tc>
          <w:tcPr>
            <w:tcW w:w="734" w:type="dxa"/>
          </w:tcPr>
          <w:p>
            <w:pPr>
              <w:pStyle w:val="TableParagraph"/>
              <w:spacing w:line="155" w:lineRule="exact" w:before="15"/>
              <w:ind w:left="186" w:right="120"/>
              <w:jc w:val="center"/>
              <w:rPr>
                <w:sz w:val="14"/>
              </w:rPr>
            </w:pPr>
            <w:r>
              <w:rPr>
                <w:w w:val="80"/>
                <w:sz w:val="14"/>
              </w:rPr>
              <w:t>26.994</w:t>
            </w:r>
          </w:p>
        </w:tc>
        <w:tc>
          <w:tcPr>
            <w:tcW w:w="658" w:type="dxa"/>
          </w:tcPr>
          <w:p>
            <w:pPr>
              <w:pStyle w:val="TableParagraph"/>
              <w:spacing w:line="155" w:lineRule="exact" w:before="15"/>
              <w:ind w:right="100"/>
              <w:jc w:val="right"/>
              <w:rPr>
                <w:sz w:val="14"/>
              </w:rPr>
            </w:pPr>
            <w:r>
              <w:rPr>
                <w:w w:val="70"/>
                <w:sz w:val="14"/>
              </w:rPr>
              <w:t>15.323</w:t>
            </w:r>
          </w:p>
        </w:tc>
        <w:tc>
          <w:tcPr>
            <w:tcW w:w="700" w:type="dxa"/>
          </w:tcPr>
          <w:p>
            <w:pPr>
              <w:pStyle w:val="TableParagraph"/>
              <w:spacing w:line="155" w:lineRule="exact" w:before="15"/>
              <w:ind w:right="133"/>
              <w:jc w:val="right"/>
              <w:rPr>
                <w:sz w:val="14"/>
              </w:rPr>
            </w:pPr>
            <w:r>
              <w:rPr>
                <w:w w:val="70"/>
                <w:sz w:val="14"/>
              </w:rPr>
              <w:t>608.867</w:t>
            </w:r>
          </w:p>
        </w:tc>
        <w:tc>
          <w:tcPr>
            <w:tcW w:w="734" w:type="dxa"/>
          </w:tcPr>
          <w:p>
            <w:pPr>
              <w:pStyle w:val="TableParagraph"/>
              <w:spacing w:line="155" w:lineRule="exact" w:before="15"/>
              <w:ind w:right="132"/>
              <w:jc w:val="right"/>
              <w:rPr>
                <w:sz w:val="14"/>
              </w:rPr>
            </w:pPr>
            <w:r>
              <w:rPr>
                <w:w w:val="70"/>
                <w:sz w:val="14"/>
              </w:rPr>
              <w:t>622.655</w:t>
            </w:r>
          </w:p>
        </w:tc>
        <w:tc>
          <w:tcPr>
            <w:tcW w:w="666" w:type="dxa"/>
          </w:tcPr>
          <w:p>
            <w:pPr>
              <w:pStyle w:val="TableParagraph"/>
              <w:spacing w:line="155" w:lineRule="exact" w:before="15"/>
              <w:ind w:right="64"/>
              <w:jc w:val="right"/>
              <w:rPr>
                <w:sz w:val="14"/>
              </w:rPr>
            </w:pPr>
            <w:r>
              <w:rPr>
                <w:w w:val="70"/>
                <w:sz w:val="14"/>
              </w:rPr>
              <w:t>538.539</w:t>
            </w:r>
          </w:p>
        </w:tc>
        <w:tc>
          <w:tcPr>
            <w:tcW w:w="2819" w:type="dxa"/>
          </w:tcPr>
          <w:p>
            <w:pPr>
              <w:pStyle w:val="TableParagraph"/>
              <w:spacing w:line="155" w:lineRule="exact" w:before="15"/>
              <w:ind w:left="64"/>
              <w:rPr>
                <w:sz w:val="14"/>
              </w:rPr>
            </w:pPr>
            <w:r>
              <w:rPr>
                <w:w w:val="80"/>
                <w:sz w:val="14"/>
              </w:rPr>
              <w:t>Obrigações tributárias</w:t>
            </w:r>
          </w:p>
        </w:tc>
        <w:tc>
          <w:tcPr>
            <w:tcW w:w="279" w:type="dxa"/>
          </w:tcPr>
          <w:p>
            <w:pPr>
              <w:pStyle w:val="TableParagraph"/>
              <w:spacing w:line="155" w:lineRule="exact" w:before="15"/>
              <w:ind w:right="50"/>
              <w:jc w:val="right"/>
              <w:rPr>
                <w:sz w:val="14"/>
              </w:rPr>
            </w:pPr>
            <w:r>
              <w:rPr>
                <w:w w:val="75"/>
                <w:sz w:val="14"/>
              </w:rPr>
              <w:t>18</w:t>
            </w:r>
          </w:p>
        </w:tc>
        <w:tc>
          <w:tcPr>
            <w:tcW w:w="762" w:type="dxa"/>
          </w:tcPr>
          <w:p>
            <w:pPr>
              <w:pStyle w:val="TableParagraph"/>
              <w:spacing w:line="155" w:lineRule="exact" w:before="15"/>
              <w:ind w:right="182"/>
              <w:jc w:val="right"/>
              <w:rPr>
                <w:sz w:val="14"/>
              </w:rPr>
            </w:pPr>
            <w:r>
              <w:rPr>
                <w:w w:val="70"/>
                <w:sz w:val="14"/>
              </w:rPr>
              <w:t>5.557</w:t>
            </w:r>
          </w:p>
        </w:tc>
        <w:tc>
          <w:tcPr>
            <w:tcW w:w="751" w:type="dxa"/>
          </w:tcPr>
          <w:p>
            <w:pPr>
              <w:pStyle w:val="TableParagraph"/>
              <w:spacing w:line="155" w:lineRule="exact" w:before="15"/>
              <w:ind w:right="182"/>
              <w:jc w:val="right"/>
              <w:rPr>
                <w:sz w:val="14"/>
              </w:rPr>
            </w:pPr>
            <w:r>
              <w:rPr>
                <w:w w:val="70"/>
                <w:sz w:val="14"/>
              </w:rPr>
              <w:t>5.706</w:t>
            </w:r>
          </w:p>
        </w:tc>
        <w:tc>
          <w:tcPr>
            <w:tcW w:w="683" w:type="dxa"/>
          </w:tcPr>
          <w:p>
            <w:pPr>
              <w:pStyle w:val="TableParagraph"/>
              <w:spacing w:line="155" w:lineRule="exact" w:before="15"/>
              <w:ind w:right="113"/>
              <w:jc w:val="right"/>
              <w:rPr>
                <w:sz w:val="14"/>
              </w:rPr>
            </w:pPr>
            <w:r>
              <w:rPr>
                <w:w w:val="70"/>
                <w:sz w:val="14"/>
              </w:rPr>
              <w:t>5.488</w:t>
            </w:r>
          </w:p>
        </w:tc>
        <w:tc>
          <w:tcPr>
            <w:tcW w:w="692" w:type="dxa"/>
          </w:tcPr>
          <w:p>
            <w:pPr>
              <w:pStyle w:val="TableParagraph"/>
              <w:spacing w:line="155" w:lineRule="exact" w:before="15"/>
              <w:ind w:right="138"/>
              <w:jc w:val="right"/>
              <w:rPr>
                <w:sz w:val="14"/>
              </w:rPr>
            </w:pPr>
            <w:r>
              <w:rPr>
                <w:w w:val="70"/>
                <w:sz w:val="14"/>
              </w:rPr>
              <w:t>487.606</w:t>
            </w:r>
          </w:p>
        </w:tc>
        <w:tc>
          <w:tcPr>
            <w:tcW w:w="751" w:type="dxa"/>
          </w:tcPr>
          <w:p>
            <w:pPr>
              <w:pStyle w:val="TableParagraph"/>
              <w:spacing w:line="155" w:lineRule="exact" w:before="15"/>
              <w:ind w:right="137"/>
              <w:jc w:val="right"/>
              <w:rPr>
                <w:sz w:val="14"/>
              </w:rPr>
            </w:pPr>
            <w:r>
              <w:rPr>
                <w:w w:val="70"/>
                <w:sz w:val="14"/>
              </w:rPr>
              <w:t>220.970</w:t>
            </w:r>
          </w:p>
        </w:tc>
        <w:tc>
          <w:tcPr>
            <w:tcW w:w="672" w:type="dxa"/>
          </w:tcPr>
          <w:p>
            <w:pPr>
              <w:pStyle w:val="TableParagraph"/>
              <w:spacing w:line="155" w:lineRule="exact" w:before="15"/>
              <w:ind w:right="58"/>
              <w:jc w:val="right"/>
              <w:rPr>
                <w:sz w:val="14"/>
              </w:rPr>
            </w:pPr>
            <w:r>
              <w:rPr>
                <w:w w:val="70"/>
                <w:sz w:val="14"/>
              </w:rPr>
              <w:t>272.157</w:t>
            </w:r>
          </w:p>
        </w:tc>
      </w:tr>
      <w:tr>
        <w:trPr>
          <w:trHeight w:val="189" w:hRule="atLeast"/>
        </w:trPr>
        <w:tc>
          <w:tcPr>
            <w:tcW w:w="2689" w:type="dxa"/>
          </w:tcPr>
          <w:p>
            <w:pPr>
              <w:pStyle w:val="TableParagraph"/>
              <w:spacing w:line="154" w:lineRule="exact" w:before="15"/>
              <w:ind w:left="26"/>
              <w:rPr>
                <w:sz w:val="14"/>
              </w:rPr>
            </w:pPr>
            <w:r>
              <w:rPr>
                <w:w w:val="80"/>
                <w:sz w:val="14"/>
              </w:rPr>
              <w:t>Depósitos e Bloqueios Judiciais</w:t>
            </w:r>
          </w:p>
        </w:tc>
        <w:tc>
          <w:tcPr>
            <w:tcW w:w="250" w:type="dxa"/>
          </w:tcPr>
          <w:p>
            <w:pPr>
              <w:pStyle w:val="TableParagraph"/>
              <w:spacing w:line="154" w:lineRule="exact" w:before="15"/>
              <w:ind w:left="49" w:right="35"/>
              <w:jc w:val="center"/>
              <w:rPr>
                <w:sz w:val="14"/>
              </w:rPr>
            </w:pPr>
            <w:r>
              <w:rPr>
                <w:w w:val="85"/>
                <w:sz w:val="14"/>
              </w:rPr>
              <w:t>10</w:t>
            </w:r>
          </w:p>
        </w:tc>
        <w:tc>
          <w:tcPr>
            <w:tcW w:w="802" w:type="dxa"/>
          </w:tcPr>
          <w:p>
            <w:pPr>
              <w:pStyle w:val="TableParagraph"/>
              <w:spacing w:line="154" w:lineRule="exact" w:before="15"/>
              <w:ind w:right="174"/>
              <w:jc w:val="right"/>
              <w:rPr>
                <w:sz w:val="14"/>
              </w:rPr>
            </w:pPr>
            <w:r>
              <w:rPr>
                <w:w w:val="75"/>
                <w:sz w:val="14"/>
              </w:rPr>
              <w:t>111</w:t>
            </w:r>
          </w:p>
        </w:tc>
        <w:tc>
          <w:tcPr>
            <w:tcW w:w="734" w:type="dxa"/>
          </w:tcPr>
          <w:p>
            <w:pPr>
              <w:pStyle w:val="TableParagraph"/>
              <w:spacing w:line="154" w:lineRule="exact" w:before="15"/>
              <w:ind w:left="212" w:right="8"/>
              <w:jc w:val="center"/>
              <w:rPr>
                <w:sz w:val="14"/>
              </w:rPr>
            </w:pPr>
            <w:r>
              <w:rPr>
                <w:w w:val="85"/>
                <w:sz w:val="14"/>
              </w:rPr>
              <w:t>111</w:t>
            </w:r>
          </w:p>
        </w:tc>
        <w:tc>
          <w:tcPr>
            <w:tcW w:w="658" w:type="dxa"/>
          </w:tcPr>
          <w:p>
            <w:pPr>
              <w:pStyle w:val="TableParagraph"/>
              <w:spacing w:line="154" w:lineRule="exact" w:before="15"/>
              <w:ind w:right="97"/>
              <w:jc w:val="right"/>
              <w:rPr>
                <w:sz w:val="14"/>
              </w:rPr>
            </w:pPr>
            <w:r>
              <w:rPr>
                <w:w w:val="75"/>
                <w:sz w:val="14"/>
              </w:rPr>
              <w:t>95</w:t>
            </w:r>
          </w:p>
        </w:tc>
        <w:tc>
          <w:tcPr>
            <w:tcW w:w="700" w:type="dxa"/>
          </w:tcPr>
          <w:p>
            <w:pPr>
              <w:pStyle w:val="TableParagraph"/>
              <w:spacing w:line="154" w:lineRule="exact" w:before="15"/>
              <w:ind w:right="130"/>
              <w:jc w:val="right"/>
              <w:rPr>
                <w:sz w:val="14"/>
              </w:rPr>
            </w:pPr>
            <w:r>
              <w:rPr>
                <w:w w:val="75"/>
                <w:sz w:val="14"/>
              </w:rPr>
              <w:t>121</w:t>
            </w:r>
          </w:p>
        </w:tc>
        <w:tc>
          <w:tcPr>
            <w:tcW w:w="734" w:type="dxa"/>
          </w:tcPr>
          <w:p>
            <w:pPr>
              <w:pStyle w:val="TableParagraph"/>
              <w:spacing w:line="154" w:lineRule="exact" w:before="15"/>
              <w:ind w:right="132"/>
              <w:jc w:val="right"/>
              <w:rPr>
                <w:sz w:val="14"/>
              </w:rPr>
            </w:pPr>
            <w:r>
              <w:rPr>
                <w:w w:val="70"/>
                <w:sz w:val="14"/>
              </w:rPr>
              <w:t>2.552</w:t>
            </w:r>
          </w:p>
        </w:tc>
        <w:tc>
          <w:tcPr>
            <w:tcW w:w="666" w:type="dxa"/>
          </w:tcPr>
          <w:p>
            <w:pPr>
              <w:pStyle w:val="TableParagraph"/>
              <w:spacing w:line="154" w:lineRule="exact" w:before="15"/>
              <w:ind w:right="63"/>
              <w:jc w:val="right"/>
              <w:rPr>
                <w:sz w:val="14"/>
              </w:rPr>
            </w:pPr>
            <w:r>
              <w:rPr>
                <w:w w:val="70"/>
                <w:sz w:val="14"/>
              </w:rPr>
              <w:t>5.385</w:t>
            </w:r>
          </w:p>
        </w:tc>
        <w:tc>
          <w:tcPr>
            <w:tcW w:w="2819" w:type="dxa"/>
          </w:tcPr>
          <w:p>
            <w:pPr>
              <w:pStyle w:val="TableParagraph"/>
              <w:spacing w:line="154" w:lineRule="exact" w:before="15"/>
              <w:ind w:left="64"/>
              <w:rPr>
                <w:sz w:val="14"/>
              </w:rPr>
            </w:pPr>
            <w:r>
              <w:rPr>
                <w:w w:val="80"/>
                <w:sz w:val="14"/>
              </w:rPr>
              <w:t>Contribuição de iluminação pública</w:t>
            </w:r>
          </w:p>
        </w:tc>
        <w:tc>
          <w:tcPr>
            <w:tcW w:w="279" w:type="dxa"/>
          </w:tcPr>
          <w:p>
            <w:pPr>
              <w:pStyle w:val="TableParagraph"/>
              <w:spacing w:line="154" w:lineRule="exact" w:before="15"/>
              <w:ind w:right="50"/>
              <w:jc w:val="right"/>
              <w:rPr>
                <w:sz w:val="14"/>
              </w:rPr>
            </w:pPr>
            <w:r>
              <w:rPr>
                <w:w w:val="75"/>
                <w:sz w:val="14"/>
              </w:rPr>
              <w:t>19</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4" w:lineRule="exact" w:before="15"/>
              <w:ind w:right="138"/>
              <w:jc w:val="right"/>
              <w:rPr>
                <w:sz w:val="14"/>
              </w:rPr>
            </w:pPr>
            <w:r>
              <w:rPr>
                <w:w w:val="70"/>
                <w:sz w:val="14"/>
              </w:rPr>
              <w:t>41.898</w:t>
            </w:r>
          </w:p>
        </w:tc>
        <w:tc>
          <w:tcPr>
            <w:tcW w:w="751" w:type="dxa"/>
          </w:tcPr>
          <w:p>
            <w:pPr>
              <w:pStyle w:val="TableParagraph"/>
              <w:spacing w:line="154" w:lineRule="exact" w:before="15"/>
              <w:ind w:right="137"/>
              <w:jc w:val="right"/>
              <w:rPr>
                <w:sz w:val="14"/>
              </w:rPr>
            </w:pPr>
            <w:r>
              <w:rPr>
                <w:w w:val="70"/>
                <w:sz w:val="14"/>
              </w:rPr>
              <w:t>96.866</w:t>
            </w:r>
          </w:p>
        </w:tc>
        <w:tc>
          <w:tcPr>
            <w:tcW w:w="672" w:type="dxa"/>
          </w:tcPr>
          <w:p>
            <w:pPr>
              <w:pStyle w:val="TableParagraph"/>
              <w:spacing w:line="154" w:lineRule="exact" w:before="15"/>
              <w:ind w:right="58"/>
              <w:jc w:val="right"/>
              <w:rPr>
                <w:sz w:val="14"/>
              </w:rPr>
            </w:pPr>
            <w:r>
              <w:rPr>
                <w:w w:val="70"/>
                <w:sz w:val="14"/>
              </w:rPr>
              <w:t>79.130</w:t>
            </w:r>
          </w:p>
        </w:tc>
      </w:tr>
      <w:tr>
        <w:trPr>
          <w:trHeight w:val="189" w:hRule="atLeast"/>
        </w:trPr>
        <w:tc>
          <w:tcPr>
            <w:tcW w:w="2689" w:type="dxa"/>
          </w:tcPr>
          <w:p>
            <w:pPr>
              <w:pStyle w:val="TableParagraph"/>
              <w:spacing w:line="155" w:lineRule="exact" w:before="15"/>
              <w:ind w:left="26"/>
              <w:rPr>
                <w:sz w:val="14"/>
              </w:rPr>
            </w:pPr>
            <w:r>
              <w:rPr>
                <w:w w:val="80"/>
                <w:sz w:val="14"/>
              </w:rPr>
              <w:t>Estoques</w:t>
            </w:r>
          </w:p>
        </w:tc>
        <w:tc>
          <w:tcPr>
            <w:tcW w:w="250" w:type="dxa"/>
          </w:tcPr>
          <w:p>
            <w:pPr>
              <w:pStyle w:val="TableParagraph"/>
              <w:rPr>
                <w:rFonts w:ascii="Times New Roman"/>
                <w:sz w:val="10"/>
              </w:rPr>
            </w:pPr>
          </w:p>
        </w:tc>
        <w:tc>
          <w:tcPr>
            <w:tcW w:w="802" w:type="dxa"/>
          </w:tcPr>
          <w:p>
            <w:pPr>
              <w:pStyle w:val="TableParagraph"/>
              <w:spacing w:line="155" w:lineRule="exact" w:before="15"/>
              <w:ind w:right="174"/>
              <w:jc w:val="right"/>
              <w:rPr>
                <w:sz w:val="14"/>
              </w:rPr>
            </w:pPr>
            <w:r>
              <w:rPr>
                <w:w w:val="75"/>
                <w:sz w:val="14"/>
              </w:rPr>
              <w:t>705</w:t>
            </w:r>
          </w:p>
        </w:tc>
        <w:tc>
          <w:tcPr>
            <w:tcW w:w="734" w:type="dxa"/>
          </w:tcPr>
          <w:p>
            <w:pPr>
              <w:pStyle w:val="TableParagraph"/>
              <w:spacing w:line="155" w:lineRule="exact" w:before="15"/>
              <w:ind w:left="212" w:right="8"/>
              <w:jc w:val="center"/>
              <w:rPr>
                <w:sz w:val="14"/>
              </w:rPr>
            </w:pPr>
            <w:r>
              <w:rPr>
                <w:w w:val="85"/>
                <w:sz w:val="14"/>
              </w:rPr>
              <w:t>595</w:t>
            </w:r>
          </w:p>
        </w:tc>
        <w:tc>
          <w:tcPr>
            <w:tcW w:w="658" w:type="dxa"/>
          </w:tcPr>
          <w:p>
            <w:pPr>
              <w:pStyle w:val="TableParagraph"/>
              <w:spacing w:line="155" w:lineRule="exact" w:before="15"/>
              <w:ind w:right="97"/>
              <w:jc w:val="right"/>
              <w:rPr>
                <w:sz w:val="14"/>
              </w:rPr>
            </w:pPr>
            <w:r>
              <w:rPr>
                <w:w w:val="75"/>
                <w:sz w:val="14"/>
              </w:rPr>
              <w:t>565</w:t>
            </w:r>
          </w:p>
        </w:tc>
        <w:tc>
          <w:tcPr>
            <w:tcW w:w="700" w:type="dxa"/>
          </w:tcPr>
          <w:p>
            <w:pPr>
              <w:pStyle w:val="TableParagraph"/>
              <w:spacing w:line="155" w:lineRule="exact" w:before="15"/>
              <w:ind w:right="133"/>
              <w:jc w:val="right"/>
              <w:rPr>
                <w:sz w:val="14"/>
              </w:rPr>
            </w:pPr>
            <w:r>
              <w:rPr>
                <w:w w:val="70"/>
                <w:sz w:val="14"/>
              </w:rPr>
              <w:t>10.322</w:t>
            </w:r>
          </w:p>
        </w:tc>
        <w:tc>
          <w:tcPr>
            <w:tcW w:w="734" w:type="dxa"/>
          </w:tcPr>
          <w:p>
            <w:pPr>
              <w:pStyle w:val="TableParagraph"/>
              <w:spacing w:line="155" w:lineRule="exact" w:before="15"/>
              <w:ind w:right="132"/>
              <w:jc w:val="right"/>
              <w:rPr>
                <w:sz w:val="14"/>
              </w:rPr>
            </w:pPr>
            <w:r>
              <w:rPr>
                <w:w w:val="70"/>
                <w:sz w:val="14"/>
              </w:rPr>
              <w:t>8.437</w:t>
            </w:r>
          </w:p>
        </w:tc>
        <w:tc>
          <w:tcPr>
            <w:tcW w:w="666" w:type="dxa"/>
          </w:tcPr>
          <w:p>
            <w:pPr>
              <w:pStyle w:val="TableParagraph"/>
              <w:spacing w:line="155" w:lineRule="exact" w:before="15"/>
              <w:ind w:right="63"/>
              <w:jc w:val="right"/>
              <w:rPr>
                <w:sz w:val="14"/>
              </w:rPr>
            </w:pPr>
            <w:r>
              <w:rPr>
                <w:w w:val="70"/>
                <w:sz w:val="14"/>
              </w:rPr>
              <w:t>7.846</w:t>
            </w:r>
          </w:p>
        </w:tc>
        <w:tc>
          <w:tcPr>
            <w:tcW w:w="2819" w:type="dxa"/>
          </w:tcPr>
          <w:p>
            <w:pPr>
              <w:pStyle w:val="TableParagraph"/>
              <w:spacing w:line="155" w:lineRule="exact" w:before="15"/>
              <w:ind w:left="64"/>
              <w:rPr>
                <w:sz w:val="14"/>
              </w:rPr>
            </w:pPr>
            <w:r>
              <w:rPr>
                <w:w w:val="80"/>
                <w:sz w:val="14"/>
              </w:rPr>
              <w:t>Encargos regulatórios</w:t>
            </w:r>
          </w:p>
        </w:tc>
        <w:tc>
          <w:tcPr>
            <w:tcW w:w="279" w:type="dxa"/>
          </w:tcPr>
          <w:p>
            <w:pPr>
              <w:pStyle w:val="TableParagraph"/>
              <w:spacing w:line="155" w:lineRule="exact" w:before="15"/>
              <w:ind w:right="50"/>
              <w:jc w:val="right"/>
              <w:rPr>
                <w:sz w:val="14"/>
              </w:rPr>
            </w:pPr>
            <w:r>
              <w:rPr>
                <w:w w:val="75"/>
                <w:sz w:val="14"/>
              </w:rPr>
              <w:t>20</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5" w:lineRule="exact" w:before="15"/>
              <w:ind w:right="138"/>
              <w:jc w:val="right"/>
              <w:rPr>
                <w:sz w:val="14"/>
              </w:rPr>
            </w:pPr>
            <w:r>
              <w:rPr>
                <w:w w:val="70"/>
                <w:sz w:val="14"/>
              </w:rPr>
              <w:t>81.882</w:t>
            </w:r>
          </w:p>
        </w:tc>
        <w:tc>
          <w:tcPr>
            <w:tcW w:w="751" w:type="dxa"/>
          </w:tcPr>
          <w:p>
            <w:pPr>
              <w:pStyle w:val="TableParagraph"/>
              <w:spacing w:line="155" w:lineRule="exact" w:before="15"/>
              <w:ind w:right="137"/>
              <w:jc w:val="right"/>
              <w:rPr>
                <w:sz w:val="14"/>
              </w:rPr>
            </w:pPr>
            <w:r>
              <w:rPr>
                <w:w w:val="70"/>
                <w:sz w:val="14"/>
              </w:rPr>
              <w:t>90.107</w:t>
            </w:r>
          </w:p>
        </w:tc>
        <w:tc>
          <w:tcPr>
            <w:tcW w:w="672" w:type="dxa"/>
          </w:tcPr>
          <w:p>
            <w:pPr>
              <w:pStyle w:val="TableParagraph"/>
              <w:spacing w:line="155" w:lineRule="exact" w:before="15"/>
              <w:ind w:right="58"/>
              <w:jc w:val="right"/>
              <w:rPr>
                <w:sz w:val="14"/>
              </w:rPr>
            </w:pPr>
            <w:r>
              <w:rPr>
                <w:w w:val="70"/>
                <w:sz w:val="14"/>
              </w:rPr>
              <w:t>101.030</w:t>
            </w:r>
          </w:p>
        </w:tc>
      </w:tr>
      <w:tr>
        <w:trPr>
          <w:trHeight w:val="190" w:hRule="atLeast"/>
        </w:trPr>
        <w:tc>
          <w:tcPr>
            <w:tcW w:w="2689" w:type="dxa"/>
          </w:tcPr>
          <w:p>
            <w:pPr>
              <w:pStyle w:val="TableParagraph"/>
              <w:spacing w:line="155" w:lineRule="exact" w:before="15"/>
              <w:ind w:left="26"/>
              <w:rPr>
                <w:sz w:val="14"/>
              </w:rPr>
            </w:pPr>
            <w:r>
              <w:rPr>
                <w:w w:val="80"/>
                <w:sz w:val="14"/>
              </w:rPr>
              <w:t>Tributos e Contribuições Compensáveis</w:t>
            </w:r>
          </w:p>
        </w:tc>
        <w:tc>
          <w:tcPr>
            <w:tcW w:w="250" w:type="dxa"/>
          </w:tcPr>
          <w:p>
            <w:pPr>
              <w:pStyle w:val="TableParagraph"/>
              <w:spacing w:line="155" w:lineRule="exact" w:before="15"/>
              <w:ind w:left="70"/>
              <w:jc w:val="center"/>
              <w:rPr>
                <w:sz w:val="14"/>
              </w:rPr>
            </w:pPr>
            <w:r>
              <w:rPr>
                <w:w w:val="76"/>
                <w:sz w:val="14"/>
              </w:rPr>
              <w:t>7</w:t>
            </w:r>
          </w:p>
        </w:tc>
        <w:tc>
          <w:tcPr>
            <w:tcW w:w="802" w:type="dxa"/>
          </w:tcPr>
          <w:p>
            <w:pPr>
              <w:pStyle w:val="TableParagraph"/>
              <w:spacing w:line="155" w:lineRule="exact" w:before="15"/>
              <w:ind w:right="177"/>
              <w:jc w:val="right"/>
              <w:rPr>
                <w:sz w:val="14"/>
              </w:rPr>
            </w:pPr>
            <w:r>
              <w:rPr>
                <w:w w:val="70"/>
                <w:sz w:val="14"/>
              </w:rPr>
              <w:t>4.806</w:t>
            </w:r>
          </w:p>
        </w:tc>
        <w:tc>
          <w:tcPr>
            <w:tcW w:w="734" w:type="dxa"/>
          </w:tcPr>
          <w:p>
            <w:pPr>
              <w:pStyle w:val="TableParagraph"/>
              <w:spacing w:line="155" w:lineRule="exact" w:before="15"/>
              <w:ind w:left="212" w:right="87"/>
              <w:jc w:val="center"/>
              <w:rPr>
                <w:sz w:val="14"/>
              </w:rPr>
            </w:pPr>
            <w:r>
              <w:rPr>
                <w:w w:val="80"/>
                <w:sz w:val="14"/>
              </w:rPr>
              <w:t>4.684</w:t>
            </w:r>
          </w:p>
        </w:tc>
        <w:tc>
          <w:tcPr>
            <w:tcW w:w="658" w:type="dxa"/>
          </w:tcPr>
          <w:p>
            <w:pPr>
              <w:pStyle w:val="TableParagraph"/>
              <w:spacing w:line="155" w:lineRule="exact" w:before="15"/>
              <w:ind w:right="100"/>
              <w:jc w:val="right"/>
              <w:rPr>
                <w:sz w:val="14"/>
              </w:rPr>
            </w:pPr>
            <w:r>
              <w:rPr>
                <w:w w:val="70"/>
                <w:sz w:val="14"/>
              </w:rPr>
              <w:t>1.758</w:t>
            </w:r>
          </w:p>
        </w:tc>
        <w:tc>
          <w:tcPr>
            <w:tcW w:w="700" w:type="dxa"/>
          </w:tcPr>
          <w:p>
            <w:pPr>
              <w:pStyle w:val="TableParagraph"/>
              <w:spacing w:line="155" w:lineRule="exact" w:before="15"/>
              <w:ind w:right="133"/>
              <w:jc w:val="right"/>
              <w:rPr>
                <w:sz w:val="14"/>
              </w:rPr>
            </w:pPr>
            <w:r>
              <w:rPr>
                <w:w w:val="70"/>
                <w:sz w:val="14"/>
              </w:rPr>
              <w:t>24.040</w:t>
            </w:r>
          </w:p>
        </w:tc>
        <w:tc>
          <w:tcPr>
            <w:tcW w:w="734" w:type="dxa"/>
          </w:tcPr>
          <w:p>
            <w:pPr>
              <w:pStyle w:val="TableParagraph"/>
              <w:spacing w:line="155" w:lineRule="exact" w:before="15"/>
              <w:ind w:right="132"/>
              <w:jc w:val="right"/>
              <w:rPr>
                <w:sz w:val="14"/>
              </w:rPr>
            </w:pPr>
            <w:r>
              <w:rPr>
                <w:w w:val="70"/>
                <w:sz w:val="14"/>
              </w:rPr>
              <w:t>23.169</w:t>
            </w:r>
          </w:p>
        </w:tc>
        <w:tc>
          <w:tcPr>
            <w:tcW w:w="666" w:type="dxa"/>
          </w:tcPr>
          <w:p>
            <w:pPr>
              <w:pStyle w:val="TableParagraph"/>
              <w:spacing w:line="155" w:lineRule="exact" w:before="15"/>
              <w:ind w:right="63"/>
              <w:jc w:val="right"/>
              <w:rPr>
                <w:sz w:val="14"/>
              </w:rPr>
            </w:pPr>
            <w:r>
              <w:rPr>
                <w:w w:val="70"/>
                <w:sz w:val="14"/>
              </w:rPr>
              <w:t>44.850</w:t>
            </w:r>
          </w:p>
        </w:tc>
        <w:tc>
          <w:tcPr>
            <w:tcW w:w="2819" w:type="dxa"/>
          </w:tcPr>
          <w:p>
            <w:pPr>
              <w:pStyle w:val="TableParagraph"/>
              <w:spacing w:line="155" w:lineRule="exact" w:before="15"/>
              <w:ind w:left="64"/>
              <w:rPr>
                <w:sz w:val="14"/>
              </w:rPr>
            </w:pPr>
            <w:r>
              <w:rPr>
                <w:w w:val="80"/>
                <w:sz w:val="14"/>
              </w:rPr>
              <w:t>Debêntures</w:t>
            </w:r>
          </w:p>
        </w:tc>
        <w:tc>
          <w:tcPr>
            <w:tcW w:w="279" w:type="dxa"/>
          </w:tcPr>
          <w:p>
            <w:pPr>
              <w:pStyle w:val="TableParagraph"/>
              <w:spacing w:line="155" w:lineRule="exact" w:before="15"/>
              <w:ind w:right="50"/>
              <w:jc w:val="right"/>
              <w:rPr>
                <w:sz w:val="14"/>
              </w:rPr>
            </w:pPr>
            <w:r>
              <w:rPr>
                <w:w w:val="75"/>
                <w:sz w:val="14"/>
              </w:rPr>
              <w:t>21</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5" w:lineRule="exact" w:before="15"/>
              <w:ind w:right="138"/>
              <w:jc w:val="right"/>
              <w:rPr>
                <w:sz w:val="14"/>
              </w:rPr>
            </w:pPr>
            <w:r>
              <w:rPr>
                <w:w w:val="70"/>
                <w:sz w:val="14"/>
              </w:rPr>
              <w:t>26.814</w:t>
            </w:r>
          </w:p>
        </w:tc>
        <w:tc>
          <w:tcPr>
            <w:tcW w:w="751" w:type="dxa"/>
          </w:tcPr>
          <w:p>
            <w:pPr>
              <w:pStyle w:val="TableParagraph"/>
              <w:spacing w:line="155" w:lineRule="exact" w:before="15"/>
              <w:ind w:right="137"/>
              <w:jc w:val="right"/>
              <w:rPr>
                <w:sz w:val="14"/>
              </w:rPr>
            </w:pPr>
            <w:r>
              <w:rPr>
                <w:w w:val="70"/>
                <w:sz w:val="14"/>
              </w:rPr>
              <w:t>247.778</w:t>
            </w:r>
          </w:p>
        </w:tc>
        <w:tc>
          <w:tcPr>
            <w:tcW w:w="672" w:type="dxa"/>
          </w:tcPr>
          <w:p>
            <w:pPr>
              <w:pStyle w:val="TableParagraph"/>
              <w:spacing w:line="155" w:lineRule="exact" w:before="15"/>
              <w:ind w:right="58"/>
              <w:jc w:val="right"/>
              <w:rPr>
                <w:sz w:val="14"/>
              </w:rPr>
            </w:pPr>
            <w:r>
              <w:rPr>
                <w:w w:val="70"/>
                <w:sz w:val="14"/>
              </w:rPr>
              <w:t>64.641</w:t>
            </w:r>
          </w:p>
        </w:tc>
      </w:tr>
      <w:tr>
        <w:trPr>
          <w:trHeight w:val="189" w:hRule="atLeast"/>
        </w:trPr>
        <w:tc>
          <w:tcPr>
            <w:tcW w:w="2689" w:type="dxa"/>
          </w:tcPr>
          <w:p>
            <w:pPr>
              <w:pStyle w:val="TableParagraph"/>
              <w:spacing w:line="154" w:lineRule="exact" w:before="15"/>
              <w:ind w:left="26"/>
              <w:rPr>
                <w:sz w:val="14"/>
              </w:rPr>
            </w:pPr>
            <w:r>
              <w:rPr>
                <w:w w:val="75"/>
                <w:sz w:val="14"/>
              </w:rPr>
              <w:t>Valores</w:t>
            </w:r>
            <w:r>
              <w:rPr>
                <w:spacing w:val="-21"/>
                <w:w w:val="75"/>
                <w:sz w:val="14"/>
              </w:rPr>
              <w:t> </w:t>
            </w:r>
            <w:r>
              <w:rPr>
                <w:w w:val="75"/>
                <w:sz w:val="14"/>
              </w:rPr>
              <w:t>a</w:t>
            </w:r>
            <w:r>
              <w:rPr>
                <w:spacing w:val="-19"/>
                <w:w w:val="75"/>
                <w:sz w:val="14"/>
              </w:rPr>
              <w:t> </w:t>
            </w:r>
            <w:r>
              <w:rPr>
                <w:w w:val="75"/>
                <w:sz w:val="14"/>
              </w:rPr>
              <w:t>Receber</w:t>
            </w:r>
            <w:r>
              <w:rPr>
                <w:spacing w:val="-19"/>
                <w:w w:val="75"/>
                <w:sz w:val="14"/>
              </w:rPr>
              <w:t> </w:t>
            </w:r>
            <w:r>
              <w:rPr>
                <w:w w:val="75"/>
                <w:sz w:val="14"/>
              </w:rPr>
              <w:t>de</w:t>
            </w:r>
            <w:r>
              <w:rPr>
                <w:spacing w:val="-19"/>
                <w:w w:val="75"/>
                <w:sz w:val="14"/>
              </w:rPr>
              <w:t> </w:t>
            </w:r>
            <w:r>
              <w:rPr>
                <w:w w:val="75"/>
                <w:sz w:val="14"/>
              </w:rPr>
              <w:t>Parcela</w:t>
            </w:r>
            <w:r>
              <w:rPr>
                <w:spacing w:val="-19"/>
                <w:w w:val="75"/>
                <w:sz w:val="14"/>
              </w:rPr>
              <w:t> </w:t>
            </w:r>
            <w:r>
              <w:rPr>
                <w:w w:val="75"/>
                <w:sz w:val="14"/>
              </w:rPr>
              <w:t>"A"</w:t>
            </w:r>
            <w:r>
              <w:rPr>
                <w:spacing w:val="-18"/>
                <w:w w:val="75"/>
                <w:sz w:val="14"/>
              </w:rPr>
              <w:t> </w:t>
            </w:r>
            <w:r>
              <w:rPr>
                <w:w w:val="75"/>
                <w:sz w:val="14"/>
              </w:rPr>
              <w:t>e</w:t>
            </w:r>
            <w:r>
              <w:rPr>
                <w:spacing w:val="-19"/>
                <w:w w:val="75"/>
                <w:sz w:val="14"/>
              </w:rPr>
              <w:t> </w:t>
            </w:r>
            <w:r>
              <w:rPr>
                <w:w w:val="75"/>
                <w:sz w:val="14"/>
              </w:rPr>
              <w:t>Outros</w:t>
            </w:r>
            <w:r>
              <w:rPr>
                <w:spacing w:val="-21"/>
                <w:w w:val="75"/>
                <w:sz w:val="14"/>
              </w:rPr>
              <w:t> </w:t>
            </w:r>
            <w:r>
              <w:rPr>
                <w:w w:val="75"/>
                <w:sz w:val="14"/>
              </w:rPr>
              <w:t>Itens</w:t>
            </w:r>
            <w:r>
              <w:rPr>
                <w:spacing w:val="-20"/>
                <w:w w:val="75"/>
                <w:sz w:val="14"/>
              </w:rPr>
              <w:t> </w:t>
            </w:r>
            <w:r>
              <w:rPr>
                <w:w w:val="75"/>
                <w:sz w:val="14"/>
              </w:rPr>
              <w:t>Financeiros</w:t>
            </w:r>
          </w:p>
        </w:tc>
        <w:tc>
          <w:tcPr>
            <w:tcW w:w="250" w:type="dxa"/>
          </w:tcPr>
          <w:p>
            <w:pPr>
              <w:pStyle w:val="TableParagraph"/>
              <w:spacing w:line="154" w:lineRule="exact" w:before="15"/>
              <w:ind w:left="70"/>
              <w:jc w:val="center"/>
              <w:rPr>
                <w:sz w:val="14"/>
              </w:rPr>
            </w:pPr>
            <w:r>
              <w:rPr>
                <w:w w:val="76"/>
                <w:sz w:val="14"/>
              </w:rPr>
              <w:t>8</w:t>
            </w: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spacing w:line="154" w:lineRule="exact" w:before="15"/>
              <w:ind w:right="133"/>
              <w:jc w:val="right"/>
              <w:rPr>
                <w:sz w:val="14"/>
              </w:rPr>
            </w:pPr>
            <w:r>
              <w:rPr>
                <w:w w:val="70"/>
                <w:sz w:val="14"/>
              </w:rPr>
              <w:t>503.161</w:t>
            </w:r>
          </w:p>
        </w:tc>
        <w:tc>
          <w:tcPr>
            <w:tcW w:w="734" w:type="dxa"/>
          </w:tcPr>
          <w:p>
            <w:pPr>
              <w:pStyle w:val="TableParagraph"/>
              <w:spacing w:line="154" w:lineRule="exact" w:before="15"/>
              <w:ind w:right="132"/>
              <w:jc w:val="right"/>
              <w:rPr>
                <w:sz w:val="14"/>
              </w:rPr>
            </w:pPr>
            <w:r>
              <w:rPr>
                <w:w w:val="70"/>
                <w:sz w:val="14"/>
              </w:rPr>
              <w:t>862.704</w:t>
            </w:r>
          </w:p>
        </w:tc>
        <w:tc>
          <w:tcPr>
            <w:tcW w:w="666" w:type="dxa"/>
          </w:tcPr>
          <w:p>
            <w:pPr>
              <w:pStyle w:val="TableParagraph"/>
              <w:spacing w:line="154" w:lineRule="exact" w:before="15"/>
              <w:ind w:right="64"/>
              <w:jc w:val="right"/>
              <w:rPr>
                <w:sz w:val="14"/>
              </w:rPr>
            </w:pPr>
            <w:r>
              <w:rPr>
                <w:w w:val="70"/>
                <w:sz w:val="14"/>
              </w:rPr>
              <w:t>922.669</w:t>
            </w:r>
          </w:p>
        </w:tc>
        <w:tc>
          <w:tcPr>
            <w:tcW w:w="2819" w:type="dxa"/>
          </w:tcPr>
          <w:p>
            <w:pPr>
              <w:pStyle w:val="TableParagraph"/>
              <w:spacing w:line="154" w:lineRule="exact" w:before="15"/>
              <w:ind w:left="64"/>
              <w:rPr>
                <w:sz w:val="14"/>
              </w:rPr>
            </w:pPr>
            <w:r>
              <w:rPr>
                <w:w w:val="80"/>
                <w:sz w:val="14"/>
              </w:rPr>
              <w:t>Empréstimos e financiamentos</w:t>
            </w:r>
          </w:p>
        </w:tc>
        <w:tc>
          <w:tcPr>
            <w:tcW w:w="279" w:type="dxa"/>
          </w:tcPr>
          <w:p>
            <w:pPr>
              <w:pStyle w:val="TableParagraph"/>
              <w:spacing w:line="154" w:lineRule="exact" w:before="15"/>
              <w:ind w:right="50"/>
              <w:jc w:val="right"/>
              <w:rPr>
                <w:sz w:val="14"/>
              </w:rPr>
            </w:pPr>
            <w:r>
              <w:rPr>
                <w:w w:val="75"/>
                <w:sz w:val="14"/>
              </w:rPr>
              <w:t>22</w:t>
            </w:r>
          </w:p>
        </w:tc>
        <w:tc>
          <w:tcPr>
            <w:tcW w:w="762" w:type="dxa"/>
          </w:tcPr>
          <w:p>
            <w:pPr>
              <w:pStyle w:val="TableParagraph"/>
              <w:spacing w:line="154" w:lineRule="exact" w:before="15"/>
              <w:ind w:right="182"/>
              <w:jc w:val="right"/>
              <w:rPr>
                <w:sz w:val="14"/>
              </w:rPr>
            </w:pPr>
            <w:r>
              <w:rPr>
                <w:w w:val="70"/>
                <w:sz w:val="14"/>
              </w:rPr>
              <w:t>21.633</w:t>
            </w: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4" w:lineRule="exact" w:before="15"/>
              <w:ind w:right="138"/>
              <w:jc w:val="right"/>
              <w:rPr>
                <w:sz w:val="14"/>
              </w:rPr>
            </w:pPr>
            <w:r>
              <w:rPr>
                <w:w w:val="70"/>
                <w:sz w:val="14"/>
              </w:rPr>
              <w:t>120.833</w:t>
            </w:r>
          </w:p>
        </w:tc>
        <w:tc>
          <w:tcPr>
            <w:tcW w:w="751" w:type="dxa"/>
          </w:tcPr>
          <w:p>
            <w:pPr>
              <w:pStyle w:val="TableParagraph"/>
              <w:spacing w:line="154" w:lineRule="exact" w:before="15"/>
              <w:ind w:right="137"/>
              <w:jc w:val="right"/>
              <w:rPr>
                <w:sz w:val="14"/>
              </w:rPr>
            </w:pPr>
            <w:r>
              <w:rPr>
                <w:w w:val="70"/>
                <w:sz w:val="14"/>
              </w:rPr>
              <w:t>86.069</w:t>
            </w:r>
          </w:p>
        </w:tc>
        <w:tc>
          <w:tcPr>
            <w:tcW w:w="672" w:type="dxa"/>
          </w:tcPr>
          <w:p>
            <w:pPr>
              <w:pStyle w:val="TableParagraph"/>
              <w:spacing w:line="154" w:lineRule="exact" w:before="15"/>
              <w:ind w:right="58"/>
              <w:jc w:val="right"/>
              <w:rPr>
                <w:sz w:val="14"/>
              </w:rPr>
            </w:pPr>
            <w:r>
              <w:rPr>
                <w:w w:val="70"/>
                <w:sz w:val="14"/>
              </w:rPr>
              <w:t>125.030</w:t>
            </w:r>
          </w:p>
        </w:tc>
      </w:tr>
      <w:tr>
        <w:trPr>
          <w:trHeight w:val="189" w:hRule="atLeast"/>
        </w:trPr>
        <w:tc>
          <w:tcPr>
            <w:tcW w:w="2689" w:type="dxa"/>
          </w:tcPr>
          <w:p>
            <w:pPr>
              <w:pStyle w:val="TableParagraph"/>
              <w:spacing w:line="155" w:lineRule="exact" w:before="15"/>
              <w:ind w:left="26"/>
              <w:rPr>
                <w:sz w:val="14"/>
              </w:rPr>
            </w:pPr>
            <w:r>
              <w:rPr>
                <w:w w:val="80"/>
                <w:sz w:val="14"/>
              </w:rPr>
              <w:t>Demais Créditos</w:t>
            </w:r>
          </w:p>
        </w:tc>
        <w:tc>
          <w:tcPr>
            <w:tcW w:w="250" w:type="dxa"/>
          </w:tcPr>
          <w:p>
            <w:pPr>
              <w:pStyle w:val="TableParagraph"/>
              <w:spacing w:line="155" w:lineRule="exact" w:before="15"/>
              <w:ind w:left="70"/>
              <w:jc w:val="center"/>
              <w:rPr>
                <w:sz w:val="14"/>
              </w:rPr>
            </w:pPr>
            <w:r>
              <w:rPr>
                <w:w w:val="76"/>
                <w:sz w:val="14"/>
              </w:rPr>
              <w:t>9</w:t>
            </w:r>
          </w:p>
        </w:tc>
        <w:tc>
          <w:tcPr>
            <w:tcW w:w="802" w:type="dxa"/>
          </w:tcPr>
          <w:p>
            <w:pPr>
              <w:pStyle w:val="TableParagraph"/>
              <w:spacing w:line="155" w:lineRule="exact" w:before="15"/>
              <w:ind w:right="177"/>
              <w:jc w:val="right"/>
              <w:rPr>
                <w:sz w:val="14"/>
              </w:rPr>
            </w:pPr>
            <w:r>
              <w:rPr>
                <w:w w:val="70"/>
                <w:sz w:val="14"/>
              </w:rPr>
              <w:t>43.793</w:t>
            </w:r>
          </w:p>
        </w:tc>
        <w:tc>
          <w:tcPr>
            <w:tcW w:w="734" w:type="dxa"/>
          </w:tcPr>
          <w:p>
            <w:pPr>
              <w:pStyle w:val="TableParagraph"/>
              <w:spacing w:line="155" w:lineRule="exact" w:before="15"/>
              <w:ind w:left="186" w:right="120"/>
              <w:jc w:val="center"/>
              <w:rPr>
                <w:sz w:val="14"/>
              </w:rPr>
            </w:pPr>
            <w:r>
              <w:rPr>
                <w:w w:val="80"/>
                <w:sz w:val="14"/>
              </w:rPr>
              <w:t>24.249</w:t>
            </w:r>
          </w:p>
        </w:tc>
        <w:tc>
          <w:tcPr>
            <w:tcW w:w="658" w:type="dxa"/>
          </w:tcPr>
          <w:p>
            <w:pPr>
              <w:pStyle w:val="TableParagraph"/>
              <w:spacing w:line="155" w:lineRule="exact" w:before="15"/>
              <w:ind w:right="100"/>
              <w:jc w:val="right"/>
              <w:rPr>
                <w:sz w:val="14"/>
              </w:rPr>
            </w:pPr>
            <w:r>
              <w:rPr>
                <w:w w:val="70"/>
                <w:sz w:val="14"/>
              </w:rPr>
              <w:t>8.877</w:t>
            </w:r>
          </w:p>
        </w:tc>
        <w:tc>
          <w:tcPr>
            <w:tcW w:w="700" w:type="dxa"/>
          </w:tcPr>
          <w:p>
            <w:pPr>
              <w:pStyle w:val="TableParagraph"/>
              <w:spacing w:line="155" w:lineRule="exact" w:before="15"/>
              <w:ind w:right="133"/>
              <w:jc w:val="right"/>
              <w:rPr>
                <w:sz w:val="14"/>
              </w:rPr>
            </w:pPr>
            <w:r>
              <w:rPr>
                <w:w w:val="70"/>
                <w:sz w:val="14"/>
              </w:rPr>
              <w:t>126.458</w:t>
            </w:r>
          </w:p>
        </w:tc>
        <w:tc>
          <w:tcPr>
            <w:tcW w:w="734" w:type="dxa"/>
          </w:tcPr>
          <w:p>
            <w:pPr>
              <w:pStyle w:val="TableParagraph"/>
              <w:spacing w:line="155" w:lineRule="exact" w:before="15"/>
              <w:ind w:right="132"/>
              <w:jc w:val="right"/>
              <w:rPr>
                <w:sz w:val="14"/>
              </w:rPr>
            </w:pPr>
            <w:r>
              <w:rPr>
                <w:w w:val="70"/>
                <w:sz w:val="14"/>
              </w:rPr>
              <w:t>140.785</w:t>
            </w:r>
          </w:p>
        </w:tc>
        <w:tc>
          <w:tcPr>
            <w:tcW w:w="666" w:type="dxa"/>
          </w:tcPr>
          <w:p>
            <w:pPr>
              <w:pStyle w:val="TableParagraph"/>
              <w:spacing w:line="155" w:lineRule="exact" w:before="15"/>
              <w:ind w:right="63"/>
              <w:jc w:val="right"/>
              <w:rPr>
                <w:sz w:val="14"/>
              </w:rPr>
            </w:pPr>
            <w:r>
              <w:rPr>
                <w:w w:val="70"/>
                <w:sz w:val="14"/>
              </w:rPr>
              <w:t>69.728</w:t>
            </w:r>
          </w:p>
        </w:tc>
        <w:tc>
          <w:tcPr>
            <w:tcW w:w="2819" w:type="dxa"/>
          </w:tcPr>
          <w:p>
            <w:pPr>
              <w:pStyle w:val="TableParagraph"/>
              <w:spacing w:line="155" w:lineRule="exact" w:before="15"/>
              <w:ind w:left="64"/>
              <w:rPr>
                <w:sz w:val="14"/>
              </w:rPr>
            </w:pPr>
            <w:r>
              <w:rPr>
                <w:w w:val="80"/>
                <w:sz w:val="14"/>
              </w:rPr>
              <w:t>Obrigações societárias</w:t>
            </w:r>
          </w:p>
        </w:tc>
        <w:tc>
          <w:tcPr>
            <w:tcW w:w="279" w:type="dxa"/>
          </w:tcPr>
          <w:p>
            <w:pPr>
              <w:pStyle w:val="TableParagraph"/>
              <w:spacing w:line="155" w:lineRule="exact" w:before="15"/>
              <w:ind w:right="50"/>
              <w:jc w:val="right"/>
              <w:rPr>
                <w:sz w:val="14"/>
              </w:rPr>
            </w:pPr>
            <w:r>
              <w:rPr>
                <w:w w:val="75"/>
                <w:sz w:val="14"/>
              </w:rPr>
              <w:t>23</w:t>
            </w:r>
          </w:p>
        </w:tc>
        <w:tc>
          <w:tcPr>
            <w:tcW w:w="762" w:type="dxa"/>
          </w:tcPr>
          <w:p>
            <w:pPr>
              <w:pStyle w:val="TableParagraph"/>
              <w:spacing w:line="155" w:lineRule="exact" w:before="15"/>
              <w:ind w:right="182"/>
              <w:jc w:val="right"/>
              <w:rPr>
                <w:sz w:val="14"/>
              </w:rPr>
            </w:pPr>
            <w:r>
              <w:rPr>
                <w:w w:val="70"/>
                <w:sz w:val="14"/>
              </w:rPr>
              <w:t>33.818</w:t>
            </w:r>
          </w:p>
        </w:tc>
        <w:tc>
          <w:tcPr>
            <w:tcW w:w="751" w:type="dxa"/>
          </w:tcPr>
          <w:p>
            <w:pPr>
              <w:pStyle w:val="TableParagraph"/>
              <w:spacing w:line="155" w:lineRule="exact" w:before="15"/>
              <w:ind w:right="182"/>
              <w:jc w:val="right"/>
              <w:rPr>
                <w:sz w:val="14"/>
              </w:rPr>
            </w:pPr>
            <w:r>
              <w:rPr>
                <w:w w:val="70"/>
                <w:sz w:val="14"/>
              </w:rPr>
              <w:t>5.885</w:t>
            </w:r>
          </w:p>
        </w:tc>
        <w:tc>
          <w:tcPr>
            <w:tcW w:w="683" w:type="dxa"/>
          </w:tcPr>
          <w:p>
            <w:pPr>
              <w:pStyle w:val="TableParagraph"/>
              <w:spacing w:line="155" w:lineRule="exact" w:before="15"/>
              <w:ind w:right="113"/>
              <w:jc w:val="right"/>
              <w:rPr>
                <w:sz w:val="14"/>
              </w:rPr>
            </w:pPr>
            <w:r>
              <w:rPr>
                <w:w w:val="70"/>
                <w:sz w:val="14"/>
              </w:rPr>
              <w:t>7.741</w:t>
            </w:r>
          </w:p>
        </w:tc>
        <w:tc>
          <w:tcPr>
            <w:tcW w:w="692" w:type="dxa"/>
          </w:tcPr>
          <w:p>
            <w:pPr>
              <w:pStyle w:val="TableParagraph"/>
              <w:spacing w:line="155" w:lineRule="exact" w:before="15"/>
              <w:ind w:right="138"/>
              <w:jc w:val="right"/>
              <w:rPr>
                <w:sz w:val="14"/>
              </w:rPr>
            </w:pPr>
            <w:r>
              <w:rPr>
                <w:w w:val="70"/>
                <w:sz w:val="14"/>
              </w:rPr>
              <w:t>47.062</w:t>
            </w:r>
          </w:p>
        </w:tc>
        <w:tc>
          <w:tcPr>
            <w:tcW w:w="751" w:type="dxa"/>
          </w:tcPr>
          <w:p>
            <w:pPr>
              <w:pStyle w:val="TableParagraph"/>
              <w:spacing w:line="155" w:lineRule="exact" w:before="15"/>
              <w:ind w:right="137"/>
              <w:jc w:val="right"/>
              <w:rPr>
                <w:sz w:val="14"/>
              </w:rPr>
            </w:pPr>
            <w:r>
              <w:rPr>
                <w:w w:val="70"/>
                <w:sz w:val="14"/>
              </w:rPr>
              <w:t>16.744</w:t>
            </w:r>
          </w:p>
        </w:tc>
        <w:tc>
          <w:tcPr>
            <w:tcW w:w="672" w:type="dxa"/>
          </w:tcPr>
          <w:p>
            <w:pPr>
              <w:pStyle w:val="TableParagraph"/>
              <w:spacing w:line="155" w:lineRule="exact" w:before="15"/>
              <w:ind w:right="58"/>
              <w:jc w:val="right"/>
              <w:rPr>
                <w:sz w:val="14"/>
              </w:rPr>
            </w:pPr>
            <w:r>
              <w:rPr>
                <w:w w:val="70"/>
                <w:sz w:val="14"/>
              </w:rPr>
              <w:t>16.766</w:t>
            </w:r>
          </w:p>
        </w:tc>
      </w:tr>
      <w:tr>
        <w:trPr>
          <w:trHeight w:val="190" w:hRule="atLeast"/>
        </w:trPr>
        <w:tc>
          <w:tcPr>
            <w:tcW w:w="2689" w:type="dxa"/>
          </w:tcPr>
          <w:p>
            <w:pPr>
              <w:pStyle w:val="TableParagraph"/>
              <w:spacing w:line="155" w:lineRule="exact" w:before="15"/>
              <w:ind w:left="26"/>
              <w:rPr>
                <w:sz w:val="14"/>
              </w:rPr>
            </w:pPr>
            <w:r>
              <w:rPr>
                <w:w w:val="80"/>
                <w:sz w:val="14"/>
              </w:rPr>
              <w:t>Ativos não Circulante Mantido para Venda</w:t>
            </w:r>
          </w:p>
        </w:tc>
        <w:tc>
          <w:tcPr>
            <w:tcW w:w="250" w:type="dxa"/>
          </w:tcPr>
          <w:p>
            <w:pPr>
              <w:pStyle w:val="TableParagraph"/>
              <w:spacing w:line="155" w:lineRule="exact" w:before="15"/>
              <w:ind w:left="49" w:right="35"/>
              <w:jc w:val="center"/>
              <w:rPr>
                <w:sz w:val="14"/>
              </w:rPr>
            </w:pPr>
            <w:r>
              <w:rPr>
                <w:w w:val="85"/>
                <w:sz w:val="14"/>
              </w:rPr>
              <w:t>13</w:t>
            </w:r>
          </w:p>
        </w:tc>
        <w:tc>
          <w:tcPr>
            <w:tcW w:w="802" w:type="dxa"/>
          </w:tcPr>
          <w:p>
            <w:pPr>
              <w:pStyle w:val="TableParagraph"/>
              <w:spacing w:line="155" w:lineRule="exact" w:before="15"/>
              <w:ind w:right="174"/>
              <w:jc w:val="right"/>
              <w:rPr>
                <w:sz w:val="14"/>
              </w:rPr>
            </w:pPr>
            <w:r>
              <w:rPr>
                <w:w w:val="75"/>
                <w:sz w:val="14"/>
              </w:rPr>
              <w:t>641</w:t>
            </w:r>
          </w:p>
        </w:tc>
        <w:tc>
          <w:tcPr>
            <w:tcW w:w="734" w:type="dxa"/>
          </w:tcPr>
          <w:p>
            <w:pPr>
              <w:pStyle w:val="TableParagraph"/>
              <w:spacing w:line="155" w:lineRule="exact" w:before="15"/>
              <w:ind w:left="212" w:right="8"/>
              <w:jc w:val="center"/>
              <w:rPr>
                <w:sz w:val="14"/>
              </w:rPr>
            </w:pPr>
            <w:r>
              <w:rPr>
                <w:w w:val="85"/>
                <w:sz w:val="14"/>
              </w:rPr>
              <w:t>641</w:t>
            </w:r>
          </w:p>
        </w:tc>
        <w:tc>
          <w:tcPr>
            <w:tcW w:w="658" w:type="dxa"/>
          </w:tcPr>
          <w:p>
            <w:pPr>
              <w:pStyle w:val="TableParagraph"/>
              <w:spacing w:line="155" w:lineRule="exact" w:before="15"/>
              <w:ind w:right="100"/>
              <w:jc w:val="right"/>
              <w:rPr>
                <w:sz w:val="14"/>
              </w:rPr>
            </w:pPr>
            <w:r>
              <w:rPr>
                <w:w w:val="70"/>
                <w:sz w:val="14"/>
              </w:rPr>
              <w:t>2.094</w:t>
            </w:r>
          </w:p>
        </w:tc>
        <w:tc>
          <w:tcPr>
            <w:tcW w:w="700" w:type="dxa"/>
          </w:tcPr>
          <w:p>
            <w:pPr>
              <w:pStyle w:val="TableParagraph"/>
              <w:spacing w:line="155" w:lineRule="exact" w:before="15"/>
              <w:ind w:right="133"/>
              <w:jc w:val="right"/>
              <w:rPr>
                <w:sz w:val="14"/>
              </w:rPr>
            </w:pPr>
            <w:r>
              <w:rPr>
                <w:w w:val="70"/>
                <w:sz w:val="14"/>
              </w:rPr>
              <w:t>2.228</w:t>
            </w:r>
          </w:p>
        </w:tc>
        <w:tc>
          <w:tcPr>
            <w:tcW w:w="734" w:type="dxa"/>
          </w:tcPr>
          <w:p>
            <w:pPr>
              <w:pStyle w:val="TableParagraph"/>
              <w:spacing w:line="155" w:lineRule="exact" w:before="15"/>
              <w:ind w:right="132"/>
              <w:jc w:val="right"/>
              <w:rPr>
                <w:sz w:val="14"/>
              </w:rPr>
            </w:pPr>
            <w:r>
              <w:rPr>
                <w:w w:val="70"/>
                <w:sz w:val="14"/>
              </w:rPr>
              <w:t>2.352</w:t>
            </w:r>
          </w:p>
        </w:tc>
        <w:tc>
          <w:tcPr>
            <w:tcW w:w="666" w:type="dxa"/>
          </w:tcPr>
          <w:p>
            <w:pPr>
              <w:pStyle w:val="TableParagraph"/>
              <w:spacing w:line="155" w:lineRule="exact" w:before="15"/>
              <w:ind w:right="63"/>
              <w:jc w:val="right"/>
              <w:rPr>
                <w:sz w:val="14"/>
              </w:rPr>
            </w:pPr>
            <w:r>
              <w:rPr>
                <w:w w:val="70"/>
                <w:sz w:val="14"/>
              </w:rPr>
              <w:t>2.094</w:t>
            </w:r>
          </w:p>
        </w:tc>
        <w:tc>
          <w:tcPr>
            <w:tcW w:w="2819" w:type="dxa"/>
          </w:tcPr>
          <w:p>
            <w:pPr>
              <w:pStyle w:val="TableParagraph"/>
              <w:spacing w:line="155" w:lineRule="exact" w:before="15"/>
              <w:ind w:left="64"/>
              <w:rPr>
                <w:sz w:val="14"/>
              </w:rPr>
            </w:pPr>
            <w:r>
              <w:rPr>
                <w:w w:val="80"/>
                <w:sz w:val="14"/>
              </w:rPr>
              <w:t>Obrigações sociais e trabalhistas</w:t>
            </w:r>
          </w:p>
        </w:tc>
        <w:tc>
          <w:tcPr>
            <w:tcW w:w="279" w:type="dxa"/>
          </w:tcPr>
          <w:p>
            <w:pPr>
              <w:pStyle w:val="TableParagraph"/>
              <w:spacing w:line="155" w:lineRule="exact" w:before="15"/>
              <w:ind w:right="50"/>
              <w:jc w:val="right"/>
              <w:rPr>
                <w:sz w:val="14"/>
              </w:rPr>
            </w:pPr>
            <w:r>
              <w:rPr>
                <w:w w:val="75"/>
                <w:sz w:val="14"/>
              </w:rPr>
              <w:t>24</w:t>
            </w:r>
          </w:p>
        </w:tc>
        <w:tc>
          <w:tcPr>
            <w:tcW w:w="762" w:type="dxa"/>
          </w:tcPr>
          <w:p>
            <w:pPr>
              <w:pStyle w:val="TableParagraph"/>
              <w:spacing w:line="155" w:lineRule="exact" w:before="15"/>
              <w:ind w:right="179"/>
              <w:jc w:val="right"/>
              <w:rPr>
                <w:sz w:val="14"/>
              </w:rPr>
            </w:pPr>
            <w:r>
              <w:rPr>
                <w:w w:val="75"/>
                <w:sz w:val="14"/>
              </w:rPr>
              <w:t>297</w:t>
            </w:r>
          </w:p>
        </w:tc>
        <w:tc>
          <w:tcPr>
            <w:tcW w:w="751" w:type="dxa"/>
          </w:tcPr>
          <w:p>
            <w:pPr>
              <w:pStyle w:val="TableParagraph"/>
              <w:spacing w:line="155" w:lineRule="exact" w:before="15"/>
              <w:ind w:right="178"/>
              <w:jc w:val="right"/>
              <w:rPr>
                <w:sz w:val="14"/>
              </w:rPr>
            </w:pPr>
            <w:r>
              <w:rPr>
                <w:w w:val="75"/>
                <w:sz w:val="14"/>
              </w:rPr>
              <w:t>201</w:t>
            </w:r>
          </w:p>
        </w:tc>
        <w:tc>
          <w:tcPr>
            <w:tcW w:w="683" w:type="dxa"/>
          </w:tcPr>
          <w:p>
            <w:pPr>
              <w:pStyle w:val="TableParagraph"/>
              <w:spacing w:line="155" w:lineRule="exact" w:before="15"/>
              <w:ind w:right="110"/>
              <w:jc w:val="right"/>
              <w:rPr>
                <w:sz w:val="14"/>
              </w:rPr>
            </w:pPr>
            <w:r>
              <w:rPr>
                <w:w w:val="75"/>
                <w:sz w:val="14"/>
              </w:rPr>
              <w:t>174</w:t>
            </w:r>
          </w:p>
        </w:tc>
        <w:tc>
          <w:tcPr>
            <w:tcW w:w="692" w:type="dxa"/>
          </w:tcPr>
          <w:p>
            <w:pPr>
              <w:pStyle w:val="TableParagraph"/>
              <w:spacing w:line="155" w:lineRule="exact" w:before="15"/>
              <w:ind w:right="138"/>
              <w:jc w:val="right"/>
              <w:rPr>
                <w:sz w:val="14"/>
              </w:rPr>
            </w:pPr>
            <w:r>
              <w:rPr>
                <w:w w:val="70"/>
                <w:sz w:val="14"/>
              </w:rPr>
              <w:t>23.433</w:t>
            </w:r>
          </w:p>
        </w:tc>
        <w:tc>
          <w:tcPr>
            <w:tcW w:w="751" w:type="dxa"/>
          </w:tcPr>
          <w:p>
            <w:pPr>
              <w:pStyle w:val="TableParagraph"/>
              <w:spacing w:line="155" w:lineRule="exact" w:before="15"/>
              <w:ind w:right="137"/>
              <w:jc w:val="right"/>
              <w:rPr>
                <w:sz w:val="14"/>
              </w:rPr>
            </w:pPr>
            <w:r>
              <w:rPr>
                <w:w w:val="70"/>
                <w:sz w:val="14"/>
              </w:rPr>
              <w:t>25.983</w:t>
            </w:r>
          </w:p>
        </w:tc>
        <w:tc>
          <w:tcPr>
            <w:tcW w:w="672" w:type="dxa"/>
          </w:tcPr>
          <w:p>
            <w:pPr>
              <w:pStyle w:val="TableParagraph"/>
              <w:spacing w:line="155" w:lineRule="exact" w:before="15"/>
              <w:ind w:right="58"/>
              <w:jc w:val="right"/>
              <w:rPr>
                <w:sz w:val="14"/>
              </w:rPr>
            </w:pPr>
            <w:r>
              <w:rPr>
                <w:w w:val="70"/>
                <w:sz w:val="14"/>
              </w:rPr>
              <w:t>33.746</w:t>
            </w:r>
          </w:p>
        </w:tc>
      </w:tr>
      <w:tr>
        <w:trPr>
          <w:trHeight w:val="178"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43" w:lineRule="exact" w:before="15"/>
              <w:ind w:left="64"/>
              <w:rPr>
                <w:sz w:val="14"/>
              </w:rPr>
            </w:pPr>
            <w:r>
              <w:rPr>
                <w:w w:val="80"/>
                <w:sz w:val="14"/>
              </w:rPr>
              <w:t>Valores</w:t>
            </w:r>
            <w:r>
              <w:rPr>
                <w:spacing w:val="-24"/>
                <w:w w:val="80"/>
                <w:sz w:val="14"/>
              </w:rPr>
              <w:t> </w:t>
            </w:r>
            <w:r>
              <w:rPr>
                <w:w w:val="80"/>
                <w:sz w:val="14"/>
              </w:rPr>
              <w:t>a</w:t>
            </w:r>
            <w:r>
              <w:rPr>
                <w:spacing w:val="-23"/>
                <w:w w:val="80"/>
                <w:sz w:val="14"/>
              </w:rPr>
              <w:t> </w:t>
            </w:r>
            <w:r>
              <w:rPr>
                <w:w w:val="80"/>
                <w:sz w:val="14"/>
              </w:rPr>
              <w:t>pagar</w:t>
            </w:r>
            <w:r>
              <w:rPr>
                <w:spacing w:val="-22"/>
                <w:w w:val="80"/>
                <w:sz w:val="14"/>
              </w:rPr>
              <w:t> </w:t>
            </w:r>
            <w:r>
              <w:rPr>
                <w:w w:val="80"/>
                <w:sz w:val="14"/>
              </w:rPr>
              <w:t>de</w:t>
            </w:r>
            <w:r>
              <w:rPr>
                <w:spacing w:val="-23"/>
                <w:w w:val="80"/>
                <w:sz w:val="14"/>
              </w:rPr>
              <w:t> </w:t>
            </w:r>
            <w:r>
              <w:rPr>
                <w:w w:val="80"/>
                <w:sz w:val="14"/>
              </w:rPr>
              <w:t>Parcela</w:t>
            </w:r>
            <w:r>
              <w:rPr>
                <w:spacing w:val="-22"/>
                <w:w w:val="80"/>
                <w:sz w:val="14"/>
              </w:rPr>
              <w:t> </w:t>
            </w:r>
            <w:r>
              <w:rPr>
                <w:w w:val="80"/>
                <w:sz w:val="14"/>
              </w:rPr>
              <w:t>"A"</w:t>
            </w:r>
            <w:r>
              <w:rPr>
                <w:spacing w:val="-22"/>
                <w:w w:val="80"/>
                <w:sz w:val="14"/>
              </w:rPr>
              <w:t> </w:t>
            </w:r>
            <w:r>
              <w:rPr>
                <w:w w:val="80"/>
                <w:sz w:val="14"/>
              </w:rPr>
              <w:t>e</w:t>
            </w:r>
            <w:r>
              <w:rPr>
                <w:spacing w:val="-22"/>
                <w:w w:val="80"/>
                <w:sz w:val="14"/>
              </w:rPr>
              <w:t> </w:t>
            </w:r>
            <w:r>
              <w:rPr>
                <w:w w:val="80"/>
                <w:sz w:val="14"/>
              </w:rPr>
              <w:t>outros</w:t>
            </w:r>
            <w:r>
              <w:rPr>
                <w:spacing w:val="-24"/>
                <w:w w:val="80"/>
                <w:sz w:val="14"/>
              </w:rPr>
              <w:t> </w:t>
            </w:r>
            <w:r>
              <w:rPr>
                <w:w w:val="80"/>
                <w:sz w:val="14"/>
              </w:rPr>
              <w:t>itens</w:t>
            </w:r>
            <w:r>
              <w:rPr>
                <w:spacing w:val="-24"/>
                <w:w w:val="80"/>
                <w:sz w:val="14"/>
              </w:rPr>
              <w:t> </w:t>
            </w:r>
            <w:r>
              <w:rPr>
                <w:w w:val="80"/>
                <w:sz w:val="14"/>
              </w:rPr>
              <w:t>financeiros</w:t>
            </w:r>
          </w:p>
        </w:tc>
        <w:tc>
          <w:tcPr>
            <w:tcW w:w="279" w:type="dxa"/>
          </w:tcPr>
          <w:p>
            <w:pPr>
              <w:pStyle w:val="TableParagraph"/>
              <w:spacing w:line="143" w:lineRule="exact" w:before="15"/>
              <w:ind w:right="53"/>
              <w:jc w:val="right"/>
              <w:rPr>
                <w:sz w:val="14"/>
              </w:rPr>
            </w:pPr>
            <w:r>
              <w:rPr>
                <w:w w:val="76"/>
                <w:sz w:val="14"/>
              </w:rPr>
              <w:t>8</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43" w:lineRule="exact" w:before="15"/>
              <w:ind w:right="138"/>
              <w:jc w:val="right"/>
              <w:rPr>
                <w:sz w:val="14"/>
              </w:rPr>
            </w:pPr>
            <w:r>
              <w:rPr>
                <w:w w:val="70"/>
                <w:sz w:val="14"/>
              </w:rPr>
              <w:t>499.097</w:t>
            </w:r>
          </w:p>
        </w:tc>
        <w:tc>
          <w:tcPr>
            <w:tcW w:w="751" w:type="dxa"/>
          </w:tcPr>
          <w:p>
            <w:pPr>
              <w:pStyle w:val="TableParagraph"/>
              <w:spacing w:line="143" w:lineRule="exact" w:before="15"/>
              <w:ind w:right="137"/>
              <w:jc w:val="right"/>
              <w:rPr>
                <w:sz w:val="14"/>
              </w:rPr>
            </w:pPr>
            <w:r>
              <w:rPr>
                <w:w w:val="70"/>
                <w:sz w:val="14"/>
              </w:rPr>
              <w:t>608.361</w:t>
            </w:r>
          </w:p>
        </w:tc>
        <w:tc>
          <w:tcPr>
            <w:tcW w:w="672" w:type="dxa"/>
          </w:tcPr>
          <w:p>
            <w:pPr>
              <w:pStyle w:val="TableParagraph"/>
              <w:spacing w:line="143" w:lineRule="exact" w:before="15"/>
              <w:ind w:right="58"/>
              <w:jc w:val="right"/>
              <w:rPr>
                <w:sz w:val="14"/>
              </w:rPr>
            </w:pPr>
            <w:r>
              <w:rPr>
                <w:w w:val="70"/>
                <w:sz w:val="14"/>
              </w:rPr>
              <w:t>543.297</w:t>
            </w:r>
          </w:p>
        </w:tc>
      </w:tr>
      <w:tr>
        <w:trPr>
          <w:trHeight w:val="189" w:hRule="atLeast"/>
        </w:trPr>
        <w:tc>
          <w:tcPr>
            <w:tcW w:w="10052" w:type="dxa"/>
            <w:gridSpan w:val="9"/>
          </w:tcPr>
          <w:p>
            <w:pPr>
              <w:pStyle w:val="TableParagraph"/>
              <w:tabs>
                <w:tab w:pos="7257" w:val="left" w:leader="none"/>
              </w:tabs>
              <w:spacing w:line="143" w:lineRule="exact" w:before="26"/>
              <w:ind w:left="2939"/>
              <w:rPr>
                <w:sz w:val="14"/>
              </w:rPr>
            </w:pPr>
            <w:r>
              <w:rPr>
                <w:w w:val="53"/>
                <w:sz w:val="14"/>
                <w:u w:val="single"/>
              </w:rPr>
              <w:t> </w:t>
            </w:r>
            <w:r>
              <w:rPr>
                <w:sz w:val="14"/>
                <w:u w:val="single"/>
              </w:rPr>
              <w:tab/>
            </w:r>
            <w:r>
              <w:rPr>
                <w:spacing w:val="-3"/>
                <w:sz w:val="14"/>
              </w:rPr>
              <w:t> </w:t>
            </w:r>
            <w:r>
              <w:rPr>
                <w:w w:val="80"/>
                <w:sz w:val="14"/>
              </w:rPr>
              <w:t>Benefícios pós</w:t>
            </w:r>
            <w:r>
              <w:rPr>
                <w:spacing w:val="-25"/>
                <w:w w:val="80"/>
                <w:sz w:val="14"/>
              </w:rPr>
              <w:t> </w:t>
            </w:r>
            <w:r>
              <w:rPr>
                <w:w w:val="80"/>
                <w:sz w:val="14"/>
              </w:rPr>
              <w:t>emprego</w:t>
            </w:r>
          </w:p>
        </w:tc>
        <w:tc>
          <w:tcPr>
            <w:tcW w:w="279" w:type="dxa"/>
          </w:tcPr>
          <w:p>
            <w:pPr>
              <w:pStyle w:val="TableParagraph"/>
              <w:spacing w:line="143" w:lineRule="exact" w:before="26"/>
              <w:ind w:right="50"/>
              <w:jc w:val="right"/>
              <w:rPr>
                <w:sz w:val="14"/>
              </w:rPr>
            </w:pPr>
            <w:r>
              <w:rPr>
                <w:w w:val="75"/>
                <w:sz w:val="14"/>
              </w:rPr>
              <w:t>25</w:t>
            </w:r>
          </w:p>
        </w:tc>
        <w:tc>
          <w:tcPr>
            <w:tcW w:w="2888" w:type="dxa"/>
            <w:gridSpan w:val="4"/>
          </w:tcPr>
          <w:p>
            <w:pPr>
              <w:pStyle w:val="TableParagraph"/>
              <w:spacing w:line="143" w:lineRule="exact" w:before="26"/>
              <w:ind w:right="138"/>
              <w:jc w:val="right"/>
              <w:rPr>
                <w:sz w:val="14"/>
              </w:rPr>
            </w:pPr>
            <w:r>
              <w:rPr>
                <w:w w:val="70"/>
                <w:sz w:val="14"/>
              </w:rPr>
              <w:t>2.568</w:t>
            </w:r>
          </w:p>
        </w:tc>
        <w:tc>
          <w:tcPr>
            <w:tcW w:w="751" w:type="dxa"/>
          </w:tcPr>
          <w:p>
            <w:pPr>
              <w:pStyle w:val="TableParagraph"/>
              <w:spacing w:line="143" w:lineRule="exact" w:before="26"/>
              <w:ind w:right="137"/>
              <w:jc w:val="right"/>
              <w:rPr>
                <w:sz w:val="14"/>
              </w:rPr>
            </w:pPr>
            <w:r>
              <w:rPr>
                <w:w w:val="70"/>
                <w:sz w:val="14"/>
              </w:rPr>
              <w:t>2.814</w:t>
            </w:r>
          </w:p>
        </w:tc>
        <w:tc>
          <w:tcPr>
            <w:tcW w:w="672" w:type="dxa"/>
          </w:tcPr>
          <w:p>
            <w:pPr>
              <w:pStyle w:val="TableParagraph"/>
              <w:spacing w:line="143" w:lineRule="exact" w:before="26"/>
              <w:ind w:right="58"/>
              <w:jc w:val="right"/>
              <w:rPr>
                <w:sz w:val="14"/>
              </w:rPr>
            </w:pPr>
            <w:r>
              <w:rPr>
                <w:w w:val="70"/>
                <w:sz w:val="14"/>
              </w:rPr>
              <w:t>4.791</w:t>
            </w:r>
          </w:p>
        </w:tc>
      </w:tr>
      <w:tr>
        <w:trPr>
          <w:trHeight w:val="192" w:hRule="atLeast"/>
        </w:trPr>
        <w:tc>
          <w:tcPr>
            <w:tcW w:w="2689" w:type="dxa"/>
          </w:tcPr>
          <w:p>
            <w:pPr>
              <w:pStyle w:val="TableParagraph"/>
              <w:spacing w:line="147" w:lineRule="exact" w:before="25"/>
              <w:ind w:left="26"/>
              <w:rPr>
                <w:rFonts w:ascii="Caladea"/>
                <w:b/>
                <w:sz w:val="14"/>
              </w:rPr>
            </w:pPr>
            <w:r>
              <w:rPr>
                <w:rFonts w:ascii="Caladea"/>
                <w:b/>
                <w:w w:val="85"/>
                <w:sz w:val="14"/>
              </w:rPr>
              <w:t>Total do Circulante</w:t>
            </w:r>
          </w:p>
        </w:tc>
        <w:tc>
          <w:tcPr>
            <w:tcW w:w="250" w:type="dxa"/>
          </w:tcPr>
          <w:p>
            <w:pPr>
              <w:pStyle w:val="TableParagraph"/>
              <w:rPr>
                <w:rFonts w:ascii="Times New Roman"/>
                <w:sz w:val="10"/>
              </w:rPr>
            </w:pPr>
          </w:p>
        </w:tc>
        <w:tc>
          <w:tcPr>
            <w:tcW w:w="802" w:type="dxa"/>
            <w:tcBorders>
              <w:bottom w:val="single" w:sz="6" w:space="0" w:color="000000"/>
            </w:tcBorders>
          </w:tcPr>
          <w:p>
            <w:pPr>
              <w:pStyle w:val="TableParagraph"/>
              <w:spacing w:line="147" w:lineRule="exact" w:before="25"/>
              <w:ind w:right="173"/>
              <w:jc w:val="right"/>
              <w:rPr>
                <w:rFonts w:ascii="Caladea"/>
                <w:b/>
                <w:sz w:val="14"/>
              </w:rPr>
            </w:pPr>
            <w:r>
              <w:rPr>
                <w:rFonts w:ascii="Caladea"/>
                <w:b/>
                <w:w w:val="70"/>
                <w:sz w:val="14"/>
              </w:rPr>
              <w:t>81.295</w:t>
            </w:r>
          </w:p>
        </w:tc>
        <w:tc>
          <w:tcPr>
            <w:tcW w:w="734" w:type="dxa"/>
            <w:tcBorders>
              <w:bottom w:val="single" w:sz="6" w:space="0" w:color="000000"/>
            </w:tcBorders>
          </w:tcPr>
          <w:p>
            <w:pPr>
              <w:pStyle w:val="TableParagraph"/>
              <w:spacing w:line="147" w:lineRule="exact" w:before="25"/>
              <w:ind w:left="123" w:right="61"/>
              <w:jc w:val="center"/>
              <w:rPr>
                <w:rFonts w:ascii="Caladea"/>
                <w:b/>
                <w:sz w:val="14"/>
              </w:rPr>
            </w:pPr>
            <w:r>
              <w:rPr>
                <w:rFonts w:ascii="Caladea"/>
                <w:b/>
                <w:w w:val="85"/>
                <w:sz w:val="14"/>
              </w:rPr>
              <w:t>70.058</w:t>
            </w:r>
          </w:p>
        </w:tc>
        <w:tc>
          <w:tcPr>
            <w:tcW w:w="658" w:type="dxa"/>
            <w:tcBorders>
              <w:bottom w:val="single" w:sz="6" w:space="0" w:color="000000"/>
            </w:tcBorders>
          </w:tcPr>
          <w:p>
            <w:pPr>
              <w:pStyle w:val="TableParagraph"/>
              <w:spacing w:line="147" w:lineRule="exact" w:before="25"/>
              <w:ind w:right="96"/>
              <w:jc w:val="right"/>
              <w:rPr>
                <w:rFonts w:ascii="Caladea"/>
                <w:b/>
                <w:sz w:val="14"/>
              </w:rPr>
            </w:pPr>
            <w:r>
              <w:rPr>
                <w:rFonts w:ascii="Caladea"/>
                <w:b/>
                <w:w w:val="70"/>
                <w:sz w:val="14"/>
              </w:rPr>
              <w:t>35.676</w:t>
            </w:r>
          </w:p>
        </w:tc>
        <w:tc>
          <w:tcPr>
            <w:tcW w:w="700" w:type="dxa"/>
            <w:tcBorders>
              <w:bottom w:val="single" w:sz="6" w:space="0" w:color="000000"/>
            </w:tcBorders>
          </w:tcPr>
          <w:p>
            <w:pPr>
              <w:pStyle w:val="TableParagraph"/>
              <w:spacing w:line="147" w:lineRule="exact" w:before="25"/>
              <w:ind w:right="129"/>
              <w:jc w:val="right"/>
              <w:rPr>
                <w:rFonts w:ascii="Caladea"/>
                <w:b/>
                <w:sz w:val="14"/>
              </w:rPr>
            </w:pPr>
            <w:r>
              <w:rPr>
                <w:rFonts w:ascii="Caladea"/>
                <w:b/>
                <w:w w:val="70"/>
                <w:sz w:val="14"/>
              </w:rPr>
              <w:t>1.740.535</w:t>
            </w:r>
          </w:p>
        </w:tc>
        <w:tc>
          <w:tcPr>
            <w:tcW w:w="734" w:type="dxa"/>
            <w:tcBorders>
              <w:bottom w:val="single" w:sz="6" w:space="0" w:color="000000"/>
            </w:tcBorders>
          </w:tcPr>
          <w:p>
            <w:pPr>
              <w:pStyle w:val="TableParagraph"/>
              <w:spacing w:line="147" w:lineRule="exact" w:before="25"/>
              <w:ind w:right="128"/>
              <w:jc w:val="right"/>
              <w:rPr>
                <w:rFonts w:ascii="Caladea"/>
                <w:b/>
                <w:sz w:val="14"/>
              </w:rPr>
            </w:pPr>
            <w:r>
              <w:rPr>
                <w:rFonts w:ascii="Caladea"/>
                <w:b/>
                <w:w w:val="70"/>
                <w:sz w:val="14"/>
              </w:rPr>
              <w:t>1.842.353</w:t>
            </w:r>
          </w:p>
        </w:tc>
        <w:tc>
          <w:tcPr>
            <w:tcW w:w="666" w:type="dxa"/>
            <w:tcBorders>
              <w:bottom w:val="single" w:sz="6" w:space="0" w:color="000000"/>
            </w:tcBorders>
          </w:tcPr>
          <w:p>
            <w:pPr>
              <w:pStyle w:val="TableParagraph"/>
              <w:spacing w:line="147" w:lineRule="exact" w:before="25"/>
              <w:ind w:right="59"/>
              <w:jc w:val="right"/>
              <w:rPr>
                <w:rFonts w:ascii="Caladea"/>
                <w:b/>
                <w:sz w:val="14"/>
              </w:rPr>
            </w:pPr>
            <w:r>
              <w:rPr>
                <w:rFonts w:ascii="Caladea"/>
                <w:b/>
                <w:w w:val="70"/>
                <w:sz w:val="14"/>
              </w:rPr>
              <w:t>1.683.112</w:t>
            </w:r>
          </w:p>
        </w:tc>
        <w:tc>
          <w:tcPr>
            <w:tcW w:w="2819" w:type="dxa"/>
          </w:tcPr>
          <w:p>
            <w:pPr>
              <w:pStyle w:val="TableParagraph"/>
              <w:spacing w:line="146" w:lineRule="exact" w:before="27"/>
              <w:ind w:left="64"/>
              <w:rPr>
                <w:sz w:val="14"/>
              </w:rPr>
            </w:pPr>
            <w:r>
              <w:rPr>
                <w:w w:val="70"/>
                <w:sz w:val="14"/>
              </w:rPr>
              <w:t>Provisões para riscos trabalhistas, cíveis, fiscais e regulatórios</w:t>
            </w:r>
          </w:p>
        </w:tc>
        <w:tc>
          <w:tcPr>
            <w:tcW w:w="279" w:type="dxa"/>
          </w:tcPr>
          <w:p>
            <w:pPr>
              <w:pStyle w:val="TableParagraph"/>
              <w:spacing w:line="146" w:lineRule="exact" w:before="27"/>
              <w:ind w:right="50"/>
              <w:jc w:val="right"/>
              <w:rPr>
                <w:sz w:val="14"/>
              </w:rPr>
            </w:pPr>
            <w:r>
              <w:rPr>
                <w:w w:val="75"/>
                <w:sz w:val="14"/>
              </w:rPr>
              <w:t>26</w:t>
            </w:r>
          </w:p>
        </w:tc>
        <w:tc>
          <w:tcPr>
            <w:tcW w:w="762" w:type="dxa"/>
          </w:tcPr>
          <w:p>
            <w:pPr>
              <w:pStyle w:val="TableParagraph"/>
              <w:spacing w:line="146" w:lineRule="exact" w:before="27"/>
              <w:ind w:right="179"/>
              <w:jc w:val="right"/>
              <w:rPr>
                <w:sz w:val="14"/>
              </w:rPr>
            </w:pPr>
            <w:r>
              <w:rPr>
                <w:w w:val="75"/>
                <w:sz w:val="14"/>
              </w:rPr>
              <w:t>100</w:t>
            </w: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46" w:lineRule="exact" w:before="27"/>
              <w:ind w:right="138"/>
              <w:jc w:val="right"/>
              <w:rPr>
                <w:sz w:val="14"/>
              </w:rPr>
            </w:pPr>
            <w:r>
              <w:rPr>
                <w:w w:val="70"/>
                <w:sz w:val="14"/>
              </w:rPr>
              <w:t>10.309</w:t>
            </w:r>
          </w:p>
        </w:tc>
        <w:tc>
          <w:tcPr>
            <w:tcW w:w="751" w:type="dxa"/>
          </w:tcPr>
          <w:p>
            <w:pPr>
              <w:pStyle w:val="TableParagraph"/>
              <w:spacing w:line="146" w:lineRule="exact" w:before="27"/>
              <w:ind w:right="137"/>
              <w:jc w:val="right"/>
              <w:rPr>
                <w:sz w:val="14"/>
              </w:rPr>
            </w:pPr>
            <w:r>
              <w:rPr>
                <w:w w:val="70"/>
                <w:sz w:val="14"/>
              </w:rPr>
              <w:t>6.478</w:t>
            </w:r>
          </w:p>
        </w:tc>
        <w:tc>
          <w:tcPr>
            <w:tcW w:w="672" w:type="dxa"/>
          </w:tcPr>
          <w:p>
            <w:pPr>
              <w:pStyle w:val="TableParagraph"/>
              <w:spacing w:line="146" w:lineRule="exact" w:before="27"/>
              <w:ind w:right="58"/>
              <w:jc w:val="right"/>
              <w:rPr>
                <w:sz w:val="14"/>
              </w:rPr>
            </w:pPr>
            <w:r>
              <w:rPr>
                <w:w w:val="70"/>
                <w:sz w:val="14"/>
              </w:rPr>
              <w:t>4.013</w:t>
            </w:r>
          </w:p>
        </w:tc>
      </w:tr>
      <w:tr>
        <w:trPr>
          <w:trHeight w:val="175"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58" w:type="dxa"/>
            <w:tcBorders>
              <w:top w:val="single" w:sz="6" w:space="0" w:color="000000"/>
            </w:tcBorders>
          </w:tcPr>
          <w:p>
            <w:pPr>
              <w:pStyle w:val="TableParagraph"/>
              <w:rPr>
                <w:rFonts w:ascii="Times New Roman"/>
                <w:sz w:val="10"/>
              </w:rPr>
            </w:pPr>
          </w:p>
        </w:tc>
        <w:tc>
          <w:tcPr>
            <w:tcW w:w="700"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66" w:type="dxa"/>
            <w:tcBorders>
              <w:top w:val="single" w:sz="6" w:space="0" w:color="000000"/>
            </w:tcBorders>
          </w:tcPr>
          <w:p>
            <w:pPr>
              <w:pStyle w:val="TableParagraph"/>
              <w:rPr>
                <w:rFonts w:ascii="Times New Roman"/>
                <w:sz w:val="10"/>
              </w:rPr>
            </w:pPr>
          </w:p>
        </w:tc>
        <w:tc>
          <w:tcPr>
            <w:tcW w:w="2819" w:type="dxa"/>
          </w:tcPr>
          <w:p>
            <w:pPr>
              <w:pStyle w:val="TableParagraph"/>
              <w:spacing w:line="145" w:lineRule="exact" w:before="9"/>
              <w:ind w:left="64"/>
              <w:rPr>
                <w:sz w:val="14"/>
              </w:rPr>
            </w:pPr>
            <w:r>
              <w:rPr>
                <w:w w:val="80"/>
                <w:sz w:val="14"/>
              </w:rPr>
              <w:t>Demais obrigações</w:t>
            </w:r>
          </w:p>
        </w:tc>
        <w:tc>
          <w:tcPr>
            <w:tcW w:w="279" w:type="dxa"/>
          </w:tcPr>
          <w:p>
            <w:pPr>
              <w:pStyle w:val="TableParagraph"/>
              <w:spacing w:line="145" w:lineRule="exact" w:before="9"/>
              <w:ind w:right="50"/>
              <w:jc w:val="right"/>
              <w:rPr>
                <w:sz w:val="14"/>
              </w:rPr>
            </w:pPr>
            <w:r>
              <w:rPr>
                <w:w w:val="75"/>
                <w:sz w:val="14"/>
              </w:rPr>
              <w:t>27</w:t>
            </w:r>
          </w:p>
        </w:tc>
        <w:tc>
          <w:tcPr>
            <w:tcW w:w="762" w:type="dxa"/>
            <w:tcBorders>
              <w:bottom w:val="single" w:sz="6" w:space="0" w:color="000000"/>
            </w:tcBorders>
          </w:tcPr>
          <w:p>
            <w:pPr>
              <w:pStyle w:val="TableParagraph"/>
              <w:spacing w:line="145" w:lineRule="exact" w:before="9"/>
              <w:ind w:right="182"/>
              <w:jc w:val="right"/>
              <w:rPr>
                <w:sz w:val="14"/>
              </w:rPr>
            </w:pPr>
            <w:r>
              <w:rPr>
                <w:w w:val="70"/>
                <w:sz w:val="14"/>
              </w:rPr>
              <w:t>1.172</w:t>
            </w:r>
          </w:p>
        </w:tc>
        <w:tc>
          <w:tcPr>
            <w:tcW w:w="751" w:type="dxa"/>
            <w:tcBorders>
              <w:bottom w:val="single" w:sz="6" w:space="0" w:color="000000"/>
            </w:tcBorders>
          </w:tcPr>
          <w:p>
            <w:pPr>
              <w:pStyle w:val="TableParagraph"/>
              <w:spacing w:line="145" w:lineRule="exact" w:before="9"/>
              <w:ind w:right="178"/>
              <w:jc w:val="right"/>
              <w:rPr>
                <w:sz w:val="14"/>
              </w:rPr>
            </w:pPr>
            <w:r>
              <w:rPr>
                <w:w w:val="75"/>
                <w:sz w:val="14"/>
              </w:rPr>
              <w:t>414</w:t>
            </w:r>
          </w:p>
        </w:tc>
        <w:tc>
          <w:tcPr>
            <w:tcW w:w="683" w:type="dxa"/>
            <w:tcBorders>
              <w:bottom w:val="single" w:sz="6" w:space="0" w:color="000000"/>
            </w:tcBorders>
          </w:tcPr>
          <w:p>
            <w:pPr>
              <w:pStyle w:val="TableParagraph"/>
              <w:spacing w:line="145" w:lineRule="exact" w:before="9"/>
              <w:ind w:right="113"/>
              <w:jc w:val="right"/>
              <w:rPr>
                <w:sz w:val="14"/>
              </w:rPr>
            </w:pPr>
            <w:r>
              <w:rPr>
                <w:w w:val="70"/>
                <w:sz w:val="14"/>
              </w:rPr>
              <w:t>1.960</w:t>
            </w:r>
          </w:p>
        </w:tc>
        <w:tc>
          <w:tcPr>
            <w:tcW w:w="692" w:type="dxa"/>
            <w:tcBorders>
              <w:bottom w:val="single" w:sz="6" w:space="0" w:color="000000"/>
            </w:tcBorders>
          </w:tcPr>
          <w:p>
            <w:pPr>
              <w:pStyle w:val="TableParagraph"/>
              <w:spacing w:line="145" w:lineRule="exact" w:before="9"/>
              <w:ind w:right="138"/>
              <w:jc w:val="right"/>
              <w:rPr>
                <w:sz w:val="14"/>
              </w:rPr>
            </w:pPr>
            <w:r>
              <w:rPr>
                <w:w w:val="70"/>
                <w:sz w:val="14"/>
              </w:rPr>
              <w:t>30.124</w:t>
            </w:r>
          </w:p>
        </w:tc>
        <w:tc>
          <w:tcPr>
            <w:tcW w:w="751" w:type="dxa"/>
            <w:tcBorders>
              <w:bottom w:val="single" w:sz="6" w:space="0" w:color="000000"/>
            </w:tcBorders>
          </w:tcPr>
          <w:p>
            <w:pPr>
              <w:pStyle w:val="TableParagraph"/>
              <w:spacing w:line="145" w:lineRule="exact" w:before="9"/>
              <w:ind w:right="137"/>
              <w:jc w:val="right"/>
              <w:rPr>
                <w:sz w:val="14"/>
              </w:rPr>
            </w:pPr>
            <w:r>
              <w:rPr>
                <w:w w:val="70"/>
                <w:sz w:val="14"/>
              </w:rPr>
              <w:t>38.655</w:t>
            </w:r>
          </w:p>
        </w:tc>
        <w:tc>
          <w:tcPr>
            <w:tcW w:w="672" w:type="dxa"/>
            <w:tcBorders>
              <w:bottom w:val="single" w:sz="6" w:space="0" w:color="000000"/>
            </w:tcBorders>
          </w:tcPr>
          <w:p>
            <w:pPr>
              <w:pStyle w:val="TableParagraph"/>
              <w:spacing w:line="145" w:lineRule="exact" w:before="9"/>
              <w:ind w:right="58"/>
              <w:jc w:val="right"/>
              <w:rPr>
                <w:sz w:val="14"/>
              </w:rPr>
            </w:pPr>
            <w:r>
              <w:rPr>
                <w:w w:val="70"/>
                <w:sz w:val="14"/>
              </w:rPr>
              <w:t>34.523</w:t>
            </w:r>
          </w:p>
        </w:tc>
      </w:tr>
      <w:tr>
        <w:trPr>
          <w:trHeight w:val="174" w:hRule="atLeast"/>
        </w:trPr>
        <w:tc>
          <w:tcPr>
            <w:tcW w:w="2689" w:type="dxa"/>
          </w:tcPr>
          <w:p>
            <w:pPr>
              <w:pStyle w:val="TableParagraph"/>
              <w:spacing w:line="147" w:lineRule="exact" w:before="7"/>
              <w:ind w:left="26"/>
              <w:rPr>
                <w:rFonts w:ascii="Caladea" w:hAnsi="Caladea"/>
                <w:b/>
                <w:sz w:val="14"/>
              </w:rPr>
            </w:pPr>
            <w:r>
              <w:rPr>
                <w:rFonts w:ascii="Caladea" w:hAnsi="Caladea"/>
                <w:b/>
                <w:w w:val="85"/>
                <w:sz w:val="14"/>
              </w:rPr>
              <w:t>Não Circulante</w:t>
            </w: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47" w:lineRule="exact" w:before="7"/>
              <w:ind w:left="64"/>
              <w:rPr>
                <w:rFonts w:ascii="Caladea"/>
                <w:b/>
                <w:sz w:val="14"/>
              </w:rPr>
            </w:pPr>
            <w:r>
              <w:rPr>
                <w:rFonts w:ascii="Caladea"/>
                <w:b/>
                <w:w w:val="85"/>
                <w:sz w:val="14"/>
              </w:rPr>
              <w:t>Total do Circulante</w:t>
            </w:r>
          </w:p>
        </w:tc>
        <w:tc>
          <w:tcPr>
            <w:tcW w:w="279" w:type="dxa"/>
          </w:tcPr>
          <w:p>
            <w:pPr>
              <w:pStyle w:val="TableParagraph"/>
              <w:rPr>
                <w:rFonts w:ascii="Times New Roman"/>
                <w:sz w:val="10"/>
              </w:rPr>
            </w:pPr>
          </w:p>
        </w:tc>
        <w:tc>
          <w:tcPr>
            <w:tcW w:w="762" w:type="dxa"/>
            <w:tcBorders>
              <w:top w:val="single" w:sz="6" w:space="0" w:color="000000"/>
              <w:bottom w:val="single" w:sz="6" w:space="0" w:color="000000"/>
            </w:tcBorders>
          </w:tcPr>
          <w:p>
            <w:pPr>
              <w:pStyle w:val="TableParagraph"/>
              <w:spacing w:line="147" w:lineRule="exact" w:before="7"/>
              <w:ind w:right="178"/>
              <w:jc w:val="right"/>
              <w:rPr>
                <w:rFonts w:ascii="Caladea"/>
                <w:b/>
                <w:sz w:val="14"/>
              </w:rPr>
            </w:pPr>
            <w:r>
              <w:rPr>
                <w:rFonts w:ascii="Caladea"/>
                <w:b/>
                <w:w w:val="70"/>
                <w:sz w:val="14"/>
              </w:rPr>
              <w:t>73.237</w:t>
            </w:r>
          </w:p>
        </w:tc>
        <w:tc>
          <w:tcPr>
            <w:tcW w:w="751" w:type="dxa"/>
            <w:tcBorders>
              <w:top w:val="single" w:sz="6" w:space="0" w:color="000000"/>
              <w:bottom w:val="single" w:sz="6" w:space="0" w:color="000000"/>
            </w:tcBorders>
          </w:tcPr>
          <w:p>
            <w:pPr>
              <w:pStyle w:val="TableParagraph"/>
              <w:spacing w:line="147" w:lineRule="exact" w:before="7"/>
              <w:ind w:right="178"/>
              <w:jc w:val="right"/>
              <w:rPr>
                <w:rFonts w:ascii="Caladea"/>
                <w:b/>
                <w:sz w:val="14"/>
              </w:rPr>
            </w:pPr>
            <w:r>
              <w:rPr>
                <w:rFonts w:ascii="Caladea"/>
                <w:b/>
                <w:w w:val="70"/>
                <w:sz w:val="14"/>
              </w:rPr>
              <w:t>27.443</w:t>
            </w:r>
          </w:p>
        </w:tc>
        <w:tc>
          <w:tcPr>
            <w:tcW w:w="683" w:type="dxa"/>
            <w:tcBorders>
              <w:top w:val="single" w:sz="6" w:space="0" w:color="000000"/>
              <w:bottom w:val="single" w:sz="6" w:space="0" w:color="000000"/>
            </w:tcBorders>
          </w:tcPr>
          <w:p>
            <w:pPr>
              <w:pStyle w:val="TableParagraph"/>
              <w:spacing w:line="147" w:lineRule="exact" w:before="7"/>
              <w:ind w:right="109"/>
              <w:jc w:val="right"/>
              <w:rPr>
                <w:rFonts w:ascii="Caladea"/>
                <w:b/>
                <w:sz w:val="14"/>
              </w:rPr>
            </w:pPr>
            <w:r>
              <w:rPr>
                <w:rFonts w:ascii="Caladea"/>
                <w:b/>
                <w:w w:val="70"/>
                <w:sz w:val="14"/>
              </w:rPr>
              <w:t>24.158</w:t>
            </w:r>
          </w:p>
        </w:tc>
        <w:tc>
          <w:tcPr>
            <w:tcW w:w="692" w:type="dxa"/>
            <w:tcBorders>
              <w:top w:val="single" w:sz="6" w:space="0" w:color="000000"/>
              <w:bottom w:val="single" w:sz="6" w:space="0" w:color="000000"/>
            </w:tcBorders>
          </w:tcPr>
          <w:p>
            <w:pPr>
              <w:pStyle w:val="TableParagraph"/>
              <w:spacing w:line="147" w:lineRule="exact" w:before="7"/>
              <w:ind w:right="134"/>
              <w:jc w:val="right"/>
              <w:rPr>
                <w:rFonts w:ascii="Caladea"/>
                <w:b/>
                <w:sz w:val="14"/>
              </w:rPr>
            </w:pPr>
            <w:r>
              <w:rPr>
                <w:rFonts w:ascii="Caladea"/>
                <w:b/>
                <w:w w:val="70"/>
                <w:sz w:val="14"/>
              </w:rPr>
              <w:t>1.568.080</w:t>
            </w:r>
          </w:p>
        </w:tc>
        <w:tc>
          <w:tcPr>
            <w:tcW w:w="751" w:type="dxa"/>
            <w:tcBorders>
              <w:top w:val="single" w:sz="6" w:space="0" w:color="000000"/>
              <w:bottom w:val="single" w:sz="6" w:space="0" w:color="000000"/>
            </w:tcBorders>
          </w:tcPr>
          <w:p>
            <w:pPr>
              <w:pStyle w:val="TableParagraph"/>
              <w:spacing w:line="147" w:lineRule="exact" w:before="7"/>
              <w:ind w:right="133"/>
              <w:jc w:val="right"/>
              <w:rPr>
                <w:rFonts w:ascii="Caladea"/>
                <w:b/>
                <w:sz w:val="14"/>
              </w:rPr>
            </w:pPr>
            <w:r>
              <w:rPr>
                <w:rFonts w:ascii="Caladea"/>
                <w:b/>
                <w:w w:val="70"/>
                <w:sz w:val="14"/>
              </w:rPr>
              <w:t>1.928.843</w:t>
            </w:r>
          </w:p>
        </w:tc>
        <w:tc>
          <w:tcPr>
            <w:tcW w:w="672" w:type="dxa"/>
            <w:tcBorders>
              <w:top w:val="single" w:sz="6" w:space="0" w:color="000000"/>
              <w:bottom w:val="single" w:sz="6" w:space="0" w:color="000000"/>
            </w:tcBorders>
          </w:tcPr>
          <w:p>
            <w:pPr>
              <w:pStyle w:val="TableParagraph"/>
              <w:spacing w:line="147" w:lineRule="exact" w:before="7"/>
              <w:ind w:right="54"/>
              <w:jc w:val="right"/>
              <w:rPr>
                <w:rFonts w:ascii="Caladea"/>
                <w:b/>
                <w:sz w:val="14"/>
              </w:rPr>
            </w:pPr>
            <w:r>
              <w:rPr>
                <w:rFonts w:ascii="Caladea"/>
                <w:b/>
                <w:w w:val="70"/>
                <w:sz w:val="14"/>
              </w:rPr>
              <w:t>1.682.726</w:t>
            </w:r>
          </w:p>
        </w:tc>
      </w:tr>
      <w:tr>
        <w:trPr>
          <w:trHeight w:val="184" w:hRule="atLeast"/>
        </w:trPr>
        <w:tc>
          <w:tcPr>
            <w:tcW w:w="2689" w:type="dxa"/>
          </w:tcPr>
          <w:p>
            <w:pPr>
              <w:pStyle w:val="TableParagraph"/>
              <w:spacing w:line="155" w:lineRule="exact" w:before="9"/>
              <w:ind w:left="26"/>
              <w:rPr>
                <w:sz w:val="14"/>
              </w:rPr>
            </w:pPr>
            <w:r>
              <w:rPr>
                <w:w w:val="80"/>
                <w:sz w:val="14"/>
              </w:rPr>
              <w:t>Aplicações Financeiras</w:t>
            </w:r>
          </w:p>
        </w:tc>
        <w:tc>
          <w:tcPr>
            <w:tcW w:w="250" w:type="dxa"/>
          </w:tcPr>
          <w:p>
            <w:pPr>
              <w:pStyle w:val="TableParagraph"/>
              <w:spacing w:line="155" w:lineRule="exact" w:before="9"/>
              <w:ind w:left="49" w:right="35"/>
              <w:jc w:val="center"/>
              <w:rPr>
                <w:sz w:val="14"/>
              </w:rPr>
            </w:pPr>
            <w:r>
              <w:rPr>
                <w:w w:val="85"/>
                <w:sz w:val="14"/>
              </w:rPr>
              <w:t>12</w:t>
            </w: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spacing w:line="155" w:lineRule="exact" w:before="9"/>
              <w:ind w:right="133"/>
              <w:jc w:val="right"/>
              <w:rPr>
                <w:sz w:val="14"/>
              </w:rPr>
            </w:pPr>
            <w:r>
              <w:rPr>
                <w:w w:val="70"/>
                <w:sz w:val="14"/>
              </w:rPr>
              <w:t>10.886</w:t>
            </w:r>
          </w:p>
        </w:tc>
        <w:tc>
          <w:tcPr>
            <w:tcW w:w="734" w:type="dxa"/>
          </w:tcPr>
          <w:p>
            <w:pPr>
              <w:pStyle w:val="TableParagraph"/>
              <w:spacing w:line="155" w:lineRule="exact" w:before="9"/>
              <w:ind w:right="132"/>
              <w:jc w:val="right"/>
              <w:rPr>
                <w:sz w:val="14"/>
              </w:rPr>
            </w:pPr>
            <w:r>
              <w:rPr>
                <w:w w:val="70"/>
                <w:sz w:val="14"/>
              </w:rPr>
              <w:t>10.355</w:t>
            </w:r>
          </w:p>
        </w:tc>
        <w:tc>
          <w:tcPr>
            <w:tcW w:w="666" w:type="dxa"/>
          </w:tcPr>
          <w:p>
            <w:pPr>
              <w:pStyle w:val="TableParagraph"/>
              <w:spacing w:line="155" w:lineRule="exact" w:before="9"/>
              <w:ind w:right="63"/>
              <w:jc w:val="right"/>
              <w:rPr>
                <w:sz w:val="14"/>
              </w:rPr>
            </w:pPr>
            <w:r>
              <w:rPr>
                <w:w w:val="70"/>
                <w:sz w:val="14"/>
              </w:rPr>
              <w:t>7.770</w:t>
            </w:r>
          </w:p>
        </w:tc>
        <w:tc>
          <w:tcPr>
            <w:tcW w:w="2819" w:type="dxa"/>
          </w:tcPr>
          <w:p>
            <w:pPr>
              <w:pStyle w:val="TableParagraph"/>
              <w:rPr>
                <w:rFonts w:ascii="Times New Roman"/>
                <w:sz w:val="10"/>
              </w:rPr>
            </w:pPr>
          </w:p>
        </w:tc>
        <w:tc>
          <w:tcPr>
            <w:tcW w:w="279" w:type="dxa"/>
          </w:tcPr>
          <w:p>
            <w:pPr>
              <w:pStyle w:val="TableParagraph"/>
              <w:rPr>
                <w:rFonts w:ascii="Times New Roman"/>
                <w:sz w:val="10"/>
              </w:rPr>
            </w:pPr>
          </w:p>
        </w:tc>
        <w:tc>
          <w:tcPr>
            <w:tcW w:w="762" w:type="dxa"/>
            <w:tcBorders>
              <w:top w:val="single" w:sz="6" w:space="0" w:color="000000"/>
            </w:tcBorders>
          </w:tcPr>
          <w:p>
            <w:pPr>
              <w:pStyle w:val="TableParagraph"/>
              <w:rPr>
                <w:rFonts w:ascii="Times New Roman"/>
                <w:sz w:val="10"/>
              </w:rPr>
            </w:pPr>
          </w:p>
        </w:tc>
        <w:tc>
          <w:tcPr>
            <w:tcW w:w="751" w:type="dxa"/>
            <w:tcBorders>
              <w:top w:val="single" w:sz="6" w:space="0" w:color="000000"/>
            </w:tcBorders>
          </w:tcPr>
          <w:p>
            <w:pPr>
              <w:pStyle w:val="TableParagraph"/>
              <w:rPr>
                <w:rFonts w:ascii="Times New Roman"/>
                <w:sz w:val="10"/>
              </w:rPr>
            </w:pPr>
          </w:p>
        </w:tc>
        <w:tc>
          <w:tcPr>
            <w:tcW w:w="683" w:type="dxa"/>
            <w:tcBorders>
              <w:top w:val="single" w:sz="6" w:space="0" w:color="000000"/>
            </w:tcBorders>
          </w:tcPr>
          <w:p>
            <w:pPr>
              <w:pStyle w:val="TableParagraph"/>
              <w:rPr>
                <w:rFonts w:ascii="Times New Roman"/>
                <w:sz w:val="10"/>
              </w:rPr>
            </w:pPr>
          </w:p>
        </w:tc>
        <w:tc>
          <w:tcPr>
            <w:tcW w:w="692" w:type="dxa"/>
            <w:tcBorders>
              <w:top w:val="single" w:sz="6" w:space="0" w:color="000000"/>
            </w:tcBorders>
          </w:tcPr>
          <w:p>
            <w:pPr>
              <w:pStyle w:val="TableParagraph"/>
              <w:rPr>
                <w:rFonts w:ascii="Times New Roman"/>
                <w:sz w:val="10"/>
              </w:rPr>
            </w:pPr>
          </w:p>
        </w:tc>
        <w:tc>
          <w:tcPr>
            <w:tcW w:w="751" w:type="dxa"/>
            <w:tcBorders>
              <w:top w:val="single" w:sz="6" w:space="0" w:color="000000"/>
            </w:tcBorders>
          </w:tcPr>
          <w:p>
            <w:pPr>
              <w:pStyle w:val="TableParagraph"/>
              <w:rPr>
                <w:rFonts w:ascii="Times New Roman"/>
                <w:sz w:val="10"/>
              </w:rPr>
            </w:pPr>
          </w:p>
        </w:tc>
        <w:tc>
          <w:tcPr>
            <w:tcW w:w="672" w:type="dxa"/>
            <w:tcBorders>
              <w:top w:val="single" w:sz="6" w:space="0" w:color="000000"/>
            </w:tcBorders>
          </w:tcPr>
          <w:p>
            <w:pPr>
              <w:pStyle w:val="TableParagraph"/>
              <w:rPr>
                <w:rFonts w:ascii="Times New Roman"/>
                <w:sz w:val="10"/>
              </w:rPr>
            </w:pPr>
          </w:p>
        </w:tc>
      </w:tr>
      <w:tr>
        <w:trPr>
          <w:trHeight w:val="189" w:hRule="atLeast"/>
        </w:trPr>
        <w:tc>
          <w:tcPr>
            <w:tcW w:w="2689" w:type="dxa"/>
          </w:tcPr>
          <w:p>
            <w:pPr>
              <w:pStyle w:val="TableParagraph"/>
              <w:spacing w:line="154" w:lineRule="exact" w:before="15"/>
              <w:ind w:left="26"/>
              <w:rPr>
                <w:sz w:val="14"/>
              </w:rPr>
            </w:pPr>
            <w:r>
              <w:rPr>
                <w:w w:val="80"/>
                <w:sz w:val="14"/>
              </w:rPr>
              <w:t>Contas a Receber</w:t>
            </w:r>
          </w:p>
        </w:tc>
        <w:tc>
          <w:tcPr>
            <w:tcW w:w="250" w:type="dxa"/>
          </w:tcPr>
          <w:p>
            <w:pPr>
              <w:pStyle w:val="TableParagraph"/>
              <w:spacing w:line="154" w:lineRule="exact" w:before="15"/>
              <w:ind w:left="70"/>
              <w:jc w:val="center"/>
              <w:rPr>
                <w:sz w:val="14"/>
              </w:rPr>
            </w:pPr>
            <w:r>
              <w:rPr>
                <w:w w:val="76"/>
                <w:sz w:val="14"/>
              </w:rPr>
              <w:t>6</w:t>
            </w: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spacing w:line="154" w:lineRule="exact" w:before="15"/>
              <w:ind w:right="133"/>
              <w:jc w:val="right"/>
              <w:rPr>
                <w:sz w:val="14"/>
              </w:rPr>
            </w:pPr>
            <w:r>
              <w:rPr>
                <w:w w:val="70"/>
                <w:sz w:val="14"/>
              </w:rPr>
              <w:t>64.820</w:t>
            </w:r>
          </w:p>
        </w:tc>
        <w:tc>
          <w:tcPr>
            <w:tcW w:w="734" w:type="dxa"/>
          </w:tcPr>
          <w:p>
            <w:pPr>
              <w:pStyle w:val="TableParagraph"/>
              <w:spacing w:line="154" w:lineRule="exact" w:before="15"/>
              <w:ind w:right="132"/>
              <w:jc w:val="right"/>
              <w:rPr>
                <w:sz w:val="14"/>
              </w:rPr>
            </w:pPr>
            <w:r>
              <w:rPr>
                <w:w w:val="70"/>
                <w:sz w:val="14"/>
              </w:rPr>
              <w:t>33.317</w:t>
            </w:r>
          </w:p>
        </w:tc>
        <w:tc>
          <w:tcPr>
            <w:tcW w:w="666" w:type="dxa"/>
          </w:tcPr>
          <w:p>
            <w:pPr>
              <w:pStyle w:val="TableParagraph"/>
              <w:spacing w:line="154" w:lineRule="exact" w:before="15"/>
              <w:ind w:right="63"/>
              <w:jc w:val="right"/>
              <w:rPr>
                <w:sz w:val="14"/>
              </w:rPr>
            </w:pPr>
            <w:r>
              <w:rPr>
                <w:w w:val="70"/>
                <w:sz w:val="14"/>
              </w:rPr>
              <w:t>43.295</w:t>
            </w:r>
          </w:p>
        </w:tc>
        <w:tc>
          <w:tcPr>
            <w:tcW w:w="2819" w:type="dxa"/>
          </w:tcPr>
          <w:p>
            <w:pPr>
              <w:pStyle w:val="TableParagraph"/>
              <w:spacing w:line="156" w:lineRule="exact" w:before="14"/>
              <w:ind w:left="64"/>
              <w:rPr>
                <w:rFonts w:ascii="Caladea" w:hAnsi="Caladea"/>
                <w:b/>
                <w:sz w:val="14"/>
              </w:rPr>
            </w:pPr>
            <w:r>
              <w:rPr>
                <w:rFonts w:ascii="Caladea" w:hAnsi="Caladea"/>
                <w:b/>
                <w:w w:val="85"/>
                <w:sz w:val="14"/>
              </w:rPr>
              <w:t>Não Circulante</w:t>
            </w:r>
          </w:p>
        </w:tc>
        <w:tc>
          <w:tcPr>
            <w:tcW w:w="279" w:type="dxa"/>
          </w:tcPr>
          <w:p>
            <w:pPr>
              <w:pStyle w:val="TableParagraph"/>
              <w:rPr>
                <w:rFonts w:ascii="Times New Roman"/>
                <w:sz w:val="10"/>
              </w:rPr>
            </w:pP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rPr>
                <w:rFonts w:ascii="Times New Roman"/>
                <w:sz w:val="10"/>
              </w:rPr>
            </w:pPr>
          </w:p>
        </w:tc>
        <w:tc>
          <w:tcPr>
            <w:tcW w:w="751" w:type="dxa"/>
          </w:tcPr>
          <w:p>
            <w:pPr>
              <w:pStyle w:val="TableParagraph"/>
              <w:rPr>
                <w:rFonts w:ascii="Times New Roman"/>
                <w:sz w:val="10"/>
              </w:rPr>
            </w:pPr>
          </w:p>
        </w:tc>
        <w:tc>
          <w:tcPr>
            <w:tcW w:w="672" w:type="dxa"/>
          </w:tcPr>
          <w:p>
            <w:pPr>
              <w:pStyle w:val="TableParagraph"/>
              <w:rPr>
                <w:rFonts w:ascii="Times New Roman"/>
                <w:sz w:val="10"/>
              </w:rPr>
            </w:pPr>
          </w:p>
        </w:tc>
      </w:tr>
      <w:tr>
        <w:trPr>
          <w:trHeight w:val="189" w:hRule="atLeast"/>
        </w:trPr>
        <w:tc>
          <w:tcPr>
            <w:tcW w:w="2689" w:type="dxa"/>
          </w:tcPr>
          <w:p>
            <w:pPr>
              <w:pStyle w:val="TableParagraph"/>
              <w:spacing w:line="155" w:lineRule="exact" w:before="15"/>
              <w:ind w:left="26"/>
              <w:rPr>
                <w:sz w:val="14"/>
              </w:rPr>
            </w:pPr>
            <w:r>
              <w:rPr>
                <w:w w:val="80"/>
                <w:sz w:val="14"/>
              </w:rPr>
              <w:t>Empréstimos e Financiamentos</w:t>
            </w:r>
          </w:p>
        </w:tc>
        <w:tc>
          <w:tcPr>
            <w:tcW w:w="250" w:type="dxa"/>
          </w:tcPr>
          <w:p>
            <w:pPr>
              <w:pStyle w:val="TableParagraph"/>
              <w:rPr>
                <w:rFonts w:ascii="Times New Roman"/>
                <w:sz w:val="10"/>
              </w:rPr>
            </w:pPr>
          </w:p>
        </w:tc>
        <w:tc>
          <w:tcPr>
            <w:tcW w:w="802" w:type="dxa"/>
          </w:tcPr>
          <w:p>
            <w:pPr>
              <w:pStyle w:val="TableParagraph"/>
              <w:spacing w:line="155" w:lineRule="exact" w:before="15"/>
              <w:ind w:right="177"/>
              <w:jc w:val="right"/>
              <w:rPr>
                <w:sz w:val="14"/>
              </w:rPr>
            </w:pPr>
            <w:r>
              <w:rPr>
                <w:w w:val="70"/>
                <w:sz w:val="14"/>
              </w:rPr>
              <w:t>11.466</w:t>
            </w:r>
          </w:p>
        </w:tc>
        <w:tc>
          <w:tcPr>
            <w:tcW w:w="734" w:type="dxa"/>
          </w:tcPr>
          <w:p>
            <w:pPr>
              <w:pStyle w:val="TableParagraph"/>
              <w:spacing w:line="155" w:lineRule="exact" w:before="15"/>
              <w:ind w:left="186" w:right="120"/>
              <w:jc w:val="center"/>
              <w:rPr>
                <w:sz w:val="14"/>
              </w:rPr>
            </w:pPr>
            <w:r>
              <w:rPr>
                <w:w w:val="80"/>
                <w:sz w:val="14"/>
              </w:rPr>
              <w:t>13.415</w:t>
            </w:r>
          </w:p>
        </w:tc>
        <w:tc>
          <w:tcPr>
            <w:tcW w:w="658" w:type="dxa"/>
          </w:tcPr>
          <w:p>
            <w:pPr>
              <w:pStyle w:val="TableParagraph"/>
              <w:spacing w:line="155" w:lineRule="exact" w:before="15"/>
              <w:ind w:right="100"/>
              <w:jc w:val="right"/>
              <w:rPr>
                <w:sz w:val="14"/>
              </w:rPr>
            </w:pPr>
            <w:r>
              <w:rPr>
                <w:w w:val="70"/>
                <w:sz w:val="14"/>
              </w:rPr>
              <w:t>11.849</w:t>
            </w:r>
          </w:p>
        </w:tc>
        <w:tc>
          <w:tcPr>
            <w:tcW w:w="700" w:type="dxa"/>
          </w:tcPr>
          <w:p>
            <w:pPr>
              <w:pStyle w:val="TableParagraph"/>
              <w:spacing w:line="155" w:lineRule="exact" w:before="15"/>
              <w:ind w:right="133"/>
              <w:jc w:val="right"/>
              <w:rPr>
                <w:sz w:val="14"/>
              </w:rPr>
            </w:pPr>
            <w:r>
              <w:rPr>
                <w:w w:val="70"/>
                <w:sz w:val="14"/>
              </w:rPr>
              <w:t>12.436</w:t>
            </w:r>
          </w:p>
        </w:tc>
        <w:tc>
          <w:tcPr>
            <w:tcW w:w="734" w:type="dxa"/>
          </w:tcPr>
          <w:p>
            <w:pPr>
              <w:pStyle w:val="TableParagraph"/>
              <w:spacing w:line="155" w:lineRule="exact" w:before="15"/>
              <w:ind w:right="132"/>
              <w:jc w:val="right"/>
              <w:rPr>
                <w:sz w:val="14"/>
              </w:rPr>
            </w:pPr>
            <w:r>
              <w:rPr>
                <w:w w:val="70"/>
                <w:sz w:val="14"/>
              </w:rPr>
              <w:t>14.989</w:t>
            </w:r>
          </w:p>
        </w:tc>
        <w:tc>
          <w:tcPr>
            <w:tcW w:w="666" w:type="dxa"/>
          </w:tcPr>
          <w:p>
            <w:pPr>
              <w:pStyle w:val="TableParagraph"/>
              <w:spacing w:line="155" w:lineRule="exact" w:before="15"/>
              <w:ind w:right="63"/>
              <w:jc w:val="right"/>
              <w:rPr>
                <w:sz w:val="14"/>
              </w:rPr>
            </w:pPr>
            <w:r>
              <w:rPr>
                <w:w w:val="70"/>
                <w:sz w:val="14"/>
              </w:rPr>
              <w:t>13.529</w:t>
            </w:r>
          </w:p>
        </w:tc>
        <w:tc>
          <w:tcPr>
            <w:tcW w:w="2819" w:type="dxa"/>
          </w:tcPr>
          <w:p>
            <w:pPr>
              <w:pStyle w:val="TableParagraph"/>
              <w:spacing w:line="155" w:lineRule="exact" w:before="15"/>
              <w:ind w:left="64"/>
              <w:rPr>
                <w:sz w:val="14"/>
              </w:rPr>
            </w:pPr>
            <w:r>
              <w:rPr>
                <w:w w:val="80"/>
                <w:sz w:val="14"/>
              </w:rPr>
              <w:t>Fornecedores</w:t>
            </w:r>
          </w:p>
        </w:tc>
        <w:tc>
          <w:tcPr>
            <w:tcW w:w="279" w:type="dxa"/>
          </w:tcPr>
          <w:p>
            <w:pPr>
              <w:pStyle w:val="TableParagraph"/>
              <w:spacing w:line="155" w:lineRule="exact" w:before="15"/>
              <w:ind w:right="50"/>
              <w:jc w:val="right"/>
              <w:rPr>
                <w:sz w:val="14"/>
              </w:rPr>
            </w:pPr>
            <w:r>
              <w:rPr>
                <w:w w:val="75"/>
                <w:sz w:val="14"/>
              </w:rPr>
              <w:t>17</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rPr>
                <w:rFonts w:ascii="Times New Roman"/>
                <w:sz w:val="10"/>
              </w:rPr>
            </w:pPr>
          </w:p>
        </w:tc>
        <w:tc>
          <w:tcPr>
            <w:tcW w:w="751" w:type="dxa"/>
          </w:tcPr>
          <w:p>
            <w:pPr>
              <w:pStyle w:val="TableParagraph"/>
              <w:spacing w:line="155" w:lineRule="exact" w:before="15"/>
              <w:ind w:right="129"/>
              <w:jc w:val="right"/>
              <w:rPr>
                <w:sz w:val="14"/>
              </w:rPr>
            </w:pPr>
            <w:r>
              <w:rPr>
                <w:w w:val="70"/>
                <w:sz w:val="14"/>
              </w:rPr>
              <w:t>36.830</w:t>
            </w:r>
          </w:p>
        </w:tc>
        <w:tc>
          <w:tcPr>
            <w:tcW w:w="672" w:type="dxa"/>
          </w:tcPr>
          <w:p>
            <w:pPr>
              <w:pStyle w:val="TableParagraph"/>
              <w:rPr>
                <w:rFonts w:ascii="Times New Roman"/>
                <w:sz w:val="10"/>
              </w:rPr>
            </w:pPr>
          </w:p>
        </w:tc>
      </w:tr>
      <w:tr>
        <w:trPr>
          <w:trHeight w:val="190" w:hRule="atLeast"/>
        </w:trPr>
        <w:tc>
          <w:tcPr>
            <w:tcW w:w="2689" w:type="dxa"/>
          </w:tcPr>
          <w:p>
            <w:pPr>
              <w:pStyle w:val="TableParagraph"/>
              <w:spacing w:line="155" w:lineRule="exact" w:before="15"/>
              <w:ind w:left="26"/>
              <w:rPr>
                <w:sz w:val="14"/>
              </w:rPr>
            </w:pPr>
            <w:r>
              <w:rPr>
                <w:w w:val="80"/>
                <w:sz w:val="14"/>
              </w:rPr>
              <w:t>Depósitos e Bloqueios Judiciais</w:t>
            </w:r>
          </w:p>
        </w:tc>
        <w:tc>
          <w:tcPr>
            <w:tcW w:w="250" w:type="dxa"/>
          </w:tcPr>
          <w:p>
            <w:pPr>
              <w:pStyle w:val="TableParagraph"/>
              <w:spacing w:line="155" w:lineRule="exact" w:before="15"/>
              <w:ind w:left="49" w:right="35"/>
              <w:jc w:val="center"/>
              <w:rPr>
                <w:sz w:val="14"/>
              </w:rPr>
            </w:pPr>
            <w:r>
              <w:rPr>
                <w:w w:val="85"/>
                <w:sz w:val="14"/>
              </w:rPr>
              <w:t>10</w:t>
            </w:r>
          </w:p>
        </w:tc>
        <w:tc>
          <w:tcPr>
            <w:tcW w:w="802" w:type="dxa"/>
          </w:tcPr>
          <w:p>
            <w:pPr>
              <w:pStyle w:val="TableParagraph"/>
              <w:spacing w:line="155" w:lineRule="exact" w:before="15"/>
              <w:ind w:right="177"/>
              <w:jc w:val="right"/>
              <w:rPr>
                <w:sz w:val="14"/>
              </w:rPr>
            </w:pPr>
            <w:r>
              <w:rPr>
                <w:w w:val="70"/>
                <w:sz w:val="14"/>
              </w:rPr>
              <w:t>5.893</w:t>
            </w:r>
          </w:p>
        </w:tc>
        <w:tc>
          <w:tcPr>
            <w:tcW w:w="734" w:type="dxa"/>
          </w:tcPr>
          <w:p>
            <w:pPr>
              <w:pStyle w:val="TableParagraph"/>
              <w:spacing w:line="155" w:lineRule="exact" w:before="15"/>
              <w:ind w:left="212" w:right="8"/>
              <w:jc w:val="center"/>
              <w:rPr>
                <w:sz w:val="14"/>
              </w:rPr>
            </w:pPr>
            <w:r>
              <w:rPr>
                <w:w w:val="85"/>
                <w:sz w:val="14"/>
              </w:rPr>
              <w:t>150</w:t>
            </w:r>
          </w:p>
        </w:tc>
        <w:tc>
          <w:tcPr>
            <w:tcW w:w="658" w:type="dxa"/>
          </w:tcPr>
          <w:p>
            <w:pPr>
              <w:pStyle w:val="TableParagraph"/>
              <w:spacing w:line="155" w:lineRule="exact" w:before="15"/>
              <w:ind w:right="97"/>
              <w:jc w:val="right"/>
              <w:rPr>
                <w:sz w:val="14"/>
              </w:rPr>
            </w:pPr>
            <w:r>
              <w:rPr>
                <w:w w:val="75"/>
                <w:sz w:val="14"/>
              </w:rPr>
              <w:t>150</w:t>
            </w:r>
          </w:p>
        </w:tc>
        <w:tc>
          <w:tcPr>
            <w:tcW w:w="700" w:type="dxa"/>
          </w:tcPr>
          <w:p>
            <w:pPr>
              <w:pStyle w:val="TableParagraph"/>
              <w:spacing w:line="155" w:lineRule="exact" w:before="15"/>
              <w:ind w:right="133"/>
              <w:jc w:val="right"/>
              <w:rPr>
                <w:sz w:val="14"/>
              </w:rPr>
            </w:pPr>
            <w:r>
              <w:rPr>
                <w:w w:val="70"/>
                <w:sz w:val="14"/>
              </w:rPr>
              <w:t>28.505</w:t>
            </w:r>
          </w:p>
        </w:tc>
        <w:tc>
          <w:tcPr>
            <w:tcW w:w="734" w:type="dxa"/>
          </w:tcPr>
          <w:p>
            <w:pPr>
              <w:pStyle w:val="TableParagraph"/>
              <w:spacing w:line="155" w:lineRule="exact" w:before="15"/>
              <w:ind w:right="132"/>
              <w:jc w:val="right"/>
              <w:rPr>
                <w:sz w:val="14"/>
              </w:rPr>
            </w:pPr>
            <w:r>
              <w:rPr>
                <w:w w:val="70"/>
                <w:sz w:val="14"/>
              </w:rPr>
              <w:t>14.948</w:t>
            </w:r>
          </w:p>
        </w:tc>
        <w:tc>
          <w:tcPr>
            <w:tcW w:w="666" w:type="dxa"/>
          </w:tcPr>
          <w:p>
            <w:pPr>
              <w:pStyle w:val="TableParagraph"/>
              <w:spacing w:line="155" w:lineRule="exact" w:before="15"/>
              <w:ind w:right="63"/>
              <w:jc w:val="right"/>
              <w:rPr>
                <w:sz w:val="14"/>
              </w:rPr>
            </w:pPr>
            <w:r>
              <w:rPr>
                <w:w w:val="70"/>
                <w:sz w:val="14"/>
              </w:rPr>
              <w:t>5.010</w:t>
            </w:r>
          </w:p>
        </w:tc>
        <w:tc>
          <w:tcPr>
            <w:tcW w:w="2819" w:type="dxa"/>
          </w:tcPr>
          <w:p>
            <w:pPr>
              <w:pStyle w:val="TableParagraph"/>
              <w:spacing w:line="155" w:lineRule="exact" w:before="15"/>
              <w:ind w:left="64"/>
              <w:rPr>
                <w:sz w:val="14"/>
              </w:rPr>
            </w:pPr>
            <w:r>
              <w:rPr>
                <w:w w:val="80"/>
                <w:sz w:val="14"/>
              </w:rPr>
              <w:t>Obrigações tributárias</w:t>
            </w:r>
          </w:p>
        </w:tc>
        <w:tc>
          <w:tcPr>
            <w:tcW w:w="279" w:type="dxa"/>
          </w:tcPr>
          <w:p>
            <w:pPr>
              <w:pStyle w:val="TableParagraph"/>
              <w:spacing w:line="155" w:lineRule="exact" w:before="15"/>
              <w:ind w:right="50"/>
              <w:jc w:val="right"/>
              <w:rPr>
                <w:sz w:val="14"/>
              </w:rPr>
            </w:pPr>
            <w:r>
              <w:rPr>
                <w:w w:val="75"/>
                <w:sz w:val="14"/>
              </w:rPr>
              <w:t>18</w:t>
            </w:r>
          </w:p>
        </w:tc>
        <w:tc>
          <w:tcPr>
            <w:tcW w:w="762" w:type="dxa"/>
          </w:tcPr>
          <w:p>
            <w:pPr>
              <w:pStyle w:val="TableParagraph"/>
              <w:spacing w:line="155" w:lineRule="exact" w:before="15"/>
              <w:ind w:right="174"/>
              <w:jc w:val="right"/>
              <w:rPr>
                <w:sz w:val="14"/>
              </w:rPr>
            </w:pPr>
            <w:r>
              <w:rPr>
                <w:w w:val="70"/>
                <w:sz w:val="14"/>
              </w:rPr>
              <w:t>96.782</w:t>
            </w:r>
          </w:p>
        </w:tc>
        <w:tc>
          <w:tcPr>
            <w:tcW w:w="751" w:type="dxa"/>
          </w:tcPr>
          <w:p>
            <w:pPr>
              <w:pStyle w:val="TableParagraph"/>
              <w:spacing w:line="155" w:lineRule="exact" w:before="15"/>
              <w:ind w:right="173"/>
              <w:jc w:val="right"/>
              <w:rPr>
                <w:sz w:val="14"/>
              </w:rPr>
            </w:pPr>
            <w:r>
              <w:rPr>
                <w:w w:val="70"/>
                <w:sz w:val="14"/>
              </w:rPr>
              <w:t>96.781</w:t>
            </w:r>
          </w:p>
        </w:tc>
        <w:tc>
          <w:tcPr>
            <w:tcW w:w="683" w:type="dxa"/>
          </w:tcPr>
          <w:p>
            <w:pPr>
              <w:pStyle w:val="TableParagraph"/>
              <w:spacing w:line="155" w:lineRule="exact" w:before="15"/>
              <w:ind w:right="105"/>
              <w:jc w:val="right"/>
              <w:rPr>
                <w:sz w:val="14"/>
              </w:rPr>
            </w:pPr>
            <w:r>
              <w:rPr>
                <w:w w:val="70"/>
                <w:sz w:val="14"/>
              </w:rPr>
              <w:t>97.270</w:t>
            </w:r>
          </w:p>
        </w:tc>
        <w:tc>
          <w:tcPr>
            <w:tcW w:w="692" w:type="dxa"/>
          </w:tcPr>
          <w:p>
            <w:pPr>
              <w:pStyle w:val="TableParagraph"/>
              <w:spacing w:line="155" w:lineRule="exact" w:before="15"/>
              <w:ind w:right="130"/>
              <w:jc w:val="right"/>
              <w:rPr>
                <w:sz w:val="14"/>
              </w:rPr>
            </w:pPr>
            <w:r>
              <w:rPr>
                <w:w w:val="70"/>
                <w:sz w:val="14"/>
              </w:rPr>
              <w:t>359.741</w:t>
            </w:r>
          </w:p>
        </w:tc>
        <w:tc>
          <w:tcPr>
            <w:tcW w:w="751" w:type="dxa"/>
          </w:tcPr>
          <w:p>
            <w:pPr>
              <w:pStyle w:val="TableParagraph"/>
              <w:spacing w:line="155" w:lineRule="exact" w:before="15"/>
              <w:ind w:right="129"/>
              <w:jc w:val="right"/>
              <w:rPr>
                <w:sz w:val="14"/>
              </w:rPr>
            </w:pPr>
            <w:r>
              <w:rPr>
                <w:w w:val="70"/>
                <w:sz w:val="14"/>
              </w:rPr>
              <w:t>322.356</w:t>
            </w:r>
          </w:p>
        </w:tc>
        <w:tc>
          <w:tcPr>
            <w:tcW w:w="672" w:type="dxa"/>
          </w:tcPr>
          <w:p>
            <w:pPr>
              <w:pStyle w:val="TableParagraph"/>
              <w:spacing w:line="155" w:lineRule="exact" w:before="15"/>
              <w:ind w:right="49"/>
              <w:jc w:val="right"/>
              <w:rPr>
                <w:sz w:val="14"/>
              </w:rPr>
            </w:pPr>
            <w:r>
              <w:rPr>
                <w:w w:val="70"/>
                <w:sz w:val="14"/>
              </w:rPr>
              <w:t>297.869</w:t>
            </w:r>
          </w:p>
        </w:tc>
      </w:tr>
      <w:tr>
        <w:trPr>
          <w:trHeight w:val="189" w:hRule="atLeast"/>
        </w:trPr>
        <w:tc>
          <w:tcPr>
            <w:tcW w:w="2689" w:type="dxa"/>
          </w:tcPr>
          <w:p>
            <w:pPr>
              <w:pStyle w:val="TableParagraph"/>
              <w:spacing w:line="154" w:lineRule="exact" w:before="15"/>
              <w:ind w:left="26"/>
              <w:rPr>
                <w:sz w:val="14"/>
              </w:rPr>
            </w:pPr>
            <w:r>
              <w:rPr>
                <w:w w:val="80"/>
                <w:sz w:val="14"/>
              </w:rPr>
              <w:t>Tributos e Contribuições Compensáveis</w:t>
            </w:r>
          </w:p>
        </w:tc>
        <w:tc>
          <w:tcPr>
            <w:tcW w:w="250" w:type="dxa"/>
          </w:tcPr>
          <w:p>
            <w:pPr>
              <w:pStyle w:val="TableParagraph"/>
              <w:spacing w:line="154" w:lineRule="exact" w:before="15"/>
              <w:ind w:left="70"/>
              <w:jc w:val="center"/>
              <w:rPr>
                <w:sz w:val="14"/>
              </w:rPr>
            </w:pPr>
            <w:r>
              <w:rPr>
                <w:w w:val="76"/>
                <w:sz w:val="14"/>
              </w:rPr>
              <w:t>7</w:t>
            </w:r>
          </w:p>
        </w:tc>
        <w:tc>
          <w:tcPr>
            <w:tcW w:w="802" w:type="dxa"/>
          </w:tcPr>
          <w:p>
            <w:pPr>
              <w:pStyle w:val="TableParagraph"/>
              <w:spacing w:line="154" w:lineRule="exact" w:before="15"/>
              <w:ind w:right="177"/>
              <w:jc w:val="right"/>
              <w:rPr>
                <w:sz w:val="14"/>
              </w:rPr>
            </w:pPr>
            <w:r>
              <w:rPr>
                <w:w w:val="70"/>
                <w:sz w:val="14"/>
              </w:rPr>
              <w:t>25.229</w:t>
            </w:r>
          </w:p>
        </w:tc>
        <w:tc>
          <w:tcPr>
            <w:tcW w:w="734" w:type="dxa"/>
          </w:tcPr>
          <w:p>
            <w:pPr>
              <w:pStyle w:val="TableParagraph"/>
              <w:spacing w:line="154" w:lineRule="exact" w:before="15"/>
              <w:ind w:left="186" w:right="120"/>
              <w:jc w:val="center"/>
              <w:rPr>
                <w:sz w:val="14"/>
              </w:rPr>
            </w:pPr>
            <w:r>
              <w:rPr>
                <w:w w:val="80"/>
                <w:sz w:val="14"/>
              </w:rPr>
              <w:t>26.063</w:t>
            </w:r>
          </w:p>
        </w:tc>
        <w:tc>
          <w:tcPr>
            <w:tcW w:w="658" w:type="dxa"/>
          </w:tcPr>
          <w:p>
            <w:pPr>
              <w:pStyle w:val="TableParagraph"/>
              <w:spacing w:line="154" w:lineRule="exact" w:before="15"/>
              <w:ind w:right="100"/>
              <w:jc w:val="right"/>
              <w:rPr>
                <w:sz w:val="14"/>
              </w:rPr>
            </w:pPr>
            <w:r>
              <w:rPr>
                <w:w w:val="70"/>
                <w:sz w:val="14"/>
              </w:rPr>
              <w:t>30.228</w:t>
            </w:r>
          </w:p>
        </w:tc>
        <w:tc>
          <w:tcPr>
            <w:tcW w:w="700" w:type="dxa"/>
          </w:tcPr>
          <w:p>
            <w:pPr>
              <w:pStyle w:val="TableParagraph"/>
              <w:spacing w:line="154" w:lineRule="exact" w:before="15"/>
              <w:ind w:right="133"/>
              <w:jc w:val="right"/>
              <w:rPr>
                <w:sz w:val="14"/>
              </w:rPr>
            </w:pPr>
            <w:r>
              <w:rPr>
                <w:w w:val="70"/>
                <w:sz w:val="14"/>
              </w:rPr>
              <w:t>31.147</w:t>
            </w:r>
          </w:p>
        </w:tc>
        <w:tc>
          <w:tcPr>
            <w:tcW w:w="734" w:type="dxa"/>
          </w:tcPr>
          <w:p>
            <w:pPr>
              <w:pStyle w:val="TableParagraph"/>
              <w:spacing w:line="154" w:lineRule="exact" w:before="15"/>
              <w:ind w:right="132"/>
              <w:jc w:val="right"/>
              <w:rPr>
                <w:sz w:val="14"/>
              </w:rPr>
            </w:pPr>
            <w:r>
              <w:rPr>
                <w:w w:val="70"/>
                <w:sz w:val="14"/>
              </w:rPr>
              <w:t>32.147</w:t>
            </w:r>
          </w:p>
        </w:tc>
        <w:tc>
          <w:tcPr>
            <w:tcW w:w="666" w:type="dxa"/>
          </w:tcPr>
          <w:p>
            <w:pPr>
              <w:pStyle w:val="TableParagraph"/>
              <w:spacing w:line="154" w:lineRule="exact" w:before="15"/>
              <w:ind w:right="63"/>
              <w:jc w:val="right"/>
              <w:rPr>
                <w:sz w:val="14"/>
              </w:rPr>
            </w:pPr>
            <w:r>
              <w:rPr>
                <w:w w:val="70"/>
                <w:sz w:val="14"/>
              </w:rPr>
              <w:t>36.252</w:t>
            </w:r>
          </w:p>
        </w:tc>
        <w:tc>
          <w:tcPr>
            <w:tcW w:w="2819" w:type="dxa"/>
          </w:tcPr>
          <w:p>
            <w:pPr>
              <w:pStyle w:val="TableParagraph"/>
              <w:spacing w:line="154" w:lineRule="exact" w:before="15"/>
              <w:ind w:left="64"/>
              <w:rPr>
                <w:sz w:val="14"/>
              </w:rPr>
            </w:pPr>
            <w:r>
              <w:rPr>
                <w:w w:val="80"/>
                <w:sz w:val="14"/>
              </w:rPr>
              <w:t>Contribuição de iluminação pública</w:t>
            </w:r>
          </w:p>
        </w:tc>
        <w:tc>
          <w:tcPr>
            <w:tcW w:w="279" w:type="dxa"/>
          </w:tcPr>
          <w:p>
            <w:pPr>
              <w:pStyle w:val="TableParagraph"/>
              <w:spacing w:line="154" w:lineRule="exact" w:before="15"/>
              <w:ind w:right="50"/>
              <w:jc w:val="right"/>
              <w:rPr>
                <w:sz w:val="14"/>
              </w:rPr>
            </w:pPr>
            <w:r>
              <w:rPr>
                <w:w w:val="75"/>
                <w:sz w:val="14"/>
              </w:rPr>
              <w:t>19</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4" w:lineRule="exact" w:before="15"/>
              <w:ind w:left="163"/>
              <w:jc w:val="center"/>
              <w:rPr>
                <w:sz w:val="14"/>
              </w:rPr>
            </w:pPr>
            <w:r>
              <w:rPr>
                <w:w w:val="65"/>
                <w:sz w:val="14"/>
              </w:rPr>
              <w:t>-</w:t>
            </w:r>
          </w:p>
        </w:tc>
        <w:tc>
          <w:tcPr>
            <w:tcW w:w="751" w:type="dxa"/>
          </w:tcPr>
          <w:p>
            <w:pPr>
              <w:pStyle w:val="TableParagraph"/>
              <w:spacing w:line="154" w:lineRule="exact" w:before="15"/>
              <w:ind w:right="129"/>
              <w:jc w:val="right"/>
              <w:rPr>
                <w:sz w:val="14"/>
              </w:rPr>
            </w:pPr>
            <w:r>
              <w:rPr>
                <w:w w:val="70"/>
                <w:sz w:val="14"/>
              </w:rPr>
              <w:t>3.393</w:t>
            </w:r>
          </w:p>
        </w:tc>
        <w:tc>
          <w:tcPr>
            <w:tcW w:w="672" w:type="dxa"/>
          </w:tcPr>
          <w:p>
            <w:pPr>
              <w:pStyle w:val="TableParagraph"/>
              <w:spacing w:line="154" w:lineRule="exact" w:before="15"/>
              <w:ind w:right="50"/>
              <w:jc w:val="right"/>
              <w:rPr>
                <w:sz w:val="14"/>
              </w:rPr>
            </w:pPr>
            <w:r>
              <w:rPr>
                <w:w w:val="70"/>
                <w:sz w:val="14"/>
              </w:rPr>
              <w:t>42.494</w:t>
            </w:r>
          </w:p>
        </w:tc>
      </w:tr>
      <w:tr>
        <w:trPr>
          <w:trHeight w:val="189" w:hRule="atLeast"/>
        </w:trPr>
        <w:tc>
          <w:tcPr>
            <w:tcW w:w="2689" w:type="dxa"/>
          </w:tcPr>
          <w:p>
            <w:pPr>
              <w:pStyle w:val="TableParagraph"/>
              <w:spacing w:line="155" w:lineRule="exact" w:before="15"/>
              <w:ind w:left="26"/>
              <w:rPr>
                <w:sz w:val="14"/>
              </w:rPr>
            </w:pPr>
            <w:r>
              <w:rPr>
                <w:w w:val="80"/>
                <w:sz w:val="14"/>
              </w:rPr>
              <w:t>Ativo Financeiro Indenizável</w:t>
            </w:r>
          </w:p>
        </w:tc>
        <w:tc>
          <w:tcPr>
            <w:tcW w:w="250" w:type="dxa"/>
          </w:tcPr>
          <w:p>
            <w:pPr>
              <w:pStyle w:val="TableParagraph"/>
              <w:spacing w:line="155" w:lineRule="exact" w:before="15"/>
              <w:ind w:left="49" w:right="35"/>
              <w:jc w:val="center"/>
              <w:rPr>
                <w:sz w:val="14"/>
              </w:rPr>
            </w:pPr>
            <w:r>
              <w:rPr>
                <w:w w:val="85"/>
                <w:sz w:val="14"/>
              </w:rPr>
              <w:t>11</w:t>
            </w: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spacing w:line="155" w:lineRule="exact" w:before="15"/>
              <w:ind w:right="133"/>
              <w:jc w:val="right"/>
              <w:rPr>
                <w:sz w:val="14"/>
              </w:rPr>
            </w:pPr>
            <w:r>
              <w:rPr>
                <w:w w:val="70"/>
                <w:sz w:val="14"/>
              </w:rPr>
              <w:t>150.638</w:t>
            </w:r>
          </w:p>
        </w:tc>
        <w:tc>
          <w:tcPr>
            <w:tcW w:w="734" w:type="dxa"/>
          </w:tcPr>
          <w:p>
            <w:pPr>
              <w:pStyle w:val="TableParagraph"/>
              <w:spacing w:line="155" w:lineRule="exact" w:before="15"/>
              <w:ind w:right="132"/>
              <w:jc w:val="right"/>
              <w:rPr>
                <w:sz w:val="14"/>
              </w:rPr>
            </w:pPr>
            <w:r>
              <w:rPr>
                <w:w w:val="70"/>
                <w:sz w:val="14"/>
              </w:rPr>
              <w:t>144.450</w:t>
            </w:r>
          </w:p>
        </w:tc>
        <w:tc>
          <w:tcPr>
            <w:tcW w:w="666" w:type="dxa"/>
          </w:tcPr>
          <w:p>
            <w:pPr>
              <w:pStyle w:val="TableParagraph"/>
              <w:spacing w:line="155" w:lineRule="exact" w:before="15"/>
              <w:ind w:right="64"/>
              <w:jc w:val="right"/>
              <w:rPr>
                <w:sz w:val="14"/>
              </w:rPr>
            </w:pPr>
            <w:r>
              <w:rPr>
                <w:w w:val="70"/>
                <w:sz w:val="14"/>
              </w:rPr>
              <w:t>137.481</w:t>
            </w:r>
          </w:p>
        </w:tc>
        <w:tc>
          <w:tcPr>
            <w:tcW w:w="2819" w:type="dxa"/>
          </w:tcPr>
          <w:p>
            <w:pPr>
              <w:pStyle w:val="TableParagraph"/>
              <w:spacing w:line="155" w:lineRule="exact" w:before="15"/>
              <w:ind w:left="64"/>
              <w:rPr>
                <w:sz w:val="14"/>
              </w:rPr>
            </w:pPr>
            <w:r>
              <w:rPr>
                <w:w w:val="80"/>
                <w:sz w:val="14"/>
              </w:rPr>
              <w:t>Debêntures</w:t>
            </w:r>
          </w:p>
        </w:tc>
        <w:tc>
          <w:tcPr>
            <w:tcW w:w="279" w:type="dxa"/>
          </w:tcPr>
          <w:p>
            <w:pPr>
              <w:pStyle w:val="TableParagraph"/>
              <w:spacing w:line="155" w:lineRule="exact" w:before="15"/>
              <w:ind w:right="50"/>
              <w:jc w:val="right"/>
              <w:rPr>
                <w:sz w:val="14"/>
              </w:rPr>
            </w:pPr>
            <w:r>
              <w:rPr>
                <w:w w:val="75"/>
                <w:sz w:val="14"/>
              </w:rPr>
              <w:t>21</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5" w:lineRule="exact" w:before="15"/>
              <w:ind w:right="130"/>
              <w:jc w:val="right"/>
              <w:rPr>
                <w:sz w:val="14"/>
              </w:rPr>
            </w:pPr>
            <w:r>
              <w:rPr>
                <w:w w:val="70"/>
                <w:sz w:val="14"/>
              </w:rPr>
              <w:t>186.996</w:t>
            </w:r>
          </w:p>
        </w:tc>
        <w:tc>
          <w:tcPr>
            <w:tcW w:w="751" w:type="dxa"/>
          </w:tcPr>
          <w:p>
            <w:pPr>
              <w:pStyle w:val="TableParagraph"/>
              <w:spacing w:line="155" w:lineRule="exact" w:before="15"/>
              <w:ind w:right="129"/>
              <w:jc w:val="right"/>
              <w:rPr>
                <w:sz w:val="14"/>
              </w:rPr>
            </w:pPr>
            <w:r>
              <w:rPr>
                <w:w w:val="70"/>
                <w:sz w:val="14"/>
              </w:rPr>
              <w:t>15.019</w:t>
            </w:r>
          </w:p>
        </w:tc>
        <w:tc>
          <w:tcPr>
            <w:tcW w:w="672" w:type="dxa"/>
          </w:tcPr>
          <w:p>
            <w:pPr>
              <w:pStyle w:val="TableParagraph"/>
              <w:spacing w:line="155" w:lineRule="exact" w:before="15"/>
              <w:ind w:right="50"/>
              <w:jc w:val="right"/>
              <w:rPr>
                <w:sz w:val="14"/>
              </w:rPr>
            </w:pPr>
            <w:r>
              <w:rPr>
                <w:w w:val="70"/>
                <w:sz w:val="14"/>
              </w:rPr>
              <w:t>61.987</w:t>
            </w:r>
          </w:p>
        </w:tc>
      </w:tr>
      <w:tr>
        <w:trPr>
          <w:trHeight w:val="181" w:hRule="atLeast"/>
        </w:trPr>
        <w:tc>
          <w:tcPr>
            <w:tcW w:w="2689" w:type="dxa"/>
          </w:tcPr>
          <w:p>
            <w:pPr>
              <w:pStyle w:val="TableParagraph"/>
              <w:spacing w:line="146" w:lineRule="exact" w:before="15"/>
              <w:ind w:left="26"/>
              <w:rPr>
                <w:sz w:val="14"/>
              </w:rPr>
            </w:pPr>
            <w:r>
              <w:rPr>
                <w:w w:val="80"/>
                <w:sz w:val="14"/>
              </w:rPr>
              <w:t>Demais Créditos</w:t>
            </w:r>
          </w:p>
        </w:tc>
        <w:tc>
          <w:tcPr>
            <w:tcW w:w="250" w:type="dxa"/>
          </w:tcPr>
          <w:p>
            <w:pPr>
              <w:pStyle w:val="TableParagraph"/>
              <w:spacing w:line="146" w:lineRule="exact" w:before="15"/>
              <w:ind w:left="70"/>
              <w:jc w:val="center"/>
              <w:rPr>
                <w:sz w:val="14"/>
              </w:rPr>
            </w:pPr>
            <w:r>
              <w:rPr>
                <w:w w:val="76"/>
                <w:sz w:val="14"/>
              </w:rPr>
              <w:t>9</w:t>
            </w:r>
          </w:p>
        </w:tc>
        <w:tc>
          <w:tcPr>
            <w:tcW w:w="802" w:type="dxa"/>
            <w:tcBorders>
              <w:bottom w:val="single" w:sz="6" w:space="0" w:color="000000"/>
            </w:tcBorders>
          </w:tcPr>
          <w:p>
            <w:pPr>
              <w:pStyle w:val="TableParagraph"/>
              <w:rPr>
                <w:rFonts w:ascii="Times New Roman"/>
                <w:sz w:val="10"/>
              </w:rPr>
            </w:pPr>
          </w:p>
        </w:tc>
        <w:tc>
          <w:tcPr>
            <w:tcW w:w="734" w:type="dxa"/>
            <w:tcBorders>
              <w:bottom w:val="single" w:sz="6" w:space="0" w:color="000000"/>
            </w:tcBorders>
          </w:tcPr>
          <w:p>
            <w:pPr>
              <w:pStyle w:val="TableParagraph"/>
              <w:rPr>
                <w:rFonts w:ascii="Times New Roman"/>
                <w:sz w:val="10"/>
              </w:rPr>
            </w:pPr>
          </w:p>
        </w:tc>
        <w:tc>
          <w:tcPr>
            <w:tcW w:w="658" w:type="dxa"/>
            <w:tcBorders>
              <w:bottom w:val="single" w:sz="6" w:space="0" w:color="000000"/>
            </w:tcBorders>
          </w:tcPr>
          <w:p>
            <w:pPr>
              <w:pStyle w:val="TableParagraph"/>
              <w:rPr>
                <w:rFonts w:ascii="Times New Roman"/>
                <w:sz w:val="10"/>
              </w:rPr>
            </w:pPr>
          </w:p>
        </w:tc>
        <w:tc>
          <w:tcPr>
            <w:tcW w:w="700" w:type="dxa"/>
            <w:tcBorders>
              <w:bottom w:val="single" w:sz="6" w:space="0" w:color="000000"/>
            </w:tcBorders>
          </w:tcPr>
          <w:p>
            <w:pPr>
              <w:pStyle w:val="TableParagraph"/>
              <w:spacing w:line="146" w:lineRule="exact" w:before="15"/>
              <w:ind w:right="133"/>
              <w:jc w:val="right"/>
              <w:rPr>
                <w:sz w:val="14"/>
              </w:rPr>
            </w:pPr>
            <w:r>
              <w:rPr>
                <w:w w:val="70"/>
                <w:sz w:val="14"/>
              </w:rPr>
              <w:t>11.308</w:t>
            </w:r>
          </w:p>
        </w:tc>
        <w:tc>
          <w:tcPr>
            <w:tcW w:w="734" w:type="dxa"/>
            <w:tcBorders>
              <w:bottom w:val="single" w:sz="6" w:space="0" w:color="000000"/>
            </w:tcBorders>
          </w:tcPr>
          <w:p>
            <w:pPr>
              <w:pStyle w:val="TableParagraph"/>
              <w:spacing w:line="146" w:lineRule="exact" w:before="15"/>
              <w:ind w:right="132"/>
              <w:jc w:val="right"/>
              <w:rPr>
                <w:sz w:val="14"/>
              </w:rPr>
            </w:pPr>
            <w:r>
              <w:rPr>
                <w:w w:val="70"/>
                <w:sz w:val="14"/>
              </w:rPr>
              <w:t>13.020</w:t>
            </w:r>
          </w:p>
        </w:tc>
        <w:tc>
          <w:tcPr>
            <w:tcW w:w="666" w:type="dxa"/>
            <w:tcBorders>
              <w:bottom w:val="single" w:sz="6" w:space="0" w:color="000000"/>
            </w:tcBorders>
          </w:tcPr>
          <w:p>
            <w:pPr>
              <w:pStyle w:val="TableParagraph"/>
              <w:spacing w:line="146" w:lineRule="exact" w:before="15"/>
              <w:ind w:right="63"/>
              <w:jc w:val="right"/>
              <w:rPr>
                <w:sz w:val="14"/>
              </w:rPr>
            </w:pPr>
            <w:r>
              <w:rPr>
                <w:w w:val="70"/>
                <w:sz w:val="14"/>
              </w:rPr>
              <w:t>15.167</w:t>
            </w:r>
          </w:p>
        </w:tc>
        <w:tc>
          <w:tcPr>
            <w:tcW w:w="2819" w:type="dxa"/>
          </w:tcPr>
          <w:p>
            <w:pPr>
              <w:pStyle w:val="TableParagraph"/>
              <w:spacing w:line="146" w:lineRule="exact" w:before="15"/>
              <w:ind w:left="64"/>
              <w:rPr>
                <w:sz w:val="14"/>
              </w:rPr>
            </w:pPr>
            <w:r>
              <w:rPr>
                <w:w w:val="80"/>
                <w:sz w:val="14"/>
              </w:rPr>
              <w:t>Empréstimos e financiamentos</w:t>
            </w:r>
          </w:p>
        </w:tc>
        <w:tc>
          <w:tcPr>
            <w:tcW w:w="279" w:type="dxa"/>
          </w:tcPr>
          <w:p>
            <w:pPr>
              <w:pStyle w:val="TableParagraph"/>
              <w:spacing w:line="146" w:lineRule="exact" w:before="15"/>
              <w:ind w:right="50"/>
              <w:jc w:val="right"/>
              <w:rPr>
                <w:sz w:val="14"/>
              </w:rPr>
            </w:pPr>
            <w:r>
              <w:rPr>
                <w:w w:val="75"/>
                <w:sz w:val="14"/>
              </w:rPr>
              <w:t>22</w:t>
            </w:r>
          </w:p>
        </w:tc>
        <w:tc>
          <w:tcPr>
            <w:tcW w:w="762" w:type="dxa"/>
          </w:tcPr>
          <w:p>
            <w:pPr>
              <w:pStyle w:val="TableParagraph"/>
              <w:spacing w:line="146" w:lineRule="exact" w:before="15"/>
              <w:ind w:right="174"/>
              <w:jc w:val="right"/>
              <w:rPr>
                <w:sz w:val="14"/>
              </w:rPr>
            </w:pPr>
            <w:r>
              <w:rPr>
                <w:w w:val="70"/>
                <w:sz w:val="14"/>
              </w:rPr>
              <w:t>94.000</w:t>
            </w: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46" w:lineRule="exact" w:before="15"/>
              <w:ind w:right="130"/>
              <w:jc w:val="right"/>
              <w:rPr>
                <w:sz w:val="14"/>
              </w:rPr>
            </w:pPr>
            <w:r>
              <w:rPr>
                <w:w w:val="70"/>
                <w:sz w:val="14"/>
              </w:rPr>
              <w:t>167.532</w:t>
            </w:r>
          </w:p>
        </w:tc>
        <w:tc>
          <w:tcPr>
            <w:tcW w:w="751" w:type="dxa"/>
          </w:tcPr>
          <w:p>
            <w:pPr>
              <w:pStyle w:val="TableParagraph"/>
              <w:spacing w:line="146" w:lineRule="exact" w:before="15"/>
              <w:ind w:right="129"/>
              <w:jc w:val="right"/>
              <w:rPr>
                <w:sz w:val="14"/>
              </w:rPr>
            </w:pPr>
            <w:r>
              <w:rPr>
                <w:w w:val="70"/>
                <w:sz w:val="14"/>
              </w:rPr>
              <w:t>188.194</w:t>
            </w:r>
          </w:p>
        </w:tc>
        <w:tc>
          <w:tcPr>
            <w:tcW w:w="672" w:type="dxa"/>
          </w:tcPr>
          <w:p>
            <w:pPr>
              <w:pStyle w:val="TableParagraph"/>
              <w:spacing w:line="146" w:lineRule="exact" w:before="15"/>
              <w:ind w:right="49"/>
              <w:jc w:val="right"/>
              <w:rPr>
                <w:sz w:val="14"/>
              </w:rPr>
            </w:pPr>
            <w:r>
              <w:rPr>
                <w:w w:val="70"/>
                <w:sz w:val="14"/>
              </w:rPr>
              <w:t>255.312</w:t>
            </w:r>
          </w:p>
        </w:tc>
      </w:tr>
      <w:tr>
        <w:trPr>
          <w:trHeight w:val="175" w:hRule="atLeast"/>
        </w:trPr>
        <w:tc>
          <w:tcPr>
            <w:tcW w:w="2689" w:type="dxa"/>
          </w:tcPr>
          <w:p>
            <w:pPr>
              <w:pStyle w:val="TableParagraph"/>
              <w:spacing w:line="147" w:lineRule="exact" w:before="8"/>
              <w:ind w:left="26"/>
              <w:rPr>
                <w:rFonts w:ascii="Caladea" w:hAnsi="Caladea"/>
                <w:b/>
                <w:sz w:val="14"/>
              </w:rPr>
            </w:pPr>
            <w:r>
              <w:rPr>
                <w:rFonts w:ascii="Caladea" w:hAnsi="Caladea"/>
                <w:b/>
                <w:w w:val="85"/>
                <w:sz w:val="14"/>
              </w:rPr>
              <w:t>Realizável a Longo Prazo</w:t>
            </w:r>
          </w:p>
        </w:tc>
        <w:tc>
          <w:tcPr>
            <w:tcW w:w="250" w:type="dxa"/>
          </w:tcPr>
          <w:p>
            <w:pPr>
              <w:pStyle w:val="TableParagraph"/>
              <w:rPr>
                <w:rFonts w:ascii="Times New Roman"/>
                <w:sz w:val="10"/>
              </w:rPr>
            </w:pPr>
          </w:p>
        </w:tc>
        <w:tc>
          <w:tcPr>
            <w:tcW w:w="802" w:type="dxa"/>
            <w:tcBorders>
              <w:top w:val="single" w:sz="6" w:space="0" w:color="000000"/>
              <w:bottom w:val="single" w:sz="6" w:space="0" w:color="000000"/>
            </w:tcBorders>
          </w:tcPr>
          <w:p>
            <w:pPr>
              <w:pStyle w:val="TableParagraph"/>
              <w:spacing w:line="147" w:lineRule="exact" w:before="8"/>
              <w:ind w:right="173"/>
              <w:jc w:val="right"/>
              <w:rPr>
                <w:rFonts w:ascii="Caladea"/>
                <w:b/>
                <w:sz w:val="14"/>
              </w:rPr>
            </w:pPr>
            <w:r>
              <w:rPr>
                <w:rFonts w:ascii="Caladea"/>
                <w:b/>
                <w:w w:val="70"/>
                <w:sz w:val="14"/>
              </w:rPr>
              <w:t>42.588</w:t>
            </w:r>
          </w:p>
        </w:tc>
        <w:tc>
          <w:tcPr>
            <w:tcW w:w="734" w:type="dxa"/>
            <w:tcBorders>
              <w:top w:val="single" w:sz="6" w:space="0" w:color="000000"/>
              <w:bottom w:val="single" w:sz="6" w:space="0" w:color="000000"/>
            </w:tcBorders>
          </w:tcPr>
          <w:p>
            <w:pPr>
              <w:pStyle w:val="TableParagraph"/>
              <w:spacing w:line="147" w:lineRule="exact" w:before="8"/>
              <w:ind w:left="123" w:right="61"/>
              <w:jc w:val="center"/>
              <w:rPr>
                <w:rFonts w:ascii="Caladea"/>
                <w:b/>
                <w:sz w:val="14"/>
              </w:rPr>
            </w:pPr>
            <w:r>
              <w:rPr>
                <w:rFonts w:ascii="Caladea"/>
                <w:b/>
                <w:w w:val="85"/>
                <w:sz w:val="14"/>
              </w:rPr>
              <w:t>39.628</w:t>
            </w:r>
          </w:p>
        </w:tc>
        <w:tc>
          <w:tcPr>
            <w:tcW w:w="658" w:type="dxa"/>
            <w:tcBorders>
              <w:top w:val="single" w:sz="6" w:space="0" w:color="000000"/>
              <w:bottom w:val="single" w:sz="6" w:space="0" w:color="000000"/>
            </w:tcBorders>
          </w:tcPr>
          <w:p>
            <w:pPr>
              <w:pStyle w:val="TableParagraph"/>
              <w:spacing w:line="147" w:lineRule="exact" w:before="8"/>
              <w:ind w:right="96"/>
              <w:jc w:val="right"/>
              <w:rPr>
                <w:rFonts w:ascii="Caladea"/>
                <w:b/>
                <w:sz w:val="14"/>
              </w:rPr>
            </w:pPr>
            <w:r>
              <w:rPr>
                <w:rFonts w:ascii="Caladea"/>
                <w:b/>
                <w:w w:val="70"/>
                <w:sz w:val="14"/>
              </w:rPr>
              <w:t>42.227</w:t>
            </w:r>
          </w:p>
        </w:tc>
        <w:tc>
          <w:tcPr>
            <w:tcW w:w="700" w:type="dxa"/>
            <w:tcBorders>
              <w:top w:val="single" w:sz="6" w:space="0" w:color="000000"/>
              <w:bottom w:val="single" w:sz="6" w:space="0" w:color="000000"/>
            </w:tcBorders>
          </w:tcPr>
          <w:p>
            <w:pPr>
              <w:pStyle w:val="TableParagraph"/>
              <w:spacing w:line="147" w:lineRule="exact" w:before="8"/>
              <w:ind w:right="129"/>
              <w:jc w:val="right"/>
              <w:rPr>
                <w:rFonts w:ascii="Caladea"/>
                <w:b/>
                <w:sz w:val="14"/>
              </w:rPr>
            </w:pPr>
            <w:r>
              <w:rPr>
                <w:rFonts w:ascii="Caladea"/>
                <w:b/>
                <w:w w:val="70"/>
                <w:sz w:val="14"/>
              </w:rPr>
              <w:t>309.740</w:t>
            </w:r>
          </w:p>
        </w:tc>
        <w:tc>
          <w:tcPr>
            <w:tcW w:w="734" w:type="dxa"/>
            <w:tcBorders>
              <w:top w:val="single" w:sz="6" w:space="0" w:color="000000"/>
              <w:bottom w:val="single" w:sz="6" w:space="0" w:color="000000"/>
            </w:tcBorders>
          </w:tcPr>
          <w:p>
            <w:pPr>
              <w:pStyle w:val="TableParagraph"/>
              <w:spacing w:line="147" w:lineRule="exact" w:before="8"/>
              <w:ind w:right="128"/>
              <w:jc w:val="right"/>
              <w:rPr>
                <w:rFonts w:ascii="Caladea"/>
                <w:b/>
                <w:sz w:val="14"/>
              </w:rPr>
            </w:pPr>
            <w:r>
              <w:rPr>
                <w:rFonts w:ascii="Caladea"/>
                <w:b/>
                <w:w w:val="70"/>
                <w:sz w:val="14"/>
              </w:rPr>
              <w:t>263.226</w:t>
            </w:r>
          </w:p>
        </w:tc>
        <w:tc>
          <w:tcPr>
            <w:tcW w:w="666" w:type="dxa"/>
            <w:tcBorders>
              <w:top w:val="single" w:sz="6" w:space="0" w:color="000000"/>
              <w:bottom w:val="single" w:sz="6" w:space="0" w:color="000000"/>
            </w:tcBorders>
          </w:tcPr>
          <w:p>
            <w:pPr>
              <w:pStyle w:val="TableParagraph"/>
              <w:spacing w:line="147" w:lineRule="exact" w:before="8"/>
              <w:ind w:right="59"/>
              <w:jc w:val="right"/>
              <w:rPr>
                <w:rFonts w:ascii="Caladea"/>
                <w:b/>
                <w:sz w:val="14"/>
              </w:rPr>
            </w:pPr>
            <w:r>
              <w:rPr>
                <w:rFonts w:ascii="Caladea"/>
                <w:b/>
                <w:w w:val="70"/>
                <w:sz w:val="14"/>
              </w:rPr>
              <w:t>258.504</w:t>
            </w:r>
          </w:p>
        </w:tc>
        <w:tc>
          <w:tcPr>
            <w:tcW w:w="2819" w:type="dxa"/>
          </w:tcPr>
          <w:p>
            <w:pPr>
              <w:pStyle w:val="TableParagraph"/>
              <w:spacing w:line="145" w:lineRule="exact" w:before="9"/>
              <w:ind w:left="64"/>
              <w:rPr>
                <w:sz w:val="14"/>
              </w:rPr>
            </w:pPr>
            <w:r>
              <w:rPr>
                <w:w w:val="80"/>
                <w:sz w:val="14"/>
              </w:rPr>
              <w:t>Benefícios pós emprego</w:t>
            </w:r>
          </w:p>
        </w:tc>
        <w:tc>
          <w:tcPr>
            <w:tcW w:w="279" w:type="dxa"/>
          </w:tcPr>
          <w:p>
            <w:pPr>
              <w:pStyle w:val="TableParagraph"/>
              <w:spacing w:line="145" w:lineRule="exact" w:before="9"/>
              <w:ind w:right="50"/>
              <w:jc w:val="right"/>
              <w:rPr>
                <w:sz w:val="14"/>
              </w:rPr>
            </w:pPr>
            <w:r>
              <w:rPr>
                <w:w w:val="75"/>
                <w:sz w:val="14"/>
              </w:rPr>
              <w:t>25</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45" w:lineRule="exact" w:before="9"/>
              <w:ind w:right="130"/>
              <w:jc w:val="right"/>
              <w:rPr>
                <w:sz w:val="14"/>
              </w:rPr>
            </w:pPr>
            <w:r>
              <w:rPr>
                <w:w w:val="70"/>
                <w:sz w:val="14"/>
              </w:rPr>
              <w:t>98.013</w:t>
            </w:r>
          </w:p>
        </w:tc>
        <w:tc>
          <w:tcPr>
            <w:tcW w:w="751" w:type="dxa"/>
          </w:tcPr>
          <w:p>
            <w:pPr>
              <w:pStyle w:val="TableParagraph"/>
              <w:spacing w:line="145" w:lineRule="exact" w:before="9"/>
              <w:ind w:right="129"/>
              <w:jc w:val="right"/>
              <w:rPr>
                <w:sz w:val="14"/>
              </w:rPr>
            </w:pPr>
            <w:r>
              <w:rPr>
                <w:w w:val="70"/>
                <w:sz w:val="14"/>
              </w:rPr>
              <w:t>57.007</w:t>
            </w:r>
          </w:p>
        </w:tc>
        <w:tc>
          <w:tcPr>
            <w:tcW w:w="672" w:type="dxa"/>
          </w:tcPr>
          <w:p>
            <w:pPr>
              <w:pStyle w:val="TableParagraph"/>
              <w:spacing w:line="145" w:lineRule="exact" w:before="9"/>
              <w:ind w:right="50"/>
              <w:jc w:val="right"/>
              <w:rPr>
                <w:sz w:val="14"/>
              </w:rPr>
            </w:pPr>
            <w:r>
              <w:rPr>
                <w:w w:val="70"/>
                <w:sz w:val="14"/>
              </w:rPr>
              <w:t>52.240</w:t>
            </w:r>
          </w:p>
        </w:tc>
      </w:tr>
      <w:tr>
        <w:trPr>
          <w:trHeight w:val="183"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58" w:type="dxa"/>
            <w:tcBorders>
              <w:top w:val="single" w:sz="6" w:space="0" w:color="000000"/>
            </w:tcBorders>
          </w:tcPr>
          <w:p>
            <w:pPr>
              <w:pStyle w:val="TableParagraph"/>
              <w:rPr>
                <w:rFonts w:ascii="Times New Roman"/>
                <w:sz w:val="10"/>
              </w:rPr>
            </w:pPr>
          </w:p>
        </w:tc>
        <w:tc>
          <w:tcPr>
            <w:tcW w:w="700"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66" w:type="dxa"/>
            <w:tcBorders>
              <w:top w:val="single" w:sz="6" w:space="0" w:color="000000"/>
            </w:tcBorders>
          </w:tcPr>
          <w:p>
            <w:pPr>
              <w:pStyle w:val="TableParagraph"/>
              <w:rPr>
                <w:rFonts w:ascii="Times New Roman"/>
                <w:sz w:val="10"/>
              </w:rPr>
            </w:pPr>
          </w:p>
        </w:tc>
        <w:tc>
          <w:tcPr>
            <w:tcW w:w="2819" w:type="dxa"/>
          </w:tcPr>
          <w:p>
            <w:pPr>
              <w:pStyle w:val="TableParagraph"/>
              <w:spacing w:line="155" w:lineRule="exact" w:before="9"/>
              <w:ind w:left="64"/>
              <w:rPr>
                <w:sz w:val="14"/>
              </w:rPr>
            </w:pPr>
            <w:r>
              <w:rPr>
                <w:w w:val="80"/>
                <w:sz w:val="14"/>
              </w:rPr>
              <w:t>Encargos regulatórios</w:t>
            </w:r>
          </w:p>
        </w:tc>
        <w:tc>
          <w:tcPr>
            <w:tcW w:w="279" w:type="dxa"/>
          </w:tcPr>
          <w:p>
            <w:pPr>
              <w:pStyle w:val="TableParagraph"/>
              <w:spacing w:line="155" w:lineRule="exact" w:before="9"/>
              <w:ind w:right="50"/>
              <w:jc w:val="right"/>
              <w:rPr>
                <w:sz w:val="14"/>
              </w:rPr>
            </w:pPr>
            <w:r>
              <w:rPr>
                <w:w w:val="75"/>
                <w:sz w:val="14"/>
              </w:rPr>
              <w:t>20</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5" w:lineRule="exact" w:before="9"/>
              <w:ind w:right="130"/>
              <w:jc w:val="right"/>
              <w:rPr>
                <w:sz w:val="14"/>
              </w:rPr>
            </w:pPr>
            <w:r>
              <w:rPr>
                <w:w w:val="70"/>
                <w:sz w:val="14"/>
              </w:rPr>
              <w:t>70.245</w:t>
            </w:r>
          </w:p>
        </w:tc>
        <w:tc>
          <w:tcPr>
            <w:tcW w:w="751" w:type="dxa"/>
          </w:tcPr>
          <w:p>
            <w:pPr>
              <w:pStyle w:val="TableParagraph"/>
              <w:spacing w:line="155" w:lineRule="exact" w:before="9"/>
              <w:ind w:right="129"/>
              <w:jc w:val="right"/>
              <w:rPr>
                <w:sz w:val="14"/>
              </w:rPr>
            </w:pPr>
            <w:r>
              <w:rPr>
                <w:w w:val="70"/>
                <w:sz w:val="14"/>
              </w:rPr>
              <w:t>100.120</w:t>
            </w:r>
          </w:p>
        </w:tc>
        <w:tc>
          <w:tcPr>
            <w:tcW w:w="672" w:type="dxa"/>
          </w:tcPr>
          <w:p>
            <w:pPr>
              <w:pStyle w:val="TableParagraph"/>
              <w:spacing w:line="155" w:lineRule="exact" w:before="9"/>
              <w:ind w:right="50"/>
              <w:jc w:val="right"/>
              <w:rPr>
                <w:sz w:val="14"/>
              </w:rPr>
            </w:pPr>
            <w:r>
              <w:rPr>
                <w:w w:val="70"/>
                <w:sz w:val="14"/>
              </w:rPr>
              <w:t>94.712</w:t>
            </w:r>
          </w:p>
        </w:tc>
      </w:tr>
      <w:tr>
        <w:trPr>
          <w:trHeight w:val="190"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5" w:lineRule="exact" w:before="15"/>
              <w:ind w:left="64"/>
              <w:rPr>
                <w:sz w:val="14"/>
              </w:rPr>
            </w:pPr>
            <w:r>
              <w:rPr>
                <w:w w:val="70"/>
                <w:sz w:val="14"/>
              </w:rPr>
              <w:t>Provisões para riscos trabalhistas, cíveis, fiscais e regulatórios</w:t>
            </w:r>
          </w:p>
        </w:tc>
        <w:tc>
          <w:tcPr>
            <w:tcW w:w="279" w:type="dxa"/>
          </w:tcPr>
          <w:p>
            <w:pPr>
              <w:pStyle w:val="TableParagraph"/>
              <w:spacing w:line="155" w:lineRule="exact" w:before="15"/>
              <w:ind w:right="50"/>
              <w:jc w:val="right"/>
              <w:rPr>
                <w:sz w:val="14"/>
              </w:rPr>
            </w:pPr>
            <w:r>
              <w:rPr>
                <w:w w:val="75"/>
                <w:sz w:val="14"/>
              </w:rPr>
              <w:t>26</w:t>
            </w:r>
          </w:p>
        </w:tc>
        <w:tc>
          <w:tcPr>
            <w:tcW w:w="762" w:type="dxa"/>
          </w:tcPr>
          <w:p>
            <w:pPr>
              <w:pStyle w:val="TableParagraph"/>
              <w:rPr>
                <w:rFonts w:ascii="Times New Roman"/>
                <w:sz w:val="10"/>
              </w:rPr>
            </w:pPr>
          </w:p>
        </w:tc>
        <w:tc>
          <w:tcPr>
            <w:tcW w:w="751" w:type="dxa"/>
          </w:tcPr>
          <w:p>
            <w:pPr>
              <w:pStyle w:val="TableParagraph"/>
              <w:spacing w:line="155" w:lineRule="exact" w:before="15"/>
              <w:ind w:right="173"/>
              <w:jc w:val="right"/>
              <w:rPr>
                <w:sz w:val="14"/>
              </w:rPr>
            </w:pPr>
            <w:r>
              <w:rPr>
                <w:w w:val="76"/>
                <w:sz w:val="14"/>
              </w:rPr>
              <w:t>1</w:t>
            </w:r>
          </w:p>
        </w:tc>
        <w:tc>
          <w:tcPr>
            <w:tcW w:w="683" w:type="dxa"/>
          </w:tcPr>
          <w:p>
            <w:pPr>
              <w:pStyle w:val="TableParagraph"/>
              <w:spacing w:line="155" w:lineRule="exact" w:before="15"/>
              <w:ind w:right="101"/>
              <w:jc w:val="right"/>
              <w:rPr>
                <w:sz w:val="14"/>
              </w:rPr>
            </w:pPr>
            <w:r>
              <w:rPr>
                <w:w w:val="75"/>
                <w:sz w:val="14"/>
              </w:rPr>
              <w:t>96</w:t>
            </w:r>
          </w:p>
        </w:tc>
        <w:tc>
          <w:tcPr>
            <w:tcW w:w="692" w:type="dxa"/>
          </w:tcPr>
          <w:p>
            <w:pPr>
              <w:pStyle w:val="TableParagraph"/>
              <w:spacing w:line="155" w:lineRule="exact" w:before="15"/>
              <w:ind w:right="130"/>
              <w:jc w:val="right"/>
              <w:rPr>
                <w:sz w:val="14"/>
              </w:rPr>
            </w:pPr>
            <w:r>
              <w:rPr>
                <w:w w:val="70"/>
                <w:sz w:val="14"/>
              </w:rPr>
              <w:t>61.138</w:t>
            </w:r>
          </w:p>
        </w:tc>
        <w:tc>
          <w:tcPr>
            <w:tcW w:w="751" w:type="dxa"/>
          </w:tcPr>
          <w:p>
            <w:pPr>
              <w:pStyle w:val="TableParagraph"/>
              <w:spacing w:line="155" w:lineRule="exact" w:before="15"/>
              <w:ind w:right="129"/>
              <w:jc w:val="right"/>
              <w:rPr>
                <w:sz w:val="14"/>
              </w:rPr>
            </w:pPr>
            <w:r>
              <w:rPr>
                <w:w w:val="70"/>
                <w:sz w:val="14"/>
              </w:rPr>
              <w:t>44.294</w:t>
            </w:r>
          </w:p>
        </w:tc>
        <w:tc>
          <w:tcPr>
            <w:tcW w:w="672" w:type="dxa"/>
          </w:tcPr>
          <w:p>
            <w:pPr>
              <w:pStyle w:val="TableParagraph"/>
              <w:spacing w:line="155" w:lineRule="exact" w:before="15"/>
              <w:ind w:right="50"/>
              <w:jc w:val="right"/>
              <w:rPr>
                <w:sz w:val="14"/>
              </w:rPr>
            </w:pPr>
            <w:r>
              <w:rPr>
                <w:w w:val="70"/>
                <w:sz w:val="14"/>
              </w:rPr>
              <w:t>75.166</w:t>
            </w:r>
          </w:p>
        </w:tc>
      </w:tr>
      <w:tr>
        <w:trPr>
          <w:trHeight w:val="189"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4" w:lineRule="exact" w:before="15"/>
              <w:ind w:left="64"/>
              <w:rPr>
                <w:sz w:val="14"/>
              </w:rPr>
            </w:pPr>
            <w:r>
              <w:rPr>
                <w:w w:val="80"/>
                <w:sz w:val="14"/>
              </w:rPr>
              <w:t>Obrigações vinculadas a concessão</w:t>
            </w:r>
          </w:p>
        </w:tc>
        <w:tc>
          <w:tcPr>
            <w:tcW w:w="279" w:type="dxa"/>
          </w:tcPr>
          <w:p>
            <w:pPr>
              <w:pStyle w:val="TableParagraph"/>
              <w:spacing w:line="154" w:lineRule="exact" w:before="15"/>
              <w:ind w:right="50"/>
              <w:jc w:val="right"/>
              <w:rPr>
                <w:sz w:val="14"/>
              </w:rPr>
            </w:pPr>
            <w:r>
              <w:rPr>
                <w:w w:val="75"/>
                <w:sz w:val="14"/>
              </w:rPr>
              <w:t>28</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4" w:lineRule="exact" w:before="15"/>
              <w:ind w:right="130"/>
              <w:jc w:val="right"/>
              <w:rPr>
                <w:sz w:val="14"/>
              </w:rPr>
            </w:pPr>
            <w:r>
              <w:rPr>
                <w:w w:val="70"/>
                <w:sz w:val="14"/>
              </w:rPr>
              <w:t>1.103</w:t>
            </w:r>
          </w:p>
        </w:tc>
        <w:tc>
          <w:tcPr>
            <w:tcW w:w="751" w:type="dxa"/>
          </w:tcPr>
          <w:p>
            <w:pPr>
              <w:pStyle w:val="TableParagraph"/>
              <w:spacing w:line="154" w:lineRule="exact" w:before="15"/>
              <w:ind w:right="129"/>
              <w:jc w:val="right"/>
              <w:rPr>
                <w:sz w:val="14"/>
              </w:rPr>
            </w:pPr>
            <w:r>
              <w:rPr>
                <w:w w:val="70"/>
                <w:sz w:val="14"/>
              </w:rPr>
              <w:t>3.400</w:t>
            </w:r>
          </w:p>
        </w:tc>
        <w:tc>
          <w:tcPr>
            <w:tcW w:w="672" w:type="dxa"/>
          </w:tcPr>
          <w:p>
            <w:pPr>
              <w:pStyle w:val="TableParagraph"/>
              <w:spacing w:line="154" w:lineRule="exact" w:before="15"/>
              <w:ind w:right="50"/>
              <w:jc w:val="right"/>
              <w:rPr>
                <w:sz w:val="14"/>
              </w:rPr>
            </w:pPr>
            <w:r>
              <w:rPr>
                <w:w w:val="70"/>
                <w:sz w:val="14"/>
              </w:rPr>
              <w:t>65.420</w:t>
            </w:r>
          </w:p>
        </w:tc>
      </w:tr>
      <w:tr>
        <w:trPr>
          <w:trHeight w:val="189"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5" w:lineRule="exact" w:before="15"/>
              <w:ind w:left="64"/>
              <w:rPr>
                <w:sz w:val="14"/>
              </w:rPr>
            </w:pPr>
            <w:r>
              <w:rPr>
                <w:w w:val="80"/>
                <w:sz w:val="14"/>
              </w:rPr>
              <w:t>Valores</w:t>
            </w:r>
            <w:r>
              <w:rPr>
                <w:spacing w:val="-24"/>
                <w:w w:val="80"/>
                <w:sz w:val="14"/>
              </w:rPr>
              <w:t> </w:t>
            </w:r>
            <w:r>
              <w:rPr>
                <w:w w:val="80"/>
                <w:sz w:val="14"/>
              </w:rPr>
              <w:t>a</w:t>
            </w:r>
            <w:r>
              <w:rPr>
                <w:spacing w:val="-23"/>
                <w:w w:val="80"/>
                <w:sz w:val="14"/>
              </w:rPr>
              <w:t> </w:t>
            </w:r>
            <w:r>
              <w:rPr>
                <w:w w:val="80"/>
                <w:sz w:val="14"/>
              </w:rPr>
              <w:t>pagar</w:t>
            </w:r>
            <w:r>
              <w:rPr>
                <w:spacing w:val="-22"/>
                <w:w w:val="80"/>
                <w:sz w:val="14"/>
              </w:rPr>
              <w:t> </w:t>
            </w:r>
            <w:r>
              <w:rPr>
                <w:w w:val="80"/>
                <w:sz w:val="14"/>
              </w:rPr>
              <w:t>de</w:t>
            </w:r>
            <w:r>
              <w:rPr>
                <w:spacing w:val="-23"/>
                <w:w w:val="80"/>
                <w:sz w:val="14"/>
              </w:rPr>
              <w:t> </w:t>
            </w:r>
            <w:r>
              <w:rPr>
                <w:w w:val="80"/>
                <w:sz w:val="14"/>
              </w:rPr>
              <w:t>Parcela</w:t>
            </w:r>
            <w:r>
              <w:rPr>
                <w:spacing w:val="-22"/>
                <w:w w:val="80"/>
                <w:sz w:val="14"/>
              </w:rPr>
              <w:t> </w:t>
            </w:r>
            <w:r>
              <w:rPr>
                <w:w w:val="80"/>
                <w:sz w:val="14"/>
              </w:rPr>
              <w:t>"A"</w:t>
            </w:r>
            <w:r>
              <w:rPr>
                <w:spacing w:val="-22"/>
                <w:w w:val="80"/>
                <w:sz w:val="14"/>
              </w:rPr>
              <w:t> </w:t>
            </w:r>
            <w:r>
              <w:rPr>
                <w:w w:val="80"/>
                <w:sz w:val="14"/>
              </w:rPr>
              <w:t>e</w:t>
            </w:r>
            <w:r>
              <w:rPr>
                <w:spacing w:val="-22"/>
                <w:w w:val="80"/>
                <w:sz w:val="14"/>
              </w:rPr>
              <w:t> </w:t>
            </w:r>
            <w:r>
              <w:rPr>
                <w:w w:val="80"/>
                <w:sz w:val="14"/>
              </w:rPr>
              <w:t>outros</w:t>
            </w:r>
            <w:r>
              <w:rPr>
                <w:spacing w:val="-24"/>
                <w:w w:val="80"/>
                <w:sz w:val="14"/>
              </w:rPr>
              <w:t> </w:t>
            </w:r>
            <w:r>
              <w:rPr>
                <w:w w:val="80"/>
                <w:sz w:val="14"/>
              </w:rPr>
              <w:t>itens</w:t>
            </w:r>
            <w:r>
              <w:rPr>
                <w:spacing w:val="-24"/>
                <w:w w:val="80"/>
                <w:sz w:val="14"/>
              </w:rPr>
              <w:t> </w:t>
            </w:r>
            <w:r>
              <w:rPr>
                <w:w w:val="80"/>
                <w:sz w:val="14"/>
              </w:rPr>
              <w:t>financeiros</w:t>
            </w:r>
          </w:p>
        </w:tc>
        <w:tc>
          <w:tcPr>
            <w:tcW w:w="279" w:type="dxa"/>
          </w:tcPr>
          <w:p>
            <w:pPr>
              <w:pStyle w:val="TableParagraph"/>
              <w:spacing w:line="155" w:lineRule="exact" w:before="15"/>
              <w:ind w:right="53"/>
              <w:jc w:val="right"/>
              <w:rPr>
                <w:sz w:val="14"/>
              </w:rPr>
            </w:pPr>
            <w:r>
              <w:rPr>
                <w:w w:val="76"/>
                <w:sz w:val="14"/>
              </w:rPr>
              <w:t>8</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5" w:lineRule="exact" w:before="15"/>
              <w:ind w:right="130"/>
              <w:jc w:val="right"/>
              <w:rPr>
                <w:sz w:val="14"/>
              </w:rPr>
            </w:pPr>
            <w:r>
              <w:rPr>
                <w:w w:val="70"/>
                <w:sz w:val="14"/>
              </w:rPr>
              <w:t>102.199</w:t>
            </w:r>
          </w:p>
        </w:tc>
        <w:tc>
          <w:tcPr>
            <w:tcW w:w="751" w:type="dxa"/>
          </w:tcPr>
          <w:p>
            <w:pPr>
              <w:pStyle w:val="TableParagraph"/>
              <w:spacing w:line="155" w:lineRule="exact" w:before="15"/>
              <w:ind w:right="129"/>
              <w:jc w:val="right"/>
              <w:rPr>
                <w:sz w:val="14"/>
              </w:rPr>
            </w:pPr>
            <w:r>
              <w:rPr>
                <w:w w:val="70"/>
                <w:sz w:val="14"/>
              </w:rPr>
              <w:t>96.438</w:t>
            </w:r>
          </w:p>
        </w:tc>
        <w:tc>
          <w:tcPr>
            <w:tcW w:w="672" w:type="dxa"/>
          </w:tcPr>
          <w:p>
            <w:pPr>
              <w:pStyle w:val="TableParagraph"/>
              <w:spacing w:line="155" w:lineRule="exact" w:before="15"/>
              <w:ind w:right="49"/>
              <w:jc w:val="right"/>
              <w:rPr>
                <w:sz w:val="14"/>
              </w:rPr>
            </w:pPr>
            <w:r>
              <w:rPr>
                <w:w w:val="70"/>
                <w:sz w:val="14"/>
              </w:rPr>
              <w:t>106.599</w:t>
            </w:r>
          </w:p>
        </w:tc>
      </w:tr>
      <w:tr>
        <w:trPr>
          <w:trHeight w:val="181"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46" w:lineRule="exact" w:before="15"/>
              <w:ind w:left="64"/>
              <w:rPr>
                <w:sz w:val="14"/>
              </w:rPr>
            </w:pPr>
            <w:r>
              <w:rPr>
                <w:w w:val="80"/>
                <w:sz w:val="14"/>
              </w:rPr>
              <w:t>Demais obrigações</w:t>
            </w:r>
          </w:p>
        </w:tc>
        <w:tc>
          <w:tcPr>
            <w:tcW w:w="279" w:type="dxa"/>
          </w:tcPr>
          <w:p>
            <w:pPr>
              <w:pStyle w:val="TableParagraph"/>
              <w:spacing w:line="146" w:lineRule="exact" w:before="15"/>
              <w:ind w:right="50"/>
              <w:jc w:val="right"/>
              <w:rPr>
                <w:sz w:val="14"/>
              </w:rPr>
            </w:pPr>
            <w:r>
              <w:rPr>
                <w:w w:val="75"/>
                <w:sz w:val="14"/>
              </w:rPr>
              <w:t>27</w:t>
            </w:r>
          </w:p>
        </w:tc>
        <w:tc>
          <w:tcPr>
            <w:tcW w:w="762" w:type="dxa"/>
            <w:tcBorders>
              <w:bottom w:val="single" w:sz="6" w:space="0" w:color="000000"/>
            </w:tcBorders>
          </w:tcPr>
          <w:p>
            <w:pPr>
              <w:pStyle w:val="TableParagraph"/>
              <w:rPr>
                <w:rFonts w:ascii="Times New Roman"/>
                <w:sz w:val="10"/>
              </w:rPr>
            </w:pPr>
          </w:p>
        </w:tc>
        <w:tc>
          <w:tcPr>
            <w:tcW w:w="751" w:type="dxa"/>
            <w:tcBorders>
              <w:bottom w:val="single" w:sz="6" w:space="0" w:color="000000"/>
            </w:tcBorders>
          </w:tcPr>
          <w:p>
            <w:pPr>
              <w:pStyle w:val="TableParagraph"/>
              <w:rPr>
                <w:rFonts w:ascii="Times New Roman"/>
                <w:sz w:val="10"/>
              </w:rPr>
            </w:pPr>
          </w:p>
        </w:tc>
        <w:tc>
          <w:tcPr>
            <w:tcW w:w="683" w:type="dxa"/>
            <w:tcBorders>
              <w:bottom w:val="single" w:sz="6" w:space="0" w:color="000000"/>
            </w:tcBorders>
          </w:tcPr>
          <w:p>
            <w:pPr>
              <w:pStyle w:val="TableParagraph"/>
              <w:rPr>
                <w:rFonts w:ascii="Times New Roman"/>
                <w:sz w:val="10"/>
              </w:rPr>
            </w:pPr>
          </w:p>
        </w:tc>
        <w:tc>
          <w:tcPr>
            <w:tcW w:w="692" w:type="dxa"/>
            <w:tcBorders>
              <w:bottom w:val="single" w:sz="6" w:space="0" w:color="000000"/>
            </w:tcBorders>
          </w:tcPr>
          <w:p>
            <w:pPr>
              <w:pStyle w:val="TableParagraph"/>
              <w:spacing w:line="146" w:lineRule="exact" w:before="15"/>
              <w:ind w:right="130"/>
              <w:jc w:val="right"/>
              <w:rPr>
                <w:sz w:val="14"/>
              </w:rPr>
            </w:pPr>
            <w:r>
              <w:rPr>
                <w:w w:val="70"/>
                <w:sz w:val="14"/>
              </w:rPr>
              <w:t>71.632</w:t>
            </w:r>
          </w:p>
        </w:tc>
        <w:tc>
          <w:tcPr>
            <w:tcW w:w="751" w:type="dxa"/>
            <w:tcBorders>
              <w:bottom w:val="single" w:sz="6" w:space="0" w:color="000000"/>
            </w:tcBorders>
          </w:tcPr>
          <w:p>
            <w:pPr>
              <w:pStyle w:val="TableParagraph"/>
              <w:spacing w:line="146" w:lineRule="exact" w:before="15"/>
              <w:ind w:right="129"/>
              <w:jc w:val="right"/>
              <w:rPr>
                <w:sz w:val="14"/>
              </w:rPr>
            </w:pPr>
            <w:r>
              <w:rPr>
                <w:w w:val="70"/>
                <w:sz w:val="14"/>
              </w:rPr>
              <w:t>5.869</w:t>
            </w:r>
          </w:p>
        </w:tc>
        <w:tc>
          <w:tcPr>
            <w:tcW w:w="672" w:type="dxa"/>
            <w:tcBorders>
              <w:bottom w:val="single" w:sz="6" w:space="0" w:color="000000"/>
            </w:tcBorders>
          </w:tcPr>
          <w:p>
            <w:pPr>
              <w:pStyle w:val="TableParagraph"/>
              <w:spacing w:line="146" w:lineRule="exact" w:before="15"/>
              <w:ind w:right="49"/>
              <w:jc w:val="right"/>
              <w:rPr>
                <w:sz w:val="14"/>
              </w:rPr>
            </w:pPr>
            <w:r>
              <w:rPr>
                <w:w w:val="70"/>
                <w:sz w:val="14"/>
              </w:rPr>
              <w:t>9.741</w:t>
            </w:r>
          </w:p>
        </w:tc>
      </w:tr>
      <w:tr>
        <w:trPr>
          <w:trHeight w:val="175" w:hRule="atLeast"/>
        </w:trPr>
        <w:tc>
          <w:tcPr>
            <w:tcW w:w="2689" w:type="dxa"/>
          </w:tcPr>
          <w:p>
            <w:pPr>
              <w:pStyle w:val="TableParagraph"/>
              <w:spacing w:line="145" w:lineRule="exact" w:before="9"/>
              <w:ind w:left="26"/>
              <w:rPr>
                <w:sz w:val="14"/>
              </w:rPr>
            </w:pPr>
            <w:r>
              <w:rPr>
                <w:w w:val="80"/>
                <w:sz w:val="14"/>
              </w:rPr>
              <w:t>Investimentos</w:t>
            </w:r>
          </w:p>
        </w:tc>
        <w:tc>
          <w:tcPr>
            <w:tcW w:w="250" w:type="dxa"/>
          </w:tcPr>
          <w:p>
            <w:pPr>
              <w:pStyle w:val="TableParagraph"/>
              <w:spacing w:line="145" w:lineRule="exact" w:before="9"/>
              <w:ind w:left="49" w:right="35"/>
              <w:jc w:val="center"/>
              <w:rPr>
                <w:sz w:val="14"/>
              </w:rPr>
            </w:pPr>
            <w:r>
              <w:rPr>
                <w:w w:val="85"/>
                <w:sz w:val="14"/>
              </w:rPr>
              <w:t>14</w:t>
            </w:r>
          </w:p>
        </w:tc>
        <w:tc>
          <w:tcPr>
            <w:tcW w:w="802" w:type="dxa"/>
          </w:tcPr>
          <w:p>
            <w:pPr>
              <w:pStyle w:val="TableParagraph"/>
              <w:spacing w:line="145" w:lineRule="exact" w:before="9"/>
              <w:ind w:right="177"/>
              <w:jc w:val="right"/>
              <w:rPr>
                <w:sz w:val="14"/>
              </w:rPr>
            </w:pPr>
            <w:r>
              <w:rPr>
                <w:w w:val="70"/>
                <w:sz w:val="14"/>
              </w:rPr>
              <w:t>908.041</w:t>
            </w:r>
          </w:p>
        </w:tc>
        <w:tc>
          <w:tcPr>
            <w:tcW w:w="734" w:type="dxa"/>
          </w:tcPr>
          <w:p>
            <w:pPr>
              <w:pStyle w:val="TableParagraph"/>
              <w:spacing w:line="145" w:lineRule="exact" w:before="9"/>
              <w:ind w:left="123" w:right="116"/>
              <w:jc w:val="center"/>
              <w:rPr>
                <w:sz w:val="14"/>
              </w:rPr>
            </w:pPr>
            <w:r>
              <w:rPr>
                <w:w w:val="80"/>
                <w:sz w:val="14"/>
              </w:rPr>
              <w:t>731.883</w:t>
            </w:r>
          </w:p>
        </w:tc>
        <w:tc>
          <w:tcPr>
            <w:tcW w:w="658" w:type="dxa"/>
          </w:tcPr>
          <w:p>
            <w:pPr>
              <w:pStyle w:val="TableParagraph"/>
              <w:spacing w:line="145" w:lineRule="exact" w:before="9"/>
              <w:ind w:right="100"/>
              <w:jc w:val="right"/>
              <w:rPr>
                <w:sz w:val="14"/>
              </w:rPr>
            </w:pPr>
            <w:r>
              <w:rPr>
                <w:w w:val="70"/>
                <w:sz w:val="14"/>
              </w:rPr>
              <w:t>684.888</w:t>
            </w:r>
          </w:p>
        </w:tc>
        <w:tc>
          <w:tcPr>
            <w:tcW w:w="700" w:type="dxa"/>
          </w:tcPr>
          <w:p>
            <w:pPr>
              <w:pStyle w:val="TableParagraph"/>
              <w:spacing w:line="145" w:lineRule="exact" w:before="9"/>
              <w:ind w:right="133"/>
              <w:jc w:val="right"/>
              <w:rPr>
                <w:sz w:val="14"/>
              </w:rPr>
            </w:pPr>
            <w:r>
              <w:rPr>
                <w:w w:val="70"/>
                <w:sz w:val="14"/>
              </w:rPr>
              <w:t>632.392</w:t>
            </w:r>
          </w:p>
        </w:tc>
        <w:tc>
          <w:tcPr>
            <w:tcW w:w="734" w:type="dxa"/>
          </w:tcPr>
          <w:p>
            <w:pPr>
              <w:pStyle w:val="TableParagraph"/>
              <w:spacing w:line="145" w:lineRule="exact" w:before="9"/>
              <w:ind w:right="132"/>
              <w:jc w:val="right"/>
              <w:rPr>
                <w:sz w:val="14"/>
              </w:rPr>
            </w:pPr>
            <w:r>
              <w:rPr>
                <w:w w:val="70"/>
                <w:sz w:val="14"/>
              </w:rPr>
              <w:t>613.426</w:t>
            </w:r>
          </w:p>
        </w:tc>
        <w:tc>
          <w:tcPr>
            <w:tcW w:w="666" w:type="dxa"/>
          </w:tcPr>
          <w:p>
            <w:pPr>
              <w:pStyle w:val="TableParagraph"/>
              <w:spacing w:line="145" w:lineRule="exact" w:before="9"/>
              <w:ind w:right="64"/>
              <w:jc w:val="right"/>
              <w:rPr>
                <w:sz w:val="14"/>
              </w:rPr>
            </w:pPr>
            <w:r>
              <w:rPr>
                <w:w w:val="70"/>
                <w:sz w:val="14"/>
              </w:rPr>
              <w:t>596.693</w:t>
            </w:r>
          </w:p>
        </w:tc>
        <w:tc>
          <w:tcPr>
            <w:tcW w:w="2819" w:type="dxa"/>
          </w:tcPr>
          <w:p>
            <w:pPr>
              <w:pStyle w:val="TableParagraph"/>
              <w:spacing w:line="147" w:lineRule="exact" w:before="8"/>
              <w:ind w:left="64"/>
              <w:rPr>
                <w:rFonts w:ascii="Caladea" w:hAnsi="Caladea"/>
                <w:b/>
                <w:sz w:val="14"/>
              </w:rPr>
            </w:pPr>
            <w:r>
              <w:rPr>
                <w:rFonts w:ascii="Caladea" w:hAnsi="Caladea"/>
                <w:b/>
                <w:w w:val="85"/>
                <w:sz w:val="14"/>
              </w:rPr>
              <w:t>Total do Não Circulante</w:t>
            </w:r>
          </w:p>
        </w:tc>
        <w:tc>
          <w:tcPr>
            <w:tcW w:w="279" w:type="dxa"/>
          </w:tcPr>
          <w:p>
            <w:pPr>
              <w:pStyle w:val="TableParagraph"/>
              <w:rPr>
                <w:rFonts w:ascii="Times New Roman"/>
                <w:sz w:val="10"/>
              </w:rPr>
            </w:pPr>
          </w:p>
        </w:tc>
        <w:tc>
          <w:tcPr>
            <w:tcW w:w="762" w:type="dxa"/>
            <w:tcBorders>
              <w:top w:val="single" w:sz="6" w:space="0" w:color="000000"/>
              <w:bottom w:val="single" w:sz="6" w:space="0" w:color="000000"/>
            </w:tcBorders>
          </w:tcPr>
          <w:p>
            <w:pPr>
              <w:pStyle w:val="TableParagraph"/>
              <w:spacing w:line="147" w:lineRule="exact" w:before="8"/>
              <w:ind w:right="178"/>
              <w:jc w:val="right"/>
              <w:rPr>
                <w:rFonts w:ascii="Caladea"/>
                <w:b/>
                <w:sz w:val="14"/>
              </w:rPr>
            </w:pPr>
            <w:r>
              <w:rPr>
                <w:rFonts w:ascii="Caladea"/>
                <w:b/>
                <w:w w:val="70"/>
                <w:sz w:val="14"/>
              </w:rPr>
              <w:t>190.782</w:t>
            </w:r>
          </w:p>
        </w:tc>
        <w:tc>
          <w:tcPr>
            <w:tcW w:w="751" w:type="dxa"/>
            <w:tcBorders>
              <w:top w:val="single" w:sz="6" w:space="0" w:color="000000"/>
              <w:bottom w:val="single" w:sz="6" w:space="0" w:color="000000"/>
            </w:tcBorders>
          </w:tcPr>
          <w:p>
            <w:pPr>
              <w:pStyle w:val="TableParagraph"/>
              <w:spacing w:line="147" w:lineRule="exact" w:before="8"/>
              <w:ind w:right="178"/>
              <w:jc w:val="right"/>
              <w:rPr>
                <w:rFonts w:ascii="Caladea"/>
                <w:b/>
                <w:sz w:val="14"/>
              </w:rPr>
            </w:pPr>
            <w:r>
              <w:rPr>
                <w:rFonts w:ascii="Caladea"/>
                <w:b/>
                <w:w w:val="70"/>
                <w:sz w:val="14"/>
              </w:rPr>
              <w:t>96.782</w:t>
            </w:r>
          </w:p>
        </w:tc>
        <w:tc>
          <w:tcPr>
            <w:tcW w:w="683" w:type="dxa"/>
            <w:tcBorders>
              <w:top w:val="single" w:sz="6" w:space="0" w:color="000000"/>
              <w:bottom w:val="single" w:sz="6" w:space="0" w:color="000000"/>
            </w:tcBorders>
          </w:tcPr>
          <w:p>
            <w:pPr>
              <w:pStyle w:val="TableParagraph"/>
              <w:spacing w:line="147" w:lineRule="exact" w:before="8"/>
              <w:ind w:right="109"/>
              <w:jc w:val="right"/>
              <w:rPr>
                <w:rFonts w:ascii="Caladea"/>
                <w:b/>
                <w:sz w:val="14"/>
              </w:rPr>
            </w:pPr>
            <w:r>
              <w:rPr>
                <w:rFonts w:ascii="Caladea"/>
                <w:b/>
                <w:w w:val="70"/>
                <w:sz w:val="14"/>
              </w:rPr>
              <w:t>97.366</w:t>
            </w:r>
          </w:p>
        </w:tc>
        <w:tc>
          <w:tcPr>
            <w:tcW w:w="692" w:type="dxa"/>
            <w:tcBorders>
              <w:top w:val="single" w:sz="6" w:space="0" w:color="000000"/>
              <w:bottom w:val="single" w:sz="6" w:space="0" w:color="000000"/>
            </w:tcBorders>
          </w:tcPr>
          <w:p>
            <w:pPr>
              <w:pStyle w:val="TableParagraph"/>
              <w:spacing w:line="147" w:lineRule="exact" w:before="8"/>
              <w:ind w:right="134"/>
              <w:jc w:val="right"/>
              <w:rPr>
                <w:rFonts w:ascii="Caladea"/>
                <w:b/>
                <w:sz w:val="14"/>
              </w:rPr>
            </w:pPr>
            <w:r>
              <w:rPr>
                <w:rFonts w:ascii="Caladea"/>
                <w:b/>
                <w:w w:val="70"/>
                <w:sz w:val="14"/>
              </w:rPr>
              <w:t>1.118.599</w:t>
            </w:r>
          </w:p>
        </w:tc>
        <w:tc>
          <w:tcPr>
            <w:tcW w:w="751" w:type="dxa"/>
            <w:tcBorders>
              <w:top w:val="single" w:sz="6" w:space="0" w:color="000000"/>
              <w:bottom w:val="single" w:sz="6" w:space="0" w:color="000000"/>
            </w:tcBorders>
          </w:tcPr>
          <w:p>
            <w:pPr>
              <w:pStyle w:val="TableParagraph"/>
              <w:spacing w:line="147" w:lineRule="exact" w:before="8"/>
              <w:ind w:right="133"/>
              <w:jc w:val="right"/>
              <w:rPr>
                <w:rFonts w:ascii="Caladea"/>
                <w:b/>
                <w:sz w:val="14"/>
              </w:rPr>
            </w:pPr>
            <w:r>
              <w:rPr>
                <w:rFonts w:ascii="Caladea"/>
                <w:b/>
                <w:w w:val="70"/>
                <w:sz w:val="14"/>
              </w:rPr>
              <w:t>872.920</w:t>
            </w:r>
          </w:p>
        </w:tc>
        <w:tc>
          <w:tcPr>
            <w:tcW w:w="672" w:type="dxa"/>
            <w:tcBorders>
              <w:top w:val="single" w:sz="6" w:space="0" w:color="000000"/>
              <w:bottom w:val="single" w:sz="6" w:space="0" w:color="000000"/>
            </w:tcBorders>
          </w:tcPr>
          <w:p>
            <w:pPr>
              <w:pStyle w:val="TableParagraph"/>
              <w:spacing w:line="147" w:lineRule="exact" w:before="8"/>
              <w:ind w:right="54"/>
              <w:jc w:val="right"/>
              <w:rPr>
                <w:rFonts w:ascii="Caladea"/>
                <w:b/>
                <w:sz w:val="14"/>
              </w:rPr>
            </w:pPr>
            <w:r>
              <w:rPr>
                <w:rFonts w:ascii="Caladea"/>
                <w:b/>
                <w:w w:val="70"/>
                <w:sz w:val="14"/>
              </w:rPr>
              <w:t>1.061.540</w:t>
            </w:r>
          </w:p>
        </w:tc>
      </w:tr>
      <w:tr>
        <w:trPr>
          <w:trHeight w:val="183" w:hRule="atLeast"/>
        </w:trPr>
        <w:tc>
          <w:tcPr>
            <w:tcW w:w="2689" w:type="dxa"/>
          </w:tcPr>
          <w:p>
            <w:pPr>
              <w:pStyle w:val="TableParagraph"/>
              <w:spacing w:line="155" w:lineRule="exact" w:before="9"/>
              <w:ind w:left="26"/>
              <w:rPr>
                <w:sz w:val="14"/>
              </w:rPr>
            </w:pPr>
            <w:r>
              <w:rPr>
                <w:w w:val="80"/>
                <w:sz w:val="14"/>
              </w:rPr>
              <w:t>Imobilizado</w:t>
            </w:r>
          </w:p>
        </w:tc>
        <w:tc>
          <w:tcPr>
            <w:tcW w:w="250" w:type="dxa"/>
          </w:tcPr>
          <w:p>
            <w:pPr>
              <w:pStyle w:val="TableParagraph"/>
              <w:spacing w:line="155" w:lineRule="exact" w:before="9"/>
              <w:ind w:left="49" w:right="35"/>
              <w:jc w:val="center"/>
              <w:rPr>
                <w:sz w:val="14"/>
              </w:rPr>
            </w:pPr>
            <w:r>
              <w:rPr>
                <w:w w:val="85"/>
                <w:sz w:val="14"/>
              </w:rPr>
              <w:t>15</w:t>
            </w:r>
          </w:p>
        </w:tc>
        <w:tc>
          <w:tcPr>
            <w:tcW w:w="802" w:type="dxa"/>
          </w:tcPr>
          <w:p>
            <w:pPr>
              <w:pStyle w:val="TableParagraph"/>
              <w:spacing w:line="155" w:lineRule="exact" w:before="9"/>
              <w:ind w:right="177"/>
              <w:jc w:val="right"/>
              <w:rPr>
                <w:sz w:val="14"/>
              </w:rPr>
            </w:pPr>
            <w:r>
              <w:rPr>
                <w:w w:val="70"/>
                <w:sz w:val="14"/>
              </w:rPr>
              <w:t>13.047</w:t>
            </w:r>
          </w:p>
        </w:tc>
        <w:tc>
          <w:tcPr>
            <w:tcW w:w="734" w:type="dxa"/>
          </w:tcPr>
          <w:p>
            <w:pPr>
              <w:pStyle w:val="TableParagraph"/>
              <w:spacing w:line="155" w:lineRule="exact" w:before="9"/>
              <w:ind w:left="186" w:right="120"/>
              <w:jc w:val="center"/>
              <w:rPr>
                <w:sz w:val="14"/>
              </w:rPr>
            </w:pPr>
            <w:r>
              <w:rPr>
                <w:w w:val="80"/>
                <w:sz w:val="14"/>
              </w:rPr>
              <w:t>13.136</w:t>
            </w:r>
          </w:p>
        </w:tc>
        <w:tc>
          <w:tcPr>
            <w:tcW w:w="658" w:type="dxa"/>
          </w:tcPr>
          <w:p>
            <w:pPr>
              <w:pStyle w:val="TableParagraph"/>
              <w:spacing w:line="155" w:lineRule="exact" w:before="9"/>
              <w:ind w:right="100"/>
              <w:jc w:val="right"/>
              <w:rPr>
                <w:sz w:val="14"/>
              </w:rPr>
            </w:pPr>
            <w:r>
              <w:rPr>
                <w:w w:val="70"/>
                <w:sz w:val="14"/>
              </w:rPr>
              <w:t>13.136</w:t>
            </w:r>
          </w:p>
        </w:tc>
        <w:tc>
          <w:tcPr>
            <w:tcW w:w="700" w:type="dxa"/>
          </w:tcPr>
          <w:p>
            <w:pPr>
              <w:pStyle w:val="TableParagraph"/>
              <w:spacing w:line="155" w:lineRule="exact" w:before="9"/>
              <w:ind w:right="133"/>
              <w:jc w:val="right"/>
              <w:rPr>
                <w:sz w:val="14"/>
              </w:rPr>
            </w:pPr>
            <w:r>
              <w:rPr>
                <w:w w:val="70"/>
                <w:sz w:val="14"/>
              </w:rPr>
              <w:t>110.744</w:t>
            </w:r>
          </w:p>
        </w:tc>
        <w:tc>
          <w:tcPr>
            <w:tcW w:w="734" w:type="dxa"/>
          </w:tcPr>
          <w:p>
            <w:pPr>
              <w:pStyle w:val="TableParagraph"/>
              <w:spacing w:line="155" w:lineRule="exact" w:before="9"/>
              <w:ind w:right="132"/>
              <w:jc w:val="right"/>
              <w:rPr>
                <w:sz w:val="14"/>
              </w:rPr>
            </w:pPr>
            <w:r>
              <w:rPr>
                <w:w w:val="70"/>
                <w:sz w:val="14"/>
              </w:rPr>
              <w:t>102.560</w:t>
            </w:r>
          </w:p>
        </w:tc>
        <w:tc>
          <w:tcPr>
            <w:tcW w:w="666" w:type="dxa"/>
          </w:tcPr>
          <w:p>
            <w:pPr>
              <w:pStyle w:val="TableParagraph"/>
              <w:spacing w:line="155" w:lineRule="exact" w:before="9"/>
              <w:ind w:right="64"/>
              <w:jc w:val="right"/>
              <w:rPr>
                <w:sz w:val="14"/>
              </w:rPr>
            </w:pPr>
            <w:r>
              <w:rPr>
                <w:w w:val="70"/>
                <w:sz w:val="14"/>
              </w:rPr>
              <w:t>104.066</w:t>
            </w:r>
          </w:p>
        </w:tc>
        <w:tc>
          <w:tcPr>
            <w:tcW w:w="2819" w:type="dxa"/>
          </w:tcPr>
          <w:p>
            <w:pPr>
              <w:pStyle w:val="TableParagraph"/>
              <w:rPr>
                <w:rFonts w:ascii="Times New Roman"/>
                <w:sz w:val="10"/>
              </w:rPr>
            </w:pPr>
          </w:p>
        </w:tc>
        <w:tc>
          <w:tcPr>
            <w:tcW w:w="279" w:type="dxa"/>
          </w:tcPr>
          <w:p>
            <w:pPr>
              <w:pStyle w:val="TableParagraph"/>
              <w:rPr>
                <w:rFonts w:ascii="Times New Roman"/>
                <w:sz w:val="10"/>
              </w:rPr>
            </w:pPr>
          </w:p>
        </w:tc>
        <w:tc>
          <w:tcPr>
            <w:tcW w:w="762" w:type="dxa"/>
            <w:tcBorders>
              <w:top w:val="single" w:sz="6" w:space="0" w:color="000000"/>
            </w:tcBorders>
          </w:tcPr>
          <w:p>
            <w:pPr>
              <w:pStyle w:val="TableParagraph"/>
              <w:rPr>
                <w:rFonts w:ascii="Times New Roman"/>
                <w:sz w:val="10"/>
              </w:rPr>
            </w:pPr>
          </w:p>
        </w:tc>
        <w:tc>
          <w:tcPr>
            <w:tcW w:w="751" w:type="dxa"/>
            <w:tcBorders>
              <w:top w:val="single" w:sz="6" w:space="0" w:color="000000"/>
            </w:tcBorders>
          </w:tcPr>
          <w:p>
            <w:pPr>
              <w:pStyle w:val="TableParagraph"/>
              <w:rPr>
                <w:rFonts w:ascii="Times New Roman"/>
                <w:sz w:val="10"/>
              </w:rPr>
            </w:pPr>
          </w:p>
        </w:tc>
        <w:tc>
          <w:tcPr>
            <w:tcW w:w="683" w:type="dxa"/>
            <w:tcBorders>
              <w:top w:val="single" w:sz="6" w:space="0" w:color="000000"/>
            </w:tcBorders>
          </w:tcPr>
          <w:p>
            <w:pPr>
              <w:pStyle w:val="TableParagraph"/>
              <w:rPr>
                <w:rFonts w:ascii="Times New Roman"/>
                <w:sz w:val="10"/>
              </w:rPr>
            </w:pPr>
          </w:p>
        </w:tc>
        <w:tc>
          <w:tcPr>
            <w:tcW w:w="692" w:type="dxa"/>
            <w:tcBorders>
              <w:top w:val="single" w:sz="6" w:space="0" w:color="000000"/>
            </w:tcBorders>
          </w:tcPr>
          <w:p>
            <w:pPr>
              <w:pStyle w:val="TableParagraph"/>
              <w:rPr>
                <w:rFonts w:ascii="Times New Roman"/>
                <w:sz w:val="10"/>
              </w:rPr>
            </w:pPr>
          </w:p>
        </w:tc>
        <w:tc>
          <w:tcPr>
            <w:tcW w:w="751" w:type="dxa"/>
            <w:tcBorders>
              <w:top w:val="single" w:sz="6" w:space="0" w:color="000000"/>
            </w:tcBorders>
          </w:tcPr>
          <w:p>
            <w:pPr>
              <w:pStyle w:val="TableParagraph"/>
              <w:rPr>
                <w:rFonts w:ascii="Times New Roman"/>
                <w:sz w:val="10"/>
              </w:rPr>
            </w:pPr>
          </w:p>
        </w:tc>
        <w:tc>
          <w:tcPr>
            <w:tcW w:w="672" w:type="dxa"/>
            <w:tcBorders>
              <w:top w:val="single" w:sz="6" w:space="0" w:color="000000"/>
            </w:tcBorders>
          </w:tcPr>
          <w:p>
            <w:pPr>
              <w:pStyle w:val="TableParagraph"/>
              <w:rPr>
                <w:rFonts w:ascii="Times New Roman"/>
                <w:sz w:val="10"/>
              </w:rPr>
            </w:pPr>
          </w:p>
        </w:tc>
      </w:tr>
      <w:tr>
        <w:trPr>
          <w:trHeight w:val="181" w:hRule="atLeast"/>
        </w:trPr>
        <w:tc>
          <w:tcPr>
            <w:tcW w:w="2689" w:type="dxa"/>
          </w:tcPr>
          <w:p>
            <w:pPr>
              <w:pStyle w:val="TableParagraph"/>
              <w:spacing w:line="146" w:lineRule="exact" w:before="15"/>
              <w:ind w:left="26"/>
              <w:rPr>
                <w:sz w:val="14"/>
              </w:rPr>
            </w:pPr>
            <w:r>
              <w:rPr>
                <w:w w:val="80"/>
                <w:sz w:val="14"/>
              </w:rPr>
              <w:t>Intangível</w:t>
            </w:r>
          </w:p>
        </w:tc>
        <w:tc>
          <w:tcPr>
            <w:tcW w:w="250" w:type="dxa"/>
          </w:tcPr>
          <w:p>
            <w:pPr>
              <w:pStyle w:val="TableParagraph"/>
              <w:spacing w:line="146" w:lineRule="exact" w:before="15"/>
              <w:ind w:left="49" w:right="35"/>
              <w:jc w:val="center"/>
              <w:rPr>
                <w:sz w:val="14"/>
              </w:rPr>
            </w:pPr>
            <w:r>
              <w:rPr>
                <w:w w:val="85"/>
                <w:sz w:val="14"/>
              </w:rPr>
              <w:t>16</w:t>
            </w:r>
          </w:p>
        </w:tc>
        <w:tc>
          <w:tcPr>
            <w:tcW w:w="802" w:type="dxa"/>
            <w:tcBorders>
              <w:bottom w:val="single" w:sz="6" w:space="0" w:color="000000"/>
            </w:tcBorders>
          </w:tcPr>
          <w:p>
            <w:pPr>
              <w:pStyle w:val="TableParagraph"/>
              <w:spacing w:line="146" w:lineRule="exact" w:before="15"/>
              <w:ind w:right="177"/>
              <w:jc w:val="right"/>
              <w:rPr>
                <w:sz w:val="14"/>
              </w:rPr>
            </w:pPr>
            <w:r>
              <w:rPr>
                <w:w w:val="70"/>
                <w:sz w:val="14"/>
              </w:rPr>
              <w:t>3.034</w:t>
            </w:r>
          </w:p>
        </w:tc>
        <w:tc>
          <w:tcPr>
            <w:tcW w:w="734" w:type="dxa"/>
            <w:tcBorders>
              <w:bottom w:val="single" w:sz="6" w:space="0" w:color="000000"/>
            </w:tcBorders>
          </w:tcPr>
          <w:p>
            <w:pPr>
              <w:pStyle w:val="TableParagraph"/>
              <w:spacing w:line="146" w:lineRule="exact" w:before="15"/>
              <w:ind w:left="212" w:right="87"/>
              <w:jc w:val="center"/>
              <w:rPr>
                <w:sz w:val="14"/>
              </w:rPr>
            </w:pPr>
            <w:r>
              <w:rPr>
                <w:w w:val="80"/>
                <w:sz w:val="14"/>
              </w:rPr>
              <w:t>3.971</w:t>
            </w:r>
          </w:p>
        </w:tc>
        <w:tc>
          <w:tcPr>
            <w:tcW w:w="658" w:type="dxa"/>
            <w:tcBorders>
              <w:bottom w:val="single" w:sz="6" w:space="0" w:color="000000"/>
            </w:tcBorders>
          </w:tcPr>
          <w:p>
            <w:pPr>
              <w:pStyle w:val="TableParagraph"/>
              <w:spacing w:line="146" w:lineRule="exact" w:before="15"/>
              <w:ind w:right="100"/>
              <w:jc w:val="right"/>
              <w:rPr>
                <w:sz w:val="14"/>
              </w:rPr>
            </w:pPr>
            <w:r>
              <w:rPr>
                <w:w w:val="70"/>
                <w:sz w:val="14"/>
              </w:rPr>
              <w:t>2.650</w:t>
            </w:r>
          </w:p>
        </w:tc>
        <w:tc>
          <w:tcPr>
            <w:tcW w:w="700" w:type="dxa"/>
            <w:tcBorders>
              <w:bottom w:val="single" w:sz="6" w:space="0" w:color="000000"/>
            </w:tcBorders>
          </w:tcPr>
          <w:p>
            <w:pPr>
              <w:pStyle w:val="TableParagraph"/>
              <w:spacing w:line="146" w:lineRule="exact" w:before="15"/>
              <w:ind w:right="133"/>
              <w:jc w:val="right"/>
              <w:rPr>
                <w:sz w:val="14"/>
              </w:rPr>
            </w:pPr>
            <w:r>
              <w:rPr>
                <w:w w:val="70"/>
                <w:sz w:val="14"/>
              </w:rPr>
              <w:t>893.943</w:t>
            </w:r>
          </w:p>
        </w:tc>
        <w:tc>
          <w:tcPr>
            <w:tcW w:w="734" w:type="dxa"/>
            <w:tcBorders>
              <w:bottom w:val="single" w:sz="6" w:space="0" w:color="000000"/>
            </w:tcBorders>
          </w:tcPr>
          <w:p>
            <w:pPr>
              <w:pStyle w:val="TableParagraph"/>
              <w:spacing w:line="146" w:lineRule="exact" w:before="15"/>
              <w:ind w:right="132"/>
              <w:jc w:val="right"/>
              <w:rPr>
                <w:sz w:val="14"/>
              </w:rPr>
            </w:pPr>
            <w:r>
              <w:rPr>
                <w:w w:val="70"/>
                <w:sz w:val="14"/>
              </w:rPr>
              <w:t>920.106</w:t>
            </w:r>
          </w:p>
        </w:tc>
        <w:tc>
          <w:tcPr>
            <w:tcW w:w="666" w:type="dxa"/>
            <w:tcBorders>
              <w:bottom w:val="single" w:sz="6" w:space="0" w:color="000000"/>
            </w:tcBorders>
          </w:tcPr>
          <w:p>
            <w:pPr>
              <w:pStyle w:val="TableParagraph"/>
              <w:spacing w:line="146" w:lineRule="exact" w:before="15"/>
              <w:ind w:right="64"/>
              <w:jc w:val="right"/>
              <w:rPr>
                <w:sz w:val="14"/>
              </w:rPr>
            </w:pPr>
            <w:r>
              <w:rPr>
                <w:w w:val="70"/>
                <w:sz w:val="14"/>
              </w:rPr>
              <w:t>960.373</w:t>
            </w:r>
          </w:p>
        </w:tc>
        <w:tc>
          <w:tcPr>
            <w:tcW w:w="2819" w:type="dxa"/>
          </w:tcPr>
          <w:p>
            <w:pPr>
              <w:pStyle w:val="TableParagraph"/>
              <w:spacing w:line="147" w:lineRule="exact" w:before="14"/>
              <w:ind w:left="64"/>
              <w:rPr>
                <w:rFonts w:ascii="Caladea" w:hAnsi="Caladea"/>
                <w:b/>
                <w:sz w:val="14"/>
              </w:rPr>
            </w:pPr>
            <w:r>
              <w:rPr>
                <w:rFonts w:ascii="Caladea" w:hAnsi="Caladea"/>
                <w:b/>
                <w:w w:val="85"/>
                <w:sz w:val="14"/>
              </w:rPr>
              <w:t>Patrimônio Líquido</w:t>
            </w:r>
          </w:p>
        </w:tc>
        <w:tc>
          <w:tcPr>
            <w:tcW w:w="279" w:type="dxa"/>
          </w:tcPr>
          <w:p>
            <w:pPr>
              <w:pStyle w:val="TableParagraph"/>
              <w:spacing w:line="146" w:lineRule="exact" w:before="15"/>
              <w:ind w:right="50"/>
              <w:jc w:val="right"/>
              <w:rPr>
                <w:sz w:val="14"/>
              </w:rPr>
            </w:pPr>
            <w:r>
              <w:rPr>
                <w:w w:val="75"/>
                <w:sz w:val="14"/>
              </w:rPr>
              <w:t>29</w:t>
            </w: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rPr>
                <w:rFonts w:ascii="Times New Roman"/>
                <w:sz w:val="10"/>
              </w:rPr>
            </w:pPr>
          </w:p>
        </w:tc>
        <w:tc>
          <w:tcPr>
            <w:tcW w:w="751" w:type="dxa"/>
          </w:tcPr>
          <w:p>
            <w:pPr>
              <w:pStyle w:val="TableParagraph"/>
              <w:rPr>
                <w:rFonts w:ascii="Times New Roman"/>
                <w:sz w:val="10"/>
              </w:rPr>
            </w:pPr>
          </w:p>
        </w:tc>
        <w:tc>
          <w:tcPr>
            <w:tcW w:w="672" w:type="dxa"/>
          </w:tcPr>
          <w:p>
            <w:pPr>
              <w:pStyle w:val="TableParagraph"/>
              <w:rPr>
                <w:rFonts w:ascii="Times New Roman"/>
                <w:sz w:val="10"/>
              </w:rPr>
            </w:pPr>
          </w:p>
        </w:tc>
      </w:tr>
      <w:tr>
        <w:trPr>
          <w:trHeight w:val="175" w:hRule="atLeast"/>
        </w:trPr>
        <w:tc>
          <w:tcPr>
            <w:tcW w:w="2689" w:type="dxa"/>
          </w:tcPr>
          <w:p>
            <w:pPr>
              <w:pStyle w:val="TableParagraph"/>
              <w:spacing w:line="147" w:lineRule="exact" w:before="8"/>
              <w:ind w:left="26"/>
              <w:rPr>
                <w:rFonts w:ascii="Caladea" w:hAnsi="Caladea"/>
                <w:b/>
                <w:sz w:val="14"/>
              </w:rPr>
            </w:pPr>
            <w:r>
              <w:rPr>
                <w:rFonts w:ascii="Caladea" w:hAnsi="Caladea"/>
                <w:b/>
                <w:w w:val="85"/>
                <w:sz w:val="14"/>
              </w:rPr>
              <w:t>Total do Não Circulante</w:t>
            </w:r>
          </w:p>
        </w:tc>
        <w:tc>
          <w:tcPr>
            <w:tcW w:w="250" w:type="dxa"/>
          </w:tcPr>
          <w:p>
            <w:pPr>
              <w:pStyle w:val="TableParagraph"/>
              <w:rPr>
                <w:rFonts w:ascii="Times New Roman"/>
                <w:sz w:val="10"/>
              </w:rPr>
            </w:pPr>
          </w:p>
        </w:tc>
        <w:tc>
          <w:tcPr>
            <w:tcW w:w="802" w:type="dxa"/>
            <w:tcBorders>
              <w:top w:val="single" w:sz="6" w:space="0" w:color="000000"/>
              <w:bottom w:val="single" w:sz="6" w:space="0" w:color="000000"/>
            </w:tcBorders>
          </w:tcPr>
          <w:p>
            <w:pPr>
              <w:pStyle w:val="TableParagraph"/>
              <w:spacing w:line="147" w:lineRule="exact" w:before="8"/>
              <w:ind w:right="173"/>
              <w:jc w:val="right"/>
              <w:rPr>
                <w:rFonts w:ascii="Caladea"/>
                <w:b/>
                <w:sz w:val="14"/>
              </w:rPr>
            </w:pPr>
            <w:r>
              <w:rPr>
                <w:rFonts w:ascii="Caladea"/>
                <w:b/>
                <w:w w:val="70"/>
                <w:sz w:val="14"/>
              </w:rPr>
              <w:t>966.710</w:t>
            </w:r>
          </w:p>
        </w:tc>
        <w:tc>
          <w:tcPr>
            <w:tcW w:w="734" w:type="dxa"/>
            <w:tcBorders>
              <w:top w:val="single" w:sz="6" w:space="0" w:color="000000"/>
              <w:bottom w:val="single" w:sz="6" w:space="0" w:color="000000"/>
            </w:tcBorders>
          </w:tcPr>
          <w:p>
            <w:pPr>
              <w:pStyle w:val="TableParagraph"/>
              <w:spacing w:line="147" w:lineRule="exact" w:before="8"/>
              <w:ind w:left="123" w:right="120"/>
              <w:jc w:val="center"/>
              <w:rPr>
                <w:rFonts w:ascii="Caladea"/>
                <w:b/>
                <w:sz w:val="14"/>
              </w:rPr>
            </w:pPr>
            <w:r>
              <w:rPr>
                <w:rFonts w:ascii="Caladea"/>
                <w:b/>
                <w:w w:val="85"/>
                <w:sz w:val="14"/>
              </w:rPr>
              <w:t>788.618</w:t>
            </w:r>
          </w:p>
        </w:tc>
        <w:tc>
          <w:tcPr>
            <w:tcW w:w="658" w:type="dxa"/>
            <w:tcBorders>
              <w:top w:val="single" w:sz="6" w:space="0" w:color="000000"/>
              <w:bottom w:val="single" w:sz="6" w:space="0" w:color="000000"/>
            </w:tcBorders>
          </w:tcPr>
          <w:p>
            <w:pPr>
              <w:pStyle w:val="TableParagraph"/>
              <w:spacing w:line="147" w:lineRule="exact" w:before="8"/>
              <w:ind w:right="96"/>
              <w:jc w:val="right"/>
              <w:rPr>
                <w:rFonts w:ascii="Caladea"/>
                <w:b/>
                <w:sz w:val="14"/>
              </w:rPr>
            </w:pPr>
            <w:r>
              <w:rPr>
                <w:rFonts w:ascii="Caladea"/>
                <w:b/>
                <w:w w:val="70"/>
                <w:sz w:val="14"/>
              </w:rPr>
              <w:t>742.901</w:t>
            </w:r>
          </w:p>
        </w:tc>
        <w:tc>
          <w:tcPr>
            <w:tcW w:w="700" w:type="dxa"/>
            <w:tcBorders>
              <w:top w:val="single" w:sz="6" w:space="0" w:color="000000"/>
              <w:bottom w:val="single" w:sz="6" w:space="0" w:color="000000"/>
            </w:tcBorders>
          </w:tcPr>
          <w:p>
            <w:pPr>
              <w:pStyle w:val="TableParagraph"/>
              <w:spacing w:line="147" w:lineRule="exact" w:before="8"/>
              <w:ind w:right="129"/>
              <w:jc w:val="right"/>
              <w:rPr>
                <w:rFonts w:ascii="Caladea"/>
                <w:b/>
                <w:sz w:val="14"/>
              </w:rPr>
            </w:pPr>
            <w:r>
              <w:rPr>
                <w:rFonts w:ascii="Caladea"/>
                <w:b/>
                <w:w w:val="70"/>
                <w:sz w:val="14"/>
              </w:rPr>
              <w:t>1.946.819</w:t>
            </w:r>
          </w:p>
        </w:tc>
        <w:tc>
          <w:tcPr>
            <w:tcW w:w="734" w:type="dxa"/>
            <w:tcBorders>
              <w:top w:val="single" w:sz="6" w:space="0" w:color="000000"/>
              <w:bottom w:val="single" w:sz="6" w:space="0" w:color="000000"/>
            </w:tcBorders>
          </w:tcPr>
          <w:p>
            <w:pPr>
              <w:pStyle w:val="TableParagraph"/>
              <w:spacing w:line="147" w:lineRule="exact" w:before="8"/>
              <w:ind w:right="128"/>
              <w:jc w:val="right"/>
              <w:rPr>
                <w:rFonts w:ascii="Caladea"/>
                <w:b/>
                <w:sz w:val="14"/>
              </w:rPr>
            </w:pPr>
            <w:r>
              <w:rPr>
                <w:rFonts w:ascii="Caladea"/>
                <w:b/>
                <w:w w:val="70"/>
                <w:sz w:val="14"/>
              </w:rPr>
              <w:t>1.899.318</w:t>
            </w:r>
          </w:p>
        </w:tc>
        <w:tc>
          <w:tcPr>
            <w:tcW w:w="666" w:type="dxa"/>
            <w:tcBorders>
              <w:top w:val="single" w:sz="6" w:space="0" w:color="000000"/>
              <w:bottom w:val="single" w:sz="6" w:space="0" w:color="000000"/>
            </w:tcBorders>
          </w:tcPr>
          <w:p>
            <w:pPr>
              <w:pStyle w:val="TableParagraph"/>
              <w:spacing w:line="147" w:lineRule="exact" w:before="8"/>
              <w:ind w:right="59"/>
              <w:jc w:val="right"/>
              <w:rPr>
                <w:rFonts w:ascii="Caladea"/>
                <w:b/>
                <w:sz w:val="14"/>
              </w:rPr>
            </w:pPr>
            <w:r>
              <w:rPr>
                <w:rFonts w:ascii="Caladea"/>
                <w:b/>
                <w:w w:val="70"/>
                <w:sz w:val="14"/>
              </w:rPr>
              <w:t>1.919.636</w:t>
            </w:r>
          </w:p>
        </w:tc>
        <w:tc>
          <w:tcPr>
            <w:tcW w:w="2819" w:type="dxa"/>
          </w:tcPr>
          <w:p>
            <w:pPr>
              <w:pStyle w:val="TableParagraph"/>
              <w:spacing w:line="145" w:lineRule="exact" w:before="9"/>
              <w:ind w:left="64"/>
              <w:rPr>
                <w:sz w:val="14"/>
              </w:rPr>
            </w:pPr>
            <w:r>
              <w:rPr>
                <w:w w:val="80"/>
                <w:sz w:val="14"/>
              </w:rPr>
              <w:t>Capital social</w:t>
            </w:r>
          </w:p>
        </w:tc>
        <w:tc>
          <w:tcPr>
            <w:tcW w:w="279" w:type="dxa"/>
          </w:tcPr>
          <w:p>
            <w:pPr>
              <w:pStyle w:val="TableParagraph"/>
              <w:rPr>
                <w:rFonts w:ascii="Times New Roman"/>
                <w:sz w:val="10"/>
              </w:rPr>
            </w:pPr>
          </w:p>
        </w:tc>
        <w:tc>
          <w:tcPr>
            <w:tcW w:w="762" w:type="dxa"/>
          </w:tcPr>
          <w:p>
            <w:pPr>
              <w:pStyle w:val="TableParagraph"/>
              <w:spacing w:line="145" w:lineRule="exact" w:before="9"/>
              <w:ind w:right="182"/>
              <w:jc w:val="right"/>
              <w:rPr>
                <w:sz w:val="14"/>
              </w:rPr>
            </w:pPr>
            <w:r>
              <w:rPr>
                <w:w w:val="70"/>
                <w:sz w:val="14"/>
              </w:rPr>
              <w:t>566.025</w:t>
            </w:r>
          </w:p>
        </w:tc>
        <w:tc>
          <w:tcPr>
            <w:tcW w:w="751" w:type="dxa"/>
          </w:tcPr>
          <w:p>
            <w:pPr>
              <w:pStyle w:val="TableParagraph"/>
              <w:spacing w:line="145" w:lineRule="exact" w:before="9"/>
              <w:ind w:right="182"/>
              <w:jc w:val="right"/>
              <w:rPr>
                <w:sz w:val="14"/>
              </w:rPr>
            </w:pPr>
            <w:r>
              <w:rPr>
                <w:w w:val="70"/>
                <w:sz w:val="14"/>
              </w:rPr>
              <w:t>566.025</w:t>
            </w:r>
          </w:p>
        </w:tc>
        <w:tc>
          <w:tcPr>
            <w:tcW w:w="683" w:type="dxa"/>
          </w:tcPr>
          <w:p>
            <w:pPr>
              <w:pStyle w:val="TableParagraph"/>
              <w:spacing w:line="145" w:lineRule="exact" w:before="9"/>
              <w:ind w:right="113"/>
              <w:jc w:val="right"/>
              <w:rPr>
                <w:sz w:val="14"/>
              </w:rPr>
            </w:pPr>
            <w:r>
              <w:rPr>
                <w:w w:val="70"/>
                <w:sz w:val="14"/>
              </w:rPr>
              <w:t>566.025</w:t>
            </w:r>
          </w:p>
        </w:tc>
        <w:tc>
          <w:tcPr>
            <w:tcW w:w="692" w:type="dxa"/>
          </w:tcPr>
          <w:p>
            <w:pPr>
              <w:pStyle w:val="TableParagraph"/>
              <w:spacing w:line="145" w:lineRule="exact" w:before="9"/>
              <w:ind w:right="138"/>
              <w:jc w:val="right"/>
              <w:rPr>
                <w:sz w:val="14"/>
              </w:rPr>
            </w:pPr>
            <w:r>
              <w:rPr>
                <w:w w:val="70"/>
                <w:sz w:val="14"/>
              </w:rPr>
              <w:t>566.025</w:t>
            </w:r>
          </w:p>
        </w:tc>
        <w:tc>
          <w:tcPr>
            <w:tcW w:w="751" w:type="dxa"/>
          </w:tcPr>
          <w:p>
            <w:pPr>
              <w:pStyle w:val="TableParagraph"/>
              <w:spacing w:line="145" w:lineRule="exact" w:before="9"/>
              <w:ind w:right="137"/>
              <w:jc w:val="right"/>
              <w:rPr>
                <w:sz w:val="14"/>
              </w:rPr>
            </w:pPr>
            <w:r>
              <w:rPr>
                <w:w w:val="70"/>
                <w:sz w:val="14"/>
              </w:rPr>
              <w:t>566.025</w:t>
            </w:r>
          </w:p>
        </w:tc>
        <w:tc>
          <w:tcPr>
            <w:tcW w:w="672" w:type="dxa"/>
          </w:tcPr>
          <w:p>
            <w:pPr>
              <w:pStyle w:val="TableParagraph"/>
              <w:spacing w:line="145" w:lineRule="exact" w:before="9"/>
              <w:ind w:right="58"/>
              <w:jc w:val="right"/>
              <w:rPr>
                <w:sz w:val="14"/>
              </w:rPr>
            </w:pPr>
            <w:r>
              <w:rPr>
                <w:w w:val="70"/>
                <w:sz w:val="14"/>
              </w:rPr>
              <w:t>566.025</w:t>
            </w:r>
          </w:p>
        </w:tc>
      </w:tr>
      <w:tr>
        <w:trPr>
          <w:trHeight w:val="183"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58" w:type="dxa"/>
            <w:tcBorders>
              <w:top w:val="single" w:sz="6" w:space="0" w:color="000000"/>
            </w:tcBorders>
          </w:tcPr>
          <w:p>
            <w:pPr>
              <w:pStyle w:val="TableParagraph"/>
              <w:rPr>
                <w:rFonts w:ascii="Times New Roman"/>
                <w:sz w:val="10"/>
              </w:rPr>
            </w:pPr>
          </w:p>
        </w:tc>
        <w:tc>
          <w:tcPr>
            <w:tcW w:w="700" w:type="dxa"/>
            <w:tcBorders>
              <w:top w:val="single" w:sz="6" w:space="0" w:color="000000"/>
            </w:tcBorders>
          </w:tcPr>
          <w:p>
            <w:pPr>
              <w:pStyle w:val="TableParagraph"/>
              <w:rPr>
                <w:rFonts w:ascii="Times New Roman"/>
                <w:sz w:val="10"/>
              </w:rPr>
            </w:pPr>
          </w:p>
        </w:tc>
        <w:tc>
          <w:tcPr>
            <w:tcW w:w="734" w:type="dxa"/>
            <w:tcBorders>
              <w:top w:val="single" w:sz="6" w:space="0" w:color="000000"/>
            </w:tcBorders>
          </w:tcPr>
          <w:p>
            <w:pPr>
              <w:pStyle w:val="TableParagraph"/>
              <w:rPr>
                <w:rFonts w:ascii="Times New Roman"/>
                <w:sz w:val="10"/>
              </w:rPr>
            </w:pPr>
          </w:p>
        </w:tc>
        <w:tc>
          <w:tcPr>
            <w:tcW w:w="666" w:type="dxa"/>
            <w:tcBorders>
              <w:top w:val="single" w:sz="6" w:space="0" w:color="000000"/>
            </w:tcBorders>
          </w:tcPr>
          <w:p>
            <w:pPr>
              <w:pStyle w:val="TableParagraph"/>
              <w:rPr>
                <w:rFonts w:ascii="Times New Roman"/>
                <w:sz w:val="10"/>
              </w:rPr>
            </w:pPr>
          </w:p>
        </w:tc>
        <w:tc>
          <w:tcPr>
            <w:tcW w:w="2819" w:type="dxa"/>
          </w:tcPr>
          <w:p>
            <w:pPr>
              <w:pStyle w:val="TableParagraph"/>
              <w:spacing w:line="155" w:lineRule="exact" w:before="9"/>
              <w:ind w:left="64"/>
              <w:rPr>
                <w:sz w:val="14"/>
              </w:rPr>
            </w:pPr>
            <w:r>
              <w:rPr>
                <w:w w:val="80"/>
                <w:sz w:val="14"/>
              </w:rPr>
              <w:t>Reserva de lucros</w:t>
            </w:r>
          </w:p>
        </w:tc>
        <w:tc>
          <w:tcPr>
            <w:tcW w:w="279" w:type="dxa"/>
          </w:tcPr>
          <w:p>
            <w:pPr>
              <w:pStyle w:val="TableParagraph"/>
              <w:rPr>
                <w:rFonts w:ascii="Times New Roman"/>
                <w:sz w:val="10"/>
              </w:rPr>
            </w:pPr>
          </w:p>
        </w:tc>
        <w:tc>
          <w:tcPr>
            <w:tcW w:w="762" w:type="dxa"/>
          </w:tcPr>
          <w:p>
            <w:pPr>
              <w:pStyle w:val="TableParagraph"/>
              <w:spacing w:line="155" w:lineRule="exact" w:before="9"/>
              <w:ind w:right="182"/>
              <w:jc w:val="right"/>
              <w:rPr>
                <w:sz w:val="14"/>
              </w:rPr>
            </w:pPr>
            <w:r>
              <w:rPr>
                <w:w w:val="70"/>
                <w:sz w:val="14"/>
              </w:rPr>
              <w:t>108.575</w:t>
            </w:r>
          </w:p>
        </w:tc>
        <w:tc>
          <w:tcPr>
            <w:tcW w:w="751" w:type="dxa"/>
          </w:tcPr>
          <w:p>
            <w:pPr>
              <w:pStyle w:val="TableParagraph"/>
              <w:spacing w:line="155" w:lineRule="exact" w:before="9"/>
              <w:ind w:right="182"/>
              <w:jc w:val="right"/>
              <w:rPr>
                <w:sz w:val="14"/>
              </w:rPr>
            </w:pPr>
            <w:r>
              <w:rPr>
                <w:w w:val="70"/>
                <w:sz w:val="14"/>
              </w:rPr>
              <w:t>18.677</w:t>
            </w:r>
          </w:p>
        </w:tc>
        <w:tc>
          <w:tcPr>
            <w:tcW w:w="683" w:type="dxa"/>
          </w:tcPr>
          <w:p>
            <w:pPr>
              <w:pStyle w:val="TableParagraph"/>
              <w:rPr>
                <w:rFonts w:ascii="Times New Roman"/>
                <w:sz w:val="10"/>
              </w:rPr>
            </w:pPr>
          </w:p>
        </w:tc>
        <w:tc>
          <w:tcPr>
            <w:tcW w:w="692" w:type="dxa"/>
          </w:tcPr>
          <w:p>
            <w:pPr>
              <w:pStyle w:val="TableParagraph"/>
              <w:spacing w:line="155" w:lineRule="exact" w:before="9"/>
              <w:ind w:right="138"/>
              <w:jc w:val="right"/>
              <w:rPr>
                <w:sz w:val="14"/>
              </w:rPr>
            </w:pPr>
            <w:r>
              <w:rPr>
                <w:w w:val="70"/>
                <w:sz w:val="14"/>
              </w:rPr>
              <w:t>108.575</w:t>
            </w:r>
          </w:p>
        </w:tc>
        <w:tc>
          <w:tcPr>
            <w:tcW w:w="751" w:type="dxa"/>
          </w:tcPr>
          <w:p>
            <w:pPr>
              <w:pStyle w:val="TableParagraph"/>
              <w:spacing w:line="155" w:lineRule="exact" w:before="9"/>
              <w:ind w:right="137"/>
              <w:jc w:val="right"/>
              <w:rPr>
                <w:sz w:val="14"/>
              </w:rPr>
            </w:pPr>
            <w:r>
              <w:rPr>
                <w:w w:val="70"/>
                <w:sz w:val="14"/>
              </w:rPr>
              <w:t>18.677</w:t>
            </w:r>
          </w:p>
        </w:tc>
        <w:tc>
          <w:tcPr>
            <w:tcW w:w="672" w:type="dxa"/>
          </w:tcPr>
          <w:p>
            <w:pPr>
              <w:pStyle w:val="TableParagraph"/>
              <w:rPr>
                <w:rFonts w:ascii="Times New Roman"/>
                <w:sz w:val="10"/>
              </w:rPr>
            </w:pPr>
          </w:p>
        </w:tc>
      </w:tr>
      <w:tr>
        <w:trPr>
          <w:trHeight w:val="190"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5" w:lineRule="exact" w:before="15"/>
              <w:ind w:left="64"/>
              <w:rPr>
                <w:sz w:val="14"/>
              </w:rPr>
            </w:pPr>
            <w:r>
              <w:rPr>
                <w:w w:val="80"/>
                <w:sz w:val="14"/>
              </w:rPr>
              <w:t>Ajuste de avaliação patrimonial</w:t>
            </w:r>
          </w:p>
        </w:tc>
        <w:tc>
          <w:tcPr>
            <w:tcW w:w="279" w:type="dxa"/>
          </w:tcPr>
          <w:p>
            <w:pPr>
              <w:pStyle w:val="TableParagraph"/>
              <w:rPr>
                <w:rFonts w:ascii="Times New Roman"/>
                <w:sz w:val="10"/>
              </w:rPr>
            </w:pPr>
          </w:p>
        </w:tc>
        <w:tc>
          <w:tcPr>
            <w:tcW w:w="762" w:type="dxa"/>
          </w:tcPr>
          <w:p>
            <w:pPr>
              <w:pStyle w:val="TableParagraph"/>
              <w:spacing w:line="155" w:lineRule="exact" w:before="15"/>
              <w:ind w:right="182"/>
              <w:jc w:val="right"/>
              <w:rPr>
                <w:sz w:val="14"/>
              </w:rPr>
            </w:pPr>
            <w:r>
              <w:rPr>
                <w:w w:val="70"/>
                <w:sz w:val="14"/>
              </w:rPr>
              <w:t>109.386</w:t>
            </w:r>
          </w:p>
        </w:tc>
        <w:tc>
          <w:tcPr>
            <w:tcW w:w="751" w:type="dxa"/>
          </w:tcPr>
          <w:p>
            <w:pPr>
              <w:pStyle w:val="TableParagraph"/>
              <w:spacing w:line="155" w:lineRule="exact" w:before="15"/>
              <w:ind w:right="182"/>
              <w:jc w:val="right"/>
              <w:rPr>
                <w:sz w:val="14"/>
              </w:rPr>
            </w:pPr>
            <w:r>
              <w:rPr>
                <w:w w:val="70"/>
                <w:sz w:val="14"/>
              </w:rPr>
              <w:t>149.749</w:t>
            </w:r>
          </w:p>
        </w:tc>
        <w:tc>
          <w:tcPr>
            <w:tcW w:w="683" w:type="dxa"/>
          </w:tcPr>
          <w:p>
            <w:pPr>
              <w:pStyle w:val="TableParagraph"/>
              <w:spacing w:line="155" w:lineRule="exact" w:before="15"/>
              <w:ind w:right="113"/>
              <w:jc w:val="right"/>
              <w:rPr>
                <w:sz w:val="14"/>
              </w:rPr>
            </w:pPr>
            <w:r>
              <w:rPr>
                <w:w w:val="70"/>
                <w:sz w:val="14"/>
              </w:rPr>
              <w:t>156.506</w:t>
            </w:r>
          </w:p>
        </w:tc>
        <w:tc>
          <w:tcPr>
            <w:tcW w:w="692" w:type="dxa"/>
          </w:tcPr>
          <w:p>
            <w:pPr>
              <w:pStyle w:val="TableParagraph"/>
              <w:spacing w:line="155" w:lineRule="exact" w:before="15"/>
              <w:ind w:right="138"/>
              <w:jc w:val="right"/>
              <w:rPr>
                <w:sz w:val="14"/>
              </w:rPr>
            </w:pPr>
            <w:r>
              <w:rPr>
                <w:w w:val="70"/>
                <w:sz w:val="14"/>
              </w:rPr>
              <w:t>109.386</w:t>
            </w:r>
          </w:p>
        </w:tc>
        <w:tc>
          <w:tcPr>
            <w:tcW w:w="751" w:type="dxa"/>
          </w:tcPr>
          <w:p>
            <w:pPr>
              <w:pStyle w:val="TableParagraph"/>
              <w:spacing w:line="155" w:lineRule="exact" w:before="15"/>
              <w:ind w:right="137"/>
              <w:jc w:val="right"/>
              <w:rPr>
                <w:sz w:val="14"/>
              </w:rPr>
            </w:pPr>
            <w:r>
              <w:rPr>
                <w:w w:val="70"/>
                <w:sz w:val="14"/>
              </w:rPr>
              <w:t>149.749</w:t>
            </w:r>
          </w:p>
        </w:tc>
        <w:tc>
          <w:tcPr>
            <w:tcW w:w="672" w:type="dxa"/>
          </w:tcPr>
          <w:p>
            <w:pPr>
              <w:pStyle w:val="TableParagraph"/>
              <w:spacing w:line="155" w:lineRule="exact" w:before="15"/>
              <w:ind w:right="58"/>
              <w:jc w:val="right"/>
              <w:rPr>
                <w:sz w:val="14"/>
              </w:rPr>
            </w:pPr>
            <w:r>
              <w:rPr>
                <w:w w:val="70"/>
                <w:sz w:val="14"/>
              </w:rPr>
              <w:t>156.506</w:t>
            </w:r>
          </w:p>
        </w:tc>
      </w:tr>
      <w:tr>
        <w:trPr>
          <w:trHeight w:val="181"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45" w:lineRule="exact" w:before="15"/>
              <w:ind w:left="64"/>
              <w:rPr>
                <w:sz w:val="14"/>
              </w:rPr>
            </w:pPr>
            <w:r>
              <w:rPr>
                <w:w w:val="80"/>
                <w:sz w:val="14"/>
              </w:rPr>
              <w:t>Prejuízos acumulados</w:t>
            </w:r>
          </w:p>
        </w:tc>
        <w:tc>
          <w:tcPr>
            <w:tcW w:w="279" w:type="dxa"/>
          </w:tcPr>
          <w:p>
            <w:pPr>
              <w:pStyle w:val="TableParagraph"/>
              <w:rPr>
                <w:rFonts w:ascii="Times New Roman"/>
                <w:sz w:val="10"/>
              </w:rPr>
            </w:pPr>
          </w:p>
        </w:tc>
        <w:tc>
          <w:tcPr>
            <w:tcW w:w="762" w:type="dxa"/>
            <w:tcBorders>
              <w:bottom w:val="single" w:sz="6" w:space="0" w:color="000000"/>
            </w:tcBorders>
          </w:tcPr>
          <w:p>
            <w:pPr>
              <w:pStyle w:val="TableParagraph"/>
              <w:rPr>
                <w:rFonts w:ascii="Times New Roman"/>
                <w:sz w:val="10"/>
              </w:rPr>
            </w:pPr>
          </w:p>
        </w:tc>
        <w:tc>
          <w:tcPr>
            <w:tcW w:w="751" w:type="dxa"/>
            <w:tcBorders>
              <w:bottom w:val="single" w:sz="6" w:space="0" w:color="000000"/>
            </w:tcBorders>
          </w:tcPr>
          <w:p>
            <w:pPr>
              <w:pStyle w:val="TableParagraph"/>
              <w:rPr>
                <w:rFonts w:ascii="Times New Roman"/>
                <w:sz w:val="10"/>
              </w:rPr>
            </w:pPr>
          </w:p>
        </w:tc>
        <w:tc>
          <w:tcPr>
            <w:tcW w:w="683" w:type="dxa"/>
            <w:tcBorders>
              <w:bottom w:val="single" w:sz="6" w:space="0" w:color="000000"/>
            </w:tcBorders>
          </w:tcPr>
          <w:p>
            <w:pPr>
              <w:pStyle w:val="TableParagraph"/>
              <w:spacing w:line="145" w:lineRule="exact" w:before="15"/>
              <w:ind w:right="72"/>
              <w:jc w:val="right"/>
              <w:rPr>
                <w:sz w:val="14"/>
              </w:rPr>
            </w:pPr>
            <w:r>
              <w:rPr>
                <w:w w:val="70"/>
                <w:sz w:val="14"/>
              </w:rPr>
              <w:t>(65.478)</w:t>
            </w:r>
          </w:p>
        </w:tc>
        <w:tc>
          <w:tcPr>
            <w:tcW w:w="692" w:type="dxa"/>
            <w:tcBorders>
              <w:bottom w:val="single" w:sz="6" w:space="0" w:color="000000"/>
            </w:tcBorders>
          </w:tcPr>
          <w:p>
            <w:pPr>
              <w:pStyle w:val="TableParagraph"/>
              <w:rPr>
                <w:rFonts w:ascii="Times New Roman"/>
                <w:sz w:val="10"/>
              </w:rPr>
            </w:pPr>
          </w:p>
        </w:tc>
        <w:tc>
          <w:tcPr>
            <w:tcW w:w="751" w:type="dxa"/>
            <w:tcBorders>
              <w:bottom w:val="single" w:sz="6" w:space="0" w:color="000000"/>
            </w:tcBorders>
          </w:tcPr>
          <w:p>
            <w:pPr>
              <w:pStyle w:val="TableParagraph"/>
              <w:rPr>
                <w:rFonts w:ascii="Times New Roman"/>
                <w:sz w:val="10"/>
              </w:rPr>
            </w:pPr>
          </w:p>
        </w:tc>
        <w:tc>
          <w:tcPr>
            <w:tcW w:w="672" w:type="dxa"/>
            <w:tcBorders>
              <w:bottom w:val="single" w:sz="6" w:space="0" w:color="000000"/>
            </w:tcBorders>
          </w:tcPr>
          <w:p>
            <w:pPr>
              <w:pStyle w:val="TableParagraph"/>
              <w:spacing w:line="145" w:lineRule="exact" w:before="15"/>
              <w:ind w:right="16"/>
              <w:jc w:val="right"/>
              <w:rPr>
                <w:sz w:val="14"/>
              </w:rPr>
            </w:pPr>
            <w:r>
              <w:rPr>
                <w:w w:val="70"/>
                <w:sz w:val="14"/>
              </w:rPr>
              <w:t>(65.478)</w:t>
            </w:r>
          </w:p>
        </w:tc>
      </w:tr>
      <w:tr>
        <w:trPr>
          <w:trHeight w:val="183"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6" w:lineRule="exact" w:before="7"/>
              <w:ind w:left="64"/>
              <w:rPr>
                <w:rFonts w:ascii="Caladea" w:hAnsi="Caladea"/>
                <w:b/>
                <w:sz w:val="14"/>
              </w:rPr>
            </w:pPr>
            <w:r>
              <w:rPr>
                <w:rFonts w:ascii="Caladea" w:hAnsi="Caladea"/>
                <w:b/>
                <w:w w:val="85"/>
                <w:sz w:val="14"/>
              </w:rPr>
              <w:t>Atribuível as acionista controlador</w:t>
            </w:r>
          </w:p>
        </w:tc>
        <w:tc>
          <w:tcPr>
            <w:tcW w:w="279" w:type="dxa"/>
          </w:tcPr>
          <w:p>
            <w:pPr>
              <w:pStyle w:val="TableParagraph"/>
              <w:rPr>
                <w:rFonts w:ascii="Times New Roman"/>
                <w:sz w:val="10"/>
              </w:rPr>
            </w:pPr>
          </w:p>
        </w:tc>
        <w:tc>
          <w:tcPr>
            <w:tcW w:w="762" w:type="dxa"/>
            <w:tcBorders>
              <w:top w:val="single" w:sz="6" w:space="0" w:color="000000"/>
            </w:tcBorders>
          </w:tcPr>
          <w:p>
            <w:pPr>
              <w:pStyle w:val="TableParagraph"/>
              <w:spacing w:line="156" w:lineRule="exact" w:before="7"/>
              <w:ind w:right="178"/>
              <w:jc w:val="right"/>
              <w:rPr>
                <w:rFonts w:ascii="Caladea"/>
                <w:b/>
                <w:sz w:val="14"/>
              </w:rPr>
            </w:pPr>
            <w:r>
              <w:rPr>
                <w:rFonts w:ascii="Caladea"/>
                <w:b/>
                <w:w w:val="70"/>
                <w:sz w:val="14"/>
              </w:rPr>
              <w:t>783.986</w:t>
            </w:r>
          </w:p>
        </w:tc>
        <w:tc>
          <w:tcPr>
            <w:tcW w:w="751" w:type="dxa"/>
            <w:tcBorders>
              <w:top w:val="single" w:sz="6" w:space="0" w:color="000000"/>
            </w:tcBorders>
          </w:tcPr>
          <w:p>
            <w:pPr>
              <w:pStyle w:val="TableParagraph"/>
              <w:spacing w:line="156" w:lineRule="exact" w:before="7"/>
              <w:ind w:right="178"/>
              <w:jc w:val="right"/>
              <w:rPr>
                <w:rFonts w:ascii="Caladea"/>
                <w:b/>
                <w:sz w:val="14"/>
              </w:rPr>
            </w:pPr>
            <w:r>
              <w:rPr>
                <w:rFonts w:ascii="Caladea"/>
                <w:b/>
                <w:w w:val="70"/>
                <w:sz w:val="14"/>
              </w:rPr>
              <w:t>734.451</w:t>
            </w:r>
          </w:p>
        </w:tc>
        <w:tc>
          <w:tcPr>
            <w:tcW w:w="683" w:type="dxa"/>
            <w:tcBorders>
              <w:top w:val="single" w:sz="6" w:space="0" w:color="000000"/>
            </w:tcBorders>
          </w:tcPr>
          <w:p>
            <w:pPr>
              <w:pStyle w:val="TableParagraph"/>
              <w:spacing w:line="156" w:lineRule="exact" w:before="7"/>
              <w:ind w:right="109"/>
              <w:jc w:val="right"/>
              <w:rPr>
                <w:rFonts w:ascii="Caladea"/>
                <w:b/>
                <w:sz w:val="14"/>
              </w:rPr>
            </w:pPr>
            <w:r>
              <w:rPr>
                <w:rFonts w:ascii="Caladea"/>
                <w:b/>
                <w:w w:val="70"/>
                <w:sz w:val="14"/>
              </w:rPr>
              <w:t>657.053</w:t>
            </w:r>
          </w:p>
        </w:tc>
        <w:tc>
          <w:tcPr>
            <w:tcW w:w="692" w:type="dxa"/>
            <w:tcBorders>
              <w:top w:val="single" w:sz="6" w:space="0" w:color="000000"/>
            </w:tcBorders>
          </w:tcPr>
          <w:p>
            <w:pPr>
              <w:pStyle w:val="TableParagraph"/>
              <w:spacing w:line="156" w:lineRule="exact" w:before="7"/>
              <w:ind w:right="134"/>
              <w:jc w:val="right"/>
              <w:rPr>
                <w:rFonts w:ascii="Caladea"/>
                <w:b/>
                <w:sz w:val="14"/>
              </w:rPr>
            </w:pPr>
            <w:r>
              <w:rPr>
                <w:rFonts w:ascii="Caladea"/>
                <w:b/>
                <w:w w:val="70"/>
                <w:sz w:val="14"/>
              </w:rPr>
              <w:t>783.986</w:t>
            </w:r>
          </w:p>
        </w:tc>
        <w:tc>
          <w:tcPr>
            <w:tcW w:w="751" w:type="dxa"/>
            <w:tcBorders>
              <w:top w:val="single" w:sz="6" w:space="0" w:color="000000"/>
            </w:tcBorders>
          </w:tcPr>
          <w:p>
            <w:pPr>
              <w:pStyle w:val="TableParagraph"/>
              <w:spacing w:line="156" w:lineRule="exact" w:before="7"/>
              <w:ind w:right="133"/>
              <w:jc w:val="right"/>
              <w:rPr>
                <w:rFonts w:ascii="Caladea"/>
                <w:b/>
                <w:sz w:val="14"/>
              </w:rPr>
            </w:pPr>
            <w:r>
              <w:rPr>
                <w:rFonts w:ascii="Caladea"/>
                <w:b/>
                <w:w w:val="70"/>
                <w:sz w:val="14"/>
              </w:rPr>
              <w:t>734.451</w:t>
            </w:r>
          </w:p>
        </w:tc>
        <w:tc>
          <w:tcPr>
            <w:tcW w:w="672" w:type="dxa"/>
            <w:tcBorders>
              <w:top w:val="single" w:sz="6" w:space="0" w:color="000000"/>
            </w:tcBorders>
          </w:tcPr>
          <w:p>
            <w:pPr>
              <w:pStyle w:val="TableParagraph"/>
              <w:spacing w:line="156" w:lineRule="exact" w:before="7"/>
              <w:ind w:right="54"/>
              <w:jc w:val="right"/>
              <w:rPr>
                <w:rFonts w:ascii="Caladea"/>
                <w:b/>
                <w:sz w:val="14"/>
              </w:rPr>
            </w:pPr>
            <w:r>
              <w:rPr>
                <w:rFonts w:ascii="Caladea"/>
                <w:b/>
                <w:w w:val="70"/>
                <w:sz w:val="14"/>
              </w:rPr>
              <w:t>657.053</w:t>
            </w:r>
          </w:p>
        </w:tc>
      </w:tr>
      <w:tr>
        <w:trPr>
          <w:trHeight w:val="190"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Pr>
          <w:p>
            <w:pPr>
              <w:pStyle w:val="TableParagraph"/>
              <w:rPr>
                <w:rFonts w:ascii="Times New Roman"/>
                <w:sz w:val="10"/>
              </w:rPr>
            </w:pPr>
          </w:p>
        </w:tc>
        <w:tc>
          <w:tcPr>
            <w:tcW w:w="734" w:type="dxa"/>
          </w:tcPr>
          <w:p>
            <w:pPr>
              <w:pStyle w:val="TableParagraph"/>
              <w:rPr>
                <w:rFonts w:ascii="Times New Roman"/>
                <w:sz w:val="10"/>
              </w:rPr>
            </w:pPr>
          </w:p>
        </w:tc>
        <w:tc>
          <w:tcPr>
            <w:tcW w:w="658" w:type="dxa"/>
          </w:tcPr>
          <w:p>
            <w:pPr>
              <w:pStyle w:val="TableParagraph"/>
              <w:rPr>
                <w:rFonts w:ascii="Times New Roman"/>
                <w:sz w:val="10"/>
              </w:rPr>
            </w:pPr>
          </w:p>
        </w:tc>
        <w:tc>
          <w:tcPr>
            <w:tcW w:w="700" w:type="dxa"/>
          </w:tcPr>
          <w:p>
            <w:pPr>
              <w:pStyle w:val="TableParagraph"/>
              <w:rPr>
                <w:rFonts w:ascii="Times New Roman"/>
                <w:sz w:val="10"/>
              </w:rPr>
            </w:pPr>
          </w:p>
        </w:tc>
        <w:tc>
          <w:tcPr>
            <w:tcW w:w="734" w:type="dxa"/>
          </w:tcPr>
          <w:p>
            <w:pPr>
              <w:pStyle w:val="TableParagraph"/>
              <w:rPr>
                <w:rFonts w:ascii="Times New Roman"/>
                <w:sz w:val="10"/>
              </w:rPr>
            </w:pPr>
          </w:p>
        </w:tc>
        <w:tc>
          <w:tcPr>
            <w:tcW w:w="666" w:type="dxa"/>
          </w:tcPr>
          <w:p>
            <w:pPr>
              <w:pStyle w:val="TableParagraph"/>
              <w:rPr>
                <w:rFonts w:ascii="Times New Roman"/>
                <w:sz w:val="10"/>
              </w:rPr>
            </w:pPr>
          </w:p>
        </w:tc>
        <w:tc>
          <w:tcPr>
            <w:tcW w:w="2819" w:type="dxa"/>
          </w:tcPr>
          <w:p>
            <w:pPr>
              <w:pStyle w:val="TableParagraph"/>
              <w:spacing w:line="156" w:lineRule="exact" w:before="14"/>
              <w:ind w:left="64"/>
              <w:rPr>
                <w:rFonts w:ascii="Caladea" w:hAnsi="Caladea"/>
                <w:b/>
                <w:sz w:val="14"/>
              </w:rPr>
            </w:pPr>
            <w:r>
              <w:rPr>
                <w:rFonts w:ascii="Caladea" w:hAnsi="Caladea"/>
                <w:b/>
                <w:w w:val="85"/>
                <w:sz w:val="14"/>
              </w:rPr>
              <w:t>Atribuível aos acionistas não controladores</w:t>
            </w:r>
          </w:p>
        </w:tc>
        <w:tc>
          <w:tcPr>
            <w:tcW w:w="279" w:type="dxa"/>
          </w:tcPr>
          <w:p>
            <w:pPr>
              <w:pStyle w:val="TableParagraph"/>
              <w:rPr>
                <w:rFonts w:ascii="Times New Roman"/>
                <w:sz w:val="10"/>
              </w:rPr>
            </w:pPr>
          </w:p>
        </w:tc>
        <w:tc>
          <w:tcPr>
            <w:tcW w:w="762" w:type="dxa"/>
          </w:tcPr>
          <w:p>
            <w:pPr>
              <w:pStyle w:val="TableParagraph"/>
              <w:rPr>
                <w:rFonts w:ascii="Times New Roman"/>
                <w:sz w:val="10"/>
              </w:rPr>
            </w:pPr>
          </w:p>
        </w:tc>
        <w:tc>
          <w:tcPr>
            <w:tcW w:w="751" w:type="dxa"/>
          </w:tcPr>
          <w:p>
            <w:pPr>
              <w:pStyle w:val="TableParagraph"/>
              <w:rPr>
                <w:rFonts w:ascii="Times New Roman"/>
                <w:sz w:val="10"/>
              </w:rPr>
            </w:pPr>
          </w:p>
        </w:tc>
        <w:tc>
          <w:tcPr>
            <w:tcW w:w="683" w:type="dxa"/>
          </w:tcPr>
          <w:p>
            <w:pPr>
              <w:pStyle w:val="TableParagraph"/>
              <w:rPr>
                <w:rFonts w:ascii="Times New Roman"/>
                <w:sz w:val="10"/>
              </w:rPr>
            </w:pPr>
          </w:p>
        </w:tc>
        <w:tc>
          <w:tcPr>
            <w:tcW w:w="692" w:type="dxa"/>
          </w:tcPr>
          <w:p>
            <w:pPr>
              <w:pStyle w:val="TableParagraph"/>
              <w:spacing w:line="156" w:lineRule="exact" w:before="14"/>
              <w:ind w:right="134"/>
              <w:jc w:val="right"/>
              <w:rPr>
                <w:rFonts w:ascii="Caladea"/>
                <w:b/>
                <w:sz w:val="14"/>
              </w:rPr>
            </w:pPr>
            <w:r>
              <w:rPr>
                <w:rFonts w:ascii="Caladea"/>
                <w:b/>
                <w:w w:val="70"/>
                <w:sz w:val="14"/>
              </w:rPr>
              <w:t>216.689</w:t>
            </w:r>
          </w:p>
        </w:tc>
        <w:tc>
          <w:tcPr>
            <w:tcW w:w="751" w:type="dxa"/>
          </w:tcPr>
          <w:p>
            <w:pPr>
              <w:pStyle w:val="TableParagraph"/>
              <w:spacing w:line="156" w:lineRule="exact" w:before="14"/>
              <w:ind w:right="133"/>
              <w:jc w:val="right"/>
              <w:rPr>
                <w:rFonts w:ascii="Caladea"/>
                <w:b/>
                <w:sz w:val="14"/>
              </w:rPr>
            </w:pPr>
            <w:r>
              <w:rPr>
                <w:rFonts w:ascii="Caladea"/>
                <w:b/>
                <w:w w:val="70"/>
                <w:sz w:val="14"/>
              </w:rPr>
              <w:t>205.457</w:t>
            </w:r>
          </w:p>
        </w:tc>
        <w:tc>
          <w:tcPr>
            <w:tcW w:w="672" w:type="dxa"/>
          </w:tcPr>
          <w:p>
            <w:pPr>
              <w:pStyle w:val="TableParagraph"/>
              <w:spacing w:line="156" w:lineRule="exact" w:before="14"/>
              <w:ind w:right="54"/>
              <w:jc w:val="right"/>
              <w:rPr>
                <w:rFonts w:ascii="Caladea"/>
                <w:b/>
                <w:sz w:val="14"/>
              </w:rPr>
            </w:pPr>
            <w:r>
              <w:rPr>
                <w:rFonts w:ascii="Caladea"/>
                <w:b/>
                <w:w w:val="70"/>
                <w:sz w:val="14"/>
              </w:rPr>
              <w:t>201.429</w:t>
            </w:r>
          </w:p>
        </w:tc>
      </w:tr>
      <w:tr>
        <w:trPr>
          <w:trHeight w:val="371" w:hRule="atLeast"/>
        </w:trPr>
        <w:tc>
          <w:tcPr>
            <w:tcW w:w="2689" w:type="dxa"/>
          </w:tcPr>
          <w:p>
            <w:pPr>
              <w:pStyle w:val="TableParagraph"/>
              <w:rPr>
                <w:rFonts w:ascii="Times New Roman"/>
                <w:sz w:val="10"/>
              </w:rPr>
            </w:pPr>
          </w:p>
        </w:tc>
        <w:tc>
          <w:tcPr>
            <w:tcW w:w="250" w:type="dxa"/>
          </w:tcPr>
          <w:p>
            <w:pPr>
              <w:pStyle w:val="TableParagraph"/>
              <w:rPr>
                <w:rFonts w:ascii="Times New Roman"/>
                <w:sz w:val="10"/>
              </w:rPr>
            </w:pPr>
          </w:p>
        </w:tc>
        <w:tc>
          <w:tcPr>
            <w:tcW w:w="802" w:type="dxa"/>
            <w:tcBorders>
              <w:bottom w:val="single" w:sz="6" w:space="0" w:color="000000"/>
            </w:tcBorders>
          </w:tcPr>
          <w:p>
            <w:pPr>
              <w:pStyle w:val="TableParagraph"/>
              <w:rPr>
                <w:rFonts w:ascii="Times New Roman"/>
                <w:sz w:val="10"/>
              </w:rPr>
            </w:pPr>
          </w:p>
        </w:tc>
        <w:tc>
          <w:tcPr>
            <w:tcW w:w="734" w:type="dxa"/>
            <w:tcBorders>
              <w:bottom w:val="single" w:sz="6" w:space="0" w:color="000000"/>
            </w:tcBorders>
          </w:tcPr>
          <w:p>
            <w:pPr>
              <w:pStyle w:val="TableParagraph"/>
              <w:rPr>
                <w:rFonts w:ascii="Times New Roman"/>
                <w:sz w:val="10"/>
              </w:rPr>
            </w:pPr>
          </w:p>
        </w:tc>
        <w:tc>
          <w:tcPr>
            <w:tcW w:w="658" w:type="dxa"/>
            <w:tcBorders>
              <w:bottom w:val="single" w:sz="6" w:space="0" w:color="000000"/>
            </w:tcBorders>
          </w:tcPr>
          <w:p>
            <w:pPr>
              <w:pStyle w:val="TableParagraph"/>
              <w:rPr>
                <w:rFonts w:ascii="Times New Roman"/>
                <w:sz w:val="10"/>
              </w:rPr>
            </w:pPr>
          </w:p>
        </w:tc>
        <w:tc>
          <w:tcPr>
            <w:tcW w:w="700" w:type="dxa"/>
            <w:tcBorders>
              <w:bottom w:val="single" w:sz="6" w:space="0" w:color="000000"/>
            </w:tcBorders>
          </w:tcPr>
          <w:p>
            <w:pPr>
              <w:pStyle w:val="TableParagraph"/>
              <w:rPr>
                <w:rFonts w:ascii="Times New Roman"/>
                <w:sz w:val="10"/>
              </w:rPr>
            </w:pPr>
          </w:p>
        </w:tc>
        <w:tc>
          <w:tcPr>
            <w:tcW w:w="734" w:type="dxa"/>
            <w:tcBorders>
              <w:bottom w:val="single" w:sz="6" w:space="0" w:color="000000"/>
            </w:tcBorders>
          </w:tcPr>
          <w:p>
            <w:pPr>
              <w:pStyle w:val="TableParagraph"/>
              <w:rPr>
                <w:rFonts w:ascii="Times New Roman"/>
                <w:sz w:val="10"/>
              </w:rPr>
            </w:pPr>
          </w:p>
        </w:tc>
        <w:tc>
          <w:tcPr>
            <w:tcW w:w="666" w:type="dxa"/>
            <w:tcBorders>
              <w:bottom w:val="single" w:sz="6" w:space="0" w:color="000000"/>
            </w:tcBorders>
          </w:tcPr>
          <w:p>
            <w:pPr>
              <w:pStyle w:val="TableParagraph"/>
              <w:rPr>
                <w:rFonts w:ascii="Times New Roman"/>
                <w:sz w:val="10"/>
              </w:rPr>
            </w:pPr>
          </w:p>
        </w:tc>
        <w:tc>
          <w:tcPr>
            <w:tcW w:w="2819" w:type="dxa"/>
          </w:tcPr>
          <w:p>
            <w:pPr>
              <w:pStyle w:val="TableParagraph"/>
              <w:spacing w:before="14"/>
              <w:ind w:left="64"/>
              <w:rPr>
                <w:rFonts w:ascii="Caladea" w:hAnsi="Caladea"/>
                <w:b/>
                <w:sz w:val="14"/>
              </w:rPr>
            </w:pPr>
            <w:r>
              <w:rPr>
                <w:rFonts w:ascii="Caladea" w:hAnsi="Caladea"/>
                <w:b/>
                <w:w w:val="85"/>
                <w:sz w:val="14"/>
              </w:rPr>
              <w:t>Total do Patrimônio Líquido</w:t>
            </w:r>
          </w:p>
        </w:tc>
        <w:tc>
          <w:tcPr>
            <w:tcW w:w="279" w:type="dxa"/>
          </w:tcPr>
          <w:p>
            <w:pPr>
              <w:pStyle w:val="TableParagraph"/>
              <w:rPr>
                <w:rFonts w:ascii="Times New Roman"/>
                <w:sz w:val="10"/>
              </w:rPr>
            </w:pPr>
          </w:p>
        </w:tc>
        <w:tc>
          <w:tcPr>
            <w:tcW w:w="762" w:type="dxa"/>
            <w:tcBorders>
              <w:bottom w:val="single" w:sz="6" w:space="0" w:color="000000"/>
            </w:tcBorders>
          </w:tcPr>
          <w:p>
            <w:pPr>
              <w:pStyle w:val="TableParagraph"/>
              <w:spacing w:before="14"/>
              <w:ind w:right="178"/>
              <w:jc w:val="right"/>
              <w:rPr>
                <w:rFonts w:ascii="Caladea"/>
                <w:b/>
                <w:sz w:val="14"/>
              </w:rPr>
            </w:pPr>
            <w:r>
              <w:rPr>
                <w:rFonts w:ascii="Caladea"/>
                <w:b/>
                <w:w w:val="70"/>
                <w:sz w:val="14"/>
              </w:rPr>
              <w:t>783.986</w:t>
            </w:r>
          </w:p>
        </w:tc>
        <w:tc>
          <w:tcPr>
            <w:tcW w:w="751" w:type="dxa"/>
            <w:tcBorders>
              <w:bottom w:val="single" w:sz="6" w:space="0" w:color="000000"/>
            </w:tcBorders>
          </w:tcPr>
          <w:p>
            <w:pPr>
              <w:pStyle w:val="TableParagraph"/>
              <w:spacing w:before="14"/>
              <w:ind w:right="178"/>
              <w:jc w:val="right"/>
              <w:rPr>
                <w:rFonts w:ascii="Caladea"/>
                <w:b/>
                <w:sz w:val="14"/>
              </w:rPr>
            </w:pPr>
            <w:r>
              <w:rPr>
                <w:rFonts w:ascii="Caladea"/>
                <w:b/>
                <w:w w:val="70"/>
                <w:sz w:val="14"/>
              </w:rPr>
              <w:t>734.451</w:t>
            </w:r>
          </w:p>
        </w:tc>
        <w:tc>
          <w:tcPr>
            <w:tcW w:w="683" w:type="dxa"/>
            <w:tcBorders>
              <w:bottom w:val="single" w:sz="6" w:space="0" w:color="000000"/>
            </w:tcBorders>
          </w:tcPr>
          <w:p>
            <w:pPr>
              <w:pStyle w:val="TableParagraph"/>
              <w:spacing w:before="14"/>
              <w:ind w:right="109"/>
              <w:jc w:val="right"/>
              <w:rPr>
                <w:rFonts w:ascii="Caladea"/>
                <w:b/>
                <w:sz w:val="14"/>
              </w:rPr>
            </w:pPr>
            <w:r>
              <w:rPr>
                <w:rFonts w:ascii="Caladea"/>
                <w:b/>
                <w:w w:val="70"/>
                <w:sz w:val="14"/>
              </w:rPr>
              <w:t>657.053</w:t>
            </w:r>
          </w:p>
        </w:tc>
        <w:tc>
          <w:tcPr>
            <w:tcW w:w="692" w:type="dxa"/>
            <w:tcBorders>
              <w:bottom w:val="single" w:sz="6" w:space="0" w:color="000000"/>
            </w:tcBorders>
          </w:tcPr>
          <w:p>
            <w:pPr>
              <w:pStyle w:val="TableParagraph"/>
              <w:spacing w:before="14"/>
              <w:ind w:right="134"/>
              <w:jc w:val="right"/>
              <w:rPr>
                <w:rFonts w:ascii="Caladea"/>
                <w:b/>
                <w:sz w:val="14"/>
              </w:rPr>
            </w:pPr>
            <w:r>
              <w:rPr>
                <w:rFonts w:ascii="Caladea"/>
                <w:b/>
                <w:w w:val="70"/>
                <w:sz w:val="14"/>
              </w:rPr>
              <w:t>1.000.675</w:t>
            </w:r>
          </w:p>
        </w:tc>
        <w:tc>
          <w:tcPr>
            <w:tcW w:w="751" w:type="dxa"/>
            <w:tcBorders>
              <w:bottom w:val="single" w:sz="6" w:space="0" w:color="000000"/>
            </w:tcBorders>
          </w:tcPr>
          <w:p>
            <w:pPr>
              <w:pStyle w:val="TableParagraph"/>
              <w:spacing w:before="14"/>
              <w:ind w:right="133"/>
              <w:jc w:val="right"/>
              <w:rPr>
                <w:rFonts w:ascii="Caladea"/>
                <w:b/>
                <w:sz w:val="14"/>
              </w:rPr>
            </w:pPr>
            <w:r>
              <w:rPr>
                <w:rFonts w:ascii="Caladea"/>
                <w:b/>
                <w:w w:val="70"/>
                <w:sz w:val="14"/>
              </w:rPr>
              <w:t>939.908</w:t>
            </w:r>
          </w:p>
        </w:tc>
        <w:tc>
          <w:tcPr>
            <w:tcW w:w="672" w:type="dxa"/>
            <w:tcBorders>
              <w:bottom w:val="single" w:sz="6" w:space="0" w:color="000000"/>
            </w:tcBorders>
          </w:tcPr>
          <w:p>
            <w:pPr>
              <w:pStyle w:val="TableParagraph"/>
              <w:spacing w:before="14"/>
              <w:ind w:right="54"/>
              <w:jc w:val="right"/>
              <w:rPr>
                <w:rFonts w:ascii="Caladea"/>
                <w:b/>
                <w:sz w:val="14"/>
              </w:rPr>
            </w:pPr>
            <w:r>
              <w:rPr>
                <w:rFonts w:ascii="Caladea"/>
                <w:b/>
                <w:w w:val="70"/>
                <w:sz w:val="14"/>
              </w:rPr>
              <w:t>858.482</w:t>
            </w:r>
          </w:p>
        </w:tc>
      </w:tr>
      <w:tr>
        <w:trPr>
          <w:trHeight w:val="198" w:hRule="atLeast"/>
        </w:trPr>
        <w:tc>
          <w:tcPr>
            <w:tcW w:w="2689" w:type="dxa"/>
          </w:tcPr>
          <w:p>
            <w:pPr>
              <w:pStyle w:val="TableParagraph"/>
              <w:spacing w:before="7"/>
              <w:ind w:left="26"/>
              <w:rPr>
                <w:rFonts w:ascii="Caladea"/>
                <w:b/>
                <w:sz w:val="14"/>
              </w:rPr>
            </w:pPr>
            <w:r>
              <w:rPr>
                <w:rFonts w:ascii="Caladea"/>
                <w:b/>
                <w:w w:val="85"/>
                <w:sz w:val="14"/>
              </w:rPr>
              <w:t>Total do Ativo</w:t>
            </w:r>
          </w:p>
        </w:tc>
        <w:tc>
          <w:tcPr>
            <w:tcW w:w="250" w:type="dxa"/>
          </w:tcPr>
          <w:p>
            <w:pPr>
              <w:pStyle w:val="TableParagraph"/>
              <w:rPr>
                <w:rFonts w:ascii="Times New Roman"/>
                <w:sz w:val="10"/>
              </w:rPr>
            </w:pPr>
          </w:p>
        </w:tc>
        <w:tc>
          <w:tcPr>
            <w:tcW w:w="802" w:type="dxa"/>
            <w:tcBorders>
              <w:top w:val="single" w:sz="6" w:space="0" w:color="000000"/>
              <w:bottom w:val="single" w:sz="6" w:space="0" w:color="000000"/>
            </w:tcBorders>
          </w:tcPr>
          <w:p>
            <w:pPr>
              <w:pStyle w:val="TableParagraph"/>
              <w:spacing w:before="7"/>
              <w:ind w:right="173"/>
              <w:jc w:val="right"/>
              <w:rPr>
                <w:rFonts w:ascii="Caladea"/>
                <w:b/>
                <w:sz w:val="14"/>
              </w:rPr>
            </w:pPr>
            <w:r>
              <w:rPr>
                <w:rFonts w:ascii="Caladea"/>
                <w:b/>
                <w:w w:val="70"/>
                <w:sz w:val="14"/>
              </w:rPr>
              <w:t>1.048.005</w:t>
            </w:r>
          </w:p>
        </w:tc>
        <w:tc>
          <w:tcPr>
            <w:tcW w:w="734" w:type="dxa"/>
            <w:tcBorders>
              <w:top w:val="single" w:sz="6" w:space="0" w:color="000000"/>
              <w:bottom w:val="single" w:sz="6" w:space="0" w:color="000000"/>
            </w:tcBorders>
          </w:tcPr>
          <w:p>
            <w:pPr>
              <w:pStyle w:val="TableParagraph"/>
              <w:spacing w:before="7"/>
              <w:ind w:left="123" w:right="120"/>
              <w:jc w:val="center"/>
              <w:rPr>
                <w:rFonts w:ascii="Caladea"/>
                <w:b/>
                <w:sz w:val="14"/>
              </w:rPr>
            </w:pPr>
            <w:r>
              <w:rPr>
                <w:rFonts w:ascii="Caladea"/>
                <w:b/>
                <w:w w:val="85"/>
                <w:sz w:val="14"/>
              </w:rPr>
              <w:t>858.676</w:t>
            </w:r>
          </w:p>
        </w:tc>
        <w:tc>
          <w:tcPr>
            <w:tcW w:w="658" w:type="dxa"/>
            <w:tcBorders>
              <w:top w:val="single" w:sz="6" w:space="0" w:color="000000"/>
              <w:bottom w:val="single" w:sz="6" w:space="0" w:color="000000"/>
            </w:tcBorders>
          </w:tcPr>
          <w:p>
            <w:pPr>
              <w:pStyle w:val="TableParagraph"/>
              <w:spacing w:before="7"/>
              <w:ind w:right="96"/>
              <w:jc w:val="right"/>
              <w:rPr>
                <w:rFonts w:ascii="Caladea"/>
                <w:b/>
                <w:sz w:val="14"/>
              </w:rPr>
            </w:pPr>
            <w:r>
              <w:rPr>
                <w:rFonts w:ascii="Caladea"/>
                <w:b/>
                <w:w w:val="70"/>
                <w:sz w:val="14"/>
              </w:rPr>
              <w:t>778.577</w:t>
            </w:r>
          </w:p>
        </w:tc>
        <w:tc>
          <w:tcPr>
            <w:tcW w:w="700" w:type="dxa"/>
            <w:tcBorders>
              <w:top w:val="single" w:sz="6" w:space="0" w:color="000000"/>
              <w:bottom w:val="single" w:sz="6" w:space="0" w:color="000000"/>
            </w:tcBorders>
          </w:tcPr>
          <w:p>
            <w:pPr>
              <w:pStyle w:val="TableParagraph"/>
              <w:spacing w:before="7"/>
              <w:ind w:right="129"/>
              <w:jc w:val="right"/>
              <w:rPr>
                <w:rFonts w:ascii="Caladea"/>
                <w:b/>
                <w:sz w:val="14"/>
              </w:rPr>
            </w:pPr>
            <w:r>
              <w:rPr>
                <w:rFonts w:ascii="Caladea"/>
                <w:b/>
                <w:w w:val="70"/>
                <w:sz w:val="14"/>
              </w:rPr>
              <w:t>3.687.354</w:t>
            </w:r>
          </w:p>
        </w:tc>
        <w:tc>
          <w:tcPr>
            <w:tcW w:w="734" w:type="dxa"/>
            <w:tcBorders>
              <w:top w:val="single" w:sz="6" w:space="0" w:color="000000"/>
              <w:bottom w:val="single" w:sz="6" w:space="0" w:color="000000"/>
            </w:tcBorders>
          </w:tcPr>
          <w:p>
            <w:pPr>
              <w:pStyle w:val="TableParagraph"/>
              <w:spacing w:before="7"/>
              <w:ind w:right="128"/>
              <w:jc w:val="right"/>
              <w:rPr>
                <w:rFonts w:ascii="Caladea"/>
                <w:b/>
                <w:sz w:val="14"/>
              </w:rPr>
            </w:pPr>
            <w:r>
              <w:rPr>
                <w:rFonts w:ascii="Caladea"/>
                <w:b/>
                <w:w w:val="70"/>
                <w:sz w:val="14"/>
              </w:rPr>
              <w:t>3.741.671</w:t>
            </w:r>
          </w:p>
        </w:tc>
        <w:tc>
          <w:tcPr>
            <w:tcW w:w="666" w:type="dxa"/>
            <w:tcBorders>
              <w:top w:val="single" w:sz="6" w:space="0" w:color="000000"/>
              <w:bottom w:val="single" w:sz="6" w:space="0" w:color="000000"/>
            </w:tcBorders>
          </w:tcPr>
          <w:p>
            <w:pPr>
              <w:pStyle w:val="TableParagraph"/>
              <w:spacing w:before="7"/>
              <w:ind w:right="59"/>
              <w:jc w:val="right"/>
              <w:rPr>
                <w:rFonts w:ascii="Caladea"/>
                <w:b/>
                <w:sz w:val="14"/>
              </w:rPr>
            </w:pPr>
            <w:r>
              <w:rPr>
                <w:rFonts w:ascii="Caladea"/>
                <w:b/>
                <w:w w:val="70"/>
                <w:sz w:val="14"/>
              </w:rPr>
              <w:t>3.602.748</w:t>
            </w:r>
          </w:p>
        </w:tc>
        <w:tc>
          <w:tcPr>
            <w:tcW w:w="2819" w:type="dxa"/>
          </w:tcPr>
          <w:p>
            <w:pPr>
              <w:pStyle w:val="TableParagraph"/>
              <w:spacing w:line="147" w:lineRule="exact" w:before="7"/>
              <w:ind w:left="64"/>
              <w:rPr>
                <w:rFonts w:ascii="Caladea"/>
                <w:b/>
                <w:sz w:val="14"/>
              </w:rPr>
            </w:pPr>
            <w:r>
              <w:rPr>
                <w:rFonts w:ascii="Caladea"/>
                <w:b/>
                <w:w w:val="85"/>
                <w:sz w:val="14"/>
              </w:rPr>
              <w:t>Total do Passivo</w:t>
            </w:r>
          </w:p>
        </w:tc>
        <w:tc>
          <w:tcPr>
            <w:tcW w:w="279" w:type="dxa"/>
          </w:tcPr>
          <w:p>
            <w:pPr>
              <w:pStyle w:val="TableParagraph"/>
              <w:rPr>
                <w:rFonts w:ascii="Times New Roman"/>
                <w:sz w:val="10"/>
              </w:rPr>
            </w:pPr>
          </w:p>
        </w:tc>
        <w:tc>
          <w:tcPr>
            <w:tcW w:w="762" w:type="dxa"/>
            <w:tcBorders>
              <w:top w:val="single" w:sz="6" w:space="0" w:color="000000"/>
              <w:bottom w:val="single" w:sz="6" w:space="0" w:color="000000"/>
            </w:tcBorders>
          </w:tcPr>
          <w:p>
            <w:pPr>
              <w:pStyle w:val="TableParagraph"/>
              <w:spacing w:before="7"/>
              <w:ind w:right="178"/>
              <w:jc w:val="right"/>
              <w:rPr>
                <w:rFonts w:ascii="Caladea"/>
                <w:b/>
                <w:sz w:val="14"/>
              </w:rPr>
            </w:pPr>
            <w:r>
              <w:rPr>
                <w:rFonts w:ascii="Caladea"/>
                <w:b/>
                <w:w w:val="70"/>
                <w:sz w:val="14"/>
              </w:rPr>
              <w:t>1.048.005</w:t>
            </w:r>
          </w:p>
        </w:tc>
        <w:tc>
          <w:tcPr>
            <w:tcW w:w="751" w:type="dxa"/>
            <w:tcBorders>
              <w:top w:val="single" w:sz="6" w:space="0" w:color="000000"/>
              <w:bottom w:val="single" w:sz="6" w:space="0" w:color="000000"/>
            </w:tcBorders>
          </w:tcPr>
          <w:p>
            <w:pPr>
              <w:pStyle w:val="TableParagraph"/>
              <w:spacing w:before="7"/>
              <w:ind w:right="178"/>
              <w:jc w:val="right"/>
              <w:rPr>
                <w:rFonts w:ascii="Caladea"/>
                <w:b/>
                <w:sz w:val="14"/>
              </w:rPr>
            </w:pPr>
            <w:r>
              <w:rPr>
                <w:rFonts w:ascii="Caladea"/>
                <w:b/>
                <w:w w:val="70"/>
                <w:sz w:val="14"/>
              </w:rPr>
              <w:t>858.676</w:t>
            </w:r>
          </w:p>
        </w:tc>
        <w:tc>
          <w:tcPr>
            <w:tcW w:w="683" w:type="dxa"/>
            <w:tcBorders>
              <w:top w:val="single" w:sz="6" w:space="0" w:color="000000"/>
              <w:bottom w:val="single" w:sz="6" w:space="0" w:color="000000"/>
            </w:tcBorders>
          </w:tcPr>
          <w:p>
            <w:pPr>
              <w:pStyle w:val="TableParagraph"/>
              <w:spacing w:before="7"/>
              <w:ind w:right="109"/>
              <w:jc w:val="right"/>
              <w:rPr>
                <w:rFonts w:ascii="Caladea"/>
                <w:b/>
                <w:sz w:val="14"/>
              </w:rPr>
            </w:pPr>
            <w:r>
              <w:rPr>
                <w:rFonts w:ascii="Caladea"/>
                <w:b/>
                <w:w w:val="70"/>
                <w:sz w:val="14"/>
              </w:rPr>
              <w:t>778.577</w:t>
            </w:r>
          </w:p>
        </w:tc>
        <w:tc>
          <w:tcPr>
            <w:tcW w:w="692" w:type="dxa"/>
            <w:tcBorders>
              <w:top w:val="single" w:sz="6" w:space="0" w:color="000000"/>
              <w:bottom w:val="single" w:sz="6" w:space="0" w:color="000000"/>
            </w:tcBorders>
          </w:tcPr>
          <w:p>
            <w:pPr>
              <w:pStyle w:val="TableParagraph"/>
              <w:spacing w:before="7"/>
              <w:ind w:right="134"/>
              <w:jc w:val="right"/>
              <w:rPr>
                <w:rFonts w:ascii="Caladea"/>
                <w:b/>
                <w:sz w:val="14"/>
              </w:rPr>
            </w:pPr>
            <w:r>
              <w:rPr>
                <w:rFonts w:ascii="Caladea"/>
                <w:b/>
                <w:w w:val="70"/>
                <w:sz w:val="14"/>
              </w:rPr>
              <w:t>3.687.354</w:t>
            </w:r>
          </w:p>
        </w:tc>
        <w:tc>
          <w:tcPr>
            <w:tcW w:w="751" w:type="dxa"/>
            <w:tcBorders>
              <w:top w:val="single" w:sz="6" w:space="0" w:color="000000"/>
              <w:bottom w:val="single" w:sz="6" w:space="0" w:color="000000"/>
            </w:tcBorders>
          </w:tcPr>
          <w:p>
            <w:pPr>
              <w:pStyle w:val="TableParagraph"/>
              <w:spacing w:before="7"/>
              <w:ind w:right="133"/>
              <w:jc w:val="right"/>
              <w:rPr>
                <w:rFonts w:ascii="Caladea"/>
                <w:b/>
                <w:sz w:val="14"/>
              </w:rPr>
            </w:pPr>
            <w:r>
              <w:rPr>
                <w:rFonts w:ascii="Caladea"/>
                <w:b/>
                <w:w w:val="70"/>
                <w:sz w:val="14"/>
              </w:rPr>
              <w:t>3.741.671</w:t>
            </w:r>
          </w:p>
        </w:tc>
        <w:tc>
          <w:tcPr>
            <w:tcW w:w="672" w:type="dxa"/>
            <w:tcBorders>
              <w:top w:val="single" w:sz="6" w:space="0" w:color="000000"/>
              <w:bottom w:val="single" w:sz="6" w:space="0" w:color="000000"/>
            </w:tcBorders>
          </w:tcPr>
          <w:p>
            <w:pPr>
              <w:pStyle w:val="TableParagraph"/>
              <w:spacing w:before="7"/>
              <w:ind w:right="54"/>
              <w:jc w:val="right"/>
              <w:rPr>
                <w:rFonts w:ascii="Caladea"/>
                <w:b/>
                <w:sz w:val="14"/>
              </w:rPr>
            </w:pPr>
            <w:r>
              <w:rPr>
                <w:rFonts w:ascii="Caladea"/>
                <w:b/>
                <w:w w:val="70"/>
                <w:sz w:val="14"/>
              </w:rPr>
              <w:t>3.602.748</w:t>
            </w:r>
          </w:p>
        </w:tc>
      </w:tr>
    </w:tbl>
    <w:p>
      <w:pPr>
        <w:pStyle w:val="BodyText"/>
        <w:spacing w:before="9"/>
        <w:rPr>
          <w:sz w:val="7"/>
        </w:rPr>
      </w:pPr>
    </w:p>
    <w:p>
      <w:pPr>
        <w:spacing w:before="103"/>
        <w:ind w:left="139" w:right="0" w:firstLine="0"/>
        <w:jc w:val="left"/>
        <w:rPr>
          <w:rFonts w:ascii="Caladea" w:hAnsi="Caladea"/>
          <w:b/>
          <w:sz w:val="14"/>
        </w:rPr>
      </w:pPr>
      <w:r>
        <w:rPr>
          <w:rFonts w:ascii="Caladea" w:hAnsi="Caladea"/>
          <w:b/>
          <w:w w:val="85"/>
          <w:sz w:val="14"/>
        </w:rPr>
        <w:t>As notas explicativas são parte integrante das demonstrações financeiras</w:t>
      </w:r>
    </w:p>
    <w:p>
      <w:pPr>
        <w:pStyle w:val="BodyText"/>
        <w:spacing w:before="50"/>
        <w:ind w:right="192"/>
        <w:jc w:val="right"/>
        <w:rPr>
          <w:rFonts w:ascii="Times New Roman"/>
        </w:rPr>
      </w:pPr>
      <w:r>
        <w:rPr>
          <w:rFonts w:ascii="Times New Roman"/>
          <w:w w:val="99"/>
        </w:rPr>
        <w:t>3</w:t>
      </w:r>
    </w:p>
    <w:p>
      <w:pPr>
        <w:spacing w:after="0"/>
        <w:jc w:val="right"/>
        <w:rPr>
          <w:rFonts w:ascii="Times New Roman"/>
        </w:rPr>
        <w:sectPr>
          <w:headerReference w:type="default" r:id="rId61"/>
          <w:footerReference w:type="default" r:id="rId62"/>
          <w:pgSz w:w="16850" w:h="11910" w:orient="landscape"/>
          <w:pgMar w:header="0" w:footer="0" w:top="500" w:bottom="280" w:left="1020" w:right="940"/>
        </w:sectPr>
      </w:pPr>
    </w:p>
    <w:p>
      <w:pPr>
        <w:pStyle w:val="BodyText"/>
        <w:spacing w:before="9"/>
        <w:rPr>
          <w:rFonts w:ascii="Times New Roman"/>
          <w:sz w:val="19"/>
        </w:rPr>
      </w:pPr>
    </w:p>
    <w:p>
      <w:pPr>
        <w:spacing w:before="100"/>
        <w:ind w:left="2609" w:right="2743" w:firstLine="0"/>
        <w:jc w:val="center"/>
        <w:rPr>
          <w:rFonts w:ascii="Caladea" w:hAnsi="Caladea"/>
          <w:b/>
          <w:sz w:val="18"/>
        </w:rPr>
      </w:pPr>
      <w:r>
        <w:rPr/>
        <w:drawing>
          <wp:anchor distT="0" distB="0" distL="0" distR="0" allowOverlap="1" layoutInCell="1" locked="0" behindDoc="0" simplePos="0" relativeHeight="15752704">
            <wp:simplePos x="0" y="0"/>
            <wp:positionH relativeFrom="page">
              <wp:posOffset>720090</wp:posOffset>
            </wp:positionH>
            <wp:positionV relativeFrom="paragraph">
              <wp:posOffset>-151003</wp:posOffset>
            </wp:positionV>
            <wp:extent cx="466725" cy="323088"/>
            <wp:effectExtent l="0" t="0" r="0" b="0"/>
            <wp:wrapNone/>
            <wp:docPr id="75" name="image15.jpeg"/>
            <wp:cNvGraphicFramePr>
              <a:graphicFrameLocks noChangeAspect="1"/>
            </wp:cNvGraphicFramePr>
            <a:graphic>
              <a:graphicData uri="http://schemas.openxmlformats.org/drawingml/2006/picture">
                <pic:pic>
                  <pic:nvPicPr>
                    <pic:cNvPr id="76" name="image15.jpeg"/>
                    <pic:cNvPicPr/>
                  </pic:nvPicPr>
                  <pic:blipFill>
                    <a:blip r:embed="rId63" cstate="print"/>
                    <a:stretch>
                      <a:fillRect/>
                    </a:stretch>
                  </pic:blipFill>
                  <pic:spPr>
                    <a:xfrm>
                      <a:off x="0" y="0"/>
                      <a:ext cx="466725" cy="323088"/>
                    </a:xfrm>
                    <a:prstGeom prst="rect">
                      <a:avLst/>
                    </a:prstGeom>
                  </pic:spPr>
                </pic:pic>
              </a:graphicData>
            </a:graphic>
          </wp:anchor>
        </w:drawing>
      </w:r>
      <w:r>
        <w:rPr>
          <w:rFonts w:ascii="Caladea" w:hAnsi="Caladea"/>
          <w:b/>
          <w:w w:val="105"/>
          <w:sz w:val="18"/>
        </w:rPr>
        <w:t>Companhia Energética de Brasília </w:t>
      </w:r>
      <w:r>
        <w:rPr>
          <w:b/>
          <w:w w:val="105"/>
          <w:sz w:val="18"/>
        </w:rPr>
        <w:t>– </w:t>
      </w:r>
      <w:r>
        <w:rPr>
          <w:rFonts w:ascii="Caladea" w:hAnsi="Caladea"/>
          <w:b/>
          <w:w w:val="105"/>
          <w:sz w:val="18"/>
        </w:rPr>
        <w:t>CEB</w:t>
      </w:r>
    </w:p>
    <w:p>
      <w:pPr>
        <w:spacing w:line="187" w:lineRule="exact" w:before="0"/>
        <w:ind w:left="2744" w:right="2739" w:firstLine="0"/>
        <w:jc w:val="center"/>
        <w:rPr>
          <w:rFonts w:ascii="Caladea"/>
          <w:b/>
          <w:sz w:val="16"/>
        </w:rPr>
      </w:pPr>
      <w:r>
        <w:rPr>
          <w:rFonts w:ascii="Caladea"/>
          <w:b/>
          <w:sz w:val="16"/>
        </w:rPr>
        <w:t>CNPJ 00.070.698/0001-11</w:t>
      </w:r>
    </w:p>
    <w:p>
      <w:pPr>
        <w:spacing w:line="187" w:lineRule="exact" w:before="0"/>
        <w:ind w:left="2744" w:right="2741" w:firstLine="0"/>
        <w:jc w:val="center"/>
        <w:rPr>
          <w:rFonts w:ascii="Caladea" w:hAnsi="Caladea"/>
          <w:b/>
          <w:sz w:val="16"/>
        </w:rPr>
      </w:pPr>
      <w:r>
        <w:rPr>
          <w:rFonts w:ascii="Caladea" w:hAnsi="Caladea"/>
          <w:b/>
          <w:sz w:val="16"/>
        </w:rPr>
        <w:t>Demonstrações do Resultado</w:t>
      </w:r>
    </w:p>
    <w:p>
      <w:pPr>
        <w:spacing w:before="0"/>
        <w:ind w:left="2744" w:right="2743" w:firstLine="0"/>
        <w:jc w:val="center"/>
        <w:rPr>
          <w:rFonts w:ascii="Caladea" w:hAnsi="Caladea"/>
          <w:b/>
          <w:sz w:val="14"/>
        </w:rPr>
      </w:pPr>
      <w:r>
        <w:rPr>
          <w:rFonts w:ascii="Caladea" w:hAnsi="Caladea"/>
          <w:b/>
          <w:sz w:val="14"/>
        </w:rPr>
        <w:t>Exercícios findos em 31 de dezembro de 2019 e 31 de dezembro de 2018 Em milhares de reais, exceto quando indicado de outra forma</w:t>
      </w:r>
    </w:p>
    <w:p>
      <w:pPr>
        <w:pStyle w:val="BodyText"/>
        <w:rPr>
          <w:rFonts w:ascii="Caladea"/>
          <w:b/>
        </w:rPr>
      </w:pPr>
    </w:p>
    <w:p>
      <w:pPr>
        <w:pStyle w:val="BodyText"/>
        <w:rPr>
          <w:rFonts w:ascii="Caladea"/>
          <w:b/>
        </w:rPr>
      </w:pPr>
    </w:p>
    <w:p>
      <w:pPr>
        <w:pStyle w:val="BodyText"/>
        <w:spacing w:before="8"/>
        <w:rPr>
          <w:rFonts w:ascii="Caladea"/>
          <w:b/>
          <w:sz w:val="16"/>
        </w:rPr>
      </w:pPr>
    </w:p>
    <w:p>
      <w:pPr>
        <w:tabs>
          <w:tab w:pos="8313" w:val="left" w:leader="none"/>
        </w:tabs>
        <w:spacing w:before="107" w:after="12"/>
        <w:ind w:left="5719" w:right="0" w:firstLine="0"/>
        <w:jc w:val="left"/>
        <w:rPr>
          <w:rFonts w:ascii="Caladea"/>
          <w:b/>
          <w:sz w:val="15"/>
        </w:rPr>
      </w:pPr>
      <w:r>
        <w:rPr>
          <w:rFonts w:ascii="Caladea"/>
          <w:b/>
          <w:w w:val="105"/>
          <w:sz w:val="15"/>
        </w:rPr>
        <w:t>Controladora</w:t>
        <w:tab/>
        <w:t>Consolidado</w:t>
      </w:r>
    </w:p>
    <w:tbl>
      <w:tblPr>
        <w:tblW w:w="0" w:type="auto"/>
        <w:jc w:val="left"/>
        <w:tblInd w:w="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35"/>
        <w:gridCol w:w="814"/>
        <w:gridCol w:w="1258"/>
        <w:gridCol w:w="1195"/>
        <w:gridCol w:w="92"/>
        <w:gridCol w:w="1271"/>
        <w:gridCol w:w="1221"/>
        <w:gridCol w:w="53"/>
      </w:tblGrid>
      <w:tr>
        <w:trPr>
          <w:trHeight w:val="232" w:hRule="atLeast"/>
        </w:trPr>
        <w:tc>
          <w:tcPr>
            <w:tcW w:w="4035" w:type="dxa"/>
          </w:tcPr>
          <w:p>
            <w:pPr>
              <w:pStyle w:val="TableParagraph"/>
              <w:rPr>
                <w:rFonts w:ascii="Times New Roman"/>
                <w:sz w:val="14"/>
              </w:rPr>
            </w:pPr>
          </w:p>
        </w:tc>
        <w:tc>
          <w:tcPr>
            <w:tcW w:w="814" w:type="dxa"/>
          </w:tcPr>
          <w:p>
            <w:pPr>
              <w:pStyle w:val="TableParagraph"/>
              <w:spacing w:line="161" w:lineRule="exact" w:before="51"/>
              <w:ind w:right="46"/>
              <w:jc w:val="right"/>
              <w:rPr>
                <w:rFonts w:ascii="Caladea"/>
                <w:b/>
                <w:sz w:val="15"/>
              </w:rPr>
            </w:pPr>
            <w:r>
              <w:rPr>
                <w:rFonts w:ascii="Caladea"/>
                <w:b/>
                <w:sz w:val="15"/>
              </w:rPr>
              <w:t>Nota</w:t>
            </w:r>
          </w:p>
        </w:tc>
        <w:tc>
          <w:tcPr>
            <w:tcW w:w="1258" w:type="dxa"/>
            <w:tcBorders>
              <w:top w:val="single" w:sz="6" w:space="0" w:color="000000"/>
              <w:bottom w:val="single" w:sz="6" w:space="0" w:color="000000"/>
            </w:tcBorders>
          </w:tcPr>
          <w:p>
            <w:pPr>
              <w:pStyle w:val="TableParagraph"/>
              <w:spacing w:before="25"/>
              <w:ind w:right="213"/>
              <w:jc w:val="right"/>
              <w:rPr>
                <w:rFonts w:ascii="Caladea"/>
                <w:b/>
                <w:sz w:val="15"/>
              </w:rPr>
            </w:pPr>
            <w:r>
              <w:rPr>
                <w:rFonts w:ascii="Caladea"/>
                <w:b/>
                <w:sz w:val="15"/>
              </w:rPr>
              <w:t>31/12/2019</w:t>
            </w:r>
          </w:p>
        </w:tc>
        <w:tc>
          <w:tcPr>
            <w:tcW w:w="1195" w:type="dxa"/>
            <w:tcBorders>
              <w:top w:val="single" w:sz="6" w:space="0" w:color="000000"/>
              <w:bottom w:val="single" w:sz="6" w:space="0" w:color="000000"/>
            </w:tcBorders>
          </w:tcPr>
          <w:p>
            <w:pPr>
              <w:pStyle w:val="TableParagraph"/>
              <w:spacing w:before="25"/>
              <w:ind w:left="109"/>
              <w:rPr>
                <w:rFonts w:ascii="Caladea"/>
                <w:b/>
                <w:sz w:val="15"/>
              </w:rPr>
            </w:pPr>
            <w:r>
              <w:rPr>
                <w:rFonts w:ascii="Caladea"/>
                <w:b/>
                <w:w w:val="105"/>
                <w:sz w:val="15"/>
              </w:rPr>
              <w:t>31/12/2018</w:t>
            </w:r>
          </w:p>
        </w:tc>
        <w:tc>
          <w:tcPr>
            <w:tcW w:w="92" w:type="dxa"/>
            <w:tcBorders>
              <w:top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before="25"/>
              <w:ind w:left="152"/>
              <w:rPr>
                <w:rFonts w:ascii="Caladea"/>
                <w:b/>
                <w:sz w:val="15"/>
              </w:rPr>
            </w:pPr>
            <w:r>
              <w:rPr>
                <w:rFonts w:ascii="Caladea"/>
                <w:b/>
                <w:w w:val="105"/>
                <w:sz w:val="15"/>
              </w:rPr>
              <w:t>31/12/2019</w:t>
            </w:r>
          </w:p>
        </w:tc>
        <w:tc>
          <w:tcPr>
            <w:tcW w:w="1221" w:type="dxa"/>
            <w:tcBorders>
              <w:top w:val="single" w:sz="6" w:space="0" w:color="000000"/>
              <w:bottom w:val="single" w:sz="6" w:space="0" w:color="000000"/>
            </w:tcBorders>
          </w:tcPr>
          <w:p>
            <w:pPr>
              <w:pStyle w:val="TableParagraph"/>
              <w:spacing w:before="25"/>
              <w:ind w:left="119"/>
              <w:rPr>
                <w:rFonts w:ascii="Caladea"/>
                <w:b/>
                <w:sz w:val="15"/>
              </w:rPr>
            </w:pPr>
            <w:r>
              <w:rPr>
                <w:rFonts w:ascii="Caladea"/>
                <w:b/>
                <w:w w:val="105"/>
                <w:sz w:val="15"/>
              </w:rPr>
              <w:t>31/12/2018</w:t>
            </w:r>
          </w:p>
        </w:tc>
        <w:tc>
          <w:tcPr>
            <w:tcW w:w="53" w:type="dxa"/>
            <w:vMerge w:val="restart"/>
            <w:tcBorders>
              <w:top w:val="single" w:sz="6" w:space="0" w:color="000000"/>
              <w:bottom w:val="single" w:sz="6" w:space="0" w:color="000000"/>
            </w:tcBorders>
          </w:tcPr>
          <w:p>
            <w:pPr>
              <w:pStyle w:val="TableParagraph"/>
              <w:rPr>
                <w:rFonts w:ascii="Times New Roman"/>
                <w:sz w:val="14"/>
              </w:rPr>
            </w:pPr>
          </w:p>
        </w:tc>
      </w:tr>
      <w:tr>
        <w:trPr>
          <w:trHeight w:val="501" w:hRule="atLeast"/>
        </w:trPr>
        <w:tc>
          <w:tcPr>
            <w:tcW w:w="4035" w:type="dxa"/>
          </w:tcPr>
          <w:p>
            <w:pPr>
              <w:pStyle w:val="TableParagraph"/>
              <w:spacing w:before="6"/>
              <w:rPr>
                <w:rFonts w:ascii="Caladea"/>
                <w:b/>
                <w:sz w:val="25"/>
              </w:rPr>
            </w:pPr>
          </w:p>
          <w:p>
            <w:pPr>
              <w:pStyle w:val="TableParagraph"/>
              <w:ind w:left="50"/>
              <w:rPr>
                <w:rFonts w:ascii="Caladea" w:hAnsi="Caladea"/>
                <w:b/>
                <w:sz w:val="15"/>
              </w:rPr>
            </w:pPr>
            <w:r>
              <w:rPr>
                <w:rFonts w:ascii="Caladea" w:hAnsi="Caladea"/>
                <w:b/>
                <w:w w:val="105"/>
                <w:sz w:val="15"/>
              </w:rPr>
              <w:t>RECEITA OPERACIONAL LÍQUIDA</w:t>
            </w:r>
          </w:p>
        </w:tc>
        <w:tc>
          <w:tcPr>
            <w:tcW w:w="814" w:type="dxa"/>
          </w:tcPr>
          <w:p>
            <w:pPr>
              <w:pStyle w:val="TableParagraph"/>
              <w:spacing w:before="7"/>
              <w:rPr>
                <w:rFonts w:ascii="Caladea"/>
                <w:b/>
                <w:sz w:val="25"/>
              </w:rPr>
            </w:pPr>
          </w:p>
          <w:p>
            <w:pPr>
              <w:pStyle w:val="TableParagraph"/>
              <w:spacing w:before="1"/>
              <w:ind w:right="56"/>
              <w:jc w:val="right"/>
              <w:rPr>
                <w:sz w:val="15"/>
              </w:rPr>
            </w:pPr>
            <w:r>
              <w:rPr>
                <w:sz w:val="15"/>
              </w:rPr>
              <w:t>30.1</w:t>
            </w:r>
          </w:p>
        </w:tc>
        <w:tc>
          <w:tcPr>
            <w:tcW w:w="1258" w:type="dxa"/>
            <w:tcBorders>
              <w:top w:val="single" w:sz="6" w:space="0" w:color="000000"/>
            </w:tcBorders>
          </w:tcPr>
          <w:p>
            <w:pPr>
              <w:pStyle w:val="TableParagraph"/>
              <w:spacing w:before="6"/>
              <w:rPr>
                <w:rFonts w:ascii="Caladea"/>
                <w:b/>
                <w:sz w:val="25"/>
              </w:rPr>
            </w:pPr>
          </w:p>
          <w:p>
            <w:pPr>
              <w:pStyle w:val="TableParagraph"/>
              <w:ind w:right="174"/>
              <w:jc w:val="right"/>
              <w:rPr>
                <w:rFonts w:ascii="Caladea"/>
                <w:b/>
                <w:sz w:val="15"/>
              </w:rPr>
            </w:pPr>
            <w:r>
              <w:rPr>
                <w:rFonts w:ascii="Caladea"/>
                <w:b/>
                <w:sz w:val="15"/>
              </w:rPr>
              <w:t>60.270</w:t>
            </w:r>
          </w:p>
        </w:tc>
        <w:tc>
          <w:tcPr>
            <w:tcW w:w="1195" w:type="dxa"/>
            <w:tcBorders>
              <w:top w:val="single" w:sz="6" w:space="0" w:color="000000"/>
            </w:tcBorders>
          </w:tcPr>
          <w:p>
            <w:pPr>
              <w:pStyle w:val="TableParagraph"/>
              <w:spacing w:before="6"/>
              <w:rPr>
                <w:rFonts w:ascii="Caladea"/>
                <w:b/>
                <w:sz w:val="25"/>
              </w:rPr>
            </w:pPr>
          </w:p>
          <w:p>
            <w:pPr>
              <w:pStyle w:val="TableParagraph"/>
              <w:ind w:right="105"/>
              <w:jc w:val="right"/>
              <w:rPr>
                <w:rFonts w:ascii="Caladea"/>
                <w:b/>
                <w:sz w:val="15"/>
              </w:rPr>
            </w:pPr>
            <w:r>
              <w:rPr>
                <w:rFonts w:ascii="Caladea"/>
                <w:b/>
                <w:sz w:val="15"/>
              </w:rPr>
              <w:t>72.885</w:t>
            </w:r>
          </w:p>
        </w:tc>
        <w:tc>
          <w:tcPr>
            <w:tcW w:w="92" w:type="dxa"/>
          </w:tcPr>
          <w:p>
            <w:pPr>
              <w:pStyle w:val="TableParagraph"/>
              <w:rPr>
                <w:rFonts w:ascii="Times New Roman"/>
                <w:sz w:val="14"/>
              </w:rPr>
            </w:pPr>
          </w:p>
        </w:tc>
        <w:tc>
          <w:tcPr>
            <w:tcW w:w="1271" w:type="dxa"/>
            <w:tcBorders>
              <w:top w:val="single" w:sz="6" w:space="0" w:color="000000"/>
            </w:tcBorders>
          </w:tcPr>
          <w:p>
            <w:pPr>
              <w:pStyle w:val="TableParagraph"/>
              <w:spacing w:before="6"/>
              <w:rPr>
                <w:rFonts w:ascii="Caladea"/>
                <w:b/>
                <w:sz w:val="25"/>
              </w:rPr>
            </w:pPr>
          </w:p>
          <w:p>
            <w:pPr>
              <w:pStyle w:val="TableParagraph"/>
              <w:ind w:left="360"/>
              <w:rPr>
                <w:rFonts w:ascii="Caladea"/>
                <w:b/>
                <w:sz w:val="15"/>
              </w:rPr>
            </w:pPr>
            <w:r>
              <w:rPr>
                <w:rFonts w:ascii="Caladea"/>
                <w:b/>
                <w:w w:val="105"/>
                <w:sz w:val="15"/>
              </w:rPr>
              <w:t>2.749.738</w:t>
            </w:r>
          </w:p>
        </w:tc>
        <w:tc>
          <w:tcPr>
            <w:tcW w:w="1221" w:type="dxa"/>
            <w:tcBorders>
              <w:top w:val="single" w:sz="6" w:space="0" w:color="000000"/>
            </w:tcBorders>
          </w:tcPr>
          <w:p>
            <w:pPr>
              <w:pStyle w:val="TableParagraph"/>
              <w:spacing w:before="6"/>
              <w:rPr>
                <w:rFonts w:ascii="Caladea"/>
                <w:b/>
                <w:sz w:val="25"/>
              </w:rPr>
            </w:pPr>
          </w:p>
          <w:p>
            <w:pPr>
              <w:pStyle w:val="TableParagraph"/>
              <w:ind w:left="392"/>
              <w:rPr>
                <w:rFonts w:ascii="Caladea"/>
                <w:b/>
                <w:sz w:val="15"/>
              </w:rPr>
            </w:pPr>
            <w:r>
              <w:rPr>
                <w:rFonts w:ascii="Caladea"/>
                <w:b/>
                <w:w w:val="105"/>
                <w:sz w:val="15"/>
              </w:rPr>
              <w:t>2.590.210</w:t>
            </w:r>
          </w:p>
        </w:tc>
        <w:tc>
          <w:tcPr>
            <w:tcW w:w="53" w:type="dxa"/>
            <w:vMerge/>
            <w:tcBorders>
              <w:top w:val="nil"/>
              <w:bottom w:val="single" w:sz="6" w:space="0" w:color="000000"/>
            </w:tcBorders>
          </w:tcPr>
          <w:p>
            <w:pPr>
              <w:rPr>
                <w:sz w:val="2"/>
                <w:szCs w:val="2"/>
              </w:rPr>
            </w:pPr>
          </w:p>
        </w:tc>
      </w:tr>
      <w:tr>
        <w:trPr>
          <w:trHeight w:val="232" w:hRule="atLeast"/>
        </w:trPr>
        <w:tc>
          <w:tcPr>
            <w:tcW w:w="4035" w:type="dxa"/>
          </w:tcPr>
          <w:p>
            <w:pPr>
              <w:pStyle w:val="TableParagraph"/>
              <w:spacing w:before="32"/>
              <w:ind w:left="88"/>
              <w:rPr>
                <w:sz w:val="15"/>
              </w:rPr>
            </w:pPr>
            <w:r>
              <w:rPr>
                <w:sz w:val="15"/>
              </w:rPr>
              <w:t>Custo com Energia Elétrica</w:t>
            </w:r>
          </w:p>
        </w:tc>
        <w:tc>
          <w:tcPr>
            <w:tcW w:w="814" w:type="dxa"/>
          </w:tcPr>
          <w:p>
            <w:pPr>
              <w:pStyle w:val="TableParagraph"/>
              <w:spacing w:before="32"/>
              <w:ind w:right="56"/>
              <w:jc w:val="right"/>
              <w:rPr>
                <w:sz w:val="15"/>
              </w:rPr>
            </w:pPr>
            <w:r>
              <w:rPr>
                <w:sz w:val="15"/>
              </w:rPr>
              <w:t>30.2</w:t>
            </w:r>
          </w:p>
        </w:tc>
        <w:tc>
          <w:tcPr>
            <w:tcW w:w="1258" w:type="dxa"/>
          </w:tcPr>
          <w:p>
            <w:pPr>
              <w:pStyle w:val="TableParagraph"/>
              <w:rPr>
                <w:rFonts w:ascii="Times New Roman"/>
                <w:sz w:val="14"/>
              </w:rPr>
            </w:pPr>
          </w:p>
        </w:tc>
        <w:tc>
          <w:tcPr>
            <w:tcW w:w="1195" w:type="dxa"/>
          </w:tcPr>
          <w:p>
            <w:pPr>
              <w:pStyle w:val="TableParagraph"/>
              <w:rPr>
                <w:rFonts w:ascii="Times New Roman"/>
                <w:sz w:val="14"/>
              </w:rPr>
            </w:pPr>
          </w:p>
        </w:tc>
        <w:tc>
          <w:tcPr>
            <w:tcW w:w="92" w:type="dxa"/>
          </w:tcPr>
          <w:p>
            <w:pPr>
              <w:pStyle w:val="TableParagraph"/>
              <w:rPr>
                <w:rFonts w:ascii="Times New Roman"/>
                <w:sz w:val="14"/>
              </w:rPr>
            </w:pPr>
          </w:p>
        </w:tc>
        <w:tc>
          <w:tcPr>
            <w:tcW w:w="1271" w:type="dxa"/>
          </w:tcPr>
          <w:p>
            <w:pPr>
              <w:pStyle w:val="TableParagraph"/>
              <w:spacing w:before="32"/>
              <w:ind w:right="133"/>
              <w:jc w:val="right"/>
              <w:rPr>
                <w:sz w:val="15"/>
              </w:rPr>
            </w:pPr>
            <w:r>
              <w:rPr>
                <w:sz w:val="15"/>
              </w:rPr>
              <w:t>(1.922.956)</w:t>
            </w:r>
          </w:p>
        </w:tc>
        <w:tc>
          <w:tcPr>
            <w:tcW w:w="1221" w:type="dxa"/>
          </w:tcPr>
          <w:p>
            <w:pPr>
              <w:pStyle w:val="TableParagraph"/>
              <w:spacing w:before="32"/>
              <w:ind w:left="353"/>
              <w:rPr>
                <w:sz w:val="15"/>
              </w:rPr>
            </w:pPr>
            <w:r>
              <w:rPr>
                <w:sz w:val="15"/>
              </w:rPr>
              <w:t>(1.841.232)</w:t>
            </w:r>
          </w:p>
        </w:tc>
        <w:tc>
          <w:tcPr>
            <w:tcW w:w="53" w:type="dxa"/>
            <w:vMerge/>
            <w:tcBorders>
              <w:top w:val="nil"/>
              <w:bottom w:val="single" w:sz="6" w:space="0" w:color="000000"/>
            </w:tcBorders>
          </w:tcPr>
          <w:p>
            <w:pPr>
              <w:rPr>
                <w:sz w:val="2"/>
                <w:szCs w:val="2"/>
              </w:rPr>
            </w:pPr>
          </w:p>
        </w:tc>
      </w:tr>
      <w:tr>
        <w:trPr>
          <w:trHeight w:val="232" w:hRule="atLeast"/>
        </w:trPr>
        <w:tc>
          <w:tcPr>
            <w:tcW w:w="4035" w:type="dxa"/>
          </w:tcPr>
          <w:p>
            <w:pPr>
              <w:pStyle w:val="TableParagraph"/>
              <w:spacing w:before="32"/>
              <w:ind w:left="88"/>
              <w:rPr>
                <w:sz w:val="15"/>
              </w:rPr>
            </w:pPr>
            <w:r>
              <w:rPr>
                <w:sz w:val="15"/>
              </w:rPr>
              <w:t>Custo de Operação</w:t>
            </w:r>
          </w:p>
        </w:tc>
        <w:tc>
          <w:tcPr>
            <w:tcW w:w="814" w:type="dxa"/>
          </w:tcPr>
          <w:p>
            <w:pPr>
              <w:pStyle w:val="TableParagraph"/>
              <w:spacing w:before="32"/>
              <w:ind w:right="56"/>
              <w:jc w:val="right"/>
              <w:rPr>
                <w:sz w:val="15"/>
              </w:rPr>
            </w:pPr>
            <w:r>
              <w:rPr>
                <w:sz w:val="15"/>
              </w:rPr>
              <w:t>30.3</w:t>
            </w:r>
          </w:p>
        </w:tc>
        <w:tc>
          <w:tcPr>
            <w:tcW w:w="1258" w:type="dxa"/>
          </w:tcPr>
          <w:p>
            <w:pPr>
              <w:pStyle w:val="TableParagraph"/>
              <w:rPr>
                <w:rFonts w:ascii="Times New Roman"/>
                <w:sz w:val="14"/>
              </w:rPr>
            </w:pPr>
          </w:p>
        </w:tc>
        <w:tc>
          <w:tcPr>
            <w:tcW w:w="1195" w:type="dxa"/>
          </w:tcPr>
          <w:p>
            <w:pPr>
              <w:pStyle w:val="TableParagraph"/>
              <w:rPr>
                <w:rFonts w:ascii="Times New Roman"/>
                <w:sz w:val="14"/>
              </w:rPr>
            </w:pPr>
          </w:p>
        </w:tc>
        <w:tc>
          <w:tcPr>
            <w:tcW w:w="92" w:type="dxa"/>
          </w:tcPr>
          <w:p>
            <w:pPr>
              <w:pStyle w:val="TableParagraph"/>
              <w:rPr>
                <w:rFonts w:ascii="Times New Roman"/>
                <w:sz w:val="14"/>
              </w:rPr>
            </w:pPr>
          </w:p>
        </w:tc>
        <w:tc>
          <w:tcPr>
            <w:tcW w:w="1271" w:type="dxa"/>
          </w:tcPr>
          <w:p>
            <w:pPr>
              <w:pStyle w:val="TableParagraph"/>
              <w:spacing w:before="32"/>
              <w:ind w:right="133"/>
              <w:jc w:val="right"/>
              <w:rPr>
                <w:sz w:val="15"/>
              </w:rPr>
            </w:pPr>
            <w:r>
              <w:rPr>
                <w:w w:val="105"/>
                <w:sz w:val="15"/>
              </w:rPr>
              <w:t>(283.230)</w:t>
            </w:r>
          </w:p>
        </w:tc>
        <w:tc>
          <w:tcPr>
            <w:tcW w:w="1221" w:type="dxa"/>
          </w:tcPr>
          <w:p>
            <w:pPr>
              <w:pStyle w:val="TableParagraph"/>
              <w:spacing w:before="32"/>
              <w:ind w:right="50"/>
              <w:jc w:val="right"/>
              <w:rPr>
                <w:sz w:val="15"/>
              </w:rPr>
            </w:pPr>
            <w:r>
              <w:rPr>
                <w:w w:val="105"/>
                <w:sz w:val="15"/>
              </w:rPr>
              <w:t>(304.649)</w:t>
            </w:r>
          </w:p>
        </w:tc>
        <w:tc>
          <w:tcPr>
            <w:tcW w:w="53" w:type="dxa"/>
            <w:vMerge/>
            <w:tcBorders>
              <w:top w:val="nil"/>
              <w:bottom w:val="single" w:sz="6" w:space="0" w:color="000000"/>
            </w:tcBorders>
          </w:tcPr>
          <w:p>
            <w:pPr>
              <w:rPr>
                <w:sz w:val="2"/>
                <w:szCs w:val="2"/>
              </w:rPr>
            </w:pPr>
          </w:p>
        </w:tc>
      </w:tr>
      <w:tr>
        <w:trPr>
          <w:trHeight w:val="459" w:hRule="atLeast"/>
        </w:trPr>
        <w:tc>
          <w:tcPr>
            <w:tcW w:w="4035" w:type="dxa"/>
          </w:tcPr>
          <w:p>
            <w:pPr>
              <w:pStyle w:val="TableParagraph"/>
              <w:spacing w:before="32"/>
              <w:ind w:left="88"/>
              <w:rPr>
                <w:sz w:val="15"/>
              </w:rPr>
            </w:pPr>
            <w:r>
              <w:rPr>
                <w:sz w:val="15"/>
              </w:rPr>
              <w:t>Custo do Serviço Prestado a Terceiros</w:t>
            </w:r>
          </w:p>
        </w:tc>
        <w:tc>
          <w:tcPr>
            <w:tcW w:w="814" w:type="dxa"/>
          </w:tcPr>
          <w:p>
            <w:pPr>
              <w:pStyle w:val="TableParagraph"/>
              <w:spacing w:before="32"/>
              <w:ind w:right="56"/>
              <w:jc w:val="right"/>
              <w:rPr>
                <w:sz w:val="15"/>
              </w:rPr>
            </w:pPr>
            <w:r>
              <w:rPr>
                <w:sz w:val="15"/>
              </w:rPr>
              <w:t>30.3</w:t>
            </w:r>
          </w:p>
        </w:tc>
        <w:tc>
          <w:tcPr>
            <w:tcW w:w="1258" w:type="dxa"/>
            <w:tcBorders>
              <w:bottom w:val="single" w:sz="6" w:space="0" w:color="000000"/>
            </w:tcBorders>
          </w:tcPr>
          <w:p>
            <w:pPr>
              <w:pStyle w:val="TableParagraph"/>
              <w:spacing w:before="32"/>
              <w:ind w:right="117"/>
              <w:jc w:val="right"/>
              <w:rPr>
                <w:sz w:val="15"/>
              </w:rPr>
            </w:pPr>
            <w:r>
              <w:rPr>
                <w:w w:val="105"/>
                <w:sz w:val="15"/>
              </w:rPr>
              <w:t>(48.231)</w:t>
            </w:r>
          </w:p>
        </w:tc>
        <w:tc>
          <w:tcPr>
            <w:tcW w:w="1195" w:type="dxa"/>
            <w:tcBorders>
              <w:bottom w:val="single" w:sz="6" w:space="0" w:color="000000"/>
            </w:tcBorders>
          </w:tcPr>
          <w:p>
            <w:pPr>
              <w:pStyle w:val="TableParagraph"/>
              <w:spacing w:before="32"/>
              <w:ind w:right="47"/>
              <w:jc w:val="right"/>
              <w:rPr>
                <w:sz w:val="15"/>
              </w:rPr>
            </w:pPr>
            <w:r>
              <w:rPr>
                <w:w w:val="105"/>
                <w:sz w:val="15"/>
              </w:rPr>
              <w:t>(55.793)</w:t>
            </w:r>
          </w:p>
        </w:tc>
        <w:tc>
          <w:tcPr>
            <w:tcW w:w="92" w:type="dxa"/>
            <w:tcBorders>
              <w:bottom w:val="single" w:sz="6" w:space="0" w:color="000000"/>
            </w:tcBorders>
          </w:tcPr>
          <w:p>
            <w:pPr>
              <w:pStyle w:val="TableParagraph"/>
              <w:rPr>
                <w:rFonts w:ascii="Times New Roman"/>
                <w:sz w:val="14"/>
              </w:rPr>
            </w:pPr>
          </w:p>
        </w:tc>
        <w:tc>
          <w:tcPr>
            <w:tcW w:w="1271" w:type="dxa"/>
            <w:tcBorders>
              <w:bottom w:val="single" w:sz="6" w:space="0" w:color="000000"/>
            </w:tcBorders>
          </w:tcPr>
          <w:p>
            <w:pPr>
              <w:pStyle w:val="TableParagraph"/>
              <w:spacing w:before="32"/>
              <w:ind w:right="132"/>
              <w:jc w:val="right"/>
              <w:rPr>
                <w:sz w:val="15"/>
              </w:rPr>
            </w:pPr>
            <w:r>
              <w:rPr>
                <w:w w:val="105"/>
                <w:sz w:val="15"/>
              </w:rPr>
              <w:t>(51.749)</w:t>
            </w:r>
          </w:p>
        </w:tc>
        <w:tc>
          <w:tcPr>
            <w:tcW w:w="1221" w:type="dxa"/>
            <w:tcBorders>
              <w:bottom w:val="single" w:sz="6" w:space="0" w:color="000000"/>
            </w:tcBorders>
          </w:tcPr>
          <w:p>
            <w:pPr>
              <w:pStyle w:val="TableParagraph"/>
              <w:spacing w:before="32"/>
              <w:ind w:right="50"/>
              <w:jc w:val="right"/>
              <w:rPr>
                <w:sz w:val="15"/>
              </w:rPr>
            </w:pPr>
            <w:r>
              <w:rPr>
                <w:w w:val="105"/>
                <w:sz w:val="15"/>
              </w:rPr>
              <w:t>(64.017)</w:t>
            </w:r>
          </w:p>
        </w:tc>
        <w:tc>
          <w:tcPr>
            <w:tcW w:w="53" w:type="dxa"/>
            <w:vMerge/>
            <w:tcBorders>
              <w:top w:val="nil"/>
              <w:bottom w:val="single" w:sz="6" w:space="0" w:color="000000"/>
            </w:tcBorders>
          </w:tcPr>
          <w:p>
            <w:pPr>
              <w:rPr>
                <w:sz w:val="2"/>
                <w:szCs w:val="2"/>
              </w:rPr>
            </w:pPr>
          </w:p>
        </w:tc>
      </w:tr>
      <w:tr>
        <w:trPr>
          <w:trHeight w:val="232" w:hRule="atLeast"/>
        </w:trPr>
        <w:tc>
          <w:tcPr>
            <w:tcW w:w="4035" w:type="dxa"/>
          </w:tcPr>
          <w:p>
            <w:pPr>
              <w:pStyle w:val="TableParagraph"/>
              <w:spacing w:line="161" w:lineRule="exact" w:before="52"/>
              <w:ind w:left="50"/>
              <w:rPr>
                <w:rFonts w:ascii="Caladea"/>
                <w:b/>
                <w:sz w:val="15"/>
              </w:rPr>
            </w:pPr>
            <w:r>
              <w:rPr>
                <w:rFonts w:ascii="Caladea"/>
                <w:b/>
                <w:w w:val="105"/>
                <w:sz w:val="15"/>
              </w:rPr>
              <w:t>Lucro Bruto</w:t>
            </w: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spacing w:line="161" w:lineRule="exact" w:before="52"/>
              <w:ind w:right="174"/>
              <w:jc w:val="right"/>
              <w:rPr>
                <w:rFonts w:ascii="Caladea"/>
                <w:b/>
                <w:sz w:val="15"/>
              </w:rPr>
            </w:pPr>
            <w:r>
              <w:rPr>
                <w:rFonts w:ascii="Caladea"/>
                <w:b/>
                <w:sz w:val="15"/>
              </w:rPr>
              <w:t>12.039</w:t>
            </w:r>
          </w:p>
        </w:tc>
        <w:tc>
          <w:tcPr>
            <w:tcW w:w="1195" w:type="dxa"/>
            <w:tcBorders>
              <w:top w:val="single" w:sz="6" w:space="0" w:color="000000"/>
              <w:bottom w:val="single" w:sz="6" w:space="0" w:color="000000"/>
            </w:tcBorders>
          </w:tcPr>
          <w:p>
            <w:pPr>
              <w:pStyle w:val="TableParagraph"/>
              <w:spacing w:line="161" w:lineRule="exact" w:before="52"/>
              <w:ind w:right="105"/>
              <w:jc w:val="right"/>
              <w:rPr>
                <w:rFonts w:ascii="Caladea"/>
                <w:b/>
                <w:sz w:val="15"/>
              </w:rPr>
            </w:pPr>
            <w:r>
              <w:rPr>
                <w:rFonts w:ascii="Caladea"/>
                <w:b/>
                <w:sz w:val="15"/>
              </w:rPr>
              <w:t>17.092</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1" w:lineRule="exact" w:before="52"/>
              <w:ind w:left="491"/>
              <w:rPr>
                <w:rFonts w:ascii="Caladea"/>
                <w:b/>
                <w:sz w:val="15"/>
              </w:rPr>
            </w:pPr>
            <w:r>
              <w:rPr>
                <w:rFonts w:ascii="Caladea"/>
                <w:b/>
                <w:w w:val="105"/>
                <w:sz w:val="15"/>
              </w:rPr>
              <w:t>491.803</w:t>
            </w:r>
          </w:p>
        </w:tc>
        <w:tc>
          <w:tcPr>
            <w:tcW w:w="1221" w:type="dxa"/>
            <w:tcBorders>
              <w:top w:val="single" w:sz="6" w:space="0" w:color="000000"/>
              <w:bottom w:val="single" w:sz="6" w:space="0" w:color="000000"/>
            </w:tcBorders>
          </w:tcPr>
          <w:p>
            <w:pPr>
              <w:pStyle w:val="TableParagraph"/>
              <w:spacing w:line="161" w:lineRule="exact" w:before="52"/>
              <w:ind w:right="107"/>
              <w:jc w:val="right"/>
              <w:rPr>
                <w:rFonts w:ascii="Caladea"/>
                <w:b/>
                <w:sz w:val="15"/>
              </w:rPr>
            </w:pPr>
            <w:r>
              <w:rPr>
                <w:rFonts w:ascii="Caladea"/>
                <w:b/>
                <w:w w:val="105"/>
                <w:sz w:val="15"/>
              </w:rPr>
              <w:t>380.312</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rPr>
                <w:rFonts w:ascii="Times New Roman"/>
                <w:sz w:val="14"/>
              </w:rPr>
            </w:pP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rPr>
                <w:rFonts w:ascii="Times New Roman"/>
                <w:sz w:val="14"/>
              </w:rPr>
            </w:pPr>
          </w:p>
        </w:tc>
        <w:tc>
          <w:tcPr>
            <w:tcW w:w="1195" w:type="dxa"/>
            <w:tcBorders>
              <w:top w:val="single" w:sz="6" w:space="0" w:color="000000"/>
              <w:bottom w:val="single" w:sz="6" w:space="0" w:color="000000"/>
            </w:tcBorders>
          </w:tcPr>
          <w:p>
            <w:pPr>
              <w:pStyle w:val="TableParagraph"/>
              <w:rPr>
                <w:rFonts w:ascii="Times New Roman"/>
                <w:sz w:val="14"/>
              </w:rPr>
            </w:pP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rPr>
                <w:rFonts w:ascii="Times New Roman"/>
                <w:sz w:val="14"/>
              </w:rPr>
            </w:pPr>
          </w:p>
        </w:tc>
        <w:tc>
          <w:tcPr>
            <w:tcW w:w="1221" w:type="dxa"/>
            <w:tcBorders>
              <w:top w:val="single" w:sz="6" w:space="0" w:color="000000"/>
              <w:bottom w:val="single" w:sz="6" w:space="0" w:color="000000"/>
            </w:tcBorders>
          </w:tcPr>
          <w:p>
            <w:pPr>
              <w:pStyle w:val="TableParagraph"/>
              <w:rPr>
                <w:rFonts w:ascii="Times New Roman"/>
                <w:sz w:val="14"/>
              </w:rPr>
            </w:pP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spacing w:line="160" w:lineRule="exact" w:before="52"/>
              <w:ind w:left="50"/>
              <w:rPr>
                <w:rFonts w:ascii="Caladea"/>
                <w:b/>
                <w:sz w:val="15"/>
              </w:rPr>
            </w:pPr>
            <w:r>
              <w:rPr>
                <w:rFonts w:ascii="Caladea"/>
                <w:b/>
                <w:w w:val="105"/>
                <w:sz w:val="15"/>
              </w:rPr>
              <w:t>Receitas / (Despesas) Operacionais</w:t>
            </w: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spacing w:line="160" w:lineRule="exact" w:before="52"/>
              <w:ind w:right="174"/>
              <w:jc w:val="right"/>
              <w:rPr>
                <w:rFonts w:ascii="Caladea"/>
                <w:b/>
                <w:sz w:val="15"/>
              </w:rPr>
            </w:pPr>
            <w:r>
              <w:rPr>
                <w:rFonts w:ascii="Caladea"/>
                <w:b/>
                <w:sz w:val="15"/>
              </w:rPr>
              <w:t>98.532</w:t>
            </w:r>
          </w:p>
        </w:tc>
        <w:tc>
          <w:tcPr>
            <w:tcW w:w="1195" w:type="dxa"/>
            <w:tcBorders>
              <w:top w:val="single" w:sz="6" w:space="0" w:color="000000"/>
              <w:bottom w:val="single" w:sz="6" w:space="0" w:color="000000"/>
            </w:tcBorders>
          </w:tcPr>
          <w:p>
            <w:pPr>
              <w:pStyle w:val="TableParagraph"/>
              <w:spacing w:line="160" w:lineRule="exact" w:before="52"/>
              <w:ind w:right="105"/>
              <w:jc w:val="right"/>
              <w:rPr>
                <w:rFonts w:ascii="Caladea"/>
                <w:b/>
                <w:sz w:val="15"/>
              </w:rPr>
            </w:pPr>
            <w:r>
              <w:rPr>
                <w:rFonts w:ascii="Caladea"/>
                <w:b/>
                <w:sz w:val="15"/>
              </w:rPr>
              <w:t>75.331</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0" w:lineRule="exact" w:before="52"/>
              <w:ind w:right="128"/>
              <w:jc w:val="right"/>
              <w:rPr>
                <w:rFonts w:ascii="Caladea"/>
                <w:b/>
                <w:sz w:val="15"/>
              </w:rPr>
            </w:pPr>
            <w:r>
              <w:rPr>
                <w:rFonts w:ascii="Caladea"/>
                <w:b/>
                <w:sz w:val="15"/>
              </w:rPr>
              <w:t>(238.527)</w:t>
            </w:r>
          </w:p>
        </w:tc>
        <w:tc>
          <w:tcPr>
            <w:tcW w:w="1221" w:type="dxa"/>
            <w:tcBorders>
              <w:top w:val="single" w:sz="6" w:space="0" w:color="000000"/>
              <w:bottom w:val="single" w:sz="6" w:space="0" w:color="000000"/>
            </w:tcBorders>
          </w:tcPr>
          <w:p>
            <w:pPr>
              <w:pStyle w:val="TableParagraph"/>
              <w:spacing w:line="160" w:lineRule="exact" w:before="52"/>
              <w:ind w:right="45"/>
              <w:jc w:val="right"/>
              <w:rPr>
                <w:rFonts w:ascii="Caladea"/>
                <w:b/>
                <w:sz w:val="15"/>
              </w:rPr>
            </w:pPr>
            <w:r>
              <w:rPr>
                <w:rFonts w:ascii="Caladea"/>
                <w:b/>
                <w:sz w:val="15"/>
              </w:rPr>
              <w:t>(143.956)</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61" w:hRule="atLeast"/>
        </w:trPr>
        <w:tc>
          <w:tcPr>
            <w:tcW w:w="4035" w:type="dxa"/>
          </w:tcPr>
          <w:p>
            <w:pPr>
              <w:pStyle w:val="TableParagraph"/>
              <w:spacing w:before="53"/>
              <w:ind w:left="50"/>
              <w:rPr>
                <w:sz w:val="15"/>
              </w:rPr>
            </w:pPr>
            <w:r>
              <w:rPr>
                <w:w w:val="105"/>
                <w:sz w:val="15"/>
              </w:rPr>
              <w:t>Despesas com Vendas</w:t>
            </w:r>
          </w:p>
        </w:tc>
        <w:tc>
          <w:tcPr>
            <w:tcW w:w="814" w:type="dxa"/>
          </w:tcPr>
          <w:p>
            <w:pPr>
              <w:pStyle w:val="TableParagraph"/>
              <w:spacing w:before="53"/>
              <w:ind w:right="56"/>
              <w:jc w:val="right"/>
              <w:rPr>
                <w:sz w:val="15"/>
              </w:rPr>
            </w:pPr>
            <w:r>
              <w:rPr>
                <w:sz w:val="15"/>
              </w:rPr>
              <w:t>30.3</w:t>
            </w:r>
          </w:p>
        </w:tc>
        <w:tc>
          <w:tcPr>
            <w:tcW w:w="1258" w:type="dxa"/>
            <w:tcBorders>
              <w:top w:val="single" w:sz="6" w:space="0" w:color="000000"/>
            </w:tcBorders>
          </w:tcPr>
          <w:p>
            <w:pPr>
              <w:pStyle w:val="TableParagraph"/>
              <w:spacing w:before="53"/>
              <w:ind w:right="116"/>
              <w:jc w:val="right"/>
              <w:rPr>
                <w:sz w:val="15"/>
              </w:rPr>
            </w:pPr>
            <w:r>
              <w:rPr>
                <w:sz w:val="15"/>
              </w:rPr>
              <w:t>(2.805)</w:t>
            </w:r>
          </w:p>
        </w:tc>
        <w:tc>
          <w:tcPr>
            <w:tcW w:w="1195" w:type="dxa"/>
            <w:tcBorders>
              <w:top w:val="single" w:sz="6" w:space="0" w:color="000000"/>
            </w:tcBorders>
          </w:tcPr>
          <w:p>
            <w:pPr>
              <w:pStyle w:val="TableParagraph"/>
              <w:spacing w:before="53"/>
              <w:ind w:right="106"/>
              <w:jc w:val="right"/>
              <w:rPr>
                <w:sz w:val="15"/>
              </w:rPr>
            </w:pPr>
            <w:r>
              <w:rPr>
                <w:w w:val="110"/>
                <w:sz w:val="15"/>
              </w:rPr>
              <w:t>284</w:t>
            </w:r>
          </w:p>
        </w:tc>
        <w:tc>
          <w:tcPr>
            <w:tcW w:w="92" w:type="dxa"/>
            <w:tcBorders>
              <w:top w:val="single" w:sz="6" w:space="0" w:color="000000"/>
            </w:tcBorders>
          </w:tcPr>
          <w:p>
            <w:pPr>
              <w:pStyle w:val="TableParagraph"/>
              <w:rPr>
                <w:rFonts w:ascii="Times New Roman"/>
                <w:sz w:val="14"/>
              </w:rPr>
            </w:pPr>
          </w:p>
        </w:tc>
        <w:tc>
          <w:tcPr>
            <w:tcW w:w="1271" w:type="dxa"/>
            <w:tcBorders>
              <w:top w:val="single" w:sz="6" w:space="0" w:color="000000"/>
            </w:tcBorders>
          </w:tcPr>
          <w:p>
            <w:pPr>
              <w:pStyle w:val="TableParagraph"/>
              <w:spacing w:before="53"/>
              <w:ind w:right="133"/>
              <w:jc w:val="right"/>
              <w:rPr>
                <w:sz w:val="15"/>
              </w:rPr>
            </w:pPr>
            <w:r>
              <w:rPr>
                <w:w w:val="105"/>
                <w:sz w:val="15"/>
              </w:rPr>
              <w:t>(119.021)</w:t>
            </w:r>
          </w:p>
        </w:tc>
        <w:tc>
          <w:tcPr>
            <w:tcW w:w="1221" w:type="dxa"/>
            <w:tcBorders>
              <w:top w:val="single" w:sz="6" w:space="0" w:color="000000"/>
            </w:tcBorders>
          </w:tcPr>
          <w:p>
            <w:pPr>
              <w:pStyle w:val="TableParagraph"/>
              <w:spacing w:before="53"/>
              <w:ind w:right="50"/>
              <w:jc w:val="right"/>
              <w:rPr>
                <w:sz w:val="15"/>
              </w:rPr>
            </w:pPr>
            <w:r>
              <w:rPr>
                <w:w w:val="105"/>
                <w:sz w:val="15"/>
              </w:rPr>
              <w:t>(137.758)</w:t>
            </w:r>
          </w:p>
        </w:tc>
        <w:tc>
          <w:tcPr>
            <w:tcW w:w="53" w:type="dxa"/>
            <w:tcBorders>
              <w:top w:val="single" w:sz="6" w:space="0" w:color="000000"/>
            </w:tcBorders>
          </w:tcPr>
          <w:p>
            <w:pPr>
              <w:pStyle w:val="TableParagraph"/>
              <w:rPr>
                <w:rFonts w:ascii="Times New Roman"/>
                <w:sz w:val="14"/>
              </w:rPr>
            </w:pPr>
          </w:p>
        </w:tc>
      </w:tr>
      <w:tr>
        <w:trPr>
          <w:trHeight w:val="247" w:hRule="atLeast"/>
        </w:trPr>
        <w:tc>
          <w:tcPr>
            <w:tcW w:w="4035" w:type="dxa"/>
          </w:tcPr>
          <w:p>
            <w:pPr>
              <w:pStyle w:val="TableParagraph"/>
              <w:spacing w:before="40"/>
              <w:ind w:left="50"/>
              <w:rPr>
                <w:sz w:val="15"/>
              </w:rPr>
            </w:pPr>
            <w:r>
              <w:rPr>
                <w:sz w:val="15"/>
              </w:rPr>
              <w:t>Despesas Gerais e Administrativas</w:t>
            </w:r>
          </w:p>
        </w:tc>
        <w:tc>
          <w:tcPr>
            <w:tcW w:w="814" w:type="dxa"/>
          </w:tcPr>
          <w:p>
            <w:pPr>
              <w:pStyle w:val="TableParagraph"/>
              <w:spacing w:before="40"/>
              <w:ind w:right="56"/>
              <w:jc w:val="right"/>
              <w:rPr>
                <w:sz w:val="15"/>
              </w:rPr>
            </w:pPr>
            <w:r>
              <w:rPr>
                <w:sz w:val="15"/>
              </w:rPr>
              <w:t>30.3</w:t>
            </w:r>
          </w:p>
        </w:tc>
        <w:tc>
          <w:tcPr>
            <w:tcW w:w="1258" w:type="dxa"/>
          </w:tcPr>
          <w:p>
            <w:pPr>
              <w:pStyle w:val="TableParagraph"/>
              <w:spacing w:before="40"/>
              <w:ind w:right="117"/>
              <w:jc w:val="right"/>
              <w:rPr>
                <w:sz w:val="15"/>
              </w:rPr>
            </w:pPr>
            <w:r>
              <w:rPr>
                <w:w w:val="105"/>
                <w:sz w:val="15"/>
              </w:rPr>
              <w:t>(17.986)</w:t>
            </w:r>
          </w:p>
        </w:tc>
        <w:tc>
          <w:tcPr>
            <w:tcW w:w="1195" w:type="dxa"/>
          </w:tcPr>
          <w:p>
            <w:pPr>
              <w:pStyle w:val="TableParagraph"/>
              <w:spacing w:before="40"/>
              <w:ind w:right="47"/>
              <w:jc w:val="right"/>
              <w:rPr>
                <w:sz w:val="15"/>
              </w:rPr>
            </w:pPr>
            <w:r>
              <w:rPr>
                <w:w w:val="105"/>
                <w:sz w:val="15"/>
              </w:rPr>
              <w:t>(16.967)</w:t>
            </w:r>
          </w:p>
        </w:tc>
        <w:tc>
          <w:tcPr>
            <w:tcW w:w="92" w:type="dxa"/>
          </w:tcPr>
          <w:p>
            <w:pPr>
              <w:pStyle w:val="TableParagraph"/>
              <w:rPr>
                <w:rFonts w:ascii="Times New Roman"/>
                <w:sz w:val="14"/>
              </w:rPr>
            </w:pPr>
          </w:p>
        </w:tc>
        <w:tc>
          <w:tcPr>
            <w:tcW w:w="1271" w:type="dxa"/>
          </w:tcPr>
          <w:p>
            <w:pPr>
              <w:pStyle w:val="TableParagraph"/>
              <w:spacing w:before="40"/>
              <w:ind w:right="133"/>
              <w:jc w:val="right"/>
              <w:rPr>
                <w:sz w:val="15"/>
              </w:rPr>
            </w:pPr>
            <w:r>
              <w:rPr>
                <w:w w:val="105"/>
                <w:sz w:val="15"/>
              </w:rPr>
              <w:t>(160.643)</w:t>
            </w:r>
          </w:p>
        </w:tc>
        <w:tc>
          <w:tcPr>
            <w:tcW w:w="1221" w:type="dxa"/>
          </w:tcPr>
          <w:p>
            <w:pPr>
              <w:pStyle w:val="TableParagraph"/>
              <w:spacing w:before="40"/>
              <w:ind w:right="50"/>
              <w:jc w:val="right"/>
              <w:rPr>
                <w:sz w:val="15"/>
              </w:rPr>
            </w:pPr>
            <w:r>
              <w:rPr>
                <w:w w:val="105"/>
                <w:sz w:val="15"/>
              </w:rPr>
              <w:t>(169.470)</w:t>
            </w:r>
          </w:p>
        </w:tc>
        <w:tc>
          <w:tcPr>
            <w:tcW w:w="53" w:type="dxa"/>
          </w:tcPr>
          <w:p>
            <w:pPr>
              <w:pStyle w:val="TableParagraph"/>
              <w:rPr>
                <w:rFonts w:ascii="Times New Roman"/>
                <w:sz w:val="14"/>
              </w:rPr>
            </w:pPr>
          </w:p>
        </w:tc>
      </w:tr>
      <w:tr>
        <w:trPr>
          <w:trHeight w:val="247" w:hRule="atLeast"/>
        </w:trPr>
        <w:tc>
          <w:tcPr>
            <w:tcW w:w="4035" w:type="dxa"/>
          </w:tcPr>
          <w:p>
            <w:pPr>
              <w:pStyle w:val="TableParagraph"/>
              <w:spacing w:before="39"/>
              <w:ind w:left="50"/>
              <w:rPr>
                <w:sz w:val="15"/>
              </w:rPr>
            </w:pPr>
            <w:r>
              <w:rPr>
                <w:sz w:val="15"/>
              </w:rPr>
              <w:t>Resultado de Equivalência Patrimonial</w:t>
            </w:r>
          </w:p>
        </w:tc>
        <w:tc>
          <w:tcPr>
            <w:tcW w:w="814" w:type="dxa"/>
          </w:tcPr>
          <w:p>
            <w:pPr>
              <w:pStyle w:val="TableParagraph"/>
              <w:spacing w:before="39"/>
              <w:ind w:right="103"/>
              <w:jc w:val="right"/>
              <w:rPr>
                <w:sz w:val="15"/>
              </w:rPr>
            </w:pPr>
            <w:r>
              <w:rPr>
                <w:w w:val="110"/>
                <w:sz w:val="15"/>
              </w:rPr>
              <w:t>14</w:t>
            </w:r>
          </w:p>
        </w:tc>
        <w:tc>
          <w:tcPr>
            <w:tcW w:w="1258" w:type="dxa"/>
          </w:tcPr>
          <w:p>
            <w:pPr>
              <w:pStyle w:val="TableParagraph"/>
              <w:spacing w:before="39"/>
              <w:ind w:right="181"/>
              <w:jc w:val="right"/>
              <w:rPr>
                <w:sz w:val="15"/>
              </w:rPr>
            </w:pPr>
            <w:r>
              <w:rPr>
                <w:w w:val="105"/>
                <w:sz w:val="15"/>
              </w:rPr>
              <w:t>119.256</w:t>
            </w:r>
          </w:p>
        </w:tc>
        <w:tc>
          <w:tcPr>
            <w:tcW w:w="1195" w:type="dxa"/>
          </w:tcPr>
          <w:p>
            <w:pPr>
              <w:pStyle w:val="TableParagraph"/>
              <w:spacing w:before="39"/>
              <w:ind w:right="111"/>
              <w:jc w:val="right"/>
              <w:rPr>
                <w:sz w:val="15"/>
              </w:rPr>
            </w:pPr>
            <w:r>
              <w:rPr>
                <w:sz w:val="15"/>
              </w:rPr>
              <w:t>86.560</w:t>
            </w:r>
          </w:p>
        </w:tc>
        <w:tc>
          <w:tcPr>
            <w:tcW w:w="92" w:type="dxa"/>
          </w:tcPr>
          <w:p>
            <w:pPr>
              <w:pStyle w:val="TableParagraph"/>
              <w:rPr>
                <w:rFonts w:ascii="Times New Roman"/>
                <w:sz w:val="14"/>
              </w:rPr>
            </w:pPr>
          </w:p>
        </w:tc>
        <w:tc>
          <w:tcPr>
            <w:tcW w:w="1271" w:type="dxa"/>
          </w:tcPr>
          <w:p>
            <w:pPr>
              <w:pStyle w:val="TableParagraph"/>
              <w:spacing w:before="39"/>
              <w:ind w:left="595"/>
              <w:rPr>
                <w:sz w:val="15"/>
              </w:rPr>
            </w:pPr>
            <w:r>
              <w:rPr>
                <w:sz w:val="15"/>
              </w:rPr>
              <w:t>28.964</w:t>
            </w:r>
          </w:p>
        </w:tc>
        <w:tc>
          <w:tcPr>
            <w:tcW w:w="1221" w:type="dxa"/>
          </w:tcPr>
          <w:p>
            <w:pPr>
              <w:pStyle w:val="TableParagraph"/>
              <w:spacing w:before="39"/>
              <w:ind w:right="114"/>
              <w:jc w:val="right"/>
              <w:rPr>
                <w:sz w:val="15"/>
              </w:rPr>
            </w:pPr>
            <w:r>
              <w:rPr>
                <w:sz w:val="15"/>
              </w:rPr>
              <w:t>31.673</w:t>
            </w:r>
          </w:p>
        </w:tc>
        <w:tc>
          <w:tcPr>
            <w:tcW w:w="53" w:type="dxa"/>
          </w:tcPr>
          <w:p>
            <w:pPr>
              <w:pStyle w:val="TableParagraph"/>
              <w:rPr>
                <w:rFonts w:ascii="Times New Roman"/>
                <w:sz w:val="14"/>
              </w:rPr>
            </w:pPr>
          </w:p>
        </w:tc>
      </w:tr>
      <w:tr>
        <w:trPr>
          <w:trHeight w:val="218" w:hRule="atLeast"/>
        </w:trPr>
        <w:tc>
          <w:tcPr>
            <w:tcW w:w="4035" w:type="dxa"/>
          </w:tcPr>
          <w:p>
            <w:pPr>
              <w:pStyle w:val="TableParagraph"/>
              <w:spacing w:line="159" w:lineRule="exact" w:before="40"/>
              <w:ind w:left="50"/>
              <w:rPr>
                <w:sz w:val="15"/>
              </w:rPr>
            </w:pPr>
            <w:r>
              <w:rPr>
                <w:sz w:val="15"/>
              </w:rPr>
              <w:t>Outras Receitas (Despesas) Operacionais</w:t>
            </w:r>
          </w:p>
        </w:tc>
        <w:tc>
          <w:tcPr>
            <w:tcW w:w="814" w:type="dxa"/>
          </w:tcPr>
          <w:p>
            <w:pPr>
              <w:pStyle w:val="TableParagraph"/>
              <w:spacing w:line="159" w:lineRule="exact" w:before="40"/>
              <w:ind w:right="56"/>
              <w:jc w:val="right"/>
              <w:rPr>
                <w:sz w:val="15"/>
              </w:rPr>
            </w:pPr>
            <w:r>
              <w:rPr>
                <w:sz w:val="15"/>
              </w:rPr>
              <w:t>30.4</w:t>
            </w:r>
          </w:p>
        </w:tc>
        <w:tc>
          <w:tcPr>
            <w:tcW w:w="1258" w:type="dxa"/>
            <w:tcBorders>
              <w:bottom w:val="single" w:sz="6" w:space="0" w:color="000000"/>
            </w:tcBorders>
          </w:tcPr>
          <w:p>
            <w:pPr>
              <w:pStyle w:val="TableParagraph"/>
              <w:spacing w:line="161" w:lineRule="exact" w:before="38"/>
              <w:ind w:right="175"/>
              <w:jc w:val="right"/>
              <w:rPr>
                <w:rFonts w:ascii="Caladea"/>
                <w:b/>
                <w:sz w:val="15"/>
              </w:rPr>
            </w:pPr>
            <w:r>
              <w:rPr>
                <w:rFonts w:ascii="Caladea"/>
                <w:b/>
                <w:sz w:val="15"/>
              </w:rPr>
              <w:t>67</w:t>
            </w:r>
          </w:p>
        </w:tc>
        <w:tc>
          <w:tcPr>
            <w:tcW w:w="1195" w:type="dxa"/>
            <w:tcBorders>
              <w:bottom w:val="single" w:sz="6" w:space="0" w:color="000000"/>
            </w:tcBorders>
          </w:tcPr>
          <w:p>
            <w:pPr>
              <w:pStyle w:val="TableParagraph"/>
              <w:spacing w:line="161" w:lineRule="exact" w:before="38"/>
              <w:ind w:right="104"/>
              <w:jc w:val="right"/>
              <w:rPr>
                <w:rFonts w:ascii="Caladea"/>
                <w:b/>
                <w:sz w:val="15"/>
              </w:rPr>
            </w:pPr>
            <w:r>
              <w:rPr>
                <w:rFonts w:ascii="Caladea"/>
                <w:b/>
                <w:sz w:val="15"/>
              </w:rPr>
              <w:t>5.454</w:t>
            </w:r>
          </w:p>
        </w:tc>
        <w:tc>
          <w:tcPr>
            <w:tcW w:w="92" w:type="dxa"/>
          </w:tcPr>
          <w:p>
            <w:pPr>
              <w:pStyle w:val="TableParagraph"/>
              <w:rPr>
                <w:rFonts w:ascii="Times New Roman"/>
                <w:sz w:val="14"/>
              </w:rPr>
            </w:pPr>
          </w:p>
        </w:tc>
        <w:tc>
          <w:tcPr>
            <w:tcW w:w="1271" w:type="dxa"/>
            <w:tcBorders>
              <w:bottom w:val="single" w:sz="6" w:space="0" w:color="000000"/>
            </w:tcBorders>
          </w:tcPr>
          <w:p>
            <w:pPr>
              <w:pStyle w:val="TableParagraph"/>
              <w:spacing w:line="161" w:lineRule="exact" w:before="38"/>
              <w:ind w:left="582"/>
              <w:rPr>
                <w:rFonts w:ascii="Caladea"/>
                <w:b/>
                <w:sz w:val="15"/>
              </w:rPr>
            </w:pPr>
            <w:r>
              <w:rPr>
                <w:rFonts w:ascii="Caladea"/>
                <w:b/>
                <w:w w:val="105"/>
                <w:sz w:val="15"/>
              </w:rPr>
              <w:t>12.173</w:t>
            </w:r>
          </w:p>
        </w:tc>
        <w:tc>
          <w:tcPr>
            <w:tcW w:w="1221" w:type="dxa"/>
            <w:tcBorders>
              <w:bottom w:val="single" w:sz="6" w:space="0" w:color="000000"/>
            </w:tcBorders>
          </w:tcPr>
          <w:p>
            <w:pPr>
              <w:pStyle w:val="TableParagraph"/>
              <w:spacing w:line="161" w:lineRule="exact" w:before="38"/>
              <w:ind w:right="107"/>
              <w:jc w:val="right"/>
              <w:rPr>
                <w:rFonts w:ascii="Caladea"/>
                <w:b/>
                <w:sz w:val="15"/>
              </w:rPr>
            </w:pPr>
            <w:r>
              <w:rPr>
                <w:rFonts w:ascii="Caladea"/>
                <w:b/>
                <w:w w:val="105"/>
                <w:sz w:val="15"/>
              </w:rPr>
              <w:t>131.599</w:t>
            </w:r>
          </w:p>
        </w:tc>
        <w:tc>
          <w:tcPr>
            <w:tcW w:w="53" w:type="dxa"/>
          </w:tcPr>
          <w:p>
            <w:pPr>
              <w:pStyle w:val="TableParagraph"/>
              <w:rPr>
                <w:rFonts w:ascii="Times New Roman"/>
                <w:sz w:val="14"/>
              </w:rPr>
            </w:pPr>
          </w:p>
        </w:tc>
      </w:tr>
      <w:tr>
        <w:trPr>
          <w:trHeight w:val="261" w:hRule="atLeast"/>
        </w:trPr>
        <w:tc>
          <w:tcPr>
            <w:tcW w:w="4035" w:type="dxa"/>
          </w:tcPr>
          <w:p>
            <w:pPr>
              <w:pStyle w:val="TableParagraph"/>
              <w:spacing w:before="54"/>
              <w:ind w:left="88"/>
              <w:rPr>
                <w:sz w:val="15"/>
              </w:rPr>
            </w:pPr>
            <w:r>
              <w:rPr>
                <w:sz w:val="15"/>
              </w:rPr>
              <w:t>Outras Receitas Operacionais</w:t>
            </w:r>
          </w:p>
        </w:tc>
        <w:tc>
          <w:tcPr>
            <w:tcW w:w="814" w:type="dxa"/>
          </w:tcPr>
          <w:p>
            <w:pPr>
              <w:pStyle w:val="TableParagraph"/>
              <w:rPr>
                <w:rFonts w:ascii="Times New Roman"/>
                <w:sz w:val="14"/>
              </w:rPr>
            </w:pPr>
          </w:p>
        </w:tc>
        <w:tc>
          <w:tcPr>
            <w:tcW w:w="1258" w:type="dxa"/>
            <w:tcBorders>
              <w:top w:val="single" w:sz="6" w:space="0" w:color="000000"/>
            </w:tcBorders>
          </w:tcPr>
          <w:p>
            <w:pPr>
              <w:pStyle w:val="TableParagraph"/>
              <w:spacing w:before="54"/>
              <w:ind w:right="176"/>
              <w:jc w:val="right"/>
              <w:rPr>
                <w:sz w:val="15"/>
              </w:rPr>
            </w:pPr>
            <w:r>
              <w:rPr>
                <w:w w:val="110"/>
                <w:sz w:val="15"/>
              </w:rPr>
              <w:t>167</w:t>
            </w:r>
          </w:p>
        </w:tc>
        <w:tc>
          <w:tcPr>
            <w:tcW w:w="1195" w:type="dxa"/>
            <w:tcBorders>
              <w:top w:val="single" w:sz="6" w:space="0" w:color="000000"/>
            </w:tcBorders>
          </w:tcPr>
          <w:p>
            <w:pPr>
              <w:pStyle w:val="TableParagraph"/>
              <w:spacing w:before="54"/>
              <w:ind w:right="111"/>
              <w:jc w:val="right"/>
              <w:rPr>
                <w:sz w:val="15"/>
              </w:rPr>
            </w:pPr>
            <w:r>
              <w:rPr>
                <w:sz w:val="15"/>
              </w:rPr>
              <w:t>5.464</w:t>
            </w:r>
          </w:p>
        </w:tc>
        <w:tc>
          <w:tcPr>
            <w:tcW w:w="92" w:type="dxa"/>
          </w:tcPr>
          <w:p>
            <w:pPr>
              <w:pStyle w:val="TableParagraph"/>
              <w:rPr>
                <w:rFonts w:ascii="Times New Roman"/>
                <w:sz w:val="14"/>
              </w:rPr>
            </w:pPr>
          </w:p>
        </w:tc>
        <w:tc>
          <w:tcPr>
            <w:tcW w:w="1271" w:type="dxa"/>
            <w:tcBorders>
              <w:top w:val="single" w:sz="6" w:space="0" w:color="000000"/>
            </w:tcBorders>
          </w:tcPr>
          <w:p>
            <w:pPr>
              <w:pStyle w:val="TableParagraph"/>
              <w:spacing w:before="54"/>
              <w:ind w:left="595"/>
              <w:rPr>
                <w:sz w:val="15"/>
              </w:rPr>
            </w:pPr>
            <w:r>
              <w:rPr>
                <w:sz w:val="15"/>
              </w:rPr>
              <w:t>47.192</w:t>
            </w:r>
          </w:p>
        </w:tc>
        <w:tc>
          <w:tcPr>
            <w:tcW w:w="1221" w:type="dxa"/>
            <w:tcBorders>
              <w:top w:val="single" w:sz="6" w:space="0" w:color="000000"/>
            </w:tcBorders>
          </w:tcPr>
          <w:p>
            <w:pPr>
              <w:pStyle w:val="TableParagraph"/>
              <w:spacing w:before="54"/>
              <w:ind w:right="114"/>
              <w:jc w:val="right"/>
              <w:rPr>
                <w:sz w:val="15"/>
              </w:rPr>
            </w:pPr>
            <w:r>
              <w:rPr>
                <w:w w:val="105"/>
                <w:sz w:val="15"/>
              </w:rPr>
              <w:t>165.309</w:t>
            </w:r>
          </w:p>
        </w:tc>
        <w:tc>
          <w:tcPr>
            <w:tcW w:w="53" w:type="dxa"/>
          </w:tcPr>
          <w:p>
            <w:pPr>
              <w:pStyle w:val="TableParagraph"/>
              <w:rPr>
                <w:rFonts w:ascii="Times New Roman"/>
                <w:sz w:val="14"/>
              </w:rPr>
            </w:pPr>
          </w:p>
        </w:tc>
      </w:tr>
      <w:tr>
        <w:trPr>
          <w:trHeight w:val="466" w:hRule="atLeast"/>
        </w:trPr>
        <w:tc>
          <w:tcPr>
            <w:tcW w:w="4035" w:type="dxa"/>
          </w:tcPr>
          <w:p>
            <w:pPr>
              <w:pStyle w:val="TableParagraph"/>
              <w:spacing w:before="40"/>
              <w:ind w:left="88"/>
              <w:rPr>
                <w:sz w:val="15"/>
              </w:rPr>
            </w:pPr>
            <w:r>
              <w:rPr>
                <w:w w:val="105"/>
                <w:sz w:val="15"/>
              </w:rPr>
              <w:t>Outras Despesas Operacionais</w:t>
            </w:r>
          </w:p>
        </w:tc>
        <w:tc>
          <w:tcPr>
            <w:tcW w:w="814" w:type="dxa"/>
          </w:tcPr>
          <w:p>
            <w:pPr>
              <w:pStyle w:val="TableParagraph"/>
              <w:rPr>
                <w:rFonts w:ascii="Times New Roman"/>
                <w:sz w:val="14"/>
              </w:rPr>
            </w:pPr>
          </w:p>
        </w:tc>
        <w:tc>
          <w:tcPr>
            <w:tcW w:w="1258" w:type="dxa"/>
            <w:tcBorders>
              <w:bottom w:val="single" w:sz="6" w:space="0" w:color="000000"/>
            </w:tcBorders>
          </w:tcPr>
          <w:p>
            <w:pPr>
              <w:pStyle w:val="TableParagraph"/>
              <w:spacing w:before="40"/>
              <w:ind w:right="116"/>
              <w:jc w:val="right"/>
              <w:rPr>
                <w:sz w:val="15"/>
              </w:rPr>
            </w:pPr>
            <w:r>
              <w:rPr>
                <w:w w:val="110"/>
                <w:sz w:val="15"/>
              </w:rPr>
              <w:t>(100)</w:t>
            </w:r>
          </w:p>
        </w:tc>
        <w:tc>
          <w:tcPr>
            <w:tcW w:w="1195" w:type="dxa"/>
            <w:tcBorders>
              <w:bottom w:val="single" w:sz="6" w:space="0" w:color="000000"/>
            </w:tcBorders>
          </w:tcPr>
          <w:p>
            <w:pPr>
              <w:pStyle w:val="TableParagraph"/>
              <w:spacing w:before="40"/>
              <w:ind w:right="46"/>
              <w:jc w:val="right"/>
              <w:rPr>
                <w:sz w:val="15"/>
              </w:rPr>
            </w:pPr>
            <w:r>
              <w:rPr>
                <w:w w:val="105"/>
                <w:sz w:val="15"/>
              </w:rPr>
              <w:t>(10)</w:t>
            </w:r>
          </w:p>
        </w:tc>
        <w:tc>
          <w:tcPr>
            <w:tcW w:w="92" w:type="dxa"/>
            <w:tcBorders>
              <w:bottom w:val="single" w:sz="6" w:space="0" w:color="000000"/>
            </w:tcBorders>
          </w:tcPr>
          <w:p>
            <w:pPr>
              <w:pStyle w:val="TableParagraph"/>
              <w:rPr>
                <w:rFonts w:ascii="Times New Roman"/>
                <w:sz w:val="14"/>
              </w:rPr>
            </w:pPr>
          </w:p>
        </w:tc>
        <w:tc>
          <w:tcPr>
            <w:tcW w:w="1271" w:type="dxa"/>
            <w:tcBorders>
              <w:bottom w:val="single" w:sz="6" w:space="0" w:color="000000"/>
            </w:tcBorders>
          </w:tcPr>
          <w:p>
            <w:pPr>
              <w:pStyle w:val="TableParagraph"/>
              <w:spacing w:before="40"/>
              <w:ind w:right="132"/>
              <w:jc w:val="right"/>
              <w:rPr>
                <w:sz w:val="15"/>
              </w:rPr>
            </w:pPr>
            <w:r>
              <w:rPr>
                <w:w w:val="105"/>
                <w:sz w:val="15"/>
              </w:rPr>
              <w:t>(35.019)</w:t>
            </w:r>
          </w:p>
        </w:tc>
        <w:tc>
          <w:tcPr>
            <w:tcW w:w="1221" w:type="dxa"/>
            <w:tcBorders>
              <w:bottom w:val="single" w:sz="6" w:space="0" w:color="000000"/>
            </w:tcBorders>
          </w:tcPr>
          <w:p>
            <w:pPr>
              <w:pStyle w:val="TableParagraph"/>
              <w:spacing w:before="40"/>
              <w:ind w:right="50"/>
              <w:jc w:val="right"/>
              <w:rPr>
                <w:sz w:val="15"/>
              </w:rPr>
            </w:pPr>
            <w:r>
              <w:rPr>
                <w:w w:val="105"/>
                <w:sz w:val="15"/>
              </w:rPr>
              <w:t>(33.710)</w:t>
            </w:r>
          </w:p>
        </w:tc>
        <w:tc>
          <w:tcPr>
            <w:tcW w:w="53" w:type="dxa"/>
            <w:tcBorders>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spacing w:line="160" w:lineRule="exact" w:before="52"/>
              <w:ind w:left="50"/>
              <w:rPr>
                <w:rFonts w:ascii="Caladea"/>
                <w:b/>
                <w:sz w:val="15"/>
              </w:rPr>
            </w:pPr>
            <w:r>
              <w:rPr>
                <w:rFonts w:ascii="Caladea"/>
                <w:b/>
                <w:w w:val="105"/>
                <w:sz w:val="15"/>
              </w:rPr>
              <w:t>Lucro Operacional antes do Resultado Financeiro</w:t>
            </w: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spacing w:line="160" w:lineRule="exact" w:before="52"/>
              <w:ind w:right="174"/>
              <w:jc w:val="right"/>
              <w:rPr>
                <w:rFonts w:ascii="Caladea"/>
                <w:b/>
                <w:sz w:val="15"/>
              </w:rPr>
            </w:pPr>
            <w:r>
              <w:rPr>
                <w:rFonts w:ascii="Caladea"/>
                <w:b/>
                <w:w w:val="105"/>
                <w:sz w:val="15"/>
              </w:rPr>
              <w:t>110.571</w:t>
            </w:r>
          </w:p>
        </w:tc>
        <w:tc>
          <w:tcPr>
            <w:tcW w:w="1195" w:type="dxa"/>
            <w:tcBorders>
              <w:top w:val="single" w:sz="6" w:space="0" w:color="000000"/>
              <w:bottom w:val="single" w:sz="6" w:space="0" w:color="000000"/>
            </w:tcBorders>
          </w:tcPr>
          <w:p>
            <w:pPr>
              <w:pStyle w:val="TableParagraph"/>
              <w:spacing w:line="160" w:lineRule="exact" w:before="52"/>
              <w:ind w:right="105"/>
              <w:jc w:val="right"/>
              <w:rPr>
                <w:rFonts w:ascii="Caladea"/>
                <w:b/>
                <w:sz w:val="15"/>
              </w:rPr>
            </w:pPr>
            <w:r>
              <w:rPr>
                <w:rFonts w:ascii="Caladea"/>
                <w:b/>
                <w:sz w:val="15"/>
              </w:rPr>
              <w:t>92.423</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0" w:lineRule="exact" w:before="52"/>
              <w:ind w:left="491"/>
              <w:rPr>
                <w:rFonts w:ascii="Caladea"/>
                <w:b/>
                <w:sz w:val="15"/>
              </w:rPr>
            </w:pPr>
            <w:r>
              <w:rPr>
                <w:rFonts w:ascii="Caladea"/>
                <w:b/>
                <w:w w:val="105"/>
                <w:sz w:val="15"/>
              </w:rPr>
              <w:t>253.276</w:t>
            </w:r>
          </w:p>
        </w:tc>
        <w:tc>
          <w:tcPr>
            <w:tcW w:w="1221" w:type="dxa"/>
            <w:tcBorders>
              <w:top w:val="single" w:sz="6" w:space="0" w:color="000000"/>
              <w:bottom w:val="single" w:sz="6" w:space="0" w:color="000000"/>
            </w:tcBorders>
          </w:tcPr>
          <w:p>
            <w:pPr>
              <w:pStyle w:val="TableParagraph"/>
              <w:spacing w:line="160" w:lineRule="exact" w:before="52"/>
              <w:ind w:right="107"/>
              <w:jc w:val="right"/>
              <w:rPr>
                <w:rFonts w:ascii="Caladea"/>
                <w:b/>
                <w:sz w:val="15"/>
              </w:rPr>
            </w:pPr>
            <w:r>
              <w:rPr>
                <w:rFonts w:ascii="Caladea"/>
                <w:b/>
                <w:w w:val="105"/>
                <w:sz w:val="15"/>
              </w:rPr>
              <w:t>236.356</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rPr>
                <w:rFonts w:ascii="Times New Roman"/>
                <w:sz w:val="14"/>
              </w:rPr>
            </w:pP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rPr>
                <w:rFonts w:ascii="Times New Roman"/>
                <w:sz w:val="14"/>
              </w:rPr>
            </w:pPr>
          </w:p>
        </w:tc>
        <w:tc>
          <w:tcPr>
            <w:tcW w:w="1195" w:type="dxa"/>
            <w:tcBorders>
              <w:top w:val="single" w:sz="6" w:space="0" w:color="000000"/>
              <w:bottom w:val="single" w:sz="6" w:space="0" w:color="000000"/>
            </w:tcBorders>
          </w:tcPr>
          <w:p>
            <w:pPr>
              <w:pStyle w:val="TableParagraph"/>
              <w:rPr>
                <w:rFonts w:ascii="Times New Roman"/>
                <w:sz w:val="14"/>
              </w:rPr>
            </w:pP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rPr>
                <w:rFonts w:ascii="Times New Roman"/>
                <w:sz w:val="14"/>
              </w:rPr>
            </w:pPr>
          </w:p>
        </w:tc>
        <w:tc>
          <w:tcPr>
            <w:tcW w:w="1221" w:type="dxa"/>
            <w:tcBorders>
              <w:top w:val="single" w:sz="6" w:space="0" w:color="000000"/>
              <w:bottom w:val="single" w:sz="6" w:space="0" w:color="000000"/>
            </w:tcBorders>
          </w:tcPr>
          <w:p>
            <w:pPr>
              <w:pStyle w:val="TableParagraph"/>
              <w:rPr>
                <w:rFonts w:ascii="Times New Roman"/>
                <w:sz w:val="14"/>
              </w:rPr>
            </w:pP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spacing w:line="160" w:lineRule="exact" w:before="52"/>
              <w:ind w:left="50"/>
              <w:rPr>
                <w:rFonts w:ascii="Caladea"/>
                <w:b/>
                <w:sz w:val="15"/>
              </w:rPr>
            </w:pPr>
            <w:r>
              <w:rPr>
                <w:rFonts w:ascii="Caladea"/>
                <w:b/>
                <w:w w:val="105"/>
                <w:sz w:val="15"/>
              </w:rPr>
              <w:t>Receitas (Despesas) Financeiras</w:t>
            </w:r>
          </w:p>
        </w:tc>
        <w:tc>
          <w:tcPr>
            <w:tcW w:w="814" w:type="dxa"/>
          </w:tcPr>
          <w:p>
            <w:pPr>
              <w:pStyle w:val="TableParagraph"/>
              <w:spacing w:line="159" w:lineRule="exact" w:before="54"/>
              <w:ind w:right="56"/>
              <w:jc w:val="right"/>
              <w:rPr>
                <w:sz w:val="15"/>
              </w:rPr>
            </w:pPr>
            <w:r>
              <w:rPr>
                <w:sz w:val="15"/>
              </w:rPr>
              <w:t>30.5</w:t>
            </w:r>
          </w:p>
        </w:tc>
        <w:tc>
          <w:tcPr>
            <w:tcW w:w="1258" w:type="dxa"/>
            <w:tcBorders>
              <w:top w:val="single" w:sz="6" w:space="0" w:color="000000"/>
              <w:bottom w:val="single" w:sz="6" w:space="0" w:color="000000"/>
            </w:tcBorders>
          </w:tcPr>
          <w:p>
            <w:pPr>
              <w:pStyle w:val="TableParagraph"/>
              <w:spacing w:line="160" w:lineRule="exact" w:before="52"/>
              <w:ind w:right="174"/>
              <w:jc w:val="right"/>
              <w:rPr>
                <w:rFonts w:ascii="Caladea"/>
                <w:b/>
                <w:sz w:val="15"/>
              </w:rPr>
            </w:pPr>
            <w:r>
              <w:rPr>
                <w:rFonts w:ascii="Caladea"/>
                <w:b/>
                <w:sz w:val="15"/>
              </w:rPr>
              <w:t>11.583</w:t>
            </w:r>
          </w:p>
        </w:tc>
        <w:tc>
          <w:tcPr>
            <w:tcW w:w="1195" w:type="dxa"/>
            <w:tcBorders>
              <w:top w:val="single" w:sz="6" w:space="0" w:color="000000"/>
              <w:bottom w:val="single" w:sz="6" w:space="0" w:color="000000"/>
            </w:tcBorders>
          </w:tcPr>
          <w:p>
            <w:pPr>
              <w:pStyle w:val="TableParagraph"/>
              <w:spacing w:line="160" w:lineRule="exact" w:before="52"/>
              <w:ind w:right="104"/>
              <w:jc w:val="right"/>
              <w:rPr>
                <w:rFonts w:ascii="Caladea"/>
                <w:b/>
                <w:sz w:val="15"/>
              </w:rPr>
            </w:pPr>
            <w:r>
              <w:rPr>
                <w:rFonts w:ascii="Caladea"/>
                <w:b/>
                <w:sz w:val="15"/>
              </w:rPr>
              <w:t>1.220</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0" w:lineRule="exact" w:before="52"/>
              <w:ind w:right="128"/>
              <w:jc w:val="right"/>
              <w:rPr>
                <w:rFonts w:ascii="Caladea"/>
                <w:b/>
                <w:sz w:val="15"/>
              </w:rPr>
            </w:pPr>
            <w:r>
              <w:rPr>
                <w:rFonts w:ascii="Caladea"/>
                <w:b/>
                <w:sz w:val="15"/>
              </w:rPr>
              <w:t>(47.367)</w:t>
            </w:r>
          </w:p>
        </w:tc>
        <w:tc>
          <w:tcPr>
            <w:tcW w:w="1221" w:type="dxa"/>
            <w:tcBorders>
              <w:top w:val="single" w:sz="6" w:space="0" w:color="000000"/>
              <w:bottom w:val="single" w:sz="6" w:space="0" w:color="000000"/>
            </w:tcBorders>
          </w:tcPr>
          <w:p>
            <w:pPr>
              <w:pStyle w:val="TableParagraph"/>
              <w:spacing w:line="160" w:lineRule="exact" w:before="52"/>
              <w:ind w:right="45"/>
              <w:jc w:val="right"/>
              <w:rPr>
                <w:rFonts w:ascii="Caladea"/>
                <w:b/>
                <w:sz w:val="15"/>
              </w:rPr>
            </w:pPr>
            <w:r>
              <w:rPr>
                <w:rFonts w:ascii="Caladea"/>
                <w:b/>
                <w:sz w:val="15"/>
              </w:rPr>
              <w:t>(113.051)</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61" w:hRule="atLeast"/>
        </w:trPr>
        <w:tc>
          <w:tcPr>
            <w:tcW w:w="4035" w:type="dxa"/>
          </w:tcPr>
          <w:p>
            <w:pPr>
              <w:pStyle w:val="TableParagraph"/>
              <w:spacing w:before="53"/>
              <w:ind w:left="50"/>
              <w:rPr>
                <w:sz w:val="15"/>
              </w:rPr>
            </w:pPr>
            <w:r>
              <w:rPr>
                <w:sz w:val="15"/>
              </w:rPr>
              <w:t>Receitas Financeiras</w:t>
            </w:r>
          </w:p>
        </w:tc>
        <w:tc>
          <w:tcPr>
            <w:tcW w:w="814" w:type="dxa"/>
          </w:tcPr>
          <w:p>
            <w:pPr>
              <w:pStyle w:val="TableParagraph"/>
              <w:rPr>
                <w:rFonts w:ascii="Times New Roman"/>
                <w:sz w:val="14"/>
              </w:rPr>
            </w:pPr>
          </w:p>
        </w:tc>
        <w:tc>
          <w:tcPr>
            <w:tcW w:w="1258" w:type="dxa"/>
            <w:tcBorders>
              <w:top w:val="single" w:sz="6" w:space="0" w:color="000000"/>
            </w:tcBorders>
          </w:tcPr>
          <w:p>
            <w:pPr>
              <w:pStyle w:val="TableParagraph"/>
              <w:spacing w:before="53"/>
              <w:ind w:right="180"/>
              <w:jc w:val="right"/>
              <w:rPr>
                <w:sz w:val="15"/>
              </w:rPr>
            </w:pPr>
            <w:r>
              <w:rPr>
                <w:sz w:val="15"/>
              </w:rPr>
              <w:t>15.279</w:t>
            </w:r>
          </w:p>
        </w:tc>
        <w:tc>
          <w:tcPr>
            <w:tcW w:w="1195" w:type="dxa"/>
            <w:tcBorders>
              <w:top w:val="single" w:sz="6" w:space="0" w:color="000000"/>
            </w:tcBorders>
          </w:tcPr>
          <w:p>
            <w:pPr>
              <w:pStyle w:val="TableParagraph"/>
              <w:spacing w:before="53"/>
              <w:ind w:right="111"/>
              <w:jc w:val="right"/>
              <w:rPr>
                <w:sz w:val="15"/>
              </w:rPr>
            </w:pPr>
            <w:r>
              <w:rPr>
                <w:sz w:val="15"/>
              </w:rPr>
              <w:t>1.444</w:t>
            </w:r>
          </w:p>
        </w:tc>
        <w:tc>
          <w:tcPr>
            <w:tcW w:w="92" w:type="dxa"/>
            <w:tcBorders>
              <w:top w:val="single" w:sz="6" w:space="0" w:color="000000"/>
            </w:tcBorders>
          </w:tcPr>
          <w:p>
            <w:pPr>
              <w:pStyle w:val="TableParagraph"/>
              <w:rPr>
                <w:rFonts w:ascii="Times New Roman"/>
                <w:sz w:val="14"/>
              </w:rPr>
            </w:pPr>
          </w:p>
        </w:tc>
        <w:tc>
          <w:tcPr>
            <w:tcW w:w="1271" w:type="dxa"/>
            <w:tcBorders>
              <w:top w:val="single" w:sz="6" w:space="0" w:color="000000"/>
            </w:tcBorders>
          </w:tcPr>
          <w:p>
            <w:pPr>
              <w:pStyle w:val="TableParagraph"/>
              <w:spacing w:before="53"/>
              <w:ind w:left="504"/>
              <w:rPr>
                <w:sz w:val="15"/>
              </w:rPr>
            </w:pPr>
            <w:r>
              <w:rPr>
                <w:w w:val="105"/>
                <w:sz w:val="15"/>
              </w:rPr>
              <w:t>104.514</w:t>
            </w:r>
          </w:p>
        </w:tc>
        <w:tc>
          <w:tcPr>
            <w:tcW w:w="1221" w:type="dxa"/>
            <w:tcBorders>
              <w:top w:val="single" w:sz="6" w:space="0" w:color="000000"/>
            </w:tcBorders>
          </w:tcPr>
          <w:p>
            <w:pPr>
              <w:pStyle w:val="TableParagraph"/>
              <w:spacing w:before="53"/>
              <w:ind w:right="114"/>
              <w:jc w:val="right"/>
              <w:rPr>
                <w:sz w:val="15"/>
              </w:rPr>
            </w:pPr>
            <w:r>
              <w:rPr>
                <w:sz w:val="15"/>
              </w:rPr>
              <w:t>91.931</w:t>
            </w:r>
          </w:p>
        </w:tc>
        <w:tc>
          <w:tcPr>
            <w:tcW w:w="53" w:type="dxa"/>
            <w:tcBorders>
              <w:top w:val="single" w:sz="6" w:space="0" w:color="000000"/>
            </w:tcBorders>
          </w:tcPr>
          <w:p>
            <w:pPr>
              <w:pStyle w:val="TableParagraph"/>
              <w:rPr>
                <w:rFonts w:ascii="Times New Roman"/>
                <w:sz w:val="14"/>
              </w:rPr>
            </w:pPr>
          </w:p>
        </w:tc>
      </w:tr>
      <w:tr>
        <w:trPr>
          <w:trHeight w:val="247" w:hRule="atLeast"/>
        </w:trPr>
        <w:tc>
          <w:tcPr>
            <w:tcW w:w="4035" w:type="dxa"/>
          </w:tcPr>
          <w:p>
            <w:pPr>
              <w:pStyle w:val="TableParagraph"/>
              <w:spacing w:before="40"/>
              <w:ind w:left="50"/>
              <w:rPr>
                <w:sz w:val="15"/>
              </w:rPr>
            </w:pPr>
            <w:r>
              <w:rPr>
                <w:w w:val="105"/>
                <w:sz w:val="15"/>
              </w:rPr>
              <w:t>Despesas Financeiras</w:t>
            </w:r>
          </w:p>
        </w:tc>
        <w:tc>
          <w:tcPr>
            <w:tcW w:w="814" w:type="dxa"/>
          </w:tcPr>
          <w:p>
            <w:pPr>
              <w:pStyle w:val="TableParagraph"/>
              <w:rPr>
                <w:rFonts w:ascii="Times New Roman"/>
                <w:sz w:val="14"/>
              </w:rPr>
            </w:pPr>
          </w:p>
        </w:tc>
        <w:tc>
          <w:tcPr>
            <w:tcW w:w="1258" w:type="dxa"/>
          </w:tcPr>
          <w:p>
            <w:pPr>
              <w:pStyle w:val="TableParagraph"/>
              <w:spacing w:before="40"/>
              <w:ind w:right="116"/>
              <w:jc w:val="right"/>
              <w:rPr>
                <w:sz w:val="15"/>
              </w:rPr>
            </w:pPr>
            <w:r>
              <w:rPr>
                <w:sz w:val="15"/>
              </w:rPr>
              <w:t>(3.696)</w:t>
            </w:r>
          </w:p>
        </w:tc>
        <w:tc>
          <w:tcPr>
            <w:tcW w:w="1195" w:type="dxa"/>
          </w:tcPr>
          <w:p>
            <w:pPr>
              <w:pStyle w:val="TableParagraph"/>
              <w:spacing w:before="40"/>
              <w:ind w:right="46"/>
              <w:jc w:val="right"/>
              <w:rPr>
                <w:sz w:val="15"/>
              </w:rPr>
            </w:pPr>
            <w:r>
              <w:rPr>
                <w:w w:val="110"/>
                <w:sz w:val="15"/>
              </w:rPr>
              <w:t>(224)</w:t>
            </w:r>
          </w:p>
        </w:tc>
        <w:tc>
          <w:tcPr>
            <w:tcW w:w="92" w:type="dxa"/>
          </w:tcPr>
          <w:p>
            <w:pPr>
              <w:pStyle w:val="TableParagraph"/>
              <w:rPr>
                <w:rFonts w:ascii="Times New Roman"/>
                <w:sz w:val="14"/>
              </w:rPr>
            </w:pPr>
          </w:p>
        </w:tc>
        <w:tc>
          <w:tcPr>
            <w:tcW w:w="1271" w:type="dxa"/>
          </w:tcPr>
          <w:p>
            <w:pPr>
              <w:pStyle w:val="TableParagraph"/>
              <w:spacing w:before="40"/>
              <w:ind w:right="133"/>
              <w:jc w:val="right"/>
              <w:rPr>
                <w:sz w:val="15"/>
              </w:rPr>
            </w:pPr>
            <w:r>
              <w:rPr>
                <w:w w:val="105"/>
                <w:sz w:val="15"/>
              </w:rPr>
              <w:t>(150.667)</w:t>
            </w:r>
          </w:p>
        </w:tc>
        <w:tc>
          <w:tcPr>
            <w:tcW w:w="1221" w:type="dxa"/>
          </w:tcPr>
          <w:p>
            <w:pPr>
              <w:pStyle w:val="TableParagraph"/>
              <w:spacing w:before="40"/>
              <w:ind w:right="50"/>
              <w:jc w:val="right"/>
              <w:rPr>
                <w:sz w:val="15"/>
              </w:rPr>
            </w:pPr>
            <w:r>
              <w:rPr>
                <w:w w:val="105"/>
                <w:sz w:val="15"/>
              </w:rPr>
              <w:t>(200.759)</w:t>
            </w:r>
          </w:p>
        </w:tc>
        <w:tc>
          <w:tcPr>
            <w:tcW w:w="53" w:type="dxa"/>
          </w:tcPr>
          <w:p>
            <w:pPr>
              <w:pStyle w:val="TableParagraph"/>
              <w:rPr>
                <w:rFonts w:ascii="Times New Roman"/>
                <w:sz w:val="14"/>
              </w:rPr>
            </w:pPr>
          </w:p>
        </w:tc>
      </w:tr>
      <w:tr>
        <w:trPr>
          <w:trHeight w:val="466" w:hRule="atLeast"/>
        </w:trPr>
        <w:tc>
          <w:tcPr>
            <w:tcW w:w="4035" w:type="dxa"/>
          </w:tcPr>
          <w:p>
            <w:pPr>
              <w:pStyle w:val="TableParagraph"/>
              <w:spacing w:before="40"/>
              <w:ind w:left="50"/>
              <w:rPr>
                <w:sz w:val="15"/>
              </w:rPr>
            </w:pPr>
            <w:r>
              <w:rPr>
                <w:sz w:val="15"/>
              </w:rPr>
              <w:t>Variação Cambial</w:t>
            </w:r>
          </w:p>
        </w:tc>
        <w:tc>
          <w:tcPr>
            <w:tcW w:w="814" w:type="dxa"/>
          </w:tcPr>
          <w:p>
            <w:pPr>
              <w:pStyle w:val="TableParagraph"/>
              <w:rPr>
                <w:rFonts w:ascii="Times New Roman"/>
                <w:sz w:val="14"/>
              </w:rPr>
            </w:pPr>
          </w:p>
        </w:tc>
        <w:tc>
          <w:tcPr>
            <w:tcW w:w="1258" w:type="dxa"/>
            <w:tcBorders>
              <w:bottom w:val="single" w:sz="6" w:space="0" w:color="000000"/>
            </w:tcBorders>
          </w:tcPr>
          <w:p>
            <w:pPr>
              <w:pStyle w:val="TableParagraph"/>
              <w:rPr>
                <w:rFonts w:ascii="Times New Roman"/>
                <w:sz w:val="14"/>
              </w:rPr>
            </w:pPr>
          </w:p>
        </w:tc>
        <w:tc>
          <w:tcPr>
            <w:tcW w:w="1195" w:type="dxa"/>
            <w:tcBorders>
              <w:bottom w:val="single" w:sz="6" w:space="0" w:color="000000"/>
            </w:tcBorders>
          </w:tcPr>
          <w:p>
            <w:pPr>
              <w:pStyle w:val="TableParagraph"/>
              <w:rPr>
                <w:rFonts w:ascii="Times New Roman"/>
                <w:sz w:val="14"/>
              </w:rPr>
            </w:pPr>
          </w:p>
        </w:tc>
        <w:tc>
          <w:tcPr>
            <w:tcW w:w="92" w:type="dxa"/>
            <w:tcBorders>
              <w:bottom w:val="single" w:sz="6" w:space="0" w:color="000000"/>
            </w:tcBorders>
          </w:tcPr>
          <w:p>
            <w:pPr>
              <w:pStyle w:val="TableParagraph"/>
              <w:rPr>
                <w:rFonts w:ascii="Times New Roman"/>
                <w:sz w:val="14"/>
              </w:rPr>
            </w:pPr>
          </w:p>
        </w:tc>
        <w:tc>
          <w:tcPr>
            <w:tcW w:w="1271" w:type="dxa"/>
            <w:tcBorders>
              <w:bottom w:val="single" w:sz="6" w:space="0" w:color="000000"/>
            </w:tcBorders>
          </w:tcPr>
          <w:p>
            <w:pPr>
              <w:pStyle w:val="TableParagraph"/>
              <w:spacing w:before="40"/>
              <w:ind w:right="132"/>
              <w:jc w:val="right"/>
              <w:rPr>
                <w:sz w:val="15"/>
              </w:rPr>
            </w:pPr>
            <w:r>
              <w:rPr>
                <w:sz w:val="15"/>
              </w:rPr>
              <w:t>(1.214)</w:t>
            </w:r>
          </w:p>
        </w:tc>
        <w:tc>
          <w:tcPr>
            <w:tcW w:w="1221" w:type="dxa"/>
            <w:tcBorders>
              <w:bottom w:val="single" w:sz="6" w:space="0" w:color="000000"/>
            </w:tcBorders>
          </w:tcPr>
          <w:p>
            <w:pPr>
              <w:pStyle w:val="TableParagraph"/>
              <w:spacing w:before="40"/>
              <w:ind w:right="50"/>
              <w:jc w:val="right"/>
              <w:rPr>
                <w:sz w:val="15"/>
              </w:rPr>
            </w:pPr>
            <w:r>
              <w:rPr>
                <w:sz w:val="15"/>
              </w:rPr>
              <w:t>(4.223)</w:t>
            </w:r>
          </w:p>
        </w:tc>
        <w:tc>
          <w:tcPr>
            <w:tcW w:w="53" w:type="dxa"/>
            <w:tcBorders>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spacing w:line="161" w:lineRule="exact" w:before="51"/>
              <w:ind w:left="50"/>
              <w:rPr>
                <w:rFonts w:ascii="Caladea"/>
                <w:b/>
                <w:sz w:val="15"/>
              </w:rPr>
            </w:pPr>
            <w:r>
              <w:rPr>
                <w:rFonts w:ascii="Caladea"/>
                <w:b/>
                <w:w w:val="105"/>
                <w:sz w:val="15"/>
              </w:rPr>
              <w:t>Lucro Operacional antes dos Tributos</w:t>
            </w: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spacing w:line="161" w:lineRule="exact" w:before="51"/>
              <w:ind w:right="174"/>
              <w:jc w:val="right"/>
              <w:rPr>
                <w:rFonts w:ascii="Caladea"/>
                <w:b/>
                <w:sz w:val="15"/>
              </w:rPr>
            </w:pPr>
            <w:r>
              <w:rPr>
                <w:rFonts w:ascii="Caladea"/>
                <w:b/>
                <w:w w:val="105"/>
                <w:sz w:val="15"/>
              </w:rPr>
              <w:t>122.154</w:t>
            </w:r>
          </w:p>
        </w:tc>
        <w:tc>
          <w:tcPr>
            <w:tcW w:w="1195" w:type="dxa"/>
            <w:tcBorders>
              <w:top w:val="single" w:sz="6" w:space="0" w:color="000000"/>
              <w:bottom w:val="single" w:sz="6" w:space="0" w:color="000000"/>
            </w:tcBorders>
          </w:tcPr>
          <w:p>
            <w:pPr>
              <w:pStyle w:val="TableParagraph"/>
              <w:spacing w:line="161" w:lineRule="exact" w:before="51"/>
              <w:ind w:right="105"/>
              <w:jc w:val="right"/>
              <w:rPr>
                <w:rFonts w:ascii="Caladea"/>
                <w:b/>
                <w:sz w:val="15"/>
              </w:rPr>
            </w:pPr>
            <w:r>
              <w:rPr>
                <w:rFonts w:ascii="Caladea"/>
                <w:b/>
                <w:sz w:val="15"/>
              </w:rPr>
              <w:t>93.643</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1" w:lineRule="exact" w:before="51"/>
              <w:ind w:left="491"/>
              <w:rPr>
                <w:rFonts w:ascii="Caladea"/>
                <w:b/>
                <w:sz w:val="15"/>
              </w:rPr>
            </w:pPr>
            <w:r>
              <w:rPr>
                <w:rFonts w:ascii="Caladea"/>
                <w:b/>
                <w:w w:val="105"/>
                <w:sz w:val="15"/>
              </w:rPr>
              <w:t>205.909</w:t>
            </w:r>
          </w:p>
        </w:tc>
        <w:tc>
          <w:tcPr>
            <w:tcW w:w="1221" w:type="dxa"/>
            <w:tcBorders>
              <w:top w:val="single" w:sz="6" w:space="0" w:color="000000"/>
              <w:bottom w:val="single" w:sz="6" w:space="0" w:color="000000"/>
            </w:tcBorders>
          </w:tcPr>
          <w:p>
            <w:pPr>
              <w:pStyle w:val="TableParagraph"/>
              <w:spacing w:line="161" w:lineRule="exact" w:before="51"/>
              <w:ind w:right="107"/>
              <w:jc w:val="right"/>
              <w:rPr>
                <w:rFonts w:ascii="Caladea"/>
                <w:b/>
                <w:sz w:val="15"/>
              </w:rPr>
            </w:pPr>
            <w:r>
              <w:rPr>
                <w:rFonts w:ascii="Caladea"/>
                <w:b/>
                <w:w w:val="105"/>
                <w:sz w:val="15"/>
              </w:rPr>
              <w:t>123.305</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rPr>
                <w:rFonts w:ascii="Times New Roman"/>
                <w:sz w:val="14"/>
              </w:rPr>
            </w:pPr>
          </w:p>
        </w:tc>
        <w:tc>
          <w:tcPr>
            <w:tcW w:w="814" w:type="dxa"/>
          </w:tcPr>
          <w:p>
            <w:pPr>
              <w:pStyle w:val="TableParagraph"/>
              <w:rPr>
                <w:rFonts w:ascii="Times New Roman"/>
                <w:sz w:val="14"/>
              </w:rPr>
            </w:pPr>
          </w:p>
        </w:tc>
        <w:tc>
          <w:tcPr>
            <w:tcW w:w="1258" w:type="dxa"/>
            <w:tcBorders>
              <w:top w:val="single" w:sz="6" w:space="0" w:color="000000"/>
              <w:bottom w:val="single" w:sz="6" w:space="0" w:color="000000"/>
            </w:tcBorders>
          </w:tcPr>
          <w:p>
            <w:pPr>
              <w:pStyle w:val="TableParagraph"/>
              <w:rPr>
                <w:rFonts w:ascii="Times New Roman"/>
                <w:sz w:val="14"/>
              </w:rPr>
            </w:pPr>
          </w:p>
        </w:tc>
        <w:tc>
          <w:tcPr>
            <w:tcW w:w="1195" w:type="dxa"/>
            <w:tcBorders>
              <w:top w:val="single" w:sz="6" w:space="0" w:color="000000"/>
              <w:bottom w:val="single" w:sz="6" w:space="0" w:color="000000"/>
            </w:tcBorders>
          </w:tcPr>
          <w:p>
            <w:pPr>
              <w:pStyle w:val="TableParagraph"/>
              <w:rPr>
                <w:rFonts w:ascii="Times New Roman"/>
                <w:sz w:val="14"/>
              </w:rPr>
            </w:pP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rPr>
                <w:rFonts w:ascii="Times New Roman"/>
                <w:sz w:val="14"/>
              </w:rPr>
            </w:pPr>
          </w:p>
        </w:tc>
        <w:tc>
          <w:tcPr>
            <w:tcW w:w="1221" w:type="dxa"/>
            <w:tcBorders>
              <w:top w:val="single" w:sz="6" w:space="0" w:color="000000"/>
              <w:bottom w:val="single" w:sz="6" w:space="0" w:color="000000"/>
            </w:tcBorders>
          </w:tcPr>
          <w:p>
            <w:pPr>
              <w:pStyle w:val="TableParagraph"/>
              <w:rPr>
                <w:rFonts w:ascii="Times New Roman"/>
                <w:sz w:val="14"/>
              </w:rPr>
            </w:pP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32" w:hRule="atLeast"/>
        </w:trPr>
        <w:tc>
          <w:tcPr>
            <w:tcW w:w="4035" w:type="dxa"/>
          </w:tcPr>
          <w:p>
            <w:pPr>
              <w:pStyle w:val="TableParagraph"/>
              <w:spacing w:line="161" w:lineRule="exact" w:before="52"/>
              <w:ind w:left="50"/>
              <w:rPr>
                <w:rFonts w:ascii="Caladea" w:hAnsi="Caladea"/>
                <w:b/>
                <w:sz w:val="15"/>
              </w:rPr>
            </w:pPr>
            <w:r>
              <w:rPr>
                <w:rFonts w:ascii="Caladea" w:hAnsi="Caladea"/>
                <w:b/>
                <w:w w:val="105"/>
                <w:sz w:val="15"/>
              </w:rPr>
              <w:t>Imposto de Renda e Contribuição Social</w:t>
            </w:r>
          </w:p>
        </w:tc>
        <w:tc>
          <w:tcPr>
            <w:tcW w:w="814" w:type="dxa"/>
          </w:tcPr>
          <w:p>
            <w:pPr>
              <w:pStyle w:val="TableParagraph"/>
              <w:spacing w:line="159" w:lineRule="exact" w:before="53"/>
              <w:ind w:right="103"/>
              <w:jc w:val="right"/>
              <w:rPr>
                <w:sz w:val="15"/>
              </w:rPr>
            </w:pPr>
            <w:r>
              <w:rPr>
                <w:w w:val="110"/>
                <w:sz w:val="15"/>
              </w:rPr>
              <w:t>18</w:t>
            </w:r>
          </w:p>
        </w:tc>
        <w:tc>
          <w:tcPr>
            <w:tcW w:w="1258" w:type="dxa"/>
            <w:tcBorders>
              <w:top w:val="single" w:sz="6" w:space="0" w:color="000000"/>
              <w:bottom w:val="single" w:sz="6" w:space="0" w:color="000000"/>
            </w:tcBorders>
          </w:tcPr>
          <w:p>
            <w:pPr>
              <w:pStyle w:val="TableParagraph"/>
              <w:spacing w:line="161" w:lineRule="exact" w:before="52"/>
              <w:ind w:right="112"/>
              <w:jc w:val="right"/>
              <w:rPr>
                <w:rFonts w:ascii="Caladea"/>
                <w:b/>
                <w:sz w:val="15"/>
              </w:rPr>
            </w:pPr>
            <w:r>
              <w:rPr>
                <w:rFonts w:ascii="Caladea"/>
                <w:b/>
                <w:sz w:val="15"/>
              </w:rPr>
              <w:t>(3.109)</w:t>
            </w:r>
          </w:p>
        </w:tc>
        <w:tc>
          <w:tcPr>
            <w:tcW w:w="1195" w:type="dxa"/>
            <w:tcBorders>
              <w:top w:val="single" w:sz="6" w:space="0" w:color="000000"/>
              <w:bottom w:val="single" w:sz="6" w:space="0" w:color="000000"/>
            </w:tcBorders>
          </w:tcPr>
          <w:p>
            <w:pPr>
              <w:pStyle w:val="TableParagraph"/>
              <w:spacing w:line="161" w:lineRule="exact" w:before="52"/>
              <w:ind w:right="42"/>
              <w:jc w:val="right"/>
              <w:rPr>
                <w:rFonts w:ascii="Caladea"/>
                <w:b/>
                <w:sz w:val="15"/>
              </w:rPr>
            </w:pPr>
            <w:r>
              <w:rPr>
                <w:rFonts w:ascii="Caladea"/>
                <w:b/>
                <w:sz w:val="15"/>
              </w:rPr>
              <w:t>(3.671)</w:t>
            </w:r>
          </w:p>
        </w:tc>
        <w:tc>
          <w:tcPr>
            <w:tcW w:w="92" w:type="dxa"/>
            <w:tcBorders>
              <w:top w:val="single" w:sz="6" w:space="0" w:color="000000"/>
              <w:bottom w:val="single" w:sz="6" w:space="0" w:color="000000"/>
            </w:tcBorders>
          </w:tcPr>
          <w:p>
            <w:pPr>
              <w:pStyle w:val="TableParagraph"/>
              <w:rPr>
                <w:rFonts w:ascii="Times New Roman"/>
                <w:sz w:val="14"/>
              </w:rPr>
            </w:pPr>
          </w:p>
        </w:tc>
        <w:tc>
          <w:tcPr>
            <w:tcW w:w="1271" w:type="dxa"/>
            <w:tcBorders>
              <w:top w:val="single" w:sz="6" w:space="0" w:color="000000"/>
              <w:bottom w:val="single" w:sz="6" w:space="0" w:color="000000"/>
            </w:tcBorders>
          </w:tcPr>
          <w:p>
            <w:pPr>
              <w:pStyle w:val="TableParagraph"/>
              <w:spacing w:line="161" w:lineRule="exact" w:before="52"/>
              <w:ind w:right="128"/>
              <w:jc w:val="right"/>
              <w:rPr>
                <w:rFonts w:ascii="Caladea"/>
                <w:b/>
                <w:sz w:val="15"/>
              </w:rPr>
            </w:pPr>
            <w:r>
              <w:rPr>
                <w:rFonts w:ascii="Caladea"/>
                <w:b/>
                <w:sz w:val="15"/>
              </w:rPr>
              <w:t>(49.280)</w:t>
            </w:r>
          </w:p>
        </w:tc>
        <w:tc>
          <w:tcPr>
            <w:tcW w:w="1221" w:type="dxa"/>
            <w:tcBorders>
              <w:top w:val="single" w:sz="6" w:space="0" w:color="000000"/>
              <w:bottom w:val="single" w:sz="6" w:space="0" w:color="000000"/>
            </w:tcBorders>
          </w:tcPr>
          <w:p>
            <w:pPr>
              <w:pStyle w:val="TableParagraph"/>
              <w:spacing w:line="161" w:lineRule="exact" w:before="52"/>
              <w:ind w:right="45"/>
              <w:jc w:val="right"/>
              <w:rPr>
                <w:rFonts w:ascii="Caladea"/>
                <w:b/>
                <w:sz w:val="15"/>
              </w:rPr>
            </w:pPr>
            <w:r>
              <w:rPr>
                <w:rFonts w:ascii="Caladea"/>
                <w:b/>
                <w:sz w:val="15"/>
              </w:rPr>
              <w:t>(7.595)</w:t>
            </w:r>
          </w:p>
        </w:tc>
        <w:tc>
          <w:tcPr>
            <w:tcW w:w="53" w:type="dxa"/>
            <w:tcBorders>
              <w:top w:val="single" w:sz="6" w:space="0" w:color="000000"/>
              <w:bottom w:val="single" w:sz="6" w:space="0" w:color="000000"/>
            </w:tcBorders>
          </w:tcPr>
          <w:p>
            <w:pPr>
              <w:pStyle w:val="TableParagraph"/>
              <w:rPr>
                <w:rFonts w:ascii="Times New Roman"/>
                <w:sz w:val="14"/>
              </w:rPr>
            </w:pPr>
          </w:p>
        </w:tc>
      </w:tr>
      <w:tr>
        <w:trPr>
          <w:trHeight w:val="261" w:hRule="atLeast"/>
        </w:trPr>
        <w:tc>
          <w:tcPr>
            <w:tcW w:w="4035" w:type="dxa"/>
          </w:tcPr>
          <w:p>
            <w:pPr>
              <w:pStyle w:val="TableParagraph"/>
              <w:spacing w:before="54"/>
              <w:ind w:left="50"/>
              <w:rPr>
                <w:sz w:val="15"/>
              </w:rPr>
            </w:pPr>
            <w:r>
              <w:rPr>
                <w:sz w:val="15"/>
              </w:rPr>
              <w:t>Imposto de Renda e Contribuição Social - Corrente</w:t>
            </w:r>
          </w:p>
        </w:tc>
        <w:tc>
          <w:tcPr>
            <w:tcW w:w="814" w:type="dxa"/>
          </w:tcPr>
          <w:p>
            <w:pPr>
              <w:pStyle w:val="TableParagraph"/>
              <w:rPr>
                <w:rFonts w:ascii="Times New Roman"/>
                <w:sz w:val="14"/>
              </w:rPr>
            </w:pPr>
          </w:p>
        </w:tc>
        <w:tc>
          <w:tcPr>
            <w:tcW w:w="1258" w:type="dxa"/>
            <w:tcBorders>
              <w:top w:val="single" w:sz="6" w:space="0" w:color="000000"/>
            </w:tcBorders>
          </w:tcPr>
          <w:p>
            <w:pPr>
              <w:pStyle w:val="TableParagraph"/>
              <w:spacing w:before="54"/>
              <w:ind w:right="116"/>
              <w:jc w:val="right"/>
              <w:rPr>
                <w:sz w:val="15"/>
              </w:rPr>
            </w:pPr>
            <w:r>
              <w:rPr>
                <w:sz w:val="15"/>
              </w:rPr>
              <w:t>(2.252)</w:t>
            </w:r>
          </w:p>
        </w:tc>
        <w:tc>
          <w:tcPr>
            <w:tcW w:w="1195" w:type="dxa"/>
            <w:tcBorders>
              <w:top w:val="single" w:sz="6" w:space="0" w:color="000000"/>
            </w:tcBorders>
          </w:tcPr>
          <w:p>
            <w:pPr>
              <w:pStyle w:val="TableParagraph"/>
              <w:spacing w:before="54"/>
              <w:ind w:right="47"/>
              <w:jc w:val="right"/>
              <w:rPr>
                <w:sz w:val="15"/>
              </w:rPr>
            </w:pPr>
            <w:r>
              <w:rPr>
                <w:sz w:val="15"/>
              </w:rPr>
              <w:t>(2.376)</w:t>
            </w:r>
          </w:p>
        </w:tc>
        <w:tc>
          <w:tcPr>
            <w:tcW w:w="92" w:type="dxa"/>
            <w:tcBorders>
              <w:top w:val="single" w:sz="6" w:space="0" w:color="000000"/>
            </w:tcBorders>
          </w:tcPr>
          <w:p>
            <w:pPr>
              <w:pStyle w:val="TableParagraph"/>
              <w:rPr>
                <w:rFonts w:ascii="Times New Roman"/>
                <w:sz w:val="14"/>
              </w:rPr>
            </w:pPr>
          </w:p>
        </w:tc>
        <w:tc>
          <w:tcPr>
            <w:tcW w:w="1271" w:type="dxa"/>
            <w:tcBorders>
              <w:top w:val="single" w:sz="6" w:space="0" w:color="000000"/>
            </w:tcBorders>
          </w:tcPr>
          <w:p>
            <w:pPr>
              <w:pStyle w:val="TableParagraph"/>
              <w:spacing w:before="54"/>
              <w:ind w:right="133"/>
              <w:jc w:val="right"/>
              <w:rPr>
                <w:sz w:val="15"/>
              </w:rPr>
            </w:pPr>
            <w:r>
              <w:rPr>
                <w:w w:val="105"/>
                <w:sz w:val="15"/>
              </w:rPr>
              <w:t>(126.221)</w:t>
            </w:r>
          </w:p>
        </w:tc>
        <w:tc>
          <w:tcPr>
            <w:tcW w:w="1221" w:type="dxa"/>
            <w:tcBorders>
              <w:top w:val="single" w:sz="6" w:space="0" w:color="000000"/>
            </w:tcBorders>
          </w:tcPr>
          <w:p>
            <w:pPr>
              <w:pStyle w:val="TableParagraph"/>
              <w:spacing w:before="54"/>
              <w:ind w:right="50"/>
              <w:jc w:val="right"/>
              <w:rPr>
                <w:sz w:val="15"/>
              </w:rPr>
            </w:pPr>
            <w:r>
              <w:rPr>
                <w:w w:val="105"/>
                <w:sz w:val="15"/>
              </w:rPr>
              <w:t>(52.980)</w:t>
            </w:r>
          </w:p>
        </w:tc>
        <w:tc>
          <w:tcPr>
            <w:tcW w:w="53" w:type="dxa"/>
            <w:tcBorders>
              <w:top w:val="single" w:sz="6" w:space="0" w:color="000000"/>
            </w:tcBorders>
          </w:tcPr>
          <w:p>
            <w:pPr>
              <w:pStyle w:val="TableParagraph"/>
              <w:rPr>
                <w:rFonts w:ascii="Times New Roman"/>
                <w:sz w:val="14"/>
              </w:rPr>
            </w:pPr>
          </w:p>
        </w:tc>
      </w:tr>
      <w:tr>
        <w:trPr>
          <w:trHeight w:val="466" w:hRule="atLeast"/>
        </w:trPr>
        <w:tc>
          <w:tcPr>
            <w:tcW w:w="4035" w:type="dxa"/>
          </w:tcPr>
          <w:p>
            <w:pPr>
              <w:pStyle w:val="TableParagraph"/>
              <w:spacing w:before="39"/>
              <w:ind w:left="50"/>
              <w:rPr>
                <w:sz w:val="15"/>
              </w:rPr>
            </w:pPr>
            <w:r>
              <w:rPr>
                <w:sz w:val="15"/>
              </w:rPr>
              <w:t>Imposto de Renda e Contribuição Social - Diferido</w:t>
            </w:r>
          </w:p>
        </w:tc>
        <w:tc>
          <w:tcPr>
            <w:tcW w:w="814" w:type="dxa"/>
          </w:tcPr>
          <w:p>
            <w:pPr>
              <w:pStyle w:val="TableParagraph"/>
              <w:rPr>
                <w:rFonts w:ascii="Times New Roman"/>
                <w:sz w:val="14"/>
              </w:rPr>
            </w:pPr>
          </w:p>
        </w:tc>
        <w:tc>
          <w:tcPr>
            <w:tcW w:w="1258" w:type="dxa"/>
            <w:tcBorders>
              <w:bottom w:val="single" w:sz="6" w:space="0" w:color="000000"/>
            </w:tcBorders>
          </w:tcPr>
          <w:p>
            <w:pPr>
              <w:pStyle w:val="TableParagraph"/>
              <w:spacing w:before="39"/>
              <w:ind w:right="116"/>
              <w:jc w:val="right"/>
              <w:rPr>
                <w:sz w:val="15"/>
              </w:rPr>
            </w:pPr>
            <w:r>
              <w:rPr>
                <w:w w:val="110"/>
                <w:sz w:val="15"/>
              </w:rPr>
              <w:t>(857)</w:t>
            </w:r>
          </w:p>
        </w:tc>
        <w:tc>
          <w:tcPr>
            <w:tcW w:w="1195" w:type="dxa"/>
            <w:tcBorders>
              <w:bottom w:val="single" w:sz="6" w:space="0" w:color="000000"/>
            </w:tcBorders>
          </w:tcPr>
          <w:p>
            <w:pPr>
              <w:pStyle w:val="TableParagraph"/>
              <w:spacing w:before="39"/>
              <w:ind w:right="47"/>
              <w:jc w:val="right"/>
              <w:rPr>
                <w:sz w:val="15"/>
              </w:rPr>
            </w:pPr>
            <w:r>
              <w:rPr>
                <w:sz w:val="15"/>
              </w:rPr>
              <w:t>(1.295)</w:t>
            </w:r>
          </w:p>
        </w:tc>
        <w:tc>
          <w:tcPr>
            <w:tcW w:w="92" w:type="dxa"/>
            <w:tcBorders>
              <w:bottom w:val="single" w:sz="6" w:space="0" w:color="000000"/>
            </w:tcBorders>
          </w:tcPr>
          <w:p>
            <w:pPr>
              <w:pStyle w:val="TableParagraph"/>
              <w:rPr>
                <w:rFonts w:ascii="Times New Roman"/>
                <w:sz w:val="14"/>
              </w:rPr>
            </w:pPr>
          </w:p>
        </w:tc>
        <w:tc>
          <w:tcPr>
            <w:tcW w:w="1271" w:type="dxa"/>
            <w:tcBorders>
              <w:bottom w:val="single" w:sz="6" w:space="0" w:color="000000"/>
            </w:tcBorders>
          </w:tcPr>
          <w:p>
            <w:pPr>
              <w:pStyle w:val="TableParagraph"/>
              <w:spacing w:before="39"/>
              <w:ind w:left="595"/>
              <w:rPr>
                <w:sz w:val="15"/>
              </w:rPr>
            </w:pPr>
            <w:r>
              <w:rPr>
                <w:sz w:val="15"/>
              </w:rPr>
              <w:t>76.941</w:t>
            </w:r>
          </w:p>
        </w:tc>
        <w:tc>
          <w:tcPr>
            <w:tcW w:w="1221" w:type="dxa"/>
            <w:tcBorders>
              <w:bottom w:val="single" w:sz="6" w:space="0" w:color="000000"/>
            </w:tcBorders>
          </w:tcPr>
          <w:p>
            <w:pPr>
              <w:pStyle w:val="TableParagraph"/>
              <w:spacing w:before="39"/>
              <w:ind w:right="114"/>
              <w:jc w:val="right"/>
              <w:rPr>
                <w:sz w:val="15"/>
              </w:rPr>
            </w:pPr>
            <w:r>
              <w:rPr>
                <w:sz w:val="15"/>
              </w:rPr>
              <w:t>45.385</w:t>
            </w:r>
          </w:p>
        </w:tc>
        <w:tc>
          <w:tcPr>
            <w:tcW w:w="53" w:type="dxa"/>
            <w:tcBorders>
              <w:bottom w:val="single" w:sz="6" w:space="0" w:color="000000"/>
            </w:tcBorders>
          </w:tcPr>
          <w:p>
            <w:pPr>
              <w:pStyle w:val="TableParagraph"/>
              <w:rPr>
                <w:rFonts w:ascii="Times New Roman"/>
                <w:sz w:val="14"/>
              </w:rPr>
            </w:pPr>
          </w:p>
        </w:tc>
      </w:tr>
      <w:tr>
        <w:trPr>
          <w:trHeight w:val="230" w:hRule="atLeast"/>
        </w:trPr>
        <w:tc>
          <w:tcPr>
            <w:tcW w:w="4035" w:type="dxa"/>
          </w:tcPr>
          <w:p>
            <w:pPr>
              <w:pStyle w:val="TableParagraph"/>
              <w:spacing w:line="159" w:lineRule="exact" w:before="52"/>
              <w:ind w:left="50"/>
              <w:rPr>
                <w:rFonts w:ascii="Caladea" w:hAnsi="Caladea"/>
                <w:b/>
                <w:sz w:val="15"/>
              </w:rPr>
            </w:pPr>
            <w:r>
              <w:rPr>
                <w:rFonts w:ascii="Caladea" w:hAnsi="Caladea"/>
                <w:b/>
                <w:w w:val="105"/>
                <w:sz w:val="15"/>
              </w:rPr>
              <w:t>Lucro do Exercício</w:t>
            </w:r>
          </w:p>
        </w:tc>
        <w:tc>
          <w:tcPr>
            <w:tcW w:w="814" w:type="dxa"/>
          </w:tcPr>
          <w:p>
            <w:pPr>
              <w:pStyle w:val="TableParagraph"/>
              <w:rPr>
                <w:rFonts w:ascii="Times New Roman"/>
                <w:sz w:val="14"/>
              </w:rPr>
            </w:pPr>
          </w:p>
        </w:tc>
        <w:tc>
          <w:tcPr>
            <w:tcW w:w="1258" w:type="dxa"/>
            <w:tcBorders>
              <w:top w:val="single" w:sz="6" w:space="0" w:color="000000"/>
              <w:bottom w:val="double" w:sz="2" w:space="0" w:color="000000"/>
            </w:tcBorders>
          </w:tcPr>
          <w:p>
            <w:pPr>
              <w:pStyle w:val="TableParagraph"/>
              <w:spacing w:line="159" w:lineRule="exact" w:before="52"/>
              <w:ind w:right="174"/>
              <w:jc w:val="right"/>
              <w:rPr>
                <w:rFonts w:ascii="Caladea"/>
                <w:b/>
                <w:sz w:val="15"/>
              </w:rPr>
            </w:pPr>
            <w:r>
              <w:rPr>
                <w:rFonts w:ascii="Caladea"/>
                <w:b/>
                <w:w w:val="105"/>
                <w:sz w:val="15"/>
              </w:rPr>
              <w:t>119.045</w:t>
            </w:r>
          </w:p>
        </w:tc>
        <w:tc>
          <w:tcPr>
            <w:tcW w:w="1195" w:type="dxa"/>
            <w:tcBorders>
              <w:top w:val="single" w:sz="6" w:space="0" w:color="000000"/>
              <w:bottom w:val="double" w:sz="2" w:space="0" w:color="000000"/>
            </w:tcBorders>
          </w:tcPr>
          <w:p>
            <w:pPr>
              <w:pStyle w:val="TableParagraph"/>
              <w:spacing w:line="159" w:lineRule="exact" w:before="52"/>
              <w:ind w:right="105"/>
              <w:jc w:val="right"/>
              <w:rPr>
                <w:rFonts w:ascii="Caladea"/>
                <w:b/>
                <w:sz w:val="15"/>
              </w:rPr>
            </w:pPr>
            <w:r>
              <w:rPr>
                <w:rFonts w:ascii="Caladea"/>
                <w:b/>
                <w:sz w:val="15"/>
              </w:rPr>
              <w:t>89.972</w:t>
            </w:r>
          </w:p>
        </w:tc>
        <w:tc>
          <w:tcPr>
            <w:tcW w:w="92" w:type="dxa"/>
            <w:tcBorders>
              <w:top w:val="single" w:sz="6" w:space="0" w:color="000000"/>
              <w:bottom w:val="double" w:sz="2" w:space="0" w:color="000000"/>
            </w:tcBorders>
          </w:tcPr>
          <w:p>
            <w:pPr>
              <w:pStyle w:val="TableParagraph"/>
              <w:rPr>
                <w:rFonts w:ascii="Times New Roman"/>
                <w:sz w:val="14"/>
              </w:rPr>
            </w:pPr>
          </w:p>
        </w:tc>
        <w:tc>
          <w:tcPr>
            <w:tcW w:w="1271" w:type="dxa"/>
            <w:tcBorders>
              <w:top w:val="single" w:sz="6" w:space="0" w:color="000000"/>
              <w:bottom w:val="double" w:sz="2" w:space="0" w:color="000000"/>
            </w:tcBorders>
          </w:tcPr>
          <w:p>
            <w:pPr>
              <w:pStyle w:val="TableParagraph"/>
              <w:spacing w:line="159" w:lineRule="exact" w:before="52"/>
              <w:ind w:left="491"/>
              <w:rPr>
                <w:rFonts w:ascii="Caladea"/>
                <w:b/>
                <w:sz w:val="15"/>
              </w:rPr>
            </w:pPr>
            <w:r>
              <w:rPr>
                <w:rFonts w:ascii="Caladea"/>
                <w:b/>
                <w:w w:val="105"/>
                <w:sz w:val="15"/>
              </w:rPr>
              <w:t>156.629</w:t>
            </w:r>
          </w:p>
        </w:tc>
        <w:tc>
          <w:tcPr>
            <w:tcW w:w="1221" w:type="dxa"/>
            <w:tcBorders>
              <w:top w:val="single" w:sz="6" w:space="0" w:color="000000"/>
              <w:bottom w:val="double" w:sz="2" w:space="0" w:color="000000"/>
            </w:tcBorders>
          </w:tcPr>
          <w:p>
            <w:pPr>
              <w:pStyle w:val="TableParagraph"/>
              <w:spacing w:line="159" w:lineRule="exact" w:before="52"/>
              <w:ind w:right="107"/>
              <w:jc w:val="right"/>
              <w:rPr>
                <w:rFonts w:ascii="Caladea"/>
                <w:b/>
                <w:sz w:val="15"/>
              </w:rPr>
            </w:pPr>
            <w:r>
              <w:rPr>
                <w:rFonts w:ascii="Caladea"/>
                <w:b/>
                <w:w w:val="105"/>
                <w:sz w:val="15"/>
              </w:rPr>
              <w:t>115.710</w:t>
            </w:r>
          </w:p>
        </w:tc>
        <w:tc>
          <w:tcPr>
            <w:tcW w:w="53" w:type="dxa"/>
            <w:tcBorders>
              <w:top w:val="single" w:sz="6" w:space="0" w:color="000000"/>
              <w:bottom w:val="double" w:sz="2" w:space="0" w:color="000000"/>
            </w:tcBorders>
          </w:tcPr>
          <w:p>
            <w:pPr>
              <w:pStyle w:val="TableParagraph"/>
              <w:rPr>
                <w:rFonts w:ascii="Times New Roman"/>
                <w:sz w:val="14"/>
              </w:rPr>
            </w:pPr>
          </w:p>
        </w:tc>
      </w:tr>
      <w:tr>
        <w:trPr>
          <w:trHeight w:val="259" w:hRule="atLeast"/>
        </w:trPr>
        <w:tc>
          <w:tcPr>
            <w:tcW w:w="4035" w:type="dxa"/>
          </w:tcPr>
          <w:p>
            <w:pPr>
              <w:pStyle w:val="TableParagraph"/>
              <w:spacing w:before="51"/>
              <w:ind w:left="50"/>
              <w:rPr>
                <w:sz w:val="15"/>
              </w:rPr>
            </w:pPr>
            <w:r>
              <w:rPr>
                <w:w w:val="105"/>
                <w:sz w:val="15"/>
              </w:rPr>
              <w:t>Atribuído aos Acionistas Controladores</w:t>
            </w:r>
          </w:p>
        </w:tc>
        <w:tc>
          <w:tcPr>
            <w:tcW w:w="814" w:type="dxa"/>
          </w:tcPr>
          <w:p>
            <w:pPr>
              <w:pStyle w:val="TableParagraph"/>
              <w:rPr>
                <w:rFonts w:ascii="Times New Roman"/>
                <w:sz w:val="14"/>
              </w:rPr>
            </w:pPr>
          </w:p>
        </w:tc>
        <w:tc>
          <w:tcPr>
            <w:tcW w:w="1258" w:type="dxa"/>
            <w:tcBorders>
              <w:top w:val="double" w:sz="2" w:space="0" w:color="000000"/>
            </w:tcBorders>
          </w:tcPr>
          <w:p>
            <w:pPr>
              <w:pStyle w:val="TableParagraph"/>
              <w:rPr>
                <w:rFonts w:ascii="Times New Roman"/>
                <w:sz w:val="14"/>
              </w:rPr>
            </w:pPr>
          </w:p>
        </w:tc>
        <w:tc>
          <w:tcPr>
            <w:tcW w:w="1195" w:type="dxa"/>
            <w:tcBorders>
              <w:top w:val="double" w:sz="2" w:space="0" w:color="000000"/>
            </w:tcBorders>
          </w:tcPr>
          <w:p>
            <w:pPr>
              <w:pStyle w:val="TableParagraph"/>
              <w:rPr>
                <w:rFonts w:ascii="Times New Roman"/>
                <w:sz w:val="14"/>
              </w:rPr>
            </w:pPr>
          </w:p>
        </w:tc>
        <w:tc>
          <w:tcPr>
            <w:tcW w:w="92" w:type="dxa"/>
            <w:tcBorders>
              <w:top w:val="double" w:sz="2" w:space="0" w:color="000000"/>
            </w:tcBorders>
          </w:tcPr>
          <w:p>
            <w:pPr>
              <w:pStyle w:val="TableParagraph"/>
              <w:rPr>
                <w:rFonts w:ascii="Times New Roman"/>
                <w:sz w:val="14"/>
              </w:rPr>
            </w:pPr>
          </w:p>
        </w:tc>
        <w:tc>
          <w:tcPr>
            <w:tcW w:w="1271" w:type="dxa"/>
            <w:tcBorders>
              <w:top w:val="double" w:sz="2" w:space="0" w:color="000000"/>
            </w:tcBorders>
          </w:tcPr>
          <w:p>
            <w:pPr>
              <w:pStyle w:val="TableParagraph"/>
              <w:spacing w:before="51"/>
              <w:ind w:left="504"/>
              <w:rPr>
                <w:sz w:val="15"/>
              </w:rPr>
            </w:pPr>
            <w:r>
              <w:rPr>
                <w:w w:val="105"/>
                <w:sz w:val="15"/>
              </w:rPr>
              <w:t>119.045</w:t>
            </w:r>
          </w:p>
        </w:tc>
        <w:tc>
          <w:tcPr>
            <w:tcW w:w="1221" w:type="dxa"/>
            <w:tcBorders>
              <w:top w:val="double" w:sz="2" w:space="0" w:color="000000"/>
            </w:tcBorders>
          </w:tcPr>
          <w:p>
            <w:pPr>
              <w:pStyle w:val="TableParagraph"/>
              <w:spacing w:before="51"/>
              <w:ind w:right="114"/>
              <w:jc w:val="right"/>
              <w:rPr>
                <w:sz w:val="15"/>
              </w:rPr>
            </w:pPr>
            <w:r>
              <w:rPr>
                <w:sz w:val="15"/>
              </w:rPr>
              <w:t>89.972</w:t>
            </w:r>
          </w:p>
        </w:tc>
        <w:tc>
          <w:tcPr>
            <w:tcW w:w="53" w:type="dxa"/>
            <w:tcBorders>
              <w:top w:val="double" w:sz="2" w:space="0" w:color="000000"/>
            </w:tcBorders>
          </w:tcPr>
          <w:p>
            <w:pPr>
              <w:pStyle w:val="TableParagraph"/>
              <w:rPr>
                <w:rFonts w:ascii="Times New Roman"/>
                <w:sz w:val="14"/>
              </w:rPr>
            </w:pPr>
          </w:p>
        </w:tc>
      </w:tr>
      <w:tr>
        <w:trPr>
          <w:trHeight w:val="371" w:hRule="atLeast"/>
        </w:trPr>
        <w:tc>
          <w:tcPr>
            <w:tcW w:w="4035" w:type="dxa"/>
          </w:tcPr>
          <w:p>
            <w:pPr>
              <w:pStyle w:val="TableParagraph"/>
              <w:spacing w:before="39"/>
              <w:ind w:left="50"/>
              <w:rPr>
                <w:sz w:val="15"/>
              </w:rPr>
            </w:pPr>
            <w:r>
              <w:rPr>
                <w:w w:val="105"/>
                <w:sz w:val="15"/>
              </w:rPr>
              <w:t>Atribuído aos Acionistas não Controladores</w:t>
            </w:r>
          </w:p>
        </w:tc>
        <w:tc>
          <w:tcPr>
            <w:tcW w:w="814" w:type="dxa"/>
          </w:tcPr>
          <w:p>
            <w:pPr>
              <w:pStyle w:val="TableParagraph"/>
              <w:rPr>
                <w:rFonts w:ascii="Times New Roman"/>
                <w:sz w:val="14"/>
              </w:rPr>
            </w:pPr>
          </w:p>
        </w:tc>
        <w:tc>
          <w:tcPr>
            <w:tcW w:w="1258" w:type="dxa"/>
          </w:tcPr>
          <w:p>
            <w:pPr>
              <w:pStyle w:val="TableParagraph"/>
              <w:rPr>
                <w:rFonts w:ascii="Times New Roman"/>
                <w:sz w:val="14"/>
              </w:rPr>
            </w:pPr>
          </w:p>
        </w:tc>
        <w:tc>
          <w:tcPr>
            <w:tcW w:w="1195" w:type="dxa"/>
          </w:tcPr>
          <w:p>
            <w:pPr>
              <w:pStyle w:val="TableParagraph"/>
              <w:rPr>
                <w:rFonts w:ascii="Times New Roman"/>
                <w:sz w:val="14"/>
              </w:rPr>
            </w:pPr>
          </w:p>
        </w:tc>
        <w:tc>
          <w:tcPr>
            <w:tcW w:w="92" w:type="dxa"/>
          </w:tcPr>
          <w:p>
            <w:pPr>
              <w:pStyle w:val="TableParagraph"/>
              <w:rPr>
                <w:rFonts w:ascii="Times New Roman"/>
                <w:sz w:val="14"/>
              </w:rPr>
            </w:pPr>
          </w:p>
        </w:tc>
        <w:tc>
          <w:tcPr>
            <w:tcW w:w="1271" w:type="dxa"/>
          </w:tcPr>
          <w:p>
            <w:pPr>
              <w:pStyle w:val="TableParagraph"/>
              <w:spacing w:before="39"/>
              <w:ind w:left="595"/>
              <w:rPr>
                <w:sz w:val="15"/>
              </w:rPr>
            </w:pPr>
            <w:r>
              <w:rPr>
                <w:sz w:val="15"/>
              </w:rPr>
              <w:t>37.584</w:t>
            </w:r>
          </w:p>
        </w:tc>
        <w:tc>
          <w:tcPr>
            <w:tcW w:w="1221" w:type="dxa"/>
          </w:tcPr>
          <w:p>
            <w:pPr>
              <w:pStyle w:val="TableParagraph"/>
              <w:spacing w:before="39"/>
              <w:ind w:right="114"/>
              <w:jc w:val="right"/>
              <w:rPr>
                <w:sz w:val="15"/>
              </w:rPr>
            </w:pPr>
            <w:r>
              <w:rPr>
                <w:sz w:val="15"/>
              </w:rPr>
              <w:t>25.738</w:t>
            </w:r>
          </w:p>
        </w:tc>
        <w:tc>
          <w:tcPr>
            <w:tcW w:w="53" w:type="dxa"/>
          </w:tcPr>
          <w:p>
            <w:pPr>
              <w:pStyle w:val="TableParagraph"/>
              <w:rPr>
                <w:rFonts w:ascii="Times New Roman"/>
                <w:sz w:val="14"/>
              </w:rPr>
            </w:pPr>
          </w:p>
        </w:tc>
      </w:tr>
      <w:tr>
        <w:trPr>
          <w:trHeight w:val="618" w:hRule="atLeast"/>
        </w:trPr>
        <w:tc>
          <w:tcPr>
            <w:tcW w:w="4035" w:type="dxa"/>
          </w:tcPr>
          <w:p>
            <w:pPr>
              <w:pStyle w:val="TableParagraph"/>
              <w:spacing w:before="9"/>
              <w:rPr>
                <w:rFonts w:ascii="Caladea"/>
                <w:b/>
                <w:sz w:val="13"/>
              </w:rPr>
            </w:pPr>
          </w:p>
          <w:p>
            <w:pPr>
              <w:pStyle w:val="TableParagraph"/>
              <w:ind w:left="50"/>
              <w:rPr>
                <w:rFonts w:ascii="Caladea" w:hAnsi="Caladea"/>
                <w:b/>
                <w:sz w:val="15"/>
              </w:rPr>
            </w:pPr>
            <w:r>
              <w:rPr>
                <w:rFonts w:ascii="Caladea" w:hAnsi="Caladea"/>
                <w:b/>
                <w:w w:val="105"/>
                <w:sz w:val="15"/>
              </w:rPr>
              <w:t>Lucro Básico e Diluído por Ação em Reais:</w:t>
            </w:r>
          </w:p>
          <w:p>
            <w:pPr>
              <w:pStyle w:val="TableParagraph"/>
              <w:spacing w:before="74"/>
              <w:ind w:left="166"/>
              <w:rPr>
                <w:sz w:val="15"/>
              </w:rPr>
            </w:pPr>
            <w:r>
              <w:rPr>
                <w:w w:val="110"/>
                <w:sz w:val="15"/>
              </w:rPr>
              <w:t>Ações Ordinárias </w:t>
            </w:r>
            <w:r>
              <w:rPr>
                <w:w w:val="115"/>
                <w:sz w:val="15"/>
              </w:rPr>
              <w:t>– </w:t>
            </w:r>
            <w:r>
              <w:rPr>
                <w:w w:val="110"/>
                <w:sz w:val="15"/>
              </w:rPr>
              <w:t>Básicas e diluídas</w:t>
            </w:r>
          </w:p>
        </w:tc>
        <w:tc>
          <w:tcPr>
            <w:tcW w:w="814" w:type="dxa"/>
          </w:tcPr>
          <w:p>
            <w:pPr>
              <w:pStyle w:val="TableParagraph"/>
              <w:spacing w:before="11"/>
              <w:rPr>
                <w:rFonts w:ascii="Caladea"/>
                <w:b/>
                <w:sz w:val="13"/>
              </w:rPr>
            </w:pPr>
          </w:p>
          <w:p>
            <w:pPr>
              <w:pStyle w:val="TableParagraph"/>
              <w:ind w:right="103"/>
              <w:jc w:val="right"/>
              <w:rPr>
                <w:sz w:val="15"/>
              </w:rPr>
            </w:pPr>
            <w:r>
              <w:rPr>
                <w:w w:val="110"/>
                <w:sz w:val="15"/>
              </w:rPr>
              <w:t>31</w:t>
            </w:r>
          </w:p>
        </w:tc>
        <w:tc>
          <w:tcPr>
            <w:tcW w:w="1258" w:type="dxa"/>
          </w:tcPr>
          <w:p>
            <w:pPr>
              <w:pStyle w:val="TableParagraph"/>
              <w:rPr>
                <w:rFonts w:ascii="Caladea"/>
                <w:b/>
                <w:sz w:val="18"/>
              </w:rPr>
            </w:pPr>
          </w:p>
          <w:p>
            <w:pPr>
              <w:pStyle w:val="TableParagraph"/>
              <w:spacing w:before="1"/>
              <w:rPr>
                <w:rFonts w:ascii="Caladea"/>
                <w:b/>
                <w:sz w:val="17"/>
              </w:rPr>
            </w:pPr>
          </w:p>
          <w:p>
            <w:pPr>
              <w:pStyle w:val="TableParagraph"/>
              <w:ind w:right="180"/>
              <w:jc w:val="right"/>
              <w:rPr>
                <w:sz w:val="15"/>
              </w:rPr>
            </w:pPr>
            <w:r>
              <w:rPr>
                <w:sz w:val="15"/>
              </w:rPr>
              <w:t>7,8634</w:t>
            </w:r>
          </w:p>
        </w:tc>
        <w:tc>
          <w:tcPr>
            <w:tcW w:w="1195" w:type="dxa"/>
          </w:tcPr>
          <w:p>
            <w:pPr>
              <w:pStyle w:val="TableParagraph"/>
              <w:rPr>
                <w:rFonts w:ascii="Caladea"/>
                <w:b/>
                <w:sz w:val="18"/>
              </w:rPr>
            </w:pPr>
          </w:p>
          <w:p>
            <w:pPr>
              <w:pStyle w:val="TableParagraph"/>
              <w:spacing w:before="1"/>
              <w:rPr>
                <w:rFonts w:ascii="Caladea"/>
                <w:b/>
                <w:sz w:val="17"/>
              </w:rPr>
            </w:pPr>
          </w:p>
          <w:p>
            <w:pPr>
              <w:pStyle w:val="TableParagraph"/>
              <w:ind w:right="111"/>
              <w:jc w:val="right"/>
              <w:rPr>
                <w:sz w:val="15"/>
              </w:rPr>
            </w:pPr>
            <w:r>
              <w:rPr>
                <w:sz w:val="15"/>
              </w:rPr>
              <w:t>5,9430</w:t>
            </w:r>
          </w:p>
        </w:tc>
        <w:tc>
          <w:tcPr>
            <w:tcW w:w="92" w:type="dxa"/>
          </w:tcPr>
          <w:p>
            <w:pPr>
              <w:pStyle w:val="TableParagraph"/>
              <w:rPr>
                <w:rFonts w:ascii="Times New Roman"/>
                <w:sz w:val="14"/>
              </w:rPr>
            </w:pPr>
          </w:p>
        </w:tc>
        <w:tc>
          <w:tcPr>
            <w:tcW w:w="1271" w:type="dxa"/>
          </w:tcPr>
          <w:p>
            <w:pPr>
              <w:pStyle w:val="TableParagraph"/>
              <w:rPr>
                <w:rFonts w:ascii="Caladea"/>
                <w:b/>
                <w:sz w:val="18"/>
              </w:rPr>
            </w:pPr>
          </w:p>
          <w:p>
            <w:pPr>
              <w:pStyle w:val="TableParagraph"/>
              <w:spacing w:before="1"/>
              <w:rPr>
                <w:rFonts w:ascii="Caladea"/>
                <w:b/>
                <w:sz w:val="17"/>
              </w:rPr>
            </w:pPr>
          </w:p>
          <w:p>
            <w:pPr>
              <w:pStyle w:val="TableParagraph"/>
              <w:ind w:left="595"/>
              <w:rPr>
                <w:sz w:val="15"/>
              </w:rPr>
            </w:pPr>
            <w:r>
              <w:rPr>
                <w:sz w:val="15"/>
              </w:rPr>
              <w:t>7,8634</w:t>
            </w:r>
          </w:p>
        </w:tc>
        <w:tc>
          <w:tcPr>
            <w:tcW w:w="1221" w:type="dxa"/>
          </w:tcPr>
          <w:p>
            <w:pPr>
              <w:pStyle w:val="TableParagraph"/>
              <w:rPr>
                <w:rFonts w:ascii="Caladea"/>
                <w:b/>
                <w:sz w:val="18"/>
              </w:rPr>
            </w:pPr>
          </w:p>
          <w:p>
            <w:pPr>
              <w:pStyle w:val="TableParagraph"/>
              <w:spacing w:before="1"/>
              <w:rPr>
                <w:rFonts w:ascii="Caladea"/>
                <w:b/>
                <w:sz w:val="17"/>
              </w:rPr>
            </w:pPr>
          </w:p>
          <w:p>
            <w:pPr>
              <w:pStyle w:val="TableParagraph"/>
              <w:ind w:right="114"/>
              <w:jc w:val="right"/>
              <w:rPr>
                <w:sz w:val="15"/>
              </w:rPr>
            </w:pPr>
            <w:r>
              <w:rPr>
                <w:sz w:val="15"/>
              </w:rPr>
              <w:t>5,9430</w:t>
            </w:r>
          </w:p>
        </w:tc>
        <w:tc>
          <w:tcPr>
            <w:tcW w:w="53" w:type="dxa"/>
          </w:tcPr>
          <w:p>
            <w:pPr>
              <w:pStyle w:val="TableParagraph"/>
              <w:rPr>
                <w:rFonts w:ascii="Times New Roman"/>
                <w:sz w:val="14"/>
              </w:rPr>
            </w:pPr>
          </w:p>
        </w:tc>
      </w:tr>
      <w:tr>
        <w:trPr>
          <w:trHeight w:val="215" w:hRule="atLeast"/>
        </w:trPr>
        <w:tc>
          <w:tcPr>
            <w:tcW w:w="4035" w:type="dxa"/>
          </w:tcPr>
          <w:p>
            <w:pPr>
              <w:pStyle w:val="TableParagraph"/>
              <w:spacing w:line="156" w:lineRule="exact" w:before="39"/>
              <w:ind w:left="166"/>
              <w:rPr>
                <w:sz w:val="15"/>
              </w:rPr>
            </w:pPr>
            <w:r>
              <w:rPr>
                <w:w w:val="105"/>
                <w:sz w:val="15"/>
              </w:rPr>
              <w:t>Ações Prefenciais </w:t>
            </w:r>
            <w:r>
              <w:rPr>
                <w:w w:val="115"/>
                <w:sz w:val="15"/>
              </w:rPr>
              <w:t>– </w:t>
            </w:r>
            <w:r>
              <w:rPr>
                <w:w w:val="105"/>
                <w:sz w:val="15"/>
              </w:rPr>
              <w:t>Básicas e diluídas</w:t>
            </w:r>
          </w:p>
        </w:tc>
        <w:tc>
          <w:tcPr>
            <w:tcW w:w="814" w:type="dxa"/>
          </w:tcPr>
          <w:p>
            <w:pPr>
              <w:pStyle w:val="TableParagraph"/>
              <w:rPr>
                <w:rFonts w:ascii="Times New Roman"/>
                <w:sz w:val="14"/>
              </w:rPr>
            </w:pPr>
          </w:p>
        </w:tc>
        <w:tc>
          <w:tcPr>
            <w:tcW w:w="1258" w:type="dxa"/>
          </w:tcPr>
          <w:p>
            <w:pPr>
              <w:pStyle w:val="TableParagraph"/>
              <w:spacing w:line="156" w:lineRule="exact" w:before="39"/>
              <w:ind w:right="180"/>
              <w:jc w:val="right"/>
              <w:rPr>
                <w:sz w:val="15"/>
              </w:rPr>
            </w:pPr>
            <w:r>
              <w:rPr>
                <w:sz w:val="15"/>
              </w:rPr>
              <w:t>8,6497</w:t>
            </w:r>
          </w:p>
        </w:tc>
        <w:tc>
          <w:tcPr>
            <w:tcW w:w="1195" w:type="dxa"/>
          </w:tcPr>
          <w:p>
            <w:pPr>
              <w:pStyle w:val="TableParagraph"/>
              <w:spacing w:line="156" w:lineRule="exact" w:before="39"/>
              <w:ind w:right="111"/>
              <w:jc w:val="right"/>
              <w:rPr>
                <w:sz w:val="15"/>
              </w:rPr>
            </w:pPr>
            <w:r>
              <w:rPr>
                <w:sz w:val="15"/>
              </w:rPr>
              <w:t>6,5373</w:t>
            </w:r>
          </w:p>
        </w:tc>
        <w:tc>
          <w:tcPr>
            <w:tcW w:w="92" w:type="dxa"/>
          </w:tcPr>
          <w:p>
            <w:pPr>
              <w:pStyle w:val="TableParagraph"/>
              <w:rPr>
                <w:rFonts w:ascii="Times New Roman"/>
                <w:sz w:val="14"/>
              </w:rPr>
            </w:pPr>
          </w:p>
        </w:tc>
        <w:tc>
          <w:tcPr>
            <w:tcW w:w="1271" w:type="dxa"/>
          </w:tcPr>
          <w:p>
            <w:pPr>
              <w:pStyle w:val="TableParagraph"/>
              <w:spacing w:line="156" w:lineRule="exact" w:before="39"/>
              <w:ind w:left="595"/>
              <w:rPr>
                <w:sz w:val="15"/>
              </w:rPr>
            </w:pPr>
            <w:r>
              <w:rPr>
                <w:sz w:val="15"/>
              </w:rPr>
              <w:t>8,6497</w:t>
            </w:r>
          </w:p>
        </w:tc>
        <w:tc>
          <w:tcPr>
            <w:tcW w:w="1221" w:type="dxa"/>
          </w:tcPr>
          <w:p>
            <w:pPr>
              <w:pStyle w:val="TableParagraph"/>
              <w:spacing w:line="156" w:lineRule="exact" w:before="39"/>
              <w:ind w:right="114"/>
              <w:jc w:val="right"/>
              <w:rPr>
                <w:sz w:val="15"/>
              </w:rPr>
            </w:pPr>
            <w:r>
              <w:rPr>
                <w:sz w:val="15"/>
              </w:rPr>
              <w:t>6,5373</w:t>
            </w:r>
          </w:p>
        </w:tc>
        <w:tc>
          <w:tcPr>
            <w:tcW w:w="53" w:type="dxa"/>
          </w:tcPr>
          <w:p>
            <w:pPr>
              <w:pStyle w:val="TableParagraph"/>
              <w:rPr>
                <w:rFonts w:ascii="Times New Roman"/>
                <w:sz w:val="14"/>
              </w:rPr>
            </w:pPr>
          </w:p>
        </w:tc>
      </w:tr>
    </w:tbl>
    <w:p>
      <w:pPr>
        <w:pStyle w:val="BodyText"/>
        <w:spacing w:before="6"/>
        <w:rPr>
          <w:rFonts w:ascii="Caladea"/>
          <w:b/>
          <w:sz w:val="25"/>
        </w:rPr>
      </w:pPr>
    </w:p>
    <w:p>
      <w:pPr>
        <w:spacing w:before="0"/>
        <w:ind w:left="153" w:right="0" w:firstLine="0"/>
        <w:jc w:val="left"/>
        <w:rPr>
          <w:rFonts w:ascii="Caladea" w:hAnsi="Caladea"/>
          <w:b/>
          <w:sz w:val="17"/>
        </w:rPr>
      </w:pPr>
      <w:r>
        <w:rPr>
          <w:rFonts w:ascii="Caladea" w:hAnsi="Caladea"/>
          <w:b/>
          <w:sz w:val="17"/>
        </w:rPr>
        <w:t>As notas explicativas são parte integrante das demonstrações financeiras</w:t>
      </w: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spacing w:before="6"/>
        <w:rPr>
          <w:rFonts w:ascii="Caladea"/>
          <w:b/>
          <w:sz w:val="25"/>
        </w:rPr>
      </w:pPr>
    </w:p>
    <w:p>
      <w:pPr>
        <w:pStyle w:val="BodyText"/>
        <w:spacing w:before="91"/>
        <w:ind w:right="109"/>
        <w:jc w:val="right"/>
        <w:rPr>
          <w:rFonts w:ascii="Times New Roman"/>
        </w:rPr>
      </w:pPr>
      <w:r>
        <w:rPr>
          <w:rFonts w:ascii="Times New Roman"/>
          <w:w w:val="99"/>
        </w:rPr>
        <w:t>4</w:t>
      </w:r>
    </w:p>
    <w:p>
      <w:pPr>
        <w:spacing w:after="0"/>
        <w:jc w:val="right"/>
        <w:rPr>
          <w:rFonts w:ascii="Times New Roman"/>
        </w:rPr>
        <w:sectPr>
          <w:headerReference w:type="default" r:id="rId64"/>
          <w:footerReference w:type="default" r:id="rId65"/>
          <w:pgSz w:w="11910" w:h="16850"/>
          <w:pgMar w:header="0" w:footer="0" w:top="520" w:bottom="280" w:left="1020" w:right="740"/>
        </w:sectPr>
      </w:pPr>
    </w:p>
    <w:p>
      <w:pPr>
        <w:spacing w:line="163" w:lineRule="exact" w:before="0"/>
        <w:ind w:left="5414" w:right="5419" w:firstLine="0"/>
        <w:jc w:val="center"/>
        <w:rPr>
          <w:rFonts w:ascii="Caladea"/>
          <w:b/>
          <w:sz w:val="14"/>
        </w:rPr>
      </w:pPr>
      <w:r>
        <w:rPr>
          <w:rFonts w:ascii="Caladea"/>
          <w:b/>
          <w:sz w:val="14"/>
        </w:rPr>
        <w:t>Em milhares de reais, exceto quando indicado de outra forma</w:t>
      </w:r>
    </w:p>
    <w:p>
      <w:pPr>
        <w:pStyle w:val="BodyText"/>
        <w:rPr>
          <w:rFonts w:ascii="Caladea"/>
          <w:b/>
        </w:rPr>
      </w:pPr>
    </w:p>
    <w:p>
      <w:pPr>
        <w:pStyle w:val="BodyText"/>
        <w:spacing w:before="6"/>
        <w:rPr>
          <w:rFonts w:ascii="Caladea"/>
          <w:b/>
          <w:sz w:val="21"/>
        </w:rPr>
      </w:pPr>
    </w:p>
    <w:p>
      <w:pPr>
        <w:tabs>
          <w:tab w:pos="9316" w:val="left" w:leader="none"/>
          <w:tab w:pos="11463" w:val="left" w:leader="none"/>
          <w:tab w:pos="12580" w:val="left" w:leader="none"/>
          <w:tab w:pos="14682" w:val="left" w:leader="none"/>
        </w:tabs>
        <w:spacing w:before="0" w:after="27"/>
        <w:ind w:left="8317" w:right="0" w:firstLine="0"/>
        <w:jc w:val="left"/>
        <w:rPr>
          <w:rFonts w:ascii="Caladea"/>
          <w:b/>
          <w:sz w:val="19"/>
        </w:rPr>
      </w:pPr>
      <w:r>
        <w:rPr>
          <w:rFonts w:ascii="Caladea"/>
          <w:b/>
          <w:w w:val="100"/>
          <w:sz w:val="19"/>
          <w:u w:val="single"/>
        </w:rPr>
        <w:t> </w:t>
      </w:r>
      <w:r>
        <w:rPr>
          <w:rFonts w:ascii="Caladea"/>
          <w:b/>
          <w:sz w:val="19"/>
          <w:u w:val="single"/>
        </w:rPr>
        <w:tab/>
      </w:r>
      <w:r>
        <w:rPr>
          <w:rFonts w:ascii="Caladea"/>
          <w:b/>
          <w:spacing w:val="-3"/>
          <w:sz w:val="19"/>
          <w:u w:val="single"/>
        </w:rPr>
        <w:t>Controladora</w:t>
        <w:tab/>
        <w:t> </w:t>
        <w:tab/>
      </w:r>
      <w:r>
        <w:rPr>
          <w:rFonts w:ascii="Caladea"/>
          <w:b/>
          <w:sz w:val="19"/>
          <w:u w:val="single"/>
        </w:rPr>
        <w:t>Consolidado</w:t>
        <w:tab/>
      </w:r>
    </w:p>
    <w:tbl>
      <w:tblPr>
        <w:tblW w:w="0" w:type="auto"/>
        <w:jc w:val="left"/>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483"/>
        <w:gridCol w:w="726"/>
        <w:gridCol w:w="1905"/>
        <w:gridCol w:w="1152"/>
        <w:gridCol w:w="162"/>
        <w:gridCol w:w="1846"/>
        <w:gridCol w:w="1261"/>
      </w:tblGrid>
      <w:tr>
        <w:trPr>
          <w:trHeight w:val="473" w:hRule="atLeast"/>
        </w:trPr>
        <w:tc>
          <w:tcPr>
            <w:tcW w:w="8209" w:type="dxa"/>
            <w:gridSpan w:val="2"/>
          </w:tcPr>
          <w:p>
            <w:pPr>
              <w:pStyle w:val="TableParagraph"/>
              <w:spacing w:before="1"/>
              <w:ind w:right="263"/>
              <w:jc w:val="right"/>
              <w:rPr>
                <w:rFonts w:ascii="Caladea"/>
                <w:b/>
                <w:sz w:val="19"/>
              </w:rPr>
            </w:pPr>
            <w:r>
              <w:rPr>
                <w:rFonts w:ascii="Caladea"/>
                <w:b/>
                <w:sz w:val="19"/>
              </w:rPr>
              <w:t>Nota</w:t>
            </w:r>
          </w:p>
        </w:tc>
        <w:tc>
          <w:tcPr>
            <w:tcW w:w="3057" w:type="dxa"/>
            <w:gridSpan w:val="2"/>
          </w:tcPr>
          <w:p>
            <w:pPr>
              <w:pStyle w:val="TableParagraph"/>
              <w:tabs>
                <w:tab w:pos="352" w:val="left" w:leader="none"/>
                <w:tab w:pos="1867" w:val="left" w:leader="none"/>
              </w:tabs>
              <w:spacing w:before="1"/>
              <w:ind w:right="-15"/>
              <w:rPr>
                <w:rFonts w:ascii="Caladea"/>
                <w:b/>
                <w:sz w:val="19"/>
              </w:rPr>
            </w:pPr>
            <w:r>
              <w:rPr>
                <w:rFonts w:ascii="Caladea"/>
                <w:b/>
                <w:w w:val="100"/>
                <w:sz w:val="19"/>
                <w:u w:val="single"/>
              </w:rPr>
              <w:t> </w:t>
            </w:r>
            <w:r>
              <w:rPr>
                <w:rFonts w:ascii="Caladea"/>
                <w:b/>
                <w:sz w:val="19"/>
                <w:u w:val="single"/>
              </w:rPr>
              <w:tab/>
            </w:r>
            <w:r>
              <w:rPr>
                <w:rFonts w:ascii="Caladea"/>
                <w:b/>
                <w:spacing w:val="3"/>
                <w:sz w:val="19"/>
                <w:u w:val="single"/>
              </w:rPr>
              <w:t>31/12/2019</w:t>
              <w:tab/>
              <w:t>31/12/2018</w:t>
            </w:r>
            <w:r>
              <w:rPr>
                <w:rFonts w:ascii="Caladea"/>
                <w:b/>
                <w:spacing w:val="8"/>
                <w:sz w:val="19"/>
                <w:u w:val="single"/>
              </w:rPr>
              <w:t> </w:t>
            </w:r>
          </w:p>
          <w:p>
            <w:pPr>
              <w:pStyle w:val="TableParagraph"/>
              <w:spacing w:line="201" w:lineRule="exact" w:before="29"/>
              <w:ind w:left="1705"/>
              <w:rPr>
                <w:sz w:val="19"/>
              </w:rPr>
            </w:pPr>
            <w:r>
              <w:rPr>
                <w:sz w:val="19"/>
              </w:rPr>
              <w:t>Reapresentado</w:t>
            </w:r>
          </w:p>
        </w:tc>
        <w:tc>
          <w:tcPr>
            <w:tcW w:w="3269" w:type="dxa"/>
            <w:gridSpan w:val="3"/>
          </w:tcPr>
          <w:p>
            <w:pPr>
              <w:pStyle w:val="TableParagraph"/>
              <w:tabs>
                <w:tab w:pos="515" w:val="left" w:leader="none"/>
                <w:tab w:pos="2029" w:val="left" w:leader="none"/>
              </w:tabs>
              <w:spacing w:before="1"/>
              <w:ind w:left="162"/>
              <w:rPr>
                <w:rFonts w:ascii="Caladea"/>
                <w:b/>
                <w:sz w:val="19"/>
              </w:rPr>
            </w:pPr>
            <w:r>
              <w:rPr>
                <w:rFonts w:ascii="Caladea"/>
                <w:b/>
                <w:w w:val="100"/>
                <w:sz w:val="19"/>
                <w:u w:val="single"/>
              </w:rPr>
              <w:t> </w:t>
            </w:r>
            <w:r>
              <w:rPr>
                <w:rFonts w:ascii="Caladea"/>
                <w:b/>
                <w:sz w:val="19"/>
                <w:u w:val="single"/>
              </w:rPr>
              <w:tab/>
            </w:r>
            <w:r>
              <w:rPr>
                <w:rFonts w:ascii="Caladea"/>
                <w:b/>
                <w:spacing w:val="3"/>
                <w:sz w:val="19"/>
                <w:u w:val="single"/>
              </w:rPr>
              <w:t>31/12/2019</w:t>
              <w:tab/>
              <w:t>31/12/2018</w:t>
            </w:r>
            <w:r>
              <w:rPr>
                <w:rFonts w:ascii="Caladea"/>
                <w:b/>
                <w:spacing w:val="8"/>
                <w:sz w:val="19"/>
                <w:u w:val="single"/>
              </w:rPr>
              <w:t> </w:t>
            </w:r>
          </w:p>
          <w:p>
            <w:pPr>
              <w:pStyle w:val="TableParagraph"/>
              <w:spacing w:line="201" w:lineRule="exact" w:before="29"/>
              <w:ind w:left="1867"/>
              <w:rPr>
                <w:sz w:val="19"/>
              </w:rPr>
            </w:pPr>
            <w:r>
              <w:rPr>
                <w:sz w:val="19"/>
              </w:rPr>
              <w:t>Reapresentado</w:t>
            </w:r>
          </w:p>
        </w:tc>
      </w:tr>
      <w:tr>
        <w:trPr>
          <w:trHeight w:val="388" w:hRule="atLeast"/>
        </w:trPr>
        <w:tc>
          <w:tcPr>
            <w:tcW w:w="7483" w:type="dxa"/>
          </w:tcPr>
          <w:p>
            <w:pPr>
              <w:pStyle w:val="TableParagraph"/>
              <w:spacing w:before="27"/>
              <w:ind w:left="50"/>
              <w:rPr>
                <w:rFonts w:ascii="Caladea" w:hAnsi="Caladea"/>
                <w:b/>
                <w:sz w:val="19"/>
              </w:rPr>
            </w:pPr>
            <w:r>
              <w:rPr>
                <w:rFonts w:ascii="Caladea" w:hAnsi="Caladea"/>
                <w:b/>
                <w:sz w:val="19"/>
              </w:rPr>
              <w:t>Lucro Líquido/(Prejuízo) do Exercício</w:t>
            </w:r>
          </w:p>
        </w:tc>
        <w:tc>
          <w:tcPr>
            <w:tcW w:w="726" w:type="dxa"/>
          </w:tcPr>
          <w:p>
            <w:pPr>
              <w:pStyle w:val="TableParagraph"/>
              <w:rPr>
                <w:rFonts w:ascii="Times New Roman"/>
                <w:sz w:val="18"/>
              </w:rPr>
            </w:pPr>
          </w:p>
        </w:tc>
        <w:tc>
          <w:tcPr>
            <w:tcW w:w="1905" w:type="dxa"/>
          </w:tcPr>
          <w:p>
            <w:pPr>
              <w:pStyle w:val="TableParagraph"/>
              <w:spacing w:before="27"/>
              <w:ind w:left="676"/>
              <w:rPr>
                <w:rFonts w:ascii="Caladea"/>
                <w:b/>
                <w:sz w:val="19"/>
              </w:rPr>
            </w:pPr>
            <w:r>
              <w:rPr>
                <w:rFonts w:ascii="Caladea"/>
                <w:b/>
                <w:sz w:val="19"/>
              </w:rPr>
              <w:t>119.045</w:t>
            </w:r>
          </w:p>
        </w:tc>
        <w:tc>
          <w:tcPr>
            <w:tcW w:w="1152" w:type="dxa"/>
          </w:tcPr>
          <w:p>
            <w:pPr>
              <w:pStyle w:val="TableParagraph"/>
              <w:spacing w:before="27"/>
              <w:ind w:left="403"/>
              <w:rPr>
                <w:rFonts w:ascii="Caladea"/>
                <w:b/>
                <w:sz w:val="19"/>
              </w:rPr>
            </w:pPr>
            <w:r>
              <w:rPr>
                <w:rFonts w:ascii="Caladea"/>
                <w:b/>
                <w:sz w:val="19"/>
              </w:rPr>
              <w:t>89.972</w:t>
            </w:r>
          </w:p>
        </w:tc>
        <w:tc>
          <w:tcPr>
            <w:tcW w:w="162" w:type="dxa"/>
          </w:tcPr>
          <w:p>
            <w:pPr>
              <w:pStyle w:val="TableParagraph"/>
              <w:rPr>
                <w:rFonts w:ascii="Times New Roman"/>
                <w:sz w:val="18"/>
              </w:rPr>
            </w:pPr>
          </w:p>
        </w:tc>
        <w:tc>
          <w:tcPr>
            <w:tcW w:w="1846" w:type="dxa"/>
          </w:tcPr>
          <w:p>
            <w:pPr>
              <w:pStyle w:val="TableParagraph"/>
              <w:spacing w:before="27"/>
              <w:ind w:right="422"/>
              <w:jc w:val="right"/>
              <w:rPr>
                <w:rFonts w:ascii="Caladea"/>
                <w:b/>
                <w:sz w:val="19"/>
              </w:rPr>
            </w:pPr>
            <w:r>
              <w:rPr>
                <w:rFonts w:ascii="Caladea"/>
                <w:b/>
                <w:sz w:val="19"/>
              </w:rPr>
              <w:t>156.629</w:t>
            </w:r>
          </w:p>
        </w:tc>
        <w:tc>
          <w:tcPr>
            <w:tcW w:w="1261" w:type="dxa"/>
          </w:tcPr>
          <w:p>
            <w:pPr>
              <w:pStyle w:val="TableParagraph"/>
              <w:spacing w:before="27"/>
              <w:ind w:right="169"/>
              <w:jc w:val="right"/>
              <w:rPr>
                <w:rFonts w:ascii="Caladea"/>
                <w:b/>
                <w:sz w:val="19"/>
              </w:rPr>
            </w:pPr>
            <w:r>
              <w:rPr>
                <w:rFonts w:ascii="Caladea"/>
                <w:b/>
                <w:sz w:val="19"/>
              </w:rPr>
              <w:t>115.710</w:t>
            </w:r>
          </w:p>
        </w:tc>
      </w:tr>
      <w:tr>
        <w:trPr>
          <w:trHeight w:val="874" w:hRule="atLeast"/>
        </w:trPr>
        <w:tc>
          <w:tcPr>
            <w:tcW w:w="7483" w:type="dxa"/>
          </w:tcPr>
          <w:p>
            <w:pPr>
              <w:pStyle w:val="TableParagraph"/>
              <w:spacing w:before="139"/>
              <w:ind w:left="50"/>
              <w:rPr>
                <w:rFonts w:ascii="Caladea"/>
                <w:b/>
                <w:sz w:val="19"/>
              </w:rPr>
            </w:pPr>
            <w:r>
              <w:rPr>
                <w:rFonts w:ascii="Caladea"/>
                <w:b/>
                <w:sz w:val="19"/>
              </w:rPr>
              <w:t>Outros Resultados Abrangentes</w:t>
            </w:r>
          </w:p>
          <w:p>
            <w:pPr>
              <w:pStyle w:val="TableParagraph"/>
              <w:spacing w:line="250" w:lineRule="atLeast"/>
              <w:ind w:left="137" w:right="1930" w:hanging="88"/>
              <w:rPr>
                <w:sz w:val="19"/>
              </w:rPr>
            </w:pPr>
            <w:r>
              <w:rPr>
                <w:spacing w:val="-5"/>
                <w:sz w:val="19"/>
              </w:rPr>
              <w:t>Itens</w:t>
            </w:r>
            <w:r>
              <w:rPr>
                <w:spacing w:val="-28"/>
                <w:sz w:val="19"/>
              </w:rPr>
              <w:t> </w:t>
            </w:r>
            <w:r>
              <w:rPr>
                <w:sz w:val="19"/>
              </w:rPr>
              <w:t>que</w:t>
            </w:r>
            <w:r>
              <w:rPr>
                <w:spacing w:val="-34"/>
                <w:sz w:val="19"/>
              </w:rPr>
              <w:t> </w:t>
            </w:r>
            <w:r>
              <w:rPr>
                <w:spacing w:val="-4"/>
                <w:sz w:val="19"/>
              </w:rPr>
              <w:t>não</w:t>
            </w:r>
            <w:r>
              <w:rPr>
                <w:spacing w:val="-30"/>
                <w:sz w:val="19"/>
              </w:rPr>
              <w:t> </w:t>
            </w:r>
            <w:r>
              <w:rPr>
                <w:spacing w:val="-3"/>
                <w:sz w:val="19"/>
              </w:rPr>
              <w:t>serão</w:t>
            </w:r>
            <w:r>
              <w:rPr>
                <w:spacing w:val="-31"/>
                <w:sz w:val="19"/>
              </w:rPr>
              <w:t> </w:t>
            </w:r>
            <w:r>
              <w:rPr>
                <w:sz w:val="19"/>
              </w:rPr>
              <w:t>Reclassificados</w:t>
            </w:r>
            <w:r>
              <w:rPr>
                <w:spacing w:val="-27"/>
                <w:sz w:val="19"/>
              </w:rPr>
              <w:t> </w:t>
            </w:r>
            <w:r>
              <w:rPr>
                <w:spacing w:val="-4"/>
                <w:sz w:val="19"/>
              </w:rPr>
              <w:t>Subsequentemente</w:t>
            </w:r>
            <w:r>
              <w:rPr>
                <w:spacing w:val="-34"/>
                <w:sz w:val="19"/>
              </w:rPr>
              <w:t> </w:t>
            </w:r>
            <w:r>
              <w:rPr>
                <w:spacing w:val="-3"/>
                <w:sz w:val="19"/>
              </w:rPr>
              <w:t>ao</w:t>
            </w:r>
            <w:r>
              <w:rPr>
                <w:spacing w:val="-31"/>
                <w:sz w:val="19"/>
              </w:rPr>
              <w:t> </w:t>
            </w:r>
            <w:r>
              <w:rPr>
                <w:sz w:val="19"/>
              </w:rPr>
              <w:t>Resultado </w:t>
            </w:r>
            <w:r>
              <w:rPr>
                <w:spacing w:val="-3"/>
                <w:sz w:val="19"/>
              </w:rPr>
              <w:t>Ganho</w:t>
            </w:r>
            <w:r>
              <w:rPr>
                <w:spacing w:val="-17"/>
                <w:sz w:val="19"/>
              </w:rPr>
              <w:t> </w:t>
            </w:r>
            <w:r>
              <w:rPr>
                <w:spacing w:val="-4"/>
                <w:sz w:val="19"/>
              </w:rPr>
              <w:t>(Perda)</w:t>
            </w:r>
            <w:r>
              <w:rPr>
                <w:spacing w:val="-16"/>
                <w:sz w:val="19"/>
              </w:rPr>
              <w:t> </w:t>
            </w:r>
            <w:r>
              <w:rPr>
                <w:spacing w:val="-3"/>
                <w:sz w:val="19"/>
              </w:rPr>
              <w:t>Atuarial</w:t>
            </w:r>
            <w:r>
              <w:rPr>
                <w:spacing w:val="-11"/>
                <w:sz w:val="19"/>
              </w:rPr>
              <w:t> </w:t>
            </w:r>
            <w:r>
              <w:rPr>
                <w:sz w:val="19"/>
              </w:rPr>
              <w:t>com</w:t>
            </w:r>
            <w:r>
              <w:rPr>
                <w:spacing w:val="-16"/>
                <w:sz w:val="19"/>
              </w:rPr>
              <w:t> </w:t>
            </w:r>
            <w:r>
              <w:rPr>
                <w:spacing w:val="-3"/>
                <w:sz w:val="19"/>
              </w:rPr>
              <w:t>Plano</w:t>
            </w:r>
            <w:r>
              <w:rPr>
                <w:spacing w:val="-16"/>
                <w:sz w:val="19"/>
              </w:rPr>
              <w:t> </w:t>
            </w:r>
            <w:r>
              <w:rPr>
                <w:sz w:val="19"/>
              </w:rPr>
              <w:t>de</w:t>
            </w:r>
            <w:r>
              <w:rPr>
                <w:spacing w:val="-22"/>
                <w:sz w:val="19"/>
              </w:rPr>
              <w:t> </w:t>
            </w:r>
            <w:r>
              <w:rPr>
                <w:sz w:val="19"/>
              </w:rPr>
              <w:t>Benefício</w:t>
            </w:r>
            <w:r>
              <w:rPr>
                <w:spacing w:val="-17"/>
                <w:sz w:val="19"/>
              </w:rPr>
              <w:t> </w:t>
            </w:r>
            <w:r>
              <w:rPr>
                <w:sz w:val="19"/>
              </w:rPr>
              <w:t>Definido</w:t>
            </w:r>
          </w:p>
        </w:tc>
        <w:tc>
          <w:tcPr>
            <w:tcW w:w="726" w:type="dxa"/>
          </w:tcPr>
          <w:p>
            <w:pPr>
              <w:pStyle w:val="TableParagraph"/>
              <w:rPr>
                <w:rFonts w:ascii="Times New Roman"/>
                <w:sz w:val="18"/>
              </w:rPr>
            </w:pPr>
          </w:p>
        </w:tc>
        <w:tc>
          <w:tcPr>
            <w:tcW w:w="1905" w:type="dxa"/>
          </w:tcPr>
          <w:p>
            <w:pPr>
              <w:pStyle w:val="TableParagraph"/>
              <w:spacing w:before="139"/>
              <w:ind w:right="399"/>
              <w:jc w:val="right"/>
              <w:rPr>
                <w:rFonts w:ascii="Caladea"/>
                <w:b/>
                <w:sz w:val="19"/>
              </w:rPr>
            </w:pPr>
            <w:r>
              <w:rPr>
                <w:rFonts w:ascii="Caladea"/>
                <w:b/>
                <w:sz w:val="19"/>
              </w:rPr>
              <w:t>(40.363)</w:t>
            </w:r>
          </w:p>
        </w:tc>
        <w:tc>
          <w:tcPr>
            <w:tcW w:w="1152" w:type="dxa"/>
          </w:tcPr>
          <w:p>
            <w:pPr>
              <w:pStyle w:val="TableParagraph"/>
              <w:spacing w:before="139"/>
              <w:ind w:left="447"/>
              <w:rPr>
                <w:rFonts w:ascii="Caladea"/>
                <w:b/>
                <w:sz w:val="19"/>
              </w:rPr>
            </w:pPr>
            <w:r>
              <w:rPr>
                <w:rFonts w:ascii="Caladea"/>
                <w:b/>
                <w:sz w:val="19"/>
              </w:rPr>
              <w:t>(6.757)</w:t>
            </w:r>
          </w:p>
        </w:tc>
        <w:tc>
          <w:tcPr>
            <w:tcW w:w="162" w:type="dxa"/>
          </w:tcPr>
          <w:p>
            <w:pPr>
              <w:pStyle w:val="TableParagraph"/>
              <w:rPr>
                <w:rFonts w:ascii="Times New Roman"/>
                <w:sz w:val="18"/>
              </w:rPr>
            </w:pPr>
          </w:p>
        </w:tc>
        <w:tc>
          <w:tcPr>
            <w:tcW w:w="1846" w:type="dxa"/>
          </w:tcPr>
          <w:p>
            <w:pPr>
              <w:pStyle w:val="TableParagraph"/>
              <w:spacing w:before="139"/>
              <w:ind w:left="720"/>
              <w:rPr>
                <w:rFonts w:ascii="Caladea"/>
                <w:b/>
                <w:sz w:val="19"/>
              </w:rPr>
            </w:pPr>
            <w:r>
              <w:rPr>
                <w:rFonts w:ascii="Caladea"/>
                <w:b/>
                <w:sz w:val="19"/>
              </w:rPr>
              <w:t>(40.363)</w:t>
            </w:r>
          </w:p>
          <w:p>
            <w:pPr>
              <w:pStyle w:val="TableParagraph"/>
              <w:spacing w:before="9"/>
              <w:rPr>
                <w:rFonts w:ascii="Caladea"/>
                <w:b/>
                <w:sz w:val="23"/>
              </w:rPr>
            </w:pPr>
          </w:p>
          <w:p>
            <w:pPr>
              <w:pStyle w:val="TableParagraph"/>
              <w:spacing w:line="214" w:lineRule="exact"/>
              <w:ind w:left="794"/>
              <w:rPr>
                <w:sz w:val="19"/>
              </w:rPr>
            </w:pPr>
            <w:r>
              <w:rPr>
                <w:sz w:val="19"/>
              </w:rPr>
              <w:t>(40.363)</w:t>
            </w:r>
          </w:p>
        </w:tc>
        <w:tc>
          <w:tcPr>
            <w:tcW w:w="1261" w:type="dxa"/>
          </w:tcPr>
          <w:p>
            <w:pPr>
              <w:pStyle w:val="TableParagraph"/>
              <w:spacing w:before="139"/>
              <w:ind w:left="506"/>
              <w:rPr>
                <w:rFonts w:ascii="Caladea"/>
                <w:b/>
                <w:sz w:val="19"/>
              </w:rPr>
            </w:pPr>
            <w:r>
              <w:rPr>
                <w:rFonts w:ascii="Caladea"/>
                <w:b/>
                <w:sz w:val="19"/>
              </w:rPr>
              <w:t>(6.757)</w:t>
            </w:r>
          </w:p>
          <w:p>
            <w:pPr>
              <w:pStyle w:val="TableParagraph"/>
              <w:spacing w:before="9"/>
              <w:rPr>
                <w:rFonts w:ascii="Caladea"/>
                <w:b/>
                <w:sz w:val="23"/>
              </w:rPr>
            </w:pPr>
          </w:p>
          <w:p>
            <w:pPr>
              <w:pStyle w:val="TableParagraph"/>
              <w:spacing w:line="214" w:lineRule="exact"/>
              <w:ind w:left="565"/>
              <w:rPr>
                <w:sz w:val="19"/>
              </w:rPr>
            </w:pPr>
            <w:r>
              <w:rPr>
                <w:sz w:val="19"/>
              </w:rPr>
              <w:t>(6.757)</w:t>
            </w:r>
          </w:p>
        </w:tc>
      </w:tr>
      <w:tr>
        <w:trPr>
          <w:trHeight w:val="738" w:hRule="atLeast"/>
        </w:trPr>
        <w:tc>
          <w:tcPr>
            <w:tcW w:w="7483" w:type="dxa"/>
          </w:tcPr>
          <w:p>
            <w:pPr>
              <w:pStyle w:val="TableParagraph"/>
              <w:spacing w:before="16"/>
              <w:ind w:left="137"/>
              <w:rPr>
                <w:sz w:val="19"/>
              </w:rPr>
            </w:pPr>
            <w:r>
              <w:rPr>
                <w:sz w:val="19"/>
              </w:rPr>
              <w:t>Equivalência Patrimonial sobre Obrigação Atuarial - Benefícios Definido</w:t>
            </w:r>
          </w:p>
        </w:tc>
        <w:tc>
          <w:tcPr>
            <w:tcW w:w="726" w:type="dxa"/>
          </w:tcPr>
          <w:p>
            <w:pPr>
              <w:pStyle w:val="TableParagraph"/>
              <w:spacing w:before="16"/>
              <w:ind w:left="152"/>
              <w:rPr>
                <w:sz w:val="19"/>
              </w:rPr>
            </w:pPr>
            <w:r>
              <w:rPr>
                <w:w w:val="105"/>
                <w:sz w:val="19"/>
              </w:rPr>
              <w:t>25</w:t>
            </w:r>
          </w:p>
        </w:tc>
        <w:tc>
          <w:tcPr>
            <w:tcW w:w="1905" w:type="dxa"/>
            <w:tcBorders>
              <w:bottom w:val="single" w:sz="6" w:space="0" w:color="000000"/>
            </w:tcBorders>
          </w:tcPr>
          <w:p>
            <w:pPr>
              <w:pStyle w:val="TableParagraph"/>
              <w:spacing w:before="16"/>
              <w:ind w:right="404"/>
              <w:jc w:val="right"/>
              <w:rPr>
                <w:sz w:val="19"/>
              </w:rPr>
            </w:pPr>
            <w:r>
              <w:rPr>
                <w:sz w:val="19"/>
              </w:rPr>
              <w:t>(40.363)</w:t>
            </w:r>
          </w:p>
        </w:tc>
        <w:tc>
          <w:tcPr>
            <w:tcW w:w="1152" w:type="dxa"/>
            <w:tcBorders>
              <w:bottom w:val="single" w:sz="6" w:space="0" w:color="000000"/>
            </w:tcBorders>
          </w:tcPr>
          <w:p>
            <w:pPr>
              <w:pStyle w:val="TableParagraph"/>
              <w:spacing w:before="16"/>
              <w:ind w:left="506"/>
              <w:rPr>
                <w:sz w:val="19"/>
              </w:rPr>
            </w:pPr>
            <w:r>
              <w:rPr>
                <w:sz w:val="19"/>
              </w:rPr>
              <w:t>(6.757)</w:t>
            </w:r>
          </w:p>
        </w:tc>
        <w:tc>
          <w:tcPr>
            <w:tcW w:w="162" w:type="dxa"/>
          </w:tcPr>
          <w:p>
            <w:pPr>
              <w:pStyle w:val="TableParagraph"/>
              <w:rPr>
                <w:rFonts w:ascii="Times New Roman"/>
                <w:sz w:val="18"/>
              </w:rPr>
            </w:pPr>
          </w:p>
        </w:tc>
        <w:tc>
          <w:tcPr>
            <w:tcW w:w="1846" w:type="dxa"/>
            <w:tcBorders>
              <w:bottom w:val="single" w:sz="6" w:space="0" w:color="000000"/>
            </w:tcBorders>
          </w:tcPr>
          <w:p>
            <w:pPr>
              <w:pStyle w:val="TableParagraph"/>
              <w:rPr>
                <w:rFonts w:ascii="Times New Roman"/>
                <w:sz w:val="18"/>
              </w:rPr>
            </w:pPr>
          </w:p>
        </w:tc>
        <w:tc>
          <w:tcPr>
            <w:tcW w:w="1261" w:type="dxa"/>
            <w:tcBorders>
              <w:bottom w:val="single" w:sz="6" w:space="0" w:color="000000"/>
            </w:tcBorders>
          </w:tcPr>
          <w:p>
            <w:pPr>
              <w:pStyle w:val="TableParagraph"/>
              <w:rPr>
                <w:rFonts w:ascii="Times New Roman"/>
                <w:sz w:val="18"/>
              </w:rPr>
            </w:pPr>
          </w:p>
        </w:tc>
      </w:tr>
      <w:tr>
        <w:trPr>
          <w:trHeight w:val="234" w:hRule="atLeast"/>
        </w:trPr>
        <w:tc>
          <w:tcPr>
            <w:tcW w:w="7483" w:type="dxa"/>
          </w:tcPr>
          <w:p>
            <w:pPr>
              <w:pStyle w:val="TableParagraph"/>
              <w:spacing w:line="204" w:lineRule="exact" w:before="10"/>
              <w:ind w:left="50"/>
              <w:rPr>
                <w:rFonts w:ascii="Caladea"/>
                <w:b/>
                <w:sz w:val="19"/>
              </w:rPr>
            </w:pPr>
            <w:r>
              <w:rPr>
                <w:rFonts w:ascii="Caladea"/>
                <w:b/>
                <w:sz w:val="19"/>
              </w:rPr>
              <w:t>Resultado Abrangente Total</w:t>
            </w:r>
          </w:p>
        </w:tc>
        <w:tc>
          <w:tcPr>
            <w:tcW w:w="726" w:type="dxa"/>
          </w:tcPr>
          <w:p>
            <w:pPr>
              <w:pStyle w:val="TableParagraph"/>
              <w:rPr>
                <w:rFonts w:ascii="Times New Roman"/>
                <w:sz w:val="16"/>
              </w:rPr>
            </w:pPr>
          </w:p>
        </w:tc>
        <w:tc>
          <w:tcPr>
            <w:tcW w:w="1905" w:type="dxa"/>
            <w:tcBorders>
              <w:top w:val="single" w:sz="6" w:space="0" w:color="000000"/>
              <w:bottom w:val="double" w:sz="2" w:space="0" w:color="000000"/>
            </w:tcBorders>
          </w:tcPr>
          <w:p>
            <w:pPr>
              <w:pStyle w:val="TableParagraph"/>
              <w:spacing w:line="204" w:lineRule="exact" w:before="10"/>
              <w:ind w:left="794"/>
              <w:rPr>
                <w:rFonts w:ascii="Caladea"/>
                <w:b/>
                <w:sz w:val="19"/>
              </w:rPr>
            </w:pPr>
            <w:r>
              <w:rPr>
                <w:rFonts w:ascii="Caladea"/>
                <w:b/>
                <w:sz w:val="19"/>
              </w:rPr>
              <w:t>78.682</w:t>
            </w:r>
          </w:p>
        </w:tc>
        <w:tc>
          <w:tcPr>
            <w:tcW w:w="1152" w:type="dxa"/>
            <w:tcBorders>
              <w:top w:val="single" w:sz="6" w:space="0" w:color="000000"/>
              <w:bottom w:val="double" w:sz="2" w:space="0" w:color="000000"/>
            </w:tcBorders>
          </w:tcPr>
          <w:p>
            <w:pPr>
              <w:pStyle w:val="TableParagraph"/>
              <w:spacing w:line="204" w:lineRule="exact" w:before="10"/>
              <w:ind w:left="403"/>
              <w:rPr>
                <w:rFonts w:ascii="Caladea"/>
                <w:b/>
                <w:sz w:val="19"/>
              </w:rPr>
            </w:pPr>
            <w:r>
              <w:rPr>
                <w:rFonts w:ascii="Caladea"/>
                <w:b/>
                <w:sz w:val="19"/>
              </w:rPr>
              <w:t>83.215</w:t>
            </w:r>
          </w:p>
        </w:tc>
        <w:tc>
          <w:tcPr>
            <w:tcW w:w="162" w:type="dxa"/>
          </w:tcPr>
          <w:p>
            <w:pPr>
              <w:pStyle w:val="TableParagraph"/>
              <w:rPr>
                <w:rFonts w:ascii="Times New Roman"/>
                <w:sz w:val="16"/>
              </w:rPr>
            </w:pPr>
          </w:p>
        </w:tc>
        <w:tc>
          <w:tcPr>
            <w:tcW w:w="1846" w:type="dxa"/>
            <w:tcBorders>
              <w:top w:val="single" w:sz="6" w:space="0" w:color="000000"/>
              <w:bottom w:val="double" w:sz="2" w:space="0" w:color="000000"/>
            </w:tcBorders>
          </w:tcPr>
          <w:p>
            <w:pPr>
              <w:pStyle w:val="TableParagraph"/>
              <w:spacing w:line="204" w:lineRule="exact" w:before="10"/>
              <w:ind w:right="422"/>
              <w:jc w:val="right"/>
              <w:rPr>
                <w:rFonts w:ascii="Caladea"/>
                <w:b/>
                <w:sz w:val="19"/>
              </w:rPr>
            </w:pPr>
            <w:r>
              <w:rPr>
                <w:rFonts w:ascii="Caladea"/>
                <w:b/>
                <w:sz w:val="19"/>
              </w:rPr>
              <w:t>116.266</w:t>
            </w:r>
          </w:p>
        </w:tc>
        <w:tc>
          <w:tcPr>
            <w:tcW w:w="1261" w:type="dxa"/>
            <w:tcBorders>
              <w:top w:val="single" w:sz="6" w:space="0" w:color="000000"/>
              <w:bottom w:val="double" w:sz="2" w:space="0" w:color="000000"/>
            </w:tcBorders>
          </w:tcPr>
          <w:p>
            <w:pPr>
              <w:pStyle w:val="TableParagraph"/>
              <w:spacing w:line="204" w:lineRule="exact" w:before="10"/>
              <w:ind w:right="169"/>
              <w:jc w:val="right"/>
              <w:rPr>
                <w:rFonts w:ascii="Caladea"/>
                <w:b/>
                <w:sz w:val="19"/>
              </w:rPr>
            </w:pPr>
            <w:r>
              <w:rPr>
                <w:rFonts w:ascii="Caladea"/>
                <w:b/>
                <w:sz w:val="19"/>
              </w:rPr>
              <w:t>108.953</w:t>
            </w:r>
          </w:p>
        </w:tc>
      </w:tr>
      <w:tr>
        <w:trPr>
          <w:trHeight w:val="246" w:hRule="atLeast"/>
        </w:trPr>
        <w:tc>
          <w:tcPr>
            <w:tcW w:w="7483" w:type="dxa"/>
          </w:tcPr>
          <w:p>
            <w:pPr>
              <w:pStyle w:val="TableParagraph"/>
              <w:spacing w:line="216" w:lineRule="exact" w:before="10"/>
              <w:ind w:left="50"/>
              <w:rPr>
                <w:rFonts w:ascii="Caladea" w:hAnsi="Caladea"/>
                <w:b/>
                <w:sz w:val="19"/>
              </w:rPr>
            </w:pPr>
            <w:r>
              <w:rPr>
                <w:rFonts w:ascii="Caladea" w:hAnsi="Caladea"/>
                <w:b/>
                <w:sz w:val="19"/>
              </w:rPr>
              <w:t>Atribuído aos Acionistas Controladores</w:t>
            </w:r>
          </w:p>
        </w:tc>
        <w:tc>
          <w:tcPr>
            <w:tcW w:w="726" w:type="dxa"/>
          </w:tcPr>
          <w:p>
            <w:pPr>
              <w:pStyle w:val="TableParagraph"/>
              <w:rPr>
                <w:rFonts w:ascii="Times New Roman"/>
                <w:sz w:val="16"/>
              </w:rPr>
            </w:pPr>
          </w:p>
        </w:tc>
        <w:tc>
          <w:tcPr>
            <w:tcW w:w="1905" w:type="dxa"/>
            <w:tcBorders>
              <w:top w:val="double" w:sz="2" w:space="0" w:color="000000"/>
            </w:tcBorders>
          </w:tcPr>
          <w:p>
            <w:pPr>
              <w:pStyle w:val="TableParagraph"/>
              <w:rPr>
                <w:rFonts w:ascii="Times New Roman"/>
                <w:sz w:val="16"/>
              </w:rPr>
            </w:pPr>
          </w:p>
        </w:tc>
        <w:tc>
          <w:tcPr>
            <w:tcW w:w="1152" w:type="dxa"/>
            <w:tcBorders>
              <w:top w:val="double" w:sz="2" w:space="0" w:color="000000"/>
            </w:tcBorders>
          </w:tcPr>
          <w:p>
            <w:pPr>
              <w:pStyle w:val="TableParagraph"/>
              <w:rPr>
                <w:rFonts w:ascii="Times New Roman"/>
                <w:sz w:val="16"/>
              </w:rPr>
            </w:pPr>
          </w:p>
        </w:tc>
        <w:tc>
          <w:tcPr>
            <w:tcW w:w="162" w:type="dxa"/>
          </w:tcPr>
          <w:p>
            <w:pPr>
              <w:pStyle w:val="TableParagraph"/>
              <w:rPr>
                <w:rFonts w:ascii="Times New Roman"/>
                <w:sz w:val="16"/>
              </w:rPr>
            </w:pPr>
          </w:p>
        </w:tc>
        <w:tc>
          <w:tcPr>
            <w:tcW w:w="1846" w:type="dxa"/>
            <w:tcBorders>
              <w:top w:val="double" w:sz="2" w:space="0" w:color="000000"/>
            </w:tcBorders>
          </w:tcPr>
          <w:p>
            <w:pPr>
              <w:pStyle w:val="TableParagraph"/>
              <w:spacing w:line="214" w:lineRule="exact" w:before="12"/>
              <w:ind w:right="414"/>
              <w:jc w:val="right"/>
              <w:rPr>
                <w:sz w:val="19"/>
              </w:rPr>
            </w:pPr>
            <w:r>
              <w:rPr>
                <w:sz w:val="19"/>
              </w:rPr>
              <w:t>78.682</w:t>
            </w:r>
          </w:p>
        </w:tc>
        <w:tc>
          <w:tcPr>
            <w:tcW w:w="1261" w:type="dxa"/>
            <w:tcBorders>
              <w:top w:val="double" w:sz="2" w:space="0" w:color="000000"/>
            </w:tcBorders>
          </w:tcPr>
          <w:p>
            <w:pPr>
              <w:pStyle w:val="TableParagraph"/>
              <w:spacing w:line="214" w:lineRule="exact" w:before="12"/>
              <w:ind w:right="161"/>
              <w:jc w:val="right"/>
              <w:rPr>
                <w:sz w:val="19"/>
              </w:rPr>
            </w:pPr>
            <w:r>
              <w:rPr>
                <w:sz w:val="19"/>
              </w:rPr>
              <w:t>83.215</w:t>
            </w:r>
          </w:p>
        </w:tc>
      </w:tr>
      <w:tr>
        <w:trPr>
          <w:trHeight w:val="374" w:hRule="atLeast"/>
        </w:trPr>
        <w:tc>
          <w:tcPr>
            <w:tcW w:w="7483" w:type="dxa"/>
          </w:tcPr>
          <w:p>
            <w:pPr>
              <w:pStyle w:val="TableParagraph"/>
              <w:spacing w:before="14"/>
              <w:ind w:left="50"/>
              <w:rPr>
                <w:rFonts w:ascii="Caladea" w:hAnsi="Caladea"/>
                <w:b/>
                <w:sz w:val="19"/>
              </w:rPr>
            </w:pPr>
            <w:r>
              <w:rPr>
                <w:rFonts w:ascii="Caladea" w:hAnsi="Caladea"/>
                <w:b/>
                <w:sz w:val="19"/>
              </w:rPr>
              <w:t>Atribuído aos Acionistas Não Controladores</w:t>
            </w:r>
          </w:p>
        </w:tc>
        <w:tc>
          <w:tcPr>
            <w:tcW w:w="726" w:type="dxa"/>
          </w:tcPr>
          <w:p>
            <w:pPr>
              <w:pStyle w:val="TableParagraph"/>
              <w:rPr>
                <w:rFonts w:ascii="Times New Roman"/>
                <w:sz w:val="18"/>
              </w:rPr>
            </w:pPr>
          </w:p>
        </w:tc>
        <w:tc>
          <w:tcPr>
            <w:tcW w:w="1905" w:type="dxa"/>
          </w:tcPr>
          <w:p>
            <w:pPr>
              <w:pStyle w:val="TableParagraph"/>
              <w:rPr>
                <w:rFonts w:ascii="Times New Roman"/>
                <w:sz w:val="18"/>
              </w:rPr>
            </w:pPr>
          </w:p>
        </w:tc>
        <w:tc>
          <w:tcPr>
            <w:tcW w:w="1152" w:type="dxa"/>
          </w:tcPr>
          <w:p>
            <w:pPr>
              <w:pStyle w:val="TableParagraph"/>
              <w:rPr>
                <w:rFonts w:ascii="Times New Roman"/>
                <w:sz w:val="18"/>
              </w:rPr>
            </w:pPr>
          </w:p>
        </w:tc>
        <w:tc>
          <w:tcPr>
            <w:tcW w:w="162" w:type="dxa"/>
          </w:tcPr>
          <w:p>
            <w:pPr>
              <w:pStyle w:val="TableParagraph"/>
              <w:rPr>
                <w:rFonts w:ascii="Times New Roman"/>
                <w:sz w:val="18"/>
              </w:rPr>
            </w:pPr>
          </w:p>
        </w:tc>
        <w:tc>
          <w:tcPr>
            <w:tcW w:w="1846" w:type="dxa"/>
          </w:tcPr>
          <w:p>
            <w:pPr>
              <w:pStyle w:val="TableParagraph"/>
              <w:spacing w:before="16"/>
              <w:ind w:right="414"/>
              <w:jc w:val="right"/>
              <w:rPr>
                <w:sz w:val="19"/>
              </w:rPr>
            </w:pPr>
            <w:r>
              <w:rPr>
                <w:sz w:val="19"/>
              </w:rPr>
              <w:t>37.584</w:t>
            </w:r>
          </w:p>
        </w:tc>
        <w:tc>
          <w:tcPr>
            <w:tcW w:w="1261" w:type="dxa"/>
          </w:tcPr>
          <w:p>
            <w:pPr>
              <w:pStyle w:val="TableParagraph"/>
              <w:spacing w:before="16"/>
              <w:ind w:right="161"/>
              <w:jc w:val="right"/>
              <w:rPr>
                <w:sz w:val="19"/>
              </w:rPr>
            </w:pPr>
            <w:r>
              <w:rPr>
                <w:sz w:val="19"/>
              </w:rPr>
              <w:t>25.738</w:t>
            </w:r>
          </w:p>
        </w:tc>
      </w:tr>
      <w:tr>
        <w:trPr>
          <w:trHeight w:val="361" w:hRule="atLeast"/>
        </w:trPr>
        <w:tc>
          <w:tcPr>
            <w:tcW w:w="7483" w:type="dxa"/>
          </w:tcPr>
          <w:p>
            <w:pPr>
              <w:pStyle w:val="TableParagraph"/>
              <w:spacing w:line="203" w:lineRule="exact" w:before="138"/>
              <w:ind w:left="50"/>
              <w:rPr>
                <w:rFonts w:ascii="Caladea" w:hAnsi="Caladea"/>
                <w:b/>
                <w:sz w:val="19"/>
              </w:rPr>
            </w:pPr>
            <w:r>
              <w:rPr>
                <w:rFonts w:ascii="Caladea" w:hAnsi="Caladea"/>
                <w:b/>
                <w:sz w:val="19"/>
              </w:rPr>
              <w:t>As notas explicativas são parte integrante das demonstrações financeiras</w:t>
            </w:r>
          </w:p>
        </w:tc>
        <w:tc>
          <w:tcPr>
            <w:tcW w:w="726" w:type="dxa"/>
          </w:tcPr>
          <w:p>
            <w:pPr>
              <w:pStyle w:val="TableParagraph"/>
              <w:rPr>
                <w:rFonts w:ascii="Times New Roman"/>
                <w:sz w:val="18"/>
              </w:rPr>
            </w:pPr>
          </w:p>
        </w:tc>
        <w:tc>
          <w:tcPr>
            <w:tcW w:w="1905" w:type="dxa"/>
          </w:tcPr>
          <w:p>
            <w:pPr>
              <w:pStyle w:val="TableParagraph"/>
              <w:rPr>
                <w:rFonts w:ascii="Times New Roman"/>
                <w:sz w:val="18"/>
              </w:rPr>
            </w:pPr>
          </w:p>
        </w:tc>
        <w:tc>
          <w:tcPr>
            <w:tcW w:w="1152" w:type="dxa"/>
          </w:tcPr>
          <w:p>
            <w:pPr>
              <w:pStyle w:val="TableParagraph"/>
              <w:rPr>
                <w:rFonts w:ascii="Times New Roman"/>
                <w:sz w:val="18"/>
              </w:rPr>
            </w:pPr>
          </w:p>
        </w:tc>
        <w:tc>
          <w:tcPr>
            <w:tcW w:w="162" w:type="dxa"/>
          </w:tcPr>
          <w:p>
            <w:pPr>
              <w:pStyle w:val="TableParagraph"/>
              <w:rPr>
                <w:rFonts w:ascii="Times New Roman"/>
                <w:sz w:val="18"/>
              </w:rPr>
            </w:pPr>
          </w:p>
        </w:tc>
        <w:tc>
          <w:tcPr>
            <w:tcW w:w="1846" w:type="dxa"/>
          </w:tcPr>
          <w:p>
            <w:pPr>
              <w:pStyle w:val="TableParagraph"/>
              <w:rPr>
                <w:rFonts w:ascii="Times New Roman"/>
                <w:sz w:val="18"/>
              </w:rPr>
            </w:pPr>
          </w:p>
        </w:tc>
        <w:tc>
          <w:tcPr>
            <w:tcW w:w="1261" w:type="dxa"/>
          </w:tcPr>
          <w:p>
            <w:pPr>
              <w:pStyle w:val="TableParagraph"/>
              <w:rPr>
                <w:rFonts w:ascii="Times New Roman"/>
                <w:sz w:val="18"/>
              </w:rPr>
            </w:pPr>
          </w:p>
        </w:tc>
      </w:tr>
    </w:tbl>
    <w:p>
      <w:pPr>
        <w:spacing w:after="0"/>
        <w:rPr>
          <w:rFonts w:ascii="Times New Roman"/>
          <w:sz w:val="18"/>
        </w:rPr>
        <w:sectPr>
          <w:headerReference w:type="default" r:id="rId66"/>
          <w:footerReference w:type="default" r:id="rId67"/>
          <w:pgSz w:w="16850" w:h="11910" w:orient="landscape"/>
          <w:pgMar w:header="511" w:footer="1269" w:top="1580" w:bottom="1460" w:left="1020" w:right="1020"/>
          <w:pgNumType w:start="5"/>
        </w:sectPr>
      </w:pPr>
    </w:p>
    <w:p>
      <w:pPr>
        <w:spacing w:line="163" w:lineRule="exact" w:before="0"/>
        <w:ind w:left="5414" w:right="5415" w:firstLine="0"/>
        <w:jc w:val="center"/>
        <w:rPr>
          <w:rFonts w:ascii="Caladea"/>
          <w:b/>
          <w:sz w:val="14"/>
        </w:rPr>
      </w:pPr>
      <w:r>
        <w:rPr>
          <w:rFonts w:ascii="Caladea"/>
          <w:b/>
          <w:sz w:val="14"/>
        </w:rPr>
        <w:t>Em milhares de reais</w:t>
      </w:r>
    </w:p>
    <w:p>
      <w:pPr>
        <w:pStyle w:val="BodyText"/>
        <w:spacing w:before="8" w:after="1"/>
        <w:rPr>
          <w:rFonts w:ascii="Caladea"/>
          <w:b/>
          <w:sz w:val="19"/>
        </w:rPr>
      </w:pPr>
    </w:p>
    <w:tbl>
      <w:tblPr>
        <w:tblW w:w="0" w:type="auto"/>
        <w:jc w:val="left"/>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638"/>
        <w:gridCol w:w="1137"/>
        <w:gridCol w:w="953"/>
        <w:gridCol w:w="953"/>
        <w:gridCol w:w="1470"/>
        <w:gridCol w:w="1137"/>
        <w:gridCol w:w="1045"/>
        <w:gridCol w:w="1033"/>
        <w:gridCol w:w="1194"/>
      </w:tblGrid>
      <w:tr>
        <w:trPr>
          <w:trHeight w:val="180" w:hRule="atLeast"/>
        </w:trPr>
        <w:tc>
          <w:tcPr>
            <w:tcW w:w="5638" w:type="dxa"/>
            <w:vMerge w:val="restart"/>
          </w:tcPr>
          <w:p>
            <w:pPr>
              <w:pStyle w:val="TableParagraph"/>
              <w:rPr>
                <w:rFonts w:ascii="Caladea"/>
                <w:b/>
                <w:sz w:val="16"/>
              </w:rPr>
            </w:pPr>
          </w:p>
          <w:p>
            <w:pPr>
              <w:pStyle w:val="TableParagraph"/>
              <w:rPr>
                <w:rFonts w:ascii="Caladea"/>
                <w:b/>
                <w:sz w:val="16"/>
              </w:rPr>
            </w:pPr>
          </w:p>
          <w:p>
            <w:pPr>
              <w:pStyle w:val="TableParagraph"/>
              <w:spacing w:before="1"/>
              <w:rPr>
                <w:rFonts w:ascii="Caladea"/>
                <w:b/>
                <w:sz w:val="15"/>
              </w:rPr>
            </w:pPr>
          </w:p>
          <w:p>
            <w:pPr>
              <w:pStyle w:val="TableParagraph"/>
              <w:ind w:left="26"/>
              <w:rPr>
                <w:rFonts w:ascii="Caladea"/>
                <w:b/>
                <w:sz w:val="13"/>
              </w:rPr>
            </w:pPr>
            <w:r>
              <w:rPr>
                <w:rFonts w:ascii="Caladea"/>
                <w:b/>
                <w:w w:val="105"/>
                <w:sz w:val="13"/>
              </w:rPr>
              <w:t>Eventos</w:t>
            </w:r>
          </w:p>
        </w:tc>
        <w:tc>
          <w:tcPr>
            <w:tcW w:w="6695" w:type="dxa"/>
            <w:gridSpan w:val="6"/>
          </w:tcPr>
          <w:p>
            <w:pPr>
              <w:pStyle w:val="TableParagraph"/>
              <w:spacing w:line="148" w:lineRule="exact" w:before="12"/>
              <w:ind w:left="2110" w:right="2098"/>
              <w:jc w:val="center"/>
              <w:rPr>
                <w:rFonts w:ascii="Caladea" w:hAnsi="Caladea"/>
                <w:b/>
                <w:sz w:val="13"/>
              </w:rPr>
            </w:pPr>
            <w:r>
              <w:rPr>
                <w:rFonts w:ascii="Caladea" w:hAnsi="Caladea"/>
                <w:b/>
                <w:w w:val="105"/>
                <w:sz w:val="13"/>
              </w:rPr>
              <w:t>Atribuído aos acionistas controladores</w:t>
            </w:r>
          </w:p>
        </w:tc>
        <w:tc>
          <w:tcPr>
            <w:tcW w:w="1033" w:type="dxa"/>
            <w:vMerge w:val="restart"/>
          </w:tcPr>
          <w:p>
            <w:pPr>
              <w:pStyle w:val="TableParagraph"/>
              <w:spacing w:before="6"/>
              <w:rPr>
                <w:rFonts w:ascii="Caladea"/>
                <w:b/>
                <w:sz w:val="23"/>
              </w:rPr>
            </w:pPr>
          </w:p>
          <w:p>
            <w:pPr>
              <w:pStyle w:val="TableParagraph"/>
              <w:spacing w:line="290" w:lineRule="auto" w:before="1"/>
              <w:ind w:left="48" w:right="55" w:hanging="31"/>
              <w:jc w:val="center"/>
              <w:rPr>
                <w:rFonts w:ascii="Caladea" w:hAnsi="Caladea"/>
                <w:b/>
                <w:sz w:val="13"/>
              </w:rPr>
            </w:pPr>
            <w:r>
              <w:rPr>
                <w:rFonts w:ascii="Caladea" w:hAnsi="Caladea"/>
                <w:b/>
                <w:w w:val="105"/>
                <w:sz w:val="13"/>
              </w:rPr>
              <w:t>Participação de Acionistas </w:t>
            </w:r>
            <w:r>
              <w:rPr>
                <w:rFonts w:ascii="Caladea" w:hAnsi="Caladea"/>
                <w:b/>
                <w:spacing w:val="-3"/>
                <w:w w:val="105"/>
                <w:sz w:val="13"/>
              </w:rPr>
              <w:t>não      </w:t>
            </w:r>
            <w:r>
              <w:rPr>
                <w:rFonts w:ascii="Caladea" w:hAnsi="Caladea"/>
                <w:b/>
                <w:spacing w:val="-1"/>
                <w:w w:val="105"/>
                <w:sz w:val="13"/>
              </w:rPr>
              <w:t>Controladores</w:t>
            </w:r>
          </w:p>
        </w:tc>
        <w:tc>
          <w:tcPr>
            <w:tcW w:w="1194" w:type="dxa"/>
            <w:vMerge w:val="restart"/>
          </w:tcPr>
          <w:p>
            <w:pPr>
              <w:pStyle w:val="TableParagraph"/>
              <w:rPr>
                <w:rFonts w:ascii="Caladea"/>
                <w:b/>
                <w:sz w:val="16"/>
              </w:rPr>
            </w:pPr>
          </w:p>
          <w:p>
            <w:pPr>
              <w:pStyle w:val="TableParagraph"/>
              <w:spacing w:before="5"/>
              <w:rPr>
                <w:rFonts w:ascii="Caladea"/>
                <w:b/>
                <w:sz w:val="15"/>
              </w:rPr>
            </w:pPr>
          </w:p>
          <w:p>
            <w:pPr>
              <w:pStyle w:val="TableParagraph"/>
              <w:spacing w:line="290" w:lineRule="auto"/>
              <w:ind w:left="210" w:right="246" w:firstLine="11"/>
              <w:jc w:val="center"/>
              <w:rPr>
                <w:rFonts w:ascii="Caladea" w:hAnsi="Caladea"/>
                <w:b/>
                <w:sz w:val="13"/>
              </w:rPr>
            </w:pPr>
            <w:r>
              <w:rPr>
                <w:rFonts w:ascii="Caladea" w:hAnsi="Caladea"/>
                <w:b/>
                <w:w w:val="105"/>
                <w:sz w:val="13"/>
              </w:rPr>
              <w:t>Total do Patrimônio Líquido</w:t>
            </w:r>
          </w:p>
        </w:tc>
      </w:tr>
      <w:tr>
        <w:trPr>
          <w:trHeight w:val="513" w:hRule="atLeast"/>
        </w:trPr>
        <w:tc>
          <w:tcPr>
            <w:tcW w:w="5638" w:type="dxa"/>
            <w:vMerge/>
            <w:tcBorders>
              <w:top w:val="nil"/>
            </w:tcBorders>
          </w:tcPr>
          <w:p>
            <w:pPr>
              <w:rPr>
                <w:sz w:val="2"/>
                <w:szCs w:val="2"/>
              </w:rPr>
            </w:pPr>
          </w:p>
        </w:tc>
        <w:tc>
          <w:tcPr>
            <w:tcW w:w="1137" w:type="dxa"/>
            <w:vMerge w:val="restart"/>
          </w:tcPr>
          <w:p>
            <w:pPr>
              <w:pStyle w:val="TableParagraph"/>
              <w:rPr>
                <w:rFonts w:ascii="Caladea"/>
                <w:b/>
                <w:sz w:val="16"/>
              </w:rPr>
            </w:pPr>
          </w:p>
          <w:p>
            <w:pPr>
              <w:pStyle w:val="TableParagraph"/>
              <w:spacing w:before="5"/>
              <w:rPr>
                <w:rFonts w:ascii="Caladea"/>
                <w:b/>
                <w:sz w:val="15"/>
              </w:rPr>
            </w:pPr>
          </w:p>
          <w:p>
            <w:pPr>
              <w:pStyle w:val="TableParagraph"/>
              <w:spacing w:line="290" w:lineRule="auto"/>
              <w:ind w:left="382" w:hanging="35"/>
              <w:rPr>
                <w:rFonts w:ascii="Caladea"/>
                <w:b/>
                <w:sz w:val="13"/>
              </w:rPr>
            </w:pPr>
            <w:r>
              <w:rPr>
                <w:rFonts w:ascii="Caladea"/>
                <w:b/>
                <w:w w:val="105"/>
                <w:sz w:val="13"/>
              </w:rPr>
              <w:t>Capital Social</w:t>
            </w:r>
          </w:p>
        </w:tc>
        <w:tc>
          <w:tcPr>
            <w:tcW w:w="1906" w:type="dxa"/>
            <w:gridSpan w:val="2"/>
          </w:tcPr>
          <w:p>
            <w:pPr>
              <w:pStyle w:val="TableParagraph"/>
              <w:spacing w:before="9"/>
              <w:rPr>
                <w:rFonts w:ascii="Caladea"/>
                <w:b/>
                <w:sz w:val="14"/>
              </w:rPr>
            </w:pPr>
          </w:p>
          <w:p>
            <w:pPr>
              <w:pStyle w:val="TableParagraph"/>
              <w:ind w:left="359"/>
              <w:rPr>
                <w:rFonts w:ascii="Caladea"/>
                <w:b/>
                <w:sz w:val="13"/>
              </w:rPr>
            </w:pPr>
            <w:r>
              <w:rPr>
                <w:rFonts w:ascii="Caladea"/>
                <w:b/>
                <w:w w:val="105"/>
                <w:sz w:val="13"/>
              </w:rPr>
              <w:t>Reserva de Lucros</w:t>
            </w:r>
          </w:p>
        </w:tc>
        <w:tc>
          <w:tcPr>
            <w:tcW w:w="1470" w:type="dxa"/>
            <w:vMerge w:val="restart"/>
          </w:tcPr>
          <w:p>
            <w:pPr>
              <w:pStyle w:val="TableParagraph"/>
              <w:spacing w:before="9"/>
              <w:rPr>
                <w:rFonts w:ascii="Caladea"/>
                <w:b/>
                <w:sz w:val="15"/>
              </w:rPr>
            </w:pPr>
          </w:p>
          <w:p>
            <w:pPr>
              <w:pStyle w:val="TableParagraph"/>
              <w:spacing w:line="290" w:lineRule="auto"/>
              <w:ind w:left="84" w:right="113" w:firstLine="15"/>
              <w:jc w:val="center"/>
              <w:rPr>
                <w:rFonts w:ascii="Caladea" w:hAnsi="Caladea"/>
                <w:b/>
                <w:sz w:val="13"/>
              </w:rPr>
            </w:pPr>
            <w:r>
              <w:rPr>
                <w:rFonts w:ascii="Caladea" w:hAnsi="Caladea"/>
                <w:b/>
                <w:w w:val="105"/>
                <w:sz w:val="13"/>
              </w:rPr>
              <w:t>Ajuste de Avaliação Patrimonial/Outros Resultados Abrangentes</w:t>
            </w:r>
          </w:p>
        </w:tc>
        <w:tc>
          <w:tcPr>
            <w:tcW w:w="1137" w:type="dxa"/>
            <w:vMerge w:val="restart"/>
          </w:tcPr>
          <w:p>
            <w:pPr>
              <w:pStyle w:val="TableParagraph"/>
              <w:spacing w:before="6"/>
              <w:rPr>
                <w:rFonts w:ascii="Caladea"/>
                <w:b/>
                <w:sz w:val="23"/>
              </w:rPr>
            </w:pPr>
          </w:p>
          <w:p>
            <w:pPr>
              <w:pStyle w:val="TableParagraph"/>
              <w:spacing w:line="290" w:lineRule="auto" w:before="1"/>
              <w:ind w:left="164" w:right="170" w:hanging="29"/>
              <w:jc w:val="center"/>
              <w:rPr>
                <w:rFonts w:ascii="Caladea" w:hAnsi="Caladea"/>
                <w:b/>
                <w:sz w:val="13"/>
              </w:rPr>
            </w:pPr>
            <w:r>
              <w:rPr>
                <w:rFonts w:ascii="Caladea" w:hAnsi="Caladea"/>
                <w:b/>
                <w:w w:val="105"/>
                <w:sz w:val="13"/>
              </w:rPr>
              <w:t>Lucros / (Prejuízos) Acumulados</w:t>
            </w:r>
          </w:p>
        </w:tc>
        <w:tc>
          <w:tcPr>
            <w:tcW w:w="1045" w:type="dxa"/>
            <w:vMerge w:val="restart"/>
          </w:tcPr>
          <w:p>
            <w:pPr>
              <w:pStyle w:val="TableParagraph"/>
              <w:spacing w:before="6"/>
              <w:rPr>
                <w:rFonts w:ascii="Caladea"/>
                <w:b/>
                <w:sz w:val="23"/>
              </w:rPr>
            </w:pPr>
          </w:p>
          <w:p>
            <w:pPr>
              <w:pStyle w:val="TableParagraph"/>
              <w:spacing w:line="290" w:lineRule="auto" w:before="1"/>
              <w:ind w:left="106" w:right="124"/>
              <w:jc w:val="both"/>
              <w:rPr>
                <w:rFonts w:ascii="Caladea" w:hAnsi="Caladea"/>
                <w:b/>
                <w:sz w:val="13"/>
              </w:rPr>
            </w:pPr>
            <w:r>
              <w:rPr>
                <w:rFonts w:ascii="Caladea" w:hAnsi="Caladea"/>
                <w:b/>
                <w:w w:val="105"/>
                <w:sz w:val="13"/>
              </w:rPr>
              <w:t>Participação do Acionista Controlador</w:t>
            </w:r>
          </w:p>
        </w:tc>
        <w:tc>
          <w:tcPr>
            <w:tcW w:w="1033" w:type="dxa"/>
            <w:vMerge/>
            <w:tcBorders>
              <w:top w:val="nil"/>
            </w:tcBorders>
          </w:tcPr>
          <w:p>
            <w:pPr>
              <w:rPr>
                <w:sz w:val="2"/>
                <w:szCs w:val="2"/>
              </w:rPr>
            </w:pPr>
          </w:p>
        </w:tc>
        <w:tc>
          <w:tcPr>
            <w:tcW w:w="1194" w:type="dxa"/>
            <w:vMerge/>
            <w:tcBorders>
              <w:top w:val="nil"/>
            </w:tcBorders>
          </w:tcPr>
          <w:p>
            <w:pPr>
              <w:rPr>
                <w:sz w:val="2"/>
                <w:szCs w:val="2"/>
              </w:rPr>
            </w:pPr>
          </w:p>
        </w:tc>
      </w:tr>
      <w:tr>
        <w:trPr>
          <w:trHeight w:val="547" w:hRule="atLeast"/>
        </w:trPr>
        <w:tc>
          <w:tcPr>
            <w:tcW w:w="5638" w:type="dxa"/>
            <w:vMerge/>
            <w:tcBorders>
              <w:top w:val="nil"/>
            </w:tcBorders>
          </w:tcPr>
          <w:p>
            <w:pPr>
              <w:rPr>
                <w:sz w:val="2"/>
                <w:szCs w:val="2"/>
              </w:rPr>
            </w:pPr>
          </w:p>
        </w:tc>
        <w:tc>
          <w:tcPr>
            <w:tcW w:w="1137" w:type="dxa"/>
            <w:vMerge/>
            <w:tcBorders>
              <w:top w:val="nil"/>
            </w:tcBorders>
          </w:tcPr>
          <w:p>
            <w:pPr>
              <w:rPr>
                <w:sz w:val="2"/>
                <w:szCs w:val="2"/>
              </w:rPr>
            </w:pPr>
          </w:p>
        </w:tc>
        <w:tc>
          <w:tcPr>
            <w:tcW w:w="953" w:type="dxa"/>
          </w:tcPr>
          <w:p>
            <w:pPr>
              <w:pStyle w:val="TableParagraph"/>
              <w:spacing w:before="8"/>
              <w:rPr>
                <w:rFonts w:ascii="Caladea"/>
                <w:b/>
                <w:sz w:val="16"/>
              </w:rPr>
            </w:pPr>
          </w:p>
          <w:p>
            <w:pPr>
              <w:pStyle w:val="TableParagraph"/>
              <w:spacing w:before="1"/>
              <w:ind w:right="29"/>
              <w:jc w:val="right"/>
              <w:rPr>
                <w:rFonts w:ascii="Caladea"/>
                <w:b/>
                <w:sz w:val="13"/>
              </w:rPr>
            </w:pPr>
            <w:r>
              <w:rPr>
                <w:rFonts w:ascii="Caladea"/>
                <w:b/>
                <w:w w:val="105"/>
                <w:sz w:val="13"/>
              </w:rPr>
              <w:t>Reserva Legal</w:t>
            </w:r>
          </w:p>
        </w:tc>
        <w:tc>
          <w:tcPr>
            <w:tcW w:w="953" w:type="dxa"/>
          </w:tcPr>
          <w:p>
            <w:pPr>
              <w:pStyle w:val="TableParagraph"/>
              <w:spacing w:line="290" w:lineRule="auto" w:before="104"/>
              <w:ind w:left="256" w:right="121" w:hanging="150"/>
              <w:rPr>
                <w:rFonts w:ascii="Caladea"/>
                <w:b/>
                <w:sz w:val="13"/>
              </w:rPr>
            </w:pPr>
            <w:r>
              <w:rPr>
                <w:rFonts w:ascii="Caladea"/>
                <w:b/>
                <w:w w:val="105"/>
                <w:sz w:val="13"/>
              </w:rPr>
              <w:t>Reserva de Capital</w:t>
            </w:r>
          </w:p>
        </w:tc>
        <w:tc>
          <w:tcPr>
            <w:tcW w:w="1470" w:type="dxa"/>
            <w:vMerge/>
            <w:tcBorders>
              <w:top w:val="nil"/>
            </w:tcBorders>
          </w:tcPr>
          <w:p>
            <w:pPr>
              <w:rPr>
                <w:sz w:val="2"/>
                <w:szCs w:val="2"/>
              </w:rPr>
            </w:pPr>
          </w:p>
        </w:tc>
        <w:tc>
          <w:tcPr>
            <w:tcW w:w="1137" w:type="dxa"/>
            <w:vMerge/>
            <w:tcBorders>
              <w:top w:val="nil"/>
            </w:tcBorders>
          </w:tcPr>
          <w:p>
            <w:pPr>
              <w:rPr>
                <w:sz w:val="2"/>
                <w:szCs w:val="2"/>
              </w:rPr>
            </w:pPr>
          </w:p>
        </w:tc>
        <w:tc>
          <w:tcPr>
            <w:tcW w:w="1045" w:type="dxa"/>
            <w:vMerge/>
            <w:tcBorders>
              <w:top w:val="nil"/>
            </w:tcBorders>
          </w:tcPr>
          <w:p>
            <w:pPr>
              <w:rPr>
                <w:sz w:val="2"/>
                <w:szCs w:val="2"/>
              </w:rPr>
            </w:pPr>
          </w:p>
        </w:tc>
        <w:tc>
          <w:tcPr>
            <w:tcW w:w="1033" w:type="dxa"/>
            <w:vMerge/>
            <w:tcBorders>
              <w:top w:val="nil"/>
            </w:tcBorders>
          </w:tcPr>
          <w:p>
            <w:pPr>
              <w:rPr>
                <w:sz w:val="2"/>
                <w:szCs w:val="2"/>
              </w:rPr>
            </w:pPr>
          </w:p>
        </w:tc>
        <w:tc>
          <w:tcPr>
            <w:tcW w:w="1194" w:type="dxa"/>
            <w:vMerge/>
            <w:tcBorders>
              <w:top w:val="nil"/>
            </w:tcBorders>
          </w:tcPr>
          <w:p>
            <w:pPr>
              <w:rPr>
                <w:sz w:val="2"/>
                <w:szCs w:val="2"/>
              </w:rPr>
            </w:pPr>
          </w:p>
        </w:tc>
      </w:tr>
      <w:tr>
        <w:trPr>
          <w:trHeight w:val="180" w:hRule="atLeast"/>
        </w:trPr>
        <w:tc>
          <w:tcPr>
            <w:tcW w:w="5638" w:type="dxa"/>
          </w:tcPr>
          <w:p>
            <w:pPr>
              <w:pStyle w:val="TableParagraph"/>
              <w:spacing w:line="136" w:lineRule="exact" w:before="24"/>
              <w:ind w:left="26"/>
              <w:rPr>
                <w:rFonts w:ascii="Caladea" w:hAnsi="Caladea"/>
                <w:b/>
                <w:sz w:val="13"/>
              </w:rPr>
            </w:pPr>
            <w:r>
              <w:rPr>
                <w:rFonts w:ascii="Caladea" w:hAnsi="Caladea"/>
                <w:b/>
                <w:w w:val="105"/>
                <w:sz w:val="13"/>
              </w:rPr>
              <w:t>Saldo em 1º de janeiro de 2018 - Reapresentado</w:t>
            </w:r>
          </w:p>
        </w:tc>
        <w:tc>
          <w:tcPr>
            <w:tcW w:w="1137" w:type="dxa"/>
          </w:tcPr>
          <w:p>
            <w:pPr>
              <w:pStyle w:val="TableParagraph"/>
              <w:spacing w:line="136" w:lineRule="exact" w:before="24"/>
              <w:ind w:right="69"/>
              <w:jc w:val="right"/>
              <w:rPr>
                <w:rFonts w:ascii="Caladea"/>
                <w:b/>
                <w:sz w:val="13"/>
              </w:rPr>
            </w:pPr>
            <w:r>
              <w:rPr>
                <w:rFonts w:ascii="Caladea"/>
                <w:b/>
                <w:w w:val="105"/>
                <w:sz w:val="13"/>
              </w:rPr>
              <w:t>566.025</w:t>
            </w:r>
          </w:p>
        </w:tc>
        <w:tc>
          <w:tcPr>
            <w:tcW w:w="953" w:type="dxa"/>
          </w:tcPr>
          <w:p>
            <w:pPr>
              <w:pStyle w:val="TableParagraph"/>
              <w:rPr>
                <w:rFonts w:ascii="Times New Roman"/>
                <w:sz w:val="12"/>
              </w:rPr>
            </w:pPr>
          </w:p>
        </w:tc>
        <w:tc>
          <w:tcPr>
            <w:tcW w:w="953" w:type="dxa"/>
          </w:tcPr>
          <w:p>
            <w:pPr>
              <w:pStyle w:val="TableParagraph"/>
              <w:rPr>
                <w:rFonts w:ascii="Times New Roman"/>
                <w:sz w:val="12"/>
              </w:rPr>
            </w:pPr>
          </w:p>
        </w:tc>
        <w:tc>
          <w:tcPr>
            <w:tcW w:w="1470" w:type="dxa"/>
          </w:tcPr>
          <w:p>
            <w:pPr>
              <w:pStyle w:val="TableParagraph"/>
              <w:spacing w:line="136" w:lineRule="exact" w:before="24"/>
              <w:ind w:right="70"/>
              <w:jc w:val="right"/>
              <w:rPr>
                <w:rFonts w:ascii="Caladea"/>
                <w:b/>
                <w:sz w:val="13"/>
              </w:rPr>
            </w:pPr>
            <w:r>
              <w:rPr>
                <w:rFonts w:ascii="Caladea"/>
                <w:b/>
                <w:w w:val="105"/>
                <w:sz w:val="13"/>
              </w:rPr>
              <w:t>156.506</w:t>
            </w:r>
          </w:p>
        </w:tc>
        <w:tc>
          <w:tcPr>
            <w:tcW w:w="1137" w:type="dxa"/>
          </w:tcPr>
          <w:p>
            <w:pPr>
              <w:pStyle w:val="TableParagraph"/>
              <w:spacing w:line="136" w:lineRule="exact" w:before="24"/>
              <w:ind w:left="536"/>
              <w:jc w:val="center"/>
              <w:rPr>
                <w:rFonts w:ascii="Caladea"/>
                <w:b/>
                <w:sz w:val="13"/>
              </w:rPr>
            </w:pPr>
            <w:r>
              <w:rPr>
                <w:rFonts w:ascii="Caladea"/>
                <w:b/>
                <w:w w:val="105"/>
                <w:sz w:val="13"/>
              </w:rPr>
              <w:t>(65.478)</w:t>
            </w:r>
          </w:p>
        </w:tc>
        <w:tc>
          <w:tcPr>
            <w:tcW w:w="1045" w:type="dxa"/>
          </w:tcPr>
          <w:p>
            <w:pPr>
              <w:pStyle w:val="TableParagraph"/>
              <w:spacing w:line="136" w:lineRule="exact" w:before="24"/>
              <w:ind w:right="70"/>
              <w:jc w:val="right"/>
              <w:rPr>
                <w:rFonts w:ascii="Caladea"/>
                <w:b/>
                <w:sz w:val="13"/>
              </w:rPr>
            </w:pPr>
            <w:r>
              <w:rPr>
                <w:rFonts w:ascii="Caladea"/>
                <w:b/>
                <w:w w:val="105"/>
                <w:sz w:val="13"/>
              </w:rPr>
              <w:t>657.053</w:t>
            </w:r>
          </w:p>
        </w:tc>
        <w:tc>
          <w:tcPr>
            <w:tcW w:w="1033" w:type="dxa"/>
          </w:tcPr>
          <w:p>
            <w:pPr>
              <w:pStyle w:val="TableParagraph"/>
              <w:spacing w:line="136" w:lineRule="exact" w:before="24"/>
              <w:ind w:right="70"/>
              <w:jc w:val="right"/>
              <w:rPr>
                <w:rFonts w:ascii="Caladea"/>
                <w:b/>
                <w:sz w:val="13"/>
              </w:rPr>
            </w:pPr>
            <w:r>
              <w:rPr>
                <w:rFonts w:ascii="Caladea"/>
                <w:b/>
                <w:w w:val="105"/>
                <w:sz w:val="13"/>
              </w:rPr>
              <w:t>201.429</w:t>
            </w:r>
          </w:p>
        </w:tc>
        <w:tc>
          <w:tcPr>
            <w:tcW w:w="1194" w:type="dxa"/>
          </w:tcPr>
          <w:p>
            <w:pPr>
              <w:pStyle w:val="TableParagraph"/>
              <w:spacing w:line="136" w:lineRule="exact" w:before="24"/>
              <w:ind w:right="70"/>
              <w:jc w:val="right"/>
              <w:rPr>
                <w:rFonts w:ascii="Caladea"/>
                <w:b/>
                <w:sz w:val="13"/>
              </w:rPr>
            </w:pPr>
            <w:r>
              <w:rPr>
                <w:rFonts w:ascii="Caladea"/>
                <w:b/>
                <w:w w:val="105"/>
                <w:sz w:val="13"/>
              </w:rPr>
              <w:t>858.482</w:t>
            </w:r>
          </w:p>
        </w:tc>
      </w:tr>
      <w:tr>
        <w:trPr>
          <w:trHeight w:val="1741" w:hRule="atLeast"/>
        </w:trPr>
        <w:tc>
          <w:tcPr>
            <w:tcW w:w="5638" w:type="dxa"/>
          </w:tcPr>
          <w:p>
            <w:pPr>
              <w:pStyle w:val="TableParagraph"/>
              <w:spacing w:before="24"/>
              <w:ind w:left="26"/>
              <w:rPr>
                <w:rFonts w:ascii="Caladea" w:hAnsi="Caladea"/>
                <w:b/>
                <w:sz w:val="13"/>
              </w:rPr>
            </w:pPr>
            <w:r>
              <w:rPr>
                <w:rFonts w:ascii="Caladea" w:hAnsi="Caladea"/>
                <w:b/>
                <w:w w:val="105"/>
                <w:sz w:val="13"/>
              </w:rPr>
              <w:t>Transação de Capital com Acionistas:</w:t>
            </w:r>
          </w:p>
          <w:p>
            <w:pPr>
              <w:pStyle w:val="TableParagraph"/>
              <w:spacing w:line="309" w:lineRule="auto" w:before="44"/>
              <w:ind w:left="26" w:right="2751"/>
              <w:rPr>
                <w:sz w:val="13"/>
              </w:rPr>
            </w:pPr>
            <w:r>
              <w:rPr>
                <w:w w:val="105"/>
                <w:sz w:val="13"/>
              </w:rPr>
              <w:t>Dividendos destinados aos acionistas Constituição</w:t>
            </w:r>
            <w:r>
              <w:rPr>
                <w:spacing w:val="-26"/>
                <w:w w:val="105"/>
                <w:sz w:val="13"/>
              </w:rPr>
              <w:t> </w:t>
            </w:r>
            <w:r>
              <w:rPr>
                <w:w w:val="105"/>
                <w:sz w:val="13"/>
              </w:rPr>
              <w:t>de</w:t>
            </w:r>
            <w:r>
              <w:rPr>
                <w:spacing w:val="-22"/>
                <w:w w:val="105"/>
                <w:sz w:val="13"/>
              </w:rPr>
              <w:t> </w:t>
            </w:r>
            <w:r>
              <w:rPr>
                <w:w w:val="105"/>
                <w:sz w:val="13"/>
              </w:rPr>
              <w:t>Provisão</w:t>
            </w:r>
            <w:r>
              <w:rPr>
                <w:spacing w:val="-25"/>
                <w:w w:val="105"/>
                <w:sz w:val="13"/>
              </w:rPr>
              <w:t> </w:t>
            </w:r>
            <w:r>
              <w:rPr>
                <w:w w:val="105"/>
                <w:sz w:val="13"/>
              </w:rPr>
              <w:t>de</w:t>
            </w:r>
            <w:r>
              <w:rPr>
                <w:spacing w:val="-22"/>
                <w:w w:val="105"/>
                <w:sz w:val="13"/>
              </w:rPr>
              <w:t> </w:t>
            </w:r>
            <w:r>
              <w:rPr>
                <w:w w:val="105"/>
                <w:sz w:val="13"/>
              </w:rPr>
              <w:t>Partes</w:t>
            </w:r>
            <w:r>
              <w:rPr>
                <w:spacing w:val="-24"/>
                <w:w w:val="105"/>
                <w:sz w:val="13"/>
              </w:rPr>
              <w:t> </w:t>
            </w:r>
            <w:r>
              <w:rPr>
                <w:w w:val="105"/>
                <w:sz w:val="13"/>
              </w:rPr>
              <w:t>Beneficiárias Dividendos a</w:t>
            </w:r>
            <w:r>
              <w:rPr>
                <w:spacing w:val="-15"/>
                <w:w w:val="105"/>
                <w:sz w:val="13"/>
              </w:rPr>
              <w:t> </w:t>
            </w:r>
            <w:r>
              <w:rPr>
                <w:w w:val="105"/>
                <w:sz w:val="13"/>
              </w:rPr>
              <w:t>pagar</w:t>
            </w:r>
          </w:p>
          <w:p>
            <w:pPr>
              <w:pStyle w:val="TableParagraph"/>
              <w:spacing w:line="307" w:lineRule="auto"/>
              <w:ind w:left="26" w:right="3292"/>
              <w:rPr>
                <w:rFonts w:ascii="Caladea" w:hAnsi="Caladea"/>
                <w:b/>
                <w:sz w:val="13"/>
              </w:rPr>
            </w:pPr>
            <w:r>
              <w:rPr>
                <w:rFonts w:ascii="Caladea" w:hAnsi="Caladea"/>
                <w:b/>
                <w:w w:val="105"/>
                <w:sz w:val="13"/>
              </w:rPr>
              <w:t>Lucro líquido do exercício Destinação do Lucro</w:t>
            </w:r>
          </w:p>
          <w:p>
            <w:pPr>
              <w:pStyle w:val="TableParagraph"/>
              <w:spacing w:before="2"/>
              <w:ind w:left="129"/>
              <w:rPr>
                <w:sz w:val="13"/>
              </w:rPr>
            </w:pPr>
            <w:r>
              <w:rPr>
                <w:w w:val="105"/>
                <w:sz w:val="13"/>
              </w:rPr>
              <w:t>Reserva Legal</w:t>
            </w:r>
          </w:p>
          <w:p>
            <w:pPr>
              <w:pStyle w:val="TableParagraph"/>
              <w:spacing w:before="44"/>
              <w:ind w:left="129"/>
              <w:rPr>
                <w:sz w:val="13"/>
              </w:rPr>
            </w:pPr>
            <w:r>
              <w:rPr>
                <w:w w:val="105"/>
                <w:sz w:val="13"/>
              </w:rPr>
              <w:t>Reserva para Expansão dos Negócios Sociais</w:t>
            </w:r>
          </w:p>
          <w:p>
            <w:pPr>
              <w:pStyle w:val="TableParagraph"/>
              <w:spacing w:line="135" w:lineRule="exact" w:before="44"/>
              <w:ind w:left="26"/>
              <w:rPr>
                <w:sz w:val="13"/>
              </w:rPr>
            </w:pPr>
            <w:r>
              <w:rPr>
                <w:sz w:val="13"/>
              </w:rPr>
              <w:t>Equiv. Patrim. sobre Resultados Abrangentes - Controladas - Benefícios Pós-Emprego</w:t>
            </w:r>
          </w:p>
        </w:tc>
        <w:tc>
          <w:tcPr>
            <w:tcW w:w="1137" w:type="dxa"/>
          </w:tcPr>
          <w:p>
            <w:pPr>
              <w:pStyle w:val="TableParagraph"/>
              <w:rPr>
                <w:rFonts w:ascii="Times New Roman"/>
                <w:sz w:val="14"/>
              </w:rPr>
            </w:pPr>
          </w:p>
        </w:tc>
        <w:tc>
          <w:tcPr>
            <w:tcW w:w="953"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22"/>
              </w:rPr>
            </w:pPr>
          </w:p>
          <w:p>
            <w:pPr>
              <w:pStyle w:val="TableParagraph"/>
              <w:spacing w:before="1"/>
              <w:ind w:right="75"/>
              <w:jc w:val="right"/>
              <w:rPr>
                <w:sz w:val="13"/>
              </w:rPr>
            </w:pPr>
            <w:r>
              <w:rPr>
                <w:sz w:val="13"/>
              </w:rPr>
              <w:t>1.225</w:t>
            </w:r>
          </w:p>
        </w:tc>
        <w:tc>
          <w:tcPr>
            <w:tcW w:w="953"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8"/>
              <w:rPr>
                <w:rFonts w:ascii="Caladea"/>
                <w:b/>
                <w:sz w:val="22"/>
              </w:rPr>
            </w:pPr>
          </w:p>
          <w:p>
            <w:pPr>
              <w:pStyle w:val="TableParagraph"/>
              <w:ind w:right="75"/>
              <w:jc w:val="right"/>
              <w:rPr>
                <w:sz w:val="13"/>
              </w:rPr>
            </w:pPr>
            <w:r>
              <w:rPr>
                <w:w w:val="105"/>
                <w:sz w:val="13"/>
              </w:rPr>
              <w:t>17.452</w:t>
            </w:r>
          </w:p>
        </w:tc>
        <w:tc>
          <w:tcPr>
            <w:tcW w:w="1470"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4"/>
              <w:rPr>
                <w:rFonts w:ascii="Caladea"/>
                <w:b/>
                <w:sz w:val="23"/>
              </w:rPr>
            </w:pPr>
          </w:p>
          <w:p>
            <w:pPr>
              <w:pStyle w:val="TableParagraph"/>
              <w:spacing w:line="135" w:lineRule="exact"/>
              <w:ind w:right="19"/>
              <w:jc w:val="right"/>
              <w:rPr>
                <w:sz w:val="13"/>
              </w:rPr>
            </w:pPr>
            <w:r>
              <w:rPr>
                <w:w w:val="105"/>
                <w:sz w:val="13"/>
              </w:rPr>
              <w:t>(6.757)</w:t>
            </w:r>
          </w:p>
        </w:tc>
        <w:tc>
          <w:tcPr>
            <w:tcW w:w="1137" w:type="dxa"/>
          </w:tcPr>
          <w:p>
            <w:pPr>
              <w:pStyle w:val="TableParagraph"/>
              <w:spacing w:before="9"/>
              <w:rPr>
                <w:rFonts w:ascii="Caladea"/>
                <w:b/>
                <w:sz w:val="18"/>
              </w:rPr>
            </w:pPr>
          </w:p>
          <w:p>
            <w:pPr>
              <w:pStyle w:val="TableParagraph"/>
              <w:ind w:left="646"/>
              <w:rPr>
                <w:sz w:val="13"/>
              </w:rPr>
            </w:pPr>
            <w:r>
              <w:rPr>
                <w:w w:val="105"/>
                <w:sz w:val="13"/>
              </w:rPr>
              <w:t>(5.817)</w:t>
            </w:r>
          </w:p>
          <w:p>
            <w:pPr>
              <w:pStyle w:val="TableParagraph"/>
              <w:rPr>
                <w:rFonts w:ascii="Caladea"/>
                <w:b/>
                <w:sz w:val="16"/>
              </w:rPr>
            </w:pPr>
          </w:p>
          <w:p>
            <w:pPr>
              <w:pStyle w:val="TableParagraph"/>
              <w:spacing w:before="1"/>
              <w:rPr>
                <w:rFonts w:ascii="Caladea"/>
                <w:b/>
                <w:sz w:val="21"/>
              </w:rPr>
            </w:pPr>
          </w:p>
          <w:p>
            <w:pPr>
              <w:pStyle w:val="TableParagraph"/>
              <w:ind w:left="623"/>
              <w:rPr>
                <w:sz w:val="13"/>
              </w:rPr>
            </w:pPr>
            <w:r>
              <w:rPr>
                <w:w w:val="105"/>
                <w:sz w:val="13"/>
              </w:rPr>
              <w:t>89.972</w:t>
            </w:r>
          </w:p>
          <w:p>
            <w:pPr>
              <w:pStyle w:val="TableParagraph"/>
              <w:spacing w:before="5"/>
              <w:rPr>
                <w:rFonts w:ascii="Caladea"/>
                <w:b/>
                <w:sz w:val="20"/>
              </w:rPr>
            </w:pPr>
          </w:p>
          <w:p>
            <w:pPr>
              <w:pStyle w:val="TableParagraph"/>
              <w:ind w:left="646"/>
              <w:rPr>
                <w:sz w:val="13"/>
              </w:rPr>
            </w:pPr>
            <w:r>
              <w:rPr>
                <w:w w:val="105"/>
                <w:sz w:val="13"/>
              </w:rPr>
              <w:t>(1.225)</w:t>
            </w:r>
          </w:p>
          <w:p>
            <w:pPr>
              <w:pStyle w:val="TableParagraph"/>
              <w:spacing w:before="45"/>
              <w:ind w:left="566"/>
              <w:rPr>
                <w:sz w:val="13"/>
              </w:rPr>
            </w:pPr>
            <w:r>
              <w:rPr>
                <w:w w:val="105"/>
                <w:sz w:val="13"/>
              </w:rPr>
              <w:t>(17.452)</w:t>
            </w:r>
          </w:p>
        </w:tc>
        <w:tc>
          <w:tcPr>
            <w:tcW w:w="1045" w:type="dxa"/>
          </w:tcPr>
          <w:p>
            <w:pPr>
              <w:pStyle w:val="TableParagraph"/>
              <w:spacing w:before="9"/>
              <w:rPr>
                <w:rFonts w:ascii="Caladea"/>
                <w:b/>
                <w:sz w:val="18"/>
              </w:rPr>
            </w:pPr>
          </w:p>
          <w:p>
            <w:pPr>
              <w:pStyle w:val="TableParagraph"/>
              <w:ind w:left="554"/>
              <w:rPr>
                <w:sz w:val="13"/>
              </w:rPr>
            </w:pPr>
            <w:r>
              <w:rPr>
                <w:w w:val="105"/>
                <w:sz w:val="13"/>
              </w:rPr>
              <w:t>(5.817)</w:t>
            </w:r>
          </w:p>
          <w:p>
            <w:pPr>
              <w:pStyle w:val="TableParagraph"/>
              <w:rPr>
                <w:rFonts w:ascii="Caladea"/>
                <w:b/>
                <w:sz w:val="16"/>
              </w:rPr>
            </w:pPr>
          </w:p>
          <w:p>
            <w:pPr>
              <w:pStyle w:val="TableParagraph"/>
              <w:spacing w:before="1"/>
              <w:rPr>
                <w:rFonts w:ascii="Caladea"/>
                <w:b/>
                <w:sz w:val="21"/>
              </w:rPr>
            </w:pPr>
          </w:p>
          <w:p>
            <w:pPr>
              <w:pStyle w:val="TableParagraph"/>
              <w:ind w:left="531"/>
              <w:rPr>
                <w:sz w:val="13"/>
              </w:rPr>
            </w:pPr>
            <w:r>
              <w:rPr>
                <w:w w:val="105"/>
                <w:sz w:val="13"/>
              </w:rPr>
              <w:t>89.972</w:t>
            </w:r>
          </w:p>
          <w:p>
            <w:pPr>
              <w:pStyle w:val="TableParagraph"/>
              <w:rPr>
                <w:rFonts w:ascii="Caladea"/>
                <w:b/>
                <w:sz w:val="16"/>
              </w:rPr>
            </w:pPr>
          </w:p>
          <w:p>
            <w:pPr>
              <w:pStyle w:val="TableParagraph"/>
              <w:rPr>
                <w:rFonts w:ascii="Caladea"/>
                <w:b/>
                <w:sz w:val="16"/>
              </w:rPr>
            </w:pPr>
          </w:p>
          <w:p>
            <w:pPr>
              <w:pStyle w:val="TableParagraph"/>
              <w:spacing w:before="9"/>
              <w:rPr>
                <w:rFonts w:ascii="Caladea"/>
                <w:b/>
                <w:sz w:val="21"/>
              </w:rPr>
            </w:pPr>
          </w:p>
          <w:p>
            <w:pPr>
              <w:pStyle w:val="TableParagraph"/>
              <w:spacing w:line="135" w:lineRule="exact"/>
              <w:ind w:left="554"/>
              <w:rPr>
                <w:sz w:val="13"/>
              </w:rPr>
            </w:pPr>
            <w:r>
              <w:rPr>
                <w:w w:val="105"/>
                <w:sz w:val="13"/>
              </w:rPr>
              <w:t>(6.757)</w:t>
            </w:r>
          </w:p>
        </w:tc>
        <w:tc>
          <w:tcPr>
            <w:tcW w:w="1033" w:type="dxa"/>
          </w:tcPr>
          <w:p>
            <w:pPr>
              <w:pStyle w:val="TableParagraph"/>
              <w:rPr>
                <w:rFonts w:ascii="Caladea"/>
                <w:b/>
                <w:sz w:val="16"/>
              </w:rPr>
            </w:pPr>
          </w:p>
          <w:p>
            <w:pPr>
              <w:pStyle w:val="TableParagraph"/>
              <w:spacing w:before="5"/>
              <w:rPr>
                <w:rFonts w:ascii="Caladea"/>
                <w:b/>
                <w:sz w:val="19"/>
              </w:rPr>
            </w:pPr>
          </w:p>
          <w:p>
            <w:pPr>
              <w:pStyle w:val="TableParagraph"/>
              <w:ind w:left="542"/>
              <w:rPr>
                <w:sz w:val="13"/>
              </w:rPr>
            </w:pPr>
            <w:r>
              <w:rPr>
                <w:w w:val="105"/>
                <w:sz w:val="13"/>
              </w:rPr>
              <w:t>(5.238)</w:t>
            </w:r>
          </w:p>
          <w:p>
            <w:pPr>
              <w:pStyle w:val="TableParagraph"/>
              <w:spacing w:before="45"/>
              <w:ind w:left="462"/>
              <w:rPr>
                <w:sz w:val="13"/>
              </w:rPr>
            </w:pPr>
            <w:r>
              <w:rPr>
                <w:w w:val="105"/>
                <w:sz w:val="13"/>
              </w:rPr>
              <w:t>(16.472)</w:t>
            </w:r>
          </w:p>
          <w:p>
            <w:pPr>
              <w:pStyle w:val="TableParagraph"/>
              <w:spacing w:before="44"/>
              <w:ind w:left="519"/>
              <w:rPr>
                <w:sz w:val="13"/>
              </w:rPr>
            </w:pPr>
            <w:r>
              <w:rPr>
                <w:w w:val="105"/>
                <w:sz w:val="13"/>
              </w:rPr>
              <w:t>25.738</w:t>
            </w:r>
          </w:p>
        </w:tc>
        <w:tc>
          <w:tcPr>
            <w:tcW w:w="1194" w:type="dxa"/>
          </w:tcPr>
          <w:p>
            <w:pPr>
              <w:pStyle w:val="TableParagraph"/>
              <w:spacing w:before="8"/>
              <w:rPr>
                <w:rFonts w:ascii="Caladea"/>
                <w:b/>
                <w:sz w:val="18"/>
              </w:rPr>
            </w:pPr>
          </w:p>
          <w:p>
            <w:pPr>
              <w:pStyle w:val="TableParagraph"/>
              <w:ind w:left="692"/>
              <w:rPr>
                <w:rFonts w:ascii="Caladea"/>
                <w:b/>
                <w:sz w:val="13"/>
              </w:rPr>
            </w:pPr>
            <w:r>
              <w:rPr>
                <w:rFonts w:ascii="Caladea"/>
                <w:b/>
                <w:w w:val="105"/>
                <w:sz w:val="13"/>
              </w:rPr>
              <w:t>(5.817)</w:t>
            </w:r>
          </w:p>
          <w:p>
            <w:pPr>
              <w:pStyle w:val="TableParagraph"/>
              <w:spacing w:before="43"/>
              <w:ind w:left="692"/>
              <w:rPr>
                <w:rFonts w:ascii="Caladea"/>
                <w:b/>
                <w:sz w:val="13"/>
              </w:rPr>
            </w:pPr>
            <w:r>
              <w:rPr>
                <w:rFonts w:ascii="Caladea"/>
                <w:b/>
                <w:w w:val="105"/>
                <w:sz w:val="13"/>
              </w:rPr>
              <w:t>(5.238)</w:t>
            </w:r>
          </w:p>
          <w:p>
            <w:pPr>
              <w:pStyle w:val="TableParagraph"/>
              <w:spacing w:before="43"/>
              <w:ind w:left="612"/>
              <w:rPr>
                <w:rFonts w:ascii="Caladea"/>
                <w:b/>
                <w:sz w:val="13"/>
              </w:rPr>
            </w:pPr>
            <w:r>
              <w:rPr>
                <w:rFonts w:ascii="Caladea"/>
                <w:b/>
                <w:w w:val="105"/>
                <w:sz w:val="13"/>
              </w:rPr>
              <w:t>(16.472)</w:t>
            </w:r>
          </w:p>
          <w:p>
            <w:pPr>
              <w:pStyle w:val="TableParagraph"/>
              <w:spacing w:before="42"/>
              <w:ind w:left="589"/>
              <w:rPr>
                <w:rFonts w:ascii="Caladea"/>
                <w:b/>
                <w:sz w:val="13"/>
              </w:rPr>
            </w:pPr>
            <w:r>
              <w:rPr>
                <w:rFonts w:ascii="Caladea"/>
                <w:b/>
                <w:w w:val="105"/>
                <w:sz w:val="13"/>
              </w:rPr>
              <w:t>115.710</w:t>
            </w:r>
          </w:p>
          <w:p>
            <w:pPr>
              <w:pStyle w:val="TableParagraph"/>
              <w:rPr>
                <w:rFonts w:ascii="Caladea"/>
                <w:b/>
                <w:sz w:val="16"/>
              </w:rPr>
            </w:pPr>
          </w:p>
          <w:p>
            <w:pPr>
              <w:pStyle w:val="TableParagraph"/>
              <w:rPr>
                <w:rFonts w:ascii="Caladea"/>
                <w:b/>
                <w:sz w:val="16"/>
              </w:rPr>
            </w:pPr>
          </w:p>
          <w:p>
            <w:pPr>
              <w:pStyle w:val="TableParagraph"/>
              <w:spacing w:before="7"/>
              <w:rPr>
                <w:rFonts w:ascii="Caladea"/>
                <w:b/>
                <w:sz w:val="21"/>
              </w:rPr>
            </w:pPr>
          </w:p>
          <w:p>
            <w:pPr>
              <w:pStyle w:val="TableParagraph"/>
              <w:spacing w:line="136" w:lineRule="exact"/>
              <w:ind w:left="692"/>
              <w:rPr>
                <w:rFonts w:ascii="Caladea"/>
                <w:b/>
                <w:sz w:val="13"/>
              </w:rPr>
            </w:pPr>
            <w:r>
              <w:rPr>
                <w:rFonts w:ascii="Caladea"/>
                <w:b/>
                <w:w w:val="105"/>
                <w:sz w:val="13"/>
              </w:rPr>
              <w:t>(6.757)</w:t>
            </w:r>
          </w:p>
        </w:tc>
      </w:tr>
      <w:tr>
        <w:trPr>
          <w:trHeight w:val="180" w:hRule="atLeast"/>
        </w:trPr>
        <w:tc>
          <w:tcPr>
            <w:tcW w:w="5638" w:type="dxa"/>
          </w:tcPr>
          <w:p>
            <w:pPr>
              <w:pStyle w:val="TableParagraph"/>
              <w:spacing w:line="136" w:lineRule="exact" w:before="24"/>
              <w:ind w:left="26"/>
              <w:rPr>
                <w:rFonts w:ascii="Caladea"/>
                <w:b/>
                <w:sz w:val="13"/>
              </w:rPr>
            </w:pPr>
            <w:r>
              <w:rPr>
                <w:rFonts w:ascii="Caladea"/>
                <w:b/>
                <w:w w:val="105"/>
                <w:sz w:val="13"/>
              </w:rPr>
              <w:t>Saldo em 31 de dezembro de 2018</w:t>
            </w:r>
          </w:p>
        </w:tc>
        <w:tc>
          <w:tcPr>
            <w:tcW w:w="1137" w:type="dxa"/>
          </w:tcPr>
          <w:p>
            <w:pPr>
              <w:pStyle w:val="TableParagraph"/>
              <w:spacing w:line="136" w:lineRule="exact" w:before="24"/>
              <w:ind w:right="69"/>
              <w:jc w:val="right"/>
              <w:rPr>
                <w:rFonts w:ascii="Caladea"/>
                <w:b/>
                <w:sz w:val="13"/>
              </w:rPr>
            </w:pPr>
            <w:r>
              <w:rPr>
                <w:rFonts w:ascii="Caladea"/>
                <w:b/>
                <w:w w:val="105"/>
                <w:sz w:val="13"/>
              </w:rPr>
              <w:t>566.025</w:t>
            </w:r>
          </w:p>
        </w:tc>
        <w:tc>
          <w:tcPr>
            <w:tcW w:w="953" w:type="dxa"/>
          </w:tcPr>
          <w:p>
            <w:pPr>
              <w:pStyle w:val="TableParagraph"/>
              <w:spacing w:line="136" w:lineRule="exact" w:before="24"/>
              <w:ind w:right="69"/>
              <w:jc w:val="right"/>
              <w:rPr>
                <w:rFonts w:ascii="Caladea"/>
                <w:b/>
                <w:sz w:val="13"/>
              </w:rPr>
            </w:pPr>
            <w:r>
              <w:rPr>
                <w:rFonts w:ascii="Caladea"/>
                <w:b/>
                <w:w w:val="105"/>
                <w:sz w:val="13"/>
              </w:rPr>
              <w:t>1.225</w:t>
            </w:r>
          </w:p>
        </w:tc>
        <w:tc>
          <w:tcPr>
            <w:tcW w:w="953" w:type="dxa"/>
          </w:tcPr>
          <w:p>
            <w:pPr>
              <w:pStyle w:val="TableParagraph"/>
              <w:spacing w:line="136" w:lineRule="exact" w:before="24"/>
              <w:ind w:right="70"/>
              <w:jc w:val="right"/>
              <w:rPr>
                <w:rFonts w:ascii="Caladea"/>
                <w:b/>
                <w:sz w:val="13"/>
              </w:rPr>
            </w:pPr>
            <w:r>
              <w:rPr>
                <w:rFonts w:ascii="Caladea"/>
                <w:b/>
                <w:w w:val="105"/>
                <w:sz w:val="13"/>
              </w:rPr>
              <w:t>17.452</w:t>
            </w:r>
          </w:p>
        </w:tc>
        <w:tc>
          <w:tcPr>
            <w:tcW w:w="1470" w:type="dxa"/>
          </w:tcPr>
          <w:p>
            <w:pPr>
              <w:pStyle w:val="TableParagraph"/>
              <w:spacing w:line="136" w:lineRule="exact" w:before="24"/>
              <w:ind w:right="70"/>
              <w:jc w:val="right"/>
              <w:rPr>
                <w:rFonts w:ascii="Caladea"/>
                <w:b/>
                <w:sz w:val="13"/>
              </w:rPr>
            </w:pPr>
            <w:r>
              <w:rPr>
                <w:rFonts w:ascii="Caladea"/>
                <w:b/>
                <w:w w:val="105"/>
                <w:sz w:val="13"/>
              </w:rPr>
              <w:t>149.749</w:t>
            </w:r>
          </w:p>
        </w:tc>
        <w:tc>
          <w:tcPr>
            <w:tcW w:w="1137" w:type="dxa"/>
          </w:tcPr>
          <w:p>
            <w:pPr>
              <w:pStyle w:val="TableParagraph"/>
              <w:rPr>
                <w:rFonts w:ascii="Times New Roman"/>
                <w:sz w:val="12"/>
              </w:rPr>
            </w:pPr>
          </w:p>
        </w:tc>
        <w:tc>
          <w:tcPr>
            <w:tcW w:w="1045" w:type="dxa"/>
          </w:tcPr>
          <w:p>
            <w:pPr>
              <w:pStyle w:val="TableParagraph"/>
              <w:spacing w:line="136" w:lineRule="exact" w:before="24"/>
              <w:ind w:right="70"/>
              <w:jc w:val="right"/>
              <w:rPr>
                <w:rFonts w:ascii="Caladea"/>
                <w:b/>
                <w:sz w:val="13"/>
              </w:rPr>
            </w:pPr>
            <w:r>
              <w:rPr>
                <w:rFonts w:ascii="Caladea"/>
                <w:b/>
                <w:w w:val="105"/>
                <w:sz w:val="13"/>
              </w:rPr>
              <w:t>734.451</w:t>
            </w:r>
          </w:p>
        </w:tc>
        <w:tc>
          <w:tcPr>
            <w:tcW w:w="1033" w:type="dxa"/>
          </w:tcPr>
          <w:p>
            <w:pPr>
              <w:pStyle w:val="TableParagraph"/>
              <w:spacing w:line="136" w:lineRule="exact" w:before="24"/>
              <w:ind w:right="70"/>
              <w:jc w:val="right"/>
              <w:rPr>
                <w:rFonts w:ascii="Caladea"/>
                <w:b/>
                <w:sz w:val="13"/>
              </w:rPr>
            </w:pPr>
            <w:r>
              <w:rPr>
                <w:rFonts w:ascii="Caladea"/>
                <w:b/>
                <w:w w:val="105"/>
                <w:sz w:val="13"/>
              </w:rPr>
              <w:t>205.457</w:t>
            </w:r>
          </w:p>
        </w:tc>
        <w:tc>
          <w:tcPr>
            <w:tcW w:w="1194" w:type="dxa"/>
          </w:tcPr>
          <w:p>
            <w:pPr>
              <w:pStyle w:val="TableParagraph"/>
              <w:spacing w:line="136" w:lineRule="exact" w:before="24"/>
              <w:ind w:right="70"/>
              <w:jc w:val="right"/>
              <w:rPr>
                <w:rFonts w:ascii="Caladea"/>
                <w:b/>
                <w:sz w:val="13"/>
              </w:rPr>
            </w:pPr>
            <w:r>
              <w:rPr>
                <w:rFonts w:ascii="Caladea"/>
                <w:b/>
                <w:w w:val="105"/>
                <w:sz w:val="13"/>
              </w:rPr>
              <w:t>939.908</w:t>
            </w:r>
          </w:p>
        </w:tc>
      </w:tr>
      <w:tr>
        <w:trPr>
          <w:trHeight w:val="1741" w:hRule="atLeast"/>
        </w:trPr>
        <w:tc>
          <w:tcPr>
            <w:tcW w:w="5638" w:type="dxa"/>
          </w:tcPr>
          <w:p>
            <w:pPr>
              <w:pStyle w:val="TableParagraph"/>
              <w:spacing w:before="24"/>
              <w:ind w:left="26"/>
              <w:rPr>
                <w:rFonts w:ascii="Caladea" w:hAnsi="Caladea"/>
                <w:b/>
                <w:sz w:val="13"/>
              </w:rPr>
            </w:pPr>
            <w:r>
              <w:rPr>
                <w:rFonts w:ascii="Caladea" w:hAnsi="Caladea"/>
                <w:b/>
                <w:w w:val="105"/>
                <w:sz w:val="13"/>
              </w:rPr>
              <w:t>Transação de Capital com Acionistas:</w:t>
            </w:r>
          </w:p>
          <w:p>
            <w:pPr>
              <w:pStyle w:val="TableParagraph"/>
              <w:spacing w:line="309" w:lineRule="auto" w:before="44"/>
              <w:ind w:left="26" w:right="2751"/>
              <w:rPr>
                <w:sz w:val="13"/>
              </w:rPr>
            </w:pPr>
            <w:r>
              <w:rPr>
                <w:w w:val="105"/>
                <w:sz w:val="13"/>
              </w:rPr>
              <w:t>Constituição</w:t>
            </w:r>
            <w:r>
              <w:rPr>
                <w:spacing w:val="-26"/>
                <w:w w:val="105"/>
                <w:sz w:val="13"/>
              </w:rPr>
              <w:t> </w:t>
            </w:r>
            <w:r>
              <w:rPr>
                <w:w w:val="105"/>
                <w:sz w:val="13"/>
              </w:rPr>
              <w:t>de</w:t>
            </w:r>
            <w:r>
              <w:rPr>
                <w:spacing w:val="-22"/>
                <w:w w:val="105"/>
                <w:sz w:val="13"/>
              </w:rPr>
              <w:t> </w:t>
            </w:r>
            <w:r>
              <w:rPr>
                <w:w w:val="105"/>
                <w:sz w:val="13"/>
              </w:rPr>
              <w:t>Provisão</w:t>
            </w:r>
            <w:r>
              <w:rPr>
                <w:spacing w:val="-25"/>
                <w:w w:val="105"/>
                <w:sz w:val="13"/>
              </w:rPr>
              <w:t> </w:t>
            </w:r>
            <w:r>
              <w:rPr>
                <w:w w:val="105"/>
                <w:sz w:val="13"/>
              </w:rPr>
              <w:t>de</w:t>
            </w:r>
            <w:r>
              <w:rPr>
                <w:spacing w:val="-22"/>
                <w:w w:val="105"/>
                <w:sz w:val="13"/>
              </w:rPr>
              <w:t> </w:t>
            </w:r>
            <w:r>
              <w:rPr>
                <w:w w:val="105"/>
                <w:sz w:val="13"/>
              </w:rPr>
              <w:t>Partes</w:t>
            </w:r>
            <w:r>
              <w:rPr>
                <w:spacing w:val="-24"/>
                <w:w w:val="105"/>
                <w:sz w:val="13"/>
              </w:rPr>
              <w:t> </w:t>
            </w:r>
            <w:r>
              <w:rPr>
                <w:w w:val="105"/>
                <w:sz w:val="13"/>
              </w:rPr>
              <w:t>Beneficiárias Dividendos a</w:t>
            </w:r>
            <w:r>
              <w:rPr>
                <w:spacing w:val="-15"/>
                <w:w w:val="105"/>
                <w:sz w:val="13"/>
              </w:rPr>
              <w:t> </w:t>
            </w:r>
            <w:r>
              <w:rPr>
                <w:w w:val="105"/>
                <w:sz w:val="13"/>
              </w:rPr>
              <w:t>pagar</w:t>
            </w:r>
          </w:p>
          <w:p>
            <w:pPr>
              <w:pStyle w:val="TableParagraph"/>
              <w:spacing w:line="152" w:lineRule="exact"/>
              <w:ind w:left="26"/>
              <w:rPr>
                <w:rFonts w:ascii="Caladea" w:hAnsi="Caladea"/>
                <w:b/>
                <w:sz w:val="13"/>
              </w:rPr>
            </w:pPr>
            <w:r>
              <w:rPr>
                <w:rFonts w:ascii="Caladea" w:hAnsi="Caladea"/>
                <w:b/>
                <w:w w:val="105"/>
                <w:sz w:val="13"/>
              </w:rPr>
              <w:t>Lucro líquido do exercício</w:t>
            </w:r>
          </w:p>
          <w:p>
            <w:pPr>
              <w:pStyle w:val="TableParagraph"/>
              <w:spacing w:line="307" w:lineRule="auto" w:before="43"/>
              <w:ind w:left="26" w:right="1422"/>
              <w:rPr>
                <w:rFonts w:ascii="Caladea" w:hAnsi="Caladea"/>
                <w:b/>
                <w:sz w:val="13"/>
              </w:rPr>
            </w:pPr>
            <w:r>
              <w:rPr>
                <w:rFonts w:ascii="Caladea" w:hAnsi="Caladea"/>
                <w:b/>
                <w:w w:val="105"/>
                <w:sz w:val="13"/>
              </w:rPr>
              <w:t>Absorção de prejuízos acumulados gerados no exercício Destinação do Lucro</w:t>
            </w:r>
          </w:p>
          <w:p>
            <w:pPr>
              <w:pStyle w:val="TableParagraph"/>
              <w:spacing w:before="2"/>
              <w:ind w:left="129"/>
              <w:rPr>
                <w:sz w:val="13"/>
              </w:rPr>
            </w:pPr>
            <w:r>
              <w:rPr>
                <w:w w:val="105"/>
                <w:sz w:val="13"/>
              </w:rPr>
              <w:t>Reserva Legal</w:t>
            </w:r>
          </w:p>
          <w:p>
            <w:pPr>
              <w:pStyle w:val="TableParagraph"/>
              <w:spacing w:before="44"/>
              <w:ind w:left="129"/>
              <w:rPr>
                <w:sz w:val="13"/>
              </w:rPr>
            </w:pPr>
            <w:r>
              <w:rPr>
                <w:w w:val="105"/>
                <w:sz w:val="13"/>
              </w:rPr>
              <w:t>Reserva para Expansão dos Negócios Sociais</w:t>
            </w:r>
          </w:p>
          <w:p>
            <w:pPr>
              <w:pStyle w:val="TableParagraph"/>
              <w:spacing w:line="135" w:lineRule="exact" w:before="44"/>
              <w:ind w:left="26"/>
              <w:rPr>
                <w:sz w:val="13"/>
              </w:rPr>
            </w:pPr>
            <w:r>
              <w:rPr>
                <w:sz w:val="13"/>
              </w:rPr>
              <w:t>Equiv. Patrim. sobre Resultados Abrangentes - Controladas - Benefícios Pós-Emprego</w:t>
            </w:r>
          </w:p>
        </w:tc>
        <w:tc>
          <w:tcPr>
            <w:tcW w:w="1137" w:type="dxa"/>
          </w:tcPr>
          <w:p>
            <w:pPr>
              <w:pStyle w:val="TableParagraph"/>
              <w:rPr>
                <w:rFonts w:ascii="Times New Roman"/>
                <w:sz w:val="14"/>
              </w:rPr>
            </w:pPr>
          </w:p>
        </w:tc>
        <w:tc>
          <w:tcPr>
            <w:tcW w:w="953"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1"/>
              <w:rPr>
                <w:rFonts w:ascii="Caladea"/>
                <w:b/>
                <w:sz w:val="22"/>
              </w:rPr>
            </w:pPr>
          </w:p>
          <w:p>
            <w:pPr>
              <w:pStyle w:val="TableParagraph"/>
              <w:ind w:right="75"/>
              <w:jc w:val="right"/>
              <w:rPr>
                <w:sz w:val="13"/>
              </w:rPr>
            </w:pPr>
            <w:r>
              <w:rPr>
                <w:sz w:val="13"/>
              </w:rPr>
              <w:t>5.895</w:t>
            </w:r>
          </w:p>
        </w:tc>
        <w:tc>
          <w:tcPr>
            <w:tcW w:w="953"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8"/>
              <w:rPr>
                <w:rFonts w:ascii="Caladea"/>
                <w:b/>
                <w:sz w:val="22"/>
              </w:rPr>
            </w:pPr>
          </w:p>
          <w:p>
            <w:pPr>
              <w:pStyle w:val="TableParagraph"/>
              <w:ind w:right="75"/>
              <w:jc w:val="right"/>
              <w:rPr>
                <w:sz w:val="13"/>
              </w:rPr>
            </w:pPr>
            <w:r>
              <w:rPr>
                <w:w w:val="105"/>
                <w:sz w:val="13"/>
              </w:rPr>
              <w:t>84.003</w:t>
            </w:r>
          </w:p>
        </w:tc>
        <w:tc>
          <w:tcPr>
            <w:tcW w:w="1470" w:type="dxa"/>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4"/>
              <w:rPr>
                <w:rFonts w:ascii="Caladea"/>
                <w:b/>
                <w:sz w:val="23"/>
              </w:rPr>
            </w:pPr>
          </w:p>
          <w:p>
            <w:pPr>
              <w:pStyle w:val="TableParagraph"/>
              <w:spacing w:line="135" w:lineRule="exact"/>
              <w:ind w:right="19"/>
              <w:jc w:val="right"/>
              <w:rPr>
                <w:sz w:val="13"/>
              </w:rPr>
            </w:pPr>
            <w:r>
              <w:rPr>
                <w:w w:val="105"/>
                <w:sz w:val="13"/>
              </w:rPr>
              <w:t>(40.363)</w:t>
            </w:r>
          </w:p>
        </w:tc>
        <w:tc>
          <w:tcPr>
            <w:tcW w:w="1137" w:type="dxa"/>
          </w:tcPr>
          <w:p>
            <w:pPr>
              <w:pStyle w:val="TableParagraph"/>
              <w:rPr>
                <w:rFonts w:ascii="Caladea"/>
                <w:b/>
                <w:sz w:val="16"/>
              </w:rPr>
            </w:pPr>
          </w:p>
          <w:p>
            <w:pPr>
              <w:pStyle w:val="TableParagraph"/>
              <w:spacing w:before="5"/>
              <w:rPr>
                <w:rFonts w:ascii="Caladea"/>
                <w:b/>
                <w:sz w:val="19"/>
              </w:rPr>
            </w:pPr>
          </w:p>
          <w:p>
            <w:pPr>
              <w:pStyle w:val="TableParagraph"/>
              <w:ind w:left="566"/>
              <w:rPr>
                <w:sz w:val="13"/>
              </w:rPr>
            </w:pPr>
            <w:r>
              <w:rPr>
                <w:w w:val="105"/>
                <w:sz w:val="13"/>
              </w:rPr>
              <w:t>(28.000)</w:t>
            </w:r>
          </w:p>
          <w:p>
            <w:pPr>
              <w:pStyle w:val="TableParagraph"/>
              <w:spacing w:before="45"/>
              <w:ind w:left="543"/>
              <w:rPr>
                <w:sz w:val="13"/>
              </w:rPr>
            </w:pPr>
            <w:r>
              <w:rPr>
                <w:w w:val="105"/>
                <w:sz w:val="13"/>
              </w:rPr>
              <w:t>119.045</w:t>
            </w:r>
          </w:p>
          <w:p>
            <w:pPr>
              <w:pStyle w:val="TableParagraph"/>
              <w:spacing w:before="44"/>
              <w:ind w:left="646"/>
              <w:rPr>
                <w:sz w:val="13"/>
              </w:rPr>
            </w:pPr>
            <w:r>
              <w:rPr>
                <w:w w:val="105"/>
                <w:sz w:val="13"/>
              </w:rPr>
              <w:t>(1.147)</w:t>
            </w:r>
          </w:p>
          <w:p>
            <w:pPr>
              <w:pStyle w:val="TableParagraph"/>
              <w:spacing w:before="5"/>
              <w:rPr>
                <w:rFonts w:ascii="Caladea"/>
                <w:b/>
                <w:sz w:val="20"/>
              </w:rPr>
            </w:pPr>
          </w:p>
          <w:p>
            <w:pPr>
              <w:pStyle w:val="TableParagraph"/>
              <w:ind w:left="646"/>
              <w:rPr>
                <w:sz w:val="13"/>
              </w:rPr>
            </w:pPr>
            <w:r>
              <w:rPr>
                <w:w w:val="105"/>
                <w:sz w:val="13"/>
              </w:rPr>
              <w:t>(5.895)</w:t>
            </w:r>
          </w:p>
          <w:p>
            <w:pPr>
              <w:pStyle w:val="TableParagraph"/>
              <w:spacing w:before="44"/>
              <w:ind w:left="566"/>
              <w:rPr>
                <w:sz w:val="13"/>
              </w:rPr>
            </w:pPr>
            <w:r>
              <w:rPr>
                <w:w w:val="105"/>
                <w:sz w:val="13"/>
              </w:rPr>
              <w:t>(84.003)</w:t>
            </w:r>
          </w:p>
        </w:tc>
        <w:tc>
          <w:tcPr>
            <w:tcW w:w="1045" w:type="dxa"/>
          </w:tcPr>
          <w:p>
            <w:pPr>
              <w:pStyle w:val="TableParagraph"/>
              <w:rPr>
                <w:rFonts w:ascii="Caladea"/>
                <w:b/>
                <w:sz w:val="16"/>
              </w:rPr>
            </w:pPr>
          </w:p>
          <w:p>
            <w:pPr>
              <w:pStyle w:val="TableParagraph"/>
              <w:spacing w:before="5"/>
              <w:rPr>
                <w:rFonts w:ascii="Caladea"/>
                <w:b/>
                <w:sz w:val="19"/>
              </w:rPr>
            </w:pPr>
          </w:p>
          <w:p>
            <w:pPr>
              <w:pStyle w:val="TableParagraph"/>
              <w:ind w:left="473"/>
              <w:rPr>
                <w:sz w:val="13"/>
              </w:rPr>
            </w:pPr>
            <w:r>
              <w:rPr>
                <w:w w:val="105"/>
                <w:sz w:val="13"/>
              </w:rPr>
              <w:t>(28.000)</w:t>
            </w:r>
          </w:p>
          <w:p>
            <w:pPr>
              <w:pStyle w:val="TableParagraph"/>
              <w:spacing w:before="45"/>
              <w:ind w:left="450"/>
              <w:rPr>
                <w:sz w:val="13"/>
              </w:rPr>
            </w:pPr>
            <w:r>
              <w:rPr>
                <w:w w:val="105"/>
                <w:sz w:val="13"/>
              </w:rPr>
              <w:t>119.045</w:t>
            </w:r>
          </w:p>
          <w:p>
            <w:pPr>
              <w:pStyle w:val="TableParagraph"/>
              <w:spacing w:before="44"/>
              <w:ind w:left="554"/>
              <w:rPr>
                <w:sz w:val="13"/>
              </w:rPr>
            </w:pPr>
            <w:r>
              <w:rPr>
                <w:w w:val="105"/>
                <w:sz w:val="13"/>
              </w:rPr>
              <w:t>(1.147)</w:t>
            </w:r>
          </w:p>
          <w:p>
            <w:pPr>
              <w:pStyle w:val="TableParagraph"/>
              <w:rPr>
                <w:rFonts w:ascii="Caladea"/>
                <w:b/>
                <w:sz w:val="16"/>
              </w:rPr>
            </w:pPr>
          </w:p>
          <w:p>
            <w:pPr>
              <w:pStyle w:val="TableParagraph"/>
              <w:rPr>
                <w:rFonts w:ascii="Caladea"/>
                <w:b/>
                <w:sz w:val="16"/>
              </w:rPr>
            </w:pPr>
          </w:p>
          <w:p>
            <w:pPr>
              <w:pStyle w:val="TableParagraph"/>
              <w:spacing w:before="8"/>
              <w:rPr>
                <w:rFonts w:ascii="Caladea"/>
                <w:b/>
                <w:sz w:val="21"/>
              </w:rPr>
            </w:pPr>
          </w:p>
          <w:p>
            <w:pPr>
              <w:pStyle w:val="TableParagraph"/>
              <w:spacing w:line="135" w:lineRule="exact"/>
              <w:ind w:left="473"/>
              <w:rPr>
                <w:sz w:val="13"/>
              </w:rPr>
            </w:pPr>
            <w:r>
              <w:rPr>
                <w:w w:val="105"/>
                <w:sz w:val="13"/>
              </w:rPr>
              <w:t>(40.363)</w:t>
            </w:r>
          </w:p>
        </w:tc>
        <w:tc>
          <w:tcPr>
            <w:tcW w:w="1033" w:type="dxa"/>
          </w:tcPr>
          <w:p>
            <w:pPr>
              <w:pStyle w:val="TableParagraph"/>
              <w:spacing w:before="9"/>
              <w:rPr>
                <w:rFonts w:ascii="Caladea"/>
                <w:b/>
                <w:sz w:val="18"/>
              </w:rPr>
            </w:pPr>
          </w:p>
          <w:p>
            <w:pPr>
              <w:pStyle w:val="TableParagraph"/>
              <w:ind w:left="542"/>
              <w:rPr>
                <w:sz w:val="13"/>
              </w:rPr>
            </w:pPr>
            <w:r>
              <w:rPr>
                <w:w w:val="105"/>
                <w:sz w:val="13"/>
              </w:rPr>
              <w:t>(7.624)</w:t>
            </w:r>
          </w:p>
          <w:p>
            <w:pPr>
              <w:pStyle w:val="TableParagraph"/>
              <w:spacing w:before="45"/>
              <w:ind w:left="462"/>
              <w:rPr>
                <w:sz w:val="13"/>
              </w:rPr>
            </w:pPr>
            <w:r>
              <w:rPr>
                <w:w w:val="105"/>
                <w:sz w:val="13"/>
              </w:rPr>
              <w:t>(18.728)</w:t>
            </w:r>
          </w:p>
          <w:p>
            <w:pPr>
              <w:pStyle w:val="TableParagraph"/>
              <w:spacing w:before="44"/>
              <w:ind w:left="519"/>
              <w:rPr>
                <w:sz w:val="13"/>
              </w:rPr>
            </w:pPr>
            <w:r>
              <w:rPr>
                <w:w w:val="105"/>
                <w:sz w:val="13"/>
              </w:rPr>
              <w:t>37.584</w:t>
            </w:r>
          </w:p>
        </w:tc>
        <w:tc>
          <w:tcPr>
            <w:tcW w:w="1194" w:type="dxa"/>
          </w:tcPr>
          <w:p>
            <w:pPr>
              <w:pStyle w:val="TableParagraph"/>
              <w:spacing w:before="8"/>
              <w:rPr>
                <w:rFonts w:ascii="Caladea"/>
                <w:b/>
                <w:sz w:val="18"/>
              </w:rPr>
            </w:pPr>
          </w:p>
          <w:p>
            <w:pPr>
              <w:pStyle w:val="TableParagraph"/>
              <w:ind w:left="692"/>
              <w:rPr>
                <w:rFonts w:ascii="Caladea"/>
                <w:b/>
                <w:sz w:val="13"/>
              </w:rPr>
            </w:pPr>
            <w:r>
              <w:rPr>
                <w:rFonts w:ascii="Caladea"/>
                <w:b/>
                <w:w w:val="105"/>
                <w:sz w:val="13"/>
              </w:rPr>
              <w:t>(7.624)</w:t>
            </w:r>
          </w:p>
          <w:p>
            <w:pPr>
              <w:pStyle w:val="TableParagraph"/>
              <w:spacing w:before="43"/>
              <w:ind w:left="612"/>
              <w:rPr>
                <w:rFonts w:ascii="Caladea"/>
                <w:b/>
                <w:sz w:val="13"/>
              </w:rPr>
            </w:pPr>
            <w:r>
              <w:rPr>
                <w:rFonts w:ascii="Caladea"/>
                <w:b/>
                <w:w w:val="105"/>
                <w:sz w:val="13"/>
              </w:rPr>
              <w:t>(46.728)</w:t>
            </w:r>
          </w:p>
          <w:p>
            <w:pPr>
              <w:pStyle w:val="TableParagraph"/>
              <w:spacing w:before="43"/>
              <w:ind w:left="589"/>
              <w:rPr>
                <w:rFonts w:ascii="Caladea"/>
                <w:b/>
                <w:sz w:val="13"/>
              </w:rPr>
            </w:pPr>
            <w:r>
              <w:rPr>
                <w:rFonts w:ascii="Caladea"/>
                <w:b/>
                <w:w w:val="105"/>
                <w:sz w:val="13"/>
              </w:rPr>
              <w:t>156.629</w:t>
            </w:r>
          </w:p>
          <w:p>
            <w:pPr>
              <w:pStyle w:val="TableParagraph"/>
              <w:spacing w:before="42"/>
              <w:ind w:left="692"/>
              <w:rPr>
                <w:rFonts w:ascii="Caladea"/>
                <w:b/>
                <w:sz w:val="13"/>
              </w:rPr>
            </w:pPr>
            <w:r>
              <w:rPr>
                <w:rFonts w:ascii="Caladea"/>
                <w:b/>
                <w:w w:val="105"/>
                <w:sz w:val="13"/>
              </w:rPr>
              <w:t>(1.147)</w:t>
            </w:r>
          </w:p>
          <w:p>
            <w:pPr>
              <w:pStyle w:val="TableParagraph"/>
              <w:rPr>
                <w:rFonts w:ascii="Caladea"/>
                <w:b/>
                <w:sz w:val="16"/>
              </w:rPr>
            </w:pPr>
          </w:p>
          <w:p>
            <w:pPr>
              <w:pStyle w:val="TableParagraph"/>
              <w:rPr>
                <w:rFonts w:ascii="Caladea"/>
                <w:b/>
                <w:sz w:val="16"/>
              </w:rPr>
            </w:pPr>
          </w:p>
          <w:p>
            <w:pPr>
              <w:pStyle w:val="TableParagraph"/>
              <w:spacing w:before="7"/>
              <w:rPr>
                <w:rFonts w:ascii="Caladea"/>
                <w:b/>
                <w:sz w:val="21"/>
              </w:rPr>
            </w:pPr>
          </w:p>
          <w:p>
            <w:pPr>
              <w:pStyle w:val="TableParagraph"/>
              <w:spacing w:line="136" w:lineRule="exact" w:before="1"/>
              <w:ind w:left="612"/>
              <w:rPr>
                <w:rFonts w:ascii="Caladea"/>
                <w:b/>
                <w:sz w:val="13"/>
              </w:rPr>
            </w:pPr>
            <w:r>
              <w:rPr>
                <w:rFonts w:ascii="Caladea"/>
                <w:b/>
                <w:w w:val="105"/>
                <w:sz w:val="13"/>
              </w:rPr>
              <w:t>(40.363)</w:t>
            </w:r>
          </w:p>
        </w:tc>
      </w:tr>
      <w:tr>
        <w:trPr>
          <w:trHeight w:val="180" w:hRule="atLeast"/>
        </w:trPr>
        <w:tc>
          <w:tcPr>
            <w:tcW w:w="5638" w:type="dxa"/>
          </w:tcPr>
          <w:p>
            <w:pPr>
              <w:pStyle w:val="TableParagraph"/>
              <w:spacing w:line="136" w:lineRule="exact" w:before="24"/>
              <w:ind w:left="26"/>
              <w:rPr>
                <w:rFonts w:ascii="Caladea"/>
                <w:b/>
                <w:sz w:val="13"/>
              </w:rPr>
            </w:pPr>
            <w:r>
              <w:rPr>
                <w:rFonts w:ascii="Caladea"/>
                <w:b/>
                <w:w w:val="105"/>
                <w:sz w:val="13"/>
              </w:rPr>
              <w:t>Saldo em 31 de dezembro de 2019</w:t>
            </w:r>
          </w:p>
        </w:tc>
        <w:tc>
          <w:tcPr>
            <w:tcW w:w="1137" w:type="dxa"/>
          </w:tcPr>
          <w:p>
            <w:pPr>
              <w:pStyle w:val="TableParagraph"/>
              <w:spacing w:line="136" w:lineRule="exact" w:before="24"/>
              <w:ind w:right="69"/>
              <w:jc w:val="right"/>
              <w:rPr>
                <w:rFonts w:ascii="Caladea"/>
                <w:b/>
                <w:sz w:val="13"/>
              </w:rPr>
            </w:pPr>
            <w:r>
              <w:rPr>
                <w:rFonts w:ascii="Caladea"/>
                <w:b/>
                <w:w w:val="105"/>
                <w:sz w:val="13"/>
              </w:rPr>
              <w:t>566.025</w:t>
            </w:r>
          </w:p>
        </w:tc>
        <w:tc>
          <w:tcPr>
            <w:tcW w:w="953" w:type="dxa"/>
          </w:tcPr>
          <w:p>
            <w:pPr>
              <w:pStyle w:val="TableParagraph"/>
              <w:spacing w:line="136" w:lineRule="exact" w:before="24"/>
              <w:ind w:right="69"/>
              <w:jc w:val="right"/>
              <w:rPr>
                <w:rFonts w:ascii="Caladea"/>
                <w:b/>
                <w:sz w:val="13"/>
              </w:rPr>
            </w:pPr>
            <w:r>
              <w:rPr>
                <w:rFonts w:ascii="Caladea"/>
                <w:b/>
                <w:w w:val="105"/>
                <w:sz w:val="13"/>
              </w:rPr>
              <w:t>7.120</w:t>
            </w:r>
          </w:p>
        </w:tc>
        <w:tc>
          <w:tcPr>
            <w:tcW w:w="953" w:type="dxa"/>
          </w:tcPr>
          <w:p>
            <w:pPr>
              <w:pStyle w:val="TableParagraph"/>
              <w:spacing w:line="136" w:lineRule="exact" w:before="24"/>
              <w:ind w:right="70"/>
              <w:jc w:val="right"/>
              <w:rPr>
                <w:rFonts w:ascii="Caladea"/>
                <w:b/>
                <w:sz w:val="13"/>
              </w:rPr>
            </w:pPr>
            <w:r>
              <w:rPr>
                <w:rFonts w:ascii="Caladea"/>
                <w:b/>
                <w:w w:val="105"/>
                <w:sz w:val="13"/>
              </w:rPr>
              <w:t>101.455</w:t>
            </w:r>
          </w:p>
        </w:tc>
        <w:tc>
          <w:tcPr>
            <w:tcW w:w="1470" w:type="dxa"/>
          </w:tcPr>
          <w:p>
            <w:pPr>
              <w:pStyle w:val="TableParagraph"/>
              <w:spacing w:line="136" w:lineRule="exact" w:before="24"/>
              <w:ind w:right="70"/>
              <w:jc w:val="right"/>
              <w:rPr>
                <w:rFonts w:ascii="Caladea"/>
                <w:b/>
                <w:sz w:val="13"/>
              </w:rPr>
            </w:pPr>
            <w:r>
              <w:rPr>
                <w:rFonts w:ascii="Caladea"/>
                <w:b/>
                <w:w w:val="105"/>
                <w:sz w:val="13"/>
              </w:rPr>
              <w:t>109.386</w:t>
            </w:r>
          </w:p>
        </w:tc>
        <w:tc>
          <w:tcPr>
            <w:tcW w:w="1137" w:type="dxa"/>
          </w:tcPr>
          <w:p>
            <w:pPr>
              <w:pStyle w:val="TableParagraph"/>
              <w:spacing w:line="136" w:lineRule="exact" w:before="24"/>
              <w:ind w:left="608"/>
              <w:jc w:val="center"/>
              <w:rPr>
                <w:rFonts w:ascii="Caladea"/>
                <w:b/>
                <w:sz w:val="13"/>
              </w:rPr>
            </w:pPr>
            <w:r>
              <w:rPr>
                <w:rFonts w:ascii="Caladea"/>
                <w:b/>
                <w:w w:val="106"/>
                <w:sz w:val="13"/>
              </w:rPr>
              <w:t>-</w:t>
            </w:r>
          </w:p>
        </w:tc>
        <w:tc>
          <w:tcPr>
            <w:tcW w:w="1045" w:type="dxa"/>
          </w:tcPr>
          <w:p>
            <w:pPr>
              <w:pStyle w:val="TableParagraph"/>
              <w:spacing w:line="136" w:lineRule="exact" w:before="24"/>
              <w:ind w:right="70"/>
              <w:jc w:val="right"/>
              <w:rPr>
                <w:rFonts w:ascii="Caladea"/>
                <w:b/>
                <w:sz w:val="13"/>
              </w:rPr>
            </w:pPr>
            <w:r>
              <w:rPr>
                <w:rFonts w:ascii="Caladea"/>
                <w:b/>
                <w:w w:val="105"/>
                <w:sz w:val="13"/>
              </w:rPr>
              <w:t>783.986</w:t>
            </w:r>
          </w:p>
        </w:tc>
        <w:tc>
          <w:tcPr>
            <w:tcW w:w="1033" w:type="dxa"/>
          </w:tcPr>
          <w:p>
            <w:pPr>
              <w:pStyle w:val="TableParagraph"/>
              <w:spacing w:line="136" w:lineRule="exact" w:before="24"/>
              <w:ind w:right="70"/>
              <w:jc w:val="right"/>
              <w:rPr>
                <w:rFonts w:ascii="Caladea"/>
                <w:b/>
                <w:sz w:val="13"/>
              </w:rPr>
            </w:pPr>
            <w:r>
              <w:rPr>
                <w:rFonts w:ascii="Caladea"/>
                <w:b/>
                <w:w w:val="105"/>
                <w:sz w:val="13"/>
              </w:rPr>
              <w:t>216.689</w:t>
            </w:r>
          </w:p>
        </w:tc>
        <w:tc>
          <w:tcPr>
            <w:tcW w:w="1194" w:type="dxa"/>
          </w:tcPr>
          <w:p>
            <w:pPr>
              <w:pStyle w:val="TableParagraph"/>
              <w:spacing w:line="136" w:lineRule="exact" w:before="24"/>
              <w:ind w:right="70"/>
              <w:jc w:val="right"/>
              <w:rPr>
                <w:rFonts w:ascii="Caladea"/>
                <w:b/>
                <w:sz w:val="13"/>
              </w:rPr>
            </w:pPr>
            <w:r>
              <w:rPr>
                <w:rFonts w:ascii="Caladea"/>
                <w:b/>
                <w:w w:val="105"/>
                <w:sz w:val="13"/>
              </w:rPr>
              <w:t>1.000.675</w:t>
            </w:r>
          </w:p>
        </w:tc>
      </w:tr>
    </w:tbl>
    <w:p>
      <w:pPr>
        <w:pStyle w:val="BodyText"/>
        <w:spacing w:before="10"/>
        <w:rPr>
          <w:rFonts w:ascii="Caladea"/>
          <w:b/>
          <w:sz w:val="18"/>
        </w:rPr>
      </w:pPr>
    </w:p>
    <w:p>
      <w:pPr>
        <w:spacing w:before="0"/>
        <w:ind w:left="148" w:right="0" w:firstLine="0"/>
        <w:jc w:val="left"/>
        <w:rPr>
          <w:rFonts w:ascii="Caladea" w:hAnsi="Caladea"/>
          <w:b/>
          <w:sz w:val="13"/>
        </w:rPr>
      </w:pPr>
      <w:r>
        <w:rPr>
          <w:rFonts w:ascii="Caladea" w:hAnsi="Caladea"/>
          <w:b/>
          <w:w w:val="105"/>
          <w:sz w:val="13"/>
        </w:rPr>
        <w:t>As notas explicativas são parte integrante das demonstrações financeiras</w:t>
      </w:r>
    </w:p>
    <w:p>
      <w:pPr>
        <w:spacing w:after="0"/>
        <w:jc w:val="left"/>
        <w:rPr>
          <w:rFonts w:ascii="Caladea" w:hAnsi="Caladea"/>
          <w:sz w:val="13"/>
        </w:rPr>
        <w:sectPr>
          <w:headerReference w:type="default" r:id="rId68"/>
          <w:footerReference w:type="default" r:id="rId69"/>
          <w:pgSz w:w="16850" w:h="11910" w:orient="landscape"/>
          <w:pgMar w:header="511" w:footer="1269" w:top="1580" w:bottom="1460" w:left="1020" w:right="1020"/>
          <w:pgNumType w:start="6"/>
        </w:sectPr>
      </w:pPr>
    </w:p>
    <w:p>
      <w:pPr>
        <w:spacing w:line="187" w:lineRule="exact" w:before="0"/>
        <w:ind w:left="176" w:right="1" w:firstLine="0"/>
        <w:jc w:val="center"/>
        <w:rPr>
          <w:rFonts w:ascii="Caladea" w:hAnsi="Caladea"/>
          <w:b/>
          <w:sz w:val="16"/>
        </w:rPr>
      </w:pPr>
      <w:r>
        <w:rPr>
          <w:rFonts w:ascii="Caladea" w:hAnsi="Caladea"/>
          <w:b/>
          <w:w w:val="105"/>
          <w:sz w:val="16"/>
        </w:rPr>
        <w:t>Demonstração dos Fluxos de Caixa </w:t>
      </w:r>
      <w:r>
        <w:rPr>
          <w:b/>
          <w:w w:val="105"/>
          <w:sz w:val="16"/>
        </w:rPr>
        <w:t>– </w:t>
      </w:r>
      <w:r>
        <w:rPr>
          <w:rFonts w:ascii="Caladea" w:hAnsi="Caladea"/>
          <w:b/>
          <w:w w:val="105"/>
          <w:sz w:val="16"/>
        </w:rPr>
        <w:t>Método Direto</w:t>
      </w:r>
    </w:p>
    <w:p>
      <w:pPr>
        <w:spacing w:line="164" w:lineRule="exact" w:before="0"/>
        <w:ind w:left="169" w:right="1" w:firstLine="0"/>
        <w:jc w:val="center"/>
        <w:rPr>
          <w:rFonts w:ascii="Caladea" w:hAnsi="Caladea"/>
          <w:b/>
          <w:sz w:val="14"/>
        </w:rPr>
      </w:pPr>
      <w:r>
        <w:rPr>
          <w:rFonts w:ascii="Caladea" w:hAnsi="Caladea"/>
          <w:b/>
          <w:sz w:val="14"/>
        </w:rPr>
        <w:t>Exercícios findos em 31 de dezembro de 2019 e 31 de dezembro de 2018</w:t>
      </w:r>
    </w:p>
    <w:p>
      <w:pPr>
        <w:tabs>
          <w:tab w:pos="3406" w:val="left" w:leader="none"/>
          <w:tab w:pos="10502" w:val="left" w:leader="none"/>
        </w:tabs>
        <w:spacing w:line="164" w:lineRule="exact" w:before="0"/>
        <w:ind w:left="0" w:right="1" w:firstLine="0"/>
        <w:jc w:val="center"/>
        <w:rPr>
          <w:rFonts w:ascii="Caladea"/>
          <w:b/>
          <w:sz w:val="14"/>
        </w:rPr>
      </w:pPr>
      <w:r>
        <w:rPr>
          <w:rFonts w:ascii="Caladea"/>
          <w:b/>
          <w:w w:val="99"/>
          <w:sz w:val="14"/>
          <w:u w:val="single" w:color="000080"/>
        </w:rPr>
        <w:t> </w:t>
      </w:r>
      <w:r>
        <w:rPr>
          <w:rFonts w:ascii="Caladea"/>
          <w:b/>
          <w:sz w:val="14"/>
          <w:u w:val="single" w:color="000080"/>
        </w:rPr>
        <w:tab/>
        <w:t>Em</w:t>
      </w:r>
      <w:r>
        <w:rPr>
          <w:rFonts w:ascii="Caladea"/>
          <w:b/>
          <w:spacing w:val="-3"/>
          <w:sz w:val="14"/>
          <w:u w:val="single" w:color="000080"/>
        </w:rPr>
        <w:t> </w:t>
      </w:r>
      <w:r>
        <w:rPr>
          <w:rFonts w:ascii="Caladea"/>
          <w:b/>
          <w:sz w:val="14"/>
          <w:u w:val="single" w:color="000080"/>
        </w:rPr>
        <w:t>milhares</w:t>
      </w:r>
      <w:r>
        <w:rPr>
          <w:rFonts w:ascii="Caladea"/>
          <w:b/>
          <w:spacing w:val="-2"/>
          <w:sz w:val="14"/>
          <w:u w:val="single" w:color="000080"/>
        </w:rPr>
        <w:t> </w:t>
      </w:r>
      <w:r>
        <w:rPr>
          <w:rFonts w:ascii="Caladea"/>
          <w:b/>
          <w:sz w:val="14"/>
          <w:u w:val="single" w:color="000080"/>
        </w:rPr>
        <w:t>de</w:t>
      </w:r>
      <w:r>
        <w:rPr>
          <w:rFonts w:ascii="Caladea"/>
          <w:b/>
          <w:spacing w:val="-4"/>
          <w:sz w:val="14"/>
          <w:u w:val="single" w:color="000080"/>
        </w:rPr>
        <w:t> </w:t>
      </w:r>
      <w:r>
        <w:rPr>
          <w:rFonts w:ascii="Caladea"/>
          <w:b/>
          <w:sz w:val="14"/>
          <w:u w:val="single" w:color="000080"/>
        </w:rPr>
        <w:t>reis,</w:t>
      </w:r>
      <w:r>
        <w:rPr>
          <w:rFonts w:ascii="Caladea"/>
          <w:b/>
          <w:spacing w:val="-4"/>
          <w:sz w:val="14"/>
          <w:u w:val="single" w:color="000080"/>
        </w:rPr>
        <w:t> </w:t>
      </w:r>
      <w:r>
        <w:rPr>
          <w:rFonts w:ascii="Caladea"/>
          <w:b/>
          <w:sz w:val="14"/>
          <w:u w:val="single" w:color="000080"/>
        </w:rPr>
        <w:t>exceto</w:t>
      </w:r>
      <w:r>
        <w:rPr>
          <w:rFonts w:ascii="Caladea"/>
          <w:b/>
          <w:spacing w:val="-4"/>
          <w:sz w:val="14"/>
          <w:u w:val="single" w:color="000080"/>
        </w:rPr>
        <w:t> </w:t>
      </w:r>
      <w:r>
        <w:rPr>
          <w:rFonts w:ascii="Caladea"/>
          <w:b/>
          <w:sz w:val="14"/>
          <w:u w:val="single" w:color="000080"/>
        </w:rPr>
        <w:t>quando</w:t>
      </w:r>
      <w:r>
        <w:rPr>
          <w:rFonts w:ascii="Caladea"/>
          <w:b/>
          <w:spacing w:val="-1"/>
          <w:sz w:val="14"/>
          <w:u w:val="single" w:color="000080"/>
        </w:rPr>
        <w:t> </w:t>
      </w:r>
      <w:r>
        <w:rPr>
          <w:rFonts w:ascii="Caladea"/>
          <w:b/>
          <w:sz w:val="14"/>
          <w:u w:val="single" w:color="000080"/>
        </w:rPr>
        <w:t>indicado</w:t>
      </w:r>
      <w:r>
        <w:rPr>
          <w:rFonts w:ascii="Caladea"/>
          <w:b/>
          <w:spacing w:val="-4"/>
          <w:sz w:val="14"/>
          <w:u w:val="single" w:color="000080"/>
        </w:rPr>
        <w:t> </w:t>
      </w:r>
      <w:r>
        <w:rPr>
          <w:rFonts w:ascii="Caladea"/>
          <w:b/>
          <w:sz w:val="14"/>
          <w:u w:val="single" w:color="000080"/>
        </w:rPr>
        <w:t>de</w:t>
      </w:r>
      <w:r>
        <w:rPr>
          <w:rFonts w:ascii="Caladea"/>
          <w:b/>
          <w:spacing w:val="-3"/>
          <w:sz w:val="14"/>
          <w:u w:val="single" w:color="000080"/>
        </w:rPr>
        <w:t> </w:t>
      </w:r>
      <w:r>
        <w:rPr>
          <w:rFonts w:ascii="Caladea"/>
          <w:b/>
          <w:sz w:val="14"/>
          <w:u w:val="single" w:color="000080"/>
        </w:rPr>
        <w:t>outra</w:t>
      </w:r>
      <w:r>
        <w:rPr>
          <w:rFonts w:ascii="Caladea"/>
          <w:b/>
          <w:spacing w:val="-3"/>
          <w:sz w:val="14"/>
          <w:u w:val="single" w:color="000080"/>
        </w:rPr>
        <w:t> </w:t>
      </w:r>
      <w:r>
        <w:rPr>
          <w:rFonts w:ascii="Caladea"/>
          <w:b/>
          <w:sz w:val="14"/>
          <w:u w:val="single" w:color="000080"/>
        </w:rPr>
        <w:t>forma</w:t>
        <w:tab/>
      </w:r>
    </w:p>
    <w:p>
      <w:pPr>
        <w:pStyle w:val="BodyText"/>
        <w:rPr>
          <w:rFonts w:ascii="Caladea"/>
          <w:b/>
        </w:rPr>
      </w:pPr>
    </w:p>
    <w:p>
      <w:pPr>
        <w:pStyle w:val="BodyText"/>
        <w:spacing w:before="9"/>
        <w:rPr>
          <w:rFonts w:ascii="Caladea"/>
          <w:b/>
          <w:sz w:val="19"/>
        </w:rPr>
      </w:pPr>
    </w:p>
    <w:p>
      <w:pPr>
        <w:tabs>
          <w:tab w:pos="6036" w:val="left" w:leader="none"/>
          <w:tab w:pos="7606" w:val="left" w:leader="none"/>
          <w:tab w:pos="8514" w:val="left" w:leader="none"/>
          <w:tab w:pos="10116" w:val="left" w:leader="none"/>
        </w:tabs>
        <w:spacing w:before="99"/>
        <w:ind w:left="5299" w:right="0" w:firstLine="0"/>
        <w:jc w:val="left"/>
        <w:rPr>
          <w:rFonts w:ascii="Caladea"/>
          <w:b/>
          <w:sz w:val="14"/>
        </w:rPr>
      </w:pPr>
      <w:r>
        <w:rPr>
          <w:rFonts w:ascii="Caladea"/>
          <w:b/>
          <w:w w:val="99"/>
          <w:sz w:val="14"/>
          <w:u w:val="single"/>
        </w:rPr>
        <w:t> </w:t>
      </w:r>
      <w:r>
        <w:rPr>
          <w:rFonts w:ascii="Caladea"/>
          <w:b/>
          <w:sz w:val="14"/>
          <w:u w:val="single"/>
        </w:rPr>
        <w:tab/>
        <w:t>Controladora</w:t>
        <w:tab/>
        <w:t> </w:t>
        <w:tab/>
        <w:t>Consolidado</w:t>
        <w:tab/>
      </w:r>
    </w:p>
    <w:p>
      <w:pPr>
        <w:tabs>
          <w:tab w:pos="8930" w:val="left" w:leader="none"/>
        </w:tabs>
        <w:spacing w:before="39"/>
        <w:ind w:left="5299" w:right="0" w:firstLine="0"/>
        <w:jc w:val="left"/>
        <w:rPr>
          <w:rFonts w:ascii="Caladea"/>
          <w:b/>
          <w:sz w:val="14"/>
        </w:rPr>
      </w:pPr>
      <w:r>
        <w:rPr>
          <w:rFonts w:ascii="Caladea"/>
          <w:b/>
          <w:w w:val="99"/>
          <w:sz w:val="14"/>
          <w:u w:val="single"/>
        </w:rPr>
        <w:t> </w:t>
      </w:r>
      <w:r>
        <w:rPr>
          <w:rFonts w:ascii="Caladea"/>
          <w:b/>
          <w:sz w:val="14"/>
          <w:u w:val="single"/>
        </w:rPr>
        <w:t>   </w:t>
      </w:r>
      <w:r>
        <w:rPr>
          <w:rFonts w:ascii="Caladea"/>
          <w:b/>
          <w:spacing w:val="-5"/>
          <w:sz w:val="14"/>
          <w:u w:val="single"/>
        </w:rPr>
        <w:t> </w:t>
      </w:r>
      <w:r>
        <w:rPr>
          <w:rFonts w:ascii="Caladea"/>
          <w:b/>
          <w:spacing w:val="2"/>
          <w:sz w:val="14"/>
          <w:u w:val="single"/>
        </w:rPr>
        <w:t>31/12/2019    </w:t>
      </w:r>
      <w:r>
        <w:rPr>
          <w:rFonts w:ascii="Caladea"/>
          <w:b/>
          <w:spacing w:val="2"/>
          <w:sz w:val="14"/>
        </w:rPr>
        <w:t> </w:t>
      </w:r>
      <w:r>
        <w:rPr>
          <w:rFonts w:ascii="Caladea"/>
          <w:b/>
          <w:spacing w:val="2"/>
          <w:sz w:val="14"/>
          <w:u w:val="single"/>
        </w:rPr>
        <w:t>    </w:t>
      </w:r>
      <w:r>
        <w:rPr>
          <w:rFonts w:ascii="Caladea"/>
          <w:b/>
          <w:spacing w:val="32"/>
          <w:sz w:val="14"/>
          <w:u w:val="single"/>
        </w:rPr>
        <w:t> </w:t>
      </w:r>
      <w:r>
        <w:rPr>
          <w:rFonts w:ascii="Caladea"/>
          <w:b/>
          <w:spacing w:val="2"/>
          <w:sz w:val="14"/>
          <w:u w:val="single"/>
        </w:rPr>
        <w:t>31/12/2018    </w:t>
      </w:r>
      <w:r>
        <w:rPr>
          <w:rFonts w:ascii="Caladea"/>
          <w:b/>
          <w:spacing w:val="2"/>
          <w:sz w:val="14"/>
        </w:rPr>
        <w:t>  </w:t>
      </w:r>
      <w:r>
        <w:rPr>
          <w:rFonts w:ascii="Caladea"/>
          <w:b/>
          <w:spacing w:val="2"/>
          <w:sz w:val="14"/>
          <w:u w:val="single"/>
        </w:rPr>
        <w:t>      </w:t>
      </w:r>
      <w:r>
        <w:rPr>
          <w:rFonts w:ascii="Caladea"/>
          <w:b/>
          <w:spacing w:val="10"/>
          <w:sz w:val="14"/>
          <w:u w:val="single"/>
        </w:rPr>
        <w:t> </w:t>
      </w:r>
      <w:r>
        <w:rPr>
          <w:rFonts w:ascii="Caladea"/>
          <w:b/>
          <w:spacing w:val="2"/>
          <w:sz w:val="14"/>
          <w:u w:val="single"/>
        </w:rPr>
        <w:t>31/12/2019</w:t>
        <w:tab/>
        <w:t> 31/12/2018</w:t>
      </w:r>
      <w:r>
        <w:rPr>
          <w:rFonts w:ascii="Caladea"/>
          <w:b/>
          <w:spacing w:val="-10"/>
          <w:sz w:val="14"/>
          <w:u w:val="single"/>
        </w:rPr>
        <w:t> </w:t>
      </w:r>
    </w:p>
    <w:p>
      <w:pPr>
        <w:pStyle w:val="BodyText"/>
        <w:spacing w:before="2"/>
        <w:rPr>
          <w:rFonts w:ascii="Caladea"/>
          <w:b/>
          <w:sz w:val="12"/>
        </w:rPr>
      </w:pPr>
    </w:p>
    <w:p>
      <w:pPr>
        <w:spacing w:before="99" w:after="40"/>
        <w:ind w:left="226" w:right="0" w:firstLine="0"/>
        <w:jc w:val="left"/>
        <w:rPr>
          <w:rFonts w:ascii="Caladea"/>
          <w:b/>
          <w:sz w:val="14"/>
        </w:rPr>
      </w:pPr>
      <w:r>
        <w:rPr>
          <w:rFonts w:ascii="Caladea"/>
          <w:b/>
          <w:sz w:val="14"/>
        </w:rPr>
        <w:t>Fluxos de Caixa das Atividades Operacionais</w:t>
      </w:r>
    </w:p>
    <w:tbl>
      <w:tblPr>
        <w:tblW w:w="0" w:type="auto"/>
        <w:jc w:val="left"/>
        <w:tblInd w:w="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23"/>
        <w:gridCol w:w="1121"/>
        <w:gridCol w:w="74"/>
        <w:gridCol w:w="1110"/>
        <w:gridCol w:w="85"/>
        <w:gridCol w:w="1270"/>
        <w:gridCol w:w="1167"/>
      </w:tblGrid>
      <w:tr>
        <w:trPr>
          <w:trHeight w:val="182" w:hRule="atLeast"/>
        </w:trPr>
        <w:tc>
          <w:tcPr>
            <w:tcW w:w="5123" w:type="dxa"/>
          </w:tcPr>
          <w:p>
            <w:pPr>
              <w:pStyle w:val="TableParagraph"/>
              <w:ind w:left="241"/>
              <w:rPr>
                <w:sz w:val="14"/>
              </w:rPr>
            </w:pPr>
            <w:r>
              <w:rPr>
                <w:sz w:val="14"/>
              </w:rPr>
              <w:t>Recebimento de Consumidores</w:t>
            </w:r>
          </w:p>
        </w:tc>
        <w:tc>
          <w:tcPr>
            <w:tcW w:w="1121" w:type="dxa"/>
          </w:tcPr>
          <w:p>
            <w:pPr>
              <w:pStyle w:val="TableParagraph"/>
              <w:ind w:right="81"/>
              <w:jc w:val="right"/>
              <w:rPr>
                <w:sz w:val="14"/>
              </w:rPr>
            </w:pPr>
            <w:r>
              <w:rPr>
                <w:w w:val="95"/>
                <w:sz w:val="14"/>
              </w:rPr>
              <w:t>72.153</w:t>
            </w:r>
          </w:p>
        </w:tc>
        <w:tc>
          <w:tcPr>
            <w:tcW w:w="74" w:type="dxa"/>
          </w:tcPr>
          <w:p>
            <w:pPr>
              <w:pStyle w:val="TableParagraph"/>
              <w:rPr>
                <w:rFonts w:ascii="Times New Roman"/>
                <w:sz w:val="12"/>
              </w:rPr>
            </w:pPr>
          </w:p>
        </w:tc>
        <w:tc>
          <w:tcPr>
            <w:tcW w:w="1110" w:type="dxa"/>
          </w:tcPr>
          <w:p>
            <w:pPr>
              <w:pStyle w:val="TableParagraph"/>
              <w:ind w:right="79"/>
              <w:jc w:val="right"/>
              <w:rPr>
                <w:sz w:val="14"/>
              </w:rPr>
            </w:pPr>
            <w:r>
              <w:rPr>
                <w:w w:val="95"/>
                <w:sz w:val="14"/>
              </w:rPr>
              <w:t>69.362</w:t>
            </w:r>
          </w:p>
        </w:tc>
        <w:tc>
          <w:tcPr>
            <w:tcW w:w="85" w:type="dxa"/>
          </w:tcPr>
          <w:p>
            <w:pPr>
              <w:pStyle w:val="TableParagraph"/>
              <w:rPr>
                <w:rFonts w:ascii="Times New Roman"/>
                <w:sz w:val="12"/>
              </w:rPr>
            </w:pPr>
          </w:p>
        </w:tc>
        <w:tc>
          <w:tcPr>
            <w:tcW w:w="1270" w:type="dxa"/>
          </w:tcPr>
          <w:p>
            <w:pPr>
              <w:pStyle w:val="TableParagraph"/>
              <w:ind w:right="111"/>
              <w:jc w:val="right"/>
              <w:rPr>
                <w:sz w:val="14"/>
              </w:rPr>
            </w:pPr>
            <w:r>
              <w:rPr>
                <w:w w:val="90"/>
                <w:sz w:val="14"/>
              </w:rPr>
              <w:t>4.357.128</w:t>
            </w:r>
          </w:p>
        </w:tc>
        <w:tc>
          <w:tcPr>
            <w:tcW w:w="1167" w:type="dxa"/>
          </w:tcPr>
          <w:p>
            <w:pPr>
              <w:pStyle w:val="TableParagraph"/>
              <w:ind w:right="92"/>
              <w:jc w:val="right"/>
              <w:rPr>
                <w:sz w:val="14"/>
              </w:rPr>
            </w:pPr>
            <w:r>
              <w:rPr>
                <w:w w:val="90"/>
                <w:sz w:val="14"/>
              </w:rPr>
              <w:t>4.191.245</w:t>
            </w:r>
          </w:p>
        </w:tc>
      </w:tr>
      <w:tr>
        <w:trPr>
          <w:trHeight w:val="202" w:hRule="atLeast"/>
        </w:trPr>
        <w:tc>
          <w:tcPr>
            <w:tcW w:w="5123" w:type="dxa"/>
          </w:tcPr>
          <w:p>
            <w:pPr>
              <w:pStyle w:val="TableParagraph"/>
              <w:spacing w:line="162" w:lineRule="exact" w:before="20"/>
              <w:ind w:left="241"/>
              <w:rPr>
                <w:sz w:val="14"/>
              </w:rPr>
            </w:pPr>
            <w:r>
              <w:rPr>
                <w:sz w:val="14"/>
              </w:rPr>
              <w:t>Rendimento de Aplicações Financeiras</w:t>
            </w:r>
          </w:p>
        </w:tc>
        <w:tc>
          <w:tcPr>
            <w:tcW w:w="1121" w:type="dxa"/>
          </w:tcPr>
          <w:p>
            <w:pPr>
              <w:pStyle w:val="TableParagraph"/>
              <w:spacing w:line="162" w:lineRule="exact" w:before="20"/>
              <w:ind w:right="82"/>
              <w:jc w:val="right"/>
              <w:rPr>
                <w:sz w:val="14"/>
              </w:rPr>
            </w:pPr>
            <w:r>
              <w:rPr>
                <w:sz w:val="14"/>
              </w:rPr>
              <w:t>827</w:t>
            </w:r>
          </w:p>
        </w:tc>
        <w:tc>
          <w:tcPr>
            <w:tcW w:w="74" w:type="dxa"/>
          </w:tcPr>
          <w:p>
            <w:pPr>
              <w:pStyle w:val="TableParagraph"/>
              <w:rPr>
                <w:rFonts w:ascii="Times New Roman"/>
                <w:sz w:val="14"/>
              </w:rPr>
            </w:pPr>
          </w:p>
        </w:tc>
        <w:tc>
          <w:tcPr>
            <w:tcW w:w="1110" w:type="dxa"/>
          </w:tcPr>
          <w:p>
            <w:pPr>
              <w:pStyle w:val="TableParagraph"/>
              <w:spacing w:line="162" w:lineRule="exact" w:before="20"/>
              <w:ind w:right="81"/>
              <w:jc w:val="right"/>
              <w:rPr>
                <w:sz w:val="14"/>
              </w:rPr>
            </w:pPr>
            <w:r>
              <w:rPr>
                <w:sz w:val="14"/>
              </w:rPr>
              <w:t>597</w:t>
            </w:r>
          </w:p>
        </w:tc>
        <w:tc>
          <w:tcPr>
            <w:tcW w:w="85" w:type="dxa"/>
          </w:tcPr>
          <w:p>
            <w:pPr>
              <w:pStyle w:val="TableParagraph"/>
              <w:rPr>
                <w:rFonts w:ascii="Times New Roman"/>
                <w:sz w:val="14"/>
              </w:rPr>
            </w:pPr>
          </w:p>
        </w:tc>
        <w:tc>
          <w:tcPr>
            <w:tcW w:w="1270" w:type="dxa"/>
          </w:tcPr>
          <w:p>
            <w:pPr>
              <w:pStyle w:val="TableParagraph"/>
              <w:spacing w:line="162" w:lineRule="exact" w:before="20"/>
              <w:ind w:right="110"/>
              <w:jc w:val="right"/>
              <w:rPr>
                <w:sz w:val="14"/>
              </w:rPr>
            </w:pPr>
            <w:r>
              <w:rPr>
                <w:w w:val="95"/>
                <w:sz w:val="14"/>
              </w:rPr>
              <w:t>9.736</w:t>
            </w:r>
          </w:p>
        </w:tc>
        <w:tc>
          <w:tcPr>
            <w:tcW w:w="1167" w:type="dxa"/>
          </w:tcPr>
          <w:p>
            <w:pPr>
              <w:pStyle w:val="TableParagraph"/>
              <w:spacing w:line="162" w:lineRule="exact" w:before="20"/>
              <w:ind w:right="91"/>
              <w:jc w:val="right"/>
              <w:rPr>
                <w:sz w:val="14"/>
              </w:rPr>
            </w:pPr>
            <w:r>
              <w:rPr>
                <w:w w:val="95"/>
                <w:sz w:val="14"/>
              </w:rPr>
              <w:t>5.940</w:t>
            </w:r>
          </w:p>
        </w:tc>
      </w:tr>
      <w:tr>
        <w:trPr>
          <w:trHeight w:val="202" w:hRule="atLeast"/>
        </w:trPr>
        <w:tc>
          <w:tcPr>
            <w:tcW w:w="5123" w:type="dxa"/>
          </w:tcPr>
          <w:p>
            <w:pPr>
              <w:pStyle w:val="TableParagraph"/>
              <w:spacing w:before="20"/>
              <w:ind w:left="241"/>
              <w:rPr>
                <w:sz w:val="14"/>
              </w:rPr>
            </w:pPr>
            <w:r>
              <w:rPr>
                <w:sz w:val="14"/>
              </w:rPr>
              <w:t>Liberação de Garantia CCEE</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before="20"/>
              <w:ind w:right="110"/>
              <w:jc w:val="right"/>
              <w:rPr>
                <w:sz w:val="14"/>
              </w:rPr>
            </w:pPr>
            <w:r>
              <w:rPr>
                <w:w w:val="95"/>
                <w:sz w:val="14"/>
              </w:rPr>
              <w:t>7.482</w:t>
            </w:r>
          </w:p>
        </w:tc>
        <w:tc>
          <w:tcPr>
            <w:tcW w:w="1167" w:type="dxa"/>
          </w:tcPr>
          <w:p>
            <w:pPr>
              <w:pStyle w:val="TableParagraph"/>
              <w:spacing w:before="20"/>
              <w:ind w:right="92"/>
              <w:jc w:val="right"/>
              <w:rPr>
                <w:sz w:val="14"/>
              </w:rPr>
            </w:pPr>
            <w:r>
              <w:rPr>
                <w:w w:val="95"/>
                <w:sz w:val="14"/>
              </w:rPr>
              <w:t>16.280</w:t>
            </w:r>
          </w:p>
        </w:tc>
      </w:tr>
      <w:tr>
        <w:trPr>
          <w:trHeight w:val="202" w:hRule="atLeast"/>
        </w:trPr>
        <w:tc>
          <w:tcPr>
            <w:tcW w:w="5123" w:type="dxa"/>
          </w:tcPr>
          <w:p>
            <w:pPr>
              <w:pStyle w:val="TableParagraph"/>
              <w:spacing w:before="20"/>
              <w:ind w:left="241"/>
              <w:rPr>
                <w:sz w:val="14"/>
              </w:rPr>
            </w:pPr>
            <w:r>
              <w:rPr>
                <w:sz w:val="14"/>
              </w:rPr>
              <w:t>Dividendos e Juros sobre Capital Próprio Recebidos</w:t>
            </w:r>
          </w:p>
        </w:tc>
        <w:tc>
          <w:tcPr>
            <w:tcW w:w="1121" w:type="dxa"/>
          </w:tcPr>
          <w:p>
            <w:pPr>
              <w:pStyle w:val="TableParagraph"/>
              <w:spacing w:before="20"/>
              <w:ind w:right="81"/>
              <w:jc w:val="right"/>
              <w:rPr>
                <w:sz w:val="14"/>
              </w:rPr>
            </w:pPr>
            <w:r>
              <w:rPr>
                <w:w w:val="95"/>
                <w:sz w:val="14"/>
              </w:rPr>
              <w:t>65.430</w:t>
            </w:r>
          </w:p>
        </w:tc>
        <w:tc>
          <w:tcPr>
            <w:tcW w:w="74" w:type="dxa"/>
          </w:tcPr>
          <w:p>
            <w:pPr>
              <w:pStyle w:val="TableParagraph"/>
              <w:rPr>
                <w:rFonts w:ascii="Times New Roman"/>
                <w:sz w:val="14"/>
              </w:rPr>
            </w:pPr>
          </w:p>
        </w:tc>
        <w:tc>
          <w:tcPr>
            <w:tcW w:w="1110" w:type="dxa"/>
          </w:tcPr>
          <w:p>
            <w:pPr>
              <w:pStyle w:val="TableParagraph"/>
              <w:spacing w:before="20"/>
              <w:ind w:right="79"/>
              <w:jc w:val="right"/>
              <w:rPr>
                <w:sz w:val="14"/>
              </w:rPr>
            </w:pPr>
            <w:r>
              <w:rPr>
                <w:w w:val="95"/>
                <w:sz w:val="14"/>
              </w:rPr>
              <w:t>38.413</w:t>
            </w:r>
          </w:p>
        </w:tc>
        <w:tc>
          <w:tcPr>
            <w:tcW w:w="85" w:type="dxa"/>
          </w:tcPr>
          <w:p>
            <w:pPr>
              <w:pStyle w:val="TableParagraph"/>
              <w:rPr>
                <w:rFonts w:ascii="Times New Roman"/>
                <w:sz w:val="14"/>
              </w:rPr>
            </w:pPr>
          </w:p>
        </w:tc>
        <w:tc>
          <w:tcPr>
            <w:tcW w:w="1270" w:type="dxa"/>
          </w:tcPr>
          <w:p>
            <w:pPr>
              <w:pStyle w:val="TableParagraph"/>
              <w:spacing w:before="20"/>
              <w:ind w:right="110"/>
              <w:jc w:val="right"/>
              <w:rPr>
                <w:sz w:val="14"/>
              </w:rPr>
            </w:pPr>
            <w:r>
              <w:rPr>
                <w:w w:val="95"/>
                <w:sz w:val="14"/>
              </w:rPr>
              <w:t>32.565</w:t>
            </w:r>
          </w:p>
        </w:tc>
        <w:tc>
          <w:tcPr>
            <w:tcW w:w="1167" w:type="dxa"/>
          </w:tcPr>
          <w:p>
            <w:pPr>
              <w:pStyle w:val="TableParagraph"/>
              <w:spacing w:before="20"/>
              <w:ind w:right="92"/>
              <w:jc w:val="right"/>
              <w:rPr>
                <w:sz w:val="14"/>
              </w:rPr>
            </w:pPr>
            <w:r>
              <w:rPr>
                <w:w w:val="95"/>
                <w:sz w:val="14"/>
              </w:rPr>
              <w:t>14.635</w:t>
            </w:r>
          </w:p>
        </w:tc>
      </w:tr>
      <w:tr>
        <w:trPr>
          <w:trHeight w:val="202" w:hRule="atLeast"/>
        </w:trPr>
        <w:tc>
          <w:tcPr>
            <w:tcW w:w="5123" w:type="dxa"/>
          </w:tcPr>
          <w:p>
            <w:pPr>
              <w:pStyle w:val="TableParagraph"/>
              <w:spacing w:line="162" w:lineRule="exact" w:before="20"/>
              <w:ind w:left="241"/>
              <w:rPr>
                <w:sz w:val="14"/>
              </w:rPr>
            </w:pPr>
            <w:r>
              <w:rPr>
                <w:sz w:val="14"/>
              </w:rPr>
              <w:t>Outros Recebimentos</w:t>
            </w:r>
          </w:p>
        </w:tc>
        <w:tc>
          <w:tcPr>
            <w:tcW w:w="1121" w:type="dxa"/>
          </w:tcPr>
          <w:p>
            <w:pPr>
              <w:pStyle w:val="TableParagraph"/>
              <w:tabs>
                <w:tab w:pos="704" w:val="left" w:leader="none"/>
              </w:tabs>
              <w:spacing w:line="162" w:lineRule="exact" w:before="20"/>
              <w:ind w:right="-15"/>
              <w:jc w:val="right"/>
              <w:rPr>
                <w:sz w:val="14"/>
              </w:rPr>
            </w:pPr>
            <w:r>
              <w:rPr>
                <w:w w:val="72"/>
                <w:sz w:val="14"/>
                <w:u w:val="single"/>
              </w:rPr>
              <w:t> </w:t>
            </w:r>
            <w:r>
              <w:rPr>
                <w:sz w:val="14"/>
                <w:u w:val="single"/>
              </w:rPr>
              <w:tab/>
            </w:r>
            <w:r>
              <w:rPr>
                <w:w w:val="95"/>
                <w:sz w:val="14"/>
                <w:u w:val="single"/>
              </w:rPr>
              <w:t>5.670</w:t>
            </w:r>
            <w:r>
              <w:rPr>
                <w:sz w:val="14"/>
                <w:u w:val="single"/>
              </w:rPr>
              <w:t> </w:t>
            </w:r>
          </w:p>
        </w:tc>
        <w:tc>
          <w:tcPr>
            <w:tcW w:w="74" w:type="dxa"/>
          </w:tcPr>
          <w:p>
            <w:pPr>
              <w:pStyle w:val="TableParagraph"/>
              <w:rPr>
                <w:rFonts w:ascii="Times New Roman"/>
                <w:sz w:val="14"/>
              </w:rPr>
            </w:pPr>
          </w:p>
        </w:tc>
        <w:tc>
          <w:tcPr>
            <w:tcW w:w="1110" w:type="dxa"/>
          </w:tcPr>
          <w:p>
            <w:pPr>
              <w:pStyle w:val="TableParagraph"/>
              <w:tabs>
                <w:tab w:pos="693" w:val="left" w:leader="none"/>
              </w:tabs>
              <w:spacing w:line="162" w:lineRule="exact" w:before="20"/>
              <w:ind w:right="-15"/>
              <w:jc w:val="right"/>
              <w:rPr>
                <w:sz w:val="14"/>
              </w:rPr>
            </w:pPr>
            <w:r>
              <w:rPr>
                <w:w w:val="72"/>
                <w:sz w:val="14"/>
                <w:u w:val="single"/>
              </w:rPr>
              <w:t> </w:t>
            </w:r>
            <w:r>
              <w:rPr>
                <w:sz w:val="14"/>
                <w:u w:val="single"/>
              </w:rPr>
              <w:tab/>
            </w:r>
            <w:r>
              <w:rPr>
                <w:w w:val="95"/>
                <w:sz w:val="14"/>
                <w:u w:val="single"/>
              </w:rPr>
              <w:t>2.891</w:t>
            </w:r>
            <w:r>
              <w:rPr>
                <w:spacing w:val="-1"/>
                <w:sz w:val="14"/>
                <w:u w:val="single"/>
              </w:rPr>
              <w:t> </w:t>
            </w:r>
          </w:p>
        </w:tc>
        <w:tc>
          <w:tcPr>
            <w:tcW w:w="85" w:type="dxa"/>
          </w:tcPr>
          <w:p>
            <w:pPr>
              <w:pStyle w:val="TableParagraph"/>
              <w:rPr>
                <w:rFonts w:ascii="Times New Roman"/>
                <w:sz w:val="14"/>
              </w:rPr>
            </w:pPr>
          </w:p>
        </w:tc>
        <w:tc>
          <w:tcPr>
            <w:tcW w:w="1270" w:type="dxa"/>
          </w:tcPr>
          <w:p>
            <w:pPr>
              <w:pStyle w:val="TableParagraph"/>
              <w:tabs>
                <w:tab w:pos="822" w:val="left" w:leader="none"/>
              </w:tabs>
              <w:spacing w:line="162" w:lineRule="exact" w:before="20"/>
              <w:ind w:right="26"/>
              <w:jc w:val="right"/>
              <w:rPr>
                <w:sz w:val="14"/>
              </w:rPr>
            </w:pPr>
            <w:r>
              <w:rPr>
                <w:w w:val="72"/>
                <w:sz w:val="14"/>
                <w:u w:val="single"/>
              </w:rPr>
              <w:t> </w:t>
            </w:r>
            <w:r>
              <w:rPr>
                <w:sz w:val="14"/>
                <w:u w:val="single"/>
              </w:rPr>
              <w:tab/>
            </w:r>
            <w:r>
              <w:rPr>
                <w:w w:val="95"/>
                <w:sz w:val="14"/>
                <w:u w:val="single"/>
              </w:rPr>
              <w:t>5.768</w:t>
            </w:r>
            <w:r>
              <w:rPr>
                <w:spacing w:val="-1"/>
                <w:sz w:val="14"/>
                <w:u w:val="single"/>
              </w:rPr>
              <w:t> </w:t>
            </w:r>
          </w:p>
        </w:tc>
        <w:tc>
          <w:tcPr>
            <w:tcW w:w="1167" w:type="dxa"/>
          </w:tcPr>
          <w:p>
            <w:pPr>
              <w:pStyle w:val="TableParagraph"/>
              <w:tabs>
                <w:tab w:pos="705" w:val="left" w:leader="none"/>
              </w:tabs>
              <w:spacing w:line="162" w:lineRule="exact" w:before="20"/>
              <w:ind w:right="7"/>
              <w:jc w:val="right"/>
              <w:rPr>
                <w:sz w:val="14"/>
              </w:rPr>
            </w:pPr>
            <w:r>
              <w:rPr>
                <w:w w:val="72"/>
                <w:sz w:val="14"/>
                <w:u w:val="single"/>
              </w:rPr>
              <w:t> </w:t>
            </w:r>
            <w:r>
              <w:rPr>
                <w:sz w:val="14"/>
                <w:u w:val="single"/>
              </w:rPr>
              <w:tab/>
            </w:r>
            <w:r>
              <w:rPr>
                <w:w w:val="95"/>
                <w:sz w:val="14"/>
                <w:u w:val="single"/>
              </w:rPr>
              <w:t>7.850</w:t>
            </w:r>
            <w:r>
              <w:rPr>
                <w:spacing w:val="-1"/>
                <w:sz w:val="14"/>
                <w:u w:val="single"/>
              </w:rPr>
              <w:t> </w:t>
            </w:r>
          </w:p>
        </w:tc>
      </w:tr>
      <w:tr>
        <w:trPr>
          <w:trHeight w:val="202" w:hRule="atLeast"/>
        </w:trPr>
        <w:tc>
          <w:tcPr>
            <w:tcW w:w="5123" w:type="dxa"/>
          </w:tcPr>
          <w:p>
            <w:pPr>
              <w:pStyle w:val="TableParagraph"/>
              <w:spacing w:before="18"/>
              <w:ind w:left="306"/>
              <w:rPr>
                <w:rFonts w:ascii="Caladea"/>
                <w:b/>
                <w:sz w:val="14"/>
              </w:rPr>
            </w:pPr>
            <w:r>
              <w:rPr>
                <w:rFonts w:ascii="Caladea"/>
                <w:b/>
                <w:sz w:val="14"/>
              </w:rPr>
              <w:t>Recebimentos</w:t>
            </w:r>
          </w:p>
        </w:tc>
        <w:tc>
          <w:tcPr>
            <w:tcW w:w="1121" w:type="dxa"/>
          </w:tcPr>
          <w:p>
            <w:pPr>
              <w:pStyle w:val="TableParagraph"/>
              <w:tabs>
                <w:tab w:pos="491" w:val="left" w:leader="none"/>
              </w:tabs>
              <w:spacing w:before="18"/>
              <w:ind w:right="-15"/>
              <w:jc w:val="right"/>
              <w:rPr>
                <w:rFonts w:ascii="Caladea"/>
                <w:b/>
                <w:sz w:val="14"/>
              </w:rPr>
            </w:pPr>
            <w:r>
              <w:rPr>
                <w:rFonts w:ascii="Caladea"/>
                <w:b/>
                <w:w w:val="99"/>
                <w:sz w:val="14"/>
                <w:u w:val="single"/>
              </w:rPr>
              <w:t> </w:t>
            </w:r>
            <w:r>
              <w:rPr>
                <w:rFonts w:ascii="Caladea"/>
                <w:b/>
                <w:sz w:val="14"/>
                <w:u w:val="single"/>
              </w:rPr>
              <w:tab/>
              <w:t>144.080</w:t>
            </w:r>
            <w:r>
              <w:rPr>
                <w:rFonts w:ascii="Caladea"/>
                <w:b/>
                <w:spacing w:val="-3"/>
                <w:sz w:val="14"/>
                <w:u w:val="single"/>
              </w:rPr>
              <w:t> </w:t>
            </w:r>
          </w:p>
        </w:tc>
        <w:tc>
          <w:tcPr>
            <w:tcW w:w="74" w:type="dxa"/>
          </w:tcPr>
          <w:p>
            <w:pPr>
              <w:pStyle w:val="TableParagraph"/>
              <w:rPr>
                <w:rFonts w:ascii="Times New Roman"/>
                <w:sz w:val="14"/>
              </w:rPr>
            </w:pPr>
          </w:p>
        </w:tc>
        <w:tc>
          <w:tcPr>
            <w:tcW w:w="1110" w:type="dxa"/>
          </w:tcPr>
          <w:p>
            <w:pPr>
              <w:pStyle w:val="TableParagraph"/>
              <w:tabs>
                <w:tab w:pos="480" w:val="left" w:leader="none"/>
              </w:tabs>
              <w:spacing w:before="18"/>
              <w:ind w:right="-15"/>
              <w:jc w:val="right"/>
              <w:rPr>
                <w:rFonts w:ascii="Caladea"/>
                <w:b/>
                <w:sz w:val="14"/>
              </w:rPr>
            </w:pPr>
            <w:r>
              <w:rPr>
                <w:rFonts w:ascii="Caladea"/>
                <w:b/>
                <w:w w:val="99"/>
                <w:sz w:val="14"/>
                <w:u w:val="single"/>
              </w:rPr>
              <w:t> </w:t>
            </w:r>
            <w:r>
              <w:rPr>
                <w:rFonts w:ascii="Caladea"/>
                <w:b/>
                <w:sz w:val="14"/>
                <w:u w:val="single"/>
              </w:rPr>
              <w:tab/>
              <w:t>111.263</w:t>
            </w:r>
            <w:r>
              <w:rPr>
                <w:rFonts w:ascii="Caladea"/>
                <w:b/>
                <w:spacing w:val="-3"/>
                <w:sz w:val="14"/>
                <w:u w:val="single"/>
              </w:rPr>
              <w:t> </w:t>
            </w:r>
          </w:p>
        </w:tc>
        <w:tc>
          <w:tcPr>
            <w:tcW w:w="85" w:type="dxa"/>
          </w:tcPr>
          <w:p>
            <w:pPr>
              <w:pStyle w:val="TableParagraph"/>
              <w:rPr>
                <w:rFonts w:ascii="Times New Roman"/>
                <w:sz w:val="14"/>
              </w:rPr>
            </w:pPr>
          </w:p>
        </w:tc>
        <w:tc>
          <w:tcPr>
            <w:tcW w:w="1270" w:type="dxa"/>
          </w:tcPr>
          <w:p>
            <w:pPr>
              <w:pStyle w:val="TableParagraph"/>
              <w:tabs>
                <w:tab w:pos="490" w:val="left" w:leader="none"/>
              </w:tabs>
              <w:spacing w:before="18"/>
              <w:ind w:right="26"/>
              <w:jc w:val="right"/>
              <w:rPr>
                <w:rFonts w:ascii="Caladea"/>
                <w:b/>
                <w:sz w:val="14"/>
              </w:rPr>
            </w:pPr>
            <w:r>
              <w:rPr>
                <w:rFonts w:ascii="Caladea"/>
                <w:b/>
                <w:w w:val="99"/>
                <w:sz w:val="14"/>
                <w:u w:val="single"/>
              </w:rPr>
              <w:t> </w:t>
            </w:r>
            <w:r>
              <w:rPr>
                <w:rFonts w:ascii="Caladea"/>
                <w:b/>
                <w:sz w:val="14"/>
                <w:u w:val="single"/>
              </w:rPr>
              <w:tab/>
              <w:t>4.412.679</w:t>
            </w:r>
            <w:r>
              <w:rPr>
                <w:rFonts w:ascii="Caladea"/>
                <w:b/>
                <w:spacing w:val="-3"/>
                <w:sz w:val="14"/>
                <w:u w:val="single"/>
              </w:rPr>
              <w:t> </w:t>
            </w:r>
          </w:p>
        </w:tc>
        <w:tc>
          <w:tcPr>
            <w:tcW w:w="1167" w:type="dxa"/>
          </w:tcPr>
          <w:p>
            <w:pPr>
              <w:pStyle w:val="TableParagraph"/>
              <w:tabs>
                <w:tab w:pos="374" w:val="left" w:leader="none"/>
              </w:tabs>
              <w:spacing w:before="18"/>
              <w:ind w:right="7"/>
              <w:jc w:val="right"/>
              <w:rPr>
                <w:rFonts w:ascii="Caladea"/>
                <w:b/>
                <w:sz w:val="14"/>
              </w:rPr>
            </w:pPr>
            <w:r>
              <w:rPr>
                <w:rFonts w:ascii="Caladea"/>
                <w:b/>
                <w:w w:val="99"/>
                <w:sz w:val="14"/>
                <w:u w:val="single"/>
              </w:rPr>
              <w:t> </w:t>
            </w:r>
            <w:r>
              <w:rPr>
                <w:rFonts w:ascii="Caladea"/>
                <w:b/>
                <w:sz w:val="14"/>
                <w:u w:val="single"/>
              </w:rPr>
              <w:tab/>
              <w:t>4.235.950</w:t>
            </w:r>
            <w:r>
              <w:rPr>
                <w:rFonts w:ascii="Caladea"/>
                <w:b/>
                <w:spacing w:val="-3"/>
                <w:sz w:val="14"/>
                <w:u w:val="single"/>
              </w:rPr>
              <w:t> </w:t>
            </w:r>
          </w:p>
        </w:tc>
      </w:tr>
      <w:tr>
        <w:trPr>
          <w:trHeight w:val="202" w:hRule="atLeast"/>
        </w:trPr>
        <w:tc>
          <w:tcPr>
            <w:tcW w:w="5123" w:type="dxa"/>
          </w:tcPr>
          <w:p>
            <w:pPr>
              <w:pStyle w:val="TableParagraph"/>
              <w:spacing w:before="20"/>
              <w:ind w:left="241"/>
              <w:rPr>
                <w:sz w:val="14"/>
              </w:rPr>
            </w:pPr>
            <w:r>
              <w:rPr>
                <w:sz w:val="14"/>
              </w:rPr>
              <w:t>Fornecedores - Materiais e Serviços</w:t>
            </w:r>
          </w:p>
        </w:tc>
        <w:tc>
          <w:tcPr>
            <w:tcW w:w="1121" w:type="dxa"/>
          </w:tcPr>
          <w:p>
            <w:pPr>
              <w:pStyle w:val="TableParagraph"/>
              <w:spacing w:before="20"/>
              <w:ind w:right="30"/>
              <w:jc w:val="right"/>
              <w:rPr>
                <w:sz w:val="14"/>
              </w:rPr>
            </w:pPr>
            <w:r>
              <w:rPr>
                <w:w w:val="95"/>
                <w:sz w:val="14"/>
              </w:rPr>
              <w:t>(51.820)</w:t>
            </w:r>
          </w:p>
        </w:tc>
        <w:tc>
          <w:tcPr>
            <w:tcW w:w="74" w:type="dxa"/>
          </w:tcPr>
          <w:p>
            <w:pPr>
              <w:pStyle w:val="TableParagraph"/>
              <w:rPr>
                <w:rFonts w:ascii="Times New Roman"/>
                <w:sz w:val="14"/>
              </w:rPr>
            </w:pPr>
          </w:p>
        </w:tc>
        <w:tc>
          <w:tcPr>
            <w:tcW w:w="1110" w:type="dxa"/>
          </w:tcPr>
          <w:p>
            <w:pPr>
              <w:pStyle w:val="TableParagraph"/>
              <w:spacing w:before="20"/>
              <w:ind w:right="29"/>
              <w:jc w:val="right"/>
              <w:rPr>
                <w:sz w:val="14"/>
              </w:rPr>
            </w:pPr>
            <w:r>
              <w:rPr>
                <w:w w:val="95"/>
                <w:sz w:val="14"/>
              </w:rPr>
              <w:t>(51.471)</w:t>
            </w:r>
          </w:p>
        </w:tc>
        <w:tc>
          <w:tcPr>
            <w:tcW w:w="85" w:type="dxa"/>
          </w:tcPr>
          <w:p>
            <w:pPr>
              <w:pStyle w:val="TableParagraph"/>
              <w:rPr>
                <w:rFonts w:ascii="Times New Roman"/>
                <w:sz w:val="14"/>
              </w:rPr>
            </w:pPr>
          </w:p>
        </w:tc>
        <w:tc>
          <w:tcPr>
            <w:tcW w:w="1270" w:type="dxa"/>
          </w:tcPr>
          <w:p>
            <w:pPr>
              <w:pStyle w:val="TableParagraph"/>
              <w:spacing w:before="20"/>
              <w:ind w:right="60"/>
              <w:jc w:val="right"/>
              <w:rPr>
                <w:sz w:val="14"/>
              </w:rPr>
            </w:pPr>
            <w:r>
              <w:rPr>
                <w:w w:val="95"/>
                <w:sz w:val="14"/>
              </w:rPr>
              <w:t>(186.221)</w:t>
            </w:r>
          </w:p>
        </w:tc>
        <w:tc>
          <w:tcPr>
            <w:tcW w:w="1167" w:type="dxa"/>
          </w:tcPr>
          <w:p>
            <w:pPr>
              <w:pStyle w:val="TableParagraph"/>
              <w:spacing w:before="20"/>
              <w:ind w:right="41"/>
              <w:jc w:val="right"/>
              <w:rPr>
                <w:sz w:val="14"/>
              </w:rPr>
            </w:pPr>
            <w:r>
              <w:rPr>
                <w:w w:val="95"/>
                <w:sz w:val="14"/>
              </w:rPr>
              <w:t>(179.928)</w:t>
            </w:r>
          </w:p>
        </w:tc>
      </w:tr>
      <w:tr>
        <w:trPr>
          <w:trHeight w:val="202" w:hRule="atLeast"/>
        </w:trPr>
        <w:tc>
          <w:tcPr>
            <w:tcW w:w="5123" w:type="dxa"/>
          </w:tcPr>
          <w:p>
            <w:pPr>
              <w:pStyle w:val="TableParagraph"/>
              <w:spacing w:line="162" w:lineRule="exact" w:before="20"/>
              <w:ind w:left="241"/>
              <w:rPr>
                <w:sz w:val="14"/>
              </w:rPr>
            </w:pPr>
            <w:r>
              <w:rPr>
                <w:sz w:val="14"/>
              </w:rPr>
              <w:t>Fornecedores - Energia Elétrica e Gás</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line="162" w:lineRule="exact" w:before="20"/>
              <w:ind w:right="60"/>
              <w:jc w:val="right"/>
              <w:rPr>
                <w:sz w:val="14"/>
              </w:rPr>
            </w:pPr>
            <w:r>
              <w:rPr>
                <w:w w:val="95"/>
                <w:sz w:val="14"/>
              </w:rPr>
              <w:t>(2.584.032)</w:t>
            </w:r>
          </w:p>
        </w:tc>
        <w:tc>
          <w:tcPr>
            <w:tcW w:w="1167" w:type="dxa"/>
          </w:tcPr>
          <w:p>
            <w:pPr>
              <w:pStyle w:val="TableParagraph"/>
              <w:spacing w:line="162" w:lineRule="exact" w:before="20"/>
              <w:ind w:right="41"/>
              <w:jc w:val="right"/>
              <w:rPr>
                <w:sz w:val="14"/>
              </w:rPr>
            </w:pPr>
            <w:r>
              <w:rPr>
                <w:w w:val="95"/>
                <w:sz w:val="14"/>
              </w:rPr>
              <w:t>(2.080.173)</w:t>
            </w:r>
          </w:p>
        </w:tc>
      </w:tr>
      <w:tr>
        <w:trPr>
          <w:trHeight w:val="202" w:hRule="atLeast"/>
        </w:trPr>
        <w:tc>
          <w:tcPr>
            <w:tcW w:w="5123" w:type="dxa"/>
          </w:tcPr>
          <w:p>
            <w:pPr>
              <w:pStyle w:val="TableParagraph"/>
              <w:spacing w:before="20"/>
              <w:ind w:left="241"/>
              <w:rPr>
                <w:sz w:val="14"/>
              </w:rPr>
            </w:pPr>
            <w:r>
              <w:rPr>
                <w:sz w:val="14"/>
              </w:rPr>
              <w:t>Contribuição de Iluminação Pública</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before="20"/>
              <w:ind w:right="60"/>
              <w:jc w:val="right"/>
              <w:rPr>
                <w:sz w:val="14"/>
              </w:rPr>
            </w:pPr>
            <w:r>
              <w:rPr>
                <w:w w:val="95"/>
                <w:sz w:val="14"/>
              </w:rPr>
              <w:t>(226.174)</w:t>
            </w:r>
          </w:p>
        </w:tc>
        <w:tc>
          <w:tcPr>
            <w:tcW w:w="1167" w:type="dxa"/>
          </w:tcPr>
          <w:p>
            <w:pPr>
              <w:pStyle w:val="TableParagraph"/>
              <w:spacing w:before="20"/>
              <w:ind w:right="41"/>
              <w:jc w:val="right"/>
              <w:rPr>
                <w:sz w:val="14"/>
              </w:rPr>
            </w:pPr>
            <w:r>
              <w:rPr>
                <w:w w:val="95"/>
                <w:sz w:val="14"/>
              </w:rPr>
              <w:t>(183.325)</w:t>
            </w:r>
          </w:p>
        </w:tc>
      </w:tr>
      <w:tr>
        <w:trPr>
          <w:trHeight w:val="202" w:hRule="atLeast"/>
        </w:trPr>
        <w:tc>
          <w:tcPr>
            <w:tcW w:w="5123" w:type="dxa"/>
          </w:tcPr>
          <w:p>
            <w:pPr>
              <w:pStyle w:val="TableParagraph"/>
              <w:spacing w:before="20"/>
              <w:ind w:left="241"/>
              <w:rPr>
                <w:sz w:val="14"/>
              </w:rPr>
            </w:pPr>
            <w:r>
              <w:rPr>
                <w:sz w:val="14"/>
              </w:rPr>
              <w:t>Salários e Encargos Sociais</w:t>
            </w:r>
          </w:p>
        </w:tc>
        <w:tc>
          <w:tcPr>
            <w:tcW w:w="1121" w:type="dxa"/>
          </w:tcPr>
          <w:p>
            <w:pPr>
              <w:pStyle w:val="TableParagraph"/>
              <w:spacing w:before="20"/>
              <w:ind w:right="30"/>
              <w:jc w:val="right"/>
              <w:rPr>
                <w:sz w:val="14"/>
              </w:rPr>
            </w:pPr>
            <w:r>
              <w:rPr>
                <w:w w:val="95"/>
                <w:sz w:val="14"/>
              </w:rPr>
              <w:t>(19.695)</w:t>
            </w:r>
          </w:p>
        </w:tc>
        <w:tc>
          <w:tcPr>
            <w:tcW w:w="74" w:type="dxa"/>
          </w:tcPr>
          <w:p>
            <w:pPr>
              <w:pStyle w:val="TableParagraph"/>
              <w:rPr>
                <w:rFonts w:ascii="Times New Roman"/>
                <w:sz w:val="14"/>
              </w:rPr>
            </w:pPr>
          </w:p>
        </w:tc>
        <w:tc>
          <w:tcPr>
            <w:tcW w:w="1110" w:type="dxa"/>
          </w:tcPr>
          <w:p>
            <w:pPr>
              <w:pStyle w:val="TableParagraph"/>
              <w:spacing w:before="20"/>
              <w:ind w:right="29"/>
              <w:jc w:val="right"/>
              <w:rPr>
                <w:sz w:val="14"/>
              </w:rPr>
            </w:pPr>
            <w:r>
              <w:rPr>
                <w:w w:val="95"/>
                <w:sz w:val="14"/>
              </w:rPr>
              <w:t>(14.119)</w:t>
            </w:r>
          </w:p>
        </w:tc>
        <w:tc>
          <w:tcPr>
            <w:tcW w:w="85" w:type="dxa"/>
          </w:tcPr>
          <w:p>
            <w:pPr>
              <w:pStyle w:val="TableParagraph"/>
              <w:rPr>
                <w:rFonts w:ascii="Times New Roman"/>
                <w:sz w:val="14"/>
              </w:rPr>
            </w:pPr>
          </w:p>
        </w:tc>
        <w:tc>
          <w:tcPr>
            <w:tcW w:w="1270" w:type="dxa"/>
          </w:tcPr>
          <w:p>
            <w:pPr>
              <w:pStyle w:val="TableParagraph"/>
              <w:spacing w:before="20"/>
              <w:ind w:right="60"/>
              <w:jc w:val="right"/>
              <w:rPr>
                <w:sz w:val="14"/>
              </w:rPr>
            </w:pPr>
            <w:r>
              <w:rPr>
                <w:w w:val="95"/>
                <w:sz w:val="14"/>
              </w:rPr>
              <w:t>(267.850)</w:t>
            </w:r>
          </w:p>
        </w:tc>
        <w:tc>
          <w:tcPr>
            <w:tcW w:w="1167" w:type="dxa"/>
          </w:tcPr>
          <w:p>
            <w:pPr>
              <w:pStyle w:val="TableParagraph"/>
              <w:spacing w:before="20"/>
              <w:ind w:right="41"/>
              <w:jc w:val="right"/>
              <w:rPr>
                <w:sz w:val="14"/>
              </w:rPr>
            </w:pPr>
            <w:r>
              <w:rPr>
                <w:w w:val="95"/>
                <w:sz w:val="14"/>
              </w:rPr>
              <w:t>(263.230)</w:t>
            </w:r>
          </w:p>
        </w:tc>
      </w:tr>
      <w:tr>
        <w:trPr>
          <w:trHeight w:val="202" w:hRule="atLeast"/>
        </w:trPr>
        <w:tc>
          <w:tcPr>
            <w:tcW w:w="5123" w:type="dxa"/>
          </w:tcPr>
          <w:p>
            <w:pPr>
              <w:pStyle w:val="TableParagraph"/>
              <w:spacing w:line="162" w:lineRule="exact" w:before="20"/>
              <w:ind w:left="241"/>
              <w:rPr>
                <w:sz w:val="14"/>
              </w:rPr>
            </w:pPr>
            <w:r>
              <w:rPr>
                <w:sz w:val="14"/>
              </w:rPr>
              <w:t>Pagamentos de Encargos da Dívida</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line="162" w:lineRule="exact" w:before="20"/>
              <w:ind w:right="59"/>
              <w:jc w:val="right"/>
              <w:rPr>
                <w:sz w:val="14"/>
              </w:rPr>
            </w:pPr>
            <w:r>
              <w:rPr>
                <w:w w:val="95"/>
                <w:sz w:val="14"/>
              </w:rPr>
              <w:t>(40.691)</w:t>
            </w:r>
          </w:p>
        </w:tc>
        <w:tc>
          <w:tcPr>
            <w:tcW w:w="1167" w:type="dxa"/>
          </w:tcPr>
          <w:p>
            <w:pPr>
              <w:pStyle w:val="TableParagraph"/>
              <w:spacing w:line="162" w:lineRule="exact" w:before="20"/>
              <w:ind w:right="41"/>
              <w:jc w:val="right"/>
              <w:rPr>
                <w:sz w:val="14"/>
              </w:rPr>
            </w:pPr>
            <w:r>
              <w:rPr>
                <w:w w:val="95"/>
                <w:sz w:val="14"/>
              </w:rPr>
              <w:t>(50.191)</w:t>
            </w:r>
          </w:p>
        </w:tc>
      </w:tr>
      <w:tr>
        <w:trPr>
          <w:trHeight w:val="202" w:hRule="atLeast"/>
        </w:trPr>
        <w:tc>
          <w:tcPr>
            <w:tcW w:w="5123" w:type="dxa"/>
          </w:tcPr>
          <w:p>
            <w:pPr>
              <w:pStyle w:val="TableParagraph"/>
              <w:spacing w:before="20"/>
              <w:ind w:left="241"/>
              <w:rPr>
                <w:sz w:val="14"/>
              </w:rPr>
            </w:pPr>
            <w:r>
              <w:rPr>
                <w:sz w:val="14"/>
              </w:rPr>
              <w:t>Impostos e Contribuições</w:t>
            </w:r>
          </w:p>
        </w:tc>
        <w:tc>
          <w:tcPr>
            <w:tcW w:w="1121" w:type="dxa"/>
          </w:tcPr>
          <w:p>
            <w:pPr>
              <w:pStyle w:val="TableParagraph"/>
              <w:spacing w:before="20"/>
              <w:ind w:right="30"/>
              <w:jc w:val="right"/>
              <w:rPr>
                <w:sz w:val="14"/>
              </w:rPr>
            </w:pPr>
            <w:r>
              <w:rPr>
                <w:w w:val="95"/>
                <w:sz w:val="14"/>
              </w:rPr>
              <w:t>(3.958)</w:t>
            </w:r>
          </w:p>
        </w:tc>
        <w:tc>
          <w:tcPr>
            <w:tcW w:w="74" w:type="dxa"/>
          </w:tcPr>
          <w:p>
            <w:pPr>
              <w:pStyle w:val="TableParagraph"/>
              <w:rPr>
                <w:rFonts w:ascii="Times New Roman"/>
                <w:sz w:val="14"/>
              </w:rPr>
            </w:pPr>
          </w:p>
        </w:tc>
        <w:tc>
          <w:tcPr>
            <w:tcW w:w="1110" w:type="dxa"/>
          </w:tcPr>
          <w:p>
            <w:pPr>
              <w:pStyle w:val="TableParagraph"/>
              <w:spacing w:before="20"/>
              <w:ind w:right="29"/>
              <w:jc w:val="right"/>
              <w:rPr>
                <w:sz w:val="14"/>
              </w:rPr>
            </w:pPr>
            <w:r>
              <w:rPr>
                <w:w w:val="95"/>
                <w:sz w:val="14"/>
              </w:rPr>
              <w:t>(6.381)</w:t>
            </w:r>
          </w:p>
        </w:tc>
        <w:tc>
          <w:tcPr>
            <w:tcW w:w="85" w:type="dxa"/>
          </w:tcPr>
          <w:p>
            <w:pPr>
              <w:pStyle w:val="TableParagraph"/>
              <w:rPr>
                <w:rFonts w:ascii="Times New Roman"/>
                <w:sz w:val="14"/>
              </w:rPr>
            </w:pPr>
          </w:p>
        </w:tc>
        <w:tc>
          <w:tcPr>
            <w:tcW w:w="1270" w:type="dxa"/>
          </w:tcPr>
          <w:p>
            <w:pPr>
              <w:pStyle w:val="TableParagraph"/>
              <w:spacing w:before="20"/>
              <w:ind w:right="60"/>
              <w:jc w:val="right"/>
              <w:rPr>
                <w:sz w:val="14"/>
              </w:rPr>
            </w:pPr>
            <w:r>
              <w:rPr>
                <w:w w:val="95"/>
                <w:sz w:val="14"/>
              </w:rPr>
              <w:t>(595.931)</w:t>
            </w:r>
          </w:p>
        </w:tc>
        <w:tc>
          <w:tcPr>
            <w:tcW w:w="1167" w:type="dxa"/>
          </w:tcPr>
          <w:p>
            <w:pPr>
              <w:pStyle w:val="TableParagraph"/>
              <w:spacing w:before="20"/>
              <w:ind w:right="41"/>
              <w:jc w:val="right"/>
              <w:rPr>
                <w:sz w:val="14"/>
              </w:rPr>
            </w:pPr>
            <w:r>
              <w:rPr>
                <w:w w:val="95"/>
                <w:sz w:val="14"/>
              </w:rPr>
              <w:t>(798.225)</w:t>
            </w:r>
          </w:p>
        </w:tc>
      </w:tr>
      <w:tr>
        <w:trPr>
          <w:trHeight w:val="202" w:hRule="atLeast"/>
        </w:trPr>
        <w:tc>
          <w:tcPr>
            <w:tcW w:w="5123" w:type="dxa"/>
          </w:tcPr>
          <w:p>
            <w:pPr>
              <w:pStyle w:val="TableParagraph"/>
              <w:spacing w:before="20"/>
              <w:ind w:left="241"/>
              <w:rPr>
                <w:sz w:val="14"/>
              </w:rPr>
            </w:pPr>
            <w:r>
              <w:rPr>
                <w:sz w:val="14"/>
              </w:rPr>
              <w:t>Encargos Setoriais</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before="20"/>
              <w:ind w:right="59"/>
              <w:jc w:val="right"/>
              <w:rPr>
                <w:sz w:val="14"/>
              </w:rPr>
            </w:pPr>
            <w:r>
              <w:rPr>
                <w:w w:val="95"/>
                <w:sz w:val="14"/>
              </w:rPr>
              <w:t>(68.393)</w:t>
            </w:r>
          </w:p>
        </w:tc>
        <w:tc>
          <w:tcPr>
            <w:tcW w:w="1167" w:type="dxa"/>
          </w:tcPr>
          <w:p>
            <w:pPr>
              <w:pStyle w:val="TableParagraph"/>
              <w:spacing w:before="20"/>
              <w:ind w:right="41"/>
              <w:jc w:val="right"/>
              <w:rPr>
                <w:sz w:val="14"/>
              </w:rPr>
            </w:pPr>
            <w:r>
              <w:rPr>
                <w:w w:val="95"/>
                <w:sz w:val="14"/>
              </w:rPr>
              <w:t>(479.422)</w:t>
            </w:r>
          </w:p>
        </w:tc>
      </w:tr>
      <w:tr>
        <w:trPr>
          <w:trHeight w:val="202" w:hRule="atLeast"/>
        </w:trPr>
        <w:tc>
          <w:tcPr>
            <w:tcW w:w="5123" w:type="dxa"/>
          </w:tcPr>
          <w:p>
            <w:pPr>
              <w:pStyle w:val="TableParagraph"/>
              <w:spacing w:line="162" w:lineRule="exact" w:before="20"/>
              <w:ind w:left="241"/>
              <w:rPr>
                <w:sz w:val="14"/>
              </w:rPr>
            </w:pPr>
            <w:r>
              <w:rPr>
                <w:sz w:val="14"/>
              </w:rPr>
              <w:t>Outros Pagamentos</w:t>
            </w:r>
          </w:p>
        </w:tc>
        <w:tc>
          <w:tcPr>
            <w:tcW w:w="1121" w:type="dxa"/>
          </w:tcPr>
          <w:p>
            <w:pPr>
              <w:pStyle w:val="TableParagraph"/>
              <w:tabs>
                <w:tab w:pos="651" w:val="left" w:leader="none"/>
              </w:tabs>
              <w:spacing w:line="162" w:lineRule="exact" w:before="20"/>
              <w:ind w:right="-15"/>
              <w:jc w:val="right"/>
              <w:rPr>
                <w:sz w:val="14"/>
              </w:rPr>
            </w:pPr>
            <w:r>
              <w:rPr>
                <w:w w:val="72"/>
                <w:sz w:val="14"/>
                <w:u w:val="single"/>
              </w:rPr>
              <w:t> </w:t>
            </w:r>
            <w:r>
              <w:rPr>
                <w:sz w:val="14"/>
                <w:u w:val="single"/>
              </w:rPr>
              <w:tab/>
            </w:r>
            <w:r>
              <w:rPr>
                <w:spacing w:val="-1"/>
                <w:w w:val="95"/>
                <w:sz w:val="14"/>
                <w:u w:val="single"/>
              </w:rPr>
              <w:t>(1.917)</w:t>
            </w:r>
            <w:r>
              <w:rPr>
                <w:spacing w:val="-9"/>
                <w:sz w:val="14"/>
                <w:u w:val="single"/>
              </w:rPr>
              <w:t> </w:t>
            </w:r>
          </w:p>
        </w:tc>
        <w:tc>
          <w:tcPr>
            <w:tcW w:w="74" w:type="dxa"/>
          </w:tcPr>
          <w:p>
            <w:pPr>
              <w:pStyle w:val="TableParagraph"/>
              <w:rPr>
                <w:rFonts w:ascii="Times New Roman"/>
                <w:sz w:val="14"/>
              </w:rPr>
            </w:pPr>
          </w:p>
        </w:tc>
        <w:tc>
          <w:tcPr>
            <w:tcW w:w="1110" w:type="dxa"/>
          </w:tcPr>
          <w:p>
            <w:pPr>
              <w:pStyle w:val="TableParagraph"/>
              <w:tabs>
                <w:tab w:pos="640" w:val="left" w:leader="none"/>
              </w:tabs>
              <w:spacing w:line="162" w:lineRule="exact" w:before="20"/>
              <w:ind w:right="-15"/>
              <w:jc w:val="right"/>
              <w:rPr>
                <w:sz w:val="14"/>
              </w:rPr>
            </w:pPr>
            <w:r>
              <w:rPr>
                <w:w w:val="72"/>
                <w:sz w:val="14"/>
                <w:u w:val="single"/>
              </w:rPr>
              <w:t> </w:t>
            </w:r>
            <w:r>
              <w:rPr>
                <w:sz w:val="14"/>
                <w:u w:val="single"/>
              </w:rPr>
              <w:tab/>
            </w:r>
            <w:r>
              <w:rPr>
                <w:spacing w:val="-1"/>
                <w:w w:val="95"/>
                <w:sz w:val="14"/>
                <w:u w:val="single"/>
              </w:rPr>
              <w:t>(8.040)</w:t>
            </w:r>
            <w:r>
              <w:rPr>
                <w:spacing w:val="-9"/>
                <w:sz w:val="14"/>
                <w:u w:val="single"/>
              </w:rPr>
              <w:t> </w:t>
            </w:r>
          </w:p>
        </w:tc>
        <w:tc>
          <w:tcPr>
            <w:tcW w:w="85" w:type="dxa"/>
          </w:tcPr>
          <w:p>
            <w:pPr>
              <w:pStyle w:val="TableParagraph"/>
              <w:rPr>
                <w:rFonts w:ascii="Times New Roman"/>
                <w:sz w:val="14"/>
              </w:rPr>
            </w:pPr>
          </w:p>
        </w:tc>
        <w:tc>
          <w:tcPr>
            <w:tcW w:w="1270" w:type="dxa"/>
          </w:tcPr>
          <w:p>
            <w:pPr>
              <w:pStyle w:val="TableParagraph"/>
              <w:tabs>
                <w:tab w:pos="694" w:val="left" w:leader="none"/>
              </w:tabs>
              <w:spacing w:line="162" w:lineRule="exact" w:before="20"/>
              <w:ind w:right="26"/>
              <w:jc w:val="right"/>
              <w:rPr>
                <w:sz w:val="14"/>
              </w:rPr>
            </w:pPr>
            <w:r>
              <w:rPr>
                <w:w w:val="72"/>
                <w:sz w:val="14"/>
                <w:u w:val="single"/>
              </w:rPr>
              <w:t> </w:t>
            </w:r>
            <w:r>
              <w:rPr>
                <w:sz w:val="14"/>
                <w:u w:val="single"/>
              </w:rPr>
              <w:tab/>
            </w:r>
            <w:r>
              <w:rPr>
                <w:spacing w:val="-1"/>
                <w:w w:val="95"/>
                <w:sz w:val="14"/>
                <w:u w:val="single"/>
              </w:rPr>
              <w:t>(69.181)</w:t>
            </w:r>
            <w:r>
              <w:rPr>
                <w:spacing w:val="-10"/>
                <w:sz w:val="14"/>
                <w:u w:val="single"/>
              </w:rPr>
              <w:t> </w:t>
            </w:r>
          </w:p>
        </w:tc>
        <w:tc>
          <w:tcPr>
            <w:tcW w:w="1167" w:type="dxa"/>
          </w:tcPr>
          <w:p>
            <w:pPr>
              <w:pStyle w:val="TableParagraph"/>
              <w:tabs>
                <w:tab w:pos="576" w:val="left" w:leader="none"/>
              </w:tabs>
              <w:spacing w:line="162" w:lineRule="exact" w:before="20"/>
              <w:ind w:right="7"/>
              <w:jc w:val="right"/>
              <w:rPr>
                <w:sz w:val="14"/>
              </w:rPr>
            </w:pPr>
            <w:r>
              <w:rPr>
                <w:w w:val="72"/>
                <w:sz w:val="14"/>
                <w:u w:val="single"/>
              </w:rPr>
              <w:t> </w:t>
            </w:r>
            <w:r>
              <w:rPr>
                <w:sz w:val="14"/>
                <w:u w:val="single"/>
              </w:rPr>
              <w:tab/>
            </w:r>
            <w:r>
              <w:rPr>
                <w:spacing w:val="-1"/>
                <w:w w:val="95"/>
                <w:sz w:val="14"/>
                <w:u w:val="single"/>
              </w:rPr>
              <w:t>(84.927)</w:t>
            </w:r>
            <w:r>
              <w:rPr>
                <w:spacing w:val="-9"/>
                <w:sz w:val="14"/>
                <w:u w:val="single"/>
              </w:rPr>
              <w:t> </w:t>
            </w:r>
          </w:p>
        </w:tc>
      </w:tr>
      <w:tr>
        <w:trPr>
          <w:trHeight w:val="384" w:hRule="atLeast"/>
        </w:trPr>
        <w:tc>
          <w:tcPr>
            <w:tcW w:w="5123" w:type="dxa"/>
          </w:tcPr>
          <w:p>
            <w:pPr>
              <w:pStyle w:val="TableParagraph"/>
              <w:spacing w:before="18"/>
              <w:ind w:left="306"/>
              <w:rPr>
                <w:rFonts w:ascii="Caladea"/>
                <w:b/>
                <w:sz w:val="14"/>
              </w:rPr>
            </w:pPr>
            <w:r>
              <w:rPr>
                <w:rFonts w:ascii="Caladea"/>
                <w:b/>
                <w:sz w:val="14"/>
              </w:rPr>
              <w:t>Pagamentos</w:t>
            </w:r>
          </w:p>
        </w:tc>
        <w:tc>
          <w:tcPr>
            <w:tcW w:w="1121" w:type="dxa"/>
            <w:tcBorders>
              <w:bottom w:val="single" w:sz="6" w:space="0" w:color="000000"/>
            </w:tcBorders>
          </w:tcPr>
          <w:p>
            <w:pPr>
              <w:pStyle w:val="TableParagraph"/>
              <w:tabs>
                <w:tab w:pos="523" w:val="left" w:leader="none"/>
              </w:tabs>
              <w:spacing w:before="18"/>
              <w:ind w:right="-15"/>
              <w:jc w:val="right"/>
              <w:rPr>
                <w:rFonts w:ascii="Caladea"/>
                <w:b/>
                <w:sz w:val="14"/>
              </w:rPr>
            </w:pPr>
            <w:r>
              <w:rPr>
                <w:rFonts w:ascii="Caladea"/>
                <w:b/>
                <w:w w:val="99"/>
                <w:sz w:val="14"/>
                <w:u w:val="single"/>
              </w:rPr>
              <w:t> </w:t>
            </w:r>
            <w:r>
              <w:rPr>
                <w:rFonts w:ascii="Caladea"/>
                <w:b/>
                <w:sz w:val="14"/>
                <w:u w:val="single"/>
              </w:rPr>
              <w:tab/>
              <w:t>(77.390)</w:t>
            </w:r>
            <w:r>
              <w:rPr>
                <w:rFonts w:ascii="Caladea"/>
                <w:b/>
                <w:spacing w:val="-1"/>
                <w:sz w:val="14"/>
                <w:u w:val="single"/>
              </w:rPr>
              <w:t> </w:t>
            </w:r>
          </w:p>
        </w:tc>
        <w:tc>
          <w:tcPr>
            <w:tcW w:w="74" w:type="dxa"/>
          </w:tcPr>
          <w:p>
            <w:pPr>
              <w:pStyle w:val="TableParagraph"/>
              <w:rPr>
                <w:rFonts w:ascii="Times New Roman"/>
                <w:sz w:val="14"/>
              </w:rPr>
            </w:pPr>
          </w:p>
        </w:tc>
        <w:tc>
          <w:tcPr>
            <w:tcW w:w="1110" w:type="dxa"/>
            <w:tcBorders>
              <w:bottom w:val="single" w:sz="6" w:space="0" w:color="000000"/>
            </w:tcBorders>
          </w:tcPr>
          <w:p>
            <w:pPr>
              <w:pStyle w:val="TableParagraph"/>
              <w:tabs>
                <w:tab w:pos="512" w:val="left" w:leader="none"/>
              </w:tabs>
              <w:spacing w:before="18"/>
              <w:ind w:right="-15"/>
              <w:jc w:val="right"/>
              <w:rPr>
                <w:rFonts w:ascii="Caladea"/>
                <w:b/>
                <w:sz w:val="14"/>
              </w:rPr>
            </w:pPr>
            <w:r>
              <w:rPr>
                <w:rFonts w:ascii="Caladea"/>
                <w:b/>
                <w:w w:val="99"/>
                <w:sz w:val="14"/>
                <w:u w:val="single"/>
              </w:rPr>
              <w:t> </w:t>
            </w:r>
            <w:r>
              <w:rPr>
                <w:rFonts w:ascii="Caladea"/>
                <w:b/>
                <w:sz w:val="14"/>
                <w:u w:val="single"/>
              </w:rPr>
              <w:tab/>
              <w:t>(80.011)</w:t>
            </w:r>
            <w:r>
              <w:rPr>
                <w:rFonts w:ascii="Caladea"/>
                <w:b/>
                <w:spacing w:val="-1"/>
                <w:sz w:val="14"/>
                <w:u w:val="single"/>
              </w:rPr>
              <w:t> </w:t>
            </w:r>
          </w:p>
        </w:tc>
        <w:tc>
          <w:tcPr>
            <w:tcW w:w="85" w:type="dxa"/>
          </w:tcPr>
          <w:p>
            <w:pPr>
              <w:pStyle w:val="TableParagraph"/>
              <w:rPr>
                <w:rFonts w:ascii="Times New Roman"/>
                <w:sz w:val="14"/>
              </w:rPr>
            </w:pPr>
          </w:p>
        </w:tc>
        <w:tc>
          <w:tcPr>
            <w:tcW w:w="1270" w:type="dxa"/>
            <w:tcBorders>
              <w:bottom w:val="single" w:sz="6" w:space="0" w:color="000000"/>
            </w:tcBorders>
          </w:tcPr>
          <w:p>
            <w:pPr>
              <w:pStyle w:val="TableParagraph"/>
              <w:tabs>
                <w:tab w:pos="437" w:val="left" w:leader="none"/>
              </w:tabs>
              <w:spacing w:before="18"/>
              <w:ind w:right="26"/>
              <w:jc w:val="right"/>
              <w:rPr>
                <w:rFonts w:ascii="Caladea"/>
                <w:b/>
                <w:sz w:val="14"/>
              </w:rPr>
            </w:pPr>
            <w:r>
              <w:rPr>
                <w:rFonts w:ascii="Caladea"/>
                <w:b/>
                <w:w w:val="99"/>
                <w:sz w:val="14"/>
                <w:u w:val="single"/>
              </w:rPr>
              <w:t> </w:t>
            </w:r>
            <w:r>
              <w:rPr>
                <w:rFonts w:ascii="Caladea"/>
                <w:b/>
                <w:sz w:val="14"/>
                <w:u w:val="single"/>
              </w:rPr>
              <w:tab/>
              <w:t>(4.038.473)</w:t>
            </w:r>
            <w:r>
              <w:rPr>
                <w:rFonts w:ascii="Caladea"/>
                <w:b/>
                <w:spacing w:val="-1"/>
                <w:sz w:val="14"/>
                <w:u w:val="single"/>
              </w:rPr>
              <w:t> </w:t>
            </w:r>
          </w:p>
        </w:tc>
        <w:tc>
          <w:tcPr>
            <w:tcW w:w="1167" w:type="dxa"/>
            <w:tcBorders>
              <w:bottom w:val="single" w:sz="6" w:space="0" w:color="000000"/>
            </w:tcBorders>
          </w:tcPr>
          <w:p>
            <w:pPr>
              <w:pStyle w:val="TableParagraph"/>
              <w:tabs>
                <w:tab w:pos="320" w:val="left" w:leader="none"/>
              </w:tabs>
              <w:spacing w:before="18"/>
              <w:ind w:right="7"/>
              <w:jc w:val="right"/>
              <w:rPr>
                <w:rFonts w:ascii="Caladea"/>
                <w:b/>
                <w:sz w:val="14"/>
              </w:rPr>
            </w:pPr>
            <w:r>
              <w:rPr>
                <w:rFonts w:ascii="Caladea"/>
                <w:b/>
                <w:w w:val="99"/>
                <w:sz w:val="14"/>
                <w:u w:val="single"/>
              </w:rPr>
              <w:t> </w:t>
            </w:r>
            <w:r>
              <w:rPr>
                <w:rFonts w:ascii="Caladea"/>
                <w:b/>
                <w:sz w:val="14"/>
                <w:u w:val="single"/>
              </w:rPr>
              <w:tab/>
              <w:t>(4.119.421) </w:t>
            </w:r>
          </w:p>
        </w:tc>
      </w:tr>
      <w:tr>
        <w:trPr>
          <w:trHeight w:val="321" w:hRule="atLeast"/>
        </w:trPr>
        <w:tc>
          <w:tcPr>
            <w:tcW w:w="5123" w:type="dxa"/>
          </w:tcPr>
          <w:p>
            <w:pPr>
              <w:pStyle w:val="TableParagraph"/>
              <w:spacing w:before="25"/>
              <w:ind w:left="50"/>
              <w:rPr>
                <w:rFonts w:ascii="Caladea" w:hAnsi="Caladea"/>
                <w:b/>
                <w:sz w:val="14"/>
              </w:rPr>
            </w:pPr>
            <w:r>
              <w:rPr>
                <w:rFonts w:ascii="Caladea" w:hAnsi="Caladea"/>
                <w:b/>
                <w:sz w:val="14"/>
              </w:rPr>
              <w:t>Caixa Líquido Proveniente das (Usado nas) Atividades Operacionais</w:t>
            </w:r>
          </w:p>
        </w:tc>
        <w:tc>
          <w:tcPr>
            <w:tcW w:w="1121" w:type="dxa"/>
            <w:tcBorders>
              <w:top w:val="single" w:sz="6" w:space="0" w:color="000000"/>
            </w:tcBorders>
          </w:tcPr>
          <w:p>
            <w:pPr>
              <w:pStyle w:val="TableParagraph"/>
              <w:tabs>
                <w:tab w:pos="576" w:val="left" w:leader="none"/>
              </w:tabs>
              <w:spacing w:before="25"/>
              <w:ind w:right="-15"/>
              <w:jc w:val="right"/>
              <w:rPr>
                <w:rFonts w:ascii="Caladea"/>
                <w:b/>
                <w:sz w:val="14"/>
              </w:rPr>
            </w:pPr>
            <w:r>
              <w:rPr>
                <w:rFonts w:ascii="Caladea"/>
                <w:b/>
                <w:w w:val="99"/>
                <w:sz w:val="14"/>
                <w:u w:val="double"/>
              </w:rPr>
              <w:t> </w:t>
            </w:r>
            <w:r>
              <w:rPr>
                <w:rFonts w:ascii="Caladea"/>
                <w:b/>
                <w:sz w:val="14"/>
                <w:u w:val="double"/>
              </w:rPr>
              <w:tab/>
              <w:t>66.690</w:t>
            </w:r>
            <w:r>
              <w:rPr>
                <w:rFonts w:ascii="Caladea"/>
                <w:b/>
                <w:spacing w:val="-3"/>
                <w:sz w:val="14"/>
                <w:u w:val="double"/>
              </w:rPr>
              <w:t> </w:t>
            </w:r>
          </w:p>
        </w:tc>
        <w:tc>
          <w:tcPr>
            <w:tcW w:w="74" w:type="dxa"/>
          </w:tcPr>
          <w:p>
            <w:pPr>
              <w:pStyle w:val="TableParagraph"/>
              <w:rPr>
                <w:rFonts w:ascii="Times New Roman"/>
                <w:sz w:val="14"/>
              </w:rPr>
            </w:pPr>
          </w:p>
        </w:tc>
        <w:tc>
          <w:tcPr>
            <w:tcW w:w="1110" w:type="dxa"/>
            <w:tcBorders>
              <w:top w:val="single" w:sz="6" w:space="0" w:color="000000"/>
            </w:tcBorders>
          </w:tcPr>
          <w:p>
            <w:pPr>
              <w:pStyle w:val="TableParagraph"/>
              <w:tabs>
                <w:tab w:pos="565" w:val="left" w:leader="none"/>
              </w:tabs>
              <w:spacing w:before="25"/>
              <w:ind w:right="-15"/>
              <w:jc w:val="right"/>
              <w:rPr>
                <w:rFonts w:ascii="Caladea"/>
                <w:b/>
                <w:sz w:val="14"/>
              </w:rPr>
            </w:pPr>
            <w:r>
              <w:rPr>
                <w:rFonts w:ascii="Caladea"/>
                <w:b/>
                <w:w w:val="99"/>
                <w:sz w:val="14"/>
                <w:u w:val="double"/>
              </w:rPr>
              <w:t> </w:t>
            </w:r>
            <w:r>
              <w:rPr>
                <w:rFonts w:ascii="Caladea"/>
                <w:b/>
                <w:sz w:val="14"/>
                <w:u w:val="double"/>
              </w:rPr>
              <w:tab/>
              <w:t>31.252</w:t>
            </w:r>
            <w:r>
              <w:rPr>
                <w:rFonts w:ascii="Caladea"/>
                <w:b/>
                <w:spacing w:val="-3"/>
                <w:sz w:val="14"/>
                <w:u w:val="double"/>
              </w:rPr>
              <w:t> </w:t>
            </w:r>
          </w:p>
        </w:tc>
        <w:tc>
          <w:tcPr>
            <w:tcW w:w="85" w:type="dxa"/>
          </w:tcPr>
          <w:p>
            <w:pPr>
              <w:pStyle w:val="TableParagraph"/>
              <w:rPr>
                <w:rFonts w:ascii="Times New Roman"/>
                <w:sz w:val="14"/>
              </w:rPr>
            </w:pPr>
          </w:p>
        </w:tc>
        <w:tc>
          <w:tcPr>
            <w:tcW w:w="1270" w:type="dxa"/>
            <w:tcBorders>
              <w:top w:val="single" w:sz="6" w:space="0" w:color="000000"/>
            </w:tcBorders>
          </w:tcPr>
          <w:p>
            <w:pPr>
              <w:pStyle w:val="TableParagraph"/>
              <w:tabs>
                <w:tab w:pos="608" w:val="left" w:leader="none"/>
              </w:tabs>
              <w:spacing w:before="25"/>
              <w:ind w:right="26"/>
              <w:jc w:val="right"/>
              <w:rPr>
                <w:rFonts w:ascii="Caladea"/>
                <w:b/>
                <w:sz w:val="14"/>
              </w:rPr>
            </w:pPr>
            <w:r>
              <w:rPr>
                <w:rFonts w:ascii="Caladea"/>
                <w:b/>
                <w:w w:val="99"/>
                <w:sz w:val="14"/>
                <w:u w:val="double"/>
              </w:rPr>
              <w:t> </w:t>
            </w:r>
            <w:r>
              <w:rPr>
                <w:rFonts w:ascii="Caladea"/>
                <w:b/>
                <w:sz w:val="14"/>
                <w:u w:val="double"/>
              </w:rPr>
              <w:tab/>
              <w:t>374.206</w:t>
            </w:r>
            <w:r>
              <w:rPr>
                <w:rFonts w:ascii="Caladea"/>
                <w:b/>
                <w:spacing w:val="-3"/>
                <w:sz w:val="14"/>
                <w:u w:val="double"/>
              </w:rPr>
              <w:t> </w:t>
            </w:r>
          </w:p>
        </w:tc>
        <w:tc>
          <w:tcPr>
            <w:tcW w:w="1167" w:type="dxa"/>
            <w:tcBorders>
              <w:top w:val="single" w:sz="6" w:space="0" w:color="000000"/>
            </w:tcBorders>
          </w:tcPr>
          <w:p>
            <w:pPr>
              <w:pStyle w:val="TableParagraph"/>
              <w:tabs>
                <w:tab w:pos="491" w:val="left" w:leader="none"/>
              </w:tabs>
              <w:spacing w:before="25"/>
              <w:ind w:right="7"/>
              <w:jc w:val="right"/>
              <w:rPr>
                <w:rFonts w:ascii="Caladea"/>
                <w:b/>
                <w:sz w:val="14"/>
              </w:rPr>
            </w:pPr>
            <w:r>
              <w:rPr>
                <w:rFonts w:ascii="Caladea"/>
                <w:b/>
                <w:w w:val="99"/>
                <w:sz w:val="14"/>
                <w:u w:val="double"/>
              </w:rPr>
              <w:t> </w:t>
            </w:r>
            <w:r>
              <w:rPr>
                <w:rFonts w:ascii="Caladea"/>
                <w:b/>
                <w:sz w:val="14"/>
                <w:u w:val="double"/>
              </w:rPr>
              <w:tab/>
              <w:t>116.529</w:t>
            </w:r>
            <w:r>
              <w:rPr>
                <w:rFonts w:ascii="Caladea"/>
                <w:b/>
                <w:spacing w:val="-3"/>
                <w:sz w:val="14"/>
                <w:u w:val="double"/>
              </w:rPr>
              <w:t> </w:t>
            </w:r>
          </w:p>
        </w:tc>
      </w:tr>
      <w:tr>
        <w:trPr>
          <w:trHeight w:val="517" w:hRule="atLeast"/>
        </w:trPr>
        <w:tc>
          <w:tcPr>
            <w:tcW w:w="5123" w:type="dxa"/>
          </w:tcPr>
          <w:p>
            <w:pPr>
              <w:pStyle w:val="TableParagraph"/>
              <w:spacing w:before="131"/>
              <w:ind w:left="50"/>
              <w:rPr>
                <w:rFonts w:ascii="Caladea"/>
                <w:b/>
                <w:sz w:val="14"/>
              </w:rPr>
            </w:pPr>
            <w:r>
              <w:rPr>
                <w:rFonts w:ascii="Caladea"/>
                <w:b/>
                <w:sz w:val="14"/>
              </w:rPr>
              <w:t>Fluxos de Caixa das Atividades de Investimento</w:t>
            </w:r>
          </w:p>
          <w:p>
            <w:pPr>
              <w:pStyle w:val="TableParagraph"/>
              <w:spacing w:line="162" w:lineRule="exact" w:before="40"/>
              <w:ind w:left="241"/>
              <w:rPr>
                <w:sz w:val="14"/>
              </w:rPr>
            </w:pPr>
            <w:r>
              <w:rPr>
                <w:sz w:val="14"/>
              </w:rPr>
              <w:t>Aquisição de Ativos Financeiros da Concessão, Intangíveis e Imobilizados</w:t>
            </w:r>
          </w:p>
        </w:tc>
        <w:tc>
          <w:tcPr>
            <w:tcW w:w="1121"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30"/>
              <w:jc w:val="right"/>
              <w:rPr>
                <w:sz w:val="14"/>
              </w:rPr>
            </w:pPr>
            <w:r>
              <w:rPr>
                <w:sz w:val="14"/>
              </w:rPr>
              <w:t>(286)</w:t>
            </w:r>
          </w:p>
        </w:tc>
        <w:tc>
          <w:tcPr>
            <w:tcW w:w="74" w:type="dxa"/>
          </w:tcPr>
          <w:p>
            <w:pPr>
              <w:pStyle w:val="TableParagraph"/>
              <w:rPr>
                <w:rFonts w:ascii="Times New Roman"/>
                <w:sz w:val="14"/>
              </w:rPr>
            </w:pPr>
          </w:p>
        </w:tc>
        <w:tc>
          <w:tcPr>
            <w:tcW w:w="1110"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29"/>
              <w:jc w:val="right"/>
              <w:rPr>
                <w:sz w:val="14"/>
              </w:rPr>
            </w:pPr>
            <w:r>
              <w:rPr>
                <w:w w:val="95"/>
                <w:sz w:val="14"/>
              </w:rPr>
              <w:t>(1.843)</w:t>
            </w:r>
          </w:p>
        </w:tc>
        <w:tc>
          <w:tcPr>
            <w:tcW w:w="85" w:type="dxa"/>
          </w:tcPr>
          <w:p>
            <w:pPr>
              <w:pStyle w:val="TableParagraph"/>
              <w:rPr>
                <w:rFonts w:ascii="Times New Roman"/>
                <w:sz w:val="14"/>
              </w:rPr>
            </w:pPr>
          </w:p>
        </w:tc>
        <w:tc>
          <w:tcPr>
            <w:tcW w:w="1270"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59"/>
              <w:jc w:val="right"/>
              <w:rPr>
                <w:sz w:val="14"/>
              </w:rPr>
            </w:pPr>
            <w:r>
              <w:rPr>
                <w:w w:val="95"/>
                <w:sz w:val="14"/>
              </w:rPr>
              <w:t>(39.373)</w:t>
            </w:r>
          </w:p>
        </w:tc>
        <w:tc>
          <w:tcPr>
            <w:tcW w:w="1167"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41"/>
              <w:jc w:val="right"/>
              <w:rPr>
                <w:sz w:val="14"/>
              </w:rPr>
            </w:pPr>
            <w:r>
              <w:rPr>
                <w:w w:val="95"/>
                <w:sz w:val="14"/>
              </w:rPr>
              <w:t>(63.288)</w:t>
            </w:r>
          </w:p>
        </w:tc>
      </w:tr>
      <w:tr>
        <w:trPr>
          <w:trHeight w:val="405" w:hRule="atLeast"/>
        </w:trPr>
        <w:tc>
          <w:tcPr>
            <w:tcW w:w="5123" w:type="dxa"/>
          </w:tcPr>
          <w:p>
            <w:pPr>
              <w:pStyle w:val="TableParagraph"/>
              <w:spacing w:before="20"/>
              <w:ind w:left="241"/>
              <w:rPr>
                <w:sz w:val="14"/>
              </w:rPr>
            </w:pPr>
            <w:r>
              <w:rPr>
                <w:sz w:val="14"/>
              </w:rPr>
              <w:t>Amortização de Empréstimos</w:t>
            </w:r>
          </w:p>
          <w:p>
            <w:pPr>
              <w:pStyle w:val="TableParagraph"/>
              <w:spacing w:before="40"/>
              <w:ind w:left="241"/>
              <w:rPr>
                <w:sz w:val="14"/>
              </w:rPr>
            </w:pPr>
            <w:r>
              <w:rPr>
                <w:sz w:val="14"/>
              </w:rPr>
              <w:t>Alienação de Imobilizado e Investimentos</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rPr>
                <w:rFonts w:ascii="Caladea"/>
                <w:b/>
                <w:sz w:val="19"/>
              </w:rPr>
            </w:pPr>
          </w:p>
          <w:p>
            <w:pPr>
              <w:pStyle w:val="TableParagraph"/>
              <w:ind w:right="79"/>
              <w:jc w:val="right"/>
              <w:rPr>
                <w:sz w:val="14"/>
              </w:rPr>
            </w:pPr>
            <w:r>
              <w:rPr>
                <w:w w:val="95"/>
                <w:sz w:val="14"/>
              </w:rPr>
              <w:t>3.943</w:t>
            </w:r>
          </w:p>
        </w:tc>
        <w:tc>
          <w:tcPr>
            <w:tcW w:w="85" w:type="dxa"/>
          </w:tcPr>
          <w:p>
            <w:pPr>
              <w:pStyle w:val="TableParagraph"/>
              <w:rPr>
                <w:rFonts w:ascii="Times New Roman"/>
                <w:sz w:val="14"/>
              </w:rPr>
            </w:pPr>
          </w:p>
        </w:tc>
        <w:tc>
          <w:tcPr>
            <w:tcW w:w="1270" w:type="dxa"/>
          </w:tcPr>
          <w:p>
            <w:pPr>
              <w:pStyle w:val="TableParagraph"/>
              <w:rPr>
                <w:rFonts w:ascii="Caladea"/>
                <w:b/>
                <w:sz w:val="19"/>
              </w:rPr>
            </w:pPr>
          </w:p>
          <w:p>
            <w:pPr>
              <w:pStyle w:val="TableParagraph"/>
              <w:ind w:right="110"/>
              <w:jc w:val="right"/>
              <w:rPr>
                <w:sz w:val="14"/>
              </w:rPr>
            </w:pPr>
            <w:r>
              <w:rPr>
                <w:w w:val="95"/>
                <w:sz w:val="14"/>
              </w:rPr>
              <w:t>15.520</w:t>
            </w:r>
          </w:p>
        </w:tc>
        <w:tc>
          <w:tcPr>
            <w:tcW w:w="1167" w:type="dxa"/>
          </w:tcPr>
          <w:p>
            <w:pPr>
              <w:pStyle w:val="TableParagraph"/>
              <w:rPr>
                <w:rFonts w:ascii="Caladea"/>
                <w:b/>
                <w:sz w:val="19"/>
              </w:rPr>
            </w:pPr>
          </w:p>
          <w:p>
            <w:pPr>
              <w:pStyle w:val="TableParagraph"/>
              <w:ind w:right="92"/>
              <w:jc w:val="right"/>
              <w:rPr>
                <w:sz w:val="14"/>
              </w:rPr>
            </w:pPr>
            <w:r>
              <w:rPr>
                <w:w w:val="95"/>
                <w:sz w:val="14"/>
              </w:rPr>
              <w:t>31.212</w:t>
            </w:r>
          </w:p>
        </w:tc>
      </w:tr>
      <w:tr>
        <w:trPr>
          <w:trHeight w:val="608" w:hRule="atLeast"/>
        </w:trPr>
        <w:tc>
          <w:tcPr>
            <w:tcW w:w="5123" w:type="dxa"/>
          </w:tcPr>
          <w:p>
            <w:pPr>
              <w:pStyle w:val="TableParagraph"/>
              <w:spacing w:before="20"/>
              <w:ind w:left="241"/>
              <w:rPr>
                <w:sz w:val="14"/>
              </w:rPr>
            </w:pPr>
            <w:r>
              <w:rPr>
                <w:sz w:val="14"/>
              </w:rPr>
              <w:t>Concessão de Empréstimos</w:t>
            </w:r>
          </w:p>
          <w:p>
            <w:pPr>
              <w:pStyle w:val="TableParagraph"/>
              <w:spacing w:line="202" w:lineRule="exact" w:before="10"/>
              <w:ind w:left="241" w:right="1635"/>
              <w:rPr>
                <w:sz w:val="14"/>
              </w:rPr>
            </w:pPr>
            <w:r>
              <w:rPr>
                <w:sz w:val="14"/>
              </w:rPr>
              <w:t>Recursos</w:t>
            </w:r>
            <w:r>
              <w:rPr>
                <w:spacing w:val="-26"/>
                <w:sz w:val="14"/>
              </w:rPr>
              <w:t> </w:t>
            </w:r>
            <w:r>
              <w:rPr>
                <w:sz w:val="14"/>
              </w:rPr>
              <w:t>Oriundos</w:t>
            </w:r>
            <w:r>
              <w:rPr>
                <w:spacing w:val="-25"/>
                <w:sz w:val="14"/>
              </w:rPr>
              <w:t> </w:t>
            </w:r>
            <w:r>
              <w:rPr>
                <w:sz w:val="14"/>
              </w:rPr>
              <w:t>de</w:t>
            </w:r>
            <w:r>
              <w:rPr>
                <w:spacing w:val="-28"/>
                <w:sz w:val="14"/>
              </w:rPr>
              <w:t> </w:t>
            </w:r>
            <w:r>
              <w:rPr>
                <w:sz w:val="14"/>
              </w:rPr>
              <w:t>Redução</w:t>
            </w:r>
            <w:r>
              <w:rPr>
                <w:spacing w:val="-27"/>
                <w:sz w:val="14"/>
              </w:rPr>
              <w:t> </w:t>
            </w:r>
            <w:r>
              <w:rPr>
                <w:sz w:val="14"/>
              </w:rPr>
              <w:t>de</w:t>
            </w:r>
            <w:r>
              <w:rPr>
                <w:spacing w:val="-29"/>
                <w:sz w:val="14"/>
              </w:rPr>
              <w:t> </w:t>
            </w:r>
            <w:r>
              <w:rPr>
                <w:spacing w:val="-3"/>
                <w:sz w:val="14"/>
              </w:rPr>
              <w:t>Capital</w:t>
            </w:r>
            <w:r>
              <w:rPr>
                <w:spacing w:val="-25"/>
                <w:sz w:val="14"/>
              </w:rPr>
              <w:t> </w:t>
            </w:r>
            <w:r>
              <w:rPr>
                <w:sz w:val="14"/>
              </w:rPr>
              <w:t>em</w:t>
            </w:r>
            <w:r>
              <w:rPr>
                <w:spacing w:val="-27"/>
                <w:sz w:val="14"/>
              </w:rPr>
              <w:t> </w:t>
            </w:r>
            <w:r>
              <w:rPr>
                <w:sz w:val="14"/>
              </w:rPr>
              <w:t>Investida </w:t>
            </w:r>
            <w:r>
              <w:rPr>
                <w:spacing w:val="-3"/>
                <w:sz w:val="14"/>
              </w:rPr>
              <w:t>Adiatamento</w:t>
            </w:r>
            <w:r>
              <w:rPr>
                <w:spacing w:val="-14"/>
                <w:sz w:val="14"/>
              </w:rPr>
              <w:t> </w:t>
            </w:r>
            <w:r>
              <w:rPr>
                <w:spacing w:val="-3"/>
                <w:sz w:val="14"/>
              </w:rPr>
              <w:t>para</w:t>
            </w:r>
            <w:r>
              <w:rPr>
                <w:spacing w:val="-17"/>
                <w:sz w:val="14"/>
              </w:rPr>
              <w:t> </w:t>
            </w:r>
            <w:r>
              <w:rPr>
                <w:spacing w:val="-3"/>
                <w:sz w:val="14"/>
              </w:rPr>
              <w:t>Futuro</w:t>
            </w:r>
            <w:r>
              <w:rPr>
                <w:spacing w:val="-14"/>
                <w:sz w:val="14"/>
              </w:rPr>
              <w:t> </w:t>
            </w:r>
            <w:r>
              <w:rPr>
                <w:spacing w:val="-3"/>
                <w:sz w:val="14"/>
              </w:rPr>
              <w:t>Aumento</w:t>
            </w:r>
            <w:r>
              <w:rPr>
                <w:spacing w:val="-14"/>
                <w:sz w:val="14"/>
              </w:rPr>
              <w:t> </w:t>
            </w:r>
            <w:r>
              <w:rPr>
                <w:sz w:val="14"/>
              </w:rPr>
              <w:t>de</w:t>
            </w:r>
            <w:r>
              <w:rPr>
                <w:spacing w:val="-17"/>
                <w:sz w:val="14"/>
              </w:rPr>
              <w:t> </w:t>
            </w:r>
            <w:r>
              <w:rPr>
                <w:spacing w:val="-3"/>
                <w:sz w:val="14"/>
              </w:rPr>
              <w:t>Capital</w:t>
            </w:r>
          </w:p>
        </w:tc>
        <w:tc>
          <w:tcPr>
            <w:tcW w:w="1121" w:type="dxa"/>
          </w:tcPr>
          <w:p>
            <w:pPr>
              <w:pStyle w:val="TableParagraph"/>
              <w:rPr>
                <w:rFonts w:ascii="Caladea"/>
                <w:b/>
                <w:sz w:val="16"/>
              </w:rPr>
            </w:pPr>
          </w:p>
          <w:p>
            <w:pPr>
              <w:pStyle w:val="TableParagraph"/>
              <w:spacing w:before="4"/>
              <w:rPr>
                <w:rFonts w:ascii="Caladea"/>
                <w:b/>
                <w:sz w:val="20"/>
              </w:rPr>
            </w:pPr>
          </w:p>
          <w:p>
            <w:pPr>
              <w:pStyle w:val="TableParagraph"/>
              <w:tabs>
                <w:tab w:pos="501" w:val="left" w:leader="none"/>
              </w:tabs>
              <w:ind w:right="-15"/>
              <w:jc w:val="right"/>
              <w:rPr>
                <w:sz w:val="14"/>
              </w:rPr>
            </w:pPr>
            <w:r>
              <w:rPr>
                <w:w w:val="72"/>
                <w:sz w:val="14"/>
                <w:u w:val="single"/>
              </w:rPr>
              <w:t> </w:t>
            </w:r>
            <w:r>
              <w:rPr>
                <w:sz w:val="14"/>
                <w:u w:val="single"/>
              </w:rPr>
              <w:tab/>
            </w:r>
            <w:r>
              <w:rPr>
                <w:spacing w:val="-1"/>
                <w:w w:val="95"/>
                <w:sz w:val="14"/>
                <w:u w:val="single"/>
              </w:rPr>
              <w:t>(173.087)</w:t>
            </w:r>
            <w:r>
              <w:rPr>
                <w:spacing w:val="-9"/>
                <w:sz w:val="14"/>
                <w:u w:val="single"/>
              </w:rPr>
              <w:t> </w:t>
            </w:r>
          </w:p>
        </w:tc>
        <w:tc>
          <w:tcPr>
            <w:tcW w:w="74" w:type="dxa"/>
          </w:tcPr>
          <w:p>
            <w:pPr>
              <w:pStyle w:val="TableParagraph"/>
              <w:rPr>
                <w:rFonts w:ascii="Times New Roman"/>
                <w:sz w:val="14"/>
              </w:rPr>
            </w:pPr>
          </w:p>
        </w:tc>
        <w:tc>
          <w:tcPr>
            <w:tcW w:w="1110" w:type="dxa"/>
          </w:tcPr>
          <w:p>
            <w:pPr>
              <w:pStyle w:val="TableParagraph"/>
              <w:rPr>
                <w:rFonts w:ascii="Caladea"/>
                <w:b/>
                <w:sz w:val="16"/>
              </w:rPr>
            </w:pPr>
          </w:p>
          <w:p>
            <w:pPr>
              <w:pStyle w:val="TableParagraph"/>
              <w:spacing w:before="4"/>
              <w:rPr>
                <w:rFonts w:ascii="Caladea"/>
                <w:b/>
                <w:sz w:val="20"/>
              </w:rPr>
            </w:pPr>
          </w:p>
          <w:p>
            <w:pPr>
              <w:pStyle w:val="TableParagraph"/>
              <w:tabs>
                <w:tab w:pos="565" w:val="left" w:leader="none"/>
              </w:tabs>
              <w:ind w:right="-15"/>
              <w:jc w:val="right"/>
              <w:rPr>
                <w:sz w:val="14"/>
              </w:rPr>
            </w:pPr>
            <w:r>
              <w:rPr>
                <w:w w:val="72"/>
                <w:sz w:val="14"/>
                <w:u w:val="single"/>
              </w:rPr>
              <w:t> </w:t>
            </w:r>
            <w:r>
              <w:rPr>
                <w:sz w:val="14"/>
                <w:u w:val="single"/>
              </w:rPr>
              <w:tab/>
            </w:r>
            <w:r>
              <w:rPr>
                <w:spacing w:val="-1"/>
                <w:w w:val="95"/>
                <w:sz w:val="14"/>
                <w:u w:val="single"/>
              </w:rPr>
              <w:t>(19.715)</w:t>
            </w:r>
            <w:r>
              <w:rPr>
                <w:spacing w:val="-9"/>
                <w:sz w:val="14"/>
                <w:u w:val="single"/>
              </w:rPr>
              <w:t> </w:t>
            </w:r>
          </w:p>
        </w:tc>
        <w:tc>
          <w:tcPr>
            <w:tcW w:w="85" w:type="dxa"/>
          </w:tcPr>
          <w:p>
            <w:pPr>
              <w:pStyle w:val="TableParagraph"/>
              <w:rPr>
                <w:rFonts w:ascii="Times New Roman"/>
                <w:sz w:val="14"/>
              </w:rPr>
            </w:pPr>
          </w:p>
        </w:tc>
        <w:tc>
          <w:tcPr>
            <w:tcW w:w="1270" w:type="dxa"/>
          </w:tcPr>
          <w:p>
            <w:pPr>
              <w:pStyle w:val="TableParagraph"/>
              <w:rPr>
                <w:rFonts w:ascii="Caladea"/>
                <w:b/>
                <w:sz w:val="16"/>
              </w:rPr>
            </w:pPr>
          </w:p>
          <w:p>
            <w:pPr>
              <w:pStyle w:val="TableParagraph"/>
              <w:spacing w:before="4"/>
              <w:rPr>
                <w:rFonts w:ascii="Caladea"/>
                <w:b/>
                <w:sz w:val="20"/>
              </w:rPr>
            </w:pPr>
          </w:p>
          <w:p>
            <w:pPr>
              <w:pStyle w:val="TableParagraph"/>
              <w:tabs>
                <w:tab w:pos="928" w:val="left" w:leader="none"/>
              </w:tabs>
              <w:ind w:right="26"/>
              <w:jc w:val="right"/>
              <w:rPr>
                <w:sz w:val="14"/>
              </w:rPr>
            </w:pPr>
            <w:r>
              <w:rPr>
                <w:w w:val="72"/>
                <w:sz w:val="14"/>
                <w:u w:val="single"/>
              </w:rPr>
              <w:t> </w:t>
            </w:r>
            <w:r>
              <w:rPr>
                <w:sz w:val="14"/>
                <w:u w:val="single"/>
              </w:rPr>
              <w:tab/>
            </w:r>
            <w:r>
              <w:rPr>
                <w:spacing w:val="-2"/>
                <w:sz w:val="14"/>
                <w:u w:val="single"/>
              </w:rPr>
              <w:t>300</w:t>
            </w:r>
            <w:r>
              <w:rPr>
                <w:spacing w:val="-1"/>
                <w:sz w:val="14"/>
                <w:u w:val="single"/>
              </w:rPr>
              <w:t> </w:t>
            </w:r>
          </w:p>
        </w:tc>
        <w:tc>
          <w:tcPr>
            <w:tcW w:w="1167" w:type="dxa"/>
          </w:tcPr>
          <w:p>
            <w:pPr>
              <w:pStyle w:val="TableParagraph"/>
              <w:rPr>
                <w:rFonts w:ascii="Caladea"/>
                <w:b/>
                <w:sz w:val="16"/>
              </w:rPr>
            </w:pPr>
          </w:p>
          <w:p>
            <w:pPr>
              <w:pStyle w:val="TableParagraph"/>
              <w:spacing w:before="4"/>
              <w:rPr>
                <w:rFonts w:ascii="Caladea"/>
                <w:b/>
                <w:sz w:val="20"/>
              </w:rPr>
            </w:pPr>
          </w:p>
          <w:p>
            <w:pPr>
              <w:pStyle w:val="TableParagraph"/>
              <w:tabs>
                <w:tab w:pos="1148" w:val="left" w:leader="none"/>
              </w:tabs>
              <w:ind w:right="-29"/>
              <w:jc w:val="right"/>
              <w:rPr>
                <w:sz w:val="14"/>
              </w:rPr>
            </w:pPr>
            <w:r>
              <w:rPr>
                <w:w w:val="72"/>
                <w:sz w:val="14"/>
                <w:u w:val="single"/>
              </w:rPr>
              <w:t> </w:t>
            </w:r>
            <w:r>
              <w:rPr>
                <w:sz w:val="14"/>
                <w:u w:val="single"/>
              </w:rPr>
              <w:tab/>
            </w:r>
          </w:p>
        </w:tc>
      </w:tr>
      <w:tr>
        <w:trPr>
          <w:trHeight w:val="314" w:hRule="atLeast"/>
        </w:trPr>
        <w:tc>
          <w:tcPr>
            <w:tcW w:w="5123" w:type="dxa"/>
          </w:tcPr>
          <w:p>
            <w:pPr>
              <w:pStyle w:val="TableParagraph"/>
              <w:spacing w:before="19"/>
              <w:ind w:left="50"/>
              <w:rPr>
                <w:rFonts w:ascii="Caladea" w:hAnsi="Caladea"/>
                <w:b/>
                <w:sz w:val="14"/>
              </w:rPr>
            </w:pPr>
            <w:r>
              <w:rPr>
                <w:rFonts w:ascii="Caladea" w:hAnsi="Caladea"/>
                <w:b/>
                <w:sz w:val="14"/>
              </w:rPr>
              <w:t>Caixa Líquido Proveniente das (Usado nas) Atividades de Investimento</w:t>
            </w:r>
          </w:p>
        </w:tc>
        <w:tc>
          <w:tcPr>
            <w:tcW w:w="1121" w:type="dxa"/>
          </w:tcPr>
          <w:p>
            <w:pPr>
              <w:pStyle w:val="TableParagraph"/>
              <w:tabs>
                <w:tab w:pos="437" w:val="left" w:leader="none"/>
              </w:tabs>
              <w:spacing w:before="19"/>
              <w:ind w:right="-15"/>
              <w:jc w:val="right"/>
              <w:rPr>
                <w:rFonts w:ascii="Caladea"/>
                <w:b/>
                <w:sz w:val="14"/>
              </w:rPr>
            </w:pPr>
            <w:r>
              <w:rPr>
                <w:rFonts w:ascii="Caladea"/>
                <w:b/>
                <w:w w:val="99"/>
                <w:sz w:val="14"/>
                <w:u w:val="double"/>
              </w:rPr>
              <w:t> </w:t>
            </w:r>
            <w:r>
              <w:rPr>
                <w:rFonts w:ascii="Caladea"/>
                <w:b/>
                <w:sz w:val="14"/>
                <w:u w:val="double"/>
              </w:rPr>
              <w:tab/>
              <w:t>(173.373)</w:t>
            </w:r>
            <w:r>
              <w:rPr>
                <w:rFonts w:ascii="Caladea"/>
                <w:b/>
                <w:spacing w:val="-1"/>
                <w:sz w:val="14"/>
                <w:u w:val="double"/>
              </w:rPr>
              <w:t> </w:t>
            </w:r>
          </w:p>
        </w:tc>
        <w:tc>
          <w:tcPr>
            <w:tcW w:w="74" w:type="dxa"/>
          </w:tcPr>
          <w:p>
            <w:pPr>
              <w:pStyle w:val="TableParagraph"/>
              <w:rPr>
                <w:rFonts w:ascii="Times New Roman"/>
                <w:sz w:val="14"/>
              </w:rPr>
            </w:pPr>
          </w:p>
        </w:tc>
        <w:tc>
          <w:tcPr>
            <w:tcW w:w="1110" w:type="dxa"/>
          </w:tcPr>
          <w:p>
            <w:pPr>
              <w:pStyle w:val="TableParagraph"/>
              <w:tabs>
                <w:tab w:pos="512" w:val="left" w:leader="none"/>
              </w:tabs>
              <w:spacing w:before="19"/>
              <w:ind w:right="-15"/>
              <w:jc w:val="right"/>
              <w:rPr>
                <w:rFonts w:ascii="Caladea"/>
                <w:b/>
                <w:sz w:val="14"/>
              </w:rPr>
            </w:pPr>
            <w:r>
              <w:rPr>
                <w:rFonts w:ascii="Caladea"/>
                <w:b/>
                <w:w w:val="99"/>
                <w:sz w:val="14"/>
                <w:u w:val="double"/>
              </w:rPr>
              <w:t> </w:t>
            </w:r>
            <w:r>
              <w:rPr>
                <w:rFonts w:ascii="Caladea"/>
                <w:b/>
                <w:sz w:val="14"/>
                <w:u w:val="double"/>
              </w:rPr>
              <w:tab/>
              <w:t>(17.615)</w:t>
            </w:r>
            <w:r>
              <w:rPr>
                <w:rFonts w:ascii="Caladea"/>
                <w:b/>
                <w:spacing w:val="-1"/>
                <w:sz w:val="14"/>
                <w:u w:val="double"/>
              </w:rPr>
              <w:t> </w:t>
            </w:r>
          </w:p>
        </w:tc>
        <w:tc>
          <w:tcPr>
            <w:tcW w:w="85" w:type="dxa"/>
          </w:tcPr>
          <w:p>
            <w:pPr>
              <w:pStyle w:val="TableParagraph"/>
              <w:rPr>
                <w:rFonts w:ascii="Times New Roman"/>
                <w:sz w:val="14"/>
              </w:rPr>
            </w:pPr>
          </w:p>
        </w:tc>
        <w:tc>
          <w:tcPr>
            <w:tcW w:w="1270" w:type="dxa"/>
          </w:tcPr>
          <w:p>
            <w:pPr>
              <w:pStyle w:val="TableParagraph"/>
              <w:tabs>
                <w:tab w:pos="640" w:val="left" w:leader="none"/>
              </w:tabs>
              <w:spacing w:before="19"/>
              <w:ind w:right="26"/>
              <w:jc w:val="right"/>
              <w:rPr>
                <w:rFonts w:ascii="Caladea"/>
                <w:b/>
                <w:sz w:val="14"/>
              </w:rPr>
            </w:pPr>
            <w:r>
              <w:rPr>
                <w:rFonts w:ascii="Caladea"/>
                <w:b/>
                <w:w w:val="99"/>
                <w:sz w:val="14"/>
                <w:u w:val="double"/>
              </w:rPr>
              <w:t> </w:t>
            </w:r>
            <w:r>
              <w:rPr>
                <w:rFonts w:ascii="Caladea"/>
                <w:b/>
                <w:sz w:val="14"/>
                <w:u w:val="double"/>
              </w:rPr>
              <w:tab/>
              <w:t>(23.553)</w:t>
            </w:r>
            <w:r>
              <w:rPr>
                <w:rFonts w:ascii="Caladea"/>
                <w:b/>
                <w:spacing w:val="-1"/>
                <w:sz w:val="14"/>
                <w:u w:val="double"/>
              </w:rPr>
              <w:t> </w:t>
            </w:r>
          </w:p>
        </w:tc>
        <w:tc>
          <w:tcPr>
            <w:tcW w:w="1167" w:type="dxa"/>
          </w:tcPr>
          <w:p>
            <w:pPr>
              <w:pStyle w:val="TableParagraph"/>
              <w:tabs>
                <w:tab w:pos="523" w:val="left" w:leader="none"/>
              </w:tabs>
              <w:spacing w:before="19"/>
              <w:ind w:right="7"/>
              <w:jc w:val="right"/>
              <w:rPr>
                <w:rFonts w:ascii="Caladea"/>
                <w:b/>
                <w:sz w:val="14"/>
              </w:rPr>
            </w:pPr>
            <w:r>
              <w:rPr>
                <w:rFonts w:ascii="Caladea"/>
                <w:b/>
                <w:w w:val="99"/>
                <w:sz w:val="14"/>
                <w:u w:val="double"/>
              </w:rPr>
              <w:t> </w:t>
            </w:r>
            <w:r>
              <w:rPr>
                <w:rFonts w:ascii="Caladea"/>
                <w:b/>
                <w:sz w:val="14"/>
                <w:u w:val="double"/>
              </w:rPr>
              <w:tab/>
              <w:t>(32.076)</w:t>
            </w:r>
            <w:r>
              <w:rPr>
                <w:rFonts w:ascii="Caladea"/>
                <w:b/>
                <w:spacing w:val="-1"/>
                <w:sz w:val="14"/>
                <w:u w:val="double"/>
              </w:rPr>
              <w:t> </w:t>
            </w:r>
          </w:p>
        </w:tc>
      </w:tr>
      <w:tr>
        <w:trPr>
          <w:trHeight w:val="517" w:hRule="atLeast"/>
        </w:trPr>
        <w:tc>
          <w:tcPr>
            <w:tcW w:w="5123" w:type="dxa"/>
          </w:tcPr>
          <w:p>
            <w:pPr>
              <w:pStyle w:val="TableParagraph"/>
              <w:spacing w:before="131"/>
              <w:ind w:left="50"/>
              <w:rPr>
                <w:rFonts w:ascii="Caladea"/>
                <w:b/>
                <w:sz w:val="14"/>
              </w:rPr>
            </w:pPr>
            <w:r>
              <w:rPr>
                <w:rFonts w:ascii="Caladea"/>
                <w:b/>
                <w:sz w:val="14"/>
              </w:rPr>
              <w:t>Fluxos de Caixa das Atividades de Financiamento</w:t>
            </w:r>
          </w:p>
          <w:p>
            <w:pPr>
              <w:pStyle w:val="TableParagraph"/>
              <w:spacing w:line="162" w:lineRule="exact" w:before="40"/>
              <w:ind w:left="241"/>
              <w:rPr>
                <w:sz w:val="14"/>
              </w:rPr>
            </w:pPr>
            <w:r>
              <w:rPr>
                <w:sz w:val="14"/>
              </w:rPr>
              <w:t>Empréstimos e Financiamentos Obtidos</w:t>
            </w:r>
          </w:p>
        </w:tc>
        <w:tc>
          <w:tcPr>
            <w:tcW w:w="1121"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81"/>
              <w:jc w:val="right"/>
              <w:rPr>
                <w:sz w:val="14"/>
              </w:rPr>
            </w:pPr>
            <w:r>
              <w:rPr>
                <w:w w:val="95"/>
                <w:sz w:val="14"/>
              </w:rPr>
              <w:t>124.997</w:t>
            </w: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110"/>
              <w:jc w:val="right"/>
              <w:rPr>
                <w:sz w:val="14"/>
              </w:rPr>
            </w:pPr>
            <w:r>
              <w:rPr>
                <w:w w:val="95"/>
                <w:sz w:val="14"/>
              </w:rPr>
              <w:t>124.997</w:t>
            </w:r>
          </w:p>
        </w:tc>
        <w:tc>
          <w:tcPr>
            <w:tcW w:w="1167" w:type="dxa"/>
          </w:tcPr>
          <w:p>
            <w:pPr>
              <w:pStyle w:val="TableParagraph"/>
              <w:rPr>
                <w:rFonts w:ascii="Caladea"/>
                <w:b/>
                <w:sz w:val="16"/>
              </w:rPr>
            </w:pPr>
          </w:p>
          <w:p>
            <w:pPr>
              <w:pStyle w:val="TableParagraph"/>
              <w:spacing w:before="7"/>
              <w:rPr>
                <w:rFonts w:ascii="Caladea"/>
                <w:b/>
                <w:sz w:val="12"/>
              </w:rPr>
            </w:pPr>
          </w:p>
          <w:p>
            <w:pPr>
              <w:pStyle w:val="TableParagraph"/>
              <w:spacing w:line="162" w:lineRule="exact"/>
              <w:ind w:right="92"/>
              <w:jc w:val="right"/>
              <w:rPr>
                <w:sz w:val="14"/>
              </w:rPr>
            </w:pPr>
            <w:r>
              <w:rPr>
                <w:w w:val="95"/>
                <w:sz w:val="14"/>
              </w:rPr>
              <w:t>315.001</w:t>
            </w:r>
          </w:p>
        </w:tc>
      </w:tr>
      <w:tr>
        <w:trPr>
          <w:trHeight w:val="202" w:hRule="atLeast"/>
        </w:trPr>
        <w:tc>
          <w:tcPr>
            <w:tcW w:w="5123" w:type="dxa"/>
          </w:tcPr>
          <w:p>
            <w:pPr>
              <w:pStyle w:val="TableParagraph"/>
              <w:spacing w:before="20"/>
              <w:ind w:left="241"/>
              <w:rPr>
                <w:sz w:val="14"/>
              </w:rPr>
            </w:pPr>
            <w:r>
              <w:rPr>
                <w:sz w:val="14"/>
              </w:rPr>
              <w:t>Dividendos e Juros Sobre Capital Próprio Pagos</w:t>
            </w:r>
          </w:p>
        </w:tc>
        <w:tc>
          <w:tcPr>
            <w:tcW w:w="1121" w:type="dxa"/>
          </w:tcPr>
          <w:p>
            <w:pPr>
              <w:pStyle w:val="TableParagraph"/>
              <w:rPr>
                <w:rFonts w:ascii="Times New Roman"/>
                <w:sz w:val="14"/>
              </w:rPr>
            </w:pPr>
          </w:p>
        </w:tc>
        <w:tc>
          <w:tcPr>
            <w:tcW w:w="74" w:type="dxa"/>
          </w:tcPr>
          <w:p>
            <w:pPr>
              <w:pStyle w:val="TableParagraph"/>
              <w:rPr>
                <w:rFonts w:ascii="Times New Roman"/>
                <w:sz w:val="14"/>
              </w:rPr>
            </w:pPr>
          </w:p>
        </w:tc>
        <w:tc>
          <w:tcPr>
            <w:tcW w:w="1110" w:type="dxa"/>
          </w:tcPr>
          <w:p>
            <w:pPr>
              <w:pStyle w:val="TableParagraph"/>
              <w:spacing w:before="20"/>
              <w:ind w:right="29"/>
              <w:jc w:val="right"/>
              <w:rPr>
                <w:sz w:val="14"/>
              </w:rPr>
            </w:pPr>
            <w:r>
              <w:rPr>
                <w:w w:val="95"/>
                <w:sz w:val="14"/>
              </w:rPr>
              <w:t>(7.673)</w:t>
            </w:r>
          </w:p>
        </w:tc>
        <w:tc>
          <w:tcPr>
            <w:tcW w:w="85" w:type="dxa"/>
          </w:tcPr>
          <w:p>
            <w:pPr>
              <w:pStyle w:val="TableParagraph"/>
              <w:rPr>
                <w:rFonts w:ascii="Times New Roman"/>
                <w:sz w:val="14"/>
              </w:rPr>
            </w:pPr>
          </w:p>
        </w:tc>
        <w:tc>
          <w:tcPr>
            <w:tcW w:w="1270" w:type="dxa"/>
          </w:tcPr>
          <w:p>
            <w:pPr>
              <w:pStyle w:val="TableParagraph"/>
              <w:spacing w:before="20"/>
              <w:ind w:right="59"/>
              <w:jc w:val="right"/>
              <w:rPr>
                <w:sz w:val="14"/>
              </w:rPr>
            </w:pPr>
            <w:r>
              <w:rPr>
                <w:w w:val="95"/>
                <w:sz w:val="14"/>
              </w:rPr>
              <w:t>(17.964)</w:t>
            </w:r>
          </w:p>
        </w:tc>
        <w:tc>
          <w:tcPr>
            <w:tcW w:w="1167" w:type="dxa"/>
          </w:tcPr>
          <w:p>
            <w:pPr>
              <w:pStyle w:val="TableParagraph"/>
              <w:spacing w:before="20"/>
              <w:ind w:right="41"/>
              <w:jc w:val="right"/>
              <w:rPr>
                <w:sz w:val="14"/>
              </w:rPr>
            </w:pPr>
            <w:r>
              <w:rPr>
                <w:w w:val="95"/>
                <w:sz w:val="14"/>
              </w:rPr>
              <w:t>(23.442)</w:t>
            </w:r>
          </w:p>
        </w:tc>
      </w:tr>
      <w:tr>
        <w:trPr>
          <w:trHeight w:val="608" w:hRule="atLeast"/>
        </w:trPr>
        <w:tc>
          <w:tcPr>
            <w:tcW w:w="5123" w:type="dxa"/>
          </w:tcPr>
          <w:p>
            <w:pPr>
              <w:pStyle w:val="TableParagraph"/>
              <w:spacing w:line="300" w:lineRule="auto" w:before="20"/>
              <w:ind w:left="241" w:right="1635"/>
              <w:rPr>
                <w:sz w:val="14"/>
              </w:rPr>
            </w:pPr>
            <w:r>
              <w:rPr>
                <w:w w:val="95"/>
                <w:sz w:val="14"/>
              </w:rPr>
              <w:t>Amortização de Empréstimos e Financiamentos </w:t>
            </w:r>
            <w:r>
              <w:rPr>
                <w:sz w:val="14"/>
              </w:rPr>
              <w:t>Adiantamento para Aumento de Capital</w:t>
            </w:r>
          </w:p>
          <w:p>
            <w:pPr>
              <w:pStyle w:val="TableParagraph"/>
              <w:spacing w:line="162" w:lineRule="exact"/>
              <w:ind w:left="241"/>
              <w:rPr>
                <w:sz w:val="14"/>
              </w:rPr>
            </w:pPr>
            <w:r>
              <w:rPr>
                <w:sz w:val="14"/>
              </w:rPr>
              <w:t>Custos de Transação</w:t>
            </w:r>
          </w:p>
        </w:tc>
        <w:tc>
          <w:tcPr>
            <w:tcW w:w="1121" w:type="dxa"/>
          </w:tcPr>
          <w:p>
            <w:pPr>
              <w:pStyle w:val="TableParagraph"/>
              <w:spacing w:before="20"/>
              <w:ind w:right="30"/>
              <w:jc w:val="right"/>
              <w:rPr>
                <w:sz w:val="14"/>
              </w:rPr>
            </w:pPr>
            <w:r>
              <w:rPr>
                <w:w w:val="95"/>
                <w:sz w:val="14"/>
              </w:rPr>
              <w:t>(11.138)</w:t>
            </w:r>
          </w:p>
        </w:tc>
        <w:tc>
          <w:tcPr>
            <w:tcW w:w="74" w:type="dxa"/>
          </w:tcPr>
          <w:p>
            <w:pPr>
              <w:pStyle w:val="TableParagraph"/>
              <w:rPr>
                <w:rFonts w:ascii="Times New Roman"/>
                <w:sz w:val="14"/>
              </w:rPr>
            </w:pPr>
          </w:p>
        </w:tc>
        <w:tc>
          <w:tcPr>
            <w:tcW w:w="1110" w:type="dxa"/>
          </w:tcPr>
          <w:p>
            <w:pPr>
              <w:pStyle w:val="TableParagraph"/>
              <w:rPr>
                <w:rFonts w:ascii="Times New Roman"/>
                <w:sz w:val="14"/>
              </w:rPr>
            </w:pPr>
          </w:p>
        </w:tc>
        <w:tc>
          <w:tcPr>
            <w:tcW w:w="85" w:type="dxa"/>
          </w:tcPr>
          <w:p>
            <w:pPr>
              <w:pStyle w:val="TableParagraph"/>
              <w:rPr>
                <w:rFonts w:ascii="Times New Roman"/>
                <w:sz w:val="14"/>
              </w:rPr>
            </w:pPr>
          </w:p>
        </w:tc>
        <w:tc>
          <w:tcPr>
            <w:tcW w:w="1270" w:type="dxa"/>
          </w:tcPr>
          <w:p>
            <w:pPr>
              <w:pStyle w:val="TableParagraph"/>
              <w:spacing w:before="20"/>
              <w:ind w:right="60"/>
              <w:jc w:val="right"/>
              <w:rPr>
                <w:sz w:val="14"/>
              </w:rPr>
            </w:pPr>
            <w:r>
              <w:rPr>
                <w:spacing w:val="-1"/>
                <w:w w:val="95"/>
                <w:sz w:val="14"/>
              </w:rPr>
              <w:t>(158.983)</w:t>
            </w:r>
          </w:p>
          <w:p>
            <w:pPr>
              <w:pStyle w:val="TableParagraph"/>
              <w:spacing w:before="9"/>
              <w:rPr>
                <w:rFonts w:ascii="Caladea"/>
                <w:b/>
                <w:sz w:val="20"/>
              </w:rPr>
            </w:pPr>
          </w:p>
          <w:p>
            <w:pPr>
              <w:pStyle w:val="TableParagraph"/>
              <w:ind w:right="59"/>
              <w:jc w:val="right"/>
              <w:rPr>
                <w:sz w:val="14"/>
              </w:rPr>
            </w:pPr>
            <w:r>
              <w:rPr>
                <w:spacing w:val="-2"/>
                <w:sz w:val="14"/>
              </w:rPr>
              <w:t>(736)</w:t>
            </w:r>
          </w:p>
        </w:tc>
        <w:tc>
          <w:tcPr>
            <w:tcW w:w="1167" w:type="dxa"/>
          </w:tcPr>
          <w:p>
            <w:pPr>
              <w:pStyle w:val="TableParagraph"/>
              <w:spacing w:before="20"/>
              <w:ind w:right="41"/>
              <w:jc w:val="right"/>
              <w:rPr>
                <w:sz w:val="14"/>
              </w:rPr>
            </w:pPr>
            <w:r>
              <w:rPr>
                <w:w w:val="95"/>
                <w:sz w:val="14"/>
              </w:rPr>
              <w:t>(285.416)</w:t>
            </w:r>
          </w:p>
          <w:p>
            <w:pPr>
              <w:pStyle w:val="TableParagraph"/>
              <w:spacing w:before="9"/>
              <w:rPr>
                <w:rFonts w:ascii="Caladea"/>
                <w:b/>
                <w:sz w:val="20"/>
              </w:rPr>
            </w:pPr>
          </w:p>
          <w:p>
            <w:pPr>
              <w:pStyle w:val="TableParagraph"/>
              <w:ind w:right="93"/>
              <w:jc w:val="right"/>
              <w:rPr>
                <w:sz w:val="14"/>
              </w:rPr>
            </w:pPr>
            <w:r>
              <w:rPr>
                <w:sz w:val="14"/>
              </w:rPr>
              <w:t>651</w:t>
            </w:r>
          </w:p>
        </w:tc>
      </w:tr>
      <w:tr>
        <w:trPr>
          <w:trHeight w:val="202" w:hRule="atLeast"/>
        </w:trPr>
        <w:tc>
          <w:tcPr>
            <w:tcW w:w="5123" w:type="dxa"/>
          </w:tcPr>
          <w:p>
            <w:pPr>
              <w:pStyle w:val="TableParagraph"/>
              <w:spacing w:line="162" w:lineRule="exact" w:before="20"/>
              <w:ind w:left="241"/>
              <w:rPr>
                <w:sz w:val="14"/>
              </w:rPr>
            </w:pPr>
            <w:r>
              <w:rPr>
                <w:sz w:val="14"/>
              </w:rPr>
              <w:t>Outros</w:t>
            </w:r>
          </w:p>
        </w:tc>
        <w:tc>
          <w:tcPr>
            <w:tcW w:w="1121" w:type="dxa"/>
          </w:tcPr>
          <w:p>
            <w:pPr>
              <w:pStyle w:val="TableParagraph"/>
              <w:tabs>
                <w:tab w:pos="651" w:val="left" w:leader="none"/>
              </w:tabs>
              <w:spacing w:line="162" w:lineRule="exact" w:before="20"/>
              <w:ind w:right="-15"/>
              <w:jc w:val="right"/>
              <w:rPr>
                <w:sz w:val="14"/>
              </w:rPr>
            </w:pPr>
            <w:r>
              <w:rPr>
                <w:w w:val="72"/>
                <w:sz w:val="14"/>
                <w:u w:val="single"/>
              </w:rPr>
              <w:t> </w:t>
            </w:r>
            <w:r>
              <w:rPr>
                <w:sz w:val="14"/>
                <w:u w:val="single"/>
              </w:rPr>
              <w:tab/>
            </w:r>
            <w:r>
              <w:rPr>
                <w:spacing w:val="-1"/>
                <w:w w:val="95"/>
                <w:sz w:val="14"/>
                <w:u w:val="single"/>
              </w:rPr>
              <w:t>(7.247)</w:t>
            </w:r>
            <w:r>
              <w:rPr>
                <w:spacing w:val="-9"/>
                <w:sz w:val="14"/>
                <w:u w:val="single"/>
              </w:rPr>
              <w:t> </w:t>
            </w:r>
          </w:p>
        </w:tc>
        <w:tc>
          <w:tcPr>
            <w:tcW w:w="74" w:type="dxa"/>
          </w:tcPr>
          <w:p>
            <w:pPr>
              <w:pStyle w:val="TableParagraph"/>
              <w:rPr>
                <w:rFonts w:ascii="Times New Roman"/>
                <w:sz w:val="14"/>
              </w:rPr>
            </w:pPr>
          </w:p>
        </w:tc>
        <w:tc>
          <w:tcPr>
            <w:tcW w:w="1110" w:type="dxa"/>
          </w:tcPr>
          <w:p>
            <w:pPr>
              <w:pStyle w:val="TableParagraph"/>
              <w:tabs>
                <w:tab w:pos="747" w:val="left" w:leader="none"/>
              </w:tabs>
              <w:spacing w:line="162" w:lineRule="exact" w:before="20"/>
              <w:ind w:right="-15"/>
              <w:jc w:val="right"/>
              <w:rPr>
                <w:sz w:val="14"/>
              </w:rPr>
            </w:pPr>
            <w:r>
              <w:rPr>
                <w:w w:val="72"/>
                <w:sz w:val="14"/>
                <w:u w:val="single"/>
              </w:rPr>
              <w:t> </w:t>
            </w:r>
            <w:r>
              <w:rPr>
                <w:sz w:val="14"/>
                <w:u w:val="single"/>
              </w:rPr>
              <w:tab/>
            </w:r>
            <w:r>
              <w:rPr>
                <w:spacing w:val="-2"/>
                <w:sz w:val="14"/>
                <w:u w:val="single"/>
              </w:rPr>
              <w:t>(144)</w:t>
            </w:r>
            <w:r>
              <w:rPr>
                <w:spacing w:val="-10"/>
                <w:sz w:val="14"/>
                <w:u w:val="single"/>
              </w:rPr>
              <w:t> </w:t>
            </w:r>
          </w:p>
        </w:tc>
        <w:tc>
          <w:tcPr>
            <w:tcW w:w="85" w:type="dxa"/>
          </w:tcPr>
          <w:p>
            <w:pPr>
              <w:pStyle w:val="TableParagraph"/>
              <w:rPr>
                <w:rFonts w:ascii="Times New Roman"/>
                <w:sz w:val="14"/>
              </w:rPr>
            </w:pPr>
          </w:p>
        </w:tc>
        <w:tc>
          <w:tcPr>
            <w:tcW w:w="1270" w:type="dxa"/>
          </w:tcPr>
          <w:p>
            <w:pPr>
              <w:pStyle w:val="TableParagraph"/>
              <w:tabs>
                <w:tab w:pos="694" w:val="left" w:leader="none"/>
              </w:tabs>
              <w:spacing w:line="162" w:lineRule="exact" w:before="20"/>
              <w:ind w:right="26"/>
              <w:jc w:val="right"/>
              <w:rPr>
                <w:sz w:val="14"/>
              </w:rPr>
            </w:pPr>
            <w:r>
              <w:rPr>
                <w:w w:val="72"/>
                <w:sz w:val="14"/>
                <w:u w:val="single"/>
              </w:rPr>
              <w:t> </w:t>
            </w:r>
            <w:r>
              <w:rPr>
                <w:sz w:val="14"/>
                <w:u w:val="single"/>
              </w:rPr>
              <w:tab/>
            </w:r>
            <w:r>
              <w:rPr>
                <w:spacing w:val="-1"/>
                <w:w w:val="95"/>
                <w:sz w:val="14"/>
                <w:u w:val="single"/>
              </w:rPr>
              <w:t>(12.328)</w:t>
            </w:r>
            <w:r>
              <w:rPr>
                <w:spacing w:val="-10"/>
                <w:sz w:val="14"/>
                <w:u w:val="single"/>
              </w:rPr>
              <w:t> </w:t>
            </w:r>
          </w:p>
        </w:tc>
        <w:tc>
          <w:tcPr>
            <w:tcW w:w="1167" w:type="dxa"/>
          </w:tcPr>
          <w:p>
            <w:pPr>
              <w:pStyle w:val="TableParagraph"/>
              <w:tabs>
                <w:tab w:pos="651" w:val="left" w:leader="none"/>
              </w:tabs>
              <w:spacing w:line="162" w:lineRule="exact" w:before="20"/>
              <w:ind w:right="7"/>
              <w:jc w:val="right"/>
              <w:rPr>
                <w:sz w:val="14"/>
              </w:rPr>
            </w:pPr>
            <w:r>
              <w:rPr>
                <w:w w:val="72"/>
                <w:sz w:val="14"/>
                <w:u w:val="single"/>
              </w:rPr>
              <w:t> </w:t>
            </w:r>
            <w:r>
              <w:rPr>
                <w:sz w:val="14"/>
                <w:u w:val="single"/>
              </w:rPr>
              <w:tab/>
            </w:r>
            <w:r>
              <w:rPr>
                <w:spacing w:val="-1"/>
                <w:w w:val="95"/>
                <w:sz w:val="14"/>
                <w:u w:val="single"/>
              </w:rPr>
              <w:t>(3.549)</w:t>
            </w:r>
            <w:r>
              <w:rPr>
                <w:spacing w:val="-9"/>
                <w:sz w:val="14"/>
                <w:u w:val="single"/>
              </w:rPr>
              <w:t> </w:t>
            </w:r>
          </w:p>
        </w:tc>
      </w:tr>
      <w:tr>
        <w:trPr>
          <w:trHeight w:val="405" w:hRule="atLeast"/>
        </w:trPr>
        <w:tc>
          <w:tcPr>
            <w:tcW w:w="5123" w:type="dxa"/>
          </w:tcPr>
          <w:p>
            <w:pPr>
              <w:pStyle w:val="TableParagraph"/>
              <w:spacing w:before="18"/>
              <w:ind w:left="50"/>
              <w:rPr>
                <w:rFonts w:ascii="Caladea" w:hAnsi="Caladea"/>
                <w:b/>
                <w:sz w:val="14"/>
              </w:rPr>
            </w:pPr>
            <w:r>
              <w:rPr>
                <w:rFonts w:ascii="Caladea" w:hAnsi="Caladea"/>
                <w:b/>
                <w:sz w:val="14"/>
              </w:rPr>
              <w:t>Caixa Líquido Proveniente das (Usado nas) Atividades de Financiamento</w:t>
            </w:r>
          </w:p>
        </w:tc>
        <w:tc>
          <w:tcPr>
            <w:tcW w:w="1121" w:type="dxa"/>
            <w:tcBorders>
              <w:bottom w:val="single" w:sz="6" w:space="0" w:color="000000"/>
            </w:tcBorders>
          </w:tcPr>
          <w:p>
            <w:pPr>
              <w:pStyle w:val="TableParagraph"/>
              <w:tabs>
                <w:tab w:pos="491" w:val="left" w:leader="none"/>
              </w:tabs>
              <w:spacing w:before="18"/>
              <w:ind w:right="-15"/>
              <w:jc w:val="right"/>
              <w:rPr>
                <w:rFonts w:ascii="Caladea"/>
                <w:b/>
                <w:sz w:val="14"/>
              </w:rPr>
            </w:pPr>
            <w:r>
              <w:rPr>
                <w:rFonts w:ascii="Caladea"/>
                <w:b/>
                <w:w w:val="99"/>
                <w:sz w:val="14"/>
                <w:u w:val="double"/>
              </w:rPr>
              <w:t> </w:t>
            </w:r>
            <w:r>
              <w:rPr>
                <w:rFonts w:ascii="Caladea"/>
                <w:b/>
                <w:sz w:val="14"/>
                <w:u w:val="double"/>
              </w:rPr>
              <w:tab/>
              <w:t>106.612</w:t>
            </w:r>
            <w:r>
              <w:rPr>
                <w:rFonts w:ascii="Caladea"/>
                <w:b/>
                <w:spacing w:val="-3"/>
                <w:sz w:val="14"/>
                <w:u w:val="double"/>
              </w:rPr>
              <w:t> </w:t>
            </w:r>
          </w:p>
        </w:tc>
        <w:tc>
          <w:tcPr>
            <w:tcW w:w="74" w:type="dxa"/>
          </w:tcPr>
          <w:p>
            <w:pPr>
              <w:pStyle w:val="TableParagraph"/>
              <w:rPr>
                <w:rFonts w:ascii="Times New Roman"/>
                <w:sz w:val="14"/>
              </w:rPr>
            </w:pPr>
          </w:p>
        </w:tc>
        <w:tc>
          <w:tcPr>
            <w:tcW w:w="1110" w:type="dxa"/>
            <w:tcBorders>
              <w:bottom w:val="single" w:sz="6" w:space="0" w:color="000000"/>
            </w:tcBorders>
          </w:tcPr>
          <w:p>
            <w:pPr>
              <w:pStyle w:val="TableParagraph"/>
              <w:tabs>
                <w:tab w:pos="597" w:val="left" w:leader="none"/>
              </w:tabs>
              <w:spacing w:before="18"/>
              <w:ind w:right="-15"/>
              <w:jc w:val="right"/>
              <w:rPr>
                <w:rFonts w:ascii="Caladea"/>
                <w:b/>
                <w:sz w:val="14"/>
              </w:rPr>
            </w:pPr>
            <w:r>
              <w:rPr>
                <w:rFonts w:ascii="Caladea"/>
                <w:b/>
                <w:w w:val="99"/>
                <w:sz w:val="14"/>
                <w:u w:val="double"/>
              </w:rPr>
              <w:t> </w:t>
            </w:r>
            <w:r>
              <w:rPr>
                <w:rFonts w:ascii="Caladea"/>
                <w:b/>
                <w:sz w:val="14"/>
                <w:u w:val="double"/>
              </w:rPr>
              <w:tab/>
              <w:t>(7.817)</w:t>
            </w:r>
            <w:r>
              <w:rPr>
                <w:rFonts w:ascii="Caladea"/>
                <w:b/>
                <w:spacing w:val="-1"/>
                <w:sz w:val="14"/>
                <w:u w:val="double"/>
              </w:rPr>
              <w:t> </w:t>
            </w:r>
          </w:p>
        </w:tc>
        <w:tc>
          <w:tcPr>
            <w:tcW w:w="85" w:type="dxa"/>
          </w:tcPr>
          <w:p>
            <w:pPr>
              <w:pStyle w:val="TableParagraph"/>
              <w:rPr>
                <w:rFonts w:ascii="Times New Roman"/>
                <w:sz w:val="14"/>
              </w:rPr>
            </w:pPr>
          </w:p>
        </w:tc>
        <w:tc>
          <w:tcPr>
            <w:tcW w:w="1270" w:type="dxa"/>
            <w:tcBorders>
              <w:bottom w:val="single" w:sz="6" w:space="0" w:color="000000"/>
            </w:tcBorders>
          </w:tcPr>
          <w:p>
            <w:pPr>
              <w:pStyle w:val="TableParagraph"/>
              <w:tabs>
                <w:tab w:pos="640" w:val="left" w:leader="none"/>
              </w:tabs>
              <w:spacing w:before="18"/>
              <w:ind w:right="26"/>
              <w:jc w:val="right"/>
              <w:rPr>
                <w:rFonts w:ascii="Caladea"/>
                <w:b/>
                <w:sz w:val="14"/>
              </w:rPr>
            </w:pPr>
            <w:r>
              <w:rPr>
                <w:rFonts w:ascii="Caladea"/>
                <w:b/>
                <w:w w:val="99"/>
                <w:sz w:val="14"/>
                <w:u w:val="double"/>
              </w:rPr>
              <w:t> </w:t>
            </w:r>
            <w:r>
              <w:rPr>
                <w:rFonts w:ascii="Caladea"/>
                <w:b/>
                <w:sz w:val="14"/>
                <w:u w:val="double"/>
              </w:rPr>
              <w:tab/>
              <w:t>(65.014)</w:t>
            </w:r>
            <w:r>
              <w:rPr>
                <w:rFonts w:ascii="Caladea"/>
                <w:b/>
                <w:spacing w:val="-1"/>
                <w:sz w:val="14"/>
                <w:u w:val="double"/>
              </w:rPr>
              <w:t> </w:t>
            </w:r>
          </w:p>
        </w:tc>
        <w:tc>
          <w:tcPr>
            <w:tcW w:w="1167" w:type="dxa"/>
            <w:tcBorders>
              <w:bottom w:val="single" w:sz="6" w:space="0" w:color="000000"/>
            </w:tcBorders>
          </w:tcPr>
          <w:p>
            <w:pPr>
              <w:pStyle w:val="TableParagraph"/>
              <w:tabs>
                <w:tab w:pos="662" w:val="left" w:leader="none"/>
              </w:tabs>
              <w:spacing w:before="18"/>
              <w:ind w:right="7"/>
              <w:jc w:val="right"/>
              <w:rPr>
                <w:rFonts w:ascii="Caladea"/>
                <w:b/>
                <w:sz w:val="14"/>
              </w:rPr>
            </w:pPr>
            <w:r>
              <w:rPr>
                <w:rFonts w:ascii="Caladea"/>
                <w:b/>
                <w:w w:val="99"/>
                <w:sz w:val="14"/>
                <w:u w:val="double"/>
              </w:rPr>
              <w:t> </w:t>
            </w:r>
            <w:r>
              <w:rPr>
                <w:rFonts w:ascii="Caladea"/>
                <w:b/>
                <w:sz w:val="14"/>
                <w:u w:val="double"/>
              </w:rPr>
              <w:tab/>
              <w:t>3.245</w:t>
            </w:r>
            <w:r>
              <w:rPr>
                <w:rFonts w:ascii="Caladea"/>
                <w:b/>
                <w:spacing w:val="-3"/>
                <w:sz w:val="14"/>
                <w:u w:val="double"/>
              </w:rPr>
              <w:t> </w:t>
            </w:r>
          </w:p>
        </w:tc>
      </w:tr>
      <w:tr>
        <w:trPr>
          <w:trHeight w:val="209" w:hRule="atLeast"/>
        </w:trPr>
        <w:tc>
          <w:tcPr>
            <w:tcW w:w="5123" w:type="dxa"/>
          </w:tcPr>
          <w:p>
            <w:pPr>
              <w:pStyle w:val="TableParagraph"/>
              <w:spacing w:before="25"/>
              <w:ind w:left="50"/>
              <w:rPr>
                <w:rFonts w:ascii="Caladea" w:hAnsi="Caladea"/>
                <w:b/>
                <w:sz w:val="14"/>
              </w:rPr>
            </w:pPr>
            <w:r>
              <w:rPr>
                <w:rFonts w:ascii="Caladea" w:hAnsi="Caladea"/>
                <w:b/>
                <w:sz w:val="14"/>
              </w:rPr>
              <w:t>Aumento (Redução) do Saldo Líquido de Caixa e Equivalente</w:t>
            </w:r>
          </w:p>
        </w:tc>
        <w:tc>
          <w:tcPr>
            <w:tcW w:w="1121" w:type="dxa"/>
            <w:tcBorders>
              <w:top w:val="single" w:sz="6" w:space="0" w:color="000000"/>
            </w:tcBorders>
          </w:tcPr>
          <w:p>
            <w:pPr>
              <w:pStyle w:val="TableParagraph"/>
              <w:tabs>
                <w:tab w:pos="811" w:val="left" w:leader="none"/>
              </w:tabs>
              <w:spacing w:before="25"/>
              <w:ind w:right="-15"/>
              <w:jc w:val="right"/>
              <w:rPr>
                <w:rFonts w:ascii="Caladea"/>
                <w:b/>
                <w:sz w:val="14"/>
              </w:rPr>
            </w:pPr>
            <w:r>
              <w:rPr>
                <w:rFonts w:ascii="Caladea"/>
                <w:b/>
                <w:w w:val="99"/>
                <w:sz w:val="14"/>
                <w:u w:val="single"/>
              </w:rPr>
              <w:t> </w:t>
            </w:r>
            <w:r>
              <w:rPr>
                <w:rFonts w:ascii="Caladea"/>
                <w:b/>
                <w:sz w:val="14"/>
                <w:u w:val="single"/>
              </w:rPr>
              <w:tab/>
            </w:r>
            <w:r>
              <w:rPr>
                <w:rFonts w:ascii="Caladea"/>
                <w:b/>
                <w:w w:val="95"/>
                <w:sz w:val="14"/>
                <w:u w:val="single"/>
              </w:rPr>
              <w:t>(71)</w:t>
            </w:r>
            <w:r>
              <w:rPr>
                <w:rFonts w:ascii="Caladea"/>
                <w:b/>
                <w:spacing w:val="-2"/>
                <w:sz w:val="14"/>
                <w:u w:val="single"/>
              </w:rPr>
              <w:t> </w:t>
            </w:r>
          </w:p>
        </w:tc>
        <w:tc>
          <w:tcPr>
            <w:tcW w:w="74" w:type="dxa"/>
          </w:tcPr>
          <w:p>
            <w:pPr>
              <w:pStyle w:val="TableParagraph"/>
              <w:rPr>
                <w:rFonts w:ascii="Times New Roman"/>
                <w:sz w:val="14"/>
              </w:rPr>
            </w:pPr>
          </w:p>
        </w:tc>
        <w:tc>
          <w:tcPr>
            <w:tcW w:w="1110" w:type="dxa"/>
            <w:tcBorders>
              <w:top w:val="single" w:sz="6" w:space="0" w:color="000000"/>
            </w:tcBorders>
          </w:tcPr>
          <w:p>
            <w:pPr>
              <w:pStyle w:val="TableParagraph"/>
              <w:tabs>
                <w:tab w:pos="651" w:val="left" w:leader="none"/>
              </w:tabs>
              <w:spacing w:before="25"/>
              <w:ind w:right="-15"/>
              <w:jc w:val="right"/>
              <w:rPr>
                <w:rFonts w:ascii="Caladea"/>
                <w:b/>
                <w:sz w:val="14"/>
              </w:rPr>
            </w:pPr>
            <w:r>
              <w:rPr>
                <w:rFonts w:ascii="Caladea"/>
                <w:b/>
                <w:w w:val="99"/>
                <w:sz w:val="14"/>
                <w:u w:val="single"/>
              </w:rPr>
              <w:t> </w:t>
            </w:r>
            <w:r>
              <w:rPr>
                <w:rFonts w:ascii="Caladea"/>
                <w:b/>
                <w:sz w:val="14"/>
                <w:u w:val="single"/>
              </w:rPr>
              <w:tab/>
              <w:t>5.820</w:t>
            </w:r>
            <w:r>
              <w:rPr>
                <w:rFonts w:ascii="Caladea"/>
                <w:b/>
                <w:spacing w:val="-3"/>
                <w:sz w:val="14"/>
                <w:u w:val="single"/>
              </w:rPr>
              <w:t> </w:t>
            </w:r>
          </w:p>
        </w:tc>
        <w:tc>
          <w:tcPr>
            <w:tcW w:w="85" w:type="dxa"/>
          </w:tcPr>
          <w:p>
            <w:pPr>
              <w:pStyle w:val="TableParagraph"/>
              <w:rPr>
                <w:rFonts w:ascii="Times New Roman"/>
                <w:sz w:val="14"/>
              </w:rPr>
            </w:pPr>
          </w:p>
        </w:tc>
        <w:tc>
          <w:tcPr>
            <w:tcW w:w="1270" w:type="dxa"/>
            <w:tcBorders>
              <w:top w:val="single" w:sz="6" w:space="0" w:color="000000"/>
            </w:tcBorders>
          </w:tcPr>
          <w:p>
            <w:pPr>
              <w:pStyle w:val="TableParagraph"/>
              <w:tabs>
                <w:tab w:pos="608" w:val="left" w:leader="none"/>
              </w:tabs>
              <w:spacing w:before="25"/>
              <w:ind w:right="26"/>
              <w:jc w:val="right"/>
              <w:rPr>
                <w:rFonts w:ascii="Caladea"/>
                <w:b/>
                <w:sz w:val="14"/>
              </w:rPr>
            </w:pPr>
            <w:r>
              <w:rPr>
                <w:rFonts w:ascii="Caladea"/>
                <w:b/>
                <w:w w:val="99"/>
                <w:sz w:val="14"/>
                <w:u w:val="single"/>
              </w:rPr>
              <w:t> </w:t>
            </w:r>
            <w:r>
              <w:rPr>
                <w:rFonts w:ascii="Caladea"/>
                <w:b/>
                <w:sz w:val="14"/>
                <w:u w:val="single"/>
              </w:rPr>
              <w:tab/>
              <w:t>285.639</w:t>
            </w:r>
            <w:r>
              <w:rPr>
                <w:rFonts w:ascii="Caladea"/>
                <w:b/>
                <w:spacing w:val="-3"/>
                <w:sz w:val="14"/>
                <w:u w:val="single"/>
              </w:rPr>
              <w:t> </w:t>
            </w:r>
          </w:p>
        </w:tc>
        <w:tc>
          <w:tcPr>
            <w:tcW w:w="1167" w:type="dxa"/>
            <w:tcBorders>
              <w:top w:val="single" w:sz="6" w:space="0" w:color="000000"/>
            </w:tcBorders>
          </w:tcPr>
          <w:p>
            <w:pPr>
              <w:pStyle w:val="TableParagraph"/>
              <w:tabs>
                <w:tab w:pos="576" w:val="left" w:leader="none"/>
              </w:tabs>
              <w:spacing w:before="25"/>
              <w:ind w:right="7"/>
              <w:jc w:val="right"/>
              <w:rPr>
                <w:rFonts w:ascii="Caladea"/>
                <w:b/>
                <w:sz w:val="14"/>
              </w:rPr>
            </w:pPr>
            <w:r>
              <w:rPr>
                <w:rFonts w:ascii="Caladea"/>
                <w:b/>
                <w:w w:val="99"/>
                <w:sz w:val="14"/>
                <w:u w:val="single"/>
              </w:rPr>
              <w:t> </w:t>
            </w:r>
            <w:r>
              <w:rPr>
                <w:rFonts w:ascii="Caladea"/>
                <w:b/>
                <w:sz w:val="14"/>
                <w:u w:val="single"/>
              </w:rPr>
              <w:tab/>
              <w:t>87.698</w:t>
            </w:r>
            <w:r>
              <w:rPr>
                <w:rFonts w:ascii="Caladea"/>
                <w:b/>
                <w:spacing w:val="-3"/>
                <w:sz w:val="14"/>
                <w:u w:val="single"/>
              </w:rPr>
              <w:t> </w:t>
            </w:r>
          </w:p>
        </w:tc>
      </w:tr>
      <w:tr>
        <w:trPr>
          <w:trHeight w:val="202" w:hRule="atLeast"/>
        </w:trPr>
        <w:tc>
          <w:tcPr>
            <w:tcW w:w="5123" w:type="dxa"/>
          </w:tcPr>
          <w:p>
            <w:pPr>
              <w:pStyle w:val="TableParagraph"/>
              <w:spacing w:line="162" w:lineRule="exact" w:before="20"/>
              <w:ind w:left="145"/>
              <w:rPr>
                <w:sz w:val="14"/>
              </w:rPr>
            </w:pPr>
            <w:r>
              <w:rPr>
                <w:sz w:val="14"/>
              </w:rPr>
              <w:t>Caixa e Equivalentes de Caixa no Início do Exercício</w:t>
            </w:r>
          </w:p>
        </w:tc>
        <w:tc>
          <w:tcPr>
            <w:tcW w:w="1121" w:type="dxa"/>
          </w:tcPr>
          <w:p>
            <w:pPr>
              <w:pStyle w:val="TableParagraph"/>
              <w:spacing w:line="162" w:lineRule="exact" w:before="20"/>
              <w:ind w:right="81"/>
              <w:jc w:val="right"/>
              <w:rPr>
                <w:sz w:val="14"/>
              </w:rPr>
            </w:pPr>
            <w:r>
              <w:rPr>
                <w:w w:val="95"/>
                <w:sz w:val="14"/>
              </w:rPr>
              <w:t>12.784</w:t>
            </w:r>
          </w:p>
        </w:tc>
        <w:tc>
          <w:tcPr>
            <w:tcW w:w="74" w:type="dxa"/>
          </w:tcPr>
          <w:p>
            <w:pPr>
              <w:pStyle w:val="TableParagraph"/>
              <w:rPr>
                <w:rFonts w:ascii="Times New Roman"/>
                <w:sz w:val="14"/>
              </w:rPr>
            </w:pPr>
          </w:p>
        </w:tc>
        <w:tc>
          <w:tcPr>
            <w:tcW w:w="1110" w:type="dxa"/>
          </w:tcPr>
          <w:p>
            <w:pPr>
              <w:pStyle w:val="TableParagraph"/>
              <w:spacing w:line="162" w:lineRule="exact" w:before="20"/>
              <w:ind w:right="79"/>
              <w:jc w:val="right"/>
              <w:rPr>
                <w:sz w:val="14"/>
              </w:rPr>
            </w:pPr>
            <w:r>
              <w:rPr>
                <w:w w:val="95"/>
                <w:sz w:val="14"/>
              </w:rPr>
              <w:t>6.964</w:t>
            </w:r>
          </w:p>
        </w:tc>
        <w:tc>
          <w:tcPr>
            <w:tcW w:w="85" w:type="dxa"/>
          </w:tcPr>
          <w:p>
            <w:pPr>
              <w:pStyle w:val="TableParagraph"/>
              <w:rPr>
                <w:rFonts w:ascii="Times New Roman"/>
                <w:sz w:val="14"/>
              </w:rPr>
            </w:pPr>
          </w:p>
        </w:tc>
        <w:tc>
          <w:tcPr>
            <w:tcW w:w="1270" w:type="dxa"/>
          </w:tcPr>
          <w:p>
            <w:pPr>
              <w:pStyle w:val="TableParagraph"/>
              <w:spacing w:line="162" w:lineRule="exact" w:before="20"/>
              <w:ind w:right="110"/>
              <w:jc w:val="right"/>
              <w:rPr>
                <w:sz w:val="14"/>
              </w:rPr>
            </w:pPr>
            <w:r>
              <w:rPr>
                <w:w w:val="95"/>
                <w:sz w:val="14"/>
              </w:rPr>
              <w:t>179.699</w:t>
            </w:r>
          </w:p>
        </w:tc>
        <w:tc>
          <w:tcPr>
            <w:tcW w:w="1167" w:type="dxa"/>
          </w:tcPr>
          <w:p>
            <w:pPr>
              <w:pStyle w:val="TableParagraph"/>
              <w:spacing w:line="162" w:lineRule="exact" w:before="20"/>
              <w:ind w:right="92"/>
              <w:jc w:val="right"/>
              <w:rPr>
                <w:sz w:val="14"/>
              </w:rPr>
            </w:pPr>
            <w:r>
              <w:rPr>
                <w:w w:val="95"/>
                <w:sz w:val="14"/>
              </w:rPr>
              <w:t>92.001</w:t>
            </w:r>
          </w:p>
        </w:tc>
      </w:tr>
      <w:tr>
        <w:trPr>
          <w:trHeight w:val="182" w:hRule="atLeast"/>
        </w:trPr>
        <w:tc>
          <w:tcPr>
            <w:tcW w:w="5123" w:type="dxa"/>
          </w:tcPr>
          <w:p>
            <w:pPr>
              <w:pStyle w:val="TableParagraph"/>
              <w:spacing w:line="142" w:lineRule="exact" w:before="20"/>
              <w:ind w:left="145"/>
              <w:rPr>
                <w:sz w:val="14"/>
              </w:rPr>
            </w:pPr>
            <w:r>
              <w:rPr>
                <w:sz w:val="14"/>
              </w:rPr>
              <w:t>Caixa e Equivalentes de Caixa no Final do Exercício</w:t>
            </w:r>
          </w:p>
        </w:tc>
        <w:tc>
          <w:tcPr>
            <w:tcW w:w="1121" w:type="dxa"/>
          </w:tcPr>
          <w:p>
            <w:pPr>
              <w:pStyle w:val="TableParagraph"/>
              <w:spacing w:line="142" w:lineRule="exact" w:before="20"/>
              <w:ind w:right="81"/>
              <w:jc w:val="right"/>
              <w:rPr>
                <w:sz w:val="14"/>
              </w:rPr>
            </w:pPr>
            <w:r>
              <w:rPr>
                <w:w w:val="95"/>
                <w:sz w:val="14"/>
              </w:rPr>
              <w:t>12.713</w:t>
            </w:r>
          </w:p>
        </w:tc>
        <w:tc>
          <w:tcPr>
            <w:tcW w:w="74" w:type="dxa"/>
          </w:tcPr>
          <w:p>
            <w:pPr>
              <w:pStyle w:val="TableParagraph"/>
              <w:rPr>
                <w:rFonts w:ascii="Times New Roman"/>
                <w:sz w:val="12"/>
              </w:rPr>
            </w:pPr>
          </w:p>
        </w:tc>
        <w:tc>
          <w:tcPr>
            <w:tcW w:w="1110" w:type="dxa"/>
          </w:tcPr>
          <w:p>
            <w:pPr>
              <w:pStyle w:val="TableParagraph"/>
              <w:spacing w:line="142" w:lineRule="exact" w:before="20"/>
              <w:ind w:right="79"/>
              <w:jc w:val="right"/>
              <w:rPr>
                <w:sz w:val="14"/>
              </w:rPr>
            </w:pPr>
            <w:r>
              <w:rPr>
                <w:w w:val="95"/>
                <w:sz w:val="14"/>
              </w:rPr>
              <w:t>12.784</w:t>
            </w:r>
          </w:p>
        </w:tc>
        <w:tc>
          <w:tcPr>
            <w:tcW w:w="85" w:type="dxa"/>
          </w:tcPr>
          <w:p>
            <w:pPr>
              <w:pStyle w:val="TableParagraph"/>
              <w:rPr>
                <w:rFonts w:ascii="Times New Roman"/>
                <w:sz w:val="12"/>
              </w:rPr>
            </w:pPr>
          </w:p>
        </w:tc>
        <w:tc>
          <w:tcPr>
            <w:tcW w:w="1270" w:type="dxa"/>
          </w:tcPr>
          <w:p>
            <w:pPr>
              <w:pStyle w:val="TableParagraph"/>
              <w:spacing w:line="142" w:lineRule="exact" w:before="20"/>
              <w:ind w:right="110"/>
              <w:jc w:val="right"/>
              <w:rPr>
                <w:sz w:val="14"/>
              </w:rPr>
            </w:pPr>
            <w:r>
              <w:rPr>
                <w:w w:val="95"/>
                <w:sz w:val="14"/>
              </w:rPr>
              <w:t>465.338</w:t>
            </w:r>
          </w:p>
        </w:tc>
        <w:tc>
          <w:tcPr>
            <w:tcW w:w="1167" w:type="dxa"/>
          </w:tcPr>
          <w:p>
            <w:pPr>
              <w:pStyle w:val="TableParagraph"/>
              <w:spacing w:line="142" w:lineRule="exact" w:before="20"/>
              <w:ind w:right="92"/>
              <w:jc w:val="right"/>
              <w:rPr>
                <w:sz w:val="14"/>
              </w:rPr>
            </w:pPr>
            <w:r>
              <w:rPr>
                <w:w w:val="95"/>
                <w:sz w:val="14"/>
              </w:rPr>
              <w:t>179.699</w:t>
            </w:r>
          </w:p>
        </w:tc>
      </w:tr>
    </w:tbl>
    <w:p>
      <w:pPr>
        <w:pStyle w:val="BodyText"/>
        <w:rPr>
          <w:rFonts w:ascii="Caladea"/>
          <w:b/>
          <w:sz w:val="16"/>
        </w:rPr>
      </w:pPr>
    </w:p>
    <w:p>
      <w:pPr>
        <w:pStyle w:val="BodyText"/>
        <w:spacing w:before="11"/>
        <w:rPr>
          <w:rFonts w:ascii="Caladea"/>
          <w:b/>
          <w:sz w:val="21"/>
        </w:rPr>
      </w:pPr>
    </w:p>
    <w:p>
      <w:pPr>
        <w:spacing w:before="0"/>
        <w:ind w:left="226" w:right="0" w:firstLine="0"/>
        <w:jc w:val="left"/>
        <w:rPr>
          <w:rFonts w:ascii="Caladea" w:hAnsi="Caladea"/>
          <w:b/>
          <w:sz w:val="14"/>
        </w:rPr>
      </w:pPr>
      <w:r>
        <w:rPr>
          <w:rFonts w:ascii="Caladea" w:hAnsi="Caladea"/>
          <w:b/>
          <w:sz w:val="14"/>
        </w:rPr>
        <w:t>As notas explicativas são parte integrante das demonstrações financeiras</w:t>
      </w:r>
    </w:p>
    <w:p>
      <w:pPr>
        <w:spacing w:after="0"/>
        <w:jc w:val="left"/>
        <w:rPr>
          <w:rFonts w:ascii="Caladea" w:hAnsi="Caladea"/>
          <w:sz w:val="14"/>
        </w:rPr>
        <w:sectPr>
          <w:headerReference w:type="default" r:id="rId70"/>
          <w:footerReference w:type="default" r:id="rId71"/>
          <w:pgSz w:w="11910" w:h="16850"/>
          <w:pgMar w:header="511" w:footer="1269" w:top="1240" w:bottom="1460" w:left="940" w:right="240"/>
          <w:pgNumType w:start="7"/>
        </w:sectPr>
      </w:pPr>
    </w:p>
    <w:p>
      <w:pPr>
        <w:spacing w:line="187" w:lineRule="exact" w:before="0"/>
        <w:ind w:left="172" w:right="1" w:firstLine="0"/>
        <w:jc w:val="center"/>
        <w:rPr>
          <w:rFonts w:ascii="Caladea" w:hAnsi="Caladea"/>
          <w:b/>
          <w:sz w:val="16"/>
        </w:rPr>
      </w:pPr>
      <w:r>
        <w:rPr>
          <w:rFonts w:ascii="Caladea" w:hAnsi="Caladea"/>
          <w:b/>
          <w:sz w:val="16"/>
        </w:rPr>
        <w:t>Demonstração do Valor Adicionado</w:t>
      </w:r>
    </w:p>
    <w:p>
      <w:pPr>
        <w:spacing w:line="164" w:lineRule="exact" w:before="0"/>
        <w:ind w:left="169" w:right="1" w:firstLine="0"/>
        <w:jc w:val="center"/>
        <w:rPr>
          <w:rFonts w:ascii="Caladea" w:hAnsi="Caladea"/>
          <w:b/>
          <w:sz w:val="14"/>
        </w:rPr>
      </w:pPr>
      <w:r>
        <w:rPr>
          <w:rFonts w:ascii="Caladea" w:hAnsi="Caladea"/>
          <w:b/>
          <w:sz w:val="14"/>
        </w:rPr>
        <w:t>Exercícios findos em 31 de dezembro de 2019 e 31 de dezembro de 2018</w:t>
      </w:r>
    </w:p>
    <w:p>
      <w:pPr>
        <w:tabs>
          <w:tab w:pos="3406" w:val="left" w:leader="none"/>
          <w:tab w:pos="10502" w:val="left" w:leader="none"/>
        </w:tabs>
        <w:spacing w:line="164" w:lineRule="exact" w:before="0"/>
        <w:ind w:left="0" w:right="1" w:firstLine="0"/>
        <w:jc w:val="center"/>
        <w:rPr>
          <w:rFonts w:ascii="Caladea"/>
          <w:b/>
          <w:sz w:val="14"/>
        </w:rPr>
      </w:pPr>
      <w:r>
        <w:rPr>
          <w:rFonts w:ascii="Caladea"/>
          <w:b/>
          <w:w w:val="99"/>
          <w:sz w:val="14"/>
          <w:u w:val="single" w:color="000080"/>
        </w:rPr>
        <w:t> </w:t>
      </w:r>
      <w:r>
        <w:rPr>
          <w:rFonts w:ascii="Caladea"/>
          <w:b/>
          <w:sz w:val="14"/>
          <w:u w:val="single" w:color="000080"/>
        </w:rPr>
        <w:tab/>
        <w:t>Em</w:t>
      </w:r>
      <w:r>
        <w:rPr>
          <w:rFonts w:ascii="Caladea"/>
          <w:b/>
          <w:spacing w:val="-4"/>
          <w:sz w:val="14"/>
          <w:u w:val="single" w:color="000080"/>
        </w:rPr>
        <w:t> </w:t>
      </w:r>
      <w:r>
        <w:rPr>
          <w:rFonts w:ascii="Caladea"/>
          <w:b/>
          <w:sz w:val="14"/>
          <w:u w:val="single" w:color="000080"/>
        </w:rPr>
        <w:t>milhares</w:t>
      </w:r>
      <w:r>
        <w:rPr>
          <w:rFonts w:ascii="Caladea"/>
          <w:b/>
          <w:spacing w:val="-2"/>
          <w:sz w:val="14"/>
          <w:u w:val="single" w:color="000080"/>
        </w:rPr>
        <w:t> </w:t>
      </w:r>
      <w:r>
        <w:rPr>
          <w:rFonts w:ascii="Caladea"/>
          <w:b/>
          <w:sz w:val="14"/>
          <w:u w:val="single" w:color="000080"/>
        </w:rPr>
        <w:t>de</w:t>
      </w:r>
      <w:r>
        <w:rPr>
          <w:rFonts w:ascii="Caladea"/>
          <w:b/>
          <w:spacing w:val="-4"/>
          <w:sz w:val="14"/>
          <w:u w:val="single" w:color="000080"/>
        </w:rPr>
        <w:t> </w:t>
      </w:r>
      <w:r>
        <w:rPr>
          <w:rFonts w:ascii="Caladea"/>
          <w:b/>
          <w:sz w:val="14"/>
          <w:u w:val="single" w:color="000080"/>
        </w:rPr>
        <w:t>reis,</w:t>
      </w:r>
      <w:r>
        <w:rPr>
          <w:rFonts w:ascii="Caladea"/>
          <w:b/>
          <w:spacing w:val="-4"/>
          <w:sz w:val="14"/>
          <w:u w:val="single" w:color="000080"/>
        </w:rPr>
        <w:t> </w:t>
      </w:r>
      <w:r>
        <w:rPr>
          <w:rFonts w:ascii="Caladea"/>
          <w:b/>
          <w:sz w:val="14"/>
          <w:u w:val="single" w:color="000080"/>
        </w:rPr>
        <w:t>exceto</w:t>
      </w:r>
      <w:r>
        <w:rPr>
          <w:rFonts w:ascii="Caladea"/>
          <w:b/>
          <w:spacing w:val="-5"/>
          <w:sz w:val="14"/>
          <w:u w:val="single" w:color="000080"/>
        </w:rPr>
        <w:t> </w:t>
      </w:r>
      <w:r>
        <w:rPr>
          <w:rFonts w:ascii="Caladea"/>
          <w:b/>
          <w:sz w:val="14"/>
          <w:u w:val="single" w:color="000080"/>
        </w:rPr>
        <w:t>quando</w:t>
      </w:r>
      <w:r>
        <w:rPr>
          <w:rFonts w:ascii="Caladea"/>
          <w:b/>
          <w:spacing w:val="-2"/>
          <w:sz w:val="14"/>
          <w:u w:val="single" w:color="000080"/>
        </w:rPr>
        <w:t> </w:t>
      </w:r>
      <w:r>
        <w:rPr>
          <w:rFonts w:ascii="Caladea"/>
          <w:b/>
          <w:sz w:val="14"/>
          <w:u w:val="single" w:color="000080"/>
        </w:rPr>
        <w:t>indicado</w:t>
      </w:r>
      <w:r>
        <w:rPr>
          <w:rFonts w:ascii="Caladea"/>
          <w:b/>
          <w:spacing w:val="-4"/>
          <w:sz w:val="14"/>
          <w:u w:val="single" w:color="000080"/>
        </w:rPr>
        <w:t> </w:t>
      </w:r>
      <w:r>
        <w:rPr>
          <w:rFonts w:ascii="Caladea"/>
          <w:b/>
          <w:sz w:val="14"/>
          <w:u w:val="single" w:color="000080"/>
        </w:rPr>
        <w:t>de</w:t>
      </w:r>
      <w:r>
        <w:rPr>
          <w:rFonts w:ascii="Caladea"/>
          <w:b/>
          <w:spacing w:val="-4"/>
          <w:sz w:val="14"/>
          <w:u w:val="single" w:color="000080"/>
        </w:rPr>
        <w:t> </w:t>
      </w:r>
      <w:r>
        <w:rPr>
          <w:rFonts w:ascii="Caladea"/>
          <w:b/>
          <w:sz w:val="14"/>
          <w:u w:val="single" w:color="000080"/>
        </w:rPr>
        <w:t>outra</w:t>
      </w:r>
      <w:r>
        <w:rPr>
          <w:rFonts w:ascii="Caladea"/>
          <w:b/>
          <w:spacing w:val="-4"/>
          <w:sz w:val="14"/>
          <w:u w:val="single" w:color="000080"/>
        </w:rPr>
        <w:t> </w:t>
      </w:r>
      <w:r>
        <w:rPr>
          <w:rFonts w:ascii="Caladea"/>
          <w:b/>
          <w:sz w:val="14"/>
          <w:u w:val="single" w:color="000080"/>
        </w:rPr>
        <w:t>forma</w:t>
        <w:tab/>
      </w:r>
    </w:p>
    <w:p>
      <w:pPr>
        <w:pStyle w:val="BodyText"/>
        <w:rPr>
          <w:rFonts w:ascii="Caladea"/>
          <w:b/>
        </w:rPr>
      </w:pPr>
    </w:p>
    <w:p>
      <w:pPr>
        <w:pStyle w:val="BodyText"/>
        <w:spacing w:before="3"/>
        <w:rPr>
          <w:rFonts w:ascii="Caladea"/>
          <w:b/>
          <w:sz w:val="18"/>
        </w:rPr>
      </w:pPr>
    </w:p>
    <w:p>
      <w:pPr>
        <w:tabs>
          <w:tab w:pos="6800" w:val="left" w:leader="none"/>
        </w:tabs>
        <w:spacing w:before="100" w:after="2"/>
        <w:ind w:left="4016" w:right="0" w:firstLine="0"/>
        <w:jc w:val="center"/>
        <w:rPr>
          <w:rFonts w:ascii="Caladea"/>
          <w:b/>
          <w:sz w:val="17"/>
        </w:rPr>
      </w:pPr>
      <w:r>
        <w:rPr>
          <w:rFonts w:ascii="Caladea"/>
          <w:b/>
          <w:sz w:val="17"/>
        </w:rPr>
        <w:t>Controladora</w:t>
        <w:tab/>
        <w:t>Consolidado</w:t>
      </w:r>
    </w:p>
    <w:p>
      <w:pPr>
        <w:pStyle w:val="BodyText"/>
        <w:spacing w:line="26" w:lineRule="exact"/>
        <w:ind w:left="4690"/>
        <w:rPr>
          <w:rFonts w:ascii="Caladea"/>
          <w:sz w:val="2"/>
        </w:rPr>
      </w:pPr>
      <w:r>
        <w:rPr>
          <w:rFonts w:ascii="Caladea"/>
          <w:position w:val="0"/>
          <w:sz w:val="2"/>
        </w:rPr>
        <w:pict>
          <v:group style="width:271.25pt;height:1.35pt;mso-position-horizontal-relative:char;mso-position-vertical-relative:line" coordorigin="0,0" coordsize="5425,27">
            <v:rect style="position:absolute;left:0;top:0;width:2640;height:27" filled="true" fillcolor="#000000" stroked="false">
              <v:fill type="solid"/>
            </v:rect>
            <v:rect style="position:absolute;left:2705;top:0;width:2719;height:27" filled="true" fillcolor="#000000" stroked="false">
              <v:fill type="solid"/>
            </v:rect>
          </v:group>
        </w:pict>
      </w:r>
      <w:r>
        <w:rPr>
          <w:rFonts w:ascii="Caladea"/>
          <w:position w:val="0"/>
          <w:sz w:val="2"/>
        </w:rPr>
      </w:r>
    </w:p>
    <w:p>
      <w:pPr>
        <w:tabs>
          <w:tab w:pos="9504" w:val="left" w:leader="none"/>
        </w:tabs>
        <w:spacing w:before="8"/>
        <w:ind w:left="4079" w:right="0" w:firstLine="0"/>
        <w:jc w:val="center"/>
        <w:rPr>
          <w:rFonts w:ascii="Caladea"/>
          <w:b/>
          <w:sz w:val="17"/>
        </w:rPr>
      </w:pPr>
      <w:r>
        <w:rPr>
          <w:rFonts w:ascii="Caladea"/>
          <w:b/>
          <w:w w:val="99"/>
          <w:sz w:val="17"/>
          <w:u w:val="single"/>
        </w:rPr>
        <w:t> </w:t>
      </w:r>
      <w:r>
        <w:rPr>
          <w:rFonts w:ascii="Caladea"/>
          <w:b/>
          <w:spacing w:val="16"/>
          <w:sz w:val="17"/>
          <w:u w:val="single"/>
        </w:rPr>
        <w:t> </w:t>
      </w:r>
      <w:r>
        <w:rPr>
          <w:rFonts w:ascii="Caladea"/>
          <w:b/>
          <w:spacing w:val="3"/>
          <w:sz w:val="17"/>
          <w:u w:val="single"/>
        </w:rPr>
        <w:t>31/12/2019 </w:t>
      </w:r>
      <w:r>
        <w:rPr>
          <w:rFonts w:ascii="Caladea"/>
          <w:b/>
          <w:spacing w:val="3"/>
          <w:sz w:val="17"/>
        </w:rPr>
        <w:t>  </w:t>
      </w:r>
      <w:r>
        <w:rPr>
          <w:rFonts w:ascii="Caladea"/>
          <w:b/>
          <w:spacing w:val="3"/>
          <w:sz w:val="17"/>
          <w:u w:val="single"/>
        </w:rPr>
        <w:t>     31/12/2018     </w:t>
      </w:r>
      <w:r>
        <w:rPr>
          <w:rFonts w:ascii="Caladea"/>
          <w:b/>
          <w:spacing w:val="3"/>
          <w:sz w:val="17"/>
        </w:rPr>
        <w:t>  </w:t>
      </w:r>
      <w:r>
        <w:rPr>
          <w:rFonts w:ascii="Caladea"/>
          <w:b/>
          <w:spacing w:val="3"/>
          <w:sz w:val="17"/>
          <w:u w:val="single"/>
        </w:rPr>
        <w:t>  31/12/2019 </w:t>
      </w:r>
      <w:r>
        <w:rPr>
          <w:rFonts w:ascii="Caladea"/>
          <w:b/>
          <w:spacing w:val="3"/>
          <w:sz w:val="17"/>
        </w:rPr>
        <w:t>  </w:t>
      </w:r>
      <w:r>
        <w:rPr>
          <w:rFonts w:ascii="Caladea"/>
          <w:b/>
          <w:spacing w:val="3"/>
          <w:sz w:val="17"/>
          <w:u w:val="single"/>
        </w:rPr>
        <w:t>    </w:t>
      </w:r>
      <w:r>
        <w:rPr>
          <w:rFonts w:ascii="Caladea"/>
          <w:b/>
          <w:spacing w:val="41"/>
          <w:sz w:val="17"/>
          <w:u w:val="single"/>
        </w:rPr>
        <w:t> </w:t>
      </w:r>
      <w:r>
        <w:rPr>
          <w:rFonts w:ascii="Caladea"/>
          <w:b/>
          <w:spacing w:val="3"/>
          <w:sz w:val="17"/>
          <w:u w:val="single"/>
        </w:rPr>
        <w:t>31/12/2018</w:t>
        <w:tab/>
      </w:r>
    </w:p>
    <w:p>
      <w:pPr>
        <w:pStyle w:val="BodyText"/>
        <w:spacing w:before="9"/>
        <w:rPr>
          <w:rFonts w:ascii="Caladea"/>
          <w:b/>
          <w:sz w:val="15"/>
        </w:rPr>
      </w:pPr>
      <w:r>
        <w:rPr/>
        <w:pict>
          <v:group style="position:absolute;margin-left:281.539032pt;margin-top:11.210572pt;width:271.25pt;height:.7pt;mso-position-horizontal-relative:page;mso-position-vertical-relative:paragraph;z-index:-15703552;mso-wrap-distance-left:0;mso-wrap-distance-right:0" coordorigin="5631,224" coordsize="5425,14">
            <v:line style="position:absolute" from="5637,231" to="6814,231" stroked="true" strokeweight=".653005pt" strokecolor="#000000">
              <v:stroke dashstyle="solid"/>
            </v:line>
            <v:rect style="position:absolute;left:5630;top:224;width:1190;height:14" filled="true" fillcolor="#000000" stroked="false">
              <v:fill type="solid"/>
            </v:rect>
            <v:line style="position:absolute" from="6892,231" to="8264,231" stroked="true" strokeweight=".653005pt" strokecolor="#000000">
              <v:stroke dashstyle="solid"/>
            </v:line>
            <v:rect style="position:absolute;left:6885;top:224;width:1386;height:14" filled="true" fillcolor="#000000" stroked="false">
              <v:fill type="solid"/>
            </v:rect>
            <v:line style="position:absolute" from="8343,231" to="9519,231" stroked="true" strokeweight=".653005pt" strokecolor="#000000">
              <v:stroke dashstyle="solid"/>
            </v:line>
            <v:rect style="position:absolute;left:8336;top:224;width:1190;height:14" filled="true" fillcolor="#000000" stroked="false">
              <v:fill type="solid"/>
            </v:rect>
            <v:line style="position:absolute" from="9598,231" to="11049,231" stroked="true" strokeweight=".653005pt" strokecolor="#000000">
              <v:stroke dashstyle="solid"/>
            </v:line>
            <v:rect style="position:absolute;left:9591;top:224;width:1465;height:14" filled="true" fillcolor="#000000" stroked="false">
              <v:fill type="solid"/>
            </v:rect>
            <w10:wrap type="topAndBottom"/>
          </v:group>
        </w:pict>
      </w:r>
    </w:p>
    <w:p>
      <w:pPr>
        <w:tabs>
          <w:tab w:pos="4690" w:val="left" w:leader="none"/>
          <w:tab w:pos="5213" w:val="left" w:leader="none"/>
          <w:tab w:pos="6663" w:val="left" w:leader="none"/>
          <w:tab w:pos="7670" w:val="left" w:leader="none"/>
          <w:tab w:pos="9200" w:val="left" w:leader="none"/>
        </w:tabs>
        <w:spacing w:before="0" w:after="23"/>
        <w:ind w:left="233" w:right="0" w:firstLine="0"/>
        <w:jc w:val="left"/>
        <w:rPr>
          <w:rFonts w:ascii="Caladea"/>
          <w:b/>
          <w:sz w:val="17"/>
        </w:rPr>
      </w:pPr>
      <w:r>
        <w:rPr>
          <w:rFonts w:ascii="Caladea"/>
          <w:b/>
          <w:sz w:val="17"/>
        </w:rPr>
        <w:t>Receitas</w:t>
        <w:tab/>
      </w:r>
      <w:r>
        <w:rPr>
          <w:rFonts w:ascii="Caladea"/>
          <w:b/>
          <w:sz w:val="17"/>
          <w:u w:val="single"/>
        </w:rPr>
        <w:t> </w:t>
        <w:tab/>
        <w:t>65.282 </w:t>
        <w:tab/>
        <w:t>86.191 </w:t>
        <w:tab/>
        <w:t>4.291.155 </w:t>
        <w:tab/>
        <w:t>4.054.053</w:t>
      </w:r>
      <w:r>
        <w:rPr>
          <w:rFonts w:ascii="Caladea"/>
          <w:b/>
          <w:spacing w:val="-2"/>
          <w:sz w:val="17"/>
          <w:u w:val="single"/>
        </w:rPr>
        <w:t> </w:t>
      </w:r>
    </w:p>
    <w:tbl>
      <w:tblPr>
        <w:tblW w:w="0" w:type="auto"/>
        <w:jc w:val="left"/>
        <w:tblInd w:w="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64"/>
        <w:gridCol w:w="1485"/>
        <w:gridCol w:w="1211"/>
        <w:gridCol w:w="1423"/>
        <w:gridCol w:w="1206"/>
      </w:tblGrid>
      <w:tr>
        <w:trPr>
          <w:trHeight w:val="210" w:hRule="atLeast"/>
        </w:trPr>
        <w:tc>
          <w:tcPr>
            <w:tcW w:w="4264" w:type="dxa"/>
          </w:tcPr>
          <w:p>
            <w:pPr>
              <w:pStyle w:val="TableParagraph"/>
              <w:spacing w:line="189" w:lineRule="exact" w:before="1"/>
              <w:ind w:left="50"/>
              <w:rPr>
                <w:sz w:val="17"/>
              </w:rPr>
            </w:pPr>
            <w:r>
              <w:rPr>
                <w:sz w:val="17"/>
              </w:rPr>
              <w:t>Venda de Energia e Serviços Prestados</w:t>
            </w:r>
          </w:p>
        </w:tc>
        <w:tc>
          <w:tcPr>
            <w:tcW w:w="1485" w:type="dxa"/>
          </w:tcPr>
          <w:p>
            <w:pPr>
              <w:pStyle w:val="TableParagraph"/>
              <w:spacing w:line="189" w:lineRule="exact" w:before="1"/>
              <w:ind w:left="478"/>
              <w:rPr>
                <w:sz w:val="17"/>
              </w:rPr>
            </w:pPr>
            <w:r>
              <w:rPr>
                <w:sz w:val="17"/>
              </w:rPr>
              <w:t>67.939</w:t>
            </w:r>
          </w:p>
        </w:tc>
        <w:tc>
          <w:tcPr>
            <w:tcW w:w="1211" w:type="dxa"/>
          </w:tcPr>
          <w:p>
            <w:pPr>
              <w:pStyle w:val="TableParagraph"/>
              <w:spacing w:line="189" w:lineRule="exact" w:before="1"/>
              <w:ind w:right="265"/>
              <w:jc w:val="right"/>
              <w:rPr>
                <w:sz w:val="17"/>
              </w:rPr>
            </w:pPr>
            <w:r>
              <w:rPr>
                <w:w w:val="95"/>
                <w:sz w:val="17"/>
              </w:rPr>
              <w:t>82.124</w:t>
            </w:r>
          </w:p>
        </w:tc>
        <w:tc>
          <w:tcPr>
            <w:tcW w:w="1423" w:type="dxa"/>
          </w:tcPr>
          <w:p>
            <w:pPr>
              <w:pStyle w:val="TableParagraph"/>
              <w:spacing w:line="189" w:lineRule="exact" w:before="1"/>
              <w:ind w:left="266"/>
              <w:rPr>
                <w:sz w:val="17"/>
              </w:rPr>
            </w:pPr>
            <w:r>
              <w:rPr>
                <w:sz w:val="17"/>
              </w:rPr>
              <w:t>4.365.001</w:t>
            </w:r>
          </w:p>
        </w:tc>
        <w:tc>
          <w:tcPr>
            <w:tcW w:w="1206" w:type="dxa"/>
          </w:tcPr>
          <w:p>
            <w:pPr>
              <w:pStyle w:val="TableParagraph"/>
              <w:spacing w:line="189" w:lineRule="exact" w:before="1"/>
              <w:ind w:right="111"/>
              <w:jc w:val="right"/>
              <w:rPr>
                <w:sz w:val="17"/>
              </w:rPr>
            </w:pPr>
            <w:r>
              <w:rPr>
                <w:w w:val="95"/>
                <w:sz w:val="17"/>
              </w:rPr>
              <w:t>4.002.366</w:t>
            </w:r>
          </w:p>
        </w:tc>
      </w:tr>
      <w:tr>
        <w:trPr>
          <w:trHeight w:val="222" w:hRule="atLeast"/>
        </w:trPr>
        <w:tc>
          <w:tcPr>
            <w:tcW w:w="4264" w:type="dxa"/>
          </w:tcPr>
          <w:p>
            <w:pPr>
              <w:pStyle w:val="TableParagraph"/>
              <w:spacing w:line="189" w:lineRule="exact" w:before="13"/>
              <w:ind w:left="50"/>
              <w:rPr>
                <w:sz w:val="17"/>
              </w:rPr>
            </w:pPr>
            <w:r>
              <w:rPr>
                <w:sz w:val="17"/>
              </w:rPr>
              <w:t>Receita de Construção de Ativos Próprios</w:t>
            </w:r>
          </w:p>
        </w:tc>
        <w:tc>
          <w:tcPr>
            <w:tcW w:w="1485" w:type="dxa"/>
          </w:tcPr>
          <w:p>
            <w:pPr>
              <w:pStyle w:val="TableParagraph"/>
              <w:rPr>
                <w:rFonts w:ascii="Times New Roman"/>
                <w:sz w:val="14"/>
              </w:rPr>
            </w:pPr>
          </w:p>
        </w:tc>
        <w:tc>
          <w:tcPr>
            <w:tcW w:w="1211" w:type="dxa"/>
          </w:tcPr>
          <w:p>
            <w:pPr>
              <w:pStyle w:val="TableParagraph"/>
              <w:rPr>
                <w:rFonts w:ascii="Times New Roman"/>
                <w:sz w:val="14"/>
              </w:rPr>
            </w:pPr>
          </w:p>
        </w:tc>
        <w:tc>
          <w:tcPr>
            <w:tcW w:w="1423" w:type="dxa"/>
          </w:tcPr>
          <w:p>
            <w:pPr>
              <w:pStyle w:val="TableParagraph"/>
              <w:spacing w:line="189" w:lineRule="exact" w:before="13"/>
              <w:ind w:left="488"/>
              <w:rPr>
                <w:sz w:val="17"/>
              </w:rPr>
            </w:pPr>
            <w:r>
              <w:rPr>
                <w:sz w:val="17"/>
              </w:rPr>
              <w:t>39.330</w:t>
            </w:r>
          </w:p>
        </w:tc>
        <w:tc>
          <w:tcPr>
            <w:tcW w:w="1206" w:type="dxa"/>
          </w:tcPr>
          <w:p>
            <w:pPr>
              <w:pStyle w:val="TableParagraph"/>
              <w:spacing w:line="189" w:lineRule="exact" w:before="13"/>
              <w:ind w:right="110"/>
              <w:jc w:val="right"/>
              <w:rPr>
                <w:sz w:val="17"/>
              </w:rPr>
            </w:pPr>
            <w:r>
              <w:rPr>
                <w:w w:val="95"/>
                <w:sz w:val="17"/>
              </w:rPr>
              <w:t>83.846</w:t>
            </w:r>
          </w:p>
        </w:tc>
      </w:tr>
      <w:tr>
        <w:trPr>
          <w:trHeight w:val="222" w:hRule="atLeast"/>
        </w:trPr>
        <w:tc>
          <w:tcPr>
            <w:tcW w:w="4264" w:type="dxa"/>
          </w:tcPr>
          <w:p>
            <w:pPr>
              <w:pStyle w:val="TableParagraph"/>
              <w:spacing w:line="189" w:lineRule="exact" w:before="13"/>
              <w:ind w:left="50"/>
              <w:rPr>
                <w:sz w:val="17"/>
              </w:rPr>
            </w:pPr>
            <w:r>
              <w:rPr>
                <w:sz w:val="17"/>
              </w:rPr>
              <w:t>Perdas Estimadas em Créditos Liquidação Duvidosa</w:t>
            </w:r>
          </w:p>
        </w:tc>
        <w:tc>
          <w:tcPr>
            <w:tcW w:w="1485" w:type="dxa"/>
          </w:tcPr>
          <w:p>
            <w:pPr>
              <w:pStyle w:val="TableParagraph"/>
              <w:spacing w:line="189" w:lineRule="exact" w:before="13"/>
              <w:ind w:right="443"/>
              <w:jc w:val="right"/>
              <w:rPr>
                <w:sz w:val="17"/>
              </w:rPr>
            </w:pPr>
            <w:r>
              <w:rPr>
                <w:w w:val="95"/>
                <w:sz w:val="17"/>
              </w:rPr>
              <w:t>(2.699)</w:t>
            </w:r>
          </w:p>
        </w:tc>
        <w:tc>
          <w:tcPr>
            <w:tcW w:w="1211" w:type="dxa"/>
          </w:tcPr>
          <w:p>
            <w:pPr>
              <w:pStyle w:val="TableParagraph"/>
              <w:spacing w:line="189" w:lineRule="exact" w:before="13"/>
              <w:ind w:right="268"/>
              <w:jc w:val="right"/>
              <w:rPr>
                <w:sz w:val="17"/>
              </w:rPr>
            </w:pPr>
            <w:r>
              <w:rPr>
                <w:w w:val="105"/>
                <w:sz w:val="17"/>
              </w:rPr>
              <w:t>294</w:t>
            </w:r>
          </w:p>
        </w:tc>
        <w:tc>
          <w:tcPr>
            <w:tcW w:w="1423" w:type="dxa"/>
          </w:tcPr>
          <w:p>
            <w:pPr>
              <w:pStyle w:val="TableParagraph"/>
              <w:spacing w:line="189" w:lineRule="exact" w:before="13"/>
              <w:ind w:left="331"/>
              <w:rPr>
                <w:sz w:val="17"/>
              </w:rPr>
            </w:pPr>
            <w:r>
              <w:rPr>
                <w:sz w:val="17"/>
              </w:rPr>
              <w:t>(136.842)</w:t>
            </w:r>
          </w:p>
        </w:tc>
        <w:tc>
          <w:tcPr>
            <w:tcW w:w="1206" w:type="dxa"/>
          </w:tcPr>
          <w:p>
            <w:pPr>
              <w:pStyle w:val="TableParagraph"/>
              <w:spacing w:line="189" w:lineRule="exact" w:before="13"/>
              <w:ind w:right="48"/>
              <w:jc w:val="right"/>
              <w:rPr>
                <w:sz w:val="17"/>
              </w:rPr>
            </w:pPr>
            <w:r>
              <w:rPr>
                <w:sz w:val="17"/>
              </w:rPr>
              <w:t>(127.374)</w:t>
            </w:r>
          </w:p>
        </w:tc>
      </w:tr>
      <w:tr>
        <w:trPr>
          <w:trHeight w:val="222" w:hRule="atLeast"/>
        </w:trPr>
        <w:tc>
          <w:tcPr>
            <w:tcW w:w="4264" w:type="dxa"/>
          </w:tcPr>
          <w:p>
            <w:pPr>
              <w:pStyle w:val="TableParagraph"/>
              <w:spacing w:line="189" w:lineRule="exact" w:before="13"/>
              <w:ind w:left="50"/>
              <w:rPr>
                <w:sz w:val="17"/>
              </w:rPr>
            </w:pPr>
            <w:r>
              <w:rPr>
                <w:sz w:val="17"/>
              </w:rPr>
              <w:t>Receita na Alienação de Ativo Imobilizado</w:t>
            </w:r>
          </w:p>
        </w:tc>
        <w:tc>
          <w:tcPr>
            <w:tcW w:w="1485" w:type="dxa"/>
          </w:tcPr>
          <w:p>
            <w:pPr>
              <w:pStyle w:val="TableParagraph"/>
              <w:rPr>
                <w:rFonts w:ascii="Times New Roman"/>
                <w:sz w:val="14"/>
              </w:rPr>
            </w:pPr>
          </w:p>
        </w:tc>
        <w:tc>
          <w:tcPr>
            <w:tcW w:w="1211" w:type="dxa"/>
          </w:tcPr>
          <w:p>
            <w:pPr>
              <w:pStyle w:val="TableParagraph"/>
              <w:spacing w:line="189" w:lineRule="exact" w:before="13"/>
              <w:ind w:right="265"/>
              <w:jc w:val="right"/>
              <w:rPr>
                <w:sz w:val="17"/>
              </w:rPr>
            </w:pPr>
            <w:r>
              <w:rPr>
                <w:w w:val="95"/>
                <w:sz w:val="17"/>
              </w:rPr>
              <w:t>3.773</w:t>
            </w:r>
          </w:p>
        </w:tc>
        <w:tc>
          <w:tcPr>
            <w:tcW w:w="1423" w:type="dxa"/>
          </w:tcPr>
          <w:p>
            <w:pPr>
              <w:pStyle w:val="TableParagraph"/>
              <w:spacing w:line="189" w:lineRule="exact" w:before="13"/>
              <w:ind w:left="488"/>
              <w:rPr>
                <w:sz w:val="17"/>
              </w:rPr>
            </w:pPr>
            <w:r>
              <w:rPr>
                <w:sz w:val="17"/>
              </w:rPr>
              <w:t>10.033</w:t>
            </w:r>
          </w:p>
        </w:tc>
        <w:tc>
          <w:tcPr>
            <w:tcW w:w="1206" w:type="dxa"/>
          </w:tcPr>
          <w:p>
            <w:pPr>
              <w:pStyle w:val="TableParagraph"/>
              <w:spacing w:line="189" w:lineRule="exact" w:before="13"/>
              <w:ind w:right="110"/>
              <w:jc w:val="right"/>
              <w:rPr>
                <w:sz w:val="17"/>
              </w:rPr>
            </w:pPr>
            <w:r>
              <w:rPr>
                <w:w w:val="95"/>
                <w:sz w:val="17"/>
              </w:rPr>
              <w:t>78.731</w:t>
            </w:r>
          </w:p>
        </w:tc>
      </w:tr>
      <w:tr>
        <w:trPr>
          <w:trHeight w:val="210" w:hRule="atLeast"/>
        </w:trPr>
        <w:tc>
          <w:tcPr>
            <w:tcW w:w="4264" w:type="dxa"/>
          </w:tcPr>
          <w:p>
            <w:pPr>
              <w:pStyle w:val="TableParagraph"/>
              <w:spacing w:line="177" w:lineRule="exact" w:before="13"/>
              <w:ind w:left="50"/>
              <w:rPr>
                <w:sz w:val="17"/>
              </w:rPr>
            </w:pPr>
            <w:r>
              <w:rPr>
                <w:sz w:val="17"/>
              </w:rPr>
              <w:t>Outras Receitas</w:t>
            </w:r>
          </w:p>
        </w:tc>
        <w:tc>
          <w:tcPr>
            <w:tcW w:w="1485" w:type="dxa"/>
          </w:tcPr>
          <w:p>
            <w:pPr>
              <w:pStyle w:val="TableParagraph"/>
              <w:spacing w:line="177" w:lineRule="exact" w:before="13"/>
              <w:ind w:right="507"/>
              <w:jc w:val="right"/>
              <w:rPr>
                <w:sz w:val="17"/>
              </w:rPr>
            </w:pPr>
            <w:r>
              <w:rPr>
                <w:w w:val="105"/>
                <w:sz w:val="17"/>
              </w:rPr>
              <w:t>42</w:t>
            </w:r>
          </w:p>
        </w:tc>
        <w:tc>
          <w:tcPr>
            <w:tcW w:w="1211" w:type="dxa"/>
          </w:tcPr>
          <w:p>
            <w:pPr>
              <w:pStyle w:val="TableParagraph"/>
              <w:rPr>
                <w:rFonts w:ascii="Times New Roman"/>
                <w:sz w:val="14"/>
              </w:rPr>
            </w:pPr>
          </w:p>
        </w:tc>
        <w:tc>
          <w:tcPr>
            <w:tcW w:w="1423" w:type="dxa"/>
          </w:tcPr>
          <w:p>
            <w:pPr>
              <w:pStyle w:val="TableParagraph"/>
              <w:spacing w:line="177" w:lineRule="exact" w:before="13"/>
              <w:ind w:left="488"/>
              <w:rPr>
                <w:sz w:val="17"/>
              </w:rPr>
            </w:pPr>
            <w:r>
              <w:rPr>
                <w:sz w:val="17"/>
              </w:rPr>
              <w:t>13.633</w:t>
            </w:r>
          </w:p>
        </w:tc>
        <w:tc>
          <w:tcPr>
            <w:tcW w:w="1206" w:type="dxa"/>
          </w:tcPr>
          <w:p>
            <w:pPr>
              <w:pStyle w:val="TableParagraph"/>
              <w:spacing w:line="177" w:lineRule="exact" w:before="13"/>
              <w:ind w:right="110"/>
              <w:jc w:val="right"/>
              <w:rPr>
                <w:sz w:val="17"/>
              </w:rPr>
            </w:pPr>
            <w:r>
              <w:rPr>
                <w:w w:val="95"/>
                <w:sz w:val="17"/>
              </w:rPr>
              <w:t>16.484</w:t>
            </w:r>
          </w:p>
        </w:tc>
      </w:tr>
    </w:tbl>
    <w:p>
      <w:pPr>
        <w:pStyle w:val="BodyText"/>
        <w:spacing w:before="8"/>
        <w:rPr>
          <w:rFonts w:ascii="Caladea"/>
          <w:b/>
          <w:sz w:val="15"/>
        </w:rPr>
      </w:pPr>
      <w:r>
        <w:rPr/>
        <w:pict>
          <v:group style="position:absolute;margin-left:281.539032pt;margin-top:11.191505pt;width:271.25pt;height:.7pt;mso-position-horizontal-relative:page;mso-position-vertical-relative:paragraph;z-index:-15703040;mso-wrap-distance-left:0;mso-wrap-distance-right:0" coordorigin="5631,224" coordsize="5425,14">
            <v:line style="position:absolute" from="5637,230" to="6814,230" stroked="true" strokeweight=".653005pt" strokecolor="#000000">
              <v:stroke dashstyle="solid"/>
            </v:line>
            <v:rect style="position:absolute;left:5630;top:223;width:1190;height:14" filled="true" fillcolor="#000000" stroked="false">
              <v:fill type="solid"/>
            </v:rect>
            <v:line style="position:absolute" from="6892,230" to="8264,230" stroked="true" strokeweight=".653005pt" strokecolor="#000000">
              <v:stroke dashstyle="solid"/>
            </v:line>
            <v:rect style="position:absolute;left:6885;top:223;width:1386;height:14" filled="true" fillcolor="#000000" stroked="false">
              <v:fill type="solid"/>
            </v:rect>
            <v:line style="position:absolute" from="8343,230" to="9519,230" stroked="true" strokeweight=".653005pt" strokecolor="#000000">
              <v:stroke dashstyle="solid"/>
            </v:line>
            <v:rect style="position:absolute;left:8336;top:223;width:1190;height:14" filled="true" fillcolor="#000000" stroked="false">
              <v:fill type="solid"/>
            </v:rect>
            <v:line style="position:absolute" from="9598,230" to="11049,230" stroked="true" strokeweight=".653005pt" strokecolor="#000000">
              <v:stroke dashstyle="solid"/>
            </v:line>
            <v:rect style="position:absolute;left:9591;top:223;width:1465;height:14" filled="true" fillcolor="#000000" stroked="false">
              <v:fill type="solid"/>
            </v:rect>
            <w10:wrap type="topAndBottom"/>
          </v:group>
        </w:pict>
      </w:r>
    </w:p>
    <w:p>
      <w:pPr>
        <w:tabs>
          <w:tab w:pos="4690" w:val="left" w:leader="none"/>
          <w:tab w:pos="5148" w:val="left" w:leader="none"/>
          <w:tab w:pos="6598" w:val="left" w:leader="none"/>
          <w:tab w:pos="9134" w:val="left" w:leader="none"/>
        </w:tabs>
        <w:spacing w:before="0" w:after="23"/>
        <w:ind w:left="233" w:right="0" w:firstLine="0"/>
        <w:jc w:val="left"/>
        <w:rPr>
          <w:rFonts w:ascii="Caladea"/>
          <w:b/>
          <w:sz w:val="17"/>
        </w:rPr>
      </w:pPr>
      <w:r>
        <w:rPr>
          <w:rFonts w:ascii="Caladea"/>
          <w:b/>
          <w:sz w:val="17"/>
        </w:rPr>
        <w:t>Insumos Adquiridos</w:t>
      </w:r>
      <w:r>
        <w:rPr>
          <w:rFonts w:ascii="Caladea"/>
          <w:b/>
          <w:spacing w:val="-5"/>
          <w:sz w:val="17"/>
        </w:rPr>
        <w:t> </w:t>
      </w:r>
      <w:r>
        <w:rPr>
          <w:rFonts w:ascii="Caladea"/>
          <w:b/>
          <w:sz w:val="17"/>
        </w:rPr>
        <w:t>de</w:t>
      </w:r>
      <w:r>
        <w:rPr>
          <w:rFonts w:ascii="Caladea"/>
          <w:b/>
          <w:spacing w:val="-1"/>
          <w:sz w:val="17"/>
        </w:rPr>
        <w:t> </w:t>
      </w:r>
      <w:r>
        <w:rPr>
          <w:rFonts w:ascii="Caladea"/>
          <w:b/>
          <w:sz w:val="17"/>
        </w:rPr>
        <w:t>Terceiros</w:t>
        <w:tab/>
      </w:r>
      <w:r>
        <w:rPr>
          <w:rFonts w:ascii="Caladea"/>
          <w:b/>
          <w:sz w:val="17"/>
          <w:u w:val="single"/>
        </w:rPr>
        <w:t> </w:t>
        <w:tab/>
        <w:t>(54.696) </w:t>
        <w:tab/>
        <w:t>(62.565)</w:t>
      </w:r>
      <w:r>
        <w:rPr>
          <w:rFonts w:ascii="Caladea"/>
          <w:b/>
          <w:sz w:val="17"/>
        </w:rPr>
        <w:t>  </w:t>
      </w:r>
      <w:r>
        <w:rPr>
          <w:rFonts w:ascii="Caladea"/>
          <w:b/>
          <w:sz w:val="17"/>
          <w:u w:val="single"/>
        </w:rPr>
        <w:t>     </w:t>
      </w:r>
      <w:r>
        <w:rPr>
          <w:rFonts w:ascii="Caladea"/>
          <w:b/>
          <w:spacing w:val="30"/>
          <w:sz w:val="17"/>
          <w:u w:val="single"/>
        </w:rPr>
        <w:t> </w:t>
      </w:r>
      <w:r>
        <w:rPr>
          <w:rFonts w:ascii="Caladea"/>
          <w:b/>
          <w:sz w:val="17"/>
          <w:u w:val="single"/>
        </w:rPr>
        <w:t>(2.304.220) </w:t>
        <w:tab/>
        <w:t>(2.259.228) </w:t>
      </w:r>
    </w:p>
    <w:tbl>
      <w:tblPr>
        <w:tblW w:w="0" w:type="auto"/>
        <w:jc w:val="left"/>
        <w:tblInd w:w="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5"/>
        <w:gridCol w:w="1961"/>
        <w:gridCol w:w="1242"/>
        <w:gridCol w:w="1392"/>
        <w:gridCol w:w="1239"/>
      </w:tblGrid>
      <w:tr>
        <w:trPr>
          <w:trHeight w:val="210" w:hRule="atLeast"/>
        </w:trPr>
        <w:tc>
          <w:tcPr>
            <w:tcW w:w="3755" w:type="dxa"/>
          </w:tcPr>
          <w:p>
            <w:pPr>
              <w:pStyle w:val="TableParagraph"/>
              <w:spacing w:line="189" w:lineRule="exact" w:before="1"/>
              <w:ind w:left="50"/>
              <w:rPr>
                <w:sz w:val="17"/>
              </w:rPr>
            </w:pPr>
            <w:r>
              <w:rPr>
                <w:sz w:val="17"/>
              </w:rPr>
              <w:t>Custos com Serviço de Energia Elétrica</w:t>
            </w:r>
          </w:p>
        </w:tc>
        <w:tc>
          <w:tcPr>
            <w:tcW w:w="1961" w:type="dxa"/>
          </w:tcPr>
          <w:p>
            <w:pPr>
              <w:pStyle w:val="TableParagraph"/>
              <w:spacing w:line="189" w:lineRule="exact" w:before="1"/>
              <w:ind w:right="410"/>
              <w:jc w:val="right"/>
              <w:rPr>
                <w:sz w:val="17"/>
              </w:rPr>
            </w:pPr>
            <w:r>
              <w:rPr>
                <w:w w:val="95"/>
                <w:sz w:val="17"/>
              </w:rPr>
              <w:t>(48.239)</w:t>
            </w:r>
          </w:p>
        </w:tc>
        <w:tc>
          <w:tcPr>
            <w:tcW w:w="1242" w:type="dxa"/>
          </w:tcPr>
          <w:p>
            <w:pPr>
              <w:pStyle w:val="TableParagraph"/>
              <w:spacing w:line="189" w:lineRule="exact" w:before="1"/>
              <w:ind w:right="202"/>
              <w:jc w:val="right"/>
              <w:rPr>
                <w:sz w:val="17"/>
              </w:rPr>
            </w:pPr>
            <w:r>
              <w:rPr>
                <w:w w:val="95"/>
                <w:sz w:val="17"/>
              </w:rPr>
              <w:t>(50.094)</w:t>
            </w:r>
          </w:p>
        </w:tc>
        <w:tc>
          <w:tcPr>
            <w:tcW w:w="1392" w:type="dxa"/>
          </w:tcPr>
          <w:p>
            <w:pPr>
              <w:pStyle w:val="TableParagraph"/>
              <w:spacing w:line="189" w:lineRule="exact" w:before="1"/>
              <w:ind w:right="339"/>
              <w:jc w:val="right"/>
              <w:rPr>
                <w:sz w:val="17"/>
              </w:rPr>
            </w:pPr>
            <w:r>
              <w:rPr>
                <w:w w:val="95"/>
                <w:sz w:val="17"/>
              </w:rPr>
              <w:t>(2.132.310)</w:t>
            </w:r>
          </w:p>
        </w:tc>
        <w:tc>
          <w:tcPr>
            <w:tcW w:w="1239" w:type="dxa"/>
          </w:tcPr>
          <w:p>
            <w:pPr>
              <w:pStyle w:val="TableParagraph"/>
              <w:spacing w:line="189" w:lineRule="exact" w:before="1"/>
              <w:ind w:right="49"/>
              <w:jc w:val="right"/>
              <w:rPr>
                <w:sz w:val="17"/>
              </w:rPr>
            </w:pPr>
            <w:r>
              <w:rPr>
                <w:w w:val="95"/>
                <w:sz w:val="17"/>
              </w:rPr>
              <w:t>(2.042.109)</w:t>
            </w:r>
          </w:p>
        </w:tc>
      </w:tr>
      <w:tr>
        <w:trPr>
          <w:trHeight w:val="222" w:hRule="atLeast"/>
        </w:trPr>
        <w:tc>
          <w:tcPr>
            <w:tcW w:w="3755" w:type="dxa"/>
          </w:tcPr>
          <w:p>
            <w:pPr>
              <w:pStyle w:val="TableParagraph"/>
              <w:spacing w:line="189" w:lineRule="exact" w:before="13"/>
              <w:ind w:left="50"/>
              <w:rPr>
                <w:sz w:val="17"/>
              </w:rPr>
            </w:pPr>
            <w:r>
              <w:rPr>
                <w:sz w:val="17"/>
              </w:rPr>
              <w:t>Custos de Construção</w:t>
            </w:r>
          </w:p>
        </w:tc>
        <w:tc>
          <w:tcPr>
            <w:tcW w:w="1961" w:type="dxa"/>
          </w:tcPr>
          <w:p>
            <w:pPr>
              <w:pStyle w:val="TableParagraph"/>
              <w:rPr>
                <w:rFonts w:ascii="Times New Roman"/>
                <w:sz w:val="14"/>
              </w:rPr>
            </w:pPr>
          </w:p>
        </w:tc>
        <w:tc>
          <w:tcPr>
            <w:tcW w:w="1242" w:type="dxa"/>
          </w:tcPr>
          <w:p>
            <w:pPr>
              <w:pStyle w:val="TableParagraph"/>
              <w:rPr>
                <w:rFonts w:ascii="Times New Roman"/>
                <w:sz w:val="14"/>
              </w:rPr>
            </w:pPr>
          </w:p>
        </w:tc>
        <w:tc>
          <w:tcPr>
            <w:tcW w:w="1392" w:type="dxa"/>
          </w:tcPr>
          <w:p>
            <w:pPr>
              <w:pStyle w:val="TableParagraph"/>
              <w:spacing w:line="189" w:lineRule="exact" w:before="13"/>
              <w:ind w:right="339"/>
              <w:jc w:val="right"/>
              <w:rPr>
                <w:sz w:val="17"/>
              </w:rPr>
            </w:pPr>
            <w:r>
              <w:rPr>
                <w:w w:val="95"/>
                <w:sz w:val="17"/>
              </w:rPr>
              <w:t>(39.330)</w:t>
            </w:r>
          </w:p>
        </w:tc>
        <w:tc>
          <w:tcPr>
            <w:tcW w:w="1239" w:type="dxa"/>
          </w:tcPr>
          <w:p>
            <w:pPr>
              <w:pStyle w:val="TableParagraph"/>
              <w:spacing w:line="189" w:lineRule="exact" w:before="13"/>
              <w:ind w:right="48"/>
              <w:jc w:val="right"/>
              <w:rPr>
                <w:sz w:val="17"/>
              </w:rPr>
            </w:pPr>
            <w:r>
              <w:rPr>
                <w:w w:val="95"/>
                <w:sz w:val="17"/>
              </w:rPr>
              <w:t>(83.846)</w:t>
            </w:r>
          </w:p>
        </w:tc>
      </w:tr>
      <w:tr>
        <w:trPr>
          <w:trHeight w:val="222" w:hRule="atLeast"/>
        </w:trPr>
        <w:tc>
          <w:tcPr>
            <w:tcW w:w="3755" w:type="dxa"/>
          </w:tcPr>
          <w:p>
            <w:pPr>
              <w:pStyle w:val="TableParagraph"/>
              <w:spacing w:line="189" w:lineRule="exact" w:before="13"/>
              <w:ind w:left="50"/>
              <w:rPr>
                <w:sz w:val="17"/>
              </w:rPr>
            </w:pPr>
            <w:r>
              <w:rPr>
                <w:sz w:val="17"/>
              </w:rPr>
              <w:t>Serviços de Terceiros</w:t>
            </w:r>
          </w:p>
        </w:tc>
        <w:tc>
          <w:tcPr>
            <w:tcW w:w="1961" w:type="dxa"/>
          </w:tcPr>
          <w:p>
            <w:pPr>
              <w:pStyle w:val="TableParagraph"/>
              <w:spacing w:line="189" w:lineRule="exact" w:before="13"/>
              <w:ind w:right="410"/>
              <w:jc w:val="right"/>
              <w:rPr>
                <w:sz w:val="17"/>
              </w:rPr>
            </w:pPr>
            <w:r>
              <w:rPr>
                <w:w w:val="95"/>
                <w:sz w:val="17"/>
              </w:rPr>
              <w:t>(5.805)</w:t>
            </w:r>
          </w:p>
        </w:tc>
        <w:tc>
          <w:tcPr>
            <w:tcW w:w="1242" w:type="dxa"/>
          </w:tcPr>
          <w:p>
            <w:pPr>
              <w:pStyle w:val="TableParagraph"/>
              <w:spacing w:line="189" w:lineRule="exact" w:before="13"/>
              <w:ind w:right="201"/>
              <w:jc w:val="right"/>
              <w:rPr>
                <w:sz w:val="17"/>
              </w:rPr>
            </w:pPr>
            <w:r>
              <w:rPr>
                <w:w w:val="95"/>
                <w:sz w:val="17"/>
              </w:rPr>
              <w:t>(4.998)</w:t>
            </w:r>
          </w:p>
        </w:tc>
        <w:tc>
          <w:tcPr>
            <w:tcW w:w="1392" w:type="dxa"/>
          </w:tcPr>
          <w:p>
            <w:pPr>
              <w:pStyle w:val="TableParagraph"/>
              <w:spacing w:line="189" w:lineRule="exact" w:before="13"/>
              <w:ind w:right="339"/>
              <w:jc w:val="right"/>
              <w:rPr>
                <w:sz w:val="17"/>
              </w:rPr>
            </w:pPr>
            <w:r>
              <w:rPr>
                <w:sz w:val="17"/>
              </w:rPr>
              <w:t>(167.768)</w:t>
            </w:r>
          </w:p>
        </w:tc>
        <w:tc>
          <w:tcPr>
            <w:tcW w:w="1239" w:type="dxa"/>
          </w:tcPr>
          <w:p>
            <w:pPr>
              <w:pStyle w:val="TableParagraph"/>
              <w:spacing w:line="189" w:lineRule="exact" w:before="13"/>
              <w:ind w:right="48"/>
              <w:jc w:val="right"/>
              <w:rPr>
                <w:sz w:val="17"/>
              </w:rPr>
            </w:pPr>
            <w:r>
              <w:rPr>
                <w:sz w:val="17"/>
              </w:rPr>
              <w:t>(187.075)</w:t>
            </w:r>
          </w:p>
        </w:tc>
      </w:tr>
      <w:tr>
        <w:trPr>
          <w:trHeight w:val="222" w:hRule="atLeast"/>
        </w:trPr>
        <w:tc>
          <w:tcPr>
            <w:tcW w:w="3755" w:type="dxa"/>
          </w:tcPr>
          <w:p>
            <w:pPr>
              <w:pStyle w:val="TableParagraph"/>
              <w:spacing w:line="189" w:lineRule="exact" w:before="13"/>
              <w:ind w:left="50"/>
              <w:rPr>
                <w:sz w:val="17"/>
              </w:rPr>
            </w:pPr>
            <w:r>
              <w:rPr>
                <w:sz w:val="17"/>
              </w:rPr>
              <w:t>Material</w:t>
            </w:r>
          </w:p>
        </w:tc>
        <w:tc>
          <w:tcPr>
            <w:tcW w:w="1961" w:type="dxa"/>
          </w:tcPr>
          <w:p>
            <w:pPr>
              <w:pStyle w:val="TableParagraph"/>
              <w:spacing w:line="189" w:lineRule="exact" w:before="13"/>
              <w:ind w:right="410"/>
              <w:jc w:val="right"/>
              <w:rPr>
                <w:sz w:val="17"/>
              </w:rPr>
            </w:pPr>
            <w:r>
              <w:rPr>
                <w:w w:val="105"/>
                <w:sz w:val="17"/>
              </w:rPr>
              <w:t>(57)</w:t>
            </w:r>
          </w:p>
        </w:tc>
        <w:tc>
          <w:tcPr>
            <w:tcW w:w="1242" w:type="dxa"/>
          </w:tcPr>
          <w:p>
            <w:pPr>
              <w:pStyle w:val="TableParagraph"/>
              <w:spacing w:line="189" w:lineRule="exact" w:before="13"/>
              <w:ind w:right="201"/>
              <w:jc w:val="right"/>
              <w:rPr>
                <w:sz w:val="17"/>
              </w:rPr>
            </w:pPr>
            <w:r>
              <w:rPr>
                <w:w w:val="95"/>
                <w:sz w:val="17"/>
              </w:rPr>
              <w:t>(7.219)</w:t>
            </w:r>
          </w:p>
        </w:tc>
        <w:tc>
          <w:tcPr>
            <w:tcW w:w="1392" w:type="dxa"/>
          </w:tcPr>
          <w:p>
            <w:pPr>
              <w:pStyle w:val="TableParagraph"/>
              <w:spacing w:line="189" w:lineRule="exact" w:before="13"/>
              <w:ind w:right="339"/>
              <w:jc w:val="right"/>
              <w:rPr>
                <w:sz w:val="17"/>
              </w:rPr>
            </w:pPr>
            <w:r>
              <w:rPr>
                <w:w w:val="95"/>
                <w:sz w:val="17"/>
              </w:rPr>
              <w:t>(14.507)</w:t>
            </w:r>
          </w:p>
        </w:tc>
        <w:tc>
          <w:tcPr>
            <w:tcW w:w="1239" w:type="dxa"/>
          </w:tcPr>
          <w:p>
            <w:pPr>
              <w:pStyle w:val="TableParagraph"/>
              <w:spacing w:line="189" w:lineRule="exact" w:before="13"/>
              <w:ind w:right="48"/>
              <w:jc w:val="right"/>
              <w:rPr>
                <w:sz w:val="17"/>
              </w:rPr>
            </w:pPr>
            <w:r>
              <w:rPr>
                <w:w w:val="95"/>
                <w:sz w:val="17"/>
              </w:rPr>
              <w:t>(9.255)</w:t>
            </w:r>
          </w:p>
        </w:tc>
      </w:tr>
      <w:tr>
        <w:trPr>
          <w:trHeight w:val="222" w:hRule="atLeast"/>
        </w:trPr>
        <w:tc>
          <w:tcPr>
            <w:tcW w:w="3755" w:type="dxa"/>
          </w:tcPr>
          <w:p>
            <w:pPr>
              <w:pStyle w:val="TableParagraph"/>
              <w:spacing w:line="189" w:lineRule="exact" w:before="13"/>
              <w:ind w:left="50"/>
              <w:rPr>
                <w:sz w:val="17"/>
              </w:rPr>
            </w:pPr>
            <w:r>
              <w:rPr>
                <w:sz w:val="17"/>
              </w:rPr>
              <w:t>Provisões/Reversões</w:t>
            </w:r>
          </w:p>
        </w:tc>
        <w:tc>
          <w:tcPr>
            <w:tcW w:w="1961" w:type="dxa"/>
          </w:tcPr>
          <w:p>
            <w:pPr>
              <w:pStyle w:val="TableParagraph"/>
              <w:spacing w:line="189" w:lineRule="exact" w:before="13"/>
              <w:ind w:right="410"/>
              <w:jc w:val="right"/>
              <w:rPr>
                <w:sz w:val="17"/>
              </w:rPr>
            </w:pPr>
            <w:r>
              <w:rPr>
                <w:w w:val="105"/>
                <w:sz w:val="17"/>
              </w:rPr>
              <w:t>(99)</w:t>
            </w:r>
          </w:p>
        </w:tc>
        <w:tc>
          <w:tcPr>
            <w:tcW w:w="1242" w:type="dxa"/>
          </w:tcPr>
          <w:p>
            <w:pPr>
              <w:pStyle w:val="TableParagraph"/>
              <w:spacing w:line="189" w:lineRule="exact" w:before="13"/>
              <w:ind w:right="265"/>
              <w:jc w:val="right"/>
              <w:rPr>
                <w:sz w:val="17"/>
              </w:rPr>
            </w:pPr>
            <w:r>
              <w:rPr>
                <w:w w:val="105"/>
                <w:sz w:val="17"/>
              </w:rPr>
              <w:t>95</w:t>
            </w:r>
          </w:p>
        </w:tc>
        <w:tc>
          <w:tcPr>
            <w:tcW w:w="1392" w:type="dxa"/>
          </w:tcPr>
          <w:p>
            <w:pPr>
              <w:pStyle w:val="TableParagraph"/>
              <w:spacing w:line="189" w:lineRule="exact" w:before="13"/>
              <w:ind w:right="339"/>
              <w:jc w:val="right"/>
              <w:rPr>
                <w:sz w:val="17"/>
              </w:rPr>
            </w:pPr>
            <w:r>
              <w:rPr>
                <w:w w:val="95"/>
                <w:sz w:val="17"/>
              </w:rPr>
              <w:t>(13.523)</w:t>
            </w:r>
          </w:p>
        </w:tc>
        <w:tc>
          <w:tcPr>
            <w:tcW w:w="1239" w:type="dxa"/>
          </w:tcPr>
          <w:p>
            <w:pPr>
              <w:pStyle w:val="TableParagraph"/>
              <w:spacing w:line="189" w:lineRule="exact" w:before="13"/>
              <w:ind w:right="110"/>
              <w:jc w:val="right"/>
              <w:rPr>
                <w:sz w:val="17"/>
              </w:rPr>
            </w:pPr>
            <w:r>
              <w:rPr>
                <w:w w:val="95"/>
                <w:sz w:val="17"/>
              </w:rPr>
              <w:t>25.420</w:t>
            </w:r>
          </w:p>
        </w:tc>
      </w:tr>
      <w:tr>
        <w:trPr>
          <w:trHeight w:val="210" w:hRule="atLeast"/>
        </w:trPr>
        <w:tc>
          <w:tcPr>
            <w:tcW w:w="3755" w:type="dxa"/>
          </w:tcPr>
          <w:p>
            <w:pPr>
              <w:pStyle w:val="TableParagraph"/>
              <w:spacing w:line="177" w:lineRule="exact" w:before="13"/>
              <w:ind w:left="50"/>
              <w:rPr>
                <w:sz w:val="17"/>
              </w:rPr>
            </w:pPr>
            <w:r>
              <w:rPr>
                <w:sz w:val="17"/>
              </w:rPr>
              <w:t>Outros</w:t>
            </w:r>
          </w:p>
        </w:tc>
        <w:tc>
          <w:tcPr>
            <w:tcW w:w="1961" w:type="dxa"/>
          </w:tcPr>
          <w:p>
            <w:pPr>
              <w:pStyle w:val="TableParagraph"/>
              <w:spacing w:line="177" w:lineRule="exact" w:before="13"/>
              <w:ind w:right="410"/>
              <w:jc w:val="right"/>
              <w:rPr>
                <w:sz w:val="17"/>
              </w:rPr>
            </w:pPr>
            <w:r>
              <w:rPr>
                <w:w w:val="105"/>
                <w:sz w:val="17"/>
              </w:rPr>
              <w:t>(496)</w:t>
            </w:r>
          </w:p>
        </w:tc>
        <w:tc>
          <w:tcPr>
            <w:tcW w:w="1242" w:type="dxa"/>
          </w:tcPr>
          <w:p>
            <w:pPr>
              <w:pStyle w:val="TableParagraph"/>
              <w:spacing w:line="177" w:lineRule="exact" w:before="13"/>
              <w:ind w:right="201"/>
              <w:jc w:val="right"/>
              <w:rPr>
                <w:sz w:val="17"/>
              </w:rPr>
            </w:pPr>
            <w:r>
              <w:rPr>
                <w:w w:val="105"/>
                <w:sz w:val="17"/>
              </w:rPr>
              <w:t>(349)</w:t>
            </w:r>
          </w:p>
        </w:tc>
        <w:tc>
          <w:tcPr>
            <w:tcW w:w="1392" w:type="dxa"/>
          </w:tcPr>
          <w:p>
            <w:pPr>
              <w:pStyle w:val="TableParagraph"/>
              <w:spacing w:line="177" w:lineRule="exact" w:before="13"/>
              <w:ind w:left="490"/>
              <w:rPr>
                <w:sz w:val="17"/>
              </w:rPr>
            </w:pPr>
            <w:r>
              <w:rPr>
                <w:sz w:val="17"/>
              </w:rPr>
              <w:t>63.218</w:t>
            </w:r>
          </w:p>
        </w:tc>
        <w:tc>
          <w:tcPr>
            <w:tcW w:w="1239" w:type="dxa"/>
          </w:tcPr>
          <w:p>
            <w:pPr>
              <w:pStyle w:val="TableParagraph"/>
              <w:spacing w:line="177" w:lineRule="exact" w:before="13"/>
              <w:ind w:right="110"/>
              <w:jc w:val="right"/>
              <w:rPr>
                <w:sz w:val="17"/>
              </w:rPr>
            </w:pPr>
            <w:r>
              <w:rPr>
                <w:w w:val="95"/>
                <w:sz w:val="17"/>
              </w:rPr>
              <w:t>37.637</w:t>
            </w:r>
          </w:p>
        </w:tc>
      </w:tr>
    </w:tbl>
    <w:p>
      <w:pPr>
        <w:pStyle w:val="BodyText"/>
        <w:spacing w:before="8"/>
        <w:rPr>
          <w:rFonts w:ascii="Caladea"/>
          <w:b/>
          <w:sz w:val="15"/>
        </w:rPr>
      </w:pPr>
      <w:r>
        <w:rPr/>
        <w:pict>
          <v:group style="position:absolute;margin-left:281.539032pt;margin-top:11.191505pt;width:271.25pt;height:.7pt;mso-position-horizontal-relative:page;mso-position-vertical-relative:paragraph;z-index:-15702528;mso-wrap-distance-left:0;mso-wrap-distance-right:0" coordorigin="5631,224" coordsize="5425,14">
            <v:line style="position:absolute" from="5637,230" to="6814,230" stroked="true" strokeweight=".653005pt" strokecolor="#000000">
              <v:stroke dashstyle="solid"/>
            </v:line>
            <v:rect style="position:absolute;left:5630;top:223;width:1190;height:14" filled="true" fillcolor="#000000" stroked="false">
              <v:fill type="solid"/>
            </v:rect>
            <v:line style="position:absolute" from="6892,230" to="8264,230" stroked="true" strokeweight=".653005pt" strokecolor="#000000">
              <v:stroke dashstyle="solid"/>
            </v:line>
            <v:rect style="position:absolute;left:6885;top:223;width:1386;height:14" filled="true" fillcolor="#000000" stroked="false">
              <v:fill type="solid"/>
            </v:rect>
            <v:line style="position:absolute" from="8343,230" to="9519,230" stroked="true" strokeweight=".653005pt" strokecolor="#000000">
              <v:stroke dashstyle="solid"/>
            </v:line>
            <v:rect style="position:absolute;left:8336;top:223;width:1190;height:14" filled="true" fillcolor="#000000" stroked="false">
              <v:fill type="solid"/>
            </v:rect>
            <v:line style="position:absolute" from="9598,230" to="11049,230" stroked="true" strokeweight=".653005pt" strokecolor="#000000">
              <v:stroke dashstyle="solid"/>
            </v:line>
            <v:rect style="position:absolute;left:9591;top:223;width:1465;height:14" filled="true" fillcolor="#000000" stroked="false">
              <v:fill type="solid"/>
            </v:rect>
            <w10:wrap type="topAndBottom"/>
          </v:group>
        </w:pict>
      </w:r>
    </w:p>
    <w:p>
      <w:pPr>
        <w:tabs>
          <w:tab w:pos="4690" w:val="left" w:leader="none"/>
          <w:tab w:pos="5213" w:val="left" w:leader="none"/>
          <w:tab w:pos="6663" w:val="left" w:leader="none"/>
          <w:tab w:pos="7670" w:val="left" w:leader="none"/>
          <w:tab w:pos="9200" w:val="left" w:leader="none"/>
        </w:tabs>
        <w:spacing w:before="0"/>
        <w:ind w:left="233" w:right="0" w:firstLine="0"/>
        <w:jc w:val="left"/>
        <w:rPr>
          <w:rFonts w:ascii="Caladea"/>
          <w:b/>
          <w:sz w:val="17"/>
        </w:rPr>
      </w:pPr>
      <w:r>
        <w:rPr>
          <w:rFonts w:ascii="Caladea"/>
          <w:b/>
          <w:spacing w:val="-3"/>
          <w:sz w:val="17"/>
        </w:rPr>
        <w:t>Valor </w:t>
      </w:r>
      <w:r>
        <w:rPr>
          <w:rFonts w:ascii="Caladea"/>
          <w:b/>
          <w:sz w:val="17"/>
        </w:rPr>
        <w:t>Adicionado</w:t>
      </w:r>
      <w:r>
        <w:rPr>
          <w:rFonts w:ascii="Caladea"/>
          <w:b/>
          <w:spacing w:val="-7"/>
          <w:sz w:val="17"/>
        </w:rPr>
        <w:t> </w:t>
      </w:r>
      <w:r>
        <w:rPr>
          <w:rFonts w:ascii="Caladea"/>
          <w:b/>
          <w:sz w:val="17"/>
        </w:rPr>
        <w:t>Bruto</w:t>
        <w:tab/>
      </w:r>
      <w:r>
        <w:rPr>
          <w:rFonts w:ascii="Caladea"/>
          <w:b/>
          <w:sz w:val="17"/>
          <w:u w:val="single"/>
        </w:rPr>
        <w:t> </w:t>
        <w:tab/>
        <w:t>10.586 </w:t>
        <w:tab/>
        <w:t>23.626 </w:t>
        <w:tab/>
        <w:t>1.986.935 </w:t>
        <w:tab/>
        <w:t>1.794.825</w:t>
      </w:r>
      <w:r>
        <w:rPr>
          <w:rFonts w:ascii="Caladea"/>
          <w:b/>
          <w:spacing w:val="-2"/>
          <w:sz w:val="17"/>
          <w:u w:val="single"/>
        </w:rPr>
        <w:t> </w:t>
      </w:r>
    </w:p>
    <w:p>
      <w:pPr>
        <w:pStyle w:val="BodyText"/>
        <w:spacing w:before="8"/>
        <w:rPr>
          <w:rFonts w:ascii="Caladea"/>
          <w:b/>
          <w:sz w:val="15"/>
        </w:rPr>
      </w:pPr>
      <w:r>
        <w:rPr/>
        <w:pict>
          <v:group style="position:absolute;margin-left:281.539032pt;margin-top:11.194841pt;width:271.25pt;height:.7pt;mso-position-horizontal-relative:page;mso-position-vertical-relative:paragraph;z-index:-15702016;mso-wrap-distance-left:0;mso-wrap-distance-right:0" coordorigin="5631,224" coordsize="5425,14">
            <v:line style="position:absolute" from="5637,230" to="6814,230" stroked="true" strokeweight=".653005pt" strokecolor="#000000">
              <v:stroke dashstyle="solid"/>
            </v:line>
            <v:rect style="position:absolute;left:5630;top:223;width:1190;height:14" filled="true" fillcolor="#000000" stroked="false">
              <v:fill type="solid"/>
            </v:rect>
            <v:line style="position:absolute" from="6892,230" to="8264,230" stroked="true" strokeweight=".653005pt" strokecolor="#000000">
              <v:stroke dashstyle="solid"/>
            </v:line>
            <v:rect style="position:absolute;left:6885;top:223;width:1386;height:14" filled="true" fillcolor="#000000" stroked="false">
              <v:fill type="solid"/>
            </v:rect>
            <v:line style="position:absolute" from="8343,230" to="9519,230" stroked="true" strokeweight=".653005pt" strokecolor="#000000">
              <v:stroke dashstyle="solid"/>
            </v:line>
            <v:rect style="position:absolute;left:8336;top:223;width:1190;height:14" filled="true" fillcolor="#000000" stroked="false">
              <v:fill type="solid"/>
            </v:rect>
            <v:line style="position:absolute" from="9598,230" to="11049,230" stroked="true" strokeweight=".653005pt" strokecolor="#000000">
              <v:stroke dashstyle="solid"/>
            </v:line>
            <v:rect style="position:absolute;left:9591;top:223;width:1465;height:14" filled="true" fillcolor="#000000" stroked="false">
              <v:fill type="solid"/>
            </v:rect>
            <w10:wrap type="topAndBottom"/>
          </v:group>
        </w:pict>
      </w:r>
    </w:p>
    <w:p>
      <w:pPr>
        <w:tabs>
          <w:tab w:pos="4690" w:val="left" w:leader="none"/>
          <w:tab w:pos="5252" w:val="left" w:leader="none"/>
          <w:tab w:pos="6847" w:val="left" w:leader="none"/>
          <w:tab w:pos="7853" w:val="left" w:leader="none"/>
          <w:tab w:pos="9383" w:val="left" w:leader="none"/>
        </w:tabs>
        <w:spacing w:before="0"/>
        <w:ind w:left="233" w:right="0" w:firstLine="0"/>
        <w:jc w:val="left"/>
        <w:rPr>
          <w:rFonts w:ascii="Caladea" w:hAnsi="Caladea"/>
          <w:b/>
          <w:sz w:val="17"/>
        </w:rPr>
      </w:pPr>
      <w:r>
        <w:rPr>
          <w:rFonts w:ascii="Caladea" w:hAnsi="Caladea"/>
          <w:b/>
          <w:sz w:val="17"/>
        </w:rPr>
        <w:t>Retenções</w:t>
        <w:tab/>
      </w:r>
      <w:r>
        <w:rPr>
          <w:rFonts w:ascii="Caladea" w:hAnsi="Caladea"/>
          <w:b/>
          <w:sz w:val="17"/>
          <w:u w:val="single"/>
        </w:rPr>
        <w:t> </w:t>
        <w:tab/>
        <w:t>(1.089) </w:t>
        <w:tab/>
        <w:t>(825) </w:t>
        <w:tab/>
        <w:t>(58.393) </w:t>
        <w:tab/>
        <w:t>(56.751)</w:t>
      </w:r>
      <w:r>
        <w:rPr>
          <w:rFonts w:ascii="Caladea" w:hAnsi="Caladea"/>
          <w:b/>
          <w:spacing w:val="-1"/>
          <w:sz w:val="17"/>
          <w:u w:val="single"/>
        </w:rPr>
        <w:t> </w:t>
      </w:r>
    </w:p>
    <w:p>
      <w:pPr>
        <w:tabs>
          <w:tab w:pos="5304" w:val="left" w:leader="none"/>
          <w:tab w:pos="6886" w:val="left" w:leader="none"/>
          <w:tab w:pos="7919" w:val="left" w:leader="none"/>
          <w:tab w:pos="9448" w:val="left" w:leader="none"/>
        </w:tabs>
        <w:spacing w:before="25"/>
        <w:ind w:left="586" w:right="0" w:firstLine="0"/>
        <w:jc w:val="left"/>
        <w:rPr>
          <w:sz w:val="17"/>
        </w:rPr>
      </w:pPr>
      <w:r>
        <w:rPr>
          <w:sz w:val="17"/>
        </w:rPr>
        <w:t>Depreciação</w:t>
      </w:r>
      <w:r>
        <w:rPr>
          <w:spacing w:val="-37"/>
          <w:sz w:val="17"/>
        </w:rPr>
        <w:t> </w:t>
      </w:r>
      <w:r>
        <w:rPr>
          <w:sz w:val="17"/>
        </w:rPr>
        <w:t>e</w:t>
      </w:r>
      <w:r>
        <w:rPr>
          <w:spacing w:val="-39"/>
          <w:sz w:val="17"/>
        </w:rPr>
        <w:t> </w:t>
      </w:r>
      <w:r>
        <w:rPr>
          <w:sz w:val="17"/>
        </w:rPr>
        <w:t>Amortização</w:t>
        <w:tab/>
        <w:t>(1.089)</w:t>
        <w:tab/>
        <w:t>(825)</w:t>
        <w:tab/>
        <w:t>(58.393)</w:t>
        <w:tab/>
        <w:t>(56.751)</w:t>
      </w:r>
    </w:p>
    <w:p>
      <w:pPr>
        <w:pStyle w:val="BodyText"/>
        <w:spacing w:before="10"/>
        <w:rPr>
          <w:sz w:val="15"/>
        </w:rPr>
      </w:pPr>
      <w:r>
        <w:rPr/>
        <w:pict>
          <v:group style="position:absolute;margin-left:281.539032pt;margin-top:11.193706pt;width:271.25pt;height:.7pt;mso-position-horizontal-relative:page;mso-position-vertical-relative:paragraph;z-index:-15701504;mso-wrap-distance-left:0;mso-wrap-distance-right:0" coordorigin="5631,224" coordsize="5425,14">
            <v:line style="position:absolute" from="5637,230" to="6814,230" stroked="true" strokeweight=".653005pt" strokecolor="#000000">
              <v:stroke dashstyle="solid"/>
            </v:line>
            <v:rect style="position:absolute;left:5630;top:223;width:1190;height:14" filled="true" fillcolor="#000000" stroked="false">
              <v:fill type="solid"/>
            </v:rect>
            <v:line style="position:absolute" from="6892,230" to="8264,230" stroked="true" strokeweight=".653005pt" strokecolor="#000000">
              <v:stroke dashstyle="solid"/>
            </v:line>
            <v:rect style="position:absolute;left:6885;top:223;width:1386;height:14" filled="true" fillcolor="#000000" stroked="false">
              <v:fill type="solid"/>
            </v:rect>
            <v:line style="position:absolute" from="8343,230" to="9519,230" stroked="true" strokeweight=".653005pt" strokecolor="#000000">
              <v:stroke dashstyle="solid"/>
            </v:line>
            <v:rect style="position:absolute;left:8336;top:223;width:1190;height:14" filled="true" fillcolor="#000000" stroked="false">
              <v:fill type="solid"/>
            </v:rect>
            <v:line style="position:absolute" from="9598,230" to="11049,230" stroked="true" strokeweight=".653005pt" strokecolor="#000000">
              <v:stroke dashstyle="solid"/>
            </v:line>
            <v:rect style="position:absolute;left:9591;top:223;width:1465;height:14" filled="true" fillcolor="#000000" stroked="false">
              <v:fill type="solid"/>
            </v:rect>
            <w10:wrap type="topAndBottom"/>
          </v:group>
        </w:pict>
      </w:r>
    </w:p>
    <w:p>
      <w:pPr>
        <w:tabs>
          <w:tab w:pos="4690" w:val="left" w:leader="none"/>
          <w:tab w:pos="5317" w:val="left" w:leader="none"/>
          <w:tab w:pos="6663" w:val="left" w:leader="none"/>
          <w:tab w:pos="7670" w:val="left" w:leader="none"/>
          <w:tab w:pos="9200" w:val="left" w:leader="none"/>
        </w:tabs>
        <w:spacing w:before="0"/>
        <w:ind w:left="272" w:right="0" w:firstLine="0"/>
        <w:jc w:val="left"/>
        <w:rPr>
          <w:rFonts w:ascii="Caladea" w:hAnsi="Caladea"/>
          <w:b/>
          <w:sz w:val="17"/>
        </w:rPr>
      </w:pPr>
      <w:r>
        <w:rPr>
          <w:rFonts w:ascii="Caladea" w:hAnsi="Caladea"/>
          <w:b/>
          <w:spacing w:val="-3"/>
          <w:sz w:val="17"/>
        </w:rPr>
        <w:t>Valor </w:t>
      </w:r>
      <w:r>
        <w:rPr>
          <w:rFonts w:ascii="Caladea" w:hAnsi="Caladea"/>
          <w:b/>
          <w:sz w:val="17"/>
        </w:rPr>
        <w:t>Adicionado</w:t>
      </w:r>
      <w:r>
        <w:rPr>
          <w:rFonts w:ascii="Caladea" w:hAnsi="Caladea"/>
          <w:b/>
          <w:spacing w:val="-7"/>
          <w:sz w:val="17"/>
        </w:rPr>
        <w:t> </w:t>
      </w:r>
      <w:r>
        <w:rPr>
          <w:rFonts w:ascii="Caladea" w:hAnsi="Caladea"/>
          <w:b/>
          <w:sz w:val="17"/>
        </w:rPr>
        <w:t>Líquido</w:t>
      </w:r>
      <w:r>
        <w:rPr>
          <w:rFonts w:ascii="Caladea" w:hAnsi="Caladea"/>
          <w:b/>
          <w:spacing w:val="-7"/>
          <w:sz w:val="17"/>
        </w:rPr>
        <w:t> </w:t>
      </w:r>
      <w:r>
        <w:rPr>
          <w:rFonts w:ascii="Caladea" w:hAnsi="Caladea"/>
          <w:b/>
          <w:sz w:val="17"/>
        </w:rPr>
        <w:t>Produzido</w:t>
        <w:tab/>
      </w:r>
      <w:r>
        <w:rPr>
          <w:rFonts w:ascii="Caladea" w:hAnsi="Caladea"/>
          <w:b/>
          <w:sz w:val="17"/>
          <w:u w:val="single"/>
        </w:rPr>
        <w:t> </w:t>
        <w:tab/>
        <w:t>9.497 </w:t>
        <w:tab/>
        <w:t>22.801 </w:t>
        <w:tab/>
        <w:t>1.928.542 </w:t>
        <w:tab/>
        <w:t>1.738.074</w:t>
      </w:r>
      <w:r>
        <w:rPr>
          <w:rFonts w:ascii="Caladea" w:hAnsi="Caladea"/>
          <w:b/>
          <w:spacing w:val="-2"/>
          <w:sz w:val="17"/>
          <w:u w:val="single"/>
        </w:rPr>
        <w:t> </w:t>
      </w:r>
    </w:p>
    <w:p>
      <w:pPr>
        <w:pStyle w:val="BodyText"/>
        <w:spacing w:before="8"/>
        <w:rPr>
          <w:rFonts w:ascii="Caladea"/>
          <w:b/>
          <w:sz w:val="15"/>
        </w:rPr>
      </w:pPr>
      <w:r>
        <w:rPr/>
        <w:pict>
          <v:group style="position:absolute;margin-left:281.539032pt;margin-top:11.190515pt;width:271.25pt;height:.7pt;mso-position-horizontal-relative:page;mso-position-vertical-relative:paragraph;z-index:-15700992;mso-wrap-distance-left:0;mso-wrap-distance-right:0" coordorigin="5631,224" coordsize="5425,14">
            <v:line style="position:absolute" from="5637,230" to="6814,230" stroked="true" strokeweight=".653005pt" strokecolor="#000000">
              <v:stroke dashstyle="solid"/>
            </v:line>
            <v:rect style="position:absolute;left:5630;top:223;width:1190;height:14" filled="true" fillcolor="#000000" stroked="false">
              <v:fill type="solid"/>
            </v:rect>
            <v:line style="position:absolute" from="6892,230" to="8264,230" stroked="true" strokeweight=".653005pt" strokecolor="#000000">
              <v:stroke dashstyle="solid"/>
            </v:line>
            <v:rect style="position:absolute;left:6885;top:223;width:1386;height:14" filled="true" fillcolor="#000000" stroked="false">
              <v:fill type="solid"/>
            </v:rect>
            <v:line style="position:absolute" from="8343,230" to="9519,230" stroked="true" strokeweight=".653005pt" strokecolor="#000000">
              <v:stroke dashstyle="solid"/>
            </v:line>
            <v:rect style="position:absolute;left:8336;top:223;width:1190;height:14" filled="true" fillcolor="#000000" stroked="false">
              <v:fill type="solid"/>
            </v:rect>
            <v:line style="position:absolute" from="9598,230" to="11049,230" stroked="true" strokeweight=".653005pt" strokecolor="#000000">
              <v:stroke dashstyle="solid"/>
            </v:line>
            <v:rect style="position:absolute;left:9591;top:223;width:1465;height:14" filled="true" fillcolor="#000000" stroked="false">
              <v:fill type="solid"/>
            </v:rect>
            <w10:wrap type="topAndBottom"/>
          </v:group>
        </w:pict>
      </w:r>
    </w:p>
    <w:p>
      <w:pPr>
        <w:tabs>
          <w:tab w:pos="4690" w:val="left" w:leader="none"/>
          <w:tab w:pos="5108" w:val="left" w:leader="none"/>
          <w:tab w:pos="6663" w:val="left" w:leader="none"/>
          <w:tab w:pos="7814" w:val="left" w:leader="none"/>
          <w:tab w:pos="9343" w:val="left" w:leader="none"/>
        </w:tabs>
        <w:spacing w:before="0" w:after="23"/>
        <w:ind w:left="272" w:right="0" w:firstLine="0"/>
        <w:jc w:val="left"/>
        <w:rPr>
          <w:rFonts w:ascii="Caladea" w:hAnsi="Caladea"/>
          <w:b/>
          <w:sz w:val="17"/>
        </w:rPr>
      </w:pPr>
      <w:r>
        <w:rPr>
          <w:rFonts w:ascii="Caladea" w:hAnsi="Caladea"/>
          <w:b/>
          <w:spacing w:val="-3"/>
          <w:sz w:val="17"/>
        </w:rPr>
        <w:t>Valor </w:t>
      </w:r>
      <w:r>
        <w:rPr>
          <w:rFonts w:ascii="Caladea" w:hAnsi="Caladea"/>
          <w:b/>
          <w:sz w:val="17"/>
        </w:rPr>
        <w:t>Adicionado Recebido</w:t>
      </w:r>
      <w:r>
        <w:rPr>
          <w:rFonts w:ascii="Caladea" w:hAnsi="Caladea"/>
          <w:b/>
          <w:spacing w:val="-12"/>
          <w:sz w:val="17"/>
        </w:rPr>
        <w:t> </w:t>
      </w:r>
      <w:r>
        <w:rPr>
          <w:rFonts w:ascii="Caladea" w:hAnsi="Caladea"/>
          <w:b/>
          <w:sz w:val="17"/>
        </w:rPr>
        <w:t>em</w:t>
      </w:r>
      <w:r>
        <w:rPr>
          <w:rFonts w:ascii="Caladea" w:hAnsi="Caladea"/>
          <w:b/>
          <w:spacing w:val="4"/>
          <w:sz w:val="17"/>
        </w:rPr>
        <w:t> </w:t>
      </w:r>
      <w:r>
        <w:rPr>
          <w:rFonts w:ascii="Caladea" w:hAnsi="Caladea"/>
          <w:b/>
          <w:sz w:val="17"/>
        </w:rPr>
        <w:t>Transferência</w:t>
        <w:tab/>
      </w:r>
      <w:r>
        <w:rPr>
          <w:rFonts w:ascii="Caladea" w:hAnsi="Caladea"/>
          <w:b/>
          <w:sz w:val="17"/>
          <w:u w:val="single"/>
        </w:rPr>
        <w:t> </w:t>
        <w:tab/>
      </w:r>
      <w:r>
        <w:rPr>
          <w:rFonts w:ascii="Caladea" w:hAnsi="Caladea"/>
          <w:b/>
          <w:spacing w:val="2"/>
          <w:sz w:val="17"/>
          <w:u w:val="single"/>
        </w:rPr>
        <w:t>135.869 </w:t>
        <w:tab/>
      </w:r>
      <w:r>
        <w:rPr>
          <w:rFonts w:ascii="Caladea" w:hAnsi="Caladea"/>
          <w:b/>
          <w:sz w:val="17"/>
          <w:u w:val="single"/>
        </w:rPr>
        <w:t>90.569 </w:t>
        <w:tab/>
      </w:r>
      <w:r>
        <w:rPr>
          <w:rFonts w:ascii="Caladea" w:hAnsi="Caladea"/>
          <w:b/>
          <w:spacing w:val="2"/>
          <w:sz w:val="17"/>
          <w:u w:val="single"/>
        </w:rPr>
        <w:t>142.521 </w:t>
        <w:tab/>
        <w:t>125.372</w:t>
      </w:r>
      <w:r>
        <w:rPr>
          <w:rFonts w:ascii="Caladea" w:hAnsi="Caladea"/>
          <w:b/>
          <w:spacing w:val="-2"/>
          <w:sz w:val="17"/>
          <w:u w:val="single"/>
        </w:rPr>
        <w:t> </w:t>
      </w:r>
    </w:p>
    <w:tbl>
      <w:tblPr>
        <w:tblW w:w="0" w:type="auto"/>
        <w:jc w:val="left"/>
        <w:tblInd w:w="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508"/>
        <w:gridCol w:w="1563"/>
        <w:gridCol w:w="1307"/>
        <w:gridCol w:w="1392"/>
        <w:gridCol w:w="1162"/>
      </w:tblGrid>
      <w:tr>
        <w:trPr>
          <w:trHeight w:val="210" w:hRule="atLeast"/>
        </w:trPr>
        <w:tc>
          <w:tcPr>
            <w:tcW w:w="4508" w:type="dxa"/>
          </w:tcPr>
          <w:p>
            <w:pPr>
              <w:pStyle w:val="TableParagraph"/>
              <w:spacing w:line="189" w:lineRule="exact" w:before="1"/>
              <w:ind w:left="402"/>
              <w:rPr>
                <w:sz w:val="17"/>
              </w:rPr>
            </w:pPr>
            <w:r>
              <w:rPr>
                <w:sz w:val="17"/>
              </w:rPr>
              <w:t>Receitas Financeiras</w:t>
            </w:r>
          </w:p>
        </w:tc>
        <w:tc>
          <w:tcPr>
            <w:tcW w:w="1563" w:type="dxa"/>
          </w:tcPr>
          <w:p>
            <w:pPr>
              <w:pStyle w:val="TableParagraph"/>
              <w:spacing w:line="189" w:lineRule="exact" w:before="1"/>
              <w:ind w:right="475"/>
              <w:jc w:val="right"/>
              <w:rPr>
                <w:sz w:val="17"/>
              </w:rPr>
            </w:pPr>
            <w:r>
              <w:rPr>
                <w:w w:val="95"/>
                <w:sz w:val="17"/>
              </w:rPr>
              <w:t>12.035</w:t>
            </w:r>
          </w:p>
        </w:tc>
        <w:tc>
          <w:tcPr>
            <w:tcW w:w="1307" w:type="dxa"/>
          </w:tcPr>
          <w:p>
            <w:pPr>
              <w:pStyle w:val="TableParagraph"/>
              <w:spacing w:line="189" w:lineRule="exact" w:before="1"/>
              <w:ind w:right="331"/>
              <w:jc w:val="right"/>
              <w:rPr>
                <w:sz w:val="17"/>
              </w:rPr>
            </w:pPr>
            <w:r>
              <w:rPr>
                <w:w w:val="95"/>
                <w:sz w:val="17"/>
              </w:rPr>
              <w:t>2.328</w:t>
            </w:r>
          </w:p>
        </w:tc>
        <w:tc>
          <w:tcPr>
            <w:tcW w:w="1392" w:type="dxa"/>
          </w:tcPr>
          <w:p>
            <w:pPr>
              <w:pStyle w:val="TableParagraph"/>
              <w:spacing w:line="189" w:lineRule="exact" w:before="1"/>
              <w:ind w:right="468"/>
              <w:jc w:val="right"/>
              <w:rPr>
                <w:sz w:val="17"/>
              </w:rPr>
            </w:pPr>
            <w:r>
              <w:rPr>
                <w:w w:val="95"/>
                <w:sz w:val="17"/>
              </w:rPr>
              <w:t>107.842</w:t>
            </w:r>
          </w:p>
        </w:tc>
        <w:tc>
          <w:tcPr>
            <w:tcW w:w="1162" w:type="dxa"/>
          </w:tcPr>
          <w:p>
            <w:pPr>
              <w:pStyle w:val="TableParagraph"/>
              <w:spacing w:line="189" w:lineRule="exact" w:before="1"/>
              <w:ind w:right="101"/>
              <w:jc w:val="right"/>
              <w:rPr>
                <w:sz w:val="17"/>
              </w:rPr>
            </w:pPr>
            <w:r>
              <w:rPr>
                <w:w w:val="95"/>
                <w:sz w:val="17"/>
              </w:rPr>
              <w:t>91.117</w:t>
            </w:r>
          </w:p>
        </w:tc>
      </w:tr>
      <w:tr>
        <w:trPr>
          <w:trHeight w:val="222" w:hRule="atLeast"/>
        </w:trPr>
        <w:tc>
          <w:tcPr>
            <w:tcW w:w="4508" w:type="dxa"/>
          </w:tcPr>
          <w:p>
            <w:pPr>
              <w:pStyle w:val="TableParagraph"/>
              <w:spacing w:line="189" w:lineRule="exact" w:before="13"/>
              <w:ind w:left="402"/>
              <w:rPr>
                <w:sz w:val="17"/>
              </w:rPr>
            </w:pPr>
            <w:r>
              <w:rPr>
                <w:sz w:val="17"/>
              </w:rPr>
              <w:t>Resultado de Equivalência Patrimonial</w:t>
            </w:r>
          </w:p>
        </w:tc>
        <w:tc>
          <w:tcPr>
            <w:tcW w:w="1563" w:type="dxa"/>
          </w:tcPr>
          <w:p>
            <w:pPr>
              <w:pStyle w:val="TableParagraph"/>
              <w:spacing w:line="189" w:lineRule="exact" w:before="13"/>
              <w:ind w:right="475"/>
              <w:jc w:val="right"/>
              <w:rPr>
                <w:sz w:val="17"/>
              </w:rPr>
            </w:pPr>
            <w:r>
              <w:rPr>
                <w:w w:val="95"/>
                <w:sz w:val="17"/>
              </w:rPr>
              <w:t>119.255</w:t>
            </w:r>
          </w:p>
        </w:tc>
        <w:tc>
          <w:tcPr>
            <w:tcW w:w="1307" w:type="dxa"/>
          </w:tcPr>
          <w:p>
            <w:pPr>
              <w:pStyle w:val="TableParagraph"/>
              <w:spacing w:line="189" w:lineRule="exact" w:before="13"/>
              <w:ind w:right="331"/>
              <w:jc w:val="right"/>
              <w:rPr>
                <w:sz w:val="17"/>
              </w:rPr>
            </w:pPr>
            <w:r>
              <w:rPr>
                <w:w w:val="95"/>
                <w:sz w:val="17"/>
              </w:rPr>
              <w:t>86.560</w:t>
            </w:r>
          </w:p>
        </w:tc>
        <w:tc>
          <w:tcPr>
            <w:tcW w:w="1392" w:type="dxa"/>
          </w:tcPr>
          <w:p>
            <w:pPr>
              <w:pStyle w:val="TableParagraph"/>
              <w:spacing w:line="189" w:lineRule="exact" w:before="13"/>
              <w:ind w:right="468"/>
              <w:jc w:val="right"/>
              <w:rPr>
                <w:sz w:val="17"/>
              </w:rPr>
            </w:pPr>
            <w:r>
              <w:rPr>
                <w:w w:val="95"/>
                <w:sz w:val="17"/>
              </w:rPr>
              <w:t>28.963</w:t>
            </w:r>
          </w:p>
        </w:tc>
        <w:tc>
          <w:tcPr>
            <w:tcW w:w="1162" w:type="dxa"/>
          </w:tcPr>
          <w:p>
            <w:pPr>
              <w:pStyle w:val="TableParagraph"/>
              <w:spacing w:line="189" w:lineRule="exact" w:before="13"/>
              <w:ind w:right="101"/>
              <w:jc w:val="right"/>
              <w:rPr>
                <w:sz w:val="17"/>
              </w:rPr>
            </w:pPr>
            <w:r>
              <w:rPr>
                <w:w w:val="95"/>
                <w:sz w:val="17"/>
              </w:rPr>
              <w:t>31.673</w:t>
            </w:r>
          </w:p>
        </w:tc>
      </w:tr>
      <w:tr>
        <w:trPr>
          <w:trHeight w:val="433" w:hRule="atLeast"/>
        </w:trPr>
        <w:tc>
          <w:tcPr>
            <w:tcW w:w="4508" w:type="dxa"/>
          </w:tcPr>
          <w:p>
            <w:pPr>
              <w:pStyle w:val="TableParagraph"/>
              <w:spacing w:before="13"/>
              <w:ind w:left="402"/>
              <w:rPr>
                <w:sz w:val="17"/>
              </w:rPr>
            </w:pPr>
            <w:r>
              <w:rPr>
                <w:sz w:val="17"/>
              </w:rPr>
              <w:t>Dividendos Recebidos</w:t>
            </w:r>
          </w:p>
        </w:tc>
        <w:tc>
          <w:tcPr>
            <w:tcW w:w="1563" w:type="dxa"/>
          </w:tcPr>
          <w:p>
            <w:pPr>
              <w:pStyle w:val="TableParagraph"/>
              <w:spacing w:before="13"/>
              <w:ind w:right="474"/>
              <w:jc w:val="right"/>
              <w:rPr>
                <w:sz w:val="17"/>
              </w:rPr>
            </w:pPr>
            <w:r>
              <w:rPr>
                <w:w w:val="95"/>
                <w:sz w:val="17"/>
              </w:rPr>
              <w:t>4.579</w:t>
            </w:r>
          </w:p>
        </w:tc>
        <w:tc>
          <w:tcPr>
            <w:tcW w:w="1307" w:type="dxa"/>
          </w:tcPr>
          <w:p>
            <w:pPr>
              <w:pStyle w:val="TableParagraph"/>
              <w:spacing w:before="13"/>
              <w:ind w:right="331"/>
              <w:jc w:val="right"/>
              <w:rPr>
                <w:sz w:val="17"/>
              </w:rPr>
            </w:pPr>
            <w:r>
              <w:rPr>
                <w:w w:val="95"/>
                <w:sz w:val="17"/>
              </w:rPr>
              <w:t>1.681</w:t>
            </w:r>
          </w:p>
        </w:tc>
        <w:tc>
          <w:tcPr>
            <w:tcW w:w="1392" w:type="dxa"/>
          </w:tcPr>
          <w:p>
            <w:pPr>
              <w:pStyle w:val="TableParagraph"/>
              <w:spacing w:before="13"/>
              <w:ind w:right="468"/>
              <w:jc w:val="right"/>
              <w:rPr>
                <w:sz w:val="17"/>
              </w:rPr>
            </w:pPr>
            <w:r>
              <w:rPr>
                <w:w w:val="95"/>
                <w:sz w:val="17"/>
              </w:rPr>
              <w:t>5.716</w:t>
            </w:r>
          </w:p>
        </w:tc>
        <w:tc>
          <w:tcPr>
            <w:tcW w:w="1162" w:type="dxa"/>
          </w:tcPr>
          <w:p>
            <w:pPr>
              <w:pStyle w:val="TableParagraph"/>
              <w:spacing w:before="13"/>
              <w:ind w:right="100"/>
              <w:jc w:val="right"/>
              <w:rPr>
                <w:sz w:val="17"/>
              </w:rPr>
            </w:pPr>
            <w:r>
              <w:rPr>
                <w:w w:val="95"/>
                <w:sz w:val="17"/>
              </w:rPr>
              <w:t>2.582</w:t>
            </w:r>
          </w:p>
        </w:tc>
      </w:tr>
      <w:tr>
        <w:trPr>
          <w:trHeight w:val="455" w:hRule="atLeast"/>
        </w:trPr>
        <w:tc>
          <w:tcPr>
            <w:tcW w:w="4508" w:type="dxa"/>
          </w:tcPr>
          <w:p>
            <w:pPr>
              <w:pStyle w:val="TableParagraph"/>
              <w:spacing w:before="7"/>
              <w:ind w:left="89"/>
              <w:rPr>
                <w:rFonts w:ascii="Caladea"/>
                <w:b/>
                <w:sz w:val="17"/>
              </w:rPr>
            </w:pPr>
            <w:r>
              <w:rPr>
                <w:rFonts w:ascii="Caladea"/>
                <w:b/>
                <w:sz w:val="17"/>
              </w:rPr>
              <w:t>Valor Adicionado Total a Distribuir</w:t>
            </w:r>
          </w:p>
        </w:tc>
        <w:tc>
          <w:tcPr>
            <w:tcW w:w="5424" w:type="dxa"/>
            <w:gridSpan w:val="4"/>
            <w:tcBorders>
              <w:top w:val="single" w:sz="6" w:space="0" w:color="000000"/>
              <w:bottom w:val="single" w:sz="6" w:space="0" w:color="000000"/>
            </w:tcBorders>
          </w:tcPr>
          <w:p>
            <w:pPr>
              <w:pStyle w:val="TableParagraph"/>
              <w:tabs>
                <w:tab w:pos="417" w:val="left" w:leader="none"/>
                <w:tab w:pos="1868" w:val="left" w:leader="none"/>
                <w:tab w:pos="2979" w:val="left" w:leader="none"/>
                <w:tab w:pos="4508" w:val="left" w:leader="none"/>
              </w:tabs>
              <w:spacing w:before="7"/>
              <w:ind w:left="-1" w:right="-15"/>
              <w:rPr>
                <w:rFonts w:ascii="Caladea"/>
                <w:b/>
                <w:sz w:val="17"/>
              </w:rPr>
            </w:pPr>
            <w:r>
              <w:rPr>
                <w:rFonts w:ascii="Caladea"/>
                <w:b/>
                <w:w w:val="99"/>
                <w:sz w:val="17"/>
                <w:u w:val="double"/>
              </w:rPr>
              <w:t> </w:t>
            </w:r>
            <w:r>
              <w:rPr>
                <w:rFonts w:ascii="Caladea"/>
                <w:b/>
                <w:sz w:val="17"/>
                <w:u w:val="double"/>
              </w:rPr>
              <w:tab/>
            </w:r>
            <w:r>
              <w:rPr>
                <w:rFonts w:ascii="Caladea"/>
                <w:b/>
                <w:spacing w:val="2"/>
                <w:sz w:val="17"/>
                <w:u w:val="double"/>
              </w:rPr>
              <w:t>145.366 </w:t>
              <w:tab/>
              <w:t>113.370 </w:t>
              <w:tab/>
            </w:r>
            <w:r>
              <w:rPr>
                <w:rFonts w:ascii="Caladea"/>
                <w:b/>
                <w:sz w:val="17"/>
                <w:u w:val="double"/>
              </w:rPr>
              <w:t>2.071.063 </w:t>
              <w:tab/>
              <w:t>1.863.446</w:t>
            </w:r>
            <w:r>
              <w:rPr>
                <w:rFonts w:ascii="Caladea"/>
                <w:b/>
                <w:spacing w:val="-2"/>
                <w:sz w:val="17"/>
                <w:u w:val="double"/>
              </w:rPr>
              <w:t> </w:t>
            </w:r>
          </w:p>
        </w:tc>
      </w:tr>
      <w:tr>
        <w:trPr>
          <w:trHeight w:val="455" w:hRule="atLeast"/>
        </w:trPr>
        <w:tc>
          <w:tcPr>
            <w:tcW w:w="4508" w:type="dxa"/>
          </w:tcPr>
          <w:p>
            <w:pPr>
              <w:pStyle w:val="TableParagraph"/>
              <w:spacing w:before="7"/>
              <w:ind w:left="50"/>
              <w:rPr>
                <w:rFonts w:ascii="Caladea" w:hAnsi="Caladea"/>
                <w:b/>
                <w:sz w:val="17"/>
              </w:rPr>
            </w:pPr>
            <w:r>
              <w:rPr>
                <w:rFonts w:ascii="Caladea" w:hAnsi="Caladea"/>
                <w:b/>
                <w:sz w:val="17"/>
              </w:rPr>
              <w:t>Distribuição do Valor Adicionado</w:t>
            </w:r>
          </w:p>
        </w:tc>
        <w:tc>
          <w:tcPr>
            <w:tcW w:w="5424" w:type="dxa"/>
            <w:gridSpan w:val="4"/>
            <w:tcBorders>
              <w:top w:val="single" w:sz="6" w:space="0" w:color="000000"/>
              <w:bottom w:val="single" w:sz="6" w:space="0" w:color="000000"/>
            </w:tcBorders>
          </w:tcPr>
          <w:p>
            <w:pPr>
              <w:pStyle w:val="TableParagraph"/>
              <w:tabs>
                <w:tab w:pos="417" w:val="left" w:leader="none"/>
                <w:tab w:pos="1868" w:val="left" w:leader="none"/>
                <w:tab w:pos="2979" w:val="left" w:leader="none"/>
                <w:tab w:pos="4508" w:val="left" w:leader="none"/>
              </w:tabs>
              <w:spacing w:before="7"/>
              <w:ind w:left="-1" w:right="-15"/>
              <w:rPr>
                <w:rFonts w:ascii="Caladea"/>
                <w:b/>
                <w:sz w:val="17"/>
              </w:rPr>
            </w:pPr>
            <w:r>
              <w:rPr>
                <w:rFonts w:ascii="Caladea"/>
                <w:b/>
                <w:w w:val="99"/>
                <w:sz w:val="17"/>
                <w:u w:val="double"/>
              </w:rPr>
              <w:t> </w:t>
            </w:r>
            <w:r>
              <w:rPr>
                <w:rFonts w:ascii="Caladea"/>
                <w:b/>
                <w:sz w:val="17"/>
                <w:u w:val="double"/>
              </w:rPr>
              <w:tab/>
            </w:r>
            <w:r>
              <w:rPr>
                <w:rFonts w:ascii="Caladea"/>
                <w:b/>
                <w:spacing w:val="2"/>
                <w:sz w:val="17"/>
                <w:u w:val="double"/>
              </w:rPr>
              <w:t>145.366 </w:t>
              <w:tab/>
              <w:t>113.370 </w:t>
              <w:tab/>
            </w:r>
            <w:r>
              <w:rPr>
                <w:rFonts w:ascii="Caladea"/>
                <w:b/>
                <w:sz w:val="17"/>
                <w:u w:val="double"/>
              </w:rPr>
              <w:t>2.071.063 </w:t>
              <w:tab/>
              <w:t>1.863.446</w:t>
            </w:r>
            <w:r>
              <w:rPr>
                <w:rFonts w:ascii="Caladea"/>
                <w:b/>
                <w:spacing w:val="-2"/>
                <w:sz w:val="17"/>
                <w:u w:val="double"/>
              </w:rPr>
              <w:t> </w:t>
            </w:r>
          </w:p>
        </w:tc>
      </w:tr>
      <w:tr>
        <w:trPr>
          <w:trHeight w:val="206" w:hRule="atLeast"/>
        </w:trPr>
        <w:tc>
          <w:tcPr>
            <w:tcW w:w="4508" w:type="dxa"/>
          </w:tcPr>
          <w:p>
            <w:pPr>
              <w:pStyle w:val="TableParagraph"/>
              <w:spacing w:line="179" w:lineRule="exact" w:before="7"/>
              <w:ind w:left="285"/>
              <w:rPr>
                <w:rFonts w:ascii="Caladea"/>
                <w:b/>
                <w:sz w:val="17"/>
              </w:rPr>
            </w:pPr>
            <w:r>
              <w:rPr>
                <w:rFonts w:ascii="Caladea"/>
                <w:b/>
                <w:sz w:val="17"/>
              </w:rPr>
              <w:t>Empregados</w:t>
            </w:r>
          </w:p>
        </w:tc>
        <w:tc>
          <w:tcPr>
            <w:tcW w:w="5424" w:type="dxa"/>
            <w:gridSpan w:val="4"/>
            <w:tcBorders>
              <w:top w:val="single" w:sz="6" w:space="0" w:color="000000"/>
            </w:tcBorders>
          </w:tcPr>
          <w:p>
            <w:pPr>
              <w:pStyle w:val="TableParagraph"/>
              <w:tabs>
                <w:tab w:pos="626" w:val="left" w:leader="none"/>
                <w:tab w:pos="1972" w:val="left" w:leader="none"/>
                <w:tab w:pos="3123" w:val="left" w:leader="none"/>
                <w:tab w:pos="4652" w:val="left" w:leader="none"/>
              </w:tabs>
              <w:spacing w:line="179" w:lineRule="exact" w:before="7"/>
              <w:ind w:left="-1" w:right="-15"/>
              <w:rPr>
                <w:rFonts w:ascii="Caladea"/>
                <w:b/>
                <w:sz w:val="17"/>
              </w:rPr>
            </w:pPr>
            <w:r>
              <w:rPr>
                <w:rFonts w:ascii="Caladea"/>
                <w:b/>
                <w:w w:val="99"/>
                <w:sz w:val="17"/>
                <w:u w:val="single"/>
              </w:rPr>
              <w:t> </w:t>
            </w:r>
            <w:r>
              <w:rPr>
                <w:rFonts w:ascii="Caladea"/>
                <w:b/>
                <w:sz w:val="17"/>
                <w:u w:val="single"/>
              </w:rPr>
              <w:tab/>
              <w:t>9.827 </w:t>
              <w:tab/>
              <w:t>12.012 </w:t>
              <w:tab/>
            </w:r>
            <w:r>
              <w:rPr>
                <w:rFonts w:ascii="Caladea"/>
                <w:b/>
                <w:spacing w:val="2"/>
                <w:sz w:val="17"/>
                <w:u w:val="single"/>
              </w:rPr>
              <w:t>192.056 </w:t>
              <w:tab/>
              <w:t>184.946</w:t>
            </w:r>
            <w:r>
              <w:rPr>
                <w:rFonts w:ascii="Caladea"/>
                <w:b/>
                <w:spacing w:val="-2"/>
                <w:sz w:val="17"/>
                <w:u w:val="single"/>
              </w:rPr>
              <w:t> </w:t>
            </w:r>
          </w:p>
        </w:tc>
      </w:tr>
      <w:tr>
        <w:trPr>
          <w:trHeight w:val="233" w:hRule="atLeast"/>
        </w:trPr>
        <w:tc>
          <w:tcPr>
            <w:tcW w:w="4508" w:type="dxa"/>
          </w:tcPr>
          <w:p>
            <w:pPr>
              <w:pStyle w:val="TableParagraph"/>
              <w:spacing w:line="189" w:lineRule="exact" w:before="25"/>
              <w:ind w:left="402"/>
              <w:rPr>
                <w:sz w:val="17"/>
              </w:rPr>
            </w:pPr>
            <w:r>
              <w:rPr>
                <w:sz w:val="17"/>
              </w:rPr>
              <w:t>Remuneração Direta</w:t>
            </w:r>
          </w:p>
        </w:tc>
        <w:tc>
          <w:tcPr>
            <w:tcW w:w="1563" w:type="dxa"/>
          </w:tcPr>
          <w:p>
            <w:pPr>
              <w:pStyle w:val="TableParagraph"/>
              <w:spacing w:line="189" w:lineRule="exact" w:before="25"/>
              <w:ind w:right="474"/>
              <w:jc w:val="right"/>
              <w:rPr>
                <w:sz w:val="17"/>
              </w:rPr>
            </w:pPr>
            <w:r>
              <w:rPr>
                <w:w w:val="95"/>
                <w:sz w:val="17"/>
              </w:rPr>
              <w:t>9.383</w:t>
            </w:r>
          </w:p>
        </w:tc>
        <w:tc>
          <w:tcPr>
            <w:tcW w:w="1307" w:type="dxa"/>
          </w:tcPr>
          <w:p>
            <w:pPr>
              <w:pStyle w:val="TableParagraph"/>
              <w:spacing w:line="189" w:lineRule="exact" w:before="25"/>
              <w:ind w:right="331"/>
              <w:jc w:val="right"/>
              <w:rPr>
                <w:sz w:val="17"/>
              </w:rPr>
            </w:pPr>
            <w:r>
              <w:rPr>
                <w:w w:val="95"/>
                <w:sz w:val="17"/>
              </w:rPr>
              <w:t>11.593</w:t>
            </w:r>
          </w:p>
        </w:tc>
        <w:tc>
          <w:tcPr>
            <w:tcW w:w="1392" w:type="dxa"/>
          </w:tcPr>
          <w:p>
            <w:pPr>
              <w:pStyle w:val="TableParagraph"/>
              <w:spacing w:line="189" w:lineRule="exact" w:before="25"/>
              <w:ind w:right="468"/>
              <w:jc w:val="right"/>
              <w:rPr>
                <w:sz w:val="17"/>
              </w:rPr>
            </w:pPr>
            <w:r>
              <w:rPr>
                <w:w w:val="95"/>
                <w:sz w:val="17"/>
              </w:rPr>
              <w:t>146.998</w:t>
            </w:r>
          </w:p>
        </w:tc>
        <w:tc>
          <w:tcPr>
            <w:tcW w:w="1162" w:type="dxa"/>
          </w:tcPr>
          <w:p>
            <w:pPr>
              <w:pStyle w:val="TableParagraph"/>
              <w:spacing w:line="189" w:lineRule="exact" w:before="25"/>
              <w:ind w:right="101"/>
              <w:jc w:val="right"/>
              <w:rPr>
                <w:sz w:val="17"/>
              </w:rPr>
            </w:pPr>
            <w:r>
              <w:rPr>
                <w:w w:val="95"/>
                <w:sz w:val="17"/>
              </w:rPr>
              <w:t>135.362</w:t>
            </w:r>
          </w:p>
        </w:tc>
      </w:tr>
      <w:tr>
        <w:trPr>
          <w:trHeight w:val="222" w:hRule="atLeast"/>
        </w:trPr>
        <w:tc>
          <w:tcPr>
            <w:tcW w:w="4508" w:type="dxa"/>
          </w:tcPr>
          <w:p>
            <w:pPr>
              <w:pStyle w:val="TableParagraph"/>
              <w:spacing w:line="189" w:lineRule="exact" w:before="13"/>
              <w:ind w:left="402"/>
              <w:rPr>
                <w:sz w:val="17"/>
              </w:rPr>
            </w:pPr>
            <w:r>
              <w:rPr>
                <w:sz w:val="17"/>
              </w:rPr>
              <w:t>FGTS</w:t>
            </w:r>
          </w:p>
        </w:tc>
        <w:tc>
          <w:tcPr>
            <w:tcW w:w="1563" w:type="dxa"/>
          </w:tcPr>
          <w:p>
            <w:pPr>
              <w:pStyle w:val="TableParagraph"/>
              <w:spacing w:line="189" w:lineRule="exact" w:before="13"/>
              <w:ind w:right="477"/>
              <w:jc w:val="right"/>
              <w:rPr>
                <w:sz w:val="17"/>
              </w:rPr>
            </w:pPr>
            <w:r>
              <w:rPr>
                <w:w w:val="105"/>
                <w:sz w:val="17"/>
              </w:rPr>
              <w:t>172</w:t>
            </w:r>
          </w:p>
        </w:tc>
        <w:tc>
          <w:tcPr>
            <w:tcW w:w="1307" w:type="dxa"/>
          </w:tcPr>
          <w:p>
            <w:pPr>
              <w:pStyle w:val="TableParagraph"/>
              <w:spacing w:line="189" w:lineRule="exact" w:before="13"/>
              <w:ind w:right="333"/>
              <w:jc w:val="right"/>
              <w:rPr>
                <w:sz w:val="17"/>
              </w:rPr>
            </w:pPr>
            <w:r>
              <w:rPr>
                <w:w w:val="105"/>
                <w:sz w:val="17"/>
              </w:rPr>
              <w:t>235</w:t>
            </w:r>
          </w:p>
        </w:tc>
        <w:tc>
          <w:tcPr>
            <w:tcW w:w="1392" w:type="dxa"/>
          </w:tcPr>
          <w:p>
            <w:pPr>
              <w:pStyle w:val="TableParagraph"/>
              <w:spacing w:line="189" w:lineRule="exact" w:before="13"/>
              <w:ind w:right="468"/>
              <w:jc w:val="right"/>
              <w:rPr>
                <w:sz w:val="17"/>
              </w:rPr>
            </w:pPr>
            <w:r>
              <w:rPr>
                <w:w w:val="95"/>
                <w:sz w:val="17"/>
              </w:rPr>
              <w:t>16.815</w:t>
            </w:r>
          </w:p>
        </w:tc>
        <w:tc>
          <w:tcPr>
            <w:tcW w:w="1162" w:type="dxa"/>
          </w:tcPr>
          <w:p>
            <w:pPr>
              <w:pStyle w:val="TableParagraph"/>
              <w:spacing w:line="189" w:lineRule="exact" w:before="13"/>
              <w:ind w:right="101"/>
              <w:jc w:val="right"/>
              <w:rPr>
                <w:sz w:val="17"/>
              </w:rPr>
            </w:pPr>
            <w:r>
              <w:rPr>
                <w:w w:val="95"/>
                <w:sz w:val="17"/>
              </w:rPr>
              <w:t>11.945</w:t>
            </w:r>
          </w:p>
        </w:tc>
      </w:tr>
      <w:tr>
        <w:trPr>
          <w:trHeight w:val="222" w:hRule="atLeast"/>
        </w:trPr>
        <w:tc>
          <w:tcPr>
            <w:tcW w:w="4508" w:type="dxa"/>
          </w:tcPr>
          <w:p>
            <w:pPr>
              <w:pStyle w:val="TableParagraph"/>
              <w:spacing w:line="189" w:lineRule="exact" w:before="13"/>
              <w:ind w:left="402"/>
              <w:rPr>
                <w:sz w:val="17"/>
              </w:rPr>
            </w:pPr>
            <w:r>
              <w:rPr>
                <w:sz w:val="17"/>
              </w:rPr>
              <w:t>Benefícios</w:t>
            </w:r>
          </w:p>
        </w:tc>
        <w:tc>
          <w:tcPr>
            <w:tcW w:w="1563" w:type="dxa"/>
          </w:tcPr>
          <w:p>
            <w:pPr>
              <w:pStyle w:val="TableParagraph"/>
              <w:spacing w:line="189" w:lineRule="exact" w:before="13"/>
              <w:ind w:right="477"/>
              <w:jc w:val="right"/>
              <w:rPr>
                <w:sz w:val="17"/>
              </w:rPr>
            </w:pPr>
            <w:r>
              <w:rPr>
                <w:w w:val="105"/>
                <w:sz w:val="17"/>
              </w:rPr>
              <w:t>272</w:t>
            </w:r>
          </w:p>
        </w:tc>
        <w:tc>
          <w:tcPr>
            <w:tcW w:w="1307" w:type="dxa"/>
          </w:tcPr>
          <w:p>
            <w:pPr>
              <w:pStyle w:val="TableParagraph"/>
              <w:spacing w:line="189" w:lineRule="exact" w:before="13"/>
              <w:ind w:right="333"/>
              <w:jc w:val="right"/>
              <w:rPr>
                <w:sz w:val="17"/>
              </w:rPr>
            </w:pPr>
            <w:r>
              <w:rPr>
                <w:w w:val="105"/>
                <w:sz w:val="17"/>
              </w:rPr>
              <w:t>100</w:t>
            </w:r>
          </w:p>
        </w:tc>
        <w:tc>
          <w:tcPr>
            <w:tcW w:w="1392" w:type="dxa"/>
          </w:tcPr>
          <w:p>
            <w:pPr>
              <w:pStyle w:val="TableParagraph"/>
              <w:spacing w:line="189" w:lineRule="exact" w:before="13"/>
              <w:ind w:right="468"/>
              <w:jc w:val="right"/>
              <w:rPr>
                <w:sz w:val="17"/>
              </w:rPr>
            </w:pPr>
            <w:r>
              <w:rPr>
                <w:w w:val="95"/>
                <w:sz w:val="17"/>
              </w:rPr>
              <w:t>28.243</w:t>
            </w:r>
          </w:p>
        </w:tc>
        <w:tc>
          <w:tcPr>
            <w:tcW w:w="1162" w:type="dxa"/>
          </w:tcPr>
          <w:p>
            <w:pPr>
              <w:pStyle w:val="TableParagraph"/>
              <w:spacing w:line="189" w:lineRule="exact" w:before="13"/>
              <w:ind w:right="101"/>
              <w:jc w:val="right"/>
              <w:rPr>
                <w:sz w:val="17"/>
              </w:rPr>
            </w:pPr>
            <w:r>
              <w:rPr>
                <w:w w:val="95"/>
                <w:sz w:val="17"/>
              </w:rPr>
              <w:t>33.633</w:t>
            </w:r>
          </w:p>
        </w:tc>
      </w:tr>
      <w:tr>
        <w:trPr>
          <w:trHeight w:val="210" w:hRule="atLeast"/>
        </w:trPr>
        <w:tc>
          <w:tcPr>
            <w:tcW w:w="4508" w:type="dxa"/>
          </w:tcPr>
          <w:p>
            <w:pPr>
              <w:pStyle w:val="TableParagraph"/>
              <w:spacing w:line="177" w:lineRule="exact" w:before="13"/>
              <w:ind w:left="402"/>
              <w:rPr>
                <w:sz w:val="17"/>
              </w:rPr>
            </w:pPr>
            <w:r>
              <w:rPr>
                <w:sz w:val="17"/>
              </w:rPr>
              <w:t>Participação nos Lucros e Resultados</w:t>
            </w:r>
          </w:p>
        </w:tc>
        <w:tc>
          <w:tcPr>
            <w:tcW w:w="1563" w:type="dxa"/>
          </w:tcPr>
          <w:p>
            <w:pPr>
              <w:pStyle w:val="TableParagraph"/>
              <w:rPr>
                <w:rFonts w:ascii="Times New Roman"/>
                <w:sz w:val="14"/>
              </w:rPr>
            </w:pPr>
          </w:p>
        </w:tc>
        <w:tc>
          <w:tcPr>
            <w:tcW w:w="1307" w:type="dxa"/>
          </w:tcPr>
          <w:p>
            <w:pPr>
              <w:pStyle w:val="TableParagraph"/>
              <w:spacing w:line="177" w:lineRule="exact" w:before="13"/>
              <w:ind w:right="332"/>
              <w:jc w:val="right"/>
              <w:rPr>
                <w:sz w:val="17"/>
              </w:rPr>
            </w:pPr>
            <w:r>
              <w:rPr>
                <w:w w:val="105"/>
                <w:sz w:val="17"/>
              </w:rPr>
              <w:t>84</w:t>
            </w:r>
          </w:p>
        </w:tc>
        <w:tc>
          <w:tcPr>
            <w:tcW w:w="1392" w:type="dxa"/>
          </w:tcPr>
          <w:p>
            <w:pPr>
              <w:pStyle w:val="TableParagraph"/>
              <w:rPr>
                <w:rFonts w:ascii="Times New Roman"/>
                <w:sz w:val="14"/>
              </w:rPr>
            </w:pPr>
          </w:p>
        </w:tc>
        <w:tc>
          <w:tcPr>
            <w:tcW w:w="1162" w:type="dxa"/>
          </w:tcPr>
          <w:p>
            <w:pPr>
              <w:pStyle w:val="TableParagraph"/>
              <w:spacing w:line="177" w:lineRule="exact" w:before="13"/>
              <w:ind w:right="100"/>
              <w:jc w:val="right"/>
              <w:rPr>
                <w:sz w:val="17"/>
              </w:rPr>
            </w:pPr>
            <w:r>
              <w:rPr>
                <w:w w:val="95"/>
                <w:sz w:val="17"/>
              </w:rPr>
              <w:t>4.006</w:t>
            </w:r>
          </w:p>
        </w:tc>
      </w:tr>
      <w:tr>
        <w:trPr>
          <w:trHeight w:val="444" w:hRule="atLeast"/>
        </w:trPr>
        <w:tc>
          <w:tcPr>
            <w:tcW w:w="9932" w:type="dxa"/>
            <w:gridSpan w:val="5"/>
          </w:tcPr>
          <w:p>
            <w:pPr>
              <w:pStyle w:val="TableParagraph"/>
              <w:rPr>
                <w:rFonts w:ascii="Caladea"/>
                <w:b/>
                <w:sz w:val="19"/>
              </w:rPr>
            </w:pPr>
          </w:p>
          <w:p>
            <w:pPr>
              <w:pStyle w:val="TableParagraph"/>
              <w:spacing w:line="20" w:lineRule="exact"/>
              <w:ind w:left="4507" w:right="-58"/>
              <w:rPr>
                <w:rFonts w:ascii="Caladea"/>
                <w:sz w:val="2"/>
              </w:rPr>
            </w:pPr>
            <w:r>
              <w:rPr>
                <w:rFonts w:ascii="Caladea"/>
                <w:sz w:val="2"/>
              </w:rPr>
              <w:pict>
                <v:group style="width:271.25pt;height:.7pt;mso-position-horizontal-relative:char;mso-position-vertical-relative:line" coordorigin="0,0" coordsize="5425,14">
                  <v:line style="position:absolute" from="7,7" to="1183,7" stroked="true" strokeweight=".653005pt" strokecolor="#000000">
                    <v:stroke dashstyle="solid"/>
                  </v:line>
                  <v:rect style="position:absolute;left:0;top:0;width:1190;height:14" filled="true" fillcolor="#000000" stroked="false">
                    <v:fill type="solid"/>
                  </v:rect>
                  <v:line style="position:absolute" from="1261,7" to="2633,7" stroked="true" strokeweight=".653005pt" strokecolor="#000000">
                    <v:stroke dashstyle="solid"/>
                  </v:line>
                  <v:rect style="position:absolute;left:1254;top:0;width:1386;height:14" filled="true" fillcolor="#000000" stroked="false">
                    <v:fill type="solid"/>
                  </v:rect>
                  <v:line style="position:absolute" from="2712,7" to="3888,7" stroked="true" strokeweight=".653005pt" strokecolor="#000000">
                    <v:stroke dashstyle="solid"/>
                  </v:line>
                  <v:rect style="position:absolute;left:2705;top:0;width:1190;height:14" filled="true" fillcolor="#000000" stroked="false">
                    <v:fill type="solid"/>
                  </v:rect>
                  <v:line style="position:absolute" from="3967,7" to="5418,7" stroked="true" strokeweight=".653005pt" strokecolor="#000000">
                    <v:stroke dashstyle="solid"/>
                  </v:line>
                  <v:rect style="position:absolute;left:3960;top:0;width:1465;height:14" filled="true" fillcolor="#000000" stroked="false">
                    <v:fill type="solid"/>
                  </v:rect>
                </v:group>
              </w:pict>
            </w:r>
            <w:r>
              <w:rPr>
                <w:rFonts w:ascii="Caladea"/>
                <w:sz w:val="2"/>
              </w:rPr>
            </w:r>
          </w:p>
          <w:p>
            <w:pPr>
              <w:pStyle w:val="TableParagraph"/>
              <w:tabs>
                <w:tab w:pos="4507" w:val="left" w:leader="none"/>
                <w:tab w:pos="5030" w:val="left" w:leader="none"/>
                <w:tab w:pos="6480" w:val="left" w:leader="none"/>
                <w:tab w:pos="7487" w:val="left" w:leader="none"/>
                <w:tab w:pos="9016" w:val="left" w:leader="none"/>
              </w:tabs>
              <w:spacing w:line="179" w:lineRule="exact" w:before="2"/>
              <w:ind w:left="285" w:right="-15"/>
              <w:rPr>
                <w:rFonts w:ascii="Caladea" w:hAnsi="Caladea"/>
                <w:b/>
                <w:sz w:val="17"/>
              </w:rPr>
            </w:pPr>
            <w:r>
              <w:rPr>
                <w:rFonts w:ascii="Caladea" w:hAnsi="Caladea"/>
                <w:b/>
                <w:sz w:val="17"/>
              </w:rPr>
              <w:t>Impostos, Taxas</w:t>
            </w:r>
            <w:r>
              <w:rPr>
                <w:rFonts w:ascii="Caladea" w:hAnsi="Caladea"/>
                <w:b/>
                <w:spacing w:val="-5"/>
                <w:sz w:val="17"/>
              </w:rPr>
              <w:t> </w:t>
            </w:r>
            <w:r>
              <w:rPr>
                <w:rFonts w:ascii="Caladea" w:hAnsi="Caladea"/>
                <w:b/>
                <w:sz w:val="17"/>
              </w:rPr>
              <w:t>e</w:t>
            </w:r>
            <w:r>
              <w:rPr>
                <w:rFonts w:ascii="Caladea" w:hAnsi="Caladea"/>
                <w:b/>
                <w:spacing w:val="-2"/>
                <w:sz w:val="17"/>
              </w:rPr>
              <w:t> </w:t>
            </w:r>
            <w:r>
              <w:rPr>
                <w:rFonts w:ascii="Caladea" w:hAnsi="Caladea"/>
                <w:b/>
                <w:sz w:val="17"/>
              </w:rPr>
              <w:t>Contribuições</w:t>
              <w:tab/>
            </w:r>
            <w:r>
              <w:rPr>
                <w:rFonts w:ascii="Caladea" w:hAnsi="Caladea"/>
                <w:b/>
                <w:sz w:val="17"/>
                <w:u w:val="single"/>
              </w:rPr>
              <w:t> </w:t>
              <w:tab/>
              <w:t>12.796 </w:t>
              <w:tab/>
              <w:t>11.071 </w:t>
              <w:tab/>
              <w:t>1.537.078 </w:t>
              <w:tab/>
              <w:t>1.334.830</w:t>
            </w:r>
            <w:r>
              <w:rPr>
                <w:rFonts w:ascii="Caladea" w:hAnsi="Caladea"/>
                <w:b/>
                <w:spacing w:val="-2"/>
                <w:sz w:val="17"/>
                <w:u w:val="single"/>
              </w:rPr>
              <w:t> </w:t>
            </w:r>
          </w:p>
        </w:tc>
      </w:tr>
      <w:tr>
        <w:trPr>
          <w:trHeight w:val="233" w:hRule="atLeast"/>
        </w:trPr>
        <w:tc>
          <w:tcPr>
            <w:tcW w:w="4508" w:type="dxa"/>
          </w:tcPr>
          <w:p>
            <w:pPr>
              <w:pStyle w:val="TableParagraph"/>
              <w:spacing w:line="189" w:lineRule="exact" w:before="24"/>
              <w:ind w:left="402"/>
              <w:rPr>
                <w:sz w:val="17"/>
              </w:rPr>
            </w:pPr>
            <w:r>
              <w:rPr>
                <w:sz w:val="17"/>
              </w:rPr>
              <w:t>Federal</w:t>
            </w:r>
          </w:p>
        </w:tc>
        <w:tc>
          <w:tcPr>
            <w:tcW w:w="1563" w:type="dxa"/>
          </w:tcPr>
          <w:p>
            <w:pPr>
              <w:pStyle w:val="TableParagraph"/>
              <w:spacing w:line="189" w:lineRule="exact" w:before="24"/>
              <w:ind w:right="475"/>
              <w:jc w:val="right"/>
              <w:rPr>
                <w:sz w:val="17"/>
              </w:rPr>
            </w:pPr>
            <w:r>
              <w:rPr>
                <w:w w:val="95"/>
                <w:sz w:val="17"/>
              </w:rPr>
              <w:t>11.434</w:t>
            </w:r>
          </w:p>
        </w:tc>
        <w:tc>
          <w:tcPr>
            <w:tcW w:w="1307" w:type="dxa"/>
          </w:tcPr>
          <w:p>
            <w:pPr>
              <w:pStyle w:val="TableParagraph"/>
              <w:spacing w:line="189" w:lineRule="exact" w:before="24"/>
              <w:ind w:right="331"/>
              <w:jc w:val="right"/>
              <w:rPr>
                <w:sz w:val="17"/>
              </w:rPr>
            </w:pPr>
            <w:r>
              <w:rPr>
                <w:w w:val="95"/>
                <w:sz w:val="17"/>
              </w:rPr>
              <w:t>9.419</w:t>
            </w:r>
          </w:p>
        </w:tc>
        <w:tc>
          <w:tcPr>
            <w:tcW w:w="1392" w:type="dxa"/>
          </w:tcPr>
          <w:p>
            <w:pPr>
              <w:pStyle w:val="TableParagraph"/>
              <w:spacing w:line="189" w:lineRule="exact" w:before="24"/>
              <w:ind w:right="468"/>
              <w:jc w:val="right"/>
              <w:rPr>
                <w:sz w:val="17"/>
              </w:rPr>
            </w:pPr>
            <w:r>
              <w:rPr>
                <w:w w:val="95"/>
                <w:sz w:val="17"/>
              </w:rPr>
              <w:t>740.435</w:t>
            </w:r>
          </w:p>
        </w:tc>
        <w:tc>
          <w:tcPr>
            <w:tcW w:w="1162" w:type="dxa"/>
          </w:tcPr>
          <w:p>
            <w:pPr>
              <w:pStyle w:val="TableParagraph"/>
              <w:spacing w:line="189" w:lineRule="exact" w:before="24"/>
              <w:ind w:right="101"/>
              <w:jc w:val="right"/>
              <w:rPr>
                <w:sz w:val="17"/>
              </w:rPr>
            </w:pPr>
            <w:r>
              <w:rPr>
                <w:w w:val="95"/>
                <w:sz w:val="17"/>
              </w:rPr>
              <w:t>608.584</w:t>
            </w:r>
          </w:p>
        </w:tc>
      </w:tr>
      <w:tr>
        <w:trPr>
          <w:trHeight w:val="210" w:hRule="atLeast"/>
        </w:trPr>
        <w:tc>
          <w:tcPr>
            <w:tcW w:w="4508" w:type="dxa"/>
          </w:tcPr>
          <w:p>
            <w:pPr>
              <w:pStyle w:val="TableParagraph"/>
              <w:spacing w:line="177" w:lineRule="exact" w:before="13"/>
              <w:ind w:left="402"/>
              <w:rPr>
                <w:sz w:val="17"/>
              </w:rPr>
            </w:pPr>
            <w:r>
              <w:rPr>
                <w:sz w:val="17"/>
              </w:rPr>
              <w:t>Estadual e Municipal</w:t>
            </w:r>
          </w:p>
        </w:tc>
        <w:tc>
          <w:tcPr>
            <w:tcW w:w="1563" w:type="dxa"/>
          </w:tcPr>
          <w:p>
            <w:pPr>
              <w:pStyle w:val="TableParagraph"/>
              <w:spacing w:line="177" w:lineRule="exact" w:before="13"/>
              <w:ind w:right="474"/>
              <w:jc w:val="right"/>
              <w:rPr>
                <w:sz w:val="17"/>
              </w:rPr>
            </w:pPr>
            <w:r>
              <w:rPr>
                <w:w w:val="95"/>
                <w:sz w:val="17"/>
              </w:rPr>
              <w:t>1.362</w:t>
            </w:r>
          </w:p>
        </w:tc>
        <w:tc>
          <w:tcPr>
            <w:tcW w:w="1307" w:type="dxa"/>
          </w:tcPr>
          <w:p>
            <w:pPr>
              <w:pStyle w:val="TableParagraph"/>
              <w:spacing w:line="177" w:lineRule="exact" w:before="13"/>
              <w:ind w:right="331"/>
              <w:jc w:val="right"/>
              <w:rPr>
                <w:sz w:val="17"/>
              </w:rPr>
            </w:pPr>
            <w:r>
              <w:rPr>
                <w:w w:val="95"/>
                <w:sz w:val="17"/>
              </w:rPr>
              <w:t>1.652</w:t>
            </w:r>
          </w:p>
        </w:tc>
        <w:tc>
          <w:tcPr>
            <w:tcW w:w="1392" w:type="dxa"/>
          </w:tcPr>
          <w:p>
            <w:pPr>
              <w:pStyle w:val="TableParagraph"/>
              <w:spacing w:line="177" w:lineRule="exact" w:before="13"/>
              <w:ind w:right="468"/>
              <w:jc w:val="right"/>
              <w:rPr>
                <w:sz w:val="17"/>
              </w:rPr>
            </w:pPr>
            <w:r>
              <w:rPr>
                <w:w w:val="95"/>
                <w:sz w:val="17"/>
              </w:rPr>
              <w:t>796.643</w:t>
            </w:r>
          </w:p>
        </w:tc>
        <w:tc>
          <w:tcPr>
            <w:tcW w:w="1162" w:type="dxa"/>
          </w:tcPr>
          <w:p>
            <w:pPr>
              <w:pStyle w:val="TableParagraph"/>
              <w:spacing w:line="177" w:lineRule="exact" w:before="13"/>
              <w:ind w:right="101"/>
              <w:jc w:val="right"/>
              <w:rPr>
                <w:sz w:val="17"/>
              </w:rPr>
            </w:pPr>
            <w:r>
              <w:rPr>
                <w:w w:val="95"/>
                <w:sz w:val="17"/>
              </w:rPr>
              <w:t>726.246</w:t>
            </w:r>
          </w:p>
        </w:tc>
      </w:tr>
      <w:tr>
        <w:trPr>
          <w:trHeight w:val="444" w:hRule="atLeast"/>
        </w:trPr>
        <w:tc>
          <w:tcPr>
            <w:tcW w:w="9932" w:type="dxa"/>
            <w:gridSpan w:val="5"/>
          </w:tcPr>
          <w:p>
            <w:pPr>
              <w:pStyle w:val="TableParagraph"/>
              <w:rPr>
                <w:rFonts w:ascii="Caladea"/>
                <w:b/>
                <w:sz w:val="19"/>
              </w:rPr>
            </w:pPr>
          </w:p>
          <w:p>
            <w:pPr>
              <w:pStyle w:val="TableParagraph"/>
              <w:spacing w:line="20" w:lineRule="exact"/>
              <w:ind w:left="4507" w:right="-58"/>
              <w:rPr>
                <w:rFonts w:ascii="Caladea"/>
                <w:sz w:val="2"/>
              </w:rPr>
            </w:pPr>
            <w:r>
              <w:rPr>
                <w:rFonts w:ascii="Caladea"/>
                <w:sz w:val="2"/>
              </w:rPr>
              <w:pict>
                <v:group style="width:271.25pt;height:.7pt;mso-position-horizontal-relative:char;mso-position-vertical-relative:line" coordorigin="0,0" coordsize="5425,14">
                  <v:line style="position:absolute" from="7,7" to="1183,7" stroked="true" strokeweight=".653005pt" strokecolor="#000000">
                    <v:stroke dashstyle="solid"/>
                  </v:line>
                  <v:rect style="position:absolute;left:0;top:0;width:1190;height:14" filled="true" fillcolor="#000000" stroked="false">
                    <v:fill type="solid"/>
                  </v:rect>
                  <v:line style="position:absolute" from="1261,7" to="2633,7" stroked="true" strokeweight=".653005pt" strokecolor="#000000">
                    <v:stroke dashstyle="solid"/>
                  </v:line>
                  <v:rect style="position:absolute;left:1254;top:0;width:1386;height:14" filled="true" fillcolor="#000000" stroked="false">
                    <v:fill type="solid"/>
                  </v:rect>
                  <v:line style="position:absolute" from="2712,7" to="3888,7" stroked="true" strokeweight=".653005pt" strokecolor="#000000">
                    <v:stroke dashstyle="solid"/>
                  </v:line>
                  <v:rect style="position:absolute;left:2705;top:0;width:1190;height:14" filled="true" fillcolor="#000000" stroked="false">
                    <v:fill type="solid"/>
                  </v:rect>
                  <v:line style="position:absolute" from="3967,7" to="5418,7" stroked="true" strokeweight=".653005pt" strokecolor="#000000">
                    <v:stroke dashstyle="solid"/>
                  </v:line>
                  <v:rect style="position:absolute;left:3960;top:0;width:1465;height:14" filled="true" fillcolor="#000000" stroked="false">
                    <v:fill type="solid"/>
                  </v:rect>
                </v:group>
              </w:pict>
            </w:r>
            <w:r>
              <w:rPr>
                <w:rFonts w:ascii="Caladea"/>
                <w:sz w:val="2"/>
              </w:rPr>
            </w:r>
          </w:p>
          <w:p>
            <w:pPr>
              <w:pStyle w:val="TableParagraph"/>
              <w:tabs>
                <w:tab w:pos="4507" w:val="left" w:leader="none"/>
                <w:tab w:pos="5134" w:val="left" w:leader="none"/>
                <w:tab w:pos="6729" w:val="left" w:leader="none"/>
                <w:tab w:pos="7631" w:val="left" w:leader="none"/>
                <w:tab w:pos="9160" w:val="left" w:leader="none"/>
              </w:tabs>
              <w:spacing w:line="179" w:lineRule="exact" w:before="2"/>
              <w:ind w:left="285" w:right="-15"/>
              <w:rPr>
                <w:rFonts w:ascii="Caladea" w:hAnsi="Caladea"/>
                <w:b/>
                <w:sz w:val="17"/>
              </w:rPr>
            </w:pPr>
            <w:r>
              <w:rPr>
                <w:rFonts w:ascii="Caladea" w:hAnsi="Caladea"/>
                <w:b/>
                <w:sz w:val="17"/>
              </w:rPr>
              <w:t>Remuneração de Capitais</w:t>
            </w:r>
            <w:r>
              <w:rPr>
                <w:rFonts w:ascii="Caladea" w:hAnsi="Caladea"/>
                <w:b/>
                <w:spacing w:val="-6"/>
                <w:sz w:val="17"/>
              </w:rPr>
              <w:t> </w:t>
            </w:r>
            <w:r>
              <w:rPr>
                <w:rFonts w:ascii="Caladea" w:hAnsi="Caladea"/>
                <w:b/>
                <w:sz w:val="17"/>
              </w:rPr>
              <w:t>de</w:t>
            </w:r>
            <w:r>
              <w:rPr>
                <w:rFonts w:ascii="Caladea" w:hAnsi="Caladea"/>
                <w:b/>
                <w:spacing w:val="1"/>
                <w:sz w:val="17"/>
              </w:rPr>
              <w:t> </w:t>
            </w:r>
            <w:r>
              <w:rPr>
                <w:rFonts w:ascii="Caladea" w:hAnsi="Caladea"/>
                <w:b/>
                <w:sz w:val="17"/>
              </w:rPr>
              <w:t>Terceiros</w:t>
              <w:tab/>
            </w:r>
            <w:r>
              <w:rPr>
                <w:rFonts w:ascii="Caladea" w:hAnsi="Caladea"/>
                <w:b/>
                <w:sz w:val="17"/>
                <w:u w:val="single"/>
              </w:rPr>
              <w:t> </w:t>
              <w:tab/>
              <w:t>3.696 </w:t>
              <w:tab/>
              <w:t>315 </w:t>
              <w:tab/>
            </w:r>
            <w:r>
              <w:rPr>
                <w:rFonts w:ascii="Caladea" w:hAnsi="Caladea"/>
                <w:b/>
                <w:spacing w:val="2"/>
                <w:sz w:val="17"/>
                <w:u w:val="single"/>
              </w:rPr>
              <w:t>185.301 </w:t>
              <w:tab/>
              <w:t>227.960</w:t>
            </w:r>
            <w:r>
              <w:rPr>
                <w:rFonts w:ascii="Caladea" w:hAnsi="Caladea"/>
                <w:b/>
                <w:spacing w:val="-2"/>
                <w:sz w:val="17"/>
                <w:u w:val="single"/>
              </w:rPr>
              <w:t> </w:t>
            </w:r>
          </w:p>
        </w:tc>
      </w:tr>
      <w:tr>
        <w:trPr>
          <w:trHeight w:val="233" w:hRule="atLeast"/>
        </w:trPr>
        <w:tc>
          <w:tcPr>
            <w:tcW w:w="4508" w:type="dxa"/>
          </w:tcPr>
          <w:p>
            <w:pPr>
              <w:pStyle w:val="TableParagraph"/>
              <w:spacing w:line="189" w:lineRule="exact" w:before="24"/>
              <w:ind w:left="402"/>
              <w:rPr>
                <w:sz w:val="17"/>
              </w:rPr>
            </w:pPr>
            <w:r>
              <w:rPr>
                <w:sz w:val="17"/>
              </w:rPr>
              <w:t>Aluguéis</w:t>
            </w:r>
          </w:p>
        </w:tc>
        <w:tc>
          <w:tcPr>
            <w:tcW w:w="1563" w:type="dxa"/>
          </w:tcPr>
          <w:p>
            <w:pPr>
              <w:pStyle w:val="TableParagraph"/>
              <w:rPr>
                <w:rFonts w:ascii="Times New Roman"/>
                <w:sz w:val="16"/>
              </w:rPr>
            </w:pPr>
          </w:p>
        </w:tc>
        <w:tc>
          <w:tcPr>
            <w:tcW w:w="1307" w:type="dxa"/>
          </w:tcPr>
          <w:p>
            <w:pPr>
              <w:pStyle w:val="TableParagraph"/>
              <w:spacing w:line="189" w:lineRule="exact" w:before="24"/>
              <w:ind w:right="332"/>
              <w:jc w:val="right"/>
              <w:rPr>
                <w:sz w:val="17"/>
              </w:rPr>
            </w:pPr>
            <w:r>
              <w:rPr>
                <w:w w:val="105"/>
                <w:sz w:val="17"/>
              </w:rPr>
              <w:t>91</w:t>
            </w:r>
          </w:p>
        </w:tc>
        <w:tc>
          <w:tcPr>
            <w:tcW w:w="1392" w:type="dxa"/>
          </w:tcPr>
          <w:p>
            <w:pPr>
              <w:pStyle w:val="TableParagraph"/>
              <w:spacing w:line="189" w:lineRule="exact" w:before="24"/>
              <w:ind w:right="468"/>
              <w:jc w:val="right"/>
              <w:rPr>
                <w:sz w:val="17"/>
              </w:rPr>
            </w:pPr>
            <w:r>
              <w:rPr>
                <w:w w:val="95"/>
                <w:sz w:val="17"/>
              </w:rPr>
              <w:t>34.636</w:t>
            </w:r>
          </w:p>
        </w:tc>
        <w:tc>
          <w:tcPr>
            <w:tcW w:w="1162" w:type="dxa"/>
          </w:tcPr>
          <w:p>
            <w:pPr>
              <w:pStyle w:val="TableParagraph"/>
              <w:spacing w:line="189" w:lineRule="exact" w:before="24"/>
              <w:ind w:right="101"/>
              <w:jc w:val="right"/>
              <w:rPr>
                <w:sz w:val="17"/>
              </w:rPr>
            </w:pPr>
            <w:r>
              <w:rPr>
                <w:w w:val="95"/>
                <w:sz w:val="17"/>
              </w:rPr>
              <w:t>27.204</w:t>
            </w:r>
          </w:p>
        </w:tc>
      </w:tr>
      <w:tr>
        <w:trPr>
          <w:trHeight w:val="210" w:hRule="atLeast"/>
        </w:trPr>
        <w:tc>
          <w:tcPr>
            <w:tcW w:w="4508" w:type="dxa"/>
          </w:tcPr>
          <w:p>
            <w:pPr>
              <w:pStyle w:val="TableParagraph"/>
              <w:spacing w:line="177" w:lineRule="exact" w:before="13"/>
              <w:ind w:left="402"/>
              <w:rPr>
                <w:sz w:val="17"/>
              </w:rPr>
            </w:pPr>
            <w:r>
              <w:rPr>
                <w:sz w:val="17"/>
              </w:rPr>
              <w:t>Despesas Financeiras</w:t>
            </w:r>
          </w:p>
        </w:tc>
        <w:tc>
          <w:tcPr>
            <w:tcW w:w="1563" w:type="dxa"/>
          </w:tcPr>
          <w:p>
            <w:pPr>
              <w:pStyle w:val="TableParagraph"/>
              <w:spacing w:line="177" w:lineRule="exact" w:before="13"/>
              <w:ind w:right="474"/>
              <w:jc w:val="right"/>
              <w:rPr>
                <w:sz w:val="17"/>
              </w:rPr>
            </w:pPr>
            <w:r>
              <w:rPr>
                <w:w w:val="95"/>
                <w:sz w:val="17"/>
              </w:rPr>
              <w:t>3.696</w:t>
            </w:r>
          </w:p>
        </w:tc>
        <w:tc>
          <w:tcPr>
            <w:tcW w:w="1307" w:type="dxa"/>
          </w:tcPr>
          <w:p>
            <w:pPr>
              <w:pStyle w:val="TableParagraph"/>
              <w:spacing w:line="177" w:lineRule="exact" w:before="13"/>
              <w:ind w:right="333"/>
              <w:jc w:val="right"/>
              <w:rPr>
                <w:sz w:val="17"/>
              </w:rPr>
            </w:pPr>
            <w:r>
              <w:rPr>
                <w:w w:val="105"/>
                <w:sz w:val="17"/>
              </w:rPr>
              <w:t>224</w:t>
            </w:r>
          </w:p>
        </w:tc>
        <w:tc>
          <w:tcPr>
            <w:tcW w:w="1392" w:type="dxa"/>
          </w:tcPr>
          <w:p>
            <w:pPr>
              <w:pStyle w:val="TableParagraph"/>
              <w:spacing w:line="177" w:lineRule="exact" w:before="13"/>
              <w:ind w:right="468"/>
              <w:jc w:val="right"/>
              <w:rPr>
                <w:sz w:val="17"/>
              </w:rPr>
            </w:pPr>
            <w:r>
              <w:rPr>
                <w:w w:val="95"/>
                <w:sz w:val="17"/>
              </w:rPr>
              <w:t>150.665</w:t>
            </w:r>
          </w:p>
        </w:tc>
        <w:tc>
          <w:tcPr>
            <w:tcW w:w="1162" w:type="dxa"/>
          </w:tcPr>
          <w:p>
            <w:pPr>
              <w:pStyle w:val="TableParagraph"/>
              <w:spacing w:line="177" w:lineRule="exact" w:before="13"/>
              <w:ind w:right="101"/>
              <w:jc w:val="right"/>
              <w:rPr>
                <w:sz w:val="17"/>
              </w:rPr>
            </w:pPr>
            <w:r>
              <w:rPr>
                <w:w w:val="95"/>
                <w:sz w:val="17"/>
              </w:rPr>
              <w:t>200.756</w:t>
            </w:r>
          </w:p>
        </w:tc>
      </w:tr>
      <w:tr>
        <w:trPr>
          <w:trHeight w:val="444" w:hRule="atLeast"/>
        </w:trPr>
        <w:tc>
          <w:tcPr>
            <w:tcW w:w="9932" w:type="dxa"/>
            <w:gridSpan w:val="5"/>
          </w:tcPr>
          <w:p>
            <w:pPr>
              <w:pStyle w:val="TableParagraph"/>
              <w:rPr>
                <w:rFonts w:ascii="Caladea"/>
                <w:b/>
                <w:sz w:val="19"/>
              </w:rPr>
            </w:pPr>
          </w:p>
          <w:p>
            <w:pPr>
              <w:pStyle w:val="TableParagraph"/>
              <w:spacing w:line="20" w:lineRule="exact"/>
              <w:ind w:left="4507" w:right="-58"/>
              <w:rPr>
                <w:rFonts w:ascii="Caladea"/>
                <w:sz w:val="2"/>
              </w:rPr>
            </w:pPr>
            <w:r>
              <w:rPr>
                <w:rFonts w:ascii="Caladea"/>
                <w:sz w:val="2"/>
              </w:rPr>
              <w:pict>
                <v:group style="width:271.25pt;height:.7pt;mso-position-horizontal-relative:char;mso-position-vertical-relative:line" coordorigin="0,0" coordsize="5425,14">
                  <v:line style="position:absolute" from="7,7" to="1183,7" stroked="true" strokeweight=".653005pt" strokecolor="#000000">
                    <v:stroke dashstyle="solid"/>
                  </v:line>
                  <v:rect style="position:absolute;left:0;top:0;width:1190;height:14" filled="true" fillcolor="#000000" stroked="false">
                    <v:fill type="solid"/>
                  </v:rect>
                  <v:line style="position:absolute" from="1261,7" to="2633,7" stroked="true" strokeweight=".653005pt" strokecolor="#000000">
                    <v:stroke dashstyle="solid"/>
                  </v:line>
                  <v:rect style="position:absolute;left:1254;top:0;width:1386;height:14" filled="true" fillcolor="#000000" stroked="false">
                    <v:fill type="solid"/>
                  </v:rect>
                  <v:line style="position:absolute" from="2712,7" to="3888,7" stroked="true" strokeweight=".653005pt" strokecolor="#000000">
                    <v:stroke dashstyle="solid"/>
                  </v:line>
                  <v:rect style="position:absolute;left:2705;top:0;width:1190;height:14" filled="true" fillcolor="#000000" stroked="false">
                    <v:fill type="solid"/>
                  </v:rect>
                  <v:line style="position:absolute" from="3967,7" to="5418,7" stroked="true" strokeweight=".653005pt" strokecolor="#000000">
                    <v:stroke dashstyle="solid"/>
                  </v:line>
                  <v:rect style="position:absolute;left:3960;top:0;width:1465;height:14" filled="true" fillcolor="#000000" stroked="false">
                    <v:fill type="solid"/>
                  </v:rect>
                </v:group>
              </w:pict>
            </w:r>
            <w:r>
              <w:rPr>
                <w:rFonts w:ascii="Caladea"/>
                <w:sz w:val="2"/>
              </w:rPr>
            </w:r>
          </w:p>
          <w:p>
            <w:pPr>
              <w:pStyle w:val="TableParagraph"/>
              <w:tabs>
                <w:tab w:pos="4507" w:val="left" w:leader="none"/>
                <w:tab w:pos="4925" w:val="left" w:leader="none"/>
                <w:tab w:pos="6480" w:val="left" w:leader="none"/>
                <w:tab w:pos="7631" w:val="left" w:leader="none"/>
                <w:tab w:pos="9160" w:val="left" w:leader="none"/>
              </w:tabs>
              <w:spacing w:line="179" w:lineRule="exact" w:before="2"/>
              <w:ind w:left="285" w:right="-15"/>
              <w:rPr>
                <w:rFonts w:ascii="Caladea" w:hAnsi="Caladea"/>
                <w:b/>
                <w:sz w:val="17"/>
              </w:rPr>
            </w:pPr>
            <w:r>
              <w:rPr>
                <w:rFonts w:ascii="Caladea" w:hAnsi="Caladea"/>
                <w:b/>
                <w:sz w:val="17"/>
              </w:rPr>
              <w:t>Remuneração de</w:t>
            </w:r>
            <w:r>
              <w:rPr>
                <w:rFonts w:ascii="Caladea" w:hAnsi="Caladea"/>
                <w:b/>
                <w:spacing w:val="-5"/>
                <w:sz w:val="17"/>
              </w:rPr>
              <w:t> </w:t>
            </w:r>
            <w:r>
              <w:rPr>
                <w:rFonts w:ascii="Caladea" w:hAnsi="Caladea"/>
                <w:b/>
                <w:sz w:val="17"/>
              </w:rPr>
              <w:t>Capitais</w:t>
            </w:r>
            <w:r>
              <w:rPr>
                <w:rFonts w:ascii="Caladea" w:hAnsi="Caladea"/>
                <w:b/>
                <w:spacing w:val="-1"/>
                <w:sz w:val="17"/>
              </w:rPr>
              <w:t> </w:t>
            </w:r>
            <w:r>
              <w:rPr>
                <w:rFonts w:ascii="Caladea" w:hAnsi="Caladea"/>
                <w:b/>
                <w:sz w:val="17"/>
              </w:rPr>
              <w:t>Próprios</w:t>
              <w:tab/>
            </w:r>
            <w:r>
              <w:rPr>
                <w:rFonts w:ascii="Caladea" w:hAnsi="Caladea"/>
                <w:b/>
                <w:sz w:val="17"/>
                <w:u w:val="single"/>
              </w:rPr>
              <w:t> </w:t>
              <w:tab/>
            </w:r>
            <w:r>
              <w:rPr>
                <w:rFonts w:ascii="Caladea" w:hAnsi="Caladea"/>
                <w:b/>
                <w:spacing w:val="2"/>
                <w:sz w:val="17"/>
                <w:u w:val="single"/>
              </w:rPr>
              <w:t>119.047 </w:t>
              <w:tab/>
            </w:r>
            <w:r>
              <w:rPr>
                <w:rFonts w:ascii="Caladea" w:hAnsi="Caladea"/>
                <w:b/>
                <w:sz w:val="17"/>
                <w:u w:val="single"/>
              </w:rPr>
              <w:t>89.972 </w:t>
              <w:tab/>
            </w:r>
            <w:r>
              <w:rPr>
                <w:rFonts w:ascii="Caladea" w:hAnsi="Caladea"/>
                <w:b/>
                <w:spacing w:val="2"/>
                <w:sz w:val="17"/>
                <w:u w:val="single"/>
              </w:rPr>
              <w:t>156.628 </w:t>
              <w:tab/>
              <w:t>115.710</w:t>
            </w:r>
            <w:r>
              <w:rPr>
                <w:rFonts w:ascii="Caladea" w:hAnsi="Caladea"/>
                <w:b/>
                <w:spacing w:val="-2"/>
                <w:sz w:val="17"/>
                <w:u w:val="single"/>
              </w:rPr>
              <w:t> </w:t>
            </w:r>
          </w:p>
        </w:tc>
      </w:tr>
      <w:tr>
        <w:trPr>
          <w:trHeight w:val="233" w:hRule="atLeast"/>
        </w:trPr>
        <w:tc>
          <w:tcPr>
            <w:tcW w:w="4508" w:type="dxa"/>
          </w:tcPr>
          <w:p>
            <w:pPr>
              <w:pStyle w:val="TableParagraph"/>
              <w:spacing w:line="189" w:lineRule="exact" w:before="24"/>
              <w:ind w:left="402"/>
              <w:rPr>
                <w:sz w:val="17"/>
              </w:rPr>
            </w:pPr>
            <w:r>
              <w:rPr>
                <w:sz w:val="17"/>
              </w:rPr>
              <w:t>Participação dos Acionistas Não Contoladores</w:t>
            </w:r>
          </w:p>
        </w:tc>
        <w:tc>
          <w:tcPr>
            <w:tcW w:w="1563" w:type="dxa"/>
          </w:tcPr>
          <w:p>
            <w:pPr>
              <w:pStyle w:val="TableParagraph"/>
              <w:rPr>
                <w:rFonts w:ascii="Times New Roman"/>
                <w:sz w:val="16"/>
              </w:rPr>
            </w:pPr>
          </w:p>
        </w:tc>
        <w:tc>
          <w:tcPr>
            <w:tcW w:w="1307" w:type="dxa"/>
          </w:tcPr>
          <w:p>
            <w:pPr>
              <w:pStyle w:val="TableParagraph"/>
              <w:rPr>
                <w:rFonts w:ascii="Times New Roman"/>
                <w:sz w:val="16"/>
              </w:rPr>
            </w:pPr>
          </w:p>
        </w:tc>
        <w:tc>
          <w:tcPr>
            <w:tcW w:w="1392" w:type="dxa"/>
          </w:tcPr>
          <w:p>
            <w:pPr>
              <w:pStyle w:val="TableParagraph"/>
              <w:spacing w:line="189" w:lineRule="exact" w:before="24"/>
              <w:ind w:right="468"/>
              <w:jc w:val="right"/>
              <w:rPr>
                <w:sz w:val="17"/>
              </w:rPr>
            </w:pPr>
            <w:r>
              <w:rPr>
                <w:w w:val="95"/>
                <w:sz w:val="17"/>
              </w:rPr>
              <w:t>37.582</w:t>
            </w:r>
          </w:p>
        </w:tc>
        <w:tc>
          <w:tcPr>
            <w:tcW w:w="1162" w:type="dxa"/>
          </w:tcPr>
          <w:p>
            <w:pPr>
              <w:pStyle w:val="TableParagraph"/>
              <w:spacing w:line="189" w:lineRule="exact" w:before="24"/>
              <w:ind w:right="101"/>
              <w:jc w:val="right"/>
              <w:rPr>
                <w:sz w:val="17"/>
              </w:rPr>
            </w:pPr>
            <w:r>
              <w:rPr>
                <w:w w:val="95"/>
                <w:sz w:val="17"/>
              </w:rPr>
              <w:t>25.738</w:t>
            </w:r>
          </w:p>
        </w:tc>
      </w:tr>
      <w:tr>
        <w:trPr>
          <w:trHeight w:val="210" w:hRule="atLeast"/>
        </w:trPr>
        <w:tc>
          <w:tcPr>
            <w:tcW w:w="4508" w:type="dxa"/>
          </w:tcPr>
          <w:p>
            <w:pPr>
              <w:pStyle w:val="TableParagraph"/>
              <w:spacing w:line="177" w:lineRule="exact" w:before="13"/>
              <w:ind w:left="402"/>
              <w:rPr>
                <w:sz w:val="17"/>
              </w:rPr>
            </w:pPr>
            <w:r>
              <w:rPr>
                <w:sz w:val="17"/>
              </w:rPr>
              <w:t>Lucros Líquidos Retidos</w:t>
            </w:r>
          </w:p>
        </w:tc>
        <w:tc>
          <w:tcPr>
            <w:tcW w:w="1563" w:type="dxa"/>
          </w:tcPr>
          <w:p>
            <w:pPr>
              <w:pStyle w:val="TableParagraph"/>
              <w:spacing w:line="177" w:lineRule="exact" w:before="13"/>
              <w:ind w:right="475"/>
              <w:jc w:val="right"/>
              <w:rPr>
                <w:sz w:val="17"/>
              </w:rPr>
            </w:pPr>
            <w:r>
              <w:rPr>
                <w:w w:val="95"/>
                <w:sz w:val="17"/>
              </w:rPr>
              <w:t>119.047</w:t>
            </w:r>
          </w:p>
        </w:tc>
        <w:tc>
          <w:tcPr>
            <w:tcW w:w="1307" w:type="dxa"/>
          </w:tcPr>
          <w:p>
            <w:pPr>
              <w:pStyle w:val="TableParagraph"/>
              <w:spacing w:line="177" w:lineRule="exact" w:before="13"/>
              <w:ind w:right="331"/>
              <w:jc w:val="right"/>
              <w:rPr>
                <w:sz w:val="17"/>
              </w:rPr>
            </w:pPr>
            <w:r>
              <w:rPr>
                <w:w w:val="95"/>
                <w:sz w:val="17"/>
              </w:rPr>
              <w:t>89.972</w:t>
            </w:r>
          </w:p>
        </w:tc>
        <w:tc>
          <w:tcPr>
            <w:tcW w:w="1392" w:type="dxa"/>
          </w:tcPr>
          <w:p>
            <w:pPr>
              <w:pStyle w:val="TableParagraph"/>
              <w:spacing w:line="177" w:lineRule="exact" w:before="13"/>
              <w:ind w:right="468"/>
              <w:jc w:val="right"/>
              <w:rPr>
                <w:sz w:val="17"/>
              </w:rPr>
            </w:pPr>
            <w:r>
              <w:rPr>
                <w:w w:val="95"/>
                <w:sz w:val="17"/>
              </w:rPr>
              <w:t>119.046</w:t>
            </w:r>
          </w:p>
        </w:tc>
        <w:tc>
          <w:tcPr>
            <w:tcW w:w="1162" w:type="dxa"/>
          </w:tcPr>
          <w:p>
            <w:pPr>
              <w:pStyle w:val="TableParagraph"/>
              <w:spacing w:line="177" w:lineRule="exact" w:before="13"/>
              <w:ind w:right="101"/>
              <w:jc w:val="right"/>
              <w:rPr>
                <w:sz w:val="17"/>
              </w:rPr>
            </w:pPr>
            <w:r>
              <w:rPr>
                <w:w w:val="95"/>
                <w:sz w:val="17"/>
              </w:rPr>
              <w:t>89.972</w:t>
            </w:r>
          </w:p>
        </w:tc>
      </w:tr>
    </w:tbl>
    <w:p>
      <w:pPr>
        <w:pStyle w:val="BodyText"/>
        <w:rPr>
          <w:rFonts w:ascii="Caladea"/>
          <w:b/>
        </w:rPr>
      </w:pPr>
    </w:p>
    <w:p>
      <w:pPr>
        <w:pStyle w:val="BodyText"/>
        <w:spacing w:before="10"/>
        <w:rPr>
          <w:rFonts w:ascii="Caladea"/>
          <w:b/>
          <w:sz w:val="19"/>
        </w:rPr>
      </w:pPr>
    </w:p>
    <w:p>
      <w:pPr>
        <w:spacing w:before="0"/>
        <w:ind w:left="233" w:right="0" w:firstLine="0"/>
        <w:jc w:val="left"/>
        <w:rPr>
          <w:rFonts w:ascii="Caladea" w:hAnsi="Caladea"/>
          <w:b/>
          <w:sz w:val="17"/>
        </w:rPr>
      </w:pPr>
      <w:r>
        <w:rPr>
          <w:rFonts w:ascii="Caladea" w:hAnsi="Caladea"/>
          <w:b/>
          <w:sz w:val="17"/>
        </w:rPr>
        <w:t>As notas explicativas são parte integrante das demonstrações financeiras</w:t>
      </w:r>
    </w:p>
    <w:p>
      <w:pPr>
        <w:spacing w:after="0"/>
        <w:jc w:val="left"/>
        <w:rPr>
          <w:rFonts w:ascii="Caladea" w:hAnsi="Caladea"/>
          <w:sz w:val="17"/>
        </w:rPr>
        <w:sectPr>
          <w:pgSz w:w="11910" w:h="16850"/>
          <w:pgMar w:header="511" w:footer="1269" w:top="1240" w:bottom="1460" w:left="940" w:right="240"/>
        </w:sect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rPr>
          <w:rFonts w:ascii="Caladea"/>
          <w:b/>
        </w:rPr>
      </w:pPr>
    </w:p>
    <w:p>
      <w:pPr>
        <w:pStyle w:val="BodyText"/>
        <w:spacing w:before="6"/>
        <w:rPr>
          <w:rFonts w:ascii="Caladea"/>
          <w:b/>
          <w:sz w:val="15"/>
        </w:rPr>
      </w:pPr>
    </w:p>
    <w:p>
      <w:pPr>
        <w:pStyle w:val="Heading1"/>
      </w:pPr>
      <w:r>
        <w:rPr/>
        <w:t>NOTAS EXPLICATIVAS ÀS DEMONSTRAÇÕES FINANCEIRAS</w:t>
      </w:r>
    </w:p>
    <w:p>
      <w:pPr>
        <w:pStyle w:val="BodyText"/>
        <w:spacing w:before="6"/>
        <w:rPr>
          <w:rFonts w:ascii="Caladea"/>
          <w:b/>
          <w:sz w:val="92"/>
        </w:rPr>
      </w:pPr>
    </w:p>
    <w:p>
      <w:pPr>
        <w:spacing w:before="1"/>
        <w:ind w:left="592" w:right="1007" w:firstLine="0"/>
        <w:jc w:val="center"/>
        <w:rPr>
          <w:rFonts w:ascii="Caladea" w:hAnsi="Caladea"/>
          <w:b/>
          <w:sz w:val="34"/>
        </w:rPr>
      </w:pPr>
      <w:r>
        <w:rPr>
          <w:rFonts w:ascii="Caladea" w:hAnsi="Caladea"/>
          <w:b/>
          <w:sz w:val="34"/>
        </w:rPr>
        <w:t>EXERCÍCIOS FINDOS EM 31 DE DEZEMBRO DE 2019 E 2018</w:t>
      </w:r>
    </w:p>
    <w:p>
      <w:pPr>
        <w:spacing w:after="0"/>
        <w:jc w:val="center"/>
        <w:rPr>
          <w:rFonts w:ascii="Caladea" w:hAnsi="Caladea"/>
          <w:sz w:val="34"/>
        </w:rPr>
        <w:sectPr>
          <w:headerReference w:type="default" r:id="rId72"/>
          <w:footerReference w:type="default" r:id="rId73"/>
          <w:pgSz w:w="11910" w:h="16850"/>
          <w:pgMar w:header="792" w:footer="1193" w:top="1360" w:bottom="1380" w:left="940" w:right="240"/>
          <w:pgNumType w:start="9"/>
        </w:sectPr>
      </w:pPr>
    </w:p>
    <w:p>
      <w:pPr>
        <w:pStyle w:val="Heading3"/>
        <w:numPr>
          <w:ilvl w:val="0"/>
          <w:numId w:val="6"/>
        </w:numPr>
        <w:tabs>
          <w:tab w:pos="973" w:val="left" w:leader="none"/>
          <w:tab w:pos="974" w:val="left" w:leader="none"/>
        </w:tabs>
        <w:spacing w:line="240" w:lineRule="auto" w:before="45" w:after="0"/>
        <w:ind w:left="973" w:right="0" w:hanging="782"/>
        <w:jc w:val="left"/>
      </w:pPr>
      <w:r>
        <w:rPr/>
        <w:t>CONTEXTO OPERACIONAL E INFORMAÇÕES</w:t>
      </w:r>
      <w:r>
        <w:rPr>
          <w:spacing w:val="-3"/>
        </w:rPr>
        <w:t> </w:t>
      </w:r>
      <w:r>
        <w:rPr/>
        <w:t>GERAIS</w:t>
      </w:r>
    </w:p>
    <w:p>
      <w:pPr>
        <w:pStyle w:val="ListParagraph"/>
        <w:numPr>
          <w:ilvl w:val="1"/>
          <w:numId w:val="6"/>
        </w:numPr>
        <w:tabs>
          <w:tab w:pos="1045" w:val="left" w:leader="none"/>
          <w:tab w:pos="1046" w:val="left" w:leader="none"/>
        </w:tabs>
        <w:spacing w:line="240" w:lineRule="auto" w:before="242" w:after="0"/>
        <w:ind w:left="1045" w:right="0" w:hanging="854"/>
        <w:jc w:val="left"/>
        <w:rPr>
          <w:rFonts w:ascii="Caladea"/>
          <w:b/>
          <w:sz w:val="18"/>
        </w:rPr>
      </w:pPr>
      <w:r>
        <w:rPr>
          <w:rFonts w:ascii="Caladea"/>
          <w:b/>
          <w:sz w:val="22"/>
        </w:rPr>
        <w:t>O</w:t>
      </w:r>
      <w:r>
        <w:rPr>
          <w:rFonts w:ascii="Caladea"/>
          <w:b/>
          <w:sz w:val="18"/>
        </w:rPr>
        <w:t>BJETIVO </w:t>
      </w:r>
      <w:r>
        <w:rPr>
          <w:rFonts w:ascii="Caladea"/>
          <w:b/>
          <w:sz w:val="22"/>
        </w:rPr>
        <w:t>S</w:t>
      </w:r>
      <w:r>
        <w:rPr>
          <w:rFonts w:ascii="Caladea"/>
          <w:b/>
          <w:sz w:val="18"/>
        </w:rPr>
        <w:t>OCIAL</w:t>
      </w:r>
    </w:p>
    <w:p>
      <w:pPr>
        <w:pStyle w:val="BodyText"/>
        <w:spacing w:before="1"/>
        <w:rPr>
          <w:rFonts w:ascii="Caladea"/>
          <w:b/>
          <w:sz w:val="24"/>
        </w:rPr>
      </w:pPr>
    </w:p>
    <w:p>
      <w:pPr>
        <w:pStyle w:val="BodyText"/>
        <w:spacing w:line="242" w:lineRule="auto"/>
        <w:ind w:left="192" w:right="605"/>
        <w:jc w:val="both"/>
      </w:pPr>
      <w:r>
        <w:rPr/>
        <w:t>A</w:t>
      </w:r>
      <w:r>
        <w:rPr>
          <w:spacing w:val="-45"/>
        </w:rPr>
        <w:t> </w:t>
      </w:r>
      <w:r>
        <w:rPr/>
        <w:t>Companhia</w:t>
      </w:r>
      <w:r>
        <w:rPr>
          <w:spacing w:val="-44"/>
        </w:rPr>
        <w:t> </w:t>
      </w:r>
      <w:r>
        <w:rPr/>
        <w:t>Energética</w:t>
      </w:r>
      <w:r>
        <w:rPr>
          <w:spacing w:val="-44"/>
        </w:rPr>
        <w:t> </w:t>
      </w:r>
      <w:r>
        <w:rPr/>
        <w:t>de</w:t>
      </w:r>
      <w:r>
        <w:rPr>
          <w:spacing w:val="-44"/>
        </w:rPr>
        <w:t> </w:t>
      </w:r>
      <w:r>
        <w:rPr/>
        <w:t>Brasília</w:t>
      </w:r>
      <w:r>
        <w:rPr>
          <w:spacing w:val="-44"/>
        </w:rPr>
        <w:t> </w:t>
      </w:r>
      <w:r>
        <w:rPr/>
        <w:t>(“Companhia”,</w:t>
      </w:r>
      <w:r>
        <w:rPr>
          <w:spacing w:val="-44"/>
        </w:rPr>
        <w:t> </w:t>
      </w:r>
      <w:r>
        <w:rPr/>
        <w:t>“CEB”</w:t>
      </w:r>
      <w:r>
        <w:rPr>
          <w:spacing w:val="-45"/>
        </w:rPr>
        <w:t> </w:t>
      </w:r>
      <w:r>
        <w:rPr/>
        <w:t>ou</w:t>
      </w:r>
      <w:r>
        <w:rPr>
          <w:spacing w:val="-44"/>
        </w:rPr>
        <w:t> </w:t>
      </w:r>
      <w:r>
        <w:rPr/>
        <w:t>“Controladora”)</w:t>
      </w:r>
      <w:r>
        <w:rPr>
          <w:spacing w:val="-44"/>
        </w:rPr>
        <w:t> </w:t>
      </w:r>
      <w:r>
        <w:rPr/>
        <w:t>é</w:t>
      </w:r>
      <w:r>
        <w:rPr>
          <w:spacing w:val="-44"/>
        </w:rPr>
        <w:t> </w:t>
      </w:r>
      <w:r>
        <w:rPr/>
        <w:t>uma</w:t>
      </w:r>
      <w:r>
        <w:rPr>
          <w:spacing w:val="-44"/>
        </w:rPr>
        <w:t> </w:t>
      </w:r>
      <w:r>
        <w:rPr/>
        <w:t>sociedade</w:t>
      </w:r>
      <w:r>
        <w:rPr>
          <w:spacing w:val="-45"/>
        </w:rPr>
        <w:t> </w:t>
      </w:r>
      <w:r>
        <w:rPr/>
        <w:t>de</w:t>
      </w:r>
      <w:r>
        <w:rPr>
          <w:spacing w:val="-44"/>
        </w:rPr>
        <w:t> </w:t>
      </w:r>
      <w:r>
        <w:rPr/>
        <w:t>economia</w:t>
      </w:r>
      <w:r>
        <w:rPr>
          <w:spacing w:val="-44"/>
        </w:rPr>
        <w:t> </w:t>
      </w:r>
      <w:r>
        <w:rPr/>
        <w:t>mista</w:t>
      </w:r>
      <w:r>
        <w:rPr>
          <w:spacing w:val="-44"/>
        </w:rPr>
        <w:t> </w:t>
      </w:r>
      <w:r>
        <w:rPr/>
        <w:t>de capital</w:t>
      </w:r>
      <w:r>
        <w:rPr>
          <w:spacing w:val="-20"/>
        </w:rPr>
        <w:t> </w:t>
      </w:r>
      <w:r>
        <w:rPr/>
        <w:t>aberto,</w:t>
      </w:r>
      <w:r>
        <w:rPr>
          <w:spacing w:val="-21"/>
        </w:rPr>
        <w:t> </w:t>
      </w:r>
      <w:r>
        <w:rPr/>
        <w:t>autorizada</w:t>
      </w:r>
      <w:r>
        <w:rPr>
          <w:spacing w:val="-20"/>
        </w:rPr>
        <w:t> </w:t>
      </w:r>
      <w:r>
        <w:rPr/>
        <w:t>pela</w:t>
      </w:r>
      <w:r>
        <w:rPr>
          <w:spacing w:val="-20"/>
        </w:rPr>
        <w:t> </w:t>
      </w:r>
      <w:r>
        <w:rPr/>
        <w:t>Lei</w:t>
      </w:r>
      <w:r>
        <w:rPr>
          <w:spacing w:val="-22"/>
        </w:rPr>
        <w:t> </w:t>
      </w:r>
      <w:r>
        <w:rPr/>
        <w:t>nº</w:t>
      </w:r>
      <w:r>
        <w:rPr>
          <w:spacing w:val="-20"/>
        </w:rPr>
        <w:t> </w:t>
      </w:r>
      <w:r>
        <w:rPr/>
        <w:t>4.545,</w:t>
      </w:r>
      <w:r>
        <w:rPr>
          <w:spacing w:val="-20"/>
        </w:rPr>
        <w:t> </w:t>
      </w:r>
      <w:r>
        <w:rPr/>
        <w:t>de</w:t>
      </w:r>
      <w:r>
        <w:rPr>
          <w:spacing w:val="-22"/>
        </w:rPr>
        <w:t> </w:t>
      </w:r>
      <w:r>
        <w:rPr/>
        <w:t>10</w:t>
      </w:r>
      <w:r>
        <w:rPr>
          <w:spacing w:val="-19"/>
        </w:rPr>
        <w:t> </w:t>
      </w:r>
      <w:r>
        <w:rPr/>
        <w:t>de</w:t>
      </w:r>
      <w:r>
        <w:rPr>
          <w:spacing w:val="-21"/>
        </w:rPr>
        <w:t> </w:t>
      </w:r>
      <w:r>
        <w:rPr/>
        <w:t>dezembro</w:t>
      </w:r>
      <w:r>
        <w:rPr>
          <w:spacing w:val="-20"/>
        </w:rPr>
        <w:t> </w:t>
      </w:r>
      <w:r>
        <w:rPr/>
        <w:t>de</w:t>
      </w:r>
      <w:r>
        <w:rPr>
          <w:spacing w:val="-22"/>
        </w:rPr>
        <w:t> </w:t>
      </w:r>
      <w:r>
        <w:rPr/>
        <w:t>1964,</w:t>
      </w:r>
      <w:r>
        <w:rPr>
          <w:spacing w:val="-21"/>
        </w:rPr>
        <w:t> </w:t>
      </w:r>
      <w:r>
        <w:rPr/>
        <w:t>sob</w:t>
      </w:r>
      <w:r>
        <w:rPr>
          <w:spacing w:val="-21"/>
        </w:rPr>
        <w:t> </w:t>
      </w:r>
      <w:r>
        <w:rPr/>
        <w:t>o</w:t>
      </w:r>
      <w:r>
        <w:rPr>
          <w:spacing w:val="-21"/>
        </w:rPr>
        <w:t> </w:t>
      </w:r>
      <w:r>
        <w:rPr/>
        <w:t>CNPJ</w:t>
      </w:r>
      <w:r>
        <w:rPr>
          <w:spacing w:val="-20"/>
        </w:rPr>
        <w:t> </w:t>
      </w:r>
      <w:r>
        <w:rPr/>
        <w:t>nº</w:t>
      </w:r>
      <w:r>
        <w:rPr>
          <w:spacing w:val="-20"/>
        </w:rPr>
        <w:t> </w:t>
      </w:r>
      <w:r>
        <w:rPr/>
        <w:t>00.070.698/0001-11.</w:t>
      </w:r>
      <w:r>
        <w:rPr>
          <w:spacing w:val="-19"/>
        </w:rPr>
        <w:t> </w:t>
      </w:r>
      <w:r>
        <w:rPr/>
        <w:t>Com sede</w:t>
      </w:r>
      <w:r>
        <w:rPr>
          <w:spacing w:val="-28"/>
        </w:rPr>
        <w:t> </w:t>
      </w:r>
      <w:r>
        <w:rPr/>
        <w:t>localizada</w:t>
      </w:r>
      <w:r>
        <w:rPr>
          <w:spacing w:val="-28"/>
        </w:rPr>
        <w:t> </w:t>
      </w:r>
      <w:r>
        <w:rPr/>
        <w:t>no</w:t>
      </w:r>
      <w:r>
        <w:rPr>
          <w:spacing w:val="-28"/>
        </w:rPr>
        <w:t> </w:t>
      </w:r>
      <w:r>
        <w:rPr/>
        <w:t>SIA</w:t>
      </w:r>
      <w:r>
        <w:rPr>
          <w:spacing w:val="-25"/>
        </w:rPr>
        <w:t> </w:t>
      </w:r>
      <w:r>
        <w:rPr>
          <w:w w:val="105"/>
        </w:rPr>
        <w:t>–</w:t>
      </w:r>
      <w:r>
        <w:rPr>
          <w:spacing w:val="-30"/>
          <w:w w:val="105"/>
        </w:rPr>
        <w:t> </w:t>
      </w:r>
      <w:r>
        <w:rPr/>
        <w:t>Área</w:t>
      </w:r>
      <w:r>
        <w:rPr>
          <w:spacing w:val="-28"/>
        </w:rPr>
        <w:t> </w:t>
      </w:r>
      <w:r>
        <w:rPr/>
        <w:t>de</w:t>
      </w:r>
      <w:r>
        <w:rPr>
          <w:spacing w:val="-27"/>
        </w:rPr>
        <w:t> </w:t>
      </w:r>
      <w:r>
        <w:rPr/>
        <w:t>Serviços</w:t>
      </w:r>
      <w:r>
        <w:rPr>
          <w:spacing w:val="-27"/>
        </w:rPr>
        <w:t> </w:t>
      </w:r>
      <w:r>
        <w:rPr/>
        <w:t>Públicos</w:t>
      </w:r>
      <w:r>
        <w:rPr>
          <w:spacing w:val="-26"/>
        </w:rPr>
        <w:t> </w:t>
      </w:r>
      <w:r>
        <w:rPr>
          <w:w w:val="105"/>
        </w:rPr>
        <w:t>–</w:t>
      </w:r>
      <w:r>
        <w:rPr>
          <w:spacing w:val="-30"/>
          <w:w w:val="105"/>
        </w:rPr>
        <w:t> </w:t>
      </w:r>
      <w:r>
        <w:rPr/>
        <w:t>Lote</w:t>
      </w:r>
      <w:r>
        <w:rPr>
          <w:spacing w:val="-29"/>
        </w:rPr>
        <w:t> </w:t>
      </w:r>
      <w:r>
        <w:rPr/>
        <w:t>C,</w:t>
      </w:r>
      <w:r>
        <w:rPr>
          <w:spacing w:val="-27"/>
        </w:rPr>
        <w:t> </w:t>
      </w:r>
      <w:r>
        <w:rPr/>
        <w:t>Brasília,</w:t>
      </w:r>
      <w:r>
        <w:rPr>
          <w:spacing w:val="-29"/>
        </w:rPr>
        <w:t> </w:t>
      </w:r>
      <w:r>
        <w:rPr/>
        <w:t>Distrito</w:t>
      </w:r>
      <w:r>
        <w:rPr>
          <w:spacing w:val="-29"/>
        </w:rPr>
        <w:t> </w:t>
      </w:r>
      <w:r>
        <w:rPr/>
        <w:t>Federal,</w:t>
      </w:r>
      <w:r>
        <w:rPr>
          <w:spacing w:val="-28"/>
        </w:rPr>
        <w:t> </w:t>
      </w:r>
      <w:r>
        <w:rPr/>
        <w:t>possui</w:t>
      </w:r>
      <w:r>
        <w:rPr>
          <w:spacing w:val="-27"/>
        </w:rPr>
        <w:t> </w:t>
      </w:r>
      <w:r>
        <w:rPr/>
        <w:t>registro</w:t>
      </w:r>
      <w:r>
        <w:rPr>
          <w:spacing w:val="-28"/>
        </w:rPr>
        <w:t> </w:t>
      </w:r>
      <w:r>
        <w:rPr/>
        <w:t>na</w:t>
      </w:r>
      <w:r>
        <w:rPr>
          <w:spacing w:val="-26"/>
        </w:rPr>
        <w:t> </w:t>
      </w:r>
      <w:r>
        <w:rPr/>
        <w:t>Comissão</w:t>
      </w:r>
      <w:r>
        <w:rPr>
          <w:spacing w:val="-28"/>
        </w:rPr>
        <w:t> </w:t>
      </w:r>
      <w:r>
        <w:rPr/>
        <w:t>de Valores Mobiliários </w:t>
      </w:r>
      <w:r>
        <w:rPr>
          <w:w w:val="105"/>
        </w:rPr>
        <w:t>– </w:t>
      </w:r>
      <w:r>
        <w:rPr/>
        <w:t>CVM como Companhia Aberta na categoria A (emissores autorizados a negociar quaisquer valores</w:t>
      </w:r>
      <w:r>
        <w:rPr>
          <w:spacing w:val="-37"/>
        </w:rPr>
        <w:t> </w:t>
      </w:r>
      <w:r>
        <w:rPr/>
        <w:t>mobiliários)</w:t>
      </w:r>
      <w:r>
        <w:rPr>
          <w:spacing w:val="-34"/>
        </w:rPr>
        <w:t> </w:t>
      </w:r>
      <w:r>
        <w:rPr/>
        <w:t>e</w:t>
      </w:r>
      <w:r>
        <w:rPr>
          <w:spacing w:val="-37"/>
        </w:rPr>
        <w:t> </w:t>
      </w:r>
      <w:r>
        <w:rPr/>
        <w:t>tem</w:t>
      </w:r>
      <w:r>
        <w:rPr>
          <w:spacing w:val="-35"/>
        </w:rPr>
        <w:t> </w:t>
      </w:r>
      <w:r>
        <w:rPr/>
        <w:t>suas</w:t>
      </w:r>
      <w:r>
        <w:rPr>
          <w:spacing w:val="-36"/>
        </w:rPr>
        <w:t> </w:t>
      </w:r>
      <w:r>
        <w:rPr/>
        <w:t>ações</w:t>
      </w:r>
      <w:r>
        <w:rPr>
          <w:spacing w:val="-36"/>
        </w:rPr>
        <w:t> </w:t>
      </w:r>
      <w:r>
        <w:rPr/>
        <w:t>transacionadas</w:t>
      </w:r>
      <w:r>
        <w:rPr>
          <w:spacing w:val="-37"/>
        </w:rPr>
        <w:t> </w:t>
      </w:r>
      <w:r>
        <w:rPr/>
        <w:t>na</w:t>
      </w:r>
      <w:r>
        <w:rPr>
          <w:spacing w:val="-34"/>
        </w:rPr>
        <w:t> </w:t>
      </w:r>
      <w:r>
        <w:rPr/>
        <w:t>Bolsa</w:t>
      </w:r>
      <w:r>
        <w:rPr>
          <w:spacing w:val="-36"/>
        </w:rPr>
        <w:t> </w:t>
      </w:r>
      <w:r>
        <w:rPr/>
        <w:t>de</w:t>
      </w:r>
      <w:r>
        <w:rPr>
          <w:spacing w:val="-35"/>
        </w:rPr>
        <w:t> </w:t>
      </w:r>
      <w:r>
        <w:rPr/>
        <w:t>Valores</w:t>
      </w:r>
      <w:r>
        <w:rPr>
          <w:spacing w:val="-34"/>
        </w:rPr>
        <w:t> </w:t>
      </w:r>
      <w:r>
        <w:rPr/>
        <w:t>de</w:t>
      </w:r>
      <w:r>
        <w:rPr>
          <w:spacing w:val="-36"/>
        </w:rPr>
        <w:t> </w:t>
      </w:r>
      <w:r>
        <w:rPr/>
        <w:t>São</w:t>
      </w:r>
      <w:r>
        <w:rPr>
          <w:spacing w:val="-35"/>
        </w:rPr>
        <w:t> </w:t>
      </w:r>
      <w:r>
        <w:rPr/>
        <w:t>Paulo</w:t>
      </w:r>
      <w:r>
        <w:rPr>
          <w:spacing w:val="-36"/>
        </w:rPr>
        <w:t> </w:t>
      </w:r>
      <w:r>
        <w:rPr/>
        <w:t>(Brasil,</w:t>
      </w:r>
      <w:r>
        <w:rPr>
          <w:spacing w:val="-37"/>
        </w:rPr>
        <w:t> </w:t>
      </w:r>
      <w:r>
        <w:rPr/>
        <w:t>Bolsa,</w:t>
      </w:r>
      <w:r>
        <w:rPr>
          <w:spacing w:val="-36"/>
        </w:rPr>
        <w:t> </w:t>
      </w:r>
      <w:r>
        <w:rPr/>
        <w:t>Balcão</w:t>
      </w:r>
      <w:r>
        <w:rPr>
          <w:spacing w:val="-35"/>
        </w:rPr>
        <w:t> </w:t>
      </w:r>
      <w:r>
        <w:rPr/>
        <w:t>-</w:t>
      </w:r>
      <w:r>
        <w:rPr>
          <w:spacing w:val="-35"/>
        </w:rPr>
        <w:t> </w:t>
      </w:r>
      <w:r>
        <w:rPr/>
        <w:t>B3).</w:t>
      </w:r>
      <w:r>
        <w:rPr>
          <w:spacing w:val="-35"/>
        </w:rPr>
        <w:t> </w:t>
      </w:r>
      <w:r>
        <w:rPr/>
        <w:t>Em 4</w:t>
      </w:r>
      <w:r>
        <w:rPr>
          <w:spacing w:val="-40"/>
        </w:rPr>
        <w:t> </w:t>
      </w:r>
      <w:r>
        <w:rPr/>
        <w:t>de</w:t>
      </w:r>
      <w:r>
        <w:rPr>
          <w:spacing w:val="-40"/>
        </w:rPr>
        <w:t> </w:t>
      </w:r>
      <w:r>
        <w:rPr/>
        <w:t>julho</w:t>
      </w:r>
      <w:r>
        <w:rPr>
          <w:spacing w:val="-38"/>
        </w:rPr>
        <w:t> </w:t>
      </w:r>
      <w:r>
        <w:rPr/>
        <w:t>de</w:t>
      </w:r>
      <w:r>
        <w:rPr>
          <w:spacing w:val="-40"/>
        </w:rPr>
        <w:t> </w:t>
      </w:r>
      <w:r>
        <w:rPr/>
        <w:t>1994,</w:t>
      </w:r>
      <w:r>
        <w:rPr>
          <w:spacing w:val="-38"/>
        </w:rPr>
        <w:t> </w:t>
      </w:r>
      <w:r>
        <w:rPr/>
        <w:t>a</w:t>
      </w:r>
      <w:r>
        <w:rPr>
          <w:spacing w:val="-39"/>
        </w:rPr>
        <w:t> </w:t>
      </w:r>
      <w:r>
        <w:rPr/>
        <w:t>Companhia</w:t>
      </w:r>
      <w:r>
        <w:rPr>
          <w:spacing w:val="-39"/>
        </w:rPr>
        <w:t> </w:t>
      </w:r>
      <w:r>
        <w:rPr/>
        <w:t>iniciou</w:t>
      </w:r>
      <w:r>
        <w:rPr>
          <w:spacing w:val="-40"/>
        </w:rPr>
        <w:t> </w:t>
      </w:r>
      <w:r>
        <w:rPr/>
        <w:t>a</w:t>
      </w:r>
      <w:r>
        <w:rPr>
          <w:spacing w:val="-37"/>
        </w:rPr>
        <w:t> </w:t>
      </w:r>
      <w:r>
        <w:rPr/>
        <w:t>negociação</w:t>
      </w:r>
      <w:r>
        <w:rPr>
          <w:spacing w:val="-40"/>
        </w:rPr>
        <w:t> </w:t>
      </w:r>
      <w:r>
        <w:rPr/>
        <w:t>de</w:t>
      </w:r>
      <w:r>
        <w:rPr>
          <w:spacing w:val="-38"/>
        </w:rPr>
        <w:t> </w:t>
      </w:r>
      <w:r>
        <w:rPr/>
        <w:t>suas</w:t>
      </w:r>
      <w:r>
        <w:rPr>
          <w:spacing w:val="-39"/>
        </w:rPr>
        <w:t> </w:t>
      </w:r>
      <w:r>
        <w:rPr/>
        <w:t>ações,</w:t>
      </w:r>
      <w:r>
        <w:rPr>
          <w:spacing w:val="-39"/>
        </w:rPr>
        <w:t> </w:t>
      </w:r>
      <w:r>
        <w:rPr/>
        <w:t>ordinárias</w:t>
      </w:r>
      <w:r>
        <w:rPr>
          <w:spacing w:val="-40"/>
        </w:rPr>
        <w:t> </w:t>
      </w:r>
      <w:r>
        <w:rPr/>
        <w:t>e</w:t>
      </w:r>
      <w:r>
        <w:rPr>
          <w:spacing w:val="-39"/>
        </w:rPr>
        <w:t> </w:t>
      </w:r>
      <w:r>
        <w:rPr/>
        <w:t>preferenciais,</w:t>
      </w:r>
      <w:r>
        <w:rPr>
          <w:spacing w:val="-38"/>
        </w:rPr>
        <w:t> </w:t>
      </w:r>
      <w:r>
        <w:rPr/>
        <w:t>sob</w:t>
      </w:r>
      <w:r>
        <w:rPr>
          <w:spacing w:val="-38"/>
        </w:rPr>
        <w:t> </w:t>
      </w:r>
      <w:r>
        <w:rPr/>
        <w:t>os</w:t>
      </w:r>
      <w:r>
        <w:rPr>
          <w:spacing w:val="-40"/>
        </w:rPr>
        <w:t> </w:t>
      </w:r>
      <w:r>
        <w:rPr/>
        <w:t>códigos</w:t>
      </w:r>
      <w:r>
        <w:rPr>
          <w:spacing w:val="-38"/>
        </w:rPr>
        <w:t> </w:t>
      </w:r>
      <w:r>
        <w:rPr/>
        <w:t>CEBR3, CEBR5 e CEBR6. Demais informações da Companhia podem ser obtidas pelo endereço eletrônico </w:t>
      </w:r>
      <w:hyperlink r:id="rId74">
        <w:r>
          <w:rPr/>
          <w:t>[http:/</w:t>
        </w:r>
      </w:hyperlink>
      <w:r>
        <w:rPr/>
        <w:t>/</w:t>
      </w:r>
      <w:hyperlink r:id="rId74">
        <w:r>
          <w:rPr/>
          <w:t>www.ceb.com.br/</w:t>
        </w:r>
      </w:hyperlink>
      <w:r>
        <w:rPr/>
        <w:t>].</w:t>
      </w:r>
    </w:p>
    <w:p>
      <w:pPr>
        <w:pStyle w:val="BodyText"/>
        <w:spacing w:before="1"/>
      </w:pPr>
    </w:p>
    <w:p>
      <w:pPr>
        <w:pStyle w:val="BodyText"/>
        <w:ind w:left="192" w:right="620"/>
        <w:jc w:val="both"/>
      </w:pPr>
      <w:r>
        <w:rPr/>
        <w:t>As</w:t>
      </w:r>
      <w:r>
        <w:rPr>
          <w:spacing w:val="-16"/>
        </w:rPr>
        <w:t> </w:t>
      </w:r>
      <w:r>
        <w:rPr/>
        <w:t>demonstrações</w:t>
      </w:r>
      <w:r>
        <w:rPr>
          <w:spacing w:val="-15"/>
        </w:rPr>
        <w:t> </w:t>
      </w:r>
      <w:r>
        <w:rPr/>
        <w:t>financeiras</w:t>
      </w:r>
      <w:r>
        <w:rPr>
          <w:spacing w:val="-15"/>
        </w:rPr>
        <w:t> </w:t>
      </w:r>
      <w:r>
        <w:rPr/>
        <w:t>da</w:t>
      </w:r>
      <w:r>
        <w:rPr>
          <w:spacing w:val="-15"/>
        </w:rPr>
        <w:t> </w:t>
      </w:r>
      <w:r>
        <w:rPr/>
        <w:t>Companhia</w:t>
      </w:r>
      <w:r>
        <w:rPr>
          <w:spacing w:val="-14"/>
        </w:rPr>
        <w:t> </w:t>
      </w:r>
      <w:r>
        <w:rPr/>
        <w:t>abrangem</w:t>
      </w:r>
      <w:r>
        <w:rPr>
          <w:spacing w:val="-14"/>
        </w:rPr>
        <w:t> </w:t>
      </w:r>
      <w:r>
        <w:rPr/>
        <w:t>a</w:t>
      </w:r>
      <w:r>
        <w:rPr>
          <w:spacing w:val="-15"/>
        </w:rPr>
        <w:t> </w:t>
      </w:r>
      <w:r>
        <w:rPr/>
        <w:t>Companhia</w:t>
      </w:r>
      <w:r>
        <w:rPr>
          <w:spacing w:val="-13"/>
        </w:rPr>
        <w:t> </w:t>
      </w:r>
      <w:r>
        <w:rPr/>
        <w:t>e</w:t>
      </w:r>
      <w:r>
        <w:rPr>
          <w:spacing w:val="-16"/>
        </w:rPr>
        <w:t> </w:t>
      </w:r>
      <w:r>
        <w:rPr/>
        <w:t>suas</w:t>
      </w:r>
      <w:r>
        <w:rPr>
          <w:spacing w:val="-15"/>
        </w:rPr>
        <w:t> </w:t>
      </w:r>
      <w:r>
        <w:rPr/>
        <w:t>subsidiárias</w:t>
      </w:r>
      <w:r>
        <w:rPr>
          <w:spacing w:val="-16"/>
        </w:rPr>
        <w:t> </w:t>
      </w:r>
      <w:r>
        <w:rPr/>
        <w:t>quando</w:t>
      </w:r>
      <w:r>
        <w:rPr>
          <w:spacing w:val="-13"/>
        </w:rPr>
        <w:t> </w:t>
      </w:r>
      <w:r>
        <w:rPr/>
        <w:t>apresentadas</w:t>
      </w:r>
      <w:r>
        <w:rPr>
          <w:spacing w:val="-16"/>
        </w:rPr>
        <w:t> </w:t>
      </w:r>
      <w:r>
        <w:rPr/>
        <w:t>de forma</w:t>
      </w:r>
      <w:r>
        <w:rPr>
          <w:spacing w:val="-18"/>
        </w:rPr>
        <w:t> </w:t>
      </w:r>
      <w:r>
        <w:rPr/>
        <w:t>consolidada.</w:t>
      </w:r>
    </w:p>
    <w:p>
      <w:pPr>
        <w:pStyle w:val="BodyText"/>
        <w:spacing w:before="7"/>
      </w:pPr>
    </w:p>
    <w:p>
      <w:pPr>
        <w:pStyle w:val="BodyText"/>
        <w:spacing w:line="242" w:lineRule="auto"/>
        <w:ind w:left="192" w:right="606"/>
        <w:jc w:val="both"/>
      </w:pPr>
      <w:r>
        <w:rPr/>
        <w:t>A</w:t>
      </w:r>
      <w:r>
        <w:rPr>
          <w:spacing w:val="-30"/>
        </w:rPr>
        <w:t> </w:t>
      </w:r>
      <w:r>
        <w:rPr/>
        <w:t>atividade</w:t>
      </w:r>
      <w:r>
        <w:rPr>
          <w:spacing w:val="-31"/>
        </w:rPr>
        <w:t> </w:t>
      </w:r>
      <w:r>
        <w:rPr/>
        <w:t>da</w:t>
      </w:r>
      <w:r>
        <w:rPr>
          <w:spacing w:val="-29"/>
        </w:rPr>
        <w:t> </w:t>
      </w:r>
      <w:r>
        <w:rPr/>
        <w:t>Companhia</w:t>
      </w:r>
      <w:r>
        <w:rPr>
          <w:spacing w:val="-29"/>
        </w:rPr>
        <w:t> </w:t>
      </w:r>
      <w:r>
        <w:rPr/>
        <w:t>é</w:t>
      </w:r>
      <w:r>
        <w:rPr>
          <w:spacing w:val="-29"/>
        </w:rPr>
        <w:t> </w:t>
      </w:r>
      <w:r>
        <w:rPr/>
        <w:t>primariamente</w:t>
      </w:r>
      <w:r>
        <w:rPr>
          <w:spacing w:val="-28"/>
        </w:rPr>
        <w:t> </w:t>
      </w:r>
      <w:r>
        <w:rPr/>
        <w:t>em</w:t>
      </w:r>
      <w:r>
        <w:rPr>
          <w:spacing w:val="-28"/>
        </w:rPr>
        <w:t> </w:t>
      </w:r>
      <w:r>
        <w:rPr/>
        <w:t>participar</w:t>
      </w:r>
      <w:r>
        <w:rPr>
          <w:spacing w:val="-30"/>
        </w:rPr>
        <w:t> </w:t>
      </w:r>
      <w:r>
        <w:rPr/>
        <w:t>em</w:t>
      </w:r>
      <w:r>
        <w:rPr>
          <w:spacing w:val="-29"/>
        </w:rPr>
        <w:t> </w:t>
      </w:r>
      <w:r>
        <w:rPr/>
        <w:t>outras</w:t>
      </w:r>
      <w:r>
        <w:rPr>
          <w:spacing w:val="-30"/>
        </w:rPr>
        <w:t> </w:t>
      </w:r>
      <w:r>
        <w:rPr/>
        <w:t>sociedades</w:t>
      </w:r>
      <w:r>
        <w:rPr>
          <w:spacing w:val="-29"/>
        </w:rPr>
        <w:t> </w:t>
      </w:r>
      <w:r>
        <w:rPr/>
        <w:t>que</w:t>
      </w:r>
      <w:r>
        <w:rPr>
          <w:spacing w:val="-30"/>
        </w:rPr>
        <w:t> </w:t>
      </w:r>
      <w:r>
        <w:rPr/>
        <w:t>atuam</w:t>
      </w:r>
      <w:r>
        <w:rPr>
          <w:spacing w:val="-30"/>
        </w:rPr>
        <w:t> </w:t>
      </w:r>
      <w:r>
        <w:rPr/>
        <w:t>na</w:t>
      </w:r>
      <w:r>
        <w:rPr>
          <w:spacing w:val="-29"/>
        </w:rPr>
        <w:t> </w:t>
      </w:r>
      <w:r>
        <w:rPr/>
        <w:t>exploração</w:t>
      </w:r>
      <w:r>
        <w:rPr>
          <w:spacing w:val="-30"/>
        </w:rPr>
        <w:t> </w:t>
      </w:r>
      <w:r>
        <w:rPr/>
        <w:t>direta</w:t>
      </w:r>
      <w:r>
        <w:rPr>
          <w:spacing w:val="-29"/>
        </w:rPr>
        <w:t> </w:t>
      </w:r>
      <w:r>
        <w:rPr/>
        <w:t>ou indireta de serviços de energia elétrica, compreendendo os segmentos de geração, transmissão, distribuição e comercialização.</w:t>
      </w:r>
      <w:r>
        <w:rPr>
          <w:spacing w:val="-42"/>
        </w:rPr>
        <w:t> </w:t>
      </w:r>
      <w:r>
        <w:rPr/>
        <w:t>De</w:t>
      </w:r>
      <w:r>
        <w:rPr>
          <w:spacing w:val="-42"/>
        </w:rPr>
        <w:t> </w:t>
      </w:r>
      <w:r>
        <w:rPr/>
        <w:t>forma</w:t>
      </w:r>
      <w:r>
        <w:rPr>
          <w:spacing w:val="-42"/>
        </w:rPr>
        <w:t> </w:t>
      </w:r>
      <w:r>
        <w:rPr/>
        <w:t>secundária,</w:t>
      </w:r>
      <w:r>
        <w:rPr>
          <w:spacing w:val="-42"/>
        </w:rPr>
        <w:t> </w:t>
      </w:r>
      <w:r>
        <w:rPr/>
        <w:t>a</w:t>
      </w:r>
      <w:r>
        <w:rPr>
          <w:spacing w:val="-41"/>
        </w:rPr>
        <w:t> </w:t>
      </w:r>
      <w:r>
        <w:rPr/>
        <w:t>CEB</w:t>
      </w:r>
      <w:r>
        <w:rPr>
          <w:spacing w:val="-41"/>
        </w:rPr>
        <w:t> </w:t>
      </w:r>
      <w:r>
        <w:rPr/>
        <w:t>presta</w:t>
      </w:r>
      <w:r>
        <w:rPr>
          <w:spacing w:val="-42"/>
        </w:rPr>
        <w:t> </w:t>
      </w:r>
      <w:r>
        <w:rPr/>
        <w:t>serviços</w:t>
      </w:r>
      <w:r>
        <w:rPr>
          <w:spacing w:val="-41"/>
        </w:rPr>
        <w:t> </w:t>
      </w:r>
      <w:r>
        <w:rPr/>
        <w:t>de</w:t>
      </w:r>
      <w:r>
        <w:rPr>
          <w:spacing w:val="-43"/>
        </w:rPr>
        <w:t> </w:t>
      </w:r>
      <w:r>
        <w:rPr/>
        <w:t>manutenção</w:t>
      </w:r>
      <w:r>
        <w:rPr>
          <w:spacing w:val="-41"/>
        </w:rPr>
        <w:t> </w:t>
      </w:r>
      <w:r>
        <w:rPr/>
        <w:t>e</w:t>
      </w:r>
      <w:r>
        <w:rPr>
          <w:spacing w:val="-41"/>
        </w:rPr>
        <w:t> </w:t>
      </w:r>
      <w:r>
        <w:rPr/>
        <w:t>de</w:t>
      </w:r>
      <w:r>
        <w:rPr>
          <w:spacing w:val="-39"/>
        </w:rPr>
        <w:t> </w:t>
      </w:r>
      <w:r>
        <w:rPr/>
        <w:t>expansão</w:t>
      </w:r>
      <w:r>
        <w:rPr>
          <w:spacing w:val="-42"/>
        </w:rPr>
        <w:t> </w:t>
      </w:r>
      <w:r>
        <w:rPr/>
        <w:t>do</w:t>
      </w:r>
      <w:r>
        <w:rPr>
          <w:spacing w:val="-42"/>
        </w:rPr>
        <w:t> </w:t>
      </w:r>
      <w:r>
        <w:rPr/>
        <w:t>sistema</w:t>
      </w:r>
      <w:r>
        <w:rPr>
          <w:spacing w:val="-41"/>
        </w:rPr>
        <w:t> </w:t>
      </w:r>
      <w:r>
        <w:rPr/>
        <w:t>de</w:t>
      </w:r>
      <w:r>
        <w:rPr>
          <w:spacing w:val="-42"/>
        </w:rPr>
        <w:t> </w:t>
      </w:r>
      <w:r>
        <w:rPr/>
        <w:t>iluminação pública</w:t>
      </w:r>
      <w:r>
        <w:rPr>
          <w:spacing w:val="-18"/>
        </w:rPr>
        <w:t> </w:t>
      </w:r>
      <w:r>
        <w:rPr/>
        <w:t>do</w:t>
      </w:r>
      <w:r>
        <w:rPr>
          <w:spacing w:val="-17"/>
        </w:rPr>
        <w:t> </w:t>
      </w:r>
      <w:r>
        <w:rPr/>
        <w:t>Distrito</w:t>
      </w:r>
      <w:r>
        <w:rPr>
          <w:spacing w:val="-18"/>
        </w:rPr>
        <w:t> </w:t>
      </w:r>
      <w:r>
        <w:rPr/>
        <w:t>Federal.</w:t>
      </w:r>
    </w:p>
    <w:p>
      <w:pPr>
        <w:pStyle w:val="BodyText"/>
        <w:spacing w:before="1"/>
      </w:pPr>
    </w:p>
    <w:p>
      <w:pPr>
        <w:pStyle w:val="BodyText"/>
        <w:ind w:left="192"/>
        <w:jc w:val="both"/>
      </w:pPr>
      <w:r>
        <w:rPr/>
        <w:t>Segue abaixo lista das controladas e coligadas do Grupo:</w:t>
      </w:r>
    </w:p>
    <w:p>
      <w:pPr>
        <w:pStyle w:val="BodyText"/>
        <w:spacing w:before="1" w:after="1"/>
      </w:pPr>
    </w:p>
    <w:tbl>
      <w:tblPr>
        <w:tblW w:w="0" w:type="auto"/>
        <w:jc w:val="left"/>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30"/>
        <w:gridCol w:w="1783"/>
        <w:gridCol w:w="1409"/>
        <w:gridCol w:w="1406"/>
      </w:tblGrid>
      <w:tr>
        <w:trPr>
          <w:trHeight w:val="258" w:hRule="atLeast"/>
        </w:trPr>
        <w:tc>
          <w:tcPr>
            <w:tcW w:w="5430" w:type="dxa"/>
            <w:vMerge w:val="restart"/>
            <w:shd w:val="clear" w:color="auto" w:fill="D9D9D9"/>
          </w:tcPr>
          <w:p>
            <w:pPr>
              <w:pStyle w:val="TableParagraph"/>
              <w:rPr>
                <w:rFonts w:ascii="Times New Roman"/>
                <w:sz w:val="18"/>
              </w:rPr>
            </w:pPr>
          </w:p>
        </w:tc>
        <w:tc>
          <w:tcPr>
            <w:tcW w:w="1783" w:type="dxa"/>
          </w:tcPr>
          <w:p>
            <w:pPr>
              <w:pStyle w:val="TableParagraph"/>
              <w:rPr>
                <w:rFonts w:ascii="Times New Roman"/>
                <w:sz w:val="18"/>
              </w:rPr>
            </w:pPr>
          </w:p>
        </w:tc>
        <w:tc>
          <w:tcPr>
            <w:tcW w:w="2815" w:type="dxa"/>
            <w:gridSpan w:val="2"/>
          </w:tcPr>
          <w:p>
            <w:pPr>
              <w:pStyle w:val="TableParagraph"/>
              <w:spacing w:line="168" w:lineRule="exact" w:before="71"/>
              <w:ind w:left="488"/>
              <w:rPr>
                <w:rFonts w:ascii="Caladea" w:hAnsi="Caladea"/>
                <w:b/>
                <w:sz w:val="16"/>
              </w:rPr>
            </w:pPr>
            <w:r>
              <w:rPr>
                <w:rFonts w:ascii="Caladea" w:hAnsi="Caladea"/>
                <w:b/>
                <w:sz w:val="16"/>
              </w:rPr>
              <w:t>Participação acionária %</w:t>
            </w:r>
          </w:p>
        </w:tc>
      </w:tr>
      <w:tr>
        <w:trPr>
          <w:trHeight w:val="258" w:hRule="atLeast"/>
        </w:trPr>
        <w:tc>
          <w:tcPr>
            <w:tcW w:w="5430" w:type="dxa"/>
            <w:vMerge/>
            <w:tcBorders>
              <w:top w:val="nil"/>
            </w:tcBorders>
            <w:shd w:val="clear" w:color="auto" w:fill="D9D9D9"/>
          </w:tcPr>
          <w:p>
            <w:pPr>
              <w:rPr>
                <w:sz w:val="2"/>
                <w:szCs w:val="2"/>
              </w:rPr>
            </w:pPr>
          </w:p>
        </w:tc>
        <w:tc>
          <w:tcPr>
            <w:tcW w:w="1783" w:type="dxa"/>
          </w:tcPr>
          <w:p>
            <w:pPr>
              <w:pStyle w:val="TableParagraph"/>
              <w:spacing w:before="35"/>
              <w:ind w:left="515" w:right="507"/>
              <w:jc w:val="center"/>
              <w:rPr>
                <w:rFonts w:ascii="Caladea"/>
                <w:b/>
                <w:sz w:val="16"/>
              </w:rPr>
            </w:pPr>
            <w:r>
              <w:rPr>
                <w:rFonts w:ascii="Caladea"/>
                <w:b/>
                <w:sz w:val="16"/>
              </w:rPr>
              <w:t>Atividade</w:t>
            </w:r>
          </w:p>
        </w:tc>
        <w:tc>
          <w:tcPr>
            <w:tcW w:w="1409" w:type="dxa"/>
          </w:tcPr>
          <w:p>
            <w:pPr>
              <w:pStyle w:val="TableParagraph"/>
              <w:spacing w:before="35"/>
              <w:ind w:left="497" w:right="482"/>
              <w:jc w:val="center"/>
              <w:rPr>
                <w:rFonts w:ascii="Caladea"/>
                <w:b/>
                <w:sz w:val="16"/>
              </w:rPr>
            </w:pPr>
            <w:r>
              <w:rPr>
                <w:rFonts w:ascii="Caladea"/>
                <w:b/>
                <w:sz w:val="16"/>
              </w:rPr>
              <w:t>2019</w:t>
            </w:r>
          </w:p>
        </w:tc>
        <w:tc>
          <w:tcPr>
            <w:tcW w:w="1406" w:type="dxa"/>
          </w:tcPr>
          <w:p>
            <w:pPr>
              <w:pStyle w:val="TableParagraph"/>
              <w:spacing w:before="35"/>
              <w:ind w:left="494" w:right="482"/>
              <w:jc w:val="center"/>
              <w:rPr>
                <w:rFonts w:ascii="Caladea"/>
                <w:b/>
                <w:sz w:val="16"/>
              </w:rPr>
            </w:pPr>
            <w:r>
              <w:rPr>
                <w:rFonts w:ascii="Caladea"/>
                <w:b/>
                <w:sz w:val="16"/>
              </w:rPr>
              <w:t>2018</w:t>
            </w:r>
          </w:p>
        </w:tc>
      </w:tr>
      <w:tr>
        <w:trPr>
          <w:trHeight w:val="1814" w:hRule="atLeast"/>
        </w:trPr>
        <w:tc>
          <w:tcPr>
            <w:tcW w:w="5430" w:type="dxa"/>
          </w:tcPr>
          <w:p>
            <w:pPr>
              <w:pStyle w:val="TableParagraph"/>
              <w:spacing w:line="331" w:lineRule="auto" w:before="35"/>
              <w:ind w:left="72" w:right="3773"/>
              <w:rPr>
                <w:rFonts w:ascii="Caladea" w:hAnsi="Caladea"/>
                <w:b/>
                <w:sz w:val="16"/>
              </w:rPr>
            </w:pPr>
            <w:r>
              <w:rPr>
                <w:rFonts w:ascii="Caladea" w:hAnsi="Caladea"/>
                <w:b/>
                <w:sz w:val="16"/>
              </w:rPr>
              <w:t>Participações diretas Em Controladas</w:t>
            </w:r>
          </w:p>
          <w:p>
            <w:pPr>
              <w:pStyle w:val="TableParagraph"/>
              <w:spacing w:line="336" w:lineRule="auto" w:before="2"/>
              <w:ind w:left="180" w:right="1433"/>
              <w:rPr>
                <w:sz w:val="16"/>
              </w:rPr>
            </w:pPr>
            <w:r>
              <w:rPr>
                <w:w w:val="95"/>
                <w:sz w:val="16"/>
              </w:rPr>
              <w:t>CEB</w:t>
            </w:r>
            <w:r>
              <w:rPr>
                <w:spacing w:val="-11"/>
                <w:w w:val="95"/>
                <w:sz w:val="16"/>
              </w:rPr>
              <w:t> </w:t>
            </w:r>
            <w:r>
              <w:rPr>
                <w:w w:val="95"/>
                <w:sz w:val="16"/>
              </w:rPr>
              <w:t>Distribuição</w:t>
            </w:r>
            <w:r>
              <w:rPr>
                <w:spacing w:val="-8"/>
                <w:w w:val="95"/>
                <w:sz w:val="16"/>
              </w:rPr>
              <w:t> </w:t>
            </w:r>
            <w:r>
              <w:rPr>
                <w:w w:val="95"/>
                <w:sz w:val="16"/>
              </w:rPr>
              <w:t>S.A.</w:t>
            </w:r>
            <w:r>
              <w:rPr>
                <w:spacing w:val="-9"/>
                <w:w w:val="95"/>
                <w:sz w:val="16"/>
              </w:rPr>
              <w:t> </w:t>
            </w:r>
            <w:r>
              <w:rPr>
                <w:w w:val="95"/>
                <w:sz w:val="16"/>
              </w:rPr>
              <w:t>(“CEB</w:t>
            </w:r>
            <w:r>
              <w:rPr>
                <w:spacing w:val="-9"/>
                <w:w w:val="95"/>
                <w:sz w:val="16"/>
              </w:rPr>
              <w:t> </w:t>
            </w:r>
            <w:r>
              <w:rPr>
                <w:w w:val="95"/>
                <w:sz w:val="16"/>
              </w:rPr>
              <w:t>DIS”,</w:t>
            </w:r>
            <w:r>
              <w:rPr>
                <w:spacing w:val="-10"/>
                <w:w w:val="95"/>
                <w:sz w:val="16"/>
              </w:rPr>
              <w:t> </w:t>
            </w:r>
            <w:r>
              <w:rPr>
                <w:w w:val="95"/>
                <w:sz w:val="16"/>
              </w:rPr>
              <w:t>ou</w:t>
            </w:r>
            <w:r>
              <w:rPr>
                <w:spacing w:val="-9"/>
                <w:w w:val="95"/>
                <w:sz w:val="16"/>
              </w:rPr>
              <w:t> </w:t>
            </w:r>
            <w:r>
              <w:rPr>
                <w:w w:val="95"/>
                <w:sz w:val="16"/>
              </w:rPr>
              <w:t>“Distribuidora”) </w:t>
            </w:r>
            <w:r>
              <w:rPr>
                <w:sz w:val="16"/>
              </w:rPr>
              <w:t>CEB Geração</w:t>
            </w:r>
            <w:r>
              <w:rPr>
                <w:spacing w:val="-30"/>
                <w:sz w:val="16"/>
              </w:rPr>
              <w:t> </w:t>
            </w:r>
            <w:r>
              <w:rPr>
                <w:sz w:val="16"/>
              </w:rPr>
              <w:t>S.A.</w:t>
            </w:r>
          </w:p>
          <w:p>
            <w:pPr>
              <w:pStyle w:val="TableParagraph"/>
              <w:spacing w:line="336" w:lineRule="auto"/>
              <w:ind w:left="180" w:right="3784"/>
              <w:rPr>
                <w:sz w:val="16"/>
              </w:rPr>
            </w:pPr>
            <w:r>
              <w:rPr>
                <w:w w:val="95"/>
                <w:sz w:val="16"/>
              </w:rPr>
              <w:t>CEB Participação</w:t>
            </w:r>
            <w:r>
              <w:rPr>
                <w:spacing w:val="-36"/>
                <w:w w:val="95"/>
                <w:sz w:val="16"/>
              </w:rPr>
              <w:t> </w:t>
            </w:r>
            <w:r>
              <w:rPr>
                <w:w w:val="95"/>
                <w:sz w:val="16"/>
              </w:rPr>
              <w:t>S.A. </w:t>
            </w:r>
            <w:r>
              <w:rPr>
                <w:sz w:val="16"/>
              </w:rPr>
              <w:t>CEB</w:t>
            </w:r>
            <w:r>
              <w:rPr>
                <w:spacing w:val="-22"/>
                <w:sz w:val="16"/>
              </w:rPr>
              <w:t> </w:t>
            </w:r>
            <w:r>
              <w:rPr>
                <w:sz w:val="16"/>
              </w:rPr>
              <w:t>Lajeado</w:t>
            </w:r>
            <w:r>
              <w:rPr>
                <w:spacing w:val="-19"/>
                <w:sz w:val="16"/>
              </w:rPr>
              <w:t> </w:t>
            </w:r>
            <w:r>
              <w:rPr>
                <w:sz w:val="16"/>
              </w:rPr>
              <w:t>S.A.</w:t>
            </w:r>
          </w:p>
          <w:p>
            <w:pPr>
              <w:pStyle w:val="TableParagraph"/>
              <w:spacing w:line="184" w:lineRule="exact"/>
              <w:ind w:left="180"/>
              <w:rPr>
                <w:sz w:val="16"/>
              </w:rPr>
            </w:pPr>
            <w:r>
              <w:rPr>
                <w:sz w:val="16"/>
              </w:rPr>
              <w:t>Companhia Brasiliense de Gás (CEB Gás)</w:t>
            </w:r>
          </w:p>
        </w:tc>
        <w:tc>
          <w:tcPr>
            <w:tcW w:w="1783" w:type="dxa"/>
          </w:tcPr>
          <w:p>
            <w:pPr>
              <w:pStyle w:val="TableParagraph"/>
              <w:rPr>
                <w:sz w:val="18"/>
              </w:rPr>
            </w:pPr>
          </w:p>
          <w:p>
            <w:pPr>
              <w:pStyle w:val="TableParagraph"/>
              <w:rPr>
                <w:sz w:val="18"/>
              </w:rPr>
            </w:pPr>
          </w:p>
          <w:p>
            <w:pPr>
              <w:pStyle w:val="TableParagraph"/>
              <w:spacing w:line="336" w:lineRule="auto" w:before="137"/>
              <w:ind w:left="331" w:right="321" w:firstLine="3"/>
              <w:jc w:val="center"/>
              <w:rPr>
                <w:sz w:val="16"/>
              </w:rPr>
            </w:pPr>
            <w:r>
              <w:rPr>
                <w:sz w:val="16"/>
              </w:rPr>
              <w:t>Distribuição Geração </w:t>
            </w:r>
            <w:r>
              <w:rPr>
                <w:w w:val="95"/>
                <w:sz w:val="16"/>
              </w:rPr>
              <w:t>Comercialização Comercialização</w:t>
            </w:r>
          </w:p>
          <w:p>
            <w:pPr>
              <w:pStyle w:val="TableParagraph"/>
              <w:spacing w:line="183" w:lineRule="exact"/>
              <w:ind w:left="515" w:right="506"/>
              <w:jc w:val="center"/>
              <w:rPr>
                <w:sz w:val="16"/>
              </w:rPr>
            </w:pPr>
            <w:r>
              <w:rPr>
                <w:sz w:val="16"/>
              </w:rPr>
              <w:t>Gás</w:t>
            </w:r>
          </w:p>
        </w:tc>
        <w:tc>
          <w:tcPr>
            <w:tcW w:w="1409" w:type="dxa"/>
          </w:tcPr>
          <w:p>
            <w:pPr>
              <w:pStyle w:val="TableParagraph"/>
              <w:rPr>
                <w:sz w:val="18"/>
              </w:rPr>
            </w:pPr>
          </w:p>
          <w:p>
            <w:pPr>
              <w:pStyle w:val="TableParagraph"/>
              <w:rPr>
                <w:sz w:val="18"/>
              </w:rPr>
            </w:pPr>
          </w:p>
          <w:p>
            <w:pPr>
              <w:pStyle w:val="TableParagraph"/>
              <w:spacing w:before="137"/>
              <w:ind w:right="54"/>
              <w:jc w:val="right"/>
              <w:rPr>
                <w:sz w:val="16"/>
              </w:rPr>
            </w:pPr>
            <w:r>
              <w:rPr>
                <w:spacing w:val="-1"/>
                <w:sz w:val="16"/>
              </w:rPr>
              <w:t>100,00</w:t>
            </w:r>
          </w:p>
          <w:p>
            <w:pPr>
              <w:pStyle w:val="TableParagraph"/>
              <w:spacing w:before="73"/>
              <w:ind w:right="54"/>
              <w:jc w:val="right"/>
              <w:rPr>
                <w:sz w:val="16"/>
              </w:rPr>
            </w:pPr>
            <w:r>
              <w:rPr>
                <w:spacing w:val="-1"/>
                <w:sz w:val="16"/>
              </w:rPr>
              <w:t>100,00</w:t>
            </w:r>
          </w:p>
          <w:p>
            <w:pPr>
              <w:pStyle w:val="TableParagraph"/>
              <w:spacing w:before="74"/>
              <w:ind w:right="54"/>
              <w:jc w:val="right"/>
              <w:rPr>
                <w:sz w:val="16"/>
              </w:rPr>
            </w:pPr>
            <w:r>
              <w:rPr>
                <w:spacing w:val="-1"/>
                <w:sz w:val="16"/>
              </w:rPr>
              <w:t>100,00</w:t>
            </w:r>
          </w:p>
          <w:p>
            <w:pPr>
              <w:pStyle w:val="TableParagraph"/>
              <w:spacing w:before="74"/>
              <w:ind w:right="54"/>
              <w:jc w:val="right"/>
              <w:rPr>
                <w:sz w:val="16"/>
              </w:rPr>
            </w:pPr>
            <w:r>
              <w:rPr>
                <w:w w:val="95"/>
                <w:sz w:val="16"/>
              </w:rPr>
              <w:t>59,93</w:t>
            </w:r>
          </w:p>
          <w:p>
            <w:pPr>
              <w:pStyle w:val="TableParagraph"/>
              <w:spacing w:before="73"/>
              <w:ind w:right="54"/>
              <w:jc w:val="right"/>
              <w:rPr>
                <w:sz w:val="16"/>
              </w:rPr>
            </w:pPr>
            <w:r>
              <w:rPr>
                <w:w w:val="95"/>
                <w:sz w:val="16"/>
              </w:rPr>
              <w:t>17,00</w:t>
            </w:r>
          </w:p>
        </w:tc>
        <w:tc>
          <w:tcPr>
            <w:tcW w:w="1406" w:type="dxa"/>
          </w:tcPr>
          <w:p>
            <w:pPr>
              <w:pStyle w:val="TableParagraph"/>
              <w:rPr>
                <w:sz w:val="18"/>
              </w:rPr>
            </w:pPr>
          </w:p>
          <w:p>
            <w:pPr>
              <w:pStyle w:val="TableParagraph"/>
              <w:rPr>
                <w:sz w:val="18"/>
              </w:rPr>
            </w:pPr>
          </w:p>
          <w:p>
            <w:pPr>
              <w:pStyle w:val="TableParagraph"/>
              <w:spacing w:before="137"/>
              <w:ind w:right="54"/>
              <w:jc w:val="right"/>
              <w:rPr>
                <w:sz w:val="16"/>
              </w:rPr>
            </w:pPr>
            <w:r>
              <w:rPr>
                <w:spacing w:val="-1"/>
                <w:sz w:val="16"/>
              </w:rPr>
              <w:t>100,00</w:t>
            </w:r>
          </w:p>
          <w:p>
            <w:pPr>
              <w:pStyle w:val="TableParagraph"/>
              <w:spacing w:before="73"/>
              <w:ind w:right="54"/>
              <w:jc w:val="right"/>
              <w:rPr>
                <w:sz w:val="16"/>
              </w:rPr>
            </w:pPr>
            <w:r>
              <w:rPr>
                <w:spacing w:val="-1"/>
                <w:sz w:val="16"/>
              </w:rPr>
              <w:t>100,00</w:t>
            </w:r>
          </w:p>
          <w:p>
            <w:pPr>
              <w:pStyle w:val="TableParagraph"/>
              <w:spacing w:before="74"/>
              <w:ind w:right="54"/>
              <w:jc w:val="right"/>
              <w:rPr>
                <w:sz w:val="16"/>
              </w:rPr>
            </w:pPr>
            <w:r>
              <w:rPr>
                <w:spacing w:val="-1"/>
                <w:sz w:val="16"/>
              </w:rPr>
              <w:t>100,00</w:t>
            </w:r>
          </w:p>
          <w:p>
            <w:pPr>
              <w:pStyle w:val="TableParagraph"/>
              <w:spacing w:before="74"/>
              <w:ind w:right="53"/>
              <w:jc w:val="right"/>
              <w:rPr>
                <w:sz w:val="16"/>
              </w:rPr>
            </w:pPr>
            <w:r>
              <w:rPr>
                <w:w w:val="95"/>
                <w:sz w:val="16"/>
              </w:rPr>
              <w:t>59,93</w:t>
            </w:r>
          </w:p>
          <w:p>
            <w:pPr>
              <w:pStyle w:val="TableParagraph"/>
              <w:spacing w:before="73"/>
              <w:ind w:right="53"/>
              <w:jc w:val="right"/>
              <w:rPr>
                <w:sz w:val="16"/>
              </w:rPr>
            </w:pPr>
            <w:r>
              <w:rPr>
                <w:w w:val="95"/>
                <w:sz w:val="16"/>
              </w:rPr>
              <w:t>17,00</w:t>
            </w:r>
          </w:p>
        </w:tc>
      </w:tr>
      <w:tr>
        <w:trPr>
          <w:trHeight w:val="517" w:hRule="atLeast"/>
        </w:trPr>
        <w:tc>
          <w:tcPr>
            <w:tcW w:w="5430" w:type="dxa"/>
          </w:tcPr>
          <w:p>
            <w:pPr>
              <w:pStyle w:val="TableParagraph"/>
              <w:spacing w:before="35"/>
              <w:ind w:left="53" w:right="3270"/>
              <w:jc w:val="center"/>
              <w:rPr>
                <w:rFonts w:ascii="Caladea"/>
                <w:b/>
                <w:sz w:val="16"/>
              </w:rPr>
            </w:pPr>
            <w:r>
              <w:rPr>
                <w:rFonts w:ascii="Caladea"/>
                <w:b/>
                <w:sz w:val="16"/>
              </w:rPr>
              <w:t>Em Controlada em Conjunto</w:t>
            </w:r>
          </w:p>
          <w:p>
            <w:pPr>
              <w:pStyle w:val="TableParagraph"/>
              <w:spacing w:before="73"/>
              <w:ind w:left="53" w:right="3250"/>
              <w:jc w:val="center"/>
              <w:rPr>
                <w:sz w:val="16"/>
              </w:rPr>
            </w:pPr>
            <w:r>
              <w:rPr>
                <w:sz w:val="16"/>
              </w:rPr>
              <w:t>Energética Corumbá III S.A.</w:t>
            </w:r>
          </w:p>
        </w:tc>
        <w:tc>
          <w:tcPr>
            <w:tcW w:w="1783" w:type="dxa"/>
          </w:tcPr>
          <w:p>
            <w:pPr>
              <w:pStyle w:val="TableParagraph"/>
              <w:spacing w:before="5"/>
              <w:rPr>
                <w:sz w:val="25"/>
              </w:rPr>
            </w:pPr>
          </w:p>
          <w:p>
            <w:pPr>
              <w:pStyle w:val="TableParagraph"/>
              <w:ind w:left="515" w:right="504"/>
              <w:jc w:val="center"/>
              <w:rPr>
                <w:sz w:val="16"/>
              </w:rPr>
            </w:pPr>
            <w:r>
              <w:rPr>
                <w:sz w:val="16"/>
              </w:rPr>
              <w:t>Geração</w:t>
            </w:r>
          </w:p>
        </w:tc>
        <w:tc>
          <w:tcPr>
            <w:tcW w:w="1409" w:type="dxa"/>
          </w:tcPr>
          <w:p>
            <w:pPr>
              <w:pStyle w:val="TableParagraph"/>
              <w:spacing w:before="5"/>
              <w:rPr>
                <w:sz w:val="25"/>
              </w:rPr>
            </w:pPr>
          </w:p>
          <w:p>
            <w:pPr>
              <w:pStyle w:val="TableParagraph"/>
              <w:ind w:right="54"/>
              <w:jc w:val="right"/>
              <w:rPr>
                <w:sz w:val="16"/>
              </w:rPr>
            </w:pPr>
            <w:r>
              <w:rPr>
                <w:w w:val="95"/>
                <w:sz w:val="16"/>
              </w:rPr>
              <w:t>37,50</w:t>
            </w:r>
          </w:p>
        </w:tc>
        <w:tc>
          <w:tcPr>
            <w:tcW w:w="1406" w:type="dxa"/>
          </w:tcPr>
          <w:p>
            <w:pPr>
              <w:pStyle w:val="TableParagraph"/>
              <w:spacing w:before="5"/>
              <w:rPr>
                <w:sz w:val="25"/>
              </w:rPr>
            </w:pPr>
          </w:p>
          <w:p>
            <w:pPr>
              <w:pStyle w:val="TableParagraph"/>
              <w:ind w:right="53"/>
              <w:jc w:val="right"/>
              <w:rPr>
                <w:sz w:val="16"/>
              </w:rPr>
            </w:pPr>
            <w:r>
              <w:rPr>
                <w:w w:val="95"/>
                <w:sz w:val="16"/>
              </w:rPr>
              <w:t>37,50</w:t>
            </w:r>
          </w:p>
        </w:tc>
      </w:tr>
      <w:tr>
        <w:trPr>
          <w:trHeight w:val="518" w:hRule="atLeast"/>
        </w:trPr>
        <w:tc>
          <w:tcPr>
            <w:tcW w:w="5430" w:type="dxa"/>
          </w:tcPr>
          <w:p>
            <w:pPr>
              <w:pStyle w:val="TableParagraph"/>
              <w:spacing w:before="35"/>
              <w:ind w:left="72"/>
              <w:rPr>
                <w:rFonts w:ascii="Caladea"/>
                <w:b/>
                <w:sz w:val="16"/>
              </w:rPr>
            </w:pPr>
            <w:r>
              <w:rPr>
                <w:rFonts w:ascii="Caladea"/>
                <w:b/>
                <w:sz w:val="16"/>
              </w:rPr>
              <w:t>Em Coligada</w:t>
            </w:r>
          </w:p>
          <w:p>
            <w:pPr>
              <w:pStyle w:val="TableParagraph"/>
              <w:spacing w:before="73"/>
              <w:ind w:left="180"/>
              <w:rPr>
                <w:sz w:val="16"/>
              </w:rPr>
            </w:pPr>
            <w:r>
              <w:rPr>
                <w:sz w:val="16"/>
              </w:rPr>
              <w:t>Corumbá Concessões S.A.</w:t>
            </w:r>
          </w:p>
        </w:tc>
        <w:tc>
          <w:tcPr>
            <w:tcW w:w="1783" w:type="dxa"/>
          </w:tcPr>
          <w:p>
            <w:pPr>
              <w:pStyle w:val="TableParagraph"/>
              <w:spacing w:before="5"/>
              <w:rPr>
                <w:sz w:val="25"/>
              </w:rPr>
            </w:pPr>
          </w:p>
          <w:p>
            <w:pPr>
              <w:pStyle w:val="TableParagraph"/>
              <w:ind w:left="515" w:right="504"/>
              <w:jc w:val="center"/>
              <w:rPr>
                <w:sz w:val="16"/>
              </w:rPr>
            </w:pPr>
            <w:r>
              <w:rPr>
                <w:sz w:val="16"/>
              </w:rPr>
              <w:t>Geração</w:t>
            </w:r>
          </w:p>
        </w:tc>
        <w:tc>
          <w:tcPr>
            <w:tcW w:w="1409" w:type="dxa"/>
          </w:tcPr>
          <w:p>
            <w:pPr>
              <w:pStyle w:val="TableParagraph"/>
              <w:spacing w:before="5"/>
              <w:rPr>
                <w:sz w:val="25"/>
              </w:rPr>
            </w:pPr>
          </w:p>
          <w:p>
            <w:pPr>
              <w:pStyle w:val="TableParagraph"/>
              <w:ind w:right="54"/>
              <w:jc w:val="right"/>
              <w:rPr>
                <w:sz w:val="16"/>
              </w:rPr>
            </w:pPr>
            <w:r>
              <w:rPr>
                <w:w w:val="95"/>
                <w:sz w:val="16"/>
              </w:rPr>
              <w:t>32,14</w:t>
            </w:r>
          </w:p>
        </w:tc>
        <w:tc>
          <w:tcPr>
            <w:tcW w:w="1406" w:type="dxa"/>
          </w:tcPr>
          <w:p>
            <w:pPr>
              <w:pStyle w:val="TableParagraph"/>
              <w:spacing w:before="5"/>
              <w:rPr>
                <w:sz w:val="25"/>
              </w:rPr>
            </w:pPr>
          </w:p>
          <w:p>
            <w:pPr>
              <w:pStyle w:val="TableParagraph"/>
              <w:ind w:right="53"/>
              <w:jc w:val="right"/>
              <w:rPr>
                <w:sz w:val="16"/>
              </w:rPr>
            </w:pPr>
            <w:r>
              <w:rPr>
                <w:w w:val="95"/>
                <w:sz w:val="16"/>
              </w:rPr>
              <w:t>47,57</w:t>
            </w:r>
          </w:p>
        </w:tc>
      </w:tr>
      <w:tr>
        <w:trPr>
          <w:trHeight w:val="1295" w:hRule="atLeast"/>
        </w:trPr>
        <w:tc>
          <w:tcPr>
            <w:tcW w:w="5430" w:type="dxa"/>
          </w:tcPr>
          <w:p>
            <w:pPr>
              <w:pStyle w:val="TableParagraph"/>
              <w:spacing w:line="331" w:lineRule="auto" w:before="35"/>
              <w:ind w:left="72" w:right="3626"/>
              <w:rPr>
                <w:rFonts w:ascii="Caladea" w:hAnsi="Caladea"/>
                <w:b/>
                <w:sz w:val="16"/>
              </w:rPr>
            </w:pPr>
            <w:r>
              <w:rPr>
                <w:rFonts w:ascii="Caladea" w:hAnsi="Caladea"/>
                <w:b/>
                <w:sz w:val="16"/>
              </w:rPr>
              <w:t>Participações indiretas Em Coligada</w:t>
            </w:r>
          </w:p>
          <w:p>
            <w:pPr>
              <w:pStyle w:val="TableParagraph"/>
              <w:spacing w:before="2"/>
              <w:ind w:left="180"/>
              <w:rPr>
                <w:sz w:val="16"/>
              </w:rPr>
            </w:pPr>
            <w:r>
              <w:rPr>
                <w:sz w:val="16"/>
              </w:rPr>
              <w:t>Investco S.A.</w:t>
            </w:r>
          </w:p>
          <w:p>
            <w:pPr>
              <w:pStyle w:val="TableParagraph"/>
              <w:spacing w:before="72"/>
              <w:ind w:left="72"/>
              <w:rPr>
                <w:rFonts w:ascii="Caladea" w:hAnsi="Caladea"/>
                <w:b/>
                <w:sz w:val="16"/>
              </w:rPr>
            </w:pPr>
            <w:r>
              <w:rPr>
                <w:rFonts w:ascii="Caladea" w:hAnsi="Caladea"/>
                <w:b/>
                <w:sz w:val="16"/>
              </w:rPr>
              <w:t>Outras Participações</w:t>
            </w:r>
          </w:p>
          <w:p>
            <w:pPr>
              <w:pStyle w:val="TableParagraph"/>
              <w:spacing w:before="73"/>
              <w:ind w:left="180"/>
              <w:rPr>
                <w:sz w:val="16"/>
              </w:rPr>
            </w:pPr>
            <w:r>
              <w:rPr>
                <w:sz w:val="16"/>
              </w:rPr>
              <w:t>BSB Energética S.A.</w:t>
            </w:r>
          </w:p>
        </w:tc>
        <w:tc>
          <w:tcPr>
            <w:tcW w:w="1783" w:type="dxa"/>
          </w:tcPr>
          <w:p>
            <w:pPr>
              <w:pStyle w:val="TableParagraph"/>
              <w:rPr>
                <w:sz w:val="19"/>
              </w:rPr>
            </w:pPr>
          </w:p>
          <w:p>
            <w:pPr>
              <w:pStyle w:val="TableParagraph"/>
              <w:spacing w:line="520" w:lineRule="atLeast"/>
              <w:ind w:left="515" w:right="502"/>
              <w:jc w:val="center"/>
              <w:rPr>
                <w:sz w:val="16"/>
              </w:rPr>
            </w:pPr>
            <w:r>
              <w:rPr>
                <w:w w:val="90"/>
                <w:sz w:val="16"/>
              </w:rPr>
              <w:t>Geração Geração</w:t>
            </w:r>
          </w:p>
        </w:tc>
        <w:tc>
          <w:tcPr>
            <w:tcW w:w="1409" w:type="dxa"/>
          </w:tcPr>
          <w:p>
            <w:pPr>
              <w:pStyle w:val="TableParagraph"/>
              <w:rPr>
                <w:sz w:val="18"/>
              </w:rPr>
            </w:pPr>
          </w:p>
          <w:p>
            <w:pPr>
              <w:pStyle w:val="TableParagraph"/>
              <w:rPr>
                <w:sz w:val="18"/>
              </w:rPr>
            </w:pPr>
          </w:p>
          <w:p>
            <w:pPr>
              <w:pStyle w:val="TableParagraph"/>
              <w:spacing w:before="137"/>
              <w:ind w:right="54"/>
              <w:jc w:val="right"/>
              <w:rPr>
                <w:sz w:val="16"/>
              </w:rPr>
            </w:pPr>
            <w:r>
              <w:rPr>
                <w:w w:val="95"/>
                <w:sz w:val="16"/>
              </w:rPr>
              <w:t>11,99</w:t>
            </w:r>
          </w:p>
          <w:p>
            <w:pPr>
              <w:pStyle w:val="TableParagraph"/>
              <w:rPr>
                <w:sz w:val="18"/>
              </w:rPr>
            </w:pPr>
          </w:p>
          <w:p>
            <w:pPr>
              <w:pStyle w:val="TableParagraph"/>
              <w:spacing w:before="123"/>
              <w:ind w:right="54"/>
              <w:jc w:val="right"/>
              <w:rPr>
                <w:sz w:val="16"/>
              </w:rPr>
            </w:pPr>
            <w:r>
              <w:rPr>
                <w:w w:val="95"/>
                <w:sz w:val="16"/>
              </w:rPr>
              <w:t>9,00</w:t>
            </w:r>
          </w:p>
        </w:tc>
        <w:tc>
          <w:tcPr>
            <w:tcW w:w="1406" w:type="dxa"/>
          </w:tcPr>
          <w:p>
            <w:pPr>
              <w:pStyle w:val="TableParagraph"/>
              <w:rPr>
                <w:sz w:val="18"/>
              </w:rPr>
            </w:pPr>
          </w:p>
          <w:p>
            <w:pPr>
              <w:pStyle w:val="TableParagraph"/>
              <w:rPr>
                <w:sz w:val="18"/>
              </w:rPr>
            </w:pPr>
          </w:p>
          <w:p>
            <w:pPr>
              <w:pStyle w:val="TableParagraph"/>
              <w:spacing w:before="137"/>
              <w:ind w:right="53"/>
              <w:jc w:val="right"/>
              <w:rPr>
                <w:sz w:val="16"/>
              </w:rPr>
            </w:pPr>
            <w:r>
              <w:rPr>
                <w:w w:val="95"/>
                <w:sz w:val="16"/>
              </w:rPr>
              <w:t>11,99</w:t>
            </w:r>
          </w:p>
          <w:p>
            <w:pPr>
              <w:pStyle w:val="TableParagraph"/>
              <w:rPr>
                <w:sz w:val="18"/>
              </w:rPr>
            </w:pPr>
          </w:p>
          <w:p>
            <w:pPr>
              <w:pStyle w:val="TableParagraph"/>
              <w:spacing w:before="123"/>
              <w:ind w:right="53"/>
              <w:jc w:val="right"/>
              <w:rPr>
                <w:sz w:val="16"/>
              </w:rPr>
            </w:pPr>
            <w:r>
              <w:rPr>
                <w:w w:val="95"/>
                <w:sz w:val="16"/>
              </w:rPr>
              <w:t>9,00</w:t>
            </w:r>
          </w:p>
        </w:tc>
      </w:tr>
    </w:tbl>
    <w:p>
      <w:pPr>
        <w:pStyle w:val="BodyText"/>
        <w:spacing w:before="9"/>
      </w:pPr>
    </w:p>
    <w:p>
      <w:pPr>
        <w:pStyle w:val="ListParagraph"/>
        <w:numPr>
          <w:ilvl w:val="1"/>
          <w:numId w:val="6"/>
        </w:numPr>
        <w:tabs>
          <w:tab w:pos="1045" w:val="left" w:leader="none"/>
          <w:tab w:pos="1046" w:val="left" w:leader="none"/>
        </w:tabs>
        <w:spacing w:line="240" w:lineRule="auto" w:before="1" w:after="0"/>
        <w:ind w:left="1045" w:right="0" w:hanging="854"/>
        <w:jc w:val="left"/>
        <w:rPr>
          <w:rFonts w:ascii="Caladea" w:hAnsi="Caladea"/>
          <w:b/>
          <w:sz w:val="18"/>
        </w:rPr>
      </w:pPr>
      <w:r>
        <w:rPr>
          <w:rFonts w:ascii="Caladea" w:hAnsi="Caladea"/>
          <w:b/>
          <w:sz w:val="22"/>
        </w:rPr>
        <w:t>S</w:t>
      </w:r>
      <w:r>
        <w:rPr>
          <w:rFonts w:ascii="Caladea" w:hAnsi="Caladea"/>
          <w:b/>
          <w:sz w:val="18"/>
        </w:rPr>
        <w:t>EGMENTO DE</w:t>
      </w:r>
      <w:r>
        <w:rPr>
          <w:rFonts w:ascii="Caladea" w:hAnsi="Caladea"/>
          <w:b/>
          <w:spacing w:val="1"/>
          <w:sz w:val="18"/>
        </w:rPr>
        <w:t> </w:t>
      </w:r>
      <w:r>
        <w:rPr>
          <w:rFonts w:ascii="Caladea" w:hAnsi="Caladea"/>
          <w:b/>
          <w:sz w:val="22"/>
        </w:rPr>
        <w:t>G</w:t>
      </w:r>
      <w:r>
        <w:rPr>
          <w:rFonts w:ascii="Caladea" w:hAnsi="Caladea"/>
          <w:b/>
          <w:sz w:val="18"/>
        </w:rPr>
        <w:t>ERAÇÃO</w:t>
      </w:r>
    </w:p>
    <w:p>
      <w:pPr>
        <w:pStyle w:val="BodyText"/>
        <w:spacing w:before="8"/>
        <w:rPr>
          <w:rFonts w:ascii="Caladea"/>
          <w:b/>
          <w:sz w:val="23"/>
        </w:rPr>
      </w:pPr>
    </w:p>
    <w:p>
      <w:pPr>
        <w:spacing w:before="0"/>
        <w:ind w:left="192" w:right="0" w:firstLine="0"/>
        <w:jc w:val="both"/>
        <w:rPr>
          <w:rFonts w:ascii="Caladea" w:hAnsi="Caladea"/>
          <w:b/>
          <w:sz w:val="20"/>
        </w:rPr>
      </w:pPr>
      <w:r>
        <w:rPr>
          <w:rFonts w:ascii="Caladea" w:hAnsi="Caladea"/>
          <w:b/>
          <w:w w:val="105"/>
          <w:sz w:val="20"/>
        </w:rPr>
        <w:t>Acordo GSF </w:t>
      </w:r>
      <w:r>
        <w:rPr>
          <w:b/>
          <w:w w:val="105"/>
          <w:sz w:val="20"/>
        </w:rPr>
        <w:t>– </w:t>
      </w:r>
      <w:r>
        <w:rPr>
          <w:rFonts w:ascii="Caladea" w:hAnsi="Caladea"/>
          <w:b/>
          <w:w w:val="105"/>
          <w:sz w:val="20"/>
        </w:rPr>
        <w:t>Repactuação do Risco Hidrológico </w:t>
      </w:r>
      <w:r>
        <w:rPr>
          <w:b/>
          <w:w w:val="105"/>
          <w:sz w:val="20"/>
        </w:rPr>
        <w:t>– </w:t>
      </w:r>
      <w:r>
        <w:rPr>
          <w:rFonts w:ascii="Caladea" w:hAnsi="Caladea"/>
          <w:b/>
          <w:w w:val="105"/>
          <w:sz w:val="20"/>
        </w:rPr>
        <w:t>Impacto Sobre as Investidas</w:t>
      </w:r>
    </w:p>
    <w:p>
      <w:pPr>
        <w:pStyle w:val="BodyText"/>
        <w:spacing w:before="8"/>
        <w:rPr>
          <w:rFonts w:ascii="Caladea"/>
          <w:b/>
        </w:rPr>
      </w:pPr>
    </w:p>
    <w:p>
      <w:pPr>
        <w:pStyle w:val="BodyText"/>
        <w:spacing w:line="242" w:lineRule="auto"/>
        <w:ind w:left="192" w:right="608"/>
        <w:jc w:val="both"/>
      </w:pPr>
      <w:r>
        <w:rPr/>
        <w:t>A</w:t>
      </w:r>
      <w:r>
        <w:rPr>
          <w:spacing w:val="-35"/>
        </w:rPr>
        <w:t> </w:t>
      </w:r>
      <w:r>
        <w:rPr/>
        <w:t>partir</w:t>
      </w:r>
      <w:r>
        <w:rPr>
          <w:spacing w:val="-35"/>
        </w:rPr>
        <w:t> </w:t>
      </w:r>
      <w:r>
        <w:rPr/>
        <w:t>do</w:t>
      </w:r>
      <w:r>
        <w:rPr>
          <w:spacing w:val="-34"/>
        </w:rPr>
        <w:t> </w:t>
      </w:r>
      <w:r>
        <w:rPr/>
        <w:t>exercício</w:t>
      </w:r>
      <w:r>
        <w:rPr>
          <w:spacing w:val="-34"/>
        </w:rPr>
        <w:t> </w:t>
      </w:r>
      <w:r>
        <w:rPr/>
        <w:t>de</w:t>
      </w:r>
      <w:r>
        <w:rPr>
          <w:spacing w:val="-35"/>
        </w:rPr>
        <w:t> </w:t>
      </w:r>
      <w:r>
        <w:rPr/>
        <w:t>2014,</w:t>
      </w:r>
      <w:r>
        <w:rPr>
          <w:spacing w:val="-35"/>
        </w:rPr>
        <w:t> </w:t>
      </w:r>
      <w:r>
        <w:rPr/>
        <w:t>o</w:t>
      </w:r>
      <w:r>
        <w:rPr>
          <w:spacing w:val="-36"/>
        </w:rPr>
        <w:t> </w:t>
      </w:r>
      <w:r>
        <w:rPr/>
        <w:t>setor</w:t>
      </w:r>
      <w:r>
        <w:rPr>
          <w:spacing w:val="-34"/>
        </w:rPr>
        <w:t> </w:t>
      </w:r>
      <w:r>
        <w:rPr/>
        <w:t>elétrico</w:t>
      </w:r>
      <w:r>
        <w:rPr>
          <w:spacing w:val="-34"/>
        </w:rPr>
        <w:t> </w:t>
      </w:r>
      <w:r>
        <w:rPr/>
        <w:t>brasileiro</w:t>
      </w:r>
      <w:r>
        <w:rPr>
          <w:spacing w:val="-33"/>
        </w:rPr>
        <w:t> </w:t>
      </w:r>
      <w:r>
        <w:rPr/>
        <w:t>enfrentou</w:t>
      </w:r>
      <w:r>
        <w:rPr>
          <w:spacing w:val="-34"/>
        </w:rPr>
        <w:t> </w:t>
      </w:r>
      <w:r>
        <w:rPr/>
        <w:t>uma</w:t>
      </w:r>
      <w:r>
        <w:rPr>
          <w:spacing w:val="-35"/>
        </w:rPr>
        <w:t> </w:t>
      </w:r>
      <w:r>
        <w:rPr/>
        <w:t>crise</w:t>
      </w:r>
      <w:r>
        <w:rPr>
          <w:spacing w:val="-35"/>
        </w:rPr>
        <w:t> </w:t>
      </w:r>
      <w:r>
        <w:rPr/>
        <w:t>de</w:t>
      </w:r>
      <w:r>
        <w:rPr>
          <w:spacing w:val="-36"/>
        </w:rPr>
        <w:t> </w:t>
      </w:r>
      <w:r>
        <w:rPr/>
        <w:t>caráter</w:t>
      </w:r>
      <w:r>
        <w:rPr>
          <w:spacing w:val="-34"/>
        </w:rPr>
        <w:t> </w:t>
      </w:r>
      <w:r>
        <w:rPr/>
        <w:t>estrutural</w:t>
      </w:r>
      <w:r>
        <w:rPr>
          <w:spacing w:val="-34"/>
        </w:rPr>
        <w:t> </w:t>
      </w:r>
      <w:r>
        <w:rPr/>
        <w:t>e</w:t>
      </w:r>
      <w:r>
        <w:rPr>
          <w:spacing w:val="-35"/>
        </w:rPr>
        <w:t> </w:t>
      </w:r>
      <w:r>
        <w:rPr/>
        <w:t>regulatório</w:t>
      </w:r>
      <w:r>
        <w:rPr>
          <w:spacing w:val="-34"/>
        </w:rPr>
        <w:t> </w:t>
      </w:r>
      <w:r>
        <w:rPr/>
        <w:t>que, agravada</w:t>
      </w:r>
      <w:r>
        <w:rPr>
          <w:spacing w:val="-44"/>
        </w:rPr>
        <w:t> </w:t>
      </w:r>
      <w:r>
        <w:rPr/>
        <w:t>pela</w:t>
      </w:r>
      <w:r>
        <w:rPr>
          <w:spacing w:val="-44"/>
        </w:rPr>
        <w:t> </w:t>
      </w:r>
      <w:r>
        <w:rPr/>
        <w:t>considerável</w:t>
      </w:r>
      <w:r>
        <w:rPr>
          <w:spacing w:val="-44"/>
        </w:rPr>
        <w:t> </w:t>
      </w:r>
      <w:r>
        <w:rPr/>
        <w:t>redução</w:t>
      </w:r>
      <w:r>
        <w:rPr>
          <w:spacing w:val="-44"/>
        </w:rPr>
        <w:t> </w:t>
      </w:r>
      <w:r>
        <w:rPr/>
        <w:t>dos</w:t>
      </w:r>
      <w:r>
        <w:rPr>
          <w:spacing w:val="-43"/>
        </w:rPr>
        <w:t> </w:t>
      </w:r>
      <w:r>
        <w:rPr/>
        <w:t>níveis</w:t>
      </w:r>
      <w:r>
        <w:rPr>
          <w:spacing w:val="-44"/>
        </w:rPr>
        <w:t> </w:t>
      </w:r>
      <w:r>
        <w:rPr/>
        <w:t>de</w:t>
      </w:r>
      <w:r>
        <w:rPr>
          <w:spacing w:val="-44"/>
        </w:rPr>
        <w:t> </w:t>
      </w:r>
      <w:r>
        <w:rPr/>
        <w:t>armazenamento</w:t>
      </w:r>
      <w:r>
        <w:rPr>
          <w:spacing w:val="-44"/>
        </w:rPr>
        <w:t> </w:t>
      </w:r>
      <w:r>
        <w:rPr/>
        <w:t>dos</w:t>
      </w:r>
      <w:r>
        <w:rPr>
          <w:spacing w:val="-43"/>
        </w:rPr>
        <w:t> </w:t>
      </w:r>
      <w:r>
        <w:rPr/>
        <w:t>reservatórios,</w:t>
      </w:r>
      <w:r>
        <w:rPr>
          <w:spacing w:val="-44"/>
        </w:rPr>
        <w:t> </w:t>
      </w:r>
      <w:r>
        <w:rPr/>
        <w:t>levou</w:t>
      </w:r>
      <w:r>
        <w:rPr>
          <w:spacing w:val="-44"/>
        </w:rPr>
        <w:t> </w:t>
      </w:r>
      <w:r>
        <w:rPr/>
        <w:t>a</w:t>
      </w:r>
      <w:r>
        <w:rPr>
          <w:spacing w:val="-43"/>
        </w:rPr>
        <w:t> </w:t>
      </w:r>
      <w:r>
        <w:rPr/>
        <w:t>um</w:t>
      </w:r>
      <w:r>
        <w:rPr>
          <w:spacing w:val="-45"/>
        </w:rPr>
        <w:t> </w:t>
      </w:r>
      <w:r>
        <w:rPr/>
        <w:t>deficit</w:t>
      </w:r>
      <w:r>
        <w:rPr>
          <w:spacing w:val="-43"/>
        </w:rPr>
        <w:t> </w:t>
      </w:r>
      <w:r>
        <w:rPr/>
        <w:t>de</w:t>
      </w:r>
      <w:r>
        <w:rPr>
          <w:spacing w:val="-45"/>
        </w:rPr>
        <w:t> </w:t>
      </w:r>
      <w:r>
        <w:rPr/>
        <w:t>geração</w:t>
      </w:r>
      <w:r>
        <w:rPr>
          <w:spacing w:val="-43"/>
        </w:rPr>
        <w:t> </w:t>
      </w:r>
      <w:r>
        <w:rPr/>
        <w:t>de energia,</w:t>
      </w:r>
      <w:r>
        <w:rPr>
          <w:spacing w:val="-42"/>
        </w:rPr>
        <w:t> </w:t>
      </w:r>
      <w:r>
        <w:rPr/>
        <w:t>ocasionando</w:t>
      </w:r>
      <w:r>
        <w:rPr>
          <w:spacing w:val="-40"/>
        </w:rPr>
        <w:t> </w:t>
      </w:r>
      <w:r>
        <w:rPr/>
        <w:t>exposições</w:t>
      </w:r>
      <w:r>
        <w:rPr>
          <w:spacing w:val="-41"/>
        </w:rPr>
        <w:t> </w:t>
      </w:r>
      <w:r>
        <w:rPr/>
        <w:t>financeiras</w:t>
      </w:r>
      <w:r>
        <w:rPr>
          <w:spacing w:val="-41"/>
        </w:rPr>
        <w:t> </w:t>
      </w:r>
      <w:r>
        <w:rPr/>
        <w:t>negativas</w:t>
      </w:r>
      <w:r>
        <w:rPr>
          <w:spacing w:val="-41"/>
        </w:rPr>
        <w:t> </w:t>
      </w:r>
      <w:r>
        <w:rPr/>
        <w:t>aos</w:t>
      </w:r>
      <w:r>
        <w:rPr>
          <w:spacing w:val="-42"/>
        </w:rPr>
        <w:t> </w:t>
      </w:r>
      <w:r>
        <w:rPr/>
        <w:t>geradores.</w:t>
      </w:r>
      <w:r>
        <w:rPr>
          <w:spacing w:val="-41"/>
        </w:rPr>
        <w:t> </w:t>
      </w:r>
      <w:r>
        <w:rPr/>
        <w:t>Com</w:t>
      </w:r>
      <w:r>
        <w:rPr>
          <w:spacing w:val="-41"/>
        </w:rPr>
        <w:t> </w:t>
      </w:r>
      <w:r>
        <w:rPr/>
        <w:t>isso</w:t>
      </w:r>
      <w:r>
        <w:rPr>
          <w:spacing w:val="-41"/>
        </w:rPr>
        <w:t> </w:t>
      </w:r>
      <w:r>
        <w:rPr/>
        <w:t>foi</w:t>
      </w:r>
      <w:r>
        <w:rPr>
          <w:spacing w:val="-42"/>
        </w:rPr>
        <w:t> </w:t>
      </w:r>
      <w:r>
        <w:rPr/>
        <w:t>imputado</w:t>
      </w:r>
      <w:r>
        <w:rPr>
          <w:spacing w:val="-42"/>
        </w:rPr>
        <w:t> </w:t>
      </w:r>
      <w:r>
        <w:rPr/>
        <w:t>ao</w:t>
      </w:r>
      <w:r>
        <w:rPr>
          <w:spacing w:val="-41"/>
        </w:rPr>
        <w:t> </w:t>
      </w:r>
      <w:r>
        <w:rPr/>
        <w:t>segmento</w:t>
      </w:r>
      <w:r>
        <w:rPr>
          <w:spacing w:val="-41"/>
        </w:rPr>
        <w:t> </w:t>
      </w:r>
      <w:r>
        <w:rPr/>
        <w:t>uma</w:t>
      </w:r>
      <w:r>
        <w:rPr>
          <w:spacing w:val="-41"/>
        </w:rPr>
        <w:t> </w:t>
      </w:r>
      <w:r>
        <w:rPr/>
        <w:t>conta </w:t>
      </w:r>
      <w:r>
        <w:rPr>
          <w:spacing w:val="-2"/>
          <w:w w:val="97"/>
        </w:rPr>
        <w:t>b</w:t>
      </w:r>
      <w:r>
        <w:rPr>
          <w:w w:val="94"/>
        </w:rPr>
        <w:t>il</w:t>
      </w:r>
      <w:r>
        <w:rPr>
          <w:w w:val="99"/>
        </w:rPr>
        <w:t>io</w:t>
      </w:r>
      <w:r>
        <w:rPr>
          <w:spacing w:val="-2"/>
          <w:w w:val="99"/>
        </w:rPr>
        <w:t>n</w:t>
      </w:r>
      <w:r>
        <w:rPr>
          <w:w w:val="92"/>
        </w:rPr>
        <w:t>á</w:t>
      </w:r>
      <w:r>
        <w:rPr>
          <w:spacing w:val="1"/>
          <w:w w:val="105"/>
        </w:rPr>
        <w:t>r</w:t>
      </w:r>
      <w:r>
        <w:rPr>
          <w:w w:val="94"/>
        </w:rPr>
        <w:t>ia</w:t>
      </w:r>
      <w:r>
        <w:rPr>
          <w:spacing w:val="-21"/>
        </w:rPr>
        <w:t> </w:t>
      </w:r>
      <w:r>
        <w:rPr>
          <w:spacing w:val="2"/>
          <w:w w:val="98"/>
        </w:rPr>
        <w:t>o</w:t>
      </w:r>
      <w:r>
        <w:rPr>
          <w:spacing w:val="-1"/>
          <w:w w:val="105"/>
        </w:rPr>
        <w:t>r</w:t>
      </w:r>
      <w:r>
        <w:rPr>
          <w:w w:val="100"/>
        </w:rPr>
        <w:t>iun</w:t>
      </w:r>
      <w:r>
        <w:rPr>
          <w:spacing w:val="-1"/>
          <w:w w:val="100"/>
        </w:rPr>
        <w:t>d</w:t>
      </w:r>
      <w:r>
        <w:rPr>
          <w:w w:val="92"/>
        </w:rPr>
        <w:t>a</w:t>
      </w:r>
      <w:r>
        <w:rPr>
          <w:spacing w:val="-19"/>
        </w:rPr>
        <w:t> </w:t>
      </w:r>
      <w:r>
        <w:rPr>
          <w:w w:val="95"/>
        </w:rPr>
        <w:t>da</w:t>
      </w:r>
      <w:r>
        <w:rPr>
          <w:spacing w:val="-19"/>
        </w:rPr>
        <w:t> </w:t>
      </w:r>
      <w:r>
        <w:rPr>
          <w:spacing w:val="-1"/>
          <w:w w:val="97"/>
        </w:rPr>
        <w:t>q</w:t>
      </w:r>
      <w:r>
        <w:rPr>
          <w:spacing w:val="-1"/>
          <w:w w:val="94"/>
        </w:rPr>
        <w:t>u</w:t>
      </w:r>
      <w:r>
        <w:rPr>
          <w:spacing w:val="1"/>
          <w:w w:val="94"/>
        </w:rPr>
        <w:t>e</w:t>
      </w:r>
      <w:r>
        <w:rPr>
          <w:w w:val="95"/>
        </w:rPr>
        <w:t>da</w:t>
      </w:r>
      <w:r>
        <w:rPr>
          <w:spacing w:val="-19"/>
        </w:rPr>
        <w:t> </w:t>
      </w:r>
      <w:r>
        <w:rPr>
          <w:w w:val="98"/>
        </w:rPr>
        <w:t>do</w:t>
      </w:r>
      <w:r>
        <w:rPr>
          <w:spacing w:val="-20"/>
        </w:rPr>
        <w:t> </w:t>
      </w:r>
      <w:r>
        <w:rPr>
          <w:w w:val="105"/>
        </w:rPr>
        <w:t>A</w:t>
      </w:r>
      <w:r>
        <w:rPr>
          <w:spacing w:val="-1"/>
          <w:w w:val="94"/>
        </w:rPr>
        <w:t>ju</w:t>
      </w:r>
      <w:r>
        <w:rPr>
          <w:w w:val="94"/>
        </w:rPr>
        <w:t>s</w:t>
      </w:r>
      <w:r>
        <w:rPr>
          <w:spacing w:val="1"/>
          <w:w w:val="85"/>
        </w:rPr>
        <w:t>t</w:t>
      </w:r>
      <w:r>
        <w:rPr>
          <w:w w:val="89"/>
        </w:rPr>
        <w:t>e</w:t>
      </w:r>
      <w:r>
        <w:rPr>
          <w:spacing w:val="-21"/>
        </w:rPr>
        <w:t> </w:t>
      </w:r>
      <w:r>
        <w:rPr>
          <w:w w:val="98"/>
        </w:rPr>
        <w:t>do</w:t>
      </w:r>
      <w:r>
        <w:rPr>
          <w:spacing w:val="-23"/>
        </w:rPr>
        <w:t> </w:t>
      </w:r>
      <w:r>
        <w:rPr>
          <w:spacing w:val="2"/>
          <w:w w:val="114"/>
        </w:rPr>
        <w:t>M</w:t>
      </w:r>
      <w:r>
        <w:rPr>
          <w:spacing w:val="-2"/>
          <w:w w:val="89"/>
        </w:rPr>
        <w:t>e</w:t>
      </w:r>
      <w:r>
        <w:rPr>
          <w:w w:val="88"/>
        </w:rPr>
        <w:t>c</w:t>
      </w:r>
      <w:r>
        <w:rPr>
          <w:w w:val="92"/>
        </w:rPr>
        <w:t>a</w:t>
      </w:r>
      <w:r>
        <w:rPr>
          <w:spacing w:val="-1"/>
          <w:w w:val="101"/>
        </w:rPr>
        <w:t>n</w:t>
      </w:r>
      <w:r>
        <w:rPr>
          <w:w w:val="100"/>
        </w:rPr>
        <w:t>ismo</w:t>
      </w:r>
      <w:r>
        <w:rPr>
          <w:spacing w:val="-20"/>
        </w:rPr>
        <w:t> </w:t>
      </w:r>
      <w:r>
        <w:rPr>
          <w:spacing w:val="2"/>
          <w:w w:val="99"/>
        </w:rPr>
        <w:t>d</w:t>
      </w:r>
      <w:r>
        <w:rPr>
          <w:w w:val="89"/>
        </w:rPr>
        <w:t>e</w:t>
      </w:r>
      <w:r>
        <w:rPr>
          <w:spacing w:val="-21"/>
        </w:rPr>
        <w:t> </w:t>
      </w:r>
      <w:r>
        <w:rPr>
          <w:spacing w:val="1"/>
          <w:w w:val="105"/>
        </w:rPr>
        <w:t>r</w:t>
      </w:r>
      <w:r>
        <w:rPr>
          <w:spacing w:val="-2"/>
          <w:w w:val="89"/>
        </w:rPr>
        <w:t>e</w:t>
      </w:r>
      <w:r>
        <w:rPr>
          <w:w w:val="92"/>
        </w:rPr>
        <w:t>a</w:t>
      </w:r>
      <w:r>
        <w:rPr>
          <w:w w:val="91"/>
        </w:rPr>
        <w:t>l</w:t>
      </w:r>
      <w:r>
        <w:rPr>
          <w:w w:val="93"/>
        </w:rPr>
        <w:t>oc</w:t>
      </w:r>
      <w:r>
        <w:rPr>
          <w:w w:val="92"/>
        </w:rPr>
        <w:t>a</w:t>
      </w:r>
      <w:r>
        <w:rPr>
          <w:w w:val="88"/>
        </w:rPr>
        <w:t>ç</w:t>
      </w:r>
      <w:r>
        <w:rPr>
          <w:w w:val="92"/>
        </w:rPr>
        <w:t>ã</w:t>
      </w:r>
      <w:r>
        <w:rPr>
          <w:w w:val="98"/>
        </w:rPr>
        <w:t>o</w:t>
      </w:r>
      <w:r>
        <w:rPr>
          <w:spacing w:val="-22"/>
        </w:rPr>
        <w:t> </w:t>
      </w:r>
      <w:r>
        <w:rPr>
          <w:w w:val="94"/>
        </w:rPr>
        <w:t>de</w:t>
      </w:r>
      <w:r>
        <w:rPr>
          <w:spacing w:val="-24"/>
        </w:rPr>
        <w:t> </w:t>
      </w:r>
      <w:r>
        <w:rPr>
          <w:spacing w:val="2"/>
          <w:w w:val="106"/>
        </w:rPr>
        <w:t>E</w:t>
      </w:r>
      <w:r>
        <w:rPr>
          <w:spacing w:val="-1"/>
          <w:w w:val="101"/>
        </w:rPr>
        <w:t>n</w:t>
      </w:r>
      <w:r>
        <w:rPr>
          <w:spacing w:val="1"/>
          <w:w w:val="89"/>
        </w:rPr>
        <w:t>e</w:t>
      </w:r>
      <w:r>
        <w:rPr>
          <w:spacing w:val="-1"/>
          <w:w w:val="105"/>
        </w:rPr>
        <w:t>r</w:t>
      </w:r>
      <w:r>
        <w:rPr>
          <w:spacing w:val="-1"/>
          <w:w w:val="95"/>
        </w:rPr>
        <w:t>gi</w:t>
      </w:r>
      <w:r>
        <w:rPr>
          <w:w w:val="95"/>
        </w:rPr>
        <w:t>a</w:t>
      </w:r>
      <w:r>
        <w:rPr>
          <w:spacing w:val="-18"/>
        </w:rPr>
        <w:t> </w:t>
      </w:r>
      <w:r>
        <w:rPr>
          <w:w w:val="135"/>
        </w:rPr>
        <w:t>–</w:t>
      </w:r>
      <w:r>
        <w:rPr>
          <w:spacing w:val="-19"/>
        </w:rPr>
        <w:t> </w:t>
      </w:r>
      <w:r>
        <w:rPr>
          <w:w w:val="114"/>
        </w:rPr>
        <w:t>M</w:t>
      </w:r>
      <w:r>
        <w:rPr>
          <w:w w:val="106"/>
        </w:rPr>
        <w:t>R</w:t>
      </w:r>
      <w:r>
        <w:rPr>
          <w:w w:val="106"/>
        </w:rPr>
        <w:t>E</w:t>
      </w:r>
      <w:r>
        <w:rPr>
          <w:w w:val="55"/>
        </w:rPr>
        <w:t>,</w:t>
      </w:r>
      <w:r>
        <w:rPr>
          <w:spacing w:val="-20"/>
        </w:rPr>
        <w:t> </w:t>
      </w:r>
      <w:r>
        <w:rPr>
          <w:w w:val="92"/>
        </w:rPr>
        <w:t>a</w:t>
      </w:r>
      <w:r>
        <w:rPr>
          <w:w w:val="91"/>
        </w:rPr>
        <w:t>l</w:t>
      </w:r>
      <w:r>
        <w:rPr>
          <w:w w:val="94"/>
        </w:rPr>
        <w:t>ia</w:t>
      </w:r>
      <w:r>
        <w:rPr>
          <w:w w:val="98"/>
        </w:rPr>
        <w:t>do</w:t>
      </w:r>
      <w:r>
        <w:rPr>
          <w:spacing w:val="-23"/>
        </w:rPr>
        <w:t> </w:t>
      </w:r>
      <w:r>
        <w:rPr>
          <w:w w:val="92"/>
        </w:rPr>
        <w:t>a</w:t>
      </w:r>
      <w:r>
        <w:rPr>
          <w:w w:val="101"/>
        </w:rPr>
        <w:t>os</w:t>
      </w:r>
      <w:r>
        <w:rPr>
          <w:spacing w:val="-22"/>
        </w:rPr>
        <w:t> </w:t>
      </w:r>
      <w:r>
        <w:rPr>
          <w:spacing w:val="-2"/>
          <w:w w:val="89"/>
        </w:rPr>
        <w:t>e</w:t>
      </w:r>
      <w:r>
        <w:rPr>
          <w:w w:val="91"/>
        </w:rPr>
        <w:t>l</w:t>
      </w:r>
      <w:r>
        <w:rPr>
          <w:spacing w:val="-2"/>
          <w:w w:val="89"/>
        </w:rPr>
        <w:t>e</w:t>
      </w:r>
      <w:r>
        <w:rPr>
          <w:w w:val="97"/>
        </w:rPr>
        <w:t>v</w:t>
      </w:r>
      <w:r>
        <w:rPr>
          <w:spacing w:val="1"/>
          <w:w w:val="97"/>
        </w:rPr>
        <w:t>a</w:t>
      </w:r>
      <w:r>
        <w:rPr>
          <w:spacing w:val="2"/>
          <w:w w:val="99"/>
        </w:rPr>
        <w:t>d</w:t>
      </w:r>
      <w:r>
        <w:rPr>
          <w:w w:val="101"/>
        </w:rPr>
        <w:t>os</w:t>
      </w:r>
      <w:r>
        <w:rPr>
          <w:spacing w:val="-22"/>
        </w:rPr>
        <w:t> </w:t>
      </w:r>
      <w:r>
        <w:rPr>
          <w:w w:val="97"/>
        </w:rPr>
        <w:t>v</w:t>
      </w:r>
      <w:r>
        <w:rPr>
          <w:spacing w:val="1"/>
          <w:w w:val="97"/>
        </w:rPr>
        <w:t>a</w:t>
      </w:r>
      <w:r>
        <w:rPr>
          <w:w w:val="91"/>
        </w:rPr>
        <w:t>l</w:t>
      </w:r>
      <w:r>
        <w:rPr>
          <w:w w:val="101"/>
        </w:rPr>
        <w:t>o</w:t>
      </w:r>
      <w:r>
        <w:rPr>
          <w:spacing w:val="1"/>
          <w:w w:val="101"/>
        </w:rPr>
        <w:t>r</w:t>
      </w:r>
      <w:r>
        <w:rPr>
          <w:spacing w:val="-2"/>
          <w:w w:val="89"/>
        </w:rPr>
        <w:t>e</w:t>
      </w:r>
      <w:r>
        <w:rPr>
          <w:w w:val="105"/>
        </w:rPr>
        <w:t>s</w:t>
      </w:r>
      <w:r>
        <w:rPr>
          <w:spacing w:val="-19"/>
        </w:rPr>
        <w:t> </w:t>
      </w:r>
      <w:r>
        <w:rPr>
          <w:w w:val="100"/>
        </w:rPr>
        <w:t>dos </w:t>
      </w:r>
      <w:r>
        <w:rPr/>
        <w:t>preços</w:t>
      </w:r>
      <w:r>
        <w:rPr>
          <w:spacing w:val="-18"/>
        </w:rPr>
        <w:t> </w:t>
      </w:r>
      <w:r>
        <w:rPr/>
        <w:t>da</w:t>
      </w:r>
      <w:r>
        <w:rPr>
          <w:spacing w:val="-17"/>
        </w:rPr>
        <w:t> </w:t>
      </w:r>
      <w:r>
        <w:rPr/>
        <w:t>energia</w:t>
      </w:r>
      <w:r>
        <w:rPr>
          <w:spacing w:val="-20"/>
        </w:rPr>
        <w:t> </w:t>
      </w:r>
      <w:r>
        <w:rPr/>
        <w:t>no</w:t>
      </w:r>
      <w:r>
        <w:rPr>
          <w:spacing w:val="-18"/>
        </w:rPr>
        <w:t> </w:t>
      </w:r>
      <w:r>
        <w:rPr/>
        <w:t>Mercado</w:t>
      </w:r>
      <w:r>
        <w:rPr>
          <w:spacing w:val="-21"/>
        </w:rPr>
        <w:t> </w:t>
      </w:r>
      <w:r>
        <w:rPr/>
        <w:t>de</w:t>
      </w:r>
      <w:r>
        <w:rPr>
          <w:spacing w:val="-20"/>
        </w:rPr>
        <w:t> </w:t>
      </w:r>
      <w:r>
        <w:rPr/>
        <w:t>Curto</w:t>
      </w:r>
      <w:r>
        <w:rPr>
          <w:spacing w:val="-20"/>
        </w:rPr>
        <w:t> </w:t>
      </w:r>
      <w:r>
        <w:rPr/>
        <w:t>Prazo</w:t>
      </w:r>
      <w:r>
        <w:rPr>
          <w:spacing w:val="-16"/>
        </w:rPr>
        <w:t> </w:t>
      </w:r>
      <w:r>
        <w:rPr>
          <w:w w:val="105"/>
        </w:rPr>
        <w:t>–</w:t>
      </w:r>
      <w:r>
        <w:rPr>
          <w:spacing w:val="-22"/>
          <w:w w:val="105"/>
        </w:rPr>
        <w:t> </w:t>
      </w:r>
      <w:r>
        <w:rPr/>
        <w:t>MCP</w:t>
      </w:r>
      <w:r>
        <w:rPr>
          <w:spacing w:val="-21"/>
        </w:rPr>
        <w:t> </w:t>
      </w:r>
      <w:r>
        <w:rPr/>
        <w:t>(Preço</w:t>
      </w:r>
      <w:r>
        <w:rPr>
          <w:spacing w:val="-21"/>
        </w:rPr>
        <w:t> </w:t>
      </w:r>
      <w:r>
        <w:rPr/>
        <w:t>de</w:t>
      </w:r>
      <w:r>
        <w:rPr>
          <w:spacing w:val="-20"/>
        </w:rPr>
        <w:t> </w:t>
      </w:r>
      <w:r>
        <w:rPr/>
        <w:t>Liquidação</w:t>
      </w:r>
      <w:r>
        <w:rPr>
          <w:spacing w:val="-20"/>
        </w:rPr>
        <w:t> </w:t>
      </w:r>
      <w:r>
        <w:rPr/>
        <w:t>das</w:t>
      </w:r>
      <w:r>
        <w:rPr>
          <w:spacing w:val="-20"/>
        </w:rPr>
        <w:t> </w:t>
      </w:r>
      <w:r>
        <w:rPr/>
        <w:t>Diferenças</w:t>
      </w:r>
      <w:r>
        <w:rPr>
          <w:spacing w:val="-16"/>
        </w:rPr>
        <w:t> </w:t>
      </w:r>
      <w:r>
        <w:rPr>
          <w:w w:val="105"/>
        </w:rPr>
        <w:t>–</w:t>
      </w:r>
      <w:r>
        <w:rPr>
          <w:spacing w:val="-22"/>
          <w:w w:val="105"/>
        </w:rPr>
        <w:t> </w:t>
      </w:r>
      <w:r>
        <w:rPr/>
        <w:t>PLD).</w:t>
      </w:r>
    </w:p>
    <w:p>
      <w:pPr>
        <w:pStyle w:val="BodyText"/>
        <w:spacing w:before="6"/>
      </w:pPr>
    </w:p>
    <w:p>
      <w:pPr>
        <w:pStyle w:val="BodyText"/>
        <w:spacing w:line="242" w:lineRule="auto" w:before="1"/>
        <w:ind w:left="192" w:right="611"/>
        <w:jc w:val="both"/>
      </w:pPr>
      <w:r>
        <w:rPr/>
        <w:t>Tal</w:t>
      </w:r>
      <w:r>
        <w:rPr>
          <w:spacing w:val="-44"/>
        </w:rPr>
        <w:t> </w:t>
      </w:r>
      <w:r>
        <w:rPr/>
        <w:t>exposição</w:t>
      </w:r>
      <w:r>
        <w:rPr>
          <w:spacing w:val="-45"/>
        </w:rPr>
        <w:t> </w:t>
      </w:r>
      <w:r>
        <w:rPr/>
        <w:t>causou</w:t>
      </w:r>
      <w:r>
        <w:rPr>
          <w:spacing w:val="-41"/>
        </w:rPr>
        <w:t> </w:t>
      </w:r>
      <w:r>
        <w:rPr/>
        <w:t>uma</w:t>
      </w:r>
      <w:r>
        <w:rPr>
          <w:spacing w:val="-43"/>
        </w:rPr>
        <w:t> </w:t>
      </w:r>
      <w:r>
        <w:rPr/>
        <w:t>enorme</w:t>
      </w:r>
      <w:r>
        <w:rPr>
          <w:spacing w:val="-45"/>
        </w:rPr>
        <w:t> </w:t>
      </w:r>
      <w:r>
        <w:rPr/>
        <w:t>incerteza</w:t>
      </w:r>
      <w:r>
        <w:rPr>
          <w:spacing w:val="-42"/>
        </w:rPr>
        <w:t> </w:t>
      </w:r>
      <w:r>
        <w:rPr/>
        <w:t>de</w:t>
      </w:r>
      <w:r>
        <w:rPr>
          <w:spacing w:val="-44"/>
        </w:rPr>
        <w:t> </w:t>
      </w:r>
      <w:r>
        <w:rPr/>
        <w:t>naturezas</w:t>
      </w:r>
      <w:r>
        <w:rPr>
          <w:spacing w:val="-45"/>
        </w:rPr>
        <w:t> </w:t>
      </w:r>
      <w:r>
        <w:rPr/>
        <w:t>jurídica</w:t>
      </w:r>
      <w:r>
        <w:rPr>
          <w:spacing w:val="-44"/>
        </w:rPr>
        <w:t> </w:t>
      </w:r>
      <w:r>
        <w:rPr/>
        <w:t>e</w:t>
      </w:r>
      <w:r>
        <w:rPr>
          <w:spacing w:val="-44"/>
        </w:rPr>
        <w:t> </w:t>
      </w:r>
      <w:r>
        <w:rPr/>
        <w:t>regulatória.</w:t>
      </w:r>
      <w:r>
        <w:rPr>
          <w:spacing w:val="-42"/>
        </w:rPr>
        <w:t> </w:t>
      </w:r>
      <w:r>
        <w:rPr/>
        <w:t>Por</w:t>
      </w:r>
      <w:r>
        <w:rPr>
          <w:spacing w:val="-44"/>
        </w:rPr>
        <w:t> </w:t>
      </w:r>
      <w:r>
        <w:rPr/>
        <w:t>sua</w:t>
      </w:r>
      <w:r>
        <w:rPr>
          <w:spacing w:val="-44"/>
        </w:rPr>
        <w:t> </w:t>
      </w:r>
      <w:r>
        <w:rPr/>
        <w:t>vez,</w:t>
      </w:r>
      <w:r>
        <w:rPr>
          <w:spacing w:val="-43"/>
        </w:rPr>
        <w:t> </w:t>
      </w:r>
      <w:r>
        <w:rPr/>
        <w:t>o</w:t>
      </w:r>
      <w:r>
        <w:rPr>
          <w:spacing w:val="-45"/>
        </w:rPr>
        <w:t> </w:t>
      </w:r>
      <w:r>
        <w:rPr/>
        <w:t>Regulador,</w:t>
      </w:r>
      <w:r>
        <w:rPr>
          <w:spacing w:val="-43"/>
        </w:rPr>
        <w:t> </w:t>
      </w:r>
      <w:r>
        <w:rPr/>
        <w:t>na</w:t>
      </w:r>
      <w:r>
        <w:rPr>
          <w:spacing w:val="-44"/>
        </w:rPr>
        <w:t> </w:t>
      </w:r>
      <w:r>
        <w:rPr/>
        <w:t>busca</w:t>
      </w:r>
      <w:r>
        <w:rPr>
          <w:spacing w:val="-43"/>
        </w:rPr>
        <w:t> </w:t>
      </w:r>
      <w:r>
        <w:rPr/>
        <w:t>de uma</w:t>
      </w:r>
      <w:r>
        <w:rPr>
          <w:spacing w:val="-27"/>
        </w:rPr>
        <w:t> </w:t>
      </w:r>
      <w:r>
        <w:rPr/>
        <w:t>solução,</w:t>
      </w:r>
      <w:r>
        <w:rPr>
          <w:spacing w:val="-29"/>
        </w:rPr>
        <w:t> </w:t>
      </w:r>
      <w:r>
        <w:rPr/>
        <w:t>no</w:t>
      </w:r>
      <w:r>
        <w:rPr>
          <w:spacing w:val="-26"/>
        </w:rPr>
        <w:t> </w:t>
      </w:r>
      <w:r>
        <w:rPr/>
        <w:t>final</w:t>
      </w:r>
      <w:r>
        <w:rPr>
          <w:spacing w:val="-27"/>
        </w:rPr>
        <w:t> </w:t>
      </w:r>
      <w:r>
        <w:rPr/>
        <w:t>de</w:t>
      </w:r>
      <w:r>
        <w:rPr>
          <w:spacing w:val="-30"/>
        </w:rPr>
        <w:t> </w:t>
      </w:r>
      <w:r>
        <w:rPr/>
        <w:t>2015,</w:t>
      </w:r>
      <w:r>
        <w:rPr>
          <w:spacing w:val="-27"/>
        </w:rPr>
        <w:t> </w:t>
      </w:r>
      <w:r>
        <w:rPr/>
        <w:t>propôs</w:t>
      </w:r>
      <w:r>
        <w:rPr>
          <w:spacing w:val="-28"/>
        </w:rPr>
        <w:t> </w:t>
      </w:r>
      <w:r>
        <w:rPr/>
        <w:t>a</w:t>
      </w:r>
      <w:r>
        <w:rPr>
          <w:spacing w:val="-28"/>
        </w:rPr>
        <w:t> </w:t>
      </w:r>
      <w:r>
        <w:rPr/>
        <w:t>"Repactuação</w:t>
      </w:r>
      <w:r>
        <w:rPr>
          <w:spacing w:val="-28"/>
        </w:rPr>
        <w:t> </w:t>
      </w:r>
      <w:r>
        <w:rPr/>
        <w:t>do</w:t>
      </w:r>
      <w:r>
        <w:rPr>
          <w:spacing w:val="-27"/>
        </w:rPr>
        <w:t> </w:t>
      </w:r>
      <w:r>
        <w:rPr/>
        <w:t>Risco</w:t>
      </w:r>
      <w:r>
        <w:rPr>
          <w:spacing w:val="-28"/>
        </w:rPr>
        <w:t> </w:t>
      </w:r>
      <w:r>
        <w:rPr/>
        <w:t>Hidrológico"</w:t>
      </w:r>
      <w:r>
        <w:rPr>
          <w:spacing w:val="-28"/>
        </w:rPr>
        <w:t> </w:t>
      </w:r>
      <w:r>
        <w:rPr/>
        <w:t>dos</w:t>
      </w:r>
      <w:r>
        <w:rPr>
          <w:spacing w:val="-27"/>
        </w:rPr>
        <w:t> </w:t>
      </w:r>
      <w:r>
        <w:rPr/>
        <w:t>geradores</w:t>
      </w:r>
      <w:r>
        <w:rPr>
          <w:spacing w:val="-28"/>
        </w:rPr>
        <w:t> </w:t>
      </w:r>
      <w:r>
        <w:rPr/>
        <w:t>com</w:t>
      </w:r>
      <w:r>
        <w:rPr>
          <w:spacing w:val="-27"/>
        </w:rPr>
        <w:t> </w:t>
      </w:r>
      <w:r>
        <w:rPr/>
        <w:t>os</w:t>
      </w:r>
      <w:r>
        <w:rPr>
          <w:spacing w:val="-28"/>
        </w:rPr>
        <w:t> </w:t>
      </w:r>
      <w:r>
        <w:rPr/>
        <w:t>consumidores.</w:t>
      </w:r>
    </w:p>
    <w:p>
      <w:pPr>
        <w:spacing w:after="0" w:line="242" w:lineRule="auto"/>
        <w:jc w:val="both"/>
        <w:sectPr>
          <w:pgSz w:w="11910" w:h="16850"/>
          <w:pgMar w:header="792" w:footer="1193" w:top="1360" w:bottom="1460" w:left="940" w:right="240"/>
        </w:sectPr>
      </w:pPr>
    </w:p>
    <w:p>
      <w:pPr>
        <w:pStyle w:val="BodyText"/>
        <w:spacing w:line="242" w:lineRule="auto" w:before="50"/>
        <w:ind w:left="192" w:right="620"/>
        <w:jc w:val="both"/>
      </w:pPr>
      <w:r>
        <w:rPr/>
        <w:t>Os termos do acordo de repactuação para os geradores hidrelétricos têm como objeto a transferência do risco hidrológico</w:t>
      </w:r>
      <w:r>
        <w:rPr>
          <w:spacing w:val="-18"/>
        </w:rPr>
        <w:t> </w:t>
      </w:r>
      <w:r>
        <w:rPr/>
        <w:t>para</w:t>
      </w:r>
      <w:r>
        <w:rPr>
          <w:spacing w:val="-16"/>
        </w:rPr>
        <w:t> </w:t>
      </w:r>
      <w:r>
        <w:rPr/>
        <w:t>os</w:t>
      </w:r>
      <w:r>
        <w:rPr>
          <w:spacing w:val="-18"/>
        </w:rPr>
        <w:t> </w:t>
      </w:r>
      <w:r>
        <w:rPr/>
        <w:t>consumidores,</w:t>
      </w:r>
      <w:r>
        <w:rPr>
          <w:spacing w:val="-19"/>
        </w:rPr>
        <w:t> </w:t>
      </w:r>
      <w:r>
        <w:rPr/>
        <w:t>considerando</w:t>
      </w:r>
      <w:r>
        <w:rPr>
          <w:spacing w:val="-19"/>
        </w:rPr>
        <w:t> </w:t>
      </w:r>
      <w:r>
        <w:rPr/>
        <w:t>o</w:t>
      </w:r>
      <w:r>
        <w:rPr>
          <w:spacing w:val="-18"/>
        </w:rPr>
        <w:t> </w:t>
      </w:r>
      <w:r>
        <w:rPr/>
        <w:t>pagamento</w:t>
      </w:r>
      <w:r>
        <w:rPr>
          <w:spacing w:val="-19"/>
        </w:rPr>
        <w:t> </w:t>
      </w:r>
      <w:r>
        <w:rPr/>
        <w:t>de</w:t>
      </w:r>
      <w:r>
        <w:rPr>
          <w:spacing w:val="-18"/>
        </w:rPr>
        <w:t> </w:t>
      </w:r>
      <w:r>
        <w:rPr/>
        <w:t>um</w:t>
      </w:r>
      <w:r>
        <w:rPr>
          <w:spacing w:val="-17"/>
        </w:rPr>
        <w:t> </w:t>
      </w:r>
      <w:r>
        <w:rPr/>
        <w:t>prêmio</w:t>
      </w:r>
      <w:r>
        <w:rPr>
          <w:spacing w:val="-18"/>
        </w:rPr>
        <w:t> </w:t>
      </w:r>
      <w:r>
        <w:rPr/>
        <w:t>de</w:t>
      </w:r>
      <w:r>
        <w:rPr>
          <w:spacing w:val="-18"/>
        </w:rPr>
        <w:t> </w:t>
      </w:r>
      <w:r>
        <w:rPr/>
        <w:t>risco,</w:t>
      </w:r>
      <w:r>
        <w:rPr>
          <w:spacing w:val="-19"/>
        </w:rPr>
        <w:t> </w:t>
      </w:r>
      <w:r>
        <w:rPr/>
        <w:t>compensações</w:t>
      </w:r>
      <w:r>
        <w:rPr>
          <w:spacing w:val="-17"/>
        </w:rPr>
        <w:t> </w:t>
      </w:r>
      <w:r>
        <w:rPr/>
        <w:t>financeiras, extensão</w:t>
      </w:r>
      <w:r>
        <w:rPr>
          <w:spacing w:val="-18"/>
        </w:rPr>
        <w:t> </w:t>
      </w:r>
      <w:r>
        <w:rPr/>
        <w:t>de</w:t>
      </w:r>
      <w:r>
        <w:rPr>
          <w:spacing w:val="-19"/>
        </w:rPr>
        <w:t> </w:t>
      </w:r>
      <w:r>
        <w:rPr/>
        <w:t>concessões</w:t>
      </w:r>
      <w:r>
        <w:rPr>
          <w:spacing w:val="-17"/>
        </w:rPr>
        <w:t> </w:t>
      </w:r>
      <w:r>
        <w:rPr/>
        <w:t>e</w:t>
      </w:r>
      <w:r>
        <w:rPr>
          <w:spacing w:val="-21"/>
        </w:rPr>
        <w:t> </w:t>
      </w:r>
      <w:r>
        <w:rPr/>
        <w:t>desistência</w:t>
      </w:r>
      <w:r>
        <w:rPr>
          <w:spacing w:val="-19"/>
        </w:rPr>
        <w:t> </w:t>
      </w:r>
      <w:r>
        <w:rPr/>
        <w:t>de</w:t>
      </w:r>
      <w:r>
        <w:rPr>
          <w:spacing w:val="-21"/>
        </w:rPr>
        <w:t> </w:t>
      </w:r>
      <w:r>
        <w:rPr/>
        <w:t>ações</w:t>
      </w:r>
      <w:r>
        <w:rPr>
          <w:spacing w:val="-19"/>
        </w:rPr>
        <w:t> </w:t>
      </w:r>
      <w:r>
        <w:rPr/>
        <w:t>judiciais.</w:t>
      </w:r>
    </w:p>
    <w:p>
      <w:pPr>
        <w:pStyle w:val="BodyText"/>
        <w:spacing w:before="7"/>
      </w:pPr>
    </w:p>
    <w:p>
      <w:pPr>
        <w:pStyle w:val="BodyText"/>
        <w:spacing w:line="242" w:lineRule="auto"/>
        <w:ind w:left="192" w:right="608" w:firstLine="43"/>
        <w:jc w:val="both"/>
      </w:pPr>
      <w:r>
        <w:rPr/>
        <w:t>A</w:t>
      </w:r>
      <w:r>
        <w:rPr>
          <w:spacing w:val="-13"/>
        </w:rPr>
        <w:t> </w:t>
      </w:r>
      <w:r>
        <w:rPr/>
        <w:t>medida</w:t>
      </w:r>
      <w:r>
        <w:rPr>
          <w:spacing w:val="-12"/>
        </w:rPr>
        <w:t> </w:t>
      </w:r>
      <w:r>
        <w:rPr/>
        <w:t>foi</w:t>
      </w:r>
      <w:r>
        <w:rPr>
          <w:spacing w:val="-13"/>
        </w:rPr>
        <w:t> </w:t>
      </w:r>
      <w:r>
        <w:rPr/>
        <w:t>objeto</w:t>
      </w:r>
      <w:r>
        <w:rPr>
          <w:spacing w:val="-13"/>
        </w:rPr>
        <w:t> </w:t>
      </w:r>
      <w:r>
        <w:rPr/>
        <w:t>de</w:t>
      </w:r>
      <w:r>
        <w:rPr>
          <w:spacing w:val="-14"/>
        </w:rPr>
        <w:t> </w:t>
      </w:r>
      <w:r>
        <w:rPr/>
        <w:t>adesão</w:t>
      </w:r>
      <w:r>
        <w:rPr>
          <w:spacing w:val="-13"/>
        </w:rPr>
        <w:t> </w:t>
      </w:r>
      <w:r>
        <w:rPr/>
        <w:t>essencialmente</w:t>
      </w:r>
      <w:r>
        <w:rPr>
          <w:spacing w:val="-13"/>
        </w:rPr>
        <w:t> </w:t>
      </w:r>
      <w:r>
        <w:rPr/>
        <w:t>por</w:t>
      </w:r>
      <w:r>
        <w:rPr>
          <w:spacing w:val="-13"/>
        </w:rPr>
        <w:t> </w:t>
      </w:r>
      <w:r>
        <w:rPr/>
        <w:t>parte</w:t>
      </w:r>
      <w:r>
        <w:rPr>
          <w:spacing w:val="-14"/>
        </w:rPr>
        <w:t> </w:t>
      </w:r>
      <w:r>
        <w:rPr/>
        <w:t>dos</w:t>
      </w:r>
      <w:r>
        <w:rPr>
          <w:spacing w:val="-13"/>
        </w:rPr>
        <w:t> </w:t>
      </w:r>
      <w:r>
        <w:rPr/>
        <w:t>geradores</w:t>
      </w:r>
      <w:r>
        <w:rPr>
          <w:spacing w:val="-12"/>
        </w:rPr>
        <w:t> </w:t>
      </w:r>
      <w:r>
        <w:rPr/>
        <w:t>com</w:t>
      </w:r>
      <w:r>
        <w:rPr>
          <w:spacing w:val="-13"/>
        </w:rPr>
        <w:t> </w:t>
      </w:r>
      <w:r>
        <w:rPr/>
        <w:t>contratos</w:t>
      </w:r>
      <w:r>
        <w:rPr>
          <w:spacing w:val="-12"/>
        </w:rPr>
        <w:t> </w:t>
      </w:r>
      <w:r>
        <w:rPr/>
        <w:t>negociados</w:t>
      </w:r>
      <w:r>
        <w:rPr>
          <w:spacing w:val="-11"/>
        </w:rPr>
        <w:t> </w:t>
      </w:r>
      <w:r>
        <w:rPr/>
        <w:t>nos</w:t>
      </w:r>
      <w:r>
        <w:rPr>
          <w:spacing w:val="-12"/>
        </w:rPr>
        <w:t> </w:t>
      </w:r>
      <w:r>
        <w:rPr/>
        <w:t>leilões</w:t>
      </w:r>
      <w:r>
        <w:rPr>
          <w:spacing w:val="-10"/>
        </w:rPr>
        <w:t> </w:t>
      </w:r>
      <w:r>
        <w:rPr/>
        <w:t>do ambiente</w:t>
      </w:r>
      <w:r>
        <w:rPr>
          <w:spacing w:val="-28"/>
        </w:rPr>
        <w:t> </w:t>
      </w:r>
      <w:r>
        <w:rPr/>
        <w:t>regulado.</w:t>
      </w:r>
      <w:r>
        <w:rPr>
          <w:spacing w:val="-27"/>
        </w:rPr>
        <w:t> </w:t>
      </w:r>
      <w:r>
        <w:rPr/>
        <w:t>As</w:t>
      </w:r>
      <w:r>
        <w:rPr>
          <w:spacing w:val="-28"/>
        </w:rPr>
        <w:t> </w:t>
      </w:r>
      <w:r>
        <w:rPr/>
        <w:t>empresas</w:t>
      </w:r>
      <w:r>
        <w:rPr>
          <w:spacing w:val="-28"/>
        </w:rPr>
        <w:t> </w:t>
      </w:r>
      <w:r>
        <w:rPr/>
        <w:t>CEB</w:t>
      </w:r>
      <w:r>
        <w:rPr>
          <w:spacing w:val="-28"/>
        </w:rPr>
        <w:t> </w:t>
      </w:r>
      <w:r>
        <w:rPr/>
        <w:t>Lajeado</w:t>
      </w:r>
      <w:r>
        <w:rPr>
          <w:spacing w:val="-27"/>
        </w:rPr>
        <w:t> </w:t>
      </w:r>
      <w:r>
        <w:rPr/>
        <w:t>S.A.</w:t>
      </w:r>
      <w:r>
        <w:rPr>
          <w:spacing w:val="-27"/>
        </w:rPr>
        <w:t> </w:t>
      </w:r>
      <w:r>
        <w:rPr/>
        <w:t>e</w:t>
      </w:r>
      <w:r>
        <w:rPr>
          <w:spacing w:val="-29"/>
        </w:rPr>
        <w:t> </w:t>
      </w:r>
      <w:r>
        <w:rPr/>
        <w:t>CEB</w:t>
      </w:r>
      <w:r>
        <w:rPr>
          <w:spacing w:val="-28"/>
        </w:rPr>
        <w:t> </w:t>
      </w:r>
      <w:r>
        <w:rPr/>
        <w:t>Participações</w:t>
      </w:r>
      <w:r>
        <w:rPr>
          <w:spacing w:val="-28"/>
        </w:rPr>
        <w:t> </w:t>
      </w:r>
      <w:r>
        <w:rPr/>
        <w:t>S.A.</w:t>
      </w:r>
      <w:r>
        <w:rPr>
          <w:spacing w:val="-27"/>
        </w:rPr>
        <w:t> </w:t>
      </w:r>
      <w:r>
        <w:rPr/>
        <w:t>decidiram</w:t>
      </w:r>
      <w:r>
        <w:rPr>
          <w:spacing w:val="-28"/>
        </w:rPr>
        <w:t> </w:t>
      </w:r>
      <w:r>
        <w:rPr/>
        <w:t>pela</w:t>
      </w:r>
      <w:r>
        <w:rPr>
          <w:spacing w:val="-27"/>
        </w:rPr>
        <w:t> </w:t>
      </w:r>
      <w:r>
        <w:rPr/>
        <w:t>repactuação</w:t>
      </w:r>
      <w:r>
        <w:rPr>
          <w:spacing w:val="-28"/>
        </w:rPr>
        <w:t> </w:t>
      </w:r>
      <w:r>
        <w:rPr/>
        <w:t>do</w:t>
      </w:r>
      <w:r>
        <w:rPr>
          <w:spacing w:val="-28"/>
        </w:rPr>
        <w:t> </w:t>
      </w:r>
      <w:r>
        <w:rPr/>
        <w:t>risco</w:t>
      </w:r>
      <w:r>
        <w:rPr>
          <w:spacing w:val="-29"/>
        </w:rPr>
        <w:t> </w:t>
      </w:r>
      <w:r>
        <w:rPr/>
        <w:t>e, desde</w:t>
      </w:r>
      <w:r>
        <w:rPr>
          <w:spacing w:val="-17"/>
        </w:rPr>
        <w:t> </w:t>
      </w:r>
      <w:r>
        <w:rPr/>
        <w:t>2016,</w:t>
      </w:r>
      <w:r>
        <w:rPr>
          <w:spacing w:val="-14"/>
        </w:rPr>
        <w:t> </w:t>
      </w:r>
      <w:r>
        <w:rPr/>
        <w:t>tem</w:t>
      </w:r>
      <w:r>
        <w:rPr>
          <w:spacing w:val="-14"/>
        </w:rPr>
        <w:t> </w:t>
      </w:r>
      <w:r>
        <w:rPr/>
        <w:t>repassado</w:t>
      </w:r>
      <w:r>
        <w:rPr>
          <w:spacing w:val="-17"/>
        </w:rPr>
        <w:t> </w:t>
      </w:r>
      <w:r>
        <w:rPr/>
        <w:t>parte</w:t>
      </w:r>
      <w:r>
        <w:rPr>
          <w:spacing w:val="-15"/>
        </w:rPr>
        <w:t> </w:t>
      </w:r>
      <w:r>
        <w:rPr/>
        <w:t>do</w:t>
      </w:r>
      <w:r>
        <w:rPr>
          <w:spacing w:val="-15"/>
        </w:rPr>
        <w:t> </w:t>
      </w:r>
      <w:r>
        <w:rPr/>
        <w:t>impacto</w:t>
      </w:r>
      <w:r>
        <w:rPr>
          <w:spacing w:val="-15"/>
        </w:rPr>
        <w:t> </w:t>
      </w:r>
      <w:r>
        <w:rPr/>
        <w:t>financeiro</w:t>
      </w:r>
      <w:r>
        <w:rPr>
          <w:spacing w:val="-16"/>
        </w:rPr>
        <w:t> </w:t>
      </w:r>
      <w:r>
        <w:rPr/>
        <w:t>negativo,</w:t>
      </w:r>
      <w:r>
        <w:rPr>
          <w:spacing w:val="-16"/>
        </w:rPr>
        <w:t> </w:t>
      </w:r>
      <w:r>
        <w:rPr/>
        <w:t>verificado</w:t>
      </w:r>
      <w:r>
        <w:rPr>
          <w:spacing w:val="-14"/>
        </w:rPr>
        <w:t> </w:t>
      </w:r>
      <w:r>
        <w:rPr/>
        <w:t>no</w:t>
      </w:r>
      <w:r>
        <w:rPr>
          <w:spacing w:val="-15"/>
        </w:rPr>
        <w:t> </w:t>
      </w:r>
      <w:r>
        <w:rPr/>
        <w:t>Mercado</w:t>
      </w:r>
      <w:r>
        <w:rPr>
          <w:spacing w:val="-14"/>
        </w:rPr>
        <w:t> </w:t>
      </w:r>
      <w:r>
        <w:rPr/>
        <w:t>de</w:t>
      </w:r>
      <w:r>
        <w:rPr>
          <w:spacing w:val="-16"/>
        </w:rPr>
        <w:t> </w:t>
      </w:r>
      <w:r>
        <w:rPr/>
        <w:t>Curto</w:t>
      </w:r>
      <w:r>
        <w:rPr>
          <w:spacing w:val="-15"/>
        </w:rPr>
        <w:t> </w:t>
      </w:r>
      <w:r>
        <w:rPr/>
        <w:t>Prazo,</w:t>
      </w:r>
      <w:r>
        <w:rPr>
          <w:spacing w:val="-14"/>
        </w:rPr>
        <w:t> </w:t>
      </w:r>
      <w:r>
        <w:rPr/>
        <w:t>para</w:t>
      </w:r>
      <w:r>
        <w:rPr>
          <w:spacing w:val="-15"/>
        </w:rPr>
        <w:t> </w:t>
      </w:r>
      <w:r>
        <w:rPr/>
        <w:t>os consumidores.</w:t>
      </w:r>
      <w:r>
        <w:rPr>
          <w:spacing w:val="-3"/>
        </w:rPr>
        <w:t> </w:t>
      </w:r>
      <w:r>
        <w:rPr/>
        <w:t>A</w:t>
      </w:r>
      <w:r>
        <w:rPr>
          <w:spacing w:val="-3"/>
        </w:rPr>
        <w:t> </w:t>
      </w:r>
      <w:r>
        <w:rPr/>
        <w:t>CEB</w:t>
      </w:r>
      <w:r>
        <w:rPr>
          <w:spacing w:val="-4"/>
        </w:rPr>
        <w:t> </w:t>
      </w:r>
      <w:r>
        <w:rPr/>
        <w:t>Geração</w:t>
      </w:r>
      <w:r>
        <w:rPr>
          <w:spacing w:val="-3"/>
        </w:rPr>
        <w:t> </w:t>
      </w:r>
      <w:r>
        <w:rPr/>
        <w:t>S.A.</w:t>
      </w:r>
      <w:r>
        <w:rPr>
          <w:spacing w:val="-4"/>
        </w:rPr>
        <w:t> </w:t>
      </w:r>
      <w:r>
        <w:rPr/>
        <w:t>vem</w:t>
      </w:r>
      <w:r>
        <w:rPr>
          <w:spacing w:val="-3"/>
        </w:rPr>
        <w:t> </w:t>
      </w:r>
      <w:r>
        <w:rPr/>
        <w:t>atuando</w:t>
      </w:r>
      <w:r>
        <w:rPr>
          <w:spacing w:val="-2"/>
        </w:rPr>
        <w:t> </w:t>
      </w:r>
      <w:r>
        <w:rPr/>
        <w:t>no</w:t>
      </w:r>
      <w:r>
        <w:rPr>
          <w:spacing w:val="-2"/>
        </w:rPr>
        <w:t> </w:t>
      </w:r>
      <w:r>
        <w:rPr/>
        <w:t>mercado</w:t>
      </w:r>
      <w:r>
        <w:rPr>
          <w:spacing w:val="-4"/>
        </w:rPr>
        <w:t> </w:t>
      </w:r>
      <w:r>
        <w:rPr/>
        <w:t>livre</w:t>
      </w:r>
      <w:r>
        <w:rPr>
          <w:spacing w:val="-2"/>
        </w:rPr>
        <w:t> </w:t>
      </w:r>
      <w:r>
        <w:rPr/>
        <w:t>de</w:t>
      </w:r>
      <w:r>
        <w:rPr>
          <w:spacing w:val="-3"/>
        </w:rPr>
        <w:t> </w:t>
      </w:r>
      <w:r>
        <w:rPr/>
        <w:t>energia,</w:t>
      </w:r>
      <w:r>
        <w:rPr>
          <w:spacing w:val="-4"/>
        </w:rPr>
        <w:t> </w:t>
      </w:r>
      <w:r>
        <w:rPr/>
        <w:t>onde</w:t>
      </w:r>
      <w:r>
        <w:rPr>
          <w:spacing w:val="-4"/>
        </w:rPr>
        <w:t> </w:t>
      </w:r>
      <w:r>
        <w:rPr/>
        <w:t>os</w:t>
      </w:r>
      <w:r>
        <w:rPr>
          <w:spacing w:val="-4"/>
        </w:rPr>
        <w:t> </w:t>
      </w:r>
      <w:r>
        <w:rPr/>
        <w:t>termos</w:t>
      </w:r>
      <w:r>
        <w:rPr>
          <w:spacing w:val="-3"/>
        </w:rPr>
        <w:t> </w:t>
      </w:r>
      <w:r>
        <w:rPr/>
        <w:t>propostos</w:t>
      </w:r>
      <w:r>
        <w:rPr>
          <w:spacing w:val="-4"/>
        </w:rPr>
        <w:t> </w:t>
      </w:r>
      <w:r>
        <w:rPr/>
        <w:t>para</w:t>
      </w:r>
      <w:r>
        <w:rPr>
          <w:spacing w:val="-2"/>
        </w:rPr>
        <w:t> </w:t>
      </w:r>
      <w:r>
        <w:rPr/>
        <w:t>a repactuação</w:t>
      </w:r>
      <w:r>
        <w:rPr>
          <w:spacing w:val="-31"/>
        </w:rPr>
        <w:t> </w:t>
      </w:r>
      <w:r>
        <w:rPr/>
        <w:t>não</w:t>
      </w:r>
      <w:r>
        <w:rPr>
          <w:spacing w:val="-33"/>
        </w:rPr>
        <w:t> </w:t>
      </w:r>
      <w:r>
        <w:rPr/>
        <w:t>se</w:t>
      </w:r>
      <w:r>
        <w:rPr>
          <w:spacing w:val="-31"/>
        </w:rPr>
        <w:t> </w:t>
      </w:r>
      <w:r>
        <w:rPr/>
        <w:t>revelaram</w:t>
      </w:r>
      <w:r>
        <w:rPr>
          <w:spacing w:val="-31"/>
        </w:rPr>
        <w:t> </w:t>
      </w:r>
      <w:r>
        <w:rPr/>
        <w:t>benéficos</w:t>
      </w:r>
      <w:r>
        <w:rPr>
          <w:spacing w:val="-32"/>
        </w:rPr>
        <w:t> </w:t>
      </w:r>
      <w:r>
        <w:rPr/>
        <w:t>aos</w:t>
      </w:r>
      <w:r>
        <w:rPr>
          <w:spacing w:val="-31"/>
        </w:rPr>
        <w:t> </w:t>
      </w:r>
      <w:r>
        <w:rPr/>
        <w:t>geradores.</w:t>
      </w:r>
      <w:r>
        <w:rPr>
          <w:spacing w:val="-30"/>
        </w:rPr>
        <w:t> </w:t>
      </w:r>
      <w:r>
        <w:rPr/>
        <w:t>A</w:t>
      </w:r>
      <w:r>
        <w:rPr>
          <w:spacing w:val="-32"/>
        </w:rPr>
        <w:t> </w:t>
      </w:r>
      <w:r>
        <w:rPr/>
        <w:t>Empresa,</w:t>
      </w:r>
      <w:r>
        <w:rPr>
          <w:spacing w:val="-31"/>
        </w:rPr>
        <w:t> </w:t>
      </w:r>
      <w:r>
        <w:rPr/>
        <w:t>não</w:t>
      </w:r>
      <w:r>
        <w:rPr>
          <w:spacing w:val="-31"/>
        </w:rPr>
        <w:t> </w:t>
      </w:r>
      <w:r>
        <w:rPr/>
        <w:t>tendo</w:t>
      </w:r>
      <w:r>
        <w:rPr>
          <w:spacing w:val="-32"/>
        </w:rPr>
        <w:t> </w:t>
      </w:r>
      <w:r>
        <w:rPr/>
        <w:t>repactuado</w:t>
      </w:r>
      <w:r>
        <w:rPr>
          <w:spacing w:val="-33"/>
        </w:rPr>
        <w:t> </w:t>
      </w:r>
      <w:r>
        <w:rPr/>
        <w:t>o</w:t>
      </w:r>
      <w:r>
        <w:rPr>
          <w:spacing w:val="-31"/>
        </w:rPr>
        <w:t> </w:t>
      </w:r>
      <w:r>
        <w:rPr/>
        <w:t>risco</w:t>
      </w:r>
      <w:r>
        <w:rPr>
          <w:spacing w:val="-31"/>
        </w:rPr>
        <w:t> </w:t>
      </w:r>
      <w:r>
        <w:rPr/>
        <w:t>hidrológico</w:t>
      </w:r>
      <w:r>
        <w:rPr>
          <w:spacing w:val="-31"/>
        </w:rPr>
        <w:t> </w:t>
      </w:r>
      <w:r>
        <w:rPr/>
        <w:t>com</w:t>
      </w:r>
      <w:r>
        <w:rPr>
          <w:spacing w:val="-33"/>
        </w:rPr>
        <w:t> </w:t>
      </w:r>
      <w:r>
        <w:rPr/>
        <w:t>o consumidor,</w:t>
      </w:r>
      <w:r>
        <w:rPr>
          <w:spacing w:val="-4"/>
        </w:rPr>
        <w:t> </w:t>
      </w:r>
      <w:r>
        <w:rPr/>
        <w:t>em</w:t>
      </w:r>
      <w:r>
        <w:rPr>
          <w:spacing w:val="-4"/>
        </w:rPr>
        <w:t> </w:t>
      </w:r>
      <w:r>
        <w:rPr/>
        <w:t>2017,</w:t>
      </w:r>
      <w:r>
        <w:rPr>
          <w:spacing w:val="-3"/>
        </w:rPr>
        <w:t> </w:t>
      </w:r>
      <w:r>
        <w:rPr/>
        <w:t>arcou</w:t>
      </w:r>
      <w:r>
        <w:rPr>
          <w:spacing w:val="-5"/>
        </w:rPr>
        <w:t> </w:t>
      </w:r>
      <w:r>
        <w:rPr/>
        <w:t>com</w:t>
      </w:r>
      <w:r>
        <w:rPr>
          <w:spacing w:val="-4"/>
        </w:rPr>
        <w:t> </w:t>
      </w:r>
      <w:r>
        <w:rPr/>
        <w:t>exposições</w:t>
      </w:r>
      <w:r>
        <w:rPr>
          <w:spacing w:val="-2"/>
        </w:rPr>
        <w:t> </w:t>
      </w:r>
      <w:r>
        <w:rPr/>
        <w:t>negativas</w:t>
      </w:r>
      <w:r>
        <w:rPr>
          <w:spacing w:val="-1"/>
        </w:rPr>
        <w:t> </w:t>
      </w:r>
      <w:r>
        <w:rPr/>
        <w:t>no</w:t>
      </w:r>
      <w:r>
        <w:rPr>
          <w:spacing w:val="-5"/>
        </w:rPr>
        <w:t> </w:t>
      </w:r>
      <w:r>
        <w:rPr/>
        <w:t>Mercado</w:t>
      </w:r>
      <w:r>
        <w:rPr>
          <w:spacing w:val="-5"/>
        </w:rPr>
        <w:t> </w:t>
      </w:r>
      <w:r>
        <w:rPr/>
        <w:t>de</w:t>
      </w:r>
      <w:r>
        <w:rPr>
          <w:spacing w:val="-6"/>
        </w:rPr>
        <w:t> </w:t>
      </w:r>
      <w:r>
        <w:rPr/>
        <w:t>Curto</w:t>
      </w:r>
      <w:r>
        <w:rPr>
          <w:spacing w:val="-3"/>
        </w:rPr>
        <w:t> </w:t>
      </w:r>
      <w:r>
        <w:rPr/>
        <w:t>Prazo,</w:t>
      </w:r>
      <w:r>
        <w:rPr>
          <w:spacing w:val="-5"/>
        </w:rPr>
        <w:t> </w:t>
      </w:r>
      <w:r>
        <w:rPr/>
        <w:t>principalmente</w:t>
      </w:r>
      <w:r>
        <w:rPr>
          <w:spacing w:val="-5"/>
        </w:rPr>
        <w:t> </w:t>
      </w:r>
      <w:r>
        <w:rPr/>
        <w:t>no</w:t>
      </w:r>
      <w:r>
        <w:rPr>
          <w:spacing w:val="-3"/>
        </w:rPr>
        <w:t> </w:t>
      </w:r>
      <w:r>
        <w:rPr/>
        <w:t>segundo semestre,</w:t>
      </w:r>
      <w:r>
        <w:rPr>
          <w:spacing w:val="-40"/>
        </w:rPr>
        <w:t> </w:t>
      </w:r>
      <w:r>
        <w:rPr/>
        <w:t>tendo</w:t>
      </w:r>
      <w:r>
        <w:rPr>
          <w:spacing w:val="-38"/>
        </w:rPr>
        <w:t> </w:t>
      </w:r>
      <w:r>
        <w:rPr/>
        <w:t>mitigado</w:t>
      </w:r>
      <w:r>
        <w:rPr>
          <w:spacing w:val="-38"/>
        </w:rPr>
        <w:t> </w:t>
      </w:r>
      <w:r>
        <w:rPr/>
        <w:t>o</w:t>
      </w:r>
      <w:r>
        <w:rPr>
          <w:spacing w:val="-39"/>
        </w:rPr>
        <w:t> </w:t>
      </w:r>
      <w:r>
        <w:rPr/>
        <w:t>impacto</w:t>
      </w:r>
      <w:r>
        <w:rPr>
          <w:spacing w:val="-40"/>
        </w:rPr>
        <w:t> </w:t>
      </w:r>
      <w:r>
        <w:rPr/>
        <w:t>financeiro</w:t>
      </w:r>
      <w:r>
        <w:rPr>
          <w:spacing w:val="-37"/>
        </w:rPr>
        <w:t> </w:t>
      </w:r>
      <w:r>
        <w:rPr/>
        <w:t>negativo</w:t>
      </w:r>
      <w:r>
        <w:rPr>
          <w:spacing w:val="-38"/>
        </w:rPr>
        <w:t> </w:t>
      </w:r>
      <w:r>
        <w:rPr/>
        <w:t>com</w:t>
      </w:r>
      <w:r>
        <w:rPr>
          <w:spacing w:val="-40"/>
        </w:rPr>
        <w:t> </w:t>
      </w:r>
      <w:r>
        <w:rPr/>
        <w:t>a</w:t>
      </w:r>
      <w:r>
        <w:rPr>
          <w:spacing w:val="-38"/>
        </w:rPr>
        <w:t> </w:t>
      </w:r>
      <w:r>
        <w:rPr/>
        <w:t>realização</w:t>
      </w:r>
      <w:r>
        <w:rPr>
          <w:spacing w:val="-39"/>
        </w:rPr>
        <w:t> </w:t>
      </w:r>
      <w:r>
        <w:rPr/>
        <w:t>de</w:t>
      </w:r>
      <w:r>
        <w:rPr>
          <w:spacing w:val="-39"/>
        </w:rPr>
        <w:t> </w:t>
      </w:r>
      <w:r>
        <w:rPr/>
        <w:t>leilões</w:t>
      </w:r>
      <w:r>
        <w:rPr>
          <w:spacing w:val="-37"/>
        </w:rPr>
        <w:t> </w:t>
      </w:r>
      <w:r>
        <w:rPr/>
        <w:t>para</w:t>
      </w:r>
      <w:r>
        <w:rPr>
          <w:spacing w:val="-39"/>
        </w:rPr>
        <w:t> </w:t>
      </w:r>
      <w:r>
        <w:rPr/>
        <w:t>compra</w:t>
      </w:r>
      <w:r>
        <w:rPr>
          <w:spacing w:val="-39"/>
        </w:rPr>
        <w:t> </w:t>
      </w:r>
      <w:r>
        <w:rPr/>
        <w:t>de</w:t>
      </w:r>
      <w:r>
        <w:rPr>
          <w:spacing w:val="-38"/>
        </w:rPr>
        <w:t> </w:t>
      </w:r>
      <w:r>
        <w:rPr/>
        <w:t>energia</w:t>
      </w:r>
      <w:r>
        <w:rPr>
          <w:spacing w:val="-39"/>
        </w:rPr>
        <w:t> </w:t>
      </w:r>
      <w:r>
        <w:rPr/>
        <w:t>a</w:t>
      </w:r>
      <w:r>
        <w:rPr>
          <w:spacing w:val="-38"/>
        </w:rPr>
        <w:t> </w:t>
      </w:r>
      <w:r>
        <w:rPr/>
        <w:t>preços compensatórios.</w:t>
      </w:r>
    </w:p>
    <w:p>
      <w:pPr>
        <w:pStyle w:val="BodyText"/>
        <w:spacing w:before="6"/>
      </w:pPr>
    </w:p>
    <w:p>
      <w:pPr>
        <w:pStyle w:val="BodyText"/>
        <w:spacing w:line="242" w:lineRule="auto"/>
        <w:ind w:left="192" w:right="610"/>
        <w:jc w:val="both"/>
      </w:pPr>
      <w:r>
        <w:rPr>
          <w:w w:val="95"/>
        </w:rPr>
        <w:t>As</w:t>
      </w:r>
      <w:r>
        <w:rPr>
          <w:spacing w:val="-19"/>
          <w:w w:val="95"/>
        </w:rPr>
        <w:t> </w:t>
      </w:r>
      <w:r>
        <w:rPr>
          <w:w w:val="95"/>
        </w:rPr>
        <w:t>empresas</w:t>
      </w:r>
      <w:r>
        <w:rPr>
          <w:spacing w:val="-18"/>
          <w:w w:val="95"/>
        </w:rPr>
        <w:t> </w:t>
      </w:r>
      <w:r>
        <w:rPr>
          <w:w w:val="95"/>
        </w:rPr>
        <w:t>coligadas</w:t>
      </w:r>
      <w:r>
        <w:rPr>
          <w:spacing w:val="-18"/>
          <w:w w:val="95"/>
        </w:rPr>
        <w:t> </w:t>
      </w:r>
      <w:r>
        <w:rPr>
          <w:w w:val="95"/>
        </w:rPr>
        <w:t>Energética</w:t>
      </w:r>
      <w:r>
        <w:rPr>
          <w:spacing w:val="-18"/>
          <w:w w:val="95"/>
        </w:rPr>
        <w:t> </w:t>
      </w:r>
      <w:r>
        <w:rPr>
          <w:w w:val="95"/>
        </w:rPr>
        <w:t>Corumbá</w:t>
      </w:r>
      <w:r>
        <w:rPr>
          <w:spacing w:val="-18"/>
          <w:w w:val="95"/>
        </w:rPr>
        <w:t> </w:t>
      </w:r>
      <w:r>
        <w:rPr>
          <w:w w:val="95"/>
        </w:rPr>
        <w:t>III</w:t>
      </w:r>
      <w:r>
        <w:rPr>
          <w:spacing w:val="-16"/>
          <w:w w:val="95"/>
        </w:rPr>
        <w:t> </w:t>
      </w:r>
      <w:r>
        <w:rPr>
          <w:w w:val="95"/>
        </w:rPr>
        <w:t>S.A.;</w:t>
      </w:r>
      <w:r>
        <w:rPr>
          <w:spacing w:val="-15"/>
          <w:w w:val="95"/>
        </w:rPr>
        <w:t> </w:t>
      </w:r>
      <w:r>
        <w:rPr>
          <w:w w:val="95"/>
        </w:rPr>
        <w:t>Corumbá</w:t>
      </w:r>
      <w:r>
        <w:rPr>
          <w:spacing w:val="-18"/>
          <w:w w:val="95"/>
        </w:rPr>
        <w:t> </w:t>
      </w:r>
      <w:r>
        <w:rPr>
          <w:w w:val="95"/>
        </w:rPr>
        <w:t>Concessões</w:t>
      </w:r>
      <w:r>
        <w:rPr>
          <w:spacing w:val="-16"/>
          <w:w w:val="95"/>
        </w:rPr>
        <w:t> </w:t>
      </w:r>
      <w:r>
        <w:rPr>
          <w:w w:val="95"/>
        </w:rPr>
        <w:t>S.A.;</w:t>
      </w:r>
      <w:r>
        <w:rPr>
          <w:spacing w:val="-16"/>
          <w:w w:val="95"/>
        </w:rPr>
        <w:t> </w:t>
      </w:r>
      <w:r>
        <w:rPr>
          <w:w w:val="95"/>
        </w:rPr>
        <w:t>e</w:t>
      </w:r>
      <w:r>
        <w:rPr>
          <w:spacing w:val="-18"/>
          <w:w w:val="95"/>
        </w:rPr>
        <w:t> </w:t>
      </w:r>
      <w:r>
        <w:rPr>
          <w:w w:val="95"/>
        </w:rPr>
        <w:t>BSB</w:t>
      </w:r>
      <w:r>
        <w:rPr>
          <w:spacing w:val="-16"/>
          <w:w w:val="95"/>
        </w:rPr>
        <w:t> </w:t>
      </w:r>
      <w:r>
        <w:rPr>
          <w:w w:val="95"/>
        </w:rPr>
        <w:t>Energética</w:t>
      </w:r>
      <w:r>
        <w:rPr>
          <w:spacing w:val="-18"/>
          <w:w w:val="95"/>
        </w:rPr>
        <w:t> </w:t>
      </w:r>
      <w:r>
        <w:rPr>
          <w:w w:val="95"/>
        </w:rPr>
        <w:t>S.A.</w:t>
      </w:r>
      <w:r>
        <w:rPr>
          <w:spacing w:val="-16"/>
          <w:w w:val="95"/>
        </w:rPr>
        <w:t> </w:t>
      </w:r>
      <w:r>
        <w:rPr>
          <w:w w:val="95"/>
        </w:rPr>
        <w:t>também</w:t>
      </w:r>
      <w:r>
        <w:rPr>
          <w:spacing w:val="-17"/>
          <w:w w:val="95"/>
        </w:rPr>
        <w:t> </w:t>
      </w:r>
      <w:r>
        <w:rPr>
          <w:w w:val="95"/>
        </w:rPr>
        <w:t>aderiram </w:t>
      </w:r>
      <w:r>
        <w:rPr/>
        <w:t>à</w:t>
      </w:r>
      <w:r>
        <w:rPr>
          <w:spacing w:val="-18"/>
        </w:rPr>
        <w:t> </w:t>
      </w:r>
      <w:r>
        <w:rPr/>
        <w:t>repactuação</w:t>
      </w:r>
      <w:r>
        <w:rPr>
          <w:spacing w:val="-19"/>
        </w:rPr>
        <w:t> </w:t>
      </w:r>
      <w:r>
        <w:rPr/>
        <w:t>do</w:t>
      </w:r>
      <w:r>
        <w:rPr>
          <w:spacing w:val="-19"/>
        </w:rPr>
        <w:t> </w:t>
      </w:r>
      <w:r>
        <w:rPr/>
        <w:t>risco</w:t>
      </w:r>
      <w:r>
        <w:rPr>
          <w:spacing w:val="-19"/>
        </w:rPr>
        <w:t> </w:t>
      </w:r>
      <w:r>
        <w:rPr/>
        <w:t>hidrológico.</w:t>
      </w:r>
    </w:p>
    <w:p>
      <w:pPr>
        <w:pStyle w:val="BodyText"/>
        <w:spacing w:before="10"/>
      </w:pPr>
    </w:p>
    <w:p>
      <w:pPr>
        <w:pStyle w:val="BodyText"/>
        <w:spacing w:line="242" w:lineRule="auto"/>
        <w:ind w:left="192" w:right="611"/>
        <w:jc w:val="both"/>
      </w:pPr>
      <w:r>
        <w:rPr/>
        <w:t>O Mercado de Curto Prazo permanece, em parte, judicializado e, como consequência, com elevado índice de inadimplência.</w:t>
      </w:r>
      <w:r>
        <w:rPr>
          <w:spacing w:val="-4"/>
        </w:rPr>
        <w:t> </w:t>
      </w:r>
      <w:r>
        <w:rPr/>
        <w:t>O</w:t>
      </w:r>
      <w:r>
        <w:rPr>
          <w:spacing w:val="-5"/>
        </w:rPr>
        <w:t> </w:t>
      </w:r>
      <w:r>
        <w:rPr/>
        <w:t>Regulador</w:t>
      </w:r>
      <w:r>
        <w:rPr>
          <w:spacing w:val="-5"/>
        </w:rPr>
        <w:t> </w:t>
      </w:r>
      <w:r>
        <w:rPr/>
        <w:t>conseguiu</w:t>
      </w:r>
      <w:r>
        <w:rPr>
          <w:spacing w:val="-4"/>
        </w:rPr>
        <w:t> </w:t>
      </w:r>
      <w:r>
        <w:rPr/>
        <w:t>cassar</w:t>
      </w:r>
      <w:r>
        <w:rPr>
          <w:spacing w:val="-5"/>
        </w:rPr>
        <w:t> </w:t>
      </w:r>
      <w:r>
        <w:rPr/>
        <w:t>liminares</w:t>
      </w:r>
      <w:r>
        <w:rPr>
          <w:spacing w:val="-4"/>
        </w:rPr>
        <w:t> </w:t>
      </w:r>
      <w:r>
        <w:rPr/>
        <w:t>de</w:t>
      </w:r>
      <w:r>
        <w:rPr>
          <w:spacing w:val="-4"/>
        </w:rPr>
        <w:t> </w:t>
      </w:r>
      <w:r>
        <w:rPr/>
        <w:t>proteção</w:t>
      </w:r>
      <w:r>
        <w:rPr>
          <w:spacing w:val="-5"/>
        </w:rPr>
        <w:t> </w:t>
      </w:r>
      <w:r>
        <w:rPr/>
        <w:t>ao</w:t>
      </w:r>
      <w:r>
        <w:rPr>
          <w:spacing w:val="-5"/>
        </w:rPr>
        <w:t> </w:t>
      </w:r>
      <w:r>
        <w:rPr/>
        <w:t>GSF</w:t>
      </w:r>
      <w:r>
        <w:rPr>
          <w:spacing w:val="2"/>
        </w:rPr>
        <w:t> </w:t>
      </w:r>
      <w:r>
        <w:rPr/>
        <w:t>no</w:t>
      </w:r>
      <w:r>
        <w:rPr>
          <w:spacing w:val="-3"/>
        </w:rPr>
        <w:t> </w:t>
      </w:r>
      <w:r>
        <w:rPr/>
        <w:t>ambiente</w:t>
      </w:r>
      <w:r>
        <w:rPr>
          <w:spacing w:val="-5"/>
        </w:rPr>
        <w:t> </w:t>
      </w:r>
      <w:r>
        <w:rPr/>
        <w:t>livre</w:t>
      </w:r>
      <w:r>
        <w:rPr>
          <w:spacing w:val="-5"/>
        </w:rPr>
        <w:t> </w:t>
      </w:r>
      <w:r>
        <w:rPr/>
        <w:t>e</w:t>
      </w:r>
      <w:r>
        <w:rPr>
          <w:spacing w:val="-4"/>
        </w:rPr>
        <w:t> </w:t>
      </w:r>
      <w:r>
        <w:rPr/>
        <w:t>vem</w:t>
      </w:r>
      <w:r>
        <w:rPr>
          <w:spacing w:val="-5"/>
        </w:rPr>
        <w:t> </w:t>
      </w:r>
      <w:r>
        <w:rPr/>
        <w:t>discutindo propostas</w:t>
      </w:r>
      <w:r>
        <w:rPr>
          <w:spacing w:val="-21"/>
        </w:rPr>
        <w:t> </w:t>
      </w:r>
      <w:r>
        <w:rPr/>
        <w:t>para</w:t>
      </w:r>
      <w:r>
        <w:rPr>
          <w:spacing w:val="-21"/>
        </w:rPr>
        <w:t> </w:t>
      </w:r>
      <w:r>
        <w:rPr/>
        <w:t>liquidação</w:t>
      </w:r>
      <w:r>
        <w:rPr>
          <w:spacing w:val="-22"/>
        </w:rPr>
        <w:t> </w:t>
      </w:r>
      <w:r>
        <w:rPr/>
        <w:t>dos</w:t>
      </w:r>
      <w:r>
        <w:rPr>
          <w:spacing w:val="-20"/>
        </w:rPr>
        <w:t> </w:t>
      </w:r>
      <w:r>
        <w:rPr/>
        <w:t>débitos</w:t>
      </w:r>
      <w:r>
        <w:rPr>
          <w:spacing w:val="-22"/>
        </w:rPr>
        <w:t> </w:t>
      </w:r>
      <w:r>
        <w:rPr/>
        <w:t>neste</w:t>
      </w:r>
      <w:r>
        <w:rPr>
          <w:spacing w:val="-22"/>
        </w:rPr>
        <w:t> </w:t>
      </w:r>
      <w:r>
        <w:rPr/>
        <w:t>mercado.</w:t>
      </w:r>
      <w:r>
        <w:rPr>
          <w:spacing w:val="-21"/>
        </w:rPr>
        <w:t> </w:t>
      </w:r>
      <w:r>
        <w:rPr/>
        <w:t>As</w:t>
      </w:r>
      <w:r>
        <w:rPr>
          <w:spacing w:val="-21"/>
        </w:rPr>
        <w:t> </w:t>
      </w:r>
      <w:r>
        <w:rPr/>
        <w:t>empresas</w:t>
      </w:r>
      <w:r>
        <w:rPr>
          <w:spacing w:val="-21"/>
        </w:rPr>
        <w:t> </w:t>
      </w:r>
      <w:r>
        <w:rPr/>
        <w:t>geradoras</w:t>
      </w:r>
      <w:r>
        <w:rPr>
          <w:spacing w:val="-21"/>
        </w:rPr>
        <w:t> </w:t>
      </w:r>
      <w:r>
        <w:rPr/>
        <w:t>controladas</w:t>
      </w:r>
      <w:r>
        <w:rPr>
          <w:spacing w:val="-21"/>
        </w:rPr>
        <w:t> </w:t>
      </w:r>
      <w:r>
        <w:rPr/>
        <w:t>pela</w:t>
      </w:r>
      <w:r>
        <w:rPr>
          <w:spacing w:val="-20"/>
        </w:rPr>
        <w:t> </w:t>
      </w:r>
      <w:r>
        <w:rPr/>
        <w:t>CEB</w:t>
      </w:r>
      <w:r>
        <w:rPr>
          <w:spacing w:val="-22"/>
        </w:rPr>
        <w:t> </w:t>
      </w:r>
      <w:r>
        <w:rPr/>
        <w:t>possuem</w:t>
      </w:r>
      <w:r>
        <w:rPr>
          <w:spacing w:val="-21"/>
        </w:rPr>
        <w:t> </w:t>
      </w:r>
      <w:r>
        <w:rPr/>
        <w:t>ação protetiva para efeitos financeiros negativos do rateio da inadimplência do MCP e vem gerindo seu portfólio de contratos</w:t>
      </w:r>
      <w:r>
        <w:rPr>
          <w:spacing w:val="-29"/>
        </w:rPr>
        <w:t> </w:t>
      </w:r>
      <w:r>
        <w:rPr/>
        <w:t>de</w:t>
      </w:r>
      <w:r>
        <w:rPr>
          <w:spacing w:val="-30"/>
        </w:rPr>
        <w:t> </w:t>
      </w:r>
      <w:r>
        <w:rPr/>
        <w:t>forma</w:t>
      </w:r>
      <w:r>
        <w:rPr>
          <w:spacing w:val="-30"/>
        </w:rPr>
        <w:t> </w:t>
      </w:r>
      <w:r>
        <w:rPr/>
        <w:t>a</w:t>
      </w:r>
      <w:r>
        <w:rPr>
          <w:spacing w:val="-31"/>
        </w:rPr>
        <w:t> </w:t>
      </w:r>
      <w:r>
        <w:rPr/>
        <w:t>minimizar</w:t>
      </w:r>
      <w:r>
        <w:rPr>
          <w:spacing w:val="-30"/>
        </w:rPr>
        <w:t> </w:t>
      </w:r>
      <w:r>
        <w:rPr/>
        <w:t>os</w:t>
      </w:r>
      <w:r>
        <w:rPr>
          <w:spacing w:val="-31"/>
        </w:rPr>
        <w:t> </w:t>
      </w:r>
      <w:r>
        <w:rPr/>
        <w:t>efeitos</w:t>
      </w:r>
      <w:r>
        <w:rPr>
          <w:spacing w:val="-28"/>
        </w:rPr>
        <w:t> </w:t>
      </w:r>
      <w:r>
        <w:rPr/>
        <w:t>negativos</w:t>
      </w:r>
      <w:r>
        <w:rPr>
          <w:spacing w:val="-30"/>
        </w:rPr>
        <w:t> </w:t>
      </w:r>
      <w:r>
        <w:rPr/>
        <w:t>da</w:t>
      </w:r>
      <w:r>
        <w:rPr>
          <w:spacing w:val="-31"/>
        </w:rPr>
        <w:t> </w:t>
      </w:r>
      <w:r>
        <w:rPr/>
        <w:t>instabilidade</w:t>
      </w:r>
      <w:r>
        <w:rPr>
          <w:spacing w:val="-30"/>
        </w:rPr>
        <w:t> </w:t>
      </w:r>
      <w:r>
        <w:rPr/>
        <w:t>deste</w:t>
      </w:r>
      <w:r>
        <w:rPr>
          <w:spacing w:val="-29"/>
        </w:rPr>
        <w:t> </w:t>
      </w:r>
      <w:r>
        <w:rPr/>
        <w:t>mercado</w:t>
      </w:r>
      <w:r>
        <w:rPr>
          <w:spacing w:val="-30"/>
        </w:rPr>
        <w:t> </w:t>
      </w:r>
      <w:r>
        <w:rPr/>
        <w:t>nas</w:t>
      </w:r>
      <w:r>
        <w:rPr>
          <w:spacing w:val="-30"/>
        </w:rPr>
        <w:t> </w:t>
      </w:r>
      <w:r>
        <w:rPr/>
        <w:t>receitas</w:t>
      </w:r>
      <w:r>
        <w:rPr>
          <w:spacing w:val="-30"/>
        </w:rPr>
        <w:t> </w:t>
      </w:r>
      <w:r>
        <w:rPr/>
        <w:t>dos</w:t>
      </w:r>
      <w:r>
        <w:rPr>
          <w:spacing w:val="-29"/>
        </w:rPr>
        <w:t> </w:t>
      </w:r>
      <w:r>
        <w:rPr/>
        <w:t>negócios.</w:t>
      </w:r>
    </w:p>
    <w:p>
      <w:pPr>
        <w:pStyle w:val="BodyText"/>
        <w:spacing w:before="6"/>
      </w:pPr>
    </w:p>
    <w:p>
      <w:pPr>
        <w:pStyle w:val="BodyText"/>
        <w:spacing w:line="242" w:lineRule="auto"/>
        <w:ind w:left="192" w:right="607"/>
        <w:jc w:val="both"/>
      </w:pPr>
      <w:r>
        <w:rPr/>
        <w:t>O</w:t>
      </w:r>
      <w:r>
        <w:rPr>
          <w:spacing w:val="-29"/>
        </w:rPr>
        <w:t> </w:t>
      </w:r>
      <w:r>
        <w:rPr/>
        <w:t>Ministério</w:t>
      </w:r>
      <w:r>
        <w:rPr>
          <w:spacing w:val="-26"/>
        </w:rPr>
        <w:t> </w:t>
      </w:r>
      <w:r>
        <w:rPr/>
        <w:t>de</w:t>
      </w:r>
      <w:r>
        <w:rPr>
          <w:spacing w:val="-29"/>
        </w:rPr>
        <w:t> </w:t>
      </w:r>
      <w:r>
        <w:rPr/>
        <w:t>Minas</w:t>
      </w:r>
      <w:r>
        <w:rPr>
          <w:spacing w:val="-26"/>
        </w:rPr>
        <w:t> </w:t>
      </w:r>
      <w:r>
        <w:rPr/>
        <w:t>e</w:t>
      </w:r>
      <w:r>
        <w:rPr>
          <w:spacing w:val="-29"/>
        </w:rPr>
        <w:t> </w:t>
      </w:r>
      <w:r>
        <w:rPr/>
        <w:t>Energia</w:t>
      </w:r>
      <w:r>
        <w:rPr>
          <w:spacing w:val="-27"/>
        </w:rPr>
        <w:t> </w:t>
      </w:r>
      <w:r>
        <w:rPr/>
        <w:t>publicou</w:t>
      </w:r>
      <w:r>
        <w:rPr>
          <w:spacing w:val="-27"/>
        </w:rPr>
        <w:t> </w:t>
      </w:r>
      <w:r>
        <w:rPr/>
        <w:t>a</w:t>
      </w:r>
      <w:r>
        <w:rPr>
          <w:spacing w:val="-26"/>
        </w:rPr>
        <w:t> </w:t>
      </w:r>
      <w:r>
        <w:rPr/>
        <w:t>Portaria</w:t>
      </w:r>
      <w:r>
        <w:rPr>
          <w:spacing w:val="-25"/>
        </w:rPr>
        <w:t> </w:t>
      </w:r>
      <w:r>
        <w:rPr/>
        <w:t>nº</w:t>
      </w:r>
      <w:r>
        <w:rPr>
          <w:spacing w:val="-27"/>
        </w:rPr>
        <w:t> </w:t>
      </w:r>
      <w:r>
        <w:rPr/>
        <w:t>178,</w:t>
      </w:r>
      <w:r>
        <w:rPr>
          <w:spacing w:val="-27"/>
        </w:rPr>
        <w:t> </w:t>
      </w:r>
      <w:r>
        <w:rPr/>
        <w:t>de</w:t>
      </w:r>
      <w:r>
        <w:rPr>
          <w:spacing w:val="-29"/>
        </w:rPr>
        <w:t> </w:t>
      </w:r>
      <w:r>
        <w:rPr/>
        <w:t>3</w:t>
      </w:r>
      <w:r>
        <w:rPr>
          <w:spacing w:val="-26"/>
        </w:rPr>
        <w:t> </w:t>
      </w:r>
      <w:r>
        <w:rPr/>
        <w:t>de</w:t>
      </w:r>
      <w:r>
        <w:rPr>
          <w:spacing w:val="-26"/>
        </w:rPr>
        <w:t> </w:t>
      </w:r>
      <w:r>
        <w:rPr/>
        <w:t>maio</w:t>
      </w:r>
      <w:r>
        <w:rPr>
          <w:spacing w:val="-27"/>
        </w:rPr>
        <w:t> </w:t>
      </w:r>
      <w:r>
        <w:rPr/>
        <w:t>de</w:t>
      </w:r>
      <w:r>
        <w:rPr>
          <w:spacing w:val="-27"/>
        </w:rPr>
        <w:t> </w:t>
      </w:r>
      <w:r>
        <w:rPr/>
        <w:t>2017,</w:t>
      </w:r>
      <w:r>
        <w:rPr>
          <w:spacing w:val="-28"/>
        </w:rPr>
        <w:t> </w:t>
      </w:r>
      <w:r>
        <w:rPr/>
        <w:t>aprovando</w:t>
      </w:r>
      <w:r>
        <w:rPr>
          <w:spacing w:val="-27"/>
        </w:rPr>
        <w:t> </w:t>
      </w:r>
      <w:r>
        <w:rPr/>
        <w:t>a</w:t>
      </w:r>
      <w:r>
        <w:rPr>
          <w:spacing w:val="-27"/>
        </w:rPr>
        <w:t> </w:t>
      </w:r>
      <w:r>
        <w:rPr/>
        <w:t>metodologia</w:t>
      </w:r>
      <w:r>
        <w:rPr>
          <w:spacing w:val="-28"/>
        </w:rPr>
        <w:t> </w:t>
      </w:r>
      <w:r>
        <w:rPr/>
        <w:t>adotada no relatório "Revisão Ordinária de Garantia Física de Energia das Usinas Hidrelétricas </w:t>
      </w:r>
      <w:r>
        <w:rPr>
          <w:w w:val="105"/>
        </w:rPr>
        <w:t>– </w:t>
      </w:r>
      <w:r>
        <w:rPr/>
        <w:t>UHEs Despachadas </w:t>
      </w:r>
      <w:r>
        <w:rPr>
          <w:w w:val="93"/>
        </w:rPr>
        <w:t>C</w:t>
      </w:r>
      <w:r>
        <w:rPr>
          <w:spacing w:val="-2"/>
          <w:w w:val="89"/>
        </w:rPr>
        <w:t>e</w:t>
      </w:r>
      <w:r>
        <w:rPr>
          <w:spacing w:val="-1"/>
          <w:w w:val="101"/>
        </w:rPr>
        <w:t>n</w:t>
      </w:r>
      <w:r>
        <w:rPr>
          <w:spacing w:val="1"/>
          <w:w w:val="85"/>
        </w:rPr>
        <w:t>t</w:t>
      </w:r>
      <w:r>
        <w:rPr>
          <w:spacing w:val="-1"/>
          <w:w w:val="105"/>
        </w:rPr>
        <w:t>r</w:t>
      </w:r>
      <w:r>
        <w:rPr>
          <w:w w:val="92"/>
        </w:rPr>
        <w:t>a</w:t>
      </w:r>
      <w:r>
        <w:rPr>
          <w:w w:val="91"/>
        </w:rPr>
        <w:t>l</w:t>
      </w:r>
      <w:r>
        <w:rPr>
          <w:w w:val="94"/>
        </w:rPr>
        <w:t>iz</w:t>
      </w:r>
      <w:r>
        <w:rPr>
          <w:spacing w:val="1"/>
          <w:w w:val="94"/>
        </w:rPr>
        <w:t>a</w:t>
      </w:r>
      <w:r>
        <w:rPr>
          <w:w w:val="95"/>
        </w:rPr>
        <w:t>da</w:t>
      </w:r>
      <w:r>
        <w:rPr>
          <w:w w:val="95"/>
        </w:rPr>
        <w:t>m</w:t>
      </w:r>
      <w:r>
        <w:rPr>
          <w:spacing w:val="-2"/>
          <w:w w:val="95"/>
        </w:rPr>
        <w:t>e</w:t>
      </w:r>
      <w:r>
        <w:rPr>
          <w:spacing w:val="-1"/>
          <w:w w:val="101"/>
        </w:rPr>
        <w:t>n</w:t>
      </w:r>
      <w:r>
        <w:rPr>
          <w:spacing w:val="1"/>
          <w:w w:val="85"/>
        </w:rPr>
        <w:t>t</w:t>
      </w:r>
      <w:r>
        <w:rPr>
          <w:w w:val="89"/>
        </w:rPr>
        <w:t>e</w:t>
      </w:r>
      <w:r>
        <w:rPr>
          <w:spacing w:val="12"/>
        </w:rPr>
        <w:t> </w:t>
      </w:r>
      <w:r>
        <w:rPr>
          <w:spacing w:val="1"/>
          <w:w w:val="101"/>
        </w:rPr>
        <w:t>n</w:t>
      </w:r>
      <w:r>
        <w:rPr>
          <w:w w:val="98"/>
        </w:rPr>
        <w:t>o</w:t>
      </w:r>
      <w:r>
        <w:rPr>
          <w:spacing w:val="13"/>
        </w:rPr>
        <w:t> </w:t>
      </w:r>
      <w:r>
        <w:rPr>
          <w:spacing w:val="-1"/>
          <w:w w:val="97"/>
        </w:rPr>
        <w:t>Sis</w:t>
      </w:r>
      <w:r>
        <w:rPr>
          <w:spacing w:val="2"/>
          <w:w w:val="97"/>
        </w:rPr>
        <w:t>t</w:t>
      </w:r>
      <w:r>
        <w:rPr>
          <w:spacing w:val="1"/>
          <w:w w:val="89"/>
        </w:rPr>
        <w:t>e</w:t>
      </w:r>
      <w:r>
        <w:rPr>
          <w:w w:val="97"/>
        </w:rPr>
        <w:t>ma</w:t>
      </w:r>
      <w:r>
        <w:rPr>
          <w:spacing w:val="14"/>
        </w:rPr>
        <w:t> </w:t>
      </w:r>
      <w:r>
        <w:rPr>
          <w:spacing w:val="-1"/>
          <w:w w:val="99"/>
        </w:rPr>
        <w:t>Int</w:t>
      </w:r>
      <w:r>
        <w:rPr>
          <w:spacing w:val="1"/>
          <w:w w:val="89"/>
        </w:rPr>
        <w:t>e</w:t>
      </w:r>
      <w:r>
        <w:rPr>
          <w:spacing w:val="-1"/>
          <w:w w:val="105"/>
        </w:rPr>
        <w:t>r</w:t>
      </w:r>
      <w:r>
        <w:rPr>
          <w:w w:val="91"/>
        </w:rPr>
        <w:t>l</w:t>
      </w:r>
      <w:r>
        <w:rPr>
          <w:w w:val="95"/>
        </w:rPr>
        <w:t>iga</w:t>
      </w:r>
      <w:r>
        <w:rPr>
          <w:w w:val="98"/>
        </w:rPr>
        <w:t>do</w:t>
      </w:r>
      <w:r>
        <w:rPr>
          <w:spacing w:val="13"/>
        </w:rPr>
        <w:t> </w:t>
      </w:r>
      <w:r>
        <w:rPr>
          <w:spacing w:val="1"/>
          <w:w w:val="106"/>
        </w:rPr>
        <w:t>N</w:t>
      </w:r>
      <w:r>
        <w:rPr>
          <w:w w:val="92"/>
        </w:rPr>
        <w:t>a</w:t>
      </w:r>
      <w:r>
        <w:rPr>
          <w:w w:val="88"/>
        </w:rPr>
        <w:t>c</w:t>
      </w:r>
      <w:r>
        <w:rPr>
          <w:w w:val="99"/>
        </w:rPr>
        <w:t>io</w:t>
      </w:r>
      <w:r>
        <w:rPr>
          <w:spacing w:val="-2"/>
          <w:w w:val="99"/>
        </w:rPr>
        <w:t>n</w:t>
      </w:r>
      <w:r>
        <w:rPr>
          <w:w w:val="92"/>
        </w:rPr>
        <w:t>a</w:t>
      </w:r>
      <w:r>
        <w:rPr>
          <w:w w:val="91"/>
        </w:rPr>
        <w:t>l</w:t>
      </w:r>
      <w:r>
        <w:rPr>
          <w:spacing w:val="20"/>
        </w:rPr>
        <w:t> </w:t>
      </w:r>
      <w:r>
        <w:rPr>
          <w:w w:val="135"/>
        </w:rPr>
        <w:t>–</w:t>
      </w:r>
      <w:r>
        <w:rPr>
          <w:spacing w:val="15"/>
        </w:rPr>
        <w:t> </w:t>
      </w:r>
      <w:r>
        <w:rPr>
          <w:spacing w:val="-1"/>
          <w:w w:val="106"/>
        </w:rPr>
        <w:t>SI</w:t>
      </w:r>
      <w:r>
        <w:rPr>
          <w:w w:val="106"/>
        </w:rPr>
        <w:t>N</w:t>
      </w:r>
      <w:r>
        <w:rPr>
          <w:w w:val="120"/>
        </w:rPr>
        <w:t>"</w:t>
      </w:r>
      <w:r>
        <w:rPr>
          <w:w w:val="55"/>
        </w:rPr>
        <w:t>.</w:t>
      </w:r>
      <w:r>
        <w:rPr>
          <w:spacing w:val="13"/>
        </w:rPr>
        <w:t> </w:t>
      </w:r>
      <w:r>
        <w:rPr>
          <w:w w:val="96"/>
        </w:rPr>
        <w:t>O</w:t>
      </w:r>
      <w:r>
        <w:rPr>
          <w:spacing w:val="13"/>
        </w:rPr>
        <w:t> </w:t>
      </w:r>
      <w:r>
        <w:rPr>
          <w:w w:val="95"/>
        </w:rPr>
        <w:t>doc</w:t>
      </w:r>
      <w:r>
        <w:rPr>
          <w:spacing w:val="-1"/>
          <w:w w:val="97"/>
        </w:rPr>
        <w:t>um</w:t>
      </w:r>
      <w:r>
        <w:rPr>
          <w:spacing w:val="1"/>
          <w:w w:val="97"/>
        </w:rPr>
        <w:t>e</w:t>
      </w:r>
      <w:r>
        <w:rPr>
          <w:spacing w:val="-1"/>
          <w:w w:val="101"/>
        </w:rPr>
        <w:t>n</w:t>
      </w:r>
      <w:r>
        <w:rPr>
          <w:spacing w:val="-1"/>
          <w:w w:val="92"/>
        </w:rPr>
        <w:t>t</w:t>
      </w:r>
      <w:r>
        <w:rPr>
          <w:w w:val="92"/>
        </w:rPr>
        <w:t>o</w:t>
      </w:r>
      <w:r>
        <w:rPr>
          <w:spacing w:val="13"/>
        </w:rPr>
        <w:t> </w:t>
      </w:r>
      <w:r>
        <w:rPr>
          <w:spacing w:val="2"/>
          <w:w w:val="99"/>
        </w:rPr>
        <w:t>d</w:t>
      </w:r>
      <w:r>
        <w:rPr>
          <w:spacing w:val="-2"/>
          <w:w w:val="89"/>
        </w:rPr>
        <w:t>e</w:t>
      </w:r>
      <w:r>
        <w:rPr>
          <w:spacing w:val="1"/>
          <w:w w:val="85"/>
        </w:rPr>
        <w:t>t</w:t>
      </w:r>
      <w:r>
        <w:rPr>
          <w:spacing w:val="-2"/>
          <w:w w:val="89"/>
        </w:rPr>
        <w:t>e</w:t>
      </w:r>
      <w:r>
        <w:rPr>
          <w:spacing w:val="-1"/>
          <w:w w:val="105"/>
        </w:rPr>
        <w:t>r</w:t>
      </w:r>
      <w:r>
        <w:rPr>
          <w:spacing w:val="1"/>
          <w:w w:val="99"/>
        </w:rPr>
        <w:t>m</w:t>
      </w:r>
      <w:r>
        <w:rPr>
          <w:w w:val="100"/>
        </w:rPr>
        <w:t>i</w:t>
      </w:r>
      <w:r>
        <w:rPr>
          <w:spacing w:val="1"/>
          <w:w w:val="100"/>
        </w:rPr>
        <w:t>n</w:t>
      </w:r>
      <w:r>
        <w:rPr>
          <w:w w:val="99"/>
        </w:rPr>
        <w:t>ou</w:t>
      </w:r>
      <w:r>
        <w:rPr>
          <w:spacing w:val="14"/>
        </w:rPr>
        <w:t> </w:t>
      </w:r>
      <w:r>
        <w:rPr>
          <w:spacing w:val="-1"/>
          <w:w w:val="105"/>
        </w:rPr>
        <w:t>r</w:t>
      </w:r>
      <w:r>
        <w:rPr>
          <w:spacing w:val="-2"/>
          <w:w w:val="89"/>
        </w:rPr>
        <w:t>e</w:t>
      </w:r>
      <w:r>
        <w:rPr>
          <w:w w:val="102"/>
        </w:rPr>
        <w:t>vis</w:t>
      </w:r>
      <w:r>
        <w:rPr>
          <w:spacing w:val="2"/>
          <w:w w:val="98"/>
        </w:rPr>
        <w:t>õ</w:t>
      </w:r>
      <w:r>
        <w:rPr>
          <w:spacing w:val="-2"/>
          <w:w w:val="89"/>
        </w:rPr>
        <w:t>e</w:t>
      </w:r>
      <w:r>
        <w:rPr>
          <w:w w:val="105"/>
        </w:rPr>
        <w:t>s</w:t>
      </w:r>
      <w:r>
        <w:rPr>
          <w:spacing w:val="14"/>
        </w:rPr>
        <w:t> </w:t>
      </w:r>
      <w:r>
        <w:rPr>
          <w:w w:val="100"/>
        </w:rPr>
        <w:t>dos</w:t>
      </w:r>
      <w:r>
        <w:rPr>
          <w:spacing w:val="14"/>
        </w:rPr>
        <w:t> </w:t>
      </w:r>
      <w:r>
        <w:rPr>
          <w:spacing w:val="1"/>
          <w:w w:val="99"/>
        </w:rPr>
        <w:t>m</w:t>
      </w:r>
      <w:r>
        <w:rPr>
          <w:w w:val="100"/>
        </w:rPr>
        <w:t>o</w:t>
      </w:r>
      <w:r>
        <w:rPr>
          <w:spacing w:val="-1"/>
          <w:w w:val="100"/>
        </w:rPr>
        <w:t>n</w:t>
      </w:r>
      <w:r>
        <w:rPr>
          <w:spacing w:val="-1"/>
          <w:w w:val="89"/>
        </w:rPr>
        <w:t>t</w:t>
      </w:r>
      <w:r>
        <w:rPr>
          <w:spacing w:val="3"/>
          <w:w w:val="89"/>
        </w:rPr>
        <w:t>a</w:t>
      </w:r>
      <w:r>
        <w:rPr>
          <w:spacing w:val="-1"/>
          <w:w w:val="101"/>
        </w:rPr>
        <w:t>n</w:t>
      </w:r>
      <w:r>
        <w:rPr>
          <w:spacing w:val="-1"/>
          <w:w w:val="87"/>
        </w:rPr>
        <w:t>t</w:t>
      </w:r>
      <w:r>
        <w:rPr>
          <w:spacing w:val="-2"/>
          <w:w w:val="87"/>
        </w:rPr>
        <w:t>e</w:t>
      </w:r>
      <w:r>
        <w:rPr>
          <w:w w:val="105"/>
        </w:rPr>
        <w:t>s</w:t>
      </w:r>
      <w:r>
        <w:rPr>
          <w:spacing w:val="17"/>
        </w:rPr>
        <w:t> </w:t>
      </w:r>
      <w:r>
        <w:rPr>
          <w:w w:val="94"/>
        </w:rPr>
        <w:t>de </w:t>
      </w:r>
      <w:r>
        <w:rPr/>
        <w:t>Garantia</w:t>
      </w:r>
      <w:r>
        <w:rPr>
          <w:spacing w:val="-23"/>
        </w:rPr>
        <w:t> </w:t>
      </w:r>
      <w:r>
        <w:rPr/>
        <w:t>Física</w:t>
      </w:r>
      <w:r>
        <w:rPr>
          <w:spacing w:val="-22"/>
        </w:rPr>
        <w:t> </w:t>
      </w:r>
      <w:r>
        <w:rPr/>
        <w:t>de</w:t>
      </w:r>
      <w:r>
        <w:rPr>
          <w:spacing w:val="-22"/>
        </w:rPr>
        <w:t> </w:t>
      </w:r>
      <w:r>
        <w:rPr/>
        <w:t>Energia</w:t>
      </w:r>
      <w:r>
        <w:rPr>
          <w:spacing w:val="-21"/>
        </w:rPr>
        <w:t> </w:t>
      </w:r>
      <w:r>
        <w:rPr/>
        <w:t>das</w:t>
      </w:r>
      <w:r>
        <w:rPr>
          <w:spacing w:val="-22"/>
        </w:rPr>
        <w:t> </w:t>
      </w:r>
      <w:r>
        <w:rPr/>
        <w:t>usinas,</w:t>
      </w:r>
      <w:r>
        <w:rPr>
          <w:spacing w:val="-23"/>
        </w:rPr>
        <w:t> </w:t>
      </w:r>
      <w:r>
        <w:rPr/>
        <w:t>cujos</w:t>
      </w:r>
      <w:r>
        <w:rPr>
          <w:spacing w:val="-23"/>
        </w:rPr>
        <w:t> </w:t>
      </w:r>
      <w:r>
        <w:rPr/>
        <w:t>efeitos</w:t>
      </w:r>
      <w:r>
        <w:rPr>
          <w:spacing w:val="-17"/>
        </w:rPr>
        <w:t> </w:t>
      </w:r>
      <w:r>
        <w:rPr/>
        <w:t>já</w:t>
      </w:r>
      <w:r>
        <w:rPr>
          <w:spacing w:val="-22"/>
        </w:rPr>
        <w:t> </w:t>
      </w:r>
      <w:r>
        <w:rPr/>
        <w:t>ocorreram</w:t>
      </w:r>
      <w:r>
        <w:rPr>
          <w:spacing w:val="-20"/>
        </w:rPr>
        <w:t> </w:t>
      </w:r>
      <w:r>
        <w:rPr/>
        <w:t>a</w:t>
      </w:r>
      <w:r>
        <w:rPr>
          <w:spacing w:val="-22"/>
        </w:rPr>
        <w:t> </w:t>
      </w:r>
      <w:r>
        <w:rPr/>
        <w:t>partir</w:t>
      </w:r>
      <w:r>
        <w:rPr>
          <w:spacing w:val="-21"/>
        </w:rPr>
        <w:t> </w:t>
      </w:r>
      <w:r>
        <w:rPr/>
        <w:t>de</w:t>
      </w:r>
      <w:r>
        <w:rPr>
          <w:spacing w:val="-22"/>
        </w:rPr>
        <w:t> </w:t>
      </w:r>
      <w:r>
        <w:rPr/>
        <w:t>janeiro</w:t>
      </w:r>
      <w:r>
        <w:rPr>
          <w:spacing w:val="-23"/>
        </w:rPr>
        <w:t> </w:t>
      </w:r>
      <w:r>
        <w:rPr/>
        <w:t>de</w:t>
      </w:r>
      <w:r>
        <w:rPr>
          <w:spacing w:val="-24"/>
        </w:rPr>
        <w:t> </w:t>
      </w:r>
      <w:r>
        <w:rPr/>
        <w:t>2018.</w:t>
      </w:r>
    </w:p>
    <w:p>
      <w:pPr>
        <w:pStyle w:val="BodyText"/>
        <w:spacing w:before="6"/>
      </w:pPr>
    </w:p>
    <w:p>
      <w:pPr>
        <w:pStyle w:val="ListParagraph"/>
        <w:numPr>
          <w:ilvl w:val="1"/>
          <w:numId w:val="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A</w:t>
      </w:r>
      <w:r>
        <w:rPr>
          <w:rFonts w:ascii="Caladea" w:hAnsi="Caladea"/>
          <w:b/>
          <w:sz w:val="18"/>
        </w:rPr>
        <w:t>LIENAÇÃO DE </w:t>
      </w:r>
      <w:r>
        <w:rPr>
          <w:rFonts w:ascii="Caladea" w:hAnsi="Caladea"/>
          <w:b/>
          <w:sz w:val="22"/>
        </w:rPr>
        <w:t>A</w:t>
      </w:r>
      <w:r>
        <w:rPr>
          <w:rFonts w:ascii="Caladea" w:hAnsi="Caladea"/>
          <w:b/>
          <w:sz w:val="18"/>
        </w:rPr>
        <w:t>TIVOS DE </w:t>
      </w:r>
      <w:r>
        <w:rPr>
          <w:rFonts w:ascii="Caladea" w:hAnsi="Caladea"/>
          <w:b/>
          <w:sz w:val="22"/>
        </w:rPr>
        <w:t>G</w:t>
      </w:r>
      <w:r>
        <w:rPr>
          <w:rFonts w:ascii="Caladea" w:hAnsi="Caladea"/>
          <w:b/>
          <w:sz w:val="18"/>
        </w:rPr>
        <w:t>ERAÇÃO DE </w:t>
      </w:r>
      <w:r>
        <w:rPr>
          <w:rFonts w:ascii="Caladea" w:hAnsi="Caladea"/>
          <w:b/>
          <w:sz w:val="22"/>
        </w:rPr>
        <w:t>E</w:t>
      </w:r>
      <w:r>
        <w:rPr>
          <w:rFonts w:ascii="Caladea" w:hAnsi="Caladea"/>
          <w:b/>
          <w:sz w:val="18"/>
        </w:rPr>
        <w:t>NERGIA </w:t>
      </w:r>
      <w:r>
        <w:rPr>
          <w:rFonts w:ascii="Caladea" w:hAnsi="Caladea"/>
          <w:b/>
          <w:sz w:val="22"/>
        </w:rPr>
        <w:t>E</w:t>
      </w:r>
      <w:r>
        <w:rPr>
          <w:rFonts w:ascii="Caladea" w:hAnsi="Caladea"/>
          <w:b/>
          <w:sz w:val="18"/>
        </w:rPr>
        <w:t>LÉTRICA E DE </w:t>
      </w:r>
      <w:r>
        <w:rPr>
          <w:rFonts w:ascii="Caladea" w:hAnsi="Caladea"/>
          <w:b/>
          <w:sz w:val="22"/>
        </w:rPr>
        <w:t>D</w:t>
      </w:r>
      <w:r>
        <w:rPr>
          <w:rFonts w:ascii="Caladea" w:hAnsi="Caladea"/>
          <w:b/>
          <w:sz w:val="18"/>
        </w:rPr>
        <w:t>ISTRIBUIÇÃO DE</w:t>
      </w:r>
      <w:r>
        <w:rPr>
          <w:rFonts w:ascii="Caladea" w:hAnsi="Caladea"/>
          <w:b/>
          <w:spacing w:val="-3"/>
          <w:sz w:val="18"/>
        </w:rPr>
        <w:t> </w:t>
      </w:r>
      <w:r>
        <w:rPr>
          <w:rFonts w:ascii="Caladea" w:hAnsi="Caladea"/>
          <w:b/>
          <w:sz w:val="22"/>
        </w:rPr>
        <w:t>G</w:t>
      </w:r>
      <w:r>
        <w:rPr>
          <w:rFonts w:ascii="Caladea" w:hAnsi="Caladea"/>
          <w:b/>
          <w:sz w:val="18"/>
        </w:rPr>
        <w:t>ÁS</w:t>
      </w:r>
    </w:p>
    <w:p>
      <w:pPr>
        <w:pStyle w:val="BodyText"/>
        <w:rPr>
          <w:rFonts w:ascii="Caladea"/>
          <w:b/>
          <w:sz w:val="24"/>
        </w:rPr>
      </w:pPr>
    </w:p>
    <w:p>
      <w:pPr>
        <w:pStyle w:val="BodyText"/>
        <w:spacing w:line="242" w:lineRule="auto"/>
        <w:ind w:left="192" w:right="612"/>
        <w:jc w:val="both"/>
      </w:pPr>
      <w:r>
        <w:rPr/>
        <w:t>Em</w:t>
      </w:r>
      <w:r>
        <w:rPr>
          <w:spacing w:val="-14"/>
        </w:rPr>
        <w:t> </w:t>
      </w:r>
      <w:r>
        <w:rPr/>
        <w:t>21</w:t>
      </w:r>
      <w:r>
        <w:rPr>
          <w:spacing w:val="-12"/>
        </w:rPr>
        <w:t> </w:t>
      </w:r>
      <w:r>
        <w:rPr/>
        <w:t>de</w:t>
      </w:r>
      <w:r>
        <w:rPr>
          <w:spacing w:val="-13"/>
        </w:rPr>
        <w:t> </w:t>
      </w:r>
      <w:r>
        <w:rPr/>
        <w:t>dezembro</w:t>
      </w:r>
      <w:r>
        <w:rPr>
          <w:spacing w:val="-14"/>
        </w:rPr>
        <w:t> </w:t>
      </w:r>
      <w:r>
        <w:rPr/>
        <w:t>de</w:t>
      </w:r>
      <w:r>
        <w:rPr>
          <w:spacing w:val="-15"/>
        </w:rPr>
        <w:t> </w:t>
      </w:r>
      <w:r>
        <w:rPr/>
        <w:t>2015,</w:t>
      </w:r>
      <w:r>
        <w:rPr>
          <w:spacing w:val="-14"/>
        </w:rPr>
        <w:t> </w:t>
      </w:r>
      <w:r>
        <w:rPr/>
        <w:t>foi</w:t>
      </w:r>
      <w:r>
        <w:rPr>
          <w:spacing w:val="-13"/>
        </w:rPr>
        <w:t> </w:t>
      </w:r>
      <w:r>
        <w:rPr/>
        <w:t>sancionada</w:t>
      </w:r>
      <w:r>
        <w:rPr>
          <w:spacing w:val="-13"/>
        </w:rPr>
        <w:t> </w:t>
      </w:r>
      <w:r>
        <w:rPr/>
        <w:t>a</w:t>
      </w:r>
      <w:r>
        <w:rPr>
          <w:spacing w:val="-13"/>
        </w:rPr>
        <w:t> </w:t>
      </w:r>
      <w:r>
        <w:rPr/>
        <w:t>Lei</w:t>
      </w:r>
      <w:r>
        <w:rPr>
          <w:spacing w:val="-13"/>
        </w:rPr>
        <w:t> </w:t>
      </w:r>
      <w:r>
        <w:rPr/>
        <w:t>nº</w:t>
      </w:r>
      <w:r>
        <w:rPr>
          <w:spacing w:val="-13"/>
        </w:rPr>
        <w:t> </w:t>
      </w:r>
      <w:r>
        <w:rPr/>
        <w:t>5.577/2015,</w:t>
      </w:r>
      <w:r>
        <w:rPr>
          <w:spacing w:val="-12"/>
        </w:rPr>
        <w:t> </w:t>
      </w:r>
      <w:r>
        <w:rPr/>
        <w:t>que</w:t>
      </w:r>
      <w:r>
        <w:rPr>
          <w:spacing w:val="-14"/>
        </w:rPr>
        <w:t> </w:t>
      </w:r>
      <w:r>
        <w:rPr/>
        <w:t>autoriza</w:t>
      </w:r>
      <w:r>
        <w:rPr>
          <w:spacing w:val="-14"/>
        </w:rPr>
        <w:t> </w:t>
      </w:r>
      <w:r>
        <w:rPr/>
        <w:t>a</w:t>
      </w:r>
      <w:r>
        <w:rPr>
          <w:spacing w:val="-13"/>
        </w:rPr>
        <w:t> </w:t>
      </w:r>
      <w:r>
        <w:rPr/>
        <w:t>CEB</w:t>
      </w:r>
      <w:r>
        <w:rPr>
          <w:spacing w:val="-14"/>
        </w:rPr>
        <w:t> </w:t>
      </w:r>
      <w:r>
        <w:rPr/>
        <w:t>a</w:t>
      </w:r>
      <w:r>
        <w:rPr>
          <w:spacing w:val="-13"/>
        </w:rPr>
        <w:t> </w:t>
      </w:r>
      <w:r>
        <w:rPr/>
        <w:t>alienar</w:t>
      </w:r>
      <w:r>
        <w:rPr>
          <w:spacing w:val="-13"/>
        </w:rPr>
        <w:t> </w:t>
      </w:r>
      <w:r>
        <w:rPr/>
        <w:t>suas</w:t>
      </w:r>
      <w:r>
        <w:rPr>
          <w:spacing w:val="-13"/>
        </w:rPr>
        <w:t> </w:t>
      </w:r>
      <w:r>
        <w:rPr/>
        <w:t>participações acionárias</w:t>
      </w:r>
      <w:r>
        <w:rPr>
          <w:spacing w:val="-48"/>
        </w:rPr>
        <w:t> </w:t>
      </w:r>
      <w:r>
        <w:rPr/>
        <w:t>em</w:t>
      </w:r>
      <w:r>
        <w:rPr>
          <w:spacing w:val="-48"/>
        </w:rPr>
        <w:t> </w:t>
      </w:r>
      <w:r>
        <w:rPr/>
        <w:t>empresas</w:t>
      </w:r>
      <w:r>
        <w:rPr>
          <w:spacing w:val="-47"/>
        </w:rPr>
        <w:t> </w:t>
      </w:r>
      <w:r>
        <w:rPr/>
        <w:t>de</w:t>
      </w:r>
      <w:r>
        <w:rPr>
          <w:spacing w:val="-48"/>
        </w:rPr>
        <w:t> </w:t>
      </w:r>
      <w:r>
        <w:rPr/>
        <w:t>geração</w:t>
      </w:r>
      <w:r>
        <w:rPr>
          <w:spacing w:val="-48"/>
        </w:rPr>
        <w:t> </w:t>
      </w:r>
      <w:r>
        <w:rPr/>
        <w:t>de</w:t>
      </w:r>
      <w:r>
        <w:rPr>
          <w:spacing w:val="-47"/>
        </w:rPr>
        <w:t> </w:t>
      </w:r>
      <w:r>
        <w:rPr/>
        <w:t>energia</w:t>
      </w:r>
      <w:r>
        <w:rPr>
          <w:spacing w:val="-47"/>
        </w:rPr>
        <w:t> </w:t>
      </w:r>
      <w:r>
        <w:rPr/>
        <w:t>elétrica</w:t>
      </w:r>
      <w:r>
        <w:rPr>
          <w:spacing w:val="-47"/>
        </w:rPr>
        <w:t> </w:t>
      </w:r>
      <w:r>
        <w:rPr/>
        <w:t>e</w:t>
      </w:r>
      <w:r>
        <w:rPr>
          <w:spacing w:val="-47"/>
        </w:rPr>
        <w:t> </w:t>
      </w:r>
      <w:r>
        <w:rPr/>
        <w:t>de</w:t>
      </w:r>
      <w:r>
        <w:rPr>
          <w:spacing w:val="-48"/>
        </w:rPr>
        <w:t> </w:t>
      </w:r>
      <w:r>
        <w:rPr/>
        <w:t>distribuição</w:t>
      </w:r>
      <w:r>
        <w:rPr>
          <w:spacing w:val="-48"/>
        </w:rPr>
        <w:t> </w:t>
      </w:r>
      <w:r>
        <w:rPr/>
        <w:t>de</w:t>
      </w:r>
      <w:r>
        <w:rPr>
          <w:spacing w:val="-48"/>
        </w:rPr>
        <w:t> </w:t>
      </w:r>
      <w:r>
        <w:rPr/>
        <w:t>gás,</w:t>
      </w:r>
      <w:r>
        <w:rPr>
          <w:spacing w:val="-49"/>
        </w:rPr>
        <w:t> </w:t>
      </w:r>
      <w:r>
        <w:rPr/>
        <w:t>vinculando</w:t>
      </w:r>
      <w:r>
        <w:rPr>
          <w:spacing w:val="-48"/>
        </w:rPr>
        <w:t> </w:t>
      </w:r>
      <w:r>
        <w:rPr/>
        <w:t>a</w:t>
      </w:r>
      <w:r>
        <w:rPr>
          <w:spacing w:val="-47"/>
        </w:rPr>
        <w:t> </w:t>
      </w:r>
      <w:r>
        <w:rPr/>
        <w:t>aplicação</w:t>
      </w:r>
      <w:r>
        <w:rPr>
          <w:spacing w:val="-49"/>
        </w:rPr>
        <w:t> </w:t>
      </w:r>
      <w:r>
        <w:rPr/>
        <w:t>dessas</w:t>
      </w:r>
      <w:r>
        <w:rPr>
          <w:spacing w:val="-48"/>
        </w:rPr>
        <w:t> </w:t>
      </w:r>
      <w:r>
        <w:rPr/>
        <w:t>receitas em</w:t>
      </w:r>
      <w:r>
        <w:rPr>
          <w:spacing w:val="-34"/>
        </w:rPr>
        <w:t> </w:t>
      </w:r>
      <w:r>
        <w:rPr/>
        <w:t>investimentos,</w:t>
      </w:r>
      <w:r>
        <w:rPr>
          <w:spacing w:val="-34"/>
        </w:rPr>
        <w:t> </w:t>
      </w:r>
      <w:r>
        <w:rPr/>
        <w:t>pagamentos</w:t>
      </w:r>
      <w:r>
        <w:rPr>
          <w:spacing w:val="-34"/>
        </w:rPr>
        <w:t> </w:t>
      </w:r>
      <w:r>
        <w:rPr/>
        <w:t>de</w:t>
      </w:r>
      <w:r>
        <w:rPr>
          <w:spacing w:val="-34"/>
        </w:rPr>
        <w:t> </w:t>
      </w:r>
      <w:r>
        <w:rPr/>
        <w:t>tributos</w:t>
      </w:r>
      <w:r>
        <w:rPr>
          <w:spacing w:val="-34"/>
        </w:rPr>
        <w:t> </w:t>
      </w:r>
      <w:r>
        <w:rPr/>
        <w:t>e</w:t>
      </w:r>
      <w:r>
        <w:rPr>
          <w:spacing w:val="-34"/>
        </w:rPr>
        <w:t> </w:t>
      </w:r>
      <w:r>
        <w:rPr/>
        <w:t>amortizações</w:t>
      </w:r>
      <w:r>
        <w:rPr>
          <w:spacing w:val="-34"/>
        </w:rPr>
        <w:t> </w:t>
      </w:r>
      <w:r>
        <w:rPr/>
        <w:t>de</w:t>
      </w:r>
      <w:r>
        <w:rPr>
          <w:spacing w:val="-34"/>
        </w:rPr>
        <w:t> </w:t>
      </w:r>
      <w:r>
        <w:rPr/>
        <w:t>empréstimos</w:t>
      </w:r>
      <w:r>
        <w:rPr>
          <w:spacing w:val="-34"/>
        </w:rPr>
        <w:t> </w:t>
      </w:r>
      <w:r>
        <w:rPr/>
        <w:t>da</w:t>
      </w:r>
      <w:r>
        <w:rPr>
          <w:spacing w:val="-34"/>
        </w:rPr>
        <w:t> </w:t>
      </w:r>
      <w:r>
        <w:rPr/>
        <w:t>controlada</w:t>
      </w:r>
      <w:r>
        <w:rPr>
          <w:spacing w:val="-35"/>
        </w:rPr>
        <w:t> </w:t>
      </w:r>
      <w:r>
        <w:rPr/>
        <w:t>CEB</w:t>
      </w:r>
      <w:r>
        <w:rPr>
          <w:spacing w:val="-34"/>
        </w:rPr>
        <w:t> </w:t>
      </w:r>
      <w:r>
        <w:rPr/>
        <w:t>Distribuição</w:t>
      </w:r>
      <w:r>
        <w:rPr>
          <w:spacing w:val="-34"/>
        </w:rPr>
        <w:t> </w:t>
      </w:r>
      <w:r>
        <w:rPr/>
        <w:t>S.A..</w:t>
      </w:r>
    </w:p>
    <w:p>
      <w:pPr>
        <w:pStyle w:val="BodyText"/>
        <w:spacing w:before="8"/>
      </w:pPr>
    </w:p>
    <w:p>
      <w:pPr>
        <w:pStyle w:val="BodyText"/>
        <w:ind w:left="192" w:right="608"/>
        <w:jc w:val="both"/>
      </w:pPr>
      <w:r>
        <w:rPr/>
        <w:t>Na</w:t>
      </w:r>
      <w:r>
        <w:rPr>
          <w:spacing w:val="-30"/>
        </w:rPr>
        <w:t> </w:t>
      </w:r>
      <w:r>
        <w:rPr/>
        <w:t>Reunião</w:t>
      </w:r>
      <w:r>
        <w:rPr>
          <w:spacing w:val="-29"/>
        </w:rPr>
        <w:t> </w:t>
      </w:r>
      <w:r>
        <w:rPr/>
        <w:t>Ordinária</w:t>
      </w:r>
      <w:r>
        <w:rPr>
          <w:spacing w:val="-30"/>
        </w:rPr>
        <w:t> </w:t>
      </w:r>
      <w:r>
        <w:rPr/>
        <w:t>de</w:t>
      </w:r>
      <w:r>
        <w:rPr>
          <w:spacing w:val="-30"/>
        </w:rPr>
        <w:t> </w:t>
      </w:r>
      <w:r>
        <w:rPr/>
        <w:t>18</w:t>
      </w:r>
      <w:r>
        <w:rPr>
          <w:spacing w:val="-28"/>
        </w:rPr>
        <w:t> </w:t>
      </w:r>
      <w:r>
        <w:rPr/>
        <w:t>de</w:t>
      </w:r>
      <w:r>
        <w:rPr>
          <w:spacing w:val="-30"/>
        </w:rPr>
        <w:t> </w:t>
      </w:r>
      <w:r>
        <w:rPr/>
        <w:t>dezembro</w:t>
      </w:r>
      <w:r>
        <w:rPr>
          <w:spacing w:val="-30"/>
        </w:rPr>
        <w:t> </w:t>
      </w:r>
      <w:r>
        <w:rPr/>
        <w:t>de</w:t>
      </w:r>
      <w:r>
        <w:rPr>
          <w:spacing w:val="-31"/>
        </w:rPr>
        <w:t> </w:t>
      </w:r>
      <w:r>
        <w:rPr/>
        <w:t>2018,</w:t>
      </w:r>
      <w:r>
        <w:rPr>
          <w:spacing w:val="-30"/>
        </w:rPr>
        <w:t> </w:t>
      </w:r>
      <w:r>
        <w:rPr/>
        <w:t>o</w:t>
      </w:r>
      <w:r>
        <w:rPr>
          <w:spacing w:val="-30"/>
        </w:rPr>
        <w:t> </w:t>
      </w:r>
      <w:r>
        <w:rPr/>
        <w:t>Conselho</w:t>
      </w:r>
      <w:r>
        <w:rPr>
          <w:spacing w:val="-29"/>
        </w:rPr>
        <w:t> </w:t>
      </w:r>
      <w:r>
        <w:rPr/>
        <w:t>de</w:t>
      </w:r>
      <w:r>
        <w:rPr>
          <w:spacing w:val="-31"/>
        </w:rPr>
        <w:t> </w:t>
      </w:r>
      <w:r>
        <w:rPr/>
        <w:t>Administração</w:t>
      </w:r>
      <w:r>
        <w:rPr>
          <w:spacing w:val="-30"/>
        </w:rPr>
        <w:t> </w:t>
      </w:r>
      <w:r>
        <w:rPr/>
        <w:t>da</w:t>
      </w:r>
      <w:r>
        <w:rPr>
          <w:spacing w:val="-29"/>
        </w:rPr>
        <w:t> </w:t>
      </w:r>
      <w:r>
        <w:rPr/>
        <w:t>CEB</w:t>
      </w:r>
      <w:r>
        <w:rPr>
          <w:spacing w:val="-30"/>
        </w:rPr>
        <w:t> </w:t>
      </w:r>
      <w:r>
        <w:rPr/>
        <w:t>aprovou</w:t>
      </w:r>
      <w:r>
        <w:rPr>
          <w:spacing w:val="-29"/>
        </w:rPr>
        <w:t> </w:t>
      </w:r>
      <w:r>
        <w:rPr/>
        <w:t>o</w:t>
      </w:r>
      <w:r>
        <w:rPr>
          <w:spacing w:val="-30"/>
        </w:rPr>
        <w:t> </w:t>
      </w:r>
      <w:r>
        <w:rPr/>
        <w:t>Plano</w:t>
      </w:r>
      <w:r>
        <w:rPr>
          <w:spacing w:val="-30"/>
        </w:rPr>
        <w:t> </w:t>
      </w:r>
      <w:r>
        <w:rPr/>
        <w:t>de</w:t>
      </w:r>
      <w:r>
        <w:rPr>
          <w:spacing w:val="-30"/>
        </w:rPr>
        <w:t> </w:t>
      </w:r>
      <w:r>
        <w:rPr/>
        <w:t>Negócios para</w:t>
      </w:r>
      <w:r>
        <w:rPr>
          <w:spacing w:val="-19"/>
        </w:rPr>
        <w:t> </w:t>
      </w:r>
      <w:r>
        <w:rPr/>
        <w:t>o</w:t>
      </w:r>
      <w:r>
        <w:rPr>
          <w:spacing w:val="-19"/>
        </w:rPr>
        <w:t> </w:t>
      </w:r>
      <w:r>
        <w:rPr/>
        <w:t>período</w:t>
      </w:r>
      <w:r>
        <w:rPr>
          <w:spacing w:val="-17"/>
        </w:rPr>
        <w:t> </w:t>
      </w:r>
      <w:r>
        <w:rPr/>
        <w:t>de</w:t>
      </w:r>
      <w:r>
        <w:rPr>
          <w:spacing w:val="-20"/>
        </w:rPr>
        <w:t> </w:t>
      </w:r>
      <w:r>
        <w:rPr/>
        <w:t>2019</w:t>
      </w:r>
      <w:r>
        <w:rPr>
          <w:spacing w:val="-18"/>
        </w:rPr>
        <w:t> </w:t>
      </w:r>
      <w:r>
        <w:rPr/>
        <w:t>a</w:t>
      </w:r>
      <w:r>
        <w:rPr>
          <w:spacing w:val="-18"/>
        </w:rPr>
        <w:t> </w:t>
      </w:r>
      <w:r>
        <w:rPr/>
        <w:t>2023,</w:t>
      </w:r>
      <w:r>
        <w:rPr>
          <w:spacing w:val="-18"/>
        </w:rPr>
        <w:t> </w:t>
      </w:r>
      <w:r>
        <w:rPr/>
        <w:t>conforme</w:t>
      </w:r>
      <w:r>
        <w:rPr>
          <w:spacing w:val="-18"/>
        </w:rPr>
        <w:t> </w:t>
      </w:r>
      <w:r>
        <w:rPr/>
        <w:t>previsto</w:t>
      </w:r>
      <w:r>
        <w:rPr>
          <w:spacing w:val="-17"/>
        </w:rPr>
        <w:t> </w:t>
      </w:r>
      <w:r>
        <w:rPr/>
        <w:t>na</w:t>
      </w:r>
      <w:r>
        <w:rPr>
          <w:spacing w:val="-18"/>
        </w:rPr>
        <w:t> </w:t>
      </w:r>
      <w:r>
        <w:rPr/>
        <w:t>Lei</w:t>
      </w:r>
      <w:r>
        <w:rPr>
          <w:spacing w:val="-17"/>
        </w:rPr>
        <w:t> </w:t>
      </w:r>
      <w:r>
        <w:rPr/>
        <w:t>nº</w:t>
      </w:r>
      <w:r>
        <w:rPr>
          <w:spacing w:val="-17"/>
        </w:rPr>
        <w:t> </w:t>
      </w:r>
      <w:r>
        <w:rPr/>
        <w:t>13.303/2016.</w:t>
      </w:r>
    </w:p>
    <w:p>
      <w:pPr>
        <w:pStyle w:val="BodyText"/>
        <w:rPr>
          <w:sz w:val="21"/>
        </w:rPr>
      </w:pPr>
    </w:p>
    <w:p>
      <w:pPr>
        <w:pStyle w:val="BodyText"/>
        <w:spacing w:line="242" w:lineRule="auto"/>
        <w:ind w:left="192" w:right="604"/>
        <w:jc w:val="both"/>
      </w:pPr>
      <w:r>
        <w:rPr/>
        <w:t>Em</w:t>
      </w:r>
      <w:r>
        <w:rPr>
          <w:spacing w:val="-9"/>
        </w:rPr>
        <w:t> </w:t>
      </w:r>
      <w:r>
        <w:rPr/>
        <w:t>resumo,</w:t>
      </w:r>
      <w:r>
        <w:rPr>
          <w:spacing w:val="-8"/>
        </w:rPr>
        <w:t> </w:t>
      </w:r>
      <w:r>
        <w:rPr/>
        <w:t>o</w:t>
      </w:r>
      <w:r>
        <w:rPr>
          <w:spacing w:val="-6"/>
        </w:rPr>
        <w:t> </w:t>
      </w:r>
      <w:r>
        <w:rPr/>
        <w:t>Plano</w:t>
      </w:r>
      <w:r>
        <w:rPr>
          <w:spacing w:val="-6"/>
        </w:rPr>
        <w:t> </w:t>
      </w:r>
      <w:r>
        <w:rPr/>
        <w:t>estabeleceu</w:t>
      </w:r>
      <w:r>
        <w:rPr>
          <w:spacing w:val="-8"/>
        </w:rPr>
        <w:t> </w:t>
      </w:r>
      <w:r>
        <w:rPr/>
        <w:t>os</w:t>
      </w:r>
      <w:r>
        <w:rPr>
          <w:spacing w:val="-7"/>
        </w:rPr>
        <w:t> </w:t>
      </w:r>
      <w:r>
        <w:rPr/>
        <w:t>seguintes</w:t>
      </w:r>
      <w:r>
        <w:rPr>
          <w:spacing w:val="-6"/>
        </w:rPr>
        <w:t> </w:t>
      </w:r>
      <w:r>
        <w:rPr/>
        <w:t>objetivos</w:t>
      </w:r>
      <w:r>
        <w:rPr>
          <w:spacing w:val="-7"/>
        </w:rPr>
        <w:t> </w:t>
      </w:r>
      <w:r>
        <w:rPr/>
        <w:t>centrais</w:t>
      </w:r>
      <w:r>
        <w:rPr>
          <w:spacing w:val="-8"/>
        </w:rPr>
        <w:t> </w:t>
      </w:r>
      <w:r>
        <w:rPr/>
        <w:t>para</w:t>
      </w:r>
      <w:r>
        <w:rPr>
          <w:spacing w:val="-7"/>
        </w:rPr>
        <w:t> </w:t>
      </w:r>
      <w:r>
        <w:rPr/>
        <w:t>dar</w:t>
      </w:r>
      <w:r>
        <w:rPr>
          <w:spacing w:val="-8"/>
        </w:rPr>
        <w:t> </w:t>
      </w:r>
      <w:r>
        <w:rPr/>
        <w:t>sequência</w:t>
      </w:r>
      <w:r>
        <w:rPr>
          <w:spacing w:val="-8"/>
        </w:rPr>
        <w:t> </w:t>
      </w:r>
      <w:r>
        <w:rPr/>
        <w:t>ao</w:t>
      </w:r>
      <w:r>
        <w:rPr>
          <w:spacing w:val="-8"/>
        </w:rPr>
        <w:t> </w:t>
      </w:r>
      <w:r>
        <w:rPr/>
        <w:t>saneamento</w:t>
      </w:r>
      <w:r>
        <w:rPr>
          <w:spacing w:val="-6"/>
        </w:rPr>
        <w:t> </w:t>
      </w:r>
      <w:r>
        <w:rPr/>
        <w:t>econômico- financeiro</w:t>
      </w:r>
      <w:r>
        <w:rPr>
          <w:spacing w:val="-16"/>
        </w:rPr>
        <w:t> </w:t>
      </w:r>
      <w:r>
        <w:rPr/>
        <w:t>da</w:t>
      </w:r>
      <w:r>
        <w:rPr>
          <w:spacing w:val="-18"/>
        </w:rPr>
        <w:t> </w:t>
      </w:r>
      <w:r>
        <w:rPr/>
        <w:t>CEB</w:t>
      </w:r>
      <w:r>
        <w:rPr>
          <w:spacing w:val="-18"/>
        </w:rPr>
        <w:t> </w:t>
      </w:r>
      <w:r>
        <w:rPr/>
        <w:t>Distribuição</w:t>
      </w:r>
      <w:r>
        <w:rPr>
          <w:spacing w:val="-19"/>
        </w:rPr>
        <w:t> </w:t>
      </w:r>
      <w:r>
        <w:rPr/>
        <w:t>S.A.:</w:t>
      </w:r>
    </w:p>
    <w:p>
      <w:pPr>
        <w:pStyle w:val="BodyText"/>
        <w:spacing w:before="2"/>
      </w:pPr>
    </w:p>
    <w:p>
      <w:pPr>
        <w:pStyle w:val="ListParagraph"/>
        <w:numPr>
          <w:ilvl w:val="2"/>
          <w:numId w:val="6"/>
        </w:numPr>
        <w:tabs>
          <w:tab w:pos="1458" w:val="left" w:leader="none"/>
        </w:tabs>
        <w:spacing w:line="240" w:lineRule="auto" w:before="0" w:after="0"/>
        <w:ind w:left="1458" w:right="0" w:hanging="132"/>
        <w:jc w:val="left"/>
        <w:rPr>
          <w:sz w:val="20"/>
        </w:rPr>
      </w:pPr>
      <w:r>
        <w:rPr>
          <w:sz w:val="20"/>
        </w:rPr>
        <w:t>Adequação</w:t>
      </w:r>
      <w:r>
        <w:rPr>
          <w:spacing w:val="-20"/>
          <w:sz w:val="20"/>
        </w:rPr>
        <w:t> </w:t>
      </w:r>
      <w:r>
        <w:rPr>
          <w:sz w:val="20"/>
        </w:rPr>
        <w:t>dos</w:t>
      </w:r>
      <w:r>
        <w:rPr>
          <w:spacing w:val="-18"/>
          <w:sz w:val="20"/>
        </w:rPr>
        <w:t> </w:t>
      </w:r>
      <w:r>
        <w:rPr>
          <w:sz w:val="20"/>
        </w:rPr>
        <w:t>custos</w:t>
      </w:r>
      <w:r>
        <w:rPr>
          <w:spacing w:val="-16"/>
          <w:sz w:val="20"/>
        </w:rPr>
        <w:t> </w:t>
      </w:r>
      <w:r>
        <w:rPr>
          <w:sz w:val="20"/>
        </w:rPr>
        <w:t>e</w:t>
      </w:r>
      <w:r>
        <w:rPr>
          <w:spacing w:val="-20"/>
          <w:sz w:val="20"/>
        </w:rPr>
        <w:t> </w:t>
      </w:r>
      <w:r>
        <w:rPr>
          <w:sz w:val="20"/>
        </w:rPr>
        <w:t>despesas</w:t>
      </w:r>
      <w:r>
        <w:rPr>
          <w:spacing w:val="-19"/>
          <w:sz w:val="20"/>
        </w:rPr>
        <w:t> </w:t>
      </w:r>
      <w:r>
        <w:rPr>
          <w:sz w:val="20"/>
        </w:rPr>
        <w:t>operacionais;</w:t>
      </w:r>
      <w:r>
        <w:rPr>
          <w:spacing w:val="-18"/>
          <w:sz w:val="20"/>
        </w:rPr>
        <w:t> </w:t>
      </w:r>
      <w:r>
        <w:rPr>
          <w:sz w:val="20"/>
        </w:rPr>
        <w:t>e</w:t>
      </w:r>
    </w:p>
    <w:p>
      <w:pPr>
        <w:pStyle w:val="ListParagraph"/>
        <w:numPr>
          <w:ilvl w:val="2"/>
          <w:numId w:val="6"/>
        </w:numPr>
        <w:tabs>
          <w:tab w:pos="1458" w:val="left" w:leader="none"/>
        </w:tabs>
        <w:spacing w:line="240" w:lineRule="auto" w:before="3" w:after="0"/>
        <w:ind w:left="1458" w:right="0" w:hanging="132"/>
        <w:jc w:val="left"/>
        <w:rPr>
          <w:sz w:val="20"/>
        </w:rPr>
      </w:pPr>
      <w:r>
        <w:rPr>
          <w:sz w:val="20"/>
        </w:rPr>
        <w:t>Redução</w:t>
      </w:r>
      <w:r>
        <w:rPr>
          <w:spacing w:val="-22"/>
          <w:sz w:val="20"/>
        </w:rPr>
        <w:t> </w:t>
      </w:r>
      <w:r>
        <w:rPr>
          <w:sz w:val="20"/>
        </w:rPr>
        <w:t>do</w:t>
      </w:r>
      <w:r>
        <w:rPr>
          <w:spacing w:val="-19"/>
          <w:sz w:val="20"/>
        </w:rPr>
        <w:t> </w:t>
      </w:r>
      <w:r>
        <w:rPr>
          <w:sz w:val="20"/>
        </w:rPr>
        <w:t>endividamento</w:t>
      </w:r>
      <w:r>
        <w:rPr>
          <w:spacing w:val="-21"/>
          <w:sz w:val="20"/>
        </w:rPr>
        <w:t> </w:t>
      </w:r>
      <w:r>
        <w:rPr>
          <w:sz w:val="20"/>
        </w:rPr>
        <w:t>com</w:t>
      </w:r>
      <w:r>
        <w:rPr>
          <w:spacing w:val="-21"/>
          <w:sz w:val="20"/>
        </w:rPr>
        <w:t> </w:t>
      </w:r>
      <w:r>
        <w:rPr>
          <w:sz w:val="20"/>
        </w:rPr>
        <w:t>consequente</w:t>
      </w:r>
      <w:r>
        <w:rPr>
          <w:spacing w:val="-22"/>
          <w:sz w:val="20"/>
        </w:rPr>
        <w:t> </w:t>
      </w:r>
      <w:r>
        <w:rPr>
          <w:sz w:val="20"/>
        </w:rPr>
        <w:t>diminuição</w:t>
      </w:r>
      <w:r>
        <w:rPr>
          <w:spacing w:val="-21"/>
          <w:sz w:val="20"/>
        </w:rPr>
        <w:t> </w:t>
      </w:r>
      <w:r>
        <w:rPr>
          <w:sz w:val="20"/>
        </w:rPr>
        <w:t>do</w:t>
      </w:r>
      <w:r>
        <w:rPr>
          <w:spacing w:val="-21"/>
          <w:sz w:val="20"/>
        </w:rPr>
        <w:t> </w:t>
      </w:r>
      <w:r>
        <w:rPr>
          <w:sz w:val="20"/>
        </w:rPr>
        <w:t>serviço</w:t>
      </w:r>
      <w:r>
        <w:rPr>
          <w:spacing w:val="-19"/>
          <w:sz w:val="20"/>
        </w:rPr>
        <w:t> </w:t>
      </w:r>
      <w:r>
        <w:rPr>
          <w:sz w:val="20"/>
        </w:rPr>
        <w:t>da</w:t>
      </w:r>
      <w:r>
        <w:rPr>
          <w:spacing w:val="-20"/>
          <w:sz w:val="20"/>
        </w:rPr>
        <w:t> </w:t>
      </w:r>
      <w:r>
        <w:rPr>
          <w:sz w:val="20"/>
        </w:rPr>
        <w:t>dívida.</w:t>
      </w:r>
    </w:p>
    <w:p>
      <w:pPr>
        <w:pStyle w:val="BodyText"/>
        <w:spacing w:before="10"/>
      </w:pPr>
    </w:p>
    <w:p>
      <w:pPr>
        <w:pStyle w:val="BodyText"/>
        <w:ind w:left="192" w:right="625"/>
        <w:jc w:val="both"/>
      </w:pPr>
      <w:r>
        <w:rPr/>
        <w:t>Assim</w:t>
      </w:r>
      <w:r>
        <w:rPr>
          <w:spacing w:val="-41"/>
        </w:rPr>
        <w:t> </w:t>
      </w:r>
      <w:r>
        <w:rPr/>
        <w:t>sendo,</w:t>
      </w:r>
      <w:r>
        <w:rPr>
          <w:spacing w:val="-39"/>
        </w:rPr>
        <w:t> </w:t>
      </w:r>
      <w:r>
        <w:rPr/>
        <w:t>as</w:t>
      </w:r>
      <w:r>
        <w:rPr>
          <w:spacing w:val="-40"/>
        </w:rPr>
        <w:t> </w:t>
      </w:r>
      <w:r>
        <w:rPr/>
        <w:t>principais</w:t>
      </w:r>
      <w:r>
        <w:rPr>
          <w:spacing w:val="-38"/>
        </w:rPr>
        <w:t> </w:t>
      </w:r>
      <w:r>
        <w:rPr/>
        <w:t>estratégias</w:t>
      </w:r>
      <w:r>
        <w:rPr>
          <w:spacing w:val="-39"/>
        </w:rPr>
        <w:t> </w:t>
      </w:r>
      <w:r>
        <w:rPr/>
        <w:t>para</w:t>
      </w:r>
      <w:r>
        <w:rPr>
          <w:spacing w:val="-40"/>
        </w:rPr>
        <w:t> </w:t>
      </w:r>
      <w:r>
        <w:rPr/>
        <w:t>a</w:t>
      </w:r>
      <w:r>
        <w:rPr>
          <w:spacing w:val="-38"/>
        </w:rPr>
        <w:t> </w:t>
      </w:r>
      <w:r>
        <w:rPr/>
        <w:t>viabilização</w:t>
      </w:r>
      <w:r>
        <w:rPr>
          <w:spacing w:val="-40"/>
        </w:rPr>
        <w:t> </w:t>
      </w:r>
      <w:r>
        <w:rPr/>
        <w:t>do</w:t>
      </w:r>
      <w:r>
        <w:rPr>
          <w:spacing w:val="-39"/>
        </w:rPr>
        <w:t> </w:t>
      </w:r>
      <w:r>
        <w:rPr/>
        <w:t>Plano</w:t>
      </w:r>
      <w:r>
        <w:rPr>
          <w:spacing w:val="-39"/>
        </w:rPr>
        <w:t> </w:t>
      </w:r>
      <w:r>
        <w:rPr/>
        <w:t>de</w:t>
      </w:r>
      <w:r>
        <w:rPr>
          <w:spacing w:val="-40"/>
        </w:rPr>
        <w:t> </w:t>
      </w:r>
      <w:r>
        <w:rPr/>
        <w:t>Negócios</w:t>
      </w:r>
      <w:r>
        <w:rPr>
          <w:spacing w:val="-38"/>
        </w:rPr>
        <w:t> </w:t>
      </w:r>
      <w:r>
        <w:rPr/>
        <w:t>estão</w:t>
      </w:r>
      <w:r>
        <w:rPr>
          <w:spacing w:val="-40"/>
        </w:rPr>
        <w:t> </w:t>
      </w:r>
      <w:r>
        <w:rPr/>
        <w:t>centradas,</w:t>
      </w:r>
      <w:r>
        <w:rPr>
          <w:spacing w:val="-39"/>
        </w:rPr>
        <w:t> </w:t>
      </w:r>
      <w:r>
        <w:rPr/>
        <w:t>principalmente,</w:t>
      </w:r>
      <w:r>
        <w:rPr>
          <w:spacing w:val="-39"/>
        </w:rPr>
        <w:t> </w:t>
      </w:r>
      <w:r>
        <w:rPr/>
        <w:t>nos seguintes</w:t>
      </w:r>
      <w:r>
        <w:rPr>
          <w:spacing w:val="-16"/>
        </w:rPr>
        <w:t> </w:t>
      </w:r>
      <w:r>
        <w:rPr/>
        <w:t>eventos:</w:t>
      </w:r>
    </w:p>
    <w:p>
      <w:pPr>
        <w:pStyle w:val="BodyText"/>
        <w:spacing w:before="7"/>
      </w:pPr>
    </w:p>
    <w:p>
      <w:pPr>
        <w:pStyle w:val="ListParagraph"/>
        <w:numPr>
          <w:ilvl w:val="2"/>
          <w:numId w:val="6"/>
        </w:numPr>
        <w:tabs>
          <w:tab w:pos="1458" w:val="left" w:leader="none"/>
        </w:tabs>
        <w:spacing w:line="240" w:lineRule="auto" w:before="0" w:after="0"/>
        <w:ind w:left="1458" w:right="0" w:hanging="132"/>
        <w:jc w:val="left"/>
        <w:rPr>
          <w:sz w:val="20"/>
        </w:rPr>
      </w:pPr>
      <w:r>
        <w:rPr>
          <w:sz w:val="20"/>
        </w:rPr>
        <w:t>Alienação</w:t>
      </w:r>
      <w:r>
        <w:rPr>
          <w:spacing w:val="-20"/>
          <w:sz w:val="20"/>
        </w:rPr>
        <w:t> </w:t>
      </w:r>
      <w:r>
        <w:rPr>
          <w:sz w:val="20"/>
        </w:rPr>
        <w:t>de</w:t>
      </w:r>
      <w:r>
        <w:rPr>
          <w:spacing w:val="-20"/>
          <w:sz w:val="20"/>
        </w:rPr>
        <w:t> </w:t>
      </w:r>
      <w:r>
        <w:rPr>
          <w:sz w:val="20"/>
        </w:rPr>
        <w:t>participações</w:t>
      </w:r>
      <w:r>
        <w:rPr>
          <w:spacing w:val="-16"/>
          <w:sz w:val="20"/>
        </w:rPr>
        <w:t> </w:t>
      </w:r>
      <w:r>
        <w:rPr>
          <w:sz w:val="20"/>
        </w:rPr>
        <w:t>societárias;</w:t>
      </w:r>
    </w:p>
    <w:p>
      <w:pPr>
        <w:pStyle w:val="ListParagraph"/>
        <w:numPr>
          <w:ilvl w:val="2"/>
          <w:numId w:val="6"/>
        </w:numPr>
        <w:tabs>
          <w:tab w:pos="1458" w:val="left" w:leader="none"/>
        </w:tabs>
        <w:spacing w:line="240" w:lineRule="auto" w:before="1" w:after="0"/>
        <w:ind w:left="1458" w:right="0" w:hanging="132"/>
        <w:jc w:val="left"/>
        <w:rPr>
          <w:sz w:val="20"/>
        </w:rPr>
      </w:pPr>
      <w:r>
        <w:rPr>
          <w:sz w:val="20"/>
        </w:rPr>
        <w:t>Monetização</w:t>
      </w:r>
      <w:r>
        <w:rPr>
          <w:spacing w:val="-20"/>
          <w:sz w:val="20"/>
        </w:rPr>
        <w:t> </w:t>
      </w:r>
      <w:r>
        <w:rPr>
          <w:sz w:val="20"/>
        </w:rPr>
        <w:t>de</w:t>
      </w:r>
      <w:r>
        <w:rPr>
          <w:spacing w:val="-19"/>
          <w:sz w:val="20"/>
        </w:rPr>
        <w:t> </w:t>
      </w:r>
      <w:r>
        <w:rPr>
          <w:sz w:val="20"/>
        </w:rPr>
        <w:t>ativos</w:t>
      </w:r>
      <w:r>
        <w:rPr>
          <w:spacing w:val="-19"/>
          <w:sz w:val="20"/>
        </w:rPr>
        <w:t> </w:t>
      </w:r>
      <w:r>
        <w:rPr>
          <w:sz w:val="20"/>
        </w:rPr>
        <w:t>imóveis</w:t>
      </w:r>
      <w:r>
        <w:rPr>
          <w:spacing w:val="-14"/>
          <w:sz w:val="20"/>
        </w:rPr>
        <w:t> </w:t>
      </w:r>
      <w:r>
        <w:rPr>
          <w:sz w:val="20"/>
        </w:rPr>
        <w:t>da</w:t>
      </w:r>
      <w:r>
        <w:rPr>
          <w:spacing w:val="-19"/>
          <w:sz w:val="20"/>
        </w:rPr>
        <w:t> </w:t>
      </w:r>
      <w:r>
        <w:rPr>
          <w:sz w:val="20"/>
        </w:rPr>
        <w:t>CEB</w:t>
      </w:r>
      <w:r>
        <w:rPr>
          <w:spacing w:val="-19"/>
          <w:sz w:val="20"/>
        </w:rPr>
        <w:t> </w:t>
      </w:r>
      <w:r>
        <w:rPr>
          <w:sz w:val="20"/>
        </w:rPr>
        <w:t>Distribuição</w:t>
      </w:r>
      <w:r>
        <w:rPr>
          <w:spacing w:val="-20"/>
          <w:sz w:val="20"/>
        </w:rPr>
        <w:t> </w:t>
      </w:r>
      <w:r>
        <w:rPr>
          <w:sz w:val="20"/>
        </w:rPr>
        <w:t>S.A.;</w:t>
      </w:r>
      <w:r>
        <w:rPr>
          <w:spacing w:val="-18"/>
          <w:sz w:val="20"/>
        </w:rPr>
        <w:t> </w:t>
      </w:r>
      <w:r>
        <w:rPr>
          <w:sz w:val="20"/>
        </w:rPr>
        <w:t>e</w:t>
      </w:r>
    </w:p>
    <w:p>
      <w:pPr>
        <w:pStyle w:val="ListParagraph"/>
        <w:numPr>
          <w:ilvl w:val="2"/>
          <w:numId w:val="6"/>
        </w:numPr>
        <w:tabs>
          <w:tab w:pos="1458" w:val="left" w:leader="none"/>
        </w:tabs>
        <w:spacing w:line="240" w:lineRule="auto" w:before="3" w:after="0"/>
        <w:ind w:left="1458" w:right="0" w:hanging="132"/>
        <w:jc w:val="left"/>
        <w:rPr>
          <w:sz w:val="20"/>
        </w:rPr>
      </w:pPr>
      <w:r>
        <w:rPr>
          <w:sz w:val="20"/>
        </w:rPr>
        <w:t>Capitalização</w:t>
      </w:r>
      <w:r>
        <w:rPr>
          <w:spacing w:val="-25"/>
          <w:sz w:val="20"/>
        </w:rPr>
        <w:t> </w:t>
      </w:r>
      <w:r>
        <w:rPr>
          <w:sz w:val="20"/>
        </w:rPr>
        <w:t>destes</w:t>
      </w:r>
      <w:r>
        <w:rPr>
          <w:spacing w:val="-22"/>
          <w:sz w:val="20"/>
        </w:rPr>
        <w:t> </w:t>
      </w:r>
      <w:r>
        <w:rPr>
          <w:sz w:val="20"/>
        </w:rPr>
        <w:t>recursos</w:t>
      </w:r>
      <w:r>
        <w:rPr>
          <w:spacing w:val="-24"/>
          <w:sz w:val="20"/>
        </w:rPr>
        <w:t> </w:t>
      </w:r>
      <w:r>
        <w:rPr>
          <w:sz w:val="20"/>
        </w:rPr>
        <w:t>no</w:t>
      </w:r>
      <w:r>
        <w:rPr>
          <w:spacing w:val="-23"/>
          <w:sz w:val="20"/>
        </w:rPr>
        <w:t> </w:t>
      </w:r>
      <w:r>
        <w:rPr>
          <w:sz w:val="20"/>
        </w:rPr>
        <w:t>principal</w:t>
      </w:r>
      <w:r>
        <w:rPr>
          <w:spacing w:val="-24"/>
          <w:sz w:val="20"/>
        </w:rPr>
        <w:t> </w:t>
      </w:r>
      <w:r>
        <w:rPr>
          <w:sz w:val="20"/>
        </w:rPr>
        <w:t>negócio</w:t>
      </w:r>
      <w:r>
        <w:rPr>
          <w:spacing w:val="-24"/>
          <w:sz w:val="20"/>
        </w:rPr>
        <w:t> </w:t>
      </w:r>
      <w:r>
        <w:rPr>
          <w:sz w:val="20"/>
        </w:rPr>
        <w:t>da</w:t>
      </w:r>
      <w:r>
        <w:rPr>
          <w:spacing w:val="-24"/>
          <w:sz w:val="20"/>
        </w:rPr>
        <w:t> </w:t>
      </w:r>
      <w:r>
        <w:rPr>
          <w:sz w:val="20"/>
        </w:rPr>
        <w:t>Companhia,</w:t>
      </w:r>
      <w:r>
        <w:rPr>
          <w:spacing w:val="-25"/>
          <w:sz w:val="20"/>
        </w:rPr>
        <w:t> </w:t>
      </w:r>
      <w:r>
        <w:rPr>
          <w:sz w:val="20"/>
        </w:rPr>
        <w:t>a</w:t>
      </w:r>
      <w:r>
        <w:rPr>
          <w:spacing w:val="-24"/>
          <w:sz w:val="20"/>
        </w:rPr>
        <w:t> </w:t>
      </w:r>
      <w:r>
        <w:rPr>
          <w:sz w:val="20"/>
        </w:rPr>
        <w:t>CEB</w:t>
      </w:r>
      <w:r>
        <w:rPr>
          <w:spacing w:val="-22"/>
          <w:sz w:val="20"/>
        </w:rPr>
        <w:t> </w:t>
      </w:r>
      <w:r>
        <w:rPr>
          <w:sz w:val="20"/>
        </w:rPr>
        <w:t>Distribuição</w:t>
      </w:r>
      <w:r>
        <w:rPr>
          <w:spacing w:val="-25"/>
          <w:sz w:val="20"/>
        </w:rPr>
        <w:t> </w:t>
      </w:r>
      <w:r>
        <w:rPr>
          <w:sz w:val="20"/>
        </w:rPr>
        <w:t>S.A..</w:t>
      </w:r>
    </w:p>
    <w:p>
      <w:pPr>
        <w:pStyle w:val="BodyText"/>
        <w:spacing w:before="3"/>
      </w:pPr>
    </w:p>
    <w:p>
      <w:pPr>
        <w:pStyle w:val="BodyText"/>
        <w:spacing w:line="242" w:lineRule="auto" w:before="1"/>
        <w:ind w:left="192" w:right="608"/>
        <w:jc w:val="both"/>
      </w:pPr>
      <w:r>
        <w:rPr/>
        <w:t>Em relação a alienação dos ativos de geração, a Companhia, após a aprovação do Conselho de Administração, contratou um consórcio especializado, em setembro de 2017, para operacionalizar as alienações, realizando o </w:t>
      </w:r>
      <w:r>
        <w:rPr>
          <w:rFonts w:ascii="Caladea" w:hAnsi="Caladea"/>
          <w:i/>
        </w:rPr>
        <w:t>valuation,</w:t>
      </w:r>
      <w:r>
        <w:rPr>
          <w:rFonts w:ascii="Caladea" w:hAnsi="Caladea"/>
          <w:i/>
          <w:spacing w:val="-13"/>
        </w:rPr>
        <w:t> </w:t>
      </w:r>
      <w:r>
        <w:rPr>
          <w:rFonts w:ascii="Caladea" w:hAnsi="Caladea"/>
          <w:i/>
        </w:rPr>
        <w:t>due</w:t>
      </w:r>
      <w:r>
        <w:rPr>
          <w:rFonts w:ascii="Caladea" w:hAnsi="Caladea"/>
          <w:i/>
          <w:spacing w:val="-13"/>
        </w:rPr>
        <w:t> </w:t>
      </w:r>
      <w:r>
        <w:rPr>
          <w:rFonts w:ascii="Caladea" w:hAnsi="Caladea"/>
          <w:i/>
        </w:rPr>
        <w:t>diligence</w:t>
      </w:r>
      <w:r>
        <w:rPr>
          <w:rFonts w:ascii="Caladea" w:hAnsi="Caladea"/>
          <w:i/>
          <w:spacing w:val="-12"/>
        </w:rPr>
        <w:t> </w:t>
      </w:r>
      <w:r>
        <w:rPr/>
        <w:t>jurídica</w:t>
      </w:r>
      <w:r>
        <w:rPr>
          <w:spacing w:val="-31"/>
        </w:rPr>
        <w:t> </w:t>
      </w:r>
      <w:r>
        <w:rPr/>
        <w:t>e</w:t>
      </w:r>
      <w:r>
        <w:rPr>
          <w:spacing w:val="-30"/>
        </w:rPr>
        <w:t> </w:t>
      </w:r>
      <w:r>
        <w:rPr/>
        <w:t>patrimonial,</w:t>
      </w:r>
      <w:r>
        <w:rPr>
          <w:spacing w:val="-29"/>
        </w:rPr>
        <w:t> </w:t>
      </w:r>
      <w:r>
        <w:rPr/>
        <w:t>bem</w:t>
      </w:r>
      <w:r>
        <w:rPr>
          <w:spacing w:val="-31"/>
        </w:rPr>
        <w:t> </w:t>
      </w:r>
      <w:r>
        <w:rPr/>
        <w:t>como</w:t>
      </w:r>
      <w:r>
        <w:rPr>
          <w:spacing w:val="-31"/>
        </w:rPr>
        <w:t> </w:t>
      </w:r>
      <w:r>
        <w:rPr/>
        <w:t>a</w:t>
      </w:r>
      <w:r>
        <w:rPr>
          <w:spacing w:val="-28"/>
        </w:rPr>
        <w:t> </w:t>
      </w:r>
      <w:r>
        <w:rPr/>
        <w:t>avaliações</w:t>
      </w:r>
      <w:r>
        <w:rPr>
          <w:spacing w:val="-31"/>
        </w:rPr>
        <w:t> </w:t>
      </w:r>
      <w:r>
        <w:rPr/>
        <w:t>técnico</w:t>
      </w:r>
      <w:r>
        <w:rPr>
          <w:spacing w:val="-29"/>
        </w:rPr>
        <w:t> </w:t>
      </w:r>
      <w:r>
        <w:rPr/>
        <w:t>operacional,</w:t>
      </w:r>
      <w:r>
        <w:rPr>
          <w:spacing w:val="-31"/>
        </w:rPr>
        <w:t> </w:t>
      </w:r>
      <w:r>
        <w:rPr/>
        <w:t>ambiental</w:t>
      </w:r>
      <w:r>
        <w:rPr>
          <w:spacing w:val="-29"/>
        </w:rPr>
        <w:t> </w:t>
      </w:r>
      <w:r>
        <w:rPr/>
        <w:t>e</w:t>
      </w:r>
      <w:r>
        <w:rPr>
          <w:spacing w:val="-30"/>
        </w:rPr>
        <w:t> </w:t>
      </w:r>
      <w:r>
        <w:rPr/>
        <w:t>de</w:t>
      </w:r>
      <w:r>
        <w:rPr>
          <w:spacing w:val="-30"/>
        </w:rPr>
        <w:t> </w:t>
      </w:r>
      <w:r>
        <w:rPr/>
        <w:t>recursos humanos.</w:t>
      </w:r>
      <w:r>
        <w:rPr>
          <w:spacing w:val="-22"/>
        </w:rPr>
        <w:t> </w:t>
      </w:r>
      <w:r>
        <w:rPr/>
        <w:t>Esse</w:t>
      </w:r>
      <w:r>
        <w:rPr>
          <w:spacing w:val="-20"/>
        </w:rPr>
        <w:t> </w:t>
      </w:r>
      <w:r>
        <w:rPr/>
        <w:t>consórcio</w:t>
      </w:r>
      <w:r>
        <w:rPr>
          <w:spacing w:val="-23"/>
        </w:rPr>
        <w:t> </w:t>
      </w:r>
      <w:r>
        <w:rPr/>
        <w:t>ainda</w:t>
      </w:r>
      <w:r>
        <w:rPr>
          <w:spacing w:val="-21"/>
        </w:rPr>
        <w:t> </w:t>
      </w:r>
      <w:r>
        <w:rPr/>
        <w:t>acompanhará</w:t>
      </w:r>
      <w:r>
        <w:rPr>
          <w:spacing w:val="-21"/>
        </w:rPr>
        <w:t> </w:t>
      </w:r>
      <w:r>
        <w:rPr/>
        <w:t>o</w:t>
      </w:r>
      <w:r>
        <w:rPr>
          <w:spacing w:val="-20"/>
        </w:rPr>
        <w:t> </w:t>
      </w:r>
      <w:r>
        <w:rPr/>
        <w:t>processo</w:t>
      </w:r>
      <w:r>
        <w:rPr>
          <w:spacing w:val="-19"/>
        </w:rPr>
        <w:t> </w:t>
      </w:r>
      <w:r>
        <w:rPr/>
        <w:t>de</w:t>
      </w:r>
      <w:r>
        <w:rPr>
          <w:spacing w:val="-24"/>
        </w:rPr>
        <w:t> </w:t>
      </w:r>
      <w:r>
        <w:rPr/>
        <w:t>venda</w:t>
      </w:r>
      <w:r>
        <w:rPr>
          <w:spacing w:val="-21"/>
        </w:rPr>
        <w:t> </w:t>
      </w:r>
      <w:r>
        <w:rPr/>
        <w:t>até</w:t>
      </w:r>
      <w:r>
        <w:rPr>
          <w:spacing w:val="-21"/>
        </w:rPr>
        <w:t> </w:t>
      </w:r>
      <w:r>
        <w:rPr/>
        <w:t>o</w:t>
      </w:r>
      <w:r>
        <w:rPr>
          <w:spacing w:val="-22"/>
        </w:rPr>
        <w:t> </w:t>
      </w:r>
      <w:r>
        <w:rPr/>
        <w:t>seu</w:t>
      </w:r>
      <w:r>
        <w:rPr>
          <w:spacing w:val="-20"/>
        </w:rPr>
        <w:t> </w:t>
      </w:r>
      <w:r>
        <w:rPr/>
        <w:t>encerramento.</w:t>
      </w:r>
    </w:p>
    <w:p>
      <w:pPr>
        <w:pStyle w:val="BodyText"/>
      </w:pPr>
    </w:p>
    <w:p>
      <w:pPr>
        <w:pStyle w:val="BodyText"/>
        <w:spacing w:before="1"/>
        <w:ind w:left="192" w:right="611"/>
        <w:jc w:val="both"/>
      </w:pPr>
      <w:r>
        <w:rPr>
          <w:w w:val="95"/>
        </w:rPr>
        <w:t>As</w:t>
      </w:r>
      <w:r>
        <w:rPr>
          <w:spacing w:val="-16"/>
          <w:w w:val="95"/>
        </w:rPr>
        <w:t> </w:t>
      </w:r>
      <w:r>
        <w:rPr>
          <w:w w:val="95"/>
        </w:rPr>
        <w:t>avaliações</w:t>
      </w:r>
      <w:r>
        <w:rPr>
          <w:spacing w:val="-15"/>
          <w:w w:val="95"/>
        </w:rPr>
        <w:t> </w:t>
      </w:r>
      <w:r>
        <w:rPr>
          <w:w w:val="95"/>
        </w:rPr>
        <w:t>técnico</w:t>
      </w:r>
      <w:r>
        <w:rPr>
          <w:spacing w:val="-17"/>
          <w:w w:val="95"/>
        </w:rPr>
        <w:t> </w:t>
      </w:r>
      <w:r>
        <w:rPr>
          <w:w w:val="95"/>
        </w:rPr>
        <w:t>operacional,</w:t>
      </w:r>
      <w:r>
        <w:rPr>
          <w:spacing w:val="-16"/>
          <w:w w:val="95"/>
        </w:rPr>
        <w:t> </w:t>
      </w:r>
      <w:r>
        <w:rPr>
          <w:w w:val="95"/>
        </w:rPr>
        <w:t>ambiental</w:t>
      </w:r>
      <w:r>
        <w:rPr>
          <w:spacing w:val="-13"/>
          <w:w w:val="95"/>
        </w:rPr>
        <w:t> </w:t>
      </w:r>
      <w:r>
        <w:rPr>
          <w:w w:val="95"/>
        </w:rPr>
        <w:t>e</w:t>
      </w:r>
      <w:r>
        <w:rPr>
          <w:spacing w:val="-18"/>
          <w:w w:val="95"/>
        </w:rPr>
        <w:t> </w:t>
      </w:r>
      <w:r>
        <w:rPr>
          <w:w w:val="95"/>
        </w:rPr>
        <w:t>de</w:t>
      </w:r>
      <w:r>
        <w:rPr>
          <w:spacing w:val="-16"/>
          <w:w w:val="95"/>
        </w:rPr>
        <w:t> </w:t>
      </w:r>
      <w:r>
        <w:rPr>
          <w:w w:val="95"/>
        </w:rPr>
        <w:t>recursos</w:t>
      </w:r>
      <w:r>
        <w:rPr>
          <w:spacing w:val="-13"/>
          <w:w w:val="95"/>
        </w:rPr>
        <w:t> </w:t>
      </w:r>
      <w:r>
        <w:rPr>
          <w:w w:val="95"/>
        </w:rPr>
        <w:t>humanos</w:t>
      </w:r>
      <w:r>
        <w:rPr>
          <w:spacing w:val="-13"/>
          <w:w w:val="95"/>
        </w:rPr>
        <w:t> </w:t>
      </w:r>
      <w:r>
        <w:rPr>
          <w:w w:val="95"/>
        </w:rPr>
        <w:t>foram</w:t>
      </w:r>
      <w:r>
        <w:rPr>
          <w:spacing w:val="-14"/>
          <w:w w:val="95"/>
        </w:rPr>
        <w:t> </w:t>
      </w:r>
      <w:r>
        <w:rPr>
          <w:w w:val="95"/>
        </w:rPr>
        <w:t>concluídas</w:t>
      </w:r>
      <w:r>
        <w:rPr>
          <w:spacing w:val="-13"/>
          <w:w w:val="95"/>
        </w:rPr>
        <w:t> </w:t>
      </w:r>
      <w:r>
        <w:rPr>
          <w:w w:val="95"/>
        </w:rPr>
        <w:t>e</w:t>
      </w:r>
      <w:r>
        <w:rPr>
          <w:spacing w:val="-15"/>
          <w:w w:val="95"/>
        </w:rPr>
        <w:t> </w:t>
      </w:r>
      <w:r>
        <w:rPr>
          <w:w w:val="95"/>
        </w:rPr>
        <w:t>disponibilizadas</w:t>
      </w:r>
      <w:r>
        <w:rPr>
          <w:spacing w:val="-15"/>
          <w:w w:val="95"/>
        </w:rPr>
        <w:t> </w:t>
      </w:r>
      <w:r>
        <w:rPr>
          <w:w w:val="95"/>
        </w:rPr>
        <w:t>a</w:t>
      </w:r>
      <w:r>
        <w:rPr>
          <w:spacing w:val="-16"/>
          <w:w w:val="95"/>
        </w:rPr>
        <w:t> </w:t>
      </w:r>
      <w:r>
        <w:rPr>
          <w:w w:val="95"/>
        </w:rPr>
        <w:t>Companhia </w:t>
      </w:r>
      <w:r>
        <w:rPr/>
        <w:t>em novembro de 2017. Os laudos de avaliação econômica e das </w:t>
      </w:r>
      <w:r>
        <w:rPr>
          <w:rFonts w:ascii="Caladea" w:hAnsi="Caladea"/>
          <w:i/>
        </w:rPr>
        <w:t>due diligence </w:t>
      </w:r>
      <w:r>
        <w:rPr/>
        <w:t>jurídica e patrimonial foram disponibilizados</w:t>
      </w:r>
      <w:r>
        <w:rPr>
          <w:spacing w:val="-18"/>
        </w:rPr>
        <w:t> </w:t>
      </w:r>
      <w:r>
        <w:rPr/>
        <w:t>a</w:t>
      </w:r>
      <w:r>
        <w:rPr>
          <w:spacing w:val="-18"/>
        </w:rPr>
        <w:t> </w:t>
      </w:r>
      <w:r>
        <w:rPr/>
        <w:t>CEB</w:t>
      </w:r>
      <w:r>
        <w:rPr>
          <w:spacing w:val="-15"/>
        </w:rPr>
        <w:t> </w:t>
      </w:r>
      <w:r>
        <w:rPr/>
        <w:t>em</w:t>
      </w:r>
      <w:r>
        <w:rPr>
          <w:spacing w:val="-17"/>
        </w:rPr>
        <w:t> </w:t>
      </w:r>
      <w:r>
        <w:rPr/>
        <w:t>dezembro</w:t>
      </w:r>
      <w:r>
        <w:rPr>
          <w:spacing w:val="-18"/>
        </w:rPr>
        <w:t> </w:t>
      </w:r>
      <w:r>
        <w:rPr/>
        <w:t>de</w:t>
      </w:r>
      <w:r>
        <w:rPr>
          <w:spacing w:val="-17"/>
        </w:rPr>
        <w:t> </w:t>
      </w:r>
      <w:r>
        <w:rPr/>
        <w:t>2017.</w:t>
      </w:r>
    </w:p>
    <w:p>
      <w:pPr>
        <w:spacing w:after="0"/>
        <w:jc w:val="both"/>
        <w:sectPr>
          <w:pgSz w:w="11910" w:h="16850"/>
          <w:pgMar w:header="792" w:footer="1193" w:top="1360" w:bottom="1460" w:left="940" w:right="240"/>
        </w:sectPr>
      </w:pPr>
    </w:p>
    <w:p>
      <w:pPr>
        <w:pStyle w:val="BodyText"/>
        <w:spacing w:line="242" w:lineRule="auto" w:before="50"/>
        <w:ind w:left="192" w:right="611"/>
        <w:jc w:val="both"/>
      </w:pPr>
      <w:r>
        <w:rPr/>
        <w:t>Com</w:t>
      </w:r>
      <w:r>
        <w:rPr>
          <w:spacing w:val="-34"/>
        </w:rPr>
        <w:t> </w:t>
      </w:r>
      <w:r>
        <w:rPr/>
        <w:t>base</w:t>
      </w:r>
      <w:r>
        <w:rPr>
          <w:spacing w:val="-34"/>
        </w:rPr>
        <w:t> </w:t>
      </w:r>
      <w:r>
        <w:rPr/>
        <w:t>nessas</w:t>
      </w:r>
      <w:r>
        <w:rPr>
          <w:spacing w:val="-34"/>
        </w:rPr>
        <w:t> </w:t>
      </w:r>
      <w:r>
        <w:rPr/>
        <w:t>informações,</w:t>
      </w:r>
      <w:r>
        <w:rPr>
          <w:spacing w:val="-34"/>
        </w:rPr>
        <w:t> </w:t>
      </w:r>
      <w:r>
        <w:rPr/>
        <w:t>o</w:t>
      </w:r>
      <w:r>
        <w:rPr>
          <w:spacing w:val="-34"/>
        </w:rPr>
        <w:t> </w:t>
      </w:r>
      <w:r>
        <w:rPr/>
        <w:t>Conselho</w:t>
      </w:r>
      <w:r>
        <w:rPr>
          <w:spacing w:val="-35"/>
        </w:rPr>
        <w:t> </w:t>
      </w:r>
      <w:r>
        <w:rPr/>
        <w:t>de</w:t>
      </w:r>
      <w:r>
        <w:rPr>
          <w:spacing w:val="-34"/>
        </w:rPr>
        <w:t> </w:t>
      </w:r>
      <w:r>
        <w:rPr/>
        <w:t>Administração</w:t>
      </w:r>
      <w:r>
        <w:rPr>
          <w:spacing w:val="-35"/>
        </w:rPr>
        <w:t> </w:t>
      </w:r>
      <w:r>
        <w:rPr/>
        <w:t>se</w:t>
      </w:r>
      <w:r>
        <w:rPr>
          <w:spacing w:val="-34"/>
        </w:rPr>
        <w:t> </w:t>
      </w:r>
      <w:r>
        <w:rPr/>
        <w:t>manifestou</w:t>
      </w:r>
      <w:r>
        <w:rPr>
          <w:spacing w:val="-33"/>
        </w:rPr>
        <w:t> </w:t>
      </w:r>
      <w:r>
        <w:rPr/>
        <w:t>favoravelmente</w:t>
      </w:r>
      <w:r>
        <w:rPr>
          <w:spacing w:val="-34"/>
        </w:rPr>
        <w:t> </w:t>
      </w:r>
      <w:r>
        <w:rPr/>
        <w:t>a</w:t>
      </w:r>
      <w:r>
        <w:rPr>
          <w:spacing w:val="-33"/>
        </w:rPr>
        <w:t> </w:t>
      </w:r>
      <w:r>
        <w:rPr/>
        <w:t>respeito</w:t>
      </w:r>
      <w:r>
        <w:rPr>
          <w:spacing w:val="-34"/>
        </w:rPr>
        <w:t> </w:t>
      </w:r>
      <w:r>
        <w:rPr/>
        <w:t>das</w:t>
      </w:r>
      <w:r>
        <w:rPr>
          <w:spacing w:val="-33"/>
        </w:rPr>
        <w:t> </w:t>
      </w:r>
      <w:r>
        <w:rPr/>
        <w:t>propostas das alienações em fevereiro de 2018, com definição do preço mínimo e modelo de venda, sendo convocada a Assembleia</w:t>
      </w:r>
      <w:r>
        <w:rPr>
          <w:spacing w:val="-19"/>
        </w:rPr>
        <w:t> </w:t>
      </w:r>
      <w:r>
        <w:rPr/>
        <w:t>para</w:t>
      </w:r>
      <w:r>
        <w:rPr>
          <w:spacing w:val="-18"/>
        </w:rPr>
        <w:t> </w:t>
      </w:r>
      <w:r>
        <w:rPr/>
        <w:t>deliberação</w:t>
      </w:r>
      <w:r>
        <w:rPr>
          <w:spacing w:val="-19"/>
        </w:rPr>
        <w:t> </w:t>
      </w:r>
      <w:r>
        <w:rPr/>
        <w:t>do</w:t>
      </w:r>
      <w:r>
        <w:rPr>
          <w:spacing w:val="-19"/>
        </w:rPr>
        <w:t> </w:t>
      </w:r>
      <w:r>
        <w:rPr/>
        <w:t>tema.</w:t>
      </w:r>
    </w:p>
    <w:p>
      <w:pPr>
        <w:pStyle w:val="BodyText"/>
      </w:pPr>
    </w:p>
    <w:p>
      <w:pPr>
        <w:pStyle w:val="BodyText"/>
        <w:spacing w:line="242" w:lineRule="auto"/>
        <w:ind w:left="192" w:right="617"/>
        <w:jc w:val="both"/>
      </w:pPr>
      <w:r>
        <w:rPr/>
        <w:t>Em</w:t>
      </w:r>
      <w:r>
        <w:rPr>
          <w:spacing w:val="-20"/>
        </w:rPr>
        <w:t> </w:t>
      </w:r>
      <w:r>
        <w:rPr/>
        <w:t>maio</w:t>
      </w:r>
      <w:r>
        <w:rPr>
          <w:spacing w:val="-20"/>
        </w:rPr>
        <w:t> </w:t>
      </w:r>
      <w:r>
        <w:rPr/>
        <w:t>de</w:t>
      </w:r>
      <w:r>
        <w:rPr>
          <w:spacing w:val="-20"/>
        </w:rPr>
        <w:t> </w:t>
      </w:r>
      <w:r>
        <w:rPr/>
        <w:t>2018,</w:t>
      </w:r>
      <w:r>
        <w:rPr>
          <w:spacing w:val="-19"/>
        </w:rPr>
        <w:t> </w:t>
      </w:r>
      <w:r>
        <w:rPr/>
        <w:t>foi</w:t>
      </w:r>
      <w:r>
        <w:rPr>
          <w:spacing w:val="-20"/>
        </w:rPr>
        <w:t> </w:t>
      </w:r>
      <w:r>
        <w:rPr/>
        <w:t>aprovada</w:t>
      </w:r>
      <w:r>
        <w:rPr>
          <w:spacing w:val="-18"/>
        </w:rPr>
        <w:t> </w:t>
      </w:r>
      <w:r>
        <w:rPr/>
        <w:t>na</w:t>
      </w:r>
      <w:r>
        <w:rPr>
          <w:spacing w:val="-19"/>
        </w:rPr>
        <w:t> </w:t>
      </w:r>
      <w:r>
        <w:rPr/>
        <w:t>95ª</w:t>
      </w:r>
      <w:r>
        <w:rPr>
          <w:spacing w:val="-19"/>
        </w:rPr>
        <w:t> </w:t>
      </w:r>
      <w:r>
        <w:rPr/>
        <w:t>Assembleia</w:t>
      </w:r>
      <w:r>
        <w:rPr>
          <w:spacing w:val="-18"/>
        </w:rPr>
        <w:t> </w:t>
      </w:r>
      <w:r>
        <w:rPr/>
        <w:t>Geral</w:t>
      </w:r>
      <w:r>
        <w:rPr>
          <w:spacing w:val="-19"/>
        </w:rPr>
        <w:t> </w:t>
      </w:r>
      <w:r>
        <w:rPr/>
        <w:t>Extraordinária</w:t>
      </w:r>
      <w:r>
        <w:rPr>
          <w:spacing w:val="-19"/>
        </w:rPr>
        <w:t> </w:t>
      </w:r>
      <w:r>
        <w:rPr/>
        <w:t>a</w:t>
      </w:r>
      <w:r>
        <w:rPr>
          <w:spacing w:val="-18"/>
        </w:rPr>
        <w:t> </w:t>
      </w:r>
      <w:r>
        <w:rPr/>
        <w:t>proposta</w:t>
      </w:r>
      <w:r>
        <w:rPr>
          <w:spacing w:val="-16"/>
        </w:rPr>
        <w:t> </w:t>
      </w:r>
      <w:r>
        <w:rPr/>
        <w:t>encaminhada</w:t>
      </w:r>
      <w:r>
        <w:rPr>
          <w:spacing w:val="-19"/>
        </w:rPr>
        <w:t> </w:t>
      </w:r>
      <w:r>
        <w:rPr/>
        <w:t>pelo</w:t>
      </w:r>
      <w:r>
        <w:rPr>
          <w:spacing w:val="-19"/>
        </w:rPr>
        <w:t> </w:t>
      </w:r>
      <w:r>
        <w:rPr/>
        <w:t>Conselho</w:t>
      </w:r>
      <w:r>
        <w:rPr>
          <w:spacing w:val="-18"/>
        </w:rPr>
        <w:t> </w:t>
      </w:r>
      <w:r>
        <w:rPr/>
        <w:t>de Administração</w:t>
      </w:r>
      <w:r>
        <w:rPr>
          <w:spacing w:val="-20"/>
        </w:rPr>
        <w:t> </w:t>
      </w:r>
      <w:r>
        <w:rPr/>
        <w:t>sobre</w:t>
      </w:r>
      <w:r>
        <w:rPr>
          <w:spacing w:val="-17"/>
        </w:rPr>
        <w:t> </w:t>
      </w:r>
      <w:r>
        <w:rPr/>
        <w:t>a</w:t>
      </w:r>
      <w:r>
        <w:rPr>
          <w:spacing w:val="-19"/>
        </w:rPr>
        <w:t> </w:t>
      </w:r>
      <w:r>
        <w:rPr/>
        <w:t>alienação</w:t>
      </w:r>
      <w:r>
        <w:rPr>
          <w:spacing w:val="-19"/>
        </w:rPr>
        <w:t> </w:t>
      </w:r>
      <w:r>
        <w:rPr/>
        <w:t>dos</w:t>
      </w:r>
      <w:r>
        <w:rPr>
          <w:spacing w:val="-19"/>
        </w:rPr>
        <w:t> </w:t>
      </w:r>
      <w:r>
        <w:rPr/>
        <w:t>ativos</w:t>
      </w:r>
      <w:r>
        <w:rPr>
          <w:spacing w:val="-18"/>
        </w:rPr>
        <w:t> </w:t>
      </w:r>
      <w:r>
        <w:rPr/>
        <w:t>de</w:t>
      </w:r>
      <w:r>
        <w:rPr>
          <w:spacing w:val="-21"/>
        </w:rPr>
        <w:t> </w:t>
      </w:r>
      <w:r>
        <w:rPr/>
        <w:t>geração.</w:t>
      </w:r>
    </w:p>
    <w:p>
      <w:pPr>
        <w:pStyle w:val="BodyText"/>
        <w:spacing w:before="4"/>
      </w:pPr>
    </w:p>
    <w:p>
      <w:pPr>
        <w:pStyle w:val="BodyText"/>
        <w:ind w:left="192"/>
        <w:jc w:val="both"/>
      </w:pPr>
      <w:r>
        <w:rPr/>
        <w:t>Em</w:t>
      </w:r>
      <w:r>
        <w:rPr>
          <w:spacing w:val="-32"/>
        </w:rPr>
        <w:t> </w:t>
      </w:r>
      <w:r>
        <w:rPr/>
        <w:t>setembro</w:t>
      </w:r>
      <w:r>
        <w:rPr>
          <w:spacing w:val="-32"/>
        </w:rPr>
        <w:t> </w:t>
      </w:r>
      <w:r>
        <w:rPr/>
        <w:t>de</w:t>
      </w:r>
      <w:r>
        <w:rPr>
          <w:spacing w:val="-31"/>
        </w:rPr>
        <w:t> </w:t>
      </w:r>
      <w:r>
        <w:rPr/>
        <w:t>2018</w:t>
      </w:r>
      <w:r>
        <w:rPr>
          <w:spacing w:val="-30"/>
        </w:rPr>
        <w:t> </w:t>
      </w:r>
      <w:r>
        <w:rPr/>
        <w:t>foi</w:t>
      </w:r>
      <w:r>
        <w:rPr>
          <w:spacing w:val="-32"/>
        </w:rPr>
        <w:t> </w:t>
      </w:r>
      <w:r>
        <w:rPr/>
        <w:t>aberta</w:t>
      </w:r>
      <w:r>
        <w:rPr>
          <w:spacing w:val="-31"/>
        </w:rPr>
        <w:t> </w:t>
      </w:r>
      <w:r>
        <w:rPr/>
        <w:t>audiência</w:t>
      </w:r>
      <w:r>
        <w:rPr>
          <w:spacing w:val="-31"/>
        </w:rPr>
        <w:t> </w:t>
      </w:r>
      <w:r>
        <w:rPr/>
        <w:t>pública</w:t>
      </w:r>
      <w:r>
        <w:rPr>
          <w:spacing w:val="-31"/>
        </w:rPr>
        <w:t> </w:t>
      </w:r>
      <w:r>
        <w:rPr/>
        <w:t>relativa</w:t>
      </w:r>
      <w:r>
        <w:rPr>
          <w:spacing w:val="-31"/>
        </w:rPr>
        <w:t> </w:t>
      </w:r>
      <w:r>
        <w:rPr/>
        <w:t>ao</w:t>
      </w:r>
      <w:r>
        <w:rPr>
          <w:spacing w:val="-32"/>
        </w:rPr>
        <w:t> </w:t>
      </w:r>
      <w:r>
        <w:rPr/>
        <w:t>edital</w:t>
      </w:r>
      <w:r>
        <w:rPr>
          <w:spacing w:val="-31"/>
        </w:rPr>
        <w:t> </w:t>
      </w:r>
      <w:r>
        <w:rPr/>
        <w:t>do</w:t>
      </w:r>
      <w:r>
        <w:rPr>
          <w:spacing w:val="-32"/>
        </w:rPr>
        <w:t> </w:t>
      </w:r>
      <w:r>
        <w:rPr/>
        <w:t>leilão</w:t>
      </w:r>
      <w:r>
        <w:rPr>
          <w:spacing w:val="-32"/>
        </w:rPr>
        <w:t> </w:t>
      </w:r>
      <w:r>
        <w:rPr/>
        <w:t>a</w:t>
      </w:r>
      <w:r>
        <w:rPr>
          <w:spacing w:val="-31"/>
        </w:rPr>
        <w:t> </w:t>
      </w:r>
      <w:r>
        <w:rPr/>
        <w:t>ser</w:t>
      </w:r>
      <w:r>
        <w:rPr>
          <w:spacing w:val="-30"/>
        </w:rPr>
        <w:t> </w:t>
      </w:r>
      <w:r>
        <w:rPr/>
        <w:t>realizado</w:t>
      </w:r>
      <w:r>
        <w:rPr>
          <w:spacing w:val="-32"/>
        </w:rPr>
        <w:t> </w:t>
      </w:r>
      <w:r>
        <w:rPr/>
        <w:t>pela</w:t>
      </w:r>
      <w:r>
        <w:rPr>
          <w:spacing w:val="-31"/>
        </w:rPr>
        <w:t> </w:t>
      </w:r>
      <w:r>
        <w:rPr/>
        <w:t>Brasil,</w:t>
      </w:r>
      <w:r>
        <w:rPr>
          <w:spacing w:val="-32"/>
        </w:rPr>
        <w:t> </w:t>
      </w:r>
      <w:r>
        <w:rPr/>
        <w:t>Bolsa,</w:t>
      </w:r>
      <w:r>
        <w:rPr>
          <w:spacing w:val="-32"/>
        </w:rPr>
        <w:t> </w:t>
      </w:r>
      <w:r>
        <w:rPr/>
        <w:t>Balcão</w:t>
      </w:r>
    </w:p>
    <w:p>
      <w:pPr>
        <w:pStyle w:val="BodyText"/>
        <w:spacing w:before="1"/>
        <w:ind w:left="192"/>
        <w:jc w:val="both"/>
      </w:pPr>
      <w:r>
        <w:rPr/>
        <w:t>- B3, válido por 30 dias.</w:t>
      </w:r>
    </w:p>
    <w:p>
      <w:pPr>
        <w:pStyle w:val="BodyText"/>
        <w:spacing w:before="6"/>
      </w:pPr>
    </w:p>
    <w:p>
      <w:pPr>
        <w:pStyle w:val="BodyText"/>
        <w:spacing w:line="242" w:lineRule="auto"/>
        <w:ind w:left="192" w:right="605"/>
        <w:jc w:val="both"/>
      </w:pPr>
      <w:r>
        <w:rPr/>
        <w:t>Em</w:t>
      </w:r>
      <w:r>
        <w:rPr>
          <w:spacing w:val="-6"/>
        </w:rPr>
        <w:t> </w:t>
      </w:r>
      <w:r>
        <w:rPr/>
        <w:t>5</w:t>
      </w:r>
      <w:r>
        <w:rPr>
          <w:spacing w:val="-3"/>
        </w:rPr>
        <w:t> </w:t>
      </w:r>
      <w:r>
        <w:rPr/>
        <w:t>de</w:t>
      </w:r>
      <w:r>
        <w:rPr>
          <w:spacing w:val="-5"/>
        </w:rPr>
        <w:t> </w:t>
      </w:r>
      <w:r>
        <w:rPr/>
        <w:t>outubro</w:t>
      </w:r>
      <w:r>
        <w:rPr>
          <w:spacing w:val="-4"/>
        </w:rPr>
        <w:t> </w:t>
      </w:r>
      <w:r>
        <w:rPr/>
        <w:t>de</w:t>
      </w:r>
      <w:r>
        <w:rPr>
          <w:spacing w:val="-5"/>
        </w:rPr>
        <w:t> </w:t>
      </w:r>
      <w:r>
        <w:rPr/>
        <w:t>2018, o</w:t>
      </w:r>
      <w:r>
        <w:rPr>
          <w:spacing w:val="-5"/>
        </w:rPr>
        <w:t> </w:t>
      </w:r>
      <w:r>
        <w:rPr/>
        <w:t>Tribunal</w:t>
      </w:r>
      <w:r>
        <w:rPr>
          <w:spacing w:val="-1"/>
        </w:rPr>
        <w:t> </w:t>
      </w:r>
      <w:r>
        <w:rPr/>
        <w:t>de</w:t>
      </w:r>
      <w:r>
        <w:rPr>
          <w:spacing w:val="-6"/>
        </w:rPr>
        <w:t> </w:t>
      </w:r>
      <w:r>
        <w:rPr/>
        <w:t>Contas</w:t>
      </w:r>
      <w:r>
        <w:rPr>
          <w:spacing w:val="-5"/>
        </w:rPr>
        <w:t> </w:t>
      </w:r>
      <w:r>
        <w:rPr/>
        <w:t>do</w:t>
      </w:r>
      <w:r>
        <w:rPr>
          <w:spacing w:val="-4"/>
        </w:rPr>
        <w:t> </w:t>
      </w:r>
      <w:r>
        <w:rPr/>
        <w:t>Distrito</w:t>
      </w:r>
      <w:r>
        <w:rPr>
          <w:spacing w:val="-4"/>
        </w:rPr>
        <w:t> </w:t>
      </w:r>
      <w:r>
        <w:rPr/>
        <w:t>Federal</w:t>
      </w:r>
      <w:r>
        <w:rPr>
          <w:spacing w:val="-1"/>
        </w:rPr>
        <w:t> </w:t>
      </w:r>
      <w:r>
        <w:rPr>
          <w:w w:val="105"/>
        </w:rPr>
        <w:t>–</w:t>
      </w:r>
      <w:r>
        <w:rPr>
          <w:spacing w:val="-6"/>
          <w:w w:val="105"/>
        </w:rPr>
        <w:t> </w:t>
      </w:r>
      <w:r>
        <w:rPr/>
        <w:t>TCDF,</w:t>
      </w:r>
      <w:r>
        <w:rPr>
          <w:spacing w:val="-6"/>
        </w:rPr>
        <w:t> </w:t>
      </w:r>
      <w:r>
        <w:rPr/>
        <w:t>solicitou</w:t>
      </w:r>
      <w:r>
        <w:rPr>
          <w:spacing w:val="-3"/>
        </w:rPr>
        <w:t> </w:t>
      </w:r>
      <w:r>
        <w:rPr/>
        <w:t>esclarecimentos</w:t>
      </w:r>
      <w:r>
        <w:rPr>
          <w:spacing w:val="-4"/>
        </w:rPr>
        <w:t> </w:t>
      </w:r>
      <w:r>
        <w:rPr/>
        <w:t>acerca</w:t>
      </w:r>
      <w:r>
        <w:rPr>
          <w:spacing w:val="-3"/>
        </w:rPr>
        <w:t> </w:t>
      </w:r>
      <w:r>
        <w:rPr/>
        <w:t>do certame</w:t>
      </w:r>
      <w:r>
        <w:rPr>
          <w:spacing w:val="-26"/>
        </w:rPr>
        <w:t> </w:t>
      </w:r>
      <w:r>
        <w:rPr/>
        <w:t>e</w:t>
      </w:r>
      <w:r>
        <w:rPr>
          <w:spacing w:val="-27"/>
        </w:rPr>
        <w:t> </w:t>
      </w:r>
      <w:r>
        <w:rPr/>
        <w:t>por</w:t>
      </w:r>
      <w:r>
        <w:rPr>
          <w:spacing w:val="-25"/>
        </w:rPr>
        <w:t> </w:t>
      </w:r>
      <w:r>
        <w:rPr/>
        <w:t>meio</w:t>
      </w:r>
      <w:r>
        <w:rPr>
          <w:spacing w:val="-26"/>
        </w:rPr>
        <w:t> </w:t>
      </w:r>
      <w:r>
        <w:rPr/>
        <w:t>da</w:t>
      </w:r>
      <w:r>
        <w:rPr>
          <w:spacing w:val="-24"/>
        </w:rPr>
        <w:t> </w:t>
      </w:r>
      <w:r>
        <w:rPr/>
        <w:t>Decisão</w:t>
      </w:r>
      <w:r>
        <w:rPr>
          <w:spacing w:val="-24"/>
        </w:rPr>
        <w:t> </w:t>
      </w:r>
      <w:r>
        <w:rPr/>
        <w:t>nº</w:t>
      </w:r>
      <w:r>
        <w:rPr>
          <w:spacing w:val="-24"/>
        </w:rPr>
        <w:t> </w:t>
      </w:r>
      <w:r>
        <w:rPr/>
        <w:t>138/2018</w:t>
      </w:r>
      <w:r>
        <w:rPr>
          <w:spacing w:val="-25"/>
        </w:rPr>
        <w:t> </w:t>
      </w:r>
      <w:r>
        <w:rPr/>
        <w:t>suspendeu</w:t>
      </w:r>
      <w:r>
        <w:rPr>
          <w:spacing w:val="-23"/>
        </w:rPr>
        <w:t> </w:t>
      </w:r>
      <w:r>
        <w:rPr/>
        <w:t>preventivamente</w:t>
      </w:r>
      <w:r>
        <w:rPr>
          <w:spacing w:val="-27"/>
        </w:rPr>
        <w:t> </w:t>
      </w:r>
      <w:r>
        <w:rPr/>
        <w:t>o</w:t>
      </w:r>
      <w:r>
        <w:rPr>
          <w:spacing w:val="-25"/>
        </w:rPr>
        <w:t> </w:t>
      </w:r>
      <w:r>
        <w:rPr/>
        <w:t>leilão</w:t>
      </w:r>
      <w:r>
        <w:rPr>
          <w:spacing w:val="-27"/>
        </w:rPr>
        <w:t> </w:t>
      </w:r>
      <w:r>
        <w:rPr/>
        <w:t>até</w:t>
      </w:r>
      <w:r>
        <w:rPr>
          <w:spacing w:val="-27"/>
        </w:rPr>
        <w:t> </w:t>
      </w:r>
      <w:r>
        <w:rPr/>
        <w:t>o</w:t>
      </w:r>
      <w:r>
        <w:rPr>
          <w:spacing w:val="-25"/>
        </w:rPr>
        <w:t> </w:t>
      </w:r>
      <w:r>
        <w:rPr/>
        <w:t>ulterior</w:t>
      </w:r>
      <w:r>
        <w:rPr>
          <w:spacing w:val="-21"/>
        </w:rPr>
        <w:t> </w:t>
      </w:r>
      <w:r>
        <w:rPr/>
        <w:t>pronunciamento</w:t>
      </w:r>
      <w:r>
        <w:rPr>
          <w:spacing w:val="-22"/>
        </w:rPr>
        <w:t> </w:t>
      </w:r>
      <w:r>
        <w:rPr/>
        <w:t>do Tribunal.</w:t>
      </w:r>
    </w:p>
    <w:p>
      <w:pPr>
        <w:pStyle w:val="BodyText"/>
      </w:pPr>
    </w:p>
    <w:p>
      <w:pPr>
        <w:pStyle w:val="BodyText"/>
        <w:spacing w:line="242" w:lineRule="auto"/>
        <w:ind w:left="192" w:right="612"/>
        <w:jc w:val="both"/>
      </w:pPr>
      <w:r>
        <w:rPr/>
        <w:t>Em</w:t>
      </w:r>
      <w:r>
        <w:rPr>
          <w:spacing w:val="-28"/>
        </w:rPr>
        <w:t> </w:t>
      </w:r>
      <w:r>
        <w:rPr/>
        <w:t>11</w:t>
      </w:r>
      <w:r>
        <w:rPr>
          <w:spacing w:val="-27"/>
        </w:rPr>
        <w:t> </w:t>
      </w:r>
      <w:r>
        <w:rPr/>
        <w:t>de</w:t>
      </w:r>
      <w:r>
        <w:rPr>
          <w:spacing w:val="-28"/>
        </w:rPr>
        <w:t> </w:t>
      </w:r>
      <w:r>
        <w:rPr/>
        <w:t>dezembro</w:t>
      </w:r>
      <w:r>
        <w:rPr>
          <w:spacing w:val="-26"/>
        </w:rPr>
        <w:t> </w:t>
      </w:r>
      <w:r>
        <w:rPr/>
        <w:t>de</w:t>
      </w:r>
      <w:r>
        <w:rPr>
          <w:spacing w:val="-27"/>
        </w:rPr>
        <w:t> </w:t>
      </w:r>
      <w:r>
        <w:rPr/>
        <w:t>2018,</w:t>
      </w:r>
      <w:r>
        <w:rPr>
          <w:spacing w:val="-28"/>
        </w:rPr>
        <w:t> </w:t>
      </w:r>
      <w:r>
        <w:rPr/>
        <w:t>por</w:t>
      </w:r>
      <w:r>
        <w:rPr>
          <w:spacing w:val="-26"/>
        </w:rPr>
        <w:t> </w:t>
      </w:r>
      <w:r>
        <w:rPr/>
        <w:t>meio</w:t>
      </w:r>
      <w:r>
        <w:rPr>
          <w:spacing w:val="-28"/>
        </w:rPr>
        <w:t> </w:t>
      </w:r>
      <w:r>
        <w:rPr/>
        <w:t>da</w:t>
      </w:r>
      <w:r>
        <w:rPr>
          <w:spacing w:val="-27"/>
        </w:rPr>
        <w:t> </w:t>
      </w:r>
      <w:r>
        <w:rPr/>
        <w:t>Decisão</w:t>
      </w:r>
      <w:r>
        <w:rPr>
          <w:spacing w:val="-28"/>
        </w:rPr>
        <w:t> </w:t>
      </w:r>
      <w:r>
        <w:rPr/>
        <w:t>nº</w:t>
      </w:r>
      <w:r>
        <w:rPr>
          <w:spacing w:val="-26"/>
        </w:rPr>
        <w:t> </w:t>
      </w:r>
      <w:r>
        <w:rPr/>
        <w:t>186/2018,</w:t>
      </w:r>
      <w:r>
        <w:rPr>
          <w:spacing w:val="-27"/>
        </w:rPr>
        <w:t> </w:t>
      </w:r>
      <w:r>
        <w:rPr/>
        <w:t>o</w:t>
      </w:r>
      <w:r>
        <w:rPr>
          <w:spacing w:val="-27"/>
        </w:rPr>
        <w:t> </w:t>
      </w:r>
      <w:r>
        <w:rPr/>
        <w:t>TCDF</w:t>
      </w:r>
      <w:r>
        <w:rPr>
          <w:spacing w:val="-26"/>
        </w:rPr>
        <w:t> </w:t>
      </w:r>
      <w:r>
        <w:rPr/>
        <w:t>autorizou</w:t>
      </w:r>
      <w:r>
        <w:rPr>
          <w:spacing w:val="-26"/>
        </w:rPr>
        <w:t> </w:t>
      </w:r>
      <w:r>
        <w:rPr/>
        <w:t>o</w:t>
      </w:r>
      <w:r>
        <w:rPr>
          <w:spacing w:val="-27"/>
        </w:rPr>
        <w:t> </w:t>
      </w:r>
      <w:r>
        <w:rPr/>
        <w:t>prosseguimento</w:t>
      </w:r>
      <w:r>
        <w:rPr>
          <w:spacing w:val="-27"/>
        </w:rPr>
        <w:t> </w:t>
      </w:r>
      <w:r>
        <w:rPr/>
        <w:t>da</w:t>
      </w:r>
      <w:r>
        <w:rPr>
          <w:spacing w:val="-27"/>
        </w:rPr>
        <w:t> </w:t>
      </w:r>
      <w:r>
        <w:rPr/>
        <w:t>alienação</w:t>
      </w:r>
      <w:r>
        <w:rPr>
          <w:spacing w:val="-25"/>
        </w:rPr>
        <w:t> </w:t>
      </w:r>
      <w:r>
        <w:rPr/>
        <w:t>de participações</w:t>
      </w:r>
      <w:r>
        <w:rPr>
          <w:spacing w:val="-16"/>
        </w:rPr>
        <w:t> </w:t>
      </w:r>
      <w:r>
        <w:rPr/>
        <w:t>acionárias</w:t>
      </w:r>
      <w:r>
        <w:rPr>
          <w:spacing w:val="-18"/>
        </w:rPr>
        <w:t> </w:t>
      </w:r>
      <w:r>
        <w:rPr/>
        <w:t>detidas</w:t>
      </w:r>
      <w:r>
        <w:rPr>
          <w:spacing w:val="-18"/>
        </w:rPr>
        <w:t> </w:t>
      </w:r>
      <w:r>
        <w:rPr/>
        <w:t>pela</w:t>
      </w:r>
      <w:r>
        <w:rPr>
          <w:spacing w:val="-18"/>
        </w:rPr>
        <w:t> </w:t>
      </w:r>
      <w:r>
        <w:rPr/>
        <w:t>CEB.</w:t>
      </w:r>
    </w:p>
    <w:p>
      <w:pPr>
        <w:pStyle w:val="BodyText"/>
        <w:spacing w:before="5"/>
      </w:pPr>
    </w:p>
    <w:p>
      <w:pPr>
        <w:pStyle w:val="BodyText"/>
        <w:spacing w:line="242" w:lineRule="auto"/>
        <w:ind w:left="192" w:right="606"/>
        <w:jc w:val="both"/>
      </w:pPr>
      <w:r>
        <w:rPr/>
        <w:t>Em</w:t>
      </w:r>
      <w:r>
        <w:rPr>
          <w:spacing w:val="-38"/>
        </w:rPr>
        <w:t> </w:t>
      </w:r>
      <w:r>
        <w:rPr/>
        <w:t>19</w:t>
      </w:r>
      <w:r>
        <w:rPr>
          <w:spacing w:val="-35"/>
        </w:rPr>
        <w:t> </w:t>
      </w:r>
      <w:r>
        <w:rPr/>
        <w:t>de</w:t>
      </w:r>
      <w:r>
        <w:rPr>
          <w:spacing w:val="-37"/>
        </w:rPr>
        <w:t> </w:t>
      </w:r>
      <w:r>
        <w:rPr/>
        <w:t>junho</w:t>
      </w:r>
      <w:r>
        <w:rPr>
          <w:spacing w:val="-35"/>
        </w:rPr>
        <w:t> </w:t>
      </w:r>
      <w:r>
        <w:rPr/>
        <w:t>de</w:t>
      </w:r>
      <w:r>
        <w:rPr>
          <w:spacing w:val="-36"/>
        </w:rPr>
        <w:t> </w:t>
      </w:r>
      <w:r>
        <w:rPr/>
        <w:t>2019,</w:t>
      </w:r>
      <w:r>
        <w:rPr>
          <w:spacing w:val="-36"/>
        </w:rPr>
        <w:t> </w:t>
      </w:r>
      <w:r>
        <w:rPr/>
        <w:t>foi</w:t>
      </w:r>
      <w:r>
        <w:rPr>
          <w:spacing w:val="-34"/>
        </w:rPr>
        <w:t> </w:t>
      </w:r>
      <w:r>
        <w:rPr/>
        <w:t>realizada</w:t>
      </w:r>
      <w:r>
        <w:rPr>
          <w:spacing w:val="-36"/>
        </w:rPr>
        <w:t> </w:t>
      </w:r>
      <w:r>
        <w:rPr/>
        <w:t>a</w:t>
      </w:r>
      <w:r>
        <w:rPr>
          <w:spacing w:val="-35"/>
        </w:rPr>
        <w:t> </w:t>
      </w:r>
      <w:r>
        <w:rPr/>
        <w:t>98ª</w:t>
      </w:r>
      <w:r>
        <w:rPr>
          <w:spacing w:val="-37"/>
        </w:rPr>
        <w:t> </w:t>
      </w:r>
      <w:r>
        <w:rPr/>
        <w:t>Assembleia</w:t>
      </w:r>
      <w:r>
        <w:rPr>
          <w:spacing w:val="-36"/>
        </w:rPr>
        <w:t> </w:t>
      </w:r>
      <w:r>
        <w:rPr/>
        <w:t>Geral</w:t>
      </w:r>
      <w:r>
        <w:rPr>
          <w:spacing w:val="-36"/>
        </w:rPr>
        <w:t> </w:t>
      </w:r>
      <w:r>
        <w:rPr/>
        <w:t>Extraordinária.</w:t>
      </w:r>
      <w:r>
        <w:rPr>
          <w:spacing w:val="-34"/>
        </w:rPr>
        <w:t> </w:t>
      </w:r>
      <w:r>
        <w:rPr/>
        <w:t>A</w:t>
      </w:r>
      <w:r>
        <w:rPr>
          <w:spacing w:val="-35"/>
        </w:rPr>
        <w:t> </w:t>
      </w:r>
      <w:r>
        <w:rPr/>
        <w:t>maioria</w:t>
      </w:r>
      <w:r>
        <w:rPr>
          <w:spacing w:val="-36"/>
        </w:rPr>
        <w:t> </w:t>
      </w:r>
      <w:r>
        <w:rPr/>
        <w:t>dos</w:t>
      </w:r>
      <w:r>
        <w:rPr>
          <w:spacing w:val="-35"/>
        </w:rPr>
        <w:t> </w:t>
      </w:r>
      <w:r>
        <w:rPr/>
        <w:t>acionistas</w:t>
      </w:r>
      <w:r>
        <w:rPr>
          <w:spacing w:val="-35"/>
        </w:rPr>
        <w:t> </w:t>
      </w:r>
      <w:r>
        <w:rPr/>
        <w:t>da</w:t>
      </w:r>
      <w:r>
        <w:rPr>
          <w:spacing w:val="-36"/>
        </w:rPr>
        <w:t> </w:t>
      </w:r>
      <w:r>
        <w:rPr/>
        <w:t>Companhia, acolhendo</w:t>
      </w:r>
      <w:r>
        <w:rPr>
          <w:spacing w:val="-26"/>
        </w:rPr>
        <w:t> </w:t>
      </w:r>
      <w:r>
        <w:rPr/>
        <w:t>o</w:t>
      </w:r>
      <w:r>
        <w:rPr>
          <w:spacing w:val="-25"/>
        </w:rPr>
        <w:t> </w:t>
      </w:r>
      <w:r>
        <w:rPr/>
        <w:t>voto</w:t>
      </w:r>
      <w:r>
        <w:rPr>
          <w:spacing w:val="-24"/>
        </w:rPr>
        <w:t> </w:t>
      </w:r>
      <w:r>
        <w:rPr/>
        <w:t>do</w:t>
      </w:r>
      <w:r>
        <w:rPr>
          <w:spacing w:val="-26"/>
        </w:rPr>
        <w:t> </w:t>
      </w:r>
      <w:r>
        <w:rPr/>
        <w:t>Distrito</w:t>
      </w:r>
      <w:r>
        <w:rPr>
          <w:spacing w:val="-25"/>
        </w:rPr>
        <w:t> </w:t>
      </w:r>
      <w:r>
        <w:rPr/>
        <w:t>Federal,</w:t>
      </w:r>
      <w:r>
        <w:rPr>
          <w:spacing w:val="-23"/>
        </w:rPr>
        <w:t> </w:t>
      </w:r>
      <w:r>
        <w:rPr/>
        <w:t>deliberou</w:t>
      </w:r>
      <w:r>
        <w:rPr>
          <w:spacing w:val="-24"/>
        </w:rPr>
        <w:t> </w:t>
      </w:r>
      <w:r>
        <w:rPr/>
        <w:t>por</w:t>
      </w:r>
      <w:r>
        <w:rPr>
          <w:spacing w:val="-25"/>
        </w:rPr>
        <w:t> </w:t>
      </w:r>
      <w:r>
        <w:rPr/>
        <w:t>alterar</w:t>
      </w:r>
      <w:r>
        <w:rPr>
          <w:spacing w:val="-26"/>
        </w:rPr>
        <w:t> </w:t>
      </w:r>
      <w:r>
        <w:rPr/>
        <w:t>o</w:t>
      </w:r>
      <w:r>
        <w:rPr>
          <w:spacing w:val="-26"/>
        </w:rPr>
        <w:t> </w:t>
      </w:r>
      <w:r>
        <w:rPr/>
        <w:t>Plano</w:t>
      </w:r>
      <w:r>
        <w:rPr>
          <w:spacing w:val="-25"/>
        </w:rPr>
        <w:t> </w:t>
      </w:r>
      <w:r>
        <w:rPr/>
        <w:t>de</w:t>
      </w:r>
      <w:r>
        <w:rPr>
          <w:spacing w:val="-26"/>
        </w:rPr>
        <w:t> </w:t>
      </w:r>
      <w:r>
        <w:rPr/>
        <w:t>Negócios</w:t>
      </w:r>
      <w:r>
        <w:rPr>
          <w:spacing w:val="-26"/>
        </w:rPr>
        <w:t> </w:t>
      </w:r>
      <w:r>
        <w:rPr/>
        <w:t>2019-2023,</w:t>
      </w:r>
      <w:r>
        <w:rPr>
          <w:spacing w:val="-26"/>
        </w:rPr>
        <w:t> </w:t>
      </w:r>
      <w:r>
        <w:rPr/>
        <w:t>e</w:t>
      </w:r>
      <w:r>
        <w:rPr>
          <w:spacing w:val="-25"/>
        </w:rPr>
        <w:t> </w:t>
      </w:r>
      <w:r>
        <w:rPr/>
        <w:t>sobrestar</w:t>
      </w:r>
      <w:r>
        <w:rPr>
          <w:spacing w:val="-24"/>
        </w:rPr>
        <w:t> </w:t>
      </w:r>
      <w:r>
        <w:rPr/>
        <w:t>a</w:t>
      </w:r>
      <w:r>
        <w:rPr>
          <w:spacing w:val="-26"/>
        </w:rPr>
        <w:t> </w:t>
      </w:r>
      <w:r>
        <w:rPr/>
        <w:t>alienação das</w:t>
      </w:r>
      <w:r>
        <w:rPr>
          <w:spacing w:val="-19"/>
        </w:rPr>
        <w:t> </w:t>
      </w:r>
      <w:r>
        <w:rPr/>
        <w:t>participações</w:t>
      </w:r>
      <w:r>
        <w:rPr>
          <w:spacing w:val="-19"/>
        </w:rPr>
        <w:t> </w:t>
      </w:r>
      <w:r>
        <w:rPr/>
        <w:t>em</w:t>
      </w:r>
      <w:r>
        <w:rPr>
          <w:spacing w:val="-19"/>
        </w:rPr>
        <w:t> </w:t>
      </w:r>
      <w:r>
        <w:rPr/>
        <w:t>sociedades</w:t>
      </w:r>
      <w:r>
        <w:rPr>
          <w:spacing w:val="-19"/>
        </w:rPr>
        <w:t> </w:t>
      </w:r>
      <w:r>
        <w:rPr/>
        <w:t>geradoras</w:t>
      </w:r>
      <w:r>
        <w:rPr>
          <w:spacing w:val="-19"/>
        </w:rPr>
        <w:t> </w:t>
      </w:r>
      <w:r>
        <w:rPr/>
        <w:t>de</w:t>
      </w:r>
      <w:r>
        <w:rPr>
          <w:spacing w:val="-18"/>
        </w:rPr>
        <w:t> </w:t>
      </w:r>
      <w:r>
        <w:rPr/>
        <w:t>energia.</w:t>
      </w:r>
    </w:p>
    <w:p>
      <w:pPr>
        <w:pStyle w:val="BodyText"/>
        <w:spacing w:before="5"/>
      </w:pPr>
    </w:p>
    <w:p>
      <w:pPr>
        <w:pStyle w:val="ListParagraph"/>
        <w:numPr>
          <w:ilvl w:val="1"/>
          <w:numId w:val="6"/>
        </w:numPr>
        <w:tabs>
          <w:tab w:pos="1046" w:val="left" w:leader="none"/>
        </w:tabs>
        <w:spacing w:line="240" w:lineRule="auto" w:before="0" w:after="0"/>
        <w:ind w:left="1045" w:right="0" w:hanging="854"/>
        <w:jc w:val="both"/>
        <w:rPr>
          <w:rFonts w:ascii="Caladea" w:hAnsi="Caladea"/>
          <w:b/>
          <w:sz w:val="22"/>
        </w:rPr>
      </w:pPr>
      <w:r>
        <w:rPr>
          <w:rFonts w:ascii="Caladea" w:hAnsi="Caladea"/>
          <w:b/>
          <w:sz w:val="22"/>
        </w:rPr>
        <w:t>A</w:t>
      </w:r>
      <w:r>
        <w:rPr>
          <w:rFonts w:ascii="Caladea" w:hAnsi="Caladea"/>
          <w:b/>
          <w:sz w:val="18"/>
        </w:rPr>
        <w:t>PROVAÇÃO DE MODELAGEM PARA ALIENAÇÃO DE AÇÕES DA </w:t>
      </w:r>
      <w:r>
        <w:rPr>
          <w:rFonts w:ascii="Caladea" w:hAnsi="Caladea"/>
          <w:b/>
          <w:sz w:val="22"/>
        </w:rPr>
        <w:t>CEB D</w:t>
      </w:r>
      <w:r>
        <w:rPr>
          <w:rFonts w:ascii="Caladea" w:hAnsi="Caladea"/>
          <w:b/>
          <w:sz w:val="18"/>
        </w:rPr>
        <w:t>ISTRIBUIÇÃO</w:t>
      </w:r>
      <w:r>
        <w:rPr>
          <w:rFonts w:ascii="Caladea" w:hAnsi="Caladea"/>
          <w:b/>
          <w:spacing w:val="-12"/>
          <w:sz w:val="18"/>
        </w:rPr>
        <w:t> </w:t>
      </w:r>
      <w:r>
        <w:rPr>
          <w:rFonts w:ascii="Caladea" w:hAnsi="Caladea"/>
          <w:b/>
          <w:sz w:val="22"/>
        </w:rPr>
        <w:t>S.A.</w:t>
      </w:r>
    </w:p>
    <w:p>
      <w:pPr>
        <w:pStyle w:val="BodyText"/>
        <w:spacing w:before="10"/>
        <w:rPr>
          <w:rFonts w:ascii="Caladea"/>
          <w:b/>
          <w:sz w:val="23"/>
        </w:rPr>
      </w:pPr>
    </w:p>
    <w:p>
      <w:pPr>
        <w:pStyle w:val="BodyText"/>
        <w:spacing w:line="280" w:lineRule="auto"/>
        <w:ind w:left="192" w:right="617"/>
        <w:jc w:val="both"/>
      </w:pPr>
      <w:r>
        <w:rPr/>
        <w:t>Em</w:t>
      </w:r>
      <w:r>
        <w:rPr>
          <w:spacing w:val="-38"/>
        </w:rPr>
        <w:t> </w:t>
      </w:r>
      <w:r>
        <w:rPr/>
        <w:t>19</w:t>
      </w:r>
      <w:r>
        <w:rPr>
          <w:spacing w:val="-36"/>
        </w:rPr>
        <w:t> </w:t>
      </w:r>
      <w:r>
        <w:rPr/>
        <w:t>de</w:t>
      </w:r>
      <w:r>
        <w:rPr>
          <w:spacing w:val="-36"/>
        </w:rPr>
        <w:t> </w:t>
      </w:r>
      <w:r>
        <w:rPr/>
        <w:t>junho</w:t>
      </w:r>
      <w:r>
        <w:rPr>
          <w:spacing w:val="-36"/>
        </w:rPr>
        <w:t> </w:t>
      </w:r>
      <w:r>
        <w:rPr/>
        <w:t>de</w:t>
      </w:r>
      <w:r>
        <w:rPr>
          <w:spacing w:val="-37"/>
        </w:rPr>
        <w:t> </w:t>
      </w:r>
      <w:r>
        <w:rPr/>
        <w:t>2019,</w:t>
      </w:r>
      <w:r>
        <w:rPr>
          <w:spacing w:val="-36"/>
        </w:rPr>
        <w:t> </w:t>
      </w:r>
      <w:r>
        <w:rPr/>
        <w:t>foi</w:t>
      </w:r>
      <w:r>
        <w:rPr>
          <w:spacing w:val="-34"/>
        </w:rPr>
        <w:t> </w:t>
      </w:r>
      <w:r>
        <w:rPr/>
        <w:t>realizada</w:t>
      </w:r>
      <w:r>
        <w:rPr>
          <w:spacing w:val="-37"/>
        </w:rPr>
        <w:t> </w:t>
      </w:r>
      <w:r>
        <w:rPr/>
        <w:t>a</w:t>
      </w:r>
      <w:r>
        <w:rPr>
          <w:spacing w:val="-35"/>
        </w:rPr>
        <w:t> </w:t>
      </w:r>
      <w:r>
        <w:rPr/>
        <w:t>98ª</w:t>
      </w:r>
      <w:r>
        <w:rPr>
          <w:spacing w:val="-37"/>
        </w:rPr>
        <w:t> </w:t>
      </w:r>
      <w:r>
        <w:rPr/>
        <w:t>Assembleia</w:t>
      </w:r>
      <w:r>
        <w:rPr>
          <w:spacing w:val="-36"/>
        </w:rPr>
        <w:t> </w:t>
      </w:r>
      <w:r>
        <w:rPr/>
        <w:t>Geral</w:t>
      </w:r>
      <w:r>
        <w:rPr>
          <w:spacing w:val="-36"/>
        </w:rPr>
        <w:t> </w:t>
      </w:r>
      <w:r>
        <w:rPr/>
        <w:t>Extraordinária.</w:t>
      </w:r>
      <w:r>
        <w:rPr>
          <w:spacing w:val="-38"/>
        </w:rPr>
        <w:t> </w:t>
      </w:r>
      <w:r>
        <w:rPr/>
        <w:t>A</w:t>
      </w:r>
      <w:r>
        <w:rPr>
          <w:spacing w:val="-35"/>
        </w:rPr>
        <w:t> </w:t>
      </w:r>
      <w:r>
        <w:rPr/>
        <w:t>maioria</w:t>
      </w:r>
      <w:r>
        <w:rPr>
          <w:spacing w:val="-36"/>
        </w:rPr>
        <w:t> </w:t>
      </w:r>
      <w:r>
        <w:rPr/>
        <w:t>dos</w:t>
      </w:r>
      <w:r>
        <w:rPr>
          <w:spacing w:val="-36"/>
        </w:rPr>
        <w:t> </w:t>
      </w:r>
      <w:r>
        <w:rPr/>
        <w:t>acionistas</w:t>
      </w:r>
      <w:r>
        <w:rPr>
          <w:spacing w:val="-35"/>
        </w:rPr>
        <w:t> </w:t>
      </w:r>
      <w:r>
        <w:rPr/>
        <w:t>da</w:t>
      </w:r>
      <w:r>
        <w:rPr>
          <w:spacing w:val="-37"/>
        </w:rPr>
        <w:t> </w:t>
      </w:r>
      <w:r>
        <w:rPr/>
        <w:t>Companhia, acolhendo</w:t>
      </w:r>
      <w:r>
        <w:rPr>
          <w:spacing w:val="-20"/>
        </w:rPr>
        <w:t> </w:t>
      </w:r>
      <w:r>
        <w:rPr/>
        <w:t>o</w:t>
      </w:r>
      <w:r>
        <w:rPr>
          <w:spacing w:val="-16"/>
        </w:rPr>
        <w:t> </w:t>
      </w:r>
      <w:r>
        <w:rPr/>
        <w:t>voto</w:t>
      </w:r>
      <w:r>
        <w:rPr>
          <w:spacing w:val="-19"/>
        </w:rPr>
        <w:t> </w:t>
      </w:r>
      <w:r>
        <w:rPr/>
        <w:t>do</w:t>
      </w:r>
      <w:r>
        <w:rPr>
          <w:spacing w:val="-18"/>
        </w:rPr>
        <w:t> </w:t>
      </w:r>
      <w:r>
        <w:rPr/>
        <w:t>Distrito</w:t>
      </w:r>
      <w:r>
        <w:rPr>
          <w:spacing w:val="-17"/>
        </w:rPr>
        <w:t> </w:t>
      </w:r>
      <w:r>
        <w:rPr/>
        <w:t>Federal,</w:t>
      </w:r>
      <w:r>
        <w:rPr>
          <w:spacing w:val="-19"/>
        </w:rPr>
        <w:t> </w:t>
      </w:r>
      <w:r>
        <w:rPr/>
        <w:t>deliberou:</w:t>
      </w:r>
    </w:p>
    <w:p>
      <w:pPr>
        <w:pStyle w:val="ListParagraph"/>
        <w:numPr>
          <w:ilvl w:val="0"/>
          <w:numId w:val="7"/>
        </w:numPr>
        <w:tabs>
          <w:tab w:pos="448" w:val="left" w:leader="none"/>
        </w:tabs>
        <w:spacing w:line="280" w:lineRule="auto" w:before="196" w:after="0"/>
        <w:ind w:left="192" w:right="607" w:firstLine="0"/>
        <w:jc w:val="both"/>
        <w:rPr>
          <w:sz w:val="20"/>
        </w:rPr>
      </w:pPr>
      <w:r>
        <w:rPr>
          <w:sz w:val="20"/>
        </w:rPr>
        <w:t>captação</w:t>
      </w:r>
      <w:r>
        <w:rPr>
          <w:spacing w:val="-39"/>
          <w:sz w:val="20"/>
        </w:rPr>
        <w:t> </w:t>
      </w:r>
      <w:r>
        <w:rPr>
          <w:sz w:val="20"/>
        </w:rPr>
        <w:t>de</w:t>
      </w:r>
      <w:r>
        <w:rPr>
          <w:spacing w:val="-40"/>
          <w:sz w:val="20"/>
        </w:rPr>
        <w:t> </w:t>
      </w:r>
      <w:r>
        <w:rPr>
          <w:sz w:val="20"/>
        </w:rPr>
        <w:t>recursos</w:t>
      </w:r>
      <w:r>
        <w:rPr>
          <w:spacing w:val="-39"/>
          <w:sz w:val="20"/>
        </w:rPr>
        <w:t> </w:t>
      </w:r>
      <w:r>
        <w:rPr>
          <w:sz w:val="20"/>
        </w:rPr>
        <w:t>pela</w:t>
      </w:r>
      <w:r>
        <w:rPr>
          <w:spacing w:val="-38"/>
          <w:sz w:val="20"/>
        </w:rPr>
        <w:t> </w:t>
      </w:r>
      <w:r>
        <w:rPr>
          <w:sz w:val="20"/>
        </w:rPr>
        <w:t>CEB</w:t>
      </w:r>
      <w:r>
        <w:rPr>
          <w:spacing w:val="-39"/>
          <w:sz w:val="20"/>
        </w:rPr>
        <w:t> </w:t>
      </w:r>
      <w:r>
        <w:rPr>
          <w:sz w:val="20"/>
        </w:rPr>
        <w:t>e</w:t>
      </w:r>
      <w:r>
        <w:rPr>
          <w:spacing w:val="-39"/>
          <w:sz w:val="20"/>
        </w:rPr>
        <w:t> </w:t>
      </w:r>
      <w:r>
        <w:rPr>
          <w:sz w:val="20"/>
        </w:rPr>
        <w:t>CEB</w:t>
      </w:r>
      <w:r>
        <w:rPr>
          <w:spacing w:val="-38"/>
          <w:sz w:val="20"/>
        </w:rPr>
        <w:t> </w:t>
      </w:r>
      <w:r>
        <w:rPr>
          <w:sz w:val="20"/>
        </w:rPr>
        <w:t>Distribuição</w:t>
      </w:r>
      <w:r>
        <w:rPr>
          <w:spacing w:val="-39"/>
          <w:sz w:val="20"/>
        </w:rPr>
        <w:t> </w:t>
      </w:r>
      <w:r>
        <w:rPr>
          <w:sz w:val="20"/>
        </w:rPr>
        <w:t>S.A.,</w:t>
      </w:r>
      <w:r>
        <w:rPr>
          <w:spacing w:val="-38"/>
          <w:sz w:val="20"/>
        </w:rPr>
        <w:t> </w:t>
      </w:r>
      <w:r>
        <w:rPr>
          <w:sz w:val="20"/>
        </w:rPr>
        <w:t>com</w:t>
      </w:r>
      <w:r>
        <w:rPr>
          <w:spacing w:val="-39"/>
          <w:sz w:val="20"/>
        </w:rPr>
        <w:t> </w:t>
      </w:r>
      <w:r>
        <w:rPr>
          <w:sz w:val="20"/>
        </w:rPr>
        <w:t>vistas</w:t>
      </w:r>
      <w:r>
        <w:rPr>
          <w:spacing w:val="-39"/>
          <w:sz w:val="20"/>
        </w:rPr>
        <w:t> </w:t>
      </w:r>
      <w:r>
        <w:rPr>
          <w:sz w:val="20"/>
        </w:rPr>
        <w:t>a</w:t>
      </w:r>
      <w:r>
        <w:rPr>
          <w:spacing w:val="-38"/>
          <w:sz w:val="20"/>
        </w:rPr>
        <w:t> </w:t>
      </w:r>
      <w:r>
        <w:rPr>
          <w:sz w:val="20"/>
        </w:rPr>
        <w:t>alcançar</w:t>
      </w:r>
      <w:r>
        <w:rPr>
          <w:spacing w:val="-39"/>
          <w:sz w:val="20"/>
        </w:rPr>
        <w:t> </w:t>
      </w:r>
      <w:r>
        <w:rPr>
          <w:sz w:val="20"/>
        </w:rPr>
        <w:t>o</w:t>
      </w:r>
      <w:r>
        <w:rPr>
          <w:spacing w:val="-39"/>
          <w:sz w:val="20"/>
        </w:rPr>
        <w:t> </w:t>
      </w:r>
      <w:r>
        <w:rPr>
          <w:sz w:val="20"/>
        </w:rPr>
        <w:t>equilíbrio</w:t>
      </w:r>
      <w:r>
        <w:rPr>
          <w:spacing w:val="-38"/>
          <w:sz w:val="20"/>
        </w:rPr>
        <w:t> </w:t>
      </w:r>
      <w:r>
        <w:rPr>
          <w:sz w:val="20"/>
        </w:rPr>
        <w:t>econômico-financeiro</w:t>
      </w:r>
      <w:r>
        <w:rPr>
          <w:spacing w:val="-37"/>
          <w:sz w:val="20"/>
        </w:rPr>
        <w:t> </w:t>
      </w:r>
      <w:r>
        <w:rPr>
          <w:sz w:val="20"/>
        </w:rPr>
        <w:t>da CEB</w:t>
      </w:r>
      <w:r>
        <w:rPr>
          <w:spacing w:val="-17"/>
          <w:sz w:val="20"/>
        </w:rPr>
        <w:t> </w:t>
      </w:r>
      <w:r>
        <w:rPr>
          <w:sz w:val="20"/>
        </w:rPr>
        <w:t>DIS;</w:t>
      </w:r>
    </w:p>
    <w:p>
      <w:pPr>
        <w:pStyle w:val="ListParagraph"/>
        <w:numPr>
          <w:ilvl w:val="0"/>
          <w:numId w:val="7"/>
        </w:numPr>
        <w:tabs>
          <w:tab w:pos="501" w:val="left" w:leader="none"/>
        </w:tabs>
        <w:spacing w:line="278" w:lineRule="auto" w:before="196" w:after="0"/>
        <w:ind w:left="192" w:right="603" w:firstLine="0"/>
        <w:jc w:val="both"/>
        <w:rPr>
          <w:sz w:val="20"/>
        </w:rPr>
      </w:pPr>
      <w:r>
        <w:rPr>
          <w:sz w:val="20"/>
        </w:rPr>
        <w:t>pela</w:t>
      </w:r>
      <w:r>
        <w:rPr>
          <w:spacing w:val="-41"/>
          <w:sz w:val="20"/>
        </w:rPr>
        <w:t> </w:t>
      </w:r>
      <w:r>
        <w:rPr>
          <w:sz w:val="20"/>
        </w:rPr>
        <w:t>elaboração</w:t>
      </w:r>
      <w:r>
        <w:rPr>
          <w:spacing w:val="-41"/>
          <w:sz w:val="20"/>
        </w:rPr>
        <w:t> </w:t>
      </w:r>
      <w:r>
        <w:rPr>
          <w:sz w:val="20"/>
        </w:rPr>
        <w:t>de</w:t>
      </w:r>
      <w:r>
        <w:rPr>
          <w:spacing w:val="-40"/>
          <w:sz w:val="20"/>
        </w:rPr>
        <w:t> </w:t>
      </w:r>
      <w:r>
        <w:rPr>
          <w:sz w:val="20"/>
        </w:rPr>
        <w:t>estudos</w:t>
      </w:r>
      <w:r>
        <w:rPr>
          <w:spacing w:val="-40"/>
          <w:sz w:val="20"/>
        </w:rPr>
        <w:t> </w:t>
      </w:r>
      <w:r>
        <w:rPr>
          <w:sz w:val="20"/>
        </w:rPr>
        <w:t>e</w:t>
      </w:r>
      <w:r>
        <w:rPr>
          <w:spacing w:val="-42"/>
          <w:sz w:val="20"/>
        </w:rPr>
        <w:t> </w:t>
      </w:r>
      <w:r>
        <w:rPr>
          <w:sz w:val="20"/>
        </w:rPr>
        <w:t>modelagem</w:t>
      </w:r>
      <w:r>
        <w:rPr>
          <w:spacing w:val="-41"/>
          <w:sz w:val="20"/>
        </w:rPr>
        <w:t> </w:t>
      </w:r>
      <w:r>
        <w:rPr>
          <w:sz w:val="20"/>
        </w:rPr>
        <w:t>para</w:t>
      </w:r>
      <w:r>
        <w:rPr>
          <w:spacing w:val="-40"/>
          <w:sz w:val="20"/>
        </w:rPr>
        <w:t> </w:t>
      </w:r>
      <w:r>
        <w:rPr>
          <w:sz w:val="20"/>
        </w:rPr>
        <w:t>alienação</w:t>
      </w:r>
      <w:r>
        <w:rPr>
          <w:spacing w:val="-41"/>
          <w:sz w:val="20"/>
        </w:rPr>
        <w:t> </w:t>
      </w:r>
      <w:r>
        <w:rPr>
          <w:sz w:val="20"/>
        </w:rPr>
        <w:t>das</w:t>
      </w:r>
      <w:r>
        <w:rPr>
          <w:spacing w:val="-40"/>
          <w:sz w:val="20"/>
        </w:rPr>
        <w:t> </w:t>
      </w:r>
      <w:r>
        <w:rPr>
          <w:sz w:val="20"/>
        </w:rPr>
        <w:t>ações</w:t>
      </w:r>
      <w:r>
        <w:rPr>
          <w:spacing w:val="-40"/>
          <w:sz w:val="20"/>
        </w:rPr>
        <w:t> </w:t>
      </w:r>
      <w:r>
        <w:rPr>
          <w:sz w:val="20"/>
        </w:rPr>
        <w:t>da</w:t>
      </w:r>
      <w:r>
        <w:rPr>
          <w:spacing w:val="-41"/>
          <w:sz w:val="20"/>
        </w:rPr>
        <w:t> </w:t>
      </w:r>
      <w:r>
        <w:rPr>
          <w:sz w:val="20"/>
        </w:rPr>
        <w:t>CEB</w:t>
      </w:r>
      <w:r>
        <w:rPr>
          <w:spacing w:val="-40"/>
          <w:sz w:val="20"/>
        </w:rPr>
        <w:t> </w:t>
      </w:r>
      <w:r>
        <w:rPr>
          <w:sz w:val="20"/>
        </w:rPr>
        <w:t>Distribuição</w:t>
      </w:r>
      <w:r>
        <w:rPr>
          <w:spacing w:val="-41"/>
          <w:sz w:val="20"/>
        </w:rPr>
        <w:t> </w:t>
      </w:r>
      <w:r>
        <w:rPr>
          <w:sz w:val="20"/>
        </w:rPr>
        <w:t>S.A.,</w:t>
      </w:r>
      <w:r>
        <w:rPr>
          <w:spacing w:val="-40"/>
          <w:sz w:val="20"/>
        </w:rPr>
        <w:t> </w:t>
      </w:r>
      <w:r>
        <w:rPr>
          <w:sz w:val="20"/>
        </w:rPr>
        <w:t>com</w:t>
      </w:r>
      <w:r>
        <w:rPr>
          <w:spacing w:val="-41"/>
          <w:sz w:val="20"/>
        </w:rPr>
        <w:t> </w:t>
      </w:r>
      <w:r>
        <w:rPr>
          <w:sz w:val="20"/>
        </w:rPr>
        <w:t>base</w:t>
      </w:r>
      <w:r>
        <w:rPr>
          <w:spacing w:val="-40"/>
          <w:sz w:val="20"/>
        </w:rPr>
        <w:t> </w:t>
      </w:r>
      <w:r>
        <w:rPr>
          <w:sz w:val="20"/>
        </w:rPr>
        <w:t>na</w:t>
      </w:r>
      <w:r>
        <w:rPr>
          <w:spacing w:val="-40"/>
          <w:sz w:val="20"/>
        </w:rPr>
        <w:t> </w:t>
      </w:r>
      <w:r>
        <w:rPr>
          <w:sz w:val="20"/>
        </w:rPr>
        <w:t>previsão de</w:t>
      </w:r>
      <w:r>
        <w:rPr>
          <w:spacing w:val="-32"/>
          <w:sz w:val="20"/>
        </w:rPr>
        <w:t> </w:t>
      </w:r>
      <w:r>
        <w:rPr>
          <w:sz w:val="20"/>
        </w:rPr>
        <w:t>alienação</w:t>
      </w:r>
      <w:r>
        <w:rPr>
          <w:spacing w:val="-30"/>
          <w:sz w:val="20"/>
        </w:rPr>
        <w:t> </w:t>
      </w:r>
      <w:r>
        <w:rPr>
          <w:sz w:val="20"/>
        </w:rPr>
        <w:t>do</w:t>
      </w:r>
      <w:r>
        <w:rPr>
          <w:spacing w:val="-31"/>
          <w:sz w:val="20"/>
        </w:rPr>
        <w:t> </w:t>
      </w:r>
      <w:r>
        <w:rPr>
          <w:sz w:val="20"/>
        </w:rPr>
        <w:t>controle</w:t>
      </w:r>
      <w:r>
        <w:rPr>
          <w:spacing w:val="-31"/>
          <w:sz w:val="20"/>
        </w:rPr>
        <w:t> </w:t>
      </w:r>
      <w:r>
        <w:rPr>
          <w:sz w:val="20"/>
        </w:rPr>
        <w:t>acionário</w:t>
      </w:r>
      <w:r>
        <w:rPr>
          <w:spacing w:val="-30"/>
          <w:sz w:val="20"/>
        </w:rPr>
        <w:t> </w:t>
      </w:r>
      <w:r>
        <w:rPr>
          <w:sz w:val="20"/>
        </w:rPr>
        <w:t>da</w:t>
      </w:r>
      <w:r>
        <w:rPr>
          <w:spacing w:val="-30"/>
          <w:sz w:val="20"/>
        </w:rPr>
        <w:t> </w:t>
      </w:r>
      <w:r>
        <w:rPr>
          <w:sz w:val="20"/>
        </w:rPr>
        <w:t>CEB</w:t>
      </w:r>
      <w:r>
        <w:rPr>
          <w:spacing w:val="-31"/>
          <w:sz w:val="20"/>
        </w:rPr>
        <w:t> </w:t>
      </w:r>
      <w:r>
        <w:rPr>
          <w:sz w:val="20"/>
        </w:rPr>
        <w:t>Distribuição</w:t>
      </w:r>
      <w:r>
        <w:rPr>
          <w:spacing w:val="-29"/>
          <w:sz w:val="20"/>
        </w:rPr>
        <w:t> </w:t>
      </w:r>
      <w:r>
        <w:rPr>
          <w:sz w:val="20"/>
        </w:rPr>
        <w:t>S.A.,</w:t>
      </w:r>
      <w:r>
        <w:rPr>
          <w:spacing w:val="-31"/>
          <w:sz w:val="20"/>
        </w:rPr>
        <w:t> </w:t>
      </w:r>
      <w:r>
        <w:rPr>
          <w:sz w:val="20"/>
        </w:rPr>
        <w:t>mantendo</w:t>
      </w:r>
      <w:r>
        <w:rPr>
          <w:spacing w:val="-30"/>
          <w:sz w:val="20"/>
        </w:rPr>
        <w:t> </w:t>
      </w:r>
      <w:r>
        <w:rPr>
          <w:sz w:val="20"/>
        </w:rPr>
        <w:t>sob</w:t>
      </w:r>
      <w:r>
        <w:rPr>
          <w:spacing w:val="-30"/>
          <w:sz w:val="20"/>
        </w:rPr>
        <w:t> </w:t>
      </w:r>
      <w:r>
        <w:rPr>
          <w:sz w:val="20"/>
        </w:rPr>
        <w:t>a</w:t>
      </w:r>
      <w:r>
        <w:rPr>
          <w:spacing w:val="-30"/>
          <w:sz w:val="20"/>
        </w:rPr>
        <w:t> </w:t>
      </w:r>
      <w:r>
        <w:rPr>
          <w:sz w:val="20"/>
        </w:rPr>
        <w:t>titularidade</w:t>
      </w:r>
      <w:r>
        <w:rPr>
          <w:spacing w:val="-31"/>
          <w:sz w:val="20"/>
        </w:rPr>
        <w:t> </w:t>
      </w:r>
      <w:r>
        <w:rPr>
          <w:sz w:val="20"/>
        </w:rPr>
        <w:t>da</w:t>
      </w:r>
      <w:r>
        <w:rPr>
          <w:spacing w:val="-30"/>
          <w:sz w:val="20"/>
        </w:rPr>
        <w:t> </w:t>
      </w:r>
      <w:r>
        <w:rPr>
          <w:sz w:val="20"/>
        </w:rPr>
        <w:t>controladora</w:t>
      </w:r>
      <w:r>
        <w:rPr>
          <w:spacing w:val="-30"/>
          <w:sz w:val="20"/>
        </w:rPr>
        <w:t> </w:t>
      </w:r>
      <w:r>
        <w:rPr>
          <w:sz w:val="20"/>
        </w:rPr>
        <w:t>o</w:t>
      </w:r>
      <w:r>
        <w:rPr>
          <w:spacing w:val="-30"/>
          <w:sz w:val="20"/>
        </w:rPr>
        <w:t> </w:t>
      </w:r>
      <w:r>
        <w:rPr>
          <w:sz w:val="20"/>
        </w:rPr>
        <w:t>mínimo de</w:t>
      </w:r>
      <w:r>
        <w:rPr>
          <w:spacing w:val="-18"/>
          <w:sz w:val="20"/>
        </w:rPr>
        <w:t> </w:t>
      </w:r>
      <w:r>
        <w:rPr>
          <w:sz w:val="20"/>
        </w:rPr>
        <w:t>49%</w:t>
      </w:r>
      <w:r>
        <w:rPr>
          <w:spacing w:val="-17"/>
          <w:sz w:val="20"/>
        </w:rPr>
        <w:t> </w:t>
      </w:r>
      <w:r>
        <w:rPr>
          <w:sz w:val="20"/>
        </w:rPr>
        <w:t>de</w:t>
      </w:r>
      <w:r>
        <w:rPr>
          <w:spacing w:val="-18"/>
          <w:sz w:val="20"/>
        </w:rPr>
        <w:t> </w:t>
      </w:r>
      <w:r>
        <w:rPr>
          <w:sz w:val="20"/>
        </w:rPr>
        <w:t>participação</w:t>
      </w:r>
      <w:r>
        <w:rPr>
          <w:spacing w:val="-17"/>
          <w:sz w:val="20"/>
        </w:rPr>
        <w:t> </w:t>
      </w:r>
      <w:r>
        <w:rPr>
          <w:sz w:val="20"/>
        </w:rPr>
        <w:t>societária.</w:t>
      </w:r>
      <w:r>
        <w:rPr>
          <w:spacing w:val="-16"/>
          <w:sz w:val="20"/>
        </w:rPr>
        <w:t> </w:t>
      </w:r>
      <w:r>
        <w:rPr>
          <w:sz w:val="20"/>
        </w:rPr>
        <w:t>Para</w:t>
      </w:r>
      <w:r>
        <w:rPr>
          <w:spacing w:val="-17"/>
          <w:sz w:val="20"/>
        </w:rPr>
        <w:t> </w:t>
      </w:r>
      <w:r>
        <w:rPr>
          <w:sz w:val="20"/>
        </w:rPr>
        <w:t>tanto,</w:t>
      </w:r>
      <w:r>
        <w:rPr>
          <w:spacing w:val="-17"/>
          <w:sz w:val="20"/>
        </w:rPr>
        <w:t> </w:t>
      </w:r>
      <w:r>
        <w:rPr>
          <w:sz w:val="20"/>
        </w:rPr>
        <w:t>devem</w:t>
      </w:r>
      <w:r>
        <w:rPr>
          <w:spacing w:val="-17"/>
          <w:sz w:val="20"/>
        </w:rPr>
        <w:t> </w:t>
      </w:r>
      <w:r>
        <w:rPr>
          <w:sz w:val="20"/>
        </w:rPr>
        <w:t>ser</w:t>
      </w:r>
      <w:r>
        <w:rPr>
          <w:spacing w:val="-17"/>
          <w:sz w:val="20"/>
        </w:rPr>
        <w:t> </w:t>
      </w:r>
      <w:r>
        <w:rPr>
          <w:sz w:val="20"/>
        </w:rPr>
        <w:t>adotadas</w:t>
      </w:r>
      <w:r>
        <w:rPr>
          <w:spacing w:val="-16"/>
          <w:sz w:val="20"/>
        </w:rPr>
        <w:t> </w:t>
      </w:r>
      <w:r>
        <w:rPr>
          <w:sz w:val="20"/>
        </w:rPr>
        <w:t>todas</w:t>
      </w:r>
      <w:r>
        <w:rPr>
          <w:spacing w:val="-19"/>
          <w:sz w:val="20"/>
        </w:rPr>
        <w:t> </w:t>
      </w:r>
      <w:r>
        <w:rPr>
          <w:sz w:val="20"/>
        </w:rPr>
        <w:t>as</w:t>
      </w:r>
      <w:r>
        <w:rPr>
          <w:spacing w:val="-16"/>
          <w:sz w:val="20"/>
        </w:rPr>
        <w:t> </w:t>
      </w:r>
      <w:r>
        <w:rPr>
          <w:sz w:val="20"/>
        </w:rPr>
        <w:t>medidas</w:t>
      </w:r>
      <w:r>
        <w:rPr>
          <w:spacing w:val="-18"/>
          <w:sz w:val="20"/>
        </w:rPr>
        <w:t> </w:t>
      </w:r>
      <w:r>
        <w:rPr>
          <w:sz w:val="20"/>
        </w:rPr>
        <w:t>cabíveis,</w:t>
      </w:r>
      <w:r>
        <w:rPr>
          <w:spacing w:val="-15"/>
          <w:sz w:val="20"/>
        </w:rPr>
        <w:t> </w:t>
      </w:r>
      <w:r>
        <w:rPr>
          <w:sz w:val="20"/>
        </w:rPr>
        <w:t>em</w:t>
      </w:r>
      <w:r>
        <w:rPr>
          <w:spacing w:val="-17"/>
          <w:sz w:val="20"/>
        </w:rPr>
        <w:t> </w:t>
      </w:r>
      <w:r>
        <w:rPr>
          <w:sz w:val="20"/>
        </w:rPr>
        <w:t>observância</w:t>
      </w:r>
      <w:r>
        <w:rPr>
          <w:spacing w:val="-18"/>
          <w:sz w:val="20"/>
        </w:rPr>
        <w:t> </w:t>
      </w:r>
      <w:r>
        <w:rPr>
          <w:sz w:val="20"/>
        </w:rPr>
        <w:t>ao ordenamento</w:t>
      </w:r>
      <w:r>
        <w:rPr>
          <w:spacing w:val="-34"/>
          <w:sz w:val="20"/>
        </w:rPr>
        <w:t> </w:t>
      </w:r>
      <w:r>
        <w:rPr>
          <w:sz w:val="20"/>
        </w:rPr>
        <w:t>jurídico</w:t>
      </w:r>
      <w:r>
        <w:rPr>
          <w:spacing w:val="-34"/>
          <w:sz w:val="20"/>
        </w:rPr>
        <w:t> </w:t>
      </w:r>
      <w:r>
        <w:rPr>
          <w:sz w:val="20"/>
        </w:rPr>
        <w:t>e</w:t>
      </w:r>
      <w:r>
        <w:rPr>
          <w:spacing w:val="-34"/>
          <w:sz w:val="20"/>
        </w:rPr>
        <w:t> </w:t>
      </w:r>
      <w:r>
        <w:rPr>
          <w:sz w:val="20"/>
        </w:rPr>
        <w:t>à</w:t>
      </w:r>
      <w:r>
        <w:rPr>
          <w:spacing w:val="-33"/>
          <w:sz w:val="20"/>
        </w:rPr>
        <w:t> </w:t>
      </w:r>
      <w:r>
        <w:rPr>
          <w:sz w:val="20"/>
        </w:rPr>
        <w:t>decisão</w:t>
      </w:r>
      <w:r>
        <w:rPr>
          <w:spacing w:val="-33"/>
          <w:sz w:val="20"/>
        </w:rPr>
        <w:t> </w:t>
      </w:r>
      <w:r>
        <w:rPr>
          <w:sz w:val="20"/>
        </w:rPr>
        <w:t>proferida</w:t>
      </w:r>
      <w:r>
        <w:rPr>
          <w:spacing w:val="-33"/>
          <w:sz w:val="20"/>
        </w:rPr>
        <w:t> </w:t>
      </w:r>
      <w:r>
        <w:rPr>
          <w:sz w:val="20"/>
        </w:rPr>
        <w:t>pelo</w:t>
      </w:r>
      <w:r>
        <w:rPr>
          <w:spacing w:val="-34"/>
          <w:sz w:val="20"/>
        </w:rPr>
        <w:t> </w:t>
      </w:r>
      <w:r>
        <w:rPr>
          <w:sz w:val="20"/>
        </w:rPr>
        <w:t>Pleno</w:t>
      </w:r>
      <w:r>
        <w:rPr>
          <w:spacing w:val="-33"/>
          <w:sz w:val="20"/>
        </w:rPr>
        <w:t> </w:t>
      </w:r>
      <w:r>
        <w:rPr>
          <w:sz w:val="20"/>
        </w:rPr>
        <w:t>do</w:t>
      </w:r>
      <w:r>
        <w:rPr>
          <w:spacing w:val="-34"/>
          <w:sz w:val="20"/>
        </w:rPr>
        <w:t> </w:t>
      </w:r>
      <w:r>
        <w:rPr>
          <w:sz w:val="20"/>
        </w:rPr>
        <w:t>Supremo</w:t>
      </w:r>
      <w:r>
        <w:rPr>
          <w:spacing w:val="-33"/>
          <w:sz w:val="20"/>
        </w:rPr>
        <w:t> </w:t>
      </w:r>
      <w:r>
        <w:rPr>
          <w:sz w:val="20"/>
        </w:rPr>
        <w:t>Tribunal</w:t>
      </w:r>
      <w:r>
        <w:rPr>
          <w:spacing w:val="-33"/>
          <w:sz w:val="20"/>
        </w:rPr>
        <w:t> </w:t>
      </w:r>
      <w:r>
        <w:rPr>
          <w:sz w:val="20"/>
        </w:rPr>
        <w:t>Federal</w:t>
      </w:r>
      <w:r>
        <w:rPr>
          <w:spacing w:val="-31"/>
          <w:sz w:val="20"/>
        </w:rPr>
        <w:t> </w:t>
      </w:r>
      <w:r>
        <w:rPr>
          <w:sz w:val="20"/>
        </w:rPr>
        <w:t>nas</w:t>
      </w:r>
      <w:r>
        <w:rPr>
          <w:spacing w:val="-33"/>
          <w:sz w:val="20"/>
        </w:rPr>
        <w:t> </w:t>
      </w:r>
      <w:r>
        <w:rPr>
          <w:sz w:val="20"/>
        </w:rPr>
        <w:t>ADI</w:t>
      </w:r>
      <w:r>
        <w:rPr>
          <w:spacing w:val="-33"/>
          <w:sz w:val="20"/>
        </w:rPr>
        <w:t> </w:t>
      </w:r>
      <w:r>
        <w:rPr>
          <w:sz w:val="20"/>
        </w:rPr>
        <w:t>5.624</w:t>
      </w:r>
      <w:r>
        <w:rPr>
          <w:spacing w:val="-34"/>
          <w:sz w:val="20"/>
        </w:rPr>
        <w:t> </w:t>
      </w:r>
      <w:r>
        <w:rPr>
          <w:sz w:val="20"/>
        </w:rPr>
        <w:t>(MC-Ref),</w:t>
      </w:r>
      <w:r>
        <w:rPr>
          <w:spacing w:val="-33"/>
          <w:sz w:val="20"/>
        </w:rPr>
        <w:t> </w:t>
      </w:r>
      <w:r>
        <w:rPr>
          <w:sz w:val="20"/>
        </w:rPr>
        <w:t>MC-ADI 5.846,</w:t>
      </w:r>
      <w:r>
        <w:rPr>
          <w:spacing w:val="-18"/>
          <w:sz w:val="20"/>
        </w:rPr>
        <w:t> </w:t>
      </w:r>
      <w:r>
        <w:rPr>
          <w:sz w:val="20"/>
        </w:rPr>
        <w:t>MC-ADI</w:t>
      </w:r>
      <w:r>
        <w:rPr>
          <w:spacing w:val="-17"/>
          <w:sz w:val="20"/>
        </w:rPr>
        <w:t> </w:t>
      </w:r>
      <w:r>
        <w:rPr>
          <w:sz w:val="20"/>
        </w:rPr>
        <w:t>5.924</w:t>
      </w:r>
      <w:r>
        <w:rPr>
          <w:spacing w:val="-15"/>
          <w:sz w:val="20"/>
        </w:rPr>
        <w:t> </w:t>
      </w:r>
      <w:r>
        <w:rPr>
          <w:sz w:val="20"/>
        </w:rPr>
        <w:t>e</w:t>
      </w:r>
      <w:r>
        <w:rPr>
          <w:spacing w:val="-20"/>
          <w:sz w:val="20"/>
        </w:rPr>
        <w:t> </w:t>
      </w:r>
      <w:r>
        <w:rPr>
          <w:sz w:val="20"/>
        </w:rPr>
        <w:t>MC-ADI</w:t>
      </w:r>
      <w:r>
        <w:rPr>
          <w:spacing w:val="-17"/>
          <w:sz w:val="20"/>
        </w:rPr>
        <w:t> </w:t>
      </w:r>
      <w:r>
        <w:rPr>
          <w:sz w:val="20"/>
        </w:rPr>
        <w:t>6.029.</w:t>
      </w:r>
    </w:p>
    <w:p>
      <w:pPr>
        <w:pStyle w:val="BodyText"/>
        <w:spacing w:before="3"/>
        <w:rPr>
          <w:sz w:val="17"/>
        </w:rPr>
      </w:pPr>
    </w:p>
    <w:p>
      <w:pPr>
        <w:pStyle w:val="BodyText"/>
        <w:spacing w:line="278" w:lineRule="auto" w:before="1"/>
        <w:ind w:left="192" w:right="607"/>
        <w:jc w:val="both"/>
      </w:pPr>
      <w:r>
        <w:rPr/>
        <w:t>Em 13 de agosto de 2019, a CEB e o BNDES firmaram o Contrato 19.2.0511, tendo o Distrito Federal, como interveniente</w:t>
      </w:r>
      <w:r>
        <w:rPr>
          <w:spacing w:val="-24"/>
        </w:rPr>
        <w:t> </w:t>
      </w:r>
      <w:r>
        <w:rPr/>
        <w:t>anuente,</w:t>
      </w:r>
      <w:r>
        <w:rPr>
          <w:spacing w:val="-23"/>
        </w:rPr>
        <w:t> </w:t>
      </w:r>
      <w:r>
        <w:rPr/>
        <w:t>cujo</w:t>
      </w:r>
      <w:r>
        <w:rPr>
          <w:spacing w:val="-22"/>
        </w:rPr>
        <w:t> </w:t>
      </w:r>
      <w:r>
        <w:rPr/>
        <w:t>objeto</w:t>
      </w:r>
      <w:r>
        <w:rPr>
          <w:spacing w:val="-23"/>
        </w:rPr>
        <w:t> </w:t>
      </w:r>
      <w:r>
        <w:rPr/>
        <w:t>é</w:t>
      </w:r>
      <w:r>
        <w:rPr>
          <w:spacing w:val="-24"/>
        </w:rPr>
        <w:t> </w:t>
      </w:r>
      <w:r>
        <w:rPr/>
        <w:t>a</w:t>
      </w:r>
      <w:r>
        <w:rPr>
          <w:spacing w:val="-22"/>
        </w:rPr>
        <w:t> </w:t>
      </w:r>
      <w:r>
        <w:rPr/>
        <w:t>prestação</w:t>
      </w:r>
      <w:r>
        <w:rPr>
          <w:spacing w:val="-25"/>
        </w:rPr>
        <w:t> </w:t>
      </w:r>
      <w:r>
        <w:rPr/>
        <w:t>de</w:t>
      </w:r>
      <w:r>
        <w:rPr>
          <w:spacing w:val="-23"/>
        </w:rPr>
        <w:t> </w:t>
      </w:r>
      <w:r>
        <w:rPr/>
        <w:t>serviços</w:t>
      </w:r>
      <w:r>
        <w:rPr>
          <w:spacing w:val="-24"/>
        </w:rPr>
        <w:t> </w:t>
      </w:r>
      <w:r>
        <w:rPr/>
        <w:t>de</w:t>
      </w:r>
      <w:r>
        <w:rPr>
          <w:spacing w:val="-24"/>
        </w:rPr>
        <w:t> </w:t>
      </w:r>
      <w:r>
        <w:rPr/>
        <w:t>estruturação</w:t>
      </w:r>
      <w:r>
        <w:rPr>
          <w:spacing w:val="-24"/>
        </w:rPr>
        <w:t> </w:t>
      </w:r>
      <w:r>
        <w:rPr/>
        <w:t>do</w:t>
      </w:r>
      <w:r>
        <w:rPr>
          <w:spacing w:val="-23"/>
        </w:rPr>
        <w:t> </w:t>
      </w:r>
      <w:r>
        <w:rPr/>
        <w:t>projeto</w:t>
      </w:r>
      <w:r>
        <w:rPr>
          <w:spacing w:val="-23"/>
        </w:rPr>
        <w:t> </w:t>
      </w:r>
      <w:r>
        <w:rPr/>
        <w:t>de</w:t>
      </w:r>
      <w:r>
        <w:rPr>
          <w:spacing w:val="-24"/>
        </w:rPr>
        <w:t> </w:t>
      </w:r>
      <w:r>
        <w:rPr/>
        <w:t>alienação</w:t>
      </w:r>
      <w:r>
        <w:rPr>
          <w:spacing w:val="-22"/>
        </w:rPr>
        <w:t> </w:t>
      </w:r>
      <w:r>
        <w:rPr/>
        <w:t>do</w:t>
      </w:r>
      <w:r>
        <w:rPr>
          <w:spacing w:val="-24"/>
        </w:rPr>
        <w:t> </w:t>
      </w:r>
      <w:r>
        <w:rPr/>
        <w:t>controle acionário</w:t>
      </w:r>
      <w:r>
        <w:rPr>
          <w:spacing w:val="-44"/>
        </w:rPr>
        <w:t> </w:t>
      </w:r>
      <w:r>
        <w:rPr/>
        <w:t>da</w:t>
      </w:r>
      <w:r>
        <w:rPr>
          <w:spacing w:val="-45"/>
        </w:rPr>
        <w:t> </w:t>
      </w:r>
      <w:r>
        <w:rPr/>
        <w:t>CEB</w:t>
      </w:r>
      <w:r>
        <w:rPr>
          <w:spacing w:val="-45"/>
        </w:rPr>
        <w:t> </w:t>
      </w:r>
      <w:r>
        <w:rPr/>
        <w:t>Distribuição</w:t>
      </w:r>
      <w:r>
        <w:rPr>
          <w:spacing w:val="-44"/>
        </w:rPr>
        <w:t> </w:t>
      </w:r>
      <w:r>
        <w:rPr/>
        <w:t>S.A.,</w:t>
      </w:r>
      <w:r>
        <w:rPr>
          <w:spacing w:val="-44"/>
        </w:rPr>
        <w:t> </w:t>
      </w:r>
      <w:r>
        <w:rPr/>
        <w:t>bem</w:t>
      </w:r>
      <w:r>
        <w:rPr>
          <w:spacing w:val="-44"/>
        </w:rPr>
        <w:t> </w:t>
      </w:r>
      <w:r>
        <w:rPr/>
        <w:t>como</w:t>
      </w:r>
      <w:r>
        <w:rPr>
          <w:spacing w:val="-44"/>
        </w:rPr>
        <w:t> </w:t>
      </w:r>
      <w:r>
        <w:rPr/>
        <w:t>a</w:t>
      </w:r>
      <w:r>
        <w:rPr>
          <w:spacing w:val="-45"/>
        </w:rPr>
        <w:t> </w:t>
      </w:r>
      <w:r>
        <w:rPr/>
        <w:t>modelagem</w:t>
      </w:r>
      <w:r>
        <w:rPr>
          <w:spacing w:val="-45"/>
        </w:rPr>
        <w:t> </w:t>
      </w:r>
      <w:r>
        <w:rPr/>
        <w:t>de</w:t>
      </w:r>
      <w:r>
        <w:rPr>
          <w:spacing w:val="-45"/>
        </w:rPr>
        <w:t> </w:t>
      </w:r>
      <w:r>
        <w:rPr/>
        <w:t>instrumento</w:t>
      </w:r>
      <w:r>
        <w:rPr>
          <w:spacing w:val="-44"/>
        </w:rPr>
        <w:t> </w:t>
      </w:r>
      <w:r>
        <w:rPr/>
        <w:t>financeiro</w:t>
      </w:r>
      <w:r>
        <w:rPr>
          <w:spacing w:val="-44"/>
        </w:rPr>
        <w:t> </w:t>
      </w:r>
      <w:r>
        <w:rPr/>
        <w:t>de</w:t>
      </w:r>
      <w:r>
        <w:rPr>
          <w:spacing w:val="-44"/>
        </w:rPr>
        <w:t> </w:t>
      </w:r>
      <w:r>
        <w:rPr/>
        <w:t>mercado</w:t>
      </w:r>
      <w:r>
        <w:rPr>
          <w:spacing w:val="-44"/>
        </w:rPr>
        <w:t> </w:t>
      </w:r>
      <w:r>
        <w:rPr/>
        <w:t>de</w:t>
      </w:r>
      <w:r>
        <w:rPr>
          <w:spacing w:val="-44"/>
        </w:rPr>
        <w:t> </w:t>
      </w:r>
      <w:r>
        <w:rPr/>
        <w:t>capitais</w:t>
      </w:r>
      <w:r>
        <w:rPr>
          <w:spacing w:val="-45"/>
        </w:rPr>
        <w:t> </w:t>
      </w:r>
      <w:r>
        <w:rPr/>
        <w:t>da</w:t>
      </w:r>
      <w:r>
        <w:rPr>
          <w:spacing w:val="-41"/>
        </w:rPr>
        <w:t> </w:t>
      </w:r>
      <w:r>
        <w:rPr/>
        <w:t>CEB, como</w:t>
      </w:r>
      <w:r>
        <w:rPr>
          <w:spacing w:val="-19"/>
        </w:rPr>
        <w:t> </w:t>
      </w:r>
      <w:r>
        <w:rPr/>
        <w:t>forma</w:t>
      </w:r>
      <w:r>
        <w:rPr>
          <w:spacing w:val="-18"/>
        </w:rPr>
        <w:t> </w:t>
      </w:r>
      <w:r>
        <w:rPr/>
        <w:t>de</w:t>
      </w:r>
      <w:r>
        <w:rPr>
          <w:spacing w:val="-19"/>
        </w:rPr>
        <w:t> </w:t>
      </w:r>
      <w:r>
        <w:rPr/>
        <w:t>captação</w:t>
      </w:r>
      <w:r>
        <w:rPr>
          <w:spacing w:val="-19"/>
        </w:rPr>
        <w:t> </w:t>
      </w:r>
      <w:r>
        <w:rPr/>
        <w:t>de</w:t>
      </w:r>
      <w:r>
        <w:rPr>
          <w:spacing w:val="-17"/>
        </w:rPr>
        <w:t> </w:t>
      </w:r>
      <w:r>
        <w:rPr/>
        <w:t>recurso.</w:t>
      </w:r>
    </w:p>
    <w:p>
      <w:pPr>
        <w:pStyle w:val="BodyText"/>
        <w:spacing w:before="1"/>
        <w:rPr>
          <w:sz w:val="17"/>
        </w:rPr>
      </w:pPr>
    </w:p>
    <w:p>
      <w:pPr>
        <w:pStyle w:val="BodyText"/>
        <w:spacing w:line="283" w:lineRule="auto" w:before="1"/>
        <w:ind w:left="192" w:right="616"/>
        <w:jc w:val="both"/>
      </w:pPr>
      <w:r>
        <w:rPr/>
        <w:t>Com</w:t>
      </w:r>
      <w:r>
        <w:rPr>
          <w:spacing w:val="-30"/>
        </w:rPr>
        <w:t> </w:t>
      </w:r>
      <w:r>
        <w:rPr/>
        <w:t>vistas</w:t>
      </w:r>
      <w:r>
        <w:rPr>
          <w:spacing w:val="-28"/>
        </w:rPr>
        <w:t> </w:t>
      </w:r>
      <w:r>
        <w:rPr/>
        <w:t>a</w:t>
      </w:r>
      <w:r>
        <w:rPr>
          <w:spacing w:val="-28"/>
        </w:rPr>
        <w:t> </w:t>
      </w:r>
      <w:r>
        <w:rPr/>
        <w:t>captação</w:t>
      </w:r>
      <w:r>
        <w:rPr>
          <w:spacing w:val="-29"/>
        </w:rPr>
        <w:t> </w:t>
      </w:r>
      <w:r>
        <w:rPr/>
        <w:t>dos</w:t>
      </w:r>
      <w:r>
        <w:rPr>
          <w:spacing w:val="-27"/>
        </w:rPr>
        <w:t> </w:t>
      </w:r>
      <w:r>
        <w:rPr/>
        <w:t>recursos,</w:t>
      </w:r>
      <w:r>
        <w:rPr>
          <w:spacing w:val="-25"/>
        </w:rPr>
        <w:t> </w:t>
      </w:r>
      <w:r>
        <w:rPr/>
        <w:t>a</w:t>
      </w:r>
      <w:r>
        <w:rPr>
          <w:spacing w:val="-28"/>
        </w:rPr>
        <w:t> </w:t>
      </w:r>
      <w:r>
        <w:rPr/>
        <w:t>Companhia</w:t>
      </w:r>
      <w:r>
        <w:rPr>
          <w:spacing w:val="-28"/>
        </w:rPr>
        <w:t> </w:t>
      </w:r>
      <w:r>
        <w:rPr/>
        <w:t>negociou</w:t>
      </w:r>
      <w:r>
        <w:rPr>
          <w:spacing w:val="-29"/>
        </w:rPr>
        <w:t> </w:t>
      </w:r>
      <w:r>
        <w:rPr/>
        <w:t>e,</w:t>
      </w:r>
      <w:r>
        <w:rPr>
          <w:spacing w:val="-27"/>
        </w:rPr>
        <w:t> </w:t>
      </w:r>
      <w:r>
        <w:rPr/>
        <w:t>com</w:t>
      </w:r>
      <w:r>
        <w:rPr>
          <w:spacing w:val="-27"/>
        </w:rPr>
        <w:t> </w:t>
      </w:r>
      <w:r>
        <w:rPr/>
        <w:t>o</w:t>
      </w:r>
      <w:r>
        <w:rPr>
          <w:spacing w:val="-29"/>
        </w:rPr>
        <w:t> </w:t>
      </w:r>
      <w:r>
        <w:rPr/>
        <w:t>suporte</w:t>
      </w:r>
      <w:r>
        <w:rPr>
          <w:spacing w:val="-29"/>
        </w:rPr>
        <w:t> </w:t>
      </w:r>
      <w:r>
        <w:rPr/>
        <w:t>do</w:t>
      </w:r>
      <w:r>
        <w:rPr>
          <w:spacing w:val="-29"/>
        </w:rPr>
        <w:t> </w:t>
      </w:r>
      <w:r>
        <w:rPr/>
        <w:t>BNDES,</w:t>
      </w:r>
      <w:r>
        <w:rPr>
          <w:spacing w:val="-29"/>
        </w:rPr>
        <w:t> </w:t>
      </w:r>
      <w:r>
        <w:rPr/>
        <w:t>em</w:t>
      </w:r>
      <w:r>
        <w:rPr>
          <w:spacing w:val="-30"/>
        </w:rPr>
        <w:t> </w:t>
      </w:r>
      <w:r>
        <w:rPr/>
        <w:t>27</w:t>
      </w:r>
      <w:r>
        <w:rPr>
          <w:spacing w:val="-27"/>
        </w:rPr>
        <w:t> </w:t>
      </w:r>
      <w:r>
        <w:rPr/>
        <w:t>de</w:t>
      </w:r>
      <w:r>
        <w:rPr>
          <w:spacing w:val="-29"/>
        </w:rPr>
        <w:t> </w:t>
      </w:r>
      <w:r>
        <w:rPr/>
        <w:t>dezembro</w:t>
      </w:r>
      <w:r>
        <w:rPr>
          <w:spacing w:val="-27"/>
        </w:rPr>
        <w:t> </w:t>
      </w:r>
      <w:r>
        <w:rPr/>
        <w:t>de</w:t>
      </w:r>
      <w:r>
        <w:rPr>
          <w:spacing w:val="-28"/>
        </w:rPr>
        <w:t> </w:t>
      </w:r>
      <w:r>
        <w:rPr/>
        <w:t>2019 captou</w:t>
      </w:r>
      <w:r>
        <w:rPr>
          <w:spacing w:val="-19"/>
        </w:rPr>
        <w:t> </w:t>
      </w:r>
      <w:r>
        <w:rPr/>
        <w:t>e</w:t>
      </w:r>
      <w:r>
        <w:rPr>
          <w:spacing w:val="-19"/>
        </w:rPr>
        <w:t> </w:t>
      </w:r>
      <w:r>
        <w:rPr/>
        <w:t>aportou</w:t>
      </w:r>
      <w:r>
        <w:rPr>
          <w:spacing w:val="-17"/>
        </w:rPr>
        <w:t> </w:t>
      </w:r>
      <w:r>
        <w:rPr/>
        <w:t>na</w:t>
      </w:r>
      <w:r>
        <w:rPr>
          <w:spacing w:val="-19"/>
        </w:rPr>
        <w:t> </w:t>
      </w:r>
      <w:r>
        <w:rPr/>
        <w:t>Distribuidora</w:t>
      </w:r>
      <w:r>
        <w:rPr>
          <w:spacing w:val="-19"/>
        </w:rPr>
        <w:t> </w:t>
      </w:r>
      <w:r>
        <w:rPr/>
        <w:t>o</w:t>
      </w:r>
      <w:r>
        <w:rPr>
          <w:spacing w:val="-17"/>
        </w:rPr>
        <w:t> </w:t>
      </w:r>
      <w:r>
        <w:rPr/>
        <w:t>montante</w:t>
      </w:r>
      <w:r>
        <w:rPr>
          <w:spacing w:val="-18"/>
        </w:rPr>
        <w:t> </w:t>
      </w:r>
      <w:r>
        <w:rPr/>
        <w:t>de</w:t>
      </w:r>
      <w:r>
        <w:rPr>
          <w:spacing w:val="-18"/>
        </w:rPr>
        <w:t> </w:t>
      </w:r>
      <w:r>
        <w:rPr/>
        <w:t>R$</w:t>
      </w:r>
      <w:r>
        <w:rPr>
          <w:spacing w:val="-14"/>
        </w:rPr>
        <w:t> </w:t>
      </w:r>
      <w:r>
        <w:rPr/>
        <w:t>91,9</w:t>
      </w:r>
      <w:r>
        <w:rPr>
          <w:spacing w:val="-17"/>
        </w:rPr>
        <w:t> </w:t>
      </w:r>
      <w:r>
        <w:rPr/>
        <w:t>milhões.</w:t>
      </w:r>
    </w:p>
    <w:p>
      <w:pPr>
        <w:pStyle w:val="BodyText"/>
        <w:spacing w:line="280" w:lineRule="auto" w:before="191"/>
        <w:ind w:left="192" w:right="610"/>
        <w:jc w:val="both"/>
      </w:pPr>
      <w:r>
        <w:rPr/>
        <w:t>No</w:t>
      </w:r>
      <w:r>
        <w:rPr>
          <w:spacing w:val="-24"/>
        </w:rPr>
        <w:t> </w:t>
      </w:r>
      <w:r>
        <w:rPr/>
        <w:t>tocante</w:t>
      </w:r>
      <w:r>
        <w:rPr>
          <w:spacing w:val="-24"/>
        </w:rPr>
        <w:t> </w:t>
      </w:r>
      <w:r>
        <w:rPr/>
        <w:t>ao</w:t>
      </w:r>
      <w:r>
        <w:rPr>
          <w:spacing w:val="-23"/>
        </w:rPr>
        <w:t> </w:t>
      </w:r>
      <w:r>
        <w:rPr/>
        <w:t>processo</w:t>
      </w:r>
      <w:r>
        <w:rPr>
          <w:spacing w:val="-23"/>
        </w:rPr>
        <w:t> </w:t>
      </w:r>
      <w:r>
        <w:rPr/>
        <w:t>de</w:t>
      </w:r>
      <w:r>
        <w:rPr>
          <w:spacing w:val="-23"/>
        </w:rPr>
        <w:t> </w:t>
      </w:r>
      <w:r>
        <w:rPr/>
        <w:t>elaboração</w:t>
      </w:r>
      <w:r>
        <w:rPr>
          <w:spacing w:val="-23"/>
        </w:rPr>
        <w:t> </w:t>
      </w:r>
      <w:r>
        <w:rPr/>
        <w:t>de</w:t>
      </w:r>
      <w:r>
        <w:rPr>
          <w:spacing w:val="-24"/>
        </w:rPr>
        <w:t> </w:t>
      </w:r>
      <w:r>
        <w:rPr/>
        <w:t>estudo</w:t>
      </w:r>
      <w:r>
        <w:rPr>
          <w:spacing w:val="-23"/>
        </w:rPr>
        <w:t> </w:t>
      </w:r>
      <w:r>
        <w:rPr/>
        <w:t>e</w:t>
      </w:r>
      <w:r>
        <w:rPr>
          <w:spacing w:val="-23"/>
        </w:rPr>
        <w:t> </w:t>
      </w:r>
      <w:r>
        <w:rPr/>
        <w:t>modelagem</w:t>
      </w:r>
      <w:r>
        <w:rPr>
          <w:spacing w:val="-23"/>
        </w:rPr>
        <w:t> </w:t>
      </w:r>
      <w:r>
        <w:rPr/>
        <w:t>para</w:t>
      </w:r>
      <w:r>
        <w:rPr>
          <w:spacing w:val="-22"/>
        </w:rPr>
        <w:t> </w:t>
      </w:r>
      <w:r>
        <w:rPr/>
        <w:t>alienação</w:t>
      </w:r>
      <w:r>
        <w:rPr>
          <w:spacing w:val="-24"/>
        </w:rPr>
        <w:t> </w:t>
      </w:r>
      <w:r>
        <w:rPr/>
        <w:t>das</w:t>
      </w:r>
      <w:r>
        <w:rPr>
          <w:spacing w:val="-22"/>
        </w:rPr>
        <w:t> </w:t>
      </w:r>
      <w:r>
        <w:rPr/>
        <w:t>ações</w:t>
      </w:r>
      <w:r>
        <w:rPr>
          <w:spacing w:val="-23"/>
        </w:rPr>
        <w:t> </w:t>
      </w:r>
      <w:r>
        <w:rPr/>
        <w:t>da</w:t>
      </w:r>
      <w:r>
        <w:rPr>
          <w:spacing w:val="-23"/>
        </w:rPr>
        <w:t> </w:t>
      </w:r>
      <w:r>
        <w:rPr/>
        <w:t>CEB</w:t>
      </w:r>
      <w:r>
        <w:rPr>
          <w:spacing w:val="-23"/>
        </w:rPr>
        <w:t> </w:t>
      </w:r>
      <w:r>
        <w:rPr/>
        <w:t>Distribuição,</w:t>
      </w:r>
      <w:r>
        <w:rPr>
          <w:spacing w:val="-23"/>
        </w:rPr>
        <w:t> </w:t>
      </w:r>
      <w:r>
        <w:rPr/>
        <w:t>até</w:t>
      </w:r>
      <w:r>
        <w:rPr>
          <w:spacing w:val="-23"/>
        </w:rPr>
        <w:t> </w:t>
      </w:r>
      <w:r>
        <w:rPr/>
        <w:t>a emissão</w:t>
      </w:r>
      <w:r>
        <w:rPr>
          <w:spacing w:val="-32"/>
        </w:rPr>
        <w:t> </w:t>
      </w:r>
      <w:r>
        <w:rPr/>
        <w:t>destas</w:t>
      </w:r>
      <w:r>
        <w:rPr>
          <w:spacing w:val="-31"/>
        </w:rPr>
        <w:t> </w:t>
      </w:r>
      <w:r>
        <w:rPr/>
        <w:t>demonstrações,</w:t>
      </w:r>
      <w:r>
        <w:rPr>
          <w:spacing w:val="-4"/>
        </w:rPr>
        <w:t> </w:t>
      </w:r>
      <w:r>
        <w:rPr/>
        <w:t>os</w:t>
      </w:r>
      <w:r>
        <w:rPr>
          <w:spacing w:val="-32"/>
        </w:rPr>
        <w:t> </w:t>
      </w:r>
      <w:r>
        <w:rPr/>
        <w:t>trabalhos</w:t>
      </w:r>
      <w:r>
        <w:rPr>
          <w:spacing w:val="-32"/>
        </w:rPr>
        <w:t> </w:t>
      </w:r>
      <w:r>
        <w:rPr/>
        <w:t>estão</w:t>
      </w:r>
      <w:r>
        <w:rPr>
          <w:spacing w:val="-32"/>
        </w:rPr>
        <w:t> </w:t>
      </w:r>
      <w:r>
        <w:rPr/>
        <w:t>em</w:t>
      </w:r>
      <w:r>
        <w:rPr>
          <w:spacing w:val="-32"/>
        </w:rPr>
        <w:t> </w:t>
      </w:r>
      <w:r>
        <w:rPr/>
        <w:t>fase</w:t>
      </w:r>
      <w:r>
        <w:rPr>
          <w:spacing w:val="-34"/>
        </w:rPr>
        <w:t> </w:t>
      </w:r>
      <w:r>
        <w:rPr/>
        <w:t>de</w:t>
      </w:r>
      <w:r>
        <w:rPr>
          <w:spacing w:val="-28"/>
        </w:rPr>
        <w:t> </w:t>
      </w:r>
      <w:r>
        <w:rPr/>
        <w:t>due</w:t>
      </w:r>
      <w:r>
        <w:rPr>
          <w:spacing w:val="-33"/>
        </w:rPr>
        <w:t> </w:t>
      </w:r>
      <w:r>
        <w:rPr/>
        <w:t>diligence,</w:t>
      </w:r>
      <w:r>
        <w:rPr>
          <w:spacing w:val="-33"/>
        </w:rPr>
        <w:t> </w:t>
      </w:r>
      <w:r>
        <w:rPr/>
        <w:t>com</w:t>
      </w:r>
      <w:r>
        <w:rPr>
          <w:spacing w:val="-32"/>
        </w:rPr>
        <w:t> </w:t>
      </w:r>
      <w:r>
        <w:rPr/>
        <w:t>previsão</w:t>
      </w:r>
      <w:r>
        <w:rPr>
          <w:spacing w:val="-33"/>
        </w:rPr>
        <w:t> </w:t>
      </w:r>
      <w:r>
        <w:rPr/>
        <w:t>de</w:t>
      </w:r>
      <w:r>
        <w:rPr>
          <w:spacing w:val="-33"/>
        </w:rPr>
        <w:t> </w:t>
      </w:r>
      <w:r>
        <w:rPr/>
        <w:t>finalização</w:t>
      </w:r>
      <w:r>
        <w:rPr>
          <w:spacing w:val="-33"/>
        </w:rPr>
        <w:t> </w:t>
      </w:r>
      <w:r>
        <w:rPr/>
        <w:t>para</w:t>
      </w:r>
      <w:r>
        <w:rPr>
          <w:spacing w:val="-33"/>
        </w:rPr>
        <w:t> </w:t>
      </w:r>
      <w:r>
        <w:rPr/>
        <w:t>o</w:t>
      </w:r>
      <w:r>
        <w:rPr>
          <w:spacing w:val="-31"/>
        </w:rPr>
        <w:t> </w:t>
      </w:r>
      <w:r>
        <w:rPr/>
        <w:t>fim do</w:t>
      </w:r>
      <w:r>
        <w:rPr>
          <w:spacing w:val="-19"/>
        </w:rPr>
        <w:t> </w:t>
      </w:r>
      <w:r>
        <w:rPr/>
        <w:t>primeiro</w:t>
      </w:r>
      <w:r>
        <w:rPr>
          <w:spacing w:val="-18"/>
        </w:rPr>
        <w:t> </w:t>
      </w:r>
      <w:r>
        <w:rPr/>
        <w:t>semestre</w:t>
      </w:r>
      <w:r>
        <w:rPr>
          <w:spacing w:val="-20"/>
        </w:rPr>
        <w:t> </w:t>
      </w:r>
      <w:r>
        <w:rPr/>
        <w:t>de</w:t>
      </w:r>
      <w:r>
        <w:rPr>
          <w:spacing w:val="-19"/>
        </w:rPr>
        <w:t> </w:t>
      </w:r>
      <w:r>
        <w:rPr/>
        <w:t>2020.</w:t>
      </w:r>
    </w:p>
    <w:p>
      <w:pPr>
        <w:pStyle w:val="BodyText"/>
        <w:spacing w:before="2"/>
      </w:pPr>
    </w:p>
    <w:p>
      <w:pPr>
        <w:pStyle w:val="ListParagraph"/>
        <w:numPr>
          <w:ilvl w:val="1"/>
          <w:numId w:val="6"/>
        </w:numPr>
        <w:tabs>
          <w:tab w:pos="1046" w:val="left" w:leader="none"/>
        </w:tabs>
        <w:spacing w:line="240" w:lineRule="auto" w:before="0" w:after="0"/>
        <w:ind w:left="1045" w:right="0" w:hanging="854"/>
        <w:jc w:val="both"/>
        <w:rPr>
          <w:rFonts w:ascii="Caladea"/>
          <w:b/>
          <w:sz w:val="18"/>
        </w:rPr>
      </w:pPr>
      <w:r>
        <w:rPr>
          <w:rFonts w:ascii="Caladea"/>
          <w:b/>
          <w:sz w:val="22"/>
        </w:rPr>
        <w:t>B</w:t>
      </w:r>
      <w:r>
        <w:rPr>
          <w:rFonts w:ascii="Caladea"/>
          <w:b/>
          <w:sz w:val="18"/>
        </w:rPr>
        <w:t>LOQUEIO </w:t>
      </w:r>
      <w:r>
        <w:rPr>
          <w:rFonts w:ascii="Caladea"/>
          <w:b/>
          <w:sz w:val="22"/>
        </w:rPr>
        <w:t>J</w:t>
      </w:r>
      <w:r>
        <w:rPr>
          <w:rFonts w:ascii="Caladea"/>
          <w:b/>
          <w:sz w:val="18"/>
        </w:rPr>
        <w:t>UDICIAL SOBRE OS</w:t>
      </w:r>
      <w:r>
        <w:rPr>
          <w:rFonts w:ascii="Caladea"/>
          <w:b/>
          <w:spacing w:val="-2"/>
          <w:sz w:val="18"/>
        </w:rPr>
        <w:t> </w:t>
      </w:r>
      <w:r>
        <w:rPr>
          <w:rFonts w:ascii="Caladea"/>
          <w:b/>
          <w:sz w:val="18"/>
        </w:rPr>
        <w:t>DIVIDENDOS</w:t>
      </w:r>
    </w:p>
    <w:p>
      <w:pPr>
        <w:pStyle w:val="BodyText"/>
        <w:rPr>
          <w:rFonts w:ascii="Caladea"/>
          <w:b/>
          <w:sz w:val="24"/>
        </w:rPr>
      </w:pPr>
    </w:p>
    <w:p>
      <w:pPr>
        <w:pStyle w:val="BodyText"/>
        <w:spacing w:line="242" w:lineRule="auto" w:before="1"/>
        <w:ind w:left="192" w:right="608"/>
        <w:jc w:val="both"/>
      </w:pPr>
      <w:r>
        <w:rPr/>
        <w:t>A</w:t>
      </w:r>
      <w:r>
        <w:rPr>
          <w:spacing w:val="-18"/>
        </w:rPr>
        <w:t> </w:t>
      </w:r>
      <w:r>
        <w:rPr/>
        <w:t>Companhia,</w:t>
      </w:r>
      <w:r>
        <w:rPr>
          <w:spacing w:val="-15"/>
        </w:rPr>
        <w:t> </w:t>
      </w:r>
      <w:r>
        <w:rPr/>
        <w:t>em</w:t>
      </w:r>
      <w:r>
        <w:rPr>
          <w:spacing w:val="-18"/>
        </w:rPr>
        <w:t> </w:t>
      </w:r>
      <w:r>
        <w:rPr/>
        <w:t>virtude</w:t>
      </w:r>
      <w:r>
        <w:rPr>
          <w:spacing w:val="-19"/>
        </w:rPr>
        <w:t> </w:t>
      </w:r>
      <w:r>
        <w:rPr/>
        <w:t>do</w:t>
      </w:r>
      <w:r>
        <w:rPr>
          <w:spacing w:val="-17"/>
        </w:rPr>
        <w:t> </w:t>
      </w:r>
      <w:r>
        <w:rPr/>
        <w:t>Processo</w:t>
      </w:r>
      <w:r>
        <w:rPr>
          <w:spacing w:val="-17"/>
        </w:rPr>
        <w:t> </w:t>
      </w:r>
      <w:r>
        <w:rPr/>
        <w:t>de</w:t>
      </w:r>
      <w:r>
        <w:rPr>
          <w:spacing w:val="-19"/>
        </w:rPr>
        <w:t> </w:t>
      </w:r>
      <w:r>
        <w:rPr/>
        <w:t>Execução</w:t>
      </w:r>
      <w:r>
        <w:rPr>
          <w:spacing w:val="-17"/>
        </w:rPr>
        <w:t> </w:t>
      </w:r>
      <w:r>
        <w:rPr/>
        <w:t>Fiscal</w:t>
      </w:r>
      <w:r>
        <w:rPr>
          <w:spacing w:val="-16"/>
        </w:rPr>
        <w:t> </w:t>
      </w:r>
      <w:r>
        <w:rPr/>
        <w:t>nº</w:t>
      </w:r>
      <w:r>
        <w:rPr>
          <w:spacing w:val="-17"/>
        </w:rPr>
        <w:t> </w:t>
      </w:r>
      <w:r>
        <w:rPr/>
        <w:t>30918-50.2013.4.01.3400</w:t>
      </w:r>
      <w:r>
        <w:rPr>
          <w:spacing w:val="-17"/>
        </w:rPr>
        <w:t> </w:t>
      </w:r>
      <w:r>
        <w:rPr/>
        <w:t>que</w:t>
      </w:r>
      <w:r>
        <w:rPr>
          <w:spacing w:val="-18"/>
        </w:rPr>
        <w:t> </w:t>
      </w:r>
      <w:r>
        <w:rPr/>
        <w:t>tramita</w:t>
      </w:r>
      <w:r>
        <w:rPr>
          <w:spacing w:val="-17"/>
        </w:rPr>
        <w:t> </w:t>
      </w:r>
      <w:r>
        <w:rPr/>
        <w:t>na</w:t>
      </w:r>
      <w:r>
        <w:rPr>
          <w:spacing w:val="-16"/>
        </w:rPr>
        <w:t> </w:t>
      </w:r>
      <w:r>
        <w:rPr/>
        <w:t>18ª</w:t>
      </w:r>
      <w:r>
        <w:rPr>
          <w:spacing w:val="-17"/>
        </w:rPr>
        <w:t> </w:t>
      </w:r>
      <w:r>
        <w:rPr/>
        <w:t>Vara</w:t>
      </w:r>
      <w:r>
        <w:rPr>
          <w:spacing w:val="-17"/>
        </w:rPr>
        <w:t> </w:t>
      </w:r>
      <w:r>
        <w:rPr/>
        <w:t>da Justiça</w:t>
      </w:r>
      <w:r>
        <w:rPr>
          <w:spacing w:val="-28"/>
        </w:rPr>
        <w:t> </w:t>
      </w:r>
      <w:r>
        <w:rPr/>
        <w:t>Federal</w:t>
      </w:r>
      <w:r>
        <w:rPr>
          <w:spacing w:val="-28"/>
        </w:rPr>
        <w:t> </w:t>
      </w:r>
      <w:r>
        <w:rPr/>
        <w:t>do</w:t>
      </w:r>
      <w:r>
        <w:rPr>
          <w:spacing w:val="-28"/>
        </w:rPr>
        <w:t> </w:t>
      </w:r>
      <w:r>
        <w:rPr/>
        <w:t>Distrito</w:t>
      </w:r>
      <w:r>
        <w:rPr>
          <w:spacing w:val="-28"/>
        </w:rPr>
        <w:t> </w:t>
      </w:r>
      <w:r>
        <w:rPr/>
        <w:t>Federal,</w:t>
      </w:r>
      <w:r>
        <w:rPr>
          <w:spacing w:val="-29"/>
        </w:rPr>
        <w:t> </w:t>
      </w:r>
      <w:r>
        <w:rPr/>
        <w:t>recebeu</w:t>
      </w:r>
      <w:r>
        <w:rPr>
          <w:spacing w:val="-28"/>
        </w:rPr>
        <w:t> </w:t>
      </w:r>
      <w:r>
        <w:rPr/>
        <w:t>Mandado</w:t>
      </w:r>
      <w:r>
        <w:rPr>
          <w:spacing w:val="-28"/>
        </w:rPr>
        <w:t> </w:t>
      </w:r>
      <w:r>
        <w:rPr/>
        <w:t>de</w:t>
      </w:r>
      <w:r>
        <w:rPr>
          <w:spacing w:val="-28"/>
        </w:rPr>
        <w:t> </w:t>
      </w:r>
      <w:r>
        <w:rPr/>
        <w:t>Penhora</w:t>
      </w:r>
      <w:r>
        <w:rPr>
          <w:spacing w:val="-28"/>
        </w:rPr>
        <w:t> </w:t>
      </w:r>
      <w:r>
        <w:rPr/>
        <w:t>determinando</w:t>
      </w:r>
      <w:r>
        <w:rPr>
          <w:spacing w:val="-28"/>
        </w:rPr>
        <w:t> </w:t>
      </w:r>
      <w:r>
        <w:rPr/>
        <w:t>o</w:t>
      </w:r>
      <w:r>
        <w:rPr>
          <w:spacing w:val="-27"/>
        </w:rPr>
        <w:t> </w:t>
      </w:r>
      <w:r>
        <w:rPr/>
        <w:t>bloqueio</w:t>
      </w:r>
      <w:r>
        <w:rPr>
          <w:spacing w:val="-28"/>
        </w:rPr>
        <w:t> </w:t>
      </w:r>
      <w:r>
        <w:rPr/>
        <w:t>da</w:t>
      </w:r>
      <w:r>
        <w:rPr>
          <w:spacing w:val="-28"/>
        </w:rPr>
        <w:t> </w:t>
      </w:r>
      <w:r>
        <w:rPr/>
        <w:t>quantia</w:t>
      </w:r>
      <w:r>
        <w:rPr>
          <w:spacing w:val="-28"/>
        </w:rPr>
        <w:t> </w:t>
      </w:r>
      <w:r>
        <w:rPr/>
        <w:t>de</w:t>
      </w:r>
      <w:r>
        <w:rPr>
          <w:spacing w:val="-1"/>
        </w:rPr>
        <w:t> </w:t>
      </w:r>
      <w:r>
        <w:rPr/>
        <w:t>R$</w:t>
      </w:r>
      <w:r>
        <w:rPr>
          <w:spacing w:val="-28"/>
        </w:rPr>
        <w:t> </w:t>
      </w:r>
      <w:r>
        <w:rPr/>
        <w:t>5.817 (cinco</w:t>
      </w:r>
      <w:r>
        <w:rPr>
          <w:spacing w:val="-35"/>
        </w:rPr>
        <w:t> </w:t>
      </w:r>
      <w:r>
        <w:rPr/>
        <w:t>milhões,</w:t>
      </w:r>
      <w:r>
        <w:rPr>
          <w:spacing w:val="-33"/>
        </w:rPr>
        <w:t> </w:t>
      </w:r>
      <w:r>
        <w:rPr/>
        <w:t>oitocentos</w:t>
      </w:r>
      <w:r>
        <w:rPr>
          <w:spacing w:val="-33"/>
        </w:rPr>
        <w:t> </w:t>
      </w:r>
      <w:r>
        <w:rPr/>
        <w:t>e</w:t>
      </w:r>
      <w:r>
        <w:rPr>
          <w:spacing w:val="-33"/>
        </w:rPr>
        <w:t> </w:t>
      </w:r>
      <w:r>
        <w:rPr/>
        <w:t>dezessete</w:t>
      </w:r>
      <w:r>
        <w:rPr>
          <w:spacing w:val="-34"/>
        </w:rPr>
        <w:t> </w:t>
      </w:r>
      <w:r>
        <w:rPr/>
        <w:t>mil,</w:t>
      </w:r>
      <w:r>
        <w:rPr>
          <w:spacing w:val="-34"/>
        </w:rPr>
        <w:t> </w:t>
      </w:r>
      <w:r>
        <w:rPr/>
        <w:t>trezentos</w:t>
      </w:r>
      <w:r>
        <w:rPr>
          <w:spacing w:val="-33"/>
        </w:rPr>
        <w:t> </w:t>
      </w:r>
      <w:r>
        <w:rPr/>
        <w:t>e</w:t>
      </w:r>
      <w:r>
        <w:rPr>
          <w:spacing w:val="-34"/>
        </w:rPr>
        <w:t> </w:t>
      </w:r>
      <w:r>
        <w:rPr/>
        <w:t>vinte</w:t>
      </w:r>
      <w:r>
        <w:rPr>
          <w:spacing w:val="-33"/>
        </w:rPr>
        <w:t> </w:t>
      </w:r>
      <w:r>
        <w:rPr/>
        <w:t>e</w:t>
      </w:r>
      <w:r>
        <w:rPr>
          <w:spacing w:val="-34"/>
        </w:rPr>
        <w:t> </w:t>
      </w:r>
      <w:r>
        <w:rPr/>
        <w:t>dois</w:t>
      </w:r>
      <w:r>
        <w:rPr>
          <w:spacing w:val="-29"/>
        </w:rPr>
        <w:t> </w:t>
      </w:r>
      <w:r>
        <w:rPr/>
        <w:t>reais</w:t>
      </w:r>
      <w:r>
        <w:rPr>
          <w:spacing w:val="-33"/>
        </w:rPr>
        <w:t> </w:t>
      </w:r>
      <w:r>
        <w:rPr/>
        <w:t>e</w:t>
      </w:r>
      <w:r>
        <w:rPr>
          <w:spacing w:val="-35"/>
        </w:rPr>
        <w:t> </w:t>
      </w:r>
      <w:r>
        <w:rPr/>
        <w:t>vinte</w:t>
      </w:r>
      <w:r>
        <w:rPr>
          <w:spacing w:val="-34"/>
        </w:rPr>
        <w:t> </w:t>
      </w:r>
      <w:r>
        <w:rPr/>
        <w:t>centavos),</w:t>
      </w:r>
      <w:r>
        <w:rPr>
          <w:spacing w:val="-34"/>
        </w:rPr>
        <w:t> </w:t>
      </w:r>
      <w:r>
        <w:rPr/>
        <w:t>que</w:t>
      </w:r>
      <w:r>
        <w:rPr>
          <w:spacing w:val="-34"/>
        </w:rPr>
        <w:t> </w:t>
      </w:r>
      <w:r>
        <w:rPr/>
        <w:t>estaria</w:t>
      </w:r>
      <w:r>
        <w:rPr>
          <w:spacing w:val="-33"/>
        </w:rPr>
        <w:t> </w:t>
      </w:r>
      <w:r>
        <w:rPr/>
        <w:t>destinada</w:t>
      </w:r>
      <w:r>
        <w:rPr>
          <w:spacing w:val="-33"/>
        </w:rPr>
        <w:t> </w:t>
      </w:r>
      <w:r>
        <w:rPr/>
        <w:t>ao pagamento</w:t>
      </w:r>
      <w:r>
        <w:rPr>
          <w:spacing w:val="-48"/>
        </w:rPr>
        <w:t> </w:t>
      </w:r>
      <w:r>
        <w:rPr/>
        <w:t>dos</w:t>
      </w:r>
      <w:r>
        <w:rPr>
          <w:spacing w:val="-48"/>
        </w:rPr>
        <w:t> </w:t>
      </w:r>
      <w:r>
        <w:rPr/>
        <w:t>dividendos</w:t>
      </w:r>
      <w:r>
        <w:rPr>
          <w:spacing w:val="-47"/>
        </w:rPr>
        <w:t> </w:t>
      </w:r>
      <w:r>
        <w:rPr/>
        <w:t>aos</w:t>
      </w:r>
      <w:r>
        <w:rPr>
          <w:spacing w:val="-48"/>
        </w:rPr>
        <w:t> </w:t>
      </w:r>
      <w:r>
        <w:rPr/>
        <w:t>acionistas,</w:t>
      </w:r>
      <w:r>
        <w:rPr>
          <w:spacing w:val="-48"/>
        </w:rPr>
        <w:t> </w:t>
      </w:r>
      <w:r>
        <w:rPr/>
        <w:t>conforme</w:t>
      </w:r>
      <w:r>
        <w:rPr>
          <w:spacing w:val="-48"/>
        </w:rPr>
        <w:t> </w:t>
      </w:r>
      <w:r>
        <w:rPr/>
        <w:t>deliberado</w:t>
      </w:r>
      <w:r>
        <w:rPr>
          <w:spacing w:val="-48"/>
        </w:rPr>
        <w:t> </w:t>
      </w:r>
      <w:r>
        <w:rPr/>
        <w:t>pela</w:t>
      </w:r>
      <w:r>
        <w:rPr>
          <w:spacing w:val="-48"/>
        </w:rPr>
        <w:t> </w:t>
      </w:r>
      <w:r>
        <w:rPr/>
        <w:t>Assembleia</w:t>
      </w:r>
      <w:r>
        <w:rPr>
          <w:spacing w:val="-48"/>
        </w:rPr>
        <w:t> </w:t>
      </w:r>
      <w:r>
        <w:rPr/>
        <w:t>Geral</w:t>
      </w:r>
      <w:r>
        <w:rPr>
          <w:spacing w:val="-47"/>
        </w:rPr>
        <w:t> </w:t>
      </w:r>
      <w:r>
        <w:rPr/>
        <w:t>Ordinária</w:t>
      </w:r>
      <w:r>
        <w:rPr>
          <w:spacing w:val="-47"/>
        </w:rPr>
        <w:t> </w:t>
      </w:r>
      <w:r>
        <w:rPr/>
        <w:t>da</w:t>
      </w:r>
      <w:r>
        <w:rPr>
          <w:spacing w:val="-48"/>
        </w:rPr>
        <w:t> </w:t>
      </w:r>
      <w:r>
        <w:rPr/>
        <w:t>CEB,</w:t>
      </w:r>
      <w:r>
        <w:rPr>
          <w:spacing w:val="-48"/>
        </w:rPr>
        <w:t> </w:t>
      </w:r>
      <w:r>
        <w:rPr/>
        <w:t>realizada</w:t>
      </w:r>
      <w:r>
        <w:rPr>
          <w:spacing w:val="-47"/>
        </w:rPr>
        <w:t> </w:t>
      </w:r>
      <w:r>
        <w:rPr/>
        <w:t>em 30</w:t>
      </w:r>
      <w:r>
        <w:rPr>
          <w:spacing w:val="-18"/>
        </w:rPr>
        <w:t> </w:t>
      </w:r>
      <w:r>
        <w:rPr/>
        <w:t>de</w:t>
      </w:r>
      <w:r>
        <w:rPr>
          <w:spacing w:val="-19"/>
        </w:rPr>
        <w:t> </w:t>
      </w:r>
      <w:r>
        <w:rPr/>
        <w:t>abril</w:t>
      </w:r>
      <w:r>
        <w:rPr>
          <w:spacing w:val="-17"/>
        </w:rPr>
        <w:t> </w:t>
      </w:r>
      <w:r>
        <w:rPr/>
        <w:t>de</w:t>
      </w:r>
      <w:r>
        <w:rPr>
          <w:spacing w:val="-19"/>
        </w:rPr>
        <w:t> </w:t>
      </w:r>
      <w:r>
        <w:rPr/>
        <w:t>2019.</w:t>
      </w:r>
    </w:p>
    <w:p>
      <w:pPr>
        <w:spacing w:after="0" w:line="242" w:lineRule="auto"/>
        <w:jc w:val="both"/>
        <w:sectPr>
          <w:pgSz w:w="11910" w:h="16850"/>
          <w:pgMar w:header="792" w:footer="1193" w:top="1360" w:bottom="1460" w:left="940" w:right="240"/>
        </w:sectPr>
      </w:pPr>
    </w:p>
    <w:p>
      <w:pPr>
        <w:pStyle w:val="BodyText"/>
        <w:spacing w:line="242" w:lineRule="auto" w:before="50"/>
        <w:ind w:left="192" w:right="606"/>
        <w:jc w:val="both"/>
      </w:pPr>
      <w:r>
        <w:rPr/>
        <w:t>De acordo com a decisão que determinou a penhora, a Assembleia Geral Ordinária da CEB, que deliberou pela distribuição</w:t>
      </w:r>
      <w:r>
        <w:rPr>
          <w:spacing w:val="-17"/>
        </w:rPr>
        <w:t> </w:t>
      </w:r>
      <w:r>
        <w:rPr/>
        <w:t>de</w:t>
      </w:r>
      <w:r>
        <w:rPr>
          <w:spacing w:val="-15"/>
        </w:rPr>
        <w:t> </w:t>
      </w:r>
      <w:r>
        <w:rPr/>
        <w:t>dividendos,</w:t>
      </w:r>
      <w:r>
        <w:rPr>
          <w:spacing w:val="-14"/>
        </w:rPr>
        <w:t> </w:t>
      </w:r>
      <w:r>
        <w:rPr/>
        <w:t>está</w:t>
      </w:r>
      <w:r>
        <w:rPr>
          <w:spacing w:val="-15"/>
        </w:rPr>
        <w:t> </w:t>
      </w:r>
      <w:r>
        <w:rPr/>
        <w:t>em</w:t>
      </w:r>
      <w:r>
        <w:rPr>
          <w:spacing w:val="-14"/>
        </w:rPr>
        <w:t> </w:t>
      </w:r>
      <w:r>
        <w:rPr/>
        <w:t>desacordo</w:t>
      </w:r>
      <w:r>
        <w:rPr>
          <w:spacing w:val="-17"/>
        </w:rPr>
        <w:t> </w:t>
      </w:r>
      <w:r>
        <w:rPr/>
        <w:t>com</w:t>
      </w:r>
      <w:r>
        <w:rPr>
          <w:spacing w:val="-17"/>
        </w:rPr>
        <w:t> </w:t>
      </w:r>
      <w:r>
        <w:rPr/>
        <w:t>o</w:t>
      </w:r>
      <w:r>
        <w:rPr>
          <w:spacing w:val="-15"/>
        </w:rPr>
        <w:t> </w:t>
      </w:r>
      <w:r>
        <w:rPr/>
        <w:t>disposto</w:t>
      </w:r>
      <w:r>
        <w:rPr>
          <w:spacing w:val="-14"/>
        </w:rPr>
        <w:t> </w:t>
      </w:r>
      <w:r>
        <w:rPr/>
        <w:t>no</w:t>
      </w:r>
      <w:r>
        <w:rPr>
          <w:spacing w:val="-17"/>
        </w:rPr>
        <w:t> </w:t>
      </w:r>
      <w:r>
        <w:rPr/>
        <w:t>art.</w:t>
      </w:r>
      <w:r>
        <w:rPr>
          <w:spacing w:val="-15"/>
        </w:rPr>
        <w:t> </w:t>
      </w:r>
      <w:r>
        <w:rPr/>
        <w:t>32</w:t>
      </w:r>
      <w:r>
        <w:rPr>
          <w:spacing w:val="-16"/>
        </w:rPr>
        <w:t> </w:t>
      </w:r>
      <w:r>
        <w:rPr/>
        <w:t>da</w:t>
      </w:r>
      <w:r>
        <w:rPr>
          <w:spacing w:val="25"/>
        </w:rPr>
        <w:t> </w:t>
      </w:r>
      <w:r>
        <w:rPr/>
        <w:t>Lei</w:t>
      </w:r>
      <w:r>
        <w:rPr>
          <w:spacing w:val="-14"/>
        </w:rPr>
        <w:t> </w:t>
      </w:r>
      <w:r>
        <w:rPr/>
        <w:t>nº</w:t>
      </w:r>
      <w:r>
        <w:rPr>
          <w:spacing w:val="-15"/>
        </w:rPr>
        <w:t> </w:t>
      </w:r>
      <w:r>
        <w:rPr/>
        <w:t>4.357/1964,</w:t>
      </w:r>
      <w:r>
        <w:rPr>
          <w:spacing w:val="-14"/>
        </w:rPr>
        <w:t> </w:t>
      </w:r>
      <w:r>
        <w:rPr/>
        <w:t>segundo</w:t>
      </w:r>
      <w:r>
        <w:rPr>
          <w:spacing w:val="-16"/>
        </w:rPr>
        <w:t> </w:t>
      </w:r>
      <w:r>
        <w:rPr/>
        <w:t>o</w:t>
      </w:r>
      <w:r>
        <w:rPr>
          <w:spacing w:val="-15"/>
        </w:rPr>
        <w:t> </w:t>
      </w:r>
      <w:r>
        <w:rPr/>
        <w:t>qual</w:t>
      </w:r>
      <w:r>
        <w:rPr>
          <w:spacing w:val="-14"/>
        </w:rPr>
        <w:t> </w:t>
      </w:r>
      <w:r>
        <w:rPr/>
        <w:t>as pessoas</w:t>
      </w:r>
      <w:r>
        <w:rPr>
          <w:spacing w:val="-5"/>
        </w:rPr>
        <w:t> </w:t>
      </w:r>
      <w:r>
        <w:rPr/>
        <w:t>jurídicas</w:t>
      </w:r>
      <w:r>
        <w:rPr>
          <w:spacing w:val="-4"/>
        </w:rPr>
        <w:t> </w:t>
      </w:r>
      <w:r>
        <w:rPr/>
        <w:t>em</w:t>
      </w:r>
      <w:r>
        <w:rPr>
          <w:spacing w:val="-4"/>
        </w:rPr>
        <w:t> </w:t>
      </w:r>
      <w:r>
        <w:rPr/>
        <w:t>débito</w:t>
      </w:r>
      <w:r>
        <w:rPr>
          <w:spacing w:val="-4"/>
        </w:rPr>
        <w:t> </w:t>
      </w:r>
      <w:r>
        <w:rPr/>
        <w:t>fiscal</w:t>
      </w:r>
      <w:r>
        <w:rPr>
          <w:spacing w:val="-4"/>
        </w:rPr>
        <w:t> </w:t>
      </w:r>
      <w:r>
        <w:rPr/>
        <w:t>com</w:t>
      </w:r>
      <w:r>
        <w:rPr>
          <w:spacing w:val="-6"/>
        </w:rPr>
        <w:t> </w:t>
      </w:r>
      <w:r>
        <w:rPr/>
        <w:t>a</w:t>
      </w:r>
      <w:r>
        <w:rPr>
          <w:spacing w:val="-4"/>
        </w:rPr>
        <w:t> </w:t>
      </w:r>
      <w:r>
        <w:rPr/>
        <w:t>União</w:t>
      </w:r>
      <w:r>
        <w:rPr>
          <w:spacing w:val="-4"/>
        </w:rPr>
        <w:t> </w:t>
      </w:r>
      <w:r>
        <w:rPr/>
        <w:t>não</w:t>
      </w:r>
      <w:r>
        <w:rPr>
          <w:spacing w:val="-4"/>
        </w:rPr>
        <w:t> </w:t>
      </w:r>
      <w:r>
        <w:rPr/>
        <w:t>poderão</w:t>
      </w:r>
      <w:r>
        <w:rPr>
          <w:spacing w:val="-3"/>
        </w:rPr>
        <w:t> </w:t>
      </w:r>
      <w:r>
        <w:rPr/>
        <w:t>distribuir</w:t>
      </w:r>
      <w:r>
        <w:rPr>
          <w:spacing w:val="-4"/>
        </w:rPr>
        <w:t> </w:t>
      </w:r>
      <w:r>
        <w:rPr/>
        <w:t>quaisquer</w:t>
      </w:r>
      <w:r>
        <w:rPr>
          <w:spacing w:val="-4"/>
        </w:rPr>
        <w:t> </w:t>
      </w:r>
      <w:r>
        <w:rPr/>
        <w:t>bonificações</w:t>
      </w:r>
      <w:r>
        <w:rPr>
          <w:spacing w:val="-4"/>
        </w:rPr>
        <w:t> </w:t>
      </w:r>
      <w:r>
        <w:rPr/>
        <w:t>a</w:t>
      </w:r>
      <w:r>
        <w:rPr>
          <w:spacing w:val="-5"/>
        </w:rPr>
        <w:t> </w:t>
      </w:r>
      <w:r>
        <w:rPr/>
        <w:t>seus</w:t>
      </w:r>
      <w:r>
        <w:rPr>
          <w:spacing w:val="-4"/>
        </w:rPr>
        <w:t> </w:t>
      </w:r>
      <w:r>
        <w:rPr/>
        <w:t>acionistas, tampouco</w:t>
      </w:r>
      <w:r>
        <w:rPr>
          <w:spacing w:val="-23"/>
        </w:rPr>
        <w:t> </w:t>
      </w:r>
      <w:r>
        <w:rPr/>
        <w:t>dar</w:t>
      </w:r>
      <w:r>
        <w:rPr>
          <w:spacing w:val="-23"/>
        </w:rPr>
        <w:t> </w:t>
      </w:r>
      <w:r>
        <w:rPr/>
        <w:t>ou</w:t>
      </w:r>
      <w:r>
        <w:rPr>
          <w:spacing w:val="-23"/>
        </w:rPr>
        <w:t> </w:t>
      </w:r>
      <w:r>
        <w:rPr/>
        <w:t>atribuir</w:t>
      </w:r>
      <w:r>
        <w:rPr>
          <w:spacing w:val="-21"/>
        </w:rPr>
        <w:t> </w:t>
      </w:r>
      <w:r>
        <w:rPr/>
        <w:t>participação</w:t>
      </w:r>
      <w:r>
        <w:rPr>
          <w:spacing w:val="-24"/>
        </w:rPr>
        <w:t> </w:t>
      </w:r>
      <w:r>
        <w:rPr/>
        <w:t>de</w:t>
      </w:r>
      <w:r>
        <w:rPr>
          <w:spacing w:val="-23"/>
        </w:rPr>
        <w:t> </w:t>
      </w:r>
      <w:r>
        <w:rPr/>
        <w:t>lucros</w:t>
      </w:r>
      <w:r>
        <w:rPr>
          <w:spacing w:val="-23"/>
        </w:rPr>
        <w:t> </w:t>
      </w:r>
      <w:r>
        <w:rPr/>
        <w:t>a</w:t>
      </w:r>
      <w:r>
        <w:rPr>
          <w:spacing w:val="-22"/>
        </w:rPr>
        <w:t> </w:t>
      </w:r>
      <w:r>
        <w:rPr/>
        <w:t>seus</w:t>
      </w:r>
      <w:r>
        <w:rPr>
          <w:spacing w:val="-22"/>
        </w:rPr>
        <w:t> </w:t>
      </w:r>
      <w:r>
        <w:rPr/>
        <w:t>sócios</w:t>
      </w:r>
      <w:r>
        <w:rPr>
          <w:spacing w:val="-24"/>
        </w:rPr>
        <w:t> </w:t>
      </w:r>
      <w:r>
        <w:rPr/>
        <w:t>quotistas,</w:t>
      </w:r>
      <w:r>
        <w:rPr>
          <w:spacing w:val="-24"/>
        </w:rPr>
        <w:t> </w:t>
      </w:r>
      <w:r>
        <w:rPr/>
        <w:t>a</w:t>
      </w:r>
      <w:r>
        <w:rPr>
          <w:spacing w:val="-21"/>
        </w:rPr>
        <w:t> </w:t>
      </w:r>
      <w:r>
        <w:rPr/>
        <w:t>seus</w:t>
      </w:r>
      <w:r>
        <w:rPr>
          <w:spacing w:val="-22"/>
        </w:rPr>
        <w:t> </w:t>
      </w:r>
      <w:r>
        <w:rPr/>
        <w:t>diretores</w:t>
      </w:r>
      <w:r>
        <w:rPr>
          <w:spacing w:val="-21"/>
        </w:rPr>
        <w:t> </w:t>
      </w:r>
      <w:r>
        <w:rPr/>
        <w:t>e</w:t>
      </w:r>
      <w:r>
        <w:rPr>
          <w:spacing w:val="-24"/>
        </w:rPr>
        <w:t> </w:t>
      </w:r>
      <w:r>
        <w:rPr/>
        <w:t>aos</w:t>
      </w:r>
      <w:r>
        <w:rPr>
          <w:spacing w:val="-22"/>
        </w:rPr>
        <w:t> </w:t>
      </w:r>
      <w:r>
        <w:rPr/>
        <w:t>demais</w:t>
      </w:r>
      <w:r>
        <w:rPr>
          <w:spacing w:val="-22"/>
        </w:rPr>
        <w:t> </w:t>
      </w:r>
      <w:r>
        <w:rPr/>
        <w:t>membros</w:t>
      </w:r>
      <w:r>
        <w:rPr>
          <w:spacing w:val="-22"/>
        </w:rPr>
        <w:t> </w:t>
      </w:r>
      <w:r>
        <w:rPr/>
        <w:t>de órgãos</w:t>
      </w:r>
      <w:r>
        <w:rPr>
          <w:spacing w:val="-18"/>
        </w:rPr>
        <w:t> </w:t>
      </w:r>
      <w:r>
        <w:rPr/>
        <w:t>dirigentes,</w:t>
      </w:r>
      <w:r>
        <w:rPr>
          <w:spacing w:val="-17"/>
        </w:rPr>
        <w:t> </w:t>
      </w:r>
      <w:r>
        <w:rPr/>
        <w:t>fiscais</w:t>
      </w:r>
      <w:r>
        <w:rPr>
          <w:spacing w:val="-18"/>
        </w:rPr>
        <w:t> </w:t>
      </w:r>
      <w:r>
        <w:rPr/>
        <w:t>ou</w:t>
      </w:r>
      <w:r>
        <w:rPr>
          <w:spacing w:val="-16"/>
        </w:rPr>
        <w:t> </w:t>
      </w:r>
      <w:r>
        <w:rPr/>
        <w:t>consultivos.</w:t>
      </w:r>
    </w:p>
    <w:p>
      <w:pPr>
        <w:pStyle w:val="BodyText"/>
        <w:spacing w:before="6"/>
      </w:pPr>
    </w:p>
    <w:p>
      <w:pPr>
        <w:pStyle w:val="BodyText"/>
        <w:spacing w:line="242" w:lineRule="auto"/>
        <w:ind w:left="192" w:right="604"/>
        <w:jc w:val="both"/>
      </w:pPr>
      <w:r>
        <w:rPr/>
        <w:t>A</w:t>
      </w:r>
      <w:r>
        <w:rPr>
          <w:spacing w:val="-17"/>
        </w:rPr>
        <w:t> </w:t>
      </w:r>
      <w:r>
        <w:rPr/>
        <w:t>CEB,</w:t>
      </w:r>
      <w:r>
        <w:rPr>
          <w:spacing w:val="-17"/>
        </w:rPr>
        <w:t> </w:t>
      </w:r>
      <w:r>
        <w:rPr/>
        <w:t>por</w:t>
      </w:r>
      <w:r>
        <w:rPr>
          <w:spacing w:val="-18"/>
        </w:rPr>
        <w:t> </w:t>
      </w:r>
      <w:r>
        <w:rPr/>
        <w:t>meio</w:t>
      </w:r>
      <w:r>
        <w:rPr>
          <w:spacing w:val="-17"/>
        </w:rPr>
        <w:t> </w:t>
      </w:r>
      <w:r>
        <w:rPr/>
        <w:t>da</w:t>
      </w:r>
      <w:r>
        <w:rPr>
          <w:spacing w:val="-16"/>
        </w:rPr>
        <w:t> </w:t>
      </w:r>
      <w:r>
        <w:rPr/>
        <w:t>Procuradoria-Geral</w:t>
      </w:r>
      <w:r>
        <w:rPr>
          <w:spacing w:val="-16"/>
        </w:rPr>
        <w:t> </w:t>
      </w:r>
      <w:r>
        <w:rPr/>
        <w:t>do</w:t>
      </w:r>
      <w:r>
        <w:rPr>
          <w:spacing w:val="-17"/>
        </w:rPr>
        <w:t> </w:t>
      </w:r>
      <w:r>
        <w:rPr/>
        <w:t>Distrito</w:t>
      </w:r>
      <w:r>
        <w:rPr>
          <w:spacing w:val="-17"/>
        </w:rPr>
        <w:t> </w:t>
      </w:r>
      <w:r>
        <w:rPr/>
        <w:t>Federal,</w:t>
      </w:r>
      <w:r>
        <w:rPr>
          <w:spacing w:val="-17"/>
        </w:rPr>
        <w:t> </w:t>
      </w:r>
      <w:r>
        <w:rPr/>
        <w:t>opôs</w:t>
      </w:r>
      <w:r>
        <w:rPr>
          <w:spacing w:val="-17"/>
        </w:rPr>
        <w:t> </w:t>
      </w:r>
      <w:r>
        <w:rPr/>
        <w:t>embargos</w:t>
      </w:r>
      <w:r>
        <w:rPr>
          <w:spacing w:val="-17"/>
        </w:rPr>
        <w:t> </w:t>
      </w:r>
      <w:r>
        <w:rPr/>
        <w:t>de</w:t>
      </w:r>
      <w:r>
        <w:rPr>
          <w:spacing w:val="-18"/>
        </w:rPr>
        <w:t> </w:t>
      </w:r>
      <w:r>
        <w:rPr/>
        <w:t>declaração</w:t>
      </w:r>
      <w:r>
        <w:rPr>
          <w:spacing w:val="-17"/>
        </w:rPr>
        <w:t> </w:t>
      </w:r>
      <w:r>
        <w:rPr/>
        <w:t>em</w:t>
      </w:r>
      <w:r>
        <w:rPr>
          <w:spacing w:val="-16"/>
        </w:rPr>
        <w:t> </w:t>
      </w:r>
      <w:r>
        <w:rPr/>
        <w:t>face</w:t>
      </w:r>
      <w:r>
        <w:rPr>
          <w:spacing w:val="-18"/>
        </w:rPr>
        <w:t> </w:t>
      </w:r>
      <w:r>
        <w:rPr/>
        <w:t>da</w:t>
      </w:r>
      <w:r>
        <w:rPr>
          <w:spacing w:val="-16"/>
        </w:rPr>
        <w:t> </w:t>
      </w:r>
      <w:r>
        <w:rPr/>
        <w:t>decisão</w:t>
      </w:r>
      <w:r>
        <w:rPr>
          <w:spacing w:val="-17"/>
        </w:rPr>
        <w:t> </w:t>
      </w:r>
      <w:r>
        <w:rPr/>
        <w:t>que </w:t>
      </w:r>
      <w:r>
        <w:rPr>
          <w:w w:val="95"/>
        </w:rPr>
        <w:t>rejeitou</w:t>
      </w:r>
      <w:r>
        <w:rPr>
          <w:spacing w:val="-20"/>
          <w:w w:val="95"/>
        </w:rPr>
        <w:t> </w:t>
      </w:r>
      <w:r>
        <w:rPr>
          <w:w w:val="95"/>
        </w:rPr>
        <w:t>a</w:t>
      </w:r>
      <w:r>
        <w:rPr>
          <w:spacing w:val="-16"/>
          <w:w w:val="95"/>
        </w:rPr>
        <w:t> </w:t>
      </w:r>
      <w:r>
        <w:rPr>
          <w:w w:val="95"/>
        </w:rPr>
        <w:t>exceção</w:t>
      </w:r>
      <w:r>
        <w:rPr>
          <w:spacing w:val="-17"/>
          <w:w w:val="95"/>
        </w:rPr>
        <w:t> </w:t>
      </w:r>
      <w:r>
        <w:rPr>
          <w:w w:val="95"/>
        </w:rPr>
        <w:t>de</w:t>
      </w:r>
      <w:r>
        <w:rPr>
          <w:spacing w:val="-18"/>
          <w:w w:val="95"/>
        </w:rPr>
        <w:t> </w:t>
      </w:r>
      <w:r>
        <w:rPr>
          <w:w w:val="95"/>
        </w:rPr>
        <w:t>pré-executividade</w:t>
      </w:r>
      <w:r>
        <w:rPr>
          <w:spacing w:val="-18"/>
          <w:w w:val="95"/>
        </w:rPr>
        <w:t> </w:t>
      </w:r>
      <w:r>
        <w:rPr>
          <w:w w:val="95"/>
        </w:rPr>
        <w:t>e</w:t>
      </w:r>
      <w:r>
        <w:rPr>
          <w:spacing w:val="-18"/>
          <w:w w:val="95"/>
        </w:rPr>
        <w:t> </w:t>
      </w:r>
      <w:r>
        <w:rPr>
          <w:w w:val="95"/>
        </w:rPr>
        <w:t>determinou</w:t>
      </w:r>
      <w:r>
        <w:rPr>
          <w:spacing w:val="-17"/>
          <w:w w:val="95"/>
        </w:rPr>
        <w:t> </w:t>
      </w:r>
      <w:r>
        <w:rPr>
          <w:w w:val="95"/>
        </w:rPr>
        <w:t>a</w:t>
      </w:r>
      <w:r>
        <w:rPr>
          <w:spacing w:val="-14"/>
          <w:w w:val="95"/>
        </w:rPr>
        <w:t> </w:t>
      </w:r>
      <w:r>
        <w:rPr>
          <w:w w:val="95"/>
        </w:rPr>
        <w:t>penhora</w:t>
      </w:r>
      <w:r>
        <w:rPr>
          <w:spacing w:val="-17"/>
          <w:w w:val="95"/>
        </w:rPr>
        <w:t> </w:t>
      </w:r>
      <w:r>
        <w:rPr>
          <w:w w:val="95"/>
        </w:rPr>
        <w:t>da</w:t>
      </w:r>
      <w:r>
        <w:rPr>
          <w:spacing w:val="-16"/>
          <w:w w:val="95"/>
        </w:rPr>
        <w:t> </w:t>
      </w:r>
      <w:r>
        <w:rPr>
          <w:w w:val="95"/>
        </w:rPr>
        <w:t>quantia</w:t>
      </w:r>
      <w:r>
        <w:rPr>
          <w:spacing w:val="-18"/>
          <w:w w:val="95"/>
        </w:rPr>
        <w:t> </w:t>
      </w:r>
      <w:r>
        <w:rPr>
          <w:w w:val="95"/>
        </w:rPr>
        <w:t>destinada</w:t>
      </w:r>
      <w:r>
        <w:rPr>
          <w:spacing w:val="-18"/>
          <w:w w:val="95"/>
        </w:rPr>
        <w:t> </w:t>
      </w:r>
      <w:r>
        <w:rPr>
          <w:w w:val="95"/>
        </w:rPr>
        <w:t>pela</w:t>
      </w:r>
      <w:r>
        <w:rPr>
          <w:spacing w:val="-16"/>
          <w:w w:val="95"/>
        </w:rPr>
        <w:t> </w:t>
      </w:r>
      <w:r>
        <w:rPr>
          <w:w w:val="95"/>
        </w:rPr>
        <w:t>embargante</w:t>
      </w:r>
      <w:r>
        <w:rPr>
          <w:spacing w:val="-20"/>
          <w:w w:val="95"/>
        </w:rPr>
        <w:t> </w:t>
      </w:r>
      <w:r>
        <w:rPr>
          <w:w w:val="95"/>
        </w:rPr>
        <w:t>à</w:t>
      </w:r>
      <w:r>
        <w:rPr>
          <w:spacing w:val="-16"/>
          <w:w w:val="95"/>
        </w:rPr>
        <w:t> </w:t>
      </w:r>
      <w:r>
        <w:rPr>
          <w:w w:val="95"/>
        </w:rPr>
        <w:t>distribuição </w:t>
      </w:r>
      <w:r>
        <w:rPr/>
        <w:t>de</w:t>
      </w:r>
      <w:r>
        <w:rPr>
          <w:spacing w:val="-37"/>
        </w:rPr>
        <w:t> </w:t>
      </w:r>
      <w:r>
        <w:rPr/>
        <w:t>dividendos.</w:t>
      </w:r>
      <w:r>
        <w:rPr>
          <w:spacing w:val="-35"/>
        </w:rPr>
        <w:t> </w:t>
      </w:r>
      <w:r>
        <w:rPr/>
        <w:t>Ocorre</w:t>
      </w:r>
      <w:r>
        <w:rPr>
          <w:spacing w:val="-35"/>
        </w:rPr>
        <w:t> </w:t>
      </w:r>
      <w:r>
        <w:rPr/>
        <w:t>que,</w:t>
      </w:r>
      <w:r>
        <w:rPr>
          <w:spacing w:val="-36"/>
        </w:rPr>
        <w:t> </w:t>
      </w:r>
      <w:r>
        <w:rPr/>
        <w:t>em</w:t>
      </w:r>
      <w:r>
        <w:rPr>
          <w:spacing w:val="-36"/>
        </w:rPr>
        <w:t> </w:t>
      </w:r>
      <w:r>
        <w:rPr/>
        <w:t>26</w:t>
      </w:r>
      <w:r>
        <w:rPr>
          <w:spacing w:val="-36"/>
        </w:rPr>
        <w:t> </w:t>
      </w:r>
      <w:r>
        <w:rPr/>
        <w:t>de</w:t>
      </w:r>
      <w:r>
        <w:rPr>
          <w:spacing w:val="-36"/>
        </w:rPr>
        <w:t> </w:t>
      </w:r>
      <w:r>
        <w:rPr/>
        <w:t>junho</w:t>
      </w:r>
      <w:r>
        <w:rPr>
          <w:spacing w:val="-36"/>
        </w:rPr>
        <w:t> </w:t>
      </w:r>
      <w:r>
        <w:rPr/>
        <w:t>de</w:t>
      </w:r>
      <w:r>
        <w:rPr>
          <w:spacing w:val="-36"/>
        </w:rPr>
        <w:t> </w:t>
      </w:r>
      <w:r>
        <w:rPr/>
        <w:t>2019,</w:t>
      </w:r>
      <w:r>
        <w:rPr>
          <w:spacing w:val="-35"/>
        </w:rPr>
        <w:t> </w:t>
      </w:r>
      <w:r>
        <w:rPr/>
        <w:t>foi</w:t>
      </w:r>
      <w:r>
        <w:rPr>
          <w:spacing w:val="-35"/>
        </w:rPr>
        <w:t> </w:t>
      </w:r>
      <w:r>
        <w:rPr/>
        <w:t>proferida</w:t>
      </w:r>
      <w:r>
        <w:rPr>
          <w:spacing w:val="-34"/>
        </w:rPr>
        <w:t> </w:t>
      </w:r>
      <w:r>
        <w:rPr/>
        <w:t>nos</w:t>
      </w:r>
      <w:r>
        <w:rPr>
          <w:spacing w:val="-36"/>
        </w:rPr>
        <w:t> </w:t>
      </w:r>
      <w:r>
        <w:rPr/>
        <w:t>autos</w:t>
      </w:r>
      <w:r>
        <w:rPr>
          <w:spacing w:val="-36"/>
        </w:rPr>
        <w:t> </w:t>
      </w:r>
      <w:r>
        <w:rPr/>
        <w:t>da</w:t>
      </w:r>
      <w:r>
        <w:rPr>
          <w:spacing w:val="-35"/>
        </w:rPr>
        <w:t> </w:t>
      </w:r>
      <w:r>
        <w:rPr/>
        <w:t>ação</w:t>
      </w:r>
      <w:r>
        <w:rPr>
          <w:spacing w:val="-36"/>
        </w:rPr>
        <w:t> </w:t>
      </w:r>
      <w:r>
        <w:rPr/>
        <w:t>declaratória</w:t>
      </w:r>
      <w:r>
        <w:rPr>
          <w:spacing w:val="-35"/>
        </w:rPr>
        <w:t> </w:t>
      </w:r>
      <w:r>
        <w:rPr/>
        <w:t>decisão</w:t>
      </w:r>
      <w:r>
        <w:rPr>
          <w:spacing w:val="-36"/>
        </w:rPr>
        <w:t> </w:t>
      </w:r>
      <w:r>
        <w:rPr/>
        <w:t>indeferindo a</w:t>
      </w:r>
      <w:r>
        <w:rPr>
          <w:spacing w:val="-32"/>
        </w:rPr>
        <w:t> </w:t>
      </w:r>
      <w:r>
        <w:rPr/>
        <w:t>tutela</w:t>
      </w:r>
      <w:r>
        <w:rPr>
          <w:spacing w:val="-32"/>
        </w:rPr>
        <w:t> </w:t>
      </w:r>
      <w:r>
        <w:rPr/>
        <w:t>de</w:t>
      </w:r>
      <w:r>
        <w:rPr>
          <w:spacing w:val="-33"/>
        </w:rPr>
        <w:t> </w:t>
      </w:r>
      <w:r>
        <w:rPr/>
        <w:t>urgência</w:t>
      </w:r>
      <w:r>
        <w:rPr>
          <w:spacing w:val="-32"/>
        </w:rPr>
        <w:t> </w:t>
      </w:r>
      <w:r>
        <w:rPr/>
        <w:t>ali</w:t>
      </w:r>
      <w:r>
        <w:rPr>
          <w:spacing w:val="-31"/>
        </w:rPr>
        <w:t> </w:t>
      </w:r>
      <w:r>
        <w:rPr/>
        <w:t>requerida</w:t>
      </w:r>
      <w:r>
        <w:rPr>
          <w:spacing w:val="-32"/>
        </w:rPr>
        <w:t> </w:t>
      </w:r>
      <w:r>
        <w:rPr/>
        <w:t>fato</w:t>
      </w:r>
      <w:r>
        <w:rPr>
          <w:spacing w:val="-31"/>
        </w:rPr>
        <w:t> </w:t>
      </w:r>
      <w:r>
        <w:rPr/>
        <w:t>que</w:t>
      </w:r>
      <w:r>
        <w:rPr>
          <w:spacing w:val="-31"/>
        </w:rPr>
        <w:t> </w:t>
      </w:r>
      <w:r>
        <w:rPr/>
        <w:t>esvazia</w:t>
      </w:r>
      <w:r>
        <w:rPr>
          <w:spacing w:val="-32"/>
        </w:rPr>
        <w:t> </w:t>
      </w:r>
      <w:r>
        <w:rPr/>
        <w:t>os</w:t>
      </w:r>
      <w:r>
        <w:rPr>
          <w:spacing w:val="-32"/>
        </w:rPr>
        <w:t> </w:t>
      </w:r>
      <w:r>
        <w:rPr/>
        <w:t>presentes</w:t>
      </w:r>
      <w:r>
        <w:rPr>
          <w:spacing w:val="-30"/>
        </w:rPr>
        <w:t> </w:t>
      </w:r>
      <w:r>
        <w:rPr/>
        <w:t>embargos</w:t>
      </w:r>
      <w:r>
        <w:rPr>
          <w:spacing w:val="-32"/>
        </w:rPr>
        <w:t> </w:t>
      </w:r>
      <w:r>
        <w:rPr/>
        <w:t>de</w:t>
      </w:r>
      <w:r>
        <w:rPr>
          <w:spacing w:val="-31"/>
        </w:rPr>
        <w:t> </w:t>
      </w:r>
      <w:r>
        <w:rPr/>
        <w:t>declaração.</w:t>
      </w:r>
      <w:r>
        <w:rPr>
          <w:spacing w:val="-32"/>
        </w:rPr>
        <w:t> </w:t>
      </w:r>
      <w:r>
        <w:rPr/>
        <w:t>Foi</w:t>
      </w:r>
      <w:r>
        <w:rPr>
          <w:spacing w:val="-33"/>
        </w:rPr>
        <w:t> </w:t>
      </w:r>
      <w:r>
        <w:rPr/>
        <w:t>julgado</w:t>
      </w:r>
      <w:r>
        <w:rPr>
          <w:spacing w:val="-24"/>
        </w:rPr>
        <w:t> </w:t>
      </w:r>
      <w:r>
        <w:rPr/>
        <w:t>em</w:t>
      </w:r>
      <w:r>
        <w:rPr>
          <w:spacing w:val="-31"/>
        </w:rPr>
        <w:t> </w:t>
      </w:r>
      <w:r>
        <w:rPr/>
        <w:t>08</w:t>
      </w:r>
      <w:r>
        <w:rPr>
          <w:spacing w:val="-32"/>
        </w:rPr>
        <w:t> </w:t>
      </w:r>
      <w:r>
        <w:rPr/>
        <w:t>de</w:t>
      </w:r>
      <w:r>
        <w:rPr>
          <w:spacing w:val="-32"/>
        </w:rPr>
        <w:t> </w:t>
      </w:r>
      <w:r>
        <w:rPr/>
        <w:t>julho de</w:t>
      </w:r>
      <w:r>
        <w:rPr>
          <w:spacing w:val="-22"/>
        </w:rPr>
        <w:t> </w:t>
      </w:r>
      <w:r>
        <w:rPr/>
        <w:t>2019,</w:t>
      </w:r>
      <w:r>
        <w:rPr>
          <w:spacing w:val="-18"/>
        </w:rPr>
        <w:t> </w:t>
      </w:r>
      <w:r>
        <w:rPr/>
        <w:t>prejudicado</w:t>
      </w:r>
      <w:r>
        <w:rPr>
          <w:spacing w:val="-18"/>
        </w:rPr>
        <w:t> </w:t>
      </w:r>
      <w:r>
        <w:rPr/>
        <w:t>o</w:t>
      </w:r>
      <w:r>
        <w:rPr>
          <w:spacing w:val="-18"/>
        </w:rPr>
        <w:t> </w:t>
      </w:r>
      <w:r>
        <w:rPr/>
        <w:t>pleito</w:t>
      </w:r>
      <w:r>
        <w:rPr>
          <w:spacing w:val="-20"/>
        </w:rPr>
        <w:t> </w:t>
      </w:r>
      <w:r>
        <w:rPr/>
        <w:t>formulado</w:t>
      </w:r>
      <w:r>
        <w:rPr>
          <w:spacing w:val="-19"/>
        </w:rPr>
        <w:t> </w:t>
      </w:r>
      <w:r>
        <w:rPr/>
        <w:t>nos</w:t>
      </w:r>
      <w:r>
        <w:rPr>
          <w:spacing w:val="-18"/>
        </w:rPr>
        <w:t> </w:t>
      </w:r>
      <w:r>
        <w:rPr/>
        <w:t>embargos</w:t>
      </w:r>
      <w:r>
        <w:rPr>
          <w:spacing w:val="-17"/>
        </w:rPr>
        <w:t> </w:t>
      </w:r>
      <w:r>
        <w:rPr/>
        <w:t>de</w:t>
      </w:r>
      <w:r>
        <w:rPr>
          <w:spacing w:val="-22"/>
        </w:rPr>
        <w:t> </w:t>
      </w:r>
      <w:r>
        <w:rPr/>
        <w:t>declaração.</w:t>
      </w:r>
    </w:p>
    <w:p>
      <w:pPr>
        <w:pStyle w:val="BodyText"/>
        <w:spacing w:before="9"/>
      </w:pPr>
    </w:p>
    <w:p>
      <w:pPr>
        <w:pStyle w:val="BodyText"/>
        <w:ind w:left="192"/>
        <w:jc w:val="both"/>
      </w:pPr>
      <w:r>
        <w:rPr/>
        <w:t>Até a emissão destas demonstrações, não ocorreram movimentações relevantes sobre o processo em questão.</w:t>
      </w:r>
    </w:p>
    <w:p>
      <w:pPr>
        <w:pStyle w:val="BodyText"/>
        <w:spacing w:before="6"/>
      </w:pPr>
    </w:p>
    <w:p>
      <w:pPr>
        <w:pStyle w:val="Heading3"/>
        <w:numPr>
          <w:ilvl w:val="0"/>
          <w:numId w:val="6"/>
        </w:numPr>
        <w:tabs>
          <w:tab w:pos="973" w:val="left" w:leader="none"/>
          <w:tab w:pos="974" w:val="left" w:leader="none"/>
        </w:tabs>
        <w:spacing w:line="240" w:lineRule="auto" w:before="0" w:after="0"/>
        <w:ind w:left="973" w:right="609" w:hanging="781"/>
        <w:jc w:val="left"/>
      </w:pPr>
      <w:r>
        <w:rPr/>
        <w:t>BASE DE PREPARAÇÃO DAS DEMONSTRAÇÕES CONTÁBEIS E RESUMO DAS PRINCIPAIS PRÁTICAS</w:t>
      </w:r>
      <w:r>
        <w:rPr>
          <w:spacing w:val="-1"/>
        </w:rPr>
        <w:t> </w:t>
      </w:r>
      <w:r>
        <w:rPr/>
        <w:t>CONTÁBEIS</w:t>
      </w:r>
    </w:p>
    <w:p>
      <w:pPr>
        <w:pStyle w:val="ListParagraph"/>
        <w:numPr>
          <w:ilvl w:val="1"/>
          <w:numId w:val="6"/>
        </w:numPr>
        <w:tabs>
          <w:tab w:pos="1045" w:val="left" w:leader="none"/>
          <w:tab w:pos="1046" w:val="left" w:leader="none"/>
        </w:tabs>
        <w:spacing w:line="240" w:lineRule="auto" w:before="242" w:after="0"/>
        <w:ind w:left="1045" w:right="0" w:hanging="854"/>
        <w:jc w:val="left"/>
        <w:rPr>
          <w:rFonts w:ascii="Caladea" w:hAnsi="Caladea"/>
          <w:b/>
          <w:sz w:val="18"/>
        </w:rPr>
      </w:pPr>
      <w:r>
        <w:rPr>
          <w:rFonts w:ascii="Caladea" w:hAnsi="Caladea"/>
          <w:b/>
          <w:sz w:val="22"/>
        </w:rPr>
        <w:t>D</w:t>
      </w:r>
      <w:r>
        <w:rPr>
          <w:rFonts w:ascii="Caladea" w:hAnsi="Caladea"/>
          <w:b/>
          <w:sz w:val="18"/>
        </w:rPr>
        <w:t>ECLARAÇÃO DE</w:t>
      </w:r>
      <w:r>
        <w:rPr>
          <w:rFonts w:ascii="Caladea" w:hAnsi="Caladea"/>
          <w:b/>
          <w:spacing w:val="-2"/>
          <w:sz w:val="18"/>
        </w:rPr>
        <w:t> </w:t>
      </w:r>
      <w:r>
        <w:rPr>
          <w:rFonts w:ascii="Caladea" w:hAnsi="Caladea"/>
          <w:b/>
          <w:sz w:val="22"/>
        </w:rPr>
        <w:t>C</w:t>
      </w:r>
      <w:r>
        <w:rPr>
          <w:rFonts w:ascii="Caladea" w:hAnsi="Caladea"/>
          <w:b/>
          <w:sz w:val="18"/>
        </w:rPr>
        <w:t>ONFORMIDADE</w:t>
      </w:r>
    </w:p>
    <w:p>
      <w:pPr>
        <w:pStyle w:val="BodyText"/>
        <w:spacing w:before="10"/>
        <w:rPr>
          <w:rFonts w:ascii="Caladea"/>
          <w:b/>
          <w:sz w:val="23"/>
        </w:rPr>
      </w:pPr>
    </w:p>
    <w:p>
      <w:pPr>
        <w:pStyle w:val="BodyText"/>
        <w:spacing w:line="242" w:lineRule="auto"/>
        <w:ind w:left="192" w:right="612"/>
        <w:jc w:val="both"/>
      </w:pPr>
      <w:r>
        <w:rPr/>
        <w:t>As</w:t>
      </w:r>
      <w:r>
        <w:rPr>
          <w:spacing w:val="-21"/>
        </w:rPr>
        <w:t> </w:t>
      </w:r>
      <w:r>
        <w:rPr/>
        <w:t>demonstrações</w:t>
      </w:r>
      <w:r>
        <w:rPr>
          <w:spacing w:val="-20"/>
        </w:rPr>
        <w:t> </w:t>
      </w:r>
      <w:r>
        <w:rPr/>
        <w:t>financeiras</w:t>
      </w:r>
      <w:r>
        <w:rPr>
          <w:spacing w:val="-21"/>
        </w:rPr>
        <w:t> </w:t>
      </w:r>
      <w:r>
        <w:rPr/>
        <w:t>individuais</w:t>
      </w:r>
      <w:r>
        <w:rPr>
          <w:spacing w:val="-20"/>
        </w:rPr>
        <w:t> </w:t>
      </w:r>
      <w:r>
        <w:rPr/>
        <w:t>e</w:t>
      </w:r>
      <w:r>
        <w:rPr>
          <w:spacing w:val="-21"/>
        </w:rPr>
        <w:t> </w:t>
      </w:r>
      <w:r>
        <w:rPr/>
        <w:t>consolidadas</w:t>
      </w:r>
      <w:r>
        <w:rPr>
          <w:spacing w:val="-21"/>
        </w:rPr>
        <w:t> </w:t>
      </w:r>
      <w:r>
        <w:rPr/>
        <w:t>foram</w:t>
      </w:r>
      <w:r>
        <w:rPr>
          <w:spacing w:val="-20"/>
        </w:rPr>
        <w:t> </w:t>
      </w:r>
      <w:r>
        <w:rPr/>
        <w:t>preparadas</w:t>
      </w:r>
      <w:r>
        <w:rPr>
          <w:spacing w:val="-19"/>
        </w:rPr>
        <w:t> </w:t>
      </w:r>
      <w:r>
        <w:rPr/>
        <w:t>e</w:t>
      </w:r>
      <w:r>
        <w:rPr>
          <w:spacing w:val="-20"/>
        </w:rPr>
        <w:t> </w:t>
      </w:r>
      <w:r>
        <w:rPr/>
        <w:t>estão</w:t>
      </w:r>
      <w:r>
        <w:rPr>
          <w:spacing w:val="-19"/>
        </w:rPr>
        <w:t> </w:t>
      </w:r>
      <w:r>
        <w:rPr/>
        <w:t>sendo</w:t>
      </w:r>
      <w:r>
        <w:rPr>
          <w:spacing w:val="-20"/>
        </w:rPr>
        <w:t> </w:t>
      </w:r>
      <w:r>
        <w:rPr/>
        <w:t>apresentadas</w:t>
      </w:r>
      <w:r>
        <w:rPr>
          <w:spacing w:val="-21"/>
        </w:rPr>
        <w:t> </w:t>
      </w:r>
      <w:r>
        <w:rPr/>
        <w:t>de</w:t>
      </w:r>
      <w:r>
        <w:rPr>
          <w:spacing w:val="-21"/>
        </w:rPr>
        <w:t> </w:t>
      </w:r>
      <w:r>
        <w:rPr/>
        <w:t>acordo com</w:t>
      </w:r>
      <w:r>
        <w:rPr>
          <w:spacing w:val="-16"/>
        </w:rPr>
        <w:t> </w:t>
      </w:r>
      <w:r>
        <w:rPr/>
        <w:t>as</w:t>
      </w:r>
      <w:r>
        <w:rPr>
          <w:spacing w:val="-16"/>
        </w:rPr>
        <w:t> </w:t>
      </w:r>
      <w:r>
        <w:rPr/>
        <w:t>práticas</w:t>
      </w:r>
      <w:r>
        <w:rPr>
          <w:spacing w:val="-15"/>
        </w:rPr>
        <w:t> </w:t>
      </w:r>
      <w:r>
        <w:rPr/>
        <w:t>contábeis</w:t>
      </w:r>
      <w:r>
        <w:rPr>
          <w:spacing w:val="-16"/>
        </w:rPr>
        <w:t> </w:t>
      </w:r>
      <w:r>
        <w:rPr/>
        <w:t>adotadas</w:t>
      </w:r>
      <w:r>
        <w:rPr>
          <w:spacing w:val="-15"/>
        </w:rPr>
        <w:t> </w:t>
      </w:r>
      <w:r>
        <w:rPr/>
        <w:t>no</w:t>
      </w:r>
      <w:r>
        <w:rPr>
          <w:spacing w:val="-17"/>
        </w:rPr>
        <w:t> </w:t>
      </w:r>
      <w:r>
        <w:rPr/>
        <w:t>Brasil</w:t>
      </w:r>
      <w:r>
        <w:rPr>
          <w:spacing w:val="-15"/>
        </w:rPr>
        <w:t> </w:t>
      </w:r>
      <w:r>
        <w:rPr/>
        <w:t>com</w:t>
      </w:r>
      <w:r>
        <w:rPr>
          <w:spacing w:val="-15"/>
        </w:rPr>
        <w:t> </w:t>
      </w:r>
      <w:r>
        <w:rPr/>
        <w:t>base</w:t>
      </w:r>
      <w:r>
        <w:rPr>
          <w:spacing w:val="-15"/>
        </w:rPr>
        <w:t> </w:t>
      </w:r>
      <w:r>
        <w:rPr/>
        <w:t>nas</w:t>
      </w:r>
      <w:r>
        <w:rPr>
          <w:spacing w:val="-16"/>
        </w:rPr>
        <w:t> </w:t>
      </w:r>
      <w:r>
        <w:rPr/>
        <w:t>disposições</w:t>
      </w:r>
      <w:r>
        <w:rPr>
          <w:spacing w:val="-15"/>
        </w:rPr>
        <w:t> </w:t>
      </w:r>
      <w:r>
        <w:rPr/>
        <w:t>contidas</w:t>
      </w:r>
      <w:r>
        <w:rPr>
          <w:spacing w:val="-16"/>
        </w:rPr>
        <w:t> </w:t>
      </w:r>
      <w:r>
        <w:rPr/>
        <w:t>na</w:t>
      </w:r>
      <w:r>
        <w:rPr>
          <w:spacing w:val="-15"/>
        </w:rPr>
        <w:t> </w:t>
      </w:r>
      <w:r>
        <w:rPr/>
        <w:t>Lei</w:t>
      </w:r>
      <w:r>
        <w:rPr>
          <w:spacing w:val="-17"/>
        </w:rPr>
        <w:t> </w:t>
      </w:r>
      <w:r>
        <w:rPr/>
        <w:t>das</w:t>
      </w:r>
      <w:r>
        <w:rPr>
          <w:spacing w:val="-15"/>
        </w:rPr>
        <w:t> </w:t>
      </w:r>
      <w:r>
        <w:rPr/>
        <w:t>Sociedades</w:t>
      </w:r>
      <w:r>
        <w:rPr>
          <w:spacing w:val="-16"/>
        </w:rPr>
        <w:t> </w:t>
      </w:r>
      <w:r>
        <w:rPr/>
        <w:t>por</w:t>
      </w:r>
      <w:r>
        <w:rPr>
          <w:spacing w:val="-17"/>
        </w:rPr>
        <w:t> </w:t>
      </w:r>
      <w:r>
        <w:rPr/>
        <w:t>Ações, </w:t>
      </w:r>
      <w:r>
        <w:rPr>
          <w:w w:val="95"/>
        </w:rPr>
        <w:t>pronunciamentos,</w:t>
      </w:r>
      <w:r>
        <w:rPr>
          <w:spacing w:val="-12"/>
          <w:w w:val="95"/>
        </w:rPr>
        <w:t> </w:t>
      </w:r>
      <w:r>
        <w:rPr>
          <w:w w:val="95"/>
        </w:rPr>
        <w:t>orientações</w:t>
      </w:r>
      <w:r>
        <w:rPr>
          <w:spacing w:val="-12"/>
          <w:w w:val="95"/>
        </w:rPr>
        <w:t> </w:t>
      </w:r>
      <w:r>
        <w:rPr>
          <w:w w:val="95"/>
        </w:rPr>
        <w:t>e</w:t>
      </w:r>
      <w:r>
        <w:rPr>
          <w:spacing w:val="-12"/>
          <w:w w:val="95"/>
        </w:rPr>
        <w:t> </w:t>
      </w:r>
      <w:r>
        <w:rPr>
          <w:w w:val="95"/>
        </w:rPr>
        <w:t>interpretações</w:t>
      </w:r>
      <w:r>
        <w:rPr>
          <w:spacing w:val="-12"/>
          <w:w w:val="95"/>
        </w:rPr>
        <w:t> </w:t>
      </w:r>
      <w:r>
        <w:rPr>
          <w:w w:val="95"/>
        </w:rPr>
        <w:t>emitidas</w:t>
      </w:r>
      <w:r>
        <w:rPr>
          <w:spacing w:val="-11"/>
          <w:w w:val="95"/>
        </w:rPr>
        <w:t> </w:t>
      </w:r>
      <w:r>
        <w:rPr>
          <w:w w:val="95"/>
        </w:rPr>
        <w:t>pelo</w:t>
      </w:r>
      <w:r>
        <w:rPr>
          <w:spacing w:val="-13"/>
          <w:w w:val="95"/>
        </w:rPr>
        <w:t> </w:t>
      </w:r>
      <w:r>
        <w:rPr>
          <w:w w:val="95"/>
        </w:rPr>
        <w:t>Comitê</w:t>
      </w:r>
      <w:r>
        <w:rPr>
          <w:spacing w:val="-14"/>
          <w:w w:val="95"/>
        </w:rPr>
        <w:t> </w:t>
      </w:r>
      <w:r>
        <w:rPr>
          <w:w w:val="95"/>
        </w:rPr>
        <w:t>de</w:t>
      </w:r>
      <w:r>
        <w:rPr>
          <w:spacing w:val="-14"/>
          <w:w w:val="95"/>
        </w:rPr>
        <w:t> </w:t>
      </w:r>
      <w:r>
        <w:rPr>
          <w:w w:val="95"/>
        </w:rPr>
        <w:t>Pronunciamentos</w:t>
      </w:r>
      <w:r>
        <w:rPr>
          <w:spacing w:val="-13"/>
          <w:w w:val="95"/>
        </w:rPr>
        <w:t> </w:t>
      </w:r>
      <w:r>
        <w:rPr>
          <w:w w:val="95"/>
        </w:rPr>
        <w:t>Contábeis,</w:t>
      </w:r>
      <w:r>
        <w:rPr>
          <w:spacing w:val="-12"/>
          <w:w w:val="95"/>
        </w:rPr>
        <w:t> </w:t>
      </w:r>
      <w:r>
        <w:rPr>
          <w:w w:val="95"/>
        </w:rPr>
        <w:t>aprovadas</w:t>
      </w:r>
      <w:r>
        <w:rPr>
          <w:spacing w:val="-12"/>
          <w:w w:val="95"/>
        </w:rPr>
        <w:t> </w:t>
      </w:r>
      <w:r>
        <w:rPr>
          <w:w w:val="95"/>
        </w:rPr>
        <w:t>pela </w:t>
      </w:r>
      <w:r>
        <w:rPr/>
        <w:t>Comissão</w:t>
      </w:r>
      <w:r>
        <w:rPr>
          <w:spacing w:val="-7"/>
        </w:rPr>
        <w:t> </w:t>
      </w:r>
      <w:r>
        <w:rPr/>
        <w:t>de</w:t>
      </w:r>
      <w:r>
        <w:rPr>
          <w:spacing w:val="-7"/>
        </w:rPr>
        <w:t> </w:t>
      </w:r>
      <w:r>
        <w:rPr/>
        <w:t>Valores</w:t>
      </w:r>
      <w:r>
        <w:rPr>
          <w:spacing w:val="-6"/>
        </w:rPr>
        <w:t> </w:t>
      </w:r>
      <w:r>
        <w:rPr/>
        <w:t>Mobiliários</w:t>
      </w:r>
      <w:r>
        <w:rPr>
          <w:spacing w:val="-3"/>
        </w:rPr>
        <w:t> </w:t>
      </w:r>
      <w:r>
        <w:rPr/>
        <w:t>-</w:t>
      </w:r>
      <w:r>
        <w:rPr>
          <w:spacing w:val="-5"/>
        </w:rPr>
        <w:t> </w:t>
      </w:r>
      <w:r>
        <w:rPr/>
        <w:t>CVM,</w:t>
      </w:r>
      <w:r>
        <w:rPr>
          <w:spacing w:val="-4"/>
        </w:rPr>
        <w:t> </w:t>
      </w:r>
      <w:r>
        <w:rPr/>
        <w:t>além</w:t>
      </w:r>
      <w:r>
        <w:rPr>
          <w:spacing w:val="-5"/>
        </w:rPr>
        <w:t> </w:t>
      </w:r>
      <w:r>
        <w:rPr/>
        <w:t>das</w:t>
      </w:r>
      <w:r>
        <w:rPr>
          <w:spacing w:val="-6"/>
        </w:rPr>
        <w:t> </w:t>
      </w:r>
      <w:r>
        <w:rPr/>
        <w:t>próprias</w:t>
      </w:r>
      <w:r>
        <w:rPr>
          <w:spacing w:val="-6"/>
        </w:rPr>
        <w:t> </w:t>
      </w:r>
      <w:r>
        <w:rPr/>
        <w:t>normas</w:t>
      </w:r>
      <w:r>
        <w:rPr>
          <w:spacing w:val="-4"/>
        </w:rPr>
        <w:t> </w:t>
      </w:r>
      <w:r>
        <w:rPr/>
        <w:t>expedidas</w:t>
      </w:r>
      <w:r>
        <w:rPr>
          <w:spacing w:val="-6"/>
        </w:rPr>
        <w:t> </w:t>
      </w:r>
      <w:r>
        <w:rPr/>
        <w:t>CVM</w:t>
      </w:r>
      <w:r>
        <w:rPr>
          <w:spacing w:val="-4"/>
        </w:rPr>
        <w:t> </w:t>
      </w:r>
      <w:r>
        <w:rPr/>
        <w:t>e</w:t>
      </w:r>
      <w:r>
        <w:rPr>
          <w:spacing w:val="-6"/>
        </w:rPr>
        <w:t> </w:t>
      </w:r>
      <w:r>
        <w:rPr/>
        <w:t>as</w:t>
      </w:r>
      <w:r>
        <w:rPr>
          <w:spacing w:val="-6"/>
        </w:rPr>
        <w:t> </w:t>
      </w:r>
      <w:r>
        <w:rPr/>
        <w:t>normas</w:t>
      </w:r>
      <w:r>
        <w:rPr>
          <w:spacing w:val="-4"/>
        </w:rPr>
        <w:t> </w:t>
      </w:r>
      <w:r>
        <w:rPr/>
        <w:t>internacionais</w:t>
      </w:r>
      <w:r>
        <w:rPr>
          <w:spacing w:val="-3"/>
        </w:rPr>
        <w:t> </w:t>
      </w:r>
      <w:r>
        <w:rPr/>
        <w:t>de relatório financeiro (</w:t>
      </w:r>
      <w:r>
        <w:rPr>
          <w:rFonts w:ascii="Caladea" w:hAnsi="Caladea"/>
          <w:i/>
        </w:rPr>
        <w:t>International Financial Reporting Standards </w:t>
      </w:r>
      <w:r>
        <w:rPr/>
        <w:t>(“IFRS”), emitidas pelo </w:t>
      </w:r>
      <w:r>
        <w:rPr>
          <w:rFonts w:ascii="Caladea" w:hAnsi="Caladea"/>
          <w:i/>
        </w:rPr>
        <w:t>International Accounting </w:t>
      </w:r>
      <w:r>
        <w:rPr>
          <w:rFonts w:ascii="Caladea" w:hAnsi="Caladea"/>
          <w:i/>
        </w:rPr>
        <w:t>Standards Board</w:t>
      </w:r>
      <w:r>
        <w:rPr>
          <w:rFonts w:ascii="Caladea" w:hAnsi="Caladea"/>
          <w:i/>
          <w:spacing w:val="1"/>
        </w:rPr>
        <w:t> </w:t>
      </w:r>
      <w:r>
        <w:rPr/>
        <w:t>(IASB).</w:t>
      </w:r>
    </w:p>
    <w:p>
      <w:pPr>
        <w:pStyle w:val="BodyText"/>
        <w:spacing w:line="242" w:lineRule="auto" w:before="117"/>
        <w:ind w:left="192" w:right="608"/>
        <w:jc w:val="both"/>
      </w:pPr>
      <w:r>
        <w:rPr/>
        <w:t>As</w:t>
      </w:r>
      <w:r>
        <w:rPr>
          <w:spacing w:val="-43"/>
        </w:rPr>
        <w:t> </w:t>
      </w:r>
      <w:r>
        <w:rPr/>
        <w:t>demonstrações</w:t>
      </w:r>
      <w:r>
        <w:rPr>
          <w:spacing w:val="-42"/>
        </w:rPr>
        <w:t> </w:t>
      </w:r>
      <w:r>
        <w:rPr/>
        <w:t>financeiras</w:t>
      </w:r>
      <w:r>
        <w:rPr>
          <w:spacing w:val="-41"/>
        </w:rPr>
        <w:t> </w:t>
      </w:r>
      <w:r>
        <w:rPr/>
        <w:t>são</w:t>
      </w:r>
      <w:r>
        <w:rPr>
          <w:spacing w:val="-42"/>
        </w:rPr>
        <w:t> </w:t>
      </w:r>
      <w:r>
        <w:rPr/>
        <w:t>apresentadas</w:t>
      </w:r>
      <w:r>
        <w:rPr>
          <w:spacing w:val="-42"/>
        </w:rPr>
        <w:t> </w:t>
      </w:r>
      <w:r>
        <w:rPr/>
        <w:t>em</w:t>
      </w:r>
      <w:r>
        <w:rPr>
          <w:spacing w:val="-41"/>
        </w:rPr>
        <w:t> </w:t>
      </w:r>
      <w:r>
        <w:rPr/>
        <w:t>milhares</w:t>
      </w:r>
      <w:r>
        <w:rPr>
          <w:spacing w:val="-42"/>
        </w:rPr>
        <w:t> </w:t>
      </w:r>
      <w:r>
        <w:rPr/>
        <w:t>de</w:t>
      </w:r>
      <w:r>
        <w:rPr>
          <w:spacing w:val="-43"/>
        </w:rPr>
        <w:t> </w:t>
      </w:r>
      <w:r>
        <w:rPr/>
        <w:t>reais</w:t>
      </w:r>
      <w:r>
        <w:rPr>
          <w:spacing w:val="-42"/>
        </w:rPr>
        <w:t> </w:t>
      </w:r>
      <w:r>
        <w:rPr/>
        <w:t>(R$)</w:t>
      </w:r>
      <w:r>
        <w:rPr>
          <w:spacing w:val="-42"/>
        </w:rPr>
        <w:t> </w:t>
      </w:r>
      <w:r>
        <w:rPr/>
        <w:t>e</w:t>
      </w:r>
      <w:r>
        <w:rPr>
          <w:spacing w:val="-42"/>
        </w:rPr>
        <w:t> </w:t>
      </w:r>
      <w:r>
        <w:rPr/>
        <w:t>com</w:t>
      </w:r>
      <w:r>
        <w:rPr>
          <w:spacing w:val="-41"/>
        </w:rPr>
        <w:t> </w:t>
      </w:r>
      <w:r>
        <w:rPr/>
        <w:t>base</w:t>
      </w:r>
      <w:r>
        <w:rPr>
          <w:spacing w:val="-42"/>
        </w:rPr>
        <w:t> </w:t>
      </w:r>
      <w:r>
        <w:rPr/>
        <w:t>no</w:t>
      </w:r>
      <w:r>
        <w:rPr>
          <w:spacing w:val="-42"/>
        </w:rPr>
        <w:t> </w:t>
      </w:r>
      <w:r>
        <w:rPr/>
        <w:t>custo</w:t>
      </w:r>
      <w:r>
        <w:rPr>
          <w:spacing w:val="-43"/>
        </w:rPr>
        <w:t> </w:t>
      </w:r>
      <w:r>
        <w:rPr/>
        <w:t>histórico,</w:t>
      </w:r>
      <w:r>
        <w:rPr>
          <w:spacing w:val="-42"/>
        </w:rPr>
        <w:t> </w:t>
      </w:r>
      <w:r>
        <w:rPr/>
        <w:t>com</w:t>
      </w:r>
      <w:r>
        <w:rPr>
          <w:spacing w:val="-41"/>
        </w:rPr>
        <w:t> </w:t>
      </w:r>
      <w:r>
        <w:rPr/>
        <w:t>exceção dos assuntos tratados no CPC 21 (IAS 34), que requer o uso de certas estimativas contábeis por parte da Administração.</w:t>
      </w:r>
      <w:r>
        <w:rPr>
          <w:spacing w:val="-22"/>
        </w:rPr>
        <w:t> </w:t>
      </w:r>
      <w:r>
        <w:rPr/>
        <w:t>Os</w:t>
      </w:r>
      <w:r>
        <w:rPr>
          <w:spacing w:val="-20"/>
        </w:rPr>
        <w:t> </w:t>
      </w:r>
      <w:r>
        <w:rPr/>
        <w:t>seguintes</w:t>
      </w:r>
      <w:r>
        <w:rPr>
          <w:spacing w:val="-16"/>
        </w:rPr>
        <w:t> </w:t>
      </w:r>
      <w:r>
        <w:rPr/>
        <w:t>ativos</w:t>
      </w:r>
      <w:r>
        <w:rPr>
          <w:spacing w:val="-21"/>
        </w:rPr>
        <w:t> </w:t>
      </w:r>
      <w:r>
        <w:rPr/>
        <w:t>e</w:t>
      </w:r>
      <w:r>
        <w:rPr>
          <w:spacing w:val="-19"/>
        </w:rPr>
        <w:t> </w:t>
      </w:r>
      <w:r>
        <w:rPr/>
        <w:t>passivos</w:t>
      </w:r>
      <w:r>
        <w:rPr>
          <w:spacing w:val="-21"/>
        </w:rPr>
        <w:t> </w:t>
      </w:r>
      <w:r>
        <w:rPr/>
        <w:t>financeiros</w:t>
      </w:r>
      <w:r>
        <w:rPr>
          <w:spacing w:val="-18"/>
        </w:rPr>
        <w:t> </w:t>
      </w:r>
      <w:r>
        <w:rPr/>
        <w:t>são</w:t>
      </w:r>
      <w:r>
        <w:rPr>
          <w:spacing w:val="-21"/>
        </w:rPr>
        <w:t> </w:t>
      </w:r>
      <w:r>
        <w:rPr/>
        <w:t>mensurados</w:t>
      </w:r>
      <w:r>
        <w:rPr>
          <w:spacing w:val="-19"/>
        </w:rPr>
        <w:t> </w:t>
      </w:r>
      <w:r>
        <w:rPr/>
        <w:t>a</w:t>
      </w:r>
      <w:r>
        <w:rPr>
          <w:spacing w:val="-21"/>
        </w:rPr>
        <w:t> </w:t>
      </w:r>
      <w:r>
        <w:rPr/>
        <w:t>valor</w:t>
      </w:r>
      <w:r>
        <w:rPr>
          <w:spacing w:val="-14"/>
        </w:rPr>
        <w:t> </w:t>
      </w:r>
      <w:r>
        <w:rPr/>
        <w:t>justo:</w:t>
      </w:r>
    </w:p>
    <w:p>
      <w:pPr>
        <w:pStyle w:val="ListParagraph"/>
        <w:numPr>
          <w:ilvl w:val="0"/>
          <w:numId w:val="8"/>
        </w:numPr>
        <w:tabs>
          <w:tab w:pos="914" w:val="left" w:leader="none"/>
        </w:tabs>
        <w:spacing w:line="240" w:lineRule="auto" w:before="116" w:after="0"/>
        <w:ind w:left="913" w:right="0" w:hanging="361"/>
        <w:jc w:val="both"/>
        <w:rPr>
          <w:sz w:val="20"/>
        </w:rPr>
      </w:pPr>
      <w:r>
        <w:rPr>
          <w:sz w:val="20"/>
        </w:rPr>
        <w:t>Os</w:t>
      </w:r>
      <w:r>
        <w:rPr>
          <w:spacing w:val="-22"/>
          <w:sz w:val="20"/>
        </w:rPr>
        <w:t> </w:t>
      </w:r>
      <w:r>
        <w:rPr>
          <w:sz w:val="20"/>
        </w:rPr>
        <w:t>instrumentos</w:t>
      </w:r>
      <w:r>
        <w:rPr>
          <w:spacing w:val="-22"/>
          <w:sz w:val="20"/>
        </w:rPr>
        <w:t> </w:t>
      </w:r>
      <w:r>
        <w:rPr>
          <w:sz w:val="20"/>
        </w:rPr>
        <w:t>financeiros</w:t>
      </w:r>
      <w:r>
        <w:rPr>
          <w:spacing w:val="-19"/>
          <w:sz w:val="20"/>
        </w:rPr>
        <w:t> </w:t>
      </w:r>
      <w:r>
        <w:rPr>
          <w:sz w:val="20"/>
        </w:rPr>
        <w:t>não</w:t>
      </w:r>
      <w:r>
        <w:rPr>
          <w:spacing w:val="-23"/>
          <w:sz w:val="20"/>
        </w:rPr>
        <w:t> </w:t>
      </w:r>
      <w:r>
        <w:rPr>
          <w:sz w:val="20"/>
        </w:rPr>
        <w:t>derivativos</w:t>
      </w:r>
      <w:r>
        <w:rPr>
          <w:spacing w:val="-21"/>
          <w:sz w:val="20"/>
        </w:rPr>
        <w:t> </w:t>
      </w:r>
      <w:r>
        <w:rPr>
          <w:sz w:val="20"/>
        </w:rPr>
        <w:t>mensurados</w:t>
      </w:r>
      <w:r>
        <w:rPr>
          <w:spacing w:val="-20"/>
          <w:sz w:val="20"/>
        </w:rPr>
        <w:t> </w:t>
      </w:r>
      <w:r>
        <w:rPr>
          <w:sz w:val="20"/>
        </w:rPr>
        <w:t>pelo</w:t>
      </w:r>
      <w:r>
        <w:rPr>
          <w:spacing w:val="-20"/>
          <w:sz w:val="20"/>
        </w:rPr>
        <w:t> </w:t>
      </w:r>
      <w:r>
        <w:rPr>
          <w:sz w:val="20"/>
        </w:rPr>
        <w:t>valor</w:t>
      </w:r>
      <w:r>
        <w:rPr>
          <w:spacing w:val="-23"/>
          <w:sz w:val="20"/>
        </w:rPr>
        <w:t> </w:t>
      </w:r>
      <w:r>
        <w:rPr>
          <w:sz w:val="20"/>
        </w:rPr>
        <w:t>justo</w:t>
      </w:r>
      <w:r>
        <w:rPr>
          <w:spacing w:val="-20"/>
          <w:sz w:val="20"/>
        </w:rPr>
        <w:t> </w:t>
      </w:r>
      <w:r>
        <w:rPr>
          <w:sz w:val="20"/>
        </w:rPr>
        <w:t>por</w:t>
      </w:r>
      <w:r>
        <w:rPr>
          <w:spacing w:val="-23"/>
          <w:sz w:val="20"/>
        </w:rPr>
        <w:t> </w:t>
      </w:r>
      <w:r>
        <w:rPr>
          <w:sz w:val="20"/>
        </w:rPr>
        <w:t>meio</w:t>
      </w:r>
      <w:r>
        <w:rPr>
          <w:spacing w:val="-22"/>
          <w:sz w:val="20"/>
        </w:rPr>
        <w:t> </w:t>
      </w:r>
      <w:r>
        <w:rPr>
          <w:sz w:val="20"/>
        </w:rPr>
        <w:t>do</w:t>
      </w:r>
      <w:r>
        <w:rPr>
          <w:spacing w:val="-21"/>
          <w:sz w:val="20"/>
        </w:rPr>
        <w:t> </w:t>
      </w:r>
      <w:r>
        <w:rPr>
          <w:sz w:val="20"/>
        </w:rPr>
        <w:t>resultado;</w:t>
      </w:r>
    </w:p>
    <w:p>
      <w:pPr>
        <w:pStyle w:val="ListParagraph"/>
        <w:numPr>
          <w:ilvl w:val="0"/>
          <w:numId w:val="8"/>
        </w:numPr>
        <w:tabs>
          <w:tab w:pos="914" w:val="left" w:leader="none"/>
        </w:tabs>
        <w:spacing w:line="240" w:lineRule="auto" w:before="156" w:after="0"/>
        <w:ind w:left="913" w:right="0" w:hanging="361"/>
        <w:jc w:val="both"/>
        <w:rPr>
          <w:sz w:val="20"/>
        </w:rPr>
      </w:pPr>
      <w:r>
        <w:rPr>
          <w:sz w:val="20"/>
        </w:rPr>
        <w:t>Ativo</w:t>
      </w:r>
      <w:r>
        <w:rPr>
          <w:spacing w:val="-19"/>
          <w:sz w:val="20"/>
        </w:rPr>
        <w:t> </w:t>
      </w:r>
      <w:r>
        <w:rPr>
          <w:sz w:val="20"/>
        </w:rPr>
        <w:t>financeiro</w:t>
      </w:r>
      <w:r>
        <w:rPr>
          <w:spacing w:val="-16"/>
          <w:sz w:val="20"/>
        </w:rPr>
        <w:t> </w:t>
      </w:r>
      <w:r>
        <w:rPr>
          <w:sz w:val="20"/>
        </w:rPr>
        <w:t>indenizável;</w:t>
      </w:r>
      <w:r>
        <w:rPr>
          <w:spacing w:val="-16"/>
          <w:sz w:val="20"/>
        </w:rPr>
        <w:t> </w:t>
      </w:r>
      <w:r>
        <w:rPr>
          <w:sz w:val="20"/>
        </w:rPr>
        <w:t>e</w:t>
      </w:r>
    </w:p>
    <w:p>
      <w:pPr>
        <w:pStyle w:val="ListParagraph"/>
        <w:numPr>
          <w:ilvl w:val="0"/>
          <w:numId w:val="8"/>
        </w:numPr>
        <w:tabs>
          <w:tab w:pos="914" w:val="left" w:leader="none"/>
        </w:tabs>
        <w:spacing w:line="240" w:lineRule="auto" w:before="155" w:after="0"/>
        <w:ind w:left="913" w:right="0" w:hanging="361"/>
        <w:jc w:val="both"/>
        <w:rPr>
          <w:sz w:val="20"/>
        </w:rPr>
      </w:pPr>
      <w:r>
        <w:rPr>
          <w:sz w:val="20"/>
        </w:rPr>
        <w:t>O</w:t>
      </w:r>
      <w:r>
        <w:rPr>
          <w:spacing w:val="-20"/>
          <w:sz w:val="20"/>
        </w:rPr>
        <w:t> </w:t>
      </w:r>
      <w:r>
        <w:rPr>
          <w:sz w:val="20"/>
        </w:rPr>
        <w:t>passivo</w:t>
      </w:r>
      <w:r>
        <w:rPr>
          <w:spacing w:val="-18"/>
          <w:sz w:val="20"/>
        </w:rPr>
        <w:t> </w:t>
      </w:r>
      <w:r>
        <w:rPr>
          <w:sz w:val="20"/>
        </w:rPr>
        <w:t>atuarial</w:t>
      </w:r>
      <w:r>
        <w:rPr>
          <w:spacing w:val="-18"/>
          <w:sz w:val="20"/>
        </w:rPr>
        <w:t> </w:t>
      </w:r>
      <w:r>
        <w:rPr>
          <w:sz w:val="20"/>
        </w:rPr>
        <w:t>dos</w:t>
      </w:r>
      <w:r>
        <w:rPr>
          <w:spacing w:val="-19"/>
          <w:sz w:val="20"/>
        </w:rPr>
        <w:t> </w:t>
      </w:r>
      <w:r>
        <w:rPr>
          <w:sz w:val="20"/>
        </w:rPr>
        <w:t>planos</w:t>
      </w:r>
      <w:r>
        <w:rPr>
          <w:spacing w:val="-18"/>
          <w:sz w:val="20"/>
        </w:rPr>
        <w:t> </w:t>
      </w:r>
      <w:r>
        <w:rPr>
          <w:sz w:val="20"/>
        </w:rPr>
        <w:t>de</w:t>
      </w:r>
      <w:r>
        <w:rPr>
          <w:spacing w:val="-19"/>
          <w:sz w:val="20"/>
        </w:rPr>
        <w:t> </w:t>
      </w:r>
      <w:r>
        <w:rPr>
          <w:sz w:val="20"/>
        </w:rPr>
        <w:t>benefício</w:t>
      </w:r>
      <w:r>
        <w:rPr>
          <w:spacing w:val="-16"/>
          <w:sz w:val="20"/>
        </w:rPr>
        <w:t> </w:t>
      </w:r>
      <w:r>
        <w:rPr>
          <w:sz w:val="20"/>
        </w:rPr>
        <w:t>definido.</w:t>
      </w:r>
    </w:p>
    <w:p>
      <w:pPr>
        <w:pStyle w:val="BodyText"/>
        <w:spacing w:line="242" w:lineRule="auto" w:before="159"/>
        <w:ind w:left="192" w:right="612"/>
        <w:jc w:val="both"/>
      </w:pPr>
      <w:r>
        <w:rPr/>
        <w:t>Todas</w:t>
      </w:r>
      <w:r>
        <w:rPr>
          <w:spacing w:val="-39"/>
        </w:rPr>
        <w:t> </w:t>
      </w:r>
      <w:r>
        <w:rPr/>
        <w:t>as</w:t>
      </w:r>
      <w:r>
        <w:rPr>
          <w:spacing w:val="-39"/>
        </w:rPr>
        <w:t> </w:t>
      </w:r>
      <w:r>
        <w:rPr/>
        <w:t>informações</w:t>
      </w:r>
      <w:r>
        <w:rPr>
          <w:spacing w:val="-37"/>
        </w:rPr>
        <w:t> </w:t>
      </w:r>
      <w:r>
        <w:rPr/>
        <w:t>relevantes</w:t>
      </w:r>
      <w:r>
        <w:rPr>
          <w:spacing w:val="-38"/>
        </w:rPr>
        <w:t> </w:t>
      </w:r>
      <w:r>
        <w:rPr/>
        <w:t>próprias</w:t>
      </w:r>
      <w:r>
        <w:rPr>
          <w:spacing w:val="-39"/>
        </w:rPr>
        <w:t> </w:t>
      </w:r>
      <w:r>
        <w:rPr/>
        <w:t>das</w:t>
      </w:r>
      <w:r>
        <w:rPr>
          <w:spacing w:val="-37"/>
        </w:rPr>
        <w:t> </w:t>
      </w:r>
      <w:r>
        <w:rPr/>
        <w:t>demonstrações</w:t>
      </w:r>
      <w:r>
        <w:rPr>
          <w:spacing w:val="-39"/>
        </w:rPr>
        <w:t> </w:t>
      </w:r>
      <w:r>
        <w:rPr/>
        <w:t>contábeis,</w:t>
      </w:r>
      <w:r>
        <w:rPr>
          <w:spacing w:val="-38"/>
        </w:rPr>
        <w:t> </w:t>
      </w:r>
      <w:r>
        <w:rPr/>
        <w:t>e</w:t>
      </w:r>
      <w:r>
        <w:rPr>
          <w:spacing w:val="-39"/>
        </w:rPr>
        <w:t> </w:t>
      </w:r>
      <w:r>
        <w:rPr/>
        <w:t>somente</w:t>
      </w:r>
      <w:r>
        <w:rPr>
          <w:spacing w:val="-39"/>
        </w:rPr>
        <w:t> </w:t>
      </w:r>
      <w:r>
        <w:rPr/>
        <w:t>elas,</w:t>
      </w:r>
      <w:r>
        <w:rPr>
          <w:spacing w:val="-39"/>
        </w:rPr>
        <w:t> </w:t>
      </w:r>
      <w:r>
        <w:rPr/>
        <w:t>estão</w:t>
      </w:r>
      <w:r>
        <w:rPr>
          <w:spacing w:val="-38"/>
        </w:rPr>
        <w:t> </w:t>
      </w:r>
      <w:r>
        <w:rPr/>
        <w:t>sendo</w:t>
      </w:r>
      <w:r>
        <w:rPr>
          <w:spacing w:val="-38"/>
        </w:rPr>
        <w:t> </w:t>
      </w:r>
      <w:r>
        <w:rPr/>
        <w:t>evidenciadas</w:t>
      </w:r>
      <w:r>
        <w:rPr>
          <w:spacing w:val="-39"/>
        </w:rPr>
        <w:t> </w:t>
      </w:r>
      <w:r>
        <w:rPr/>
        <w:t>e correspondem</w:t>
      </w:r>
      <w:r>
        <w:rPr>
          <w:spacing w:val="-20"/>
        </w:rPr>
        <w:t> </w:t>
      </w:r>
      <w:r>
        <w:rPr/>
        <w:t>às</w:t>
      </w:r>
      <w:r>
        <w:rPr>
          <w:spacing w:val="-19"/>
        </w:rPr>
        <w:t> </w:t>
      </w:r>
      <w:r>
        <w:rPr/>
        <w:t>utilizadas</w:t>
      </w:r>
      <w:r>
        <w:rPr>
          <w:spacing w:val="-17"/>
        </w:rPr>
        <w:t> </w:t>
      </w:r>
      <w:r>
        <w:rPr/>
        <w:t>para</w:t>
      </w:r>
      <w:r>
        <w:rPr>
          <w:spacing w:val="-19"/>
        </w:rPr>
        <w:t> </w:t>
      </w:r>
      <w:r>
        <w:rPr/>
        <w:t>fins</w:t>
      </w:r>
      <w:r>
        <w:rPr>
          <w:spacing w:val="-16"/>
        </w:rPr>
        <w:t> </w:t>
      </w:r>
      <w:r>
        <w:rPr/>
        <w:t>da</w:t>
      </w:r>
      <w:r>
        <w:rPr>
          <w:spacing w:val="-19"/>
        </w:rPr>
        <w:t> </w:t>
      </w:r>
      <w:r>
        <w:rPr/>
        <w:t>gestão</w:t>
      </w:r>
      <w:r>
        <w:rPr>
          <w:spacing w:val="-19"/>
        </w:rPr>
        <w:t> </w:t>
      </w:r>
      <w:r>
        <w:rPr/>
        <w:t>administrativa.</w:t>
      </w:r>
    </w:p>
    <w:p>
      <w:pPr>
        <w:pStyle w:val="BodyText"/>
        <w:spacing w:line="242" w:lineRule="auto" w:before="119"/>
        <w:ind w:left="192" w:right="619"/>
        <w:jc w:val="both"/>
      </w:pPr>
      <w:r>
        <w:rPr/>
        <w:t>A</w:t>
      </w:r>
      <w:r>
        <w:rPr>
          <w:spacing w:val="-17"/>
        </w:rPr>
        <w:t> </w:t>
      </w:r>
      <w:r>
        <w:rPr/>
        <w:t>emissão</w:t>
      </w:r>
      <w:r>
        <w:rPr>
          <w:spacing w:val="-17"/>
        </w:rPr>
        <w:t> </w:t>
      </w:r>
      <w:r>
        <w:rPr/>
        <w:t>dessas</w:t>
      </w:r>
      <w:r>
        <w:rPr>
          <w:spacing w:val="-17"/>
        </w:rPr>
        <w:t> </w:t>
      </w:r>
      <w:r>
        <w:rPr/>
        <w:t>demonstrações</w:t>
      </w:r>
      <w:r>
        <w:rPr>
          <w:spacing w:val="-17"/>
        </w:rPr>
        <w:t> </w:t>
      </w:r>
      <w:r>
        <w:rPr/>
        <w:t>financeiras</w:t>
      </w:r>
      <w:r>
        <w:rPr>
          <w:spacing w:val="-16"/>
        </w:rPr>
        <w:t> </w:t>
      </w:r>
      <w:r>
        <w:rPr/>
        <w:t>individuais</w:t>
      </w:r>
      <w:r>
        <w:rPr>
          <w:spacing w:val="-17"/>
        </w:rPr>
        <w:t> </w:t>
      </w:r>
      <w:r>
        <w:rPr/>
        <w:t>e</w:t>
      </w:r>
      <w:r>
        <w:rPr>
          <w:spacing w:val="-18"/>
        </w:rPr>
        <w:t> </w:t>
      </w:r>
      <w:r>
        <w:rPr/>
        <w:t>consolidadas</w:t>
      </w:r>
      <w:r>
        <w:rPr>
          <w:spacing w:val="-17"/>
        </w:rPr>
        <w:t> </w:t>
      </w:r>
      <w:r>
        <w:rPr/>
        <w:t>do</w:t>
      </w:r>
      <w:r>
        <w:rPr>
          <w:spacing w:val="-16"/>
        </w:rPr>
        <w:t> </w:t>
      </w:r>
      <w:r>
        <w:rPr/>
        <w:t>Grupo</w:t>
      </w:r>
      <w:r>
        <w:rPr>
          <w:spacing w:val="-17"/>
        </w:rPr>
        <w:t> </w:t>
      </w:r>
      <w:r>
        <w:rPr/>
        <w:t>foi</w:t>
      </w:r>
      <w:r>
        <w:rPr>
          <w:spacing w:val="-17"/>
        </w:rPr>
        <w:t> </w:t>
      </w:r>
      <w:r>
        <w:rPr/>
        <w:t>autorizada</w:t>
      </w:r>
      <w:r>
        <w:rPr>
          <w:spacing w:val="-17"/>
        </w:rPr>
        <w:t> </w:t>
      </w:r>
      <w:r>
        <w:rPr/>
        <w:t>pelo</w:t>
      </w:r>
      <w:r>
        <w:rPr>
          <w:spacing w:val="-17"/>
        </w:rPr>
        <w:t> </w:t>
      </w:r>
      <w:r>
        <w:rPr/>
        <w:t>Conselho</w:t>
      </w:r>
      <w:r>
        <w:rPr>
          <w:spacing w:val="-16"/>
        </w:rPr>
        <w:t> </w:t>
      </w:r>
      <w:r>
        <w:rPr/>
        <w:t>de Administração</w:t>
      </w:r>
      <w:r>
        <w:rPr>
          <w:spacing w:val="-18"/>
        </w:rPr>
        <w:t> </w:t>
      </w:r>
      <w:r>
        <w:rPr/>
        <w:t>em</w:t>
      </w:r>
      <w:r>
        <w:rPr>
          <w:spacing w:val="-17"/>
        </w:rPr>
        <w:t> </w:t>
      </w:r>
      <w:r>
        <w:rPr/>
        <w:t>23</w:t>
      </w:r>
      <w:r>
        <w:rPr>
          <w:spacing w:val="-16"/>
        </w:rPr>
        <w:t> </w:t>
      </w:r>
      <w:r>
        <w:rPr/>
        <w:t>de</w:t>
      </w:r>
      <w:r>
        <w:rPr>
          <w:spacing w:val="-17"/>
        </w:rPr>
        <w:t> </w:t>
      </w:r>
      <w:r>
        <w:rPr/>
        <w:t>março</w:t>
      </w:r>
      <w:r>
        <w:rPr>
          <w:spacing w:val="-19"/>
        </w:rPr>
        <w:t> </w:t>
      </w:r>
      <w:r>
        <w:rPr/>
        <w:t>de</w:t>
      </w:r>
      <w:r>
        <w:rPr>
          <w:spacing w:val="-19"/>
        </w:rPr>
        <w:t> </w:t>
      </w:r>
      <w:r>
        <w:rPr/>
        <w:t>2020.</w:t>
      </w:r>
    </w:p>
    <w:p>
      <w:pPr>
        <w:pStyle w:val="BodyText"/>
        <w:spacing w:before="7"/>
      </w:pPr>
    </w:p>
    <w:p>
      <w:pPr>
        <w:pStyle w:val="Heading5"/>
        <w:numPr>
          <w:ilvl w:val="2"/>
          <w:numId w:val="9"/>
        </w:numPr>
        <w:tabs>
          <w:tab w:pos="1045" w:val="left" w:leader="none"/>
          <w:tab w:pos="1046" w:val="left" w:leader="none"/>
        </w:tabs>
        <w:spacing w:line="240" w:lineRule="auto" w:before="0" w:after="0"/>
        <w:ind w:left="1045" w:right="0" w:hanging="854"/>
        <w:jc w:val="left"/>
      </w:pPr>
      <w:r>
        <w:rPr/>
        <w:t>Demonstrações financeiras</w:t>
      </w:r>
      <w:r>
        <w:rPr>
          <w:spacing w:val="-3"/>
        </w:rPr>
        <w:t> </w:t>
      </w:r>
      <w:r>
        <w:rPr/>
        <w:t>consolidadas</w:t>
      </w:r>
    </w:p>
    <w:p>
      <w:pPr>
        <w:pStyle w:val="BodyText"/>
        <w:spacing w:before="9"/>
        <w:rPr>
          <w:rFonts w:ascii="Caladea"/>
          <w:b/>
          <w:sz w:val="23"/>
        </w:rPr>
      </w:pPr>
    </w:p>
    <w:p>
      <w:pPr>
        <w:spacing w:line="254" w:lineRule="auto" w:before="1"/>
        <w:ind w:left="192" w:right="608" w:firstLine="0"/>
        <w:jc w:val="both"/>
        <w:rPr>
          <w:sz w:val="20"/>
        </w:rPr>
      </w:pPr>
      <w:r>
        <w:rPr>
          <w:sz w:val="20"/>
        </w:rPr>
        <w:t>As</w:t>
      </w:r>
      <w:r>
        <w:rPr>
          <w:spacing w:val="-6"/>
          <w:sz w:val="20"/>
        </w:rPr>
        <w:t> </w:t>
      </w:r>
      <w:r>
        <w:rPr>
          <w:sz w:val="20"/>
        </w:rPr>
        <w:t>demonstrações</w:t>
      </w:r>
      <w:r>
        <w:rPr>
          <w:spacing w:val="-5"/>
          <w:sz w:val="20"/>
        </w:rPr>
        <w:t> </w:t>
      </w:r>
      <w:r>
        <w:rPr>
          <w:sz w:val="20"/>
        </w:rPr>
        <w:t>financeiras</w:t>
      </w:r>
      <w:r>
        <w:rPr>
          <w:spacing w:val="-5"/>
          <w:sz w:val="20"/>
        </w:rPr>
        <w:t> </w:t>
      </w:r>
      <w:r>
        <w:rPr>
          <w:sz w:val="20"/>
        </w:rPr>
        <w:t>consolidadas</w:t>
      </w:r>
      <w:r>
        <w:rPr>
          <w:spacing w:val="-6"/>
          <w:sz w:val="20"/>
        </w:rPr>
        <w:t> </w:t>
      </w:r>
      <w:r>
        <w:rPr>
          <w:sz w:val="20"/>
        </w:rPr>
        <w:t>foram</w:t>
      </w:r>
      <w:r>
        <w:rPr>
          <w:spacing w:val="-5"/>
          <w:sz w:val="20"/>
        </w:rPr>
        <w:t> </w:t>
      </w:r>
      <w:r>
        <w:rPr>
          <w:sz w:val="20"/>
        </w:rPr>
        <w:t>preparadas</w:t>
      </w:r>
      <w:r>
        <w:rPr>
          <w:spacing w:val="-6"/>
          <w:sz w:val="20"/>
        </w:rPr>
        <w:t> </w:t>
      </w:r>
      <w:r>
        <w:rPr>
          <w:sz w:val="20"/>
        </w:rPr>
        <w:t>e</w:t>
      </w:r>
      <w:r>
        <w:rPr>
          <w:spacing w:val="-5"/>
          <w:sz w:val="20"/>
        </w:rPr>
        <w:t> </w:t>
      </w:r>
      <w:r>
        <w:rPr>
          <w:sz w:val="20"/>
        </w:rPr>
        <w:t>estão</w:t>
      </w:r>
      <w:r>
        <w:rPr>
          <w:spacing w:val="-7"/>
          <w:sz w:val="20"/>
        </w:rPr>
        <w:t> </w:t>
      </w:r>
      <w:r>
        <w:rPr>
          <w:sz w:val="20"/>
        </w:rPr>
        <w:t>sendo</w:t>
      </w:r>
      <w:r>
        <w:rPr>
          <w:spacing w:val="-6"/>
          <w:sz w:val="20"/>
        </w:rPr>
        <w:t> </w:t>
      </w:r>
      <w:r>
        <w:rPr>
          <w:sz w:val="20"/>
        </w:rPr>
        <w:t>apresentadas</w:t>
      </w:r>
      <w:r>
        <w:rPr>
          <w:spacing w:val="-6"/>
          <w:sz w:val="20"/>
        </w:rPr>
        <w:t> </w:t>
      </w:r>
      <w:r>
        <w:rPr>
          <w:sz w:val="20"/>
        </w:rPr>
        <w:t>conforme</w:t>
      </w:r>
      <w:r>
        <w:rPr>
          <w:spacing w:val="-7"/>
          <w:sz w:val="20"/>
        </w:rPr>
        <w:t> </w:t>
      </w:r>
      <w:r>
        <w:rPr>
          <w:sz w:val="20"/>
        </w:rPr>
        <w:t>as</w:t>
      </w:r>
      <w:r>
        <w:rPr>
          <w:spacing w:val="-4"/>
          <w:sz w:val="20"/>
        </w:rPr>
        <w:t> </w:t>
      </w:r>
      <w:r>
        <w:rPr>
          <w:sz w:val="20"/>
        </w:rPr>
        <w:t>práticas contábeis</w:t>
      </w:r>
      <w:r>
        <w:rPr>
          <w:spacing w:val="-21"/>
          <w:sz w:val="20"/>
        </w:rPr>
        <w:t> </w:t>
      </w:r>
      <w:r>
        <w:rPr>
          <w:sz w:val="20"/>
        </w:rPr>
        <w:t>adotadas</w:t>
      </w:r>
      <w:r>
        <w:rPr>
          <w:spacing w:val="-21"/>
          <w:sz w:val="20"/>
        </w:rPr>
        <w:t> </w:t>
      </w:r>
      <w:r>
        <w:rPr>
          <w:sz w:val="20"/>
        </w:rPr>
        <w:t>no</w:t>
      </w:r>
      <w:r>
        <w:rPr>
          <w:spacing w:val="-20"/>
          <w:sz w:val="20"/>
        </w:rPr>
        <w:t> </w:t>
      </w:r>
      <w:r>
        <w:rPr>
          <w:sz w:val="20"/>
        </w:rPr>
        <w:t>Brasil,</w:t>
      </w:r>
      <w:r>
        <w:rPr>
          <w:spacing w:val="-21"/>
          <w:sz w:val="20"/>
        </w:rPr>
        <w:t> </w:t>
      </w:r>
      <w:r>
        <w:rPr>
          <w:sz w:val="20"/>
        </w:rPr>
        <w:t>incluindo</w:t>
      </w:r>
      <w:r>
        <w:rPr>
          <w:spacing w:val="-20"/>
          <w:sz w:val="20"/>
        </w:rPr>
        <w:t> </w:t>
      </w:r>
      <w:r>
        <w:rPr>
          <w:sz w:val="20"/>
        </w:rPr>
        <w:t>os</w:t>
      </w:r>
      <w:r>
        <w:rPr>
          <w:spacing w:val="-21"/>
          <w:sz w:val="20"/>
        </w:rPr>
        <w:t> </w:t>
      </w:r>
      <w:r>
        <w:rPr>
          <w:sz w:val="20"/>
        </w:rPr>
        <w:t>pronunciamentos</w:t>
      </w:r>
      <w:r>
        <w:rPr>
          <w:spacing w:val="-20"/>
          <w:sz w:val="20"/>
        </w:rPr>
        <w:t> </w:t>
      </w:r>
      <w:r>
        <w:rPr>
          <w:sz w:val="20"/>
        </w:rPr>
        <w:t>emitidos</w:t>
      </w:r>
      <w:r>
        <w:rPr>
          <w:spacing w:val="-21"/>
          <w:sz w:val="20"/>
        </w:rPr>
        <w:t> </w:t>
      </w:r>
      <w:r>
        <w:rPr>
          <w:sz w:val="20"/>
        </w:rPr>
        <w:t>pelo</w:t>
      </w:r>
      <w:r>
        <w:rPr>
          <w:spacing w:val="-20"/>
          <w:sz w:val="20"/>
        </w:rPr>
        <w:t> </w:t>
      </w:r>
      <w:r>
        <w:rPr>
          <w:sz w:val="20"/>
        </w:rPr>
        <w:t>Comitê</w:t>
      </w:r>
      <w:r>
        <w:rPr>
          <w:spacing w:val="-20"/>
          <w:sz w:val="20"/>
        </w:rPr>
        <w:t> </w:t>
      </w:r>
      <w:r>
        <w:rPr>
          <w:sz w:val="20"/>
        </w:rPr>
        <w:t>de</w:t>
      </w:r>
      <w:r>
        <w:rPr>
          <w:spacing w:val="-22"/>
          <w:sz w:val="20"/>
        </w:rPr>
        <w:t> </w:t>
      </w:r>
      <w:r>
        <w:rPr>
          <w:sz w:val="20"/>
        </w:rPr>
        <w:t>Pronunciamentos</w:t>
      </w:r>
      <w:r>
        <w:rPr>
          <w:spacing w:val="-20"/>
          <w:sz w:val="20"/>
        </w:rPr>
        <w:t> </w:t>
      </w:r>
      <w:r>
        <w:rPr>
          <w:sz w:val="20"/>
        </w:rPr>
        <w:t>Contábeis </w:t>
      </w:r>
      <w:r>
        <w:rPr>
          <w:w w:val="105"/>
          <w:sz w:val="20"/>
        </w:rPr>
        <w:t>(CPCs)</w:t>
      </w:r>
      <w:r>
        <w:rPr>
          <w:spacing w:val="-32"/>
          <w:w w:val="105"/>
          <w:sz w:val="20"/>
        </w:rPr>
        <w:t> </w:t>
      </w:r>
      <w:r>
        <w:rPr>
          <w:w w:val="105"/>
          <w:sz w:val="20"/>
        </w:rPr>
        <w:t>e</w:t>
      </w:r>
      <w:r>
        <w:rPr>
          <w:spacing w:val="-31"/>
          <w:w w:val="105"/>
          <w:sz w:val="20"/>
        </w:rPr>
        <w:t> </w:t>
      </w:r>
      <w:r>
        <w:rPr>
          <w:w w:val="105"/>
          <w:sz w:val="20"/>
        </w:rPr>
        <w:t>também</w:t>
      </w:r>
      <w:r>
        <w:rPr>
          <w:spacing w:val="-32"/>
          <w:w w:val="105"/>
          <w:sz w:val="20"/>
        </w:rPr>
        <w:t> </w:t>
      </w:r>
      <w:r>
        <w:rPr>
          <w:w w:val="105"/>
          <w:sz w:val="20"/>
        </w:rPr>
        <w:t>conforme</w:t>
      </w:r>
      <w:r>
        <w:rPr>
          <w:spacing w:val="-32"/>
          <w:w w:val="105"/>
          <w:sz w:val="20"/>
        </w:rPr>
        <w:t> </w:t>
      </w:r>
      <w:r>
        <w:rPr>
          <w:w w:val="105"/>
          <w:sz w:val="20"/>
        </w:rPr>
        <w:t>as</w:t>
      </w:r>
      <w:r>
        <w:rPr>
          <w:spacing w:val="-31"/>
          <w:w w:val="105"/>
          <w:sz w:val="20"/>
        </w:rPr>
        <w:t> </w:t>
      </w:r>
      <w:r>
        <w:rPr>
          <w:w w:val="105"/>
          <w:sz w:val="20"/>
        </w:rPr>
        <w:t>normas</w:t>
      </w:r>
      <w:r>
        <w:rPr>
          <w:spacing w:val="-31"/>
          <w:w w:val="105"/>
          <w:sz w:val="20"/>
        </w:rPr>
        <w:t> </w:t>
      </w:r>
      <w:r>
        <w:rPr>
          <w:w w:val="105"/>
          <w:sz w:val="20"/>
        </w:rPr>
        <w:t>internacionais</w:t>
      </w:r>
      <w:r>
        <w:rPr>
          <w:spacing w:val="-31"/>
          <w:w w:val="105"/>
          <w:sz w:val="20"/>
        </w:rPr>
        <w:t> </w:t>
      </w:r>
      <w:r>
        <w:rPr>
          <w:w w:val="105"/>
          <w:sz w:val="20"/>
        </w:rPr>
        <w:t>de</w:t>
      </w:r>
      <w:r>
        <w:rPr>
          <w:spacing w:val="-32"/>
          <w:w w:val="105"/>
          <w:sz w:val="20"/>
        </w:rPr>
        <w:t> </w:t>
      </w:r>
      <w:r>
        <w:rPr>
          <w:w w:val="105"/>
          <w:sz w:val="20"/>
        </w:rPr>
        <w:t>relatório</w:t>
      </w:r>
      <w:r>
        <w:rPr>
          <w:spacing w:val="-32"/>
          <w:w w:val="105"/>
          <w:sz w:val="20"/>
        </w:rPr>
        <w:t> </w:t>
      </w:r>
      <w:r>
        <w:rPr>
          <w:w w:val="105"/>
          <w:sz w:val="20"/>
        </w:rPr>
        <w:t>financeiro</w:t>
      </w:r>
      <w:r>
        <w:rPr>
          <w:spacing w:val="-31"/>
          <w:w w:val="105"/>
          <w:sz w:val="20"/>
        </w:rPr>
        <w:t> </w:t>
      </w:r>
      <w:r>
        <w:rPr>
          <w:w w:val="105"/>
          <w:sz w:val="20"/>
        </w:rPr>
        <w:t>(</w:t>
      </w:r>
      <w:r>
        <w:rPr>
          <w:rFonts w:ascii="Caladea" w:hAnsi="Caladea"/>
          <w:i/>
          <w:w w:val="105"/>
          <w:sz w:val="20"/>
        </w:rPr>
        <w:t>International</w:t>
      </w:r>
      <w:r>
        <w:rPr>
          <w:rFonts w:ascii="Caladea" w:hAnsi="Caladea"/>
          <w:i/>
          <w:spacing w:val="-15"/>
          <w:w w:val="105"/>
          <w:sz w:val="20"/>
        </w:rPr>
        <w:t> </w:t>
      </w:r>
      <w:r>
        <w:rPr>
          <w:rFonts w:ascii="Caladea" w:hAnsi="Caladea"/>
          <w:i/>
          <w:w w:val="105"/>
          <w:sz w:val="20"/>
        </w:rPr>
        <w:t>Financial</w:t>
      </w:r>
      <w:r>
        <w:rPr>
          <w:rFonts w:ascii="Caladea" w:hAnsi="Caladea"/>
          <w:i/>
          <w:spacing w:val="-14"/>
          <w:w w:val="105"/>
          <w:sz w:val="20"/>
        </w:rPr>
        <w:t> </w:t>
      </w:r>
      <w:r>
        <w:rPr>
          <w:rFonts w:ascii="Caladea" w:hAnsi="Caladea"/>
          <w:i/>
          <w:w w:val="105"/>
          <w:sz w:val="20"/>
        </w:rPr>
        <w:t>Reporting </w:t>
      </w:r>
      <w:r>
        <w:rPr>
          <w:rFonts w:ascii="Caladea" w:hAnsi="Caladea"/>
          <w:i/>
          <w:w w:val="105"/>
          <w:sz w:val="20"/>
        </w:rPr>
        <w:t>Standards</w:t>
      </w:r>
      <w:r>
        <w:rPr>
          <w:rFonts w:ascii="Caladea" w:hAnsi="Caladea"/>
          <w:i/>
          <w:spacing w:val="-6"/>
          <w:w w:val="105"/>
          <w:sz w:val="20"/>
        </w:rPr>
        <w:t> </w:t>
      </w:r>
      <w:r>
        <w:rPr>
          <w:w w:val="105"/>
          <w:sz w:val="20"/>
        </w:rPr>
        <w:t>(IFRS),</w:t>
      </w:r>
      <w:r>
        <w:rPr>
          <w:spacing w:val="-25"/>
          <w:w w:val="105"/>
          <w:sz w:val="20"/>
        </w:rPr>
        <w:t> </w:t>
      </w:r>
      <w:r>
        <w:rPr>
          <w:w w:val="105"/>
          <w:sz w:val="20"/>
        </w:rPr>
        <w:t>emitidas</w:t>
      </w:r>
      <w:r>
        <w:rPr>
          <w:spacing w:val="-26"/>
          <w:w w:val="105"/>
          <w:sz w:val="20"/>
        </w:rPr>
        <w:t> </w:t>
      </w:r>
      <w:r>
        <w:rPr>
          <w:w w:val="105"/>
          <w:sz w:val="20"/>
        </w:rPr>
        <w:t>pelo</w:t>
      </w:r>
      <w:r>
        <w:rPr>
          <w:spacing w:val="-24"/>
          <w:w w:val="105"/>
          <w:sz w:val="20"/>
        </w:rPr>
        <w:t> </w:t>
      </w:r>
      <w:r>
        <w:rPr>
          <w:rFonts w:ascii="Caladea" w:hAnsi="Caladea"/>
          <w:i/>
          <w:w w:val="105"/>
          <w:sz w:val="20"/>
        </w:rPr>
        <w:t>International</w:t>
      </w:r>
      <w:r>
        <w:rPr>
          <w:rFonts w:ascii="Caladea" w:hAnsi="Caladea"/>
          <w:i/>
          <w:spacing w:val="-9"/>
          <w:w w:val="105"/>
          <w:sz w:val="20"/>
        </w:rPr>
        <w:t> </w:t>
      </w:r>
      <w:r>
        <w:rPr>
          <w:rFonts w:ascii="Caladea" w:hAnsi="Caladea"/>
          <w:i/>
          <w:w w:val="105"/>
          <w:sz w:val="20"/>
        </w:rPr>
        <w:t>Accounting</w:t>
      </w:r>
      <w:r>
        <w:rPr>
          <w:rFonts w:ascii="Caladea" w:hAnsi="Caladea"/>
          <w:i/>
          <w:spacing w:val="-8"/>
          <w:w w:val="105"/>
          <w:sz w:val="20"/>
        </w:rPr>
        <w:t> </w:t>
      </w:r>
      <w:r>
        <w:rPr>
          <w:rFonts w:ascii="Caladea" w:hAnsi="Caladea"/>
          <w:i/>
          <w:w w:val="105"/>
          <w:sz w:val="20"/>
        </w:rPr>
        <w:t>Standards</w:t>
      </w:r>
      <w:r>
        <w:rPr>
          <w:rFonts w:ascii="Caladea" w:hAnsi="Caladea"/>
          <w:i/>
          <w:spacing w:val="-6"/>
          <w:w w:val="105"/>
          <w:sz w:val="20"/>
        </w:rPr>
        <w:t> </w:t>
      </w:r>
      <w:r>
        <w:rPr>
          <w:rFonts w:ascii="Caladea" w:hAnsi="Caladea"/>
          <w:i/>
          <w:w w:val="105"/>
          <w:sz w:val="20"/>
        </w:rPr>
        <w:t>Board</w:t>
      </w:r>
      <w:r>
        <w:rPr>
          <w:rFonts w:ascii="Caladea" w:hAnsi="Caladea"/>
          <w:i/>
          <w:spacing w:val="-5"/>
          <w:w w:val="105"/>
          <w:sz w:val="20"/>
        </w:rPr>
        <w:t> </w:t>
      </w:r>
      <w:r>
        <w:rPr>
          <w:i/>
          <w:w w:val="105"/>
          <w:sz w:val="20"/>
        </w:rPr>
        <w:t>–</w:t>
      </w:r>
      <w:r>
        <w:rPr>
          <w:i/>
          <w:spacing w:val="-25"/>
          <w:w w:val="105"/>
          <w:sz w:val="20"/>
        </w:rPr>
        <w:t> </w:t>
      </w:r>
      <w:r>
        <w:rPr>
          <w:rFonts w:ascii="Caladea" w:hAnsi="Caladea"/>
          <w:i/>
          <w:w w:val="105"/>
          <w:sz w:val="20"/>
        </w:rPr>
        <w:t>IASB</w:t>
      </w:r>
      <w:r>
        <w:rPr>
          <w:w w:val="105"/>
          <w:sz w:val="20"/>
        </w:rPr>
        <w:t>).</w:t>
      </w:r>
    </w:p>
    <w:p>
      <w:pPr>
        <w:pStyle w:val="BodyText"/>
        <w:spacing w:before="3"/>
      </w:pPr>
    </w:p>
    <w:p>
      <w:pPr>
        <w:pStyle w:val="Heading5"/>
        <w:numPr>
          <w:ilvl w:val="2"/>
          <w:numId w:val="9"/>
        </w:numPr>
        <w:tabs>
          <w:tab w:pos="1045" w:val="left" w:leader="none"/>
          <w:tab w:pos="1046" w:val="left" w:leader="none"/>
        </w:tabs>
        <w:spacing w:line="240" w:lineRule="auto" w:before="0" w:after="0"/>
        <w:ind w:left="1045" w:right="0" w:hanging="854"/>
        <w:jc w:val="left"/>
      </w:pPr>
      <w:r>
        <w:rPr/>
        <w:t>Demonstrações financeiras</w:t>
      </w:r>
      <w:r>
        <w:rPr>
          <w:spacing w:val="-3"/>
        </w:rPr>
        <w:t> </w:t>
      </w:r>
      <w:r>
        <w:rPr/>
        <w:t>individuais</w:t>
      </w:r>
    </w:p>
    <w:p>
      <w:pPr>
        <w:pStyle w:val="BodyText"/>
        <w:spacing w:before="10"/>
        <w:rPr>
          <w:rFonts w:ascii="Caladea"/>
          <w:b/>
          <w:sz w:val="23"/>
        </w:rPr>
      </w:pPr>
    </w:p>
    <w:p>
      <w:pPr>
        <w:pStyle w:val="BodyText"/>
        <w:spacing w:line="242" w:lineRule="auto"/>
        <w:ind w:left="192" w:right="608"/>
        <w:jc w:val="both"/>
      </w:pPr>
      <w:r>
        <w:rPr>
          <w:w w:val="95"/>
        </w:rPr>
        <w:t>As</w:t>
      </w:r>
      <w:r>
        <w:rPr>
          <w:spacing w:val="-11"/>
          <w:w w:val="95"/>
        </w:rPr>
        <w:t> </w:t>
      </w:r>
      <w:r>
        <w:rPr>
          <w:w w:val="95"/>
        </w:rPr>
        <w:t>demonstrações</w:t>
      </w:r>
      <w:r>
        <w:rPr>
          <w:spacing w:val="-9"/>
          <w:w w:val="95"/>
        </w:rPr>
        <w:t> </w:t>
      </w:r>
      <w:r>
        <w:rPr>
          <w:w w:val="95"/>
        </w:rPr>
        <w:t>financeiras</w:t>
      </w:r>
      <w:r>
        <w:rPr>
          <w:spacing w:val="-10"/>
          <w:w w:val="95"/>
        </w:rPr>
        <w:t> </w:t>
      </w:r>
      <w:r>
        <w:rPr>
          <w:w w:val="95"/>
        </w:rPr>
        <w:t>individuais</w:t>
      </w:r>
      <w:r>
        <w:rPr>
          <w:spacing w:val="-11"/>
          <w:w w:val="95"/>
        </w:rPr>
        <w:t> </w:t>
      </w:r>
      <w:r>
        <w:rPr>
          <w:w w:val="95"/>
        </w:rPr>
        <w:t>da</w:t>
      </w:r>
      <w:r>
        <w:rPr>
          <w:spacing w:val="-9"/>
          <w:w w:val="95"/>
        </w:rPr>
        <w:t> </w:t>
      </w:r>
      <w:r>
        <w:rPr>
          <w:w w:val="95"/>
        </w:rPr>
        <w:t>controladora</w:t>
      </w:r>
      <w:r>
        <w:rPr>
          <w:spacing w:val="-11"/>
          <w:w w:val="95"/>
        </w:rPr>
        <w:t> </w:t>
      </w:r>
      <w:r>
        <w:rPr>
          <w:w w:val="95"/>
        </w:rPr>
        <w:t>foram</w:t>
      </w:r>
      <w:r>
        <w:rPr>
          <w:spacing w:val="-9"/>
          <w:w w:val="95"/>
        </w:rPr>
        <w:t> </w:t>
      </w:r>
      <w:r>
        <w:rPr>
          <w:w w:val="95"/>
        </w:rPr>
        <w:t>preparadas</w:t>
      </w:r>
      <w:r>
        <w:rPr>
          <w:spacing w:val="-11"/>
          <w:w w:val="95"/>
        </w:rPr>
        <w:t> </w:t>
      </w:r>
      <w:r>
        <w:rPr>
          <w:w w:val="95"/>
        </w:rPr>
        <w:t>conforme</w:t>
      </w:r>
      <w:r>
        <w:rPr>
          <w:spacing w:val="-14"/>
          <w:w w:val="95"/>
        </w:rPr>
        <w:t> </w:t>
      </w:r>
      <w:r>
        <w:rPr>
          <w:w w:val="95"/>
        </w:rPr>
        <w:t>as</w:t>
      </w:r>
      <w:r>
        <w:rPr>
          <w:spacing w:val="-8"/>
          <w:w w:val="95"/>
        </w:rPr>
        <w:t> </w:t>
      </w:r>
      <w:r>
        <w:rPr>
          <w:w w:val="95"/>
        </w:rPr>
        <w:t>práticas</w:t>
      </w:r>
      <w:r>
        <w:rPr>
          <w:spacing w:val="-11"/>
          <w:w w:val="95"/>
        </w:rPr>
        <w:t> </w:t>
      </w:r>
      <w:r>
        <w:rPr>
          <w:w w:val="95"/>
        </w:rPr>
        <w:t>contábeis</w:t>
      </w:r>
      <w:r>
        <w:rPr>
          <w:spacing w:val="-11"/>
          <w:w w:val="95"/>
        </w:rPr>
        <w:t> </w:t>
      </w:r>
      <w:r>
        <w:rPr>
          <w:w w:val="95"/>
        </w:rPr>
        <w:t>adotadas </w:t>
      </w:r>
      <w:r>
        <w:rPr/>
        <w:t>no</w:t>
      </w:r>
      <w:r>
        <w:rPr>
          <w:spacing w:val="-29"/>
        </w:rPr>
        <w:t> </w:t>
      </w:r>
      <w:r>
        <w:rPr/>
        <w:t>Brasil</w:t>
      </w:r>
      <w:r>
        <w:rPr>
          <w:spacing w:val="-26"/>
        </w:rPr>
        <w:t> </w:t>
      </w:r>
      <w:r>
        <w:rPr/>
        <w:t>emitidas</w:t>
      </w:r>
      <w:r>
        <w:rPr>
          <w:spacing w:val="-28"/>
        </w:rPr>
        <w:t> </w:t>
      </w:r>
      <w:r>
        <w:rPr/>
        <w:t>pelo</w:t>
      </w:r>
      <w:r>
        <w:rPr>
          <w:spacing w:val="-28"/>
        </w:rPr>
        <w:t> </w:t>
      </w:r>
      <w:r>
        <w:rPr/>
        <w:t>Comitê</w:t>
      </w:r>
      <w:r>
        <w:rPr>
          <w:spacing w:val="-29"/>
        </w:rPr>
        <w:t> </w:t>
      </w:r>
      <w:r>
        <w:rPr/>
        <w:t>de</w:t>
      </w:r>
      <w:r>
        <w:rPr>
          <w:spacing w:val="-28"/>
        </w:rPr>
        <w:t> </w:t>
      </w:r>
      <w:r>
        <w:rPr/>
        <w:t>Pronunciamentos</w:t>
      </w:r>
      <w:r>
        <w:rPr>
          <w:spacing w:val="-28"/>
        </w:rPr>
        <w:t> </w:t>
      </w:r>
      <w:r>
        <w:rPr/>
        <w:t>Contábeis</w:t>
      </w:r>
      <w:r>
        <w:rPr>
          <w:spacing w:val="-22"/>
        </w:rPr>
        <w:t> </w:t>
      </w:r>
      <w:r>
        <w:rPr/>
        <w:t>–</w:t>
      </w:r>
      <w:r>
        <w:rPr>
          <w:spacing w:val="-28"/>
        </w:rPr>
        <w:t> </w:t>
      </w:r>
      <w:r>
        <w:rPr/>
        <w:t>CPC</w:t>
      </w:r>
      <w:r>
        <w:rPr>
          <w:spacing w:val="-26"/>
        </w:rPr>
        <w:t> </w:t>
      </w:r>
      <w:r>
        <w:rPr/>
        <w:t>e</w:t>
      </w:r>
      <w:r>
        <w:rPr>
          <w:spacing w:val="-27"/>
        </w:rPr>
        <w:t> </w:t>
      </w:r>
      <w:r>
        <w:rPr/>
        <w:t>estão</w:t>
      </w:r>
      <w:r>
        <w:rPr>
          <w:spacing w:val="-27"/>
        </w:rPr>
        <w:t> </w:t>
      </w:r>
      <w:r>
        <w:rPr/>
        <w:t>em</w:t>
      </w:r>
      <w:r>
        <w:rPr>
          <w:spacing w:val="-29"/>
        </w:rPr>
        <w:t> </w:t>
      </w:r>
      <w:r>
        <w:rPr/>
        <w:t>linha</w:t>
      </w:r>
      <w:r>
        <w:rPr>
          <w:spacing w:val="-27"/>
        </w:rPr>
        <w:t> </w:t>
      </w:r>
      <w:r>
        <w:rPr/>
        <w:t>com</w:t>
      </w:r>
      <w:r>
        <w:rPr>
          <w:spacing w:val="-29"/>
        </w:rPr>
        <w:t> </w:t>
      </w:r>
      <w:r>
        <w:rPr/>
        <w:t>as</w:t>
      </w:r>
      <w:r>
        <w:rPr>
          <w:spacing w:val="-27"/>
        </w:rPr>
        <w:t> </w:t>
      </w:r>
      <w:r>
        <w:rPr/>
        <w:t>normas</w:t>
      </w:r>
      <w:r>
        <w:rPr>
          <w:spacing w:val="-28"/>
        </w:rPr>
        <w:t> </w:t>
      </w:r>
      <w:r>
        <w:rPr/>
        <w:t>internacionais </w:t>
      </w:r>
      <w:r>
        <w:rPr>
          <w:w w:val="105"/>
        </w:rPr>
        <w:t>de contabilidade (IFRS). Essas demonstrações financeiras individuais são divulgadas em conjunto com as demonstrações financeiras</w:t>
      </w:r>
      <w:r>
        <w:rPr>
          <w:spacing w:val="-45"/>
          <w:w w:val="105"/>
        </w:rPr>
        <w:t> </w:t>
      </w:r>
      <w:r>
        <w:rPr>
          <w:w w:val="105"/>
        </w:rPr>
        <w:t>consolidadas.</w:t>
      </w:r>
    </w:p>
    <w:p>
      <w:pPr>
        <w:pStyle w:val="BodyText"/>
        <w:spacing w:line="242" w:lineRule="auto" w:before="120"/>
        <w:ind w:left="192" w:right="610"/>
        <w:jc w:val="both"/>
      </w:pPr>
      <w:r>
        <w:rPr/>
        <w:t>Nas</w:t>
      </w:r>
      <w:r>
        <w:rPr>
          <w:spacing w:val="-35"/>
        </w:rPr>
        <w:t> </w:t>
      </w:r>
      <w:r>
        <w:rPr/>
        <w:t>demonstrações</w:t>
      </w:r>
      <w:r>
        <w:rPr>
          <w:spacing w:val="-34"/>
        </w:rPr>
        <w:t> </w:t>
      </w:r>
      <w:r>
        <w:rPr/>
        <w:t>financeiras</w:t>
      </w:r>
      <w:r>
        <w:rPr>
          <w:spacing w:val="-34"/>
        </w:rPr>
        <w:t> </w:t>
      </w:r>
      <w:r>
        <w:rPr/>
        <w:t>individuais,</w:t>
      </w:r>
      <w:r>
        <w:rPr>
          <w:spacing w:val="-35"/>
        </w:rPr>
        <w:t> </w:t>
      </w:r>
      <w:r>
        <w:rPr/>
        <w:t>as</w:t>
      </w:r>
      <w:r>
        <w:rPr>
          <w:spacing w:val="-34"/>
        </w:rPr>
        <w:t> </w:t>
      </w:r>
      <w:r>
        <w:rPr/>
        <w:t>controladas,</w:t>
      </w:r>
      <w:r>
        <w:rPr>
          <w:spacing w:val="-34"/>
        </w:rPr>
        <w:t> </w:t>
      </w:r>
      <w:r>
        <w:rPr/>
        <w:t>controladas</w:t>
      </w:r>
      <w:r>
        <w:rPr>
          <w:spacing w:val="-35"/>
        </w:rPr>
        <w:t> </w:t>
      </w:r>
      <w:r>
        <w:rPr/>
        <w:t>em</w:t>
      </w:r>
      <w:r>
        <w:rPr>
          <w:spacing w:val="-34"/>
        </w:rPr>
        <w:t> </w:t>
      </w:r>
      <w:r>
        <w:rPr/>
        <w:t>conjunto</w:t>
      </w:r>
      <w:r>
        <w:rPr>
          <w:spacing w:val="-34"/>
        </w:rPr>
        <w:t> </w:t>
      </w:r>
      <w:r>
        <w:rPr/>
        <w:t>e</w:t>
      </w:r>
      <w:r>
        <w:rPr>
          <w:spacing w:val="-35"/>
        </w:rPr>
        <w:t> </w:t>
      </w:r>
      <w:r>
        <w:rPr/>
        <w:t>coligadas</w:t>
      </w:r>
      <w:r>
        <w:rPr>
          <w:spacing w:val="-35"/>
        </w:rPr>
        <w:t> </w:t>
      </w:r>
      <w:r>
        <w:rPr/>
        <w:t>são</w:t>
      </w:r>
      <w:r>
        <w:rPr>
          <w:spacing w:val="-34"/>
        </w:rPr>
        <w:t> </w:t>
      </w:r>
      <w:r>
        <w:rPr/>
        <w:t>contabilizadas pelo método de equivalência patrimonial. Os mesmos ajustes são feitos tanto nas demonstrações financeiras individuais</w:t>
      </w:r>
      <w:r>
        <w:rPr>
          <w:spacing w:val="-20"/>
        </w:rPr>
        <w:t> </w:t>
      </w:r>
      <w:r>
        <w:rPr/>
        <w:t>quanto</w:t>
      </w:r>
      <w:r>
        <w:rPr>
          <w:spacing w:val="-19"/>
        </w:rPr>
        <w:t> </w:t>
      </w:r>
      <w:r>
        <w:rPr/>
        <w:t>nas</w:t>
      </w:r>
      <w:r>
        <w:rPr>
          <w:spacing w:val="-21"/>
        </w:rPr>
        <w:t> </w:t>
      </w:r>
      <w:r>
        <w:rPr/>
        <w:t>demonstrações</w:t>
      </w:r>
      <w:r>
        <w:rPr>
          <w:spacing w:val="-20"/>
        </w:rPr>
        <w:t> </w:t>
      </w:r>
      <w:r>
        <w:rPr/>
        <w:t>financeiras</w:t>
      </w:r>
      <w:r>
        <w:rPr>
          <w:spacing w:val="-20"/>
        </w:rPr>
        <w:t> </w:t>
      </w:r>
      <w:r>
        <w:rPr/>
        <w:t>consolidadas,</w:t>
      </w:r>
      <w:r>
        <w:rPr>
          <w:spacing w:val="-21"/>
        </w:rPr>
        <w:t> </w:t>
      </w:r>
      <w:r>
        <w:rPr/>
        <w:t>para</w:t>
      </w:r>
      <w:r>
        <w:rPr>
          <w:spacing w:val="-21"/>
        </w:rPr>
        <w:t> </w:t>
      </w:r>
      <w:r>
        <w:rPr/>
        <w:t>chegar</w:t>
      </w:r>
      <w:r>
        <w:rPr>
          <w:spacing w:val="-21"/>
        </w:rPr>
        <w:t> </w:t>
      </w:r>
      <w:r>
        <w:rPr/>
        <w:t>ao</w:t>
      </w:r>
      <w:r>
        <w:rPr>
          <w:spacing w:val="-19"/>
        </w:rPr>
        <w:t> </w:t>
      </w:r>
      <w:r>
        <w:rPr/>
        <w:t>resultado</w:t>
      </w:r>
      <w:r>
        <w:rPr>
          <w:spacing w:val="-21"/>
        </w:rPr>
        <w:t> </w:t>
      </w:r>
      <w:r>
        <w:rPr/>
        <w:t>e</w:t>
      </w:r>
      <w:r>
        <w:rPr>
          <w:spacing w:val="-21"/>
        </w:rPr>
        <w:t> </w:t>
      </w:r>
      <w:r>
        <w:rPr/>
        <w:t>ao</w:t>
      </w:r>
      <w:r>
        <w:rPr>
          <w:spacing w:val="-21"/>
        </w:rPr>
        <w:t> </w:t>
      </w:r>
      <w:r>
        <w:rPr/>
        <w:t>patrimônio</w:t>
      </w:r>
      <w:r>
        <w:rPr>
          <w:spacing w:val="-19"/>
        </w:rPr>
        <w:t> </w:t>
      </w:r>
      <w:r>
        <w:rPr/>
        <w:t>líquido atribuível</w:t>
      </w:r>
      <w:r>
        <w:rPr>
          <w:spacing w:val="-19"/>
        </w:rPr>
        <w:t> </w:t>
      </w:r>
      <w:r>
        <w:rPr/>
        <w:t>aos</w:t>
      </w:r>
      <w:r>
        <w:rPr>
          <w:spacing w:val="-18"/>
        </w:rPr>
        <w:t> </w:t>
      </w:r>
      <w:r>
        <w:rPr/>
        <w:t>acionistas</w:t>
      </w:r>
      <w:r>
        <w:rPr>
          <w:spacing w:val="-18"/>
        </w:rPr>
        <w:t> </w:t>
      </w:r>
      <w:r>
        <w:rPr/>
        <w:t>da</w:t>
      </w:r>
      <w:r>
        <w:rPr>
          <w:spacing w:val="-18"/>
        </w:rPr>
        <w:t> </w:t>
      </w:r>
      <w:r>
        <w:rPr/>
        <w:t>controladora.</w:t>
      </w:r>
    </w:p>
    <w:p>
      <w:pPr>
        <w:spacing w:after="0" w:line="242" w:lineRule="auto"/>
        <w:jc w:val="both"/>
        <w:sectPr>
          <w:pgSz w:w="11910" w:h="16850"/>
          <w:pgMar w:header="792" w:footer="1193" w:top="1360" w:bottom="1460" w:left="940" w:right="240"/>
        </w:sectPr>
      </w:pPr>
    </w:p>
    <w:p>
      <w:pPr>
        <w:pStyle w:val="Heading5"/>
        <w:numPr>
          <w:ilvl w:val="2"/>
          <w:numId w:val="9"/>
        </w:numPr>
        <w:tabs>
          <w:tab w:pos="1045" w:val="left" w:leader="none"/>
          <w:tab w:pos="1046" w:val="left" w:leader="none"/>
        </w:tabs>
        <w:spacing w:line="240" w:lineRule="auto" w:before="48" w:after="0"/>
        <w:ind w:left="1045" w:right="0" w:hanging="854"/>
        <w:jc w:val="left"/>
      </w:pPr>
      <w:r>
        <w:rPr/>
        <w:t>Estimativas e julgamentos contábeis</w:t>
      </w:r>
      <w:r>
        <w:rPr>
          <w:spacing w:val="-4"/>
        </w:rPr>
        <w:t> </w:t>
      </w:r>
      <w:r>
        <w:rPr/>
        <w:t>críticos</w:t>
      </w:r>
    </w:p>
    <w:p>
      <w:pPr>
        <w:pStyle w:val="BodyText"/>
        <w:spacing w:before="10"/>
        <w:rPr>
          <w:rFonts w:ascii="Caladea"/>
          <w:b/>
          <w:sz w:val="23"/>
        </w:rPr>
      </w:pPr>
    </w:p>
    <w:p>
      <w:pPr>
        <w:pStyle w:val="BodyText"/>
        <w:spacing w:line="242" w:lineRule="auto"/>
        <w:ind w:left="192" w:right="613"/>
        <w:jc w:val="both"/>
      </w:pPr>
      <w:r>
        <w:rPr>
          <w:w w:val="95"/>
        </w:rPr>
        <w:t>A</w:t>
      </w:r>
      <w:r>
        <w:rPr>
          <w:spacing w:val="-20"/>
          <w:w w:val="95"/>
        </w:rPr>
        <w:t> </w:t>
      </w:r>
      <w:r>
        <w:rPr>
          <w:w w:val="95"/>
        </w:rPr>
        <w:t>preparação</w:t>
      </w:r>
      <w:r>
        <w:rPr>
          <w:spacing w:val="-22"/>
          <w:w w:val="95"/>
        </w:rPr>
        <w:t> </w:t>
      </w:r>
      <w:r>
        <w:rPr>
          <w:w w:val="95"/>
        </w:rPr>
        <w:t>de</w:t>
      </w:r>
      <w:r>
        <w:rPr>
          <w:spacing w:val="-19"/>
          <w:w w:val="95"/>
        </w:rPr>
        <w:t> </w:t>
      </w:r>
      <w:r>
        <w:rPr>
          <w:w w:val="95"/>
        </w:rPr>
        <w:t>demonstrações</w:t>
      </w:r>
      <w:r>
        <w:rPr>
          <w:spacing w:val="-20"/>
          <w:w w:val="95"/>
        </w:rPr>
        <w:t> </w:t>
      </w:r>
      <w:r>
        <w:rPr>
          <w:w w:val="95"/>
        </w:rPr>
        <w:t>financeiras</w:t>
      </w:r>
      <w:r>
        <w:rPr>
          <w:spacing w:val="-18"/>
          <w:w w:val="95"/>
        </w:rPr>
        <w:t> </w:t>
      </w:r>
      <w:r>
        <w:rPr>
          <w:w w:val="95"/>
        </w:rPr>
        <w:t>requer</w:t>
      </w:r>
      <w:r>
        <w:rPr>
          <w:spacing w:val="-19"/>
          <w:w w:val="95"/>
        </w:rPr>
        <w:t> </w:t>
      </w:r>
      <w:r>
        <w:rPr>
          <w:w w:val="95"/>
        </w:rPr>
        <w:t>o</w:t>
      </w:r>
      <w:r>
        <w:rPr>
          <w:spacing w:val="-21"/>
          <w:w w:val="95"/>
        </w:rPr>
        <w:t> </w:t>
      </w:r>
      <w:r>
        <w:rPr>
          <w:w w:val="95"/>
        </w:rPr>
        <w:t>uso</w:t>
      </w:r>
      <w:r>
        <w:rPr>
          <w:spacing w:val="-17"/>
          <w:w w:val="95"/>
        </w:rPr>
        <w:t> </w:t>
      </w:r>
      <w:r>
        <w:rPr>
          <w:w w:val="95"/>
        </w:rPr>
        <w:t>de</w:t>
      </w:r>
      <w:r>
        <w:rPr>
          <w:spacing w:val="-22"/>
          <w:w w:val="95"/>
        </w:rPr>
        <w:t> </w:t>
      </w:r>
      <w:r>
        <w:rPr>
          <w:w w:val="95"/>
        </w:rPr>
        <w:t>certas</w:t>
      </w:r>
      <w:r>
        <w:rPr>
          <w:spacing w:val="-18"/>
          <w:w w:val="95"/>
        </w:rPr>
        <w:t> </w:t>
      </w:r>
      <w:r>
        <w:rPr>
          <w:w w:val="95"/>
        </w:rPr>
        <w:t>estimativas</w:t>
      </w:r>
      <w:r>
        <w:rPr>
          <w:spacing w:val="-20"/>
          <w:w w:val="95"/>
        </w:rPr>
        <w:t> </w:t>
      </w:r>
      <w:r>
        <w:rPr>
          <w:w w:val="95"/>
        </w:rPr>
        <w:t>contábeis</w:t>
      </w:r>
      <w:r>
        <w:rPr>
          <w:spacing w:val="-20"/>
          <w:w w:val="95"/>
        </w:rPr>
        <w:t> </w:t>
      </w:r>
      <w:r>
        <w:rPr>
          <w:w w:val="95"/>
        </w:rPr>
        <w:t>críticas</w:t>
      </w:r>
      <w:r>
        <w:rPr>
          <w:spacing w:val="-20"/>
          <w:w w:val="95"/>
        </w:rPr>
        <w:t> </w:t>
      </w:r>
      <w:r>
        <w:rPr>
          <w:w w:val="95"/>
        </w:rPr>
        <w:t>e</w:t>
      </w:r>
      <w:r>
        <w:rPr>
          <w:spacing w:val="-20"/>
          <w:w w:val="95"/>
        </w:rPr>
        <w:t> </w:t>
      </w:r>
      <w:r>
        <w:rPr>
          <w:w w:val="95"/>
        </w:rPr>
        <w:t>também</w:t>
      </w:r>
      <w:r>
        <w:rPr>
          <w:spacing w:val="-19"/>
          <w:w w:val="95"/>
        </w:rPr>
        <w:t> </w:t>
      </w:r>
      <w:r>
        <w:rPr>
          <w:w w:val="95"/>
        </w:rPr>
        <w:t>o</w:t>
      </w:r>
      <w:r>
        <w:rPr>
          <w:spacing w:val="-18"/>
          <w:w w:val="95"/>
        </w:rPr>
        <w:t> </w:t>
      </w:r>
      <w:r>
        <w:rPr>
          <w:w w:val="95"/>
        </w:rPr>
        <w:t>exercício </w:t>
      </w:r>
      <w:r>
        <w:rPr/>
        <w:t>de</w:t>
      </w:r>
      <w:r>
        <w:rPr>
          <w:spacing w:val="-34"/>
        </w:rPr>
        <w:t> </w:t>
      </w:r>
      <w:r>
        <w:rPr/>
        <w:t>julgamento</w:t>
      </w:r>
      <w:r>
        <w:rPr>
          <w:spacing w:val="-32"/>
        </w:rPr>
        <w:t> </w:t>
      </w:r>
      <w:r>
        <w:rPr/>
        <w:t>por</w:t>
      </w:r>
      <w:r>
        <w:rPr>
          <w:spacing w:val="-32"/>
        </w:rPr>
        <w:t> </w:t>
      </w:r>
      <w:r>
        <w:rPr/>
        <w:t>parte</w:t>
      </w:r>
      <w:r>
        <w:rPr>
          <w:spacing w:val="-32"/>
        </w:rPr>
        <w:t> </w:t>
      </w:r>
      <w:r>
        <w:rPr/>
        <w:t>da</w:t>
      </w:r>
      <w:r>
        <w:rPr>
          <w:spacing w:val="-32"/>
        </w:rPr>
        <w:t> </w:t>
      </w:r>
      <w:r>
        <w:rPr/>
        <w:t>Administração</w:t>
      </w:r>
      <w:r>
        <w:rPr>
          <w:spacing w:val="-33"/>
        </w:rPr>
        <w:t> </w:t>
      </w:r>
      <w:r>
        <w:rPr/>
        <w:t>da</w:t>
      </w:r>
      <w:r>
        <w:rPr>
          <w:spacing w:val="-32"/>
        </w:rPr>
        <w:t> </w:t>
      </w:r>
      <w:r>
        <w:rPr/>
        <w:t>Companhia</w:t>
      </w:r>
      <w:r>
        <w:rPr>
          <w:spacing w:val="-32"/>
        </w:rPr>
        <w:t> </w:t>
      </w:r>
      <w:r>
        <w:rPr/>
        <w:t>no</w:t>
      </w:r>
      <w:r>
        <w:rPr>
          <w:spacing w:val="-32"/>
        </w:rPr>
        <w:t> </w:t>
      </w:r>
      <w:r>
        <w:rPr/>
        <w:t>processo</w:t>
      </w:r>
      <w:r>
        <w:rPr>
          <w:spacing w:val="-33"/>
        </w:rPr>
        <w:t> </w:t>
      </w:r>
      <w:r>
        <w:rPr/>
        <w:t>de</w:t>
      </w:r>
      <w:r>
        <w:rPr>
          <w:spacing w:val="-33"/>
        </w:rPr>
        <w:t> </w:t>
      </w:r>
      <w:r>
        <w:rPr/>
        <w:t>aplicação</w:t>
      </w:r>
      <w:r>
        <w:rPr>
          <w:spacing w:val="-33"/>
        </w:rPr>
        <w:t> </w:t>
      </w:r>
      <w:r>
        <w:rPr/>
        <w:t>das</w:t>
      </w:r>
      <w:r>
        <w:rPr>
          <w:spacing w:val="-33"/>
        </w:rPr>
        <w:t> </w:t>
      </w:r>
      <w:r>
        <w:rPr/>
        <w:t>políticas</w:t>
      </w:r>
      <w:r>
        <w:rPr>
          <w:spacing w:val="-32"/>
        </w:rPr>
        <w:t> </w:t>
      </w:r>
      <w:r>
        <w:rPr/>
        <w:t>contábeis</w:t>
      </w:r>
      <w:r>
        <w:rPr>
          <w:spacing w:val="-31"/>
        </w:rPr>
        <w:t> </w:t>
      </w:r>
      <w:r>
        <w:rPr/>
        <w:t>do</w:t>
      </w:r>
      <w:r>
        <w:rPr>
          <w:spacing w:val="-33"/>
        </w:rPr>
        <w:t> </w:t>
      </w:r>
      <w:r>
        <w:rPr/>
        <w:t>Grupo e</w:t>
      </w:r>
      <w:r>
        <w:rPr>
          <w:spacing w:val="-34"/>
        </w:rPr>
        <w:t> </w:t>
      </w:r>
      <w:r>
        <w:rPr/>
        <w:t>os</w:t>
      </w:r>
      <w:r>
        <w:rPr>
          <w:spacing w:val="-32"/>
        </w:rPr>
        <w:t> </w:t>
      </w:r>
      <w:r>
        <w:rPr/>
        <w:t>valores</w:t>
      </w:r>
      <w:r>
        <w:rPr>
          <w:spacing w:val="-32"/>
        </w:rPr>
        <w:t> </w:t>
      </w:r>
      <w:r>
        <w:rPr/>
        <w:t>reportados</w:t>
      </w:r>
      <w:r>
        <w:rPr>
          <w:spacing w:val="-32"/>
        </w:rPr>
        <w:t> </w:t>
      </w:r>
      <w:r>
        <w:rPr/>
        <w:t>de</w:t>
      </w:r>
      <w:r>
        <w:rPr>
          <w:spacing w:val="-31"/>
        </w:rPr>
        <w:t> </w:t>
      </w:r>
      <w:r>
        <w:rPr/>
        <w:t>ativos,</w:t>
      </w:r>
      <w:r>
        <w:rPr>
          <w:spacing w:val="-32"/>
        </w:rPr>
        <w:t> </w:t>
      </w:r>
      <w:r>
        <w:rPr/>
        <w:t>passivos,</w:t>
      </w:r>
      <w:r>
        <w:rPr>
          <w:spacing w:val="-32"/>
        </w:rPr>
        <w:t> </w:t>
      </w:r>
      <w:r>
        <w:rPr/>
        <w:t>receitas</w:t>
      </w:r>
      <w:r>
        <w:rPr>
          <w:spacing w:val="-33"/>
        </w:rPr>
        <w:t> </w:t>
      </w:r>
      <w:r>
        <w:rPr/>
        <w:t>e</w:t>
      </w:r>
      <w:r>
        <w:rPr>
          <w:spacing w:val="-33"/>
        </w:rPr>
        <w:t> </w:t>
      </w:r>
      <w:r>
        <w:rPr/>
        <w:t>despesas.</w:t>
      </w:r>
      <w:r>
        <w:rPr>
          <w:spacing w:val="-32"/>
        </w:rPr>
        <w:t> </w:t>
      </w:r>
      <w:r>
        <w:rPr/>
        <w:t>Por</w:t>
      </w:r>
      <w:r>
        <w:rPr>
          <w:spacing w:val="-32"/>
        </w:rPr>
        <w:t> </w:t>
      </w:r>
      <w:r>
        <w:rPr/>
        <w:t>definição,</w:t>
      </w:r>
      <w:r>
        <w:rPr>
          <w:spacing w:val="-32"/>
        </w:rPr>
        <w:t> </w:t>
      </w:r>
      <w:r>
        <w:rPr/>
        <w:t>as</w:t>
      </w:r>
      <w:r>
        <w:rPr>
          <w:spacing w:val="-31"/>
        </w:rPr>
        <w:t> </w:t>
      </w:r>
      <w:r>
        <w:rPr/>
        <w:t>estimativas</w:t>
      </w:r>
      <w:r>
        <w:rPr>
          <w:spacing w:val="-32"/>
        </w:rPr>
        <w:t> </w:t>
      </w:r>
      <w:r>
        <w:rPr/>
        <w:t>contábeis</w:t>
      </w:r>
      <w:r>
        <w:rPr>
          <w:spacing w:val="-31"/>
        </w:rPr>
        <w:t> </w:t>
      </w:r>
      <w:r>
        <w:rPr/>
        <w:t>resultantes raramente serão iguais aos respectivos resultados reais. Desta forma, a Administração da Companhia revisa as estimativas e premissas adotadas de maneira contínua, baseada na experiência histórica e em outros fatores considerados</w:t>
      </w:r>
      <w:r>
        <w:rPr>
          <w:spacing w:val="-37"/>
        </w:rPr>
        <w:t> </w:t>
      </w:r>
      <w:r>
        <w:rPr/>
        <w:t>relevantes.</w:t>
      </w:r>
      <w:r>
        <w:rPr>
          <w:spacing w:val="-36"/>
        </w:rPr>
        <w:t> </w:t>
      </w:r>
      <w:r>
        <w:rPr/>
        <w:t>Os</w:t>
      </w:r>
      <w:r>
        <w:rPr>
          <w:spacing w:val="-36"/>
        </w:rPr>
        <w:t> </w:t>
      </w:r>
      <w:r>
        <w:rPr/>
        <w:t>ajustes</w:t>
      </w:r>
      <w:r>
        <w:rPr>
          <w:spacing w:val="-37"/>
        </w:rPr>
        <w:t> </w:t>
      </w:r>
      <w:r>
        <w:rPr/>
        <w:t>oriundos</w:t>
      </w:r>
      <w:r>
        <w:rPr>
          <w:spacing w:val="-36"/>
        </w:rPr>
        <w:t> </w:t>
      </w:r>
      <w:r>
        <w:rPr/>
        <w:t>destas</w:t>
      </w:r>
      <w:r>
        <w:rPr>
          <w:spacing w:val="-37"/>
        </w:rPr>
        <w:t> </w:t>
      </w:r>
      <w:r>
        <w:rPr/>
        <w:t>revisões</w:t>
      </w:r>
      <w:r>
        <w:rPr>
          <w:spacing w:val="-37"/>
        </w:rPr>
        <w:t> </w:t>
      </w:r>
      <w:r>
        <w:rPr/>
        <w:t>são</w:t>
      </w:r>
      <w:r>
        <w:rPr>
          <w:spacing w:val="-37"/>
        </w:rPr>
        <w:t> </w:t>
      </w:r>
      <w:r>
        <w:rPr/>
        <w:t>reconhecidos</w:t>
      </w:r>
      <w:r>
        <w:rPr>
          <w:spacing w:val="-36"/>
        </w:rPr>
        <w:t> </w:t>
      </w:r>
      <w:r>
        <w:rPr/>
        <w:t>no</w:t>
      </w:r>
      <w:r>
        <w:rPr>
          <w:spacing w:val="-36"/>
        </w:rPr>
        <w:t> </w:t>
      </w:r>
      <w:r>
        <w:rPr/>
        <w:t>período</w:t>
      </w:r>
      <w:r>
        <w:rPr>
          <w:spacing w:val="-36"/>
        </w:rPr>
        <w:t> </w:t>
      </w:r>
      <w:r>
        <w:rPr/>
        <w:t>em</w:t>
      </w:r>
      <w:r>
        <w:rPr>
          <w:spacing w:val="-38"/>
        </w:rPr>
        <w:t> </w:t>
      </w:r>
      <w:r>
        <w:rPr/>
        <w:t>que</w:t>
      </w:r>
      <w:r>
        <w:rPr>
          <w:spacing w:val="-38"/>
        </w:rPr>
        <w:t> </w:t>
      </w:r>
      <w:r>
        <w:rPr/>
        <w:t>as</w:t>
      </w:r>
      <w:r>
        <w:rPr>
          <w:spacing w:val="-36"/>
        </w:rPr>
        <w:t> </w:t>
      </w:r>
      <w:r>
        <w:rPr/>
        <w:t>estimativas</w:t>
      </w:r>
      <w:r>
        <w:rPr>
          <w:spacing w:val="-36"/>
        </w:rPr>
        <w:t> </w:t>
      </w:r>
      <w:r>
        <w:rPr/>
        <w:t>são revisadas</w:t>
      </w:r>
      <w:r>
        <w:rPr>
          <w:spacing w:val="-17"/>
        </w:rPr>
        <w:t> </w:t>
      </w:r>
      <w:r>
        <w:rPr/>
        <w:t>e</w:t>
      </w:r>
      <w:r>
        <w:rPr>
          <w:spacing w:val="-20"/>
        </w:rPr>
        <w:t> </w:t>
      </w:r>
      <w:r>
        <w:rPr/>
        <w:t>aplicadas</w:t>
      </w:r>
      <w:r>
        <w:rPr>
          <w:spacing w:val="-18"/>
        </w:rPr>
        <w:t> </w:t>
      </w:r>
      <w:r>
        <w:rPr/>
        <w:t>de</w:t>
      </w:r>
      <w:r>
        <w:rPr>
          <w:spacing w:val="-18"/>
        </w:rPr>
        <w:t> </w:t>
      </w:r>
      <w:r>
        <w:rPr/>
        <w:t>maneira</w:t>
      </w:r>
      <w:r>
        <w:rPr>
          <w:spacing w:val="-19"/>
        </w:rPr>
        <w:t> </w:t>
      </w:r>
      <w:r>
        <w:rPr/>
        <w:t>prospectiva.</w:t>
      </w:r>
    </w:p>
    <w:p>
      <w:pPr>
        <w:pStyle w:val="BodyText"/>
        <w:spacing w:before="7"/>
      </w:pPr>
    </w:p>
    <w:p>
      <w:pPr>
        <w:pStyle w:val="BodyText"/>
        <w:spacing w:line="242" w:lineRule="auto"/>
        <w:ind w:left="192" w:right="614"/>
        <w:jc w:val="both"/>
      </w:pPr>
      <w:r>
        <w:rPr/>
        <w:t>As</w:t>
      </w:r>
      <w:r>
        <w:rPr>
          <w:spacing w:val="-36"/>
        </w:rPr>
        <w:t> </w:t>
      </w:r>
      <w:r>
        <w:rPr/>
        <w:t>estimativas</w:t>
      </w:r>
      <w:r>
        <w:rPr>
          <w:spacing w:val="-35"/>
        </w:rPr>
        <w:t> </w:t>
      </w:r>
      <w:r>
        <w:rPr/>
        <w:t>e</w:t>
      </w:r>
      <w:r>
        <w:rPr>
          <w:spacing w:val="-37"/>
        </w:rPr>
        <w:t> </w:t>
      </w:r>
      <w:r>
        <w:rPr/>
        <w:t>premissas</w:t>
      </w:r>
      <w:r>
        <w:rPr>
          <w:spacing w:val="-36"/>
        </w:rPr>
        <w:t> </w:t>
      </w:r>
      <w:r>
        <w:rPr/>
        <w:t>que</w:t>
      </w:r>
      <w:r>
        <w:rPr>
          <w:spacing w:val="-36"/>
        </w:rPr>
        <w:t> </w:t>
      </w:r>
      <w:r>
        <w:rPr/>
        <w:t>apresentam</w:t>
      </w:r>
      <w:r>
        <w:rPr>
          <w:spacing w:val="-36"/>
        </w:rPr>
        <w:t> </w:t>
      </w:r>
      <w:r>
        <w:rPr/>
        <w:t>um</w:t>
      </w:r>
      <w:r>
        <w:rPr>
          <w:spacing w:val="-33"/>
        </w:rPr>
        <w:t> </w:t>
      </w:r>
      <w:r>
        <w:rPr/>
        <w:t>risco</w:t>
      </w:r>
      <w:r>
        <w:rPr>
          <w:spacing w:val="-35"/>
        </w:rPr>
        <w:t> </w:t>
      </w:r>
      <w:r>
        <w:rPr/>
        <w:t>significativo,</w:t>
      </w:r>
      <w:r>
        <w:rPr>
          <w:spacing w:val="-35"/>
        </w:rPr>
        <w:t> </w:t>
      </w:r>
      <w:r>
        <w:rPr/>
        <w:t>com</w:t>
      </w:r>
      <w:r>
        <w:rPr>
          <w:spacing w:val="-36"/>
        </w:rPr>
        <w:t> </w:t>
      </w:r>
      <w:r>
        <w:rPr/>
        <w:t>probabilidade</w:t>
      </w:r>
      <w:r>
        <w:rPr>
          <w:spacing w:val="-36"/>
        </w:rPr>
        <w:t> </w:t>
      </w:r>
      <w:r>
        <w:rPr/>
        <w:t>de</w:t>
      </w:r>
      <w:r>
        <w:rPr>
          <w:spacing w:val="-37"/>
        </w:rPr>
        <w:t> </w:t>
      </w:r>
      <w:r>
        <w:rPr/>
        <w:t>causar</w:t>
      </w:r>
      <w:r>
        <w:rPr>
          <w:spacing w:val="-37"/>
        </w:rPr>
        <w:t> </w:t>
      </w:r>
      <w:r>
        <w:rPr/>
        <w:t>um</w:t>
      </w:r>
      <w:r>
        <w:rPr>
          <w:spacing w:val="-35"/>
        </w:rPr>
        <w:t> </w:t>
      </w:r>
      <w:r>
        <w:rPr/>
        <w:t>ajuste</w:t>
      </w:r>
      <w:r>
        <w:rPr>
          <w:spacing w:val="-36"/>
        </w:rPr>
        <w:t> </w:t>
      </w:r>
      <w:r>
        <w:rPr/>
        <w:t>relevante nos</w:t>
      </w:r>
      <w:r>
        <w:rPr>
          <w:spacing w:val="-25"/>
        </w:rPr>
        <w:t> </w:t>
      </w:r>
      <w:r>
        <w:rPr/>
        <w:t>valores</w:t>
      </w:r>
      <w:r>
        <w:rPr>
          <w:spacing w:val="-25"/>
        </w:rPr>
        <w:t> </w:t>
      </w:r>
      <w:r>
        <w:rPr/>
        <w:t>contábeis</w:t>
      </w:r>
      <w:r>
        <w:rPr>
          <w:spacing w:val="-25"/>
        </w:rPr>
        <w:t> </w:t>
      </w:r>
      <w:r>
        <w:rPr/>
        <w:t>de</w:t>
      </w:r>
      <w:r>
        <w:rPr>
          <w:spacing w:val="-27"/>
        </w:rPr>
        <w:t> </w:t>
      </w:r>
      <w:r>
        <w:rPr/>
        <w:t>ativos</w:t>
      </w:r>
      <w:r>
        <w:rPr>
          <w:spacing w:val="-25"/>
        </w:rPr>
        <w:t> </w:t>
      </w:r>
      <w:r>
        <w:rPr/>
        <w:t>e</w:t>
      </w:r>
      <w:r>
        <w:rPr>
          <w:spacing w:val="-24"/>
        </w:rPr>
        <w:t> </w:t>
      </w:r>
      <w:r>
        <w:rPr/>
        <w:t>passivos</w:t>
      </w:r>
      <w:r>
        <w:rPr>
          <w:spacing w:val="-25"/>
        </w:rPr>
        <w:t> </w:t>
      </w:r>
      <w:r>
        <w:rPr/>
        <w:t>para</w:t>
      </w:r>
      <w:r>
        <w:rPr>
          <w:spacing w:val="-25"/>
        </w:rPr>
        <w:t> </w:t>
      </w:r>
      <w:r>
        <w:rPr/>
        <w:t>o</w:t>
      </w:r>
      <w:r>
        <w:rPr>
          <w:spacing w:val="-23"/>
        </w:rPr>
        <w:t> </w:t>
      </w:r>
      <w:r>
        <w:rPr/>
        <w:t>próximo</w:t>
      </w:r>
      <w:r>
        <w:rPr>
          <w:spacing w:val="-26"/>
        </w:rPr>
        <w:t> </w:t>
      </w:r>
      <w:r>
        <w:rPr/>
        <w:t>exercício</w:t>
      </w:r>
      <w:r>
        <w:rPr>
          <w:spacing w:val="-26"/>
        </w:rPr>
        <w:t> </w:t>
      </w:r>
      <w:r>
        <w:rPr/>
        <w:t>social,</w:t>
      </w:r>
      <w:r>
        <w:rPr>
          <w:spacing w:val="-26"/>
        </w:rPr>
        <w:t> </w:t>
      </w:r>
      <w:r>
        <w:rPr/>
        <w:t>estão</w:t>
      </w:r>
      <w:r>
        <w:rPr>
          <w:spacing w:val="-23"/>
        </w:rPr>
        <w:t> </w:t>
      </w:r>
      <w:r>
        <w:rPr/>
        <w:t>contempladas</w:t>
      </w:r>
      <w:r>
        <w:rPr>
          <w:spacing w:val="-25"/>
        </w:rPr>
        <w:t> </w:t>
      </w:r>
      <w:r>
        <w:rPr/>
        <w:t>a</w:t>
      </w:r>
      <w:r>
        <w:rPr>
          <w:spacing w:val="-25"/>
        </w:rPr>
        <w:t> </w:t>
      </w:r>
      <w:r>
        <w:rPr/>
        <w:t>seguir:</w:t>
      </w:r>
    </w:p>
    <w:p>
      <w:pPr>
        <w:pStyle w:val="BodyText"/>
        <w:spacing w:before="7"/>
      </w:pPr>
    </w:p>
    <w:p>
      <w:pPr>
        <w:pStyle w:val="Heading5"/>
        <w:numPr>
          <w:ilvl w:val="3"/>
          <w:numId w:val="9"/>
        </w:numPr>
        <w:tabs>
          <w:tab w:pos="1325" w:val="left" w:leader="none"/>
          <w:tab w:pos="1326" w:val="left" w:leader="none"/>
        </w:tabs>
        <w:spacing w:line="240" w:lineRule="auto" w:before="0" w:after="0"/>
        <w:ind w:left="1326" w:right="0" w:hanging="1134"/>
        <w:jc w:val="left"/>
      </w:pPr>
      <w:r>
        <w:rPr/>
        <w:t>Estimativa de perdas com créditos de liquidação</w:t>
      </w:r>
      <w:r>
        <w:rPr>
          <w:spacing w:val="-7"/>
        </w:rPr>
        <w:t> </w:t>
      </w:r>
      <w:r>
        <w:rPr/>
        <w:t>duvidosa</w:t>
      </w:r>
    </w:p>
    <w:p>
      <w:pPr>
        <w:pStyle w:val="BodyText"/>
        <w:spacing w:before="11"/>
        <w:rPr>
          <w:rFonts w:ascii="Caladea"/>
          <w:b/>
          <w:sz w:val="23"/>
        </w:rPr>
      </w:pPr>
    </w:p>
    <w:p>
      <w:pPr>
        <w:pStyle w:val="BodyText"/>
        <w:spacing w:line="242" w:lineRule="auto"/>
        <w:ind w:left="192" w:right="618"/>
        <w:jc w:val="both"/>
      </w:pPr>
      <w:r>
        <w:rPr/>
        <w:t>A</w:t>
      </w:r>
      <w:r>
        <w:rPr>
          <w:spacing w:val="-18"/>
        </w:rPr>
        <w:t> </w:t>
      </w:r>
      <w:r>
        <w:rPr/>
        <w:t>estimativa</w:t>
      </w:r>
      <w:r>
        <w:rPr>
          <w:spacing w:val="-18"/>
        </w:rPr>
        <w:t> </w:t>
      </w:r>
      <w:r>
        <w:rPr/>
        <w:t>de</w:t>
      </w:r>
      <w:r>
        <w:rPr>
          <w:spacing w:val="-17"/>
        </w:rPr>
        <w:t> </w:t>
      </w:r>
      <w:r>
        <w:rPr/>
        <w:t>perdas</w:t>
      </w:r>
      <w:r>
        <w:rPr>
          <w:spacing w:val="-17"/>
        </w:rPr>
        <w:t> </w:t>
      </w:r>
      <w:r>
        <w:rPr/>
        <w:t>com</w:t>
      </w:r>
      <w:r>
        <w:rPr>
          <w:spacing w:val="-17"/>
        </w:rPr>
        <w:t> </w:t>
      </w:r>
      <w:r>
        <w:rPr/>
        <w:t>créditos</w:t>
      </w:r>
      <w:r>
        <w:rPr>
          <w:spacing w:val="-16"/>
        </w:rPr>
        <w:t> </w:t>
      </w:r>
      <w:r>
        <w:rPr/>
        <w:t>de</w:t>
      </w:r>
      <w:r>
        <w:rPr>
          <w:spacing w:val="-18"/>
        </w:rPr>
        <w:t> </w:t>
      </w:r>
      <w:r>
        <w:rPr/>
        <w:t>liquidação</w:t>
      </w:r>
      <w:r>
        <w:rPr>
          <w:spacing w:val="-18"/>
        </w:rPr>
        <w:t> </w:t>
      </w:r>
      <w:r>
        <w:rPr/>
        <w:t>duvidosa</w:t>
      </w:r>
      <w:r>
        <w:rPr>
          <w:spacing w:val="-17"/>
        </w:rPr>
        <w:t> </w:t>
      </w:r>
      <w:r>
        <w:rPr/>
        <w:t>foi</w:t>
      </w:r>
      <w:r>
        <w:rPr>
          <w:spacing w:val="-17"/>
        </w:rPr>
        <w:t> </w:t>
      </w:r>
      <w:r>
        <w:rPr/>
        <w:t>constituída</w:t>
      </w:r>
      <w:r>
        <w:rPr>
          <w:spacing w:val="-17"/>
        </w:rPr>
        <w:t> </w:t>
      </w:r>
      <w:r>
        <w:rPr/>
        <w:t>com</w:t>
      </w:r>
      <w:r>
        <w:rPr>
          <w:spacing w:val="-17"/>
        </w:rPr>
        <w:t> </w:t>
      </w:r>
      <w:r>
        <w:rPr/>
        <w:t>base</w:t>
      </w:r>
      <w:r>
        <w:rPr>
          <w:spacing w:val="-19"/>
        </w:rPr>
        <w:t> </w:t>
      </w:r>
      <w:r>
        <w:rPr/>
        <w:t>na</w:t>
      </w:r>
      <w:r>
        <w:rPr>
          <w:spacing w:val="-16"/>
        </w:rPr>
        <w:t> </w:t>
      </w:r>
      <w:r>
        <w:rPr/>
        <w:t>estimativa</w:t>
      </w:r>
      <w:r>
        <w:rPr>
          <w:spacing w:val="-17"/>
        </w:rPr>
        <w:t> </w:t>
      </w:r>
      <w:r>
        <w:rPr/>
        <w:t>das</w:t>
      </w:r>
      <w:r>
        <w:rPr>
          <w:spacing w:val="-17"/>
        </w:rPr>
        <w:t> </w:t>
      </w:r>
      <w:r>
        <w:rPr/>
        <w:t>prováveis perdas que possam ocorrer na cobrança dos créditos, sendo os saldos demonstrados no ativo circulante ou</w:t>
      </w:r>
      <w:r>
        <w:rPr>
          <w:spacing w:val="-41"/>
        </w:rPr>
        <w:t> </w:t>
      </w:r>
      <w:r>
        <w:rPr/>
        <w:t>não circulante,</w:t>
      </w:r>
      <w:r>
        <w:rPr>
          <w:spacing w:val="-21"/>
        </w:rPr>
        <w:t> </w:t>
      </w:r>
      <w:r>
        <w:rPr/>
        <w:t>de</w:t>
      </w:r>
      <w:r>
        <w:rPr>
          <w:spacing w:val="-22"/>
        </w:rPr>
        <w:t> </w:t>
      </w:r>
      <w:r>
        <w:rPr/>
        <w:t>acordo</w:t>
      </w:r>
      <w:r>
        <w:rPr>
          <w:spacing w:val="-21"/>
        </w:rPr>
        <w:t> </w:t>
      </w:r>
      <w:r>
        <w:rPr/>
        <w:t>com</w:t>
      </w:r>
      <w:r>
        <w:rPr>
          <w:spacing w:val="-21"/>
        </w:rPr>
        <w:t> </w:t>
      </w:r>
      <w:r>
        <w:rPr/>
        <w:t>a</w:t>
      </w:r>
      <w:r>
        <w:rPr>
          <w:spacing w:val="-17"/>
        </w:rPr>
        <w:t> </w:t>
      </w:r>
      <w:r>
        <w:rPr/>
        <w:t>classificação</w:t>
      </w:r>
      <w:r>
        <w:rPr>
          <w:spacing w:val="-21"/>
        </w:rPr>
        <w:t> </w:t>
      </w:r>
      <w:r>
        <w:rPr/>
        <w:t>do</w:t>
      </w:r>
      <w:r>
        <w:rPr>
          <w:spacing w:val="-21"/>
        </w:rPr>
        <w:t> </w:t>
      </w:r>
      <w:r>
        <w:rPr/>
        <w:t>título</w:t>
      </w:r>
      <w:r>
        <w:rPr>
          <w:spacing w:val="-18"/>
        </w:rPr>
        <w:t> </w:t>
      </w:r>
      <w:r>
        <w:rPr/>
        <w:t>que</w:t>
      </w:r>
      <w:r>
        <w:rPr>
          <w:spacing w:val="-21"/>
        </w:rPr>
        <w:t> </w:t>
      </w:r>
      <w:r>
        <w:rPr/>
        <w:t>as</w:t>
      </w:r>
      <w:r>
        <w:rPr>
          <w:spacing w:val="-20"/>
        </w:rPr>
        <w:t> </w:t>
      </w:r>
      <w:r>
        <w:rPr/>
        <w:t>originaram.</w:t>
      </w:r>
    </w:p>
    <w:p>
      <w:pPr>
        <w:pStyle w:val="BodyText"/>
        <w:spacing w:before="7"/>
      </w:pPr>
    </w:p>
    <w:p>
      <w:pPr>
        <w:pStyle w:val="BodyText"/>
        <w:spacing w:line="242" w:lineRule="auto"/>
        <w:ind w:left="192" w:right="619"/>
        <w:jc w:val="both"/>
      </w:pPr>
      <w:r>
        <w:rPr/>
        <w:t>O</w:t>
      </w:r>
      <w:r>
        <w:rPr>
          <w:spacing w:val="-21"/>
        </w:rPr>
        <w:t> </w:t>
      </w:r>
      <w:r>
        <w:rPr/>
        <w:t>critério</w:t>
      </w:r>
      <w:r>
        <w:rPr>
          <w:spacing w:val="-19"/>
        </w:rPr>
        <w:t> </w:t>
      </w:r>
      <w:r>
        <w:rPr/>
        <w:t>utilizado</w:t>
      </w:r>
      <w:r>
        <w:rPr>
          <w:spacing w:val="-20"/>
        </w:rPr>
        <w:t> </w:t>
      </w:r>
      <w:r>
        <w:rPr/>
        <w:t>pelo</w:t>
      </w:r>
      <w:r>
        <w:rPr>
          <w:spacing w:val="-20"/>
        </w:rPr>
        <w:t> </w:t>
      </w:r>
      <w:r>
        <w:rPr/>
        <w:t>Grupo</w:t>
      </w:r>
      <w:r>
        <w:rPr>
          <w:spacing w:val="-19"/>
        </w:rPr>
        <w:t> </w:t>
      </w:r>
      <w:r>
        <w:rPr/>
        <w:t>para</w:t>
      </w:r>
      <w:r>
        <w:rPr>
          <w:spacing w:val="-19"/>
        </w:rPr>
        <w:t> </w:t>
      </w:r>
      <w:r>
        <w:rPr/>
        <w:t>constituir</w:t>
      </w:r>
      <w:r>
        <w:rPr>
          <w:spacing w:val="-21"/>
        </w:rPr>
        <w:t> </w:t>
      </w:r>
      <w:r>
        <w:rPr/>
        <w:t>a</w:t>
      </w:r>
      <w:r>
        <w:rPr>
          <w:spacing w:val="-17"/>
        </w:rPr>
        <w:t> </w:t>
      </w:r>
      <w:r>
        <w:rPr/>
        <w:t>provisão</w:t>
      </w:r>
      <w:r>
        <w:rPr>
          <w:spacing w:val="-20"/>
        </w:rPr>
        <w:t> </w:t>
      </w:r>
      <w:r>
        <w:rPr/>
        <w:t>para</w:t>
      </w:r>
      <w:r>
        <w:rPr>
          <w:spacing w:val="-19"/>
        </w:rPr>
        <w:t> </w:t>
      </w:r>
      <w:r>
        <w:rPr/>
        <w:t>créditos</w:t>
      </w:r>
      <w:r>
        <w:rPr>
          <w:spacing w:val="-19"/>
        </w:rPr>
        <w:t> </w:t>
      </w:r>
      <w:r>
        <w:rPr/>
        <w:t>de</w:t>
      </w:r>
      <w:r>
        <w:rPr>
          <w:spacing w:val="-21"/>
        </w:rPr>
        <w:t> </w:t>
      </w:r>
      <w:r>
        <w:rPr/>
        <w:t>liquidação</w:t>
      </w:r>
      <w:r>
        <w:rPr>
          <w:spacing w:val="-19"/>
        </w:rPr>
        <w:t> </w:t>
      </w:r>
      <w:r>
        <w:rPr/>
        <w:t>duvidosa</w:t>
      </w:r>
      <w:r>
        <w:rPr>
          <w:spacing w:val="-17"/>
        </w:rPr>
        <w:t> </w:t>
      </w:r>
      <w:r>
        <w:rPr/>
        <w:t>é</w:t>
      </w:r>
      <w:r>
        <w:rPr>
          <w:spacing w:val="-20"/>
        </w:rPr>
        <w:t> </w:t>
      </w:r>
      <w:r>
        <w:rPr/>
        <w:t>considerado</w:t>
      </w:r>
      <w:r>
        <w:rPr>
          <w:spacing w:val="-19"/>
        </w:rPr>
        <w:t> </w:t>
      </w:r>
      <w:r>
        <w:rPr/>
        <w:t>pela Administração</w:t>
      </w:r>
      <w:r>
        <w:rPr>
          <w:spacing w:val="-31"/>
        </w:rPr>
        <w:t> </w:t>
      </w:r>
      <w:r>
        <w:rPr/>
        <w:t>como</w:t>
      </w:r>
      <w:r>
        <w:rPr>
          <w:spacing w:val="-31"/>
        </w:rPr>
        <w:t> </w:t>
      </w:r>
      <w:r>
        <w:rPr/>
        <w:t>adequado</w:t>
      </w:r>
      <w:r>
        <w:rPr>
          <w:spacing w:val="-30"/>
        </w:rPr>
        <w:t> </w:t>
      </w:r>
      <w:r>
        <w:rPr/>
        <w:t>para</w:t>
      </w:r>
      <w:r>
        <w:rPr>
          <w:spacing w:val="-28"/>
        </w:rPr>
        <w:t> </w:t>
      </w:r>
      <w:r>
        <w:rPr/>
        <w:t>estimar</w:t>
      </w:r>
      <w:r>
        <w:rPr>
          <w:spacing w:val="-30"/>
        </w:rPr>
        <w:t> </w:t>
      </w:r>
      <w:r>
        <w:rPr/>
        <w:t>as</w:t>
      </w:r>
      <w:r>
        <w:rPr>
          <w:spacing w:val="-30"/>
        </w:rPr>
        <w:t> </w:t>
      </w:r>
      <w:r>
        <w:rPr/>
        <w:t>perdas</w:t>
      </w:r>
      <w:r>
        <w:rPr>
          <w:spacing w:val="-30"/>
        </w:rPr>
        <w:t> </w:t>
      </w:r>
      <w:r>
        <w:rPr/>
        <w:t>com</w:t>
      </w:r>
      <w:r>
        <w:rPr>
          <w:spacing w:val="-30"/>
        </w:rPr>
        <w:t> </w:t>
      </w:r>
      <w:r>
        <w:rPr/>
        <w:t>créditos</w:t>
      </w:r>
      <w:r>
        <w:rPr>
          <w:spacing w:val="-28"/>
        </w:rPr>
        <w:t> </w:t>
      </w:r>
      <w:r>
        <w:rPr/>
        <w:t>decorrentes</w:t>
      </w:r>
      <w:r>
        <w:rPr>
          <w:spacing w:val="-28"/>
        </w:rPr>
        <w:t> </w:t>
      </w:r>
      <w:r>
        <w:rPr/>
        <w:t>de</w:t>
      </w:r>
      <w:r>
        <w:rPr>
          <w:spacing w:val="-30"/>
        </w:rPr>
        <w:t> </w:t>
      </w:r>
      <w:r>
        <w:rPr/>
        <w:t>fornecimento</w:t>
      </w:r>
      <w:r>
        <w:rPr>
          <w:spacing w:val="-29"/>
        </w:rPr>
        <w:t> </w:t>
      </w:r>
      <w:r>
        <w:rPr/>
        <w:t>de</w:t>
      </w:r>
      <w:r>
        <w:rPr>
          <w:spacing w:val="-29"/>
        </w:rPr>
        <w:t> </w:t>
      </w:r>
      <w:r>
        <w:rPr/>
        <w:t>energia.</w:t>
      </w:r>
    </w:p>
    <w:p>
      <w:pPr>
        <w:pStyle w:val="BodyText"/>
        <w:spacing w:before="9"/>
      </w:pPr>
    </w:p>
    <w:p>
      <w:pPr>
        <w:pStyle w:val="BodyText"/>
        <w:spacing w:line="242" w:lineRule="auto"/>
        <w:ind w:left="192" w:right="613"/>
        <w:jc w:val="both"/>
      </w:pPr>
      <w:r>
        <w:rPr/>
        <w:t>Para</w:t>
      </w:r>
      <w:r>
        <w:rPr>
          <w:spacing w:val="-42"/>
        </w:rPr>
        <w:t> </w:t>
      </w:r>
      <w:r>
        <w:rPr/>
        <w:t>o</w:t>
      </w:r>
      <w:r>
        <w:rPr>
          <w:spacing w:val="-42"/>
        </w:rPr>
        <w:t> </w:t>
      </w:r>
      <w:r>
        <w:rPr/>
        <w:t>grupo</w:t>
      </w:r>
      <w:r>
        <w:rPr>
          <w:spacing w:val="-41"/>
        </w:rPr>
        <w:t> </w:t>
      </w:r>
      <w:r>
        <w:rPr/>
        <w:t>foi</w:t>
      </w:r>
      <w:r>
        <w:rPr>
          <w:spacing w:val="-41"/>
        </w:rPr>
        <w:t> </w:t>
      </w:r>
      <w:r>
        <w:rPr/>
        <w:t>definido</w:t>
      </w:r>
      <w:r>
        <w:rPr>
          <w:spacing w:val="-41"/>
        </w:rPr>
        <w:t> </w:t>
      </w:r>
      <w:r>
        <w:rPr/>
        <w:t>o</w:t>
      </w:r>
      <w:r>
        <w:rPr>
          <w:spacing w:val="-41"/>
        </w:rPr>
        <w:t> </w:t>
      </w:r>
      <w:r>
        <w:rPr/>
        <w:t>modelo</w:t>
      </w:r>
      <w:r>
        <w:rPr>
          <w:spacing w:val="-42"/>
        </w:rPr>
        <w:t> </w:t>
      </w:r>
      <w:r>
        <w:rPr/>
        <w:t>de</w:t>
      </w:r>
      <w:r>
        <w:rPr>
          <w:spacing w:val="-41"/>
        </w:rPr>
        <w:t> </w:t>
      </w:r>
      <w:r>
        <w:rPr/>
        <w:t>perdas</w:t>
      </w:r>
      <w:r>
        <w:rPr>
          <w:spacing w:val="-41"/>
        </w:rPr>
        <w:t> </w:t>
      </w:r>
      <w:r>
        <w:rPr/>
        <w:t>ao</w:t>
      </w:r>
      <w:r>
        <w:rPr>
          <w:spacing w:val="-42"/>
        </w:rPr>
        <w:t> </w:t>
      </w:r>
      <w:r>
        <w:rPr/>
        <w:t>valor</w:t>
      </w:r>
      <w:r>
        <w:rPr>
          <w:spacing w:val="-41"/>
        </w:rPr>
        <w:t> </w:t>
      </w:r>
      <w:r>
        <w:rPr/>
        <w:t>recuperável,</w:t>
      </w:r>
      <w:r>
        <w:rPr>
          <w:spacing w:val="-42"/>
        </w:rPr>
        <w:t> </w:t>
      </w:r>
      <w:r>
        <w:rPr/>
        <w:t>através</w:t>
      </w:r>
      <w:r>
        <w:rPr>
          <w:spacing w:val="-41"/>
        </w:rPr>
        <w:t> </w:t>
      </w:r>
      <w:r>
        <w:rPr/>
        <w:t>de</w:t>
      </w:r>
      <w:r>
        <w:rPr>
          <w:spacing w:val="-43"/>
        </w:rPr>
        <w:t> </w:t>
      </w:r>
      <w:r>
        <w:rPr/>
        <w:t>critérios</w:t>
      </w:r>
      <w:r>
        <w:rPr>
          <w:spacing w:val="-42"/>
        </w:rPr>
        <w:t> </w:t>
      </w:r>
      <w:r>
        <w:rPr/>
        <w:t>estabelecidos</w:t>
      </w:r>
      <w:r>
        <w:rPr>
          <w:spacing w:val="-42"/>
        </w:rPr>
        <w:t> </w:t>
      </w:r>
      <w:r>
        <w:rPr/>
        <w:t>para</w:t>
      </w:r>
      <w:r>
        <w:rPr>
          <w:spacing w:val="-40"/>
        </w:rPr>
        <w:t> </w:t>
      </w:r>
      <w:r>
        <w:rPr/>
        <w:t>cada</w:t>
      </w:r>
      <w:r>
        <w:rPr>
          <w:spacing w:val="-42"/>
        </w:rPr>
        <w:t> </w:t>
      </w:r>
      <w:r>
        <w:rPr/>
        <w:t>classe de</w:t>
      </w:r>
      <w:r>
        <w:rPr>
          <w:spacing w:val="-20"/>
        </w:rPr>
        <w:t> </w:t>
      </w:r>
      <w:r>
        <w:rPr/>
        <w:t>consumo,</w:t>
      </w:r>
      <w:r>
        <w:rPr>
          <w:spacing w:val="-17"/>
        </w:rPr>
        <w:t> </w:t>
      </w:r>
      <w:r>
        <w:rPr/>
        <w:t>conforme</w:t>
      </w:r>
      <w:r>
        <w:rPr>
          <w:spacing w:val="-20"/>
        </w:rPr>
        <w:t> </w:t>
      </w:r>
      <w:r>
        <w:rPr/>
        <w:t>definido</w:t>
      </w:r>
      <w:r>
        <w:rPr>
          <w:spacing w:val="-18"/>
        </w:rPr>
        <w:t> </w:t>
      </w:r>
      <w:r>
        <w:rPr/>
        <w:t>no</w:t>
      </w:r>
      <w:r>
        <w:rPr>
          <w:spacing w:val="-18"/>
        </w:rPr>
        <w:t> </w:t>
      </w:r>
      <w:r>
        <w:rPr/>
        <w:t>Manual</w:t>
      </w:r>
      <w:r>
        <w:rPr>
          <w:spacing w:val="-18"/>
        </w:rPr>
        <w:t> </w:t>
      </w:r>
      <w:r>
        <w:rPr/>
        <w:t>de</w:t>
      </w:r>
      <w:r>
        <w:rPr>
          <w:spacing w:val="-19"/>
        </w:rPr>
        <w:t> </w:t>
      </w:r>
      <w:r>
        <w:rPr/>
        <w:t>Contabilidade</w:t>
      </w:r>
      <w:r>
        <w:rPr>
          <w:spacing w:val="-19"/>
        </w:rPr>
        <w:t> </w:t>
      </w:r>
      <w:r>
        <w:rPr/>
        <w:t>do</w:t>
      </w:r>
      <w:r>
        <w:rPr>
          <w:spacing w:val="-20"/>
        </w:rPr>
        <w:t> </w:t>
      </w:r>
      <w:r>
        <w:rPr/>
        <w:t>Setor</w:t>
      </w:r>
      <w:r>
        <w:rPr>
          <w:spacing w:val="-19"/>
        </w:rPr>
        <w:t> </w:t>
      </w:r>
      <w:r>
        <w:rPr/>
        <w:t>Elétrico,</w:t>
      </w:r>
      <w:r>
        <w:rPr>
          <w:spacing w:val="-17"/>
        </w:rPr>
        <w:t> </w:t>
      </w:r>
      <w:r>
        <w:rPr/>
        <w:t>bem</w:t>
      </w:r>
      <w:r>
        <w:rPr>
          <w:spacing w:val="-20"/>
        </w:rPr>
        <w:t> </w:t>
      </w:r>
      <w:r>
        <w:rPr/>
        <w:t>com</w:t>
      </w:r>
      <w:r>
        <w:rPr>
          <w:spacing w:val="-17"/>
        </w:rPr>
        <w:t> </w:t>
      </w:r>
      <w:r>
        <w:rPr/>
        <w:t>o</w:t>
      </w:r>
      <w:r>
        <w:rPr>
          <w:spacing w:val="-19"/>
        </w:rPr>
        <w:t> </w:t>
      </w:r>
      <w:r>
        <w:rPr/>
        <w:t>incremento</w:t>
      </w:r>
      <w:r>
        <w:rPr>
          <w:spacing w:val="-18"/>
        </w:rPr>
        <w:t> </w:t>
      </w:r>
      <w:r>
        <w:rPr/>
        <w:t>do</w:t>
      </w:r>
      <w:r>
        <w:rPr>
          <w:spacing w:val="-17"/>
        </w:rPr>
        <w:t> </w:t>
      </w:r>
      <w:r>
        <w:rPr/>
        <w:t>risco</w:t>
      </w:r>
      <w:r>
        <w:rPr>
          <w:spacing w:val="-19"/>
        </w:rPr>
        <w:t> </w:t>
      </w:r>
      <w:r>
        <w:rPr/>
        <w:t>de recebimento</w:t>
      </w:r>
      <w:r>
        <w:rPr>
          <w:spacing w:val="-23"/>
        </w:rPr>
        <w:t> </w:t>
      </w:r>
      <w:r>
        <w:rPr/>
        <w:t>das</w:t>
      </w:r>
      <w:r>
        <w:rPr>
          <w:spacing w:val="-24"/>
        </w:rPr>
        <w:t> </w:t>
      </w:r>
      <w:r>
        <w:rPr/>
        <w:t>faturas</w:t>
      </w:r>
      <w:r>
        <w:rPr>
          <w:spacing w:val="-24"/>
        </w:rPr>
        <w:t> </w:t>
      </w:r>
      <w:r>
        <w:rPr/>
        <w:t>adjacentes</w:t>
      </w:r>
      <w:r>
        <w:rPr>
          <w:spacing w:val="-21"/>
        </w:rPr>
        <w:t> </w:t>
      </w:r>
      <w:r>
        <w:rPr/>
        <w:t>aos</w:t>
      </w:r>
      <w:r>
        <w:rPr>
          <w:spacing w:val="-24"/>
        </w:rPr>
        <w:t> </w:t>
      </w:r>
      <w:r>
        <w:rPr/>
        <w:t>clientes</w:t>
      </w:r>
      <w:r>
        <w:rPr>
          <w:spacing w:val="-22"/>
        </w:rPr>
        <w:t> </w:t>
      </w:r>
      <w:r>
        <w:rPr/>
        <w:t>que</w:t>
      </w:r>
      <w:r>
        <w:rPr>
          <w:spacing w:val="-25"/>
        </w:rPr>
        <w:t> </w:t>
      </w:r>
      <w:r>
        <w:rPr/>
        <w:t>possuem</w:t>
      </w:r>
      <w:r>
        <w:rPr>
          <w:spacing w:val="-25"/>
        </w:rPr>
        <w:t> </w:t>
      </w:r>
      <w:r>
        <w:rPr/>
        <w:t>um</w:t>
      </w:r>
      <w:r>
        <w:rPr>
          <w:spacing w:val="-25"/>
        </w:rPr>
        <w:t> </w:t>
      </w:r>
      <w:r>
        <w:rPr/>
        <w:t>histórico</w:t>
      </w:r>
      <w:r>
        <w:rPr>
          <w:spacing w:val="-24"/>
        </w:rPr>
        <w:t> </w:t>
      </w:r>
      <w:r>
        <w:rPr/>
        <w:t>de</w:t>
      </w:r>
      <w:r>
        <w:rPr>
          <w:spacing w:val="-23"/>
        </w:rPr>
        <w:t> </w:t>
      </w:r>
      <w:r>
        <w:rPr/>
        <w:t>inadimplemento.</w:t>
      </w:r>
    </w:p>
    <w:p>
      <w:pPr>
        <w:pStyle w:val="BodyText"/>
        <w:spacing w:before="5"/>
      </w:pPr>
    </w:p>
    <w:p>
      <w:pPr>
        <w:pStyle w:val="Heading5"/>
        <w:numPr>
          <w:ilvl w:val="3"/>
          <w:numId w:val="9"/>
        </w:numPr>
        <w:tabs>
          <w:tab w:pos="1325" w:val="left" w:leader="none"/>
          <w:tab w:pos="1326" w:val="left" w:leader="none"/>
        </w:tabs>
        <w:spacing w:line="240" w:lineRule="auto" w:before="0" w:after="0"/>
        <w:ind w:left="1326" w:right="0" w:hanging="1134"/>
        <w:jc w:val="left"/>
      </w:pPr>
      <w:r>
        <w:rPr/>
        <w:t>Perda por redução ao valor recuperável de ativos não financeiros</w:t>
      </w:r>
      <w:r>
        <w:rPr>
          <w:spacing w:val="20"/>
        </w:rPr>
        <w:t> </w:t>
      </w:r>
      <w:r>
        <w:rPr/>
        <w:t>(</w:t>
      </w:r>
      <w:r>
        <w:rPr>
          <w:rFonts w:ascii="Times New Roman" w:hAnsi="Times New Roman"/>
          <w:i/>
        </w:rPr>
        <w:t>impairment</w:t>
      </w:r>
      <w:r>
        <w:rPr/>
        <w:t>)</w:t>
      </w:r>
    </w:p>
    <w:p>
      <w:pPr>
        <w:pStyle w:val="BodyText"/>
        <w:spacing w:before="10"/>
        <w:rPr>
          <w:rFonts w:ascii="Caladea"/>
          <w:b/>
          <w:sz w:val="23"/>
        </w:rPr>
      </w:pPr>
    </w:p>
    <w:p>
      <w:pPr>
        <w:pStyle w:val="BodyText"/>
        <w:spacing w:line="247" w:lineRule="auto"/>
        <w:ind w:left="192" w:right="608"/>
        <w:jc w:val="both"/>
      </w:pPr>
      <w:r>
        <w:rPr/>
        <w:t>Uma</w:t>
      </w:r>
      <w:r>
        <w:rPr>
          <w:spacing w:val="-26"/>
        </w:rPr>
        <w:t> </w:t>
      </w:r>
      <w:r>
        <w:rPr/>
        <w:t>perda</w:t>
      </w:r>
      <w:r>
        <w:rPr>
          <w:spacing w:val="-26"/>
        </w:rPr>
        <w:t> </w:t>
      </w:r>
      <w:r>
        <w:rPr/>
        <w:t>por</w:t>
      </w:r>
      <w:r>
        <w:rPr>
          <w:spacing w:val="-25"/>
        </w:rPr>
        <w:t> </w:t>
      </w:r>
      <w:r>
        <w:rPr/>
        <w:t>redução</w:t>
      </w:r>
      <w:r>
        <w:rPr>
          <w:spacing w:val="-26"/>
        </w:rPr>
        <w:t> </w:t>
      </w:r>
      <w:r>
        <w:rPr/>
        <w:t>ao</w:t>
      </w:r>
      <w:r>
        <w:rPr>
          <w:spacing w:val="-27"/>
        </w:rPr>
        <w:t> </w:t>
      </w:r>
      <w:r>
        <w:rPr/>
        <w:t>valor</w:t>
      </w:r>
      <w:r>
        <w:rPr>
          <w:spacing w:val="-26"/>
        </w:rPr>
        <w:t> </w:t>
      </w:r>
      <w:r>
        <w:rPr/>
        <w:t>recuperável</w:t>
      </w:r>
      <w:r>
        <w:rPr>
          <w:spacing w:val="-24"/>
        </w:rPr>
        <w:t> </w:t>
      </w:r>
      <w:r>
        <w:rPr/>
        <w:t>existe</w:t>
      </w:r>
      <w:r>
        <w:rPr>
          <w:spacing w:val="-26"/>
        </w:rPr>
        <w:t> </w:t>
      </w:r>
      <w:r>
        <w:rPr/>
        <w:t>quando</w:t>
      </w:r>
      <w:r>
        <w:rPr>
          <w:spacing w:val="-26"/>
        </w:rPr>
        <w:t> </w:t>
      </w:r>
      <w:r>
        <w:rPr/>
        <w:t>o</w:t>
      </w:r>
      <w:r>
        <w:rPr>
          <w:spacing w:val="-24"/>
        </w:rPr>
        <w:t> </w:t>
      </w:r>
      <w:r>
        <w:rPr/>
        <w:t>registro</w:t>
      </w:r>
      <w:r>
        <w:rPr>
          <w:spacing w:val="-25"/>
        </w:rPr>
        <w:t> </w:t>
      </w:r>
      <w:r>
        <w:rPr/>
        <w:t>contábil</w:t>
      </w:r>
      <w:r>
        <w:rPr>
          <w:spacing w:val="-24"/>
        </w:rPr>
        <w:t> </w:t>
      </w:r>
      <w:r>
        <w:rPr/>
        <w:t>de</w:t>
      </w:r>
      <w:r>
        <w:rPr>
          <w:spacing w:val="-28"/>
        </w:rPr>
        <w:t> </w:t>
      </w:r>
      <w:r>
        <w:rPr/>
        <w:t>um</w:t>
      </w:r>
      <w:r>
        <w:rPr>
          <w:spacing w:val="-25"/>
        </w:rPr>
        <w:t> </w:t>
      </w:r>
      <w:r>
        <w:rPr/>
        <w:t>ativo</w:t>
      </w:r>
      <w:r>
        <w:rPr>
          <w:spacing w:val="-25"/>
        </w:rPr>
        <w:t> </w:t>
      </w:r>
      <w:r>
        <w:rPr/>
        <w:t>ou</w:t>
      </w:r>
      <w:r>
        <w:rPr>
          <w:spacing w:val="-25"/>
        </w:rPr>
        <w:t> </w:t>
      </w:r>
      <w:r>
        <w:rPr/>
        <w:t>unidade</w:t>
      </w:r>
      <w:r>
        <w:rPr>
          <w:spacing w:val="-26"/>
        </w:rPr>
        <w:t> </w:t>
      </w:r>
      <w:r>
        <w:rPr/>
        <w:t>geradora</w:t>
      </w:r>
      <w:r>
        <w:rPr>
          <w:spacing w:val="-22"/>
        </w:rPr>
        <w:t> </w:t>
      </w:r>
      <w:r>
        <w:rPr/>
        <w:t>de caixa</w:t>
      </w:r>
      <w:r>
        <w:rPr>
          <w:spacing w:val="-49"/>
        </w:rPr>
        <w:t> </w:t>
      </w:r>
      <w:r>
        <w:rPr/>
        <w:t>excede</w:t>
      </w:r>
      <w:r>
        <w:rPr>
          <w:spacing w:val="-49"/>
        </w:rPr>
        <w:t> </w:t>
      </w:r>
      <w:r>
        <w:rPr/>
        <w:t>o</w:t>
      </w:r>
      <w:r>
        <w:rPr>
          <w:spacing w:val="-49"/>
        </w:rPr>
        <w:t> </w:t>
      </w:r>
      <w:r>
        <w:rPr/>
        <w:t>seu</w:t>
      </w:r>
      <w:r>
        <w:rPr>
          <w:spacing w:val="-48"/>
        </w:rPr>
        <w:t> </w:t>
      </w:r>
      <w:r>
        <w:rPr/>
        <w:t>valor</w:t>
      </w:r>
      <w:r>
        <w:rPr>
          <w:spacing w:val="-49"/>
        </w:rPr>
        <w:t> </w:t>
      </w:r>
      <w:r>
        <w:rPr/>
        <w:t>recuperável,</w:t>
      </w:r>
      <w:r>
        <w:rPr>
          <w:spacing w:val="-48"/>
        </w:rPr>
        <w:t> </w:t>
      </w:r>
      <w:r>
        <w:rPr/>
        <w:t>que</w:t>
      </w:r>
      <w:r>
        <w:rPr>
          <w:spacing w:val="-50"/>
        </w:rPr>
        <w:t> </w:t>
      </w:r>
      <w:r>
        <w:rPr/>
        <w:t>corresponde</w:t>
      </w:r>
      <w:r>
        <w:rPr>
          <w:spacing w:val="-48"/>
        </w:rPr>
        <w:t> </w:t>
      </w:r>
      <w:r>
        <w:rPr/>
        <w:t>ao</w:t>
      </w:r>
      <w:r>
        <w:rPr>
          <w:spacing w:val="-49"/>
        </w:rPr>
        <w:t> </w:t>
      </w:r>
      <w:r>
        <w:rPr/>
        <w:t>maior</w:t>
      </w:r>
      <w:r>
        <w:rPr>
          <w:spacing w:val="-49"/>
        </w:rPr>
        <w:t> </w:t>
      </w:r>
      <w:r>
        <w:rPr/>
        <w:t>montante</w:t>
      </w:r>
      <w:r>
        <w:rPr>
          <w:spacing w:val="-48"/>
        </w:rPr>
        <w:t> </w:t>
      </w:r>
      <w:r>
        <w:rPr/>
        <w:t>entre</w:t>
      </w:r>
      <w:r>
        <w:rPr>
          <w:spacing w:val="-49"/>
        </w:rPr>
        <w:t> </w:t>
      </w:r>
      <w:r>
        <w:rPr/>
        <w:t>o</w:t>
      </w:r>
      <w:r>
        <w:rPr>
          <w:spacing w:val="-47"/>
        </w:rPr>
        <w:t> </w:t>
      </w:r>
      <w:r>
        <w:rPr/>
        <w:t>“valor</w:t>
      </w:r>
      <w:r>
        <w:rPr>
          <w:spacing w:val="-49"/>
        </w:rPr>
        <w:t> </w:t>
      </w:r>
      <w:r>
        <w:rPr/>
        <w:t>justo</w:t>
      </w:r>
      <w:r>
        <w:rPr>
          <w:spacing w:val="-49"/>
        </w:rPr>
        <w:t> </w:t>
      </w:r>
      <w:r>
        <w:rPr/>
        <w:t>menos</w:t>
      </w:r>
      <w:r>
        <w:rPr>
          <w:spacing w:val="-48"/>
        </w:rPr>
        <w:t> </w:t>
      </w:r>
      <w:r>
        <w:rPr/>
        <w:t>custos</w:t>
      </w:r>
      <w:r>
        <w:rPr>
          <w:spacing w:val="-49"/>
        </w:rPr>
        <w:t> </w:t>
      </w:r>
      <w:r>
        <w:rPr/>
        <w:t>de</w:t>
      </w:r>
      <w:r>
        <w:rPr>
          <w:spacing w:val="-49"/>
        </w:rPr>
        <w:t> </w:t>
      </w:r>
      <w:r>
        <w:rPr/>
        <w:t>venda” e</w:t>
      </w:r>
      <w:r>
        <w:rPr>
          <w:spacing w:val="-34"/>
        </w:rPr>
        <w:t> </w:t>
      </w:r>
      <w:r>
        <w:rPr/>
        <w:t>o</w:t>
      </w:r>
      <w:r>
        <w:rPr>
          <w:spacing w:val="-33"/>
        </w:rPr>
        <w:t> </w:t>
      </w:r>
      <w:r>
        <w:rPr/>
        <w:t>“valor</w:t>
      </w:r>
      <w:r>
        <w:rPr>
          <w:spacing w:val="-32"/>
        </w:rPr>
        <w:t> </w:t>
      </w:r>
      <w:r>
        <w:rPr/>
        <w:t>em</w:t>
      </w:r>
      <w:r>
        <w:rPr>
          <w:spacing w:val="-34"/>
        </w:rPr>
        <w:t> </w:t>
      </w:r>
      <w:r>
        <w:rPr/>
        <w:t>uso”.</w:t>
      </w:r>
      <w:r>
        <w:rPr>
          <w:spacing w:val="-33"/>
        </w:rPr>
        <w:t> </w:t>
      </w:r>
      <w:r>
        <w:rPr/>
        <w:t>O</w:t>
      </w:r>
      <w:r>
        <w:rPr>
          <w:spacing w:val="-33"/>
        </w:rPr>
        <w:t> </w:t>
      </w:r>
      <w:r>
        <w:rPr/>
        <w:t>cálculo</w:t>
      </w:r>
      <w:r>
        <w:rPr>
          <w:spacing w:val="-33"/>
        </w:rPr>
        <w:t> </w:t>
      </w:r>
      <w:r>
        <w:rPr/>
        <w:t>é</w:t>
      </w:r>
      <w:r>
        <w:rPr>
          <w:spacing w:val="-34"/>
        </w:rPr>
        <w:t> </w:t>
      </w:r>
      <w:r>
        <w:rPr/>
        <w:t>baseado</w:t>
      </w:r>
      <w:r>
        <w:rPr>
          <w:spacing w:val="-33"/>
        </w:rPr>
        <w:t> </w:t>
      </w:r>
      <w:r>
        <w:rPr/>
        <w:t>em</w:t>
      </w:r>
      <w:r>
        <w:rPr>
          <w:spacing w:val="-33"/>
        </w:rPr>
        <w:t> </w:t>
      </w:r>
      <w:r>
        <w:rPr/>
        <w:t>informações</w:t>
      </w:r>
      <w:r>
        <w:rPr>
          <w:spacing w:val="-31"/>
        </w:rPr>
        <w:t> </w:t>
      </w:r>
      <w:r>
        <w:rPr/>
        <w:t>disponíveis</w:t>
      </w:r>
      <w:r>
        <w:rPr>
          <w:spacing w:val="-33"/>
        </w:rPr>
        <w:t> </w:t>
      </w:r>
      <w:r>
        <w:rPr/>
        <w:t>de</w:t>
      </w:r>
      <w:r>
        <w:rPr>
          <w:spacing w:val="-33"/>
        </w:rPr>
        <w:t> </w:t>
      </w:r>
      <w:r>
        <w:rPr/>
        <w:t>“transações</w:t>
      </w:r>
      <w:r>
        <w:rPr>
          <w:spacing w:val="-33"/>
        </w:rPr>
        <w:t> </w:t>
      </w:r>
      <w:r>
        <w:rPr/>
        <w:t>de</w:t>
      </w:r>
      <w:r>
        <w:rPr>
          <w:spacing w:val="-34"/>
        </w:rPr>
        <w:t> </w:t>
      </w:r>
      <w:r>
        <w:rPr/>
        <w:t>venda</w:t>
      </w:r>
      <w:r>
        <w:rPr>
          <w:spacing w:val="-32"/>
        </w:rPr>
        <w:t> </w:t>
      </w:r>
      <w:r>
        <w:rPr/>
        <w:t>de</w:t>
      </w:r>
      <w:r>
        <w:rPr>
          <w:spacing w:val="-34"/>
        </w:rPr>
        <w:t> </w:t>
      </w:r>
      <w:r>
        <w:rPr/>
        <w:t>ativos</w:t>
      </w:r>
      <w:r>
        <w:rPr>
          <w:spacing w:val="-33"/>
        </w:rPr>
        <w:t> </w:t>
      </w:r>
      <w:r>
        <w:rPr/>
        <w:t>similares”</w:t>
      </w:r>
      <w:r>
        <w:rPr>
          <w:spacing w:val="-32"/>
        </w:rPr>
        <w:t> </w:t>
      </w:r>
      <w:r>
        <w:rPr/>
        <w:t>ou “preços</w:t>
      </w:r>
      <w:r>
        <w:rPr>
          <w:spacing w:val="-42"/>
        </w:rPr>
        <w:t> </w:t>
      </w:r>
      <w:r>
        <w:rPr/>
        <w:t>de</w:t>
      </w:r>
      <w:r>
        <w:rPr>
          <w:spacing w:val="-42"/>
        </w:rPr>
        <w:t> </w:t>
      </w:r>
      <w:r>
        <w:rPr/>
        <w:t>mercado</w:t>
      </w:r>
      <w:r>
        <w:rPr>
          <w:spacing w:val="-42"/>
        </w:rPr>
        <w:t> </w:t>
      </w:r>
      <w:r>
        <w:rPr/>
        <w:t>menos</w:t>
      </w:r>
      <w:r>
        <w:rPr>
          <w:spacing w:val="-42"/>
        </w:rPr>
        <w:t> </w:t>
      </w:r>
      <w:r>
        <w:rPr/>
        <w:t>custos</w:t>
      </w:r>
      <w:r>
        <w:rPr>
          <w:spacing w:val="-42"/>
        </w:rPr>
        <w:t> </w:t>
      </w:r>
      <w:r>
        <w:rPr/>
        <w:t>adicionais”</w:t>
      </w:r>
      <w:r>
        <w:rPr>
          <w:spacing w:val="-42"/>
        </w:rPr>
        <w:t> </w:t>
      </w:r>
      <w:r>
        <w:rPr/>
        <w:t>para</w:t>
      </w:r>
      <w:r>
        <w:rPr>
          <w:spacing w:val="-42"/>
        </w:rPr>
        <w:t> </w:t>
      </w:r>
      <w:r>
        <w:rPr/>
        <w:t>descartar</w:t>
      </w:r>
      <w:r>
        <w:rPr>
          <w:spacing w:val="-42"/>
        </w:rPr>
        <w:t> </w:t>
      </w:r>
      <w:r>
        <w:rPr/>
        <w:t>o</w:t>
      </w:r>
      <w:r>
        <w:rPr>
          <w:spacing w:val="-41"/>
        </w:rPr>
        <w:t> </w:t>
      </w:r>
      <w:r>
        <w:rPr/>
        <w:t>ativo,</w:t>
      </w:r>
      <w:r>
        <w:rPr>
          <w:spacing w:val="-42"/>
        </w:rPr>
        <w:t> </w:t>
      </w:r>
      <w:r>
        <w:rPr/>
        <w:t>e</w:t>
      </w:r>
      <w:r>
        <w:rPr>
          <w:spacing w:val="-42"/>
        </w:rPr>
        <w:t> </w:t>
      </w:r>
      <w:r>
        <w:rPr/>
        <w:t>utiliza</w:t>
      </w:r>
      <w:r>
        <w:rPr>
          <w:spacing w:val="-41"/>
        </w:rPr>
        <w:t> </w:t>
      </w:r>
      <w:r>
        <w:rPr/>
        <w:t>o</w:t>
      </w:r>
      <w:r>
        <w:rPr>
          <w:spacing w:val="-41"/>
        </w:rPr>
        <w:t> </w:t>
      </w:r>
      <w:r>
        <w:rPr/>
        <w:t>modelo</w:t>
      </w:r>
      <w:r>
        <w:rPr>
          <w:spacing w:val="-43"/>
        </w:rPr>
        <w:t> </w:t>
      </w:r>
      <w:r>
        <w:rPr/>
        <w:t>de</w:t>
      </w:r>
      <w:r>
        <w:rPr>
          <w:spacing w:val="-42"/>
        </w:rPr>
        <w:t> </w:t>
      </w:r>
      <w:r>
        <w:rPr/>
        <w:t>fluxo</w:t>
      </w:r>
      <w:r>
        <w:rPr>
          <w:spacing w:val="-41"/>
        </w:rPr>
        <w:t> </w:t>
      </w:r>
      <w:r>
        <w:rPr/>
        <w:t>de</w:t>
      </w:r>
      <w:r>
        <w:rPr>
          <w:spacing w:val="-43"/>
        </w:rPr>
        <w:t> </w:t>
      </w:r>
      <w:r>
        <w:rPr/>
        <w:t>caixa</w:t>
      </w:r>
      <w:r>
        <w:rPr>
          <w:spacing w:val="-41"/>
        </w:rPr>
        <w:t> </w:t>
      </w:r>
      <w:r>
        <w:rPr/>
        <w:t>descontado. Os</w:t>
      </w:r>
      <w:r>
        <w:rPr>
          <w:spacing w:val="-32"/>
        </w:rPr>
        <w:t> </w:t>
      </w:r>
      <w:r>
        <w:rPr/>
        <w:t>fluxos</w:t>
      </w:r>
      <w:r>
        <w:rPr>
          <w:spacing w:val="-31"/>
        </w:rPr>
        <w:t> </w:t>
      </w:r>
      <w:r>
        <w:rPr/>
        <w:t>de</w:t>
      </w:r>
      <w:r>
        <w:rPr>
          <w:spacing w:val="-33"/>
        </w:rPr>
        <w:t> </w:t>
      </w:r>
      <w:r>
        <w:rPr/>
        <w:t>caixa</w:t>
      </w:r>
      <w:r>
        <w:rPr>
          <w:spacing w:val="-31"/>
        </w:rPr>
        <w:t> </w:t>
      </w:r>
      <w:r>
        <w:rPr/>
        <w:t>derivam</w:t>
      </w:r>
      <w:r>
        <w:rPr>
          <w:spacing w:val="-32"/>
        </w:rPr>
        <w:t> </w:t>
      </w:r>
      <w:r>
        <w:rPr/>
        <w:t>do</w:t>
      </w:r>
      <w:r>
        <w:rPr>
          <w:spacing w:val="-32"/>
        </w:rPr>
        <w:t> </w:t>
      </w:r>
      <w:r>
        <w:rPr/>
        <w:t>orçamento</w:t>
      </w:r>
      <w:r>
        <w:rPr>
          <w:spacing w:val="-31"/>
        </w:rPr>
        <w:t> </w:t>
      </w:r>
      <w:r>
        <w:rPr/>
        <w:t>até</w:t>
      </w:r>
      <w:r>
        <w:rPr>
          <w:spacing w:val="-33"/>
        </w:rPr>
        <w:t> </w:t>
      </w:r>
      <w:r>
        <w:rPr/>
        <w:t>o</w:t>
      </w:r>
      <w:r>
        <w:rPr>
          <w:spacing w:val="-30"/>
        </w:rPr>
        <w:t> </w:t>
      </w:r>
      <w:r>
        <w:rPr/>
        <w:t>final</w:t>
      </w:r>
      <w:r>
        <w:rPr>
          <w:spacing w:val="-32"/>
        </w:rPr>
        <w:t> </w:t>
      </w:r>
      <w:r>
        <w:rPr/>
        <w:t>da</w:t>
      </w:r>
      <w:r>
        <w:rPr>
          <w:spacing w:val="-31"/>
        </w:rPr>
        <w:t> </w:t>
      </w:r>
      <w:r>
        <w:rPr/>
        <w:t>concessão</w:t>
      </w:r>
      <w:r>
        <w:rPr>
          <w:spacing w:val="-30"/>
        </w:rPr>
        <w:t> </w:t>
      </w:r>
      <w:r>
        <w:rPr/>
        <w:t>e</w:t>
      </w:r>
      <w:r>
        <w:rPr>
          <w:spacing w:val="-32"/>
        </w:rPr>
        <w:t> </w:t>
      </w:r>
      <w:r>
        <w:rPr/>
        <w:t>não</w:t>
      </w:r>
      <w:r>
        <w:rPr>
          <w:spacing w:val="-31"/>
        </w:rPr>
        <w:t> </w:t>
      </w:r>
      <w:r>
        <w:rPr/>
        <w:t>incluem</w:t>
      </w:r>
      <w:r>
        <w:rPr>
          <w:spacing w:val="-32"/>
        </w:rPr>
        <w:t> </w:t>
      </w:r>
      <w:r>
        <w:rPr/>
        <w:t>atividades</w:t>
      </w:r>
      <w:r>
        <w:rPr>
          <w:spacing w:val="-31"/>
        </w:rPr>
        <w:t> </w:t>
      </w:r>
      <w:r>
        <w:rPr/>
        <w:t>de</w:t>
      </w:r>
      <w:r>
        <w:rPr>
          <w:spacing w:val="-32"/>
        </w:rPr>
        <w:t> </w:t>
      </w:r>
      <w:r>
        <w:rPr/>
        <w:t>reorganização</w:t>
      </w:r>
      <w:r>
        <w:rPr>
          <w:spacing w:val="-31"/>
        </w:rPr>
        <w:t> </w:t>
      </w:r>
      <w:r>
        <w:rPr/>
        <w:t>com</w:t>
      </w:r>
      <w:r>
        <w:rPr>
          <w:spacing w:val="-32"/>
        </w:rPr>
        <w:t> </w:t>
      </w:r>
      <w:r>
        <w:rPr/>
        <w:t>as quais</w:t>
      </w:r>
      <w:r>
        <w:rPr>
          <w:spacing w:val="-23"/>
        </w:rPr>
        <w:t> </w:t>
      </w:r>
      <w:r>
        <w:rPr/>
        <w:t>o</w:t>
      </w:r>
      <w:r>
        <w:rPr>
          <w:spacing w:val="-21"/>
        </w:rPr>
        <w:t> </w:t>
      </w:r>
      <w:r>
        <w:rPr/>
        <w:t>Grupo</w:t>
      </w:r>
      <w:r>
        <w:rPr>
          <w:spacing w:val="-21"/>
        </w:rPr>
        <w:t> </w:t>
      </w:r>
      <w:r>
        <w:rPr/>
        <w:t>ainda</w:t>
      </w:r>
      <w:r>
        <w:rPr>
          <w:spacing w:val="-21"/>
        </w:rPr>
        <w:t> </w:t>
      </w:r>
      <w:r>
        <w:rPr/>
        <w:t>não</w:t>
      </w:r>
      <w:r>
        <w:rPr>
          <w:spacing w:val="-21"/>
        </w:rPr>
        <w:t> </w:t>
      </w:r>
      <w:r>
        <w:rPr/>
        <w:t>tenha</w:t>
      </w:r>
      <w:r>
        <w:rPr>
          <w:spacing w:val="-22"/>
        </w:rPr>
        <w:t> </w:t>
      </w:r>
      <w:r>
        <w:rPr/>
        <w:t>se</w:t>
      </w:r>
      <w:r>
        <w:rPr>
          <w:spacing w:val="-22"/>
        </w:rPr>
        <w:t> </w:t>
      </w:r>
      <w:r>
        <w:rPr/>
        <w:t>comprometido</w:t>
      </w:r>
      <w:r>
        <w:rPr>
          <w:spacing w:val="-21"/>
        </w:rPr>
        <w:t> </w:t>
      </w:r>
      <w:r>
        <w:rPr/>
        <w:t>ou</w:t>
      </w:r>
      <w:r>
        <w:rPr>
          <w:spacing w:val="-21"/>
        </w:rPr>
        <w:t> </w:t>
      </w:r>
      <w:r>
        <w:rPr/>
        <w:t>investimentos</w:t>
      </w:r>
      <w:r>
        <w:rPr>
          <w:spacing w:val="-20"/>
        </w:rPr>
        <w:t> </w:t>
      </w:r>
      <w:r>
        <w:rPr/>
        <w:t>futuros</w:t>
      </w:r>
      <w:r>
        <w:rPr>
          <w:spacing w:val="-21"/>
        </w:rPr>
        <w:t> </w:t>
      </w:r>
      <w:r>
        <w:rPr/>
        <w:t>significativos</w:t>
      </w:r>
      <w:r>
        <w:rPr>
          <w:spacing w:val="-21"/>
        </w:rPr>
        <w:t> </w:t>
      </w:r>
      <w:r>
        <w:rPr/>
        <w:t>que</w:t>
      </w:r>
      <w:r>
        <w:rPr>
          <w:spacing w:val="-21"/>
        </w:rPr>
        <w:t> </w:t>
      </w:r>
      <w:r>
        <w:rPr/>
        <w:t>melhorarão</w:t>
      </w:r>
      <w:r>
        <w:rPr>
          <w:spacing w:val="-23"/>
        </w:rPr>
        <w:t> </w:t>
      </w:r>
      <w:r>
        <w:rPr/>
        <w:t>a</w:t>
      </w:r>
      <w:r>
        <w:rPr>
          <w:spacing w:val="-20"/>
        </w:rPr>
        <w:t> </w:t>
      </w:r>
      <w:r>
        <w:rPr/>
        <w:t>base</w:t>
      </w:r>
      <w:r>
        <w:rPr>
          <w:spacing w:val="-22"/>
        </w:rPr>
        <w:t> </w:t>
      </w:r>
      <w:r>
        <w:rPr/>
        <w:t>de ativos</w:t>
      </w:r>
      <w:r>
        <w:rPr>
          <w:spacing w:val="-27"/>
        </w:rPr>
        <w:t> </w:t>
      </w:r>
      <w:r>
        <w:rPr/>
        <w:t>da</w:t>
      </w:r>
      <w:r>
        <w:rPr>
          <w:spacing w:val="-27"/>
        </w:rPr>
        <w:t> </w:t>
      </w:r>
      <w:r>
        <w:rPr/>
        <w:t>unidade</w:t>
      </w:r>
      <w:r>
        <w:rPr>
          <w:spacing w:val="-27"/>
        </w:rPr>
        <w:t> </w:t>
      </w:r>
      <w:r>
        <w:rPr/>
        <w:t>geradora</w:t>
      </w:r>
      <w:r>
        <w:rPr>
          <w:spacing w:val="-25"/>
        </w:rPr>
        <w:t> </w:t>
      </w:r>
      <w:r>
        <w:rPr/>
        <w:t>de</w:t>
      </w:r>
      <w:r>
        <w:rPr>
          <w:spacing w:val="-28"/>
        </w:rPr>
        <w:t> </w:t>
      </w:r>
      <w:r>
        <w:rPr/>
        <w:t>caixa</w:t>
      </w:r>
      <w:r>
        <w:rPr>
          <w:spacing w:val="-26"/>
        </w:rPr>
        <w:t> </w:t>
      </w:r>
      <w:r>
        <w:rPr/>
        <w:t>objeto</w:t>
      </w:r>
      <w:r>
        <w:rPr>
          <w:spacing w:val="-27"/>
        </w:rPr>
        <w:t> </w:t>
      </w:r>
      <w:r>
        <w:rPr/>
        <w:t>do</w:t>
      </w:r>
      <w:r>
        <w:rPr>
          <w:spacing w:val="-27"/>
        </w:rPr>
        <w:t> </w:t>
      </w:r>
      <w:r>
        <w:rPr/>
        <w:t>teste.</w:t>
      </w:r>
      <w:r>
        <w:rPr>
          <w:spacing w:val="-27"/>
        </w:rPr>
        <w:t> </w:t>
      </w:r>
      <w:r>
        <w:rPr/>
        <w:t>O</w:t>
      </w:r>
      <w:r>
        <w:rPr>
          <w:spacing w:val="-27"/>
        </w:rPr>
        <w:t> </w:t>
      </w:r>
      <w:r>
        <w:rPr/>
        <w:t>valor</w:t>
      </w:r>
      <w:r>
        <w:rPr>
          <w:spacing w:val="-27"/>
        </w:rPr>
        <w:t> </w:t>
      </w:r>
      <w:r>
        <w:rPr/>
        <w:t>recuperável</w:t>
      </w:r>
      <w:r>
        <w:rPr>
          <w:spacing w:val="-26"/>
        </w:rPr>
        <w:t> </w:t>
      </w:r>
      <w:r>
        <w:rPr/>
        <w:t>é</w:t>
      </w:r>
      <w:r>
        <w:rPr>
          <w:spacing w:val="-28"/>
        </w:rPr>
        <w:t> </w:t>
      </w:r>
      <w:r>
        <w:rPr/>
        <w:t>sensível</w:t>
      </w:r>
      <w:r>
        <w:rPr>
          <w:spacing w:val="-26"/>
        </w:rPr>
        <w:t> </w:t>
      </w:r>
      <w:r>
        <w:rPr/>
        <w:t>à</w:t>
      </w:r>
      <w:r>
        <w:rPr>
          <w:spacing w:val="-26"/>
        </w:rPr>
        <w:t> </w:t>
      </w:r>
      <w:r>
        <w:rPr/>
        <w:t>taxa</w:t>
      </w:r>
      <w:r>
        <w:rPr>
          <w:spacing w:val="-26"/>
        </w:rPr>
        <w:t> </w:t>
      </w:r>
      <w:r>
        <w:rPr/>
        <w:t>de</w:t>
      </w:r>
      <w:r>
        <w:rPr>
          <w:spacing w:val="-28"/>
        </w:rPr>
        <w:t> </w:t>
      </w:r>
      <w:r>
        <w:rPr/>
        <w:t>desconto</w:t>
      </w:r>
      <w:r>
        <w:rPr>
          <w:spacing w:val="-27"/>
        </w:rPr>
        <w:t> </w:t>
      </w:r>
      <w:r>
        <w:rPr/>
        <w:t>utilizada</w:t>
      </w:r>
      <w:r>
        <w:rPr>
          <w:spacing w:val="-25"/>
        </w:rPr>
        <w:t> </w:t>
      </w:r>
      <w:r>
        <w:rPr/>
        <w:t>no método</w:t>
      </w:r>
      <w:r>
        <w:rPr>
          <w:spacing w:val="-40"/>
        </w:rPr>
        <w:t> </w:t>
      </w:r>
      <w:r>
        <w:rPr/>
        <w:t>de</w:t>
      </w:r>
      <w:r>
        <w:rPr>
          <w:spacing w:val="-42"/>
        </w:rPr>
        <w:t> </w:t>
      </w:r>
      <w:r>
        <w:rPr/>
        <w:t>fluxo</w:t>
      </w:r>
      <w:r>
        <w:rPr>
          <w:spacing w:val="-39"/>
        </w:rPr>
        <w:t> </w:t>
      </w:r>
      <w:r>
        <w:rPr/>
        <w:t>de</w:t>
      </w:r>
      <w:r>
        <w:rPr>
          <w:spacing w:val="-40"/>
        </w:rPr>
        <w:t> </w:t>
      </w:r>
      <w:r>
        <w:rPr/>
        <w:t>caixa</w:t>
      </w:r>
      <w:r>
        <w:rPr>
          <w:spacing w:val="-40"/>
        </w:rPr>
        <w:t> </w:t>
      </w:r>
      <w:r>
        <w:rPr/>
        <w:t>descontado,</w:t>
      </w:r>
      <w:r>
        <w:rPr>
          <w:spacing w:val="-40"/>
        </w:rPr>
        <w:t> </w:t>
      </w:r>
      <w:r>
        <w:rPr/>
        <w:t>bem</w:t>
      </w:r>
      <w:r>
        <w:rPr>
          <w:spacing w:val="-39"/>
        </w:rPr>
        <w:t> </w:t>
      </w:r>
      <w:r>
        <w:rPr/>
        <w:t>como</w:t>
      </w:r>
      <w:r>
        <w:rPr>
          <w:spacing w:val="-40"/>
        </w:rPr>
        <w:t> </w:t>
      </w:r>
      <w:r>
        <w:rPr/>
        <w:t>os</w:t>
      </w:r>
      <w:r>
        <w:rPr>
          <w:spacing w:val="-39"/>
        </w:rPr>
        <w:t> </w:t>
      </w:r>
      <w:r>
        <w:rPr/>
        <w:t>recebimentos</w:t>
      </w:r>
      <w:r>
        <w:rPr>
          <w:spacing w:val="-40"/>
        </w:rPr>
        <w:t> </w:t>
      </w:r>
      <w:r>
        <w:rPr/>
        <w:t>de</w:t>
      </w:r>
      <w:r>
        <w:rPr>
          <w:spacing w:val="-41"/>
        </w:rPr>
        <w:t> </w:t>
      </w:r>
      <w:r>
        <w:rPr/>
        <w:t>caixa</w:t>
      </w:r>
      <w:r>
        <w:rPr>
          <w:spacing w:val="-39"/>
        </w:rPr>
        <w:t> </w:t>
      </w:r>
      <w:r>
        <w:rPr/>
        <w:t>futuros</w:t>
      </w:r>
      <w:r>
        <w:rPr>
          <w:spacing w:val="-39"/>
        </w:rPr>
        <w:t> </w:t>
      </w:r>
      <w:r>
        <w:rPr/>
        <w:t>esperados</w:t>
      </w:r>
      <w:r>
        <w:rPr>
          <w:spacing w:val="-39"/>
        </w:rPr>
        <w:t> </w:t>
      </w:r>
      <w:r>
        <w:rPr/>
        <w:t>e</w:t>
      </w:r>
      <w:r>
        <w:rPr>
          <w:spacing w:val="-40"/>
        </w:rPr>
        <w:t> </w:t>
      </w:r>
      <w:r>
        <w:rPr/>
        <w:t>à</w:t>
      </w:r>
      <w:r>
        <w:rPr>
          <w:spacing w:val="-39"/>
        </w:rPr>
        <w:t> </w:t>
      </w:r>
      <w:r>
        <w:rPr/>
        <w:t>taxa</w:t>
      </w:r>
      <w:r>
        <w:rPr>
          <w:spacing w:val="-40"/>
        </w:rPr>
        <w:t> </w:t>
      </w:r>
      <w:r>
        <w:rPr/>
        <w:t>de</w:t>
      </w:r>
      <w:r>
        <w:rPr>
          <w:spacing w:val="-40"/>
        </w:rPr>
        <w:t> </w:t>
      </w:r>
      <w:r>
        <w:rPr/>
        <w:t>crescimento utilizada</w:t>
      </w:r>
      <w:r>
        <w:rPr>
          <w:spacing w:val="-19"/>
        </w:rPr>
        <w:t> </w:t>
      </w:r>
      <w:r>
        <w:rPr/>
        <w:t>para</w:t>
      </w:r>
      <w:r>
        <w:rPr>
          <w:spacing w:val="-18"/>
        </w:rPr>
        <w:t> </w:t>
      </w:r>
      <w:r>
        <w:rPr/>
        <w:t>fins</w:t>
      </w:r>
      <w:r>
        <w:rPr>
          <w:spacing w:val="-15"/>
        </w:rPr>
        <w:t> </w:t>
      </w:r>
      <w:r>
        <w:rPr/>
        <w:t>de</w:t>
      </w:r>
      <w:r>
        <w:rPr>
          <w:spacing w:val="-16"/>
        </w:rPr>
        <w:t> </w:t>
      </w:r>
      <w:r>
        <w:rPr/>
        <w:t>extrapolação.</w:t>
      </w:r>
    </w:p>
    <w:p>
      <w:pPr>
        <w:pStyle w:val="BodyText"/>
        <w:spacing w:before="9"/>
      </w:pPr>
    </w:p>
    <w:p>
      <w:pPr>
        <w:pStyle w:val="Heading5"/>
        <w:numPr>
          <w:ilvl w:val="3"/>
          <w:numId w:val="9"/>
        </w:numPr>
        <w:tabs>
          <w:tab w:pos="1325" w:val="left" w:leader="none"/>
          <w:tab w:pos="1326" w:val="left" w:leader="none"/>
        </w:tabs>
        <w:spacing w:line="240" w:lineRule="auto" w:before="0" w:after="0"/>
        <w:ind w:left="1326" w:right="0" w:hanging="1134"/>
        <w:jc w:val="left"/>
      </w:pPr>
      <w:r>
        <w:rPr/>
        <w:t>Provisões</w:t>
      </w:r>
    </w:p>
    <w:p>
      <w:pPr>
        <w:pStyle w:val="BodyText"/>
        <w:spacing w:before="4"/>
        <w:rPr>
          <w:rFonts w:ascii="Caladea"/>
          <w:b/>
        </w:rPr>
      </w:pPr>
    </w:p>
    <w:p>
      <w:pPr>
        <w:pStyle w:val="ListParagraph"/>
        <w:numPr>
          <w:ilvl w:val="4"/>
          <w:numId w:val="9"/>
        </w:numPr>
        <w:tabs>
          <w:tab w:pos="1325" w:val="left" w:leader="none"/>
          <w:tab w:pos="1326" w:val="left" w:leader="none"/>
        </w:tabs>
        <w:spacing w:line="240" w:lineRule="auto" w:before="0" w:after="0"/>
        <w:ind w:left="1326" w:right="0" w:hanging="1134"/>
        <w:jc w:val="left"/>
        <w:rPr>
          <w:rFonts w:ascii="Caladea" w:hAnsi="Caladea"/>
          <w:b/>
          <w:sz w:val="22"/>
        </w:rPr>
      </w:pPr>
      <w:r>
        <w:rPr>
          <w:rFonts w:ascii="Caladea" w:hAnsi="Caladea"/>
          <w:b/>
          <w:sz w:val="22"/>
        </w:rPr>
        <w:t>Provisões para riscos tributários, trabalhistas, cíveis e</w:t>
      </w:r>
      <w:r>
        <w:rPr>
          <w:rFonts w:ascii="Caladea" w:hAnsi="Caladea"/>
          <w:b/>
          <w:spacing w:val="-9"/>
          <w:sz w:val="22"/>
        </w:rPr>
        <w:t> </w:t>
      </w:r>
      <w:r>
        <w:rPr>
          <w:rFonts w:ascii="Caladea" w:hAnsi="Caladea"/>
          <w:b/>
          <w:sz w:val="22"/>
        </w:rPr>
        <w:t>regulatórios</w:t>
      </w:r>
    </w:p>
    <w:p>
      <w:pPr>
        <w:pStyle w:val="BodyText"/>
        <w:spacing w:before="7"/>
        <w:rPr>
          <w:rFonts w:ascii="Caladea"/>
          <w:b/>
        </w:rPr>
      </w:pPr>
    </w:p>
    <w:p>
      <w:pPr>
        <w:pStyle w:val="BodyText"/>
        <w:spacing w:line="247" w:lineRule="auto"/>
        <w:ind w:left="192" w:right="615"/>
        <w:jc w:val="both"/>
      </w:pPr>
      <w:r>
        <w:rPr/>
        <w:t>Uma</w:t>
      </w:r>
      <w:r>
        <w:rPr>
          <w:spacing w:val="-39"/>
        </w:rPr>
        <w:t> </w:t>
      </w:r>
      <w:r>
        <w:rPr/>
        <w:t>provisão</w:t>
      </w:r>
      <w:r>
        <w:rPr>
          <w:spacing w:val="-38"/>
        </w:rPr>
        <w:t> </w:t>
      </w:r>
      <w:r>
        <w:rPr/>
        <w:t>é</w:t>
      </w:r>
      <w:r>
        <w:rPr>
          <w:spacing w:val="-38"/>
        </w:rPr>
        <w:t> </w:t>
      </w:r>
      <w:r>
        <w:rPr/>
        <w:t>reconhecida</w:t>
      </w:r>
      <w:r>
        <w:rPr>
          <w:spacing w:val="-37"/>
        </w:rPr>
        <w:t> </w:t>
      </w:r>
      <w:r>
        <w:rPr/>
        <w:t>no</w:t>
      </w:r>
      <w:r>
        <w:rPr>
          <w:spacing w:val="-38"/>
        </w:rPr>
        <w:t> </w:t>
      </w:r>
      <w:r>
        <w:rPr/>
        <w:t>balanço</w:t>
      </w:r>
      <w:r>
        <w:rPr>
          <w:spacing w:val="-39"/>
        </w:rPr>
        <w:t> </w:t>
      </w:r>
      <w:r>
        <w:rPr/>
        <w:t>patrimonial</w:t>
      </w:r>
      <w:r>
        <w:rPr>
          <w:spacing w:val="-39"/>
        </w:rPr>
        <w:t> </w:t>
      </w:r>
      <w:r>
        <w:rPr/>
        <w:t>quando</w:t>
      </w:r>
      <w:r>
        <w:rPr>
          <w:spacing w:val="-39"/>
        </w:rPr>
        <w:t> </w:t>
      </w:r>
      <w:r>
        <w:rPr/>
        <w:t>a</w:t>
      </w:r>
      <w:r>
        <w:rPr>
          <w:spacing w:val="-37"/>
        </w:rPr>
        <w:t> </w:t>
      </w:r>
      <w:r>
        <w:rPr/>
        <w:t>Companhia</w:t>
      </w:r>
      <w:r>
        <w:rPr>
          <w:spacing w:val="-38"/>
        </w:rPr>
        <w:t> </w:t>
      </w:r>
      <w:r>
        <w:rPr/>
        <w:t>ou</w:t>
      </w:r>
      <w:r>
        <w:rPr>
          <w:spacing w:val="-38"/>
        </w:rPr>
        <w:t> </w:t>
      </w:r>
      <w:r>
        <w:rPr/>
        <w:t>suas</w:t>
      </w:r>
      <w:r>
        <w:rPr>
          <w:spacing w:val="-39"/>
        </w:rPr>
        <w:t> </w:t>
      </w:r>
      <w:r>
        <w:rPr/>
        <w:t>controladas</w:t>
      </w:r>
      <w:r>
        <w:rPr>
          <w:spacing w:val="-39"/>
        </w:rPr>
        <w:t> </w:t>
      </w:r>
      <w:r>
        <w:rPr/>
        <w:t>e</w:t>
      </w:r>
      <w:r>
        <w:rPr>
          <w:spacing w:val="-39"/>
        </w:rPr>
        <w:t> </w:t>
      </w:r>
      <w:r>
        <w:rPr/>
        <w:t>coligadas</w:t>
      </w:r>
      <w:r>
        <w:rPr>
          <w:spacing w:val="-37"/>
        </w:rPr>
        <w:t> </w:t>
      </w:r>
      <w:r>
        <w:rPr/>
        <w:t>possui</w:t>
      </w:r>
      <w:r>
        <w:rPr>
          <w:spacing w:val="-38"/>
        </w:rPr>
        <w:t> </w:t>
      </w:r>
      <w:r>
        <w:rPr/>
        <w:t>uma obrigação presente (legal ou construtiva) como resultado de um evento passado, e é provável que um recurso econômico</w:t>
      </w:r>
      <w:r>
        <w:rPr>
          <w:spacing w:val="-7"/>
        </w:rPr>
        <w:t> </w:t>
      </w:r>
      <w:r>
        <w:rPr/>
        <w:t>seja</w:t>
      </w:r>
      <w:r>
        <w:rPr>
          <w:spacing w:val="-3"/>
        </w:rPr>
        <w:t> </w:t>
      </w:r>
      <w:r>
        <w:rPr/>
        <w:t>requerido</w:t>
      </w:r>
      <w:r>
        <w:rPr>
          <w:spacing w:val="-5"/>
        </w:rPr>
        <w:t> </w:t>
      </w:r>
      <w:r>
        <w:rPr/>
        <w:t>para</w:t>
      </w:r>
      <w:r>
        <w:rPr>
          <w:spacing w:val="-5"/>
        </w:rPr>
        <w:t> </w:t>
      </w:r>
      <w:r>
        <w:rPr/>
        <w:t>liquidar</w:t>
      </w:r>
      <w:r>
        <w:rPr>
          <w:spacing w:val="-5"/>
        </w:rPr>
        <w:t> </w:t>
      </w:r>
      <w:r>
        <w:rPr/>
        <w:t>a</w:t>
      </w:r>
      <w:r>
        <w:rPr>
          <w:spacing w:val="-5"/>
        </w:rPr>
        <w:t> </w:t>
      </w:r>
      <w:r>
        <w:rPr/>
        <w:t>obrigação.</w:t>
      </w:r>
      <w:r>
        <w:rPr>
          <w:spacing w:val="-6"/>
        </w:rPr>
        <w:t> </w:t>
      </w:r>
      <w:r>
        <w:rPr/>
        <w:t>As</w:t>
      </w:r>
      <w:r>
        <w:rPr>
          <w:spacing w:val="-4"/>
        </w:rPr>
        <w:t> </w:t>
      </w:r>
      <w:r>
        <w:rPr/>
        <w:t>provisões</w:t>
      </w:r>
      <w:r>
        <w:rPr>
          <w:spacing w:val="-4"/>
        </w:rPr>
        <w:t> </w:t>
      </w:r>
      <w:r>
        <w:rPr/>
        <w:t>são</w:t>
      </w:r>
      <w:r>
        <w:rPr>
          <w:spacing w:val="-6"/>
        </w:rPr>
        <w:t> </w:t>
      </w:r>
      <w:r>
        <w:rPr/>
        <w:t>registradas</w:t>
      </w:r>
      <w:r>
        <w:rPr>
          <w:spacing w:val="-6"/>
        </w:rPr>
        <w:t> </w:t>
      </w:r>
      <w:r>
        <w:rPr/>
        <w:t>tendo</w:t>
      </w:r>
      <w:r>
        <w:rPr>
          <w:spacing w:val="-6"/>
        </w:rPr>
        <w:t> </w:t>
      </w:r>
      <w:r>
        <w:rPr/>
        <w:t>como</w:t>
      </w:r>
      <w:r>
        <w:rPr>
          <w:spacing w:val="-4"/>
        </w:rPr>
        <w:t> </w:t>
      </w:r>
      <w:r>
        <w:rPr/>
        <w:t>base</w:t>
      </w:r>
      <w:r>
        <w:rPr>
          <w:spacing w:val="-7"/>
        </w:rPr>
        <w:t> </w:t>
      </w:r>
      <w:r>
        <w:rPr/>
        <w:t>as</w:t>
      </w:r>
      <w:r>
        <w:rPr>
          <w:spacing w:val="-5"/>
        </w:rPr>
        <w:t> </w:t>
      </w:r>
      <w:r>
        <w:rPr/>
        <w:t>melhores estimativas</w:t>
      </w:r>
      <w:r>
        <w:rPr>
          <w:spacing w:val="-18"/>
        </w:rPr>
        <w:t> </w:t>
      </w:r>
      <w:r>
        <w:rPr/>
        <w:t>do</w:t>
      </w:r>
      <w:r>
        <w:rPr>
          <w:spacing w:val="-19"/>
        </w:rPr>
        <w:t> </w:t>
      </w:r>
      <w:r>
        <w:rPr/>
        <w:t>risco</w:t>
      </w:r>
      <w:r>
        <w:rPr>
          <w:spacing w:val="-15"/>
        </w:rPr>
        <w:t> </w:t>
      </w:r>
      <w:r>
        <w:rPr/>
        <w:t>envolvido.</w:t>
      </w:r>
    </w:p>
    <w:p>
      <w:pPr>
        <w:pStyle w:val="BodyText"/>
        <w:spacing w:before="9"/>
      </w:pPr>
    </w:p>
    <w:p>
      <w:pPr>
        <w:pStyle w:val="BodyText"/>
        <w:spacing w:line="247" w:lineRule="auto"/>
        <w:ind w:left="192" w:right="612"/>
        <w:jc w:val="both"/>
      </w:pPr>
      <w:r>
        <w:rPr/>
        <w:t>O</w:t>
      </w:r>
      <w:r>
        <w:rPr>
          <w:spacing w:val="-20"/>
        </w:rPr>
        <w:t> </w:t>
      </w:r>
      <w:r>
        <w:rPr/>
        <w:t>Grupo</w:t>
      </w:r>
      <w:r>
        <w:rPr>
          <w:spacing w:val="-17"/>
        </w:rPr>
        <w:t> </w:t>
      </w:r>
      <w:r>
        <w:rPr/>
        <w:t>é</w:t>
      </w:r>
      <w:r>
        <w:rPr>
          <w:spacing w:val="-19"/>
        </w:rPr>
        <w:t> </w:t>
      </w:r>
      <w:r>
        <w:rPr/>
        <w:t>parte</w:t>
      </w:r>
      <w:r>
        <w:rPr>
          <w:spacing w:val="-18"/>
        </w:rPr>
        <w:t> </w:t>
      </w:r>
      <w:r>
        <w:rPr/>
        <w:t>em</w:t>
      </w:r>
      <w:r>
        <w:rPr>
          <w:spacing w:val="-17"/>
        </w:rPr>
        <w:t> </w:t>
      </w:r>
      <w:r>
        <w:rPr/>
        <w:t>diversos</w:t>
      </w:r>
      <w:r>
        <w:rPr>
          <w:spacing w:val="-16"/>
        </w:rPr>
        <w:t> </w:t>
      </w:r>
      <w:r>
        <w:rPr/>
        <w:t>processos</w:t>
      </w:r>
      <w:r>
        <w:rPr>
          <w:spacing w:val="-19"/>
        </w:rPr>
        <w:t> </w:t>
      </w:r>
      <w:r>
        <w:rPr/>
        <w:t>judiciais</w:t>
      </w:r>
      <w:r>
        <w:rPr>
          <w:spacing w:val="-16"/>
        </w:rPr>
        <w:t> </w:t>
      </w:r>
      <w:r>
        <w:rPr/>
        <w:t>e</w:t>
      </w:r>
      <w:r>
        <w:rPr>
          <w:spacing w:val="-20"/>
        </w:rPr>
        <w:t> </w:t>
      </w:r>
      <w:r>
        <w:rPr/>
        <w:t>administrativos.</w:t>
      </w:r>
      <w:r>
        <w:rPr>
          <w:spacing w:val="-17"/>
        </w:rPr>
        <w:t> </w:t>
      </w:r>
      <w:r>
        <w:rPr/>
        <w:t>Provisões</w:t>
      </w:r>
      <w:r>
        <w:rPr>
          <w:spacing w:val="-19"/>
        </w:rPr>
        <w:t> </w:t>
      </w:r>
      <w:r>
        <w:rPr/>
        <w:t>para</w:t>
      </w:r>
      <w:r>
        <w:rPr>
          <w:spacing w:val="-15"/>
        </w:rPr>
        <w:t> </w:t>
      </w:r>
      <w:r>
        <w:rPr/>
        <w:t>riscos</w:t>
      </w:r>
      <w:r>
        <w:rPr>
          <w:spacing w:val="-19"/>
        </w:rPr>
        <w:t> </w:t>
      </w:r>
      <w:r>
        <w:rPr/>
        <w:t>tributários,</w:t>
      </w:r>
      <w:r>
        <w:rPr>
          <w:spacing w:val="-19"/>
        </w:rPr>
        <w:t> </w:t>
      </w:r>
      <w:r>
        <w:rPr/>
        <w:t>trabalhistas, cíveis</w:t>
      </w:r>
      <w:r>
        <w:rPr>
          <w:spacing w:val="-30"/>
        </w:rPr>
        <w:t> </w:t>
      </w:r>
      <w:r>
        <w:rPr/>
        <w:t>e</w:t>
      </w:r>
      <w:r>
        <w:rPr>
          <w:spacing w:val="-30"/>
        </w:rPr>
        <w:t> </w:t>
      </w:r>
      <w:r>
        <w:rPr/>
        <w:t>regulatórios</w:t>
      </w:r>
      <w:r>
        <w:rPr>
          <w:spacing w:val="-30"/>
        </w:rPr>
        <w:t> </w:t>
      </w:r>
      <w:r>
        <w:rPr/>
        <w:t>são</w:t>
      </w:r>
      <w:r>
        <w:rPr>
          <w:spacing w:val="-30"/>
        </w:rPr>
        <w:t> </w:t>
      </w:r>
      <w:r>
        <w:rPr/>
        <w:t>constituídas</w:t>
      </w:r>
      <w:r>
        <w:rPr>
          <w:spacing w:val="-30"/>
        </w:rPr>
        <w:t> </w:t>
      </w:r>
      <w:r>
        <w:rPr/>
        <w:t>para</w:t>
      </w:r>
      <w:r>
        <w:rPr>
          <w:spacing w:val="-29"/>
        </w:rPr>
        <w:t> </w:t>
      </w:r>
      <w:r>
        <w:rPr/>
        <w:t>todos</w:t>
      </w:r>
      <w:r>
        <w:rPr>
          <w:spacing w:val="-29"/>
        </w:rPr>
        <w:t> </w:t>
      </w:r>
      <w:r>
        <w:rPr/>
        <w:t>os</w:t>
      </w:r>
      <w:r>
        <w:rPr>
          <w:spacing w:val="-30"/>
        </w:rPr>
        <w:t> </w:t>
      </w:r>
      <w:r>
        <w:rPr/>
        <w:t>processos</w:t>
      </w:r>
      <w:r>
        <w:rPr>
          <w:spacing w:val="-31"/>
        </w:rPr>
        <w:t> </w:t>
      </w:r>
      <w:r>
        <w:rPr/>
        <w:t>com</w:t>
      </w:r>
      <w:r>
        <w:rPr>
          <w:spacing w:val="-30"/>
        </w:rPr>
        <w:t> </w:t>
      </w:r>
      <w:r>
        <w:rPr/>
        <w:t>os</w:t>
      </w:r>
      <w:r>
        <w:rPr>
          <w:spacing w:val="-29"/>
        </w:rPr>
        <w:t> </w:t>
      </w:r>
      <w:r>
        <w:rPr/>
        <w:t>quais</w:t>
      </w:r>
      <w:r>
        <w:rPr>
          <w:spacing w:val="-31"/>
        </w:rPr>
        <w:t> </w:t>
      </w:r>
      <w:r>
        <w:rPr/>
        <w:t>seja</w:t>
      </w:r>
      <w:r>
        <w:rPr>
          <w:spacing w:val="-28"/>
        </w:rPr>
        <w:t> </w:t>
      </w:r>
      <w:r>
        <w:rPr/>
        <w:t>provável</w:t>
      </w:r>
      <w:r>
        <w:rPr>
          <w:spacing w:val="-31"/>
        </w:rPr>
        <w:t> </w:t>
      </w:r>
      <w:r>
        <w:rPr/>
        <w:t>uma</w:t>
      </w:r>
      <w:r>
        <w:rPr>
          <w:spacing w:val="-30"/>
        </w:rPr>
        <w:t> </w:t>
      </w:r>
      <w:r>
        <w:rPr/>
        <w:t>saída</w:t>
      </w:r>
      <w:r>
        <w:rPr>
          <w:spacing w:val="-31"/>
        </w:rPr>
        <w:t> </w:t>
      </w:r>
      <w:r>
        <w:rPr/>
        <w:t>de</w:t>
      </w:r>
      <w:r>
        <w:rPr>
          <w:spacing w:val="-30"/>
        </w:rPr>
        <w:t> </w:t>
      </w:r>
      <w:r>
        <w:rPr/>
        <w:t>recursos</w:t>
      </w:r>
      <w:r>
        <w:rPr>
          <w:spacing w:val="-30"/>
        </w:rPr>
        <w:t> </w:t>
      </w:r>
      <w:r>
        <w:rPr/>
        <w:t>para liquidar</w:t>
      </w:r>
      <w:r>
        <w:rPr>
          <w:spacing w:val="-36"/>
        </w:rPr>
        <w:t> </w:t>
      </w:r>
      <w:r>
        <w:rPr/>
        <w:t>a</w:t>
      </w:r>
      <w:r>
        <w:rPr>
          <w:spacing w:val="-36"/>
        </w:rPr>
        <w:t> </w:t>
      </w:r>
      <w:r>
        <w:rPr/>
        <w:t>obrigação</w:t>
      </w:r>
      <w:r>
        <w:rPr>
          <w:spacing w:val="-36"/>
        </w:rPr>
        <w:t> </w:t>
      </w:r>
      <w:r>
        <w:rPr/>
        <w:t>e</w:t>
      </w:r>
      <w:r>
        <w:rPr>
          <w:spacing w:val="-36"/>
        </w:rPr>
        <w:t> </w:t>
      </w:r>
      <w:r>
        <w:rPr/>
        <w:t>uma</w:t>
      </w:r>
      <w:r>
        <w:rPr>
          <w:spacing w:val="-34"/>
        </w:rPr>
        <w:t> </w:t>
      </w:r>
      <w:r>
        <w:rPr/>
        <w:t>estimativa</w:t>
      </w:r>
      <w:r>
        <w:rPr>
          <w:spacing w:val="-36"/>
        </w:rPr>
        <w:t> </w:t>
      </w:r>
      <w:r>
        <w:rPr/>
        <w:t>razoável</w:t>
      </w:r>
      <w:r>
        <w:rPr>
          <w:spacing w:val="-36"/>
        </w:rPr>
        <w:t> </w:t>
      </w:r>
      <w:r>
        <w:rPr/>
        <w:t>possa</w:t>
      </w:r>
      <w:r>
        <w:rPr>
          <w:spacing w:val="-36"/>
        </w:rPr>
        <w:t> </w:t>
      </w:r>
      <w:r>
        <w:rPr/>
        <w:t>ser</w:t>
      </w:r>
      <w:r>
        <w:rPr>
          <w:spacing w:val="-35"/>
        </w:rPr>
        <w:t> </w:t>
      </w:r>
      <w:r>
        <w:rPr/>
        <w:t>efetuada.</w:t>
      </w:r>
      <w:r>
        <w:rPr>
          <w:spacing w:val="-35"/>
        </w:rPr>
        <w:t> </w:t>
      </w:r>
      <w:r>
        <w:rPr/>
        <w:t>A</w:t>
      </w:r>
      <w:r>
        <w:rPr>
          <w:spacing w:val="-35"/>
        </w:rPr>
        <w:t> </w:t>
      </w:r>
      <w:r>
        <w:rPr/>
        <w:t>avaliação</w:t>
      </w:r>
      <w:r>
        <w:rPr>
          <w:spacing w:val="-36"/>
        </w:rPr>
        <w:t> </w:t>
      </w:r>
      <w:r>
        <w:rPr/>
        <w:t>da</w:t>
      </w:r>
      <w:r>
        <w:rPr>
          <w:spacing w:val="-36"/>
        </w:rPr>
        <w:t> </w:t>
      </w:r>
      <w:r>
        <w:rPr/>
        <w:t>probabilidade</w:t>
      </w:r>
      <w:r>
        <w:rPr>
          <w:spacing w:val="-36"/>
        </w:rPr>
        <w:t> </w:t>
      </w:r>
      <w:r>
        <w:rPr/>
        <w:t>de</w:t>
      </w:r>
      <w:r>
        <w:rPr>
          <w:spacing w:val="-35"/>
        </w:rPr>
        <w:t> </w:t>
      </w:r>
      <w:r>
        <w:rPr/>
        <w:t>perda,</w:t>
      </w:r>
      <w:r>
        <w:rPr>
          <w:spacing w:val="-35"/>
        </w:rPr>
        <w:t> </w:t>
      </w:r>
      <w:r>
        <w:rPr/>
        <w:t>por</w:t>
      </w:r>
      <w:r>
        <w:rPr>
          <w:spacing w:val="-35"/>
        </w:rPr>
        <w:t> </w:t>
      </w:r>
      <w:r>
        <w:rPr/>
        <w:t>parte dos</w:t>
      </w:r>
      <w:r>
        <w:rPr>
          <w:spacing w:val="-37"/>
        </w:rPr>
        <w:t> </w:t>
      </w:r>
      <w:r>
        <w:rPr/>
        <w:t>consultores</w:t>
      </w:r>
      <w:r>
        <w:rPr>
          <w:spacing w:val="-36"/>
        </w:rPr>
        <w:t> </w:t>
      </w:r>
      <w:r>
        <w:rPr/>
        <w:t>legais</w:t>
      </w:r>
      <w:r>
        <w:rPr>
          <w:spacing w:val="-37"/>
        </w:rPr>
        <w:t> </w:t>
      </w:r>
      <w:r>
        <w:rPr/>
        <w:t>da</w:t>
      </w:r>
      <w:r>
        <w:rPr>
          <w:spacing w:val="-36"/>
        </w:rPr>
        <w:t> </w:t>
      </w:r>
      <w:r>
        <w:rPr/>
        <w:t>Companhia</w:t>
      </w:r>
      <w:r>
        <w:rPr>
          <w:spacing w:val="-36"/>
        </w:rPr>
        <w:t> </w:t>
      </w:r>
      <w:r>
        <w:rPr/>
        <w:t>e</w:t>
      </w:r>
      <w:r>
        <w:rPr>
          <w:spacing w:val="-36"/>
        </w:rPr>
        <w:t> </w:t>
      </w:r>
      <w:r>
        <w:rPr/>
        <w:t>de</w:t>
      </w:r>
      <w:r>
        <w:rPr>
          <w:spacing w:val="-37"/>
        </w:rPr>
        <w:t> </w:t>
      </w:r>
      <w:r>
        <w:rPr/>
        <w:t>suas</w:t>
      </w:r>
      <w:r>
        <w:rPr>
          <w:spacing w:val="-37"/>
        </w:rPr>
        <w:t> </w:t>
      </w:r>
      <w:r>
        <w:rPr/>
        <w:t>controladas</w:t>
      </w:r>
      <w:r>
        <w:rPr>
          <w:spacing w:val="-37"/>
        </w:rPr>
        <w:t> </w:t>
      </w:r>
      <w:r>
        <w:rPr/>
        <w:t>e</w:t>
      </w:r>
      <w:r>
        <w:rPr>
          <w:spacing w:val="-37"/>
        </w:rPr>
        <w:t> </w:t>
      </w:r>
      <w:r>
        <w:rPr/>
        <w:t>coligadas,</w:t>
      </w:r>
      <w:r>
        <w:rPr>
          <w:spacing w:val="-36"/>
        </w:rPr>
        <w:t> </w:t>
      </w:r>
      <w:r>
        <w:rPr/>
        <w:t>inclui</w:t>
      </w:r>
      <w:r>
        <w:rPr>
          <w:spacing w:val="-37"/>
        </w:rPr>
        <w:t> </w:t>
      </w:r>
      <w:r>
        <w:rPr/>
        <w:t>a</w:t>
      </w:r>
      <w:r>
        <w:rPr>
          <w:spacing w:val="-36"/>
        </w:rPr>
        <w:t> </w:t>
      </w:r>
      <w:r>
        <w:rPr/>
        <w:t>avaliação</w:t>
      </w:r>
      <w:r>
        <w:rPr>
          <w:spacing w:val="-36"/>
        </w:rPr>
        <w:t> </w:t>
      </w:r>
      <w:r>
        <w:rPr/>
        <w:t>das</w:t>
      </w:r>
      <w:r>
        <w:rPr>
          <w:spacing w:val="-37"/>
        </w:rPr>
        <w:t> </w:t>
      </w:r>
      <w:r>
        <w:rPr/>
        <w:t>evidências</w:t>
      </w:r>
      <w:r>
        <w:rPr>
          <w:spacing w:val="-36"/>
        </w:rPr>
        <w:t> </w:t>
      </w:r>
      <w:r>
        <w:rPr/>
        <w:t>disponíveis; a</w:t>
      </w:r>
      <w:r>
        <w:rPr>
          <w:spacing w:val="-35"/>
        </w:rPr>
        <w:t> </w:t>
      </w:r>
      <w:r>
        <w:rPr/>
        <w:t>hierarquia</w:t>
      </w:r>
      <w:r>
        <w:rPr>
          <w:spacing w:val="-35"/>
        </w:rPr>
        <w:t> </w:t>
      </w:r>
      <w:r>
        <w:rPr/>
        <w:t>das</w:t>
      </w:r>
      <w:r>
        <w:rPr>
          <w:spacing w:val="-35"/>
        </w:rPr>
        <w:t> </w:t>
      </w:r>
      <w:r>
        <w:rPr/>
        <w:t>leis;</w:t>
      </w:r>
      <w:r>
        <w:rPr>
          <w:spacing w:val="-35"/>
        </w:rPr>
        <w:t> </w:t>
      </w:r>
      <w:r>
        <w:rPr/>
        <w:t>as</w:t>
      </w:r>
      <w:r>
        <w:rPr>
          <w:spacing w:val="-35"/>
        </w:rPr>
        <w:t> </w:t>
      </w:r>
      <w:r>
        <w:rPr/>
        <w:t>jurisprudências;</w:t>
      </w:r>
      <w:r>
        <w:rPr>
          <w:spacing w:val="-35"/>
        </w:rPr>
        <w:t> </w:t>
      </w:r>
      <w:r>
        <w:rPr/>
        <w:t>as</w:t>
      </w:r>
      <w:r>
        <w:rPr>
          <w:spacing w:val="-35"/>
        </w:rPr>
        <w:t> </w:t>
      </w:r>
      <w:r>
        <w:rPr/>
        <w:t>decisões</w:t>
      </w:r>
      <w:r>
        <w:rPr>
          <w:spacing w:val="-35"/>
        </w:rPr>
        <w:t> </w:t>
      </w:r>
      <w:r>
        <w:rPr/>
        <w:t>mais</w:t>
      </w:r>
      <w:r>
        <w:rPr>
          <w:spacing w:val="-35"/>
        </w:rPr>
        <w:t> </w:t>
      </w:r>
      <w:r>
        <w:rPr/>
        <w:t>recentes</w:t>
      </w:r>
      <w:r>
        <w:rPr>
          <w:spacing w:val="-35"/>
        </w:rPr>
        <w:t> </w:t>
      </w:r>
      <w:r>
        <w:rPr/>
        <w:t>nos</w:t>
      </w:r>
      <w:r>
        <w:rPr>
          <w:spacing w:val="-30"/>
        </w:rPr>
        <w:t> </w:t>
      </w:r>
      <w:r>
        <w:rPr/>
        <w:t>tribunais;</w:t>
      </w:r>
      <w:r>
        <w:rPr>
          <w:spacing w:val="-35"/>
        </w:rPr>
        <w:t> </w:t>
      </w:r>
      <w:r>
        <w:rPr/>
        <w:t>e</w:t>
      </w:r>
      <w:r>
        <w:rPr>
          <w:spacing w:val="-36"/>
        </w:rPr>
        <w:t> </w:t>
      </w:r>
      <w:r>
        <w:rPr/>
        <w:t>a</w:t>
      </w:r>
      <w:r>
        <w:rPr>
          <w:spacing w:val="-33"/>
        </w:rPr>
        <w:t> </w:t>
      </w:r>
      <w:r>
        <w:rPr/>
        <w:t>sua</w:t>
      </w:r>
      <w:r>
        <w:rPr>
          <w:spacing w:val="-35"/>
        </w:rPr>
        <w:t> </w:t>
      </w:r>
      <w:r>
        <w:rPr/>
        <w:t>relevância</w:t>
      </w:r>
      <w:r>
        <w:rPr>
          <w:spacing w:val="-33"/>
        </w:rPr>
        <w:t> </w:t>
      </w:r>
      <w:r>
        <w:rPr/>
        <w:t>no</w:t>
      </w:r>
      <w:r>
        <w:rPr>
          <w:spacing w:val="-35"/>
        </w:rPr>
        <w:t> </w:t>
      </w:r>
      <w:r>
        <w:rPr/>
        <w:t>ordenamento jurídico,</w:t>
      </w:r>
      <w:r>
        <w:rPr>
          <w:spacing w:val="-18"/>
        </w:rPr>
        <w:t> </w:t>
      </w:r>
      <w:r>
        <w:rPr/>
        <w:t>bem</w:t>
      </w:r>
      <w:r>
        <w:rPr>
          <w:spacing w:val="-18"/>
        </w:rPr>
        <w:t> </w:t>
      </w:r>
      <w:r>
        <w:rPr/>
        <w:t>como</w:t>
      </w:r>
      <w:r>
        <w:rPr>
          <w:spacing w:val="-19"/>
        </w:rPr>
        <w:t> </w:t>
      </w:r>
      <w:r>
        <w:rPr/>
        <w:t>a</w:t>
      </w:r>
      <w:r>
        <w:rPr>
          <w:spacing w:val="-19"/>
        </w:rPr>
        <w:t> </w:t>
      </w:r>
      <w:r>
        <w:rPr/>
        <w:t>avaliação</w:t>
      </w:r>
      <w:r>
        <w:rPr>
          <w:spacing w:val="-21"/>
        </w:rPr>
        <w:t> </w:t>
      </w:r>
      <w:r>
        <w:rPr/>
        <w:t>dos</w:t>
      </w:r>
      <w:r>
        <w:rPr>
          <w:spacing w:val="-19"/>
        </w:rPr>
        <w:t> </w:t>
      </w:r>
      <w:r>
        <w:rPr/>
        <w:t>advogados</w:t>
      </w:r>
      <w:r>
        <w:rPr>
          <w:spacing w:val="-18"/>
        </w:rPr>
        <w:t> </w:t>
      </w:r>
      <w:r>
        <w:rPr/>
        <w:t>externos</w:t>
      </w:r>
      <w:r>
        <w:rPr>
          <w:spacing w:val="-19"/>
        </w:rPr>
        <w:t> </w:t>
      </w:r>
      <w:r>
        <w:rPr/>
        <w:t>e</w:t>
      </w:r>
      <w:r>
        <w:rPr>
          <w:spacing w:val="-18"/>
        </w:rPr>
        <w:t> </w:t>
      </w:r>
      <w:r>
        <w:rPr/>
        <w:t>internos.</w:t>
      </w:r>
    </w:p>
    <w:p>
      <w:pPr>
        <w:pStyle w:val="BodyText"/>
        <w:spacing w:before="8"/>
      </w:pPr>
    </w:p>
    <w:p>
      <w:pPr>
        <w:pStyle w:val="BodyText"/>
        <w:spacing w:line="247" w:lineRule="auto"/>
        <w:ind w:left="192" w:right="613"/>
        <w:jc w:val="both"/>
      </w:pPr>
      <w:r>
        <w:rPr/>
        <w:t>As</w:t>
      </w:r>
      <w:r>
        <w:rPr>
          <w:spacing w:val="-32"/>
        </w:rPr>
        <w:t> </w:t>
      </w:r>
      <w:r>
        <w:rPr/>
        <w:t>provisões</w:t>
      </w:r>
      <w:r>
        <w:rPr>
          <w:spacing w:val="-31"/>
        </w:rPr>
        <w:t> </w:t>
      </w:r>
      <w:r>
        <w:rPr/>
        <w:t>são</w:t>
      </w:r>
      <w:r>
        <w:rPr>
          <w:spacing w:val="-32"/>
        </w:rPr>
        <w:t> </w:t>
      </w:r>
      <w:r>
        <w:rPr/>
        <w:t>revisadas</w:t>
      </w:r>
      <w:r>
        <w:rPr>
          <w:spacing w:val="-31"/>
        </w:rPr>
        <w:t> </w:t>
      </w:r>
      <w:r>
        <w:rPr/>
        <w:t>e</w:t>
      </w:r>
      <w:r>
        <w:rPr>
          <w:spacing w:val="-31"/>
        </w:rPr>
        <w:t> </w:t>
      </w:r>
      <w:r>
        <w:rPr/>
        <w:t>ajustadas</w:t>
      </w:r>
      <w:r>
        <w:rPr>
          <w:spacing w:val="-31"/>
        </w:rPr>
        <w:t> </w:t>
      </w:r>
      <w:r>
        <w:rPr/>
        <w:t>para</w:t>
      </w:r>
      <w:r>
        <w:rPr>
          <w:spacing w:val="-32"/>
        </w:rPr>
        <w:t> </w:t>
      </w:r>
      <w:r>
        <w:rPr/>
        <w:t>considerar</w:t>
      </w:r>
      <w:r>
        <w:rPr>
          <w:spacing w:val="-31"/>
        </w:rPr>
        <w:t> </w:t>
      </w:r>
      <w:r>
        <w:rPr/>
        <w:t>alterações</w:t>
      </w:r>
      <w:r>
        <w:rPr>
          <w:spacing w:val="-30"/>
        </w:rPr>
        <w:t> </w:t>
      </w:r>
      <w:r>
        <w:rPr/>
        <w:t>nas</w:t>
      </w:r>
      <w:r>
        <w:rPr>
          <w:spacing w:val="-31"/>
        </w:rPr>
        <w:t> </w:t>
      </w:r>
      <w:r>
        <w:rPr/>
        <w:t>circunstâncias,</w:t>
      </w:r>
      <w:r>
        <w:rPr>
          <w:spacing w:val="-30"/>
        </w:rPr>
        <w:t> </w:t>
      </w:r>
      <w:r>
        <w:rPr/>
        <w:t>tais</w:t>
      </w:r>
      <w:r>
        <w:rPr>
          <w:spacing w:val="-31"/>
        </w:rPr>
        <w:t> </w:t>
      </w:r>
      <w:r>
        <w:rPr/>
        <w:t>como</w:t>
      </w:r>
      <w:r>
        <w:rPr>
          <w:spacing w:val="-32"/>
        </w:rPr>
        <w:t> </w:t>
      </w:r>
      <w:r>
        <w:rPr/>
        <w:t>prazo</w:t>
      </w:r>
      <w:r>
        <w:rPr>
          <w:spacing w:val="-31"/>
        </w:rPr>
        <w:t> </w:t>
      </w:r>
      <w:r>
        <w:rPr/>
        <w:t>de</w:t>
      </w:r>
      <w:r>
        <w:rPr>
          <w:spacing w:val="-33"/>
        </w:rPr>
        <w:t> </w:t>
      </w:r>
      <w:r>
        <w:rPr/>
        <w:t>prescrição aplicável,</w:t>
      </w:r>
      <w:r>
        <w:rPr>
          <w:spacing w:val="-14"/>
        </w:rPr>
        <w:t> </w:t>
      </w:r>
      <w:r>
        <w:rPr/>
        <w:t>conclusões</w:t>
      </w:r>
      <w:r>
        <w:rPr>
          <w:spacing w:val="-12"/>
        </w:rPr>
        <w:t> </w:t>
      </w:r>
      <w:r>
        <w:rPr/>
        <w:t>de</w:t>
      </w:r>
      <w:r>
        <w:rPr>
          <w:spacing w:val="-14"/>
        </w:rPr>
        <w:t> </w:t>
      </w:r>
      <w:r>
        <w:rPr/>
        <w:t>inspeções</w:t>
      </w:r>
      <w:r>
        <w:rPr>
          <w:spacing w:val="-12"/>
        </w:rPr>
        <w:t> </w:t>
      </w:r>
      <w:r>
        <w:rPr/>
        <w:t>físicas</w:t>
      </w:r>
      <w:r>
        <w:rPr>
          <w:spacing w:val="-13"/>
        </w:rPr>
        <w:t> </w:t>
      </w:r>
      <w:r>
        <w:rPr/>
        <w:t>ou</w:t>
      </w:r>
      <w:r>
        <w:rPr>
          <w:spacing w:val="-13"/>
        </w:rPr>
        <w:t> </w:t>
      </w:r>
      <w:r>
        <w:rPr/>
        <w:t>exposições</w:t>
      </w:r>
      <w:r>
        <w:rPr>
          <w:spacing w:val="-12"/>
        </w:rPr>
        <w:t> </w:t>
      </w:r>
      <w:r>
        <w:rPr/>
        <w:t>adicionais</w:t>
      </w:r>
      <w:r>
        <w:rPr>
          <w:spacing w:val="-13"/>
        </w:rPr>
        <w:t> </w:t>
      </w:r>
      <w:r>
        <w:rPr/>
        <w:t>identificadas</w:t>
      </w:r>
      <w:r>
        <w:rPr>
          <w:spacing w:val="-12"/>
        </w:rPr>
        <w:t> </w:t>
      </w:r>
      <w:r>
        <w:rPr/>
        <w:t>com</w:t>
      </w:r>
      <w:r>
        <w:rPr>
          <w:spacing w:val="-13"/>
        </w:rPr>
        <w:t> </w:t>
      </w:r>
      <w:r>
        <w:rPr/>
        <w:t>base</w:t>
      </w:r>
      <w:r>
        <w:rPr>
          <w:spacing w:val="-13"/>
        </w:rPr>
        <w:t> </w:t>
      </w:r>
      <w:r>
        <w:rPr/>
        <w:t>em</w:t>
      </w:r>
      <w:r>
        <w:rPr>
          <w:spacing w:val="-13"/>
        </w:rPr>
        <w:t> </w:t>
      </w:r>
      <w:r>
        <w:rPr/>
        <w:t>novos</w:t>
      </w:r>
      <w:r>
        <w:rPr>
          <w:spacing w:val="-12"/>
        </w:rPr>
        <w:t> </w:t>
      </w:r>
      <w:r>
        <w:rPr/>
        <w:t>assuntos</w:t>
      </w:r>
      <w:r>
        <w:rPr>
          <w:spacing w:val="-13"/>
        </w:rPr>
        <w:t> </w:t>
      </w:r>
      <w:r>
        <w:rPr/>
        <w:t>ou decisões de</w:t>
      </w:r>
      <w:r>
        <w:rPr>
          <w:spacing w:val="-34"/>
        </w:rPr>
        <w:t> </w:t>
      </w:r>
      <w:r>
        <w:rPr/>
        <w:t>tribunais.</w:t>
      </w:r>
    </w:p>
    <w:p>
      <w:pPr>
        <w:spacing w:after="0" w:line="247" w:lineRule="auto"/>
        <w:jc w:val="both"/>
        <w:sectPr>
          <w:pgSz w:w="11910" w:h="16850"/>
          <w:pgMar w:header="792" w:footer="1193" w:top="1360" w:bottom="1460" w:left="940" w:right="240"/>
        </w:sectPr>
      </w:pPr>
    </w:p>
    <w:p>
      <w:pPr>
        <w:pStyle w:val="BodyText"/>
        <w:spacing w:line="247" w:lineRule="auto" w:before="50"/>
        <w:ind w:left="192" w:right="614"/>
        <w:jc w:val="both"/>
      </w:pPr>
      <w:r>
        <w:rPr/>
        <w:t>A</w:t>
      </w:r>
      <w:r>
        <w:rPr>
          <w:spacing w:val="-45"/>
        </w:rPr>
        <w:t> </w:t>
      </w:r>
      <w:r>
        <w:rPr/>
        <w:t>liquidação</w:t>
      </w:r>
      <w:r>
        <w:rPr>
          <w:spacing w:val="-45"/>
        </w:rPr>
        <w:t> </w:t>
      </w:r>
      <w:r>
        <w:rPr/>
        <w:t>das</w:t>
      </w:r>
      <w:r>
        <w:rPr>
          <w:spacing w:val="-44"/>
        </w:rPr>
        <w:t> </w:t>
      </w:r>
      <w:r>
        <w:rPr/>
        <w:t>transações</w:t>
      </w:r>
      <w:r>
        <w:rPr>
          <w:spacing w:val="-44"/>
        </w:rPr>
        <w:t> </w:t>
      </w:r>
      <w:r>
        <w:rPr/>
        <w:t>envolvendo</w:t>
      </w:r>
      <w:r>
        <w:rPr>
          <w:spacing w:val="-45"/>
        </w:rPr>
        <w:t> </w:t>
      </w:r>
      <w:r>
        <w:rPr/>
        <w:t>essas</w:t>
      </w:r>
      <w:r>
        <w:rPr>
          <w:spacing w:val="-45"/>
        </w:rPr>
        <w:t> </w:t>
      </w:r>
      <w:r>
        <w:rPr/>
        <w:t>estimativas</w:t>
      </w:r>
      <w:r>
        <w:rPr>
          <w:spacing w:val="-44"/>
        </w:rPr>
        <w:t> </w:t>
      </w:r>
      <w:r>
        <w:rPr/>
        <w:t>poderá</w:t>
      </w:r>
      <w:r>
        <w:rPr>
          <w:spacing w:val="-44"/>
        </w:rPr>
        <w:t> </w:t>
      </w:r>
      <w:r>
        <w:rPr/>
        <w:t>resultar</w:t>
      </w:r>
      <w:r>
        <w:rPr>
          <w:spacing w:val="-44"/>
        </w:rPr>
        <w:t> </w:t>
      </w:r>
      <w:r>
        <w:rPr/>
        <w:t>em</w:t>
      </w:r>
      <w:r>
        <w:rPr>
          <w:spacing w:val="-45"/>
        </w:rPr>
        <w:t> </w:t>
      </w:r>
      <w:r>
        <w:rPr/>
        <w:t>valores</w:t>
      </w:r>
      <w:r>
        <w:rPr>
          <w:spacing w:val="-45"/>
        </w:rPr>
        <w:t> </w:t>
      </w:r>
      <w:r>
        <w:rPr/>
        <w:t>significativamente</w:t>
      </w:r>
      <w:r>
        <w:rPr>
          <w:spacing w:val="-45"/>
        </w:rPr>
        <w:t> </w:t>
      </w:r>
      <w:r>
        <w:rPr/>
        <w:t>divergentes dos</w:t>
      </w:r>
      <w:r>
        <w:rPr>
          <w:spacing w:val="-39"/>
        </w:rPr>
        <w:t> </w:t>
      </w:r>
      <w:r>
        <w:rPr/>
        <w:t>registrados</w:t>
      </w:r>
      <w:r>
        <w:rPr>
          <w:spacing w:val="-37"/>
        </w:rPr>
        <w:t> </w:t>
      </w:r>
      <w:r>
        <w:rPr/>
        <w:t>nas</w:t>
      </w:r>
      <w:r>
        <w:rPr>
          <w:spacing w:val="-39"/>
        </w:rPr>
        <w:t> </w:t>
      </w:r>
      <w:r>
        <w:rPr/>
        <w:t>demonstrações</w:t>
      </w:r>
      <w:r>
        <w:rPr>
          <w:spacing w:val="-36"/>
        </w:rPr>
        <w:t> </w:t>
      </w:r>
      <w:r>
        <w:rPr/>
        <w:t>financeiras,</w:t>
      </w:r>
      <w:r>
        <w:rPr>
          <w:spacing w:val="-39"/>
        </w:rPr>
        <w:t> </w:t>
      </w:r>
      <w:r>
        <w:rPr/>
        <w:t>devido</w:t>
      </w:r>
      <w:r>
        <w:rPr>
          <w:spacing w:val="-39"/>
        </w:rPr>
        <w:t> </w:t>
      </w:r>
      <w:r>
        <w:rPr/>
        <w:t>às</w:t>
      </w:r>
      <w:r>
        <w:rPr>
          <w:spacing w:val="-37"/>
        </w:rPr>
        <w:t> </w:t>
      </w:r>
      <w:r>
        <w:rPr/>
        <w:t>imprecisões</w:t>
      </w:r>
      <w:r>
        <w:rPr>
          <w:spacing w:val="-39"/>
        </w:rPr>
        <w:t> </w:t>
      </w:r>
      <w:r>
        <w:rPr/>
        <w:t>inerentes</w:t>
      </w:r>
      <w:r>
        <w:rPr>
          <w:spacing w:val="-38"/>
        </w:rPr>
        <w:t> </w:t>
      </w:r>
      <w:r>
        <w:rPr/>
        <w:t>ao</w:t>
      </w:r>
      <w:r>
        <w:rPr>
          <w:spacing w:val="-38"/>
        </w:rPr>
        <w:t> </w:t>
      </w:r>
      <w:r>
        <w:rPr/>
        <w:t>processo</w:t>
      </w:r>
      <w:r>
        <w:rPr>
          <w:spacing w:val="-39"/>
        </w:rPr>
        <w:t> </w:t>
      </w:r>
      <w:r>
        <w:rPr/>
        <w:t>de</w:t>
      </w:r>
      <w:r>
        <w:rPr>
          <w:spacing w:val="-38"/>
        </w:rPr>
        <w:t> </w:t>
      </w:r>
      <w:r>
        <w:rPr/>
        <w:t>sua</w:t>
      </w:r>
      <w:r>
        <w:rPr>
          <w:spacing w:val="-38"/>
        </w:rPr>
        <w:t> </w:t>
      </w:r>
      <w:r>
        <w:rPr/>
        <w:t>determinação.</w:t>
      </w:r>
      <w:r>
        <w:rPr>
          <w:spacing w:val="-38"/>
        </w:rPr>
        <w:t> </w:t>
      </w:r>
      <w:r>
        <w:rPr/>
        <w:t>A Administração do Grupo revisa suas estimativas e premissas em bases mensais. Informações adicionais estão divulgadas</w:t>
      </w:r>
      <w:r>
        <w:rPr>
          <w:spacing w:val="-18"/>
        </w:rPr>
        <w:t> </w:t>
      </w:r>
      <w:r>
        <w:rPr/>
        <w:t>na</w:t>
      </w:r>
      <w:r>
        <w:rPr>
          <w:spacing w:val="-18"/>
        </w:rPr>
        <w:t> </w:t>
      </w:r>
      <w:r>
        <w:rPr/>
        <w:t>Nota</w:t>
      </w:r>
      <w:r>
        <w:rPr>
          <w:spacing w:val="-17"/>
        </w:rPr>
        <w:t> </w:t>
      </w:r>
      <w:r>
        <w:rPr/>
        <w:t>Explicativa</w:t>
      </w:r>
      <w:r>
        <w:rPr>
          <w:spacing w:val="-17"/>
        </w:rPr>
        <w:t> </w:t>
      </w:r>
      <w:r>
        <w:rPr/>
        <w:t>nº</w:t>
      </w:r>
      <w:r>
        <w:rPr>
          <w:spacing w:val="-16"/>
        </w:rPr>
        <w:t> </w:t>
      </w:r>
      <w:r>
        <w:rPr/>
        <w:t>26.</w:t>
      </w:r>
    </w:p>
    <w:p>
      <w:pPr>
        <w:pStyle w:val="BodyText"/>
        <w:spacing w:before="6"/>
      </w:pPr>
    </w:p>
    <w:p>
      <w:pPr>
        <w:pStyle w:val="Heading5"/>
        <w:numPr>
          <w:ilvl w:val="3"/>
          <w:numId w:val="9"/>
        </w:numPr>
        <w:tabs>
          <w:tab w:pos="1325" w:val="left" w:leader="none"/>
          <w:tab w:pos="1326" w:val="left" w:leader="none"/>
        </w:tabs>
        <w:spacing w:line="240" w:lineRule="auto" w:before="0" w:after="0"/>
        <w:ind w:left="1326" w:right="0" w:hanging="1134"/>
        <w:jc w:val="left"/>
      </w:pPr>
      <w:r>
        <w:rPr/>
        <w:t>Benefícios a</w:t>
      </w:r>
      <w:r>
        <w:rPr>
          <w:spacing w:val="-3"/>
        </w:rPr>
        <w:t> </w:t>
      </w:r>
      <w:r>
        <w:rPr/>
        <w:t>empregados</w:t>
      </w:r>
    </w:p>
    <w:p>
      <w:pPr>
        <w:pStyle w:val="BodyText"/>
        <w:spacing w:before="5"/>
        <w:rPr>
          <w:rFonts w:ascii="Caladea"/>
          <w:b/>
        </w:rPr>
      </w:pPr>
    </w:p>
    <w:p>
      <w:pPr>
        <w:pStyle w:val="ListParagraph"/>
        <w:numPr>
          <w:ilvl w:val="4"/>
          <w:numId w:val="9"/>
        </w:numPr>
        <w:tabs>
          <w:tab w:pos="1325" w:val="left" w:leader="none"/>
          <w:tab w:pos="1326" w:val="left" w:leader="none"/>
        </w:tabs>
        <w:spacing w:line="240" w:lineRule="auto" w:before="0" w:after="0"/>
        <w:ind w:left="1326" w:right="0" w:hanging="1134"/>
        <w:jc w:val="left"/>
        <w:rPr>
          <w:rFonts w:ascii="Caladea" w:hAnsi="Caladea"/>
          <w:b/>
          <w:sz w:val="22"/>
        </w:rPr>
      </w:pPr>
      <w:r>
        <w:rPr>
          <w:rFonts w:ascii="Caladea" w:hAnsi="Caladea"/>
          <w:b/>
          <w:sz w:val="22"/>
        </w:rPr>
        <w:t>Benefícios de curto</w:t>
      </w:r>
      <w:r>
        <w:rPr>
          <w:rFonts w:ascii="Caladea" w:hAnsi="Caladea"/>
          <w:b/>
          <w:spacing w:val="-3"/>
          <w:sz w:val="22"/>
        </w:rPr>
        <w:t> </w:t>
      </w:r>
      <w:r>
        <w:rPr>
          <w:rFonts w:ascii="Caladea" w:hAnsi="Caladea"/>
          <w:b/>
          <w:sz w:val="22"/>
        </w:rPr>
        <w:t>prazo</w:t>
      </w:r>
    </w:p>
    <w:p>
      <w:pPr>
        <w:pStyle w:val="BodyText"/>
        <w:spacing w:before="10"/>
        <w:rPr>
          <w:rFonts w:ascii="Caladea"/>
          <w:b/>
          <w:sz w:val="23"/>
        </w:rPr>
      </w:pPr>
    </w:p>
    <w:p>
      <w:pPr>
        <w:pStyle w:val="BodyText"/>
        <w:spacing w:line="247" w:lineRule="auto"/>
        <w:ind w:left="192" w:right="614"/>
        <w:jc w:val="both"/>
      </w:pPr>
      <w:r>
        <w:rPr/>
        <w:t>Obrigações</w:t>
      </w:r>
      <w:r>
        <w:rPr>
          <w:spacing w:val="-38"/>
        </w:rPr>
        <w:t> </w:t>
      </w:r>
      <w:r>
        <w:rPr/>
        <w:t>de</w:t>
      </w:r>
      <w:r>
        <w:rPr>
          <w:spacing w:val="-39"/>
        </w:rPr>
        <w:t> </w:t>
      </w:r>
      <w:r>
        <w:rPr/>
        <w:t>benefícios</w:t>
      </w:r>
      <w:r>
        <w:rPr>
          <w:spacing w:val="-39"/>
        </w:rPr>
        <w:t> </w:t>
      </w:r>
      <w:r>
        <w:rPr/>
        <w:t>de</w:t>
      </w:r>
      <w:r>
        <w:rPr>
          <w:spacing w:val="-39"/>
        </w:rPr>
        <w:t> </w:t>
      </w:r>
      <w:r>
        <w:rPr/>
        <w:t>curto</w:t>
      </w:r>
      <w:r>
        <w:rPr>
          <w:spacing w:val="-40"/>
        </w:rPr>
        <w:t> </w:t>
      </w:r>
      <w:r>
        <w:rPr/>
        <w:t>prazo</w:t>
      </w:r>
      <w:r>
        <w:rPr>
          <w:spacing w:val="-39"/>
        </w:rPr>
        <w:t> </w:t>
      </w:r>
      <w:r>
        <w:rPr/>
        <w:t>a</w:t>
      </w:r>
      <w:r>
        <w:rPr>
          <w:spacing w:val="-37"/>
        </w:rPr>
        <w:t> </w:t>
      </w:r>
      <w:r>
        <w:rPr/>
        <w:t>empregados</w:t>
      </w:r>
      <w:r>
        <w:rPr>
          <w:spacing w:val="-40"/>
        </w:rPr>
        <w:t> </w:t>
      </w:r>
      <w:r>
        <w:rPr/>
        <w:t>são</w:t>
      </w:r>
      <w:r>
        <w:rPr>
          <w:spacing w:val="-39"/>
        </w:rPr>
        <w:t> </w:t>
      </w:r>
      <w:r>
        <w:rPr/>
        <w:t>mensuradas</w:t>
      </w:r>
      <w:r>
        <w:rPr>
          <w:spacing w:val="-38"/>
        </w:rPr>
        <w:t> </w:t>
      </w:r>
      <w:r>
        <w:rPr/>
        <w:t>em</w:t>
      </w:r>
      <w:r>
        <w:rPr>
          <w:spacing w:val="-38"/>
        </w:rPr>
        <w:t> </w:t>
      </w:r>
      <w:r>
        <w:rPr/>
        <w:t>uma</w:t>
      </w:r>
      <w:r>
        <w:rPr>
          <w:spacing w:val="-37"/>
        </w:rPr>
        <w:t> </w:t>
      </w:r>
      <w:r>
        <w:rPr/>
        <w:t>base</w:t>
      </w:r>
      <w:r>
        <w:rPr>
          <w:spacing w:val="-39"/>
        </w:rPr>
        <w:t> </w:t>
      </w:r>
      <w:r>
        <w:rPr/>
        <w:t>não</w:t>
      </w:r>
      <w:r>
        <w:rPr>
          <w:spacing w:val="-39"/>
        </w:rPr>
        <w:t> </w:t>
      </w:r>
      <w:r>
        <w:rPr/>
        <w:t>descontada</w:t>
      </w:r>
      <w:r>
        <w:rPr>
          <w:spacing w:val="-38"/>
        </w:rPr>
        <w:t> </w:t>
      </w:r>
      <w:r>
        <w:rPr/>
        <w:t>e</w:t>
      </w:r>
      <w:r>
        <w:rPr>
          <w:spacing w:val="-40"/>
        </w:rPr>
        <w:t> </w:t>
      </w:r>
      <w:r>
        <w:rPr/>
        <w:t>são</w:t>
      </w:r>
      <w:r>
        <w:rPr>
          <w:spacing w:val="-38"/>
        </w:rPr>
        <w:t> </w:t>
      </w:r>
      <w:r>
        <w:rPr/>
        <w:t>incorridas como</w:t>
      </w:r>
      <w:r>
        <w:rPr>
          <w:spacing w:val="-20"/>
        </w:rPr>
        <w:t> </w:t>
      </w:r>
      <w:r>
        <w:rPr/>
        <w:t>despesas</w:t>
      </w:r>
      <w:r>
        <w:rPr>
          <w:spacing w:val="-19"/>
        </w:rPr>
        <w:t> </w:t>
      </w:r>
      <w:r>
        <w:rPr/>
        <w:t>conforme</w:t>
      </w:r>
      <w:r>
        <w:rPr>
          <w:spacing w:val="-21"/>
        </w:rPr>
        <w:t> </w:t>
      </w:r>
      <w:r>
        <w:rPr/>
        <w:t>o</w:t>
      </w:r>
      <w:r>
        <w:rPr>
          <w:spacing w:val="-17"/>
        </w:rPr>
        <w:t> </w:t>
      </w:r>
      <w:r>
        <w:rPr/>
        <w:t>serviço</w:t>
      </w:r>
      <w:r>
        <w:rPr>
          <w:spacing w:val="-17"/>
        </w:rPr>
        <w:t> </w:t>
      </w:r>
      <w:r>
        <w:rPr/>
        <w:t>relacionado</w:t>
      </w:r>
      <w:r>
        <w:rPr>
          <w:spacing w:val="-20"/>
        </w:rPr>
        <w:t> </w:t>
      </w:r>
      <w:r>
        <w:rPr/>
        <w:t>seja</w:t>
      </w:r>
      <w:r>
        <w:rPr>
          <w:spacing w:val="-19"/>
        </w:rPr>
        <w:t> </w:t>
      </w:r>
      <w:r>
        <w:rPr/>
        <w:t>prestado.</w:t>
      </w:r>
    </w:p>
    <w:p>
      <w:pPr>
        <w:pStyle w:val="BodyText"/>
        <w:spacing w:before="9"/>
      </w:pPr>
    </w:p>
    <w:p>
      <w:pPr>
        <w:pStyle w:val="BodyText"/>
        <w:spacing w:line="247" w:lineRule="auto"/>
        <w:ind w:left="192" w:right="612"/>
        <w:jc w:val="both"/>
      </w:pPr>
      <w:r>
        <w:rPr/>
        <w:t>O</w:t>
      </w:r>
      <w:r>
        <w:rPr>
          <w:spacing w:val="-40"/>
        </w:rPr>
        <w:t> </w:t>
      </w:r>
      <w:r>
        <w:rPr/>
        <w:t>passivo</w:t>
      </w:r>
      <w:r>
        <w:rPr>
          <w:spacing w:val="-36"/>
        </w:rPr>
        <w:t> </w:t>
      </w:r>
      <w:r>
        <w:rPr/>
        <w:t>é</w:t>
      </w:r>
      <w:r>
        <w:rPr>
          <w:spacing w:val="-38"/>
        </w:rPr>
        <w:t> </w:t>
      </w:r>
      <w:r>
        <w:rPr/>
        <w:t>reconhecido</w:t>
      </w:r>
      <w:r>
        <w:rPr>
          <w:spacing w:val="-38"/>
        </w:rPr>
        <w:t> </w:t>
      </w:r>
      <w:r>
        <w:rPr/>
        <w:t>pelo</w:t>
      </w:r>
      <w:r>
        <w:rPr>
          <w:spacing w:val="-38"/>
        </w:rPr>
        <w:t> </w:t>
      </w:r>
      <w:r>
        <w:rPr/>
        <w:t>valor</w:t>
      </w:r>
      <w:r>
        <w:rPr>
          <w:spacing w:val="-38"/>
        </w:rPr>
        <w:t> </w:t>
      </w:r>
      <w:r>
        <w:rPr/>
        <w:t>esperado</w:t>
      </w:r>
      <w:r>
        <w:rPr>
          <w:spacing w:val="-37"/>
        </w:rPr>
        <w:t> </w:t>
      </w:r>
      <w:r>
        <w:rPr/>
        <w:t>a</w:t>
      </w:r>
      <w:r>
        <w:rPr>
          <w:spacing w:val="-38"/>
        </w:rPr>
        <w:t> </w:t>
      </w:r>
      <w:r>
        <w:rPr/>
        <w:t>ser</w:t>
      </w:r>
      <w:r>
        <w:rPr>
          <w:spacing w:val="-39"/>
        </w:rPr>
        <w:t> </w:t>
      </w:r>
      <w:r>
        <w:rPr/>
        <w:t>pago</w:t>
      </w:r>
      <w:r>
        <w:rPr>
          <w:spacing w:val="-37"/>
        </w:rPr>
        <w:t> </w:t>
      </w:r>
      <w:r>
        <w:rPr/>
        <w:t>aos</w:t>
      </w:r>
      <w:r>
        <w:rPr>
          <w:spacing w:val="-38"/>
        </w:rPr>
        <w:t> </w:t>
      </w:r>
      <w:r>
        <w:rPr/>
        <w:t>planos</w:t>
      </w:r>
      <w:r>
        <w:rPr>
          <w:spacing w:val="-35"/>
        </w:rPr>
        <w:t> </w:t>
      </w:r>
      <w:r>
        <w:rPr/>
        <w:t>de</w:t>
      </w:r>
      <w:r>
        <w:rPr>
          <w:spacing w:val="-38"/>
        </w:rPr>
        <w:t> </w:t>
      </w:r>
      <w:r>
        <w:rPr/>
        <w:t>bonificação,</w:t>
      </w:r>
      <w:r>
        <w:rPr>
          <w:spacing w:val="-39"/>
        </w:rPr>
        <w:t> </w:t>
      </w:r>
      <w:r>
        <w:rPr/>
        <w:t>em</w:t>
      </w:r>
      <w:r>
        <w:rPr>
          <w:spacing w:val="-38"/>
        </w:rPr>
        <w:t> </w:t>
      </w:r>
      <w:r>
        <w:rPr/>
        <w:t>espécie</w:t>
      </w:r>
      <w:r>
        <w:rPr>
          <w:spacing w:val="-39"/>
        </w:rPr>
        <w:t> </w:t>
      </w:r>
      <w:r>
        <w:rPr/>
        <w:t>ou</w:t>
      </w:r>
      <w:r>
        <w:rPr>
          <w:spacing w:val="-36"/>
        </w:rPr>
        <w:t> </w:t>
      </w:r>
      <w:r>
        <w:rPr/>
        <w:t>em</w:t>
      </w:r>
      <w:r>
        <w:rPr>
          <w:spacing w:val="-37"/>
        </w:rPr>
        <w:t> </w:t>
      </w:r>
      <w:r>
        <w:rPr/>
        <w:t>participação</w:t>
      </w:r>
      <w:r>
        <w:rPr>
          <w:spacing w:val="-39"/>
        </w:rPr>
        <w:t> </w:t>
      </w:r>
      <w:r>
        <w:rPr/>
        <w:t>nos lucros</w:t>
      </w:r>
      <w:r>
        <w:rPr>
          <w:spacing w:val="-15"/>
        </w:rPr>
        <w:t> </w:t>
      </w:r>
      <w:r>
        <w:rPr/>
        <w:t>de</w:t>
      </w:r>
      <w:r>
        <w:rPr>
          <w:spacing w:val="-16"/>
        </w:rPr>
        <w:t> </w:t>
      </w:r>
      <w:r>
        <w:rPr/>
        <w:t>curto</w:t>
      </w:r>
      <w:r>
        <w:rPr>
          <w:spacing w:val="-14"/>
        </w:rPr>
        <w:t> </w:t>
      </w:r>
      <w:r>
        <w:rPr/>
        <w:t>prazo,</w:t>
      </w:r>
      <w:r>
        <w:rPr>
          <w:spacing w:val="-15"/>
        </w:rPr>
        <w:t> </w:t>
      </w:r>
      <w:r>
        <w:rPr/>
        <w:t>se</w:t>
      </w:r>
      <w:r>
        <w:rPr>
          <w:spacing w:val="-14"/>
        </w:rPr>
        <w:t> </w:t>
      </w:r>
      <w:r>
        <w:rPr/>
        <w:t>a</w:t>
      </w:r>
      <w:r>
        <w:rPr>
          <w:spacing w:val="-13"/>
        </w:rPr>
        <w:t> </w:t>
      </w:r>
      <w:r>
        <w:rPr/>
        <w:t>Companhia</w:t>
      </w:r>
      <w:r>
        <w:rPr>
          <w:spacing w:val="-13"/>
        </w:rPr>
        <w:t> </w:t>
      </w:r>
      <w:r>
        <w:rPr/>
        <w:t>ou</w:t>
      </w:r>
      <w:r>
        <w:rPr>
          <w:spacing w:val="-13"/>
        </w:rPr>
        <w:t> </w:t>
      </w:r>
      <w:r>
        <w:rPr/>
        <w:t>suas</w:t>
      </w:r>
      <w:r>
        <w:rPr>
          <w:spacing w:val="-15"/>
        </w:rPr>
        <w:t> </w:t>
      </w:r>
      <w:r>
        <w:rPr/>
        <w:t>controladas</w:t>
      </w:r>
      <w:r>
        <w:rPr>
          <w:spacing w:val="-15"/>
        </w:rPr>
        <w:t> </w:t>
      </w:r>
      <w:r>
        <w:rPr/>
        <w:t>e</w:t>
      </w:r>
      <w:r>
        <w:rPr>
          <w:spacing w:val="-15"/>
        </w:rPr>
        <w:t> </w:t>
      </w:r>
      <w:r>
        <w:rPr/>
        <w:t>coligadas</w:t>
      </w:r>
      <w:r>
        <w:rPr>
          <w:spacing w:val="-15"/>
        </w:rPr>
        <w:t> </w:t>
      </w:r>
      <w:r>
        <w:rPr/>
        <w:t>têm</w:t>
      </w:r>
      <w:r>
        <w:rPr>
          <w:spacing w:val="-13"/>
        </w:rPr>
        <w:t> </w:t>
      </w:r>
      <w:r>
        <w:rPr/>
        <w:t>uma</w:t>
      </w:r>
      <w:r>
        <w:rPr>
          <w:spacing w:val="-12"/>
        </w:rPr>
        <w:t> </w:t>
      </w:r>
      <w:r>
        <w:rPr/>
        <w:t>obrigação,</w:t>
      </w:r>
      <w:r>
        <w:rPr>
          <w:spacing w:val="-14"/>
        </w:rPr>
        <w:t> </w:t>
      </w:r>
      <w:r>
        <w:rPr/>
        <w:t>em</w:t>
      </w:r>
      <w:r>
        <w:rPr>
          <w:spacing w:val="-14"/>
        </w:rPr>
        <w:t> </w:t>
      </w:r>
      <w:r>
        <w:rPr/>
        <w:t>função</w:t>
      </w:r>
      <w:r>
        <w:rPr>
          <w:spacing w:val="-13"/>
        </w:rPr>
        <w:t> </w:t>
      </w:r>
      <w:r>
        <w:rPr/>
        <w:t>de</w:t>
      </w:r>
      <w:r>
        <w:rPr>
          <w:spacing w:val="-16"/>
        </w:rPr>
        <w:t> </w:t>
      </w:r>
      <w:r>
        <w:rPr/>
        <w:t>serviço prestado</w:t>
      </w:r>
      <w:r>
        <w:rPr>
          <w:spacing w:val="-21"/>
        </w:rPr>
        <w:t> </w:t>
      </w:r>
      <w:r>
        <w:rPr/>
        <w:t>pelo</w:t>
      </w:r>
      <w:r>
        <w:rPr>
          <w:spacing w:val="-18"/>
        </w:rPr>
        <w:t> </w:t>
      </w:r>
      <w:r>
        <w:rPr/>
        <w:t>empregado,</w:t>
      </w:r>
      <w:r>
        <w:rPr>
          <w:spacing w:val="-20"/>
        </w:rPr>
        <w:t> </w:t>
      </w:r>
      <w:r>
        <w:rPr/>
        <w:t>que</w:t>
      </w:r>
      <w:r>
        <w:rPr>
          <w:spacing w:val="-20"/>
        </w:rPr>
        <w:t> </w:t>
      </w:r>
      <w:r>
        <w:rPr/>
        <w:t>possa</w:t>
      </w:r>
      <w:r>
        <w:rPr>
          <w:spacing w:val="-20"/>
        </w:rPr>
        <w:t> </w:t>
      </w:r>
      <w:r>
        <w:rPr/>
        <w:t>ser</w:t>
      </w:r>
      <w:r>
        <w:rPr>
          <w:spacing w:val="-19"/>
        </w:rPr>
        <w:t> </w:t>
      </w:r>
      <w:r>
        <w:rPr/>
        <w:t>estimada</w:t>
      </w:r>
      <w:r>
        <w:rPr>
          <w:spacing w:val="-20"/>
        </w:rPr>
        <w:t> </w:t>
      </w:r>
      <w:r>
        <w:rPr/>
        <w:t>de</w:t>
      </w:r>
      <w:r>
        <w:rPr>
          <w:spacing w:val="-22"/>
        </w:rPr>
        <w:t> </w:t>
      </w:r>
      <w:r>
        <w:rPr/>
        <w:t>maneira</w:t>
      </w:r>
      <w:r>
        <w:rPr>
          <w:spacing w:val="-20"/>
        </w:rPr>
        <w:t> </w:t>
      </w:r>
      <w:r>
        <w:rPr/>
        <w:t>confiável.</w:t>
      </w:r>
    </w:p>
    <w:p>
      <w:pPr>
        <w:pStyle w:val="BodyText"/>
        <w:spacing w:before="6"/>
      </w:pPr>
    </w:p>
    <w:p>
      <w:pPr>
        <w:pStyle w:val="Heading5"/>
        <w:numPr>
          <w:ilvl w:val="4"/>
          <w:numId w:val="9"/>
        </w:numPr>
        <w:tabs>
          <w:tab w:pos="1325" w:val="left" w:leader="none"/>
          <w:tab w:pos="1326" w:val="left" w:leader="none"/>
        </w:tabs>
        <w:spacing w:line="240" w:lineRule="auto" w:before="1" w:after="0"/>
        <w:ind w:left="1326" w:right="0" w:hanging="1134"/>
        <w:jc w:val="left"/>
      </w:pPr>
      <w:r>
        <w:rPr/>
        <w:t>Benefícios</w:t>
      </w:r>
      <w:r>
        <w:rPr>
          <w:spacing w:val="-2"/>
        </w:rPr>
        <w:t> </w:t>
      </w:r>
      <w:r>
        <w:rPr/>
        <w:t>pós-emprego</w:t>
      </w:r>
    </w:p>
    <w:p>
      <w:pPr>
        <w:pStyle w:val="BodyText"/>
        <w:spacing w:before="9"/>
        <w:rPr>
          <w:rFonts w:ascii="Caladea"/>
          <w:b/>
          <w:sz w:val="23"/>
        </w:rPr>
      </w:pPr>
    </w:p>
    <w:p>
      <w:pPr>
        <w:pStyle w:val="BodyText"/>
        <w:spacing w:line="242" w:lineRule="auto"/>
        <w:ind w:left="192" w:right="609"/>
        <w:jc w:val="both"/>
      </w:pPr>
      <w:r>
        <w:rPr/>
        <w:t>A Companhia e suas controladas, em especial a CEB-D (“Patrocinadoras”), patrocinam planos de benefícios suplementares</w:t>
      </w:r>
      <w:r>
        <w:rPr>
          <w:spacing w:val="-40"/>
        </w:rPr>
        <w:t> </w:t>
      </w:r>
      <w:r>
        <w:rPr/>
        <w:t>de</w:t>
      </w:r>
      <w:r>
        <w:rPr>
          <w:spacing w:val="-41"/>
        </w:rPr>
        <w:t> </w:t>
      </w:r>
      <w:r>
        <w:rPr/>
        <w:t>aposentadoria</w:t>
      </w:r>
      <w:r>
        <w:rPr>
          <w:spacing w:val="-40"/>
        </w:rPr>
        <w:t> </w:t>
      </w:r>
      <w:r>
        <w:rPr/>
        <w:t>e</w:t>
      </w:r>
      <w:r>
        <w:rPr>
          <w:spacing w:val="-41"/>
        </w:rPr>
        <w:t> </w:t>
      </w:r>
      <w:r>
        <w:rPr/>
        <w:t>pensão</w:t>
      </w:r>
      <w:r>
        <w:rPr>
          <w:spacing w:val="-40"/>
        </w:rPr>
        <w:t> </w:t>
      </w:r>
      <w:r>
        <w:rPr/>
        <w:t>para</w:t>
      </w:r>
      <w:r>
        <w:rPr>
          <w:spacing w:val="-41"/>
        </w:rPr>
        <w:t> </w:t>
      </w:r>
      <w:r>
        <w:rPr/>
        <w:t>seus</w:t>
      </w:r>
      <w:r>
        <w:rPr>
          <w:spacing w:val="-40"/>
        </w:rPr>
        <w:t> </w:t>
      </w:r>
      <w:r>
        <w:rPr/>
        <w:t>empregados,</w:t>
      </w:r>
      <w:r>
        <w:rPr>
          <w:spacing w:val="-39"/>
        </w:rPr>
        <w:t> </w:t>
      </w:r>
      <w:r>
        <w:rPr/>
        <w:t>ex-empregados</w:t>
      </w:r>
      <w:r>
        <w:rPr>
          <w:spacing w:val="-40"/>
        </w:rPr>
        <w:t> </w:t>
      </w:r>
      <w:r>
        <w:rPr/>
        <w:t>e</w:t>
      </w:r>
      <w:r>
        <w:rPr>
          <w:spacing w:val="-41"/>
        </w:rPr>
        <w:t> </w:t>
      </w:r>
      <w:r>
        <w:rPr/>
        <w:t>respectivos</w:t>
      </w:r>
      <w:r>
        <w:rPr>
          <w:spacing w:val="-40"/>
        </w:rPr>
        <w:t> </w:t>
      </w:r>
      <w:r>
        <w:rPr/>
        <w:t>beneficiários,</w:t>
      </w:r>
      <w:r>
        <w:rPr>
          <w:spacing w:val="-41"/>
        </w:rPr>
        <w:t> </w:t>
      </w:r>
      <w:r>
        <w:rPr/>
        <w:t>com</w:t>
      </w:r>
      <w:r>
        <w:rPr>
          <w:spacing w:val="-41"/>
        </w:rPr>
        <w:t> </w:t>
      </w:r>
      <w:r>
        <w:rPr/>
        <w:t>o objetivo de suplementar os benefícios garantidos pelo sistema oficial da previdência social. As patrocinadoras </w:t>
      </w:r>
      <w:r>
        <w:rPr>
          <w:w w:val="95"/>
        </w:rPr>
        <w:t>concedem,</w:t>
      </w:r>
      <w:r>
        <w:rPr>
          <w:spacing w:val="-19"/>
          <w:w w:val="95"/>
        </w:rPr>
        <w:t> </w:t>
      </w:r>
      <w:r>
        <w:rPr>
          <w:w w:val="95"/>
        </w:rPr>
        <w:t>também,</w:t>
      </w:r>
      <w:r>
        <w:rPr>
          <w:spacing w:val="-19"/>
          <w:w w:val="95"/>
        </w:rPr>
        <w:t> </w:t>
      </w:r>
      <w:r>
        <w:rPr>
          <w:w w:val="95"/>
        </w:rPr>
        <w:t>determinados</w:t>
      </w:r>
      <w:r>
        <w:rPr>
          <w:spacing w:val="-21"/>
          <w:w w:val="95"/>
        </w:rPr>
        <w:t> </w:t>
      </w:r>
      <w:r>
        <w:rPr>
          <w:w w:val="95"/>
        </w:rPr>
        <w:t>benefícios</w:t>
      </w:r>
      <w:r>
        <w:rPr>
          <w:spacing w:val="-20"/>
          <w:w w:val="95"/>
        </w:rPr>
        <w:t> </w:t>
      </w:r>
      <w:r>
        <w:rPr>
          <w:w w:val="95"/>
        </w:rPr>
        <w:t>de</w:t>
      </w:r>
      <w:r>
        <w:rPr>
          <w:spacing w:val="-19"/>
          <w:w w:val="95"/>
        </w:rPr>
        <w:t> </w:t>
      </w:r>
      <w:r>
        <w:rPr>
          <w:w w:val="95"/>
        </w:rPr>
        <w:t>assistência</w:t>
      </w:r>
      <w:r>
        <w:rPr>
          <w:spacing w:val="-20"/>
          <w:w w:val="95"/>
        </w:rPr>
        <w:t> </w:t>
      </w:r>
      <w:r>
        <w:rPr>
          <w:w w:val="95"/>
        </w:rPr>
        <w:t>à</w:t>
      </w:r>
      <w:r>
        <w:rPr>
          <w:spacing w:val="-20"/>
          <w:w w:val="95"/>
        </w:rPr>
        <w:t> </w:t>
      </w:r>
      <w:r>
        <w:rPr>
          <w:w w:val="95"/>
        </w:rPr>
        <w:t>saúde</w:t>
      </w:r>
      <w:r>
        <w:rPr>
          <w:spacing w:val="-22"/>
          <w:w w:val="95"/>
        </w:rPr>
        <w:t> </w:t>
      </w:r>
      <w:r>
        <w:rPr>
          <w:w w:val="95"/>
        </w:rPr>
        <w:t>pós-emprego</w:t>
      </w:r>
      <w:r>
        <w:rPr>
          <w:spacing w:val="-19"/>
          <w:w w:val="95"/>
        </w:rPr>
        <w:t> </w:t>
      </w:r>
      <w:r>
        <w:rPr>
          <w:w w:val="95"/>
        </w:rPr>
        <w:t>para</w:t>
      </w:r>
      <w:r>
        <w:rPr>
          <w:spacing w:val="-20"/>
          <w:w w:val="95"/>
        </w:rPr>
        <w:t> </w:t>
      </w:r>
      <w:r>
        <w:rPr>
          <w:w w:val="95"/>
        </w:rPr>
        <w:t>seus</w:t>
      </w:r>
      <w:r>
        <w:rPr>
          <w:spacing w:val="-19"/>
          <w:w w:val="95"/>
        </w:rPr>
        <w:t> </w:t>
      </w:r>
      <w:r>
        <w:rPr>
          <w:w w:val="95"/>
        </w:rPr>
        <w:t>empregados</w:t>
      </w:r>
      <w:r>
        <w:rPr>
          <w:spacing w:val="-18"/>
          <w:w w:val="95"/>
        </w:rPr>
        <w:t> </w:t>
      </w:r>
      <w:r>
        <w:rPr>
          <w:w w:val="95"/>
        </w:rPr>
        <w:t>e</w:t>
      </w:r>
      <w:r>
        <w:rPr>
          <w:spacing w:val="-22"/>
          <w:w w:val="95"/>
        </w:rPr>
        <w:t> </w:t>
      </w:r>
      <w:r>
        <w:rPr>
          <w:w w:val="95"/>
        </w:rPr>
        <w:t>respectivos </w:t>
      </w:r>
      <w:r>
        <w:rPr/>
        <w:t>beneficiários</w:t>
      </w:r>
      <w:r>
        <w:rPr>
          <w:spacing w:val="-18"/>
        </w:rPr>
        <w:t> </w:t>
      </w:r>
      <w:r>
        <w:rPr>
          <w:w w:val="105"/>
        </w:rPr>
        <w:t>–</w:t>
      </w:r>
      <w:r>
        <w:rPr>
          <w:spacing w:val="-18"/>
          <w:w w:val="105"/>
        </w:rPr>
        <w:t> </w:t>
      </w:r>
      <w:r>
        <w:rPr/>
        <w:t>Plano</w:t>
      </w:r>
      <w:r>
        <w:rPr>
          <w:spacing w:val="-19"/>
        </w:rPr>
        <w:t> </w:t>
      </w:r>
      <w:r>
        <w:rPr/>
        <w:t>Assistencial</w:t>
      </w:r>
      <w:r>
        <w:rPr>
          <w:spacing w:val="-18"/>
        </w:rPr>
        <w:t> </w:t>
      </w:r>
      <w:r>
        <w:rPr/>
        <w:t>(Nota</w:t>
      </w:r>
      <w:r>
        <w:rPr>
          <w:spacing w:val="-18"/>
        </w:rPr>
        <w:t> </w:t>
      </w:r>
      <w:r>
        <w:rPr/>
        <w:t>Explicativa</w:t>
      </w:r>
      <w:r>
        <w:rPr>
          <w:spacing w:val="-18"/>
        </w:rPr>
        <w:t> </w:t>
      </w:r>
      <w:r>
        <w:rPr/>
        <w:t>nº</w:t>
      </w:r>
      <w:r>
        <w:rPr>
          <w:spacing w:val="-17"/>
        </w:rPr>
        <w:t> </w:t>
      </w:r>
      <w:r>
        <w:rPr/>
        <w:t>25).</w:t>
      </w:r>
    </w:p>
    <w:p>
      <w:pPr>
        <w:pStyle w:val="BodyText"/>
        <w:spacing w:before="9"/>
      </w:pPr>
    </w:p>
    <w:p>
      <w:pPr>
        <w:pStyle w:val="BodyText"/>
        <w:spacing w:line="242" w:lineRule="auto"/>
        <w:ind w:left="192" w:right="614"/>
        <w:jc w:val="both"/>
      </w:pPr>
      <w:r>
        <w:rPr/>
        <w:t>O</w:t>
      </w:r>
      <w:r>
        <w:rPr>
          <w:spacing w:val="-30"/>
        </w:rPr>
        <w:t> </w:t>
      </w:r>
      <w:r>
        <w:rPr/>
        <w:t>plano</w:t>
      </w:r>
      <w:r>
        <w:rPr>
          <w:spacing w:val="-30"/>
        </w:rPr>
        <w:t> </w:t>
      </w:r>
      <w:r>
        <w:rPr/>
        <w:t>de</w:t>
      </w:r>
      <w:r>
        <w:rPr>
          <w:spacing w:val="-30"/>
        </w:rPr>
        <w:t> </w:t>
      </w:r>
      <w:r>
        <w:rPr/>
        <w:t>aposentadoria</w:t>
      </w:r>
      <w:r>
        <w:rPr>
          <w:spacing w:val="-28"/>
        </w:rPr>
        <w:t> </w:t>
      </w:r>
      <w:r>
        <w:rPr/>
        <w:t>na</w:t>
      </w:r>
      <w:r>
        <w:rPr>
          <w:spacing w:val="-29"/>
        </w:rPr>
        <w:t> </w:t>
      </w:r>
      <w:r>
        <w:rPr/>
        <w:t>modalidade</w:t>
      </w:r>
      <w:r>
        <w:rPr>
          <w:spacing w:val="-29"/>
        </w:rPr>
        <w:t> </w:t>
      </w:r>
      <w:r>
        <w:rPr/>
        <w:t>benefício</w:t>
      </w:r>
      <w:r>
        <w:rPr>
          <w:spacing w:val="-29"/>
        </w:rPr>
        <w:t> </w:t>
      </w:r>
      <w:r>
        <w:rPr/>
        <w:t>definido</w:t>
      </w:r>
      <w:r>
        <w:rPr>
          <w:spacing w:val="-30"/>
        </w:rPr>
        <w:t> </w:t>
      </w:r>
      <w:r>
        <w:rPr/>
        <w:t>tem</w:t>
      </w:r>
      <w:r>
        <w:rPr>
          <w:spacing w:val="-28"/>
        </w:rPr>
        <w:t> </w:t>
      </w:r>
      <w:r>
        <w:rPr/>
        <w:t>o</w:t>
      </w:r>
      <w:r>
        <w:rPr>
          <w:spacing w:val="-30"/>
        </w:rPr>
        <w:t> </w:t>
      </w:r>
      <w:r>
        <w:rPr/>
        <w:t>custo</w:t>
      </w:r>
      <w:r>
        <w:rPr>
          <w:spacing w:val="-29"/>
        </w:rPr>
        <w:t> </w:t>
      </w:r>
      <w:r>
        <w:rPr/>
        <w:t>da</w:t>
      </w:r>
      <w:r>
        <w:rPr>
          <w:spacing w:val="-29"/>
        </w:rPr>
        <w:t> </w:t>
      </w:r>
      <w:r>
        <w:rPr/>
        <w:t>concessão</w:t>
      </w:r>
      <w:r>
        <w:rPr>
          <w:spacing w:val="-30"/>
        </w:rPr>
        <w:t> </w:t>
      </w:r>
      <w:r>
        <w:rPr/>
        <w:t>dos</w:t>
      </w:r>
      <w:r>
        <w:rPr>
          <w:spacing w:val="-29"/>
        </w:rPr>
        <w:t> </w:t>
      </w:r>
      <w:r>
        <w:rPr/>
        <w:t>benefícios</w:t>
      </w:r>
      <w:r>
        <w:rPr>
          <w:spacing w:val="-28"/>
        </w:rPr>
        <w:t> </w:t>
      </w:r>
      <w:r>
        <w:rPr/>
        <w:t>determinados pelo</w:t>
      </w:r>
      <w:r>
        <w:rPr>
          <w:spacing w:val="-11"/>
        </w:rPr>
        <w:t> </w:t>
      </w:r>
      <w:r>
        <w:rPr/>
        <w:t>Método</w:t>
      </w:r>
      <w:r>
        <w:rPr>
          <w:spacing w:val="-10"/>
        </w:rPr>
        <w:t> </w:t>
      </w:r>
      <w:r>
        <w:rPr/>
        <w:t>da</w:t>
      </w:r>
      <w:r>
        <w:rPr>
          <w:spacing w:val="-9"/>
        </w:rPr>
        <w:t> </w:t>
      </w:r>
      <w:r>
        <w:rPr/>
        <w:t>Unidade</w:t>
      </w:r>
      <w:r>
        <w:rPr>
          <w:spacing w:val="-9"/>
        </w:rPr>
        <w:t> </w:t>
      </w:r>
      <w:r>
        <w:rPr/>
        <w:t>de</w:t>
      </w:r>
      <w:r>
        <w:rPr>
          <w:spacing w:val="-9"/>
        </w:rPr>
        <w:t> </w:t>
      </w:r>
      <w:r>
        <w:rPr/>
        <w:t>Crédito</w:t>
      </w:r>
      <w:r>
        <w:rPr>
          <w:spacing w:val="-9"/>
        </w:rPr>
        <w:t> </w:t>
      </w:r>
      <w:r>
        <w:rPr/>
        <w:t>Projetada,</w:t>
      </w:r>
      <w:r>
        <w:rPr>
          <w:spacing w:val="-10"/>
        </w:rPr>
        <w:t> </w:t>
      </w:r>
      <w:r>
        <w:rPr/>
        <w:t>líquido</w:t>
      </w:r>
      <w:r>
        <w:rPr>
          <w:spacing w:val="-8"/>
        </w:rPr>
        <w:t> </w:t>
      </w:r>
      <w:r>
        <w:rPr/>
        <w:t>dos</w:t>
      </w:r>
      <w:r>
        <w:rPr>
          <w:spacing w:val="-9"/>
        </w:rPr>
        <w:t> </w:t>
      </w:r>
      <w:r>
        <w:rPr/>
        <w:t>ativos</w:t>
      </w:r>
      <w:r>
        <w:rPr>
          <w:spacing w:val="-10"/>
        </w:rPr>
        <w:t> </w:t>
      </w:r>
      <w:r>
        <w:rPr/>
        <w:t>garantidores</w:t>
      </w:r>
      <w:r>
        <w:rPr>
          <w:spacing w:val="-9"/>
        </w:rPr>
        <w:t> </w:t>
      </w:r>
      <w:r>
        <w:rPr/>
        <w:t>do</w:t>
      </w:r>
      <w:r>
        <w:rPr>
          <w:spacing w:val="-7"/>
        </w:rPr>
        <w:t> </w:t>
      </w:r>
      <w:r>
        <w:rPr/>
        <w:t>plano,</w:t>
      </w:r>
      <w:r>
        <w:rPr>
          <w:spacing w:val="-10"/>
        </w:rPr>
        <w:t> </w:t>
      </w:r>
      <w:r>
        <w:rPr/>
        <w:t>com</w:t>
      </w:r>
      <w:r>
        <w:rPr>
          <w:spacing w:val="-8"/>
        </w:rPr>
        <w:t> </w:t>
      </w:r>
      <w:r>
        <w:rPr/>
        <w:t>base</w:t>
      </w:r>
      <w:r>
        <w:rPr>
          <w:spacing w:val="-10"/>
        </w:rPr>
        <w:t> </w:t>
      </w:r>
      <w:r>
        <w:rPr/>
        <w:t>em</w:t>
      </w:r>
      <w:r>
        <w:rPr>
          <w:spacing w:val="-10"/>
        </w:rPr>
        <w:t> </w:t>
      </w:r>
      <w:r>
        <w:rPr/>
        <w:t>avaliação atuarial</w:t>
      </w:r>
      <w:r>
        <w:rPr>
          <w:spacing w:val="-14"/>
        </w:rPr>
        <w:t> </w:t>
      </w:r>
      <w:r>
        <w:rPr/>
        <w:t>externa</w:t>
      </w:r>
      <w:r>
        <w:rPr>
          <w:spacing w:val="-11"/>
        </w:rPr>
        <w:t> </w:t>
      </w:r>
      <w:r>
        <w:rPr/>
        <w:t>realizada</w:t>
      </w:r>
      <w:r>
        <w:rPr>
          <w:spacing w:val="-14"/>
        </w:rPr>
        <w:t> </w:t>
      </w:r>
      <w:r>
        <w:rPr/>
        <w:t>anualmente</w:t>
      </w:r>
      <w:r>
        <w:rPr>
          <w:spacing w:val="-13"/>
        </w:rPr>
        <w:t> </w:t>
      </w:r>
      <w:r>
        <w:rPr/>
        <w:t>no</w:t>
      </w:r>
      <w:r>
        <w:rPr>
          <w:spacing w:val="-13"/>
        </w:rPr>
        <w:t> </w:t>
      </w:r>
      <w:r>
        <w:rPr/>
        <w:t>final</w:t>
      </w:r>
      <w:r>
        <w:rPr>
          <w:spacing w:val="-13"/>
        </w:rPr>
        <w:t> </w:t>
      </w:r>
      <w:r>
        <w:rPr/>
        <w:t>de</w:t>
      </w:r>
      <w:r>
        <w:rPr>
          <w:spacing w:val="-15"/>
        </w:rPr>
        <w:t> </w:t>
      </w:r>
      <w:r>
        <w:rPr/>
        <w:t>cada</w:t>
      </w:r>
      <w:r>
        <w:rPr>
          <w:spacing w:val="-12"/>
        </w:rPr>
        <w:t> </w:t>
      </w:r>
      <w:r>
        <w:rPr/>
        <w:t>exercício.</w:t>
      </w:r>
      <w:r>
        <w:rPr>
          <w:spacing w:val="-13"/>
        </w:rPr>
        <w:t> </w:t>
      </w:r>
      <w:r>
        <w:rPr/>
        <w:t>A</w:t>
      </w:r>
      <w:r>
        <w:rPr>
          <w:spacing w:val="-12"/>
        </w:rPr>
        <w:t> </w:t>
      </w:r>
      <w:r>
        <w:rPr/>
        <w:t>avaliação</w:t>
      </w:r>
      <w:r>
        <w:rPr>
          <w:spacing w:val="-14"/>
        </w:rPr>
        <w:t> </w:t>
      </w:r>
      <w:r>
        <w:rPr/>
        <w:t>atuarial</w:t>
      </w:r>
      <w:r>
        <w:rPr>
          <w:spacing w:val="-13"/>
        </w:rPr>
        <w:t> </w:t>
      </w:r>
      <w:r>
        <w:rPr/>
        <w:t>é</w:t>
      </w:r>
      <w:r>
        <w:rPr>
          <w:spacing w:val="-13"/>
        </w:rPr>
        <w:t> </w:t>
      </w:r>
      <w:r>
        <w:rPr/>
        <w:t>elaborada</w:t>
      </w:r>
      <w:r>
        <w:rPr>
          <w:spacing w:val="-13"/>
        </w:rPr>
        <w:t> </w:t>
      </w:r>
      <w:r>
        <w:rPr/>
        <w:t>com</w:t>
      </w:r>
      <w:r>
        <w:rPr>
          <w:spacing w:val="-11"/>
        </w:rPr>
        <w:t> </w:t>
      </w:r>
      <w:r>
        <w:rPr/>
        <w:t>base</w:t>
      </w:r>
      <w:r>
        <w:rPr>
          <w:spacing w:val="-13"/>
        </w:rPr>
        <w:t> </w:t>
      </w:r>
      <w:r>
        <w:rPr/>
        <w:t>em </w:t>
      </w:r>
      <w:r>
        <w:rPr>
          <w:w w:val="95"/>
        </w:rPr>
        <w:t>premissas</w:t>
      </w:r>
      <w:r>
        <w:rPr>
          <w:spacing w:val="-17"/>
          <w:w w:val="95"/>
        </w:rPr>
        <w:t> </w:t>
      </w:r>
      <w:r>
        <w:rPr>
          <w:w w:val="95"/>
        </w:rPr>
        <w:t>e</w:t>
      </w:r>
      <w:r>
        <w:rPr>
          <w:spacing w:val="-19"/>
          <w:w w:val="95"/>
        </w:rPr>
        <w:t> </w:t>
      </w:r>
      <w:r>
        <w:rPr>
          <w:w w:val="95"/>
        </w:rPr>
        <w:t>projeções</w:t>
      </w:r>
      <w:r>
        <w:rPr>
          <w:spacing w:val="-17"/>
          <w:w w:val="95"/>
        </w:rPr>
        <w:t> </w:t>
      </w:r>
      <w:r>
        <w:rPr>
          <w:w w:val="95"/>
        </w:rPr>
        <w:t>de</w:t>
      </w:r>
      <w:r>
        <w:rPr>
          <w:spacing w:val="-18"/>
          <w:w w:val="95"/>
        </w:rPr>
        <w:t> </w:t>
      </w:r>
      <w:r>
        <w:rPr>
          <w:w w:val="95"/>
        </w:rPr>
        <w:t>taxas</w:t>
      </w:r>
      <w:r>
        <w:rPr>
          <w:spacing w:val="-17"/>
          <w:w w:val="95"/>
        </w:rPr>
        <w:t> </w:t>
      </w:r>
      <w:r>
        <w:rPr>
          <w:w w:val="95"/>
        </w:rPr>
        <w:t>de</w:t>
      </w:r>
      <w:r>
        <w:rPr>
          <w:spacing w:val="-19"/>
          <w:w w:val="95"/>
        </w:rPr>
        <w:t> </w:t>
      </w:r>
      <w:r>
        <w:rPr>
          <w:w w:val="95"/>
        </w:rPr>
        <w:t>juros,</w:t>
      </w:r>
      <w:r>
        <w:rPr>
          <w:spacing w:val="-17"/>
          <w:w w:val="95"/>
        </w:rPr>
        <w:t> </w:t>
      </w:r>
      <w:r>
        <w:rPr>
          <w:w w:val="95"/>
        </w:rPr>
        <w:t>inflação,</w:t>
      </w:r>
      <w:r>
        <w:rPr>
          <w:spacing w:val="-17"/>
          <w:w w:val="95"/>
        </w:rPr>
        <w:t> </w:t>
      </w:r>
      <w:r>
        <w:rPr>
          <w:w w:val="95"/>
        </w:rPr>
        <w:t>aumentos</w:t>
      </w:r>
      <w:r>
        <w:rPr>
          <w:spacing w:val="-17"/>
          <w:w w:val="95"/>
        </w:rPr>
        <w:t> </w:t>
      </w:r>
      <w:r>
        <w:rPr>
          <w:w w:val="95"/>
        </w:rPr>
        <w:t>dos</w:t>
      </w:r>
      <w:r>
        <w:rPr>
          <w:spacing w:val="-17"/>
          <w:w w:val="95"/>
        </w:rPr>
        <w:t> </w:t>
      </w:r>
      <w:r>
        <w:rPr>
          <w:w w:val="95"/>
        </w:rPr>
        <w:t>benefícios,</w:t>
      </w:r>
      <w:r>
        <w:rPr>
          <w:spacing w:val="-15"/>
          <w:w w:val="95"/>
        </w:rPr>
        <w:t> </w:t>
      </w:r>
      <w:r>
        <w:rPr>
          <w:w w:val="95"/>
        </w:rPr>
        <w:t>expectativa</w:t>
      </w:r>
      <w:r>
        <w:rPr>
          <w:spacing w:val="-17"/>
          <w:w w:val="95"/>
        </w:rPr>
        <w:t> </w:t>
      </w:r>
      <w:r>
        <w:rPr>
          <w:w w:val="95"/>
        </w:rPr>
        <w:t>de</w:t>
      </w:r>
      <w:r>
        <w:rPr>
          <w:spacing w:val="-18"/>
          <w:w w:val="95"/>
        </w:rPr>
        <w:t> </w:t>
      </w:r>
      <w:r>
        <w:rPr>
          <w:w w:val="95"/>
        </w:rPr>
        <w:t>vida</w:t>
      </w:r>
      <w:r>
        <w:rPr>
          <w:spacing w:val="-17"/>
          <w:w w:val="95"/>
        </w:rPr>
        <w:t> </w:t>
      </w:r>
      <w:r>
        <w:rPr>
          <w:w w:val="95"/>
        </w:rPr>
        <w:t>etc.</w:t>
      </w:r>
      <w:r>
        <w:rPr>
          <w:spacing w:val="-18"/>
          <w:w w:val="95"/>
        </w:rPr>
        <w:t> </w:t>
      </w:r>
      <w:r>
        <w:rPr>
          <w:w w:val="95"/>
        </w:rPr>
        <w:t>Essas</w:t>
      </w:r>
      <w:r>
        <w:rPr>
          <w:spacing w:val="-17"/>
          <w:w w:val="95"/>
        </w:rPr>
        <w:t> </w:t>
      </w:r>
      <w:r>
        <w:rPr>
          <w:w w:val="95"/>
        </w:rPr>
        <w:t>premissas</w:t>
      </w:r>
      <w:r>
        <w:rPr>
          <w:spacing w:val="-17"/>
          <w:w w:val="95"/>
        </w:rPr>
        <w:t> </w:t>
      </w:r>
      <w:r>
        <w:rPr>
          <w:w w:val="95"/>
        </w:rPr>
        <w:t>e </w:t>
      </w:r>
      <w:r>
        <w:rPr/>
        <w:t>projeções</w:t>
      </w:r>
      <w:r>
        <w:rPr>
          <w:spacing w:val="-20"/>
        </w:rPr>
        <w:t> </w:t>
      </w:r>
      <w:r>
        <w:rPr/>
        <w:t>são</w:t>
      </w:r>
      <w:r>
        <w:rPr>
          <w:spacing w:val="-20"/>
        </w:rPr>
        <w:t> </w:t>
      </w:r>
      <w:r>
        <w:rPr/>
        <w:t>revisadas</w:t>
      </w:r>
      <w:r>
        <w:rPr>
          <w:spacing w:val="-20"/>
        </w:rPr>
        <w:t> </w:t>
      </w:r>
      <w:r>
        <w:rPr/>
        <w:t>em</w:t>
      </w:r>
      <w:r>
        <w:rPr>
          <w:spacing w:val="-19"/>
        </w:rPr>
        <w:t> </w:t>
      </w:r>
      <w:r>
        <w:rPr/>
        <w:t>bases</w:t>
      </w:r>
      <w:r>
        <w:rPr>
          <w:spacing w:val="-19"/>
        </w:rPr>
        <w:t> </w:t>
      </w:r>
      <w:r>
        <w:rPr/>
        <w:t>trimestrais</w:t>
      </w:r>
      <w:r>
        <w:rPr>
          <w:spacing w:val="-20"/>
        </w:rPr>
        <w:t> </w:t>
      </w:r>
      <w:r>
        <w:rPr/>
        <w:t>ao</w:t>
      </w:r>
      <w:r>
        <w:rPr>
          <w:spacing w:val="-17"/>
        </w:rPr>
        <w:t> </w:t>
      </w:r>
      <w:r>
        <w:rPr/>
        <w:t>final</w:t>
      </w:r>
      <w:r>
        <w:rPr>
          <w:spacing w:val="-20"/>
        </w:rPr>
        <w:t> </w:t>
      </w:r>
      <w:r>
        <w:rPr/>
        <w:t>de</w:t>
      </w:r>
      <w:r>
        <w:rPr>
          <w:spacing w:val="-18"/>
        </w:rPr>
        <w:t> </w:t>
      </w:r>
      <w:r>
        <w:rPr/>
        <w:t>cada</w:t>
      </w:r>
      <w:r>
        <w:rPr>
          <w:spacing w:val="-20"/>
        </w:rPr>
        <w:t> </w:t>
      </w:r>
      <w:r>
        <w:rPr/>
        <w:t>período.</w:t>
      </w:r>
    </w:p>
    <w:p>
      <w:pPr>
        <w:pStyle w:val="BodyText"/>
        <w:spacing w:before="7"/>
      </w:pPr>
    </w:p>
    <w:p>
      <w:pPr>
        <w:pStyle w:val="BodyText"/>
        <w:spacing w:line="242" w:lineRule="auto"/>
        <w:ind w:left="192" w:right="611"/>
        <w:jc w:val="both"/>
      </w:pPr>
      <w:r>
        <w:rPr/>
        <w:t>O</w:t>
      </w:r>
      <w:r>
        <w:rPr>
          <w:spacing w:val="-28"/>
        </w:rPr>
        <w:t> </w:t>
      </w:r>
      <w:r>
        <w:rPr/>
        <w:t>custeio</w:t>
      </w:r>
      <w:r>
        <w:rPr>
          <w:spacing w:val="-27"/>
        </w:rPr>
        <w:t> </w:t>
      </w:r>
      <w:r>
        <w:rPr/>
        <w:t>dos</w:t>
      </w:r>
      <w:r>
        <w:rPr>
          <w:spacing w:val="-25"/>
        </w:rPr>
        <w:t> </w:t>
      </w:r>
      <w:r>
        <w:rPr/>
        <w:t>benefícios</w:t>
      </w:r>
      <w:r>
        <w:rPr>
          <w:spacing w:val="-27"/>
        </w:rPr>
        <w:t> </w:t>
      </w:r>
      <w:r>
        <w:rPr/>
        <w:t>concedidos</w:t>
      </w:r>
      <w:r>
        <w:rPr>
          <w:spacing w:val="-26"/>
        </w:rPr>
        <w:t> </w:t>
      </w:r>
      <w:r>
        <w:rPr/>
        <w:t>pelos</w:t>
      </w:r>
      <w:r>
        <w:rPr>
          <w:spacing w:val="-27"/>
        </w:rPr>
        <w:t> </w:t>
      </w:r>
      <w:r>
        <w:rPr/>
        <w:t>planos</w:t>
      </w:r>
      <w:r>
        <w:rPr>
          <w:spacing w:val="-25"/>
        </w:rPr>
        <w:t> </w:t>
      </w:r>
      <w:r>
        <w:rPr/>
        <w:t>de</w:t>
      </w:r>
      <w:r>
        <w:rPr>
          <w:spacing w:val="-27"/>
        </w:rPr>
        <w:t> </w:t>
      </w:r>
      <w:r>
        <w:rPr/>
        <w:t>benefícios</w:t>
      </w:r>
      <w:r>
        <w:rPr>
          <w:spacing w:val="-25"/>
        </w:rPr>
        <w:t> </w:t>
      </w:r>
      <w:r>
        <w:rPr/>
        <w:t>definidos</w:t>
      </w:r>
      <w:r>
        <w:rPr>
          <w:spacing w:val="-26"/>
        </w:rPr>
        <w:t> </w:t>
      </w:r>
      <w:r>
        <w:rPr/>
        <w:t>é</w:t>
      </w:r>
      <w:r>
        <w:rPr>
          <w:spacing w:val="-27"/>
        </w:rPr>
        <w:t> </w:t>
      </w:r>
      <w:r>
        <w:rPr/>
        <w:t>estabelecido</w:t>
      </w:r>
      <w:r>
        <w:rPr>
          <w:spacing w:val="-28"/>
        </w:rPr>
        <w:t> </w:t>
      </w:r>
      <w:r>
        <w:rPr/>
        <w:t>separadamente</w:t>
      </w:r>
      <w:r>
        <w:rPr>
          <w:spacing w:val="-26"/>
        </w:rPr>
        <w:t> </w:t>
      </w:r>
      <w:r>
        <w:rPr/>
        <w:t>para</w:t>
      </w:r>
      <w:r>
        <w:rPr>
          <w:spacing w:val="-27"/>
        </w:rPr>
        <w:t> </w:t>
      </w:r>
      <w:r>
        <w:rPr/>
        <w:t>cada plano,</w:t>
      </w:r>
      <w:r>
        <w:rPr>
          <w:spacing w:val="-18"/>
        </w:rPr>
        <w:t> </w:t>
      </w:r>
      <w:r>
        <w:rPr/>
        <w:t>utilizando</w:t>
      </w:r>
      <w:r>
        <w:rPr>
          <w:spacing w:val="-16"/>
        </w:rPr>
        <w:t> </w:t>
      </w:r>
      <w:r>
        <w:rPr/>
        <w:t>o</w:t>
      </w:r>
      <w:r>
        <w:rPr>
          <w:spacing w:val="-15"/>
        </w:rPr>
        <w:t> </w:t>
      </w:r>
      <w:r>
        <w:rPr/>
        <w:t>método</w:t>
      </w:r>
      <w:r>
        <w:rPr>
          <w:spacing w:val="-15"/>
        </w:rPr>
        <w:t> </w:t>
      </w:r>
      <w:r>
        <w:rPr/>
        <w:t>do</w:t>
      </w:r>
      <w:r>
        <w:rPr>
          <w:spacing w:val="-17"/>
        </w:rPr>
        <w:t> </w:t>
      </w:r>
      <w:r>
        <w:rPr/>
        <w:t>crédito</w:t>
      </w:r>
      <w:r>
        <w:rPr>
          <w:spacing w:val="-16"/>
        </w:rPr>
        <w:t> </w:t>
      </w:r>
      <w:r>
        <w:rPr/>
        <w:t>unitário</w:t>
      </w:r>
      <w:r>
        <w:rPr>
          <w:spacing w:val="-16"/>
        </w:rPr>
        <w:t> </w:t>
      </w:r>
      <w:r>
        <w:rPr/>
        <w:t>projetado.</w:t>
      </w:r>
      <w:r>
        <w:rPr>
          <w:spacing w:val="-12"/>
        </w:rPr>
        <w:t> </w:t>
      </w:r>
      <w:r>
        <w:rPr/>
        <w:t>Os</w:t>
      </w:r>
      <w:r>
        <w:rPr>
          <w:spacing w:val="-16"/>
        </w:rPr>
        <w:t> </w:t>
      </w:r>
      <w:r>
        <w:rPr/>
        <w:t>ganhos</w:t>
      </w:r>
      <w:r>
        <w:rPr>
          <w:spacing w:val="-15"/>
        </w:rPr>
        <w:t> </w:t>
      </w:r>
      <w:r>
        <w:rPr/>
        <w:t>e</w:t>
      </w:r>
      <w:r>
        <w:rPr>
          <w:spacing w:val="-16"/>
        </w:rPr>
        <w:t> </w:t>
      </w:r>
      <w:r>
        <w:rPr/>
        <w:t>perdas</w:t>
      </w:r>
      <w:r>
        <w:rPr>
          <w:spacing w:val="-17"/>
        </w:rPr>
        <w:t> </w:t>
      </w:r>
      <w:r>
        <w:rPr/>
        <w:t>auferidos</w:t>
      </w:r>
      <w:r>
        <w:rPr>
          <w:spacing w:val="-15"/>
        </w:rPr>
        <w:t> </w:t>
      </w:r>
      <w:r>
        <w:rPr/>
        <w:t>na</w:t>
      </w:r>
      <w:r>
        <w:rPr>
          <w:spacing w:val="-17"/>
        </w:rPr>
        <w:t> </w:t>
      </w:r>
      <w:r>
        <w:rPr/>
        <w:t>avaliação</w:t>
      </w:r>
      <w:r>
        <w:rPr>
          <w:spacing w:val="-17"/>
        </w:rPr>
        <w:t> </w:t>
      </w:r>
      <w:r>
        <w:rPr/>
        <w:t>atuarial</w:t>
      </w:r>
      <w:r>
        <w:rPr>
          <w:spacing w:val="-16"/>
        </w:rPr>
        <w:t> </w:t>
      </w:r>
      <w:r>
        <w:rPr/>
        <w:t>dos benefícios</w:t>
      </w:r>
      <w:r>
        <w:rPr>
          <w:spacing w:val="-38"/>
        </w:rPr>
        <w:t> </w:t>
      </w:r>
      <w:r>
        <w:rPr/>
        <w:t>gerados</w:t>
      </w:r>
      <w:r>
        <w:rPr>
          <w:spacing w:val="-37"/>
        </w:rPr>
        <w:t> </w:t>
      </w:r>
      <w:r>
        <w:rPr/>
        <w:t>por</w:t>
      </w:r>
      <w:r>
        <w:rPr>
          <w:spacing w:val="-38"/>
        </w:rPr>
        <w:t> </w:t>
      </w:r>
      <w:r>
        <w:rPr/>
        <w:t>alterações</w:t>
      </w:r>
      <w:r>
        <w:rPr>
          <w:spacing w:val="-38"/>
        </w:rPr>
        <w:t> </w:t>
      </w:r>
      <w:r>
        <w:rPr/>
        <w:t>nas</w:t>
      </w:r>
      <w:r>
        <w:rPr>
          <w:spacing w:val="-35"/>
        </w:rPr>
        <w:t> </w:t>
      </w:r>
      <w:r>
        <w:rPr/>
        <w:t>premissas,</w:t>
      </w:r>
      <w:r>
        <w:rPr>
          <w:spacing w:val="-38"/>
        </w:rPr>
        <w:t> </w:t>
      </w:r>
      <w:r>
        <w:rPr/>
        <w:t>compromissos</w:t>
      </w:r>
      <w:r>
        <w:rPr>
          <w:spacing w:val="-37"/>
        </w:rPr>
        <w:t> </w:t>
      </w:r>
      <w:r>
        <w:rPr/>
        <w:t>atuariais</w:t>
      </w:r>
      <w:r>
        <w:rPr>
          <w:spacing w:val="-38"/>
        </w:rPr>
        <w:t> </w:t>
      </w:r>
      <w:r>
        <w:rPr/>
        <w:t>sobre</w:t>
      </w:r>
      <w:r>
        <w:rPr>
          <w:spacing w:val="-36"/>
        </w:rPr>
        <w:t> </w:t>
      </w:r>
      <w:r>
        <w:rPr/>
        <w:t>o</w:t>
      </w:r>
      <w:r>
        <w:rPr>
          <w:spacing w:val="-38"/>
        </w:rPr>
        <w:t> </w:t>
      </w:r>
      <w:r>
        <w:rPr/>
        <w:t>passivo</w:t>
      </w:r>
      <w:r>
        <w:rPr>
          <w:spacing w:val="-38"/>
        </w:rPr>
        <w:t> </w:t>
      </w:r>
      <w:r>
        <w:rPr/>
        <w:t>atuarial</w:t>
      </w:r>
      <w:r>
        <w:rPr>
          <w:spacing w:val="-37"/>
        </w:rPr>
        <w:t> </w:t>
      </w:r>
      <w:r>
        <w:rPr/>
        <w:t>são</w:t>
      </w:r>
      <w:r>
        <w:rPr>
          <w:spacing w:val="-38"/>
        </w:rPr>
        <w:t> </w:t>
      </w:r>
      <w:r>
        <w:rPr/>
        <w:t>contabilizados no</w:t>
      </w:r>
      <w:r>
        <w:rPr>
          <w:spacing w:val="-31"/>
        </w:rPr>
        <w:t> </w:t>
      </w:r>
      <w:r>
        <w:rPr/>
        <w:t>patrimônio</w:t>
      </w:r>
      <w:r>
        <w:rPr>
          <w:spacing w:val="-31"/>
        </w:rPr>
        <w:t> </w:t>
      </w:r>
      <w:r>
        <w:rPr/>
        <w:t>líquido</w:t>
      </w:r>
      <w:r>
        <w:rPr>
          <w:spacing w:val="-29"/>
        </w:rPr>
        <w:t> </w:t>
      </w:r>
      <w:r>
        <w:rPr/>
        <w:t>em</w:t>
      </w:r>
      <w:r>
        <w:rPr>
          <w:spacing w:val="-31"/>
        </w:rPr>
        <w:t> </w:t>
      </w:r>
      <w:r>
        <w:rPr/>
        <w:t>conta</w:t>
      </w:r>
      <w:r>
        <w:rPr>
          <w:spacing w:val="-30"/>
        </w:rPr>
        <w:t> </w:t>
      </w:r>
      <w:r>
        <w:rPr/>
        <w:t>denominada</w:t>
      </w:r>
      <w:r>
        <w:rPr>
          <w:spacing w:val="-29"/>
        </w:rPr>
        <w:t> </w:t>
      </w:r>
      <w:r>
        <w:rPr/>
        <w:t>“ajustes</w:t>
      </w:r>
      <w:r>
        <w:rPr>
          <w:spacing w:val="-31"/>
        </w:rPr>
        <w:t> </w:t>
      </w:r>
      <w:r>
        <w:rPr/>
        <w:t>de</w:t>
      </w:r>
      <w:r>
        <w:rPr>
          <w:spacing w:val="-31"/>
        </w:rPr>
        <w:t> </w:t>
      </w:r>
      <w:r>
        <w:rPr/>
        <w:t>avaliação</w:t>
      </w:r>
      <w:r>
        <w:rPr>
          <w:spacing w:val="-30"/>
        </w:rPr>
        <w:t> </w:t>
      </w:r>
      <w:r>
        <w:rPr/>
        <w:t>patrimonial”</w:t>
      </w:r>
      <w:r>
        <w:rPr>
          <w:spacing w:val="-31"/>
        </w:rPr>
        <w:t> </w:t>
      </w:r>
      <w:r>
        <w:rPr/>
        <w:t>(resultado</w:t>
      </w:r>
      <w:r>
        <w:rPr>
          <w:spacing w:val="-31"/>
        </w:rPr>
        <w:t> </w:t>
      </w:r>
      <w:r>
        <w:rPr/>
        <w:t>abrangente),</w:t>
      </w:r>
      <w:r>
        <w:rPr>
          <w:spacing w:val="-30"/>
        </w:rPr>
        <w:t> </w:t>
      </w:r>
      <w:r>
        <w:rPr/>
        <w:t>conforme requerido</w:t>
      </w:r>
      <w:r>
        <w:rPr>
          <w:spacing w:val="-27"/>
        </w:rPr>
        <w:t> </w:t>
      </w:r>
      <w:r>
        <w:rPr/>
        <w:t>pelo</w:t>
      </w:r>
      <w:r>
        <w:rPr>
          <w:spacing w:val="-28"/>
        </w:rPr>
        <w:t> </w:t>
      </w:r>
      <w:r>
        <w:rPr/>
        <w:t>CPC</w:t>
      </w:r>
      <w:r>
        <w:rPr>
          <w:spacing w:val="-27"/>
        </w:rPr>
        <w:t> </w:t>
      </w:r>
      <w:r>
        <w:rPr/>
        <w:t>33</w:t>
      </w:r>
      <w:r>
        <w:rPr>
          <w:spacing w:val="-26"/>
        </w:rPr>
        <w:t> </w:t>
      </w:r>
      <w:r>
        <w:rPr/>
        <w:t>(R1)</w:t>
      </w:r>
      <w:r>
        <w:rPr>
          <w:spacing w:val="-23"/>
        </w:rPr>
        <w:t> </w:t>
      </w:r>
      <w:r>
        <w:rPr>
          <w:w w:val="105"/>
        </w:rPr>
        <w:t>–</w:t>
      </w:r>
      <w:r>
        <w:rPr>
          <w:spacing w:val="-30"/>
          <w:w w:val="105"/>
        </w:rPr>
        <w:t> </w:t>
      </w:r>
      <w:r>
        <w:rPr/>
        <w:t>Benefícios</w:t>
      </w:r>
      <w:r>
        <w:rPr>
          <w:spacing w:val="-25"/>
        </w:rPr>
        <w:t> </w:t>
      </w:r>
      <w:r>
        <w:rPr/>
        <w:t>a</w:t>
      </w:r>
      <w:r>
        <w:rPr>
          <w:spacing w:val="-27"/>
        </w:rPr>
        <w:t> </w:t>
      </w:r>
      <w:r>
        <w:rPr/>
        <w:t>Empregados.</w:t>
      </w:r>
      <w:r>
        <w:rPr>
          <w:spacing w:val="-24"/>
        </w:rPr>
        <w:t> </w:t>
      </w:r>
      <w:r>
        <w:rPr/>
        <w:t>Esses</w:t>
      </w:r>
      <w:r>
        <w:rPr>
          <w:spacing w:val="-27"/>
        </w:rPr>
        <w:t> </w:t>
      </w:r>
      <w:r>
        <w:rPr/>
        <w:t>ganhos</w:t>
      </w:r>
      <w:r>
        <w:rPr>
          <w:spacing w:val="-25"/>
        </w:rPr>
        <w:t> </w:t>
      </w:r>
      <w:r>
        <w:rPr/>
        <w:t>ou</w:t>
      </w:r>
      <w:r>
        <w:rPr>
          <w:spacing w:val="-26"/>
        </w:rPr>
        <w:t> </w:t>
      </w:r>
      <w:r>
        <w:rPr/>
        <w:t>perdas</w:t>
      </w:r>
      <w:r>
        <w:rPr>
          <w:spacing w:val="-27"/>
        </w:rPr>
        <w:t> </w:t>
      </w:r>
      <w:r>
        <w:rPr/>
        <w:t>são</w:t>
      </w:r>
      <w:r>
        <w:rPr>
          <w:spacing w:val="-26"/>
        </w:rPr>
        <w:t> </w:t>
      </w:r>
      <w:r>
        <w:rPr/>
        <w:t>reconhecidos</w:t>
      </w:r>
      <w:r>
        <w:rPr>
          <w:spacing w:val="-27"/>
        </w:rPr>
        <w:t> </w:t>
      </w:r>
      <w:r>
        <w:rPr/>
        <w:t>ao</w:t>
      </w:r>
      <w:r>
        <w:rPr>
          <w:spacing w:val="-28"/>
        </w:rPr>
        <w:t> </w:t>
      </w:r>
      <w:r>
        <w:rPr/>
        <w:t>longo</w:t>
      </w:r>
      <w:r>
        <w:rPr>
          <w:spacing w:val="-27"/>
        </w:rPr>
        <w:t> </w:t>
      </w:r>
      <w:r>
        <w:rPr/>
        <w:t>do</w:t>
      </w:r>
      <w:r>
        <w:rPr>
          <w:spacing w:val="-26"/>
        </w:rPr>
        <w:t> </w:t>
      </w:r>
      <w:r>
        <w:rPr/>
        <w:t>tempo de</w:t>
      </w:r>
      <w:r>
        <w:rPr>
          <w:spacing w:val="-25"/>
        </w:rPr>
        <w:t> </w:t>
      </w:r>
      <w:r>
        <w:rPr/>
        <w:t>serviço</w:t>
      </w:r>
      <w:r>
        <w:rPr>
          <w:spacing w:val="-21"/>
        </w:rPr>
        <w:t> </w:t>
      </w:r>
      <w:r>
        <w:rPr/>
        <w:t>médio</w:t>
      </w:r>
      <w:r>
        <w:rPr>
          <w:spacing w:val="-22"/>
        </w:rPr>
        <w:t> </w:t>
      </w:r>
      <w:r>
        <w:rPr/>
        <w:t>de</w:t>
      </w:r>
      <w:r>
        <w:rPr>
          <w:spacing w:val="-23"/>
        </w:rPr>
        <w:t> </w:t>
      </w:r>
      <w:r>
        <w:rPr/>
        <w:t>trabalho</w:t>
      </w:r>
      <w:r>
        <w:rPr>
          <w:spacing w:val="-23"/>
        </w:rPr>
        <w:t> </w:t>
      </w:r>
      <w:r>
        <w:rPr/>
        <w:t>remanescente</w:t>
      </w:r>
      <w:r>
        <w:rPr>
          <w:spacing w:val="-22"/>
        </w:rPr>
        <w:t> </w:t>
      </w:r>
      <w:r>
        <w:rPr/>
        <w:t>esperado</w:t>
      </w:r>
      <w:r>
        <w:rPr>
          <w:spacing w:val="-24"/>
        </w:rPr>
        <w:t> </w:t>
      </w:r>
      <w:r>
        <w:rPr/>
        <w:t>dos</w:t>
      </w:r>
      <w:r>
        <w:rPr>
          <w:spacing w:val="-23"/>
        </w:rPr>
        <w:t> </w:t>
      </w:r>
      <w:r>
        <w:rPr/>
        <w:t>funcionários</w:t>
      </w:r>
      <w:r>
        <w:rPr>
          <w:spacing w:val="-21"/>
        </w:rPr>
        <w:t> </w:t>
      </w:r>
      <w:r>
        <w:rPr/>
        <w:t>que</w:t>
      </w:r>
      <w:r>
        <w:rPr>
          <w:spacing w:val="-24"/>
        </w:rPr>
        <w:t> </w:t>
      </w:r>
      <w:r>
        <w:rPr/>
        <w:t>participam</w:t>
      </w:r>
      <w:r>
        <w:rPr>
          <w:spacing w:val="-24"/>
        </w:rPr>
        <w:t> </w:t>
      </w:r>
      <w:r>
        <w:rPr/>
        <w:t>do</w:t>
      </w:r>
      <w:r>
        <w:rPr>
          <w:spacing w:val="-22"/>
        </w:rPr>
        <w:t> </w:t>
      </w:r>
      <w:r>
        <w:rPr/>
        <w:t>plano.</w:t>
      </w:r>
    </w:p>
    <w:p>
      <w:pPr>
        <w:pStyle w:val="BodyText"/>
        <w:spacing w:before="9"/>
      </w:pPr>
    </w:p>
    <w:p>
      <w:pPr>
        <w:pStyle w:val="BodyText"/>
        <w:spacing w:line="242" w:lineRule="auto"/>
        <w:ind w:left="192" w:right="614"/>
        <w:jc w:val="both"/>
      </w:pPr>
      <w:r>
        <w:rPr/>
        <w:t>O</w:t>
      </w:r>
      <w:r>
        <w:rPr>
          <w:spacing w:val="-41"/>
        </w:rPr>
        <w:t> </w:t>
      </w:r>
      <w:r>
        <w:rPr/>
        <w:t>ativo</w:t>
      </w:r>
      <w:r>
        <w:rPr>
          <w:spacing w:val="-38"/>
        </w:rPr>
        <w:t> </w:t>
      </w:r>
      <w:r>
        <w:rPr/>
        <w:t>ou</w:t>
      </w:r>
      <w:r>
        <w:rPr>
          <w:spacing w:val="-39"/>
        </w:rPr>
        <w:t> </w:t>
      </w:r>
      <w:r>
        <w:rPr/>
        <w:t>o</w:t>
      </w:r>
      <w:r>
        <w:rPr>
          <w:spacing w:val="-38"/>
        </w:rPr>
        <w:t> </w:t>
      </w:r>
      <w:r>
        <w:rPr/>
        <w:t>passivo</w:t>
      </w:r>
      <w:r>
        <w:rPr>
          <w:spacing w:val="-40"/>
        </w:rPr>
        <w:t> </w:t>
      </w:r>
      <w:r>
        <w:rPr/>
        <w:t>de</w:t>
      </w:r>
      <w:r>
        <w:rPr>
          <w:spacing w:val="-39"/>
        </w:rPr>
        <w:t> </w:t>
      </w:r>
      <w:r>
        <w:rPr/>
        <w:t>planos</w:t>
      </w:r>
      <w:r>
        <w:rPr>
          <w:spacing w:val="-39"/>
        </w:rPr>
        <w:t> </w:t>
      </w:r>
      <w:r>
        <w:rPr/>
        <w:t>de</w:t>
      </w:r>
      <w:r>
        <w:rPr>
          <w:spacing w:val="-39"/>
        </w:rPr>
        <w:t> </w:t>
      </w:r>
      <w:r>
        <w:rPr/>
        <w:t>benefício</w:t>
      </w:r>
      <w:r>
        <w:rPr>
          <w:spacing w:val="-39"/>
        </w:rPr>
        <w:t> </w:t>
      </w:r>
      <w:r>
        <w:rPr/>
        <w:t>definido</w:t>
      </w:r>
      <w:r>
        <w:rPr>
          <w:spacing w:val="-39"/>
        </w:rPr>
        <w:t> </w:t>
      </w:r>
      <w:r>
        <w:rPr/>
        <w:t>a</w:t>
      </w:r>
      <w:r>
        <w:rPr>
          <w:spacing w:val="-38"/>
        </w:rPr>
        <w:t> </w:t>
      </w:r>
      <w:r>
        <w:rPr/>
        <w:t>ser</w:t>
      </w:r>
      <w:r>
        <w:rPr>
          <w:spacing w:val="-38"/>
        </w:rPr>
        <w:t> </w:t>
      </w:r>
      <w:r>
        <w:rPr/>
        <w:t>reconhecido</w:t>
      </w:r>
      <w:r>
        <w:rPr>
          <w:spacing w:val="-38"/>
        </w:rPr>
        <w:t> </w:t>
      </w:r>
      <w:r>
        <w:rPr/>
        <w:t>nas</w:t>
      </w:r>
      <w:r>
        <w:rPr>
          <w:spacing w:val="-40"/>
        </w:rPr>
        <w:t> </w:t>
      </w:r>
      <w:r>
        <w:rPr/>
        <w:t>demonstrações</w:t>
      </w:r>
      <w:r>
        <w:rPr>
          <w:spacing w:val="-39"/>
        </w:rPr>
        <w:t> </w:t>
      </w:r>
      <w:r>
        <w:rPr/>
        <w:t>financeiras</w:t>
      </w:r>
      <w:r>
        <w:rPr>
          <w:spacing w:val="-40"/>
        </w:rPr>
        <w:t> </w:t>
      </w:r>
      <w:r>
        <w:rPr/>
        <w:t>corresponde</w:t>
      </w:r>
      <w:r>
        <w:rPr>
          <w:spacing w:val="-39"/>
        </w:rPr>
        <w:t> </w:t>
      </w:r>
      <w:r>
        <w:rPr/>
        <w:t>ao valor</w:t>
      </w:r>
      <w:r>
        <w:rPr>
          <w:spacing w:val="-45"/>
        </w:rPr>
        <w:t> </w:t>
      </w:r>
      <w:r>
        <w:rPr/>
        <w:t>presente</w:t>
      </w:r>
      <w:r>
        <w:rPr>
          <w:spacing w:val="-44"/>
        </w:rPr>
        <w:t> </w:t>
      </w:r>
      <w:r>
        <w:rPr/>
        <w:t>da</w:t>
      </w:r>
      <w:r>
        <w:rPr>
          <w:spacing w:val="-43"/>
        </w:rPr>
        <w:t> </w:t>
      </w:r>
      <w:r>
        <w:rPr/>
        <w:t>obrigação</w:t>
      </w:r>
      <w:r>
        <w:rPr>
          <w:spacing w:val="-43"/>
        </w:rPr>
        <w:t> </w:t>
      </w:r>
      <w:r>
        <w:rPr/>
        <w:t>pelo</w:t>
      </w:r>
      <w:r>
        <w:rPr>
          <w:spacing w:val="-43"/>
        </w:rPr>
        <w:t> </w:t>
      </w:r>
      <w:r>
        <w:rPr/>
        <w:t>benefício</w:t>
      </w:r>
      <w:r>
        <w:rPr>
          <w:spacing w:val="-43"/>
        </w:rPr>
        <w:t> </w:t>
      </w:r>
      <w:r>
        <w:rPr/>
        <w:t>definido</w:t>
      </w:r>
      <w:r>
        <w:rPr>
          <w:spacing w:val="-43"/>
        </w:rPr>
        <w:t> </w:t>
      </w:r>
      <w:r>
        <w:rPr/>
        <w:t>(utilizando</w:t>
      </w:r>
      <w:r>
        <w:rPr>
          <w:spacing w:val="-45"/>
        </w:rPr>
        <w:t> </w:t>
      </w:r>
      <w:r>
        <w:rPr/>
        <w:t>uma</w:t>
      </w:r>
      <w:r>
        <w:rPr>
          <w:spacing w:val="-42"/>
        </w:rPr>
        <w:t> </w:t>
      </w:r>
      <w:r>
        <w:rPr/>
        <w:t>taxa</w:t>
      </w:r>
      <w:r>
        <w:rPr>
          <w:spacing w:val="-44"/>
        </w:rPr>
        <w:t> </w:t>
      </w:r>
      <w:r>
        <w:rPr/>
        <w:t>de</w:t>
      </w:r>
      <w:r>
        <w:rPr>
          <w:spacing w:val="-45"/>
        </w:rPr>
        <w:t> </w:t>
      </w:r>
      <w:r>
        <w:rPr/>
        <w:t>desconto</w:t>
      </w:r>
      <w:r>
        <w:rPr>
          <w:spacing w:val="-43"/>
        </w:rPr>
        <w:t> </w:t>
      </w:r>
      <w:r>
        <w:rPr/>
        <w:t>com</w:t>
      </w:r>
      <w:r>
        <w:rPr>
          <w:spacing w:val="-44"/>
        </w:rPr>
        <w:t> </w:t>
      </w:r>
      <w:r>
        <w:rPr/>
        <w:t>base</w:t>
      </w:r>
      <w:r>
        <w:rPr>
          <w:spacing w:val="-44"/>
        </w:rPr>
        <w:t> </w:t>
      </w:r>
      <w:r>
        <w:rPr/>
        <w:t>em</w:t>
      </w:r>
      <w:r>
        <w:rPr>
          <w:spacing w:val="-43"/>
        </w:rPr>
        <w:t> </w:t>
      </w:r>
      <w:r>
        <w:rPr/>
        <w:t>títulos</w:t>
      </w:r>
      <w:r>
        <w:rPr>
          <w:spacing w:val="-44"/>
        </w:rPr>
        <w:t> </w:t>
      </w:r>
      <w:r>
        <w:rPr/>
        <w:t>públicos</w:t>
      </w:r>
      <w:r>
        <w:rPr>
          <w:spacing w:val="-42"/>
        </w:rPr>
        <w:t> </w:t>
      </w:r>
      <w:r>
        <w:rPr/>
        <w:t>de longo</w:t>
      </w:r>
      <w:r>
        <w:rPr>
          <w:spacing w:val="-27"/>
        </w:rPr>
        <w:t> </w:t>
      </w:r>
      <w:r>
        <w:rPr/>
        <w:t>prazo),</w:t>
      </w:r>
      <w:r>
        <w:rPr>
          <w:spacing w:val="-27"/>
        </w:rPr>
        <w:t> </w:t>
      </w:r>
      <w:r>
        <w:rPr/>
        <w:t>menos</w:t>
      </w:r>
      <w:r>
        <w:rPr>
          <w:spacing w:val="-26"/>
        </w:rPr>
        <w:t> </w:t>
      </w:r>
      <w:r>
        <w:rPr/>
        <w:t>custos</w:t>
      </w:r>
      <w:r>
        <w:rPr>
          <w:spacing w:val="-26"/>
        </w:rPr>
        <w:t> </w:t>
      </w:r>
      <w:r>
        <w:rPr/>
        <w:t>de</w:t>
      </w:r>
      <w:r>
        <w:rPr>
          <w:spacing w:val="-27"/>
        </w:rPr>
        <w:t> </w:t>
      </w:r>
      <w:r>
        <w:rPr/>
        <w:t>serviços</w:t>
      </w:r>
      <w:r>
        <w:rPr>
          <w:spacing w:val="-28"/>
        </w:rPr>
        <w:t> </w:t>
      </w:r>
      <w:r>
        <w:rPr/>
        <w:t>passados</w:t>
      </w:r>
      <w:r>
        <w:rPr>
          <w:spacing w:val="-27"/>
        </w:rPr>
        <w:t> </w:t>
      </w:r>
      <w:r>
        <w:rPr/>
        <w:t>ainda</w:t>
      </w:r>
      <w:r>
        <w:rPr>
          <w:spacing w:val="-26"/>
        </w:rPr>
        <w:t> </w:t>
      </w:r>
      <w:r>
        <w:rPr/>
        <w:t>não</w:t>
      </w:r>
      <w:r>
        <w:rPr>
          <w:spacing w:val="-27"/>
        </w:rPr>
        <w:t> </w:t>
      </w:r>
      <w:r>
        <w:rPr/>
        <w:t>reconhecidos;</w:t>
      </w:r>
      <w:r>
        <w:rPr>
          <w:spacing w:val="-26"/>
        </w:rPr>
        <w:t> </w:t>
      </w:r>
      <w:r>
        <w:rPr/>
        <w:t>e</w:t>
      </w:r>
      <w:r>
        <w:rPr>
          <w:spacing w:val="-27"/>
        </w:rPr>
        <w:t> </w:t>
      </w:r>
      <w:r>
        <w:rPr/>
        <w:t>valor</w:t>
      </w:r>
      <w:r>
        <w:rPr>
          <w:spacing w:val="-29"/>
        </w:rPr>
        <w:t> </w:t>
      </w:r>
      <w:r>
        <w:rPr/>
        <w:t>justo</w:t>
      </w:r>
      <w:r>
        <w:rPr>
          <w:spacing w:val="-28"/>
        </w:rPr>
        <w:t> </w:t>
      </w:r>
      <w:r>
        <w:rPr/>
        <w:t>dos</w:t>
      </w:r>
      <w:r>
        <w:rPr>
          <w:spacing w:val="-26"/>
        </w:rPr>
        <w:t> </w:t>
      </w:r>
      <w:r>
        <w:rPr/>
        <w:t>ativos</w:t>
      </w:r>
      <w:r>
        <w:rPr>
          <w:spacing w:val="-26"/>
        </w:rPr>
        <w:t> </w:t>
      </w:r>
      <w:r>
        <w:rPr/>
        <w:t>do</w:t>
      </w:r>
      <w:r>
        <w:rPr>
          <w:spacing w:val="-27"/>
        </w:rPr>
        <w:t> </w:t>
      </w:r>
      <w:r>
        <w:rPr/>
        <w:t>plano</w:t>
      </w:r>
      <w:r>
        <w:rPr>
          <w:spacing w:val="-25"/>
        </w:rPr>
        <w:t> </w:t>
      </w:r>
      <w:r>
        <w:rPr/>
        <w:t>que</w:t>
      </w:r>
      <w:r>
        <w:rPr>
          <w:spacing w:val="-25"/>
        </w:rPr>
        <w:t> </w:t>
      </w:r>
      <w:r>
        <w:rPr/>
        <w:t>será usado</w:t>
      </w:r>
      <w:r>
        <w:rPr>
          <w:spacing w:val="-21"/>
        </w:rPr>
        <w:t> </w:t>
      </w:r>
      <w:r>
        <w:rPr/>
        <w:t>para</w:t>
      </w:r>
      <w:r>
        <w:rPr>
          <w:spacing w:val="-20"/>
        </w:rPr>
        <w:t> </w:t>
      </w:r>
      <w:r>
        <w:rPr/>
        <w:t>liquidar</w:t>
      </w:r>
      <w:r>
        <w:rPr>
          <w:spacing w:val="-21"/>
        </w:rPr>
        <w:t> </w:t>
      </w:r>
      <w:r>
        <w:rPr/>
        <w:t>as</w:t>
      </w:r>
      <w:r>
        <w:rPr>
          <w:spacing w:val="-20"/>
        </w:rPr>
        <w:t> </w:t>
      </w:r>
      <w:r>
        <w:rPr/>
        <w:t>obrigações</w:t>
      </w:r>
      <w:r>
        <w:rPr>
          <w:spacing w:val="-19"/>
        </w:rPr>
        <w:t> </w:t>
      </w:r>
      <w:r>
        <w:rPr/>
        <w:t>correspondente</w:t>
      </w:r>
      <w:r>
        <w:rPr>
          <w:spacing w:val="-20"/>
        </w:rPr>
        <w:t> </w:t>
      </w:r>
      <w:r>
        <w:rPr/>
        <w:t>a</w:t>
      </w:r>
      <w:r>
        <w:rPr>
          <w:spacing w:val="-20"/>
        </w:rPr>
        <w:t> </w:t>
      </w:r>
      <w:r>
        <w:rPr/>
        <w:t>participação</w:t>
      </w:r>
      <w:r>
        <w:rPr>
          <w:spacing w:val="-21"/>
        </w:rPr>
        <w:t> </w:t>
      </w:r>
      <w:r>
        <w:rPr/>
        <w:t>da</w:t>
      </w:r>
      <w:r>
        <w:rPr>
          <w:spacing w:val="-20"/>
        </w:rPr>
        <w:t> </w:t>
      </w:r>
      <w:r>
        <w:rPr/>
        <w:t>Companhia.</w:t>
      </w:r>
    </w:p>
    <w:p>
      <w:pPr>
        <w:pStyle w:val="BodyText"/>
        <w:spacing w:before="5"/>
      </w:pPr>
    </w:p>
    <w:p>
      <w:pPr>
        <w:pStyle w:val="BodyText"/>
        <w:spacing w:line="242" w:lineRule="auto" w:before="1"/>
        <w:ind w:left="192" w:right="607"/>
        <w:jc w:val="both"/>
      </w:pPr>
      <w:r>
        <w:rPr/>
        <w:t>Os</w:t>
      </w:r>
      <w:r>
        <w:rPr>
          <w:spacing w:val="-44"/>
        </w:rPr>
        <w:t> </w:t>
      </w:r>
      <w:r>
        <w:rPr/>
        <w:t>ativos</w:t>
      </w:r>
      <w:r>
        <w:rPr>
          <w:spacing w:val="-44"/>
        </w:rPr>
        <w:t> </w:t>
      </w:r>
      <w:r>
        <w:rPr/>
        <w:t>do</w:t>
      </w:r>
      <w:r>
        <w:rPr>
          <w:spacing w:val="-44"/>
        </w:rPr>
        <w:t> </w:t>
      </w:r>
      <w:r>
        <w:rPr/>
        <w:t>plano</w:t>
      </w:r>
      <w:r>
        <w:rPr>
          <w:spacing w:val="-44"/>
        </w:rPr>
        <w:t> </w:t>
      </w:r>
      <w:r>
        <w:rPr/>
        <w:t>de</w:t>
      </w:r>
      <w:r>
        <w:rPr>
          <w:spacing w:val="-44"/>
        </w:rPr>
        <w:t> </w:t>
      </w:r>
      <w:r>
        <w:rPr/>
        <w:t>benefício</w:t>
      </w:r>
      <w:r>
        <w:rPr>
          <w:spacing w:val="-44"/>
        </w:rPr>
        <w:t> </w:t>
      </w:r>
      <w:r>
        <w:rPr/>
        <w:t>complementar</w:t>
      </w:r>
      <w:r>
        <w:rPr>
          <w:spacing w:val="-44"/>
        </w:rPr>
        <w:t> </w:t>
      </w:r>
      <w:r>
        <w:rPr/>
        <w:t>são</w:t>
      </w:r>
      <w:r>
        <w:rPr>
          <w:spacing w:val="-44"/>
        </w:rPr>
        <w:t> </w:t>
      </w:r>
      <w:r>
        <w:rPr/>
        <w:t>mantidos</w:t>
      </w:r>
      <w:r>
        <w:rPr>
          <w:spacing w:val="-43"/>
        </w:rPr>
        <w:t> </w:t>
      </w:r>
      <w:r>
        <w:rPr/>
        <w:t>por</w:t>
      </w:r>
      <w:r>
        <w:rPr>
          <w:spacing w:val="-45"/>
        </w:rPr>
        <w:t> </w:t>
      </w:r>
      <w:r>
        <w:rPr/>
        <w:t>uma</w:t>
      </w:r>
      <w:r>
        <w:rPr>
          <w:spacing w:val="-43"/>
        </w:rPr>
        <w:t> </w:t>
      </w:r>
      <w:r>
        <w:rPr/>
        <w:t>entidade</w:t>
      </w:r>
      <w:r>
        <w:rPr>
          <w:spacing w:val="-44"/>
        </w:rPr>
        <w:t> </w:t>
      </w:r>
      <w:r>
        <w:rPr/>
        <w:t>fechada</w:t>
      </w:r>
      <w:r>
        <w:rPr>
          <w:spacing w:val="-44"/>
        </w:rPr>
        <w:t> </w:t>
      </w:r>
      <w:r>
        <w:rPr/>
        <w:t>de</w:t>
      </w:r>
      <w:r>
        <w:rPr>
          <w:spacing w:val="-44"/>
        </w:rPr>
        <w:t> </w:t>
      </w:r>
      <w:r>
        <w:rPr/>
        <w:t>previdência</w:t>
      </w:r>
      <w:r>
        <w:rPr>
          <w:spacing w:val="-44"/>
        </w:rPr>
        <w:t> </w:t>
      </w:r>
      <w:r>
        <w:rPr/>
        <w:t>complementar (Fundação</w:t>
      </w:r>
      <w:r>
        <w:rPr>
          <w:spacing w:val="-22"/>
        </w:rPr>
        <w:t> </w:t>
      </w:r>
      <w:r>
        <w:rPr/>
        <w:t>de</w:t>
      </w:r>
      <w:r>
        <w:rPr>
          <w:spacing w:val="-22"/>
        </w:rPr>
        <w:t> </w:t>
      </w:r>
      <w:r>
        <w:rPr/>
        <w:t>Previdência</w:t>
      </w:r>
      <w:r>
        <w:rPr>
          <w:spacing w:val="-19"/>
        </w:rPr>
        <w:t> </w:t>
      </w:r>
      <w:r>
        <w:rPr/>
        <w:t>dos</w:t>
      </w:r>
      <w:r>
        <w:rPr>
          <w:spacing w:val="-21"/>
        </w:rPr>
        <w:t> </w:t>
      </w:r>
      <w:r>
        <w:rPr/>
        <w:t>Empregados</w:t>
      </w:r>
      <w:r>
        <w:rPr>
          <w:spacing w:val="-20"/>
        </w:rPr>
        <w:t> </w:t>
      </w:r>
      <w:r>
        <w:rPr/>
        <w:t>da</w:t>
      </w:r>
      <w:r>
        <w:rPr>
          <w:spacing w:val="-21"/>
        </w:rPr>
        <w:t> </w:t>
      </w:r>
      <w:r>
        <w:rPr/>
        <w:t>CEB</w:t>
      </w:r>
      <w:r>
        <w:rPr>
          <w:spacing w:val="-15"/>
        </w:rPr>
        <w:t> </w:t>
      </w:r>
      <w:r>
        <w:rPr>
          <w:w w:val="105"/>
        </w:rPr>
        <w:t>–</w:t>
      </w:r>
      <w:r>
        <w:rPr>
          <w:spacing w:val="-24"/>
          <w:w w:val="105"/>
        </w:rPr>
        <w:t> </w:t>
      </w:r>
      <w:r>
        <w:rPr/>
        <w:t>FACEB).</w:t>
      </w:r>
      <w:r>
        <w:rPr>
          <w:spacing w:val="-22"/>
        </w:rPr>
        <w:t> </w:t>
      </w:r>
      <w:r>
        <w:rPr/>
        <w:t>Os</w:t>
      </w:r>
      <w:r>
        <w:rPr>
          <w:spacing w:val="-22"/>
        </w:rPr>
        <w:t> </w:t>
      </w:r>
      <w:r>
        <w:rPr/>
        <w:t>ativos</w:t>
      </w:r>
      <w:r>
        <w:rPr>
          <w:spacing w:val="-21"/>
        </w:rPr>
        <w:t> </w:t>
      </w:r>
      <w:r>
        <w:rPr/>
        <w:t>do</w:t>
      </w:r>
      <w:r>
        <w:rPr>
          <w:spacing w:val="-20"/>
        </w:rPr>
        <w:t> </w:t>
      </w:r>
      <w:r>
        <w:rPr/>
        <w:t>plano</w:t>
      </w:r>
      <w:r>
        <w:rPr>
          <w:spacing w:val="-21"/>
        </w:rPr>
        <w:t> </w:t>
      </w:r>
      <w:r>
        <w:rPr/>
        <w:t>não</w:t>
      </w:r>
      <w:r>
        <w:rPr>
          <w:spacing w:val="-20"/>
        </w:rPr>
        <w:t> </w:t>
      </w:r>
      <w:r>
        <w:rPr/>
        <w:t>estão</w:t>
      </w:r>
      <w:r>
        <w:rPr>
          <w:spacing w:val="-20"/>
        </w:rPr>
        <w:t> </w:t>
      </w:r>
      <w:r>
        <w:rPr/>
        <w:t>disponíveis</w:t>
      </w:r>
      <w:r>
        <w:rPr>
          <w:spacing w:val="-22"/>
        </w:rPr>
        <w:t> </w:t>
      </w:r>
      <w:r>
        <w:rPr/>
        <w:t>aos</w:t>
      </w:r>
      <w:r>
        <w:rPr>
          <w:spacing w:val="-19"/>
        </w:rPr>
        <w:t> </w:t>
      </w:r>
      <w:r>
        <w:rPr/>
        <w:t>credores das</w:t>
      </w:r>
      <w:r>
        <w:rPr>
          <w:spacing w:val="-25"/>
        </w:rPr>
        <w:t> </w:t>
      </w:r>
      <w:r>
        <w:rPr/>
        <w:t>Patrocinadoras</w:t>
      </w:r>
      <w:r>
        <w:rPr>
          <w:spacing w:val="-24"/>
        </w:rPr>
        <w:t> </w:t>
      </w:r>
      <w:r>
        <w:rPr/>
        <w:t>e</w:t>
      </w:r>
      <w:r>
        <w:rPr>
          <w:spacing w:val="-23"/>
        </w:rPr>
        <w:t> </w:t>
      </w:r>
      <w:r>
        <w:rPr/>
        <w:t>não</w:t>
      </w:r>
      <w:r>
        <w:rPr>
          <w:spacing w:val="-24"/>
        </w:rPr>
        <w:t> </w:t>
      </w:r>
      <w:r>
        <w:rPr/>
        <w:t>podem</w:t>
      </w:r>
      <w:r>
        <w:rPr>
          <w:spacing w:val="-23"/>
        </w:rPr>
        <w:t> </w:t>
      </w:r>
      <w:r>
        <w:rPr/>
        <w:t>ser</w:t>
      </w:r>
      <w:r>
        <w:rPr>
          <w:spacing w:val="-23"/>
        </w:rPr>
        <w:t> </w:t>
      </w:r>
      <w:r>
        <w:rPr/>
        <w:t>pagos</w:t>
      </w:r>
      <w:r>
        <w:rPr>
          <w:spacing w:val="-24"/>
        </w:rPr>
        <w:t> </w:t>
      </w:r>
      <w:r>
        <w:rPr/>
        <w:t>diretamente</w:t>
      </w:r>
      <w:r>
        <w:rPr>
          <w:spacing w:val="-26"/>
        </w:rPr>
        <w:t> </w:t>
      </w:r>
      <w:r>
        <w:rPr/>
        <w:t>às</w:t>
      </w:r>
      <w:r>
        <w:rPr>
          <w:spacing w:val="-24"/>
        </w:rPr>
        <w:t> </w:t>
      </w:r>
      <w:r>
        <w:rPr/>
        <w:t>Patrocinadoras.</w:t>
      </w:r>
      <w:r>
        <w:rPr>
          <w:spacing w:val="-24"/>
        </w:rPr>
        <w:t> </w:t>
      </w:r>
      <w:r>
        <w:rPr/>
        <w:t>O</w:t>
      </w:r>
      <w:r>
        <w:rPr>
          <w:spacing w:val="-23"/>
        </w:rPr>
        <w:t> </w:t>
      </w:r>
      <w:r>
        <w:rPr/>
        <w:t>valor</w:t>
      </w:r>
      <w:r>
        <w:rPr>
          <w:spacing w:val="-24"/>
        </w:rPr>
        <w:t> </w:t>
      </w:r>
      <w:r>
        <w:rPr/>
        <w:t>justo</w:t>
      </w:r>
      <w:r>
        <w:rPr>
          <w:spacing w:val="-24"/>
        </w:rPr>
        <w:t> </w:t>
      </w:r>
      <w:r>
        <w:rPr/>
        <w:t>se</w:t>
      </w:r>
      <w:r>
        <w:rPr>
          <w:spacing w:val="-24"/>
        </w:rPr>
        <w:t> </w:t>
      </w:r>
      <w:r>
        <w:rPr/>
        <w:t>baseia</w:t>
      </w:r>
      <w:r>
        <w:rPr>
          <w:spacing w:val="-22"/>
        </w:rPr>
        <w:t> </w:t>
      </w:r>
      <w:r>
        <w:rPr/>
        <w:t>em</w:t>
      </w:r>
      <w:r>
        <w:rPr>
          <w:spacing w:val="-25"/>
        </w:rPr>
        <w:t> </w:t>
      </w:r>
      <w:r>
        <w:rPr/>
        <w:t>informações sobre</w:t>
      </w:r>
      <w:r>
        <w:rPr>
          <w:spacing w:val="-35"/>
        </w:rPr>
        <w:t> </w:t>
      </w:r>
      <w:r>
        <w:rPr/>
        <w:t>preço</w:t>
      </w:r>
      <w:r>
        <w:rPr>
          <w:spacing w:val="-34"/>
        </w:rPr>
        <w:t> </w:t>
      </w:r>
      <w:r>
        <w:rPr/>
        <w:t>de</w:t>
      </w:r>
      <w:r>
        <w:rPr>
          <w:spacing w:val="-34"/>
        </w:rPr>
        <w:t> </w:t>
      </w:r>
      <w:r>
        <w:rPr/>
        <w:t>mercado.</w:t>
      </w:r>
      <w:r>
        <w:rPr>
          <w:spacing w:val="-33"/>
        </w:rPr>
        <w:t> </w:t>
      </w:r>
      <w:r>
        <w:rPr/>
        <w:t>O</w:t>
      </w:r>
      <w:r>
        <w:rPr>
          <w:spacing w:val="-34"/>
        </w:rPr>
        <w:t> </w:t>
      </w:r>
      <w:r>
        <w:rPr/>
        <w:t>valor</w:t>
      </w:r>
      <w:r>
        <w:rPr>
          <w:spacing w:val="-35"/>
        </w:rPr>
        <w:t> </w:t>
      </w:r>
      <w:r>
        <w:rPr/>
        <w:t>de</w:t>
      </w:r>
      <w:r>
        <w:rPr>
          <w:spacing w:val="-33"/>
        </w:rPr>
        <w:t> </w:t>
      </w:r>
      <w:r>
        <w:rPr/>
        <w:t>qualquer</w:t>
      </w:r>
      <w:r>
        <w:rPr>
          <w:spacing w:val="-34"/>
        </w:rPr>
        <w:t> </w:t>
      </w:r>
      <w:r>
        <w:rPr/>
        <w:t>ativo</w:t>
      </w:r>
      <w:r>
        <w:rPr>
          <w:spacing w:val="-34"/>
        </w:rPr>
        <w:t> </w:t>
      </w:r>
      <w:r>
        <w:rPr/>
        <w:t>de</w:t>
      </w:r>
      <w:r>
        <w:rPr>
          <w:spacing w:val="-34"/>
        </w:rPr>
        <w:t> </w:t>
      </w:r>
      <w:r>
        <w:rPr/>
        <w:t>benefício</w:t>
      </w:r>
      <w:r>
        <w:rPr>
          <w:spacing w:val="-34"/>
        </w:rPr>
        <w:t> </w:t>
      </w:r>
      <w:r>
        <w:rPr/>
        <w:t>definido</w:t>
      </w:r>
      <w:r>
        <w:rPr>
          <w:spacing w:val="-32"/>
        </w:rPr>
        <w:t> </w:t>
      </w:r>
      <w:r>
        <w:rPr/>
        <w:t>reconhecido</w:t>
      </w:r>
      <w:r>
        <w:rPr>
          <w:spacing w:val="-33"/>
        </w:rPr>
        <w:t> </w:t>
      </w:r>
      <w:r>
        <w:rPr/>
        <w:t>é</w:t>
      </w:r>
      <w:r>
        <w:rPr>
          <w:spacing w:val="-35"/>
        </w:rPr>
        <w:t> </w:t>
      </w:r>
      <w:r>
        <w:rPr/>
        <w:t>limitado</w:t>
      </w:r>
      <w:r>
        <w:rPr>
          <w:spacing w:val="-34"/>
        </w:rPr>
        <w:t> </w:t>
      </w:r>
      <w:r>
        <w:rPr/>
        <w:t>à</w:t>
      </w:r>
      <w:r>
        <w:rPr>
          <w:spacing w:val="-33"/>
        </w:rPr>
        <w:t> </w:t>
      </w:r>
      <w:r>
        <w:rPr/>
        <w:t>soma</w:t>
      </w:r>
      <w:r>
        <w:rPr>
          <w:spacing w:val="-32"/>
        </w:rPr>
        <w:t> </w:t>
      </w:r>
      <w:r>
        <w:rPr/>
        <w:t>de</w:t>
      </w:r>
      <w:r>
        <w:rPr>
          <w:spacing w:val="-34"/>
        </w:rPr>
        <w:t> </w:t>
      </w:r>
      <w:r>
        <w:rPr/>
        <w:t>qualquer custo</w:t>
      </w:r>
      <w:r>
        <w:rPr>
          <w:spacing w:val="-31"/>
        </w:rPr>
        <w:t> </w:t>
      </w:r>
      <w:r>
        <w:rPr/>
        <w:t>de</w:t>
      </w:r>
      <w:r>
        <w:rPr>
          <w:spacing w:val="-31"/>
        </w:rPr>
        <w:t> </w:t>
      </w:r>
      <w:r>
        <w:rPr/>
        <w:t>serviço</w:t>
      </w:r>
      <w:r>
        <w:rPr>
          <w:spacing w:val="-31"/>
        </w:rPr>
        <w:t> </w:t>
      </w:r>
      <w:r>
        <w:rPr/>
        <w:t>passado</w:t>
      </w:r>
      <w:r>
        <w:rPr>
          <w:spacing w:val="-31"/>
        </w:rPr>
        <w:t> </w:t>
      </w:r>
      <w:r>
        <w:rPr/>
        <w:t>ainda</w:t>
      </w:r>
      <w:r>
        <w:rPr>
          <w:spacing w:val="-30"/>
        </w:rPr>
        <w:t> </w:t>
      </w:r>
      <w:r>
        <w:rPr/>
        <w:t>não</w:t>
      </w:r>
      <w:r>
        <w:rPr>
          <w:spacing w:val="-30"/>
        </w:rPr>
        <w:t> </w:t>
      </w:r>
      <w:r>
        <w:rPr/>
        <w:t>reconhecido</w:t>
      </w:r>
      <w:r>
        <w:rPr>
          <w:spacing w:val="-31"/>
        </w:rPr>
        <w:t> </w:t>
      </w:r>
      <w:r>
        <w:rPr/>
        <w:t>e</w:t>
      </w:r>
      <w:r>
        <w:rPr>
          <w:spacing w:val="-30"/>
        </w:rPr>
        <w:t> </w:t>
      </w:r>
      <w:r>
        <w:rPr/>
        <w:t>ao</w:t>
      </w:r>
      <w:r>
        <w:rPr>
          <w:spacing w:val="-31"/>
        </w:rPr>
        <w:t> </w:t>
      </w:r>
      <w:r>
        <w:rPr/>
        <w:t>valor</w:t>
      </w:r>
      <w:r>
        <w:rPr>
          <w:spacing w:val="-30"/>
        </w:rPr>
        <w:t> </w:t>
      </w:r>
      <w:r>
        <w:rPr/>
        <w:t>presente</w:t>
      </w:r>
      <w:r>
        <w:rPr>
          <w:spacing w:val="-30"/>
        </w:rPr>
        <w:t> </w:t>
      </w:r>
      <w:r>
        <w:rPr/>
        <w:t>de</w:t>
      </w:r>
      <w:r>
        <w:rPr>
          <w:spacing w:val="-30"/>
        </w:rPr>
        <w:t> </w:t>
      </w:r>
      <w:r>
        <w:rPr/>
        <w:t>qualquer</w:t>
      </w:r>
      <w:r>
        <w:rPr>
          <w:spacing w:val="-30"/>
        </w:rPr>
        <w:t> </w:t>
      </w:r>
      <w:r>
        <w:rPr/>
        <w:t>benefício</w:t>
      </w:r>
      <w:r>
        <w:rPr>
          <w:spacing w:val="-29"/>
        </w:rPr>
        <w:t> </w:t>
      </w:r>
      <w:r>
        <w:rPr/>
        <w:t>econômico</w:t>
      </w:r>
      <w:r>
        <w:rPr>
          <w:spacing w:val="-28"/>
        </w:rPr>
        <w:t> </w:t>
      </w:r>
      <w:r>
        <w:rPr/>
        <w:t>disponível</w:t>
      </w:r>
      <w:r>
        <w:rPr>
          <w:spacing w:val="-29"/>
        </w:rPr>
        <w:t> </w:t>
      </w:r>
      <w:r>
        <w:rPr/>
        <w:t>na forma</w:t>
      </w:r>
      <w:r>
        <w:rPr>
          <w:spacing w:val="-17"/>
        </w:rPr>
        <w:t> </w:t>
      </w:r>
      <w:r>
        <w:rPr/>
        <w:t>de</w:t>
      </w:r>
      <w:r>
        <w:rPr>
          <w:spacing w:val="-19"/>
        </w:rPr>
        <w:t> </w:t>
      </w:r>
      <w:r>
        <w:rPr/>
        <w:t>reduções</w:t>
      </w:r>
      <w:r>
        <w:rPr>
          <w:spacing w:val="-19"/>
        </w:rPr>
        <w:t> </w:t>
      </w:r>
      <w:r>
        <w:rPr/>
        <w:t>nas</w:t>
      </w:r>
      <w:r>
        <w:rPr>
          <w:spacing w:val="-19"/>
        </w:rPr>
        <w:t> </w:t>
      </w:r>
      <w:r>
        <w:rPr/>
        <w:t>contribuições</w:t>
      </w:r>
      <w:r>
        <w:rPr>
          <w:spacing w:val="-19"/>
        </w:rPr>
        <w:t> </w:t>
      </w:r>
      <w:r>
        <w:rPr/>
        <w:t>patronais</w:t>
      </w:r>
      <w:r>
        <w:rPr>
          <w:spacing w:val="-19"/>
        </w:rPr>
        <w:t> </w:t>
      </w:r>
      <w:r>
        <w:rPr/>
        <w:t>futuras</w:t>
      </w:r>
      <w:r>
        <w:rPr>
          <w:spacing w:val="-18"/>
        </w:rPr>
        <w:t> </w:t>
      </w:r>
      <w:r>
        <w:rPr/>
        <w:t>do</w:t>
      </w:r>
      <w:r>
        <w:rPr>
          <w:spacing w:val="-20"/>
        </w:rPr>
        <w:t> </w:t>
      </w:r>
      <w:r>
        <w:rPr/>
        <w:t>plano.</w:t>
      </w:r>
    </w:p>
    <w:p>
      <w:pPr>
        <w:pStyle w:val="BodyText"/>
        <w:spacing w:before="7"/>
      </w:pPr>
    </w:p>
    <w:p>
      <w:pPr>
        <w:pStyle w:val="Heading5"/>
        <w:numPr>
          <w:ilvl w:val="3"/>
          <w:numId w:val="9"/>
        </w:numPr>
        <w:tabs>
          <w:tab w:pos="1325" w:val="left" w:leader="none"/>
          <w:tab w:pos="1326" w:val="left" w:leader="none"/>
        </w:tabs>
        <w:spacing w:line="240" w:lineRule="auto" w:before="0" w:after="0"/>
        <w:ind w:left="1326" w:right="0" w:hanging="1134"/>
        <w:jc w:val="left"/>
      </w:pPr>
      <w:r>
        <w:rPr/>
        <w:t>Valor justo de instrumentos</w:t>
      </w:r>
      <w:r>
        <w:rPr>
          <w:spacing w:val="-4"/>
        </w:rPr>
        <w:t> </w:t>
      </w:r>
      <w:r>
        <w:rPr/>
        <w:t>financeiros</w:t>
      </w:r>
    </w:p>
    <w:p>
      <w:pPr>
        <w:pStyle w:val="BodyText"/>
        <w:spacing w:before="10"/>
        <w:rPr>
          <w:rFonts w:ascii="Caladea"/>
          <w:b/>
          <w:sz w:val="23"/>
        </w:rPr>
      </w:pPr>
    </w:p>
    <w:p>
      <w:pPr>
        <w:pStyle w:val="BodyText"/>
        <w:spacing w:line="247" w:lineRule="auto"/>
        <w:ind w:left="192" w:right="609"/>
        <w:jc w:val="both"/>
      </w:pPr>
      <w:r>
        <w:rPr/>
        <w:t>Quando</w:t>
      </w:r>
      <w:r>
        <w:rPr>
          <w:spacing w:val="-25"/>
        </w:rPr>
        <w:t> </w:t>
      </w:r>
      <w:r>
        <w:rPr/>
        <w:t>o</w:t>
      </w:r>
      <w:r>
        <w:rPr>
          <w:spacing w:val="-25"/>
        </w:rPr>
        <w:t> </w:t>
      </w:r>
      <w:r>
        <w:rPr/>
        <w:t>valor</w:t>
      </w:r>
      <w:r>
        <w:rPr>
          <w:spacing w:val="-27"/>
        </w:rPr>
        <w:t> </w:t>
      </w:r>
      <w:r>
        <w:rPr/>
        <w:t>justo</w:t>
      </w:r>
      <w:r>
        <w:rPr>
          <w:spacing w:val="-26"/>
        </w:rPr>
        <w:t> </w:t>
      </w:r>
      <w:r>
        <w:rPr/>
        <w:t>de</w:t>
      </w:r>
      <w:r>
        <w:rPr>
          <w:spacing w:val="-26"/>
        </w:rPr>
        <w:t> </w:t>
      </w:r>
      <w:r>
        <w:rPr/>
        <w:t>ativos</w:t>
      </w:r>
      <w:r>
        <w:rPr>
          <w:spacing w:val="-26"/>
        </w:rPr>
        <w:t> </w:t>
      </w:r>
      <w:r>
        <w:rPr/>
        <w:t>e</w:t>
      </w:r>
      <w:r>
        <w:rPr>
          <w:spacing w:val="-25"/>
        </w:rPr>
        <w:t> </w:t>
      </w:r>
      <w:r>
        <w:rPr/>
        <w:t>passivos</w:t>
      </w:r>
      <w:r>
        <w:rPr>
          <w:spacing w:val="-25"/>
        </w:rPr>
        <w:t> </w:t>
      </w:r>
      <w:r>
        <w:rPr/>
        <w:t>financeiros</w:t>
      </w:r>
      <w:r>
        <w:rPr>
          <w:spacing w:val="-20"/>
        </w:rPr>
        <w:t> </w:t>
      </w:r>
      <w:r>
        <w:rPr/>
        <w:t>apresentados</w:t>
      </w:r>
      <w:r>
        <w:rPr>
          <w:spacing w:val="-25"/>
        </w:rPr>
        <w:t> </w:t>
      </w:r>
      <w:r>
        <w:rPr/>
        <w:t>no</w:t>
      </w:r>
      <w:r>
        <w:rPr>
          <w:spacing w:val="-24"/>
        </w:rPr>
        <w:t> </w:t>
      </w:r>
      <w:r>
        <w:rPr/>
        <w:t>balanço</w:t>
      </w:r>
      <w:r>
        <w:rPr>
          <w:spacing w:val="-26"/>
        </w:rPr>
        <w:t> </w:t>
      </w:r>
      <w:r>
        <w:rPr/>
        <w:t>patrimonial</w:t>
      </w:r>
      <w:r>
        <w:rPr>
          <w:spacing w:val="-24"/>
        </w:rPr>
        <w:t> </w:t>
      </w:r>
      <w:r>
        <w:rPr/>
        <w:t>não</w:t>
      </w:r>
      <w:r>
        <w:rPr>
          <w:spacing w:val="-24"/>
        </w:rPr>
        <w:t> </w:t>
      </w:r>
      <w:r>
        <w:rPr/>
        <w:t>puder</w:t>
      </w:r>
      <w:r>
        <w:rPr>
          <w:spacing w:val="-25"/>
        </w:rPr>
        <w:t> </w:t>
      </w:r>
      <w:r>
        <w:rPr/>
        <w:t>ser</w:t>
      </w:r>
      <w:r>
        <w:rPr>
          <w:spacing w:val="-25"/>
        </w:rPr>
        <w:t> </w:t>
      </w:r>
      <w:r>
        <w:rPr/>
        <w:t>obtido</w:t>
      </w:r>
      <w:r>
        <w:rPr>
          <w:spacing w:val="-25"/>
        </w:rPr>
        <w:t> </w:t>
      </w:r>
      <w:r>
        <w:rPr/>
        <w:t>de </w:t>
      </w:r>
      <w:r>
        <w:rPr>
          <w:w w:val="95"/>
        </w:rPr>
        <w:t>mercados</w:t>
      </w:r>
      <w:r>
        <w:rPr>
          <w:spacing w:val="-19"/>
          <w:w w:val="95"/>
        </w:rPr>
        <w:t> </w:t>
      </w:r>
      <w:r>
        <w:rPr>
          <w:w w:val="95"/>
        </w:rPr>
        <w:t>ativos,</w:t>
      </w:r>
      <w:r>
        <w:rPr>
          <w:spacing w:val="-17"/>
          <w:w w:val="95"/>
        </w:rPr>
        <w:t> </w:t>
      </w:r>
      <w:r>
        <w:rPr>
          <w:w w:val="95"/>
        </w:rPr>
        <w:t>é</w:t>
      </w:r>
      <w:r>
        <w:rPr>
          <w:spacing w:val="-20"/>
          <w:w w:val="95"/>
        </w:rPr>
        <w:t> </w:t>
      </w:r>
      <w:r>
        <w:rPr>
          <w:w w:val="95"/>
        </w:rPr>
        <w:t>determinado</w:t>
      </w:r>
      <w:r>
        <w:rPr>
          <w:spacing w:val="-22"/>
          <w:w w:val="95"/>
        </w:rPr>
        <w:t> </w:t>
      </w:r>
      <w:r>
        <w:rPr>
          <w:w w:val="95"/>
        </w:rPr>
        <w:t>utilizando</w:t>
      </w:r>
      <w:r>
        <w:rPr>
          <w:spacing w:val="-18"/>
          <w:w w:val="95"/>
        </w:rPr>
        <w:t> </w:t>
      </w:r>
      <w:r>
        <w:rPr>
          <w:w w:val="95"/>
        </w:rPr>
        <w:t>técnicas</w:t>
      </w:r>
      <w:r>
        <w:rPr>
          <w:spacing w:val="-21"/>
          <w:w w:val="95"/>
        </w:rPr>
        <w:t> </w:t>
      </w:r>
      <w:r>
        <w:rPr>
          <w:w w:val="95"/>
        </w:rPr>
        <w:t>de</w:t>
      </w:r>
      <w:r>
        <w:rPr>
          <w:spacing w:val="-22"/>
          <w:w w:val="95"/>
        </w:rPr>
        <w:t> </w:t>
      </w:r>
      <w:r>
        <w:rPr>
          <w:w w:val="95"/>
        </w:rPr>
        <w:t>avaliação,</w:t>
      </w:r>
      <w:r>
        <w:rPr>
          <w:spacing w:val="-20"/>
          <w:w w:val="95"/>
        </w:rPr>
        <w:t> </w:t>
      </w:r>
      <w:r>
        <w:rPr>
          <w:w w:val="95"/>
        </w:rPr>
        <w:t>incluindo</w:t>
      </w:r>
      <w:r>
        <w:rPr>
          <w:spacing w:val="-19"/>
          <w:w w:val="95"/>
        </w:rPr>
        <w:t> </w:t>
      </w:r>
      <w:r>
        <w:rPr>
          <w:w w:val="95"/>
        </w:rPr>
        <w:t>o</w:t>
      </w:r>
      <w:r>
        <w:rPr>
          <w:spacing w:val="-19"/>
          <w:w w:val="95"/>
        </w:rPr>
        <w:t> </w:t>
      </w:r>
      <w:r>
        <w:rPr>
          <w:w w:val="95"/>
        </w:rPr>
        <w:t>método</w:t>
      </w:r>
      <w:r>
        <w:rPr>
          <w:spacing w:val="-19"/>
          <w:w w:val="95"/>
        </w:rPr>
        <w:t> </w:t>
      </w:r>
      <w:r>
        <w:rPr>
          <w:w w:val="95"/>
        </w:rPr>
        <w:t>de</w:t>
      </w:r>
      <w:r>
        <w:rPr>
          <w:spacing w:val="-20"/>
          <w:w w:val="95"/>
        </w:rPr>
        <w:t> </w:t>
      </w:r>
      <w:r>
        <w:rPr>
          <w:w w:val="95"/>
        </w:rPr>
        <w:t>fluxo</w:t>
      </w:r>
      <w:r>
        <w:rPr>
          <w:spacing w:val="-18"/>
          <w:w w:val="95"/>
        </w:rPr>
        <w:t> </w:t>
      </w:r>
      <w:r>
        <w:rPr>
          <w:w w:val="95"/>
        </w:rPr>
        <w:t>de</w:t>
      </w:r>
      <w:r>
        <w:rPr>
          <w:spacing w:val="-20"/>
          <w:w w:val="95"/>
        </w:rPr>
        <w:t> </w:t>
      </w:r>
      <w:r>
        <w:rPr>
          <w:w w:val="95"/>
        </w:rPr>
        <w:t>caixa</w:t>
      </w:r>
      <w:r>
        <w:rPr>
          <w:spacing w:val="-21"/>
          <w:w w:val="95"/>
        </w:rPr>
        <w:t> </w:t>
      </w:r>
      <w:r>
        <w:rPr>
          <w:w w:val="95"/>
        </w:rPr>
        <w:t>descontado.</w:t>
      </w:r>
      <w:r>
        <w:rPr>
          <w:spacing w:val="-21"/>
          <w:w w:val="95"/>
        </w:rPr>
        <w:t> </w:t>
      </w:r>
      <w:r>
        <w:rPr>
          <w:w w:val="95"/>
        </w:rPr>
        <w:t>Os </w:t>
      </w:r>
      <w:r>
        <w:rPr/>
        <w:t>dados</w:t>
      </w:r>
      <w:r>
        <w:rPr>
          <w:spacing w:val="-29"/>
        </w:rPr>
        <w:t> </w:t>
      </w:r>
      <w:r>
        <w:rPr/>
        <w:t>para</w:t>
      </w:r>
      <w:r>
        <w:rPr>
          <w:spacing w:val="-27"/>
        </w:rPr>
        <w:t> </w:t>
      </w:r>
      <w:r>
        <w:rPr/>
        <w:t>esses</w:t>
      </w:r>
      <w:r>
        <w:rPr>
          <w:spacing w:val="-27"/>
        </w:rPr>
        <w:t> </w:t>
      </w:r>
      <w:r>
        <w:rPr/>
        <w:t>métodos</w:t>
      </w:r>
      <w:r>
        <w:rPr>
          <w:spacing w:val="-28"/>
        </w:rPr>
        <w:t> </w:t>
      </w:r>
      <w:r>
        <w:rPr/>
        <w:t>se</w:t>
      </w:r>
      <w:r>
        <w:rPr>
          <w:spacing w:val="-28"/>
        </w:rPr>
        <w:t> </w:t>
      </w:r>
      <w:r>
        <w:rPr/>
        <w:t>baseiam</w:t>
      </w:r>
      <w:r>
        <w:rPr>
          <w:spacing w:val="-28"/>
        </w:rPr>
        <w:t> </w:t>
      </w:r>
      <w:r>
        <w:rPr/>
        <w:t>naqueles</w:t>
      </w:r>
      <w:r>
        <w:rPr>
          <w:spacing w:val="-26"/>
        </w:rPr>
        <w:t> </w:t>
      </w:r>
      <w:r>
        <w:rPr/>
        <w:t>praticados</w:t>
      </w:r>
      <w:r>
        <w:rPr>
          <w:spacing w:val="-29"/>
        </w:rPr>
        <w:t> </w:t>
      </w:r>
      <w:r>
        <w:rPr/>
        <w:t>no</w:t>
      </w:r>
      <w:r>
        <w:rPr>
          <w:spacing w:val="-28"/>
        </w:rPr>
        <w:t> </w:t>
      </w:r>
      <w:r>
        <w:rPr/>
        <w:t>mercado,</w:t>
      </w:r>
      <w:r>
        <w:rPr>
          <w:spacing w:val="-27"/>
        </w:rPr>
        <w:t> </w:t>
      </w:r>
      <w:r>
        <w:rPr/>
        <w:t>quando</w:t>
      </w:r>
      <w:r>
        <w:rPr>
          <w:spacing w:val="-27"/>
        </w:rPr>
        <w:t> </w:t>
      </w:r>
      <w:r>
        <w:rPr/>
        <w:t>possível.</w:t>
      </w:r>
      <w:r>
        <w:rPr>
          <w:spacing w:val="-29"/>
        </w:rPr>
        <w:t> </w:t>
      </w:r>
      <w:r>
        <w:rPr/>
        <w:t>Contudo,</w:t>
      </w:r>
      <w:r>
        <w:rPr>
          <w:spacing w:val="-26"/>
        </w:rPr>
        <w:t> </w:t>
      </w:r>
      <w:r>
        <w:rPr/>
        <w:t>quando</w:t>
      </w:r>
      <w:r>
        <w:rPr>
          <w:spacing w:val="-28"/>
        </w:rPr>
        <w:t> </w:t>
      </w:r>
      <w:r>
        <w:rPr/>
        <w:t>isso</w:t>
      </w:r>
      <w:r>
        <w:rPr>
          <w:spacing w:val="-27"/>
        </w:rPr>
        <w:t> </w:t>
      </w:r>
      <w:r>
        <w:rPr/>
        <w:t>não for</w:t>
      </w:r>
      <w:r>
        <w:rPr>
          <w:spacing w:val="-12"/>
        </w:rPr>
        <w:t> </w:t>
      </w:r>
      <w:r>
        <w:rPr/>
        <w:t>viável,</w:t>
      </w:r>
      <w:r>
        <w:rPr>
          <w:spacing w:val="-11"/>
        </w:rPr>
        <w:t> </w:t>
      </w:r>
      <w:r>
        <w:rPr/>
        <w:t>um</w:t>
      </w:r>
      <w:r>
        <w:rPr>
          <w:spacing w:val="-11"/>
        </w:rPr>
        <w:t> </w:t>
      </w:r>
      <w:r>
        <w:rPr/>
        <w:t>determinado</w:t>
      </w:r>
      <w:r>
        <w:rPr>
          <w:spacing w:val="-10"/>
        </w:rPr>
        <w:t> </w:t>
      </w:r>
      <w:r>
        <w:rPr/>
        <w:t>nível</w:t>
      </w:r>
      <w:r>
        <w:rPr>
          <w:spacing w:val="-11"/>
        </w:rPr>
        <w:t> </w:t>
      </w:r>
      <w:r>
        <w:rPr/>
        <w:t>de</w:t>
      </w:r>
      <w:r>
        <w:rPr>
          <w:spacing w:val="-11"/>
        </w:rPr>
        <w:t> </w:t>
      </w:r>
      <w:r>
        <w:rPr/>
        <w:t>julgamento</w:t>
      </w:r>
      <w:r>
        <w:rPr>
          <w:spacing w:val="-10"/>
        </w:rPr>
        <w:t> </w:t>
      </w:r>
      <w:r>
        <w:rPr/>
        <w:t>é</w:t>
      </w:r>
      <w:r>
        <w:rPr>
          <w:spacing w:val="-11"/>
        </w:rPr>
        <w:t> </w:t>
      </w:r>
      <w:r>
        <w:rPr/>
        <w:t>requerido</w:t>
      </w:r>
      <w:r>
        <w:rPr>
          <w:spacing w:val="-10"/>
        </w:rPr>
        <w:t> </w:t>
      </w:r>
      <w:r>
        <w:rPr/>
        <w:t>para</w:t>
      </w:r>
      <w:r>
        <w:rPr>
          <w:spacing w:val="-10"/>
        </w:rPr>
        <w:t> </w:t>
      </w:r>
      <w:r>
        <w:rPr/>
        <w:t>estabelecer</w:t>
      </w:r>
      <w:r>
        <w:rPr>
          <w:spacing w:val="-11"/>
        </w:rPr>
        <w:t> </w:t>
      </w:r>
      <w:r>
        <w:rPr/>
        <w:t>o</w:t>
      </w:r>
      <w:r>
        <w:rPr>
          <w:spacing w:val="-10"/>
        </w:rPr>
        <w:t> </w:t>
      </w:r>
      <w:r>
        <w:rPr/>
        <w:t>valor</w:t>
      </w:r>
      <w:r>
        <w:rPr>
          <w:spacing w:val="-13"/>
        </w:rPr>
        <w:t> </w:t>
      </w:r>
      <w:r>
        <w:rPr/>
        <w:t>justo.</w:t>
      </w:r>
      <w:r>
        <w:rPr>
          <w:spacing w:val="-10"/>
        </w:rPr>
        <w:t> </w:t>
      </w:r>
      <w:r>
        <w:rPr/>
        <w:t>O</w:t>
      </w:r>
      <w:r>
        <w:rPr>
          <w:spacing w:val="-11"/>
        </w:rPr>
        <w:t> </w:t>
      </w:r>
      <w:r>
        <w:rPr/>
        <w:t>julgamento</w:t>
      </w:r>
      <w:r>
        <w:rPr>
          <w:spacing w:val="-11"/>
        </w:rPr>
        <w:t> </w:t>
      </w:r>
      <w:r>
        <w:rPr/>
        <w:t>inclui considerações sobre os dados utilizados como, por exemplo, risco de liquidez, risco de crédito e volatilidade. Mudanças</w:t>
      </w:r>
      <w:r>
        <w:rPr>
          <w:spacing w:val="-22"/>
        </w:rPr>
        <w:t> </w:t>
      </w:r>
      <w:r>
        <w:rPr/>
        <w:t>nas</w:t>
      </w:r>
      <w:r>
        <w:rPr>
          <w:spacing w:val="-21"/>
        </w:rPr>
        <w:t> </w:t>
      </w:r>
      <w:r>
        <w:rPr/>
        <w:t>premissas</w:t>
      </w:r>
      <w:r>
        <w:rPr>
          <w:spacing w:val="-21"/>
        </w:rPr>
        <w:t> </w:t>
      </w:r>
      <w:r>
        <w:rPr/>
        <w:t>sobre</w:t>
      </w:r>
      <w:r>
        <w:rPr>
          <w:spacing w:val="-20"/>
        </w:rPr>
        <w:t> </w:t>
      </w:r>
      <w:r>
        <w:rPr/>
        <w:t>esses</w:t>
      </w:r>
      <w:r>
        <w:rPr>
          <w:spacing w:val="-19"/>
        </w:rPr>
        <w:t> </w:t>
      </w:r>
      <w:r>
        <w:rPr/>
        <w:t>fatores</w:t>
      </w:r>
      <w:r>
        <w:rPr>
          <w:spacing w:val="-22"/>
        </w:rPr>
        <w:t> </w:t>
      </w:r>
      <w:r>
        <w:rPr/>
        <w:t>podem</w:t>
      </w:r>
      <w:r>
        <w:rPr>
          <w:spacing w:val="-21"/>
        </w:rPr>
        <w:t> </w:t>
      </w:r>
      <w:r>
        <w:rPr/>
        <w:t>afetar</w:t>
      </w:r>
      <w:r>
        <w:rPr>
          <w:spacing w:val="-22"/>
        </w:rPr>
        <w:t> </w:t>
      </w:r>
      <w:r>
        <w:rPr/>
        <w:t>o</w:t>
      </w:r>
      <w:r>
        <w:rPr>
          <w:spacing w:val="-21"/>
        </w:rPr>
        <w:t> </w:t>
      </w:r>
      <w:r>
        <w:rPr/>
        <w:t>valor</w:t>
      </w:r>
      <w:r>
        <w:rPr>
          <w:spacing w:val="-21"/>
        </w:rPr>
        <w:t> </w:t>
      </w:r>
      <w:r>
        <w:rPr/>
        <w:t>justo</w:t>
      </w:r>
      <w:r>
        <w:rPr>
          <w:spacing w:val="-20"/>
        </w:rPr>
        <w:t> </w:t>
      </w:r>
      <w:r>
        <w:rPr/>
        <w:t>apresentado</w:t>
      </w:r>
      <w:r>
        <w:rPr>
          <w:spacing w:val="-21"/>
        </w:rPr>
        <w:t> </w:t>
      </w:r>
      <w:r>
        <w:rPr/>
        <w:t>dos</w:t>
      </w:r>
      <w:r>
        <w:rPr>
          <w:spacing w:val="-19"/>
        </w:rPr>
        <w:t> </w:t>
      </w:r>
      <w:r>
        <w:rPr/>
        <w:t>instrumentos</w:t>
      </w:r>
      <w:r>
        <w:rPr>
          <w:spacing w:val="-20"/>
        </w:rPr>
        <w:t> </w:t>
      </w:r>
      <w:r>
        <w:rPr/>
        <w:t>financeiros (Nota</w:t>
      </w:r>
      <w:r>
        <w:rPr>
          <w:spacing w:val="-18"/>
        </w:rPr>
        <w:t> </w:t>
      </w:r>
      <w:r>
        <w:rPr/>
        <w:t>Explicativa</w:t>
      </w:r>
      <w:r>
        <w:rPr>
          <w:spacing w:val="-18"/>
        </w:rPr>
        <w:t> </w:t>
      </w:r>
      <w:r>
        <w:rPr/>
        <w:t>nº</w:t>
      </w:r>
      <w:r>
        <w:rPr>
          <w:spacing w:val="-16"/>
        </w:rPr>
        <w:t> </w:t>
      </w:r>
      <w:r>
        <w:rPr/>
        <w:t>4.4).</w:t>
      </w:r>
    </w:p>
    <w:p>
      <w:pPr>
        <w:spacing w:after="0" w:line="247" w:lineRule="auto"/>
        <w:jc w:val="both"/>
        <w:sectPr>
          <w:pgSz w:w="11910" w:h="16850"/>
          <w:pgMar w:header="792" w:footer="1193" w:top="1360" w:bottom="1380" w:left="940" w:right="240"/>
        </w:sectPr>
      </w:pPr>
    </w:p>
    <w:p>
      <w:pPr>
        <w:pStyle w:val="Heading5"/>
        <w:numPr>
          <w:ilvl w:val="3"/>
          <w:numId w:val="9"/>
        </w:numPr>
        <w:tabs>
          <w:tab w:pos="1325" w:val="left" w:leader="none"/>
          <w:tab w:pos="1326" w:val="left" w:leader="none"/>
        </w:tabs>
        <w:spacing w:line="240" w:lineRule="auto" w:before="48" w:after="0"/>
        <w:ind w:left="1326" w:right="0" w:hanging="1134"/>
        <w:jc w:val="left"/>
      </w:pPr>
      <w:r>
        <w:rPr/>
        <w:t>Depreciação de ativos</w:t>
      </w:r>
      <w:r>
        <w:rPr>
          <w:spacing w:val="-3"/>
        </w:rPr>
        <w:t> </w:t>
      </w:r>
      <w:r>
        <w:rPr/>
        <w:t>tangíveis</w:t>
      </w:r>
    </w:p>
    <w:p>
      <w:pPr>
        <w:pStyle w:val="BodyText"/>
        <w:spacing w:before="10"/>
        <w:rPr>
          <w:rFonts w:ascii="Caladea"/>
          <w:b/>
          <w:sz w:val="23"/>
        </w:rPr>
      </w:pPr>
    </w:p>
    <w:p>
      <w:pPr>
        <w:pStyle w:val="BodyText"/>
        <w:spacing w:line="242" w:lineRule="auto"/>
        <w:ind w:left="192" w:right="607"/>
        <w:jc w:val="both"/>
      </w:pPr>
      <w:r>
        <w:rPr/>
        <w:t>A</w:t>
      </w:r>
      <w:r>
        <w:rPr>
          <w:spacing w:val="-32"/>
        </w:rPr>
        <w:t> </w:t>
      </w:r>
      <w:r>
        <w:rPr/>
        <w:t>depreciação</w:t>
      </w:r>
      <w:r>
        <w:rPr>
          <w:spacing w:val="-30"/>
        </w:rPr>
        <w:t> </w:t>
      </w:r>
      <w:r>
        <w:rPr/>
        <w:t>é</w:t>
      </w:r>
      <w:r>
        <w:rPr>
          <w:spacing w:val="-30"/>
        </w:rPr>
        <w:t> </w:t>
      </w:r>
      <w:r>
        <w:rPr/>
        <w:t>calculada</w:t>
      </w:r>
      <w:r>
        <w:rPr>
          <w:spacing w:val="-31"/>
        </w:rPr>
        <w:t> </w:t>
      </w:r>
      <w:r>
        <w:rPr/>
        <w:t>pelo</w:t>
      </w:r>
      <w:r>
        <w:rPr>
          <w:spacing w:val="-32"/>
        </w:rPr>
        <w:t> </w:t>
      </w:r>
      <w:r>
        <w:rPr/>
        <w:t>método</w:t>
      </w:r>
      <w:r>
        <w:rPr>
          <w:spacing w:val="-32"/>
        </w:rPr>
        <w:t> </w:t>
      </w:r>
      <w:r>
        <w:rPr/>
        <w:t>linear,</w:t>
      </w:r>
      <w:r>
        <w:rPr>
          <w:spacing w:val="-32"/>
        </w:rPr>
        <w:t> </w:t>
      </w:r>
      <w:r>
        <w:rPr/>
        <w:t>a</w:t>
      </w:r>
      <w:r>
        <w:rPr>
          <w:spacing w:val="-29"/>
        </w:rPr>
        <w:t> </w:t>
      </w:r>
      <w:r>
        <w:rPr/>
        <w:t>taxas</w:t>
      </w:r>
      <w:r>
        <w:rPr>
          <w:spacing w:val="-32"/>
        </w:rPr>
        <w:t> </w:t>
      </w:r>
      <w:r>
        <w:rPr/>
        <w:t>anuais</w:t>
      </w:r>
      <w:r>
        <w:rPr>
          <w:spacing w:val="-31"/>
        </w:rPr>
        <w:t> </w:t>
      </w:r>
      <w:r>
        <w:rPr/>
        <w:t>variáveis</w:t>
      </w:r>
      <w:r>
        <w:rPr>
          <w:spacing w:val="-30"/>
        </w:rPr>
        <w:t> </w:t>
      </w:r>
      <w:r>
        <w:rPr/>
        <w:t>de</w:t>
      </w:r>
      <w:r>
        <w:rPr>
          <w:spacing w:val="-30"/>
        </w:rPr>
        <w:t> </w:t>
      </w:r>
      <w:r>
        <w:rPr/>
        <w:t>2%</w:t>
      </w:r>
      <w:r>
        <w:rPr>
          <w:spacing w:val="-30"/>
        </w:rPr>
        <w:t> </w:t>
      </w:r>
      <w:r>
        <w:rPr/>
        <w:t>a</w:t>
      </w:r>
      <w:r>
        <w:rPr>
          <w:spacing w:val="-32"/>
        </w:rPr>
        <w:t> </w:t>
      </w:r>
      <w:r>
        <w:rPr/>
        <w:t>20%,</w:t>
      </w:r>
      <w:r>
        <w:rPr>
          <w:spacing w:val="-30"/>
        </w:rPr>
        <w:t> </w:t>
      </w:r>
      <w:r>
        <w:rPr/>
        <w:t>levando</w:t>
      </w:r>
      <w:r>
        <w:rPr>
          <w:spacing w:val="-28"/>
        </w:rPr>
        <w:t> </w:t>
      </w:r>
      <w:r>
        <w:rPr/>
        <w:t>em</w:t>
      </w:r>
      <w:r>
        <w:rPr>
          <w:spacing w:val="-31"/>
        </w:rPr>
        <w:t> </w:t>
      </w:r>
      <w:r>
        <w:rPr/>
        <w:t>consideração</w:t>
      </w:r>
      <w:r>
        <w:rPr>
          <w:spacing w:val="-32"/>
        </w:rPr>
        <w:t> </w:t>
      </w:r>
      <w:r>
        <w:rPr/>
        <w:t>a</w:t>
      </w:r>
      <w:r>
        <w:rPr>
          <w:spacing w:val="-31"/>
        </w:rPr>
        <w:t> </w:t>
      </w:r>
      <w:r>
        <w:rPr/>
        <w:t>vida útil</w:t>
      </w:r>
      <w:r>
        <w:rPr>
          <w:spacing w:val="-31"/>
        </w:rPr>
        <w:t> </w:t>
      </w:r>
      <w:r>
        <w:rPr/>
        <w:t>estimada</w:t>
      </w:r>
      <w:r>
        <w:rPr>
          <w:spacing w:val="-32"/>
        </w:rPr>
        <w:t> </w:t>
      </w:r>
      <w:r>
        <w:rPr/>
        <w:t>dos</w:t>
      </w:r>
      <w:r>
        <w:rPr>
          <w:spacing w:val="-30"/>
        </w:rPr>
        <w:t> </w:t>
      </w:r>
      <w:r>
        <w:rPr/>
        <w:t>bens,</w:t>
      </w:r>
      <w:r>
        <w:rPr>
          <w:spacing w:val="-32"/>
        </w:rPr>
        <w:t> </w:t>
      </w:r>
      <w:r>
        <w:rPr/>
        <w:t>conforme</w:t>
      </w:r>
      <w:r>
        <w:rPr>
          <w:spacing w:val="-33"/>
        </w:rPr>
        <w:t> </w:t>
      </w:r>
      <w:r>
        <w:rPr/>
        <w:t>orientação</w:t>
      </w:r>
      <w:r>
        <w:rPr>
          <w:spacing w:val="-30"/>
        </w:rPr>
        <w:t> </w:t>
      </w:r>
      <w:r>
        <w:rPr/>
        <w:t>e</w:t>
      </w:r>
      <w:r>
        <w:rPr>
          <w:spacing w:val="-33"/>
        </w:rPr>
        <w:t> </w:t>
      </w:r>
      <w:r>
        <w:rPr/>
        <w:t>definição</w:t>
      </w:r>
      <w:r>
        <w:rPr>
          <w:spacing w:val="-30"/>
        </w:rPr>
        <w:t> </w:t>
      </w:r>
      <w:r>
        <w:rPr/>
        <w:t>do</w:t>
      </w:r>
      <w:r>
        <w:rPr>
          <w:spacing w:val="-32"/>
        </w:rPr>
        <w:t> </w:t>
      </w:r>
      <w:r>
        <w:rPr/>
        <w:t>Órgão</w:t>
      </w:r>
      <w:r>
        <w:rPr>
          <w:spacing w:val="-32"/>
        </w:rPr>
        <w:t> </w:t>
      </w:r>
      <w:r>
        <w:rPr/>
        <w:t>Regulador.</w:t>
      </w:r>
      <w:r>
        <w:rPr>
          <w:spacing w:val="-30"/>
        </w:rPr>
        <w:t> </w:t>
      </w:r>
      <w:r>
        <w:rPr/>
        <w:t>Os</w:t>
      </w:r>
      <w:r>
        <w:rPr>
          <w:spacing w:val="-32"/>
        </w:rPr>
        <w:t> </w:t>
      </w:r>
      <w:r>
        <w:rPr/>
        <w:t>terrenos</w:t>
      </w:r>
      <w:r>
        <w:rPr>
          <w:spacing w:val="-30"/>
        </w:rPr>
        <w:t> </w:t>
      </w:r>
      <w:r>
        <w:rPr/>
        <w:t>não</w:t>
      </w:r>
      <w:r>
        <w:rPr>
          <w:spacing w:val="-32"/>
        </w:rPr>
        <w:t> </w:t>
      </w:r>
      <w:r>
        <w:rPr/>
        <w:t>são</w:t>
      </w:r>
      <w:r>
        <w:rPr>
          <w:spacing w:val="-30"/>
        </w:rPr>
        <w:t> </w:t>
      </w:r>
      <w:r>
        <w:rPr/>
        <w:t>depreciados.</w:t>
      </w:r>
    </w:p>
    <w:p>
      <w:pPr>
        <w:pStyle w:val="BodyText"/>
        <w:spacing w:before="9"/>
      </w:pPr>
    </w:p>
    <w:p>
      <w:pPr>
        <w:pStyle w:val="BodyText"/>
        <w:spacing w:line="242" w:lineRule="auto"/>
        <w:ind w:left="192" w:right="617"/>
        <w:jc w:val="both"/>
      </w:pPr>
      <w:r>
        <w:rPr/>
        <w:t>Itens</w:t>
      </w:r>
      <w:r>
        <w:rPr>
          <w:spacing w:val="-34"/>
        </w:rPr>
        <w:t> </w:t>
      </w:r>
      <w:r>
        <w:rPr/>
        <w:t>do</w:t>
      </w:r>
      <w:r>
        <w:rPr>
          <w:spacing w:val="-33"/>
        </w:rPr>
        <w:t> </w:t>
      </w:r>
      <w:r>
        <w:rPr/>
        <w:t>ativo</w:t>
      </w:r>
      <w:r>
        <w:rPr>
          <w:spacing w:val="-34"/>
        </w:rPr>
        <w:t> </w:t>
      </w:r>
      <w:r>
        <w:rPr/>
        <w:t>imobilizado</w:t>
      </w:r>
      <w:r>
        <w:rPr>
          <w:spacing w:val="-35"/>
        </w:rPr>
        <w:t> </w:t>
      </w:r>
      <w:r>
        <w:rPr/>
        <w:t>são</w:t>
      </w:r>
      <w:r>
        <w:rPr>
          <w:spacing w:val="-35"/>
        </w:rPr>
        <w:t> </w:t>
      </w:r>
      <w:r>
        <w:rPr/>
        <w:t>depreciados</w:t>
      </w:r>
      <w:r>
        <w:rPr>
          <w:spacing w:val="-33"/>
        </w:rPr>
        <w:t> </w:t>
      </w:r>
      <w:r>
        <w:rPr/>
        <w:t>a</w:t>
      </w:r>
      <w:r>
        <w:rPr>
          <w:spacing w:val="-34"/>
        </w:rPr>
        <w:t> </w:t>
      </w:r>
      <w:r>
        <w:rPr/>
        <w:t>partir</w:t>
      </w:r>
      <w:r>
        <w:rPr>
          <w:spacing w:val="-35"/>
        </w:rPr>
        <w:t> </w:t>
      </w:r>
      <w:r>
        <w:rPr/>
        <w:t>da</w:t>
      </w:r>
      <w:r>
        <w:rPr>
          <w:spacing w:val="-34"/>
        </w:rPr>
        <w:t> </w:t>
      </w:r>
      <w:r>
        <w:rPr/>
        <w:t>data</w:t>
      </w:r>
      <w:r>
        <w:rPr>
          <w:spacing w:val="-34"/>
        </w:rPr>
        <w:t> </w:t>
      </w:r>
      <w:r>
        <w:rPr/>
        <w:t>em</w:t>
      </w:r>
      <w:r>
        <w:rPr>
          <w:spacing w:val="-34"/>
        </w:rPr>
        <w:t> </w:t>
      </w:r>
      <w:r>
        <w:rPr/>
        <w:t>que</w:t>
      </w:r>
      <w:r>
        <w:rPr>
          <w:spacing w:val="-34"/>
        </w:rPr>
        <w:t> </w:t>
      </w:r>
      <w:r>
        <w:rPr/>
        <w:t>são</w:t>
      </w:r>
      <w:r>
        <w:rPr>
          <w:spacing w:val="-35"/>
        </w:rPr>
        <w:t> </w:t>
      </w:r>
      <w:r>
        <w:rPr/>
        <w:t>instalados</w:t>
      </w:r>
      <w:r>
        <w:rPr>
          <w:spacing w:val="-35"/>
        </w:rPr>
        <w:t> </w:t>
      </w:r>
      <w:r>
        <w:rPr/>
        <w:t>e</w:t>
      </w:r>
      <w:r>
        <w:rPr>
          <w:spacing w:val="-34"/>
        </w:rPr>
        <w:t> </w:t>
      </w:r>
      <w:r>
        <w:rPr/>
        <w:t>estão</w:t>
      </w:r>
      <w:r>
        <w:rPr>
          <w:spacing w:val="-35"/>
        </w:rPr>
        <w:t> </w:t>
      </w:r>
      <w:r>
        <w:rPr/>
        <w:t>disponíveis</w:t>
      </w:r>
      <w:r>
        <w:rPr>
          <w:spacing w:val="-34"/>
        </w:rPr>
        <w:t> </w:t>
      </w:r>
      <w:r>
        <w:rPr/>
        <w:t>para</w:t>
      </w:r>
      <w:r>
        <w:rPr>
          <w:spacing w:val="-34"/>
        </w:rPr>
        <w:t> </w:t>
      </w:r>
      <w:r>
        <w:rPr/>
        <w:t>uso,</w:t>
      </w:r>
      <w:r>
        <w:rPr>
          <w:spacing w:val="-34"/>
        </w:rPr>
        <w:t> </w:t>
      </w:r>
      <w:r>
        <w:rPr/>
        <w:t>ou</w:t>
      </w:r>
      <w:r>
        <w:rPr>
          <w:spacing w:val="-33"/>
        </w:rPr>
        <w:t> </w:t>
      </w:r>
      <w:r>
        <w:rPr/>
        <w:t>em caso</w:t>
      </w:r>
      <w:r>
        <w:rPr>
          <w:spacing w:val="-10"/>
        </w:rPr>
        <w:t> </w:t>
      </w:r>
      <w:r>
        <w:rPr/>
        <w:t>de</w:t>
      </w:r>
      <w:r>
        <w:rPr>
          <w:spacing w:val="-11"/>
        </w:rPr>
        <w:t> </w:t>
      </w:r>
      <w:r>
        <w:rPr/>
        <w:t>ativos</w:t>
      </w:r>
      <w:r>
        <w:rPr>
          <w:spacing w:val="-9"/>
        </w:rPr>
        <w:t> </w:t>
      </w:r>
      <w:r>
        <w:rPr/>
        <w:t>construídos</w:t>
      </w:r>
      <w:r>
        <w:rPr>
          <w:spacing w:val="-8"/>
        </w:rPr>
        <w:t> </w:t>
      </w:r>
      <w:r>
        <w:rPr/>
        <w:t>internamente,</w:t>
      </w:r>
      <w:r>
        <w:rPr>
          <w:spacing w:val="-9"/>
        </w:rPr>
        <w:t> </w:t>
      </w:r>
      <w:r>
        <w:rPr/>
        <w:t>do</w:t>
      </w:r>
      <w:r>
        <w:rPr>
          <w:spacing w:val="-9"/>
        </w:rPr>
        <w:t> </w:t>
      </w:r>
      <w:r>
        <w:rPr/>
        <w:t>dia</w:t>
      </w:r>
      <w:r>
        <w:rPr>
          <w:spacing w:val="-7"/>
        </w:rPr>
        <w:t> </w:t>
      </w:r>
      <w:r>
        <w:rPr/>
        <w:t>em</w:t>
      </w:r>
      <w:r>
        <w:rPr>
          <w:spacing w:val="-9"/>
        </w:rPr>
        <w:t> </w:t>
      </w:r>
      <w:r>
        <w:rPr/>
        <w:t>que</w:t>
      </w:r>
      <w:r>
        <w:rPr>
          <w:spacing w:val="-10"/>
        </w:rPr>
        <w:t> </w:t>
      </w:r>
      <w:r>
        <w:rPr/>
        <w:t>a</w:t>
      </w:r>
      <w:r>
        <w:rPr>
          <w:spacing w:val="-9"/>
        </w:rPr>
        <w:t> </w:t>
      </w:r>
      <w:r>
        <w:rPr/>
        <w:t>construção</w:t>
      </w:r>
      <w:r>
        <w:rPr>
          <w:spacing w:val="-8"/>
        </w:rPr>
        <w:t> </w:t>
      </w:r>
      <w:r>
        <w:rPr/>
        <w:t>é</w:t>
      </w:r>
      <w:r>
        <w:rPr>
          <w:spacing w:val="-11"/>
        </w:rPr>
        <w:t> </w:t>
      </w:r>
      <w:r>
        <w:rPr/>
        <w:t>finalizada</w:t>
      </w:r>
      <w:r>
        <w:rPr>
          <w:spacing w:val="-8"/>
        </w:rPr>
        <w:t> </w:t>
      </w:r>
      <w:r>
        <w:rPr/>
        <w:t>e</w:t>
      </w:r>
      <w:r>
        <w:rPr>
          <w:spacing w:val="-11"/>
        </w:rPr>
        <w:t> </w:t>
      </w:r>
      <w:r>
        <w:rPr/>
        <w:t>o</w:t>
      </w:r>
      <w:r>
        <w:rPr>
          <w:spacing w:val="-8"/>
        </w:rPr>
        <w:t> </w:t>
      </w:r>
      <w:r>
        <w:rPr/>
        <w:t>ativo</w:t>
      </w:r>
      <w:r>
        <w:rPr>
          <w:spacing w:val="-8"/>
        </w:rPr>
        <w:t> </w:t>
      </w:r>
      <w:r>
        <w:rPr/>
        <w:t>está</w:t>
      </w:r>
      <w:r>
        <w:rPr>
          <w:spacing w:val="-9"/>
        </w:rPr>
        <w:t> </w:t>
      </w:r>
      <w:r>
        <w:rPr/>
        <w:t>disponível</w:t>
      </w:r>
      <w:r>
        <w:rPr>
          <w:spacing w:val="-8"/>
        </w:rPr>
        <w:t> </w:t>
      </w:r>
      <w:r>
        <w:rPr/>
        <w:t>para utilização.</w:t>
      </w:r>
    </w:p>
    <w:p>
      <w:pPr>
        <w:pStyle w:val="BodyText"/>
        <w:spacing w:before="7"/>
      </w:pPr>
    </w:p>
    <w:p>
      <w:pPr>
        <w:pStyle w:val="BodyText"/>
        <w:spacing w:line="242" w:lineRule="auto"/>
        <w:ind w:left="192" w:right="606"/>
        <w:jc w:val="both"/>
      </w:pPr>
      <w:r>
        <w:rPr>
          <w:w w:val="105"/>
        </w:rPr>
        <w:t>As</w:t>
      </w:r>
      <w:r>
        <w:rPr>
          <w:spacing w:val="-24"/>
          <w:w w:val="105"/>
        </w:rPr>
        <w:t> </w:t>
      </w:r>
      <w:r>
        <w:rPr>
          <w:w w:val="105"/>
        </w:rPr>
        <w:t>taxas</w:t>
      </w:r>
      <w:r>
        <w:rPr>
          <w:spacing w:val="-23"/>
          <w:w w:val="105"/>
        </w:rPr>
        <w:t> </w:t>
      </w:r>
      <w:r>
        <w:rPr>
          <w:w w:val="105"/>
        </w:rPr>
        <w:t>de</w:t>
      </w:r>
      <w:r>
        <w:rPr>
          <w:spacing w:val="-24"/>
          <w:w w:val="105"/>
        </w:rPr>
        <w:t> </w:t>
      </w:r>
      <w:r>
        <w:rPr>
          <w:w w:val="105"/>
        </w:rPr>
        <w:t>depreciação</w:t>
      </w:r>
      <w:r>
        <w:rPr>
          <w:spacing w:val="-23"/>
          <w:w w:val="105"/>
        </w:rPr>
        <w:t> </w:t>
      </w:r>
      <w:r>
        <w:rPr>
          <w:w w:val="105"/>
        </w:rPr>
        <w:t>para</w:t>
      </w:r>
      <w:r>
        <w:rPr>
          <w:spacing w:val="-23"/>
          <w:w w:val="105"/>
        </w:rPr>
        <w:t> </w:t>
      </w:r>
      <w:r>
        <w:rPr>
          <w:w w:val="105"/>
        </w:rPr>
        <w:t>os</w:t>
      </w:r>
      <w:r>
        <w:rPr>
          <w:spacing w:val="-23"/>
          <w:w w:val="105"/>
        </w:rPr>
        <w:t> </w:t>
      </w:r>
      <w:r>
        <w:rPr>
          <w:w w:val="105"/>
        </w:rPr>
        <w:t>ativos</w:t>
      </w:r>
      <w:r>
        <w:rPr>
          <w:spacing w:val="-24"/>
          <w:w w:val="105"/>
        </w:rPr>
        <w:t> </w:t>
      </w:r>
      <w:r>
        <w:rPr>
          <w:w w:val="105"/>
        </w:rPr>
        <w:t>de</w:t>
      </w:r>
      <w:r>
        <w:rPr>
          <w:spacing w:val="-23"/>
          <w:w w:val="105"/>
        </w:rPr>
        <w:t> </w:t>
      </w:r>
      <w:r>
        <w:rPr>
          <w:w w:val="105"/>
        </w:rPr>
        <w:t>usinas</w:t>
      </w:r>
      <w:r>
        <w:rPr>
          <w:spacing w:val="-23"/>
          <w:w w:val="105"/>
        </w:rPr>
        <w:t> </w:t>
      </w:r>
      <w:r>
        <w:rPr>
          <w:w w:val="105"/>
        </w:rPr>
        <w:t>hidrelétricas</w:t>
      </w:r>
      <w:r>
        <w:rPr>
          <w:spacing w:val="-24"/>
          <w:w w:val="105"/>
        </w:rPr>
        <w:t> </w:t>
      </w:r>
      <w:r>
        <w:rPr>
          <w:w w:val="105"/>
        </w:rPr>
        <w:t>estão</w:t>
      </w:r>
      <w:r>
        <w:rPr>
          <w:spacing w:val="-23"/>
          <w:w w:val="105"/>
        </w:rPr>
        <w:t> </w:t>
      </w:r>
      <w:r>
        <w:rPr>
          <w:w w:val="105"/>
        </w:rPr>
        <w:t>de</w:t>
      </w:r>
      <w:r>
        <w:rPr>
          <w:spacing w:val="-24"/>
          <w:w w:val="105"/>
        </w:rPr>
        <w:t> </w:t>
      </w:r>
      <w:r>
        <w:rPr>
          <w:w w:val="105"/>
        </w:rPr>
        <w:t>acordo</w:t>
      </w:r>
      <w:r>
        <w:rPr>
          <w:spacing w:val="-23"/>
          <w:w w:val="105"/>
        </w:rPr>
        <w:t> </w:t>
      </w:r>
      <w:r>
        <w:rPr>
          <w:w w:val="105"/>
        </w:rPr>
        <w:t>com</w:t>
      </w:r>
      <w:r>
        <w:rPr>
          <w:spacing w:val="-24"/>
          <w:w w:val="105"/>
        </w:rPr>
        <w:t> </w:t>
      </w:r>
      <w:r>
        <w:rPr>
          <w:w w:val="105"/>
        </w:rPr>
        <w:t>a</w:t>
      </w:r>
      <w:r>
        <w:rPr>
          <w:spacing w:val="-22"/>
          <w:w w:val="105"/>
        </w:rPr>
        <w:t> </w:t>
      </w:r>
      <w:r>
        <w:rPr>
          <w:w w:val="105"/>
        </w:rPr>
        <w:t>Resolução</w:t>
      </w:r>
      <w:r>
        <w:rPr>
          <w:spacing w:val="-24"/>
          <w:w w:val="105"/>
        </w:rPr>
        <w:t> </w:t>
      </w:r>
      <w:r>
        <w:rPr>
          <w:w w:val="105"/>
        </w:rPr>
        <w:t>Normativa</w:t>
      </w:r>
      <w:r>
        <w:rPr>
          <w:spacing w:val="-21"/>
          <w:w w:val="105"/>
        </w:rPr>
        <w:t> </w:t>
      </w:r>
      <w:r>
        <w:rPr>
          <w:w w:val="105"/>
        </w:rPr>
        <w:t>nº </w:t>
      </w:r>
      <w:r>
        <w:rPr/>
        <w:t>474/2012-ANEEL.</w:t>
      </w:r>
      <w:r>
        <w:rPr>
          <w:spacing w:val="-35"/>
        </w:rPr>
        <w:t> </w:t>
      </w:r>
      <w:r>
        <w:rPr/>
        <w:t>As</w:t>
      </w:r>
      <w:r>
        <w:rPr>
          <w:spacing w:val="-35"/>
        </w:rPr>
        <w:t> </w:t>
      </w:r>
      <w:r>
        <w:rPr/>
        <w:t>novas</w:t>
      </w:r>
      <w:r>
        <w:rPr>
          <w:spacing w:val="-32"/>
        </w:rPr>
        <w:t> </w:t>
      </w:r>
      <w:r>
        <w:rPr/>
        <w:t>taxas</w:t>
      </w:r>
      <w:r>
        <w:rPr>
          <w:spacing w:val="-35"/>
        </w:rPr>
        <w:t> </w:t>
      </w:r>
      <w:r>
        <w:rPr/>
        <w:t>anuais</w:t>
      </w:r>
      <w:r>
        <w:rPr>
          <w:spacing w:val="-34"/>
        </w:rPr>
        <w:t> </w:t>
      </w:r>
      <w:r>
        <w:rPr/>
        <w:t>de</w:t>
      </w:r>
      <w:r>
        <w:rPr>
          <w:spacing w:val="-34"/>
        </w:rPr>
        <w:t> </w:t>
      </w:r>
      <w:r>
        <w:rPr/>
        <w:t>depreciação</w:t>
      </w:r>
      <w:r>
        <w:rPr>
          <w:spacing w:val="-34"/>
        </w:rPr>
        <w:t> </w:t>
      </w:r>
      <w:r>
        <w:rPr/>
        <w:t>para</w:t>
      </w:r>
      <w:r>
        <w:rPr>
          <w:spacing w:val="-34"/>
        </w:rPr>
        <w:t> </w:t>
      </w:r>
      <w:r>
        <w:rPr/>
        <w:t>os</w:t>
      </w:r>
      <w:r>
        <w:rPr>
          <w:spacing w:val="-34"/>
        </w:rPr>
        <w:t> </w:t>
      </w:r>
      <w:r>
        <w:rPr/>
        <w:t>ativos</w:t>
      </w:r>
      <w:r>
        <w:rPr>
          <w:spacing w:val="-33"/>
        </w:rPr>
        <w:t> </w:t>
      </w:r>
      <w:r>
        <w:rPr/>
        <w:t>em</w:t>
      </w:r>
      <w:r>
        <w:rPr>
          <w:spacing w:val="-34"/>
        </w:rPr>
        <w:t> </w:t>
      </w:r>
      <w:r>
        <w:rPr/>
        <w:t>serviço</w:t>
      </w:r>
      <w:r>
        <w:rPr>
          <w:spacing w:val="-34"/>
        </w:rPr>
        <w:t> </w:t>
      </w:r>
      <w:r>
        <w:rPr/>
        <w:t>foram</w:t>
      </w:r>
      <w:r>
        <w:rPr>
          <w:spacing w:val="-35"/>
        </w:rPr>
        <w:t> </w:t>
      </w:r>
      <w:r>
        <w:rPr/>
        <w:t>estabelecidas,</w:t>
      </w:r>
      <w:r>
        <w:rPr>
          <w:spacing w:val="-35"/>
        </w:rPr>
        <w:t> </w:t>
      </w:r>
      <w:r>
        <w:rPr/>
        <w:t>a</w:t>
      </w:r>
      <w:r>
        <w:rPr>
          <w:spacing w:val="-33"/>
        </w:rPr>
        <w:t> </w:t>
      </w:r>
      <w:r>
        <w:rPr/>
        <w:t>partir</w:t>
      </w:r>
      <w:r>
        <w:rPr>
          <w:spacing w:val="-35"/>
        </w:rPr>
        <w:t> </w:t>
      </w:r>
      <w:r>
        <w:rPr/>
        <w:t>de</w:t>
      </w:r>
      <w:r>
        <w:rPr>
          <w:spacing w:val="-35"/>
        </w:rPr>
        <w:t> </w:t>
      </w:r>
      <w:r>
        <w:rPr/>
        <w:t>1º </w:t>
      </w:r>
      <w:r>
        <w:rPr>
          <w:w w:val="105"/>
        </w:rPr>
        <w:t>de</w:t>
      </w:r>
      <w:r>
        <w:rPr>
          <w:spacing w:val="-25"/>
          <w:w w:val="105"/>
        </w:rPr>
        <w:t> </w:t>
      </w:r>
      <w:r>
        <w:rPr>
          <w:w w:val="105"/>
        </w:rPr>
        <w:t>Janeiro</w:t>
      </w:r>
      <w:r>
        <w:rPr>
          <w:spacing w:val="-25"/>
          <w:w w:val="105"/>
        </w:rPr>
        <w:t> </w:t>
      </w:r>
      <w:r>
        <w:rPr>
          <w:w w:val="105"/>
        </w:rPr>
        <w:t>de</w:t>
      </w:r>
      <w:r>
        <w:rPr>
          <w:spacing w:val="-24"/>
          <w:w w:val="105"/>
        </w:rPr>
        <w:t> </w:t>
      </w:r>
      <w:r>
        <w:rPr>
          <w:w w:val="105"/>
        </w:rPr>
        <w:t>2012,</w:t>
      </w:r>
      <w:r>
        <w:rPr>
          <w:spacing w:val="-24"/>
          <w:w w:val="105"/>
        </w:rPr>
        <w:t> </w:t>
      </w:r>
      <w:r>
        <w:rPr>
          <w:w w:val="105"/>
        </w:rPr>
        <w:t>alterando</w:t>
      </w:r>
      <w:r>
        <w:rPr>
          <w:spacing w:val="-25"/>
          <w:w w:val="105"/>
        </w:rPr>
        <w:t> </w:t>
      </w:r>
      <w:r>
        <w:rPr>
          <w:w w:val="105"/>
        </w:rPr>
        <w:t>as</w:t>
      </w:r>
      <w:r>
        <w:rPr>
          <w:spacing w:val="-25"/>
          <w:w w:val="105"/>
        </w:rPr>
        <w:t> </w:t>
      </w:r>
      <w:r>
        <w:rPr>
          <w:w w:val="105"/>
        </w:rPr>
        <w:t>tabelas</w:t>
      </w:r>
      <w:r>
        <w:rPr>
          <w:spacing w:val="-24"/>
          <w:w w:val="105"/>
        </w:rPr>
        <w:t> </w:t>
      </w:r>
      <w:r>
        <w:rPr>
          <w:w w:val="105"/>
        </w:rPr>
        <w:t>I</w:t>
      </w:r>
      <w:r>
        <w:rPr>
          <w:spacing w:val="-24"/>
          <w:w w:val="105"/>
        </w:rPr>
        <w:t> </w:t>
      </w:r>
      <w:r>
        <w:rPr>
          <w:w w:val="105"/>
        </w:rPr>
        <w:t>e</w:t>
      </w:r>
      <w:r>
        <w:rPr>
          <w:spacing w:val="-24"/>
          <w:w w:val="105"/>
        </w:rPr>
        <w:t> </w:t>
      </w:r>
      <w:r>
        <w:rPr>
          <w:w w:val="105"/>
        </w:rPr>
        <w:t>XVI</w:t>
      </w:r>
      <w:r>
        <w:rPr>
          <w:spacing w:val="-24"/>
          <w:w w:val="105"/>
        </w:rPr>
        <w:t> </w:t>
      </w:r>
      <w:r>
        <w:rPr>
          <w:w w:val="105"/>
        </w:rPr>
        <w:t>do</w:t>
      </w:r>
      <w:r>
        <w:rPr>
          <w:spacing w:val="-24"/>
          <w:w w:val="105"/>
        </w:rPr>
        <w:t> </w:t>
      </w:r>
      <w:r>
        <w:rPr>
          <w:w w:val="105"/>
        </w:rPr>
        <w:t>Manual</w:t>
      </w:r>
      <w:r>
        <w:rPr>
          <w:spacing w:val="-24"/>
          <w:w w:val="105"/>
        </w:rPr>
        <w:t> </w:t>
      </w:r>
      <w:r>
        <w:rPr>
          <w:w w:val="105"/>
        </w:rPr>
        <w:t>de</w:t>
      </w:r>
      <w:r>
        <w:rPr>
          <w:spacing w:val="-26"/>
          <w:w w:val="105"/>
        </w:rPr>
        <w:t> </w:t>
      </w:r>
      <w:r>
        <w:rPr>
          <w:w w:val="105"/>
        </w:rPr>
        <w:t>Controle</w:t>
      </w:r>
      <w:r>
        <w:rPr>
          <w:spacing w:val="-25"/>
          <w:w w:val="105"/>
        </w:rPr>
        <w:t> </w:t>
      </w:r>
      <w:r>
        <w:rPr>
          <w:w w:val="105"/>
        </w:rPr>
        <w:t>Patrimonial</w:t>
      </w:r>
      <w:r>
        <w:rPr>
          <w:spacing w:val="-24"/>
          <w:w w:val="105"/>
        </w:rPr>
        <w:t> </w:t>
      </w:r>
      <w:r>
        <w:rPr>
          <w:w w:val="105"/>
        </w:rPr>
        <w:t>do</w:t>
      </w:r>
      <w:r>
        <w:rPr>
          <w:spacing w:val="-25"/>
          <w:w w:val="105"/>
        </w:rPr>
        <w:t> </w:t>
      </w:r>
      <w:r>
        <w:rPr>
          <w:w w:val="105"/>
        </w:rPr>
        <w:t>Setor</w:t>
      </w:r>
      <w:r>
        <w:rPr>
          <w:spacing w:val="-26"/>
          <w:w w:val="105"/>
        </w:rPr>
        <w:t> </w:t>
      </w:r>
      <w:r>
        <w:rPr>
          <w:w w:val="105"/>
        </w:rPr>
        <w:t>Elétrico</w:t>
      </w:r>
      <w:r>
        <w:rPr>
          <w:spacing w:val="-16"/>
          <w:w w:val="105"/>
        </w:rPr>
        <w:t> </w:t>
      </w:r>
      <w:r>
        <w:rPr>
          <w:w w:val="105"/>
        </w:rPr>
        <w:t>–</w:t>
      </w:r>
      <w:r>
        <w:rPr>
          <w:spacing w:val="-24"/>
          <w:w w:val="105"/>
        </w:rPr>
        <w:t> </w:t>
      </w:r>
      <w:r>
        <w:rPr>
          <w:w w:val="105"/>
        </w:rPr>
        <w:t>MCPSE, aprovado</w:t>
      </w:r>
      <w:r>
        <w:rPr>
          <w:spacing w:val="-22"/>
          <w:w w:val="105"/>
        </w:rPr>
        <w:t> </w:t>
      </w:r>
      <w:r>
        <w:rPr>
          <w:w w:val="105"/>
        </w:rPr>
        <w:t>pela</w:t>
      </w:r>
      <w:r>
        <w:rPr>
          <w:spacing w:val="-22"/>
          <w:w w:val="105"/>
        </w:rPr>
        <w:t> </w:t>
      </w:r>
      <w:r>
        <w:rPr>
          <w:w w:val="105"/>
        </w:rPr>
        <w:t>Resolução</w:t>
      </w:r>
      <w:r>
        <w:rPr>
          <w:spacing w:val="-23"/>
          <w:w w:val="105"/>
        </w:rPr>
        <w:t> </w:t>
      </w:r>
      <w:r>
        <w:rPr>
          <w:w w:val="105"/>
        </w:rPr>
        <w:t>Normativa</w:t>
      </w:r>
      <w:r>
        <w:rPr>
          <w:spacing w:val="-22"/>
          <w:w w:val="105"/>
        </w:rPr>
        <w:t> </w:t>
      </w:r>
      <w:r>
        <w:rPr>
          <w:w w:val="105"/>
        </w:rPr>
        <w:t>nº</w:t>
      </w:r>
      <w:r>
        <w:rPr>
          <w:spacing w:val="-19"/>
          <w:w w:val="105"/>
        </w:rPr>
        <w:t> </w:t>
      </w:r>
      <w:r>
        <w:rPr>
          <w:w w:val="105"/>
        </w:rPr>
        <w:t>367/2009.</w:t>
      </w:r>
    </w:p>
    <w:p>
      <w:pPr>
        <w:pStyle w:val="BodyText"/>
        <w:spacing w:before="8"/>
      </w:pPr>
    </w:p>
    <w:p>
      <w:pPr>
        <w:pStyle w:val="BodyText"/>
        <w:spacing w:line="242" w:lineRule="auto"/>
        <w:ind w:left="192" w:right="614"/>
        <w:jc w:val="both"/>
      </w:pPr>
      <w:r>
        <w:rPr/>
        <w:t>Na</w:t>
      </w:r>
      <w:r>
        <w:rPr>
          <w:spacing w:val="-41"/>
        </w:rPr>
        <w:t> </w:t>
      </w:r>
      <w:r>
        <w:rPr/>
        <w:t>Investco</w:t>
      </w:r>
      <w:r>
        <w:rPr>
          <w:spacing w:val="-42"/>
        </w:rPr>
        <w:t> </w:t>
      </w:r>
      <w:r>
        <w:rPr/>
        <w:t>S.A.,</w:t>
      </w:r>
      <w:r>
        <w:rPr>
          <w:spacing w:val="-41"/>
        </w:rPr>
        <w:t> </w:t>
      </w:r>
      <w:r>
        <w:rPr/>
        <w:t>as</w:t>
      </w:r>
      <w:r>
        <w:rPr>
          <w:spacing w:val="-41"/>
        </w:rPr>
        <w:t> </w:t>
      </w:r>
      <w:r>
        <w:rPr/>
        <w:t>taxas</w:t>
      </w:r>
      <w:r>
        <w:rPr>
          <w:spacing w:val="-41"/>
        </w:rPr>
        <w:t> </w:t>
      </w:r>
      <w:r>
        <w:rPr/>
        <w:t>de</w:t>
      </w:r>
      <w:r>
        <w:rPr>
          <w:spacing w:val="-41"/>
        </w:rPr>
        <w:t> </w:t>
      </w:r>
      <w:r>
        <w:rPr/>
        <w:t>depreciação</w:t>
      </w:r>
      <w:r>
        <w:rPr>
          <w:spacing w:val="-42"/>
        </w:rPr>
        <w:t> </w:t>
      </w:r>
      <w:r>
        <w:rPr/>
        <w:t>refletem</w:t>
      </w:r>
      <w:r>
        <w:rPr>
          <w:spacing w:val="-41"/>
        </w:rPr>
        <w:t> </w:t>
      </w:r>
      <w:r>
        <w:rPr/>
        <w:t>a</w:t>
      </w:r>
      <w:r>
        <w:rPr>
          <w:spacing w:val="-41"/>
        </w:rPr>
        <w:t> </w:t>
      </w:r>
      <w:r>
        <w:rPr/>
        <w:t>vida</w:t>
      </w:r>
      <w:r>
        <w:rPr>
          <w:spacing w:val="-40"/>
        </w:rPr>
        <w:t> </w:t>
      </w:r>
      <w:r>
        <w:rPr/>
        <w:t>útil</w:t>
      </w:r>
      <w:r>
        <w:rPr>
          <w:spacing w:val="-41"/>
        </w:rPr>
        <w:t> </w:t>
      </w:r>
      <w:r>
        <w:rPr/>
        <w:t>dos</w:t>
      </w:r>
      <w:r>
        <w:rPr>
          <w:spacing w:val="-41"/>
        </w:rPr>
        <w:t> </w:t>
      </w:r>
      <w:r>
        <w:rPr/>
        <w:t>ativos</w:t>
      </w:r>
      <w:r>
        <w:rPr>
          <w:spacing w:val="-41"/>
        </w:rPr>
        <w:t> </w:t>
      </w:r>
      <w:r>
        <w:rPr/>
        <w:t>e</w:t>
      </w:r>
      <w:r>
        <w:rPr>
          <w:spacing w:val="-42"/>
        </w:rPr>
        <w:t> </w:t>
      </w:r>
      <w:r>
        <w:rPr/>
        <w:t>são</w:t>
      </w:r>
      <w:r>
        <w:rPr>
          <w:spacing w:val="-42"/>
        </w:rPr>
        <w:t> </w:t>
      </w:r>
      <w:r>
        <w:rPr/>
        <w:t>as</w:t>
      </w:r>
      <w:r>
        <w:rPr>
          <w:spacing w:val="-40"/>
        </w:rPr>
        <w:t> </w:t>
      </w:r>
      <w:r>
        <w:rPr/>
        <w:t>utilizadas</w:t>
      </w:r>
      <w:r>
        <w:rPr>
          <w:spacing w:val="-41"/>
        </w:rPr>
        <w:t> </w:t>
      </w:r>
      <w:r>
        <w:rPr/>
        <w:t>para</w:t>
      </w:r>
      <w:r>
        <w:rPr>
          <w:spacing w:val="-41"/>
        </w:rPr>
        <w:t> </w:t>
      </w:r>
      <w:r>
        <w:rPr/>
        <w:t>a</w:t>
      </w:r>
      <w:r>
        <w:rPr>
          <w:spacing w:val="-41"/>
        </w:rPr>
        <w:t> </w:t>
      </w:r>
      <w:r>
        <w:rPr/>
        <w:t>depreciação</w:t>
      </w:r>
      <w:r>
        <w:rPr>
          <w:spacing w:val="-42"/>
        </w:rPr>
        <w:t> </w:t>
      </w:r>
      <w:r>
        <w:rPr/>
        <w:t>dos</w:t>
      </w:r>
      <w:r>
        <w:rPr>
          <w:spacing w:val="-41"/>
        </w:rPr>
        <w:t> </w:t>
      </w:r>
      <w:r>
        <w:rPr/>
        <w:t>seus ativos</w:t>
      </w:r>
      <w:r>
        <w:rPr>
          <w:spacing w:val="-48"/>
        </w:rPr>
        <w:t> </w:t>
      </w:r>
      <w:r>
        <w:rPr/>
        <w:t>imobilizados.</w:t>
      </w:r>
      <w:r>
        <w:rPr>
          <w:spacing w:val="-46"/>
        </w:rPr>
        <w:t> </w:t>
      </w:r>
      <w:r>
        <w:rPr/>
        <w:t>O</w:t>
      </w:r>
      <w:r>
        <w:rPr>
          <w:spacing w:val="-47"/>
        </w:rPr>
        <w:t> </w:t>
      </w:r>
      <w:r>
        <w:rPr/>
        <w:t>valor</w:t>
      </w:r>
      <w:r>
        <w:rPr>
          <w:spacing w:val="-48"/>
        </w:rPr>
        <w:t> </w:t>
      </w:r>
      <w:r>
        <w:rPr/>
        <w:t>residual</w:t>
      </w:r>
      <w:r>
        <w:rPr>
          <w:spacing w:val="-46"/>
        </w:rPr>
        <w:t> </w:t>
      </w:r>
      <w:r>
        <w:rPr/>
        <w:t>é</w:t>
      </w:r>
      <w:r>
        <w:rPr>
          <w:spacing w:val="-48"/>
        </w:rPr>
        <w:t> </w:t>
      </w:r>
      <w:r>
        <w:rPr/>
        <w:t>o</w:t>
      </w:r>
      <w:r>
        <w:rPr>
          <w:spacing w:val="-47"/>
        </w:rPr>
        <w:t> </w:t>
      </w:r>
      <w:r>
        <w:rPr/>
        <w:t>saldo</w:t>
      </w:r>
      <w:r>
        <w:rPr>
          <w:spacing w:val="-47"/>
        </w:rPr>
        <w:t> </w:t>
      </w:r>
      <w:r>
        <w:rPr/>
        <w:t>remanescente</w:t>
      </w:r>
      <w:r>
        <w:rPr>
          <w:spacing w:val="-48"/>
        </w:rPr>
        <w:t> </w:t>
      </w:r>
      <w:r>
        <w:rPr/>
        <w:t>do</w:t>
      </w:r>
      <w:r>
        <w:rPr>
          <w:spacing w:val="-47"/>
        </w:rPr>
        <w:t> </w:t>
      </w:r>
      <w:r>
        <w:rPr/>
        <w:t>ativo</w:t>
      </w:r>
      <w:r>
        <w:rPr>
          <w:spacing w:val="-48"/>
        </w:rPr>
        <w:t> </w:t>
      </w:r>
      <w:r>
        <w:rPr/>
        <w:t>ao</w:t>
      </w:r>
      <w:r>
        <w:rPr>
          <w:spacing w:val="-47"/>
        </w:rPr>
        <w:t> </w:t>
      </w:r>
      <w:r>
        <w:rPr/>
        <w:t>final</w:t>
      </w:r>
      <w:r>
        <w:rPr>
          <w:spacing w:val="-47"/>
        </w:rPr>
        <w:t> </w:t>
      </w:r>
      <w:r>
        <w:rPr/>
        <w:t>da</w:t>
      </w:r>
      <w:r>
        <w:rPr>
          <w:spacing w:val="-47"/>
        </w:rPr>
        <w:t> </w:t>
      </w:r>
      <w:r>
        <w:rPr/>
        <w:t>concessão,</w:t>
      </w:r>
      <w:r>
        <w:rPr>
          <w:spacing w:val="-47"/>
        </w:rPr>
        <w:t> </w:t>
      </w:r>
      <w:r>
        <w:rPr/>
        <w:t>conforme</w:t>
      </w:r>
      <w:r>
        <w:rPr>
          <w:spacing w:val="-47"/>
        </w:rPr>
        <w:t> </w:t>
      </w:r>
      <w:r>
        <w:rPr/>
        <w:t>estabelecido</w:t>
      </w:r>
      <w:r>
        <w:rPr>
          <w:spacing w:val="-47"/>
        </w:rPr>
        <w:t> </w:t>
      </w:r>
      <w:r>
        <w:rPr/>
        <w:t>em contrato</w:t>
      </w:r>
      <w:r>
        <w:rPr>
          <w:spacing w:val="-28"/>
        </w:rPr>
        <w:t> </w:t>
      </w:r>
      <w:r>
        <w:rPr/>
        <w:t>firmado</w:t>
      </w:r>
      <w:r>
        <w:rPr>
          <w:spacing w:val="-28"/>
        </w:rPr>
        <w:t> </w:t>
      </w:r>
      <w:r>
        <w:rPr/>
        <w:t>entre</w:t>
      </w:r>
      <w:r>
        <w:rPr>
          <w:spacing w:val="-29"/>
        </w:rPr>
        <w:t> </w:t>
      </w:r>
      <w:r>
        <w:rPr/>
        <w:t>a</w:t>
      </w:r>
      <w:r>
        <w:rPr>
          <w:spacing w:val="-26"/>
        </w:rPr>
        <w:t> </w:t>
      </w:r>
      <w:r>
        <w:rPr/>
        <w:t>Geradora</w:t>
      </w:r>
      <w:r>
        <w:rPr>
          <w:spacing w:val="-27"/>
        </w:rPr>
        <w:t> </w:t>
      </w:r>
      <w:r>
        <w:rPr/>
        <w:t>e</w:t>
      </w:r>
      <w:r>
        <w:rPr>
          <w:spacing w:val="-30"/>
        </w:rPr>
        <w:t> </w:t>
      </w:r>
      <w:r>
        <w:rPr/>
        <w:t>a</w:t>
      </w:r>
      <w:r>
        <w:rPr>
          <w:spacing w:val="-27"/>
        </w:rPr>
        <w:t> </w:t>
      </w:r>
      <w:r>
        <w:rPr/>
        <w:t>União.</w:t>
      </w:r>
      <w:r>
        <w:rPr>
          <w:spacing w:val="-28"/>
        </w:rPr>
        <w:t> </w:t>
      </w:r>
      <w:r>
        <w:rPr/>
        <w:t>Ao</w:t>
      </w:r>
      <w:r>
        <w:rPr>
          <w:spacing w:val="-27"/>
        </w:rPr>
        <w:t> </w:t>
      </w:r>
      <w:r>
        <w:rPr/>
        <w:t>final</w:t>
      </w:r>
      <w:r>
        <w:rPr>
          <w:spacing w:val="-29"/>
        </w:rPr>
        <w:t> </w:t>
      </w:r>
      <w:r>
        <w:rPr/>
        <w:t>da</w:t>
      </w:r>
      <w:r>
        <w:rPr>
          <w:spacing w:val="-26"/>
        </w:rPr>
        <w:t> </w:t>
      </w:r>
      <w:r>
        <w:rPr/>
        <w:t>concessão</w:t>
      </w:r>
      <w:r>
        <w:rPr>
          <w:spacing w:val="-28"/>
        </w:rPr>
        <w:t> </w:t>
      </w:r>
      <w:r>
        <w:rPr/>
        <w:t>os</w:t>
      </w:r>
      <w:r>
        <w:rPr>
          <w:spacing w:val="-28"/>
        </w:rPr>
        <w:t> </w:t>
      </w:r>
      <w:r>
        <w:rPr/>
        <w:t>ativos</w:t>
      </w:r>
      <w:r>
        <w:rPr>
          <w:spacing w:val="-29"/>
        </w:rPr>
        <w:t> </w:t>
      </w:r>
      <w:r>
        <w:rPr/>
        <w:t>serão</w:t>
      </w:r>
      <w:r>
        <w:rPr>
          <w:spacing w:val="-28"/>
        </w:rPr>
        <w:t> </w:t>
      </w:r>
      <w:r>
        <w:rPr/>
        <w:t>revertidos</w:t>
      </w:r>
      <w:r>
        <w:rPr>
          <w:spacing w:val="-29"/>
        </w:rPr>
        <w:t> </w:t>
      </w:r>
      <w:r>
        <w:rPr/>
        <w:t>para</w:t>
      </w:r>
      <w:r>
        <w:rPr>
          <w:spacing w:val="-26"/>
        </w:rPr>
        <w:t> </w:t>
      </w:r>
      <w:r>
        <w:rPr/>
        <w:t>a</w:t>
      </w:r>
      <w:r>
        <w:rPr>
          <w:spacing w:val="-29"/>
        </w:rPr>
        <w:t> </w:t>
      </w:r>
      <w:r>
        <w:rPr/>
        <w:t>União</w:t>
      </w:r>
      <w:r>
        <w:rPr>
          <w:spacing w:val="-28"/>
        </w:rPr>
        <w:t> </w:t>
      </w:r>
      <w:r>
        <w:rPr/>
        <w:t>que,</w:t>
      </w:r>
      <w:r>
        <w:rPr>
          <w:spacing w:val="-26"/>
        </w:rPr>
        <w:t> </w:t>
      </w:r>
      <w:r>
        <w:rPr/>
        <w:t>por sua</w:t>
      </w:r>
      <w:r>
        <w:rPr>
          <w:spacing w:val="-42"/>
        </w:rPr>
        <w:t> </w:t>
      </w:r>
      <w:r>
        <w:rPr/>
        <w:t>vez,</w:t>
      </w:r>
      <w:r>
        <w:rPr>
          <w:spacing w:val="-41"/>
        </w:rPr>
        <w:t> </w:t>
      </w:r>
      <w:r>
        <w:rPr/>
        <w:t>indenizará</w:t>
      </w:r>
      <w:r>
        <w:rPr>
          <w:spacing w:val="-42"/>
        </w:rPr>
        <w:t> </w:t>
      </w:r>
      <w:r>
        <w:rPr/>
        <w:t>a</w:t>
      </w:r>
      <w:r>
        <w:rPr>
          <w:spacing w:val="-41"/>
        </w:rPr>
        <w:t> </w:t>
      </w:r>
      <w:r>
        <w:rPr/>
        <w:t>Geradora</w:t>
      </w:r>
      <w:r>
        <w:rPr>
          <w:spacing w:val="-42"/>
        </w:rPr>
        <w:t> </w:t>
      </w:r>
      <w:r>
        <w:rPr/>
        <w:t>pelos</w:t>
      </w:r>
      <w:r>
        <w:rPr>
          <w:spacing w:val="-42"/>
        </w:rPr>
        <w:t> </w:t>
      </w:r>
      <w:r>
        <w:rPr/>
        <w:t>ativos</w:t>
      </w:r>
      <w:r>
        <w:rPr>
          <w:spacing w:val="-42"/>
        </w:rPr>
        <w:t> </w:t>
      </w:r>
      <w:r>
        <w:rPr/>
        <w:t>ainda</w:t>
      </w:r>
      <w:r>
        <w:rPr>
          <w:spacing w:val="-41"/>
        </w:rPr>
        <w:t> </w:t>
      </w:r>
      <w:r>
        <w:rPr/>
        <w:t>não</w:t>
      </w:r>
      <w:r>
        <w:rPr>
          <w:spacing w:val="-41"/>
        </w:rPr>
        <w:t> </w:t>
      </w:r>
      <w:r>
        <w:rPr/>
        <w:t>totalmente</w:t>
      </w:r>
      <w:r>
        <w:rPr>
          <w:spacing w:val="-41"/>
        </w:rPr>
        <w:t> </w:t>
      </w:r>
      <w:r>
        <w:rPr/>
        <w:t>depreciados.</w:t>
      </w:r>
      <w:r>
        <w:rPr>
          <w:spacing w:val="-42"/>
        </w:rPr>
        <w:t> </w:t>
      </w:r>
      <w:r>
        <w:rPr/>
        <w:t>A</w:t>
      </w:r>
      <w:r>
        <w:rPr>
          <w:spacing w:val="-42"/>
        </w:rPr>
        <w:t> </w:t>
      </w:r>
      <w:r>
        <w:rPr/>
        <w:t>Administração</w:t>
      </w:r>
      <w:r>
        <w:rPr>
          <w:spacing w:val="-41"/>
        </w:rPr>
        <w:t> </w:t>
      </w:r>
      <w:r>
        <w:rPr/>
        <w:t>entende</w:t>
      </w:r>
      <w:r>
        <w:rPr>
          <w:spacing w:val="-41"/>
        </w:rPr>
        <w:t> </w:t>
      </w:r>
      <w:r>
        <w:rPr/>
        <w:t>que</w:t>
      </w:r>
      <w:r>
        <w:rPr>
          <w:spacing w:val="-42"/>
        </w:rPr>
        <w:t> </w:t>
      </w:r>
      <w:r>
        <w:rPr/>
        <w:t>existe</w:t>
      </w:r>
      <w:r>
        <w:rPr>
          <w:spacing w:val="-41"/>
        </w:rPr>
        <w:t> </w:t>
      </w:r>
      <w:r>
        <w:rPr/>
        <w:t>o direito</w:t>
      </w:r>
      <w:r>
        <w:rPr>
          <w:spacing w:val="-8"/>
        </w:rPr>
        <w:t> </w:t>
      </w:r>
      <w:r>
        <w:rPr/>
        <w:t>à</w:t>
      </w:r>
      <w:r>
        <w:rPr>
          <w:spacing w:val="-5"/>
        </w:rPr>
        <w:t> </w:t>
      </w:r>
      <w:r>
        <w:rPr/>
        <w:t>indenização</w:t>
      </w:r>
      <w:r>
        <w:rPr>
          <w:spacing w:val="-7"/>
        </w:rPr>
        <w:t> </w:t>
      </w:r>
      <w:r>
        <w:rPr/>
        <w:t>do</w:t>
      </w:r>
      <w:r>
        <w:rPr>
          <w:spacing w:val="-6"/>
        </w:rPr>
        <w:t> </w:t>
      </w:r>
      <w:r>
        <w:rPr/>
        <w:t>valor</w:t>
      </w:r>
      <w:r>
        <w:rPr>
          <w:spacing w:val="-7"/>
        </w:rPr>
        <w:t> </w:t>
      </w:r>
      <w:r>
        <w:rPr/>
        <w:t>residual</w:t>
      </w:r>
      <w:r>
        <w:rPr>
          <w:spacing w:val="-7"/>
        </w:rPr>
        <w:t> </w:t>
      </w:r>
      <w:r>
        <w:rPr/>
        <w:t>dos</w:t>
      </w:r>
      <w:r>
        <w:rPr>
          <w:spacing w:val="-6"/>
        </w:rPr>
        <w:t> </w:t>
      </w:r>
      <w:r>
        <w:rPr/>
        <w:t>bens</w:t>
      </w:r>
      <w:r>
        <w:rPr>
          <w:spacing w:val="-6"/>
        </w:rPr>
        <w:t> </w:t>
      </w:r>
      <w:r>
        <w:rPr/>
        <w:t>vinculados</w:t>
      </w:r>
      <w:r>
        <w:rPr>
          <w:spacing w:val="-7"/>
        </w:rPr>
        <w:t> </w:t>
      </w:r>
      <w:r>
        <w:rPr/>
        <w:t>e</w:t>
      </w:r>
      <w:r>
        <w:rPr>
          <w:spacing w:val="-8"/>
        </w:rPr>
        <w:t> </w:t>
      </w:r>
      <w:r>
        <w:rPr/>
        <w:t>reversíveis,</w:t>
      </w:r>
      <w:r>
        <w:rPr>
          <w:spacing w:val="-6"/>
        </w:rPr>
        <w:t> </w:t>
      </w:r>
      <w:r>
        <w:rPr/>
        <w:t>suportada</w:t>
      </w:r>
      <w:r>
        <w:rPr>
          <w:spacing w:val="-6"/>
        </w:rPr>
        <w:t> </w:t>
      </w:r>
      <w:r>
        <w:rPr/>
        <w:t>por</w:t>
      </w:r>
      <w:r>
        <w:rPr>
          <w:spacing w:val="-8"/>
        </w:rPr>
        <w:t> </w:t>
      </w:r>
      <w:r>
        <w:rPr/>
        <w:t>seus</w:t>
      </w:r>
      <w:r>
        <w:rPr>
          <w:spacing w:val="-6"/>
        </w:rPr>
        <w:t> </w:t>
      </w:r>
      <w:r>
        <w:rPr/>
        <w:t>assessores</w:t>
      </w:r>
      <w:r>
        <w:rPr>
          <w:spacing w:val="-6"/>
        </w:rPr>
        <w:t> </w:t>
      </w:r>
      <w:r>
        <w:rPr/>
        <w:t>legais</w:t>
      </w:r>
      <w:r>
        <w:rPr>
          <w:spacing w:val="-7"/>
        </w:rPr>
        <w:t> </w:t>
      </w:r>
      <w:r>
        <w:rPr/>
        <w:t>e considerando</w:t>
      </w:r>
      <w:r>
        <w:rPr>
          <w:spacing w:val="-16"/>
        </w:rPr>
        <w:t> </w:t>
      </w:r>
      <w:r>
        <w:rPr/>
        <w:t>os</w:t>
      </w:r>
      <w:r>
        <w:rPr>
          <w:spacing w:val="-15"/>
        </w:rPr>
        <w:t> </w:t>
      </w:r>
      <w:r>
        <w:rPr/>
        <w:t>fatos</w:t>
      </w:r>
      <w:r>
        <w:rPr>
          <w:spacing w:val="-15"/>
        </w:rPr>
        <w:t> </w:t>
      </w:r>
      <w:r>
        <w:rPr/>
        <w:t>e</w:t>
      </w:r>
      <w:r>
        <w:rPr>
          <w:spacing w:val="-16"/>
        </w:rPr>
        <w:t> </w:t>
      </w:r>
      <w:r>
        <w:rPr/>
        <w:t>circunstâncias</w:t>
      </w:r>
      <w:r>
        <w:rPr>
          <w:spacing w:val="-16"/>
        </w:rPr>
        <w:t> </w:t>
      </w:r>
      <w:r>
        <w:rPr/>
        <w:t>disponíveis</w:t>
      </w:r>
      <w:r>
        <w:rPr>
          <w:spacing w:val="-15"/>
        </w:rPr>
        <w:t> </w:t>
      </w:r>
      <w:r>
        <w:rPr/>
        <w:t>no</w:t>
      </w:r>
      <w:r>
        <w:rPr>
          <w:spacing w:val="-14"/>
        </w:rPr>
        <w:t> </w:t>
      </w:r>
      <w:r>
        <w:rPr/>
        <w:t>momento.</w:t>
      </w:r>
      <w:r>
        <w:rPr>
          <w:spacing w:val="-17"/>
        </w:rPr>
        <w:t> </w:t>
      </w:r>
      <w:r>
        <w:rPr/>
        <w:t>Eventuais</w:t>
      </w:r>
      <w:r>
        <w:rPr>
          <w:spacing w:val="-16"/>
        </w:rPr>
        <w:t> </w:t>
      </w:r>
      <w:r>
        <w:rPr/>
        <w:t>alterações</w:t>
      </w:r>
      <w:r>
        <w:rPr>
          <w:spacing w:val="-16"/>
        </w:rPr>
        <w:t> </w:t>
      </w:r>
      <w:r>
        <w:rPr/>
        <w:t>serão</w:t>
      </w:r>
      <w:r>
        <w:rPr>
          <w:spacing w:val="-15"/>
        </w:rPr>
        <w:t> </w:t>
      </w:r>
      <w:r>
        <w:rPr/>
        <w:t>acompanhadas,</w:t>
      </w:r>
      <w:r>
        <w:rPr>
          <w:spacing w:val="-16"/>
        </w:rPr>
        <w:t> </w:t>
      </w:r>
      <w:r>
        <w:rPr/>
        <w:t>bem como</w:t>
      </w:r>
      <w:r>
        <w:rPr>
          <w:spacing w:val="-20"/>
        </w:rPr>
        <w:t> </w:t>
      </w:r>
      <w:r>
        <w:rPr/>
        <w:t>analisados</w:t>
      </w:r>
      <w:r>
        <w:rPr>
          <w:spacing w:val="-18"/>
        </w:rPr>
        <w:t> </w:t>
      </w:r>
      <w:r>
        <w:rPr/>
        <w:t>os</w:t>
      </w:r>
      <w:r>
        <w:rPr>
          <w:spacing w:val="-19"/>
        </w:rPr>
        <w:t> </w:t>
      </w:r>
      <w:r>
        <w:rPr/>
        <w:t>seus</w:t>
      </w:r>
      <w:r>
        <w:rPr>
          <w:spacing w:val="-18"/>
        </w:rPr>
        <w:t> </w:t>
      </w:r>
      <w:r>
        <w:rPr/>
        <w:t>impactos,</w:t>
      </w:r>
      <w:r>
        <w:rPr>
          <w:spacing w:val="-19"/>
        </w:rPr>
        <w:t> </w:t>
      </w:r>
      <w:r>
        <w:rPr/>
        <w:t>se</w:t>
      </w:r>
      <w:r>
        <w:rPr>
          <w:spacing w:val="-17"/>
        </w:rPr>
        <w:t> </w:t>
      </w:r>
      <w:r>
        <w:rPr/>
        <w:t>existentes.</w:t>
      </w:r>
    </w:p>
    <w:p>
      <w:pPr>
        <w:pStyle w:val="BodyText"/>
        <w:spacing w:before="6"/>
      </w:pPr>
    </w:p>
    <w:p>
      <w:pPr>
        <w:pStyle w:val="BodyText"/>
        <w:spacing w:line="242" w:lineRule="auto"/>
        <w:ind w:left="192" w:right="612"/>
        <w:jc w:val="both"/>
      </w:pPr>
      <w:r>
        <w:rPr/>
        <w:t>Os</w:t>
      </w:r>
      <w:r>
        <w:rPr>
          <w:spacing w:val="-18"/>
        </w:rPr>
        <w:t> </w:t>
      </w:r>
      <w:r>
        <w:rPr/>
        <w:t>métodos</w:t>
      </w:r>
      <w:r>
        <w:rPr>
          <w:spacing w:val="-17"/>
        </w:rPr>
        <w:t> </w:t>
      </w:r>
      <w:r>
        <w:rPr/>
        <w:t>de</w:t>
      </w:r>
      <w:r>
        <w:rPr>
          <w:spacing w:val="-18"/>
        </w:rPr>
        <w:t> </w:t>
      </w:r>
      <w:r>
        <w:rPr/>
        <w:t>depreciação,</w:t>
      </w:r>
      <w:r>
        <w:rPr>
          <w:spacing w:val="-16"/>
        </w:rPr>
        <w:t> </w:t>
      </w:r>
      <w:r>
        <w:rPr/>
        <w:t>as</w:t>
      </w:r>
      <w:r>
        <w:rPr>
          <w:spacing w:val="-18"/>
        </w:rPr>
        <w:t> </w:t>
      </w:r>
      <w:r>
        <w:rPr/>
        <w:t>vidas</w:t>
      </w:r>
      <w:r>
        <w:rPr>
          <w:spacing w:val="-13"/>
        </w:rPr>
        <w:t> </w:t>
      </w:r>
      <w:r>
        <w:rPr/>
        <w:t>úteis</w:t>
      </w:r>
      <w:r>
        <w:rPr>
          <w:spacing w:val="-17"/>
        </w:rPr>
        <w:t> </w:t>
      </w:r>
      <w:r>
        <w:rPr/>
        <w:t>e</w:t>
      </w:r>
      <w:r>
        <w:rPr>
          <w:spacing w:val="-17"/>
        </w:rPr>
        <w:t> </w:t>
      </w:r>
      <w:r>
        <w:rPr/>
        <w:t>os</w:t>
      </w:r>
      <w:r>
        <w:rPr>
          <w:spacing w:val="-17"/>
        </w:rPr>
        <w:t> </w:t>
      </w:r>
      <w:r>
        <w:rPr/>
        <w:t>valores</w:t>
      </w:r>
      <w:r>
        <w:rPr>
          <w:spacing w:val="-16"/>
        </w:rPr>
        <w:t> </w:t>
      </w:r>
      <w:r>
        <w:rPr/>
        <w:t>residuais</w:t>
      </w:r>
      <w:r>
        <w:rPr>
          <w:spacing w:val="-17"/>
        </w:rPr>
        <w:t> </w:t>
      </w:r>
      <w:r>
        <w:rPr/>
        <w:t>serão</w:t>
      </w:r>
      <w:r>
        <w:rPr>
          <w:spacing w:val="-16"/>
        </w:rPr>
        <w:t> </w:t>
      </w:r>
      <w:r>
        <w:rPr/>
        <w:t>revistos</w:t>
      </w:r>
      <w:r>
        <w:rPr>
          <w:spacing w:val="-17"/>
        </w:rPr>
        <w:t> </w:t>
      </w:r>
      <w:r>
        <w:rPr/>
        <w:t>a</w:t>
      </w:r>
      <w:r>
        <w:rPr>
          <w:spacing w:val="-17"/>
        </w:rPr>
        <w:t> </w:t>
      </w:r>
      <w:r>
        <w:rPr/>
        <w:t>cada</w:t>
      </w:r>
      <w:r>
        <w:rPr>
          <w:spacing w:val="-17"/>
        </w:rPr>
        <w:t> </w:t>
      </w:r>
      <w:r>
        <w:rPr/>
        <w:t>encerramento</w:t>
      </w:r>
      <w:r>
        <w:rPr>
          <w:spacing w:val="-18"/>
        </w:rPr>
        <w:t> </w:t>
      </w:r>
      <w:r>
        <w:rPr/>
        <w:t>de</w:t>
      </w:r>
      <w:r>
        <w:rPr>
          <w:spacing w:val="-17"/>
        </w:rPr>
        <w:t> </w:t>
      </w:r>
      <w:r>
        <w:rPr/>
        <w:t>exercício financeiro</w:t>
      </w:r>
      <w:r>
        <w:rPr>
          <w:spacing w:val="-34"/>
        </w:rPr>
        <w:t> </w:t>
      </w:r>
      <w:r>
        <w:rPr/>
        <w:t>e</w:t>
      </w:r>
      <w:r>
        <w:rPr>
          <w:spacing w:val="-34"/>
        </w:rPr>
        <w:t> </w:t>
      </w:r>
      <w:r>
        <w:rPr/>
        <w:t>eventuais</w:t>
      </w:r>
      <w:r>
        <w:rPr>
          <w:spacing w:val="-35"/>
        </w:rPr>
        <w:t> </w:t>
      </w:r>
      <w:r>
        <w:rPr/>
        <w:t>ajustes</w:t>
      </w:r>
      <w:r>
        <w:rPr>
          <w:spacing w:val="-35"/>
        </w:rPr>
        <w:t> </w:t>
      </w:r>
      <w:r>
        <w:rPr/>
        <w:t>são</w:t>
      </w:r>
      <w:r>
        <w:rPr>
          <w:spacing w:val="-35"/>
        </w:rPr>
        <w:t> </w:t>
      </w:r>
      <w:r>
        <w:rPr/>
        <w:t>reconhecidos</w:t>
      </w:r>
      <w:r>
        <w:rPr>
          <w:spacing w:val="-35"/>
        </w:rPr>
        <w:t> </w:t>
      </w:r>
      <w:r>
        <w:rPr/>
        <w:t>como</w:t>
      </w:r>
      <w:r>
        <w:rPr>
          <w:spacing w:val="-35"/>
        </w:rPr>
        <w:t> </w:t>
      </w:r>
      <w:r>
        <w:rPr/>
        <w:t>mudança</w:t>
      </w:r>
      <w:r>
        <w:rPr>
          <w:spacing w:val="-35"/>
        </w:rPr>
        <w:t> </w:t>
      </w:r>
      <w:r>
        <w:rPr/>
        <w:t>de</w:t>
      </w:r>
      <w:r>
        <w:rPr>
          <w:spacing w:val="-34"/>
        </w:rPr>
        <w:t> </w:t>
      </w:r>
      <w:r>
        <w:rPr/>
        <w:t>estimativas</w:t>
      </w:r>
      <w:r>
        <w:rPr>
          <w:spacing w:val="-35"/>
        </w:rPr>
        <w:t> </w:t>
      </w:r>
      <w:r>
        <w:rPr/>
        <w:t>contábeis</w:t>
      </w:r>
      <w:r>
        <w:rPr>
          <w:spacing w:val="-35"/>
        </w:rPr>
        <w:t> </w:t>
      </w:r>
      <w:r>
        <w:rPr/>
        <w:t>(Nota</w:t>
      </w:r>
      <w:r>
        <w:rPr>
          <w:spacing w:val="-35"/>
        </w:rPr>
        <w:t> </w:t>
      </w:r>
      <w:r>
        <w:rPr/>
        <w:t>Explicativa</w:t>
      </w:r>
      <w:r>
        <w:rPr>
          <w:spacing w:val="-34"/>
        </w:rPr>
        <w:t> </w:t>
      </w:r>
      <w:r>
        <w:rPr/>
        <w:t>nº</w:t>
      </w:r>
      <w:r>
        <w:rPr>
          <w:spacing w:val="-34"/>
        </w:rPr>
        <w:t> </w:t>
      </w:r>
      <w:r>
        <w:rPr/>
        <w:t>15).</w:t>
      </w:r>
    </w:p>
    <w:p>
      <w:pPr>
        <w:pStyle w:val="BodyText"/>
        <w:spacing w:before="7"/>
      </w:pPr>
    </w:p>
    <w:p>
      <w:pPr>
        <w:pStyle w:val="Heading5"/>
        <w:numPr>
          <w:ilvl w:val="3"/>
          <w:numId w:val="9"/>
        </w:numPr>
        <w:tabs>
          <w:tab w:pos="1325" w:val="left" w:leader="none"/>
          <w:tab w:pos="1326" w:val="left" w:leader="none"/>
        </w:tabs>
        <w:spacing w:line="240" w:lineRule="auto" w:before="0" w:after="0"/>
        <w:ind w:left="1326" w:right="0" w:hanging="1134"/>
        <w:jc w:val="left"/>
      </w:pPr>
      <w:r>
        <w:rPr/>
        <w:t>Amortização de ativos</w:t>
      </w:r>
      <w:r>
        <w:rPr>
          <w:spacing w:val="-4"/>
        </w:rPr>
        <w:t> </w:t>
      </w:r>
      <w:r>
        <w:rPr/>
        <w:t>intangíveis</w:t>
      </w:r>
    </w:p>
    <w:p>
      <w:pPr>
        <w:pStyle w:val="BodyText"/>
        <w:spacing w:before="10"/>
        <w:rPr>
          <w:rFonts w:ascii="Caladea"/>
          <w:b/>
          <w:sz w:val="23"/>
        </w:rPr>
      </w:pPr>
    </w:p>
    <w:p>
      <w:pPr>
        <w:pStyle w:val="BodyText"/>
        <w:spacing w:line="242" w:lineRule="auto"/>
        <w:ind w:left="192" w:right="599"/>
        <w:jc w:val="both"/>
      </w:pPr>
      <w:r>
        <w:rPr/>
        <w:t>A</w:t>
      </w:r>
      <w:r>
        <w:rPr>
          <w:spacing w:val="-30"/>
        </w:rPr>
        <w:t> </w:t>
      </w:r>
      <w:r>
        <w:rPr/>
        <w:t>amortização</w:t>
      </w:r>
      <w:r>
        <w:rPr>
          <w:spacing w:val="-30"/>
        </w:rPr>
        <w:t> </w:t>
      </w:r>
      <w:r>
        <w:rPr/>
        <w:t>é</w:t>
      </w:r>
      <w:r>
        <w:rPr>
          <w:spacing w:val="-31"/>
        </w:rPr>
        <w:t> </w:t>
      </w:r>
      <w:r>
        <w:rPr/>
        <w:t>reconhecida</w:t>
      </w:r>
      <w:r>
        <w:rPr>
          <w:spacing w:val="-30"/>
        </w:rPr>
        <w:t> </w:t>
      </w:r>
      <w:r>
        <w:rPr/>
        <w:t>no</w:t>
      </w:r>
      <w:r>
        <w:rPr>
          <w:spacing w:val="-30"/>
        </w:rPr>
        <w:t> </w:t>
      </w:r>
      <w:r>
        <w:rPr/>
        <w:t>resultado</w:t>
      </w:r>
      <w:r>
        <w:rPr>
          <w:spacing w:val="-30"/>
        </w:rPr>
        <w:t> </w:t>
      </w:r>
      <w:r>
        <w:rPr/>
        <w:t>baseando-se</w:t>
      </w:r>
      <w:r>
        <w:rPr>
          <w:spacing w:val="-30"/>
        </w:rPr>
        <w:t> </w:t>
      </w:r>
      <w:r>
        <w:rPr/>
        <w:t>no</w:t>
      </w:r>
      <w:r>
        <w:rPr>
          <w:spacing w:val="-30"/>
        </w:rPr>
        <w:t> </w:t>
      </w:r>
      <w:r>
        <w:rPr/>
        <w:t>método</w:t>
      </w:r>
      <w:r>
        <w:rPr>
          <w:spacing w:val="-30"/>
        </w:rPr>
        <w:t> </w:t>
      </w:r>
      <w:r>
        <w:rPr/>
        <w:t>linear</w:t>
      </w:r>
      <w:r>
        <w:rPr>
          <w:spacing w:val="-30"/>
        </w:rPr>
        <w:t> </w:t>
      </w:r>
      <w:r>
        <w:rPr/>
        <w:t>de</w:t>
      </w:r>
      <w:r>
        <w:rPr>
          <w:spacing w:val="-31"/>
        </w:rPr>
        <w:t> </w:t>
      </w:r>
      <w:r>
        <w:rPr/>
        <w:t>acordo</w:t>
      </w:r>
      <w:r>
        <w:rPr>
          <w:spacing w:val="-29"/>
        </w:rPr>
        <w:t> </w:t>
      </w:r>
      <w:r>
        <w:rPr/>
        <w:t>com</w:t>
      </w:r>
      <w:r>
        <w:rPr>
          <w:spacing w:val="-30"/>
        </w:rPr>
        <w:t> </w:t>
      </w:r>
      <w:r>
        <w:rPr/>
        <w:t>as</w:t>
      </w:r>
      <w:r>
        <w:rPr>
          <w:spacing w:val="-30"/>
        </w:rPr>
        <w:t> </w:t>
      </w:r>
      <w:r>
        <w:rPr/>
        <w:t>vidas</w:t>
      </w:r>
      <w:r>
        <w:rPr>
          <w:spacing w:val="-29"/>
        </w:rPr>
        <w:t> </w:t>
      </w:r>
      <w:r>
        <w:rPr/>
        <w:t>úteis</w:t>
      </w:r>
      <w:r>
        <w:rPr>
          <w:spacing w:val="-30"/>
        </w:rPr>
        <w:t> </w:t>
      </w:r>
      <w:r>
        <w:rPr/>
        <w:t>estimadas</w:t>
      </w:r>
      <w:r>
        <w:rPr>
          <w:spacing w:val="-30"/>
        </w:rPr>
        <w:t> </w:t>
      </w:r>
      <w:r>
        <w:rPr/>
        <w:t>de ativos</w:t>
      </w:r>
      <w:r>
        <w:rPr>
          <w:spacing w:val="-20"/>
        </w:rPr>
        <w:t> </w:t>
      </w:r>
      <w:r>
        <w:rPr/>
        <w:t>intangíveis,</w:t>
      </w:r>
      <w:r>
        <w:rPr>
          <w:spacing w:val="-20"/>
        </w:rPr>
        <w:t> </w:t>
      </w:r>
      <w:r>
        <w:rPr/>
        <w:t>a</w:t>
      </w:r>
      <w:r>
        <w:rPr>
          <w:spacing w:val="-20"/>
        </w:rPr>
        <w:t> </w:t>
      </w:r>
      <w:r>
        <w:rPr/>
        <w:t>partir</w:t>
      </w:r>
      <w:r>
        <w:rPr>
          <w:spacing w:val="-20"/>
        </w:rPr>
        <w:t> </w:t>
      </w:r>
      <w:r>
        <w:rPr/>
        <w:t>da</w:t>
      </w:r>
      <w:r>
        <w:rPr>
          <w:spacing w:val="-20"/>
        </w:rPr>
        <w:t> </w:t>
      </w:r>
      <w:r>
        <w:rPr/>
        <w:t>data</w:t>
      </w:r>
      <w:r>
        <w:rPr>
          <w:spacing w:val="-20"/>
        </w:rPr>
        <w:t> </w:t>
      </w:r>
      <w:r>
        <w:rPr/>
        <w:t>em</w:t>
      </w:r>
      <w:r>
        <w:rPr>
          <w:spacing w:val="-19"/>
        </w:rPr>
        <w:t> </w:t>
      </w:r>
      <w:r>
        <w:rPr/>
        <w:t>que</w:t>
      </w:r>
      <w:r>
        <w:rPr>
          <w:spacing w:val="-19"/>
        </w:rPr>
        <w:t> </w:t>
      </w:r>
      <w:r>
        <w:rPr/>
        <w:t>estes</w:t>
      </w:r>
      <w:r>
        <w:rPr>
          <w:spacing w:val="-17"/>
        </w:rPr>
        <w:t> </w:t>
      </w:r>
      <w:r>
        <w:rPr/>
        <w:t>estão</w:t>
      </w:r>
      <w:r>
        <w:rPr>
          <w:spacing w:val="-18"/>
        </w:rPr>
        <w:t> </w:t>
      </w:r>
      <w:r>
        <w:rPr/>
        <w:t>disponíveis</w:t>
      </w:r>
      <w:r>
        <w:rPr>
          <w:spacing w:val="-20"/>
        </w:rPr>
        <w:t> </w:t>
      </w:r>
      <w:r>
        <w:rPr/>
        <w:t>para</w:t>
      </w:r>
      <w:r>
        <w:rPr>
          <w:spacing w:val="-20"/>
        </w:rPr>
        <w:t> </w:t>
      </w:r>
      <w:r>
        <w:rPr/>
        <w:t>uso.</w:t>
      </w:r>
    </w:p>
    <w:p>
      <w:pPr>
        <w:pStyle w:val="BodyText"/>
        <w:spacing w:before="9"/>
      </w:pPr>
    </w:p>
    <w:p>
      <w:pPr>
        <w:pStyle w:val="BodyText"/>
        <w:spacing w:line="242" w:lineRule="auto"/>
        <w:ind w:left="192" w:right="606"/>
        <w:jc w:val="both"/>
      </w:pPr>
      <w:r>
        <w:rPr/>
        <w:t>Métodos</w:t>
      </w:r>
      <w:r>
        <w:rPr>
          <w:spacing w:val="-28"/>
        </w:rPr>
        <w:t> </w:t>
      </w:r>
      <w:r>
        <w:rPr/>
        <w:t>de</w:t>
      </w:r>
      <w:r>
        <w:rPr>
          <w:spacing w:val="-27"/>
        </w:rPr>
        <w:t> </w:t>
      </w:r>
      <w:r>
        <w:rPr/>
        <w:t>amortização,</w:t>
      </w:r>
      <w:r>
        <w:rPr>
          <w:spacing w:val="-28"/>
        </w:rPr>
        <w:t> </w:t>
      </w:r>
      <w:r>
        <w:rPr/>
        <w:t>vidas</w:t>
      </w:r>
      <w:r>
        <w:rPr>
          <w:spacing w:val="-28"/>
        </w:rPr>
        <w:t> </w:t>
      </w:r>
      <w:r>
        <w:rPr/>
        <w:t>úteis</w:t>
      </w:r>
      <w:r>
        <w:rPr>
          <w:spacing w:val="-26"/>
        </w:rPr>
        <w:t> </w:t>
      </w:r>
      <w:r>
        <w:rPr/>
        <w:t>e</w:t>
      </w:r>
      <w:r>
        <w:rPr>
          <w:spacing w:val="-29"/>
        </w:rPr>
        <w:t> </w:t>
      </w:r>
      <w:r>
        <w:rPr/>
        <w:t>valores</w:t>
      </w:r>
      <w:r>
        <w:rPr>
          <w:spacing w:val="-27"/>
        </w:rPr>
        <w:t> </w:t>
      </w:r>
      <w:r>
        <w:rPr/>
        <w:t>residuais</w:t>
      </w:r>
      <w:r>
        <w:rPr>
          <w:spacing w:val="-26"/>
        </w:rPr>
        <w:t> </w:t>
      </w:r>
      <w:r>
        <w:rPr/>
        <w:t>são</w:t>
      </w:r>
      <w:r>
        <w:rPr>
          <w:spacing w:val="-28"/>
        </w:rPr>
        <w:t> </w:t>
      </w:r>
      <w:r>
        <w:rPr/>
        <w:t>revistos</w:t>
      </w:r>
      <w:r>
        <w:rPr>
          <w:spacing w:val="-28"/>
        </w:rPr>
        <w:t> </w:t>
      </w:r>
      <w:r>
        <w:rPr/>
        <w:t>a</w:t>
      </w:r>
      <w:r>
        <w:rPr>
          <w:spacing w:val="-27"/>
        </w:rPr>
        <w:t> </w:t>
      </w:r>
      <w:r>
        <w:rPr/>
        <w:t>cada</w:t>
      </w:r>
      <w:r>
        <w:rPr>
          <w:spacing w:val="-28"/>
        </w:rPr>
        <w:t> </w:t>
      </w:r>
      <w:r>
        <w:rPr/>
        <w:t>encerramento</w:t>
      </w:r>
      <w:r>
        <w:rPr>
          <w:spacing w:val="-28"/>
        </w:rPr>
        <w:t> </w:t>
      </w:r>
      <w:r>
        <w:rPr/>
        <w:t>de</w:t>
      </w:r>
      <w:r>
        <w:rPr>
          <w:spacing w:val="-27"/>
        </w:rPr>
        <w:t> </w:t>
      </w:r>
      <w:r>
        <w:rPr/>
        <w:t>exercício</w:t>
      </w:r>
      <w:r>
        <w:rPr>
          <w:spacing w:val="-27"/>
        </w:rPr>
        <w:t> </w:t>
      </w:r>
      <w:r>
        <w:rPr/>
        <w:t>financeiro</w:t>
      </w:r>
      <w:r>
        <w:rPr>
          <w:spacing w:val="-28"/>
        </w:rPr>
        <w:t> </w:t>
      </w:r>
      <w:r>
        <w:rPr/>
        <w:t>e ajustados</w:t>
      </w:r>
      <w:r>
        <w:rPr>
          <w:spacing w:val="-19"/>
        </w:rPr>
        <w:t> </w:t>
      </w:r>
      <w:r>
        <w:rPr/>
        <w:t>caso</w:t>
      </w:r>
      <w:r>
        <w:rPr>
          <w:spacing w:val="-19"/>
        </w:rPr>
        <w:t> </w:t>
      </w:r>
      <w:r>
        <w:rPr/>
        <w:t>seja</w:t>
      </w:r>
      <w:r>
        <w:rPr>
          <w:spacing w:val="-19"/>
        </w:rPr>
        <w:t> </w:t>
      </w:r>
      <w:r>
        <w:rPr/>
        <w:t>adequado</w:t>
      </w:r>
      <w:r>
        <w:rPr>
          <w:spacing w:val="-19"/>
        </w:rPr>
        <w:t> </w:t>
      </w:r>
      <w:r>
        <w:rPr/>
        <w:t>(Nota</w:t>
      </w:r>
      <w:r>
        <w:rPr>
          <w:spacing w:val="-19"/>
        </w:rPr>
        <w:t> </w:t>
      </w:r>
      <w:r>
        <w:rPr/>
        <w:t>Explicativa</w:t>
      </w:r>
      <w:r>
        <w:rPr>
          <w:spacing w:val="-18"/>
        </w:rPr>
        <w:t> </w:t>
      </w:r>
      <w:r>
        <w:rPr/>
        <w:t>nº</w:t>
      </w:r>
      <w:r>
        <w:rPr>
          <w:spacing w:val="-18"/>
        </w:rPr>
        <w:t> </w:t>
      </w:r>
      <w:r>
        <w:rPr/>
        <w:t>16).</w:t>
      </w:r>
    </w:p>
    <w:p>
      <w:pPr>
        <w:pStyle w:val="BodyText"/>
        <w:spacing w:before="7"/>
      </w:pPr>
    </w:p>
    <w:p>
      <w:pPr>
        <w:pStyle w:val="ListParagraph"/>
        <w:numPr>
          <w:ilvl w:val="1"/>
          <w:numId w:val="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C</w:t>
      </w:r>
      <w:r>
        <w:rPr>
          <w:rFonts w:ascii="Caladea" w:hAnsi="Caladea"/>
          <w:b/>
          <w:sz w:val="18"/>
        </w:rPr>
        <w:t>ONSOLIDAÇÃO DAS </w:t>
      </w:r>
      <w:r>
        <w:rPr>
          <w:rFonts w:ascii="Caladea" w:hAnsi="Caladea"/>
          <w:b/>
          <w:sz w:val="22"/>
        </w:rPr>
        <w:t>D</w:t>
      </w:r>
      <w:r>
        <w:rPr>
          <w:rFonts w:ascii="Caladea" w:hAnsi="Caladea"/>
          <w:b/>
          <w:sz w:val="18"/>
        </w:rPr>
        <w:t>EMONSTRAÇÕES </w:t>
      </w:r>
      <w:r>
        <w:rPr>
          <w:rFonts w:ascii="Caladea" w:hAnsi="Caladea"/>
          <w:b/>
          <w:sz w:val="22"/>
        </w:rPr>
        <w:t>F</w:t>
      </w:r>
      <w:r>
        <w:rPr>
          <w:rFonts w:ascii="Caladea" w:hAnsi="Caladea"/>
          <w:b/>
          <w:sz w:val="18"/>
        </w:rPr>
        <w:t>INANCEIRAS E </w:t>
      </w:r>
      <w:r>
        <w:rPr>
          <w:rFonts w:ascii="Caladea" w:hAnsi="Caladea"/>
          <w:b/>
          <w:sz w:val="22"/>
        </w:rPr>
        <w:t>C</w:t>
      </w:r>
      <w:r>
        <w:rPr>
          <w:rFonts w:ascii="Caladea" w:hAnsi="Caladea"/>
          <w:b/>
          <w:sz w:val="18"/>
        </w:rPr>
        <w:t>ONTABILIZAÇÃO DE </w:t>
      </w:r>
      <w:r>
        <w:rPr>
          <w:rFonts w:ascii="Caladea" w:hAnsi="Caladea"/>
          <w:b/>
          <w:sz w:val="22"/>
        </w:rPr>
        <w:t>I</w:t>
      </w:r>
      <w:r>
        <w:rPr>
          <w:rFonts w:ascii="Caladea" w:hAnsi="Caladea"/>
          <w:b/>
          <w:sz w:val="18"/>
        </w:rPr>
        <w:t>NVESTIMENTOS</w:t>
      </w:r>
      <w:r>
        <w:rPr>
          <w:rFonts w:ascii="Caladea" w:hAnsi="Caladea"/>
          <w:b/>
          <w:spacing w:val="-12"/>
          <w:sz w:val="18"/>
        </w:rPr>
        <w:t> </w:t>
      </w:r>
      <w:r>
        <w:rPr>
          <w:rFonts w:ascii="Caladea" w:hAnsi="Caladea"/>
          <w:b/>
          <w:sz w:val="22"/>
        </w:rPr>
        <w:t>S</w:t>
      </w:r>
      <w:r>
        <w:rPr>
          <w:rFonts w:ascii="Caladea" w:hAnsi="Caladea"/>
          <w:b/>
          <w:sz w:val="18"/>
        </w:rPr>
        <w:t>OCIETÁRIOS</w:t>
      </w:r>
    </w:p>
    <w:p>
      <w:pPr>
        <w:pStyle w:val="BodyText"/>
        <w:spacing w:before="8"/>
        <w:rPr>
          <w:rFonts w:ascii="Caladea"/>
          <w:b/>
          <w:sz w:val="23"/>
        </w:rPr>
      </w:pPr>
    </w:p>
    <w:p>
      <w:pPr>
        <w:pStyle w:val="Heading5"/>
        <w:numPr>
          <w:ilvl w:val="2"/>
          <w:numId w:val="10"/>
        </w:numPr>
        <w:tabs>
          <w:tab w:pos="1045" w:val="left" w:leader="none"/>
          <w:tab w:pos="1046" w:val="left" w:leader="none"/>
        </w:tabs>
        <w:spacing w:line="240" w:lineRule="auto" w:before="0" w:after="0"/>
        <w:ind w:left="1045" w:right="0" w:hanging="854"/>
        <w:jc w:val="left"/>
      </w:pPr>
      <w:r>
        <w:rPr/>
        <w:t>Controladas</w:t>
      </w:r>
    </w:p>
    <w:p>
      <w:pPr>
        <w:pStyle w:val="BodyText"/>
        <w:spacing w:before="10"/>
        <w:rPr>
          <w:rFonts w:ascii="Caladea"/>
          <w:b/>
          <w:sz w:val="23"/>
        </w:rPr>
      </w:pPr>
    </w:p>
    <w:p>
      <w:pPr>
        <w:pStyle w:val="ListParagraph"/>
        <w:numPr>
          <w:ilvl w:val="3"/>
          <w:numId w:val="10"/>
        </w:numPr>
        <w:tabs>
          <w:tab w:pos="1325" w:val="left" w:leader="none"/>
          <w:tab w:pos="1326" w:val="left" w:leader="none"/>
        </w:tabs>
        <w:spacing w:line="240" w:lineRule="auto" w:before="0" w:after="0"/>
        <w:ind w:left="1326" w:right="0" w:hanging="1134"/>
        <w:jc w:val="left"/>
        <w:rPr>
          <w:rFonts w:ascii="Caladea" w:hAnsi="Caladea"/>
          <w:b/>
          <w:sz w:val="22"/>
        </w:rPr>
      </w:pPr>
      <w:r>
        <w:rPr>
          <w:rFonts w:ascii="Caladea" w:hAnsi="Caladea"/>
          <w:b/>
          <w:sz w:val="22"/>
        </w:rPr>
        <w:t>CEB Distribuição</w:t>
      </w:r>
      <w:r>
        <w:rPr>
          <w:rFonts w:ascii="Caladea" w:hAnsi="Caladea"/>
          <w:b/>
          <w:spacing w:val="-3"/>
          <w:sz w:val="22"/>
        </w:rPr>
        <w:t> </w:t>
      </w:r>
      <w:r>
        <w:rPr>
          <w:rFonts w:ascii="Caladea" w:hAnsi="Caladea"/>
          <w:b/>
          <w:sz w:val="22"/>
        </w:rPr>
        <w:t>S.A.</w:t>
      </w:r>
    </w:p>
    <w:p>
      <w:pPr>
        <w:pStyle w:val="BodyText"/>
        <w:spacing w:before="4"/>
        <w:rPr>
          <w:rFonts w:ascii="Caladea"/>
          <w:b/>
        </w:rPr>
      </w:pPr>
    </w:p>
    <w:p>
      <w:pPr>
        <w:pStyle w:val="BodyText"/>
        <w:spacing w:line="242" w:lineRule="auto"/>
        <w:ind w:left="192" w:right="603"/>
        <w:jc w:val="both"/>
      </w:pPr>
      <w:r>
        <w:rPr/>
        <w:t>A</w:t>
      </w:r>
      <w:r>
        <w:rPr>
          <w:spacing w:val="-8"/>
        </w:rPr>
        <w:t> </w:t>
      </w:r>
      <w:r>
        <w:rPr/>
        <w:t>CEB</w:t>
      </w:r>
      <w:r>
        <w:rPr>
          <w:spacing w:val="-8"/>
        </w:rPr>
        <w:t> </w:t>
      </w:r>
      <w:r>
        <w:rPr/>
        <w:t>Distribuição</w:t>
      </w:r>
      <w:r>
        <w:rPr>
          <w:spacing w:val="-8"/>
        </w:rPr>
        <w:t> </w:t>
      </w:r>
      <w:r>
        <w:rPr/>
        <w:t>S.A.</w:t>
      </w:r>
      <w:r>
        <w:rPr>
          <w:spacing w:val="-7"/>
        </w:rPr>
        <w:t> </w:t>
      </w:r>
      <w:r>
        <w:rPr/>
        <w:t>é</w:t>
      </w:r>
      <w:r>
        <w:rPr>
          <w:spacing w:val="-8"/>
        </w:rPr>
        <w:t> </w:t>
      </w:r>
      <w:r>
        <w:rPr/>
        <w:t>uma</w:t>
      </w:r>
      <w:r>
        <w:rPr>
          <w:spacing w:val="-8"/>
        </w:rPr>
        <w:t> </w:t>
      </w:r>
      <w:r>
        <w:rPr/>
        <w:t>sociedade</w:t>
      </w:r>
      <w:r>
        <w:rPr>
          <w:spacing w:val="-9"/>
        </w:rPr>
        <w:t> </w:t>
      </w:r>
      <w:r>
        <w:rPr/>
        <w:t>anônima</w:t>
      </w:r>
      <w:r>
        <w:rPr>
          <w:spacing w:val="-7"/>
        </w:rPr>
        <w:t> </w:t>
      </w:r>
      <w:r>
        <w:rPr/>
        <w:t>de</w:t>
      </w:r>
      <w:r>
        <w:rPr>
          <w:spacing w:val="-8"/>
        </w:rPr>
        <w:t> </w:t>
      </w:r>
      <w:r>
        <w:rPr/>
        <w:t>capital</w:t>
      </w:r>
      <w:r>
        <w:rPr>
          <w:spacing w:val="-7"/>
        </w:rPr>
        <w:t> </w:t>
      </w:r>
      <w:r>
        <w:rPr/>
        <w:t>fechado,</w:t>
      </w:r>
      <w:r>
        <w:rPr>
          <w:spacing w:val="-9"/>
        </w:rPr>
        <w:t> </w:t>
      </w:r>
      <w:r>
        <w:rPr/>
        <w:t>reorganizada</w:t>
      </w:r>
      <w:r>
        <w:rPr>
          <w:spacing w:val="-7"/>
        </w:rPr>
        <w:t> </w:t>
      </w:r>
      <w:r>
        <w:rPr/>
        <w:t>em</w:t>
      </w:r>
      <w:r>
        <w:rPr>
          <w:spacing w:val="-8"/>
        </w:rPr>
        <w:t> </w:t>
      </w:r>
      <w:r>
        <w:rPr/>
        <w:t>conformidade</w:t>
      </w:r>
      <w:r>
        <w:rPr>
          <w:spacing w:val="-9"/>
        </w:rPr>
        <w:t> </w:t>
      </w:r>
      <w:r>
        <w:rPr/>
        <w:t>com</w:t>
      </w:r>
      <w:r>
        <w:rPr>
          <w:spacing w:val="-8"/>
        </w:rPr>
        <w:t> </w:t>
      </w:r>
      <w:r>
        <w:rPr/>
        <w:t>a</w:t>
      </w:r>
      <w:r>
        <w:rPr>
          <w:spacing w:val="-8"/>
        </w:rPr>
        <w:t> </w:t>
      </w:r>
      <w:r>
        <w:rPr/>
        <w:t>Lei Distrital</w:t>
      </w:r>
      <w:r>
        <w:rPr>
          <w:spacing w:val="-23"/>
        </w:rPr>
        <w:t> </w:t>
      </w:r>
      <w:r>
        <w:rPr/>
        <w:t>n°</w:t>
      </w:r>
      <w:r>
        <w:rPr>
          <w:spacing w:val="-23"/>
        </w:rPr>
        <w:t> </w:t>
      </w:r>
      <w:r>
        <w:rPr/>
        <w:t>2.710,</w:t>
      </w:r>
      <w:r>
        <w:rPr>
          <w:spacing w:val="-25"/>
        </w:rPr>
        <w:t> </w:t>
      </w:r>
      <w:r>
        <w:rPr/>
        <w:t>de</w:t>
      </w:r>
      <w:r>
        <w:rPr>
          <w:spacing w:val="-24"/>
        </w:rPr>
        <w:t> </w:t>
      </w:r>
      <w:r>
        <w:rPr/>
        <w:t>24</w:t>
      </w:r>
      <w:r>
        <w:rPr>
          <w:spacing w:val="-23"/>
        </w:rPr>
        <w:t> </w:t>
      </w:r>
      <w:r>
        <w:rPr/>
        <w:t>de</w:t>
      </w:r>
      <w:r>
        <w:rPr>
          <w:spacing w:val="-22"/>
        </w:rPr>
        <w:t> </w:t>
      </w:r>
      <w:r>
        <w:rPr/>
        <w:t>maio</w:t>
      </w:r>
      <w:r>
        <w:rPr>
          <w:spacing w:val="-25"/>
        </w:rPr>
        <w:t> </w:t>
      </w:r>
      <w:r>
        <w:rPr/>
        <w:t>de</w:t>
      </w:r>
      <w:r>
        <w:rPr>
          <w:spacing w:val="-25"/>
        </w:rPr>
        <w:t> </w:t>
      </w:r>
      <w:r>
        <w:rPr/>
        <w:t>2001,</w:t>
      </w:r>
      <w:r>
        <w:rPr>
          <w:spacing w:val="-22"/>
        </w:rPr>
        <w:t> </w:t>
      </w:r>
      <w:r>
        <w:rPr/>
        <w:t>com</w:t>
      </w:r>
      <w:r>
        <w:rPr>
          <w:spacing w:val="-25"/>
        </w:rPr>
        <w:t> </w:t>
      </w:r>
      <w:r>
        <w:rPr/>
        <w:t>início</w:t>
      </w:r>
      <w:r>
        <w:rPr>
          <w:spacing w:val="-24"/>
        </w:rPr>
        <w:t> </w:t>
      </w:r>
      <w:r>
        <w:rPr/>
        <w:t>das</w:t>
      </w:r>
      <w:r>
        <w:rPr>
          <w:spacing w:val="-24"/>
        </w:rPr>
        <w:t> </w:t>
      </w:r>
      <w:r>
        <w:rPr/>
        <w:t>suas</w:t>
      </w:r>
      <w:r>
        <w:rPr>
          <w:spacing w:val="-24"/>
        </w:rPr>
        <w:t> </w:t>
      </w:r>
      <w:r>
        <w:rPr/>
        <w:t>atividades</w:t>
      </w:r>
      <w:r>
        <w:rPr>
          <w:spacing w:val="-23"/>
        </w:rPr>
        <w:t> </w:t>
      </w:r>
      <w:r>
        <w:rPr/>
        <w:t>em</w:t>
      </w:r>
      <w:r>
        <w:rPr>
          <w:spacing w:val="-23"/>
        </w:rPr>
        <w:t> </w:t>
      </w:r>
      <w:r>
        <w:rPr/>
        <w:t>12</w:t>
      </w:r>
      <w:r>
        <w:rPr>
          <w:spacing w:val="-23"/>
        </w:rPr>
        <w:t> </w:t>
      </w:r>
      <w:r>
        <w:rPr/>
        <w:t>de</w:t>
      </w:r>
      <w:r>
        <w:rPr>
          <w:spacing w:val="-24"/>
        </w:rPr>
        <w:t> </w:t>
      </w:r>
      <w:r>
        <w:rPr/>
        <w:t>janeiro</w:t>
      </w:r>
      <w:r>
        <w:rPr>
          <w:spacing w:val="-23"/>
        </w:rPr>
        <w:t> </w:t>
      </w:r>
      <w:r>
        <w:rPr/>
        <w:t>de</w:t>
      </w:r>
      <w:r>
        <w:rPr>
          <w:spacing w:val="-24"/>
        </w:rPr>
        <w:t> </w:t>
      </w:r>
      <w:r>
        <w:rPr/>
        <w:t>2006,</w:t>
      </w:r>
      <w:r>
        <w:rPr>
          <w:spacing w:val="-25"/>
        </w:rPr>
        <w:t> </w:t>
      </w:r>
      <w:r>
        <w:rPr/>
        <w:t>como</w:t>
      </w:r>
      <w:r>
        <w:rPr>
          <w:spacing w:val="-23"/>
        </w:rPr>
        <w:t> </w:t>
      </w:r>
      <w:r>
        <w:rPr/>
        <w:t>resultado do</w:t>
      </w:r>
      <w:r>
        <w:rPr>
          <w:spacing w:val="-41"/>
        </w:rPr>
        <w:t> </w:t>
      </w:r>
      <w:r>
        <w:rPr/>
        <w:t>processo</w:t>
      </w:r>
      <w:r>
        <w:rPr>
          <w:spacing w:val="-41"/>
        </w:rPr>
        <w:t> </w:t>
      </w:r>
      <w:r>
        <w:rPr/>
        <w:t>de</w:t>
      </w:r>
      <w:r>
        <w:rPr>
          <w:spacing w:val="-40"/>
        </w:rPr>
        <w:t> </w:t>
      </w:r>
      <w:r>
        <w:rPr/>
        <w:t>desverticalização</w:t>
      </w:r>
      <w:r>
        <w:rPr>
          <w:spacing w:val="-41"/>
        </w:rPr>
        <w:t> </w:t>
      </w:r>
      <w:r>
        <w:rPr/>
        <w:t>das</w:t>
      </w:r>
      <w:r>
        <w:rPr>
          <w:spacing w:val="-41"/>
        </w:rPr>
        <w:t> </w:t>
      </w:r>
      <w:r>
        <w:rPr/>
        <w:t>atividades</w:t>
      </w:r>
      <w:r>
        <w:rPr>
          <w:spacing w:val="-42"/>
        </w:rPr>
        <w:t> </w:t>
      </w:r>
      <w:r>
        <w:rPr/>
        <w:t>de</w:t>
      </w:r>
      <w:r>
        <w:rPr>
          <w:spacing w:val="-40"/>
        </w:rPr>
        <w:t> </w:t>
      </w:r>
      <w:r>
        <w:rPr/>
        <w:t>distribuição</w:t>
      </w:r>
      <w:r>
        <w:rPr>
          <w:spacing w:val="-40"/>
        </w:rPr>
        <w:t> </w:t>
      </w:r>
      <w:r>
        <w:rPr/>
        <w:t>e</w:t>
      </w:r>
      <w:r>
        <w:rPr>
          <w:spacing w:val="-41"/>
        </w:rPr>
        <w:t> </w:t>
      </w:r>
      <w:r>
        <w:rPr/>
        <w:t>geração</w:t>
      </w:r>
      <w:r>
        <w:rPr>
          <w:spacing w:val="-41"/>
        </w:rPr>
        <w:t> </w:t>
      </w:r>
      <w:r>
        <w:rPr/>
        <w:t>da</w:t>
      </w:r>
      <w:r>
        <w:rPr>
          <w:spacing w:val="-39"/>
        </w:rPr>
        <w:t> </w:t>
      </w:r>
      <w:r>
        <w:rPr/>
        <w:t>Companhia</w:t>
      </w:r>
      <w:r>
        <w:rPr>
          <w:spacing w:val="-41"/>
        </w:rPr>
        <w:t> </w:t>
      </w:r>
      <w:r>
        <w:rPr/>
        <w:t>Energética</w:t>
      </w:r>
      <w:r>
        <w:rPr>
          <w:spacing w:val="-40"/>
        </w:rPr>
        <w:t> </w:t>
      </w:r>
      <w:r>
        <w:rPr/>
        <w:t>de</w:t>
      </w:r>
      <w:r>
        <w:rPr>
          <w:spacing w:val="-40"/>
        </w:rPr>
        <w:t> </w:t>
      </w:r>
      <w:r>
        <w:rPr/>
        <w:t>Brasília</w:t>
      </w:r>
      <w:r>
        <w:rPr>
          <w:spacing w:val="-40"/>
        </w:rPr>
        <w:t> </w:t>
      </w:r>
      <w:r>
        <w:rPr>
          <w:w w:val="105"/>
        </w:rPr>
        <w:t>–</w:t>
      </w:r>
      <w:r>
        <w:rPr>
          <w:spacing w:val="-43"/>
          <w:w w:val="105"/>
        </w:rPr>
        <w:t> </w:t>
      </w:r>
      <w:r>
        <w:rPr/>
        <w:t>CEB.</w:t>
      </w:r>
    </w:p>
    <w:p>
      <w:pPr>
        <w:pStyle w:val="BodyText"/>
        <w:spacing w:before="3"/>
      </w:pPr>
    </w:p>
    <w:p>
      <w:pPr>
        <w:pStyle w:val="BodyText"/>
        <w:spacing w:line="242" w:lineRule="auto"/>
        <w:ind w:left="192" w:right="617"/>
        <w:jc w:val="both"/>
      </w:pPr>
      <w:r>
        <w:rPr/>
        <w:t>A</w:t>
      </w:r>
      <w:r>
        <w:rPr>
          <w:spacing w:val="-15"/>
        </w:rPr>
        <w:t> </w:t>
      </w:r>
      <w:r>
        <w:rPr/>
        <w:t>CEB</w:t>
      </w:r>
      <w:r>
        <w:rPr>
          <w:spacing w:val="-15"/>
        </w:rPr>
        <w:t> </w:t>
      </w:r>
      <w:r>
        <w:rPr/>
        <w:t>DIS</w:t>
      </w:r>
      <w:r>
        <w:rPr>
          <w:spacing w:val="-15"/>
        </w:rPr>
        <w:t> </w:t>
      </w:r>
      <w:r>
        <w:rPr/>
        <w:t>é</w:t>
      </w:r>
      <w:r>
        <w:rPr>
          <w:spacing w:val="-16"/>
        </w:rPr>
        <w:t> </w:t>
      </w:r>
      <w:r>
        <w:rPr/>
        <w:t>uma</w:t>
      </w:r>
      <w:r>
        <w:rPr>
          <w:spacing w:val="-14"/>
        </w:rPr>
        <w:t> </w:t>
      </w:r>
      <w:r>
        <w:rPr/>
        <w:t>concessionária</w:t>
      </w:r>
      <w:r>
        <w:rPr>
          <w:spacing w:val="-15"/>
        </w:rPr>
        <w:t> </w:t>
      </w:r>
      <w:r>
        <w:rPr/>
        <w:t>do</w:t>
      </w:r>
      <w:r>
        <w:rPr>
          <w:spacing w:val="-15"/>
        </w:rPr>
        <w:t> </w:t>
      </w:r>
      <w:r>
        <w:rPr/>
        <w:t>serviço</w:t>
      </w:r>
      <w:r>
        <w:rPr>
          <w:spacing w:val="-13"/>
        </w:rPr>
        <w:t> </w:t>
      </w:r>
      <w:r>
        <w:rPr/>
        <w:t>público</w:t>
      </w:r>
      <w:r>
        <w:rPr>
          <w:spacing w:val="-15"/>
        </w:rPr>
        <w:t> </w:t>
      </w:r>
      <w:r>
        <w:rPr/>
        <w:t>de</w:t>
      </w:r>
      <w:r>
        <w:rPr>
          <w:spacing w:val="-14"/>
        </w:rPr>
        <w:t> </w:t>
      </w:r>
      <w:r>
        <w:rPr/>
        <w:t>energia</w:t>
      </w:r>
      <w:r>
        <w:rPr>
          <w:spacing w:val="-15"/>
        </w:rPr>
        <w:t> </w:t>
      </w:r>
      <w:r>
        <w:rPr/>
        <w:t>elétrica</w:t>
      </w:r>
      <w:r>
        <w:rPr>
          <w:spacing w:val="-14"/>
        </w:rPr>
        <w:t> </w:t>
      </w:r>
      <w:r>
        <w:rPr/>
        <w:t>e</w:t>
      </w:r>
      <w:r>
        <w:rPr>
          <w:spacing w:val="-14"/>
        </w:rPr>
        <w:t> </w:t>
      </w:r>
      <w:r>
        <w:rPr/>
        <w:t>tem</w:t>
      </w:r>
      <w:r>
        <w:rPr>
          <w:spacing w:val="-15"/>
        </w:rPr>
        <w:t> </w:t>
      </w:r>
      <w:r>
        <w:rPr/>
        <w:t>por</w:t>
      </w:r>
      <w:r>
        <w:rPr>
          <w:spacing w:val="-15"/>
        </w:rPr>
        <w:t> </w:t>
      </w:r>
      <w:r>
        <w:rPr/>
        <w:t>objeto</w:t>
      </w:r>
      <w:r>
        <w:rPr>
          <w:spacing w:val="-16"/>
        </w:rPr>
        <w:t> </w:t>
      </w:r>
      <w:r>
        <w:rPr/>
        <w:t>principal</w:t>
      </w:r>
      <w:r>
        <w:rPr>
          <w:spacing w:val="-14"/>
        </w:rPr>
        <w:t> </w:t>
      </w:r>
      <w:r>
        <w:rPr/>
        <w:t>a</w:t>
      </w:r>
      <w:r>
        <w:rPr>
          <w:spacing w:val="-15"/>
        </w:rPr>
        <w:t> </w:t>
      </w:r>
      <w:r>
        <w:rPr/>
        <w:t>distribuição</w:t>
      </w:r>
      <w:r>
        <w:rPr>
          <w:spacing w:val="-13"/>
        </w:rPr>
        <w:t> </w:t>
      </w:r>
      <w:r>
        <w:rPr/>
        <w:t>e comercialização</w:t>
      </w:r>
      <w:r>
        <w:rPr>
          <w:spacing w:val="-42"/>
        </w:rPr>
        <w:t> </w:t>
      </w:r>
      <w:r>
        <w:rPr/>
        <w:t>de</w:t>
      </w:r>
      <w:r>
        <w:rPr>
          <w:spacing w:val="-41"/>
        </w:rPr>
        <w:t> </w:t>
      </w:r>
      <w:r>
        <w:rPr/>
        <w:t>energia</w:t>
      </w:r>
      <w:r>
        <w:rPr>
          <w:spacing w:val="-41"/>
        </w:rPr>
        <w:t> </w:t>
      </w:r>
      <w:r>
        <w:rPr/>
        <w:t>elétrica,</w:t>
      </w:r>
      <w:r>
        <w:rPr>
          <w:spacing w:val="-41"/>
        </w:rPr>
        <w:t> </w:t>
      </w:r>
      <w:r>
        <w:rPr/>
        <w:t>assim</w:t>
      </w:r>
      <w:r>
        <w:rPr>
          <w:spacing w:val="-41"/>
        </w:rPr>
        <w:t> </w:t>
      </w:r>
      <w:r>
        <w:rPr/>
        <w:t>como</w:t>
      </w:r>
      <w:r>
        <w:rPr>
          <w:spacing w:val="-41"/>
        </w:rPr>
        <w:t> </w:t>
      </w:r>
      <w:r>
        <w:rPr/>
        <w:t>serviços</w:t>
      </w:r>
      <w:r>
        <w:rPr>
          <w:spacing w:val="-41"/>
        </w:rPr>
        <w:t> </w:t>
      </w:r>
      <w:r>
        <w:rPr/>
        <w:t>correlatos</w:t>
      </w:r>
      <w:r>
        <w:rPr>
          <w:spacing w:val="-41"/>
        </w:rPr>
        <w:t> </w:t>
      </w:r>
      <w:r>
        <w:rPr/>
        <w:t>que</w:t>
      </w:r>
      <w:r>
        <w:rPr>
          <w:spacing w:val="-41"/>
        </w:rPr>
        <w:t> </w:t>
      </w:r>
      <w:r>
        <w:rPr/>
        <w:t>lhe</w:t>
      </w:r>
      <w:r>
        <w:rPr>
          <w:spacing w:val="-42"/>
        </w:rPr>
        <w:t> </w:t>
      </w:r>
      <w:r>
        <w:rPr/>
        <w:t>venham</w:t>
      </w:r>
      <w:r>
        <w:rPr>
          <w:spacing w:val="-42"/>
        </w:rPr>
        <w:t> </w:t>
      </w:r>
      <w:r>
        <w:rPr/>
        <w:t>a</w:t>
      </w:r>
      <w:r>
        <w:rPr>
          <w:spacing w:val="-39"/>
        </w:rPr>
        <w:t> </w:t>
      </w:r>
      <w:r>
        <w:rPr/>
        <w:t>ser</w:t>
      </w:r>
      <w:r>
        <w:rPr>
          <w:spacing w:val="-41"/>
        </w:rPr>
        <w:t> </w:t>
      </w:r>
      <w:r>
        <w:rPr/>
        <w:t>concedidos</w:t>
      </w:r>
      <w:r>
        <w:rPr>
          <w:spacing w:val="-40"/>
        </w:rPr>
        <w:t> </w:t>
      </w:r>
      <w:r>
        <w:rPr/>
        <w:t>ou</w:t>
      </w:r>
      <w:r>
        <w:rPr>
          <w:spacing w:val="-40"/>
        </w:rPr>
        <w:t> </w:t>
      </w:r>
      <w:r>
        <w:rPr/>
        <w:t>autorizados por</w:t>
      </w:r>
      <w:r>
        <w:rPr>
          <w:spacing w:val="-19"/>
        </w:rPr>
        <w:t> </w:t>
      </w:r>
      <w:r>
        <w:rPr/>
        <w:t>qualquer</w:t>
      </w:r>
      <w:r>
        <w:rPr>
          <w:spacing w:val="-19"/>
        </w:rPr>
        <w:t> </w:t>
      </w:r>
      <w:r>
        <w:rPr/>
        <w:t>título</w:t>
      </w:r>
      <w:r>
        <w:rPr>
          <w:spacing w:val="-20"/>
        </w:rPr>
        <w:t> </w:t>
      </w:r>
      <w:r>
        <w:rPr/>
        <w:t>de</w:t>
      </w:r>
      <w:r>
        <w:rPr>
          <w:spacing w:val="-19"/>
        </w:rPr>
        <w:t> </w:t>
      </w:r>
      <w:r>
        <w:rPr/>
        <w:t>direito</w:t>
      </w:r>
      <w:r>
        <w:rPr>
          <w:spacing w:val="-21"/>
        </w:rPr>
        <w:t> </w:t>
      </w:r>
      <w:r>
        <w:rPr/>
        <w:t>e</w:t>
      </w:r>
      <w:r>
        <w:rPr>
          <w:spacing w:val="-18"/>
        </w:rPr>
        <w:t> </w:t>
      </w:r>
      <w:r>
        <w:rPr/>
        <w:t>atividades</w:t>
      </w:r>
      <w:r>
        <w:rPr>
          <w:spacing w:val="-20"/>
        </w:rPr>
        <w:t> </w:t>
      </w:r>
      <w:r>
        <w:rPr/>
        <w:t>associadas</w:t>
      </w:r>
      <w:r>
        <w:rPr>
          <w:spacing w:val="-20"/>
        </w:rPr>
        <w:t> </w:t>
      </w:r>
      <w:r>
        <w:rPr/>
        <w:t>no</w:t>
      </w:r>
      <w:r>
        <w:rPr>
          <w:spacing w:val="-17"/>
        </w:rPr>
        <w:t> </w:t>
      </w:r>
      <w:r>
        <w:rPr/>
        <w:t>Distrito</w:t>
      </w:r>
      <w:r>
        <w:rPr>
          <w:spacing w:val="-19"/>
        </w:rPr>
        <w:t> </w:t>
      </w:r>
      <w:r>
        <w:rPr/>
        <w:t>Federal.</w:t>
      </w:r>
    </w:p>
    <w:p>
      <w:pPr>
        <w:pStyle w:val="BodyText"/>
        <w:spacing w:before="3"/>
      </w:pPr>
    </w:p>
    <w:p>
      <w:pPr>
        <w:pStyle w:val="BodyText"/>
        <w:ind w:left="192"/>
        <w:jc w:val="both"/>
      </w:pPr>
      <w:r>
        <w:rPr/>
        <w:t>Apresenta-se a seguir os fatos julgados relevantes relativos à Distribuidora:</w:t>
      </w:r>
    </w:p>
    <w:p>
      <w:pPr>
        <w:pStyle w:val="BodyText"/>
        <w:spacing w:before="9"/>
      </w:pPr>
    </w:p>
    <w:p>
      <w:pPr>
        <w:pStyle w:val="Heading5"/>
        <w:numPr>
          <w:ilvl w:val="4"/>
          <w:numId w:val="10"/>
        </w:numPr>
        <w:tabs>
          <w:tab w:pos="901" w:val="left" w:leader="none"/>
          <w:tab w:pos="902" w:val="left" w:leader="none"/>
        </w:tabs>
        <w:spacing w:line="240" w:lineRule="auto" w:before="0" w:after="0"/>
        <w:ind w:left="901" w:right="0" w:hanging="568"/>
        <w:jc w:val="left"/>
      </w:pPr>
      <w:r>
        <w:rPr>
          <w:w w:val="105"/>
        </w:rPr>
        <w:t>Contrato</w:t>
      </w:r>
      <w:r>
        <w:rPr>
          <w:spacing w:val="-8"/>
          <w:w w:val="105"/>
        </w:rPr>
        <w:t> </w:t>
      </w:r>
      <w:r>
        <w:rPr>
          <w:w w:val="105"/>
        </w:rPr>
        <w:t>de</w:t>
      </w:r>
      <w:r>
        <w:rPr>
          <w:spacing w:val="-6"/>
          <w:w w:val="105"/>
        </w:rPr>
        <w:t> </w:t>
      </w:r>
      <w:r>
        <w:rPr>
          <w:w w:val="105"/>
        </w:rPr>
        <w:t>Concessão</w:t>
      </w:r>
      <w:r>
        <w:rPr>
          <w:spacing w:val="-8"/>
          <w:w w:val="105"/>
        </w:rPr>
        <w:t> </w:t>
      </w:r>
      <w:r>
        <w:rPr>
          <w:w w:val="105"/>
        </w:rPr>
        <w:t>nº</w:t>
      </w:r>
      <w:r>
        <w:rPr>
          <w:spacing w:val="-6"/>
          <w:w w:val="105"/>
        </w:rPr>
        <w:t> </w:t>
      </w:r>
      <w:r>
        <w:rPr>
          <w:w w:val="105"/>
        </w:rPr>
        <w:t>066/1999</w:t>
      </w:r>
      <w:r>
        <w:rPr>
          <w:spacing w:val="-7"/>
          <w:w w:val="105"/>
        </w:rPr>
        <w:t> </w:t>
      </w:r>
      <w:r>
        <w:rPr>
          <w:rFonts w:ascii="Trebuchet MS" w:hAnsi="Trebuchet MS"/>
          <w:w w:val="105"/>
        </w:rPr>
        <w:t>–</w:t>
      </w:r>
      <w:r>
        <w:rPr>
          <w:rFonts w:ascii="Trebuchet MS" w:hAnsi="Trebuchet MS"/>
          <w:spacing w:val="-26"/>
          <w:w w:val="105"/>
        </w:rPr>
        <w:t> </w:t>
      </w:r>
      <w:r>
        <w:rPr>
          <w:w w:val="105"/>
        </w:rPr>
        <w:t>ANEEL</w:t>
      </w:r>
      <w:r>
        <w:rPr>
          <w:spacing w:val="-6"/>
          <w:w w:val="105"/>
        </w:rPr>
        <w:t> </w:t>
      </w:r>
      <w:r>
        <w:rPr>
          <w:w w:val="105"/>
        </w:rPr>
        <w:t>(4º.</w:t>
      </w:r>
      <w:r>
        <w:rPr>
          <w:spacing w:val="-7"/>
          <w:w w:val="105"/>
        </w:rPr>
        <w:t> </w:t>
      </w:r>
      <w:r>
        <w:rPr>
          <w:w w:val="105"/>
        </w:rPr>
        <w:t>Termo</w:t>
      </w:r>
      <w:r>
        <w:rPr>
          <w:spacing w:val="-7"/>
          <w:w w:val="105"/>
        </w:rPr>
        <w:t> </w:t>
      </w:r>
      <w:r>
        <w:rPr>
          <w:w w:val="105"/>
        </w:rPr>
        <w:t>Aditivo)</w:t>
      </w:r>
    </w:p>
    <w:p>
      <w:pPr>
        <w:pStyle w:val="BodyText"/>
        <w:spacing w:before="4"/>
        <w:rPr>
          <w:rFonts w:ascii="Caladea"/>
          <w:b/>
        </w:rPr>
      </w:pPr>
    </w:p>
    <w:p>
      <w:pPr>
        <w:pStyle w:val="BodyText"/>
        <w:spacing w:line="242" w:lineRule="auto"/>
        <w:ind w:left="192" w:right="612"/>
        <w:jc w:val="both"/>
      </w:pPr>
      <w:r>
        <w:rPr/>
        <w:t>Em</w:t>
      </w:r>
      <w:r>
        <w:rPr>
          <w:spacing w:val="-25"/>
        </w:rPr>
        <w:t> </w:t>
      </w:r>
      <w:r>
        <w:rPr/>
        <w:t>9</w:t>
      </w:r>
      <w:r>
        <w:rPr>
          <w:spacing w:val="-23"/>
        </w:rPr>
        <w:t> </w:t>
      </w:r>
      <w:r>
        <w:rPr/>
        <w:t>de</w:t>
      </w:r>
      <w:r>
        <w:rPr>
          <w:spacing w:val="-24"/>
        </w:rPr>
        <w:t> </w:t>
      </w:r>
      <w:r>
        <w:rPr/>
        <w:t>dezembro</w:t>
      </w:r>
      <w:r>
        <w:rPr>
          <w:spacing w:val="-22"/>
        </w:rPr>
        <w:t> </w:t>
      </w:r>
      <w:r>
        <w:rPr/>
        <w:t>de</w:t>
      </w:r>
      <w:r>
        <w:rPr>
          <w:spacing w:val="-24"/>
        </w:rPr>
        <w:t> </w:t>
      </w:r>
      <w:r>
        <w:rPr/>
        <w:t>2015,</w:t>
      </w:r>
      <w:r>
        <w:rPr>
          <w:spacing w:val="-22"/>
        </w:rPr>
        <w:t> </w:t>
      </w:r>
      <w:r>
        <w:rPr/>
        <w:t>por</w:t>
      </w:r>
      <w:r>
        <w:rPr>
          <w:spacing w:val="-24"/>
        </w:rPr>
        <w:t> </w:t>
      </w:r>
      <w:r>
        <w:rPr/>
        <w:t>intermédio</w:t>
      </w:r>
      <w:r>
        <w:rPr>
          <w:spacing w:val="-19"/>
        </w:rPr>
        <w:t> </w:t>
      </w:r>
      <w:r>
        <w:rPr/>
        <w:t>do</w:t>
      </w:r>
      <w:r>
        <w:rPr>
          <w:spacing w:val="-23"/>
        </w:rPr>
        <w:t> </w:t>
      </w:r>
      <w:r>
        <w:rPr/>
        <w:t>Ministério</w:t>
      </w:r>
      <w:r>
        <w:rPr>
          <w:spacing w:val="-24"/>
        </w:rPr>
        <w:t> </w:t>
      </w:r>
      <w:r>
        <w:rPr/>
        <w:t>de</w:t>
      </w:r>
      <w:r>
        <w:rPr>
          <w:spacing w:val="-26"/>
        </w:rPr>
        <w:t> </w:t>
      </w:r>
      <w:r>
        <w:rPr/>
        <w:t>Minas</w:t>
      </w:r>
      <w:r>
        <w:rPr>
          <w:spacing w:val="-22"/>
        </w:rPr>
        <w:t> </w:t>
      </w:r>
      <w:r>
        <w:rPr/>
        <w:t>e</w:t>
      </w:r>
      <w:r>
        <w:rPr>
          <w:spacing w:val="-25"/>
        </w:rPr>
        <w:t> </w:t>
      </w:r>
      <w:r>
        <w:rPr/>
        <w:t>Energia,</w:t>
      </w:r>
      <w:r>
        <w:rPr>
          <w:spacing w:val="-23"/>
        </w:rPr>
        <w:t> </w:t>
      </w:r>
      <w:r>
        <w:rPr/>
        <w:t>foi</w:t>
      </w:r>
      <w:r>
        <w:rPr>
          <w:spacing w:val="-25"/>
        </w:rPr>
        <w:t> </w:t>
      </w:r>
      <w:r>
        <w:rPr/>
        <w:t>celebrado</w:t>
      </w:r>
      <w:r>
        <w:rPr>
          <w:spacing w:val="-23"/>
        </w:rPr>
        <w:t> </w:t>
      </w:r>
      <w:r>
        <w:rPr/>
        <w:t>o</w:t>
      </w:r>
      <w:r>
        <w:rPr>
          <w:spacing w:val="-23"/>
        </w:rPr>
        <w:t> </w:t>
      </w:r>
      <w:r>
        <w:rPr/>
        <w:t>Quarto</w:t>
      </w:r>
      <w:r>
        <w:rPr>
          <w:spacing w:val="-23"/>
        </w:rPr>
        <w:t> </w:t>
      </w:r>
      <w:r>
        <w:rPr/>
        <w:t>Termo</w:t>
      </w:r>
      <w:r>
        <w:rPr>
          <w:spacing w:val="-24"/>
        </w:rPr>
        <w:t> </w:t>
      </w:r>
      <w:r>
        <w:rPr/>
        <w:t>Aditivo ao</w:t>
      </w:r>
      <w:r>
        <w:rPr>
          <w:spacing w:val="-35"/>
        </w:rPr>
        <w:t> </w:t>
      </w:r>
      <w:r>
        <w:rPr/>
        <w:t>Contrato</w:t>
      </w:r>
      <w:r>
        <w:rPr>
          <w:spacing w:val="-34"/>
        </w:rPr>
        <w:t> </w:t>
      </w:r>
      <w:r>
        <w:rPr/>
        <w:t>de</w:t>
      </w:r>
      <w:r>
        <w:rPr>
          <w:spacing w:val="-36"/>
        </w:rPr>
        <w:t> </w:t>
      </w:r>
      <w:r>
        <w:rPr/>
        <w:t>Concessão</w:t>
      </w:r>
      <w:r>
        <w:rPr>
          <w:spacing w:val="-32"/>
        </w:rPr>
        <w:t> </w:t>
      </w:r>
      <w:r>
        <w:rPr/>
        <w:t>nº</w:t>
      </w:r>
      <w:r>
        <w:rPr>
          <w:spacing w:val="-32"/>
        </w:rPr>
        <w:t> </w:t>
      </w:r>
      <w:r>
        <w:rPr/>
        <w:t>066/1999</w:t>
      </w:r>
      <w:r>
        <w:rPr>
          <w:spacing w:val="-31"/>
        </w:rPr>
        <w:t> </w:t>
      </w:r>
      <w:r>
        <w:rPr/>
        <w:t>-</w:t>
      </w:r>
      <w:r>
        <w:rPr>
          <w:spacing w:val="-34"/>
        </w:rPr>
        <w:t> </w:t>
      </w:r>
      <w:r>
        <w:rPr/>
        <w:t>ANEEL,</w:t>
      </w:r>
      <w:r>
        <w:rPr>
          <w:spacing w:val="-32"/>
        </w:rPr>
        <w:t> </w:t>
      </w:r>
      <w:r>
        <w:rPr/>
        <w:t>que</w:t>
      </w:r>
      <w:r>
        <w:rPr>
          <w:spacing w:val="-33"/>
        </w:rPr>
        <w:t> </w:t>
      </w:r>
      <w:r>
        <w:rPr/>
        <w:t>prorrogou</w:t>
      </w:r>
      <w:r>
        <w:rPr>
          <w:spacing w:val="-33"/>
        </w:rPr>
        <w:t> </w:t>
      </w:r>
      <w:r>
        <w:rPr/>
        <w:t>a</w:t>
      </w:r>
      <w:r>
        <w:rPr>
          <w:spacing w:val="-33"/>
        </w:rPr>
        <w:t> </w:t>
      </w:r>
      <w:r>
        <w:rPr/>
        <w:t>Concessão</w:t>
      </w:r>
      <w:r>
        <w:rPr>
          <w:spacing w:val="-35"/>
        </w:rPr>
        <w:t> </w:t>
      </w:r>
      <w:r>
        <w:rPr/>
        <w:t>dos</w:t>
      </w:r>
      <w:r>
        <w:rPr>
          <w:spacing w:val="-32"/>
        </w:rPr>
        <w:t> </w:t>
      </w:r>
      <w:r>
        <w:rPr/>
        <w:t>Serviços</w:t>
      </w:r>
      <w:r>
        <w:rPr>
          <w:spacing w:val="-34"/>
        </w:rPr>
        <w:t> </w:t>
      </w:r>
      <w:r>
        <w:rPr/>
        <w:t>Públicos</w:t>
      </w:r>
      <w:r>
        <w:rPr>
          <w:spacing w:val="-34"/>
        </w:rPr>
        <w:t> </w:t>
      </w:r>
      <w:r>
        <w:rPr/>
        <w:t>de</w:t>
      </w:r>
      <w:r>
        <w:rPr>
          <w:spacing w:val="-35"/>
        </w:rPr>
        <w:t> </w:t>
      </w:r>
      <w:r>
        <w:rPr/>
        <w:t>Energia</w:t>
      </w:r>
      <w:r>
        <w:rPr>
          <w:spacing w:val="-34"/>
        </w:rPr>
        <w:t> </w:t>
      </w:r>
      <w:r>
        <w:rPr/>
        <w:t>Elétrica da</w:t>
      </w:r>
      <w:r>
        <w:rPr>
          <w:spacing w:val="-17"/>
        </w:rPr>
        <w:t> </w:t>
      </w:r>
      <w:r>
        <w:rPr/>
        <w:t>CEB</w:t>
      </w:r>
      <w:r>
        <w:rPr>
          <w:spacing w:val="-17"/>
        </w:rPr>
        <w:t> </w:t>
      </w:r>
      <w:r>
        <w:rPr/>
        <w:t>DIS</w:t>
      </w:r>
      <w:r>
        <w:rPr>
          <w:spacing w:val="-15"/>
        </w:rPr>
        <w:t> </w:t>
      </w:r>
      <w:r>
        <w:rPr/>
        <w:t>para</w:t>
      </w:r>
      <w:r>
        <w:rPr>
          <w:spacing w:val="-18"/>
        </w:rPr>
        <w:t> </w:t>
      </w:r>
      <w:r>
        <w:rPr/>
        <w:t>7</w:t>
      </w:r>
      <w:r>
        <w:rPr>
          <w:spacing w:val="-15"/>
        </w:rPr>
        <w:t> </w:t>
      </w:r>
      <w:r>
        <w:rPr/>
        <w:t>de</w:t>
      </w:r>
      <w:r>
        <w:rPr>
          <w:spacing w:val="-17"/>
        </w:rPr>
        <w:t> </w:t>
      </w:r>
      <w:r>
        <w:rPr/>
        <w:t>julho</w:t>
      </w:r>
      <w:r>
        <w:rPr>
          <w:spacing w:val="-18"/>
        </w:rPr>
        <w:t> </w:t>
      </w:r>
      <w:r>
        <w:rPr/>
        <w:t>de</w:t>
      </w:r>
      <w:r>
        <w:rPr>
          <w:spacing w:val="-19"/>
        </w:rPr>
        <w:t> </w:t>
      </w:r>
      <w:r>
        <w:rPr/>
        <w:t>2045.</w:t>
      </w:r>
    </w:p>
    <w:p>
      <w:pPr>
        <w:pStyle w:val="BodyText"/>
        <w:spacing w:before="2"/>
      </w:pPr>
    </w:p>
    <w:p>
      <w:pPr>
        <w:pStyle w:val="BodyText"/>
        <w:spacing w:line="242" w:lineRule="auto"/>
        <w:ind w:left="192" w:right="614"/>
        <w:jc w:val="both"/>
      </w:pPr>
      <w:r>
        <w:rPr/>
        <w:t>Por</w:t>
      </w:r>
      <w:r>
        <w:rPr>
          <w:spacing w:val="-27"/>
        </w:rPr>
        <w:t> </w:t>
      </w:r>
      <w:r>
        <w:rPr/>
        <w:t>esse</w:t>
      </w:r>
      <w:r>
        <w:rPr>
          <w:spacing w:val="-28"/>
        </w:rPr>
        <w:t> </w:t>
      </w:r>
      <w:r>
        <w:rPr/>
        <w:t>instrumento,</w:t>
      </w:r>
      <w:r>
        <w:rPr>
          <w:spacing w:val="-27"/>
        </w:rPr>
        <w:t> </w:t>
      </w:r>
      <w:r>
        <w:rPr/>
        <w:t>a</w:t>
      </w:r>
      <w:r>
        <w:rPr>
          <w:spacing w:val="-26"/>
        </w:rPr>
        <w:t> </w:t>
      </w:r>
      <w:r>
        <w:rPr/>
        <w:t>data</w:t>
      </w:r>
      <w:r>
        <w:rPr>
          <w:spacing w:val="-27"/>
        </w:rPr>
        <w:t> </w:t>
      </w:r>
      <w:r>
        <w:rPr/>
        <w:t>do</w:t>
      </w:r>
      <w:r>
        <w:rPr>
          <w:spacing w:val="-27"/>
        </w:rPr>
        <w:t> </w:t>
      </w:r>
      <w:r>
        <w:rPr/>
        <w:t>Reajuste</w:t>
      </w:r>
      <w:r>
        <w:rPr>
          <w:spacing w:val="-27"/>
        </w:rPr>
        <w:t> </w:t>
      </w:r>
      <w:r>
        <w:rPr/>
        <w:t>Tarifário</w:t>
      </w:r>
      <w:r>
        <w:rPr>
          <w:spacing w:val="-27"/>
        </w:rPr>
        <w:t> </w:t>
      </w:r>
      <w:r>
        <w:rPr/>
        <w:t>anual</w:t>
      </w:r>
      <w:r>
        <w:rPr>
          <w:spacing w:val="-27"/>
        </w:rPr>
        <w:t> </w:t>
      </w:r>
      <w:r>
        <w:rPr/>
        <w:t>da</w:t>
      </w:r>
      <w:r>
        <w:rPr>
          <w:spacing w:val="-26"/>
        </w:rPr>
        <w:t> </w:t>
      </w:r>
      <w:r>
        <w:rPr/>
        <w:t>CEB</w:t>
      </w:r>
      <w:r>
        <w:rPr>
          <w:spacing w:val="-27"/>
        </w:rPr>
        <w:t> </w:t>
      </w:r>
      <w:r>
        <w:rPr/>
        <w:t>DIS</w:t>
      </w:r>
      <w:r>
        <w:rPr>
          <w:spacing w:val="-27"/>
        </w:rPr>
        <w:t> </w:t>
      </w:r>
      <w:r>
        <w:rPr/>
        <w:t>foi</w:t>
      </w:r>
      <w:r>
        <w:rPr>
          <w:spacing w:val="-28"/>
        </w:rPr>
        <w:t> </w:t>
      </w:r>
      <w:r>
        <w:rPr/>
        <w:t>alterada</w:t>
      </w:r>
      <w:r>
        <w:rPr>
          <w:spacing w:val="-27"/>
        </w:rPr>
        <w:t> </w:t>
      </w:r>
      <w:r>
        <w:rPr/>
        <w:t>de</w:t>
      </w:r>
      <w:r>
        <w:rPr>
          <w:spacing w:val="-27"/>
        </w:rPr>
        <w:t> </w:t>
      </w:r>
      <w:r>
        <w:rPr/>
        <w:t>26</w:t>
      </w:r>
      <w:r>
        <w:rPr>
          <w:spacing w:val="-27"/>
        </w:rPr>
        <w:t> </w:t>
      </w:r>
      <w:r>
        <w:rPr/>
        <w:t>de</w:t>
      </w:r>
      <w:r>
        <w:rPr>
          <w:spacing w:val="-28"/>
        </w:rPr>
        <w:t> </w:t>
      </w:r>
      <w:r>
        <w:rPr/>
        <w:t>agosto</w:t>
      </w:r>
      <w:r>
        <w:rPr>
          <w:spacing w:val="-27"/>
        </w:rPr>
        <w:t> </w:t>
      </w:r>
      <w:r>
        <w:rPr/>
        <w:t>para</w:t>
      </w:r>
      <w:r>
        <w:rPr>
          <w:spacing w:val="-27"/>
        </w:rPr>
        <w:t> </w:t>
      </w:r>
      <w:r>
        <w:rPr/>
        <w:t>22</w:t>
      </w:r>
      <w:r>
        <w:rPr>
          <w:spacing w:val="-27"/>
        </w:rPr>
        <w:t> </w:t>
      </w:r>
      <w:r>
        <w:rPr/>
        <w:t>de</w:t>
      </w:r>
      <w:r>
        <w:rPr>
          <w:spacing w:val="-28"/>
        </w:rPr>
        <w:t> </w:t>
      </w:r>
      <w:r>
        <w:rPr/>
        <w:t>outubro e</w:t>
      </w:r>
      <w:r>
        <w:rPr>
          <w:spacing w:val="-21"/>
        </w:rPr>
        <w:t> </w:t>
      </w:r>
      <w:r>
        <w:rPr/>
        <w:t>a</w:t>
      </w:r>
      <w:r>
        <w:rPr>
          <w:spacing w:val="-20"/>
        </w:rPr>
        <w:t> </w:t>
      </w:r>
      <w:r>
        <w:rPr/>
        <w:t>Revisão</w:t>
      </w:r>
      <w:r>
        <w:rPr>
          <w:spacing w:val="-20"/>
        </w:rPr>
        <w:t> </w:t>
      </w:r>
      <w:r>
        <w:rPr/>
        <w:t>Tarifária</w:t>
      </w:r>
      <w:r>
        <w:rPr>
          <w:spacing w:val="-19"/>
        </w:rPr>
        <w:t> </w:t>
      </w:r>
      <w:r>
        <w:rPr/>
        <w:t>Ordinária</w:t>
      </w:r>
      <w:r>
        <w:rPr>
          <w:spacing w:val="-19"/>
        </w:rPr>
        <w:t> </w:t>
      </w:r>
      <w:r>
        <w:rPr/>
        <w:t>passou</w:t>
      </w:r>
      <w:r>
        <w:rPr>
          <w:spacing w:val="-19"/>
        </w:rPr>
        <w:t> </w:t>
      </w:r>
      <w:r>
        <w:rPr/>
        <w:t>a</w:t>
      </w:r>
      <w:r>
        <w:rPr>
          <w:spacing w:val="-19"/>
        </w:rPr>
        <w:t> </w:t>
      </w:r>
      <w:r>
        <w:rPr/>
        <w:t>ocorrer</w:t>
      </w:r>
      <w:r>
        <w:rPr>
          <w:spacing w:val="-18"/>
        </w:rPr>
        <w:t> </w:t>
      </w:r>
      <w:r>
        <w:rPr/>
        <w:t>com</w:t>
      </w:r>
      <w:r>
        <w:rPr>
          <w:spacing w:val="-20"/>
        </w:rPr>
        <w:t> </w:t>
      </w:r>
      <w:r>
        <w:rPr/>
        <w:t>intervalo</w:t>
      </w:r>
      <w:r>
        <w:rPr>
          <w:spacing w:val="-17"/>
        </w:rPr>
        <w:t> </w:t>
      </w:r>
      <w:r>
        <w:rPr/>
        <w:t>quinquenal.</w:t>
      </w:r>
    </w:p>
    <w:p>
      <w:pPr>
        <w:spacing w:after="0" w:line="242" w:lineRule="auto"/>
        <w:jc w:val="both"/>
        <w:sectPr>
          <w:pgSz w:w="11910" w:h="16850"/>
          <w:pgMar w:header="792" w:footer="1193" w:top="1360" w:bottom="1460" w:left="940" w:right="240"/>
        </w:sectPr>
      </w:pPr>
    </w:p>
    <w:p>
      <w:pPr>
        <w:pStyle w:val="BodyText"/>
        <w:spacing w:before="7"/>
        <w:rPr>
          <w:sz w:val="15"/>
        </w:rPr>
      </w:pPr>
    </w:p>
    <w:p>
      <w:pPr>
        <w:pStyle w:val="BodyText"/>
        <w:spacing w:line="242" w:lineRule="auto" w:before="102"/>
        <w:ind w:left="192" w:right="608"/>
        <w:jc w:val="both"/>
      </w:pPr>
      <w:r>
        <w:rPr/>
        <w:t>O</w:t>
      </w:r>
      <w:r>
        <w:rPr>
          <w:spacing w:val="-27"/>
        </w:rPr>
        <w:t> </w:t>
      </w:r>
      <w:r>
        <w:rPr/>
        <w:t>Quarto</w:t>
      </w:r>
      <w:r>
        <w:rPr>
          <w:spacing w:val="-25"/>
        </w:rPr>
        <w:t> </w:t>
      </w:r>
      <w:r>
        <w:rPr/>
        <w:t>Termo</w:t>
      </w:r>
      <w:r>
        <w:rPr>
          <w:spacing w:val="-26"/>
        </w:rPr>
        <w:t> </w:t>
      </w:r>
      <w:r>
        <w:rPr/>
        <w:t>Aditivo</w:t>
      </w:r>
      <w:r>
        <w:rPr>
          <w:spacing w:val="-26"/>
        </w:rPr>
        <w:t> </w:t>
      </w:r>
      <w:r>
        <w:rPr/>
        <w:t>ao</w:t>
      </w:r>
      <w:r>
        <w:rPr>
          <w:spacing w:val="-25"/>
        </w:rPr>
        <w:t> </w:t>
      </w:r>
      <w:r>
        <w:rPr/>
        <w:t>Contrato</w:t>
      </w:r>
      <w:r>
        <w:rPr>
          <w:spacing w:val="-25"/>
        </w:rPr>
        <w:t> </w:t>
      </w:r>
      <w:r>
        <w:rPr/>
        <w:t>de</w:t>
      </w:r>
      <w:r>
        <w:rPr>
          <w:spacing w:val="-26"/>
        </w:rPr>
        <w:t> </w:t>
      </w:r>
      <w:r>
        <w:rPr/>
        <w:t>Concessão</w:t>
      </w:r>
      <w:r>
        <w:rPr>
          <w:spacing w:val="-27"/>
        </w:rPr>
        <w:t> </w:t>
      </w:r>
      <w:r>
        <w:rPr/>
        <w:t>estabelece,</w:t>
      </w:r>
      <w:r>
        <w:rPr>
          <w:spacing w:val="-25"/>
        </w:rPr>
        <w:t> </w:t>
      </w:r>
      <w:r>
        <w:rPr/>
        <w:t>entre</w:t>
      </w:r>
      <w:r>
        <w:rPr>
          <w:spacing w:val="-25"/>
        </w:rPr>
        <w:t> </w:t>
      </w:r>
      <w:r>
        <w:rPr/>
        <w:t>outros,</w:t>
      </w:r>
      <w:r>
        <w:rPr>
          <w:spacing w:val="-25"/>
        </w:rPr>
        <w:t> </w:t>
      </w:r>
      <w:r>
        <w:rPr/>
        <w:t>indicadores</w:t>
      </w:r>
      <w:r>
        <w:rPr>
          <w:spacing w:val="-26"/>
        </w:rPr>
        <w:t> </w:t>
      </w:r>
      <w:r>
        <w:rPr/>
        <w:t>de</w:t>
      </w:r>
      <w:r>
        <w:rPr>
          <w:spacing w:val="-27"/>
        </w:rPr>
        <w:t> </w:t>
      </w:r>
      <w:r>
        <w:rPr/>
        <w:t>sustentabilidade,</w:t>
      </w:r>
      <w:r>
        <w:rPr>
          <w:spacing w:val="-26"/>
        </w:rPr>
        <w:t> </w:t>
      </w:r>
      <w:r>
        <w:rPr/>
        <w:t>com critérios</w:t>
      </w:r>
      <w:r>
        <w:rPr>
          <w:spacing w:val="-45"/>
        </w:rPr>
        <w:t> </w:t>
      </w:r>
      <w:r>
        <w:rPr/>
        <w:t>objetivos</w:t>
      </w:r>
      <w:r>
        <w:rPr>
          <w:spacing w:val="-43"/>
        </w:rPr>
        <w:t> </w:t>
      </w:r>
      <w:r>
        <w:rPr/>
        <w:t>e</w:t>
      </w:r>
      <w:r>
        <w:rPr>
          <w:spacing w:val="-45"/>
        </w:rPr>
        <w:t> </w:t>
      </w:r>
      <w:r>
        <w:rPr/>
        <w:t>metas</w:t>
      </w:r>
      <w:r>
        <w:rPr>
          <w:spacing w:val="-44"/>
        </w:rPr>
        <w:t> </w:t>
      </w:r>
      <w:r>
        <w:rPr/>
        <w:t>regulatórias,</w:t>
      </w:r>
      <w:r>
        <w:rPr>
          <w:spacing w:val="-45"/>
        </w:rPr>
        <w:t> </w:t>
      </w:r>
      <w:r>
        <w:rPr/>
        <w:t>pelas</w:t>
      </w:r>
      <w:r>
        <w:rPr>
          <w:spacing w:val="-44"/>
        </w:rPr>
        <w:t> </w:t>
      </w:r>
      <w:r>
        <w:rPr/>
        <w:t>quais</w:t>
      </w:r>
      <w:r>
        <w:rPr>
          <w:spacing w:val="-44"/>
        </w:rPr>
        <w:t> </w:t>
      </w:r>
      <w:r>
        <w:rPr/>
        <w:t>a</w:t>
      </w:r>
      <w:r>
        <w:rPr>
          <w:spacing w:val="-44"/>
        </w:rPr>
        <w:t> </w:t>
      </w:r>
      <w:r>
        <w:rPr/>
        <w:t>Companhia</w:t>
      </w:r>
      <w:r>
        <w:rPr>
          <w:spacing w:val="-44"/>
        </w:rPr>
        <w:t> </w:t>
      </w:r>
      <w:r>
        <w:rPr/>
        <w:t>deve</w:t>
      </w:r>
      <w:r>
        <w:rPr>
          <w:spacing w:val="-45"/>
        </w:rPr>
        <w:t> </w:t>
      </w:r>
      <w:r>
        <w:rPr/>
        <w:t>ser</w:t>
      </w:r>
      <w:r>
        <w:rPr>
          <w:spacing w:val="-45"/>
        </w:rPr>
        <w:t> </w:t>
      </w:r>
      <w:r>
        <w:rPr/>
        <w:t>avaliada</w:t>
      </w:r>
      <w:r>
        <w:rPr>
          <w:spacing w:val="-44"/>
        </w:rPr>
        <w:t> </w:t>
      </w:r>
      <w:r>
        <w:rPr/>
        <w:t>e</w:t>
      </w:r>
      <w:r>
        <w:rPr>
          <w:spacing w:val="-44"/>
        </w:rPr>
        <w:t> </w:t>
      </w:r>
      <w:r>
        <w:rPr/>
        <w:t>que</w:t>
      </w:r>
      <w:r>
        <w:rPr>
          <w:spacing w:val="-45"/>
        </w:rPr>
        <w:t> </w:t>
      </w:r>
      <w:r>
        <w:rPr/>
        <w:t>atuam</w:t>
      </w:r>
      <w:r>
        <w:rPr>
          <w:spacing w:val="-45"/>
        </w:rPr>
        <w:t> </w:t>
      </w:r>
      <w:r>
        <w:rPr/>
        <w:t>como</w:t>
      </w:r>
      <w:r>
        <w:rPr>
          <w:spacing w:val="-44"/>
        </w:rPr>
        <w:t> </w:t>
      </w:r>
      <w:r>
        <w:rPr/>
        <w:t>condicionantes para</w:t>
      </w:r>
      <w:r>
        <w:rPr>
          <w:spacing w:val="-19"/>
        </w:rPr>
        <w:t> </w:t>
      </w:r>
      <w:r>
        <w:rPr/>
        <w:t>a</w:t>
      </w:r>
      <w:r>
        <w:rPr>
          <w:spacing w:val="-19"/>
        </w:rPr>
        <w:t> </w:t>
      </w:r>
      <w:r>
        <w:rPr/>
        <w:t>manutenção</w:t>
      </w:r>
      <w:r>
        <w:rPr>
          <w:spacing w:val="-19"/>
        </w:rPr>
        <w:t> </w:t>
      </w:r>
      <w:r>
        <w:rPr/>
        <w:t>da</w:t>
      </w:r>
      <w:r>
        <w:rPr>
          <w:spacing w:val="-19"/>
        </w:rPr>
        <w:t> </w:t>
      </w:r>
      <w:r>
        <w:rPr/>
        <w:t>titularidade</w:t>
      </w:r>
      <w:r>
        <w:rPr>
          <w:spacing w:val="-18"/>
        </w:rPr>
        <w:t> </w:t>
      </w:r>
      <w:r>
        <w:rPr/>
        <w:t>da</w:t>
      </w:r>
      <w:r>
        <w:rPr>
          <w:spacing w:val="-19"/>
        </w:rPr>
        <w:t> </w:t>
      </w:r>
      <w:r>
        <w:rPr/>
        <w:t>concessão.</w:t>
      </w:r>
    </w:p>
    <w:p>
      <w:pPr>
        <w:pStyle w:val="BodyText"/>
        <w:spacing w:before="7"/>
      </w:pPr>
    </w:p>
    <w:p>
      <w:pPr>
        <w:spacing w:before="0"/>
        <w:ind w:left="192" w:right="0" w:firstLine="0"/>
        <w:jc w:val="left"/>
        <w:rPr>
          <w:rFonts w:ascii="Caladea"/>
          <w:b/>
          <w:sz w:val="20"/>
        </w:rPr>
      </w:pPr>
      <w:r>
        <w:rPr>
          <w:rFonts w:ascii="Caladea"/>
          <w:b/>
          <w:sz w:val="20"/>
        </w:rPr>
        <w:t>Indicadores de sustentabilidade ANEEL</w:t>
      </w:r>
    </w:p>
    <w:p>
      <w:pPr>
        <w:pStyle w:val="BodyText"/>
        <w:spacing w:before="6"/>
        <w:rPr>
          <w:rFonts w:ascii="Caladea"/>
          <w:b/>
        </w:rPr>
      </w:pPr>
    </w:p>
    <w:p>
      <w:pPr>
        <w:pStyle w:val="BodyText"/>
        <w:spacing w:line="242" w:lineRule="auto"/>
        <w:ind w:left="192" w:right="611"/>
        <w:jc w:val="both"/>
      </w:pPr>
      <w:r>
        <w:rPr/>
        <w:t>O</w:t>
      </w:r>
      <w:r>
        <w:rPr>
          <w:spacing w:val="-40"/>
        </w:rPr>
        <w:t> </w:t>
      </w:r>
      <w:r>
        <w:rPr/>
        <w:t>Poder</w:t>
      </w:r>
      <w:r>
        <w:rPr>
          <w:spacing w:val="-40"/>
        </w:rPr>
        <w:t> </w:t>
      </w:r>
      <w:r>
        <w:rPr/>
        <w:t>Concedente,</w:t>
      </w:r>
      <w:r>
        <w:rPr>
          <w:spacing w:val="-40"/>
        </w:rPr>
        <w:t> </w:t>
      </w:r>
      <w:r>
        <w:rPr/>
        <w:t>por</w:t>
      </w:r>
      <w:r>
        <w:rPr>
          <w:spacing w:val="-40"/>
        </w:rPr>
        <w:t> </w:t>
      </w:r>
      <w:r>
        <w:rPr/>
        <w:t>intermédio</w:t>
      </w:r>
      <w:r>
        <w:rPr>
          <w:spacing w:val="-40"/>
        </w:rPr>
        <w:t> </w:t>
      </w:r>
      <w:r>
        <w:rPr/>
        <w:t>Ministério</w:t>
      </w:r>
      <w:r>
        <w:rPr>
          <w:spacing w:val="-39"/>
        </w:rPr>
        <w:t> </w:t>
      </w:r>
      <w:r>
        <w:rPr/>
        <w:t>de</w:t>
      </w:r>
      <w:r>
        <w:rPr>
          <w:spacing w:val="-41"/>
        </w:rPr>
        <w:t> </w:t>
      </w:r>
      <w:r>
        <w:rPr/>
        <w:t>Minas</w:t>
      </w:r>
      <w:r>
        <w:rPr>
          <w:spacing w:val="-41"/>
        </w:rPr>
        <w:t> </w:t>
      </w:r>
      <w:r>
        <w:rPr/>
        <w:t>e</w:t>
      </w:r>
      <w:r>
        <w:rPr>
          <w:spacing w:val="-40"/>
        </w:rPr>
        <w:t> </w:t>
      </w:r>
      <w:r>
        <w:rPr/>
        <w:t>Energia,</w:t>
      </w:r>
      <w:r>
        <w:rPr>
          <w:spacing w:val="-40"/>
        </w:rPr>
        <w:t> </w:t>
      </w:r>
      <w:r>
        <w:rPr/>
        <w:t>estabeleceu</w:t>
      </w:r>
      <w:r>
        <w:rPr>
          <w:spacing w:val="-39"/>
        </w:rPr>
        <w:t> </w:t>
      </w:r>
      <w:r>
        <w:rPr/>
        <w:t>às</w:t>
      </w:r>
      <w:r>
        <w:rPr>
          <w:spacing w:val="-40"/>
        </w:rPr>
        <w:t> </w:t>
      </w:r>
      <w:r>
        <w:rPr/>
        <w:t>Distribuidoras,</w:t>
      </w:r>
      <w:r>
        <w:rPr>
          <w:spacing w:val="-40"/>
        </w:rPr>
        <w:t> </w:t>
      </w:r>
      <w:r>
        <w:rPr/>
        <w:t>na</w:t>
      </w:r>
      <w:r>
        <w:rPr>
          <w:spacing w:val="-39"/>
        </w:rPr>
        <w:t> </w:t>
      </w:r>
      <w:r>
        <w:rPr/>
        <w:t>prorrogação</w:t>
      </w:r>
      <w:r>
        <w:rPr>
          <w:spacing w:val="-40"/>
        </w:rPr>
        <w:t> </w:t>
      </w:r>
      <w:r>
        <w:rPr/>
        <w:t>de suas concessões, a condição de sustentabilidade econômico-financeira e operacional, por meio de seus dados contábeis,</w:t>
      </w:r>
      <w:r>
        <w:rPr>
          <w:spacing w:val="-20"/>
        </w:rPr>
        <w:t> </w:t>
      </w:r>
      <w:r>
        <w:rPr/>
        <w:t>financeiros</w:t>
      </w:r>
      <w:r>
        <w:rPr>
          <w:spacing w:val="-18"/>
        </w:rPr>
        <w:t> </w:t>
      </w:r>
      <w:r>
        <w:rPr/>
        <w:t>e</w:t>
      </w:r>
      <w:r>
        <w:rPr>
          <w:spacing w:val="-18"/>
        </w:rPr>
        <w:t> </w:t>
      </w:r>
      <w:r>
        <w:rPr/>
        <w:t>indicadores</w:t>
      </w:r>
      <w:r>
        <w:rPr>
          <w:spacing w:val="-20"/>
        </w:rPr>
        <w:t> </w:t>
      </w:r>
      <w:r>
        <w:rPr/>
        <w:t>de</w:t>
      </w:r>
      <w:r>
        <w:rPr>
          <w:spacing w:val="-21"/>
        </w:rPr>
        <w:t> </w:t>
      </w:r>
      <w:r>
        <w:rPr/>
        <w:t>continuidade</w:t>
      </w:r>
      <w:r>
        <w:rPr>
          <w:spacing w:val="-21"/>
        </w:rPr>
        <w:t> </w:t>
      </w:r>
      <w:r>
        <w:rPr/>
        <w:t>coletivos.</w:t>
      </w:r>
    </w:p>
    <w:p>
      <w:pPr>
        <w:pStyle w:val="BodyText"/>
        <w:spacing w:before="8"/>
      </w:pPr>
    </w:p>
    <w:p>
      <w:pPr>
        <w:spacing w:before="0"/>
        <w:ind w:left="192" w:right="0" w:firstLine="0"/>
        <w:jc w:val="left"/>
        <w:rPr>
          <w:rFonts w:ascii="Caladea" w:hAnsi="Caladea"/>
          <w:b/>
          <w:sz w:val="20"/>
        </w:rPr>
      </w:pPr>
      <w:r>
        <w:rPr>
          <w:rFonts w:ascii="Caladea" w:hAnsi="Caladea"/>
          <w:b/>
          <w:sz w:val="20"/>
        </w:rPr>
        <w:t>Parâmetros mínimos de sustentabilidade econômico-financeiro</w:t>
      </w:r>
    </w:p>
    <w:p>
      <w:pPr>
        <w:pStyle w:val="BodyText"/>
        <w:spacing w:before="6"/>
        <w:rPr>
          <w:rFonts w:ascii="Caladea"/>
          <w:b/>
        </w:rPr>
      </w:pPr>
    </w:p>
    <w:p>
      <w:pPr>
        <w:pStyle w:val="BodyText"/>
        <w:spacing w:line="242" w:lineRule="auto"/>
        <w:ind w:left="192" w:right="609"/>
        <w:jc w:val="both"/>
      </w:pPr>
      <w:r>
        <w:rPr/>
        <w:t>O</w:t>
      </w:r>
      <w:r>
        <w:rPr>
          <w:spacing w:val="-27"/>
        </w:rPr>
        <w:t> </w:t>
      </w:r>
      <w:r>
        <w:rPr/>
        <w:t>parâmetro</w:t>
      </w:r>
      <w:r>
        <w:rPr>
          <w:spacing w:val="-27"/>
        </w:rPr>
        <w:t> </w:t>
      </w:r>
      <w:r>
        <w:rPr/>
        <w:t>de</w:t>
      </w:r>
      <w:r>
        <w:rPr>
          <w:spacing w:val="-26"/>
        </w:rPr>
        <w:t> </w:t>
      </w:r>
      <w:r>
        <w:rPr/>
        <w:t>sustentabilidade</w:t>
      </w:r>
      <w:r>
        <w:rPr>
          <w:spacing w:val="-27"/>
        </w:rPr>
        <w:t> </w:t>
      </w:r>
      <w:r>
        <w:rPr/>
        <w:t>exigido</w:t>
      </w:r>
      <w:r>
        <w:rPr>
          <w:spacing w:val="-27"/>
        </w:rPr>
        <w:t> </w:t>
      </w:r>
      <w:r>
        <w:rPr/>
        <w:t>no</w:t>
      </w:r>
      <w:r>
        <w:rPr>
          <w:spacing w:val="-27"/>
        </w:rPr>
        <w:t> </w:t>
      </w:r>
      <w:r>
        <w:rPr/>
        <w:t>Quarto</w:t>
      </w:r>
      <w:r>
        <w:rPr>
          <w:spacing w:val="-27"/>
        </w:rPr>
        <w:t> </w:t>
      </w:r>
      <w:r>
        <w:rPr/>
        <w:t>Termo</w:t>
      </w:r>
      <w:r>
        <w:rPr>
          <w:spacing w:val="-26"/>
        </w:rPr>
        <w:t> </w:t>
      </w:r>
      <w:r>
        <w:rPr/>
        <w:t>Aditivo</w:t>
      </w:r>
      <w:r>
        <w:rPr>
          <w:spacing w:val="-25"/>
        </w:rPr>
        <w:t> </w:t>
      </w:r>
      <w:r>
        <w:rPr/>
        <w:t>ao</w:t>
      </w:r>
      <w:r>
        <w:rPr>
          <w:spacing w:val="-27"/>
        </w:rPr>
        <w:t> </w:t>
      </w:r>
      <w:r>
        <w:rPr/>
        <w:t>Contrato</w:t>
      </w:r>
      <w:r>
        <w:rPr>
          <w:spacing w:val="-27"/>
        </w:rPr>
        <w:t> </w:t>
      </w:r>
      <w:r>
        <w:rPr/>
        <w:t>de</w:t>
      </w:r>
      <w:r>
        <w:rPr>
          <w:spacing w:val="-27"/>
        </w:rPr>
        <w:t> </w:t>
      </w:r>
      <w:r>
        <w:rPr/>
        <w:t>Concessão</w:t>
      </w:r>
      <w:r>
        <w:rPr>
          <w:spacing w:val="-27"/>
        </w:rPr>
        <w:t> </w:t>
      </w:r>
      <w:r>
        <w:rPr/>
        <w:t>nº</w:t>
      </w:r>
      <w:r>
        <w:rPr>
          <w:spacing w:val="-25"/>
        </w:rPr>
        <w:t> </w:t>
      </w:r>
      <w:r>
        <w:rPr/>
        <w:t>66/99-ANEEL,</w:t>
      </w:r>
      <w:r>
        <w:rPr>
          <w:spacing w:val="-27"/>
        </w:rPr>
        <w:t> </w:t>
      </w:r>
      <w:r>
        <w:rPr/>
        <w:t>bem como</w:t>
      </w:r>
      <w:r>
        <w:rPr>
          <w:spacing w:val="-21"/>
        </w:rPr>
        <w:t> </w:t>
      </w:r>
      <w:r>
        <w:rPr/>
        <w:t>na</w:t>
      </w:r>
      <w:r>
        <w:rPr>
          <w:spacing w:val="-19"/>
        </w:rPr>
        <w:t> </w:t>
      </w:r>
      <w:r>
        <w:rPr/>
        <w:t>Resolução</w:t>
      </w:r>
      <w:r>
        <w:rPr>
          <w:spacing w:val="-20"/>
        </w:rPr>
        <w:t> </w:t>
      </w:r>
      <w:r>
        <w:rPr/>
        <w:t>Normativa</w:t>
      </w:r>
      <w:r>
        <w:rPr>
          <w:spacing w:val="-19"/>
        </w:rPr>
        <w:t> </w:t>
      </w:r>
      <w:r>
        <w:rPr/>
        <w:t>nº</w:t>
      </w:r>
      <w:r>
        <w:rPr>
          <w:spacing w:val="-18"/>
        </w:rPr>
        <w:t> </w:t>
      </w:r>
      <w:r>
        <w:rPr/>
        <w:t>787/2017-ANEEL,</w:t>
      </w:r>
      <w:r>
        <w:rPr>
          <w:spacing w:val="-20"/>
        </w:rPr>
        <w:t> </w:t>
      </w:r>
      <w:r>
        <w:rPr/>
        <w:t>é</w:t>
      </w:r>
      <w:r>
        <w:rPr>
          <w:spacing w:val="-18"/>
        </w:rPr>
        <w:t> </w:t>
      </w:r>
      <w:r>
        <w:rPr/>
        <w:t>definido</w:t>
      </w:r>
      <w:r>
        <w:rPr>
          <w:spacing w:val="-19"/>
        </w:rPr>
        <w:t> </w:t>
      </w:r>
      <w:r>
        <w:rPr/>
        <w:t>pelo</w:t>
      </w:r>
      <w:r>
        <w:rPr>
          <w:spacing w:val="-20"/>
        </w:rPr>
        <w:t> </w:t>
      </w:r>
      <w:r>
        <w:rPr/>
        <w:t>seguinte</w:t>
      </w:r>
      <w:r>
        <w:rPr>
          <w:spacing w:val="-21"/>
        </w:rPr>
        <w:t> </w:t>
      </w:r>
      <w:r>
        <w:rPr/>
        <w:t>critério:</w:t>
      </w:r>
    </w:p>
    <w:p>
      <w:pPr>
        <w:pStyle w:val="BodyText"/>
        <w:spacing w:before="2"/>
      </w:pPr>
    </w:p>
    <w:p>
      <w:pPr>
        <w:pStyle w:val="BodyText"/>
        <w:spacing w:line="484" w:lineRule="auto"/>
        <w:ind w:left="192" w:right="3142"/>
      </w:pPr>
      <w:r>
        <w:rPr/>
        <w:t>(Geração</w:t>
      </w:r>
      <w:r>
        <w:rPr>
          <w:spacing w:val="-31"/>
        </w:rPr>
        <w:t> </w:t>
      </w:r>
      <w:r>
        <w:rPr/>
        <w:t>Operacional</w:t>
      </w:r>
      <w:r>
        <w:rPr>
          <w:spacing w:val="-29"/>
        </w:rPr>
        <w:t> </w:t>
      </w:r>
      <w:r>
        <w:rPr/>
        <w:t>de</w:t>
      </w:r>
      <w:r>
        <w:rPr>
          <w:spacing w:val="-30"/>
        </w:rPr>
        <w:t> </w:t>
      </w:r>
      <w:r>
        <w:rPr/>
        <w:t>Caixa</w:t>
      </w:r>
      <w:r>
        <w:rPr>
          <w:spacing w:val="-28"/>
        </w:rPr>
        <w:t> </w:t>
      </w:r>
      <w:r>
        <w:rPr/>
        <w:t>–</w:t>
      </w:r>
      <w:r>
        <w:rPr>
          <w:spacing w:val="-28"/>
        </w:rPr>
        <w:t> </w:t>
      </w:r>
      <w:r>
        <w:rPr/>
        <w:t>Investimentos</w:t>
      </w:r>
      <w:r>
        <w:rPr>
          <w:spacing w:val="-30"/>
        </w:rPr>
        <w:t> </w:t>
      </w:r>
      <w:r>
        <w:rPr/>
        <w:t>de</w:t>
      </w:r>
      <w:r>
        <w:rPr>
          <w:spacing w:val="-31"/>
        </w:rPr>
        <w:t> </w:t>
      </w:r>
      <w:r>
        <w:rPr/>
        <w:t>Reposição</w:t>
      </w:r>
      <w:r>
        <w:rPr>
          <w:spacing w:val="-28"/>
        </w:rPr>
        <w:t> </w:t>
      </w:r>
      <w:r>
        <w:rPr/>
        <w:t>–</w:t>
      </w:r>
      <w:r>
        <w:rPr>
          <w:spacing w:val="-29"/>
        </w:rPr>
        <w:t> </w:t>
      </w:r>
      <w:r>
        <w:rPr/>
        <w:t>Juros</w:t>
      </w:r>
      <w:r>
        <w:rPr>
          <w:spacing w:val="-27"/>
        </w:rPr>
        <w:t> </w:t>
      </w:r>
      <w:r>
        <w:rPr/>
        <w:t>da</w:t>
      </w:r>
      <w:r>
        <w:rPr>
          <w:spacing w:val="-29"/>
        </w:rPr>
        <w:t> </w:t>
      </w:r>
      <w:r>
        <w:rPr/>
        <w:t>Dívida)</w:t>
      </w:r>
      <w:r>
        <w:rPr>
          <w:spacing w:val="-30"/>
        </w:rPr>
        <w:t> </w:t>
      </w:r>
      <w:r>
        <w:rPr/>
        <w:t>≥</w:t>
      </w:r>
      <w:r>
        <w:rPr>
          <w:spacing w:val="-29"/>
        </w:rPr>
        <w:t> </w:t>
      </w:r>
      <w:r>
        <w:rPr/>
        <w:t>0 </w:t>
      </w:r>
      <w:r>
        <w:rPr>
          <w:w w:val="105"/>
        </w:rPr>
        <w:t>Essa</w:t>
      </w:r>
      <w:r>
        <w:rPr>
          <w:spacing w:val="-33"/>
          <w:w w:val="105"/>
        </w:rPr>
        <w:t> </w:t>
      </w:r>
      <w:r>
        <w:rPr>
          <w:w w:val="105"/>
        </w:rPr>
        <w:t>inequação</w:t>
      </w:r>
      <w:r>
        <w:rPr>
          <w:spacing w:val="-33"/>
          <w:w w:val="105"/>
        </w:rPr>
        <w:t> </w:t>
      </w:r>
      <w:r>
        <w:rPr>
          <w:w w:val="105"/>
        </w:rPr>
        <w:t>é</w:t>
      </w:r>
      <w:r>
        <w:rPr>
          <w:spacing w:val="-35"/>
          <w:w w:val="105"/>
        </w:rPr>
        <w:t> </w:t>
      </w:r>
      <w:r>
        <w:rPr>
          <w:w w:val="105"/>
        </w:rPr>
        <w:t>formada</w:t>
      </w:r>
      <w:r>
        <w:rPr>
          <w:spacing w:val="-32"/>
          <w:w w:val="105"/>
        </w:rPr>
        <w:t> </w:t>
      </w:r>
      <w:r>
        <w:rPr>
          <w:w w:val="105"/>
        </w:rPr>
        <w:t>por</w:t>
      </w:r>
      <w:r>
        <w:rPr>
          <w:spacing w:val="-34"/>
          <w:w w:val="105"/>
        </w:rPr>
        <w:t> </w:t>
      </w:r>
      <w:r>
        <w:rPr>
          <w:w w:val="105"/>
        </w:rPr>
        <w:t>parâmetros</w:t>
      </w:r>
      <w:r>
        <w:rPr>
          <w:spacing w:val="-31"/>
          <w:w w:val="105"/>
        </w:rPr>
        <w:t> </w:t>
      </w:r>
      <w:r>
        <w:rPr>
          <w:w w:val="105"/>
        </w:rPr>
        <w:t>mínimos,</w:t>
      </w:r>
      <w:r>
        <w:rPr>
          <w:spacing w:val="-32"/>
          <w:w w:val="105"/>
        </w:rPr>
        <w:t> </w:t>
      </w:r>
      <w:r>
        <w:rPr>
          <w:w w:val="105"/>
        </w:rPr>
        <w:t>assim</w:t>
      </w:r>
      <w:r>
        <w:rPr>
          <w:spacing w:val="-34"/>
          <w:w w:val="105"/>
        </w:rPr>
        <w:t> </w:t>
      </w:r>
      <w:r>
        <w:rPr>
          <w:w w:val="105"/>
        </w:rPr>
        <w:t>definidos:</w:t>
      </w:r>
    </w:p>
    <w:p>
      <w:pPr>
        <w:pStyle w:val="ListParagraph"/>
        <w:numPr>
          <w:ilvl w:val="0"/>
          <w:numId w:val="11"/>
        </w:numPr>
        <w:tabs>
          <w:tab w:pos="319" w:val="left" w:leader="none"/>
        </w:tabs>
        <w:spacing w:line="242" w:lineRule="auto" w:before="1" w:after="0"/>
        <w:ind w:left="192" w:right="620" w:firstLine="0"/>
        <w:jc w:val="left"/>
        <w:rPr>
          <w:sz w:val="20"/>
        </w:rPr>
      </w:pPr>
      <w:r>
        <w:rPr>
          <w:sz w:val="20"/>
        </w:rPr>
        <w:t>Geração</w:t>
      </w:r>
      <w:r>
        <w:rPr>
          <w:spacing w:val="-32"/>
          <w:sz w:val="20"/>
        </w:rPr>
        <w:t> </w:t>
      </w:r>
      <w:r>
        <w:rPr>
          <w:sz w:val="20"/>
        </w:rPr>
        <w:t>Operacional</w:t>
      </w:r>
      <w:r>
        <w:rPr>
          <w:spacing w:val="-32"/>
          <w:sz w:val="20"/>
        </w:rPr>
        <w:t> </w:t>
      </w:r>
      <w:r>
        <w:rPr>
          <w:sz w:val="20"/>
        </w:rPr>
        <w:t>de</w:t>
      </w:r>
      <w:r>
        <w:rPr>
          <w:spacing w:val="-33"/>
          <w:sz w:val="20"/>
        </w:rPr>
        <w:t> </w:t>
      </w:r>
      <w:r>
        <w:rPr>
          <w:sz w:val="20"/>
        </w:rPr>
        <w:t>Caixa:</w:t>
      </w:r>
      <w:r>
        <w:rPr>
          <w:spacing w:val="-32"/>
          <w:sz w:val="20"/>
        </w:rPr>
        <w:t> </w:t>
      </w:r>
      <w:r>
        <w:rPr>
          <w:sz w:val="20"/>
        </w:rPr>
        <w:t>Lucros</w:t>
      </w:r>
      <w:r>
        <w:rPr>
          <w:spacing w:val="-32"/>
          <w:sz w:val="20"/>
        </w:rPr>
        <w:t> </w:t>
      </w:r>
      <w:r>
        <w:rPr>
          <w:sz w:val="20"/>
        </w:rPr>
        <w:t>antes</w:t>
      </w:r>
      <w:r>
        <w:rPr>
          <w:spacing w:val="-31"/>
          <w:sz w:val="20"/>
        </w:rPr>
        <w:t> </w:t>
      </w:r>
      <w:r>
        <w:rPr>
          <w:sz w:val="20"/>
        </w:rPr>
        <w:t>de</w:t>
      </w:r>
      <w:r>
        <w:rPr>
          <w:spacing w:val="-33"/>
          <w:sz w:val="20"/>
        </w:rPr>
        <w:t> </w:t>
      </w:r>
      <w:r>
        <w:rPr>
          <w:sz w:val="20"/>
        </w:rPr>
        <w:t>Juros,</w:t>
      </w:r>
      <w:r>
        <w:rPr>
          <w:spacing w:val="-32"/>
          <w:sz w:val="20"/>
        </w:rPr>
        <w:t> </w:t>
      </w:r>
      <w:r>
        <w:rPr>
          <w:sz w:val="20"/>
        </w:rPr>
        <w:t>Impostos,</w:t>
      </w:r>
      <w:r>
        <w:rPr>
          <w:spacing w:val="-31"/>
          <w:sz w:val="20"/>
        </w:rPr>
        <w:t> </w:t>
      </w:r>
      <w:r>
        <w:rPr>
          <w:sz w:val="20"/>
        </w:rPr>
        <w:t>Depreciação</w:t>
      </w:r>
      <w:r>
        <w:rPr>
          <w:spacing w:val="-32"/>
          <w:sz w:val="20"/>
        </w:rPr>
        <w:t> </w:t>
      </w:r>
      <w:r>
        <w:rPr>
          <w:sz w:val="20"/>
        </w:rPr>
        <w:t>e</w:t>
      </w:r>
      <w:r>
        <w:rPr>
          <w:spacing w:val="-32"/>
          <w:sz w:val="20"/>
        </w:rPr>
        <w:t> </w:t>
      </w:r>
      <w:r>
        <w:rPr>
          <w:sz w:val="20"/>
        </w:rPr>
        <w:t>Amortização</w:t>
      </w:r>
      <w:r>
        <w:rPr>
          <w:spacing w:val="-33"/>
          <w:sz w:val="20"/>
        </w:rPr>
        <w:t> </w:t>
      </w:r>
      <w:r>
        <w:rPr>
          <w:sz w:val="20"/>
        </w:rPr>
        <w:t>(LAJIDA</w:t>
      </w:r>
      <w:r>
        <w:rPr>
          <w:spacing w:val="-31"/>
          <w:sz w:val="20"/>
        </w:rPr>
        <w:t> </w:t>
      </w:r>
      <w:r>
        <w:rPr>
          <w:sz w:val="20"/>
        </w:rPr>
        <w:t>Regulatório) ajustado</w:t>
      </w:r>
      <w:r>
        <w:rPr>
          <w:spacing w:val="-18"/>
          <w:sz w:val="20"/>
        </w:rPr>
        <w:t> </w:t>
      </w:r>
      <w:r>
        <w:rPr>
          <w:sz w:val="20"/>
        </w:rPr>
        <w:t>por</w:t>
      </w:r>
      <w:r>
        <w:rPr>
          <w:spacing w:val="-18"/>
          <w:sz w:val="20"/>
        </w:rPr>
        <w:t> </w:t>
      </w:r>
      <w:r>
        <w:rPr>
          <w:sz w:val="20"/>
        </w:rPr>
        <w:t>eventos</w:t>
      </w:r>
      <w:r>
        <w:rPr>
          <w:spacing w:val="-16"/>
          <w:sz w:val="20"/>
        </w:rPr>
        <w:t> </w:t>
      </w:r>
      <w:r>
        <w:rPr>
          <w:sz w:val="20"/>
        </w:rPr>
        <w:t>não</w:t>
      </w:r>
      <w:r>
        <w:rPr>
          <w:spacing w:val="-19"/>
          <w:sz w:val="20"/>
        </w:rPr>
        <w:t> </w:t>
      </w:r>
      <w:r>
        <w:rPr>
          <w:sz w:val="20"/>
        </w:rPr>
        <w:t>recorrentes;</w:t>
      </w:r>
    </w:p>
    <w:p>
      <w:pPr>
        <w:pStyle w:val="ListParagraph"/>
        <w:numPr>
          <w:ilvl w:val="0"/>
          <w:numId w:val="11"/>
        </w:numPr>
        <w:tabs>
          <w:tab w:pos="304" w:val="left" w:leader="none"/>
        </w:tabs>
        <w:spacing w:line="231" w:lineRule="exact" w:before="0" w:after="0"/>
        <w:ind w:left="303" w:right="0" w:hanging="112"/>
        <w:jc w:val="left"/>
        <w:rPr>
          <w:sz w:val="20"/>
        </w:rPr>
      </w:pPr>
      <w:r>
        <w:rPr>
          <w:sz w:val="20"/>
        </w:rPr>
        <w:t>Investimentos</w:t>
      </w:r>
      <w:r>
        <w:rPr>
          <w:spacing w:val="-18"/>
          <w:sz w:val="20"/>
        </w:rPr>
        <w:t> </w:t>
      </w:r>
      <w:r>
        <w:rPr>
          <w:sz w:val="20"/>
        </w:rPr>
        <w:t>de</w:t>
      </w:r>
      <w:r>
        <w:rPr>
          <w:spacing w:val="-19"/>
          <w:sz w:val="20"/>
        </w:rPr>
        <w:t> </w:t>
      </w:r>
      <w:r>
        <w:rPr>
          <w:sz w:val="20"/>
        </w:rPr>
        <w:t>Reposição:</w:t>
      </w:r>
      <w:r>
        <w:rPr>
          <w:spacing w:val="-20"/>
          <w:sz w:val="20"/>
        </w:rPr>
        <w:t> </w:t>
      </w:r>
      <w:r>
        <w:rPr>
          <w:sz w:val="20"/>
        </w:rPr>
        <w:t>Quota</w:t>
      </w:r>
      <w:r>
        <w:rPr>
          <w:spacing w:val="-16"/>
          <w:sz w:val="20"/>
        </w:rPr>
        <w:t> </w:t>
      </w:r>
      <w:r>
        <w:rPr>
          <w:sz w:val="20"/>
        </w:rPr>
        <w:t>de</w:t>
      </w:r>
      <w:r>
        <w:rPr>
          <w:spacing w:val="-20"/>
          <w:sz w:val="20"/>
        </w:rPr>
        <w:t> </w:t>
      </w:r>
      <w:r>
        <w:rPr>
          <w:sz w:val="20"/>
        </w:rPr>
        <w:t>Reintegração</w:t>
      </w:r>
      <w:r>
        <w:rPr>
          <w:spacing w:val="-20"/>
          <w:sz w:val="20"/>
        </w:rPr>
        <w:t> </w:t>
      </w:r>
      <w:r>
        <w:rPr>
          <w:sz w:val="20"/>
        </w:rPr>
        <w:t>Regulatória</w:t>
      </w:r>
      <w:r>
        <w:rPr>
          <w:spacing w:val="-19"/>
          <w:sz w:val="20"/>
        </w:rPr>
        <w:t> </w:t>
      </w:r>
      <w:r>
        <w:rPr>
          <w:sz w:val="20"/>
        </w:rPr>
        <w:t>(QRR);</w:t>
      </w:r>
      <w:r>
        <w:rPr>
          <w:spacing w:val="-20"/>
          <w:sz w:val="20"/>
        </w:rPr>
        <w:t> </w:t>
      </w:r>
      <w:r>
        <w:rPr>
          <w:sz w:val="20"/>
        </w:rPr>
        <w:t>e</w:t>
      </w:r>
    </w:p>
    <w:p>
      <w:pPr>
        <w:pStyle w:val="ListParagraph"/>
        <w:numPr>
          <w:ilvl w:val="0"/>
          <w:numId w:val="11"/>
        </w:numPr>
        <w:tabs>
          <w:tab w:pos="304" w:val="left" w:leader="none"/>
        </w:tabs>
        <w:spacing w:line="240" w:lineRule="auto" w:before="3" w:after="0"/>
        <w:ind w:left="303" w:right="0" w:hanging="112"/>
        <w:jc w:val="left"/>
        <w:rPr>
          <w:sz w:val="20"/>
        </w:rPr>
      </w:pPr>
      <w:r>
        <w:rPr>
          <w:sz w:val="20"/>
        </w:rPr>
        <w:t>Juros</w:t>
      </w:r>
      <w:r>
        <w:rPr>
          <w:spacing w:val="-17"/>
          <w:sz w:val="20"/>
        </w:rPr>
        <w:t> </w:t>
      </w:r>
      <w:r>
        <w:rPr>
          <w:sz w:val="20"/>
        </w:rPr>
        <w:t>da</w:t>
      </w:r>
      <w:r>
        <w:rPr>
          <w:spacing w:val="-18"/>
          <w:sz w:val="20"/>
        </w:rPr>
        <w:t> </w:t>
      </w:r>
      <w:r>
        <w:rPr>
          <w:sz w:val="20"/>
        </w:rPr>
        <w:t>Dívida:</w:t>
      </w:r>
      <w:r>
        <w:rPr>
          <w:spacing w:val="-16"/>
          <w:sz w:val="20"/>
        </w:rPr>
        <w:t> </w:t>
      </w:r>
      <w:r>
        <w:rPr>
          <w:sz w:val="20"/>
        </w:rPr>
        <w:t>Dívida</w:t>
      </w:r>
      <w:r>
        <w:rPr>
          <w:spacing w:val="-17"/>
          <w:sz w:val="20"/>
        </w:rPr>
        <w:t> </w:t>
      </w:r>
      <w:r>
        <w:rPr>
          <w:sz w:val="20"/>
        </w:rPr>
        <w:t>Líquida</w:t>
      </w:r>
      <w:r>
        <w:rPr>
          <w:spacing w:val="-17"/>
          <w:sz w:val="20"/>
        </w:rPr>
        <w:t> </w:t>
      </w:r>
      <w:r>
        <w:rPr>
          <w:sz w:val="20"/>
        </w:rPr>
        <w:t>Regulatória</w:t>
      </w:r>
      <w:r>
        <w:rPr>
          <w:spacing w:val="-15"/>
          <w:sz w:val="20"/>
        </w:rPr>
        <w:t> </w:t>
      </w:r>
      <w:r>
        <w:rPr>
          <w:sz w:val="20"/>
        </w:rPr>
        <w:t>x</w:t>
      </w:r>
      <w:r>
        <w:rPr>
          <w:spacing w:val="-19"/>
          <w:sz w:val="20"/>
        </w:rPr>
        <w:t> </w:t>
      </w:r>
      <w:r>
        <w:rPr>
          <w:sz w:val="20"/>
        </w:rPr>
        <w:t>(1,11</w:t>
      </w:r>
      <w:r>
        <w:rPr>
          <w:spacing w:val="-17"/>
          <w:sz w:val="20"/>
        </w:rPr>
        <w:t> </w:t>
      </w:r>
      <w:r>
        <w:rPr>
          <w:sz w:val="20"/>
        </w:rPr>
        <w:t>x</w:t>
      </w:r>
      <w:r>
        <w:rPr>
          <w:spacing w:val="-17"/>
          <w:sz w:val="20"/>
        </w:rPr>
        <w:t> </w:t>
      </w:r>
      <w:r>
        <w:rPr>
          <w:sz w:val="20"/>
        </w:rPr>
        <w:t>SELIC).</w:t>
      </w:r>
    </w:p>
    <w:p>
      <w:pPr>
        <w:pStyle w:val="BodyText"/>
        <w:spacing w:before="3"/>
      </w:pPr>
    </w:p>
    <w:p>
      <w:pPr>
        <w:pStyle w:val="BodyText"/>
        <w:spacing w:line="242" w:lineRule="auto"/>
        <w:ind w:left="192" w:right="608"/>
        <w:jc w:val="both"/>
      </w:pPr>
      <w:r>
        <w:rPr/>
        <w:t>O</w:t>
      </w:r>
      <w:r>
        <w:rPr>
          <w:spacing w:val="-42"/>
        </w:rPr>
        <w:t> </w:t>
      </w:r>
      <w:r>
        <w:rPr/>
        <w:t>descumprimento</w:t>
      </w:r>
      <w:r>
        <w:rPr>
          <w:spacing w:val="-40"/>
        </w:rPr>
        <w:t> </w:t>
      </w:r>
      <w:r>
        <w:rPr/>
        <w:t>da</w:t>
      </w:r>
      <w:r>
        <w:rPr>
          <w:spacing w:val="-41"/>
        </w:rPr>
        <w:t> </w:t>
      </w:r>
      <w:r>
        <w:rPr/>
        <w:t>referida</w:t>
      </w:r>
      <w:r>
        <w:rPr>
          <w:spacing w:val="-41"/>
        </w:rPr>
        <w:t> </w:t>
      </w:r>
      <w:r>
        <w:rPr/>
        <w:t>inequação</w:t>
      </w:r>
      <w:r>
        <w:rPr>
          <w:spacing w:val="-42"/>
        </w:rPr>
        <w:t> </w:t>
      </w:r>
      <w:r>
        <w:rPr/>
        <w:t>poderá</w:t>
      </w:r>
      <w:r>
        <w:rPr>
          <w:spacing w:val="-41"/>
        </w:rPr>
        <w:t> </w:t>
      </w:r>
      <w:r>
        <w:rPr/>
        <w:t>resultar</w:t>
      </w:r>
      <w:r>
        <w:rPr>
          <w:spacing w:val="-41"/>
        </w:rPr>
        <w:t> </w:t>
      </w:r>
      <w:r>
        <w:rPr/>
        <w:t>em:</w:t>
      </w:r>
      <w:r>
        <w:rPr>
          <w:spacing w:val="-41"/>
        </w:rPr>
        <w:t> </w:t>
      </w:r>
      <w:r>
        <w:rPr/>
        <w:t>limitação</w:t>
      </w:r>
      <w:r>
        <w:rPr>
          <w:spacing w:val="-42"/>
        </w:rPr>
        <w:t> </w:t>
      </w:r>
      <w:r>
        <w:rPr/>
        <w:t>da</w:t>
      </w:r>
      <w:r>
        <w:rPr>
          <w:spacing w:val="-39"/>
        </w:rPr>
        <w:t> </w:t>
      </w:r>
      <w:r>
        <w:rPr/>
        <w:t>distribuição</w:t>
      </w:r>
      <w:r>
        <w:rPr>
          <w:spacing w:val="-42"/>
        </w:rPr>
        <w:t> </w:t>
      </w:r>
      <w:r>
        <w:rPr/>
        <w:t>de</w:t>
      </w:r>
      <w:r>
        <w:rPr>
          <w:spacing w:val="-41"/>
        </w:rPr>
        <w:t> </w:t>
      </w:r>
      <w:r>
        <w:rPr/>
        <w:t>dividendos</w:t>
      </w:r>
      <w:r>
        <w:rPr>
          <w:spacing w:val="-41"/>
        </w:rPr>
        <w:t> </w:t>
      </w:r>
      <w:r>
        <w:rPr/>
        <w:t>ou</w:t>
      </w:r>
      <w:r>
        <w:rPr>
          <w:spacing w:val="-40"/>
        </w:rPr>
        <w:t> </w:t>
      </w:r>
      <w:r>
        <w:rPr/>
        <w:t>pagamento de</w:t>
      </w:r>
      <w:r>
        <w:rPr>
          <w:spacing w:val="-23"/>
        </w:rPr>
        <w:t> </w:t>
      </w:r>
      <w:r>
        <w:rPr/>
        <w:t>juros</w:t>
      </w:r>
      <w:r>
        <w:rPr>
          <w:spacing w:val="-21"/>
        </w:rPr>
        <w:t> </w:t>
      </w:r>
      <w:r>
        <w:rPr/>
        <w:t>sobre</w:t>
      </w:r>
      <w:r>
        <w:rPr>
          <w:spacing w:val="-22"/>
        </w:rPr>
        <w:t> </w:t>
      </w:r>
      <w:r>
        <w:rPr/>
        <w:t>capital</w:t>
      </w:r>
      <w:r>
        <w:rPr>
          <w:spacing w:val="-21"/>
        </w:rPr>
        <w:t> </w:t>
      </w:r>
      <w:r>
        <w:rPr/>
        <w:t>próprio;</w:t>
      </w:r>
      <w:r>
        <w:rPr>
          <w:spacing w:val="-22"/>
        </w:rPr>
        <w:t> </w:t>
      </w:r>
      <w:r>
        <w:rPr/>
        <w:t>regime</w:t>
      </w:r>
      <w:r>
        <w:rPr>
          <w:spacing w:val="-21"/>
        </w:rPr>
        <w:t> </w:t>
      </w:r>
      <w:r>
        <w:rPr/>
        <w:t>restritivo</w:t>
      </w:r>
      <w:r>
        <w:rPr>
          <w:spacing w:val="-20"/>
        </w:rPr>
        <w:t> </w:t>
      </w:r>
      <w:r>
        <w:rPr/>
        <w:t>de</w:t>
      </w:r>
      <w:r>
        <w:rPr>
          <w:spacing w:val="-22"/>
        </w:rPr>
        <w:t> </w:t>
      </w:r>
      <w:r>
        <w:rPr/>
        <w:t>contratos</w:t>
      </w:r>
      <w:r>
        <w:rPr>
          <w:spacing w:val="-21"/>
        </w:rPr>
        <w:t> </w:t>
      </w:r>
      <w:r>
        <w:rPr/>
        <w:t>com</w:t>
      </w:r>
      <w:r>
        <w:rPr>
          <w:spacing w:val="-21"/>
        </w:rPr>
        <w:t> </w:t>
      </w:r>
      <w:r>
        <w:rPr/>
        <w:t>Partes</w:t>
      </w:r>
      <w:r>
        <w:rPr>
          <w:spacing w:val="-21"/>
        </w:rPr>
        <w:t> </w:t>
      </w:r>
      <w:r>
        <w:rPr/>
        <w:t>Relacionadas;</w:t>
      </w:r>
      <w:r>
        <w:rPr>
          <w:spacing w:val="-21"/>
        </w:rPr>
        <w:t> </w:t>
      </w:r>
      <w:r>
        <w:rPr/>
        <w:t>e</w:t>
      </w:r>
      <w:r>
        <w:rPr>
          <w:spacing w:val="-21"/>
        </w:rPr>
        <w:t> </w:t>
      </w:r>
      <w:r>
        <w:rPr/>
        <w:t>exigência</w:t>
      </w:r>
      <w:r>
        <w:rPr>
          <w:spacing w:val="-21"/>
        </w:rPr>
        <w:t> </w:t>
      </w:r>
      <w:r>
        <w:rPr/>
        <w:t>de</w:t>
      </w:r>
      <w:r>
        <w:rPr>
          <w:spacing w:val="-23"/>
        </w:rPr>
        <w:t> </w:t>
      </w:r>
      <w:r>
        <w:rPr/>
        <w:t>Aportes</w:t>
      </w:r>
      <w:r>
        <w:rPr>
          <w:spacing w:val="-20"/>
        </w:rPr>
        <w:t> </w:t>
      </w:r>
      <w:r>
        <w:rPr/>
        <w:t>de </w:t>
      </w:r>
      <w:r>
        <w:rPr>
          <w:w w:val="95"/>
        </w:rPr>
        <w:t>Capital</w:t>
      </w:r>
      <w:r>
        <w:rPr>
          <w:spacing w:val="-16"/>
          <w:w w:val="95"/>
        </w:rPr>
        <w:t> </w:t>
      </w:r>
      <w:r>
        <w:rPr>
          <w:w w:val="95"/>
        </w:rPr>
        <w:t>dos</w:t>
      </w:r>
      <w:r>
        <w:rPr>
          <w:spacing w:val="-15"/>
          <w:w w:val="95"/>
        </w:rPr>
        <w:t> </w:t>
      </w:r>
      <w:r>
        <w:rPr>
          <w:w w:val="95"/>
        </w:rPr>
        <w:t>sócios</w:t>
      </w:r>
      <w:r>
        <w:rPr>
          <w:spacing w:val="-15"/>
          <w:w w:val="95"/>
        </w:rPr>
        <w:t> </w:t>
      </w:r>
      <w:r>
        <w:rPr>
          <w:w w:val="95"/>
        </w:rPr>
        <w:t>controladores</w:t>
      </w:r>
      <w:r>
        <w:rPr>
          <w:spacing w:val="-13"/>
          <w:w w:val="95"/>
        </w:rPr>
        <w:t> </w:t>
      </w:r>
      <w:r>
        <w:rPr>
          <w:w w:val="95"/>
        </w:rPr>
        <w:t>em</w:t>
      </w:r>
      <w:r>
        <w:rPr>
          <w:spacing w:val="-14"/>
          <w:w w:val="95"/>
        </w:rPr>
        <w:t> </w:t>
      </w:r>
      <w:r>
        <w:rPr>
          <w:w w:val="95"/>
        </w:rPr>
        <w:t>montante</w:t>
      </w:r>
      <w:r>
        <w:rPr>
          <w:spacing w:val="-17"/>
          <w:w w:val="95"/>
        </w:rPr>
        <w:t> </w:t>
      </w:r>
      <w:r>
        <w:rPr>
          <w:w w:val="95"/>
        </w:rPr>
        <w:t>suficiente</w:t>
      </w:r>
      <w:r>
        <w:rPr>
          <w:spacing w:val="-15"/>
          <w:w w:val="95"/>
        </w:rPr>
        <w:t> </w:t>
      </w:r>
      <w:r>
        <w:rPr>
          <w:w w:val="95"/>
        </w:rPr>
        <w:t>para</w:t>
      </w:r>
      <w:r>
        <w:rPr>
          <w:spacing w:val="-15"/>
          <w:w w:val="95"/>
        </w:rPr>
        <w:t> </w:t>
      </w:r>
      <w:r>
        <w:rPr>
          <w:w w:val="95"/>
        </w:rPr>
        <w:t>atender</w:t>
      </w:r>
      <w:r>
        <w:rPr>
          <w:spacing w:val="-17"/>
          <w:w w:val="95"/>
        </w:rPr>
        <w:t> </w:t>
      </w:r>
      <w:r>
        <w:rPr>
          <w:w w:val="95"/>
        </w:rPr>
        <w:t>à</w:t>
      </w:r>
      <w:r>
        <w:rPr>
          <w:spacing w:val="-15"/>
          <w:w w:val="95"/>
        </w:rPr>
        <w:t> </w:t>
      </w:r>
      <w:r>
        <w:rPr>
          <w:w w:val="95"/>
        </w:rPr>
        <w:t>condição</w:t>
      </w:r>
      <w:r>
        <w:rPr>
          <w:spacing w:val="-16"/>
          <w:w w:val="95"/>
        </w:rPr>
        <w:t> </w:t>
      </w:r>
      <w:r>
        <w:rPr>
          <w:w w:val="95"/>
        </w:rPr>
        <w:t>de</w:t>
      </w:r>
      <w:r>
        <w:rPr>
          <w:spacing w:val="-15"/>
          <w:w w:val="95"/>
        </w:rPr>
        <w:t> </w:t>
      </w:r>
      <w:r>
        <w:rPr>
          <w:w w:val="95"/>
        </w:rPr>
        <w:t>sustentabilidade</w:t>
      </w:r>
      <w:r>
        <w:rPr>
          <w:spacing w:val="-15"/>
          <w:w w:val="95"/>
        </w:rPr>
        <w:t> </w:t>
      </w:r>
      <w:r>
        <w:rPr>
          <w:w w:val="95"/>
        </w:rPr>
        <w:t>mínima,</w:t>
      </w:r>
      <w:r>
        <w:rPr>
          <w:spacing w:val="-16"/>
          <w:w w:val="95"/>
        </w:rPr>
        <w:t> </w:t>
      </w:r>
      <w:r>
        <w:rPr>
          <w:w w:val="95"/>
        </w:rPr>
        <w:t>em</w:t>
      </w:r>
      <w:r>
        <w:rPr>
          <w:spacing w:val="-16"/>
          <w:w w:val="95"/>
        </w:rPr>
        <w:t> </w:t>
      </w:r>
      <w:r>
        <w:rPr>
          <w:w w:val="95"/>
        </w:rPr>
        <w:t>até </w:t>
      </w:r>
      <w:r>
        <w:rPr/>
        <w:t>180</w:t>
      </w:r>
      <w:r>
        <w:rPr>
          <w:spacing w:val="-18"/>
        </w:rPr>
        <w:t> </w:t>
      </w:r>
      <w:r>
        <w:rPr/>
        <w:t>dias</w:t>
      </w:r>
      <w:r>
        <w:rPr>
          <w:spacing w:val="-18"/>
        </w:rPr>
        <w:t> </w:t>
      </w:r>
      <w:r>
        <w:rPr/>
        <w:t>após</w:t>
      </w:r>
      <w:r>
        <w:rPr>
          <w:spacing w:val="-17"/>
        </w:rPr>
        <w:t> </w:t>
      </w:r>
      <w:r>
        <w:rPr/>
        <w:t>o</w:t>
      </w:r>
      <w:r>
        <w:rPr>
          <w:spacing w:val="-19"/>
        </w:rPr>
        <w:t> </w:t>
      </w:r>
      <w:r>
        <w:rPr/>
        <w:t>final</w:t>
      </w:r>
      <w:r>
        <w:rPr>
          <w:spacing w:val="-18"/>
        </w:rPr>
        <w:t> </w:t>
      </w:r>
      <w:r>
        <w:rPr/>
        <w:t>do</w:t>
      </w:r>
      <w:r>
        <w:rPr>
          <w:spacing w:val="-17"/>
        </w:rPr>
        <w:t> </w:t>
      </w:r>
      <w:r>
        <w:rPr/>
        <w:t>exercício</w:t>
      </w:r>
      <w:r>
        <w:rPr>
          <w:spacing w:val="-19"/>
        </w:rPr>
        <w:t> </w:t>
      </w:r>
      <w:r>
        <w:rPr/>
        <w:t>corrente.</w:t>
      </w:r>
    </w:p>
    <w:p>
      <w:pPr>
        <w:pStyle w:val="BodyText"/>
        <w:spacing w:before="3"/>
      </w:pPr>
    </w:p>
    <w:p>
      <w:pPr>
        <w:pStyle w:val="BodyText"/>
        <w:ind w:left="192"/>
      </w:pPr>
      <w:r>
        <w:rPr/>
        <w:t>A avaliação dessa condição na Companhia está demonstrada conforme a seguir:</w:t>
      </w:r>
    </w:p>
    <w:p>
      <w:pPr>
        <w:pStyle w:val="BodyText"/>
        <w:spacing w:before="2" w:after="1"/>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5982"/>
        <w:gridCol w:w="1166"/>
        <w:gridCol w:w="1747"/>
        <w:gridCol w:w="1017"/>
      </w:tblGrid>
      <w:tr>
        <w:trPr>
          <w:trHeight w:val="373" w:hRule="atLeast"/>
        </w:trPr>
        <w:tc>
          <w:tcPr>
            <w:tcW w:w="5982" w:type="dxa"/>
            <w:shd w:val="clear" w:color="auto" w:fill="D9D9D9"/>
          </w:tcPr>
          <w:p>
            <w:pPr>
              <w:pStyle w:val="TableParagraph"/>
              <w:rPr>
                <w:rFonts w:ascii="Times New Roman"/>
                <w:sz w:val="18"/>
              </w:rPr>
            </w:pPr>
          </w:p>
        </w:tc>
        <w:tc>
          <w:tcPr>
            <w:tcW w:w="1166" w:type="dxa"/>
            <w:shd w:val="clear" w:color="auto" w:fill="D9D9D9"/>
          </w:tcPr>
          <w:p>
            <w:pPr>
              <w:pStyle w:val="TableParagraph"/>
              <w:spacing w:before="92"/>
              <w:ind w:left="393"/>
              <w:rPr>
                <w:rFonts w:ascii="Caladea"/>
                <w:b/>
                <w:sz w:val="16"/>
              </w:rPr>
            </w:pPr>
            <w:r>
              <w:rPr>
                <w:rFonts w:ascii="Caladea"/>
                <w:b/>
                <w:sz w:val="16"/>
              </w:rPr>
              <w:t>2019</w:t>
            </w:r>
          </w:p>
        </w:tc>
        <w:tc>
          <w:tcPr>
            <w:tcW w:w="1747" w:type="dxa"/>
            <w:shd w:val="clear" w:color="auto" w:fill="D9D9D9"/>
          </w:tcPr>
          <w:p>
            <w:pPr>
              <w:pStyle w:val="TableParagraph"/>
              <w:spacing w:line="186" w:lineRule="exact"/>
              <w:ind w:left="338" w:right="325"/>
              <w:jc w:val="center"/>
              <w:rPr>
                <w:rFonts w:ascii="Caladea"/>
                <w:b/>
                <w:sz w:val="16"/>
              </w:rPr>
            </w:pPr>
            <w:r>
              <w:rPr>
                <w:rFonts w:ascii="Caladea"/>
                <w:b/>
                <w:sz w:val="16"/>
              </w:rPr>
              <w:t>2018</w:t>
            </w:r>
          </w:p>
          <w:p>
            <w:pPr>
              <w:pStyle w:val="TableParagraph"/>
              <w:spacing w:line="168" w:lineRule="exact"/>
              <w:ind w:left="338" w:right="328"/>
              <w:jc w:val="center"/>
              <w:rPr>
                <w:rFonts w:ascii="Caladea"/>
                <w:b/>
                <w:sz w:val="16"/>
              </w:rPr>
            </w:pPr>
            <w:r>
              <w:rPr>
                <w:rFonts w:ascii="Caladea"/>
                <w:b/>
                <w:sz w:val="16"/>
              </w:rPr>
              <w:t>Representado</w:t>
            </w:r>
          </w:p>
        </w:tc>
        <w:tc>
          <w:tcPr>
            <w:tcW w:w="1017" w:type="dxa"/>
            <w:shd w:val="clear" w:color="auto" w:fill="D9D9D9"/>
          </w:tcPr>
          <w:p>
            <w:pPr>
              <w:pStyle w:val="TableParagraph"/>
              <w:spacing w:before="92"/>
              <w:ind w:left="320"/>
              <w:rPr>
                <w:rFonts w:ascii="Caladea"/>
                <w:b/>
                <w:sz w:val="16"/>
              </w:rPr>
            </w:pPr>
            <w:r>
              <w:rPr>
                <w:rFonts w:ascii="Caladea"/>
                <w:b/>
                <w:sz w:val="16"/>
              </w:rPr>
              <w:t>2017</w:t>
            </w:r>
          </w:p>
        </w:tc>
      </w:tr>
      <w:tr>
        <w:trPr>
          <w:trHeight w:val="299" w:hRule="atLeast"/>
        </w:trPr>
        <w:tc>
          <w:tcPr>
            <w:tcW w:w="5982" w:type="dxa"/>
          </w:tcPr>
          <w:p>
            <w:pPr>
              <w:pStyle w:val="TableParagraph"/>
              <w:spacing w:before="58"/>
              <w:ind w:left="108"/>
              <w:rPr>
                <w:sz w:val="16"/>
              </w:rPr>
            </w:pPr>
            <w:r>
              <w:rPr>
                <w:sz w:val="16"/>
              </w:rPr>
              <w:t>LAJIDA</w:t>
            </w:r>
            <w:r>
              <w:rPr>
                <w:spacing w:val="-19"/>
                <w:sz w:val="16"/>
              </w:rPr>
              <w:t> </w:t>
            </w:r>
            <w:r>
              <w:rPr>
                <w:sz w:val="16"/>
              </w:rPr>
              <w:t>Reg.</w:t>
            </w:r>
            <w:r>
              <w:rPr>
                <w:spacing w:val="-18"/>
                <w:sz w:val="16"/>
              </w:rPr>
              <w:t> </w:t>
            </w:r>
            <w:r>
              <w:rPr>
                <w:sz w:val="16"/>
              </w:rPr>
              <w:t>Ajustado</w:t>
            </w:r>
            <w:r>
              <w:rPr>
                <w:spacing w:val="-19"/>
                <w:sz w:val="16"/>
              </w:rPr>
              <w:t> </w:t>
            </w:r>
            <w:r>
              <w:rPr>
                <w:sz w:val="16"/>
              </w:rPr>
              <w:t>(-)</w:t>
            </w:r>
            <w:r>
              <w:rPr>
                <w:spacing w:val="-17"/>
                <w:sz w:val="16"/>
              </w:rPr>
              <w:t> </w:t>
            </w:r>
            <w:r>
              <w:rPr>
                <w:sz w:val="16"/>
              </w:rPr>
              <w:t>QRR</w:t>
            </w:r>
            <w:r>
              <w:rPr>
                <w:spacing w:val="-18"/>
                <w:sz w:val="16"/>
              </w:rPr>
              <w:t> </w:t>
            </w:r>
            <w:r>
              <w:rPr>
                <w:sz w:val="16"/>
              </w:rPr>
              <w:t>(-)</w:t>
            </w:r>
            <w:r>
              <w:rPr>
                <w:spacing w:val="-16"/>
                <w:sz w:val="16"/>
              </w:rPr>
              <w:t> </w:t>
            </w:r>
            <w:r>
              <w:rPr>
                <w:sz w:val="16"/>
              </w:rPr>
              <w:t>[Dívida</w:t>
            </w:r>
            <w:r>
              <w:rPr>
                <w:spacing w:val="-16"/>
                <w:sz w:val="16"/>
              </w:rPr>
              <w:t> </w:t>
            </w:r>
            <w:r>
              <w:rPr>
                <w:sz w:val="16"/>
              </w:rPr>
              <w:t>Líquida</w:t>
            </w:r>
            <w:r>
              <w:rPr>
                <w:spacing w:val="-18"/>
                <w:sz w:val="16"/>
              </w:rPr>
              <w:t> </w:t>
            </w:r>
            <w:r>
              <w:rPr>
                <w:sz w:val="16"/>
              </w:rPr>
              <w:t>Regulatória</w:t>
            </w:r>
            <w:r>
              <w:rPr>
                <w:spacing w:val="-16"/>
                <w:sz w:val="16"/>
              </w:rPr>
              <w:t> </w:t>
            </w:r>
            <w:r>
              <w:rPr>
                <w:sz w:val="16"/>
              </w:rPr>
              <w:t>x</w:t>
            </w:r>
            <w:r>
              <w:rPr>
                <w:spacing w:val="-17"/>
                <w:sz w:val="16"/>
              </w:rPr>
              <w:t> </w:t>
            </w:r>
            <w:r>
              <w:rPr>
                <w:sz w:val="16"/>
              </w:rPr>
              <w:t>1/</w:t>
            </w:r>
            <w:r>
              <w:rPr>
                <w:spacing w:val="-19"/>
                <w:sz w:val="16"/>
              </w:rPr>
              <w:t> </w:t>
            </w:r>
            <w:r>
              <w:rPr>
                <w:sz w:val="16"/>
              </w:rPr>
              <w:t>(1,1</w:t>
            </w:r>
            <w:r>
              <w:rPr>
                <w:spacing w:val="-18"/>
                <w:sz w:val="16"/>
              </w:rPr>
              <w:t> </w:t>
            </w:r>
            <w:r>
              <w:rPr>
                <w:sz w:val="16"/>
              </w:rPr>
              <w:t>*</w:t>
            </w:r>
            <w:r>
              <w:rPr>
                <w:spacing w:val="-18"/>
                <w:sz w:val="16"/>
              </w:rPr>
              <w:t> </w:t>
            </w:r>
            <w:r>
              <w:rPr>
                <w:sz w:val="16"/>
              </w:rPr>
              <w:t>SELIC)]</w:t>
            </w:r>
            <w:r>
              <w:rPr>
                <w:spacing w:val="-17"/>
                <w:sz w:val="16"/>
              </w:rPr>
              <w:t> </w:t>
            </w:r>
            <w:r>
              <w:rPr>
                <w:sz w:val="16"/>
              </w:rPr>
              <w:t>≥</w:t>
            </w:r>
            <w:r>
              <w:rPr>
                <w:spacing w:val="-17"/>
                <w:sz w:val="16"/>
              </w:rPr>
              <w:t> </w:t>
            </w:r>
            <w:r>
              <w:rPr>
                <w:sz w:val="16"/>
              </w:rPr>
              <w:t>0</w:t>
            </w:r>
          </w:p>
        </w:tc>
        <w:tc>
          <w:tcPr>
            <w:tcW w:w="1166" w:type="dxa"/>
          </w:tcPr>
          <w:p>
            <w:pPr>
              <w:pStyle w:val="TableParagraph"/>
              <w:spacing w:before="58"/>
              <w:ind w:left="621"/>
              <w:rPr>
                <w:sz w:val="16"/>
              </w:rPr>
            </w:pPr>
            <w:r>
              <w:rPr>
                <w:sz w:val="16"/>
              </w:rPr>
              <w:t>28.841</w:t>
            </w:r>
          </w:p>
        </w:tc>
        <w:tc>
          <w:tcPr>
            <w:tcW w:w="1747" w:type="dxa"/>
          </w:tcPr>
          <w:p>
            <w:pPr>
              <w:pStyle w:val="TableParagraph"/>
              <w:spacing w:before="58"/>
              <w:ind w:left="1080"/>
              <w:rPr>
                <w:sz w:val="16"/>
              </w:rPr>
            </w:pPr>
            <w:r>
              <w:rPr>
                <w:sz w:val="16"/>
              </w:rPr>
              <w:t>(81.173)</w:t>
            </w:r>
          </w:p>
        </w:tc>
        <w:tc>
          <w:tcPr>
            <w:tcW w:w="1017" w:type="dxa"/>
          </w:tcPr>
          <w:p>
            <w:pPr>
              <w:pStyle w:val="TableParagraph"/>
              <w:spacing w:before="58"/>
              <w:ind w:left="474"/>
              <w:rPr>
                <w:sz w:val="16"/>
              </w:rPr>
            </w:pPr>
            <w:r>
              <w:rPr>
                <w:sz w:val="16"/>
              </w:rPr>
              <w:t>22.410</w:t>
            </w:r>
          </w:p>
        </w:tc>
      </w:tr>
    </w:tbl>
    <w:p>
      <w:pPr>
        <w:pStyle w:val="BodyText"/>
        <w:spacing w:before="7"/>
      </w:pPr>
    </w:p>
    <w:p>
      <w:pPr>
        <w:pStyle w:val="BodyText"/>
        <w:spacing w:line="242" w:lineRule="auto"/>
        <w:ind w:left="192" w:right="609"/>
        <w:jc w:val="both"/>
      </w:pPr>
      <w:r>
        <w:rPr/>
        <w:t>Em 2019, o Indicador Regulatório atingiu R$ 28.841, atendendo ao estabelecido no referido Termo Aditivo ao Contrato de Concessão, bem como na Resolução Normativa nº 787/2017-ANEEL. Em 30 de junho de 2019, a Controladora</w:t>
      </w:r>
      <w:r>
        <w:rPr>
          <w:spacing w:val="-34"/>
        </w:rPr>
        <w:t> </w:t>
      </w:r>
      <w:r>
        <w:rPr/>
        <w:t>repassou</w:t>
      </w:r>
      <w:r>
        <w:rPr>
          <w:spacing w:val="-33"/>
        </w:rPr>
        <w:t> </w:t>
      </w:r>
      <w:r>
        <w:rPr/>
        <w:t>à</w:t>
      </w:r>
      <w:r>
        <w:rPr>
          <w:spacing w:val="-34"/>
        </w:rPr>
        <w:t> </w:t>
      </w:r>
      <w:r>
        <w:rPr/>
        <w:t>CEB</w:t>
      </w:r>
      <w:r>
        <w:rPr>
          <w:spacing w:val="-34"/>
        </w:rPr>
        <w:t> </w:t>
      </w:r>
      <w:r>
        <w:rPr/>
        <w:t>DIS</w:t>
      </w:r>
      <w:r>
        <w:rPr>
          <w:spacing w:val="-32"/>
        </w:rPr>
        <w:t> </w:t>
      </w:r>
      <w:r>
        <w:rPr/>
        <w:t>o</w:t>
      </w:r>
      <w:r>
        <w:rPr>
          <w:spacing w:val="-35"/>
        </w:rPr>
        <w:t> </w:t>
      </w:r>
      <w:r>
        <w:rPr/>
        <w:t>valor</w:t>
      </w:r>
      <w:r>
        <w:rPr>
          <w:spacing w:val="-33"/>
        </w:rPr>
        <w:t> </w:t>
      </w:r>
      <w:r>
        <w:rPr/>
        <w:t>de</w:t>
      </w:r>
      <w:r>
        <w:rPr>
          <w:spacing w:val="-35"/>
        </w:rPr>
        <w:t> </w:t>
      </w:r>
      <w:r>
        <w:rPr>
          <w:spacing w:val="2"/>
        </w:rPr>
        <w:t>R$</w:t>
      </w:r>
      <w:r>
        <w:rPr>
          <w:spacing w:val="-33"/>
        </w:rPr>
        <w:t> </w:t>
      </w:r>
      <w:r>
        <w:rPr/>
        <w:t>81.173,</w:t>
      </w:r>
      <w:r>
        <w:rPr>
          <w:spacing w:val="-34"/>
        </w:rPr>
        <w:t> </w:t>
      </w:r>
      <w:r>
        <w:rPr/>
        <w:t>a</w:t>
      </w:r>
      <w:r>
        <w:rPr>
          <w:spacing w:val="-32"/>
        </w:rPr>
        <w:t> </w:t>
      </w:r>
      <w:r>
        <w:rPr/>
        <w:t>título</w:t>
      </w:r>
      <w:r>
        <w:rPr>
          <w:spacing w:val="-33"/>
        </w:rPr>
        <w:t> </w:t>
      </w:r>
      <w:r>
        <w:rPr/>
        <w:t>de</w:t>
      </w:r>
      <w:r>
        <w:rPr>
          <w:spacing w:val="-34"/>
        </w:rPr>
        <w:t> </w:t>
      </w:r>
      <w:r>
        <w:rPr/>
        <w:t>Aporte</w:t>
      </w:r>
      <w:r>
        <w:rPr>
          <w:spacing w:val="-35"/>
        </w:rPr>
        <w:t> </w:t>
      </w:r>
      <w:r>
        <w:rPr/>
        <w:t>de</w:t>
      </w:r>
      <w:r>
        <w:rPr>
          <w:spacing w:val="-33"/>
        </w:rPr>
        <w:t> </w:t>
      </w:r>
      <w:r>
        <w:rPr/>
        <w:t>Capital,</w:t>
      </w:r>
      <w:r>
        <w:rPr>
          <w:spacing w:val="-33"/>
        </w:rPr>
        <w:t> </w:t>
      </w:r>
      <w:r>
        <w:rPr/>
        <w:t>conforme</w:t>
      </w:r>
      <w:r>
        <w:rPr>
          <w:spacing w:val="-33"/>
        </w:rPr>
        <w:t> </w:t>
      </w:r>
      <w:r>
        <w:rPr/>
        <w:t>preceitua</w:t>
      </w:r>
      <w:r>
        <w:rPr>
          <w:spacing w:val="-32"/>
        </w:rPr>
        <w:t> </w:t>
      </w:r>
      <w:r>
        <w:rPr/>
        <w:t>os</w:t>
      </w:r>
      <w:r>
        <w:rPr>
          <w:spacing w:val="-34"/>
        </w:rPr>
        <w:t> </w:t>
      </w:r>
      <w:r>
        <w:rPr/>
        <w:t>referidos normativos,</w:t>
      </w:r>
      <w:r>
        <w:rPr>
          <w:spacing w:val="-21"/>
        </w:rPr>
        <w:t> </w:t>
      </w:r>
      <w:r>
        <w:rPr/>
        <w:t>tendo</w:t>
      </w:r>
      <w:r>
        <w:rPr>
          <w:spacing w:val="-18"/>
        </w:rPr>
        <w:t> </w:t>
      </w:r>
      <w:r>
        <w:rPr/>
        <w:t>em</w:t>
      </w:r>
      <w:r>
        <w:rPr>
          <w:spacing w:val="-18"/>
        </w:rPr>
        <w:t> </w:t>
      </w:r>
      <w:r>
        <w:rPr/>
        <w:t>vista</w:t>
      </w:r>
      <w:r>
        <w:rPr>
          <w:spacing w:val="-17"/>
        </w:rPr>
        <w:t> </w:t>
      </w:r>
      <w:r>
        <w:rPr/>
        <w:t>o</w:t>
      </w:r>
      <w:r>
        <w:rPr>
          <w:spacing w:val="-20"/>
        </w:rPr>
        <w:t> </w:t>
      </w:r>
      <w:r>
        <w:rPr/>
        <w:t>descumprimento</w:t>
      </w:r>
      <w:r>
        <w:rPr>
          <w:spacing w:val="-18"/>
        </w:rPr>
        <w:t> </w:t>
      </w:r>
      <w:r>
        <w:rPr/>
        <w:t>da</w:t>
      </w:r>
      <w:r>
        <w:rPr>
          <w:spacing w:val="-19"/>
        </w:rPr>
        <w:t> </w:t>
      </w:r>
      <w:r>
        <w:rPr/>
        <w:t>condição</w:t>
      </w:r>
      <w:r>
        <w:rPr>
          <w:spacing w:val="-20"/>
        </w:rPr>
        <w:t> </w:t>
      </w:r>
      <w:r>
        <w:rPr/>
        <w:t>em</w:t>
      </w:r>
      <w:r>
        <w:rPr>
          <w:spacing w:val="-18"/>
        </w:rPr>
        <w:t> </w:t>
      </w:r>
      <w:r>
        <w:rPr/>
        <w:t>2018.</w:t>
      </w:r>
    </w:p>
    <w:p>
      <w:pPr>
        <w:pStyle w:val="BodyText"/>
      </w:pPr>
    </w:p>
    <w:p>
      <w:pPr>
        <w:pStyle w:val="BodyText"/>
        <w:spacing w:line="242" w:lineRule="auto" w:before="1"/>
        <w:ind w:left="192"/>
      </w:pPr>
      <w:r>
        <w:rPr/>
        <w:t>O</w:t>
      </w:r>
      <w:r>
        <w:rPr>
          <w:spacing w:val="-23"/>
        </w:rPr>
        <w:t> </w:t>
      </w:r>
      <w:r>
        <w:rPr/>
        <w:t>resultado</w:t>
      </w:r>
      <w:r>
        <w:rPr>
          <w:spacing w:val="-21"/>
        </w:rPr>
        <w:t> </w:t>
      </w:r>
      <w:r>
        <w:rPr/>
        <w:t>da</w:t>
      </w:r>
      <w:r>
        <w:rPr>
          <w:spacing w:val="-21"/>
        </w:rPr>
        <w:t> </w:t>
      </w:r>
      <w:r>
        <w:rPr/>
        <w:t>inequação</w:t>
      </w:r>
      <w:r>
        <w:rPr>
          <w:spacing w:val="-22"/>
        </w:rPr>
        <w:t> </w:t>
      </w:r>
      <w:r>
        <w:rPr/>
        <w:t>obrigatória</w:t>
      </w:r>
      <w:r>
        <w:rPr>
          <w:spacing w:val="-20"/>
        </w:rPr>
        <w:t> </w:t>
      </w:r>
      <w:r>
        <w:rPr/>
        <w:t>para</w:t>
      </w:r>
      <w:r>
        <w:rPr>
          <w:spacing w:val="-21"/>
        </w:rPr>
        <w:t> </w:t>
      </w:r>
      <w:r>
        <w:rPr/>
        <w:t>o</w:t>
      </w:r>
      <w:r>
        <w:rPr>
          <w:spacing w:val="-22"/>
        </w:rPr>
        <w:t> </w:t>
      </w:r>
      <w:r>
        <w:rPr/>
        <w:t>exercício</w:t>
      </w:r>
      <w:r>
        <w:rPr>
          <w:spacing w:val="-21"/>
        </w:rPr>
        <w:t> </w:t>
      </w:r>
      <w:r>
        <w:rPr/>
        <w:t>de</w:t>
      </w:r>
      <w:r>
        <w:rPr>
          <w:spacing w:val="-21"/>
        </w:rPr>
        <w:t> </w:t>
      </w:r>
      <w:r>
        <w:rPr/>
        <w:t>2019</w:t>
      </w:r>
      <w:r>
        <w:rPr>
          <w:spacing w:val="-22"/>
        </w:rPr>
        <w:t> </w:t>
      </w:r>
      <w:r>
        <w:rPr/>
        <w:t>foi</w:t>
      </w:r>
      <w:r>
        <w:rPr>
          <w:spacing w:val="-22"/>
        </w:rPr>
        <w:t> </w:t>
      </w:r>
      <w:r>
        <w:rPr/>
        <w:t>apurado</w:t>
      </w:r>
      <w:r>
        <w:rPr>
          <w:spacing w:val="-21"/>
        </w:rPr>
        <w:t> </w:t>
      </w:r>
      <w:r>
        <w:rPr/>
        <w:t>pela</w:t>
      </w:r>
      <w:r>
        <w:rPr>
          <w:spacing w:val="-21"/>
        </w:rPr>
        <w:t> </w:t>
      </w:r>
      <w:r>
        <w:rPr/>
        <w:t>CEB</w:t>
      </w:r>
      <w:r>
        <w:rPr>
          <w:spacing w:val="-22"/>
        </w:rPr>
        <w:t> </w:t>
      </w:r>
      <w:r>
        <w:rPr/>
        <w:t>DIS</w:t>
      </w:r>
      <w:r>
        <w:rPr>
          <w:spacing w:val="-21"/>
        </w:rPr>
        <w:t> </w:t>
      </w:r>
      <w:r>
        <w:rPr/>
        <w:t>de</w:t>
      </w:r>
      <w:r>
        <w:rPr>
          <w:spacing w:val="-22"/>
        </w:rPr>
        <w:t> </w:t>
      </w:r>
      <w:r>
        <w:rPr/>
        <w:t>acordo</w:t>
      </w:r>
      <w:r>
        <w:rPr>
          <w:spacing w:val="-22"/>
        </w:rPr>
        <w:t> </w:t>
      </w:r>
      <w:r>
        <w:rPr/>
        <w:t>com</w:t>
      </w:r>
      <w:r>
        <w:rPr>
          <w:spacing w:val="-21"/>
        </w:rPr>
        <w:t> </w:t>
      </w:r>
      <w:r>
        <w:rPr/>
        <w:t>os</w:t>
      </w:r>
      <w:r>
        <w:rPr>
          <w:spacing w:val="-21"/>
        </w:rPr>
        <w:t> </w:t>
      </w:r>
      <w:r>
        <w:rPr/>
        <w:t>critérios estabelecidos</w:t>
      </w:r>
      <w:r>
        <w:rPr>
          <w:spacing w:val="-21"/>
        </w:rPr>
        <w:t> </w:t>
      </w:r>
      <w:r>
        <w:rPr/>
        <w:t>na</w:t>
      </w:r>
      <w:r>
        <w:rPr>
          <w:spacing w:val="-22"/>
        </w:rPr>
        <w:t> </w:t>
      </w:r>
      <w:r>
        <w:rPr/>
        <w:t>Resolução</w:t>
      </w:r>
      <w:r>
        <w:rPr>
          <w:spacing w:val="-21"/>
        </w:rPr>
        <w:t> </w:t>
      </w:r>
      <w:r>
        <w:rPr/>
        <w:t>Normativa</w:t>
      </w:r>
      <w:r>
        <w:rPr>
          <w:spacing w:val="-22"/>
        </w:rPr>
        <w:t> </w:t>
      </w:r>
      <w:r>
        <w:rPr/>
        <w:t>nº</w:t>
      </w:r>
      <w:r>
        <w:rPr>
          <w:spacing w:val="-20"/>
        </w:rPr>
        <w:t> </w:t>
      </w:r>
      <w:r>
        <w:rPr/>
        <w:t>787/2017-ANEEL,</w:t>
      </w:r>
      <w:r>
        <w:rPr>
          <w:spacing w:val="-23"/>
        </w:rPr>
        <w:t> </w:t>
      </w:r>
      <w:r>
        <w:rPr/>
        <w:t>restando</w:t>
      </w:r>
      <w:r>
        <w:rPr>
          <w:spacing w:val="-23"/>
        </w:rPr>
        <w:t> </w:t>
      </w:r>
      <w:r>
        <w:rPr/>
        <w:t>avaliação</w:t>
      </w:r>
      <w:r>
        <w:rPr>
          <w:spacing w:val="-23"/>
        </w:rPr>
        <w:t> </w:t>
      </w:r>
      <w:r>
        <w:rPr/>
        <w:t>do</w:t>
      </w:r>
      <w:r>
        <w:rPr>
          <w:spacing w:val="-22"/>
        </w:rPr>
        <w:t> </w:t>
      </w:r>
      <w:r>
        <w:rPr/>
        <w:t>Órgão</w:t>
      </w:r>
      <w:r>
        <w:rPr>
          <w:spacing w:val="-23"/>
        </w:rPr>
        <w:t> </w:t>
      </w:r>
      <w:r>
        <w:rPr/>
        <w:t>Regulador.</w:t>
      </w:r>
    </w:p>
    <w:p>
      <w:pPr>
        <w:pStyle w:val="BodyText"/>
        <w:spacing w:before="1"/>
      </w:pPr>
    </w:p>
    <w:p>
      <w:pPr>
        <w:pStyle w:val="BodyText"/>
        <w:spacing w:line="242" w:lineRule="auto" w:before="1"/>
        <w:ind w:left="192" w:right="551"/>
      </w:pPr>
      <w:r>
        <w:rPr/>
        <w:t>Após</w:t>
      </w:r>
      <w:r>
        <w:rPr>
          <w:spacing w:val="-32"/>
        </w:rPr>
        <w:t> </w:t>
      </w:r>
      <w:r>
        <w:rPr/>
        <w:t>o</w:t>
      </w:r>
      <w:r>
        <w:rPr>
          <w:spacing w:val="-31"/>
        </w:rPr>
        <w:t> </w:t>
      </w:r>
      <w:r>
        <w:rPr/>
        <w:t>sexto</w:t>
      </w:r>
      <w:r>
        <w:rPr>
          <w:spacing w:val="-32"/>
        </w:rPr>
        <w:t> </w:t>
      </w:r>
      <w:r>
        <w:rPr/>
        <w:t>ano</w:t>
      </w:r>
      <w:r>
        <w:rPr>
          <w:spacing w:val="-31"/>
        </w:rPr>
        <w:t> </w:t>
      </w:r>
      <w:r>
        <w:rPr/>
        <w:t>do</w:t>
      </w:r>
      <w:r>
        <w:rPr>
          <w:spacing w:val="-31"/>
        </w:rPr>
        <w:t> </w:t>
      </w:r>
      <w:r>
        <w:rPr/>
        <w:t>citado</w:t>
      </w:r>
      <w:r>
        <w:rPr>
          <w:spacing w:val="-30"/>
        </w:rPr>
        <w:t> </w:t>
      </w:r>
      <w:r>
        <w:rPr/>
        <w:t>Termo</w:t>
      </w:r>
      <w:r>
        <w:rPr>
          <w:spacing w:val="-31"/>
        </w:rPr>
        <w:t> </w:t>
      </w:r>
      <w:r>
        <w:rPr/>
        <w:t>Aditivo</w:t>
      </w:r>
      <w:r>
        <w:rPr>
          <w:spacing w:val="-31"/>
        </w:rPr>
        <w:t> </w:t>
      </w:r>
      <w:r>
        <w:rPr/>
        <w:t>ao</w:t>
      </w:r>
      <w:r>
        <w:rPr>
          <w:spacing w:val="-30"/>
        </w:rPr>
        <w:t> </w:t>
      </w:r>
      <w:r>
        <w:rPr/>
        <w:t>Contrato</w:t>
      </w:r>
      <w:r>
        <w:rPr>
          <w:spacing w:val="-31"/>
        </w:rPr>
        <w:t> </w:t>
      </w:r>
      <w:r>
        <w:rPr/>
        <w:t>de</w:t>
      </w:r>
      <w:r>
        <w:rPr>
          <w:spacing w:val="-32"/>
        </w:rPr>
        <w:t> </w:t>
      </w:r>
      <w:r>
        <w:rPr/>
        <w:t>Concessão,</w:t>
      </w:r>
      <w:r>
        <w:rPr>
          <w:spacing w:val="-31"/>
        </w:rPr>
        <w:t> </w:t>
      </w:r>
      <w:r>
        <w:rPr/>
        <w:t>o</w:t>
      </w:r>
      <w:r>
        <w:rPr>
          <w:spacing w:val="-31"/>
        </w:rPr>
        <w:t> </w:t>
      </w:r>
      <w:r>
        <w:rPr/>
        <w:t>descumprimento</w:t>
      </w:r>
      <w:r>
        <w:rPr>
          <w:spacing w:val="-32"/>
        </w:rPr>
        <w:t> </w:t>
      </w:r>
      <w:r>
        <w:rPr/>
        <w:t>desses</w:t>
      </w:r>
      <w:r>
        <w:rPr>
          <w:spacing w:val="-29"/>
        </w:rPr>
        <w:t> </w:t>
      </w:r>
      <w:r>
        <w:rPr/>
        <w:t>indicadores</w:t>
      </w:r>
      <w:r>
        <w:rPr>
          <w:spacing w:val="-29"/>
        </w:rPr>
        <w:t> </w:t>
      </w:r>
      <w:r>
        <w:rPr/>
        <w:t>durante dois</w:t>
      </w:r>
      <w:r>
        <w:rPr>
          <w:spacing w:val="-21"/>
        </w:rPr>
        <w:t> </w:t>
      </w:r>
      <w:r>
        <w:rPr/>
        <w:t>anos</w:t>
      </w:r>
      <w:r>
        <w:rPr>
          <w:spacing w:val="-21"/>
        </w:rPr>
        <w:t> </w:t>
      </w:r>
      <w:r>
        <w:rPr/>
        <w:t>consecutivos</w:t>
      </w:r>
      <w:r>
        <w:rPr>
          <w:spacing w:val="-21"/>
        </w:rPr>
        <w:t> </w:t>
      </w:r>
      <w:r>
        <w:rPr/>
        <w:t>resultará</w:t>
      </w:r>
      <w:r>
        <w:rPr>
          <w:spacing w:val="-20"/>
        </w:rPr>
        <w:t> </w:t>
      </w:r>
      <w:r>
        <w:rPr/>
        <w:t>na</w:t>
      </w:r>
      <w:r>
        <w:rPr>
          <w:spacing w:val="-21"/>
        </w:rPr>
        <w:t> </w:t>
      </w:r>
      <w:r>
        <w:rPr/>
        <w:t>abertura</w:t>
      </w:r>
      <w:r>
        <w:rPr>
          <w:spacing w:val="-21"/>
        </w:rPr>
        <w:t> </w:t>
      </w:r>
      <w:r>
        <w:rPr/>
        <w:t>do</w:t>
      </w:r>
      <w:r>
        <w:rPr>
          <w:spacing w:val="-22"/>
        </w:rPr>
        <w:t> </w:t>
      </w:r>
      <w:r>
        <w:rPr/>
        <w:t>processo</w:t>
      </w:r>
      <w:r>
        <w:rPr>
          <w:spacing w:val="-21"/>
        </w:rPr>
        <w:t> </w:t>
      </w:r>
      <w:r>
        <w:rPr/>
        <w:t>de</w:t>
      </w:r>
      <w:r>
        <w:rPr>
          <w:spacing w:val="-21"/>
        </w:rPr>
        <w:t> </w:t>
      </w:r>
      <w:r>
        <w:rPr/>
        <w:t>caducidade</w:t>
      </w:r>
      <w:r>
        <w:rPr>
          <w:spacing w:val="-21"/>
        </w:rPr>
        <w:t> </w:t>
      </w:r>
      <w:r>
        <w:rPr/>
        <w:t>da</w:t>
      </w:r>
      <w:r>
        <w:rPr>
          <w:spacing w:val="-20"/>
        </w:rPr>
        <w:t> </w:t>
      </w:r>
      <w:r>
        <w:rPr/>
        <w:t>concessão.</w:t>
      </w:r>
    </w:p>
    <w:p>
      <w:pPr>
        <w:pStyle w:val="BodyText"/>
        <w:spacing w:before="7"/>
      </w:pPr>
    </w:p>
    <w:p>
      <w:pPr>
        <w:spacing w:before="0"/>
        <w:ind w:left="192" w:right="0" w:firstLine="0"/>
        <w:jc w:val="left"/>
        <w:rPr>
          <w:rFonts w:ascii="Caladea"/>
          <w:b/>
          <w:sz w:val="20"/>
        </w:rPr>
      </w:pPr>
      <w:r>
        <w:rPr>
          <w:rFonts w:ascii="Caladea"/>
          <w:b/>
          <w:sz w:val="20"/>
        </w:rPr>
        <w:t>Limites anuais globais de indicadores de continuidade coletivos</w:t>
      </w:r>
    </w:p>
    <w:p>
      <w:pPr>
        <w:pStyle w:val="BodyText"/>
        <w:spacing w:before="6"/>
        <w:rPr>
          <w:rFonts w:ascii="Caladea"/>
          <w:b/>
        </w:rPr>
      </w:pPr>
    </w:p>
    <w:p>
      <w:pPr>
        <w:pStyle w:val="BodyText"/>
        <w:spacing w:line="242" w:lineRule="auto"/>
        <w:ind w:left="192" w:right="551"/>
      </w:pPr>
      <w:r>
        <w:rPr/>
        <w:t>A</w:t>
      </w:r>
      <w:r>
        <w:rPr>
          <w:spacing w:val="-33"/>
        </w:rPr>
        <w:t> </w:t>
      </w:r>
      <w:r>
        <w:rPr/>
        <w:t>ANEEL</w:t>
      </w:r>
      <w:r>
        <w:rPr>
          <w:spacing w:val="-31"/>
        </w:rPr>
        <w:t> </w:t>
      </w:r>
      <w:r>
        <w:rPr/>
        <w:t>define</w:t>
      </w:r>
      <w:r>
        <w:rPr>
          <w:spacing w:val="-33"/>
        </w:rPr>
        <w:t> </w:t>
      </w:r>
      <w:r>
        <w:rPr/>
        <w:t>os</w:t>
      </w:r>
      <w:r>
        <w:rPr>
          <w:spacing w:val="-33"/>
        </w:rPr>
        <w:t> </w:t>
      </w:r>
      <w:r>
        <w:rPr/>
        <w:t>indicadores</w:t>
      </w:r>
      <w:r>
        <w:rPr>
          <w:spacing w:val="-32"/>
        </w:rPr>
        <w:t> </w:t>
      </w:r>
      <w:r>
        <w:rPr/>
        <w:t>de</w:t>
      </w:r>
      <w:r>
        <w:rPr>
          <w:spacing w:val="-31"/>
        </w:rPr>
        <w:t> </w:t>
      </w:r>
      <w:r>
        <w:rPr/>
        <w:t>qualidade</w:t>
      </w:r>
      <w:r>
        <w:rPr>
          <w:spacing w:val="-34"/>
        </w:rPr>
        <w:t> </w:t>
      </w:r>
      <w:r>
        <w:rPr/>
        <w:t>operacional,</w:t>
      </w:r>
      <w:r>
        <w:rPr>
          <w:spacing w:val="-31"/>
        </w:rPr>
        <w:t> </w:t>
      </w:r>
      <w:r>
        <w:rPr/>
        <w:t>a</w:t>
      </w:r>
      <w:r>
        <w:rPr>
          <w:spacing w:val="-32"/>
        </w:rPr>
        <w:t> </w:t>
      </w:r>
      <w:r>
        <w:rPr/>
        <w:t>serem</w:t>
      </w:r>
      <w:r>
        <w:rPr>
          <w:spacing w:val="-33"/>
        </w:rPr>
        <w:t> </w:t>
      </w:r>
      <w:r>
        <w:rPr/>
        <w:t>atendidos</w:t>
      </w:r>
      <w:r>
        <w:rPr>
          <w:spacing w:val="-32"/>
        </w:rPr>
        <w:t> </w:t>
      </w:r>
      <w:r>
        <w:rPr/>
        <w:t>pelas</w:t>
      </w:r>
      <w:r>
        <w:rPr>
          <w:spacing w:val="-32"/>
        </w:rPr>
        <w:t> </w:t>
      </w:r>
      <w:r>
        <w:rPr/>
        <w:t>distribuidoras</w:t>
      </w:r>
      <w:r>
        <w:rPr>
          <w:spacing w:val="-32"/>
        </w:rPr>
        <w:t> </w:t>
      </w:r>
      <w:r>
        <w:rPr/>
        <w:t>durante</w:t>
      </w:r>
      <w:r>
        <w:rPr>
          <w:spacing w:val="-33"/>
        </w:rPr>
        <w:t> </w:t>
      </w:r>
      <w:r>
        <w:rPr/>
        <w:t>o</w:t>
      </w:r>
      <w:r>
        <w:rPr>
          <w:spacing w:val="-32"/>
        </w:rPr>
        <w:t> </w:t>
      </w:r>
      <w:r>
        <w:rPr/>
        <w:t>processo de</w:t>
      </w:r>
      <w:r>
        <w:rPr>
          <w:spacing w:val="-19"/>
        </w:rPr>
        <w:t> </w:t>
      </w:r>
      <w:r>
        <w:rPr/>
        <w:t>revisão</w:t>
      </w:r>
      <w:r>
        <w:rPr>
          <w:spacing w:val="-20"/>
        </w:rPr>
        <w:t> </w:t>
      </w:r>
      <w:r>
        <w:rPr/>
        <w:t>tarifária,</w:t>
      </w:r>
      <w:r>
        <w:rPr>
          <w:spacing w:val="-20"/>
        </w:rPr>
        <w:t> </w:t>
      </w:r>
      <w:r>
        <w:rPr/>
        <w:t>por</w:t>
      </w:r>
      <w:r>
        <w:rPr>
          <w:spacing w:val="-18"/>
        </w:rPr>
        <w:t> </w:t>
      </w:r>
      <w:r>
        <w:rPr/>
        <w:t>meio</w:t>
      </w:r>
      <w:r>
        <w:rPr>
          <w:spacing w:val="-20"/>
        </w:rPr>
        <w:t> </w:t>
      </w:r>
      <w:r>
        <w:rPr/>
        <w:t>de</w:t>
      </w:r>
      <w:r>
        <w:rPr>
          <w:spacing w:val="-19"/>
        </w:rPr>
        <w:t> </w:t>
      </w:r>
      <w:r>
        <w:rPr/>
        <w:t>resoluções</w:t>
      </w:r>
      <w:r>
        <w:rPr>
          <w:spacing w:val="-15"/>
        </w:rPr>
        <w:t> </w:t>
      </w:r>
      <w:r>
        <w:rPr/>
        <w:t>autorizativas.</w:t>
      </w:r>
    </w:p>
    <w:p>
      <w:pPr>
        <w:pStyle w:val="BodyText"/>
        <w:spacing w:before="2"/>
      </w:pPr>
    </w:p>
    <w:p>
      <w:pPr>
        <w:pStyle w:val="BodyText"/>
        <w:spacing w:line="242" w:lineRule="auto"/>
        <w:ind w:left="192" w:right="611"/>
        <w:jc w:val="both"/>
      </w:pPr>
      <w:r>
        <w:rPr>
          <w:w w:val="105"/>
        </w:rPr>
        <w:t>A</w:t>
      </w:r>
      <w:r>
        <w:rPr>
          <w:spacing w:val="-39"/>
          <w:w w:val="105"/>
        </w:rPr>
        <w:t> </w:t>
      </w:r>
      <w:r>
        <w:rPr>
          <w:w w:val="105"/>
        </w:rPr>
        <w:t>Resolução</w:t>
      </w:r>
      <w:r>
        <w:rPr>
          <w:spacing w:val="-39"/>
          <w:w w:val="105"/>
        </w:rPr>
        <w:t> </w:t>
      </w:r>
      <w:r>
        <w:rPr>
          <w:w w:val="105"/>
        </w:rPr>
        <w:t>Autorizativa</w:t>
      </w:r>
      <w:r>
        <w:rPr>
          <w:spacing w:val="-38"/>
          <w:w w:val="105"/>
        </w:rPr>
        <w:t> </w:t>
      </w:r>
      <w:r>
        <w:rPr>
          <w:w w:val="105"/>
        </w:rPr>
        <w:t>nº</w:t>
      </w:r>
      <w:r>
        <w:rPr>
          <w:spacing w:val="-38"/>
          <w:w w:val="105"/>
        </w:rPr>
        <w:t> </w:t>
      </w:r>
      <w:r>
        <w:rPr>
          <w:w w:val="105"/>
        </w:rPr>
        <w:t>6.092/2016,</w:t>
      </w:r>
      <w:r>
        <w:rPr>
          <w:spacing w:val="-38"/>
          <w:w w:val="105"/>
        </w:rPr>
        <w:t> </w:t>
      </w:r>
      <w:r>
        <w:rPr>
          <w:w w:val="105"/>
        </w:rPr>
        <w:t>norteia</w:t>
      </w:r>
      <w:r>
        <w:rPr>
          <w:spacing w:val="-38"/>
          <w:w w:val="105"/>
        </w:rPr>
        <w:t> </w:t>
      </w:r>
      <w:r>
        <w:rPr>
          <w:w w:val="105"/>
        </w:rPr>
        <w:t>os</w:t>
      </w:r>
      <w:r>
        <w:rPr>
          <w:spacing w:val="-38"/>
          <w:w w:val="105"/>
        </w:rPr>
        <w:t> </w:t>
      </w:r>
      <w:r>
        <w:rPr>
          <w:w w:val="105"/>
        </w:rPr>
        <w:t>limites</w:t>
      </w:r>
      <w:r>
        <w:rPr>
          <w:spacing w:val="-38"/>
          <w:w w:val="105"/>
        </w:rPr>
        <w:t> </w:t>
      </w:r>
      <w:r>
        <w:rPr>
          <w:w w:val="105"/>
        </w:rPr>
        <w:t>de</w:t>
      </w:r>
      <w:r>
        <w:rPr>
          <w:spacing w:val="-39"/>
          <w:w w:val="105"/>
        </w:rPr>
        <w:t> </w:t>
      </w:r>
      <w:r>
        <w:rPr>
          <w:w w:val="105"/>
        </w:rPr>
        <w:t>Duração</w:t>
      </w:r>
      <w:r>
        <w:rPr>
          <w:spacing w:val="-39"/>
          <w:w w:val="105"/>
        </w:rPr>
        <w:t> </w:t>
      </w:r>
      <w:r>
        <w:rPr>
          <w:w w:val="105"/>
        </w:rPr>
        <w:t>Equivalente</w:t>
      </w:r>
      <w:r>
        <w:rPr>
          <w:spacing w:val="-39"/>
          <w:w w:val="105"/>
        </w:rPr>
        <w:t> </w:t>
      </w:r>
      <w:r>
        <w:rPr>
          <w:w w:val="105"/>
        </w:rPr>
        <w:t>de</w:t>
      </w:r>
      <w:r>
        <w:rPr>
          <w:spacing w:val="-38"/>
          <w:w w:val="105"/>
        </w:rPr>
        <w:t> </w:t>
      </w:r>
      <w:r>
        <w:rPr>
          <w:w w:val="105"/>
        </w:rPr>
        <w:t>Interrupção</w:t>
      </w:r>
      <w:r>
        <w:rPr>
          <w:spacing w:val="-39"/>
          <w:w w:val="105"/>
        </w:rPr>
        <w:t> </w:t>
      </w:r>
      <w:r>
        <w:rPr>
          <w:w w:val="105"/>
        </w:rPr>
        <w:t>por</w:t>
      </w:r>
      <w:r>
        <w:rPr>
          <w:spacing w:val="-39"/>
          <w:w w:val="105"/>
        </w:rPr>
        <w:t> </w:t>
      </w:r>
      <w:r>
        <w:rPr>
          <w:w w:val="105"/>
        </w:rPr>
        <w:t>Unidade </w:t>
      </w:r>
      <w:r>
        <w:rPr/>
        <w:t>Consumidora</w:t>
      </w:r>
      <w:r>
        <w:rPr>
          <w:spacing w:val="-21"/>
        </w:rPr>
        <w:t> </w:t>
      </w:r>
      <w:r>
        <w:rPr/>
        <w:t>–</w:t>
      </w:r>
      <w:r>
        <w:rPr>
          <w:spacing w:val="-22"/>
        </w:rPr>
        <w:t> </w:t>
      </w:r>
      <w:r>
        <w:rPr/>
        <w:t>DEC</w:t>
      </w:r>
      <w:r>
        <w:rPr>
          <w:spacing w:val="-22"/>
        </w:rPr>
        <w:t> </w:t>
      </w:r>
      <w:r>
        <w:rPr/>
        <w:t>e</w:t>
      </w:r>
      <w:r>
        <w:rPr>
          <w:spacing w:val="-23"/>
        </w:rPr>
        <w:t> </w:t>
      </w:r>
      <w:r>
        <w:rPr/>
        <w:t>Frequência</w:t>
      </w:r>
      <w:r>
        <w:rPr>
          <w:spacing w:val="-22"/>
        </w:rPr>
        <w:t> </w:t>
      </w:r>
      <w:r>
        <w:rPr/>
        <w:t>Equivalente</w:t>
      </w:r>
      <w:r>
        <w:rPr>
          <w:spacing w:val="-23"/>
        </w:rPr>
        <w:t> </w:t>
      </w:r>
      <w:r>
        <w:rPr/>
        <w:t>de</w:t>
      </w:r>
      <w:r>
        <w:rPr>
          <w:spacing w:val="-24"/>
        </w:rPr>
        <w:t> </w:t>
      </w:r>
      <w:r>
        <w:rPr/>
        <w:t>Interrupção</w:t>
      </w:r>
      <w:r>
        <w:rPr>
          <w:spacing w:val="-22"/>
        </w:rPr>
        <w:t> </w:t>
      </w:r>
      <w:r>
        <w:rPr/>
        <w:t>por</w:t>
      </w:r>
      <w:r>
        <w:rPr>
          <w:spacing w:val="-24"/>
        </w:rPr>
        <w:t> </w:t>
      </w:r>
      <w:r>
        <w:rPr/>
        <w:t>Unidade</w:t>
      </w:r>
      <w:r>
        <w:rPr>
          <w:spacing w:val="-24"/>
        </w:rPr>
        <w:t> </w:t>
      </w:r>
      <w:r>
        <w:rPr/>
        <w:t>Consumidora</w:t>
      </w:r>
      <w:r>
        <w:rPr>
          <w:spacing w:val="-15"/>
        </w:rPr>
        <w:t> </w:t>
      </w:r>
      <w:r>
        <w:rPr/>
        <w:t>–</w:t>
      </w:r>
      <w:r>
        <w:rPr>
          <w:spacing w:val="-21"/>
        </w:rPr>
        <w:t> </w:t>
      </w:r>
      <w:r>
        <w:rPr/>
        <w:t>FEC</w:t>
      </w:r>
      <w:r>
        <w:rPr>
          <w:spacing w:val="-22"/>
        </w:rPr>
        <w:t> </w:t>
      </w:r>
      <w:r>
        <w:rPr/>
        <w:t>que</w:t>
      </w:r>
      <w:r>
        <w:rPr>
          <w:spacing w:val="-23"/>
        </w:rPr>
        <w:t> </w:t>
      </w:r>
      <w:r>
        <w:rPr/>
        <w:t>a</w:t>
      </w:r>
      <w:r>
        <w:rPr>
          <w:spacing w:val="-22"/>
        </w:rPr>
        <w:t> </w:t>
      </w:r>
      <w:r>
        <w:rPr/>
        <w:t>CEB</w:t>
      </w:r>
      <w:r>
        <w:rPr>
          <w:spacing w:val="-22"/>
        </w:rPr>
        <w:t> </w:t>
      </w:r>
      <w:r>
        <w:rPr/>
        <w:t>DIS</w:t>
      </w:r>
      <w:r>
        <w:rPr>
          <w:spacing w:val="-23"/>
        </w:rPr>
        <w:t> </w:t>
      </w:r>
      <w:r>
        <w:rPr/>
        <w:t>deverá </w:t>
      </w:r>
      <w:r>
        <w:rPr>
          <w:w w:val="105"/>
        </w:rPr>
        <w:t>cumprir</w:t>
      </w:r>
      <w:r>
        <w:rPr>
          <w:spacing w:val="-22"/>
          <w:w w:val="105"/>
        </w:rPr>
        <w:t> </w:t>
      </w:r>
      <w:r>
        <w:rPr>
          <w:w w:val="105"/>
        </w:rPr>
        <w:t>nos</w:t>
      </w:r>
      <w:r>
        <w:rPr>
          <w:spacing w:val="-21"/>
          <w:w w:val="105"/>
        </w:rPr>
        <w:t> </w:t>
      </w:r>
      <w:r>
        <w:rPr>
          <w:w w:val="105"/>
        </w:rPr>
        <w:t>anos</w:t>
      </w:r>
      <w:r>
        <w:rPr>
          <w:spacing w:val="-19"/>
          <w:w w:val="105"/>
        </w:rPr>
        <w:t> </w:t>
      </w:r>
      <w:r>
        <w:rPr>
          <w:w w:val="105"/>
        </w:rPr>
        <w:t>de</w:t>
      </w:r>
      <w:r>
        <w:rPr>
          <w:spacing w:val="-19"/>
          <w:w w:val="105"/>
        </w:rPr>
        <w:t> </w:t>
      </w:r>
      <w:r>
        <w:rPr>
          <w:w w:val="105"/>
        </w:rPr>
        <w:t>2017</w:t>
      </w:r>
      <w:r>
        <w:rPr>
          <w:spacing w:val="-19"/>
          <w:w w:val="105"/>
        </w:rPr>
        <w:t> </w:t>
      </w:r>
      <w:r>
        <w:rPr>
          <w:w w:val="105"/>
        </w:rPr>
        <w:t>a</w:t>
      </w:r>
      <w:r>
        <w:rPr>
          <w:spacing w:val="-18"/>
          <w:w w:val="105"/>
        </w:rPr>
        <w:t> </w:t>
      </w:r>
      <w:r>
        <w:rPr>
          <w:w w:val="105"/>
        </w:rPr>
        <w:t>2021.</w:t>
      </w:r>
    </w:p>
    <w:p>
      <w:pPr>
        <w:pStyle w:val="BodyText"/>
        <w:spacing w:before="2"/>
      </w:pPr>
    </w:p>
    <w:p>
      <w:pPr>
        <w:pStyle w:val="BodyText"/>
        <w:spacing w:line="242" w:lineRule="auto" w:before="1"/>
        <w:ind w:left="192" w:right="551"/>
      </w:pPr>
      <w:r>
        <w:rPr/>
        <w:t>A</w:t>
      </w:r>
      <w:r>
        <w:rPr>
          <w:spacing w:val="-18"/>
        </w:rPr>
        <w:t> </w:t>
      </w:r>
      <w:r>
        <w:rPr/>
        <w:t>avaliação</w:t>
      </w:r>
      <w:r>
        <w:rPr>
          <w:spacing w:val="-18"/>
        </w:rPr>
        <w:t> </w:t>
      </w:r>
      <w:r>
        <w:rPr/>
        <w:t>dessa</w:t>
      </w:r>
      <w:r>
        <w:rPr>
          <w:spacing w:val="-18"/>
        </w:rPr>
        <w:t> </w:t>
      </w:r>
      <w:r>
        <w:rPr/>
        <w:t>condição</w:t>
      </w:r>
      <w:r>
        <w:rPr>
          <w:spacing w:val="-16"/>
        </w:rPr>
        <w:t> </w:t>
      </w:r>
      <w:r>
        <w:rPr/>
        <w:t>na</w:t>
      </w:r>
      <w:r>
        <w:rPr>
          <w:spacing w:val="-17"/>
        </w:rPr>
        <w:t> </w:t>
      </w:r>
      <w:r>
        <w:rPr/>
        <w:t>CEB</w:t>
      </w:r>
      <w:r>
        <w:rPr>
          <w:spacing w:val="-16"/>
        </w:rPr>
        <w:t> </w:t>
      </w:r>
      <w:r>
        <w:rPr/>
        <w:t>DIS</w:t>
      </w:r>
      <w:r>
        <w:rPr>
          <w:spacing w:val="-16"/>
        </w:rPr>
        <w:t> </w:t>
      </w:r>
      <w:r>
        <w:rPr/>
        <w:t>para</w:t>
      </w:r>
      <w:r>
        <w:rPr>
          <w:spacing w:val="-15"/>
        </w:rPr>
        <w:t> </w:t>
      </w:r>
      <w:r>
        <w:rPr/>
        <w:t>o</w:t>
      </w:r>
      <w:r>
        <w:rPr>
          <w:spacing w:val="-17"/>
        </w:rPr>
        <w:t> </w:t>
      </w:r>
      <w:r>
        <w:rPr/>
        <w:t>ano</w:t>
      </w:r>
      <w:r>
        <w:rPr>
          <w:spacing w:val="-17"/>
        </w:rPr>
        <w:t> </w:t>
      </w:r>
      <w:r>
        <w:rPr/>
        <w:t>de</w:t>
      </w:r>
      <w:r>
        <w:rPr>
          <w:spacing w:val="-17"/>
        </w:rPr>
        <w:t> </w:t>
      </w:r>
      <w:r>
        <w:rPr/>
        <w:t>2019</w:t>
      </w:r>
      <w:r>
        <w:rPr>
          <w:spacing w:val="-18"/>
        </w:rPr>
        <w:t> </w:t>
      </w:r>
      <w:r>
        <w:rPr/>
        <w:t>foi</w:t>
      </w:r>
      <w:r>
        <w:rPr>
          <w:spacing w:val="-17"/>
        </w:rPr>
        <w:t> </w:t>
      </w:r>
      <w:r>
        <w:rPr/>
        <w:t>de</w:t>
      </w:r>
      <w:r>
        <w:rPr>
          <w:spacing w:val="-19"/>
        </w:rPr>
        <w:t> </w:t>
      </w:r>
      <w:r>
        <w:rPr/>
        <w:t>9,16</w:t>
      </w:r>
      <w:r>
        <w:rPr>
          <w:spacing w:val="-16"/>
        </w:rPr>
        <w:t> </w:t>
      </w:r>
      <w:r>
        <w:rPr/>
        <w:t>horas</w:t>
      </w:r>
      <w:r>
        <w:rPr>
          <w:spacing w:val="-15"/>
        </w:rPr>
        <w:t> </w:t>
      </w:r>
      <w:r>
        <w:rPr/>
        <w:t>para</w:t>
      </w:r>
      <w:r>
        <w:rPr>
          <w:spacing w:val="-15"/>
        </w:rPr>
        <w:t> </w:t>
      </w:r>
      <w:r>
        <w:rPr/>
        <w:t>o</w:t>
      </w:r>
      <w:r>
        <w:rPr>
          <w:spacing w:val="-16"/>
        </w:rPr>
        <w:t> </w:t>
      </w:r>
      <w:r>
        <w:rPr/>
        <w:t>DEC</w:t>
      </w:r>
      <w:r>
        <w:rPr>
          <w:spacing w:val="-16"/>
        </w:rPr>
        <w:t> </w:t>
      </w:r>
      <w:r>
        <w:rPr/>
        <w:t>e</w:t>
      </w:r>
      <w:r>
        <w:rPr>
          <w:spacing w:val="-18"/>
        </w:rPr>
        <w:t> </w:t>
      </w:r>
      <w:r>
        <w:rPr/>
        <w:t>7,51</w:t>
      </w:r>
      <w:r>
        <w:rPr>
          <w:spacing w:val="-16"/>
        </w:rPr>
        <w:t> </w:t>
      </w:r>
      <w:r>
        <w:rPr/>
        <w:t>para</w:t>
      </w:r>
      <w:r>
        <w:rPr>
          <w:spacing w:val="-15"/>
        </w:rPr>
        <w:t> </w:t>
      </w:r>
      <w:r>
        <w:rPr/>
        <w:t>o</w:t>
      </w:r>
      <w:r>
        <w:rPr>
          <w:spacing w:val="-18"/>
        </w:rPr>
        <w:t> </w:t>
      </w:r>
      <w:r>
        <w:rPr/>
        <w:t>FEC,</w:t>
      </w:r>
      <w:r>
        <w:rPr>
          <w:spacing w:val="-16"/>
        </w:rPr>
        <w:t> </w:t>
      </w:r>
      <w:r>
        <w:rPr/>
        <w:t>os</w:t>
      </w:r>
      <w:r>
        <w:rPr>
          <w:spacing w:val="-16"/>
        </w:rPr>
        <w:t> </w:t>
      </w:r>
      <w:r>
        <w:rPr/>
        <w:t>quais estão</w:t>
      </w:r>
      <w:r>
        <w:rPr>
          <w:spacing w:val="-26"/>
        </w:rPr>
        <w:t> </w:t>
      </w:r>
      <w:r>
        <w:rPr/>
        <w:t>superiores</w:t>
      </w:r>
      <w:r>
        <w:rPr>
          <w:spacing w:val="-24"/>
        </w:rPr>
        <w:t> </w:t>
      </w:r>
      <w:r>
        <w:rPr/>
        <w:t>aos</w:t>
      </w:r>
      <w:r>
        <w:rPr>
          <w:spacing w:val="-24"/>
        </w:rPr>
        <w:t> </w:t>
      </w:r>
      <w:r>
        <w:rPr/>
        <w:t>limites</w:t>
      </w:r>
      <w:r>
        <w:rPr>
          <w:spacing w:val="-22"/>
        </w:rPr>
        <w:t> </w:t>
      </w:r>
      <w:r>
        <w:rPr/>
        <w:t>estabelecidos</w:t>
      </w:r>
      <w:r>
        <w:rPr>
          <w:spacing w:val="-23"/>
        </w:rPr>
        <w:t> </w:t>
      </w:r>
      <w:r>
        <w:rPr/>
        <w:t>na</w:t>
      </w:r>
      <w:r>
        <w:rPr>
          <w:spacing w:val="-24"/>
        </w:rPr>
        <w:t> </w:t>
      </w:r>
      <w:r>
        <w:rPr/>
        <w:t>referida</w:t>
      </w:r>
      <w:r>
        <w:rPr>
          <w:spacing w:val="-24"/>
        </w:rPr>
        <w:t> </w:t>
      </w:r>
      <w:r>
        <w:rPr/>
        <w:t>Resolução,</w:t>
      </w:r>
      <w:r>
        <w:rPr>
          <w:spacing w:val="-25"/>
        </w:rPr>
        <w:t> </w:t>
      </w:r>
      <w:r>
        <w:rPr/>
        <w:t>conforme</w:t>
      </w:r>
      <w:r>
        <w:rPr>
          <w:spacing w:val="-25"/>
        </w:rPr>
        <w:t> </w:t>
      </w:r>
      <w:r>
        <w:rPr/>
        <w:t>demonstrado</w:t>
      </w:r>
      <w:r>
        <w:rPr>
          <w:spacing w:val="-25"/>
        </w:rPr>
        <w:t> </w:t>
      </w:r>
      <w:r>
        <w:rPr/>
        <w:t>a</w:t>
      </w:r>
      <w:r>
        <w:rPr>
          <w:spacing w:val="-24"/>
        </w:rPr>
        <w:t> </w:t>
      </w:r>
      <w:r>
        <w:rPr/>
        <w:t>seguir:</w:t>
      </w:r>
    </w:p>
    <w:p>
      <w:pPr>
        <w:spacing w:after="0" w:line="242" w:lineRule="auto"/>
        <w:sectPr>
          <w:pgSz w:w="11910" w:h="16850"/>
          <w:pgMar w:header="792" w:footer="1193" w:top="1360" w:bottom="1460" w:left="940" w:right="240"/>
        </w:sectPr>
      </w:pPr>
    </w:p>
    <w:p>
      <w:pPr>
        <w:pStyle w:val="BodyText"/>
        <w:spacing w:before="2"/>
        <w:rPr>
          <w:sz w:val="24"/>
        </w:rPr>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264"/>
        <w:gridCol w:w="942"/>
        <w:gridCol w:w="985"/>
        <w:gridCol w:w="940"/>
        <w:gridCol w:w="985"/>
        <w:gridCol w:w="942"/>
        <w:gridCol w:w="983"/>
        <w:gridCol w:w="942"/>
        <w:gridCol w:w="942"/>
      </w:tblGrid>
      <w:tr>
        <w:trPr>
          <w:trHeight w:val="254" w:hRule="atLeast"/>
        </w:trPr>
        <w:tc>
          <w:tcPr>
            <w:tcW w:w="2264" w:type="dxa"/>
            <w:vMerge w:val="restart"/>
            <w:shd w:val="clear" w:color="auto" w:fill="D9D9D9"/>
          </w:tcPr>
          <w:p>
            <w:pPr>
              <w:pStyle w:val="TableParagraph"/>
              <w:rPr>
                <w:rFonts w:ascii="Times New Roman"/>
                <w:sz w:val="18"/>
              </w:rPr>
            </w:pPr>
          </w:p>
        </w:tc>
        <w:tc>
          <w:tcPr>
            <w:tcW w:w="1927" w:type="dxa"/>
            <w:gridSpan w:val="2"/>
            <w:shd w:val="clear" w:color="auto" w:fill="D9D9D9"/>
          </w:tcPr>
          <w:p>
            <w:pPr>
              <w:pStyle w:val="TableParagraph"/>
              <w:spacing w:before="33"/>
              <w:ind w:left="753" w:right="744"/>
              <w:jc w:val="center"/>
              <w:rPr>
                <w:rFonts w:ascii="Caladea"/>
                <w:b/>
                <w:sz w:val="16"/>
              </w:rPr>
            </w:pPr>
            <w:r>
              <w:rPr>
                <w:rFonts w:ascii="Caladea"/>
                <w:b/>
                <w:sz w:val="16"/>
              </w:rPr>
              <w:t>2017</w:t>
            </w:r>
          </w:p>
        </w:tc>
        <w:tc>
          <w:tcPr>
            <w:tcW w:w="1925" w:type="dxa"/>
            <w:gridSpan w:val="2"/>
            <w:shd w:val="clear" w:color="auto" w:fill="D9D9D9"/>
          </w:tcPr>
          <w:p>
            <w:pPr>
              <w:pStyle w:val="TableParagraph"/>
              <w:spacing w:before="33"/>
              <w:ind w:left="748" w:right="747"/>
              <w:jc w:val="center"/>
              <w:rPr>
                <w:rFonts w:ascii="Caladea"/>
                <w:b/>
                <w:sz w:val="16"/>
              </w:rPr>
            </w:pPr>
            <w:r>
              <w:rPr>
                <w:rFonts w:ascii="Caladea"/>
                <w:b/>
                <w:sz w:val="16"/>
              </w:rPr>
              <w:t>2018</w:t>
            </w:r>
          </w:p>
        </w:tc>
        <w:tc>
          <w:tcPr>
            <w:tcW w:w="1925" w:type="dxa"/>
            <w:gridSpan w:val="2"/>
            <w:shd w:val="clear" w:color="auto" w:fill="D9D9D9"/>
          </w:tcPr>
          <w:p>
            <w:pPr>
              <w:pStyle w:val="TableParagraph"/>
              <w:spacing w:before="33"/>
              <w:ind w:left="748" w:right="746"/>
              <w:jc w:val="center"/>
              <w:rPr>
                <w:rFonts w:ascii="Caladea"/>
                <w:b/>
                <w:sz w:val="16"/>
              </w:rPr>
            </w:pPr>
            <w:r>
              <w:rPr>
                <w:rFonts w:ascii="Caladea"/>
                <w:b/>
                <w:sz w:val="16"/>
              </w:rPr>
              <w:t>2019</w:t>
            </w:r>
          </w:p>
        </w:tc>
        <w:tc>
          <w:tcPr>
            <w:tcW w:w="942" w:type="dxa"/>
            <w:shd w:val="clear" w:color="auto" w:fill="D9D9D9"/>
          </w:tcPr>
          <w:p>
            <w:pPr>
              <w:pStyle w:val="TableParagraph"/>
              <w:spacing w:before="33"/>
              <w:ind w:left="274"/>
              <w:rPr>
                <w:rFonts w:ascii="Caladea"/>
                <w:b/>
                <w:sz w:val="16"/>
              </w:rPr>
            </w:pPr>
            <w:r>
              <w:rPr>
                <w:rFonts w:ascii="Caladea"/>
                <w:b/>
                <w:sz w:val="16"/>
              </w:rPr>
              <w:t>2020</w:t>
            </w:r>
          </w:p>
        </w:tc>
        <w:tc>
          <w:tcPr>
            <w:tcW w:w="942" w:type="dxa"/>
            <w:shd w:val="clear" w:color="auto" w:fill="D9D9D9"/>
          </w:tcPr>
          <w:p>
            <w:pPr>
              <w:pStyle w:val="TableParagraph"/>
              <w:spacing w:before="33"/>
              <w:ind w:left="270"/>
              <w:rPr>
                <w:rFonts w:ascii="Caladea"/>
                <w:b/>
                <w:sz w:val="16"/>
              </w:rPr>
            </w:pPr>
            <w:r>
              <w:rPr>
                <w:rFonts w:ascii="Caladea"/>
                <w:b/>
                <w:sz w:val="16"/>
              </w:rPr>
              <w:t>2021</w:t>
            </w:r>
          </w:p>
        </w:tc>
      </w:tr>
      <w:tr>
        <w:trPr>
          <w:trHeight w:val="465" w:hRule="atLeast"/>
        </w:trPr>
        <w:tc>
          <w:tcPr>
            <w:tcW w:w="2264" w:type="dxa"/>
            <w:vMerge/>
            <w:tcBorders>
              <w:top w:val="nil"/>
            </w:tcBorders>
            <w:shd w:val="clear" w:color="auto" w:fill="D9D9D9"/>
          </w:tcPr>
          <w:p>
            <w:pPr>
              <w:rPr>
                <w:sz w:val="2"/>
                <w:szCs w:val="2"/>
              </w:rPr>
            </w:pPr>
          </w:p>
        </w:tc>
        <w:tc>
          <w:tcPr>
            <w:tcW w:w="942" w:type="dxa"/>
            <w:shd w:val="clear" w:color="auto" w:fill="D9D9D9"/>
          </w:tcPr>
          <w:p>
            <w:pPr>
              <w:pStyle w:val="TableParagraph"/>
              <w:spacing w:before="44"/>
              <w:ind w:left="126" w:right="99" w:firstLine="184"/>
              <w:rPr>
                <w:rFonts w:ascii="Caladea"/>
                <w:b/>
                <w:sz w:val="16"/>
              </w:rPr>
            </w:pPr>
            <w:r>
              <w:rPr>
                <w:rFonts w:ascii="Caladea"/>
                <w:b/>
                <w:sz w:val="16"/>
              </w:rPr>
              <w:t>RES. 6.092/16</w:t>
            </w:r>
          </w:p>
        </w:tc>
        <w:tc>
          <w:tcPr>
            <w:tcW w:w="985" w:type="dxa"/>
            <w:shd w:val="clear" w:color="auto" w:fill="D9D9D9"/>
          </w:tcPr>
          <w:p>
            <w:pPr>
              <w:pStyle w:val="TableParagraph"/>
              <w:spacing w:before="138"/>
              <w:ind w:right="117"/>
              <w:jc w:val="right"/>
              <w:rPr>
                <w:rFonts w:ascii="Caladea"/>
                <w:b/>
                <w:sz w:val="16"/>
              </w:rPr>
            </w:pPr>
            <w:r>
              <w:rPr>
                <w:rFonts w:ascii="Caladea"/>
                <w:b/>
                <w:sz w:val="16"/>
              </w:rPr>
              <w:t>Realizado</w:t>
            </w:r>
          </w:p>
        </w:tc>
        <w:tc>
          <w:tcPr>
            <w:tcW w:w="940" w:type="dxa"/>
            <w:shd w:val="clear" w:color="auto" w:fill="D9D9D9"/>
          </w:tcPr>
          <w:p>
            <w:pPr>
              <w:pStyle w:val="TableParagraph"/>
              <w:spacing w:before="44"/>
              <w:ind w:left="122" w:right="101" w:firstLine="184"/>
              <w:rPr>
                <w:rFonts w:ascii="Caladea"/>
                <w:b/>
                <w:sz w:val="16"/>
              </w:rPr>
            </w:pPr>
            <w:r>
              <w:rPr>
                <w:rFonts w:ascii="Caladea"/>
                <w:b/>
                <w:sz w:val="16"/>
              </w:rPr>
              <w:t>RES. 6.092/16</w:t>
            </w:r>
          </w:p>
        </w:tc>
        <w:tc>
          <w:tcPr>
            <w:tcW w:w="985" w:type="dxa"/>
            <w:shd w:val="clear" w:color="auto" w:fill="D9D9D9"/>
          </w:tcPr>
          <w:p>
            <w:pPr>
              <w:pStyle w:val="TableParagraph"/>
              <w:spacing w:before="138"/>
              <w:ind w:right="120"/>
              <w:jc w:val="right"/>
              <w:rPr>
                <w:rFonts w:ascii="Caladea"/>
                <w:b/>
                <w:sz w:val="16"/>
              </w:rPr>
            </w:pPr>
            <w:r>
              <w:rPr>
                <w:rFonts w:ascii="Caladea"/>
                <w:b/>
                <w:sz w:val="16"/>
              </w:rPr>
              <w:t>Realizado</w:t>
            </w:r>
          </w:p>
        </w:tc>
        <w:tc>
          <w:tcPr>
            <w:tcW w:w="942" w:type="dxa"/>
            <w:shd w:val="clear" w:color="auto" w:fill="D9D9D9"/>
          </w:tcPr>
          <w:p>
            <w:pPr>
              <w:pStyle w:val="TableParagraph"/>
              <w:spacing w:before="44"/>
              <w:ind w:left="122" w:right="103" w:firstLine="184"/>
              <w:rPr>
                <w:rFonts w:ascii="Caladea"/>
                <w:b/>
                <w:sz w:val="16"/>
              </w:rPr>
            </w:pPr>
            <w:r>
              <w:rPr>
                <w:rFonts w:ascii="Caladea"/>
                <w:b/>
                <w:sz w:val="16"/>
              </w:rPr>
              <w:t>RES. 6.092/16</w:t>
            </w:r>
          </w:p>
        </w:tc>
        <w:tc>
          <w:tcPr>
            <w:tcW w:w="983" w:type="dxa"/>
            <w:shd w:val="clear" w:color="auto" w:fill="D9D9D9"/>
          </w:tcPr>
          <w:p>
            <w:pPr>
              <w:pStyle w:val="TableParagraph"/>
              <w:spacing w:before="138"/>
              <w:ind w:right="122"/>
              <w:jc w:val="right"/>
              <w:rPr>
                <w:rFonts w:ascii="Caladea"/>
                <w:b/>
                <w:sz w:val="16"/>
              </w:rPr>
            </w:pPr>
            <w:r>
              <w:rPr>
                <w:rFonts w:ascii="Caladea"/>
                <w:b/>
                <w:sz w:val="16"/>
              </w:rPr>
              <w:t>Realizado</w:t>
            </w:r>
          </w:p>
        </w:tc>
        <w:tc>
          <w:tcPr>
            <w:tcW w:w="942" w:type="dxa"/>
            <w:shd w:val="clear" w:color="auto" w:fill="D9D9D9"/>
          </w:tcPr>
          <w:p>
            <w:pPr>
              <w:pStyle w:val="TableParagraph"/>
              <w:spacing w:before="44"/>
              <w:ind w:left="120" w:right="105" w:firstLine="184"/>
              <w:rPr>
                <w:rFonts w:ascii="Caladea"/>
                <w:b/>
                <w:sz w:val="16"/>
              </w:rPr>
            </w:pPr>
            <w:r>
              <w:rPr>
                <w:rFonts w:ascii="Caladea"/>
                <w:b/>
                <w:sz w:val="16"/>
              </w:rPr>
              <w:t>RES. 6.092/16</w:t>
            </w:r>
          </w:p>
        </w:tc>
        <w:tc>
          <w:tcPr>
            <w:tcW w:w="942" w:type="dxa"/>
            <w:shd w:val="clear" w:color="auto" w:fill="D9D9D9"/>
          </w:tcPr>
          <w:p>
            <w:pPr>
              <w:pStyle w:val="TableParagraph"/>
              <w:spacing w:before="44"/>
              <w:ind w:left="117" w:right="108" w:firstLine="184"/>
              <w:rPr>
                <w:rFonts w:ascii="Caladea"/>
                <w:b/>
                <w:sz w:val="16"/>
              </w:rPr>
            </w:pPr>
            <w:r>
              <w:rPr>
                <w:rFonts w:ascii="Caladea"/>
                <w:b/>
                <w:sz w:val="16"/>
              </w:rPr>
              <w:t>RES. 6.092/16</w:t>
            </w:r>
          </w:p>
        </w:tc>
      </w:tr>
      <w:tr>
        <w:trPr>
          <w:trHeight w:val="227" w:hRule="atLeast"/>
        </w:trPr>
        <w:tc>
          <w:tcPr>
            <w:tcW w:w="2264" w:type="dxa"/>
          </w:tcPr>
          <w:p>
            <w:pPr>
              <w:pStyle w:val="TableParagraph"/>
              <w:spacing w:before="20"/>
              <w:ind w:left="72"/>
              <w:rPr>
                <w:sz w:val="16"/>
              </w:rPr>
            </w:pPr>
            <w:r>
              <w:rPr>
                <w:w w:val="105"/>
                <w:sz w:val="16"/>
              </w:rPr>
              <w:t>DEC (horas)</w:t>
            </w:r>
          </w:p>
        </w:tc>
        <w:tc>
          <w:tcPr>
            <w:tcW w:w="942" w:type="dxa"/>
          </w:tcPr>
          <w:p>
            <w:pPr>
              <w:pStyle w:val="TableParagraph"/>
              <w:spacing w:before="20"/>
              <w:ind w:right="56"/>
              <w:jc w:val="right"/>
              <w:rPr>
                <w:sz w:val="16"/>
              </w:rPr>
            </w:pPr>
            <w:r>
              <w:rPr>
                <w:w w:val="95"/>
                <w:sz w:val="16"/>
              </w:rPr>
              <w:t>9,46</w:t>
            </w:r>
          </w:p>
        </w:tc>
        <w:tc>
          <w:tcPr>
            <w:tcW w:w="985" w:type="dxa"/>
          </w:tcPr>
          <w:p>
            <w:pPr>
              <w:pStyle w:val="TableParagraph"/>
              <w:spacing w:before="20"/>
              <w:ind w:right="93"/>
              <w:jc w:val="right"/>
              <w:rPr>
                <w:sz w:val="16"/>
              </w:rPr>
            </w:pPr>
            <w:r>
              <w:rPr>
                <w:w w:val="95"/>
                <w:sz w:val="16"/>
              </w:rPr>
              <w:t>8,43</w:t>
            </w:r>
          </w:p>
        </w:tc>
        <w:tc>
          <w:tcPr>
            <w:tcW w:w="940" w:type="dxa"/>
          </w:tcPr>
          <w:p>
            <w:pPr>
              <w:pStyle w:val="TableParagraph"/>
              <w:spacing w:before="20"/>
              <w:ind w:right="58"/>
              <w:jc w:val="right"/>
              <w:rPr>
                <w:sz w:val="16"/>
              </w:rPr>
            </w:pPr>
            <w:r>
              <w:rPr>
                <w:w w:val="95"/>
                <w:sz w:val="16"/>
              </w:rPr>
              <w:t>9,24</w:t>
            </w:r>
          </w:p>
        </w:tc>
        <w:tc>
          <w:tcPr>
            <w:tcW w:w="985" w:type="dxa"/>
          </w:tcPr>
          <w:p>
            <w:pPr>
              <w:pStyle w:val="TableParagraph"/>
              <w:spacing w:before="20"/>
              <w:ind w:right="95"/>
              <w:jc w:val="right"/>
              <w:rPr>
                <w:sz w:val="16"/>
              </w:rPr>
            </w:pPr>
            <w:r>
              <w:rPr>
                <w:w w:val="95"/>
                <w:sz w:val="16"/>
              </w:rPr>
              <w:t>8,56</w:t>
            </w:r>
          </w:p>
        </w:tc>
        <w:tc>
          <w:tcPr>
            <w:tcW w:w="942" w:type="dxa"/>
          </w:tcPr>
          <w:p>
            <w:pPr>
              <w:pStyle w:val="TableParagraph"/>
              <w:spacing w:before="20"/>
              <w:ind w:right="60"/>
              <w:jc w:val="right"/>
              <w:rPr>
                <w:sz w:val="16"/>
              </w:rPr>
            </w:pPr>
            <w:r>
              <w:rPr>
                <w:w w:val="95"/>
                <w:sz w:val="16"/>
              </w:rPr>
              <w:t>8,62</w:t>
            </w:r>
          </w:p>
        </w:tc>
        <w:tc>
          <w:tcPr>
            <w:tcW w:w="983" w:type="dxa"/>
          </w:tcPr>
          <w:p>
            <w:pPr>
              <w:pStyle w:val="TableParagraph"/>
              <w:spacing w:before="20"/>
              <w:ind w:right="97"/>
              <w:jc w:val="right"/>
              <w:rPr>
                <w:sz w:val="16"/>
              </w:rPr>
            </w:pPr>
            <w:r>
              <w:rPr>
                <w:w w:val="95"/>
                <w:sz w:val="16"/>
              </w:rPr>
              <w:t>9,16</w:t>
            </w:r>
          </w:p>
        </w:tc>
        <w:tc>
          <w:tcPr>
            <w:tcW w:w="942" w:type="dxa"/>
          </w:tcPr>
          <w:p>
            <w:pPr>
              <w:pStyle w:val="TableParagraph"/>
              <w:spacing w:before="20"/>
              <w:ind w:right="62"/>
              <w:jc w:val="right"/>
              <w:rPr>
                <w:sz w:val="16"/>
              </w:rPr>
            </w:pPr>
            <w:r>
              <w:rPr>
                <w:w w:val="95"/>
                <w:sz w:val="16"/>
              </w:rPr>
              <w:t>8,27</w:t>
            </w:r>
          </w:p>
        </w:tc>
        <w:tc>
          <w:tcPr>
            <w:tcW w:w="942" w:type="dxa"/>
          </w:tcPr>
          <w:p>
            <w:pPr>
              <w:pStyle w:val="TableParagraph"/>
              <w:spacing w:before="20"/>
              <w:ind w:right="66"/>
              <w:jc w:val="right"/>
              <w:rPr>
                <w:sz w:val="16"/>
              </w:rPr>
            </w:pPr>
            <w:r>
              <w:rPr>
                <w:w w:val="95"/>
                <w:sz w:val="16"/>
              </w:rPr>
              <w:t>7,61</w:t>
            </w:r>
          </w:p>
        </w:tc>
      </w:tr>
      <w:tr>
        <w:trPr>
          <w:trHeight w:val="227" w:hRule="atLeast"/>
        </w:trPr>
        <w:tc>
          <w:tcPr>
            <w:tcW w:w="2264" w:type="dxa"/>
          </w:tcPr>
          <w:p>
            <w:pPr>
              <w:pStyle w:val="TableParagraph"/>
              <w:spacing w:before="20"/>
              <w:ind w:left="72"/>
              <w:rPr>
                <w:sz w:val="16"/>
              </w:rPr>
            </w:pPr>
            <w:r>
              <w:rPr>
                <w:sz w:val="16"/>
              </w:rPr>
              <w:t>FEC (interrupções)</w:t>
            </w:r>
          </w:p>
        </w:tc>
        <w:tc>
          <w:tcPr>
            <w:tcW w:w="942" w:type="dxa"/>
          </w:tcPr>
          <w:p>
            <w:pPr>
              <w:pStyle w:val="TableParagraph"/>
              <w:spacing w:before="20"/>
              <w:ind w:right="56"/>
              <w:jc w:val="right"/>
              <w:rPr>
                <w:sz w:val="16"/>
              </w:rPr>
            </w:pPr>
            <w:r>
              <w:rPr>
                <w:w w:val="95"/>
                <w:sz w:val="16"/>
              </w:rPr>
              <w:t>7,91</w:t>
            </w:r>
          </w:p>
        </w:tc>
        <w:tc>
          <w:tcPr>
            <w:tcW w:w="985" w:type="dxa"/>
          </w:tcPr>
          <w:p>
            <w:pPr>
              <w:pStyle w:val="TableParagraph"/>
              <w:spacing w:before="20"/>
              <w:ind w:right="93"/>
              <w:jc w:val="right"/>
              <w:rPr>
                <w:sz w:val="16"/>
              </w:rPr>
            </w:pPr>
            <w:r>
              <w:rPr>
                <w:w w:val="95"/>
                <w:sz w:val="16"/>
              </w:rPr>
              <w:t>7,10</w:t>
            </w:r>
          </w:p>
        </w:tc>
        <w:tc>
          <w:tcPr>
            <w:tcW w:w="940" w:type="dxa"/>
          </w:tcPr>
          <w:p>
            <w:pPr>
              <w:pStyle w:val="TableParagraph"/>
              <w:spacing w:before="20"/>
              <w:ind w:right="58"/>
              <w:jc w:val="right"/>
              <w:rPr>
                <w:sz w:val="16"/>
              </w:rPr>
            </w:pPr>
            <w:r>
              <w:rPr>
                <w:w w:val="95"/>
                <w:sz w:val="16"/>
              </w:rPr>
              <w:t>7,57</w:t>
            </w:r>
          </w:p>
        </w:tc>
        <w:tc>
          <w:tcPr>
            <w:tcW w:w="985" w:type="dxa"/>
          </w:tcPr>
          <w:p>
            <w:pPr>
              <w:pStyle w:val="TableParagraph"/>
              <w:spacing w:before="20"/>
              <w:ind w:right="95"/>
              <w:jc w:val="right"/>
              <w:rPr>
                <w:sz w:val="16"/>
              </w:rPr>
            </w:pPr>
            <w:r>
              <w:rPr>
                <w:w w:val="95"/>
                <w:sz w:val="16"/>
              </w:rPr>
              <w:t>6,03</w:t>
            </w:r>
          </w:p>
        </w:tc>
        <w:tc>
          <w:tcPr>
            <w:tcW w:w="942" w:type="dxa"/>
          </w:tcPr>
          <w:p>
            <w:pPr>
              <w:pStyle w:val="TableParagraph"/>
              <w:spacing w:before="20"/>
              <w:ind w:right="60"/>
              <w:jc w:val="right"/>
              <w:rPr>
                <w:sz w:val="16"/>
              </w:rPr>
            </w:pPr>
            <w:r>
              <w:rPr>
                <w:w w:val="95"/>
                <w:sz w:val="16"/>
              </w:rPr>
              <w:t>6,91</w:t>
            </w:r>
          </w:p>
        </w:tc>
        <w:tc>
          <w:tcPr>
            <w:tcW w:w="983" w:type="dxa"/>
          </w:tcPr>
          <w:p>
            <w:pPr>
              <w:pStyle w:val="TableParagraph"/>
              <w:spacing w:before="20"/>
              <w:ind w:right="97"/>
              <w:jc w:val="right"/>
              <w:rPr>
                <w:sz w:val="16"/>
              </w:rPr>
            </w:pPr>
            <w:r>
              <w:rPr>
                <w:w w:val="95"/>
                <w:sz w:val="16"/>
              </w:rPr>
              <w:t>7,51</w:t>
            </w:r>
          </w:p>
        </w:tc>
        <w:tc>
          <w:tcPr>
            <w:tcW w:w="942" w:type="dxa"/>
          </w:tcPr>
          <w:p>
            <w:pPr>
              <w:pStyle w:val="TableParagraph"/>
              <w:spacing w:before="20"/>
              <w:ind w:right="62"/>
              <w:jc w:val="right"/>
              <w:rPr>
                <w:sz w:val="16"/>
              </w:rPr>
            </w:pPr>
            <w:r>
              <w:rPr>
                <w:w w:val="95"/>
                <w:sz w:val="16"/>
              </w:rPr>
              <w:t>6,36</w:t>
            </w:r>
          </w:p>
        </w:tc>
        <w:tc>
          <w:tcPr>
            <w:tcW w:w="942" w:type="dxa"/>
          </w:tcPr>
          <w:p>
            <w:pPr>
              <w:pStyle w:val="TableParagraph"/>
              <w:spacing w:before="20"/>
              <w:ind w:right="66"/>
              <w:jc w:val="right"/>
              <w:rPr>
                <w:sz w:val="16"/>
              </w:rPr>
            </w:pPr>
            <w:r>
              <w:rPr>
                <w:w w:val="95"/>
                <w:sz w:val="16"/>
              </w:rPr>
              <w:t>5,79</w:t>
            </w:r>
          </w:p>
        </w:tc>
      </w:tr>
    </w:tbl>
    <w:p>
      <w:pPr>
        <w:pStyle w:val="BodyText"/>
        <w:spacing w:before="7"/>
        <w:rPr>
          <w:sz w:val="11"/>
        </w:rPr>
      </w:pPr>
    </w:p>
    <w:p>
      <w:pPr>
        <w:pStyle w:val="BodyText"/>
        <w:spacing w:line="242" w:lineRule="auto" w:before="102"/>
        <w:ind w:left="192" w:right="610"/>
        <w:jc w:val="both"/>
      </w:pPr>
      <w:r>
        <w:rPr/>
        <w:t>O</w:t>
      </w:r>
      <w:r>
        <w:rPr>
          <w:spacing w:val="-38"/>
        </w:rPr>
        <w:t> </w:t>
      </w:r>
      <w:r>
        <w:rPr/>
        <w:t>descumprimento</w:t>
      </w:r>
      <w:r>
        <w:rPr>
          <w:spacing w:val="-36"/>
        </w:rPr>
        <w:t> </w:t>
      </w:r>
      <w:r>
        <w:rPr/>
        <w:t>desses</w:t>
      </w:r>
      <w:r>
        <w:rPr>
          <w:spacing w:val="-35"/>
        </w:rPr>
        <w:t> </w:t>
      </w:r>
      <w:r>
        <w:rPr/>
        <w:t>indicadores</w:t>
      </w:r>
      <w:r>
        <w:rPr>
          <w:spacing w:val="-36"/>
        </w:rPr>
        <w:t> </w:t>
      </w:r>
      <w:r>
        <w:rPr/>
        <w:t>de</w:t>
      </w:r>
      <w:r>
        <w:rPr>
          <w:spacing w:val="-38"/>
        </w:rPr>
        <w:t> </w:t>
      </w:r>
      <w:r>
        <w:rPr/>
        <w:t>continuidade</w:t>
      </w:r>
      <w:r>
        <w:rPr>
          <w:spacing w:val="-37"/>
        </w:rPr>
        <w:t> </w:t>
      </w:r>
      <w:r>
        <w:rPr/>
        <w:t>em</w:t>
      </w:r>
      <w:r>
        <w:rPr>
          <w:spacing w:val="-38"/>
        </w:rPr>
        <w:t> </w:t>
      </w:r>
      <w:r>
        <w:rPr/>
        <w:t>dois</w:t>
      </w:r>
      <w:r>
        <w:rPr>
          <w:spacing w:val="-36"/>
        </w:rPr>
        <w:t> </w:t>
      </w:r>
      <w:r>
        <w:rPr/>
        <w:t>anos</w:t>
      </w:r>
      <w:r>
        <w:rPr>
          <w:spacing w:val="-37"/>
        </w:rPr>
        <w:t> </w:t>
      </w:r>
      <w:r>
        <w:rPr/>
        <w:t>consecutivos,</w:t>
      </w:r>
      <w:r>
        <w:rPr>
          <w:spacing w:val="-37"/>
        </w:rPr>
        <w:t> </w:t>
      </w:r>
      <w:r>
        <w:rPr/>
        <w:t>ou</w:t>
      </w:r>
      <w:r>
        <w:rPr>
          <w:spacing w:val="-36"/>
        </w:rPr>
        <w:t> </w:t>
      </w:r>
      <w:r>
        <w:rPr/>
        <w:t>em</w:t>
      </w:r>
      <w:r>
        <w:rPr>
          <w:spacing w:val="-37"/>
        </w:rPr>
        <w:t> </w:t>
      </w:r>
      <w:r>
        <w:rPr/>
        <w:t>três</w:t>
      </w:r>
      <w:r>
        <w:rPr>
          <w:spacing w:val="-37"/>
        </w:rPr>
        <w:t> </w:t>
      </w:r>
      <w:r>
        <w:rPr/>
        <w:t>anos,</w:t>
      </w:r>
      <w:r>
        <w:rPr>
          <w:spacing w:val="-37"/>
        </w:rPr>
        <w:t> </w:t>
      </w:r>
      <w:r>
        <w:rPr/>
        <w:t>em</w:t>
      </w:r>
      <w:r>
        <w:rPr>
          <w:spacing w:val="-37"/>
        </w:rPr>
        <w:t> </w:t>
      </w:r>
      <w:r>
        <w:rPr/>
        <w:t>um</w:t>
      </w:r>
      <w:r>
        <w:rPr>
          <w:spacing w:val="-37"/>
        </w:rPr>
        <w:t> </w:t>
      </w:r>
      <w:r>
        <w:rPr/>
        <w:t>intervalo de</w:t>
      </w:r>
      <w:r>
        <w:rPr>
          <w:spacing w:val="-8"/>
        </w:rPr>
        <w:t> </w:t>
      </w:r>
      <w:r>
        <w:rPr/>
        <w:t>cinco</w:t>
      </w:r>
      <w:r>
        <w:rPr>
          <w:spacing w:val="-6"/>
        </w:rPr>
        <w:t> </w:t>
      </w:r>
      <w:r>
        <w:rPr/>
        <w:t>anos,</w:t>
      </w:r>
      <w:r>
        <w:rPr>
          <w:spacing w:val="-6"/>
        </w:rPr>
        <w:t> </w:t>
      </w:r>
      <w:r>
        <w:rPr/>
        <w:t>poderá</w:t>
      </w:r>
      <w:r>
        <w:rPr>
          <w:spacing w:val="-5"/>
        </w:rPr>
        <w:t> </w:t>
      </w:r>
      <w:r>
        <w:rPr/>
        <w:t>resultar</w:t>
      </w:r>
      <w:r>
        <w:rPr>
          <w:spacing w:val="-6"/>
        </w:rPr>
        <w:t> </w:t>
      </w:r>
      <w:r>
        <w:rPr/>
        <w:t>em</w:t>
      </w:r>
      <w:r>
        <w:rPr>
          <w:spacing w:val="-7"/>
        </w:rPr>
        <w:t> </w:t>
      </w:r>
      <w:r>
        <w:rPr/>
        <w:t>limitação</w:t>
      </w:r>
      <w:r>
        <w:rPr>
          <w:spacing w:val="-7"/>
        </w:rPr>
        <w:t> </w:t>
      </w:r>
      <w:r>
        <w:rPr/>
        <w:t>da</w:t>
      </w:r>
      <w:r>
        <w:rPr>
          <w:spacing w:val="-5"/>
        </w:rPr>
        <w:t> </w:t>
      </w:r>
      <w:r>
        <w:rPr/>
        <w:t>distribuição</w:t>
      </w:r>
      <w:r>
        <w:rPr>
          <w:spacing w:val="-8"/>
        </w:rPr>
        <w:t> </w:t>
      </w:r>
      <w:r>
        <w:rPr/>
        <w:t>de</w:t>
      </w:r>
      <w:r>
        <w:rPr>
          <w:spacing w:val="-7"/>
        </w:rPr>
        <w:t> </w:t>
      </w:r>
      <w:r>
        <w:rPr/>
        <w:t>dividendos</w:t>
      </w:r>
      <w:r>
        <w:rPr>
          <w:spacing w:val="-5"/>
        </w:rPr>
        <w:t> </w:t>
      </w:r>
      <w:r>
        <w:rPr/>
        <w:t>ou</w:t>
      </w:r>
      <w:r>
        <w:rPr>
          <w:spacing w:val="-6"/>
        </w:rPr>
        <w:t> </w:t>
      </w:r>
      <w:r>
        <w:rPr/>
        <w:t>pagamento</w:t>
      </w:r>
      <w:r>
        <w:rPr>
          <w:spacing w:val="-6"/>
        </w:rPr>
        <w:t> </w:t>
      </w:r>
      <w:r>
        <w:rPr/>
        <w:t>de</w:t>
      </w:r>
      <w:r>
        <w:rPr>
          <w:spacing w:val="-7"/>
        </w:rPr>
        <w:t> </w:t>
      </w:r>
      <w:r>
        <w:rPr/>
        <w:t>juros</w:t>
      </w:r>
      <w:r>
        <w:rPr>
          <w:spacing w:val="-6"/>
        </w:rPr>
        <w:t> </w:t>
      </w:r>
      <w:r>
        <w:rPr/>
        <w:t>sobre</w:t>
      </w:r>
      <w:r>
        <w:rPr>
          <w:spacing w:val="-8"/>
        </w:rPr>
        <w:t> </w:t>
      </w:r>
      <w:r>
        <w:rPr/>
        <w:t>capital próprio.</w:t>
      </w:r>
    </w:p>
    <w:p>
      <w:pPr>
        <w:pStyle w:val="BodyText"/>
        <w:spacing w:before="2"/>
      </w:pPr>
    </w:p>
    <w:p>
      <w:pPr>
        <w:pStyle w:val="BodyText"/>
        <w:spacing w:line="242" w:lineRule="auto" w:before="1"/>
        <w:ind w:left="192" w:right="614"/>
        <w:jc w:val="both"/>
      </w:pPr>
      <w:r>
        <w:rPr/>
        <w:t>Após</w:t>
      </w:r>
      <w:r>
        <w:rPr>
          <w:spacing w:val="-36"/>
        </w:rPr>
        <w:t> </w:t>
      </w:r>
      <w:r>
        <w:rPr/>
        <w:t>o</w:t>
      </w:r>
      <w:r>
        <w:rPr>
          <w:spacing w:val="-35"/>
        </w:rPr>
        <w:t> </w:t>
      </w:r>
      <w:r>
        <w:rPr/>
        <w:t>sexto</w:t>
      </w:r>
      <w:r>
        <w:rPr>
          <w:spacing w:val="-35"/>
        </w:rPr>
        <w:t> </w:t>
      </w:r>
      <w:r>
        <w:rPr/>
        <w:t>ano</w:t>
      </w:r>
      <w:r>
        <w:rPr>
          <w:spacing w:val="-35"/>
        </w:rPr>
        <w:t> </w:t>
      </w:r>
      <w:r>
        <w:rPr/>
        <w:t>do</w:t>
      </w:r>
      <w:r>
        <w:rPr>
          <w:spacing w:val="-36"/>
        </w:rPr>
        <w:t> </w:t>
      </w:r>
      <w:r>
        <w:rPr/>
        <w:t>citado</w:t>
      </w:r>
      <w:r>
        <w:rPr>
          <w:spacing w:val="-35"/>
        </w:rPr>
        <w:t> </w:t>
      </w:r>
      <w:r>
        <w:rPr/>
        <w:t>Termo</w:t>
      </w:r>
      <w:r>
        <w:rPr>
          <w:spacing w:val="-35"/>
        </w:rPr>
        <w:t> </w:t>
      </w:r>
      <w:r>
        <w:rPr/>
        <w:t>Aditivo</w:t>
      </w:r>
      <w:r>
        <w:rPr>
          <w:spacing w:val="-35"/>
        </w:rPr>
        <w:t> </w:t>
      </w:r>
      <w:r>
        <w:rPr/>
        <w:t>ao</w:t>
      </w:r>
      <w:r>
        <w:rPr>
          <w:spacing w:val="-35"/>
        </w:rPr>
        <w:t> </w:t>
      </w:r>
      <w:r>
        <w:rPr/>
        <w:t>Contrato</w:t>
      </w:r>
      <w:r>
        <w:rPr>
          <w:spacing w:val="-34"/>
        </w:rPr>
        <w:t> </w:t>
      </w:r>
      <w:r>
        <w:rPr/>
        <w:t>de</w:t>
      </w:r>
      <w:r>
        <w:rPr>
          <w:spacing w:val="-35"/>
        </w:rPr>
        <w:t> </w:t>
      </w:r>
      <w:r>
        <w:rPr/>
        <w:t>Concessão,</w:t>
      </w:r>
      <w:r>
        <w:rPr>
          <w:spacing w:val="-35"/>
        </w:rPr>
        <w:t> </w:t>
      </w:r>
      <w:r>
        <w:rPr/>
        <w:t>o</w:t>
      </w:r>
      <w:r>
        <w:rPr>
          <w:spacing w:val="-34"/>
        </w:rPr>
        <w:t> </w:t>
      </w:r>
      <w:r>
        <w:rPr/>
        <w:t>descumprimento</w:t>
      </w:r>
      <w:r>
        <w:rPr>
          <w:spacing w:val="-35"/>
        </w:rPr>
        <w:t> </w:t>
      </w:r>
      <w:r>
        <w:rPr/>
        <w:t>desses</w:t>
      </w:r>
      <w:r>
        <w:rPr>
          <w:spacing w:val="-35"/>
        </w:rPr>
        <w:t> </w:t>
      </w:r>
      <w:r>
        <w:rPr/>
        <w:t>indicadores,</w:t>
      </w:r>
      <w:r>
        <w:rPr>
          <w:spacing w:val="-34"/>
        </w:rPr>
        <w:t> </w:t>
      </w:r>
      <w:r>
        <w:rPr/>
        <w:t>durante três</w:t>
      </w:r>
      <w:r>
        <w:rPr>
          <w:spacing w:val="-22"/>
        </w:rPr>
        <w:t> </w:t>
      </w:r>
      <w:r>
        <w:rPr/>
        <w:t>anos</w:t>
      </w:r>
      <w:r>
        <w:rPr>
          <w:spacing w:val="-22"/>
        </w:rPr>
        <w:t> </w:t>
      </w:r>
      <w:r>
        <w:rPr/>
        <w:t>consecutivos,</w:t>
      </w:r>
      <w:r>
        <w:rPr>
          <w:spacing w:val="-19"/>
        </w:rPr>
        <w:t> </w:t>
      </w:r>
      <w:r>
        <w:rPr/>
        <w:t>resultará</w:t>
      </w:r>
      <w:r>
        <w:rPr>
          <w:spacing w:val="-22"/>
        </w:rPr>
        <w:t> </w:t>
      </w:r>
      <w:r>
        <w:rPr/>
        <w:t>na</w:t>
      </w:r>
      <w:r>
        <w:rPr>
          <w:spacing w:val="-21"/>
        </w:rPr>
        <w:t> </w:t>
      </w:r>
      <w:r>
        <w:rPr/>
        <w:t>abertura</w:t>
      </w:r>
      <w:r>
        <w:rPr>
          <w:spacing w:val="-22"/>
        </w:rPr>
        <w:t> </w:t>
      </w:r>
      <w:r>
        <w:rPr/>
        <w:t>do</w:t>
      </w:r>
      <w:r>
        <w:rPr>
          <w:spacing w:val="-22"/>
        </w:rPr>
        <w:t> </w:t>
      </w:r>
      <w:r>
        <w:rPr/>
        <w:t>processo</w:t>
      </w:r>
      <w:r>
        <w:rPr>
          <w:spacing w:val="-23"/>
        </w:rPr>
        <w:t> </w:t>
      </w:r>
      <w:r>
        <w:rPr/>
        <w:t>de</w:t>
      </w:r>
      <w:r>
        <w:rPr>
          <w:spacing w:val="-21"/>
        </w:rPr>
        <w:t> </w:t>
      </w:r>
      <w:r>
        <w:rPr/>
        <w:t>caducidade</w:t>
      </w:r>
      <w:r>
        <w:rPr>
          <w:spacing w:val="-22"/>
        </w:rPr>
        <w:t> </w:t>
      </w:r>
      <w:r>
        <w:rPr/>
        <w:t>da</w:t>
      </w:r>
      <w:r>
        <w:rPr>
          <w:spacing w:val="-22"/>
        </w:rPr>
        <w:t> </w:t>
      </w:r>
      <w:r>
        <w:rPr/>
        <w:t>concessão.</w:t>
      </w:r>
    </w:p>
    <w:p>
      <w:pPr>
        <w:pStyle w:val="BodyText"/>
        <w:spacing w:before="6"/>
      </w:pPr>
    </w:p>
    <w:p>
      <w:pPr>
        <w:spacing w:before="0"/>
        <w:ind w:left="192" w:right="0" w:firstLine="0"/>
        <w:jc w:val="both"/>
        <w:rPr>
          <w:rFonts w:ascii="Caladea" w:hAnsi="Caladea"/>
          <w:b/>
          <w:sz w:val="20"/>
        </w:rPr>
      </w:pPr>
      <w:r>
        <w:rPr>
          <w:rFonts w:ascii="Caladea" w:hAnsi="Caladea"/>
          <w:b/>
          <w:sz w:val="20"/>
        </w:rPr>
        <w:t>Condições para prorrogação do contrato de concessão</w:t>
      </w:r>
    </w:p>
    <w:p>
      <w:pPr>
        <w:pStyle w:val="BodyText"/>
        <w:spacing w:before="7"/>
        <w:rPr>
          <w:rFonts w:ascii="Caladea"/>
          <w:b/>
        </w:rPr>
      </w:pPr>
    </w:p>
    <w:p>
      <w:pPr>
        <w:pStyle w:val="BodyText"/>
        <w:ind w:left="192"/>
      </w:pPr>
      <w:r>
        <w:rPr/>
        <w:t>Durante os cinco primeiros anos do Quarto Termo Aditivo ao citado Contrato de Concessão, também são previstos</w:t>
      </w:r>
    </w:p>
    <w:p>
      <w:pPr>
        <w:pStyle w:val="BodyText"/>
        <w:spacing w:before="1"/>
        <w:ind w:left="192"/>
      </w:pPr>
      <w:r>
        <w:rPr>
          <w:rFonts w:ascii="Caladea" w:hAnsi="Caladea"/>
          <w:i/>
        </w:rPr>
        <w:t>covenants </w:t>
      </w:r>
      <w:r>
        <w:rPr/>
        <w:t>referentes às gestões operacional e econômico-financeira das distribuidoras.</w:t>
      </w:r>
    </w:p>
    <w:p>
      <w:pPr>
        <w:pStyle w:val="BodyText"/>
        <w:spacing w:before="3"/>
      </w:pPr>
    </w:p>
    <w:p>
      <w:pPr>
        <w:pStyle w:val="BodyText"/>
        <w:spacing w:line="242" w:lineRule="auto"/>
        <w:ind w:left="192" w:right="614"/>
        <w:jc w:val="both"/>
      </w:pPr>
      <w:r>
        <w:rPr/>
        <w:t>No</w:t>
      </w:r>
      <w:r>
        <w:rPr>
          <w:spacing w:val="-39"/>
        </w:rPr>
        <w:t> </w:t>
      </w:r>
      <w:r>
        <w:rPr/>
        <w:t>caso</w:t>
      </w:r>
      <w:r>
        <w:rPr>
          <w:spacing w:val="-39"/>
        </w:rPr>
        <w:t> </w:t>
      </w:r>
      <w:r>
        <w:rPr/>
        <w:t>de</w:t>
      </w:r>
      <w:r>
        <w:rPr>
          <w:spacing w:val="-40"/>
        </w:rPr>
        <w:t> </w:t>
      </w:r>
      <w:r>
        <w:rPr/>
        <w:t>descumprimento</w:t>
      </w:r>
      <w:r>
        <w:rPr>
          <w:spacing w:val="-37"/>
        </w:rPr>
        <w:t> </w:t>
      </w:r>
      <w:r>
        <w:rPr/>
        <w:t>de</w:t>
      </w:r>
      <w:r>
        <w:rPr>
          <w:spacing w:val="-40"/>
        </w:rPr>
        <w:t> </w:t>
      </w:r>
      <w:r>
        <w:rPr/>
        <w:t>uma</w:t>
      </w:r>
      <w:r>
        <w:rPr>
          <w:spacing w:val="-38"/>
        </w:rPr>
        <w:t> </w:t>
      </w:r>
      <w:r>
        <w:rPr/>
        <w:t>dessas</w:t>
      </w:r>
      <w:r>
        <w:rPr>
          <w:spacing w:val="-38"/>
        </w:rPr>
        <w:t> </w:t>
      </w:r>
      <w:r>
        <w:rPr/>
        <w:t>Condições</w:t>
      </w:r>
      <w:r>
        <w:rPr>
          <w:spacing w:val="-37"/>
        </w:rPr>
        <w:t> </w:t>
      </w:r>
      <w:r>
        <w:rPr/>
        <w:t>para</w:t>
      </w:r>
      <w:r>
        <w:rPr>
          <w:spacing w:val="-38"/>
        </w:rPr>
        <w:t> </w:t>
      </w:r>
      <w:r>
        <w:rPr/>
        <w:t>Prorrogação,</w:t>
      </w:r>
      <w:r>
        <w:rPr>
          <w:spacing w:val="-39"/>
        </w:rPr>
        <w:t> </w:t>
      </w:r>
      <w:r>
        <w:rPr/>
        <w:t>por</w:t>
      </w:r>
      <w:r>
        <w:rPr>
          <w:spacing w:val="-39"/>
        </w:rPr>
        <w:t> </w:t>
      </w:r>
      <w:r>
        <w:rPr/>
        <w:t>dois</w:t>
      </w:r>
      <w:r>
        <w:rPr>
          <w:spacing w:val="-38"/>
        </w:rPr>
        <w:t> </w:t>
      </w:r>
      <w:r>
        <w:rPr/>
        <w:t>anos</w:t>
      </w:r>
      <w:r>
        <w:rPr>
          <w:spacing w:val="-38"/>
        </w:rPr>
        <w:t> </w:t>
      </w:r>
      <w:r>
        <w:rPr/>
        <w:t>consecutivos</w:t>
      </w:r>
      <w:r>
        <w:rPr>
          <w:spacing w:val="-36"/>
        </w:rPr>
        <w:t> </w:t>
      </w:r>
      <w:r>
        <w:rPr/>
        <w:t>ou</w:t>
      </w:r>
      <w:r>
        <w:rPr>
          <w:spacing w:val="-37"/>
        </w:rPr>
        <w:t> </w:t>
      </w:r>
      <w:r>
        <w:rPr/>
        <w:t>quaisquer</w:t>
      </w:r>
      <w:r>
        <w:rPr>
          <w:spacing w:val="-38"/>
        </w:rPr>
        <w:t> </w:t>
      </w:r>
      <w:r>
        <w:rPr/>
        <w:t>das Condições ao final do quinto ano, é prevista a extinção da Concessão, respeitado o direto à ampla defesa e ao contraditório.</w:t>
      </w:r>
    </w:p>
    <w:p>
      <w:pPr>
        <w:pStyle w:val="BodyText"/>
        <w:spacing w:before="5"/>
      </w:pPr>
    </w:p>
    <w:p>
      <w:pPr>
        <w:pStyle w:val="ListParagraph"/>
        <w:numPr>
          <w:ilvl w:val="0"/>
          <w:numId w:val="12"/>
        </w:numPr>
        <w:tabs>
          <w:tab w:pos="424" w:val="left" w:leader="none"/>
        </w:tabs>
        <w:spacing w:line="240" w:lineRule="auto" w:before="1" w:after="0"/>
        <w:ind w:left="423" w:right="0" w:hanging="232"/>
        <w:jc w:val="left"/>
        <w:rPr>
          <w:rFonts w:ascii="Caladea" w:hAnsi="Caladea"/>
          <w:b/>
          <w:sz w:val="20"/>
        </w:rPr>
      </w:pPr>
      <w:r>
        <w:rPr>
          <w:rFonts w:ascii="Caladea" w:hAnsi="Caladea"/>
          <w:b/>
          <w:sz w:val="20"/>
        </w:rPr>
        <w:t>Condições restritivas econômico-financeiros (</w:t>
      </w:r>
      <w:r>
        <w:rPr>
          <w:rFonts w:ascii="Times New Roman" w:hAnsi="Times New Roman"/>
          <w:b/>
          <w:i/>
          <w:sz w:val="20"/>
        </w:rPr>
        <w:t>Covenants</w:t>
      </w:r>
      <w:r>
        <w:rPr>
          <w:rFonts w:ascii="Caladea" w:hAnsi="Caladea"/>
          <w:b/>
          <w:sz w:val="20"/>
        </w:rPr>
        <w:t>)</w:t>
      </w:r>
    </w:p>
    <w:p>
      <w:pPr>
        <w:pStyle w:val="BodyText"/>
        <w:spacing w:before="4"/>
        <w:rPr>
          <w:rFonts w:ascii="Caladea"/>
          <w:b/>
        </w:rPr>
      </w:pPr>
    </w:p>
    <w:tbl>
      <w:tblPr>
        <w:tblW w:w="0" w:type="auto"/>
        <w:jc w:val="left"/>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64"/>
        <w:gridCol w:w="934"/>
        <w:gridCol w:w="831"/>
        <w:gridCol w:w="1258"/>
        <w:gridCol w:w="831"/>
      </w:tblGrid>
      <w:tr>
        <w:trPr>
          <w:trHeight w:val="376" w:hRule="atLeast"/>
        </w:trPr>
        <w:tc>
          <w:tcPr>
            <w:tcW w:w="6064" w:type="dxa"/>
            <w:shd w:val="clear" w:color="auto" w:fill="D9D9D9"/>
          </w:tcPr>
          <w:p>
            <w:pPr>
              <w:pStyle w:val="TableParagraph"/>
              <w:rPr>
                <w:rFonts w:ascii="Times New Roman"/>
                <w:sz w:val="18"/>
              </w:rPr>
            </w:pPr>
          </w:p>
        </w:tc>
        <w:tc>
          <w:tcPr>
            <w:tcW w:w="934" w:type="dxa"/>
            <w:shd w:val="clear" w:color="auto" w:fill="D9D9D9"/>
          </w:tcPr>
          <w:p>
            <w:pPr>
              <w:pStyle w:val="TableParagraph"/>
              <w:spacing w:before="92"/>
              <w:ind w:left="52" w:right="37"/>
              <w:jc w:val="center"/>
              <w:rPr>
                <w:rFonts w:ascii="Caladea" w:hAnsi="Caladea"/>
                <w:b/>
                <w:sz w:val="16"/>
              </w:rPr>
            </w:pPr>
            <w:r>
              <w:rPr>
                <w:rFonts w:ascii="Caladea" w:hAnsi="Caladea"/>
                <w:b/>
                <w:sz w:val="16"/>
              </w:rPr>
              <w:t>Parâmetro</w:t>
            </w:r>
          </w:p>
        </w:tc>
        <w:tc>
          <w:tcPr>
            <w:tcW w:w="831" w:type="dxa"/>
            <w:shd w:val="clear" w:color="auto" w:fill="D9D9D9"/>
          </w:tcPr>
          <w:p>
            <w:pPr>
              <w:pStyle w:val="TableParagraph"/>
              <w:spacing w:before="92"/>
              <w:ind w:left="227"/>
              <w:rPr>
                <w:rFonts w:ascii="Caladea"/>
                <w:b/>
                <w:sz w:val="16"/>
              </w:rPr>
            </w:pPr>
            <w:r>
              <w:rPr>
                <w:rFonts w:ascii="Caladea"/>
                <w:b/>
                <w:sz w:val="16"/>
              </w:rPr>
              <w:t>2019</w:t>
            </w:r>
          </w:p>
        </w:tc>
        <w:tc>
          <w:tcPr>
            <w:tcW w:w="1258" w:type="dxa"/>
            <w:shd w:val="clear" w:color="auto" w:fill="D9D9D9"/>
          </w:tcPr>
          <w:p>
            <w:pPr>
              <w:pStyle w:val="TableParagraph"/>
              <w:spacing w:line="186" w:lineRule="exact"/>
              <w:ind w:left="48" w:right="39"/>
              <w:jc w:val="center"/>
              <w:rPr>
                <w:rFonts w:ascii="Caladea"/>
                <w:b/>
                <w:sz w:val="16"/>
              </w:rPr>
            </w:pPr>
            <w:r>
              <w:rPr>
                <w:rFonts w:ascii="Caladea"/>
                <w:b/>
                <w:sz w:val="16"/>
              </w:rPr>
              <w:t>2018</w:t>
            </w:r>
          </w:p>
          <w:p>
            <w:pPr>
              <w:pStyle w:val="TableParagraph"/>
              <w:spacing w:line="170" w:lineRule="exact"/>
              <w:ind w:left="51" w:right="39"/>
              <w:jc w:val="center"/>
              <w:rPr>
                <w:rFonts w:ascii="Caladea"/>
                <w:b/>
                <w:sz w:val="16"/>
              </w:rPr>
            </w:pPr>
            <w:r>
              <w:rPr>
                <w:rFonts w:ascii="Caladea"/>
                <w:b/>
                <w:sz w:val="16"/>
              </w:rPr>
              <w:t>Reapresentado</w:t>
            </w:r>
          </w:p>
        </w:tc>
        <w:tc>
          <w:tcPr>
            <w:tcW w:w="831" w:type="dxa"/>
            <w:shd w:val="clear" w:color="auto" w:fill="D9D9D9"/>
          </w:tcPr>
          <w:p>
            <w:pPr>
              <w:pStyle w:val="TableParagraph"/>
              <w:spacing w:before="92"/>
              <w:ind w:left="224"/>
              <w:rPr>
                <w:rFonts w:ascii="Caladea"/>
                <w:b/>
                <w:sz w:val="16"/>
              </w:rPr>
            </w:pPr>
            <w:r>
              <w:rPr>
                <w:rFonts w:ascii="Caladea"/>
                <w:b/>
                <w:sz w:val="16"/>
              </w:rPr>
              <w:t>2017</w:t>
            </w:r>
          </w:p>
        </w:tc>
      </w:tr>
      <w:tr>
        <w:trPr>
          <w:trHeight w:val="225" w:hRule="atLeast"/>
        </w:trPr>
        <w:tc>
          <w:tcPr>
            <w:tcW w:w="6064" w:type="dxa"/>
          </w:tcPr>
          <w:p>
            <w:pPr>
              <w:pStyle w:val="TableParagraph"/>
              <w:spacing w:line="185" w:lineRule="exact" w:before="20"/>
              <w:ind w:left="72"/>
              <w:rPr>
                <w:sz w:val="16"/>
              </w:rPr>
            </w:pPr>
            <w:r>
              <w:rPr>
                <w:sz w:val="16"/>
              </w:rPr>
              <w:t>LAJIDA Regulatório &gt; 0 (até o término de 2017 e mantida nos anos seguintes)</w:t>
            </w:r>
          </w:p>
        </w:tc>
        <w:tc>
          <w:tcPr>
            <w:tcW w:w="934" w:type="dxa"/>
          </w:tcPr>
          <w:p>
            <w:pPr>
              <w:pStyle w:val="TableParagraph"/>
              <w:spacing w:line="185" w:lineRule="exact" w:before="20"/>
              <w:ind w:left="50" w:right="37"/>
              <w:jc w:val="center"/>
              <w:rPr>
                <w:sz w:val="16"/>
              </w:rPr>
            </w:pPr>
            <w:r>
              <w:rPr>
                <w:w w:val="105"/>
                <w:sz w:val="16"/>
              </w:rPr>
              <w:t>≥ 0</w:t>
            </w:r>
          </w:p>
        </w:tc>
        <w:tc>
          <w:tcPr>
            <w:tcW w:w="831" w:type="dxa"/>
          </w:tcPr>
          <w:p>
            <w:pPr>
              <w:pStyle w:val="TableParagraph"/>
              <w:spacing w:line="185" w:lineRule="exact" w:before="20"/>
              <w:ind w:right="53"/>
              <w:jc w:val="right"/>
              <w:rPr>
                <w:sz w:val="16"/>
              </w:rPr>
            </w:pPr>
            <w:r>
              <w:rPr>
                <w:sz w:val="16"/>
              </w:rPr>
              <w:t>150.184</w:t>
            </w:r>
          </w:p>
        </w:tc>
        <w:tc>
          <w:tcPr>
            <w:tcW w:w="1258" w:type="dxa"/>
          </w:tcPr>
          <w:p>
            <w:pPr>
              <w:pStyle w:val="TableParagraph"/>
              <w:spacing w:line="185" w:lineRule="exact" w:before="20"/>
              <w:ind w:right="56"/>
              <w:jc w:val="right"/>
              <w:rPr>
                <w:sz w:val="16"/>
              </w:rPr>
            </w:pPr>
            <w:r>
              <w:rPr>
                <w:w w:val="95"/>
                <w:sz w:val="16"/>
              </w:rPr>
              <w:t>44.432</w:t>
            </w:r>
          </w:p>
        </w:tc>
        <w:tc>
          <w:tcPr>
            <w:tcW w:w="831" w:type="dxa"/>
          </w:tcPr>
          <w:p>
            <w:pPr>
              <w:pStyle w:val="TableParagraph"/>
              <w:spacing w:line="185" w:lineRule="exact" w:before="20"/>
              <w:ind w:left="195"/>
              <w:rPr>
                <w:sz w:val="16"/>
              </w:rPr>
            </w:pPr>
            <w:r>
              <w:rPr>
                <w:sz w:val="16"/>
              </w:rPr>
              <w:t>116.451</w:t>
            </w:r>
          </w:p>
        </w:tc>
      </w:tr>
      <w:tr>
        <w:trPr>
          <w:trHeight w:val="376" w:hRule="atLeast"/>
        </w:trPr>
        <w:tc>
          <w:tcPr>
            <w:tcW w:w="6064" w:type="dxa"/>
          </w:tcPr>
          <w:p>
            <w:pPr>
              <w:pStyle w:val="TableParagraph"/>
              <w:spacing w:line="180" w:lineRule="atLeast" w:before="3"/>
              <w:ind w:left="72" w:right="113"/>
              <w:rPr>
                <w:sz w:val="16"/>
              </w:rPr>
            </w:pPr>
            <w:r>
              <w:rPr>
                <w:sz w:val="16"/>
              </w:rPr>
              <w:t>[LAJIDA</w:t>
            </w:r>
            <w:r>
              <w:rPr>
                <w:spacing w:val="-21"/>
                <w:sz w:val="16"/>
              </w:rPr>
              <w:t> </w:t>
            </w:r>
            <w:r>
              <w:rPr>
                <w:sz w:val="16"/>
              </w:rPr>
              <w:t>Regulatório</w:t>
            </w:r>
            <w:r>
              <w:rPr>
                <w:spacing w:val="-19"/>
                <w:sz w:val="16"/>
              </w:rPr>
              <w:t> </w:t>
            </w:r>
            <w:r>
              <w:rPr>
                <w:sz w:val="16"/>
              </w:rPr>
              <w:t>(-)</w:t>
            </w:r>
            <w:r>
              <w:rPr>
                <w:spacing w:val="-19"/>
                <w:sz w:val="16"/>
              </w:rPr>
              <w:t> </w:t>
            </w:r>
            <w:r>
              <w:rPr>
                <w:sz w:val="16"/>
              </w:rPr>
              <w:t>QRR]</w:t>
            </w:r>
            <w:r>
              <w:rPr>
                <w:spacing w:val="-19"/>
                <w:sz w:val="16"/>
              </w:rPr>
              <w:t> </w:t>
            </w:r>
            <w:r>
              <w:rPr>
                <w:sz w:val="16"/>
              </w:rPr>
              <w:t>&gt;</w:t>
            </w:r>
            <w:r>
              <w:rPr>
                <w:spacing w:val="-21"/>
                <w:sz w:val="16"/>
              </w:rPr>
              <w:t> </w:t>
            </w:r>
            <w:r>
              <w:rPr>
                <w:sz w:val="16"/>
              </w:rPr>
              <w:t>0</w:t>
            </w:r>
            <w:r>
              <w:rPr>
                <w:spacing w:val="-20"/>
                <w:sz w:val="16"/>
              </w:rPr>
              <w:t> </w:t>
            </w:r>
            <w:r>
              <w:rPr>
                <w:sz w:val="16"/>
              </w:rPr>
              <w:t>(até</w:t>
            </w:r>
            <w:r>
              <w:rPr>
                <w:spacing w:val="-19"/>
                <w:sz w:val="16"/>
              </w:rPr>
              <w:t> </w:t>
            </w:r>
            <w:r>
              <w:rPr>
                <w:sz w:val="16"/>
              </w:rPr>
              <w:t>o</w:t>
            </w:r>
            <w:r>
              <w:rPr>
                <w:spacing w:val="-19"/>
                <w:sz w:val="16"/>
              </w:rPr>
              <w:t> </w:t>
            </w:r>
            <w:r>
              <w:rPr>
                <w:sz w:val="16"/>
              </w:rPr>
              <w:t>término</w:t>
            </w:r>
            <w:r>
              <w:rPr>
                <w:spacing w:val="-18"/>
                <w:sz w:val="16"/>
              </w:rPr>
              <w:t> </w:t>
            </w:r>
            <w:r>
              <w:rPr>
                <w:sz w:val="16"/>
              </w:rPr>
              <w:t>de</w:t>
            </w:r>
            <w:r>
              <w:rPr>
                <w:spacing w:val="-17"/>
                <w:sz w:val="16"/>
              </w:rPr>
              <w:t> </w:t>
            </w:r>
            <w:r>
              <w:rPr>
                <w:sz w:val="16"/>
              </w:rPr>
              <w:t>2018</w:t>
            </w:r>
            <w:r>
              <w:rPr>
                <w:spacing w:val="-21"/>
                <w:sz w:val="16"/>
              </w:rPr>
              <w:t> </w:t>
            </w:r>
            <w:r>
              <w:rPr>
                <w:sz w:val="16"/>
              </w:rPr>
              <w:t>e</w:t>
            </w:r>
            <w:r>
              <w:rPr>
                <w:spacing w:val="-19"/>
                <w:sz w:val="16"/>
              </w:rPr>
              <w:t> </w:t>
            </w:r>
            <w:r>
              <w:rPr>
                <w:sz w:val="16"/>
              </w:rPr>
              <w:t>mantida</w:t>
            </w:r>
            <w:r>
              <w:rPr>
                <w:spacing w:val="-18"/>
                <w:sz w:val="16"/>
              </w:rPr>
              <w:t> </w:t>
            </w:r>
            <w:r>
              <w:rPr>
                <w:sz w:val="16"/>
              </w:rPr>
              <w:t>nos</w:t>
            </w:r>
            <w:r>
              <w:rPr>
                <w:spacing w:val="-20"/>
                <w:sz w:val="16"/>
              </w:rPr>
              <w:t> </w:t>
            </w:r>
            <w:r>
              <w:rPr>
                <w:sz w:val="16"/>
              </w:rPr>
              <w:t>anos seguintes)</w:t>
            </w:r>
          </w:p>
        </w:tc>
        <w:tc>
          <w:tcPr>
            <w:tcW w:w="934" w:type="dxa"/>
          </w:tcPr>
          <w:p>
            <w:pPr>
              <w:pStyle w:val="TableParagraph"/>
              <w:spacing w:before="96"/>
              <w:ind w:left="50" w:right="37"/>
              <w:jc w:val="center"/>
              <w:rPr>
                <w:sz w:val="16"/>
              </w:rPr>
            </w:pPr>
            <w:r>
              <w:rPr>
                <w:w w:val="105"/>
                <w:sz w:val="16"/>
              </w:rPr>
              <w:t>≥ 0</w:t>
            </w:r>
          </w:p>
        </w:tc>
        <w:tc>
          <w:tcPr>
            <w:tcW w:w="831" w:type="dxa"/>
          </w:tcPr>
          <w:p>
            <w:pPr>
              <w:pStyle w:val="TableParagraph"/>
              <w:spacing w:before="96"/>
              <w:ind w:right="54"/>
              <w:jc w:val="right"/>
              <w:rPr>
                <w:sz w:val="16"/>
              </w:rPr>
            </w:pPr>
            <w:r>
              <w:rPr>
                <w:w w:val="95"/>
                <w:sz w:val="16"/>
              </w:rPr>
              <w:t>81.867</w:t>
            </w:r>
          </w:p>
        </w:tc>
        <w:tc>
          <w:tcPr>
            <w:tcW w:w="1258" w:type="dxa"/>
          </w:tcPr>
          <w:p>
            <w:pPr>
              <w:pStyle w:val="TableParagraph"/>
              <w:spacing w:before="96"/>
              <w:ind w:right="57"/>
              <w:jc w:val="right"/>
              <w:rPr>
                <w:sz w:val="16"/>
              </w:rPr>
            </w:pPr>
            <w:r>
              <w:rPr>
                <w:w w:val="95"/>
                <w:sz w:val="16"/>
              </w:rPr>
              <w:t>Fluxo Negativo</w:t>
            </w:r>
          </w:p>
        </w:tc>
        <w:tc>
          <w:tcPr>
            <w:tcW w:w="831" w:type="dxa"/>
          </w:tcPr>
          <w:p>
            <w:pPr>
              <w:pStyle w:val="TableParagraph"/>
              <w:spacing w:before="96"/>
              <w:ind w:left="264" w:right="256"/>
              <w:jc w:val="center"/>
              <w:rPr>
                <w:sz w:val="16"/>
              </w:rPr>
            </w:pPr>
            <w:r>
              <w:rPr>
                <w:sz w:val="16"/>
              </w:rPr>
              <w:t>n/a</w:t>
            </w:r>
          </w:p>
        </w:tc>
      </w:tr>
      <w:tr>
        <w:trPr>
          <w:trHeight w:val="373" w:hRule="atLeast"/>
        </w:trPr>
        <w:tc>
          <w:tcPr>
            <w:tcW w:w="6064" w:type="dxa"/>
          </w:tcPr>
          <w:p>
            <w:pPr>
              <w:pStyle w:val="TableParagraph"/>
              <w:spacing w:line="188" w:lineRule="exact"/>
              <w:ind w:left="72"/>
              <w:rPr>
                <w:sz w:val="16"/>
              </w:rPr>
            </w:pPr>
            <w:r>
              <w:rPr>
                <w:sz w:val="16"/>
              </w:rPr>
              <w:t>{Dívida</w:t>
            </w:r>
            <w:r>
              <w:rPr>
                <w:spacing w:val="-18"/>
                <w:sz w:val="16"/>
              </w:rPr>
              <w:t> </w:t>
            </w:r>
            <w:r>
              <w:rPr>
                <w:sz w:val="16"/>
              </w:rPr>
              <w:t>Líquida</w:t>
            </w:r>
            <w:r>
              <w:rPr>
                <w:spacing w:val="-17"/>
                <w:sz w:val="16"/>
              </w:rPr>
              <w:t> </w:t>
            </w:r>
            <w:r>
              <w:rPr>
                <w:sz w:val="16"/>
              </w:rPr>
              <w:t>Regulatória</w:t>
            </w:r>
            <w:r>
              <w:rPr>
                <w:spacing w:val="-19"/>
                <w:sz w:val="16"/>
              </w:rPr>
              <w:t> </w:t>
            </w:r>
            <w:r>
              <w:rPr>
                <w:sz w:val="16"/>
              </w:rPr>
              <w:t>/</w:t>
            </w:r>
            <w:r>
              <w:rPr>
                <w:spacing w:val="-18"/>
                <w:sz w:val="16"/>
              </w:rPr>
              <w:t> </w:t>
            </w:r>
            <w:r>
              <w:rPr>
                <w:sz w:val="16"/>
              </w:rPr>
              <w:t>[LAJIDA</w:t>
            </w:r>
            <w:r>
              <w:rPr>
                <w:spacing w:val="-18"/>
                <w:sz w:val="16"/>
              </w:rPr>
              <w:t> </w:t>
            </w:r>
            <w:r>
              <w:rPr>
                <w:sz w:val="16"/>
              </w:rPr>
              <w:t>Regulatório</w:t>
            </w:r>
            <w:r>
              <w:rPr>
                <w:spacing w:val="-19"/>
                <w:sz w:val="16"/>
              </w:rPr>
              <w:t> </w:t>
            </w:r>
            <w:r>
              <w:rPr>
                <w:sz w:val="16"/>
              </w:rPr>
              <w:t>(-)</w:t>
            </w:r>
            <w:r>
              <w:rPr>
                <w:spacing w:val="-19"/>
                <w:sz w:val="16"/>
              </w:rPr>
              <w:t> </w:t>
            </w:r>
            <w:r>
              <w:rPr>
                <w:sz w:val="16"/>
              </w:rPr>
              <w:t>QRR]}</w:t>
            </w:r>
            <w:r>
              <w:rPr>
                <w:spacing w:val="-18"/>
                <w:sz w:val="16"/>
              </w:rPr>
              <w:t> </w:t>
            </w:r>
            <w:r>
              <w:rPr>
                <w:sz w:val="16"/>
              </w:rPr>
              <w:t>&lt;</w:t>
            </w:r>
            <w:r>
              <w:rPr>
                <w:spacing w:val="-21"/>
                <w:sz w:val="16"/>
              </w:rPr>
              <w:t> </w:t>
            </w:r>
            <w:r>
              <w:rPr>
                <w:sz w:val="16"/>
              </w:rPr>
              <w:t>1/</w:t>
            </w:r>
            <w:r>
              <w:rPr>
                <w:spacing w:val="-19"/>
                <w:sz w:val="16"/>
              </w:rPr>
              <w:t> </w:t>
            </w:r>
            <w:r>
              <w:rPr>
                <w:sz w:val="16"/>
              </w:rPr>
              <w:t>(0,8</w:t>
            </w:r>
            <w:r>
              <w:rPr>
                <w:spacing w:val="-20"/>
                <w:sz w:val="16"/>
              </w:rPr>
              <w:t> </w:t>
            </w:r>
            <w:r>
              <w:rPr>
                <w:sz w:val="16"/>
              </w:rPr>
              <w:t>*</w:t>
            </w:r>
            <w:r>
              <w:rPr>
                <w:spacing w:val="-19"/>
                <w:sz w:val="16"/>
              </w:rPr>
              <w:t> </w:t>
            </w:r>
            <w:r>
              <w:rPr>
                <w:sz w:val="16"/>
              </w:rPr>
              <w:t>SELIC)</w:t>
            </w:r>
            <w:r>
              <w:rPr>
                <w:spacing w:val="-18"/>
                <w:sz w:val="16"/>
              </w:rPr>
              <w:t> </w:t>
            </w:r>
            <w:r>
              <w:rPr>
                <w:sz w:val="16"/>
              </w:rPr>
              <w:t>(até</w:t>
            </w:r>
            <w:r>
              <w:rPr>
                <w:spacing w:val="-19"/>
                <w:sz w:val="16"/>
              </w:rPr>
              <w:t> </w:t>
            </w:r>
            <w:r>
              <w:rPr>
                <w:sz w:val="16"/>
              </w:rPr>
              <w:t>o término</w:t>
            </w:r>
            <w:r>
              <w:rPr>
                <w:spacing w:val="-13"/>
                <w:sz w:val="16"/>
              </w:rPr>
              <w:t> </w:t>
            </w:r>
            <w:r>
              <w:rPr>
                <w:sz w:val="16"/>
              </w:rPr>
              <w:t>de</w:t>
            </w:r>
            <w:r>
              <w:rPr>
                <w:spacing w:val="-13"/>
                <w:sz w:val="16"/>
              </w:rPr>
              <w:t> </w:t>
            </w:r>
            <w:r>
              <w:rPr>
                <w:sz w:val="16"/>
              </w:rPr>
              <w:t>2019</w:t>
            </w:r>
            <w:r>
              <w:rPr>
                <w:spacing w:val="-17"/>
                <w:sz w:val="16"/>
              </w:rPr>
              <w:t> </w:t>
            </w:r>
            <w:r>
              <w:rPr>
                <w:sz w:val="16"/>
              </w:rPr>
              <w:t>e</w:t>
            </w:r>
            <w:r>
              <w:rPr>
                <w:spacing w:val="-15"/>
                <w:sz w:val="16"/>
              </w:rPr>
              <w:t> </w:t>
            </w:r>
            <w:r>
              <w:rPr>
                <w:sz w:val="16"/>
              </w:rPr>
              <w:t>mantida</w:t>
            </w:r>
            <w:r>
              <w:rPr>
                <w:spacing w:val="-14"/>
                <w:sz w:val="16"/>
              </w:rPr>
              <w:t> </w:t>
            </w:r>
            <w:r>
              <w:rPr>
                <w:sz w:val="16"/>
              </w:rPr>
              <w:t>nos</w:t>
            </w:r>
            <w:r>
              <w:rPr>
                <w:spacing w:val="-12"/>
                <w:sz w:val="16"/>
              </w:rPr>
              <w:t> </w:t>
            </w:r>
            <w:r>
              <w:rPr>
                <w:sz w:val="16"/>
              </w:rPr>
              <w:t>anos</w:t>
            </w:r>
            <w:r>
              <w:rPr>
                <w:spacing w:val="-13"/>
                <w:sz w:val="16"/>
              </w:rPr>
              <w:t> </w:t>
            </w:r>
            <w:r>
              <w:rPr>
                <w:sz w:val="16"/>
              </w:rPr>
              <w:t>seguintes)</w:t>
            </w:r>
          </w:p>
        </w:tc>
        <w:tc>
          <w:tcPr>
            <w:tcW w:w="934" w:type="dxa"/>
          </w:tcPr>
          <w:p>
            <w:pPr>
              <w:pStyle w:val="TableParagraph"/>
              <w:spacing w:before="94"/>
              <w:ind w:left="50" w:right="37"/>
              <w:jc w:val="center"/>
              <w:rPr>
                <w:sz w:val="16"/>
              </w:rPr>
            </w:pPr>
            <w:r>
              <w:rPr>
                <w:sz w:val="16"/>
              </w:rPr>
              <w:t>≤ 20,8</w:t>
            </w:r>
          </w:p>
        </w:tc>
        <w:tc>
          <w:tcPr>
            <w:tcW w:w="831" w:type="dxa"/>
          </w:tcPr>
          <w:p>
            <w:pPr>
              <w:pStyle w:val="TableParagraph"/>
              <w:spacing w:before="94"/>
              <w:ind w:right="56"/>
              <w:jc w:val="right"/>
              <w:rPr>
                <w:sz w:val="16"/>
              </w:rPr>
            </w:pPr>
            <w:r>
              <w:rPr>
                <w:w w:val="90"/>
                <w:sz w:val="16"/>
              </w:rPr>
              <w:t>9,8</w:t>
            </w:r>
          </w:p>
        </w:tc>
        <w:tc>
          <w:tcPr>
            <w:tcW w:w="1258" w:type="dxa"/>
          </w:tcPr>
          <w:p>
            <w:pPr>
              <w:pStyle w:val="TableParagraph"/>
              <w:spacing w:before="94"/>
              <w:ind w:left="48" w:right="39"/>
              <w:jc w:val="center"/>
              <w:rPr>
                <w:sz w:val="16"/>
              </w:rPr>
            </w:pPr>
            <w:r>
              <w:rPr>
                <w:sz w:val="16"/>
              </w:rPr>
              <w:t>n/a</w:t>
            </w:r>
          </w:p>
        </w:tc>
        <w:tc>
          <w:tcPr>
            <w:tcW w:w="831" w:type="dxa"/>
          </w:tcPr>
          <w:p>
            <w:pPr>
              <w:pStyle w:val="TableParagraph"/>
              <w:spacing w:before="94"/>
              <w:ind w:left="264" w:right="256"/>
              <w:jc w:val="center"/>
              <w:rPr>
                <w:sz w:val="16"/>
              </w:rPr>
            </w:pPr>
            <w:r>
              <w:rPr>
                <w:sz w:val="16"/>
              </w:rPr>
              <w:t>n/a</w:t>
            </w:r>
          </w:p>
        </w:tc>
      </w:tr>
      <w:tr>
        <w:trPr>
          <w:trHeight w:val="374" w:hRule="atLeast"/>
        </w:trPr>
        <w:tc>
          <w:tcPr>
            <w:tcW w:w="6064" w:type="dxa"/>
          </w:tcPr>
          <w:p>
            <w:pPr>
              <w:pStyle w:val="TableParagraph"/>
              <w:spacing w:line="180" w:lineRule="atLeast" w:before="1"/>
              <w:ind w:left="72"/>
              <w:rPr>
                <w:sz w:val="16"/>
              </w:rPr>
            </w:pPr>
            <w:r>
              <w:rPr>
                <w:sz w:val="16"/>
              </w:rPr>
              <w:t>{Dívida</w:t>
            </w:r>
            <w:r>
              <w:rPr>
                <w:spacing w:val="-18"/>
                <w:sz w:val="16"/>
              </w:rPr>
              <w:t> </w:t>
            </w:r>
            <w:r>
              <w:rPr>
                <w:sz w:val="16"/>
              </w:rPr>
              <w:t>Líquida</w:t>
            </w:r>
            <w:r>
              <w:rPr>
                <w:spacing w:val="-17"/>
                <w:sz w:val="16"/>
              </w:rPr>
              <w:t> </w:t>
            </w:r>
            <w:r>
              <w:rPr>
                <w:sz w:val="16"/>
              </w:rPr>
              <w:t>Regulatória</w:t>
            </w:r>
            <w:r>
              <w:rPr>
                <w:spacing w:val="-19"/>
                <w:sz w:val="16"/>
              </w:rPr>
              <w:t> </w:t>
            </w:r>
            <w:r>
              <w:rPr>
                <w:sz w:val="16"/>
              </w:rPr>
              <w:t>/</w:t>
            </w:r>
            <w:r>
              <w:rPr>
                <w:spacing w:val="-18"/>
                <w:sz w:val="16"/>
              </w:rPr>
              <w:t> </w:t>
            </w:r>
            <w:r>
              <w:rPr>
                <w:sz w:val="16"/>
              </w:rPr>
              <w:t>[LAJIDA</w:t>
            </w:r>
            <w:r>
              <w:rPr>
                <w:spacing w:val="-18"/>
                <w:sz w:val="16"/>
              </w:rPr>
              <w:t> </w:t>
            </w:r>
            <w:r>
              <w:rPr>
                <w:sz w:val="16"/>
              </w:rPr>
              <w:t>Regulatório</w:t>
            </w:r>
            <w:r>
              <w:rPr>
                <w:spacing w:val="-19"/>
                <w:sz w:val="16"/>
              </w:rPr>
              <w:t> </w:t>
            </w:r>
            <w:r>
              <w:rPr>
                <w:sz w:val="16"/>
              </w:rPr>
              <w:t>(-)</w:t>
            </w:r>
            <w:r>
              <w:rPr>
                <w:spacing w:val="-19"/>
                <w:sz w:val="16"/>
              </w:rPr>
              <w:t> </w:t>
            </w:r>
            <w:r>
              <w:rPr>
                <w:sz w:val="16"/>
              </w:rPr>
              <w:t>QRR]}</w:t>
            </w:r>
            <w:r>
              <w:rPr>
                <w:spacing w:val="-18"/>
                <w:sz w:val="16"/>
              </w:rPr>
              <w:t> </w:t>
            </w:r>
            <w:r>
              <w:rPr>
                <w:sz w:val="16"/>
              </w:rPr>
              <w:t>&lt;</w:t>
            </w:r>
            <w:r>
              <w:rPr>
                <w:spacing w:val="-21"/>
                <w:sz w:val="16"/>
              </w:rPr>
              <w:t> </w:t>
            </w:r>
            <w:r>
              <w:rPr>
                <w:sz w:val="16"/>
              </w:rPr>
              <w:t>1/</w:t>
            </w:r>
            <w:r>
              <w:rPr>
                <w:spacing w:val="-19"/>
                <w:sz w:val="16"/>
              </w:rPr>
              <w:t> </w:t>
            </w:r>
            <w:r>
              <w:rPr>
                <w:sz w:val="16"/>
              </w:rPr>
              <w:t>(1,1</w:t>
            </w:r>
            <w:r>
              <w:rPr>
                <w:spacing w:val="-20"/>
                <w:sz w:val="16"/>
              </w:rPr>
              <w:t> </w:t>
            </w:r>
            <w:r>
              <w:rPr>
                <w:sz w:val="16"/>
              </w:rPr>
              <w:t>*</w:t>
            </w:r>
            <w:r>
              <w:rPr>
                <w:spacing w:val="-19"/>
                <w:sz w:val="16"/>
              </w:rPr>
              <w:t> </w:t>
            </w:r>
            <w:r>
              <w:rPr>
                <w:sz w:val="16"/>
              </w:rPr>
              <w:t>SELIC)</w:t>
            </w:r>
            <w:r>
              <w:rPr>
                <w:spacing w:val="-18"/>
                <w:sz w:val="16"/>
              </w:rPr>
              <w:t> </w:t>
            </w:r>
            <w:r>
              <w:rPr>
                <w:sz w:val="16"/>
              </w:rPr>
              <w:t>(até</w:t>
            </w:r>
            <w:r>
              <w:rPr>
                <w:spacing w:val="-19"/>
                <w:sz w:val="16"/>
              </w:rPr>
              <w:t> </w:t>
            </w:r>
            <w:r>
              <w:rPr>
                <w:sz w:val="16"/>
              </w:rPr>
              <w:t>o término</w:t>
            </w:r>
            <w:r>
              <w:rPr>
                <w:spacing w:val="-13"/>
                <w:sz w:val="16"/>
              </w:rPr>
              <w:t> </w:t>
            </w:r>
            <w:r>
              <w:rPr>
                <w:sz w:val="16"/>
              </w:rPr>
              <w:t>de</w:t>
            </w:r>
            <w:r>
              <w:rPr>
                <w:spacing w:val="-13"/>
                <w:sz w:val="16"/>
              </w:rPr>
              <w:t> </w:t>
            </w:r>
            <w:r>
              <w:rPr>
                <w:sz w:val="16"/>
              </w:rPr>
              <w:t>2020</w:t>
            </w:r>
            <w:r>
              <w:rPr>
                <w:spacing w:val="-17"/>
                <w:sz w:val="16"/>
              </w:rPr>
              <w:t> </w:t>
            </w:r>
            <w:r>
              <w:rPr>
                <w:sz w:val="16"/>
              </w:rPr>
              <w:t>e</w:t>
            </w:r>
            <w:r>
              <w:rPr>
                <w:spacing w:val="-15"/>
                <w:sz w:val="16"/>
              </w:rPr>
              <w:t> </w:t>
            </w:r>
            <w:r>
              <w:rPr>
                <w:sz w:val="16"/>
              </w:rPr>
              <w:t>mantida</w:t>
            </w:r>
            <w:r>
              <w:rPr>
                <w:spacing w:val="-16"/>
                <w:sz w:val="16"/>
              </w:rPr>
              <w:t> </w:t>
            </w:r>
            <w:r>
              <w:rPr>
                <w:sz w:val="16"/>
              </w:rPr>
              <w:t>nos</w:t>
            </w:r>
            <w:r>
              <w:rPr>
                <w:spacing w:val="-12"/>
                <w:sz w:val="16"/>
              </w:rPr>
              <w:t> </w:t>
            </w:r>
            <w:r>
              <w:rPr>
                <w:sz w:val="16"/>
              </w:rPr>
              <w:t>anos</w:t>
            </w:r>
            <w:r>
              <w:rPr>
                <w:spacing w:val="-13"/>
                <w:sz w:val="16"/>
              </w:rPr>
              <w:t> </w:t>
            </w:r>
            <w:r>
              <w:rPr>
                <w:sz w:val="16"/>
              </w:rPr>
              <w:t>seguintes)</w:t>
            </w:r>
          </w:p>
        </w:tc>
        <w:tc>
          <w:tcPr>
            <w:tcW w:w="934" w:type="dxa"/>
          </w:tcPr>
          <w:p>
            <w:pPr>
              <w:pStyle w:val="TableParagraph"/>
              <w:spacing w:before="95"/>
              <w:ind w:left="49" w:right="37"/>
              <w:jc w:val="center"/>
              <w:rPr>
                <w:sz w:val="16"/>
              </w:rPr>
            </w:pPr>
            <w:r>
              <w:rPr>
                <w:sz w:val="16"/>
              </w:rPr>
              <w:t>n/a</w:t>
            </w:r>
          </w:p>
        </w:tc>
        <w:tc>
          <w:tcPr>
            <w:tcW w:w="831" w:type="dxa"/>
          </w:tcPr>
          <w:p>
            <w:pPr>
              <w:pStyle w:val="TableParagraph"/>
              <w:spacing w:before="95"/>
              <w:ind w:left="266" w:right="253"/>
              <w:jc w:val="center"/>
              <w:rPr>
                <w:sz w:val="16"/>
              </w:rPr>
            </w:pPr>
            <w:r>
              <w:rPr>
                <w:sz w:val="16"/>
              </w:rPr>
              <w:t>n/a</w:t>
            </w:r>
          </w:p>
        </w:tc>
        <w:tc>
          <w:tcPr>
            <w:tcW w:w="1258" w:type="dxa"/>
          </w:tcPr>
          <w:p>
            <w:pPr>
              <w:pStyle w:val="TableParagraph"/>
              <w:spacing w:before="95"/>
              <w:ind w:left="48" w:right="39"/>
              <w:jc w:val="center"/>
              <w:rPr>
                <w:sz w:val="16"/>
              </w:rPr>
            </w:pPr>
            <w:r>
              <w:rPr>
                <w:sz w:val="16"/>
              </w:rPr>
              <w:t>n/a</w:t>
            </w:r>
          </w:p>
        </w:tc>
        <w:tc>
          <w:tcPr>
            <w:tcW w:w="831" w:type="dxa"/>
          </w:tcPr>
          <w:p>
            <w:pPr>
              <w:pStyle w:val="TableParagraph"/>
              <w:spacing w:before="95"/>
              <w:ind w:left="264" w:right="256"/>
              <w:jc w:val="center"/>
              <w:rPr>
                <w:sz w:val="16"/>
              </w:rPr>
            </w:pPr>
            <w:r>
              <w:rPr>
                <w:sz w:val="16"/>
              </w:rPr>
              <w:t>n/a</w:t>
            </w:r>
          </w:p>
        </w:tc>
      </w:tr>
    </w:tbl>
    <w:p>
      <w:pPr>
        <w:pStyle w:val="BodyText"/>
        <w:rPr>
          <w:rFonts w:ascii="Caladea"/>
          <w:b/>
        </w:rPr>
      </w:pPr>
    </w:p>
    <w:p>
      <w:pPr>
        <w:pStyle w:val="BodyText"/>
        <w:spacing w:line="242" w:lineRule="auto"/>
        <w:ind w:left="192" w:right="611"/>
        <w:jc w:val="both"/>
      </w:pPr>
      <w:r>
        <w:rPr/>
        <w:t>Em</w:t>
      </w:r>
      <w:r>
        <w:rPr>
          <w:spacing w:val="-33"/>
        </w:rPr>
        <w:t> </w:t>
      </w:r>
      <w:r>
        <w:rPr/>
        <w:t>2019,</w:t>
      </w:r>
      <w:r>
        <w:rPr>
          <w:spacing w:val="-32"/>
        </w:rPr>
        <w:t> </w:t>
      </w:r>
      <w:r>
        <w:rPr/>
        <w:t>a</w:t>
      </w:r>
      <w:r>
        <w:rPr>
          <w:spacing w:val="-31"/>
        </w:rPr>
        <w:t> </w:t>
      </w:r>
      <w:r>
        <w:rPr/>
        <w:t>CEB</w:t>
      </w:r>
      <w:r>
        <w:rPr>
          <w:spacing w:val="-30"/>
        </w:rPr>
        <w:t> </w:t>
      </w:r>
      <w:r>
        <w:rPr/>
        <w:t>DIS</w:t>
      </w:r>
      <w:r>
        <w:rPr>
          <w:spacing w:val="-31"/>
        </w:rPr>
        <w:t> </w:t>
      </w:r>
      <w:r>
        <w:rPr/>
        <w:t>avaliou</w:t>
      </w:r>
      <w:r>
        <w:rPr>
          <w:spacing w:val="-30"/>
        </w:rPr>
        <w:t> </w:t>
      </w:r>
      <w:r>
        <w:rPr/>
        <w:t>os</w:t>
      </w:r>
      <w:r>
        <w:rPr>
          <w:spacing w:val="-30"/>
        </w:rPr>
        <w:t> </w:t>
      </w:r>
      <w:r>
        <w:rPr>
          <w:rFonts w:ascii="Caladea" w:hAnsi="Caladea"/>
          <w:i/>
        </w:rPr>
        <w:t>covenants</w:t>
      </w:r>
      <w:r>
        <w:rPr>
          <w:rFonts w:ascii="Caladea" w:hAnsi="Caladea"/>
          <w:i/>
          <w:spacing w:val="-13"/>
        </w:rPr>
        <w:t> </w:t>
      </w:r>
      <w:r>
        <w:rPr/>
        <w:t>econômico-financeiros,</w:t>
      </w:r>
      <w:r>
        <w:rPr>
          <w:spacing w:val="-30"/>
        </w:rPr>
        <w:t> </w:t>
      </w:r>
      <w:r>
        <w:rPr/>
        <w:t>restando</w:t>
      </w:r>
      <w:r>
        <w:rPr>
          <w:spacing w:val="-31"/>
        </w:rPr>
        <w:t> </w:t>
      </w:r>
      <w:r>
        <w:rPr/>
        <w:t>atendido</w:t>
      </w:r>
      <w:r>
        <w:rPr>
          <w:spacing w:val="-32"/>
        </w:rPr>
        <w:t> </w:t>
      </w:r>
      <w:r>
        <w:rPr/>
        <w:t>todos</w:t>
      </w:r>
      <w:r>
        <w:rPr>
          <w:spacing w:val="-31"/>
        </w:rPr>
        <w:t> </w:t>
      </w:r>
      <w:r>
        <w:rPr/>
        <w:t>os</w:t>
      </w:r>
      <w:r>
        <w:rPr>
          <w:spacing w:val="-30"/>
        </w:rPr>
        <w:t> </w:t>
      </w:r>
      <w:r>
        <w:rPr/>
        <w:t>parâmetros</w:t>
      </w:r>
      <w:r>
        <w:rPr>
          <w:spacing w:val="-31"/>
        </w:rPr>
        <w:t> </w:t>
      </w:r>
      <w:r>
        <w:rPr/>
        <w:t>exigidos</w:t>
      </w:r>
      <w:r>
        <w:rPr>
          <w:spacing w:val="-30"/>
        </w:rPr>
        <w:t> </w:t>
      </w:r>
      <w:r>
        <w:rPr/>
        <w:t>no referido</w:t>
      </w:r>
      <w:r>
        <w:rPr>
          <w:spacing w:val="-23"/>
        </w:rPr>
        <w:t> </w:t>
      </w:r>
      <w:r>
        <w:rPr/>
        <w:t>Termo</w:t>
      </w:r>
      <w:r>
        <w:rPr>
          <w:spacing w:val="-24"/>
        </w:rPr>
        <w:t> </w:t>
      </w:r>
      <w:r>
        <w:rPr/>
        <w:t>Aditivo</w:t>
      </w:r>
      <w:r>
        <w:rPr>
          <w:spacing w:val="-24"/>
        </w:rPr>
        <w:t> </w:t>
      </w:r>
      <w:r>
        <w:rPr/>
        <w:t>ao</w:t>
      </w:r>
      <w:r>
        <w:rPr>
          <w:spacing w:val="-24"/>
        </w:rPr>
        <w:t> </w:t>
      </w:r>
      <w:r>
        <w:rPr/>
        <w:t>Contrato</w:t>
      </w:r>
      <w:r>
        <w:rPr>
          <w:spacing w:val="-24"/>
        </w:rPr>
        <w:t> </w:t>
      </w:r>
      <w:r>
        <w:rPr/>
        <w:t>de</w:t>
      </w:r>
      <w:r>
        <w:rPr>
          <w:spacing w:val="-25"/>
        </w:rPr>
        <w:t> </w:t>
      </w:r>
      <w:r>
        <w:rPr/>
        <w:t>Concessão,</w:t>
      </w:r>
      <w:r>
        <w:rPr>
          <w:spacing w:val="-22"/>
        </w:rPr>
        <w:t> </w:t>
      </w:r>
      <w:r>
        <w:rPr/>
        <w:t>bem</w:t>
      </w:r>
      <w:r>
        <w:rPr>
          <w:spacing w:val="-24"/>
        </w:rPr>
        <w:t> </w:t>
      </w:r>
      <w:r>
        <w:rPr/>
        <w:t>como</w:t>
      </w:r>
      <w:r>
        <w:rPr>
          <w:spacing w:val="-22"/>
        </w:rPr>
        <w:t> </w:t>
      </w:r>
      <w:r>
        <w:rPr/>
        <w:t>na</w:t>
      </w:r>
      <w:r>
        <w:rPr>
          <w:spacing w:val="-24"/>
        </w:rPr>
        <w:t> </w:t>
      </w:r>
      <w:r>
        <w:rPr/>
        <w:t>Resolução</w:t>
      </w:r>
      <w:r>
        <w:rPr>
          <w:spacing w:val="-24"/>
        </w:rPr>
        <w:t> </w:t>
      </w:r>
      <w:r>
        <w:rPr/>
        <w:t>Normativa</w:t>
      </w:r>
      <w:r>
        <w:rPr>
          <w:spacing w:val="-23"/>
        </w:rPr>
        <w:t> </w:t>
      </w:r>
      <w:r>
        <w:rPr/>
        <w:t>nº</w:t>
      </w:r>
      <w:r>
        <w:rPr>
          <w:spacing w:val="-23"/>
        </w:rPr>
        <w:t> </w:t>
      </w:r>
      <w:r>
        <w:rPr/>
        <w:t>787/2017-ANEEL.</w:t>
      </w:r>
    </w:p>
    <w:p>
      <w:pPr>
        <w:pStyle w:val="BodyText"/>
        <w:spacing w:before="2"/>
      </w:pPr>
    </w:p>
    <w:p>
      <w:pPr>
        <w:pStyle w:val="BodyText"/>
        <w:spacing w:line="242" w:lineRule="auto"/>
        <w:ind w:left="192" w:right="616"/>
        <w:jc w:val="both"/>
      </w:pPr>
      <w:r>
        <w:rPr/>
        <w:t>Os resultados das inequações obrigatórias para o exercício de 2019 foram apurados pela Companhia, segundo critérios estabelecidos na Resolução Normativa nº 787/2017-ANEEL, restando avaliação do Órgão Regulador.</w:t>
      </w:r>
    </w:p>
    <w:p>
      <w:pPr>
        <w:pStyle w:val="BodyText"/>
        <w:spacing w:before="7"/>
      </w:pPr>
    </w:p>
    <w:p>
      <w:pPr>
        <w:pStyle w:val="ListParagraph"/>
        <w:numPr>
          <w:ilvl w:val="0"/>
          <w:numId w:val="12"/>
        </w:numPr>
        <w:tabs>
          <w:tab w:pos="436" w:val="left" w:leader="none"/>
        </w:tabs>
        <w:spacing w:line="240" w:lineRule="auto" w:before="0" w:after="0"/>
        <w:ind w:left="435" w:right="0" w:hanging="244"/>
        <w:jc w:val="left"/>
        <w:rPr>
          <w:rFonts w:ascii="Caladea" w:hAnsi="Caladea"/>
          <w:b/>
          <w:sz w:val="20"/>
        </w:rPr>
      </w:pPr>
      <w:r>
        <w:rPr>
          <w:rFonts w:ascii="Caladea" w:hAnsi="Caladea"/>
          <w:b/>
          <w:sz w:val="20"/>
        </w:rPr>
        <w:t>Condições restritivas operacionais</w:t>
      </w:r>
      <w:r>
        <w:rPr>
          <w:rFonts w:ascii="Caladea" w:hAnsi="Caladea"/>
          <w:b/>
          <w:spacing w:val="2"/>
          <w:sz w:val="20"/>
        </w:rPr>
        <w:t> </w:t>
      </w:r>
      <w:r>
        <w:rPr>
          <w:rFonts w:ascii="Caladea" w:hAnsi="Caladea"/>
          <w:b/>
          <w:sz w:val="20"/>
        </w:rPr>
        <w:t>(</w:t>
      </w:r>
      <w:r>
        <w:rPr>
          <w:rFonts w:ascii="Times New Roman" w:hAnsi="Times New Roman"/>
          <w:b/>
          <w:i/>
          <w:sz w:val="20"/>
        </w:rPr>
        <w:t>Covenants</w:t>
      </w:r>
      <w:r>
        <w:rPr>
          <w:rFonts w:ascii="Caladea" w:hAnsi="Caladea"/>
          <w:b/>
          <w:sz w:val="20"/>
        </w:rPr>
        <w:t>)</w:t>
      </w:r>
    </w:p>
    <w:p>
      <w:pPr>
        <w:pStyle w:val="BodyText"/>
        <w:spacing w:before="4"/>
        <w:rPr>
          <w:rFonts w:ascii="Caladea"/>
          <w:b/>
        </w:rPr>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3735"/>
        <w:gridCol w:w="1236"/>
        <w:gridCol w:w="1236"/>
        <w:gridCol w:w="1236"/>
        <w:gridCol w:w="1234"/>
        <w:gridCol w:w="1238"/>
      </w:tblGrid>
      <w:tr>
        <w:trPr>
          <w:trHeight w:val="227" w:hRule="atLeast"/>
        </w:trPr>
        <w:tc>
          <w:tcPr>
            <w:tcW w:w="3735" w:type="dxa"/>
            <w:shd w:val="clear" w:color="auto" w:fill="D9D9D9"/>
          </w:tcPr>
          <w:p>
            <w:pPr>
              <w:pStyle w:val="TableParagraph"/>
              <w:rPr>
                <w:rFonts w:ascii="Times New Roman"/>
                <w:sz w:val="16"/>
              </w:rPr>
            </w:pPr>
          </w:p>
        </w:tc>
        <w:tc>
          <w:tcPr>
            <w:tcW w:w="1236" w:type="dxa"/>
            <w:shd w:val="clear" w:color="auto" w:fill="D9D9D9"/>
          </w:tcPr>
          <w:p>
            <w:pPr>
              <w:pStyle w:val="TableParagraph"/>
              <w:spacing w:before="18"/>
              <w:ind w:left="407" w:right="398"/>
              <w:jc w:val="center"/>
              <w:rPr>
                <w:rFonts w:ascii="Caladea"/>
                <w:b/>
                <w:sz w:val="16"/>
              </w:rPr>
            </w:pPr>
            <w:r>
              <w:rPr>
                <w:rFonts w:ascii="Caladea"/>
                <w:b/>
                <w:sz w:val="16"/>
              </w:rPr>
              <w:t>2016</w:t>
            </w:r>
          </w:p>
        </w:tc>
        <w:tc>
          <w:tcPr>
            <w:tcW w:w="1236" w:type="dxa"/>
            <w:shd w:val="clear" w:color="auto" w:fill="D9D9D9"/>
          </w:tcPr>
          <w:p>
            <w:pPr>
              <w:pStyle w:val="TableParagraph"/>
              <w:spacing w:before="18"/>
              <w:ind w:left="408" w:right="398"/>
              <w:jc w:val="center"/>
              <w:rPr>
                <w:rFonts w:ascii="Caladea"/>
                <w:b/>
                <w:sz w:val="16"/>
              </w:rPr>
            </w:pPr>
            <w:r>
              <w:rPr>
                <w:rFonts w:ascii="Caladea"/>
                <w:b/>
                <w:sz w:val="16"/>
              </w:rPr>
              <w:t>2017</w:t>
            </w:r>
          </w:p>
        </w:tc>
        <w:tc>
          <w:tcPr>
            <w:tcW w:w="1236" w:type="dxa"/>
            <w:shd w:val="clear" w:color="auto" w:fill="D9D9D9"/>
          </w:tcPr>
          <w:p>
            <w:pPr>
              <w:pStyle w:val="TableParagraph"/>
              <w:spacing w:before="18"/>
              <w:ind w:left="408" w:right="398"/>
              <w:jc w:val="center"/>
              <w:rPr>
                <w:rFonts w:ascii="Caladea"/>
                <w:b/>
                <w:sz w:val="16"/>
              </w:rPr>
            </w:pPr>
            <w:r>
              <w:rPr>
                <w:rFonts w:ascii="Caladea"/>
                <w:b/>
                <w:sz w:val="16"/>
              </w:rPr>
              <w:t>2018</w:t>
            </w:r>
          </w:p>
        </w:tc>
        <w:tc>
          <w:tcPr>
            <w:tcW w:w="1234" w:type="dxa"/>
            <w:shd w:val="clear" w:color="auto" w:fill="D9D9D9"/>
          </w:tcPr>
          <w:p>
            <w:pPr>
              <w:pStyle w:val="TableParagraph"/>
              <w:spacing w:before="18"/>
              <w:ind w:left="409" w:right="396"/>
              <w:jc w:val="center"/>
              <w:rPr>
                <w:rFonts w:ascii="Caladea"/>
                <w:b/>
                <w:sz w:val="16"/>
              </w:rPr>
            </w:pPr>
            <w:r>
              <w:rPr>
                <w:rFonts w:ascii="Caladea"/>
                <w:b/>
                <w:sz w:val="16"/>
              </w:rPr>
              <w:t>2019</w:t>
            </w:r>
          </w:p>
        </w:tc>
        <w:tc>
          <w:tcPr>
            <w:tcW w:w="1238" w:type="dxa"/>
            <w:shd w:val="clear" w:color="auto" w:fill="D9D9D9"/>
          </w:tcPr>
          <w:p>
            <w:pPr>
              <w:pStyle w:val="TableParagraph"/>
              <w:spacing w:before="18"/>
              <w:ind w:left="411" w:right="398"/>
              <w:jc w:val="center"/>
              <w:rPr>
                <w:rFonts w:ascii="Caladea"/>
                <w:b/>
                <w:sz w:val="16"/>
              </w:rPr>
            </w:pPr>
            <w:r>
              <w:rPr>
                <w:rFonts w:ascii="Caladea"/>
                <w:b/>
                <w:sz w:val="16"/>
              </w:rPr>
              <w:t>2020</w:t>
            </w:r>
          </w:p>
        </w:tc>
      </w:tr>
      <w:tr>
        <w:trPr>
          <w:trHeight w:val="225" w:hRule="atLeast"/>
        </w:trPr>
        <w:tc>
          <w:tcPr>
            <w:tcW w:w="3735" w:type="dxa"/>
          </w:tcPr>
          <w:p>
            <w:pPr>
              <w:pStyle w:val="TableParagraph"/>
              <w:ind w:left="110"/>
              <w:rPr>
                <w:sz w:val="16"/>
              </w:rPr>
            </w:pPr>
            <w:r>
              <w:rPr>
                <w:sz w:val="16"/>
              </w:rPr>
              <w:t>DECi (horas) (a)</w:t>
            </w:r>
          </w:p>
        </w:tc>
        <w:tc>
          <w:tcPr>
            <w:tcW w:w="1236" w:type="dxa"/>
          </w:tcPr>
          <w:p>
            <w:pPr>
              <w:pStyle w:val="TableParagraph"/>
              <w:ind w:right="93"/>
              <w:jc w:val="right"/>
              <w:rPr>
                <w:sz w:val="16"/>
              </w:rPr>
            </w:pPr>
            <w:r>
              <w:rPr>
                <w:w w:val="95"/>
                <w:sz w:val="16"/>
              </w:rPr>
              <w:t>15,14</w:t>
            </w:r>
          </w:p>
        </w:tc>
        <w:tc>
          <w:tcPr>
            <w:tcW w:w="1236" w:type="dxa"/>
          </w:tcPr>
          <w:p>
            <w:pPr>
              <w:pStyle w:val="TableParagraph"/>
              <w:ind w:right="92"/>
              <w:jc w:val="right"/>
              <w:rPr>
                <w:sz w:val="16"/>
              </w:rPr>
            </w:pPr>
            <w:r>
              <w:rPr>
                <w:w w:val="95"/>
                <w:sz w:val="16"/>
              </w:rPr>
              <w:t>13,09</w:t>
            </w:r>
          </w:p>
        </w:tc>
        <w:tc>
          <w:tcPr>
            <w:tcW w:w="1236" w:type="dxa"/>
          </w:tcPr>
          <w:p>
            <w:pPr>
              <w:pStyle w:val="TableParagraph"/>
              <w:ind w:right="92"/>
              <w:jc w:val="right"/>
              <w:rPr>
                <w:sz w:val="16"/>
              </w:rPr>
            </w:pPr>
            <w:r>
              <w:rPr>
                <w:w w:val="95"/>
                <w:sz w:val="16"/>
              </w:rPr>
              <w:t>10,58</w:t>
            </w:r>
          </w:p>
        </w:tc>
        <w:tc>
          <w:tcPr>
            <w:tcW w:w="1234" w:type="dxa"/>
          </w:tcPr>
          <w:p>
            <w:pPr>
              <w:pStyle w:val="TableParagraph"/>
              <w:ind w:right="90"/>
              <w:jc w:val="right"/>
              <w:rPr>
                <w:sz w:val="16"/>
              </w:rPr>
            </w:pPr>
            <w:r>
              <w:rPr>
                <w:w w:val="95"/>
                <w:sz w:val="16"/>
              </w:rPr>
              <w:t>8,45</w:t>
            </w:r>
          </w:p>
        </w:tc>
        <w:tc>
          <w:tcPr>
            <w:tcW w:w="1238" w:type="dxa"/>
          </w:tcPr>
          <w:p>
            <w:pPr>
              <w:pStyle w:val="TableParagraph"/>
              <w:ind w:right="92"/>
              <w:jc w:val="right"/>
              <w:rPr>
                <w:sz w:val="16"/>
              </w:rPr>
            </w:pPr>
            <w:r>
              <w:rPr>
                <w:w w:val="95"/>
                <w:sz w:val="16"/>
              </w:rPr>
              <w:t>7,90</w:t>
            </w:r>
          </w:p>
        </w:tc>
      </w:tr>
      <w:tr>
        <w:trPr>
          <w:trHeight w:val="227" w:hRule="atLeast"/>
        </w:trPr>
        <w:tc>
          <w:tcPr>
            <w:tcW w:w="3735" w:type="dxa"/>
          </w:tcPr>
          <w:p>
            <w:pPr>
              <w:pStyle w:val="TableParagraph"/>
              <w:spacing w:before="3"/>
              <w:ind w:left="110"/>
              <w:rPr>
                <w:sz w:val="16"/>
              </w:rPr>
            </w:pPr>
            <w:r>
              <w:rPr>
                <w:sz w:val="16"/>
              </w:rPr>
              <w:t>FECi (interrupções) (a)</w:t>
            </w:r>
          </w:p>
        </w:tc>
        <w:tc>
          <w:tcPr>
            <w:tcW w:w="1236" w:type="dxa"/>
          </w:tcPr>
          <w:p>
            <w:pPr>
              <w:pStyle w:val="TableParagraph"/>
              <w:spacing w:before="3"/>
              <w:ind w:right="93"/>
              <w:jc w:val="right"/>
              <w:rPr>
                <w:sz w:val="16"/>
              </w:rPr>
            </w:pPr>
            <w:r>
              <w:rPr>
                <w:w w:val="95"/>
                <w:sz w:val="16"/>
              </w:rPr>
              <w:t>11,33</w:t>
            </w:r>
          </w:p>
        </w:tc>
        <w:tc>
          <w:tcPr>
            <w:tcW w:w="1236" w:type="dxa"/>
          </w:tcPr>
          <w:p>
            <w:pPr>
              <w:pStyle w:val="TableParagraph"/>
              <w:spacing w:before="3"/>
              <w:ind w:right="92"/>
              <w:jc w:val="right"/>
              <w:rPr>
                <w:sz w:val="16"/>
              </w:rPr>
            </w:pPr>
            <w:r>
              <w:rPr>
                <w:w w:val="95"/>
                <w:sz w:val="16"/>
              </w:rPr>
              <w:t>9,83</w:t>
            </w:r>
          </w:p>
        </w:tc>
        <w:tc>
          <w:tcPr>
            <w:tcW w:w="1236" w:type="dxa"/>
          </w:tcPr>
          <w:p>
            <w:pPr>
              <w:pStyle w:val="TableParagraph"/>
              <w:spacing w:before="3"/>
              <w:ind w:right="92"/>
              <w:jc w:val="right"/>
              <w:rPr>
                <w:sz w:val="16"/>
              </w:rPr>
            </w:pPr>
            <w:r>
              <w:rPr>
                <w:w w:val="95"/>
                <w:sz w:val="16"/>
              </w:rPr>
              <w:t>7,99</w:t>
            </w:r>
          </w:p>
        </w:tc>
        <w:tc>
          <w:tcPr>
            <w:tcW w:w="1234" w:type="dxa"/>
          </w:tcPr>
          <w:p>
            <w:pPr>
              <w:pStyle w:val="TableParagraph"/>
              <w:spacing w:before="3"/>
              <w:ind w:right="90"/>
              <w:jc w:val="right"/>
              <w:rPr>
                <w:sz w:val="16"/>
              </w:rPr>
            </w:pPr>
            <w:r>
              <w:rPr>
                <w:w w:val="95"/>
                <w:sz w:val="16"/>
              </w:rPr>
              <w:t>6,43</w:t>
            </w:r>
          </w:p>
        </w:tc>
        <w:tc>
          <w:tcPr>
            <w:tcW w:w="1238" w:type="dxa"/>
          </w:tcPr>
          <w:p>
            <w:pPr>
              <w:pStyle w:val="TableParagraph"/>
              <w:spacing w:before="3"/>
              <w:ind w:right="92"/>
              <w:jc w:val="right"/>
              <w:rPr>
                <w:sz w:val="16"/>
              </w:rPr>
            </w:pPr>
            <w:r>
              <w:rPr>
                <w:w w:val="95"/>
                <w:sz w:val="16"/>
              </w:rPr>
              <w:t>6,03</w:t>
            </w:r>
          </w:p>
        </w:tc>
      </w:tr>
    </w:tbl>
    <w:p>
      <w:pPr>
        <w:pStyle w:val="BodyText"/>
        <w:spacing w:before="10"/>
        <w:rPr>
          <w:rFonts w:ascii="Caladea"/>
          <w:b/>
        </w:rPr>
      </w:pPr>
    </w:p>
    <w:p>
      <w:pPr>
        <w:pStyle w:val="BodyText"/>
        <w:ind w:left="192"/>
      </w:pPr>
      <w:r>
        <w:rPr/>
        <w:t>O DECi e o FECi correspondem a parcela de origem interna considerados para o cálculo dos indicadores DEC e FEC.</w:t>
      </w:r>
    </w:p>
    <w:p>
      <w:pPr>
        <w:pStyle w:val="BodyText"/>
        <w:spacing w:before="11"/>
      </w:pPr>
    </w:p>
    <w:p>
      <w:pPr>
        <w:pStyle w:val="BodyText"/>
        <w:ind w:left="192"/>
      </w:pPr>
      <w:r>
        <w:rPr/>
        <w:t>A</w:t>
      </w:r>
      <w:r>
        <w:rPr>
          <w:spacing w:val="-26"/>
        </w:rPr>
        <w:t> </w:t>
      </w:r>
      <w:r>
        <w:rPr/>
        <w:t>avaliação</w:t>
      </w:r>
      <w:r>
        <w:rPr>
          <w:spacing w:val="-25"/>
        </w:rPr>
        <w:t> </w:t>
      </w:r>
      <w:r>
        <w:rPr/>
        <w:t>dessa</w:t>
      </w:r>
      <w:r>
        <w:rPr>
          <w:spacing w:val="-25"/>
        </w:rPr>
        <w:t> </w:t>
      </w:r>
      <w:r>
        <w:rPr/>
        <w:t>condição</w:t>
      </w:r>
      <w:r>
        <w:rPr>
          <w:spacing w:val="-22"/>
        </w:rPr>
        <w:t> </w:t>
      </w:r>
      <w:r>
        <w:rPr/>
        <w:t>na</w:t>
      </w:r>
      <w:r>
        <w:rPr>
          <w:spacing w:val="-25"/>
        </w:rPr>
        <w:t> </w:t>
      </w:r>
      <w:r>
        <w:rPr/>
        <w:t>CEB</w:t>
      </w:r>
      <w:r>
        <w:rPr>
          <w:spacing w:val="-25"/>
        </w:rPr>
        <w:t> </w:t>
      </w:r>
      <w:r>
        <w:rPr/>
        <w:t>DIS</w:t>
      </w:r>
      <w:r>
        <w:rPr>
          <w:spacing w:val="-24"/>
        </w:rPr>
        <w:t> </w:t>
      </w:r>
      <w:r>
        <w:rPr/>
        <w:t>para</w:t>
      </w:r>
      <w:r>
        <w:rPr>
          <w:spacing w:val="-24"/>
        </w:rPr>
        <w:t> </w:t>
      </w:r>
      <w:r>
        <w:rPr/>
        <w:t>o</w:t>
      </w:r>
      <w:r>
        <w:rPr>
          <w:spacing w:val="-24"/>
        </w:rPr>
        <w:t> </w:t>
      </w:r>
      <w:r>
        <w:rPr/>
        <w:t>ano</w:t>
      </w:r>
      <w:r>
        <w:rPr>
          <w:spacing w:val="-24"/>
        </w:rPr>
        <w:t> </w:t>
      </w:r>
      <w:r>
        <w:rPr/>
        <w:t>de</w:t>
      </w:r>
      <w:r>
        <w:rPr>
          <w:spacing w:val="-25"/>
        </w:rPr>
        <w:t> </w:t>
      </w:r>
      <w:r>
        <w:rPr/>
        <w:t>2019</w:t>
      </w:r>
      <w:r>
        <w:rPr>
          <w:spacing w:val="-25"/>
        </w:rPr>
        <w:t> </w:t>
      </w:r>
      <w:r>
        <w:rPr/>
        <w:t>foi</w:t>
      </w:r>
      <w:r>
        <w:rPr>
          <w:spacing w:val="-25"/>
        </w:rPr>
        <w:t> </w:t>
      </w:r>
      <w:r>
        <w:rPr/>
        <w:t>de</w:t>
      </w:r>
      <w:r>
        <w:rPr>
          <w:spacing w:val="-25"/>
        </w:rPr>
        <w:t> </w:t>
      </w:r>
      <w:r>
        <w:rPr/>
        <w:t>8,85</w:t>
      </w:r>
      <w:r>
        <w:rPr>
          <w:spacing w:val="-24"/>
        </w:rPr>
        <w:t> </w:t>
      </w:r>
      <w:r>
        <w:rPr/>
        <w:t>horas</w:t>
      </w:r>
      <w:r>
        <w:rPr>
          <w:spacing w:val="-23"/>
        </w:rPr>
        <w:t> </w:t>
      </w:r>
      <w:r>
        <w:rPr/>
        <w:t>para</w:t>
      </w:r>
      <w:r>
        <w:rPr>
          <w:spacing w:val="-23"/>
        </w:rPr>
        <w:t> </w:t>
      </w:r>
      <w:r>
        <w:rPr/>
        <w:t>o</w:t>
      </w:r>
      <w:r>
        <w:rPr>
          <w:spacing w:val="-24"/>
        </w:rPr>
        <w:t> </w:t>
      </w:r>
      <w:r>
        <w:rPr/>
        <w:t>DECi</w:t>
      </w:r>
      <w:r>
        <w:rPr>
          <w:spacing w:val="-25"/>
        </w:rPr>
        <w:t> </w:t>
      </w:r>
      <w:r>
        <w:rPr/>
        <w:t>e</w:t>
      </w:r>
      <w:r>
        <w:rPr>
          <w:spacing w:val="-25"/>
        </w:rPr>
        <w:t> </w:t>
      </w:r>
      <w:r>
        <w:rPr/>
        <w:t>7,25</w:t>
      </w:r>
      <w:r>
        <w:rPr>
          <w:spacing w:val="-24"/>
        </w:rPr>
        <w:t> </w:t>
      </w:r>
      <w:r>
        <w:rPr/>
        <w:t>para</w:t>
      </w:r>
      <w:r>
        <w:rPr>
          <w:spacing w:val="-24"/>
        </w:rPr>
        <w:t> </w:t>
      </w:r>
      <w:r>
        <w:rPr/>
        <w:t>o</w:t>
      </w:r>
      <w:r>
        <w:rPr>
          <w:spacing w:val="-24"/>
        </w:rPr>
        <w:t> </w:t>
      </w:r>
      <w:r>
        <w:rPr/>
        <w:t>FECi,</w:t>
      </w:r>
      <w:r>
        <w:rPr>
          <w:spacing w:val="-24"/>
        </w:rPr>
        <w:t> </w:t>
      </w:r>
      <w:r>
        <w:rPr/>
        <w:t>estando, portanto,</w:t>
      </w:r>
      <w:r>
        <w:rPr>
          <w:spacing w:val="-20"/>
        </w:rPr>
        <w:t> </w:t>
      </w:r>
      <w:r>
        <w:rPr/>
        <w:t>superiores</w:t>
      </w:r>
      <w:r>
        <w:rPr>
          <w:spacing w:val="-18"/>
        </w:rPr>
        <w:t> </w:t>
      </w:r>
      <w:r>
        <w:rPr/>
        <w:t>aos</w:t>
      </w:r>
      <w:r>
        <w:rPr>
          <w:spacing w:val="-18"/>
        </w:rPr>
        <w:t> </w:t>
      </w:r>
      <w:r>
        <w:rPr/>
        <w:t>limites</w:t>
      </w:r>
      <w:r>
        <w:rPr>
          <w:spacing w:val="-19"/>
        </w:rPr>
        <w:t> </w:t>
      </w:r>
      <w:r>
        <w:rPr/>
        <w:t>contratuais.</w:t>
      </w:r>
    </w:p>
    <w:p>
      <w:pPr>
        <w:pStyle w:val="BodyText"/>
        <w:spacing w:before="9"/>
      </w:pPr>
    </w:p>
    <w:p>
      <w:pPr>
        <w:pStyle w:val="Heading5"/>
        <w:numPr>
          <w:ilvl w:val="4"/>
          <w:numId w:val="10"/>
        </w:numPr>
        <w:tabs>
          <w:tab w:pos="901" w:val="left" w:leader="none"/>
          <w:tab w:pos="902" w:val="left" w:leader="none"/>
        </w:tabs>
        <w:spacing w:line="240" w:lineRule="auto" w:before="0" w:after="0"/>
        <w:ind w:left="901" w:right="0" w:hanging="568"/>
        <w:jc w:val="left"/>
      </w:pPr>
      <w:r>
        <w:rPr/>
        <w:t>Informações sobre aspectos relacionados ao pressuposto da continuidade</w:t>
      </w:r>
      <w:r>
        <w:rPr>
          <w:spacing w:val="-12"/>
        </w:rPr>
        <w:t> </w:t>
      </w:r>
      <w:r>
        <w:rPr/>
        <w:t>operacional</w:t>
      </w:r>
    </w:p>
    <w:p>
      <w:pPr>
        <w:pStyle w:val="BodyText"/>
        <w:spacing w:before="7"/>
        <w:rPr>
          <w:rFonts w:ascii="Caladea"/>
          <w:b/>
        </w:rPr>
      </w:pPr>
    </w:p>
    <w:p>
      <w:pPr>
        <w:pStyle w:val="BodyText"/>
        <w:spacing w:line="242" w:lineRule="auto"/>
        <w:ind w:left="192" w:right="612"/>
        <w:jc w:val="both"/>
      </w:pPr>
      <w:r>
        <w:rPr/>
        <w:t>No</w:t>
      </w:r>
      <w:r>
        <w:rPr>
          <w:spacing w:val="-20"/>
        </w:rPr>
        <w:t> </w:t>
      </w:r>
      <w:r>
        <w:rPr/>
        <w:t>exercício</w:t>
      </w:r>
      <w:r>
        <w:rPr>
          <w:spacing w:val="-17"/>
        </w:rPr>
        <w:t> </w:t>
      </w:r>
      <w:r>
        <w:rPr/>
        <w:t>de</w:t>
      </w:r>
      <w:r>
        <w:rPr>
          <w:spacing w:val="-19"/>
        </w:rPr>
        <w:t> </w:t>
      </w:r>
      <w:r>
        <w:rPr/>
        <w:t>2019,</w:t>
      </w:r>
      <w:r>
        <w:rPr>
          <w:spacing w:val="-17"/>
        </w:rPr>
        <w:t> </w:t>
      </w:r>
      <w:r>
        <w:rPr/>
        <w:t>a</w:t>
      </w:r>
      <w:r>
        <w:rPr>
          <w:spacing w:val="-19"/>
        </w:rPr>
        <w:t> </w:t>
      </w:r>
      <w:r>
        <w:rPr/>
        <w:t>CEB</w:t>
      </w:r>
      <w:r>
        <w:rPr>
          <w:spacing w:val="-17"/>
        </w:rPr>
        <w:t> </w:t>
      </w:r>
      <w:r>
        <w:rPr/>
        <w:t>DIS</w:t>
      </w:r>
      <w:r>
        <w:rPr>
          <w:spacing w:val="-17"/>
        </w:rPr>
        <w:t> </w:t>
      </w:r>
      <w:r>
        <w:rPr/>
        <w:t>operou</w:t>
      </w:r>
      <w:r>
        <w:rPr>
          <w:spacing w:val="-17"/>
        </w:rPr>
        <w:t> </w:t>
      </w:r>
      <w:r>
        <w:rPr/>
        <w:t>com</w:t>
      </w:r>
      <w:r>
        <w:rPr>
          <w:spacing w:val="-17"/>
        </w:rPr>
        <w:t> </w:t>
      </w:r>
      <w:r>
        <w:rPr/>
        <w:t>seus</w:t>
      </w:r>
      <w:r>
        <w:rPr>
          <w:spacing w:val="-16"/>
        </w:rPr>
        <w:t> </w:t>
      </w:r>
      <w:r>
        <w:rPr/>
        <w:t>custos</w:t>
      </w:r>
      <w:r>
        <w:rPr>
          <w:spacing w:val="-19"/>
        </w:rPr>
        <w:t> </w:t>
      </w:r>
      <w:r>
        <w:rPr/>
        <w:t>de</w:t>
      </w:r>
      <w:r>
        <w:rPr>
          <w:spacing w:val="-17"/>
        </w:rPr>
        <w:t> </w:t>
      </w:r>
      <w:r>
        <w:rPr/>
        <w:t>Parcela</w:t>
      </w:r>
      <w:r>
        <w:rPr>
          <w:spacing w:val="-18"/>
        </w:rPr>
        <w:t> </w:t>
      </w:r>
      <w:r>
        <w:rPr/>
        <w:t>A</w:t>
      </w:r>
      <w:r>
        <w:rPr>
          <w:spacing w:val="-17"/>
        </w:rPr>
        <w:t> </w:t>
      </w:r>
      <w:r>
        <w:rPr/>
        <w:t>(compra</w:t>
      </w:r>
      <w:r>
        <w:rPr>
          <w:spacing w:val="-18"/>
        </w:rPr>
        <w:t> </w:t>
      </w:r>
      <w:r>
        <w:rPr/>
        <w:t>de</w:t>
      </w:r>
      <w:r>
        <w:rPr>
          <w:spacing w:val="-17"/>
        </w:rPr>
        <w:t> </w:t>
      </w:r>
      <w:r>
        <w:rPr/>
        <w:t>energia,</w:t>
      </w:r>
      <w:r>
        <w:rPr>
          <w:spacing w:val="-17"/>
        </w:rPr>
        <w:t> </w:t>
      </w:r>
      <w:r>
        <w:rPr/>
        <w:t>transmissão</w:t>
      </w:r>
      <w:r>
        <w:rPr>
          <w:spacing w:val="-17"/>
        </w:rPr>
        <w:t> </w:t>
      </w:r>
      <w:r>
        <w:rPr/>
        <w:t>e</w:t>
      </w:r>
      <w:r>
        <w:rPr>
          <w:spacing w:val="-19"/>
        </w:rPr>
        <w:t> </w:t>
      </w:r>
      <w:r>
        <w:rPr/>
        <w:t>encargos setoriais)</w:t>
      </w:r>
      <w:r>
        <w:rPr>
          <w:spacing w:val="-19"/>
        </w:rPr>
        <w:t> </w:t>
      </w:r>
      <w:r>
        <w:rPr/>
        <w:t>e</w:t>
      </w:r>
      <w:r>
        <w:rPr>
          <w:spacing w:val="-20"/>
        </w:rPr>
        <w:t> </w:t>
      </w:r>
      <w:r>
        <w:rPr/>
        <w:t>Parcela</w:t>
      </w:r>
      <w:r>
        <w:rPr>
          <w:spacing w:val="-18"/>
        </w:rPr>
        <w:t> </w:t>
      </w:r>
      <w:r>
        <w:rPr/>
        <w:t>B</w:t>
      </w:r>
      <w:r>
        <w:rPr>
          <w:spacing w:val="-17"/>
        </w:rPr>
        <w:t> </w:t>
      </w:r>
      <w:r>
        <w:rPr/>
        <w:t>(demais</w:t>
      </w:r>
      <w:r>
        <w:rPr>
          <w:spacing w:val="-19"/>
        </w:rPr>
        <w:t> </w:t>
      </w:r>
      <w:r>
        <w:rPr/>
        <w:t>custos</w:t>
      </w:r>
      <w:r>
        <w:rPr>
          <w:spacing w:val="-18"/>
        </w:rPr>
        <w:t> </w:t>
      </w:r>
      <w:r>
        <w:rPr/>
        <w:t>diretamente</w:t>
      </w:r>
      <w:r>
        <w:rPr>
          <w:spacing w:val="-20"/>
        </w:rPr>
        <w:t> </w:t>
      </w:r>
      <w:r>
        <w:rPr/>
        <w:t>gerenciáveis</w:t>
      </w:r>
      <w:r>
        <w:rPr>
          <w:spacing w:val="-19"/>
        </w:rPr>
        <w:t> </w:t>
      </w:r>
      <w:r>
        <w:rPr/>
        <w:t>pela</w:t>
      </w:r>
      <w:r>
        <w:rPr>
          <w:spacing w:val="-18"/>
        </w:rPr>
        <w:t> </w:t>
      </w:r>
      <w:r>
        <w:rPr/>
        <w:t>distribuidora)</w:t>
      </w:r>
      <w:r>
        <w:rPr>
          <w:spacing w:val="-19"/>
        </w:rPr>
        <w:t> </w:t>
      </w:r>
      <w:r>
        <w:rPr/>
        <w:t>incompatíveis</w:t>
      </w:r>
      <w:r>
        <w:rPr>
          <w:spacing w:val="-19"/>
        </w:rPr>
        <w:t> </w:t>
      </w:r>
      <w:r>
        <w:rPr/>
        <w:t>com</w:t>
      </w:r>
      <w:r>
        <w:rPr>
          <w:spacing w:val="-19"/>
        </w:rPr>
        <w:t> </w:t>
      </w:r>
      <w:r>
        <w:rPr/>
        <w:t>a</w:t>
      </w:r>
      <w:r>
        <w:rPr>
          <w:spacing w:val="-17"/>
        </w:rPr>
        <w:t> </w:t>
      </w:r>
      <w:r>
        <w:rPr/>
        <w:t>estrutura </w:t>
      </w:r>
      <w:r>
        <w:rPr>
          <w:w w:val="95"/>
        </w:rPr>
        <w:t>tarifária</w:t>
      </w:r>
      <w:r>
        <w:rPr>
          <w:spacing w:val="-17"/>
          <w:w w:val="95"/>
        </w:rPr>
        <w:t> </w:t>
      </w:r>
      <w:r>
        <w:rPr>
          <w:w w:val="95"/>
        </w:rPr>
        <w:t>vigente.</w:t>
      </w:r>
      <w:r>
        <w:rPr>
          <w:spacing w:val="-16"/>
          <w:w w:val="95"/>
        </w:rPr>
        <w:t> </w:t>
      </w:r>
      <w:r>
        <w:rPr>
          <w:w w:val="95"/>
        </w:rPr>
        <w:t>O</w:t>
      </w:r>
      <w:r>
        <w:rPr>
          <w:spacing w:val="-16"/>
          <w:w w:val="95"/>
        </w:rPr>
        <w:t> </w:t>
      </w:r>
      <w:r>
        <w:rPr>
          <w:w w:val="95"/>
        </w:rPr>
        <w:t>efeito</w:t>
      </w:r>
      <w:r>
        <w:rPr>
          <w:spacing w:val="-16"/>
          <w:w w:val="95"/>
        </w:rPr>
        <w:t> </w:t>
      </w:r>
      <w:r>
        <w:rPr>
          <w:w w:val="95"/>
        </w:rPr>
        <w:t>positivo</w:t>
      </w:r>
      <w:r>
        <w:rPr>
          <w:spacing w:val="-16"/>
          <w:w w:val="95"/>
        </w:rPr>
        <w:t> </w:t>
      </w:r>
      <w:r>
        <w:rPr>
          <w:w w:val="95"/>
        </w:rPr>
        <w:t>na</w:t>
      </w:r>
      <w:r>
        <w:rPr>
          <w:spacing w:val="-17"/>
          <w:w w:val="95"/>
        </w:rPr>
        <w:t> </w:t>
      </w:r>
      <w:r>
        <w:rPr>
          <w:w w:val="95"/>
        </w:rPr>
        <w:t>Parcela</w:t>
      </w:r>
      <w:r>
        <w:rPr>
          <w:spacing w:val="-17"/>
          <w:w w:val="95"/>
        </w:rPr>
        <w:t> </w:t>
      </w:r>
      <w:r>
        <w:rPr>
          <w:w w:val="95"/>
        </w:rPr>
        <w:t>A</w:t>
      </w:r>
      <w:r>
        <w:rPr>
          <w:spacing w:val="-15"/>
          <w:w w:val="95"/>
        </w:rPr>
        <w:t> </w:t>
      </w:r>
      <w:r>
        <w:rPr>
          <w:w w:val="95"/>
        </w:rPr>
        <w:t>em</w:t>
      </w:r>
      <w:r>
        <w:rPr>
          <w:spacing w:val="-18"/>
          <w:w w:val="95"/>
        </w:rPr>
        <w:t> </w:t>
      </w:r>
      <w:r>
        <w:rPr>
          <w:w w:val="95"/>
        </w:rPr>
        <w:t>2019,</w:t>
      </w:r>
      <w:r>
        <w:rPr>
          <w:spacing w:val="-15"/>
          <w:w w:val="95"/>
        </w:rPr>
        <w:t> </w:t>
      </w:r>
      <w:r>
        <w:rPr>
          <w:w w:val="95"/>
        </w:rPr>
        <w:t>quando</w:t>
      </w:r>
      <w:r>
        <w:rPr>
          <w:spacing w:val="-16"/>
          <w:w w:val="95"/>
        </w:rPr>
        <w:t> </w:t>
      </w:r>
      <w:r>
        <w:rPr>
          <w:w w:val="95"/>
        </w:rPr>
        <w:t>comparado</w:t>
      </w:r>
      <w:r>
        <w:rPr>
          <w:spacing w:val="-18"/>
          <w:w w:val="95"/>
        </w:rPr>
        <w:t> </w:t>
      </w:r>
      <w:r>
        <w:rPr>
          <w:w w:val="95"/>
        </w:rPr>
        <w:t>ao</w:t>
      </w:r>
      <w:r>
        <w:rPr>
          <w:spacing w:val="-16"/>
          <w:w w:val="95"/>
        </w:rPr>
        <w:t> </w:t>
      </w:r>
      <w:r>
        <w:rPr>
          <w:w w:val="95"/>
        </w:rPr>
        <w:t>exercício</w:t>
      </w:r>
      <w:r>
        <w:rPr>
          <w:spacing w:val="-18"/>
          <w:w w:val="95"/>
        </w:rPr>
        <w:t> </w:t>
      </w:r>
      <w:r>
        <w:rPr>
          <w:w w:val="95"/>
        </w:rPr>
        <w:t>anterior,</w:t>
      </w:r>
      <w:r>
        <w:rPr>
          <w:spacing w:val="-16"/>
          <w:w w:val="95"/>
        </w:rPr>
        <w:t> </w:t>
      </w:r>
      <w:r>
        <w:rPr>
          <w:w w:val="95"/>
        </w:rPr>
        <w:t>está</w:t>
      </w:r>
      <w:r>
        <w:rPr>
          <w:spacing w:val="-17"/>
          <w:w w:val="95"/>
        </w:rPr>
        <w:t> </w:t>
      </w:r>
      <w:r>
        <w:rPr>
          <w:w w:val="95"/>
        </w:rPr>
        <w:t>condicionado, </w:t>
      </w:r>
      <w:r>
        <w:rPr/>
        <w:t>principalmente,</w:t>
      </w:r>
      <w:r>
        <w:rPr>
          <w:spacing w:val="-5"/>
        </w:rPr>
        <w:t> </w:t>
      </w:r>
      <w:r>
        <w:rPr/>
        <w:t>ao</w:t>
      </w:r>
      <w:r>
        <w:rPr>
          <w:spacing w:val="-3"/>
        </w:rPr>
        <w:t> </w:t>
      </w:r>
      <w:r>
        <w:rPr/>
        <w:t>ganho</w:t>
      </w:r>
      <w:r>
        <w:rPr>
          <w:spacing w:val="-2"/>
        </w:rPr>
        <w:t> </w:t>
      </w:r>
      <w:r>
        <w:rPr/>
        <w:t>obtido</w:t>
      </w:r>
      <w:r>
        <w:rPr>
          <w:spacing w:val="-4"/>
        </w:rPr>
        <w:t> </w:t>
      </w:r>
      <w:r>
        <w:rPr/>
        <w:t>através</w:t>
      </w:r>
      <w:r>
        <w:rPr>
          <w:spacing w:val="-4"/>
        </w:rPr>
        <w:t> </w:t>
      </w:r>
      <w:r>
        <w:rPr/>
        <w:t>dos</w:t>
      </w:r>
      <w:r>
        <w:rPr>
          <w:spacing w:val="-2"/>
        </w:rPr>
        <w:t> </w:t>
      </w:r>
      <w:r>
        <w:rPr/>
        <w:t>Acordos</w:t>
      </w:r>
      <w:r>
        <w:rPr>
          <w:spacing w:val="-1"/>
        </w:rPr>
        <w:t> </w:t>
      </w:r>
      <w:r>
        <w:rPr/>
        <w:t>Bilaterais,</w:t>
      </w:r>
      <w:r>
        <w:rPr>
          <w:spacing w:val="-2"/>
        </w:rPr>
        <w:t> </w:t>
      </w:r>
      <w:r>
        <w:rPr/>
        <w:t>bem</w:t>
      </w:r>
      <w:r>
        <w:rPr>
          <w:spacing w:val="-4"/>
        </w:rPr>
        <w:t> </w:t>
      </w:r>
      <w:r>
        <w:rPr/>
        <w:t>como</w:t>
      </w:r>
      <w:r>
        <w:rPr>
          <w:spacing w:val="-5"/>
        </w:rPr>
        <w:t> </w:t>
      </w:r>
      <w:r>
        <w:rPr/>
        <w:t>pelo</w:t>
      </w:r>
      <w:r>
        <w:rPr>
          <w:spacing w:val="-3"/>
        </w:rPr>
        <w:t> </w:t>
      </w:r>
      <w:r>
        <w:rPr/>
        <w:t>retorno</w:t>
      </w:r>
      <w:r>
        <w:rPr>
          <w:spacing w:val="-3"/>
        </w:rPr>
        <w:t> </w:t>
      </w:r>
      <w:r>
        <w:rPr/>
        <w:t>positivo</w:t>
      </w:r>
      <w:r>
        <w:rPr>
          <w:spacing w:val="-3"/>
        </w:rPr>
        <w:t> </w:t>
      </w:r>
      <w:r>
        <w:rPr/>
        <w:t>das</w:t>
      </w:r>
      <w:r>
        <w:rPr>
          <w:spacing w:val="-3"/>
        </w:rPr>
        <w:t> </w:t>
      </w:r>
      <w:r>
        <w:rPr/>
        <w:t>sobras</w:t>
      </w:r>
      <w:r>
        <w:rPr>
          <w:spacing w:val="-3"/>
        </w:rPr>
        <w:t> </w:t>
      </w:r>
      <w:r>
        <w:rPr/>
        <w:t>de energia</w:t>
      </w:r>
      <w:r>
        <w:rPr>
          <w:spacing w:val="-20"/>
        </w:rPr>
        <w:t> </w:t>
      </w:r>
      <w:r>
        <w:rPr/>
        <w:t>elétrica</w:t>
      </w:r>
      <w:r>
        <w:rPr>
          <w:spacing w:val="-17"/>
        </w:rPr>
        <w:t> </w:t>
      </w:r>
      <w:r>
        <w:rPr/>
        <w:t>precificados</w:t>
      </w:r>
      <w:r>
        <w:rPr>
          <w:spacing w:val="-18"/>
        </w:rPr>
        <w:t> </w:t>
      </w:r>
      <w:r>
        <w:rPr/>
        <w:t>ao</w:t>
      </w:r>
      <w:r>
        <w:rPr>
          <w:spacing w:val="-20"/>
        </w:rPr>
        <w:t> </w:t>
      </w:r>
      <w:r>
        <w:rPr/>
        <w:t>Preço</w:t>
      </w:r>
      <w:r>
        <w:rPr>
          <w:spacing w:val="-21"/>
        </w:rPr>
        <w:t> </w:t>
      </w:r>
      <w:r>
        <w:rPr/>
        <w:t>de</w:t>
      </w:r>
      <w:r>
        <w:rPr>
          <w:spacing w:val="-22"/>
        </w:rPr>
        <w:t> </w:t>
      </w:r>
      <w:r>
        <w:rPr/>
        <w:t>Liquidação</w:t>
      </w:r>
      <w:r>
        <w:rPr>
          <w:spacing w:val="-20"/>
        </w:rPr>
        <w:t> </w:t>
      </w:r>
      <w:r>
        <w:rPr/>
        <w:t>das</w:t>
      </w:r>
      <w:r>
        <w:rPr>
          <w:spacing w:val="-18"/>
        </w:rPr>
        <w:t> </w:t>
      </w:r>
      <w:r>
        <w:rPr/>
        <w:t>Diferenças</w:t>
      </w:r>
      <w:r>
        <w:rPr>
          <w:spacing w:val="-13"/>
        </w:rPr>
        <w:t> </w:t>
      </w:r>
      <w:r>
        <w:rPr>
          <w:w w:val="105"/>
        </w:rPr>
        <w:t>–</w:t>
      </w:r>
      <w:r>
        <w:rPr>
          <w:spacing w:val="-22"/>
          <w:w w:val="105"/>
        </w:rPr>
        <w:t> </w:t>
      </w:r>
      <w:r>
        <w:rPr/>
        <w:t>PLD.</w:t>
      </w:r>
    </w:p>
    <w:p>
      <w:pPr>
        <w:spacing w:after="0" w:line="242" w:lineRule="auto"/>
        <w:jc w:val="both"/>
        <w:sectPr>
          <w:pgSz w:w="11910" w:h="16850"/>
          <w:pgMar w:header="792" w:footer="1193" w:top="1360" w:bottom="1460" w:left="940" w:right="240"/>
        </w:sectPr>
      </w:pPr>
    </w:p>
    <w:p>
      <w:pPr>
        <w:pStyle w:val="BodyText"/>
        <w:spacing w:before="7"/>
        <w:rPr>
          <w:sz w:val="15"/>
        </w:rPr>
      </w:pPr>
    </w:p>
    <w:p>
      <w:pPr>
        <w:pStyle w:val="BodyText"/>
        <w:spacing w:line="242" w:lineRule="auto" w:before="102"/>
        <w:ind w:left="192" w:right="619"/>
        <w:jc w:val="both"/>
      </w:pPr>
      <w:r>
        <w:rPr/>
        <w:t>Além</w:t>
      </w:r>
      <w:r>
        <w:rPr>
          <w:spacing w:val="-24"/>
        </w:rPr>
        <w:t> </w:t>
      </w:r>
      <w:r>
        <w:rPr/>
        <w:t>disso,</w:t>
      </w:r>
      <w:r>
        <w:rPr>
          <w:spacing w:val="-23"/>
        </w:rPr>
        <w:t> </w:t>
      </w:r>
      <w:r>
        <w:rPr/>
        <w:t>a</w:t>
      </w:r>
      <w:r>
        <w:rPr>
          <w:spacing w:val="-23"/>
        </w:rPr>
        <w:t> </w:t>
      </w:r>
      <w:r>
        <w:rPr/>
        <w:t>Companhia</w:t>
      </w:r>
      <w:r>
        <w:rPr>
          <w:spacing w:val="-24"/>
        </w:rPr>
        <w:t> </w:t>
      </w:r>
      <w:r>
        <w:rPr/>
        <w:t>apresentou</w:t>
      </w:r>
      <w:r>
        <w:rPr>
          <w:spacing w:val="-23"/>
        </w:rPr>
        <w:t> </w:t>
      </w:r>
      <w:r>
        <w:rPr/>
        <w:t>Endividamento</w:t>
      </w:r>
      <w:r>
        <w:rPr>
          <w:spacing w:val="-24"/>
        </w:rPr>
        <w:t> </w:t>
      </w:r>
      <w:r>
        <w:rPr/>
        <w:t>Líquido</w:t>
      </w:r>
      <w:r>
        <w:rPr>
          <w:spacing w:val="-24"/>
        </w:rPr>
        <w:t> </w:t>
      </w:r>
      <w:r>
        <w:rPr/>
        <w:t>Regulatório</w:t>
      </w:r>
      <w:r>
        <w:rPr>
          <w:spacing w:val="-23"/>
        </w:rPr>
        <w:t> </w:t>
      </w:r>
      <w:r>
        <w:rPr/>
        <w:t>de</w:t>
      </w:r>
      <w:r>
        <w:rPr>
          <w:spacing w:val="-24"/>
        </w:rPr>
        <w:t> </w:t>
      </w:r>
      <w:r>
        <w:rPr/>
        <w:t>R$</w:t>
      </w:r>
      <w:r>
        <w:rPr>
          <w:spacing w:val="-22"/>
        </w:rPr>
        <w:t> </w:t>
      </w:r>
      <w:r>
        <w:rPr/>
        <w:t>803.999,</w:t>
      </w:r>
      <w:r>
        <w:rPr>
          <w:spacing w:val="-24"/>
        </w:rPr>
        <w:t> </w:t>
      </w:r>
      <w:r>
        <w:rPr/>
        <w:t>provocando</w:t>
      </w:r>
      <w:r>
        <w:rPr>
          <w:spacing w:val="-24"/>
        </w:rPr>
        <w:t> </w:t>
      </w:r>
      <w:r>
        <w:rPr/>
        <w:t>uma</w:t>
      </w:r>
      <w:r>
        <w:rPr>
          <w:spacing w:val="-23"/>
        </w:rPr>
        <w:t> </w:t>
      </w:r>
      <w:r>
        <w:rPr/>
        <w:t>despesa financeira</w:t>
      </w:r>
      <w:r>
        <w:rPr>
          <w:spacing w:val="-43"/>
        </w:rPr>
        <w:t> </w:t>
      </w:r>
      <w:r>
        <w:rPr/>
        <w:t>elevada,</w:t>
      </w:r>
      <w:r>
        <w:rPr>
          <w:spacing w:val="-42"/>
        </w:rPr>
        <w:t> </w:t>
      </w:r>
      <w:r>
        <w:rPr/>
        <w:t>em</w:t>
      </w:r>
      <w:r>
        <w:rPr>
          <w:spacing w:val="-43"/>
        </w:rPr>
        <w:t> </w:t>
      </w:r>
      <w:r>
        <w:rPr/>
        <w:t>comparação</w:t>
      </w:r>
      <w:r>
        <w:rPr>
          <w:spacing w:val="-44"/>
        </w:rPr>
        <w:t> </w:t>
      </w:r>
      <w:r>
        <w:rPr/>
        <w:t>ao</w:t>
      </w:r>
      <w:r>
        <w:rPr>
          <w:spacing w:val="-43"/>
        </w:rPr>
        <w:t> </w:t>
      </w:r>
      <w:r>
        <w:rPr/>
        <w:t>percebido</w:t>
      </w:r>
      <w:r>
        <w:rPr>
          <w:spacing w:val="-43"/>
        </w:rPr>
        <w:t> </w:t>
      </w:r>
      <w:r>
        <w:rPr/>
        <w:t>na</w:t>
      </w:r>
      <w:r>
        <w:rPr>
          <w:spacing w:val="-43"/>
        </w:rPr>
        <w:t> </w:t>
      </w:r>
      <w:r>
        <w:rPr/>
        <w:t>tarifa.</w:t>
      </w:r>
      <w:r>
        <w:rPr>
          <w:spacing w:val="-43"/>
        </w:rPr>
        <w:t> </w:t>
      </w:r>
      <w:r>
        <w:rPr/>
        <w:t>No</w:t>
      </w:r>
      <w:r>
        <w:rPr>
          <w:spacing w:val="-43"/>
        </w:rPr>
        <w:t> </w:t>
      </w:r>
      <w:r>
        <w:rPr/>
        <w:t>entanto,</w:t>
      </w:r>
      <w:r>
        <w:rPr>
          <w:spacing w:val="-44"/>
        </w:rPr>
        <w:t> </w:t>
      </w:r>
      <w:r>
        <w:rPr/>
        <w:t>o</w:t>
      </w:r>
      <w:r>
        <w:rPr>
          <w:spacing w:val="-43"/>
        </w:rPr>
        <w:t> </w:t>
      </w:r>
      <w:r>
        <w:rPr/>
        <w:t>reflexo</w:t>
      </w:r>
      <w:r>
        <w:rPr>
          <w:spacing w:val="-43"/>
        </w:rPr>
        <w:t> </w:t>
      </w:r>
      <w:r>
        <w:rPr/>
        <w:t>positivo</w:t>
      </w:r>
      <w:r>
        <w:rPr>
          <w:spacing w:val="-43"/>
        </w:rPr>
        <w:t> </w:t>
      </w:r>
      <w:r>
        <w:rPr/>
        <w:t>no</w:t>
      </w:r>
      <w:r>
        <w:rPr>
          <w:spacing w:val="-43"/>
        </w:rPr>
        <w:t> </w:t>
      </w:r>
      <w:r>
        <w:rPr/>
        <w:t>Resultado</w:t>
      </w:r>
      <w:r>
        <w:rPr>
          <w:spacing w:val="-44"/>
        </w:rPr>
        <w:t> </w:t>
      </w:r>
      <w:r>
        <w:rPr/>
        <w:t>Financeiro</w:t>
      </w:r>
      <w:r>
        <w:rPr>
          <w:spacing w:val="-42"/>
        </w:rPr>
        <w:t> </w:t>
      </w:r>
      <w:r>
        <w:rPr/>
        <w:t>de 2019,</w:t>
      </w:r>
      <w:r>
        <w:rPr>
          <w:spacing w:val="-24"/>
        </w:rPr>
        <w:t> </w:t>
      </w:r>
      <w:r>
        <w:rPr/>
        <w:t>em</w:t>
      </w:r>
      <w:r>
        <w:rPr>
          <w:spacing w:val="-24"/>
        </w:rPr>
        <w:t> </w:t>
      </w:r>
      <w:r>
        <w:rPr/>
        <w:t>comparação</w:t>
      </w:r>
      <w:r>
        <w:rPr>
          <w:spacing w:val="-25"/>
        </w:rPr>
        <w:t> </w:t>
      </w:r>
      <w:r>
        <w:rPr/>
        <w:t>ao</w:t>
      </w:r>
      <w:r>
        <w:rPr>
          <w:spacing w:val="-25"/>
        </w:rPr>
        <w:t> </w:t>
      </w:r>
      <w:r>
        <w:rPr/>
        <w:t>mesmo</w:t>
      </w:r>
      <w:r>
        <w:rPr>
          <w:spacing w:val="-24"/>
        </w:rPr>
        <w:t> </w:t>
      </w:r>
      <w:r>
        <w:rPr/>
        <w:t>período</w:t>
      </w:r>
      <w:r>
        <w:rPr>
          <w:spacing w:val="-23"/>
        </w:rPr>
        <w:t> </w:t>
      </w:r>
      <w:r>
        <w:rPr/>
        <w:t>anterior,</w:t>
      </w:r>
      <w:r>
        <w:rPr>
          <w:spacing w:val="-24"/>
        </w:rPr>
        <w:t> </w:t>
      </w:r>
      <w:r>
        <w:rPr/>
        <w:t>decorreu,</w:t>
      </w:r>
      <w:r>
        <w:rPr>
          <w:spacing w:val="-24"/>
        </w:rPr>
        <w:t> </w:t>
      </w:r>
      <w:r>
        <w:rPr/>
        <w:t>principalmente,</w:t>
      </w:r>
      <w:r>
        <w:rPr>
          <w:spacing w:val="-24"/>
        </w:rPr>
        <w:t> </w:t>
      </w:r>
      <w:r>
        <w:rPr/>
        <w:t>dos</w:t>
      </w:r>
      <w:r>
        <w:rPr>
          <w:spacing w:val="-23"/>
        </w:rPr>
        <w:t> </w:t>
      </w:r>
      <w:r>
        <w:rPr/>
        <w:t>eventos:</w:t>
      </w:r>
      <w:r>
        <w:rPr>
          <w:spacing w:val="-23"/>
        </w:rPr>
        <w:t> </w:t>
      </w:r>
      <w:r>
        <w:rPr/>
        <w:t>a)</w:t>
      </w:r>
      <w:r>
        <w:rPr>
          <w:spacing w:val="-25"/>
        </w:rPr>
        <w:t> </w:t>
      </w:r>
      <w:r>
        <w:rPr/>
        <w:t>efeito</w:t>
      </w:r>
      <w:r>
        <w:rPr>
          <w:spacing w:val="-24"/>
        </w:rPr>
        <w:t> </w:t>
      </w:r>
      <w:r>
        <w:rPr/>
        <w:t>financeiro</w:t>
      </w:r>
      <w:r>
        <w:rPr>
          <w:spacing w:val="-24"/>
        </w:rPr>
        <w:t> </w:t>
      </w:r>
      <w:r>
        <w:rPr/>
        <w:t>do Programa</w:t>
      </w:r>
      <w:r>
        <w:rPr>
          <w:spacing w:val="-25"/>
        </w:rPr>
        <w:t> </w:t>
      </w:r>
      <w:r>
        <w:rPr/>
        <w:t>Recupera;</w:t>
      </w:r>
      <w:r>
        <w:rPr>
          <w:spacing w:val="-23"/>
        </w:rPr>
        <w:t> </w:t>
      </w:r>
      <w:r>
        <w:rPr/>
        <w:t>e</w:t>
      </w:r>
      <w:r>
        <w:rPr>
          <w:spacing w:val="-24"/>
        </w:rPr>
        <w:t> </w:t>
      </w:r>
      <w:r>
        <w:rPr/>
        <w:t>b)</w:t>
      </w:r>
      <w:r>
        <w:rPr>
          <w:spacing w:val="-24"/>
        </w:rPr>
        <w:t> </w:t>
      </w:r>
      <w:r>
        <w:rPr/>
        <w:t>postergação</w:t>
      </w:r>
      <w:r>
        <w:rPr>
          <w:spacing w:val="-25"/>
        </w:rPr>
        <w:t> </w:t>
      </w:r>
      <w:r>
        <w:rPr/>
        <w:t>do</w:t>
      </w:r>
      <w:r>
        <w:rPr>
          <w:spacing w:val="-24"/>
        </w:rPr>
        <w:t> </w:t>
      </w:r>
      <w:r>
        <w:rPr/>
        <w:t>ICMS</w:t>
      </w:r>
      <w:r>
        <w:rPr>
          <w:spacing w:val="-24"/>
        </w:rPr>
        <w:t> </w:t>
      </w:r>
      <w:r>
        <w:rPr/>
        <w:t>em</w:t>
      </w:r>
      <w:r>
        <w:rPr>
          <w:spacing w:val="-24"/>
        </w:rPr>
        <w:t> </w:t>
      </w:r>
      <w:r>
        <w:rPr/>
        <w:t>detrimento</w:t>
      </w:r>
      <w:r>
        <w:rPr>
          <w:spacing w:val="-24"/>
        </w:rPr>
        <w:t> </w:t>
      </w:r>
      <w:r>
        <w:rPr/>
        <w:t>de</w:t>
      </w:r>
      <w:r>
        <w:rPr>
          <w:spacing w:val="-25"/>
        </w:rPr>
        <w:t> </w:t>
      </w:r>
      <w:r>
        <w:rPr/>
        <w:t>amortizações</w:t>
      </w:r>
      <w:r>
        <w:rPr>
          <w:spacing w:val="-25"/>
        </w:rPr>
        <w:t> </w:t>
      </w:r>
      <w:r>
        <w:rPr/>
        <w:t>de</w:t>
      </w:r>
      <w:r>
        <w:rPr>
          <w:spacing w:val="-24"/>
        </w:rPr>
        <w:t> </w:t>
      </w:r>
      <w:r>
        <w:rPr/>
        <w:t>Passivos</w:t>
      </w:r>
      <w:r>
        <w:rPr>
          <w:spacing w:val="-25"/>
        </w:rPr>
        <w:t> </w:t>
      </w:r>
      <w:r>
        <w:rPr/>
        <w:t>mais</w:t>
      </w:r>
      <w:r>
        <w:rPr>
          <w:spacing w:val="-24"/>
        </w:rPr>
        <w:t> </w:t>
      </w:r>
      <w:r>
        <w:rPr/>
        <w:t>onerosos.</w:t>
      </w:r>
    </w:p>
    <w:p>
      <w:pPr>
        <w:pStyle w:val="BodyText"/>
        <w:spacing w:before="3"/>
      </w:pPr>
    </w:p>
    <w:p>
      <w:pPr>
        <w:pStyle w:val="BodyText"/>
        <w:spacing w:line="242" w:lineRule="auto"/>
        <w:ind w:left="192" w:right="617"/>
        <w:jc w:val="both"/>
      </w:pPr>
      <w:r>
        <w:rPr/>
        <w:t>As principais variações dos custos e despesas incorridas superiores ou inferiores ao percebido na tarifa estão demonstradas no quadro a seguir:</w:t>
      </w:r>
    </w:p>
    <w:p>
      <w:pPr>
        <w:pStyle w:val="BodyText"/>
        <w:spacing w:before="9"/>
        <w:rPr>
          <w:sz w:val="19"/>
        </w:rPr>
      </w:pPr>
    </w:p>
    <w:tbl>
      <w:tblPr>
        <w:tblW w:w="0" w:type="auto"/>
        <w:jc w:val="left"/>
        <w:tblInd w:w="19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6952"/>
        <w:gridCol w:w="1393"/>
        <w:gridCol w:w="1582"/>
      </w:tblGrid>
      <w:tr>
        <w:trPr>
          <w:trHeight w:val="227" w:hRule="atLeast"/>
        </w:trPr>
        <w:tc>
          <w:tcPr>
            <w:tcW w:w="9927" w:type="dxa"/>
            <w:gridSpan w:val="3"/>
            <w:shd w:val="clear" w:color="auto" w:fill="D9D9D9"/>
          </w:tcPr>
          <w:p>
            <w:pPr>
              <w:pStyle w:val="TableParagraph"/>
              <w:spacing w:line="187" w:lineRule="exact" w:before="20"/>
              <w:ind w:left="2738" w:right="2724"/>
              <w:jc w:val="center"/>
              <w:rPr>
                <w:rFonts w:ascii="Caladea" w:hAnsi="Caladea"/>
                <w:b/>
                <w:sz w:val="16"/>
              </w:rPr>
            </w:pPr>
            <w:r>
              <w:rPr>
                <w:rFonts w:ascii="Caladea" w:hAnsi="Caladea"/>
                <w:b/>
                <w:sz w:val="16"/>
              </w:rPr>
              <w:t>Ganhos/Perdas - Superiores/Inferiores ao Nível Regulatório</w:t>
            </w:r>
          </w:p>
        </w:tc>
      </w:tr>
      <w:tr>
        <w:trPr>
          <w:trHeight w:val="376" w:hRule="atLeast"/>
        </w:trPr>
        <w:tc>
          <w:tcPr>
            <w:tcW w:w="6952" w:type="dxa"/>
            <w:shd w:val="clear" w:color="auto" w:fill="D9D9D9"/>
          </w:tcPr>
          <w:p>
            <w:pPr>
              <w:pStyle w:val="TableParagraph"/>
              <w:spacing w:before="92"/>
              <w:ind w:left="2815" w:right="2799"/>
              <w:jc w:val="center"/>
              <w:rPr>
                <w:rFonts w:ascii="Caladea"/>
                <w:b/>
                <w:sz w:val="16"/>
              </w:rPr>
            </w:pPr>
            <w:r>
              <w:rPr>
                <w:rFonts w:ascii="Caladea"/>
                <w:b/>
                <w:sz w:val="16"/>
              </w:rPr>
              <w:t>Principais Efeitos</w:t>
            </w:r>
          </w:p>
        </w:tc>
        <w:tc>
          <w:tcPr>
            <w:tcW w:w="1393" w:type="dxa"/>
            <w:shd w:val="clear" w:color="auto" w:fill="D9D9D9"/>
          </w:tcPr>
          <w:p>
            <w:pPr>
              <w:pStyle w:val="TableParagraph"/>
              <w:spacing w:before="92"/>
              <w:ind w:left="486" w:right="477"/>
              <w:jc w:val="center"/>
              <w:rPr>
                <w:rFonts w:ascii="Caladea"/>
                <w:b/>
                <w:sz w:val="16"/>
              </w:rPr>
            </w:pPr>
            <w:r>
              <w:rPr>
                <w:rFonts w:ascii="Caladea"/>
                <w:b/>
                <w:sz w:val="16"/>
              </w:rPr>
              <w:t>2019</w:t>
            </w:r>
          </w:p>
        </w:tc>
        <w:tc>
          <w:tcPr>
            <w:tcW w:w="1582" w:type="dxa"/>
            <w:shd w:val="clear" w:color="auto" w:fill="D9D9D9"/>
          </w:tcPr>
          <w:p>
            <w:pPr>
              <w:pStyle w:val="TableParagraph"/>
              <w:spacing w:line="186" w:lineRule="exact"/>
              <w:ind w:left="209" w:right="203"/>
              <w:jc w:val="center"/>
              <w:rPr>
                <w:rFonts w:ascii="Caladea"/>
                <w:b/>
                <w:sz w:val="16"/>
              </w:rPr>
            </w:pPr>
            <w:r>
              <w:rPr>
                <w:rFonts w:ascii="Caladea"/>
                <w:b/>
                <w:sz w:val="16"/>
              </w:rPr>
              <w:t>2018</w:t>
            </w:r>
          </w:p>
          <w:p>
            <w:pPr>
              <w:pStyle w:val="TableParagraph"/>
              <w:spacing w:line="170" w:lineRule="exact"/>
              <w:ind w:left="212" w:right="203"/>
              <w:jc w:val="center"/>
              <w:rPr>
                <w:rFonts w:ascii="Caladea"/>
                <w:b/>
                <w:sz w:val="16"/>
              </w:rPr>
            </w:pPr>
            <w:r>
              <w:rPr>
                <w:rFonts w:ascii="Caladea"/>
                <w:b/>
                <w:sz w:val="16"/>
              </w:rPr>
              <w:t>Reapresentado</w:t>
            </w:r>
          </w:p>
        </w:tc>
      </w:tr>
      <w:tr>
        <w:trPr>
          <w:trHeight w:val="225" w:hRule="atLeast"/>
        </w:trPr>
        <w:tc>
          <w:tcPr>
            <w:tcW w:w="6952" w:type="dxa"/>
          </w:tcPr>
          <w:p>
            <w:pPr>
              <w:pStyle w:val="TableParagraph"/>
              <w:spacing w:line="185" w:lineRule="exact" w:before="20"/>
              <w:ind w:left="72"/>
              <w:rPr>
                <w:sz w:val="16"/>
              </w:rPr>
            </w:pPr>
            <w:r>
              <w:rPr>
                <w:sz w:val="16"/>
              </w:rPr>
              <w:t>Rede Básica</w:t>
            </w:r>
          </w:p>
        </w:tc>
        <w:tc>
          <w:tcPr>
            <w:tcW w:w="1393" w:type="dxa"/>
          </w:tcPr>
          <w:p>
            <w:pPr>
              <w:pStyle w:val="TableParagraph"/>
              <w:spacing w:line="185" w:lineRule="exact" w:before="20"/>
              <w:ind w:right="57"/>
              <w:jc w:val="right"/>
              <w:rPr>
                <w:sz w:val="16"/>
              </w:rPr>
            </w:pPr>
            <w:r>
              <w:rPr>
                <w:w w:val="95"/>
                <w:sz w:val="16"/>
              </w:rPr>
              <w:t>(14,3)</w:t>
            </w:r>
          </w:p>
        </w:tc>
        <w:tc>
          <w:tcPr>
            <w:tcW w:w="1582" w:type="dxa"/>
          </w:tcPr>
          <w:p>
            <w:pPr>
              <w:pStyle w:val="TableParagraph"/>
              <w:spacing w:line="185" w:lineRule="exact" w:before="20"/>
              <w:ind w:right="57"/>
              <w:jc w:val="right"/>
              <w:rPr>
                <w:sz w:val="16"/>
              </w:rPr>
            </w:pPr>
            <w:r>
              <w:rPr>
                <w:w w:val="95"/>
                <w:sz w:val="16"/>
              </w:rPr>
              <w:t>(42,8)</w:t>
            </w:r>
          </w:p>
        </w:tc>
      </w:tr>
      <w:tr>
        <w:trPr>
          <w:trHeight w:val="227" w:hRule="atLeast"/>
        </w:trPr>
        <w:tc>
          <w:tcPr>
            <w:tcW w:w="6952" w:type="dxa"/>
          </w:tcPr>
          <w:p>
            <w:pPr>
              <w:pStyle w:val="TableParagraph"/>
              <w:spacing w:line="185" w:lineRule="exact" w:before="22"/>
              <w:ind w:left="72"/>
              <w:rPr>
                <w:sz w:val="16"/>
              </w:rPr>
            </w:pPr>
            <w:r>
              <w:rPr>
                <w:sz w:val="16"/>
              </w:rPr>
              <w:t>Perdas de Energia Elétrica</w:t>
            </w:r>
          </w:p>
        </w:tc>
        <w:tc>
          <w:tcPr>
            <w:tcW w:w="1393" w:type="dxa"/>
          </w:tcPr>
          <w:p>
            <w:pPr>
              <w:pStyle w:val="TableParagraph"/>
              <w:spacing w:line="185" w:lineRule="exact" w:before="22"/>
              <w:ind w:right="57"/>
              <w:jc w:val="right"/>
              <w:rPr>
                <w:sz w:val="16"/>
              </w:rPr>
            </w:pPr>
            <w:r>
              <w:rPr>
                <w:w w:val="95"/>
                <w:sz w:val="16"/>
              </w:rPr>
              <w:t>(41,6)</w:t>
            </w:r>
          </w:p>
        </w:tc>
        <w:tc>
          <w:tcPr>
            <w:tcW w:w="1582" w:type="dxa"/>
          </w:tcPr>
          <w:p>
            <w:pPr>
              <w:pStyle w:val="TableParagraph"/>
              <w:spacing w:line="185" w:lineRule="exact" w:before="22"/>
              <w:ind w:right="57"/>
              <w:jc w:val="right"/>
              <w:rPr>
                <w:sz w:val="16"/>
              </w:rPr>
            </w:pPr>
            <w:r>
              <w:rPr>
                <w:w w:val="95"/>
                <w:sz w:val="16"/>
              </w:rPr>
              <w:t>(23,1)</w:t>
            </w:r>
          </w:p>
        </w:tc>
      </w:tr>
      <w:tr>
        <w:trPr>
          <w:trHeight w:val="227" w:hRule="atLeast"/>
        </w:trPr>
        <w:tc>
          <w:tcPr>
            <w:tcW w:w="6952" w:type="dxa"/>
          </w:tcPr>
          <w:p>
            <w:pPr>
              <w:pStyle w:val="TableParagraph"/>
              <w:spacing w:before="20"/>
              <w:ind w:left="72"/>
              <w:rPr>
                <w:sz w:val="16"/>
              </w:rPr>
            </w:pPr>
            <w:r>
              <w:rPr>
                <w:sz w:val="16"/>
              </w:rPr>
              <w:t>Acordos Bilaterais</w:t>
            </w:r>
          </w:p>
        </w:tc>
        <w:tc>
          <w:tcPr>
            <w:tcW w:w="1393" w:type="dxa"/>
          </w:tcPr>
          <w:p>
            <w:pPr>
              <w:pStyle w:val="TableParagraph"/>
              <w:spacing w:before="20"/>
              <w:ind w:right="57"/>
              <w:jc w:val="right"/>
              <w:rPr>
                <w:sz w:val="16"/>
              </w:rPr>
            </w:pPr>
            <w:r>
              <w:rPr>
                <w:w w:val="95"/>
                <w:sz w:val="16"/>
              </w:rPr>
              <w:t>24,0</w:t>
            </w:r>
          </w:p>
        </w:tc>
        <w:tc>
          <w:tcPr>
            <w:tcW w:w="1582" w:type="dxa"/>
          </w:tcPr>
          <w:p>
            <w:pPr>
              <w:pStyle w:val="TableParagraph"/>
              <w:rPr>
                <w:rFonts w:ascii="Times New Roman"/>
                <w:sz w:val="16"/>
              </w:rPr>
            </w:pPr>
          </w:p>
        </w:tc>
      </w:tr>
      <w:tr>
        <w:trPr>
          <w:trHeight w:val="227" w:hRule="atLeast"/>
        </w:trPr>
        <w:tc>
          <w:tcPr>
            <w:tcW w:w="6952" w:type="dxa"/>
          </w:tcPr>
          <w:p>
            <w:pPr>
              <w:pStyle w:val="TableParagraph"/>
              <w:spacing w:before="20"/>
              <w:ind w:left="72"/>
              <w:rPr>
                <w:sz w:val="16"/>
              </w:rPr>
            </w:pPr>
            <w:r>
              <w:rPr>
                <w:w w:val="105"/>
                <w:sz w:val="16"/>
              </w:rPr>
              <w:t>Sobrecontratação &gt;105%</w:t>
            </w:r>
          </w:p>
        </w:tc>
        <w:tc>
          <w:tcPr>
            <w:tcW w:w="1393" w:type="dxa"/>
          </w:tcPr>
          <w:p>
            <w:pPr>
              <w:pStyle w:val="TableParagraph"/>
              <w:spacing w:before="20"/>
              <w:ind w:right="57"/>
              <w:jc w:val="right"/>
              <w:rPr>
                <w:sz w:val="16"/>
              </w:rPr>
            </w:pPr>
            <w:r>
              <w:rPr>
                <w:w w:val="95"/>
                <w:sz w:val="16"/>
              </w:rPr>
              <w:t>36,7</w:t>
            </w:r>
          </w:p>
        </w:tc>
        <w:tc>
          <w:tcPr>
            <w:tcW w:w="1582" w:type="dxa"/>
          </w:tcPr>
          <w:p>
            <w:pPr>
              <w:pStyle w:val="TableParagraph"/>
              <w:spacing w:before="20"/>
              <w:ind w:right="56"/>
              <w:jc w:val="right"/>
              <w:rPr>
                <w:sz w:val="16"/>
              </w:rPr>
            </w:pPr>
            <w:r>
              <w:rPr>
                <w:w w:val="95"/>
                <w:sz w:val="16"/>
              </w:rPr>
              <w:t>14,6</w:t>
            </w:r>
          </w:p>
        </w:tc>
      </w:tr>
      <w:tr>
        <w:trPr>
          <w:trHeight w:val="225" w:hRule="atLeast"/>
        </w:trPr>
        <w:tc>
          <w:tcPr>
            <w:tcW w:w="6952" w:type="dxa"/>
          </w:tcPr>
          <w:p>
            <w:pPr>
              <w:pStyle w:val="TableParagraph"/>
              <w:spacing w:line="185" w:lineRule="exact" w:before="20"/>
              <w:ind w:left="72"/>
              <w:rPr>
                <w:sz w:val="16"/>
              </w:rPr>
            </w:pPr>
            <w:r>
              <w:rPr>
                <w:w w:val="105"/>
                <w:sz w:val="16"/>
              </w:rPr>
              <w:t>PMSO</w:t>
            </w:r>
          </w:p>
        </w:tc>
        <w:tc>
          <w:tcPr>
            <w:tcW w:w="1393" w:type="dxa"/>
          </w:tcPr>
          <w:p>
            <w:pPr>
              <w:pStyle w:val="TableParagraph"/>
              <w:spacing w:line="185" w:lineRule="exact" w:before="20"/>
              <w:ind w:right="57"/>
              <w:jc w:val="right"/>
              <w:rPr>
                <w:sz w:val="16"/>
              </w:rPr>
            </w:pPr>
            <w:r>
              <w:rPr>
                <w:w w:val="95"/>
                <w:sz w:val="16"/>
              </w:rPr>
              <w:t>(41,6)</w:t>
            </w:r>
          </w:p>
        </w:tc>
        <w:tc>
          <w:tcPr>
            <w:tcW w:w="1582" w:type="dxa"/>
          </w:tcPr>
          <w:p>
            <w:pPr>
              <w:pStyle w:val="TableParagraph"/>
              <w:spacing w:line="185" w:lineRule="exact" w:before="20"/>
              <w:ind w:right="57"/>
              <w:jc w:val="right"/>
              <w:rPr>
                <w:sz w:val="16"/>
              </w:rPr>
            </w:pPr>
            <w:r>
              <w:rPr>
                <w:w w:val="95"/>
                <w:sz w:val="16"/>
              </w:rPr>
              <w:t>(57,0)</w:t>
            </w:r>
          </w:p>
        </w:tc>
      </w:tr>
      <w:tr>
        <w:trPr>
          <w:trHeight w:val="227" w:hRule="atLeast"/>
        </w:trPr>
        <w:tc>
          <w:tcPr>
            <w:tcW w:w="6952" w:type="dxa"/>
          </w:tcPr>
          <w:p>
            <w:pPr>
              <w:pStyle w:val="TableParagraph"/>
              <w:spacing w:line="185" w:lineRule="exact" w:before="22"/>
              <w:ind w:left="72"/>
              <w:rPr>
                <w:sz w:val="16"/>
              </w:rPr>
            </w:pPr>
            <w:r>
              <w:rPr>
                <w:sz w:val="16"/>
              </w:rPr>
              <w:t>Provisão para Contingências</w:t>
            </w:r>
          </w:p>
        </w:tc>
        <w:tc>
          <w:tcPr>
            <w:tcW w:w="1393" w:type="dxa"/>
          </w:tcPr>
          <w:p>
            <w:pPr>
              <w:pStyle w:val="TableParagraph"/>
              <w:spacing w:line="185" w:lineRule="exact" w:before="22"/>
              <w:ind w:right="57"/>
              <w:jc w:val="right"/>
              <w:rPr>
                <w:sz w:val="16"/>
              </w:rPr>
            </w:pPr>
            <w:r>
              <w:rPr>
                <w:w w:val="95"/>
                <w:sz w:val="16"/>
              </w:rPr>
              <w:t>(14,1)</w:t>
            </w:r>
          </w:p>
        </w:tc>
        <w:tc>
          <w:tcPr>
            <w:tcW w:w="1582" w:type="dxa"/>
          </w:tcPr>
          <w:p>
            <w:pPr>
              <w:pStyle w:val="TableParagraph"/>
              <w:spacing w:line="185" w:lineRule="exact" w:before="22"/>
              <w:ind w:right="56"/>
              <w:jc w:val="right"/>
              <w:rPr>
                <w:sz w:val="16"/>
              </w:rPr>
            </w:pPr>
            <w:r>
              <w:rPr>
                <w:w w:val="95"/>
                <w:sz w:val="16"/>
              </w:rPr>
              <w:t>26,6</w:t>
            </w:r>
          </w:p>
        </w:tc>
      </w:tr>
      <w:tr>
        <w:trPr>
          <w:trHeight w:val="227" w:hRule="atLeast"/>
        </w:trPr>
        <w:tc>
          <w:tcPr>
            <w:tcW w:w="6952" w:type="dxa"/>
          </w:tcPr>
          <w:p>
            <w:pPr>
              <w:pStyle w:val="TableParagraph"/>
              <w:spacing w:before="20"/>
              <w:ind w:left="72"/>
              <w:rPr>
                <w:sz w:val="16"/>
              </w:rPr>
            </w:pPr>
            <w:r>
              <w:rPr>
                <w:w w:val="105"/>
                <w:sz w:val="16"/>
              </w:rPr>
              <w:t>PECLD</w:t>
            </w:r>
          </w:p>
        </w:tc>
        <w:tc>
          <w:tcPr>
            <w:tcW w:w="1393" w:type="dxa"/>
          </w:tcPr>
          <w:p>
            <w:pPr>
              <w:pStyle w:val="TableParagraph"/>
              <w:spacing w:before="20"/>
              <w:ind w:right="57"/>
              <w:jc w:val="right"/>
              <w:rPr>
                <w:sz w:val="16"/>
              </w:rPr>
            </w:pPr>
            <w:r>
              <w:rPr>
                <w:w w:val="95"/>
                <w:sz w:val="16"/>
              </w:rPr>
              <w:t>(30,4)</w:t>
            </w:r>
          </w:p>
        </w:tc>
        <w:tc>
          <w:tcPr>
            <w:tcW w:w="1582" w:type="dxa"/>
          </w:tcPr>
          <w:p>
            <w:pPr>
              <w:pStyle w:val="TableParagraph"/>
              <w:spacing w:before="20"/>
              <w:ind w:right="57"/>
              <w:jc w:val="right"/>
              <w:rPr>
                <w:sz w:val="16"/>
              </w:rPr>
            </w:pPr>
            <w:r>
              <w:rPr>
                <w:w w:val="95"/>
                <w:sz w:val="16"/>
              </w:rPr>
              <w:t>(51,2)</w:t>
            </w:r>
          </w:p>
        </w:tc>
      </w:tr>
      <w:tr>
        <w:trPr>
          <w:trHeight w:val="227" w:hRule="atLeast"/>
        </w:trPr>
        <w:tc>
          <w:tcPr>
            <w:tcW w:w="6952" w:type="dxa"/>
          </w:tcPr>
          <w:p>
            <w:pPr>
              <w:pStyle w:val="TableParagraph"/>
              <w:spacing w:before="20"/>
              <w:ind w:left="72"/>
              <w:rPr>
                <w:sz w:val="16"/>
              </w:rPr>
            </w:pPr>
            <w:r>
              <w:rPr>
                <w:sz w:val="16"/>
              </w:rPr>
              <w:t>Resultado Financeiro</w:t>
            </w:r>
          </w:p>
        </w:tc>
        <w:tc>
          <w:tcPr>
            <w:tcW w:w="1393" w:type="dxa"/>
          </w:tcPr>
          <w:p>
            <w:pPr>
              <w:pStyle w:val="TableParagraph"/>
              <w:spacing w:before="20"/>
              <w:ind w:right="57"/>
              <w:jc w:val="right"/>
              <w:rPr>
                <w:sz w:val="16"/>
              </w:rPr>
            </w:pPr>
            <w:r>
              <w:rPr>
                <w:w w:val="95"/>
                <w:sz w:val="16"/>
              </w:rPr>
              <w:t>(12,2)</w:t>
            </w:r>
          </w:p>
        </w:tc>
        <w:tc>
          <w:tcPr>
            <w:tcW w:w="1582" w:type="dxa"/>
          </w:tcPr>
          <w:p>
            <w:pPr>
              <w:pStyle w:val="TableParagraph"/>
              <w:spacing w:before="20"/>
              <w:ind w:right="57"/>
              <w:jc w:val="right"/>
              <w:rPr>
                <w:sz w:val="16"/>
              </w:rPr>
            </w:pPr>
            <w:r>
              <w:rPr>
                <w:w w:val="95"/>
                <w:sz w:val="16"/>
              </w:rPr>
              <w:t>(68,2)</w:t>
            </w:r>
          </w:p>
        </w:tc>
      </w:tr>
      <w:tr>
        <w:trPr>
          <w:trHeight w:val="225" w:hRule="atLeast"/>
        </w:trPr>
        <w:tc>
          <w:tcPr>
            <w:tcW w:w="6952" w:type="dxa"/>
          </w:tcPr>
          <w:p>
            <w:pPr>
              <w:pStyle w:val="TableParagraph"/>
              <w:spacing w:line="187" w:lineRule="exact" w:before="18"/>
              <w:ind w:left="72"/>
              <w:rPr>
                <w:rFonts w:ascii="Caladea"/>
                <w:b/>
                <w:sz w:val="16"/>
              </w:rPr>
            </w:pPr>
            <w:r>
              <w:rPr>
                <w:rFonts w:ascii="Caladea"/>
                <w:b/>
                <w:sz w:val="16"/>
              </w:rPr>
              <w:t>Perdas Totais</w:t>
            </w:r>
          </w:p>
        </w:tc>
        <w:tc>
          <w:tcPr>
            <w:tcW w:w="1393" w:type="dxa"/>
          </w:tcPr>
          <w:p>
            <w:pPr>
              <w:pStyle w:val="TableParagraph"/>
              <w:spacing w:line="187" w:lineRule="exact" w:before="18"/>
              <w:ind w:right="55"/>
              <w:jc w:val="right"/>
              <w:rPr>
                <w:rFonts w:ascii="Caladea"/>
                <w:b/>
                <w:sz w:val="16"/>
              </w:rPr>
            </w:pPr>
            <w:r>
              <w:rPr>
                <w:rFonts w:ascii="Caladea"/>
                <w:b/>
                <w:sz w:val="16"/>
              </w:rPr>
              <w:t>(93,5)</w:t>
            </w:r>
          </w:p>
        </w:tc>
        <w:tc>
          <w:tcPr>
            <w:tcW w:w="1582" w:type="dxa"/>
          </w:tcPr>
          <w:p>
            <w:pPr>
              <w:pStyle w:val="TableParagraph"/>
              <w:spacing w:line="187" w:lineRule="exact" w:before="18"/>
              <w:ind w:right="56"/>
              <w:jc w:val="right"/>
              <w:rPr>
                <w:rFonts w:ascii="Caladea"/>
                <w:b/>
                <w:sz w:val="16"/>
              </w:rPr>
            </w:pPr>
            <w:r>
              <w:rPr>
                <w:rFonts w:ascii="Caladea"/>
                <w:b/>
                <w:sz w:val="16"/>
              </w:rPr>
              <w:t>(201,1)</w:t>
            </w:r>
          </w:p>
        </w:tc>
      </w:tr>
    </w:tbl>
    <w:p>
      <w:pPr>
        <w:pStyle w:val="BodyText"/>
        <w:spacing w:before="4"/>
      </w:pPr>
    </w:p>
    <w:p>
      <w:pPr>
        <w:spacing w:before="1"/>
        <w:ind w:left="192" w:right="0" w:firstLine="0"/>
        <w:jc w:val="both"/>
        <w:rPr>
          <w:rFonts w:ascii="Caladea" w:hAnsi="Caladea"/>
          <w:b/>
          <w:sz w:val="20"/>
        </w:rPr>
      </w:pPr>
      <w:r>
        <w:rPr>
          <w:rFonts w:ascii="Caladea" w:hAnsi="Caladea"/>
          <w:b/>
          <w:sz w:val="20"/>
        </w:rPr>
        <w:t>Rede Básica</w:t>
      </w:r>
    </w:p>
    <w:p>
      <w:pPr>
        <w:pStyle w:val="BodyText"/>
        <w:spacing w:before="1"/>
        <w:rPr>
          <w:rFonts w:ascii="Caladea"/>
          <w:b/>
        </w:rPr>
      </w:pPr>
    </w:p>
    <w:p>
      <w:pPr>
        <w:pStyle w:val="BodyText"/>
        <w:spacing w:line="242" w:lineRule="auto"/>
        <w:ind w:left="192" w:right="612"/>
        <w:jc w:val="both"/>
      </w:pPr>
      <w:r>
        <w:rPr/>
        <w:t>Em</w:t>
      </w:r>
      <w:r>
        <w:rPr>
          <w:spacing w:val="-25"/>
        </w:rPr>
        <w:t> </w:t>
      </w:r>
      <w:r>
        <w:rPr/>
        <w:t>março</w:t>
      </w:r>
      <w:r>
        <w:rPr>
          <w:spacing w:val="-22"/>
        </w:rPr>
        <w:t> </w:t>
      </w:r>
      <w:r>
        <w:rPr/>
        <w:t>de</w:t>
      </w:r>
      <w:r>
        <w:rPr>
          <w:spacing w:val="-24"/>
        </w:rPr>
        <w:t> </w:t>
      </w:r>
      <w:r>
        <w:rPr/>
        <w:t>2018,</w:t>
      </w:r>
      <w:r>
        <w:rPr>
          <w:spacing w:val="-22"/>
        </w:rPr>
        <w:t> </w:t>
      </w:r>
      <w:r>
        <w:rPr/>
        <w:t>o</w:t>
      </w:r>
      <w:r>
        <w:rPr>
          <w:spacing w:val="-23"/>
        </w:rPr>
        <w:t> </w:t>
      </w:r>
      <w:r>
        <w:rPr/>
        <w:t>Operador</w:t>
      </w:r>
      <w:r>
        <w:rPr>
          <w:spacing w:val="-23"/>
        </w:rPr>
        <w:t> </w:t>
      </w:r>
      <w:r>
        <w:rPr/>
        <w:t>Nacional</w:t>
      </w:r>
      <w:r>
        <w:rPr>
          <w:spacing w:val="-24"/>
        </w:rPr>
        <w:t> </w:t>
      </w:r>
      <w:r>
        <w:rPr/>
        <w:t>do</w:t>
      </w:r>
      <w:r>
        <w:rPr>
          <w:spacing w:val="-21"/>
        </w:rPr>
        <w:t> </w:t>
      </w:r>
      <w:r>
        <w:rPr/>
        <w:t>Sistema</w:t>
      </w:r>
      <w:r>
        <w:rPr>
          <w:spacing w:val="-23"/>
        </w:rPr>
        <w:t> </w:t>
      </w:r>
      <w:r>
        <w:rPr/>
        <w:t>(ONS)</w:t>
      </w:r>
      <w:r>
        <w:rPr>
          <w:spacing w:val="-24"/>
        </w:rPr>
        <w:t> </w:t>
      </w:r>
      <w:r>
        <w:rPr/>
        <w:t>procedeu</w:t>
      </w:r>
      <w:r>
        <w:rPr>
          <w:spacing w:val="-22"/>
        </w:rPr>
        <w:t> </w:t>
      </w:r>
      <w:r>
        <w:rPr/>
        <w:t>com</w:t>
      </w:r>
      <w:r>
        <w:rPr>
          <w:spacing w:val="-23"/>
        </w:rPr>
        <w:t> </w:t>
      </w:r>
      <w:r>
        <w:rPr/>
        <w:t>a</w:t>
      </w:r>
      <w:r>
        <w:rPr>
          <w:spacing w:val="-22"/>
        </w:rPr>
        <w:t> </w:t>
      </w:r>
      <w:r>
        <w:rPr/>
        <w:t>cobrança</w:t>
      </w:r>
      <w:r>
        <w:rPr>
          <w:spacing w:val="-23"/>
        </w:rPr>
        <w:t> </w:t>
      </w:r>
      <w:r>
        <w:rPr/>
        <w:t>do</w:t>
      </w:r>
      <w:r>
        <w:rPr>
          <w:spacing w:val="-23"/>
        </w:rPr>
        <w:t> </w:t>
      </w:r>
      <w:r>
        <w:rPr/>
        <w:t>Encargo</w:t>
      </w:r>
      <w:r>
        <w:rPr>
          <w:spacing w:val="-22"/>
        </w:rPr>
        <w:t> </w:t>
      </w:r>
      <w:r>
        <w:rPr/>
        <w:t>de</w:t>
      </w:r>
      <w:r>
        <w:rPr>
          <w:spacing w:val="-24"/>
        </w:rPr>
        <w:t> </w:t>
      </w:r>
      <w:r>
        <w:rPr/>
        <w:t>Uso</w:t>
      </w:r>
      <w:r>
        <w:rPr>
          <w:spacing w:val="-22"/>
        </w:rPr>
        <w:t> </w:t>
      </w:r>
      <w:r>
        <w:rPr/>
        <w:t>do</w:t>
      </w:r>
      <w:r>
        <w:rPr>
          <w:spacing w:val="-23"/>
        </w:rPr>
        <w:t> </w:t>
      </w:r>
      <w:r>
        <w:rPr/>
        <w:t>Sistema de Transmissão (EUST) à CEB DIS, em virtude da disponibilização da Rede Básica proveniente da Vale do São Bartolomeu</w:t>
      </w:r>
      <w:r>
        <w:rPr>
          <w:spacing w:val="-16"/>
        </w:rPr>
        <w:t> </w:t>
      </w:r>
      <w:r>
        <w:rPr/>
        <w:t>Transmissora</w:t>
      </w:r>
      <w:r>
        <w:rPr>
          <w:spacing w:val="-15"/>
        </w:rPr>
        <w:t> </w:t>
      </w:r>
      <w:r>
        <w:rPr/>
        <w:t>de</w:t>
      </w:r>
      <w:r>
        <w:rPr>
          <w:spacing w:val="-20"/>
        </w:rPr>
        <w:t> </w:t>
      </w:r>
      <w:r>
        <w:rPr/>
        <w:t>Energia</w:t>
      </w:r>
      <w:r>
        <w:rPr>
          <w:spacing w:val="-18"/>
        </w:rPr>
        <w:t> </w:t>
      </w:r>
      <w:r>
        <w:rPr/>
        <w:t>S.A.</w:t>
      </w:r>
      <w:r>
        <w:rPr>
          <w:spacing w:val="-16"/>
        </w:rPr>
        <w:t> </w:t>
      </w:r>
      <w:r>
        <w:rPr/>
        <w:t>(VSB).</w:t>
      </w:r>
    </w:p>
    <w:p>
      <w:pPr>
        <w:pStyle w:val="BodyText"/>
        <w:spacing w:before="2"/>
      </w:pPr>
    </w:p>
    <w:p>
      <w:pPr>
        <w:pStyle w:val="BodyText"/>
        <w:spacing w:line="242" w:lineRule="auto" w:before="1"/>
        <w:ind w:left="192" w:right="606"/>
        <w:jc w:val="both"/>
      </w:pPr>
      <w:r>
        <w:rPr/>
        <w:t>A</w:t>
      </w:r>
      <w:r>
        <w:rPr>
          <w:spacing w:val="-25"/>
        </w:rPr>
        <w:t> </w:t>
      </w:r>
      <w:r>
        <w:rPr/>
        <w:t>referida</w:t>
      </w:r>
      <w:r>
        <w:rPr>
          <w:spacing w:val="-25"/>
        </w:rPr>
        <w:t> </w:t>
      </w:r>
      <w:r>
        <w:rPr/>
        <w:t>rede</w:t>
      </w:r>
      <w:r>
        <w:rPr>
          <w:spacing w:val="-26"/>
        </w:rPr>
        <w:t> </w:t>
      </w:r>
      <w:r>
        <w:rPr/>
        <w:t>não</w:t>
      </w:r>
      <w:r>
        <w:rPr>
          <w:spacing w:val="-26"/>
        </w:rPr>
        <w:t> </w:t>
      </w:r>
      <w:r>
        <w:rPr/>
        <w:t>foi</w:t>
      </w:r>
      <w:r>
        <w:rPr>
          <w:spacing w:val="-26"/>
        </w:rPr>
        <w:t> </w:t>
      </w:r>
      <w:r>
        <w:rPr/>
        <w:t>interligada</w:t>
      </w:r>
      <w:r>
        <w:rPr>
          <w:spacing w:val="-24"/>
        </w:rPr>
        <w:t> </w:t>
      </w:r>
      <w:r>
        <w:rPr/>
        <w:t>pela</w:t>
      </w:r>
      <w:r>
        <w:rPr>
          <w:spacing w:val="-25"/>
        </w:rPr>
        <w:t> </w:t>
      </w:r>
      <w:r>
        <w:rPr/>
        <w:t>CEB</w:t>
      </w:r>
      <w:r>
        <w:rPr>
          <w:spacing w:val="-25"/>
        </w:rPr>
        <w:t> </w:t>
      </w:r>
      <w:r>
        <w:rPr/>
        <w:t>DIS,</w:t>
      </w:r>
      <w:r>
        <w:rPr>
          <w:spacing w:val="-25"/>
        </w:rPr>
        <w:t> </w:t>
      </w:r>
      <w:r>
        <w:rPr/>
        <w:t>a</w:t>
      </w:r>
      <w:r>
        <w:rPr>
          <w:spacing w:val="-25"/>
        </w:rPr>
        <w:t> </w:t>
      </w:r>
      <w:r>
        <w:rPr/>
        <w:t>tempo</w:t>
      </w:r>
      <w:r>
        <w:rPr>
          <w:spacing w:val="-25"/>
        </w:rPr>
        <w:t> </w:t>
      </w:r>
      <w:r>
        <w:rPr/>
        <w:t>do</w:t>
      </w:r>
      <w:r>
        <w:rPr>
          <w:spacing w:val="-20"/>
        </w:rPr>
        <w:t> </w:t>
      </w:r>
      <w:r>
        <w:rPr/>
        <w:t>Reajuste</w:t>
      </w:r>
      <w:r>
        <w:rPr>
          <w:spacing w:val="-26"/>
        </w:rPr>
        <w:t> </w:t>
      </w:r>
      <w:r>
        <w:rPr/>
        <w:t>Tarifário</w:t>
      </w:r>
      <w:r>
        <w:rPr>
          <w:spacing w:val="-26"/>
        </w:rPr>
        <w:t> </w:t>
      </w:r>
      <w:r>
        <w:rPr/>
        <w:t>Anual</w:t>
      </w:r>
      <w:r>
        <w:rPr>
          <w:spacing w:val="-25"/>
        </w:rPr>
        <w:t> </w:t>
      </w:r>
      <w:r>
        <w:rPr/>
        <w:t>(RTA)</w:t>
      </w:r>
      <w:r>
        <w:rPr>
          <w:spacing w:val="-25"/>
        </w:rPr>
        <w:t> </w:t>
      </w:r>
      <w:r>
        <w:rPr/>
        <w:t>de</w:t>
      </w:r>
      <w:r>
        <w:rPr>
          <w:spacing w:val="-25"/>
        </w:rPr>
        <w:t> </w:t>
      </w:r>
      <w:r>
        <w:rPr/>
        <w:t>2018,</w:t>
      </w:r>
      <w:r>
        <w:rPr>
          <w:spacing w:val="-25"/>
        </w:rPr>
        <w:t> </w:t>
      </w:r>
      <w:r>
        <w:rPr/>
        <w:t>ocasionando</w:t>
      </w:r>
      <w:r>
        <w:rPr>
          <w:spacing w:val="-26"/>
        </w:rPr>
        <w:t> </w:t>
      </w:r>
      <w:r>
        <w:rPr/>
        <w:t>o não</w:t>
      </w:r>
      <w:r>
        <w:rPr>
          <w:spacing w:val="-45"/>
        </w:rPr>
        <w:t> </w:t>
      </w:r>
      <w:r>
        <w:rPr/>
        <w:t>reconhecimento</w:t>
      </w:r>
      <w:r>
        <w:rPr>
          <w:spacing w:val="-45"/>
        </w:rPr>
        <w:t> </w:t>
      </w:r>
      <w:r>
        <w:rPr/>
        <w:t>tarifário</w:t>
      </w:r>
      <w:r>
        <w:rPr>
          <w:spacing w:val="-45"/>
        </w:rPr>
        <w:t> </w:t>
      </w:r>
      <w:r>
        <w:rPr/>
        <w:t>desse</w:t>
      </w:r>
      <w:r>
        <w:rPr>
          <w:spacing w:val="-46"/>
        </w:rPr>
        <w:t> </w:t>
      </w:r>
      <w:r>
        <w:rPr/>
        <w:t>encargo</w:t>
      </w:r>
      <w:r>
        <w:rPr>
          <w:spacing w:val="-44"/>
        </w:rPr>
        <w:t> </w:t>
      </w:r>
      <w:r>
        <w:rPr/>
        <w:t>no</w:t>
      </w:r>
      <w:r>
        <w:rPr>
          <w:spacing w:val="-44"/>
        </w:rPr>
        <w:t> </w:t>
      </w:r>
      <w:r>
        <w:rPr/>
        <w:t>período.</w:t>
      </w:r>
      <w:r>
        <w:rPr>
          <w:spacing w:val="-44"/>
        </w:rPr>
        <w:t> </w:t>
      </w:r>
      <w:r>
        <w:rPr/>
        <w:t>Tal</w:t>
      </w:r>
      <w:r>
        <w:rPr>
          <w:spacing w:val="-44"/>
        </w:rPr>
        <w:t> </w:t>
      </w:r>
      <w:r>
        <w:rPr/>
        <w:t>fato</w:t>
      </w:r>
      <w:r>
        <w:rPr>
          <w:spacing w:val="-46"/>
        </w:rPr>
        <w:t> </w:t>
      </w:r>
      <w:r>
        <w:rPr/>
        <w:t>está</w:t>
      </w:r>
      <w:r>
        <w:rPr>
          <w:spacing w:val="-44"/>
        </w:rPr>
        <w:t> </w:t>
      </w:r>
      <w:r>
        <w:rPr/>
        <w:t>previsto</w:t>
      </w:r>
      <w:r>
        <w:rPr>
          <w:spacing w:val="-45"/>
        </w:rPr>
        <w:t> </w:t>
      </w:r>
      <w:r>
        <w:rPr/>
        <w:t>no</w:t>
      </w:r>
      <w:r>
        <w:rPr>
          <w:spacing w:val="-45"/>
        </w:rPr>
        <w:t> </w:t>
      </w:r>
      <w:r>
        <w:rPr/>
        <w:t>item</w:t>
      </w:r>
      <w:r>
        <w:rPr>
          <w:spacing w:val="-44"/>
        </w:rPr>
        <w:t> </w:t>
      </w:r>
      <w:r>
        <w:rPr/>
        <w:t>8</w:t>
      </w:r>
      <w:r>
        <w:rPr>
          <w:spacing w:val="-45"/>
        </w:rPr>
        <w:t> </w:t>
      </w:r>
      <w:r>
        <w:rPr/>
        <w:t>do</w:t>
      </w:r>
      <w:r>
        <w:rPr>
          <w:spacing w:val="-45"/>
        </w:rPr>
        <w:t> </w:t>
      </w:r>
      <w:r>
        <w:rPr/>
        <w:t>Submódulo</w:t>
      </w:r>
      <w:r>
        <w:rPr>
          <w:spacing w:val="-45"/>
        </w:rPr>
        <w:t> </w:t>
      </w:r>
      <w:r>
        <w:rPr/>
        <w:t>3.3</w:t>
      </w:r>
      <w:r>
        <w:rPr>
          <w:spacing w:val="-44"/>
        </w:rPr>
        <w:t> </w:t>
      </w:r>
      <w:r>
        <w:rPr/>
        <w:t>do</w:t>
      </w:r>
      <w:r>
        <w:rPr>
          <w:spacing w:val="-45"/>
        </w:rPr>
        <w:t> </w:t>
      </w:r>
      <w:r>
        <w:rPr/>
        <w:t>PRORET, que estabelece a obrigação de pagamento para as distribuidoras após à disponibilização do ativo, bem como o reconhecimento</w:t>
      </w:r>
      <w:r>
        <w:rPr>
          <w:spacing w:val="-24"/>
        </w:rPr>
        <w:t> </w:t>
      </w:r>
      <w:r>
        <w:rPr/>
        <w:t>tarifário,</w:t>
      </w:r>
      <w:r>
        <w:rPr>
          <w:spacing w:val="-26"/>
        </w:rPr>
        <w:t> </w:t>
      </w:r>
      <w:r>
        <w:rPr/>
        <w:t>condicionado</w:t>
      </w:r>
      <w:r>
        <w:rPr>
          <w:spacing w:val="-25"/>
        </w:rPr>
        <w:t> </w:t>
      </w:r>
      <w:r>
        <w:rPr/>
        <w:t>à</w:t>
      </w:r>
      <w:r>
        <w:rPr>
          <w:spacing w:val="-22"/>
        </w:rPr>
        <w:t> </w:t>
      </w:r>
      <w:r>
        <w:rPr/>
        <w:t>efetiva</w:t>
      </w:r>
      <w:r>
        <w:rPr>
          <w:spacing w:val="-25"/>
        </w:rPr>
        <w:t> </w:t>
      </w:r>
      <w:r>
        <w:rPr/>
        <w:t>utilização</w:t>
      </w:r>
      <w:r>
        <w:rPr>
          <w:spacing w:val="-25"/>
        </w:rPr>
        <w:t> </w:t>
      </w:r>
      <w:r>
        <w:rPr/>
        <w:t>da</w:t>
      </w:r>
      <w:r>
        <w:rPr>
          <w:spacing w:val="-25"/>
        </w:rPr>
        <w:t> </w:t>
      </w:r>
      <w:r>
        <w:rPr/>
        <w:t>infraestrutura</w:t>
      </w:r>
      <w:r>
        <w:rPr>
          <w:spacing w:val="-22"/>
        </w:rPr>
        <w:t> </w:t>
      </w:r>
      <w:r>
        <w:rPr/>
        <w:t>pelo</w:t>
      </w:r>
      <w:r>
        <w:rPr>
          <w:spacing w:val="-25"/>
        </w:rPr>
        <w:t> </w:t>
      </w:r>
      <w:r>
        <w:rPr/>
        <w:t>consumidor.</w:t>
      </w:r>
    </w:p>
    <w:p>
      <w:pPr>
        <w:pStyle w:val="BodyText"/>
        <w:spacing w:before="1"/>
      </w:pPr>
    </w:p>
    <w:p>
      <w:pPr>
        <w:pStyle w:val="BodyText"/>
        <w:spacing w:line="242" w:lineRule="auto"/>
        <w:ind w:left="192" w:right="617"/>
        <w:jc w:val="both"/>
      </w:pPr>
      <w:r>
        <w:rPr/>
        <w:t>Como consequência, essa disponibilidade incorreu em custos adicionais de R$ 42,8 milhões à Distribuidora no exercício</w:t>
      </w:r>
      <w:r>
        <w:rPr>
          <w:spacing w:val="-5"/>
        </w:rPr>
        <w:t> </w:t>
      </w:r>
      <w:r>
        <w:rPr/>
        <w:t>de</w:t>
      </w:r>
      <w:r>
        <w:rPr>
          <w:spacing w:val="-5"/>
        </w:rPr>
        <w:t> </w:t>
      </w:r>
      <w:r>
        <w:rPr/>
        <w:t>2018,</w:t>
      </w:r>
      <w:r>
        <w:rPr>
          <w:spacing w:val="-2"/>
        </w:rPr>
        <w:t> </w:t>
      </w:r>
      <w:r>
        <w:rPr/>
        <w:t>que</w:t>
      </w:r>
      <w:r>
        <w:rPr>
          <w:spacing w:val="-5"/>
        </w:rPr>
        <w:t> </w:t>
      </w:r>
      <w:r>
        <w:rPr/>
        <w:t>não</w:t>
      </w:r>
      <w:r>
        <w:rPr>
          <w:spacing w:val="-5"/>
        </w:rPr>
        <w:t> </w:t>
      </w:r>
      <w:r>
        <w:rPr/>
        <w:t>foram</w:t>
      </w:r>
      <w:r>
        <w:rPr>
          <w:spacing w:val="-6"/>
        </w:rPr>
        <w:t> </w:t>
      </w:r>
      <w:r>
        <w:rPr/>
        <w:t>capturados</w:t>
      </w:r>
      <w:r>
        <w:rPr>
          <w:spacing w:val="-3"/>
        </w:rPr>
        <w:t> </w:t>
      </w:r>
      <w:r>
        <w:rPr/>
        <w:t>no</w:t>
      </w:r>
      <w:r>
        <w:rPr>
          <w:spacing w:val="-3"/>
        </w:rPr>
        <w:t> </w:t>
      </w:r>
      <w:r>
        <w:rPr/>
        <w:t>processo</w:t>
      </w:r>
      <w:r>
        <w:rPr>
          <w:spacing w:val="-6"/>
        </w:rPr>
        <w:t> </w:t>
      </w:r>
      <w:r>
        <w:rPr/>
        <w:t>de</w:t>
      </w:r>
      <w:r>
        <w:rPr>
          <w:spacing w:val="-5"/>
        </w:rPr>
        <w:t> </w:t>
      </w:r>
      <w:r>
        <w:rPr/>
        <w:t>reconhecimento</w:t>
      </w:r>
      <w:r>
        <w:rPr>
          <w:spacing w:val="-5"/>
        </w:rPr>
        <w:t> </w:t>
      </w:r>
      <w:r>
        <w:rPr/>
        <w:t>dos</w:t>
      </w:r>
      <w:r>
        <w:rPr>
          <w:spacing w:val="-5"/>
        </w:rPr>
        <w:t> </w:t>
      </w:r>
      <w:r>
        <w:rPr/>
        <w:t>Ativos</w:t>
      </w:r>
      <w:r>
        <w:rPr>
          <w:spacing w:val="-4"/>
        </w:rPr>
        <w:t> </w:t>
      </w:r>
      <w:r>
        <w:rPr/>
        <w:t>e</w:t>
      </w:r>
      <w:r>
        <w:rPr>
          <w:spacing w:val="-5"/>
        </w:rPr>
        <w:t> </w:t>
      </w:r>
      <w:r>
        <w:rPr/>
        <w:t>Passivos</w:t>
      </w:r>
      <w:r>
        <w:rPr>
          <w:spacing w:val="-3"/>
        </w:rPr>
        <w:t> </w:t>
      </w:r>
      <w:r>
        <w:rPr/>
        <w:t>Financeiros Setoriais.</w:t>
      </w:r>
    </w:p>
    <w:p>
      <w:pPr>
        <w:pStyle w:val="BodyText"/>
        <w:spacing w:before="2"/>
      </w:pPr>
    </w:p>
    <w:p>
      <w:pPr>
        <w:pStyle w:val="BodyText"/>
        <w:spacing w:line="242" w:lineRule="auto"/>
        <w:ind w:left="192" w:right="614"/>
        <w:jc w:val="both"/>
      </w:pPr>
      <w:r>
        <w:rPr/>
        <w:t>Em</w:t>
      </w:r>
      <w:r>
        <w:rPr>
          <w:spacing w:val="-19"/>
        </w:rPr>
        <w:t> </w:t>
      </w:r>
      <w:r>
        <w:rPr/>
        <w:t>27</w:t>
      </w:r>
      <w:r>
        <w:rPr>
          <w:spacing w:val="-18"/>
        </w:rPr>
        <w:t> </w:t>
      </w:r>
      <w:r>
        <w:rPr/>
        <w:t>maio</w:t>
      </w:r>
      <w:r>
        <w:rPr>
          <w:spacing w:val="-18"/>
        </w:rPr>
        <w:t> </w:t>
      </w:r>
      <w:r>
        <w:rPr/>
        <w:t>de</w:t>
      </w:r>
      <w:r>
        <w:rPr>
          <w:spacing w:val="-19"/>
        </w:rPr>
        <w:t> </w:t>
      </w:r>
      <w:r>
        <w:rPr/>
        <w:t>2019,</w:t>
      </w:r>
      <w:r>
        <w:rPr>
          <w:spacing w:val="-18"/>
        </w:rPr>
        <w:t> </w:t>
      </w:r>
      <w:r>
        <w:rPr/>
        <w:t>a</w:t>
      </w:r>
      <w:r>
        <w:rPr>
          <w:spacing w:val="-17"/>
        </w:rPr>
        <w:t> </w:t>
      </w:r>
      <w:r>
        <w:rPr/>
        <w:t>CEB</w:t>
      </w:r>
      <w:r>
        <w:rPr>
          <w:spacing w:val="-16"/>
        </w:rPr>
        <w:t> </w:t>
      </w:r>
      <w:r>
        <w:rPr/>
        <w:t>DIS</w:t>
      </w:r>
      <w:r>
        <w:rPr>
          <w:spacing w:val="-17"/>
        </w:rPr>
        <w:t> </w:t>
      </w:r>
      <w:r>
        <w:rPr/>
        <w:t>efetivou</w:t>
      </w:r>
      <w:r>
        <w:rPr>
          <w:spacing w:val="-17"/>
        </w:rPr>
        <w:t> </w:t>
      </w:r>
      <w:r>
        <w:rPr/>
        <w:t>a</w:t>
      </w:r>
      <w:r>
        <w:rPr>
          <w:spacing w:val="-18"/>
        </w:rPr>
        <w:t> </w:t>
      </w:r>
      <w:r>
        <w:rPr/>
        <w:t>conexão</w:t>
      </w:r>
      <w:r>
        <w:rPr>
          <w:spacing w:val="-18"/>
        </w:rPr>
        <w:t> </w:t>
      </w:r>
      <w:r>
        <w:rPr/>
        <w:t>do</w:t>
      </w:r>
      <w:r>
        <w:rPr>
          <w:spacing w:val="-14"/>
        </w:rPr>
        <w:t> </w:t>
      </w:r>
      <w:r>
        <w:rPr/>
        <w:t>ponto</w:t>
      </w:r>
      <w:r>
        <w:rPr>
          <w:spacing w:val="-18"/>
        </w:rPr>
        <w:t> </w:t>
      </w:r>
      <w:r>
        <w:rPr/>
        <w:t>junto</w:t>
      </w:r>
      <w:r>
        <w:rPr>
          <w:spacing w:val="-19"/>
        </w:rPr>
        <w:t> </w:t>
      </w:r>
      <w:r>
        <w:rPr/>
        <w:t>à</w:t>
      </w:r>
      <w:r>
        <w:rPr>
          <w:spacing w:val="-16"/>
        </w:rPr>
        <w:t> </w:t>
      </w:r>
      <w:r>
        <w:rPr/>
        <w:t>Subestação</w:t>
      </w:r>
      <w:r>
        <w:rPr>
          <w:spacing w:val="-18"/>
        </w:rPr>
        <w:t> </w:t>
      </w:r>
      <w:r>
        <w:rPr/>
        <w:t>de</w:t>
      </w:r>
      <w:r>
        <w:rPr>
          <w:spacing w:val="-18"/>
        </w:rPr>
        <w:t> </w:t>
      </w:r>
      <w:r>
        <w:rPr/>
        <w:t>Brasília</w:t>
      </w:r>
      <w:r>
        <w:rPr>
          <w:spacing w:val="-17"/>
        </w:rPr>
        <w:t> </w:t>
      </w:r>
      <w:r>
        <w:rPr/>
        <w:t>Leste,</w:t>
      </w:r>
      <w:r>
        <w:rPr>
          <w:spacing w:val="-17"/>
        </w:rPr>
        <w:t> </w:t>
      </w:r>
      <w:r>
        <w:rPr/>
        <w:t>possibilitando</w:t>
      </w:r>
      <w:r>
        <w:rPr>
          <w:spacing w:val="-18"/>
        </w:rPr>
        <w:t> </w:t>
      </w:r>
      <w:r>
        <w:rPr/>
        <w:t>a efetiva</w:t>
      </w:r>
      <w:r>
        <w:rPr>
          <w:spacing w:val="-12"/>
        </w:rPr>
        <w:t> </w:t>
      </w:r>
      <w:r>
        <w:rPr/>
        <w:t>utilização</w:t>
      </w:r>
      <w:r>
        <w:rPr>
          <w:spacing w:val="-11"/>
        </w:rPr>
        <w:t> </w:t>
      </w:r>
      <w:r>
        <w:rPr/>
        <w:t>do</w:t>
      </w:r>
      <w:r>
        <w:rPr>
          <w:spacing w:val="-12"/>
        </w:rPr>
        <w:t> </w:t>
      </w:r>
      <w:r>
        <w:rPr/>
        <w:t>ativo</w:t>
      </w:r>
      <w:r>
        <w:rPr>
          <w:spacing w:val="-11"/>
        </w:rPr>
        <w:t> </w:t>
      </w:r>
      <w:r>
        <w:rPr/>
        <w:t>por</w:t>
      </w:r>
      <w:r>
        <w:rPr>
          <w:spacing w:val="-13"/>
        </w:rPr>
        <w:t> </w:t>
      </w:r>
      <w:r>
        <w:rPr/>
        <w:t>parte</w:t>
      </w:r>
      <w:r>
        <w:rPr>
          <w:spacing w:val="-11"/>
        </w:rPr>
        <w:t> </w:t>
      </w:r>
      <w:r>
        <w:rPr/>
        <w:t>do</w:t>
      </w:r>
      <w:r>
        <w:rPr>
          <w:spacing w:val="-11"/>
        </w:rPr>
        <w:t> </w:t>
      </w:r>
      <w:r>
        <w:rPr/>
        <w:t>consumidor.</w:t>
      </w:r>
      <w:r>
        <w:rPr>
          <w:spacing w:val="-10"/>
        </w:rPr>
        <w:t> </w:t>
      </w:r>
      <w:r>
        <w:rPr/>
        <w:t>A</w:t>
      </w:r>
      <w:r>
        <w:rPr>
          <w:spacing w:val="-9"/>
        </w:rPr>
        <w:t> </w:t>
      </w:r>
      <w:r>
        <w:rPr/>
        <w:t>partir</w:t>
      </w:r>
      <w:r>
        <w:rPr>
          <w:spacing w:val="-12"/>
        </w:rPr>
        <w:t> </w:t>
      </w:r>
      <w:r>
        <w:rPr/>
        <w:t>dessa</w:t>
      </w:r>
      <w:r>
        <w:rPr>
          <w:spacing w:val="-11"/>
        </w:rPr>
        <w:t> </w:t>
      </w:r>
      <w:r>
        <w:rPr/>
        <w:t>data,</w:t>
      </w:r>
      <w:r>
        <w:rPr>
          <w:spacing w:val="-11"/>
        </w:rPr>
        <w:t> </w:t>
      </w:r>
      <w:r>
        <w:rPr/>
        <w:t>a</w:t>
      </w:r>
      <w:r>
        <w:rPr>
          <w:spacing w:val="-11"/>
        </w:rPr>
        <w:t> </w:t>
      </w:r>
      <w:r>
        <w:rPr/>
        <w:t>empresa</w:t>
      </w:r>
      <w:r>
        <w:rPr>
          <w:spacing w:val="-11"/>
        </w:rPr>
        <w:t> </w:t>
      </w:r>
      <w:r>
        <w:rPr/>
        <w:t>passou</w:t>
      </w:r>
      <w:r>
        <w:rPr>
          <w:spacing w:val="-11"/>
        </w:rPr>
        <w:t> </w:t>
      </w:r>
      <w:r>
        <w:rPr/>
        <w:t>a</w:t>
      </w:r>
      <w:r>
        <w:rPr>
          <w:spacing w:val="-11"/>
        </w:rPr>
        <w:t> </w:t>
      </w:r>
      <w:r>
        <w:rPr/>
        <w:t>reconhecer</w:t>
      </w:r>
      <w:r>
        <w:rPr>
          <w:spacing w:val="-11"/>
        </w:rPr>
        <w:t> </w:t>
      </w:r>
      <w:r>
        <w:rPr/>
        <w:t>o</w:t>
      </w:r>
      <w:r>
        <w:rPr>
          <w:spacing w:val="-11"/>
        </w:rPr>
        <w:t> </w:t>
      </w:r>
      <w:r>
        <w:rPr/>
        <w:t>Ativo Financeiro Setorial decorrente da despesa do EUST, o qual foi reconhecido pela ANEEL no RTA 2019,</w:t>
      </w:r>
      <w:r>
        <w:rPr>
          <w:spacing w:val="-42"/>
        </w:rPr>
        <w:t> </w:t>
      </w:r>
      <w:r>
        <w:rPr/>
        <w:t>conforme preconiza</w:t>
      </w:r>
      <w:r>
        <w:rPr>
          <w:spacing w:val="-25"/>
        </w:rPr>
        <w:t> </w:t>
      </w:r>
      <w:r>
        <w:rPr/>
        <w:t>o</w:t>
      </w:r>
      <w:r>
        <w:rPr>
          <w:spacing w:val="-24"/>
        </w:rPr>
        <w:t> </w:t>
      </w:r>
      <w:r>
        <w:rPr/>
        <w:t>PRORET,</w:t>
      </w:r>
      <w:r>
        <w:rPr>
          <w:spacing w:val="-24"/>
        </w:rPr>
        <w:t> </w:t>
      </w:r>
      <w:r>
        <w:rPr/>
        <w:t>porém</w:t>
      </w:r>
      <w:r>
        <w:rPr>
          <w:spacing w:val="-24"/>
        </w:rPr>
        <w:t> </w:t>
      </w:r>
      <w:r>
        <w:rPr/>
        <w:t>sem</w:t>
      </w:r>
      <w:r>
        <w:rPr>
          <w:spacing w:val="-26"/>
        </w:rPr>
        <w:t> </w:t>
      </w:r>
      <w:r>
        <w:rPr/>
        <w:t>o</w:t>
      </w:r>
      <w:r>
        <w:rPr>
          <w:spacing w:val="-24"/>
        </w:rPr>
        <w:t> </w:t>
      </w:r>
      <w:r>
        <w:rPr/>
        <w:t>reconhecimento</w:t>
      </w:r>
      <w:r>
        <w:rPr>
          <w:spacing w:val="-25"/>
        </w:rPr>
        <w:t> </w:t>
      </w:r>
      <w:r>
        <w:rPr/>
        <w:t>do</w:t>
      </w:r>
      <w:r>
        <w:rPr>
          <w:spacing w:val="-24"/>
        </w:rPr>
        <w:t> </w:t>
      </w:r>
      <w:r>
        <w:rPr/>
        <w:t>custo</w:t>
      </w:r>
      <w:r>
        <w:rPr>
          <w:spacing w:val="-26"/>
        </w:rPr>
        <w:t> </w:t>
      </w:r>
      <w:r>
        <w:rPr/>
        <w:t>de</w:t>
      </w:r>
      <w:r>
        <w:rPr>
          <w:spacing w:val="-25"/>
        </w:rPr>
        <w:t> </w:t>
      </w:r>
      <w:r>
        <w:rPr/>
        <w:t>janeiro</w:t>
      </w:r>
      <w:r>
        <w:rPr>
          <w:spacing w:val="-24"/>
        </w:rPr>
        <w:t> </w:t>
      </w:r>
      <w:r>
        <w:rPr/>
        <w:t>a</w:t>
      </w:r>
      <w:r>
        <w:rPr>
          <w:spacing w:val="-25"/>
        </w:rPr>
        <w:t> </w:t>
      </w:r>
      <w:r>
        <w:rPr/>
        <w:t>abril</w:t>
      </w:r>
      <w:r>
        <w:rPr>
          <w:spacing w:val="-24"/>
        </w:rPr>
        <w:t> </w:t>
      </w:r>
      <w:r>
        <w:rPr/>
        <w:t>de</w:t>
      </w:r>
      <w:r>
        <w:rPr>
          <w:spacing w:val="-27"/>
        </w:rPr>
        <w:t> </w:t>
      </w:r>
      <w:r>
        <w:rPr/>
        <w:t>2019,</w:t>
      </w:r>
      <w:r>
        <w:rPr>
          <w:spacing w:val="-25"/>
        </w:rPr>
        <w:t> </w:t>
      </w:r>
      <w:r>
        <w:rPr/>
        <w:t>restando</w:t>
      </w:r>
      <w:r>
        <w:rPr>
          <w:spacing w:val="-24"/>
        </w:rPr>
        <w:t> </w:t>
      </w:r>
      <w:r>
        <w:rPr/>
        <w:t>perda</w:t>
      </w:r>
      <w:r>
        <w:rPr>
          <w:spacing w:val="-23"/>
        </w:rPr>
        <w:t> </w:t>
      </w:r>
      <w:r>
        <w:rPr/>
        <w:t>residual</w:t>
      </w:r>
      <w:r>
        <w:rPr>
          <w:spacing w:val="-24"/>
        </w:rPr>
        <w:t> </w:t>
      </w:r>
      <w:r>
        <w:rPr/>
        <w:t>de R$</w:t>
      </w:r>
      <w:r>
        <w:rPr>
          <w:spacing w:val="-26"/>
        </w:rPr>
        <w:t> </w:t>
      </w:r>
      <w:r>
        <w:rPr/>
        <w:t>14,3</w:t>
      </w:r>
      <w:r>
        <w:rPr>
          <w:spacing w:val="-26"/>
        </w:rPr>
        <w:t> </w:t>
      </w:r>
      <w:r>
        <w:rPr/>
        <w:t>milhões,</w:t>
      </w:r>
      <w:r>
        <w:rPr>
          <w:spacing w:val="-26"/>
        </w:rPr>
        <w:t> </w:t>
      </w:r>
      <w:r>
        <w:rPr/>
        <w:t>sem</w:t>
      </w:r>
      <w:r>
        <w:rPr>
          <w:spacing w:val="-25"/>
        </w:rPr>
        <w:t> </w:t>
      </w:r>
      <w:r>
        <w:rPr/>
        <w:t>a</w:t>
      </w:r>
      <w:r>
        <w:rPr>
          <w:spacing w:val="-26"/>
        </w:rPr>
        <w:t> </w:t>
      </w:r>
      <w:r>
        <w:rPr/>
        <w:t>cobertura</w:t>
      </w:r>
      <w:r>
        <w:rPr>
          <w:spacing w:val="-25"/>
        </w:rPr>
        <w:t> </w:t>
      </w:r>
      <w:r>
        <w:rPr/>
        <w:t>tarifária</w:t>
      </w:r>
      <w:r>
        <w:rPr>
          <w:spacing w:val="-26"/>
        </w:rPr>
        <w:t> </w:t>
      </w:r>
      <w:r>
        <w:rPr/>
        <w:t>correspondente,</w:t>
      </w:r>
      <w:r>
        <w:rPr>
          <w:spacing w:val="-26"/>
        </w:rPr>
        <w:t> </w:t>
      </w:r>
      <w:r>
        <w:rPr/>
        <w:t>afetando</w:t>
      </w:r>
      <w:r>
        <w:rPr>
          <w:spacing w:val="-27"/>
        </w:rPr>
        <w:t> </w:t>
      </w:r>
      <w:r>
        <w:rPr/>
        <w:t>o</w:t>
      </w:r>
      <w:r>
        <w:rPr>
          <w:spacing w:val="-24"/>
        </w:rPr>
        <w:t> </w:t>
      </w:r>
      <w:r>
        <w:rPr/>
        <w:t>Resultado</w:t>
      </w:r>
      <w:r>
        <w:rPr>
          <w:spacing w:val="-26"/>
        </w:rPr>
        <w:t> </w:t>
      </w:r>
      <w:r>
        <w:rPr/>
        <w:t>antes</w:t>
      </w:r>
      <w:r>
        <w:rPr>
          <w:spacing w:val="-26"/>
        </w:rPr>
        <w:t> </w:t>
      </w:r>
      <w:r>
        <w:rPr/>
        <w:t>de</w:t>
      </w:r>
      <w:r>
        <w:rPr>
          <w:spacing w:val="-27"/>
        </w:rPr>
        <w:t> </w:t>
      </w:r>
      <w:r>
        <w:rPr/>
        <w:t>Parcela</w:t>
      </w:r>
      <w:r>
        <w:rPr>
          <w:spacing w:val="-26"/>
        </w:rPr>
        <w:t> </w:t>
      </w:r>
      <w:r>
        <w:rPr/>
        <w:t>B.</w:t>
      </w:r>
    </w:p>
    <w:p>
      <w:pPr>
        <w:pStyle w:val="BodyText"/>
        <w:spacing w:before="11"/>
        <w:rPr>
          <w:sz w:val="19"/>
        </w:rPr>
      </w:pPr>
    </w:p>
    <w:p>
      <w:pPr>
        <w:spacing w:before="0"/>
        <w:ind w:left="192" w:right="0" w:firstLine="0"/>
        <w:jc w:val="both"/>
        <w:rPr>
          <w:rFonts w:ascii="Caladea" w:hAnsi="Caladea"/>
          <w:b/>
          <w:sz w:val="20"/>
        </w:rPr>
      </w:pPr>
      <w:r>
        <w:rPr>
          <w:rFonts w:ascii="Caladea" w:hAnsi="Caladea"/>
          <w:b/>
          <w:sz w:val="20"/>
        </w:rPr>
        <w:t>Perdas de energia elétrica</w:t>
      </w:r>
    </w:p>
    <w:p>
      <w:pPr>
        <w:pStyle w:val="BodyText"/>
        <w:spacing w:before="4"/>
        <w:rPr>
          <w:rFonts w:ascii="Caladea"/>
          <w:b/>
        </w:rPr>
      </w:pPr>
    </w:p>
    <w:p>
      <w:pPr>
        <w:pStyle w:val="BodyText"/>
        <w:spacing w:line="242" w:lineRule="auto"/>
        <w:ind w:left="192" w:right="608"/>
        <w:jc w:val="both"/>
      </w:pPr>
      <w:r>
        <w:rPr/>
        <w:t>Na</w:t>
      </w:r>
      <w:r>
        <w:rPr>
          <w:spacing w:val="-20"/>
        </w:rPr>
        <w:t> </w:t>
      </w:r>
      <w:r>
        <w:rPr/>
        <w:t>Revisão</w:t>
      </w:r>
      <w:r>
        <w:rPr>
          <w:spacing w:val="-20"/>
        </w:rPr>
        <w:t> </w:t>
      </w:r>
      <w:r>
        <w:rPr/>
        <w:t>Tarifária</w:t>
      </w:r>
      <w:r>
        <w:rPr>
          <w:spacing w:val="-19"/>
        </w:rPr>
        <w:t> </w:t>
      </w:r>
      <w:r>
        <w:rPr/>
        <w:t>Periódica</w:t>
      </w:r>
      <w:r>
        <w:rPr>
          <w:spacing w:val="-19"/>
        </w:rPr>
        <w:t> </w:t>
      </w:r>
      <w:r>
        <w:rPr/>
        <w:t>(RTP)</w:t>
      </w:r>
      <w:r>
        <w:rPr>
          <w:spacing w:val="-19"/>
        </w:rPr>
        <w:t> </w:t>
      </w:r>
      <w:r>
        <w:rPr/>
        <w:t>ocorrida</w:t>
      </w:r>
      <w:r>
        <w:rPr>
          <w:spacing w:val="-20"/>
        </w:rPr>
        <w:t> </w:t>
      </w:r>
      <w:r>
        <w:rPr/>
        <w:t>em</w:t>
      </w:r>
      <w:r>
        <w:rPr>
          <w:spacing w:val="-19"/>
        </w:rPr>
        <w:t> </w:t>
      </w:r>
      <w:r>
        <w:rPr/>
        <w:t>outubro</w:t>
      </w:r>
      <w:r>
        <w:rPr>
          <w:spacing w:val="-20"/>
        </w:rPr>
        <w:t> </w:t>
      </w:r>
      <w:r>
        <w:rPr/>
        <w:t>de</w:t>
      </w:r>
      <w:r>
        <w:rPr>
          <w:spacing w:val="-21"/>
        </w:rPr>
        <w:t> </w:t>
      </w:r>
      <w:r>
        <w:rPr/>
        <w:t>2016,</w:t>
      </w:r>
      <w:r>
        <w:rPr>
          <w:spacing w:val="-19"/>
        </w:rPr>
        <w:t> </w:t>
      </w:r>
      <w:r>
        <w:rPr/>
        <w:t>a</w:t>
      </w:r>
      <w:r>
        <w:rPr>
          <w:spacing w:val="-20"/>
        </w:rPr>
        <w:t> </w:t>
      </w:r>
      <w:r>
        <w:rPr/>
        <w:t>ANEEL</w:t>
      </w:r>
      <w:r>
        <w:rPr>
          <w:spacing w:val="-19"/>
        </w:rPr>
        <w:t> </w:t>
      </w:r>
      <w:r>
        <w:rPr/>
        <w:t>estabeleceu</w:t>
      </w:r>
      <w:r>
        <w:rPr>
          <w:spacing w:val="-19"/>
        </w:rPr>
        <w:t> </w:t>
      </w:r>
      <w:r>
        <w:rPr/>
        <w:t>os</w:t>
      </w:r>
      <w:r>
        <w:rPr>
          <w:spacing w:val="-19"/>
        </w:rPr>
        <w:t> </w:t>
      </w:r>
      <w:r>
        <w:rPr/>
        <w:t>percentuais</w:t>
      </w:r>
      <w:r>
        <w:rPr>
          <w:spacing w:val="-19"/>
        </w:rPr>
        <w:t> </w:t>
      </w:r>
      <w:r>
        <w:rPr/>
        <w:t>de</w:t>
      </w:r>
      <w:r>
        <w:rPr>
          <w:spacing w:val="-21"/>
        </w:rPr>
        <w:t> </w:t>
      </w:r>
      <w:r>
        <w:rPr/>
        <w:t>Perdas Técnicas</w:t>
      </w:r>
      <w:r>
        <w:rPr>
          <w:spacing w:val="-9"/>
        </w:rPr>
        <w:t> </w:t>
      </w:r>
      <w:r>
        <w:rPr/>
        <w:t>na</w:t>
      </w:r>
      <w:r>
        <w:rPr>
          <w:spacing w:val="-8"/>
        </w:rPr>
        <w:t> </w:t>
      </w:r>
      <w:r>
        <w:rPr/>
        <w:t>Distribuição</w:t>
      </w:r>
      <w:r>
        <w:rPr>
          <w:spacing w:val="-9"/>
        </w:rPr>
        <w:t> </w:t>
      </w:r>
      <w:r>
        <w:rPr/>
        <w:t>de</w:t>
      </w:r>
      <w:r>
        <w:rPr>
          <w:spacing w:val="-8"/>
        </w:rPr>
        <w:t> </w:t>
      </w:r>
      <w:r>
        <w:rPr/>
        <w:t>7,46%</w:t>
      </w:r>
      <w:r>
        <w:rPr>
          <w:spacing w:val="-10"/>
        </w:rPr>
        <w:t> </w:t>
      </w:r>
      <w:r>
        <w:rPr/>
        <w:t>sobre</w:t>
      </w:r>
      <w:r>
        <w:rPr>
          <w:spacing w:val="-10"/>
        </w:rPr>
        <w:t> </w:t>
      </w:r>
      <w:r>
        <w:rPr/>
        <w:t>a</w:t>
      </w:r>
      <w:r>
        <w:rPr>
          <w:spacing w:val="-9"/>
        </w:rPr>
        <w:t> </w:t>
      </w:r>
      <w:r>
        <w:rPr/>
        <w:t>Energia</w:t>
      </w:r>
      <w:r>
        <w:rPr>
          <w:spacing w:val="-9"/>
        </w:rPr>
        <w:t> </w:t>
      </w:r>
      <w:r>
        <w:rPr/>
        <w:t>Injetada</w:t>
      </w:r>
      <w:r>
        <w:rPr>
          <w:spacing w:val="-9"/>
        </w:rPr>
        <w:t> </w:t>
      </w:r>
      <w:r>
        <w:rPr/>
        <w:t>e</w:t>
      </w:r>
      <w:r>
        <w:rPr>
          <w:spacing w:val="-10"/>
        </w:rPr>
        <w:t> </w:t>
      </w:r>
      <w:r>
        <w:rPr/>
        <w:t>de</w:t>
      </w:r>
      <w:r>
        <w:rPr>
          <w:spacing w:val="-12"/>
        </w:rPr>
        <w:t> </w:t>
      </w:r>
      <w:r>
        <w:rPr/>
        <w:t>7,05%</w:t>
      </w:r>
      <w:r>
        <w:rPr>
          <w:spacing w:val="-8"/>
        </w:rPr>
        <w:t> </w:t>
      </w:r>
      <w:r>
        <w:rPr/>
        <w:t>para</w:t>
      </w:r>
      <w:r>
        <w:rPr>
          <w:spacing w:val="-8"/>
        </w:rPr>
        <w:t> </w:t>
      </w:r>
      <w:r>
        <w:rPr/>
        <w:t>Perdas</w:t>
      </w:r>
      <w:r>
        <w:rPr>
          <w:spacing w:val="-8"/>
        </w:rPr>
        <w:t> </w:t>
      </w:r>
      <w:r>
        <w:rPr/>
        <w:t>Não</w:t>
      </w:r>
      <w:r>
        <w:rPr>
          <w:spacing w:val="-11"/>
        </w:rPr>
        <w:t> </w:t>
      </w:r>
      <w:r>
        <w:rPr/>
        <w:t>Técnicas</w:t>
      </w:r>
      <w:r>
        <w:rPr>
          <w:spacing w:val="-10"/>
        </w:rPr>
        <w:t> </w:t>
      </w:r>
      <w:r>
        <w:rPr/>
        <w:t>na</w:t>
      </w:r>
      <w:r>
        <w:rPr>
          <w:spacing w:val="-8"/>
        </w:rPr>
        <w:t> </w:t>
      </w:r>
      <w:r>
        <w:rPr/>
        <w:t>Distribuição sobre</w:t>
      </w:r>
      <w:r>
        <w:rPr>
          <w:spacing w:val="-23"/>
        </w:rPr>
        <w:t> </w:t>
      </w:r>
      <w:r>
        <w:rPr/>
        <w:t>o</w:t>
      </w:r>
      <w:r>
        <w:rPr>
          <w:spacing w:val="-18"/>
        </w:rPr>
        <w:t> </w:t>
      </w:r>
      <w:r>
        <w:rPr/>
        <w:t>Mercado</w:t>
      </w:r>
      <w:r>
        <w:rPr>
          <w:spacing w:val="-21"/>
        </w:rPr>
        <w:t> </w:t>
      </w:r>
      <w:r>
        <w:rPr/>
        <w:t>de</w:t>
      </w:r>
      <w:r>
        <w:rPr>
          <w:spacing w:val="-22"/>
        </w:rPr>
        <w:t> </w:t>
      </w:r>
      <w:r>
        <w:rPr/>
        <w:t>Baixa</w:t>
      </w:r>
      <w:r>
        <w:rPr>
          <w:spacing w:val="-19"/>
        </w:rPr>
        <w:t> </w:t>
      </w:r>
      <w:r>
        <w:rPr/>
        <w:t>Tensão</w:t>
      </w:r>
      <w:r>
        <w:rPr>
          <w:spacing w:val="-17"/>
        </w:rPr>
        <w:t> </w:t>
      </w:r>
      <w:r>
        <w:rPr>
          <w:w w:val="105"/>
        </w:rPr>
        <w:t>–</w:t>
      </w:r>
      <w:r>
        <w:rPr>
          <w:spacing w:val="-22"/>
          <w:w w:val="105"/>
        </w:rPr>
        <w:t> </w:t>
      </w:r>
      <w:r>
        <w:rPr/>
        <w:t>BT,</w:t>
      </w:r>
      <w:r>
        <w:rPr>
          <w:spacing w:val="-20"/>
        </w:rPr>
        <w:t> </w:t>
      </w:r>
      <w:r>
        <w:rPr/>
        <w:t>equivalente</w:t>
      </w:r>
      <w:r>
        <w:rPr>
          <w:spacing w:val="-20"/>
        </w:rPr>
        <w:t> </w:t>
      </w:r>
      <w:r>
        <w:rPr/>
        <w:t>à</w:t>
      </w:r>
      <w:r>
        <w:rPr>
          <w:spacing w:val="-20"/>
        </w:rPr>
        <w:t> </w:t>
      </w:r>
      <w:r>
        <w:rPr/>
        <w:t>3,84%</w:t>
      </w:r>
      <w:r>
        <w:rPr>
          <w:spacing w:val="-20"/>
        </w:rPr>
        <w:t> </w:t>
      </w:r>
      <w:r>
        <w:rPr/>
        <w:t>da</w:t>
      </w:r>
      <w:r>
        <w:rPr>
          <w:spacing w:val="-21"/>
        </w:rPr>
        <w:t> </w:t>
      </w:r>
      <w:r>
        <w:rPr/>
        <w:t>Energia</w:t>
      </w:r>
      <w:r>
        <w:rPr>
          <w:spacing w:val="-20"/>
        </w:rPr>
        <w:t> </w:t>
      </w:r>
      <w:r>
        <w:rPr/>
        <w:t>Injetada</w:t>
      </w:r>
      <w:r>
        <w:rPr>
          <w:spacing w:val="-20"/>
        </w:rPr>
        <w:t> </w:t>
      </w:r>
      <w:r>
        <w:rPr/>
        <w:t>à</w:t>
      </w:r>
      <w:r>
        <w:rPr>
          <w:spacing w:val="-17"/>
        </w:rPr>
        <w:t> </w:t>
      </w:r>
      <w:r>
        <w:rPr/>
        <w:t>época.</w:t>
      </w:r>
    </w:p>
    <w:p>
      <w:pPr>
        <w:pStyle w:val="BodyText"/>
        <w:spacing w:before="3"/>
      </w:pPr>
    </w:p>
    <w:p>
      <w:pPr>
        <w:pStyle w:val="BodyText"/>
        <w:ind w:left="192" w:right="622"/>
        <w:jc w:val="both"/>
      </w:pPr>
      <w:r>
        <w:rPr/>
        <w:t>Esses</w:t>
      </w:r>
      <w:r>
        <w:rPr>
          <w:spacing w:val="-29"/>
        </w:rPr>
        <w:t> </w:t>
      </w:r>
      <w:r>
        <w:rPr/>
        <w:t>são</w:t>
      </w:r>
      <w:r>
        <w:rPr>
          <w:spacing w:val="-29"/>
        </w:rPr>
        <w:t> </w:t>
      </w:r>
      <w:r>
        <w:rPr/>
        <w:t>os</w:t>
      </w:r>
      <w:r>
        <w:rPr>
          <w:spacing w:val="-26"/>
        </w:rPr>
        <w:t> </w:t>
      </w:r>
      <w:r>
        <w:rPr/>
        <w:t>percentuais</w:t>
      </w:r>
      <w:r>
        <w:rPr>
          <w:spacing w:val="-27"/>
        </w:rPr>
        <w:t> </w:t>
      </w:r>
      <w:r>
        <w:rPr/>
        <w:t>considerados</w:t>
      </w:r>
      <w:r>
        <w:rPr>
          <w:spacing w:val="-25"/>
        </w:rPr>
        <w:t> </w:t>
      </w:r>
      <w:r>
        <w:rPr/>
        <w:t>e</w:t>
      </w:r>
      <w:r>
        <w:rPr>
          <w:spacing w:val="-28"/>
        </w:rPr>
        <w:t> </w:t>
      </w:r>
      <w:r>
        <w:rPr/>
        <w:t>reconhecidos</w:t>
      </w:r>
      <w:r>
        <w:rPr>
          <w:spacing w:val="-26"/>
        </w:rPr>
        <w:t> </w:t>
      </w:r>
      <w:r>
        <w:rPr/>
        <w:t>pela</w:t>
      </w:r>
      <w:r>
        <w:rPr>
          <w:spacing w:val="-28"/>
        </w:rPr>
        <w:t> </w:t>
      </w:r>
      <w:r>
        <w:rPr/>
        <w:t>ANEEL</w:t>
      </w:r>
      <w:r>
        <w:rPr>
          <w:spacing w:val="-28"/>
        </w:rPr>
        <w:t> </w:t>
      </w:r>
      <w:r>
        <w:rPr/>
        <w:t>para</w:t>
      </w:r>
      <w:r>
        <w:rPr>
          <w:spacing w:val="-28"/>
        </w:rPr>
        <w:t> </w:t>
      </w:r>
      <w:r>
        <w:rPr/>
        <w:t>a</w:t>
      </w:r>
      <w:r>
        <w:rPr>
          <w:spacing w:val="-28"/>
        </w:rPr>
        <w:t> </w:t>
      </w:r>
      <w:r>
        <w:rPr/>
        <w:t>aquisição</w:t>
      </w:r>
      <w:r>
        <w:rPr>
          <w:spacing w:val="-28"/>
        </w:rPr>
        <w:t> </w:t>
      </w:r>
      <w:r>
        <w:rPr/>
        <w:t>de</w:t>
      </w:r>
      <w:r>
        <w:rPr>
          <w:spacing w:val="-28"/>
        </w:rPr>
        <w:t> </w:t>
      </w:r>
      <w:r>
        <w:rPr/>
        <w:t>energia</w:t>
      </w:r>
      <w:r>
        <w:rPr>
          <w:spacing w:val="-27"/>
        </w:rPr>
        <w:t> </w:t>
      </w:r>
      <w:r>
        <w:rPr/>
        <w:t>e</w:t>
      </w:r>
      <w:r>
        <w:rPr>
          <w:spacing w:val="-27"/>
        </w:rPr>
        <w:t> </w:t>
      </w:r>
      <w:r>
        <w:rPr/>
        <w:t>repasse</w:t>
      </w:r>
      <w:r>
        <w:rPr>
          <w:spacing w:val="-28"/>
        </w:rPr>
        <w:t> </w:t>
      </w:r>
      <w:r>
        <w:rPr/>
        <w:t>do</w:t>
      </w:r>
      <w:r>
        <w:rPr>
          <w:spacing w:val="-27"/>
        </w:rPr>
        <w:t> </w:t>
      </w:r>
      <w:r>
        <w:rPr/>
        <w:t>custo</w:t>
      </w:r>
      <w:r>
        <w:rPr>
          <w:spacing w:val="-27"/>
        </w:rPr>
        <w:t> </w:t>
      </w:r>
      <w:r>
        <w:rPr/>
        <w:t>ao consumidor</w:t>
      </w:r>
      <w:r>
        <w:rPr>
          <w:spacing w:val="-20"/>
        </w:rPr>
        <w:t> </w:t>
      </w:r>
      <w:r>
        <w:rPr/>
        <w:t>nos</w:t>
      </w:r>
      <w:r>
        <w:rPr>
          <w:spacing w:val="-20"/>
        </w:rPr>
        <w:t> </w:t>
      </w:r>
      <w:r>
        <w:rPr/>
        <w:t>processos</w:t>
      </w:r>
      <w:r>
        <w:rPr>
          <w:spacing w:val="-19"/>
        </w:rPr>
        <w:t> </w:t>
      </w:r>
      <w:r>
        <w:rPr/>
        <w:t>tarifários</w:t>
      </w:r>
      <w:r>
        <w:rPr>
          <w:spacing w:val="-21"/>
        </w:rPr>
        <w:t> </w:t>
      </w:r>
      <w:r>
        <w:rPr/>
        <w:t>até</w:t>
      </w:r>
      <w:r>
        <w:rPr>
          <w:spacing w:val="-22"/>
        </w:rPr>
        <w:t> </w:t>
      </w:r>
      <w:r>
        <w:rPr/>
        <w:t>a</w:t>
      </w:r>
      <w:r>
        <w:rPr>
          <w:spacing w:val="-18"/>
        </w:rPr>
        <w:t> </w:t>
      </w:r>
      <w:r>
        <w:rPr/>
        <w:t>próxima</w:t>
      </w:r>
      <w:r>
        <w:rPr>
          <w:spacing w:val="-20"/>
        </w:rPr>
        <w:t> </w:t>
      </w:r>
      <w:r>
        <w:rPr/>
        <w:t>RTP</w:t>
      </w:r>
      <w:r>
        <w:rPr>
          <w:spacing w:val="-20"/>
        </w:rPr>
        <w:t> </w:t>
      </w:r>
      <w:r>
        <w:rPr/>
        <w:t>que</w:t>
      </w:r>
      <w:r>
        <w:rPr>
          <w:spacing w:val="-17"/>
        </w:rPr>
        <w:t> </w:t>
      </w:r>
      <w:r>
        <w:rPr/>
        <w:t>deverá</w:t>
      </w:r>
      <w:r>
        <w:rPr>
          <w:spacing w:val="-21"/>
        </w:rPr>
        <w:t> </w:t>
      </w:r>
      <w:r>
        <w:rPr/>
        <w:t>ocorrer</w:t>
      </w:r>
      <w:r>
        <w:rPr>
          <w:spacing w:val="-18"/>
        </w:rPr>
        <w:t> </w:t>
      </w:r>
      <w:r>
        <w:rPr/>
        <w:t>em</w:t>
      </w:r>
      <w:r>
        <w:rPr>
          <w:spacing w:val="-20"/>
        </w:rPr>
        <w:t> </w:t>
      </w:r>
      <w:r>
        <w:rPr/>
        <w:t>outubro</w:t>
      </w:r>
      <w:r>
        <w:rPr>
          <w:spacing w:val="-18"/>
        </w:rPr>
        <w:t> </w:t>
      </w:r>
      <w:r>
        <w:rPr/>
        <w:t>de</w:t>
      </w:r>
      <w:r>
        <w:rPr>
          <w:spacing w:val="-23"/>
        </w:rPr>
        <w:t> </w:t>
      </w:r>
      <w:r>
        <w:rPr/>
        <w:t>2021.</w:t>
      </w:r>
    </w:p>
    <w:p>
      <w:pPr>
        <w:pStyle w:val="BodyText"/>
        <w:spacing w:before="6"/>
      </w:pPr>
    </w:p>
    <w:p>
      <w:pPr>
        <w:pStyle w:val="BodyText"/>
        <w:spacing w:line="242" w:lineRule="auto" w:before="1"/>
        <w:ind w:left="192" w:right="609"/>
        <w:jc w:val="both"/>
      </w:pPr>
      <w:r>
        <w:rPr/>
        <w:t>Em 2019, a CEB DIS apurou 14,14% de Perdas Totais na Distribuição (Técnicas e Não Técnicas sobre Energia Injetada),</w:t>
      </w:r>
      <w:r>
        <w:rPr>
          <w:spacing w:val="-49"/>
        </w:rPr>
        <w:t> </w:t>
      </w:r>
      <w:r>
        <w:rPr/>
        <w:t>contra</w:t>
      </w:r>
      <w:r>
        <w:rPr>
          <w:spacing w:val="-48"/>
        </w:rPr>
        <w:t> </w:t>
      </w:r>
      <w:r>
        <w:rPr/>
        <w:t>12,41%</w:t>
      </w:r>
      <w:r>
        <w:rPr>
          <w:spacing w:val="-48"/>
        </w:rPr>
        <w:t> </w:t>
      </w:r>
      <w:r>
        <w:rPr/>
        <w:t>em</w:t>
      </w:r>
      <w:r>
        <w:rPr>
          <w:spacing w:val="-48"/>
        </w:rPr>
        <w:t> </w:t>
      </w:r>
      <w:r>
        <w:rPr/>
        <w:t>2018,</w:t>
      </w:r>
      <w:r>
        <w:rPr>
          <w:spacing w:val="-48"/>
        </w:rPr>
        <w:t> </w:t>
      </w:r>
      <w:r>
        <w:rPr/>
        <w:t>situação</w:t>
      </w:r>
      <w:r>
        <w:rPr>
          <w:spacing w:val="-48"/>
        </w:rPr>
        <w:t> </w:t>
      </w:r>
      <w:r>
        <w:rPr/>
        <w:t>já</w:t>
      </w:r>
      <w:r>
        <w:rPr>
          <w:spacing w:val="-48"/>
        </w:rPr>
        <w:t> </w:t>
      </w:r>
      <w:r>
        <w:rPr/>
        <w:t>esperada</w:t>
      </w:r>
      <w:r>
        <w:rPr>
          <w:spacing w:val="-48"/>
        </w:rPr>
        <w:t> </w:t>
      </w:r>
      <w:r>
        <w:rPr/>
        <w:t>pela</w:t>
      </w:r>
      <w:r>
        <w:rPr>
          <w:spacing w:val="-48"/>
        </w:rPr>
        <w:t> </w:t>
      </w:r>
      <w:r>
        <w:rPr/>
        <w:t>Administração</w:t>
      </w:r>
      <w:r>
        <w:rPr>
          <w:spacing w:val="-49"/>
        </w:rPr>
        <w:t> </w:t>
      </w:r>
      <w:r>
        <w:rPr/>
        <w:t>da</w:t>
      </w:r>
      <w:r>
        <w:rPr>
          <w:spacing w:val="-47"/>
        </w:rPr>
        <w:t> </w:t>
      </w:r>
      <w:r>
        <w:rPr/>
        <w:t>Companhia,</w:t>
      </w:r>
      <w:r>
        <w:rPr>
          <w:spacing w:val="-49"/>
        </w:rPr>
        <w:t> </w:t>
      </w:r>
      <w:r>
        <w:rPr/>
        <w:t>enquanto</w:t>
      </w:r>
      <w:r>
        <w:rPr>
          <w:spacing w:val="-48"/>
        </w:rPr>
        <w:t> </w:t>
      </w:r>
      <w:r>
        <w:rPr/>
        <w:t>o</w:t>
      </w:r>
      <w:r>
        <w:rPr>
          <w:spacing w:val="-49"/>
        </w:rPr>
        <w:t> </w:t>
      </w:r>
      <w:r>
        <w:rPr/>
        <w:t>nível</w:t>
      </w:r>
      <w:r>
        <w:rPr>
          <w:spacing w:val="-48"/>
        </w:rPr>
        <w:t> </w:t>
      </w:r>
      <w:r>
        <w:rPr/>
        <w:t>de</w:t>
      </w:r>
      <w:r>
        <w:rPr>
          <w:spacing w:val="-48"/>
        </w:rPr>
        <w:t> </w:t>
      </w:r>
      <w:r>
        <w:rPr/>
        <w:t>perdas regulatória</w:t>
      </w:r>
      <w:r>
        <w:rPr>
          <w:spacing w:val="-35"/>
        </w:rPr>
        <w:t> </w:t>
      </w:r>
      <w:r>
        <w:rPr/>
        <w:t>saiu</w:t>
      </w:r>
      <w:r>
        <w:rPr>
          <w:spacing w:val="-35"/>
        </w:rPr>
        <w:t> </w:t>
      </w:r>
      <w:r>
        <w:rPr/>
        <w:t>de</w:t>
      </w:r>
      <w:r>
        <w:rPr>
          <w:spacing w:val="-37"/>
        </w:rPr>
        <w:t> </w:t>
      </w:r>
      <w:r>
        <w:rPr/>
        <w:t>11,26%</w:t>
      </w:r>
      <w:r>
        <w:rPr>
          <w:spacing w:val="-35"/>
        </w:rPr>
        <w:t> </w:t>
      </w:r>
      <w:r>
        <w:rPr/>
        <w:t>para</w:t>
      </w:r>
      <w:r>
        <w:rPr>
          <w:spacing w:val="-35"/>
        </w:rPr>
        <w:t> </w:t>
      </w:r>
      <w:r>
        <w:rPr/>
        <w:t>11,09%</w:t>
      </w:r>
      <w:r>
        <w:rPr>
          <w:spacing w:val="-35"/>
        </w:rPr>
        <w:t> </w:t>
      </w:r>
      <w:r>
        <w:rPr/>
        <w:t>no</w:t>
      </w:r>
      <w:r>
        <w:rPr>
          <w:spacing w:val="-35"/>
        </w:rPr>
        <w:t> </w:t>
      </w:r>
      <w:r>
        <w:rPr/>
        <w:t>mesmo</w:t>
      </w:r>
      <w:r>
        <w:rPr>
          <w:spacing w:val="-36"/>
        </w:rPr>
        <w:t> </w:t>
      </w:r>
      <w:r>
        <w:rPr/>
        <w:t>período.</w:t>
      </w:r>
      <w:r>
        <w:rPr>
          <w:spacing w:val="-36"/>
        </w:rPr>
        <w:t> </w:t>
      </w:r>
      <w:r>
        <w:rPr/>
        <w:t>Essa</w:t>
      </w:r>
      <w:r>
        <w:rPr>
          <w:spacing w:val="-35"/>
        </w:rPr>
        <w:t> </w:t>
      </w:r>
      <w:r>
        <w:rPr/>
        <w:t>diferença</w:t>
      </w:r>
      <w:r>
        <w:rPr>
          <w:spacing w:val="-35"/>
        </w:rPr>
        <w:t> </w:t>
      </w:r>
      <w:r>
        <w:rPr/>
        <w:t>resultou</w:t>
      </w:r>
      <w:r>
        <w:rPr>
          <w:spacing w:val="-35"/>
        </w:rPr>
        <w:t> </w:t>
      </w:r>
      <w:r>
        <w:rPr/>
        <w:t>em</w:t>
      </w:r>
      <w:r>
        <w:rPr>
          <w:spacing w:val="-36"/>
        </w:rPr>
        <w:t> </w:t>
      </w:r>
      <w:r>
        <w:rPr/>
        <w:t>um</w:t>
      </w:r>
      <w:r>
        <w:rPr>
          <w:spacing w:val="-36"/>
        </w:rPr>
        <w:t> </w:t>
      </w:r>
      <w:r>
        <w:rPr/>
        <w:t>custo</w:t>
      </w:r>
      <w:r>
        <w:rPr>
          <w:spacing w:val="-35"/>
        </w:rPr>
        <w:t> </w:t>
      </w:r>
      <w:r>
        <w:rPr/>
        <w:t>adicional</w:t>
      </w:r>
      <w:r>
        <w:rPr>
          <w:spacing w:val="-35"/>
        </w:rPr>
        <w:t> </w:t>
      </w:r>
      <w:r>
        <w:rPr/>
        <w:t>na</w:t>
      </w:r>
      <w:r>
        <w:rPr>
          <w:spacing w:val="-35"/>
        </w:rPr>
        <w:t> </w:t>
      </w:r>
      <w:r>
        <w:rPr/>
        <w:t>compra de energia de R$ 41,6 milhões em 2019, contra R$ 23,1 milhões em 2018, sem a possibilidade de repasse ao consumidor,</w:t>
      </w:r>
      <w:r>
        <w:rPr>
          <w:spacing w:val="-21"/>
        </w:rPr>
        <w:t> </w:t>
      </w:r>
      <w:r>
        <w:rPr/>
        <w:t>impactando</w:t>
      </w:r>
      <w:r>
        <w:rPr>
          <w:spacing w:val="-19"/>
        </w:rPr>
        <w:t> </w:t>
      </w:r>
      <w:r>
        <w:rPr/>
        <w:t>negativamente</w:t>
      </w:r>
      <w:r>
        <w:rPr>
          <w:spacing w:val="-18"/>
        </w:rPr>
        <w:t> </w:t>
      </w:r>
      <w:r>
        <w:rPr/>
        <w:t>o</w:t>
      </w:r>
      <w:r>
        <w:rPr>
          <w:spacing w:val="-20"/>
        </w:rPr>
        <w:t> </w:t>
      </w:r>
      <w:r>
        <w:rPr/>
        <w:t>Resultado</w:t>
      </w:r>
      <w:r>
        <w:rPr>
          <w:spacing w:val="-21"/>
        </w:rPr>
        <w:t> </w:t>
      </w:r>
      <w:r>
        <w:rPr/>
        <w:t>antes</w:t>
      </w:r>
      <w:r>
        <w:rPr>
          <w:spacing w:val="-20"/>
        </w:rPr>
        <w:t> </w:t>
      </w:r>
      <w:r>
        <w:rPr/>
        <w:t>da</w:t>
      </w:r>
      <w:r>
        <w:rPr>
          <w:spacing w:val="-20"/>
        </w:rPr>
        <w:t> </w:t>
      </w:r>
      <w:r>
        <w:rPr/>
        <w:t>Parcela</w:t>
      </w:r>
      <w:r>
        <w:rPr>
          <w:spacing w:val="-20"/>
        </w:rPr>
        <w:t> </w:t>
      </w:r>
      <w:r>
        <w:rPr/>
        <w:t>B.</w:t>
      </w:r>
    </w:p>
    <w:p>
      <w:pPr>
        <w:spacing w:after="0" w:line="242" w:lineRule="auto"/>
        <w:jc w:val="both"/>
        <w:sectPr>
          <w:pgSz w:w="11910" w:h="16850"/>
          <w:pgMar w:header="792" w:footer="1193" w:top="1360" w:bottom="1460" w:left="940" w:right="240"/>
        </w:sectPr>
      </w:pPr>
    </w:p>
    <w:p>
      <w:pPr>
        <w:pStyle w:val="BodyText"/>
        <w:spacing w:before="2"/>
        <w:rPr>
          <w:sz w:val="24"/>
        </w:rPr>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4484"/>
        <w:gridCol w:w="907"/>
        <w:gridCol w:w="1132"/>
        <w:gridCol w:w="909"/>
        <w:gridCol w:w="1190"/>
        <w:gridCol w:w="1290"/>
      </w:tblGrid>
      <w:tr>
        <w:trPr>
          <w:trHeight w:val="374" w:hRule="atLeast"/>
        </w:trPr>
        <w:tc>
          <w:tcPr>
            <w:tcW w:w="4484" w:type="dxa"/>
            <w:shd w:val="clear" w:color="auto" w:fill="D9D9D9"/>
          </w:tcPr>
          <w:p>
            <w:pPr>
              <w:pStyle w:val="TableParagraph"/>
              <w:spacing w:before="93"/>
              <w:ind w:left="1862" w:right="1849"/>
              <w:jc w:val="center"/>
              <w:rPr>
                <w:rFonts w:ascii="Caladea" w:hAnsi="Caladea"/>
                <w:b/>
                <w:sz w:val="16"/>
              </w:rPr>
            </w:pPr>
            <w:r>
              <w:rPr>
                <w:rFonts w:ascii="Caladea" w:hAnsi="Caladea"/>
                <w:b/>
                <w:sz w:val="16"/>
              </w:rPr>
              <w:t>Descrição</w:t>
            </w:r>
          </w:p>
        </w:tc>
        <w:tc>
          <w:tcPr>
            <w:tcW w:w="907" w:type="dxa"/>
            <w:shd w:val="clear" w:color="auto" w:fill="D9D9D9"/>
          </w:tcPr>
          <w:p>
            <w:pPr>
              <w:pStyle w:val="TableParagraph"/>
              <w:spacing w:before="93"/>
              <w:ind w:left="264"/>
              <w:rPr>
                <w:rFonts w:ascii="Caladea"/>
                <w:b/>
                <w:sz w:val="16"/>
              </w:rPr>
            </w:pPr>
            <w:r>
              <w:rPr>
                <w:rFonts w:ascii="Caladea"/>
                <w:b/>
                <w:sz w:val="16"/>
              </w:rPr>
              <w:t>2018</w:t>
            </w:r>
          </w:p>
        </w:tc>
        <w:tc>
          <w:tcPr>
            <w:tcW w:w="1132" w:type="dxa"/>
            <w:shd w:val="clear" w:color="auto" w:fill="D9D9D9"/>
          </w:tcPr>
          <w:p>
            <w:pPr>
              <w:pStyle w:val="TableParagraph"/>
              <w:spacing w:line="187" w:lineRule="exact"/>
              <w:ind w:left="13"/>
              <w:jc w:val="center"/>
              <w:rPr>
                <w:rFonts w:ascii="Caladea"/>
                <w:b/>
                <w:sz w:val="16"/>
              </w:rPr>
            </w:pPr>
            <w:r>
              <w:rPr>
                <w:rFonts w:ascii="Caladea"/>
                <w:b/>
                <w:sz w:val="16"/>
              </w:rPr>
              <w:t>2018</w:t>
            </w:r>
          </w:p>
          <w:p>
            <w:pPr>
              <w:pStyle w:val="TableParagraph"/>
              <w:spacing w:line="168" w:lineRule="exact"/>
              <w:ind w:left="18"/>
              <w:jc w:val="center"/>
              <w:rPr>
                <w:rFonts w:ascii="Caladea"/>
                <w:b/>
                <w:sz w:val="16"/>
              </w:rPr>
            </w:pPr>
            <w:r>
              <w:rPr>
                <w:rFonts w:ascii="Caladea"/>
                <w:b/>
                <w:sz w:val="16"/>
              </w:rPr>
              <w:t>Retificado</w:t>
            </w:r>
          </w:p>
        </w:tc>
        <w:tc>
          <w:tcPr>
            <w:tcW w:w="909" w:type="dxa"/>
            <w:shd w:val="clear" w:color="auto" w:fill="D9D9D9"/>
          </w:tcPr>
          <w:p>
            <w:pPr>
              <w:pStyle w:val="TableParagraph"/>
              <w:spacing w:before="93"/>
              <w:ind w:left="267"/>
              <w:rPr>
                <w:rFonts w:ascii="Caladea"/>
                <w:b/>
                <w:sz w:val="16"/>
              </w:rPr>
            </w:pPr>
            <w:r>
              <w:rPr>
                <w:rFonts w:ascii="Caladea"/>
                <w:b/>
                <w:sz w:val="16"/>
              </w:rPr>
              <w:t>2019</w:t>
            </w:r>
          </w:p>
        </w:tc>
        <w:tc>
          <w:tcPr>
            <w:tcW w:w="1190" w:type="dxa"/>
            <w:shd w:val="clear" w:color="auto" w:fill="D9D9D9"/>
          </w:tcPr>
          <w:p>
            <w:pPr>
              <w:pStyle w:val="TableParagraph"/>
              <w:spacing w:line="187" w:lineRule="exact"/>
              <w:ind w:left="154" w:right="143"/>
              <w:jc w:val="center"/>
              <w:rPr>
                <w:rFonts w:ascii="Caladea"/>
                <w:b/>
                <w:sz w:val="16"/>
              </w:rPr>
            </w:pPr>
            <w:r>
              <w:rPr>
                <w:rFonts w:ascii="Caladea"/>
                <w:b/>
                <w:sz w:val="16"/>
              </w:rPr>
              <w:t>Var.</w:t>
            </w:r>
          </w:p>
          <w:p>
            <w:pPr>
              <w:pStyle w:val="TableParagraph"/>
              <w:spacing w:line="168" w:lineRule="exact"/>
              <w:ind w:left="158" w:right="143"/>
              <w:jc w:val="center"/>
              <w:rPr>
                <w:rFonts w:ascii="Caladea"/>
                <w:b/>
                <w:sz w:val="16"/>
              </w:rPr>
            </w:pPr>
            <w:r>
              <w:rPr>
                <w:rFonts w:ascii="Caladea"/>
                <w:b/>
                <w:sz w:val="16"/>
              </w:rPr>
              <w:t>2019/2018</w:t>
            </w:r>
          </w:p>
        </w:tc>
        <w:tc>
          <w:tcPr>
            <w:tcW w:w="1290" w:type="dxa"/>
            <w:shd w:val="clear" w:color="auto" w:fill="D9D9D9"/>
          </w:tcPr>
          <w:p>
            <w:pPr>
              <w:pStyle w:val="TableParagraph"/>
              <w:spacing w:line="188" w:lineRule="exact" w:before="1"/>
              <w:ind w:left="228" w:right="193" w:firstLine="175"/>
              <w:rPr>
                <w:rFonts w:ascii="Caladea"/>
                <w:b/>
                <w:sz w:val="16"/>
              </w:rPr>
            </w:pPr>
            <w:r>
              <w:rPr>
                <w:rFonts w:ascii="Caladea"/>
                <w:b/>
                <w:sz w:val="16"/>
              </w:rPr>
              <w:t>Var. % 2019/2018</w:t>
            </w:r>
          </w:p>
        </w:tc>
      </w:tr>
      <w:tr>
        <w:trPr>
          <w:trHeight w:val="224" w:hRule="atLeast"/>
        </w:trPr>
        <w:tc>
          <w:tcPr>
            <w:tcW w:w="4484" w:type="dxa"/>
          </w:tcPr>
          <w:p>
            <w:pPr>
              <w:pStyle w:val="TableParagraph"/>
              <w:spacing w:line="187" w:lineRule="exact" w:before="18"/>
              <w:ind w:left="72"/>
              <w:rPr>
                <w:rFonts w:ascii="Caladea"/>
                <w:b/>
                <w:sz w:val="16"/>
              </w:rPr>
            </w:pPr>
            <w:r>
              <w:rPr>
                <w:rFonts w:ascii="Caladea"/>
                <w:b/>
                <w:sz w:val="16"/>
              </w:rPr>
              <w:t>Energia Injetada (A)</w:t>
            </w:r>
          </w:p>
        </w:tc>
        <w:tc>
          <w:tcPr>
            <w:tcW w:w="907" w:type="dxa"/>
          </w:tcPr>
          <w:p>
            <w:pPr>
              <w:pStyle w:val="TableParagraph"/>
              <w:spacing w:line="187" w:lineRule="exact" w:before="18"/>
              <w:ind w:right="56"/>
              <w:jc w:val="right"/>
              <w:rPr>
                <w:rFonts w:ascii="Caladea"/>
                <w:b/>
                <w:sz w:val="16"/>
              </w:rPr>
            </w:pPr>
            <w:r>
              <w:rPr>
                <w:rFonts w:ascii="Caladea"/>
                <w:b/>
                <w:sz w:val="16"/>
              </w:rPr>
              <w:t>7.337,30</w:t>
            </w:r>
          </w:p>
        </w:tc>
        <w:tc>
          <w:tcPr>
            <w:tcW w:w="1132" w:type="dxa"/>
          </w:tcPr>
          <w:p>
            <w:pPr>
              <w:pStyle w:val="TableParagraph"/>
              <w:spacing w:line="187" w:lineRule="exact" w:before="18"/>
              <w:ind w:right="52"/>
              <w:jc w:val="right"/>
              <w:rPr>
                <w:rFonts w:ascii="Caladea"/>
                <w:b/>
                <w:sz w:val="16"/>
              </w:rPr>
            </w:pPr>
            <w:r>
              <w:rPr>
                <w:rFonts w:ascii="Caladea"/>
                <w:b/>
                <w:sz w:val="16"/>
              </w:rPr>
              <w:t>7.337,30</w:t>
            </w:r>
          </w:p>
        </w:tc>
        <w:tc>
          <w:tcPr>
            <w:tcW w:w="909" w:type="dxa"/>
          </w:tcPr>
          <w:p>
            <w:pPr>
              <w:pStyle w:val="TableParagraph"/>
              <w:spacing w:line="187" w:lineRule="exact" w:before="18"/>
              <w:ind w:right="54"/>
              <w:jc w:val="right"/>
              <w:rPr>
                <w:rFonts w:ascii="Caladea"/>
                <w:b/>
                <w:sz w:val="16"/>
              </w:rPr>
            </w:pPr>
            <w:r>
              <w:rPr>
                <w:rFonts w:ascii="Caladea"/>
                <w:b/>
                <w:sz w:val="16"/>
              </w:rPr>
              <w:t>7.660,20</w:t>
            </w:r>
          </w:p>
        </w:tc>
        <w:tc>
          <w:tcPr>
            <w:tcW w:w="1190" w:type="dxa"/>
          </w:tcPr>
          <w:p>
            <w:pPr>
              <w:pStyle w:val="TableParagraph"/>
              <w:spacing w:line="187" w:lineRule="exact" w:before="18"/>
              <w:ind w:right="53"/>
              <w:jc w:val="right"/>
              <w:rPr>
                <w:rFonts w:ascii="Caladea"/>
                <w:b/>
                <w:sz w:val="16"/>
              </w:rPr>
            </w:pPr>
            <w:r>
              <w:rPr>
                <w:rFonts w:ascii="Caladea"/>
                <w:b/>
                <w:sz w:val="16"/>
              </w:rPr>
              <w:t>322,9</w:t>
            </w:r>
          </w:p>
        </w:tc>
        <w:tc>
          <w:tcPr>
            <w:tcW w:w="1290" w:type="dxa"/>
          </w:tcPr>
          <w:p>
            <w:pPr>
              <w:pStyle w:val="TableParagraph"/>
              <w:spacing w:line="187" w:lineRule="exact" w:before="18"/>
              <w:ind w:right="50"/>
              <w:jc w:val="right"/>
              <w:rPr>
                <w:rFonts w:ascii="Caladea"/>
                <w:b/>
                <w:sz w:val="16"/>
              </w:rPr>
            </w:pPr>
            <w:r>
              <w:rPr>
                <w:rFonts w:ascii="Caladea"/>
                <w:b/>
                <w:sz w:val="16"/>
              </w:rPr>
              <w:t>4,40%</w:t>
            </w:r>
          </w:p>
        </w:tc>
      </w:tr>
      <w:tr>
        <w:trPr>
          <w:trHeight w:val="227" w:hRule="atLeast"/>
        </w:trPr>
        <w:tc>
          <w:tcPr>
            <w:tcW w:w="4484" w:type="dxa"/>
          </w:tcPr>
          <w:p>
            <w:pPr>
              <w:pStyle w:val="TableParagraph"/>
              <w:spacing w:before="18"/>
              <w:ind w:left="72"/>
              <w:rPr>
                <w:rFonts w:ascii="Caladea" w:hAnsi="Caladea"/>
                <w:b/>
                <w:sz w:val="16"/>
              </w:rPr>
            </w:pPr>
            <w:r>
              <w:rPr>
                <w:rFonts w:ascii="Caladea" w:hAnsi="Caladea"/>
                <w:b/>
                <w:sz w:val="16"/>
              </w:rPr>
              <w:t>Mercado Baixa Tensão (B)</w:t>
            </w:r>
          </w:p>
        </w:tc>
        <w:tc>
          <w:tcPr>
            <w:tcW w:w="907" w:type="dxa"/>
          </w:tcPr>
          <w:p>
            <w:pPr>
              <w:pStyle w:val="TableParagraph"/>
              <w:spacing w:before="18"/>
              <w:ind w:right="56"/>
              <w:jc w:val="right"/>
              <w:rPr>
                <w:rFonts w:ascii="Caladea"/>
                <w:b/>
                <w:sz w:val="16"/>
              </w:rPr>
            </w:pPr>
            <w:r>
              <w:rPr>
                <w:rFonts w:ascii="Caladea"/>
                <w:b/>
                <w:sz w:val="16"/>
              </w:rPr>
              <w:t>3.951,90</w:t>
            </w:r>
          </w:p>
        </w:tc>
        <w:tc>
          <w:tcPr>
            <w:tcW w:w="1132" w:type="dxa"/>
          </w:tcPr>
          <w:p>
            <w:pPr>
              <w:pStyle w:val="TableParagraph"/>
              <w:spacing w:before="18"/>
              <w:ind w:right="52"/>
              <w:jc w:val="right"/>
              <w:rPr>
                <w:rFonts w:ascii="Caladea"/>
                <w:b/>
                <w:sz w:val="16"/>
              </w:rPr>
            </w:pPr>
            <w:r>
              <w:rPr>
                <w:rFonts w:ascii="Caladea"/>
                <w:b/>
                <w:sz w:val="16"/>
              </w:rPr>
              <w:t>3.951,90</w:t>
            </w:r>
          </w:p>
        </w:tc>
        <w:tc>
          <w:tcPr>
            <w:tcW w:w="909" w:type="dxa"/>
          </w:tcPr>
          <w:p>
            <w:pPr>
              <w:pStyle w:val="TableParagraph"/>
              <w:spacing w:before="18"/>
              <w:ind w:right="54"/>
              <w:jc w:val="right"/>
              <w:rPr>
                <w:rFonts w:ascii="Caladea"/>
                <w:b/>
                <w:sz w:val="16"/>
              </w:rPr>
            </w:pPr>
            <w:r>
              <w:rPr>
                <w:rFonts w:ascii="Caladea"/>
                <w:b/>
                <w:sz w:val="16"/>
              </w:rPr>
              <w:t>3.942,30</w:t>
            </w:r>
          </w:p>
        </w:tc>
        <w:tc>
          <w:tcPr>
            <w:tcW w:w="1190" w:type="dxa"/>
          </w:tcPr>
          <w:p>
            <w:pPr>
              <w:pStyle w:val="TableParagraph"/>
              <w:spacing w:before="18"/>
              <w:ind w:right="51"/>
              <w:jc w:val="right"/>
              <w:rPr>
                <w:rFonts w:ascii="Caladea"/>
                <w:b/>
                <w:sz w:val="16"/>
              </w:rPr>
            </w:pPr>
            <w:r>
              <w:rPr>
                <w:rFonts w:ascii="Caladea"/>
                <w:b/>
                <w:sz w:val="16"/>
              </w:rPr>
              <w:t>(9,6)</w:t>
            </w:r>
          </w:p>
        </w:tc>
        <w:tc>
          <w:tcPr>
            <w:tcW w:w="1290" w:type="dxa"/>
          </w:tcPr>
          <w:p>
            <w:pPr>
              <w:pStyle w:val="TableParagraph"/>
              <w:spacing w:before="18"/>
              <w:ind w:right="50"/>
              <w:jc w:val="right"/>
              <w:rPr>
                <w:rFonts w:ascii="Caladea"/>
                <w:b/>
                <w:sz w:val="16"/>
              </w:rPr>
            </w:pPr>
            <w:r>
              <w:rPr>
                <w:rFonts w:ascii="Caladea"/>
                <w:b/>
                <w:sz w:val="16"/>
              </w:rPr>
              <w:t>(0,24)%</w:t>
            </w:r>
          </w:p>
        </w:tc>
      </w:tr>
      <w:tr>
        <w:trPr>
          <w:trHeight w:val="225" w:hRule="atLeast"/>
        </w:trPr>
        <w:tc>
          <w:tcPr>
            <w:tcW w:w="4484" w:type="dxa"/>
          </w:tcPr>
          <w:p>
            <w:pPr>
              <w:pStyle w:val="TableParagraph"/>
              <w:spacing w:line="187" w:lineRule="exact" w:before="18"/>
              <w:ind w:left="72"/>
              <w:rPr>
                <w:rFonts w:ascii="Caladea" w:hAnsi="Caladea"/>
                <w:b/>
                <w:sz w:val="16"/>
              </w:rPr>
            </w:pPr>
            <w:r>
              <w:rPr>
                <w:rFonts w:ascii="Caladea" w:hAnsi="Caladea"/>
                <w:b/>
                <w:sz w:val="16"/>
              </w:rPr>
              <w:t>Perdas na Distribuição (C)</w:t>
            </w:r>
          </w:p>
        </w:tc>
        <w:tc>
          <w:tcPr>
            <w:tcW w:w="907" w:type="dxa"/>
          </w:tcPr>
          <w:p>
            <w:pPr>
              <w:pStyle w:val="TableParagraph"/>
              <w:spacing w:line="187" w:lineRule="exact" w:before="18"/>
              <w:ind w:right="55"/>
              <w:jc w:val="right"/>
              <w:rPr>
                <w:rFonts w:ascii="Caladea"/>
                <w:b/>
                <w:sz w:val="16"/>
              </w:rPr>
            </w:pPr>
            <w:r>
              <w:rPr>
                <w:rFonts w:ascii="Caladea"/>
                <w:b/>
                <w:sz w:val="16"/>
              </w:rPr>
              <w:t>923</w:t>
            </w:r>
          </w:p>
        </w:tc>
        <w:tc>
          <w:tcPr>
            <w:tcW w:w="1132" w:type="dxa"/>
          </w:tcPr>
          <w:p>
            <w:pPr>
              <w:pStyle w:val="TableParagraph"/>
              <w:spacing w:line="187" w:lineRule="exact" w:before="18"/>
              <w:ind w:right="52"/>
              <w:jc w:val="right"/>
              <w:rPr>
                <w:rFonts w:ascii="Caladea"/>
                <w:b/>
                <w:sz w:val="16"/>
              </w:rPr>
            </w:pPr>
            <w:r>
              <w:rPr>
                <w:rFonts w:ascii="Caladea"/>
                <w:b/>
                <w:sz w:val="16"/>
              </w:rPr>
              <w:t>910,7</w:t>
            </w:r>
          </w:p>
        </w:tc>
        <w:tc>
          <w:tcPr>
            <w:tcW w:w="909" w:type="dxa"/>
          </w:tcPr>
          <w:p>
            <w:pPr>
              <w:pStyle w:val="TableParagraph"/>
              <w:spacing w:line="187" w:lineRule="exact" w:before="18"/>
              <w:ind w:right="54"/>
              <w:jc w:val="right"/>
              <w:rPr>
                <w:rFonts w:ascii="Caladea"/>
                <w:b/>
                <w:sz w:val="16"/>
              </w:rPr>
            </w:pPr>
            <w:r>
              <w:rPr>
                <w:rFonts w:ascii="Caladea"/>
                <w:b/>
                <w:sz w:val="16"/>
              </w:rPr>
              <w:t>1.083,10</w:t>
            </w:r>
          </w:p>
        </w:tc>
        <w:tc>
          <w:tcPr>
            <w:tcW w:w="1190" w:type="dxa"/>
          </w:tcPr>
          <w:p>
            <w:pPr>
              <w:pStyle w:val="TableParagraph"/>
              <w:spacing w:line="187" w:lineRule="exact" w:before="18"/>
              <w:ind w:right="53"/>
              <w:jc w:val="right"/>
              <w:rPr>
                <w:rFonts w:ascii="Caladea"/>
                <w:b/>
                <w:sz w:val="16"/>
              </w:rPr>
            </w:pPr>
            <w:r>
              <w:rPr>
                <w:rFonts w:ascii="Caladea"/>
                <w:b/>
                <w:sz w:val="16"/>
              </w:rPr>
              <w:t>172,4</w:t>
            </w:r>
          </w:p>
        </w:tc>
        <w:tc>
          <w:tcPr>
            <w:tcW w:w="1290" w:type="dxa"/>
          </w:tcPr>
          <w:p>
            <w:pPr>
              <w:pStyle w:val="TableParagraph"/>
              <w:spacing w:line="187" w:lineRule="exact" w:before="18"/>
              <w:ind w:right="50"/>
              <w:jc w:val="right"/>
              <w:rPr>
                <w:rFonts w:ascii="Caladea"/>
                <w:b/>
                <w:sz w:val="16"/>
              </w:rPr>
            </w:pPr>
            <w:r>
              <w:rPr>
                <w:rFonts w:ascii="Caladea"/>
                <w:b/>
                <w:sz w:val="16"/>
              </w:rPr>
              <w:t>18,93%</w:t>
            </w:r>
          </w:p>
        </w:tc>
      </w:tr>
      <w:tr>
        <w:trPr>
          <w:trHeight w:val="227" w:hRule="atLeast"/>
        </w:trPr>
        <w:tc>
          <w:tcPr>
            <w:tcW w:w="4484" w:type="dxa"/>
          </w:tcPr>
          <w:p>
            <w:pPr>
              <w:pStyle w:val="TableParagraph"/>
              <w:spacing w:line="185" w:lineRule="exact" w:before="22"/>
              <w:ind w:left="233"/>
              <w:rPr>
                <w:sz w:val="16"/>
              </w:rPr>
            </w:pPr>
            <w:r>
              <w:rPr>
                <w:sz w:val="16"/>
              </w:rPr>
              <w:t>Perdas Técnica s/ Energia Injetada</w:t>
            </w:r>
          </w:p>
        </w:tc>
        <w:tc>
          <w:tcPr>
            <w:tcW w:w="907" w:type="dxa"/>
          </w:tcPr>
          <w:p>
            <w:pPr>
              <w:pStyle w:val="TableParagraph"/>
              <w:spacing w:line="185" w:lineRule="exact" w:before="22"/>
              <w:ind w:right="55"/>
              <w:jc w:val="right"/>
              <w:rPr>
                <w:sz w:val="16"/>
              </w:rPr>
            </w:pPr>
            <w:r>
              <w:rPr>
                <w:w w:val="95"/>
                <w:sz w:val="16"/>
              </w:rPr>
              <w:t>547,4</w:t>
            </w:r>
          </w:p>
        </w:tc>
        <w:tc>
          <w:tcPr>
            <w:tcW w:w="1132" w:type="dxa"/>
          </w:tcPr>
          <w:p>
            <w:pPr>
              <w:pStyle w:val="TableParagraph"/>
              <w:spacing w:line="185" w:lineRule="exact" w:before="22"/>
              <w:ind w:right="51"/>
              <w:jc w:val="right"/>
              <w:rPr>
                <w:sz w:val="16"/>
              </w:rPr>
            </w:pPr>
            <w:r>
              <w:rPr>
                <w:w w:val="95"/>
                <w:sz w:val="16"/>
              </w:rPr>
              <w:t>547,4</w:t>
            </w:r>
          </w:p>
        </w:tc>
        <w:tc>
          <w:tcPr>
            <w:tcW w:w="909" w:type="dxa"/>
          </w:tcPr>
          <w:p>
            <w:pPr>
              <w:pStyle w:val="TableParagraph"/>
              <w:spacing w:line="185" w:lineRule="exact" w:before="22"/>
              <w:ind w:right="53"/>
              <w:jc w:val="right"/>
              <w:rPr>
                <w:sz w:val="16"/>
              </w:rPr>
            </w:pPr>
            <w:r>
              <w:rPr>
                <w:w w:val="95"/>
                <w:sz w:val="16"/>
              </w:rPr>
              <w:t>571,4</w:t>
            </w:r>
          </w:p>
        </w:tc>
        <w:tc>
          <w:tcPr>
            <w:tcW w:w="1190" w:type="dxa"/>
          </w:tcPr>
          <w:p>
            <w:pPr>
              <w:pStyle w:val="TableParagraph"/>
              <w:spacing w:line="185" w:lineRule="exact" w:before="22"/>
              <w:ind w:right="54"/>
              <w:jc w:val="right"/>
              <w:rPr>
                <w:sz w:val="16"/>
              </w:rPr>
            </w:pPr>
            <w:r>
              <w:rPr>
                <w:w w:val="105"/>
                <w:sz w:val="16"/>
              </w:rPr>
              <w:t>24</w:t>
            </w:r>
          </w:p>
        </w:tc>
        <w:tc>
          <w:tcPr>
            <w:tcW w:w="1290" w:type="dxa"/>
          </w:tcPr>
          <w:p>
            <w:pPr>
              <w:pStyle w:val="TableParagraph"/>
              <w:spacing w:line="185" w:lineRule="exact" w:before="22"/>
              <w:ind w:right="51"/>
              <w:jc w:val="right"/>
              <w:rPr>
                <w:sz w:val="16"/>
              </w:rPr>
            </w:pPr>
            <w:r>
              <w:rPr>
                <w:w w:val="105"/>
                <w:sz w:val="16"/>
              </w:rPr>
              <w:t>4,39%</w:t>
            </w:r>
          </w:p>
        </w:tc>
      </w:tr>
      <w:tr>
        <w:trPr>
          <w:trHeight w:val="227" w:hRule="atLeast"/>
        </w:trPr>
        <w:tc>
          <w:tcPr>
            <w:tcW w:w="4484" w:type="dxa"/>
          </w:tcPr>
          <w:p>
            <w:pPr>
              <w:pStyle w:val="TableParagraph"/>
              <w:spacing w:line="185" w:lineRule="exact" w:before="22"/>
              <w:ind w:left="233"/>
              <w:rPr>
                <w:sz w:val="16"/>
              </w:rPr>
            </w:pPr>
            <w:r>
              <w:rPr>
                <w:sz w:val="16"/>
              </w:rPr>
              <w:t>Perdas Não Técnica s/ Mercado BT</w:t>
            </w:r>
          </w:p>
        </w:tc>
        <w:tc>
          <w:tcPr>
            <w:tcW w:w="907" w:type="dxa"/>
          </w:tcPr>
          <w:p>
            <w:pPr>
              <w:pStyle w:val="TableParagraph"/>
              <w:spacing w:line="185" w:lineRule="exact" w:before="22"/>
              <w:ind w:right="55"/>
              <w:jc w:val="right"/>
              <w:rPr>
                <w:sz w:val="16"/>
              </w:rPr>
            </w:pPr>
            <w:r>
              <w:rPr>
                <w:w w:val="95"/>
                <w:sz w:val="16"/>
              </w:rPr>
              <w:t>375,6</w:t>
            </w:r>
          </w:p>
        </w:tc>
        <w:tc>
          <w:tcPr>
            <w:tcW w:w="1132" w:type="dxa"/>
          </w:tcPr>
          <w:p>
            <w:pPr>
              <w:pStyle w:val="TableParagraph"/>
              <w:spacing w:line="185" w:lineRule="exact" w:before="22"/>
              <w:ind w:right="51"/>
              <w:jc w:val="right"/>
              <w:rPr>
                <w:sz w:val="16"/>
              </w:rPr>
            </w:pPr>
            <w:r>
              <w:rPr>
                <w:w w:val="95"/>
                <w:sz w:val="16"/>
              </w:rPr>
              <w:t>363,3</w:t>
            </w:r>
          </w:p>
        </w:tc>
        <w:tc>
          <w:tcPr>
            <w:tcW w:w="909" w:type="dxa"/>
          </w:tcPr>
          <w:p>
            <w:pPr>
              <w:pStyle w:val="TableParagraph"/>
              <w:spacing w:line="185" w:lineRule="exact" w:before="22"/>
              <w:ind w:right="53"/>
              <w:jc w:val="right"/>
              <w:rPr>
                <w:sz w:val="16"/>
              </w:rPr>
            </w:pPr>
            <w:r>
              <w:rPr>
                <w:w w:val="95"/>
                <w:sz w:val="16"/>
              </w:rPr>
              <w:t>511,7</w:t>
            </w:r>
          </w:p>
        </w:tc>
        <w:tc>
          <w:tcPr>
            <w:tcW w:w="1190" w:type="dxa"/>
          </w:tcPr>
          <w:p>
            <w:pPr>
              <w:pStyle w:val="TableParagraph"/>
              <w:spacing w:line="185" w:lineRule="exact" w:before="22"/>
              <w:ind w:right="52"/>
              <w:jc w:val="right"/>
              <w:rPr>
                <w:sz w:val="16"/>
              </w:rPr>
            </w:pPr>
            <w:r>
              <w:rPr>
                <w:w w:val="95"/>
                <w:sz w:val="16"/>
              </w:rPr>
              <w:t>148,4</w:t>
            </w:r>
          </w:p>
        </w:tc>
        <w:tc>
          <w:tcPr>
            <w:tcW w:w="1290" w:type="dxa"/>
          </w:tcPr>
          <w:p>
            <w:pPr>
              <w:pStyle w:val="TableParagraph"/>
              <w:spacing w:line="185" w:lineRule="exact" w:before="22"/>
              <w:ind w:right="52"/>
              <w:jc w:val="right"/>
              <w:rPr>
                <w:sz w:val="16"/>
              </w:rPr>
            </w:pPr>
            <w:r>
              <w:rPr>
                <w:w w:val="106"/>
                <w:sz w:val="16"/>
              </w:rPr>
              <w:t>4</w:t>
            </w:r>
            <w:r>
              <w:rPr>
                <w:spacing w:val="-1"/>
                <w:w w:val="106"/>
                <w:sz w:val="16"/>
              </w:rPr>
              <w:t>0</w:t>
            </w:r>
            <w:r>
              <w:rPr>
                <w:w w:val="56"/>
                <w:sz w:val="16"/>
              </w:rPr>
              <w:t>,</w:t>
            </w:r>
            <w:r>
              <w:rPr>
                <w:w w:val="106"/>
                <w:sz w:val="16"/>
              </w:rPr>
              <w:t>8</w:t>
            </w:r>
            <w:r>
              <w:rPr>
                <w:spacing w:val="-1"/>
                <w:w w:val="106"/>
                <w:sz w:val="16"/>
              </w:rPr>
              <w:t>3</w:t>
            </w:r>
            <w:r>
              <w:rPr>
                <w:w w:val="148"/>
                <w:sz w:val="16"/>
              </w:rPr>
              <w:t>%</w:t>
            </w:r>
          </w:p>
        </w:tc>
      </w:tr>
      <w:tr>
        <w:trPr>
          <w:trHeight w:val="227" w:hRule="atLeast"/>
        </w:trPr>
        <w:tc>
          <w:tcPr>
            <w:tcW w:w="4484" w:type="dxa"/>
          </w:tcPr>
          <w:p>
            <w:pPr>
              <w:pStyle w:val="TableParagraph"/>
              <w:spacing w:before="18"/>
              <w:ind w:left="72"/>
              <w:rPr>
                <w:rFonts w:ascii="Caladea" w:hAnsi="Caladea"/>
                <w:b/>
                <w:sz w:val="16"/>
              </w:rPr>
            </w:pPr>
            <w:r>
              <w:rPr>
                <w:rFonts w:ascii="Caladea" w:hAnsi="Caladea"/>
                <w:b/>
                <w:sz w:val="16"/>
              </w:rPr>
              <w:t>Perdas Regulatória (D)</w:t>
            </w:r>
          </w:p>
        </w:tc>
        <w:tc>
          <w:tcPr>
            <w:tcW w:w="907" w:type="dxa"/>
          </w:tcPr>
          <w:p>
            <w:pPr>
              <w:pStyle w:val="TableParagraph"/>
              <w:spacing w:before="18"/>
              <w:ind w:right="55"/>
              <w:jc w:val="right"/>
              <w:rPr>
                <w:rFonts w:ascii="Caladea"/>
                <w:b/>
                <w:sz w:val="16"/>
              </w:rPr>
            </w:pPr>
            <w:r>
              <w:rPr>
                <w:rFonts w:ascii="Caladea"/>
                <w:b/>
                <w:sz w:val="16"/>
              </w:rPr>
              <w:t>826</w:t>
            </w:r>
          </w:p>
        </w:tc>
        <w:tc>
          <w:tcPr>
            <w:tcW w:w="1132" w:type="dxa"/>
          </w:tcPr>
          <w:p>
            <w:pPr>
              <w:pStyle w:val="TableParagraph"/>
              <w:spacing w:before="18"/>
              <w:ind w:right="52"/>
              <w:jc w:val="right"/>
              <w:rPr>
                <w:rFonts w:ascii="Caladea"/>
                <w:b/>
                <w:sz w:val="16"/>
              </w:rPr>
            </w:pPr>
            <w:r>
              <w:rPr>
                <w:rFonts w:ascii="Caladea"/>
                <w:b/>
                <w:sz w:val="16"/>
              </w:rPr>
              <w:t>826</w:t>
            </w:r>
          </w:p>
        </w:tc>
        <w:tc>
          <w:tcPr>
            <w:tcW w:w="909" w:type="dxa"/>
          </w:tcPr>
          <w:p>
            <w:pPr>
              <w:pStyle w:val="TableParagraph"/>
              <w:spacing w:before="18"/>
              <w:ind w:right="54"/>
              <w:jc w:val="right"/>
              <w:rPr>
                <w:rFonts w:ascii="Caladea"/>
                <w:b/>
                <w:sz w:val="16"/>
              </w:rPr>
            </w:pPr>
            <w:r>
              <w:rPr>
                <w:rFonts w:ascii="Caladea"/>
                <w:b/>
                <w:sz w:val="16"/>
              </w:rPr>
              <w:t>849,4</w:t>
            </w:r>
          </w:p>
        </w:tc>
        <w:tc>
          <w:tcPr>
            <w:tcW w:w="1190" w:type="dxa"/>
          </w:tcPr>
          <w:p>
            <w:pPr>
              <w:pStyle w:val="TableParagraph"/>
              <w:spacing w:before="18"/>
              <w:ind w:right="53"/>
              <w:jc w:val="right"/>
              <w:rPr>
                <w:rFonts w:ascii="Caladea"/>
                <w:b/>
                <w:sz w:val="16"/>
              </w:rPr>
            </w:pPr>
            <w:r>
              <w:rPr>
                <w:rFonts w:ascii="Caladea"/>
                <w:b/>
                <w:sz w:val="16"/>
              </w:rPr>
              <w:t>23,4</w:t>
            </w:r>
          </w:p>
        </w:tc>
        <w:tc>
          <w:tcPr>
            <w:tcW w:w="1290" w:type="dxa"/>
          </w:tcPr>
          <w:p>
            <w:pPr>
              <w:pStyle w:val="TableParagraph"/>
              <w:spacing w:before="18"/>
              <w:ind w:right="50"/>
              <w:jc w:val="right"/>
              <w:rPr>
                <w:rFonts w:ascii="Caladea"/>
                <w:b/>
                <w:sz w:val="16"/>
              </w:rPr>
            </w:pPr>
            <w:r>
              <w:rPr>
                <w:rFonts w:ascii="Caladea"/>
                <w:b/>
                <w:sz w:val="16"/>
              </w:rPr>
              <w:t>2,83%</w:t>
            </w:r>
          </w:p>
        </w:tc>
      </w:tr>
      <w:tr>
        <w:trPr>
          <w:trHeight w:val="225" w:hRule="atLeast"/>
        </w:trPr>
        <w:tc>
          <w:tcPr>
            <w:tcW w:w="4484" w:type="dxa"/>
          </w:tcPr>
          <w:p>
            <w:pPr>
              <w:pStyle w:val="TableParagraph"/>
              <w:spacing w:line="185" w:lineRule="exact" w:before="20"/>
              <w:ind w:left="233"/>
              <w:rPr>
                <w:sz w:val="16"/>
              </w:rPr>
            </w:pPr>
            <w:r>
              <w:rPr>
                <w:sz w:val="16"/>
              </w:rPr>
              <w:t>Perdas Técnica s/ Energia Injetada</w:t>
            </w:r>
          </w:p>
        </w:tc>
        <w:tc>
          <w:tcPr>
            <w:tcW w:w="907" w:type="dxa"/>
          </w:tcPr>
          <w:p>
            <w:pPr>
              <w:pStyle w:val="TableParagraph"/>
              <w:spacing w:line="185" w:lineRule="exact" w:before="20"/>
              <w:ind w:right="55"/>
              <w:jc w:val="right"/>
              <w:rPr>
                <w:sz w:val="16"/>
              </w:rPr>
            </w:pPr>
            <w:r>
              <w:rPr>
                <w:w w:val="95"/>
                <w:sz w:val="16"/>
              </w:rPr>
              <w:t>547,4</w:t>
            </w:r>
          </w:p>
        </w:tc>
        <w:tc>
          <w:tcPr>
            <w:tcW w:w="1132" w:type="dxa"/>
          </w:tcPr>
          <w:p>
            <w:pPr>
              <w:pStyle w:val="TableParagraph"/>
              <w:spacing w:line="185" w:lineRule="exact" w:before="20"/>
              <w:ind w:right="51"/>
              <w:jc w:val="right"/>
              <w:rPr>
                <w:sz w:val="16"/>
              </w:rPr>
            </w:pPr>
            <w:r>
              <w:rPr>
                <w:w w:val="95"/>
                <w:sz w:val="16"/>
              </w:rPr>
              <w:t>547,4</w:t>
            </w:r>
          </w:p>
        </w:tc>
        <w:tc>
          <w:tcPr>
            <w:tcW w:w="909" w:type="dxa"/>
          </w:tcPr>
          <w:p>
            <w:pPr>
              <w:pStyle w:val="TableParagraph"/>
              <w:spacing w:line="185" w:lineRule="exact" w:before="20"/>
              <w:ind w:right="53"/>
              <w:jc w:val="right"/>
              <w:rPr>
                <w:sz w:val="16"/>
              </w:rPr>
            </w:pPr>
            <w:r>
              <w:rPr>
                <w:w w:val="95"/>
                <w:sz w:val="16"/>
              </w:rPr>
              <w:t>571,4</w:t>
            </w:r>
          </w:p>
        </w:tc>
        <w:tc>
          <w:tcPr>
            <w:tcW w:w="1190" w:type="dxa"/>
          </w:tcPr>
          <w:p>
            <w:pPr>
              <w:pStyle w:val="TableParagraph"/>
              <w:spacing w:line="185" w:lineRule="exact" w:before="20"/>
              <w:ind w:right="54"/>
              <w:jc w:val="right"/>
              <w:rPr>
                <w:sz w:val="16"/>
              </w:rPr>
            </w:pPr>
            <w:r>
              <w:rPr>
                <w:w w:val="105"/>
                <w:sz w:val="16"/>
              </w:rPr>
              <w:t>24</w:t>
            </w:r>
          </w:p>
        </w:tc>
        <w:tc>
          <w:tcPr>
            <w:tcW w:w="1290" w:type="dxa"/>
          </w:tcPr>
          <w:p>
            <w:pPr>
              <w:pStyle w:val="TableParagraph"/>
              <w:spacing w:line="185" w:lineRule="exact" w:before="20"/>
              <w:ind w:right="51"/>
              <w:jc w:val="right"/>
              <w:rPr>
                <w:sz w:val="16"/>
              </w:rPr>
            </w:pPr>
            <w:r>
              <w:rPr>
                <w:w w:val="105"/>
                <w:sz w:val="16"/>
              </w:rPr>
              <w:t>4,39%</w:t>
            </w:r>
          </w:p>
        </w:tc>
      </w:tr>
      <w:tr>
        <w:trPr>
          <w:trHeight w:val="227" w:hRule="atLeast"/>
        </w:trPr>
        <w:tc>
          <w:tcPr>
            <w:tcW w:w="4484" w:type="dxa"/>
          </w:tcPr>
          <w:p>
            <w:pPr>
              <w:pStyle w:val="TableParagraph"/>
              <w:spacing w:line="185" w:lineRule="exact" w:before="22"/>
              <w:ind w:left="233"/>
              <w:rPr>
                <w:sz w:val="16"/>
              </w:rPr>
            </w:pPr>
            <w:r>
              <w:rPr>
                <w:sz w:val="16"/>
              </w:rPr>
              <w:t>Perdas Não Técnica s/ Mercado BT</w:t>
            </w:r>
          </w:p>
        </w:tc>
        <w:tc>
          <w:tcPr>
            <w:tcW w:w="907" w:type="dxa"/>
          </w:tcPr>
          <w:p>
            <w:pPr>
              <w:pStyle w:val="TableParagraph"/>
              <w:spacing w:line="185" w:lineRule="exact" w:before="22"/>
              <w:ind w:right="55"/>
              <w:jc w:val="right"/>
              <w:rPr>
                <w:sz w:val="16"/>
              </w:rPr>
            </w:pPr>
            <w:r>
              <w:rPr>
                <w:w w:val="95"/>
                <w:sz w:val="16"/>
              </w:rPr>
              <w:t>278,6</w:t>
            </w:r>
          </w:p>
        </w:tc>
        <w:tc>
          <w:tcPr>
            <w:tcW w:w="1132" w:type="dxa"/>
          </w:tcPr>
          <w:p>
            <w:pPr>
              <w:pStyle w:val="TableParagraph"/>
              <w:spacing w:line="185" w:lineRule="exact" w:before="22"/>
              <w:ind w:right="51"/>
              <w:jc w:val="right"/>
              <w:rPr>
                <w:sz w:val="16"/>
              </w:rPr>
            </w:pPr>
            <w:r>
              <w:rPr>
                <w:w w:val="95"/>
                <w:sz w:val="16"/>
              </w:rPr>
              <w:t>278,6</w:t>
            </w:r>
          </w:p>
        </w:tc>
        <w:tc>
          <w:tcPr>
            <w:tcW w:w="909" w:type="dxa"/>
          </w:tcPr>
          <w:p>
            <w:pPr>
              <w:pStyle w:val="TableParagraph"/>
              <w:spacing w:line="185" w:lineRule="exact" w:before="22"/>
              <w:ind w:right="53"/>
              <w:jc w:val="right"/>
              <w:rPr>
                <w:sz w:val="16"/>
              </w:rPr>
            </w:pPr>
            <w:r>
              <w:rPr>
                <w:w w:val="95"/>
                <w:sz w:val="16"/>
              </w:rPr>
              <w:t>277,9</w:t>
            </w:r>
          </w:p>
        </w:tc>
        <w:tc>
          <w:tcPr>
            <w:tcW w:w="1190" w:type="dxa"/>
          </w:tcPr>
          <w:p>
            <w:pPr>
              <w:pStyle w:val="TableParagraph"/>
              <w:spacing w:line="185" w:lineRule="exact" w:before="22"/>
              <w:ind w:right="53"/>
              <w:jc w:val="right"/>
              <w:rPr>
                <w:sz w:val="16"/>
              </w:rPr>
            </w:pPr>
            <w:r>
              <w:rPr>
                <w:w w:val="95"/>
                <w:sz w:val="16"/>
              </w:rPr>
              <w:t>(0,7)</w:t>
            </w:r>
          </w:p>
        </w:tc>
        <w:tc>
          <w:tcPr>
            <w:tcW w:w="1290" w:type="dxa"/>
          </w:tcPr>
          <w:p>
            <w:pPr>
              <w:pStyle w:val="TableParagraph"/>
              <w:spacing w:line="185" w:lineRule="exact" w:before="22"/>
              <w:ind w:right="52"/>
              <w:jc w:val="right"/>
              <w:rPr>
                <w:sz w:val="16"/>
              </w:rPr>
            </w:pPr>
            <w:r>
              <w:rPr>
                <w:w w:val="105"/>
                <w:sz w:val="16"/>
              </w:rPr>
              <w:t>(0,24)%</w:t>
            </w:r>
          </w:p>
        </w:tc>
      </w:tr>
      <w:tr>
        <w:trPr>
          <w:trHeight w:val="227" w:hRule="atLeast"/>
        </w:trPr>
        <w:tc>
          <w:tcPr>
            <w:tcW w:w="4484" w:type="dxa"/>
            <w:tcBorders>
              <w:bottom w:val="single" w:sz="8" w:space="0" w:color="A6A6A6"/>
            </w:tcBorders>
          </w:tcPr>
          <w:p>
            <w:pPr>
              <w:pStyle w:val="TableParagraph"/>
              <w:spacing w:line="187" w:lineRule="exact" w:before="20"/>
              <w:ind w:left="72"/>
              <w:rPr>
                <w:rFonts w:ascii="Caladea" w:hAnsi="Caladea"/>
                <w:b/>
                <w:sz w:val="16"/>
              </w:rPr>
            </w:pPr>
            <w:r>
              <w:rPr>
                <w:rFonts w:ascii="Caladea" w:hAnsi="Caladea"/>
                <w:b/>
                <w:sz w:val="16"/>
              </w:rPr>
              <w:t>Perdas Acima da Regulatória = (C-A)</w:t>
            </w:r>
          </w:p>
        </w:tc>
        <w:tc>
          <w:tcPr>
            <w:tcW w:w="907" w:type="dxa"/>
            <w:tcBorders>
              <w:bottom w:val="single" w:sz="8" w:space="0" w:color="A6A6A6"/>
            </w:tcBorders>
          </w:tcPr>
          <w:p>
            <w:pPr>
              <w:pStyle w:val="TableParagraph"/>
              <w:spacing w:line="187" w:lineRule="exact" w:before="20"/>
              <w:ind w:right="54"/>
              <w:jc w:val="right"/>
              <w:rPr>
                <w:rFonts w:ascii="Caladea"/>
                <w:b/>
                <w:sz w:val="16"/>
              </w:rPr>
            </w:pPr>
            <w:r>
              <w:rPr>
                <w:rFonts w:ascii="Caladea"/>
                <w:b/>
                <w:sz w:val="16"/>
              </w:rPr>
              <w:t>97</w:t>
            </w:r>
          </w:p>
        </w:tc>
        <w:tc>
          <w:tcPr>
            <w:tcW w:w="1132" w:type="dxa"/>
            <w:tcBorders>
              <w:bottom w:val="single" w:sz="8" w:space="0" w:color="A6A6A6"/>
            </w:tcBorders>
          </w:tcPr>
          <w:p>
            <w:pPr>
              <w:pStyle w:val="TableParagraph"/>
              <w:spacing w:line="187" w:lineRule="exact" w:before="20"/>
              <w:ind w:right="52"/>
              <w:jc w:val="right"/>
              <w:rPr>
                <w:rFonts w:ascii="Caladea"/>
                <w:b/>
                <w:sz w:val="16"/>
              </w:rPr>
            </w:pPr>
            <w:r>
              <w:rPr>
                <w:rFonts w:ascii="Caladea"/>
                <w:b/>
                <w:sz w:val="16"/>
              </w:rPr>
              <w:t>84,7</w:t>
            </w:r>
          </w:p>
        </w:tc>
        <w:tc>
          <w:tcPr>
            <w:tcW w:w="909" w:type="dxa"/>
            <w:tcBorders>
              <w:bottom w:val="single" w:sz="8" w:space="0" w:color="A6A6A6"/>
            </w:tcBorders>
          </w:tcPr>
          <w:p>
            <w:pPr>
              <w:pStyle w:val="TableParagraph"/>
              <w:spacing w:line="187" w:lineRule="exact" w:before="20"/>
              <w:ind w:right="54"/>
              <w:jc w:val="right"/>
              <w:rPr>
                <w:rFonts w:ascii="Caladea"/>
                <w:b/>
                <w:sz w:val="16"/>
              </w:rPr>
            </w:pPr>
            <w:r>
              <w:rPr>
                <w:rFonts w:ascii="Caladea"/>
                <w:b/>
                <w:sz w:val="16"/>
              </w:rPr>
              <w:t>233,7</w:t>
            </w:r>
          </w:p>
        </w:tc>
        <w:tc>
          <w:tcPr>
            <w:tcW w:w="1190" w:type="dxa"/>
            <w:tcBorders>
              <w:bottom w:val="single" w:sz="8" w:space="0" w:color="A6A6A6"/>
            </w:tcBorders>
          </w:tcPr>
          <w:p>
            <w:pPr>
              <w:pStyle w:val="TableParagraph"/>
              <w:spacing w:line="187" w:lineRule="exact" w:before="20"/>
              <w:ind w:right="53"/>
              <w:jc w:val="right"/>
              <w:rPr>
                <w:rFonts w:ascii="Caladea"/>
                <w:b/>
                <w:sz w:val="16"/>
              </w:rPr>
            </w:pPr>
            <w:r>
              <w:rPr>
                <w:rFonts w:ascii="Caladea"/>
                <w:b/>
                <w:sz w:val="16"/>
              </w:rPr>
              <w:t>149</w:t>
            </w:r>
          </w:p>
        </w:tc>
        <w:tc>
          <w:tcPr>
            <w:tcW w:w="1290" w:type="dxa"/>
            <w:tcBorders>
              <w:bottom w:val="single" w:sz="8" w:space="0" w:color="A6A6A6"/>
            </w:tcBorders>
          </w:tcPr>
          <w:p>
            <w:pPr>
              <w:pStyle w:val="TableParagraph"/>
              <w:spacing w:line="187" w:lineRule="exact" w:before="20"/>
              <w:ind w:right="50"/>
              <w:jc w:val="right"/>
              <w:rPr>
                <w:rFonts w:ascii="Caladea"/>
                <w:b/>
                <w:sz w:val="16"/>
              </w:rPr>
            </w:pPr>
            <w:r>
              <w:rPr>
                <w:rFonts w:ascii="Caladea"/>
                <w:b/>
                <w:sz w:val="16"/>
              </w:rPr>
              <w:t>175,90%</w:t>
            </w:r>
          </w:p>
        </w:tc>
      </w:tr>
      <w:tr>
        <w:trPr>
          <w:trHeight w:val="227" w:hRule="atLeast"/>
        </w:trPr>
        <w:tc>
          <w:tcPr>
            <w:tcW w:w="4484" w:type="dxa"/>
            <w:tcBorders>
              <w:top w:val="single" w:sz="8" w:space="0" w:color="A6A6A6"/>
            </w:tcBorders>
          </w:tcPr>
          <w:p>
            <w:pPr>
              <w:pStyle w:val="TableParagraph"/>
              <w:spacing w:before="18"/>
              <w:ind w:left="72"/>
              <w:rPr>
                <w:rFonts w:ascii="Caladea" w:hAnsi="Caladea"/>
                <w:b/>
                <w:sz w:val="16"/>
              </w:rPr>
            </w:pPr>
            <w:r>
              <w:rPr>
                <w:rFonts w:ascii="Caladea" w:hAnsi="Caladea"/>
                <w:b/>
                <w:sz w:val="16"/>
              </w:rPr>
              <w:t>Perdas na Distribuição s/ Energia Injetada = (C/A)</w:t>
            </w:r>
          </w:p>
        </w:tc>
        <w:tc>
          <w:tcPr>
            <w:tcW w:w="907" w:type="dxa"/>
            <w:tcBorders>
              <w:top w:val="single" w:sz="8" w:space="0" w:color="A6A6A6"/>
            </w:tcBorders>
          </w:tcPr>
          <w:p>
            <w:pPr>
              <w:pStyle w:val="TableParagraph"/>
              <w:spacing w:before="18"/>
              <w:ind w:right="54"/>
              <w:jc w:val="right"/>
              <w:rPr>
                <w:rFonts w:ascii="Caladea"/>
                <w:b/>
                <w:sz w:val="16"/>
              </w:rPr>
            </w:pPr>
            <w:r>
              <w:rPr>
                <w:rFonts w:ascii="Caladea"/>
                <w:b/>
                <w:sz w:val="16"/>
              </w:rPr>
              <w:t>12,58%</w:t>
            </w:r>
          </w:p>
        </w:tc>
        <w:tc>
          <w:tcPr>
            <w:tcW w:w="1132" w:type="dxa"/>
            <w:tcBorders>
              <w:top w:val="single" w:sz="8" w:space="0" w:color="A6A6A6"/>
            </w:tcBorders>
          </w:tcPr>
          <w:p>
            <w:pPr>
              <w:pStyle w:val="TableParagraph"/>
              <w:spacing w:before="18"/>
              <w:ind w:right="51"/>
              <w:jc w:val="right"/>
              <w:rPr>
                <w:rFonts w:ascii="Caladea"/>
                <w:b/>
                <w:sz w:val="16"/>
              </w:rPr>
            </w:pPr>
            <w:r>
              <w:rPr>
                <w:rFonts w:ascii="Caladea"/>
                <w:b/>
                <w:sz w:val="16"/>
              </w:rPr>
              <w:t>12,41%</w:t>
            </w:r>
          </w:p>
        </w:tc>
        <w:tc>
          <w:tcPr>
            <w:tcW w:w="909" w:type="dxa"/>
            <w:tcBorders>
              <w:top w:val="single" w:sz="8" w:space="0" w:color="A6A6A6"/>
            </w:tcBorders>
          </w:tcPr>
          <w:p>
            <w:pPr>
              <w:pStyle w:val="TableParagraph"/>
              <w:spacing w:before="18"/>
              <w:ind w:right="52"/>
              <w:jc w:val="right"/>
              <w:rPr>
                <w:rFonts w:ascii="Caladea"/>
                <w:b/>
                <w:sz w:val="16"/>
              </w:rPr>
            </w:pPr>
            <w:r>
              <w:rPr>
                <w:rFonts w:ascii="Caladea"/>
                <w:b/>
                <w:sz w:val="16"/>
              </w:rPr>
              <w:t>14,14%</w:t>
            </w:r>
          </w:p>
        </w:tc>
        <w:tc>
          <w:tcPr>
            <w:tcW w:w="1190" w:type="dxa"/>
            <w:tcBorders>
              <w:top w:val="single" w:sz="8" w:space="0" w:color="A6A6A6"/>
            </w:tcBorders>
          </w:tcPr>
          <w:p>
            <w:pPr>
              <w:pStyle w:val="TableParagraph"/>
              <w:spacing w:before="18"/>
              <w:ind w:right="52"/>
              <w:jc w:val="right"/>
              <w:rPr>
                <w:rFonts w:ascii="Caladea"/>
                <w:b/>
                <w:sz w:val="16"/>
              </w:rPr>
            </w:pPr>
            <w:r>
              <w:rPr>
                <w:rFonts w:ascii="Caladea"/>
                <w:b/>
                <w:sz w:val="16"/>
              </w:rPr>
              <w:t>1,73p.p</w:t>
            </w:r>
          </w:p>
        </w:tc>
        <w:tc>
          <w:tcPr>
            <w:tcW w:w="1290" w:type="dxa"/>
            <w:tcBorders>
              <w:top w:val="single" w:sz="8" w:space="0" w:color="A6A6A6"/>
            </w:tcBorders>
          </w:tcPr>
          <w:p>
            <w:pPr>
              <w:pStyle w:val="TableParagraph"/>
              <w:spacing w:before="18"/>
              <w:ind w:right="51"/>
              <w:jc w:val="right"/>
              <w:rPr>
                <w:rFonts w:ascii="Caladea"/>
                <w:b/>
                <w:sz w:val="16"/>
              </w:rPr>
            </w:pPr>
            <w:r>
              <w:rPr>
                <w:rFonts w:ascii="Caladea"/>
                <w:b/>
                <w:sz w:val="16"/>
              </w:rPr>
              <w:t>n.a</w:t>
            </w:r>
          </w:p>
        </w:tc>
      </w:tr>
      <w:tr>
        <w:trPr>
          <w:trHeight w:val="227" w:hRule="atLeast"/>
        </w:trPr>
        <w:tc>
          <w:tcPr>
            <w:tcW w:w="4484" w:type="dxa"/>
          </w:tcPr>
          <w:p>
            <w:pPr>
              <w:pStyle w:val="TableParagraph"/>
              <w:spacing w:before="20"/>
              <w:ind w:left="233"/>
              <w:rPr>
                <w:sz w:val="16"/>
              </w:rPr>
            </w:pPr>
            <w:r>
              <w:rPr>
                <w:sz w:val="16"/>
              </w:rPr>
              <w:t>Perdas Técnica s/ Energia Injetada (CEB=ANEEL)*</w:t>
            </w:r>
          </w:p>
        </w:tc>
        <w:tc>
          <w:tcPr>
            <w:tcW w:w="907" w:type="dxa"/>
          </w:tcPr>
          <w:p>
            <w:pPr>
              <w:pStyle w:val="TableParagraph"/>
              <w:spacing w:before="20"/>
              <w:ind w:right="55"/>
              <w:jc w:val="right"/>
              <w:rPr>
                <w:sz w:val="16"/>
              </w:rPr>
            </w:pPr>
            <w:r>
              <w:rPr>
                <w:w w:val="105"/>
                <w:sz w:val="16"/>
              </w:rPr>
              <w:t>7,46%</w:t>
            </w:r>
          </w:p>
        </w:tc>
        <w:tc>
          <w:tcPr>
            <w:tcW w:w="1132" w:type="dxa"/>
          </w:tcPr>
          <w:p>
            <w:pPr>
              <w:pStyle w:val="TableParagraph"/>
              <w:spacing w:before="20"/>
              <w:ind w:right="52"/>
              <w:jc w:val="right"/>
              <w:rPr>
                <w:sz w:val="16"/>
              </w:rPr>
            </w:pPr>
            <w:r>
              <w:rPr>
                <w:w w:val="105"/>
                <w:sz w:val="16"/>
              </w:rPr>
              <w:t>7,46%</w:t>
            </w:r>
          </w:p>
        </w:tc>
        <w:tc>
          <w:tcPr>
            <w:tcW w:w="909" w:type="dxa"/>
          </w:tcPr>
          <w:p>
            <w:pPr>
              <w:pStyle w:val="TableParagraph"/>
              <w:spacing w:before="20"/>
              <w:ind w:right="53"/>
              <w:jc w:val="right"/>
              <w:rPr>
                <w:sz w:val="16"/>
              </w:rPr>
            </w:pPr>
            <w:r>
              <w:rPr>
                <w:w w:val="105"/>
                <w:sz w:val="16"/>
              </w:rPr>
              <w:t>7,46%</w:t>
            </w:r>
          </w:p>
        </w:tc>
        <w:tc>
          <w:tcPr>
            <w:tcW w:w="1190" w:type="dxa"/>
          </w:tcPr>
          <w:p>
            <w:pPr>
              <w:pStyle w:val="TableParagraph"/>
              <w:rPr>
                <w:rFonts w:ascii="Times New Roman"/>
                <w:sz w:val="16"/>
              </w:rPr>
            </w:pPr>
          </w:p>
        </w:tc>
        <w:tc>
          <w:tcPr>
            <w:tcW w:w="1290" w:type="dxa"/>
          </w:tcPr>
          <w:p>
            <w:pPr>
              <w:pStyle w:val="TableParagraph"/>
              <w:spacing w:before="20"/>
              <w:ind w:right="51"/>
              <w:jc w:val="right"/>
              <w:rPr>
                <w:sz w:val="16"/>
              </w:rPr>
            </w:pPr>
            <w:r>
              <w:rPr>
                <w:w w:val="85"/>
                <w:sz w:val="16"/>
              </w:rPr>
              <w:t>n.a</w:t>
            </w:r>
          </w:p>
        </w:tc>
      </w:tr>
      <w:tr>
        <w:trPr>
          <w:trHeight w:val="225" w:hRule="atLeast"/>
        </w:trPr>
        <w:tc>
          <w:tcPr>
            <w:tcW w:w="4484" w:type="dxa"/>
          </w:tcPr>
          <w:p>
            <w:pPr>
              <w:pStyle w:val="TableParagraph"/>
              <w:spacing w:line="185" w:lineRule="exact" w:before="20"/>
              <w:ind w:left="233"/>
              <w:rPr>
                <w:sz w:val="16"/>
              </w:rPr>
            </w:pPr>
            <w:r>
              <w:rPr>
                <w:sz w:val="16"/>
              </w:rPr>
              <w:t>Perdas Não Técnica s/ Mercado BT (CEB)</w:t>
            </w:r>
          </w:p>
        </w:tc>
        <w:tc>
          <w:tcPr>
            <w:tcW w:w="907" w:type="dxa"/>
          </w:tcPr>
          <w:p>
            <w:pPr>
              <w:pStyle w:val="TableParagraph"/>
              <w:spacing w:line="185" w:lineRule="exact" w:before="20"/>
              <w:ind w:right="55"/>
              <w:jc w:val="right"/>
              <w:rPr>
                <w:sz w:val="16"/>
              </w:rPr>
            </w:pPr>
            <w:r>
              <w:rPr>
                <w:w w:val="105"/>
                <w:sz w:val="16"/>
              </w:rPr>
              <w:t>5,12%</w:t>
            </w:r>
          </w:p>
        </w:tc>
        <w:tc>
          <w:tcPr>
            <w:tcW w:w="1132" w:type="dxa"/>
          </w:tcPr>
          <w:p>
            <w:pPr>
              <w:pStyle w:val="TableParagraph"/>
              <w:spacing w:line="185" w:lineRule="exact" w:before="20"/>
              <w:ind w:right="52"/>
              <w:jc w:val="right"/>
              <w:rPr>
                <w:sz w:val="16"/>
              </w:rPr>
            </w:pPr>
            <w:r>
              <w:rPr>
                <w:w w:val="105"/>
                <w:sz w:val="16"/>
              </w:rPr>
              <w:t>4,95%</w:t>
            </w:r>
          </w:p>
        </w:tc>
        <w:tc>
          <w:tcPr>
            <w:tcW w:w="909" w:type="dxa"/>
          </w:tcPr>
          <w:p>
            <w:pPr>
              <w:pStyle w:val="TableParagraph"/>
              <w:spacing w:line="185" w:lineRule="exact" w:before="20"/>
              <w:ind w:right="53"/>
              <w:jc w:val="right"/>
              <w:rPr>
                <w:sz w:val="16"/>
              </w:rPr>
            </w:pPr>
            <w:r>
              <w:rPr>
                <w:w w:val="105"/>
                <w:sz w:val="16"/>
              </w:rPr>
              <w:t>6,68%</w:t>
            </w:r>
          </w:p>
        </w:tc>
        <w:tc>
          <w:tcPr>
            <w:tcW w:w="1190" w:type="dxa"/>
          </w:tcPr>
          <w:p>
            <w:pPr>
              <w:pStyle w:val="TableParagraph"/>
              <w:spacing w:line="185" w:lineRule="exact" w:before="20"/>
              <w:ind w:right="51"/>
              <w:jc w:val="right"/>
              <w:rPr>
                <w:sz w:val="16"/>
              </w:rPr>
            </w:pPr>
            <w:r>
              <w:rPr>
                <w:w w:val="90"/>
                <w:sz w:val="16"/>
              </w:rPr>
              <w:t>1,73p.p</w:t>
            </w:r>
          </w:p>
        </w:tc>
        <w:tc>
          <w:tcPr>
            <w:tcW w:w="1290" w:type="dxa"/>
          </w:tcPr>
          <w:p>
            <w:pPr>
              <w:pStyle w:val="TableParagraph"/>
              <w:spacing w:line="185" w:lineRule="exact" w:before="20"/>
              <w:ind w:right="51"/>
              <w:jc w:val="right"/>
              <w:rPr>
                <w:sz w:val="16"/>
              </w:rPr>
            </w:pPr>
            <w:r>
              <w:rPr>
                <w:w w:val="85"/>
                <w:sz w:val="16"/>
              </w:rPr>
              <w:t>n.a</w:t>
            </w:r>
          </w:p>
        </w:tc>
      </w:tr>
      <w:tr>
        <w:trPr>
          <w:trHeight w:val="227" w:hRule="atLeast"/>
        </w:trPr>
        <w:tc>
          <w:tcPr>
            <w:tcW w:w="4484" w:type="dxa"/>
          </w:tcPr>
          <w:p>
            <w:pPr>
              <w:pStyle w:val="TableParagraph"/>
              <w:spacing w:line="185" w:lineRule="exact" w:before="22"/>
              <w:ind w:left="391"/>
              <w:rPr>
                <w:sz w:val="16"/>
              </w:rPr>
            </w:pPr>
            <w:r>
              <w:rPr>
                <w:sz w:val="16"/>
              </w:rPr>
              <w:t>Perdas Não Técnica s/ Mercado BT (CEB)</w:t>
            </w:r>
          </w:p>
        </w:tc>
        <w:tc>
          <w:tcPr>
            <w:tcW w:w="907" w:type="dxa"/>
          </w:tcPr>
          <w:p>
            <w:pPr>
              <w:pStyle w:val="TableParagraph"/>
              <w:spacing w:line="185" w:lineRule="exact" w:before="22"/>
              <w:ind w:right="55"/>
              <w:jc w:val="right"/>
              <w:rPr>
                <w:sz w:val="16"/>
              </w:rPr>
            </w:pPr>
            <w:r>
              <w:rPr>
                <w:w w:val="105"/>
                <w:sz w:val="16"/>
              </w:rPr>
              <w:t>9,50%</w:t>
            </w:r>
          </w:p>
        </w:tc>
        <w:tc>
          <w:tcPr>
            <w:tcW w:w="1132" w:type="dxa"/>
          </w:tcPr>
          <w:p>
            <w:pPr>
              <w:pStyle w:val="TableParagraph"/>
              <w:spacing w:line="185" w:lineRule="exact" w:before="22"/>
              <w:ind w:right="52"/>
              <w:jc w:val="right"/>
              <w:rPr>
                <w:sz w:val="16"/>
              </w:rPr>
            </w:pPr>
            <w:r>
              <w:rPr>
                <w:w w:val="105"/>
                <w:sz w:val="16"/>
              </w:rPr>
              <w:t>9,19%</w:t>
            </w:r>
          </w:p>
        </w:tc>
        <w:tc>
          <w:tcPr>
            <w:tcW w:w="909" w:type="dxa"/>
          </w:tcPr>
          <w:p>
            <w:pPr>
              <w:pStyle w:val="TableParagraph"/>
              <w:spacing w:line="185" w:lineRule="exact" w:before="22"/>
              <w:ind w:right="54"/>
              <w:jc w:val="right"/>
              <w:rPr>
                <w:sz w:val="16"/>
              </w:rPr>
            </w:pPr>
            <w:r>
              <w:rPr>
                <w:w w:val="106"/>
                <w:sz w:val="16"/>
              </w:rPr>
              <w:t>1</w:t>
            </w:r>
            <w:r>
              <w:rPr>
                <w:spacing w:val="-1"/>
                <w:w w:val="106"/>
                <w:sz w:val="16"/>
              </w:rPr>
              <w:t>2</w:t>
            </w:r>
            <w:r>
              <w:rPr>
                <w:w w:val="56"/>
                <w:sz w:val="16"/>
              </w:rPr>
              <w:t>,</w:t>
            </w:r>
            <w:r>
              <w:rPr>
                <w:w w:val="106"/>
                <w:sz w:val="16"/>
              </w:rPr>
              <w:t>9</w:t>
            </w:r>
            <w:r>
              <w:rPr>
                <w:spacing w:val="-1"/>
                <w:w w:val="106"/>
                <w:sz w:val="16"/>
              </w:rPr>
              <w:t>8</w:t>
            </w:r>
            <w:r>
              <w:rPr>
                <w:w w:val="148"/>
                <w:sz w:val="16"/>
              </w:rPr>
              <w:t>%</w:t>
            </w:r>
          </w:p>
        </w:tc>
        <w:tc>
          <w:tcPr>
            <w:tcW w:w="1190" w:type="dxa"/>
          </w:tcPr>
          <w:p>
            <w:pPr>
              <w:pStyle w:val="TableParagraph"/>
              <w:spacing w:line="185" w:lineRule="exact" w:before="22"/>
              <w:ind w:right="51"/>
              <w:jc w:val="right"/>
              <w:rPr>
                <w:sz w:val="16"/>
              </w:rPr>
            </w:pPr>
            <w:r>
              <w:rPr>
                <w:w w:val="90"/>
                <w:sz w:val="16"/>
              </w:rPr>
              <w:t>3,79p.p</w:t>
            </w:r>
          </w:p>
        </w:tc>
        <w:tc>
          <w:tcPr>
            <w:tcW w:w="1290" w:type="dxa"/>
          </w:tcPr>
          <w:p>
            <w:pPr>
              <w:pStyle w:val="TableParagraph"/>
              <w:spacing w:line="185" w:lineRule="exact" w:before="22"/>
              <w:ind w:right="51"/>
              <w:jc w:val="right"/>
              <w:rPr>
                <w:sz w:val="16"/>
              </w:rPr>
            </w:pPr>
            <w:r>
              <w:rPr>
                <w:w w:val="85"/>
                <w:sz w:val="16"/>
              </w:rPr>
              <w:t>n.a</w:t>
            </w:r>
          </w:p>
        </w:tc>
      </w:tr>
      <w:tr>
        <w:trPr>
          <w:trHeight w:val="228" w:hRule="atLeast"/>
        </w:trPr>
        <w:tc>
          <w:tcPr>
            <w:tcW w:w="4484" w:type="dxa"/>
          </w:tcPr>
          <w:p>
            <w:pPr>
              <w:pStyle w:val="TableParagraph"/>
              <w:spacing w:before="19"/>
              <w:ind w:left="72"/>
              <w:rPr>
                <w:rFonts w:ascii="Caladea" w:hAnsi="Caladea"/>
                <w:b/>
                <w:sz w:val="16"/>
              </w:rPr>
            </w:pPr>
            <w:r>
              <w:rPr>
                <w:rFonts w:ascii="Caladea" w:hAnsi="Caladea"/>
                <w:b/>
                <w:sz w:val="16"/>
              </w:rPr>
              <w:t>Perdas Regulatórias s/ Energia Injetada = (D/A)</w:t>
            </w:r>
          </w:p>
        </w:tc>
        <w:tc>
          <w:tcPr>
            <w:tcW w:w="907" w:type="dxa"/>
          </w:tcPr>
          <w:p>
            <w:pPr>
              <w:pStyle w:val="TableParagraph"/>
              <w:spacing w:before="19"/>
              <w:ind w:right="54"/>
              <w:jc w:val="right"/>
              <w:rPr>
                <w:rFonts w:ascii="Caladea"/>
                <w:b/>
                <w:sz w:val="16"/>
              </w:rPr>
            </w:pPr>
            <w:r>
              <w:rPr>
                <w:rFonts w:ascii="Caladea"/>
                <w:b/>
                <w:sz w:val="16"/>
              </w:rPr>
              <w:t>11,26%</w:t>
            </w:r>
          </w:p>
        </w:tc>
        <w:tc>
          <w:tcPr>
            <w:tcW w:w="1132" w:type="dxa"/>
          </w:tcPr>
          <w:p>
            <w:pPr>
              <w:pStyle w:val="TableParagraph"/>
              <w:spacing w:before="19"/>
              <w:ind w:right="51"/>
              <w:jc w:val="right"/>
              <w:rPr>
                <w:rFonts w:ascii="Caladea"/>
                <w:b/>
                <w:sz w:val="16"/>
              </w:rPr>
            </w:pPr>
            <w:r>
              <w:rPr>
                <w:rFonts w:ascii="Caladea"/>
                <w:b/>
                <w:sz w:val="16"/>
              </w:rPr>
              <w:t>11,26%</w:t>
            </w:r>
          </w:p>
        </w:tc>
        <w:tc>
          <w:tcPr>
            <w:tcW w:w="909" w:type="dxa"/>
          </w:tcPr>
          <w:p>
            <w:pPr>
              <w:pStyle w:val="TableParagraph"/>
              <w:spacing w:before="19"/>
              <w:ind w:right="52"/>
              <w:jc w:val="right"/>
              <w:rPr>
                <w:rFonts w:ascii="Caladea"/>
                <w:b/>
                <w:sz w:val="16"/>
              </w:rPr>
            </w:pPr>
            <w:r>
              <w:rPr>
                <w:rFonts w:ascii="Caladea"/>
                <w:b/>
                <w:sz w:val="16"/>
              </w:rPr>
              <w:t>11,09%</w:t>
            </w:r>
          </w:p>
        </w:tc>
        <w:tc>
          <w:tcPr>
            <w:tcW w:w="1190" w:type="dxa"/>
          </w:tcPr>
          <w:p>
            <w:pPr>
              <w:pStyle w:val="TableParagraph"/>
              <w:spacing w:before="19"/>
              <w:ind w:right="52"/>
              <w:jc w:val="right"/>
              <w:rPr>
                <w:rFonts w:ascii="Caladea"/>
                <w:b/>
                <w:sz w:val="16"/>
              </w:rPr>
            </w:pPr>
            <w:r>
              <w:rPr>
                <w:rFonts w:ascii="Caladea"/>
                <w:b/>
                <w:sz w:val="16"/>
              </w:rPr>
              <w:t>(0,17)p.p</w:t>
            </w:r>
          </w:p>
        </w:tc>
        <w:tc>
          <w:tcPr>
            <w:tcW w:w="1290" w:type="dxa"/>
          </w:tcPr>
          <w:p>
            <w:pPr>
              <w:pStyle w:val="TableParagraph"/>
              <w:spacing w:before="19"/>
              <w:ind w:right="51"/>
              <w:jc w:val="right"/>
              <w:rPr>
                <w:rFonts w:ascii="Caladea"/>
                <w:b/>
                <w:sz w:val="16"/>
              </w:rPr>
            </w:pPr>
            <w:r>
              <w:rPr>
                <w:rFonts w:ascii="Caladea"/>
                <w:b/>
                <w:sz w:val="16"/>
              </w:rPr>
              <w:t>n.a</w:t>
            </w:r>
          </w:p>
        </w:tc>
      </w:tr>
      <w:tr>
        <w:trPr>
          <w:trHeight w:val="227" w:hRule="atLeast"/>
        </w:trPr>
        <w:tc>
          <w:tcPr>
            <w:tcW w:w="4484" w:type="dxa"/>
          </w:tcPr>
          <w:p>
            <w:pPr>
              <w:pStyle w:val="TableParagraph"/>
              <w:spacing w:before="20"/>
              <w:ind w:left="233"/>
              <w:rPr>
                <w:sz w:val="16"/>
              </w:rPr>
            </w:pPr>
            <w:r>
              <w:rPr>
                <w:sz w:val="16"/>
              </w:rPr>
              <w:t>Perdas Técnica s/ Energia Injetada (ANEEL)*</w:t>
            </w:r>
          </w:p>
        </w:tc>
        <w:tc>
          <w:tcPr>
            <w:tcW w:w="907" w:type="dxa"/>
          </w:tcPr>
          <w:p>
            <w:pPr>
              <w:pStyle w:val="TableParagraph"/>
              <w:spacing w:before="20"/>
              <w:ind w:right="55"/>
              <w:jc w:val="right"/>
              <w:rPr>
                <w:sz w:val="16"/>
              </w:rPr>
            </w:pPr>
            <w:r>
              <w:rPr>
                <w:w w:val="105"/>
                <w:sz w:val="16"/>
              </w:rPr>
              <w:t>7,46%</w:t>
            </w:r>
          </w:p>
        </w:tc>
        <w:tc>
          <w:tcPr>
            <w:tcW w:w="1132" w:type="dxa"/>
          </w:tcPr>
          <w:p>
            <w:pPr>
              <w:pStyle w:val="TableParagraph"/>
              <w:spacing w:before="20"/>
              <w:ind w:right="52"/>
              <w:jc w:val="right"/>
              <w:rPr>
                <w:sz w:val="16"/>
              </w:rPr>
            </w:pPr>
            <w:r>
              <w:rPr>
                <w:w w:val="105"/>
                <w:sz w:val="16"/>
              </w:rPr>
              <w:t>7,46%</w:t>
            </w:r>
          </w:p>
        </w:tc>
        <w:tc>
          <w:tcPr>
            <w:tcW w:w="909" w:type="dxa"/>
          </w:tcPr>
          <w:p>
            <w:pPr>
              <w:pStyle w:val="TableParagraph"/>
              <w:spacing w:before="20"/>
              <w:ind w:right="53"/>
              <w:jc w:val="right"/>
              <w:rPr>
                <w:sz w:val="16"/>
              </w:rPr>
            </w:pPr>
            <w:r>
              <w:rPr>
                <w:w w:val="105"/>
                <w:sz w:val="16"/>
              </w:rPr>
              <w:t>7,46%</w:t>
            </w:r>
          </w:p>
        </w:tc>
        <w:tc>
          <w:tcPr>
            <w:tcW w:w="1190" w:type="dxa"/>
          </w:tcPr>
          <w:p>
            <w:pPr>
              <w:pStyle w:val="TableParagraph"/>
              <w:spacing w:before="20"/>
              <w:ind w:right="51"/>
              <w:jc w:val="right"/>
              <w:rPr>
                <w:sz w:val="16"/>
              </w:rPr>
            </w:pPr>
            <w:r>
              <w:rPr>
                <w:w w:val="90"/>
                <w:sz w:val="16"/>
              </w:rPr>
              <w:t>7,03p.p</w:t>
            </w:r>
          </w:p>
        </w:tc>
        <w:tc>
          <w:tcPr>
            <w:tcW w:w="1290" w:type="dxa"/>
          </w:tcPr>
          <w:p>
            <w:pPr>
              <w:pStyle w:val="TableParagraph"/>
              <w:spacing w:before="20"/>
              <w:ind w:right="51"/>
              <w:jc w:val="right"/>
              <w:rPr>
                <w:sz w:val="16"/>
              </w:rPr>
            </w:pPr>
            <w:r>
              <w:rPr>
                <w:w w:val="85"/>
                <w:sz w:val="16"/>
              </w:rPr>
              <w:t>n.a</w:t>
            </w:r>
          </w:p>
        </w:tc>
      </w:tr>
      <w:tr>
        <w:trPr>
          <w:trHeight w:val="225" w:hRule="atLeast"/>
        </w:trPr>
        <w:tc>
          <w:tcPr>
            <w:tcW w:w="4484" w:type="dxa"/>
          </w:tcPr>
          <w:p>
            <w:pPr>
              <w:pStyle w:val="TableParagraph"/>
              <w:spacing w:line="185" w:lineRule="exact" w:before="20"/>
              <w:ind w:left="233"/>
              <w:rPr>
                <w:sz w:val="16"/>
              </w:rPr>
            </w:pPr>
            <w:r>
              <w:rPr>
                <w:sz w:val="16"/>
              </w:rPr>
              <w:t>Perdas Não Técnica s/ Energia Injetada (ANEEL)</w:t>
            </w:r>
          </w:p>
        </w:tc>
        <w:tc>
          <w:tcPr>
            <w:tcW w:w="907" w:type="dxa"/>
          </w:tcPr>
          <w:p>
            <w:pPr>
              <w:pStyle w:val="TableParagraph"/>
              <w:spacing w:line="185" w:lineRule="exact" w:before="20"/>
              <w:ind w:right="55"/>
              <w:jc w:val="right"/>
              <w:rPr>
                <w:sz w:val="16"/>
              </w:rPr>
            </w:pPr>
            <w:r>
              <w:rPr>
                <w:w w:val="105"/>
                <w:sz w:val="16"/>
              </w:rPr>
              <w:t>3,80%</w:t>
            </w:r>
          </w:p>
        </w:tc>
        <w:tc>
          <w:tcPr>
            <w:tcW w:w="1132" w:type="dxa"/>
          </w:tcPr>
          <w:p>
            <w:pPr>
              <w:pStyle w:val="TableParagraph"/>
              <w:spacing w:line="185" w:lineRule="exact" w:before="20"/>
              <w:ind w:right="52"/>
              <w:jc w:val="right"/>
              <w:rPr>
                <w:sz w:val="16"/>
              </w:rPr>
            </w:pPr>
            <w:r>
              <w:rPr>
                <w:w w:val="105"/>
                <w:sz w:val="16"/>
              </w:rPr>
              <w:t>3,80%</w:t>
            </w:r>
          </w:p>
        </w:tc>
        <w:tc>
          <w:tcPr>
            <w:tcW w:w="909" w:type="dxa"/>
          </w:tcPr>
          <w:p>
            <w:pPr>
              <w:pStyle w:val="TableParagraph"/>
              <w:spacing w:line="185" w:lineRule="exact" w:before="20"/>
              <w:ind w:right="53"/>
              <w:jc w:val="right"/>
              <w:rPr>
                <w:sz w:val="16"/>
              </w:rPr>
            </w:pPr>
            <w:r>
              <w:rPr>
                <w:w w:val="105"/>
                <w:sz w:val="16"/>
              </w:rPr>
              <w:t>3,63%</w:t>
            </w:r>
          </w:p>
        </w:tc>
        <w:tc>
          <w:tcPr>
            <w:tcW w:w="1190" w:type="dxa"/>
          </w:tcPr>
          <w:p>
            <w:pPr>
              <w:pStyle w:val="TableParagraph"/>
              <w:spacing w:line="185" w:lineRule="exact" w:before="20"/>
              <w:ind w:right="52"/>
              <w:jc w:val="right"/>
              <w:rPr>
                <w:sz w:val="16"/>
              </w:rPr>
            </w:pPr>
            <w:r>
              <w:rPr>
                <w:w w:val="90"/>
                <w:sz w:val="16"/>
              </w:rPr>
              <w:t>(0,17)p.p</w:t>
            </w:r>
          </w:p>
        </w:tc>
        <w:tc>
          <w:tcPr>
            <w:tcW w:w="1290" w:type="dxa"/>
          </w:tcPr>
          <w:p>
            <w:pPr>
              <w:pStyle w:val="TableParagraph"/>
              <w:spacing w:line="185" w:lineRule="exact" w:before="20"/>
              <w:ind w:right="51"/>
              <w:jc w:val="right"/>
              <w:rPr>
                <w:sz w:val="16"/>
              </w:rPr>
            </w:pPr>
            <w:r>
              <w:rPr>
                <w:w w:val="85"/>
                <w:sz w:val="16"/>
              </w:rPr>
              <w:t>n.a</w:t>
            </w:r>
          </w:p>
        </w:tc>
      </w:tr>
      <w:tr>
        <w:trPr>
          <w:trHeight w:val="227" w:hRule="atLeast"/>
        </w:trPr>
        <w:tc>
          <w:tcPr>
            <w:tcW w:w="4484" w:type="dxa"/>
          </w:tcPr>
          <w:p>
            <w:pPr>
              <w:pStyle w:val="TableParagraph"/>
              <w:spacing w:line="185" w:lineRule="exact" w:before="22"/>
              <w:ind w:left="391"/>
              <w:rPr>
                <w:sz w:val="16"/>
              </w:rPr>
            </w:pPr>
            <w:r>
              <w:rPr>
                <w:sz w:val="16"/>
              </w:rPr>
              <w:t>Perdas Não Técnica s/ Mercado BT (ANEEL)**</w:t>
            </w:r>
          </w:p>
        </w:tc>
        <w:tc>
          <w:tcPr>
            <w:tcW w:w="907" w:type="dxa"/>
          </w:tcPr>
          <w:p>
            <w:pPr>
              <w:pStyle w:val="TableParagraph"/>
              <w:spacing w:line="185" w:lineRule="exact" w:before="22"/>
              <w:ind w:right="55"/>
              <w:jc w:val="right"/>
              <w:rPr>
                <w:sz w:val="16"/>
              </w:rPr>
            </w:pPr>
            <w:r>
              <w:rPr>
                <w:w w:val="105"/>
                <w:sz w:val="16"/>
              </w:rPr>
              <w:t>7,05%</w:t>
            </w:r>
          </w:p>
        </w:tc>
        <w:tc>
          <w:tcPr>
            <w:tcW w:w="1132" w:type="dxa"/>
          </w:tcPr>
          <w:p>
            <w:pPr>
              <w:pStyle w:val="TableParagraph"/>
              <w:spacing w:line="185" w:lineRule="exact" w:before="22"/>
              <w:ind w:right="52"/>
              <w:jc w:val="right"/>
              <w:rPr>
                <w:sz w:val="16"/>
              </w:rPr>
            </w:pPr>
            <w:r>
              <w:rPr>
                <w:w w:val="105"/>
                <w:sz w:val="16"/>
              </w:rPr>
              <w:t>7,05%</w:t>
            </w:r>
          </w:p>
        </w:tc>
        <w:tc>
          <w:tcPr>
            <w:tcW w:w="909" w:type="dxa"/>
          </w:tcPr>
          <w:p>
            <w:pPr>
              <w:pStyle w:val="TableParagraph"/>
              <w:spacing w:line="185" w:lineRule="exact" w:before="22"/>
              <w:ind w:right="53"/>
              <w:jc w:val="right"/>
              <w:rPr>
                <w:sz w:val="16"/>
              </w:rPr>
            </w:pPr>
            <w:r>
              <w:rPr>
                <w:w w:val="105"/>
                <w:sz w:val="16"/>
              </w:rPr>
              <w:t>7,05%</w:t>
            </w:r>
          </w:p>
        </w:tc>
        <w:tc>
          <w:tcPr>
            <w:tcW w:w="1190" w:type="dxa"/>
          </w:tcPr>
          <w:p>
            <w:pPr>
              <w:pStyle w:val="TableParagraph"/>
              <w:rPr>
                <w:rFonts w:ascii="Times New Roman"/>
                <w:sz w:val="16"/>
              </w:rPr>
            </w:pPr>
          </w:p>
        </w:tc>
        <w:tc>
          <w:tcPr>
            <w:tcW w:w="1290" w:type="dxa"/>
          </w:tcPr>
          <w:p>
            <w:pPr>
              <w:pStyle w:val="TableParagraph"/>
              <w:spacing w:line="185" w:lineRule="exact" w:before="22"/>
              <w:ind w:right="51"/>
              <w:jc w:val="right"/>
              <w:rPr>
                <w:sz w:val="16"/>
              </w:rPr>
            </w:pPr>
            <w:r>
              <w:rPr>
                <w:w w:val="85"/>
                <w:sz w:val="16"/>
              </w:rPr>
              <w:t>n.a</w:t>
            </w:r>
          </w:p>
        </w:tc>
      </w:tr>
    </w:tbl>
    <w:p>
      <w:pPr>
        <w:spacing w:before="121"/>
        <w:ind w:left="192" w:right="0" w:firstLine="0"/>
        <w:jc w:val="left"/>
        <w:rPr>
          <w:sz w:val="18"/>
        </w:rPr>
      </w:pPr>
      <w:r>
        <w:rPr>
          <w:spacing w:val="-1"/>
          <w:w w:val="107"/>
          <w:sz w:val="18"/>
        </w:rPr>
        <w:t>*</w:t>
      </w:r>
      <w:r>
        <w:rPr>
          <w:w w:val="107"/>
          <w:sz w:val="18"/>
        </w:rPr>
        <w:t>P</w:t>
      </w:r>
      <w:r>
        <w:rPr>
          <w:w w:val="89"/>
          <w:sz w:val="18"/>
        </w:rPr>
        <w:t>e</w:t>
      </w:r>
      <w:r>
        <w:rPr>
          <w:w w:val="102"/>
          <w:sz w:val="18"/>
        </w:rPr>
        <w:t>r</w:t>
      </w:r>
      <w:r>
        <w:rPr>
          <w:spacing w:val="-2"/>
          <w:w w:val="102"/>
          <w:sz w:val="18"/>
        </w:rPr>
        <w:t>d</w:t>
      </w:r>
      <w:r>
        <w:rPr>
          <w:w w:val="92"/>
          <w:sz w:val="18"/>
        </w:rPr>
        <w:t>a</w:t>
      </w:r>
      <w:r>
        <w:rPr>
          <w:w w:val="106"/>
          <w:sz w:val="18"/>
        </w:rPr>
        <w:t>s</w:t>
      </w:r>
      <w:r>
        <w:rPr>
          <w:spacing w:val="-15"/>
          <w:sz w:val="18"/>
        </w:rPr>
        <w:t> </w:t>
      </w:r>
      <w:r>
        <w:rPr>
          <w:spacing w:val="-2"/>
          <w:w w:val="102"/>
          <w:sz w:val="18"/>
        </w:rPr>
        <w:t>T</w:t>
      </w:r>
      <w:r>
        <w:rPr>
          <w:w w:val="89"/>
          <w:sz w:val="18"/>
        </w:rPr>
        <w:t>é</w:t>
      </w:r>
      <w:r>
        <w:rPr>
          <w:w w:val="93"/>
          <w:sz w:val="18"/>
        </w:rPr>
        <w:t>cnic</w:t>
      </w:r>
      <w:r>
        <w:rPr>
          <w:spacing w:val="1"/>
          <w:w w:val="93"/>
          <w:sz w:val="18"/>
        </w:rPr>
        <w:t>a</w:t>
      </w:r>
      <w:r>
        <w:rPr>
          <w:w w:val="106"/>
          <w:sz w:val="18"/>
        </w:rPr>
        <w:t>s</w:t>
      </w:r>
      <w:r>
        <w:rPr>
          <w:spacing w:val="-17"/>
          <w:sz w:val="18"/>
        </w:rPr>
        <w:t> </w:t>
      </w:r>
      <w:r>
        <w:rPr>
          <w:w w:val="106"/>
          <w:sz w:val="18"/>
        </w:rPr>
        <w:t>R</w:t>
      </w:r>
      <w:r>
        <w:rPr>
          <w:w w:val="89"/>
          <w:sz w:val="18"/>
        </w:rPr>
        <w:t>e</w:t>
      </w:r>
      <w:r>
        <w:rPr>
          <w:spacing w:val="-1"/>
          <w:w w:val="99"/>
          <w:sz w:val="18"/>
        </w:rPr>
        <w:t>g</w:t>
      </w:r>
      <w:r>
        <w:rPr>
          <w:spacing w:val="-2"/>
          <w:w w:val="99"/>
          <w:sz w:val="18"/>
        </w:rPr>
        <w:t>u</w:t>
      </w:r>
      <w:r>
        <w:rPr>
          <w:spacing w:val="-1"/>
          <w:w w:val="92"/>
          <w:sz w:val="18"/>
        </w:rPr>
        <w:t>l</w:t>
      </w:r>
      <w:r>
        <w:rPr>
          <w:w w:val="92"/>
          <w:sz w:val="18"/>
        </w:rPr>
        <w:t>a</w:t>
      </w:r>
      <w:r>
        <w:rPr>
          <w:spacing w:val="-1"/>
          <w:w w:val="85"/>
          <w:sz w:val="18"/>
        </w:rPr>
        <w:t>t</w:t>
      </w:r>
      <w:r>
        <w:rPr>
          <w:w w:val="100"/>
          <w:sz w:val="18"/>
        </w:rPr>
        <w:t>óri</w:t>
      </w:r>
      <w:r>
        <w:rPr>
          <w:w w:val="92"/>
          <w:sz w:val="18"/>
        </w:rPr>
        <w:t>a</w:t>
      </w:r>
      <w:r>
        <w:rPr>
          <w:spacing w:val="-16"/>
          <w:sz w:val="18"/>
        </w:rPr>
        <w:t> </w:t>
      </w:r>
      <w:r>
        <w:rPr>
          <w:spacing w:val="-2"/>
          <w:w w:val="99"/>
          <w:sz w:val="18"/>
        </w:rPr>
        <w:t>d</w:t>
      </w:r>
      <w:r>
        <w:rPr>
          <w:w w:val="89"/>
          <w:sz w:val="18"/>
        </w:rPr>
        <w:t>e</w:t>
      </w:r>
      <w:r>
        <w:rPr>
          <w:w w:val="81"/>
          <w:sz w:val="18"/>
        </w:rPr>
        <w:t>f</w:t>
      </w:r>
      <w:r>
        <w:rPr>
          <w:w w:val="100"/>
          <w:sz w:val="18"/>
        </w:rPr>
        <w:t>in</w:t>
      </w:r>
      <w:r>
        <w:rPr>
          <w:spacing w:val="-2"/>
          <w:w w:val="97"/>
          <w:sz w:val="18"/>
        </w:rPr>
        <w:t>i</w:t>
      </w:r>
      <w:r>
        <w:rPr>
          <w:w w:val="99"/>
          <w:sz w:val="18"/>
        </w:rPr>
        <w:t>d</w:t>
      </w:r>
      <w:r>
        <w:rPr>
          <w:w w:val="92"/>
          <w:sz w:val="18"/>
        </w:rPr>
        <w:t>a</w:t>
      </w:r>
      <w:r>
        <w:rPr>
          <w:spacing w:val="-16"/>
          <w:sz w:val="18"/>
        </w:rPr>
        <w:t> </w:t>
      </w:r>
      <w:r>
        <w:rPr>
          <w:w w:val="99"/>
          <w:sz w:val="18"/>
        </w:rPr>
        <w:t>p</w:t>
      </w:r>
      <w:r>
        <w:rPr>
          <w:w w:val="89"/>
          <w:sz w:val="18"/>
        </w:rPr>
        <w:t>e</w:t>
      </w:r>
      <w:r>
        <w:rPr>
          <w:spacing w:val="-1"/>
          <w:w w:val="92"/>
          <w:sz w:val="18"/>
        </w:rPr>
        <w:t>l</w:t>
      </w:r>
      <w:r>
        <w:rPr>
          <w:w w:val="92"/>
          <w:sz w:val="18"/>
        </w:rPr>
        <w:t>a</w:t>
      </w:r>
      <w:r>
        <w:rPr>
          <w:spacing w:val="-16"/>
          <w:sz w:val="18"/>
        </w:rPr>
        <w:t> </w:t>
      </w:r>
      <w:r>
        <w:rPr>
          <w:w w:val="105"/>
          <w:sz w:val="18"/>
        </w:rPr>
        <w:t>A</w:t>
      </w:r>
      <w:r>
        <w:rPr>
          <w:w w:val="107"/>
          <w:sz w:val="18"/>
        </w:rPr>
        <w:t>NE</w:t>
      </w:r>
      <w:r>
        <w:rPr>
          <w:spacing w:val="-1"/>
          <w:w w:val="107"/>
          <w:sz w:val="18"/>
        </w:rPr>
        <w:t>E</w:t>
      </w:r>
      <w:r>
        <w:rPr>
          <w:w w:val="105"/>
          <w:sz w:val="18"/>
        </w:rPr>
        <w:t>L</w:t>
      </w:r>
      <w:r>
        <w:rPr>
          <w:spacing w:val="-15"/>
          <w:sz w:val="18"/>
        </w:rPr>
        <w:t> </w:t>
      </w:r>
      <w:r>
        <w:rPr>
          <w:spacing w:val="-1"/>
          <w:w w:val="97"/>
          <w:sz w:val="18"/>
        </w:rPr>
        <w:t>n</w:t>
      </w:r>
      <w:r>
        <w:rPr>
          <w:w w:val="97"/>
          <w:sz w:val="18"/>
        </w:rPr>
        <w:t>a</w:t>
      </w:r>
      <w:r>
        <w:rPr>
          <w:spacing w:val="-15"/>
          <w:sz w:val="18"/>
        </w:rPr>
        <w:t> </w:t>
      </w:r>
      <w:r>
        <w:rPr>
          <w:w w:val="106"/>
          <w:sz w:val="18"/>
        </w:rPr>
        <w:t>R</w:t>
      </w:r>
      <w:r>
        <w:rPr>
          <w:spacing w:val="-2"/>
          <w:w w:val="102"/>
          <w:sz w:val="18"/>
        </w:rPr>
        <w:t>T</w:t>
      </w:r>
      <w:r>
        <w:rPr>
          <w:w w:val="101"/>
          <w:sz w:val="18"/>
        </w:rPr>
        <w:t>P</w:t>
      </w:r>
      <w:r>
        <w:rPr>
          <w:spacing w:val="-15"/>
          <w:sz w:val="18"/>
        </w:rPr>
        <w:t> </w:t>
      </w:r>
      <w:r>
        <w:rPr>
          <w:w w:val="99"/>
          <w:sz w:val="18"/>
        </w:rPr>
        <w:t>d</w:t>
      </w:r>
      <w:r>
        <w:rPr>
          <w:w w:val="89"/>
          <w:sz w:val="18"/>
        </w:rPr>
        <w:t>e</w:t>
      </w:r>
      <w:r>
        <w:rPr>
          <w:spacing w:val="-15"/>
          <w:sz w:val="18"/>
        </w:rPr>
        <w:t> </w:t>
      </w:r>
      <w:r>
        <w:rPr>
          <w:spacing w:val="-2"/>
          <w:w w:val="105"/>
          <w:sz w:val="18"/>
        </w:rPr>
        <w:t>2</w:t>
      </w:r>
      <w:r>
        <w:rPr>
          <w:w w:val="105"/>
          <w:sz w:val="18"/>
        </w:rPr>
        <w:t>016</w:t>
      </w:r>
      <w:r>
        <w:rPr>
          <w:spacing w:val="-15"/>
          <w:sz w:val="18"/>
        </w:rPr>
        <w:t> </w:t>
      </w:r>
      <w:r>
        <w:rPr>
          <w:w w:val="89"/>
          <w:sz w:val="18"/>
        </w:rPr>
        <w:t>e</w:t>
      </w:r>
      <w:r>
        <w:rPr>
          <w:w w:val="100"/>
          <w:sz w:val="18"/>
        </w:rPr>
        <w:t>m</w:t>
      </w:r>
      <w:r>
        <w:rPr>
          <w:spacing w:val="-17"/>
          <w:sz w:val="18"/>
        </w:rPr>
        <w:t> </w:t>
      </w:r>
      <w:r>
        <w:rPr>
          <w:w w:val="105"/>
          <w:sz w:val="18"/>
        </w:rPr>
        <w:t>7</w:t>
      </w:r>
      <w:r>
        <w:rPr>
          <w:spacing w:val="-1"/>
          <w:w w:val="55"/>
          <w:sz w:val="18"/>
        </w:rPr>
        <w:t>,</w:t>
      </w:r>
      <w:r>
        <w:rPr>
          <w:w w:val="105"/>
          <w:sz w:val="18"/>
        </w:rPr>
        <w:t>4</w:t>
      </w:r>
      <w:r>
        <w:rPr>
          <w:spacing w:val="-2"/>
          <w:w w:val="105"/>
          <w:sz w:val="18"/>
        </w:rPr>
        <w:t>6</w:t>
      </w:r>
      <w:r>
        <w:rPr>
          <w:w w:val="148"/>
          <w:sz w:val="18"/>
        </w:rPr>
        <w:t>%</w:t>
      </w:r>
      <w:r>
        <w:rPr>
          <w:spacing w:val="-16"/>
          <w:sz w:val="18"/>
        </w:rPr>
        <w:t> </w:t>
      </w:r>
      <w:r>
        <w:rPr>
          <w:w w:val="99"/>
          <w:sz w:val="18"/>
        </w:rPr>
        <w:t>d</w:t>
      </w:r>
      <w:r>
        <w:rPr>
          <w:w w:val="92"/>
          <w:sz w:val="18"/>
        </w:rPr>
        <w:t>a</w:t>
      </w:r>
      <w:r>
        <w:rPr>
          <w:spacing w:val="-13"/>
          <w:sz w:val="18"/>
        </w:rPr>
        <w:t> </w:t>
      </w:r>
      <w:r>
        <w:rPr>
          <w:spacing w:val="-1"/>
          <w:w w:val="104"/>
          <w:sz w:val="18"/>
        </w:rPr>
        <w:t>E</w:t>
      </w:r>
      <w:r>
        <w:rPr>
          <w:spacing w:val="-3"/>
          <w:w w:val="104"/>
          <w:sz w:val="18"/>
        </w:rPr>
        <w:t>n</w:t>
      </w:r>
      <w:r>
        <w:rPr>
          <w:w w:val="89"/>
          <w:sz w:val="18"/>
        </w:rPr>
        <w:t>e</w:t>
      </w:r>
      <w:r>
        <w:rPr>
          <w:w w:val="98"/>
          <w:sz w:val="18"/>
        </w:rPr>
        <w:t>rgia</w:t>
      </w:r>
      <w:r>
        <w:rPr>
          <w:spacing w:val="-15"/>
          <w:sz w:val="18"/>
        </w:rPr>
        <w:t> </w:t>
      </w:r>
      <w:r>
        <w:rPr>
          <w:spacing w:val="-1"/>
          <w:w w:val="116"/>
          <w:sz w:val="18"/>
        </w:rPr>
        <w:t>I</w:t>
      </w:r>
      <w:r>
        <w:rPr>
          <w:spacing w:val="-1"/>
          <w:w w:val="89"/>
          <w:sz w:val="18"/>
        </w:rPr>
        <w:t>nj</w:t>
      </w:r>
      <w:r>
        <w:rPr>
          <w:spacing w:val="1"/>
          <w:w w:val="89"/>
          <w:sz w:val="18"/>
        </w:rPr>
        <w:t>e</w:t>
      </w:r>
      <w:r>
        <w:rPr>
          <w:spacing w:val="-1"/>
          <w:w w:val="85"/>
          <w:sz w:val="18"/>
        </w:rPr>
        <w:t>t</w:t>
      </w:r>
      <w:r>
        <w:rPr>
          <w:spacing w:val="-2"/>
          <w:w w:val="92"/>
          <w:sz w:val="18"/>
        </w:rPr>
        <w:t>a</w:t>
      </w:r>
      <w:r>
        <w:rPr>
          <w:w w:val="99"/>
          <w:sz w:val="18"/>
        </w:rPr>
        <w:t>d</w:t>
      </w:r>
      <w:r>
        <w:rPr>
          <w:w w:val="92"/>
          <w:sz w:val="18"/>
        </w:rPr>
        <w:t>a</w:t>
      </w:r>
      <w:r>
        <w:rPr>
          <w:w w:val="55"/>
          <w:sz w:val="18"/>
        </w:rPr>
        <w:t>.</w:t>
      </w:r>
    </w:p>
    <w:p>
      <w:pPr>
        <w:spacing w:before="2"/>
        <w:ind w:left="192" w:right="0" w:firstLine="0"/>
        <w:jc w:val="left"/>
        <w:rPr>
          <w:sz w:val="18"/>
        </w:rPr>
      </w:pPr>
      <w:r>
        <w:rPr>
          <w:spacing w:val="-1"/>
          <w:w w:val="110"/>
          <w:sz w:val="18"/>
        </w:rPr>
        <w:t>**</w:t>
      </w:r>
      <w:r>
        <w:rPr>
          <w:w w:val="110"/>
          <w:sz w:val="18"/>
        </w:rPr>
        <w:t>P</w:t>
      </w:r>
      <w:r>
        <w:rPr>
          <w:w w:val="89"/>
          <w:sz w:val="18"/>
        </w:rPr>
        <w:t>e</w:t>
      </w:r>
      <w:r>
        <w:rPr>
          <w:w w:val="102"/>
          <w:sz w:val="18"/>
        </w:rPr>
        <w:t>rd</w:t>
      </w:r>
      <w:r>
        <w:rPr>
          <w:w w:val="92"/>
          <w:sz w:val="18"/>
        </w:rPr>
        <w:t>a</w:t>
      </w:r>
      <w:r>
        <w:rPr>
          <w:w w:val="106"/>
          <w:sz w:val="18"/>
        </w:rPr>
        <w:t>s</w:t>
      </w:r>
      <w:r>
        <w:rPr>
          <w:spacing w:val="-17"/>
          <w:sz w:val="18"/>
        </w:rPr>
        <w:t> </w:t>
      </w:r>
      <w:r>
        <w:rPr>
          <w:w w:val="100"/>
          <w:sz w:val="18"/>
        </w:rPr>
        <w:t>Nã</w:t>
      </w:r>
      <w:r>
        <w:rPr>
          <w:w w:val="98"/>
          <w:sz w:val="18"/>
        </w:rPr>
        <w:t>o</w:t>
      </w:r>
      <w:r>
        <w:rPr>
          <w:spacing w:val="-16"/>
          <w:sz w:val="18"/>
        </w:rPr>
        <w:t> </w:t>
      </w:r>
      <w:r>
        <w:rPr>
          <w:spacing w:val="-2"/>
          <w:w w:val="102"/>
          <w:sz w:val="18"/>
        </w:rPr>
        <w:t>T</w:t>
      </w:r>
      <w:r>
        <w:rPr>
          <w:w w:val="89"/>
          <w:sz w:val="18"/>
        </w:rPr>
        <w:t>é</w:t>
      </w:r>
      <w:r>
        <w:rPr>
          <w:w w:val="93"/>
          <w:sz w:val="18"/>
        </w:rPr>
        <w:t>cnic</w:t>
      </w:r>
      <w:r>
        <w:rPr>
          <w:spacing w:val="1"/>
          <w:w w:val="93"/>
          <w:sz w:val="18"/>
        </w:rPr>
        <w:t>a</w:t>
      </w:r>
      <w:r>
        <w:rPr>
          <w:w w:val="106"/>
          <w:sz w:val="18"/>
        </w:rPr>
        <w:t>s</w:t>
      </w:r>
      <w:r>
        <w:rPr>
          <w:spacing w:val="-17"/>
          <w:sz w:val="18"/>
        </w:rPr>
        <w:t> </w:t>
      </w:r>
      <w:r>
        <w:rPr>
          <w:w w:val="106"/>
          <w:sz w:val="18"/>
        </w:rPr>
        <w:t>R</w:t>
      </w:r>
      <w:r>
        <w:rPr>
          <w:w w:val="89"/>
          <w:sz w:val="18"/>
        </w:rPr>
        <w:t>e</w:t>
      </w:r>
      <w:r>
        <w:rPr>
          <w:spacing w:val="-1"/>
          <w:w w:val="99"/>
          <w:sz w:val="18"/>
        </w:rPr>
        <w:t>g</w:t>
      </w:r>
      <w:r>
        <w:rPr>
          <w:spacing w:val="-2"/>
          <w:w w:val="99"/>
          <w:sz w:val="18"/>
        </w:rPr>
        <w:t>u</w:t>
      </w:r>
      <w:r>
        <w:rPr>
          <w:spacing w:val="-1"/>
          <w:w w:val="92"/>
          <w:sz w:val="18"/>
        </w:rPr>
        <w:t>l</w:t>
      </w:r>
      <w:r>
        <w:rPr>
          <w:w w:val="92"/>
          <w:sz w:val="18"/>
        </w:rPr>
        <w:t>a</w:t>
      </w:r>
      <w:r>
        <w:rPr>
          <w:spacing w:val="-1"/>
          <w:w w:val="85"/>
          <w:sz w:val="18"/>
        </w:rPr>
        <w:t>t</w:t>
      </w:r>
      <w:r>
        <w:rPr>
          <w:w w:val="100"/>
          <w:sz w:val="18"/>
        </w:rPr>
        <w:t>óri</w:t>
      </w:r>
      <w:r>
        <w:rPr>
          <w:w w:val="92"/>
          <w:sz w:val="18"/>
        </w:rPr>
        <w:t>a</w:t>
      </w:r>
      <w:r>
        <w:rPr>
          <w:spacing w:val="-16"/>
          <w:sz w:val="18"/>
        </w:rPr>
        <w:t> </w:t>
      </w:r>
      <w:r>
        <w:rPr>
          <w:w w:val="99"/>
          <w:sz w:val="18"/>
        </w:rPr>
        <w:t>d</w:t>
      </w:r>
      <w:r>
        <w:rPr>
          <w:w w:val="89"/>
          <w:sz w:val="18"/>
        </w:rPr>
        <w:t>e</w:t>
      </w:r>
      <w:r>
        <w:rPr>
          <w:w w:val="81"/>
          <w:sz w:val="18"/>
        </w:rPr>
        <w:t>f</w:t>
      </w:r>
      <w:r>
        <w:rPr>
          <w:spacing w:val="-2"/>
          <w:w w:val="97"/>
          <w:sz w:val="18"/>
        </w:rPr>
        <w:t>i</w:t>
      </w:r>
      <w:r>
        <w:rPr>
          <w:spacing w:val="-1"/>
          <w:w w:val="100"/>
          <w:sz w:val="18"/>
        </w:rPr>
        <w:t>n</w:t>
      </w:r>
      <w:r>
        <w:rPr>
          <w:w w:val="100"/>
          <w:sz w:val="18"/>
        </w:rPr>
        <w:t>i</w:t>
      </w:r>
      <w:r>
        <w:rPr>
          <w:spacing w:val="-2"/>
          <w:w w:val="99"/>
          <w:sz w:val="18"/>
        </w:rPr>
        <w:t>d</w:t>
      </w:r>
      <w:r>
        <w:rPr>
          <w:w w:val="92"/>
          <w:sz w:val="18"/>
        </w:rPr>
        <w:t>a</w:t>
      </w:r>
      <w:r>
        <w:rPr>
          <w:spacing w:val="-13"/>
          <w:sz w:val="18"/>
        </w:rPr>
        <w:t> </w:t>
      </w:r>
      <w:r>
        <w:rPr>
          <w:spacing w:val="-2"/>
          <w:w w:val="99"/>
          <w:sz w:val="18"/>
        </w:rPr>
        <w:t>p</w:t>
      </w:r>
      <w:r>
        <w:rPr>
          <w:w w:val="89"/>
          <w:sz w:val="18"/>
        </w:rPr>
        <w:t>e</w:t>
      </w:r>
      <w:r>
        <w:rPr>
          <w:spacing w:val="-1"/>
          <w:w w:val="92"/>
          <w:sz w:val="18"/>
        </w:rPr>
        <w:t>l</w:t>
      </w:r>
      <w:r>
        <w:rPr>
          <w:w w:val="92"/>
          <w:sz w:val="18"/>
        </w:rPr>
        <w:t>a</w:t>
      </w:r>
      <w:r>
        <w:rPr>
          <w:spacing w:val="-13"/>
          <w:sz w:val="18"/>
        </w:rPr>
        <w:t> </w:t>
      </w:r>
      <w:r>
        <w:rPr>
          <w:w w:val="105"/>
          <w:sz w:val="18"/>
        </w:rPr>
        <w:t>A</w:t>
      </w:r>
      <w:r>
        <w:rPr>
          <w:w w:val="107"/>
          <w:sz w:val="18"/>
        </w:rPr>
        <w:t>NE</w:t>
      </w:r>
      <w:r>
        <w:rPr>
          <w:spacing w:val="-1"/>
          <w:w w:val="107"/>
          <w:sz w:val="18"/>
        </w:rPr>
        <w:t>E</w:t>
      </w:r>
      <w:r>
        <w:rPr>
          <w:w w:val="105"/>
          <w:sz w:val="18"/>
        </w:rPr>
        <w:t>L</w:t>
      </w:r>
      <w:r>
        <w:rPr>
          <w:spacing w:val="-15"/>
          <w:sz w:val="18"/>
        </w:rPr>
        <w:t> </w:t>
      </w:r>
      <w:r>
        <w:rPr>
          <w:spacing w:val="-2"/>
          <w:w w:val="102"/>
          <w:sz w:val="18"/>
        </w:rPr>
        <w:t>n</w:t>
      </w:r>
      <w:r>
        <w:rPr>
          <w:w w:val="92"/>
          <w:sz w:val="18"/>
        </w:rPr>
        <w:t>a</w:t>
      </w:r>
      <w:r>
        <w:rPr>
          <w:spacing w:val="-16"/>
          <w:sz w:val="18"/>
        </w:rPr>
        <w:t> </w:t>
      </w:r>
      <w:r>
        <w:rPr>
          <w:w w:val="106"/>
          <w:sz w:val="18"/>
        </w:rPr>
        <w:t>R</w:t>
      </w:r>
      <w:r>
        <w:rPr>
          <w:spacing w:val="-2"/>
          <w:w w:val="102"/>
          <w:sz w:val="18"/>
        </w:rPr>
        <w:t>T</w:t>
      </w:r>
      <w:r>
        <w:rPr>
          <w:w w:val="101"/>
          <w:sz w:val="18"/>
        </w:rPr>
        <w:t>P</w:t>
      </w:r>
      <w:r>
        <w:rPr>
          <w:spacing w:val="-13"/>
          <w:sz w:val="18"/>
        </w:rPr>
        <w:t> </w:t>
      </w:r>
      <w:r>
        <w:rPr>
          <w:spacing w:val="-2"/>
          <w:w w:val="105"/>
          <w:sz w:val="18"/>
        </w:rPr>
        <w:t>2</w:t>
      </w:r>
      <w:r>
        <w:rPr>
          <w:w w:val="105"/>
          <w:sz w:val="18"/>
        </w:rPr>
        <w:t>0</w:t>
      </w:r>
      <w:r>
        <w:rPr>
          <w:spacing w:val="-2"/>
          <w:w w:val="105"/>
          <w:sz w:val="18"/>
        </w:rPr>
        <w:t>1</w:t>
      </w:r>
      <w:r>
        <w:rPr>
          <w:w w:val="105"/>
          <w:sz w:val="18"/>
        </w:rPr>
        <w:t>6</w:t>
      </w:r>
      <w:r>
        <w:rPr>
          <w:spacing w:val="-13"/>
          <w:sz w:val="18"/>
        </w:rPr>
        <w:t> </w:t>
      </w:r>
      <w:r>
        <w:rPr>
          <w:w w:val="96"/>
          <w:sz w:val="18"/>
        </w:rPr>
        <w:t>co</w:t>
      </w:r>
      <w:r>
        <w:rPr>
          <w:spacing w:val="-1"/>
          <w:w w:val="96"/>
          <w:sz w:val="18"/>
        </w:rPr>
        <w:t>m</w:t>
      </w:r>
      <w:r>
        <w:rPr>
          <w:w w:val="98"/>
          <w:sz w:val="18"/>
        </w:rPr>
        <w:t>o</w:t>
      </w:r>
      <w:r>
        <w:rPr>
          <w:spacing w:val="-16"/>
          <w:sz w:val="18"/>
        </w:rPr>
        <w:t> </w:t>
      </w:r>
      <w:r>
        <w:rPr>
          <w:w w:val="105"/>
          <w:sz w:val="18"/>
        </w:rPr>
        <w:t>7</w:t>
      </w:r>
      <w:r>
        <w:rPr>
          <w:spacing w:val="-1"/>
          <w:w w:val="55"/>
          <w:sz w:val="18"/>
        </w:rPr>
        <w:t>,</w:t>
      </w:r>
      <w:r>
        <w:rPr>
          <w:spacing w:val="-2"/>
          <w:w w:val="105"/>
          <w:sz w:val="18"/>
        </w:rPr>
        <w:t>0</w:t>
      </w:r>
      <w:r>
        <w:rPr>
          <w:w w:val="105"/>
          <w:sz w:val="18"/>
        </w:rPr>
        <w:t>5</w:t>
      </w:r>
      <w:r>
        <w:rPr>
          <w:w w:val="148"/>
          <w:sz w:val="18"/>
        </w:rPr>
        <w:t>%</w:t>
      </w:r>
      <w:r>
        <w:rPr>
          <w:spacing w:val="-14"/>
          <w:sz w:val="18"/>
        </w:rPr>
        <w:t> </w:t>
      </w:r>
      <w:r>
        <w:rPr>
          <w:spacing w:val="-1"/>
          <w:w w:val="106"/>
          <w:sz w:val="18"/>
        </w:rPr>
        <w:t>s</w:t>
      </w:r>
      <w:r>
        <w:rPr>
          <w:w w:val="100"/>
          <w:sz w:val="18"/>
        </w:rPr>
        <w:t>ob</w:t>
      </w:r>
      <w:r>
        <w:rPr>
          <w:spacing w:val="-3"/>
          <w:w w:val="100"/>
          <w:sz w:val="18"/>
        </w:rPr>
        <w:t>r</w:t>
      </w:r>
      <w:r>
        <w:rPr>
          <w:w w:val="89"/>
          <w:sz w:val="18"/>
        </w:rPr>
        <w:t>e</w:t>
      </w:r>
      <w:r>
        <w:rPr>
          <w:spacing w:val="-13"/>
          <w:sz w:val="18"/>
        </w:rPr>
        <w:t> </w:t>
      </w:r>
      <w:r>
        <w:rPr>
          <w:w w:val="98"/>
          <w:sz w:val="18"/>
        </w:rPr>
        <w:t>o</w:t>
      </w:r>
      <w:r>
        <w:rPr>
          <w:spacing w:val="-16"/>
          <w:sz w:val="18"/>
        </w:rPr>
        <w:t> </w:t>
      </w:r>
      <w:r>
        <w:rPr>
          <w:spacing w:val="-1"/>
          <w:w w:val="103"/>
          <w:sz w:val="18"/>
        </w:rPr>
        <w:t>M</w:t>
      </w:r>
      <w:r>
        <w:rPr>
          <w:spacing w:val="-2"/>
          <w:w w:val="103"/>
          <w:sz w:val="18"/>
        </w:rPr>
        <w:t>e</w:t>
      </w:r>
      <w:r>
        <w:rPr>
          <w:w w:val="95"/>
          <w:sz w:val="18"/>
        </w:rPr>
        <w:t>rca</w:t>
      </w:r>
      <w:r>
        <w:rPr>
          <w:w w:val="99"/>
          <w:sz w:val="18"/>
        </w:rPr>
        <w:t>d</w:t>
      </w:r>
      <w:r>
        <w:rPr>
          <w:w w:val="98"/>
          <w:sz w:val="18"/>
        </w:rPr>
        <w:t>o</w:t>
      </w:r>
      <w:r>
        <w:rPr>
          <w:spacing w:val="-16"/>
          <w:sz w:val="18"/>
        </w:rPr>
        <w:t> </w:t>
      </w:r>
      <w:r>
        <w:rPr>
          <w:w w:val="99"/>
          <w:sz w:val="18"/>
        </w:rPr>
        <w:t>d</w:t>
      </w:r>
      <w:r>
        <w:rPr>
          <w:w w:val="89"/>
          <w:sz w:val="18"/>
        </w:rPr>
        <w:t>e</w:t>
      </w:r>
      <w:r>
        <w:rPr>
          <w:spacing w:val="-15"/>
          <w:sz w:val="18"/>
        </w:rPr>
        <w:t> </w:t>
      </w:r>
      <w:r>
        <w:rPr>
          <w:spacing w:val="-1"/>
          <w:w w:val="100"/>
          <w:sz w:val="18"/>
        </w:rPr>
        <w:t>B</w:t>
      </w:r>
      <w:r>
        <w:rPr>
          <w:spacing w:val="1"/>
          <w:w w:val="100"/>
          <w:sz w:val="18"/>
        </w:rPr>
        <w:t>a</w:t>
      </w:r>
      <w:r>
        <w:rPr>
          <w:w w:val="95"/>
          <w:sz w:val="18"/>
        </w:rPr>
        <w:t>ixa</w:t>
      </w:r>
      <w:r>
        <w:rPr>
          <w:spacing w:val="-16"/>
          <w:sz w:val="18"/>
        </w:rPr>
        <w:t> </w:t>
      </w:r>
      <w:r>
        <w:rPr>
          <w:spacing w:val="-2"/>
          <w:w w:val="102"/>
          <w:sz w:val="18"/>
        </w:rPr>
        <w:t>T</w:t>
      </w:r>
      <w:r>
        <w:rPr>
          <w:w w:val="89"/>
          <w:sz w:val="18"/>
        </w:rPr>
        <w:t>e</w:t>
      </w:r>
      <w:r>
        <w:rPr>
          <w:spacing w:val="-1"/>
          <w:w w:val="99"/>
          <w:sz w:val="18"/>
        </w:rPr>
        <w:t>ns</w:t>
      </w:r>
      <w:r>
        <w:rPr>
          <w:w w:val="99"/>
          <w:sz w:val="18"/>
        </w:rPr>
        <w:t>ã</w:t>
      </w:r>
      <w:r>
        <w:rPr>
          <w:w w:val="81"/>
          <w:sz w:val="18"/>
        </w:rPr>
        <w:t>o.</w:t>
      </w:r>
    </w:p>
    <w:p>
      <w:pPr>
        <w:pStyle w:val="BodyText"/>
        <w:spacing w:line="242" w:lineRule="auto" w:before="125"/>
        <w:ind w:left="192" w:right="611"/>
        <w:jc w:val="both"/>
      </w:pPr>
      <w:r>
        <w:rPr/>
        <w:t>O</w:t>
      </w:r>
      <w:r>
        <w:rPr>
          <w:spacing w:val="-19"/>
        </w:rPr>
        <w:t> </w:t>
      </w:r>
      <w:r>
        <w:rPr/>
        <w:t>percentual</w:t>
      </w:r>
      <w:r>
        <w:rPr>
          <w:spacing w:val="-18"/>
        </w:rPr>
        <w:t> </w:t>
      </w:r>
      <w:r>
        <w:rPr/>
        <w:t>de</w:t>
      </w:r>
      <w:r>
        <w:rPr>
          <w:spacing w:val="-20"/>
        </w:rPr>
        <w:t> </w:t>
      </w:r>
      <w:r>
        <w:rPr/>
        <w:t>perdas</w:t>
      </w:r>
      <w:r>
        <w:rPr>
          <w:spacing w:val="-18"/>
        </w:rPr>
        <w:t> </w:t>
      </w:r>
      <w:r>
        <w:rPr/>
        <w:t>apurado</w:t>
      </w:r>
      <w:r>
        <w:rPr>
          <w:spacing w:val="-19"/>
        </w:rPr>
        <w:t> </w:t>
      </w:r>
      <w:r>
        <w:rPr/>
        <w:t>nas</w:t>
      </w:r>
      <w:r>
        <w:rPr>
          <w:spacing w:val="-18"/>
        </w:rPr>
        <w:t> </w:t>
      </w:r>
      <w:r>
        <w:rPr/>
        <w:t>Demonstrações</w:t>
      </w:r>
      <w:r>
        <w:rPr>
          <w:spacing w:val="-19"/>
        </w:rPr>
        <w:t> </w:t>
      </w:r>
      <w:r>
        <w:rPr/>
        <w:t>Financeiras</w:t>
      </w:r>
      <w:r>
        <w:rPr>
          <w:spacing w:val="-18"/>
        </w:rPr>
        <w:t> </w:t>
      </w:r>
      <w:r>
        <w:rPr/>
        <w:t>de</w:t>
      </w:r>
      <w:r>
        <w:rPr>
          <w:spacing w:val="-18"/>
        </w:rPr>
        <w:t> </w:t>
      </w:r>
      <w:r>
        <w:rPr/>
        <w:t>2018</w:t>
      </w:r>
      <w:r>
        <w:rPr>
          <w:spacing w:val="-17"/>
        </w:rPr>
        <w:t> </w:t>
      </w:r>
      <w:r>
        <w:rPr/>
        <w:t>foi</w:t>
      </w:r>
      <w:r>
        <w:rPr>
          <w:spacing w:val="-17"/>
        </w:rPr>
        <w:t> </w:t>
      </w:r>
      <w:r>
        <w:rPr/>
        <w:t>de</w:t>
      </w:r>
      <w:r>
        <w:rPr>
          <w:spacing w:val="-19"/>
        </w:rPr>
        <w:t> </w:t>
      </w:r>
      <w:r>
        <w:rPr/>
        <w:t>12,58%.</w:t>
      </w:r>
      <w:r>
        <w:rPr>
          <w:spacing w:val="-18"/>
        </w:rPr>
        <w:t> </w:t>
      </w:r>
      <w:r>
        <w:rPr/>
        <w:t>No</w:t>
      </w:r>
      <w:r>
        <w:rPr>
          <w:spacing w:val="-17"/>
        </w:rPr>
        <w:t> </w:t>
      </w:r>
      <w:r>
        <w:rPr/>
        <w:t>entanto,</w:t>
      </w:r>
      <w:r>
        <w:rPr>
          <w:spacing w:val="-17"/>
        </w:rPr>
        <w:t> </w:t>
      </w:r>
      <w:r>
        <w:rPr/>
        <w:t>esse</w:t>
      </w:r>
      <w:r>
        <w:rPr>
          <w:spacing w:val="-18"/>
        </w:rPr>
        <w:t> </w:t>
      </w:r>
      <w:r>
        <w:rPr/>
        <w:t>valor</w:t>
      </w:r>
      <w:r>
        <w:rPr>
          <w:spacing w:val="-19"/>
        </w:rPr>
        <w:t> </w:t>
      </w:r>
      <w:r>
        <w:rPr/>
        <w:t>foi retificado</w:t>
      </w:r>
      <w:r>
        <w:rPr>
          <w:spacing w:val="-25"/>
        </w:rPr>
        <w:t> </w:t>
      </w:r>
      <w:r>
        <w:rPr/>
        <w:t>para</w:t>
      </w:r>
      <w:r>
        <w:rPr>
          <w:spacing w:val="-23"/>
        </w:rPr>
        <w:t> </w:t>
      </w:r>
      <w:r>
        <w:rPr/>
        <w:t>12,41%</w:t>
      </w:r>
      <w:r>
        <w:rPr>
          <w:spacing w:val="-24"/>
        </w:rPr>
        <w:t> </w:t>
      </w:r>
      <w:r>
        <w:rPr/>
        <w:t>após</w:t>
      </w:r>
      <w:r>
        <w:rPr>
          <w:spacing w:val="-23"/>
        </w:rPr>
        <w:t> </w:t>
      </w:r>
      <w:r>
        <w:rPr/>
        <w:t>o</w:t>
      </w:r>
      <w:r>
        <w:rPr>
          <w:spacing w:val="-25"/>
        </w:rPr>
        <w:t> </w:t>
      </w:r>
      <w:r>
        <w:rPr/>
        <w:t>ajuste</w:t>
      </w:r>
      <w:r>
        <w:rPr>
          <w:spacing w:val="-25"/>
        </w:rPr>
        <w:t> </w:t>
      </w:r>
      <w:r>
        <w:rPr/>
        <w:t>e</w:t>
      </w:r>
      <w:r>
        <w:rPr>
          <w:spacing w:val="-25"/>
        </w:rPr>
        <w:t> </w:t>
      </w:r>
      <w:r>
        <w:rPr/>
        <w:t>retificação</w:t>
      </w:r>
      <w:r>
        <w:rPr>
          <w:spacing w:val="-24"/>
        </w:rPr>
        <w:t> </w:t>
      </w:r>
      <w:r>
        <w:rPr/>
        <w:t>dos</w:t>
      </w:r>
      <w:r>
        <w:rPr>
          <w:spacing w:val="-25"/>
        </w:rPr>
        <w:t> </w:t>
      </w:r>
      <w:r>
        <w:rPr/>
        <w:t>dados</w:t>
      </w:r>
      <w:r>
        <w:rPr>
          <w:spacing w:val="-24"/>
        </w:rPr>
        <w:t> </w:t>
      </w:r>
      <w:r>
        <w:rPr/>
        <w:t>de</w:t>
      </w:r>
      <w:r>
        <w:rPr>
          <w:spacing w:val="-25"/>
        </w:rPr>
        <w:t> </w:t>
      </w:r>
      <w:r>
        <w:rPr/>
        <w:t>mercado</w:t>
      </w:r>
      <w:r>
        <w:rPr>
          <w:spacing w:val="-24"/>
        </w:rPr>
        <w:t> </w:t>
      </w:r>
      <w:r>
        <w:rPr/>
        <w:t>de</w:t>
      </w:r>
      <w:r>
        <w:rPr>
          <w:spacing w:val="-23"/>
        </w:rPr>
        <w:t> </w:t>
      </w:r>
      <w:r>
        <w:rPr/>
        <w:t>energia</w:t>
      </w:r>
      <w:r>
        <w:rPr>
          <w:spacing w:val="-24"/>
        </w:rPr>
        <w:t> </w:t>
      </w:r>
      <w:r>
        <w:rPr/>
        <w:t>que</w:t>
      </w:r>
      <w:r>
        <w:rPr>
          <w:spacing w:val="-25"/>
        </w:rPr>
        <w:t> </w:t>
      </w:r>
      <w:r>
        <w:rPr/>
        <w:t>compõem</w:t>
      </w:r>
      <w:r>
        <w:rPr>
          <w:spacing w:val="-24"/>
        </w:rPr>
        <w:t> </w:t>
      </w:r>
      <w:r>
        <w:rPr/>
        <w:t>o</w:t>
      </w:r>
      <w:r>
        <w:rPr>
          <w:spacing w:val="-24"/>
        </w:rPr>
        <w:t> </w:t>
      </w:r>
      <w:r>
        <w:rPr/>
        <w:t>SAMP,</w:t>
      </w:r>
      <w:r>
        <w:rPr>
          <w:spacing w:val="-25"/>
        </w:rPr>
        <w:t> </w:t>
      </w:r>
      <w:r>
        <w:rPr/>
        <w:t>que</w:t>
      </w:r>
      <w:r>
        <w:rPr>
          <w:spacing w:val="-24"/>
        </w:rPr>
        <w:t> </w:t>
      </w:r>
      <w:r>
        <w:rPr/>
        <w:t>são enviados</w:t>
      </w:r>
      <w:r>
        <w:rPr>
          <w:spacing w:val="-45"/>
        </w:rPr>
        <w:t> </w:t>
      </w:r>
      <w:r>
        <w:rPr/>
        <w:t>mensalmente</w:t>
      </w:r>
      <w:r>
        <w:rPr>
          <w:spacing w:val="-45"/>
        </w:rPr>
        <w:t> </w:t>
      </w:r>
      <w:r>
        <w:rPr/>
        <w:t>para</w:t>
      </w:r>
      <w:r>
        <w:rPr>
          <w:spacing w:val="-44"/>
        </w:rPr>
        <w:t> </w:t>
      </w:r>
      <w:r>
        <w:rPr/>
        <w:t>ANEEL,</w:t>
      </w:r>
      <w:r>
        <w:rPr>
          <w:spacing w:val="-45"/>
        </w:rPr>
        <w:t> </w:t>
      </w:r>
      <w:r>
        <w:rPr/>
        <w:t>por</w:t>
      </w:r>
      <w:r>
        <w:rPr>
          <w:spacing w:val="-45"/>
        </w:rPr>
        <w:t> </w:t>
      </w:r>
      <w:r>
        <w:rPr/>
        <w:t>estarem</w:t>
      </w:r>
      <w:r>
        <w:rPr>
          <w:spacing w:val="-45"/>
        </w:rPr>
        <w:t> </w:t>
      </w:r>
      <w:r>
        <w:rPr/>
        <w:t>divergentes</w:t>
      </w:r>
      <w:r>
        <w:rPr>
          <w:spacing w:val="-44"/>
        </w:rPr>
        <w:t> </w:t>
      </w:r>
      <w:r>
        <w:rPr/>
        <w:t>da</w:t>
      </w:r>
      <w:r>
        <w:rPr>
          <w:spacing w:val="-44"/>
        </w:rPr>
        <w:t> </w:t>
      </w:r>
      <w:r>
        <w:rPr/>
        <w:t>base</w:t>
      </w:r>
      <w:r>
        <w:rPr>
          <w:spacing w:val="-46"/>
        </w:rPr>
        <w:t> </w:t>
      </w:r>
      <w:r>
        <w:rPr/>
        <w:t>de</w:t>
      </w:r>
      <w:r>
        <w:rPr>
          <w:spacing w:val="-45"/>
        </w:rPr>
        <w:t> </w:t>
      </w:r>
      <w:r>
        <w:rPr/>
        <w:t>dados</w:t>
      </w:r>
      <w:r>
        <w:rPr>
          <w:spacing w:val="-41"/>
        </w:rPr>
        <w:t> </w:t>
      </w:r>
      <w:r>
        <w:rPr/>
        <w:t>do</w:t>
      </w:r>
      <w:r>
        <w:rPr>
          <w:spacing w:val="-45"/>
        </w:rPr>
        <w:t> </w:t>
      </w:r>
      <w:r>
        <w:rPr/>
        <w:t>sistema</w:t>
      </w:r>
      <w:r>
        <w:rPr>
          <w:spacing w:val="-45"/>
        </w:rPr>
        <w:t> </w:t>
      </w:r>
      <w:r>
        <w:rPr/>
        <w:t>de</w:t>
      </w:r>
      <w:r>
        <w:rPr>
          <w:spacing w:val="-45"/>
        </w:rPr>
        <w:t> </w:t>
      </w:r>
      <w:r>
        <w:rPr/>
        <w:t>faturamento</w:t>
      </w:r>
      <w:r>
        <w:rPr>
          <w:spacing w:val="-45"/>
        </w:rPr>
        <w:t> </w:t>
      </w:r>
      <w:r>
        <w:rPr/>
        <w:t>da</w:t>
      </w:r>
      <w:r>
        <w:rPr>
          <w:spacing w:val="-45"/>
        </w:rPr>
        <w:t> </w:t>
      </w:r>
      <w:r>
        <w:rPr/>
        <w:t>empresa e</w:t>
      </w:r>
      <w:r>
        <w:rPr>
          <w:spacing w:val="-11"/>
        </w:rPr>
        <w:t> </w:t>
      </w:r>
      <w:r>
        <w:rPr/>
        <w:t>do</w:t>
      </w:r>
      <w:r>
        <w:rPr>
          <w:spacing w:val="-8"/>
        </w:rPr>
        <w:t> </w:t>
      </w:r>
      <w:r>
        <w:rPr/>
        <w:t>Cadastro</w:t>
      </w:r>
      <w:r>
        <w:rPr>
          <w:spacing w:val="-9"/>
        </w:rPr>
        <w:t> </w:t>
      </w:r>
      <w:r>
        <w:rPr/>
        <w:t>Nacional</w:t>
      </w:r>
      <w:r>
        <w:rPr>
          <w:spacing w:val="-9"/>
        </w:rPr>
        <w:t> </w:t>
      </w:r>
      <w:r>
        <w:rPr/>
        <w:t>das</w:t>
      </w:r>
      <w:r>
        <w:rPr>
          <w:spacing w:val="-7"/>
        </w:rPr>
        <w:t> </w:t>
      </w:r>
      <w:r>
        <w:rPr/>
        <w:t>Distribuidoras</w:t>
      </w:r>
      <w:r>
        <w:rPr>
          <w:spacing w:val="-9"/>
        </w:rPr>
        <w:t> </w:t>
      </w:r>
      <w:r>
        <w:rPr/>
        <w:t>(CND).</w:t>
      </w:r>
      <w:r>
        <w:rPr>
          <w:spacing w:val="-8"/>
        </w:rPr>
        <w:t> </w:t>
      </w:r>
      <w:r>
        <w:rPr/>
        <w:t>Essa</w:t>
      </w:r>
      <w:r>
        <w:rPr>
          <w:spacing w:val="-9"/>
        </w:rPr>
        <w:t> </w:t>
      </w:r>
      <w:r>
        <w:rPr/>
        <w:t>retificação</w:t>
      </w:r>
      <w:r>
        <w:rPr>
          <w:spacing w:val="-9"/>
        </w:rPr>
        <w:t> </w:t>
      </w:r>
      <w:r>
        <w:rPr/>
        <w:t>resultou</w:t>
      </w:r>
      <w:r>
        <w:rPr>
          <w:spacing w:val="-7"/>
        </w:rPr>
        <w:t> </w:t>
      </w:r>
      <w:r>
        <w:rPr/>
        <w:t>na</w:t>
      </w:r>
      <w:r>
        <w:rPr>
          <w:spacing w:val="-8"/>
        </w:rPr>
        <w:t> </w:t>
      </w:r>
      <w:r>
        <w:rPr/>
        <w:t>redução</w:t>
      </w:r>
      <w:r>
        <w:rPr>
          <w:spacing w:val="-9"/>
        </w:rPr>
        <w:t> </w:t>
      </w:r>
      <w:r>
        <w:rPr/>
        <w:t>das</w:t>
      </w:r>
      <w:r>
        <w:rPr>
          <w:spacing w:val="-9"/>
        </w:rPr>
        <w:t> </w:t>
      </w:r>
      <w:r>
        <w:rPr/>
        <w:t>perdas</w:t>
      </w:r>
      <w:r>
        <w:rPr>
          <w:spacing w:val="-9"/>
        </w:rPr>
        <w:t> </w:t>
      </w:r>
      <w:r>
        <w:rPr/>
        <w:t>apuradas</w:t>
      </w:r>
      <w:r>
        <w:rPr>
          <w:spacing w:val="-7"/>
        </w:rPr>
        <w:t> </w:t>
      </w:r>
      <w:r>
        <w:rPr/>
        <w:t>pela empresa na distribuição (com consequente aumento do mercado faturado) na ordem de 48 GWh, a qual foi reconhecida</w:t>
      </w:r>
      <w:r>
        <w:rPr>
          <w:spacing w:val="-32"/>
        </w:rPr>
        <w:t> </w:t>
      </w:r>
      <w:r>
        <w:rPr/>
        <w:t>pela</w:t>
      </w:r>
      <w:r>
        <w:rPr>
          <w:spacing w:val="-33"/>
        </w:rPr>
        <w:t> </w:t>
      </w:r>
      <w:r>
        <w:rPr/>
        <w:t>ANEEL</w:t>
      </w:r>
      <w:r>
        <w:rPr>
          <w:spacing w:val="-33"/>
        </w:rPr>
        <w:t> </w:t>
      </w:r>
      <w:r>
        <w:rPr/>
        <w:t>no</w:t>
      </w:r>
      <w:r>
        <w:rPr>
          <w:spacing w:val="-30"/>
        </w:rPr>
        <w:t> </w:t>
      </w:r>
      <w:r>
        <w:rPr/>
        <w:t>RTA</w:t>
      </w:r>
      <w:r>
        <w:rPr>
          <w:spacing w:val="-34"/>
        </w:rPr>
        <w:t> </w:t>
      </w:r>
      <w:r>
        <w:rPr/>
        <w:t>2019</w:t>
      </w:r>
      <w:r>
        <w:rPr>
          <w:spacing w:val="-30"/>
        </w:rPr>
        <w:t> </w:t>
      </w:r>
      <w:r>
        <w:rPr/>
        <w:t>na</w:t>
      </w:r>
      <w:r>
        <w:rPr>
          <w:spacing w:val="-33"/>
        </w:rPr>
        <w:t> </w:t>
      </w:r>
      <w:r>
        <w:rPr/>
        <w:t>apuração</w:t>
      </w:r>
      <w:r>
        <w:rPr>
          <w:spacing w:val="-32"/>
        </w:rPr>
        <w:t> </w:t>
      </w:r>
      <w:r>
        <w:rPr/>
        <w:t>do</w:t>
      </w:r>
      <w:r>
        <w:rPr>
          <w:spacing w:val="-32"/>
        </w:rPr>
        <w:t> </w:t>
      </w:r>
      <w:r>
        <w:rPr/>
        <w:t>mercado</w:t>
      </w:r>
      <w:r>
        <w:rPr>
          <w:spacing w:val="-33"/>
        </w:rPr>
        <w:t> </w:t>
      </w:r>
      <w:r>
        <w:rPr/>
        <w:t>de</w:t>
      </w:r>
      <w:r>
        <w:rPr>
          <w:spacing w:val="-32"/>
        </w:rPr>
        <w:t> </w:t>
      </w:r>
      <w:r>
        <w:rPr/>
        <w:t>referência</w:t>
      </w:r>
      <w:r>
        <w:rPr>
          <w:spacing w:val="-27"/>
        </w:rPr>
        <w:t> </w:t>
      </w:r>
      <w:r>
        <w:rPr/>
        <w:t>que</w:t>
      </w:r>
      <w:r>
        <w:rPr>
          <w:spacing w:val="-31"/>
        </w:rPr>
        <w:t> </w:t>
      </w:r>
      <w:r>
        <w:rPr/>
        <w:t>englobando</w:t>
      </w:r>
      <w:r>
        <w:rPr>
          <w:spacing w:val="-32"/>
        </w:rPr>
        <w:t> </w:t>
      </w:r>
      <w:r>
        <w:rPr/>
        <w:t>o</w:t>
      </w:r>
      <w:r>
        <w:rPr>
          <w:spacing w:val="-33"/>
        </w:rPr>
        <w:t> </w:t>
      </w:r>
      <w:r>
        <w:rPr/>
        <w:t>período</w:t>
      </w:r>
      <w:r>
        <w:rPr>
          <w:spacing w:val="-32"/>
        </w:rPr>
        <w:t> </w:t>
      </w:r>
      <w:r>
        <w:rPr/>
        <w:t>de</w:t>
      </w:r>
      <w:r>
        <w:rPr>
          <w:spacing w:val="-33"/>
        </w:rPr>
        <w:t> </w:t>
      </w:r>
      <w:r>
        <w:rPr/>
        <w:t>setembro de</w:t>
      </w:r>
      <w:r>
        <w:rPr>
          <w:spacing w:val="-20"/>
        </w:rPr>
        <w:t> </w:t>
      </w:r>
      <w:r>
        <w:rPr/>
        <w:t>2018</w:t>
      </w:r>
      <w:r>
        <w:rPr>
          <w:spacing w:val="-17"/>
        </w:rPr>
        <w:t> </w:t>
      </w:r>
      <w:r>
        <w:rPr/>
        <w:t>a</w:t>
      </w:r>
      <w:r>
        <w:rPr>
          <w:spacing w:val="-17"/>
        </w:rPr>
        <w:t> </w:t>
      </w:r>
      <w:r>
        <w:rPr/>
        <w:t>agosto</w:t>
      </w:r>
      <w:r>
        <w:rPr>
          <w:spacing w:val="-18"/>
        </w:rPr>
        <w:t> </w:t>
      </w:r>
      <w:r>
        <w:rPr/>
        <w:t>de</w:t>
      </w:r>
      <w:r>
        <w:rPr>
          <w:spacing w:val="-19"/>
        </w:rPr>
        <w:t> </w:t>
      </w:r>
      <w:r>
        <w:rPr/>
        <w:t>2019.</w:t>
      </w:r>
    </w:p>
    <w:p>
      <w:pPr>
        <w:pStyle w:val="BodyText"/>
        <w:spacing w:before="3"/>
        <w:rPr>
          <w:sz w:val="30"/>
        </w:rPr>
      </w:pPr>
    </w:p>
    <w:p>
      <w:pPr>
        <w:spacing w:before="0"/>
        <w:ind w:left="192" w:right="0" w:firstLine="0"/>
        <w:jc w:val="left"/>
        <w:rPr>
          <w:rFonts w:ascii="Caladea"/>
          <w:b/>
          <w:sz w:val="20"/>
        </w:rPr>
      </w:pPr>
      <w:r>
        <w:rPr>
          <w:rFonts w:ascii="Caladea"/>
          <w:b/>
          <w:sz w:val="20"/>
        </w:rPr>
        <w:t>Acordos Bilaterais</w:t>
      </w:r>
    </w:p>
    <w:p>
      <w:pPr>
        <w:pStyle w:val="BodyText"/>
        <w:spacing w:before="3"/>
        <w:rPr>
          <w:rFonts w:ascii="Caladea"/>
          <w:b/>
        </w:rPr>
      </w:pPr>
    </w:p>
    <w:p>
      <w:pPr>
        <w:pStyle w:val="BodyText"/>
        <w:spacing w:line="242" w:lineRule="auto" w:before="1"/>
        <w:ind w:left="192" w:right="616"/>
        <w:jc w:val="both"/>
      </w:pPr>
      <w:r>
        <w:rPr/>
        <w:t>Em decorrência da crise econômica iniciada em 2015, que resultou nas sobras de energia contratadas pelas distribuidoras,</w:t>
      </w:r>
      <w:r>
        <w:rPr>
          <w:spacing w:val="-29"/>
        </w:rPr>
        <w:t> </w:t>
      </w:r>
      <w:r>
        <w:rPr/>
        <w:t>a</w:t>
      </w:r>
      <w:r>
        <w:rPr>
          <w:spacing w:val="-27"/>
        </w:rPr>
        <w:t> </w:t>
      </w:r>
      <w:r>
        <w:rPr/>
        <w:t>ANEEL</w:t>
      </w:r>
      <w:r>
        <w:rPr>
          <w:spacing w:val="-27"/>
        </w:rPr>
        <w:t> </w:t>
      </w:r>
      <w:r>
        <w:rPr/>
        <w:t>publicou</w:t>
      </w:r>
      <w:r>
        <w:rPr>
          <w:spacing w:val="-28"/>
        </w:rPr>
        <w:t> </w:t>
      </w:r>
      <w:r>
        <w:rPr/>
        <w:t>a</w:t>
      </w:r>
      <w:r>
        <w:rPr>
          <w:spacing w:val="-28"/>
        </w:rPr>
        <w:t> </w:t>
      </w:r>
      <w:r>
        <w:rPr/>
        <w:t>Resolução</w:t>
      </w:r>
      <w:r>
        <w:rPr>
          <w:spacing w:val="-28"/>
        </w:rPr>
        <w:t> </w:t>
      </w:r>
      <w:r>
        <w:rPr/>
        <w:t>Normativa</w:t>
      </w:r>
      <w:r>
        <w:rPr>
          <w:spacing w:val="-26"/>
        </w:rPr>
        <w:t> </w:t>
      </w:r>
      <w:r>
        <w:rPr/>
        <w:t>Nº</w:t>
      </w:r>
      <w:r>
        <w:rPr>
          <w:spacing w:val="-28"/>
        </w:rPr>
        <w:t> </w:t>
      </w:r>
      <w:r>
        <w:rPr/>
        <w:t>711,</w:t>
      </w:r>
      <w:r>
        <w:rPr>
          <w:spacing w:val="-27"/>
        </w:rPr>
        <w:t> </w:t>
      </w:r>
      <w:r>
        <w:rPr/>
        <w:t>de</w:t>
      </w:r>
      <w:r>
        <w:rPr>
          <w:spacing w:val="-27"/>
        </w:rPr>
        <w:t> </w:t>
      </w:r>
      <w:r>
        <w:rPr/>
        <w:t>19</w:t>
      </w:r>
      <w:r>
        <w:rPr>
          <w:spacing w:val="-27"/>
        </w:rPr>
        <w:t> </w:t>
      </w:r>
      <w:r>
        <w:rPr/>
        <w:t>de</w:t>
      </w:r>
      <w:r>
        <w:rPr>
          <w:spacing w:val="-28"/>
        </w:rPr>
        <w:t> </w:t>
      </w:r>
      <w:r>
        <w:rPr/>
        <w:t>Abril</w:t>
      </w:r>
      <w:r>
        <w:rPr>
          <w:spacing w:val="-26"/>
        </w:rPr>
        <w:t> </w:t>
      </w:r>
      <w:r>
        <w:rPr/>
        <w:t>de</w:t>
      </w:r>
      <w:r>
        <w:rPr>
          <w:spacing w:val="-28"/>
        </w:rPr>
        <w:t> </w:t>
      </w:r>
      <w:r>
        <w:rPr/>
        <w:t>2016,</w:t>
      </w:r>
      <w:r>
        <w:rPr>
          <w:spacing w:val="-27"/>
        </w:rPr>
        <w:t> </w:t>
      </w:r>
      <w:r>
        <w:rPr/>
        <w:t>que</w:t>
      </w:r>
      <w:r>
        <w:rPr>
          <w:spacing w:val="-26"/>
        </w:rPr>
        <w:t> </w:t>
      </w:r>
      <w:r>
        <w:rPr/>
        <w:t>estabeleceu</w:t>
      </w:r>
      <w:r>
        <w:rPr>
          <w:spacing w:val="-27"/>
        </w:rPr>
        <w:t> </w:t>
      </w:r>
      <w:r>
        <w:rPr/>
        <w:t>critérios</w:t>
      </w:r>
      <w:r>
        <w:rPr>
          <w:spacing w:val="-28"/>
        </w:rPr>
        <w:t> </w:t>
      </w:r>
      <w:r>
        <w:rPr/>
        <w:t>e condições</w:t>
      </w:r>
      <w:r>
        <w:rPr>
          <w:spacing w:val="-45"/>
        </w:rPr>
        <w:t> </w:t>
      </w:r>
      <w:r>
        <w:rPr/>
        <w:t>para</w:t>
      </w:r>
      <w:r>
        <w:rPr>
          <w:spacing w:val="-45"/>
        </w:rPr>
        <w:t> </w:t>
      </w:r>
      <w:r>
        <w:rPr/>
        <w:t>celebração</w:t>
      </w:r>
      <w:r>
        <w:rPr>
          <w:spacing w:val="-44"/>
        </w:rPr>
        <w:t> </w:t>
      </w:r>
      <w:r>
        <w:rPr/>
        <w:t>de</w:t>
      </w:r>
      <w:r>
        <w:rPr>
          <w:spacing w:val="-46"/>
        </w:rPr>
        <w:t> </w:t>
      </w:r>
      <w:r>
        <w:rPr/>
        <w:t>acordos</w:t>
      </w:r>
      <w:r>
        <w:rPr>
          <w:spacing w:val="-44"/>
        </w:rPr>
        <w:t> </w:t>
      </w:r>
      <w:r>
        <w:rPr/>
        <w:t>bilaterais</w:t>
      </w:r>
      <w:r>
        <w:rPr>
          <w:spacing w:val="-44"/>
        </w:rPr>
        <w:t> </w:t>
      </w:r>
      <w:r>
        <w:rPr/>
        <w:t>entre</w:t>
      </w:r>
      <w:r>
        <w:rPr>
          <w:spacing w:val="-45"/>
        </w:rPr>
        <w:t> </w:t>
      </w:r>
      <w:r>
        <w:rPr/>
        <w:t>partes</w:t>
      </w:r>
      <w:r>
        <w:rPr>
          <w:spacing w:val="-44"/>
        </w:rPr>
        <w:t> </w:t>
      </w:r>
      <w:r>
        <w:rPr/>
        <w:t>signatárias</w:t>
      </w:r>
      <w:r>
        <w:rPr>
          <w:spacing w:val="-44"/>
        </w:rPr>
        <w:t> </w:t>
      </w:r>
      <w:r>
        <w:rPr/>
        <w:t>de</w:t>
      </w:r>
      <w:r>
        <w:rPr>
          <w:spacing w:val="-46"/>
        </w:rPr>
        <w:t> </w:t>
      </w:r>
      <w:r>
        <w:rPr/>
        <w:t>Contratos</w:t>
      </w:r>
      <w:r>
        <w:rPr>
          <w:spacing w:val="-43"/>
        </w:rPr>
        <w:t> </w:t>
      </w:r>
      <w:r>
        <w:rPr/>
        <w:t>de</w:t>
      </w:r>
      <w:r>
        <w:rPr>
          <w:spacing w:val="-45"/>
        </w:rPr>
        <w:t> </w:t>
      </w:r>
      <w:r>
        <w:rPr/>
        <w:t>Comercialização</w:t>
      </w:r>
      <w:r>
        <w:rPr>
          <w:spacing w:val="-45"/>
        </w:rPr>
        <w:t> </w:t>
      </w:r>
      <w:r>
        <w:rPr/>
        <w:t>de</w:t>
      </w:r>
      <w:r>
        <w:rPr>
          <w:spacing w:val="-45"/>
        </w:rPr>
        <w:t> </w:t>
      </w:r>
      <w:r>
        <w:rPr/>
        <w:t>Energia no</w:t>
      </w:r>
      <w:r>
        <w:rPr>
          <w:spacing w:val="-37"/>
        </w:rPr>
        <w:t> </w:t>
      </w:r>
      <w:r>
        <w:rPr/>
        <w:t>Ambiente</w:t>
      </w:r>
      <w:r>
        <w:rPr>
          <w:spacing w:val="-36"/>
        </w:rPr>
        <w:t> </w:t>
      </w:r>
      <w:r>
        <w:rPr/>
        <w:t>Regulado</w:t>
      </w:r>
      <w:r>
        <w:rPr>
          <w:spacing w:val="-36"/>
        </w:rPr>
        <w:t> </w:t>
      </w:r>
      <w:r>
        <w:rPr/>
        <w:t>(CCEAR),</w:t>
      </w:r>
      <w:r>
        <w:rPr>
          <w:spacing w:val="-36"/>
        </w:rPr>
        <w:t> </w:t>
      </w:r>
      <w:r>
        <w:rPr/>
        <w:t>para</w:t>
      </w:r>
      <w:r>
        <w:rPr>
          <w:spacing w:val="-35"/>
        </w:rPr>
        <w:t> </w:t>
      </w:r>
      <w:r>
        <w:rPr/>
        <w:t>redução</w:t>
      </w:r>
      <w:r>
        <w:rPr>
          <w:spacing w:val="-36"/>
        </w:rPr>
        <w:t> </w:t>
      </w:r>
      <w:r>
        <w:rPr/>
        <w:t>temporária</w:t>
      </w:r>
      <w:r>
        <w:rPr>
          <w:spacing w:val="-35"/>
        </w:rPr>
        <w:t> </w:t>
      </w:r>
      <w:r>
        <w:rPr/>
        <w:t>e/ou</w:t>
      </w:r>
      <w:r>
        <w:rPr>
          <w:spacing w:val="-35"/>
        </w:rPr>
        <w:t> </w:t>
      </w:r>
      <w:r>
        <w:rPr/>
        <w:t>permanente</w:t>
      </w:r>
      <w:r>
        <w:rPr>
          <w:spacing w:val="-35"/>
        </w:rPr>
        <w:t> </w:t>
      </w:r>
      <w:r>
        <w:rPr/>
        <w:t>do</w:t>
      </w:r>
      <w:r>
        <w:rPr>
          <w:spacing w:val="-36"/>
        </w:rPr>
        <w:t> </w:t>
      </w:r>
      <w:r>
        <w:rPr/>
        <w:t>montante</w:t>
      </w:r>
      <w:r>
        <w:rPr>
          <w:spacing w:val="-35"/>
        </w:rPr>
        <w:t> </w:t>
      </w:r>
      <w:r>
        <w:rPr/>
        <w:t>contratual.</w:t>
      </w:r>
      <w:r>
        <w:rPr>
          <w:spacing w:val="-35"/>
        </w:rPr>
        <w:t> </w:t>
      </w:r>
      <w:r>
        <w:rPr/>
        <w:t>Os</w:t>
      </w:r>
      <w:r>
        <w:rPr>
          <w:spacing w:val="-34"/>
        </w:rPr>
        <w:t> </w:t>
      </w:r>
      <w:r>
        <w:rPr/>
        <w:t>efeitos</w:t>
      </w:r>
      <w:r>
        <w:rPr>
          <w:spacing w:val="-34"/>
        </w:rPr>
        <w:t> </w:t>
      </w:r>
      <w:r>
        <w:rPr/>
        <w:t>dos acordos</w:t>
      </w:r>
      <w:r>
        <w:rPr>
          <w:spacing w:val="-27"/>
        </w:rPr>
        <w:t> </w:t>
      </w:r>
      <w:r>
        <w:rPr/>
        <w:t>são</w:t>
      </w:r>
      <w:r>
        <w:rPr>
          <w:spacing w:val="-27"/>
        </w:rPr>
        <w:t> </w:t>
      </w:r>
      <w:r>
        <w:rPr/>
        <w:t>reconhecidos</w:t>
      </w:r>
      <w:r>
        <w:rPr>
          <w:spacing w:val="-25"/>
        </w:rPr>
        <w:t> </w:t>
      </w:r>
      <w:r>
        <w:rPr/>
        <w:t>nos</w:t>
      </w:r>
      <w:r>
        <w:rPr>
          <w:spacing w:val="-26"/>
        </w:rPr>
        <w:t> </w:t>
      </w:r>
      <w:r>
        <w:rPr/>
        <w:t>processos</w:t>
      </w:r>
      <w:r>
        <w:rPr>
          <w:spacing w:val="-26"/>
        </w:rPr>
        <w:t> </w:t>
      </w:r>
      <w:r>
        <w:rPr/>
        <w:t>de</w:t>
      </w:r>
      <w:r>
        <w:rPr>
          <w:spacing w:val="-28"/>
        </w:rPr>
        <w:t> </w:t>
      </w:r>
      <w:r>
        <w:rPr/>
        <w:t>reajuste</w:t>
      </w:r>
      <w:r>
        <w:rPr>
          <w:spacing w:val="-27"/>
        </w:rPr>
        <w:t> </w:t>
      </w:r>
      <w:r>
        <w:rPr/>
        <w:t>ou</w:t>
      </w:r>
      <w:r>
        <w:rPr>
          <w:spacing w:val="-26"/>
        </w:rPr>
        <w:t> </w:t>
      </w:r>
      <w:r>
        <w:rPr/>
        <w:t>revisões</w:t>
      </w:r>
      <w:r>
        <w:rPr>
          <w:spacing w:val="-26"/>
        </w:rPr>
        <w:t> </w:t>
      </w:r>
      <w:r>
        <w:rPr/>
        <w:t>subsequentes</w:t>
      </w:r>
      <w:r>
        <w:rPr>
          <w:spacing w:val="-26"/>
        </w:rPr>
        <w:t> </w:t>
      </w:r>
      <w:r>
        <w:rPr/>
        <w:t>à</w:t>
      </w:r>
      <w:r>
        <w:rPr>
          <w:spacing w:val="-27"/>
        </w:rPr>
        <w:t> </w:t>
      </w:r>
      <w:r>
        <w:rPr/>
        <w:t>contabilização</w:t>
      </w:r>
      <w:r>
        <w:rPr>
          <w:spacing w:val="-26"/>
        </w:rPr>
        <w:t> </w:t>
      </w:r>
      <w:r>
        <w:rPr/>
        <w:t>do</w:t>
      </w:r>
      <w:r>
        <w:rPr>
          <w:spacing w:val="-27"/>
        </w:rPr>
        <w:t> </w:t>
      </w:r>
      <w:r>
        <w:rPr/>
        <w:t>acordo</w:t>
      </w:r>
      <w:r>
        <w:rPr>
          <w:spacing w:val="-27"/>
        </w:rPr>
        <w:t> </w:t>
      </w:r>
      <w:r>
        <w:rPr/>
        <w:t>na</w:t>
      </w:r>
      <w:r>
        <w:rPr>
          <w:spacing w:val="-27"/>
        </w:rPr>
        <w:t> </w:t>
      </w:r>
      <w:r>
        <w:rPr/>
        <w:t>CCEE, conforme</w:t>
      </w:r>
      <w:r>
        <w:rPr>
          <w:spacing w:val="-18"/>
        </w:rPr>
        <w:t> </w:t>
      </w:r>
      <w:r>
        <w:rPr/>
        <w:t>definido</w:t>
      </w:r>
      <w:r>
        <w:rPr>
          <w:spacing w:val="-17"/>
        </w:rPr>
        <w:t> </w:t>
      </w:r>
      <w:r>
        <w:rPr/>
        <w:t>no</w:t>
      </w:r>
      <w:r>
        <w:rPr>
          <w:spacing w:val="-16"/>
        </w:rPr>
        <w:t> </w:t>
      </w:r>
      <w:r>
        <w:rPr/>
        <w:t>módulo</w:t>
      </w:r>
      <w:r>
        <w:rPr>
          <w:spacing w:val="-18"/>
        </w:rPr>
        <w:t> </w:t>
      </w:r>
      <w:r>
        <w:rPr/>
        <w:t>4.4A</w:t>
      </w:r>
      <w:r>
        <w:rPr>
          <w:spacing w:val="-18"/>
        </w:rPr>
        <w:t> </w:t>
      </w:r>
      <w:r>
        <w:rPr/>
        <w:t>do</w:t>
      </w:r>
      <w:r>
        <w:rPr>
          <w:spacing w:val="-19"/>
        </w:rPr>
        <w:t> </w:t>
      </w:r>
      <w:r>
        <w:rPr/>
        <w:t>PRORET.</w:t>
      </w:r>
    </w:p>
    <w:p>
      <w:pPr>
        <w:pStyle w:val="BodyText"/>
        <w:spacing w:before="1"/>
      </w:pPr>
    </w:p>
    <w:p>
      <w:pPr>
        <w:pStyle w:val="BodyText"/>
        <w:spacing w:line="242" w:lineRule="auto" w:before="1"/>
        <w:ind w:left="192" w:right="616"/>
        <w:jc w:val="both"/>
      </w:pPr>
      <w:r>
        <w:rPr/>
        <w:t>Na</w:t>
      </w:r>
      <w:r>
        <w:rPr>
          <w:spacing w:val="-8"/>
        </w:rPr>
        <w:t> </w:t>
      </w:r>
      <w:r>
        <w:rPr/>
        <w:t>RTA</w:t>
      </w:r>
      <w:r>
        <w:rPr>
          <w:spacing w:val="-9"/>
        </w:rPr>
        <w:t> </w:t>
      </w:r>
      <w:r>
        <w:rPr/>
        <w:t>2019,</w:t>
      </w:r>
      <w:r>
        <w:rPr>
          <w:spacing w:val="-8"/>
        </w:rPr>
        <w:t> </w:t>
      </w:r>
      <w:r>
        <w:rPr/>
        <w:t>a</w:t>
      </w:r>
      <w:r>
        <w:rPr>
          <w:spacing w:val="-7"/>
        </w:rPr>
        <w:t> </w:t>
      </w:r>
      <w:r>
        <w:rPr/>
        <w:t>ANEEL</w:t>
      </w:r>
      <w:r>
        <w:rPr>
          <w:spacing w:val="-8"/>
        </w:rPr>
        <w:t> </w:t>
      </w:r>
      <w:r>
        <w:rPr/>
        <w:t>reprocessou</w:t>
      </w:r>
      <w:r>
        <w:rPr>
          <w:spacing w:val="-8"/>
        </w:rPr>
        <w:t> </w:t>
      </w:r>
      <w:r>
        <w:rPr/>
        <w:t>os</w:t>
      </w:r>
      <w:r>
        <w:rPr>
          <w:spacing w:val="-7"/>
        </w:rPr>
        <w:t> </w:t>
      </w:r>
      <w:r>
        <w:rPr/>
        <w:t>cálculos</w:t>
      </w:r>
      <w:r>
        <w:rPr>
          <w:spacing w:val="-8"/>
        </w:rPr>
        <w:t> </w:t>
      </w:r>
      <w:r>
        <w:rPr/>
        <w:t>dos</w:t>
      </w:r>
      <w:r>
        <w:rPr>
          <w:spacing w:val="-8"/>
        </w:rPr>
        <w:t> </w:t>
      </w:r>
      <w:r>
        <w:rPr/>
        <w:t>acordos</w:t>
      </w:r>
      <w:r>
        <w:rPr>
          <w:spacing w:val="-8"/>
        </w:rPr>
        <w:t> </w:t>
      </w:r>
      <w:r>
        <w:rPr/>
        <w:t>celebrados</w:t>
      </w:r>
      <w:r>
        <w:rPr>
          <w:spacing w:val="-7"/>
        </w:rPr>
        <w:t> </w:t>
      </w:r>
      <w:r>
        <w:rPr/>
        <w:t>pela</w:t>
      </w:r>
      <w:r>
        <w:rPr>
          <w:spacing w:val="-8"/>
        </w:rPr>
        <w:t> </w:t>
      </w:r>
      <w:r>
        <w:rPr/>
        <w:t>CEB</w:t>
      </w:r>
      <w:r>
        <w:rPr>
          <w:spacing w:val="-9"/>
        </w:rPr>
        <w:t> </w:t>
      </w:r>
      <w:r>
        <w:rPr/>
        <w:t>DIS</w:t>
      </w:r>
      <w:r>
        <w:rPr>
          <w:spacing w:val="-8"/>
        </w:rPr>
        <w:t> </w:t>
      </w:r>
      <w:r>
        <w:rPr/>
        <w:t>que</w:t>
      </w:r>
      <w:r>
        <w:rPr>
          <w:spacing w:val="-10"/>
        </w:rPr>
        <w:t> </w:t>
      </w:r>
      <w:r>
        <w:rPr/>
        <w:t>foram</w:t>
      </w:r>
      <w:r>
        <w:rPr>
          <w:spacing w:val="-8"/>
        </w:rPr>
        <w:t> </w:t>
      </w:r>
      <w:r>
        <w:rPr/>
        <w:t>considerados</w:t>
      </w:r>
      <w:r>
        <w:rPr>
          <w:spacing w:val="-6"/>
        </w:rPr>
        <w:t> </w:t>
      </w:r>
      <w:r>
        <w:rPr/>
        <w:t>nos reajustes</w:t>
      </w:r>
      <w:r>
        <w:rPr>
          <w:spacing w:val="-32"/>
        </w:rPr>
        <w:t> </w:t>
      </w:r>
      <w:r>
        <w:rPr/>
        <w:t>anteriores</w:t>
      </w:r>
      <w:r>
        <w:rPr>
          <w:spacing w:val="-32"/>
        </w:rPr>
        <w:t> </w:t>
      </w:r>
      <w:r>
        <w:rPr/>
        <w:t>(RTA</w:t>
      </w:r>
      <w:r>
        <w:rPr>
          <w:spacing w:val="-32"/>
        </w:rPr>
        <w:t> </w:t>
      </w:r>
      <w:r>
        <w:rPr/>
        <w:t>2017</w:t>
      </w:r>
      <w:r>
        <w:rPr>
          <w:spacing w:val="-33"/>
        </w:rPr>
        <w:t> </w:t>
      </w:r>
      <w:r>
        <w:rPr/>
        <w:t>e</w:t>
      </w:r>
      <w:r>
        <w:rPr>
          <w:spacing w:val="-33"/>
        </w:rPr>
        <w:t> </w:t>
      </w:r>
      <w:r>
        <w:rPr/>
        <w:t>2018),</w:t>
      </w:r>
      <w:r>
        <w:rPr>
          <w:spacing w:val="-32"/>
        </w:rPr>
        <w:t> </w:t>
      </w:r>
      <w:r>
        <w:rPr/>
        <w:t>além</w:t>
      </w:r>
      <w:r>
        <w:rPr>
          <w:spacing w:val="-32"/>
        </w:rPr>
        <w:t> </w:t>
      </w:r>
      <w:r>
        <w:rPr/>
        <w:t>daqueles</w:t>
      </w:r>
      <w:r>
        <w:rPr>
          <w:spacing w:val="-31"/>
        </w:rPr>
        <w:t> </w:t>
      </w:r>
      <w:r>
        <w:rPr/>
        <w:t>realizados</w:t>
      </w:r>
      <w:r>
        <w:rPr>
          <w:spacing w:val="-32"/>
        </w:rPr>
        <w:t> </w:t>
      </w:r>
      <w:r>
        <w:rPr/>
        <w:t>no</w:t>
      </w:r>
      <w:r>
        <w:rPr>
          <w:spacing w:val="-33"/>
        </w:rPr>
        <w:t> </w:t>
      </w:r>
      <w:r>
        <w:rPr/>
        <w:t>ciclo</w:t>
      </w:r>
      <w:r>
        <w:rPr>
          <w:spacing w:val="-32"/>
        </w:rPr>
        <w:t> </w:t>
      </w:r>
      <w:r>
        <w:rPr/>
        <w:t>regulatório</w:t>
      </w:r>
      <w:r>
        <w:rPr>
          <w:spacing w:val="-33"/>
        </w:rPr>
        <w:t> </w:t>
      </w:r>
      <w:r>
        <w:rPr/>
        <w:t>vigente,</w:t>
      </w:r>
      <w:r>
        <w:rPr>
          <w:spacing w:val="-32"/>
        </w:rPr>
        <w:t> </w:t>
      </w:r>
      <w:r>
        <w:rPr/>
        <w:t>reconhecendo</w:t>
      </w:r>
      <w:r>
        <w:rPr>
          <w:spacing w:val="-32"/>
        </w:rPr>
        <w:t> </w:t>
      </w:r>
      <w:r>
        <w:rPr/>
        <w:t>como direito</w:t>
      </w:r>
      <w:r>
        <w:rPr>
          <w:spacing w:val="-21"/>
        </w:rPr>
        <w:t> </w:t>
      </w:r>
      <w:r>
        <w:rPr/>
        <w:t>o</w:t>
      </w:r>
      <w:r>
        <w:rPr>
          <w:spacing w:val="-22"/>
        </w:rPr>
        <w:t> </w:t>
      </w:r>
      <w:r>
        <w:rPr/>
        <w:t>montante</w:t>
      </w:r>
      <w:r>
        <w:rPr>
          <w:spacing w:val="-21"/>
        </w:rPr>
        <w:t> </w:t>
      </w:r>
      <w:r>
        <w:rPr/>
        <w:t>de</w:t>
      </w:r>
      <w:r>
        <w:rPr>
          <w:spacing w:val="-23"/>
        </w:rPr>
        <w:t> </w:t>
      </w:r>
      <w:r>
        <w:rPr/>
        <w:t>R$</w:t>
      </w:r>
      <w:r>
        <w:rPr>
          <w:spacing w:val="-21"/>
        </w:rPr>
        <w:t> </w:t>
      </w:r>
      <w:r>
        <w:rPr/>
        <w:t>24</w:t>
      </w:r>
      <w:r>
        <w:rPr>
          <w:spacing w:val="-19"/>
        </w:rPr>
        <w:t> </w:t>
      </w:r>
      <w:r>
        <w:rPr/>
        <w:t>milhões,</w:t>
      </w:r>
      <w:r>
        <w:rPr>
          <w:spacing w:val="-22"/>
        </w:rPr>
        <w:t> </w:t>
      </w:r>
      <w:r>
        <w:rPr/>
        <w:t>o</w:t>
      </w:r>
      <w:r>
        <w:rPr>
          <w:spacing w:val="-19"/>
        </w:rPr>
        <w:t> </w:t>
      </w:r>
      <w:r>
        <w:rPr/>
        <w:t>qual</w:t>
      </w:r>
      <w:r>
        <w:rPr>
          <w:spacing w:val="-21"/>
        </w:rPr>
        <w:t> </w:t>
      </w:r>
      <w:r>
        <w:rPr/>
        <w:t>foi</w:t>
      </w:r>
      <w:r>
        <w:rPr>
          <w:spacing w:val="-21"/>
        </w:rPr>
        <w:t> </w:t>
      </w:r>
      <w:r>
        <w:rPr/>
        <w:t>registrado</w:t>
      </w:r>
      <w:r>
        <w:rPr>
          <w:spacing w:val="-22"/>
        </w:rPr>
        <w:t> </w:t>
      </w:r>
      <w:r>
        <w:rPr/>
        <w:t>como</w:t>
      </w:r>
      <w:r>
        <w:rPr>
          <w:spacing w:val="-22"/>
        </w:rPr>
        <w:t> </w:t>
      </w:r>
      <w:r>
        <w:rPr/>
        <w:t>Ativo</w:t>
      </w:r>
      <w:r>
        <w:rPr>
          <w:spacing w:val="-22"/>
        </w:rPr>
        <w:t> </w:t>
      </w:r>
      <w:r>
        <w:rPr/>
        <w:t>Financeiro</w:t>
      </w:r>
      <w:r>
        <w:rPr>
          <w:spacing w:val="-19"/>
        </w:rPr>
        <w:t> </w:t>
      </w:r>
      <w:r>
        <w:rPr/>
        <w:t>Setorial.</w:t>
      </w:r>
    </w:p>
    <w:p>
      <w:pPr>
        <w:pStyle w:val="BodyText"/>
      </w:pPr>
    </w:p>
    <w:p>
      <w:pPr>
        <w:pStyle w:val="BodyText"/>
        <w:spacing w:line="242" w:lineRule="auto"/>
        <w:ind w:left="192" w:right="608"/>
        <w:jc w:val="both"/>
      </w:pPr>
      <w:r>
        <w:rPr/>
        <w:t>Tal</w:t>
      </w:r>
      <w:r>
        <w:rPr>
          <w:spacing w:val="-32"/>
        </w:rPr>
        <w:t> </w:t>
      </w:r>
      <w:r>
        <w:rPr/>
        <w:t>efeito,</w:t>
      </w:r>
      <w:r>
        <w:rPr>
          <w:spacing w:val="-32"/>
        </w:rPr>
        <w:t> </w:t>
      </w:r>
      <w:r>
        <w:rPr/>
        <w:t>por</w:t>
      </w:r>
      <w:r>
        <w:rPr>
          <w:spacing w:val="-32"/>
        </w:rPr>
        <w:t> </w:t>
      </w:r>
      <w:r>
        <w:rPr/>
        <w:t>ser</w:t>
      </w:r>
      <w:r>
        <w:rPr>
          <w:spacing w:val="-32"/>
        </w:rPr>
        <w:t> </w:t>
      </w:r>
      <w:r>
        <w:rPr/>
        <w:t>contabilizado</w:t>
      </w:r>
      <w:r>
        <w:rPr>
          <w:spacing w:val="-32"/>
        </w:rPr>
        <w:t> </w:t>
      </w:r>
      <w:r>
        <w:rPr/>
        <w:t>dentro</w:t>
      </w:r>
      <w:r>
        <w:rPr>
          <w:spacing w:val="-32"/>
        </w:rPr>
        <w:t> </w:t>
      </w:r>
      <w:r>
        <w:rPr/>
        <w:t>do</w:t>
      </w:r>
      <w:r>
        <w:rPr>
          <w:spacing w:val="-31"/>
        </w:rPr>
        <w:t> </w:t>
      </w:r>
      <w:r>
        <w:rPr/>
        <w:t>item</w:t>
      </w:r>
      <w:r>
        <w:rPr>
          <w:spacing w:val="-32"/>
        </w:rPr>
        <w:t> </w:t>
      </w:r>
      <w:r>
        <w:rPr/>
        <w:t>CVA</w:t>
      </w:r>
      <w:r>
        <w:rPr>
          <w:spacing w:val="-30"/>
        </w:rPr>
        <w:t> </w:t>
      </w:r>
      <w:r>
        <w:rPr/>
        <w:t>e</w:t>
      </w:r>
      <w:r>
        <w:rPr>
          <w:spacing w:val="-32"/>
        </w:rPr>
        <w:t> </w:t>
      </w:r>
      <w:r>
        <w:rPr/>
        <w:t>demais</w:t>
      </w:r>
      <w:r>
        <w:rPr>
          <w:spacing w:val="-32"/>
        </w:rPr>
        <w:t> </w:t>
      </w:r>
      <w:r>
        <w:rPr/>
        <w:t>Componentes</w:t>
      </w:r>
      <w:r>
        <w:rPr>
          <w:spacing w:val="-31"/>
        </w:rPr>
        <w:t> </w:t>
      </w:r>
      <w:r>
        <w:rPr/>
        <w:t>Financeiros,</w:t>
      </w:r>
      <w:r>
        <w:rPr>
          <w:spacing w:val="-31"/>
        </w:rPr>
        <w:t> </w:t>
      </w:r>
      <w:r>
        <w:rPr/>
        <w:t>afetou</w:t>
      </w:r>
      <w:r>
        <w:rPr>
          <w:spacing w:val="-32"/>
        </w:rPr>
        <w:t> </w:t>
      </w:r>
      <w:r>
        <w:rPr/>
        <w:t>de</w:t>
      </w:r>
      <w:r>
        <w:rPr>
          <w:spacing w:val="-31"/>
        </w:rPr>
        <w:t> </w:t>
      </w:r>
      <w:r>
        <w:rPr/>
        <w:t>forma</w:t>
      </w:r>
      <w:r>
        <w:rPr>
          <w:spacing w:val="-31"/>
        </w:rPr>
        <w:t> </w:t>
      </w:r>
      <w:r>
        <w:rPr/>
        <w:t>positiva</w:t>
      </w:r>
      <w:r>
        <w:rPr>
          <w:spacing w:val="-31"/>
        </w:rPr>
        <w:t> </w:t>
      </w:r>
      <w:r>
        <w:rPr/>
        <w:t>o resultado</w:t>
      </w:r>
      <w:r>
        <w:rPr>
          <w:spacing w:val="-7"/>
        </w:rPr>
        <w:t> </w:t>
      </w:r>
      <w:r>
        <w:rPr/>
        <w:t>antes</w:t>
      </w:r>
      <w:r>
        <w:rPr>
          <w:spacing w:val="-6"/>
        </w:rPr>
        <w:t> </w:t>
      </w:r>
      <w:r>
        <w:rPr/>
        <w:t>de</w:t>
      </w:r>
      <w:r>
        <w:rPr>
          <w:spacing w:val="-8"/>
        </w:rPr>
        <w:t> </w:t>
      </w:r>
      <w:r>
        <w:rPr/>
        <w:t>Parcela</w:t>
      </w:r>
      <w:r>
        <w:rPr>
          <w:spacing w:val="-6"/>
        </w:rPr>
        <w:t> </w:t>
      </w:r>
      <w:r>
        <w:rPr/>
        <w:t>B</w:t>
      </w:r>
      <w:r>
        <w:rPr>
          <w:spacing w:val="-6"/>
        </w:rPr>
        <w:t> </w:t>
      </w:r>
      <w:r>
        <w:rPr/>
        <w:t>no</w:t>
      </w:r>
      <w:r>
        <w:rPr>
          <w:spacing w:val="-5"/>
        </w:rPr>
        <w:t> </w:t>
      </w:r>
      <w:r>
        <w:rPr/>
        <w:t>exercício</w:t>
      </w:r>
      <w:r>
        <w:rPr>
          <w:spacing w:val="-6"/>
        </w:rPr>
        <w:t> </w:t>
      </w:r>
      <w:r>
        <w:rPr/>
        <w:t>de</w:t>
      </w:r>
      <w:r>
        <w:rPr>
          <w:spacing w:val="-8"/>
        </w:rPr>
        <w:t> </w:t>
      </w:r>
      <w:r>
        <w:rPr/>
        <w:t>2019,</w:t>
      </w:r>
      <w:r>
        <w:rPr>
          <w:spacing w:val="-6"/>
        </w:rPr>
        <w:t> </w:t>
      </w:r>
      <w:r>
        <w:rPr/>
        <w:t>uma</w:t>
      </w:r>
      <w:r>
        <w:rPr>
          <w:spacing w:val="-6"/>
        </w:rPr>
        <w:t> </w:t>
      </w:r>
      <w:r>
        <w:rPr/>
        <w:t>vez</w:t>
      </w:r>
      <w:r>
        <w:rPr>
          <w:spacing w:val="-6"/>
        </w:rPr>
        <w:t> </w:t>
      </w:r>
      <w:r>
        <w:rPr/>
        <w:t>que,</w:t>
      </w:r>
      <w:r>
        <w:rPr>
          <w:spacing w:val="-7"/>
        </w:rPr>
        <w:t> </w:t>
      </w:r>
      <w:r>
        <w:rPr/>
        <w:t>de</w:t>
      </w:r>
      <w:r>
        <w:rPr>
          <w:spacing w:val="-7"/>
        </w:rPr>
        <w:t> </w:t>
      </w:r>
      <w:r>
        <w:rPr/>
        <w:t>acordo</w:t>
      </w:r>
      <w:r>
        <w:rPr>
          <w:spacing w:val="-7"/>
        </w:rPr>
        <w:t> </w:t>
      </w:r>
      <w:r>
        <w:rPr/>
        <w:t>com</w:t>
      </w:r>
      <w:r>
        <w:rPr>
          <w:spacing w:val="-7"/>
        </w:rPr>
        <w:t> </w:t>
      </w:r>
      <w:r>
        <w:rPr/>
        <w:t>a</w:t>
      </w:r>
      <w:r>
        <w:rPr>
          <w:spacing w:val="-4"/>
        </w:rPr>
        <w:t> </w:t>
      </w:r>
      <w:r>
        <w:rPr/>
        <w:t>regra,</w:t>
      </w:r>
      <w:r>
        <w:rPr>
          <w:spacing w:val="-7"/>
        </w:rPr>
        <w:t> </w:t>
      </w:r>
      <w:r>
        <w:rPr/>
        <w:t>seu</w:t>
      </w:r>
      <w:r>
        <w:rPr>
          <w:spacing w:val="-4"/>
        </w:rPr>
        <w:t> </w:t>
      </w:r>
      <w:r>
        <w:rPr/>
        <w:t>efeito</w:t>
      </w:r>
      <w:r>
        <w:rPr>
          <w:spacing w:val="-7"/>
        </w:rPr>
        <w:t> </w:t>
      </w:r>
      <w:r>
        <w:rPr/>
        <w:t>é</w:t>
      </w:r>
      <w:r>
        <w:rPr>
          <w:spacing w:val="3"/>
        </w:rPr>
        <w:t> </w:t>
      </w:r>
      <w:r>
        <w:rPr/>
        <w:t>absorvido integralmente pela</w:t>
      </w:r>
      <w:r>
        <w:rPr>
          <w:spacing w:val="-35"/>
        </w:rPr>
        <w:t> </w:t>
      </w:r>
      <w:r>
        <w:rPr/>
        <w:t>distribuidora.</w:t>
      </w:r>
    </w:p>
    <w:p>
      <w:pPr>
        <w:pStyle w:val="BodyText"/>
      </w:pPr>
    </w:p>
    <w:p>
      <w:pPr>
        <w:spacing w:before="1"/>
        <w:ind w:left="192" w:right="0" w:firstLine="0"/>
        <w:jc w:val="left"/>
        <w:rPr>
          <w:rFonts w:ascii="Caladea" w:hAnsi="Caladea"/>
          <w:b/>
          <w:sz w:val="20"/>
        </w:rPr>
      </w:pPr>
      <w:r>
        <w:rPr>
          <w:rFonts w:ascii="Caladea" w:hAnsi="Caladea"/>
          <w:b/>
          <w:sz w:val="20"/>
        </w:rPr>
        <w:t>Sobrecontratação</w:t>
      </w:r>
    </w:p>
    <w:p>
      <w:pPr>
        <w:pStyle w:val="BodyText"/>
        <w:spacing w:line="242" w:lineRule="auto" w:before="123"/>
        <w:ind w:left="192" w:right="610"/>
        <w:jc w:val="both"/>
      </w:pPr>
      <w:r>
        <w:rPr/>
        <w:t>Considerando</w:t>
      </w:r>
      <w:r>
        <w:rPr>
          <w:spacing w:val="-47"/>
        </w:rPr>
        <w:t> </w:t>
      </w:r>
      <w:r>
        <w:rPr/>
        <w:t>as</w:t>
      </w:r>
      <w:r>
        <w:rPr>
          <w:spacing w:val="-46"/>
        </w:rPr>
        <w:t> </w:t>
      </w:r>
      <w:r>
        <w:rPr/>
        <w:t>ações</w:t>
      </w:r>
      <w:r>
        <w:rPr>
          <w:spacing w:val="-45"/>
        </w:rPr>
        <w:t> </w:t>
      </w:r>
      <w:r>
        <w:rPr/>
        <w:t>gerenciais</w:t>
      </w:r>
      <w:r>
        <w:rPr>
          <w:spacing w:val="-47"/>
        </w:rPr>
        <w:t> </w:t>
      </w:r>
      <w:r>
        <w:rPr/>
        <w:t>implementadas</w:t>
      </w:r>
      <w:r>
        <w:rPr>
          <w:spacing w:val="-46"/>
        </w:rPr>
        <w:t> </w:t>
      </w:r>
      <w:r>
        <w:rPr/>
        <w:t>em</w:t>
      </w:r>
      <w:r>
        <w:rPr>
          <w:spacing w:val="-46"/>
        </w:rPr>
        <w:t> </w:t>
      </w:r>
      <w:r>
        <w:rPr/>
        <w:t>2019,</w:t>
      </w:r>
      <w:r>
        <w:rPr>
          <w:spacing w:val="-47"/>
        </w:rPr>
        <w:t> </w:t>
      </w:r>
      <w:r>
        <w:rPr/>
        <w:t>incluindo</w:t>
      </w:r>
      <w:r>
        <w:rPr>
          <w:spacing w:val="-46"/>
        </w:rPr>
        <w:t> </w:t>
      </w:r>
      <w:r>
        <w:rPr/>
        <w:t>as</w:t>
      </w:r>
      <w:r>
        <w:rPr>
          <w:spacing w:val="-46"/>
        </w:rPr>
        <w:t> </w:t>
      </w:r>
      <w:r>
        <w:rPr/>
        <w:t>declarações</w:t>
      </w:r>
      <w:r>
        <w:rPr>
          <w:spacing w:val="-45"/>
        </w:rPr>
        <w:t> </w:t>
      </w:r>
      <w:r>
        <w:rPr/>
        <w:t>de</w:t>
      </w:r>
      <w:r>
        <w:rPr>
          <w:spacing w:val="-47"/>
        </w:rPr>
        <w:t> </w:t>
      </w:r>
      <w:r>
        <w:rPr/>
        <w:t>Mecanismos</w:t>
      </w:r>
      <w:r>
        <w:rPr>
          <w:spacing w:val="-45"/>
        </w:rPr>
        <w:t> </w:t>
      </w:r>
      <w:r>
        <w:rPr/>
        <w:t>de</w:t>
      </w:r>
      <w:r>
        <w:rPr>
          <w:spacing w:val="-46"/>
        </w:rPr>
        <w:t> </w:t>
      </w:r>
      <w:r>
        <w:rPr/>
        <w:t>Compensação de</w:t>
      </w:r>
      <w:r>
        <w:rPr>
          <w:spacing w:val="-16"/>
        </w:rPr>
        <w:t> </w:t>
      </w:r>
      <w:r>
        <w:rPr/>
        <w:t>Sobras</w:t>
      </w:r>
      <w:r>
        <w:rPr>
          <w:spacing w:val="-13"/>
        </w:rPr>
        <w:t> </w:t>
      </w:r>
      <w:r>
        <w:rPr/>
        <w:t>e</w:t>
      </w:r>
      <w:r>
        <w:rPr>
          <w:spacing w:val="-14"/>
        </w:rPr>
        <w:t> </w:t>
      </w:r>
      <w:r>
        <w:rPr/>
        <w:t>Deficits</w:t>
      </w:r>
      <w:r>
        <w:rPr>
          <w:spacing w:val="-12"/>
        </w:rPr>
        <w:t> </w:t>
      </w:r>
      <w:r>
        <w:rPr>
          <w:w w:val="105"/>
        </w:rPr>
        <w:t>–</w:t>
      </w:r>
      <w:r>
        <w:rPr>
          <w:spacing w:val="-15"/>
          <w:w w:val="105"/>
        </w:rPr>
        <w:t> </w:t>
      </w:r>
      <w:r>
        <w:rPr/>
        <w:t>MCSD</w:t>
      </w:r>
      <w:r>
        <w:rPr>
          <w:spacing w:val="-13"/>
        </w:rPr>
        <w:t> </w:t>
      </w:r>
      <w:r>
        <w:rPr/>
        <w:t>e</w:t>
      </w:r>
      <w:r>
        <w:rPr>
          <w:spacing w:val="-15"/>
        </w:rPr>
        <w:t> </w:t>
      </w:r>
      <w:r>
        <w:rPr/>
        <w:t>o</w:t>
      </w:r>
      <w:r>
        <w:rPr>
          <w:spacing w:val="-13"/>
        </w:rPr>
        <w:t> </w:t>
      </w:r>
      <w:r>
        <w:rPr/>
        <w:t>Mecanismo</w:t>
      </w:r>
      <w:r>
        <w:rPr>
          <w:spacing w:val="-15"/>
        </w:rPr>
        <w:t> </w:t>
      </w:r>
      <w:r>
        <w:rPr/>
        <w:t>de</w:t>
      </w:r>
      <w:r>
        <w:rPr>
          <w:spacing w:val="-15"/>
        </w:rPr>
        <w:t> </w:t>
      </w:r>
      <w:r>
        <w:rPr/>
        <w:t>Venda</w:t>
      </w:r>
      <w:r>
        <w:rPr>
          <w:spacing w:val="-13"/>
        </w:rPr>
        <w:t> </w:t>
      </w:r>
      <w:r>
        <w:rPr/>
        <w:t>de</w:t>
      </w:r>
      <w:r>
        <w:rPr>
          <w:spacing w:val="-16"/>
        </w:rPr>
        <w:t> </w:t>
      </w:r>
      <w:r>
        <w:rPr/>
        <w:t>Excedentes</w:t>
      </w:r>
      <w:r>
        <w:rPr>
          <w:spacing w:val="-7"/>
        </w:rPr>
        <w:t> </w:t>
      </w:r>
      <w:r>
        <w:rPr/>
        <w:t>-</w:t>
      </w:r>
      <w:r>
        <w:rPr>
          <w:spacing w:val="-13"/>
        </w:rPr>
        <w:t> </w:t>
      </w:r>
      <w:r>
        <w:rPr/>
        <w:t>MVE,</w:t>
      </w:r>
      <w:r>
        <w:rPr>
          <w:spacing w:val="-14"/>
        </w:rPr>
        <w:t> </w:t>
      </w:r>
      <w:r>
        <w:rPr/>
        <w:t>a</w:t>
      </w:r>
      <w:r>
        <w:rPr>
          <w:spacing w:val="-13"/>
        </w:rPr>
        <w:t> </w:t>
      </w:r>
      <w:r>
        <w:rPr/>
        <w:t>CEB</w:t>
      </w:r>
      <w:r>
        <w:rPr>
          <w:spacing w:val="-12"/>
        </w:rPr>
        <w:t> </w:t>
      </w:r>
      <w:r>
        <w:rPr/>
        <w:t>DIS</w:t>
      </w:r>
      <w:r>
        <w:rPr>
          <w:spacing w:val="-14"/>
        </w:rPr>
        <w:t> </w:t>
      </w:r>
      <w:r>
        <w:rPr/>
        <w:t>fechou</w:t>
      </w:r>
      <w:r>
        <w:rPr>
          <w:spacing w:val="-13"/>
        </w:rPr>
        <w:t> </w:t>
      </w:r>
      <w:r>
        <w:rPr/>
        <w:t>posição</w:t>
      </w:r>
      <w:r>
        <w:rPr>
          <w:spacing w:val="-15"/>
        </w:rPr>
        <w:t> </w:t>
      </w:r>
      <w:r>
        <w:rPr/>
        <w:t>de</w:t>
      </w:r>
      <w:r>
        <w:rPr>
          <w:spacing w:val="-15"/>
        </w:rPr>
        <w:t> </w:t>
      </w:r>
      <w:r>
        <w:rPr/>
        <w:t>sobras</w:t>
      </w:r>
      <w:r>
        <w:rPr>
          <w:spacing w:val="-13"/>
        </w:rPr>
        <w:t> </w:t>
      </w:r>
      <w:r>
        <w:rPr/>
        <w:t>de energia</w:t>
      </w:r>
      <w:r>
        <w:rPr>
          <w:spacing w:val="-22"/>
        </w:rPr>
        <w:t> </w:t>
      </w:r>
      <w:r>
        <w:rPr/>
        <w:t>elétrica</w:t>
      </w:r>
      <w:r>
        <w:rPr>
          <w:spacing w:val="-19"/>
        </w:rPr>
        <w:t> </w:t>
      </w:r>
      <w:r>
        <w:rPr/>
        <w:t>no</w:t>
      </w:r>
      <w:r>
        <w:rPr>
          <w:spacing w:val="-20"/>
        </w:rPr>
        <w:t> </w:t>
      </w:r>
      <w:r>
        <w:rPr/>
        <w:t>patamar</w:t>
      </w:r>
      <w:r>
        <w:rPr>
          <w:spacing w:val="-21"/>
        </w:rPr>
        <w:t> </w:t>
      </w:r>
      <w:r>
        <w:rPr/>
        <w:t>de</w:t>
      </w:r>
      <w:r>
        <w:rPr>
          <w:spacing w:val="-24"/>
        </w:rPr>
        <w:t> </w:t>
      </w:r>
      <w:r>
        <w:rPr/>
        <w:t>28,6%</w:t>
      </w:r>
      <w:r>
        <w:rPr>
          <w:spacing w:val="-20"/>
        </w:rPr>
        <w:t> </w:t>
      </w:r>
      <w:r>
        <w:rPr/>
        <w:t>no</w:t>
      </w:r>
      <w:r>
        <w:rPr>
          <w:spacing w:val="-20"/>
        </w:rPr>
        <w:t> </w:t>
      </w:r>
      <w:r>
        <w:rPr/>
        <w:t>período,</w:t>
      </w:r>
      <w:r>
        <w:rPr>
          <w:spacing w:val="-22"/>
        </w:rPr>
        <w:t> </w:t>
      </w:r>
      <w:r>
        <w:rPr/>
        <w:t>com</w:t>
      </w:r>
      <w:r>
        <w:rPr>
          <w:spacing w:val="-21"/>
        </w:rPr>
        <w:t> </w:t>
      </w:r>
      <w:r>
        <w:rPr/>
        <w:t>23,6</w:t>
      </w:r>
      <w:r>
        <w:rPr>
          <w:spacing w:val="-22"/>
        </w:rPr>
        <w:t> </w:t>
      </w:r>
      <w:r>
        <w:rPr/>
        <w:t>p.p</w:t>
      </w:r>
      <w:r>
        <w:rPr>
          <w:spacing w:val="-23"/>
        </w:rPr>
        <w:t> </w:t>
      </w:r>
      <w:r>
        <w:rPr/>
        <w:t>acima</w:t>
      </w:r>
      <w:r>
        <w:rPr>
          <w:spacing w:val="-21"/>
        </w:rPr>
        <w:t> </w:t>
      </w:r>
      <w:r>
        <w:rPr/>
        <w:t>do</w:t>
      </w:r>
      <w:r>
        <w:rPr>
          <w:spacing w:val="-21"/>
        </w:rPr>
        <w:t> </w:t>
      </w:r>
      <w:r>
        <w:rPr/>
        <w:t>nível</w:t>
      </w:r>
      <w:r>
        <w:rPr>
          <w:spacing w:val="-22"/>
        </w:rPr>
        <w:t> </w:t>
      </w:r>
      <w:r>
        <w:rPr/>
        <w:t>regulatório.</w:t>
      </w:r>
    </w:p>
    <w:p>
      <w:pPr>
        <w:pStyle w:val="BodyText"/>
        <w:spacing w:line="242" w:lineRule="auto" w:before="119"/>
        <w:ind w:left="192" w:right="611"/>
        <w:jc w:val="both"/>
      </w:pPr>
      <w:r>
        <w:rPr/>
        <w:t>A Companhia vem registrando contabilmente de forma prudencial os valores de ajustes da sobrecontratação, considerando o patamar de 105%, para devolução/recebimento do consumidor, e os valores acima de 105%, considerado</w:t>
      </w:r>
      <w:r>
        <w:rPr>
          <w:spacing w:val="-50"/>
        </w:rPr>
        <w:t> </w:t>
      </w:r>
      <w:r>
        <w:rPr/>
        <w:t>como</w:t>
      </w:r>
      <w:r>
        <w:rPr>
          <w:spacing w:val="-48"/>
        </w:rPr>
        <w:t> </w:t>
      </w:r>
      <w:r>
        <w:rPr/>
        <w:t>risco</w:t>
      </w:r>
      <w:r>
        <w:rPr>
          <w:spacing w:val="-49"/>
        </w:rPr>
        <w:t> </w:t>
      </w:r>
      <w:r>
        <w:rPr/>
        <w:t>da</w:t>
      </w:r>
      <w:r>
        <w:rPr>
          <w:spacing w:val="-49"/>
        </w:rPr>
        <w:t> </w:t>
      </w:r>
      <w:r>
        <w:rPr/>
        <w:t>distribuidora,</w:t>
      </w:r>
      <w:r>
        <w:rPr>
          <w:spacing w:val="-48"/>
        </w:rPr>
        <w:t> </w:t>
      </w:r>
      <w:r>
        <w:rPr/>
        <w:t>respeitando</w:t>
      </w:r>
      <w:r>
        <w:rPr>
          <w:spacing w:val="-48"/>
        </w:rPr>
        <w:t> </w:t>
      </w:r>
      <w:r>
        <w:rPr/>
        <w:t>o</w:t>
      </w:r>
      <w:r>
        <w:rPr>
          <w:spacing w:val="-49"/>
        </w:rPr>
        <w:t> </w:t>
      </w:r>
      <w:r>
        <w:rPr/>
        <w:t>efeito</w:t>
      </w:r>
      <w:r>
        <w:rPr>
          <w:spacing w:val="-48"/>
        </w:rPr>
        <w:t> </w:t>
      </w:r>
      <w:r>
        <w:rPr/>
        <w:t>no</w:t>
      </w:r>
      <w:r>
        <w:rPr>
          <w:spacing w:val="-48"/>
        </w:rPr>
        <w:t> </w:t>
      </w:r>
      <w:r>
        <w:rPr/>
        <w:t>resultado</w:t>
      </w:r>
      <w:r>
        <w:rPr>
          <w:spacing w:val="-49"/>
        </w:rPr>
        <w:t> </w:t>
      </w:r>
      <w:r>
        <w:rPr/>
        <w:t>de</w:t>
      </w:r>
      <w:r>
        <w:rPr>
          <w:spacing w:val="-50"/>
        </w:rPr>
        <w:t> </w:t>
      </w:r>
      <w:r>
        <w:rPr/>
        <w:t>acordo</w:t>
      </w:r>
      <w:r>
        <w:rPr>
          <w:spacing w:val="-49"/>
        </w:rPr>
        <w:t> </w:t>
      </w:r>
      <w:r>
        <w:rPr/>
        <w:t>com</w:t>
      </w:r>
      <w:r>
        <w:rPr>
          <w:spacing w:val="-49"/>
        </w:rPr>
        <w:t> </w:t>
      </w:r>
      <w:r>
        <w:rPr/>
        <w:t>o</w:t>
      </w:r>
      <w:r>
        <w:rPr>
          <w:spacing w:val="-48"/>
        </w:rPr>
        <w:t> </w:t>
      </w:r>
      <w:r>
        <w:rPr/>
        <w:t>princípio</w:t>
      </w:r>
      <w:r>
        <w:rPr>
          <w:spacing w:val="-49"/>
        </w:rPr>
        <w:t> </w:t>
      </w:r>
      <w:r>
        <w:rPr/>
        <w:t>da</w:t>
      </w:r>
      <w:r>
        <w:rPr>
          <w:spacing w:val="-49"/>
        </w:rPr>
        <w:t> </w:t>
      </w:r>
      <w:r>
        <w:rPr/>
        <w:t>Competência.</w:t>
      </w:r>
    </w:p>
    <w:p>
      <w:pPr>
        <w:pStyle w:val="BodyText"/>
        <w:spacing w:line="242" w:lineRule="auto" w:before="120"/>
        <w:ind w:left="192" w:right="612"/>
        <w:jc w:val="both"/>
      </w:pPr>
      <w:r>
        <w:rPr/>
        <w:t>Nessa</w:t>
      </w:r>
      <w:r>
        <w:rPr>
          <w:spacing w:val="-24"/>
        </w:rPr>
        <w:t> </w:t>
      </w:r>
      <w:r>
        <w:rPr/>
        <w:t>ótica,</w:t>
      </w:r>
      <w:r>
        <w:rPr>
          <w:spacing w:val="-24"/>
        </w:rPr>
        <w:t> </w:t>
      </w:r>
      <w:r>
        <w:rPr/>
        <w:t>considerando</w:t>
      </w:r>
      <w:r>
        <w:rPr>
          <w:spacing w:val="-23"/>
        </w:rPr>
        <w:t> </w:t>
      </w:r>
      <w:r>
        <w:rPr/>
        <w:t>o</w:t>
      </w:r>
      <w:r>
        <w:rPr>
          <w:spacing w:val="-21"/>
        </w:rPr>
        <w:t> </w:t>
      </w:r>
      <w:r>
        <w:rPr/>
        <w:t>efeito</w:t>
      </w:r>
      <w:r>
        <w:rPr>
          <w:spacing w:val="-23"/>
        </w:rPr>
        <w:t> </w:t>
      </w:r>
      <w:r>
        <w:rPr/>
        <w:t>acima</w:t>
      </w:r>
      <w:r>
        <w:rPr>
          <w:spacing w:val="-23"/>
        </w:rPr>
        <w:t> </w:t>
      </w:r>
      <w:r>
        <w:rPr/>
        <w:t>dos</w:t>
      </w:r>
      <w:r>
        <w:rPr>
          <w:spacing w:val="-22"/>
        </w:rPr>
        <w:t> </w:t>
      </w:r>
      <w:r>
        <w:rPr/>
        <w:t>105%</w:t>
      </w:r>
      <w:r>
        <w:rPr>
          <w:spacing w:val="-22"/>
        </w:rPr>
        <w:t> </w:t>
      </w:r>
      <w:r>
        <w:rPr/>
        <w:t>(de</w:t>
      </w:r>
      <w:r>
        <w:rPr>
          <w:spacing w:val="-24"/>
        </w:rPr>
        <w:t> </w:t>
      </w:r>
      <w:r>
        <w:rPr/>
        <w:t>23,6</w:t>
      </w:r>
      <w:r>
        <w:rPr>
          <w:spacing w:val="-24"/>
        </w:rPr>
        <w:t> </w:t>
      </w:r>
      <w:r>
        <w:rPr/>
        <w:t>p.p),</w:t>
      </w:r>
      <w:r>
        <w:rPr>
          <w:spacing w:val="-24"/>
        </w:rPr>
        <w:t> </w:t>
      </w:r>
      <w:r>
        <w:rPr/>
        <w:t>incluindo</w:t>
      </w:r>
      <w:r>
        <w:rPr>
          <w:spacing w:val="-23"/>
        </w:rPr>
        <w:t> </w:t>
      </w:r>
      <w:r>
        <w:rPr/>
        <w:t>os</w:t>
      </w:r>
      <w:r>
        <w:rPr>
          <w:spacing w:val="-22"/>
        </w:rPr>
        <w:t> </w:t>
      </w:r>
      <w:r>
        <w:rPr/>
        <w:t>efeitos</w:t>
      </w:r>
      <w:r>
        <w:rPr>
          <w:spacing w:val="-23"/>
        </w:rPr>
        <w:t> </w:t>
      </w:r>
      <w:r>
        <w:rPr/>
        <w:t>do</w:t>
      </w:r>
      <w:r>
        <w:rPr>
          <w:spacing w:val="-23"/>
        </w:rPr>
        <w:t> </w:t>
      </w:r>
      <w:r>
        <w:rPr/>
        <w:t>MVE,</w:t>
      </w:r>
      <w:r>
        <w:rPr>
          <w:spacing w:val="-23"/>
        </w:rPr>
        <w:t> </w:t>
      </w:r>
      <w:r>
        <w:rPr/>
        <w:t>a</w:t>
      </w:r>
      <w:r>
        <w:rPr>
          <w:spacing w:val="-22"/>
        </w:rPr>
        <w:t> </w:t>
      </w:r>
      <w:r>
        <w:rPr/>
        <w:t>CEB</w:t>
      </w:r>
      <w:r>
        <w:rPr>
          <w:spacing w:val="-25"/>
        </w:rPr>
        <w:t> </w:t>
      </w:r>
      <w:r>
        <w:rPr/>
        <w:t>DIS</w:t>
      </w:r>
      <w:r>
        <w:rPr>
          <w:spacing w:val="-22"/>
        </w:rPr>
        <w:t> </w:t>
      </w:r>
      <w:r>
        <w:rPr/>
        <w:t>apurou</w:t>
      </w:r>
      <w:r>
        <w:rPr>
          <w:spacing w:val="-22"/>
        </w:rPr>
        <w:t> </w:t>
      </w:r>
      <w:r>
        <w:rPr/>
        <w:t>um resultado</w:t>
      </w:r>
      <w:r>
        <w:rPr>
          <w:spacing w:val="-29"/>
        </w:rPr>
        <w:t> </w:t>
      </w:r>
      <w:r>
        <w:rPr/>
        <w:t>positivo</w:t>
      </w:r>
      <w:r>
        <w:rPr>
          <w:spacing w:val="-28"/>
        </w:rPr>
        <w:t> </w:t>
      </w:r>
      <w:r>
        <w:rPr/>
        <w:t>de</w:t>
      </w:r>
      <w:r>
        <w:rPr>
          <w:spacing w:val="-30"/>
        </w:rPr>
        <w:t> </w:t>
      </w:r>
      <w:r>
        <w:rPr/>
        <w:t>R$</w:t>
      </w:r>
      <w:r>
        <w:rPr>
          <w:spacing w:val="-29"/>
        </w:rPr>
        <w:t> </w:t>
      </w:r>
      <w:r>
        <w:rPr/>
        <w:t>36,7</w:t>
      </w:r>
      <w:r>
        <w:rPr>
          <w:spacing w:val="-29"/>
        </w:rPr>
        <w:t> </w:t>
      </w:r>
      <w:r>
        <w:rPr/>
        <w:t>milhões,</w:t>
      </w:r>
      <w:r>
        <w:rPr>
          <w:spacing w:val="-28"/>
        </w:rPr>
        <w:t> </w:t>
      </w:r>
      <w:r>
        <w:rPr/>
        <w:t>refletindo</w:t>
      </w:r>
      <w:r>
        <w:rPr>
          <w:spacing w:val="-30"/>
        </w:rPr>
        <w:t> </w:t>
      </w:r>
      <w:r>
        <w:rPr/>
        <w:t>positivamente</w:t>
      </w:r>
      <w:r>
        <w:rPr>
          <w:spacing w:val="-28"/>
        </w:rPr>
        <w:t> </w:t>
      </w:r>
      <w:r>
        <w:rPr/>
        <w:t>no</w:t>
      </w:r>
      <w:r>
        <w:rPr>
          <w:spacing w:val="-28"/>
        </w:rPr>
        <w:t> </w:t>
      </w:r>
      <w:r>
        <w:rPr/>
        <w:t>Resultado</w:t>
      </w:r>
      <w:r>
        <w:rPr>
          <w:spacing w:val="-30"/>
        </w:rPr>
        <w:t> </w:t>
      </w:r>
      <w:r>
        <w:rPr/>
        <w:t>antes</w:t>
      </w:r>
      <w:r>
        <w:rPr>
          <w:spacing w:val="-27"/>
        </w:rPr>
        <w:t> </w:t>
      </w:r>
      <w:r>
        <w:rPr/>
        <w:t>da</w:t>
      </w:r>
      <w:r>
        <w:rPr>
          <w:spacing w:val="-30"/>
        </w:rPr>
        <w:t> </w:t>
      </w:r>
      <w:r>
        <w:rPr/>
        <w:t>Parcela</w:t>
      </w:r>
      <w:r>
        <w:rPr>
          <w:spacing w:val="-29"/>
        </w:rPr>
        <w:t> </w:t>
      </w:r>
      <w:r>
        <w:rPr/>
        <w:t>B</w:t>
      </w:r>
      <w:r>
        <w:rPr>
          <w:spacing w:val="-29"/>
        </w:rPr>
        <w:t> </w:t>
      </w:r>
      <w:r>
        <w:rPr/>
        <w:t>da</w:t>
      </w:r>
      <w:r>
        <w:rPr>
          <w:spacing w:val="-27"/>
        </w:rPr>
        <w:t> </w:t>
      </w:r>
      <w:r>
        <w:rPr/>
        <w:t>empresa.</w:t>
      </w:r>
    </w:p>
    <w:p>
      <w:pPr>
        <w:spacing w:after="0" w:line="242" w:lineRule="auto"/>
        <w:jc w:val="both"/>
        <w:sectPr>
          <w:pgSz w:w="11910" w:h="16850"/>
          <w:pgMar w:header="792" w:footer="1193" w:top="1360" w:bottom="1460" w:left="940" w:right="240"/>
        </w:sectPr>
      </w:pPr>
    </w:p>
    <w:p>
      <w:pPr>
        <w:pStyle w:val="BodyText"/>
        <w:spacing w:before="7"/>
        <w:rPr>
          <w:sz w:val="15"/>
        </w:rPr>
      </w:pPr>
    </w:p>
    <w:p>
      <w:pPr>
        <w:spacing w:before="99"/>
        <w:ind w:left="192" w:right="0" w:firstLine="0"/>
        <w:jc w:val="left"/>
        <w:rPr>
          <w:rFonts w:ascii="Caladea" w:hAnsi="Caladea"/>
          <w:b/>
          <w:sz w:val="20"/>
        </w:rPr>
      </w:pPr>
      <w:r>
        <w:rPr>
          <w:rFonts w:ascii="Caladea" w:hAnsi="Caladea"/>
          <w:b/>
          <w:sz w:val="20"/>
        </w:rPr>
        <w:t>PMSO (Pessoal, Material, Serviços de Terceiros e Outros)</w:t>
      </w:r>
    </w:p>
    <w:p>
      <w:pPr>
        <w:pStyle w:val="BodyText"/>
        <w:spacing w:before="4"/>
        <w:rPr>
          <w:rFonts w:ascii="Caladea"/>
          <w:b/>
        </w:rPr>
      </w:pPr>
    </w:p>
    <w:p>
      <w:pPr>
        <w:pStyle w:val="BodyText"/>
        <w:ind w:left="192" w:right="613"/>
        <w:jc w:val="both"/>
      </w:pPr>
      <w:r>
        <w:rPr/>
        <w:t>Na</w:t>
      </w:r>
      <w:r>
        <w:rPr>
          <w:spacing w:val="-33"/>
        </w:rPr>
        <w:t> </w:t>
      </w:r>
      <w:r>
        <w:rPr/>
        <w:t>RTP</w:t>
      </w:r>
      <w:r>
        <w:rPr>
          <w:spacing w:val="-33"/>
        </w:rPr>
        <w:t> </w:t>
      </w:r>
      <w:r>
        <w:rPr/>
        <w:t>de</w:t>
      </w:r>
      <w:r>
        <w:rPr>
          <w:spacing w:val="-33"/>
        </w:rPr>
        <w:t> </w:t>
      </w:r>
      <w:r>
        <w:rPr/>
        <w:t>outubro</w:t>
      </w:r>
      <w:r>
        <w:rPr>
          <w:spacing w:val="-32"/>
        </w:rPr>
        <w:t> </w:t>
      </w:r>
      <w:r>
        <w:rPr/>
        <w:t>de</w:t>
      </w:r>
      <w:r>
        <w:rPr>
          <w:spacing w:val="-33"/>
        </w:rPr>
        <w:t> </w:t>
      </w:r>
      <w:r>
        <w:rPr/>
        <w:t>2016,</w:t>
      </w:r>
      <w:r>
        <w:rPr>
          <w:spacing w:val="-31"/>
        </w:rPr>
        <w:t> </w:t>
      </w:r>
      <w:r>
        <w:rPr/>
        <w:t>a</w:t>
      </w:r>
      <w:r>
        <w:rPr>
          <w:spacing w:val="-33"/>
        </w:rPr>
        <w:t> </w:t>
      </w:r>
      <w:r>
        <w:rPr/>
        <w:t>ANEEL</w:t>
      </w:r>
      <w:r>
        <w:rPr>
          <w:spacing w:val="-33"/>
        </w:rPr>
        <w:t> </w:t>
      </w:r>
      <w:r>
        <w:rPr/>
        <w:t>definiu</w:t>
      </w:r>
      <w:r>
        <w:rPr>
          <w:spacing w:val="-32"/>
        </w:rPr>
        <w:t> </w:t>
      </w:r>
      <w:r>
        <w:rPr/>
        <w:t>a</w:t>
      </w:r>
      <w:r>
        <w:rPr>
          <w:spacing w:val="-32"/>
        </w:rPr>
        <w:t> </w:t>
      </w:r>
      <w:r>
        <w:rPr/>
        <w:t>reposição/remuneração</w:t>
      </w:r>
      <w:r>
        <w:rPr>
          <w:spacing w:val="-33"/>
        </w:rPr>
        <w:t> </w:t>
      </w:r>
      <w:r>
        <w:rPr/>
        <w:t>dos</w:t>
      </w:r>
      <w:r>
        <w:rPr>
          <w:spacing w:val="-33"/>
        </w:rPr>
        <w:t> </w:t>
      </w:r>
      <w:r>
        <w:rPr/>
        <w:t>custos</w:t>
      </w:r>
      <w:r>
        <w:rPr>
          <w:spacing w:val="-32"/>
        </w:rPr>
        <w:t> </w:t>
      </w:r>
      <w:r>
        <w:rPr/>
        <w:t>com</w:t>
      </w:r>
      <w:r>
        <w:rPr>
          <w:spacing w:val="-34"/>
        </w:rPr>
        <w:t> </w:t>
      </w:r>
      <w:r>
        <w:rPr/>
        <w:t>Pessoal,</w:t>
      </w:r>
      <w:r>
        <w:rPr>
          <w:spacing w:val="-33"/>
        </w:rPr>
        <w:t> </w:t>
      </w:r>
      <w:r>
        <w:rPr/>
        <w:t>Materiais,</w:t>
      </w:r>
      <w:r>
        <w:rPr>
          <w:spacing w:val="-32"/>
        </w:rPr>
        <w:t> </w:t>
      </w:r>
      <w:r>
        <w:rPr/>
        <w:t>Serviços</w:t>
      </w:r>
      <w:r>
        <w:rPr>
          <w:spacing w:val="-33"/>
        </w:rPr>
        <w:t> </w:t>
      </w:r>
      <w:r>
        <w:rPr/>
        <w:t>e Outros</w:t>
      </w:r>
      <w:r>
        <w:rPr>
          <w:spacing w:val="-17"/>
        </w:rPr>
        <w:t> </w:t>
      </w:r>
      <w:r>
        <w:rPr/>
        <w:t>(PMSO)</w:t>
      </w:r>
      <w:r>
        <w:rPr>
          <w:spacing w:val="-16"/>
        </w:rPr>
        <w:t> </w:t>
      </w:r>
      <w:r>
        <w:rPr/>
        <w:t>na</w:t>
      </w:r>
      <w:r>
        <w:rPr>
          <w:spacing w:val="-18"/>
        </w:rPr>
        <w:t> </w:t>
      </w:r>
      <w:r>
        <w:rPr/>
        <w:t>ordem</w:t>
      </w:r>
      <w:r>
        <w:rPr>
          <w:spacing w:val="-17"/>
        </w:rPr>
        <w:t> </w:t>
      </w:r>
      <w:r>
        <w:rPr/>
        <w:t>de</w:t>
      </w:r>
      <w:r>
        <w:rPr>
          <w:spacing w:val="-15"/>
        </w:rPr>
        <w:t> </w:t>
      </w:r>
      <w:r>
        <w:rPr/>
        <w:t>R$</w:t>
      </w:r>
      <w:r>
        <w:rPr>
          <w:spacing w:val="-18"/>
        </w:rPr>
        <w:t> </w:t>
      </w:r>
      <w:r>
        <w:rPr/>
        <w:t>292,5</w:t>
      </w:r>
      <w:r>
        <w:rPr>
          <w:spacing w:val="-16"/>
        </w:rPr>
        <w:t> </w:t>
      </w:r>
      <w:r>
        <w:rPr/>
        <w:t>milhões</w:t>
      </w:r>
      <w:r>
        <w:rPr>
          <w:spacing w:val="-18"/>
        </w:rPr>
        <w:t> </w:t>
      </w:r>
      <w:r>
        <w:rPr/>
        <w:t>ao</w:t>
      </w:r>
      <w:r>
        <w:rPr>
          <w:spacing w:val="-16"/>
        </w:rPr>
        <w:t> </w:t>
      </w:r>
      <w:r>
        <w:rPr/>
        <w:t>ano</w:t>
      </w:r>
      <w:r>
        <w:rPr>
          <w:spacing w:val="-16"/>
        </w:rPr>
        <w:t> </w:t>
      </w:r>
      <w:r>
        <w:rPr/>
        <w:t>à</w:t>
      </w:r>
      <w:r>
        <w:rPr>
          <w:spacing w:val="-18"/>
        </w:rPr>
        <w:t> </w:t>
      </w:r>
      <w:r>
        <w:rPr/>
        <w:t>Distribuidora.</w:t>
      </w:r>
    </w:p>
    <w:p>
      <w:pPr>
        <w:pStyle w:val="BodyText"/>
        <w:spacing w:before="6"/>
      </w:pPr>
    </w:p>
    <w:p>
      <w:pPr>
        <w:pStyle w:val="BodyText"/>
        <w:spacing w:line="242" w:lineRule="auto" w:before="1"/>
        <w:ind w:left="192" w:right="618"/>
        <w:jc w:val="both"/>
      </w:pPr>
      <w:r>
        <w:rPr/>
        <w:t>Em</w:t>
      </w:r>
      <w:r>
        <w:rPr>
          <w:spacing w:val="-40"/>
        </w:rPr>
        <w:t> </w:t>
      </w:r>
      <w:r>
        <w:rPr/>
        <w:t>2019,</w:t>
      </w:r>
      <w:r>
        <w:rPr>
          <w:spacing w:val="-38"/>
        </w:rPr>
        <w:t> </w:t>
      </w:r>
      <w:r>
        <w:rPr/>
        <w:t>a</w:t>
      </w:r>
      <w:r>
        <w:rPr>
          <w:spacing w:val="-39"/>
        </w:rPr>
        <w:t> </w:t>
      </w:r>
      <w:r>
        <w:rPr/>
        <w:t>Companhia</w:t>
      </w:r>
      <w:r>
        <w:rPr>
          <w:spacing w:val="-37"/>
        </w:rPr>
        <w:t> </w:t>
      </w:r>
      <w:r>
        <w:rPr/>
        <w:t>superou</w:t>
      </w:r>
      <w:r>
        <w:rPr>
          <w:spacing w:val="-38"/>
        </w:rPr>
        <w:t> </w:t>
      </w:r>
      <w:r>
        <w:rPr/>
        <w:t>em</w:t>
      </w:r>
      <w:r>
        <w:rPr>
          <w:spacing w:val="-40"/>
        </w:rPr>
        <w:t> </w:t>
      </w:r>
      <w:r>
        <w:rPr/>
        <w:t>R$</w:t>
      </w:r>
      <w:r>
        <w:rPr>
          <w:spacing w:val="-38"/>
        </w:rPr>
        <w:t> </w:t>
      </w:r>
      <w:r>
        <w:rPr/>
        <w:t>41,6</w:t>
      </w:r>
      <w:r>
        <w:rPr>
          <w:spacing w:val="-38"/>
        </w:rPr>
        <w:t> </w:t>
      </w:r>
      <w:r>
        <w:rPr/>
        <w:t>milhões</w:t>
      </w:r>
      <w:r>
        <w:rPr>
          <w:spacing w:val="-38"/>
        </w:rPr>
        <w:t> </w:t>
      </w:r>
      <w:r>
        <w:rPr/>
        <w:t>o</w:t>
      </w:r>
      <w:r>
        <w:rPr>
          <w:spacing w:val="-38"/>
        </w:rPr>
        <w:t> </w:t>
      </w:r>
      <w:r>
        <w:rPr/>
        <w:t>nível</w:t>
      </w:r>
      <w:r>
        <w:rPr>
          <w:spacing w:val="-38"/>
        </w:rPr>
        <w:t> </w:t>
      </w:r>
      <w:r>
        <w:rPr/>
        <w:t>regulatório</w:t>
      </w:r>
      <w:r>
        <w:rPr>
          <w:spacing w:val="-38"/>
        </w:rPr>
        <w:t> </w:t>
      </w:r>
      <w:r>
        <w:rPr/>
        <w:t>estabelecido</w:t>
      </w:r>
      <w:r>
        <w:rPr>
          <w:spacing w:val="-37"/>
        </w:rPr>
        <w:t> </w:t>
      </w:r>
      <w:r>
        <w:rPr/>
        <w:t>pela</w:t>
      </w:r>
      <w:r>
        <w:rPr>
          <w:spacing w:val="-39"/>
        </w:rPr>
        <w:t> </w:t>
      </w:r>
      <w:r>
        <w:rPr/>
        <w:t>Agência</w:t>
      </w:r>
      <w:r>
        <w:rPr>
          <w:spacing w:val="-38"/>
        </w:rPr>
        <w:t> </w:t>
      </w:r>
      <w:r>
        <w:rPr/>
        <w:t>Reguladora,</w:t>
      </w:r>
      <w:r>
        <w:rPr>
          <w:spacing w:val="-40"/>
        </w:rPr>
        <w:t> </w:t>
      </w:r>
      <w:r>
        <w:rPr/>
        <w:t>contra R$ 57,0 milhões em 2018, ocasionando um descasamento das suas despesas gerais e administrativas ao que efetivamente</w:t>
      </w:r>
      <w:r>
        <w:rPr>
          <w:spacing w:val="-18"/>
        </w:rPr>
        <w:t> </w:t>
      </w:r>
      <w:r>
        <w:rPr/>
        <w:t>foi</w:t>
      </w:r>
      <w:r>
        <w:rPr>
          <w:spacing w:val="-17"/>
        </w:rPr>
        <w:t> </w:t>
      </w:r>
      <w:r>
        <w:rPr/>
        <w:t>repassado</w:t>
      </w:r>
      <w:r>
        <w:rPr>
          <w:spacing w:val="-19"/>
        </w:rPr>
        <w:t> </w:t>
      </w:r>
      <w:r>
        <w:rPr/>
        <w:t>ao</w:t>
      </w:r>
      <w:r>
        <w:rPr>
          <w:spacing w:val="-19"/>
        </w:rPr>
        <w:t> </w:t>
      </w:r>
      <w:r>
        <w:rPr/>
        <w:t>consumidor.</w:t>
      </w:r>
    </w:p>
    <w:p>
      <w:pPr>
        <w:pStyle w:val="BodyText"/>
      </w:pPr>
    </w:p>
    <w:p>
      <w:pPr>
        <w:spacing w:before="0"/>
        <w:ind w:left="192" w:right="0" w:firstLine="0"/>
        <w:jc w:val="left"/>
        <w:rPr>
          <w:rFonts w:ascii="Caladea" w:hAnsi="Caladea"/>
          <w:b/>
          <w:sz w:val="20"/>
        </w:rPr>
      </w:pPr>
      <w:r>
        <w:rPr>
          <w:rFonts w:ascii="Caladea" w:hAnsi="Caladea"/>
          <w:b/>
          <w:sz w:val="20"/>
        </w:rPr>
        <w:t>Resultado Financeiro - Encargos da dívida (Empréstimos, Financiamentos e debêntures)</w:t>
      </w:r>
    </w:p>
    <w:p>
      <w:pPr>
        <w:pStyle w:val="BodyText"/>
        <w:spacing w:before="1"/>
        <w:rPr>
          <w:rFonts w:ascii="Caladea"/>
          <w:b/>
        </w:rPr>
      </w:pPr>
    </w:p>
    <w:p>
      <w:pPr>
        <w:pStyle w:val="BodyText"/>
        <w:spacing w:line="242" w:lineRule="auto"/>
        <w:ind w:left="192" w:right="614"/>
        <w:jc w:val="both"/>
      </w:pPr>
      <w:r>
        <w:rPr/>
        <w:t>A</w:t>
      </w:r>
      <w:r>
        <w:rPr>
          <w:spacing w:val="-34"/>
        </w:rPr>
        <w:t> </w:t>
      </w:r>
      <w:r>
        <w:rPr/>
        <w:t>ANEEL</w:t>
      </w:r>
      <w:r>
        <w:rPr>
          <w:spacing w:val="-33"/>
        </w:rPr>
        <w:t> </w:t>
      </w:r>
      <w:r>
        <w:rPr/>
        <w:t>define</w:t>
      </w:r>
      <w:r>
        <w:rPr>
          <w:spacing w:val="-34"/>
        </w:rPr>
        <w:t> </w:t>
      </w:r>
      <w:r>
        <w:rPr/>
        <w:t>por</w:t>
      </w:r>
      <w:r>
        <w:rPr>
          <w:spacing w:val="-33"/>
        </w:rPr>
        <w:t> </w:t>
      </w:r>
      <w:r>
        <w:rPr/>
        <w:t>meio</w:t>
      </w:r>
      <w:r>
        <w:rPr>
          <w:spacing w:val="-33"/>
        </w:rPr>
        <w:t> </w:t>
      </w:r>
      <w:r>
        <w:rPr/>
        <w:t>do</w:t>
      </w:r>
      <w:r>
        <w:rPr>
          <w:spacing w:val="-29"/>
        </w:rPr>
        <w:t> </w:t>
      </w:r>
      <w:r>
        <w:rPr/>
        <w:t>Custo</w:t>
      </w:r>
      <w:r>
        <w:rPr>
          <w:spacing w:val="-35"/>
        </w:rPr>
        <w:t> </w:t>
      </w:r>
      <w:r>
        <w:rPr/>
        <w:t>Médio</w:t>
      </w:r>
      <w:r>
        <w:rPr>
          <w:spacing w:val="-32"/>
        </w:rPr>
        <w:t> </w:t>
      </w:r>
      <w:r>
        <w:rPr/>
        <w:t>Ponderado</w:t>
      </w:r>
      <w:r>
        <w:rPr>
          <w:spacing w:val="-33"/>
        </w:rPr>
        <w:t> </w:t>
      </w:r>
      <w:r>
        <w:rPr/>
        <w:t>de</w:t>
      </w:r>
      <w:r>
        <w:rPr>
          <w:spacing w:val="-35"/>
        </w:rPr>
        <w:t> </w:t>
      </w:r>
      <w:r>
        <w:rPr/>
        <w:t>Capital</w:t>
      </w:r>
      <w:r>
        <w:rPr>
          <w:spacing w:val="-34"/>
        </w:rPr>
        <w:t> </w:t>
      </w:r>
      <w:r>
        <w:rPr/>
        <w:t>(WACC,</w:t>
      </w:r>
      <w:r>
        <w:rPr>
          <w:spacing w:val="-32"/>
        </w:rPr>
        <w:t> </w:t>
      </w:r>
      <w:r>
        <w:rPr/>
        <w:t>em</w:t>
      </w:r>
      <w:r>
        <w:rPr>
          <w:spacing w:val="-33"/>
        </w:rPr>
        <w:t> </w:t>
      </w:r>
      <w:r>
        <w:rPr/>
        <w:t>inglês)</w:t>
      </w:r>
      <w:r>
        <w:rPr>
          <w:spacing w:val="-33"/>
        </w:rPr>
        <w:t> </w:t>
      </w:r>
      <w:r>
        <w:rPr/>
        <w:t>o</w:t>
      </w:r>
      <w:r>
        <w:rPr>
          <w:spacing w:val="-32"/>
        </w:rPr>
        <w:t> </w:t>
      </w:r>
      <w:r>
        <w:rPr/>
        <w:t>nível</w:t>
      </w:r>
      <w:r>
        <w:rPr>
          <w:spacing w:val="-33"/>
        </w:rPr>
        <w:t> </w:t>
      </w:r>
      <w:r>
        <w:rPr/>
        <w:t>de</w:t>
      </w:r>
      <w:r>
        <w:rPr>
          <w:spacing w:val="-33"/>
        </w:rPr>
        <w:t> </w:t>
      </w:r>
      <w:r>
        <w:rPr/>
        <w:t>dívida</w:t>
      </w:r>
      <w:r>
        <w:rPr>
          <w:spacing w:val="-32"/>
        </w:rPr>
        <w:t> </w:t>
      </w:r>
      <w:r>
        <w:rPr/>
        <w:t>regulatória</w:t>
      </w:r>
      <w:r>
        <w:rPr>
          <w:spacing w:val="-34"/>
        </w:rPr>
        <w:t> </w:t>
      </w:r>
      <w:r>
        <w:rPr/>
        <w:t>(DR%) e</w:t>
      </w:r>
      <w:r>
        <w:rPr>
          <w:spacing w:val="-18"/>
        </w:rPr>
        <w:t> </w:t>
      </w:r>
      <w:r>
        <w:rPr/>
        <w:t>o</w:t>
      </w:r>
      <w:r>
        <w:rPr>
          <w:spacing w:val="-17"/>
        </w:rPr>
        <w:t> </w:t>
      </w:r>
      <w:r>
        <w:rPr/>
        <w:t>respectivo</w:t>
      </w:r>
      <w:r>
        <w:rPr>
          <w:spacing w:val="-16"/>
        </w:rPr>
        <w:t> </w:t>
      </w:r>
      <w:r>
        <w:rPr/>
        <w:t>custo</w:t>
      </w:r>
      <w:r>
        <w:rPr>
          <w:spacing w:val="-17"/>
        </w:rPr>
        <w:t> </w:t>
      </w:r>
      <w:r>
        <w:rPr/>
        <w:t>dessa</w:t>
      </w:r>
      <w:r>
        <w:rPr>
          <w:spacing w:val="-16"/>
        </w:rPr>
        <w:t> </w:t>
      </w:r>
      <w:r>
        <w:rPr/>
        <w:t>dívida</w:t>
      </w:r>
      <w:r>
        <w:rPr>
          <w:spacing w:val="-16"/>
        </w:rPr>
        <w:t> </w:t>
      </w:r>
      <w:r>
        <w:rPr/>
        <w:t>(Kd),</w:t>
      </w:r>
      <w:r>
        <w:rPr>
          <w:spacing w:val="-17"/>
        </w:rPr>
        <w:t> </w:t>
      </w:r>
      <w:r>
        <w:rPr/>
        <w:t>de</w:t>
      </w:r>
      <w:r>
        <w:rPr>
          <w:spacing w:val="-17"/>
        </w:rPr>
        <w:t> </w:t>
      </w:r>
      <w:r>
        <w:rPr/>
        <w:t>forma</w:t>
      </w:r>
      <w:r>
        <w:rPr>
          <w:spacing w:val="-16"/>
        </w:rPr>
        <w:t> </w:t>
      </w:r>
      <w:r>
        <w:rPr/>
        <w:t>que</w:t>
      </w:r>
      <w:r>
        <w:rPr>
          <w:spacing w:val="-18"/>
        </w:rPr>
        <w:t> </w:t>
      </w:r>
      <w:r>
        <w:rPr/>
        <w:t>seja</w:t>
      </w:r>
      <w:r>
        <w:rPr>
          <w:spacing w:val="-16"/>
        </w:rPr>
        <w:t> </w:t>
      </w:r>
      <w:r>
        <w:rPr/>
        <w:t>repassada</w:t>
      </w:r>
      <w:r>
        <w:rPr>
          <w:spacing w:val="-16"/>
        </w:rPr>
        <w:t> </w:t>
      </w:r>
      <w:r>
        <w:rPr/>
        <w:t>na</w:t>
      </w:r>
      <w:r>
        <w:rPr>
          <w:spacing w:val="-16"/>
        </w:rPr>
        <w:t> </w:t>
      </w:r>
      <w:r>
        <w:rPr/>
        <w:t>tarifa,</w:t>
      </w:r>
      <w:r>
        <w:rPr>
          <w:spacing w:val="-16"/>
        </w:rPr>
        <w:t> </w:t>
      </w:r>
      <w:r>
        <w:rPr/>
        <w:t>através</w:t>
      </w:r>
      <w:r>
        <w:rPr>
          <w:spacing w:val="-17"/>
        </w:rPr>
        <w:t> </w:t>
      </w:r>
      <w:r>
        <w:rPr/>
        <w:t>da</w:t>
      </w:r>
      <w:r>
        <w:rPr>
          <w:spacing w:val="-16"/>
        </w:rPr>
        <w:t> </w:t>
      </w:r>
      <w:r>
        <w:rPr/>
        <w:t>remuneração</w:t>
      </w:r>
      <w:r>
        <w:rPr>
          <w:spacing w:val="-16"/>
        </w:rPr>
        <w:t> </w:t>
      </w:r>
      <w:r>
        <w:rPr/>
        <w:t>do</w:t>
      </w:r>
      <w:r>
        <w:rPr>
          <w:spacing w:val="-17"/>
        </w:rPr>
        <w:t> </w:t>
      </w:r>
      <w:r>
        <w:rPr/>
        <w:t>capital investido,</w:t>
      </w:r>
      <w:r>
        <w:rPr>
          <w:spacing w:val="-19"/>
        </w:rPr>
        <w:t> </w:t>
      </w:r>
      <w:r>
        <w:rPr/>
        <w:t>dado</w:t>
      </w:r>
      <w:r>
        <w:rPr>
          <w:spacing w:val="-20"/>
        </w:rPr>
        <w:t> </w:t>
      </w:r>
      <w:r>
        <w:rPr/>
        <w:t>pela</w:t>
      </w:r>
      <w:r>
        <w:rPr>
          <w:spacing w:val="-19"/>
        </w:rPr>
        <w:t> </w:t>
      </w:r>
      <w:r>
        <w:rPr/>
        <w:t>Base</w:t>
      </w:r>
      <w:r>
        <w:rPr>
          <w:spacing w:val="-21"/>
        </w:rPr>
        <w:t> </w:t>
      </w:r>
      <w:r>
        <w:rPr/>
        <w:t>de</w:t>
      </w:r>
      <w:r>
        <w:rPr>
          <w:spacing w:val="-18"/>
        </w:rPr>
        <w:t> </w:t>
      </w:r>
      <w:r>
        <w:rPr/>
        <w:t>Remuneração</w:t>
      </w:r>
      <w:r>
        <w:rPr>
          <w:spacing w:val="-20"/>
        </w:rPr>
        <w:t> </w:t>
      </w:r>
      <w:r>
        <w:rPr/>
        <w:t>Regulatória</w:t>
      </w:r>
      <w:r>
        <w:rPr>
          <w:spacing w:val="-19"/>
        </w:rPr>
        <w:t> </w:t>
      </w:r>
      <w:r>
        <w:rPr/>
        <w:t>Líquida</w:t>
      </w:r>
      <w:r>
        <w:rPr>
          <w:spacing w:val="-18"/>
        </w:rPr>
        <w:t> </w:t>
      </w:r>
      <w:r>
        <w:rPr/>
        <w:t>(BRL).</w:t>
      </w:r>
    </w:p>
    <w:p>
      <w:pPr>
        <w:pStyle w:val="BodyText"/>
        <w:spacing w:before="3"/>
      </w:pPr>
    </w:p>
    <w:p>
      <w:pPr>
        <w:pStyle w:val="BodyText"/>
        <w:spacing w:line="242" w:lineRule="auto" w:before="1"/>
        <w:ind w:left="192" w:right="620"/>
        <w:jc w:val="both"/>
      </w:pPr>
      <w:r>
        <w:rPr/>
        <w:t>A</w:t>
      </w:r>
      <w:r>
        <w:rPr>
          <w:spacing w:val="-34"/>
        </w:rPr>
        <w:t> </w:t>
      </w:r>
      <w:r>
        <w:rPr/>
        <w:t>Dívida</w:t>
      </w:r>
      <w:r>
        <w:rPr>
          <w:spacing w:val="-33"/>
        </w:rPr>
        <w:t> </w:t>
      </w:r>
      <w:r>
        <w:rPr/>
        <w:t>Regulatória,</w:t>
      </w:r>
      <w:r>
        <w:rPr>
          <w:spacing w:val="-33"/>
        </w:rPr>
        <w:t> </w:t>
      </w:r>
      <w:r>
        <w:rPr/>
        <w:t>em</w:t>
      </w:r>
      <w:r>
        <w:rPr>
          <w:spacing w:val="-33"/>
        </w:rPr>
        <w:t> </w:t>
      </w:r>
      <w:r>
        <w:rPr/>
        <w:t>termos</w:t>
      </w:r>
      <w:r>
        <w:rPr>
          <w:spacing w:val="-33"/>
        </w:rPr>
        <w:t> </w:t>
      </w:r>
      <w:r>
        <w:rPr/>
        <w:t>percentuais,</w:t>
      </w:r>
      <w:r>
        <w:rPr>
          <w:spacing w:val="-32"/>
        </w:rPr>
        <w:t> </w:t>
      </w:r>
      <w:r>
        <w:rPr/>
        <w:t>é</w:t>
      </w:r>
      <w:r>
        <w:rPr>
          <w:spacing w:val="-35"/>
        </w:rPr>
        <w:t> </w:t>
      </w:r>
      <w:r>
        <w:rPr/>
        <w:t>a</w:t>
      </w:r>
      <w:r>
        <w:rPr>
          <w:spacing w:val="-33"/>
        </w:rPr>
        <w:t> </w:t>
      </w:r>
      <w:r>
        <w:rPr/>
        <w:t>participação</w:t>
      </w:r>
      <w:r>
        <w:rPr>
          <w:spacing w:val="-33"/>
        </w:rPr>
        <w:t> </w:t>
      </w:r>
      <w:r>
        <w:rPr/>
        <w:t>do</w:t>
      </w:r>
      <w:r>
        <w:rPr>
          <w:spacing w:val="-34"/>
        </w:rPr>
        <w:t> </w:t>
      </w:r>
      <w:r>
        <w:rPr/>
        <w:t>Capital</w:t>
      </w:r>
      <w:r>
        <w:rPr>
          <w:spacing w:val="-33"/>
        </w:rPr>
        <w:t> </w:t>
      </w:r>
      <w:r>
        <w:rPr/>
        <w:t>de</w:t>
      </w:r>
      <w:r>
        <w:rPr>
          <w:spacing w:val="-34"/>
        </w:rPr>
        <w:t> </w:t>
      </w:r>
      <w:r>
        <w:rPr/>
        <w:t>Terceiros</w:t>
      </w:r>
      <w:r>
        <w:rPr>
          <w:spacing w:val="-34"/>
        </w:rPr>
        <w:t> </w:t>
      </w:r>
      <w:r>
        <w:rPr/>
        <w:t>sobre</w:t>
      </w:r>
      <w:r>
        <w:rPr>
          <w:spacing w:val="-34"/>
        </w:rPr>
        <w:t> </w:t>
      </w:r>
      <w:r>
        <w:rPr/>
        <w:t>o</w:t>
      </w:r>
      <w:r>
        <w:rPr>
          <w:spacing w:val="-33"/>
        </w:rPr>
        <w:t> </w:t>
      </w:r>
      <w:r>
        <w:rPr/>
        <w:t>Capital</w:t>
      </w:r>
      <w:r>
        <w:rPr>
          <w:spacing w:val="-34"/>
        </w:rPr>
        <w:t> </w:t>
      </w:r>
      <w:r>
        <w:rPr/>
        <w:t>Total</w:t>
      </w:r>
      <w:r>
        <w:rPr>
          <w:spacing w:val="-33"/>
        </w:rPr>
        <w:t> </w:t>
      </w:r>
      <w:r>
        <w:rPr/>
        <w:t>(Capital de</w:t>
      </w:r>
      <w:r>
        <w:rPr>
          <w:spacing w:val="-31"/>
        </w:rPr>
        <w:t> </w:t>
      </w:r>
      <w:r>
        <w:rPr/>
        <w:t>Terceiros)</w:t>
      </w:r>
      <w:r>
        <w:rPr>
          <w:spacing w:val="-29"/>
        </w:rPr>
        <w:t> </w:t>
      </w:r>
      <w:r>
        <w:rPr/>
        <w:t>/</w:t>
      </w:r>
      <w:r>
        <w:rPr>
          <w:spacing w:val="-29"/>
        </w:rPr>
        <w:t> </w:t>
      </w:r>
      <w:r>
        <w:rPr/>
        <w:t>(Capital</w:t>
      </w:r>
      <w:r>
        <w:rPr>
          <w:spacing w:val="-30"/>
        </w:rPr>
        <w:t> </w:t>
      </w:r>
      <w:r>
        <w:rPr/>
        <w:t>de</w:t>
      </w:r>
      <w:r>
        <w:rPr>
          <w:spacing w:val="-30"/>
        </w:rPr>
        <w:t> </w:t>
      </w:r>
      <w:r>
        <w:rPr/>
        <w:t>Terceiros</w:t>
      </w:r>
      <w:r>
        <w:rPr>
          <w:spacing w:val="-29"/>
        </w:rPr>
        <w:t> </w:t>
      </w:r>
      <w:r>
        <w:rPr/>
        <w:t>+</w:t>
      </w:r>
      <w:r>
        <w:rPr>
          <w:spacing w:val="-30"/>
        </w:rPr>
        <w:t> </w:t>
      </w:r>
      <w:r>
        <w:rPr/>
        <w:t>Capital</w:t>
      </w:r>
      <w:r>
        <w:rPr>
          <w:spacing w:val="-29"/>
        </w:rPr>
        <w:t> </w:t>
      </w:r>
      <w:r>
        <w:rPr/>
        <w:t>Próprio),</w:t>
      </w:r>
      <w:r>
        <w:rPr>
          <w:spacing w:val="-29"/>
        </w:rPr>
        <w:t> </w:t>
      </w:r>
      <w:r>
        <w:rPr/>
        <w:t>definida</w:t>
      </w:r>
      <w:r>
        <w:rPr>
          <w:spacing w:val="-28"/>
        </w:rPr>
        <w:t> </w:t>
      </w:r>
      <w:r>
        <w:rPr/>
        <w:t>e</w:t>
      </w:r>
      <w:r>
        <w:rPr>
          <w:spacing w:val="-29"/>
        </w:rPr>
        <w:t> </w:t>
      </w:r>
      <w:r>
        <w:rPr/>
        <w:t>reconhecida</w:t>
      </w:r>
      <w:r>
        <w:rPr>
          <w:spacing w:val="-31"/>
        </w:rPr>
        <w:t> </w:t>
      </w:r>
      <w:r>
        <w:rPr/>
        <w:t>pela</w:t>
      </w:r>
      <w:r>
        <w:rPr>
          <w:spacing w:val="-29"/>
        </w:rPr>
        <w:t> </w:t>
      </w:r>
      <w:r>
        <w:rPr/>
        <w:t>ANEEL</w:t>
      </w:r>
      <w:r>
        <w:rPr>
          <w:spacing w:val="-30"/>
        </w:rPr>
        <w:t> </w:t>
      </w:r>
      <w:r>
        <w:rPr/>
        <w:t>em</w:t>
      </w:r>
      <w:r>
        <w:rPr>
          <w:spacing w:val="-29"/>
        </w:rPr>
        <w:t> </w:t>
      </w:r>
      <w:r>
        <w:rPr/>
        <w:t>48,76%.</w:t>
      </w:r>
      <w:r>
        <w:rPr>
          <w:spacing w:val="-30"/>
        </w:rPr>
        <w:t> </w:t>
      </w:r>
      <w:r>
        <w:rPr/>
        <w:t>Aplicando</w:t>
      </w:r>
      <w:r>
        <w:rPr>
          <w:spacing w:val="-30"/>
        </w:rPr>
        <w:t> </w:t>
      </w:r>
      <w:r>
        <w:rPr/>
        <w:t>o DR%</w:t>
      </w:r>
      <w:r>
        <w:rPr>
          <w:spacing w:val="-20"/>
        </w:rPr>
        <w:t> </w:t>
      </w:r>
      <w:r>
        <w:rPr/>
        <w:t>x</w:t>
      </w:r>
      <w:r>
        <w:rPr>
          <w:spacing w:val="-20"/>
        </w:rPr>
        <w:t> </w:t>
      </w:r>
      <w:r>
        <w:rPr/>
        <w:t>Kd</w:t>
      </w:r>
      <w:r>
        <w:rPr>
          <w:spacing w:val="-20"/>
        </w:rPr>
        <w:t> </w:t>
      </w:r>
      <w:r>
        <w:rPr/>
        <w:t>x</w:t>
      </w:r>
      <w:r>
        <w:rPr>
          <w:spacing w:val="-17"/>
        </w:rPr>
        <w:t> </w:t>
      </w:r>
      <w:r>
        <w:rPr/>
        <w:t>BRL,</w:t>
      </w:r>
      <w:r>
        <w:rPr>
          <w:spacing w:val="-20"/>
        </w:rPr>
        <w:t> </w:t>
      </w:r>
      <w:r>
        <w:rPr/>
        <w:t>estima-se</w:t>
      </w:r>
      <w:r>
        <w:rPr>
          <w:spacing w:val="-21"/>
        </w:rPr>
        <w:t> </w:t>
      </w:r>
      <w:r>
        <w:rPr/>
        <w:t>uma</w:t>
      </w:r>
      <w:r>
        <w:rPr>
          <w:spacing w:val="-20"/>
        </w:rPr>
        <w:t> </w:t>
      </w:r>
      <w:r>
        <w:rPr/>
        <w:t>despesa</w:t>
      </w:r>
      <w:r>
        <w:rPr>
          <w:spacing w:val="-19"/>
        </w:rPr>
        <w:t> </w:t>
      </w:r>
      <w:r>
        <w:rPr/>
        <w:t>financeira</w:t>
      </w:r>
      <w:r>
        <w:rPr>
          <w:spacing w:val="-16"/>
        </w:rPr>
        <w:t> </w:t>
      </w:r>
      <w:r>
        <w:rPr/>
        <w:t>regulatória</w:t>
      </w:r>
      <w:r>
        <w:rPr>
          <w:spacing w:val="-19"/>
        </w:rPr>
        <w:t> </w:t>
      </w:r>
      <w:r>
        <w:rPr/>
        <w:t>de</w:t>
      </w:r>
      <w:r>
        <w:rPr>
          <w:spacing w:val="-21"/>
        </w:rPr>
        <w:t> </w:t>
      </w:r>
      <w:r>
        <w:rPr/>
        <w:t>R$</w:t>
      </w:r>
      <w:r>
        <w:rPr>
          <w:spacing w:val="-19"/>
        </w:rPr>
        <w:t> </w:t>
      </w:r>
      <w:r>
        <w:rPr/>
        <w:t>49,9</w:t>
      </w:r>
      <w:r>
        <w:rPr>
          <w:spacing w:val="-18"/>
        </w:rPr>
        <w:t> </w:t>
      </w:r>
      <w:r>
        <w:rPr/>
        <w:t>milhões.</w:t>
      </w:r>
    </w:p>
    <w:p>
      <w:pPr>
        <w:pStyle w:val="BodyText"/>
        <w:spacing w:before="2"/>
      </w:pPr>
    </w:p>
    <w:p>
      <w:pPr>
        <w:pStyle w:val="BodyText"/>
        <w:spacing w:line="242" w:lineRule="auto"/>
        <w:ind w:left="192" w:right="607"/>
        <w:jc w:val="both"/>
      </w:pPr>
      <w:r>
        <w:rPr/>
        <w:t>Em</w:t>
      </w:r>
      <w:r>
        <w:rPr>
          <w:spacing w:val="-36"/>
        </w:rPr>
        <w:t> </w:t>
      </w:r>
      <w:r>
        <w:rPr/>
        <w:t>2019,</w:t>
      </w:r>
      <w:r>
        <w:rPr>
          <w:spacing w:val="-35"/>
        </w:rPr>
        <w:t> </w:t>
      </w:r>
      <w:r>
        <w:rPr/>
        <w:t>a</w:t>
      </w:r>
      <w:r>
        <w:rPr>
          <w:spacing w:val="-34"/>
        </w:rPr>
        <w:t> </w:t>
      </w:r>
      <w:r>
        <w:rPr/>
        <w:t>Despesa</w:t>
      </w:r>
      <w:r>
        <w:rPr>
          <w:spacing w:val="-35"/>
        </w:rPr>
        <w:t> </w:t>
      </w:r>
      <w:r>
        <w:rPr/>
        <w:t>Financeira</w:t>
      </w:r>
      <w:r>
        <w:rPr>
          <w:spacing w:val="-35"/>
        </w:rPr>
        <w:t> </w:t>
      </w:r>
      <w:r>
        <w:rPr/>
        <w:t>atingiu</w:t>
      </w:r>
      <w:r>
        <w:rPr>
          <w:spacing w:val="-35"/>
        </w:rPr>
        <w:t> </w:t>
      </w:r>
      <w:r>
        <w:rPr/>
        <w:t>R$</w:t>
      </w:r>
      <w:r>
        <w:rPr>
          <w:spacing w:val="-34"/>
        </w:rPr>
        <w:t> </w:t>
      </w:r>
      <w:r>
        <w:rPr/>
        <w:t>150,2</w:t>
      </w:r>
      <w:r>
        <w:rPr>
          <w:spacing w:val="-34"/>
        </w:rPr>
        <w:t> </w:t>
      </w:r>
      <w:r>
        <w:rPr/>
        <w:t>milhões,</w:t>
      </w:r>
      <w:r>
        <w:rPr>
          <w:spacing w:val="-34"/>
        </w:rPr>
        <w:t> </w:t>
      </w:r>
      <w:r>
        <w:rPr/>
        <w:t>contra</w:t>
      </w:r>
      <w:r>
        <w:rPr>
          <w:spacing w:val="-36"/>
        </w:rPr>
        <w:t> </w:t>
      </w:r>
      <w:r>
        <w:rPr/>
        <w:t>uma</w:t>
      </w:r>
      <w:r>
        <w:rPr>
          <w:spacing w:val="-33"/>
        </w:rPr>
        <w:t> </w:t>
      </w:r>
      <w:r>
        <w:rPr/>
        <w:t>Receita</w:t>
      </w:r>
      <w:r>
        <w:rPr>
          <w:spacing w:val="-35"/>
        </w:rPr>
        <w:t> </w:t>
      </w:r>
      <w:r>
        <w:rPr/>
        <w:t>Financeira</w:t>
      </w:r>
      <w:r>
        <w:rPr>
          <w:spacing w:val="-35"/>
        </w:rPr>
        <w:t> </w:t>
      </w:r>
      <w:r>
        <w:rPr/>
        <w:t>de</w:t>
      </w:r>
      <w:r>
        <w:rPr>
          <w:spacing w:val="-37"/>
        </w:rPr>
        <w:t> </w:t>
      </w:r>
      <w:r>
        <w:rPr/>
        <w:t>R$</w:t>
      </w:r>
      <w:r>
        <w:rPr>
          <w:spacing w:val="-34"/>
        </w:rPr>
        <w:t> </w:t>
      </w:r>
      <w:r>
        <w:rPr/>
        <w:t>88,1</w:t>
      </w:r>
      <w:r>
        <w:rPr>
          <w:spacing w:val="-34"/>
        </w:rPr>
        <w:t> </w:t>
      </w:r>
      <w:r>
        <w:rPr/>
        <w:t>milhões.</w:t>
      </w:r>
      <w:r>
        <w:rPr>
          <w:spacing w:val="-29"/>
        </w:rPr>
        <w:t> </w:t>
      </w:r>
      <w:r>
        <w:rPr/>
        <w:t>Do</w:t>
      </w:r>
      <w:r>
        <w:rPr>
          <w:spacing w:val="-34"/>
        </w:rPr>
        <w:t> </w:t>
      </w:r>
      <w:r>
        <w:rPr/>
        <w:t>total de</w:t>
      </w:r>
      <w:r>
        <w:rPr>
          <w:spacing w:val="-29"/>
        </w:rPr>
        <w:t> </w:t>
      </w:r>
      <w:r>
        <w:rPr/>
        <w:t>despesas</w:t>
      </w:r>
      <w:r>
        <w:rPr>
          <w:spacing w:val="-28"/>
        </w:rPr>
        <w:t> </w:t>
      </w:r>
      <w:r>
        <w:rPr/>
        <w:t>financeiras,</w:t>
      </w:r>
      <w:r>
        <w:rPr>
          <w:spacing w:val="-27"/>
        </w:rPr>
        <w:t> </w:t>
      </w:r>
      <w:r>
        <w:rPr/>
        <w:t>R$</w:t>
      </w:r>
      <w:r>
        <w:rPr>
          <w:spacing w:val="-26"/>
        </w:rPr>
        <w:t> </w:t>
      </w:r>
      <w:r>
        <w:rPr/>
        <w:t>47,1</w:t>
      </w:r>
      <w:r>
        <w:rPr>
          <w:spacing w:val="-29"/>
        </w:rPr>
        <w:t> </w:t>
      </w:r>
      <w:r>
        <w:rPr/>
        <w:t>milhões</w:t>
      </w:r>
      <w:r>
        <w:rPr>
          <w:spacing w:val="-26"/>
        </w:rPr>
        <w:t> </w:t>
      </w:r>
      <w:r>
        <w:rPr/>
        <w:t>representam</w:t>
      </w:r>
      <w:r>
        <w:rPr>
          <w:spacing w:val="-26"/>
        </w:rPr>
        <w:t> </w:t>
      </w:r>
      <w:r>
        <w:rPr/>
        <w:t>os</w:t>
      </w:r>
      <w:r>
        <w:rPr>
          <w:spacing w:val="-28"/>
        </w:rPr>
        <w:t> </w:t>
      </w:r>
      <w:r>
        <w:rPr/>
        <w:t>encargos</w:t>
      </w:r>
      <w:r>
        <w:rPr>
          <w:spacing w:val="-26"/>
        </w:rPr>
        <w:t> </w:t>
      </w:r>
      <w:r>
        <w:rPr/>
        <w:t>das</w:t>
      </w:r>
      <w:r>
        <w:rPr>
          <w:spacing w:val="-27"/>
        </w:rPr>
        <w:t> </w:t>
      </w:r>
      <w:r>
        <w:rPr/>
        <w:t>dívidas</w:t>
      </w:r>
      <w:r>
        <w:rPr>
          <w:spacing w:val="-28"/>
        </w:rPr>
        <w:t> </w:t>
      </w:r>
      <w:r>
        <w:rPr/>
        <w:t>realizados</w:t>
      </w:r>
      <w:r>
        <w:rPr>
          <w:spacing w:val="-27"/>
        </w:rPr>
        <w:t> </w:t>
      </w:r>
      <w:r>
        <w:rPr/>
        <w:t>em</w:t>
      </w:r>
      <w:r>
        <w:rPr>
          <w:spacing w:val="-29"/>
        </w:rPr>
        <w:t> </w:t>
      </w:r>
      <w:r>
        <w:rPr/>
        <w:t>2019</w:t>
      </w:r>
      <w:r>
        <w:rPr>
          <w:spacing w:val="-26"/>
        </w:rPr>
        <w:t> </w:t>
      </w:r>
      <w:r>
        <w:rPr/>
        <w:t>(R$</w:t>
      </w:r>
      <w:r>
        <w:rPr>
          <w:spacing w:val="-28"/>
        </w:rPr>
        <w:t> </w:t>
      </w:r>
      <w:r>
        <w:rPr/>
        <w:t>56,5</w:t>
      </w:r>
      <w:r>
        <w:rPr>
          <w:spacing w:val="-26"/>
        </w:rPr>
        <w:t> </w:t>
      </w:r>
      <w:r>
        <w:rPr/>
        <w:t>milhões em</w:t>
      </w:r>
      <w:r>
        <w:rPr>
          <w:spacing w:val="-24"/>
        </w:rPr>
        <w:t> </w:t>
      </w:r>
      <w:r>
        <w:rPr/>
        <w:t>2018),</w:t>
      </w:r>
      <w:r>
        <w:rPr>
          <w:spacing w:val="-21"/>
        </w:rPr>
        <w:t> </w:t>
      </w:r>
      <w:r>
        <w:rPr/>
        <w:t>relativos</w:t>
      </w:r>
      <w:r>
        <w:rPr>
          <w:spacing w:val="-23"/>
        </w:rPr>
        <w:t> </w:t>
      </w:r>
      <w:r>
        <w:rPr/>
        <w:t>aos</w:t>
      </w:r>
      <w:r>
        <w:rPr>
          <w:spacing w:val="-22"/>
        </w:rPr>
        <w:t> </w:t>
      </w:r>
      <w:r>
        <w:rPr/>
        <w:t>Empréstimos,</w:t>
      </w:r>
      <w:r>
        <w:rPr>
          <w:spacing w:val="-23"/>
        </w:rPr>
        <w:t> </w:t>
      </w:r>
      <w:r>
        <w:rPr/>
        <w:t>Financiamentos</w:t>
      </w:r>
      <w:r>
        <w:rPr>
          <w:spacing w:val="-21"/>
        </w:rPr>
        <w:t> </w:t>
      </w:r>
      <w:r>
        <w:rPr/>
        <w:t>e</w:t>
      </w:r>
      <w:r>
        <w:rPr>
          <w:spacing w:val="-22"/>
        </w:rPr>
        <w:t> </w:t>
      </w:r>
      <w:r>
        <w:rPr/>
        <w:t>Debêntures.</w:t>
      </w:r>
      <w:r>
        <w:rPr>
          <w:spacing w:val="-24"/>
        </w:rPr>
        <w:t> </w:t>
      </w:r>
      <w:r>
        <w:rPr/>
        <w:t>(Notas</w:t>
      </w:r>
      <w:r>
        <w:rPr>
          <w:spacing w:val="-23"/>
        </w:rPr>
        <w:t> </w:t>
      </w:r>
      <w:r>
        <w:rPr/>
        <w:t>Explicativas</w:t>
      </w:r>
      <w:r>
        <w:rPr>
          <w:spacing w:val="-23"/>
        </w:rPr>
        <w:t> </w:t>
      </w:r>
      <w:r>
        <w:rPr/>
        <w:t>nº</w:t>
      </w:r>
      <w:r>
        <w:rPr>
          <w:spacing w:val="-20"/>
        </w:rPr>
        <w:t> </w:t>
      </w:r>
      <w:r>
        <w:rPr/>
        <w:t>22</w:t>
      </w:r>
      <w:r>
        <w:rPr>
          <w:spacing w:val="-21"/>
        </w:rPr>
        <w:t> </w:t>
      </w:r>
      <w:r>
        <w:rPr/>
        <w:t>e</w:t>
      </w:r>
      <w:r>
        <w:rPr>
          <w:spacing w:val="-25"/>
        </w:rPr>
        <w:t> </w:t>
      </w:r>
      <w:r>
        <w:rPr/>
        <w:t>23).</w:t>
      </w:r>
    </w:p>
    <w:p>
      <w:pPr>
        <w:pStyle w:val="BodyText"/>
        <w:spacing w:before="5"/>
      </w:pPr>
    </w:p>
    <w:p>
      <w:pPr>
        <w:pStyle w:val="Heading5"/>
        <w:numPr>
          <w:ilvl w:val="4"/>
          <w:numId w:val="10"/>
        </w:numPr>
        <w:tabs>
          <w:tab w:pos="902" w:val="left" w:leader="none"/>
        </w:tabs>
        <w:spacing w:line="276" w:lineRule="auto" w:before="0" w:after="0"/>
        <w:ind w:left="901" w:right="609" w:hanging="567"/>
        <w:jc w:val="both"/>
      </w:pPr>
      <w:r>
        <w:rPr>
          <w:w w:val="105"/>
        </w:rPr>
        <w:t>Alternativas apresentadas pela CEB Distribuição S.A. para atender a sustentabilidade </w:t>
      </w:r>
      <w:r>
        <w:rPr/>
        <w:t>econômico-financeira prevista no Estatuto Social da Companhia, Contrato de Concessão nº </w:t>
      </w:r>
      <w:r>
        <w:rPr>
          <w:w w:val="105"/>
        </w:rPr>
        <w:t>066/1999</w:t>
      </w:r>
      <w:r>
        <w:rPr>
          <w:spacing w:val="-7"/>
          <w:w w:val="105"/>
        </w:rPr>
        <w:t> </w:t>
      </w:r>
      <w:r>
        <w:rPr>
          <w:rFonts w:ascii="Trebuchet MS" w:hAnsi="Trebuchet MS"/>
          <w:w w:val="105"/>
        </w:rPr>
        <w:t>–</w:t>
      </w:r>
      <w:r>
        <w:rPr>
          <w:rFonts w:ascii="Trebuchet MS" w:hAnsi="Trebuchet MS"/>
          <w:spacing w:val="-27"/>
          <w:w w:val="105"/>
        </w:rPr>
        <w:t> </w:t>
      </w:r>
      <w:r>
        <w:rPr>
          <w:w w:val="105"/>
        </w:rPr>
        <w:t>ANEEL</w:t>
      </w:r>
      <w:r>
        <w:rPr>
          <w:spacing w:val="-7"/>
          <w:w w:val="105"/>
        </w:rPr>
        <w:t> </w:t>
      </w:r>
      <w:r>
        <w:rPr>
          <w:w w:val="105"/>
        </w:rPr>
        <w:t>e</w:t>
      </w:r>
      <w:r>
        <w:rPr>
          <w:spacing w:val="-7"/>
          <w:w w:val="105"/>
        </w:rPr>
        <w:t> </w:t>
      </w:r>
      <w:r>
        <w:rPr>
          <w:w w:val="105"/>
        </w:rPr>
        <w:t>Resolução</w:t>
      </w:r>
      <w:r>
        <w:rPr>
          <w:spacing w:val="-8"/>
          <w:w w:val="105"/>
        </w:rPr>
        <w:t> </w:t>
      </w:r>
      <w:r>
        <w:rPr>
          <w:w w:val="105"/>
        </w:rPr>
        <w:t>Normativa</w:t>
      </w:r>
      <w:r>
        <w:rPr>
          <w:spacing w:val="-8"/>
          <w:w w:val="105"/>
        </w:rPr>
        <w:t> </w:t>
      </w:r>
      <w:r>
        <w:rPr>
          <w:w w:val="105"/>
        </w:rPr>
        <w:t>nº</w:t>
      </w:r>
      <w:r>
        <w:rPr>
          <w:spacing w:val="-7"/>
          <w:w w:val="105"/>
        </w:rPr>
        <w:t> </w:t>
      </w:r>
      <w:r>
        <w:rPr>
          <w:w w:val="105"/>
        </w:rPr>
        <w:t>787/2017-ANEEL</w:t>
      </w:r>
    </w:p>
    <w:p>
      <w:pPr>
        <w:pStyle w:val="BodyText"/>
        <w:spacing w:before="4"/>
        <w:rPr>
          <w:rFonts w:ascii="Caladea"/>
          <w:b/>
        </w:rPr>
      </w:pPr>
    </w:p>
    <w:p>
      <w:pPr>
        <w:spacing w:before="0"/>
        <w:ind w:left="192" w:right="0" w:firstLine="0"/>
        <w:jc w:val="left"/>
        <w:rPr>
          <w:rFonts w:ascii="Caladea"/>
          <w:b/>
          <w:sz w:val="20"/>
        </w:rPr>
      </w:pPr>
      <w:r>
        <w:rPr>
          <w:rFonts w:ascii="Caladea"/>
          <w:b/>
          <w:sz w:val="20"/>
        </w:rPr>
        <w:t>Aporte do Controlador</w:t>
      </w:r>
    </w:p>
    <w:p>
      <w:pPr>
        <w:pStyle w:val="BodyText"/>
        <w:spacing w:before="4"/>
        <w:rPr>
          <w:rFonts w:ascii="Caladea"/>
          <w:b/>
        </w:rPr>
      </w:pPr>
    </w:p>
    <w:p>
      <w:pPr>
        <w:pStyle w:val="BodyText"/>
        <w:spacing w:line="242" w:lineRule="auto"/>
        <w:ind w:left="192" w:right="612"/>
        <w:jc w:val="both"/>
      </w:pPr>
      <w:r>
        <w:rPr/>
        <w:t>Em</w:t>
      </w:r>
      <w:r>
        <w:rPr>
          <w:spacing w:val="-35"/>
        </w:rPr>
        <w:t> </w:t>
      </w:r>
      <w:r>
        <w:rPr/>
        <w:t>janeiro</w:t>
      </w:r>
      <w:r>
        <w:rPr>
          <w:spacing w:val="-34"/>
        </w:rPr>
        <w:t> </w:t>
      </w:r>
      <w:r>
        <w:rPr/>
        <w:t>de</w:t>
      </w:r>
      <w:r>
        <w:rPr>
          <w:spacing w:val="-33"/>
        </w:rPr>
        <w:t> </w:t>
      </w:r>
      <w:r>
        <w:rPr/>
        <w:t>2019,</w:t>
      </w:r>
      <w:r>
        <w:rPr>
          <w:spacing w:val="-34"/>
        </w:rPr>
        <w:t> </w:t>
      </w:r>
      <w:r>
        <w:rPr/>
        <w:t>a</w:t>
      </w:r>
      <w:r>
        <w:rPr>
          <w:spacing w:val="-33"/>
        </w:rPr>
        <w:t> </w:t>
      </w:r>
      <w:r>
        <w:rPr/>
        <w:t>CEB</w:t>
      </w:r>
      <w:r>
        <w:rPr>
          <w:spacing w:val="-34"/>
        </w:rPr>
        <w:t> </w:t>
      </w:r>
      <w:r>
        <w:rPr/>
        <w:t>DIS</w:t>
      </w:r>
      <w:r>
        <w:rPr>
          <w:spacing w:val="-34"/>
        </w:rPr>
        <w:t> </w:t>
      </w:r>
      <w:r>
        <w:rPr/>
        <w:t>formalizou</w:t>
      </w:r>
      <w:r>
        <w:rPr>
          <w:spacing w:val="-34"/>
        </w:rPr>
        <w:t> </w:t>
      </w:r>
      <w:r>
        <w:rPr/>
        <w:t>manifestação</w:t>
      </w:r>
      <w:r>
        <w:rPr>
          <w:spacing w:val="-33"/>
        </w:rPr>
        <w:t> </w:t>
      </w:r>
      <w:r>
        <w:rPr/>
        <w:t>de</w:t>
      </w:r>
      <w:r>
        <w:rPr>
          <w:spacing w:val="-34"/>
        </w:rPr>
        <w:t> </w:t>
      </w:r>
      <w:r>
        <w:rPr/>
        <w:t>necessidade</w:t>
      </w:r>
      <w:r>
        <w:rPr>
          <w:spacing w:val="-34"/>
        </w:rPr>
        <w:t> </w:t>
      </w:r>
      <w:r>
        <w:rPr/>
        <w:t>caixa</w:t>
      </w:r>
      <w:r>
        <w:rPr>
          <w:spacing w:val="-33"/>
        </w:rPr>
        <w:t> </w:t>
      </w:r>
      <w:r>
        <w:rPr/>
        <w:t>à</w:t>
      </w:r>
      <w:r>
        <w:rPr>
          <w:spacing w:val="-34"/>
        </w:rPr>
        <w:t> </w:t>
      </w:r>
      <w:r>
        <w:rPr/>
        <w:t>controladora</w:t>
      </w:r>
      <w:r>
        <w:rPr>
          <w:spacing w:val="-34"/>
        </w:rPr>
        <w:t> </w:t>
      </w:r>
      <w:r>
        <w:rPr/>
        <w:t>(CEB),</w:t>
      </w:r>
      <w:r>
        <w:rPr>
          <w:spacing w:val="-34"/>
        </w:rPr>
        <w:t> </w:t>
      </w:r>
      <w:r>
        <w:rPr/>
        <w:t>através</w:t>
      </w:r>
      <w:r>
        <w:rPr>
          <w:spacing w:val="-33"/>
        </w:rPr>
        <w:t> </w:t>
      </w:r>
      <w:r>
        <w:rPr/>
        <w:t>da</w:t>
      </w:r>
      <w:r>
        <w:rPr>
          <w:spacing w:val="-33"/>
        </w:rPr>
        <w:t> </w:t>
      </w:r>
      <w:r>
        <w:rPr/>
        <w:t>Carta nº</w:t>
      </w:r>
      <w:r>
        <w:rPr>
          <w:spacing w:val="-19"/>
        </w:rPr>
        <w:t> </w:t>
      </w:r>
      <w:r>
        <w:rPr/>
        <w:t>39/2019-DD,</w:t>
      </w:r>
      <w:r>
        <w:rPr>
          <w:spacing w:val="-19"/>
        </w:rPr>
        <w:t> </w:t>
      </w:r>
      <w:r>
        <w:rPr/>
        <w:t>no</w:t>
      </w:r>
      <w:r>
        <w:rPr>
          <w:spacing w:val="-20"/>
        </w:rPr>
        <w:t> </w:t>
      </w:r>
      <w:r>
        <w:rPr/>
        <w:t>montante</w:t>
      </w:r>
      <w:r>
        <w:rPr>
          <w:spacing w:val="-20"/>
        </w:rPr>
        <w:t> </w:t>
      </w:r>
      <w:r>
        <w:rPr/>
        <w:t>de</w:t>
      </w:r>
      <w:r>
        <w:rPr>
          <w:spacing w:val="-20"/>
        </w:rPr>
        <w:t> </w:t>
      </w:r>
      <w:r>
        <w:rPr/>
        <w:t>R$</w:t>
      </w:r>
      <w:r>
        <w:rPr>
          <w:spacing w:val="-19"/>
        </w:rPr>
        <w:t> </w:t>
      </w:r>
      <w:r>
        <w:rPr/>
        <w:t>426</w:t>
      </w:r>
      <w:r>
        <w:rPr>
          <w:spacing w:val="-18"/>
        </w:rPr>
        <w:t> </w:t>
      </w:r>
      <w:r>
        <w:rPr/>
        <w:t>milhões,</w:t>
      </w:r>
      <w:r>
        <w:rPr>
          <w:spacing w:val="-17"/>
        </w:rPr>
        <w:t> </w:t>
      </w:r>
      <w:r>
        <w:rPr/>
        <w:t>conforme</w:t>
      </w:r>
      <w:r>
        <w:rPr>
          <w:spacing w:val="-20"/>
        </w:rPr>
        <w:t> </w:t>
      </w:r>
      <w:r>
        <w:rPr/>
        <w:t>disposto</w:t>
      </w:r>
      <w:r>
        <w:rPr>
          <w:spacing w:val="-19"/>
        </w:rPr>
        <w:t> </w:t>
      </w:r>
      <w:r>
        <w:rPr/>
        <w:t>no</w:t>
      </w:r>
      <w:r>
        <w:rPr>
          <w:spacing w:val="-19"/>
        </w:rPr>
        <w:t> </w:t>
      </w:r>
      <w:r>
        <w:rPr/>
        <w:t>artigo</w:t>
      </w:r>
      <w:r>
        <w:rPr>
          <w:spacing w:val="-19"/>
        </w:rPr>
        <w:t> </w:t>
      </w:r>
      <w:r>
        <w:rPr/>
        <w:t>20</w:t>
      </w:r>
      <w:r>
        <w:rPr>
          <w:spacing w:val="-19"/>
        </w:rPr>
        <w:t> </w:t>
      </w:r>
      <w:r>
        <w:rPr/>
        <w:t>do</w:t>
      </w:r>
      <w:r>
        <w:rPr>
          <w:spacing w:val="-18"/>
        </w:rPr>
        <w:t> </w:t>
      </w:r>
      <w:r>
        <w:rPr/>
        <w:t>Estatuto</w:t>
      </w:r>
      <w:r>
        <w:rPr>
          <w:spacing w:val="-19"/>
        </w:rPr>
        <w:t> </w:t>
      </w:r>
      <w:r>
        <w:rPr/>
        <w:t>da</w:t>
      </w:r>
      <w:r>
        <w:rPr>
          <w:spacing w:val="-18"/>
        </w:rPr>
        <w:t> </w:t>
      </w:r>
      <w:r>
        <w:rPr/>
        <w:t>controlada,</w:t>
      </w:r>
      <w:r>
        <w:rPr>
          <w:spacing w:val="-20"/>
        </w:rPr>
        <w:t> </w:t>
      </w:r>
      <w:r>
        <w:rPr/>
        <w:t>com</w:t>
      </w:r>
      <w:r>
        <w:rPr>
          <w:spacing w:val="-19"/>
        </w:rPr>
        <w:t> </w:t>
      </w:r>
      <w:r>
        <w:rPr/>
        <w:t>o objetivo</w:t>
      </w:r>
      <w:r>
        <w:rPr>
          <w:spacing w:val="-11"/>
        </w:rPr>
        <w:t> </w:t>
      </w:r>
      <w:r>
        <w:rPr/>
        <w:t>de</w:t>
      </w:r>
      <w:r>
        <w:rPr>
          <w:spacing w:val="-12"/>
        </w:rPr>
        <w:t> </w:t>
      </w:r>
      <w:r>
        <w:rPr/>
        <w:t>auxiliar</w:t>
      </w:r>
      <w:r>
        <w:rPr>
          <w:spacing w:val="-12"/>
        </w:rPr>
        <w:t> </w:t>
      </w:r>
      <w:r>
        <w:rPr/>
        <w:t>na</w:t>
      </w:r>
      <w:r>
        <w:rPr>
          <w:spacing w:val="-10"/>
        </w:rPr>
        <w:t> </w:t>
      </w:r>
      <w:r>
        <w:rPr/>
        <w:t>redução</w:t>
      </w:r>
      <w:r>
        <w:rPr>
          <w:spacing w:val="-13"/>
        </w:rPr>
        <w:t> </w:t>
      </w:r>
      <w:r>
        <w:rPr/>
        <w:t>do</w:t>
      </w:r>
      <w:r>
        <w:rPr>
          <w:spacing w:val="-11"/>
        </w:rPr>
        <w:t> </w:t>
      </w:r>
      <w:r>
        <w:rPr/>
        <w:t>seu</w:t>
      </w:r>
      <w:r>
        <w:rPr>
          <w:spacing w:val="-9"/>
        </w:rPr>
        <w:t> </w:t>
      </w:r>
      <w:r>
        <w:rPr/>
        <w:t>endividamento</w:t>
      </w:r>
      <w:r>
        <w:rPr>
          <w:spacing w:val="-10"/>
        </w:rPr>
        <w:t> </w:t>
      </w:r>
      <w:r>
        <w:rPr/>
        <w:t>e</w:t>
      </w:r>
      <w:r>
        <w:rPr>
          <w:spacing w:val="-11"/>
        </w:rPr>
        <w:t> </w:t>
      </w:r>
      <w:r>
        <w:rPr/>
        <w:t>buscar</w:t>
      </w:r>
      <w:r>
        <w:rPr>
          <w:spacing w:val="-12"/>
        </w:rPr>
        <w:t> </w:t>
      </w:r>
      <w:r>
        <w:rPr/>
        <w:t>o</w:t>
      </w:r>
      <w:r>
        <w:rPr>
          <w:spacing w:val="-11"/>
        </w:rPr>
        <w:t> </w:t>
      </w:r>
      <w:r>
        <w:rPr/>
        <w:t>cumprimento</w:t>
      </w:r>
      <w:r>
        <w:rPr>
          <w:spacing w:val="-11"/>
        </w:rPr>
        <w:t> </w:t>
      </w:r>
      <w:r>
        <w:rPr/>
        <w:t>dos</w:t>
      </w:r>
      <w:r>
        <w:rPr>
          <w:spacing w:val="-13"/>
        </w:rPr>
        <w:t> </w:t>
      </w:r>
      <w:r>
        <w:rPr/>
        <w:t>critérios</w:t>
      </w:r>
      <w:r>
        <w:rPr>
          <w:spacing w:val="-12"/>
        </w:rPr>
        <w:t> </w:t>
      </w:r>
      <w:r>
        <w:rPr/>
        <w:t>de</w:t>
      </w:r>
      <w:r>
        <w:rPr>
          <w:spacing w:val="-12"/>
        </w:rPr>
        <w:t> </w:t>
      </w:r>
      <w:r>
        <w:rPr/>
        <w:t>sustentabilidade definidos pelo Órgão Regulador e no Quarto Termo Aditivo ao Contrato de Concessão. Em 2019 a Controladora aportou</w:t>
      </w:r>
      <w:r>
        <w:rPr>
          <w:spacing w:val="-24"/>
        </w:rPr>
        <w:t> </w:t>
      </w:r>
      <w:r>
        <w:rPr/>
        <w:t>R$</w:t>
      </w:r>
      <w:r>
        <w:rPr>
          <w:spacing w:val="-21"/>
        </w:rPr>
        <w:t> </w:t>
      </w:r>
      <w:r>
        <w:rPr/>
        <w:t>173</w:t>
      </w:r>
      <w:r>
        <w:rPr>
          <w:spacing w:val="-24"/>
        </w:rPr>
        <w:t> </w:t>
      </w:r>
      <w:r>
        <w:rPr/>
        <w:t>milhões</w:t>
      </w:r>
      <w:r>
        <w:rPr>
          <w:spacing w:val="-22"/>
        </w:rPr>
        <w:t> </w:t>
      </w:r>
      <w:r>
        <w:rPr/>
        <w:t>na</w:t>
      </w:r>
      <w:r>
        <w:rPr>
          <w:spacing w:val="-22"/>
        </w:rPr>
        <w:t> </w:t>
      </w:r>
      <w:r>
        <w:rPr/>
        <w:t>CEB</w:t>
      </w:r>
      <w:r>
        <w:rPr>
          <w:spacing w:val="-23"/>
        </w:rPr>
        <w:t> </w:t>
      </w:r>
      <w:r>
        <w:rPr/>
        <w:t>DIS,</w:t>
      </w:r>
      <w:r>
        <w:rPr>
          <w:spacing w:val="-24"/>
        </w:rPr>
        <w:t> </w:t>
      </w:r>
      <w:r>
        <w:rPr/>
        <w:t>a</w:t>
      </w:r>
      <w:r>
        <w:rPr>
          <w:spacing w:val="-22"/>
        </w:rPr>
        <w:t> </w:t>
      </w:r>
      <w:r>
        <w:rPr/>
        <w:t>título</w:t>
      </w:r>
      <w:r>
        <w:rPr>
          <w:spacing w:val="-24"/>
        </w:rPr>
        <w:t> </w:t>
      </w:r>
      <w:r>
        <w:rPr/>
        <w:t>de</w:t>
      </w:r>
      <w:r>
        <w:rPr>
          <w:spacing w:val="-24"/>
        </w:rPr>
        <w:t> </w:t>
      </w:r>
      <w:r>
        <w:rPr/>
        <w:t>Futuro</w:t>
      </w:r>
      <w:r>
        <w:rPr>
          <w:spacing w:val="-24"/>
        </w:rPr>
        <w:t> </w:t>
      </w:r>
      <w:r>
        <w:rPr/>
        <w:t>Aumento</w:t>
      </w:r>
      <w:r>
        <w:rPr>
          <w:spacing w:val="-23"/>
        </w:rPr>
        <w:t> </w:t>
      </w:r>
      <w:r>
        <w:rPr/>
        <w:t>de</w:t>
      </w:r>
      <w:r>
        <w:rPr>
          <w:spacing w:val="-25"/>
        </w:rPr>
        <w:t> </w:t>
      </w:r>
      <w:r>
        <w:rPr/>
        <w:t>Capital</w:t>
      </w:r>
      <w:r>
        <w:rPr>
          <w:spacing w:val="-16"/>
        </w:rPr>
        <w:t> </w:t>
      </w:r>
      <w:r>
        <w:rPr>
          <w:w w:val="105"/>
        </w:rPr>
        <w:t>–</w:t>
      </w:r>
      <w:r>
        <w:rPr>
          <w:spacing w:val="-26"/>
          <w:w w:val="105"/>
        </w:rPr>
        <w:t> </w:t>
      </w:r>
      <w:r>
        <w:rPr/>
        <w:t>AFAC,</w:t>
      </w:r>
      <w:r>
        <w:rPr>
          <w:spacing w:val="-23"/>
        </w:rPr>
        <w:t> </w:t>
      </w:r>
      <w:r>
        <w:rPr/>
        <w:t>sendo</w:t>
      </w:r>
      <w:r>
        <w:rPr>
          <w:spacing w:val="-24"/>
        </w:rPr>
        <w:t> </w:t>
      </w:r>
      <w:r>
        <w:rPr/>
        <w:t>R$</w:t>
      </w:r>
      <w:r>
        <w:rPr>
          <w:spacing w:val="-24"/>
        </w:rPr>
        <w:t> </w:t>
      </w:r>
      <w:r>
        <w:rPr/>
        <w:t>81,2</w:t>
      </w:r>
      <w:r>
        <w:rPr>
          <w:spacing w:val="-21"/>
        </w:rPr>
        <w:t> </w:t>
      </w:r>
      <w:r>
        <w:rPr/>
        <w:t>milhões</w:t>
      </w:r>
      <w:r>
        <w:rPr>
          <w:spacing w:val="-22"/>
        </w:rPr>
        <w:t> </w:t>
      </w:r>
      <w:r>
        <w:rPr/>
        <w:t>em</w:t>
      </w:r>
      <w:r>
        <w:rPr>
          <w:spacing w:val="-22"/>
        </w:rPr>
        <w:t> </w:t>
      </w:r>
      <w:r>
        <w:rPr/>
        <w:t>junho de</w:t>
      </w:r>
      <w:r>
        <w:rPr>
          <w:spacing w:val="-20"/>
        </w:rPr>
        <w:t> </w:t>
      </w:r>
      <w:r>
        <w:rPr/>
        <w:t>2019</w:t>
      </w:r>
      <w:r>
        <w:rPr>
          <w:spacing w:val="-16"/>
        </w:rPr>
        <w:t> </w:t>
      </w:r>
      <w:r>
        <w:rPr/>
        <w:t>e</w:t>
      </w:r>
      <w:r>
        <w:rPr>
          <w:spacing w:val="-19"/>
        </w:rPr>
        <w:t> </w:t>
      </w:r>
      <w:r>
        <w:rPr/>
        <w:t>R$</w:t>
      </w:r>
      <w:r>
        <w:rPr>
          <w:spacing w:val="-16"/>
        </w:rPr>
        <w:t> </w:t>
      </w:r>
      <w:r>
        <w:rPr/>
        <w:t>91,9</w:t>
      </w:r>
      <w:r>
        <w:rPr>
          <w:spacing w:val="-16"/>
        </w:rPr>
        <w:t> </w:t>
      </w:r>
      <w:r>
        <w:rPr/>
        <w:t>milhões</w:t>
      </w:r>
      <w:r>
        <w:rPr>
          <w:spacing w:val="-15"/>
        </w:rPr>
        <w:t> </w:t>
      </w:r>
      <w:r>
        <w:rPr/>
        <w:t>em</w:t>
      </w:r>
      <w:r>
        <w:rPr>
          <w:spacing w:val="-19"/>
        </w:rPr>
        <w:t> </w:t>
      </w:r>
      <w:r>
        <w:rPr/>
        <w:t>dezembro</w:t>
      </w:r>
      <w:r>
        <w:rPr>
          <w:spacing w:val="-19"/>
        </w:rPr>
        <w:t> </w:t>
      </w:r>
      <w:r>
        <w:rPr/>
        <w:t>de</w:t>
      </w:r>
      <w:r>
        <w:rPr>
          <w:spacing w:val="-16"/>
        </w:rPr>
        <w:t> </w:t>
      </w:r>
      <w:r>
        <w:rPr/>
        <w:t>2019.</w:t>
      </w:r>
    </w:p>
    <w:p>
      <w:pPr>
        <w:pStyle w:val="BodyText"/>
        <w:spacing w:before="5"/>
      </w:pPr>
    </w:p>
    <w:p>
      <w:pPr>
        <w:spacing w:before="0"/>
        <w:ind w:left="192" w:right="0" w:firstLine="0"/>
        <w:jc w:val="left"/>
        <w:rPr>
          <w:rFonts w:ascii="Caladea" w:hAnsi="Caladea"/>
          <w:b/>
          <w:sz w:val="20"/>
        </w:rPr>
      </w:pPr>
      <w:r>
        <w:rPr>
          <w:rFonts w:ascii="Caladea" w:hAnsi="Caladea"/>
          <w:b/>
          <w:sz w:val="20"/>
        </w:rPr>
        <w:t>Mitigação das perdas de energia elétrica</w:t>
      </w:r>
    </w:p>
    <w:p>
      <w:pPr>
        <w:pStyle w:val="BodyText"/>
        <w:spacing w:before="1"/>
        <w:rPr>
          <w:rFonts w:ascii="Caladea"/>
          <w:b/>
        </w:rPr>
      </w:pPr>
    </w:p>
    <w:p>
      <w:pPr>
        <w:pStyle w:val="BodyText"/>
        <w:spacing w:line="242" w:lineRule="auto"/>
        <w:ind w:left="192" w:right="608"/>
        <w:jc w:val="both"/>
      </w:pPr>
      <w:r>
        <w:rPr/>
        <w:t>Para</w:t>
      </w:r>
      <w:r>
        <w:rPr>
          <w:spacing w:val="-45"/>
        </w:rPr>
        <w:t> </w:t>
      </w:r>
      <w:r>
        <w:rPr/>
        <w:t>o</w:t>
      </w:r>
      <w:r>
        <w:rPr>
          <w:spacing w:val="-45"/>
        </w:rPr>
        <w:t> </w:t>
      </w:r>
      <w:r>
        <w:rPr/>
        <w:t>ano</w:t>
      </w:r>
      <w:r>
        <w:rPr>
          <w:spacing w:val="-45"/>
        </w:rPr>
        <w:t> </w:t>
      </w:r>
      <w:r>
        <w:rPr/>
        <w:t>de</w:t>
      </w:r>
      <w:r>
        <w:rPr>
          <w:spacing w:val="-46"/>
        </w:rPr>
        <w:t> </w:t>
      </w:r>
      <w:r>
        <w:rPr/>
        <w:t>2020,</w:t>
      </w:r>
      <w:r>
        <w:rPr>
          <w:spacing w:val="-45"/>
        </w:rPr>
        <w:t> </w:t>
      </w:r>
      <w:r>
        <w:rPr/>
        <w:t>a</w:t>
      </w:r>
      <w:r>
        <w:rPr>
          <w:spacing w:val="-44"/>
        </w:rPr>
        <w:t> </w:t>
      </w:r>
      <w:r>
        <w:rPr/>
        <w:t>Administração</w:t>
      </w:r>
      <w:r>
        <w:rPr>
          <w:spacing w:val="-45"/>
        </w:rPr>
        <w:t> </w:t>
      </w:r>
      <w:r>
        <w:rPr/>
        <w:t>estima</w:t>
      </w:r>
      <w:r>
        <w:rPr>
          <w:spacing w:val="-45"/>
        </w:rPr>
        <w:t> </w:t>
      </w:r>
      <w:r>
        <w:rPr/>
        <w:t>que</w:t>
      </w:r>
      <w:r>
        <w:rPr>
          <w:spacing w:val="-46"/>
        </w:rPr>
        <w:t> </w:t>
      </w:r>
      <w:r>
        <w:rPr/>
        <w:t>as</w:t>
      </w:r>
      <w:r>
        <w:rPr>
          <w:spacing w:val="-44"/>
        </w:rPr>
        <w:t> </w:t>
      </w:r>
      <w:r>
        <w:rPr/>
        <w:t>perdas</w:t>
      </w:r>
      <w:r>
        <w:rPr>
          <w:spacing w:val="-44"/>
        </w:rPr>
        <w:t> </w:t>
      </w:r>
      <w:r>
        <w:rPr/>
        <w:t>técnicas</w:t>
      </w:r>
      <w:r>
        <w:rPr>
          <w:spacing w:val="-45"/>
        </w:rPr>
        <w:t> </w:t>
      </w:r>
      <w:r>
        <w:rPr/>
        <w:t>e</w:t>
      </w:r>
      <w:r>
        <w:rPr>
          <w:spacing w:val="-45"/>
        </w:rPr>
        <w:t> </w:t>
      </w:r>
      <w:r>
        <w:rPr/>
        <w:t>comerciais</w:t>
      </w:r>
      <w:r>
        <w:rPr>
          <w:spacing w:val="-43"/>
        </w:rPr>
        <w:t> </w:t>
      </w:r>
      <w:r>
        <w:rPr/>
        <w:t>alcancem</w:t>
      </w:r>
      <w:r>
        <w:rPr>
          <w:spacing w:val="-45"/>
        </w:rPr>
        <w:t> </w:t>
      </w:r>
      <w:r>
        <w:rPr/>
        <w:t>o</w:t>
      </w:r>
      <w:r>
        <w:rPr>
          <w:spacing w:val="-43"/>
        </w:rPr>
        <w:t> </w:t>
      </w:r>
      <w:r>
        <w:rPr/>
        <w:t>nível</w:t>
      </w:r>
      <w:r>
        <w:rPr>
          <w:spacing w:val="-45"/>
        </w:rPr>
        <w:t> </w:t>
      </w:r>
      <w:r>
        <w:rPr/>
        <w:t>regulatório</w:t>
      </w:r>
      <w:r>
        <w:rPr>
          <w:spacing w:val="-44"/>
        </w:rPr>
        <w:t> </w:t>
      </w:r>
      <w:r>
        <w:rPr/>
        <w:t>desejado de</w:t>
      </w:r>
      <w:r>
        <w:rPr>
          <w:spacing w:val="-6"/>
        </w:rPr>
        <w:t> </w:t>
      </w:r>
      <w:r>
        <w:rPr/>
        <w:t>toda</w:t>
      </w:r>
      <w:r>
        <w:rPr>
          <w:spacing w:val="-3"/>
        </w:rPr>
        <w:t> </w:t>
      </w:r>
      <w:r>
        <w:rPr/>
        <w:t>energia</w:t>
      </w:r>
      <w:r>
        <w:rPr>
          <w:spacing w:val="-1"/>
        </w:rPr>
        <w:t> </w:t>
      </w:r>
      <w:r>
        <w:rPr/>
        <w:t>elétrica</w:t>
      </w:r>
      <w:r>
        <w:rPr>
          <w:spacing w:val="-3"/>
        </w:rPr>
        <w:t> </w:t>
      </w:r>
      <w:r>
        <w:rPr/>
        <w:t>injetada</w:t>
      </w:r>
      <w:r>
        <w:rPr>
          <w:spacing w:val="-4"/>
        </w:rPr>
        <w:t> </w:t>
      </w:r>
      <w:r>
        <w:rPr/>
        <w:t>na</w:t>
      </w:r>
      <w:r>
        <w:rPr>
          <w:spacing w:val="-2"/>
        </w:rPr>
        <w:t> </w:t>
      </w:r>
      <w:r>
        <w:rPr/>
        <w:t>área</w:t>
      </w:r>
      <w:r>
        <w:rPr>
          <w:spacing w:val="-4"/>
        </w:rPr>
        <w:t> </w:t>
      </w:r>
      <w:r>
        <w:rPr/>
        <w:t>de</w:t>
      </w:r>
      <w:r>
        <w:rPr>
          <w:spacing w:val="-5"/>
        </w:rPr>
        <w:t> </w:t>
      </w:r>
      <w:r>
        <w:rPr/>
        <w:t>concessão</w:t>
      </w:r>
      <w:r>
        <w:rPr>
          <w:spacing w:val="-4"/>
        </w:rPr>
        <w:t> </w:t>
      </w:r>
      <w:r>
        <w:rPr/>
        <w:t>da</w:t>
      </w:r>
      <w:r>
        <w:rPr>
          <w:spacing w:val="-4"/>
        </w:rPr>
        <w:t> </w:t>
      </w:r>
      <w:r>
        <w:rPr/>
        <w:t>Companhia.</w:t>
      </w:r>
      <w:r>
        <w:rPr>
          <w:spacing w:val="-4"/>
        </w:rPr>
        <w:t> </w:t>
      </w:r>
      <w:r>
        <w:rPr/>
        <w:t>Visando</w:t>
      </w:r>
      <w:r>
        <w:rPr>
          <w:spacing w:val="-3"/>
        </w:rPr>
        <w:t> </w:t>
      </w:r>
      <w:r>
        <w:rPr/>
        <w:t>mitigar</w:t>
      </w:r>
      <w:r>
        <w:rPr>
          <w:spacing w:val="-3"/>
        </w:rPr>
        <w:t> </w:t>
      </w:r>
      <w:r>
        <w:rPr/>
        <w:t>esse</w:t>
      </w:r>
      <w:r>
        <w:rPr>
          <w:spacing w:val="-4"/>
        </w:rPr>
        <w:t> </w:t>
      </w:r>
      <w:r>
        <w:rPr/>
        <w:t>prognóstico,</w:t>
      </w:r>
      <w:r>
        <w:rPr>
          <w:spacing w:val="-4"/>
        </w:rPr>
        <w:t> </w:t>
      </w:r>
      <w:r>
        <w:rPr/>
        <w:t>serão intensificados</w:t>
      </w:r>
      <w:r>
        <w:rPr>
          <w:spacing w:val="-41"/>
        </w:rPr>
        <w:t> </w:t>
      </w:r>
      <w:r>
        <w:rPr/>
        <w:t>os</w:t>
      </w:r>
      <w:r>
        <w:rPr>
          <w:spacing w:val="-41"/>
        </w:rPr>
        <w:t> </w:t>
      </w:r>
      <w:r>
        <w:rPr/>
        <w:t>serviços</w:t>
      </w:r>
      <w:r>
        <w:rPr>
          <w:spacing w:val="-39"/>
        </w:rPr>
        <w:t> </w:t>
      </w:r>
      <w:r>
        <w:rPr/>
        <w:t>de</w:t>
      </w:r>
      <w:r>
        <w:rPr>
          <w:spacing w:val="-42"/>
        </w:rPr>
        <w:t> </w:t>
      </w:r>
      <w:r>
        <w:rPr/>
        <w:t>fiscalização</w:t>
      </w:r>
      <w:r>
        <w:rPr>
          <w:spacing w:val="-41"/>
        </w:rPr>
        <w:t> </w:t>
      </w:r>
      <w:r>
        <w:rPr/>
        <w:t>de</w:t>
      </w:r>
      <w:r>
        <w:rPr>
          <w:spacing w:val="-41"/>
        </w:rPr>
        <w:t> </w:t>
      </w:r>
      <w:r>
        <w:rPr/>
        <w:t>ligações</w:t>
      </w:r>
      <w:r>
        <w:rPr>
          <w:spacing w:val="-41"/>
        </w:rPr>
        <w:t> </w:t>
      </w:r>
      <w:r>
        <w:rPr/>
        <w:t>clandestinas,</w:t>
      </w:r>
      <w:r>
        <w:rPr>
          <w:spacing w:val="-41"/>
        </w:rPr>
        <w:t> </w:t>
      </w:r>
      <w:r>
        <w:rPr/>
        <w:t>fraudes,</w:t>
      </w:r>
      <w:r>
        <w:rPr>
          <w:spacing w:val="-41"/>
        </w:rPr>
        <w:t> </w:t>
      </w:r>
      <w:r>
        <w:rPr/>
        <w:t>medições</w:t>
      </w:r>
      <w:r>
        <w:rPr>
          <w:spacing w:val="-41"/>
        </w:rPr>
        <w:t> </w:t>
      </w:r>
      <w:r>
        <w:rPr/>
        <w:t>e</w:t>
      </w:r>
      <w:r>
        <w:rPr>
          <w:spacing w:val="-41"/>
        </w:rPr>
        <w:t> </w:t>
      </w:r>
      <w:r>
        <w:rPr/>
        <w:t>faturamentos,</w:t>
      </w:r>
      <w:r>
        <w:rPr>
          <w:spacing w:val="-41"/>
        </w:rPr>
        <w:t> </w:t>
      </w:r>
      <w:r>
        <w:rPr/>
        <w:t>objetivando</w:t>
      </w:r>
      <w:r>
        <w:rPr>
          <w:spacing w:val="-41"/>
        </w:rPr>
        <w:t> </w:t>
      </w:r>
      <w:r>
        <w:rPr/>
        <w:t>a recuperação</w:t>
      </w:r>
      <w:r>
        <w:rPr>
          <w:spacing w:val="-32"/>
        </w:rPr>
        <w:t> </w:t>
      </w:r>
      <w:r>
        <w:rPr/>
        <w:t>de</w:t>
      </w:r>
      <w:r>
        <w:rPr>
          <w:spacing w:val="-31"/>
        </w:rPr>
        <w:t> </w:t>
      </w:r>
      <w:r>
        <w:rPr/>
        <w:t>143,8</w:t>
      </w:r>
      <w:r>
        <w:rPr>
          <w:spacing w:val="-31"/>
        </w:rPr>
        <w:t> </w:t>
      </w:r>
      <w:r>
        <w:rPr/>
        <w:t>GWh,</w:t>
      </w:r>
      <w:r>
        <w:rPr>
          <w:spacing w:val="-29"/>
        </w:rPr>
        <w:t> </w:t>
      </w:r>
      <w:r>
        <w:rPr/>
        <w:t>em</w:t>
      </w:r>
      <w:r>
        <w:rPr>
          <w:spacing w:val="-31"/>
        </w:rPr>
        <w:t> </w:t>
      </w:r>
      <w:r>
        <w:rPr/>
        <w:t>um</w:t>
      </w:r>
      <w:r>
        <w:rPr>
          <w:spacing w:val="-31"/>
        </w:rPr>
        <w:t> </w:t>
      </w:r>
      <w:r>
        <w:rPr/>
        <w:t>período</w:t>
      </w:r>
      <w:r>
        <w:rPr>
          <w:spacing w:val="-30"/>
        </w:rPr>
        <w:t> </w:t>
      </w:r>
      <w:r>
        <w:rPr/>
        <w:t>de</w:t>
      </w:r>
      <w:r>
        <w:rPr>
          <w:spacing w:val="-32"/>
        </w:rPr>
        <w:t> </w:t>
      </w:r>
      <w:r>
        <w:rPr/>
        <w:t>30</w:t>
      </w:r>
      <w:r>
        <w:rPr>
          <w:spacing w:val="-30"/>
        </w:rPr>
        <w:t> </w:t>
      </w:r>
      <w:r>
        <w:rPr/>
        <w:t>meses,</w:t>
      </w:r>
      <w:r>
        <w:rPr>
          <w:spacing w:val="-31"/>
        </w:rPr>
        <w:t> </w:t>
      </w:r>
      <w:r>
        <w:rPr/>
        <w:t>por</w:t>
      </w:r>
      <w:r>
        <w:rPr>
          <w:spacing w:val="-30"/>
        </w:rPr>
        <w:t> </w:t>
      </w:r>
      <w:r>
        <w:rPr/>
        <w:t>intermédio</w:t>
      </w:r>
      <w:r>
        <w:rPr>
          <w:spacing w:val="-30"/>
        </w:rPr>
        <w:t> </w:t>
      </w:r>
      <w:r>
        <w:rPr/>
        <w:t>da</w:t>
      </w:r>
      <w:r>
        <w:rPr>
          <w:spacing w:val="-31"/>
        </w:rPr>
        <w:t> </w:t>
      </w:r>
      <w:r>
        <w:rPr/>
        <w:t>contratação</w:t>
      </w:r>
      <w:r>
        <w:rPr>
          <w:spacing w:val="-31"/>
        </w:rPr>
        <w:t> </w:t>
      </w:r>
      <w:r>
        <w:rPr/>
        <w:t>de</w:t>
      </w:r>
      <w:r>
        <w:rPr>
          <w:spacing w:val="-30"/>
        </w:rPr>
        <w:t> </w:t>
      </w:r>
      <w:r>
        <w:rPr/>
        <w:t>empresa</w:t>
      </w:r>
      <w:r>
        <w:rPr>
          <w:spacing w:val="-31"/>
        </w:rPr>
        <w:t> </w:t>
      </w:r>
      <w:r>
        <w:rPr/>
        <w:t>especializada, fato</w:t>
      </w:r>
      <w:r>
        <w:rPr>
          <w:spacing w:val="-26"/>
        </w:rPr>
        <w:t> </w:t>
      </w:r>
      <w:r>
        <w:rPr/>
        <w:t>ainda</w:t>
      </w:r>
      <w:r>
        <w:rPr>
          <w:spacing w:val="-23"/>
        </w:rPr>
        <w:t> </w:t>
      </w:r>
      <w:r>
        <w:rPr/>
        <w:t>não</w:t>
      </w:r>
      <w:r>
        <w:rPr>
          <w:spacing w:val="-25"/>
        </w:rPr>
        <w:t> </w:t>
      </w:r>
      <w:r>
        <w:rPr/>
        <w:t>consolidado,</w:t>
      </w:r>
      <w:r>
        <w:rPr>
          <w:spacing w:val="-22"/>
        </w:rPr>
        <w:t> </w:t>
      </w:r>
      <w:r>
        <w:rPr/>
        <w:t>pois,</w:t>
      </w:r>
      <w:r>
        <w:rPr>
          <w:spacing w:val="-26"/>
        </w:rPr>
        <w:t> </w:t>
      </w:r>
      <w:r>
        <w:rPr/>
        <w:t>apesar</w:t>
      </w:r>
      <w:r>
        <w:rPr>
          <w:spacing w:val="-24"/>
        </w:rPr>
        <w:t> </w:t>
      </w:r>
      <w:r>
        <w:rPr/>
        <w:t>de</w:t>
      </w:r>
      <w:r>
        <w:rPr>
          <w:spacing w:val="-25"/>
        </w:rPr>
        <w:t> </w:t>
      </w:r>
      <w:r>
        <w:rPr/>
        <w:t>findo</w:t>
      </w:r>
      <w:r>
        <w:rPr>
          <w:spacing w:val="-24"/>
        </w:rPr>
        <w:t> </w:t>
      </w:r>
      <w:r>
        <w:rPr/>
        <w:t>o</w:t>
      </w:r>
      <w:r>
        <w:rPr>
          <w:spacing w:val="-24"/>
        </w:rPr>
        <w:t> </w:t>
      </w:r>
      <w:r>
        <w:rPr/>
        <w:t>processo</w:t>
      </w:r>
      <w:r>
        <w:rPr>
          <w:spacing w:val="-26"/>
        </w:rPr>
        <w:t> </w:t>
      </w:r>
      <w:r>
        <w:rPr/>
        <w:t>licitatório</w:t>
      </w:r>
      <w:r>
        <w:rPr>
          <w:spacing w:val="-25"/>
        </w:rPr>
        <w:t> </w:t>
      </w:r>
      <w:r>
        <w:rPr/>
        <w:t>apropriado,</w:t>
      </w:r>
      <w:r>
        <w:rPr>
          <w:spacing w:val="-23"/>
        </w:rPr>
        <w:t> </w:t>
      </w:r>
      <w:r>
        <w:rPr/>
        <w:t>os</w:t>
      </w:r>
      <w:r>
        <w:rPr>
          <w:spacing w:val="-25"/>
        </w:rPr>
        <w:t> </w:t>
      </w:r>
      <w:r>
        <w:rPr/>
        <w:t>licitantes</w:t>
      </w:r>
      <w:r>
        <w:rPr>
          <w:spacing w:val="-23"/>
        </w:rPr>
        <w:t> </w:t>
      </w:r>
      <w:r>
        <w:rPr/>
        <w:t>debatem</w:t>
      </w:r>
      <w:r>
        <w:rPr>
          <w:spacing w:val="-25"/>
        </w:rPr>
        <w:t> </w:t>
      </w:r>
      <w:r>
        <w:rPr/>
        <w:t>junto</w:t>
      </w:r>
      <w:r>
        <w:rPr>
          <w:spacing w:val="-24"/>
        </w:rPr>
        <w:t> </w:t>
      </w:r>
      <w:r>
        <w:rPr/>
        <w:t>ao Poder</w:t>
      </w:r>
      <w:r>
        <w:rPr>
          <w:spacing w:val="-30"/>
        </w:rPr>
        <w:t> </w:t>
      </w:r>
      <w:r>
        <w:rPr/>
        <w:t>Judiciário</w:t>
      </w:r>
      <w:r>
        <w:rPr>
          <w:spacing w:val="-29"/>
        </w:rPr>
        <w:t> </w:t>
      </w:r>
      <w:r>
        <w:rPr/>
        <w:t>quesitos</w:t>
      </w:r>
      <w:r>
        <w:rPr>
          <w:spacing w:val="-29"/>
        </w:rPr>
        <w:t> </w:t>
      </w:r>
      <w:r>
        <w:rPr/>
        <w:t>finalísticos</w:t>
      </w:r>
      <w:r>
        <w:rPr>
          <w:spacing w:val="-30"/>
        </w:rPr>
        <w:t> </w:t>
      </w:r>
      <w:r>
        <w:rPr/>
        <w:t>que</w:t>
      </w:r>
      <w:r>
        <w:rPr>
          <w:spacing w:val="-30"/>
        </w:rPr>
        <w:t> </w:t>
      </w:r>
      <w:r>
        <w:rPr/>
        <w:t>impedem</w:t>
      </w:r>
      <w:r>
        <w:rPr>
          <w:spacing w:val="-29"/>
        </w:rPr>
        <w:t> </w:t>
      </w:r>
      <w:r>
        <w:rPr/>
        <w:t>a</w:t>
      </w:r>
      <w:r>
        <w:rPr>
          <w:spacing w:val="-29"/>
        </w:rPr>
        <w:t> </w:t>
      </w:r>
      <w:r>
        <w:rPr/>
        <w:t>celebração</w:t>
      </w:r>
      <w:r>
        <w:rPr>
          <w:spacing w:val="-30"/>
        </w:rPr>
        <w:t> </w:t>
      </w:r>
      <w:r>
        <w:rPr/>
        <w:t>do</w:t>
      </w:r>
      <w:r>
        <w:rPr>
          <w:spacing w:val="-29"/>
        </w:rPr>
        <w:t> </w:t>
      </w:r>
      <w:r>
        <w:rPr/>
        <w:t>devido</w:t>
      </w:r>
      <w:r>
        <w:rPr>
          <w:spacing w:val="-29"/>
        </w:rPr>
        <w:t> </w:t>
      </w:r>
      <w:r>
        <w:rPr/>
        <w:t>contrato,</w:t>
      </w:r>
      <w:r>
        <w:rPr>
          <w:spacing w:val="-30"/>
        </w:rPr>
        <w:t> </w:t>
      </w:r>
      <w:r>
        <w:rPr/>
        <w:t>tendo</w:t>
      </w:r>
      <w:r>
        <w:rPr>
          <w:spacing w:val="-29"/>
        </w:rPr>
        <w:t> </w:t>
      </w:r>
      <w:r>
        <w:rPr/>
        <w:t>por</w:t>
      </w:r>
      <w:r>
        <w:rPr>
          <w:spacing w:val="-30"/>
        </w:rPr>
        <w:t> </w:t>
      </w:r>
      <w:r>
        <w:rPr/>
        <w:t>expectativa</w:t>
      </w:r>
      <w:r>
        <w:rPr>
          <w:spacing w:val="-28"/>
        </w:rPr>
        <w:t> </w:t>
      </w:r>
      <w:r>
        <w:rPr/>
        <w:t>que</w:t>
      </w:r>
      <w:r>
        <w:rPr>
          <w:spacing w:val="-29"/>
        </w:rPr>
        <w:t> </w:t>
      </w:r>
      <w:r>
        <w:rPr/>
        <w:t>tal situação</w:t>
      </w:r>
      <w:r>
        <w:rPr>
          <w:spacing w:val="-20"/>
        </w:rPr>
        <w:t> </w:t>
      </w:r>
      <w:r>
        <w:rPr/>
        <w:t>seja</w:t>
      </w:r>
      <w:r>
        <w:rPr>
          <w:spacing w:val="-19"/>
        </w:rPr>
        <w:t> </w:t>
      </w:r>
      <w:r>
        <w:rPr/>
        <w:t>solucionada</w:t>
      </w:r>
      <w:r>
        <w:rPr>
          <w:spacing w:val="-18"/>
        </w:rPr>
        <w:t> </w:t>
      </w:r>
      <w:r>
        <w:rPr/>
        <w:t>ainda</w:t>
      </w:r>
      <w:r>
        <w:rPr>
          <w:spacing w:val="-19"/>
        </w:rPr>
        <w:t> </w:t>
      </w:r>
      <w:r>
        <w:rPr/>
        <w:t>no</w:t>
      </w:r>
      <w:r>
        <w:rPr>
          <w:spacing w:val="-19"/>
        </w:rPr>
        <w:t> </w:t>
      </w:r>
      <w:r>
        <w:rPr/>
        <w:t>primeiro</w:t>
      </w:r>
      <w:r>
        <w:rPr>
          <w:spacing w:val="-20"/>
        </w:rPr>
        <w:t> </w:t>
      </w:r>
      <w:r>
        <w:rPr/>
        <w:t>semestre</w:t>
      </w:r>
      <w:r>
        <w:rPr>
          <w:spacing w:val="-20"/>
        </w:rPr>
        <w:t> </w:t>
      </w:r>
      <w:r>
        <w:rPr/>
        <w:t>de</w:t>
      </w:r>
      <w:r>
        <w:rPr>
          <w:spacing w:val="-21"/>
        </w:rPr>
        <w:t> </w:t>
      </w:r>
      <w:r>
        <w:rPr/>
        <w:t>2020.</w:t>
      </w:r>
    </w:p>
    <w:p>
      <w:pPr>
        <w:pStyle w:val="BodyText"/>
        <w:spacing w:before="4"/>
      </w:pPr>
    </w:p>
    <w:p>
      <w:pPr>
        <w:pStyle w:val="BodyText"/>
        <w:spacing w:line="242" w:lineRule="auto"/>
        <w:ind w:left="192" w:right="610"/>
        <w:jc w:val="both"/>
      </w:pPr>
      <w:r>
        <w:rPr>
          <w:w w:val="95"/>
        </w:rPr>
        <w:t>A</w:t>
      </w:r>
      <w:r>
        <w:rPr>
          <w:spacing w:val="-23"/>
          <w:w w:val="95"/>
        </w:rPr>
        <w:t> </w:t>
      </w:r>
      <w:r>
        <w:rPr>
          <w:w w:val="95"/>
        </w:rPr>
        <w:t>estimativa</w:t>
      </w:r>
      <w:r>
        <w:rPr>
          <w:spacing w:val="-22"/>
          <w:w w:val="95"/>
        </w:rPr>
        <w:t> </w:t>
      </w:r>
      <w:r>
        <w:rPr>
          <w:w w:val="95"/>
        </w:rPr>
        <w:t>de</w:t>
      </w:r>
      <w:r>
        <w:rPr>
          <w:spacing w:val="-24"/>
          <w:w w:val="95"/>
        </w:rPr>
        <w:t> </w:t>
      </w:r>
      <w:r>
        <w:rPr>
          <w:w w:val="95"/>
        </w:rPr>
        <w:t>perdas</w:t>
      </w:r>
      <w:r>
        <w:rPr>
          <w:spacing w:val="-22"/>
          <w:w w:val="95"/>
        </w:rPr>
        <w:t> </w:t>
      </w:r>
      <w:r>
        <w:rPr>
          <w:w w:val="95"/>
        </w:rPr>
        <w:t>geradas</w:t>
      </w:r>
      <w:r>
        <w:rPr>
          <w:spacing w:val="-22"/>
          <w:w w:val="95"/>
        </w:rPr>
        <w:t> </w:t>
      </w:r>
      <w:r>
        <w:rPr>
          <w:w w:val="95"/>
        </w:rPr>
        <w:t>pelas</w:t>
      </w:r>
      <w:r>
        <w:rPr>
          <w:spacing w:val="-22"/>
          <w:w w:val="95"/>
        </w:rPr>
        <w:t> </w:t>
      </w:r>
      <w:r>
        <w:rPr>
          <w:w w:val="95"/>
        </w:rPr>
        <w:t>ligações</w:t>
      </w:r>
      <w:r>
        <w:rPr>
          <w:spacing w:val="-22"/>
          <w:w w:val="95"/>
        </w:rPr>
        <w:t> </w:t>
      </w:r>
      <w:r>
        <w:rPr>
          <w:w w:val="95"/>
        </w:rPr>
        <w:t>clandestinas,</w:t>
      </w:r>
      <w:r>
        <w:rPr>
          <w:spacing w:val="-23"/>
          <w:w w:val="95"/>
        </w:rPr>
        <w:t> </w:t>
      </w:r>
      <w:r>
        <w:rPr>
          <w:w w:val="95"/>
        </w:rPr>
        <w:t>encontradas</w:t>
      </w:r>
      <w:r>
        <w:rPr>
          <w:spacing w:val="-20"/>
          <w:w w:val="95"/>
        </w:rPr>
        <w:t> </w:t>
      </w:r>
      <w:r>
        <w:rPr>
          <w:w w:val="95"/>
        </w:rPr>
        <w:t>em</w:t>
      </w:r>
      <w:r>
        <w:rPr>
          <w:spacing w:val="-24"/>
          <w:w w:val="95"/>
        </w:rPr>
        <w:t> </w:t>
      </w:r>
      <w:r>
        <w:rPr>
          <w:w w:val="95"/>
        </w:rPr>
        <w:t>áreas</w:t>
      </w:r>
      <w:r>
        <w:rPr>
          <w:spacing w:val="-22"/>
          <w:w w:val="95"/>
        </w:rPr>
        <w:t> </w:t>
      </w:r>
      <w:r>
        <w:rPr>
          <w:w w:val="95"/>
        </w:rPr>
        <w:t>irregulares,</w:t>
      </w:r>
      <w:r>
        <w:rPr>
          <w:spacing w:val="-23"/>
          <w:w w:val="95"/>
        </w:rPr>
        <w:t> </w:t>
      </w:r>
      <w:r>
        <w:rPr>
          <w:w w:val="95"/>
        </w:rPr>
        <w:t>perfazem</w:t>
      </w:r>
      <w:r>
        <w:rPr>
          <w:spacing w:val="-23"/>
          <w:w w:val="95"/>
        </w:rPr>
        <w:t> </w:t>
      </w:r>
      <w:r>
        <w:rPr>
          <w:w w:val="95"/>
        </w:rPr>
        <w:t>o</w:t>
      </w:r>
      <w:r>
        <w:rPr>
          <w:spacing w:val="-21"/>
          <w:w w:val="95"/>
        </w:rPr>
        <w:t> </w:t>
      </w:r>
      <w:r>
        <w:rPr>
          <w:w w:val="95"/>
        </w:rPr>
        <w:t>quantitativo </w:t>
      </w:r>
      <w:r>
        <w:rPr/>
        <w:t>de 14,5 GWh/mês. A Companhia irá intensificar fortemente junto ao Poder Público Competente, a partir da oportunidade criada pelo § 2º, do artigo </w:t>
      </w:r>
      <w:r>
        <w:rPr>
          <w:spacing w:val="2"/>
        </w:rPr>
        <w:t>52 </w:t>
      </w:r>
      <w:r>
        <w:rPr/>
        <w:t>da Resolução Normativa 414/2010, para atendimento das unidades consumidoras</w:t>
      </w:r>
      <w:r>
        <w:rPr>
          <w:spacing w:val="-14"/>
        </w:rPr>
        <w:t> </w:t>
      </w:r>
      <w:r>
        <w:rPr/>
        <w:t>localizadas</w:t>
      </w:r>
      <w:r>
        <w:rPr>
          <w:spacing w:val="-13"/>
        </w:rPr>
        <w:t> </w:t>
      </w:r>
      <w:r>
        <w:rPr/>
        <w:t>nas</w:t>
      </w:r>
      <w:r>
        <w:rPr>
          <w:spacing w:val="-13"/>
        </w:rPr>
        <w:t> </w:t>
      </w:r>
      <w:r>
        <w:rPr/>
        <w:t>referidas</w:t>
      </w:r>
      <w:r>
        <w:rPr>
          <w:spacing w:val="-14"/>
        </w:rPr>
        <w:t> </w:t>
      </w:r>
      <w:r>
        <w:rPr/>
        <w:t>áreas</w:t>
      </w:r>
      <w:r>
        <w:rPr>
          <w:spacing w:val="-13"/>
        </w:rPr>
        <w:t> </w:t>
      </w:r>
      <w:r>
        <w:rPr/>
        <w:t>irregulares,</w:t>
      </w:r>
      <w:r>
        <w:rPr>
          <w:spacing w:val="-14"/>
        </w:rPr>
        <w:t> </w:t>
      </w:r>
      <w:r>
        <w:rPr/>
        <w:t>ocupadas</w:t>
      </w:r>
      <w:r>
        <w:rPr>
          <w:spacing w:val="-13"/>
        </w:rPr>
        <w:t> </w:t>
      </w:r>
      <w:r>
        <w:rPr/>
        <w:t>predominantemente</w:t>
      </w:r>
      <w:r>
        <w:rPr>
          <w:spacing w:val="-13"/>
        </w:rPr>
        <w:t> </w:t>
      </w:r>
      <w:r>
        <w:rPr/>
        <w:t>por</w:t>
      </w:r>
      <w:r>
        <w:rPr>
          <w:spacing w:val="-14"/>
        </w:rPr>
        <w:t> </w:t>
      </w:r>
      <w:r>
        <w:rPr/>
        <w:t>população</w:t>
      </w:r>
      <w:r>
        <w:rPr>
          <w:spacing w:val="-14"/>
        </w:rPr>
        <w:t> </w:t>
      </w:r>
      <w:r>
        <w:rPr/>
        <w:t>de</w:t>
      </w:r>
      <w:r>
        <w:rPr>
          <w:spacing w:val="-14"/>
        </w:rPr>
        <w:t> </w:t>
      </w:r>
      <w:r>
        <w:rPr/>
        <w:t>baixa tensão.</w:t>
      </w:r>
      <w:r>
        <w:rPr>
          <w:spacing w:val="-24"/>
        </w:rPr>
        <w:t> </w:t>
      </w:r>
      <w:r>
        <w:rPr/>
        <w:t>Essa</w:t>
      </w:r>
      <w:r>
        <w:rPr>
          <w:spacing w:val="-23"/>
        </w:rPr>
        <w:t> </w:t>
      </w:r>
      <w:r>
        <w:rPr/>
        <w:t>ação</w:t>
      </w:r>
      <w:r>
        <w:rPr>
          <w:spacing w:val="-23"/>
        </w:rPr>
        <w:t> </w:t>
      </w:r>
      <w:r>
        <w:rPr/>
        <w:t>visa</w:t>
      </w:r>
      <w:r>
        <w:rPr>
          <w:spacing w:val="-23"/>
        </w:rPr>
        <w:t> </w:t>
      </w:r>
      <w:r>
        <w:rPr/>
        <w:t>reduzir</w:t>
      </w:r>
      <w:r>
        <w:rPr>
          <w:spacing w:val="-24"/>
        </w:rPr>
        <w:t> </w:t>
      </w:r>
      <w:r>
        <w:rPr/>
        <w:t>o</w:t>
      </w:r>
      <w:r>
        <w:rPr>
          <w:spacing w:val="-24"/>
        </w:rPr>
        <w:t> </w:t>
      </w:r>
      <w:r>
        <w:rPr/>
        <w:t>risco</w:t>
      </w:r>
      <w:r>
        <w:rPr>
          <w:spacing w:val="-23"/>
        </w:rPr>
        <w:t> </w:t>
      </w:r>
      <w:r>
        <w:rPr/>
        <w:t>de</w:t>
      </w:r>
      <w:r>
        <w:rPr>
          <w:spacing w:val="-23"/>
        </w:rPr>
        <w:t> </w:t>
      </w:r>
      <w:r>
        <w:rPr/>
        <w:t>danos</w:t>
      </w:r>
      <w:r>
        <w:rPr>
          <w:spacing w:val="-22"/>
        </w:rPr>
        <w:t> </w:t>
      </w:r>
      <w:r>
        <w:rPr/>
        <w:t>e</w:t>
      </w:r>
      <w:r>
        <w:rPr>
          <w:spacing w:val="-24"/>
        </w:rPr>
        <w:t> </w:t>
      </w:r>
      <w:r>
        <w:rPr/>
        <w:t>acidentes</w:t>
      </w:r>
      <w:r>
        <w:rPr>
          <w:spacing w:val="-24"/>
        </w:rPr>
        <w:t> </w:t>
      </w:r>
      <w:r>
        <w:rPr/>
        <w:t>a</w:t>
      </w:r>
      <w:r>
        <w:rPr>
          <w:spacing w:val="-23"/>
        </w:rPr>
        <w:t> </w:t>
      </w:r>
      <w:r>
        <w:rPr/>
        <w:t>pessoas,</w:t>
      </w:r>
      <w:r>
        <w:rPr>
          <w:spacing w:val="-23"/>
        </w:rPr>
        <w:t> </w:t>
      </w:r>
      <w:r>
        <w:rPr/>
        <w:t>bens</w:t>
      </w:r>
      <w:r>
        <w:rPr>
          <w:spacing w:val="-24"/>
        </w:rPr>
        <w:t> </w:t>
      </w:r>
      <w:r>
        <w:rPr/>
        <w:t>ou</w:t>
      </w:r>
      <w:r>
        <w:rPr>
          <w:spacing w:val="-23"/>
        </w:rPr>
        <w:t> </w:t>
      </w:r>
      <w:r>
        <w:rPr/>
        <w:t>instalações</w:t>
      </w:r>
      <w:r>
        <w:rPr>
          <w:spacing w:val="-24"/>
        </w:rPr>
        <w:t> </w:t>
      </w:r>
      <w:r>
        <w:rPr/>
        <w:t>do</w:t>
      </w:r>
      <w:r>
        <w:rPr>
          <w:spacing w:val="-24"/>
        </w:rPr>
        <w:t> </w:t>
      </w:r>
      <w:r>
        <w:rPr/>
        <w:t>sistema</w:t>
      </w:r>
      <w:r>
        <w:rPr>
          <w:spacing w:val="-23"/>
        </w:rPr>
        <w:t> </w:t>
      </w:r>
      <w:r>
        <w:rPr/>
        <w:t>elétrico,</w:t>
      </w:r>
      <w:r>
        <w:rPr>
          <w:spacing w:val="-23"/>
        </w:rPr>
        <w:t> </w:t>
      </w:r>
      <w:r>
        <w:rPr/>
        <w:t>bem como</w:t>
      </w:r>
      <w:r>
        <w:rPr>
          <w:spacing w:val="-28"/>
        </w:rPr>
        <w:t> </w:t>
      </w:r>
      <w:r>
        <w:rPr/>
        <w:t>combater</w:t>
      </w:r>
      <w:r>
        <w:rPr>
          <w:spacing w:val="-29"/>
        </w:rPr>
        <w:t> </w:t>
      </w:r>
      <w:r>
        <w:rPr/>
        <w:t>o</w:t>
      </w:r>
      <w:r>
        <w:rPr>
          <w:spacing w:val="-27"/>
        </w:rPr>
        <w:t> </w:t>
      </w:r>
      <w:r>
        <w:rPr/>
        <w:t>uso</w:t>
      </w:r>
      <w:r>
        <w:rPr>
          <w:spacing w:val="-28"/>
        </w:rPr>
        <w:t> </w:t>
      </w:r>
      <w:r>
        <w:rPr/>
        <w:t>irregular</w:t>
      </w:r>
      <w:r>
        <w:rPr>
          <w:spacing w:val="-28"/>
        </w:rPr>
        <w:t> </w:t>
      </w:r>
      <w:r>
        <w:rPr/>
        <w:t>da</w:t>
      </w:r>
      <w:r>
        <w:rPr>
          <w:spacing w:val="-27"/>
        </w:rPr>
        <w:t> </w:t>
      </w:r>
      <w:r>
        <w:rPr/>
        <w:t>energia</w:t>
      </w:r>
      <w:r>
        <w:rPr>
          <w:spacing w:val="-28"/>
        </w:rPr>
        <w:t> </w:t>
      </w:r>
      <w:r>
        <w:rPr/>
        <w:t>elétrica,</w:t>
      </w:r>
      <w:r>
        <w:rPr>
          <w:spacing w:val="-27"/>
        </w:rPr>
        <w:t> </w:t>
      </w:r>
      <w:r>
        <w:rPr/>
        <w:t>na</w:t>
      </w:r>
      <w:r>
        <w:rPr>
          <w:spacing w:val="-27"/>
        </w:rPr>
        <w:t> </w:t>
      </w:r>
      <w:r>
        <w:rPr/>
        <w:t>busca</w:t>
      </w:r>
      <w:r>
        <w:rPr>
          <w:spacing w:val="-27"/>
        </w:rPr>
        <w:t> </w:t>
      </w:r>
      <w:r>
        <w:rPr/>
        <w:t>pela</w:t>
      </w:r>
      <w:r>
        <w:rPr>
          <w:spacing w:val="-28"/>
        </w:rPr>
        <w:t> </w:t>
      </w:r>
      <w:r>
        <w:rPr/>
        <w:t>redução</w:t>
      </w:r>
      <w:r>
        <w:rPr>
          <w:spacing w:val="-27"/>
        </w:rPr>
        <w:t> </w:t>
      </w:r>
      <w:r>
        <w:rPr/>
        <w:t>das</w:t>
      </w:r>
      <w:r>
        <w:rPr>
          <w:spacing w:val="-27"/>
        </w:rPr>
        <w:t> </w:t>
      </w:r>
      <w:r>
        <w:rPr/>
        <w:t>perdas</w:t>
      </w:r>
      <w:r>
        <w:rPr>
          <w:spacing w:val="-27"/>
        </w:rPr>
        <w:t> </w:t>
      </w:r>
      <w:r>
        <w:rPr/>
        <w:t>em</w:t>
      </w:r>
      <w:r>
        <w:rPr>
          <w:spacing w:val="-28"/>
        </w:rPr>
        <w:t> </w:t>
      </w:r>
      <w:r>
        <w:rPr/>
        <w:t>níveis</w:t>
      </w:r>
      <w:r>
        <w:rPr>
          <w:spacing w:val="-27"/>
        </w:rPr>
        <w:t> </w:t>
      </w:r>
      <w:r>
        <w:rPr/>
        <w:t>compatíveis</w:t>
      </w:r>
      <w:r>
        <w:rPr>
          <w:spacing w:val="-27"/>
        </w:rPr>
        <w:t> </w:t>
      </w:r>
      <w:r>
        <w:rPr/>
        <w:t>com</w:t>
      </w:r>
      <w:r>
        <w:rPr>
          <w:spacing w:val="-28"/>
        </w:rPr>
        <w:t> </w:t>
      </w:r>
      <w:r>
        <w:rPr/>
        <w:t>os definidos</w:t>
      </w:r>
      <w:r>
        <w:rPr>
          <w:spacing w:val="-16"/>
        </w:rPr>
        <w:t> </w:t>
      </w:r>
      <w:r>
        <w:rPr/>
        <w:t>pelo</w:t>
      </w:r>
      <w:r>
        <w:rPr>
          <w:spacing w:val="-19"/>
        </w:rPr>
        <w:t> </w:t>
      </w:r>
      <w:r>
        <w:rPr/>
        <w:t>Órgão</w:t>
      </w:r>
      <w:r>
        <w:rPr>
          <w:spacing w:val="-18"/>
        </w:rPr>
        <w:t> </w:t>
      </w:r>
      <w:r>
        <w:rPr/>
        <w:t>Regulador.</w:t>
      </w:r>
    </w:p>
    <w:p>
      <w:pPr>
        <w:spacing w:after="0" w:line="242" w:lineRule="auto"/>
        <w:jc w:val="both"/>
        <w:sectPr>
          <w:pgSz w:w="11910" w:h="16850"/>
          <w:pgMar w:header="792" w:footer="1193" w:top="1360" w:bottom="1460" w:left="940" w:right="240"/>
        </w:sectPr>
      </w:pPr>
    </w:p>
    <w:p>
      <w:pPr>
        <w:spacing w:before="47"/>
        <w:ind w:left="192" w:right="0" w:firstLine="0"/>
        <w:jc w:val="left"/>
        <w:rPr>
          <w:rFonts w:ascii="Caladea" w:hAnsi="Caladea"/>
          <w:b/>
          <w:sz w:val="20"/>
        </w:rPr>
      </w:pPr>
      <w:r>
        <w:rPr>
          <w:rFonts w:ascii="Caladea" w:hAnsi="Caladea"/>
          <w:b/>
          <w:sz w:val="20"/>
        </w:rPr>
        <w:t>Alienação de terrenos e Sucatas</w:t>
      </w:r>
    </w:p>
    <w:p>
      <w:pPr>
        <w:pStyle w:val="BodyText"/>
        <w:spacing w:before="2"/>
        <w:rPr>
          <w:rFonts w:ascii="Caladea"/>
          <w:b/>
        </w:rPr>
      </w:pPr>
    </w:p>
    <w:p>
      <w:pPr>
        <w:pStyle w:val="BodyText"/>
        <w:spacing w:line="242" w:lineRule="auto"/>
        <w:ind w:left="192" w:right="610"/>
        <w:jc w:val="both"/>
      </w:pPr>
      <w:r>
        <w:rPr/>
        <w:t>A</w:t>
      </w:r>
      <w:r>
        <w:rPr>
          <w:spacing w:val="-40"/>
        </w:rPr>
        <w:t> </w:t>
      </w:r>
      <w:r>
        <w:rPr/>
        <w:t>alienação</w:t>
      </w:r>
      <w:r>
        <w:rPr>
          <w:spacing w:val="-40"/>
        </w:rPr>
        <w:t> </w:t>
      </w:r>
      <w:r>
        <w:rPr/>
        <w:t>de</w:t>
      </w:r>
      <w:r>
        <w:rPr>
          <w:spacing w:val="-39"/>
        </w:rPr>
        <w:t> </w:t>
      </w:r>
      <w:r>
        <w:rPr/>
        <w:t>terrenos</w:t>
      </w:r>
      <w:r>
        <w:rPr>
          <w:spacing w:val="-39"/>
        </w:rPr>
        <w:t> </w:t>
      </w:r>
      <w:r>
        <w:rPr/>
        <w:t>da</w:t>
      </w:r>
      <w:r>
        <w:rPr>
          <w:spacing w:val="-39"/>
        </w:rPr>
        <w:t> </w:t>
      </w:r>
      <w:r>
        <w:rPr/>
        <w:t>Distribuidora</w:t>
      </w:r>
      <w:r>
        <w:rPr>
          <w:spacing w:val="-37"/>
        </w:rPr>
        <w:t> </w:t>
      </w:r>
      <w:r>
        <w:rPr/>
        <w:t>representa</w:t>
      </w:r>
      <w:r>
        <w:rPr>
          <w:spacing w:val="-40"/>
        </w:rPr>
        <w:t> </w:t>
      </w:r>
      <w:r>
        <w:rPr/>
        <w:t>uma</w:t>
      </w:r>
      <w:r>
        <w:rPr>
          <w:spacing w:val="-37"/>
        </w:rPr>
        <w:t> </w:t>
      </w:r>
      <w:r>
        <w:rPr/>
        <w:t>das</w:t>
      </w:r>
      <w:r>
        <w:rPr>
          <w:spacing w:val="-40"/>
        </w:rPr>
        <w:t> </w:t>
      </w:r>
      <w:r>
        <w:rPr/>
        <w:t>principais</w:t>
      </w:r>
      <w:r>
        <w:rPr>
          <w:spacing w:val="-38"/>
        </w:rPr>
        <w:t> </w:t>
      </w:r>
      <w:r>
        <w:rPr/>
        <w:t>premissas</w:t>
      </w:r>
      <w:r>
        <w:rPr>
          <w:spacing w:val="-40"/>
        </w:rPr>
        <w:t> </w:t>
      </w:r>
      <w:r>
        <w:rPr/>
        <w:t>do</w:t>
      </w:r>
      <w:r>
        <w:rPr>
          <w:spacing w:val="-38"/>
        </w:rPr>
        <w:t> </w:t>
      </w:r>
      <w:r>
        <w:rPr/>
        <w:t>Plano</w:t>
      </w:r>
      <w:r>
        <w:rPr>
          <w:spacing w:val="-41"/>
        </w:rPr>
        <w:t> </w:t>
      </w:r>
      <w:r>
        <w:rPr/>
        <w:t>de</w:t>
      </w:r>
      <w:r>
        <w:rPr>
          <w:spacing w:val="-40"/>
        </w:rPr>
        <w:t> </w:t>
      </w:r>
      <w:r>
        <w:rPr/>
        <w:t>Negócio</w:t>
      </w:r>
      <w:r>
        <w:rPr>
          <w:spacing w:val="-40"/>
        </w:rPr>
        <w:t> </w:t>
      </w:r>
      <w:r>
        <w:rPr/>
        <w:t>aprovado</w:t>
      </w:r>
      <w:r>
        <w:rPr>
          <w:spacing w:val="-39"/>
        </w:rPr>
        <w:t> </w:t>
      </w:r>
      <w:r>
        <w:rPr/>
        <w:t>para o</w:t>
      </w:r>
      <w:r>
        <w:rPr>
          <w:spacing w:val="-8"/>
        </w:rPr>
        <w:t> </w:t>
      </w:r>
      <w:r>
        <w:rPr/>
        <w:t>período</w:t>
      </w:r>
      <w:r>
        <w:rPr>
          <w:spacing w:val="-7"/>
        </w:rPr>
        <w:t> </w:t>
      </w:r>
      <w:r>
        <w:rPr/>
        <w:t>de</w:t>
      </w:r>
      <w:r>
        <w:rPr>
          <w:spacing w:val="-8"/>
        </w:rPr>
        <w:t> </w:t>
      </w:r>
      <w:r>
        <w:rPr/>
        <w:t>2020</w:t>
      </w:r>
      <w:r>
        <w:rPr>
          <w:spacing w:val="-5"/>
        </w:rPr>
        <w:t> </w:t>
      </w:r>
      <w:r>
        <w:rPr/>
        <w:t>a</w:t>
      </w:r>
      <w:r>
        <w:rPr>
          <w:spacing w:val="-7"/>
        </w:rPr>
        <w:t> </w:t>
      </w:r>
      <w:r>
        <w:rPr/>
        <w:t>2024.</w:t>
      </w:r>
      <w:r>
        <w:rPr>
          <w:spacing w:val="-4"/>
        </w:rPr>
        <w:t> </w:t>
      </w:r>
      <w:r>
        <w:rPr/>
        <w:t>Para</w:t>
      </w:r>
      <w:r>
        <w:rPr>
          <w:spacing w:val="-7"/>
        </w:rPr>
        <w:t> </w:t>
      </w:r>
      <w:r>
        <w:rPr/>
        <w:t>isso,</w:t>
      </w:r>
      <w:r>
        <w:rPr>
          <w:spacing w:val="-7"/>
        </w:rPr>
        <w:t> </w:t>
      </w:r>
      <w:r>
        <w:rPr/>
        <w:t>foi</w:t>
      </w:r>
      <w:r>
        <w:rPr>
          <w:spacing w:val="-8"/>
        </w:rPr>
        <w:t> </w:t>
      </w:r>
      <w:r>
        <w:rPr/>
        <w:t>constituído</w:t>
      </w:r>
      <w:r>
        <w:rPr>
          <w:spacing w:val="-7"/>
        </w:rPr>
        <w:t> </w:t>
      </w:r>
      <w:r>
        <w:rPr/>
        <w:t>um</w:t>
      </w:r>
      <w:r>
        <w:rPr>
          <w:spacing w:val="-7"/>
        </w:rPr>
        <w:t> </w:t>
      </w:r>
      <w:r>
        <w:rPr/>
        <w:t>Grupo</w:t>
      </w:r>
      <w:r>
        <w:rPr>
          <w:spacing w:val="-5"/>
        </w:rPr>
        <w:t> </w:t>
      </w:r>
      <w:r>
        <w:rPr/>
        <w:t>de</w:t>
      </w:r>
      <w:r>
        <w:rPr>
          <w:spacing w:val="-7"/>
        </w:rPr>
        <w:t> </w:t>
      </w:r>
      <w:r>
        <w:rPr/>
        <w:t>Trabalho</w:t>
      </w:r>
      <w:r>
        <w:rPr>
          <w:spacing w:val="-2"/>
        </w:rPr>
        <w:t> </w:t>
      </w:r>
      <w:r>
        <w:rPr/>
        <w:t>-</w:t>
      </w:r>
      <w:r>
        <w:rPr>
          <w:spacing w:val="-6"/>
        </w:rPr>
        <w:t> </w:t>
      </w:r>
      <w:r>
        <w:rPr/>
        <w:t>GT,</w:t>
      </w:r>
      <w:r>
        <w:rPr>
          <w:spacing w:val="-5"/>
        </w:rPr>
        <w:t> </w:t>
      </w:r>
      <w:r>
        <w:rPr/>
        <w:t>instituído</w:t>
      </w:r>
      <w:r>
        <w:rPr>
          <w:spacing w:val="-7"/>
        </w:rPr>
        <w:t> </w:t>
      </w:r>
      <w:r>
        <w:rPr/>
        <w:t>por</w:t>
      </w:r>
      <w:r>
        <w:rPr>
          <w:spacing w:val="-8"/>
        </w:rPr>
        <w:t> </w:t>
      </w:r>
      <w:r>
        <w:rPr/>
        <w:t>meio</w:t>
      </w:r>
      <w:r>
        <w:rPr>
          <w:spacing w:val="-6"/>
        </w:rPr>
        <w:t> </w:t>
      </w:r>
      <w:r>
        <w:rPr/>
        <w:t>da</w:t>
      </w:r>
      <w:r>
        <w:rPr>
          <w:spacing w:val="-6"/>
        </w:rPr>
        <w:t> </w:t>
      </w:r>
      <w:r>
        <w:rPr/>
        <w:t>Portaria Conjunta nº 001- CEB/CEB-D/2019, com o objetivo de realizar os estudos e elaborar plano de ação, contendo cronograma</w:t>
      </w:r>
      <w:r>
        <w:rPr>
          <w:spacing w:val="-39"/>
        </w:rPr>
        <w:t> </w:t>
      </w:r>
      <w:r>
        <w:rPr/>
        <w:t>e</w:t>
      </w:r>
      <w:r>
        <w:rPr>
          <w:spacing w:val="-40"/>
        </w:rPr>
        <w:t> </w:t>
      </w:r>
      <w:r>
        <w:rPr/>
        <w:t>compromissos</w:t>
      </w:r>
      <w:r>
        <w:rPr>
          <w:spacing w:val="-40"/>
        </w:rPr>
        <w:t> </w:t>
      </w:r>
      <w:r>
        <w:rPr/>
        <w:t>com</w:t>
      </w:r>
      <w:r>
        <w:rPr>
          <w:spacing w:val="-39"/>
        </w:rPr>
        <w:t> </w:t>
      </w:r>
      <w:r>
        <w:rPr/>
        <w:t>metas</w:t>
      </w:r>
      <w:r>
        <w:rPr>
          <w:spacing w:val="-38"/>
        </w:rPr>
        <w:t> </w:t>
      </w:r>
      <w:r>
        <w:rPr/>
        <w:t>e</w:t>
      </w:r>
      <w:r>
        <w:rPr>
          <w:spacing w:val="-40"/>
        </w:rPr>
        <w:t> </w:t>
      </w:r>
      <w:r>
        <w:rPr/>
        <w:t>resultados</w:t>
      </w:r>
      <w:r>
        <w:rPr>
          <w:spacing w:val="-40"/>
        </w:rPr>
        <w:t> </w:t>
      </w:r>
      <w:r>
        <w:rPr/>
        <w:t>necessários</w:t>
      </w:r>
      <w:r>
        <w:rPr>
          <w:spacing w:val="-40"/>
        </w:rPr>
        <w:t> </w:t>
      </w:r>
      <w:r>
        <w:rPr/>
        <w:t>para</w:t>
      </w:r>
      <w:r>
        <w:rPr>
          <w:spacing w:val="-39"/>
        </w:rPr>
        <w:t> </w:t>
      </w:r>
      <w:r>
        <w:rPr/>
        <w:t>a</w:t>
      </w:r>
      <w:r>
        <w:rPr>
          <w:spacing w:val="-39"/>
        </w:rPr>
        <w:t> </w:t>
      </w:r>
      <w:r>
        <w:rPr/>
        <w:t>alienação</w:t>
      </w:r>
      <w:r>
        <w:rPr>
          <w:spacing w:val="-40"/>
        </w:rPr>
        <w:t> </w:t>
      </w:r>
      <w:r>
        <w:rPr/>
        <w:t>dos</w:t>
      </w:r>
      <w:r>
        <w:rPr>
          <w:spacing w:val="-40"/>
        </w:rPr>
        <w:t> </w:t>
      </w:r>
      <w:r>
        <w:rPr/>
        <w:t>ativos</w:t>
      </w:r>
      <w:r>
        <w:rPr>
          <w:spacing w:val="-39"/>
        </w:rPr>
        <w:t> </w:t>
      </w:r>
      <w:r>
        <w:rPr/>
        <w:t>inservíveis</w:t>
      </w:r>
      <w:r>
        <w:rPr>
          <w:spacing w:val="-39"/>
        </w:rPr>
        <w:t> </w:t>
      </w:r>
      <w:r>
        <w:rPr/>
        <w:t>à</w:t>
      </w:r>
      <w:r>
        <w:rPr>
          <w:spacing w:val="-39"/>
        </w:rPr>
        <w:t> </w:t>
      </w:r>
      <w:r>
        <w:rPr/>
        <w:t>Concessão.</w:t>
      </w:r>
    </w:p>
    <w:p>
      <w:pPr>
        <w:pStyle w:val="BodyText"/>
        <w:spacing w:line="242" w:lineRule="auto" w:before="120"/>
        <w:ind w:left="192" w:right="608"/>
        <w:jc w:val="both"/>
      </w:pPr>
      <w:r>
        <w:rPr/>
        <w:t>De</w:t>
      </w:r>
      <w:r>
        <w:rPr>
          <w:spacing w:val="-9"/>
        </w:rPr>
        <w:t> </w:t>
      </w:r>
      <w:r>
        <w:rPr/>
        <w:t>posse</w:t>
      </w:r>
      <w:r>
        <w:rPr>
          <w:spacing w:val="-9"/>
        </w:rPr>
        <w:t> </w:t>
      </w:r>
      <w:r>
        <w:rPr/>
        <w:t>do</w:t>
      </w:r>
      <w:r>
        <w:rPr>
          <w:spacing w:val="-7"/>
        </w:rPr>
        <w:t> </w:t>
      </w:r>
      <w:r>
        <w:rPr/>
        <w:t>levantamento</w:t>
      </w:r>
      <w:r>
        <w:rPr>
          <w:spacing w:val="-6"/>
        </w:rPr>
        <w:t> </w:t>
      </w:r>
      <w:r>
        <w:rPr/>
        <w:t>do</w:t>
      </w:r>
      <w:r>
        <w:rPr>
          <w:spacing w:val="-8"/>
        </w:rPr>
        <w:t> </w:t>
      </w:r>
      <w:r>
        <w:rPr/>
        <w:t>Grupo</w:t>
      </w:r>
      <w:r>
        <w:rPr>
          <w:spacing w:val="-3"/>
        </w:rPr>
        <w:t> </w:t>
      </w:r>
      <w:r>
        <w:rPr>
          <w:w w:val="105"/>
        </w:rPr>
        <w:t>–</w:t>
      </w:r>
      <w:r>
        <w:rPr>
          <w:spacing w:val="-9"/>
          <w:w w:val="105"/>
        </w:rPr>
        <w:t> </w:t>
      </w:r>
      <w:r>
        <w:rPr/>
        <w:t>GT,</w:t>
      </w:r>
      <w:r>
        <w:rPr>
          <w:spacing w:val="-9"/>
        </w:rPr>
        <w:t> </w:t>
      </w:r>
      <w:r>
        <w:rPr/>
        <w:t>a</w:t>
      </w:r>
      <w:r>
        <w:rPr>
          <w:spacing w:val="-6"/>
        </w:rPr>
        <w:t> </w:t>
      </w:r>
      <w:r>
        <w:rPr/>
        <w:t>Comissão</w:t>
      </w:r>
      <w:r>
        <w:rPr>
          <w:spacing w:val="-6"/>
        </w:rPr>
        <w:t> </w:t>
      </w:r>
      <w:r>
        <w:rPr/>
        <w:t>Permanente</w:t>
      </w:r>
      <w:r>
        <w:rPr>
          <w:spacing w:val="-9"/>
        </w:rPr>
        <w:t> </w:t>
      </w:r>
      <w:r>
        <w:rPr/>
        <w:t>de</w:t>
      </w:r>
      <w:r>
        <w:rPr>
          <w:spacing w:val="-9"/>
        </w:rPr>
        <w:t> </w:t>
      </w:r>
      <w:r>
        <w:rPr/>
        <w:t>Licitação</w:t>
      </w:r>
      <w:r>
        <w:rPr>
          <w:spacing w:val="-4"/>
        </w:rPr>
        <w:t> </w:t>
      </w:r>
      <w:r>
        <w:rPr>
          <w:w w:val="105"/>
        </w:rPr>
        <w:t>–</w:t>
      </w:r>
      <w:r>
        <w:rPr>
          <w:spacing w:val="-10"/>
          <w:w w:val="105"/>
        </w:rPr>
        <w:t> </w:t>
      </w:r>
      <w:r>
        <w:rPr/>
        <w:t>CPL</w:t>
      </w:r>
      <w:r>
        <w:rPr>
          <w:spacing w:val="-7"/>
        </w:rPr>
        <w:t> </w:t>
      </w:r>
      <w:r>
        <w:rPr/>
        <w:t>processou</w:t>
      </w:r>
      <w:r>
        <w:rPr>
          <w:spacing w:val="-8"/>
        </w:rPr>
        <w:t> </w:t>
      </w:r>
      <w:r>
        <w:rPr/>
        <w:t>as</w:t>
      </w:r>
      <w:r>
        <w:rPr>
          <w:spacing w:val="-7"/>
        </w:rPr>
        <w:t> </w:t>
      </w:r>
      <w:r>
        <w:rPr/>
        <w:t>licitações</w:t>
      </w:r>
      <w:r>
        <w:rPr>
          <w:spacing w:val="-8"/>
        </w:rPr>
        <w:t> </w:t>
      </w:r>
      <w:r>
        <w:rPr/>
        <w:t>de </w:t>
      </w:r>
      <w:r>
        <w:rPr>
          <w:w w:val="92"/>
        </w:rPr>
        <w:t>a</w:t>
      </w:r>
      <w:r>
        <w:rPr>
          <w:w w:val="91"/>
        </w:rPr>
        <w:t>l</w:t>
      </w:r>
      <w:r>
        <w:rPr>
          <w:w w:val="91"/>
        </w:rPr>
        <w:t>i</w:t>
      </w:r>
      <w:r>
        <w:rPr>
          <w:spacing w:val="-2"/>
          <w:w w:val="91"/>
        </w:rPr>
        <w:t>e</w:t>
      </w:r>
      <w:r>
        <w:rPr>
          <w:spacing w:val="-1"/>
          <w:w w:val="101"/>
        </w:rPr>
        <w:t>n</w:t>
      </w:r>
      <w:r>
        <w:rPr>
          <w:w w:val="92"/>
        </w:rPr>
        <w:t>a</w:t>
      </w:r>
      <w:r>
        <w:rPr>
          <w:w w:val="88"/>
        </w:rPr>
        <w:t>ç</w:t>
      </w:r>
      <w:r>
        <w:rPr>
          <w:w w:val="92"/>
        </w:rPr>
        <w:t>ã</w:t>
      </w:r>
      <w:r>
        <w:rPr>
          <w:w w:val="98"/>
        </w:rPr>
        <w:t>o</w:t>
      </w:r>
      <w:r>
        <w:rPr>
          <w:spacing w:val="-6"/>
        </w:rPr>
        <w:t> </w:t>
      </w:r>
      <w:r>
        <w:rPr>
          <w:w w:val="100"/>
        </w:rPr>
        <w:t>dos</w:t>
      </w:r>
      <w:r>
        <w:rPr>
          <w:spacing w:val="-5"/>
        </w:rPr>
        <w:t> </w:t>
      </w:r>
      <w:r>
        <w:rPr>
          <w:spacing w:val="3"/>
          <w:w w:val="105"/>
        </w:rPr>
        <w:t>s</w:t>
      </w:r>
      <w:r>
        <w:rPr>
          <w:spacing w:val="-2"/>
          <w:w w:val="89"/>
        </w:rPr>
        <w:t>e</w:t>
      </w:r>
      <w:r>
        <w:rPr>
          <w:spacing w:val="-1"/>
          <w:w w:val="98"/>
        </w:rPr>
        <w:t>gu</w:t>
      </w:r>
      <w:r>
        <w:rPr>
          <w:spacing w:val="2"/>
          <w:w w:val="98"/>
        </w:rPr>
        <w:t>i</w:t>
      </w:r>
      <w:r>
        <w:rPr>
          <w:spacing w:val="-1"/>
          <w:w w:val="101"/>
        </w:rPr>
        <w:t>n</w:t>
      </w:r>
      <w:r>
        <w:rPr>
          <w:spacing w:val="-1"/>
          <w:w w:val="87"/>
        </w:rPr>
        <w:t>t</w:t>
      </w:r>
      <w:r>
        <w:rPr>
          <w:spacing w:val="-2"/>
          <w:w w:val="87"/>
        </w:rPr>
        <w:t>e</w:t>
      </w:r>
      <w:r>
        <w:rPr>
          <w:w w:val="105"/>
        </w:rPr>
        <w:t>s</w:t>
      </w:r>
      <w:r>
        <w:rPr>
          <w:spacing w:val="-3"/>
        </w:rPr>
        <w:t> </w:t>
      </w:r>
      <w:r>
        <w:rPr>
          <w:w w:val="99"/>
        </w:rPr>
        <w:t>i</w:t>
      </w:r>
      <w:r>
        <w:rPr>
          <w:spacing w:val="1"/>
          <w:w w:val="99"/>
        </w:rPr>
        <w:t>m</w:t>
      </w:r>
      <w:r>
        <w:rPr>
          <w:spacing w:val="2"/>
          <w:w w:val="98"/>
        </w:rPr>
        <w:t>ó</w:t>
      </w:r>
      <w:r>
        <w:rPr>
          <w:w w:val="95"/>
        </w:rPr>
        <w:t>v</w:t>
      </w:r>
      <w:r>
        <w:rPr>
          <w:spacing w:val="-1"/>
          <w:w w:val="95"/>
        </w:rPr>
        <w:t>e</w:t>
      </w:r>
      <w:r>
        <w:rPr>
          <w:w w:val="91"/>
        </w:rPr>
        <w:t>is:</w:t>
      </w:r>
      <w:r>
        <w:rPr>
          <w:spacing w:val="-5"/>
        </w:rPr>
        <w:t> </w:t>
      </w:r>
      <w:r>
        <w:rPr>
          <w:w w:val="105"/>
        </w:rPr>
        <w:t>Á</w:t>
      </w:r>
      <w:r>
        <w:rPr>
          <w:w w:val="106"/>
        </w:rPr>
        <w:t>R</w:t>
      </w:r>
      <w:r>
        <w:rPr>
          <w:w w:val="106"/>
        </w:rPr>
        <w:t>E</w:t>
      </w:r>
      <w:r>
        <w:rPr>
          <w:w w:val="105"/>
        </w:rPr>
        <w:t>A</w:t>
      </w:r>
      <w:r>
        <w:rPr>
          <w:spacing w:val="-5"/>
        </w:rPr>
        <w:t> </w:t>
      </w:r>
      <w:r>
        <w:rPr>
          <w:w w:val="93"/>
        </w:rPr>
        <w:t>C</w:t>
      </w:r>
      <w:r>
        <w:rPr>
          <w:w w:val="106"/>
        </w:rPr>
        <w:t>E</w:t>
      </w:r>
      <w:r>
        <w:rPr>
          <w:spacing w:val="1"/>
          <w:w w:val="106"/>
        </w:rPr>
        <w:t>N</w:t>
      </w:r>
      <w:r>
        <w:rPr>
          <w:w w:val="104"/>
        </w:rPr>
        <w:t>TR</w:t>
      </w:r>
      <w:r>
        <w:rPr>
          <w:spacing w:val="1"/>
          <w:w w:val="104"/>
        </w:rPr>
        <w:t>A</w:t>
      </w:r>
      <w:r>
        <w:rPr>
          <w:w w:val="105"/>
        </w:rPr>
        <w:t>L</w:t>
      </w:r>
      <w:r>
        <w:rPr>
          <w:spacing w:val="-5"/>
        </w:rPr>
        <w:t> </w:t>
      </w:r>
      <w:r>
        <w:rPr>
          <w:w w:val="105"/>
        </w:rPr>
        <w:t>03</w:t>
      </w:r>
      <w:r>
        <w:rPr>
          <w:spacing w:val="-4"/>
        </w:rPr>
        <w:t> </w:t>
      </w:r>
      <w:r>
        <w:rPr>
          <w:w w:val="105"/>
        </w:rPr>
        <w:t>L</w:t>
      </w:r>
      <w:r>
        <w:rPr>
          <w:spacing w:val="1"/>
          <w:w w:val="96"/>
        </w:rPr>
        <w:t>O</w:t>
      </w:r>
      <w:r>
        <w:rPr>
          <w:w w:val="104"/>
        </w:rPr>
        <w:t>TE</w:t>
      </w:r>
      <w:r>
        <w:rPr>
          <w:spacing w:val="-5"/>
        </w:rPr>
        <w:t> </w:t>
      </w:r>
      <w:r>
        <w:rPr>
          <w:w w:val="105"/>
        </w:rPr>
        <w:t>07</w:t>
      </w:r>
      <w:r>
        <w:rPr>
          <w:spacing w:val="-4"/>
        </w:rPr>
        <w:t> </w:t>
      </w:r>
      <w:r>
        <w:rPr>
          <w:w w:val="106"/>
        </w:rPr>
        <w:t>R</w:t>
      </w:r>
      <w:r>
        <w:rPr>
          <w:spacing w:val="-1"/>
          <w:w w:val="108"/>
        </w:rPr>
        <w:t>I</w:t>
      </w:r>
      <w:r>
        <w:rPr>
          <w:w w:val="108"/>
        </w:rPr>
        <w:t>A</w:t>
      </w:r>
      <w:r>
        <w:rPr>
          <w:w w:val="93"/>
        </w:rPr>
        <w:t>C</w:t>
      </w:r>
      <w:r>
        <w:rPr>
          <w:w w:val="100"/>
        </w:rPr>
        <w:t>HO</w:t>
      </w:r>
      <w:r>
        <w:rPr>
          <w:spacing w:val="-6"/>
        </w:rPr>
        <w:t> </w:t>
      </w:r>
      <w:r>
        <w:rPr>
          <w:w w:val="101"/>
        </w:rPr>
        <w:t>F</w:t>
      </w:r>
      <w:r>
        <w:rPr>
          <w:w w:val="102"/>
        </w:rPr>
        <w:t>U</w:t>
      </w:r>
      <w:r>
        <w:rPr>
          <w:spacing w:val="1"/>
          <w:w w:val="102"/>
        </w:rPr>
        <w:t>N</w:t>
      </w:r>
      <w:r>
        <w:rPr>
          <w:w w:val="101"/>
        </w:rPr>
        <w:t>DO</w:t>
      </w:r>
      <w:r>
        <w:rPr>
          <w:spacing w:val="-4"/>
        </w:rPr>
        <w:t> </w:t>
      </w:r>
      <w:r>
        <w:rPr>
          <w:w w:val="116"/>
        </w:rPr>
        <w:t>I</w:t>
      </w:r>
      <w:r>
        <w:rPr>
          <w:spacing w:val="4"/>
        </w:rPr>
        <w:t> </w:t>
      </w:r>
      <w:r>
        <w:rPr>
          <w:w w:val="90"/>
        </w:rPr>
        <w:t>-</w:t>
      </w:r>
      <w:r>
        <w:rPr>
          <w:spacing w:val="-2"/>
        </w:rPr>
        <w:t> </w:t>
      </w:r>
      <w:r>
        <w:rPr>
          <w:spacing w:val="2"/>
          <w:w w:val="105"/>
        </w:rPr>
        <w:t>Á</w:t>
      </w:r>
      <w:r>
        <w:rPr>
          <w:spacing w:val="-1"/>
          <w:w w:val="105"/>
        </w:rPr>
        <w:t>r</w:t>
      </w:r>
      <w:r>
        <w:rPr>
          <w:spacing w:val="-2"/>
          <w:w w:val="89"/>
        </w:rPr>
        <w:t>e</w:t>
      </w:r>
      <w:r>
        <w:rPr>
          <w:w w:val="92"/>
        </w:rPr>
        <w:t>a</w:t>
      </w:r>
      <w:r>
        <w:rPr>
          <w:spacing w:val="-4"/>
        </w:rPr>
        <w:t> </w:t>
      </w:r>
      <w:r>
        <w:rPr>
          <w:w w:val="90"/>
        </w:rPr>
        <w:t>-</w:t>
      </w:r>
      <w:r>
        <w:rPr>
          <w:spacing w:val="-1"/>
        </w:rPr>
        <w:t> </w:t>
      </w:r>
      <w:r>
        <w:rPr>
          <w:w w:val="99"/>
        </w:rPr>
        <w:t>225,0</w:t>
      </w:r>
      <w:r>
        <w:rPr>
          <w:spacing w:val="2"/>
          <w:w w:val="99"/>
        </w:rPr>
        <w:t>0</w:t>
      </w:r>
      <w:r>
        <w:rPr>
          <w:w w:val="90"/>
        </w:rPr>
        <w:t>m²;</w:t>
      </w:r>
      <w:r>
        <w:rPr>
          <w:spacing w:val="-3"/>
        </w:rPr>
        <w:t> </w:t>
      </w:r>
      <w:r>
        <w:rPr>
          <w:spacing w:val="-1"/>
          <w:w w:val="101"/>
        </w:rPr>
        <w:t>Q</w:t>
      </w:r>
      <w:r>
        <w:rPr>
          <w:w w:val="101"/>
        </w:rPr>
        <w:t>E</w:t>
      </w:r>
      <w:r>
        <w:rPr>
          <w:spacing w:val="-6"/>
        </w:rPr>
        <w:t> </w:t>
      </w:r>
      <w:r>
        <w:rPr>
          <w:w w:val="105"/>
        </w:rPr>
        <w:t>20</w:t>
      </w:r>
      <w:r>
        <w:rPr>
          <w:spacing w:val="-4"/>
        </w:rPr>
        <w:t> </w:t>
      </w:r>
      <w:r>
        <w:rPr>
          <w:w w:val="105"/>
        </w:rPr>
        <w:t>L</w:t>
      </w:r>
      <w:r>
        <w:rPr>
          <w:spacing w:val="-1"/>
          <w:w w:val="98"/>
        </w:rPr>
        <w:t>O</w:t>
      </w:r>
      <w:r>
        <w:rPr>
          <w:spacing w:val="1"/>
          <w:w w:val="98"/>
        </w:rPr>
        <w:t>T</w:t>
      </w:r>
      <w:r>
        <w:rPr>
          <w:w w:val="106"/>
        </w:rPr>
        <w:t>E</w:t>
      </w:r>
      <w:r>
        <w:rPr>
          <w:spacing w:val="-5"/>
        </w:rPr>
        <w:t> </w:t>
      </w:r>
      <w:r>
        <w:rPr>
          <w:w w:val="114"/>
        </w:rPr>
        <w:t>M</w:t>
      </w:r>
      <w:r>
        <w:rPr>
          <w:w w:val="55"/>
        </w:rPr>
        <w:t>, </w:t>
      </w:r>
      <w:r>
        <w:rPr/>
        <w:t>GUARÁ</w:t>
      </w:r>
      <w:r>
        <w:rPr>
          <w:spacing w:val="-21"/>
        </w:rPr>
        <w:t> </w:t>
      </w:r>
      <w:r>
        <w:rPr/>
        <w:t>-</w:t>
      </w:r>
      <w:r>
        <w:rPr>
          <w:spacing w:val="20"/>
        </w:rPr>
        <w:t> </w:t>
      </w:r>
      <w:r>
        <w:rPr/>
        <w:t>ÁREA</w:t>
      </w:r>
      <w:r>
        <w:rPr>
          <w:spacing w:val="-21"/>
        </w:rPr>
        <w:t> </w:t>
      </w:r>
      <w:r>
        <w:rPr/>
        <w:t>-</w:t>
      </w:r>
      <w:r>
        <w:rPr>
          <w:spacing w:val="-20"/>
        </w:rPr>
        <w:t> </w:t>
      </w:r>
      <w:r>
        <w:rPr/>
        <w:t>1200,00M²</w:t>
      </w:r>
      <w:r>
        <w:rPr>
          <w:spacing w:val="-19"/>
        </w:rPr>
        <w:t> </w:t>
      </w:r>
      <w:r>
        <w:rPr/>
        <w:t>e</w:t>
      </w:r>
      <w:r>
        <w:rPr>
          <w:spacing w:val="-20"/>
        </w:rPr>
        <w:t> </w:t>
      </w:r>
      <w:r>
        <w:rPr/>
        <w:t>SHIS</w:t>
      </w:r>
      <w:r>
        <w:rPr>
          <w:spacing w:val="-20"/>
        </w:rPr>
        <w:t> </w:t>
      </w:r>
      <w:r>
        <w:rPr/>
        <w:t>QI</w:t>
      </w:r>
      <w:r>
        <w:rPr>
          <w:spacing w:val="-20"/>
        </w:rPr>
        <w:t> </w:t>
      </w:r>
      <w:r>
        <w:rPr/>
        <w:t>13,</w:t>
      </w:r>
      <w:r>
        <w:rPr>
          <w:spacing w:val="-22"/>
        </w:rPr>
        <w:t> </w:t>
      </w:r>
      <w:r>
        <w:rPr/>
        <w:t>LOTE</w:t>
      </w:r>
      <w:r>
        <w:rPr>
          <w:spacing w:val="-21"/>
        </w:rPr>
        <w:t> </w:t>
      </w:r>
      <w:r>
        <w:rPr/>
        <w:t>G,</w:t>
      </w:r>
      <w:r>
        <w:rPr>
          <w:spacing w:val="-21"/>
        </w:rPr>
        <w:t> </w:t>
      </w:r>
      <w:r>
        <w:rPr/>
        <w:t>LAGO</w:t>
      </w:r>
      <w:r>
        <w:rPr>
          <w:spacing w:val="-19"/>
        </w:rPr>
        <w:t> </w:t>
      </w:r>
      <w:r>
        <w:rPr/>
        <w:t>SUL</w:t>
      </w:r>
      <w:r>
        <w:rPr>
          <w:spacing w:val="-21"/>
        </w:rPr>
        <w:t> </w:t>
      </w:r>
      <w:r>
        <w:rPr/>
        <w:t>AREA</w:t>
      </w:r>
      <w:r>
        <w:rPr>
          <w:spacing w:val="-16"/>
        </w:rPr>
        <w:t> </w:t>
      </w:r>
      <w:r>
        <w:rPr/>
        <w:t>-</w:t>
      </w:r>
      <w:r>
        <w:rPr>
          <w:spacing w:val="-20"/>
        </w:rPr>
        <w:t> </w:t>
      </w:r>
      <w:r>
        <w:rPr/>
        <w:t>1600M².</w:t>
      </w:r>
      <w:r>
        <w:rPr>
          <w:spacing w:val="-19"/>
        </w:rPr>
        <w:t> </w:t>
      </w:r>
      <w:r>
        <w:rPr/>
        <w:t>O</w:t>
      </w:r>
      <w:r>
        <w:rPr>
          <w:spacing w:val="-22"/>
        </w:rPr>
        <w:t> </w:t>
      </w:r>
      <w:r>
        <w:rPr/>
        <w:t>valor</w:t>
      </w:r>
      <w:r>
        <w:rPr>
          <w:spacing w:val="-20"/>
        </w:rPr>
        <w:t> </w:t>
      </w:r>
      <w:r>
        <w:rPr/>
        <w:t>arrecadado</w:t>
      </w:r>
      <w:r>
        <w:rPr>
          <w:spacing w:val="-20"/>
        </w:rPr>
        <w:t> </w:t>
      </w:r>
      <w:r>
        <w:rPr/>
        <w:t>foi</w:t>
      </w:r>
      <w:r>
        <w:rPr>
          <w:spacing w:val="-20"/>
        </w:rPr>
        <w:t> </w:t>
      </w:r>
      <w:r>
        <w:rPr/>
        <w:t>de</w:t>
      </w:r>
      <w:r>
        <w:rPr>
          <w:spacing w:val="-21"/>
        </w:rPr>
        <w:t> </w:t>
      </w:r>
      <w:r>
        <w:rPr/>
        <w:t>R$</w:t>
      </w:r>
      <w:r>
        <w:rPr>
          <w:spacing w:val="-21"/>
        </w:rPr>
        <w:t> </w:t>
      </w:r>
      <w:r>
        <w:rPr/>
        <w:t>10.562.</w:t>
      </w:r>
    </w:p>
    <w:p>
      <w:pPr>
        <w:pStyle w:val="BodyText"/>
        <w:spacing w:line="242" w:lineRule="auto" w:before="120"/>
        <w:ind w:left="192" w:right="608"/>
        <w:jc w:val="both"/>
      </w:pPr>
      <w:r>
        <w:rPr/>
        <w:t>Encontra-se</w:t>
      </w:r>
      <w:r>
        <w:rPr>
          <w:spacing w:val="-12"/>
        </w:rPr>
        <w:t> </w:t>
      </w:r>
      <w:r>
        <w:rPr/>
        <w:t>agendada</w:t>
      </w:r>
      <w:r>
        <w:rPr>
          <w:spacing w:val="-7"/>
        </w:rPr>
        <w:t> </w:t>
      </w:r>
      <w:r>
        <w:rPr/>
        <w:t>para</w:t>
      </w:r>
      <w:r>
        <w:rPr>
          <w:spacing w:val="-7"/>
        </w:rPr>
        <w:t> </w:t>
      </w:r>
      <w:r>
        <w:rPr/>
        <w:t>25</w:t>
      </w:r>
      <w:r>
        <w:rPr>
          <w:spacing w:val="-10"/>
        </w:rPr>
        <w:t> </w:t>
      </w:r>
      <w:r>
        <w:rPr/>
        <w:t>de</w:t>
      </w:r>
      <w:r>
        <w:rPr>
          <w:spacing w:val="-8"/>
        </w:rPr>
        <w:t> </w:t>
      </w:r>
      <w:r>
        <w:rPr/>
        <w:t>março</w:t>
      </w:r>
      <w:r>
        <w:rPr>
          <w:spacing w:val="-8"/>
        </w:rPr>
        <w:t> </w:t>
      </w:r>
      <w:r>
        <w:rPr/>
        <w:t>de</w:t>
      </w:r>
      <w:r>
        <w:rPr>
          <w:spacing w:val="-6"/>
        </w:rPr>
        <w:t> </w:t>
      </w:r>
      <w:r>
        <w:rPr/>
        <w:t>2020,</w:t>
      </w:r>
      <w:r>
        <w:rPr>
          <w:spacing w:val="-8"/>
        </w:rPr>
        <w:t> </w:t>
      </w:r>
      <w:r>
        <w:rPr/>
        <w:t>a</w:t>
      </w:r>
      <w:r>
        <w:rPr>
          <w:spacing w:val="-9"/>
        </w:rPr>
        <w:t> </w:t>
      </w:r>
      <w:r>
        <w:rPr/>
        <w:t>licitação</w:t>
      </w:r>
      <w:r>
        <w:rPr>
          <w:spacing w:val="-10"/>
        </w:rPr>
        <w:t> </w:t>
      </w:r>
      <w:r>
        <w:rPr/>
        <w:t>para</w:t>
      </w:r>
      <w:r>
        <w:rPr>
          <w:spacing w:val="-8"/>
        </w:rPr>
        <w:t> </w:t>
      </w:r>
      <w:r>
        <w:rPr/>
        <w:t>alienar</w:t>
      </w:r>
      <w:r>
        <w:rPr>
          <w:spacing w:val="-11"/>
        </w:rPr>
        <w:t> </w:t>
      </w:r>
      <w:r>
        <w:rPr/>
        <w:t>o</w:t>
      </w:r>
      <w:r>
        <w:rPr>
          <w:spacing w:val="-7"/>
        </w:rPr>
        <w:t> </w:t>
      </w:r>
      <w:r>
        <w:rPr/>
        <w:t>TERRENO</w:t>
      </w:r>
      <w:r>
        <w:rPr>
          <w:spacing w:val="-10"/>
        </w:rPr>
        <w:t> </w:t>
      </w:r>
      <w:r>
        <w:rPr/>
        <w:t>SITUADO</w:t>
      </w:r>
      <w:r>
        <w:rPr>
          <w:spacing w:val="-9"/>
        </w:rPr>
        <w:t> </w:t>
      </w:r>
      <w:r>
        <w:rPr/>
        <w:t>NA</w:t>
      </w:r>
      <w:r>
        <w:rPr>
          <w:spacing w:val="-7"/>
        </w:rPr>
        <w:t> </w:t>
      </w:r>
      <w:r>
        <w:rPr/>
        <w:t>QI</w:t>
      </w:r>
      <w:r>
        <w:rPr>
          <w:spacing w:val="-11"/>
        </w:rPr>
        <w:t> </w:t>
      </w:r>
      <w:r>
        <w:rPr/>
        <w:t>10</w:t>
      </w:r>
      <w:r>
        <w:rPr>
          <w:spacing w:val="-5"/>
        </w:rPr>
        <w:t> </w:t>
      </w:r>
      <w:r>
        <w:rPr/>
        <w:t>-</w:t>
      </w:r>
      <w:r>
        <w:rPr>
          <w:spacing w:val="-7"/>
        </w:rPr>
        <w:t> </w:t>
      </w:r>
      <w:r>
        <w:rPr/>
        <w:t>SETOR INDUSTRIAL</w:t>
      </w:r>
      <w:r>
        <w:rPr>
          <w:spacing w:val="-17"/>
        </w:rPr>
        <w:t> </w:t>
      </w:r>
      <w:r>
        <w:rPr/>
        <w:t>DE</w:t>
      </w:r>
      <w:r>
        <w:rPr>
          <w:spacing w:val="-17"/>
        </w:rPr>
        <w:t> </w:t>
      </w:r>
      <w:r>
        <w:rPr/>
        <w:t>TAGUATINGA,</w:t>
      </w:r>
      <w:r>
        <w:rPr>
          <w:spacing w:val="-18"/>
        </w:rPr>
        <w:t> </w:t>
      </w:r>
      <w:r>
        <w:rPr/>
        <w:t>no</w:t>
      </w:r>
      <w:r>
        <w:rPr>
          <w:spacing w:val="-18"/>
        </w:rPr>
        <w:t> </w:t>
      </w:r>
      <w:r>
        <w:rPr/>
        <w:t>valor</w:t>
      </w:r>
      <w:r>
        <w:rPr>
          <w:spacing w:val="-16"/>
        </w:rPr>
        <w:t> </w:t>
      </w:r>
      <w:r>
        <w:rPr/>
        <w:t>mínimo</w:t>
      </w:r>
      <w:r>
        <w:rPr>
          <w:spacing w:val="-16"/>
        </w:rPr>
        <w:t> </w:t>
      </w:r>
      <w:r>
        <w:rPr/>
        <w:t>R$</w:t>
      </w:r>
      <w:r>
        <w:rPr>
          <w:spacing w:val="-17"/>
        </w:rPr>
        <w:t> </w:t>
      </w:r>
      <w:r>
        <w:rPr/>
        <w:t>26.641.</w:t>
      </w:r>
    </w:p>
    <w:p>
      <w:pPr>
        <w:pStyle w:val="BodyText"/>
        <w:spacing w:line="242" w:lineRule="auto" w:before="119"/>
        <w:ind w:left="192" w:right="606"/>
        <w:jc w:val="both"/>
      </w:pPr>
      <w:r>
        <w:rPr/>
        <w:t>Foram</w:t>
      </w:r>
      <w:r>
        <w:rPr>
          <w:spacing w:val="-46"/>
        </w:rPr>
        <w:t> </w:t>
      </w:r>
      <w:r>
        <w:rPr/>
        <w:t>realizados</w:t>
      </w:r>
      <w:r>
        <w:rPr>
          <w:spacing w:val="-45"/>
        </w:rPr>
        <w:t> </w:t>
      </w:r>
      <w:r>
        <w:rPr/>
        <w:t>05</w:t>
      </w:r>
      <w:r>
        <w:rPr>
          <w:spacing w:val="-46"/>
        </w:rPr>
        <w:t> </w:t>
      </w:r>
      <w:r>
        <w:rPr/>
        <w:t>certames</w:t>
      </w:r>
      <w:r>
        <w:rPr>
          <w:spacing w:val="-45"/>
        </w:rPr>
        <w:t> </w:t>
      </w:r>
      <w:r>
        <w:rPr/>
        <w:t>licitatórios</w:t>
      </w:r>
      <w:r>
        <w:rPr>
          <w:spacing w:val="-45"/>
        </w:rPr>
        <w:t> </w:t>
      </w:r>
      <w:r>
        <w:rPr/>
        <w:t>para</w:t>
      </w:r>
      <w:r>
        <w:rPr>
          <w:spacing w:val="-45"/>
        </w:rPr>
        <w:t> </w:t>
      </w:r>
      <w:r>
        <w:rPr/>
        <w:t>alienação</w:t>
      </w:r>
      <w:r>
        <w:rPr>
          <w:spacing w:val="-46"/>
        </w:rPr>
        <w:t> </w:t>
      </w:r>
      <w:r>
        <w:rPr/>
        <w:t>de</w:t>
      </w:r>
      <w:r>
        <w:rPr>
          <w:spacing w:val="-45"/>
        </w:rPr>
        <w:t> </w:t>
      </w:r>
      <w:r>
        <w:rPr/>
        <w:t>bens</w:t>
      </w:r>
      <w:r>
        <w:rPr>
          <w:spacing w:val="-44"/>
        </w:rPr>
        <w:t> </w:t>
      </w:r>
      <w:r>
        <w:rPr/>
        <w:t>móveis</w:t>
      </w:r>
      <w:r>
        <w:rPr>
          <w:spacing w:val="-45"/>
        </w:rPr>
        <w:t> </w:t>
      </w:r>
      <w:r>
        <w:rPr/>
        <w:t>inservíveis</w:t>
      </w:r>
      <w:r>
        <w:rPr>
          <w:spacing w:val="-46"/>
        </w:rPr>
        <w:t> </w:t>
      </w:r>
      <w:r>
        <w:rPr/>
        <w:t>(veículos,</w:t>
      </w:r>
      <w:r>
        <w:rPr>
          <w:spacing w:val="-45"/>
        </w:rPr>
        <w:t> </w:t>
      </w:r>
      <w:r>
        <w:rPr/>
        <w:t>sucatas,</w:t>
      </w:r>
      <w:r>
        <w:rPr>
          <w:spacing w:val="-45"/>
        </w:rPr>
        <w:t> </w:t>
      </w:r>
      <w:r>
        <w:rPr/>
        <w:t>entre</w:t>
      </w:r>
      <w:r>
        <w:rPr>
          <w:spacing w:val="-45"/>
        </w:rPr>
        <w:t> </w:t>
      </w:r>
      <w:r>
        <w:rPr/>
        <w:t>outros). </w:t>
      </w:r>
      <w:r>
        <w:rPr>
          <w:w w:val="96"/>
        </w:rPr>
        <w:t>O</w:t>
      </w:r>
      <w:r>
        <w:rPr>
          <w:spacing w:val="-18"/>
        </w:rPr>
        <w:t> </w:t>
      </w:r>
      <w:r>
        <w:rPr>
          <w:spacing w:val="1"/>
          <w:w w:val="99"/>
        </w:rPr>
        <w:t>p</w:t>
      </w:r>
      <w:r>
        <w:rPr>
          <w:spacing w:val="-1"/>
          <w:w w:val="105"/>
        </w:rPr>
        <w:t>r</w:t>
      </w:r>
      <w:r>
        <w:rPr>
          <w:w w:val="96"/>
        </w:rPr>
        <w:t>odu</w:t>
      </w:r>
      <w:r>
        <w:rPr>
          <w:spacing w:val="2"/>
          <w:w w:val="96"/>
        </w:rPr>
        <w:t>t</w:t>
      </w:r>
      <w:r>
        <w:rPr>
          <w:w w:val="98"/>
        </w:rPr>
        <w:t>o</w:t>
      </w:r>
      <w:r>
        <w:rPr>
          <w:spacing w:val="-18"/>
        </w:rPr>
        <w:t> </w:t>
      </w:r>
      <w:r>
        <w:rPr>
          <w:w w:val="95"/>
        </w:rPr>
        <w:t>da</w:t>
      </w:r>
      <w:r>
        <w:rPr>
          <w:spacing w:val="-17"/>
        </w:rPr>
        <w:t> </w:t>
      </w:r>
      <w:r>
        <w:rPr>
          <w:w w:val="92"/>
        </w:rPr>
        <w:t>a</w:t>
      </w:r>
      <w:r>
        <w:rPr>
          <w:spacing w:val="1"/>
          <w:w w:val="105"/>
        </w:rPr>
        <w:t>r</w:t>
      </w:r>
      <w:r>
        <w:rPr>
          <w:w w:val="105"/>
        </w:rPr>
        <w:t>r</w:t>
      </w:r>
      <w:r>
        <w:rPr>
          <w:spacing w:val="-2"/>
          <w:w w:val="89"/>
        </w:rPr>
        <w:t>e</w:t>
      </w:r>
      <w:r>
        <w:rPr>
          <w:w w:val="88"/>
        </w:rPr>
        <w:t>c</w:t>
      </w:r>
      <w:r>
        <w:rPr>
          <w:w w:val="92"/>
        </w:rPr>
        <w:t>a</w:t>
      </w:r>
      <w:r>
        <w:rPr>
          <w:w w:val="95"/>
        </w:rPr>
        <w:t>da</w:t>
      </w:r>
      <w:r>
        <w:rPr>
          <w:w w:val="88"/>
        </w:rPr>
        <w:t>ç</w:t>
      </w:r>
      <w:r>
        <w:rPr>
          <w:w w:val="92"/>
        </w:rPr>
        <w:t>ã</w:t>
      </w:r>
      <w:r>
        <w:rPr>
          <w:w w:val="98"/>
        </w:rPr>
        <w:t>o</w:t>
      </w:r>
      <w:r>
        <w:rPr>
          <w:spacing w:val="-18"/>
        </w:rPr>
        <w:t> </w:t>
      </w:r>
      <w:r>
        <w:rPr>
          <w:w w:val="91"/>
        </w:rPr>
        <w:t>f</w:t>
      </w:r>
      <w:r>
        <w:rPr>
          <w:spacing w:val="1"/>
          <w:w w:val="91"/>
        </w:rPr>
        <w:t>o</w:t>
      </w:r>
      <w:r>
        <w:rPr>
          <w:w w:val="97"/>
        </w:rPr>
        <w:t>i</w:t>
      </w:r>
      <w:r>
        <w:rPr>
          <w:spacing w:val="-18"/>
        </w:rPr>
        <w:t> </w:t>
      </w:r>
      <w:r>
        <w:rPr>
          <w:w w:val="94"/>
        </w:rPr>
        <w:t>de</w:t>
      </w:r>
      <w:r>
        <w:rPr>
          <w:spacing w:val="-15"/>
        </w:rPr>
        <w:t> </w:t>
      </w:r>
      <w:r>
        <w:rPr>
          <w:w w:val="106"/>
        </w:rPr>
        <w:t>R</w:t>
      </w:r>
      <w:r>
        <w:rPr>
          <w:w w:val="96"/>
        </w:rPr>
        <w:t>$</w:t>
      </w:r>
      <w:r>
        <w:rPr>
          <w:spacing w:val="-17"/>
        </w:rPr>
        <w:t> </w:t>
      </w:r>
      <w:r>
        <w:rPr>
          <w:w w:val="92"/>
        </w:rPr>
        <w:t>8,7</w:t>
      </w:r>
      <w:r>
        <w:rPr>
          <w:spacing w:val="-15"/>
        </w:rPr>
        <w:t> </w:t>
      </w:r>
      <w:r>
        <w:rPr>
          <w:w w:val="97"/>
        </w:rPr>
        <w:t>mil</w:t>
      </w:r>
      <w:r>
        <w:rPr>
          <w:w w:val="99"/>
        </w:rPr>
        <w:t>h</w:t>
      </w:r>
      <w:r>
        <w:rPr>
          <w:spacing w:val="2"/>
          <w:w w:val="99"/>
        </w:rPr>
        <w:t>õ</w:t>
      </w:r>
      <w:r>
        <w:rPr>
          <w:spacing w:val="-2"/>
          <w:w w:val="89"/>
        </w:rPr>
        <w:t>e</w:t>
      </w:r>
      <w:r>
        <w:rPr>
          <w:w w:val="105"/>
        </w:rPr>
        <w:t>s</w:t>
      </w:r>
      <w:r>
        <w:rPr>
          <w:spacing w:val="-17"/>
        </w:rPr>
        <w:t> </w:t>
      </w:r>
      <w:r>
        <w:rPr>
          <w:spacing w:val="2"/>
          <w:w w:val="99"/>
        </w:rPr>
        <w:t>d</w:t>
      </w:r>
      <w:r>
        <w:rPr>
          <w:w w:val="89"/>
        </w:rPr>
        <w:t>e</w:t>
      </w:r>
      <w:r>
        <w:rPr>
          <w:spacing w:val="-16"/>
        </w:rPr>
        <w:t> </w:t>
      </w:r>
      <w:r>
        <w:rPr>
          <w:spacing w:val="-1"/>
          <w:w w:val="105"/>
        </w:rPr>
        <w:t>r</w:t>
      </w:r>
      <w:r>
        <w:rPr>
          <w:spacing w:val="-2"/>
          <w:w w:val="89"/>
        </w:rPr>
        <w:t>e</w:t>
      </w:r>
      <w:r>
        <w:rPr>
          <w:w w:val="92"/>
        </w:rPr>
        <w:t>a</w:t>
      </w:r>
      <w:r>
        <w:rPr>
          <w:w w:val="85"/>
        </w:rPr>
        <w:t>is,</w:t>
      </w:r>
      <w:r>
        <w:rPr>
          <w:spacing w:val="-14"/>
        </w:rPr>
        <w:t> </w:t>
      </w:r>
      <w:r>
        <w:rPr>
          <w:w w:val="98"/>
        </w:rPr>
        <w:t>o</w:t>
      </w:r>
      <w:r>
        <w:rPr>
          <w:spacing w:val="-2"/>
          <w:w w:val="98"/>
        </w:rPr>
        <w:t>b</w:t>
      </w:r>
      <w:r>
        <w:rPr>
          <w:spacing w:val="1"/>
          <w:w w:val="85"/>
        </w:rPr>
        <w:t>t</w:t>
      </w:r>
      <w:r>
        <w:rPr>
          <w:spacing w:val="-2"/>
          <w:w w:val="89"/>
        </w:rPr>
        <w:t>e</w:t>
      </w:r>
      <w:r>
        <w:rPr>
          <w:spacing w:val="-1"/>
          <w:w w:val="101"/>
        </w:rPr>
        <w:t>n</w:t>
      </w:r>
      <w:r>
        <w:rPr>
          <w:spacing w:val="2"/>
          <w:w w:val="99"/>
        </w:rPr>
        <w:t>d</w:t>
      </w:r>
      <w:r>
        <w:rPr>
          <w:w w:val="98"/>
        </w:rPr>
        <w:t>o</w:t>
      </w:r>
      <w:r>
        <w:rPr>
          <w:spacing w:val="-17"/>
        </w:rPr>
        <w:t> </w:t>
      </w:r>
      <w:r>
        <w:rPr>
          <w:w w:val="92"/>
        </w:rPr>
        <w:t>á</w:t>
      </w:r>
      <w:r>
        <w:rPr>
          <w:spacing w:val="-1"/>
          <w:w w:val="98"/>
        </w:rPr>
        <w:t>gi</w:t>
      </w:r>
      <w:r>
        <w:rPr>
          <w:w w:val="98"/>
        </w:rPr>
        <w:t>o</w:t>
      </w:r>
      <w:r>
        <w:rPr>
          <w:spacing w:val="-16"/>
        </w:rPr>
        <w:t> </w:t>
      </w:r>
      <w:r>
        <w:rPr>
          <w:spacing w:val="2"/>
          <w:w w:val="99"/>
        </w:rPr>
        <w:t>d</w:t>
      </w:r>
      <w:r>
        <w:rPr>
          <w:w w:val="89"/>
        </w:rPr>
        <w:t>e</w:t>
      </w:r>
      <w:r>
        <w:rPr>
          <w:spacing w:val="-19"/>
        </w:rPr>
        <w:t> </w:t>
      </w:r>
      <w:r>
        <w:rPr>
          <w:w w:val="116"/>
        </w:rPr>
        <w:t>108</w:t>
      </w:r>
      <w:r>
        <w:rPr>
          <w:spacing w:val="2"/>
          <w:w w:val="116"/>
        </w:rPr>
        <w:t>%</w:t>
      </w:r>
      <w:r>
        <w:rPr>
          <w:w w:val="55"/>
        </w:rPr>
        <w:t>.</w:t>
      </w:r>
    </w:p>
    <w:p>
      <w:pPr>
        <w:pStyle w:val="BodyText"/>
        <w:spacing w:before="7"/>
      </w:pPr>
    </w:p>
    <w:p>
      <w:pPr>
        <w:spacing w:before="0"/>
        <w:ind w:left="192" w:right="0" w:firstLine="0"/>
        <w:jc w:val="left"/>
        <w:rPr>
          <w:rFonts w:ascii="Caladea" w:hAnsi="Caladea"/>
          <w:b/>
          <w:sz w:val="20"/>
        </w:rPr>
      </w:pPr>
      <w:r>
        <w:rPr>
          <w:rFonts w:ascii="Caladea" w:hAnsi="Caladea"/>
          <w:b/>
          <w:sz w:val="20"/>
        </w:rPr>
        <w:t>Redução de despesas com Pessoal</w:t>
      </w:r>
    </w:p>
    <w:p>
      <w:pPr>
        <w:pStyle w:val="BodyText"/>
        <w:spacing w:before="1"/>
        <w:rPr>
          <w:rFonts w:ascii="Caladea"/>
          <w:b/>
        </w:rPr>
      </w:pPr>
    </w:p>
    <w:p>
      <w:pPr>
        <w:pStyle w:val="BodyText"/>
        <w:spacing w:before="1"/>
        <w:ind w:left="192"/>
        <w:jc w:val="both"/>
      </w:pPr>
      <w:r>
        <w:rPr/>
        <w:t>As iniciativas relacionadas à rubrica de Pessoal que ilustram a atenção com essa despesa estão listadas a seguir:</w:t>
      </w:r>
    </w:p>
    <w:p>
      <w:pPr>
        <w:pStyle w:val="BodyText"/>
        <w:spacing w:before="2"/>
      </w:pPr>
    </w:p>
    <w:p>
      <w:pPr>
        <w:pStyle w:val="ListParagraph"/>
        <w:numPr>
          <w:ilvl w:val="0"/>
          <w:numId w:val="13"/>
        </w:numPr>
        <w:tabs>
          <w:tab w:pos="914" w:val="left" w:leader="none"/>
        </w:tabs>
        <w:spacing w:line="276" w:lineRule="auto" w:before="0" w:after="0"/>
        <w:ind w:left="913" w:right="615" w:hanging="360"/>
        <w:jc w:val="both"/>
        <w:rPr>
          <w:sz w:val="20"/>
        </w:rPr>
      </w:pPr>
      <w:r>
        <w:rPr>
          <w:sz w:val="20"/>
        </w:rPr>
        <w:t>Efetivação</w:t>
      </w:r>
      <w:r>
        <w:rPr>
          <w:spacing w:val="-33"/>
          <w:sz w:val="20"/>
        </w:rPr>
        <w:t> </w:t>
      </w:r>
      <w:r>
        <w:rPr>
          <w:sz w:val="20"/>
        </w:rPr>
        <w:t>da</w:t>
      </w:r>
      <w:r>
        <w:rPr>
          <w:spacing w:val="-32"/>
          <w:sz w:val="20"/>
        </w:rPr>
        <w:t> </w:t>
      </w:r>
      <w:r>
        <w:rPr>
          <w:sz w:val="20"/>
        </w:rPr>
        <w:t>Política</w:t>
      </w:r>
      <w:r>
        <w:rPr>
          <w:spacing w:val="-32"/>
          <w:sz w:val="20"/>
        </w:rPr>
        <w:t> </w:t>
      </w:r>
      <w:r>
        <w:rPr>
          <w:sz w:val="20"/>
        </w:rPr>
        <w:t>de</w:t>
      </w:r>
      <w:r>
        <w:rPr>
          <w:spacing w:val="-34"/>
          <w:sz w:val="20"/>
        </w:rPr>
        <w:t> </w:t>
      </w:r>
      <w:r>
        <w:rPr>
          <w:sz w:val="20"/>
        </w:rPr>
        <w:t>Desligamento</w:t>
      </w:r>
      <w:r>
        <w:rPr>
          <w:spacing w:val="-32"/>
          <w:sz w:val="20"/>
        </w:rPr>
        <w:t> </w:t>
      </w:r>
      <w:r>
        <w:rPr>
          <w:spacing w:val="2"/>
          <w:sz w:val="20"/>
        </w:rPr>
        <w:t>dos</w:t>
      </w:r>
      <w:r>
        <w:rPr>
          <w:spacing w:val="-32"/>
          <w:sz w:val="20"/>
        </w:rPr>
        <w:t> </w:t>
      </w:r>
      <w:r>
        <w:rPr>
          <w:sz w:val="20"/>
        </w:rPr>
        <w:t>aposentáveis,</w:t>
      </w:r>
      <w:r>
        <w:rPr>
          <w:spacing w:val="-33"/>
          <w:sz w:val="20"/>
        </w:rPr>
        <w:t> </w:t>
      </w:r>
      <w:r>
        <w:rPr>
          <w:sz w:val="20"/>
        </w:rPr>
        <w:t>com</w:t>
      </w:r>
      <w:r>
        <w:rPr>
          <w:spacing w:val="-33"/>
          <w:sz w:val="20"/>
        </w:rPr>
        <w:t> </w:t>
      </w:r>
      <w:r>
        <w:rPr>
          <w:sz w:val="20"/>
        </w:rPr>
        <w:t>diminuição</w:t>
      </w:r>
      <w:r>
        <w:rPr>
          <w:spacing w:val="-32"/>
          <w:sz w:val="20"/>
        </w:rPr>
        <w:t> </w:t>
      </w:r>
      <w:r>
        <w:rPr>
          <w:sz w:val="20"/>
        </w:rPr>
        <w:t>anual</w:t>
      </w:r>
      <w:r>
        <w:rPr>
          <w:spacing w:val="-32"/>
          <w:sz w:val="20"/>
        </w:rPr>
        <w:t> </w:t>
      </w:r>
      <w:r>
        <w:rPr>
          <w:sz w:val="20"/>
        </w:rPr>
        <w:t>relevante;</w:t>
      </w:r>
      <w:r>
        <w:rPr>
          <w:spacing w:val="-33"/>
          <w:sz w:val="20"/>
        </w:rPr>
        <w:t> </w:t>
      </w:r>
      <w:r>
        <w:rPr>
          <w:sz w:val="20"/>
        </w:rPr>
        <w:t>considerando</w:t>
      </w:r>
      <w:r>
        <w:rPr>
          <w:spacing w:val="-33"/>
          <w:sz w:val="20"/>
        </w:rPr>
        <w:t> </w:t>
      </w:r>
      <w:r>
        <w:rPr>
          <w:sz w:val="20"/>
        </w:rPr>
        <w:t>a reposição</w:t>
      </w:r>
      <w:r>
        <w:rPr>
          <w:spacing w:val="-41"/>
          <w:sz w:val="20"/>
        </w:rPr>
        <w:t> </w:t>
      </w:r>
      <w:r>
        <w:rPr>
          <w:sz w:val="20"/>
        </w:rPr>
        <w:t>dos</w:t>
      </w:r>
      <w:r>
        <w:rPr>
          <w:spacing w:val="-40"/>
          <w:sz w:val="20"/>
        </w:rPr>
        <w:t> </w:t>
      </w:r>
      <w:r>
        <w:rPr>
          <w:sz w:val="20"/>
        </w:rPr>
        <w:t>empregados</w:t>
      </w:r>
      <w:r>
        <w:rPr>
          <w:spacing w:val="-40"/>
          <w:sz w:val="20"/>
        </w:rPr>
        <w:t> </w:t>
      </w:r>
      <w:r>
        <w:rPr>
          <w:sz w:val="20"/>
        </w:rPr>
        <w:t>desligados,</w:t>
      </w:r>
      <w:r>
        <w:rPr>
          <w:spacing w:val="-40"/>
          <w:sz w:val="20"/>
        </w:rPr>
        <w:t> </w:t>
      </w:r>
      <w:r>
        <w:rPr>
          <w:sz w:val="20"/>
        </w:rPr>
        <w:t>conforme</w:t>
      </w:r>
      <w:r>
        <w:rPr>
          <w:spacing w:val="-41"/>
          <w:sz w:val="20"/>
        </w:rPr>
        <w:t> </w:t>
      </w:r>
      <w:r>
        <w:rPr>
          <w:sz w:val="20"/>
        </w:rPr>
        <w:t>necessidade</w:t>
      </w:r>
      <w:r>
        <w:rPr>
          <w:spacing w:val="-41"/>
          <w:sz w:val="20"/>
        </w:rPr>
        <w:t> </w:t>
      </w:r>
      <w:r>
        <w:rPr>
          <w:sz w:val="20"/>
        </w:rPr>
        <w:t>da</w:t>
      </w:r>
      <w:r>
        <w:rPr>
          <w:spacing w:val="-41"/>
          <w:sz w:val="20"/>
        </w:rPr>
        <w:t> </w:t>
      </w:r>
      <w:r>
        <w:rPr>
          <w:sz w:val="20"/>
        </w:rPr>
        <w:t>Companhia,</w:t>
      </w:r>
      <w:r>
        <w:rPr>
          <w:spacing w:val="-41"/>
          <w:sz w:val="20"/>
        </w:rPr>
        <w:t> </w:t>
      </w:r>
      <w:r>
        <w:rPr>
          <w:sz w:val="20"/>
        </w:rPr>
        <w:t>baseada</w:t>
      </w:r>
      <w:r>
        <w:rPr>
          <w:spacing w:val="-40"/>
          <w:sz w:val="20"/>
        </w:rPr>
        <w:t> </w:t>
      </w:r>
      <w:r>
        <w:rPr>
          <w:sz w:val="20"/>
        </w:rPr>
        <w:t>em</w:t>
      </w:r>
      <w:r>
        <w:rPr>
          <w:spacing w:val="-41"/>
          <w:sz w:val="20"/>
        </w:rPr>
        <w:t> </w:t>
      </w:r>
      <w:r>
        <w:rPr>
          <w:sz w:val="20"/>
        </w:rPr>
        <w:t>análise</w:t>
      </w:r>
      <w:r>
        <w:rPr>
          <w:spacing w:val="-41"/>
          <w:sz w:val="20"/>
        </w:rPr>
        <w:t> </w:t>
      </w:r>
      <w:r>
        <w:rPr>
          <w:sz w:val="20"/>
        </w:rPr>
        <w:t>técnica</w:t>
      </w:r>
      <w:r>
        <w:rPr>
          <w:spacing w:val="-41"/>
          <w:sz w:val="20"/>
        </w:rPr>
        <w:t> </w:t>
      </w:r>
      <w:r>
        <w:rPr>
          <w:sz w:val="20"/>
        </w:rPr>
        <w:t>da Superintendência</w:t>
      </w:r>
      <w:r>
        <w:rPr>
          <w:spacing w:val="-18"/>
          <w:sz w:val="20"/>
        </w:rPr>
        <w:t> </w:t>
      </w:r>
      <w:r>
        <w:rPr>
          <w:sz w:val="20"/>
        </w:rPr>
        <w:t>de</w:t>
      </w:r>
      <w:r>
        <w:rPr>
          <w:spacing w:val="-19"/>
          <w:sz w:val="20"/>
        </w:rPr>
        <w:t> </w:t>
      </w:r>
      <w:r>
        <w:rPr>
          <w:sz w:val="20"/>
        </w:rPr>
        <w:t>Recursos</w:t>
      </w:r>
      <w:r>
        <w:rPr>
          <w:spacing w:val="-18"/>
          <w:sz w:val="20"/>
        </w:rPr>
        <w:t> </w:t>
      </w:r>
      <w:r>
        <w:rPr>
          <w:sz w:val="20"/>
        </w:rPr>
        <w:t>Humanos</w:t>
      </w:r>
      <w:r>
        <w:rPr>
          <w:spacing w:val="-12"/>
          <w:sz w:val="20"/>
        </w:rPr>
        <w:t> </w:t>
      </w:r>
      <w:r>
        <w:rPr>
          <w:w w:val="105"/>
          <w:sz w:val="20"/>
        </w:rPr>
        <w:t>–</w:t>
      </w:r>
      <w:r>
        <w:rPr>
          <w:spacing w:val="-20"/>
          <w:w w:val="105"/>
          <w:sz w:val="20"/>
        </w:rPr>
        <w:t> </w:t>
      </w:r>
      <w:r>
        <w:rPr>
          <w:sz w:val="20"/>
        </w:rPr>
        <w:t>SRH;</w:t>
      </w:r>
    </w:p>
    <w:p>
      <w:pPr>
        <w:pStyle w:val="ListParagraph"/>
        <w:numPr>
          <w:ilvl w:val="0"/>
          <w:numId w:val="13"/>
        </w:numPr>
        <w:tabs>
          <w:tab w:pos="914" w:val="left" w:leader="none"/>
        </w:tabs>
        <w:spacing w:line="276" w:lineRule="auto" w:before="2" w:after="0"/>
        <w:ind w:left="913" w:right="606" w:hanging="360"/>
        <w:jc w:val="both"/>
        <w:rPr>
          <w:sz w:val="20"/>
        </w:rPr>
      </w:pPr>
      <w:r>
        <w:rPr>
          <w:sz w:val="20"/>
        </w:rPr>
        <w:t>Inexistência</w:t>
      </w:r>
      <w:r>
        <w:rPr>
          <w:spacing w:val="-41"/>
          <w:sz w:val="20"/>
        </w:rPr>
        <w:t> </w:t>
      </w:r>
      <w:r>
        <w:rPr>
          <w:sz w:val="20"/>
        </w:rPr>
        <w:t>de</w:t>
      </w:r>
      <w:r>
        <w:rPr>
          <w:spacing w:val="-41"/>
          <w:sz w:val="20"/>
        </w:rPr>
        <w:t> </w:t>
      </w:r>
      <w:r>
        <w:rPr>
          <w:sz w:val="20"/>
        </w:rPr>
        <w:t>reajuste</w:t>
      </w:r>
      <w:r>
        <w:rPr>
          <w:spacing w:val="-40"/>
          <w:sz w:val="20"/>
        </w:rPr>
        <w:t> </w:t>
      </w:r>
      <w:r>
        <w:rPr>
          <w:sz w:val="20"/>
        </w:rPr>
        <w:t>real</w:t>
      </w:r>
      <w:r>
        <w:rPr>
          <w:spacing w:val="-40"/>
          <w:sz w:val="20"/>
        </w:rPr>
        <w:t> </w:t>
      </w:r>
      <w:r>
        <w:rPr>
          <w:sz w:val="20"/>
        </w:rPr>
        <w:t>de</w:t>
      </w:r>
      <w:r>
        <w:rPr>
          <w:spacing w:val="-40"/>
          <w:sz w:val="20"/>
        </w:rPr>
        <w:t> </w:t>
      </w:r>
      <w:r>
        <w:rPr>
          <w:sz w:val="20"/>
        </w:rPr>
        <w:t>salário,</w:t>
      </w:r>
      <w:r>
        <w:rPr>
          <w:spacing w:val="-40"/>
          <w:sz w:val="20"/>
        </w:rPr>
        <w:t> </w:t>
      </w:r>
      <w:r>
        <w:rPr>
          <w:sz w:val="20"/>
        </w:rPr>
        <w:t>tendo</w:t>
      </w:r>
      <w:r>
        <w:rPr>
          <w:spacing w:val="-40"/>
          <w:sz w:val="20"/>
        </w:rPr>
        <w:t> </w:t>
      </w:r>
      <w:r>
        <w:rPr>
          <w:sz w:val="20"/>
        </w:rPr>
        <w:t>em</w:t>
      </w:r>
      <w:r>
        <w:rPr>
          <w:spacing w:val="-40"/>
          <w:sz w:val="20"/>
        </w:rPr>
        <w:t> </w:t>
      </w:r>
      <w:r>
        <w:rPr>
          <w:sz w:val="20"/>
        </w:rPr>
        <w:t>vista</w:t>
      </w:r>
      <w:r>
        <w:rPr>
          <w:spacing w:val="-39"/>
          <w:sz w:val="20"/>
        </w:rPr>
        <w:t> </w:t>
      </w:r>
      <w:r>
        <w:rPr>
          <w:sz w:val="20"/>
        </w:rPr>
        <w:t>a</w:t>
      </w:r>
      <w:r>
        <w:rPr>
          <w:spacing w:val="-40"/>
          <w:sz w:val="20"/>
        </w:rPr>
        <w:t> </w:t>
      </w:r>
      <w:r>
        <w:rPr>
          <w:sz w:val="20"/>
        </w:rPr>
        <w:t>negociação</w:t>
      </w:r>
      <w:r>
        <w:rPr>
          <w:spacing w:val="-41"/>
          <w:sz w:val="20"/>
        </w:rPr>
        <w:t> </w:t>
      </w:r>
      <w:r>
        <w:rPr>
          <w:sz w:val="20"/>
        </w:rPr>
        <w:t>do</w:t>
      </w:r>
      <w:r>
        <w:rPr>
          <w:spacing w:val="-41"/>
          <w:sz w:val="20"/>
        </w:rPr>
        <w:t> </w:t>
      </w:r>
      <w:r>
        <w:rPr>
          <w:sz w:val="20"/>
        </w:rPr>
        <w:t>Acordo</w:t>
      </w:r>
      <w:r>
        <w:rPr>
          <w:spacing w:val="-40"/>
          <w:sz w:val="20"/>
        </w:rPr>
        <w:t> </w:t>
      </w:r>
      <w:r>
        <w:rPr>
          <w:sz w:val="20"/>
        </w:rPr>
        <w:t>Coletivo</w:t>
      </w:r>
      <w:r>
        <w:rPr>
          <w:spacing w:val="-41"/>
          <w:sz w:val="20"/>
        </w:rPr>
        <w:t> </w:t>
      </w:r>
      <w:r>
        <w:rPr>
          <w:sz w:val="20"/>
        </w:rPr>
        <w:t>para</w:t>
      </w:r>
      <w:r>
        <w:rPr>
          <w:spacing w:val="-41"/>
          <w:sz w:val="20"/>
        </w:rPr>
        <w:t> </w:t>
      </w:r>
      <w:r>
        <w:rPr>
          <w:sz w:val="20"/>
        </w:rPr>
        <w:t>o</w:t>
      </w:r>
      <w:r>
        <w:rPr>
          <w:spacing w:val="-39"/>
          <w:sz w:val="20"/>
        </w:rPr>
        <w:t> </w:t>
      </w:r>
      <w:r>
        <w:rPr>
          <w:sz w:val="20"/>
        </w:rPr>
        <w:t>período</w:t>
      </w:r>
      <w:r>
        <w:rPr>
          <w:spacing w:val="-40"/>
          <w:sz w:val="20"/>
        </w:rPr>
        <w:t> </w:t>
      </w:r>
      <w:r>
        <w:rPr>
          <w:sz w:val="20"/>
        </w:rPr>
        <w:t>2019- 2020;</w:t>
      </w:r>
      <w:r>
        <w:rPr>
          <w:spacing w:val="-16"/>
          <w:sz w:val="20"/>
        </w:rPr>
        <w:t> </w:t>
      </w:r>
      <w:r>
        <w:rPr>
          <w:sz w:val="20"/>
        </w:rPr>
        <w:t>e</w:t>
      </w:r>
    </w:p>
    <w:p>
      <w:pPr>
        <w:pStyle w:val="ListParagraph"/>
        <w:numPr>
          <w:ilvl w:val="0"/>
          <w:numId w:val="13"/>
        </w:numPr>
        <w:tabs>
          <w:tab w:pos="914" w:val="left" w:leader="none"/>
        </w:tabs>
        <w:spacing w:line="276" w:lineRule="auto" w:before="3" w:after="0"/>
        <w:ind w:left="913" w:right="622" w:hanging="360"/>
        <w:jc w:val="both"/>
        <w:rPr>
          <w:sz w:val="20"/>
        </w:rPr>
      </w:pPr>
      <w:r>
        <w:rPr>
          <w:sz w:val="20"/>
        </w:rPr>
        <w:t>Intensificação</w:t>
      </w:r>
      <w:r>
        <w:rPr>
          <w:spacing w:val="-35"/>
          <w:sz w:val="20"/>
        </w:rPr>
        <w:t> </w:t>
      </w:r>
      <w:r>
        <w:rPr>
          <w:sz w:val="20"/>
        </w:rPr>
        <w:t>do</w:t>
      </w:r>
      <w:r>
        <w:rPr>
          <w:spacing w:val="-34"/>
          <w:sz w:val="20"/>
        </w:rPr>
        <w:t> </w:t>
      </w:r>
      <w:r>
        <w:rPr>
          <w:sz w:val="20"/>
        </w:rPr>
        <w:t>processo</w:t>
      </w:r>
      <w:r>
        <w:rPr>
          <w:spacing w:val="-34"/>
          <w:sz w:val="20"/>
        </w:rPr>
        <w:t> </w:t>
      </w:r>
      <w:r>
        <w:rPr>
          <w:sz w:val="20"/>
        </w:rPr>
        <w:t>de</w:t>
      </w:r>
      <w:r>
        <w:rPr>
          <w:spacing w:val="-35"/>
          <w:sz w:val="20"/>
        </w:rPr>
        <w:t> </w:t>
      </w:r>
      <w:r>
        <w:rPr>
          <w:sz w:val="20"/>
        </w:rPr>
        <w:t>capitalização</w:t>
      </w:r>
      <w:r>
        <w:rPr>
          <w:spacing w:val="-35"/>
          <w:sz w:val="20"/>
        </w:rPr>
        <w:t> </w:t>
      </w:r>
      <w:r>
        <w:rPr>
          <w:sz w:val="20"/>
        </w:rPr>
        <w:t>dos</w:t>
      </w:r>
      <w:r>
        <w:rPr>
          <w:spacing w:val="-34"/>
          <w:sz w:val="20"/>
        </w:rPr>
        <w:t> </w:t>
      </w:r>
      <w:r>
        <w:rPr>
          <w:sz w:val="20"/>
        </w:rPr>
        <w:t>custos</w:t>
      </w:r>
      <w:r>
        <w:rPr>
          <w:spacing w:val="-35"/>
          <w:sz w:val="20"/>
        </w:rPr>
        <w:t> </w:t>
      </w:r>
      <w:r>
        <w:rPr>
          <w:sz w:val="20"/>
        </w:rPr>
        <w:t>com</w:t>
      </w:r>
      <w:r>
        <w:rPr>
          <w:spacing w:val="-35"/>
          <w:sz w:val="20"/>
        </w:rPr>
        <w:t> </w:t>
      </w:r>
      <w:r>
        <w:rPr>
          <w:sz w:val="20"/>
        </w:rPr>
        <w:t>pessoal</w:t>
      </w:r>
      <w:r>
        <w:rPr>
          <w:spacing w:val="-34"/>
          <w:sz w:val="20"/>
        </w:rPr>
        <w:t> </w:t>
      </w:r>
      <w:r>
        <w:rPr>
          <w:sz w:val="20"/>
        </w:rPr>
        <w:t>vinculados</w:t>
      </w:r>
      <w:r>
        <w:rPr>
          <w:spacing w:val="-34"/>
          <w:sz w:val="20"/>
        </w:rPr>
        <w:t> </w:t>
      </w:r>
      <w:r>
        <w:rPr>
          <w:sz w:val="20"/>
        </w:rPr>
        <w:t>ao</w:t>
      </w:r>
      <w:r>
        <w:rPr>
          <w:spacing w:val="-34"/>
          <w:sz w:val="20"/>
        </w:rPr>
        <w:t> </w:t>
      </w:r>
      <w:r>
        <w:rPr>
          <w:sz w:val="20"/>
        </w:rPr>
        <w:t>processo</w:t>
      </w:r>
      <w:r>
        <w:rPr>
          <w:spacing w:val="-35"/>
          <w:sz w:val="20"/>
        </w:rPr>
        <w:t> </w:t>
      </w:r>
      <w:r>
        <w:rPr>
          <w:sz w:val="20"/>
        </w:rPr>
        <w:t>de</w:t>
      </w:r>
      <w:r>
        <w:rPr>
          <w:spacing w:val="-35"/>
          <w:sz w:val="20"/>
        </w:rPr>
        <w:t> </w:t>
      </w:r>
      <w:r>
        <w:rPr>
          <w:sz w:val="20"/>
        </w:rPr>
        <w:t>Investimento da</w:t>
      </w:r>
      <w:r>
        <w:rPr>
          <w:spacing w:val="-21"/>
          <w:sz w:val="20"/>
        </w:rPr>
        <w:t> </w:t>
      </w:r>
      <w:r>
        <w:rPr>
          <w:sz w:val="20"/>
        </w:rPr>
        <w:t>Companhia,</w:t>
      </w:r>
      <w:r>
        <w:rPr>
          <w:spacing w:val="-18"/>
          <w:sz w:val="20"/>
        </w:rPr>
        <w:t> </w:t>
      </w:r>
      <w:r>
        <w:rPr>
          <w:sz w:val="20"/>
        </w:rPr>
        <w:t>de</w:t>
      </w:r>
      <w:r>
        <w:rPr>
          <w:spacing w:val="-20"/>
          <w:sz w:val="20"/>
        </w:rPr>
        <w:t> </w:t>
      </w:r>
      <w:r>
        <w:rPr>
          <w:sz w:val="20"/>
        </w:rPr>
        <w:t>acordo</w:t>
      </w:r>
      <w:r>
        <w:rPr>
          <w:spacing w:val="-19"/>
          <w:sz w:val="20"/>
        </w:rPr>
        <w:t> </w:t>
      </w:r>
      <w:r>
        <w:rPr>
          <w:sz w:val="20"/>
        </w:rPr>
        <w:t>com</w:t>
      </w:r>
      <w:r>
        <w:rPr>
          <w:spacing w:val="-21"/>
          <w:sz w:val="20"/>
        </w:rPr>
        <w:t> </w:t>
      </w:r>
      <w:r>
        <w:rPr>
          <w:sz w:val="20"/>
        </w:rPr>
        <w:t>os</w:t>
      </w:r>
      <w:r>
        <w:rPr>
          <w:spacing w:val="-20"/>
          <w:sz w:val="20"/>
        </w:rPr>
        <w:t> </w:t>
      </w:r>
      <w:r>
        <w:rPr>
          <w:sz w:val="20"/>
        </w:rPr>
        <w:t>limites</w:t>
      </w:r>
      <w:r>
        <w:rPr>
          <w:spacing w:val="-19"/>
          <w:sz w:val="20"/>
        </w:rPr>
        <w:t> </w:t>
      </w:r>
      <w:r>
        <w:rPr>
          <w:sz w:val="20"/>
        </w:rPr>
        <w:t>definidos</w:t>
      </w:r>
      <w:r>
        <w:rPr>
          <w:spacing w:val="-20"/>
          <w:sz w:val="20"/>
        </w:rPr>
        <w:t> </w:t>
      </w:r>
      <w:r>
        <w:rPr>
          <w:sz w:val="20"/>
        </w:rPr>
        <w:t>pelo</w:t>
      </w:r>
      <w:r>
        <w:rPr>
          <w:spacing w:val="-18"/>
          <w:sz w:val="20"/>
        </w:rPr>
        <w:t> </w:t>
      </w:r>
      <w:r>
        <w:rPr>
          <w:sz w:val="20"/>
        </w:rPr>
        <w:t>Órgão</w:t>
      </w:r>
      <w:r>
        <w:rPr>
          <w:spacing w:val="-21"/>
          <w:sz w:val="20"/>
        </w:rPr>
        <w:t> </w:t>
      </w:r>
      <w:r>
        <w:rPr>
          <w:sz w:val="20"/>
        </w:rPr>
        <w:t>Regulador.</w:t>
      </w:r>
    </w:p>
    <w:p>
      <w:pPr>
        <w:pStyle w:val="BodyText"/>
        <w:spacing w:before="9"/>
      </w:pPr>
    </w:p>
    <w:p>
      <w:pPr>
        <w:spacing w:before="0"/>
        <w:ind w:left="192" w:right="0" w:firstLine="0"/>
        <w:jc w:val="left"/>
        <w:rPr>
          <w:rFonts w:ascii="Caladea" w:hAnsi="Caladea"/>
          <w:b/>
          <w:sz w:val="20"/>
        </w:rPr>
      </w:pPr>
      <w:r>
        <w:rPr>
          <w:rFonts w:ascii="Caladea" w:hAnsi="Caladea"/>
          <w:b/>
          <w:sz w:val="20"/>
        </w:rPr>
        <w:t>Redução da Inadimplência</w:t>
      </w:r>
    </w:p>
    <w:p>
      <w:pPr>
        <w:pStyle w:val="BodyText"/>
        <w:spacing w:before="2"/>
        <w:rPr>
          <w:rFonts w:ascii="Caladea"/>
          <w:b/>
        </w:rPr>
      </w:pPr>
    </w:p>
    <w:p>
      <w:pPr>
        <w:pStyle w:val="BodyText"/>
        <w:spacing w:line="242" w:lineRule="auto"/>
        <w:ind w:left="192" w:right="609"/>
        <w:jc w:val="both"/>
      </w:pPr>
      <w:r>
        <w:rPr/>
        <w:t>O</w:t>
      </w:r>
      <w:r>
        <w:rPr>
          <w:spacing w:val="-25"/>
        </w:rPr>
        <w:t> </w:t>
      </w:r>
      <w:r>
        <w:rPr/>
        <w:t>leque</w:t>
      </w:r>
      <w:r>
        <w:rPr>
          <w:spacing w:val="-23"/>
        </w:rPr>
        <w:t> </w:t>
      </w:r>
      <w:r>
        <w:rPr/>
        <w:t>de</w:t>
      </w:r>
      <w:r>
        <w:rPr>
          <w:spacing w:val="-25"/>
        </w:rPr>
        <w:t> </w:t>
      </w:r>
      <w:r>
        <w:rPr/>
        <w:t>cobranças</w:t>
      </w:r>
      <w:r>
        <w:rPr>
          <w:spacing w:val="-24"/>
        </w:rPr>
        <w:t> </w:t>
      </w:r>
      <w:r>
        <w:rPr/>
        <w:t>administrativas</w:t>
      </w:r>
      <w:r>
        <w:rPr>
          <w:spacing w:val="-24"/>
        </w:rPr>
        <w:t> </w:t>
      </w:r>
      <w:r>
        <w:rPr/>
        <w:t>da</w:t>
      </w:r>
      <w:r>
        <w:rPr>
          <w:spacing w:val="-24"/>
        </w:rPr>
        <w:t> </w:t>
      </w:r>
      <w:r>
        <w:rPr/>
        <w:t>Companhia</w:t>
      </w:r>
      <w:r>
        <w:rPr>
          <w:spacing w:val="-21"/>
        </w:rPr>
        <w:t> </w:t>
      </w:r>
      <w:r>
        <w:rPr/>
        <w:t>é</w:t>
      </w:r>
      <w:r>
        <w:rPr>
          <w:spacing w:val="-24"/>
        </w:rPr>
        <w:t> </w:t>
      </w:r>
      <w:r>
        <w:rPr/>
        <w:t>extenso.</w:t>
      </w:r>
      <w:r>
        <w:rPr>
          <w:spacing w:val="-25"/>
        </w:rPr>
        <w:t> </w:t>
      </w:r>
      <w:r>
        <w:rPr/>
        <w:t>Registra-se</w:t>
      </w:r>
      <w:r>
        <w:rPr>
          <w:spacing w:val="-23"/>
        </w:rPr>
        <w:t> </w:t>
      </w:r>
      <w:r>
        <w:rPr/>
        <w:t>o</w:t>
      </w:r>
      <w:r>
        <w:rPr>
          <w:spacing w:val="-23"/>
        </w:rPr>
        <w:t> </w:t>
      </w:r>
      <w:r>
        <w:rPr/>
        <w:t>envio</w:t>
      </w:r>
      <w:r>
        <w:rPr>
          <w:spacing w:val="-22"/>
        </w:rPr>
        <w:t> </w:t>
      </w:r>
      <w:r>
        <w:rPr/>
        <w:t>de</w:t>
      </w:r>
      <w:r>
        <w:rPr>
          <w:spacing w:val="-26"/>
        </w:rPr>
        <w:t> </w:t>
      </w:r>
      <w:r>
        <w:rPr/>
        <w:t>cerca</w:t>
      </w:r>
      <w:r>
        <w:rPr>
          <w:spacing w:val="-23"/>
        </w:rPr>
        <w:t> </w:t>
      </w:r>
      <w:r>
        <w:rPr/>
        <w:t>de</w:t>
      </w:r>
      <w:r>
        <w:rPr>
          <w:spacing w:val="-25"/>
        </w:rPr>
        <w:t> </w:t>
      </w:r>
      <w:r>
        <w:rPr/>
        <w:t>250</w:t>
      </w:r>
      <w:r>
        <w:rPr>
          <w:spacing w:val="-23"/>
        </w:rPr>
        <w:t> </w:t>
      </w:r>
      <w:r>
        <w:rPr/>
        <w:t>mil</w:t>
      </w:r>
      <w:r>
        <w:rPr>
          <w:spacing w:val="-22"/>
        </w:rPr>
        <w:t> </w:t>
      </w:r>
      <w:r>
        <w:rPr/>
        <w:t>faturas</w:t>
      </w:r>
      <w:r>
        <w:rPr>
          <w:spacing w:val="-23"/>
        </w:rPr>
        <w:t> </w:t>
      </w:r>
      <w:r>
        <w:rPr/>
        <w:t>por mês</w:t>
      </w:r>
      <w:r>
        <w:rPr>
          <w:spacing w:val="-34"/>
        </w:rPr>
        <w:t> </w:t>
      </w:r>
      <w:r>
        <w:rPr/>
        <w:t>para</w:t>
      </w:r>
      <w:r>
        <w:rPr>
          <w:spacing w:val="-33"/>
        </w:rPr>
        <w:t> </w:t>
      </w:r>
      <w:r>
        <w:rPr/>
        <w:t>o</w:t>
      </w:r>
      <w:r>
        <w:rPr>
          <w:spacing w:val="-34"/>
        </w:rPr>
        <w:t> </w:t>
      </w:r>
      <w:r>
        <w:rPr/>
        <w:t>SERASA</w:t>
      </w:r>
      <w:r>
        <w:rPr>
          <w:spacing w:val="-32"/>
        </w:rPr>
        <w:t> </w:t>
      </w:r>
      <w:r>
        <w:rPr/>
        <w:t>e</w:t>
      </w:r>
      <w:r>
        <w:rPr>
          <w:spacing w:val="-34"/>
        </w:rPr>
        <w:t> </w:t>
      </w:r>
      <w:r>
        <w:rPr/>
        <w:t>mais</w:t>
      </w:r>
      <w:r>
        <w:rPr>
          <w:spacing w:val="-34"/>
        </w:rPr>
        <w:t> </w:t>
      </w:r>
      <w:r>
        <w:rPr/>
        <w:t>15</w:t>
      </w:r>
      <w:r>
        <w:rPr>
          <w:spacing w:val="-33"/>
        </w:rPr>
        <w:t> </w:t>
      </w:r>
      <w:r>
        <w:rPr/>
        <w:t>mil</w:t>
      </w:r>
      <w:r>
        <w:rPr>
          <w:spacing w:val="-34"/>
        </w:rPr>
        <w:t> </w:t>
      </w:r>
      <w:r>
        <w:rPr/>
        <w:t>para</w:t>
      </w:r>
      <w:r>
        <w:rPr>
          <w:spacing w:val="-33"/>
        </w:rPr>
        <w:t> </w:t>
      </w:r>
      <w:r>
        <w:rPr/>
        <w:t>Protesto,</w:t>
      </w:r>
      <w:r>
        <w:rPr>
          <w:spacing w:val="-34"/>
        </w:rPr>
        <w:t> </w:t>
      </w:r>
      <w:r>
        <w:rPr/>
        <w:t>cobranças</w:t>
      </w:r>
      <w:r>
        <w:rPr>
          <w:spacing w:val="-33"/>
        </w:rPr>
        <w:t> </w:t>
      </w:r>
      <w:r>
        <w:rPr/>
        <w:t>ativas</w:t>
      </w:r>
      <w:r>
        <w:rPr>
          <w:spacing w:val="-33"/>
        </w:rPr>
        <w:t> </w:t>
      </w:r>
      <w:r>
        <w:rPr/>
        <w:t>na</w:t>
      </w:r>
      <w:r>
        <w:rPr>
          <w:spacing w:val="-34"/>
        </w:rPr>
        <w:t> </w:t>
      </w:r>
      <w:r>
        <w:rPr/>
        <w:t>Central</w:t>
      </w:r>
      <w:r>
        <w:rPr>
          <w:spacing w:val="-33"/>
        </w:rPr>
        <w:t> </w:t>
      </w:r>
      <w:r>
        <w:rPr/>
        <w:t>de</w:t>
      </w:r>
      <w:r>
        <w:rPr>
          <w:spacing w:val="-34"/>
        </w:rPr>
        <w:t> </w:t>
      </w:r>
      <w:r>
        <w:rPr/>
        <w:t>Atendimento</w:t>
      </w:r>
      <w:r>
        <w:rPr>
          <w:spacing w:val="-33"/>
        </w:rPr>
        <w:t> </w:t>
      </w:r>
      <w:r>
        <w:rPr/>
        <w:t>para</w:t>
      </w:r>
      <w:r>
        <w:rPr>
          <w:spacing w:val="-33"/>
        </w:rPr>
        <w:t> </w:t>
      </w:r>
      <w:r>
        <w:rPr/>
        <w:t>consumidores</w:t>
      </w:r>
      <w:r>
        <w:rPr>
          <w:spacing w:val="-33"/>
        </w:rPr>
        <w:t> </w:t>
      </w:r>
      <w:r>
        <w:rPr/>
        <w:t>com valores mais</w:t>
      </w:r>
      <w:r>
        <w:rPr>
          <w:spacing w:val="-34"/>
        </w:rPr>
        <w:t> </w:t>
      </w:r>
      <w:r>
        <w:rPr/>
        <w:t>relevantes.</w:t>
      </w:r>
    </w:p>
    <w:p>
      <w:pPr>
        <w:pStyle w:val="BodyText"/>
        <w:spacing w:before="2"/>
      </w:pPr>
    </w:p>
    <w:p>
      <w:pPr>
        <w:pStyle w:val="BodyText"/>
        <w:ind w:left="192" w:right="606"/>
        <w:jc w:val="both"/>
      </w:pPr>
      <w:r>
        <w:rPr/>
        <w:t>A</w:t>
      </w:r>
      <w:r>
        <w:rPr>
          <w:spacing w:val="-17"/>
        </w:rPr>
        <w:t> </w:t>
      </w:r>
      <w:r>
        <w:rPr/>
        <w:t>CEB</w:t>
      </w:r>
      <w:r>
        <w:rPr>
          <w:spacing w:val="-16"/>
        </w:rPr>
        <w:t> </w:t>
      </w:r>
      <w:r>
        <w:rPr/>
        <w:t>DIS,</w:t>
      </w:r>
      <w:r>
        <w:rPr>
          <w:spacing w:val="-16"/>
        </w:rPr>
        <w:t> </w:t>
      </w:r>
      <w:r>
        <w:rPr/>
        <w:t>ainda,</w:t>
      </w:r>
      <w:r>
        <w:rPr>
          <w:spacing w:val="-13"/>
        </w:rPr>
        <w:t> </w:t>
      </w:r>
      <w:r>
        <w:rPr/>
        <w:t>vem</w:t>
      </w:r>
      <w:r>
        <w:rPr>
          <w:spacing w:val="-17"/>
        </w:rPr>
        <w:t> </w:t>
      </w:r>
      <w:r>
        <w:rPr/>
        <w:t>trabalhando</w:t>
      </w:r>
      <w:r>
        <w:rPr>
          <w:spacing w:val="-16"/>
        </w:rPr>
        <w:t> </w:t>
      </w:r>
      <w:r>
        <w:rPr/>
        <w:t>com</w:t>
      </w:r>
      <w:r>
        <w:rPr>
          <w:spacing w:val="-15"/>
        </w:rPr>
        <w:t> </w:t>
      </w:r>
      <w:r>
        <w:rPr/>
        <w:t>programas</w:t>
      </w:r>
      <w:r>
        <w:rPr>
          <w:spacing w:val="-17"/>
        </w:rPr>
        <w:t> </w:t>
      </w:r>
      <w:r>
        <w:rPr/>
        <w:t>de</w:t>
      </w:r>
      <w:r>
        <w:rPr>
          <w:spacing w:val="-14"/>
        </w:rPr>
        <w:t> </w:t>
      </w:r>
      <w:r>
        <w:rPr/>
        <w:t>recuperação</w:t>
      </w:r>
      <w:r>
        <w:rPr>
          <w:spacing w:val="-17"/>
        </w:rPr>
        <w:t> </w:t>
      </w:r>
      <w:r>
        <w:rPr/>
        <w:t>de</w:t>
      </w:r>
      <w:r>
        <w:rPr>
          <w:spacing w:val="-17"/>
        </w:rPr>
        <w:t> </w:t>
      </w:r>
      <w:r>
        <w:rPr/>
        <w:t>créditos</w:t>
      </w:r>
      <w:r>
        <w:rPr>
          <w:spacing w:val="-15"/>
        </w:rPr>
        <w:t> </w:t>
      </w:r>
      <w:r>
        <w:rPr/>
        <w:t>para</w:t>
      </w:r>
      <w:r>
        <w:rPr>
          <w:spacing w:val="-16"/>
        </w:rPr>
        <w:t> </w:t>
      </w:r>
      <w:r>
        <w:rPr/>
        <w:t>carteiras</w:t>
      </w:r>
      <w:r>
        <w:rPr>
          <w:spacing w:val="-17"/>
        </w:rPr>
        <w:t> </w:t>
      </w:r>
      <w:r>
        <w:rPr/>
        <w:t>de</w:t>
      </w:r>
      <w:r>
        <w:rPr>
          <w:spacing w:val="-18"/>
        </w:rPr>
        <w:t> </w:t>
      </w:r>
      <w:r>
        <w:rPr/>
        <w:t>longo</w:t>
      </w:r>
      <w:r>
        <w:rPr>
          <w:spacing w:val="-15"/>
        </w:rPr>
        <w:t> </w:t>
      </w:r>
      <w:r>
        <w:rPr/>
        <w:t>prazo.</w:t>
      </w:r>
      <w:r>
        <w:rPr>
          <w:spacing w:val="-14"/>
        </w:rPr>
        <w:t> </w:t>
      </w:r>
      <w:r>
        <w:rPr/>
        <w:t>Em 2019,</w:t>
      </w:r>
      <w:r>
        <w:rPr>
          <w:spacing w:val="-10"/>
        </w:rPr>
        <w:t> </w:t>
      </w:r>
      <w:r>
        <w:rPr/>
        <w:t>foram</w:t>
      </w:r>
      <w:r>
        <w:rPr>
          <w:spacing w:val="-8"/>
        </w:rPr>
        <w:t> </w:t>
      </w:r>
      <w:r>
        <w:rPr/>
        <w:t>negociados</w:t>
      </w:r>
      <w:r>
        <w:rPr>
          <w:spacing w:val="-9"/>
        </w:rPr>
        <w:t> </w:t>
      </w:r>
      <w:r>
        <w:rPr/>
        <w:t>cerca</w:t>
      </w:r>
      <w:r>
        <w:rPr>
          <w:spacing w:val="-9"/>
        </w:rPr>
        <w:t> </w:t>
      </w:r>
      <w:r>
        <w:rPr/>
        <w:t>de</w:t>
      </w:r>
      <w:r>
        <w:rPr>
          <w:spacing w:val="-10"/>
        </w:rPr>
        <w:t> </w:t>
      </w:r>
      <w:r>
        <w:rPr/>
        <w:t>103</w:t>
      </w:r>
      <w:r>
        <w:rPr>
          <w:spacing w:val="-8"/>
        </w:rPr>
        <w:t> </w:t>
      </w:r>
      <w:r>
        <w:rPr/>
        <w:t>milhões</w:t>
      </w:r>
      <w:r>
        <w:rPr>
          <w:spacing w:val="-7"/>
        </w:rPr>
        <w:t> </w:t>
      </w:r>
      <w:r>
        <w:rPr/>
        <w:t>com</w:t>
      </w:r>
      <w:r>
        <w:rPr>
          <w:spacing w:val="-9"/>
        </w:rPr>
        <w:t> </w:t>
      </w:r>
      <w:r>
        <w:rPr/>
        <w:t>o</w:t>
      </w:r>
      <w:r>
        <w:rPr>
          <w:spacing w:val="-8"/>
        </w:rPr>
        <w:t> </w:t>
      </w:r>
      <w:r>
        <w:rPr/>
        <w:t>Programa</w:t>
      </w:r>
      <w:r>
        <w:rPr>
          <w:spacing w:val="-9"/>
        </w:rPr>
        <w:t> </w:t>
      </w:r>
      <w:r>
        <w:rPr/>
        <w:t>Recupera,</w:t>
      </w:r>
      <w:r>
        <w:rPr>
          <w:spacing w:val="-10"/>
        </w:rPr>
        <w:t> </w:t>
      </w:r>
      <w:r>
        <w:rPr/>
        <w:t>contribuindo</w:t>
      </w:r>
      <w:r>
        <w:rPr>
          <w:spacing w:val="-9"/>
        </w:rPr>
        <w:t> </w:t>
      </w:r>
      <w:r>
        <w:rPr/>
        <w:t>substancialmente</w:t>
      </w:r>
      <w:r>
        <w:rPr>
          <w:spacing w:val="-8"/>
        </w:rPr>
        <w:t> </w:t>
      </w:r>
      <w:r>
        <w:rPr/>
        <w:t>para</w:t>
      </w:r>
      <w:r>
        <w:rPr>
          <w:spacing w:val="-9"/>
        </w:rPr>
        <w:t> </w:t>
      </w:r>
      <w:r>
        <w:rPr/>
        <w:t>o atingimento dos</w:t>
      </w:r>
      <w:r>
        <w:rPr>
          <w:spacing w:val="-37"/>
        </w:rPr>
        <w:t> </w:t>
      </w:r>
      <w:r>
        <w:rPr>
          <w:rFonts w:ascii="Caladea" w:hAnsi="Caladea"/>
          <w:i/>
        </w:rPr>
        <w:t>covenants </w:t>
      </w:r>
      <w:r>
        <w:rPr/>
        <w:t>regulatórios.</w:t>
      </w:r>
    </w:p>
    <w:p>
      <w:pPr>
        <w:pStyle w:val="BodyText"/>
        <w:spacing w:before="8"/>
      </w:pPr>
    </w:p>
    <w:p>
      <w:pPr>
        <w:pStyle w:val="BodyText"/>
        <w:spacing w:line="242" w:lineRule="auto"/>
        <w:ind w:left="192" w:right="616"/>
        <w:jc w:val="both"/>
      </w:pPr>
      <w:r>
        <w:rPr/>
        <w:t>A Administração também atua na realização de cobranças e negociações perante os Órgãos e Departamentos vinculados</w:t>
      </w:r>
      <w:r>
        <w:rPr>
          <w:spacing w:val="-34"/>
        </w:rPr>
        <w:t> </w:t>
      </w:r>
      <w:r>
        <w:rPr/>
        <w:t>aos</w:t>
      </w:r>
      <w:r>
        <w:rPr>
          <w:spacing w:val="-34"/>
        </w:rPr>
        <w:t> </w:t>
      </w:r>
      <w:r>
        <w:rPr/>
        <w:t>Poderes</w:t>
      </w:r>
      <w:r>
        <w:rPr>
          <w:spacing w:val="-33"/>
        </w:rPr>
        <w:t> </w:t>
      </w:r>
      <w:r>
        <w:rPr/>
        <w:t>Públicos</w:t>
      </w:r>
      <w:r>
        <w:rPr>
          <w:spacing w:val="-33"/>
        </w:rPr>
        <w:t> </w:t>
      </w:r>
      <w:r>
        <w:rPr/>
        <w:t>Federal</w:t>
      </w:r>
      <w:r>
        <w:rPr>
          <w:spacing w:val="-34"/>
        </w:rPr>
        <w:t> </w:t>
      </w:r>
      <w:r>
        <w:rPr/>
        <w:t>e</w:t>
      </w:r>
      <w:r>
        <w:rPr>
          <w:spacing w:val="-33"/>
        </w:rPr>
        <w:t> </w:t>
      </w:r>
      <w:r>
        <w:rPr/>
        <w:t>Distrital,</w:t>
      </w:r>
      <w:r>
        <w:rPr>
          <w:spacing w:val="-34"/>
        </w:rPr>
        <w:t> </w:t>
      </w:r>
      <w:r>
        <w:rPr/>
        <w:t>bem</w:t>
      </w:r>
      <w:r>
        <w:rPr>
          <w:spacing w:val="-33"/>
        </w:rPr>
        <w:t> </w:t>
      </w:r>
      <w:r>
        <w:rPr/>
        <w:t>como</w:t>
      </w:r>
      <w:r>
        <w:rPr>
          <w:spacing w:val="-33"/>
        </w:rPr>
        <w:t> </w:t>
      </w:r>
      <w:r>
        <w:rPr/>
        <w:t>realiza</w:t>
      </w:r>
      <w:r>
        <w:rPr>
          <w:spacing w:val="-33"/>
        </w:rPr>
        <w:t> </w:t>
      </w:r>
      <w:r>
        <w:rPr/>
        <w:t>procedimentos</w:t>
      </w:r>
      <w:r>
        <w:rPr>
          <w:spacing w:val="-34"/>
        </w:rPr>
        <w:t> </w:t>
      </w:r>
      <w:r>
        <w:rPr/>
        <w:t>de</w:t>
      </w:r>
      <w:r>
        <w:rPr>
          <w:spacing w:val="-34"/>
        </w:rPr>
        <w:t> </w:t>
      </w:r>
      <w:r>
        <w:rPr/>
        <w:t>cobrança</w:t>
      </w:r>
      <w:r>
        <w:rPr>
          <w:spacing w:val="-33"/>
        </w:rPr>
        <w:t> </w:t>
      </w:r>
      <w:r>
        <w:rPr/>
        <w:t>judicial,</w:t>
      </w:r>
      <w:r>
        <w:rPr>
          <w:spacing w:val="-34"/>
        </w:rPr>
        <w:t> </w:t>
      </w:r>
      <w:r>
        <w:rPr/>
        <w:t>em</w:t>
      </w:r>
      <w:r>
        <w:rPr>
          <w:spacing w:val="-34"/>
        </w:rPr>
        <w:t> </w:t>
      </w:r>
      <w:r>
        <w:rPr/>
        <w:t>caso de</w:t>
      </w:r>
      <w:r>
        <w:rPr>
          <w:spacing w:val="-24"/>
        </w:rPr>
        <w:t> </w:t>
      </w:r>
      <w:r>
        <w:rPr/>
        <w:t>insucesso</w:t>
      </w:r>
      <w:r>
        <w:rPr>
          <w:spacing w:val="-20"/>
        </w:rPr>
        <w:t> </w:t>
      </w:r>
      <w:r>
        <w:rPr/>
        <w:t>da</w:t>
      </w:r>
      <w:r>
        <w:rPr>
          <w:spacing w:val="-22"/>
        </w:rPr>
        <w:t> </w:t>
      </w:r>
      <w:r>
        <w:rPr/>
        <w:t>cobrança</w:t>
      </w:r>
      <w:r>
        <w:rPr>
          <w:spacing w:val="-22"/>
        </w:rPr>
        <w:t> </w:t>
      </w:r>
      <w:r>
        <w:rPr/>
        <w:t>administrativa,</w:t>
      </w:r>
      <w:r>
        <w:rPr>
          <w:spacing w:val="-22"/>
        </w:rPr>
        <w:t> </w:t>
      </w:r>
      <w:r>
        <w:rPr/>
        <w:t>tendo</w:t>
      </w:r>
      <w:r>
        <w:rPr>
          <w:spacing w:val="-23"/>
        </w:rPr>
        <w:t> </w:t>
      </w:r>
      <w:r>
        <w:rPr/>
        <w:t>como</w:t>
      </w:r>
      <w:r>
        <w:rPr>
          <w:spacing w:val="-20"/>
        </w:rPr>
        <w:t> </w:t>
      </w:r>
      <w:r>
        <w:rPr/>
        <w:t>base</w:t>
      </w:r>
      <w:r>
        <w:rPr>
          <w:spacing w:val="-24"/>
        </w:rPr>
        <w:t> </w:t>
      </w:r>
      <w:r>
        <w:rPr/>
        <w:t>o</w:t>
      </w:r>
      <w:r>
        <w:rPr>
          <w:spacing w:val="-20"/>
        </w:rPr>
        <w:t> </w:t>
      </w:r>
      <w:r>
        <w:rPr/>
        <w:t>princípio</w:t>
      </w:r>
      <w:r>
        <w:rPr>
          <w:spacing w:val="-22"/>
        </w:rPr>
        <w:t> </w:t>
      </w:r>
      <w:r>
        <w:rPr/>
        <w:t>da</w:t>
      </w:r>
      <w:r>
        <w:rPr>
          <w:spacing w:val="-19"/>
        </w:rPr>
        <w:t> </w:t>
      </w:r>
      <w:r>
        <w:rPr/>
        <w:t>economicidade.</w:t>
      </w:r>
    </w:p>
    <w:p>
      <w:pPr>
        <w:pStyle w:val="BodyText"/>
        <w:spacing w:before="2"/>
      </w:pPr>
    </w:p>
    <w:p>
      <w:pPr>
        <w:pStyle w:val="BodyText"/>
        <w:ind w:left="192" w:right="620"/>
        <w:jc w:val="both"/>
      </w:pPr>
      <w:r>
        <w:rPr/>
        <w:t>Para</w:t>
      </w:r>
      <w:r>
        <w:rPr>
          <w:spacing w:val="-28"/>
        </w:rPr>
        <w:t> </w:t>
      </w:r>
      <w:r>
        <w:rPr/>
        <w:t>intensificar</w:t>
      </w:r>
      <w:r>
        <w:rPr>
          <w:spacing w:val="-29"/>
        </w:rPr>
        <w:t> </w:t>
      </w:r>
      <w:r>
        <w:rPr/>
        <w:t>o</w:t>
      </w:r>
      <w:r>
        <w:rPr>
          <w:spacing w:val="-29"/>
        </w:rPr>
        <w:t> </w:t>
      </w:r>
      <w:r>
        <w:rPr/>
        <w:t>processo</w:t>
      </w:r>
      <w:r>
        <w:rPr>
          <w:spacing w:val="-27"/>
        </w:rPr>
        <w:t> </w:t>
      </w:r>
      <w:r>
        <w:rPr/>
        <w:t>de</w:t>
      </w:r>
      <w:r>
        <w:rPr>
          <w:spacing w:val="-29"/>
        </w:rPr>
        <w:t> </w:t>
      </w:r>
      <w:r>
        <w:rPr/>
        <w:t>redução</w:t>
      </w:r>
      <w:r>
        <w:rPr>
          <w:spacing w:val="-28"/>
        </w:rPr>
        <w:t> </w:t>
      </w:r>
      <w:r>
        <w:rPr/>
        <w:t>da</w:t>
      </w:r>
      <w:r>
        <w:rPr>
          <w:spacing w:val="-28"/>
        </w:rPr>
        <w:t> </w:t>
      </w:r>
      <w:r>
        <w:rPr/>
        <w:t>inadimplência</w:t>
      </w:r>
      <w:r>
        <w:rPr>
          <w:spacing w:val="-28"/>
        </w:rPr>
        <w:t> </w:t>
      </w:r>
      <w:r>
        <w:rPr/>
        <w:t>foi</w:t>
      </w:r>
      <w:r>
        <w:rPr>
          <w:spacing w:val="-29"/>
        </w:rPr>
        <w:t> </w:t>
      </w:r>
      <w:r>
        <w:rPr/>
        <w:t>realizada</w:t>
      </w:r>
      <w:r>
        <w:rPr>
          <w:spacing w:val="-28"/>
        </w:rPr>
        <w:t> </w:t>
      </w:r>
      <w:r>
        <w:rPr/>
        <w:t>a</w:t>
      </w:r>
      <w:r>
        <w:rPr>
          <w:spacing w:val="-28"/>
        </w:rPr>
        <w:t> </w:t>
      </w:r>
      <w:r>
        <w:rPr/>
        <w:t>contratação</w:t>
      </w:r>
      <w:r>
        <w:rPr>
          <w:spacing w:val="-28"/>
        </w:rPr>
        <w:t> </w:t>
      </w:r>
      <w:r>
        <w:rPr/>
        <w:t>de</w:t>
      </w:r>
      <w:r>
        <w:rPr>
          <w:spacing w:val="-28"/>
        </w:rPr>
        <w:t> </w:t>
      </w:r>
      <w:r>
        <w:rPr/>
        <w:t>empresa</w:t>
      </w:r>
      <w:r>
        <w:rPr>
          <w:spacing w:val="-27"/>
        </w:rPr>
        <w:t> </w:t>
      </w:r>
      <w:r>
        <w:rPr/>
        <w:t>especializada</w:t>
      </w:r>
      <w:r>
        <w:rPr>
          <w:spacing w:val="-27"/>
        </w:rPr>
        <w:t> </w:t>
      </w:r>
      <w:r>
        <w:rPr/>
        <w:t>em corte</w:t>
      </w:r>
      <w:r>
        <w:rPr>
          <w:spacing w:val="-18"/>
        </w:rPr>
        <w:t> </w:t>
      </w:r>
      <w:r>
        <w:rPr/>
        <w:t>e</w:t>
      </w:r>
      <w:r>
        <w:rPr>
          <w:spacing w:val="-17"/>
        </w:rPr>
        <w:t> </w:t>
      </w:r>
      <w:r>
        <w:rPr/>
        <w:t>religação</w:t>
      </w:r>
      <w:r>
        <w:rPr>
          <w:spacing w:val="-19"/>
        </w:rPr>
        <w:t> </w:t>
      </w:r>
      <w:r>
        <w:rPr/>
        <w:t>em</w:t>
      </w:r>
      <w:r>
        <w:rPr>
          <w:spacing w:val="-17"/>
        </w:rPr>
        <w:t> </w:t>
      </w:r>
      <w:r>
        <w:rPr/>
        <w:t>dezembro</w:t>
      </w:r>
      <w:r>
        <w:rPr>
          <w:spacing w:val="-19"/>
        </w:rPr>
        <w:t> </w:t>
      </w:r>
      <w:r>
        <w:rPr/>
        <w:t>de</w:t>
      </w:r>
      <w:r>
        <w:rPr>
          <w:spacing w:val="-20"/>
        </w:rPr>
        <w:t> </w:t>
      </w:r>
      <w:r>
        <w:rPr/>
        <w:t>2019.</w:t>
      </w:r>
    </w:p>
    <w:p>
      <w:pPr>
        <w:pStyle w:val="BodyText"/>
        <w:spacing w:before="10"/>
      </w:pPr>
    </w:p>
    <w:p>
      <w:pPr>
        <w:spacing w:before="0"/>
        <w:ind w:left="192" w:right="0" w:firstLine="0"/>
        <w:jc w:val="left"/>
        <w:rPr>
          <w:rFonts w:ascii="Caladea" w:hAnsi="Caladea"/>
          <w:b/>
          <w:sz w:val="20"/>
        </w:rPr>
      </w:pPr>
      <w:r>
        <w:rPr>
          <w:rFonts w:ascii="Caladea" w:hAnsi="Caladea"/>
          <w:b/>
          <w:sz w:val="20"/>
        </w:rPr>
        <w:t>Operação Apate deflagrada pela PCDF e MPDFT</w:t>
      </w:r>
    </w:p>
    <w:p>
      <w:pPr>
        <w:pStyle w:val="BodyText"/>
        <w:spacing w:before="1"/>
        <w:rPr>
          <w:rFonts w:ascii="Caladea"/>
          <w:b/>
        </w:rPr>
      </w:pPr>
    </w:p>
    <w:p>
      <w:pPr>
        <w:pStyle w:val="BodyText"/>
        <w:spacing w:line="242" w:lineRule="auto"/>
        <w:ind w:left="192" w:right="609"/>
        <w:jc w:val="both"/>
      </w:pPr>
      <w:r>
        <w:rPr/>
        <w:t>No</w:t>
      </w:r>
      <w:r>
        <w:rPr>
          <w:spacing w:val="-24"/>
        </w:rPr>
        <w:t> </w:t>
      </w:r>
      <w:r>
        <w:rPr/>
        <w:t>dia</w:t>
      </w:r>
      <w:r>
        <w:rPr>
          <w:spacing w:val="-23"/>
        </w:rPr>
        <w:t> </w:t>
      </w:r>
      <w:r>
        <w:rPr/>
        <w:t>31</w:t>
      </w:r>
      <w:r>
        <w:rPr>
          <w:spacing w:val="-22"/>
        </w:rPr>
        <w:t> </w:t>
      </w:r>
      <w:r>
        <w:rPr/>
        <w:t>de</w:t>
      </w:r>
      <w:r>
        <w:rPr>
          <w:spacing w:val="-25"/>
        </w:rPr>
        <w:t> </w:t>
      </w:r>
      <w:r>
        <w:rPr/>
        <w:t>outubro</w:t>
      </w:r>
      <w:r>
        <w:rPr>
          <w:spacing w:val="-23"/>
        </w:rPr>
        <w:t> </w:t>
      </w:r>
      <w:r>
        <w:rPr/>
        <w:t>de</w:t>
      </w:r>
      <w:r>
        <w:rPr>
          <w:spacing w:val="-24"/>
        </w:rPr>
        <w:t> </w:t>
      </w:r>
      <w:r>
        <w:rPr/>
        <w:t>2019,</w:t>
      </w:r>
      <w:r>
        <w:rPr>
          <w:spacing w:val="-23"/>
        </w:rPr>
        <w:t> </w:t>
      </w:r>
      <w:r>
        <w:rPr/>
        <w:t>o</w:t>
      </w:r>
      <w:r>
        <w:rPr>
          <w:spacing w:val="-24"/>
        </w:rPr>
        <w:t> </w:t>
      </w:r>
      <w:r>
        <w:rPr/>
        <w:t>Grupo</w:t>
      </w:r>
      <w:r>
        <w:rPr>
          <w:spacing w:val="-23"/>
        </w:rPr>
        <w:t> </w:t>
      </w:r>
      <w:r>
        <w:rPr/>
        <w:t>de</w:t>
      </w:r>
      <w:r>
        <w:rPr>
          <w:spacing w:val="-24"/>
        </w:rPr>
        <w:t> </w:t>
      </w:r>
      <w:r>
        <w:rPr/>
        <w:t>Atuação</w:t>
      </w:r>
      <w:r>
        <w:rPr>
          <w:spacing w:val="-24"/>
        </w:rPr>
        <w:t> </w:t>
      </w:r>
      <w:r>
        <w:rPr/>
        <w:t>Especial</w:t>
      </w:r>
      <w:r>
        <w:rPr>
          <w:spacing w:val="-23"/>
        </w:rPr>
        <w:t> </w:t>
      </w:r>
      <w:r>
        <w:rPr/>
        <w:t>de</w:t>
      </w:r>
      <w:r>
        <w:rPr>
          <w:spacing w:val="-24"/>
        </w:rPr>
        <w:t> </w:t>
      </w:r>
      <w:r>
        <w:rPr/>
        <w:t>Combate</w:t>
      </w:r>
      <w:r>
        <w:rPr>
          <w:spacing w:val="-24"/>
        </w:rPr>
        <w:t> </w:t>
      </w:r>
      <w:r>
        <w:rPr/>
        <w:t>ao</w:t>
      </w:r>
      <w:r>
        <w:rPr>
          <w:spacing w:val="-24"/>
        </w:rPr>
        <w:t> </w:t>
      </w:r>
      <w:r>
        <w:rPr/>
        <w:t>Crime</w:t>
      </w:r>
      <w:r>
        <w:rPr>
          <w:spacing w:val="-22"/>
        </w:rPr>
        <w:t> </w:t>
      </w:r>
      <w:r>
        <w:rPr/>
        <w:t>Organizado</w:t>
      </w:r>
      <w:r>
        <w:rPr>
          <w:spacing w:val="-22"/>
        </w:rPr>
        <w:t> </w:t>
      </w:r>
      <w:r>
        <w:rPr/>
        <w:t>do</w:t>
      </w:r>
      <w:r>
        <w:rPr>
          <w:spacing w:val="-23"/>
        </w:rPr>
        <w:t> </w:t>
      </w:r>
      <w:r>
        <w:rPr/>
        <w:t>Ministério</w:t>
      </w:r>
      <w:r>
        <w:rPr>
          <w:spacing w:val="-24"/>
        </w:rPr>
        <w:t> </w:t>
      </w:r>
      <w:r>
        <w:rPr/>
        <w:t>Público do</w:t>
      </w:r>
      <w:r>
        <w:rPr>
          <w:spacing w:val="-21"/>
        </w:rPr>
        <w:t> </w:t>
      </w:r>
      <w:r>
        <w:rPr/>
        <w:t>Distrito</w:t>
      </w:r>
      <w:r>
        <w:rPr>
          <w:spacing w:val="-19"/>
        </w:rPr>
        <w:t> </w:t>
      </w:r>
      <w:r>
        <w:rPr/>
        <w:t>Federal</w:t>
      </w:r>
      <w:r>
        <w:rPr>
          <w:spacing w:val="-18"/>
        </w:rPr>
        <w:t> </w:t>
      </w:r>
      <w:r>
        <w:rPr/>
        <w:t>e</w:t>
      </w:r>
      <w:r>
        <w:rPr>
          <w:spacing w:val="-19"/>
        </w:rPr>
        <w:t> </w:t>
      </w:r>
      <w:r>
        <w:rPr/>
        <w:t>Territórios</w:t>
      </w:r>
      <w:r>
        <w:rPr>
          <w:spacing w:val="-18"/>
        </w:rPr>
        <w:t> </w:t>
      </w:r>
      <w:r>
        <w:rPr/>
        <w:t>(Gaeco/MPDFT),</w:t>
      </w:r>
      <w:r>
        <w:rPr>
          <w:spacing w:val="-19"/>
        </w:rPr>
        <w:t> </w:t>
      </w:r>
      <w:r>
        <w:rPr/>
        <w:t>bem</w:t>
      </w:r>
      <w:r>
        <w:rPr>
          <w:spacing w:val="-17"/>
        </w:rPr>
        <w:t> </w:t>
      </w:r>
      <w:r>
        <w:rPr/>
        <w:t>como</w:t>
      </w:r>
      <w:r>
        <w:rPr>
          <w:spacing w:val="-20"/>
        </w:rPr>
        <w:t> </w:t>
      </w:r>
      <w:r>
        <w:rPr/>
        <w:t>a</w:t>
      </w:r>
      <w:r>
        <w:rPr>
          <w:spacing w:val="-18"/>
        </w:rPr>
        <w:t> </w:t>
      </w:r>
      <w:r>
        <w:rPr/>
        <w:t>Coordenação</w:t>
      </w:r>
      <w:r>
        <w:rPr>
          <w:spacing w:val="-20"/>
        </w:rPr>
        <w:t> </w:t>
      </w:r>
      <w:r>
        <w:rPr/>
        <w:t>Especial</w:t>
      </w:r>
      <w:r>
        <w:rPr>
          <w:spacing w:val="-20"/>
        </w:rPr>
        <w:t> </w:t>
      </w:r>
      <w:r>
        <w:rPr/>
        <w:t>de</w:t>
      </w:r>
      <w:r>
        <w:rPr>
          <w:spacing w:val="-20"/>
        </w:rPr>
        <w:t> </w:t>
      </w:r>
      <w:r>
        <w:rPr/>
        <w:t>Combate</w:t>
      </w:r>
      <w:r>
        <w:rPr>
          <w:spacing w:val="-19"/>
        </w:rPr>
        <w:t> </w:t>
      </w:r>
      <w:r>
        <w:rPr/>
        <w:t>à</w:t>
      </w:r>
      <w:r>
        <w:rPr>
          <w:spacing w:val="-20"/>
        </w:rPr>
        <w:t> </w:t>
      </w:r>
      <w:r>
        <w:rPr/>
        <w:t>Corrupção,</w:t>
      </w:r>
      <w:r>
        <w:rPr>
          <w:spacing w:val="-20"/>
        </w:rPr>
        <w:t> </w:t>
      </w:r>
      <w:r>
        <w:rPr/>
        <w:t>ao Crime</w:t>
      </w:r>
      <w:r>
        <w:rPr>
          <w:spacing w:val="-11"/>
        </w:rPr>
        <w:t> </w:t>
      </w:r>
      <w:r>
        <w:rPr/>
        <w:t>Organizado</w:t>
      </w:r>
      <w:r>
        <w:rPr>
          <w:spacing w:val="-11"/>
        </w:rPr>
        <w:t> </w:t>
      </w:r>
      <w:r>
        <w:rPr/>
        <w:t>e</w:t>
      </w:r>
      <w:r>
        <w:rPr>
          <w:spacing w:val="-12"/>
        </w:rPr>
        <w:t> </w:t>
      </w:r>
      <w:r>
        <w:rPr/>
        <w:t>aos</w:t>
      </w:r>
      <w:r>
        <w:rPr>
          <w:spacing w:val="-13"/>
        </w:rPr>
        <w:t> </w:t>
      </w:r>
      <w:r>
        <w:rPr/>
        <w:t>Crimes</w:t>
      </w:r>
      <w:r>
        <w:rPr>
          <w:spacing w:val="-9"/>
        </w:rPr>
        <w:t> </w:t>
      </w:r>
      <w:r>
        <w:rPr/>
        <w:t>contra</w:t>
      </w:r>
      <w:r>
        <w:rPr>
          <w:spacing w:val="-12"/>
        </w:rPr>
        <w:t> </w:t>
      </w:r>
      <w:r>
        <w:rPr/>
        <w:t>a</w:t>
      </w:r>
      <w:r>
        <w:rPr>
          <w:spacing w:val="-12"/>
        </w:rPr>
        <w:t> </w:t>
      </w:r>
      <w:r>
        <w:rPr/>
        <w:t>Administração</w:t>
      </w:r>
      <w:r>
        <w:rPr>
          <w:spacing w:val="-13"/>
        </w:rPr>
        <w:t> </w:t>
      </w:r>
      <w:r>
        <w:rPr/>
        <w:t>Pública</w:t>
      </w:r>
      <w:r>
        <w:rPr>
          <w:spacing w:val="-13"/>
        </w:rPr>
        <w:t> </w:t>
      </w:r>
      <w:r>
        <w:rPr/>
        <w:t>(Cecor)</w:t>
      </w:r>
      <w:r>
        <w:rPr>
          <w:spacing w:val="-10"/>
        </w:rPr>
        <w:t> </w:t>
      </w:r>
      <w:r>
        <w:rPr/>
        <w:t>da</w:t>
      </w:r>
      <w:r>
        <w:rPr>
          <w:spacing w:val="-10"/>
        </w:rPr>
        <w:t> </w:t>
      </w:r>
      <w:r>
        <w:rPr/>
        <w:t>Polícia</w:t>
      </w:r>
      <w:r>
        <w:rPr>
          <w:spacing w:val="-10"/>
        </w:rPr>
        <w:t> </w:t>
      </w:r>
      <w:r>
        <w:rPr/>
        <w:t>Civil</w:t>
      </w:r>
      <w:r>
        <w:rPr>
          <w:spacing w:val="-13"/>
        </w:rPr>
        <w:t> </w:t>
      </w:r>
      <w:r>
        <w:rPr/>
        <w:t>do</w:t>
      </w:r>
      <w:r>
        <w:rPr>
          <w:spacing w:val="-11"/>
        </w:rPr>
        <w:t> </w:t>
      </w:r>
      <w:r>
        <w:rPr/>
        <w:t>Distrito</w:t>
      </w:r>
      <w:r>
        <w:rPr>
          <w:spacing w:val="-12"/>
        </w:rPr>
        <w:t> </w:t>
      </w:r>
      <w:r>
        <w:rPr/>
        <w:t>Federal</w:t>
      </w:r>
      <w:r>
        <w:rPr>
          <w:spacing w:val="-4"/>
        </w:rPr>
        <w:t> </w:t>
      </w:r>
      <w:r>
        <w:rPr/>
        <w:t>–PCDF deflagraram</w:t>
      </w:r>
      <w:r>
        <w:rPr>
          <w:spacing w:val="-39"/>
        </w:rPr>
        <w:t> </w:t>
      </w:r>
      <w:r>
        <w:rPr/>
        <w:t>a</w:t>
      </w:r>
      <w:r>
        <w:rPr>
          <w:spacing w:val="-37"/>
        </w:rPr>
        <w:t> </w:t>
      </w:r>
      <w:r>
        <w:rPr/>
        <w:t>Operação</w:t>
      </w:r>
      <w:r>
        <w:rPr>
          <w:spacing w:val="-38"/>
        </w:rPr>
        <w:t> </w:t>
      </w:r>
      <w:r>
        <w:rPr/>
        <w:t>Apate,</w:t>
      </w:r>
      <w:r>
        <w:rPr>
          <w:spacing w:val="-38"/>
        </w:rPr>
        <w:t> </w:t>
      </w:r>
      <w:r>
        <w:rPr/>
        <w:t>que</w:t>
      </w:r>
      <w:r>
        <w:rPr>
          <w:spacing w:val="-39"/>
        </w:rPr>
        <w:t> </w:t>
      </w:r>
      <w:r>
        <w:rPr/>
        <w:t>apura</w:t>
      </w:r>
      <w:r>
        <w:rPr>
          <w:spacing w:val="-37"/>
        </w:rPr>
        <w:t> </w:t>
      </w:r>
      <w:r>
        <w:rPr/>
        <w:t>a</w:t>
      </w:r>
      <w:r>
        <w:rPr>
          <w:spacing w:val="-37"/>
        </w:rPr>
        <w:t> </w:t>
      </w:r>
      <w:r>
        <w:rPr/>
        <w:t>suposta</w:t>
      </w:r>
      <w:r>
        <w:rPr>
          <w:spacing w:val="-38"/>
        </w:rPr>
        <w:t> </w:t>
      </w:r>
      <w:r>
        <w:rPr/>
        <w:t>prática</w:t>
      </w:r>
      <w:r>
        <w:rPr>
          <w:spacing w:val="-38"/>
        </w:rPr>
        <w:t> </w:t>
      </w:r>
      <w:r>
        <w:rPr/>
        <w:t>de</w:t>
      </w:r>
      <w:r>
        <w:rPr>
          <w:spacing w:val="-39"/>
        </w:rPr>
        <w:t> </w:t>
      </w:r>
      <w:r>
        <w:rPr/>
        <w:t>furto</w:t>
      </w:r>
      <w:r>
        <w:rPr>
          <w:spacing w:val="-38"/>
        </w:rPr>
        <w:t> </w:t>
      </w:r>
      <w:r>
        <w:rPr/>
        <w:t>de</w:t>
      </w:r>
      <w:r>
        <w:rPr>
          <w:spacing w:val="-37"/>
        </w:rPr>
        <w:t> </w:t>
      </w:r>
      <w:r>
        <w:rPr/>
        <w:t>energia</w:t>
      </w:r>
      <w:r>
        <w:rPr>
          <w:spacing w:val="-38"/>
        </w:rPr>
        <w:t> </w:t>
      </w:r>
      <w:r>
        <w:rPr/>
        <w:t>e</w:t>
      </w:r>
      <w:r>
        <w:rPr>
          <w:spacing w:val="-38"/>
        </w:rPr>
        <w:t> </w:t>
      </w:r>
      <w:r>
        <w:rPr/>
        <w:t>fraude</w:t>
      </w:r>
      <w:r>
        <w:rPr>
          <w:spacing w:val="-39"/>
        </w:rPr>
        <w:t> </w:t>
      </w:r>
      <w:r>
        <w:rPr/>
        <w:t>no</w:t>
      </w:r>
      <w:r>
        <w:rPr>
          <w:spacing w:val="-38"/>
        </w:rPr>
        <w:t> </w:t>
      </w:r>
      <w:r>
        <w:rPr/>
        <w:t>medidor,</w:t>
      </w:r>
      <w:r>
        <w:rPr>
          <w:spacing w:val="-38"/>
        </w:rPr>
        <w:t> </w:t>
      </w:r>
      <w:r>
        <w:rPr/>
        <w:t>com</w:t>
      </w:r>
      <w:r>
        <w:rPr>
          <w:spacing w:val="-38"/>
        </w:rPr>
        <w:t> </w:t>
      </w:r>
      <w:r>
        <w:rPr/>
        <w:t>prejuízos</w:t>
      </w:r>
      <w:r>
        <w:rPr>
          <w:spacing w:val="-38"/>
        </w:rPr>
        <w:t> </w:t>
      </w:r>
      <w:r>
        <w:rPr/>
        <w:t>à CEB</w:t>
      </w:r>
      <w:r>
        <w:rPr>
          <w:spacing w:val="-18"/>
        </w:rPr>
        <w:t> </w:t>
      </w:r>
      <w:r>
        <w:rPr/>
        <w:t>DIS.</w:t>
      </w:r>
    </w:p>
    <w:p>
      <w:pPr>
        <w:pStyle w:val="BodyText"/>
        <w:spacing w:before="4"/>
      </w:pPr>
    </w:p>
    <w:p>
      <w:pPr>
        <w:pStyle w:val="BodyText"/>
        <w:spacing w:line="242" w:lineRule="auto"/>
        <w:ind w:left="192" w:right="609"/>
        <w:jc w:val="both"/>
      </w:pPr>
      <w:r>
        <w:rPr>
          <w:w w:val="95"/>
        </w:rPr>
        <w:t>Ressalta-se</w:t>
      </w:r>
      <w:r>
        <w:rPr>
          <w:spacing w:val="-20"/>
          <w:w w:val="95"/>
        </w:rPr>
        <w:t> </w:t>
      </w:r>
      <w:r>
        <w:rPr>
          <w:w w:val="95"/>
        </w:rPr>
        <w:t>que,</w:t>
      </w:r>
      <w:r>
        <w:rPr>
          <w:spacing w:val="-17"/>
          <w:w w:val="95"/>
        </w:rPr>
        <w:t> </w:t>
      </w:r>
      <w:r>
        <w:rPr>
          <w:w w:val="95"/>
        </w:rPr>
        <w:t>no</w:t>
      </w:r>
      <w:r>
        <w:rPr>
          <w:spacing w:val="-19"/>
          <w:w w:val="95"/>
        </w:rPr>
        <w:t> </w:t>
      </w:r>
      <w:r>
        <w:rPr>
          <w:w w:val="95"/>
        </w:rPr>
        <w:t>momento,</w:t>
      </w:r>
      <w:r>
        <w:rPr>
          <w:spacing w:val="-19"/>
          <w:w w:val="95"/>
        </w:rPr>
        <w:t> </w:t>
      </w:r>
      <w:r>
        <w:rPr>
          <w:w w:val="95"/>
        </w:rPr>
        <w:t>as</w:t>
      </w:r>
      <w:r>
        <w:rPr>
          <w:spacing w:val="-19"/>
          <w:w w:val="95"/>
        </w:rPr>
        <w:t> </w:t>
      </w:r>
      <w:r>
        <w:rPr>
          <w:w w:val="95"/>
        </w:rPr>
        <w:t>investigações</w:t>
      </w:r>
      <w:r>
        <w:rPr>
          <w:spacing w:val="-15"/>
          <w:w w:val="95"/>
        </w:rPr>
        <w:t> </w:t>
      </w:r>
      <w:r>
        <w:rPr>
          <w:w w:val="95"/>
        </w:rPr>
        <w:t>estão</w:t>
      </w:r>
      <w:r>
        <w:rPr>
          <w:spacing w:val="-19"/>
          <w:w w:val="95"/>
        </w:rPr>
        <w:t> </w:t>
      </w:r>
      <w:r>
        <w:rPr>
          <w:w w:val="95"/>
        </w:rPr>
        <w:t>restritas</w:t>
      </w:r>
      <w:r>
        <w:rPr>
          <w:spacing w:val="-19"/>
          <w:w w:val="95"/>
        </w:rPr>
        <w:t> </w:t>
      </w:r>
      <w:r>
        <w:rPr>
          <w:w w:val="95"/>
        </w:rPr>
        <w:t>à</w:t>
      </w:r>
      <w:r>
        <w:rPr>
          <w:spacing w:val="-18"/>
          <w:w w:val="95"/>
        </w:rPr>
        <w:t> </w:t>
      </w:r>
      <w:r>
        <w:rPr>
          <w:w w:val="95"/>
        </w:rPr>
        <w:t>suposta</w:t>
      </w:r>
      <w:r>
        <w:rPr>
          <w:spacing w:val="-19"/>
          <w:w w:val="95"/>
        </w:rPr>
        <w:t> </w:t>
      </w:r>
      <w:r>
        <w:rPr>
          <w:w w:val="95"/>
        </w:rPr>
        <w:t>participação</w:t>
      </w:r>
      <w:r>
        <w:rPr>
          <w:spacing w:val="-18"/>
          <w:w w:val="95"/>
        </w:rPr>
        <w:t> </w:t>
      </w:r>
      <w:r>
        <w:rPr>
          <w:w w:val="95"/>
        </w:rPr>
        <w:t>de</w:t>
      </w:r>
      <w:r>
        <w:rPr>
          <w:spacing w:val="-21"/>
          <w:w w:val="95"/>
        </w:rPr>
        <w:t> </w:t>
      </w:r>
      <w:r>
        <w:rPr>
          <w:w w:val="95"/>
        </w:rPr>
        <w:t>terceirizados,</w:t>
      </w:r>
      <w:r>
        <w:rPr>
          <w:spacing w:val="-19"/>
          <w:w w:val="95"/>
        </w:rPr>
        <w:t> </w:t>
      </w:r>
      <w:r>
        <w:rPr>
          <w:w w:val="95"/>
        </w:rPr>
        <w:t>ex-empregados </w:t>
      </w:r>
      <w:r>
        <w:rPr/>
        <w:t>e</w:t>
      </w:r>
      <w:r>
        <w:rPr>
          <w:spacing w:val="-29"/>
        </w:rPr>
        <w:t> </w:t>
      </w:r>
      <w:r>
        <w:rPr/>
        <w:t>empregados</w:t>
      </w:r>
      <w:r>
        <w:rPr>
          <w:spacing w:val="-28"/>
        </w:rPr>
        <w:t> </w:t>
      </w:r>
      <w:r>
        <w:rPr/>
        <w:t>da</w:t>
      </w:r>
      <w:r>
        <w:rPr>
          <w:spacing w:val="-28"/>
        </w:rPr>
        <w:t> </w:t>
      </w:r>
      <w:r>
        <w:rPr/>
        <w:t>Companhia.</w:t>
      </w:r>
      <w:r>
        <w:rPr>
          <w:spacing w:val="-28"/>
        </w:rPr>
        <w:t> </w:t>
      </w:r>
      <w:r>
        <w:rPr/>
        <w:t>Após</w:t>
      </w:r>
      <w:r>
        <w:rPr>
          <w:spacing w:val="-28"/>
        </w:rPr>
        <w:t> </w:t>
      </w:r>
      <w:r>
        <w:rPr/>
        <w:t>segunda</w:t>
      </w:r>
      <w:r>
        <w:rPr>
          <w:spacing w:val="-28"/>
        </w:rPr>
        <w:t> </w:t>
      </w:r>
      <w:r>
        <w:rPr/>
        <w:t>fase</w:t>
      </w:r>
      <w:r>
        <w:rPr>
          <w:spacing w:val="-29"/>
        </w:rPr>
        <w:t> </w:t>
      </w:r>
      <w:r>
        <w:rPr/>
        <w:t>da</w:t>
      </w:r>
      <w:r>
        <w:rPr>
          <w:spacing w:val="-28"/>
        </w:rPr>
        <w:t> </w:t>
      </w:r>
      <w:r>
        <w:rPr/>
        <w:t>Operação</w:t>
      </w:r>
      <w:r>
        <w:rPr>
          <w:spacing w:val="-30"/>
        </w:rPr>
        <w:t> </w:t>
      </w:r>
      <w:r>
        <w:rPr/>
        <w:t>Apate,</w:t>
      </w:r>
      <w:r>
        <w:rPr>
          <w:spacing w:val="-28"/>
        </w:rPr>
        <w:t> </w:t>
      </w:r>
      <w:r>
        <w:rPr/>
        <w:t>processos</w:t>
      </w:r>
      <w:r>
        <w:rPr>
          <w:spacing w:val="-27"/>
        </w:rPr>
        <w:t> </w:t>
      </w:r>
      <w:r>
        <w:rPr/>
        <w:t>disciplinares</w:t>
      </w:r>
      <w:r>
        <w:rPr>
          <w:spacing w:val="-27"/>
        </w:rPr>
        <w:t> </w:t>
      </w:r>
      <w:r>
        <w:rPr/>
        <w:t>no</w:t>
      </w:r>
      <w:r>
        <w:rPr>
          <w:spacing w:val="-28"/>
        </w:rPr>
        <w:t> </w:t>
      </w:r>
      <w:r>
        <w:rPr/>
        <w:t>âmbito</w:t>
      </w:r>
      <w:r>
        <w:rPr>
          <w:spacing w:val="-29"/>
        </w:rPr>
        <w:t> </w:t>
      </w:r>
      <w:r>
        <w:rPr/>
        <w:t>da</w:t>
      </w:r>
      <w:r>
        <w:rPr>
          <w:spacing w:val="-29"/>
        </w:rPr>
        <w:t> </w:t>
      </w:r>
      <w:r>
        <w:rPr/>
        <w:t>CEB-D</w:t>
      </w:r>
      <w:r>
        <w:rPr>
          <w:spacing w:val="-30"/>
        </w:rPr>
        <w:t> </w:t>
      </w:r>
      <w:r>
        <w:rPr/>
        <w:t>já foram</w:t>
      </w:r>
      <w:r>
        <w:rPr>
          <w:spacing w:val="-23"/>
        </w:rPr>
        <w:t> </w:t>
      </w:r>
      <w:r>
        <w:rPr/>
        <w:t>instaurados</w:t>
      </w:r>
      <w:r>
        <w:rPr>
          <w:spacing w:val="-22"/>
        </w:rPr>
        <w:t> </w:t>
      </w:r>
      <w:r>
        <w:rPr/>
        <w:t>e,</w:t>
      </w:r>
      <w:r>
        <w:rPr>
          <w:spacing w:val="-22"/>
        </w:rPr>
        <w:t> </w:t>
      </w:r>
      <w:r>
        <w:rPr/>
        <w:t>nos</w:t>
      </w:r>
      <w:r>
        <w:rPr>
          <w:spacing w:val="-22"/>
        </w:rPr>
        <w:t> </w:t>
      </w:r>
      <w:r>
        <w:rPr/>
        <w:t>casos</w:t>
      </w:r>
      <w:r>
        <w:rPr>
          <w:spacing w:val="-22"/>
        </w:rPr>
        <w:t> </w:t>
      </w:r>
      <w:r>
        <w:rPr/>
        <w:t>em</w:t>
      </w:r>
      <w:r>
        <w:rPr>
          <w:spacing w:val="-23"/>
        </w:rPr>
        <w:t> </w:t>
      </w:r>
      <w:r>
        <w:rPr/>
        <w:t>que</w:t>
      </w:r>
      <w:r>
        <w:rPr>
          <w:spacing w:val="-23"/>
        </w:rPr>
        <w:t> </w:t>
      </w:r>
      <w:r>
        <w:rPr/>
        <w:t>for</w:t>
      </w:r>
      <w:r>
        <w:rPr>
          <w:spacing w:val="-24"/>
        </w:rPr>
        <w:t> </w:t>
      </w:r>
      <w:r>
        <w:rPr/>
        <w:t>comprovado</w:t>
      </w:r>
      <w:r>
        <w:rPr>
          <w:spacing w:val="-21"/>
        </w:rPr>
        <w:t> </w:t>
      </w:r>
      <w:r>
        <w:rPr/>
        <w:t>o</w:t>
      </w:r>
      <w:r>
        <w:rPr>
          <w:spacing w:val="-23"/>
        </w:rPr>
        <w:t> </w:t>
      </w:r>
      <w:r>
        <w:rPr/>
        <w:t>efetivo</w:t>
      </w:r>
      <w:r>
        <w:rPr>
          <w:spacing w:val="-21"/>
        </w:rPr>
        <w:t> </w:t>
      </w:r>
      <w:r>
        <w:rPr/>
        <w:t>envolvimento</w:t>
      </w:r>
      <w:r>
        <w:rPr>
          <w:spacing w:val="-17"/>
        </w:rPr>
        <w:t> </w:t>
      </w:r>
      <w:r>
        <w:rPr/>
        <w:t>de</w:t>
      </w:r>
      <w:r>
        <w:rPr>
          <w:spacing w:val="-22"/>
        </w:rPr>
        <w:t> </w:t>
      </w:r>
      <w:r>
        <w:rPr/>
        <w:t>empregados,</w:t>
      </w:r>
      <w:r>
        <w:rPr>
          <w:spacing w:val="-22"/>
        </w:rPr>
        <w:t> </w:t>
      </w:r>
      <w:r>
        <w:rPr/>
        <w:t>serão</w:t>
      </w:r>
      <w:r>
        <w:rPr>
          <w:spacing w:val="-23"/>
        </w:rPr>
        <w:t> </w:t>
      </w:r>
      <w:r>
        <w:rPr/>
        <w:t>aplicadas</w:t>
      </w:r>
      <w:r>
        <w:rPr>
          <w:spacing w:val="-22"/>
        </w:rPr>
        <w:t> </w:t>
      </w:r>
      <w:r>
        <w:rPr/>
        <w:t>as penalidades</w:t>
      </w:r>
      <w:r>
        <w:rPr>
          <w:spacing w:val="-35"/>
        </w:rPr>
        <w:t> </w:t>
      </w:r>
      <w:r>
        <w:rPr/>
        <w:t>cabíveis.</w:t>
      </w:r>
      <w:r>
        <w:rPr>
          <w:spacing w:val="-34"/>
        </w:rPr>
        <w:t> </w:t>
      </w:r>
      <w:r>
        <w:rPr/>
        <w:t>Ademais,</w:t>
      </w:r>
      <w:r>
        <w:rPr>
          <w:spacing w:val="-35"/>
        </w:rPr>
        <w:t> </w:t>
      </w:r>
      <w:r>
        <w:rPr/>
        <w:t>foi</w:t>
      </w:r>
      <w:r>
        <w:rPr>
          <w:spacing w:val="-35"/>
        </w:rPr>
        <w:t> </w:t>
      </w:r>
      <w:r>
        <w:rPr/>
        <w:t>instaurada</w:t>
      </w:r>
      <w:r>
        <w:rPr>
          <w:spacing w:val="-32"/>
        </w:rPr>
        <w:t> </w:t>
      </w:r>
      <w:r>
        <w:rPr/>
        <w:t>comissão</w:t>
      </w:r>
      <w:r>
        <w:rPr>
          <w:spacing w:val="-34"/>
        </w:rPr>
        <w:t> </w:t>
      </w:r>
      <w:r>
        <w:rPr/>
        <w:t>para</w:t>
      </w:r>
      <w:r>
        <w:rPr>
          <w:spacing w:val="-35"/>
        </w:rPr>
        <w:t> </w:t>
      </w:r>
      <w:r>
        <w:rPr/>
        <w:t>apurar</w:t>
      </w:r>
      <w:r>
        <w:rPr>
          <w:spacing w:val="-36"/>
        </w:rPr>
        <w:t> </w:t>
      </w:r>
      <w:r>
        <w:rPr/>
        <w:t>as</w:t>
      </w:r>
      <w:r>
        <w:rPr>
          <w:spacing w:val="-34"/>
        </w:rPr>
        <w:t> </w:t>
      </w:r>
      <w:r>
        <w:rPr/>
        <w:t>fraudes</w:t>
      </w:r>
      <w:r>
        <w:rPr>
          <w:spacing w:val="-34"/>
        </w:rPr>
        <w:t> </w:t>
      </w:r>
      <w:r>
        <w:rPr/>
        <w:t>e</w:t>
      </w:r>
      <w:r>
        <w:rPr>
          <w:spacing w:val="-34"/>
        </w:rPr>
        <w:t> </w:t>
      </w:r>
      <w:r>
        <w:rPr/>
        <w:t>quantificar</w:t>
      </w:r>
      <w:r>
        <w:rPr>
          <w:spacing w:val="-35"/>
        </w:rPr>
        <w:t> </w:t>
      </w:r>
      <w:r>
        <w:rPr/>
        <w:t>os</w:t>
      </w:r>
      <w:r>
        <w:rPr>
          <w:spacing w:val="-34"/>
        </w:rPr>
        <w:t> </w:t>
      </w:r>
      <w:r>
        <w:rPr/>
        <w:t>danos,</w:t>
      </w:r>
      <w:r>
        <w:rPr>
          <w:spacing w:val="-34"/>
        </w:rPr>
        <w:t> </w:t>
      </w:r>
      <w:r>
        <w:rPr/>
        <w:t>com</w:t>
      </w:r>
      <w:r>
        <w:rPr>
          <w:spacing w:val="-34"/>
        </w:rPr>
        <w:t> </w:t>
      </w:r>
      <w:r>
        <w:rPr/>
        <w:t>fulcro</w:t>
      </w:r>
      <w:r>
        <w:rPr>
          <w:spacing w:val="-36"/>
        </w:rPr>
        <w:t> </w:t>
      </w:r>
      <w:r>
        <w:rPr/>
        <w:t>na Lei</w:t>
      </w:r>
      <w:r>
        <w:rPr>
          <w:spacing w:val="-19"/>
        </w:rPr>
        <w:t> </w:t>
      </w:r>
      <w:r>
        <w:rPr/>
        <w:t>n.</w:t>
      </w:r>
      <w:r>
        <w:rPr>
          <w:spacing w:val="-16"/>
        </w:rPr>
        <w:t> </w:t>
      </w:r>
      <w:r>
        <w:rPr/>
        <w:t>12.846/2013</w:t>
      </w:r>
      <w:r>
        <w:rPr>
          <w:spacing w:val="-16"/>
        </w:rPr>
        <w:t> </w:t>
      </w:r>
      <w:r>
        <w:rPr/>
        <w:t>e</w:t>
      </w:r>
      <w:r>
        <w:rPr>
          <w:spacing w:val="-17"/>
        </w:rPr>
        <w:t> </w:t>
      </w:r>
      <w:r>
        <w:rPr/>
        <w:t>Decreto</w:t>
      </w:r>
      <w:r>
        <w:rPr>
          <w:spacing w:val="-19"/>
        </w:rPr>
        <w:t> </w:t>
      </w:r>
      <w:r>
        <w:rPr/>
        <w:t>Distrital</w:t>
      </w:r>
      <w:r>
        <w:rPr>
          <w:spacing w:val="-18"/>
        </w:rPr>
        <w:t> </w:t>
      </w:r>
      <w:r>
        <w:rPr/>
        <w:t>37.296/2016.</w:t>
      </w:r>
    </w:p>
    <w:p>
      <w:pPr>
        <w:spacing w:after="0" w:line="242" w:lineRule="auto"/>
        <w:jc w:val="both"/>
        <w:sectPr>
          <w:pgSz w:w="11910" w:h="16850"/>
          <w:pgMar w:header="792" w:footer="1193" w:top="1360" w:bottom="1460" w:left="940" w:right="240"/>
        </w:sectPr>
      </w:pPr>
    </w:p>
    <w:p>
      <w:pPr>
        <w:pStyle w:val="BodyText"/>
        <w:spacing w:before="7"/>
        <w:rPr>
          <w:sz w:val="15"/>
        </w:rPr>
      </w:pPr>
    </w:p>
    <w:p>
      <w:pPr>
        <w:pStyle w:val="BodyText"/>
        <w:spacing w:line="242" w:lineRule="auto" w:before="102"/>
        <w:ind w:left="192" w:right="615"/>
        <w:jc w:val="both"/>
      </w:pPr>
      <w:r>
        <w:rPr/>
        <w:t>O</w:t>
      </w:r>
      <w:r>
        <w:rPr>
          <w:spacing w:val="-36"/>
        </w:rPr>
        <w:t> </w:t>
      </w:r>
      <w:r>
        <w:rPr/>
        <w:t>montante</w:t>
      </w:r>
      <w:r>
        <w:rPr>
          <w:spacing w:val="-35"/>
        </w:rPr>
        <w:t> </w:t>
      </w:r>
      <w:r>
        <w:rPr/>
        <w:t>desviado</w:t>
      </w:r>
      <w:r>
        <w:rPr>
          <w:spacing w:val="-34"/>
        </w:rPr>
        <w:t> </w:t>
      </w:r>
      <w:r>
        <w:rPr/>
        <w:t>pelos</w:t>
      </w:r>
      <w:r>
        <w:rPr>
          <w:spacing w:val="-35"/>
        </w:rPr>
        <w:t> </w:t>
      </w:r>
      <w:r>
        <w:rPr/>
        <w:t>suspeitos</w:t>
      </w:r>
      <w:r>
        <w:rPr>
          <w:spacing w:val="-34"/>
        </w:rPr>
        <w:t> </w:t>
      </w:r>
      <w:r>
        <w:rPr/>
        <w:t>ainda</w:t>
      </w:r>
      <w:r>
        <w:rPr>
          <w:spacing w:val="-33"/>
        </w:rPr>
        <w:t> </w:t>
      </w:r>
      <w:r>
        <w:rPr/>
        <w:t>não</w:t>
      </w:r>
      <w:r>
        <w:rPr>
          <w:spacing w:val="-34"/>
        </w:rPr>
        <w:t> </w:t>
      </w:r>
      <w:r>
        <w:rPr/>
        <w:t>foi</w:t>
      </w:r>
      <w:r>
        <w:rPr>
          <w:spacing w:val="-35"/>
        </w:rPr>
        <w:t> </w:t>
      </w:r>
      <w:r>
        <w:rPr/>
        <w:t>apurado,</w:t>
      </w:r>
      <w:r>
        <w:rPr>
          <w:spacing w:val="-35"/>
        </w:rPr>
        <w:t> </w:t>
      </w:r>
      <w:r>
        <w:rPr/>
        <w:t>tendo</w:t>
      </w:r>
      <w:r>
        <w:rPr>
          <w:spacing w:val="-34"/>
        </w:rPr>
        <w:t> </w:t>
      </w:r>
      <w:r>
        <w:rPr/>
        <w:t>em</w:t>
      </w:r>
      <w:r>
        <w:rPr>
          <w:spacing w:val="-35"/>
        </w:rPr>
        <w:t> </w:t>
      </w:r>
      <w:r>
        <w:rPr/>
        <w:t>vista</w:t>
      </w:r>
      <w:r>
        <w:rPr>
          <w:spacing w:val="-34"/>
        </w:rPr>
        <w:t> </w:t>
      </w:r>
      <w:r>
        <w:rPr/>
        <w:t>que</w:t>
      </w:r>
      <w:r>
        <w:rPr>
          <w:spacing w:val="-34"/>
        </w:rPr>
        <w:t> </w:t>
      </w:r>
      <w:r>
        <w:rPr/>
        <w:t>a</w:t>
      </w:r>
      <w:r>
        <w:rPr>
          <w:spacing w:val="-34"/>
        </w:rPr>
        <w:t> </w:t>
      </w:r>
      <w:r>
        <w:rPr/>
        <w:t>investigação</w:t>
      </w:r>
      <w:r>
        <w:rPr>
          <w:spacing w:val="-34"/>
        </w:rPr>
        <w:t> </w:t>
      </w:r>
      <w:r>
        <w:rPr/>
        <w:t>está</w:t>
      </w:r>
      <w:r>
        <w:rPr>
          <w:spacing w:val="-34"/>
        </w:rPr>
        <w:t> </w:t>
      </w:r>
      <w:r>
        <w:rPr/>
        <w:t>em</w:t>
      </w:r>
      <w:r>
        <w:rPr>
          <w:spacing w:val="-33"/>
        </w:rPr>
        <w:t> </w:t>
      </w:r>
      <w:r>
        <w:rPr/>
        <w:t>andamento</w:t>
      </w:r>
      <w:r>
        <w:rPr>
          <w:spacing w:val="-34"/>
        </w:rPr>
        <w:t> </w:t>
      </w:r>
      <w:r>
        <w:rPr/>
        <w:t>e sob</w:t>
      </w:r>
      <w:r>
        <w:rPr>
          <w:spacing w:val="-25"/>
        </w:rPr>
        <w:t> </w:t>
      </w:r>
      <w:r>
        <w:rPr/>
        <w:t>sigilo,</w:t>
      </w:r>
      <w:r>
        <w:rPr>
          <w:spacing w:val="-22"/>
        </w:rPr>
        <w:t> </w:t>
      </w:r>
      <w:r>
        <w:rPr/>
        <w:t>conforme</w:t>
      </w:r>
      <w:r>
        <w:rPr>
          <w:spacing w:val="-25"/>
        </w:rPr>
        <w:t> </w:t>
      </w:r>
      <w:r>
        <w:rPr/>
        <w:t>art.20</w:t>
      </w:r>
      <w:r>
        <w:rPr>
          <w:spacing w:val="-22"/>
        </w:rPr>
        <w:t> </w:t>
      </w:r>
      <w:r>
        <w:rPr/>
        <w:t>do</w:t>
      </w:r>
      <w:r>
        <w:rPr>
          <w:spacing w:val="-24"/>
        </w:rPr>
        <w:t> </w:t>
      </w:r>
      <w:r>
        <w:rPr/>
        <w:t>Decreto</w:t>
      </w:r>
      <w:r>
        <w:rPr>
          <w:spacing w:val="-24"/>
        </w:rPr>
        <w:t> </w:t>
      </w:r>
      <w:r>
        <w:rPr/>
        <w:t>Lei</w:t>
      </w:r>
      <w:r>
        <w:rPr>
          <w:spacing w:val="-24"/>
        </w:rPr>
        <w:t> </w:t>
      </w:r>
      <w:r>
        <w:rPr/>
        <w:t>Nº</w:t>
      </w:r>
      <w:r>
        <w:rPr>
          <w:spacing w:val="-22"/>
        </w:rPr>
        <w:t> </w:t>
      </w:r>
      <w:r>
        <w:rPr/>
        <w:t>3.689,</w:t>
      </w:r>
      <w:r>
        <w:rPr>
          <w:spacing w:val="-22"/>
        </w:rPr>
        <w:t> </w:t>
      </w:r>
      <w:r>
        <w:rPr/>
        <w:t>de</w:t>
      </w:r>
      <w:r>
        <w:rPr>
          <w:spacing w:val="-25"/>
        </w:rPr>
        <w:t> </w:t>
      </w:r>
      <w:r>
        <w:rPr/>
        <w:t>03</w:t>
      </w:r>
      <w:r>
        <w:rPr>
          <w:spacing w:val="-23"/>
        </w:rPr>
        <w:t> </w:t>
      </w:r>
      <w:r>
        <w:rPr/>
        <w:t>de</w:t>
      </w:r>
      <w:r>
        <w:rPr>
          <w:spacing w:val="-23"/>
        </w:rPr>
        <w:t> </w:t>
      </w:r>
      <w:r>
        <w:rPr/>
        <w:t>outubro</w:t>
      </w:r>
      <w:r>
        <w:rPr>
          <w:spacing w:val="-24"/>
        </w:rPr>
        <w:t> </w:t>
      </w:r>
      <w:r>
        <w:rPr/>
        <w:t>de</w:t>
      </w:r>
      <w:r>
        <w:rPr>
          <w:spacing w:val="-25"/>
        </w:rPr>
        <w:t> </w:t>
      </w:r>
      <w:r>
        <w:rPr/>
        <w:t>1941</w:t>
      </w:r>
      <w:r>
        <w:rPr>
          <w:spacing w:val="-19"/>
        </w:rPr>
        <w:t> </w:t>
      </w:r>
      <w:r>
        <w:rPr>
          <w:w w:val="105"/>
        </w:rPr>
        <w:t>–</w:t>
      </w:r>
      <w:r>
        <w:rPr>
          <w:spacing w:val="-25"/>
          <w:w w:val="105"/>
        </w:rPr>
        <w:t> </w:t>
      </w:r>
      <w:r>
        <w:rPr/>
        <w:t>Código</w:t>
      </w:r>
      <w:r>
        <w:rPr>
          <w:spacing w:val="-25"/>
        </w:rPr>
        <w:t> </w:t>
      </w:r>
      <w:r>
        <w:rPr/>
        <w:t>de</w:t>
      </w:r>
      <w:r>
        <w:rPr>
          <w:spacing w:val="-25"/>
        </w:rPr>
        <w:t> </w:t>
      </w:r>
      <w:r>
        <w:rPr/>
        <w:t>Processo</w:t>
      </w:r>
      <w:r>
        <w:rPr>
          <w:spacing w:val="-21"/>
        </w:rPr>
        <w:t> </w:t>
      </w:r>
      <w:r>
        <w:rPr/>
        <w:t>Penal.</w:t>
      </w:r>
    </w:p>
    <w:p>
      <w:pPr>
        <w:pStyle w:val="BodyText"/>
        <w:spacing w:before="1"/>
      </w:pPr>
    </w:p>
    <w:p>
      <w:pPr>
        <w:pStyle w:val="BodyText"/>
        <w:spacing w:line="242" w:lineRule="auto"/>
        <w:ind w:left="192" w:right="605"/>
        <w:jc w:val="both"/>
      </w:pPr>
      <w:r>
        <w:rPr/>
        <w:t>A Administração da CEB DIS está colaborando com as investigações e reitera o compromisso com a redução da inadimplência</w:t>
      </w:r>
      <w:r>
        <w:rPr>
          <w:spacing w:val="-46"/>
        </w:rPr>
        <w:t> </w:t>
      </w:r>
      <w:r>
        <w:rPr/>
        <w:t>e</w:t>
      </w:r>
      <w:r>
        <w:rPr>
          <w:spacing w:val="-45"/>
        </w:rPr>
        <w:t> </w:t>
      </w:r>
      <w:r>
        <w:rPr/>
        <w:t>no</w:t>
      </w:r>
      <w:r>
        <w:rPr>
          <w:spacing w:val="-45"/>
        </w:rPr>
        <w:t> </w:t>
      </w:r>
      <w:r>
        <w:rPr/>
        <w:t>combate</w:t>
      </w:r>
      <w:r>
        <w:rPr>
          <w:spacing w:val="-46"/>
        </w:rPr>
        <w:t> </w:t>
      </w:r>
      <w:r>
        <w:rPr/>
        <w:t>às</w:t>
      </w:r>
      <w:r>
        <w:rPr>
          <w:spacing w:val="-46"/>
        </w:rPr>
        <w:t> </w:t>
      </w:r>
      <w:r>
        <w:rPr/>
        <w:t>perdas,</w:t>
      </w:r>
      <w:r>
        <w:rPr>
          <w:spacing w:val="-47"/>
        </w:rPr>
        <w:t> </w:t>
      </w:r>
      <w:r>
        <w:rPr/>
        <w:t>seja</w:t>
      </w:r>
      <w:r>
        <w:rPr>
          <w:spacing w:val="-45"/>
        </w:rPr>
        <w:t> </w:t>
      </w:r>
      <w:r>
        <w:rPr/>
        <w:t>por</w:t>
      </w:r>
      <w:r>
        <w:rPr>
          <w:spacing w:val="-46"/>
        </w:rPr>
        <w:t> </w:t>
      </w:r>
      <w:r>
        <w:rPr/>
        <w:t>furto</w:t>
      </w:r>
      <w:r>
        <w:rPr>
          <w:spacing w:val="-45"/>
        </w:rPr>
        <w:t> </w:t>
      </w:r>
      <w:r>
        <w:rPr/>
        <w:t>ou</w:t>
      </w:r>
      <w:r>
        <w:rPr>
          <w:spacing w:val="-46"/>
        </w:rPr>
        <w:t> </w:t>
      </w:r>
      <w:r>
        <w:rPr/>
        <w:t>fraude,</w:t>
      </w:r>
      <w:r>
        <w:rPr>
          <w:spacing w:val="-45"/>
        </w:rPr>
        <w:t> </w:t>
      </w:r>
      <w:r>
        <w:rPr/>
        <w:t>que</w:t>
      </w:r>
      <w:r>
        <w:rPr>
          <w:spacing w:val="-45"/>
        </w:rPr>
        <w:t> </w:t>
      </w:r>
      <w:r>
        <w:rPr/>
        <w:t>tanto</w:t>
      </w:r>
      <w:r>
        <w:rPr>
          <w:spacing w:val="-46"/>
        </w:rPr>
        <w:t> </w:t>
      </w:r>
      <w:r>
        <w:rPr/>
        <w:t>lesam</w:t>
      </w:r>
      <w:r>
        <w:rPr>
          <w:spacing w:val="-46"/>
        </w:rPr>
        <w:t> </w:t>
      </w:r>
      <w:r>
        <w:rPr/>
        <w:t>o</w:t>
      </w:r>
      <w:r>
        <w:rPr>
          <w:spacing w:val="-46"/>
        </w:rPr>
        <w:t> </w:t>
      </w:r>
      <w:r>
        <w:rPr/>
        <w:t>consumidor,</w:t>
      </w:r>
      <w:r>
        <w:rPr>
          <w:spacing w:val="-46"/>
        </w:rPr>
        <w:t> </w:t>
      </w:r>
      <w:r>
        <w:rPr/>
        <w:t>além</w:t>
      </w:r>
      <w:r>
        <w:rPr>
          <w:spacing w:val="-45"/>
        </w:rPr>
        <w:t> </w:t>
      </w:r>
      <w:r>
        <w:rPr/>
        <w:t>de</w:t>
      </w:r>
      <w:r>
        <w:rPr>
          <w:spacing w:val="-47"/>
        </w:rPr>
        <w:t> </w:t>
      </w:r>
      <w:r>
        <w:rPr/>
        <w:t>prejudicar</w:t>
      </w:r>
      <w:r>
        <w:rPr>
          <w:spacing w:val="-45"/>
        </w:rPr>
        <w:t> </w:t>
      </w:r>
      <w:r>
        <w:rPr/>
        <w:t>sua imagem</w:t>
      </w:r>
      <w:r>
        <w:rPr>
          <w:spacing w:val="-28"/>
        </w:rPr>
        <w:t> </w:t>
      </w:r>
      <w:r>
        <w:rPr/>
        <w:t>empresarial</w:t>
      </w:r>
      <w:r>
        <w:rPr>
          <w:spacing w:val="-28"/>
        </w:rPr>
        <w:t> </w:t>
      </w:r>
      <w:r>
        <w:rPr/>
        <w:t>e</w:t>
      </w:r>
      <w:r>
        <w:rPr>
          <w:spacing w:val="-29"/>
        </w:rPr>
        <w:t> </w:t>
      </w:r>
      <w:r>
        <w:rPr/>
        <w:t>dos</w:t>
      </w:r>
      <w:r>
        <w:rPr>
          <w:spacing w:val="-29"/>
        </w:rPr>
        <w:t> </w:t>
      </w:r>
      <w:r>
        <w:rPr/>
        <w:t>demais</w:t>
      </w:r>
      <w:r>
        <w:rPr>
          <w:spacing w:val="-28"/>
        </w:rPr>
        <w:t> </w:t>
      </w:r>
      <w:r>
        <w:rPr/>
        <w:t>empregados</w:t>
      </w:r>
      <w:r>
        <w:rPr>
          <w:spacing w:val="-27"/>
        </w:rPr>
        <w:t> </w:t>
      </w:r>
      <w:r>
        <w:rPr/>
        <w:t>que</w:t>
      </w:r>
      <w:r>
        <w:rPr>
          <w:spacing w:val="-30"/>
        </w:rPr>
        <w:t> </w:t>
      </w:r>
      <w:r>
        <w:rPr/>
        <w:t>desempenham</w:t>
      </w:r>
      <w:r>
        <w:rPr>
          <w:spacing w:val="-29"/>
        </w:rPr>
        <w:t> </w:t>
      </w:r>
      <w:r>
        <w:rPr/>
        <w:t>as</w:t>
      </w:r>
      <w:r>
        <w:rPr>
          <w:spacing w:val="-30"/>
        </w:rPr>
        <w:t> </w:t>
      </w:r>
      <w:r>
        <w:rPr/>
        <w:t>suas</w:t>
      </w:r>
      <w:r>
        <w:rPr>
          <w:spacing w:val="-30"/>
        </w:rPr>
        <w:t> </w:t>
      </w:r>
      <w:r>
        <w:rPr/>
        <w:t>atividades</w:t>
      </w:r>
      <w:r>
        <w:rPr>
          <w:spacing w:val="-30"/>
        </w:rPr>
        <w:t> </w:t>
      </w:r>
      <w:r>
        <w:rPr/>
        <w:t>funcionais</w:t>
      </w:r>
      <w:r>
        <w:rPr>
          <w:spacing w:val="-28"/>
        </w:rPr>
        <w:t> </w:t>
      </w:r>
      <w:r>
        <w:rPr/>
        <w:t>com</w:t>
      </w:r>
      <w:r>
        <w:rPr>
          <w:spacing w:val="-29"/>
        </w:rPr>
        <w:t> </w:t>
      </w:r>
      <w:r>
        <w:rPr/>
        <w:t>honestidade</w:t>
      </w:r>
      <w:r>
        <w:rPr>
          <w:spacing w:val="-28"/>
        </w:rPr>
        <w:t> </w:t>
      </w:r>
      <w:r>
        <w:rPr/>
        <w:t>e responsabilidade.</w:t>
      </w:r>
    </w:p>
    <w:p>
      <w:pPr>
        <w:pStyle w:val="BodyText"/>
        <w:spacing w:before="3"/>
      </w:pPr>
    </w:p>
    <w:p>
      <w:pPr>
        <w:pStyle w:val="BodyText"/>
        <w:spacing w:line="242" w:lineRule="auto" w:before="1"/>
        <w:ind w:left="192" w:right="619"/>
        <w:jc w:val="both"/>
      </w:pPr>
      <w:r>
        <w:rPr/>
        <w:t>Destaca-se</w:t>
      </w:r>
      <w:r>
        <w:rPr>
          <w:spacing w:val="-22"/>
        </w:rPr>
        <w:t> </w:t>
      </w:r>
      <w:r>
        <w:rPr/>
        <w:t>que</w:t>
      </w:r>
      <w:r>
        <w:rPr>
          <w:spacing w:val="-21"/>
        </w:rPr>
        <w:t> </w:t>
      </w:r>
      <w:r>
        <w:rPr/>
        <w:t>os</w:t>
      </w:r>
      <w:r>
        <w:rPr>
          <w:spacing w:val="-20"/>
        </w:rPr>
        <w:t> </w:t>
      </w:r>
      <w:r>
        <w:rPr/>
        <w:t>efeitos</w:t>
      </w:r>
      <w:r>
        <w:rPr>
          <w:spacing w:val="-20"/>
        </w:rPr>
        <w:t> </w:t>
      </w:r>
      <w:r>
        <w:rPr/>
        <w:t>das</w:t>
      </w:r>
      <w:r>
        <w:rPr>
          <w:spacing w:val="-21"/>
        </w:rPr>
        <w:t> </w:t>
      </w:r>
      <w:r>
        <w:rPr/>
        <w:t>Perdas</w:t>
      </w:r>
      <w:r>
        <w:rPr>
          <w:spacing w:val="-21"/>
        </w:rPr>
        <w:t> </w:t>
      </w:r>
      <w:r>
        <w:rPr/>
        <w:t>Não</w:t>
      </w:r>
      <w:r>
        <w:rPr>
          <w:spacing w:val="-21"/>
        </w:rPr>
        <w:t> </w:t>
      </w:r>
      <w:r>
        <w:rPr/>
        <w:t>Técnicas</w:t>
      </w:r>
      <w:r>
        <w:rPr>
          <w:spacing w:val="-21"/>
        </w:rPr>
        <w:t> </w:t>
      </w:r>
      <w:r>
        <w:rPr/>
        <w:t>no</w:t>
      </w:r>
      <w:r>
        <w:rPr>
          <w:spacing w:val="-19"/>
        </w:rPr>
        <w:t> </w:t>
      </w:r>
      <w:r>
        <w:rPr/>
        <w:t>Resultado,</w:t>
      </w:r>
      <w:r>
        <w:rPr>
          <w:spacing w:val="-21"/>
        </w:rPr>
        <w:t> </w:t>
      </w:r>
      <w:r>
        <w:rPr/>
        <w:t>independentemente</w:t>
      </w:r>
      <w:r>
        <w:rPr>
          <w:spacing w:val="-21"/>
        </w:rPr>
        <w:t> </w:t>
      </w:r>
      <w:r>
        <w:rPr/>
        <w:t>da</w:t>
      </w:r>
      <w:r>
        <w:rPr>
          <w:spacing w:val="-19"/>
        </w:rPr>
        <w:t> </w:t>
      </w:r>
      <w:r>
        <w:rPr/>
        <w:t>causa</w:t>
      </w:r>
      <w:r>
        <w:rPr>
          <w:spacing w:val="-21"/>
        </w:rPr>
        <w:t> </w:t>
      </w:r>
      <w:r>
        <w:rPr/>
        <w:t>(furtos</w:t>
      </w:r>
      <w:r>
        <w:rPr>
          <w:spacing w:val="-20"/>
        </w:rPr>
        <w:t> </w:t>
      </w:r>
      <w:r>
        <w:rPr/>
        <w:t>de</w:t>
      </w:r>
      <w:r>
        <w:rPr>
          <w:spacing w:val="-21"/>
        </w:rPr>
        <w:t> </w:t>
      </w:r>
      <w:r>
        <w:rPr/>
        <w:t>energia elétrica,</w:t>
      </w:r>
      <w:r>
        <w:rPr>
          <w:spacing w:val="-42"/>
        </w:rPr>
        <w:t> </w:t>
      </w:r>
      <w:r>
        <w:rPr/>
        <w:t>erros</w:t>
      </w:r>
      <w:r>
        <w:rPr>
          <w:spacing w:val="-42"/>
        </w:rPr>
        <w:t> </w:t>
      </w:r>
      <w:r>
        <w:rPr/>
        <w:t>de</w:t>
      </w:r>
      <w:r>
        <w:rPr>
          <w:spacing w:val="-42"/>
        </w:rPr>
        <w:t> </w:t>
      </w:r>
      <w:r>
        <w:rPr/>
        <w:t>medição,</w:t>
      </w:r>
      <w:r>
        <w:rPr>
          <w:spacing w:val="-42"/>
        </w:rPr>
        <w:t> </w:t>
      </w:r>
      <w:r>
        <w:rPr/>
        <w:t>erros</w:t>
      </w:r>
      <w:r>
        <w:rPr>
          <w:spacing w:val="-41"/>
        </w:rPr>
        <w:t> </w:t>
      </w:r>
      <w:r>
        <w:rPr/>
        <w:t>no</w:t>
      </w:r>
      <w:r>
        <w:rPr>
          <w:spacing w:val="-41"/>
        </w:rPr>
        <w:t> </w:t>
      </w:r>
      <w:r>
        <w:rPr/>
        <w:t>processo</w:t>
      </w:r>
      <w:r>
        <w:rPr>
          <w:spacing w:val="-43"/>
        </w:rPr>
        <w:t> </w:t>
      </w:r>
      <w:r>
        <w:rPr/>
        <w:t>de</w:t>
      </w:r>
      <w:r>
        <w:rPr>
          <w:spacing w:val="-42"/>
        </w:rPr>
        <w:t> </w:t>
      </w:r>
      <w:r>
        <w:rPr/>
        <w:t>faturamento,</w:t>
      </w:r>
      <w:r>
        <w:rPr>
          <w:spacing w:val="-42"/>
        </w:rPr>
        <w:t> </w:t>
      </w:r>
      <w:r>
        <w:rPr/>
        <w:t>unidades</w:t>
      </w:r>
      <w:r>
        <w:rPr>
          <w:spacing w:val="-42"/>
        </w:rPr>
        <w:t> </w:t>
      </w:r>
      <w:r>
        <w:rPr/>
        <w:t>consumidoras</w:t>
      </w:r>
      <w:r>
        <w:rPr>
          <w:spacing w:val="-43"/>
        </w:rPr>
        <w:t> </w:t>
      </w:r>
      <w:r>
        <w:rPr/>
        <w:t>sem</w:t>
      </w:r>
      <w:r>
        <w:rPr>
          <w:spacing w:val="-40"/>
        </w:rPr>
        <w:t> </w:t>
      </w:r>
      <w:r>
        <w:rPr/>
        <w:t>equipamento</w:t>
      </w:r>
      <w:r>
        <w:rPr>
          <w:spacing w:val="-42"/>
        </w:rPr>
        <w:t> </w:t>
      </w:r>
      <w:r>
        <w:rPr/>
        <w:t>de</w:t>
      </w:r>
      <w:r>
        <w:rPr>
          <w:spacing w:val="-42"/>
        </w:rPr>
        <w:t> </w:t>
      </w:r>
      <w:r>
        <w:rPr/>
        <w:t>medição e</w:t>
      </w:r>
      <w:r>
        <w:rPr>
          <w:spacing w:val="-22"/>
        </w:rPr>
        <w:t> </w:t>
      </w:r>
      <w:r>
        <w:rPr/>
        <w:t>outros),</w:t>
      </w:r>
      <w:r>
        <w:rPr>
          <w:spacing w:val="-21"/>
        </w:rPr>
        <w:t> </w:t>
      </w:r>
      <w:r>
        <w:rPr/>
        <w:t>já</w:t>
      </w:r>
      <w:r>
        <w:rPr>
          <w:spacing w:val="-19"/>
        </w:rPr>
        <w:t> </w:t>
      </w:r>
      <w:r>
        <w:rPr/>
        <w:t>estão</w:t>
      </w:r>
      <w:r>
        <w:rPr>
          <w:spacing w:val="-21"/>
        </w:rPr>
        <w:t> </w:t>
      </w:r>
      <w:r>
        <w:rPr/>
        <w:t>considerados</w:t>
      </w:r>
      <w:r>
        <w:rPr>
          <w:spacing w:val="-20"/>
        </w:rPr>
        <w:t> </w:t>
      </w:r>
      <w:r>
        <w:rPr/>
        <w:t>nos</w:t>
      </w:r>
      <w:r>
        <w:rPr>
          <w:spacing w:val="-18"/>
        </w:rPr>
        <w:t> </w:t>
      </w:r>
      <w:r>
        <w:rPr/>
        <w:t>custos</w:t>
      </w:r>
      <w:r>
        <w:rPr>
          <w:spacing w:val="-20"/>
        </w:rPr>
        <w:t> </w:t>
      </w:r>
      <w:r>
        <w:rPr/>
        <w:t>da</w:t>
      </w:r>
      <w:r>
        <w:rPr>
          <w:spacing w:val="-20"/>
        </w:rPr>
        <w:t> </w:t>
      </w:r>
      <w:r>
        <w:rPr/>
        <w:t>compra</w:t>
      </w:r>
      <w:r>
        <w:rPr>
          <w:spacing w:val="-20"/>
        </w:rPr>
        <w:t> </w:t>
      </w:r>
      <w:r>
        <w:rPr/>
        <w:t>de</w:t>
      </w:r>
      <w:r>
        <w:rPr>
          <w:spacing w:val="-20"/>
        </w:rPr>
        <w:t> </w:t>
      </w:r>
      <w:r>
        <w:rPr/>
        <w:t>energia</w:t>
      </w:r>
      <w:r>
        <w:rPr>
          <w:spacing w:val="-18"/>
        </w:rPr>
        <w:t> </w:t>
      </w:r>
      <w:r>
        <w:rPr/>
        <w:t>elétrica.</w:t>
      </w:r>
    </w:p>
    <w:p>
      <w:pPr>
        <w:pStyle w:val="BodyText"/>
        <w:spacing w:before="2"/>
      </w:pPr>
    </w:p>
    <w:p>
      <w:pPr>
        <w:pStyle w:val="BodyText"/>
        <w:spacing w:line="242" w:lineRule="auto"/>
        <w:ind w:left="192" w:right="607"/>
        <w:jc w:val="both"/>
      </w:pPr>
      <w:r>
        <w:rPr/>
        <w:t>No</w:t>
      </w:r>
      <w:r>
        <w:rPr>
          <w:spacing w:val="-24"/>
        </w:rPr>
        <w:t> </w:t>
      </w:r>
      <w:r>
        <w:rPr/>
        <w:t>caso</w:t>
      </w:r>
      <w:r>
        <w:rPr>
          <w:spacing w:val="-24"/>
        </w:rPr>
        <w:t> </w:t>
      </w:r>
      <w:r>
        <w:rPr/>
        <w:t>da</w:t>
      </w:r>
      <w:r>
        <w:rPr>
          <w:spacing w:val="-22"/>
        </w:rPr>
        <w:t> </w:t>
      </w:r>
      <w:r>
        <w:rPr/>
        <w:t>CEB</w:t>
      </w:r>
      <w:r>
        <w:rPr>
          <w:spacing w:val="-21"/>
        </w:rPr>
        <w:t> </w:t>
      </w:r>
      <w:r>
        <w:rPr/>
        <w:t>DIS,</w:t>
      </w:r>
      <w:r>
        <w:rPr>
          <w:spacing w:val="-22"/>
        </w:rPr>
        <w:t> </w:t>
      </w:r>
      <w:r>
        <w:rPr/>
        <w:t>as</w:t>
      </w:r>
      <w:r>
        <w:rPr>
          <w:spacing w:val="-24"/>
        </w:rPr>
        <w:t> </w:t>
      </w:r>
      <w:r>
        <w:rPr/>
        <w:t>Perdas</w:t>
      </w:r>
      <w:r>
        <w:rPr>
          <w:spacing w:val="-23"/>
        </w:rPr>
        <w:t> </w:t>
      </w:r>
      <w:r>
        <w:rPr/>
        <w:t>Técnicas</w:t>
      </w:r>
      <w:r>
        <w:rPr>
          <w:spacing w:val="-24"/>
        </w:rPr>
        <w:t> </w:t>
      </w:r>
      <w:r>
        <w:rPr/>
        <w:t>reconhecidas</w:t>
      </w:r>
      <w:r>
        <w:rPr>
          <w:spacing w:val="-23"/>
        </w:rPr>
        <w:t> </w:t>
      </w:r>
      <w:r>
        <w:rPr/>
        <w:t>pela</w:t>
      </w:r>
      <w:r>
        <w:rPr>
          <w:spacing w:val="-23"/>
        </w:rPr>
        <w:t> </w:t>
      </w:r>
      <w:r>
        <w:rPr/>
        <w:t>ANEEL</w:t>
      </w:r>
      <w:r>
        <w:rPr>
          <w:spacing w:val="-23"/>
        </w:rPr>
        <w:t> </w:t>
      </w:r>
      <w:r>
        <w:rPr/>
        <w:t>são</w:t>
      </w:r>
      <w:r>
        <w:rPr>
          <w:spacing w:val="-23"/>
        </w:rPr>
        <w:t> </w:t>
      </w:r>
      <w:r>
        <w:rPr/>
        <w:t>de</w:t>
      </w:r>
      <w:r>
        <w:rPr>
          <w:spacing w:val="-23"/>
        </w:rPr>
        <w:t> </w:t>
      </w:r>
      <w:r>
        <w:rPr/>
        <w:t>7,46%</w:t>
      </w:r>
      <w:r>
        <w:rPr>
          <w:spacing w:val="-22"/>
        </w:rPr>
        <w:t> </w:t>
      </w:r>
      <w:r>
        <w:rPr/>
        <w:t>sobre</w:t>
      </w:r>
      <w:r>
        <w:rPr>
          <w:spacing w:val="-24"/>
        </w:rPr>
        <w:t> </w:t>
      </w:r>
      <w:r>
        <w:rPr/>
        <w:t>a</w:t>
      </w:r>
      <w:r>
        <w:rPr>
          <w:spacing w:val="-21"/>
        </w:rPr>
        <w:t> </w:t>
      </w:r>
      <w:r>
        <w:rPr/>
        <w:t>Energia</w:t>
      </w:r>
      <w:r>
        <w:rPr>
          <w:spacing w:val="-21"/>
        </w:rPr>
        <w:t> </w:t>
      </w:r>
      <w:r>
        <w:rPr/>
        <w:t>Injetada</w:t>
      </w:r>
      <w:r>
        <w:rPr>
          <w:spacing w:val="-21"/>
        </w:rPr>
        <w:t> </w:t>
      </w:r>
      <w:r>
        <w:rPr/>
        <w:t>e</w:t>
      </w:r>
      <w:r>
        <w:rPr>
          <w:spacing w:val="-23"/>
        </w:rPr>
        <w:t> </w:t>
      </w:r>
      <w:r>
        <w:rPr/>
        <w:t>as</w:t>
      </w:r>
      <w:r>
        <w:rPr>
          <w:spacing w:val="-24"/>
        </w:rPr>
        <w:t> </w:t>
      </w:r>
      <w:r>
        <w:rPr/>
        <w:t>Perdas Não</w:t>
      </w:r>
      <w:r>
        <w:rPr>
          <w:spacing w:val="-28"/>
        </w:rPr>
        <w:t> </w:t>
      </w:r>
      <w:r>
        <w:rPr/>
        <w:t>Técnicas</w:t>
      </w:r>
      <w:r>
        <w:rPr>
          <w:spacing w:val="-28"/>
        </w:rPr>
        <w:t> </w:t>
      </w:r>
      <w:r>
        <w:rPr/>
        <w:t>de</w:t>
      </w:r>
      <w:r>
        <w:rPr>
          <w:spacing w:val="-30"/>
        </w:rPr>
        <w:t> </w:t>
      </w:r>
      <w:r>
        <w:rPr/>
        <w:t>7,05%</w:t>
      </w:r>
      <w:r>
        <w:rPr>
          <w:spacing w:val="-28"/>
        </w:rPr>
        <w:t> </w:t>
      </w:r>
      <w:r>
        <w:rPr/>
        <w:t>sobre</w:t>
      </w:r>
      <w:r>
        <w:rPr>
          <w:spacing w:val="-28"/>
        </w:rPr>
        <w:t> </w:t>
      </w:r>
      <w:r>
        <w:rPr/>
        <w:t>o</w:t>
      </w:r>
      <w:r>
        <w:rPr>
          <w:spacing w:val="-28"/>
        </w:rPr>
        <w:t> </w:t>
      </w:r>
      <w:r>
        <w:rPr/>
        <w:t>mercado</w:t>
      </w:r>
      <w:r>
        <w:rPr>
          <w:spacing w:val="-29"/>
        </w:rPr>
        <w:t> </w:t>
      </w:r>
      <w:r>
        <w:rPr/>
        <w:t>de</w:t>
      </w:r>
      <w:r>
        <w:rPr>
          <w:spacing w:val="-27"/>
        </w:rPr>
        <w:t> </w:t>
      </w:r>
      <w:r>
        <w:rPr/>
        <w:t>energia</w:t>
      </w:r>
      <w:r>
        <w:rPr>
          <w:spacing w:val="-27"/>
        </w:rPr>
        <w:t> </w:t>
      </w:r>
      <w:r>
        <w:rPr/>
        <w:t>de</w:t>
      </w:r>
      <w:r>
        <w:rPr>
          <w:spacing w:val="-27"/>
        </w:rPr>
        <w:t> </w:t>
      </w:r>
      <w:r>
        <w:rPr/>
        <w:t>baixa</w:t>
      </w:r>
      <w:r>
        <w:rPr>
          <w:spacing w:val="-28"/>
        </w:rPr>
        <w:t> </w:t>
      </w:r>
      <w:r>
        <w:rPr/>
        <w:t>tensão</w:t>
      </w:r>
      <w:r>
        <w:rPr>
          <w:spacing w:val="-28"/>
        </w:rPr>
        <w:t> </w:t>
      </w:r>
      <w:r>
        <w:rPr/>
        <w:t>o</w:t>
      </w:r>
      <w:r>
        <w:rPr>
          <w:spacing w:val="-26"/>
        </w:rPr>
        <w:t> </w:t>
      </w:r>
      <w:r>
        <w:rPr/>
        <w:t>que</w:t>
      </w:r>
      <w:r>
        <w:rPr>
          <w:spacing w:val="-28"/>
        </w:rPr>
        <w:t> </w:t>
      </w:r>
      <w:r>
        <w:rPr/>
        <w:t>equivale</w:t>
      </w:r>
      <w:r>
        <w:rPr>
          <w:spacing w:val="-28"/>
        </w:rPr>
        <w:t> </w:t>
      </w:r>
      <w:r>
        <w:rPr/>
        <w:t>aproximadamente</w:t>
      </w:r>
      <w:r>
        <w:rPr>
          <w:spacing w:val="-21"/>
        </w:rPr>
        <w:t> </w:t>
      </w:r>
      <w:r>
        <w:rPr/>
        <w:t>a</w:t>
      </w:r>
      <w:r>
        <w:rPr>
          <w:spacing w:val="-27"/>
        </w:rPr>
        <w:t> </w:t>
      </w:r>
      <w:r>
        <w:rPr/>
        <w:t>3,63%</w:t>
      </w:r>
      <w:r>
        <w:rPr>
          <w:spacing w:val="-28"/>
        </w:rPr>
        <w:t> </w:t>
      </w:r>
      <w:r>
        <w:rPr/>
        <w:t>sobre </w:t>
      </w:r>
      <w:r>
        <w:rPr>
          <w:w w:val="92"/>
        </w:rPr>
        <w:t>a</w:t>
      </w:r>
      <w:r>
        <w:rPr>
          <w:spacing w:val="-17"/>
        </w:rPr>
        <w:t> </w:t>
      </w:r>
      <w:r>
        <w:rPr>
          <w:w w:val="106"/>
        </w:rPr>
        <w:t>E</w:t>
      </w:r>
      <w:r>
        <w:rPr>
          <w:spacing w:val="-1"/>
          <w:w w:val="101"/>
        </w:rPr>
        <w:t>n</w:t>
      </w:r>
      <w:r>
        <w:rPr>
          <w:spacing w:val="1"/>
          <w:w w:val="89"/>
        </w:rPr>
        <w:t>e</w:t>
      </w:r>
      <w:r>
        <w:rPr>
          <w:spacing w:val="-1"/>
          <w:w w:val="105"/>
        </w:rPr>
        <w:t>r</w:t>
      </w:r>
      <w:r>
        <w:rPr>
          <w:spacing w:val="-1"/>
          <w:w w:val="95"/>
        </w:rPr>
        <w:t>gi</w:t>
      </w:r>
      <w:r>
        <w:rPr>
          <w:w w:val="95"/>
        </w:rPr>
        <w:t>a</w:t>
      </w:r>
      <w:r>
        <w:rPr>
          <w:spacing w:val="-17"/>
        </w:rPr>
        <w:t> </w:t>
      </w:r>
      <w:r>
        <w:rPr>
          <w:spacing w:val="2"/>
          <w:w w:val="116"/>
        </w:rPr>
        <w:t>I</w:t>
      </w:r>
      <w:r>
        <w:rPr>
          <w:spacing w:val="-1"/>
          <w:w w:val="101"/>
        </w:rPr>
        <w:t>n</w:t>
      </w:r>
      <w:r>
        <w:rPr>
          <w:spacing w:val="-1"/>
          <w:w w:val="82"/>
        </w:rPr>
        <w:t>j</w:t>
      </w:r>
      <w:r>
        <w:rPr>
          <w:w w:val="82"/>
        </w:rPr>
        <w:t>e</w:t>
      </w:r>
      <w:r>
        <w:rPr>
          <w:spacing w:val="-1"/>
          <w:w w:val="89"/>
        </w:rPr>
        <w:t>t</w:t>
      </w:r>
      <w:r>
        <w:rPr>
          <w:w w:val="89"/>
        </w:rPr>
        <w:t>a</w:t>
      </w:r>
      <w:r>
        <w:rPr>
          <w:w w:val="95"/>
        </w:rPr>
        <w:t>da</w:t>
      </w:r>
      <w:r>
        <w:rPr>
          <w:w w:val="55"/>
        </w:rPr>
        <w:t>,</w:t>
      </w:r>
      <w:r>
        <w:rPr>
          <w:spacing w:val="-18"/>
        </w:rPr>
        <w:t> </w:t>
      </w:r>
      <w:r>
        <w:rPr>
          <w:spacing w:val="1"/>
          <w:w w:val="99"/>
        </w:rPr>
        <w:t>p</w:t>
      </w:r>
      <w:r>
        <w:rPr>
          <w:spacing w:val="-2"/>
          <w:w w:val="89"/>
        </w:rPr>
        <w:t>e</w:t>
      </w:r>
      <w:r>
        <w:rPr>
          <w:spacing w:val="-1"/>
          <w:w w:val="105"/>
        </w:rPr>
        <w:t>r</w:t>
      </w:r>
      <w:r>
        <w:rPr>
          <w:w w:val="88"/>
        </w:rPr>
        <w:t>fa</w:t>
      </w:r>
      <w:r>
        <w:rPr>
          <w:spacing w:val="2"/>
          <w:w w:val="95"/>
        </w:rPr>
        <w:t>z</w:t>
      </w:r>
      <w:r>
        <w:rPr>
          <w:spacing w:val="-2"/>
          <w:w w:val="89"/>
        </w:rPr>
        <w:t>e</w:t>
      </w:r>
      <w:r>
        <w:rPr>
          <w:spacing w:val="1"/>
          <w:w w:val="101"/>
        </w:rPr>
        <w:t>n</w:t>
      </w:r>
      <w:r>
        <w:rPr>
          <w:w w:val="98"/>
        </w:rPr>
        <w:t>do</w:t>
      </w:r>
      <w:r>
        <w:rPr>
          <w:spacing w:val="-18"/>
        </w:rPr>
        <w:t> </w:t>
      </w:r>
      <w:r>
        <w:rPr>
          <w:spacing w:val="-1"/>
          <w:w w:val="100"/>
        </w:rPr>
        <w:t>u</w:t>
      </w:r>
      <w:r>
        <w:rPr>
          <w:w w:val="100"/>
        </w:rPr>
        <w:t>m</w:t>
      </w:r>
      <w:r>
        <w:rPr>
          <w:spacing w:val="-15"/>
        </w:rPr>
        <w:t> </w:t>
      </w:r>
      <w:r>
        <w:rPr>
          <w:spacing w:val="-1"/>
          <w:w w:val="91"/>
        </w:rPr>
        <w:t>tot</w:t>
      </w:r>
      <w:r>
        <w:rPr>
          <w:w w:val="91"/>
        </w:rPr>
        <w:t>a</w:t>
      </w:r>
      <w:r>
        <w:rPr>
          <w:w w:val="91"/>
        </w:rPr>
        <w:t>l</w:t>
      </w:r>
      <w:r>
        <w:rPr>
          <w:spacing w:val="-17"/>
        </w:rPr>
        <w:t> </w:t>
      </w:r>
      <w:r>
        <w:rPr>
          <w:spacing w:val="2"/>
          <w:w w:val="99"/>
        </w:rPr>
        <w:t>d</w:t>
      </w:r>
      <w:r>
        <w:rPr>
          <w:w w:val="89"/>
        </w:rPr>
        <w:t>e</w:t>
      </w:r>
      <w:r>
        <w:rPr>
          <w:spacing w:val="-19"/>
        </w:rPr>
        <w:t> </w:t>
      </w:r>
      <w:r>
        <w:rPr>
          <w:w w:val="92"/>
        </w:rPr>
        <w:t>11</w:t>
      </w:r>
      <w:r>
        <w:rPr>
          <w:spacing w:val="6"/>
          <w:w w:val="92"/>
        </w:rPr>
        <w:t>,</w:t>
      </w:r>
      <w:r>
        <w:rPr>
          <w:w w:val="105"/>
        </w:rPr>
        <w:t>09</w:t>
      </w:r>
      <w:r>
        <w:rPr>
          <w:w w:val="147"/>
        </w:rPr>
        <w:t>%</w:t>
      </w:r>
      <w:r>
        <w:rPr>
          <w:spacing w:val="-17"/>
        </w:rPr>
        <w:t> </w:t>
      </w:r>
      <w:r>
        <w:rPr>
          <w:spacing w:val="1"/>
          <w:w w:val="99"/>
        </w:rPr>
        <w:t>d</w:t>
      </w:r>
      <w:r>
        <w:rPr>
          <w:w w:val="89"/>
        </w:rPr>
        <w:t>e</w:t>
      </w:r>
      <w:r>
        <w:rPr>
          <w:spacing w:val="-16"/>
        </w:rPr>
        <w:t> </w:t>
      </w:r>
      <w:r>
        <w:rPr>
          <w:w w:val="95"/>
        </w:rPr>
        <w:t>Pe</w:t>
      </w:r>
      <w:r>
        <w:rPr>
          <w:spacing w:val="-1"/>
          <w:w w:val="105"/>
        </w:rPr>
        <w:t>r</w:t>
      </w:r>
      <w:r>
        <w:rPr>
          <w:w w:val="95"/>
        </w:rPr>
        <w:t>da</w:t>
      </w:r>
      <w:r>
        <w:rPr>
          <w:w w:val="105"/>
        </w:rPr>
        <w:t>s</w:t>
      </w:r>
      <w:r>
        <w:rPr>
          <w:spacing w:val="-17"/>
        </w:rPr>
        <w:t> </w:t>
      </w:r>
      <w:r>
        <w:rPr>
          <w:w w:val="100"/>
        </w:rPr>
        <w:t>T</w:t>
      </w:r>
      <w:r>
        <w:rPr>
          <w:spacing w:val="-1"/>
          <w:w w:val="100"/>
        </w:rPr>
        <w:t>o</w:t>
      </w:r>
      <w:r>
        <w:rPr>
          <w:spacing w:val="-1"/>
          <w:w w:val="89"/>
        </w:rPr>
        <w:t>t</w:t>
      </w:r>
      <w:r>
        <w:rPr>
          <w:w w:val="89"/>
        </w:rPr>
        <w:t>a</w:t>
      </w:r>
      <w:r>
        <w:rPr>
          <w:w w:val="102"/>
        </w:rPr>
        <w:t>is</w:t>
      </w:r>
      <w:r>
        <w:rPr>
          <w:spacing w:val="-17"/>
        </w:rPr>
        <w:t> </w:t>
      </w:r>
      <w:r>
        <w:rPr>
          <w:spacing w:val="3"/>
          <w:w w:val="106"/>
        </w:rPr>
        <w:t>R</w:t>
      </w:r>
      <w:r>
        <w:rPr>
          <w:spacing w:val="-2"/>
          <w:w w:val="89"/>
        </w:rPr>
        <w:t>e</w:t>
      </w:r>
      <w:r>
        <w:rPr>
          <w:spacing w:val="-1"/>
          <w:w w:val="97"/>
        </w:rPr>
        <w:t>gu</w:t>
      </w:r>
      <w:r>
        <w:rPr>
          <w:spacing w:val="1"/>
          <w:w w:val="97"/>
        </w:rPr>
        <w:t>l</w:t>
      </w:r>
      <w:r>
        <w:rPr>
          <w:w w:val="92"/>
        </w:rPr>
        <w:t>a</w:t>
      </w:r>
      <w:r>
        <w:rPr>
          <w:spacing w:val="-1"/>
          <w:w w:val="96"/>
        </w:rPr>
        <w:t>tó</w:t>
      </w:r>
      <w:r>
        <w:rPr>
          <w:spacing w:val="-2"/>
          <w:w w:val="96"/>
        </w:rPr>
        <w:t>r</w:t>
      </w:r>
      <w:r>
        <w:rPr>
          <w:w w:val="94"/>
        </w:rPr>
        <w:t>ia</w:t>
      </w:r>
      <w:r>
        <w:rPr>
          <w:w w:val="105"/>
        </w:rPr>
        <w:t>s</w:t>
      </w:r>
      <w:r>
        <w:rPr>
          <w:w w:val="55"/>
        </w:rPr>
        <w:t>.</w:t>
      </w:r>
    </w:p>
    <w:p>
      <w:pPr>
        <w:pStyle w:val="BodyText"/>
        <w:spacing w:before="3"/>
      </w:pPr>
    </w:p>
    <w:p>
      <w:pPr>
        <w:pStyle w:val="BodyText"/>
        <w:ind w:left="192" w:right="617"/>
        <w:jc w:val="both"/>
      </w:pPr>
      <w:r>
        <w:rPr/>
        <w:t>De</w:t>
      </w:r>
      <w:r>
        <w:rPr>
          <w:spacing w:val="-38"/>
        </w:rPr>
        <w:t> </w:t>
      </w:r>
      <w:r>
        <w:rPr/>
        <w:t>igual</w:t>
      </w:r>
      <w:r>
        <w:rPr>
          <w:spacing w:val="-37"/>
        </w:rPr>
        <w:t> </w:t>
      </w:r>
      <w:r>
        <w:rPr/>
        <w:t>modo,</w:t>
      </w:r>
      <w:r>
        <w:rPr>
          <w:spacing w:val="-37"/>
        </w:rPr>
        <w:t> </w:t>
      </w:r>
      <w:r>
        <w:rPr/>
        <w:t>foi</w:t>
      </w:r>
      <w:r>
        <w:rPr>
          <w:spacing w:val="-36"/>
        </w:rPr>
        <w:t> </w:t>
      </w:r>
      <w:r>
        <w:rPr/>
        <w:t>instaurado</w:t>
      </w:r>
      <w:r>
        <w:rPr>
          <w:spacing w:val="-37"/>
        </w:rPr>
        <w:t> </w:t>
      </w:r>
      <w:r>
        <w:rPr/>
        <w:t>processo</w:t>
      </w:r>
      <w:r>
        <w:rPr>
          <w:spacing w:val="-38"/>
        </w:rPr>
        <w:t> </w:t>
      </w:r>
      <w:r>
        <w:rPr/>
        <w:t>para</w:t>
      </w:r>
      <w:r>
        <w:rPr>
          <w:spacing w:val="-36"/>
        </w:rPr>
        <w:t> </w:t>
      </w:r>
      <w:r>
        <w:rPr/>
        <w:t>fins</w:t>
      </w:r>
      <w:r>
        <w:rPr>
          <w:spacing w:val="-37"/>
        </w:rPr>
        <w:t> </w:t>
      </w:r>
      <w:r>
        <w:rPr/>
        <w:t>de</w:t>
      </w:r>
      <w:r>
        <w:rPr>
          <w:spacing w:val="-37"/>
        </w:rPr>
        <w:t> </w:t>
      </w:r>
      <w:r>
        <w:rPr/>
        <w:t>eventual</w:t>
      </w:r>
      <w:r>
        <w:rPr>
          <w:spacing w:val="-37"/>
        </w:rPr>
        <w:t> </w:t>
      </w:r>
      <w:r>
        <w:rPr/>
        <w:t>contratação</w:t>
      </w:r>
      <w:r>
        <w:rPr>
          <w:spacing w:val="-37"/>
        </w:rPr>
        <w:t> </w:t>
      </w:r>
      <w:r>
        <w:rPr/>
        <w:t>de</w:t>
      </w:r>
      <w:r>
        <w:rPr>
          <w:spacing w:val="-36"/>
        </w:rPr>
        <w:t> </w:t>
      </w:r>
      <w:r>
        <w:rPr/>
        <w:t>empresa</w:t>
      </w:r>
      <w:r>
        <w:rPr>
          <w:spacing w:val="-36"/>
        </w:rPr>
        <w:t> </w:t>
      </w:r>
      <w:r>
        <w:rPr/>
        <w:t>especializada</w:t>
      </w:r>
      <w:r>
        <w:rPr>
          <w:spacing w:val="-37"/>
        </w:rPr>
        <w:t> </w:t>
      </w:r>
      <w:r>
        <w:rPr/>
        <w:t>em</w:t>
      </w:r>
      <w:r>
        <w:rPr>
          <w:spacing w:val="-37"/>
        </w:rPr>
        <w:t> </w:t>
      </w:r>
      <w:r>
        <w:rPr/>
        <w:t>investigação forense.</w:t>
      </w:r>
    </w:p>
    <w:p>
      <w:pPr>
        <w:pStyle w:val="BodyText"/>
        <w:spacing w:before="7"/>
      </w:pPr>
    </w:p>
    <w:p>
      <w:pPr>
        <w:pStyle w:val="BodyText"/>
        <w:ind w:left="192" w:right="607"/>
        <w:jc w:val="both"/>
      </w:pPr>
      <w:r>
        <w:rPr/>
        <w:t>Ante</w:t>
      </w:r>
      <w:r>
        <w:rPr>
          <w:spacing w:val="-35"/>
        </w:rPr>
        <w:t> </w:t>
      </w:r>
      <w:r>
        <w:rPr/>
        <w:t>o</w:t>
      </w:r>
      <w:r>
        <w:rPr>
          <w:spacing w:val="-33"/>
        </w:rPr>
        <w:t> </w:t>
      </w:r>
      <w:r>
        <w:rPr/>
        <w:t>exposto,</w:t>
      </w:r>
      <w:r>
        <w:rPr>
          <w:spacing w:val="-34"/>
        </w:rPr>
        <w:t> </w:t>
      </w:r>
      <w:r>
        <w:rPr/>
        <w:t>as</w:t>
      </w:r>
      <w:r>
        <w:rPr>
          <w:spacing w:val="-35"/>
        </w:rPr>
        <w:t> </w:t>
      </w:r>
      <w:r>
        <w:rPr/>
        <w:t>Administrações</w:t>
      </w:r>
      <w:r>
        <w:rPr>
          <w:spacing w:val="-33"/>
        </w:rPr>
        <w:t> </w:t>
      </w:r>
      <w:r>
        <w:rPr/>
        <w:t>do</w:t>
      </w:r>
      <w:r>
        <w:rPr>
          <w:spacing w:val="-35"/>
        </w:rPr>
        <w:t> </w:t>
      </w:r>
      <w:r>
        <w:rPr/>
        <w:t>Grupo</w:t>
      </w:r>
      <w:r>
        <w:rPr>
          <w:spacing w:val="-34"/>
        </w:rPr>
        <w:t> </w:t>
      </w:r>
      <w:r>
        <w:rPr/>
        <w:t>revisarão</w:t>
      </w:r>
      <w:r>
        <w:rPr>
          <w:spacing w:val="-34"/>
        </w:rPr>
        <w:t> </w:t>
      </w:r>
      <w:r>
        <w:rPr/>
        <w:t>seus</w:t>
      </w:r>
      <w:r>
        <w:rPr>
          <w:spacing w:val="-35"/>
        </w:rPr>
        <w:t> </w:t>
      </w:r>
      <w:r>
        <w:rPr/>
        <w:t>Controles</w:t>
      </w:r>
      <w:r>
        <w:rPr>
          <w:spacing w:val="-34"/>
        </w:rPr>
        <w:t> </w:t>
      </w:r>
      <w:r>
        <w:rPr/>
        <w:t>Internos,</w:t>
      </w:r>
      <w:r>
        <w:rPr>
          <w:spacing w:val="-34"/>
        </w:rPr>
        <w:t> </w:t>
      </w:r>
      <w:r>
        <w:rPr/>
        <w:t>bem</w:t>
      </w:r>
      <w:r>
        <w:rPr>
          <w:spacing w:val="-35"/>
        </w:rPr>
        <w:t> </w:t>
      </w:r>
      <w:r>
        <w:rPr/>
        <w:t>como</w:t>
      </w:r>
      <w:r>
        <w:rPr>
          <w:spacing w:val="-35"/>
        </w:rPr>
        <w:t> </w:t>
      </w:r>
      <w:r>
        <w:rPr/>
        <w:t>suas</w:t>
      </w:r>
      <w:r>
        <w:rPr>
          <w:spacing w:val="-35"/>
        </w:rPr>
        <w:t> </w:t>
      </w:r>
      <w:r>
        <w:rPr/>
        <w:t>análises</w:t>
      </w:r>
      <w:r>
        <w:rPr>
          <w:spacing w:val="-32"/>
        </w:rPr>
        <w:t> </w:t>
      </w:r>
      <w:r>
        <w:rPr/>
        <w:t>de</w:t>
      </w:r>
      <w:r>
        <w:rPr>
          <w:spacing w:val="-35"/>
        </w:rPr>
        <w:t> </w:t>
      </w:r>
      <w:r>
        <w:rPr/>
        <w:t>Gestão</w:t>
      </w:r>
      <w:r>
        <w:rPr>
          <w:spacing w:val="-32"/>
        </w:rPr>
        <w:t> </w:t>
      </w:r>
      <w:r>
        <w:rPr/>
        <w:t>de Riscos,</w:t>
      </w:r>
      <w:r>
        <w:rPr>
          <w:spacing w:val="-20"/>
        </w:rPr>
        <w:t> </w:t>
      </w:r>
      <w:r>
        <w:rPr/>
        <w:t>na</w:t>
      </w:r>
      <w:r>
        <w:rPr>
          <w:spacing w:val="-19"/>
        </w:rPr>
        <w:t> </w:t>
      </w:r>
      <w:r>
        <w:rPr/>
        <w:t>busca</w:t>
      </w:r>
      <w:r>
        <w:rPr>
          <w:spacing w:val="-20"/>
        </w:rPr>
        <w:t> </w:t>
      </w:r>
      <w:r>
        <w:rPr/>
        <w:t>por</w:t>
      </w:r>
      <w:r>
        <w:rPr>
          <w:spacing w:val="-18"/>
        </w:rPr>
        <w:t> </w:t>
      </w:r>
      <w:r>
        <w:rPr/>
        <w:t>mitigar</w:t>
      </w:r>
      <w:r>
        <w:rPr>
          <w:spacing w:val="-17"/>
        </w:rPr>
        <w:t> </w:t>
      </w:r>
      <w:r>
        <w:rPr/>
        <w:t>novas</w:t>
      </w:r>
      <w:r>
        <w:rPr>
          <w:spacing w:val="-20"/>
        </w:rPr>
        <w:t> </w:t>
      </w:r>
      <w:r>
        <w:rPr/>
        <w:t>ocorrências</w:t>
      </w:r>
      <w:r>
        <w:rPr>
          <w:spacing w:val="-19"/>
        </w:rPr>
        <w:t> </w:t>
      </w:r>
      <w:r>
        <w:rPr/>
        <w:t>de</w:t>
      </w:r>
      <w:r>
        <w:rPr>
          <w:spacing w:val="-21"/>
        </w:rPr>
        <w:t> </w:t>
      </w:r>
      <w:r>
        <w:rPr/>
        <w:t>irregularidades</w:t>
      </w:r>
      <w:r>
        <w:rPr>
          <w:spacing w:val="-18"/>
        </w:rPr>
        <w:t> </w:t>
      </w:r>
      <w:r>
        <w:rPr/>
        <w:t>e</w:t>
      </w:r>
      <w:r>
        <w:rPr>
          <w:spacing w:val="-19"/>
        </w:rPr>
        <w:t> </w:t>
      </w:r>
      <w:r>
        <w:rPr/>
        <w:t>fraudes.</w:t>
      </w:r>
    </w:p>
    <w:p>
      <w:pPr>
        <w:pStyle w:val="BodyText"/>
        <w:spacing w:before="4"/>
      </w:pPr>
    </w:p>
    <w:p>
      <w:pPr>
        <w:pStyle w:val="Heading5"/>
        <w:numPr>
          <w:ilvl w:val="3"/>
          <w:numId w:val="10"/>
        </w:numPr>
        <w:tabs>
          <w:tab w:pos="1325" w:val="left" w:leader="none"/>
          <w:tab w:pos="1326" w:val="left" w:leader="none"/>
        </w:tabs>
        <w:spacing w:line="240" w:lineRule="auto" w:before="0" w:after="0"/>
        <w:ind w:left="1326" w:right="0" w:hanging="1134"/>
        <w:jc w:val="left"/>
      </w:pPr>
      <w:r>
        <w:rPr/>
        <w:t>CEB Geração</w:t>
      </w:r>
      <w:r>
        <w:rPr>
          <w:spacing w:val="-3"/>
        </w:rPr>
        <w:t> </w:t>
      </w:r>
      <w:r>
        <w:rPr/>
        <w:t>S.A.</w:t>
      </w:r>
    </w:p>
    <w:p>
      <w:pPr>
        <w:pStyle w:val="BodyText"/>
        <w:spacing w:before="10"/>
        <w:rPr>
          <w:rFonts w:ascii="Caladea"/>
          <w:b/>
          <w:sz w:val="23"/>
        </w:rPr>
      </w:pPr>
    </w:p>
    <w:p>
      <w:pPr>
        <w:pStyle w:val="BodyText"/>
        <w:spacing w:line="242" w:lineRule="auto"/>
        <w:ind w:left="192" w:right="610"/>
        <w:jc w:val="both"/>
      </w:pPr>
      <w:r>
        <w:rPr/>
        <w:t>A</w:t>
      </w:r>
      <w:r>
        <w:rPr>
          <w:spacing w:val="-21"/>
        </w:rPr>
        <w:t> </w:t>
      </w:r>
      <w:r>
        <w:rPr/>
        <w:t>CEB</w:t>
      </w:r>
      <w:r>
        <w:rPr>
          <w:spacing w:val="-20"/>
        </w:rPr>
        <w:t> </w:t>
      </w:r>
      <w:r>
        <w:rPr/>
        <w:t>Geração</w:t>
      </w:r>
      <w:r>
        <w:rPr>
          <w:spacing w:val="-21"/>
        </w:rPr>
        <w:t> </w:t>
      </w:r>
      <w:r>
        <w:rPr/>
        <w:t>S.A.</w:t>
      </w:r>
      <w:r>
        <w:rPr>
          <w:spacing w:val="-19"/>
        </w:rPr>
        <w:t> </w:t>
      </w:r>
      <w:r>
        <w:rPr/>
        <w:t>é</w:t>
      </w:r>
      <w:r>
        <w:rPr>
          <w:spacing w:val="-20"/>
        </w:rPr>
        <w:t> </w:t>
      </w:r>
      <w:r>
        <w:rPr/>
        <w:t>uma</w:t>
      </w:r>
      <w:r>
        <w:rPr>
          <w:spacing w:val="-19"/>
        </w:rPr>
        <w:t> </w:t>
      </w:r>
      <w:r>
        <w:rPr/>
        <w:t>sociedade</w:t>
      </w:r>
      <w:r>
        <w:rPr>
          <w:spacing w:val="-22"/>
        </w:rPr>
        <w:t> </w:t>
      </w:r>
      <w:r>
        <w:rPr/>
        <w:t>por</w:t>
      </w:r>
      <w:r>
        <w:rPr>
          <w:spacing w:val="-21"/>
        </w:rPr>
        <w:t> </w:t>
      </w:r>
      <w:r>
        <w:rPr/>
        <w:t>ações</w:t>
      </w:r>
      <w:r>
        <w:rPr>
          <w:spacing w:val="-19"/>
        </w:rPr>
        <w:t> </w:t>
      </w:r>
      <w:r>
        <w:rPr/>
        <w:t>de</w:t>
      </w:r>
      <w:r>
        <w:rPr>
          <w:spacing w:val="-20"/>
        </w:rPr>
        <w:t> </w:t>
      </w:r>
      <w:r>
        <w:rPr/>
        <w:t>capital</w:t>
      </w:r>
      <w:r>
        <w:rPr>
          <w:spacing w:val="-20"/>
        </w:rPr>
        <w:t> </w:t>
      </w:r>
      <w:r>
        <w:rPr/>
        <w:t>fechado,</w:t>
      </w:r>
      <w:r>
        <w:rPr>
          <w:spacing w:val="-21"/>
        </w:rPr>
        <w:t> </w:t>
      </w:r>
      <w:r>
        <w:rPr/>
        <w:t>autorizada</w:t>
      </w:r>
      <w:r>
        <w:rPr>
          <w:spacing w:val="-18"/>
        </w:rPr>
        <w:t> </w:t>
      </w:r>
      <w:r>
        <w:rPr/>
        <w:t>pela</w:t>
      </w:r>
      <w:r>
        <w:rPr>
          <w:spacing w:val="-11"/>
        </w:rPr>
        <w:t> </w:t>
      </w:r>
      <w:r>
        <w:rPr/>
        <w:t>Lei</w:t>
      </w:r>
      <w:r>
        <w:rPr>
          <w:spacing w:val="-21"/>
        </w:rPr>
        <w:t> </w:t>
      </w:r>
      <w:r>
        <w:rPr/>
        <w:t>Distrital</w:t>
      </w:r>
      <w:r>
        <w:rPr>
          <w:spacing w:val="-21"/>
        </w:rPr>
        <w:t> </w:t>
      </w:r>
      <w:r>
        <w:rPr/>
        <w:t>nº</w:t>
      </w:r>
      <w:r>
        <w:rPr>
          <w:spacing w:val="-20"/>
        </w:rPr>
        <w:t> </w:t>
      </w:r>
      <w:r>
        <w:rPr/>
        <w:t>2.648,</w:t>
      </w:r>
      <w:r>
        <w:rPr>
          <w:spacing w:val="-20"/>
        </w:rPr>
        <w:t> </w:t>
      </w:r>
      <w:r>
        <w:rPr/>
        <w:t>de</w:t>
      </w:r>
      <w:r>
        <w:rPr>
          <w:spacing w:val="-21"/>
        </w:rPr>
        <w:t> </w:t>
      </w:r>
      <w:r>
        <w:rPr/>
        <w:t>26</w:t>
      </w:r>
      <w:r>
        <w:rPr>
          <w:spacing w:val="-19"/>
        </w:rPr>
        <w:t> </w:t>
      </w:r>
      <w:r>
        <w:rPr/>
        <w:t>de dezembro</w:t>
      </w:r>
      <w:r>
        <w:rPr>
          <w:spacing w:val="-26"/>
        </w:rPr>
        <w:t> </w:t>
      </w:r>
      <w:r>
        <w:rPr/>
        <w:t>de</w:t>
      </w:r>
      <w:r>
        <w:rPr>
          <w:spacing w:val="-27"/>
        </w:rPr>
        <w:t> </w:t>
      </w:r>
      <w:r>
        <w:rPr/>
        <w:t>2000,</w:t>
      </w:r>
      <w:r>
        <w:rPr>
          <w:spacing w:val="-27"/>
        </w:rPr>
        <w:t> </w:t>
      </w:r>
      <w:r>
        <w:rPr/>
        <w:t>constituída</w:t>
      </w:r>
      <w:r>
        <w:rPr>
          <w:spacing w:val="-26"/>
        </w:rPr>
        <w:t> </w:t>
      </w:r>
      <w:r>
        <w:rPr/>
        <w:t>como</w:t>
      </w:r>
      <w:r>
        <w:rPr>
          <w:spacing w:val="-27"/>
        </w:rPr>
        <w:t> </w:t>
      </w:r>
      <w:r>
        <w:rPr/>
        <w:t>subsidiária</w:t>
      </w:r>
      <w:r>
        <w:rPr>
          <w:spacing w:val="-26"/>
        </w:rPr>
        <w:t> </w:t>
      </w:r>
      <w:r>
        <w:rPr/>
        <w:t>integral,</w:t>
      </w:r>
      <w:r>
        <w:rPr>
          <w:spacing w:val="-27"/>
        </w:rPr>
        <w:t> </w:t>
      </w:r>
      <w:r>
        <w:rPr/>
        <w:t>concessionária</w:t>
      </w:r>
      <w:r>
        <w:rPr>
          <w:spacing w:val="-27"/>
        </w:rPr>
        <w:t> </w:t>
      </w:r>
      <w:r>
        <w:rPr/>
        <w:t>do</w:t>
      </w:r>
      <w:r>
        <w:rPr>
          <w:spacing w:val="-26"/>
        </w:rPr>
        <w:t> </w:t>
      </w:r>
      <w:r>
        <w:rPr/>
        <w:t>serviço</w:t>
      </w:r>
      <w:r>
        <w:rPr>
          <w:spacing w:val="-27"/>
        </w:rPr>
        <w:t> </w:t>
      </w:r>
      <w:r>
        <w:rPr/>
        <w:t>público</w:t>
      </w:r>
      <w:r>
        <w:rPr>
          <w:spacing w:val="-27"/>
        </w:rPr>
        <w:t> </w:t>
      </w:r>
      <w:r>
        <w:rPr/>
        <w:t>de</w:t>
      </w:r>
      <w:r>
        <w:rPr>
          <w:spacing w:val="-26"/>
        </w:rPr>
        <w:t> </w:t>
      </w:r>
      <w:r>
        <w:rPr/>
        <w:t>geração</w:t>
      </w:r>
      <w:r>
        <w:rPr>
          <w:spacing w:val="-27"/>
        </w:rPr>
        <w:t> </w:t>
      </w:r>
      <w:r>
        <w:rPr/>
        <w:t>de</w:t>
      </w:r>
      <w:r>
        <w:rPr>
          <w:spacing w:val="-25"/>
        </w:rPr>
        <w:t> </w:t>
      </w:r>
      <w:r>
        <w:rPr/>
        <w:t>energia elétrica,</w:t>
      </w:r>
      <w:r>
        <w:rPr>
          <w:spacing w:val="-20"/>
        </w:rPr>
        <w:t> </w:t>
      </w:r>
      <w:r>
        <w:rPr/>
        <w:t>detentora</w:t>
      </w:r>
      <w:r>
        <w:rPr>
          <w:spacing w:val="-18"/>
        </w:rPr>
        <w:t> </w:t>
      </w:r>
      <w:r>
        <w:rPr/>
        <w:t>de</w:t>
      </w:r>
      <w:r>
        <w:rPr>
          <w:spacing w:val="-21"/>
        </w:rPr>
        <w:t> </w:t>
      </w:r>
      <w:r>
        <w:rPr/>
        <w:t>2</w:t>
      </w:r>
      <w:r>
        <w:rPr>
          <w:spacing w:val="-16"/>
        </w:rPr>
        <w:t> </w:t>
      </w:r>
      <w:r>
        <w:rPr/>
        <w:t>(duas)</w:t>
      </w:r>
      <w:r>
        <w:rPr>
          <w:spacing w:val="-18"/>
        </w:rPr>
        <w:t> </w:t>
      </w:r>
      <w:r>
        <w:rPr/>
        <w:t>concessões:</w:t>
      </w:r>
    </w:p>
    <w:p>
      <w:pPr>
        <w:pStyle w:val="BodyText"/>
        <w:spacing w:before="7"/>
      </w:pPr>
    </w:p>
    <w:p>
      <w:pPr>
        <w:spacing w:before="1"/>
        <w:ind w:left="192" w:right="0" w:firstLine="0"/>
        <w:jc w:val="both"/>
        <w:rPr>
          <w:rFonts w:ascii="Caladea" w:hAnsi="Caladea"/>
          <w:b/>
          <w:sz w:val="16"/>
        </w:rPr>
      </w:pPr>
      <w:r>
        <w:rPr>
          <w:rFonts w:ascii="Caladea" w:hAnsi="Caladea"/>
          <w:b/>
          <w:sz w:val="20"/>
        </w:rPr>
        <w:t>UHE P</w:t>
      </w:r>
      <w:r>
        <w:rPr>
          <w:rFonts w:ascii="Caladea" w:hAnsi="Caladea"/>
          <w:b/>
          <w:sz w:val="16"/>
        </w:rPr>
        <w:t>ARANOÁ</w:t>
      </w:r>
    </w:p>
    <w:p>
      <w:pPr>
        <w:pStyle w:val="BodyText"/>
        <w:spacing w:before="6"/>
        <w:rPr>
          <w:rFonts w:ascii="Caladea"/>
          <w:b/>
        </w:rPr>
      </w:pPr>
    </w:p>
    <w:p>
      <w:pPr>
        <w:pStyle w:val="BodyText"/>
        <w:spacing w:line="242" w:lineRule="auto"/>
        <w:ind w:left="192" w:right="607"/>
        <w:jc w:val="both"/>
      </w:pPr>
      <w:r>
        <w:rPr/>
        <w:t>A</w:t>
      </w:r>
      <w:r>
        <w:rPr>
          <w:spacing w:val="-19"/>
        </w:rPr>
        <w:t> </w:t>
      </w:r>
      <w:r>
        <w:rPr/>
        <w:t>Usina</w:t>
      </w:r>
      <w:r>
        <w:rPr>
          <w:spacing w:val="-17"/>
        </w:rPr>
        <w:t> </w:t>
      </w:r>
      <w:r>
        <w:rPr/>
        <w:t>Hidrelétrica</w:t>
      </w:r>
      <w:r>
        <w:rPr>
          <w:spacing w:val="-18"/>
        </w:rPr>
        <w:t> </w:t>
      </w:r>
      <w:r>
        <w:rPr/>
        <w:t>do</w:t>
      </w:r>
      <w:r>
        <w:rPr>
          <w:spacing w:val="-18"/>
        </w:rPr>
        <w:t> </w:t>
      </w:r>
      <w:r>
        <w:rPr/>
        <w:t>Paranoá</w:t>
      </w:r>
      <w:r>
        <w:rPr>
          <w:spacing w:val="-15"/>
        </w:rPr>
        <w:t> </w:t>
      </w:r>
      <w:r>
        <w:rPr>
          <w:w w:val="105"/>
        </w:rPr>
        <w:t>–</w:t>
      </w:r>
      <w:r>
        <w:rPr>
          <w:spacing w:val="-20"/>
          <w:w w:val="105"/>
        </w:rPr>
        <w:t> </w:t>
      </w:r>
      <w:r>
        <w:rPr/>
        <w:t>UHE</w:t>
      </w:r>
      <w:r>
        <w:rPr>
          <w:spacing w:val="-18"/>
        </w:rPr>
        <w:t> </w:t>
      </w:r>
      <w:r>
        <w:rPr/>
        <w:t>Paranoá</w:t>
      </w:r>
      <w:r>
        <w:rPr>
          <w:spacing w:val="-17"/>
        </w:rPr>
        <w:t> </w:t>
      </w:r>
      <w:r>
        <w:rPr/>
        <w:t>foi</w:t>
      </w:r>
      <w:r>
        <w:rPr>
          <w:spacing w:val="-18"/>
        </w:rPr>
        <w:t> </w:t>
      </w:r>
      <w:r>
        <w:rPr/>
        <w:t>outorgada</w:t>
      </w:r>
      <w:r>
        <w:rPr>
          <w:spacing w:val="-17"/>
        </w:rPr>
        <w:t> </w:t>
      </w:r>
      <w:r>
        <w:rPr/>
        <w:t>pelo</w:t>
      </w:r>
      <w:r>
        <w:rPr>
          <w:spacing w:val="-18"/>
        </w:rPr>
        <w:t> </w:t>
      </w:r>
      <w:r>
        <w:rPr/>
        <w:t>Decreto</w:t>
      </w:r>
      <w:r>
        <w:rPr>
          <w:spacing w:val="-17"/>
        </w:rPr>
        <w:t> </w:t>
      </w:r>
      <w:r>
        <w:rPr/>
        <w:t>nº</w:t>
      </w:r>
      <w:r>
        <w:rPr>
          <w:spacing w:val="-18"/>
        </w:rPr>
        <w:t> </w:t>
      </w:r>
      <w:r>
        <w:rPr/>
        <w:t>65.664,</w:t>
      </w:r>
      <w:r>
        <w:rPr>
          <w:spacing w:val="-18"/>
        </w:rPr>
        <w:t> </w:t>
      </w:r>
      <w:r>
        <w:rPr/>
        <w:t>de</w:t>
      </w:r>
      <w:r>
        <w:rPr>
          <w:spacing w:val="-19"/>
        </w:rPr>
        <w:t> </w:t>
      </w:r>
      <w:r>
        <w:rPr/>
        <w:t>29</w:t>
      </w:r>
      <w:r>
        <w:rPr>
          <w:spacing w:val="-16"/>
        </w:rPr>
        <w:t> </w:t>
      </w:r>
      <w:r>
        <w:rPr/>
        <w:t>de</w:t>
      </w:r>
      <w:r>
        <w:rPr>
          <w:spacing w:val="-19"/>
        </w:rPr>
        <w:t> </w:t>
      </w:r>
      <w:r>
        <w:rPr/>
        <w:t>outubro</w:t>
      </w:r>
      <w:r>
        <w:rPr>
          <w:spacing w:val="-19"/>
        </w:rPr>
        <w:t> </w:t>
      </w:r>
      <w:r>
        <w:rPr/>
        <w:t>de</w:t>
      </w:r>
      <w:r>
        <w:rPr>
          <w:spacing w:val="-19"/>
        </w:rPr>
        <w:t> </w:t>
      </w:r>
      <w:r>
        <w:rPr/>
        <w:t>1969.</w:t>
      </w:r>
      <w:r>
        <w:rPr>
          <w:spacing w:val="-18"/>
        </w:rPr>
        <w:t> </w:t>
      </w:r>
      <w:r>
        <w:rPr/>
        <w:t>A concessão</w:t>
      </w:r>
      <w:r>
        <w:rPr>
          <w:spacing w:val="-35"/>
        </w:rPr>
        <w:t> </w:t>
      </w:r>
      <w:r>
        <w:rPr/>
        <w:t>foi</w:t>
      </w:r>
      <w:r>
        <w:rPr>
          <w:spacing w:val="-34"/>
        </w:rPr>
        <w:t> </w:t>
      </w:r>
      <w:r>
        <w:rPr/>
        <w:t>prorrogada</w:t>
      </w:r>
      <w:r>
        <w:rPr>
          <w:spacing w:val="-34"/>
        </w:rPr>
        <w:t> </w:t>
      </w:r>
      <w:r>
        <w:rPr/>
        <w:t>pela</w:t>
      </w:r>
      <w:r>
        <w:rPr>
          <w:spacing w:val="-34"/>
        </w:rPr>
        <w:t> </w:t>
      </w:r>
      <w:r>
        <w:rPr/>
        <w:t>Portaria</w:t>
      </w:r>
      <w:r>
        <w:rPr>
          <w:spacing w:val="-34"/>
        </w:rPr>
        <w:t> </w:t>
      </w:r>
      <w:r>
        <w:rPr/>
        <w:t>MME</w:t>
      </w:r>
      <w:r>
        <w:rPr>
          <w:spacing w:val="-33"/>
        </w:rPr>
        <w:t> </w:t>
      </w:r>
      <w:r>
        <w:rPr/>
        <w:t>nº</w:t>
      </w:r>
      <w:r>
        <w:rPr>
          <w:spacing w:val="-34"/>
        </w:rPr>
        <w:t> </w:t>
      </w:r>
      <w:r>
        <w:rPr/>
        <w:t>255</w:t>
      </w:r>
      <w:r>
        <w:rPr>
          <w:spacing w:val="-32"/>
        </w:rPr>
        <w:t> </w:t>
      </w:r>
      <w:r>
        <w:rPr/>
        <w:t>de</w:t>
      </w:r>
      <w:r>
        <w:rPr>
          <w:spacing w:val="-36"/>
        </w:rPr>
        <w:t> </w:t>
      </w:r>
      <w:r>
        <w:rPr/>
        <w:t>1999,</w:t>
      </w:r>
      <w:r>
        <w:rPr>
          <w:spacing w:val="-34"/>
        </w:rPr>
        <w:t> </w:t>
      </w:r>
      <w:r>
        <w:rPr/>
        <w:t>com</w:t>
      </w:r>
      <w:r>
        <w:rPr>
          <w:spacing w:val="-34"/>
        </w:rPr>
        <w:t> </w:t>
      </w:r>
      <w:r>
        <w:rPr/>
        <w:t>encerramento</w:t>
      </w:r>
      <w:r>
        <w:rPr>
          <w:spacing w:val="-35"/>
        </w:rPr>
        <w:t> </w:t>
      </w:r>
      <w:r>
        <w:rPr/>
        <w:t>previsto</w:t>
      </w:r>
      <w:r>
        <w:rPr>
          <w:spacing w:val="-34"/>
        </w:rPr>
        <w:t> </w:t>
      </w:r>
      <w:r>
        <w:rPr/>
        <w:t>para</w:t>
      </w:r>
      <w:r>
        <w:rPr>
          <w:spacing w:val="-34"/>
        </w:rPr>
        <w:t> </w:t>
      </w:r>
      <w:r>
        <w:rPr/>
        <w:t>29</w:t>
      </w:r>
      <w:r>
        <w:rPr>
          <w:spacing w:val="-35"/>
        </w:rPr>
        <w:t> </w:t>
      </w:r>
      <w:r>
        <w:rPr/>
        <w:t>de</w:t>
      </w:r>
      <w:r>
        <w:rPr>
          <w:spacing w:val="-35"/>
        </w:rPr>
        <w:t> </w:t>
      </w:r>
      <w:r>
        <w:rPr/>
        <w:t>outubro</w:t>
      </w:r>
      <w:r>
        <w:rPr>
          <w:spacing w:val="-32"/>
        </w:rPr>
        <w:t> </w:t>
      </w:r>
      <w:r>
        <w:rPr/>
        <w:t>de</w:t>
      </w:r>
      <w:r>
        <w:rPr>
          <w:spacing w:val="-34"/>
        </w:rPr>
        <w:t> </w:t>
      </w:r>
      <w:r>
        <w:rPr/>
        <w:t>2019. Posteriormente,</w:t>
      </w:r>
      <w:r>
        <w:rPr>
          <w:spacing w:val="-46"/>
        </w:rPr>
        <w:t> </w:t>
      </w:r>
      <w:r>
        <w:rPr/>
        <w:t>o</w:t>
      </w:r>
      <w:r>
        <w:rPr>
          <w:spacing w:val="-46"/>
        </w:rPr>
        <w:t> </w:t>
      </w:r>
      <w:r>
        <w:rPr/>
        <w:t>período</w:t>
      </w:r>
      <w:r>
        <w:rPr>
          <w:spacing w:val="-45"/>
        </w:rPr>
        <w:t> </w:t>
      </w:r>
      <w:r>
        <w:rPr/>
        <w:t>da</w:t>
      </w:r>
      <w:r>
        <w:rPr>
          <w:spacing w:val="-46"/>
        </w:rPr>
        <w:t> </w:t>
      </w:r>
      <w:r>
        <w:rPr/>
        <w:t>concessão</w:t>
      </w:r>
      <w:r>
        <w:rPr>
          <w:spacing w:val="-45"/>
        </w:rPr>
        <w:t> </w:t>
      </w:r>
      <w:r>
        <w:rPr/>
        <w:t>foi</w:t>
      </w:r>
      <w:r>
        <w:rPr>
          <w:spacing w:val="-46"/>
        </w:rPr>
        <w:t> </w:t>
      </w:r>
      <w:r>
        <w:rPr/>
        <w:t>novamente</w:t>
      </w:r>
      <w:r>
        <w:rPr>
          <w:spacing w:val="-46"/>
        </w:rPr>
        <w:t> </w:t>
      </w:r>
      <w:r>
        <w:rPr/>
        <w:t>prorrogado</w:t>
      </w:r>
      <w:r>
        <w:rPr>
          <w:spacing w:val="-46"/>
        </w:rPr>
        <w:t> </w:t>
      </w:r>
      <w:r>
        <w:rPr/>
        <w:t>até</w:t>
      </w:r>
      <w:r>
        <w:rPr>
          <w:spacing w:val="-46"/>
        </w:rPr>
        <w:t> </w:t>
      </w:r>
      <w:r>
        <w:rPr/>
        <w:t>20</w:t>
      </w:r>
      <w:r>
        <w:rPr>
          <w:spacing w:val="-45"/>
        </w:rPr>
        <w:t> </w:t>
      </w:r>
      <w:r>
        <w:rPr/>
        <w:t>de</w:t>
      </w:r>
      <w:r>
        <w:rPr>
          <w:spacing w:val="-46"/>
        </w:rPr>
        <w:t> </w:t>
      </w:r>
      <w:r>
        <w:rPr/>
        <w:t>abril</w:t>
      </w:r>
      <w:r>
        <w:rPr>
          <w:spacing w:val="-46"/>
        </w:rPr>
        <w:t> </w:t>
      </w:r>
      <w:r>
        <w:rPr/>
        <w:t>de</w:t>
      </w:r>
      <w:r>
        <w:rPr>
          <w:spacing w:val="-45"/>
        </w:rPr>
        <w:t> </w:t>
      </w:r>
      <w:r>
        <w:rPr/>
        <w:t>2020,</w:t>
      </w:r>
      <w:r>
        <w:rPr>
          <w:spacing w:val="-45"/>
        </w:rPr>
        <w:t> </w:t>
      </w:r>
      <w:r>
        <w:rPr/>
        <w:t>em</w:t>
      </w:r>
      <w:r>
        <w:rPr>
          <w:spacing w:val="-46"/>
        </w:rPr>
        <w:t> </w:t>
      </w:r>
      <w:r>
        <w:rPr/>
        <w:t>função</w:t>
      </w:r>
      <w:r>
        <w:rPr>
          <w:spacing w:val="-45"/>
        </w:rPr>
        <w:t> </w:t>
      </w:r>
      <w:r>
        <w:rPr/>
        <w:t>da</w:t>
      </w:r>
      <w:r>
        <w:rPr>
          <w:spacing w:val="-46"/>
        </w:rPr>
        <w:t> </w:t>
      </w:r>
      <w:r>
        <w:rPr/>
        <w:t>Repactuação do Risco</w:t>
      </w:r>
      <w:r>
        <w:rPr>
          <w:spacing w:val="-37"/>
        </w:rPr>
        <w:t> </w:t>
      </w:r>
      <w:r>
        <w:rPr/>
        <w:t>Hidrológico.</w:t>
      </w:r>
    </w:p>
    <w:p>
      <w:pPr>
        <w:pStyle w:val="BodyText"/>
        <w:spacing w:before="8"/>
      </w:pPr>
    </w:p>
    <w:p>
      <w:pPr>
        <w:pStyle w:val="BodyText"/>
        <w:spacing w:line="242" w:lineRule="auto"/>
        <w:ind w:left="192" w:right="605"/>
        <w:jc w:val="both"/>
      </w:pPr>
      <w:r>
        <w:rPr/>
        <w:t>Finalmente,</w:t>
      </w:r>
      <w:r>
        <w:rPr>
          <w:spacing w:val="-34"/>
        </w:rPr>
        <w:t> </w:t>
      </w:r>
      <w:r>
        <w:rPr/>
        <w:t>em</w:t>
      </w:r>
      <w:r>
        <w:rPr>
          <w:spacing w:val="-33"/>
        </w:rPr>
        <w:t> </w:t>
      </w:r>
      <w:r>
        <w:rPr/>
        <w:t>dezembro</w:t>
      </w:r>
      <w:r>
        <w:rPr>
          <w:spacing w:val="-33"/>
        </w:rPr>
        <w:t> </w:t>
      </w:r>
      <w:r>
        <w:rPr/>
        <w:t>de</w:t>
      </w:r>
      <w:r>
        <w:rPr>
          <w:spacing w:val="-35"/>
        </w:rPr>
        <w:t> </w:t>
      </w:r>
      <w:r>
        <w:rPr/>
        <w:t>2016,</w:t>
      </w:r>
      <w:r>
        <w:rPr>
          <w:spacing w:val="-33"/>
        </w:rPr>
        <w:t> </w:t>
      </w:r>
      <w:r>
        <w:rPr/>
        <w:t>foi</w:t>
      </w:r>
      <w:r>
        <w:rPr>
          <w:spacing w:val="-35"/>
        </w:rPr>
        <w:t> </w:t>
      </w:r>
      <w:r>
        <w:rPr/>
        <w:t>firmado</w:t>
      </w:r>
      <w:r>
        <w:rPr>
          <w:spacing w:val="-35"/>
        </w:rPr>
        <w:t> </w:t>
      </w:r>
      <w:r>
        <w:rPr/>
        <w:t>o</w:t>
      </w:r>
      <w:r>
        <w:rPr>
          <w:spacing w:val="-33"/>
        </w:rPr>
        <w:t> </w:t>
      </w:r>
      <w:r>
        <w:rPr/>
        <w:t>novo</w:t>
      </w:r>
      <w:r>
        <w:rPr>
          <w:spacing w:val="-34"/>
        </w:rPr>
        <w:t> </w:t>
      </w:r>
      <w:r>
        <w:rPr/>
        <w:t>Contrato</w:t>
      </w:r>
      <w:r>
        <w:rPr>
          <w:spacing w:val="-35"/>
        </w:rPr>
        <w:t> </w:t>
      </w:r>
      <w:r>
        <w:rPr/>
        <w:t>de</w:t>
      </w:r>
      <w:r>
        <w:rPr>
          <w:spacing w:val="-35"/>
        </w:rPr>
        <w:t> </w:t>
      </w:r>
      <w:r>
        <w:rPr/>
        <w:t>Concessão</w:t>
      </w:r>
      <w:r>
        <w:rPr>
          <w:spacing w:val="-34"/>
        </w:rPr>
        <w:t> </w:t>
      </w:r>
      <w:r>
        <w:rPr/>
        <w:t>nº</w:t>
      </w:r>
      <w:r>
        <w:rPr>
          <w:spacing w:val="-34"/>
        </w:rPr>
        <w:t> </w:t>
      </w:r>
      <w:r>
        <w:rPr/>
        <w:t>001/2016-ANEEL,</w:t>
      </w:r>
      <w:r>
        <w:rPr>
          <w:spacing w:val="-35"/>
        </w:rPr>
        <w:t> </w:t>
      </w:r>
      <w:r>
        <w:rPr/>
        <w:t>conferindo</w:t>
      </w:r>
      <w:r>
        <w:rPr>
          <w:spacing w:val="-34"/>
        </w:rPr>
        <w:t> </w:t>
      </w:r>
      <w:r>
        <w:rPr/>
        <w:t>à</w:t>
      </w:r>
      <w:r>
        <w:rPr>
          <w:spacing w:val="-34"/>
        </w:rPr>
        <w:t> </w:t>
      </w:r>
      <w:r>
        <w:rPr/>
        <w:t>CEB Geração</w:t>
      </w:r>
      <w:r>
        <w:rPr>
          <w:spacing w:val="-33"/>
        </w:rPr>
        <w:t> </w:t>
      </w:r>
      <w:r>
        <w:rPr/>
        <w:t>S.A.</w:t>
      </w:r>
      <w:r>
        <w:rPr>
          <w:spacing w:val="-33"/>
        </w:rPr>
        <w:t> </w:t>
      </w:r>
      <w:r>
        <w:rPr/>
        <w:t>atuar</w:t>
      </w:r>
      <w:r>
        <w:rPr>
          <w:spacing w:val="-33"/>
        </w:rPr>
        <w:t> </w:t>
      </w:r>
      <w:r>
        <w:rPr/>
        <w:t>como</w:t>
      </w:r>
      <w:r>
        <w:rPr>
          <w:spacing w:val="-32"/>
        </w:rPr>
        <w:t> </w:t>
      </w:r>
      <w:r>
        <w:rPr/>
        <w:t>Produtora</w:t>
      </w:r>
      <w:r>
        <w:rPr>
          <w:spacing w:val="-32"/>
        </w:rPr>
        <w:t> </w:t>
      </w:r>
      <w:r>
        <w:rPr/>
        <w:t>Independente</w:t>
      </w:r>
      <w:r>
        <w:rPr>
          <w:spacing w:val="-32"/>
        </w:rPr>
        <w:t> </w:t>
      </w:r>
      <w:r>
        <w:rPr/>
        <w:t>de</w:t>
      </w:r>
      <w:r>
        <w:rPr>
          <w:spacing w:val="-33"/>
        </w:rPr>
        <w:t> </w:t>
      </w:r>
      <w:r>
        <w:rPr/>
        <w:t>Energia.</w:t>
      </w:r>
      <w:r>
        <w:rPr>
          <w:spacing w:val="-32"/>
        </w:rPr>
        <w:t> </w:t>
      </w:r>
      <w:r>
        <w:rPr/>
        <w:t>O</w:t>
      </w:r>
      <w:r>
        <w:rPr>
          <w:spacing w:val="-31"/>
        </w:rPr>
        <w:t> </w:t>
      </w:r>
      <w:r>
        <w:rPr/>
        <w:t>empreendimento</w:t>
      </w:r>
      <w:r>
        <w:rPr>
          <w:spacing w:val="-33"/>
        </w:rPr>
        <w:t> </w:t>
      </w:r>
      <w:r>
        <w:rPr/>
        <w:t>do</w:t>
      </w:r>
      <w:r>
        <w:rPr>
          <w:spacing w:val="-33"/>
        </w:rPr>
        <w:t> </w:t>
      </w:r>
      <w:r>
        <w:rPr/>
        <w:t>Paranoá</w:t>
      </w:r>
      <w:r>
        <w:rPr>
          <w:spacing w:val="-32"/>
        </w:rPr>
        <w:t> </w:t>
      </w:r>
      <w:r>
        <w:rPr/>
        <w:t>foi</w:t>
      </w:r>
      <w:r>
        <w:rPr>
          <w:spacing w:val="-32"/>
        </w:rPr>
        <w:t> </w:t>
      </w:r>
      <w:r>
        <w:rPr/>
        <w:t>enquadrado</w:t>
      </w:r>
      <w:r>
        <w:rPr>
          <w:spacing w:val="-32"/>
        </w:rPr>
        <w:t> </w:t>
      </w:r>
      <w:r>
        <w:rPr/>
        <w:t>como Pequena</w:t>
      </w:r>
      <w:r>
        <w:rPr>
          <w:spacing w:val="-34"/>
        </w:rPr>
        <w:t> </w:t>
      </w:r>
      <w:r>
        <w:rPr/>
        <w:t>Central</w:t>
      </w:r>
      <w:r>
        <w:rPr>
          <w:spacing w:val="-33"/>
        </w:rPr>
        <w:t> </w:t>
      </w:r>
      <w:r>
        <w:rPr/>
        <w:t>Hidrelétrica</w:t>
      </w:r>
      <w:r>
        <w:rPr>
          <w:spacing w:val="-31"/>
        </w:rPr>
        <w:t> </w:t>
      </w:r>
      <w:r>
        <w:rPr>
          <w:w w:val="105"/>
        </w:rPr>
        <w:t>–</w:t>
      </w:r>
      <w:r>
        <w:rPr>
          <w:spacing w:val="-36"/>
          <w:w w:val="105"/>
        </w:rPr>
        <w:t> </w:t>
      </w:r>
      <w:r>
        <w:rPr/>
        <w:t>PCH,</w:t>
      </w:r>
      <w:r>
        <w:rPr>
          <w:spacing w:val="-34"/>
        </w:rPr>
        <w:t> </w:t>
      </w:r>
      <w:r>
        <w:rPr/>
        <w:t>mantendo</w:t>
      </w:r>
      <w:r>
        <w:rPr>
          <w:spacing w:val="-32"/>
        </w:rPr>
        <w:t> </w:t>
      </w:r>
      <w:r>
        <w:rPr/>
        <w:t>o</w:t>
      </w:r>
      <w:r>
        <w:rPr>
          <w:spacing w:val="-34"/>
        </w:rPr>
        <w:t> </w:t>
      </w:r>
      <w:r>
        <w:rPr/>
        <w:t>mesmo</w:t>
      </w:r>
      <w:r>
        <w:rPr>
          <w:spacing w:val="-33"/>
        </w:rPr>
        <w:t> </w:t>
      </w:r>
      <w:r>
        <w:rPr/>
        <w:t>prazo</w:t>
      </w:r>
      <w:r>
        <w:rPr>
          <w:spacing w:val="-34"/>
        </w:rPr>
        <w:t> </w:t>
      </w:r>
      <w:r>
        <w:rPr/>
        <w:t>da</w:t>
      </w:r>
      <w:r>
        <w:rPr>
          <w:spacing w:val="-34"/>
        </w:rPr>
        <w:t> </w:t>
      </w:r>
      <w:r>
        <w:rPr/>
        <w:t>concessão</w:t>
      </w:r>
      <w:r>
        <w:rPr>
          <w:spacing w:val="-32"/>
        </w:rPr>
        <w:t> </w:t>
      </w:r>
      <w:r>
        <w:rPr/>
        <w:t>e</w:t>
      </w:r>
      <w:r>
        <w:rPr>
          <w:spacing w:val="-35"/>
        </w:rPr>
        <w:t> </w:t>
      </w:r>
      <w:r>
        <w:rPr/>
        <w:t>permitindo</w:t>
      </w:r>
      <w:r>
        <w:rPr>
          <w:spacing w:val="-32"/>
        </w:rPr>
        <w:t> </w:t>
      </w:r>
      <w:r>
        <w:rPr/>
        <w:t>os</w:t>
      </w:r>
      <w:r>
        <w:rPr>
          <w:spacing w:val="-33"/>
        </w:rPr>
        <w:t> </w:t>
      </w:r>
      <w:r>
        <w:rPr/>
        <w:t>benefícios</w:t>
      </w:r>
      <w:r>
        <w:rPr>
          <w:spacing w:val="-33"/>
        </w:rPr>
        <w:t> </w:t>
      </w:r>
      <w:r>
        <w:rPr/>
        <w:t>previstos</w:t>
      </w:r>
      <w:r>
        <w:rPr>
          <w:spacing w:val="-32"/>
        </w:rPr>
        <w:t> </w:t>
      </w:r>
      <w:r>
        <w:rPr/>
        <w:t>na legislação</w:t>
      </w:r>
      <w:r>
        <w:rPr>
          <w:spacing w:val="-20"/>
        </w:rPr>
        <w:t> </w:t>
      </w:r>
      <w:r>
        <w:rPr/>
        <w:t>pertinente</w:t>
      </w:r>
      <w:r>
        <w:rPr>
          <w:spacing w:val="-18"/>
        </w:rPr>
        <w:t> </w:t>
      </w:r>
      <w:r>
        <w:rPr/>
        <w:t>para</w:t>
      </w:r>
      <w:r>
        <w:rPr>
          <w:spacing w:val="-16"/>
        </w:rPr>
        <w:t> </w:t>
      </w:r>
      <w:r>
        <w:rPr/>
        <w:t>essa</w:t>
      </w:r>
      <w:r>
        <w:rPr>
          <w:spacing w:val="-19"/>
        </w:rPr>
        <w:t> </w:t>
      </w:r>
      <w:r>
        <w:rPr/>
        <w:t>classe</w:t>
      </w:r>
      <w:r>
        <w:rPr>
          <w:spacing w:val="-20"/>
        </w:rPr>
        <w:t> </w:t>
      </w:r>
      <w:r>
        <w:rPr/>
        <w:t>de</w:t>
      </w:r>
      <w:r>
        <w:rPr>
          <w:spacing w:val="-21"/>
        </w:rPr>
        <w:t> </w:t>
      </w:r>
      <w:r>
        <w:rPr/>
        <w:t>geração.</w:t>
      </w:r>
    </w:p>
    <w:p>
      <w:pPr>
        <w:pStyle w:val="BodyText"/>
        <w:spacing w:before="8"/>
      </w:pPr>
    </w:p>
    <w:p>
      <w:pPr>
        <w:pStyle w:val="BodyText"/>
        <w:spacing w:line="242" w:lineRule="auto"/>
        <w:ind w:left="192" w:right="612"/>
        <w:jc w:val="both"/>
      </w:pPr>
      <w:r>
        <w:rPr/>
        <w:t>Considerando</w:t>
      </w:r>
      <w:r>
        <w:rPr>
          <w:spacing w:val="-30"/>
        </w:rPr>
        <w:t> </w:t>
      </w:r>
      <w:r>
        <w:rPr/>
        <w:t>o</w:t>
      </w:r>
      <w:r>
        <w:rPr>
          <w:spacing w:val="-29"/>
        </w:rPr>
        <w:t> </w:t>
      </w:r>
      <w:r>
        <w:rPr/>
        <w:t>final</w:t>
      </w:r>
      <w:r>
        <w:rPr>
          <w:spacing w:val="-29"/>
        </w:rPr>
        <w:t> </w:t>
      </w:r>
      <w:r>
        <w:rPr/>
        <w:t>da</w:t>
      </w:r>
      <w:r>
        <w:rPr>
          <w:spacing w:val="-29"/>
        </w:rPr>
        <w:t> </w:t>
      </w:r>
      <w:r>
        <w:rPr/>
        <w:t>concessão</w:t>
      </w:r>
      <w:r>
        <w:rPr>
          <w:spacing w:val="-30"/>
        </w:rPr>
        <w:t> </w:t>
      </w:r>
      <w:r>
        <w:rPr/>
        <w:t>em</w:t>
      </w:r>
      <w:r>
        <w:rPr>
          <w:spacing w:val="-28"/>
        </w:rPr>
        <w:t> </w:t>
      </w:r>
      <w:r>
        <w:rPr/>
        <w:t>abril</w:t>
      </w:r>
      <w:r>
        <w:rPr>
          <w:spacing w:val="-29"/>
        </w:rPr>
        <w:t> </w:t>
      </w:r>
      <w:r>
        <w:rPr/>
        <w:t>de</w:t>
      </w:r>
      <w:r>
        <w:rPr>
          <w:spacing w:val="-29"/>
        </w:rPr>
        <w:t> </w:t>
      </w:r>
      <w:r>
        <w:rPr/>
        <w:t>2020,</w:t>
      </w:r>
      <w:r>
        <w:rPr>
          <w:spacing w:val="-28"/>
        </w:rPr>
        <w:t> </w:t>
      </w:r>
      <w:r>
        <w:rPr/>
        <w:t>a</w:t>
      </w:r>
      <w:r>
        <w:rPr>
          <w:spacing w:val="-29"/>
        </w:rPr>
        <w:t> </w:t>
      </w:r>
      <w:r>
        <w:rPr/>
        <w:t>CEB</w:t>
      </w:r>
      <w:r>
        <w:rPr>
          <w:spacing w:val="-30"/>
        </w:rPr>
        <w:t> </w:t>
      </w:r>
      <w:r>
        <w:rPr/>
        <w:t>Geração</w:t>
      </w:r>
      <w:r>
        <w:rPr>
          <w:spacing w:val="-29"/>
        </w:rPr>
        <w:t> </w:t>
      </w:r>
      <w:r>
        <w:rPr/>
        <w:t>S.A.</w:t>
      </w:r>
      <w:r>
        <w:rPr>
          <w:spacing w:val="-29"/>
        </w:rPr>
        <w:t> </w:t>
      </w:r>
      <w:r>
        <w:rPr/>
        <w:t>solicitou</w:t>
      </w:r>
      <w:r>
        <w:rPr>
          <w:spacing w:val="-22"/>
        </w:rPr>
        <w:t> </w:t>
      </w:r>
      <w:r>
        <w:rPr/>
        <w:t>no</w:t>
      </w:r>
      <w:r>
        <w:rPr>
          <w:spacing w:val="-28"/>
        </w:rPr>
        <w:t> </w:t>
      </w:r>
      <w:r>
        <w:rPr/>
        <w:t>final</w:t>
      </w:r>
      <w:r>
        <w:rPr>
          <w:spacing w:val="-29"/>
        </w:rPr>
        <w:t> </w:t>
      </w:r>
      <w:r>
        <w:rPr/>
        <w:t>de</w:t>
      </w:r>
      <w:r>
        <w:rPr>
          <w:spacing w:val="-31"/>
        </w:rPr>
        <w:t> </w:t>
      </w:r>
      <w:r>
        <w:rPr/>
        <w:t>2018,</w:t>
      </w:r>
      <w:r>
        <w:rPr>
          <w:spacing w:val="-30"/>
        </w:rPr>
        <w:t> </w:t>
      </w:r>
      <w:r>
        <w:rPr/>
        <w:t>a</w:t>
      </w:r>
      <w:r>
        <w:rPr>
          <w:spacing w:val="-27"/>
        </w:rPr>
        <w:t> </w:t>
      </w:r>
      <w:r>
        <w:rPr/>
        <w:t>prorrogação</w:t>
      </w:r>
      <w:r>
        <w:rPr>
          <w:spacing w:val="-30"/>
        </w:rPr>
        <w:t> </w:t>
      </w:r>
      <w:r>
        <w:rPr/>
        <w:t>da referida</w:t>
      </w:r>
      <w:r>
        <w:rPr>
          <w:spacing w:val="-29"/>
        </w:rPr>
        <w:t> </w:t>
      </w:r>
      <w:r>
        <w:rPr/>
        <w:t>concessão,</w:t>
      </w:r>
      <w:r>
        <w:rPr>
          <w:spacing w:val="-28"/>
        </w:rPr>
        <w:t> </w:t>
      </w:r>
      <w:r>
        <w:rPr/>
        <w:t>bem</w:t>
      </w:r>
      <w:r>
        <w:rPr>
          <w:spacing w:val="-27"/>
        </w:rPr>
        <w:t> </w:t>
      </w:r>
      <w:r>
        <w:rPr/>
        <w:t>como</w:t>
      </w:r>
      <w:r>
        <w:rPr>
          <w:spacing w:val="-28"/>
        </w:rPr>
        <w:t> </w:t>
      </w:r>
      <w:r>
        <w:rPr/>
        <w:t>realizou</w:t>
      </w:r>
      <w:r>
        <w:rPr>
          <w:spacing w:val="-26"/>
        </w:rPr>
        <w:t> </w:t>
      </w:r>
      <w:r>
        <w:rPr/>
        <w:t>reuniões</w:t>
      </w:r>
      <w:r>
        <w:rPr>
          <w:spacing w:val="-27"/>
        </w:rPr>
        <w:t> </w:t>
      </w:r>
      <w:r>
        <w:rPr/>
        <w:t>com</w:t>
      </w:r>
      <w:r>
        <w:rPr>
          <w:spacing w:val="-28"/>
        </w:rPr>
        <w:t> </w:t>
      </w:r>
      <w:r>
        <w:rPr/>
        <w:t>a</w:t>
      </w:r>
      <w:r>
        <w:rPr>
          <w:spacing w:val="-25"/>
        </w:rPr>
        <w:t> </w:t>
      </w:r>
      <w:r>
        <w:rPr/>
        <w:t>ANEEL</w:t>
      </w:r>
      <w:r>
        <w:rPr>
          <w:spacing w:val="-28"/>
        </w:rPr>
        <w:t> </w:t>
      </w:r>
      <w:r>
        <w:rPr/>
        <w:t>durante</w:t>
      </w:r>
      <w:r>
        <w:rPr>
          <w:spacing w:val="-28"/>
        </w:rPr>
        <w:t> </w:t>
      </w:r>
      <w:r>
        <w:rPr/>
        <w:t>o</w:t>
      </w:r>
      <w:r>
        <w:rPr>
          <w:spacing w:val="-27"/>
        </w:rPr>
        <w:t> </w:t>
      </w:r>
      <w:r>
        <w:rPr/>
        <w:t>exercício</w:t>
      </w:r>
      <w:r>
        <w:rPr>
          <w:spacing w:val="-28"/>
        </w:rPr>
        <w:t> </w:t>
      </w:r>
      <w:r>
        <w:rPr/>
        <w:t>de</w:t>
      </w:r>
      <w:r>
        <w:rPr>
          <w:spacing w:val="-28"/>
        </w:rPr>
        <w:t> </w:t>
      </w:r>
      <w:r>
        <w:rPr/>
        <w:t>2019,</w:t>
      </w:r>
      <w:r>
        <w:rPr>
          <w:spacing w:val="-27"/>
        </w:rPr>
        <w:t> </w:t>
      </w:r>
      <w:r>
        <w:rPr/>
        <w:t>para</w:t>
      </w:r>
      <w:r>
        <w:rPr>
          <w:spacing w:val="-28"/>
        </w:rPr>
        <w:t> </w:t>
      </w:r>
      <w:r>
        <w:rPr/>
        <w:t>acompanhamento do processo. Ademais, realiza acompanhamento semanal do andamento do processo administrativo,</w:t>
      </w:r>
      <w:r>
        <w:rPr>
          <w:spacing w:val="-40"/>
        </w:rPr>
        <w:t> </w:t>
      </w:r>
      <w:r>
        <w:rPr/>
        <w:t>contratou escritório</w:t>
      </w:r>
      <w:r>
        <w:rPr>
          <w:spacing w:val="-40"/>
        </w:rPr>
        <w:t> </w:t>
      </w:r>
      <w:r>
        <w:rPr/>
        <w:t>de</w:t>
      </w:r>
      <w:r>
        <w:rPr>
          <w:spacing w:val="-40"/>
        </w:rPr>
        <w:t> </w:t>
      </w:r>
      <w:r>
        <w:rPr/>
        <w:t>advocacia</w:t>
      </w:r>
      <w:r>
        <w:rPr>
          <w:spacing w:val="-39"/>
        </w:rPr>
        <w:t> </w:t>
      </w:r>
      <w:r>
        <w:rPr/>
        <w:t>para</w:t>
      </w:r>
      <w:r>
        <w:rPr>
          <w:spacing w:val="-39"/>
        </w:rPr>
        <w:t> </w:t>
      </w:r>
      <w:r>
        <w:rPr/>
        <w:t>acompanhamento</w:t>
      </w:r>
      <w:r>
        <w:rPr>
          <w:spacing w:val="-40"/>
        </w:rPr>
        <w:t> </w:t>
      </w:r>
      <w:r>
        <w:rPr/>
        <w:t>e</w:t>
      </w:r>
      <w:r>
        <w:rPr>
          <w:spacing w:val="-39"/>
        </w:rPr>
        <w:t> </w:t>
      </w:r>
      <w:r>
        <w:rPr/>
        <w:t>defesa</w:t>
      </w:r>
      <w:r>
        <w:rPr>
          <w:spacing w:val="-39"/>
        </w:rPr>
        <w:t> </w:t>
      </w:r>
      <w:r>
        <w:rPr/>
        <w:t>da</w:t>
      </w:r>
      <w:r>
        <w:rPr>
          <w:spacing w:val="-40"/>
        </w:rPr>
        <w:t> </w:t>
      </w:r>
      <w:r>
        <w:rPr/>
        <w:t>renovação</w:t>
      </w:r>
      <w:r>
        <w:rPr>
          <w:spacing w:val="-40"/>
        </w:rPr>
        <w:t> </w:t>
      </w:r>
      <w:r>
        <w:rPr/>
        <w:t>da</w:t>
      </w:r>
      <w:r>
        <w:rPr>
          <w:spacing w:val="-40"/>
        </w:rPr>
        <w:t> </w:t>
      </w:r>
      <w:r>
        <w:rPr/>
        <w:t>concessão</w:t>
      </w:r>
      <w:r>
        <w:rPr>
          <w:spacing w:val="-39"/>
        </w:rPr>
        <w:t> </w:t>
      </w:r>
      <w:r>
        <w:rPr/>
        <w:t>da</w:t>
      </w:r>
      <w:r>
        <w:rPr>
          <w:spacing w:val="-39"/>
        </w:rPr>
        <w:t> </w:t>
      </w:r>
      <w:r>
        <w:rPr/>
        <w:t>Pequena</w:t>
      </w:r>
      <w:r>
        <w:rPr>
          <w:spacing w:val="-39"/>
        </w:rPr>
        <w:t> </w:t>
      </w:r>
      <w:r>
        <w:rPr/>
        <w:t>Central</w:t>
      </w:r>
      <w:r>
        <w:rPr>
          <w:spacing w:val="-40"/>
        </w:rPr>
        <w:t> </w:t>
      </w:r>
      <w:r>
        <w:rPr/>
        <w:t>Hidrelétrica </w:t>
      </w:r>
      <w:r>
        <w:rPr>
          <w:w w:val="98"/>
        </w:rPr>
        <w:t>do</w:t>
      </w:r>
      <w:r>
        <w:rPr>
          <w:spacing w:val="-18"/>
        </w:rPr>
        <w:t> </w:t>
      </w:r>
      <w:r>
        <w:rPr>
          <w:w w:val="97"/>
        </w:rPr>
        <w:t>Pa</w:t>
      </w:r>
      <w:r>
        <w:rPr>
          <w:spacing w:val="-1"/>
          <w:w w:val="105"/>
        </w:rPr>
        <w:t>r</w:t>
      </w:r>
      <w:r>
        <w:rPr>
          <w:spacing w:val="3"/>
          <w:w w:val="92"/>
        </w:rPr>
        <w:t>a</w:t>
      </w:r>
      <w:r>
        <w:rPr>
          <w:spacing w:val="-1"/>
          <w:w w:val="101"/>
        </w:rPr>
        <w:t>n</w:t>
      </w:r>
      <w:r>
        <w:rPr>
          <w:w w:val="95"/>
        </w:rPr>
        <w:t>oá</w:t>
      </w:r>
      <w:r>
        <w:rPr>
          <w:spacing w:val="-16"/>
        </w:rPr>
        <w:t> </w:t>
      </w:r>
      <w:r>
        <w:rPr>
          <w:w w:val="135"/>
        </w:rPr>
        <w:t>–</w:t>
      </w:r>
      <w:r>
        <w:rPr>
          <w:spacing w:val="-16"/>
        </w:rPr>
        <w:t> </w:t>
      </w:r>
      <w:r>
        <w:rPr>
          <w:w w:val="99"/>
        </w:rPr>
        <w:t>PCH</w:t>
      </w:r>
      <w:r>
        <w:rPr>
          <w:spacing w:val="-15"/>
        </w:rPr>
        <w:t> </w:t>
      </w:r>
      <w:r>
        <w:rPr>
          <w:w w:val="97"/>
        </w:rPr>
        <w:t>Pa</w:t>
      </w:r>
      <w:r>
        <w:rPr>
          <w:spacing w:val="-1"/>
          <w:w w:val="105"/>
        </w:rPr>
        <w:t>r</w:t>
      </w:r>
      <w:r>
        <w:rPr>
          <w:w w:val="92"/>
        </w:rPr>
        <w:t>a</w:t>
      </w:r>
      <w:r>
        <w:rPr>
          <w:spacing w:val="1"/>
          <w:w w:val="101"/>
        </w:rPr>
        <w:t>n</w:t>
      </w:r>
      <w:r>
        <w:rPr>
          <w:w w:val="95"/>
        </w:rPr>
        <w:t>oá</w:t>
      </w:r>
      <w:r>
        <w:rPr>
          <w:spacing w:val="-17"/>
        </w:rPr>
        <w:t> </w:t>
      </w:r>
      <w:r>
        <w:rPr>
          <w:w w:val="103"/>
        </w:rPr>
        <w:t>(</w:t>
      </w:r>
      <w:r>
        <w:rPr>
          <w:w w:val="93"/>
        </w:rPr>
        <w:t>C</w:t>
      </w:r>
      <w:r>
        <w:rPr>
          <w:w w:val="100"/>
        </w:rPr>
        <w:t>o</w:t>
      </w:r>
      <w:r>
        <w:rPr>
          <w:spacing w:val="-1"/>
          <w:w w:val="100"/>
        </w:rPr>
        <w:t>n</w:t>
      </w:r>
      <w:r>
        <w:rPr>
          <w:spacing w:val="-1"/>
          <w:w w:val="95"/>
        </w:rPr>
        <w:t>t</w:t>
      </w:r>
      <w:r>
        <w:rPr>
          <w:spacing w:val="-2"/>
          <w:w w:val="95"/>
        </w:rPr>
        <w:t>r</w:t>
      </w:r>
      <w:r>
        <w:rPr>
          <w:w w:val="92"/>
        </w:rPr>
        <w:t>a</w:t>
      </w:r>
      <w:r>
        <w:rPr>
          <w:spacing w:val="-1"/>
          <w:w w:val="92"/>
        </w:rPr>
        <w:t>t</w:t>
      </w:r>
      <w:r>
        <w:rPr>
          <w:w w:val="92"/>
        </w:rPr>
        <w:t>o</w:t>
      </w:r>
      <w:r>
        <w:rPr>
          <w:spacing w:val="-16"/>
        </w:rPr>
        <w:t> </w:t>
      </w:r>
      <w:r>
        <w:rPr>
          <w:spacing w:val="-1"/>
          <w:w w:val="101"/>
        </w:rPr>
        <w:t>n</w:t>
      </w:r>
      <w:r>
        <w:rPr>
          <w:w w:val="116"/>
        </w:rPr>
        <w:t>º</w:t>
      </w:r>
      <w:r>
        <w:rPr>
          <w:spacing w:val="-16"/>
        </w:rPr>
        <w:t> </w:t>
      </w:r>
      <w:r>
        <w:rPr>
          <w:spacing w:val="2"/>
          <w:w w:val="105"/>
        </w:rPr>
        <w:t>0</w:t>
      </w:r>
      <w:r>
        <w:rPr>
          <w:w w:val="101"/>
        </w:rPr>
        <w:t>01/</w:t>
      </w:r>
      <w:r>
        <w:rPr>
          <w:w w:val="105"/>
        </w:rPr>
        <w:t>2016</w:t>
      </w:r>
      <w:r>
        <w:rPr>
          <w:spacing w:val="-12"/>
        </w:rPr>
        <w:t> </w:t>
      </w:r>
      <w:r>
        <w:rPr>
          <w:w w:val="135"/>
        </w:rPr>
        <w:t>–</w:t>
      </w:r>
      <w:r>
        <w:rPr>
          <w:spacing w:val="-16"/>
        </w:rPr>
        <w:t> </w:t>
      </w:r>
      <w:r>
        <w:rPr>
          <w:w w:val="105"/>
        </w:rPr>
        <w:t>A</w:t>
      </w:r>
      <w:r>
        <w:rPr>
          <w:spacing w:val="1"/>
          <w:w w:val="106"/>
        </w:rPr>
        <w:t>N</w:t>
      </w:r>
      <w:r>
        <w:rPr>
          <w:w w:val="106"/>
        </w:rPr>
        <w:t>EE</w:t>
      </w:r>
      <w:r>
        <w:rPr>
          <w:w w:val="105"/>
        </w:rPr>
        <w:t>L</w:t>
      </w:r>
      <w:r>
        <w:rPr>
          <w:w w:val="103"/>
        </w:rPr>
        <w:t>)</w:t>
      </w:r>
      <w:r>
        <w:rPr>
          <w:spacing w:val="-17"/>
        </w:rPr>
        <w:t> </w:t>
      </w:r>
      <w:r>
        <w:rPr>
          <w:spacing w:val="-1"/>
          <w:w w:val="101"/>
        </w:rPr>
        <w:t>n</w:t>
      </w:r>
      <w:r>
        <w:rPr>
          <w:w w:val="92"/>
        </w:rPr>
        <w:t>a</w:t>
      </w:r>
      <w:r>
        <w:rPr>
          <w:spacing w:val="-17"/>
        </w:rPr>
        <w:t> </w:t>
      </w:r>
      <w:r>
        <w:rPr>
          <w:w w:val="105"/>
        </w:rPr>
        <w:t>A</w:t>
      </w:r>
      <w:r>
        <w:rPr>
          <w:spacing w:val="1"/>
          <w:w w:val="106"/>
        </w:rPr>
        <w:t>N</w:t>
      </w:r>
      <w:r>
        <w:rPr>
          <w:w w:val="106"/>
        </w:rPr>
        <w:t>EE</w:t>
      </w:r>
      <w:r>
        <w:rPr>
          <w:w w:val="105"/>
        </w:rPr>
        <w:t>L</w:t>
      </w:r>
      <w:r>
        <w:rPr>
          <w:spacing w:val="-17"/>
        </w:rPr>
        <w:t> </w:t>
      </w:r>
      <w:r>
        <w:rPr>
          <w:w w:val="89"/>
        </w:rPr>
        <w:t>e</w:t>
      </w:r>
      <w:r>
        <w:rPr>
          <w:spacing w:val="-19"/>
        </w:rPr>
        <w:t> </w:t>
      </w:r>
      <w:r>
        <w:rPr>
          <w:spacing w:val="1"/>
          <w:w w:val="101"/>
        </w:rPr>
        <w:t>n</w:t>
      </w:r>
      <w:r>
        <w:rPr>
          <w:w w:val="98"/>
        </w:rPr>
        <w:t>o</w:t>
      </w:r>
      <w:r>
        <w:rPr>
          <w:spacing w:val="-18"/>
        </w:rPr>
        <w:t> </w:t>
      </w:r>
      <w:r>
        <w:rPr>
          <w:w w:val="114"/>
        </w:rPr>
        <w:t>M</w:t>
      </w:r>
      <w:r>
        <w:rPr>
          <w:spacing w:val="2"/>
          <w:w w:val="97"/>
        </w:rPr>
        <w:t>i</w:t>
      </w:r>
      <w:r>
        <w:rPr>
          <w:spacing w:val="-1"/>
          <w:w w:val="101"/>
        </w:rPr>
        <w:t>n</w:t>
      </w:r>
      <w:r>
        <w:rPr>
          <w:w w:val="93"/>
        </w:rPr>
        <w:t>ist</w:t>
      </w:r>
      <w:r>
        <w:rPr>
          <w:spacing w:val="1"/>
          <w:w w:val="93"/>
        </w:rPr>
        <w:t>é</w:t>
      </w:r>
      <w:r>
        <w:rPr>
          <w:spacing w:val="-1"/>
          <w:w w:val="105"/>
        </w:rPr>
        <w:t>r</w:t>
      </w:r>
      <w:r>
        <w:rPr>
          <w:w w:val="98"/>
        </w:rPr>
        <w:t>io</w:t>
      </w:r>
      <w:r>
        <w:rPr>
          <w:spacing w:val="-18"/>
        </w:rPr>
        <w:t> </w:t>
      </w:r>
      <w:r>
        <w:rPr>
          <w:spacing w:val="2"/>
          <w:w w:val="99"/>
        </w:rPr>
        <w:t>d</w:t>
      </w:r>
      <w:r>
        <w:rPr>
          <w:w w:val="89"/>
        </w:rPr>
        <w:t>e</w:t>
      </w:r>
      <w:r>
        <w:rPr>
          <w:spacing w:val="-19"/>
        </w:rPr>
        <w:t> </w:t>
      </w:r>
      <w:r>
        <w:rPr>
          <w:spacing w:val="2"/>
          <w:w w:val="114"/>
        </w:rPr>
        <w:t>M</w:t>
      </w:r>
      <w:r>
        <w:rPr>
          <w:w w:val="100"/>
        </w:rPr>
        <w:t>i</w:t>
      </w:r>
      <w:r>
        <w:rPr>
          <w:spacing w:val="-1"/>
          <w:w w:val="100"/>
        </w:rPr>
        <w:t>n</w:t>
      </w:r>
      <w:r>
        <w:rPr>
          <w:w w:val="92"/>
        </w:rPr>
        <w:t>a</w:t>
      </w:r>
      <w:r>
        <w:rPr>
          <w:w w:val="105"/>
        </w:rPr>
        <w:t>s</w:t>
      </w:r>
      <w:r>
        <w:rPr>
          <w:spacing w:val="-15"/>
        </w:rPr>
        <w:t> </w:t>
      </w:r>
      <w:r>
        <w:rPr>
          <w:w w:val="89"/>
        </w:rPr>
        <w:t>e</w:t>
      </w:r>
      <w:r>
        <w:rPr>
          <w:spacing w:val="-19"/>
        </w:rPr>
        <w:t> </w:t>
      </w:r>
      <w:r>
        <w:rPr>
          <w:w w:val="106"/>
        </w:rPr>
        <w:t>E</w:t>
      </w:r>
      <w:r>
        <w:rPr>
          <w:spacing w:val="1"/>
          <w:w w:val="101"/>
        </w:rPr>
        <w:t>n</w:t>
      </w:r>
      <w:r>
        <w:rPr>
          <w:spacing w:val="-2"/>
          <w:w w:val="89"/>
        </w:rPr>
        <w:t>e</w:t>
      </w:r>
      <w:r>
        <w:rPr>
          <w:spacing w:val="1"/>
          <w:w w:val="105"/>
        </w:rPr>
        <w:t>r</w:t>
      </w:r>
      <w:r>
        <w:rPr>
          <w:spacing w:val="-1"/>
          <w:w w:val="95"/>
        </w:rPr>
        <w:t>gi</w:t>
      </w:r>
      <w:r>
        <w:rPr>
          <w:w w:val="95"/>
        </w:rPr>
        <w:t>a</w:t>
      </w:r>
      <w:r>
        <w:rPr>
          <w:spacing w:val="-11"/>
        </w:rPr>
        <w:t> </w:t>
      </w:r>
      <w:r>
        <w:rPr>
          <w:w w:val="135"/>
        </w:rPr>
        <w:t>–</w:t>
      </w:r>
      <w:r>
        <w:rPr>
          <w:spacing w:val="-16"/>
        </w:rPr>
        <w:t> </w:t>
      </w:r>
      <w:r>
        <w:rPr>
          <w:w w:val="114"/>
        </w:rPr>
        <w:t>M</w:t>
      </w:r>
      <w:r>
        <w:rPr>
          <w:spacing w:val="2"/>
          <w:w w:val="114"/>
        </w:rPr>
        <w:t>M</w:t>
      </w:r>
      <w:r>
        <w:rPr>
          <w:w w:val="106"/>
        </w:rPr>
        <w:t>E</w:t>
      </w:r>
      <w:r>
        <w:rPr>
          <w:w w:val="55"/>
        </w:rPr>
        <w:t>.</w:t>
      </w:r>
    </w:p>
    <w:p>
      <w:pPr>
        <w:pStyle w:val="BodyText"/>
        <w:spacing w:before="7"/>
      </w:pPr>
    </w:p>
    <w:p>
      <w:pPr>
        <w:pStyle w:val="BodyText"/>
        <w:spacing w:line="242" w:lineRule="auto"/>
        <w:ind w:left="192" w:right="607"/>
        <w:jc w:val="both"/>
      </w:pPr>
      <w:r>
        <w:rPr/>
        <w:t>A</w:t>
      </w:r>
      <w:r>
        <w:rPr>
          <w:spacing w:val="-26"/>
        </w:rPr>
        <w:t> </w:t>
      </w:r>
      <w:r>
        <w:rPr/>
        <w:t>CEB</w:t>
      </w:r>
      <w:r>
        <w:rPr>
          <w:spacing w:val="-27"/>
        </w:rPr>
        <w:t> </w:t>
      </w:r>
      <w:r>
        <w:rPr/>
        <w:t>Geração</w:t>
      </w:r>
      <w:r>
        <w:rPr>
          <w:spacing w:val="-26"/>
        </w:rPr>
        <w:t> </w:t>
      </w:r>
      <w:r>
        <w:rPr/>
        <w:t>possui</w:t>
      </w:r>
      <w:r>
        <w:rPr>
          <w:spacing w:val="-24"/>
        </w:rPr>
        <w:t> </w:t>
      </w:r>
      <w:r>
        <w:rPr/>
        <w:t>em</w:t>
      </w:r>
      <w:r>
        <w:rPr>
          <w:spacing w:val="-25"/>
        </w:rPr>
        <w:t> </w:t>
      </w:r>
      <w:r>
        <w:rPr/>
        <w:t>seu</w:t>
      </w:r>
      <w:r>
        <w:rPr>
          <w:spacing w:val="-26"/>
        </w:rPr>
        <w:t> </w:t>
      </w:r>
      <w:r>
        <w:rPr/>
        <w:t>plano</w:t>
      </w:r>
      <w:r>
        <w:rPr>
          <w:spacing w:val="-25"/>
        </w:rPr>
        <w:t> </w:t>
      </w:r>
      <w:r>
        <w:rPr/>
        <w:t>de</w:t>
      </w:r>
      <w:r>
        <w:rPr>
          <w:spacing w:val="-28"/>
        </w:rPr>
        <w:t> </w:t>
      </w:r>
      <w:r>
        <w:rPr/>
        <w:t>Negócios</w:t>
      </w:r>
      <w:r>
        <w:rPr>
          <w:spacing w:val="-19"/>
        </w:rPr>
        <w:t> </w:t>
      </w:r>
      <w:r>
        <w:rPr/>
        <w:t>2020-2024</w:t>
      </w:r>
      <w:r>
        <w:rPr>
          <w:spacing w:val="-26"/>
        </w:rPr>
        <w:t> </w:t>
      </w:r>
      <w:r>
        <w:rPr/>
        <w:t>a</w:t>
      </w:r>
      <w:r>
        <w:rPr>
          <w:spacing w:val="-24"/>
        </w:rPr>
        <w:t> </w:t>
      </w:r>
      <w:r>
        <w:rPr/>
        <w:t>previsão</w:t>
      </w:r>
      <w:r>
        <w:rPr>
          <w:spacing w:val="-25"/>
        </w:rPr>
        <w:t> </w:t>
      </w:r>
      <w:r>
        <w:rPr/>
        <w:t>de</w:t>
      </w:r>
      <w:r>
        <w:rPr>
          <w:spacing w:val="-26"/>
        </w:rPr>
        <w:t> </w:t>
      </w:r>
      <w:r>
        <w:rPr/>
        <w:t>participação</w:t>
      </w:r>
      <w:r>
        <w:rPr>
          <w:spacing w:val="-26"/>
        </w:rPr>
        <w:t> </w:t>
      </w:r>
      <w:r>
        <w:rPr/>
        <w:t>na</w:t>
      </w:r>
      <w:r>
        <w:rPr>
          <w:spacing w:val="-25"/>
        </w:rPr>
        <w:t> </w:t>
      </w:r>
      <w:r>
        <w:rPr/>
        <w:t>possível</w:t>
      </w:r>
      <w:r>
        <w:rPr>
          <w:spacing w:val="-24"/>
        </w:rPr>
        <w:t> </w:t>
      </w:r>
      <w:r>
        <w:rPr/>
        <w:t>licitação</w:t>
      </w:r>
      <w:r>
        <w:rPr>
          <w:spacing w:val="-26"/>
        </w:rPr>
        <w:t> </w:t>
      </w:r>
      <w:r>
        <w:rPr/>
        <w:t>da</w:t>
      </w:r>
      <w:r>
        <w:rPr>
          <w:spacing w:val="-24"/>
        </w:rPr>
        <w:t> </w:t>
      </w:r>
      <w:r>
        <w:rPr/>
        <w:t>PCH, caso</w:t>
      </w:r>
      <w:r>
        <w:rPr>
          <w:spacing w:val="-12"/>
        </w:rPr>
        <w:t> </w:t>
      </w:r>
      <w:r>
        <w:rPr/>
        <w:t>a</w:t>
      </w:r>
      <w:r>
        <w:rPr>
          <w:spacing w:val="-10"/>
        </w:rPr>
        <w:t> </w:t>
      </w:r>
      <w:r>
        <w:rPr/>
        <w:t>empresa</w:t>
      </w:r>
      <w:r>
        <w:rPr>
          <w:spacing w:val="-10"/>
        </w:rPr>
        <w:t> </w:t>
      </w:r>
      <w:r>
        <w:rPr/>
        <w:t>não</w:t>
      </w:r>
      <w:r>
        <w:rPr>
          <w:spacing w:val="-10"/>
        </w:rPr>
        <w:t> </w:t>
      </w:r>
      <w:r>
        <w:rPr/>
        <w:t>obtenha</w:t>
      </w:r>
      <w:r>
        <w:rPr>
          <w:spacing w:val="-11"/>
        </w:rPr>
        <w:t> </w:t>
      </w:r>
      <w:r>
        <w:rPr/>
        <w:t>êxito</w:t>
      </w:r>
      <w:r>
        <w:rPr>
          <w:spacing w:val="-9"/>
        </w:rPr>
        <w:t> </w:t>
      </w:r>
      <w:r>
        <w:rPr/>
        <w:t>nas</w:t>
      </w:r>
      <w:r>
        <w:rPr>
          <w:spacing w:val="-11"/>
        </w:rPr>
        <w:t> </w:t>
      </w:r>
      <w:r>
        <w:rPr/>
        <w:t>ações</w:t>
      </w:r>
      <w:r>
        <w:rPr>
          <w:spacing w:val="-8"/>
        </w:rPr>
        <w:t> </w:t>
      </w:r>
      <w:r>
        <w:rPr/>
        <w:t>em</w:t>
      </w:r>
      <w:r>
        <w:rPr>
          <w:spacing w:val="-10"/>
        </w:rPr>
        <w:t> </w:t>
      </w:r>
      <w:r>
        <w:rPr/>
        <w:t>andamento.</w:t>
      </w:r>
      <w:r>
        <w:rPr>
          <w:spacing w:val="-11"/>
        </w:rPr>
        <w:t> </w:t>
      </w:r>
      <w:r>
        <w:rPr/>
        <w:t>Há</w:t>
      </w:r>
      <w:r>
        <w:rPr>
          <w:spacing w:val="-8"/>
        </w:rPr>
        <w:t> </w:t>
      </w:r>
      <w:r>
        <w:rPr/>
        <w:t>também</w:t>
      </w:r>
      <w:r>
        <w:rPr>
          <w:spacing w:val="-10"/>
        </w:rPr>
        <w:t> </w:t>
      </w:r>
      <w:r>
        <w:rPr/>
        <w:t>previsão</w:t>
      </w:r>
      <w:r>
        <w:rPr>
          <w:spacing w:val="-11"/>
        </w:rPr>
        <w:t> </w:t>
      </w:r>
      <w:r>
        <w:rPr/>
        <w:t>para</w:t>
      </w:r>
      <w:r>
        <w:rPr>
          <w:spacing w:val="-11"/>
        </w:rPr>
        <w:t> </w:t>
      </w:r>
      <w:r>
        <w:rPr/>
        <w:t>contratação</w:t>
      </w:r>
      <w:r>
        <w:rPr>
          <w:spacing w:val="-11"/>
        </w:rPr>
        <w:t> </w:t>
      </w:r>
      <w:r>
        <w:rPr/>
        <w:t>de</w:t>
      </w:r>
      <w:r>
        <w:rPr>
          <w:spacing w:val="-10"/>
        </w:rPr>
        <w:t> </w:t>
      </w:r>
      <w:r>
        <w:rPr/>
        <w:t>empresa </w:t>
      </w:r>
      <w:r>
        <w:rPr>
          <w:w w:val="95"/>
        </w:rPr>
        <w:t>especializada</w:t>
      </w:r>
      <w:r>
        <w:rPr>
          <w:spacing w:val="-25"/>
          <w:w w:val="95"/>
        </w:rPr>
        <w:t> </w:t>
      </w:r>
      <w:r>
        <w:rPr>
          <w:w w:val="95"/>
        </w:rPr>
        <w:t>para</w:t>
      </w:r>
      <w:r>
        <w:rPr>
          <w:spacing w:val="-25"/>
          <w:w w:val="95"/>
        </w:rPr>
        <w:t> </w:t>
      </w:r>
      <w:r>
        <w:rPr>
          <w:w w:val="95"/>
        </w:rPr>
        <w:t>análise</w:t>
      </w:r>
      <w:r>
        <w:rPr>
          <w:spacing w:val="-24"/>
          <w:w w:val="95"/>
        </w:rPr>
        <w:t> </w:t>
      </w:r>
      <w:r>
        <w:rPr>
          <w:w w:val="95"/>
        </w:rPr>
        <w:t>das</w:t>
      </w:r>
      <w:r>
        <w:rPr>
          <w:spacing w:val="-25"/>
          <w:w w:val="95"/>
        </w:rPr>
        <w:t> </w:t>
      </w:r>
      <w:r>
        <w:rPr>
          <w:w w:val="95"/>
        </w:rPr>
        <w:t>projeções</w:t>
      </w:r>
      <w:r>
        <w:rPr>
          <w:spacing w:val="-25"/>
          <w:w w:val="95"/>
        </w:rPr>
        <w:t> </w:t>
      </w:r>
      <w:r>
        <w:rPr>
          <w:w w:val="95"/>
        </w:rPr>
        <w:t>de</w:t>
      </w:r>
      <w:r>
        <w:rPr>
          <w:spacing w:val="-27"/>
          <w:w w:val="95"/>
        </w:rPr>
        <w:t> </w:t>
      </w:r>
      <w:r>
        <w:rPr>
          <w:w w:val="95"/>
        </w:rPr>
        <w:t>preço</w:t>
      </w:r>
      <w:r>
        <w:rPr>
          <w:spacing w:val="-24"/>
          <w:w w:val="95"/>
        </w:rPr>
        <w:t> </w:t>
      </w:r>
      <w:r>
        <w:rPr>
          <w:w w:val="95"/>
        </w:rPr>
        <w:t>de</w:t>
      </w:r>
      <w:r>
        <w:rPr>
          <w:spacing w:val="-27"/>
          <w:w w:val="95"/>
        </w:rPr>
        <w:t> </w:t>
      </w:r>
      <w:r>
        <w:rPr>
          <w:w w:val="95"/>
        </w:rPr>
        <w:t>venda</w:t>
      </w:r>
      <w:r>
        <w:rPr>
          <w:spacing w:val="-25"/>
          <w:w w:val="95"/>
        </w:rPr>
        <w:t> </w:t>
      </w:r>
      <w:r>
        <w:rPr>
          <w:w w:val="95"/>
        </w:rPr>
        <w:t>de</w:t>
      </w:r>
      <w:r>
        <w:rPr>
          <w:spacing w:val="-25"/>
          <w:w w:val="95"/>
        </w:rPr>
        <w:t> </w:t>
      </w:r>
      <w:r>
        <w:rPr>
          <w:w w:val="95"/>
        </w:rPr>
        <w:t>energia;</w:t>
      </w:r>
      <w:r>
        <w:rPr>
          <w:spacing w:val="-26"/>
          <w:w w:val="95"/>
        </w:rPr>
        <w:t> </w:t>
      </w:r>
      <w:r>
        <w:rPr>
          <w:w w:val="95"/>
        </w:rPr>
        <w:t>viabilidade</w:t>
      </w:r>
      <w:r>
        <w:rPr>
          <w:spacing w:val="-25"/>
          <w:w w:val="95"/>
        </w:rPr>
        <w:t> </w:t>
      </w:r>
      <w:r>
        <w:rPr>
          <w:spacing w:val="3"/>
          <w:w w:val="95"/>
        </w:rPr>
        <w:t>do</w:t>
      </w:r>
      <w:r>
        <w:rPr>
          <w:spacing w:val="-24"/>
          <w:w w:val="95"/>
        </w:rPr>
        <w:t> </w:t>
      </w:r>
      <w:r>
        <w:rPr>
          <w:w w:val="95"/>
        </w:rPr>
        <w:t>negócio;</w:t>
      </w:r>
      <w:r>
        <w:rPr>
          <w:spacing w:val="-24"/>
          <w:w w:val="95"/>
        </w:rPr>
        <w:t> </w:t>
      </w:r>
      <w:r>
        <w:rPr>
          <w:w w:val="95"/>
        </w:rPr>
        <w:t>e</w:t>
      </w:r>
      <w:r>
        <w:rPr>
          <w:spacing w:val="-25"/>
          <w:w w:val="95"/>
        </w:rPr>
        <w:t> </w:t>
      </w:r>
      <w:r>
        <w:rPr>
          <w:w w:val="95"/>
        </w:rPr>
        <w:t>participação</w:t>
      </w:r>
      <w:r>
        <w:rPr>
          <w:spacing w:val="-26"/>
          <w:w w:val="95"/>
        </w:rPr>
        <w:t> </w:t>
      </w:r>
      <w:r>
        <w:rPr>
          <w:w w:val="95"/>
        </w:rPr>
        <w:t>no</w:t>
      </w:r>
      <w:r>
        <w:rPr>
          <w:spacing w:val="-26"/>
          <w:w w:val="95"/>
        </w:rPr>
        <w:t> </w:t>
      </w:r>
      <w:r>
        <w:rPr>
          <w:w w:val="95"/>
        </w:rPr>
        <w:t>leilão.</w:t>
      </w:r>
    </w:p>
    <w:p>
      <w:pPr>
        <w:pStyle w:val="BodyText"/>
        <w:spacing w:before="8"/>
      </w:pPr>
    </w:p>
    <w:p>
      <w:pPr>
        <w:pStyle w:val="Heading5"/>
        <w:numPr>
          <w:ilvl w:val="3"/>
          <w:numId w:val="10"/>
        </w:numPr>
        <w:tabs>
          <w:tab w:pos="1325" w:val="left" w:leader="none"/>
          <w:tab w:pos="1326" w:val="left" w:leader="none"/>
        </w:tabs>
        <w:spacing w:line="240" w:lineRule="auto" w:before="0" w:after="0"/>
        <w:ind w:left="1326" w:right="0" w:hanging="1134"/>
        <w:jc w:val="left"/>
      </w:pPr>
      <w:r>
        <w:rPr/>
        <w:t>CEB Participações</w:t>
      </w:r>
      <w:r>
        <w:rPr>
          <w:spacing w:val="-3"/>
        </w:rPr>
        <w:t> </w:t>
      </w:r>
      <w:r>
        <w:rPr/>
        <w:t>S.A.</w:t>
      </w:r>
    </w:p>
    <w:p>
      <w:pPr>
        <w:pStyle w:val="BodyText"/>
        <w:spacing w:before="7"/>
        <w:rPr>
          <w:rFonts w:ascii="Caladea"/>
          <w:b/>
          <w:sz w:val="23"/>
        </w:rPr>
      </w:pPr>
    </w:p>
    <w:p>
      <w:pPr>
        <w:pStyle w:val="BodyText"/>
        <w:spacing w:line="242" w:lineRule="auto"/>
        <w:ind w:left="192" w:right="612"/>
        <w:jc w:val="both"/>
      </w:pPr>
      <w:r>
        <w:rPr/>
        <w:t>A</w:t>
      </w:r>
      <w:r>
        <w:rPr>
          <w:spacing w:val="-44"/>
        </w:rPr>
        <w:t> </w:t>
      </w:r>
      <w:r>
        <w:rPr/>
        <w:t>CEB</w:t>
      </w:r>
      <w:r>
        <w:rPr>
          <w:spacing w:val="-42"/>
        </w:rPr>
        <w:t> </w:t>
      </w:r>
      <w:r>
        <w:rPr/>
        <w:t>Participações</w:t>
      </w:r>
      <w:r>
        <w:rPr>
          <w:spacing w:val="-41"/>
        </w:rPr>
        <w:t> </w:t>
      </w:r>
      <w:r>
        <w:rPr/>
        <w:t>S.A.</w:t>
      </w:r>
      <w:r>
        <w:rPr>
          <w:spacing w:val="-42"/>
        </w:rPr>
        <w:t> </w:t>
      </w:r>
      <w:r>
        <w:rPr/>
        <w:t>é</w:t>
      </w:r>
      <w:r>
        <w:rPr>
          <w:spacing w:val="-43"/>
        </w:rPr>
        <w:t> </w:t>
      </w:r>
      <w:r>
        <w:rPr/>
        <w:t>uma</w:t>
      </w:r>
      <w:r>
        <w:rPr>
          <w:spacing w:val="-43"/>
        </w:rPr>
        <w:t> </w:t>
      </w:r>
      <w:r>
        <w:rPr/>
        <w:t>sociedade</w:t>
      </w:r>
      <w:r>
        <w:rPr>
          <w:spacing w:val="-43"/>
        </w:rPr>
        <w:t> </w:t>
      </w:r>
      <w:r>
        <w:rPr/>
        <w:t>por</w:t>
      </w:r>
      <w:r>
        <w:rPr>
          <w:spacing w:val="-42"/>
        </w:rPr>
        <w:t> </w:t>
      </w:r>
      <w:r>
        <w:rPr/>
        <w:t>ações</w:t>
      </w:r>
      <w:r>
        <w:rPr>
          <w:spacing w:val="-42"/>
        </w:rPr>
        <w:t> </w:t>
      </w:r>
      <w:r>
        <w:rPr/>
        <w:t>de</w:t>
      </w:r>
      <w:r>
        <w:rPr>
          <w:spacing w:val="-43"/>
        </w:rPr>
        <w:t> </w:t>
      </w:r>
      <w:r>
        <w:rPr/>
        <w:t>capital</w:t>
      </w:r>
      <w:r>
        <w:rPr>
          <w:spacing w:val="-43"/>
        </w:rPr>
        <w:t> </w:t>
      </w:r>
      <w:r>
        <w:rPr/>
        <w:t>fechado,</w:t>
      </w:r>
      <w:r>
        <w:rPr>
          <w:spacing w:val="-42"/>
        </w:rPr>
        <w:t> </w:t>
      </w:r>
      <w:r>
        <w:rPr/>
        <w:t>autorizada</w:t>
      </w:r>
      <w:r>
        <w:rPr>
          <w:spacing w:val="-42"/>
        </w:rPr>
        <w:t> </w:t>
      </w:r>
      <w:r>
        <w:rPr/>
        <w:t>pela</w:t>
      </w:r>
      <w:r>
        <w:rPr>
          <w:spacing w:val="-42"/>
        </w:rPr>
        <w:t> </w:t>
      </w:r>
      <w:r>
        <w:rPr/>
        <w:t>Lei</w:t>
      </w:r>
      <w:r>
        <w:rPr>
          <w:spacing w:val="-42"/>
        </w:rPr>
        <w:t> </w:t>
      </w:r>
      <w:r>
        <w:rPr/>
        <w:t>Distrital</w:t>
      </w:r>
      <w:r>
        <w:rPr>
          <w:spacing w:val="-43"/>
        </w:rPr>
        <w:t> </w:t>
      </w:r>
      <w:r>
        <w:rPr/>
        <w:t>nº</w:t>
      </w:r>
      <w:r>
        <w:rPr>
          <w:spacing w:val="-41"/>
        </w:rPr>
        <w:t> </w:t>
      </w:r>
      <w:r>
        <w:rPr/>
        <w:t>1.788,</w:t>
      </w:r>
      <w:r>
        <w:rPr>
          <w:spacing w:val="-43"/>
        </w:rPr>
        <w:t> </w:t>
      </w:r>
      <w:r>
        <w:rPr/>
        <w:t>de</w:t>
      </w:r>
      <w:r>
        <w:rPr>
          <w:spacing w:val="-42"/>
        </w:rPr>
        <w:t> </w:t>
      </w:r>
      <w:r>
        <w:rPr/>
        <w:t>27</w:t>
      </w:r>
      <w:r>
        <w:rPr>
          <w:spacing w:val="-43"/>
        </w:rPr>
        <w:t> </w:t>
      </w:r>
      <w:r>
        <w:rPr/>
        <w:t>de novembro</w:t>
      </w:r>
      <w:r>
        <w:rPr>
          <w:spacing w:val="-8"/>
        </w:rPr>
        <w:t> </w:t>
      </w:r>
      <w:r>
        <w:rPr/>
        <w:t>de</w:t>
      </w:r>
      <w:r>
        <w:rPr>
          <w:spacing w:val="-8"/>
        </w:rPr>
        <w:t> </w:t>
      </w:r>
      <w:r>
        <w:rPr/>
        <w:t>1997,</w:t>
      </w:r>
      <w:r>
        <w:rPr>
          <w:spacing w:val="-6"/>
        </w:rPr>
        <w:t> </w:t>
      </w:r>
      <w:r>
        <w:rPr/>
        <w:t>constituída</w:t>
      </w:r>
      <w:r>
        <w:rPr>
          <w:spacing w:val="-6"/>
        </w:rPr>
        <w:t> </w:t>
      </w:r>
      <w:r>
        <w:rPr/>
        <w:t>como</w:t>
      </w:r>
      <w:r>
        <w:rPr>
          <w:spacing w:val="-7"/>
        </w:rPr>
        <w:t> </w:t>
      </w:r>
      <w:r>
        <w:rPr/>
        <w:t>subsidiária</w:t>
      </w:r>
      <w:r>
        <w:rPr>
          <w:spacing w:val="-7"/>
        </w:rPr>
        <w:t> </w:t>
      </w:r>
      <w:r>
        <w:rPr/>
        <w:t>integral</w:t>
      </w:r>
      <w:r>
        <w:rPr>
          <w:spacing w:val="-6"/>
        </w:rPr>
        <w:t> </w:t>
      </w:r>
      <w:r>
        <w:rPr/>
        <w:t>da</w:t>
      </w:r>
      <w:r>
        <w:rPr>
          <w:spacing w:val="-7"/>
        </w:rPr>
        <w:t> </w:t>
      </w:r>
      <w:r>
        <w:rPr/>
        <w:t>CEB,</w:t>
      </w:r>
      <w:r>
        <w:rPr>
          <w:spacing w:val="-7"/>
        </w:rPr>
        <w:t> </w:t>
      </w:r>
      <w:r>
        <w:rPr/>
        <w:t>que</w:t>
      </w:r>
      <w:r>
        <w:rPr>
          <w:spacing w:val="-7"/>
        </w:rPr>
        <w:t> </w:t>
      </w:r>
      <w:r>
        <w:rPr/>
        <w:t>atua</w:t>
      </w:r>
      <w:r>
        <w:rPr>
          <w:spacing w:val="-6"/>
        </w:rPr>
        <w:t> </w:t>
      </w:r>
      <w:r>
        <w:rPr/>
        <w:t>na compra</w:t>
      </w:r>
      <w:r>
        <w:rPr>
          <w:spacing w:val="-4"/>
        </w:rPr>
        <w:t> </w:t>
      </w:r>
      <w:r>
        <w:rPr/>
        <w:t>e</w:t>
      </w:r>
      <w:r>
        <w:rPr>
          <w:spacing w:val="-8"/>
        </w:rPr>
        <w:t> </w:t>
      </w:r>
      <w:r>
        <w:rPr/>
        <w:t>venda</w:t>
      </w:r>
      <w:r>
        <w:rPr>
          <w:spacing w:val="-7"/>
        </w:rPr>
        <w:t> </w:t>
      </w:r>
      <w:r>
        <w:rPr/>
        <w:t>de</w:t>
      </w:r>
      <w:r>
        <w:rPr>
          <w:spacing w:val="-6"/>
        </w:rPr>
        <w:t> </w:t>
      </w:r>
      <w:r>
        <w:rPr/>
        <w:t>participações acionárias</w:t>
      </w:r>
      <w:r>
        <w:rPr>
          <w:spacing w:val="-38"/>
        </w:rPr>
        <w:t> </w:t>
      </w:r>
      <w:r>
        <w:rPr/>
        <w:t>ou</w:t>
      </w:r>
      <w:r>
        <w:rPr>
          <w:spacing w:val="-38"/>
        </w:rPr>
        <w:t> </w:t>
      </w:r>
      <w:r>
        <w:rPr/>
        <w:t>cotas</w:t>
      </w:r>
      <w:r>
        <w:rPr>
          <w:spacing w:val="-38"/>
        </w:rPr>
        <w:t> </w:t>
      </w:r>
      <w:r>
        <w:rPr/>
        <w:t>de</w:t>
      </w:r>
      <w:r>
        <w:rPr>
          <w:spacing w:val="-39"/>
        </w:rPr>
        <w:t> </w:t>
      </w:r>
      <w:r>
        <w:rPr/>
        <w:t>outras</w:t>
      </w:r>
      <w:r>
        <w:rPr>
          <w:spacing w:val="-38"/>
        </w:rPr>
        <w:t> </w:t>
      </w:r>
      <w:r>
        <w:rPr/>
        <w:t>empresas</w:t>
      </w:r>
      <w:r>
        <w:rPr>
          <w:spacing w:val="-38"/>
        </w:rPr>
        <w:t> </w:t>
      </w:r>
      <w:r>
        <w:rPr/>
        <w:t>energéticas,</w:t>
      </w:r>
      <w:r>
        <w:rPr>
          <w:spacing w:val="-38"/>
        </w:rPr>
        <w:t> </w:t>
      </w:r>
      <w:r>
        <w:rPr/>
        <w:t>de</w:t>
      </w:r>
      <w:r>
        <w:rPr>
          <w:spacing w:val="-38"/>
        </w:rPr>
        <w:t> </w:t>
      </w:r>
      <w:r>
        <w:rPr/>
        <w:t>telecomunicações</w:t>
      </w:r>
      <w:r>
        <w:rPr>
          <w:spacing w:val="-37"/>
        </w:rPr>
        <w:t> </w:t>
      </w:r>
      <w:r>
        <w:rPr/>
        <w:t>e</w:t>
      </w:r>
      <w:r>
        <w:rPr>
          <w:spacing w:val="-39"/>
        </w:rPr>
        <w:t> </w:t>
      </w:r>
      <w:r>
        <w:rPr/>
        <w:t>de</w:t>
      </w:r>
      <w:r>
        <w:rPr>
          <w:spacing w:val="-37"/>
        </w:rPr>
        <w:t> </w:t>
      </w:r>
      <w:r>
        <w:rPr/>
        <w:t>transmissão</w:t>
      </w:r>
      <w:r>
        <w:rPr>
          <w:spacing w:val="-39"/>
        </w:rPr>
        <w:t> </w:t>
      </w:r>
      <w:r>
        <w:rPr/>
        <w:t>de</w:t>
      </w:r>
      <w:r>
        <w:rPr>
          <w:spacing w:val="-39"/>
        </w:rPr>
        <w:t> </w:t>
      </w:r>
      <w:r>
        <w:rPr/>
        <w:t>dados,</w:t>
      </w:r>
      <w:r>
        <w:rPr>
          <w:spacing w:val="-37"/>
        </w:rPr>
        <w:t> </w:t>
      </w:r>
      <w:r>
        <w:rPr/>
        <w:t>majoritária</w:t>
      </w:r>
      <w:r>
        <w:rPr>
          <w:spacing w:val="-38"/>
        </w:rPr>
        <w:t> </w:t>
      </w:r>
      <w:r>
        <w:rPr/>
        <w:t>ou minoritariamente.</w:t>
      </w:r>
    </w:p>
    <w:p>
      <w:pPr>
        <w:spacing w:after="0" w:line="242" w:lineRule="auto"/>
        <w:jc w:val="both"/>
        <w:sectPr>
          <w:pgSz w:w="11910" w:h="16850"/>
          <w:pgMar w:header="792" w:footer="1193" w:top="1360" w:bottom="1460" w:left="940" w:right="240"/>
        </w:sectPr>
      </w:pPr>
    </w:p>
    <w:p>
      <w:pPr>
        <w:pStyle w:val="BodyText"/>
        <w:spacing w:line="242" w:lineRule="auto" w:before="50"/>
        <w:ind w:left="192" w:right="609"/>
        <w:jc w:val="both"/>
      </w:pPr>
      <w:r>
        <w:rPr/>
        <w:t>A</w:t>
      </w:r>
      <w:r>
        <w:rPr>
          <w:spacing w:val="-13"/>
        </w:rPr>
        <w:t> </w:t>
      </w:r>
      <w:r>
        <w:rPr/>
        <w:t>sociedade</w:t>
      </w:r>
      <w:r>
        <w:rPr>
          <w:spacing w:val="-12"/>
        </w:rPr>
        <w:t> </w:t>
      </w:r>
      <w:r>
        <w:rPr/>
        <w:t>atua</w:t>
      </w:r>
      <w:r>
        <w:rPr>
          <w:spacing w:val="-10"/>
        </w:rPr>
        <w:t> </w:t>
      </w:r>
      <w:r>
        <w:rPr/>
        <w:t>na</w:t>
      </w:r>
      <w:r>
        <w:rPr>
          <w:spacing w:val="-12"/>
        </w:rPr>
        <w:t> </w:t>
      </w:r>
      <w:r>
        <w:rPr/>
        <w:t>comercialização</w:t>
      </w:r>
      <w:r>
        <w:rPr>
          <w:spacing w:val="-12"/>
        </w:rPr>
        <w:t> </w:t>
      </w:r>
      <w:r>
        <w:rPr/>
        <w:t>da</w:t>
      </w:r>
      <w:r>
        <w:rPr>
          <w:spacing w:val="-10"/>
        </w:rPr>
        <w:t> </w:t>
      </w:r>
      <w:r>
        <w:rPr/>
        <w:t>energia</w:t>
      </w:r>
      <w:r>
        <w:rPr>
          <w:spacing w:val="-11"/>
        </w:rPr>
        <w:t> </w:t>
      </w:r>
      <w:r>
        <w:rPr/>
        <w:t>elétrica,</w:t>
      </w:r>
      <w:r>
        <w:rPr>
          <w:spacing w:val="-12"/>
        </w:rPr>
        <w:t> </w:t>
      </w:r>
      <w:r>
        <w:rPr/>
        <w:t>na</w:t>
      </w:r>
      <w:r>
        <w:rPr>
          <w:spacing w:val="-10"/>
        </w:rPr>
        <w:t> </w:t>
      </w:r>
      <w:r>
        <w:rPr/>
        <w:t>proporção</w:t>
      </w:r>
      <w:r>
        <w:rPr>
          <w:spacing w:val="-13"/>
        </w:rPr>
        <w:t> </w:t>
      </w:r>
      <w:r>
        <w:rPr/>
        <w:t>de</w:t>
      </w:r>
      <w:r>
        <w:rPr>
          <w:spacing w:val="-14"/>
        </w:rPr>
        <w:t> </w:t>
      </w:r>
      <w:r>
        <w:rPr/>
        <w:t>sua</w:t>
      </w:r>
      <w:r>
        <w:rPr>
          <w:spacing w:val="-10"/>
        </w:rPr>
        <w:t> </w:t>
      </w:r>
      <w:r>
        <w:rPr/>
        <w:t>cota-parte</w:t>
      </w:r>
      <w:r>
        <w:rPr>
          <w:spacing w:val="-12"/>
        </w:rPr>
        <w:t> </w:t>
      </w:r>
      <w:r>
        <w:rPr/>
        <w:t>de</w:t>
      </w:r>
      <w:r>
        <w:rPr>
          <w:spacing w:val="-11"/>
        </w:rPr>
        <w:t> </w:t>
      </w:r>
      <w:r>
        <w:rPr/>
        <w:t>17,5%</w:t>
      </w:r>
      <w:r>
        <w:rPr>
          <w:spacing w:val="-11"/>
        </w:rPr>
        <w:t> </w:t>
      </w:r>
      <w:r>
        <w:rPr/>
        <w:t>no</w:t>
      </w:r>
      <w:r>
        <w:rPr>
          <w:spacing w:val="-11"/>
        </w:rPr>
        <w:t> </w:t>
      </w:r>
      <w:r>
        <w:rPr/>
        <w:t>Consórcio </w:t>
      </w:r>
      <w:r>
        <w:rPr>
          <w:w w:val="93"/>
        </w:rPr>
        <w:t>C</w:t>
      </w:r>
      <w:r>
        <w:rPr>
          <w:w w:val="106"/>
        </w:rPr>
        <w:t>E</w:t>
      </w:r>
      <w:r>
        <w:rPr>
          <w:w w:val="114"/>
        </w:rPr>
        <w:t>M</w:t>
      </w:r>
      <w:r>
        <w:rPr>
          <w:spacing w:val="-1"/>
          <w:w w:val="97"/>
        </w:rPr>
        <w:t>I</w:t>
      </w:r>
      <w:r>
        <w:rPr>
          <w:w w:val="97"/>
        </w:rPr>
        <w:t>G</w:t>
      </w:r>
      <w:r>
        <w:rPr>
          <w:w w:val="93"/>
        </w:rPr>
        <w:t>/</w:t>
      </w:r>
      <w:r>
        <w:rPr>
          <w:w w:val="93"/>
        </w:rPr>
        <w:t>C</w:t>
      </w:r>
      <w:r>
        <w:rPr>
          <w:w w:val="106"/>
        </w:rPr>
        <w:t>E</w:t>
      </w:r>
      <w:r>
        <w:rPr>
          <w:w w:val="107"/>
        </w:rPr>
        <w:t>B</w:t>
      </w:r>
      <w:r>
        <w:rPr>
          <w:w w:val="55"/>
        </w:rPr>
        <w:t>,</w:t>
      </w:r>
      <w:r>
        <w:rPr>
          <w:spacing w:val="6"/>
        </w:rPr>
        <w:t> </w:t>
      </w:r>
      <w:r>
        <w:rPr>
          <w:spacing w:val="-1"/>
          <w:w w:val="102"/>
        </w:rPr>
        <w:t>p</w:t>
      </w:r>
      <w:r>
        <w:rPr>
          <w:spacing w:val="-2"/>
          <w:w w:val="102"/>
        </w:rPr>
        <w:t>r</w:t>
      </w:r>
      <w:r>
        <w:rPr>
          <w:w w:val="98"/>
        </w:rPr>
        <w:t>oduz</w:t>
      </w:r>
      <w:r>
        <w:rPr>
          <w:spacing w:val="2"/>
          <w:w w:val="97"/>
        </w:rPr>
        <w:t>i</w:t>
      </w:r>
      <w:r>
        <w:rPr>
          <w:w w:val="95"/>
        </w:rPr>
        <w:t>da</w:t>
      </w:r>
      <w:r>
        <w:rPr>
          <w:spacing w:val="9"/>
        </w:rPr>
        <w:t> </w:t>
      </w:r>
      <w:r>
        <w:rPr>
          <w:spacing w:val="-1"/>
          <w:w w:val="94"/>
        </w:rPr>
        <w:t>p</w:t>
      </w:r>
      <w:r>
        <w:rPr>
          <w:spacing w:val="-2"/>
          <w:w w:val="94"/>
        </w:rPr>
        <w:t>e</w:t>
      </w:r>
      <w:r>
        <w:rPr>
          <w:w w:val="91"/>
        </w:rPr>
        <w:t>l</w:t>
      </w:r>
      <w:r>
        <w:rPr>
          <w:w w:val="92"/>
        </w:rPr>
        <w:t>a</w:t>
      </w:r>
      <w:r>
        <w:rPr>
          <w:spacing w:val="7"/>
        </w:rPr>
        <w:t> </w:t>
      </w:r>
      <w:r>
        <w:rPr>
          <w:w w:val="101"/>
        </w:rPr>
        <w:t>U</w:t>
      </w:r>
      <w:r>
        <w:rPr>
          <w:spacing w:val="1"/>
          <w:w w:val="101"/>
        </w:rPr>
        <w:t>s</w:t>
      </w:r>
      <w:r>
        <w:rPr>
          <w:w w:val="100"/>
        </w:rPr>
        <w:t>i</w:t>
      </w:r>
      <w:r>
        <w:rPr>
          <w:spacing w:val="-1"/>
          <w:w w:val="100"/>
        </w:rPr>
        <w:t>n</w:t>
      </w:r>
      <w:r>
        <w:rPr>
          <w:w w:val="92"/>
        </w:rPr>
        <w:t>a</w:t>
      </w:r>
      <w:r>
        <w:rPr>
          <w:spacing w:val="10"/>
        </w:rPr>
        <w:t> </w:t>
      </w:r>
      <w:r>
        <w:rPr>
          <w:w w:val="101"/>
        </w:rPr>
        <w:t>Hi</w:t>
      </w:r>
      <w:r>
        <w:rPr>
          <w:spacing w:val="1"/>
          <w:w w:val="101"/>
        </w:rPr>
        <w:t>d</w:t>
      </w:r>
      <w:r>
        <w:rPr>
          <w:spacing w:val="-1"/>
          <w:w w:val="105"/>
        </w:rPr>
        <w:t>r</w:t>
      </w:r>
      <w:r>
        <w:rPr>
          <w:spacing w:val="-2"/>
          <w:w w:val="89"/>
        </w:rPr>
        <w:t>e</w:t>
      </w:r>
      <w:r>
        <w:rPr>
          <w:spacing w:val="3"/>
          <w:w w:val="91"/>
        </w:rPr>
        <w:t>l</w:t>
      </w:r>
      <w:r>
        <w:rPr>
          <w:spacing w:val="-2"/>
          <w:w w:val="89"/>
        </w:rPr>
        <w:t>é</w:t>
      </w:r>
      <w:r>
        <w:rPr>
          <w:spacing w:val="-1"/>
          <w:w w:val="95"/>
        </w:rPr>
        <w:t>t</w:t>
      </w:r>
      <w:r>
        <w:rPr>
          <w:spacing w:val="-2"/>
          <w:w w:val="95"/>
        </w:rPr>
        <w:t>r</w:t>
      </w:r>
      <w:r>
        <w:rPr>
          <w:w w:val="91"/>
        </w:rPr>
        <w:t>ic</w:t>
      </w:r>
      <w:r>
        <w:rPr>
          <w:w w:val="92"/>
        </w:rPr>
        <w:t>a</w:t>
      </w:r>
      <w:r>
        <w:rPr>
          <w:spacing w:val="10"/>
        </w:rPr>
        <w:t> </w:t>
      </w:r>
      <w:r>
        <w:rPr>
          <w:spacing w:val="2"/>
          <w:w w:val="99"/>
        </w:rPr>
        <w:t>d</w:t>
      </w:r>
      <w:r>
        <w:rPr>
          <w:w w:val="89"/>
        </w:rPr>
        <w:t>e</w:t>
      </w:r>
      <w:r>
        <w:rPr>
          <w:spacing w:val="7"/>
        </w:rPr>
        <w:t> </w:t>
      </w:r>
      <w:r>
        <w:rPr>
          <w:spacing w:val="-1"/>
          <w:w w:val="95"/>
        </w:rPr>
        <w:t>Qu</w:t>
      </w:r>
      <w:r>
        <w:rPr>
          <w:w w:val="95"/>
        </w:rPr>
        <w:t>e</w:t>
      </w:r>
      <w:r>
        <w:rPr>
          <w:spacing w:val="2"/>
          <w:w w:val="97"/>
        </w:rPr>
        <w:t>i</w:t>
      </w:r>
      <w:r>
        <w:rPr>
          <w:w w:val="97"/>
        </w:rPr>
        <w:t>ma</w:t>
      </w:r>
      <w:r>
        <w:rPr>
          <w:w w:val="87"/>
        </w:rPr>
        <w:t>do,</w:t>
      </w:r>
      <w:r>
        <w:rPr>
          <w:spacing w:val="9"/>
        </w:rPr>
        <w:t> </w:t>
      </w:r>
      <w:r>
        <w:rPr>
          <w:spacing w:val="-1"/>
          <w:w w:val="101"/>
        </w:rPr>
        <w:t>n</w:t>
      </w:r>
      <w:r>
        <w:rPr>
          <w:w w:val="92"/>
        </w:rPr>
        <w:t>a</w:t>
      </w:r>
      <w:r>
        <w:rPr>
          <w:spacing w:val="7"/>
        </w:rPr>
        <w:t> </w:t>
      </w:r>
      <w:r>
        <w:rPr>
          <w:w w:val="88"/>
        </w:rPr>
        <w:t>c</w:t>
      </w:r>
      <w:r>
        <w:rPr>
          <w:spacing w:val="2"/>
          <w:w w:val="98"/>
        </w:rPr>
        <w:t>o</w:t>
      </w:r>
      <w:r>
        <w:rPr>
          <w:spacing w:val="-1"/>
          <w:w w:val="101"/>
        </w:rPr>
        <w:t>n</w:t>
      </w:r>
      <w:r>
        <w:rPr>
          <w:w w:val="94"/>
        </w:rPr>
        <w:t>diç</w:t>
      </w:r>
      <w:r>
        <w:rPr>
          <w:w w:val="92"/>
        </w:rPr>
        <w:t>ã</w:t>
      </w:r>
      <w:r>
        <w:rPr>
          <w:w w:val="98"/>
        </w:rPr>
        <w:t>o</w:t>
      </w:r>
      <w:r>
        <w:rPr>
          <w:spacing w:val="8"/>
        </w:rPr>
        <w:t> </w:t>
      </w:r>
      <w:r>
        <w:rPr>
          <w:w w:val="94"/>
        </w:rPr>
        <w:t>de</w:t>
      </w:r>
      <w:r>
        <w:rPr>
          <w:spacing w:val="9"/>
        </w:rPr>
        <w:t> </w:t>
      </w:r>
      <w:r>
        <w:rPr>
          <w:spacing w:val="-1"/>
          <w:w w:val="102"/>
        </w:rPr>
        <w:t>p</w:t>
      </w:r>
      <w:r>
        <w:rPr>
          <w:spacing w:val="-2"/>
          <w:w w:val="102"/>
        </w:rPr>
        <w:t>r</w:t>
      </w:r>
      <w:r>
        <w:rPr>
          <w:w w:val="98"/>
        </w:rPr>
        <w:t>o</w:t>
      </w:r>
      <w:r>
        <w:rPr>
          <w:spacing w:val="1"/>
          <w:w w:val="98"/>
        </w:rPr>
        <w:t>d</w:t>
      </w:r>
      <w:r>
        <w:rPr>
          <w:spacing w:val="-1"/>
          <w:w w:val="97"/>
        </w:rPr>
        <w:t>utor</w:t>
      </w:r>
      <w:r>
        <w:rPr>
          <w:w w:val="92"/>
        </w:rPr>
        <w:t>a</w:t>
      </w:r>
      <w:r>
        <w:rPr>
          <w:spacing w:val="10"/>
        </w:rPr>
        <w:t> </w:t>
      </w:r>
      <w:r>
        <w:rPr>
          <w:w w:val="100"/>
        </w:rPr>
        <w:t>i</w:t>
      </w:r>
      <w:r>
        <w:rPr>
          <w:spacing w:val="-1"/>
          <w:w w:val="100"/>
        </w:rPr>
        <w:t>n</w:t>
      </w:r>
      <w:r>
        <w:rPr>
          <w:spacing w:val="2"/>
          <w:w w:val="99"/>
        </w:rPr>
        <w:t>d</w:t>
      </w:r>
      <w:r>
        <w:rPr>
          <w:spacing w:val="-2"/>
          <w:w w:val="89"/>
        </w:rPr>
        <w:t>e</w:t>
      </w:r>
      <w:r>
        <w:rPr>
          <w:spacing w:val="1"/>
          <w:w w:val="99"/>
        </w:rPr>
        <w:t>p</w:t>
      </w:r>
      <w:r>
        <w:rPr>
          <w:spacing w:val="-2"/>
          <w:w w:val="89"/>
        </w:rPr>
        <w:t>e</w:t>
      </w:r>
      <w:r>
        <w:rPr>
          <w:spacing w:val="1"/>
          <w:w w:val="101"/>
        </w:rPr>
        <w:t>n</w:t>
      </w:r>
      <w:r>
        <w:rPr>
          <w:w w:val="94"/>
        </w:rPr>
        <w:t>de</w:t>
      </w:r>
      <w:r>
        <w:rPr>
          <w:spacing w:val="-1"/>
          <w:w w:val="101"/>
        </w:rPr>
        <w:t>n</w:t>
      </w:r>
      <w:r>
        <w:rPr>
          <w:spacing w:val="1"/>
          <w:w w:val="85"/>
        </w:rPr>
        <w:t>t</w:t>
      </w:r>
      <w:r>
        <w:rPr>
          <w:w w:val="89"/>
        </w:rPr>
        <w:t>e</w:t>
      </w:r>
      <w:r>
        <w:rPr>
          <w:spacing w:val="7"/>
        </w:rPr>
        <w:t> </w:t>
      </w:r>
      <w:r>
        <w:rPr>
          <w:w w:val="94"/>
        </w:rPr>
        <w:t>de</w:t>
      </w:r>
      <w:r>
        <w:rPr>
          <w:spacing w:val="9"/>
        </w:rPr>
        <w:t> </w:t>
      </w:r>
      <w:r>
        <w:rPr>
          <w:spacing w:val="-2"/>
          <w:w w:val="89"/>
        </w:rPr>
        <w:t>e</w:t>
      </w:r>
      <w:r>
        <w:rPr>
          <w:spacing w:val="1"/>
          <w:w w:val="101"/>
        </w:rPr>
        <w:t>n</w:t>
      </w:r>
      <w:r>
        <w:rPr>
          <w:spacing w:val="-2"/>
          <w:w w:val="89"/>
        </w:rPr>
        <w:t>e</w:t>
      </w:r>
      <w:r>
        <w:rPr>
          <w:spacing w:val="1"/>
          <w:w w:val="105"/>
        </w:rPr>
        <w:t>r</w:t>
      </w:r>
      <w:r>
        <w:rPr>
          <w:spacing w:val="-1"/>
          <w:w w:val="95"/>
        </w:rPr>
        <w:t>gia </w:t>
      </w:r>
      <w:r>
        <w:rPr/>
        <w:t>elétrica.</w:t>
      </w:r>
    </w:p>
    <w:p>
      <w:pPr>
        <w:pStyle w:val="BodyText"/>
        <w:spacing w:before="7"/>
      </w:pPr>
    </w:p>
    <w:p>
      <w:pPr>
        <w:pStyle w:val="BodyText"/>
        <w:spacing w:line="242" w:lineRule="auto"/>
        <w:ind w:left="192" w:right="611"/>
        <w:jc w:val="both"/>
      </w:pPr>
      <w:r>
        <w:rPr/>
        <w:t>Complementarmente,</w:t>
      </w:r>
      <w:r>
        <w:rPr>
          <w:spacing w:val="-33"/>
        </w:rPr>
        <w:t> </w:t>
      </w:r>
      <w:r>
        <w:rPr/>
        <w:t>a</w:t>
      </w:r>
      <w:r>
        <w:rPr>
          <w:spacing w:val="-32"/>
        </w:rPr>
        <w:t> </w:t>
      </w:r>
      <w:r>
        <w:rPr/>
        <w:t>Companhia</w:t>
      </w:r>
      <w:r>
        <w:rPr>
          <w:spacing w:val="-33"/>
        </w:rPr>
        <w:t> </w:t>
      </w:r>
      <w:r>
        <w:rPr/>
        <w:t>detém</w:t>
      </w:r>
      <w:r>
        <w:rPr>
          <w:spacing w:val="-33"/>
        </w:rPr>
        <w:t> </w:t>
      </w:r>
      <w:r>
        <w:rPr/>
        <w:t>a</w:t>
      </w:r>
      <w:r>
        <w:rPr>
          <w:spacing w:val="-33"/>
        </w:rPr>
        <w:t> </w:t>
      </w:r>
      <w:r>
        <w:rPr/>
        <w:t>participação</w:t>
      </w:r>
      <w:r>
        <w:rPr>
          <w:spacing w:val="-33"/>
        </w:rPr>
        <w:t> </w:t>
      </w:r>
      <w:r>
        <w:rPr/>
        <w:t>acionária</w:t>
      </w:r>
      <w:r>
        <w:rPr>
          <w:spacing w:val="-33"/>
        </w:rPr>
        <w:t> </w:t>
      </w:r>
      <w:r>
        <w:rPr/>
        <w:t>correspondente</w:t>
      </w:r>
      <w:r>
        <w:rPr>
          <w:spacing w:val="-32"/>
        </w:rPr>
        <w:t> </w:t>
      </w:r>
      <w:r>
        <w:rPr/>
        <w:t>a</w:t>
      </w:r>
      <w:r>
        <w:rPr>
          <w:spacing w:val="-28"/>
        </w:rPr>
        <w:t> </w:t>
      </w:r>
      <w:r>
        <w:rPr/>
        <w:t>1,52%</w:t>
      </w:r>
      <w:r>
        <w:rPr>
          <w:spacing w:val="-32"/>
        </w:rPr>
        <w:t> </w:t>
      </w:r>
      <w:r>
        <w:rPr/>
        <w:t>do</w:t>
      </w:r>
      <w:r>
        <w:rPr>
          <w:spacing w:val="-32"/>
        </w:rPr>
        <w:t> </w:t>
      </w:r>
      <w:r>
        <w:rPr/>
        <w:t>capital</w:t>
      </w:r>
      <w:r>
        <w:rPr>
          <w:spacing w:val="-33"/>
        </w:rPr>
        <w:t> </w:t>
      </w:r>
      <w:r>
        <w:rPr/>
        <w:t>da</w:t>
      </w:r>
      <w:r>
        <w:rPr>
          <w:spacing w:val="-33"/>
        </w:rPr>
        <w:t> </w:t>
      </w:r>
      <w:r>
        <w:rPr/>
        <w:t>Corumbá Concessões</w:t>
      </w:r>
      <w:r>
        <w:rPr>
          <w:spacing w:val="-18"/>
        </w:rPr>
        <w:t> </w:t>
      </w:r>
      <w:r>
        <w:rPr/>
        <w:t>S.A..</w:t>
      </w:r>
    </w:p>
    <w:p>
      <w:pPr>
        <w:pStyle w:val="BodyText"/>
        <w:spacing w:before="7"/>
      </w:pPr>
    </w:p>
    <w:p>
      <w:pPr>
        <w:pStyle w:val="BodyText"/>
        <w:ind w:left="192"/>
      </w:pPr>
      <w:r>
        <w:rPr/>
        <w:t>Assim como a CEB, a CEB Participações S.A. sobrestou a venda dos seus ativos que estavam autorizados por Lei.</w:t>
      </w:r>
    </w:p>
    <w:p>
      <w:pPr>
        <w:pStyle w:val="BodyText"/>
        <w:spacing w:before="8"/>
      </w:pPr>
    </w:p>
    <w:p>
      <w:pPr>
        <w:pStyle w:val="Heading5"/>
        <w:numPr>
          <w:ilvl w:val="3"/>
          <w:numId w:val="10"/>
        </w:numPr>
        <w:tabs>
          <w:tab w:pos="1325" w:val="left" w:leader="none"/>
          <w:tab w:pos="1326" w:val="left" w:leader="none"/>
        </w:tabs>
        <w:spacing w:line="240" w:lineRule="auto" w:before="1" w:after="0"/>
        <w:ind w:left="1326" w:right="0" w:hanging="1134"/>
        <w:jc w:val="left"/>
      </w:pPr>
      <w:r>
        <w:rPr/>
        <w:t>CEB Lajeado</w:t>
      </w:r>
      <w:r>
        <w:rPr>
          <w:spacing w:val="-3"/>
        </w:rPr>
        <w:t> </w:t>
      </w:r>
      <w:r>
        <w:rPr/>
        <w:t>S.A.</w:t>
      </w:r>
    </w:p>
    <w:p>
      <w:pPr>
        <w:pStyle w:val="BodyText"/>
        <w:spacing w:before="9"/>
        <w:rPr>
          <w:rFonts w:ascii="Caladea"/>
          <w:b/>
          <w:sz w:val="23"/>
        </w:rPr>
      </w:pPr>
    </w:p>
    <w:p>
      <w:pPr>
        <w:pStyle w:val="BodyText"/>
        <w:spacing w:line="242" w:lineRule="auto"/>
        <w:ind w:left="192" w:right="610"/>
        <w:jc w:val="both"/>
      </w:pPr>
      <w:r>
        <w:rPr/>
        <w:t>A</w:t>
      </w:r>
      <w:r>
        <w:rPr>
          <w:spacing w:val="-20"/>
        </w:rPr>
        <w:t> </w:t>
      </w:r>
      <w:r>
        <w:rPr/>
        <w:t>CEB</w:t>
      </w:r>
      <w:r>
        <w:rPr>
          <w:spacing w:val="-20"/>
        </w:rPr>
        <w:t> </w:t>
      </w:r>
      <w:r>
        <w:rPr/>
        <w:t>Lajeado</w:t>
      </w:r>
      <w:r>
        <w:rPr>
          <w:spacing w:val="-18"/>
        </w:rPr>
        <w:t> </w:t>
      </w:r>
      <w:r>
        <w:rPr/>
        <w:t>S.A.</w:t>
      </w:r>
      <w:r>
        <w:rPr>
          <w:spacing w:val="-19"/>
        </w:rPr>
        <w:t> </w:t>
      </w:r>
      <w:r>
        <w:rPr/>
        <w:t>é</w:t>
      </w:r>
      <w:r>
        <w:rPr>
          <w:spacing w:val="-19"/>
        </w:rPr>
        <w:t> </w:t>
      </w:r>
      <w:r>
        <w:rPr/>
        <w:t>uma</w:t>
      </w:r>
      <w:r>
        <w:rPr>
          <w:spacing w:val="-18"/>
        </w:rPr>
        <w:t> </w:t>
      </w:r>
      <w:r>
        <w:rPr/>
        <w:t>sociedade</w:t>
      </w:r>
      <w:r>
        <w:rPr>
          <w:spacing w:val="-19"/>
        </w:rPr>
        <w:t> </w:t>
      </w:r>
      <w:r>
        <w:rPr/>
        <w:t>por</w:t>
      </w:r>
      <w:r>
        <w:rPr>
          <w:spacing w:val="-20"/>
        </w:rPr>
        <w:t> </w:t>
      </w:r>
      <w:r>
        <w:rPr/>
        <w:t>ações</w:t>
      </w:r>
      <w:r>
        <w:rPr>
          <w:spacing w:val="-18"/>
        </w:rPr>
        <w:t> </w:t>
      </w:r>
      <w:r>
        <w:rPr/>
        <w:t>de</w:t>
      </w:r>
      <w:r>
        <w:rPr>
          <w:spacing w:val="-20"/>
        </w:rPr>
        <w:t> </w:t>
      </w:r>
      <w:r>
        <w:rPr/>
        <w:t>capital</w:t>
      </w:r>
      <w:r>
        <w:rPr>
          <w:spacing w:val="-19"/>
        </w:rPr>
        <w:t> </w:t>
      </w:r>
      <w:r>
        <w:rPr/>
        <w:t>fechado,</w:t>
      </w:r>
      <w:r>
        <w:rPr>
          <w:spacing w:val="-19"/>
        </w:rPr>
        <w:t> </w:t>
      </w:r>
      <w:r>
        <w:rPr/>
        <w:t>autorizada</w:t>
      </w:r>
      <w:r>
        <w:rPr>
          <w:spacing w:val="-18"/>
        </w:rPr>
        <w:t> </w:t>
      </w:r>
      <w:r>
        <w:rPr/>
        <w:t>pela</w:t>
      </w:r>
      <w:r>
        <w:rPr>
          <w:spacing w:val="-18"/>
        </w:rPr>
        <w:t> </w:t>
      </w:r>
      <w:r>
        <w:rPr/>
        <w:t>Lei</w:t>
      </w:r>
      <w:r>
        <w:rPr>
          <w:spacing w:val="-20"/>
        </w:rPr>
        <w:t> </w:t>
      </w:r>
      <w:r>
        <w:rPr/>
        <w:t>Distrital</w:t>
      </w:r>
      <w:r>
        <w:rPr>
          <w:spacing w:val="-18"/>
        </w:rPr>
        <w:t> </w:t>
      </w:r>
      <w:r>
        <w:rPr/>
        <w:t>nº</w:t>
      </w:r>
      <w:r>
        <w:rPr>
          <w:spacing w:val="-20"/>
        </w:rPr>
        <w:t> </w:t>
      </w:r>
      <w:r>
        <w:rPr/>
        <w:t>2.515,</w:t>
      </w:r>
      <w:r>
        <w:rPr>
          <w:spacing w:val="-18"/>
        </w:rPr>
        <w:t> </w:t>
      </w:r>
      <w:r>
        <w:rPr/>
        <w:t>de</w:t>
      </w:r>
      <w:r>
        <w:rPr>
          <w:spacing w:val="-19"/>
        </w:rPr>
        <w:t> </w:t>
      </w:r>
      <w:r>
        <w:rPr/>
        <w:t>31</w:t>
      </w:r>
      <w:r>
        <w:rPr>
          <w:spacing w:val="-18"/>
        </w:rPr>
        <w:t> </w:t>
      </w:r>
      <w:r>
        <w:rPr/>
        <w:t>de dezembro de 1999, controlada pela Companhia Energética de Brasília </w:t>
      </w:r>
      <w:r>
        <w:rPr>
          <w:w w:val="105"/>
        </w:rPr>
        <w:t>– </w:t>
      </w:r>
      <w:r>
        <w:rPr/>
        <w:t>CEB, com 59,93% do total das ações, representada</w:t>
      </w:r>
      <w:r>
        <w:rPr>
          <w:spacing w:val="-45"/>
        </w:rPr>
        <w:t> </w:t>
      </w:r>
      <w:r>
        <w:rPr/>
        <w:t>por</w:t>
      </w:r>
      <w:r>
        <w:rPr>
          <w:spacing w:val="-45"/>
        </w:rPr>
        <w:t> </w:t>
      </w:r>
      <w:r>
        <w:rPr/>
        <w:t>ações</w:t>
      </w:r>
      <w:r>
        <w:rPr>
          <w:spacing w:val="-44"/>
        </w:rPr>
        <w:t> </w:t>
      </w:r>
      <w:r>
        <w:rPr/>
        <w:t>ordinárias.</w:t>
      </w:r>
      <w:r>
        <w:rPr>
          <w:spacing w:val="-45"/>
        </w:rPr>
        <w:t> </w:t>
      </w:r>
      <w:r>
        <w:rPr/>
        <w:t>As</w:t>
      </w:r>
      <w:r>
        <w:rPr>
          <w:spacing w:val="-44"/>
        </w:rPr>
        <w:t> </w:t>
      </w:r>
      <w:r>
        <w:rPr/>
        <w:t>Centrais</w:t>
      </w:r>
      <w:r>
        <w:rPr>
          <w:spacing w:val="-44"/>
        </w:rPr>
        <w:t> </w:t>
      </w:r>
      <w:r>
        <w:rPr/>
        <w:t>Elétricas</w:t>
      </w:r>
      <w:r>
        <w:rPr>
          <w:spacing w:val="-44"/>
        </w:rPr>
        <w:t> </w:t>
      </w:r>
      <w:r>
        <w:rPr/>
        <w:t>Brasileiras</w:t>
      </w:r>
      <w:r>
        <w:rPr>
          <w:spacing w:val="-44"/>
        </w:rPr>
        <w:t> </w:t>
      </w:r>
      <w:r>
        <w:rPr/>
        <w:t>S.A.</w:t>
      </w:r>
      <w:r>
        <w:rPr>
          <w:spacing w:val="-41"/>
        </w:rPr>
        <w:t> </w:t>
      </w:r>
      <w:r>
        <w:rPr>
          <w:w w:val="105"/>
        </w:rPr>
        <w:t>–</w:t>
      </w:r>
      <w:r>
        <w:rPr>
          <w:spacing w:val="-47"/>
          <w:w w:val="105"/>
        </w:rPr>
        <w:t> </w:t>
      </w:r>
      <w:r>
        <w:rPr/>
        <w:t>Eletrobrás</w:t>
      </w:r>
      <w:r>
        <w:rPr>
          <w:spacing w:val="-44"/>
        </w:rPr>
        <w:t> </w:t>
      </w:r>
      <w:r>
        <w:rPr/>
        <w:t>detém</w:t>
      </w:r>
      <w:r>
        <w:rPr>
          <w:spacing w:val="-44"/>
        </w:rPr>
        <w:t> </w:t>
      </w:r>
      <w:r>
        <w:rPr/>
        <w:t>40,07%</w:t>
      </w:r>
      <w:r>
        <w:rPr>
          <w:spacing w:val="-44"/>
        </w:rPr>
        <w:t> </w:t>
      </w:r>
      <w:r>
        <w:rPr/>
        <w:t>do</w:t>
      </w:r>
      <w:r>
        <w:rPr>
          <w:spacing w:val="-45"/>
        </w:rPr>
        <w:t> </w:t>
      </w:r>
      <w:r>
        <w:rPr/>
        <w:t>total</w:t>
      </w:r>
      <w:r>
        <w:rPr>
          <w:spacing w:val="-43"/>
        </w:rPr>
        <w:t> </w:t>
      </w:r>
      <w:r>
        <w:rPr/>
        <w:t>das</w:t>
      </w:r>
      <w:r>
        <w:rPr>
          <w:spacing w:val="-45"/>
        </w:rPr>
        <w:t> </w:t>
      </w:r>
      <w:r>
        <w:rPr/>
        <w:t>ações, representada</w:t>
      </w:r>
      <w:r>
        <w:rPr>
          <w:spacing w:val="-19"/>
        </w:rPr>
        <w:t> </w:t>
      </w:r>
      <w:r>
        <w:rPr/>
        <w:t>por</w:t>
      </w:r>
      <w:r>
        <w:rPr>
          <w:spacing w:val="-19"/>
        </w:rPr>
        <w:t> </w:t>
      </w:r>
      <w:r>
        <w:rPr/>
        <w:t>ações</w:t>
      </w:r>
      <w:r>
        <w:rPr>
          <w:spacing w:val="-15"/>
        </w:rPr>
        <w:t> </w:t>
      </w:r>
      <w:r>
        <w:rPr/>
        <w:t>preferenciais.</w:t>
      </w:r>
    </w:p>
    <w:p>
      <w:pPr>
        <w:pStyle w:val="BodyText"/>
        <w:spacing w:before="9"/>
      </w:pPr>
    </w:p>
    <w:p>
      <w:pPr>
        <w:pStyle w:val="BodyText"/>
        <w:spacing w:line="242" w:lineRule="auto"/>
        <w:ind w:left="192" w:right="616"/>
        <w:jc w:val="both"/>
      </w:pPr>
      <w:r>
        <w:rPr/>
        <w:t>A</w:t>
      </w:r>
      <w:r>
        <w:rPr>
          <w:spacing w:val="-47"/>
        </w:rPr>
        <w:t> </w:t>
      </w:r>
      <w:r>
        <w:rPr/>
        <w:t>CEB</w:t>
      </w:r>
      <w:r>
        <w:rPr>
          <w:spacing w:val="-46"/>
        </w:rPr>
        <w:t> </w:t>
      </w:r>
      <w:r>
        <w:rPr/>
        <w:t>Lajeado</w:t>
      </w:r>
      <w:r>
        <w:rPr>
          <w:spacing w:val="-45"/>
        </w:rPr>
        <w:t> </w:t>
      </w:r>
      <w:r>
        <w:rPr/>
        <w:t>S.A.</w:t>
      </w:r>
      <w:r>
        <w:rPr>
          <w:spacing w:val="-45"/>
        </w:rPr>
        <w:t> </w:t>
      </w:r>
      <w:r>
        <w:rPr/>
        <w:t>em</w:t>
      </w:r>
      <w:r>
        <w:rPr>
          <w:spacing w:val="-46"/>
        </w:rPr>
        <w:t> </w:t>
      </w:r>
      <w:r>
        <w:rPr/>
        <w:t>conjunto</w:t>
      </w:r>
      <w:r>
        <w:rPr>
          <w:spacing w:val="-45"/>
        </w:rPr>
        <w:t> </w:t>
      </w:r>
      <w:r>
        <w:rPr/>
        <w:t>com</w:t>
      </w:r>
      <w:r>
        <w:rPr>
          <w:spacing w:val="-46"/>
        </w:rPr>
        <w:t> </w:t>
      </w:r>
      <w:r>
        <w:rPr/>
        <w:t>a</w:t>
      </w:r>
      <w:r>
        <w:rPr>
          <w:spacing w:val="-46"/>
        </w:rPr>
        <w:t> </w:t>
      </w:r>
      <w:r>
        <w:rPr/>
        <w:t>EDP</w:t>
      </w:r>
      <w:r>
        <w:rPr>
          <w:spacing w:val="-47"/>
        </w:rPr>
        <w:t> </w:t>
      </w:r>
      <w:r>
        <w:rPr/>
        <w:t>Lajeado</w:t>
      </w:r>
      <w:r>
        <w:rPr>
          <w:spacing w:val="-46"/>
        </w:rPr>
        <w:t> </w:t>
      </w:r>
      <w:r>
        <w:rPr/>
        <w:t>Energia</w:t>
      </w:r>
      <w:r>
        <w:rPr>
          <w:spacing w:val="-46"/>
        </w:rPr>
        <w:t> </w:t>
      </w:r>
      <w:r>
        <w:rPr/>
        <w:t>S.A.</w:t>
      </w:r>
      <w:r>
        <w:rPr>
          <w:spacing w:val="-45"/>
        </w:rPr>
        <w:t> </w:t>
      </w:r>
      <w:r>
        <w:rPr/>
        <w:t>e</w:t>
      </w:r>
      <w:r>
        <w:rPr>
          <w:spacing w:val="-46"/>
        </w:rPr>
        <w:t> </w:t>
      </w:r>
      <w:r>
        <w:rPr/>
        <w:t>a</w:t>
      </w:r>
      <w:r>
        <w:rPr>
          <w:spacing w:val="-45"/>
        </w:rPr>
        <w:t> </w:t>
      </w:r>
      <w:r>
        <w:rPr/>
        <w:t>Paulista</w:t>
      </w:r>
      <w:r>
        <w:rPr>
          <w:spacing w:val="-46"/>
        </w:rPr>
        <w:t> </w:t>
      </w:r>
      <w:r>
        <w:rPr/>
        <w:t>Lajeado</w:t>
      </w:r>
      <w:r>
        <w:rPr>
          <w:spacing w:val="-46"/>
        </w:rPr>
        <w:t> </w:t>
      </w:r>
      <w:r>
        <w:rPr/>
        <w:t>Energia</w:t>
      </w:r>
      <w:r>
        <w:rPr>
          <w:spacing w:val="-45"/>
        </w:rPr>
        <w:t> </w:t>
      </w:r>
      <w:r>
        <w:rPr/>
        <w:t>S.A.</w:t>
      </w:r>
      <w:r>
        <w:rPr>
          <w:spacing w:val="-45"/>
        </w:rPr>
        <w:t> </w:t>
      </w:r>
      <w:r>
        <w:rPr/>
        <w:t>são</w:t>
      </w:r>
      <w:r>
        <w:rPr>
          <w:spacing w:val="-47"/>
        </w:rPr>
        <w:t> </w:t>
      </w:r>
      <w:r>
        <w:rPr/>
        <w:t>titulares</w:t>
      </w:r>
      <w:r>
        <w:rPr>
          <w:spacing w:val="-45"/>
        </w:rPr>
        <w:t> </w:t>
      </w:r>
      <w:r>
        <w:rPr/>
        <w:t>de</w:t>
      </w:r>
      <w:r>
        <w:rPr>
          <w:spacing w:val="-46"/>
        </w:rPr>
        <w:t> </w:t>
      </w:r>
      <w:r>
        <w:rPr/>
        <w:t>ações representativas</w:t>
      </w:r>
      <w:r>
        <w:rPr>
          <w:spacing w:val="-21"/>
        </w:rPr>
        <w:t> </w:t>
      </w:r>
      <w:r>
        <w:rPr/>
        <w:t>de</w:t>
      </w:r>
      <w:r>
        <w:rPr>
          <w:spacing w:val="-22"/>
        </w:rPr>
        <w:t> </w:t>
      </w:r>
      <w:r>
        <w:rPr/>
        <w:t>100%</w:t>
      </w:r>
      <w:r>
        <w:rPr>
          <w:spacing w:val="-20"/>
        </w:rPr>
        <w:t> </w:t>
      </w:r>
      <w:r>
        <w:rPr/>
        <w:t>do</w:t>
      </w:r>
      <w:r>
        <w:rPr>
          <w:spacing w:val="-21"/>
        </w:rPr>
        <w:t> </w:t>
      </w:r>
      <w:r>
        <w:rPr/>
        <w:t>capital</w:t>
      </w:r>
      <w:r>
        <w:rPr>
          <w:spacing w:val="-20"/>
        </w:rPr>
        <w:t> </w:t>
      </w:r>
      <w:r>
        <w:rPr/>
        <w:t>votante</w:t>
      </w:r>
      <w:r>
        <w:rPr>
          <w:spacing w:val="-22"/>
        </w:rPr>
        <w:t> </w:t>
      </w:r>
      <w:r>
        <w:rPr/>
        <w:t>da</w:t>
      </w:r>
      <w:r>
        <w:rPr>
          <w:spacing w:val="-20"/>
        </w:rPr>
        <w:t> </w:t>
      </w:r>
      <w:r>
        <w:rPr/>
        <w:t>Investco</w:t>
      </w:r>
      <w:r>
        <w:rPr>
          <w:spacing w:val="-21"/>
        </w:rPr>
        <w:t> </w:t>
      </w:r>
      <w:r>
        <w:rPr/>
        <w:t>S.A..</w:t>
      </w:r>
      <w:r>
        <w:rPr>
          <w:spacing w:val="-21"/>
        </w:rPr>
        <w:t> </w:t>
      </w:r>
      <w:r>
        <w:rPr/>
        <w:t>Sobre</w:t>
      </w:r>
      <w:r>
        <w:rPr>
          <w:spacing w:val="-21"/>
        </w:rPr>
        <w:t> </w:t>
      </w:r>
      <w:r>
        <w:rPr/>
        <w:t>este</w:t>
      </w:r>
      <w:r>
        <w:rPr>
          <w:spacing w:val="-22"/>
        </w:rPr>
        <w:t> </w:t>
      </w:r>
      <w:r>
        <w:rPr/>
        <w:t>capital,</w:t>
      </w:r>
      <w:r>
        <w:rPr>
          <w:spacing w:val="-21"/>
        </w:rPr>
        <w:t> </w:t>
      </w:r>
      <w:r>
        <w:rPr/>
        <w:t>a</w:t>
      </w:r>
      <w:r>
        <w:rPr>
          <w:spacing w:val="-20"/>
        </w:rPr>
        <w:t> </w:t>
      </w:r>
      <w:r>
        <w:rPr/>
        <w:t>CEB</w:t>
      </w:r>
      <w:r>
        <w:rPr>
          <w:spacing w:val="-21"/>
        </w:rPr>
        <w:t> </w:t>
      </w:r>
      <w:r>
        <w:rPr/>
        <w:t>Lajeado</w:t>
      </w:r>
      <w:r>
        <w:rPr>
          <w:spacing w:val="-21"/>
        </w:rPr>
        <w:t> </w:t>
      </w:r>
      <w:r>
        <w:rPr/>
        <w:t>S.A.</w:t>
      </w:r>
      <w:r>
        <w:rPr>
          <w:spacing w:val="-20"/>
        </w:rPr>
        <w:t> </w:t>
      </w:r>
      <w:r>
        <w:rPr/>
        <w:t>detém</w:t>
      </w:r>
      <w:r>
        <w:rPr>
          <w:spacing w:val="-21"/>
        </w:rPr>
        <w:t> </w:t>
      </w:r>
      <w:r>
        <w:rPr/>
        <w:t>20%</w:t>
      </w:r>
      <w:r>
        <w:rPr>
          <w:spacing w:val="-20"/>
        </w:rPr>
        <w:t> </w:t>
      </w:r>
      <w:r>
        <w:rPr/>
        <w:t>de participação.</w:t>
      </w:r>
    </w:p>
    <w:p>
      <w:pPr>
        <w:pStyle w:val="BodyText"/>
        <w:spacing w:before="7"/>
      </w:pPr>
    </w:p>
    <w:p>
      <w:pPr>
        <w:pStyle w:val="BodyText"/>
        <w:spacing w:line="242" w:lineRule="auto"/>
        <w:ind w:left="192" w:right="612"/>
        <w:jc w:val="both"/>
      </w:pPr>
      <w:r>
        <w:rPr/>
        <w:t>As</w:t>
      </w:r>
      <w:r>
        <w:rPr>
          <w:spacing w:val="-37"/>
        </w:rPr>
        <w:t> </w:t>
      </w:r>
      <w:r>
        <w:rPr/>
        <w:t>referidas</w:t>
      </w:r>
      <w:r>
        <w:rPr>
          <w:spacing w:val="-36"/>
        </w:rPr>
        <w:t> </w:t>
      </w:r>
      <w:r>
        <w:rPr/>
        <w:t>sociedades,</w:t>
      </w:r>
      <w:r>
        <w:rPr>
          <w:spacing w:val="-36"/>
        </w:rPr>
        <w:t> </w:t>
      </w:r>
      <w:r>
        <w:rPr/>
        <w:t>juntamente</w:t>
      </w:r>
      <w:r>
        <w:rPr>
          <w:spacing w:val="-37"/>
        </w:rPr>
        <w:t> </w:t>
      </w:r>
      <w:r>
        <w:rPr/>
        <w:t>com</w:t>
      </w:r>
      <w:r>
        <w:rPr>
          <w:spacing w:val="-36"/>
        </w:rPr>
        <w:t> </w:t>
      </w:r>
      <w:r>
        <w:rPr/>
        <w:t>a</w:t>
      </w:r>
      <w:r>
        <w:rPr>
          <w:spacing w:val="-36"/>
        </w:rPr>
        <w:t> </w:t>
      </w:r>
      <w:r>
        <w:rPr/>
        <w:t>Investco,</w:t>
      </w:r>
      <w:r>
        <w:rPr>
          <w:spacing w:val="-36"/>
        </w:rPr>
        <w:t> </w:t>
      </w:r>
      <w:r>
        <w:rPr/>
        <w:t>são</w:t>
      </w:r>
      <w:r>
        <w:rPr>
          <w:spacing w:val="-37"/>
        </w:rPr>
        <w:t> </w:t>
      </w:r>
      <w:r>
        <w:rPr/>
        <w:t>parte</w:t>
      </w:r>
      <w:r>
        <w:rPr>
          <w:spacing w:val="-37"/>
        </w:rPr>
        <w:t> </w:t>
      </w:r>
      <w:r>
        <w:rPr/>
        <w:t>do</w:t>
      </w:r>
      <w:r>
        <w:rPr>
          <w:spacing w:val="-36"/>
        </w:rPr>
        <w:t> </w:t>
      </w:r>
      <w:r>
        <w:rPr/>
        <w:t>consórcio</w:t>
      </w:r>
      <w:r>
        <w:rPr>
          <w:spacing w:val="-37"/>
        </w:rPr>
        <w:t> </w:t>
      </w:r>
      <w:r>
        <w:rPr/>
        <w:t>denominado</w:t>
      </w:r>
      <w:r>
        <w:rPr>
          <w:spacing w:val="-37"/>
        </w:rPr>
        <w:t> </w:t>
      </w:r>
      <w:r>
        <w:rPr/>
        <w:t>“Consórcio</w:t>
      </w:r>
      <w:r>
        <w:rPr>
          <w:spacing w:val="-37"/>
        </w:rPr>
        <w:t> </w:t>
      </w:r>
      <w:r>
        <w:rPr/>
        <w:t>Lajeado”,</w:t>
      </w:r>
      <w:r>
        <w:rPr>
          <w:spacing w:val="-37"/>
        </w:rPr>
        <w:t> </w:t>
      </w:r>
      <w:r>
        <w:rPr/>
        <w:t>cujo objeto</w:t>
      </w:r>
      <w:r>
        <w:rPr>
          <w:spacing w:val="-17"/>
        </w:rPr>
        <w:t> </w:t>
      </w:r>
      <w:r>
        <w:rPr/>
        <w:t>é</w:t>
      </w:r>
      <w:r>
        <w:rPr>
          <w:spacing w:val="-20"/>
        </w:rPr>
        <w:t> </w:t>
      </w:r>
      <w:r>
        <w:rPr/>
        <w:t>a</w:t>
      </w:r>
      <w:r>
        <w:rPr>
          <w:spacing w:val="-16"/>
        </w:rPr>
        <w:t> </w:t>
      </w:r>
      <w:r>
        <w:rPr/>
        <w:t>exploração</w:t>
      </w:r>
      <w:r>
        <w:rPr>
          <w:spacing w:val="-18"/>
        </w:rPr>
        <w:t> </w:t>
      </w:r>
      <w:r>
        <w:rPr/>
        <w:t>compartilhada</w:t>
      </w:r>
      <w:r>
        <w:rPr>
          <w:spacing w:val="-18"/>
        </w:rPr>
        <w:t> </w:t>
      </w:r>
      <w:r>
        <w:rPr/>
        <w:t>da</w:t>
      </w:r>
      <w:r>
        <w:rPr>
          <w:spacing w:val="-18"/>
        </w:rPr>
        <w:t> </w:t>
      </w:r>
      <w:r>
        <w:rPr/>
        <w:t>concessão</w:t>
      </w:r>
      <w:r>
        <w:rPr>
          <w:spacing w:val="-18"/>
        </w:rPr>
        <w:t> </w:t>
      </w:r>
      <w:r>
        <w:rPr/>
        <w:t>de</w:t>
      </w:r>
      <w:r>
        <w:rPr>
          <w:spacing w:val="-19"/>
        </w:rPr>
        <w:t> </w:t>
      </w:r>
      <w:r>
        <w:rPr/>
        <w:t>uso</w:t>
      </w:r>
      <w:r>
        <w:rPr>
          <w:spacing w:val="-19"/>
        </w:rPr>
        <w:t> </w:t>
      </w:r>
      <w:r>
        <w:rPr/>
        <w:t>de</w:t>
      </w:r>
      <w:r>
        <w:rPr>
          <w:spacing w:val="-17"/>
        </w:rPr>
        <w:t> </w:t>
      </w:r>
      <w:r>
        <w:rPr/>
        <w:t>bem</w:t>
      </w:r>
      <w:r>
        <w:rPr>
          <w:spacing w:val="-17"/>
        </w:rPr>
        <w:t> </w:t>
      </w:r>
      <w:r>
        <w:rPr/>
        <w:t>público</w:t>
      </w:r>
      <w:r>
        <w:rPr>
          <w:spacing w:val="-17"/>
        </w:rPr>
        <w:t> </w:t>
      </w:r>
      <w:r>
        <w:rPr/>
        <w:t>para</w:t>
      </w:r>
      <w:r>
        <w:rPr>
          <w:spacing w:val="-18"/>
        </w:rPr>
        <w:t> </w:t>
      </w:r>
      <w:r>
        <w:rPr/>
        <w:t>a</w:t>
      </w:r>
      <w:r>
        <w:rPr>
          <w:spacing w:val="-18"/>
        </w:rPr>
        <w:t> </w:t>
      </w:r>
      <w:r>
        <w:rPr/>
        <w:t>exploração</w:t>
      </w:r>
      <w:r>
        <w:rPr>
          <w:spacing w:val="-18"/>
        </w:rPr>
        <w:t> </w:t>
      </w:r>
      <w:r>
        <w:rPr/>
        <w:t>da</w:t>
      </w:r>
      <w:r>
        <w:rPr>
          <w:spacing w:val="-18"/>
        </w:rPr>
        <w:t> </w:t>
      </w:r>
      <w:r>
        <w:rPr/>
        <w:t>UHE</w:t>
      </w:r>
      <w:r>
        <w:rPr>
          <w:spacing w:val="-17"/>
        </w:rPr>
        <w:t> </w:t>
      </w:r>
      <w:r>
        <w:rPr/>
        <w:t>Luís</w:t>
      </w:r>
      <w:r>
        <w:rPr>
          <w:spacing w:val="-18"/>
        </w:rPr>
        <w:t> </w:t>
      </w:r>
      <w:r>
        <w:rPr/>
        <w:t>Eduardo Magalhães</w:t>
      </w:r>
      <w:r>
        <w:rPr>
          <w:spacing w:val="-8"/>
        </w:rPr>
        <w:t> </w:t>
      </w:r>
      <w:r>
        <w:rPr/>
        <w:t>e</w:t>
      </w:r>
      <w:r>
        <w:rPr>
          <w:spacing w:val="-8"/>
        </w:rPr>
        <w:t> </w:t>
      </w:r>
      <w:r>
        <w:rPr/>
        <w:t>Sistema</w:t>
      </w:r>
      <w:r>
        <w:rPr>
          <w:spacing w:val="-8"/>
        </w:rPr>
        <w:t> </w:t>
      </w:r>
      <w:r>
        <w:rPr/>
        <w:t>de</w:t>
      </w:r>
      <w:r>
        <w:rPr>
          <w:spacing w:val="-8"/>
        </w:rPr>
        <w:t> </w:t>
      </w:r>
      <w:r>
        <w:rPr/>
        <w:t>Transmissão</w:t>
      </w:r>
      <w:r>
        <w:rPr>
          <w:spacing w:val="-7"/>
        </w:rPr>
        <w:t> </w:t>
      </w:r>
      <w:r>
        <w:rPr/>
        <w:t>Associado,</w:t>
      </w:r>
      <w:r>
        <w:rPr>
          <w:spacing w:val="-8"/>
        </w:rPr>
        <w:t> </w:t>
      </w:r>
      <w:r>
        <w:rPr/>
        <w:t>nos</w:t>
      </w:r>
      <w:r>
        <w:rPr>
          <w:spacing w:val="-7"/>
        </w:rPr>
        <w:t> </w:t>
      </w:r>
      <w:r>
        <w:rPr/>
        <w:t>termos</w:t>
      </w:r>
      <w:r>
        <w:rPr>
          <w:spacing w:val="-7"/>
        </w:rPr>
        <w:t> </w:t>
      </w:r>
      <w:r>
        <w:rPr/>
        <w:t>do</w:t>
      </w:r>
      <w:r>
        <w:rPr>
          <w:spacing w:val="-7"/>
        </w:rPr>
        <w:t> </w:t>
      </w:r>
      <w:r>
        <w:rPr/>
        <w:t>Contrato</w:t>
      </w:r>
      <w:r>
        <w:rPr>
          <w:spacing w:val="-7"/>
        </w:rPr>
        <w:t> </w:t>
      </w:r>
      <w:r>
        <w:rPr/>
        <w:t>de</w:t>
      </w:r>
      <w:r>
        <w:rPr>
          <w:spacing w:val="-9"/>
        </w:rPr>
        <w:t> </w:t>
      </w:r>
      <w:r>
        <w:rPr/>
        <w:t>Concessão</w:t>
      </w:r>
      <w:r>
        <w:rPr>
          <w:spacing w:val="-7"/>
        </w:rPr>
        <w:t> </w:t>
      </w:r>
      <w:r>
        <w:rPr/>
        <w:t>n°</w:t>
      </w:r>
      <w:r>
        <w:rPr>
          <w:spacing w:val="-8"/>
        </w:rPr>
        <w:t> </w:t>
      </w:r>
      <w:r>
        <w:rPr/>
        <w:t>05/1997</w:t>
      </w:r>
      <w:r>
        <w:rPr>
          <w:spacing w:val="-6"/>
        </w:rPr>
        <w:t> </w:t>
      </w:r>
      <w:r>
        <w:rPr/>
        <w:t>e</w:t>
      </w:r>
      <w:r>
        <w:rPr>
          <w:spacing w:val="-9"/>
        </w:rPr>
        <w:t> </w:t>
      </w:r>
      <w:r>
        <w:rPr/>
        <w:t>respectivos aditivos.</w:t>
      </w:r>
      <w:r>
        <w:rPr>
          <w:spacing w:val="-21"/>
        </w:rPr>
        <w:t> </w:t>
      </w:r>
      <w:r>
        <w:rPr/>
        <w:t>O</w:t>
      </w:r>
      <w:r>
        <w:rPr>
          <w:spacing w:val="-19"/>
        </w:rPr>
        <w:t> </w:t>
      </w:r>
      <w:r>
        <w:rPr/>
        <w:t>prazo</w:t>
      </w:r>
      <w:r>
        <w:rPr>
          <w:spacing w:val="-19"/>
        </w:rPr>
        <w:t> </w:t>
      </w:r>
      <w:r>
        <w:rPr/>
        <w:t>de</w:t>
      </w:r>
      <w:r>
        <w:rPr>
          <w:spacing w:val="-21"/>
        </w:rPr>
        <w:t> </w:t>
      </w:r>
      <w:r>
        <w:rPr/>
        <w:t>duração</w:t>
      </w:r>
      <w:r>
        <w:rPr>
          <w:spacing w:val="-21"/>
        </w:rPr>
        <w:t> </w:t>
      </w:r>
      <w:r>
        <w:rPr/>
        <w:t>do</w:t>
      </w:r>
      <w:r>
        <w:rPr>
          <w:spacing w:val="-20"/>
        </w:rPr>
        <w:t> </w:t>
      </w:r>
      <w:r>
        <w:rPr/>
        <w:t>contrato</w:t>
      </w:r>
      <w:r>
        <w:rPr>
          <w:spacing w:val="-19"/>
        </w:rPr>
        <w:t> </w:t>
      </w:r>
      <w:r>
        <w:rPr/>
        <w:t>de</w:t>
      </w:r>
      <w:r>
        <w:rPr>
          <w:spacing w:val="-19"/>
        </w:rPr>
        <w:t> </w:t>
      </w:r>
      <w:r>
        <w:rPr/>
        <w:t>concessão</w:t>
      </w:r>
      <w:r>
        <w:rPr>
          <w:spacing w:val="-19"/>
        </w:rPr>
        <w:t> </w:t>
      </w:r>
      <w:r>
        <w:rPr/>
        <w:t>é</w:t>
      </w:r>
      <w:r>
        <w:rPr>
          <w:spacing w:val="-21"/>
        </w:rPr>
        <w:t> </w:t>
      </w:r>
      <w:r>
        <w:rPr/>
        <w:t>de</w:t>
      </w:r>
      <w:r>
        <w:rPr>
          <w:spacing w:val="-21"/>
        </w:rPr>
        <w:t> </w:t>
      </w:r>
      <w:r>
        <w:rPr/>
        <w:t>35</w:t>
      </w:r>
      <w:r>
        <w:rPr>
          <w:spacing w:val="-19"/>
        </w:rPr>
        <w:t> </w:t>
      </w:r>
      <w:r>
        <w:rPr/>
        <w:t>anos</w:t>
      </w:r>
      <w:r>
        <w:rPr>
          <w:spacing w:val="-20"/>
        </w:rPr>
        <w:t> </w:t>
      </w:r>
      <w:r>
        <w:rPr/>
        <w:t>contados</w:t>
      </w:r>
      <w:r>
        <w:rPr>
          <w:spacing w:val="-19"/>
        </w:rPr>
        <w:t> </w:t>
      </w:r>
      <w:r>
        <w:rPr/>
        <w:t>a</w:t>
      </w:r>
      <w:r>
        <w:rPr>
          <w:spacing w:val="-20"/>
        </w:rPr>
        <w:t> </w:t>
      </w:r>
      <w:r>
        <w:rPr/>
        <w:t>partir</w:t>
      </w:r>
      <w:r>
        <w:rPr>
          <w:spacing w:val="-21"/>
        </w:rPr>
        <w:t> </w:t>
      </w:r>
      <w:r>
        <w:rPr/>
        <w:t>de</w:t>
      </w:r>
      <w:r>
        <w:rPr>
          <w:spacing w:val="-21"/>
        </w:rPr>
        <w:t> </w:t>
      </w:r>
      <w:r>
        <w:rPr/>
        <w:t>16</w:t>
      </w:r>
      <w:r>
        <w:rPr>
          <w:spacing w:val="-19"/>
        </w:rPr>
        <w:t> </w:t>
      </w:r>
      <w:r>
        <w:rPr/>
        <w:t>de</w:t>
      </w:r>
      <w:r>
        <w:rPr>
          <w:spacing w:val="-20"/>
        </w:rPr>
        <w:t> </w:t>
      </w:r>
      <w:r>
        <w:rPr/>
        <w:t>dezembro</w:t>
      </w:r>
      <w:r>
        <w:rPr>
          <w:spacing w:val="-20"/>
        </w:rPr>
        <w:t> </w:t>
      </w:r>
      <w:r>
        <w:rPr/>
        <w:t>de</w:t>
      </w:r>
      <w:r>
        <w:rPr>
          <w:spacing w:val="-21"/>
        </w:rPr>
        <w:t> </w:t>
      </w:r>
      <w:r>
        <w:rPr/>
        <w:t>1997, com</w:t>
      </w:r>
      <w:r>
        <w:rPr>
          <w:spacing w:val="-19"/>
        </w:rPr>
        <w:t> </w:t>
      </w:r>
      <w:r>
        <w:rPr/>
        <w:t>término</w:t>
      </w:r>
      <w:r>
        <w:rPr>
          <w:spacing w:val="-16"/>
        </w:rPr>
        <w:t> </w:t>
      </w:r>
      <w:r>
        <w:rPr/>
        <w:t>previsto</w:t>
      </w:r>
      <w:r>
        <w:rPr>
          <w:spacing w:val="-17"/>
        </w:rPr>
        <w:t> </w:t>
      </w:r>
      <w:r>
        <w:rPr/>
        <w:t>para</w:t>
      </w:r>
      <w:r>
        <w:rPr>
          <w:spacing w:val="-15"/>
        </w:rPr>
        <w:t> </w:t>
      </w:r>
      <w:r>
        <w:rPr/>
        <w:t>15</w:t>
      </w:r>
      <w:r>
        <w:rPr>
          <w:spacing w:val="-18"/>
        </w:rPr>
        <w:t> </w:t>
      </w:r>
      <w:r>
        <w:rPr/>
        <w:t>de</w:t>
      </w:r>
      <w:r>
        <w:rPr>
          <w:spacing w:val="-17"/>
        </w:rPr>
        <w:t> </w:t>
      </w:r>
      <w:r>
        <w:rPr/>
        <w:t>dezembro</w:t>
      </w:r>
      <w:r>
        <w:rPr>
          <w:spacing w:val="-19"/>
        </w:rPr>
        <w:t> </w:t>
      </w:r>
      <w:r>
        <w:rPr/>
        <w:t>de</w:t>
      </w:r>
      <w:r>
        <w:rPr>
          <w:spacing w:val="-17"/>
        </w:rPr>
        <w:t> </w:t>
      </w:r>
      <w:r>
        <w:rPr/>
        <w:t>2032.</w:t>
      </w:r>
    </w:p>
    <w:p>
      <w:pPr>
        <w:pStyle w:val="BodyText"/>
        <w:spacing w:before="9"/>
      </w:pPr>
    </w:p>
    <w:p>
      <w:pPr>
        <w:pStyle w:val="BodyText"/>
        <w:spacing w:line="242" w:lineRule="auto"/>
        <w:ind w:left="192" w:right="610"/>
        <w:jc w:val="both"/>
      </w:pPr>
      <w:r>
        <w:rPr/>
        <w:t>O</w:t>
      </w:r>
      <w:r>
        <w:rPr>
          <w:spacing w:val="-18"/>
        </w:rPr>
        <w:t> </w:t>
      </w:r>
      <w:r>
        <w:rPr/>
        <w:t>cálculo</w:t>
      </w:r>
      <w:r>
        <w:rPr>
          <w:spacing w:val="-18"/>
        </w:rPr>
        <w:t> </w:t>
      </w:r>
      <w:r>
        <w:rPr/>
        <w:t>da</w:t>
      </w:r>
      <w:r>
        <w:rPr>
          <w:spacing w:val="-18"/>
        </w:rPr>
        <w:t> </w:t>
      </w:r>
      <w:r>
        <w:rPr/>
        <w:t>equivalência</w:t>
      </w:r>
      <w:r>
        <w:rPr>
          <w:spacing w:val="-17"/>
        </w:rPr>
        <w:t> </w:t>
      </w:r>
      <w:r>
        <w:rPr/>
        <w:t>patrimonial</w:t>
      </w:r>
      <w:r>
        <w:rPr>
          <w:spacing w:val="-17"/>
        </w:rPr>
        <w:t> </w:t>
      </w:r>
      <w:r>
        <w:rPr/>
        <w:t>sobre</w:t>
      </w:r>
      <w:r>
        <w:rPr>
          <w:spacing w:val="-19"/>
        </w:rPr>
        <w:t> </w:t>
      </w:r>
      <w:r>
        <w:rPr/>
        <w:t>o</w:t>
      </w:r>
      <w:r>
        <w:rPr>
          <w:spacing w:val="-16"/>
        </w:rPr>
        <w:t> </w:t>
      </w:r>
      <w:r>
        <w:rPr/>
        <w:t>resultado</w:t>
      </w:r>
      <w:r>
        <w:rPr>
          <w:spacing w:val="-18"/>
        </w:rPr>
        <w:t> </w:t>
      </w:r>
      <w:r>
        <w:rPr/>
        <w:t>do</w:t>
      </w:r>
      <w:r>
        <w:rPr>
          <w:spacing w:val="-16"/>
        </w:rPr>
        <w:t> </w:t>
      </w:r>
      <w:r>
        <w:rPr/>
        <w:t>exercício</w:t>
      </w:r>
      <w:r>
        <w:rPr>
          <w:spacing w:val="-17"/>
        </w:rPr>
        <w:t> </w:t>
      </w:r>
      <w:r>
        <w:rPr/>
        <w:t>da</w:t>
      </w:r>
      <w:r>
        <w:rPr>
          <w:spacing w:val="-17"/>
        </w:rPr>
        <w:t> </w:t>
      </w:r>
      <w:r>
        <w:rPr/>
        <w:t>CEB</w:t>
      </w:r>
      <w:r>
        <w:rPr>
          <w:spacing w:val="-17"/>
        </w:rPr>
        <w:t> </w:t>
      </w:r>
      <w:r>
        <w:rPr/>
        <w:t>Lajeado</w:t>
      </w:r>
      <w:r>
        <w:rPr>
          <w:spacing w:val="-18"/>
        </w:rPr>
        <w:t> </w:t>
      </w:r>
      <w:r>
        <w:rPr/>
        <w:t>S.A.</w:t>
      </w:r>
      <w:r>
        <w:rPr>
          <w:spacing w:val="-16"/>
        </w:rPr>
        <w:t> </w:t>
      </w:r>
      <w:r>
        <w:rPr/>
        <w:t>é</w:t>
      </w:r>
      <w:r>
        <w:rPr>
          <w:spacing w:val="-18"/>
        </w:rPr>
        <w:t> </w:t>
      </w:r>
      <w:r>
        <w:rPr/>
        <w:t>realizado</w:t>
      </w:r>
      <w:r>
        <w:rPr>
          <w:spacing w:val="-17"/>
        </w:rPr>
        <w:t> </w:t>
      </w:r>
      <w:r>
        <w:rPr/>
        <w:t>aplicando</w:t>
      </w:r>
      <w:r>
        <w:rPr>
          <w:spacing w:val="-18"/>
        </w:rPr>
        <w:t> </w:t>
      </w:r>
      <w:r>
        <w:rPr/>
        <w:t>o percentual</w:t>
      </w:r>
      <w:r>
        <w:rPr>
          <w:spacing w:val="-23"/>
        </w:rPr>
        <w:t> </w:t>
      </w:r>
      <w:r>
        <w:rPr/>
        <w:t>de</w:t>
      </w:r>
      <w:r>
        <w:rPr>
          <w:spacing w:val="-23"/>
        </w:rPr>
        <w:t> </w:t>
      </w:r>
      <w:r>
        <w:rPr/>
        <w:t>55,923%</w:t>
      </w:r>
      <w:r>
        <w:rPr>
          <w:spacing w:val="-24"/>
        </w:rPr>
        <w:t> </w:t>
      </w:r>
      <w:r>
        <w:rPr/>
        <w:t>sobre</w:t>
      </w:r>
      <w:r>
        <w:rPr>
          <w:spacing w:val="-23"/>
        </w:rPr>
        <w:t> </w:t>
      </w:r>
      <w:r>
        <w:rPr/>
        <w:t>o</w:t>
      </w:r>
      <w:r>
        <w:rPr>
          <w:spacing w:val="-22"/>
        </w:rPr>
        <w:t> </w:t>
      </w:r>
      <w:r>
        <w:rPr/>
        <w:t>resultado</w:t>
      </w:r>
      <w:r>
        <w:rPr>
          <w:spacing w:val="-24"/>
        </w:rPr>
        <w:t> </w:t>
      </w:r>
      <w:r>
        <w:rPr/>
        <w:t>obtido</w:t>
      </w:r>
      <w:r>
        <w:rPr>
          <w:spacing w:val="-22"/>
        </w:rPr>
        <w:t> </w:t>
      </w:r>
      <w:r>
        <w:rPr/>
        <w:t>no</w:t>
      </w:r>
      <w:r>
        <w:rPr>
          <w:spacing w:val="-22"/>
        </w:rPr>
        <w:t> </w:t>
      </w:r>
      <w:r>
        <w:rPr/>
        <w:t>exercício.</w:t>
      </w:r>
      <w:r>
        <w:rPr>
          <w:spacing w:val="-22"/>
        </w:rPr>
        <w:t> </w:t>
      </w:r>
      <w:r>
        <w:rPr/>
        <w:t>Este</w:t>
      </w:r>
      <w:r>
        <w:rPr>
          <w:spacing w:val="-24"/>
        </w:rPr>
        <w:t> </w:t>
      </w:r>
      <w:r>
        <w:rPr/>
        <w:t>percentual</w:t>
      </w:r>
      <w:r>
        <w:rPr>
          <w:spacing w:val="-22"/>
        </w:rPr>
        <w:t> </w:t>
      </w:r>
      <w:r>
        <w:rPr/>
        <w:t>é</w:t>
      </w:r>
      <w:r>
        <w:rPr>
          <w:spacing w:val="-23"/>
        </w:rPr>
        <w:t> </w:t>
      </w:r>
      <w:r>
        <w:rPr/>
        <w:t>fruto</w:t>
      </w:r>
      <w:r>
        <w:rPr>
          <w:spacing w:val="-23"/>
        </w:rPr>
        <w:t> </w:t>
      </w:r>
      <w:r>
        <w:rPr/>
        <w:t>do</w:t>
      </w:r>
      <w:r>
        <w:rPr>
          <w:spacing w:val="-23"/>
        </w:rPr>
        <w:t> </w:t>
      </w:r>
      <w:r>
        <w:rPr/>
        <w:t>acordo</w:t>
      </w:r>
      <w:r>
        <w:rPr>
          <w:spacing w:val="-23"/>
        </w:rPr>
        <w:t> </w:t>
      </w:r>
      <w:r>
        <w:rPr/>
        <w:t>de</w:t>
      </w:r>
      <w:r>
        <w:rPr>
          <w:spacing w:val="-23"/>
        </w:rPr>
        <w:t> </w:t>
      </w:r>
      <w:r>
        <w:rPr/>
        <w:t>acionistas,</w:t>
      </w:r>
      <w:r>
        <w:rPr>
          <w:spacing w:val="-22"/>
        </w:rPr>
        <w:t> </w:t>
      </w:r>
      <w:r>
        <w:rPr/>
        <w:t>que garantiu</w:t>
      </w:r>
      <w:r>
        <w:rPr>
          <w:spacing w:val="-19"/>
        </w:rPr>
        <w:t> </w:t>
      </w:r>
      <w:r>
        <w:rPr/>
        <w:t>à</w:t>
      </w:r>
      <w:r>
        <w:rPr>
          <w:spacing w:val="-17"/>
        </w:rPr>
        <w:t> </w:t>
      </w:r>
      <w:r>
        <w:rPr/>
        <w:t>Eletrobras</w:t>
      </w:r>
      <w:r>
        <w:rPr>
          <w:spacing w:val="-18"/>
        </w:rPr>
        <w:t> </w:t>
      </w:r>
      <w:r>
        <w:rPr/>
        <w:t>rendimentos</w:t>
      </w:r>
      <w:r>
        <w:rPr>
          <w:spacing w:val="-18"/>
        </w:rPr>
        <w:t> </w:t>
      </w:r>
      <w:r>
        <w:rPr/>
        <w:t>equivalentes</w:t>
      </w:r>
      <w:r>
        <w:rPr>
          <w:spacing w:val="-18"/>
        </w:rPr>
        <w:t> </w:t>
      </w:r>
      <w:r>
        <w:rPr/>
        <w:t>a</w:t>
      </w:r>
      <w:r>
        <w:rPr>
          <w:spacing w:val="-18"/>
        </w:rPr>
        <w:t> </w:t>
      </w:r>
      <w:r>
        <w:rPr/>
        <w:t>49,67%</w:t>
      </w:r>
      <w:r>
        <w:rPr>
          <w:spacing w:val="-17"/>
        </w:rPr>
        <w:t> </w:t>
      </w:r>
      <w:r>
        <w:rPr/>
        <w:t>do</w:t>
      </w:r>
      <w:r>
        <w:rPr>
          <w:spacing w:val="-19"/>
        </w:rPr>
        <w:t> </w:t>
      </w:r>
      <w:r>
        <w:rPr/>
        <w:t>resultado</w:t>
      </w:r>
      <w:r>
        <w:rPr>
          <w:spacing w:val="-18"/>
        </w:rPr>
        <w:t> </w:t>
      </w:r>
      <w:r>
        <w:rPr/>
        <w:t>de</w:t>
      </w:r>
      <w:r>
        <w:rPr>
          <w:spacing w:val="-19"/>
        </w:rPr>
        <w:t> </w:t>
      </w:r>
      <w:r>
        <w:rPr/>
        <w:t>cada</w:t>
      </w:r>
      <w:r>
        <w:rPr>
          <w:spacing w:val="-18"/>
        </w:rPr>
        <w:t> </w:t>
      </w:r>
      <w:r>
        <w:rPr/>
        <w:t>exercício.</w:t>
      </w:r>
      <w:r>
        <w:rPr>
          <w:spacing w:val="-16"/>
        </w:rPr>
        <w:t> </w:t>
      </w:r>
      <w:r>
        <w:rPr/>
        <w:t>O</w:t>
      </w:r>
      <w:r>
        <w:rPr>
          <w:spacing w:val="-20"/>
        </w:rPr>
        <w:t> </w:t>
      </w:r>
      <w:r>
        <w:rPr/>
        <w:t>percentual</w:t>
      </w:r>
      <w:r>
        <w:rPr>
          <w:spacing w:val="-17"/>
        </w:rPr>
        <w:t> </w:t>
      </w:r>
      <w:r>
        <w:rPr/>
        <w:t>de</w:t>
      </w:r>
      <w:r>
        <w:rPr>
          <w:spacing w:val="-19"/>
        </w:rPr>
        <w:t> </w:t>
      </w:r>
      <w:r>
        <w:rPr/>
        <w:t>49,67% inclui</w:t>
      </w:r>
      <w:r>
        <w:rPr>
          <w:spacing w:val="-21"/>
        </w:rPr>
        <w:t> </w:t>
      </w:r>
      <w:r>
        <w:rPr/>
        <w:t>o</w:t>
      </w:r>
      <w:r>
        <w:rPr>
          <w:spacing w:val="-19"/>
        </w:rPr>
        <w:t> </w:t>
      </w:r>
      <w:r>
        <w:rPr/>
        <w:t>percentual</w:t>
      </w:r>
      <w:r>
        <w:rPr>
          <w:spacing w:val="-21"/>
        </w:rPr>
        <w:t> </w:t>
      </w:r>
      <w:r>
        <w:rPr/>
        <w:t>de</w:t>
      </w:r>
      <w:r>
        <w:rPr>
          <w:spacing w:val="-20"/>
        </w:rPr>
        <w:t> </w:t>
      </w:r>
      <w:r>
        <w:rPr/>
        <w:t>participação</w:t>
      </w:r>
      <w:r>
        <w:rPr>
          <w:spacing w:val="-21"/>
        </w:rPr>
        <w:t> </w:t>
      </w:r>
      <w:r>
        <w:rPr/>
        <w:t>societária</w:t>
      </w:r>
      <w:r>
        <w:rPr>
          <w:spacing w:val="-21"/>
        </w:rPr>
        <w:t> </w:t>
      </w:r>
      <w:r>
        <w:rPr/>
        <w:t>de</w:t>
      </w:r>
      <w:r>
        <w:rPr>
          <w:spacing w:val="-19"/>
        </w:rPr>
        <w:t> </w:t>
      </w:r>
      <w:r>
        <w:rPr/>
        <w:t>44,077%</w:t>
      </w:r>
      <w:r>
        <w:rPr>
          <w:spacing w:val="-19"/>
        </w:rPr>
        <w:t> </w:t>
      </w:r>
      <w:r>
        <w:rPr/>
        <w:t>e</w:t>
      </w:r>
      <w:r>
        <w:rPr>
          <w:spacing w:val="-19"/>
        </w:rPr>
        <w:t> </w:t>
      </w:r>
      <w:r>
        <w:rPr/>
        <w:t>10%</w:t>
      </w:r>
      <w:r>
        <w:rPr>
          <w:spacing w:val="-20"/>
        </w:rPr>
        <w:t> </w:t>
      </w:r>
      <w:r>
        <w:rPr/>
        <w:t>de</w:t>
      </w:r>
      <w:r>
        <w:rPr>
          <w:spacing w:val="-20"/>
        </w:rPr>
        <w:t> </w:t>
      </w:r>
      <w:r>
        <w:rPr/>
        <w:t>partes</w:t>
      </w:r>
      <w:r>
        <w:rPr>
          <w:spacing w:val="-18"/>
        </w:rPr>
        <w:t> </w:t>
      </w:r>
      <w:r>
        <w:rPr/>
        <w:t>beneficiárias.</w:t>
      </w:r>
    </w:p>
    <w:p>
      <w:pPr>
        <w:pStyle w:val="BodyText"/>
        <w:spacing w:before="6"/>
      </w:pPr>
    </w:p>
    <w:p>
      <w:pPr>
        <w:pStyle w:val="Heading5"/>
        <w:numPr>
          <w:ilvl w:val="3"/>
          <w:numId w:val="10"/>
        </w:numPr>
        <w:tabs>
          <w:tab w:pos="1325" w:val="left" w:leader="none"/>
          <w:tab w:pos="1326" w:val="left" w:leader="none"/>
        </w:tabs>
        <w:spacing w:line="240" w:lineRule="auto" w:before="0" w:after="0"/>
        <w:ind w:left="1326" w:right="0" w:hanging="1134"/>
        <w:jc w:val="left"/>
      </w:pPr>
      <w:r>
        <w:rPr/>
        <w:t>Companhia Brasiliense de</w:t>
      </w:r>
      <w:r>
        <w:rPr>
          <w:spacing w:val="-4"/>
        </w:rPr>
        <w:t> </w:t>
      </w:r>
      <w:r>
        <w:rPr/>
        <w:t>Gás</w:t>
      </w:r>
    </w:p>
    <w:p>
      <w:pPr>
        <w:pStyle w:val="BodyText"/>
        <w:spacing w:before="10"/>
        <w:rPr>
          <w:rFonts w:ascii="Caladea"/>
          <w:b/>
          <w:sz w:val="23"/>
        </w:rPr>
      </w:pPr>
    </w:p>
    <w:p>
      <w:pPr>
        <w:pStyle w:val="BodyText"/>
        <w:spacing w:line="242" w:lineRule="auto"/>
        <w:ind w:left="192" w:right="608"/>
        <w:jc w:val="both"/>
      </w:pPr>
      <w:r>
        <w:rPr/>
        <w:t>A</w:t>
      </w:r>
      <w:r>
        <w:rPr>
          <w:spacing w:val="-9"/>
        </w:rPr>
        <w:t> </w:t>
      </w:r>
      <w:r>
        <w:rPr/>
        <w:t>Companhia</w:t>
      </w:r>
      <w:r>
        <w:rPr>
          <w:spacing w:val="-8"/>
        </w:rPr>
        <w:t> </w:t>
      </w:r>
      <w:r>
        <w:rPr/>
        <w:t>Brasiliense</w:t>
      </w:r>
      <w:r>
        <w:rPr>
          <w:spacing w:val="-10"/>
        </w:rPr>
        <w:t> </w:t>
      </w:r>
      <w:r>
        <w:rPr/>
        <w:t>de</w:t>
      </w:r>
      <w:r>
        <w:rPr>
          <w:spacing w:val="-10"/>
        </w:rPr>
        <w:t> </w:t>
      </w:r>
      <w:r>
        <w:rPr/>
        <w:t>Gás</w:t>
      </w:r>
      <w:r>
        <w:rPr>
          <w:spacing w:val="-8"/>
        </w:rPr>
        <w:t> </w:t>
      </w:r>
      <w:r>
        <w:rPr/>
        <w:t>é</w:t>
      </w:r>
      <w:r>
        <w:rPr>
          <w:spacing w:val="-10"/>
        </w:rPr>
        <w:t> </w:t>
      </w:r>
      <w:r>
        <w:rPr/>
        <w:t>uma</w:t>
      </w:r>
      <w:r>
        <w:rPr>
          <w:spacing w:val="-4"/>
        </w:rPr>
        <w:t> </w:t>
      </w:r>
      <w:r>
        <w:rPr/>
        <w:t>sociedade</w:t>
      </w:r>
      <w:r>
        <w:rPr>
          <w:spacing w:val="-10"/>
        </w:rPr>
        <w:t> </w:t>
      </w:r>
      <w:r>
        <w:rPr/>
        <w:t>de</w:t>
      </w:r>
      <w:r>
        <w:rPr>
          <w:spacing w:val="-10"/>
        </w:rPr>
        <w:t> </w:t>
      </w:r>
      <w:r>
        <w:rPr/>
        <w:t>economia</w:t>
      </w:r>
      <w:r>
        <w:rPr>
          <w:spacing w:val="-9"/>
        </w:rPr>
        <w:t> </w:t>
      </w:r>
      <w:r>
        <w:rPr/>
        <w:t>mista,</w:t>
      </w:r>
      <w:r>
        <w:rPr>
          <w:spacing w:val="-8"/>
        </w:rPr>
        <w:t> </w:t>
      </w:r>
      <w:r>
        <w:rPr/>
        <w:t>constituída</w:t>
      </w:r>
      <w:r>
        <w:rPr>
          <w:spacing w:val="-6"/>
        </w:rPr>
        <w:t> </w:t>
      </w:r>
      <w:r>
        <w:rPr/>
        <w:t>em</w:t>
      </w:r>
      <w:r>
        <w:rPr>
          <w:spacing w:val="-9"/>
        </w:rPr>
        <w:t> </w:t>
      </w:r>
      <w:r>
        <w:rPr/>
        <w:t>20</w:t>
      </w:r>
      <w:r>
        <w:rPr>
          <w:spacing w:val="-8"/>
        </w:rPr>
        <w:t> </w:t>
      </w:r>
      <w:r>
        <w:rPr/>
        <w:t>de</w:t>
      </w:r>
      <w:r>
        <w:rPr>
          <w:spacing w:val="-10"/>
        </w:rPr>
        <w:t> </w:t>
      </w:r>
      <w:r>
        <w:rPr/>
        <w:t>março</w:t>
      </w:r>
      <w:r>
        <w:rPr>
          <w:spacing w:val="-9"/>
        </w:rPr>
        <w:t> </w:t>
      </w:r>
      <w:r>
        <w:rPr/>
        <w:t>de</w:t>
      </w:r>
      <w:r>
        <w:rPr>
          <w:spacing w:val="-10"/>
        </w:rPr>
        <w:t> </w:t>
      </w:r>
      <w:r>
        <w:rPr/>
        <w:t>2001,</w:t>
      </w:r>
      <w:r>
        <w:rPr>
          <w:spacing w:val="-8"/>
        </w:rPr>
        <w:t> </w:t>
      </w:r>
      <w:r>
        <w:rPr/>
        <w:t>com autorização</w:t>
      </w:r>
      <w:r>
        <w:rPr>
          <w:spacing w:val="-14"/>
        </w:rPr>
        <w:t> </w:t>
      </w:r>
      <w:r>
        <w:rPr/>
        <w:t>da</w:t>
      </w:r>
      <w:r>
        <w:rPr>
          <w:spacing w:val="-13"/>
        </w:rPr>
        <w:t> </w:t>
      </w:r>
      <w:r>
        <w:rPr/>
        <w:t>Lei</w:t>
      </w:r>
      <w:r>
        <w:rPr>
          <w:spacing w:val="-13"/>
        </w:rPr>
        <w:t> </w:t>
      </w:r>
      <w:r>
        <w:rPr/>
        <w:t>Distrital</w:t>
      </w:r>
      <w:r>
        <w:rPr>
          <w:spacing w:val="-12"/>
        </w:rPr>
        <w:t> </w:t>
      </w:r>
      <w:r>
        <w:rPr/>
        <w:t>n</w:t>
      </w:r>
      <w:r>
        <w:rPr>
          <w:position w:val="5"/>
          <w:sz w:val="13"/>
        </w:rPr>
        <w:t>o</w:t>
      </w:r>
      <w:r>
        <w:rPr>
          <w:spacing w:val="9"/>
          <w:position w:val="5"/>
          <w:sz w:val="13"/>
        </w:rPr>
        <w:t> </w:t>
      </w:r>
      <w:r>
        <w:rPr/>
        <w:t>2.518,</w:t>
      </w:r>
      <w:r>
        <w:rPr>
          <w:spacing w:val="-14"/>
        </w:rPr>
        <w:t> </w:t>
      </w:r>
      <w:r>
        <w:rPr/>
        <w:t>de</w:t>
      </w:r>
      <w:r>
        <w:rPr>
          <w:spacing w:val="-13"/>
        </w:rPr>
        <w:t> </w:t>
      </w:r>
      <w:r>
        <w:rPr/>
        <w:t>10</w:t>
      </w:r>
      <w:r>
        <w:rPr>
          <w:spacing w:val="-12"/>
        </w:rPr>
        <w:t> </w:t>
      </w:r>
      <w:r>
        <w:rPr/>
        <w:t>de</w:t>
      </w:r>
      <w:r>
        <w:rPr>
          <w:spacing w:val="-13"/>
        </w:rPr>
        <w:t> </w:t>
      </w:r>
      <w:r>
        <w:rPr/>
        <w:t>janeiro</w:t>
      </w:r>
      <w:r>
        <w:rPr>
          <w:spacing w:val="-12"/>
        </w:rPr>
        <w:t> </w:t>
      </w:r>
      <w:r>
        <w:rPr/>
        <w:t>de</w:t>
      </w:r>
      <w:r>
        <w:rPr>
          <w:spacing w:val="-13"/>
        </w:rPr>
        <w:t> </w:t>
      </w:r>
      <w:r>
        <w:rPr/>
        <w:t>2000.</w:t>
      </w:r>
      <w:r>
        <w:rPr>
          <w:spacing w:val="-12"/>
        </w:rPr>
        <w:t> </w:t>
      </w:r>
      <w:r>
        <w:rPr/>
        <w:t>Tem</w:t>
      </w:r>
      <w:r>
        <w:rPr>
          <w:spacing w:val="-12"/>
        </w:rPr>
        <w:t> </w:t>
      </w:r>
      <w:r>
        <w:rPr/>
        <w:t>por</w:t>
      </w:r>
      <w:r>
        <w:rPr>
          <w:spacing w:val="-13"/>
        </w:rPr>
        <w:t> </w:t>
      </w:r>
      <w:r>
        <w:rPr/>
        <w:t>objeto</w:t>
      </w:r>
      <w:r>
        <w:rPr>
          <w:spacing w:val="-12"/>
        </w:rPr>
        <w:t> </w:t>
      </w:r>
      <w:r>
        <w:rPr/>
        <w:t>social</w:t>
      </w:r>
      <w:r>
        <w:rPr>
          <w:spacing w:val="-13"/>
        </w:rPr>
        <w:t> </w:t>
      </w:r>
      <w:r>
        <w:rPr/>
        <w:t>a</w:t>
      </w:r>
      <w:r>
        <w:rPr>
          <w:spacing w:val="-12"/>
        </w:rPr>
        <w:t> </w:t>
      </w:r>
      <w:r>
        <w:rPr/>
        <w:t>exploração</w:t>
      </w:r>
      <w:r>
        <w:rPr>
          <w:spacing w:val="-14"/>
        </w:rPr>
        <w:t> </w:t>
      </w:r>
      <w:r>
        <w:rPr/>
        <w:t>do</w:t>
      </w:r>
      <w:r>
        <w:rPr>
          <w:spacing w:val="-12"/>
        </w:rPr>
        <w:t> </w:t>
      </w:r>
      <w:r>
        <w:rPr/>
        <w:t>serviço</w:t>
      </w:r>
      <w:r>
        <w:rPr>
          <w:spacing w:val="-12"/>
        </w:rPr>
        <w:t> </w:t>
      </w:r>
      <w:r>
        <w:rPr/>
        <w:t>de </w:t>
      </w:r>
      <w:r>
        <w:rPr>
          <w:w w:val="95"/>
        </w:rPr>
        <w:t>distribuição</w:t>
      </w:r>
      <w:r>
        <w:rPr>
          <w:spacing w:val="-15"/>
          <w:w w:val="95"/>
        </w:rPr>
        <w:t> </w:t>
      </w:r>
      <w:r>
        <w:rPr>
          <w:w w:val="95"/>
        </w:rPr>
        <w:t>e</w:t>
      </w:r>
      <w:r>
        <w:rPr>
          <w:spacing w:val="-17"/>
          <w:w w:val="95"/>
        </w:rPr>
        <w:t> </w:t>
      </w:r>
      <w:r>
        <w:rPr>
          <w:w w:val="95"/>
        </w:rPr>
        <w:t>comercialização</w:t>
      </w:r>
      <w:r>
        <w:rPr>
          <w:spacing w:val="-18"/>
          <w:w w:val="95"/>
        </w:rPr>
        <w:t> </w:t>
      </w:r>
      <w:r>
        <w:rPr>
          <w:w w:val="95"/>
        </w:rPr>
        <w:t>de</w:t>
      </w:r>
      <w:r>
        <w:rPr>
          <w:spacing w:val="-19"/>
          <w:w w:val="95"/>
        </w:rPr>
        <w:t> </w:t>
      </w:r>
      <w:r>
        <w:rPr>
          <w:w w:val="95"/>
        </w:rPr>
        <w:t>gás</w:t>
      </w:r>
      <w:r>
        <w:rPr>
          <w:spacing w:val="-14"/>
          <w:w w:val="95"/>
        </w:rPr>
        <w:t> </w:t>
      </w:r>
      <w:r>
        <w:rPr>
          <w:w w:val="95"/>
        </w:rPr>
        <w:t>combustível</w:t>
      </w:r>
      <w:r>
        <w:rPr>
          <w:spacing w:val="-14"/>
          <w:w w:val="95"/>
        </w:rPr>
        <w:t> </w:t>
      </w:r>
      <w:r>
        <w:rPr>
          <w:w w:val="95"/>
        </w:rPr>
        <w:t>canalizado,</w:t>
      </w:r>
      <w:r>
        <w:rPr>
          <w:spacing w:val="-18"/>
          <w:w w:val="95"/>
        </w:rPr>
        <w:t> </w:t>
      </w:r>
      <w:r>
        <w:rPr>
          <w:w w:val="95"/>
        </w:rPr>
        <w:t>de</w:t>
      </w:r>
      <w:r>
        <w:rPr>
          <w:spacing w:val="-15"/>
          <w:w w:val="95"/>
        </w:rPr>
        <w:t> </w:t>
      </w:r>
      <w:r>
        <w:rPr>
          <w:w w:val="95"/>
        </w:rPr>
        <w:t>produção</w:t>
      </w:r>
      <w:r>
        <w:rPr>
          <w:spacing w:val="-18"/>
          <w:w w:val="95"/>
        </w:rPr>
        <w:t> </w:t>
      </w:r>
      <w:r>
        <w:rPr>
          <w:w w:val="95"/>
        </w:rPr>
        <w:t>própria</w:t>
      </w:r>
      <w:r>
        <w:rPr>
          <w:spacing w:val="-14"/>
          <w:w w:val="95"/>
        </w:rPr>
        <w:t> </w:t>
      </w:r>
      <w:r>
        <w:rPr>
          <w:w w:val="95"/>
        </w:rPr>
        <w:t>ou</w:t>
      </w:r>
      <w:r>
        <w:rPr>
          <w:spacing w:val="-17"/>
          <w:w w:val="95"/>
        </w:rPr>
        <w:t> </w:t>
      </w:r>
      <w:r>
        <w:rPr>
          <w:w w:val="95"/>
        </w:rPr>
        <w:t>de</w:t>
      </w:r>
      <w:r>
        <w:rPr>
          <w:spacing w:val="-15"/>
          <w:w w:val="95"/>
        </w:rPr>
        <w:t> </w:t>
      </w:r>
      <w:r>
        <w:rPr>
          <w:w w:val="95"/>
        </w:rPr>
        <w:t>terceiros,</w:t>
      </w:r>
      <w:r>
        <w:rPr>
          <w:spacing w:val="-15"/>
          <w:w w:val="95"/>
        </w:rPr>
        <w:t> </w:t>
      </w:r>
      <w:r>
        <w:rPr>
          <w:w w:val="95"/>
        </w:rPr>
        <w:t>podendo</w:t>
      </w:r>
      <w:r>
        <w:rPr>
          <w:spacing w:val="-15"/>
          <w:w w:val="95"/>
        </w:rPr>
        <w:t> </w:t>
      </w:r>
      <w:r>
        <w:rPr>
          <w:w w:val="95"/>
        </w:rPr>
        <w:t>inclusive </w:t>
      </w:r>
      <w:r>
        <w:rPr/>
        <w:t>importar,</w:t>
      </w:r>
      <w:r>
        <w:rPr>
          <w:spacing w:val="-36"/>
        </w:rPr>
        <w:t> </w:t>
      </w:r>
      <w:r>
        <w:rPr/>
        <w:t>para</w:t>
      </w:r>
      <w:r>
        <w:rPr>
          <w:spacing w:val="-35"/>
        </w:rPr>
        <w:t> </w:t>
      </w:r>
      <w:r>
        <w:rPr/>
        <w:t>fins</w:t>
      </w:r>
      <w:r>
        <w:rPr>
          <w:spacing w:val="-35"/>
        </w:rPr>
        <w:t> </w:t>
      </w:r>
      <w:r>
        <w:rPr/>
        <w:t>comerciais,</w:t>
      </w:r>
      <w:r>
        <w:rPr>
          <w:spacing w:val="-35"/>
        </w:rPr>
        <w:t> </w:t>
      </w:r>
      <w:r>
        <w:rPr/>
        <w:t>industriais,</w:t>
      </w:r>
      <w:r>
        <w:rPr>
          <w:spacing w:val="-35"/>
        </w:rPr>
        <w:t> </w:t>
      </w:r>
      <w:r>
        <w:rPr/>
        <w:t>residenciais,</w:t>
      </w:r>
      <w:r>
        <w:rPr>
          <w:spacing w:val="-35"/>
        </w:rPr>
        <w:t> </w:t>
      </w:r>
      <w:r>
        <w:rPr/>
        <w:t>automotivos,</w:t>
      </w:r>
      <w:r>
        <w:rPr>
          <w:spacing w:val="-35"/>
        </w:rPr>
        <w:t> </w:t>
      </w:r>
      <w:r>
        <w:rPr/>
        <w:t>de</w:t>
      </w:r>
      <w:r>
        <w:rPr>
          <w:spacing w:val="-36"/>
        </w:rPr>
        <w:t> </w:t>
      </w:r>
      <w:r>
        <w:rPr/>
        <w:t>geração</w:t>
      </w:r>
      <w:r>
        <w:rPr>
          <w:spacing w:val="-36"/>
        </w:rPr>
        <w:t> </w:t>
      </w:r>
      <w:r>
        <w:rPr/>
        <w:t>termelétrica</w:t>
      </w:r>
      <w:r>
        <w:rPr>
          <w:spacing w:val="-35"/>
        </w:rPr>
        <w:t> </w:t>
      </w:r>
      <w:r>
        <w:rPr/>
        <w:t>ou</w:t>
      </w:r>
      <w:r>
        <w:rPr>
          <w:spacing w:val="-35"/>
        </w:rPr>
        <w:t> </w:t>
      </w:r>
      <w:r>
        <w:rPr/>
        <w:t>quaisquer</w:t>
      </w:r>
      <w:r>
        <w:rPr>
          <w:spacing w:val="-36"/>
        </w:rPr>
        <w:t> </w:t>
      </w:r>
      <w:r>
        <w:rPr/>
        <w:t>outras finalidades</w:t>
      </w:r>
      <w:r>
        <w:rPr>
          <w:spacing w:val="-16"/>
        </w:rPr>
        <w:t> </w:t>
      </w:r>
      <w:r>
        <w:rPr/>
        <w:t>e</w:t>
      </w:r>
      <w:r>
        <w:rPr>
          <w:spacing w:val="-18"/>
        </w:rPr>
        <w:t> </w:t>
      </w:r>
      <w:r>
        <w:rPr/>
        <w:t>usos</w:t>
      </w:r>
      <w:r>
        <w:rPr>
          <w:spacing w:val="-17"/>
        </w:rPr>
        <w:t> </w:t>
      </w:r>
      <w:r>
        <w:rPr/>
        <w:t>possibilitados</w:t>
      </w:r>
      <w:r>
        <w:rPr>
          <w:spacing w:val="-17"/>
        </w:rPr>
        <w:t> </w:t>
      </w:r>
      <w:r>
        <w:rPr/>
        <w:t>pelos</w:t>
      </w:r>
      <w:r>
        <w:rPr>
          <w:spacing w:val="-17"/>
        </w:rPr>
        <w:t> </w:t>
      </w:r>
      <w:r>
        <w:rPr/>
        <w:t>avanços</w:t>
      </w:r>
      <w:r>
        <w:rPr>
          <w:spacing w:val="-16"/>
        </w:rPr>
        <w:t> </w:t>
      </w:r>
      <w:r>
        <w:rPr/>
        <w:t>tecnológicos,</w:t>
      </w:r>
      <w:r>
        <w:rPr>
          <w:spacing w:val="-17"/>
        </w:rPr>
        <w:t> </w:t>
      </w:r>
      <w:r>
        <w:rPr/>
        <w:t>em</w:t>
      </w:r>
      <w:r>
        <w:rPr>
          <w:spacing w:val="-16"/>
        </w:rPr>
        <w:t> </w:t>
      </w:r>
      <w:r>
        <w:rPr/>
        <w:t>todo</w:t>
      </w:r>
      <w:r>
        <w:rPr>
          <w:spacing w:val="-17"/>
        </w:rPr>
        <w:t> </w:t>
      </w:r>
      <w:r>
        <w:rPr/>
        <w:t>território</w:t>
      </w:r>
      <w:r>
        <w:rPr>
          <w:spacing w:val="-17"/>
        </w:rPr>
        <w:t> </w:t>
      </w:r>
      <w:r>
        <w:rPr/>
        <w:t>do</w:t>
      </w:r>
      <w:r>
        <w:rPr>
          <w:spacing w:val="-16"/>
        </w:rPr>
        <w:t> </w:t>
      </w:r>
      <w:r>
        <w:rPr/>
        <w:t>Distrito</w:t>
      </w:r>
      <w:r>
        <w:rPr>
          <w:spacing w:val="-18"/>
        </w:rPr>
        <w:t> </w:t>
      </w:r>
      <w:r>
        <w:rPr/>
        <w:t>Federal.</w:t>
      </w:r>
      <w:r>
        <w:rPr>
          <w:spacing w:val="-17"/>
        </w:rPr>
        <w:t> </w:t>
      </w:r>
      <w:r>
        <w:rPr/>
        <w:t>A</w:t>
      </w:r>
      <w:r>
        <w:rPr>
          <w:spacing w:val="-17"/>
        </w:rPr>
        <w:t> </w:t>
      </w:r>
      <w:r>
        <w:rPr/>
        <w:t>Companhia poderá</w:t>
      </w:r>
      <w:r>
        <w:rPr>
          <w:spacing w:val="-18"/>
        </w:rPr>
        <w:t> </w:t>
      </w:r>
      <w:r>
        <w:rPr/>
        <w:t>ainda:</w:t>
      </w:r>
    </w:p>
    <w:p>
      <w:pPr>
        <w:pStyle w:val="BodyText"/>
        <w:spacing w:before="6"/>
      </w:pPr>
    </w:p>
    <w:p>
      <w:pPr>
        <w:pStyle w:val="ListParagraph"/>
        <w:numPr>
          <w:ilvl w:val="0"/>
          <w:numId w:val="14"/>
        </w:numPr>
        <w:tabs>
          <w:tab w:pos="760" w:val="left" w:leader="none"/>
        </w:tabs>
        <w:spacing w:line="276" w:lineRule="auto" w:before="0" w:after="0"/>
        <w:ind w:left="759" w:right="616" w:hanging="567"/>
        <w:jc w:val="both"/>
        <w:rPr>
          <w:rFonts w:ascii="Symbol" w:hAnsi="Symbol"/>
          <w:sz w:val="20"/>
        </w:rPr>
      </w:pPr>
      <w:r>
        <w:rPr>
          <w:sz w:val="20"/>
        </w:rPr>
        <w:t>Efetuar</w:t>
      </w:r>
      <w:r>
        <w:rPr>
          <w:spacing w:val="-15"/>
          <w:sz w:val="20"/>
        </w:rPr>
        <w:t> </w:t>
      </w:r>
      <w:r>
        <w:rPr>
          <w:sz w:val="20"/>
        </w:rPr>
        <w:t>a</w:t>
      </w:r>
      <w:r>
        <w:rPr>
          <w:spacing w:val="-12"/>
          <w:sz w:val="20"/>
        </w:rPr>
        <w:t> </w:t>
      </w:r>
      <w:r>
        <w:rPr>
          <w:sz w:val="20"/>
        </w:rPr>
        <w:t>implantação</w:t>
      </w:r>
      <w:r>
        <w:rPr>
          <w:spacing w:val="-12"/>
          <w:sz w:val="20"/>
        </w:rPr>
        <w:t> </w:t>
      </w:r>
      <w:r>
        <w:rPr>
          <w:sz w:val="20"/>
        </w:rPr>
        <w:t>e</w:t>
      </w:r>
      <w:r>
        <w:rPr>
          <w:spacing w:val="-15"/>
          <w:sz w:val="20"/>
        </w:rPr>
        <w:t> </w:t>
      </w:r>
      <w:r>
        <w:rPr>
          <w:sz w:val="20"/>
        </w:rPr>
        <w:t>a</w:t>
      </w:r>
      <w:r>
        <w:rPr>
          <w:spacing w:val="-13"/>
          <w:sz w:val="20"/>
        </w:rPr>
        <w:t> </w:t>
      </w:r>
      <w:r>
        <w:rPr>
          <w:sz w:val="20"/>
        </w:rPr>
        <w:t>operação</w:t>
      </w:r>
      <w:r>
        <w:rPr>
          <w:spacing w:val="-13"/>
          <w:sz w:val="20"/>
        </w:rPr>
        <w:t> </w:t>
      </w:r>
      <w:r>
        <w:rPr>
          <w:sz w:val="20"/>
        </w:rPr>
        <w:t>das</w:t>
      </w:r>
      <w:r>
        <w:rPr>
          <w:spacing w:val="-13"/>
          <w:sz w:val="20"/>
        </w:rPr>
        <w:t> </w:t>
      </w:r>
      <w:r>
        <w:rPr>
          <w:sz w:val="20"/>
        </w:rPr>
        <w:t>redes</w:t>
      </w:r>
      <w:r>
        <w:rPr>
          <w:spacing w:val="-14"/>
          <w:sz w:val="20"/>
        </w:rPr>
        <w:t> </w:t>
      </w:r>
      <w:r>
        <w:rPr>
          <w:sz w:val="20"/>
        </w:rPr>
        <w:t>de</w:t>
      </w:r>
      <w:r>
        <w:rPr>
          <w:spacing w:val="-14"/>
          <w:sz w:val="20"/>
        </w:rPr>
        <w:t> </w:t>
      </w:r>
      <w:r>
        <w:rPr>
          <w:sz w:val="20"/>
        </w:rPr>
        <w:t>distribuição</w:t>
      </w:r>
      <w:r>
        <w:rPr>
          <w:spacing w:val="-14"/>
          <w:sz w:val="20"/>
        </w:rPr>
        <w:t> </w:t>
      </w:r>
      <w:r>
        <w:rPr>
          <w:sz w:val="20"/>
        </w:rPr>
        <w:t>de</w:t>
      </w:r>
      <w:r>
        <w:rPr>
          <w:spacing w:val="-12"/>
          <w:sz w:val="20"/>
        </w:rPr>
        <w:t> </w:t>
      </w:r>
      <w:r>
        <w:rPr>
          <w:sz w:val="20"/>
        </w:rPr>
        <w:t>gás</w:t>
      </w:r>
      <w:r>
        <w:rPr>
          <w:spacing w:val="-14"/>
          <w:sz w:val="20"/>
        </w:rPr>
        <w:t> </w:t>
      </w:r>
      <w:r>
        <w:rPr>
          <w:sz w:val="20"/>
        </w:rPr>
        <w:t>canalizado,</w:t>
      </w:r>
      <w:r>
        <w:rPr>
          <w:spacing w:val="-13"/>
          <w:sz w:val="20"/>
        </w:rPr>
        <w:t> </w:t>
      </w:r>
      <w:r>
        <w:rPr>
          <w:sz w:val="20"/>
        </w:rPr>
        <w:t>podendo</w:t>
      </w:r>
      <w:r>
        <w:rPr>
          <w:spacing w:val="-13"/>
          <w:sz w:val="20"/>
        </w:rPr>
        <w:t> </w:t>
      </w:r>
      <w:r>
        <w:rPr>
          <w:sz w:val="20"/>
        </w:rPr>
        <w:t>ainda</w:t>
      </w:r>
      <w:r>
        <w:rPr>
          <w:spacing w:val="-14"/>
          <w:sz w:val="20"/>
        </w:rPr>
        <w:t> </w:t>
      </w:r>
      <w:r>
        <w:rPr>
          <w:sz w:val="20"/>
        </w:rPr>
        <w:t>adquirir</w:t>
      </w:r>
      <w:r>
        <w:rPr>
          <w:spacing w:val="-12"/>
          <w:sz w:val="20"/>
        </w:rPr>
        <w:t> </w:t>
      </w:r>
      <w:r>
        <w:rPr>
          <w:sz w:val="20"/>
        </w:rPr>
        <w:t>e importar</w:t>
      </w:r>
      <w:r>
        <w:rPr>
          <w:spacing w:val="-21"/>
          <w:sz w:val="20"/>
        </w:rPr>
        <w:t> </w:t>
      </w:r>
      <w:r>
        <w:rPr>
          <w:sz w:val="20"/>
        </w:rPr>
        <w:t>diretamente</w:t>
      </w:r>
      <w:r>
        <w:rPr>
          <w:spacing w:val="-19"/>
          <w:sz w:val="20"/>
        </w:rPr>
        <w:t> </w:t>
      </w:r>
      <w:r>
        <w:rPr>
          <w:sz w:val="20"/>
        </w:rPr>
        <w:t>gás</w:t>
      </w:r>
      <w:r>
        <w:rPr>
          <w:spacing w:val="-20"/>
          <w:sz w:val="20"/>
        </w:rPr>
        <w:t> </w:t>
      </w:r>
      <w:r>
        <w:rPr>
          <w:sz w:val="20"/>
        </w:rPr>
        <w:t>natural</w:t>
      </w:r>
      <w:r>
        <w:rPr>
          <w:spacing w:val="-20"/>
          <w:sz w:val="20"/>
        </w:rPr>
        <w:t> </w:t>
      </w:r>
      <w:r>
        <w:rPr>
          <w:sz w:val="20"/>
        </w:rPr>
        <w:t>e</w:t>
      </w:r>
      <w:r>
        <w:rPr>
          <w:spacing w:val="-19"/>
          <w:sz w:val="20"/>
        </w:rPr>
        <w:t> </w:t>
      </w:r>
      <w:r>
        <w:rPr>
          <w:sz w:val="20"/>
        </w:rPr>
        <w:t>executar</w:t>
      </w:r>
      <w:r>
        <w:rPr>
          <w:spacing w:val="-19"/>
          <w:sz w:val="20"/>
        </w:rPr>
        <w:t> </w:t>
      </w:r>
      <w:r>
        <w:rPr>
          <w:sz w:val="20"/>
        </w:rPr>
        <w:t>os</w:t>
      </w:r>
      <w:r>
        <w:rPr>
          <w:spacing w:val="-20"/>
          <w:sz w:val="20"/>
        </w:rPr>
        <w:t> </w:t>
      </w:r>
      <w:r>
        <w:rPr>
          <w:sz w:val="20"/>
        </w:rPr>
        <w:t>serviços</w:t>
      </w:r>
      <w:r>
        <w:rPr>
          <w:spacing w:val="-18"/>
          <w:sz w:val="20"/>
        </w:rPr>
        <w:t> </w:t>
      </w:r>
      <w:r>
        <w:rPr>
          <w:sz w:val="20"/>
        </w:rPr>
        <w:t>de</w:t>
      </w:r>
      <w:r>
        <w:rPr>
          <w:spacing w:val="-22"/>
          <w:sz w:val="20"/>
        </w:rPr>
        <w:t> </w:t>
      </w:r>
      <w:r>
        <w:rPr>
          <w:sz w:val="20"/>
        </w:rPr>
        <w:t>transporte;</w:t>
      </w:r>
    </w:p>
    <w:p>
      <w:pPr>
        <w:pStyle w:val="ListParagraph"/>
        <w:numPr>
          <w:ilvl w:val="0"/>
          <w:numId w:val="14"/>
        </w:numPr>
        <w:tabs>
          <w:tab w:pos="760" w:val="left" w:leader="none"/>
        </w:tabs>
        <w:spacing w:line="276" w:lineRule="auto" w:before="0" w:after="0"/>
        <w:ind w:left="759" w:right="606" w:hanging="567"/>
        <w:jc w:val="both"/>
        <w:rPr>
          <w:rFonts w:ascii="Symbol" w:hAnsi="Symbol"/>
          <w:sz w:val="20"/>
        </w:rPr>
      </w:pPr>
      <w:r>
        <w:rPr>
          <w:sz w:val="20"/>
        </w:rPr>
        <w:t>Exercer</w:t>
      </w:r>
      <w:r>
        <w:rPr>
          <w:spacing w:val="-11"/>
          <w:sz w:val="20"/>
        </w:rPr>
        <w:t> </w:t>
      </w:r>
      <w:r>
        <w:rPr>
          <w:sz w:val="20"/>
        </w:rPr>
        <w:t>atividades</w:t>
      </w:r>
      <w:r>
        <w:rPr>
          <w:spacing w:val="-11"/>
          <w:sz w:val="20"/>
        </w:rPr>
        <w:t> </w:t>
      </w:r>
      <w:r>
        <w:rPr>
          <w:sz w:val="20"/>
        </w:rPr>
        <w:t>correlatas</w:t>
      </w:r>
      <w:r>
        <w:rPr>
          <w:spacing w:val="-10"/>
          <w:sz w:val="20"/>
        </w:rPr>
        <w:t> </w:t>
      </w:r>
      <w:r>
        <w:rPr>
          <w:sz w:val="20"/>
        </w:rPr>
        <w:t>à</w:t>
      </w:r>
      <w:r>
        <w:rPr>
          <w:spacing w:val="-10"/>
          <w:sz w:val="20"/>
        </w:rPr>
        <w:t> </w:t>
      </w:r>
      <w:r>
        <w:rPr>
          <w:sz w:val="20"/>
        </w:rPr>
        <w:t>sua</w:t>
      </w:r>
      <w:r>
        <w:rPr>
          <w:spacing w:val="-10"/>
          <w:sz w:val="20"/>
        </w:rPr>
        <w:t> </w:t>
      </w:r>
      <w:r>
        <w:rPr>
          <w:sz w:val="20"/>
        </w:rPr>
        <w:t>finalidade</w:t>
      </w:r>
      <w:r>
        <w:rPr>
          <w:spacing w:val="-11"/>
          <w:sz w:val="20"/>
        </w:rPr>
        <w:t> </w:t>
      </w:r>
      <w:r>
        <w:rPr>
          <w:sz w:val="20"/>
        </w:rPr>
        <w:t>principal,</w:t>
      </w:r>
      <w:r>
        <w:rPr>
          <w:spacing w:val="-11"/>
          <w:sz w:val="20"/>
        </w:rPr>
        <w:t> </w:t>
      </w:r>
      <w:r>
        <w:rPr>
          <w:sz w:val="20"/>
        </w:rPr>
        <w:t>especialmente</w:t>
      </w:r>
      <w:r>
        <w:rPr>
          <w:spacing w:val="-12"/>
          <w:sz w:val="20"/>
        </w:rPr>
        <w:t> </w:t>
      </w:r>
      <w:r>
        <w:rPr>
          <w:sz w:val="20"/>
        </w:rPr>
        <w:t>execução</w:t>
      </w:r>
      <w:r>
        <w:rPr>
          <w:spacing w:val="-9"/>
          <w:sz w:val="20"/>
        </w:rPr>
        <w:t> </w:t>
      </w:r>
      <w:r>
        <w:rPr>
          <w:sz w:val="20"/>
        </w:rPr>
        <w:t>de</w:t>
      </w:r>
      <w:r>
        <w:rPr>
          <w:spacing w:val="-9"/>
          <w:sz w:val="20"/>
        </w:rPr>
        <w:t> </w:t>
      </w:r>
      <w:r>
        <w:rPr>
          <w:sz w:val="20"/>
        </w:rPr>
        <w:t>estudos,</w:t>
      </w:r>
      <w:r>
        <w:rPr>
          <w:spacing w:val="-10"/>
          <w:sz w:val="20"/>
        </w:rPr>
        <w:t> </w:t>
      </w:r>
      <w:r>
        <w:rPr>
          <w:sz w:val="20"/>
        </w:rPr>
        <w:t>pesquisas</w:t>
      </w:r>
      <w:r>
        <w:rPr>
          <w:spacing w:val="-3"/>
          <w:sz w:val="20"/>
        </w:rPr>
        <w:t> </w:t>
      </w:r>
      <w:r>
        <w:rPr>
          <w:sz w:val="20"/>
        </w:rPr>
        <w:t>e projetos</w:t>
      </w:r>
      <w:r>
        <w:rPr>
          <w:spacing w:val="-45"/>
          <w:sz w:val="20"/>
        </w:rPr>
        <w:t> </w:t>
      </w:r>
      <w:r>
        <w:rPr>
          <w:sz w:val="20"/>
        </w:rPr>
        <w:t>relacionados</w:t>
      </w:r>
      <w:r>
        <w:rPr>
          <w:spacing w:val="-45"/>
          <w:sz w:val="20"/>
        </w:rPr>
        <w:t> </w:t>
      </w:r>
      <w:r>
        <w:rPr>
          <w:sz w:val="20"/>
        </w:rPr>
        <w:t>com</w:t>
      </w:r>
      <w:r>
        <w:rPr>
          <w:spacing w:val="-45"/>
          <w:sz w:val="20"/>
        </w:rPr>
        <w:t> </w:t>
      </w:r>
      <w:r>
        <w:rPr>
          <w:sz w:val="20"/>
        </w:rPr>
        <w:t>o</w:t>
      </w:r>
      <w:r>
        <w:rPr>
          <w:spacing w:val="-43"/>
          <w:sz w:val="20"/>
        </w:rPr>
        <w:t> </w:t>
      </w:r>
      <w:r>
        <w:rPr>
          <w:sz w:val="20"/>
        </w:rPr>
        <w:t>setor</w:t>
      </w:r>
      <w:r>
        <w:rPr>
          <w:spacing w:val="-45"/>
          <w:sz w:val="20"/>
        </w:rPr>
        <w:t> </w:t>
      </w:r>
      <w:r>
        <w:rPr>
          <w:sz w:val="20"/>
        </w:rPr>
        <w:t>de</w:t>
      </w:r>
      <w:r>
        <w:rPr>
          <w:spacing w:val="-44"/>
          <w:sz w:val="20"/>
        </w:rPr>
        <w:t> </w:t>
      </w:r>
      <w:r>
        <w:rPr>
          <w:sz w:val="20"/>
        </w:rPr>
        <w:t>gás,</w:t>
      </w:r>
      <w:r>
        <w:rPr>
          <w:spacing w:val="-45"/>
          <w:sz w:val="20"/>
        </w:rPr>
        <w:t> </w:t>
      </w:r>
      <w:r>
        <w:rPr>
          <w:sz w:val="20"/>
        </w:rPr>
        <w:t>inclusive,</w:t>
      </w:r>
      <w:r>
        <w:rPr>
          <w:spacing w:val="-45"/>
          <w:sz w:val="20"/>
        </w:rPr>
        <w:t> </w:t>
      </w:r>
      <w:r>
        <w:rPr>
          <w:sz w:val="20"/>
        </w:rPr>
        <w:t>sob</w:t>
      </w:r>
      <w:r>
        <w:rPr>
          <w:spacing w:val="-45"/>
          <w:sz w:val="20"/>
        </w:rPr>
        <w:t> </w:t>
      </w:r>
      <w:r>
        <w:rPr>
          <w:sz w:val="20"/>
        </w:rPr>
        <w:t>a</w:t>
      </w:r>
      <w:r>
        <w:rPr>
          <w:spacing w:val="-43"/>
          <w:sz w:val="20"/>
        </w:rPr>
        <w:t> </w:t>
      </w:r>
      <w:r>
        <w:rPr>
          <w:sz w:val="20"/>
        </w:rPr>
        <w:t>forma</w:t>
      </w:r>
      <w:r>
        <w:rPr>
          <w:spacing w:val="-45"/>
          <w:sz w:val="20"/>
        </w:rPr>
        <w:t> </w:t>
      </w:r>
      <w:r>
        <w:rPr>
          <w:sz w:val="20"/>
        </w:rPr>
        <w:t>de</w:t>
      </w:r>
      <w:r>
        <w:rPr>
          <w:spacing w:val="-45"/>
          <w:sz w:val="20"/>
        </w:rPr>
        <w:t> </w:t>
      </w:r>
      <w:r>
        <w:rPr>
          <w:sz w:val="20"/>
        </w:rPr>
        <w:t>prestação</w:t>
      </w:r>
      <w:r>
        <w:rPr>
          <w:spacing w:val="-45"/>
          <w:sz w:val="20"/>
        </w:rPr>
        <w:t> </w:t>
      </w:r>
      <w:r>
        <w:rPr>
          <w:sz w:val="20"/>
        </w:rPr>
        <w:t>de</w:t>
      </w:r>
      <w:r>
        <w:rPr>
          <w:spacing w:val="-44"/>
          <w:sz w:val="20"/>
        </w:rPr>
        <w:t> </w:t>
      </w:r>
      <w:r>
        <w:rPr>
          <w:sz w:val="20"/>
        </w:rPr>
        <w:t>serviços</w:t>
      </w:r>
      <w:r>
        <w:rPr>
          <w:spacing w:val="-45"/>
          <w:sz w:val="20"/>
        </w:rPr>
        <w:t> </w:t>
      </w:r>
      <w:r>
        <w:rPr>
          <w:sz w:val="20"/>
        </w:rPr>
        <w:t>de</w:t>
      </w:r>
      <w:r>
        <w:rPr>
          <w:spacing w:val="-46"/>
          <w:sz w:val="20"/>
        </w:rPr>
        <w:t> </w:t>
      </w:r>
      <w:r>
        <w:rPr>
          <w:sz w:val="20"/>
        </w:rPr>
        <w:t>consultoria</w:t>
      </w:r>
      <w:r>
        <w:rPr>
          <w:spacing w:val="-44"/>
          <w:sz w:val="20"/>
        </w:rPr>
        <w:t> </w:t>
      </w:r>
      <w:r>
        <w:rPr>
          <w:sz w:val="20"/>
        </w:rPr>
        <w:t>técnica a terceiros;</w:t>
      </w:r>
      <w:r>
        <w:rPr>
          <w:spacing w:val="-35"/>
          <w:sz w:val="20"/>
        </w:rPr>
        <w:t> </w:t>
      </w:r>
      <w:r>
        <w:rPr>
          <w:sz w:val="20"/>
        </w:rPr>
        <w:t>e</w:t>
      </w:r>
    </w:p>
    <w:p>
      <w:pPr>
        <w:pStyle w:val="ListParagraph"/>
        <w:numPr>
          <w:ilvl w:val="0"/>
          <w:numId w:val="14"/>
        </w:numPr>
        <w:tabs>
          <w:tab w:pos="760" w:val="left" w:leader="none"/>
        </w:tabs>
        <w:spacing w:line="276" w:lineRule="auto" w:before="5" w:after="0"/>
        <w:ind w:left="759" w:right="616" w:hanging="567"/>
        <w:jc w:val="both"/>
        <w:rPr>
          <w:rFonts w:ascii="Symbol" w:hAnsi="Symbol"/>
          <w:sz w:val="20"/>
        </w:rPr>
      </w:pPr>
      <w:r>
        <w:rPr>
          <w:sz w:val="20"/>
        </w:rPr>
        <w:t>Constituir</w:t>
      </w:r>
      <w:r>
        <w:rPr>
          <w:spacing w:val="-41"/>
          <w:sz w:val="20"/>
        </w:rPr>
        <w:t> </w:t>
      </w:r>
      <w:r>
        <w:rPr>
          <w:sz w:val="20"/>
        </w:rPr>
        <w:t>ou</w:t>
      </w:r>
      <w:r>
        <w:rPr>
          <w:spacing w:val="-40"/>
          <w:sz w:val="20"/>
        </w:rPr>
        <w:t> </w:t>
      </w:r>
      <w:r>
        <w:rPr>
          <w:sz w:val="20"/>
        </w:rPr>
        <w:t>participar</w:t>
      </w:r>
      <w:r>
        <w:rPr>
          <w:spacing w:val="-40"/>
          <w:sz w:val="20"/>
        </w:rPr>
        <w:t> </w:t>
      </w:r>
      <w:r>
        <w:rPr>
          <w:sz w:val="20"/>
        </w:rPr>
        <w:t>de</w:t>
      </w:r>
      <w:r>
        <w:rPr>
          <w:spacing w:val="-40"/>
          <w:sz w:val="20"/>
        </w:rPr>
        <w:t> </w:t>
      </w:r>
      <w:r>
        <w:rPr>
          <w:sz w:val="20"/>
        </w:rPr>
        <w:t>outras</w:t>
      </w:r>
      <w:r>
        <w:rPr>
          <w:spacing w:val="-40"/>
          <w:sz w:val="20"/>
        </w:rPr>
        <w:t> </w:t>
      </w:r>
      <w:r>
        <w:rPr>
          <w:sz w:val="20"/>
        </w:rPr>
        <w:t>sociedades,</w:t>
      </w:r>
      <w:r>
        <w:rPr>
          <w:spacing w:val="-39"/>
          <w:sz w:val="20"/>
        </w:rPr>
        <w:t> </w:t>
      </w:r>
      <w:r>
        <w:rPr>
          <w:sz w:val="20"/>
        </w:rPr>
        <w:t>inclusive</w:t>
      </w:r>
      <w:r>
        <w:rPr>
          <w:spacing w:val="-40"/>
          <w:sz w:val="20"/>
        </w:rPr>
        <w:t> </w:t>
      </w:r>
      <w:r>
        <w:rPr>
          <w:sz w:val="20"/>
        </w:rPr>
        <w:t>subsidiárias</w:t>
      </w:r>
      <w:r>
        <w:rPr>
          <w:spacing w:val="-40"/>
          <w:sz w:val="20"/>
        </w:rPr>
        <w:t> </w:t>
      </w:r>
      <w:r>
        <w:rPr>
          <w:sz w:val="20"/>
        </w:rPr>
        <w:t>integrais,</w:t>
      </w:r>
      <w:r>
        <w:rPr>
          <w:spacing w:val="-40"/>
          <w:sz w:val="20"/>
        </w:rPr>
        <w:t> </w:t>
      </w:r>
      <w:r>
        <w:rPr>
          <w:sz w:val="20"/>
        </w:rPr>
        <w:t>visando</w:t>
      </w:r>
      <w:r>
        <w:rPr>
          <w:spacing w:val="-41"/>
          <w:sz w:val="20"/>
        </w:rPr>
        <w:t> </w:t>
      </w:r>
      <w:r>
        <w:rPr>
          <w:sz w:val="20"/>
        </w:rPr>
        <w:t>o</w:t>
      </w:r>
      <w:r>
        <w:rPr>
          <w:spacing w:val="-39"/>
          <w:sz w:val="20"/>
        </w:rPr>
        <w:t> </w:t>
      </w:r>
      <w:r>
        <w:rPr>
          <w:sz w:val="20"/>
        </w:rPr>
        <w:t>êxito</w:t>
      </w:r>
      <w:r>
        <w:rPr>
          <w:spacing w:val="-40"/>
          <w:sz w:val="20"/>
        </w:rPr>
        <w:t> </w:t>
      </w:r>
      <w:r>
        <w:rPr>
          <w:sz w:val="20"/>
        </w:rPr>
        <w:t>na</w:t>
      </w:r>
      <w:r>
        <w:rPr>
          <w:spacing w:val="-39"/>
          <w:sz w:val="20"/>
        </w:rPr>
        <w:t> </w:t>
      </w:r>
      <w:r>
        <w:rPr>
          <w:sz w:val="20"/>
        </w:rPr>
        <w:t>realização</w:t>
      </w:r>
      <w:r>
        <w:rPr>
          <w:spacing w:val="-41"/>
          <w:sz w:val="20"/>
        </w:rPr>
        <w:t> </w:t>
      </w:r>
      <w:r>
        <w:rPr>
          <w:sz w:val="20"/>
        </w:rPr>
        <w:t>de suas</w:t>
      </w:r>
      <w:r>
        <w:rPr>
          <w:spacing w:val="-18"/>
          <w:sz w:val="20"/>
        </w:rPr>
        <w:t> </w:t>
      </w:r>
      <w:r>
        <w:rPr>
          <w:sz w:val="20"/>
        </w:rPr>
        <w:t>atividades.</w:t>
      </w:r>
    </w:p>
    <w:p>
      <w:pPr>
        <w:pStyle w:val="BodyText"/>
        <w:rPr>
          <w:sz w:val="21"/>
        </w:rPr>
      </w:pPr>
    </w:p>
    <w:p>
      <w:pPr>
        <w:pStyle w:val="BodyText"/>
        <w:ind w:left="192"/>
      </w:pPr>
      <w:r>
        <w:rPr/>
        <w:t>A</w:t>
      </w:r>
      <w:r>
        <w:rPr>
          <w:spacing w:val="-31"/>
        </w:rPr>
        <w:t> </w:t>
      </w:r>
      <w:r>
        <w:rPr/>
        <w:t>concessão</w:t>
      </w:r>
      <w:r>
        <w:rPr>
          <w:spacing w:val="-28"/>
        </w:rPr>
        <w:t> </w:t>
      </w:r>
      <w:r>
        <w:rPr/>
        <w:t>da</w:t>
      </w:r>
      <w:r>
        <w:rPr>
          <w:spacing w:val="-28"/>
        </w:rPr>
        <w:t> </w:t>
      </w:r>
      <w:r>
        <w:rPr/>
        <w:t>exploração</w:t>
      </w:r>
      <w:r>
        <w:rPr>
          <w:spacing w:val="-31"/>
        </w:rPr>
        <w:t> </w:t>
      </w:r>
      <w:r>
        <w:rPr/>
        <w:t>tem</w:t>
      </w:r>
      <w:r>
        <w:rPr>
          <w:spacing w:val="-28"/>
        </w:rPr>
        <w:t> </w:t>
      </w:r>
      <w:r>
        <w:rPr/>
        <w:t>prazo</w:t>
      </w:r>
      <w:r>
        <w:rPr>
          <w:spacing w:val="-29"/>
        </w:rPr>
        <w:t> </w:t>
      </w:r>
      <w:r>
        <w:rPr/>
        <w:t>de</w:t>
      </w:r>
      <w:r>
        <w:rPr>
          <w:spacing w:val="-31"/>
        </w:rPr>
        <w:t> </w:t>
      </w:r>
      <w:r>
        <w:rPr/>
        <w:t>vigência</w:t>
      </w:r>
      <w:r>
        <w:rPr>
          <w:spacing w:val="-29"/>
        </w:rPr>
        <w:t> </w:t>
      </w:r>
      <w:r>
        <w:rPr/>
        <w:t>até</w:t>
      </w:r>
      <w:r>
        <w:rPr>
          <w:spacing w:val="-31"/>
        </w:rPr>
        <w:t> </w:t>
      </w:r>
      <w:r>
        <w:rPr/>
        <w:t>9</w:t>
      </w:r>
      <w:r>
        <w:rPr>
          <w:spacing w:val="-28"/>
        </w:rPr>
        <w:t> </w:t>
      </w:r>
      <w:r>
        <w:rPr/>
        <w:t>de</w:t>
      </w:r>
      <w:r>
        <w:rPr>
          <w:spacing w:val="-31"/>
        </w:rPr>
        <w:t> </w:t>
      </w:r>
      <w:r>
        <w:rPr/>
        <w:t>janeiro</w:t>
      </w:r>
      <w:r>
        <w:rPr>
          <w:spacing w:val="-29"/>
        </w:rPr>
        <w:t> </w:t>
      </w:r>
      <w:r>
        <w:rPr/>
        <w:t>de</w:t>
      </w:r>
      <w:r>
        <w:rPr>
          <w:spacing w:val="-31"/>
        </w:rPr>
        <w:t> </w:t>
      </w:r>
      <w:r>
        <w:rPr/>
        <w:t>2030,</w:t>
      </w:r>
      <w:r>
        <w:rPr>
          <w:spacing w:val="-29"/>
        </w:rPr>
        <w:t> </w:t>
      </w:r>
      <w:r>
        <w:rPr/>
        <w:t>podendo</w:t>
      </w:r>
      <w:r>
        <w:rPr>
          <w:spacing w:val="-31"/>
        </w:rPr>
        <w:t> </w:t>
      </w:r>
      <w:r>
        <w:rPr/>
        <w:t>ser</w:t>
      </w:r>
      <w:r>
        <w:rPr>
          <w:spacing w:val="-29"/>
        </w:rPr>
        <w:t> </w:t>
      </w:r>
      <w:r>
        <w:rPr/>
        <w:t>prorrogado</w:t>
      </w:r>
      <w:r>
        <w:rPr>
          <w:spacing w:val="-29"/>
        </w:rPr>
        <w:t> </w:t>
      </w:r>
      <w:r>
        <w:rPr/>
        <w:t>por</w:t>
      </w:r>
      <w:r>
        <w:rPr>
          <w:spacing w:val="-29"/>
        </w:rPr>
        <w:t> </w:t>
      </w:r>
      <w:r>
        <w:rPr/>
        <w:t>mais</w:t>
      </w:r>
      <w:r>
        <w:rPr>
          <w:spacing w:val="-31"/>
        </w:rPr>
        <w:t> </w:t>
      </w:r>
      <w:r>
        <w:rPr/>
        <w:t>30</w:t>
      </w:r>
      <w:r>
        <w:rPr>
          <w:spacing w:val="-28"/>
        </w:rPr>
        <w:t> </w:t>
      </w:r>
      <w:r>
        <w:rPr/>
        <w:t>anos.</w:t>
      </w:r>
    </w:p>
    <w:p>
      <w:pPr>
        <w:pStyle w:val="BodyText"/>
        <w:spacing w:before="8"/>
      </w:pPr>
    </w:p>
    <w:p>
      <w:pPr>
        <w:pStyle w:val="BodyText"/>
        <w:spacing w:line="242" w:lineRule="auto" w:before="1"/>
        <w:ind w:left="192" w:right="605"/>
        <w:jc w:val="both"/>
      </w:pPr>
      <w:r>
        <w:rPr/>
        <w:t>Para</w:t>
      </w:r>
      <w:r>
        <w:rPr>
          <w:spacing w:val="-40"/>
        </w:rPr>
        <w:t> </w:t>
      </w:r>
      <w:r>
        <w:rPr/>
        <w:t>que</w:t>
      </w:r>
      <w:r>
        <w:rPr>
          <w:spacing w:val="-40"/>
        </w:rPr>
        <w:t> </w:t>
      </w:r>
      <w:r>
        <w:rPr/>
        <w:t>sua</w:t>
      </w:r>
      <w:r>
        <w:rPr>
          <w:spacing w:val="-38"/>
        </w:rPr>
        <w:t> </w:t>
      </w:r>
      <w:r>
        <w:rPr/>
        <w:t>operação</w:t>
      </w:r>
      <w:r>
        <w:rPr>
          <w:spacing w:val="-39"/>
        </w:rPr>
        <w:t> </w:t>
      </w:r>
      <w:r>
        <w:rPr/>
        <w:t>seja</w:t>
      </w:r>
      <w:r>
        <w:rPr>
          <w:spacing w:val="-40"/>
        </w:rPr>
        <w:t> </w:t>
      </w:r>
      <w:r>
        <w:rPr/>
        <w:t>similar</w:t>
      </w:r>
      <w:r>
        <w:rPr>
          <w:spacing w:val="-40"/>
        </w:rPr>
        <w:t> </w:t>
      </w:r>
      <w:r>
        <w:rPr/>
        <w:t>à</w:t>
      </w:r>
      <w:r>
        <w:rPr>
          <w:spacing w:val="-39"/>
        </w:rPr>
        <w:t> </w:t>
      </w:r>
      <w:r>
        <w:rPr/>
        <w:t>de</w:t>
      </w:r>
      <w:r>
        <w:rPr>
          <w:spacing w:val="-39"/>
        </w:rPr>
        <w:t> </w:t>
      </w:r>
      <w:r>
        <w:rPr/>
        <w:t>outras</w:t>
      </w:r>
      <w:r>
        <w:rPr>
          <w:spacing w:val="-38"/>
        </w:rPr>
        <w:t> </w:t>
      </w:r>
      <w:r>
        <w:rPr/>
        <w:t>empresas</w:t>
      </w:r>
      <w:r>
        <w:rPr>
          <w:spacing w:val="-38"/>
        </w:rPr>
        <w:t> </w:t>
      </w:r>
      <w:r>
        <w:rPr/>
        <w:t>Distribuidoras</w:t>
      </w:r>
      <w:r>
        <w:rPr>
          <w:spacing w:val="-40"/>
        </w:rPr>
        <w:t> </w:t>
      </w:r>
      <w:r>
        <w:rPr/>
        <w:t>de</w:t>
      </w:r>
      <w:r>
        <w:rPr>
          <w:spacing w:val="-40"/>
        </w:rPr>
        <w:t> </w:t>
      </w:r>
      <w:r>
        <w:rPr/>
        <w:t>Gás</w:t>
      </w:r>
      <w:r>
        <w:rPr>
          <w:spacing w:val="-40"/>
        </w:rPr>
        <w:t> </w:t>
      </w:r>
      <w:r>
        <w:rPr/>
        <w:t>Canalizado</w:t>
      </w:r>
      <w:r>
        <w:rPr>
          <w:spacing w:val="-40"/>
        </w:rPr>
        <w:t> </w:t>
      </w:r>
      <w:r>
        <w:rPr/>
        <w:t>no</w:t>
      </w:r>
      <w:r>
        <w:rPr>
          <w:spacing w:val="-38"/>
        </w:rPr>
        <w:t> </w:t>
      </w:r>
      <w:r>
        <w:rPr/>
        <w:t>Brasil,</w:t>
      </w:r>
      <w:r>
        <w:rPr>
          <w:spacing w:val="-40"/>
        </w:rPr>
        <w:t> </w:t>
      </w:r>
      <w:r>
        <w:rPr/>
        <w:t>faz-se</w:t>
      </w:r>
      <w:r>
        <w:rPr>
          <w:spacing w:val="-39"/>
        </w:rPr>
        <w:t> </w:t>
      </w:r>
      <w:r>
        <w:rPr/>
        <w:t>necessária a viabilização de um suprimento adequado às necessidades do Distrito Federal, por meio de um gasoduto de transporte</w:t>
      </w:r>
      <w:r>
        <w:rPr>
          <w:spacing w:val="-20"/>
        </w:rPr>
        <w:t> </w:t>
      </w:r>
      <w:r>
        <w:rPr/>
        <w:t>de</w:t>
      </w:r>
      <w:r>
        <w:rPr>
          <w:spacing w:val="-20"/>
        </w:rPr>
        <w:t> </w:t>
      </w:r>
      <w:r>
        <w:rPr/>
        <w:t>gás</w:t>
      </w:r>
      <w:r>
        <w:rPr>
          <w:spacing w:val="-15"/>
        </w:rPr>
        <w:t> </w:t>
      </w:r>
      <w:r>
        <w:rPr/>
        <w:t>natural.</w:t>
      </w:r>
    </w:p>
    <w:p>
      <w:pPr>
        <w:pStyle w:val="BodyText"/>
        <w:spacing w:before="7"/>
      </w:pPr>
    </w:p>
    <w:p>
      <w:pPr>
        <w:pStyle w:val="BodyText"/>
        <w:ind w:left="192"/>
        <w:rPr>
          <w:rFonts w:ascii="Caladea" w:hAnsi="Caladea"/>
          <w:b/>
        </w:rPr>
      </w:pPr>
      <w:r>
        <w:rPr/>
        <w:t>A Companhia Energética de Brasília </w:t>
      </w:r>
      <w:r>
        <w:rPr>
          <w:w w:val="110"/>
        </w:rPr>
        <w:t>– </w:t>
      </w:r>
      <w:r>
        <w:rPr/>
        <w:t>CEB é controladora da Companhia Brasiliense de Gás com </w:t>
      </w:r>
      <w:r>
        <w:rPr>
          <w:w w:val="110"/>
        </w:rPr>
        <w:t>51% </w:t>
      </w:r>
      <w:r>
        <w:rPr/>
        <w:t>das ações ordinárias e </w:t>
      </w:r>
      <w:r>
        <w:rPr>
          <w:w w:val="110"/>
        </w:rPr>
        <w:t>17% </w:t>
      </w:r>
      <w:r>
        <w:rPr/>
        <w:t>do total das ações</w:t>
      </w:r>
      <w:r>
        <w:rPr>
          <w:rFonts w:ascii="Caladea" w:hAnsi="Caladea"/>
          <w:b/>
        </w:rPr>
        <w:t>.</w:t>
      </w:r>
    </w:p>
    <w:p>
      <w:pPr>
        <w:spacing w:after="0"/>
        <w:rPr>
          <w:rFonts w:ascii="Caladea" w:hAnsi="Caladea"/>
        </w:rPr>
        <w:sectPr>
          <w:pgSz w:w="11910" w:h="16850"/>
          <w:pgMar w:header="792" w:footer="1193" w:top="1360" w:bottom="1460" w:left="940" w:right="240"/>
        </w:sectPr>
      </w:pPr>
    </w:p>
    <w:p>
      <w:pPr>
        <w:pStyle w:val="Heading5"/>
        <w:numPr>
          <w:ilvl w:val="2"/>
          <w:numId w:val="10"/>
        </w:numPr>
        <w:tabs>
          <w:tab w:pos="1045" w:val="left" w:leader="none"/>
          <w:tab w:pos="1046" w:val="left" w:leader="none"/>
        </w:tabs>
        <w:spacing w:line="240" w:lineRule="auto" w:before="48" w:after="0"/>
        <w:ind w:left="1045" w:right="0" w:hanging="854"/>
        <w:jc w:val="left"/>
      </w:pPr>
      <w:r>
        <w:rPr/>
        <w:t>Coligadas</w:t>
      </w:r>
    </w:p>
    <w:p>
      <w:pPr>
        <w:pStyle w:val="BodyText"/>
        <w:spacing w:before="10"/>
        <w:rPr>
          <w:rFonts w:ascii="Caladea"/>
          <w:b/>
          <w:sz w:val="23"/>
        </w:rPr>
      </w:pPr>
    </w:p>
    <w:p>
      <w:pPr>
        <w:pStyle w:val="ListParagraph"/>
        <w:numPr>
          <w:ilvl w:val="3"/>
          <w:numId w:val="10"/>
        </w:numPr>
        <w:tabs>
          <w:tab w:pos="1325" w:val="left" w:leader="none"/>
          <w:tab w:pos="1326" w:val="left" w:leader="none"/>
        </w:tabs>
        <w:spacing w:line="240" w:lineRule="auto" w:before="0" w:after="0"/>
        <w:ind w:left="1326" w:right="0" w:hanging="1134"/>
        <w:jc w:val="left"/>
        <w:rPr>
          <w:rFonts w:ascii="Caladea" w:hAnsi="Caladea"/>
          <w:b/>
          <w:sz w:val="22"/>
        </w:rPr>
      </w:pPr>
      <w:r>
        <w:rPr>
          <w:rFonts w:ascii="Caladea" w:hAnsi="Caladea"/>
          <w:b/>
          <w:sz w:val="22"/>
        </w:rPr>
        <w:t>Energética Corumbá III</w:t>
      </w:r>
      <w:r>
        <w:rPr>
          <w:rFonts w:ascii="Caladea" w:hAnsi="Caladea"/>
          <w:b/>
          <w:spacing w:val="-5"/>
          <w:sz w:val="22"/>
        </w:rPr>
        <w:t> </w:t>
      </w:r>
      <w:r>
        <w:rPr>
          <w:rFonts w:ascii="Caladea" w:hAnsi="Caladea"/>
          <w:b/>
          <w:sz w:val="22"/>
        </w:rPr>
        <w:t>S.A.</w:t>
      </w:r>
    </w:p>
    <w:p>
      <w:pPr>
        <w:pStyle w:val="BodyText"/>
        <w:spacing w:before="10"/>
        <w:rPr>
          <w:rFonts w:ascii="Caladea"/>
          <w:b/>
          <w:sz w:val="23"/>
        </w:rPr>
      </w:pPr>
    </w:p>
    <w:p>
      <w:pPr>
        <w:pStyle w:val="BodyText"/>
        <w:spacing w:line="242" w:lineRule="auto"/>
        <w:ind w:left="192" w:right="607"/>
        <w:jc w:val="both"/>
      </w:pPr>
      <w:r>
        <w:rPr/>
        <w:t>A</w:t>
      </w:r>
      <w:r>
        <w:rPr>
          <w:spacing w:val="-18"/>
        </w:rPr>
        <w:t> </w:t>
      </w:r>
      <w:r>
        <w:rPr/>
        <w:t>Energética</w:t>
      </w:r>
      <w:r>
        <w:rPr>
          <w:spacing w:val="-17"/>
        </w:rPr>
        <w:t> </w:t>
      </w:r>
      <w:r>
        <w:rPr/>
        <w:t>Corumbá</w:t>
      </w:r>
      <w:r>
        <w:rPr>
          <w:spacing w:val="-16"/>
        </w:rPr>
        <w:t> </w:t>
      </w:r>
      <w:r>
        <w:rPr/>
        <w:t>III</w:t>
      </w:r>
      <w:r>
        <w:rPr>
          <w:spacing w:val="-18"/>
        </w:rPr>
        <w:t> </w:t>
      </w:r>
      <w:r>
        <w:rPr/>
        <w:t>S.A.</w:t>
      </w:r>
      <w:r>
        <w:rPr>
          <w:spacing w:val="-17"/>
        </w:rPr>
        <w:t> </w:t>
      </w:r>
      <w:r>
        <w:rPr/>
        <w:t>é</w:t>
      </w:r>
      <w:r>
        <w:rPr>
          <w:spacing w:val="-18"/>
        </w:rPr>
        <w:t> </w:t>
      </w:r>
      <w:r>
        <w:rPr/>
        <w:t>uma</w:t>
      </w:r>
      <w:r>
        <w:rPr>
          <w:spacing w:val="-17"/>
        </w:rPr>
        <w:t> </w:t>
      </w:r>
      <w:r>
        <w:rPr/>
        <w:t>sociedade</w:t>
      </w:r>
      <w:r>
        <w:rPr>
          <w:spacing w:val="-18"/>
        </w:rPr>
        <w:t> </w:t>
      </w:r>
      <w:r>
        <w:rPr/>
        <w:t>por</w:t>
      </w:r>
      <w:r>
        <w:rPr>
          <w:spacing w:val="-18"/>
        </w:rPr>
        <w:t> </w:t>
      </w:r>
      <w:r>
        <w:rPr/>
        <w:t>ações</w:t>
      </w:r>
      <w:r>
        <w:rPr>
          <w:spacing w:val="-18"/>
        </w:rPr>
        <w:t> </w:t>
      </w:r>
      <w:r>
        <w:rPr/>
        <w:t>de</w:t>
      </w:r>
      <w:r>
        <w:rPr>
          <w:spacing w:val="-18"/>
        </w:rPr>
        <w:t> </w:t>
      </w:r>
      <w:r>
        <w:rPr/>
        <w:t>capital</w:t>
      </w:r>
      <w:r>
        <w:rPr>
          <w:spacing w:val="-17"/>
        </w:rPr>
        <w:t> </w:t>
      </w:r>
      <w:r>
        <w:rPr/>
        <w:t>fechado,</w:t>
      </w:r>
      <w:r>
        <w:rPr>
          <w:spacing w:val="-17"/>
        </w:rPr>
        <w:t> </w:t>
      </w:r>
      <w:r>
        <w:rPr/>
        <w:t>constituída</w:t>
      </w:r>
      <w:r>
        <w:rPr>
          <w:spacing w:val="-17"/>
        </w:rPr>
        <w:t> </w:t>
      </w:r>
      <w:r>
        <w:rPr/>
        <w:t>em</w:t>
      </w:r>
      <w:r>
        <w:rPr>
          <w:spacing w:val="-17"/>
        </w:rPr>
        <w:t> </w:t>
      </w:r>
      <w:r>
        <w:rPr/>
        <w:t>25</w:t>
      </w:r>
      <w:r>
        <w:rPr>
          <w:spacing w:val="-18"/>
        </w:rPr>
        <w:t> </w:t>
      </w:r>
      <w:r>
        <w:rPr/>
        <w:t>de</w:t>
      </w:r>
      <w:r>
        <w:rPr>
          <w:spacing w:val="-16"/>
        </w:rPr>
        <w:t> </w:t>
      </w:r>
      <w:r>
        <w:rPr/>
        <w:t>julho</w:t>
      </w:r>
      <w:r>
        <w:rPr>
          <w:spacing w:val="-18"/>
        </w:rPr>
        <w:t> </w:t>
      </w:r>
      <w:r>
        <w:rPr/>
        <w:t>de</w:t>
      </w:r>
      <w:r>
        <w:rPr>
          <w:spacing w:val="-18"/>
        </w:rPr>
        <w:t> </w:t>
      </w:r>
      <w:r>
        <w:rPr/>
        <w:t>2001, concessionária</w:t>
      </w:r>
      <w:r>
        <w:rPr>
          <w:spacing w:val="-21"/>
        </w:rPr>
        <w:t> </w:t>
      </w:r>
      <w:r>
        <w:rPr/>
        <w:t>do</w:t>
      </w:r>
      <w:r>
        <w:rPr>
          <w:spacing w:val="-21"/>
        </w:rPr>
        <w:t> </w:t>
      </w:r>
      <w:r>
        <w:rPr/>
        <w:t>serviço</w:t>
      </w:r>
      <w:r>
        <w:rPr>
          <w:spacing w:val="-20"/>
        </w:rPr>
        <w:t> </w:t>
      </w:r>
      <w:r>
        <w:rPr/>
        <w:t>público</w:t>
      </w:r>
      <w:r>
        <w:rPr>
          <w:spacing w:val="-21"/>
        </w:rPr>
        <w:t> </w:t>
      </w:r>
      <w:r>
        <w:rPr/>
        <w:t>de</w:t>
      </w:r>
      <w:r>
        <w:rPr>
          <w:spacing w:val="-22"/>
        </w:rPr>
        <w:t> </w:t>
      </w:r>
      <w:r>
        <w:rPr/>
        <w:t>energia</w:t>
      </w:r>
      <w:r>
        <w:rPr>
          <w:spacing w:val="-19"/>
        </w:rPr>
        <w:t> </w:t>
      </w:r>
      <w:r>
        <w:rPr/>
        <w:t>elétrica,</w:t>
      </w:r>
      <w:r>
        <w:rPr>
          <w:spacing w:val="-21"/>
        </w:rPr>
        <w:t> </w:t>
      </w:r>
      <w:r>
        <w:rPr/>
        <w:t>na</w:t>
      </w:r>
      <w:r>
        <w:rPr>
          <w:spacing w:val="-21"/>
        </w:rPr>
        <w:t> </w:t>
      </w:r>
      <w:r>
        <w:rPr/>
        <w:t>condição</w:t>
      </w:r>
      <w:r>
        <w:rPr>
          <w:spacing w:val="-21"/>
        </w:rPr>
        <w:t> </w:t>
      </w:r>
      <w:r>
        <w:rPr/>
        <w:t>de</w:t>
      </w:r>
      <w:r>
        <w:rPr>
          <w:spacing w:val="-22"/>
        </w:rPr>
        <w:t> </w:t>
      </w:r>
      <w:r>
        <w:rPr/>
        <w:t>produtora</w:t>
      </w:r>
      <w:r>
        <w:rPr>
          <w:spacing w:val="-20"/>
        </w:rPr>
        <w:t> </w:t>
      </w:r>
      <w:r>
        <w:rPr/>
        <w:t>independente.</w:t>
      </w:r>
      <w:r>
        <w:rPr>
          <w:spacing w:val="-21"/>
        </w:rPr>
        <w:t> </w:t>
      </w:r>
      <w:r>
        <w:rPr/>
        <w:t>A</w:t>
      </w:r>
      <w:r>
        <w:rPr>
          <w:spacing w:val="-21"/>
        </w:rPr>
        <w:t> </w:t>
      </w:r>
      <w:r>
        <w:rPr/>
        <w:t>CEB</w:t>
      </w:r>
      <w:r>
        <w:rPr>
          <w:spacing w:val="-21"/>
        </w:rPr>
        <w:t> </w:t>
      </w:r>
      <w:r>
        <w:rPr>
          <w:spacing w:val="2"/>
        </w:rPr>
        <w:t>detém</w:t>
      </w:r>
      <w:r>
        <w:rPr>
          <w:spacing w:val="-20"/>
        </w:rPr>
        <w:t> </w:t>
      </w:r>
      <w:r>
        <w:rPr/>
        <w:t>uma participação</w:t>
      </w:r>
      <w:r>
        <w:rPr>
          <w:spacing w:val="-23"/>
        </w:rPr>
        <w:t> </w:t>
      </w:r>
      <w:r>
        <w:rPr/>
        <w:t>de</w:t>
      </w:r>
      <w:r>
        <w:rPr>
          <w:spacing w:val="-23"/>
        </w:rPr>
        <w:t> </w:t>
      </w:r>
      <w:r>
        <w:rPr/>
        <w:t>37,5%</w:t>
      </w:r>
      <w:r>
        <w:rPr>
          <w:spacing w:val="-21"/>
        </w:rPr>
        <w:t> </w:t>
      </w:r>
      <w:r>
        <w:rPr/>
        <w:t>do</w:t>
      </w:r>
      <w:r>
        <w:rPr>
          <w:spacing w:val="-22"/>
        </w:rPr>
        <w:t> </w:t>
      </w:r>
      <w:r>
        <w:rPr/>
        <w:t>capital</w:t>
      </w:r>
      <w:r>
        <w:rPr>
          <w:spacing w:val="-22"/>
        </w:rPr>
        <w:t> </w:t>
      </w:r>
      <w:r>
        <w:rPr/>
        <w:t>social,</w:t>
      </w:r>
      <w:r>
        <w:rPr>
          <w:spacing w:val="-22"/>
        </w:rPr>
        <w:t> </w:t>
      </w:r>
      <w:r>
        <w:rPr/>
        <w:t>sendo</w:t>
      </w:r>
      <w:r>
        <w:rPr>
          <w:spacing w:val="-22"/>
        </w:rPr>
        <w:t> </w:t>
      </w:r>
      <w:r>
        <w:rPr/>
        <w:t>25%</w:t>
      </w:r>
      <w:r>
        <w:rPr>
          <w:spacing w:val="-20"/>
        </w:rPr>
        <w:t> </w:t>
      </w:r>
      <w:r>
        <w:rPr/>
        <w:t>das</w:t>
      </w:r>
      <w:r>
        <w:rPr>
          <w:spacing w:val="-21"/>
        </w:rPr>
        <w:t> </w:t>
      </w:r>
      <w:r>
        <w:rPr/>
        <w:t>ações</w:t>
      </w:r>
      <w:r>
        <w:rPr>
          <w:spacing w:val="-21"/>
        </w:rPr>
        <w:t> </w:t>
      </w:r>
      <w:r>
        <w:rPr/>
        <w:t>ordinárias</w:t>
      </w:r>
      <w:r>
        <w:rPr>
          <w:spacing w:val="-22"/>
        </w:rPr>
        <w:t> </w:t>
      </w:r>
      <w:r>
        <w:rPr/>
        <w:t>e</w:t>
      </w:r>
      <w:r>
        <w:rPr>
          <w:spacing w:val="-20"/>
        </w:rPr>
        <w:t> </w:t>
      </w:r>
      <w:r>
        <w:rPr/>
        <w:t>50%</w:t>
      </w:r>
      <w:r>
        <w:rPr>
          <w:spacing w:val="-20"/>
        </w:rPr>
        <w:t> </w:t>
      </w:r>
      <w:r>
        <w:rPr/>
        <w:t>das</w:t>
      </w:r>
      <w:r>
        <w:rPr>
          <w:spacing w:val="-21"/>
        </w:rPr>
        <w:t> </w:t>
      </w:r>
      <w:r>
        <w:rPr/>
        <w:t>ações</w:t>
      </w:r>
      <w:r>
        <w:rPr>
          <w:spacing w:val="-21"/>
        </w:rPr>
        <w:t> </w:t>
      </w:r>
      <w:r>
        <w:rPr/>
        <w:t>preferenciais.</w:t>
      </w:r>
    </w:p>
    <w:p>
      <w:pPr>
        <w:pStyle w:val="BodyText"/>
        <w:spacing w:before="7"/>
      </w:pPr>
    </w:p>
    <w:p>
      <w:pPr>
        <w:pStyle w:val="BodyText"/>
        <w:spacing w:line="242" w:lineRule="auto"/>
        <w:ind w:left="192" w:right="613"/>
        <w:jc w:val="both"/>
      </w:pPr>
      <w:r>
        <w:rPr/>
        <w:t>Seu</w:t>
      </w:r>
      <w:r>
        <w:rPr>
          <w:spacing w:val="-17"/>
        </w:rPr>
        <w:t> </w:t>
      </w:r>
      <w:r>
        <w:rPr/>
        <w:t>Contrato</w:t>
      </w:r>
      <w:r>
        <w:rPr>
          <w:spacing w:val="-17"/>
        </w:rPr>
        <w:t> </w:t>
      </w:r>
      <w:r>
        <w:rPr/>
        <w:t>de</w:t>
      </w:r>
      <w:r>
        <w:rPr>
          <w:spacing w:val="-18"/>
        </w:rPr>
        <w:t> </w:t>
      </w:r>
      <w:r>
        <w:rPr/>
        <w:t>Concessão</w:t>
      </w:r>
      <w:r>
        <w:rPr>
          <w:spacing w:val="-17"/>
        </w:rPr>
        <w:t> </w:t>
      </w:r>
      <w:r>
        <w:rPr/>
        <w:t>é</w:t>
      </w:r>
      <w:r>
        <w:rPr>
          <w:spacing w:val="-19"/>
        </w:rPr>
        <w:t> </w:t>
      </w:r>
      <w:r>
        <w:rPr/>
        <w:t>o</w:t>
      </w:r>
      <w:r>
        <w:rPr>
          <w:spacing w:val="-18"/>
        </w:rPr>
        <w:t> </w:t>
      </w:r>
      <w:r>
        <w:rPr/>
        <w:t>de</w:t>
      </w:r>
      <w:r>
        <w:rPr>
          <w:spacing w:val="-18"/>
        </w:rPr>
        <w:t> </w:t>
      </w:r>
      <w:r>
        <w:rPr/>
        <w:t>nº</w:t>
      </w:r>
      <w:r>
        <w:rPr>
          <w:spacing w:val="-18"/>
        </w:rPr>
        <w:t> </w:t>
      </w:r>
      <w:r>
        <w:rPr/>
        <w:t>126/2001</w:t>
      </w:r>
      <w:r>
        <w:rPr>
          <w:spacing w:val="-16"/>
        </w:rPr>
        <w:t> </w:t>
      </w:r>
      <w:r>
        <w:rPr/>
        <w:t>e</w:t>
      </w:r>
      <w:r>
        <w:rPr>
          <w:spacing w:val="-18"/>
        </w:rPr>
        <w:t> </w:t>
      </w:r>
      <w:r>
        <w:rPr/>
        <w:t>possui</w:t>
      </w:r>
      <w:r>
        <w:rPr>
          <w:spacing w:val="-19"/>
        </w:rPr>
        <w:t> </w:t>
      </w:r>
      <w:r>
        <w:rPr/>
        <w:t>vencimento</w:t>
      </w:r>
      <w:r>
        <w:rPr>
          <w:spacing w:val="-17"/>
        </w:rPr>
        <w:t> </w:t>
      </w:r>
      <w:r>
        <w:rPr/>
        <w:t>em</w:t>
      </w:r>
      <w:r>
        <w:rPr>
          <w:spacing w:val="-17"/>
        </w:rPr>
        <w:t> </w:t>
      </w:r>
      <w:r>
        <w:rPr/>
        <w:t>14</w:t>
      </w:r>
      <w:r>
        <w:rPr>
          <w:spacing w:val="-17"/>
        </w:rPr>
        <w:t> </w:t>
      </w:r>
      <w:r>
        <w:rPr/>
        <w:t>de</w:t>
      </w:r>
      <w:r>
        <w:rPr>
          <w:spacing w:val="-20"/>
        </w:rPr>
        <w:t> </w:t>
      </w:r>
      <w:r>
        <w:rPr/>
        <w:t>fevereiro</w:t>
      </w:r>
      <w:r>
        <w:rPr>
          <w:spacing w:val="-17"/>
        </w:rPr>
        <w:t> </w:t>
      </w:r>
      <w:r>
        <w:rPr/>
        <w:t>de</w:t>
      </w:r>
      <w:r>
        <w:rPr>
          <w:spacing w:val="-18"/>
        </w:rPr>
        <w:t> </w:t>
      </w:r>
      <w:r>
        <w:rPr/>
        <w:t>2037,</w:t>
      </w:r>
      <w:r>
        <w:rPr>
          <w:spacing w:val="-16"/>
        </w:rPr>
        <w:t> </w:t>
      </w:r>
      <w:r>
        <w:rPr/>
        <w:t>e</w:t>
      </w:r>
      <w:r>
        <w:rPr>
          <w:spacing w:val="-18"/>
        </w:rPr>
        <w:t> </w:t>
      </w:r>
      <w:r>
        <w:rPr/>
        <w:t>tem</w:t>
      </w:r>
      <w:r>
        <w:rPr>
          <w:spacing w:val="-18"/>
        </w:rPr>
        <w:t> </w:t>
      </w:r>
      <w:r>
        <w:rPr/>
        <w:t>por</w:t>
      </w:r>
      <w:r>
        <w:rPr>
          <w:spacing w:val="-18"/>
        </w:rPr>
        <w:t> </w:t>
      </w:r>
      <w:r>
        <w:rPr/>
        <w:t>objeto </w:t>
      </w:r>
      <w:r>
        <w:rPr>
          <w:spacing w:val="-1"/>
          <w:w w:val="102"/>
        </w:rPr>
        <w:t>p</w:t>
      </w:r>
      <w:r>
        <w:rPr>
          <w:spacing w:val="-2"/>
          <w:w w:val="102"/>
        </w:rPr>
        <w:t>r</w:t>
      </w:r>
      <w:r>
        <w:rPr>
          <w:w w:val="100"/>
        </w:rPr>
        <w:t>i</w:t>
      </w:r>
      <w:r>
        <w:rPr>
          <w:spacing w:val="-1"/>
          <w:w w:val="100"/>
        </w:rPr>
        <w:t>n</w:t>
      </w:r>
      <w:r>
        <w:rPr>
          <w:w w:val="88"/>
        </w:rPr>
        <w:t>c</w:t>
      </w:r>
      <w:r>
        <w:rPr>
          <w:spacing w:val="2"/>
          <w:w w:val="97"/>
        </w:rPr>
        <w:t>i</w:t>
      </w:r>
      <w:r>
        <w:rPr>
          <w:spacing w:val="-1"/>
          <w:w w:val="96"/>
        </w:rPr>
        <w:t>p</w:t>
      </w:r>
      <w:r>
        <w:rPr>
          <w:w w:val="96"/>
        </w:rPr>
        <w:t>a</w:t>
      </w:r>
      <w:r>
        <w:rPr>
          <w:w w:val="91"/>
        </w:rPr>
        <w:t>l</w:t>
      </w:r>
      <w:r>
        <w:rPr>
          <w:spacing w:val="-14"/>
        </w:rPr>
        <w:t> </w:t>
      </w:r>
      <w:r>
        <w:rPr>
          <w:w w:val="92"/>
        </w:rPr>
        <w:t>a</w:t>
      </w:r>
      <w:r>
        <w:rPr>
          <w:spacing w:val="-14"/>
        </w:rPr>
        <w:t> </w:t>
      </w:r>
      <w:r>
        <w:rPr>
          <w:spacing w:val="-2"/>
          <w:w w:val="89"/>
        </w:rPr>
        <w:t>e</w:t>
      </w:r>
      <w:r>
        <w:rPr>
          <w:spacing w:val="1"/>
          <w:w w:val="96"/>
        </w:rPr>
        <w:t>x</w:t>
      </w:r>
      <w:r>
        <w:rPr>
          <w:spacing w:val="-1"/>
          <w:w w:val="96"/>
        </w:rPr>
        <w:t>p</w:t>
      </w:r>
      <w:r>
        <w:rPr>
          <w:w w:val="96"/>
        </w:rPr>
        <w:t>l</w:t>
      </w:r>
      <w:r>
        <w:rPr>
          <w:w w:val="101"/>
        </w:rPr>
        <w:t>o</w:t>
      </w:r>
      <w:r>
        <w:rPr>
          <w:spacing w:val="-1"/>
          <w:w w:val="101"/>
        </w:rPr>
        <w:t>r</w:t>
      </w:r>
      <w:r>
        <w:rPr>
          <w:w w:val="92"/>
        </w:rPr>
        <w:t>a</w:t>
      </w:r>
      <w:r>
        <w:rPr>
          <w:w w:val="88"/>
        </w:rPr>
        <w:t>ç</w:t>
      </w:r>
      <w:r>
        <w:rPr>
          <w:w w:val="92"/>
        </w:rPr>
        <w:t>ã</w:t>
      </w:r>
      <w:r>
        <w:rPr>
          <w:w w:val="98"/>
        </w:rPr>
        <w:t>o</w:t>
      </w:r>
      <w:r>
        <w:rPr>
          <w:spacing w:val="-15"/>
        </w:rPr>
        <w:t> </w:t>
      </w:r>
      <w:r>
        <w:rPr>
          <w:spacing w:val="2"/>
          <w:w w:val="99"/>
        </w:rPr>
        <w:t>d</w:t>
      </w:r>
      <w:r>
        <w:rPr>
          <w:w w:val="89"/>
        </w:rPr>
        <w:t>e</w:t>
      </w:r>
      <w:r>
        <w:rPr>
          <w:spacing w:val="-16"/>
        </w:rPr>
        <w:t> </w:t>
      </w:r>
      <w:r>
        <w:rPr>
          <w:spacing w:val="2"/>
          <w:w w:val="98"/>
        </w:rPr>
        <w:t>g</w:t>
      </w:r>
      <w:r>
        <w:rPr>
          <w:spacing w:val="1"/>
          <w:w w:val="89"/>
        </w:rPr>
        <w:t>e</w:t>
      </w:r>
      <w:r>
        <w:rPr>
          <w:spacing w:val="-1"/>
          <w:w w:val="105"/>
        </w:rPr>
        <w:t>r</w:t>
      </w:r>
      <w:r>
        <w:rPr>
          <w:w w:val="92"/>
        </w:rPr>
        <w:t>a</w:t>
      </w:r>
      <w:r>
        <w:rPr>
          <w:w w:val="88"/>
        </w:rPr>
        <w:t>ç</w:t>
      </w:r>
      <w:r>
        <w:rPr>
          <w:w w:val="92"/>
        </w:rPr>
        <w:t>ã</w:t>
      </w:r>
      <w:r>
        <w:rPr>
          <w:w w:val="98"/>
        </w:rPr>
        <w:t>o</w:t>
      </w:r>
      <w:r>
        <w:rPr>
          <w:spacing w:val="-15"/>
        </w:rPr>
        <w:t> </w:t>
      </w:r>
      <w:r>
        <w:rPr>
          <w:w w:val="94"/>
        </w:rPr>
        <w:t>de</w:t>
      </w:r>
      <w:r>
        <w:rPr>
          <w:spacing w:val="-9"/>
        </w:rPr>
        <w:t> </w:t>
      </w:r>
      <w:r>
        <w:rPr>
          <w:spacing w:val="-2"/>
          <w:w w:val="89"/>
        </w:rPr>
        <w:t>e</w:t>
      </w:r>
      <w:r>
        <w:rPr>
          <w:spacing w:val="1"/>
          <w:w w:val="101"/>
        </w:rPr>
        <w:t>n</w:t>
      </w:r>
      <w:r>
        <w:rPr>
          <w:spacing w:val="1"/>
          <w:w w:val="89"/>
        </w:rPr>
        <w:t>e</w:t>
      </w:r>
      <w:r>
        <w:rPr>
          <w:spacing w:val="-1"/>
          <w:w w:val="105"/>
        </w:rPr>
        <w:t>r</w:t>
      </w:r>
      <w:r>
        <w:rPr>
          <w:spacing w:val="-1"/>
          <w:w w:val="95"/>
        </w:rPr>
        <w:t>gi</w:t>
      </w:r>
      <w:r>
        <w:rPr>
          <w:w w:val="95"/>
        </w:rPr>
        <w:t>a</w:t>
      </w:r>
      <w:r>
        <w:rPr>
          <w:spacing w:val="-12"/>
        </w:rPr>
        <w:t> </w:t>
      </w:r>
      <w:r>
        <w:rPr>
          <w:spacing w:val="-2"/>
          <w:w w:val="89"/>
        </w:rPr>
        <w:t>e</w:t>
      </w:r>
      <w:r>
        <w:rPr>
          <w:w w:val="91"/>
        </w:rPr>
        <w:t>l</w:t>
      </w:r>
      <w:r>
        <w:rPr>
          <w:spacing w:val="-2"/>
          <w:w w:val="89"/>
        </w:rPr>
        <w:t>é</w:t>
      </w:r>
      <w:r>
        <w:rPr>
          <w:spacing w:val="1"/>
          <w:w w:val="85"/>
        </w:rPr>
        <w:t>t</w:t>
      </w:r>
      <w:r>
        <w:rPr>
          <w:spacing w:val="-1"/>
          <w:w w:val="105"/>
        </w:rPr>
        <w:t>r</w:t>
      </w:r>
      <w:r>
        <w:rPr>
          <w:w w:val="91"/>
        </w:rPr>
        <w:t>ic</w:t>
      </w:r>
      <w:r>
        <w:rPr>
          <w:w w:val="92"/>
        </w:rPr>
        <w:t>a</w:t>
      </w:r>
      <w:r>
        <w:rPr>
          <w:spacing w:val="-14"/>
        </w:rPr>
        <w:t> </w:t>
      </w:r>
      <w:r>
        <w:rPr>
          <w:w w:val="95"/>
        </w:rPr>
        <w:t>da</w:t>
      </w:r>
      <w:r>
        <w:rPr>
          <w:spacing w:val="-12"/>
        </w:rPr>
        <w:t> </w:t>
      </w:r>
      <w:r>
        <w:rPr>
          <w:w w:val="101"/>
        </w:rPr>
        <w:t>U</w:t>
      </w:r>
      <w:r>
        <w:rPr>
          <w:spacing w:val="1"/>
          <w:w w:val="101"/>
        </w:rPr>
        <w:t>s</w:t>
      </w:r>
      <w:r>
        <w:rPr>
          <w:w w:val="100"/>
        </w:rPr>
        <w:t>i</w:t>
      </w:r>
      <w:r>
        <w:rPr>
          <w:spacing w:val="-1"/>
          <w:w w:val="100"/>
        </w:rPr>
        <w:t>n</w:t>
      </w:r>
      <w:r>
        <w:rPr>
          <w:w w:val="92"/>
        </w:rPr>
        <w:t>a</w:t>
      </w:r>
      <w:r>
        <w:rPr>
          <w:spacing w:val="-14"/>
        </w:rPr>
        <w:t> </w:t>
      </w:r>
      <w:r>
        <w:rPr>
          <w:w w:val="94"/>
        </w:rPr>
        <w:t>de</w:t>
      </w:r>
      <w:r>
        <w:rPr>
          <w:spacing w:val="-14"/>
        </w:rPr>
        <w:t> </w:t>
      </w:r>
      <w:r>
        <w:rPr>
          <w:w w:val="93"/>
        </w:rPr>
        <w:t>C</w:t>
      </w:r>
      <w:r>
        <w:rPr>
          <w:w w:val="101"/>
        </w:rPr>
        <w:t>o</w:t>
      </w:r>
      <w:r>
        <w:rPr>
          <w:spacing w:val="-1"/>
          <w:w w:val="101"/>
        </w:rPr>
        <w:t>r</w:t>
      </w:r>
      <w:r>
        <w:rPr>
          <w:spacing w:val="2"/>
          <w:w w:val="100"/>
        </w:rPr>
        <w:t>u</w:t>
      </w:r>
      <w:r>
        <w:rPr>
          <w:w w:val="99"/>
        </w:rPr>
        <w:t>m</w:t>
      </w:r>
      <w:r>
        <w:rPr>
          <w:spacing w:val="-2"/>
          <w:w w:val="99"/>
        </w:rPr>
        <w:t>b</w:t>
      </w:r>
      <w:r>
        <w:rPr>
          <w:w w:val="92"/>
        </w:rPr>
        <w:t>á</w:t>
      </w:r>
      <w:r>
        <w:rPr>
          <w:spacing w:val="-14"/>
        </w:rPr>
        <w:t> </w:t>
      </w:r>
      <w:r>
        <w:rPr>
          <w:spacing w:val="-1"/>
          <w:w w:val="116"/>
        </w:rPr>
        <w:t>II</w:t>
      </w:r>
      <w:r>
        <w:rPr>
          <w:w w:val="116"/>
        </w:rPr>
        <w:t>I</w:t>
      </w:r>
      <w:r>
        <w:rPr>
          <w:w w:val="55"/>
        </w:rPr>
        <w:t>.</w:t>
      </w:r>
      <w:r>
        <w:rPr>
          <w:spacing w:val="-13"/>
        </w:rPr>
        <w:t> </w:t>
      </w:r>
      <w:r>
        <w:rPr>
          <w:w w:val="96"/>
        </w:rPr>
        <w:t>O</w:t>
      </w:r>
      <w:r>
        <w:rPr>
          <w:spacing w:val="-13"/>
        </w:rPr>
        <w:t> </w:t>
      </w:r>
      <w:r>
        <w:rPr>
          <w:w w:val="100"/>
        </w:rPr>
        <w:t>i</w:t>
      </w:r>
      <w:r>
        <w:rPr>
          <w:spacing w:val="-1"/>
          <w:w w:val="100"/>
        </w:rPr>
        <w:t>n</w:t>
      </w:r>
      <w:r>
        <w:rPr>
          <w:w w:val="91"/>
        </w:rPr>
        <w:t>íc</w:t>
      </w:r>
      <w:r>
        <w:rPr>
          <w:spacing w:val="2"/>
          <w:w w:val="97"/>
        </w:rPr>
        <w:t>i</w:t>
      </w:r>
      <w:r>
        <w:rPr>
          <w:w w:val="98"/>
        </w:rPr>
        <w:t>o</w:t>
      </w:r>
      <w:r>
        <w:rPr>
          <w:spacing w:val="-15"/>
        </w:rPr>
        <w:t> </w:t>
      </w:r>
      <w:r>
        <w:rPr>
          <w:w w:val="95"/>
        </w:rPr>
        <w:t>da</w:t>
      </w:r>
      <w:r>
        <w:rPr>
          <w:spacing w:val="-14"/>
        </w:rPr>
        <w:t> </w:t>
      </w:r>
      <w:r>
        <w:rPr>
          <w:w w:val="105"/>
        </w:rPr>
        <w:t>s</w:t>
      </w:r>
      <w:r>
        <w:rPr>
          <w:spacing w:val="-1"/>
          <w:w w:val="96"/>
        </w:rPr>
        <w:t>u</w:t>
      </w:r>
      <w:r>
        <w:rPr>
          <w:w w:val="96"/>
        </w:rPr>
        <w:t>a</w:t>
      </w:r>
      <w:r>
        <w:rPr>
          <w:spacing w:val="-14"/>
        </w:rPr>
        <w:t> </w:t>
      </w:r>
      <w:r>
        <w:rPr>
          <w:w w:val="98"/>
        </w:rPr>
        <w:t>o</w:t>
      </w:r>
      <w:r>
        <w:rPr>
          <w:spacing w:val="1"/>
          <w:w w:val="98"/>
        </w:rPr>
        <w:t>p</w:t>
      </w:r>
      <w:r>
        <w:rPr>
          <w:spacing w:val="-2"/>
          <w:w w:val="89"/>
        </w:rPr>
        <w:t>e</w:t>
      </w:r>
      <w:r>
        <w:rPr>
          <w:spacing w:val="-1"/>
          <w:w w:val="105"/>
        </w:rPr>
        <w:t>r</w:t>
      </w:r>
      <w:r>
        <w:rPr>
          <w:w w:val="92"/>
        </w:rPr>
        <w:t>a</w:t>
      </w:r>
      <w:r>
        <w:rPr>
          <w:w w:val="88"/>
        </w:rPr>
        <w:t>ç</w:t>
      </w:r>
      <w:r>
        <w:rPr>
          <w:w w:val="92"/>
        </w:rPr>
        <w:t>ã</w:t>
      </w:r>
      <w:r>
        <w:rPr>
          <w:w w:val="98"/>
        </w:rPr>
        <w:t>o</w:t>
      </w:r>
      <w:r>
        <w:rPr>
          <w:spacing w:val="-15"/>
        </w:rPr>
        <w:t> </w:t>
      </w:r>
      <w:r>
        <w:rPr>
          <w:w w:val="88"/>
        </w:rPr>
        <w:t>c</w:t>
      </w:r>
      <w:r>
        <w:rPr>
          <w:w w:val="99"/>
        </w:rPr>
        <w:t>o</w:t>
      </w:r>
      <w:r>
        <w:rPr>
          <w:spacing w:val="1"/>
          <w:w w:val="99"/>
        </w:rPr>
        <w:t>m</w:t>
      </w:r>
      <w:r>
        <w:rPr>
          <w:spacing w:val="-2"/>
          <w:w w:val="89"/>
        </w:rPr>
        <w:t>e</w:t>
      </w:r>
      <w:r>
        <w:rPr>
          <w:spacing w:val="-1"/>
          <w:w w:val="105"/>
        </w:rPr>
        <w:t>r</w:t>
      </w:r>
      <w:r>
        <w:rPr>
          <w:w w:val="88"/>
        </w:rPr>
        <w:t>c</w:t>
      </w:r>
      <w:r>
        <w:rPr>
          <w:w w:val="94"/>
        </w:rPr>
        <w:t>ia</w:t>
      </w:r>
      <w:r>
        <w:rPr>
          <w:w w:val="91"/>
        </w:rPr>
        <w:t>l</w:t>
      </w:r>
      <w:r>
        <w:rPr>
          <w:spacing w:val="-12"/>
        </w:rPr>
        <w:t> </w:t>
      </w:r>
      <w:r>
        <w:rPr>
          <w:w w:val="92"/>
        </w:rPr>
        <w:t>foi </w:t>
      </w:r>
      <w:r>
        <w:rPr/>
        <w:t>em</w:t>
      </w:r>
      <w:r>
        <w:rPr>
          <w:spacing w:val="-17"/>
        </w:rPr>
        <w:t> </w:t>
      </w:r>
      <w:r>
        <w:rPr/>
        <w:t>outubro</w:t>
      </w:r>
      <w:r>
        <w:rPr>
          <w:spacing w:val="-15"/>
        </w:rPr>
        <w:t> </w:t>
      </w:r>
      <w:r>
        <w:rPr/>
        <w:t>de</w:t>
      </w:r>
      <w:r>
        <w:rPr>
          <w:spacing w:val="-17"/>
        </w:rPr>
        <w:t> </w:t>
      </w:r>
      <w:r>
        <w:rPr/>
        <w:t>2009.</w:t>
      </w:r>
    </w:p>
    <w:p>
      <w:pPr>
        <w:pStyle w:val="BodyText"/>
        <w:spacing w:before="7"/>
      </w:pPr>
    </w:p>
    <w:p>
      <w:pPr>
        <w:pStyle w:val="BodyText"/>
        <w:spacing w:before="1"/>
        <w:ind w:left="192"/>
        <w:jc w:val="both"/>
      </w:pPr>
      <w:r>
        <w:rPr/>
        <w:t>A energia gerada é contratada na sua totalidade pela CEB Distribuição S.A. com reajustes anuais.</w:t>
      </w:r>
    </w:p>
    <w:p>
      <w:pPr>
        <w:pStyle w:val="BodyText"/>
        <w:spacing w:before="8"/>
      </w:pPr>
    </w:p>
    <w:p>
      <w:pPr>
        <w:pStyle w:val="Heading5"/>
        <w:numPr>
          <w:ilvl w:val="3"/>
          <w:numId w:val="10"/>
        </w:numPr>
        <w:tabs>
          <w:tab w:pos="1325" w:val="left" w:leader="none"/>
          <w:tab w:pos="1326" w:val="left" w:leader="none"/>
        </w:tabs>
        <w:spacing w:line="240" w:lineRule="auto" w:before="0" w:after="0"/>
        <w:ind w:left="1326" w:right="0" w:hanging="1134"/>
        <w:jc w:val="left"/>
      </w:pPr>
      <w:r>
        <w:rPr/>
        <w:t>Corumbá Concessões</w:t>
      </w:r>
      <w:r>
        <w:rPr>
          <w:spacing w:val="-3"/>
        </w:rPr>
        <w:t> </w:t>
      </w:r>
      <w:r>
        <w:rPr/>
        <w:t>S.A.</w:t>
      </w:r>
    </w:p>
    <w:p>
      <w:pPr>
        <w:pStyle w:val="BodyText"/>
        <w:spacing w:before="11"/>
        <w:rPr>
          <w:rFonts w:ascii="Caladea"/>
          <w:b/>
          <w:sz w:val="23"/>
        </w:rPr>
      </w:pPr>
    </w:p>
    <w:p>
      <w:pPr>
        <w:pStyle w:val="BodyText"/>
        <w:spacing w:line="242" w:lineRule="auto"/>
        <w:ind w:left="192" w:right="604"/>
        <w:jc w:val="both"/>
      </w:pPr>
      <w:r>
        <w:rPr/>
        <w:t>A</w:t>
      </w:r>
      <w:r>
        <w:rPr>
          <w:spacing w:val="-27"/>
        </w:rPr>
        <w:t> </w:t>
      </w:r>
      <w:r>
        <w:rPr/>
        <w:t>Corumbá</w:t>
      </w:r>
      <w:r>
        <w:rPr>
          <w:spacing w:val="-25"/>
        </w:rPr>
        <w:t> </w:t>
      </w:r>
      <w:r>
        <w:rPr/>
        <w:t>Concessões</w:t>
      </w:r>
      <w:r>
        <w:rPr>
          <w:spacing w:val="-26"/>
        </w:rPr>
        <w:t> </w:t>
      </w:r>
      <w:r>
        <w:rPr/>
        <w:t>S.A.</w:t>
      </w:r>
      <w:r>
        <w:rPr>
          <w:spacing w:val="-24"/>
        </w:rPr>
        <w:t> </w:t>
      </w:r>
      <w:r>
        <w:rPr/>
        <w:t>é</w:t>
      </w:r>
      <w:r>
        <w:rPr>
          <w:spacing w:val="-27"/>
        </w:rPr>
        <w:t> </w:t>
      </w:r>
      <w:r>
        <w:rPr/>
        <w:t>uma</w:t>
      </w:r>
      <w:r>
        <w:rPr>
          <w:spacing w:val="-26"/>
        </w:rPr>
        <w:t> </w:t>
      </w:r>
      <w:r>
        <w:rPr/>
        <w:t>sociedade</w:t>
      </w:r>
      <w:r>
        <w:rPr>
          <w:spacing w:val="-26"/>
        </w:rPr>
        <w:t> </w:t>
      </w:r>
      <w:r>
        <w:rPr/>
        <w:t>por</w:t>
      </w:r>
      <w:r>
        <w:rPr>
          <w:spacing w:val="-27"/>
        </w:rPr>
        <w:t> </w:t>
      </w:r>
      <w:r>
        <w:rPr/>
        <w:t>ações</w:t>
      </w:r>
      <w:r>
        <w:rPr>
          <w:spacing w:val="-24"/>
        </w:rPr>
        <w:t> </w:t>
      </w:r>
      <w:r>
        <w:rPr/>
        <w:t>de</w:t>
      </w:r>
      <w:r>
        <w:rPr>
          <w:spacing w:val="-27"/>
        </w:rPr>
        <w:t> </w:t>
      </w:r>
      <w:r>
        <w:rPr/>
        <w:t>capital</w:t>
      </w:r>
      <w:r>
        <w:rPr>
          <w:spacing w:val="-26"/>
        </w:rPr>
        <w:t> </w:t>
      </w:r>
      <w:r>
        <w:rPr/>
        <w:t>fechado,</w:t>
      </w:r>
      <w:r>
        <w:rPr>
          <w:spacing w:val="-26"/>
        </w:rPr>
        <w:t> </w:t>
      </w:r>
      <w:r>
        <w:rPr/>
        <w:t>constituída</w:t>
      </w:r>
      <w:r>
        <w:rPr>
          <w:spacing w:val="-26"/>
        </w:rPr>
        <w:t> </w:t>
      </w:r>
      <w:r>
        <w:rPr/>
        <w:t>em</w:t>
      </w:r>
      <w:r>
        <w:rPr>
          <w:spacing w:val="-27"/>
        </w:rPr>
        <w:t> </w:t>
      </w:r>
      <w:r>
        <w:rPr/>
        <w:t>6</w:t>
      </w:r>
      <w:r>
        <w:rPr>
          <w:spacing w:val="-25"/>
        </w:rPr>
        <w:t> </w:t>
      </w:r>
      <w:r>
        <w:rPr/>
        <w:t>de</w:t>
      </w:r>
      <w:r>
        <w:rPr>
          <w:spacing w:val="-26"/>
        </w:rPr>
        <w:t> </w:t>
      </w:r>
      <w:r>
        <w:rPr/>
        <w:t>dezembro</w:t>
      </w:r>
      <w:r>
        <w:rPr>
          <w:spacing w:val="-26"/>
        </w:rPr>
        <w:t> </w:t>
      </w:r>
      <w:r>
        <w:rPr/>
        <w:t>de</w:t>
      </w:r>
      <w:r>
        <w:rPr>
          <w:spacing w:val="-28"/>
        </w:rPr>
        <w:t> </w:t>
      </w:r>
      <w:r>
        <w:rPr/>
        <w:t>2000, detentora</w:t>
      </w:r>
      <w:r>
        <w:rPr>
          <w:spacing w:val="-36"/>
        </w:rPr>
        <w:t> </w:t>
      </w:r>
      <w:r>
        <w:rPr/>
        <w:t>do</w:t>
      </w:r>
      <w:r>
        <w:rPr>
          <w:spacing w:val="-35"/>
        </w:rPr>
        <w:t> </w:t>
      </w:r>
      <w:r>
        <w:rPr/>
        <w:t>contrato</w:t>
      </w:r>
      <w:r>
        <w:rPr>
          <w:spacing w:val="-35"/>
        </w:rPr>
        <w:t> </w:t>
      </w:r>
      <w:r>
        <w:rPr/>
        <w:t>de</w:t>
      </w:r>
      <w:r>
        <w:rPr>
          <w:spacing w:val="-36"/>
        </w:rPr>
        <w:t> </w:t>
      </w:r>
      <w:r>
        <w:rPr/>
        <w:t>concessão</w:t>
      </w:r>
      <w:r>
        <w:rPr>
          <w:spacing w:val="-35"/>
        </w:rPr>
        <w:t> </w:t>
      </w:r>
      <w:r>
        <w:rPr/>
        <w:t>nº</w:t>
      </w:r>
      <w:r>
        <w:rPr>
          <w:spacing w:val="-36"/>
        </w:rPr>
        <w:t> </w:t>
      </w:r>
      <w:r>
        <w:rPr/>
        <w:t>93/2000</w:t>
      </w:r>
      <w:r>
        <w:rPr>
          <w:spacing w:val="-35"/>
        </w:rPr>
        <w:t> </w:t>
      </w:r>
      <w:r>
        <w:rPr/>
        <w:t>com</w:t>
      </w:r>
      <w:r>
        <w:rPr>
          <w:spacing w:val="-35"/>
        </w:rPr>
        <w:t> </w:t>
      </w:r>
      <w:r>
        <w:rPr/>
        <w:t>vencimento</w:t>
      </w:r>
      <w:r>
        <w:rPr>
          <w:spacing w:val="-34"/>
        </w:rPr>
        <w:t> </w:t>
      </w:r>
      <w:r>
        <w:rPr/>
        <w:t>em</w:t>
      </w:r>
      <w:r>
        <w:rPr>
          <w:spacing w:val="-34"/>
        </w:rPr>
        <w:t> </w:t>
      </w:r>
      <w:r>
        <w:rPr/>
        <w:t>12</w:t>
      </w:r>
      <w:r>
        <w:rPr>
          <w:spacing w:val="-35"/>
        </w:rPr>
        <w:t> </w:t>
      </w:r>
      <w:r>
        <w:rPr/>
        <w:t>de</w:t>
      </w:r>
      <w:r>
        <w:rPr>
          <w:spacing w:val="-35"/>
        </w:rPr>
        <w:t> </w:t>
      </w:r>
      <w:r>
        <w:rPr/>
        <w:t>março</w:t>
      </w:r>
      <w:r>
        <w:rPr>
          <w:spacing w:val="-34"/>
        </w:rPr>
        <w:t> </w:t>
      </w:r>
      <w:r>
        <w:rPr/>
        <w:t>de</w:t>
      </w:r>
      <w:r>
        <w:rPr>
          <w:spacing w:val="-35"/>
        </w:rPr>
        <w:t> </w:t>
      </w:r>
      <w:r>
        <w:rPr/>
        <w:t>2036,</w:t>
      </w:r>
      <w:r>
        <w:rPr>
          <w:spacing w:val="-6"/>
        </w:rPr>
        <w:t> </w:t>
      </w:r>
      <w:r>
        <w:rPr/>
        <w:t>concessionária</w:t>
      </w:r>
      <w:r>
        <w:rPr>
          <w:spacing w:val="-35"/>
        </w:rPr>
        <w:t> </w:t>
      </w:r>
      <w:r>
        <w:rPr/>
        <w:t>do</w:t>
      </w:r>
      <w:r>
        <w:rPr>
          <w:spacing w:val="-36"/>
        </w:rPr>
        <w:t> </w:t>
      </w:r>
      <w:r>
        <w:rPr/>
        <w:t>serviço público</w:t>
      </w:r>
      <w:r>
        <w:rPr>
          <w:spacing w:val="-12"/>
        </w:rPr>
        <w:t> </w:t>
      </w:r>
      <w:r>
        <w:rPr/>
        <w:t>de</w:t>
      </w:r>
      <w:r>
        <w:rPr>
          <w:spacing w:val="-11"/>
        </w:rPr>
        <w:t> </w:t>
      </w:r>
      <w:r>
        <w:rPr/>
        <w:t>energia</w:t>
      </w:r>
      <w:r>
        <w:rPr>
          <w:spacing w:val="-10"/>
        </w:rPr>
        <w:t> </w:t>
      </w:r>
      <w:r>
        <w:rPr/>
        <w:t>elétrica,</w:t>
      </w:r>
      <w:r>
        <w:rPr>
          <w:spacing w:val="-12"/>
        </w:rPr>
        <w:t> </w:t>
      </w:r>
      <w:r>
        <w:rPr/>
        <w:t>atuando</w:t>
      </w:r>
      <w:r>
        <w:rPr>
          <w:spacing w:val="-10"/>
        </w:rPr>
        <w:t> </w:t>
      </w:r>
      <w:r>
        <w:rPr/>
        <w:t>na</w:t>
      </w:r>
      <w:r>
        <w:rPr>
          <w:spacing w:val="-11"/>
        </w:rPr>
        <w:t> </w:t>
      </w:r>
      <w:r>
        <w:rPr/>
        <w:t>geração</w:t>
      </w:r>
      <w:r>
        <w:rPr>
          <w:spacing w:val="-11"/>
        </w:rPr>
        <w:t> </w:t>
      </w:r>
      <w:r>
        <w:rPr/>
        <w:t>de</w:t>
      </w:r>
      <w:r>
        <w:rPr>
          <w:spacing w:val="-11"/>
        </w:rPr>
        <w:t> </w:t>
      </w:r>
      <w:r>
        <w:rPr/>
        <w:t>energia</w:t>
      </w:r>
      <w:r>
        <w:rPr>
          <w:spacing w:val="-10"/>
        </w:rPr>
        <w:t> </w:t>
      </w:r>
      <w:r>
        <w:rPr/>
        <w:t>elétrica,</w:t>
      </w:r>
      <w:r>
        <w:rPr>
          <w:spacing w:val="-10"/>
        </w:rPr>
        <w:t> </w:t>
      </w:r>
      <w:r>
        <w:rPr/>
        <w:t>na</w:t>
      </w:r>
      <w:r>
        <w:rPr>
          <w:spacing w:val="-11"/>
        </w:rPr>
        <w:t> </w:t>
      </w:r>
      <w:r>
        <w:rPr/>
        <w:t>condição</w:t>
      </w:r>
      <w:r>
        <w:rPr>
          <w:spacing w:val="-10"/>
        </w:rPr>
        <w:t> </w:t>
      </w:r>
      <w:r>
        <w:rPr/>
        <w:t>de</w:t>
      </w:r>
      <w:r>
        <w:rPr>
          <w:spacing w:val="-11"/>
        </w:rPr>
        <w:t> </w:t>
      </w:r>
      <w:r>
        <w:rPr/>
        <w:t>produtora</w:t>
      </w:r>
      <w:r>
        <w:rPr>
          <w:spacing w:val="-10"/>
        </w:rPr>
        <w:t> </w:t>
      </w:r>
      <w:r>
        <w:rPr/>
        <w:t>independente.</w:t>
      </w:r>
      <w:r>
        <w:rPr>
          <w:spacing w:val="-12"/>
        </w:rPr>
        <w:t> </w:t>
      </w:r>
      <w:r>
        <w:rPr/>
        <w:t>A participação</w:t>
      </w:r>
      <w:r>
        <w:rPr>
          <w:spacing w:val="-16"/>
        </w:rPr>
        <w:t> </w:t>
      </w:r>
      <w:r>
        <w:rPr/>
        <w:t>do</w:t>
      </w:r>
      <w:r>
        <w:rPr>
          <w:spacing w:val="-16"/>
        </w:rPr>
        <w:t> </w:t>
      </w:r>
      <w:r>
        <w:rPr/>
        <w:t>Grupo</w:t>
      </w:r>
      <w:r>
        <w:rPr>
          <w:spacing w:val="-16"/>
        </w:rPr>
        <w:t> </w:t>
      </w:r>
      <w:r>
        <w:rPr/>
        <w:t>no</w:t>
      </w:r>
      <w:r>
        <w:rPr>
          <w:spacing w:val="-16"/>
        </w:rPr>
        <w:t> </w:t>
      </w:r>
      <w:r>
        <w:rPr/>
        <w:t>capital</w:t>
      </w:r>
      <w:r>
        <w:rPr>
          <w:spacing w:val="-14"/>
        </w:rPr>
        <w:t> </w:t>
      </w:r>
      <w:r>
        <w:rPr/>
        <w:t>social</w:t>
      </w:r>
      <w:r>
        <w:rPr>
          <w:spacing w:val="-15"/>
        </w:rPr>
        <w:t> </w:t>
      </w:r>
      <w:r>
        <w:rPr/>
        <w:t>da</w:t>
      </w:r>
      <w:r>
        <w:rPr>
          <w:spacing w:val="-15"/>
        </w:rPr>
        <w:t> </w:t>
      </w:r>
      <w:r>
        <w:rPr/>
        <w:t>Empresa</w:t>
      </w:r>
      <w:r>
        <w:rPr>
          <w:spacing w:val="-14"/>
        </w:rPr>
        <w:t> </w:t>
      </w:r>
      <w:r>
        <w:rPr/>
        <w:t>é</w:t>
      </w:r>
      <w:r>
        <w:rPr>
          <w:spacing w:val="-17"/>
        </w:rPr>
        <w:t> </w:t>
      </w:r>
      <w:r>
        <w:rPr/>
        <w:t>de</w:t>
      </w:r>
      <w:r>
        <w:rPr>
          <w:spacing w:val="-8"/>
        </w:rPr>
        <w:t> </w:t>
      </w:r>
      <w:r>
        <w:rPr/>
        <w:t>33,66%,</w:t>
      </w:r>
      <w:r>
        <w:rPr>
          <w:spacing w:val="-16"/>
        </w:rPr>
        <w:t> </w:t>
      </w:r>
      <w:r>
        <w:rPr/>
        <w:t>sendo</w:t>
      </w:r>
      <w:r>
        <w:rPr>
          <w:spacing w:val="-15"/>
        </w:rPr>
        <w:t> </w:t>
      </w:r>
      <w:r>
        <w:rPr/>
        <w:t>32,14%</w:t>
      </w:r>
      <w:r>
        <w:rPr>
          <w:spacing w:val="-16"/>
        </w:rPr>
        <w:t> </w:t>
      </w:r>
      <w:r>
        <w:rPr/>
        <w:t>de</w:t>
      </w:r>
      <w:r>
        <w:rPr>
          <w:spacing w:val="-15"/>
        </w:rPr>
        <w:t> </w:t>
      </w:r>
      <w:r>
        <w:rPr/>
        <w:t>propriedade</w:t>
      </w:r>
      <w:r>
        <w:rPr>
          <w:spacing w:val="-14"/>
        </w:rPr>
        <w:t> </w:t>
      </w:r>
      <w:r>
        <w:rPr/>
        <w:t>da</w:t>
      </w:r>
      <w:r>
        <w:rPr>
          <w:spacing w:val="-15"/>
        </w:rPr>
        <w:t> </w:t>
      </w:r>
      <w:r>
        <w:rPr/>
        <w:t>CEB</w:t>
      </w:r>
      <w:r>
        <w:rPr>
          <w:spacing w:val="-16"/>
        </w:rPr>
        <w:t> </w:t>
      </w:r>
      <w:r>
        <w:rPr/>
        <w:t>e</w:t>
      </w:r>
      <w:r>
        <w:rPr>
          <w:spacing w:val="-13"/>
        </w:rPr>
        <w:t> </w:t>
      </w:r>
      <w:r>
        <w:rPr/>
        <w:t>1,52%</w:t>
      </w:r>
      <w:r>
        <w:rPr>
          <w:spacing w:val="-16"/>
        </w:rPr>
        <w:t> </w:t>
      </w:r>
      <w:r>
        <w:rPr/>
        <w:t>da CEB Participações</w:t>
      </w:r>
      <w:r>
        <w:rPr>
          <w:spacing w:val="-36"/>
        </w:rPr>
        <w:t> </w:t>
      </w:r>
      <w:r>
        <w:rPr/>
        <w:t>S.A..</w:t>
      </w:r>
    </w:p>
    <w:p>
      <w:pPr>
        <w:pStyle w:val="BodyText"/>
        <w:spacing w:before="6"/>
      </w:pPr>
    </w:p>
    <w:p>
      <w:pPr>
        <w:pStyle w:val="ListParagraph"/>
        <w:numPr>
          <w:ilvl w:val="0"/>
          <w:numId w:val="15"/>
        </w:numPr>
        <w:tabs>
          <w:tab w:pos="424" w:val="left" w:leader="none"/>
        </w:tabs>
        <w:spacing w:line="240" w:lineRule="auto" w:before="0" w:after="0"/>
        <w:ind w:left="423" w:right="0" w:hanging="232"/>
        <w:jc w:val="left"/>
        <w:rPr>
          <w:rFonts w:ascii="Caladea" w:hAnsi="Caladea"/>
          <w:b/>
          <w:sz w:val="20"/>
        </w:rPr>
      </w:pPr>
      <w:r>
        <w:rPr>
          <w:rFonts w:ascii="Caladea" w:hAnsi="Caladea"/>
          <w:b/>
          <w:w w:val="105"/>
          <w:sz w:val="20"/>
        </w:rPr>
        <w:t>Ação</w:t>
      </w:r>
      <w:r>
        <w:rPr>
          <w:rFonts w:ascii="Caladea" w:hAnsi="Caladea"/>
          <w:b/>
          <w:spacing w:val="-5"/>
          <w:w w:val="105"/>
          <w:sz w:val="20"/>
        </w:rPr>
        <w:t> </w:t>
      </w:r>
      <w:r>
        <w:rPr>
          <w:rFonts w:ascii="Caladea" w:hAnsi="Caladea"/>
          <w:b/>
          <w:w w:val="105"/>
          <w:sz w:val="20"/>
        </w:rPr>
        <w:t>de</w:t>
      </w:r>
      <w:r>
        <w:rPr>
          <w:rFonts w:ascii="Caladea" w:hAnsi="Caladea"/>
          <w:b/>
          <w:spacing w:val="-6"/>
          <w:w w:val="105"/>
          <w:sz w:val="20"/>
        </w:rPr>
        <w:t> </w:t>
      </w:r>
      <w:r>
        <w:rPr>
          <w:rFonts w:ascii="Caladea" w:hAnsi="Caladea"/>
          <w:b/>
          <w:w w:val="105"/>
          <w:sz w:val="20"/>
        </w:rPr>
        <w:t>Cobrança</w:t>
      </w:r>
      <w:r>
        <w:rPr>
          <w:rFonts w:ascii="Caladea" w:hAnsi="Caladea"/>
          <w:b/>
          <w:spacing w:val="-7"/>
          <w:w w:val="105"/>
          <w:sz w:val="20"/>
        </w:rPr>
        <w:t> </w:t>
      </w:r>
      <w:r>
        <w:rPr>
          <w:rFonts w:ascii="Caladea" w:hAnsi="Caladea"/>
          <w:b/>
          <w:w w:val="105"/>
          <w:sz w:val="20"/>
        </w:rPr>
        <w:t>Proposta</w:t>
      </w:r>
      <w:r>
        <w:rPr>
          <w:rFonts w:ascii="Caladea" w:hAnsi="Caladea"/>
          <w:b/>
          <w:spacing w:val="-7"/>
          <w:w w:val="105"/>
          <w:sz w:val="20"/>
        </w:rPr>
        <w:t> </w:t>
      </w:r>
      <w:r>
        <w:rPr>
          <w:rFonts w:ascii="Caladea" w:hAnsi="Caladea"/>
          <w:b/>
          <w:w w:val="105"/>
          <w:sz w:val="20"/>
        </w:rPr>
        <w:t>pela</w:t>
      </w:r>
      <w:r>
        <w:rPr>
          <w:rFonts w:ascii="Caladea" w:hAnsi="Caladea"/>
          <w:b/>
          <w:spacing w:val="-5"/>
          <w:w w:val="105"/>
          <w:sz w:val="20"/>
        </w:rPr>
        <w:t> </w:t>
      </w:r>
      <w:r>
        <w:rPr>
          <w:rFonts w:ascii="Caladea" w:hAnsi="Caladea"/>
          <w:b/>
          <w:w w:val="105"/>
          <w:sz w:val="20"/>
        </w:rPr>
        <w:t>Saneamento</w:t>
      </w:r>
      <w:r>
        <w:rPr>
          <w:rFonts w:ascii="Caladea" w:hAnsi="Caladea"/>
          <w:b/>
          <w:spacing w:val="-7"/>
          <w:w w:val="105"/>
          <w:sz w:val="20"/>
        </w:rPr>
        <w:t> </w:t>
      </w:r>
      <w:r>
        <w:rPr>
          <w:rFonts w:ascii="Caladea" w:hAnsi="Caladea"/>
          <w:b/>
          <w:w w:val="105"/>
          <w:sz w:val="20"/>
        </w:rPr>
        <w:t>de</w:t>
      </w:r>
      <w:r>
        <w:rPr>
          <w:rFonts w:ascii="Caladea" w:hAnsi="Caladea"/>
          <w:b/>
          <w:spacing w:val="-4"/>
          <w:w w:val="105"/>
          <w:sz w:val="20"/>
        </w:rPr>
        <w:t> </w:t>
      </w:r>
      <w:r>
        <w:rPr>
          <w:rFonts w:ascii="Caladea" w:hAnsi="Caladea"/>
          <w:b/>
          <w:w w:val="105"/>
          <w:sz w:val="20"/>
        </w:rPr>
        <w:t>Goiás</w:t>
      </w:r>
      <w:r>
        <w:rPr>
          <w:rFonts w:ascii="Caladea" w:hAnsi="Caladea"/>
          <w:b/>
          <w:spacing w:val="-6"/>
          <w:w w:val="105"/>
          <w:sz w:val="20"/>
        </w:rPr>
        <w:t> </w:t>
      </w:r>
      <w:r>
        <w:rPr>
          <w:rFonts w:ascii="Caladea" w:hAnsi="Caladea"/>
          <w:b/>
          <w:w w:val="105"/>
          <w:sz w:val="20"/>
        </w:rPr>
        <w:t>S.A.</w:t>
      </w:r>
      <w:r>
        <w:rPr>
          <w:rFonts w:ascii="Caladea" w:hAnsi="Caladea"/>
          <w:b/>
          <w:spacing w:val="-1"/>
          <w:w w:val="105"/>
          <w:sz w:val="20"/>
        </w:rPr>
        <w:t> </w:t>
      </w:r>
      <w:r>
        <w:rPr>
          <w:b/>
          <w:w w:val="105"/>
          <w:sz w:val="20"/>
        </w:rPr>
        <w:t>–</w:t>
      </w:r>
      <w:r>
        <w:rPr>
          <w:b/>
          <w:spacing w:val="-22"/>
          <w:w w:val="105"/>
          <w:sz w:val="20"/>
        </w:rPr>
        <w:t> </w:t>
      </w:r>
      <w:r>
        <w:rPr>
          <w:rFonts w:ascii="Caladea" w:hAnsi="Caladea"/>
          <w:b/>
          <w:w w:val="105"/>
          <w:sz w:val="20"/>
        </w:rPr>
        <w:t>Saneago</w:t>
      </w:r>
    </w:p>
    <w:p>
      <w:pPr>
        <w:pStyle w:val="BodyText"/>
        <w:spacing w:before="9"/>
        <w:rPr>
          <w:rFonts w:ascii="Caladea"/>
          <w:b/>
        </w:rPr>
      </w:pPr>
    </w:p>
    <w:p>
      <w:pPr>
        <w:pStyle w:val="BodyText"/>
        <w:spacing w:line="242" w:lineRule="auto"/>
        <w:ind w:left="192" w:right="613"/>
        <w:jc w:val="both"/>
      </w:pPr>
      <w:r>
        <w:rPr>
          <w:w w:val="95"/>
        </w:rPr>
        <w:t>A</w:t>
      </w:r>
      <w:r>
        <w:rPr>
          <w:spacing w:val="-23"/>
          <w:w w:val="95"/>
        </w:rPr>
        <w:t> </w:t>
      </w:r>
      <w:r>
        <w:rPr>
          <w:w w:val="95"/>
        </w:rPr>
        <w:t>empresa</w:t>
      </w:r>
      <w:r>
        <w:rPr>
          <w:spacing w:val="-22"/>
          <w:w w:val="95"/>
        </w:rPr>
        <w:t> </w:t>
      </w:r>
      <w:r>
        <w:rPr>
          <w:w w:val="95"/>
        </w:rPr>
        <w:t>Saneamento</w:t>
      </w:r>
      <w:r>
        <w:rPr>
          <w:spacing w:val="-22"/>
          <w:w w:val="95"/>
        </w:rPr>
        <w:t> </w:t>
      </w:r>
      <w:r>
        <w:rPr>
          <w:w w:val="95"/>
        </w:rPr>
        <w:t>de</w:t>
      </w:r>
      <w:r>
        <w:rPr>
          <w:spacing w:val="-25"/>
          <w:w w:val="95"/>
        </w:rPr>
        <w:t> </w:t>
      </w:r>
      <w:r>
        <w:rPr>
          <w:w w:val="95"/>
        </w:rPr>
        <w:t>Goiás</w:t>
      </w:r>
      <w:r>
        <w:rPr>
          <w:spacing w:val="-23"/>
          <w:w w:val="95"/>
        </w:rPr>
        <w:t> </w:t>
      </w:r>
      <w:r>
        <w:rPr>
          <w:w w:val="95"/>
        </w:rPr>
        <w:t>S.A.</w:t>
      </w:r>
      <w:r>
        <w:rPr>
          <w:spacing w:val="-21"/>
          <w:w w:val="95"/>
        </w:rPr>
        <w:t> </w:t>
      </w:r>
      <w:r>
        <w:rPr>
          <w:w w:val="95"/>
        </w:rPr>
        <w:t>–</w:t>
      </w:r>
      <w:r>
        <w:rPr>
          <w:spacing w:val="-21"/>
          <w:w w:val="95"/>
        </w:rPr>
        <w:t> </w:t>
      </w:r>
      <w:r>
        <w:rPr>
          <w:w w:val="95"/>
        </w:rPr>
        <w:t>Saneago</w:t>
      </w:r>
      <w:r>
        <w:rPr>
          <w:spacing w:val="-22"/>
          <w:w w:val="95"/>
        </w:rPr>
        <w:t> </w:t>
      </w:r>
      <w:r>
        <w:rPr>
          <w:w w:val="95"/>
        </w:rPr>
        <w:t>ajuizou</w:t>
      </w:r>
      <w:r>
        <w:rPr>
          <w:spacing w:val="-24"/>
          <w:w w:val="95"/>
        </w:rPr>
        <w:t> </w:t>
      </w:r>
      <w:r>
        <w:rPr>
          <w:w w:val="95"/>
        </w:rPr>
        <w:t>ação</w:t>
      </w:r>
      <w:r>
        <w:rPr>
          <w:spacing w:val="-24"/>
          <w:w w:val="95"/>
        </w:rPr>
        <w:t> </w:t>
      </w:r>
      <w:r>
        <w:rPr>
          <w:w w:val="95"/>
        </w:rPr>
        <w:t>de</w:t>
      </w:r>
      <w:r>
        <w:rPr>
          <w:spacing w:val="-22"/>
          <w:w w:val="95"/>
        </w:rPr>
        <w:t> </w:t>
      </w:r>
      <w:r>
        <w:rPr>
          <w:w w:val="95"/>
        </w:rPr>
        <w:t>cobrança</w:t>
      </w:r>
      <w:r>
        <w:rPr>
          <w:spacing w:val="-23"/>
          <w:w w:val="95"/>
        </w:rPr>
        <w:t> </w:t>
      </w:r>
      <w:r>
        <w:rPr>
          <w:w w:val="95"/>
        </w:rPr>
        <w:t>contra</w:t>
      </w:r>
      <w:r>
        <w:rPr>
          <w:spacing w:val="-23"/>
          <w:w w:val="95"/>
        </w:rPr>
        <w:t> </w:t>
      </w:r>
      <w:r>
        <w:rPr>
          <w:w w:val="95"/>
        </w:rPr>
        <w:t>a</w:t>
      </w:r>
      <w:r>
        <w:rPr>
          <w:spacing w:val="-23"/>
          <w:w w:val="95"/>
        </w:rPr>
        <w:t> </w:t>
      </w:r>
      <w:r>
        <w:rPr>
          <w:w w:val="95"/>
        </w:rPr>
        <w:t>Corumbá</w:t>
      </w:r>
      <w:r>
        <w:rPr>
          <w:spacing w:val="-23"/>
          <w:w w:val="95"/>
        </w:rPr>
        <w:t> </w:t>
      </w:r>
      <w:r>
        <w:rPr>
          <w:w w:val="95"/>
        </w:rPr>
        <w:t>Concessões</w:t>
      </w:r>
      <w:r>
        <w:rPr>
          <w:spacing w:val="-22"/>
          <w:w w:val="95"/>
        </w:rPr>
        <w:t> </w:t>
      </w:r>
      <w:r>
        <w:rPr>
          <w:w w:val="95"/>
        </w:rPr>
        <w:t>S.A.,</w:t>
      </w:r>
      <w:r>
        <w:rPr>
          <w:spacing w:val="-22"/>
          <w:w w:val="95"/>
        </w:rPr>
        <w:t> </w:t>
      </w:r>
      <w:r>
        <w:rPr>
          <w:w w:val="95"/>
        </w:rPr>
        <w:t>embasada </w:t>
      </w:r>
      <w:r>
        <w:rPr/>
        <w:t>no</w:t>
      </w:r>
      <w:r>
        <w:rPr>
          <w:spacing w:val="-6"/>
        </w:rPr>
        <w:t> </w:t>
      </w:r>
      <w:r>
        <w:rPr/>
        <w:t>argumento</w:t>
      </w:r>
      <w:r>
        <w:rPr>
          <w:spacing w:val="-3"/>
        </w:rPr>
        <w:t> </w:t>
      </w:r>
      <w:r>
        <w:rPr/>
        <w:t>de</w:t>
      </w:r>
      <w:r>
        <w:rPr>
          <w:spacing w:val="-2"/>
        </w:rPr>
        <w:t> </w:t>
      </w:r>
      <w:r>
        <w:rPr/>
        <w:t>que</w:t>
      </w:r>
      <w:r>
        <w:rPr>
          <w:spacing w:val="-4"/>
        </w:rPr>
        <w:t> </w:t>
      </w:r>
      <w:r>
        <w:rPr/>
        <w:t>ocorreu</w:t>
      </w:r>
      <w:r>
        <w:rPr>
          <w:spacing w:val="-4"/>
        </w:rPr>
        <w:t> </w:t>
      </w:r>
      <w:r>
        <w:rPr/>
        <w:t>a</w:t>
      </w:r>
      <w:r>
        <w:rPr>
          <w:spacing w:val="-2"/>
        </w:rPr>
        <w:t> </w:t>
      </w:r>
      <w:r>
        <w:rPr/>
        <w:t>inundação</w:t>
      </w:r>
      <w:r>
        <w:rPr>
          <w:spacing w:val="-5"/>
        </w:rPr>
        <w:t> </w:t>
      </w:r>
      <w:r>
        <w:rPr/>
        <w:t>de</w:t>
      </w:r>
      <w:r>
        <w:rPr>
          <w:spacing w:val="-5"/>
        </w:rPr>
        <w:t> </w:t>
      </w:r>
      <w:r>
        <w:rPr/>
        <w:t>uma</w:t>
      </w:r>
      <w:r>
        <w:rPr>
          <w:spacing w:val="-2"/>
        </w:rPr>
        <w:t> </w:t>
      </w:r>
      <w:r>
        <w:rPr/>
        <w:t>obra</w:t>
      </w:r>
      <w:r>
        <w:rPr>
          <w:spacing w:val="-4"/>
        </w:rPr>
        <w:t> </w:t>
      </w:r>
      <w:r>
        <w:rPr/>
        <w:t>de</w:t>
      </w:r>
      <w:r>
        <w:rPr>
          <w:spacing w:val="-6"/>
        </w:rPr>
        <w:t> </w:t>
      </w:r>
      <w:r>
        <w:rPr/>
        <w:t>captação</w:t>
      </w:r>
      <w:r>
        <w:rPr>
          <w:spacing w:val="-3"/>
        </w:rPr>
        <w:t> </w:t>
      </w:r>
      <w:r>
        <w:rPr/>
        <w:t>de</w:t>
      </w:r>
      <w:r>
        <w:rPr>
          <w:spacing w:val="-4"/>
        </w:rPr>
        <w:t> </w:t>
      </w:r>
      <w:r>
        <w:rPr/>
        <w:t>água</w:t>
      </w:r>
      <w:r>
        <w:rPr>
          <w:spacing w:val="-2"/>
        </w:rPr>
        <w:t> </w:t>
      </w:r>
      <w:r>
        <w:rPr/>
        <w:t>bruta,</w:t>
      </w:r>
      <w:r>
        <w:rPr>
          <w:spacing w:val="-5"/>
        </w:rPr>
        <w:t> </w:t>
      </w:r>
      <w:r>
        <w:rPr/>
        <w:t>de</w:t>
      </w:r>
      <w:r>
        <w:rPr>
          <w:spacing w:val="-6"/>
        </w:rPr>
        <w:t> </w:t>
      </w:r>
      <w:r>
        <w:rPr/>
        <w:t>sua</w:t>
      </w:r>
      <w:r>
        <w:rPr>
          <w:spacing w:val="-2"/>
        </w:rPr>
        <w:t> </w:t>
      </w:r>
      <w:r>
        <w:rPr/>
        <w:t>propriedade,</w:t>
      </w:r>
      <w:r>
        <w:rPr>
          <w:spacing w:val="-3"/>
        </w:rPr>
        <w:t> </w:t>
      </w:r>
      <w:r>
        <w:rPr/>
        <w:t>no</w:t>
      </w:r>
      <w:r>
        <w:rPr>
          <w:spacing w:val="-2"/>
        </w:rPr>
        <w:t> </w:t>
      </w:r>
      <w:r>
        <w:rPr/>
        <w:t>rio Corumbá, em decorrência da formação do lago para produção de energia hidrelétrica, de responsabilidade da Corumbá</w:t>
      </w:r>
      <w:r>
        <w:rPr>
          <w:spacing w:val="-37"/>
        </w:rPr>
        <w:t> </w:t>
      </w:r>
      <w:r>
        <w:rPr/>
        <w:t>Concessões</w:t>
      </w:r>
      <w:r>
        <w:rPr>
          <w:spacing w:val="-35"/>
        </w:rPr>
        <w:t> </w:t>
      </w:r>
      <w:r>
        <w:rPr/>
        <w:t>S.A.,</w:t>
      </w:r>
      <w:r>
        <w:rPr>
          <w:spacing w:val="-35"/>
        </w:rPr>
        <w:t> </w:t>
      </w:r>
      <w:r>
        <w:rPr/>
        <w:t>restando</w:t>
      </w:r>
      <w:r>
        <w:rPr>
          <w:spacing w:val="-37"/>
        </w:rPr>
        <w:t> </w:t>
      </w:r>
      <w:r>
        <w:rPr/>
        <w:t>à</w:t>
      </w:r>
      <w:r>
        <w:rPr>
          <w:spacing w:val="-36"/>
        </w:rPr>
        <w:t> </w:t>
      </w:r>
      <w:r>
        <w:rPr/>
        <w:t>autora</w:t>
      </w:r>
      <w:r>
        <w:rPr>
          <w:spacing w:val="-36"/>
        </w:rPr>
        <w:t> </w:t>
      </w:r>
      <w:r>
        <w:rPr/>
        <w:t>da</w:t>
      </w:r>
      <w:r>
        <w:rPr>
          <w:spacing w:val="-37"/>
        </w:rPr>
        <w:t> </w:t>
      </w:r>
      <w:r>
        <w:rPr/>
        <w:t>ação</w:t>
      </w:r>
      <w:r>
        <w:rPr>
          <w:spacing w:val="-36"/>
        </w:rPr>
        <w:t> </w:t>
      </w:r>
      <w:r>
        <w:rPr/>
        <w:t>judicial,</w:t>
      </w:r>
      <w:r>
        <w:rPr>
          <w:spacing w:val="-37"/>
        </w:rPr>
        <w:t> </w:t>
      </w:r>
      <w:r>
        <w:rPr/>
        <w:t>o</w:t>
      </w:r>
      <w:r>
        <w:rPr>
          <w:spacing w:val="-37"/>
        </w:rPr>
        <w:t> </w:t>
      </w:r>
      <w:r>
        <w:rPr/>
        <w:t>prejuízo</w:t>
      </w:r>
      <w:r>
        <w:rPr>
          <w:spacing w:val="-35"/>
        </w:rPr>
        <w:t> </w:t>
      </w:r>
      <w:r>
        <w:rPr/>
        <w:t>de</w:t>
      </w:r>
      <w:r>
        <w:rPr>
          <w:spacing w:val="-36"/>
        </w:rPr>
        <w:t> </w:t>
      </w:r>
      <w:r>
        <w:rPr/>
        <w:t>R$</w:t>
      </w:r>
      <w:r>
        <w:rPr>
          <w:spacing w:val="-37"/>
        </w:rPr>
        <w:t> </w:t>
      </w:r>
      <w:r>
        <w:rPr/>
        <w:t>24.021,</w:t>
      </w:r>
      <w:r>
        <w:rPr>
          <w:spacing w:val="-35"/>
        </w:rPr>
        <w:t> </w:t>
      </w:r>
      <w:r>
        <w:rPr/>
        <w:t>orçado</w:t>
      </w:r>
      <w:r>
        <w:rPr>
          <w:spacing w:val="-36"/>
        </w:rPr>
        <w:t> </w:t>
      </w:r>
      <w:r>
        <w:rPr/>
        <w:t>em</w:t>
      </w:r>
      <w:r>
        <w:rPr>
          <w:spacing w:val="-35"/>
        </w:rPr>
        <w:t> </w:t>
      </w:r>
      <w:r>
        <w:rPr/>
        <w:t>outubro</w:t>
      </w:r>
      <w:r>
        <w:rPr>
          <w:spacing w:val="-35"/>
        </w:rPr>
        <w:t> </w:t>
      </w:r>
      <w:r>
        <w:rPr/>
        <w:t>de</w:t>
      </w:r>
      <w:r>
        <w:rPr>
          <w:spacing w:val="-38"/>
        </w:rPr>
        <w:t> </w:t>
      </w:r>
      <w:r>
        <w:rPr/>
        <w:t>2006.</w:t>
      </w:r>
    </w:p>
    <w:p>
      <w:pPr>
        <w:pStyle w:val="BodyText"/>
        <w:spacing w:before="5"/>
      </w:pPr>
    </w:p>
    <w:p>
      <w:pPr>
        <w:pStyle w:val="BodyText"/>
        <w:spacing w:line="242" w:lineRule="auto"/>
        <w:ind w:left="192" w:right="605"/>
        <w:jc w:val="both"/>
      </w:pPr>
      <w:r>
        <w:rPr/>
        <w:t>A</w:t>
      </w:r>
      <w:r>
        <w:rPr>
          <w:spacing w:val="-41"/>
        </w:rPr>
        <w:t> </w:t>
      </w:r>
      <w:r>
        <w:rPr/>
        <w:t>Corumbá</w:t>
      </w:r>
      <w:r>
        <w:rPr>
          <w:spacing w:val="-39"/>
        </w:rPr>
        <w:t> </w:t>
      </w:r>
      <w:r>
        <w:rPr/>
        <w:t>Concessões</w:t>
      </w:r>
      <w:r>
        <w:rPr>
          <w:spacing w:val="-40"/>
        </w:rPr>
        <w:t> </w:t>
      </w:r>
      <w:r>
        <w:rPr/>
        <w:t>S.A.,</w:t>
      </w:r>
      <w:r>
        <w:rPr>
          <w:spacing w:val="-39"/>
        </w:rPr>
        <w:t> </w:t>
      </w:r>
      <w:r>
        <w:rPr/>
        <w:t>por</w:t>
      </w:r>
      <w:r>
        <w:rPr>
          <w:spacing w:val="-41"/>
        </w:rPr>
        <w:t> </w:t>
      </w:r>
      <w:r>
        <w:rPr/>
        <w:t>sua</w:t>
      </w:r>
      <w:r>
        <w:rPr>
          <w:spacing w:val="-40"/>
        </w:rPr>
        <w:t> </w:t>
      </w:r>
      <w:r>
        <w:rPr/>
        <w:t>vez,</w:t>
      </w:r>
      <w:r>
        <w:rPr>
          <w:spacing w:val="-40"/>
        </w:rPr>
        <w:t> </w:t>
      </w:r>
      <w:r>
        <w:rPr/>
        <w:t>alegou</w:t>
      </w:r>
      <w:r>
        <w:rPr>
          <w:spacing w:val="-39"/>
        </w:rPr>
        <w:t> </w:t>
      </w:r>
      <w:r>
        <w:rPr/>
        <w:t>que</w:t>
      </w:r>
      <w:r>
        <w:rPr>
          <w:spacing w:val="-40"/>
        </w:rPr>
        <w:t> </w:t>
      </w:r>
      <w:r>
        <w:rPr/>
        <w:t>tinha</w:t>
      </w:r>
      <w:r>
        <w:rPr>
          <w:spacing w:val="-40"/>
        </w:rPr>
        <w:t> </w:t>
      </w:r>
      <w:r>
        <w:rPr/>
        <w:t>conhecimento</w:t>
      </w:r>
      <w:r>
        <w:rPr>
          <w:spacing w:val="-40"/>
        </w:rPr>
        <w:t> </w:t>
      </w:r>
      <w:r>
        <w:rPr/>
        <w:t>da</w:t>
      </w:r>
      <w:r>
        <w:rPr>
          <w:spacing w:val="-40"/>
        </w:rPr>
        <w:t> </w:t>
      </w:r>
      <w:r>
        <w:rPr/>
        <w:t>interferência</w:t>
      </w:r>
      <w:r>
        <w:rPr>
          <w:spacing w:val="-39"/>
        </w:rPr>
        <w:t> </w:t>
      </w:r>
      <w:r>
        <w:rPr/>
        <w:t>das</w:t>
      </w:r>
      <w:r>
        <w:rPr>
          <w:spacing w:val="-40"/>
        </w:rPr>
        <w:t> </w:t>
      </w:r>
      <w:r>
        <w:rPr/>
        <w:t>obras</w:t>
      </w:r>
      <w:r>
        <w:rPr>
          <w:spacing w:val="-40"/>
        </w:rPr>
        <w:t> </w:t>
      </w:r>
      <w:r>
        <w:rPr/>
        <w:t>que</w:t>
      </w:r>
      <w:r>
        <w:rPr>
          <w:spacing w:val="-41"/>
        </w:rPr>
        <w:t> </w:t>
      </w:r>
      <w:r>
        <w:rPr/>
        <w:t>seriam</w:t>
      </w:r>
      <w:r>
        <w:rPr>
          <w:spacing w:val="-40"/>
        </w:rPr>
        <w:t> </w:t>
      </w:r>
      <w:r>
        <w:rPr/>
        <w:t>feitas sobre</w:t>
      </w:r>
      <w:r>
        <w:rPr>
          <w:spacing w:val="-28"/>
        </w:rPr>
        <w:t> </w:t>
      </w:r>
      <w:r>
        <w:rPr/>
        <w:t>a</w:t>
      </w:r>
      <w:r>
        <w:rPr>
          <w:spacing w:val="-24"/>
        </w:rPr>
        <w:t> </w:t>
      </w:r>
      <w:r>
        <w:rPr/>
        <w:t>construção</w:t>
      </w:r>
      <w:r>
        <w:rPr>
          <w:spacing w:val="-27"/>
        </w:rPr>
        <w:t> </w:t>
      </w:r>
      <w:r>
        <w:rPr/>
        <w:t>da</w:t>
      </w:r>
      <w:r>
        <w:rPr>
          <w:spacing w:val="-25"/>
        </w:rPr>
        <w:t> </w:t>
      </w:r>
      <w:r>
        <w:rPr/>
        <w:t>estação</w:t>
      </w:r>
      <w:r>
        <w:rPr>
          <w:spacing w:val="-27"/>
        </w:rPr>
        <w:t> </w:t>
      </w:r>
      <w:r>
        <w:rPr/>
        <w:t>de</w:t>
      </w:r>
      <w:r>
        <w:rPr>
          <w:spacing w:val="-26"/>
        </w:rPr>
        <w:t> </w:t>
      </w:r>
      <w:r>
        <w:rPr/>
        <w:t>captação</w:t>
      </w:r>
      <w:r>
        <w:rPr>
          <w:spacing w:val="-27"/>
        </w:rPr>
        <w:t> </w:t>
      </w:r>
      <w:r>
        <w:rPr/>
        <w:t>de</w:t>
      </w:r>
      <w:r>
        <w:rPr>
          <w:spacing w:val="-26"/>
        </w:rPr>
        <w:t> </w:t>
      </w:r>
      <w:r>
        <w:rPr/>
        <w:t>água</w:t>
      </w:r>
      <w:r>
        <w:rPr>
          <w:spacing w:val="-25"/>
        </w:rPr>
        <w:t> </w:t>
      </w:r>
      <w:r>
        <w:rPr/>
        <w:t>já</w:t>
      </w:r>
      <w:r>
        <w:rPr>
          <w:spacing w:val="-26"/>
        </w:rPr>
        <w:t> </w:t>
      </w:r>
      <w:r>
        <w:rPr/>
        <w:t>iniciada</w:t>
      </w:r>
      <w:r>
        <w:rPr>
          <w:spacing w:val="-26"/>
        </w:rPr>
        <w:t> </w:t>
      </w:r>
      <w:r>
        <w:rPr/>
        <w:t>pela</w:t>
      </w:r>
      <w:r>
        <w:rPr>
          <w:spacing w:val="-25"/>
        </w:rPr>
        <w:t> </w:t>
      </w:r>
      <w:r>
        <w:rPr/>
        <w:t>Saneago,</w:t>
      </w:r>
      <w:r>
        <w:rPr>
          <w:spacing w:val="-25"/>
        </w:rPr>
        <w:t> </w:t>
      </w:r>
      <w:r>
        <w:rPr/>
        <w:t>e</w:t>
      </w:r>
      <w:r>
        <w:rPr>
          <w:spacing w:val="-26"/>
        </w:rPr>
        <w:t> </w:t>
      </w:r>
      <w:r>
        <w:rPr/>
        <w:t>que</w:t>
      </w:r>
      <w:r>
        <w:rPr>
          <w:spacing w:val="-26"/>
        </w:rPr>
        <w:t> </w:t>
      </w:r>
      <w:r>
        <w:rPr/>
        <w:t>desde</w:t>
      </w:r>
      <w:r>
        <w:rPr>
          <w:spacing w:val="-26"/>
        </w:rPr>
        <w:t> </w:t>
      </w:r>
      <w:r>
        <w:rPr/>
        <w:t>a</w:t>
      </w:r>
      <w:r>
        <w:rPr>
          <w:spacing w:val="-26"/>
        </w:rPr>
        <w:t> </w:t>
      </w:r>
      <w:r>
        <w:rPr/>
        <w:t>assinatura</w:t>
      </w:r>
      <w:r>
        <w:rPr>
          <w:spacing w:val="-26"/>
        </w:rPr>
        <w:t> </w:t>
      </w:r>
      <w:r>
        <w:rPr/>
        <w:t>do</w:t>
      </w:r>
      <w:r>
        <w:rPr>
          <w:spacing w:val="-26"/>
        </w:rPr>
        <w:t> </w:t>
      </w:r>
      <w:r>
        <w:rPr/>
        <w:t>Termo</w:t>
      </w:r>
      <w:r>
        <w:rPr>
          <w:spacing w:val="-24"/>
        </w:rPr>
        <w:t> </w:t>
      </w:r>
      <w:r>
        <w:rPr/>
        <w:t>de Compromisso, cumpriu com as obrigações referentes à primeira fase da obra, tendo sido impedida de dar prosseguimento</w:t>
      </w:r>
      <w:r>
        <w:rPr>
          <w:spacing w:val="-44"/>
        </w:rPr>
        <w:t> </w:t>
      </w:r>
      <w:r>
        <w:rPr/>
        <w:t>à</w:t>
      </w:r>
      <w:r>
        <w:rPr>
          <w:spacing w:val="-44"/>
        </w:rPr>
        <w:t> </w:t>
      </w:r>
      <w:r>
        <w:rPr/>
        <w:t>segunda</w:t>
      </w:r>
      <w:r>
        <w:rPr>
          <w:spacing w:val="-43"/>
        </w:rPr>
        <w:t> </w:t>
      </w:r>
      <w:r>
        <w:rPr/>
        <w:t>etapa</w:t>
      </w:r>
      <w:r>
        <w:rPr>
          <w:spacing w:val="-43"/>
        </w:rPr>
        <w:t> </w:t>
      </w:r>
      <w:r>
        <w:rPr/>
        <w:t>da</w:t>
      </w:r>
      <w:r>
        <w:rPr>
          <w:spacing w:val="-44"/>
        </w:rPr>
        <w:t> </w:t>
      </w:r>
      <w:r>
        <w:rPr/>
        <w:t>construção,</w:t>
      </w:r>
      <w:r>
        <w:rPr>
          <w:spacing w:val="-43"/>
        </w:rPr>
        <w:t> </w:t>
      </w:r>
      <w:r>
        <w:rPr/>
        <w:t>por</w:t>
      </w:r>
      <w:r>
        <w:rPr>
          <w:spacing w:val="-44"/>
        </w:rPr>
        <w:t> </w:t>
      </w:r>
      <w:r>
        <w:rPr/>
        <w:t>fatos</w:t>
      </w:r>
      <w:r>
        <w:rPr>
          <w:spacing w:val="-43"/>
        </w:rPr>
        <w:t> </w:t>
      </w:r>
      <w:r>
        <w:rPr/>
        <w:t>alheios</w:t>
      </w:r>
      <w:r>
        <w:rPr>
          <w:spacing w:val="-43"/>
        </w:rPr>
        <w:t> </w:t>
      </w:r>
      <w:r>
        <w:rPr/>
        <w:t>à</w:t>
      </w:r>
      <w:r>
        <w:rPr>
          <w:spacing w:val="-44"/>
        </w:rPr>
        <w:t> </w:t>
      </w:r>
      <w:r>
        <w:rPr/>
        <w:t>sua</w:t>
      </w:r>
      <w:r>
        <w:rPr>
          <w:spacing w:val="-43"/>
        </w:rPr>
        <w:t> </w:t>
      </w:r>
      <w:r>
        <w:rPr/>
        <w:t>vontade,</w:t>
      </w:r>
      <w:r>
        <w:rPr>
          <w:spacing w:val="-44"/>
        </w:rPr>
        <w:t> </w:t>
      </w:r>
      <w:r>
        <w:rPr/>
        <w:t>por</w:t>
      </w:r>
      <w:r>
        <w:rPr>
          <w:spacing w:val="-43"/>
        </w:rPr>
        <w:t> </w:t>
      </w:r>
      <w:r>
        <w:rPr/>
        <w:t>parte</w:t>
      </w:r>
      <w:r>
        <w:rPr>
          <w:spacing w:val="-45"/>
        </w:rPr>
        <w:t> </w:t>
      </w:r>
      <w:r>
        <w:rPr/>
        <w:t>da</w:t>
      </w:r>
      <w:r>
        <w:rPr>
          <w:spacing w:val="-42"/>
        </w:rPr>
        <w:t> </w:t>
      </w:r>
      <w:r>
        <w:rPr/>
        <w:t>resistência</w:t>
      </w:r>
      <w:r>
        <w:rPr>
          <w:spacing w:val="-44"/>
        </w:rPr>
        <w:t> </w:t>
      </w:r>
      <w:r>
        <w:rPr/>
        <w:t>apresentada pelos</w:t>
      </w:r>
      <w:r>
        <w:rPr>
          <w:spacing w:val="-35"/>
        </w:rPr>
        <w:t> </w:t>
      </w:r>
      <w:r>
        <w:rPr/>
        <w:t>proprietários</w:t>
      </w:r>
      <w:r>
        <w:rPr>
          <w:spacing w:val="-34"/>
        </w:rPr>
        <w:t> </w:t>
      </w:r>
      <w:r>
        <w:rPr/>
        <w:t>dos</w:t>
      </w:r>
      <w:r>
        <w:rPr>
          <w:spacing w:val="-34"/>
        </w:rPr>
        <w:t> </w:t>
      </w:r>
      <w:r>
        <w:rPr/>
        <w:t>imóveis</w:t>
      </w:r>
      <w:r>
        <w:rPr>
          <w:spacing w:val="-34"/>
        </w:rPr>
        <w:t> </w:t>
      </w:r>
      <w:r>
        <w:rPr/>
        <w:t>situados</w:t>
      </w:r>
      <w:r>
        <w:rPr>
          <w:spacing w:val="-35"/>
        </w:rPr>
        <w:t> </w:t>
      </w:r>
      <w:r>
        <w:rPr/>
        <w:t>nas</w:t>
      </w:r>
      <w:r>
        <w:rPr>
          <w:spacing w:val="-34"/>
        </w:rPr>
        <w:t> </w:t>
      </w:r>
      <w:r>
        <w:rPr/>
        <w:t>proximidades</w:t>
      </w:r>
      <w:r>
        <w:rPr>
          <w:spacing w:val="-34"/>
        </w:rPr>
        <w:t> </w:t>
      </w:r>
      <w:r>
        <w:rPr/>
        <w:t>da</w:t>
      </w:r>
      <w:r>
        <w:rPr>
          <w:spacing w:val="-34"/>
        </w:rPr>
        <w:t> </w:t>
      </w:r>
      <w:r>
        <w:rPr/>
        <w:t>área</w:t>
      </w:r>
      <w:r>
        <w:rPr>
          <w:spacing w:val="-35"/>
        </w:rPr>
        <w:t> </w:t>
      </w:r>
      <w:r>
        <w:rPr/>
        <w:t>e</w:t>
      </w:r>
      <w:r>
        <w:rPr>
          <w:spacing w:val="-35"/>
        </w:rPr>
        <w:t> </w:t>
      </w:r>
      <w:r>
        <w:rPr/>
        <w:t>a</w:t>
      </w:r>
      <w:r>
        <w:rPr>
          <w:spacing w:val="-34"/>
        </w:rPr>
        <w:t> </w:t>
      </w:r>
      <w:r>
        <w:rPr/>
        <w:t>fiscalização</w:t>
      </w:r>
      <w:r>
        <w:rPr>
          <w:spacing w:val="-35"/>
        </w:rPr>
        <w:t> </w:t>
      </w:r>
      <w:r>
        <w:rPr/>
        <w:t>do</w:t>
      </w:r>
      <w:r>
        <w:rPr>
          <w:spacing w:val="-35"/>
        </w:rPr>
        <w:t> </w:t>
      </w:r>
      <w:r>
        <w:rPr/>
        <w:t>Ibama</w:t>
      </w:r>
      <w:r>
        <w:rPr>
          <w:spacing w:val="-30"/>
        </w:rPr>
        <w:t> </w:t>
      </w:r>
      <w:r>
        <w:rPr/>
        <w:t>no</w:t>
      </w:r>
      <w:r>
        <w:rPr>
          <w:spacing w:val="-35"/>
        </w:rPr>
        <w:t> </w:t>
      </w:r>
      <w:r>
        <w:rPr/>
        <w:t>Distritp</w:t>
      </w:r>
      <w:r>
        <w:rPr>
          <w:spacing w:val="-35"/>
        </w:rPr>
        <w:t> </w:t>
      </w:r>
      <w:r>
        <w:rPr/>
        <w:t>Federal</w:t>
      </w:r>
      <w:r>
        <w:rPr>
          <w:spacing w:val="-34"/>
        </w:rPr>
        <w:t> </w:t>
      </w:r>
      <w:r>
        <w:rPr/>
        <w:t>(DF).</w:t>
      </w:r>
    </w:p>
    <w:p>
      <w:pPr>
        <w:pStyle w:val="BodyText"/>
        <w:spacing w:before="9"/>
      </w:pPr>
    </w:p>
    <w:p>
      <w:pPr>
        <w:pStyle w:val="BodyText"/>
        <w:spacing w:line="242" w:lineRule="auto"/>
        <w:ind w:left="192" w:right="606"/>
        <w:jc w:val="both"/>
      </w:pPr>
      <w:r>
        <w:rPr/>
        <w:t>Posteriormente,</w:t>
      </w:r>
      <w:r>
        <w:rPr>
          <w:spacing w:val="-42"/>
        </w:rPr>
        <w:t> </w:t>
      </w:r>
      <w:r>
        <w:rPr/>
        <w:t>houve</w:t>
      </w:r>
      <w:r>
        <w:rPr>
          <w:spacing w:val="-42"/>
        </w:rPr>
        <w:t> </w:t>
      </w:r>
      <w:r>
        <w:rPr/>
        <w:t>a</w:t>
      </w:r>
      <w:r>
        <w:rPr>
          <w:spacing w:val="-41"/>
        </w:rPr>
        <w:t> </w:t>
      </w:r>
      <w:r>
        <w:rPr/>
        <w:t>emissão</w:t>
      </w:r>
      <w:r>
        <w:rPr>
          <w:spacing w:val="-41"/>
        </w:rPr>
        <w:t> </w:t>
      </w:r>
      <w:r>
        <w:rPr/>
        <w:t>da</w:t>
      </w:r>
      <w:r>
        <w:rPr>
          <w:spacing w:val="-41"/>
        </w:rPr>
        <w:t> </w:t>
      </w:r>
      <w:r>
        <w:rPr/>
        <w:t>sentença</w:t>
      </w:r>
      <w:r>
        <w:rPr>
          <w:spacing w:val="-41"/>
        </w:rPr>
        <w:t> </w:t>
      </w:r>
      <w:r>
        <w:rPr/>
        <w:t>que</w:t>
      </w:r>
      <w:r>
        <w:rPr>
          <w:spacing w:val="-42"/>
        </w:rPr>
        <w:t> </w:t>
      </w:r>
      <w:r>
        <w:rPr/>
        <w:t>julgou</w:t>
      </w:r>
      <w:r>
        <w:rPr>
          <w:spacing w:val="-41"/>
        </w:rPr>
        <w:t> </w:t>
      </w:r>
      <w:r>
        <w:rPr/>
        <w:t>parcialmente</w:t>
      </w:r>
      <w:r>
        <w:rPr>
          <w:spacing w:val="-42"/>
        </w:rPr>
        <w:t> </w:t>
      </w:r>
      <w:r>
        <w:rPr/>
        <w:t>procedente</w:t>
      </w:r>
      <w:r>
        <w:rPr>
          <w:spacing w:val="-42"/>
        </w:rPr>
        <w:t> </w:t>
      </w:r>
      <w:r>
        <w:rPr/>
        <w:t>o</w:t>
      </w:r>
      <w:r>
        <w:rPr>
          <w:spacing w:val="-41"/>
        </w:rPr>
        <w:t> </w:t>
      </w:r>
      <w:r>
        <w:rPr/>
        <w:t>pedido</w:t>
      </w:r>
      <w:r>
        <w:rPr>
          <w:spacing w:val="-42"/>
        </w:rPr>
        <w:t> </w:t>
      </w:r>
      <w:r>
        <w:rPr/>
        <w:t>da</w:t>
      </w:r>
      <w:r>
        <w:rPr>
          <w:spacing w:val="-42"/>
        </w:rPr>
        <w:t> </w:t>
      </w:r>
      <w:r>
        <w:rPr/>
        <w:t>Corumbá</w:t>
      </w:r>
      <w:r>
        <w:rPr>
          <w:spacing w:val="-41"/>
        </w:rPr>
        <w:t> </w:t>
      </w:r>
      <w:r>
        <w:rPr/>
        <w:t>Concessões </w:t>
      </w:r>
      <w:r>
        <w:rPr>
          <w:w w:val="95"/>
        </w:rPr>
        <w:t>S.A.,</w:t>
      </w:r>
      <w:r>
        <w:rPr>
          <w:spacing w:val="-24"/>
          <w:w w:val="95"/>
        </w:rPr>
        <w:t> </w:t>
      </w:r>
      <w:r>
        <w:rPr>
          <w:w w:val="95"/>
        </w:rPr>
        <w:t>pela</w:t>
      </w:r>
      <w:r>
        <w:rPr>
          <w:spacing w:val="-22"/>
          <w:w w:val="95"/>
        </w:rPr>
        <w:t> </w:t>
      </w:r>
      <w:r>
        <w:rPr>
          <w:w w:val="95"/>
        </w:rPr>
        <w:t>não</w:t>
      </w:r>
      <w:r>
        <w:rPr>
          <w:spacing w:val="-24"/>
          <w:w w:val="95"/>
        </w:rPr>
        <w:t> </w:t>
      </w:r>
      <w:r>
        <w:rPr>
          <w:w w:val="95"/>
        </w:rPr>
        <w:t>aplicação</w:t>
      </w:r>
      <w:r>
        <w:rPr>
          <w:spacing w:val="-23"/>
          <w:w w:val="95"/>
        </w:rPr>
        <w:t> </w:t>
      </w:r>
      <w:r>
        <w:rPr>
          <w:w w:val="95"/>
        </w:rPr>
        <w:t>da</w:t>
      </w:r>
      <w:r>
        <w:rPr>
          <w:spacing w:val="-22"/>
          <w:w w:val="95"/>
        </w:rPr>
        <w:t> </w:t>
      </w:r>
      <w:r>
        <w:rPr>
          <w:w w:val="95"/>
        </w:rPr>
        <w:t>multa</w:t>
      </w:r>
      <w:r>
        <w:rPr>
          <w:spacing w:val="-23"/>
          <w:w w:val="95"/>
        </w:rPr>
        <w:t> </w:t>
      </w:r>
      <w:r>
        <w:rPr>
          <w:w w:val="95"/>
        </w:rPr>
        <w:t>por</w:t>
      </w:r>
      <w:r>
        <w:rPr>
          <w:spacing w:val="-24"/>
          <w:w w:val="95"/>
        </w:rPr>
        <w:t> </w:t>
      </w:r>
      <w:r>
        <w:rPr>
          <w:w w:val="95"/>
        </w:rPr>
        <w:t>atraso</w:t>
      </w:r>
      <w:r>
        <w:rPr>
          <w:spacing w:val="-23"/>
          <w:w w:val="95"/>
        </w:rPr>
        <w:t> </w:t>
      </w:r>
      <w:r>
        <w:rPr>
          <w:w w:val="95"/>
        </w:rPr>
        <w:t>na</w:t>
      </w:r>
      <w:r>
        <w:rPr>
          <w:spacing w:val="-20"/>
          <w:w w:val="95"/>
        </w:rPr>
        <w:t> </w:t>
      </w:r>
      <w:r>
        <w:rPr>
          <w:w w:val="95"/>
        </w:rPr>
        <w:t>execução</w:t>
      </w:r>
      <w:r>
        <w:rPr>
          <w:spacing w:val="-23"/>
          <w:w w:val="95"/>
        </w:rPr>
        <w:t> </w:t>
      </w:r>
      <w:r>
        <w:rPr>
          <w:w w:val="95"/>
        </w:rPr>
        <w:t>da</w:t>
      </w:r>
      <w:r>
        <w:rPr>
          <w:spacing w:val="-22"/>
          <w:w w:val="95"/>
        </w:rPr>
        <w:t> </w:t>
      </w:r>
      <w:r>
        <w:rPr>
          <w:w w:val="95"/>
        </w:rPr>
        <w:t>obra,</w:t>
      </w:r>
      <w:r>
        <w:rPr>
          <w:spacing w:val="-21"/>
          <w:w w:val="95"/>
        </w:rPr>
        <w:t> </w:t>
      </w:r>
      <w:r>
        <w:rPr>
          <w:w w:val="95"/>
        </w:rPr>
        <w:t>eis</w:t>
      </w:r>
      <w:r>
        <w:rPr>
          <w:spacing w:val="-20"/>
          <w:w w:val="95"/>
        </w:rPr>
        <w:t> </w:t>
      </w:r>
      <w:r>
        <w:rPr>
          <w:w w:val="95"/>
        </w:rPr>
        <w:t>que</w:t>
      </w:r>
      <w:r>
        <w:rPr>
          <w:spacing w:val="-25"/>
          <w:w w:val="95"/>
        </w:rPr>
        <w:t> </w:t>
      </w:r>
      <w:r>
        <w:rPr>
          <w:w w:val="95"/>
        </w:rPr>
        <w:t>as</w:t>
      </w:r>
      <w:r>
        <w:rPr>
          <w:spacing w:val="-22"/>
          <w:w w:val="95"/>
        </w:rPr>
        <w:t> </w:t>
      </w:r>
      <w:r>
        <w:rPr>
          <w:w w:val="95"/>
        </w:rPr>
        <w:t>resistências</w:t>
      </w:r>
      <w:r>
        <w:rPr>
          <w:spacing w:val="-22"/>
          <w:w w:val="95"/>
        </w:rPr>
        <w:t> </w:t>
      </w:r>
      <w:r>
        <w:rPr>
          <w:w w:val="95"/>
        </w:rPr>
        <w:t>criadas</w:t>
      </w:r>
      <w:r>
        <w:rPr>
          <w:spacing w:val="-23"/>
          <w:w w:val="95"/>
        </w:rPr>
        <w:t> </w:t>
      </w:r>
      <w:r>
        <w:rPr>
          <w:w w:val="95"/>
        </w:rPr>
        <w:t>constituíram</w:t>
      </w:r>
      <w:r>
        <w:rPr>
          <w:spacing w:val="-23"/>
          <w:w w:val="95"/>
        </w:rPr>
        <w:t> </w:t>
      </w:r>
      <w:r>
        <w:rPr>
          <w:w w:val="95"/>
        </w:rPr>
        <w:t>situações </w:t>
      </w:r>
      <w:r>
        <w:rPr/>
        <w:t>não gerenciáveis pela empresa, que a impediram de cumprir as obrigações. Tal situação exclui, portanto, sua responsabilidade</w:t>
      </w:r>
      <w:r>
        <w:rPr>
          <w:spacing w:val="-36"/>
        </w:rPr>
        <w:t> </w:t>
      </w:r>
      <w:r>
        <w:rPr/>
        <w:t>pela</w:t>
      </w:r>
      <w:r>
        <w:rPr>
          <w:spacing w:val="-34"/>
        </w:rPr>
        <w:t> </w:t>
      </w:r>
      <w:r>
        <w:rPr/>
        <w:t>mora,</w:t>
      </w:r>
      <w:r>
        <w:rPr>
          <w:spacing w:val="-33"/>
        </w:rPr>
        <w:t> </w:t>
      </w:r>
      <w:r>
        <w:rPr/>
        <w:t>não</w:t>
      </w:r>
      <w:r>
        <w:rPr>
          <w:spacing w:val="-34"/>
        </w:rPr>
        <w:t> </w:t>
      </w:r>
      <w:r>
        <w:rPr/>
        <w:t>sendo</w:t>
      </w:r>
      <w:r>
        <w:rPr>
          <w:spacing w:val="-34"/>
        </w:rPr>
        <w:t> </w:t>
      </w:r>
      <w:r>
        <w:rPr/>
        <w:t>cabível</w:t>
      </w:r>
      <w:r>
        <w:rPr>
          <w:spacing w:val="-34"/>
        </w:rPr>
        <w:t> </w:t>
      </w:r>
      <w:r>
        <w:rPr/>
        <w:t>a</w:t>
      </w:r>
      <w:r>
        <w:rPr>
          <w:spacing w:val="-34"/>
        </w:rPr>
        <w:t> </w:t>
      </w:r>
      <w:r>
        <w:rPr/>
        <w:t>condenação</w:t>
      </w:r>
      <w:r>
        <w:rPr>
          <w:spacing w:val="-34"/>
        </w:rPr>
        <w:t> </w:t>
      </w:r>
      <w:r>
        <w:rPr/>
        <w:t>ao</w:t>
      </w:r>
      <w:r>
        <w:rPr>
          <w:spacing w:val="-35"/>
        </w:rPr>
        <w:t> </w:t>
      </w:r>
      <w:r>
        <w:rPr/>
        <w:t>pagamento</w:t>
      </w:r>
      <w:r>
        <w:rPr>
          <w:spacing w:val="-34"/>
        </w:rPr>
        <w:t> </w:t>
      </w:r>
      <w:r>
        <w:rPr/>
        <w:t>da</w:t>
      </w:r>
      <w:r>
        <w:rPr>
          <w:spacing w:val="-34"/>
        </w:rPr>
        <w:t> </w:t>
      </w:r>
      <w:r>
        <w:rPr/>
        <w:t>multa</w:t>
      </w:r>
      <w:r>
        <w:rPr>
          <w:spacing w:val="-34"/>
        </w:rPr>
        <w:t> </w:t>
      </w:r>
      <w:r>
        <w:rPr/>
        <w:t>contratual.</w:t>
      </w:r>
      <w:r>
        <w:rPr>
          <w:spacing w:val="-35"/>
        </w:rPr>
        <w:t> </w:t>
      </w:r>
      <w:r>
        <w:rPr/>
        <w:t>Entretanto,</w:t>
      </w:r>
      <w:r>
        <w:rPr>
          <w:spacing w:val="-34"/>
        </w:rPr>
        <w:t> </w:t>
      </w:r>
      <w:r>
        <w:rPr/>
        <w:t>o</w:t>
      </w:r>
      <w:r>
        <w:rPr>
          <w:spacing w:val="-26"/>
        </w:rPr>
        <w:t> </w:t>
      </w:r>
      <w:r>
        <w:rPr/>
        <w:t>Juiz entendeu</w:t>
      </w:r>
      <w:r>
        <w:rPr>
          <w:spacing w:val="-22"/>
        </w:rPr>
        <w:t> </w:t>
      </w:r>
      <w:r>
        <w:rPr/>
        <w:t>ser</w:t>
      </w:r>
      <w:r>
        <w:rPr>
          <w:spacing w:val="-21"/>
        </w:rPr>
        <w:t> </w:t>
      </w:r>
      <w:r>
        <w:rPr/>
        <w:t>necessário,</w:t>
      </w:r>
      <w:r>
        <w:rPr>
          <w:spacing w:val="-22"/>
        </w:rPr>
        <w:t> </w:t>
      </w:r>
      <w:r>
        <w:rPr/>
        <w:t>em</w:t>
      </w:r>
      <w:r>
        <w:rPr>
          <w:spacing w:val="-22"/>
        </w:rPr>
        <w:t> </w:t>
      </w:r>
      <w:r>
        <w:rPr/>
        <w:t>procedimento</w:t>
      </w:r>
      <w:r>
        <w:rPr>
          <w:spacing w:val="-22"/>
        </w:rPr>
        <w:t> </w:t>
      </w:r>
      <w:r>
        <w:rPr/>
        <w:t>de</w:t>
      </w:r>
      <w:r>
        <w:rPr>
          <w:spacing w:val="-22"/>
        </w:rPr>
        <w:t> </w:t>
      </w:r>
      <w:r>
        <w:rPr/>
        <w:t>liquidação</w:t>
      </w:r>
      <w:r>
        <w:rPr>
          <w:spacing w:val="-21"/>
        </w:rPr>
        <w:t> </w:t>
      </w:r>
      <w:r>
        <w:rPr/>
        <w:t>de</w:t>
      </w:r>
      <w:r>
        <w:rPr>
          <w:spacing w:val="-23"/>
        </w:rPr>
        <w:t> </w:t>
      </w:r>
      <w:r>
        <w:rPr/>
        <w:t>sentença,</w:t>
      </w:r>
      <w:r>
        <w:rPr>
          <w:spacing w:val="-22"/>
        </w:rPr>
        <w:t> </w:t>
      </w:r>
      <w:r>
        <w:rPr/>
        <w:t>se</w:t>
      </w:r>
      <w:r>
        <w:rPr>
          <w:spacing w:val="-22"/>
        </w:rPr>
        <w:t> </w:t>
      </w:r>
      <w:r>
        <w:rPr/>
        <w:t>apurar</w:t>
      </w:r>
      <w:r>
        <w:rPr>
          <w:spacing w:val="-22"/>
        </w:rPr>
        <w:t> </w:t>
      </w:r>
      <w:r>
        <w:rPr/>
        <w:t>a</w:t>
      </w:r>
      <w:r>
        <w:rPr>
          <w:spacing w:val="-20"/>
        </w:rPr>
        <w:t> </w:t>
      </w:r>
      <w:r>
        <w:rPr/>
        <w:t>quantia</w:t>
      </w:r>
      <w:r>
        <w:rPr>
          <w:spacing w:val="-21"/>
        </w:rPr>
        <w:t> </w:t>
      </w:r>
      <w:r>
        <w:rPr/>
        <w:t>devida,</w:t>
      </w:r>
      <w:r>
        <w:rPr>
          <w:spacing w:val="-22"/>
        </w:rPr>
        <w:t> </w:t>
      </w:r>
      <w:r>
        <w:rPr/>
        <w:t>o</w:t>
      </w:r>
      <w:r>
        <w:rPr>
          <w:spacing w:val="-21"/>
        </w:rPr>
        <w:t> </w:t>
      </w:r>
      <w:r>
        <w:rPr/>
        <w:t>que</w:t>
      </w:r>
      <w:r>
        <w:rPr>
          <w:spacing w:val="-22"/>
        </w:rPr>
        <w:t> </w:t>
      </w:r>
      <w:r>
        <w:rPr/>
        <w:t>requer</w:t>
      </w:r>
      <w:r>
        <w:rPr>
          <w:spacing w:val="-23"/>
        </w:rPr>
        <w:t> </w:t>
      </w:r>
      <w:r>
        <w:rPr/>
        <w:t>o auxílio</w:t>
      </w:r>
      <w:r>
        <w:rPr>
          <w:spacing w:val="-20"/>
        </w:rPr>
        <w:t> </w:t>
      </w:r>
      <w:r>
        <w:rPr/>
        <w:t>de</w:t>
      </w:r>
      <w:r>
        <w:rPr>
          <w:spacing w:val="-18"/>
        </w:rPr>
        <w:t> </w:t>
      </w:r>
      <w:r>
        <w:rPr/>
        <w:t>um</w:t>
      </w:r>
      <w:r>
        <w:rPr>
          <w:spacing w:val="-17"/>
        </w:rPr>
        <w:t> </w:t>
      </w:r>
      <w:r>
        <w:rPr/>
        <w:t>perito</w:t>
      </w:r>
      <w:r>
        <w:rPr>
          <w:spacing w:val="-19"/>
        </w:rPr>
        <w:t> </w:t>
      </w:r>
      <w:r>
        <w:rPr/>
        <w:t>para</w:t>
      </w:r>
      <w:r>
        <w:rPr>
          <w:spacing w:val="-15"/>
        </w:rPr>
        <w:t> </w:t>
      </w:r>
      <w:r>
        <w:rPr/>
        <w:t>estimar</w:t>
      </w:r>
      <w:r>
        <w:rPr>
          <w:spacing w:val="-20"/>
        </w:rPr>
        <w:t> </w:t>
      </w:r>
      <w:r>
        <w:rPr/>
        <w:t>o</w:t>
      </w:r>
      <w:r>
        <w:rPr>
          <w:spacing w:val="-16"/>
        </w:rPr>
        <w:t> </w:t>
      </w:r>
      <w:r>
        <w:rPr/>
        <w:t>valor</w:t>
      </w:r>
      <w:r>
        <w:rPr>
          <w:spacing w:val="-19"/>
        </w:rPr>
        <w:t> </w:t>
      </w:r>
      <w:r>
        <w:rPr/>
        <w:t>da</w:t>
      </w:r>
      <w:r>
        <w:rPr>
          <w:spacing w:val="-19"/>
        </w:rPr>
        <w:t> </w:t>
      </w:r>
      <w:r>
        <w:rPr/>
        <w:t>obra</w:t>
      </w:r>
      <w:r>
        <w:rPr>
          <w:spacing w:val="-18"/>
        </w:rPr>
        <w:t> </w:t>
      </w:r>
      <w:r>
        <w:rPr/>
        <w:t>inundada.</w:t>
      </w:r>
    </w:p>
    <w:p>
      <w:pPr>
        <w:pStyle w:val="BodyText"/>
        <w:spacing w:before="7"/>
      </w:pPr>
    </w:p>
    <w:p>
      <w:pPr>
        <w:pStyle w:val="BodyText"/>
        <w:spacing w:line="242" w:lineRule="auto"/>
        <w:ind w:left="192" w:right="606"/>
        <w:jc w:val="both"/>
      </w:pPr>
      <w:r>
        <w:rPr/>
        <w:t>Após</w:t>
      </w:r>
      <w:r>
        <w:rPr>
          <w:spacing w:val="-24"/>
        </w:rPr>
        <w:t> </w:t>
      </w:r>
      <w:r>
        <w:rPr/>
        <w:t>recursos</w:t>
      </w:r>
      <w:r>
        <w:rPr>
          <w:spacing w:val="-24"/>
        </w:rPr>
        <w:t> </w:t>
      </w:r>
      <w:r>
        <w:rPr/>
        <w:t>de</w:t>
      </w:r>
      <w:r>
        <w:rPr>
          <w:spacing w:val="-26"/>
        </w:rPr>
        <w:t> </w:t>
      </w:r>
      <w:r>
        <w:rPr/>
        <w:t>ambas</w:t>
      </w:r>
      <w:r>
        <w:rPr>
          <w:spacing w:val="-24"/>
        </w:rPr>
        <w:t> </w:t>
      </w:r>
      <w:r>
        <w:rPr/>
        <w:t>as</w:t>
      </w:r>
      <w:r>
        <w:rPr>
          <w:spacing w:val="-24"/>
        </w:rPr>
        <w:t> </w:t>
      </w:r>
      <w:r>
        <w:rPr/>
        <w:t>partes</w:t>
      </w:r>
      <w:r>
        <w:rPr>
          <w:spacing w:val="-22"/>
        </w:rPr>
        <w:t> </w:t>
      </w:r>
      <w:r>
        <w:rPr/>
        <w:t>no</w:t>
      </w:r>
      <w:r>
        <w:rPr>
          <w:spacing w:val="-24"/>
        </w:rPr>
        <w:t> </w:t>
      </w:r>
      <w:r>
        <w:rPr/>
        <w:t>curso</w:t>
      </w:r>
      <w:r>
        <w:rPr>
          <w:spacing w:val="-25"/>
        </w:rPr>
        <w:t> </w:t>
      </w:r>
      <w:r>
        <w:rPr/>
        <w:t>da</w:t>
      </w:r>
      <w:r>
        <w:rPr>
          <w:spacing w:val="-24"/>
        </w:rPr>
        <w:t> </w:t>
      </w:r>
      <w:r>
        <w:rPr/>
        <w:t>ação</w:t>
      </w:r>
      <w:r>
        <w:rPr>
          <w:spacing w:val="-25"/>
        </w:rPr>
        <w:t> </w:t>
      </w:r>
      <w:r>
        <w:rPr/>
        <w:t>de</w:t>
      </w:r>
      <w:r>
        <w:rPr>
          <w:spacing w:val="-25"/>
        </w:rPr>
        <w:t> </w:t>
      </w:r>
      <w:r>
        <w:rPr/>
        <w:t>cobrança,</w:t>
      </w:r>
      <w:r>
        <w:rPr>
          <w:spacing w:val="-25"/>
        </w:rPr>
        <w:t> </w:t>
      </w:r>
      <w:r>
        <w:rPr/>
        <w:t>em</w:t>
      </w:r>
      <w:r>
        <w:rPr>
          <w:spacing w:val="-23"/>
        </w:rPr>
        <w:t> </w:t>
      </w:r>
      <w:r>
        <w:rPr/>
        <w:t>12</w:t>
      </w:r>
      <w:r>
        <w:rPr>
          <w:spacing w:val="-24"/>
        </w:rPr>
        <w:t> </w:t>
      </w:r>
      <w:r>
        <w:rPr/>
        <w:t>de</w:t>
      </w:r>
      <w:r>
        <w:rPr>
          <w:spacing w:val="-23"/>
        </w:rPr>
        <w:t> </w:t>
      </w:r>
      <w:r>
        <w:rPr/>
        <w:t>maio</w:t>
      </w:r>
      <w:r>
        <w:rPr>
          <w:spacing w:val="-25"/>
        </w:rPr>
        <w:t> </w:t>
      </w:r>
      <w:r>
        <w:rPr/>
        <w:t>de</w:t>
      </w:r>
      <w:r>
        <w:rPr>
          <w:spacing w:val="-23"/>
        </w:rPr>
        <w:t> </w:t>
      </w:r>
      <w:r>
        <w:rPr/>
        <w:t>2015,</w:t>
      </w:r>
      <w:r>
        <w:rPr>
          <w:spacing w:val="-24"/>
        </w:rPr>
        <w:t> </w:t>
      </w:r>
      <w:r>
        <w:rPr/>
        <w:t>foi</w:t>
      </w:r>
      <w:r>
        <w:rPr>
          <w:spacing w:val="-25"/>
        </w:rPr>
        <w:t> </w:t>
      </w:r>
      <w:r>
        <w:rPr/>
        <w:t>proposta</w:t>
      </w:r>
      <w:r>
        <w:rPr>
          <w:spacing w:val="-22"/>
        </w:rPr>
        <w:t> </w:t>
      </w:r>
      <w:r>
        <w:rPr/>
        <w:t>pela</w:t>
      </w:r>
      <w:r>
        <w:rPr>
          <w:spacing w:val="-24"/>
        </w:rPr>
        <w:t> </w:t>
      </w:r>
      <w:r>
        <w:rPr/>
        <w:t>Saneago ação</w:t>
      </w:r>
      <w:r>
        <w:rPr>
          <w:spacing w:val="-35"/>
        </w:rPr>
        <w:t> </w:t>
      </w:r>
      <w:r>
        <w:rPr/>
        <w:t>de</w:t>
      </w:r>
      <w:r>
        <w:rPr>
          <w:spacing w:val="-34"/>
        </w:rPr>
        <w:t> </w:t>
      </w:r>
      <w:r>
        <w:rPr/>
        <w:t>liquidação</w:t>
      </w:r>
      <w:r>
        <w:rPr>
          <w:spacing w:val="-35"/>
        </w:rPr>
        <w:t> </w:t>
      </w:r>
      <w:r>
        <w:rPr/>
        <w:t>provisória</w:t>
      </w:r>
      <w:r>
        <w:rPr>
          <w:spacing w:val="-34"/>
        </w:rPr>
        <w:t> </w:t>
      </w:r>
      <w:r>
        <w:rPr/>
        <w:t>de</w:t>
      </w:r>
      <w:r>
        <w:rPr>
          <w:spacing w:val="-34"/>
        </w:rPr>
        <w:t> </w:t>
      </w:r>
      <w:r>
        <w:rPr/>
        <w:t>sentença,</w:t>
      </w:r>
      <w:r>
        <w:rPr>
          <w:spacing w:val="-33"/>
        </w:rPr>
        <w:t> </w:t>
      </w:r>
      <w:r>
        <w:rPr/>
        <w:t>que</w:t>
      </w:r>
      <w:r>
        <w:rPr>
          <w:spacing w:val="-34"/>
        </w:rPr>
        <w:t> </w:t>
      </w:r>
      <w:r>
        <w:rPr/>
        <w:t>apurará</w:t>
      </w:r>
      <w:r>
        <w:rPr>
          <w:spacing w:val="-34"/>
        </w:rPr>
        <w:t> </w:t>
      </w:r>
      <w:r>
        <w:rPr/>
        <w:t>o</w:t>
      </w:r>
      <w:r>
        <w:rPr>
          <w:spacing w:val="-33"/>
        </w:rPr>
        <w:t> </w:t>
      </w:r>
      <w:r>
        <w:rPr/>
        <w:t>valor</w:t>
      </w:r>
      <w:r>
        <w:rPr>
          <w:spacing w:val="-34"/>
        </w:rPr>
        <w:t> </w:t>
      </w:r>
      <w:r>
        <w:rPr/>
        <w:t>real</w:t>
      </w:r>
      <w:r>
        <w:rPr>
          <w:spacing w:val="-34"/>
        </w:rPr>
        <w:t> </w:t>
      </w:r>
      <w:r>
        <w:rPr/>
        <w:t>dos</w:t>
      </w:r>
      <w:r>
        <w:rPr>
          <w:spacing w:val="-34"/>
        </w:rPr>
        <w:t> </w:t>
      </w:r>
      <w:r>
        <w:rPr/>
        <w:t>prejuízos</w:t>
      </w:r>
      <w:r>
        <w:rPr>
          <w:spacing w:val="-33"/>
        </w:rPr>
        <w:t> </w:t>
      </w:r>
      <w:r>
        <w:rPr/>
        <w:t>materiais</w:t>
      </w:r>
      <w:r>
        <w:rPr>
          <w:spacing w:val="-33"/>
        </w:rPr>
        <w:t> </w:t>
      </w:r>
      <w:r>
        <w:rPr/>
        <w:t>sofridos</w:t>
      </w:r>
      <w:r>
        <w:rPr>
          <w:spacing w:val="-34"/>
        </w:rPr>
        <w:t> </w:t>
      </w:r>
      <w:r>
        <w:rPr/>
        <w:t>pela</w:t>
      </w:r>
      <w:r>
        <w:rPr>
          <w:spacing w:val="-31"/>
        </w:rPr>
        <w:t> </w:t>
      </w:r>
      <w:r>
        <w:rPr/>
        <w:t>empresa.</w:t>
      </w:r>
      <w:r>
        <w:rPr>
          <w:spacing w:val="-33"/>
        </w:rPr>
        <w:t> </w:t>
      </w:r>
      <w:r>
        <w:rPr/>
        <w:t>A perícia</w:t>
      </w:r>
      <w:r>
        <w:rPr>
          <w:spacing w:val="-26"/>
        </w:rPr>
        <w:t> </w:t>
      </w:r>
      <w:r>
        <w:rPr/>
        <w:t>de</w:t>
      </w:r>
      <w:r>
        <w:rPr>
          <w:spacing w:val="-27"/>
        </w:rPr>
        <w:t> </w:t>
      </w:r>
      <w:r>
        <w:rPr/>
        <w:t>liquidação</w:t>
      </w:r>
      <w:r>
        <w:rPr>
          <w:spacing w:val="-26"/>
        </w:rPr>
        <w:t> </w:t>
      </w:r>
      <w:r>
        <w:rPr/>
        <w:t>não</w:t>
      </w:r>
      <w:r>
        <w:rPr>
          <w:spacing w:val="-26"/>
        </w:rPr>
        <w:t> </w:t>
      </w:r>
      <w:r>
        <w:rPr/>
        <w:t>foi</w:t>
      </w:r>
      <w:r>
        <w:rPr>
          <w:spacing w:val="-25"/>
        </w:rPr>
        <w:t> </w:t>
      </w:r>
      <w:r>
        <w:rPr/>
        <w:t>iniciada</w:t>
      </w:r>
      <w:r>
        <w:rPr>
          <w:spacing w:val="-25"/>
        </w:rPr>
        <w:t> </w:t>
      </w:r>
      <w:r>
        <w:rPr/>
        <w:t>e</w:t>
      </w:r>
      <w:r>
        <w:rPr>
          <w:spacing w:val="-27"/>
        </w:rPr>
        <w:t> </w:t>
      </w:r>
      <w:r>
        <w:rPr/>
        <w:t>o</w:t>
      </w:r>
      <w:r>
        <w:rPr>
          <w:spacing w:val="-26"/>
        </w:rPr>
        <w:t> </w:t>
      </w:r>
      <w:r>
        <w:rPr/>
        <w:t>valor</w:t>
      </w:r>
      <w:r>
        <w:rPr>
          <w:spacing w:val="-24"/>
        </w:rPr>
        <w:t> </w:t>
      </w:r>
      <w:r>
        <w:rPr/>
        <w:t>original</w:t>
      </w:r>
      <w:r>
        <w:rPr>
          <w:spacing w:val="-26"/>
        </w:rPr>
        <w:t> </w:t>
      </w:r>
      <w:r>
        <w:rPr/>
        <w:t>da</w:t>
      </w:r>
      <w:r>
        <w:rPr>
          <w:spacing w:val="-25"/>
        </w:rPr>
        <w:t> </w:t>
      </w:r>
      <w:r>
        <w:rPr/>
        <w:t>causa</w:t>
      </w:r>
      <w:r>
        <w:rPr>
          <w:spacing w:val="-26"/>
        </w:rPr>
        <w:t> </w:t>
      </w:r>
      <w:r>
        <w:rPr/>
        <w:t>foi</w:t>
      </w:r>
      <w:r>
        <w:rPr>
          <w:spacing w:val="-26"/>
        </w:rPr>
        <w:t> </w:t>
      </w:r>
      <w:r>
        <w:rPr/>
        <w:t>atualizado</w:t>
      </w:r>
      <w:r>
        <w:rPr>
          <w:spacing w:val="-26"/>
        </w:rPr>
        <w:t> </w:t>
      </w:r>
      <w:r>
        <w:rPr/>
        <w:t>para</w:t>
      </w:r>
      <w:r>
        <w:rPr>
          <w:spacing w:val="-25"/>
        </w:rPr>
        <w:t> </w:t>
      </w:r>
      <w:r>
        <w:rPr/>
        <w:t>R$</w:t>
      </w:r>
      <w:r>
        <w:rPr>
          <w:spacing w:val="-26"/>
        </w:rPr>
        <w:t> </w:t>
      </w:r>
      <w:r>
        <w:rPr/>
        <w:t>45.947.</w:t>
      </w:r>
      <w:r>
        <w:rPr>
          <w:spacing w:val="-17"/>
        </w:rPr>
        <w:t> </w:t>
      </w:r>
      <w:r>
        <w:rPr/>
        <w:t>Em</w:t>
      </w:r>
      <w:r>
        <w:rPr>
          <w:spacing w:val="-24"/>
        </w:rPr>
        <w:t> </w:t>
      </w:r>
      <w:r>
        <w:rPr/>
        <w:t>31</w:t>
      </w:r>
      <w:r>
        <w:rPr>
          <w:spacing w:val="-26"/>
        </w:rPr>
        <w:t> </w:t>
      </w:r>
      <w:r>
        <w:rPr/>
        <w:t>de</w:t>
      </w:r>
      <w:r>
        <w:rPr>
          <w:spacing w:val="-27"/>
        </w:rPr>
        <w:t> </w:t>
      </w:r>
      <w:r>
        <w:rPr/>
        <w:t>outubro</w:t>
      </w:r>
      <w:r>
        <w:rPr>
          <w:spacing w:val="-24"/>
        </w:rPr>
        <w:t> </w:t>
      </w:r>
      <w:r>
        <w:rPr/>
        <w:t>de 2018</w:t>
      </w:r>
      <w:r>
        <w:rPr>
          <w:spacing w:val="-37"/>
        </w:rPr>
        <w:t> </w:t>
      </w:r>
      <w:r>
        <w:rPr/>
        <w:t>foi</w:t>
      </w:r>
      <w:r>
        <w:rPr>
          <w:spacing w:val="-37"/>
        </w:rPr>
        <w:t> </w:t>
      </w:r>
      <w:r>
        <w:rPr/>
        <w:t>proferida</w:t>
      </w:r>
      <w:r>
        <w:rPr>
          <w:spacing w:val="-37"/>
        </w:rPr>
        <w:t> </w:t>
      </w:r>
      <w:r>
        <w:rPr/>
        <w:t>decisão</w:t>
      </w:r>
      <w:r>
        <w:rPr>
          <w:spacing w:val="-37"/>
        </w:rPr>
        <w:t> </w:t>
      </w:r>
      <w:r>
        <w:rPr/>
        <w:t>acolhendo</w:t>
      </w:r>
      <w:r>
        <w:rPr>
          <w:spacing w:val="-36"/>
        </w:rPr>
        <w:t> </w:t>
      </w:r>
      <w:r>
        <w:rPr/>
        <w:t>o</w:t>
      </w:r>
      <w:r>
        <w:rPr>
          <w:spacing w:val="-37"/>
        </w:rPr>
        <w:t> </w:t>
      </w:r>
      <w:r>
        <w:rPr/>
        <w:t>pedido</w:t>
      </w:r>
      <w:r>
        <w:rPr>
          <w:spacing w:val="-38"/>
        </w:rPr>
        <w:t> </w:t>
      </w:r>
      <w:r>
        <w:rPr/>
        <w:t>de</w:t>
      </w:r>
      <w:r>
        <w:rPr>
          <w:spacing w:val="-38"/>
        </w:rPr>
        <w:t> </w:t>
      </w:r>
      <w:r>
        <w:rPr/>
        <w:t>intervenção</w:t>
      </w:r>
      <w:r>
        <w:rPr>
          <w:spacing w:val="-37"/>
        </w:rPr>
        <w:t> </w:t>
      </w:r>
      <w:r>
        <w:rPr/>
        <w:t>do</w:t>
      </w:r>
      <w:r>
        <w:rPr>
          <w:spacing w:val="-37"/>
        </w:rPr>
        <w:t> </w:t>
      </w:r>
      <w:r>
        <w:rPr/>
        <w:t>Estado</w:t>
      </w:r>
      <w:r>
        <w:rPr>
          <w:spacing w:val="-37"/>
        </w:rPr>
        <w:t> </w:t>
      </w:r>
      <w:r>
        <w:rPr/>
        <w:t>de</w:t>
      </w:r>
      <w:r>
        <w:rPr>
          <w:spacing w:val="-38"/>
        </w:rPr>
        <w:t> </w:t>
      </w:r>
      <w:r>
        <w:rPr/>
        <w:t>Goiás</w:t>
      </w:r>
      <w:r>
        <w:rPr>
          <w:spacing w:val="-37"/>
        </w:rPr>
        <w:t> </w:t>
      </w:r>
      <w:r>
        <w:rPr/>
        <w:t>na</w:t>
      </w:r>
      <w:r>
        <w:rPr>
          <w:spacing w:val="-36"/>
        </w:rPr>
        <w:t> </w:t>
      </w:r>
      <w:r>
        <w:rPr/>
        <w:t>lide.</w:t>
      </w:r>
      <w:r>
        <w:rPr>
          <w:spacing w:val="-38"/>
        </w:rPr>
        <w:t> </w:t>
      </w:r>
      <w:r>
        <w:rPr/>
        <w:t>Em</w:t>
      </w:r>
      <w:r>
        <w:rPr>
          <w:spacing w:val="-37"/>
        </w:rPr>
        <w:t> </w:t>
      </w:r>
      <w:r>
        <w:rPr/>
        <w:t>29</w:t>
      </w:r>
      <w:r>
        <w:rPr>
          <w:spacing w:val="-37"/>
        </w:rPr>
        <w:t> </w:t>
      </w:r>
      <w:r>
        <w:rPr/>
        <w:t>de</w:t>
      </w:r>
      <w:r>
        <w:rPr>
          <w:spacing w:val="-36"/>
        </w:rPr>
        <w:t> </w:t>
      </w:r>
      <w:r>
        <w:rPr/>
        <w:t>novembro</w:t>
      </w:r>
      <w:r>
        <w:rPr>
          <w:spacing w:val="-37"/>
        </w:rPr>
        <w:t> </w:t>
      </w:r>
      <w:r>
        <w:rPr/>
        <w:t>de</w:t>
      </w:r>
      <w:r>
        <w:rPr>
          <w:spacing w:val="-38"/>
        </w:rPr>
        <w:t> </w:t>
      </w:r>
      <w:r>
        <w:rPr/>
        <w:t>2018 determinada a intimação do Estado de Goiás para apresentar nos autos documentos e informações que julgar importantes</w:t>
      </w:r>
      <w:r>
        <w:rPr>
          <w:spacing w:val="-21"/>
        </w:rPr>
        <w:t> </w:t>
      </w:r>
      <w:r>
        <w:rPr/>
        <w:t>ao</w:t>
      </w:r>
      <w:r>
        <w:rPr>
          <w:spacing w:val="-22"/>
        </w:rPr>
        <w:t> </w:t>
      </w:r>
      <w:r>
        <w:rPr/>
        <w:t>deslinde</w:t>
      </w:r>
      <w:r>
        <w:rPr>
          <w:spacing w:val="-19"/>
        </w:rPr>
        <w:t> </w:t>
      </w:r>
      <w:r>
        <w:rPr/>
        <w:t>da</w:t>
      </w:r>
      <w:r>
        <w:rPr>
          <w:spacing w:val="-21"/>
        </w:rPr>
        <w:t> </w:t>
      </w:r>
      <w:r>
        <w:rPr/>
        <w:t>causa.</w:t>
      </w:r>
      <w:r>
        <w:rPr>
          <w:spacing w:val="-22"/>
        </w:rPr>
        <w:t> </w:t>
      </w:r>
      <w:r>
        <w:rPr/>
        <w:t>A</w:t>
      </w:r>
      <w:r>
        <w:rPr>
          <w:spacing w:val="-20"/>
        </w:rPr>
        <w:t> </w:t>
      </w:r>
      <w:r>
        <w:rPr/>
        <w:t>perícia</w:t>
      </w:r>
      <w:r>
        <w:rPr>
          <w:spacing w:val="-21"/>
        </w:rPr>
        <w:t> </w:t>
      </w:r>
      <w:r>
        <w:rPr/>
        <w:t>de</w:t>
      </w:r>
      <w:r>
        <w:rPr>
          <w:spacing w:val="-20"/>
        </w:rPr>
        <w:t> </w:t>
      </w:r>
      <w:r>
        <w:rPr/>
        <w:t>liquidação</w:t>
      </w:r>
      <w:r>
        <w:rPr>
          <w:spacing w:val="-22"/>
        </w:rPr>
        <w:t> </w:t>
      </w:r>
      <w:r>
        <w:rPr/>
        <w:t>permanece</w:t>
      </w:r>
      <w:r>
        <w:rPr>
          <w:spacing w:val="-20"/>
        </w:rPr>
        <w:t> </w:t>
      </w:r>
      <w:r>
        <w:rPr/>
        <w:t>suspensa.</w:t>
      </w:r>
    </w:p>
    <w:p>
      <w:pPr>
        <w:pStyle w:val="BodyText"/>
        <w:spacing w:before="7"/>
      </w:pPr>
    </w:p>
    <w:p>
      <w:pPr>
        <w:pStyle w:val="BodyText"/>
        <w:spacing w:line="242" w:lineRule="auto" w:before="1"/>
        <w:ind w:left="192" w:right="615"/>
        <w:jc w:val="both"/>
      </w:pPr>
      <w:r>
        <w:rPr/>
        <w:t>A Administração da coligada considerou como provável a perda da ação, sendo mantida nas demonstrações financeiras de 31 de dezembro de 2019.</w:t>
      </w:r>
    </w:p>
    <w:p>
      <w:pPr>
        <w:spacing w:after="0" w:line="242" w:lineRule="auto"/>
        <w:jc w:val="both"/>
        <w:sectPr>
          <w:pgSz w:w="11910" w:h="16850"/>
          <w:pgMar w:header="792" w:footer="1193" w:top="1360" w:bottom="1460" w:left="940" w:right="240"/>
        </w:sectPr>
      </w:pPr>
    </w:p>
    <w:p>
      <w:pPr>
        <w:pStyle w:val="ListParagraph"/>
        <w:numPr>
          <w:ilvl w:val="0"/>
          <w:numId w:val="15"/>
        </w:numPr>
        <w:tabs>
          <w:tab w:pos="436" w:val="left" w:leader="none"/>
        </w:tabs>
        <w:spacing w:line="240" w:lineRule="auto" w:before="47" w:after="0"/>
        <w:ind w:left="435" w:right="0" w:hanging="244"/>
        <w:jc w:val="both"/>
        <w:rPr>
          <w:rFonts w:ascii="Caladea"/>
          <w:b/>
          <w:sz w:val="20"/>
        </w:rPr>
      </w:pPr>
      <w:r>
        <w:rPr>
          <w:rFonts w:ascii="Caladea"/>
          <w:b/>
          <w:sz w:val="20"/>
        </w:rPr>
        <w:t>Procedimento</w:t>
      </w:r>
      <w:r>
        <w:rPr>
          <w:rFonts w:ascii="Caladea"/>
          <w:b/>
          <w:spacing w:val="-3"/>
          <w:sz w:val="20"/>
        </w:rPr>
        <w:t> </w:t>
      </w:r>
      <w:r>
        <w:rPr>
          <w:rFonts w:ascii="Caladea"/>
          <w:b/>
          <w:sz w:val="20"/>
        </w:rPr>
        <w:t>Arbitral</w:t>
      </w:r>
    </w:p>
    <w:p>
      <w:pPr>
        <w:pStyle w:val="BodyText"/>
        <w:spacing w:before="7"/>
        <w:rPr>
          <w:rFonts w:ascii="Caladea"/>
          <w:b/>
        </w:rPr>
      </w:pPr>
    </w:p>
    <w:p>
      <w:pPr>
        <w:pStyle w:val="BodyText"/>
        <w:spacing w:line="242" w:lineRule="auto"/>
        <w:ind w:left="192" w:right="618"/>
        <w:jc w:val="both"/>
      </w:pPr>
      <w:r>
        <w:rPr/>
        <w:t>No</w:t>
      </w:r>
      <w:r>
        <w:rPr>
          <w:spacing w:val="-38"/>
        </w:rPr>
        <w:t> </w:t>
      </w:r>
      <w:r>
        <w:rPr/>
        <w:t>período</w:t>
      </w:r>
      <w:r>
        <w:rPr>
          <w:spacing w:val="-37"/>
        </w:rPr>
        <w:t> </w:t>
      </w:r>
      <w:r>
        <w:rPr/>
        <w:t>de</w:t>
      </w:r>
      <w:r>
        <w:rPr>
          <w:spacing w:val="-37"/>
        </w:rPr>
        <w:t> </w:t>
      </w:r>
      <w:r>
        <w:rPr/>
        <w:t>julho</w:t>
      </w:r>
      <w:r>
        <w:rPr>
          <w:spacing w:val="-38"/>
        </w:rPr>
        <w:t> </w:t>
      </w:r>
      <w:r>
        <w:rPr/>
        <w:t>de</w:t>
      </w:r>
      <w:r>
        <w:rPr>
          <w:spacing w:val="-37"/>
        </w:rPr>
        <w:t> </w:t>
      </w:r>
      <w:r>
        <w:rPr/>
        <w:t>2005</w:t>
      </w:r>
      <w:r>
        <w:rPr>
          <w:spacing w:val="-37"/>
        </w:rPr>
        <w:t> </w:t>
      </w:r>
      <w:r>
        <w:rPr/>
        <w:t>a</w:t>
      </w:r>
      <w:r>
        <w:rPr>
          <w:spacing w:val="-37"/>
        </w:rPr>
        <w:t> </w:t>
      </w:r>
      <w:r>
        <w:rPr/>
        <w:t>abril</w:t>
      </w:r>
      <w:r>
        <w:rPr>
          <w:spacing w:val="-36"/>
        </w:rPr>
        <w:t> </w:t>
      </w:r>
      <w:r>
        <w:rPr/>
        <w:t>de</w:t>
      </w:r>
      <w:r>
        <w:rPr>
          <w:spacing w:val="-37"/>
        </w:rPr>
        <w:t> </w:t>
      </w:r>
      <w:r>
        <w:rPr/>
        <w:t>2008,</w:t>
      </w:r>
      <w:r>
        <w:rPr>
          <w:spacing w:val="-37"/>
        </w:rPr>
        <w:t> </w:t>
      </w:r>
      <w:r>
        <w:rPr/>
        <w:t>a</w:t>
      </w:r>
      <w:r>
        <w:rPr>
          <w:spacing w:val="-37"/>
        </w:rPr>
        <w:t> </w:t>
      </w:r>
      <w:r>
        <w:rPr/>
        <w:t>Serveng</w:t>
      </w:r>
      <w:r>
        <w:rPr>
          <w:spacing w:val="-37"/>
        </w:rPr>
        <w:t> </w:t>
      </w:r>
      <w:r>
        <w:rPr/>
        <w:t>Civilsan</w:t>
      </w:r>
      <w:r>
        <w:rPr>
          <w:spacing w:val="-38"/>
        </w:rPr>
        <w:t> </w:t>
      </w:r>
      <w:r>
        <w:rPr/>
        <w:t>S.A.</w:t>
      </w:r>
      <w:r>
        <w:rPr>
          <w:spacing w:val="-37"/>
        </w:rPr>
        <w:t> </w:t>
      </w:r>
      <w:r>
        <w:rPr/>
        <w:t>(“Serveng”)</w:t>
      </w:r>
      <w:r>
        <w:rPr>
          <w:spacing w:val="-36"/>
        </w:rPr>
        <w:t> </w:t>
      </w:r>
      <w:r>
        <w:rPr/>
        <w:t>aportou</w:t>
      </w:r>
      <w:r>
        <w:rPr>
          <w:spacing w:val="-36"/>
        </w:rPr>
        <w:t> </w:t>
      </w:r>
      <w:r>
        <w:rPr/>
        <w:t>na</w:t>
      </w:r>
      <w:r>
        <w:rPr>
          <w:spacing w:val="-38"/>
        </w:rPr>
        <w:t> </w:t>
      </w:r>
      <w:r>
        <w:rPr/>
        <w:t>Corumbá</w:t>
      </w:r>
      <w:r>
        <w:rPr>
          <w:spacing w:val="-37"/>
        </w:rPr>
        <w:t> </w:t>
      </w:r>
      <w:r>
        <w:rPr/>
        <w:t>Concessões</w:t>
      </w:r>
      <w:r>
        <w:rPr>
          <w:spacing w:val="-34"/>
        </w:rPr>
        <w:t> </w:t>
      </w:r>
      <w:r>
        <w:rPr/>
        <w:t>S.A. o</w:t>
      </w:r>
      <w:r>
        <w:rPr>
          <w:spacing w:val="-33"/>
        </w:rPr>
        <w:t> </w:t>
      </w:r>
      <w:r>
        <w:rPr/>
        <w:t>montante</w:t>
      </w:r>
      <w:r>
        <w:rPr>
          <w:spacing w:val="-32"/>
        </w:rPr>
        <w:t> </w:t>
      </w:r>
      <w:r>
        <w:rPr/>
        <w:t>de</w:t>
      </w:r>
      <w:r>
        <w:rPr>
          <w:spacing w:val="-32"/>
        </w:rPr>
        <w:t> </w:t>
      </w:r>
      <w:r>
        <w:rPr/>
        <w:t>R$</w:t>
      </w:r>
      <w:r>
        <w:rPr>
          <w:spacing w:val="-32"/>
        </w:rPr>
        <w:t> </w:t>
      </w:r>
      <w:r>
        <w:rPr/>
        <w:t>38.195,</w:t>
      </w:r>
      <w:r>
        <w:rPr>
          <w:spacing w:val="-30"/>
        </w:rPr>
        <w:t> </w:t>
      </w:r>
      <w:r>
        <w:rPr/>
        <w:t>enquanto</w:t>
      </w:r>
      <w:r>
        <w:rPr>
          <w:spacing w:val="-32"/>
        </w:rPr>
        <w:t> </w:t>
      </w:r>
      <w:r>
        <w:rPr/>
        <w:t>a</w:t>
      </w:r>
      <w:r>
        <w:rPr>
          <w:spacing w:val="-32"/>
        </w:rPr>
        <w:t> </w:t>
      </w:r>
      <w:r>
        <w:rPr/>
        <w:t>CEB</w:t>
      </w:r>
      <w:r>
        <w:rPr>
          <w:spacing w:val="-32"/>
        </w:rPr>
        <w:t> </w:t>
      </w:r>
      <w:r>
        <w:rPr/>
        <w:t>destinou</w:t>
      </w:r>
      <w:r>
        <w:rPr>
          <w:spacing w:val="-32"/>
        </w:rPr>
        <w:t> </w:t>
      </w:r>
      <w:r>
        <w:rPr/>
        <w:t>R$</w:t>
      </w:r>
      <w:r>
        <w:rPr>
          <w:spacing w:val="-32"/>
        </w:rPr>
        <w:t> </w:t>
      </w:r>
      <w:r>
        <w:rPr/>
        <w:t>3.232,</w:t>
      </w:r>
      <w:r>
        <w:rPr>
          <w:spacing w:val="-32"/>
        </w:rPr>
        <w:t> </w:t>
      </w:r>
      <w:r>
        <w:rPr/>
        <w:t>para</w:t>
      </w:r>
      <w:r>
        <w:rPr>
          <w:spacing w:val="-32"/>
        </w:rPr>
        <w:t> </w:t>
      </w:r>
      <w:r>
        <w:rPr/>
        <w:t>suprir</w:t>
      </w:r>
      <w:r>
        <w:rPr>
          <w:spacing w:val="-32"/>
        </w:rPr>
        <w:t> </w:t>
      </w:r>
      <w:r>
        <w:rPr/>
        <w:t>desequilíbrio</w:t>
      </w:r>
      <w:r>
        <w:rPr>
          <w:spacing w:val="-33"/>
        </w:rPr>
        <w:t> </w:t>
      </w:r>
      <w:r>
        <w:rPr/>
        <w:t>de</w:t>
      </w:r>
      <w:r>
        <w:rPr>
          <w:spacing w:val="-32"/>
        </w:rPr>
        <w:t> </w:t>
      </w:r>
      <w:r>
        <w:rPr/>
        <w:t>caixa</w:t>
      </w:r>
      <w:r>
        <w:rPr>
          <w:spacing w:val="-32"/>
        </w:rPr>
        <w:t> </w:t>
      </w:r>
      <w:r>
        <w:rPr/>
        <w:t>daquela</w:t>
      </w:r>
      <w:r>
        <w:rPr>
          <w:spacing w:val="-32"/>
        </w:rPr>
        <w:t> </w:t>
      </w:r>
      <w:r>
        <w:rPr/>
        <w:t>geradora.</w:t>
      </w:r>
    </w:p>
    <w:p>
      <w:pPr>
        <w:pStyle w:val="BodyText"/>
        <w:spacing w:before="9"/>
      </w:pPr>
    </w:p>
    <w:p>
      <w:pPr>
        <w:pStyle w:val="BodyText"/>
        <w:spacing w:line="242" w:lineRule="auto"/>
        <w:ind w:left="192" w:right="616"/>
        <w:jc w:val="both"/>
      </w:pPr>
      <w:r>
        <w:rPr>
          <w:w w:val="95"/>
        </w:rPr>
        <w:t>Entretanto</w:t>
      </w:r>
      <w:r>
        <w:rPr>
          <w:spacing w:val="-11"/>
          <w:w w:val="95"/>
        </w:rPr>
        <w:t> </w:t>
      </w:r>
      <w:r>
        <w:rPr>
          <w:w w:val="95"/>
        </w:rPr>
        <w:t>tais</w:t>
      </w:r>
      <w:r>
        <w:rPr>
          <w:spacing w:val="-10"/>
          <w:w w:val="95"/>
        </w:rPr>
        <w:t> </w:t>
      </w:r>
      <w:r>
        <w:rPr>
          <w:w w:val="95"/>
        </w:rPr>
        <w:t>aportes,</w:t>
      </w:r>
      <w:r>
        <w:rPr>
          <w:spacing w:val="-10"/>
          <w:w w:val="95"/>
        </w:rPr>
        <w:t> </w:t>
      </w:r>
      <w:r>
        <w:rPr>
          <w:w w:val="95"/>
        </w:rPr>
        <w:t>inicialmente,</w:t>
      </w:r>
      <w:r>
        <w:rPr>
          <w:spacing w:val="-11"/>
          <w:w w:val="95"/>
        </w:rPr>
        <w:t> </w:t>
      </w:r>
      <w:r>
        <w:rPr>
          <w:w w:val="95"/>
        </w:rPr>
        <w:t>foram</w:t>
      </w:r>
      <w:r>
        <w:rPr>
          <w:spacing w:val="-8"/>
          <w:w w:val="95"/>
        </w:rPr>
        <w:t> </w:t>
      </w:r>
      <w:r>
        <w:rPr>
          <w:w w:val="95"/>
        </w:rPr>
        <w:t>contabilizados</w:t>
      </w:r>
      <w:r>
        <w:rPr>
          <w:spacing w:val="-10"/>
          <w:w w:val="95"/>
        </w:rPr>
        <w:t> </w:t>
      </w:r>
      <w:r>
        <w:rPr>
          <w:w w:val="95"/>
        </w:rPr>
        <w:t>no</w:t>
      </w:r>
      <w:r>
        <w:rPr>
          <w:spacing w:val="-8"/>
          <w:w w:val="95"/>
        </w:rPr>
        <w:t> </w:t>
      </w:r>
      <w:r>
        <w:rPr>
          <w:w w:val="95"/>
        </w:rPr>
        <w:t>Patrimônio</w:t>
      </w:r>
      <w:r>
        <w:rPr>
          <w:spacing w:val="-12"/>
          <w:w w:val="95"/>
        </w:rPr>
        <w:t> </w:t>
      </w:r>
      <w:r>
        <w:rPr>
          <w:w w:val="95"/>
        </w:rPr>
        <w:t>Líquido</w:t>
      </w:r>
      <w:r>
        <w:rPr>
          <w:spacing w:val="-8"/>
          <w:w w:val="95"/>
        </w:rPr>
        <w:t> </w:t>
      </w:r>
      <w:r>
        <w:rPr>
          <w:w w:val="95"/>
        </w:rPr>
        <w:t>e,</w:t>
      </w:r>
      <w:r>
        <w:rPr>
          <w:spacing w:val="-8"/>
          <w:w w:val="95"/>
        </w:rPr>
        <w:t> </w:t>
      </w:r>
      <w:r>
        <w:rPr>
          <w:w w:val="95"/>
        </w:rPr>
        <w:t>posteriormente,</w:t>
      </w:r>
      <w:r>
        <w:rPr>
          <w:spacing w:val="-8"/>
          <w:w w:val="95"/>
        </w:rPr>
        <w:t> </w:t>
      </w:r>
      <w:r>
        <w:rPr>
          <w:w w:val="95"/>
        </w:rPr>
        <w:t>migraram</w:t>
      </w:r>
      <w:r>
        <w:rPr>
          <w:spacing w:val="-9"/>
          <w:w w:val="95"/>
        </w:rPr>
        <w:t> </w:t>
      </w:r>
      <w:r>
        <w:rPr>
          <w:w w:val="95"/>
        </w:rPr>
        <w:t>para </w:t>
      </w:r>
      <w:r>
        <w:rPr/>
        <w:t>conta</w:t>
      </w:r>
      <w:r>
        <w:rPr>
          <w:spacing w:val="-28"/>
        </w:rPr>
        <w:t> </w:t>
      </w:r>
      <w:r>
        <w:rPr/>
        <w:t>de</w:t>
      </w:r>
      <w:r>
        <w:rPr>
          <w:spacing w:val="-29"/>
        </w:rPr>
        <w:t> </w:t>
      </w:r>
      <w:r>
        <w:rPr/>
        <w:t>passivo.</w:t>
      </w:r>
      <w:r>
        <w:rPr>
          <w:spacing w:val="-28"/>
        </w:rPr>
        <w:t> </w:t>
      </w:r>
      <w:r>
        <w:rPr/>
        <w:t>Restou</w:t>
      </w:r>
      <w:r>
        <w:rPr>
          <w:spacing w:val="-27"/>
        </w:rPr>
        <w:t> </w:t>
      </w:r>
      <w:r>
        <w:rPr/>
        <w:t>a</w:t>
      </w:r>
      <w:r>
        <w:rPr>
          <w:spacing w:val="-28"/>
        </w:rPr>
        <w:t> </w:t>
      </w:r>
      <w:r>
        <w:rPr/>
        <w:t>indefinição</w:t>
      </w:r>
      <w:r>
        <w:rPr>
          <w:spacing w:val="-27"/>
        </w:rPr>
        <w:t> </w:t>
      </w:r>
      <w:r>
        <w:rPr/>
        <w:t>se</w:t>
      </w:r>
      <w:r>
        <w:rPr>
          <w:spacing w:val="-27"/>
        </w:rPr>
        <w:t> </w:t>
      </w:r>
      <w:r>
        <w:rPr/>
        <w:t>os</w:t>
      </w:r>
      <w:r>
        <w:rPr>
          <w:spacing w:val="-28"/>
        </w:rPr>
        <w:t> </w:t>
      </w:r>
      <w:r>
        <w:rPr/>
        <w:t>montantes</w:t>
      </w:r>
      <w:r>
        <w:rPr>
          <w:spacing w:val="-28"/>
        </w:rPr>
        <w:t> </w:t>
      </w:r>
      <w:r>
        <w:rPr/>
        <w:t>estariam</w:t>
      </w:r>
      <w:r>
        <w:rPr>
          <w:spacing w:val="-28"/>
        </w:rPr>
        <w:t> </w:t>
      </w:r>
      <w:r>
        <w:rPr/>
        <w:t>caracterizados</w:t>
      </w:r>
      <w:r>
        <w:rPr>
          <w:spacing w:val="-28"/>
        </w:rPr>
        <w:t> </w:t>
      </w:r>
      <w:r>
        <w:rPr/>
        <w:t>como</w:t>
      </w:r>
      <w:r>
        <w:rPr>
          <w:spacing w:val="-28"/>
        </w:rPr>
        <w:t> </w:t>
      </w:r>
      <w:r>
        <w:rPr/>
        <w:t>Adiantamentos</w:t>
      </w:r>
      <w:r>
        <w:rPr>
          <w:spacing w:val="-28"/>
        </w:rPr>
        <w:t> </w:t>
      </w:r>
      <w:r>
        <w:rPr/>
        <w:t>para</w:t>
      </w:r>
      <w:r>
        <w:rPr>
          <w:spacing w:val="-27"/>
        </w:rPr>
        <w:t> </w:t>
      </w:r>
      <w:r>
        <w:rPr/>
        <w:t>Futuros Aumentos</w:t>
      </w:r>
      <w:r>
        <w:rPr>
          <w:spacing w:val="-18"/>
        </w:rPr>
        <w:t> </w:t>
      </w:r>
      <w:r>
        <w:rPr/>
        <w:t>de</w:t>
      </w:r>
      <w:r>
        <w:rPr>
          <w:spacing w:val="-20"/>
        </w:rPr>
        <w:t> </w:t>
      </w:r>
      <w:r>
        <w:rPr/>
        <w:t>Capital</w:t>
      </w:r>
      <w:r>
        <w:rPr>
          <w:spacing w:val="-18"/>
        </w:rPr>
        <w:t> </w:t>
      </w:r>
      <w:r>
        <w:rPr/>
        <w:t>ou</w:t>
      </w:r>
      <w:r>
        <w:rPr>
          <w:spacing w:val="-18"/>
        </w:rPr>
        <w:t> </w:t>
      </w:r>
      <w:r>
        <w:rPr/>
        <w:t>como</w:t>
      </w:r>
      <w:r>
        <w:rPr>
          <w:spacing w:val="-18"/>
        </w:rPr>
        <w:t> </w:t>
      </w:r>
      <w:r>
        <w:rPr/>
        <w:t>mútuos.</w:t>
      </w:r>
    </w:p>
    <w:p>
      <w:pPr>
        <w:pStyle w:val="BodyText"/>
        <w:spacing w:before="7"/>
      </w:pPr>
    </w:p>
    <w:p>
      <w:pPr>
        <w:pStyle w:val="BodyText"/>
        <w:ind w:left="192"/>
        <w:jc w:val="both"/>
      </w:pPr>
      <w:r>
        <w:rPr/>
        <w:t>Diante</w:t>
      </w:r>
      <w:r>
        <w:rPr>
          <w:spacing w:val="-36"/>
        </w:rPr>
        <w:t> </w:t>
      </w:r>
      <w:r>
        <w:rPr/>
        <w:t>do</w:t>
      </w:r>
      <w:r>
        <w:rPr>
          <w:spacing w:val="-35"/>
        </w:rPr>
        <w:t> </w:t>
      </w:r>
      <w:r>
        <w:rPr/>
        <w:t>cenário</w:t>
      </w:r>
      <w:r>
        <w:rPr>
          <w:spacing w:val="-35"/>
        </w:rPr>
        <w:t> </w:t>
      </w:r>
      <w:r>
        <w:rPr/>
        <w:t>de</w:t>
      </w:r>
      <w:r>
        <w:rPr>
          <w:spacing w:val="-37"/>
        </w:rPr>
        <w:t> </w:t>
      </w:r>
      <w:r>
        <w:rPr/>
        <w:t>discordância,</w:t>
      </w:r>
      <w:r>
        <w:rPr>
          <w:spacing w:val="-37"/>
        </w:rPr>
        <w:t> </w:t>
      </w:r>
      <w:r>
        <w:rPr/>
        <w:t>em</w:t>
      </w:r>
      <w:r>
        <w:rPr>
          <w:spacing w:val="-35"/>
        </w:rPr>
        <w:t> </w:t>
      </w:r>
      <w:r>
        <w:rPr/>
        <w:t>agosto</w:t>
      </w:r>
      <w:r>
        <w:rPr>
          <w:spacing w:val="-34"/>
        </w:rPr>
        <w:t> </w:t>
      </w:r>
      <w:r>
        <w:rPr/>
        <w:t>de</w:t>
      </w:r>
      <w:r>
        <w:rPr>
          <w:spacing w:val="-37"/>
        </w:rPr>
        <w:t> </w:t>
      </w:r>
      <w:r>
        <w:rPr/>
        <w:t>2017,</w:t>
      </w:r>
      <w:r>
        <w:rPr>
          <w:spacing w:val="-36"/>
        </w:rPr>
        <w:t> </w:t>
      </w:r>
      <w:r>
        <w:rPr/>
        <w:t>a</w:t>
      </w:r>
      <w:r>
        <w:rPr>
          <w:spacing w:val="-34"/>
        </w:rPr>
        <w:t> </w:t>
      </w:r>
      <w:r>
        <w:rPr/>
        <w:t>Controladora</w:t>
      </w:r>
      <w:r>
        <w:rPr>
          <w:spacing w:val="-31"/>
        </w:rPr>
        <w:t> </w:t>
      </w:r>
      <w:r>
        <w:rPr/>
        <w:t>da</w:t>
      </w:r>
      <w:r>
        <w:rPr>
          <w:spacing w:val="-34"/>
        </w:rPr>
        <w:t> </w:t>
      </w:r>
      <w:r>
        <w:rPr/>
        <w:t>Corumbá</w:t>
      </w:r>
      <w:r>
        <w:rPr>
          <w:spacing w:val="-36"/>
        </w:rPr>
        <w:t> </w:t>
      </w:r>
      <w:r>
        <w:rPr/>
        <w:t>Concessões</w:t>
      </w:r>
      <w:r>
        <w:rPr>
          <w:spacing w:val="-34"/>
        </w:rPr>
        <w:t> </w:t>
      </w:r>
      <w:r>
        <w:rPr/>
        <w:t>S.A.,</w:t>
      </w:r>
      <w:r>
        <w:rPr>
          <w:spacing w:val="-34"/>
        </w:rPr>
        <w:t> </w:t>
      </w:r>
      <w:r>
        <w:rPr/>
        <w:t>a</w:t>
      </w:r>
      <w:r>
        <w:rPr>
          <w:spacing w:val="-35"/>
        </w:rPr>
        <w:t> </w:t>
      </w:r>
      <w:r>
        <w:rPr/>
        <w:t>Serveng</w:t>
      </w:r>
      <w:r>
        <w:rPr>
          <w:spacing w:val="-36"/>
        </w:rPr>
        <w:t> </w:t>
      </w:r>
      <w:r>
        <w:rPr/>
        <w:t>Civilsan</w:t>
      </w:r>
    </w:p>
    <w:p>
      <w:pPr>
        <w:pStyle w:val="BodyText"/>
        <w:spacing w:line="242" w:lineRule="auto" w:before="3"/>
        <w:ind w:left="192" w:right="606"/>
        <w:jc w:val="both"/>
      </w:pPr>
      <w:r>
        <w:rPr/>
        <w:t>S.A. requereu ao Centro de Arbitragem e Medição da Câmara de Comércio Brasil-Canadá </w:t>
      </w:r>
      <w:r>
        <w:rPr>
          <w:w w:val="105"/>
        </w:rPr>
        <w:t>– </w:t>
      </w:r>
      <w:r>
        <w:rPr/>
        <w:t>CAM-CCBC, o reconhecimento de dívida (mútuo), com correção dos respectivos valores. O resultado do procedimento de arbitragem em curso envolvendo a Serveng Civilsan S.A. e a Corumbá Concessões S.A. poderiam impactar os resultados econômico-financeiros do negócio, bem como afetar as participações acionárias da CEB e da CEB Participações S.A. no empreendimento.</w:t>
      </w:r>
    </w:p>
    <w:p>
      <w:pPr>
        <w:pStyle w:val="BodyText"/>
        <w:spacing w:before="7"/>
      </w:pPr>
    </w:p>
    <w:p>
      <w:pPr>
        <w:pStyle w:val="BodyText"/>
        <w:spacing w:line="242" w:lineRule="auto"/>
        <w:ind w:left="192" w:right="607"/>
        <w:jc w:val="both"/>
      </w:pPr>
      <w:r>
        <w:rPr/>
        <w:t>A</w:t>
      </w:r>
      <w:r>
        <w:rPr>
          <w:spacing w:val="-25"/>
        </w:rPr>
        <w:t> </w:t>
      </w:r>
      <w:r>
        <w:rPr/>
        <w:t>Serveng,</w:t>
      </w:r>
      <w:r>
        <w:rPr>
          <w:spacing w:val="-24"/>
        </w:rPr>
        <w:t> </w:t>
      </w:r>
      <w:r>
        <w:rPr/>
        <w:t>na</w:t>
      </w:r>
      <w:r>
        <w:rPr>
          <w:spacing w:val="-23"/>
        </w:rPr>
        <w:t> </w:t>
      </w:r>
      <w:r>
        <w:rPr/>
        <w:t>audiência</w:t>
      </w:r>
      <w:r>
        <w:rPr>
          <w:spacing w:val="-25"/>
        </w:rPr>
        <w:t> </w:t>
      </w:r>
      <w:r>
        <w:rPr/>
        <w:t>ocorrida</w:t>
      </w:r>
      <w:r>
        <w:rPr>
          <w:spacing w:val="-23"/>
        </w:rPr>
        <w:t> </w:t>
      </w:r>
      <w:r>
        <w:rPr/>
        <w:t>em</w:t>
      </w:r>
      <w:r>
        <w:rPr>
          <w:spacing w:val="-25"/>
        </w:rPr>
        <w:t> </w:t>
      </w:r>
      <w:r>
        <w:rPr/>
        <w:t>outubro</w:t>
      </w:r>
      <w:r>
        <w:rPr>
          <w:spacing w:val="-24"/>
        </w:rPr>
        <w:t> </w:t>
      </w:r>
      <w:r>
        <w:rPr/>
        <w:t>de</w:t>
      </w:r>
      <w:r>
        <w:rPr>
          <w:spacing w:val="-25"/>
        </w:rPr>
        <w:t> </w:t>
      </w:r>
      <w:r>
        <w:rPr/>
        <w:t>2018,</w:t>
      </w:r>
      <w:r>
        <w:rPr>
          <w:spacing w:val="-22"/>
        </w:rPr>
        <w:t> </w:t>
      </w:r>
      <w:r>
        <w:rPr/>
        <w:t>apresentou</w:t>
      </w:r>
      <w:r>
        <w:rPr>
          <w:spacing w:val="-24"/>
        </w:rPr>
        <w:t> </w:t>
      </w:r>
      <w:r>
        <w:rPr/>
        <w:t>fortes</w:t>
      </w:r>
      <w:r>
        <w:rPr>
          <w:spacing w:val="-25"/>
        </w:rPr>
        <w:t> </w:t>
      </w:r>
      <w:r>
        <w:rPr/>
        <w:t>argumentações</w:t>
      </w:r>
      <w:r>
        <w:rPr>
          <w:spacing w:val="-24"/>
        </w:rPr>
        <w:t> </w:t>
      </w:r>
      <w:r>
        <w:rPr/>
        <w:t>e</w:t>
      </w:r>
      <w:r>
        <w:rPr>
          <w:spacing w:val="-25"/>
        </w:rPr>
        <w:t> </w:t>
      </w:r>
      <w:r>
        <w:rPr/>
        <w:t>parecer</w:t>
      </w:r>
      <w:r>
        <w:rPr>
          <w:spacing w:val="-24"/>
        </w:rPr>
        <w:t> </w:t>
      </w:r>
      <w:r>
        <w:rPr/>
        <w:t>de</w:t>
      </w:r>
      <w:r>
        <w:rPr>
          <w:spacing w:val="-24"/>
        </w:rPr>
        <w:t> </w:t>
      </w:r>
      <w:r>
        <w:rPr/>
        <w:t>especialista renomado (Prof. Tavares Guerreiro), sobre o direito à correção monetária e aos juros legais sobre os valores aportados</w:t>
      </w:r>
      <w:r>
        <w:rPr>
          <w:spacing w:val="-17"/>
        </w:rPr>
        <w:t> </w:t>
      </w:r>
      <w:r>
        <w:rPr/>
        <w:t>pela</w:t>
      </w:r>
      <w:r>
        <w:rPr>
          <w:spacing w:val="-19"/>
        </w:rPr>
        <w:t> </w:t>
      </w:r>
      <w:r>
        <w:rPr/>
        <w:t>Serveng</w:t>
      </w:r>
      <w:r>
        <w:rPr>
          <w:spacing w:val="-17"/>
        </w:rPr>
        <w:t> </w:t>
      </w:r>
      <w:r>
        <w:rPr/>
        <w:t>na</w:t>
      </w:r>
      <w:r>
        <w:rPr>
          <w:spacing w:val="-18"/>
        </w:rPr>
        <w:t> </w:t>
      </w:r>
      <w:r>
        <w:rPr/>
        <w:t>Corumbá</w:t>
      </w:r>
      <w:r>
        <w:rPr>
          <w:spacing w:val="-19"/>
        </w:rPr>
        <w:t> </w:t>
      </w:r>
      <w:r>
        <w:rPr/>
        <w:t>Concessões</w:t>
      </w:r>
      <w:r>
        <w:rPr>
          <w:spacing w:val="-17"/>
        </w:rPr>
        <w:t> </w:t>
      </w:r>
      <w:r>
        <w:rPr/>
        <w:t>S.A..</w:t>
      </w:r>
    </w:p>
    <w:p>
      <w:pPr>
        <w:pStyle w:val="BodyText"/>
        <w:spacing w:before="7"/>
      </w:pPr>
    </w:p>
    <w:p>
      <w:pPr>
        <w:pStyle w:val="BodyText"/>
        <w:ind w:left="192"/>
        <w:jc w:val="both"/>
      </w:pPr>
      <w:r>
        <w:rPr/>
        <w:t>Em 01 de agosto de 2019, o CAM-CCBC apresentou a decisão Arbitral nº 74/2017, que condenou Corumbá Concessões</w:t>
      </w:r>
    </w:p>
    <w:p>
      <w:pPr>
        <w:pStyle w:val="BodyText"/>
        <w:spacing w:line="242" w:lineRule="auto" w:before="3"/>
        <w:ind w:left="192" w:right="614"/>
        <w:jc w:val="both"/>
      </w:pPr>
      <w:r>
        <w:rPr/>
        <w:t>S.A.</w:t>
      </w:r>
      <w:r>
        <w:rPr>
          <w:spacing w:val="-32"/>
        </w:rPr>
        <w:t> </w:t>
      </w:r>
      <w:r>
        <w:rPr/>
        <w:t>a</w:t>
      </w:r>
      <w:r>
        <w:rPr>
          <w:spacing w:val="-30"/>
        </w:rPr>
        <w:t> </w:t>
      </w:r>
      <w:r>
        <w:rPr/>
        <w:t>restituir</w:t>
      </w:r>
      <w:r>
        <w:rPr>
          <w:spacing w:val="-32"/>
        </w:rPr>
        <w:t> </w:t>
      </w:r>
      <w:r>
        <w:rPr/>
        <w:t>os</w:t>
      </w:r>
      <w:r>
        <w:rPr>
          <w:spacing w:val="-30"/>
        </w:rPr>
        <w:t> </w:t>
      </w:r>
      <w:r>
        <w:rPr/>
        <w:t>AFAC’s</w:t>
      </w:r>
      <w:r>
        <w:rPr>
          <w:spacing w:val="-30"/>
        </w:rPr>
        <w:t> </w:t>
      </w:r>
      <w:r>
        <w:rPr/>
        <w:t>realizados</w:t>
      </w:r>
      <w:r>
        <w:rPr>
          <w:spacing w:val="-31"/>
        </w:rPr>
        <w:t> </w:t>
      </w:r>
      <w:r>
        <w:rPr/>
        <w:t>pela</w:t>
      </w:r>
      <w:r>
        <w:rPr>
          <w:spacing w:val="-30"/>
        </w:rPr>
        <w:t> </w:t>
      </w:r>
      <w:r>
        <w:rPr/>
        <w:t>Serveng</w:t>
      </w:r>
      <w:r>
        <w:rPr>
          <w:spacing w:val="-31"/>
        </w:rPr>
        <w:t> </w:t>
      </w:r>
      <w:r>
        <w:rPr/>
        <w:t>Civilsan</w:t>
      </w:r>
      <w:r>
        <w:rPr>
          <w:spacing w:val="-32"/>
        </w:rPr>
        <w:t> </w:t>
      </w:r>
      <w:r>
        <w:rPr/>
        <w:t>S.A.</w:t>
      </w:r>
      <w:r>
        <w:rPr>
          <w:spacing w:val="-31"/>
        </w:rPr>
        <w:t> </w:t>
      </w:r>
      <w:r>
        <w:rPr/>
        <w:t>no</w:t>
      </w:r>
      <w:r>
        <w:rPr>
          <w:spacing w:val="-31"/>
        </w:rPr>
        <w:t> </w:t>
      </w:r>
      <w:r>
        <w:rPr/>
        <w:t>período</w:t>
      </w:r>
      <w:r>
        <w:rPr>
          <w:spacing w:val="-31"/>
        </w:rPr>
        <w:t> </w:t>
      </w:r>
      <w:r>
        <w:rPr/>
        <w:t>de</w:t>
      </w:r>
      <w:r>
        <w:rPr>
          <w:spacing w:val="-32"/>
        </w:rPr>
        <w:t> </w:t>
      </w:r>
      <w:r>
        <w:rPr/>
        <w:t>dezembro</w:t>
      </w:r>
      <w:r>
        <w:rPr>
          <w:spacing w:val="-31"/>
        </w:rPr>
        <w:t> </w:t>
      </w:r>
      <w:r>
        <w:rPr/>
        <w:t>de</w:t>
      </w:r>
      <w:r>
        <w:rPr>
          <w:spacing w:val="-31"/>
        </w:rPr>
        <w:t> </w:t>
      </w:r>
      <w:r>
        <w:rPr/>
        <w:t>2006</w:t>
      </w:r>
      <w:r>
        <w:rPr>
          <w:spacing w:val="-31"/>
        </w:rPr>
        <w:t> </w:t>
      </w:r>
      <w:r>
        <w:rPr/>
        <w:t>a</w:t>
      </w:r>
      <w:r>
        <w:rPr>
          <w:spacing w:val="-31"/>
        </w:rPr>
        <w:t> </w:t>
      </w:r>
      <w:r>
        <w:rPr/>
        <w:t>abril</w:t>
      </w:r>
      <w:r>
        <w:rPr>
          <w:spacing w:val="-30"/>
        </w:rPr>
        <w:t> </w:t>
      </w:r>
      <w:r>
        <w:rPr/>
        <w:t>de</w:t>
      </w:r>
      <w:r>
        <w:rPr>
          <w:spacing w:val="-32"/>
        </w:rPr>
        <w:t> </w:t>
      </w:r>
      <w:r>
        <w:rPr/>
        <w:t>2008,</w:t>
      </w:r>
      <w:r>
        <w:rPr>
          <w:spacing w:val="-31"/>
        </w:rPr>
        <w:t> </w:t>
      </w:r>
      <w:r>
        <w:rPr/>
        <w:t>cujo valor</w:t>
      </w:r>
      <w:r>
        <w:rPr>
          <w:spacing w:val="-22"/>
        </w:rPr>
        <w:t> </w:t>
      </w:r>
      <w:r>
        <w:rPr/>
        <w:t>histórico</w:t>
      </w:r>
      <w:r>
        <w:rPr>
          <w:spacing w:val="-19"/>
        </w:rPr>
        <w:t> </w:t>
      </w:r>
      <w:r>
        <w:rPr/>
        <w:t>aportado</w:t>
      </w:r>
      <w:r>
        <w:rPr>
          <w:spacing w:val="-21"/>
        </w:rPr>
        <w:t> </w:t>
      </w:r>
      <w:r>
        <w:rPr/>
        <w:t>soma</w:t>
      </w:r>
      <w:r>
        <w:rPr>
          <w:spacing w:val="-20"/>
        </w:rPr>
        <w:t> </w:t>
      </w:r>
      <w:r>
        <w:rPr/>
        <w:t>R$</w:t>
      </w:r>
      <w:r>
        <w:rPr>
          <w:spacing w:val="-18"/>
        </w:rPr>
        <w:t> </w:t>
      </w:r>
      <w:r>
        <w:rPr/>
        <w:t>38.195.</w:t>
      </w:r>
      <w:r>
        <w:rPr>
          <w:spacing w:val="-19"/>
        </w:rPr>
        <w:t> </w:t>
      </w:r>
      <w:r>
        <w:rPr/>
        <w:t>Na</w:t>
      </w:r>
      <w:r>
        <w:rPr>
          <w:spacing w:val="-20"/>
        </w:rPr>
        <w:t> </w:t>
      </w:r>
      <w:r>
        <w:rPr/>
        <w:t>sentença</w:t>
      </w:r>
      <w:r>
        <w:rPr>
          <w:spacing w:val="-18"/>
        </w:rPr>
        <w:t> </w:t>
      </w:r>
      <w:r>
        <w:rPr/>
        <w:t>o</w:t>
      </w:r>
      <w:r>
        <w:rPr>
          <w:spacing w:val="-20"/>
        </w:rPr>
        <w:t> </w:t>
      </w:r>
      <w:r>
        <w:rPr/>
        <w:t>CAM-CCBC</w:t>
      </w:r>
      <w:r>
        <w:rPr>
          <w:spacing w:val="-20"/>
        </w:rPr>
        <w:t> </w:t>
      </w:r>
      <w:r>
        <w:rPr/>
        <w:t>determinou</w:t>
      </w:r>
      <w:r>
        <w:rPr>
          <w:spacing w:val="-17"/>
        </w:rPr>
        <w:t> </w:t>
      </w:r>
      <w:r>
        <w:rPr/>
        <w:t>que</w:t>
      </w:r>
      <w:r>
        <w:rPr>
          <w:spacing w:val="-20"/>
        </w:rPr>
        <w:t> </w:t>
      </w:r>
      <w:r>
        <w:rPr/>
        <w:t>o</w:t>
      </w:r>
      <w:r>
        <w:rPr>
          <w:spacing w:val="-21"/>
        </w:rPr>
        <w:t> </w:t>
      </w:r>
      <w:r>
        <w:rPr/>
        <w:t>aporte</w:t>
      </w:r>
      <w:r>
        <w:rPr>
          <w:spacing w:val="-20"/>
        </w:rPr>
        <w:t> </w:t>
      </w:r>
      <w:r>
        <w:rPr/>
        <w:t>deveria</w:t>
      </w:r>
      <w:r>
        <w:rPr>
          <w:spacing w:val="-20"/>
        </w:rPr>
        <w:t> </w:t>
      </w:r>
      <w:r>
        <w:rPr/>
        <w:t>ser</w:t>
      </w:r>
      <w:r>
        <w:rPr>
          <w:spacing w:val="-19"/>
        </w:rPr>
        <w:t> </w:t>
      </w:r>
      <w:r>
        <w:rPr/>
        <w:t>corrigido monetariamente</w:t>
      </w:r>
      <w:r>
        <w:rPr>
          <w:spacing w:val="-19"/>
        </w:rPr>
        <w:t> </w:t>
      </w:r>
      <w:r>
        <w:rPr/>
        <w:t>pelo</w:t>
      </w:r>
      <w:r>
        <w:rPr>
          <w:spacing w:val="-19"/>
        </w:rPr>
        <w:t> </w:t>
      </w:r>
      <w:r>
        <w:rPr/>
        <w:t>IGPM,</w:t>
      </w:r>
      <w:r>
        <w:rPr>
          <w:spacing w:val="-17"/>
        </w:rPr>
        <w:t> </w:t>
      </w:r>
      <w:r>
        <w:rPr/>
        <w:t>com</w:t>
      </w:r>
      <w:r>
        <w:rPr>
          <w:spacing w:val="-19"/>
        </w:rPr>
        <w:t> </w:t>
      </w:r>
      <w:r>
        <w:rPr/>
        <w:t>multa</w:t>
      </w:r>
      <w:r>
        <w:rPr>
          <w:spacing w:val="-18"/>
        </w:rPr>
        <w:t> </w:t>
      </w:r>
      <w:r>
        <w:rPr/>
        <w:t>de</w:t>
      </w:r>
      <w:r>
        <w:rPr>
          <w:spacing w:val="-19"/>
        </w:rPr>
        <w:t> </w:t>
      </w:r>
      <w:r>
        <w:rPr/>
        <w:t>1%</w:t>
      </w:r>
      <w:r>
        <w:rPr>
          <w:spacing w:val="-18"/>
        </w:rPr>
        <w:t> </w:t>
      </w:r>
      <w:r>
        <w:rPr/>
        <w:t>a</w:t>
      </w:r>
      <w:r>
        <w:rPr>
          <w:spacing w:val="-18"/>
        </w:rPr>
        <w:t> </w:t>
      </w:r>
      <w:r>
        <w:rPr/>
        <w:t>partir</w:t>
      </w:r>
      <w:r>
        <w:rPr>
          <w:spacing w:val="-17"/>
        </w:rPr>
        <w:t> </w:t>
      </w:r>
      <w:r>
        <w:rPr/>
        <w:t>da</w:t>
      </w:r>
      <w:r>
        <w:rPr>
          <w:spacing w:val="-19"/>
        </w:rPr>
        <w:t> </w:t>
      </w:r>
      <w:r>
        <w:rPr/>
        <w:t>data</w:t>
      </w:r>
      <w:r>
        <w:rPr>
          <w:spacing w:val="-18"/>
        </w:rPr>
        <w:t> </w:t>
      </w:r>
      <w:r>
        <w:rPr/>
        <w:t>da</w:t>
      </w:r>
      <w:r>
        <w:rPr>
          <w:spacing w:val="-18"/>
        </w:rPr>
        <w:t> </w:t>
      </w:r>
      <w:r>
        <w:rPr/>
        <w:t>instauração</w:t>
      </w:r>
      <w:r>
        <w:rPr>
          <w:spacing w:val="-19"/>
        </w:rPr>
        <w:t> </w:t>
      </w:r>
      <w:r>
        <w:rPr/>
        <w:t>de</w:t>
      </w:r>
      <w:r>
        <w:rPr>
          <w:spacing w:val="-20"/>
        </w:rPr>
        <w:t> </w:t>
      </w:r>
      <w:r>
        <w:rPr/>
        <w:t>sentença</w:t>
      </w:r>
      <w:r>
        <w:rPr>
          <w:spacing w:val="-18"/>
        </w:rPr>
        <w:t> </w:t>
      </w:r>
      <w:r>
        <w:rPr/>
        <w:t>arbitral,</w:t>
      </w:r>
      <w:r>
        <w:rPr>
          <w:spacing w:val="-19"/>
        </w:rPr>
        <w:t> </w:t>
      </w:r>
      <w:r>
        <w:rPr/>
        <w:t>28</w:t>
      </w:r>
      <w:r>
        <w:rPr>
          <w:spacing w:val="-17"/>
        </w:rPr>
        <w:t> </w:t>
      </w:r>
      <w:r>
        <w:rPr/>
        <w:t>de</w:t>
      </w:r>
      <w:r>
        <w:rPr>
          <w:spacing w:val="-19"/>
        </w:rPr>
        <w:t> </w:t>
      </w:r>
      <w:r>
        <w:rPr/>
        <w:t>julho</w:t>
      </w:r>
      <w:r>
        <w:rPr>
          <w:spacing w:val="-18"/>
        </w:rPr>
        <w:t> </w:t>
      </w:r>
      <w:r>
        <w:rPr/>
        <w:t>de 2017,</w:t>
      </w:r>
      <w:r>
        <w:rPr>
          <w:spacing w:val="-18"/>
        </w:rPr>
        <w:t> </w:t>
      </w:r>
      <w:r>
        <w:rPr/>
        <w:t>até</w:t>
      </w:r>
      <w:r>
        <w:rPr>
          <w:spacing w:val="-19"/>
        </w:rPr>
        <w:t> </w:t>
      </w:r>
      <w:r>
        <w:rPr/>
        <w:t>31</w:t>
      </w:r>
      <w:r>
        <w:rPr>
          <w:spacing w:val="-16"/>
        </w:rPr>
        <w:t> </w:t>
      </w:r>
      <w:r>
        <w:rPr/>
        <w:t>de</w:t>
      </w:r>
      <w:r>
        <w:rPr>
          <w:spacing w:val="-17"/>
        </w:rPr>
        <w:t> </w:t>
      </w:r>
      <w:r>
        <w:rPr/>
        <w:t>outubro</w:t>
      </w:r>
      <w:r>
        <w:rPr>
          <w:spacing w:val="-19"/>
        </w:rPr>
        <w:t> </w:t>
      </w:r>
      <w:r>
        <w:rPr/>
        <w:t>de</w:t>
      </w:r>
      <w:r>
        <w:rPr>
          <w:spacing w:val="-19"/>
        </w:rPr>
        <w:t> </w:t>
      </w:r>
      <w:r>
        <w:rPr/>
        <w:t>2019.</w:t>
      </w:r>
    </w:p>
    <w:p>
      <w:pPr>
        <w:pStyle w:val="BodyText"/>
        <w:spacing w:before="8"/>
      </w:pPr>
    </w:p>
    <w:p>
      <w:pPr>
        <w:pStyle w:val="BodyText"/>
        <w:spacing w:line="242" w:lineRule="auto"/>
        <w:ind w:left="192" w:right="612"/>
        <w:jc w:val="both"/>
      </w:pPr>
      <w:r>
        <w:rPr/>
        <w:t>Após</w:t>
      </w:r>
      <w:r>
        <w:rPr>
          <w:spacing w:val="-40"/>
        </w:rPr>
        <w:t> </w:t>
      </w:r>
      <w:r>
        <w:rPr/>
        <w:t>a</w:t>
      </w:r>
      <w:r>
        <w:rPr>
          <w:spacing w:val="-38"/>
        </w:rPr>
        <w:t> </w:t>
      </w:r>
      <w:r>
        <w:rPr/>
        <w:t>decisão,</w:t>
      </w:r>
      <w:r>
        <w:rPr>
          <w:spacing w:val="-39"/>
        </w:rPr>
        <w:t> </w:t>
      </w:r>
      <w:r>
        <w:rPr/>
        <w:t>a</w:t>
      </w:r>
      <w:r>
        <w:rPr>
          <w:spacing w:val="-37"/>
        </w:rPr>
        <w:t> </w:t>
      </w:r>
      <w:r>
        <w:rPr/>
        <w:t>Corumbá</w:t>
      </w:r>
      <w:r>
        <w:rPr>
          <w:spacing w:val="-38"/>
        </w:rPr>
        <w:t> </w:t>
      </w:r>
      <w:r>
        <w:rPr/>
        <w:t>Concessões</w:t>
      </w:r>
      <w:r>
        <w:rPr>
          <w:spacing w:val="-39"/>
        </w:rPr>
        <w:t> </w:t>
      </w:r>
      <w:r>
        <w:rPr/>
        <w:t>S.A.</w:t>
      </w:r>
      <w:r>
        <w:rPr>
          <w:spacing w:val="-39"/>
        </w:rPr>
        <w:t> </w:t>
      </w:r>
      <w:r>
        <w:rPr/>
        <w:t>registrou</w:t>
      </w:r>
      <w:r>
        <w:rPr>
          <w:spacing w:val="-39"/>
        </w:rPr>
        <w:t> </w:t>
      </w:r>
      <w:r>
        <w:rPr/>
        <w:t>a</w:t>
      </w:r>
      <w:r>
        <w:rPr>
          <w:spacing w:val="-39"/>
        </w:rPr>
        <w:t> </w:t>
      </w:r>
      <w:r>
        <w:rPr/>
        <w:t>dívida</w:t>
      </w:r>
      <w:r>
        <w:rPr>
          <w:spacing w:val="-38"/>
        </w:rPr>
        <w:t> </w:t>
      </w:r>
      <w:r>
        <w:rPr/>
        <w:t>atualizada,</w:t>
      </w:r>
      <w:r>
        <w:rPr>
          <w:spacing w:val="-39"/>
        </w:rPr>
        <w:t> </w:t>
      </w:r>
      <w:r>
        <w:rPr/>
        <w:t>que</w:t>
      </w:r>
      <w:r>
        <w:rPr>
          <w:spacing w:val="-40"/>
        </w:rPr>
        <w:t> </w:t>
      </w:r>
      <w:r>
        <w:rPr/>
        <w:t>no</w:t>
      </w:r>
      <w:r>
        <w:rPr>
          <w:spacing w:val="-39"/>
        </w:rPr>
        <w:t> </w:t>
      </w:r>
      <w:r>
        <w:rPr/>
        <w:t>mês</w:t>
      </w:r>
      <w:r>
        <w:rPr>
          <w:spacing w:val="-38"/>
        </w:rPr>
        <w:t> </w:t>
      </w:r>
      <w:r>
        <w:rPr/>
        <w:t>de</w:t>
      </w:r>
      <w:r>
        <w:rPr>
          <w:spacing w:val="-39"/>
        </w:rPr>
        <w:t> </w:t>
      </w:r>
      <w:r>
        <w:rPr/>
        <w:t>novembro</w:t>
      </w:r>
      <w:r>
        <w:rPr>
          <w:spacing w:val="-40"/>
        </w:rPr>
        <w:t> </w:t>
      </w:r>
      <w:r>
        <w:rPr/>
        <w:t>se</w:t>
      </w:r>
      <w:r>
        <w:rPr>
          <w:spacing w:val="-39"/>
        </w:rPr>
        <w:t> </w:t>
      </w:r>
      <w:r>
        <w:rPr/>
        <w:t>aproximava</w:t>
      </w:r>
      <w:r>
        <w:rPr>
          <w:spacing w:val="-38"/>
        </w:rPr>
        <w:t> </w:t>
      </w:r>
      <w:r>
        <w:rPr/>
        <w:t>dos R$</w:t>
      </w:r>
      <w:r>
        <w:rPr>
          <w:spacing w:val="-28"/>
        </w:rPr>
        <w:t> </w:t>
      </w:r>
      <w:r>
        <w:rPr/>
        <w:t>100</w:t>
      </w:r>
      <w:r>
        <w:rPr>
          <w:spacing w:val="-26"/>
        </w:rPr>
        <w:t> </w:t>
      </w:r>
      <w:r>
        <w:rPr/>
        <w:t>milhões</w:t>
      </w:r>
      <w:r>
        <w:rPr>
          <w:spacing w:val="-25"/>
        </w:rPr>
        <w:t> </w:t>
      </w:r>
      <w:r>
        <w:rPr/>
        <w:t>e,</w:t>
      </w:r>
      <w:r>
        <w:rPr>
          <w:spacing w:val="-27"/>
        </w:rPr>
        <w:t> </w:t>
      </w:r>
      <w:r>
        <w:rPr/>
        <w:t>por</w:t>
      </w:r>
      <w:r>
        <w:rPr>
          <w:spacing w:val="-25"/>
        </w:rPr>
        <w:t> </w:t>
      </w:r>
      <w:r>
        <w:rPr/>
        <w:t>não</w:t>
      </w:r>
      <w:r>
        <w:rPr>
          <w:spacing w:val="-27"/>
        </w:rPr>
        <w:t> </w:t>
      </w:r>
      <w:r>
        <w:rPr/>
        <w:t>possuir</w:t>
      </w:r>
      <w:r>
        <w:rPr>
          <w:spacing w:val="-29"/>
        </w:rPr>
        <w:t> </w:t>
      </w:r>
      <w:r>
        <w:rPr/>
        <w:t>caixa</w:t>
      </w:r>
      <w:r>
        <w:rPr>
          <w:spacing w:val="-25"/>
        </w:rPr>
        <w:t> </w:t>
      </w:r>
      <w:r>
        <w:rPr/>
        <w:t>para</w:t>
      </w:r>
      <w:r>
        <w:rPr>
          <w:spacing w:val="-27"/>
        </w:rPr>
        <w:t> </w:t>
      </w:r>
      <w:r>
        <w:rPr/>
        <w:t>honrar</w:t>
      </w:r>
      <w:r>
        <w:rPr>
          <w:spacing w:val="-27"/>
        </w:rPr>
        <w:t> </w:t>
      </w:r>
      <w:r>
        <w:rPr/>
        <w:t>esse</w:t>
      </w:r>
      <w:r>
        <w:rPr>
          <w:spacing w:val="-28"/>
        </w:rPr>
        <w:t> </w:t>
      </w:r>
      <w:r>
        <w:rPr/>
        <w:t>compromisso,</w:t>
      </w:r>
      <w:r>
        <w:rPr>
          <w:spacing w:val="-26"/>
        </w:rPr>
        <w:t> </w:t>
      </w:r>
      <w:r>
        <w:rPr/>
        <w:t>convocou</w:t>
      </w:r>
      <w:r>
        <w:rPr>
          <w:spacing w:val="-26"/>
        </w:rPr>
        <w:t> </w:t>
      </w:r>
      <w:r>
        <w:rPr/>
        <w:t>os</w:t>
      </w:r>
      <w:r>
        <w:rPr>
          <w:spacing w:val="-25"/>
        </w:rPr>
        <w:t> </w:t>
      </w:r>
      <w:r>
        <w:rPr/>
        <w:t>acionistas</w:t>
      </w:r>
      <w:r>
        <w:rPr>
          <w:spacing w:val="-26"/>
        </w:rPr>
        <w:t> </w:t>
      </w:r>
      <w:r>
        <w:rPr/>
        <w:t>para</w:t>
      </w:r>
      <w:r>
        <w:rPr>
          <w:spacing w:val="-27"/>
        </w:rPr>
        <w:t> </w:t>
      </w:r>
      <w:r>
        <w:rPr/>
        <w:t>solucionarem</w:t>
      </w:r>
      <w:r>
        <w:rPr>
          <w:spacing w:val="-26"/>
        </w:rPr>
        <w:t> </w:t>
      </w:r>
      <w:r>
        <w:rPr/>
        <w:t>a questão.</w:t>
      </w:r>
    </w:p>
    <w:p>
      <w:pPr>
        <w:pStyle w:val="BodyText"/>
        <w:spacing w:before="8"/>
      </w:pPr>
    </w:p>
    <w:p>
      <w:pPr>
        <w:pStyle w:val="BodyText"/>
        <w:spacing w:line="242" w:lineRule="auto"/>
        <w:ind w:left="192" w:right="614"/>
        <w:jc w:val="both"/>
      </w:pPr>
      <w:r>
        <w:rPr/>
        <w:t>A</w:t>
      </w:r>
      <w:r>
        <w:rPr>
          <w:spacing w:val="-40"/>
        </w:rPr>
        <w:t> </w:t>
      </w:r>
      <w:r>
        <w:rPr/>
        <w:t>decisão</w:t>
      </w:r>
      <w:r>
        <w:rPr>
          <w:spacing w:val="-38"/>
        </w:rPr>
        <w:t> </w:t>
      </w:r>
      <w:r>
        <w:rPr/>
        <w:t>foi</w:t>
      </w:r>
      <w:r>
        <w:rPr>
          <w:spacing w:val="-39"/>
        </w:rPr>
        <w:t> </w:t>
      </w:r>
      <w:r>
        <w:rPr/>
        <w:t>tomada</w:t>
      </w:r>
      <w:r>
        <w:rPr>
          <w:spacing w:val="-37"/>
        </w:rPr>
        <w:t> </w:t>
      </w:r>
      <w:r>
        <w:rPr/>
        <w:t>em</w:t>
      </w:r>
      <w:r>
        <w:rPr>
          <w:spacing w:val="-38"/>
        </w:rPr>
        <w:t> </w:t>
      </w:r>
      <w:r>
        <w:rPr/>
        <w:t>Assembleia</w:t>
      </w:r>
      <w:r>
        <w:rPr>
          <w:spacing w:val="-39"/>
        </w:rPr>
        <w:t> </w:t>
      </w:r>
      <w:r>
        <w:rPr/>
        <w:t>Geral</w:t>
      </w:r>
      <w:r>
        <w:rPr>
          <w:spacing w:val="-39"/>
        </w:rPr>
        <w:t> </w:t>
      </w:r>
      <w:r>
        <w:rPr/>
        <w:t>Extraordinária</w:t>
      </w:r>
      <w:r>
        <w:rPr>
          <w:spacing w:val="-38"/>
        </w:rPr>
        <w:t> </w:t>
      </w:r>
      <w:r>
        <w:rPr/>
        <w:t>dos</w:t>
      </w:r>
      <w:r>
        <w:rPr>
          <w:spacing w:val="-40"/>
        </w:rPr>
        <w:t> </w:t>
      </w:r>
      <w:r>
        <w:rPr/>
        <w:t>Acionistas</w:t>
      </w:r>
      <w:r>
        <w:rPr>
          <w:spacing w:val="-39"/>
        </w:rPr>
        <w:t> </w:t>
      </w:r>
      <w:r>
        <w:rPr/>
        <w:t>da</w:t>
      </w:r>
      <w:r>
        <w:rPr>
          <w:spacing w:val="-39"/>
        </w:rPr>
        <w:t> </w:t>
      </w:r>
      <w:r>
        <w:rPr/>
        <w:t>Companhia</w:t>
      </w:r>
      <w:r>
        <w:rPr>
          <w:spacing w:val="-38"/>
        </w:rPr>
        <w:t> </w:t>
      </w:r>
      <w:r>
        <w:rPr/>
        <w:t>realizada</w:t>
      </w:r>
      <w:r>
        <w:rPr>
          <w:spacing w:val="-38"/>
        </w:rPr>
        <w:t> </w:t>
      </w:r>
      <w:r>
        <w:rPr/>
        <w:t>em</w:t>
      </w:r>
      <w:r>
        <w:rPr>
          <w:spacing w:val="-38"/>
        </w:rPr>
        <w:t> </w:t>
      </w:r>
      <w:r>
        <w:rPr/>
        <w:t>20</w:t>
      </w:r>
      <w:r>
        <w:rPr>
          <w:spacing w:val="-39"/>
        </w:rPr>
        <w:t> </w:t>
      </w:r>
      <w:r>
        <w:rPr/>
        <w:t>de</w:t>
      </w:r>
      <w:r>
        <w:rPr>
          <w:spacing w:val="-39"/>
        </w:rPr>
        <w:t> </w:t>
      </w:r>
      <w:r>
        <w:rPr/>
        <w:t>dezembro de</w:t>
      </w:r>
      <w:r>
        <w:rPr>
          <w:spacing w:val="-20"/>
        </w:rPr>
        <w:t> </w:t>
      </w:r>
      <w:r>
        <w:rPr/>
        <w:t>2019,</w:t>
      </w:r>
      <w:r>
        <w:rPr>
          <w:spacing w:val="-19"/>
        </w:rPr>
        <w:t> </w:t>
      </w:r>
      <w:r>
        <w:rPr/>
        <w:t>com</w:t>
      </w:r>
      <w:r>
        <w:rPr>
          <w:spacing w:val="-19"/>
        </w:rPr>
        <w:t> </w:t>
      </w:r>
      <w:r>
        <w:rPr/>
        <w:t>o</w:t>
      </w:r>
      <w:r>
        <w:rPr>
          <w:spacing w:val="-16"/>
        </w:rPr>
        <w:t> </w:t>
      </w:r>
      <w:r>
        <w:rPr/>
        <w:t>seguinte</w:t>
      </w:r>
      <w:r>
        <w:rPr>
          <w:spacing w:val="-19"/>
        </w:rPr>
        <w:t> </w:t>
      </w:r>
      <w:r>
        <w:rPr/>
        <w:t>desfecho:</w:t>
      </w:r>
    </w:p>
    <w:p>
      <w:pPr>
        <w:pStyle w:val="BodyText"/>
        <w:spacing w:before="7"/>
      </w:pPr>
    </w:p>
    <w:p>
      <w:pPr>
        <w:pStyle w:val="BodyText"/>
        <w:spacing w:line="242" w:lineRule="auto"/>
        <w:ind w:left="192" w:right="607"/>
        <w:jc w:val="both"/>
      </w:pPr>
      <w:r>
        <w:rPr/>
        <w:t>Foi</w:t>
      </w:r>
      <w:r>
        <w:rPr>
          <w:spacing w:val="-38"/>
        </w:rPr>
        <w:t> </w:t>
      </w:r>
      <w:r>
        <w:rPr/>
        <w:t>deliberado</w:t>
      </w:r>
      <w:r>
        <w:rPr>
          <w:spacing w:val="-36"/>
        </w:rPr>
        <w:t> </w:t>
      </w:r>
      <w:r>
        <w:rPr/>
        <w:t>pelos</w:t>
      </w:r>
      <w:r>
        <w:rPr>
          <w:spacing w:val="-36"/>
        </w:rPr>
        <w:t> </w:t>
      </w:r>
      <w:r>
        <w:rPr/>
        <w:t>acionistas</w:t>
      </w:r>
      <w:r>
        <w:rPr>
          <w:spacing w:val="-37"/>
        </w:rPr>
        <w:t> </w:t>
      </w:r>
      <w:r>
        <w:rPr/>
        <w:t>na</w:t>
      </w:r>
      <w:r>
        <w:rPr>
          <w:spacing w:val="-36"/>
        </w:rPr>
        <w:t> </w:t>
      </w:r>
      <w:r>
        <w:rPr/>
        <w:t>AGE</w:t>
      </w:r>
      <w:r>
        <w:rPr>
          <w:spacing w:val="-36"/>
        </w:rPr>
        <w:t> </w:t>
      </w:r>
      <w:r>
        <w:rPr/>
        <w:t>que</w:t>
      </w:r>
      <w:r>
        <w:rPr>
          <w:spacing w:val="-37"/>
        </w:rPr>
        <w:t> </w:t>
      </w:r>
      <w:r>
        <w:rPr/>
        <w:t>o</w:t>
      </w:r>
      <w:r>
        <w:rPr>
          <w:spacing w:val="-36"/>
        </w:rPr>
        <w:t> </w:t>
      </w:r>
      <w:r>
        <w:rPr/>
        <w:t>pagamento</w:t>
      </w:r>
      <w:r>
        <w:rPr>
          <w:spacing w:val="-34"/>
        </w:rPr>
        <w:t> </w:t>
      </w:r>
      <w:r>
        <w:rPr/>
        <w:t>da</w:t>
      </w:r>
      <w:r>
        <w:rPr>
          <w:spacing w:val="-37"/>
        </w:rPr>
        <w:t> </w:t>
      </w:r>
      <w:r>
        <w:rPr/>
        <w:t>dívida</w:t>
      </w:r>
      <w:r>
        <w:rPr>
          <w:spacing w:val="-35"/>
        </w:rPr>
        <w:t> </w:t>
      </w:r>
      <w:r>
        <w:rPr/>
        <w:t>de</w:t>
      </w:r>
      <w:r>
        <w:rPr>
          <w:spacing w:val="-37"/>
        </w:rPr>
        <w:t> </w:t>
      </w:r>
      <w:r>
        <w:rPr/>
        <w:t>Corumbá</w:t>
      </w:r>
      <w:r>
        <w:rPr>
          <w:spacing w:val="-36"/>
        </w:rPr>
        <w:t> </w:t>
      </w:r>
      <w:r>
        <w:rPr/>
        <w:t>Concessões</w:t>
      </w:r>
      <w:r>
        <w:rPr>
          <w:spacing w:val="-37"/>
        </w:rPr>
        <w:t> </w:t>
      </w:r>
      <w:r>
        <w:rPr/>
        <w:t>S.A.</w:t>
      </w:r>
      <w:r>
        <w:rPr>
          <w:spacing w:val="-30"/>
        </w:rPr>
        <w:t> </w:t>
      </w:r>
      <w:r>
        <w:rPr/>
        <w:t>para</w:t>
      </w:r>
      <w:r>
        <w:rPr>
          <w:spacing w:val="-36"/>
        </w:rPr>
        <w:t> </w:t>
      </w:r>
      <w:r>
        <w:rPr/>
        <w:t>a</w:t>
      </w:r>
      <w:r>
        <w:rPr>
          <w:spacing w:val="-35"/>
        </w:rPr>
        <w:t> </w:t>
      </w:r>
      <w:r>
        <w:rPr/>
        <w:t>SERVENG</w:t>
      </w:r>
      <w:r>
        <w:rPr>
          <w:spacing w:val="-37"/>
        </w:rPr>
        <w:t> </w:t>
      </w:r>
      <w:r>
        <w:rPr/>
        <w:t>seria liquidado</w:t>
      </w:r>
      <w:r>
        <w:rPr>
          <w:spacing w:val="-37"/>
        </w:rPr>
        <w:t> </w:t>
      </w:r>
      <w:r>
        <w:rPr/>
        <w:t>mediante</w:t>
      </w:r>
      <w:r>
        <w:rPr>
          <w:spacing w:val="-37"/>
        </w:rPr>
        <w:t> </w:t>
      </w:r>
      <w:r>
        <w:rPr/>
        <w:t>aumento</w:t>
      </w:r>
      <w:r>
        <w:rPr>
          <w:spacing w:val="-36"/>
        </w:rPr>
        <w:t> </w:t>
      </w:r>
      <w:r>
        <w:rPr/>
        <w:t>do</w:t>
      </w:r>
      <w:r>
        <w:rPr>
          <w:spacing w:val="-37"/>
        </w:rPr>
        <w:t> </w:t>
      </w:r>
      <w:r>
        <w:rPr/>
        <w:t>capital</w:t>
      </w:r>
      <w:r>
        <w:rPr>
          <w:spacing w:val="-36"/>
        </w:rPr>
        <w:t> </w:t>
      </w:r>
      <w:r>
        <w:rPr/>
        <w:t>social</w:t>
      </w:r>
      <w:r>
        <w:rPr>
          <w:spacing w:val="-36"/>
        </w:rPr>
        <w:t> </w:t>
      </w:r>
      <w:r>
        <w:rPr/>
        <w:t>da</w:t>
      </w:r>
      <w:r>
        <w:rPr>
          <w:spacing w:val="-37"/>
        </w:rPr>
        <w:t> </w:t>
      </w:r>
      <w:r>
        <w:rPr/>
        <w:t>Corumbá</w:t>
      </w:r>
      <w:r>
        <w:rPr>
          <w:spacing w:val="-36"/>
        </w:rPr>
        <w:t> </w:t>
      </w:r>
      <w:r>
        <w:rPr/>
        <w:t>Concessões</w:t>
      </w:r>
      <w:r>
        <w:rPr>
          <w:spacing w:val="-36"/>
        </w:rPr>
        <w:t> </w:t>
      </w:r>
      <w:r>
        <w:rPr/>
        <w:t>S.A.,</w:t>
      </w:r>
      <w:r>
        <w:rPr>
          <w:spacing w:val="-36"/>
        </w:rPr>
        <w:t> </w:t>
      </w:r>
      <w:r>
        <w:rPr/>
        <w:t>com</w:t>
      </w:r>
      <w:r>
        <w:rPr>
          <w:spacing w:val="-36"/>
        </w:rPr>
        <w:t> </w:t>
      </w:r>
      <w:r>
        <w:rPr/>
        <w:t>a</w:t>
      </w:r>
      <w:r>
        <w:rPr>
          <w:spacing w:val="-36"/>
        </w:rPr>
        <w:t> </w:t>
      </w:r>
      <w:r>
        <w:rPr/>
        <w:t>conversão</w:t>
      </w:r>
      <w:r>
        <w:rPr>
          <w:spacing w:val="-37"/>
        </w:rPr>
        <w:t> </w:t>
      </w:r>
      <w:r>
        <w:rPr/>
        <w:t>dos</w:t>
      </w:r>
      <w:r>
        <w:rPr>
          <w:spacing w:val="-36"/>
        </w:rPr>
        <w:t> </w:t>
      </w:r>
      <w:r>
        <w:rPr/>
        <w:t>créditos</w:t>
      </w:r>
      <w:r>
        <w:rPr>
          <w:spacing w:val="-36"/>
        </w:rPr>
        <w:t> </w:t>
      </w:r>
      <w:r>
        <w:rPr/>
        <w:t>de</w:t>
      </w:r>
      <w:r>
        <w:rPr>
          <w:spacing w:val="-37"/>
        </w:rPr>
        <w:t> </w:t>
      </w:r>
      <w:r>
        <w:rPr/>
        <w:t>AFAC´s da</w:t>
      </w:r>
      <w:r>
        <w:rPr>
          <w:spacing w:val="-14"/>
        </w:rPr>
        <w:t> </w:t>
      </w:r>
      <w:r>
        <w:rPr/>
        <w:t>Serveng-Civilsan</w:t>
      </w:r>
      <w:r>
        <w:rPr>
          <w:spacing w:val="-16"/>
        </w:rPr>
        <w:t> </w:t>
      </w:r>
      <w:r>
        <w:rPr/>
        <w:t>S.A.</w:t>
      </w:r>
      <w:r>
        <w:rPr>
          <w:spacing w:val="-12"/>
        </w:rPr>
        <w:t> </w:t>
      </w:r>
      <w:r>
        <w:rPr/>
        <w:t>em</w:t>
      </w:r>
      <w:r>
        <w:rPr>
          <w:spacing w:val="-13"/>
        </w:rPr>
        <w:t> </w:t>
      </w:r>
      <w:r>
        <w:rPr/>
        <w:t>ações</w:t>
      </w:r>
      <w:r>
        <w:rPr>
          <w:spacing w:val="-14"/>
        </w:rPr>
        <w:t> </w:t>
      </w:r>
      <w:r>
        <w:rPr/>
        <w:t>da</w:t>
      </w:r>
      <w:r>
        <w:rPr>
          <w:spacing w:val="-12"/>
        </w:rPr>
        <w:t> </w:t>
      </w:r>
      <w:r>
        <w:rPr/>
        <w:t>Corumbá</w:t>
      </w:r>
      <w:r>
        <w:rPr>
          <w:spacing w:val="-14"/>
        </w:rPr>
        <w:t> </w:t>
      </w:r>
      <w:r>
        <w:rPr/>
        <w:t>Concessões.</w:t>
      </w:r>
      <w:r>
        <w:rPr>
          <w:spacing w:val="-15"/>
        </w:rPr>
        <w:t> </w:t>
      </w:r>
      <w:r>
        <w:rPr/>
        <w:t>Foi</w:t>
      </w:r>
      <w:r>
        <w:rPr>
          <w:spacing w:val="-14"/>
        </w:rPr>
        <w:t> </w:t>
      </w:r>
      <w:r>
        <w:rPr/>
        <w:t>deliberado</w:t>
      </w:r>
      <w:r>
        <w:rPr>
          <w:spacing w:val="-15"/>
        </w:rPr>
        <w:t> </w:t>
      </w:r>
      <w:r>
        <w:rPr/>
        <w:t>também</w:t>
      </w:r>
      <w:r>
        <w:rPr>
          <w:spacing w:val="-13"/>
        </w:rPr>
        <w:t> </w:t>
      </w:r>
      <w:r>
        <w:rPr/>
        <w:t>que</w:t>
      </w:r>
      <w:r>
        <w:rPr>
          <w:spacing w:val="-13"/>
        </w:rPr>
        <w:t> </w:t>
      </w:r>
      <w:r>
        <w:rPr/>
        <w:t>os</w:t>
      </w:r>
      <w:r>
        <w:rPr>
          <w:spacing w:val="-14"/>
        </w:rPr>
        <w:t> </w:t>
      </w:r>
      <w:r>
        <w:rPr/>
        <w:t>AFAC’s</w:t>
      </w:r>
      <w:r>
        <w:rPr>
          <w:spacing w:val="-14"/>
        </w:rPr>
        <w:t> </w:t>
      </w:r>
      <w:r>
        <w:rPr/>
        <w:t>da</w:t>
      </w:r>
      <w:r>
        <w:rPr>
          <w:spacing w:val="-13"/>
        </w:rPr>
        <w:t> </w:t>
      </w:r>
      <w:r>
        <w:rPr/>
        <w:t>CEB</w:t>
      </w:r>
      <w:r>
        <w:rPr>
          <w:spacing w:val="-14"/>
        </w:rPr>
        <w:t> </w:t>
      </w:r>
      <w:r>
        <w:rPr/>
        <w:t>seriam atualizados com os mesmos critérios dos AFAC’s feito pela Serveng. Os valores de AFAC’s da Serveng e da CEB resultaram</w:t>
      </w:r>
      <w:r>
        <w:rPr>
          <w:spacing w:val="-35"/>
        </w:rPr>
        <w:t> </w:t>
      </w:r>
      <w:r>
        <w:rPr/>
        <w:t>em</w:t>
      </w:r>
      <w:r>
        <w:rPr>
          <w:spacing w:val="-36"/>
        </w:rPr>
        <w:t> </w:t>
      </w:r>
      <w:r>
        <w:rPr/>
        <w:t>R$</w:t>
      </w:r>
      <w:r>
        <w:rPr>
          <w:spacing w:val="-36"/>
        </w:rPr>
        <w:t> </w:t>
      </w:r>
      <w:r>
        <w:rPr/>
        <w:t>99.593</w:t>
      </w:r>
      <w:r>
        <w:rPr>
          <w:spacing w:val="-36"/>
        </w:rPr>
        <w:t> </w:t>
      </w:r>
      <w:r>
        <w:rPr/>
        <w:t>e</w:t>
      </w:r>
      <w:r>
        <w:rPr>
          <w:spacing w:val="-35"/>
        </w:rPr>
        <w:t> </w:t>
      </w:r>
      <w:r>
        <w:rPr/>
        <w:t>R$</w:t>
      </w:r>
      <w:r>
        <w:rPr>
          <w:spacing w:val="-35"/>
        </w:rPr>
        <w:t> </w:t>
      </w:r>
      <w:r>
        <w:rPr/>
        <w:t>8.903,</w:t>
      </w:r>
      <w:r>
        <w:rPr>
          <w:spacing w:val="-36"/>
        </w:rPr>
        <w:t> </w:t>
      </w:r>
      <w:r>
        <w:rPr/>
        <w:t>respectivamente.</w:t>
      </w:r>
      <w:r>
        <w:rPr>
          <w:spacing w:val="-34"/>
        </w:rPr>
        <w:t> </w:t>
      </w:r>
      <w:r>
        <w:rPr/>
        <w:t>Os</w:t>
      </w:r>
      <w:r>
        <w:rPr>
          <w:spacing w:val="-35"/>
        </w:rPr>
        <w:t> </w:t>
      </w:r>
      <w:r>
        <w:rPr/>
        <w:t>valores</w:t>
      </w:r>
      <w:r>
        <w:rPr>
          <w:spacing w:val="-36"/>
        </w:rPr>
        <w:t> </w:t>
      </w:r>
      <w:r>
        <w:rPr/>
        <w:t>foram</w:t>
      </w:r>
      <w:r>
        <w:rPr>
          <w:spacing w:val="-36"/>
        </w:rPr>
        <w:t> </w:t>
      </w:r>
      <w:r>
        <w:rPr/>
        <w:t>calculados</w:t>
      </w:r>
      <w:r>
        <w:rPr>
          <w:spacing w:val="-37"/>
        </w:rPr>
        <w:t> </w:t>
      </w:r>
      <w:r>
        <w:rPr/>
        <w:t>pela</w:t>
      </w:r>
      <w:r>
        <w:rPr>
          <w:spacing w:val="-34"/>
        </w:rPr>
        <w:t> </w:t>
      </w:r>
      <w:r>
        <w:rPr/>
        <w:t>Corumbá</w:t>
      </w:r>
      <w:r>
        <w:rPr>
          <w:spacing w:val="-35"/>
        </w:rPr>
        <w:t> </w:t>
      </w:r>
      <w:r>
        <w:rPr/>
        <w:t>Concessões</w:t>
      </w:r>
      <w:r>
        <w:rPr>
          <w:spacing w:val="-36"/>
        </w:rPr>
        <w:t> </w:t>
      </w:r>
      <w:r>
        <w:rPr/>
        <w:t>S.A.</w:t>
      </w:r>
      <w:r>
        <w:rPr>
          <w:spacing w:val="-36"/>
        </w:rPr>
        <w:t> </w:t>
      </w:r>
      <w:r>
        <w:rPr/>
        <w:t>e validados</w:t>
      </w:r>
      <w:r>
        <w:rPr>
          <w:spacing w:val="-19"/>
        </w:rPr>
        <w:t> </w:t>
      </w:r>
      <w:r>
        <w:rPr/>
        <w:t>por</w:t>
      </w:r>
      <w:r>
        <w:rPr>
          <w:spacing w:val="-17"/>
        </w:rPr>
        <w:t> </w:t>
      </w:r>
      <w:r>
        <w:rPr/>
        <w:t>empresa</w:t>
      </w:r>
      <w:r>
        <w:rPr>
          <w:spacing w:val="-19"/>
        </w:rPr>
        <w:t> </w:t>
      </w:r>
      <w:r>
        <w:rPr/>
        <w:t>especializada</w:t>
      </w:r>
      <w:r>
        <w:rPr>
          <w:spacing w:val="-15"/>
        </w:rPr>
        <w:t> </w:t>
      </w:r>
      <w:r>
        <w:rPr/>
        <w:t>contratada.</w:t>
      </w:r>
    </w:p>
    <w:p>
      <w:pPr>
        <w:pStyle w:val="BodyText"/>
        <w:spacing w:before="6"/>
      </w:pPr>
    </w:p>
    <w:p>
      <w:pPr>
        <w:pStyle w:val="BodyText"/>
        <w:spacing w:line="242" w:lineRule="auto" w:before="1"/>
        <w:ind w:left="192" w:right="610"/>
        <w:jc w:val="both"/>
      </w:pPr>
      <w:r>
        <w:rPr/>
        <w:t>Para</w:t>
      </w:r>
      <w:r>
        <w:rPr>
          <w:spacing w:val="-41"/>
        </w:rPr>
        <w:t> </w:t>
      </w:r>
      <w:r>
        <w:rPr/>
        <w:t>a</w:t>
      </w:r>
      <w:r>
        <w:rPr>
          <w:spacing w:val="-41"/>
        </w:rPr>
        <w:t> </w:t>
      </w:r>
      <w:r>
        <w:rPr/>
        <w:t>Serveng</w:t>
      </w:r>
      <w:r>
        <w:rPr>
          <w:spacing w:val="-40"/>
        </w:rPr>
        <w:t> </w:t>
      </w:r>
      <w:r>
        <w:rPr/>
        <w:t>foram</w:t>
      </w:r>
      <w:r>
        <w:rPr>
          <w:spacing w:val="-41"/>
        </w:rPr>
        <w:t> </w:t>
      </w:r>
      <w:r>
        <w:rPr/>
        <w:t>emitidas</w:t>
      </w:r>
      <w:r>
        <w:rPr>
          <w:spacing w:val="-40"/>
        </w:rPr>
        <w:t> </w:t>
      </w:r>
      <w:r>
        <w:rPr/>
        <w:t>ações</w:t>
      </w:r>
      <w:r>
        <w:rPr>
          <w:spacing w:val="-40"/>
        </w:rPr>
        <w:t> </w:t>
      </w:r>
      <w:r>
        <w:rPr/>
        <w:t>da</w:t>
      </w:r>
      <w:r>
        <w:rPr>
          <w:spacing w:val="-40"/>
        </w:rPr>
        <w:t> </w:t>
      </w:r>
      <w:r>
        <w:rPr/>
        <w:t>classe</w:t>
      </w:r>
      <w:r>
        <w:rPr>
          <w:spacing w:val="-41"/>
        </w:rPr>
        <w:t> </w:t>
      </w:r>
      <w:r>
        <w:rPr/>
        <w:t>preferenciais,</w:t>
      </w:r>
      <w:r>
        <w:rPr>
          <w:spacing w:val="-40"/>
        </w:rPr>
        <w:t> </w:t>
      </w:r>
      <w:r>
        <w:rPr/>
        <w:t>que,</w:t>
      </w:r>
      <w:r>
        <w:rPr>
          <w:spacing w:val="-41"/>
        </w:rPr>
        <w:t> </w:t>
      </w:r>
      <w:r>
        <w:rPr/>
        <w:t>por</w:t>
      </w:r>
      <w:r>
        <w:rPr>
          <w:spacing w:val="-41"/>
        </w:rPr>
        <w:t> </w:t>
      </w:r>
      <w:r>
        <w:rPr/>
        <w:t>consequência,</w:t>
      </w:r>
      <w:r>
        <w:rPr>
          <w:spacing w:val="-39"/>
        </w:rPr>
        <w:t> </w:t>
      </w:r>
      <w:r>
        <w:rPr/>
        <w:t>teve</w:t>
      </w:r>
      <w:r>
        <w:rPr>
          <w:spacing w:val="-42"/>
        </w:rPr>
        <w:t> </w:t>
      </w:r>
      <w:r>
        <w:rPr/>
        <w:t>sua</w:t>
      </w:r>
      <w:r>
        <w:rPr>
          <w:spacing w:val="-40"/>
        </w:rPr>
        <w:t> </w:t>
      </w:r>
      <w:r>
        <w:rPr/>
        <w:t>participação</w:t>
      </w:r>
      <w:r>
        <w:rPr>
          <w:spacing w:val="-41"/>
        </w:rPr>
        <w:t> </w:t>
      </w:r>
      <w:r>
        <w:rPr/>
        <w:t>acionária aumentada</w:t>
      </w:r>
      <w:r>
        <w:rPr>
          <w:spacing w:val="-15"/>
        </w:rPr>
        <w:t> </w:t>
      </w:r>
      <w:r>
        <w:rPr/>
        <w:t>de</w:t>
      </w:r>
      <w:r>
        <w:rPr>
          <w:spacing w:val="-18"/>
        </w:rPr>
        <w:t> </w:t>
      </w:r>
      <w:r>
        <w:rPr/>
        <w:t>22,93%</w:t>
      </w:r>
      <w:r>
        <w:rPr>
          <w:spacing w:val="-16"/>
        </w:rPr>
        <w:t> </w:t>
      </w:r>
      <w:r>
        <w:rPr/>
        <w:t>para</w:t>
      </w:r>
      <w:r>
        <w:rPr>
          <w:spacing w:val="-14"/>
        </w:rPr>
        <w:t> </w:t>
      </w:r>
      <w:r>
        <w:rPr/>
        <w:t>47,26%</w:t>
      </w:r>
      <w:r>
        <w:rPr>
          <w:spacing w:val="-13"/>
        </w:rPr>
        <w:t> </w:t>
      </w:r>
      <w:r>
        <w:rPr/>
        <w:t>no</w:t>
      </w:r>
      <w:r>
        <w:rPr>
          <w:spacing w:val="-19"/>
        </w:rPr>
        <w:t> </w:t>
      </w:r>
      <w:r>
        <w:rPr/>
        <w:t>Capital</w:t>
      </w:r>
      <w:r>
        <w:rPr>
          <w:spacing w:val="-17"/>
        </w:rPr>
        <w:t> </w:t>
      </w:r>
      <w:r>
        <w:rPr/>
        <w:t>Social.</w:t>
      </w:r>
    </w:p>
    <w:p>
      <w:pPr>
        <w:pStyle w:val="BodyText"/>
        <w:spacing w:before="9"/>
      </w:pPr>
    </w:p>
    <w:p>
      <w:pPr>
        <w:pStyle w:val="BodyText"/>
        <w:spacing w:line="242" w:lineRule="auto"/>
        <w:ind w:left="192" w:right="606"/>
        <w:jc w:val="both"/>
      </w:pPr>
      <w:r>
        <w:rPr/>
        <w:t>A</w:t>
      </w:r>
      <w:r>
        <w:rPr>
          <w:spacing w:val="-15"/>
        </w:rPr>
        <w:t> </w:t>
      </w:r>
      <w:r>
        <w:rPr/>
        <w:t>CEB</w:t>
      </w:r>
      <w:r>
        <w:rPr>
          <w:spacing w:val="-14"/>
        </w:rPr>
        <w:t> </w:t>
      </w:r>
      <w:r>
        <w:rPr/>
        <w:t>teve</w:t>
      </w:r>
      <w:r>
        <w:rPr>
          <w:spacing w:val="-16"/>
        </w:rPr>
        <w:t> </w:t>
      </w:r>
      <w:r>
        <w:rPr/>
        <w:t>sua</w:t>
      </w:r>
      <w:r>
        <w:rPr>
          <w:spacing w:val="-15"/>
        </w:rPr>
        <w:t> </w:t>
      </w:r>
      <w:r>
        <w:rPr/>
        <w:t>participação</w:t>
      </w:r>
      <w:r>
        <w:rPr>
          <w:spacing w:val="-16"/>
        </w:rPr>
        <w:t> </w:t>
      </w:r>
      <w:r>
        <w:rPr/>
        <w:t>acionária</w:t>
      </w:r>
      <w:r>
        <w:rPr>
          <w:spacing w:val="-14"/>
        </w:rPr>
        <w:t> </w:t>
      </w:r>
      <w:r>
        <w:rPr/>
        <w:t>reduzida</w:t>
      </w:r>
      <w:r>
        <w:rPr>
          <w:spacing w:val="-16"/>
        </w:rPr>
        <w:t> </w:t>
      </w:r>
      <w:r>
        <w:rPr/>
        <w:t>de</w:t>
      </w:r>
      <w:r>
        <w:rPr>
          <w:spacing w:val="-16"/>
        </w:rPr>
        <w:t> </w:t>
      </w:r>
      <w:r>
        <w:rPr/>
        <w:t>45,21%</w:t>
      </w:r>
      <w:r>
        <w:rPr>
          <w:spacing w:val="-15"/>
        </w:rPr>
        <w:t> </w:t>
      </w:r>
      <w:r>
        <w:rPr/>
        <w:t>para</w:t>
      </w:r>
      <w:r>
        <w:rPr>
          <w:spacing w:val="-16"/>
        </w:rPr>
        <w:t> </w:t>
      </w:r>
      <w:r>
        <w:rPr/>
        <w:t>32,14%</w:t>
      </w:r>
      <w:r>
        <w:rPr>
          <w:spacing w:val="-8"/>
        </w:rPr>
        <w:t> </w:t>
      </w:r>
      <w:r>
        <w:rPr/>
        <w:t>no</w:t>
      </w:r>
      <w:r>
        <w:rPr>
          <w:spacing w:val="-15"/>
        </w:rPr>
        <w:t> </w:t>
      </w:r>
      <w:r>
        <w:rPr/>
        <w:t>Capital</w:t>
      </w:r>
      <w:r>
        <w:rPr>
          <w:spacing w:val="-13"/>
        </w:rPr>
        <w:t> </w:t>
      </w:r>
      <w:r>
        <w:rPr/>
        <w:t>Social,</w:t>
      </w:r>
      <w:r>
        <w:rPr>
          <w:spacing w:val="-17"/>
        </w:rPr>
        <w:t> </w:t>
      </w:r>
      <w:r>
        <w:rPr/>
        <w:t>a</w:t>
      </w:r>
      <w:r>
        <w:rPr>
          <w:spacing w:val="-13"/>
        </w:rPr>
        <w:t> </w:t>
      </w:r>
      <w:r>
        <w:rPr/>
        <w:t>qual</w:t>
      </w:r>
      <w:r>
        <w:rPr>
          <w:spacing w:val="-15"/>
        </w:rPr>
        <w:t> </w:t>
      </w:r>
      <w:r>
        <w:rPr/>
        <w:t>incorporou</w:t>
      </w:r>
      <w:r>
        <w:rPr>
          <w:spacing w:val="-12"/>
        </w:rPr>
        <w:t> </w:t>
      </w:r>
      <w:r>
        <w:rPr/>
        <w:t>novas ações</w:t>
      </w:r>
      <w:r>
        <w:rPr>
          <w:spacing w:val="-19"/>
        </w:rPr>
        <w:t> </w:t>
      </w:r>
      <w:r>
        <w:rPr/>
        <w:t>ordinárias,</w:t>
      </w:r>
      <w:r>
        <w:rPr>
          <w:spacing w:val="-19"/>
        </w:rPr>
        <w:t> </w:t>
      </w:r>
      <w:r>
        <w:rPr/>
        <w:t>passando</w:t>
      </w:r>
      <w:r>
        <w:rPr>
          <w:spacing w:val="-17"/>
        </w:rPr>
        <w:t> </w:t>
      </w:r>
      <w:r>
        <w:rPr/>
        <w:t>de</w:t>
      </w:r>
      <w:r>
        <w:rPr>
          <w:spacing w:val="-20"/>
        </w:rPr>
        <w:t> </w:t>
      </w:r>
      <w:r>
        <w:rPr/>
        <w:t>21,65%</w:t>
      </w:r>
      <w:r>
        <w:rPr>
          <w:spacing w:val="-19"/>
        </w:rPr>
        <w:t> </w:t>
      </w:r>
      <w:r>
        <w:rPr/>
        <w:t>para</w:t>
      </w:r>
      <w:r>
        <w:rPr>
          <w:spacing w:val="-19"/>
        </w:rPr>
        <w:t> </w:t>
      </w:r>
      <w:r>
        <w:rPr/>
        <w:t>26,79%.</w:t>
      </w:r>
      <w:r>
        <w:rPr>
          <w:spacing w:val="-18"/>
        </w:rPr>
        <w:t> </w:t>
      </w:r>
      <w:r>
        <w:rPr/>
        <w:t>Já</w:t>
      </w:r>
      <w:r>
        <w:rPr>
          <w:spacing w:val="-17"/>
        </w:rPr>
        <w:t> </w:t>
      </w:r>
      <w:r>
        <w:rPr/>
        <w:t>em</w:t>
      </w:r>
      <w:r>
        <w:rPr>
          <w:spacing w:val="-17"/>
        </w:rPr>
        <w:t> </w:t>
      </w:r>
      <w:r>
        <w:rPr/>
        <w:t>relação</w:t>
      </w:r>
      <w:r>
        <w:rPr>
          <w:spacing w:val="-20"/>
        </w:rPr>
        <w:t> </w:t>
      </w:r>
      <w:r>
        <w:rPr/>
        <w:t>as</w:t>
      </w:r>
      <w:r>
        <w:rPr>
          <w:spacing w:val="-18"/>
        </w:rPr>
        <w:t> </w:t>
      </w:r>
      <w:r>
        <w:rPr/>
        <w:t>ações</w:t>
      </w:r>
      <w:r>
        <w:rPr>
          <w:spacing w:val="-19"/>
        </w:rPr>
        <w:t> </w:t>
      </w:r>
      <w:r>
        <w:rPr/>
        <w:t>preferenciais,</w:t>
      </w:r>
      <w:r>
        <w:rPr>
          <w:spacing w:val="-19"/>
        </w:rPr>
        <w:t> </w:t>
      </w:r>
      <w:r>
        <w:rPr/>
        <w:t>foi</w:t>
      </w:r>
      <w:r>
        <w:rPr>
          <w:spacing w:val="-20"/>
        </w:rPr>
        <w:t> </w:t>
      </w:r>
      <w:r>
        <w:rPr/>
        <w:t>diluída,</w:t>
      </w:r>
      <w:r>
        <w:rPr>
          <w:spacing w:val="-19"/>
        </w:rPr>
        <w:t> </w:t>
      </w:r>
      <w:r>
        <w:rPr/>
        <w:t>passando</w:t>
      </w:r>
      <w:r>
        <w:rPr>
          <w:spacing w:val="-18"/>
        </w:rPr>
        <w:t> </w:t>
      </w:r>
      <w:r>
        <w:rPr/>
        <w:t>de 63,04% para</w:t>
      </w:r>
      <w:r>
        <w:rPr>
          <w:spacing w:val="-32"/>
        </w:rPr>
        <w:t> </w:t>
      </w:r>
      <w:r>
        <w:rPr/>
        <w:t>34,81%.</w:t>
      </w:r>
    </w:p>
    <w:p>
      <w:pPr>
        <w:pStyle w:val="BodyText"/>
        <w:spacing w:before="7"/>
      </w:pPr>
    </w:p>
    <w:p>
      <w:pPr>
        <w:pStyle w:val="BodyText"/>
        <w:spacing w:before="1"/>
        <w:ind w:left="192"/>
        <w:jc w:val="both"/>
      </w:pPr>
      <w:r>
        <w:rPr/>
        <w:t>A Serveng continua controladora da Corumbá Concessões S.A..</w:t>
      </w:r>
    </w:p>
    <w:p>
      <w:pPr>
        <w:pStyle w:val="BodyText"/>
        <w:spacing w:before="8"/>
      </w:pPr>
    </w:p>
    <w:p>
      <w:pPr>
        <w:pStyle w:val="Heading5"/>
        <w:numPr>
          <w:ilvl w:val="3"/>
          <w:numId w:val="10"/>
        </w:numPr>
        <w:tabs>
          <w:tab w:pos="1326" w:val="left" w:leader="none"/>
        </w:tabs>
        <w:spacing w:line="240" w:lineRule="auto" w:before="0" w:after="0"/>
        <w:ind w:left="1326" w:right="0" w:hanging="1134"/>
        <w:jc w:val="both"/>
      </w:pPr>
      <w:r>
        <w:rPr/>
        <w:t>Investco S.A. (Participação</w:t>
      </w:r>
      <w:r>
        <w:rPr>
          <w:spacing w:val="-5"/>
        </w:rPr>
        <w:t> </w:t>
      </w:r>
      <w:r>
        <w:rPr/>
        <w:t>Indireta)</w:t>
      </w:r>
    </w:p>
    <w:p>
      <w:pPr>
        <w:pStyle w:val="BodyText"/>
        <w:spacing w:before="10"/>
        <w:rPr>
          <w:rFonts w:ascii="Caladea"/>
          <w:b/>
          <w:sz w:val="23"/>
        </w:rPr>
      </w:pPr>
    </w:p>
    <w:p>
      <w:pPr>
        <w:pStyle w:val="BodyText"/>
        <w:spacing w:line="242" w:lineRule="auto"/>
        <w:ind w:left="192" w:right="612"/>
        <w:jc w:val="both"/>
      </w:pPr>
      <w:r>
        <w:rPr/>
        <w:t>A</w:t>
      </w:r>
      <w:r>
        <w:rPr>
          <w:spacing w:val="-45"/>
        </w:rPr>
        <w:t> </w:t>
      </w:r>
      <w:r>
        <w:rPr/>
        <w:t>Investco</w:t>
      </w:r>
      <w:r>
        <w:rPr>
          <w:spacing w:val="-44"/>
        </w:rPr>
        <w:t> </w:t>
      </w:r>
      <w:r>
        <w:rPr/>
        <w:t>S.A.</w:t>
      </w:r>
      <w:r>
        <w:rPr>
          <w:spacing w:val="-44"/>
        </w:rPr>
        <w:t> </w:t>
      </w:r>
      <w:r>
        <w:rPr/>
        <w:t>é</w:t>
      </w:r>
      <w:r>
        <w:rPr>
          <w:spacing w:val="-44"/>
        </w:rPr>
        <w:t> </w:t>
      </w:r>
      <w:r>
        <w:rPr/>
        <w:t>uma</w:t>
      </w:r>
      <w:r>
        <w:rPr>
          <w:spacing w:val="-44"/>
        </w:rPr>
        <w:t> </w:t>
      </w:r>
      <w:r>
        <w:rPr/>
        <w:t>empresa</w:t>
      </w:r>
      <w:r>
        <w:rPr>
          <w:spacing w:val="-44"/>
        </w:rPr>
        <w:t> </w:t>
      </w:r>
      <w:r>
        <w:rPr/>
        <w:t>de</w:t>
      </w:r>
      <w:r>
        <w:rPr>
          <w:spacing w:val="-45"/>
        </w:rPr>
        <w:t> </w:t>
      </w:r>
      <w:r>
        <w:rPr/>
        <w:t>capital</w:t>
      </w:r>
      <w:r>
        <w:rPr>
          <w:spacing w:val="-44"/>
        </w:rPr>
        <w:t> </w:t>
      </w:r>
      <w:r>
        <w:rPr/>
        <w:t>aberto</w:t>
      </w:r>
      <w:r>
        <w:rPr>
          <w:spacing w:val="-44"/>
        </w:rPr>
        <w:t> </w:t>
      </w:r>
      <w:r>
        <w:rPr/>
        <w:t>que</w:t>
      </w:r>
      <w:r>
        <w:rPr>
          <w:spacing w:val="-44"/>
        </w:rPr>
        <w:t> </w:t>
      </w:r>
      <w:r>
        <w:rPr/>
        <w:t>tem</w:t>
      </w:r>
      <w:r>
        <w:rPr>
          <w:spacing w:val="-44"/>
        </w:rPr>
        <w:t> </w:t>
      </w:r>
      <w:r>
        <w:rPr/>
        <w:t>como</w:t>
      </w:r>
      <w:r>
        <w:rPr>
          <w:spacing w:val="-44"/>
        </w:rPr>
        <w:t> </w:t>
      </w:r>
      <w:r>
        <w:rPr/>
        <w:t>objeto</w:t>
      </w:r>
      <w:r>
        <w:rPr>
          <w:spacing w:val="-45"/>
        </w:rPr>
        <w:t> </w:t>
      </w:r>
      <w:r>
        <w:rPr/>
        <w:t>social</w:t>
      </w:r>
      <w:r>
        <w:rPr>
          <w:spacing w:val="-44"/>
        </w:rPr>
        <w:t> </w:t>
      </w:r>
      <w:r>
        <w:rPr/>
        <w:t>a</w:t>
      </w:r>
      <w:r>
        <w:rPr>
          <w:spacing w:val="-44"/>
        </w:rPr>
        <w:t> </w:t>
      </w:r>
      <w:r>
        <w:rPr/>
        <w:t>elaboração</w:t>
      </w:r>
      <w:r>
        <w:rPr>
          <w:spacing w:val="-45"/>
        </w:rPr>
        <w:t> </w:t>
      </w:r>
      <w:r>
        <w:rPr/>
        <w:t>de</w:t>
      </w:r>
      <w:r>
        <w:rPr>
          <w:spacing w:val="-45"/>
        </w:rPr>
        <w:t> </w:t>
      </w:r>
      <w:r>
        <w:rPr/>
        <w:t>estudos,</w:t>
      </w:r>
      <w:r>
        <w:rPr>
          <w:spacing w:val="-44"/>
        </w:rPr>
        <w:t> </w:t>
      </w:r>
      <w:r>
        <w:rPr/>
        <w:t>planejamentos, </w:t>
      </w:r>
      <w:r>
        <w:rPr>
          <w:w w:val="95"/>
        </w:rPr>
        <w:t>projetos,</w:t>
      </w:r>
      <w:r>
        <w:rPr>
          <w:spacing w:val="-19"/>
          <w:w w:val="95"/>
        </w:rPr>
        <w:t> </w:t>
      </w:r>
      <w:r>
        <w:rPr>
          <w:w w:val="95"/>
        </w:rPr>
        <w:t>constituição</w:t>
      </w:r>
      <w:r>
        <w:rPr>
          <w:spacing w:val="-19"/>
          <w:w w:val="95"/>
        </w:rPr>
        <w:t> </w:t>
      </w:r>
      <w:r>
        <w:rPr>
          <w:w w:val="95"/>
        </w:rPr>
        <w:t>e</w:t>
      </w:r>
      <w:r>
        <w:rPr>
          <w:spacing w:val="-20"/>
          <w:w w:val="95"/>
        </w:rPr>
        <w:t> </w:t>
      </w:r>
      <w:r>
        <w:rPr>
          <w:w w:val="95"/>
        </w:rPr>
        <w:t>exploração</w:t>
      </w:r>
      <w:r>
        <w:rPr>
          <w:spacing w:val="-22"/>
          <w:w w:val="95"/>
        </w:rPr>
        <w:t> </w:t>
      </w:r>
      <w:r>
        <w:rPr>
          <w:w w:val="95"/>
        </w:rPr>
        <w:t>dos</w:t>
      </w:r>
      <w:r>
        <w:rPr>
          <w:spacing w:val="-15"/>
          <w:w w:val="95"/>
        </w:rPr>
        <w:t> </w:t>
      </w:r>
      <w:r>
        <w:rPr>
          <w:w w:val="95"/>
        </w:rPr>
        <w:t>sistemas</w:t>
      </w:r>
      <w:r>
        <w:rPr>
          <w:spacing w:val="-21"/>
          <w:w w:val="95"/>
        </w:rPr>
        <w:t> </w:t>
      </w:r>
      <w:r>
        <w:rPr>
          <w:w w:val="95"/>
        </w:rPr>
        <w:t>de</w:t>
      </w:r>
      <w:r>
        <w:rPr>
          <w:spacing w:val="-21"/>
          <w:w w:val="95"/>
        </w:rPr>
        <w:t> </w:t>
      </w:r>
      <w:r>
        <w:rPr>
          <w:w w:val="95"/>
        </w:rPr>
        <w:t>produção,</w:t>
      </w:r>
      <w:r>
        <w:rPr>
          <w:spacing w:val="-22"/>
          <w:w w:val="95"/>
        </w:rPr>
        <w:t> </w:t>
      </w:r>
      <w:r>
        <w:rPr>
          <w:w w:val="95"/>
        </w:rPr>
        <w:t>transmissão,</w:t>
      </w:r>
      <w:r>
        <w:rPr>
          <w:spacing w:val="-22"/>
          <w:w w:val="95"/>
        </w:rPr>
        <w:t> </w:t>
      </w:r>
      <w:r>
        <w:rPr>
          <w:w w:val="95"/>
        </w:rPr>
        <w:t>transformação,</w:t>
      </w:r>
      <w:r>
        <w:rPr>
          <w:spacing w:val="-21"/>
          <w:w w:val="95"/>
        </w:rPr>
        <w:t> </w:t>
      </w:r>
      <w:r>
        <w:rPr>
          <w:w w:val="95"/>
        </w:rPr>
        <w:t>distribuição</w:t>
      </w:r>
      <w:r>
        <w:rPr>
          <w:spacing w:val="-19"/>
          <w:w w:val="95"/>
        </w:rPr>
        <w:t> </w:t>
      </w:r>
      <w:r>
        <w:rPr>
          <w:w w:val="95"/>
        </w:rPr>
        <w:t>e</w:t>
      </w:r>
      <w:r>
        <w:rPr>
          <w:spacing w:val="-21"/>
          <w:w w:val="95"/>
        </w:rPr>
        <w:t> </w:t>
      </w:r>
      <w:r>
        <w:rPr>
          <w:w w:val="95"/>
        </w:rPr>
        <w:t>comércio</w:t>
      </w:r>
      <w:r>
        <w:rPr>
          <w:spacing w:val="-22"/>
          <w:w w:val="95"/>
        </w:rPr>
        <w:t> </w:t>
      </w:r>
      <w:r>
        <w:rPr>
          <w:w w:val="95"/>
        </w:rPr>
        <w:t>de </w:t>
      </w:r>
      <w:r>
        <w:rPr/>
        <w:t>energia</w:t>
      </w:r>
      <w:r>
        <w:rPr>
          <w:spacing w:val="-31"/>
        </w:rPr>
        <w:t> </w:t>
      </w:r>
      <w:r>
        <w:rPr/>
        <w:t>elétrica,</w:t>
      </w:r>
      <w:r>
        <w:rPr>
          <w:spacing w:val="-31"/>
        </w:rPr>
        <w:t> </w:t>
      </w:r>
      <w:r>
        <w:rPr/>
        <w:t>especialmente</w:t>
      </w:r>
      <w:r>
        <w:rPr>
          <w:spacing w:val="-31"/>
        </w:rPr>
        <w:t> </w:t>
      </w:r>
      <w:r>
        <w:rPr/>
        <w:t>a</w:t>
      </w:r>
      <w:r>
        <w:rPr>
          <w:spacing w:val="-29"/>
        </w:rPr>
        <w:t> </w:t>
      </w:r>
      <w:r>
        <w:rPr/>
        <w:t>exploração</w:t>
      </w:r>
      <w:r>
        <w:rPr>
          <w:spacing w:val="-31"/>
        </w:rPr>
        <w:t> </w:t>
      </w:r>
      <w:r>
        <w:rPr/>
        <w:t>dos</w:t>
      </w:r>
      <w:r>
        <w:rPr>
          <w:spacing w:val="-30"/>
        </w:rPr>
        <w:t> </w:t>
      </w:r>
      <w:r>
        <w:rPr/>
        <w:t>ativos</w:t>
      </w:r>
      <w:r>
        <w:rPr>
          <w:spacing w:val="-30"/>
        </w:rPr>
        <w:t> </w:t>
      </w:r>
      <w:r>
        <w:rPr/>
        <w:t>da</w:t>
      </w:r>
      <w:r>
        <w:rPr>
          <w:spacing w:val="-30"/>
        </w:rPr>
        <w:t> </w:t>
      </w:r>
      <w:r>
        <w:rPr/>
        <w:t>Usina</w:t>
      </w:r>
      <w:r>
        <w:rPr>
          <w:spacing w:val="-30"/>
        </w:rPr>
        <w:t> </w:t>
      </w:r>
      <w:r>
        <w:rPr/>
        <w:t>Hidrelétrica</w:t>
      </w:r>
      <w:r>
        <w:rPr>
          <w:spacing w:val="-31"/>
        </w:rPr>
        <w:t> </w:t>
      </w:r>
      <w:r>
        <w:rPr/>
        <w:t>Luís</w:t>
      </w:r>
      <w:r>
        <w:rPr>
          <w:spacing w:val="-30"/>
        </w:rPr>
        <w:t> </w:t>
      </w:r>
      <w:r>
        <w:rPr/>
        <w:t>Eduardo</w:t>
      </w:r>
      <w:r>
        <w:rPr>
          <w:spacing w:val="-31"/>
        </w:rPr>
        <w:t> </w:t>
      </w:r>
      <w:r>
        <w:rPr/>
        <w:t>Magalhães</w:t>
      </w:r>
      <w:r>
        <w:rPr>
          <w:spacing w:val="-30"/>
        </w:rPr>
        <w:t> </w:t>
      </w:r>
      <w:r>
        <w:rPr/>
        <w:t>e</w:t>
      </w:r>
      <w:r>
        <w:rPr>
          <w:spacing w:val="-32"/>
        </w:rPr>
        <w:t> </w:t>
      </w:r>
      <w:r>
        <w:rPr/>
        <w:t>Sistema</w:t>
      </w:r>
      <w:r>
        <w:rPr>
          <w:spacing w:val="-29"/>
        </w:rPr>
        <w:t> </w:t>
      </w:r>
      <w:r>
        <w:rPr/>
        <w:t>de Transmissão</w:t>
      </w:r>
      <w:r>
        <w:rPr>
          <w:spacing w:val="-34"/>
        </w:rPr>
        <w:t> </w:t>
      </w:r>
      <w:r>
        <w:rPr/>
        <w:t>Associado.</w:t>
      </w:r>
      <w:r>
        <w:rPr>
          <w:spacing w:val="-35"/>
        </w:rPr>
        <w:t> </w:t>
      </w:r>
      <w:r>
        <w:rPr/>
        <w:t>A</w:t>
      </w:r>
      <w:r>
        <w:rPr>
          <w:spacing w:val="-33"/>
        </w:rPr>
        <w:t> </w:t>
      </w:r>
      <w:r>
        <w:rPr/>
        <w:t>CEB</w:t>
      </w:r>
      <w:r>
        <w:rPr>
          <w:spacing w:val="-35"/>
        </w:rPr>
        <w:t> </w:t>
      </w:r>
      <w:r>
        <w:rPr/>
        <w:t>detém</w:t>
      </w:r>
      <w:r>
        <w:rPr>
          <w:spacing w:val="-35"/>
        </w:rPr>
        <w:t> </w:t>
      </w:r>
      <w:r>
        <w:rPr/>
        <w:t>através</w:t>
      </w:r>
      <w:r>
        <w:rPr>
          <w:spacing w:val="-33"/>
        </w:rPr>
        <w:t> </w:t>
      </w:r>
      <w:r>
        <w:rPr/>
        <w:t>de</w:t>
      </w:r>
      <w:r>
        <w:rPr>
          <w:spacing w:val="-34"/>
        </w:rPr>
        <w:t> </w:t>
      </w:r>
      <w:r>
        <w:rPr/>
        <w:t>sua</w:t>
      </w:r>
      <w:r>
        <w:rPr>
          <w:spacing w:val="-35"/>
        </w:rPr>
        <w:t> </w:t>
      </w:r>
      <w:r>
        <w:rPr/>
        <w:t>controlada</w:t>
      </w:r>
      <w:r>
        <w:rPr>
          <w:spacing w:val="-34"/>
        </w:rPr>
        <w:t> </w:t>
      </w:r>
      <w:r>
        <w:rPr/>
        <w:t>CEB</w:t>
      </w:r>
      <w:r>
        <w:rPr>
          <w:spacing w:val="-28"/>
        </w:rPr>
        <w:t> </w:t>
      </w:r>
      <w:r>
        <w:rPr/>
        <w:t>Lajeado</w:t>
      </w:r>
      <w:r>
        <w:rPr>
          <w:spacing w:val="-34"/>
        </w:rPr>
        <w:t> </w:t>
      </w:r>
      <w:r>
        <w:rPr/>
        <w:t>S.A.</w:t>
      </w:r>
      <w:r>
        <w:rPr>
          <w:spacing w:val="-33"/>
        </w:rPr>
        <w:t> </w:t>
      </w:r>
      <w:r>
        <w:rPr/>
        <w:t>uma</w:t>
      </w:r>
      <w:r>
        <w:rPr>
          <w:spacing w:val="-35"/>
        </w:rPr>
        <w:t> </w:t>
      </w:r>
      <w:r>
        <w:rPr/>
        <w:t>participação</w:t>
      </w:r>
      <w:r>
        <w:rPr>
          <w:spacing w:val="-35"/>
        </w:rPr>
        <w:t> </w:t>
      </w:r>
      <w:r>
        <w:rPr/>
        <w:t>direta</w:t>
      </w:r>
      <w:r>
        <w:rPr>
          <w:spacing w:val="-34"/>
        </w:rPr>
        <w:t> </w:t>
      </w:r>
      <w:r>
        <w:rPr/>
        <w:t>no</w:t>
      </w:r>
      <w:r>
        <w:rPr>
          <w:spacing w:val="-35"/>
        </w:rPr>
        <w:t> </w:t>
      </w:r>
      <w:r>
        <w:rPr/>
        <w:t>capital social</w:t>
      </w:r>
      <w:r>
        <w:rPr>
          <w:spacing w:val="-22"/>
        </w:rPr>
        <w:t> </w:t>
      </w:r>
      <w:r>
        <w:rPr/>
        <w:t>total</w:t>
      </w:r>
      <w:r>
        <w:rPr>
          <w:spacing w:val="-22"/>
        </w:rPr>
        <w:t> </w:t>
      </w:r>
      <w:r>
        <w:rPr/>
        <w:t>da</w:t>
      </w:r>
      <w:r>
        <w:rPr>
          <w:spacing w:val="-22"/>
        </w:rPr>
        <w:t> </w:t>
      </w:r>
      <w:r>
        <w:rPr/>
        <w:t>Investco</w:t>
      </w:r>
      <w:r>
        <w:rPr>
          <w:spacing w:val="-21"/>
        </w:rPr>
        <w:t> </w:t>
      </w:r>
      <w:r>
        <w:rPr/>
        <w:t>S.A.</w:t>
      </w:r>
      <w:r>
        <w:rPr>
          <w:spacing w:val="-20"/>
        </w:rPr>
        <w:t> </w:t>
      </w:r>
      <w:r>
        <w:rPr/>
        <w:t>de</w:t>
      </w:r>
      <w:r>
        <w:rPr>
          <w:spacing w:val="-24"/>
        </w:rPr>
        <w:t> </w:t>
      </w:r>
      <w:r>
        <w:rPr/>
        <w:t>16,98%.</w:t>
      </w:r>
      <w:r>
        <w:rPr>
          <w:spacing w:val="-20"/>
        </w:rPr>
        <w:t> </w:t>
      </w:r>
      <w:r>
        <w:rPr/>
        <w:t>Deste</w:t>
      </w:r>
      <w:r>
        <w:rPr>
          <w:spacing w:val="-23"/>
        </w:rPr>
        <w:t> </w:t>
      </w:r>
      <w:r>
        <w:rPr/>
        <w:t>total,</w:t>
      </w:r>
      <w:r>
        <w:rPr>
          <w:spacing w:val="-23"/>
        </w:rPr>
        <w:t> </w:t>
      </w:r>
      <w:r>
        <w:rPr/>
        <w:t>20,0%</w:t>
      </w:r>
      <w:r>
        <w:rPr>
          <w:spacing w:val="-22"/>
        </w:rPr>
        <w:t> </w:t>
      </w:r>
      <w:r>
        <w:rPr/>
        <w:t>são</w:t>
      </w:r>
      <w:r>
        <w:rPr>
          <w:spacing w:val="-22"/>
        </w:rPr>
        <w:t> </w:t>
      </w:r>
      <w:r>
        <w:rPr/>
        <w:t>representados</w:t>
      </w:r>
      <w:r>
        <w:rPr>
          <w:spacing w:val="-21"/>
        </w:rPr>
        <w:t> </w:t>
      </w:r>
      <w:r>
        <w:rPr/>
        <w:t>por</w:t>
      </w:r>
      <w:r>
        <w:rPr>
          <w:spacing w:val="-22"/>
        </w:rPr>
        <w:t> </w:t>
      </w:r>
      <w:r>
        <w:rPr/>
        <w:t>ações</w:t>
      </w:r>
      <w:r>
        <w:rPr>
          <w:spacing w:val="-22"/>
        </w:rPr>
        <w:t> </w:t>
      </w:r>
      <w:r>
        <w:rPr/>
        <w:t>ordinárias;</w:t>
      </w:r>
      <w:r>
        <w:rPr>
          <w:spacing w:val="-22"/>
        </w:rPr>
        <w:t> </w:t>
      </w:r>
      <w:r>
        <w:rPr/>
        <w:t>20,0%</w:t>
      </w:r>
      <w:r>
        <w:rPr>
          <w:spacing w:val="-20"/>
        </w:rPr>
        <w:t> </w:t>
      </w:r>
      <w:r>
        <w:rPr/>
        <w:t>de</w:t>
      </w:r>
      <w:r>
        <w:rPr>
          <w:spacing w:val="-23"/>
        </w:rPr>
        <w:t> </w:t>
      </w:r>
      <w:r>
        <w:rPr/>
        <w:t>ações preferenciais</w:t>
      </w:r>
      <w:r>
        <w:rPr>
          <w:spacing w:val="-24"/>
        </w:rPr>
        <w:t> </w:t>
      </w:r>
      <w:r>
        <w:rPr/>
        <w:t>classe</w:t>
      </w:r>
      <w:r>
        <w:rPr>
          <w:spacing w:val="-24"/>
        </w:rPr>
        <w:t> </w:t>
      </w:r>
      <w:r>
        <w:rPr/>
        <w:t>R;</w:t>
      </w:r>
      <w:r>
        <w:rPr>
          <w:spacing w:val="-24"/>
        </w:rPr>
        <w:t> </w:t>
      </w:r>
      <w:r>
        <w:rPr/>
        <w:t>6,02%</w:t>
      </w:r>
      <w:r>
        <w:rPr>
          <w:spacing w:val="-23"/>
        </w:rPr>
        <w:t> </w:t>
      </w:r>
      <w:r>
        <w:rPr/>
        <w:t>de</w:t>
      </w:r>
      <w:r>
        <w:rPr>
          <w:spacing w:val="-23"/>
        </w:rPr>
        <w:t> </w:t>
      </w:r>
      <w:r>
        <w:rPr/>
        <w:t>ações</w:t>
      </w:r>
      <w:r>
        <w:rPr>
          <w:spacing w:val="-21"/>
        </w:rPr>
        <w:t> </w:t>
      </w:r>
      <w:r>
        <w:rPr/>
        <w:t>preferenciais</w:t>
      </w:r>
      <w:r>
        <w:rPr>
          <w:spacing w:val="-23"/>
        </w:rPr>
        <w:t> </w:t>
      </w:r>
      <w:r>
        <w:rPr/>
        <w:t>classe</w:t>
      </w:r>
      <w:r>
        <w:rPr>
          <w:spacing w:val="-25"/>
        </w:rPr>
        <w:t> </w:t>
      </w:r>
      <w:r>
        <w:rPr/>
        <w:t>A;</w:t>
      </w:r>
      <w:r>
        <w:rPr>
          <w:spacing w:val="-22"/>
        </w:rPr>
        <w:t> </w:t>
      </w:r>
      <w:r>
        <w:rPr/>
        <w:t>e</w:t>
      </w:r>
      <w:r>
        <w:rPr>
          <w:spacing w:val="-24"/>
        </w:rPr>
        <w:t> </w:t>
      </w:r>
      <w:r>
        <w:rPr/>
        <w:t>20%</w:t>
      </w:r>
      <w:r>
        <w:rPr>
          <w:spacing w:val="-22"/>
        </w:rPr>
        <w:t> </w:t>
      </w:r>
      <w:r>
        <w:rPr/>
        <w:t>de</w:t>
      </w:r>
      <w:r>
        <w:rPr>
          <w:spacing w:val="-25"/>
        </w:rPr>
        <w:t> </w:t>
      </w:r>
      <w:r>
        <w:rPr/>
        <w:t>ações</w:t>
      </w:r>
      <w:r>
        <w:rPr>
          <w:spacing w:val="-21"/>
        </w:rPr>
        <w:t> </w:t>
      </w:r>
      <w:r>
        <w:rPr/>
        <w:t>preferenciais</w:t>
      </w:r>
      <w:r>
        <w:rPr>
          <w:spacing w:val="-15"/>
        </w:rPr>
        <w:t> </w:t>
      </w:r>
      <w:r>
        <w:rPr/>
        <w:t>classe</w:t>
      </w:r>
      <w:r>
        <w:rPr>
          <w:spacing w:val="-25"/>
        </w:rPr>
        <w:t> </w:t>
      </w:r>
      <w:r>
        <w:rPr/>
        <w:t>B.</w:t>
      </w:r>
    </w:p>
    <w:p>
      <w:pPr>
        <w:spacing w:after="0" w:line="242" w:lineRule="auto"/>
        <w:jc w:val="both"/>
        <w:sectPr>
          <w:pgSz w:w="11910" w:h="16850"/>
          <w:pgMar w:header="792" w:footer="1193" w:top="1360" w:bottom="1460" w:left="940" w:right="240"/>
        </w:sectPr>
      </w:pPr>
    </w:p>
    <w:p>
      <w:pPr>
        <w:pStyle w:val="BodyText"/>
        <w:spacing w:line="242" w:lineRule="auto" w:before="50"/>
        <w:ind w:left="192" w:right="608"/>
        <w:jc w:val="both"/>
      </w:pPr>
      <w:r>
        <w:rPr/>
        <w:t>A</w:t>
      </w:r>
      <w:r>
        <w:rPr>
          <w:spacing w:val="-5"/>
        </w:rPr>
        <w:t> </w:t>
      </w:r>
      <w:r>
        <w:rPr/>
        <w:t>Investco</w:t>
      </w:r>
      <w:r>
        <w:rPr>
          <w:spacing w:val="-3"/>
        </w:rPr>
        <w:t> </w:t>
      </w:r>
      <w:r>
        <w:rPr/>
        <w:t>S.A.,</w:t>
      </w:r>
      <w:r>
        <w:rPr>
          <w:spacing w:val="-3"/>
        </w:rPr>
        <w:t> </w:t>
      </w:r>
      <w:r>
        <w:rPr/>
        <w:t>juntamente</w:t>
      </w:r>
      <w:r>
        <w:rPr>
          <w:spacing w:val="-3"/>
        </w:rPr>
        <w:t> </w:t>
      </w:r>
      <w:r>
        <w:rPr/>
        <w:t>com</w:t>
      </w:r>
      <w:r>
        <w:rPr>
          <w:spacing w:val="-5"/>
        </w:rPr>
        <w:t> </w:t>
      </w:r>
      <w:r>
        <w:rPr/>
        <w:t>as</w:t>
      </w:r>
      <w:r>
        <w:rPr>
          <w:spacing w:val="-3"/>
        </w:rPr>
        <w:t> </w:t>
      </w:r>
      <w:r>
        <w:rPr/>
        <w:t>sociedades</w:t>
      </w:r>
      <w:r>
        <w:rPr>
          <w:spacing w:val="-3"/>
        </w:rPr>
        <w:t> </w:t>
      </w:r>
      <w:r>
        <w:rPr/>
        <w:t>empreendedoras,</w:t>
      </w:r>
      <w:r>
        <w:rPr>
          <w:spacing w:val="-4"/>
        </w:rPr>
        <w:t> </w:t>
      </w:r>
      <w:r>
        <w:rPr/>
        <w:t>é</w:t>
      </w:r>
      <w:r>
        <w:rPr>
          <w:spacing w:val="-4"/>
        </w:rPr>
        <w:t> </w:t>
      </w:r>
      <w:r>
        <w:rPr/>
        <w:t>parte</w:t>
      </w:r>
      <w:r>
        <w:rPr>
          <w:spacing w:val="-3"/>
        </w:rPr>
        <w:t> </w:t>
      </w:r>
      <w:r>
        <w:rPr/>
        <w:t>do</w:t>
      </w:r>
      <w:r>
        <w:rPr>
          <w:spacing w:val="-5"/>
        </w:rPr>
        <w:t> </w:t>
      </w:r>
      <w:r>
        <w:rPr/>
        <w:t>consórcio</w:t>
      </w:r>
      <w:r>
        <w:rPr>
          <w:spacing w:val="-4"/>
        </w:rPr>
        <w:t> </w:t>
      </w:r>
      <w:r>
        <w:rPr/>
        <w:t>denominado</w:t>
      </w:r>
      <w:r>
        <w:rPr>
          <w:spacing w:val="-4"/>
        </w:rPr>
        <w:t> </w:t>
      </w:r>
      <w:r>
        <w:rPr/>
        <w:t>“Consórcio Lajeado”</w:t>
      </w:r>
      <w:r>
        <w:rPr>
          <w:spacing w:val="-46"/>
        </w:rPr>
        <w:t> </w:t>
      </w:r>
      <w:r>
        <w:rPr/>
        <w:t>cujo</w:t>
      </w:r>
      <w:r>
        <w:rPr>
          <w:spacing w:val="-43"/>
        </w:rPr>
        <w:t> </w:t>
      </w:r>
      <w:r>
        <w:rPr/>
        <w:t>objeto</w:t>
      </w:r>
      <w:r>
        <w:rPr>
          <w:spacing w:val="-44"/>
        </w:rPr>
        <w:t> </w:t>
      </w:r>
      <w:r>
        <w:rPr/>
        <w:t>é</w:t>
      </w:r>
      <w:r>
        <w:rPr>
          <w:spacing w:val="-45"/>
        </w:rPr>
        <w:t> </w:t>
      </w:r>
      <w:r>
        <w:rPr/>
        <w:t>a</w:t>
      </w:r>
      <w:r>
        <w:rPr>
          <w:spacing w:val="-43"/>
        </w:rPr>
        <w:t> </w:t>
      </w:r>
      <w:r>
        <w:rPr/>
        <w:t>exploração</w:t>
      </w:r>
      <w:r>
        <w:rPr>
          <w:spacing w:val="-45"/>
        </w:rPr>
        <w:t> </w:t>
      </w:r>
      <w:r>
        <w:rPr/>
        <w:t>compartilhada</w:t>
      </w:r>
      <w:r>
        <w:rPr>
          <w:spacing w:val="-45"/>
        </w:rPr>
        <w:t> </w:t>
      </w:r>
      <w:r>
        <w:rPr/>
        <w:t>da</w:t>
      </w:r>
      <w:r>
        <w:rPr>
          <w:spacing w:val="-43"/>
        </w:rPr>
        <w:t> </w:t>
      </w:r>
      <w:r>
        <w:rPr/>
        <w:t>concessão</w:t>
      </w:r>
      <w:r>
        <w:rPr>
          <w:spacing w:val="-45"/>
        </w:rPr>
        <w:t> </w:t>
      </w:r>
      <w:r>
        <w:rPr/>
        <w:t>de</w:t>
      </w:r>
      <w:r>
        <w:rPr>
          <w:spacing w:val="-46"/>
        </w:rPr>
        <w:t> </w:t>
      </w:r>
      <w:r>
        <w:rPr/>
        <w:t>uso</w:t>
      </w:r>
      <w:r>
        <w:rPr>
          <w:spacing w:val="-44"/>
        </w:rPr>
        <w:t> </w:t>
      </w:r>
      <w:r>
        <w:rPr/>
        <w:t>de</w:t>
      </w:r>
      <w:r>
        <w:rPr>
          <w:spacing w:val="-43"/>
        </w:rPr>
        <w:t> </w:t>
      </w:r>
      <w:r>
        <w:rPr/>
        <w:t>bem</w:t>
      </w:r>
      <w:r>
        <w:rPr>
          <w:spacing w:val="-44"/>
        </w:rPr>
        <w:t> </w:t>
      </w:r>
      <w:r>
        <w:rPr/>
        <w:t>público</w:t>
      </w:r>
      <w:r>
        <w:rPr>
          <w:spacing w:val="-45"/>
        </w:rPr>
        <w:t> </w:t>
      </w:r>
      <w:r>
        <w:rPr/>
        <w:t>para</w:t>
      </w:r>
      <w:r>
        <w:rPr>
          <w:spacing w:val="-45"/>
        </w:rPr>
        <w:t> </w:t>
      </w:r>
      <w:r>
        <w:rPr/>
        <w:t>a</w:t>
      </w:r>
      <w:r>
        <w:rPr>
          <w:spacing w:val="-43"/>
        </w:rPr>
        <w:t> </w:t>
      </w:r>
      <w:r>
        <w:rPr/>
        <w:t>exploração</w:t>
      </w:r>
      <w:r>
        <w:rPr>
          <w:spacing w:val="-46"/>
        </w:rPr>
        <w:t> </w:t>
      </w:r>
      <w:r>
        <w:rPr/>
        <w:t>da</w:t>
      </w:r>
      <w:r>
        <w:rPr>
          <w:spacing w:val="-43"/>
        </w:rPr>
        <w:t> </w:t>
      </w:r>
      <w:r>
        <w:rPr/>
        <w:t>UHE</w:t>
      </w:r>
      <w:r>
        <w:rPr>
          <w:spacing w:val="-42"/>
        </w:rPr>
        <w:t> </w:t>
      </w:r>
      <w:r>
        <w:rPr/>
        <w:t>Luís </w:t>
      </w:r>
      <w:r>
        <w:rPr>
          <w:w w:val="106"/>
        </w:rPr>
        <w:t>E</w:t>
      </w:r>
      <w:r>
        <w:rPr>
          <w:w w:val="97"/>
        </w:rPr>
        <w:t>du</w:t>
      </w:r>
      <w:r>
        <w:rPr>
          <w:spacing w:val="1"/>
          <w:w w:val="97"/>
        </w:rPr>
        <w:t>a</w:t>
      </w:r>
      <w:r>
        <w:rPr>
          <w:spacing w:val="-1"/>
          <w:w w:val="105"/>
        </w:rPr>
        <w:t>r</w:t>
      </w:r>
      <w:r>
        <w:rPr>
          <w:w w:val="98"/>
        </w:rPr>
        <w:t>do</w:t>
      </w:r>
      <w:r>
        <w:rPr>
          <w:spacing w:val="-16"/>
        </w:rPr>
        <w:t> </w:t>
      </w:r>
      <w:r>
        <w:rPr>
          <w:w w:val="114"/>
        </w:rPr>
        <w:t>M</w:t>
      </w:r>
      <w:r>
        <w:rPr>
          <w:w w:val="92"/>
        </w:rPr>
        <w:t>a</w:t>
      </w:r>
      <w:r>
        <w:rPr>
          <w:spacing w:val="-1"/>
          <w:w w:val="95"/>
        </w:rPr>
        <w:t>g</w:t>
      </w:r>
      <w:r>
        <w:rPr>
          <w:w w:val="95"/>
        </w:rPr>
        <w:t>a</w:t>
      </w:r>
      <w:r>
        <w:rPr>
          <w:w w:val="91"/>
        </w:rPr>
        <w:t>l</w:t>
      </w:r>
      <w:r>
        <w:rPr>
          <w:w w:val="96"/>
        </w:rPr>
        <w:t>h</w:t>
      </w:r>
      <w:r>
        <w:rPr>
          <w:spacing w:val="1"/>
          <w:w w:val="96"/>
        </w:rPr>
        <w:t>ã</w:t>
      </w:r>
      <w:r>
        <w:rPr>
          <w:spacing w:val="-2"/>
          <w:w w:val="89"/>
        </w:rPr>
        <w:t>e</w:t>
      </w:r>
      <w:r>
        <w:rPr>
          <w:w w:val="105"/>
        </w:rPr>
        <w:t>s</w:t>
      </w:r>
      <w:r>
        <w:rPr>
          <w:w w:val="55"/>
        </w:rPr>
        <w:t>,</w:t>
      </w:r>
      <w:r>
        <w:rPr>
          <w:spacing w:val="-18"/>
        </w:rPr>
        <w:t> </w:t>
      </w:r>
      <w:r>
        <w:rPr>
          <w:spacing w:val="-1"/>
          <w:w w:val="101"/>
        </w:rPr>
        <w:t>n</w:t>
      </w:r>
      <w:r>
        <w:rPr>
          <w:w w:val="101"/>
        </w:rPr>
        <w:t>os</w:t>
      </w:r>
      <w:r>
        <w:rPr>
          <w:spacing w:val="-15"/>
        </w:rPr>
        <w:t> </w:t>
      </w:r>
      <w:r>
        <w:rPr>
          <w:spacing w:val="1"/>
          <w:w w:val="85"/>
        </w:rPr>
        <w:t>t</w:t>
      </w:r>
      <w:r>
        <w:rPr>
          <w:spacing w:val="1"/>
          <w:w w:val="89"/>
        </w:rPr>
        <w:t>e</w:t>
      </w:r>
      <w:r>
        <w:rPr>
          <w:spacing w:val="1"/>
          <w:w w:val="105"/>
        </w:rPr>
        <w:t>r</w:t>
      </w:r>
      <w:r>
        <w:rPr>
          <w:spacing w:val="-1"/>
          <w:w w:val="100"/>
        </w:rPr>
        <w:t>mo</w:t>
      </w:r>
      <w:r>
        <w:rPr>
          <w:w w:val="100"/>
        </w:rPr>
        <w:t>s</w:t>
      </w:r>
      <w:r>
        <w:rPr>
          <w:spacing w:val="-17"/>
        </w:rPr>
        <w:t> </w:t>
      </w:r>
      <w:r>
        <w:rPr>
          <w:spacing w:val="1"/>
          <w:w w:val="99"/>
        </w:rPr>
        <w:t>d</w:t>
      </w:r>
      <w:r>
        <w:rPr>
          <w:w w:val="98"/>
        </w:rPr>
        <w:t>o</w:t>
      </w:r>
      <w:r>
        <w:rPr>
          <w:spacing w:val="-18"/>
        </w:rPr>
        <w:t> </w:t>
      </w:r>
      <w:r>
        <w:rPr>
          <w:spacing w:val="2"/>
          <w:w w:val="93"/>
        </w:rPr>
        <w:t>C</w:t>
      </w:r>
      <w:r>
        <w:rPr>
          <w:w w:val="100"/>
        </w:rPr>
        <w:t>o</w:t>
      </w:r>
      <w:r>
        <w:rPr>
          <w:spacing w:val="-1"/>
          <w:w w:val="100"/>
        </w:rPr>
        <w:t>n</w:t>
      </w:r>
      <w:r>
        <w:rPr>
          <w:spacing w:val="1"/>
          <w:w w:val="85"/>
        </w:rPr>
        <w:t>t</w:t>
      </w:r>
      <w:r>
        <w:rPr>
          <w:spacing w:val="-1"/>
          <w:w w:val="105"/>
        </w:rPr>
        <w:t>r</w:t>
      </w:r>
      <w:r>
        <w:rPr>
          <w:w w:val="92"/>
        </w:rPr>
        <w:t>a</w:t>
      </w:r>
      <w:r>
        <w:rPr>
          <w:spacing w:val="-1"/>
          <w:w w:val="92"/>
        </w:rPr>
        <w:t>t</w:t>
      </w:r>
      <w:r>
        <w:rPr>
          <w:w w:val="92"/>
        </w:rPr>
        <w:t>o</w:t>
      </w:r>
      <w:r>
        <w:rPr>
          <w:spacing w:val="-16"/>
        </w:rPr>
        <w:t> </w:t>
      </w:r>
      <w:r>
        <w:rPr>
          <w:w w:val="94"/>
        </w:rPr>
        <w:t>de</w:t>
      </w:r>
      <w:r>
        <w:rPr>
          <w:spacing w:val="-17"/>
        </w:rPr>
        <w:t> </w:t>
      </w:r>
      <w:r>
        <w:rPr>
          <w:w w:val="93"/>
        </w:rPr>
        <w:t>C</w:t>
      </w:r>
      <w:r>
        <w:rPr>
          <w:spacing w:val="2"/>
          <w:w w:val="98"/>
        </w:rPr>
        <w:t>o</w:t>
      </w:r>
      <w:r>
        <w:rPr>
          <w:spacing w:val="-1"/>
          <w:w w:val="101"/>
        </w:rPr>
        <w:t>n</w:t>
      </w:r>
      <w:r>
        <w:rPr>
          <w:w w:val="88"/>
        </w:rPr>
        <w:t>c</w:t>
      </w:r>
      <w:r>
        <w:rPr>
          <w:spacing w:val="-2"/>
          <w:w w:val="89"/>
        </w:rPr>
        <w:t>e</w:t>
      </w:r>
      <w:r>
        <w:rPr>
          <w:w w:val="105"/>
        </w:rPr>
        <w:t>s</w:t>
      </w:r>
      <w:r>
        <w:rPr>
          <w:spacing w:val="3"/>
          <w:w w:val="105"/>
        </w:rPr>
        <w:t>s</w:t>
      </w:r>
      <w:r>
        <w:rPr>
          <w:w w:val="92"/>
        </w:rPr>
        <w:t>ã</w:t>
      </w:r>
      <w:r>
        <w:rPr>
          <w:w w:val="98"/>
        </w:rPr>
        <w:t>o</w:t>
      </w:r>
      <w:r>
        <w:rPr>
          <w:spacing w:val="-18"/>
        </w:rPr>
        <w:t> </w:t>
      </w:r>
      <w:r>
        <w:rPr>
          <w:spacing w:val="1"/>
          <w:w w:val="101"/>
        </w:rPr>
        <w:t>n</w:t>
      </w:r>
      <w:r>
        <w:rPr>
          <w:w w:val="71"/>
        </w:rPr>
        <w:t>°</w:t>
      </w:r>
      <w:r>
        <w:rPr>
          <w:spacing w:val="-18"/>
        </w:rPr>
        <w:t> </w:t>
      </w:r>
      <w:r>
        <w:rPr>
          <w:spacing w:val="2"/>
          <w:w w:val="105"/>
        </w:rPr>
        <w:t>0</w:t>
      </w:r>
      <w:r>
        <w:rPr>
          <w:w w:val="99"/>
        </w:rPr>
        <w:t>5/</w:t>
      </w:r>
      <w:r>
        <w:rPr>
          <w:w w:val="105"/>
        </w:rPr>
        <w:t>1997</w:t>
      </w:r>
      <w:r>
        <w:rPr>
          <w:spacing w:val="-15"/>
        </w:rPr>
        <w:t> </w:t>
      </w:r>
      <w:r>
        <w:rPr>
          <w:w w:val="89"/>
        </w:rPr>
        <w:t>e</w:t>
      </w:r>
      <w:r>
        <w:rPr>
          <w:spacing w:val="-14"/>
        </w:rPr>
        <w:t> </w:t>
      </w:r>
      <w:r>
        <w:rPr>
          <w:spacing w:val="-1"/>
          <w:w w:val="105"/>
        </w:rPr>
        <w:t>r</w:t>
      </w:r>
      <w:r>
        <w:rPr>
          <w:spacing w:val="-2"/>
          <w:w w:val="89"/>
        </w:rPr>
        <w:t>e</w:t>
      </w:r>
      <w:r>
        <w:rPr>
          <w:w w:val="105"/>
        </w:rPr>
        <w:t>s</w:t>
      </w:r>
      <w:r>
        <w:rPr>
          <w:spacing w:val="1"/>
          <w:w w:val="99"/>
        </w:rPr>
        <w:t>p</w:t>
      </w:r>
      <w:r>
        <w:rPr>
          <w:spacing w:val="-2"/>
          <w:w w:val="89"/>
        </w:rPr>
        <w:t>e</w:t>
      </w:r>
      <w:r>
        <w:rPr>
          <w:w w:val="88"/>
        </w:rPr>
        <w:t>c</w:t>
      </w:r>
      <w:r>
        <w:rPr>
          <w:spacing w:val="-1"/>
          <w:w w:val="98"/>
        </w:rPr>
        <w:t>tivo</w:t>
      </w:r>
      <w:r>
        <w:rPr>
          <w:w w:val="98"/>
        </w:rPr>
        <w:t>s</w:t>
      </w:r>
      <w:r>
        <w:rPr>
          <w:spacing w:val="-13"/>
        </w:rPr>
        <w:t> </w:t>
      </w:r>
      <w:r>
        <w:rPr>
          <w:w w:val="92"/>
        </w:rPr>
        <w:t>a</w:t>
      </w:r>
      <w:r>
        <w:rPr>
          <w:w w:val="94"/>
        </w:rPr>
        <w:t>dit</w:t>
      </w:r>
      <w:r>
        <w:rPr>
          <w:spacing w:val="-1"/>
          <w:w w:val="94"/>
        </w:rPr>
        <w:t>i</w:t>
      </w:r>
      <w:r>
        <w:rPr>
          <w:w w:val="101"/>
        </w:rPr>
        <w:t>vos</w:t>
      </w:r>
      <w:r>
        <w:rPr>
          <w:spacing w:val="-17"/>
        </w:rPr>
        <w:t> </w:t>
      </w:r>
      <w:r>
        <w:rPr>
          <w:w w:val="95"/>
        </w:rPr>
        <w:t>da</w:t>
      </w:r>
      <w:r>
        <w:rPr>
          <w:spacing w:val="-14"/>
        </w:rPr>
        <w:t> </w:t>
      </w:r>
      <w:r>
        <w:rPr>
          <w:w w:val="105"/>
        </w:rPr>
        <w:t>A</w:t>
      </w:r>
      <w:r>
        <w:rPr>
          <w:spacing w:val="2"/>
          <w:w w:val="98"/>
        </w:rPr>
        <w:t>g</w:t>
      </w:r>
      <w:r>
        <w:rPr>
          <w:spacing w:val="-2"/>
          <w:w w:val="89"/>
        </w:rPr>
        <w:t>ê</w:t>
      </w:r>
      <w:r>
        <w:rPr>
          <w:spacing w:val="-1"/>
          <w:w w:val="101"/>
        </w:rPr>
        <w:t>n</w:t>
      </w:r>
      <w:r>
        <w:rPr>
          <w:w w:val="88"/>
        </w:rPr>
        <w:t>c</w:t>
      </w:r>
      <w:r>
        <w:rPr>
          <w:spacing w:val="7"/>
          <w:w w:val="97"/>
        </w:rPr>
        <w:t>i</w:t>
      </w:r>
      <w:r>
        <w:rPr>
          <w:w w:val="92"/>
        </w:rPr>
        <w:t>a</w:t>
      </w:r>
      <w:r>
        <w:rPr>
          <w:spacing w:val="-14"/>
        </w:rPr>
        <w:t> </w:t>
      </w:r>
      <w:r>
        <w:rPr>
          <w:spacing w:val="1"/>
          <w:w w:val="106"/>
        </w:rPr>
        <w:t>N</w:t>
      </w:r>
      <w:r>
        <w:rPr>
          <w:w w:val="92"/>
        </w:rPr>
        <w:t>a</w:t>
      </w:r>
      <w:r>
        <w:rPr>
          <w:w w:val="88"/>
        </w:rPr>
        <w:t>c</w:t>
      </w:r>
      <w:r>
        <w:rPr>
          <w:w w:val="99"/>
        </w:rPr>
        <w:t>io</w:t>
      </w:r>
      <w:r>
        <w:rPr>
          <w:spacing w:val="-2"/>
          <w:w w:val="99"/>
        </w:rPr>
        <w:t>n</w:t>
      </w:r>
      <w:r>
        <w:rPr>
          <w:w w:val="92"/>
        </w:rPr>
        <w:t>a</w:t>
      </w:r>
      <w:r>
        <w:rPr>
          <w:w w:val="91"/>
        </w:rPr>
        <w:t>l</w:t>
      </w:r>
      <w:r>
        <w:rPr>
          <w:spacing w:val="-17"/>
        </w:rPr>
        <w:t> </w:t>
      </w:r>
      <w:r>
        <w:rPr>
          <w:spacing w:val="2"/>
          <w:w w:val="99"/>
        </w:rPr>
        <w:t>d</w:t>
      </w:r>
      <w:r>
        <w:rPr>
          <w:w w:val="89"/>
        </w:rPr>
        <w:t>e </w:t>
      </w:r>
      <w:r>
        <w:rPr/>
        <w:t>Energia</w:t>
      </w:r>
      <w:r>
        <w:rPr>
          <w:spacing w:val="-37"/>
        </w:rPr>
        <w:t> </w:t>
      </w:r>
      <w:r>
        <w:rPr/>
        <w:t>Elétrica</w:t>
      </w:r>
      <w:r>
        <w:rPr>
          <w:spacing w:val="-34"/>
        </w:rPr>
        <w:t> </w:t>
      </w:r>
      <w:r>
        <w:rPr/>
        <w:t>(ANEEL).</w:t>
      </w:r>
      <w:r>
        <w:rPr>
          <w:spacing w:val="-37"/>
        </w:rPr>
        <w:t> </w:t>
      </w:r>
      <w:r>
        <w:rPr/>
        <w:t>O</w:t>
      </w:r>
      <w:r>
        <w:rPr>
          <w:spacing w:val="-34"/>
        </w:rPr>
        <w:t> </w:t>
      </w:r>
      <w:r>
        <w:rPr/>
        <w:t>prazo</w:t>
      </w:r>
      <w:r>
        <w:rPr>
          <w:spacing w:val="-34"/>
        </w:rPr>
        <w:t> </w:t>
      </w:r>
      <w:r>
        <w:rPr/>
        <w:t>de</w:t>
      </w:r>
      <w:r>
        <w:rPr>
          <w:spacing w:val="-36"/>
        </w:rPr>
        <w:t> </w:t>
      </w:r>
      <w:r>
        <w:rPr/>
        <w:t>duração</w:t>
      </w:r>
      <w:r>
        <w:rPr>
          <w:spacing w:val="-37"/>
        </w:rPr>
        <w:t> </w:t>
      </w:r>
      <w:r>
        <w:rPr/>
        <w:t>do</w:t>
      </w:r>
      <w:r>
        <w:rPr>
          <w:spacing w:val="-35"/>
        </w:rPr>
        <w:t> </w:t>
      </w:r>
      <w:r>
        <w:rPr/>
        <w:t>contrato</w:t>
      </w:r>
      <w:r>
        <w:rPr>
          <w:spacing w:val="-36"/>
        </w:rPr>
        <w:t> </w:t>
      </w:r>
      <w:r>
        <w:rPr/>
        <w:t>de</w:t>
      </w:r>
      <w:r>
        <w:rPr>
          <w:spacing w:val="-36"/>
        </w:rPr>
        <w:t> </w:t>
      </w:r>
      <w:r>
        <w:rPr/>
        <w:t>concessão</w:t>
      </w:r>
      <w:r>
        <w:rPr>
          <w:spacing w:val="-35"/>
        </w:rPr>
        <w:t> </w:t>
      </w:r>
      <w:r>
        <w:rPr/>
        <w:t>é</w:t>
      </w:r>
      <w:r>
        <w:rPr>
          <w:spacing w:val="-36"/>
        </w:rPr>
        <w:t> </w:t>
      </w:r>
      <w:r>
        <w:rPr/>
        <w:t>de</w:t>
      </w:r>
      <w:r>
        <w:rPr>
          <w:spacing w:val="-36"/>
        </w:rPr>
        <w:t> </w:t>
      </w:r>
      <w:r>
        <w:rPr/>
        <w:t>35</w:t>
      </w:r>
      <w:r>
        <w:rPr>
          <w:spacing w:val="-35"/>
        </w:rPr>
        <w:t> </w:t>
      </w:r>
      <w:r>
        <w:rPr/>
        <w:t>anos,</w:t>
      </w:r>
      <w:r>
        <w:rPr>
          <w:spacing w:val="-34"/>
        </w:rPr>
        <w:t> </w:t>
      </w:r>
      <w:r>
        <w:rPr/>
        <w:t>contados</w:t>
      </w:r>
      <w:r>
        <w:rPr>
          <w:spacing w:val="-37"/>
        </w:rPr>
        <w:t> </w:t>
      </w:r>
      <w:r>
        <w:rPr/>
        <w:t>a</w:t>
      </w:r>
      <w:r>
        <w:rPr>
          <w:spacing w:val="-34"/>
        </w:rPr>
        <w:t> </w:t>
      </w:r>
      <w:r>
        <w:rPr/>
        <w:t>partir</w:t>
      </w:r>
      <w:r>
        <w:rPr>
          <w:spacing w:val="-36"/>
        </w:rPr>
        <w:t> </w:t>
      </w:r>
      <w:r>
        <w:rPr/>
        <w:t>da</w:t>
      </w:r>
      <w:r>
        <w:rPr>
          <w:spacing w:val="-35"/>
        </w:rPr>
        <w:t> </w:t>
      </w:r>
      <w:r>
        <w:rPr/>
        <w:t>data</w:t>
      </w:r>
      <w:r>
        <w:rPr>
          <w:spacing w:val="-34"/>
        </w:rPr>
        <w:t> </w:t>
      </w:r>
      <w:r>
        <w:rPr/>
        <w:t>de</w:t>
      </w:r>
      <w:r>
        <w:rPr>
          <w:spacing w:val="-35"/>
        </w:rPr>
        <w:t> </w:t>
      </w:r>
      <w:r>
        <w:rPr/>
        <w:t>sua publicação</w:t>
      </w:r>
      <w:r>
        <w:rPr>
          <w:spacing w:val="-31"/>
        </w:rPr>
        <w:t> </w:t>
      </w:r>
      <w:r>
        <w:rPr/>
        <w:t>no</w:t>
      </w:r>
      <w:r>
        <w:rPr>
          <w:spacing w:val="-31"/>
        </w:rPr>
        <w:t> </w:t>
      </w:r>
      <w:r>
        <w:rPr/>
        <w:t>Diário</w:t>
      </w:r>
      <w:r>
        <w:rPr>
          <w:spacing w:val="-31"/>
        </w:rPr>
        <w:t> </w:t>
      </w:r>
      <w:r>
        <w:rPr/>
        <w:t>Oficial</w:t>
      </w:r>
      <w:r>
        <w:rPr>
          <w:spacing w:val="-30"/>
        </w:rPr>
        <w:t> </w:t>
      </w:r>
      <w:r>
        <w:rPr/>
        <w:t>ocorrida</w:t>
      </w:r>
      <w:r>
        <w:rPr>
          <w:spacing w:val="-31"/>
        </w:rPr>
        <w:t> </w:t>
      </w:r>
      <w:r>
        <w:rPr/>
        <w:t>em</w:t>
      </w:r>
      <w:r>
        <w:rPr>
          <w:spacing w:val="-29"/>
        </w:rPr>
        <w:t> </w:t>
      </w:r>
      <w:r>
        <w:rPr/>
        <w:t>15</w:t>
      </w:r>
      <w:r>
        <w:rPr>
          <w:spacing w:val="-31"/>
        </w:rPr>
        <w:t> </w:t>
      </w:r>
      <w:r>
        <w:rPr/>
        <w:t>de</w:t>
      </w:r>
      <w:r>
        <w:rPr>
          <w:spacing w:val="-32"/>
        </w:rPr>
        <w:t> </w:t>
      </w:r>
      <w:r>
        <w:rPr/>
        <w:t>janeiro</w:t>
      </w:r>
      <w:r>
        <w:rPr>
          <w:spacing w:val="-31"/>
        </w:rPr>
        <w:t> </w:t>
      </w:r>
      <w:r>
        <w:rPr/>
        <w:t>de</w:t>
      </w:r>
      <w:r>
        <w:rPr>
          <w:spacing w:val="-31"/>
        </w:rPr>
        <w:t> </w:t>
      </w:r>
      <w:r>
        <w:rPr/>
        <w:t>1998,</w:t>
      </w:r>
      <w:r>
        <w:rPr>
          <w:spacing w:val="-31"/>
        </w:rPr>
        <w:t> </w:t>
      </w:r>
      <w:r>
        <w:rPr/>
        <w:t>com</w:t>
      </w:r>
      <w:r>
        <w:rPr>
          <w:spacing w:val="-32"/>
        </w:rPr>
        <w:t> </w:t>
      </w:r>
      <w:r>
        <w:rPr/>
        <w:t>vigência</w:t>
      </w:r>
      <w:r>
        <w:rPr>
          <w:spacing w:val="-30"/>
        </w:rPr>
        <w:t> </w:t>
      </w:r>
      <w:r>
        <w:rPr/>
        <w:t>até</w:t>
      </w:r>
      <w:r>
        <w:rPr>
          <w:spacing w:val="-31"/>
        </w:rPr>
        <w:t> </w:t>
      </w:r>
      <w:r>
        <w:rPr/>
        <w:t>15</w:t>
      </w:r>
      <w:r>
        <w:rPr>
          <w:spacing w:val="-30"/>
        </w:rPr>
        <w:t> </w:t>
      </w:r>
      <w:r>
        <w:rPr/>
        <w:t>de</w:t>
      </w:r>
      <w:r>
        <w:rPr>
          <w:spacing w:val="-32"/>
        </w:rPr>
        <w:t> </w:t>
      </w:r>
      <w:r>
        <w:rPr/>
        <w:t>janeiro</w:t>
      </w:r>
      <w:r>
        <w:rPr>
          <w:spacing w:val="-31"/>
        </w:rPr>
        <w:t> </w:t>
      </w:r>
      <w:r>
        <w:rPr/>
        <w:t>de</w:t>
      </w:r>
      <w:r>
        <w:rPr>
          <w:spacing w:val="-31"/>
        </w:rPr>
        <w:t> </w:t>
      </w:r>
      <w:r>
        <w:rPr/>
        <w:t>2033,</w:t>
      </w:r>
      <w:r>
        <w:rPr>
          <w:spacing w:val="-31"/>
        </w:rPr>
        <w:t> </w:t>
      </w:r>
      <w:r>
        <w:rPr/>
        <w:t>podendo</w:t>
      </w:r>
      <w:r>
        <w:rPr>
          <w:spacing w:val="-30"/>
        </w:rPr>
        <w:t> </w:t>
      </w:r>
      <w:r>
        <w:rPr/>
        <w:t>ser prorrogado</w:t>
      </w:r>
      <w:r>
        <w:rPr>
          <w:spacing w:val="-25"/>
        </w:rPr>
        <w:t> </w:t>
      </w:r>
      <w:r>
        <w:rPr/>
        <w:t>nas</w:t>
      </w:r>
      <w:r>
        <w:rPr>
          <w:spacing w:val="-24"/>
        </w:rPr>
        <w:t> </w:t>
      </w:r>
      <w:r>
        <w:rPr/>
        <w:t>condições</w:t>
      </w:r>
      <w:r>
        <w:rPr>
          <w:spacing w:val="-23"/>
        </w:rPr>
        <w:t> </w:t>
      </w:r>
      <w:r>
        <w:rPr/>
        <w:t>que</w:t>
      </w:r>
      <w:r>
        <w:rPr>
          <w:spacing w:val="-25"/>
        </w:rPr>
        <w:t> </w:t>
      </w:r>
      <w:r>
        <w:rPr/>
        <w:t>forem</w:t>
      </w:r>
      <w:r>
        <w:rPr>
          <w:spacing w:val="-23"/>
        </w:rPr>
        <w:t> </w:t>
      </w:r>
      <w:r>
        <w:rPr/>
        <w:t>estabelecidas,</w:t>
      </w:r>
      <w:r>
        <w:rPr>
          <w:spacing w:val="-22"/>
        </w:rPr>
        <w:t> </w:t>
      </w:r>
      <w:r>
        <w:rPr/>
        <w:t>mediante</w:t>
      </w:r>
      <w:r>
        <w:rPr>
          <w:spacing w:val="-24"/>
        </w:rPr>
        <w:t> </w:t>
      </w:r>
      <w:r>
        <w:rPr/>
        <w:t>requerimento</w:t>
      </w:r>
      <w:r>
        <w:rPr>
          <w:spacing w:val="-25"/>
        </w:rPr>
        <w:t> </w:t>
      </w:r>
      <w:r>
        <w:rPr/>
        <w:t>das</w:t>
      </w:r>
      <w:r>
        <w:rPr>
          <w:spacing w:val="-24"/>
        </w:rPr>
        <w:t> </w:t>
      </w:r>
      <w:r>
        <w:rPr/>
        <w:t>concessionárias.</w:t>
      </w:r>
    </w:p>
    <w:p>
      <w:pPr>
        <w:pStyle w:val="BodyText"/>
        <w:spacing w:before="5"/>
      </w:pPr>
    </w:p>
    <w:p>
      <w:pPr>
        <w:pStyle w:val="Heading5"/>
        <w:numPr>
          <w:ilvl w:val="2"/>
          <w:numId w:val="10"/>
        </w:numPr>
        <w:tabs>
          <w:tab w:pos="1045" w:val="left" w:leader="none"/>
          <w:tab w:pos="1046" w:val="left" w:leader="none"/>
        </w:tabs>
        <w:spacing w:line="240" w:lineRule="auto" w:before="0" w:after="0"/>
        <w:ind w:left="1045" w:right="0" w:hanging="854"/>
        <w:jc w:val="left"/>
      </w:pPr>
      <w:r>
        <w:rPr/>
        <w:t>Ligada</w:t>
      </w:r>
    </w:p>
    <w:p>
      <w:pPr>
        <w:pStyle w:val="BodyText"/>
        <w:spacing w:before="10"/>
        <w:rPr>
          <w:rFonts w:ascii="Caladea"/>
          <w:b/>
          <w:sz w:val="23"/>
        </w:rPr>
      </w:pPr>
    </w:p>
    <w:p>
      <w:pPr>
        <w:pStyle w:val="ListParagraph"/>
        <w:numPr>
          <w:ilvl w:val="3"/>
          <w:numId w:val="10"/>
        </w:numPr>
        <w:tabs>
          <w:tab w:pos="1325" w:val="left" w:leader="none"/>
          <w:tab w:pos="1326" w:val="left" w:leader="none"/>
        </w:tabs>
        <w:spacing w:line="240" w:lineRule="auto" w:before="0" w:after="0"/>
        <w:ind w:left="1326" w:right="0" w:hanging="1134"/>
        <w:jc w:val="left"/>
        <w:rPr>
          <w:rFonts w:ascii="Caladea" w:hAnsi="Caladea"/>
          <w:b/>
          <w:sz w:val="22"/>
        </w:rPr>
      </w:pPr>
      <w:r>
        <w:rPr>
          <w:rFonts w:ascii="Caladea" w:hAnsi="Caladea"/>
          <w:b/>
          <w:sz w:val="22"/>
        </w:rPr>
        <w:t>BSB Energética</w:t>
      </w:r>
      <w:r>
        <w:rPr>
          <w:rFonts w:ascii="Caladea" w:hAnsi="Caladea"/>
          <w:b/>
          <w:spacing w:val="-3"/>
          <w:sz w:val="22"/>
        </w:rPr>
        <w:t> </w:t>
      </w:r>
      <w:r>
        <w:rPr>
          <w:rFonts w:ascii="Caladea" w:hAnsi="Caladea"/>
          <w:b/>
          <w:sz w:val="22"/>
        </w:rPr>
        <w:t>S.A.</w:t>
      </w:r>
    </w:p>
    <w:p>
      <w:pPr>
        <w:pStyle w:val="BodyText"/>
        <w:spacing w:before="4"/>
        <w:rPr>
          <w:rFonts w:ascii="Caladea"/>
          <w:b/>
        </w:rPr>
      </w:pPr>
    </w:p>
    <w:p>
      <w:pPr>
        <w:pStyle w:val="BodyText"/>
        <w:spacing w:line="242" w:lineRule="auto"/>
        <w:ind w:left="192" w:right="607"/>
        <w:jc w:val="both"/>
      </w:pPr>
      <w:r>
        <w:rPr/>
        <w:t>A</w:t>
      </w:r>
      <w:r>
        <w:rPr>
          <w:spacing w:val="-24"/>
        </w:rPr>
        <w:t> </w:t>
      </w:r>
      <w:r>
        <w:rPr/>
        <w:t>BSB</w:t>
      </w:r>
      <w:r>
        <w:rPr>
          <w:spacing w:val="-24"/>
        </w:rPr>
        <w:t> </w:t>
      </w:r>
      <w:r>
        <w:rPr/>
        <w:t>Energética</w:t>
      </w:r>
      <w:r>
        <w:rPr>
          <w:spacing w:val="-23"/>
        </w:rPr>
        <w:t> </w:t>
      </w:r>
      <w:r>
        <w:rPr/>
        <w:t>S.A.</w:t>
      </w:r>
      <w:r>
        <w:rPr>
          <w:spacing w:val="-23"/>
        </w:rPr>
        <w:t> </w:t>
      </w:r>
      <w:r>
        <w:rPr/>
        <w:t>é</w:t>
      </w:r>
      <w:r>
        <w:rPr>
          <w:spacing w:val="-24"/>
        </w:rPr>
        <w:t> </w:t>
      </w:r>
      <w:r>
        <w:rPr/>
        <w:t>uma</w:t>
      </w:r>
      <w:r>
        <w:rPr>
          <w:spacing w:val="-22"/>
        </w:rPr>
        <w:t> </w:t>
      </w:r>
      <w:r>
        <w:rPr/>
        <w:t>sociedade</w:t>
      </w:r>
      <w:r>
        <w:rPr>
          <w:spacing w:val="-25"/>
        </w:rPr>
        <w:t> </w:t>
      </w:r>
      <w:r>
        <w:rPr/>
        <w:t>por</w:t>
      </w:r>
      <w:r>
        <w:rPr>
          <w:spacing w:val="-25"/>
        </w:rPr>
        <w:t> </w:t>
      </w:r>
      <w:r>
        <w:rPr/>
        <w:t>ações,</w:t>
      </w:r>
      <w:r>
        <w:rPr>
          <w:spacing w:val="-24"/>
        </w:rPr>
        <w:t> </w:t>
      </w:r>
      <w:r>
        <w:rPr/>
        <w:t>constituída</w:t>
      </w:r>
      <w:r>
        <w:rPr>
          <w:spacing w:val="-24"/>
        </w:rPr>
        <w:t> </w:t>
      </w:r>
      <w:r>
        <w:rPr/>
        <w:t>em</w:t>
      </w:r>
      <w:r>
        <w:rPr>
          <w:spacing w:val="-18"/>
        </w:rPr>
        <w:t> </w:t>
      </w:r>
      <w:r>
        <w:rPr/>
        <w:t>31</w:t>
      </w:r>
      <w:r>
        <w:rPr>
          <w:spacing w:val="-22"/>
        </w:rPr>
        <w:t> </w:t>
      </w:r>
      <w:r>
        <w:rPr/>
        <w:t>de</w:t>
      </w:r>
      <w:r>
        <w:rPr>
          <w:spacing w:val="-24"/>
        </w:rPr>
        <w:t> </w:t>
      </w:r>
      <w:r>
        <w:rPr/>
        <w:t>março</w:t>
      </w:r>
      <w:r>
        <w:rPr>
          <w:spacing w:val="-23"/>
        </w:rPr>
        <w:t> </w:t>
      </w:r>
      <w:r>
        <w:rPr/>
        <w:t>de</w:t>
      </w:r>
      <w:r>
        <w:rPr>
          <w:spacing w:val="-23"/>
        </w:rPr>
        <w:t> </w:t>
      </w:r>
      <w:r>
        <w:rPr/>
        <w:t>2000,</w:t>
      </w:r>
      <w:r>
        <w:rPr>
          <w:spacing w:val="-25"/>
        </w:rPr>
        <w:t> </w:t>
      </w:r>
      <w:r>
        <w:rPr/>
        <w:t>para</w:t>
      </w:r>
      <w:r>
        <w:rPr>
          <w:spacing w:val="-21"/>
        </w:rPr>
        <w:t> </w:t>
      </w:r>
      <w:r>
        <w:rPr/>
        <w:t>explorar</w:t>
      </w:r>
      <w:r>
        <w:rPr>
          <w:spacing w:val="-23"/>
        </w:rPr>
        <w:t> </w:t>
      </w:r>
      <w:r>
        <w:rPr/>
        <w:t>a</w:t>
      </w:r>
      <w:r>
        <w:rPr>
          <w:spacing w:val="-21"/>
        </w:rPr>
        <w:t> </w:t>
      </w:r>
      <w:r>
        <w:rPr/>
        <w:t>geração</w:t>
      </w:r>
      <w:r>
        <w:rPr>
          <w:spacing w:val="-24"/>
        </w:rPr>
        <w:t> </w:t>
      </w:r>
      <w:r>
        <w:rPr/>
        <w:t>de energia</w:t>
      </w:r>
      <w:r>
        <w:rPr>
          <w:spacing w:val="-28"/>
        </w:rPr>
        <w:t> </w:t>
      </w:r>
      <w:r>
        <w:rPr/>
        <w:t>elétrica</w:t>
      </w:r>
      <w:r>
        <w:rPr>
          <w:spacing w:val="-28"/>
        </w:rPr>
        <w:t> </w:t>
      </w:r>
      <w:r>
        <w:rPr/>
        <w:t>no</w:t>
      </w:r>
      <w:r>
        <w:rPr>
          <w:spacing w:val="-28"/>
        </w:rPr>
        <w:t> </w:t>
      </w:r>
      <w:r>
        <w:rPr/>
        <w:t>segmento</w:t>
      </w:r>
      <w:r>
        <w:rPr>
          <w:spacing w:val="-30"/>
        </w:rPr>
        <w:t> </w:t>
      </w:r>
      <w:r>
        <w:rPr/>
        <w:t>de</w:t>
      </w:r>
      <w:r>
        <w:rPr>
          <w:spacing w:val="-26"/>
        </w:rPr>
        <w:t> </w:t>
      </w:r>
      <w:r>
        <w:rPr/>
        <w:t>Pequenas</w:t>
      </w:r>
      <w:r>
        <w:rPr>
          <w:spacing w:val="-29"/>
        </w:rPr>
        <w:t> </w:t>
      </w:r>
      <w:r>
        <w:rPr/>
        <w:t>Centrais</w:t>
      </w:r>
      <w:r>
        <w:rPr>
          <w:spacing w:val="-29"/>
        </w:rPr>
        <w:t> </w:t>
      </w:r>
      <w:r>
        <w:rPr/>
        <w:t>Hidrelétricas</w:t>
      </w:r>
      <w:r>
        <w:rPr>
          <w:spacing w:val="-27"/>
        </w:rPr>
        <w:t> </w:t>
      </w:r>
      <w:r>
        <w:rPr>
          <w:w w:val="105"/>
        </w:rPr>
        <w:t>–</w:t>
      </w:r>
      <w:r>
        <w:rPr>
          <w:spacing w:val="-30"/>
          <w:w w:val="105"/>
        </w:rPr>
        <w:t> </w:t>
      </w:r>
      <w:r>
        <w:rPr/>
        <w:t>PCHs,</w:t>
      </w:r>
      <w:r>
        <w:rPr>
          <w:spacing w:val="-29"/>
        </w:rPr>
        <w:t> </w:t>
      </w:r>
      <w:r>
        <w:rPr/>
        <w:t>com</w:t>
      </w:r>
      <w:r>
        <w:rPr>
          <w:spacing w:val="-27"/>
        </w:rPr>
        <w:t> </w:t>
      </w:r>
      <w:r>
        <w:rPr/>
        <w:t>potência</w:t>
      </w:r>
      <w:r>
        <w:rPr>
          <w:spacing w:val="-29"/>
        </w:rPr>
        <w:t> </w:t>
      </w:r>
      <w:r>
        <w:rPr/>
        <w:t>global</w:t>
      </w:r>
      <w:r>
        <w:rPr>
          <w:spacing w:val="-29"/>
        </w:rPr>
        <w:t> </w:t>
      </w:r>
      <w:r>
        <w:rPr/>
        <w:t>máxima</w:t>
      </w:r>
      <w:r>
        <w:rPr>
          <w:spacing w:val="-29"/>
        </w:rPr>
        <w:t> </w:t>
      </w:r>
      <w:r>
        <w:rPr/>
        <w:t>instalada</w:t>
      </w:r>
      <w:r>
        <w:rPr>
          <w:spacing w:val="-29"/>
        </w:rPr>
        <w:t> </w:t>
      </w:r>
      <w:r>
        <w:rPr/>
        <w:t>de 200</w:t>
      </w:r>
      <w:r>
        <w:rPr>
          <w:spacing w:val="-16"/>
        </w:rPr>
        <w:t> </w:t>
      </w:r>
      <w:r>
        <w:rPr/>
        <w:t>MW</w:t>
      </w:r>
      <w:r>
        <w:rPr>
          <w:spacing w:val="-16"/>
        </w:rPr>
        <w:t> </w:t>
      </w:r>
      <w:r>
        <w:rPr/>
        <w:t>e,</w:t>
      </w:r>
      <w:r>
        <w:rPr>
          <w:spacing w:val="-16"/>
        </w:rPr>
        <w:t> </w:t>
      </w:r>
      <w:r>
        <w:rPr/>
        <w:t>estatutariamente,</w:t>
      </w:r>
      <w:r>
        <w:rPr>
          <w:spacing w:val="-15"/>
        </w:rPr>
        <w:t> </w:t>
      </w:r>
      <w:r>
        <w:rPr/>
        <w:t>está</w:t>
      </w:r>
      <w:r>
        <w:rPr>
          <w:spacing w:val="-15"/>
        </w:rPr>
        <w:t> </w:t>
      </w:r>
      <w:r>
        <w:rPr/>
        <w:t>autorizada</w:t>
      </w:r>
      <w:r>
        <w:rPr>
          <w:spacing w:val="-16"/>
        </w:rPr>
        <w:t> </w:t>
      </w:r>
      <w:r>
        <w:rPr/>
        <w:t>a</w:t>
      </w:r>
      <w:r>
        <w:rPr>
          <w:spacing w:val="-14"/>
        </w:rPr>
        <w:t> </w:t>
      </w:r>
      <w:r>
        <w:rPr/>
        <w:t>participar</w:t>
      </w:r>
      <w:r>
        <w:rPr>
          <w:spacing w:val="-16"/>
        </w:rPr>
        <w:t> </w:t>
      </w:r>
      <w:r>
        <w:rPr/>
        <w:t>de</w:t>
      </w:r>
      <w:r>
        <w:rPr>
          <w:spacing w:val="-17"/>
        </w:rPr>
        <w:t> </w:t>
      </w:r>
      <w:r>
        <w:rPr/>
        <w:t>outros</w:t>
      </w:r>
      <w:r>
        <w:rPr>
          <w:spacing w:val="-15"/>
        </w:rPr>
        <w:t> </w:t>
      </w:r>
      <w:r>
        <w:rPr/>
        <w:t>empreendimentos</w:t>
      </w:r>
      <w:r>
        <w:rPr>
          <w:spacing w:val="-15"/>
        </w:rPr>
        <w:t> </w:t>
      </w:r>
      <w:r>
        <w:rPr/>
        <w:t>ou</w:t>
      </w:r>
      <w:r>
        <w:rPr>
          <w:spacing w:val="-16"/>
        </w:rPr>
        <w:t> </w:t>
      </w:r>
      <w:r>
        <w:rPr/>
        <w:t>sociedades,</w:t>
      </w:r>
      <w:r>
        <w:rPr>
          <w:spacing w:val="-16"/>
        </w:rPr>
        <w:t> </w:t>
      </w:r>
      <w:r>
        <w:rPr/>
        <w:t>seja</w:t>
      </w:r>
      <w:r>
        <w:rPr>
          <w:spacing w:val="-16"/>
        </w:rPr>
        <w:t> </w:t>
      </w:r>
      <w:r>
        <w:rPr>
          <w:spacing w:val="3"/>
        </w:rPr>
        <w:t>como </w:t>
      </w:r>
      <w:r>
        <w:rPr/>
        <w:t>acionista</w:t>
      </w:r>
      <w:r>
        <w:rPr>
          <w:spacing w:val="-31"/>
        </w:rPr>
        <w:t> </w:t>
      </w:r>
      <w:r>
        <w:rPr/>
        <w:t>ou</w:t>
      </w:r>
      <w:r>
        <w:rPr>
          <w:spacing w:val="-29"/>
        </w:rPr>
        <w:t> </w:t>
      </w:r>
      <w:r>
        <w:rPr/>
        <w:t>quotista.</w:t>
      </w:r>
      <w:r>
        <w:rPr>
          <w:spacing w:val="-32"/>
        </w:rPr>
        <w:t> </w:t>
      </w:r>
      <w:r>
        <w:rPr/>
        <w:t>A</w:t>
      </w:r>
      <w:r>
        <w:rPr>
          <w:spacing w:val="-30"/>
        </w:rPr>
        <w:t> </w:t>
      </w:r>
      <w:r>
        <w:rPr/>
        <w:t>CEB</w:t>
      </w:r>
      <w:r>
        <w:rPr>
          <w:spacing w:val="-29"/>
        </w:rPr>
        <w:t> </w:t>
      </w:r>
      <w:r>
        <w:rPr/>
        <w:t>detém</w:t>
      </w:r>
      <w:r>
        <w:rPr>
          <w:spacing w:val="-32"/>
        </w:rPr>
        <w:t> </w:t>
      </w:r>
      <w:r>
        <w:rPr/>
        <w:t>uma</w:t>
      </w:r>
      <w:r>
        <w:rPr>
          <w:spacing w:val="-31"/>
        </w:rPr>
        <w:t> </w:t>
      </w:r>
      <w:r>
        <w:rPr/>
        <w:t>participação</w:t>
      </w:r>
      <w:r>
        <w:rPr>
          <w:spacing w:val="-31"/>
        </w:rPr>
        <w:t> </w:t>
      </w:r>
      <w:r>
        <w:rPr/>
        <w:t>acionária</w:t>
      </w:r>
      <w:r>
        <w:rPr>
          <w:spacing w:val="-31"/>
        </w:rPr>
        <w:t> </w:t>
      </w:r>
      <w:r>
        <w:rPr/>
        <w:t>de</w:t>
      </w:r>
      <w:r>
        <w:rPr>
          <w:spacing w:val="-33"/>
        </w:rPr>
        <w:t> </w:t>
      </w:r>
      <w:r>
        <w:rPr/>
        <w:t>9,0%</w:t>
      </w:r>
      <w:r>
        <w:rPr>
          <w:spacing w:val="-30"/>
        </w:rPr>
        <w:t> </w:t>
      </w:r>
      <w:r>
        <w:rPr/>
        <w:t>do</w:t>
      </w:r>
      <w:r>
        <w:rPr>
          <w:spacing w:val="-31"/>
        </w:rPr>
        <w:t> </w:t>
      </w:r>
      <w:r>
        <w:rPr/>
        <w:t>capital</w:t>
      </w:r>
      <w:r>
        <w:rPr>
          <w:spacing w:val="-31"/>
        </w:rPr>
        <w:t> </w:t>
      </w:r>
      <w:r>
        <w:rPr/>
        <w:t>social</w:t>
      </w:r>
      <w:r>
        <w:rPr>
          <w:spacing w:val="-31"/>
        </w:rPr>
        <w:t> </w:t>
      </w:r>
      <w:r>
        <w:rPr/>
        <w:t>da</w:t>
      </w:r>
      <w:r>
        <w:rPr>
          <w:spacing w:val="-31"/>
        </w:rPr>
        <w:t> </w:t>
      </w:r>
      <w:r>
        <w:rPr/>
        <w:t>BSB</w:t>
      </w:r>
      <w:r>
        <w:rPr>
          <w:spacing w:val="-30"/>
        </w:rPr>
        <w:t> </w:t>
      </w:r>
      <w:r>
        <w:rPr/>
        <w:t>Energética</w:t>
      </w:r>
      <w:r>
        <w:rPr>
          <w:spacing w:val="-31"/>
        </w:rPr>
        <w:t> </w:t>
      </w:r>
      <w:r>
        <w:rPr/>
        <w:t>S.A..</w:t>
      </w:r>
    </w:p>
    <w:p>
      <w:pPr>
        <w:pStyle w:val="BodyText"/>
        <w:spacing w:before="7"/>
      </w:pPr>
    </w:p>
    <w:p>
      <w:pPr>
        <w:pStyle w:val="Heading5"/>
        <w:numPr>
          <w:ilvl w:val="2"/>
          <w:numId w:val="10"/>
        </w:numPr>
        <w:tabs>
          <w:tab w:pos="1045" w:val="left" w:leader="none"/>
          <w:tab w:pos="1046" w:val="left" w:leader="none"/>
        </w:tabs>
        <w:spacing w:line="240" w:lineRule="auto" w:before="0" w:after="0"/>
        <w:ind w:left="1045" w:right="0" w:hanging="854"/>
        <w:jc w:val="left"/>
      </w:pPr>
      <w:r>
        <w:rPr/>
        <w:t>Concessões</w:t>
      </w:r>
    </w:p>
    <w:p>
      <w:pPr>
        <w:pStyle w:val="BodyText"/>
        <w:rPr>
          <w:rFonts w:ascii="Caladea"/>
          <w:b/>
          <w:sz w:val="24"/>
        </w:rPr>
      </w:pPr>
    </w:p>
    <w:p>
      <w:pPr>
        <w:pStyle w:val="BodyText"/>
        <w:ind w:left="192"/>
        <w:jc w:val="both"/>
      </w:pPr>
      <w:r>
        <w:rPr/>
        <w:t>A CEB, suas controladas e controlada em conjunto, são detentoras das seguintes concessões:</w:t>
      </w:r>
    </w:p>
    <w:p>
      <w:pPr>
        <w:pStyle w:val="BodyText"/>
        <w:spacing w:before="3"/>
        <w:rPr>
          <w:sz w:val="10"/>
        </w:rPr>
      </w:pPr>
    </w:p>
    <w:tbl>
      <w:tblPr>
        <w:tblW w:w="0" w:type="auto"/>
        <w:jc w:val="left"/>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25"/>
        <w:gridCol w:w="1228"/>
        <w:gridCol w:w="1277"/>
        <w:gridCol w:w="1416"/>
      </w:tblGrid>
      <w:tr>
        <w:trPr>
          <w:trHeight w:val="328" w:hRule="atLeast"/>
        </w:trPr>
        <w:tc>
          <w:tcPr>
            <w:tcW w:w="6025" w:type="dxa"/>
            <w:shd w:val="clear" w:color="auto" w:fill="D9D9D9"/>
          </w:tcPr>
          <w:p>
            <w:pPr>
              <w:pStyle w:val="TableParagraph"/>
              <w:spacing w:before="80"/>
              <w:ind w:left="72"/>
              <w:rPr>
                <w:rFonts w:ascii="Caladea"/>
                <w:b/>
                <w:sz w:val="14"/>
              </w:rPr>
            </w:pPr>
            <w:r>
              <w:rPr>
                <w:rFonts w:ascii="Caladea"/>
                <w:b/>
                <w:sz w:val="14"/>
              </w:rPr>
              <w:t>Investidas</w:t>
            </w:r>
          </w:p>
        </w:tc>
        <w:tc>
          <w:tcPr>
            <w:tcW w:w="1228" w:type="dxa"/>
          </w:tcPr>
          <w:p>
            <w:pPr>
              <w:pStyle w:val="TableParagraph"/>
              <w:spacing w:before="80"/>
              <w:ind w:left="179" w:right="168"/>
              <w:jc w:val="center"/>
              <w:rPr>
                <w:rFonts w:ascii="Caladea" w:hAnsi="Caladea"/>
                <w:b/>
                <w:sz w:val="14"/>
              </w:rPr>
            </w:pPr>
            <w:r>
              <w:rPr>
                <w:rFonts w:ascii="Caladea" w:hAnsi="Caladea"/>
                <w:b/>
                <w:sz w:val="14"/>
              </w:rPr>
              <w:t>Localização</w:t>
            </w:r>
          </w:p>
        </w:tc>
        <w:tc>
          <w:tcPr>
            <w:tcW w:w="1277" w:type="dxa"/>
          </w:tcPr>
          <w:p>
            <w:pPr>
              <w:pStyle w:val="TableParagraph"/>
              <w:spacing w:before="80"/>
              <w:ind w:left="232" w:right="220"/>
              <w:jc w:val="center"/>
              <w:rPr>
                <w:rFonts w:ascii="Caladea"/>
                <w:b/>
                <w:sz w:val="14"/>
              </w:rPr>
            </w:pPr>
            <w:r>
              <w:rPr>
                <w:rFonts w:ascii="Caladea"/>
                <w:b/>
                <w:sz w:val="14"/>
              </w:rPr>
              <w:t>Data do Ato</w:t>
            </w:r>
          </w:p>
        </w:tc>
        <w:tc>
          <w:tcPr>
            <w:tcW w:w="1416" w:type="dxa"/>
          </w:tcPr>
          <w:p>
            <w:pPr>
              <w:pStyle w:val="TableParagraph"/>
              <w:spacing w:line="164" w:lineRule="exact"/>
              <w:ind w:left="323" w:right="165" w:firstLine="141"/>
              <w:rPr>
                <w:rFonts w:ascii="Caladea"/>
                <w:b/>
                <w:sz w:val="14"/>
              </w:rPr>
            </w:pPr>
            <w:r>
              <w:rPr>
                <w:rFonts w:ascii="Caladea"/>
                <w:b/>
                <w:sz w:val="14"/>
              </w:rPr>
              <w:t>Data de </w:t>
            </w:r>
            <w:r>
              <w:rPr>
                <w:rFonts w:ascii="Caladea"/>
                <w:b/>
                <w:w w:val="95"/>
                <w:sz w:val="14"/>
              </w:rPr>
              <w:t>Vencimento</w:t>
            </w:r>
          </w:p>
        </w:tc>
      </w:tr>
      <w:tr>
        <w:trPr>
          <w:trHeight w:val="237" w:hRule="atLeast"/>
        </w:trPr>
        <w:tc>
          <w:tcPr>
            <w:tcW w:w="6025" w:type="dxa"/>
          </w:tcPr>
          <w:p>
            <w:pPr>
              <w:pStyle w:val="TableParagraph"/>
              <w:spacing w:before="34"/>
              <w:ind w:left="72"/>
              <w:rPr>
                <w:rFonts w:ascii="Caladea" w:hAnsi="Caladea"/>
                <w:b/>
                <w:sz w:val="14"/>
              </w:rPr>
            </w:pPr>
            <w:r>
              <w:rPr>
                <w:rFonts w:ascii="Caladea" w:hAnsi="Caladea"/>
                <w:b/>
                <w:sz w:val="14"/>
              </w:rPr>
              <w:t>Distribuição</w:t>
            </w:r>
          </w:p>
        </w:tc>
        <w:tc>
          <w:tcPr>
            <w:tcW w:w="1228" w:type="dxa"/>
          </w:tcPr>
          <w:p>
            <w:pPr>
              <w:pStyle w:val="TableParagraph"/>
              <w:rPr>
                <w:rFonts w:ascii="Times New Roman"/>
                <w:sz w:val="16"/>
              </w:rPr>
            </w:pPr>
          </w:p>
        </w:tc>
        <w:tc>
          <w:tcPr>
            <w:tcW w:w="1277" w:type="dxa"/>
          </w:tcPr>
          <w:p>
            <w:pPr>
              <w:pStyle w:val="TableParagraph"/>
              <w:rPr>
                <w:rFonts w:ascii="Times New Roman"/>
                <w:sz w:val="16"/>
              </w:rPr>
            </w:pPr>
          </w:p>
        </w:tc>
        <w:tc>
          <w:tcPr>
            <w:tcW w:w="1416" w:type="dxa"/>
          </w:tcPr>
          <w:p>
            <w:pPr>
              <w:pStyle w:val="TableParagraph"/>
              <w:rPr>
                <w:rFonts w:ascii="Times New Roman"/>
                <w:sz w:val="16"/>
              </w:rPr>
            </w:pPr>
          </w:p>
        </w:tc>
      </w:tr>
      <w:tr>
        <w:trPr>
          <w:trHeight w:val="237" w:hRule="atLeast"/>
        </w:trPr>
        <w:tc>
          <w:tcPr>
            <w:tcW w:w="6025" w:type="dxa"/>
          </w:tcPr>
          <w:p>
            <w:pPr>
              <w:pStyle w:val="TableParagraph"/>
              <w:spacing w:before="38"/>
              <w:ind w:left="165"/>
              <w:rPr>
                <w:sz w:val="14"/>
              </w:rPr>
            </w:pPr>
            <w:r>
              <w:rPr>
                <w:sz w:val="14"/>
              </w:rPr>
              <w:t>CEB Distribuição S.A.</w:t>
            </w:r>
          </w:p>
        </w:tc>
        <w:tc>
          <w:tcPr>
            <w:tcW w:w="1228" w:type="dxa"/>
          </w:tcPr>
          <w:p>
            <w:pPr>
              <w:pStyle w:val="TableParagraph"/>
              <w:spacing w:before="38"/>
              <w:ind w:left="179" w:right="169"/>
              <w:jc w:val="center"/>
              <w:rPr>
                <w:sz w:val="14"/>
              </w:rPr>
            </w:pPr>
            <w:r>
              <w:rPr>
                <w:w w:val="110"/>
                <w:sz w:val="14"/>
              </w:rPr>
              <w:t>Brasília – DF</w:t>
            </w:r>
          </w:p>
        </w:tc>
        <w:tc>
          <w:tcPr>
            <w:tcW w:w="1277" w:type="dxa"/>
          </w:tcPr>
          <w:p>
            <w:pPr>
              <w:pStyle w:val="TableParagraph"/>
              <w:spacing w:before="38"/>
              <w:ind w:left="232" w:right="223"/>
              <w:jc w:val="center"/>
              <w:rPr>
                <w:sz w:val="14"/>
              </w:rPr>
            </w:pPr>
            <w:r>
              <w:rPr>
                <w:w w:val="105"/>
                <w:sz w:val="14"/>
              </w:rPr>
              <w:t>09/12/2015</w:t>
            </w:r>
          </w:p>
        </w:tc>
        <w:tc>
          <w:tcPr>
            <w:tcW w:w="1416" w:type="dxa"/>
          </w:tcPr>
          <w:p>
            <w:pPr>
              <w:pStyle w:val="TableParagraph"/>
              <w:spacing w:before="38"/>
              <w:ind w:left="231" w:right="224"/>
              <w:jc w:val="center"/>
              <w:rPr>
                <w:sz w:val="14"/>
              </w:rPr>
            </w:pPr>
            <w:r>
              <w:rPr>
                <w:sz w:val="14"/>
              </w:rPr>
              <w:t>07/07/2045(a)</w:t>
            </w:r>
          </w:p>
        </w:tc>
      </w:tr>
      <w:tr>
        <w:trPr>
          <w:trHeight w:val="239" w:hRule="atLeast"/>
        </w:trPr>
        <w:tc>
          <w:tcPr>
            <w:tcW w:w="6025" w:type="dxa"/>
          </w:tcPr>
          <w:p>
            <w:pPr>
              <w:pStyle w:val="TableParagraph"/>
              <w:spacing w:before="37"/>
              <w:ind w:left="72"/>
              <w:rPr>
                <w:rFonts w:ascii="Caladea" w:hAnsi="Caladea"/>
                <w:b/>
                <w:sz w:val="14"/>
              </w:rPr>
            </w:pPr>
            <w:r>
              <w:rPr>
                <w:rFonts w:ascii="Caladea" w:hAnsi="Caladea"/>
                <w:b/>
                <w:sz w:val="14"/>
              </w:rPr>
              <w:t>Geração</w:t>
            </w:r>
          </w:p>
        </w:tc>
        <w:tc>
          <w:tcPr>
            <w:tcW w:w="1228" w:type="dxa"/>
          </w:tcPr>
          <w:p>
            <w:pPr>
              <w:pStyle w:val="TableParagraph"/>
              <w:rPr>
                <w:rFonts w:ascii="Times New Roman"/>
                <w:sz w:val="16"/>
              </w:rPr>
            </w:pPr>
          </w:p>
        </w:tc>
        <w:tc>
          <w:tcPr>
            <w:tcW w:w="1277" w:type="dxa"/>
          </w:tcPr>
          <w:p>
            <w:pPr>
              <w:pStyle w:val="TableParagraph"/>
              <w:rPr>
                <w:rFonts w:ascii="Times New Roman"/>
                <w:sz w:val="16"/>
              </w:rPr>
            </w:pPr>
          </w:p>
        </w:tc>
        <w:tc>
          <w:tcPr>
            <w:tcW w:w="1416" w:type="dxa"/>
          </w:tcPr>
          <w:p>
            <w:pPr>
              <w:pStyle w:val="TableParagraph"/>
              <w:rPr>
                <w:rFonts w:ascii="Times New Roman"/>
                <w:sz w:val="16"/>
              </w:rPr>
            </w:pPr>
          </w:p>
        </w:tc>
      </w:tr>
      <w:tr>
        <w:trPr>
          <w:trHeight w:val="237" w:hRule="atLeast"/>
        </w:trPr>
        <w:tc>
          <w:tcPr>
            <w:tcW w:w="6025" w:type="dxa"/>
          </w:tcPr>
          <w:p>
            <w:pPr>
              <w:pStyle w:val="TableParagraph"/>
              <w:spacing w:before="36"/>
              <w:ind w:left="165"/>
              <w:rPr>
                <w:sz w:val="14"/>
              </w:rPr>
            </w:pPr>
            <w:r>
              <w:rPr>
                <w:sz w:val="14"/>
              </w:rPr>
              <w:t>CEB Participações S.A.</w:t>
            </w:r>
          </w:p>
        </w:tc>
        <w:tc>
          <w:tcPr>
            <w:tcW w:w="1228" w:type="dxa"/>
          </w:tcPr>
          <w:p>
            <w:pPr>
              <w:pStyle w:val="TableParagraph"/>
              <w:spacing w:before="36"/>
              <w:ind w:left="179" w:right="169"/>
              <w:jc w:val="center"/>
              <w:rPr>
                <w:sz w:val="14"/>
              </w:rPr>
            </w:pPr>
            <w:r>
              <w:rPr>
                <w:w w:val="110"/>
                <w:sz w:val="14"/>
              </w:rPr>
              <w:t>Brasília – DF</w:t>
            </w:r>
          </w:p>
        </w:tc>
        <w:tc>
          <w:tcPr>
            <w:tcW w:w="1277" w:type="dxa"/>
          </w:tcPr>
          <w:p>
            <w:pPr>
              <w:pStyle w:val="TableParagraph"/>
              <w:spacing w:before="36"/>
              <w:ind w:left="232" w:right="223"/>
              <w:jc w:val="center"/>
              <w:rPr>
                <w:sz w:val="14"/>
              </w:rPr>
            </w:pPr>
            <w:r>
              <w:rPr>
                <w:w w:val="105"/>
                <w:sz w:val="14"/>
              </w:rPr>
              <w:t>26/01/2000</w:t>
            </w:r>
          </w:p>
        </w:tc>
        <w:tc>
          <w:tcPr>
            <w:tcW w:w="1416" w:type="dxa"/>
          </w:tcPr>
          <w:p>
            <w:pPr>
              <w:pStyle w:val="TableParagraph"/>
              <w:spacing w:before="36"/>
              <w:ind w:left="231" w:right="221"/>
              <w:jc w:val="center"/>
              <w:rPr>
                <w:sz w:val="14"/>
              </w:rPr>
            </w:pPr>
            <w:r>
              <w:rPr>
                <w:w w:val="105"/>
                <w:sz w:val="14"/>
              </w:rPr>
              <w:t>18/12/2032</w:t>
            </w:r>
          </w:p>
        </w:tc>
      </w:tr>
      <w:tr>
        <w:trPr>
          <w:trHeight w:val="237" w:hRule="atLeast"/>
        </w:trPr>
        <w:tc>
          <w:tcPr>
            <w:tcW w:w="6025" w:type="dxa"/>
          </w:tcPr>
          <w:p>
            <w:pPr>
              <w:pStyle w:val="TableParagraph"/>
              <w:spacing w:before="38"/>
              <w:ind w:left="165"/>
              <w:rPr>
                <w:sz w:val="14"/>
              </w:rPr>
            </w:pPr>
            <w:r>
              <w:rPr>
                <w:sz w:val="14"/>
              </w:rPr>
              <w:t>CEB Geração S.A.</w:t>
            </w:r>
          </w:p>
        </w:tc>
        <w:tc>
          <w:tcPr>
            <w:tcW w:w="1228" w:type="dxa"/>
          </w:tcPr>
          <w:p>
            <w:pPr>
              <w:pStyle w:val="TableParagraph"/>
              <w:spacing w:before="38"/>
              <w:ind w:left="179" w:right="169"/>
              <w:jc w:val="center"/>
              <w:rPr>
                <w:sz w:val="14"/>
              </w:rPr>
            </w:pPr>
            <w:r>
              <w:rPr>
                <w:w w:val="110"/>
                <w:sz w:val="14"/>
              </w:rPr>
              <w:t>Brasília – DF</w:t>
            </w:r>
          </w:p>
        </w:tc>
        <w:tc>
          <w:tcPr>
            <w:tcW w:w="1277" w:type="dxa"/>
          </w:tcPr>
          <w:p>
            <w:pPr>
              <w:pStyle w:val="TableParagraph"/>
              <w:spacing w:before="38"/>
              <w:ind w:left="232" w:right="223"/>
              <w:jc w:val="center"/>
              <w:rPr>
                <w:sz w:val="14"/>
              </w:rPr>
            </w:pPr>
            <w:r>
              <w:rPr>
                <w:w w:val="105"/>
                <w:sz w:val="14"/>
              </w:rPr>
              <w:t>14/09/2005</w:t>
            </w:r>
          </w:p>
        </w:tc>
        <w:tc>
          <w:tcPr>
            <w:tcW w:w="1416" w:type="dxa"/>
          </w:tcPr>
          <w:p>
            <w:pPr>
              <w:pStyle w:val="TableParagraph"/>
              <w:spacing w:before="38"/>
              <w:ind w:left="231" w:right="221"/>
              <w:jc w:val="center"/>
              <w:rPr>
                <w:sz w:val="14"/>
              </w:rPr>
            </w:pPr>
            <w:r>
              <w:rPr>
                <w:w w:val="105"/>
                <w:sz w:val="14"/>
              </w:rPr>
              <w:t>29/04/2020</w:t>
            </w:r>
          </w:p>
        </w:tc>
      </w:tr>
      <w:tr>
        <w:trPr>
          <w:trHeight w:val="239" w:hRule="atLeast"/>
        </w:trPr>
        <w:tc>
          <w:tcPr>
            <w:tcW w:w="6025" w:type="dxa"/>
          </w:tcPr>
          <w:p>
            <w:pPr>
              <w:pStyle w:val="TableParagraph"/>
              <w:spacing w:before="38"/>
              <w:ind w:left="165"/>
              <w:rPr>
                <w:sz w:val="14"/>
              </w:rPr>
            </w:pPr>
            <w:r>
              <w:rPr>
                <w:sz w:val="14"/>
              </w:rPr>
              <w:t>Energética Corumbá III S.A.</w:t>
            </w:r>
          </w:p>
        </w:tc>
        <w:tc>
          <w:tcPr>
            <w:tcW w:w="1228" w:type="dxa"/>
          </w:tcPr>
          <w:p>
            <w:pPr>
              <w:pStyle w:val="TableParagraph"/>
              <w:spacing w:before="38"/>
              <w:ind w:left="179" w:right="169"/>
              <w:jc w:val="center"/>
              <w:rPr>
                <w:sz w:val="14"/>
              </w:rPr>
            </w:pPr>
            <w:r>
              <w:rPr>
                <w:w w:val="110"/>
                <w:sz w:val="14"/>
              </w:rPr>
              <w:t>Brasília – DF</w:t>
            </w:r>
          </w:p>
        </w:tc>
        <w:tc>
          <w:tcPr>
            <w:tcW w:w="1277" w:type="dxa"/>
          </w:tcPr>
          <w:p>
            <w:pPr>
              <w:pStyle w:val="TableParagraph"/>
              <w:spacing w:before="38"/>
              <w:ind w:left="232" w:right="223"/>
              <w:jc w:val="center"/>
              <w:rPr>
                <w:sz w:val="14"/>
              </w:rPr>
            </w:pPr>
            <w:r>
              <w:rPr>
                <w:w w:val="105"/>
                <w:sz w:val="14"/>
              </w:rPr>
              <w:t>07/11/2001</w:t>
            </w:r>
          </w:p>
        </w:tc>
        <w:tc>
          <w:tcPr>
            <w:tcW w:w="1416" w:type="dxa"/>
          </w:tcPr>
          <w:p>
            <w:pPr>
              <w:pStyle w:val="TableParagraph"/>
              <w:spacing w:before="38"/>
              <w:ind w:left="231" w:right="221"/>
              <w:jc w:val="center"/>
              <w:rPr>
                <w:sz w:val="14"/>
              </w:rPr>
            </w:pPr>
            <w:r>
              <w:rPr>
                <w:w w:val="105"/>
                <w:sz w:val="14"/>
              </w:rPr>
              <w:t>07/11/2036</w:t>
            </w:r>
          </w:p>
        </w:tc>
      </w:tr>
      <w:tr>
        <w:trPr>
          <w:trHeight w:val="237" w:hRule="atLeast"/>
        </w:trPr>
        <w:tc>
          <w:tcPr>
            <w:tcW w:w="6025" w:type="dxa"/>
          </w:tcPr>
          <w:p>
            <w:pPr>
              <w:pStyle w:val="TableParagraph"/>
              <w:spacing w:before="36"/>
              <w:ind w:left="165"/>
              <w:rPr>
                <w:sz w:val="14"/>
              </w:rPr>
            </w:pPr>
            <w:r>
              <w:rPr>
                <w:sz w:val="14"/>
              </w:rPr>
              <w:t>CEB Lajeado S.A.</w:t>
            </w:r>
          </w:p>
        </w:tc>
        <w:tc>
          <w:tcPr>
            <w:tcW w:w="1228" w:type="dxa"/>
          </w:tcPr>
          <w:p>
            <w:pPr>
              <w:pStyle w:val="TableParagraph"/>
              <w:spacing w:before="36"/>
              <w:ind w:left="179" w:right="169"/>
              <w:jc w:val="center"/>
              <w:rPr>
                <w:sz w:val="14"/>
              </w:rPr>
            </w:pPr>
            <w:r>
              <w:rPr>
                <w:w w:val="110"/>
                <w:sz w:val="14"/>
              </w:rPr>
              <w:t>Brasília – DF</w:t>
            </w:r>
          </w:p>
        </w:tc>
        <w:tc>
          <w:tcPr>
            <w:tcW w:w="1277" w:type="dxa"/>
          </w:tcPr>
          <w:p>
            <w:pPr>
              <w:pStyle w:val="TableParagraph"/>
              <w:spacing w:before="36"/>
              <w:ind w:left="232" w:right="223"/>
              <w:jc w:val="center"/>
              <w:rPr>
                <w:sz w:val="14"/>
              </w:rPr>
            </w:pPr>
            <w:r>
              <w:rPr>
                <w:w w:val="105"/>
                <w:sz w:val="14"/>
              </w:rPr>
              <w:t>31/12/1999</w:t>
            </w:r>
          </w:p>
        </w:tc>
        <w:tc>
          <w:tcPr>
            <w:tcW w:w="1416" w:type="dxa"/>
          </w:tcPr>
          <w:p>
            <w:pPr>
              <w:pStyle w:val="TableParagraph"/>
              <w:spacing w:before="36"/>
              <w:ind w:left="231" w:right="221"/>
              <w:jc w:val="center"/>
              <w:rPr>
                <w:sz w:val="14"/>
              </w:rPr>
            </w:pPr>
            <w:r>
              <w:rPr>
                <w:w w:val="105"/>
                <w:sz w:val="14"/>
              </w:rPr>
              <w:t>15/12/2032</w:t>
            </w:r>
          </w:p>
        </w:tc>
      </w:tr>
      <w:tr>
        <w:trPr>
          <w:trHeight w:val="237" w:hRule="atLeast"/>
        </w:trPr>
        <w:tc>
          <w:tcPr>
            <w:tcW w:w="6025" w:type="dxa"/>
          </w:tcPr>
          <w:p>
            <w:pPr>
              <w:pStyle w:val="TableParagraph"/>
              <w:spacing w:before="37"/>
              <w:ind w:left="72"/>
              <w:rPr>
                <w:rFonts w:ascii="Caladea"/>
                <w:b/>
                <w:sz w:val="14"/>
              </w:rPr>
            </w:pPr>
            <w:r>
              <w:rPr>
                <w:rFonts w:ascii="Caladea"/>
                <w:b/>
                <w:sz w:val="14"/>
              </w:rPr>
              <w:t>Outros</w:t>
            </w:r>
          </w:p>
        </w:tc>
        <w:tc>
          <w:tcPr>
            <w:tcW w:w="1228" w:type="dxa"/>
          </w:tcPr>
          <w:p>
            <w:pPr>
              <w:pStyle w:val="TableParagraph"/>
              <w:rPr>
                <w:rFonts w:ascii="Times New Roman"/>
                <w:sz w:val="16"/>
              </w:rPr>
            </w:pPr>
          </w:p>
        </w:tc>
        <w:tc>
          <w:tcPr>
            <w:tcW w:w="1277" w:type="dxa"/>
          </w:tcPr>
          <w:p>
            <w:pPr>
              <w:pStyle w:val="TableParagraph"/>
              <w:rPr>
                <w:rFonts w:ascii="Times New Roman"/>
                <w:sz w:val="16"/>
              </w:rPr>
            </w:pPr>
          </w:p>
        </w:tc>
        <w:tc>
          <w:tcPr>
            <w:tcW w:w="1416" w:type="dxa"/>
          </w:tcPr>
          <w:p>
            <w:pPr>
              <w:pStyle w:val="TableParagraph"/>
              <w:rPr>
                <w:rFonts w:ascii="Times New Roman"/>
                <w:sz w:val="16"/>
              </w:rPr>
            </w:pPr>
          </w:p>
        </w:tc>
      </w:tr>
      <w:tr>
        <w:trPr>
          <w:trHeight w:val="239" w:hRule="atLeast"/>
        </w:trPr>
        <w:tc>
          <w:tcPr>
            <w:tcW w:w="6025" w:type="dxa"/>
          </w:tcPr>
          <w:p>
            <w:pPr>
              <w:pStyle w:val="TableParagraph"/>
              <w:spacing w:before="38"/>
              <w:ind w:left="165"/>
              <w:rPr>
                <w:sz w:val="14"/>
              </w:rPr>
            </w:pPr>
            <w:r>
              <w:rPr>
                <w:sz w:val="14"/>
              </w:rPr>
              <w:t>Companhia Brasiliense de Gás</w:t>
            </w:r>
          </w:p>
        </w:tc>
        <w:tc>
          <w:tcPr>
            <w:tcW w:w="1228" w:type="dxa"/>
          </w:tcPr>
          <w:p>
            <w:pPr>
              <w:pStyle w:val="TableParagraph"/>
              <w:spacing w:before="38"/>
              <w:ind w:left="179" w:right="169"/>
              <w:jc w:val="center"/>
              <w:rPr>
                <w:sz w:val="14"/>
              </w:rPr>
            </w:pPr>
            <w:r>
              <w:rPr>
                <w:w w:val="110"/>
                <w:sz w:val="14"/>
              </w:rPr>
              <w:t>Brasília – DF</w:t>
            </w:r>
          </w:p>
        </w:tc>
        <w:tc>
          <w:tcPr>
            <w:tcW w:w="1277" w:type="dxa"/>
          </w:tcPr>
          <w:p>
            <w:pPr>
              <w:pStyle w:val="TableParagraph"/>
              <w:spacing w:before="38"/>
              <w:ind w:left="232" w:right="223"/>
              <w:jc w:val="center"/>
              <w:rPr>
                <w:sz w:val="14"/>
              </w:rPr>
            </w:pPr>
            <w:r>
              <w:rPr>
                <w:w w:val="105"/>
                <w:sz w:val="14"/>
              </w:rPr>
              <w:t>23/03/2001</w:t>
            </w:r>
          </w:p>
        </w:tc>
        <w:tc>
          <w:tcPr>
            <w:tcW w:w="1416" w:type="dxa"/>
          </w:tcPr>
          <w:p>
            <w:pPr>
              <w:pStyle w:val="TableParagraph"/>
              <w:spacing w:before="38"/>
              <w:ind w:left="231" w:right="221"/>
              <w:jc w:val="center"/>
              <w:rPr>
                <w:sz w:val="14"/>
              </w:rPr>
            </w:pPr>
            <w:r>
              <w:rPr>
                <w:w w:val="105"/>
                <w:sz w:val="14"/>
              </w:rPr>
              <w:t>09/01/2030</w:t>
            </w:r>
          </w:p>
        </w:tc>
      </w:tr>
    </w:tbl>
    <w:p>
      <w:pPr>
        <w:spacing w:before="1"/>
        <w:ind w:left="192" w:right="599" w:firstLine="0"/>
        <w:jc w:val="both"/>
        <w:rPr>
          <w:sz w:val="16"/>
        </w:rPr>
      </w:pPr>
      <w:r>
        <w:rPr>
          <w:sz w:val="16"/>
        </w:rPr>
        <w:t>(a)</w:t>
      </w:r>
      <w:r>
        <w:rPr>
          <w:spacing w:val="-25"/>
          <w:sz w:val="16"/>
        </w:rPr>
        <w:t> </w:t>
      </w:r>
      <w:r>
        <w:rPr>
          <w:sz w:val="16"/>
        </w:rPr>
        <w:t>A</w:t>
      </w:r>
      <w:r>
        <w:rPr>
          <w:spacing w:val="-27"/>
          <w:sz w:val="16"/>
        </w:rPr>
        <w:t> </w:t>
      </w:r>
      <w:r>
        <w:rPr>
          <w:sz w:val="16"/>
        </w:rPr>
        <w:t>CEB</w:t>
      </w:r>
      <w:r>
        <w:rPr>
          <w:spacing w:val="-26"/>
          <w:sz w:val="16"/>
        </w:rPr>
        <w:t> </w:t>
      </w:r>
      <w:r>
        <w:rPr>
          <w:sz w:val="16"/>
        </w:rPr>
        <w:t>Distribuição</w:t>
      </w:r>
      <w:r>
        <w:rPr>
          <w:spacing w:val="-25"/>
          <w:sz w:val="16"/>
        </w:rPr>
        <w:t> </w:t>
      </w:r>
      <w:r>
        <w:rPr>
          <w:sz w:val="16"/>
        </w:rPr>
        <w:t>S.A.</w:t>
      </w:r>
      <w:r>
        <w:rPr>
          <w:spacing w:val="-26"/>
          <w:sz w:val="16"/>
        </w:rPr>
        <w:t> </w:t>
      </w:r>
      <w:r>
        <w:rPr>
          <w:sz w:val="16"/>
        </w:rPr>
        <w:t>é</w:t>
      </w:r>
      <w:r>
        <w:rPr>
          <w:spacing w:val="-26"/>
          <w:sz w:val="16"/>
        </w:rPr>
        <w:t> </w:t>
      </w:r>
      <w:r>
        <w:rPr>
          <w:sz w:val="16"/>
        </w:rPr>
        <w:t>detentora</w:t>
      </w:r>
      <w:r>
        <w:rPr>
          <w:spacing w:val="-27"/>
          <w:sz w:val="16"/>
        </w:rPr>
        <w:t> </w:t>
      </w:r>
      <w:r>
        <w:rPr>
          <w:sz w:val="16"/>
        </w:rPr>
        <w:t>do</w:t>
      </w:r>
      <w:r>
        <w:rPr>
          <w:spacing w:val="-27"/>
          <w:sz w:val="16"/>
        </w:rPr>
        <w:t> </w:t>
      </w:r>
      <w:r>
        <w:rPr>
          <w:sz w:val="16"/>
        </w:rPr>
        <w:t>Contrato</w:t>
      </w:r>
      <w:r>
        <w:rPr>
          <w:spacing w:val="-25"/>
          <w:sz w:val="16"/>
        </w:rPr>
        <w:t> </w:t>
      </w:r>
      <w:r>
        <w:rPr>
          <w:sz w:val="16"/>
        </w:rPr>
        <w:t>de</w:t>
      </w:r>
      <w:r>
        <w:rPr>
          <w:spacing w:val="-27"/>
          <w:sz w:val="16"/>
        </w:rPr>
        <w:t> </w:t>
      </w:r>
      <w:r>
        <w:rPr>
          <w:sz w:val="16"/>
        </w:rPr>
        <w:t>Concessão</w:t>
      </w:r>
      <w:r>
        <w:rPr>
          <w:spacing w:val="-27"/>
          <w:sz w:val="16"/>
        </w:rPr>
        <w:t> </w:t>
      </w:r>
      <w:r>
        <w:rPr>
          <w:sz w:val="16"/>
        </w:rPr>
        <w:t>de</w:t>
      </w:r>
      <w:r>
        <w:rPr>
          <w:spacing w:val="-25"/>
          <w:sz w:val="16"/>
        </w:rPr>
        <w:t> </w:t>
      </w:r>
      <w:r>
        <w:rPr>
          <w:sz w:val="16"/>
        </w:rPr>
        <w:t>Distribuição</w:t>
      </w:r>
      <w:r>
        <w:rPr>
          <w:spacing w:val="-26"/>
          <w:sz w:val="16"/>
        </w:rPr>
        <w:t> </w:t>
      </w:r>
      <w:r>
        <w:rPr>
          <w:sz w:val="16"/>
        </w:rPr>
        <w:t>de</w:t>
      </w:r>
      <w:r>
        <w:rPr>
          <w:spacing w:val="-26"/>
          <w:sz w:val="16"/>
        </w:rPr>
        <w:t> </w:t>
      </w:r>
      <w:r>
        <w:rPr>
          <w:sz w:val="16"/>
        </w:rPr>
        <w:t>Energia</w:t>
      </w:r>
      <w:r>
        <w:rPr>
          <w:spacing w:val="-27"/>
          <w:sz w:val="16"/>
        </w:rPr>
        <w:t> </w:t>
      </w:r>
      <w:r>
        <w:rPr>
          <w:sz w:val="16"/>
        </w:rPr>
        <w:t>Elétrica</w:t>
      </w:r>
      <w:r>
        <w:rPr>
          <w:spacing w:val="-26"/>
          <w:sz w:val="16"/>
        </w:rPr>
        <w:t> </w:t>
      </w:r>
      <w:r>
        <w:rPr>
          <w:sz w:val="16"/>
        </w:rPr>
        <w:t>nº</w:t>
      </w:r>
      <w:r>
        <w:rPr>
          <w:spacing w:val="-25"/>
          <w:sz w:val="16"/>
        </w:rPr>
        <w:t> </w:t>
      </w:r>
      <w:r>
        <w:rPr>
          <w:sz w:val="16"/>
        </w:rPr>
        <w:t>66/1999,</w:t>
      </w:r>
      <w:r>
        <w:rPr>
          <w:spacing w:val="-27"/>
          <w:sz w:val="16"/>
        </w:rPr>
        <w:t> </w:t>
      </w:r>
      <w:r>
        <w:rPr>
          <w:sz w:val="16"/>
        </w:rPr>
        <w:t>celebrado</w:t>
      </w:r>
      <w:r>
        <w:rPr>
          <w:spacing w:val="-26"/>
          <w:sz w:val="16"/>
        </w:rPr>
        <w:t> </w:t>
      </w:r>
      <w:r>
        <w:rPr>
          <w:sz w:val="16"/>
        </w:rPr>
        <w:t>com</w:t>
      </w:r>
      <w:r>
        <w:rPr>
          <w:spacing w:val="-25"/>
          <w:sz w:val="16"/>
        </w:rPr>
        <w:t> </w:t>
      </w:r>
      <w:r>
        <w:rPr>
          <w:sz w:val="16"/>
        </w:rPr>
        <w:t>a</w:t>
      </w:r>
      <w:r>
        <w:rPr>
          <w:spacing w:val="-26"/>
          <w:sz w:val="16"/>
        </w:rPr>
        <w:t> </w:t>
      </w:r>
      <w:r>
        <w:rPr>
          <w:sz w:val="16"/>
        </w:rPr>
        <w:t>União</w:t>
      </w:r>
      <w:r>
        <w:rPr>
          <w:spacing w:val="-27"/>
          <w:sz w:val="16"/>
        </w:rPr>
        <w:t> </w:t>
      </w:r>
      <w:r>
        <w:rPr>
          <w:sz w:val="16"/>
        </w:rPr>
        <w:t>Federal, por</w:t>
      </w:r>
      <w:r>
        <w:rPr>
          <w:spacing w:val="-17"/>
          <w:sz w:val="16"/>
        </w:rPr>
        <w:t> </w:t>
      </w:r>
      <w:r>
        <w:rPr>
          <w:sz w:val="16"/>
        </w:rPr>
        <w:t>intermédio</w:t>
      </w:r>
      <w:r>
        <w:rPr>
          <w:spacing w:val="-15"/>
          <w:sz w:val="16"/>
        </w:rPr>
        <w:t> </w:t>
      </w:r>
      <w:r>
        <w:rPr>
          <w:sz w:val="16"/>
        </w:rPr>
        <w:t>da</w:t>
      </w:r>
      <w:r>
        <w:rPr>
          <w:spacing w:val="-17"/>
          <w:sz w:val="16"/>
        </w:rPr>
        <w:t> </w:t>
      </w:r>
      <w:r>
        <w:rPr>
          <w:sz w:val="16"/>
        </w:rPr>
        <w:t>ANEEL,</w:t>
      </w:r>
      <w:r>
        <w:rPr>
          <w:spacing w:val="-15"/>
          <w:sz w:val="16"/>
        </w:rPr>
        <w:t> </w:t>
      </w:r>
      <w:r>
        <w:rPr>
          <w:sz w:val="16"/>
        </w:rPr>
        <w:t>em</w:t>
      </w:r>
      <w:r>
        <w:rPr>
          <w:spacing w:val="-15"/>
          <w:sz w:val="16"/>
        </w:rPr>
        <w:t> </w:t>
      </w:r>
      <w:r>
        <w:rPr>
          <w:sz w:val="16"/>
        </w:rPr>
        <w:t>26</w:t>
      </w:r>
      <w:r>
        <w:rPr>
          <w:spacing w:val="-16"/>
          <w:sz w:val="16"/>
        </w:rPr>
        <w:t> </w:t>
      </w:r>
      <w:r>
        <w:rPr>
          <w:sz w:val="16"/>
        </w:rPr>
        <w:t>de</w:t>
      </w:r>
      <w:r>
        <w:rPr>
          <w:spacing w:val="-15"/>
          <w:sz w:val="16"/>
        </w:rPr>
        <w:t> </w:t>
      </w:r>
      <w:r>
        <w:rPr>
          <w:sz w:val="16"/>
        </w:rPr>
        <w:t>agosto</w:t>
      </w:r>
      <w:r>
        <w:rPr>
          <w:spacing w:val="-15"/>
          <w:sz w:val="16"/>
        </w:rPr>
        <w:t> </w:t>
      </w:r>
      <w:r>
        <w:rPr>
          <w:sz w:val="16"/>
        </w:rPr>
        <w:t>de</w:t>
      </w:r>
      <w:r>
        <w:rPr>
          <w:spacing w:val="-15"/>
          <w:sz w:val="16"/>
        </w:rPr>
        <w:t> </w:t>
      </w:r>
      <w:r>
        <w:rPr>
          <w:sz w:val="16"/>
        </w:rPr>
        <w:t>1999,</w:t>
      </w:r>
      <w:r>
        <w:rPr>
          <w:spacing w:val="-15"/>
          <w:sz w:val="16"/>
        </w:rPr>
        <w:t> </w:t>
      </w:r>
      <w:r>
        <w:rPr>
          <w:sz w:val="16"/>
        </w:rPr>
        <w:t>cujo</w:t>
      </w:r>
      <w:r>
        <w:rPr>
          <w:spacing w:val="-17"/>
          <w:sz w:val="16"/>
        </w:rPr>
        <w:t> </w:t>
      </w:r>
      <w:r>
        <w:rPr>
          <w:sz w:val="16"/>
        </w:rPr>
        <w:t>vencimento</w:t>
      </w:r>
      <w:r>
        <w:rPr>
          <w:spacing w:val="-17"/>
          <w:sz w:val="16"/>
        </w:rPr>
        <w:t> </w:t>
      </w:r>
      <w:r>
        <w:rPr>
          <w:sz w:val="16"/>
        </w:rPr>
        <w:t>ocorreu</w:t>
      </w:r>
      <w:r>
        <w:rPr>
          <w:spacing w:val="-17"/>
          <w:sz w:val="16"/>
        </w:rPr>
        <w:t> </w:t>
      </w:r>
      <w:r>
        <w:rPr>
          <w:sz w:val="16"/>
        </w:rPr>
        <w:t>em</w:t>
      </w:r>
      <w:r>
        <w:rPr>
          <w:spacing w:val="-15"/>
          <w:sz w:val="16"/>
        </w:rPr>
        <w:t> </w:t>
      </w:r>
      <w:r>
        <w:rPr>
          <w:sz w:val="16"/>
        </w:rPr>
        <w:t>7</w:t>
      </w:r>
      <w:r>
        <w:rPr>
          <w:spacing w:val="-16"/>
          <w:sz w:val="16"/>
        </w:rPr>
        <w:t> </w:t>
      </w:r>
      <w:r>
        <w:rPr>
          <w:sz w:val="16"/>
        </w:rPr>
        <w:t>de</w:t>
      </w:r>
      <w:r>
        <w:rPr>
          <w:spacing w:val="-17"/>
          <w:sz w:val="16"/>
        </w:rPr>
        <w:t> </w:t>
      </w:r>
      <w:r>
        <w:rPr>
          <w:sz w:val="16"/>
        </w:rPr>
        <w:t>julho</w:t>
      </w:r>
      <w:r>
        <w:rPr>
          <w:spacing w:val="-15"/>
          <w:sz w:val="16"/>
        </w:rPr>
        <w:t> </w:t>
      </w:r>
      <w:r>
        <w:rPr>
          <w:sz w:val="16"/>
        </w:rPr>
        <w:t>de</w:t>
      </w:r>
      <w:r>
        <w:rPr>
          <w:spacing w:val="-17"/>
          <w:sz w:val="16"/>
        </w:rPr>
        <w:t> </w:t>
      </w:r>
      <w:r>
        <w:rPr>
          <w:sz w:val="16"/>
        </w:rPr>
        <w:t>2015.</w:t>
      </w:r>
      <w:r>
        <w:rPr>
          <w:spacing w:val="-11"/>
          <w:sz w:val="16"/>
        </w:rPr>
        <w:t> </w:t>
      </w:r>
      <w:r>
        <w:rPr>
          <w:spacing w:val="-4"/>
          <w:sz w:val="16"/>
        </w:rPr>
        <w:t>Em</w:t>
      </w:r>
      <w:r>
        <w:rPr>
          <w:spacing w:val="-24"/>
          <w:sz w:val="16"/>
        </w:rPr>
        <w:t> </w:t>
      </w:r>
      <w:r>
        <w:rPr>
          <w:spacing w:val="-3"/>
          <w:sz w:val="16"/>
        </w:rPr>
        <w:t>09</w:t>
      </w:r>
      <w:r>
        <w:rPr>
          <w:spacing w:val="-25"/>
          <w:sz w:val="16"/>
        </w:rPr>
        <w:t> </w:t>
      </w:r>
      <w:r>
        <w:rPr>
          <w:spacing w:val="-3"/>
          <w:sz w:val="16"/>
        </w:rPr>
        <w:t>de</w:t>
      </w:r>
      <w:r>
        <w:rPr>
          <w:spacing w:val="-24"/>
          <w:sz w:val="16"/>
        </w:rPr>
        <w:t> </w:t>
      </w:r>
      <w:r>
        <w:rPr>
          <w:spacing w:val="-6"/>
          <w:sz w:val="16"/>
        </w:rPr>
        <w:t>dezembro</w:t>
      </w:r>
      <w:r>
        <w:rPr>
          <w:spacing w:val="-24"/>
          <w:sz w:val="16"/>
        </w:rPr>
        <w:t> </w:t>
      </w:r>
      <w:r>
        <w:rPr>
          <w:spacing w:val="-4"/>
          <w:sz w:val="16"/>
        </w:rPr>
        <w:t>de</w:t>
      </w:r>
      <w:r>
        <w:rPr>
          <w:spacing w:val="-24"/>
          <w:sz w:val="16"/>
        </w:rPr>
        <w:t> </w:t>
      </w:r>
      <w:r>
        <w:rPr>
          <w:spacing w:val="-6"/>
          <w:sz w:val="16"/>
        </w:rPr>
        <w:t>2015,</w:t>
      </w:r>
      <w:r>
        <w:rPr>
          <w:spacing w:val="-23"/>
          <w:sz w:val="16"/>
        </w:rPr>
        <w:t> </w:t>
      </w:r>
      <w:r>
        <w:rPr>
          <w:spacing w:val="-4"/>
          <w:sz w:val="16"/>
        </w:rPr>
        <w:t>foi</w:t>
      </w:r>
      <w:r>
        <w:rPr>
          <w:spacing w:val="-26"/>
          <w:sz w:val="16"/>
        </w:rPr>
        <w:t> </w:t>
      </w:r>
      <w:r>
        <w:rPr>
          <w:spacing w:val="-6"/>
          <w:sz w:val="16"/>
        </w:rPr>
        <w:t>celebrado</w:t>
      </w:r>
      <w:r>
        <w:rPr>
          <w:spacing w:val="-24"/>
          <w:sz w:val="16"/>
        </w:rPr>
        <w:t> </w:t>
      </w:r>
      <w:r>
        <w:rPr>
          <w:sz w:val="16"/>
        </w:rPr>
        <w:t>o </w:t>
      </w:r>
      <w:r>
        <w:rPr>
          <w:spacing w:val="-6"/>
          <w:sz w:val="16"/>
        </w:rPr>
        <w:t>aditamento</w:t>
      </w:r>
      <w:r>
        <w:rPr>
          <w:spacing w:val="-28"/>
          <w:sz w:val="16"/>
        </w:rPr>
        <w:t> </w:t>
      </w:r>
      <w:r>
        <w:rPr>
          <w:spacing w:val="-4"/>
          <w:sz w:val="16"/>
        </w:rPr>
        <w:t>do</w:t>
      </w:r>
      <w:r>
        <w:rPr>
          <w:spacing w:val="-30"/>
          <w:sz w:val="16"/>
        </w:rPr>
        <w:t> </w:t>
      </w:r>
      <w:r>
        <w:rPr>
          <w:spacing w:val="-6"/>
          <w:sz w:val="16"/>
        </w:rPr>
        <w:t>contrato</w:t>
      </w:r>
      <w:r>
        <w:rPr>
          <w:spacing w:val="-28"/>
          <w:sz w:val="16"/>
        </w:rPr>
        <w:t> </w:t>
      </w:r>
      <w:r>
        <w:rPr>
          <w:spacing w:val="-5"/>
          <w:sz w:val="16"/>
        </w:rPr>
        <w:t>nº</w:t>
      </w:r>
      <w:r>
        <w:rPr>
          <w:spacing w:val="-29"/>
          <w:sz w:val="16"/>
        </w:rPr>
        <w:t> </w:t>
      </w:r>
      <w:r>
        <w:rPr>
          <w:spacing w:val="-6"/>
          <w:sz w:val="16"/>
        </w:rPr>
        <w:t>66/1999,</w:t>
      </w:r>
      <w:r>
        <w:rPr>
          <w:spacing w:val="-31"/>
          <w:sz w:val="16"/>
        </w:rPr>
        <w:t> </w:t>
      </w:r>
      <w:r>
        <w:rPr>
          <w:spacing w:val="-4"/>
          <w:sz w:val="16"/>
        </w:rPr>
        <w:t>que</w:t>
      </w:r>
      <w:r>
        <w:rPr>
          <w:spacing w:val="-29"/>
          <w:sz w:val="16"/>
        </w:rPr>
        <w:t> </w:t>
      </w:r>
      <w:r>
        <w:rPr>
          <w:spacing w:val="-4"/>
          <w:sz w:val="16"/>
        </w:rPr>
        <w:t>tem</w:t>
      </w:r>
      <w:r>
        <w:rPr>
          <w:spacing w:val="-32"/>
          <w:sz w:val="16"/>
        </w:rPr>
        <w:t> </w:t>
      </w:r>
      <w:r>
        <w:rPr>
          <w:spacing w:val="-5"/>
          <w:sz w:val="16"/>
        </w:rPr>
        <w:t>como</w:t>
      </w:r>
      <w:r>
        <w:rPr>
          <w:spacing w:val="-28"/>
          <w:sz w:val="16"/>
        </w:rPr>
        <w:t> </w:t>
      </w:r>
      <w:r>
        <w:rPr>
          <w:spacing w:val="-5"/>
          <w:sz w:val="16"/>
        </w:rPr>
        <w:t>objeto</w:t>
      </w:r>
      <w:r>
        <w:rPr>
          <w:spacing w:val="-30"/>
          <w:sz w:val="16"/>
        </w:rPr>
        <w:t> </w:t>
      </w:r>
      <w:r>
        <w:rPr>
          <w:sz w:val="16"/>
        </w:rPr>
        <w:t>a</w:t>
      </w:r>
      <w:r>
        <w:rPr>
          <w:spacing w:val="-28"/>
          <w:sz w:val="16"/>
        </w:rPr>
        <w:t> </w:t>
      </w:r>
      <w:r>
        <w:rPr>
          <w:spacing w:val="-6"/>
          <w:sz w:val="16"/>
        </w:rPr>
        <w:t>prorrogação</w:t>
      </w:r>
      <w:r>
        <w:rPr>
          <w:spacing w:val="-29"/>
          <w:sz w:val="16"/>
        </w:rPr>
        <w:t> </w:t>
      </w:r>
      <w:r>
        <w:rPr>
          <w:spacing w:val="-3"/>
          <w:sz w:val="16"/>
        </w:rPr>
        <w:t>do</w:t>
      </w:r>
      <w:r>
        <w:rPr>
          <w:spacing w:val="-31"/>
          <w:sz w:val="16"/>
        </w:rPr>
        <w:t> </w:t>
      </w:r>
      <w:r>
        <w:rPr>
          <w:spacing w:val="-6"/>
          <w:sz w:val="16"/>
        </w:rPr>
        <w:t>Contrato</w:t>
      </w:r>
      <w:r>
        <w:rPr>
          <w:spacing w:val="-29"/>
          <w:sz w:val="16"/>
        </w:rPr>
        <w:t> </w:t>
      </w:r>
      <w:r>
        <w:rPr>
          <w:spacing w:val="-3"/>
          <w:sz w:val="16"/>
        </w:rPr>
        <w:t>de</w:t>
      </w:r>
      <w:r>
        <w:rPr>
          <w:spacing w:val="-30"/>
          <w:sz w:val="16"/>
        </w:rPr>
        <w:t> </w:t>
      </w:r>
      <w:r>
        <w:rPr>
          <w:spacing w:val="-6"/>
          <w:sz w:val="16"/>
        </w:rPr>
        <w:t>Concessão</w:t>
      </w:r>
      <w:r>
        <w:rPr>
          <w:spacing w:val="-29"/>
          <w:sz w:val="16"/>
        </w:rPr>
        <w:t> </w:t>
      </w:r>
      <w:r>
        <w:rPr>
          <w:spacing w:val="-4"/>
          <w:sz w:val="16"/>
        </w:rPr>
        <w:t>do</w:t>
      </w:r>
      <w:r>
        <w:rPr>
          <w:spacing w:val="-29"/>
          <w:sz w:val="16"/>
        </w:rPr>
        <w:t> </w:t>
      </w:r>
      <w:r>
        <w:rPr>
          <w:spacing w:val="-6"/>
          <w:sz w:val="16"/>
        </w:rPr>
        <w:t>Serviço</w:t>
      </w:r>
      <w:r>
        <w:rPr>
          <w:spacing w:val="-30"/>
          <w:sz w:val="16"/>
        </w:rPr>
        <w:t> </w:t>
      </w:r>
      <w:r>
        <w:rPr>
          <w:spacing w:val="-6"/>
          <w:sz w:val="16"/>
        </w:rPr>
        <w:t>Público</w:t>
      </w:r>
      <w:r>
        <w:rPr>
          <w:spacing w:val="-29"/>
          <w:sz w:val="16"/>
        </w:rPr>
        <w:t> </w:t>
      </w:r>
      <w:r>
        <w:rPr>
          <w:spacing w:val="-3"/>
          <w:sz w:val="16"/>
        </w:rPr>
        <w:t>de</w:t>
      </w:r>
      <w:r>
        <w:rPr>
          <w:spacing w:val="-29"/>
          <w:sz w:val="16"/>
        </w:rPr>
        <w:t> </w:t>
      </w:r>
      <w:r>
        <w:rPr>
          <w:spacing w:val="-6"/>
          <w:sz w:val="16"/>
        </w:rPr>
        <w:t>Distribuição</w:t>
      </w:r>
      <w:r>
        <w:rPr>
          <w:spacing w:val="-29"/>
          <w:sz w:val="16"/>
        </w:rPr>
        <w:t> </w:t>
      </w:r>
      <w:r>
        <w:rPr>
          <w:spacing w:val="-3"/>
          <w:sz w:val="16"/>
        </w:rPr>
        <w:t>de</w:t>
      </w:r>
      <w:r>
        <w:rPr>
          <w:spacing w:val="-32"/>
          <w:sz w:val="16"/>
        </w:rPr>
        <w:t> </w:t>
      </w:r>
      <w:r>
        <w:rPr>
          <w:spacing w:val="-5"/>
          <w:sz w:val="16"/>
        </w:rPr>
        <w:t>Energia</w:t>
      </w:r>
      <w:r>
        <w:rPr>
          <w:spacing w:val="-30"/>
          <w:sz w:val="16"/>
        </w:rPr>
        <w:t> </w:t>
      </w:r>
      <w:r>
        <w:rPr>
          <w:spacing w:val="-5"/>
          <w:sz w:val="16"/>
        </w:rPr>
        <w:t>Elétrica</w:t>
      </w:r>
      <w:r>
        <w:rPr>
          <w:spacing w:val="-30"/>
          <w:sz w:val="16"/>
        </w:rPr>
        <w:t> </w:t>
      </w:r>
      <w:r>
        <w:rPr>
          <w:spacing w:val="-3"/>
          <w:sz w:val="16"/>
        </w:rPr>
        <w:t>da </w:t>
      </w:r>
      <w:r>
        <w:rPr>
          <w:spacing w:val="-4"/>
          <w:sz w:val="16"/>
        </w:rPr>
        <w:t>CEB</w:t>
      </w:r>
      <w:r>
        <w:rPr>
          <w:spacing w:val="-22"/>
          <w:sz w:val="16"/>
        </w:rPr>
        <w:t> </w:t>
      </w:r>
      <w:r>
        <w:rPr>
          <w:spacing w:val="-6"/>
          <w:sz w:val="16"/>
        </w:rPr>
        <w:t>Distribuição</w:t>
      </w:r>
      <w:r>
        <w:rPr>
          <w:spacing w:val="-21"/>
          <w:sz w:val="16"/>
        </w:rPr>
        <w:t> </w:t>
      </w:r>
      <w:r>
        <w:rPr>
          <w:spacing w:val="-5"/>
          <w:sz w:val="16"/>
        </w:rPr>
        <w:t>S.A.,</w:t>
      </w:r>
      <w:r>
        <w:rPr>
          <w:spacing w:val="-23"/>
          <w:sz w:val="16"/>
        </w:rPr>
        <w:t> </w:t>
      </w:r>
      <w:r>
        <w:rPr>
          <w:spacing w:val="-4"/>
          <w:sz w:val="16"/>
        </w:rPr>
        <w:t>até</w:t>
      </w:r>
      <w:r>
        <w:rPr>
          <w:spacing w:val="-21"/>
          <w:sz w:val="16"/>
        </w:rPr>
        <w:t> </w:t>
      </w:r>
      <w:r>
        <w:rPr>
          <w:sz w:val="16"/>
        </w:rPr>
        <w:t>7</w:t>
      </w:r>
      <w:r>
        <w:rPr>
          <w:spacing w:val="-23"/>
          <w:sz w:val="16"/>
        </w:rPr>
        <w:t> </w:t>
      </w:r>
      <w:r>
        <w:rPr>
          <w:spacing w:val="-3"/>
          <w:sz w:val="16"/>
        </w:rPr>
        <w:t>de</w:t>
      </w:r>
      <w:r>
        <w:rPr>
          <w:spacing w:val="-23"/>
          <w:sz w:val="16"/>
        </w:rPr>
        <w:t> </w:t>
      </w:r>
      <w:r>
        <w:rPr>
          <w:spacing w:val="-5"/>
          <w:sz w:val="16"/>
        </w:rPr>
        <w:t>julho</w:t>
      </w:r>
      <w:r>
        <w:rPr>
          <w:spacing w:val="-21"/>
          <w:sz w:val="16"/>
        </w:rPr>
        <w:t> </w:t>
      </w:r>
      <w:r>
        <w:rPr>
          <w:spacing w:val="-4"/>
          <w:sz w:val="16"/>
        </w:rPr>
        <w:t>de</w:t>
      </w:r>
      <w:r>
        <w:rPr>
          <w:spacing w:val="-21"/>
          <w:sz w:val="16"/>
        </w:rPr>
        <w:t> </w:t>
      </w:r>
      <w:r>
        <w:rPr>
          <w:spacing w:val="-6"/>
          <w:sz w:val="16"/>
        </w:rPr>
        <w:t>2045.</w:t>
      </w:r>
      <w:r>
        <w:rPr>
          <w:spacing w:val="-21"/>
          <w:sz w:val="16"/>
        </w:rPr>
        <w:t> </w:t>
      </w:r>
      <w:r>
        <w:rPr>
          <w:sz w:val="16"/>
        </w:rPr>
        <w:t>O</w:t>
      </w:r>
      <w:r>
        <w:rPr>
          <w:spacing w:val="-22"/>
          <w:sz w:val="16"/>
        </w:rPr>
        <w:t> </w:t>
      </w:r>
      <w:r>
        <w:rPr>
          <w:spacing w:val="-6"/>
          <w:sz w:val="16"/>
        </w:rPr>
        <w:t>aditamento</w:t>
      </w:r>
      <w:r>
        <w:rPr>
          <w:spacing w:val="-23"/>
          <w:sz w:val="16"/>
        </w:rPr>
        <w:t> </w:t>
      </w:r>
      <w:r>
        <w:rPr>
          <w:spacing w:val="-5"/>
          <w:sz w:val="16"/>
        </w:rPr>
        <w:t>ocorreu</w:t>
      </w:r>
      <w:r>
        <w:rPr>
          <w:spacing w:val="-24"/>
          <w:sz w:val="16"/>
        </w:rPr>
        <w:t> </w:t>
      </w:r>
      <w:r>
        <w:rPr>
          <w:spacing w:val="-4"/>
          <w:sz w:val="16"/>
        </w:rPr>
        <w:t>com</w:t>
      </w:r>
      <w:r>
        <w:rPr>
          <w:spacing w:val="-24"/>
          <w:sz w:val="16"/>
        </w:rPr>
        <w:t> </w:t>
      </w:r>
      <w:r>
        <w:rPr>
          <w:spacing w:val="-5"/>
          <w:sz w:val="16"/>
        </w:rPr>
        <w:t>base</w:t>
      </w:r>
      <w:r>
        <w:rPr>
          <w:spacing w:val="-21"/>
          <w:sz w:val="16"/>
        </w:rPr>
        <w:t> </w:t>
      </w:r>
      <w:r>
        <w:rPr>
          <w:spacing w:val="-3"/>
          <w:sz w:val="16"/>
        </w:rPr>
        <w:t>no</w:t>
      </w:r>
      <w:r>
        <w:rPr>
          <w:spacing w:val="-21"/>
          <w:sz w:val="16"/>
        </w:rPr>
        <w:t> </w:t>
      </w:r>
      <w:r>
        <w:rPr>
          <w:spacing w:val="-6"/>
          <w:sz w:val="16"/>
        </w:rPr>
        <w:t>Despacho</w:t>
      </w:r>
      <w:r>
        <w:rPr>
          <w:spacing w:val="-20"/>
          <w:sz w:val="16"/>
        </w:rPr>
        <w:t> </w:t>
      </w:r>
      <w:r>
        <w:rPr>
          <w:spacing w:val="-3"/>
          <w:sz w:val="16"/>
        </w:rPr>
        <w:t>do</w:t>
      </w:r>
      <w:r>
        <w:rPr>
          <w:spacing w:val="-24"/>
          <w:sz w:val="16"/>
        </w:rPr>
        <w:t> </w:t>
      </w:r>
      <w:r>
        <w:rPr>
          <w:spacing w:val="-5"/>
          <w:sz w:val="16"/>
        </w:rPr>
        <w:t>Ministro</w:t>
      </w:r>
      <w:r>
        <w:rPr>
          <w:spacing w:val="-21"/>
          <w:sz w:val="16"/>
        </w:rPr>
        <w:t> </w:t>
      </w:r>
      <w:r>
        <w:rPr>
          <w:spacing w:val="-4"/>
          <w:sz w:val="16"/>
        </w:rPr>
        <w:t>de</w:t>
      </w:r>
      <w:r>
        <w:rPr>
          <w:spacing w:val="-20"/>
          <w:sz w:val="16"/>
        </w:rPr>
        <w:t> </w:t>
      </w:r>
      <w:r>
        <w:rPr>
          <w:spacing w:val="-6"/>
          <w:sz w:val="16"/>
        </w:rPr>
        <w:t>Estado</w:t>
      </w:r>
      <w:r>
        <w:rPr>
          <w:spacing w:val="-23"/>
          <w:sz w:val="16"/>
        </w:rPr>
        <w:t> </w:t>
      </w:r>
      <w:r>
        <w:rPr>
          <w:spacing w:val="-3"/>
          <w:sz w:val="16"/>
        </w:rPr>
        <w:t>de</w:t>
      </w:r>
      <w:r>
        <w:rPr>
          <w:spacing w:val="-21"/>
          <w:sz w:val="16"/>
        </w:rPr>
        <w:t> </w:t>
      </w:r>
      <w:r>
        <w:rPr>
          <w:spacing w:val="-5"/>
          <w:sz w:val="16"/>
        </w:rPr>
        <w:t>Minas</w:t>
      </w:r>
      <w:r>
        <w:rPr>
          <w:spacing w:val="-21"/>
          <w:sz w:val="16"/>
        </w:rPr>
        <w:t> </w:t>
      </w:r>
      <w:r>
        <w:rPr>
          <w:sz w:val="16"/>
        </w:rPr>
        <w:t>e</w:t>
      </w:r>
      <w:r>
        <w:rPr>
          <w:spacing w:val="-24"/>
          <w:sz w:val="16"/>
        </w:rPr>
        <w:t> </w:t>
      </w:r>
      <w:r>
        <w:rPr>
          <w:spacing w:val="-5"/>
          <w:sz w:val="16"/>
        </w:rPr>
        <w:t>Energia,</w:t>
      </w:r>
      <w:r>
        <w:rPr>
          <w:spacing w:val="-23"/>
          <w:sz w:val="16"/>
        </w:rPr>
        <w:t> </w:t>
      </w:r>
      <w:r>
        <w:rPr>
          <w:spacing w:val="-4"/>
          <w:sz w:val="16"/>
        </w:rPr>
        <w:t>com</w:t>
      </w:r>
      <w:r>
        <w:rPr>
          <w:spacing w:val="-22"/>
          <w:sz w:val="16"/>
        </w:rPr>
        <w:t> </w:t>
      </w:r>
      <w:r>
        <w:rPr>
          <w:spacing w:val="-6"/>
          <w:sz w:val="16"/>
        </w:rPr>
        <w:t>fulcro</w:t>
      </w:r>
      <w:r>
        <w:rPr>
          <w:spacing w:val="-21"/>
          <w:sz w:val="16"/>
        </w:rPr>
        <w:t> </w:t>
      </w:r>
      <w:r>
        <w:rPr>
          <w:spacing w:val="-5"/>
          <w:sz w:val="16"/>
        </w:rPr>
        <w:t>na</w:t>
      </w:r>
      <w:r>
        <w:rPr>
          <w:spacing w:val="-20"/>
          <w:sz w:val="16"/>
        </w:rPr>
        <w:t> </w:t>
      </w:r>
      <w:r>
        <w:rPr>
          <w:spacing w:val="-4"/>
          <w:sz w:val="16"/>
        </w:rPr>
        <w:t>Lei</w:t>
      </w:r>
      <w:r>
        <w:rPr>
          <w:spacing w:val="-24"/>
          <w:sz w:val="16"/>
        </w:rPr>
        <w:t> </w:t>
      </w:r>
      <w:r>
        <w:rPr>
          <w:spacing w:val="-3"/>
          <w:sz w:val="16"/>
        </w:rPr>
        <w:t>nº </w:t>
      </w:r>
      <w:r>
        <w:rPr>
          <w:spacing w:val="-6"/>
          <w:sz w:val="16"/>
        </w:rPr>
        <w:t>12.783,</w:t>
      </w:r>
      <w:r>
        <w:rPr>
          <w:spacing w:val="-24"/>
          <w:sz w:val="16"/>
        </w:rPr>
        <w:t> </w:t>
      </w:r>
      <w:r>
        <w:rPr>
          <w:spacing w:val="-4"/>
          <w:sz w:val="16"/>
        </w:rPr>
        <w:t>de</w:t>
      </w:r>
      <w:r>
        <w:rPr>
          <w:spacing w:val="-24"/>
          <w:sz w:val="16"/>
        </w:rPr>
        <w:t> </w:t>
      </w:r>
      <w:r>
        <w:rPr>
          <w:spacing w:val="-3"/>
          <w:sz w:val="16"/>
        </w:rPr>
        <w:t>11</w:t>
      </w:r>
      <w:r>
        <w:rPr>
          <w:spacing w:val="-26"/>
          <w:sz w:val="16"/>
        </w:rPr>
        <w:t> </w:t>
      </w:r>
      <w:r>
        <w:rPr>
          <w:spacing w:val="-4"/>
          <w:sz w:val="16"/>
        </w:rPr>
        <w:t>de</w:t>
      </w:r>
      <w:r>
        <w:rPr>
          <w:spacing w:val="-23"/>
          <w:sz w:val="16"/>
        </w:rPr>
        <w:t> </w:t>
      </w:r>
      <w:r>
        <w:rPr>
          <w:spacing w:val="-6"/>
          <w:sz w:val="16"/>
        </w:rPr>
        <w:t>janeiro</w:t>
      </w:r>
      <w:r>
        <w:rPr>
          <w:spacing w:val="-23"/>
          <w:sz w:val="16"/>
        </w:rPr>
        <w:t> </w:t>
      </w:r>
      <w:r>
        <w:rPr>
          <w:spacing w:val="-4"/>
          <w:sz w:val="16"/>
        </w:rPr>
        <w:t>de</w:t>
      </w:r>
      <w:r>
        <w:rPr>
          <w:spacing w:val="-26"/>
          <w:sz w:val="16"/>
        </w:rPr>
        <w:t> </w:t>
      </w:r>
      <w:r>
        <w:rPr>
          <w:spacing w:val="-6"/>
          <w:sz w:val="16"/>
        </w:rPr>
        <w:t>2013;</w:t>
      </w:r>
      <w:r>
        <w:rPr>
          <w:spacing w:val="-23"/>
          <w:sz w:val="16"/>
        </w:rPr>
        <w:t> </w:t>
      </w:r>
      <w:r>
        <w:rPr>
          <w:spacing w:val="-5"/>
          <w:sz w:val="16"/>
        </w:rPr>
        <w:t>no</w:t>
      </w:r>
      <w:r>
        <w:rPr>
          <w:spacing w:val="-23"/>
          <w:sz w:val="16"/>
        </w:rPr>
        <w:t> </w:t>
      </w:r>
      <w:r>
        <w:rPr>
          <w:spacing w:val="-6"/>
          <w:sz w:val="16"/>
        </w:rPr>
        <w:t>Decreto</w:t>
      </w:r>
      <w:r>
        <w:rPr>
          <w:spacing w:val="-23"/>
          <w:sz w:val="16"/>
        </w:rPr>
        <w:t> </w:t>
      </w:r>
      <w:r>
        <w:rPr>
          <w:spacing w:val="-3"/>
          <w:sz w:val="16"/>
        </w:rPr>
        <w:t>nº</w:t>
      </w:r>
      <w:r>
        <w:rPr>
          <w:spacing w:val="-26"/>
          <w:sz w:val="16"/>
        </w:rPr>
        <w:t> </w:t>
      </w:r>
      <w:r>
        <w:rPr>
          <w:spacing w:val="-6"/>
          <w:sz w:val="16"/>
        </w:rPr>
        <w:t>7.805,</w:t>
      </w:r>
      <w:r>
        <w:rPr>
          <w:spacing w:val="-26"/>
          <w:sz w:val="16"/>
        </w:rPr>
        <w:t> </w:t>
      </w:r>
      <w:r>
        <w:rPr>
          <w:spacing w:val="-3"/>
          <w:sz w:val="16"/>
        </w:rPr>
        <w:t>de</w:t>
      </w:r>
      <w:r>
        <w:rPr>
          <w:spacing w:val="-26"/>
          <w:sz w:val="16"/>
        </w:rPr>
        <w:t> </w:t>
      </w:r>
      <w:r>
        <w:rPr>
          <w:spacing w:val="-3"/>
          <w:sz w:val="16"/>
        </w:rPr>
        <w:t>14</w:t>
      </w:r>
      <w:r>
        <w:rPr>
          <w:spacing w:val="-27"/>
          <w:sz w:val="16"/>
        </w:rPr>
        <w:t> </w:t>
      </w:r>
      <w:r>
        <w:rPr>
          <w:spacing w:val="-3"/>
          <w:sz w:val="16"/>
        </w:rPr>
        <w:t>de</w:t>
      </w:r>
      <w:r>
        <w:rPr>
          <w:spacing w:val="-26"/>
          <w:sz w:val="16"/>
        </w:rPr>
        <w:t> </w:t>
      </w:r>
      <w:r>
        <w:rPr>
          <w:spacing w:val="-6"/>
          <w:sz w:val="16"/>
        </w:rPr>
        <w:t>setembro</w:t>
      </w:r>
      <w:r>
        <w:rPr>
          <w:spacing w:val="-25"/>
          <w:sz w:val="16"/>
        </w:rPr>
        <w:t> </w:t>
      </w:r>
      <w:r>
        <w:rPr>
          <w:spacing w:val="-3"/>
          <w:sz w:val="16"/>
        </w:rPr>
        <w:t>de</w:t>
      </w:r>
      <w:r>
        <w:rPr>
          <w:spacing w:val="-26"/>
          <w:sz w:val="16"/>
        </w:rPr>
        <w:t> </w:t>
      </w:r>
      <w:r>
        <w:rPr>
          <w:spacing w:val="-5"/>
          <w:sz w:val="16"/>
        </w:rPr>
        <w:t>2012;</w:t>
      </w:r>
      <w:r>
        <w:rPr>
          <w:spacing w:val="-26"/>
          <w:sz w:val="16"/>
        </w:rPr>
        <w:t> </w:t>
      </w:r>
      <w:r>
        <w:rPr>
          <w:sz w:val="16"/>
        </w:rPr>
        <w:t>e</w:t>
      </w:r>
      <w:r>
        <w:rPr>
          <w:spacing w:val="-26"/>
          <w:sz w:val="16"/>
        </w:rPr>
        <w:t> </w:t>
      </w:r>
      <w:r>
        <w:rPr>
          <w:spacing w:val="-3"/>
          <w:sz w:val="16"/>
        </w:rPr>
        <w:t>no</w:t>
      </w:r>
      <w:r>
        <w:rPr>
          <w:spacing w:val="-26"/>
          <w:sz w:val="16"/>
        </w:rPr>
        <w:t> </w:t>
      </w:r>
      <w:r>
        <w:rPr>
          <w:spacing w:val="-5"/>
          <w:sz w:val="16"/>
        </w:rPr>
        <w:t>Decreto</w:t>
      </w:r>
      <w:r>
        <w:rPr>
          <w:spacing w:val="-23"/>
          <w:sz w:val="16"/>
        </w:rPr>
        <w:t> </w:t>
      </w:r>
      <w:r>
        <w:rPr>
          <w:spacing w:val="-5"/>
          <w:sz w:val="16"/>
        </w:rPr>
        <w:t>nº</w:t>
      </w:r>
      <w:r>
        <w:rPr>
          <w:spacing w:val="-23"/>
          <w:sz w:val="16"/>
        </w:rPr>
        <w:t> </w:t>
      </w:r>
      <w:r>
        <w:rPr>
          <w:spacing w:val="-6"/>
          <w:sz w:val="16"/>
        </w:rPr>
        <w:t>8.461,</w:t>
      </w:r>
      <w:r>
        <w:rPr>
          <w:spacing w:val="-24"/>
          <w:sz w:val="16"/>
        </w:rPr>
        <w:t> </w:t>
      </w:r>
      <w:r>
        <w:rPr>
          <w:spacing w:val="-4"/>
          <w:sz w:val="16"/>
        </w:rPr>
        <w:t>de</w:t>
      </w:r>
      <w:r>
        <w:rPr>
          <w:spacing w:val="-23"/>
          <w:sz w:val="16"/>
        </w:rPr>
        <w:t> </w:t>
      </w:r>
      <w:r>
        <w:rPr>
          <w:sz w:val="16"/>
        </w:rPr>
        <w:t>2</w:t>
      </w:r>
      <w:r>
        <w:rPr>
          <w:spacing w:val="-27"/>
          <w:sz w:val="16"/>
        </w:rPr>
        <w:t> </w:t>
      </w:r>
      <w:r>
        <w:rPr>
          <w:spacing w:val="-3"/>
          <w:sz w:val="16"/>
        </w:rPr>
        <w:t>de</w:t>
      </w:r>
      <w:r>
        <w:rPr>
          <w:spacing w:val="-26"/>
          <w:sz w:val="16"/>
        </w:rPr>
        <w:t> </w:t>
      </w:r>
      <w:r>
        <w:rPr>
          <w:spacing w:val="-6"/>
          <w:sz w:val="16"/>
        </w:rPr>
        <w:t>janeiro</w:t>
      </w:r>
      <w:r>
        <w:rPr>
          <w:spacing w:val="-25"/>
          <w:sz w:val="16"/>
        </w:rPr>
        <w:t> </w:t>
      </w:r>
      <w:r>
        <w:rPr>
          <w:spacing w:val="-3"/>
          <w:sz w:val="16"/>
        </w:rPr>
        <w:t>de</w:t>
      </w:r>
      <w:r>
        <w:rPr>
          <w:spacing w:val="-26"/>
          <w:sz w:val="16"/>
        </w:rPr>
        <w:t> </w:t>
      </w:r>
      <w:r>
        <w:rPr>
          <w:spacing w:val="-5"/>
          <w:sz w:val="16"/>
        </w:rPr>
        <w:t>2015.</w:t>
      </w:r>
    </w:p>
    <w:p>
      <w:pPr>
        <w:pStyle w:val="BodyText"/>
        <w:spacing w:before="7"/>
        <w:rPr>
          <w:sz w:val="21"/>
        </w:rPr>
      </w:pPr>
    </w:p>
    <w:p>
      <w:pPr>
        <w:pStyle w:val="Heading5"/>
        <w:numPr>
          <w:ilvl w:val="2"/>
          <w:numId w:val="10"/>
        </w:numPr>
        <w:tabs>
          <w:tab w:pos="1045" w:val="left" w:leader="none"/>
          <w:tab w:pos="1046" w:val="left" w:leader="none"/>
        </w:tabs>
        <w:spacing w:line="240" w:lineRule="auto" w:before="0" w:after="0"/>
        <w:ind w:left="1045" w:right="0" w:hanging="854"/>
        <w:jc w:val="left"/>
      </w:pPr>
      <w:r>
        <w:rPr/>
        <w:t>Participação de acionistas</w:t>
      </w:r>
      <w:r>
        <w:rPr>
          <w:spacing w:val="-3"/>
        </w:rPr>
        <w:t> </w:t>
      </w:r>
      <w:r>
        <w:rPr/>
        <w:t>não-controladores</w:t>
      </w:r>
    </w:p>
    <w:p>
      <w:pPr>
        <w:pStyle w:val="BodyText"/>
        <w:spacing w:before="10"/>
        <w:rPr>
          <w:rFonts w:ascii="Caladea"/>
          <w:b/>
          <w:sz w:val="23"/>
        </w:rPr>
      </w:pPr>
    </w:p>
    <w:p>
      <w:pPr>
        <w:pStyle w:val="BodyText"/>
        <w:spacing w:line="242" w:lineRule="auto"/>
        <w:ind w:left="192" w:right="610"/>
        <w:jc w:val="both"/>
      </w:pPr>
      <w:r>
        <w:rPr/>
        <w:t>É</w:t>
      </w:r>
      <w:r>
        <w:rPr>
          <w:spacing w:val="-18"/>
        </w:rPr>
        <w:t> </w:t>
      </w:r>
      <w:r>
        <w:rPr/>
        <w:t>registrado</w:t>
      </w:r>
      <w:r>
        <w:rPr>
          <w:spacing w:val="-18"/>
        </w:rPr>
        <w:t> </w:t>
      </w:r>
      <w:r>
        <w:rPr/>
        <w:t>como</w:t>
      </w:r>
      <w:r>
        <w:rPr>
          <w:spacing w:val="-18"/>
        </w:rPr>
        <w:t> </w:t>
      </w:r>
      <w:r>
        <w:rPr/>
        <w:t>transações</w:t>
      </w:r>
      <w:r>
        <w:rPr>
          <w:spacing w:val="-17"/>
        </w:rPr>
        <w:t> </w:t>
      </w:r>
      <w:r>
        <w:rPr/>
        <w:t>entre</w:t>
      </w:r>
      <w:r>
        <w:rPr>
          <w:spacing w:val="-19"/>
        </w:rPr>
        <w:t> </w:t>
      </w:r>
      <w:r>
        <w:rPr/>
        <w:t>acionistas.</w:t>
      </w:r>
      <w:r>
        <w:rPr>
          <w:spacing w:val="-18"/>
        </w:rPr>
        <w:t> </w:t>
      </w:r>
      <w:r>
        <w:rPr/>
        <w:t>Consequentemente,</w:t>
      </w:r>
      <w:r>
        <w:rPr>
          <w:spacing w:val="-16"/>
        </w:rPr>
        <w:t> </w:t>
      </w:r>
      <w:r>
        <w:rPr/>
        <w:t>nenhum</w:t>
      </w:r>
      <w:r>
        <w:rPr>
          <w:spacing w:val="-18"/>
        </w:rPr>
        <w:t> </w:t>
      </w:r>
      <w:r>
        <w:rPr/>
        <w:t>ágio</w:t>
      </w:r>
      <w:r>
        <w:rPr>
          <w:spacing w:val="-18"/>
        </w:rPr>
        <w:t> </w:t>
      </w:r>
      <w:r>
        <w:rPr/>
        <w:t>ou</w:t>
      </w:r>
      <w:r>
        <w:rPr>
          <w:spacing w:val="-11"/>
        </w:rPr>
        <w:t> </w:t>
      </w:r>
      <w:r>
        <w:rPr/>
        <w:t>deságio</w:t>
      </w:r>
      <w:r>
        <w:rPr>
          <w:spacing w:val="-17"/>
        </w:rPr>
        <w:t> </w:t>
      </w:r>
      <w:r>
        <w:rPr/>
        <w:t>é</w:t>
      </w:r>
      <w:r>
        <w:rPr>
          <w:spacing w:val="-18"/>
        </w:rPr>
        <w:t> </w:t>
      </w:r>
      <w:r>
        <w:rPr/>
        <w:t>reconhecido</w:t>
      </w:r>
      <w:r>
        <w:rPr>
          <w:spacing w:val="-18"/>
        </w:rPr>
        <w:t> </w:t>
      </w:r>
      <w:r>
        <w:rPr/>
        <w:t>como resultado</w:t>
      </w:r>
      <w:r>
        <w:rPr>
          <w:spacing w:val="-17"/>
        </w:rPr>
        <w:t> </w:t>
      </w:r>
      <w:r>
        <w:rPr/>
        <w:t>de</w:t>
      </w:r>
      <w:r>
        <w:rPr>
          <w:spacing w:val="-18"/>
        </w:rPr>
        <w:t> </w:t>
      </w:r>
      <w:r>
        <w:rPr/>
        <w:t>tais</w:t>
      </w:r>
      <w:r>
        <w:rPr>
          <w:spacing w:val="-18"/>
        </w:rPr>
        <w:t> </w:t>
      </w:r>
      <w:r>
        <w:rPr/>
        <w:t>transações.</w:t>
      </w:r>
    </w:p>
    <w:p>
      <w:pPr>
        <w:pStyle w:val="BodyText"/>
        <w:spacing w:before="7"/>
      </w:pPr>
    </w:p>
    <w:p>
      <w:pPr>
        <w:pStyle w:val="Heading5"/>
        <w:numPr>
          <w:ilvl w:val="2"/>
          <w:numId w:val="10"/>
        </w:numPr>
        <w:tabs>
          <w:tab w:pos="1045" w:val="left" w:leader="none"/>
          <w:tab w:pos="1046" w:val="left" w:leader="none"/>
        </w:tabs>
        <w:spacing w:line="240" w:lineRule="auto" w:before="0" w:after="0"/>
        <w:ind w:left="1045" w:right="0" w:hanging="854"/>
        <w:jc w:val="left"/>
      </w:pPr>
      <w:r>
        <w:rPr/>
        <w:t>Transações eliminadas na</w:t>
      </w:r>
      <w:r>
        <w:rPr>
          <w:spacing w:val="-7"/>
        </w:rPr>
        <w:t> </w:t>
      </w:r>
      <w:r>
        <w:rPr/>
        <w:t>consolidação</w:t>
      </w:r>
    </w:p>
    <w:p>
      <w:pPr>
        <w:pStyle w:val="BodyText"/>
        <w:spacing w:before="9"/>
        <w:rPr>
          <w:rFonts w:ascii="Caladea"/>
          <w:b/>
          <w:sz w:val="23"/>
        </w:rPr>
      </w:pPr>
    </w:p>
    <w:p>
      <w:pPr>
        <w:pStyle w:val="BodyText"/>
        <w:spacing w:line="242" w:lineRule="auto" w:before="1"/>
        <w:ind w:left="192" w:right="612"/>
        <w:jc w:val="both"/>
      </w:pPr>
      <w:r>
        <w:rPr/>
        <w:t>Saldos</w:t>
      </w:r>
      <w:r>
        <w:rPr>
          <w:spacing w:val="-37"/>
        </w:rPr>
        <w:t> </w:t>
      </w:r>
      <w:r>
        <w:rPr/>
        <w:t>e</w:t>
      </w:r>
      <w:r>
        <w:rPr>
          <w:spacing w:val="-36"/>
        </w:rPr>
        <w:t> </w:t>
      </w:r>
      <w:r>
        <w:rPr/>
        <w:t>transações</w:t>
      </w:r>
      <w:r>
        <w:rPr>
          <w:spacing w:val="-36"/>
        </w:rPr>
        <w:t> </w:t>
      </w:r>
      <w:r>
        <w:rPr/>
        <w:t>intragrupo</w:t>
      </w:r>
      <w:r>
        <w:rPr>
          <w:spacing w:val="-37"/>
        </w:rPr>
        <w:t> </w:t>
      </w:r>
      <w:r>
        <w:rPr/>
        <w:t>e</w:t>
      </w:r>
      <w:r>
        <w:rPr>
          <w:spacing w:val="-35"/>
        </w:rPr>
        <w:t> </w:t>
      </w:r>
      <w:r>
        <w:rPr/>
        <w:t>quaisquer</w:t>
      </w:r>
      <w:r>
        <w:rPr>
          <w:spacing w:val="-36"/>
        </w:rPr>
        <w:t> </w:t>
      </w:r>
      <w:r>
        <w:rPr/>
        <w:t>receitas</w:t>
      </w:r>
      <w:r>
        <w:rPr>
          <w:spacing w:val="-36"/>
        </w:rPr>
        <w:t> </w:t>
      </w:r>
      <w:r>
        <w:rPr/>
        <w:t>ou</w:t>
      </w:r>
      <w:r>
        <w:rPr>
          <w:spacing w:val="-36"/>
        </w:rPr>
        <w:t> </w:t>
      </w:r>
      <w:r>
        <w:rPr/>
        <w:t>despesas</w:t>
      </w:r>
      <w:r>
        <w:rPr>
          <w:spacing w:val="-36"/>
        </w:rPr>
        <w:t> </w:t>
      </w:r>
      <w:r>
        <w:rPr/>
        <w:t>derivadas</w:t>
      </w:r>
      <w:r>
        <w:rPr>
          <w:spacing w:val="-36"/>
        </w:rPr>
        <w:t> </w:t>
      </w:r>
      <w:r>
        <w:rPr/>
        <w:t>de</w:t>
      </w:r>
      <w:r>
        <w:rPr>
          <w:spacing w:val="-37"/>
        </w:rPr>
        <w:t> </w:t>
      </w:r>
      <w:r>
        <w:rPr/>
        <w:t>transações</w:t>
      </w:r>
      <w:r>
        <w:rPr>
          <w:spacing w:val="-36"/>
        </w:rPr>
        <w:t> </w:t>
      </w:r>
      <w:r>
        <w:rPr/>
        <w:t>intragrupo,</w:t>
      </w:r>
      <w:r>
        <w:rPr>
          <w:spacing w:val="-36"/>
        </w:rPr>
        <w:t> </w:t>
      </w:r>
      <w:r>
        <w:rPr/>
        <w:t>são</w:t>
      </w:r>
      <w:r>
        <w:rPr>
          <w:spacing w:val="-36"/>
        </w:rPr>
        <w:t> </w:t>
      </w:r>
      <w:r>
        <w:rPr/>
        <w:t>eliminados na</w:t>
      </w:r>
      <w:r>
        <w:rPr>
          <w:spacing w:val="-6"/>
        </w:rPr>
        <w:t> </w:t>
      </w:r>
      <w:r>
        <w:rPr/>
        <w:t>preparação</w:t>
      </w:r>
      <w:r>
        <w:rPr>
          <w:spacing w:val="-7"/>
        </w:rPr>
        <w:t> </w:t>
      </w:r>
      <w:r>
        <w:rPr/>
        <w:t>das</w:t>
      </w:r>
      <w:r>
        <w:rPr>
          <w:spacing w:val="-5"/>
        </w:rPr>
        <w:t> </w:t>
      </w:r>
      <w:r>
        <w:rPr/>
        <w:t>demonstrações</w:t>
      </w:r>
      <w:r>
        <w:rPr>
          <w:spacing w:val="-6"/>
        </w:rPr>
        <w:t> </w:t>
      </w:r>
      <w:r>
        <w:rPr/>
        <w:t>financeiras</w:t>
      </w:r>
      <w:r>
        <w:rPr>
          <w:spacing w:val="-6"/>
        </w:rPr>
        <w:t> </w:t>
      </w:r>
      <w:r>
        <w:rPr/>
        <w:t>consolidadas.</w:t>
      </w:r>
      <w:r>
        <w:rPr>
          <w:spacing w:val="-6"/>
        </w:rPr>
        <w:t> </w:t>
      </w:r>
      <w:r>
        <w:rPr/>
        <w:t>Ganhos</w:t>
      </w:r>
      <w:r>
        <w:rPr>
          <w:spacing w:val="-6"/>
        </w:rPr>
        <w:t> </w:t>
      </w:r>
      <w:r>
        <w:rPr/>
        <w:t>não</w:t>
      </w:r>
      <w:r>
        <w:rPr>
          <w:spacing w:val="-6"/>
        </w:rPr>
        <w:t> </w:t>
      </w:r>
      <w:r>
        <w:rPr/>
        <w:t>realizados</w:t>
      </w:r>
      <w:r>
        <w:rPr>
          <w:spacing w:val="-6"/>
        </w:rPr>
        <w:t> </w:t>
      </w:r>
      <w:r>
        <w:rPr/>
        <w:t>oriundos</w:t>
      </w:r>
      <w:r>
        <w:rPr>
          <w:spacing w:val="-5"/>
        </w:rPr>
        <w:t> </w:t>
      </w:r>
      <w:r>
        <w:rPr/>
        <w:t>de</w:t>
      </w:r>
      <w:r>
        <w:rPr>
          <w:spacing w:val="-7"/>
        </w:rPr>
        <w:t> </w:t>
      </w:r>
      <w:r>
        <w:rPr/>
        <w:t>transações</w:t>
      </w:r>
      <w:r>
        <w:rPr>
          <w:spacing w:val="-6"/>
        </w:rPr>
        <w:t> </w:t>
      </w:r>
      <w:r>
        <w:rPr/>
        <w:t>com </w:t>
      </w:r>
      <w:r>
        <w:rPr>
          <w:w w:val="95"/>
        </w:rPr>
        <w:t>companhias</w:t>
      </w:r>
      <w:r>
        <w:rPr>
          <w:spacing w:val="-10"/>
          <w:w w:val="95"/>
        </w:rPr>
        <w:t> </w:t>
      </w:r>
      <w:r>
        <w:rPr>
          <w:w w:val="95"/>
        </w:rPr>
        <w:t>investidas,</w:t>
      </w:r>
      <w:r>
        <w:rPr>
          <w:spacing w:val="-9"/>
          <w:w w:val="95"/>
        </w:rPr>
        <w:t> </w:t>
      </w:r>
      <w:r>
        <w:rPr>
          <w:w w:val="95"/>
        </w:rPr>
        <w:t>registradas</w:t>
      </w:r>
      <w:r>
        <w:rPr>
          <w:spacing w:val="-9"/>
          <w:w w:val="95"/>
        </w:rPr>
        <w:t> </w:t>
      </w:r>
      <w:r>
        <w:rPr>
          <w:w w:val="95"/>
        </w:rPr>
        <w:t>por</w:t>
      </w:r>
      <w:r>
        <w:rPr>
          <w:spacing w:val="-9"/>
          <w:w w:val="95"/>
        </w:rPr>
        <w:t> </w:t>
      </w:r>
      <w:r>
        <w:rPr>
          <w:w w:val="95"/>
        </w:rPr>
        <w:t>equivalência</w:t>
      </w:r>
      <w:r>
        <w:rPr>
          <w:spacing w:val="-5"/>
          <w:w w:val="95"/>
        </w:rPr>
        <w:t> </w:t>
      </w:r>
      <w:r>
        <w:rPr>
          <w:w w:val="95"/>
        </w:rPr>
        <w:t>patrimonial,</w:t>
      </w:r>
      <w:r>
        <w:rPr>
          <w:spacing w:val="-9"/>
          <w:w w:val="95"/>
        </w:rPr>
        <w:t> </w:t>
      </w:r>
      <w:r>
        <w:rPr>
          <w:w w:val="95"/>
        </w:rPr>
        <w:t>são</w:t>
      </w:r>
      <w:r>
        <w:rPr>
          <w:spacing w:val="-7"/>
          <w:w w:val="95"/>
        </w:rPr>
        <w:t> </w:t>
      </w:r>
      <w:r>
        <w:rPr>
          <w:w w:val="95"/>
        </w:rPr>
        <w:t>eliminados</w:t>
      </w:r>
      <w:r>
        <w:rPr>
          <w:spacing w:val="-7"/>
          <w:w w:val="95"/>
        </w:rPr>
        <w:t> </w:t>
      </w:r>
      <w:r>
        <w:rPr>
          <w:w w:val="95"/>
        </w:rPr>
        <w:t>contra</w:t>
      </w:r>
      <w:r>
        <w:rPr>
          <w:spacing w:val="-8"/>
          <w:w w:val="95"/>
        </w:rPr>
        <w:t> </w:t>
      </w:r>
      <w:r>
        <w:rPr>
          <w:w w:val="95"/>
        </w:rPr>
        <w:t>o</w:t>
      </w:r>
      <w:r>
        <w:rPr>
          <w:spacing w:val="-9"/>
          <w:w w:val="95"/>
        </w:rPr>
        <w:t> </w:t>
      </w:r>
      <w:r>
        <w:rPr>
          <w:w w:val="95"/>
        </w:rPr>
        <w:t>investimento</w:t>
      </w:r>
      <w:r>
        <w:rPr>
          <w:spacing w:val="-7"/>
          <w:w w:val="95"/>
        </w:rPr>
        <w:t> </w:t>
      </w:r>
      <w:r>
        <w:rPr>
          <w:w w:val="95"/>
        </w:rPr>
        <w:t>na</w:t>
      </w:r>
      <w:r>
        <w:rPr>
          <w:spacing w:val="-8"/>
          <w:w w:val="95"/>
        </w:rPr>
        <w:t> </w:t>
      </w:r>
      <w:r>
        <w:rPr>
          <w:w w:val="95"/>
        </w:rPr>
        <w:t>proporção </w:t>
      </w:r>
      <w:r>
        <w:rPr/>
        <w:t>da</w:t>
      </w:r>
      <w:r>
        <w:rPr>
          <w:spacing w:val="-43"/>
        </w:rPr>
        <w:t> </w:t>
      </w:r>
      <w:r>
        <w:rPr/>
        <w:t>participação</w:t>
      </w:r>
      <w:r>
        <w:rPr>
          <w:spacing w:val="-43"/>
        </w:rPr>
        <w:t> </w:t>
      </w:r>
      <w:r>
        <w:rPr/>
        <w:t>da</w:t>
      </w:r>
      <w:r>
        <w:rPr>
          <w:spacing w:val="-43"/>
        </w:rPr>
        <w:t> </w:t>
      </w:r>
      <w:r>
        <w:rPr/>
        <w:t>controladora</w:t>
      </w:r>
      <w:r>
        <w:rPr>
          <w:spacing w:val="-42"/>
        </w:rPr>
        <w:t> </w:t>
      </w:r>
      <w:r>
        <w:rPr/>
        <w:t>na</w:t>
      </w:r>
      <w:r>
        <w:rPr>
          <w:spacing w:val="-43"/>
        </w:rPr>
        <w:t> </w:t>
      </w:r>
      <w:r>
        <w:rPr/>
        <w:t>companhia</w:t>
      </w:r>
      <w:r>
        <w:rPr>
          <w:spacing w:val="-42"/>
        </w:rPr>
        <w:t> </w:t>
      </w:r>
      <w:r>
        <w:rPr/>
        <w:t>investida.</w:t>
      </w:r>
      <w:r>
        <w:rPr>
          <w:spacing w:val="-24"/>
        </w:rPr>
        <w:t> </w:t>
      </w:r>
      <w:r>
        <w:rPr/>
        <w:t>Prejuízos</w:t>
      </w:r>
      <w:r>
        <w:rPr>
          <w:spacing w:val="-41"/>
        </w:rPr>
        <w:t> </w:t>
      </w:r>
      <w:r>
        <w:rPr/>
        <w:t>não</w:t>
      </w:r>
      <w:r>
        <w:rPr>
          <w:spacing w:val="-43"/>
        </w:rPr>
        <w:t> </w:t>
      </w:r>
      <w:r>
        <w:rPr/>
        <w:t>realizados</w:t>
      </w:r>
      <w:r>
        <w:rPr>
          <w:spacing w:val="-43"/>
        </w:rPr>
        <w:t> </w:t>
      </w:r>
      <w:r>
        <w:rPr/>
        <w:t>são</w:t>
      </w:r>
      <w:r>
        <w:rPr>
          <w:spacing w:val="-42"/>
        </w:rPr>
        <w:t> </w:t>
      </w:r>
      <w:r>
        <w:rPr/>
        <w:t>eliminados</w:t>
      </w:r>
      <w:r>
        <w:rPr>
          <w:spacing w:val="-42"/>
        </w:rPr>
        <w:t> </w:t>
      </w:r>
      <w:r>
        <w:rPr/>
        <w:t>da</w:t>
      </w:r>
      <w:r>
        <w:rPr>
          <w:spacing w:val="-42"/>
        </w:rPr>
        <w:t> </w:t>
      </w:r>
      <w:r>
        <w:rPr/>
        <w:t>mesma</w:t>
      </w:r>
      <w:r>
        <w:rPr>
          <w:spacing w:val="-43"/>
        </w:rPr>
        <w:t> </w:t>
      </w:r>
      <w:r>
        <w:rPr/>
        <w:t>maneira como</w:t>
      </w:r>
      <w:r>
        <w:rPr>
          <w:spacing w:val="-19"/>
        </w:rPr>
        <w:t> </w:t>
      </w:r>
      <w:r>
        <w:rPr/>
        <w:t>são</w:t>
      </w:r>
      <w:r>
        <w:rPr>
          <w:spacing w:val="-18"/>
        </w:rPr>
        <w:t> </w:t>
      </w:r>
      <w:r>
        <w:rPr/>
        <w:t>eliminados</w:t>
      </w:r>
      <w:r>
        <w:rPr>
          <w:spacing w:val="-16"/>
        </w:rPr>
        <w:t> </w:t>
      </w:r>
      <w:r>
        <w:rPr/>
        <w:t>os</w:t>
      </w:r>
      <w:r>
        <w:rPr>
          <w:spacing w:val="-18"/>
        </w:rPr>
        <w:t> </w:t>
      </w:r>
      <w:r>
        <w:rPr/>
        <w:t>ganhos</w:t>
      </w:r>
      <w:r>
        <w:rPr>
          <w:spacing w:val="-17"/>
        </w:rPr>
        <w:t> </w:t>
      </w:r>
      <w:r>
        <w:rPr/>
        <w:t>não</w:t>
      </w:r>
      <w:r>
        <w:rPr>
          <w:spacing w:val="-18"/>
        </w:rPr>
        <w:t> </w:t>
      </w:r>
      <w:r>
        <w:rPr/>
        <w:t>realizados,</w:t>
      </w:r>
      <w:r>
        <w:rPr>
          <w:spacing w:val="-18"/>
        </w:rPr>
        <w:t> </w:t>
      </w:r>
      <w:r>
        <w:rPr/>
        <w:t>mas</w:t>
      </w:r>
      <w:r>
        <w:rPr>
          <w:spacing w:val="-17"/>
        </w:rPr>
        <w:t> </w:t>
      </w:r>
      <w:r>
        <w:rPr/>
        <w:t>somente</w:t>
      </w:r>
      <w:r>
        <w:rPr>
          <w:spacing w:val="-18"/>
        </w:rPr>
        <w:t> </w:t>
      </w:r>
      <w:r>
        <w:rPr/>
        <w:t>até</w:t>
      </w:r>
      <w:r>
        <w:rPr>
          <w:spacing w:val="-17"/>
        </w:rPr>
        <w:t> </w:t>
      </w:r>
      <w:r>
        <w:rPr/>
        <w:t>o</w:t>
      </w:r>
      <w:r>
        <w:rPr>
          <w:spacing w:val="-19"/>
        </w:rPr>
        <w:t> </w:t>
      </w:r>
      <w:r>
        <w:rPr/>
        <w:t>ponto</w:t>
      </w:r>
      <w:r>
        <w:rPr>
          <w:spacing w:val="-17"/>
        </w:rPr>
        <w:t> </w:t>
      </w:r>
      <w:r>
        <w:rPr/>
        <w:t>em</w:t>
      </w:r>
      <w:r>
        <w:rPr>
          <w:spacing w:val="-16"/>
        </w:rPr>
        <w:t> </w:t>
      </w:r>
      <w:r>
        <w:rPr/>
        <w:t>que</w:t>
      </w:r>
      <w:r>
        <w:rPr>
          <w:spacing w:val="-17"/>
        </w:rPr>
        <w:t> </w:t>
      </w:r>
      <w:r>
        <w:rPr/>
        <w:t>não</w:t>
      </w:r>
      <w:r>
        <w:rPr>
          <w:spacing w:val="-18"/>
        </w:rPr>
        <w:t> </w:t>
      </w:r>
      <w:r>
        <w:rPr/>
        <w:t>haja</w:t>
      </w:r>
      <w:r>
        <w:rPr>
          <w:spacing w:val="-18"/>
        </w:rPr>
        <w:t> </w:t>
      </w:r>
      <w:r>
        <w:rPr/>
        <w:t>evidência</w:t>
      </w:r>
      <w:r>
        <w:rPr>
          <w:spacing w:val="-17"/>
        </w:rPr>
        <w:t> </w:t>
      </w:r>
      <w:r>
        <w:rPr/>
        <w:t>de</w:t>
      </w:r>
      <w:r>
        <w:rPr>
          <w:spacing w:val="-18"/>
        </w:rPr>
        <w:t> </w:t>
      </w:r>
      <w:r>
        <w:rPr/>
        <w:t>perda</w:t>
      </w:r>
      <w:r>
        <w:rPr>
          <w:spacing w:val="-16"/>
        </w:rPr>
        <w:t> </w:t>
      </w:r>
      <w:r>
        <w:rPr/>
        <w:t>por redução</w:t>
      </w:r>
      <w:r>
        <w:rPr>
          <w:spacing w:val="-19"/>
        </w:rPr>
        <w:t> </w:t>
      </w:r>
      <w:r>
        <w:rPr/>
        <w:t>ao</w:t>
      </w:r>
      <w:r>
        <w:rPr>
          <w:spacing w:val="-16"/>
        </w:rPr>
        <w:t> </w:t>
      </w:r>
      <w:r>
        <w:rPr/>
        <w:t>valor</w:t>
      </w:r>
      <w:r>
        <w:rPr>
          <w:spacing w:val="-17"/>
        </w:rPr>
        <w:t> </w:t>
      </w:r>
      <w:r>
        <w:rPr/>
        <w:t>recuperável.</w:t>
      </w:r>
    </w:p>
    <w:p>
      <w:pPr>
        <w:pStyle w:val="BodyText"/>
        <w:spacing w:before="5"/>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C</w:t>
      </w:r>
      <w:r>
        <w:rPr>
          <w:rFonts w:ascii="Caladea" w:hAnsi="Caladea"/>
          <w:b/>
          <w:sz w:val="18"/>
        </w:rPr>
        <w:t>ONVERSÃO DE MOEDA ESTRANGEIRA</w:t>
      </w:r>
    </w:p>
    <w:p>
      <w:pPr>
        <w:pStyle w:val="BodyText"/>
        <w:spacing w:before="10"/>
        <w:rPr>
          <w:rFonts w:ascii="Caladea"/>
          <w:b/>
          <w:sz w:val="23"/>
        </w:rPr>
      </w:pPr>
    </w:p>
    <w:p>
      <w:pPr>
        <w:pStyle w:val="Heading5"/>
        <w:numPr>
          <w:ilvl w:val="2"/>
          <w:numId w:val="16"/>
        </w:numPr>
        <w:tabs>
          <w:tab w:pos="1045" w:val="left" w:leader="none"/>
          <w:tab w:pos="1046" w:val="left" w:leader="none"/>
        </w:tabs>
        <w:spacing w:line="240" w:lineRule="auto" w:before="0" w:after="0"/>
        <w:ind w:left="1045" w:right="0" w:hanging="854"/>
        <w:jc w:val="left"/>
      </w:pPr>
      <w:r>
        <w:rPr/>
        <w:t>Moeda funcional e moeda de</w:t>
      </w:r>
      <w:r>
        <w:rPr>
          <w:spacing w:val="-7"/>
        </w:rPr>
        <w:t> </w:t>
      </w:r>
      <w:r>
        <w:rPr/>
        <w:t>apresentação</w:t>
      </w:r>
    </w:p>
    <w:p>
      <w:pPr>
        <w:pStyle w:val="BodyText"/>
        <w:spacing w:before="10"/>
        <w:rPr>
          <w:rFonts w:ascii="Caladea"/>
          <w:b/>
          <w:sz w:val="23"/>
        </w:rPr>
      </w:pPr>
    </w:p>
    <w:p>
      <w:pPr>
        <w:pStyle w:val="BodyText"/>
        <w:spacing w:line="242" w:lineRule="auto"/>
        <w:ind w:left="192" w:right="613"/>
        <w:jc w:val="both"/>
      </w:pPr>
      <w:r>
        <w:rPr/>
        <w:t>Os</w:t>
      </w:r>
      <w:r>
        <w:rPr>
          <w:spacing w:val="-11"/>
        </w:rPr>
        <w:t> </w:t>
      </w:r>
      <w:r>
        <w:rPr/>
        <w:t>itens</w:t>
      </w:r>
      <w:r>
        <w:rPr>
          <w:spacing w:val="-7"/>
        </w:rPr>
        <w:t> </w:t>
      </w:r>
      <w:r>
        <w:rPr/>
        <w:t>incluídos</w:t>
      </w:r>
      <w:r>
        <w:rPr>
          <w:spacing w:val="-8"/>
        </w:rPr>
        <w:t> </w:t>
      </w:r>
      <w:r>
        <w:rPr/>
        <w:t>nas</w:t>
      </w:r>
      <w:r>
        <w:rPr>
          <w:spacing w:val="-10"/>
        </w:rPr>
        <w:t> </w:t>
      </w:r>
      <w:r>
        <w:rPr/>
        <w:t>demonstrações</w:t>
      </w:r>
      <w:r>
        <w:rPr>
          <w:spacing w:val="-8"/>
        </w:rPr>
        <w:t> </w:t>
      </w:r>
      <w:r>
        <w:rPr/>
        <w:t>financeiras</w:t>
      </w:r>
      <w:r>
        <w:rPr>
          <w:spacing w:val="-10"/>
        </w:rPr>
        <w:t> </w:t>
      </w:r>
      <w:r>
        <w:rPr/>
        <w:t>de</w:t>
      </w:r>
      <w:r>
        <w:rPr>
          <w:spacing w:val="-10"/>
        </w:rPr>
        <w:t> </w:t>
      </w:r>
      <w:r>
        <w:rPr/>
        <w:t>cada</w:t>
      </w:r>
      <w:r>
        <w:rPr>
          <w:spacing w:val="-9"/>
        </w:rPr>
        <w:t> </w:t>
      </w:r>
      <w:r>
        <w:rPr/>
        <w:t>uma</w:t>
      </w:r>
      <w:r>
        <w:rPr>
          <w:spacing w:val="-10"/>
        </w:rPr>
        <w:t> </w:t>
      </w:r>
      <w:r>
        <w:rPr/>
        <w:t>das</w:t>
      </w:r>
      <w:r>
        <w:rPr>
          <w:spacing w:val="-7"/>
        </w:rPr>
        <w:t> </w:t>
      </w:r>
      <w:r>
        <w:rPr/>
        <w:t>empresas</w:t>
      </w:r>
      <w:r>
        <w:rPr>
          <w:spacing w:val="-11"/>
        </w:rPr>
        <w:t> </w:t>
      </w:r>
      <w:r>
        <w:rPr/>
        <w:t>do</w:t>
      </w:r>
      <w:r>
        <w:rPr>
          <w:spacing w:val="-10"/>
        </w:rPr>
        <w:t> </w:t>
      </w:r>
      <w:r>
        <w:rPr/>
        <w:t>Grupo</w:t>
      </w:r>
      <w:r>
        <w:rPr>
          <w:spacing w:val="-10"/>
        </w:rPr>
        <w:t> </w:t>
      </w:r>
      <w:r>
        <w:rPr/>
        <w:t>são</w:t>
      </w:r>
      <w:r>
        <w:rPr>
          <w:spacing w:val="-8"/>
        </w:rPr>
        <w:t> </w:t>
      </w:r>
      <w:r>
        <w:rPr/>
        <w:t>mensurados</w:t>
      </w:r>
      <w:r>
        <w:rPr>
          <w:spacing w:val="-11"/>
        </w:rPr>
        <w:t> </w:t>
      </w:r>
      <w:r>
        <w:rPr/>
        <w:t>usando</w:t>
      </w:r>
      <w:r>
        <w:rPr>
          <w:spacing w:val="-10"/>
        </w:rPr>
        <w:t> </w:t>
      </w:r>
      <w:r>
        <w:rPr/>
        <w:t>a </w:t>
      </w:r>
      <w:r>
        <w:rPr>
          <w:w w:val="96"/>
        </w:rPr>
        <w:t>mo</w:t>
      </w:r>
      <w:r>
        <w:rPr>
          <w:spacing w:val="-2"/>
          <w:w w:val="96"/>
        </w:rPr>
        <w:t>e</w:t>
      </w:r>
      <w:r>
        <w:rPr>
          <w:w w:val="95"/>
        </w:rPr>
        <w:t>da</w:t>
      </w:r>
      <w:r>
        <w:rPr>
          <w:spacing w:val="-21"/>
        </w:rPr>
        <w:t> </w:t>
      </w:r>
      <w:r>
        <w:rPr>
          <w:w w:val="98"/>
        </w:rPr>
        <w:t>do</w:t>
      </w:r>
      <w:r>
        <w:rPr>
          <w:spacing w:val="-25"/>
        </w:rPr>
        <w:t> </w:t>
      </w:r>
      <w:r>
        <w:rPr>
          <w:spacing w:val="1"/>
          <w:w w:val="99"/>
        </w:rPr>
        <w:t>p</w:t>
      </w:r>
      <w:r>
        <w:rPr>
          <w:spacing w:val="-1"/>
          <w:w w:val="105"/>
        </w:rPr>
        <w:t>r</w:t>
      </w:r>
      <w:r>
        <w:rPr>
          <w:w w:val="100"/>
        </w:rPr>
        <w:t>i</w:t>
      </w:r>
      <w:r>
        <w:rPr>
          <w:spacing w:val="-1"/>
          <w:w w:val="100"/>
        </w:rPr>
        <w:t>n</w:t>
      </w:r>
      <w:r>
        <w:rPr>
          <w:w w:val="88"/>
        </w:rPr>
        <w:t>c</w:t>
      </w:r>
      <w:r>
        <w:rPr>
          <w:spacing w:val="2"/>
          <w:w w:val="97"/>
        </w:rPr>
        <w:t>i</w:t>
      </w:r>
      <w:r>
        <w:rPr>
          <w:spacing w:val="-1"/>
          <w:w w:val="96"/>
        </w:rPr>
        <w:t>p</w:t>
      </w:r>
      <w:r>
        <w:rPr>
          <w:w w:val="96"/>
        </w:rPr>
        <w:t>a</w:t>
      </w:r>
      <w:r>
        <w:rPr>
          <w:w w:val="91"/>
        </w:rPr>
        <w:t>l</w:t>
      </w:r>
      <w:r>
        <w:rPr>
          <w:spacing w:val="-24"/>
        </w:rPr>
        <w:t> </w:t>
      </w:r>
      <w:r>
        <w:rPr>
          <w:w w:val="92"/>
        </w:rPr>
        <w:t>a</w:t>
      </w:r>
      <w:r>
        <w:rPr>
          <w:w w:val="99"/>
        </w:rPr>
        <w:t>m</w:t>
      </w:r>
      <w:r>
        <w:rPr>
          <w:spacing w:val="-2"/>
          <w:w w:val="99"/>
        </w:rPr>
        <w:t>b</w:t>
      </w:r>
      <w:r>
        <w:rPr>
          <w:spacing w:val="2"/>
          <w:w w:val="97"/>
        </w:rPr>
        <w:t>i</w:t>
      </w:r>
      <w:r>
        <w:rPr>
          <w:spacing w:val="-2"/>
          <w:w w:val="89"/>
        </w:rPr>
        <w:t>e</w:t>
      </w:r>
      <w:r>
        <w:rPr>
          <w:spacing w:val="-1"/>
          <w:w w:val="101"/>
        </w:rPr>
        <w:t>n</w:t>
      </w:r>
      <w:r>
        <w:rPr>
          <w:spacing w:val="1"/>
          <w:w w:val="85"/>
        </w:rPr>
        <w:t>t</w:t>
      </w:r>
      <w:r>
        <w:rPr>
          <w:w w:val="89"/>
        </w:rPr>
        <w:t>e</w:t>
      </w:r>
      <w:r>
        <w:rPr>
          <w:spacing w:val="-26"/>
        </w:rPr>
        <w:t> </w:t>
      </w:r>
      <w:r>
        <w:rPr>
          <w:spacing w:val="-2"/>
          <w:w w:val="89"/>
        </w:rPr>
        <w:t>e</w:t>
      </w:r>
      <w:r>
        <w:rPr>
          <w:w w:val="88"/>
        </w:rPr>
        <w:t>c</w:t>
      </w:r>
      <w:r>
        <w:rPr>
          <w:spacing w:val="2"/>
          <w:w w:val="98"/>
        </w:rPr>
        <w:t>o</w:t>
      </w:r>
      <w:r>
        <w:rPr>
          <w:spacing w:val="-1"/>
          <w:w w:val="101"/>
        </w:rPr>
        <w:t>n</w:t>
      </w:r>
      <w:r>
        <w:rPr>
          <w:spacing w:val="2"/>
          <w:w w:val="98"/>
        </w:rPr>
        <w:t>ô</w:t>
      </w:r>
      <w:r>
        <w:rPr>
          <w:w w:val="95"/>
        </w:rPr>
        <w:t>mic</w:t>
      </w:r>
      <w:r>
        <w:rPr>
          <w:w w:val="98"/>
        </w:rPr>
        <w:t>o</w:t>
      </w:r>
      <w:r>
        <w:rPr>
          <w:spacing w:val="-25"/>
        </w:rPr>
        <w:t> </w:t>
      </w:r>
      <w:r>
        <w:rPr>
          <w:spacing w:val="1"/>
          <w:w w:val="101"/>
        </w:rPr>
        <w:t>n</w:t>
      </w:r>
      <w:r>
        <w:rPr>
          <w:w w:val="98"/>
        </w:rPr>
        <w:t>o</w:t>
      </w:r>
      <w:r>
        <w:rPr>
          <w:spacing w:val="-25"/>
        </w:rPr>
        <w:t> </w:t>
      </w:r>
      <w:r>
        <w:rPr>
          <w:spacing w:val="-1"/>
          <w:w w:val="97"/>
        </w:rPr>
        <w:t>q</w:t>
      </w:r>
      <w:r>
        <w:rPr>
          <w:spacing w:val="-1"/>
          <w:w w:val="96"/>
        </w:rPr>
        <w:t>u</w:t>
      </w:r>
      <w:r>
        <w:rPr>
          <w:spacing w:val="1"/>
          <w:w w:val="96"/>
        </w:rPr>
        <w:t>a</w:t>
      </w:r>
      <w:r>
        <w:rPr>
          <w:w w:val="91"/>
        </w:rPr>
        <w:t>l</w:t>
      </w:r>
      <w:r>
        <w:rPr>
          <w:spacing w:val="-24"/>
        </w:rPr>
        <w:t> </w:t>
      </w:r>
      <w:r>
        <w:rPr>
          <w:w w:val="92"/>
        </w:rPr>
        <w:t>a</w:t>
      </w:r>
      <w:r>
        <w:rPr>
          <w:spacing w:val="-24"/>
        </w:rPr>
        <w:t> </w:t>
      </w:r>
      <w:r>
        <w:rPr>
          <w:spacing w:val="1"/>
          <w:w w:val="89"/>
        </w:rPr>
        <w:t>e</w:t>
      </w:r>
      <w:r>
        <w:rPr>
          <w:w w:val="99"/>
        </w:rPr>
        <w:t>m</w:t>
      </w:r>
      <w:r>
        <w:rPr>
          <w:spacing w:val="1"/>
          <w:w w:val="99"/>
        </w:rPr>
        <w:t>p</w:t>
      </w:r>
      <w:r>
        <w:rPr>
          <w:spacing w:val="-1"/>
          <w:w w:val="105"/>
        </w:rPr>
        <w:t>r</w:t>
      </w:r>
      <w:r>
        <w:rPr>
          <w:spacing w:val="1"/>
          <w:w w:val="89"/>
        </w:rPr>
        <w:t>e</w:t>
      </w:r>
      <w:r>
        <w:rPr>
          <w:w w:val="105"/>
        </w:rPr>
        <w:t>s</w:t>
      </w:r>
      <w:r>
        <w:rPr>
          <w:w w:val="92"/>
        </w:rPr>
        <w:t>a</w:t>
      </w:r>
      <w:r>
        <w:rPr>
          <w:spacing w:val="-24"/>
        </w:rPr>
        <w:t> </w:t>
      </w:r>
      <w:r>
        <w:rPr>
          <w:w w:val="92"/>
        </w:rPr>
        <w:t>a</w:t>
      </w:r>
      <w:r>
        <w:rPr>
          <w:spacing w:val="-1"/>
          <w:w w:val="93"/>
        </w:rPr>
        <w:t>tu</w:t>
      </w:r>
      <w:r>
        <w:rPr>
          <w:w w:val="93"/>
        </w:rPr>
        <w:t>a</w:t>
      </w:r>
      <w:r>
        <w:rPr>
          <w:spacing w:val="-23"/>
        </w:rPr>
        <w:t> </w:t>
      </w:r>
      <w:r>
        <w:rPr>
          <w:w w:val="103"/>
        </w:rPr>
        <w:t>(</w:t>
      </w:r>
      <w:r>
        <w:rPr>
          <w:w w:val="120"/>
        </w:rPr>
        <w:t>"</w:t>
      </w:r>
      <w:r>
        <w:rPr>
          <w:w w:val="92"/>
        </w:rPr>
        <w:t>a</w:t>
      </w:r>
      <w:r>
        <w:rPr>
          <w:spacing w:val="-24"/>
        </w:rPr>
        <w:t> </w:t>
      </w:r>
      <w:r>
        <w:rPr>
          <w:w w:val="96"/>
        </w:rPr>
        <w:t>mo</w:t>
      </w:r>
      <w:r>
        <w:rPr>
          <w:spacing w:val="-2"/>
          <w:w w:val="96"/>
        </w:rPr>
        <w:t>e</w:t>
      </w:r>
      <w:r>
        <w:rPr>
          <w:w w:val="95"/>
        </w:rPr>
        <w:t>da</w:t>
      </w:r>
      <w:r>
        <w:rPr>
          <w:spacing w:val="-24"/>
        </w:rPr>
        <w:t> </w:t>
      </w:r>
      <w:r>
        <w:rPr>
          <w:w w:val="96"/>
        </w:rPr>
        <w:t>fu</w:t>
      </w:r>
      <w:r>
        <w:rPr>
          <w:spacing w:val="-1"/>
          <w:w w:val="96"/>
        </w:rPr>
        <w:t>n</w:t>
      </w:r>
      <w:r>
        <w:rPr>
          <w:w w:val="88"/>
        </w:rPr>
        <w:t>c</w:t>
      </w:r>
      <w:r>
        <w:rPr>
          <w:w w:val="98"/>
        </w:rPr>
        <w:t>i</w:t>
      </w:r>
      <w:r>
        <w:rPr>
          <w:spacing w:val="1"/>
          <w:w w:val="98"/>
        </w:rPr>
        <w:t>o</w:t>
      </w:r>
      <w:r>
        <w:rPr>
          <w:spacing w:val="-1"/>
          <w:w w:val="101"/>
        </w:rPr>
        <w:t>n</w:t>
      </w:r>
      <w:r>
        <w:rPr>
          <w:w w:val="92"/>
        </w:rPr>
        <w:t>a</w:t>
      </w:r>
      <w:r>
        <w:rPr>
          <w:w w:val="91"/>
        </w:rPr>
        <w:t>l</w:t>
      </w:r>
      <w:r>
        <w:rPr>
          <w:w w:val="120"/>
        </w:rPr>
        <w:t>"</w:t>
      </w:r>
      <w:r>
        <w:rPr>
          <w:w w:val="103"/>
        </w:rPr>
        <w:t>)</w:t>
      </w:r>
      <w:r>
        <w:rPr>
          <w:w w:val="55"/>
        </w:rPr>
        <w:t>.</w:t>
      </w:r>
      <w:r>
        <w:rPr>
          <w:spacing w:val="-25"/>
        </w:rPr>
        <w:t> </w:t>
      </w:r>
      <w:r>
        <w:rPr>
          <w:w w:val="105"/>
        </w:rPr>
        <w:t>A</w:t>
      </w:r>
      <w:r>
        <w:rPr>
          <w:w w:val="105"/>
        </w:rPr>
        <w:t>s</w:t>
      </w:r>
      <w:r>
        <w:rPr>
          <w:spacing w:val="-24"/>
        </w:rPr>
        <w:t> </w:t>
      </w:r>
      <w:r>
        <w:rPr>
          <w:w w:val="94"/>
        </w:rPr>
        <w:t>d</w:t>
      </w:r>
      <w:r>
        <w:rPr>
          <w:spacing w:val="-2"/>
          <w:w w:val="94"/>
        </w:rPr>
        <w:t>e</w:t>
      </w:r>
      <w:r>
        <w:rPr>
          <w:w w:val="99"/>
        </w:rPr>
        <w:t>m</w:t>
      </w:r>
      <w:r>
        <w:rPr>
          <w:spacing w:val="1"/>
          <w:w w:val="99"/>
        </w:rPr>
        <w:t>o</w:t>
      </w:r>
      <w:r>
        <w:rPr>
          <w:spacing w:val="-1"/>
          <w:w w:val="101"/>
        </w:rPr>
        <w:t>n</w:t>
      </w:r>
      <w:r>
        <w:rPr>
          <w:w w:val="105"/>
        </w:rPr>
        <w:t>s</w:t>
      </w:r>
      <w:r>
        <w:rPr>
          <w:spacing w:val="-1"/>
          <w:w w:val="95"/>
        </w:rPr>
        <w:t>t</w:t>
      </w:r>
      <w:r>
        <w:rPr>
          <w:spacing w:val="-2"/>
          <w:w w:val="95"/>
        </w:rPr>
        <w:t>r</w:t>
      </w:r>
      <w:r>
        <w:rPr>
          <w:w w:val="92"/>
        </w:rPr>
        <w:t>a</w:t>
      </w:r>
      <w:r>
        <w:rPr>
          <w:w w:val="88"/>
        </w:rPr>
        <w:t>ç</w:t>
      </w:r>
      <w:r>
        <w:rPr>
          <w:spacing w:val="2"/>
          <w:w w:val="98"/>
        </w:rPr>
        <w:t>õ</w:t>
      </w:r>
      <w:r>
        <w:rPr>
          <w:spacing w:val="-2"/>
          <w:w w:val="89"/>
        </w:rPr>
        <w:t>e</w:t>
      </w:r>
      <w:r>
        <w:rPr>
          <w:w w:val="105"/>
        </w:rPr>
        <w:t>s</w:t>
      </w:r>
      <w:r>
        <w:rPr>
          <w:spacing w:val="-24"/>
        </w:rPr>
        <w:t> </w:t>
      </w:r>
      <w:r>
        <w:rPr>
          <w:w w:val="88"/>
        </w:rPr>
        <w:t>f</w:t>
      </w:r>
      <w:r>
        <w:rPr>
          <w:spacing w:val="1"/>
          <w:w w:val="88"/>
        </w:rPr>
        <w:t>i</w:t>
      </w:r>
      <w:r>
        <w:rPr>
          <w:spacing w:val="-1"/>
          <w:w w:val="101"/>
        </w:rPr>
        <w:t>n</w:t>
      </w:r>
      <w:r>
        <w:rPr>
          <w:w w:val="92"/>
        </w:rPr>
        <w:t>a</w:t>
      </w:r>
      <w:r>
        <w:rPr>
          <w:spacing w:val="-1"/>
          <w:w w:val="101"/>
        </w:rPr>
        <w:t>n</w:t>
      </w:r>
      <w:r>
        <w:rPr>
          <w:w w:val="88"/>
        </w:rPr>
        <w:t>c</w:t>
      </w:r>
      <w:r>
        <w:rPr>
          <w:spacing w:val="-2"/>
          <w:w w:val="89"/>
        </w:rPr>
        <w:t>e</w:t>
      </w:r>
      <w:r>
        <w:rPr>
          <w:spacing w:val="2"/>
          <w:w w:val="97"/>
        </w:rPr>
        <w:t>i</w:t>
      </w:r>
      <w:r>
        <w:rPr>
          <w:spacing w:val="-1"/>
          <w:w w:val="105"/>
        </w:rPr>
        <w:t>r</w:t>
      </w:r>
      <w:r>
        <w:rPr>
          <w:w w:val="92"/>
        </w:rPr>
        <w:t>a</w:t>
      </w:r>
      <w:r>
        <w:rPr>
          <w:w w:val="105"/>
        </w:rPr>
        <w:t>s </w:t>
      </w:r>
      <w:r>
        <w:rPr/>
        <w:t>individuais</w:t>
      </w:r>
      <w:r>
        <w:rPr>
          <w:spacing w:val="-35"/>
        </w:rPr>
        <w:t> </w:t>
      </w:r>
      <w:r>
        <w:rPr/>
        <w:t>e</w:t>
      </w:r>
      <w:r>
        <w:rPr>
          <w:spacing w:val="-36"/>
        </w:rPr>
        <w:t> </w:t>
      </w:r>
      <w:r>
        <w:rPr/>
        <w:t>consolidadas</w:t>
      </w:r>
      <w:r>
        <w:rPr>
          <w:spacing w:val="-35"/>
        </w:rPr>
        <w:t> </w:t>
      </w:r>
      <w:r>
        <w:rPr/>
        <w:t>estão</w:t>
      </w:r>
      <w:r>
        <w:rPr>
          <w:spacing w:val="-36"/>
        </w:rPr>
        <w:t> </w:t>
      </w:r>
      <w:r>
        <w:rPr/>
        <w:t>apresentadas</w:t>
      </w:r>
      <w:r>
        <w:rPr>
          <w:spacing w:val="-35"/>
        </w:rPr>
        <w:t> </w:t>
      </w:r>
      <w:r>
        <w:rPr/>
        <w:t>em</w:t>
      </w:r>
      <w:r>
        <w:rPr>
          <w:spacing w:val="-34"/>
        </w:rPr>
        <w:t> </w:t>
      </w:r>
      <w:r>
        <w:rPr/>
        <w:t>Real,</w:t>
      </w:r>
      <w:r>
        <w:rPr>
          <w:spacing w:val="-35"/>
        </w:rPr>
        <w:t> </w:t>
      </w:r>
      <w:r>
        <w:rPr/>
        <w:t>que</w:t>
      </w:r>
      <w:r>
        <w:rPr>
          <w:spacing w:val="-35"/>
        </w:rPr>
        <w:t> </w:t>
      </w:r>
      <w:r>
        <w:rPr/>
        <w:t>é</w:t>
      </w:r>
      <w:r>
        <w:rPr>
          <w:spacing w:val="-37"/>
        </w:rPr>
        <w:t> </w:t>
      </w:r>
      <w:r>
        <w:rPr/>
        <w:t>a</w:t>
      </w:r>
      <w:r>
        <w:rPr>
          <w:spacing w:val="-35"/>
        </w:rPr>
        <w:t> </w:t>
      </w:r>
      <w:r>
        <w:rPr/>
        <w:t>moeda</w:t>
      </w:r>
      <w:r>
        <w:rPr>
          <w:spacing w:val="-36"/>
        </w:rPr>
        <w:t> </w:t>
      </w:r>
      <w:r>
        <w:rPr/>
        <w:t>funcional</w:t>
      </w:r>
      <w:r>
        <w:rPr>
          <w:spacing w:val="-36"/>
        </w:rPr>
        <w:t> </w:t>
      </w:r>
      <w:r>
        <w:rPr/>
        <w:t>da</w:t>
      </w:r>
      <w:r>
        <w:rPr>
          <w:spacing w:val="-34"/>
        </w:rPr>
        <w:t> </w:t>
      </w:r>
      <w:r>
        <w:rPr/>
        <w:t>Companhia</w:t>
      </w:r>
      <w:r>
        <w:rPr>
          <w:spacing w:val="-34"/>
        </w:rPr>
        <w:t> </w:t>
      </w:r>
      <w:r>
        <w:rPr/>
        <w:t>e,</w:t>
      </w:r>
      <w:r>
        <w:rPr>
          <w:spacing w:val="-36"/>
        </w:rPr>
        <w:t> </w:t>
      </w:r>
      <w:r>
        <w:rPr/>
        <w:t>também,</w:t>
      </w:r>
      <w:r>
        <w:rPr>
          <w:spacing w:val="-36"/>
        </w:rPr>
        <w:t> </w:t>
      </w:r>
      <w:r>
        <w:rPr/>
        <w:t>a</w:t>
      </w:r>
      <w:r>
        <w:rPr>
          <w:spacing w:val="-36"/>
        </w:rPr>
        <w:t> </w:t>
      </w:r>
      <w:r>
        <w:rPr/>
        <w:t>moeda de</w:t>
      </w:r>
      <w:r>
        <w:rPr>
          <w:spacing w:val="-20"/>
        </w:rPr>
        <w:t> </w:t>
      </w:r>
      <w:r>
        <w:rPr/>
        <w:t>apresentação</w:t>
      </w:r>
      <w:r>
        <w:rPr>
          <w:spacing w:val="-19"/>
        </w:rPr>
        <w:t> </w:t>
      </w:r>
      <w:r>
        <w:rPr/>
        <w:t>do</w:t>
      </w:r>
      <w:r>
        <w:rPr>
          <w:spacing w:val="-18"/>
        </w:rPr>
        <w:t> </w:t>
      </w:r>
      <w:r>
        <w:rPr/>
        <w:t>Grupo.</w:t>
      </w:r>
    </w:p>
    <w:p>
      <w:pPr>
        <w:spacing w:after="0" w:line="242" w:lineRule="auto"/>
        <w:jc w:val="both"/>
        <w:sectPr>
          <w:pgSz w:w="11910" w:h="16850"/>
          <w:pgMar w:header="792" w:footer="1193" w:top="1360" w:bottom="1380" w:left="940" w:right="240"/>
        </w:sectPr>
      </w:pPr>
    </w:p>
    <w:p>
      <w:pPr>
        <w:pStyle w:val="Heading5"/>
        <w:numPr>
          <w:ilvl w:val="2"/>
          <w:numId w:val="16"/>
        </w:numPr>
        <w:tabs>
          <w:tab w:pos="1045" w:val="left" w:leader="none"/>
          <w:tab w:pos="1046" w:val="left" w:leader="none"/>
        </w:tabs>
        <w:spacing w:line="240" w:lineRule="auto" w:before="48" w:after="0"/>
        <w:ind w:left="1045" w:right="0" w:hanging="854"/>
        <w:jc w:val="left"/>
      </w:pPr>
      <w:r>
        <w:rPr/>
        <w:t>Transações em moeda</w:t>
      </w:r>
      <w:r>
        <w:rPr>
          <w:spacing w:val="-2"/>
        </w:rPr>
        <w:t> </w:t>
      </w:r>
      <w:r>
        <w:rPr/>
        <w:t>estrangeira</w:t>
      </w:r>
    </w:p>
    <w:p>
      <w:pPr>
        <w:pStyle w:val="BodyText"/>
        <w:spacing w:before="10"/>
        <w:rPr>
          <w:rFonts w:ascii="Caladea"/>
          <w:b/>
          <w:sz w:val="23"/>
        </w:rPr>
      </w:pPr>
    </w:p>
    <w:p>
      <w:pPr>
        <w:pStyle w:val="BodyText"/>
        <w:spacing w:line="242" w:lineRule="auto"/>
        <w:ind w:left="192" w:right="616"/>
        <w:jc w:val="both"/>
      </w:pPr>
      <w:r>
        <w:rPr/>
        <w:t>A Companhia definiu que sua moeda funcional para todo o Grupo é o Real de acordo com as definições do Pronunciamento</w:t>
      </w:r>
      <w:r>
        <w:rPr>
          <w:spacing w:val="-25"/>
        </w:rPr>
        <w:t> </w:t>
      </w:r>
      <w:r>
        <w:rPr/>
        <w:t>Técnico</w:t>
      </w:r>
      <w:r>
        <w:rPr>
          <w:spacing w:val="-25"/>
        </w:rPr>
        <w:t> </w:t>
      </w:r>
      <w:r>
        <w:rPr/>
        <w:t>CPC</w:t>
      </w:r>
      <w:r>
        <w:rPr>
          <w:spacing w:val="-27"/>
        </w:rPr>
        <w:t> </w:t>
      </w:r>
      <w:r>
        <w:rPr/>
        <w:t>nº</w:t>
      </w:r>
      <w:r>
        <w:rPr>
          <w:spacing w:val="-24"/>
        </w:rPr>
        <w:t> </w:t>
      </w:r>
      <w:r>
        <w:rPr/>
        <w:t>2</w:t>
      </w:r>
      <w:r>
        <w:rPr>
          <w:spacing w:val="-25"/>
        </w:rPr>
        <w:t> </w:t>
      </w:r>
      <w:r>
        <w:rPr/>
        <w:t>(R2)</w:t>
      </w:r>
      <w:r>
        <w:rPr>
          <w:spacing w:val="-27"/>
        </w:rPr>
        <w:t> </w:t>
      </w:r>
      <w:r>
        <w:rPr>
          <w:w w:val="105"/>
        </w:rPr>
        <w:t>–</w:t>
      </w:r>
      <w:r>
        <w:rPr>
          <w:spacing w:val="-29"/>
          <w:w w:val="105"/>
        </w:rPr>
        <w:t> </w:t>
      </w:r>
      <w:r>
        <w:rPr/>
        <w:t>Efeitos</w:t>
      </w:r>
      <w:r>
        <w:rPr>
          <w:spacing w:val="-25"/>
        </w:rPr>
        <w:t> </w:t>
      </w:r>
      <w:r>
        <w:rPr/>
        <w:t>nas</w:t>
      </w:r>
      <w:r>
        <w:rPr>
          <w:spacing w:val="-26"/>
        </w:rPr>
        <w:t> </w:t>
      </w:r>
      <w:r>
        <w:rPr/>
        <w:t>Mudanças</w:t>
      </w:r>
      <w:r>
        <w:rPr>
          <w:spacing w:val="-27"/>
        </w:rPr>
        <w:t> </w:t>
      </w:r>
      <w:r>
        <w:rPr/>
        <w:t>nas</w:t>
      </w:r>
      <w:r>
        <w:rPr>
          <w:spacing w:val="-25"/>
        </w:rPr>
        <w:t> </w:t>
      </w:r>
      <w:r>
        <w:rPr/>
        <w:t>Taxas</w:t>
      </w:r>
      <w:r>
        <w:rPr>
          <w:spacing w:val="-26"/>
        </w:rPr>
        <w:t> </w:t>
      </w:r>
      <w:r>
        <w:rPr/>
        <w:t>de</w:t>
      </w:r>
      <w:r>
        <w:rPr>
          <w:spacing w:val="-26"/>
        </w:rPr>
        <w:t> </w:t>
      </w:r>
      <w:r>
        <w:rPr/>
        <w:t>Câmbio</w:t>
      </w:r>
      <w:r>
        <w:rPr>
          <w:spacing w:val="-26"/>
        </w:rPr>
        <w:t> </w:t>
      </w:r>
      <w:r>
        <w:rPr/>
        <w:t>e</w:t>
      </w:r>
      <w:r>
        <w:rPr>
          <w:spacing w:val="-25"/>
        </w:rPr>
        <w:t> </w:t>
      </w:r>
      <w:r>
        <w:rPr/>
        <w:t>Conversão</w:t>
      </w:r>
      <w:r>
        <w:rPr>
          <w:spacing w:val="-25"/>
        </w:rPr>
        <w:t> </w:t>
      </w:r>
      <w:r>
        <w:rPr/>
        <w:t>de</w:t>
      </w:r>
      <w:r>
        <w:rPr>
          <w:spacing w:val="-27"/>
        </w:rPr>
        <w:t> </w:t>
      </w:r>
      <w:r>
        <w:rPr/>
        <w:t>Demonstrações Financeiras (IAS</w:t>
      </w:r>
      <w:r>
        <w:rPr>
          <w:spacing w:val="-36"/>
        </w:rPr>
        <w:t> </w:t>
      </w:r>
      <w:r>
        <w:rPr/>
        <w:t>21).</w:t>
      </w:r>
    </w:p>
    <w:p>
      <w:pPr>
        <w:pStyle w:val="BodyText"/>
        <w:spacing w:before="7"/>
      </w:pPr>
    </w:p>
    <w:p>
      <w:pPr>
        <w:pStyle w:val="BodyText"/>
        <w:spacing w:line="242" w:lineRule="auto"/>
        <w:ind w:left="192" w:right="611"/>
        <w:jc w:val="both"/>
      </w:pPr>
      <w:r>
        <w:rPr/>
        <w:t>As</w:t>
      </w:r>
      <w:r>
        <w:rPr>
          <w:spacing w:val="-29"/>
        </w:rPr>
        <w:t> </w:t>
      </w:r>
      <w:r>
        <w:rPr/>
        <w:t>transações</w:t>
      </w:r>
      <w:r>
        <w:rPr>
          <w:spacing w:val="-28"/>
        </w:rPr>
        <w:t> </w:t>
      </w:r>
      <w:r>
        <w:rPr/>
        <w:t>em</w:t>
      </w:r>
      <w:r>
        <w:rPr>
          <w:spacing w:val="-27"/>
        </w:rPr>
        <w:t> </w:t>
      </w:r>
      <w:r>
        <w:rPr/>
        <w:t>moeda</w:t>
      </w:r>
      <w:r>
        <w:rPr>
          <w:spacing w:val="-28"/>
        </w:rPr>
        <w:t> </w:t>
      </w:r>
      <w:r>
        <w:rPr/>
        <w:t>estrangeira,</w:t>
      </w:r>
      <w:r>
        <w:rPr>
          <w:spacing w:val="-27"/>
        </w:rPr>
        <w:t> </w:t>
      </w:r>
      <w:r>
        <w:rPr/>
        <w:t>isto</w:t>
      </w:r>
      <w:r>
        <w:rPr>
          <w:spacing w:val="-28"/>
        </w:rPr>
        <w:t> </w:t>
      </w:r>
      <w:r>
        <w:rPr/>
        <w:t>é,</w:t>
      </w:r>
      <w:r>
        <w:rPr>
          <w:spacing w:val="-29"/>
        </w:rPr>
        <w:t> </w:t>
      </w:r>
      <w:r>
        <w:rPr/>
        <w:t>todas</w:t>
      </w:r>
      <w:r>
        <w:rPr>
          <w:spacing w:val="-29"/>
        </w:rPr>
        <w:t> </w:t>
      </w:r>
      <w:r>
        <w:rPr/>
        <w:t>aquelas</w:t>
      </w:r>
      <w:r>
        <w:rPr>
          <w:spacing w:val="-29"/>
        </w:rPr>
        <w:t> </w:t>
      </w:r>
      <w:r>
        <w:rPr/>
        <w:t>que</w:t>
      </w:r>
      <w:r>
        <w:rPr>
          <w:spacing w:val="-28"/>
        </w:rPr>
        <w:t> </w:t>
      </w:r>
      <w:r>
        <w:rPr/>
        <w:t>não</w:t>
      </w:r>
      <w:r>
        <w:rPr>
          <w:spacing w:val="-29"/>
        </w:rPr>
        <w:t> </w:t>
      </w:r>
      <w:r>
        <w:rPr/>
        <w:t>realizadas</w:t>
      </w:r>
      <w:r>
        <w:rPr>
          <w:spacing w:val="-29"/>
        </w:rPr>
        <w:t> </w:t>
      </w:r>
      <w:r>
        <w:rPr/>
        <w:t>na</w:t>
      </w:r>
      <w:r>
        <w:rPr>
          <w:spacing w:val="-28"/>
        </w:rPr>
        <w:t> </w:t>
      </w:r>
      <w:r>
        <w:rPr/>
        <w:t>moeda</w:t>
      </w:r>
      <w:r>
        <w:rPr>
          <w:spacing w:val="-29"/>
        </w:rPr>
        <w:t> </w:t>
      </w:r>
      <w:r>
        <w:rPr/>
        <w:t>funcional,</w:t>
      </w:r>
      <w:r>
        <w:rPr>
          <w:spacing w:val="-29"/>
        </w:rPr>
        <w:t> </w:t>
      </w:r>
      <w:r>
        <w:rPr/>
        <w:t>são</w:t>
      </w:r>
      <w:r>
        <w:rPr>
          <w:spacing w:val="-29"/>
        </w:rPr>
        <w:t> </w:t>
      </w:r>
      <w:r>
        <w:rPr/>
        <w:t>convertidas pela</w:t>
      </w:r>
      <w:r>
        <w:rPr>
          <w:spacing w:val="-42"/>
        </w:rPr>
        <w:t> </w:t>
      </w:r>
      <w:r>
        <w:rPr/>
        <w:t>taxa</w:t>
      </w:r>
      <w:r>
        <w:rPr>
          <w:spacing w:val="-43"/>
        </w:rPr>
        <w:t> </w:t>
      </w:r>
      <w:r>
        <w:rPr/>
        <w:t>de</w:t>
      </w:r>
      <w:r>
        <w:rPr>
          <w:spacing w:val="-43"/>
        </w:rPr>
        <w:t> </w:t>
      </w:r>
      <w:r>
        <w:rPr/>
        <w:t>câmbio</w:t>
      </w:r>
      <w:r>
        <w:rPr>
          <w:spacing w:val="-41"/>
        </w:rPr>
        <w:t> </w:t>
      </w:r>
      <w:r>
        <w:rPr/>
        <w:t>das</w:t>
      </w:r>
      <w:r>
        <w:rPr>
          <w:spacing w:val="-43"/>
        </w:rPr>
        <w:t> </w:t>
      </w:r>
      <w:r>
        <w:rPr/>
        <w:t>datas</w:t>
      </w:r>
      <w:r>
        <w:rPr>
          <w:spacing w:val="-42"/>
        </w:rPr>
        <w:t> </w:t>
      </w:r>
      <w:r>
        <w:rPr/>
        <w:t>de</w:t>
      </w:r>
      <w:r>
        <w:rPr>
          <w:spacing w:val="-42"/>
        </w:rPr>
        <w:t> </w:t>
      </w:r>
      <w:r>
        <w:rPr/>
        <w:t>cada</w:t>
      </w:r>
      <w:r>
        <w:rPr>
          <w:spacing w:val="-42"/>
        </w:rPr>
        <w:t> </w:t>
      </w:r>
      <w:r>
        <w:rPr/>
        <w:t>transação.</w:t>
      </w:r>
      <w:r>
        <w:rPr>
          <w:spacing w:val="-42"/>
        </w:rPr>
        <w:t> </w:t>
      </w:r>
      <w:r>
        <w:rPr/>
        <w:t>Ativos</w:t>
      </w:r>
      <w:r>
        <w:rPr>
          <w:spacing w:val="-42"/>
        </w:rPr>
        <w:t> </w:t>
      </w:r>
      <w:r>
        <w:rPr/>
        <w:t>e</w:t>
      </w:r>
      <w:r>
        <w:rPr>
          <w:spacing w:val="-41"/>
        </w:rPr>
        <w:t> </w:t>
      </w:r>
      <w:r>
        <w:rPr/>
        <w:t>passivos</w:t>
      </w:r>
      <w:r>
        <w:rPr>
          <w:spacing w:val="-42"/>
        </w:rPr>
        <w:t> </w:t>
      </w:r>
      <w:r>
        <w:rPr/>
        <w:t>monetários</w:t>
      </w:r>
      <w:r>
        <w:rPr>
          <w:spacing w:val="-41"/>
        </w:rPr>
        <w:t> </w:t>
      </w:r>
      <w:r>
        <w:rPr/>
        <w:t>em</w:t>
      </w:r>
      <w:r>
        <w:rPr>
          <w:spacing w:val="-42"/>
        </w:rPr>
        <w:t> </w:t>
      </w:r>
      <w:r>
        <w:rPr/>
        <w:t>moeda</w:t>
      </w:r>
      <w:r>
        <w:rPr>
          <w:spacing w:val="-41"/>
        </w:rPr>
        <w:t> </w:t>
      </w:r>
      <w:r>
        <w:rPr/>
        <w:t>estrangeira</w:t>
      </w:r>
      <w:r>
        <w:rPr>
          <w:spacing w:val="-42"/>
        </w:rPr>
        <w:t> </w:t>
      </w:r>
      <w:r>
        <w:rPr/>
        <w:t>são</w:t>
      </w:r>
      <w:r>
        <w:rPr>
          <w:spacing w:val="-42"/>
        </w:rPr>
        <w:t> </w:t>
      </w:r>
      <w:r>
        <w:rPr/>
        <w:t>convertidos para</w:t>
      </w:r>
      <w:r>
        <w:rPr>
          <w:spacing w:val="-34"/>
        </w:rPr>
        <w:t> </w:t>
      </w:r>
      <w:r>
        <w:rPr/>
        <w:t>a</w:t>
      </w:r>
      <w:r>
        <w:rPr>
          <w:spacing w:val="-32"/>
        </w:rPr>
        <w:t> </w:t>
      </w:r>
      <w:r>
        <w:rPr/>
        <w:t>moeda</w:t>
      </w:r>
      <w:r>
        <w:rPr>
          <w:spacing w:val="-33"/>
        </w:rPr>
        <w:t> </w:t>
      </w:r>
      <w:r>
        <w:rPr/>
        <w:t>funcional</w:t>
      </w:r>
      <w:r>
        <w:rPr>
          <w:spacing w:val="-32"/>
        </w:rPr>
        <w:t> </w:t>
      </w:r>
      <w:r>
        <w:rPr/>
        <w:t>pela</w:t>
      </w:r>
      <w:r>
        <w:rPr>
          <w:spacing w:val="-33"/>
        </w:rPr>
        <w:t> </w:t>
      </w:r>
      <w:r>
        <w:rPr/>
        <w:t>taxa</w:t>
      </w:r>
      <w:r>
        <w:rPr>
          <w:spacing w:val="-33"/>
        </w:rPr>
        <w:t> </w:t>
      </w:r>
      <w:r>
        <w:rPr/>
        <w:t>de</w:t>
      </w:r>
      <w:r>
        <w:rPr>
          <w:spacing w:val="-33"/>
        </w:rPr>
        <w:t> </w:t>
      </w:r>
      <w:r>
        <w:rPr/>
        <w:t>câmbio</w:t>
      </w:r>
      <w:r>
        <w:rPr>
          <w:spacing w:val="-33"/>
        </w:rPr>
        <w:t> </w:t>
      </w:r>
      <w:r>
        <w:rPr/>
        <w:t>da</w:t>
      </w:r>
      <w:r>
        <w:rPr>
          <w:spacing w:val="-33"/>
        </w:rPr>
        <w:t> </w:t>
      </w:r>
      <w:r>
        <w:rPr/>
        <w:t>data</w:t>
      </w:r>
      <w:r>
        <w:rPr>
          <w:spacing w:val="-32"/>
        </w:rPr>
        <w:t> </w:t>
      </w:r>
      <w:r>
        <w:rPr/>
        <w:t>do</w:t>
      </w:r>
      <w:r>
        <w:rPr>
          <w:spacing w:val="-33"/>
        </w:rPr>
        <w:t> </w:t>
      </w:r>
      <w:r>
        <w:rPr/>
        <w:t>fechamento.</w:t>
      </w:r>
      <w:r>
        <w:rPr>
          <w:spacing w:val="-33"/>
        </w:rPr>
        <w:t> </w:t>
      </w:r>
      <w:r>
        <w:rPr/>
        <w:t>Os</w:t>
      </w:r>
      <w:r>
        <w:rPr>
          <w:spacing w:val="-33"/>
        </w:rPr>
        <w:t> </w:t>
      </w:r>
      <w:r>
        <w:rPr/>
        <w:t>ganhos</w:t>
      </w:r>
      <w:r>
        <w:rPr>
          <w:spacing w:val="-33"/>
        </w:rPr>
        <w:t> </w:t>
      </w:r>
      <w:r>
        <w:rPr/>
        <w:t>e</w:t>
      </w:r>
      <w:r>
        <w:rPr>
          <w:spacing w:val="-33"/>
        </w:rPr>
        <w:t> </w:t>
      </w:r>
      <w:r>
        <w:rPr/>
        <w:t>as</w:t>
      </w:r>
      <w:r>
        <w:rPr>
          <w:spacing w:val="-32"/>
        </w:rPr>
        <w:t> </w:t>
      </w:r>
      <w:r>
        <w:rPr/>
        <w:t>perdas</w:t>
      </w:r>
      <w:r>
        <w:rPr>
          <w:spacing w:val="-33"/>
        </w:rPr>
        <w:t> </w:t>
      </w:r>
      <w:r>
        <w:rPr/>
        <w:t>de</w:t>
      </w:r>
      <w:r>
        <w:rPr>
          <w:spacing w:val="-34"/>
        </w:rPr>
        <w:t> </w:t>
      </w:r>
      <w:r>
        <w:rPr/>
        <w:t>variações</w:t>
      </w:r>
      <w:r>
        <w:rPr>
          <w:spacing w:val="-33"/>
        </w:rPr>
        <w:t> </w:t>
      </w:r>
      <w:r>
        <w:rPr/>
        <w:t>nas</w:t>
      </w:r>
      <w:r>
        <w:rPr>
          <w:spacing w:val="-32"/>
        </w:rPr>
        <w:t> </w:t>
      </w:r>
      <w:r>
        <w:rPr/>
        <w:t>taxas</w:t>
      </w:r>
      <w:r>
        <w:rPr>
          <w:spacing w:val="-34"/>
        </w:rPr>
        <w:t> </w:t>
      </w:r>
      <w:r>
        <w:rPr/>
        <w:t>de câmbio</w:t>
      </w:r>
      <w:r>
        <w:rPr>
          <w:spacing w:val="-23"/>
        </w:rPr>
        <w:t> </w:t>
      </w:r>
      <w:r>
        <w:rPr/>
        <w:t>sobre</w:t>
      </w:r>
      <w:r>
        <w:rPr>
          <w:spacing w:val="-21"/>
        </w:rPr>
        <w:t> </w:t>
      </w:r>
      <w:r>
        <w:rPr/>
        <w:t>os</w:t>
      </w:r>
      <w:r>
        <w:rPr>
          <w:spacing w:val="-22"/>
        </w:rPr>
        <w:t> </w:t>
      </w:r>
      <w:r>
        <w:rPr/>
        <w:t>ativos</w:t>
      </w:r>
      <w:r>
        <w:rPr>
          <w:spacing w:val="-20"/>
        </w:rPr>
        <w:t> </w:t>
      </w:r>
      <w:r>
        <w:rPr/>
        <w:t>e</w:t>
      </w:r>
      <w:r>
        <w:rPr>
          <w:spacing w:val="-24"/>
        </w:rPr>
        <w:t> </w:t>
      </w:r>
      <w:r>
        <w:rPr/>
        <w:t>os</w:t>
      </w:r>
      <w:r>
        <w:rPr>
          <w:spacing w:val="-18"/>
        </w:rPr>
        <w:t> </w:t>
      </w:r>
      <w:r>
        <w:rPr/>
        <w:t>passivos</w:t>
      </w:r>
      <w:r>
        <w:rPr>
          <w:spacing w:val="-22"/>
        </w:rPr>
        <w:t> </w:t>
      </w:r>
      <w:r>
        <w:rPr/>
        <w:t>monetários</w:t>
      </w:r>
      <w:r>
        <w:rPr>
          <w:spacing w:val="-21"/>
        </w:rPr>
        <w:t> </w:t>
      </w:r>
      <w:r>
        <w:rPr/>
        <w:t>são</w:t>
      </w:r>
      <w:r>
        <w:rPr>
          <w:spacing w:val="-23"/>
        </w:rPr>
        <w:t> </w:t>
      </w:r>
      <w:r>
        <w:rPr/>
        <w:t>reconhecidos</w:t>
      </w:r>
      <w:r>
        <w:rPr>
          <w:spacing w:val="-22"/>
        </w:rPr>
        <w:t> </w:t>
      </w:r>
      <w:r>
        <w:rPr/>
        <w:t>na</w:t>
      </w:r>
      <w:r>
        <w:rPr>
          <w:spacing w:val="-19"/>
        </w:rPr>
        <w:t> </w:t>
      </w:r>
      <w:r>
        <w:rPr/>
        <w:t>demonstração</w:t>
      </w:r>
      <w:r>
        <w:rPr>
          <w:spacing w:val="-21"/>
        </w:rPr>
        <w:t> </w:t>
      </w:r>
      <w:r>
        <w:rPr/>
        <w:t>de</w:t>
      </w:r>
      <w:r>
        <w:rPr>
          <w:spacing w:val="-22"/>
        </w:rPr>
        <w:t> </w:t>
      </w:r>
      <w:r>
        <w:rPr/>
        <w:t>resultados.</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C</w:t>
      </w:r>
      <w:r>
        <w:rPr>
          <w:rFonts w:ascii="Caladea"/>
          <w:b/>
          <w:sz w:val="18"/>
        </w:rPr>
        <w:t>AIXA E </w:t>
      </w:r>
      <w:r>
        <w:rPr>
          <w:rFonts w:ascii="Caladea"/>
          <w:b/>
          <w:sz w:val="22"/>
        </w:rPr>
        <w:t>E</w:t>
      </w:r>
      <w:r>
        <w:rPr>
          <w:rFonts w:ascii="Caladea"/>
          <w:b/>
          <w:sz w:val="18"/>
        </w:rPr>
        <w:t>QUIVALENTES DE</w:t>
      </w:r>
      <w:r>
        <w:rPr>
          <w:rFonts w:ascii="Caladea"/>
          <w:b/>
          <w:spacing w:val="-2"/>
          <w:sz w:val="18"/>
        </w:rPr>
        <w:t> </w:t>
      </w:r>
      <w:r>
        <w:rPr>
          <w:rFonts w:ascii="Caladea"/>
          <w:b/>
          <w:sz w:val="22"/>
        </w:rPr>
        <w:t>C</w:t>
      </w:r>
      <w:r>
        <w:rPr>
          <w:rFonts w:ascii="Caladea"/>
          <w:b/>
          <w:sz w:val="18"/>
        </w:rPr>
        <w:t>AIXA</w:t>
      </w:r>
    </w:p>
    <w:p>
      <w:pPr>
        <w:pStyle w:val="BodyText"/>
        <w:rPr>
          <w:rFonts w:ascii="Caladea"/>
          <w:b/>
          <w:sz w:val="24"/>
        </w:rPr>
      </w:pPr>
    </w:p>
    <w:p>
      <w:pPr>
        <w:pStyle w:val="BodyText"/>
        <w:spacing w:line="242" w:lineRule="auto"/>
        <w:ind w:left="192" w:right="608"/>
        <w:jc w:val="both"/>
      </w:pPr>
      <w:r>
        <w:rPr/>
        <w:t>Caixa</w:t>
      </w:r>
      <w:r>
        <w:rPr>
          <w:spacing w:val="-23"/>
        </w:rPr>
        <w:t> </w:t>
      </w:r>
      <w:r>
        <w:rPr/>
        <w:t>e</w:t>
      </w:r>
      <w:r>
        <w:rPr>
          <w:spacing w:val="-23"/>
        </w:rPr>
        <w:t> </w:t>
      </w:r>
      <w:r>
        <w:rPr/>
        <w:t>Equivalentes</w:t>
      </w:r>
      <w:r>
        <w:rPr>
          <w:spacing w:val="-20"/>
        </w:rPr>
        <w:t> </w:t>
      </w:r>
      <w:r>
        <w:rPr/>
        <w:t>de</w:t>
      </w:r>
      <w:r>
        <w:rPr>
          <w:spacing w:val="-24"/>
        </w:rPr>
        <w:t> </w:t>
      </w:r>
      <w:r>
        <w:rPr/>
        <w:t>Caixa</w:t>
      </w:r>
      <w:r>
        <w:rPr>
          <w:spacing w:val="-22"/>
        </w:rPr>
        <w:t> </w:t>
      </w:r>
      <w:r>
        <w:rPr/>
        <w:t>são</w:t>
      </w:r>
      <w:r>
        <w:rPr>
          <w:spacing w:val="-22"/>
        </w:rPr>
        <w:t> </w:t>
      </w:r>
      <w:r>
        <w:rPr/>
        <w:t>mantidos</w:t>
      </w:r>
      <w:r>
        <w:rPr>
          <w:spacing w:val="-22"/>
        </w:rPr>
        <w:t> </w:t>
      </w:r>
      <w:r>
        <w:rPr/>
        <w:t>com</w:t>
      </w:r>
      <w:r>
        <w:rPr>
          <w:spacing w:val="-23"/>
        </w:rPr>
        <w:t> </w:t>
      </w:r>
      <w:r>
        <w:rPr/>
        <w:t>a</w:t>
      </w:r>
      <w:r>
        <w:rPr>
          <w:spacing w:val="-21"/>
        </w:rPr>
        <w:t> </w:t>
      </w:r>
      <w:r>
        <w:rPr/>
        <w:t>finalidade</w:t>
      </w:r>
      <w:r>
        <w:rPr>
          <w:spacing w:val="-24"/>
        </w:rPr>
        <w:t> </w:t>
      </w:r>
      <w:r>
        <w:rPr/>
        <w:t>de</w:t>
      </w:r>
      <w:r>
        <w:rPr>
          <w:spacing w:val="-23"/>
        </w:rPr>
        <w:t> </w:t>
      </w:r>
      <w:r>
        <w:rPr/>
        <w:t>atender</w:t>
      </w:r>
      <w:r>
        <w:rPr>
          <w:spacing w:val="-23"/>
        </w:rPr>
        <w:t> </w:t>
      </w:r>
      <w:r>
        <w:rPr/>
        <w:t>a</w:t>
      </w:r>
      <w:r>
        <w:rPr>
          <w:spacing w:val="-21"/>
        </w:rPr>
        <w:t> </w:t>
      </w:r>
      <w:r>
        <w:rPr/>
        <w:t>compromissos</w:t>
      </w:r>
      <w:r>
        <w:rPr>
          <w:spacing w:val="-23"/>
        </w:rPr>
        <w:t> </w:t>
      </w:r>
      <w:r>
        <w:rPr/>
        <w:t>de</w:t>
      </w:r>
      <w:r>
        <w:rPr>
          <w:spacing w:val="-23"/>
        </w:rPr>
        <w:t> </w:t>
      </w:r>
      <w:r>
        <w:rPr/>
        <w:t>curto</w:t>
      </w:r>
      <w:r>
        <w:rPr>
          <w:spacing w:val="-23"/>
        </w:rPr>
        <w:t> </w:t>
      </w:r>
      <w:r>
        <w:rPr/>
        <w:t>prazo</w:t>
      </w:r>
      <w:r>
        <w:rPr>
          <w:spacing w:val="-22"/>
        </w:rPr>
        <w:t> </w:t>
      </w:r>
      <w:r>
        <w:rPr/>
        <w:t>e</w:t>
      </w:r>
      <w:r>
        <w:rPr>
          <w:spacing w:val="-24"/>
        </w:rPr>
        <w:t> </w:t>
      </w:r>
      <w:r>
        <w:rPr>
          <w:spacing w:val="2"/>
        </w:rPr>
        <w:t>incluem </w:t>
      </w:r>
      <w:r>
        <w:rPr/>
        <w:t>saldos</w:t>
      </w:r>
      <w:r>
        <w:rPr>
          <w:spacing w:val="-22"/>
        </w:rPr>
        <w:t> </w:t>
      </w:r>
      <w:r>
        <w:rPr/>
        <w:t>de</w:t>
      </w:r>
      <w:r>
        <w:rPr>
          <w:spacing w:val="-22"/>
        </w:rPr>
        <w:t> </w:t>
      </w:r>
      <w:r>
        <w:rPr/>
        <w:t>caixa,</w:t>
      </w:r>
      <w:r>
        <w:rPr>
          <w:spacing w:val="-20"/>
        </w:rPr>
        <w:t> </w:t>
      </w:r>
      <w:r>
        <w:rPr/>
        <w:t>de</w:t>
      </w:r>
      <w:r>
        <w:rPr>
          <w:spacing w:val="-21"/>
        </w:rPr>
        <w:t> </w:t>
      </w:r>
      <w:r>
        <w:rPr/>
        <w:t>depósitos</w:t>
      </w:r>
      <w:r>
        <w:rPr>
          <w:spacing w:val="-21"/>
        </w:rPr>
        <w:t> </w:t>
      </w:r>
      <w:r>
        <w:rPr/>
        <w:t>bancários</w:t>
      </w:r>
      <w:r>
        <w:rPr>
          <w:spacing w:val="-20"/>
        </w:rPr>
        <w:t> </w:t>
      </w:r>
      <w:r>
        <w:rPr/>
        <w:t>em</w:t>
      </w:r>
      <w:r>
        <w:rPr>
          <w:spacing w:val="-22"/>
        </w:rPr>
        <w:t> </w:t>
      </w:r>
      <w:r>
        <w:rPr/>
        <w:t>contas-correntes</w:t>
      </w:r>
      <w:r>
        <w:rPr>
          <w:spacing w:val="-19"/>
        </w:rPr>
        <w:t> </w:t>
      </w:r>
      <w:r>
        <w:rPr/>
        <w:t>e</w:t>
      </w:r>
      <w:r>
        <w:rPr>
          <w:spacing w:val="-21"/>
        </w:rPr>
        <w:t> </w:t>
      </w:r>
      <w:r>
        <w:rPr/>
        <w:t>de</w:t>
      </w:r>
      <w:r>
        <w:rPr>
          <w:spacing w:val="-20"/>
        </w:rPr>
        <w:t> </w:t>
      </w:r>
      <w:r>
        <w:rPr/>
        <w:t>aplicações</w:t>
      </w:r>
      <w:r>
        <w:rPr>
          <w:spacing w:val="-22"/>
        </w:rPr>
        <w:t> </w:t>
      </w:r>
      <w:r>
        <w:rPr/>
        <w:t>financeiras</w:t>
      </w:r>
      <w:r>
        <w:rPr>
          <w:spacing w:val="-19"/>
        </w:rPr>
        <w:t> </w:t>
      </w:r>
      <w:r>
        <w:rPr/>
        <w:t>resgatáveis</w:t>
      </w:r>
      <w:r>
        <w:rPr>
          <w:spacing w:val="-21"/>
        </w:rPr>
        <w:t> </w:t>
      </w:r>
      <w:r>
        <w:rPr/>
        <w:t>sem</w:t>
      </w:r>
      <w:r>
        <w:rPr>
          <w:spacing w:val="-20"/>
        </w:rPr>
        <w:t> </w:t>
      </w:r>
      <w:r>
        <w:rPr/>
        <w:t>custo</w:t>
      </w:r>
      <w:r>
        <w:rPr>
          <w:spacing w:val="-21"/>
        </w:rPr>
        <w:t> </w:t>
      </w:r>
      <w:r>
        <w:rPr/>
        <w:t>no prazo</w:t>
      </w:r>
      <w:r>
        <w:rPr>
          <w:spacing w:val="-34"/>
        </w:rPr>
        <w:t> </w:t>
      </w:r>
      <w:r>
        <w:rPr/>
        <w:t>máximo</w:t>
      </w:r>
      <w:r>
        <w:rPr>
          <w:spacing w:val="-34"/>
        </w:rPr>
        <w:t> </w:t>
      </w:r>
      <w:r>
        <w:rPr/>
        <w:t>de</w:t>
      </w:r>
      <w:r>
        <w:rPr>
          <w:spacing w:val="-34"/>
        </w:rPr>
        <w:t> </w:t>
      </w:r>
      <w:r>
        <w:rPr/>
        <w:t>90</w:t>
      </w:r>
      <w:r>
        <w:rPr>
          <w:spacing w:val="-33"/>
        </w:rPr>
        <w:t> </w:t>
      </w:r>
      <w:r>
        <w:rPr/>
        <w:t>dias</w:t>
      </w:r>
      <w:r>
        <w:rPr>
          <w:spacing w:val="-35"/>
        </w:rPr>
        <w:t> </w:t>
      </w:r>
      <w:r>
        <w:rPr/>
        <w:t>da</w:t>
      </w:r>
      <w:r>
        <w:rPr>
          <w:spacing w:val="-31"/>
        </w:rPr>
        <w:t> </w:t>
      </w:r>
      <w:r>
        <w:rPr/>
        <w:t>data</w:t>
      </w:r>
      <w:r>
        <w:rPr>
          <w:spacing w:val="-32"/>
        </w:rPr>
        <w:t> </w:t>
      </w:r>
      <w:r>
        <w:rPr/>
        <w:t>da</w:t>
      </w:r>
      <w:r>
        <w:rPr>
          <w:spacing w:val="-35"/>
        </w:rPr>
        <w:t> </w:t>
      </w:r>
      <w:r>
        <w:rPr/>
        <w:t>contratação</w:t>
      </w:r>
      <w:r>
        <w:rPr>
          <w:spacing w:val="-32"/>
        </w:rPr>
        <w:t> </w:t>
      </w:r>
      <w:r>
        <w:rPr/>
        <w:t>e</w:t>
      </w:r>
      <w:r>
        <w:rPr>
          <w:spacing w:val="-36"/>
        </w:rPr>
        <w:t> </w:t>
      </w:r>
      <w:r>
        <w:rPr/>
        <w:t>com</w:t>
      </w:r>
      <w:r>
        <w:rPr>
          <w:spacing w:val="-34"/>
        </w:rPr>
        <w:t> </w:t>
      </w:r>
      <w:r>
        <w:rPr/>
        <w:t>risco</w:t>
      </w:r>
      <w:r>
        <w:rPr>
          <w:spacing w:val="-35"/>
        </w:rPr>
        <w:t> </w:t>
      </w:r>
      <w:r>
        <w:rPr/>
        <w:t>insignificante</w:t>
      </w:r>
      <w:r>
        <w:rPr>
          <w:spacing w:val="-34"/>
        </w:rPr>
        <w:t> </w:t>
      </w:r>
      <w:r>
        <w:rPr/>
        <w:t>de</w:t>
      </w:r>
      <w:r>
        <w:rPr>
          <w:spacing w:val="-34"/>
        </w:rPr>
        <w:t> </w:t>
      </w:r>
      <w:r>
        <w:rPr/>
        <w:t>mudança</w:t>
      </w:r>
      <w:r>
        <w:rPr>
          <w:spacing w:val="-35"/>
        </w:rPr>
        <w:t> </w:t>
      </w:r>
      <w:r>
        <w:rPr/>
        <w:t>de</w:t>
      </w:r>
      <w:r>
        <w:rPr>
          <w:spacing w:val="-34"/>
        </w:rPr>
        <w:t> </w:t>
      </w:r>
      <w:r>
        <w:rPr/>
        <w:t>seu</w:t>
      </w:r>
      <w:r>
        <w:rPr>
          <w:spacing w:val="-33"/>
        </w:rPr>
        <w:t> </w:t>
      </w:r>
      <w:r>
        <w:rPr/>
        <w:t>valor</w:t>
      </w:r>
      <w:r>
        <w:rPr>
          <w:spacing w:val="-34"/>
        </w:rPr>
        <w:t> </w:t>
      </w:r>
      <w:r>
        <w:rPr/>
        <w:t>de</w:t>
      </w:r>
      <w:r>
        <w:rPr>
          <w:spacing w:val="-35"/>
        </w:rPr>
        <w:t> </w:t>
      </w:r>
      <w:r>
        <w:rPr/>
        <w:t>mercado.</w:t>
      </w:r>
      <w:r>
        <w:rPr>
          <w:spacing w:val="-32"/>
        </w:rPr>
        <w:t> </w:t>
      </w:r>
      <w:r>
        <w:rPr/>
        <w:t>São registrados</w:t>
      </w:r>
      <w:r>
        <w:rPr>
          <w:spacing w:val="-37"/>
        </w:rPr>
        <w:t> </w:t>
      </w:r>
      <w:r>
        <w:rPr/>
        <w:t>inicialmente</w:t>
      </w:r>
      <w:r>
        <w:rPr>
          <w:spacing w:val="-37"/>
        </w:rPr>
        <w:t> </w:t>
      </w:r>
      <w:r>
        <w:rPr/>
        <w:t>pelo</w:t>
      </w:r>
      <w:r>
        <w:rPr>
          <w:spacing w:val="-36"/>
        </w:rPr>
        <w:t> </w:t>
      </w:r>
      <w:r>
        <w:rPr/>
        <w:t>valor</w:t>
      </w:r>
      <w:r>
        <w:rPr>
          <w:spacing w:val="-37"/>
        </w:rPr>
        <w:t> </w:t>
      </w:r>
      <w:r>
        <w:rPr/>
        <w:t>justo</w:t>
      </w:r>
      <w:r>
        <w:rPr>
          <w:spacing w:val="-36"/>
        </w:rPr>
        <w:t> </w:t>
      </w:r>
      <w:r>
        <w:rPr/>
        <w:t>das</w:t>
      </w:r>
      <w:r>
        <w:rPr>
          <w:spacing w:val="-36"/>
        </w:rPr>
        <w:t> </w:t>
      </w:r>
      <w:r>
        <w:rPr/>
        <w:t>transações</w:t>
      </w:r>
      <w:r>
        <w:rPr>
          <w:spacing w:val="-35"/>
        </w:rPr>
        <w:t> </w:t>
      </w:r>
      <w:r>
        <w:rPr/>
        <w:t>que</w:t>
      </w:r>
      <w:r>
        <w:rPr>
          <w:spacing w:val="-35"/>
        </w:rPr>
        <w:t> </w:t>
      </w:r>
      <w:r>
        <w:rPr/>
        <w:t>lhes</w:t>
      </w:r>
      <w:r>
        <w:rPr>
          <w:spacing w:val="-36"/>
        </w:rPr>
        <w:t> </w:t>
      </w:r>
      <w:r>
        <w:rPr/>
        <w:t>deram</w:t>
      </w:r>
      <w:r>
        <w:rPr>
          <w:spacing w:val="-36"/>
        </w:rPr>
        <w:t> </w:t>
      </w:r>
      <w:r>
        <w:rPr/>
        <w:t>origem</w:t>
      </w:r>
      <w:r>
        <w:rPr>
          <w:spacing w:val="-35"/>
        </w:rPr>
        <w:t> </w:t>
      </w:r>
      <w:r>
        <w:rPr/>
        <w:t>e</w:t>
      </w:r>
      <w:r>
        <w:rPr>
          <w:spacing w:val="-37"/>
        </w:rPr>
        <w:t> </w:t>
      </w:r>
      <w:r>
        <w:rPr/>
        <w:t>são</w:t>
      </w:r>
      <w:r>
        <w:rPr>
          <w:spacing w:val="-37"/>
        </w:rPr>
        <w:t> </w:t>
      </w:r>
      <w:r>
        <w:rPr/>
        <w:t>atualizados,</w:t>
      </w:r>
      <w:r>
        <w:rPr>
          <w:spacing w:val="-36"/>
        </w:rPr>
        <w:t> </w:t>
      </w:r>
      <w:r>
        <w:rPr/>
        <w:t>quando</w:t>
      </w:r>
      <w:r>
        <w:rPr>
          <w:spacing w:val="-36"/>
        </w:rPr>
        <w:t> </w:t>
      </w:r>
      <w:r>
        <w:rPr/>
        <w:t>aplicável, com</w:t>
      </w:r>
      <w:r>
        <w:rPr>
          <w:spacing w:val="-19"/>
        </w:rPr>
        <w:t> </w:t>
      </w:r>
      <w:r>
        <w:rPr/>
        <w:t>base</w:t>
      </w:r>
      <w:r>
        <w:rPr>
          <w:spacing w:val="-17"/>
        </w:rPr>
        <w:t> </w:t>
      </w:r>
      <w:r>
        <w:rPr/>
        <w:t>nos</w:t>
      </w:r>
      <w:r>
        <w:rPr>
          <w:spacing w:val="-19"/>
        </w:rPr>
        <w:t> </w:t>
      </w:r>
      <w:r>
        <w:rPr/>
        <w:t>encargos</w:t>
      </w:r>
      <w:r>
        <w:rPr>
          <w:spacing w:val="-18"/>
        </w:rPr>
        <w:t> </w:t>
      </w:r>
      <w:r>
        <w:rPr/>
        <w:t>contratuais</w:t>
      </w:r>
      <w:r>
        <w:rPr>
          <w:spacing w:val="-18"/>
        </w:rPr>
        <w:t> </w:t>
      </w:r>
      <w:r>
        <w:rPr/>
        <w:t>(Nota</w:t>
      </w:r>
      <w:r>
        <w:rPr>
          <w:spacing w:val="-15"/>
        </w:rPr>
        <w:t> </w:t>
      </w:r>
      <w:r>
        <w:rPr/>
        <w:t>Explicativa</w:t>
      </w:r>
      <w:r>
        <w:rPr>
          <w:spacing w:val="-18"/>
        </w:rPr>
        <w:t> </w:t>
      </w:r>
      <w:r>
        <w:rPr/>
        <w:t>nº</w:t>
      </w:r>
      <w:r>
        <w:rPr>
          <w:spacing w:val="-15"/>
        </w:rPr>
        <w:t> </w:t>
      </w:r>
      <w:r>
        <w:rPr/>
        <w:t>5).</w:t>
      </w:r>
    </w:p>
    <w:p>
      <w:pPr>
        <w:pStyle w:val="BodyText"/>
        <w:spacing w:before="8"/>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A</w:t>
      </w:r>
      <w:r>
        <w:rPr>
          <w:rFonts w:ascii="Caladea"/>
          <w:b/>
          <w:sz w:val="18"/>
        </w:rPr>
        <w:t>TIVOS</w:t>
      </w:r>
      <w:r>
        <w:rPr>
          <w:rFonts w:ascii="Caladea"/>
          <w:b/>
          <w:spacing w:val="-2"/>
          <w:sz w:val="18"/>
        </w:rPr>
        <w:t> </w:t>
      </w:r>
      <w:r>
        <w:rPr>
          <w:rFonts w:ascii="Caladea"/>
          <w:b/>
          <w:sz w:val="22"/>
        </w:rPr>
        <w:t>F</w:t>
      </w:r>
      <w:r>
        <w:rPr>
          <w:rFonts w:ascii="Caladea"/>
          <w:b/>
          <w:sz w:val="18"/>
        </w:rPr>
        <w:t>INANCEIROS</w:t>
      </w:r>
    </w:p>
    <w:p>
      <w:pPr>
        <w:pStyle w:val="BodyText"/>
        <w:spacing w:before="7"/>
        <w:rPr>
          <w:rFonts w:ascii="Caladea"/>
          <w:b/>
          <w:sz w:val="23"/>
        </w:rPr>
      </w:pPr>
    </w:p>
    <w:p>
      <w:pPr>
        <w:pStyle w:val="Heading5"/>
        <w:numPr>
          <w:ilvl w:val="2"/>
          <w:numId w:val="16"/>
        </w:numPr>
        <w:tabs>
          <w:tab w:pos="1045" w:val="left" w:leader="none"/>
          <w:tab w:pos="1046" w:val="left" w:leader="none"/>
        </w:tabs>
        <w:spacing w:line="240" w:lineRule="auto" w:before="1" w:after="0"/>
        <w:ind w:left="1045" w:right="0" w:hanging="854"/>
        <w:jc w:val="left"/>
      </w:pPr>
      <w:r>
        <w:rPr/>
        <w:t>Classificação</w:t>
      </w:r>
    </w:p>
    <w:p>
      <w:pPr>
        <w:pStyle w:val="BodyText"/>
        <w:spacing w:before="9"/>
        <w:rPr>
          <w:rFonts w:ascii="Caladea"/>
          <w:b/>
          <w:sz w:val="23"/>
        </w:rPr>
      </w:pPr>
    </w:p>
    <w:p>
      <w:pPr>
        <w:pStyle w:val="BodyText"/>
        <w:spacing w:line="242" w:lineRule="auto"/>
        <w:ind w:left="192" w:right="612"/>
        <w:jc w:val="both"/>
      </w:pPr>
      <w:r>
        <w:rPr/>
        <w:t>Com</w:t>
      </w:r>
      <w:r>
        <w:rPr>
          <w:spacing w:val="-19"/>
        </w:rPr>
        <w:t> </w:t>
      </w:r>
      <w:r>
        <w:rPr/>
        <w:t>a</w:t>
      </w:r>
      <w:r>
        <w:rPr>
          <w:spacing w:val="-17"/>
        </w:rPr>
        <w:t> </w:t>
      </w:r>
      <w:r>
        <w:rPr/>
        <w:t>adoção</w:t>
      </w:r>
      <w:r>
        <w:rPr>
          <w:spacing w:val="-18"/>
        </w:rPr>
        <w:t> </w:t>
      </w:r>
      <w:r>
        <w:rPr/>
        <w:t>do</w:t>
      </w:r>
      <w:r>
        <w:rPr>
          <w:spacing w:val="-18"/>
        </w:rPr>
        <w:t> </w:t>
      </w:r>
      <w:r>
        <w:rPr/>
        <w:t>Pronunciamento</w:t>
      </w:r>
      <w:r>
        <w:rPr>
          <w:spacing w:val="-18"/>
        </w:rPr>
        <w:t> </w:t>
      </w:r>
      <w:r>
        <w:rPr/>
        <w:t>Técnico</w:t>
      </w:r>
      <w:r>
        <w:rPr>
          <w:spacing w:val="-17"/>
        </w:rPr>
        <w:t> </w:t>
      </w:r>
      <w:r>
        <w:rPr/>
        <w:t>CPC</w:t>
      </w:r>
      <w:r>
        <w:rPr>
          <w:spacing w:val="-17"/>
        </w:rPr>
        <w:t> </w:t>
      </w:r>
      <w:r>
        <w:rPr/>
        <w:t>48,</w:t>
      </w:r>
      <w:r>
        <w:rPr>
          <w:spacing w:val="-14"/>
        </w:rPr>
        <w:t> </w:t>
      </w:r>
      <w:r>
        <w:rPr/>
        <w:t>o</w:t>
      </w:r>
      <w:r>
        <w:rPr>
          <w:spacing w:val="-18"/>
        </w:rPr>
        <w:t> </w:t>
      </w:r>
      <w:r>
        <w:rPr/>
        <w:t>Grupo</w:t>
      </w:r>
      <w:r>
        <w:rPr>
          <w:spacing w:val="-18"/>
        </w:rPr>
        <w:t> </w:t>
      </w:r>
      <w:r>
        <w:rPr/>
        <w:t>alterou</w:t>
      </w:r>
      <w:r>
        <w:rPr>
          <w:spacing w:val="-17"/>
        </w:rPr>
        <w:t> </w:t>
      </w:r>
      <w:r>
        <w:rPr/>
        <w:t>a</w:t>
      </w:r>
      <w:r>
        <w:rPr>
          <w:spacing w:val="-18"/>
        </w:rPr>
        <w:t> </w:t>
      </w:r>
      <w:r>
        <w:rPr/>
        <w:t>classificação</w:t>
      </w:r>
      <w:r>
        <w:rPr>
          <w:spacing w:val="-18"/>
        </w:rPr>
        <w:t> </w:t>
      </w:r>
      <w:r>
        <w:rPr/>
        <w:t>dos</w:t>
      </w:r>
      <w:r>
        <w:rPr>
          <w:spacing w:val="-17"/>
        </w:rPr>
        <w:t> </w:t>
      </w:r>
      <w:r>
        <w:rPr/>
        <w:t>seus</w:t>
      </w:r>
      <w:r>
        <w:rPr>
          <w:spacing w:val="-18"/>
        </w:rPr>
        <w:t> </w:t>
      </w:r>
      <w:r>
        <w:rPr/>
        <w:t>ativos</w:t>
      </w:r>
      <w:r>
        <w:rPr>
          <w:spacing w:val="-17"/>
        </w:rPr>
        <w:t> </w:t>
      </w:r>
      <w:r>
        <w:rPr/>
        <w:t>financeiros</w:t>
      </w:r>
      <w:r>
        <w:rPr>
          <w:spacing w:val="-16"/>
        </w:rPr>
        <w:t> </w:t>
      </w:r>
      <w:r>
        <w:rPr/>
        <w:t>nas seguintes</w:t>
      </w:r>
      <w:r>
        <w:rPr>
          <w:spacing w:val="-44"/>
        </w:rPr>
        <w:t> </w:t>
      </w:r>
      <w:r>
        <w:rPr/>
        <w:t>categorias:</w:t>
      </w:r>
      <w:r>
        <w:rPr>
          <w:spacing w:val="-43"/>
        </w:rPr>
        <w:t> </w:t>
      </w:r>
      <w:r>
        <w:rPr/>
        <w:t>mensurados</w:t>
      </w:r>
      <w:r>
        <w:rPr>
          <w:spacing w:val="-43"/>
        </w:rPr>
        <w:t> </w:t>
      </w:r>
      <w:r>
        <w:rPr/>
        <w:t>ao</w:t>
      </w:r>
      <w:r>
        <w:rPr>
          <w:spacing w:val="-44"/>
        </w:rPr>
        <w:t> </w:t>
      </w:r>
      <w:r>
        <w:rPr/>
        <w:t>custo</w:t>
      </w:r>
      <w:r>
        <w:rPr>
          <w:spacing w:val="-44"/>
        </w:rPr>
        <w:t> </w:t>
      </w:r>
      <w:r>
        <w:rPr/>
        <w:t>amortizado,</w:t>
      </w:r>
      <w:r>
        <w:rPr>
          <w:spacing w:val="-43"/>
        </w:rPr>
        <w:t> </w:t>
      </w:r>
      <w:r>
        <w:rPr/>
        <w:t>ao</w:t>
      </w:r>
      <w:r>
        <w:rPr>
          <w:spacing w:val="-41"/>
        </w:rPr>
        <w:t> </w:t>
      </w:r>
      <w:r>
        <w:rPr/>
        <w:t>valor</w:t>
      </w:r>
      <w:r>
        <w:rPr>
          <w:spacing w:val="-44"/>
        </w:rPr>
        <w:t> </w:t>
      </w:r>
      <w:r>
        <w:rPr/>
        <w:t>justo</w:t>
      </w:r>
      <w:r>
        <w:rPr>
          <w:spacing w:val="-44"/>
        </w:rPr>
        <w:t> </w:t>
      </w:r>
      <w:r>
        <w:rPr/>
        <w:t>por</w:t>
      </w:r>
      <w:r>
        <w:rPr>
          <w:spacing w:val="-43"/>
        </w:rPr>
        <w:t> </w:t>
      </w:r>
      <w:r>
        <w:rPr/>
        <w:t>meio</w:t>
      </w:r>
      <w:r>
        <w:rPr>
          <w:spacing w:val="-43"/>
        </w:rPr>
        <w:t> </w:t>
      </w:r>
      <w:r>
        <w:rPr/>
        <w:t>de</w:t>
      </w:r>
      <w:r>
        <w:rPr>
          <w:spacing w:val="-44"/>
        </w:rPr>
        <w:t> </w:t>
      </w:r>
      <w:r>
        <w:rPr/>
        <w:t>outros</w:t>
      </w:r>
      <w:r>
        <w:rPr>
          <w:spacing w:val="-43"/>
        </w:rPr>
        <w:t> </w:t>
      </w:r>
      <w:r>
        <w:rPr/>
        <w:t>resultados</w:t>
      </w:r>
      <w:r>
        <w:rPr>
          <w:spacing w:val="-44"/>
        </w:rPr>
        <w:t> </w:t>
      </w:r>
      <w:r>
        <w:rPr/>
        <w:t>abrangentes</w:t>
      </w:r>
      <w:r>
        <w:rPr>
          <w:spacing w:val="-43"/>
        </w:rPr>
        <w:t> </w:t>
      </w:r>
      <w:r>
        <w:rPr/>
        <w:t>e</w:t>
      </w:r>
      <w:r>
        <w:rPr>
          <w:spacing w:val="-43"/>
        </w:rPr>
        <w:t> </w:t>
      </w:r>
      <w:r>
        <w:rPr/>
        <w:t>ao valor</w:t>
      </w:r>
      <w:r>
        <w:rPr>
          <w:spacing w:val="-42"/>
        </w:rPr>
        <w:t> </w:t>
      </w:r>
      <w:r>
        <w:rPr/>
        <w:t>justo</w:t>
      </w:r>
      <w:r>
        <w:rPr>
          <w:spacing w:val="-40"/>
        </w:rPr>
        <w:t> </w:t>
      </w:r>
      <w:r>
        <w:rPr/>
        <w:t>por</w:t>
      </w:r>
      <w:r>
        <w:rPr>
          <w:spacing w:val="-40"/>
        </w:rPr>
        <w:t> </w:t>
      </w:r>
      <w:r>
        <w:rPr/>
        <w:t>meio</w:t>
      </w:r>
      <w:r>
        <w:rPr>
          <w:spacing w:val="-40"/>
        </w:rPr>
        <w:t> </w:t>
      </w:r>
      <w:r>
        <w:rPr/>
        <w:t>do</w:t>
      </w:r>
      <w:r>
        <w:rPr>
          <w:spacing w:val="-41"/>
        </w:rPr>
        <w:t> </w:t>
      </w:r>
      <w:r>
        <w:rPr/>
        <w:t>resultado,</w:t>
      </w:r>
      <w:r>
        <w:rPr>
          <w:spacing w:val="-41"/>
        </w:rPr>
        <w:t> </w:t>
      </w:r>
      <w:r>
        <w:rPr/>
        <w:t>eliminando</w:t>
      </w:r>
      <w:r>
        <w:rPr>
          <w:spacing w:val="-40"/>
        </w:rPr>
        <w:t> </w:t>
      </w:r>
      <w:r>
        <w:rPr/>
        <w:t>as</w:t>
      </w:r>
      <w:r>
        <w:rPr>
          <w:spacing w:val="-41"/>
        </w:rPr>
        <w:t> </w:t>
      </w:r>
      <w:r>
        <w:rPr/>
        <w:t>categorias</w:t>
      </w:r>
      <w:r>
        <w:rPr>
          <w:spacing w:val="-41"/>
        </w:rPr>
        <w:t> </w:t>
      </w:r>
      <w:r>
        <w:rPr/>
        <w:t>de</w:t>
      </w:r>
      <w:r>
        <w:rPr>
          <w:spacing w:val="-40"/>
        </w:rPr>
        <w:t> </w:t>
      </w:r>
      <w:r>
        <w:rPr/>
        <w:t>mantidos</w:t>
      </w:r>
      <w:r>
        <w:rPr>
          <w:spacing w:val="-40"/>
        </w:rPr>
        <w:t> </w:t>
      </w:r>
      <w:r>
        <w:rPr/>
        <w:t>até</w:t>
      </w:r>
      <w:r>
        <w:rPr>
          <w:spacing w:val="-40"/>
        </w:rPr>
        <w:t> </w:t>
      </w:r>
      <w:r>
        <w:rPr/>
        <w:t>o</w:t>
      </w:r>
      <w:r>
        <w:rPr>
          <w:spacing w:val="-40"/>
        </w:rPr>
        <w:t> </w:t>
      </w:r>
      <w:r>
        <w:rPr/>
        <w:t>vencimento,</w:t>
      </w:r>
      <w:r>
        <w:rPr>
          <w:spacing w:val="-41"/>
        </w:rPr>
        <w:t> </w:t>
      </w:r>
      <w:r>
        <w:rPr/>
        <w:t>empréstimos</w:t>
      </w:r>
      <w:r>
        <w:rPr>
          <w:spacing w:val="-39"/>
        </w:rPr>
        <w:t> </w:t>
      </w:r>
      <w:r>
        <w:rPr/>
        <w:t>e</w:t>
      </w:r>
      <w:r>
        <w:rPr>
          <w:spacing w:val="-41"/>
        </w:rPr>
        <w:t> </w:t>
      </w:r>
      <w:r>
        <w:rPr/>
        <w:t>recebíveis e</w:t>
      </w:r>
      <w:r>
        <w:rPr>
          <w:spacing w:val="-22"/>
        </w:rPr>
        <w:t> </w:t>
      </w:r>
      <w:r>
        <w:rPr/>
        <w:t>disponíveis</w:t>
      </w:r>
      <w:r>
        <w:rPr>
          <w:spacing w:val="-22"/>
        </w:rPr>
        <w:t> </w:t>
      </w:r>
      <w:r>
        <w:rPr/>
        <w:t>para</w:t>
      </w:r>
      <w:r>
        <w:rPr>
          <w:spacing w:val="-21"/>
        </w:rPr>
        <w:t> </w:t>
      </w:r>
      <w:r>
        <w:rPr/>
        <w:t>a</w:t>
      </w:r>
      <w:r>
        <w:rPr>
          <w:spacing w:val="-22"/>
        </w:rPr>
        <w:t> </w:t>
      </w:r>
      <w:r>
        <w:rPr/>
        <w:t>venda.</w:t>
      </w:r>
      <w:r>
        <w:rPr>
          <w:spacing w:val="-21"/>
        </w:rPr>
        <w:t> </w:t>
      </w:r>
      <w:r>
        <w:rPr/>
        <w:t>A</w:t>
      </w:r>
      <w:r>
        <w:rPr>
          <w:spacing w:val="-22"/>
        </w:rPr>
        <w:t> </w:t>
      </w:r>
      <w:r>
        <w:rPr/>
        <w:t>classificação</w:t>
      </w:r>
      <w:r>
        <w:rPr>
          <w:spacing w:val="-22"/>
        </w:rPr>
        <w:t> </w:t>
      </w:r>
      <w:r>
        <w:rPr/>
        <w:t>dependerá</w:t>
      </w:r>
      <w:r>
        <w:rPr>
          <w:spacing w:val="-20"/>
        </w:rPr>
        <w:t> </w:t>
      </w:r>
      <w:r>
        <w:rPr/>
        <w:t>do</w:t>
      </w:r>
      <w:r>
        <w:rPr>
          <w:spacing w:val="-22"/>
        </w:rPr>
        <w:t> </w:t>
      </w:r>
      <w:r>
        <w:rPr/>
        <w:t>modelo</w:t>
      </w:r>
      <w:r>
        <w:rPr>
          <w:spacing w:val="-21"/>
        </w:rPr>
        <w:t> </w:t>
      </w:r>
      <w:r>
        <w:rPr/>
        <w:t>de</w:t>
      </w:r>
      <w:r>
        <w:rPr>
          <w:spacing w:val="-21"/>
        </w:rPr>
        <w:t> </w:t>
      </w:r>
      <w:r>
        <w:rPr/>
        <w:t>negócios</w:t>
      </w:r>
      <w:r>
        <w:rPr>
          <w:spacing w:val="-21"/>
        </w:rPr>
        <w:t> </w:t>
      </w:r>
      <w:r>
        <w:rPr/>
        <w:t>da</w:t>
      </w:r>
      <w:r>
        <w:rPr>
          <w:spacing w:val="-20"/>
        </w:rPr>
        <w:t> </w:t>
      </w:r>
      <w:r>
        <w:rPr/>
        <w:t>entidade</w:t>
      </w:r>
      <w:r>
        <w:rPr>
          <w:spacing w:val="-22"/>
        </w:rPr>
        <w:t> </w:t>
      </w:r>
      <w:r>
        <w:rPr/>
        <w:t>para</w:t>
      </w:r>
      <w:r>
        <w:rPr>
          <w:spacing w:val="-20"/>
        </w:rPr>
        <w:t> </w:t>
      </w:r>
      <w:r>
        <w:rPr/>
        <w:t>a</w:t>
      </w:r>
      <w:r>
        <w:rPr>
          <w:spacing w:val="-22"/>
        </w:rPr>
        <w:t> </w:t>
      </w:r>
      <w:r>
        <w:rPr/>
        <w:t>gestão</w:t>
      </w:r>
      <w:r>
        <w:rPr>
          <w:spacing w:val="-21"/>
        </w:rPr>
        <w:t> </w:t>
      </w:r>
      <w:r>
        <w:rPr/>
        <w:t>dos</w:t>
      </w:r>
      <w:r>
        <w:rPr>
          <w:spacing w:val="-22"/>
        </w:rPr>
        <w:t> </w:t>
      </w:r>
      <w:r>
        <w:rPr/>
        <w:t>ativos financeiros,</w:t>
      </w:r>
      <w:r>
        <w:rPr>
          <w:spacing w:val="-18"/>
        </w:rPr>
        <w:t> </w:t>
      </w:r>
      <w:r>
        <w:rPr/>
        <w:t>e</w:t>
      </w:r>
      <w:r>
        <w:rPr>
          <w:spacing w:val="-19"/>
        </w:rPr>
        <w:t> </w:t>
      </w:r>
      <w:r>
        <w:rPr/>
        <w:t>as</w:t>
      </w:r>
      <w:r>
        <w:rPr>
          <w:spacing w:val="-20"/>
        </w:rPr>
        <w:t> </w:t>
      </w:r>
      <w:r>
        <w:rPr/>
        <w:t>características</w:t>
      </w:r>
      <w:r>
        <w:rPr>
          <w:spacing w:val="-19"/>
        </w:rPr>
        <w:t> </w:t>
      </w:r>
      <w:r>
        <w:rPr/>
        <w:t>contratuais</w:t>
      </w:r>
      <w:r>
        <w:rPr>
          <w:spacing w:val="-20"/>
        </w:rPr>
        <w:t> </w:t>
      </w:r>
      <w:r>
        <w:rPr/>
        <w:t>dos</w:t>
      </w:r>
      <w:r>
        <w:rPr>
          <w:spacing w:val="-18"/>
        </w:rPr>
        <w:t> </w:t>
      </w:r>
      <w:r>
        <w:rPr/>
        <w:t>fluxos</w:t>
      </w:r>
      <w:r>
        <w:rPr>
          <w:spacing w:val="-20"/>
        </w:rPr>
        <w:t> </w:t>
      </w:r>
      <w:r>
        <w:rPr/>
        <w:t>de</w:t>
      </w:r>
      <w:r>
        <w:rPr>
          <w:spacing w:val="-18"/>
        </w:rPr>
        <w:t> </w:t>
      </w:r>
      <w:r>
        <w:rPr/>
        <w:t>caixa.</w:t>
      </w:r>
    </w:p>
    <w:p>
      <w:pPr>
        <w:pStyle w:val="BodyText"/>
        <w:spacing w:before="7"/>
      </w:pPr>
    </w:p>
    <w:p>
      <w:pPr>
        <w:pStyle w:val="Heading5"/>
        <w:numPr>
          <w:ilvl w:val="3"/>
          <w:numId w:val="16"/>
        </w:numPr>
        <w:tabs>
          <w:tab w:pos="1325" w:val="left" w:leader="none"/>
          <w:tab w:pos="1326" w:val="left" w:leader="none"/>
        </w:tabs>
        <w:spacing w:line="240" w:lineRule="auto" w:before="0" w:after="0"/>
        <w:ind w:left="1326" w:right="0" w:hanging="1134"/>
        <w:jc w:val="left"/>
      </w:pPr>
      <w:r>
        <w:rPr/>
        <w:t>Ativos Financeiros registrados pelo custo</w:t>
      </w:r>
      <w:r>
        <w:rPr>
          <w:spacing w:val="-7"/>
        </w:rPr>
        <w:t> </w:t>
      </w:r>
      <w:r>
        <w:rPr/>
        <w:t>amortizado</w:t>
      </w:r>
    </w:p>
    <w:p>
      <w:pPr>
        <w:pStyle w:val="BodyText"/>
        <w:spacing w:before="7"/>
        <w:rPr>
          <w:rFonts w:ascii="Caladea"/>
          <w:b/>
        </w:rPr>
      </w:pPr>
    </w:p>
    <w:p>
      <w:pPr>
        <w:pStyle w:val="BodyText"/>
        <w:spacing w:line="242" w:lineRule="auto"/>
        <w:ind w:left="192" w:right="610"/>
        <w:jc w:val="both"/>
      </w:pPr>
      <w:r>
        <w:rPr/>
        <w:t>Um</w:t>
      </w:r>
      <w:r>
        <w:rPr>
          <w:spacing w:val="-43"/>
        </w:rPr>
        <w:t> </w:t>
      </w:r>
      <w:r>
        <w:rPr/>
        <w:t>ativo</w:t>
      </w:r>
      <w:r>
        <w:rPr>
          <w:spacing w:val="-42"/>
        </w:rPr>
        <w:t> </w:t>
      </w:r>
      <w:r>
        <w:rPr/>
        <w:t>financeiro</w:t>
      </w:r>
      <w:r>
        <w:rPr>
          <w:spacing w:val="-42"/>
        </w:rPr>
        <w:t> </w:t>
      </w:r>
      <w:r>
        <w:rPr/>
        <w:t>é</w:t>
      </w:r>
      <w:r>
        <w:rPr>
          <w:spacing w:val="-42"/>
        </w:rPr>
        <w:t> </w:t>
      </w:r>
      <w:r>
        <w:rPr/>
        <w:t>classificado</w:t>
      </w:r>
      <w:r>
        <w:rPr>
          <w:spacing w:val="-43"/>
        </w:rPr>
        <w:t> </w:t>
      </w:r>
      <w:r>
        <w:rPr/>
        <w:t>pelo</w:t>
      </w:r>
      <w:r>
        <w:rPr>
          <w:spacing w:val="-42"/>
        </w:rPr>
        <w:t> </w:t>
      </w:r>
      <w:r>
        <w:rPr/>
        <w:t>custo</w:t>
      </w:r>
      <w:r>
        <w:rPr>
          <w:spacing w:val="-43"/>
        </w:rPr>
        <w:t> </w:t>
      </w:r>
      <w:r>
        <w:rPr/>
        <w:t>amortizado</w:t>
      </w:r>
      <w:r>
        <w:rPr>
          <w:spacing w:val="-41"/>
        </w:rPr>
        <w:t> </w:t>
      </w:r>
      <w:r>
        <w:rPr/>
        <w:t>quando</w:t>
      </w:r>
      <w:r>
        <w:rPr>
          <w:spacing w:val="-43"/>
        </w:rPr>
        <w:t> </w:t>
      </w:r>
      <w:r>
        <w:rPr/>
        <w:t>a</w:t>
      </w:r>
      <w:r>
        <w:rPr>
          <w:spacing w:val="-41"/>
        </w:rPr>
        <w:t> </w:t>
      </w:r>
      <w:r>
        <w:rPr/>
        <w:t>entidade</w:t>
      </w:r>
      <w:r>
        <w:rPr>
          <w:spacing w:val="-43"/>
        </w:rPr>
        <w:t> </w:t>
      </w:r>
      <w:r>
        <w:rPr/>
        <w:t>possui</w:t>
      </w:r>
      <w:r>
        <w:rPr>
          <w:spacing w:val="-42"/>
        </w:rPr>
        <w:t> </w:t>
      </w:r>
      <w:r>
        <w:rPr/>
        <w:t>como</w:t>
      </w:r>
      <w:r>
        <w:rPr>
          <w:spacing w:val="-43"/>
        </w:rPr>
        <w:t> </w:t>
      </w:r>
      <w:r>
        <w:rPr/>
        <w:t>modelo</w:t>
      </w:r>
      <w:r>
        <w:rPr>
          <w:spacing w:val="-42"/>
        </w:rPr>
        <w:t> </w:t>
      </w:r>
      <w:r>
        <w:rPr/>
        <w:t>de</w:t>
      </w:r>
      <w:r>
        <w:rPr>
          <w:spacing w:val="-42"/>
        </w:rPr>
        <w:t> </w:t>
      </w:r>
      <w:r>
        <w:rPr/>
        <w:t>negócios,</w:t>
      </w:r>
      <w:r>
        <w:rPr>
          <w:spacing w:val="-43"/>
        </w:rPr>
        <w:t> </w:t>
      </w:r>
      <w:r>
        <w:rPr/>
        <w:t>manter seus</w:t>
      </w:r>
      <w:r>
        <w:rPr>
          <w:spacing w:val="-25"/>
        </w:rPr>
        <w:t> </w:t>
      </w:r>
      <w:r>
        <w:rPr/>
        <w:t>ativos</w:t>
      </w:r>
      <w:r>
        <w:rPr>
          <w:spacing w:val="-23"/>
        </w:rPr>
        <w:t> </w:t>
      </w:r>
      <w:r>
        <w:rPr/>
        <w:t>financeiros</w:t>
      </w:r>
      <w:r>
        <w:rPr>
          <w:spacing w:val="-25"/>
        </w:rPr>
        <w:t> </w:t>
      </w:r>
      <w:r>
        <w:rPr/>
        <w:t>até</w:t>
      </w:r>
      <w:r>
        <w:rPr>
          <w:spacing w:val="-24"/>
        </w:rPr>
        <w:t> </w:t>
      </w:r>
      <w:r>
        <w:rPr/>
        <w:t>o</w:t>
      </w:r>
      <w:r>
        <w:rPr>
          <w:spacing w:val="-25"/>
        </w:rPr>
        <w:t> </w:t>
      </w:r>
      <w:r>
        <w:rPr/>
        <w:t>vencimento.</w:t>
      </w:r>
      <w:r>
        <w:rPr>
          <w:spacing w:val="-26"/>
        </w:rPr>
        <w:t> </w:t>
      </w:r>
      <w:r>
        <w:rPr/>
        <w:t>Entende-se</w:t>
      </w:r>
      <w:r>
        <w:rPr>
          <w:spacing w:val="-24"/>
        </w:rPr>
        <w:t> </w:t>
      </w:r>
      <w:r>
        <w:rPr/>
        <w:t>como</w:t>
      </w:r>
      <w:r>
        <w:rPr>
          <w:spacing w:val="-24"/>
        </w:rPr>
        <w:t> </w:t>
      </w:r>
      <w:r>
        <w:rPr/>
        <w:t>modelo</w:t>
      </w:r>
      <w:r>
        <w:rPr>
          <w:spacing w:val="-25"/>
        </w:rPr>
        <w:t> </w:t>
      </w:r>
      <w:r>
        <w:rPr/>
        <w:t>de</w:t>
      </w:r>
      <w:r>
        <w:rPr>
          <w:spacing w:val="-25"/>
        </w:rPr>
        <w:t> </w:t>
      </w:r>
      <w:r>
        <w:rPr/>
        <w:t>negócios</w:t>
      </w:r>
      <w:r>
        <w:rPr>
          <w:spacing w:val="-23"/>
        </w:rPr>
        <w:t> </w:t>
      </w:r>
      <w:r>
        <w:rPr/>
        <w:t>a</w:t>
      </w:r>
      <w:r>
        <w:rPr>
          <w:spacing w:val="-24"/>
        </w:rPr>
        <w:t> </w:t>
      </w:r>
      <w:r>
        <w:rPr/>
        <w:t>forma</w:t>
      </w:r>
      <w:r>
        <w:rPr>
          <w:spacing w:val="-25"/>
        </w:rPr>
        <w:t> </w:t>
      </w:r>
      <w:r>
        <w:rPr/>
        <w:t>como</w:t>
      </w:r>
      <w:r>
        <w:rPr>
          <w:spacing w:val="-25"/>
        </w:rPr>
        <w:t> </w:t>
      </w:r>
      <w:r>
        <w:rPr/>
        <w:t>a</w:t>
      </w:r>
      <w:r>
        <w:rPr>
          <w:spacing w:val="-23"/>
        </w:rPr>
        <w:t> </w:t>
      </w:r>
      <w:r>
        <w:rPr/>
        <w:t>entidade</w:t>
      </w:r>
      <w:r>
        <w:rPr>
          <w:spacing w:val="-25"/>
        </w:rPr>
        <w:t> </w:t>
      </w:r>
      <w:r>
        <w:rPr/>
        <w:t>gerencia seus</w:t>
      </w:r>
      <w:r>
        <w:rPr>
          <w:spacing w:val="-23"/>
        </w:rPr>
        <w:t> </w:t>
      </w:r>
      <w:r>
        <w:rPr/>
        <w:t>ativos</w:t>
      </w:r>
      <w:r>
        <w:rPr>
          <w:spacing w:val="-22"/>
        </w:rPr>
        <w:t> </w:t>
      </w:r>
      <w:r>
        <w:rPr/>
        <w:t>financeiros</w:t>
      </w:r>
      <w:r>
        <w:rPr>
          <w:spacing w:val="-22"/>
        </w:rPr>
        <w:t> </w:t>
      </w:r>
      <w:r>
        <w:rPr/>
        <w:t>para</w:t>
      </w:r>
      <w:r>
        <w:rPr>
          <w:spacing w:val="-21"/>
        </w:rPr>
        <w:t> </w:t>
      </w:r>
      <w:r>
        <w:rPr/>
        <w:t>geração</w:t>
      </w:r>
      <w:r>
        <w:rPr>
          <w:spacing w:val="-23"/>
        </w:rPr>
        <w:t> </w:t>
      </w:r>
      <w:r>
        <w:rPr/>
        <w:t>de</w:t>
      </w:r>
      <w:r>
        <w:rPr>
          <w:spacing w:val="-22"/>
        </w:rPr>
        <w:t> </w:t>
      </w:r>
      <w:r>
        <w:rPr/>
        <w:t>fluxos</w:t>
      </w:r>
      <w:r>
        <w:rPr>
          <w:spacing w:val="-21"/>
        </w:rPr>
        <w:t> </w:t>
      </w:r>
      <w:r>
        <w:rPr/>
        <w:t>de</w:t>
      </w:r>
      <w:r>
        <w:rPr>
          <w:spacing w:val="-22"/>
        </w:rPr>
        <w:t> </w:t>
      </w:r>
      <w:r>
        <w:rPr/>
        <w:t>caixa.</w:t>
      </w:r>
      <w:r>
        <w:rPr>
          <w:spacing w:val="17"/>
        </w:rPr>
        <w:t> </w:t>
      </w:r>
      <w:r>
        <w:rPr/>
        <w:t>Nesta</w:t>
      </w:r>
      <w:r>
        <w:rPr>
          <w:spacing w:val="-23"/>
        </w:rPr>
        <w:t> </w:t>
      </w:r>
      <w:r>
        <w:rPr/>
        <w:t>categoria</w:t>
      </w:r>
      <w:r>
        <w:rPr>
          <w:spacing w:val="-22"/>
        </w:rPr>
        <w:t> </w:t>
      </w:r>
      <w:r>
        <w:rPr/>
        <w:t>foram</w:t>
      </w:r>
      <w:r>
        <w:rPr>
          <w:spacing w:val="-21"/>
        </w:rPr>
        <w:t> </w:t>
      </w:r>
      <w:r>
        <w:rPr/>
        <w:t>consideradas</w:t>
      </w:r>
      <w:r>
        <w:rPr>
          <w:spacing w:val="-22"/>
        </w:rPr>
        <w:t> </w:t>
      </w:r>
      <w:r>
        <w:rPr/>
        <w:t>Caixa</w:t>
      </w:r>
      <w:r>
        <w:rPr>
          <w:spacing w:val="-22"/>
        </w:rPr>
        <w:t> </w:t>
      </w:r>
      <w:r>
        <w:rPr/>
        <w:t>e</w:t>
      </w:r>
      <w:r>
        <w:rPr>
          <w:spacing w:val="-24"/>
        </w:rPr>
        <w:t> </w:t>
      </w:r>
      <w:r>
        <w:rPr/>
        <w:t>Bancos</w:t>
      </w:r>
      <w:r>
        <w:rPr>
          <w:spacing w:val="-22"/>
        </w:rPr>
        <w:t> </w:t>
      </w:r>
      <w:r>
        <w:rPr/>
        <w:t>(Nota Explicativa</w:t>
      </w:r>
      <w:r>
        <w:rPr>
          <w:spacing w:val="-32"/>
        </w:rPr>
        <w:t> </w:t>
      </w:r>
      <w:r>
        <w:rPr/>
        <w:t>nº</w:t>
      </w:r>
      <w:r>
        <w:rPr>
          <w:spacing w:val="-31"/>
        </w:rPr>
        <w:t> </w:t>
      </w:r>
      <w:r>
        <w:rPr/>
        <w:t>5);</w:t>
      </w:r>
      <w:r>
        <w:rPr>
          <w:spacing w:val="-32"/>
        </w:rPr>
        <w:t> </w:t>
      </w:r>
      <w:r>
        <w:rPr/>
        <w:t>Contas</w:t>
      </w:r>
      <w:r>
        <w:rPr>
          <w:spacing w:val="-32"/>
        </w:rPr>
        <w:t> </w:t>
      </w:r>
      <w:r>
        <w:rPr/>
        <w:t>a</w:t>
      </w:r>
      <w:r>
        <w:rPr>
          <w:spacing w:val="-31"/>
        </w:rPr>
        <w:t> </w:t>
      </w:r>
      <w:r>
        <w:rPr/>
        <w:t>Receber</w:t>
      </w:r>
      <w:r>
        <w:rPr>
          <w:spacing w:val="-32"/>
        </w:rPr>
        <w:t> </w:t>
      </w:r>
      <w:r>
        <w:rPr/>
        <w:t>(Nota</w:t>
      </w:r>
      <w:r>
        <w:rPr>
          <w:spacing w:val="-32"/>
        </w:rPr>
        <w:t> </w:t>
      </w:r>
      <w:r>
        <w:rPr/>
        <w:t>Explicativa</w:t>
      </w:r>
      <w:r>
        <w:rPr>
          <w:spacing w:val="-32"/>
        </w:rPr>
        <w:t> </w:t>
      </w:r>
      <w:r>
        <w:rPr/>
        <w:t>nº</w:t>
      </w:r>
      <w:r>
        <w:rPr>
          <w:spacing w:val="-30"/>
        </w:rPr>
        <w:t> </w:t>
      </w:r>
      <w:r>
        <w:rPr/>
        <w:t>6);</w:t>
      </w:r>
      <w:r>
        <w:rPr>
          <w:spacing w:val="-31"/>
        </w:rPr>
        <w:t> </w:t>
      </w:r>
      <w:r>
        <w:rPr/>
        <w:t>Valores</w:t>
      </w:r>
      <w:r>
        <w:rPr>
          <w:spacing w:val="-32"/>
        </w:rPr>
        <w:t> </w:t>
      </w:r>
      <w:r>
        <w:rPr/>
        <w:t>a</w:t>
      </w:r>
      <w:r>
        <w:rPr>
          <w:spacing w:val="-31"/>
        </w:rPr>
        <w:t> </w:t>
      </w:r>
      <w:r>
        <w:rPr/>
        <w:t>Receber</w:t>
      </w:r>
      <w:r>
        <w:rPr>
          <w:spacing w:val="-33"/>
        </w:rPr>
        <w:t> </w:t>
      </w:r>
      <w:r>
        <w:rPr/>
        <w:t>de</w:t>
      </w:r>
      <w:r>
        <w:rPr>
          <w:spacing w:val="-32"/>
        </w:rPr>
        <w:t> </w:t>
      </w:r>
      <w:r>
        <w:rPr/>
        <w:t>Parcela</w:t>
      </w:r>
      <w:r>
        <w:rPr>
          <w:spacing w:val="-32"/>
        </w:rPr>
        <w:t> </w:t>
      </w:r>
      <w:r>
        <w:rPr/>
        <w:t>A</w:t>
      </w:r>
      <w:r>
        <w:rPr>
          <w:spacing w:val="-32"/>
        </w:rPr>
        <w:t> </w:t>
      </w:r>
      <w:r>
        <w:rPr/>
        <w:t>e</w:t>
      </w:r>
      <w:r>
        <w:rPr>
          <w:spacing w:val="-32"/>
        </w:rPr>
        <w:t> </w:t>
      </w:r>
      <w:r>
        <w:rPr/>
        <w:t>outros</w:t>
      </w:r>
      <w:r>
        <w:rPr>
          <w:spacing w:val="-32"/>
        </w:rPr>
        <w:t> </w:t>
      </w:r>
      <w:r>
        <w:rPr/>
        <w:t>itens</w:t>
      </w:r>
      <w:r>
        <w:rPr>
          <w:spacing w:val="-32"/>
        </w:rPr>
        <w:t> </w:t>
      </w:r>
      <w:r>
        <w:rPr/>
        <w:t>financeiros (Nota</w:t>
      </w:r>
      <w:r>
        <w:rPr>
          <w:spacing w:val="-21"/>
        </w:rPr>
        <w:t> </w:t>
      </w:r>
      <w:r>
        <w:rPr/>
        <w:t>Explicativa</w:t>
      </w:r>
      <w:r>
        <w:rPr>
          <w:spacing w:val="-21"/>
        </w:rPr>
        <w:t> </w:t>
      </w:r>
      <w:r>
        <w:rPr/>
        <w:t>nº</w:t>
      </w:r>
      <w:r>
        <w:rPr>
          <w:spacing w:val="-19"/>
        </w:rPr>
        <w:t> </w:t>
      </w:r>
      <w:r>
        <w:rPr/>
        <w:t>8);</w:t>
      </w:r>
      <w:r>
        <w:rPr>
          <w:spacing w:val="-19"/>
        </w:rPr>
        <w:t> </w:t>
      </w:r>
      <w:r>
        <w:rPr/>
        <w:t>e</w:t>
      </w:r>
      <w:r>
        <w:rPr>
          <w:spacing w:val="-22"/>
        </w:rPr>
        <w:t> </w:t>
      </w:r>
      <w:r>
        <w:rPr/>
        <w:t>Aplicações</w:t>
      </w:r>
      <w:r>
        <w:rPr>
          <w:spacing w:val="-21"/>
        </w:rPr>
        <w:t> </w:t>
      </w:r>
      <w:r>
        <w:rPr/>
        <w:t>Financeiras</w:t>
      </w:r>
      <w:r>
        <w:rPr>
          <w:spacing w:val="-20"/>
        </w:rPr>
        <w:t> </w:t>
      </w:r>
      <w:r>
        <w:rPr/>
        <w:t>de</w:t>
      </w:r>
      <w:r>
        <w:rPr>
          <w:spacing w:val="-21"/>
        </w:rPr>
        <w:t> </w:t>
      </w:r>
      <w:r>
        <w:rPr/>
        <w:t>curto</w:t>
      </w:r>
      <w:r>
        <w:rPr>
          <w:spacing w:val="-21"/>
        </w:rPr>
        <w:t> </w:t>
      </w:r>
      <w:r>
        <w:rPr/>
        <w:t>prazo</w:t>
      </w:r>
      <w:r>
        <w:rPr>
          <w:spacing w:val="-19"/>
        </w:rPr>
        <w:t> </w:t>
      </w:r>
      <w:r>
        <w:rPr/>
        <w:t>(Nota</w:t>
      </w:r>
      <w:r>
        <w:rPr>
          <w:spacing w:val="-20"/>
        </w:rPr>
        <w:t> </w:t>
      </w:r>
      <w:r>
        <w:rPr/>
        <w:t>Explicativa</w:t>
      </w:r>
      <w:r>
        <w:rPr>
          <w:spacing w:val="-21"/>
        </w:rPr>
        <w:t> </w:t>
      </w:r>
      <w:r>
        <w:rPr/>
        <w:t>nº</w:t>
      </w:r>
      <w:r>
        <w:rPr>
          <w:spacing w:val="-18"/>
        </w:rPr>
        <w:t> </w:t>
      </w:r>
      <w:r>
        <w:rPr/>
        <w:t>5).</w:t>
      </w:r>
    </w:p>
    <w:p>
      <w:pPr>
        <w:pStyle w:val="BodyText"/>
        <w:spacing w:before="6"/>
      </w:pPr>
    </w:p>
    <w:p>
      <w:pPr>
        <w:pStyle w:val="Heading5"/>
        <w:numPr>
          <w:ilvl w:val="3"/>
          <w:numId w:val="16"/>
        </w:numPr>
        <w:tabs>
          <w:tab w:pos="1325" w:val="left" w:leader="none"/>
          <w:tab w:pos="1326" w:val="left" w:leader="none"/>
        </w:tabs>
        <w:spacing w:line="240" w:lineRule="auto" w:before="1" w:after="0"/>
        <w:ind w:left="1326" w:right="0" w:hanging="1134"/>
        <w:jc w:val="left"/>
      </w:pPr>
      <w:r>
        <w:rPr/>
        <w:t>Ativos Financeiros ao valor justo por meio de outros resultados</w:t>
      </w:r>
      <w:r>
        <w:rPr>
          <w:spacing w:val="-14"/>
        </w:rPr>
        <w:t> </w:t>
      </w:r>
      <w:r>
        <w:rPr/>
        <w:t>abrangentes</w:t>
      </w:r>
    </w:p>
    <w:p>
      <w:pPr>
        <w:pStyle w:val="BodyText"/>
        <w:spacing w:before="4"/>
        <w:rPr>
          <w:rFonts w:ascii="Caladea"/>
          <w:b/>
        </w:rPr>
      </w:pPr>
    </w:p>
    <w:p>
      <w:pPr>
        <w:pStyle w:val="BodyText"/>
        <w:spacing w:line="242" w:lineRule="auto"/>
        <w:ind w:left="192" w:right="618"/>
        <w:jc w:val="both"/>
      </w:pPr>
      <w:r>
        <w:rPr/>
        <w:t>A</w:t>
      </w:r>
      <w:r>
        <w:rPr>
          <w:spacing w:val="-32"/>
        </w:rPr>
        <w:t> </w:t>
      </w:r>
      <w:r>
        <w:rPr/>
        <w:t>Companhia</w:t>
      </w:r>
      <w:r>
        <w:rPr>
          <w:spacing w:val="-32"/>
        </w:rPr>
        <w:t> </w:t>
      </w:r>
      <w:r>
        <w:rPr/>
        <w:t>tem</w:t>
      </w:r>
      <w:r>
        <w:rPr>
          <w:spacing w:val="-32"/>
        </w:rPr>
        <w:t> </w:t>
      </w:r>
      <w:r>
        <w:rPr/>
        <w:t>como</w:t>
      </w:r>
      <w:r>
        <w:rPr>
          <w:spacing w:val="-32"/>
        </w:rPr>
        <w:t> </w:t>
      </w:r>
      <w:r>
        <w:rPr/>
        <w:t>modelo</w:t>
      </w:r>
      <w:r>
        <w:rPr>
          <w:spacing w:val="-33"/>
        </w:rPr>
        <w:t> </w:t>
      </w:r>
      <w:r>
        <w:rPr/>
        <w:t>de</w:t>
      </w:r>
      <w:r>
        <w:rPr>
          <w:spacing w:val="-33"/>
        </w:rPr>
        <w:t> </w:t>
      </w:r>
      <w:r>
        <w:rPr/>
        <w:t>negócios</w:t>
      </w:r>
      <w:r>
        <w:rPr>
          <w:spacing w:val="-31"/>
        </w:rPr>
        <w:t> </w:t>
      </w:r>
      <w:r>
        <w:rPr/>
        <w:t>manter</w:t>
      </w:r>
      <w:r>
        <w:rPr>
          <w:spacing w:val="-32"/>
        </w:rPr>
        <w:t> </w:t>
      </w:r>
      <w:r>
        <w:rPr/>
        <w:t>os</w:t>
      </w:r>
      <w:r>
        <w:rPr>
          <w:spacing w:val="-30"/>
        </w:rPr>
        <w:t> </w:t>
      </w:r>
      <w:r>
        <w:rPr/>
        <w:t>ativos</w:t>
      </w:r>
      <w:r>
        <w:rPr>
          <w:spacing w:val="-32"/>
        </w:rPr>
        <w:t> </w:t>
      </w:r>
      <w:r>
        <w:rPr/>
        <w:t>tanto</w:t>
      </w:r>
      <w:r>
        <w:rPr>
          <w:spacing w:val="-31"/>
        </w:rPr>
        <w:t> </w:t>
      </w:r>
      <w:r>
        <w:rPr/>
        <w:t>pelo</w:t>
      </w:r>
      <w:r>
        <w:rPr>
          <w:spacing w:val="-31"/>
        </w:rPr>
        <w:t> </w:t>
      </w:r>
      <w:r>
        <w:rPr/>
        <w:t>recebimento</w:t>
      </w:r>
      <w:r>
        <w:rPr>
          <w:spacing w:val="-32"/>
        </w:rPr>
        <w:t> </w:t>
      </w:r>
      <w:r>
        <w:rPr/>
        <w:t>de</w:t>
      </w:r>
      <w:r>
        <w:rPr>
          <w:spacing w:val="-32"/>
        </w:rPr>
        <w:t> </w:t>
      </w:r>
      <w:r>
        <w:rPr/>
        <w:t>fluxos</w:t>
      </w:r>
      <w:r>
        <w:rPr>
          <w:spacing w:val="-32"/>
        </w:rPr>
        <w:t> </w:t>
      </w:r>
      <w:r>
        <w:rPr/>
        <w:t>de</w:t>
      </w:r>
      <w:r>
        <w:rPr>
          <w:spacing w:val="-33"/>
        </w:rPr>
        <w:t> </w:t>
      </w:r>
      <w:r>
        <w:rPr/>
        <w:t>caixa</w:t>
      </w:r>
      <w:r>
        <w:rPr>
          <w:spacing w:val="-31"/>
        </w:rPr>
        <w:t> </w:t>
      </w:r>
      <w:r>
        <w:rPr/>
        <w:t>contratuais quanto</w:t>
      </w:r>
      <w:r>
        <w:rPr>
          <w:spacing w:val="-18"/>
        </w:rPr>
        <w:t> </w:t>
      </w:r>
      <w:r>
        <w:rPr/>
        <w:t>pela</w:t>
      </w:r>
      <w:r>
        <w:rPr>
          <w:spacing w:val="-17"/>
        </w:rPr>
        <w:t> </w:t>
      </w:r>
      <w:r>
        <w:rPr/>
        <w:t>venda</w:t>
      </w:r>
      <w:r>
        <w:rPr>
          <w:spacing w:val="-18"/>
        </w:rPr>
        <w:t> </w:t>
      </w:r>
      <w:r>
        <w:rPr/>
        <w:t>de</w:t>
      </w:r>
      <w:r>
        <w:rPr>
          <w:spacing w:val="-19"/>
        </w:rPr>
        <w:t> </w:t>
      </w:r>
      <w:r>
        <w:rPr/>
        <w:t>ativos</w:t>
      </w:r>
      <w:r>
        <w:rPr>
          <w:spacing w:val="-19"/>
        </w:rPr>
        <w:t> </w:t>
      </w:r>
      <w:r>
        <w:rPr/>
        <w:t>financeiros,</w:t>
      </w:r>
      <w:r>
        <w:rPr>
          <w:spacing w:val="-16"/>
        </w:rPr>
        <w:t> </w:t>
      </w:r>
      <w:r>
        <w:rPr/>
        <w:t>então</w:t>
      </w:r>
      <w:r>
        <w:rPr>
          <w:spacing w:val="-18"/>
        </w:rPr>
        <w:t> </w:t>
      </w:r>
      <w:r>
        <w:rPr/>
        <w:t>tais</w:t>
      </w:r>
      <w:r>
        <w:rPr>
          <w:spacing w:val="-19"/>
        </w:rPr>
        <w:t> </w:t>
      </w:r>
      <w:r>
        <w:rPr/>
        <w:t>ativos</w:t>
      </w:r>
      <w:r>
        <w:rPr>
          <w:spacing w:val="-18"/>
        </w:rPr>
        <w:t> </w:t>
      </w:r>
      <w:r>
        <w:rPr/>
        <w:t>financeiros</w:t>
      </w:r>
      <w:r>
        <w:rPr>
          <w:spacing w:val="-19"/>
        </w:rPr>
        <w:t> </w:t>
      </w:r>
      <w:r>
        <w:rPr/>
        <w:t>são</w:t>
      </w:r>
      <w:r>
        <w:rPr>
          <w:spacing w:val="-18"/>
        </w:rPr>
        <w:t> </w:t>
      </w:r>
      <w:r>
        <w:rPr/>
        <w:t>classificados</w:t>
      </w:r>
      <w:r>
        <w:rPr>
          <w:spacing w:val="-18"/>
        </w:rPr>
        <w:t> </w:t>
      </w:r>
      <w:r>
        <w:rPr/>
        <w:t>ao</w:t>
      </w:r>
      <w:r>
        <w:rPr>
          <w:spacing w:val="-19"/>
        </w:rPr>
        <w:t> </w:t>
      </w:r>
      <w:r>
        <w:rPr/>
        <w:t>valor</w:t>
      </w:r>
      <w:r>
        <w:rPr>
          <w:spacing w:val="-19"/>
        </w:rPr>
        <w:t> </w:t>
      </w:r>
      <w:r>
        <w:rPr/>
        <w:t>justo</w:t>
      </w:r>
      <w:r>
        <w:rPr>
          <w:spacing w:val="-19"/>
        </w:rPr>
        <w:t> </w:t>
      </w:r>
      <w:r>
        <w:rPr/>
        <w:t>por</w:t>
      </w:r>
      <w:r>
        <w:rPr>
          <w:spacing w:val="-19"/>
        </w:rPr>
        <w:t> </w:t>
      </w:r>
      <w:r>
        <w:rPr/>
        <w:t>meio</w:t>
      </w:r>
      <w:r>
        <w:rPr>
          <w:spacing w:val="-17"/>
        </w:rPr>
        <w:t> </w:t>
      </w:r>
      <w:r>
        <w:rPr/>
        <w:t>de outros</w:t>
      </w:r>
      <w:r>
        <w:rPr>
          <w:spacing w:val="-20"/>
        </w:rPr>
        <w:t> </w:t>
      </w:r>
      <w:r>
        <w:rPr/>
        <w:t>resultados</w:t>
      </w:r>
      <w:r>
        <w:rPr>
          <w:spacing w:val="-21"/>
        </w:rPr>
        <w:t> </w:t>
      </w:r>
      <w:r>
        <w:rPr/>
        <w:t>abrangentes.</w:t>
      </w:r>
      <w:r>
        <w:rPr>
          <w:spacing w:val="-23"/>
        </w:rPr>
        <w:t> </w:t>
      </w:r>
      <w:r>
        <w:rPr/>
        <w:t>O</w:t>
      </w:r>
      <w:r>
        <w:rPr>
          <w:spacing w:val="-20"/>
        </w:rPr>
        <w:t> </w:t>
      </w:r>
      <w:r>
        <w:rPr/>
        <w:t>Grupo</w:t>
      </w:r>
      <w:r>
        <w:rPr>
          <w:spacing w:val="-20"/>
        </w:rPr>
        <w:t> </w:t>
      </w:r>
      <w:r>
        <w:rPr/>
        <w:t>não</w:t>
      </w:r>
      <w:r>
        <w:rPr>
          <w:spacing w:val="-22"/>
        </w:rPr>
        <w:t> </w:t>
      </w:r>
      <w:r>
        <w:rPr/>
        <w:t>possui</w:t>
      </w:r>
      <w:r>
        <w:rPr>
          <w:spacing w:val="-19"/>
        </w:rPr>
        <w:t> </w:t>
      </w:r>
      <w:r>
        <w:rPr/>
        <w:t>ativos</w:t>
      </w:r>
      <w:r>
        <w:rPr>
          <w:spacing w:val="-22"/>
        </w:rPr>
        <w:t> </w:t>
      </w:r>
      <w:r>
        <w:rPr/>
        <w:t>classificados</w:t>
      </w:r>
      <w:r>
        <w:rPr>
          <w:spacing w:val="-21"/>
        </w:rPr>
        <w:t> </w:t>
      </w:r>
      <w:r>
        <w:rPr/>
        <w:t>nessa</w:t>
      </w:r>
      <w:r>
        <w:rPr>
          <w:spacing w:val="-21"/>
        </w:rPr>
        <w:t> </w:t>
      </w:r>
      <w:r>
        <w:rPr/>
        <w:t>categoria.</w:t>
      </w:r>
    </w:p>
    <w:p>
      <w:pPr>
        <w:pStyle w:val="BodyText"/>
        <w:spacing w:before="7"/>
      </w:pPr>
    </w:p>
    <w:p>
      <w:pPr>
        <w:pStyle w:val="Heading5"/>
        <w:numPr>
          <w:ilvl w:val="3"/>
          <w:numId w:val="16"/>
        </w:numPr>
        <w:tabs>
          <w:tab w:pos="1325" w:val="left" w:leader="none"/>
          <w:tab w:pos="1326" w:val="left" w:leader="none"/>
        </w:tabs>
        <w:spacing w:line="240" w:lineRule="auto" w:before="0" w:after="0"/>
        <w:ind w:left="1326" w:right="0" w:hanging="1134"/>
        <w:jc w:val="left"/>
      </w:pPr>
      <w:r>
        <w:rPr/>
        <w:t>Ativos Financeiros ao valor justo por meio do</w:t>
      </w:r>
      <w:r>
        <w:rPr>
          <w:spacing w:val="-12"/>
        </w:rPr>
        <w:t> </w:t>
      </w:r>
      <w:r>
        <w:rPr/>
        <w:t>resultado</w:t>
      </w:r>
    </w:p>
    <w:p>
      <w:pPr>
        <w:pStyle w:val="BodyText"/>
        <w:spacing w:before="5"/>
        <w:rPr>
          <w:rFonts w:ascii="Caladea"/>
          <w:b/>
        </w:rPr>
      </w:pPr>
    </w:p>
    <w:p>
      <w:pPr>
        <w:pStyle w:val="BodyText"/>
        <w:spacing w:line="242" w:lineRule="auto"/>
        <w:ind w:left="192" w:right="624"/>
        <w:jc w:val="both"/>
      </w:pPr>
      <w:r>
        <w:rPr/>
        <w:t>Ativos</w:t>
      </w:r>
      <w:r>
        <w:rPr>
          <w:spacing w:val="-7"/>
        </w:rPr>
        <w:t> </w:t>
      </w:r>
      <w:r>
        <w:rPr/>
        <w:t>Financeiros</w:t>
      </w:r>
      <w:r>
        <w:rPr>
          <w:spacing w:val="-5"/>
        </w:rPr>
        <w:t> </w:t>
      </w:r>
      <w:r>
        <w:rPr/>
        <w:t>mensurados</w:t>
      </w:r>
      <w:r>
        <w:rPr>
          <w:spacing w:val="-6"/>
        </w:rPr>
        <w:t> </w:t>
      </w:r>
      <w:r>
        <w:rPr/>
        <w:t>ao</w:t>
      </w:r>
      <w:r>
        <w:rPr>
          <w:spacing w:val="-5"/>
        </w:rPr>
        <w:t> </w:t>
      </w:r>
      <w:r>
        <w:rPr/>
        <w:t>valor</w:t>
      </w:r>
      <w:r>
        <w:rPr>
          <w:spacing w:val="-7"/>
        </w:rPr>
        <w:t> </w:t>
      </w:r>
      <w:r>
        <w:rPr/>
        <w:t>justo</w:t>
      </w:r>
      <w:r>
        <w:rPr>
          <w:spacing w:val="-5"/>
        </w:rPr>
        <w:t> </w:t>
      </w:r>
      <w:r>
        <w:rPr/>
        <w:t>por</w:t>
      </w:r>
      <w:r>
        <w:rPr>
          <w:spacing w:val="-6"/>
        </w:rPr>
        <w:t> </w:t>
      </w:r>
      <w:r>
        <w:rPr/>
        <w:t>meio</w:t>
      </w:r>
      <w:r>
        <w:rPr>
          <w:spacing w:val="-6"/>
        </w:rPr>
        <w:t> </w:t>
      </w:r>
      <w:r>
        <w:rPr/>
        <w:t>do</w:t>
      </w:r>
      <w:r>
        <w:rPr>
          <w:spacing w:val="-3"/>
        </w:rPr>
        <w:t> </w:t>
      </w:r>
      <w:r>
        <w:rPr/>
        <w:t>resultado</w:t>
      </w:r>
      <w:r>
        <w:rPr>
          <w:spacing w:val="-6"/>
        </w:rPr>
        <w:t> </w:t>
      </w:r>
      <w:r>
        <w:rPr/>
        <w:t>são</w:t>
      </w:r>
      <w:r>
        <w:rPr>
          <w:spacing w:val="-5"/>
        </w:rPr>
        <w:t> </w:t>
      </w:r>
      <w:r>
        <w:rPr/>
        <w:t>todos</w:t>
      </w:r>
      <w:r>
        <w:rPr>
          <w:spacing w:val="-4"/>
        </w:rPr>
        <w:t> </w:t>
      </w:r>
      <w:r>
        <w:rPr/>
        <w:t>os</w:t>
      </w:r>
      <w:r>
        <w:rPr>
          <w:spacing w:val="-4"/>
        </w:rPr>
        <w:t> </w:t>
      </w:r>
      <w:r>
        <w:rPr/>
        <w:t>ativos</w:t>
      </w:r>
      <w:r>
        <w:rPr>
          <w:spacing w:val="-5"/>
        </w:rPr>
        <w:t> </w:t>
      </w:r>
      <w:r>
        <w:rPr/>
        <w:t>que</w:t>
      </w:r>
      <w:r>
        <w:rPr>
          <w:spacing w:val="-4"/>
        </w:rPr>
        <w:t> </w:t>
      </w:r>
      <w:r>
        <w:rPr/>
        <w:t>não</w:t>
      </w:r>
      <w:r>
        <w:rPr>
          <w:spacing w:val="-5"/>
        </w:rPr>
        <w:t> </w:t>
      </w:r>
      <w:r>
        <w:rPr/>
        <w:t>atenderam</w:t>
      </w:r>
      <w:r>
        <w:rPr>
          <w:spacing w:val="-4"/>
        </w:rPr>
        <w:t> </w:t>
      </w:r>
      <w:r>
        <w:rPr/>
        <w:t>aos demais</w:t>
      </w:r>
      <w:r>
        <w:rPr>
          <w:spacing w:val="-32"/>
        </w:rPr>
        <w:t> </w:t>
      </w:r>
      <w:r>
        <w:rPr/>
        <w:t>critérios</w:t>
      </w:r>
      <w:r>
        <w:rPr>
          <w:spacing w:val="-31"/>
        </w:rPr>
        <w:t> </w:t>
      </w:r>
      <w:r>
        <w:rPr/>
        <w:t>de</w:t>
      </w:r>
      <w:r>
        <w:rPr>
          <w:spacing w:val="-31"/>
        </w:rPr>
        <w:t> </w:t>
      </w:r>
      <w:r>
        <w:rPr/>
        <w:t>mensuração</w:t>
      </w:r>
      <w:r>
        <w:rPr>
          <w:spacing w:val="-33"/>
        </w:rPr>
        <w:t> </w:t>
      </w:r>
      <w:r>
        <w:rPr/>
        <w:t>como</w:t>
      </w:r>
      <w:r>
        <w:rPr>
          <w:spacing w:val="-32"/>
        </w:rPr>
        <w:t> </w:t>
      </w:r>
      <w:r>
        <w:rPr/>
        <w:t>custo</w:t>
      </w:r>
      <w:r>
        <w:rPr>
          <w:spacing w:val="-33"/>
        </w:rPr>
        <w:t> </w:t>
      </w:r>
      <w:r>
        <w:rPr/>
        <w:t>amortizado</w:t>
      </w:r>
      <w:r>
        <w:rPr>
          <w:spacing w:val="-29"/>
        </w:rPr>
        <w:t> </w:t>
      </w:r>
      <w:r>
        <w:rPr/>
        <w:t>e</w:t>
      </w:r>
      <w:r>
        <w:rPr>
          <w:spacing w:val="-33"/>
        </w:rPr>
        <w:t> </w:t>
      </w:r>
      <w:r>
        <w:rPr/>
        <w:t>valor</w:t>
      </w:r>
      <w:r>
        <w:rPr>
          <w:spacing w:val="-31"/>
        </w:rPr>
        <w:t> </w:t>
      </w:r>
      <w:r>
        <w:rPr/>
        <w:t>justo</w:t>
      </w:r>
      <w:r>
        <w:rPr>
          <w:spacing w:val="-31"/>
        </w:rPr>
        <w:t> </w:t>
      </w:r>
      <w:r>
        <w:rPr/>
        <w:t>por</w:t>
      </w:r>
      <w:r>
        <w:rPr>
          <w:spacing w:val="-32"/>
        </w:rPr>
        <w:t> </w:t>
      </w:r>
      <w:r>
        <w:rPr/>
        <w:t>meio</w:t>
      </w:r>
      <w:r>
        <w:rPr>
          <w:spacing w:val="-31"/>
        </w:rPr>
        <w:t> </w:t>
      </w:r>
      <w:r>
        <w:rPr/>
        <w:t>de</w:t>
      </w:r>
      <w:r>
        <w:rPr>
          <w:spacing w:val="-31"/>
        </w:rPr>
        <w:t> </w:t>
      </w:r>
      <w:r>
        <w:rPr/>
        <w:t>outros</w:t>
      </w:r>
      <w:r>
        <w:rPr>
          <w:spacing w:val="-32"/>
        </w:rPr>
        <w:t> </w:t>
      </w:r>
      <w:r>
        <w:rPr/>
        <w:t>resultados</w:t>
      </w:r>
      <w:r>
        <w:rPr>
          <w:spacing w:val="-32"/>
        </w:rPr>
        <w:t> </w:t>
      </w:r>
      <w:r>
        <w:rPr/>
        <w:t>abrangentes.</w:t>
      </w:r>
    </w:p>
    <w:p>
      <w:pPr>
        <w:pStyle w:val="BodyText"/>
        <w:spacing w:line="242" w:lineRule="auto" w:before="121"/>
        <w:ind w:left="192" w:right="619"/>
        <w:jc w:val="both"/>
      </w:pPr>
      <w:r>
        <w:rPr/>
        <w:t>Os</w:t>
      </w:r>
      <w:r>
        <w:rPr>
          <w:spacing w:val="-15"/>
        </w:rPr>
        <w:t> </w:t>
      </w:r>
      <w:r>
        <w:rPr/>
        <w:t>Ativos</w:t>
      </w:r>
      <w:r>
        <w:rPr>
          <w:spacing w:val="-14"/>
        </w:rPr>
        <w:t> </w:t>
      </w:r>
      <w:r>
        <w:rPr/>
        <w:t>Financeiros</w:t>
      </w:r>
      <w:r>
        <w:rPr>
          <w:spacing w:val="-14"/>
        </w:rPr>
        <w:t> </w:t>
      </w:r>
      <w:r>
        <w:rPr/>
        <w:t>ao</w:t>
      </w:r>
      <w:r>
        <w:rPr>
          <w:spacing w:val="-14"/>
        </w:rPr>
        <w:t> </w:t>
      </w:r>
      <w:r>
        <w:rPr/>
        <w:t>valor</w:t>
      </w:r>
      <w:r>
        <w:rPr>
          <w:spacing w:val="-15"/>
        </w:rPr>
        <w:t> </w:t>
      </w:r>
      <w:r>
        <w:rPr/>
        <w:t>justo</w:t>
      </w:r>
      <w:r>
        <w:rPr>
          <w:spacing w:val="-14"/>
        </w:rPr>
        <w:t> </w:t>
      </w:r>
      <w:r>
        <w:rPr/>
        <w:t>por</w:t>
      </w:r>
      <w:r>
        <w:rPr>
          <w:spacing w:val="-14"/>
        </w:rPr>
        <w:t> </w:t>
      </w:r>
      <w:r>
        <w:rPr/>
        <w:t>meio</w:t>
      </w:r>
      <w:r>
        <w:rPr>
          <w:spacing w:val="-14"/>
        </w:rPr>
        <w:t> </w:t>
      </w:r>
      <w:r>
        <w:rPr/>
        <w:t>do</w:t>
      </w:r>
      <w:r>
        <w:rPr>
          <w:spacing w:val="-12"/>
        </w:rPr>
        <w:t> </w:t>
      </w:r>
      <w:r>
        <w:rPr/>
        <w:t>resultado</w:t>
      </w:r>
      <w:r>
        <w:rPr>
          <w:spacing w:val="-14"/>
        </w:rPr>
        <w:t> </w:t>
      </w:r>
      <w:r>
        <w:rPr/>
        <w:t>compreendem:</w:t>
      </w:r>
      <w:r>
        <w:rPr>
          <w:spacing w:val="-13"/>
        </w:rPr>
        <w:t> </w:t>
      </w:r>
      <w:r>
        <w:rPr/>
        <w:t>Aplicações</w:t>
      </w:r>
      <w:r>
        <w:rPr>
          <w:spacing w:val="-14"/>
        </w:rPr>
        <w:t> </w:t>
      </w:r>
      <w:r>
        <w:rPr/>
        <w:t>Financeiras</w:t>
      </w:r>
      <w:r>
        <w:rPr>
          <w:spacing w:val="-14"/>
        </w:rPr>
        <w:t> </w:t>
      </w:r>
      <w:r>
        <w:rPr/>
        <w:t>de</w:t>
      </w:r>
      <w:r>
        <w:rPr>
          <w:spacing w:val="-15"/>
        </w:rPr>
        <w:t> </w:t>
      </w:r>
      <w:r>
        <w:rPr/>
        <w:t>longo</w:t>
      </w:r>
      <w:r>
        <w:rPr>
          <w:spacing w:val="-14"/>
        </w:rPr>
        <w:t> </w:t>
      </w:r>
      <w:r>
        <w:rPr/>
        <w:t>prazo (Nota</w:t>
      </w:r>
      <w:r>
        <w:rPr>
          <w:spacing w:val="-20"/>
        </w:rPr>
        <w:t> </w:t>
      </w:r>
      <w:r>
        <w:rPr/>
        <w:t>Explicativa</w:t>
      </w:r>
      <w:r>
        <w:rPr>
          <w:spacing w:val="-19"/>
        </w:rPr>
        <w:t> </w:t>
      </w:r>
      <w:r>
        <w:rPr/>
        <w:t>nº12);</w:t>
      </w:r>
      <w:r>
        <w:rPr>
          <w:spacing w:val="-19"/>
        </w:rPr>
        <w:t> </w:t>
      </w:r>
      <w:r>
        <w:rPr/>
        <w:t>e</w:t>
      </w:r>
      <w:r>
        <w:rPr>
          <w:spacing w:val="-19"/>
        </w:rPr>
        <w:t> </w:t>
      </w:r>
      <w:r>
        <w:rPr/>
        <w:t>Ativo</w:t>
      </w:r>
      <w:r>
        <w:rPr>
          <w:spacing w:val="-20"/>
        </w:rPr>
        <w:t> </w:t>
      </w:r>
      <w:r>
        <w:rPr/>
        <w:t>Financeiro</w:t>
      </w:r>
      <w:r>
        <w:rPr>
          <w:spacing w:val="-20"/>
        </w:rPr>
        <w:t> </w:t>
      </w:r>
      <w:r>
        <w:rPr/>
        <w:t>Indenizável</w:t>
      </w:r>
      <w:r>
        <w:rPr>
          <w:spacing w:val="-19"/>
        </w:rPr>
        <w:t> </w:t>
      </w:r>
      <w:r>
        <w:rPr/>
        <w:t>(Nota</w:t>
      </w:r>
      <w:r>
        <w:rPr>
          <w:spacing w:val="-14"/>
        </w:rPr>
        <w:t> </w:t>
      </w:r>
      <w:r>
        <w:rPr/>
        <w:t>Explicativa</w:t>
      </w:r>
      <w:r>
        <w:rPr>
          <w:spacing w:val="-20"/>
        </w:rPr>
        <w:t> </w:t>
      </w:r>
      <w:r>
        <w:rPr/>
        <w:t>nº</w:t>
      </w:r>
      <w:r>
        <w:rPr>
          <w:spacing w:val="-18"/>
        </w:rPr>
        <w:t> </w:t>
      </w:r>
      <w:r>
        <w:rPr/>
        <w:t>11).</w:t>
      </w:r>
    </w:p>
    <w:p>
      <w:pPr>
        <w:spacing w:after="0" w:line="242" w:lineRule="auto"/>
        <w:jc w:val="both"/>
        <w:sectPr>
          <w:pgSz w:w="11910" w:h="16850"/>
          <w:pgMar w:header="792" w:footer="1193" w:top="1360" w:bottom="1460" w:left="940" w:right="240"/>
        </w:sectPr>
      </w:pPr>
    </w:p>
    <w:p>
      <w:pPr>
        <w:pStyle w:val="Heading5"/>
        <w:numPr>
          <w:ilvl w:val="2"/>
          <w:numId w:val="16"/>
        </w:numPr>
        <w:tabs>
          <w:tab w:pos="1045" w:val="left" w:leader="none"/>
          <w:tab w:pos="1046" w:val="left" w:leader="none"/>
        </w:tabs>
        <w:spacing w:line="240" w:lineRule="auto" w:before="48" w:after="0"/>
        <w:ind w:left="1045" w:right="0" w:hanging="854"/>
        <w:jc w:val="left"/>
      </w:pPr>
      <w:r>
        <w:rPr/>
        <w:t>Reconhecimento e</w:t>
      </w:r>
      <w:r>
        <w:rPr>
          <w:spacing w:val="-3"/>
        </w:rPr>
        <w:t> </w:t>
      </w:r>
      <w:r>
        <w:rPr/>
        <w:t>mensuração</w:t>
      </w:r>
    </w:p>
    <w:p>
      <w:pPr>
        <w:pStyle w:val="BodyText"/>
        <w:spacing w:before="10"/>
        <w:rPr>
          <w:rFonts w:ascii="Caladea"/>
          <w:b/>
          <w:sz w:val="23"/>
        </w:rPr>
      </w:pPr>
    </w:p>
    <w:p>
      <w:pPr>
        <w:pStyle w:val="BodyText"/>
        <w:spacing w:line="242" w:lineRule="auto"/>
        <w:ind w:left="192" w:right="606"/>
        <w:jc w:val="both"/>
      </w:pPr>
      <w:r>
        <w:rPr/>
        <w:t>O Grupo reconhece todos os ativos financeiros, em sua mensuração inicial, pelo seu valor justo mais os custos incorridos</w:t>
      </w:r>
      <w:r>
        <w:rPr>
          <w:spacing w:val="-24"/>
        </w:rPr>
        <w:t> </w:t>
      </w:r>
      <w:r>
        <w:rPr/>
        <w:t>para</w:t>
      </w:r>
      <w:r>
        <w:rPr>
          <w:spacing w:val="-23"/>
        </w:rPr>
        <w:t> </w:t>
      </w:r>
      <w:r>
        <w:rPr/>
        <w:t>a</w:t>
      </w:r>
      <w:r>
        <w:rPr>
          <w:spacing w:val="-23"/>
        </w:rPr>
        <w:t> </w:t>
      </w:r>
      <w:r>
        <w:rPr/>
        <w:t>sua</w:t>
      </w:r>
      <w:r>
        <w:rPr>
          <w:spacing w:val="-23"/>
        </w:rPr>
        <w:t> </w:t>
      </w:r>
      <w:r>
        <w:rPr/>
        <w:t>obtenção</w:t>
      </w:r>
      <w:r>
        <w:rPr>
          <w:spacing w:val="-23"/>
        </w:rPr>
        <w:t> </w:t>
      </w:r>
      <w:r>
        <w:rPr/>
        <w:t>ou</w:t>
      </w:r>
      <w:r>
        <w:rPr>
          <w:spacing w:val="-24"/>
        </w:rPr>
        <w:t> </w:t>
      </w:r>
      <w:r>
        <w:rPr/>
        <w:t>emissão.</w:t>
      </w:r>
      <w:r>
        <w:rPr>
          <w:spacing w:val="-23"/>
        </w:rPr>
        <w:t> </w:t>
      </w:r>
      <w:r>
        <w:rPr/>
        <w:t>Posteriormente,</w:t>
      </w:r>
      <w:r>
        <w:rPr>
          <w:spacing w:val="-24"/>
        </w:rPr>
        <w:t> </w:t>
      </w:r>
      <w:r>
        <w:rPr/>
        <w:t>cada</w:t>
      </w:r>
      <w:r>
        <w:rPr>
          <w:spacing w:val="-23"/>
        </w:rPr>
        <w:t> </w:t>
      </w:r>
      <w:r>
        <w:rPr/>
        <w:t>instrumento</w:t>
      </w:r>
      <w:r>
        <w:rPr>
          <w:spacing w:val="-24"/>
        </w:rPr>
        <w:t> </w:t>
      </w:r>
      <w:r>
        <w:rPr/>
        <w:t>financeiro</w:t>
      </w:r>
      <w:r>
        <w:rPr>
          <w:spacing w:val="-18"/>
        </w:rPr>
        <w:t> </w:t>
      </w:r>
      <w:r>
        <w:rPr/>
        <w:t>é</w:t>
      </w:r>
      <w:r>
        <w:rPr>
          <w:spacing w:val="-24"/>
        </w:rPr>
        <w:t> </w:t>
      </w:r>
      <w:r>
        <w:rPr/>
        <w:t>classificado</w:t>
      </w:r>
      <w:r>
        <w:rPr>
          <w:spacing w:val="-23"/>
        </w:rPr>
        <w:t> </w:t>
      </w:r>
      <w:r>
        <w:rPr/>
        <w:t>pelo</w:t>
      </w:r>
      <w:r>
        <w:rPr>
          <w:spacing w:val="-24"/>
        </w:rPr>
        <w:t> </w:t>
      </w:r>
      <w:r>
        <w:rPr/>
        <w:t>custo amortizado,</w:t>
      </w:r>
      <w:r>
        <w:rPr>
          <w:spacing w:val="-29"/>
        </w:rPr>
        <w:t> </w:t>
      </w:r>
      <w:r>
        <w:rPr/>
        <w:t>valor</w:t>
      </w:r>
      <w:r>
        <w:rPr>
          <w:spacing w:val="-30"/>
        </w:rPr>
        <w:t> </w:t>
      </w:r>
      <w:r>
        <w:rPr/>
        <w:t>justo</w:t>
      </w:r>
      <w:r>
        <w:rPr>
          <w:spacing w:val="-28"/>
        </w:rPr>
        <w:t> </w:t>
      </w:r>
      <w:r>
        <w:rPr/>
        <w:t>por</w:t>
      </w:r>
      <w:r>
        <w:rPr>
          <w:spacing w:val="-29"/>
        </w:rPr>
        <w:t> </w:t>
      </w:r>
      <w:r>
        <w:rPr/>
        <w:t>meio</w:t>
      </w:r>
      <w:r>
        <w:rPr>
          <w:spacing w:val="-28"/>
        </w:rPr>
        <w:t> </w:t>
      </w:r>
      <w:r>
        <w:rPr/>
        <w:t>de</w:t>
      </w:r>
      <w:r>
        <w:rPr>
          <w:spacing w:val="-31"/>
        </w:rPr>
        <w:t> </w:t>
      </w:r>
      <w:r>
        <w:rPr/>
        <w:t>outros</w:t>
      </w:r>
      <w:r>
        <w:rPr>
          <w:spacing w:val="-28"/>
        </w:rPr>
        <w:t> </w:t>
      </w:r>
      <w:r>
        <w:rPr/>
        <w:t>resultados</w:t>
      </w:r>
      <w:r>
        <w:rPr>
          <w:spacing w:val="-29"/>
        </w:rPr>
        <w:t> </w:t>
      </w:r>
      <w:r>
        <w:rPr/>
        <w:t>abrangentes</w:t>
      </w:r>
      <w:r>
        <w:rPr>
          <w:spacing w:val="-27"/>
        </w:rPr>
        <w:t> </w:t>
      </w:r>
      <w:r>
        <w:rPr/>
        <w:t>e</w:t>
      </w:r>
      <w:r>
        <w:rPr>
          <w:spacing w:val="-28"/>
        </w:rPr>
        <w:t> </w:t>
      </w:r>
      <w:r>
        <w:rPr/>
        <w:t>valor</w:t>
      </w:r>
      <w:r>
        <w:rPr>
          <w:spacing w:val="-30"/>
        </w:rPr>
        <w:t> </w:t>
      </w:r>
      <w:r>
        <w:rPr/>
        <w:t>justo</w:t>
      </w:r>
      <w:r>
        <w:rPr>
          <w:spacing w:val="-29"/>
        </w:rPr>
        <w:t> </w:t>
      </w:r>
      <w:r>
        <w:rPr/>
        <w:t>por</w:t>
      </w:r>
      <w:r>
        <w:rPr>
          <w:spacing w:val="-28"/>
        </w:rPr>
        <w:t> </w:t>
      </w:r>
      <w:r>
        <w:rPr/>
        <w:t>meio</w:t>
      </w:r>
      <w:r>
        <w:rPr>
          <w:spacing w:val="-28"/>
        </w:rPr>
        <w:t> </w:t>
      </w:r>
      <w:r>
        <w:rPr/>
        <w:t>de</w:t>
      </w:r>
      <w:r>
        <w:rPr>
          <w:spacing w:val="-31"/>
        </w:rPr>
        <w:t> </w:t>
      </w:r>
      <w:r>
        <w:rPr/>
        <w:t>outros</w:t>
      </w:r>
      <w:r>
        <w:rPr>
          <w:spacing w:val="-28"/>
        </w:rPr>
        <w:t> </w:t>
      </w:r>
      <w:r>
        <w:rPr/>
        <w:t>resultados.</w:t>
      </w:r>
    </w:p>
    <w:p>
      <w:pPr>
        <w:pStyle w:val="BodyText"/>
        <w:spacing w:before="2"/>
      </w:pPr>
    </w:p>
    <w:p>
      <w:pPr>
        <w:pStyle w:val="BodyText"/>
        <w:spacing w:line="242" w:lineRule="auto"/>
        <w:ind w:left="192" w:right="608"/>
        <w:jc w:val="both"/>
      </w:pPr>
      <w:r>
        <w:rPr/>
        <w:t>Para</w:t>
      </w:r>
      <w:r>
        <w:rPr>
          <w:spacing w:val="-41"/>
        </w:rPr>
        <w:t> </w:t>
      </w:r>
      <w:r>
        <w:rPr/>
        <w:t>os</w:t>
      </w:r>
      <w:r>
        <w:rPr>
          <w:spacing w:val="-41"/>
        </w:rPr>
        <w:t> </w:t>
      </w:r>
      <w:r>
        <w:rPr/>
        <w:t>ativos</w:t>
      </w:r>
      <w:r>
        <w:rPr>
          <w:spacing w:val="-41"/>
        </w:rPr>
        <w:t> </w:t>
      </w:r>
      <w:r>
        <w:rPr/>
        <w:t>financeiros</w:t>
      </w:r>
      <w:r>
        <w:rPr>
          <w:spacing w:val="-39"/>
        </w:rPr>
        <w:t> </w:t>
      </w:r>
      <w:r>
        <w:rPr/>
        <w:t>registrados</w:t>
      </w:r>
      <w:r>
        <w:rPr>
          <w:spacing w:val="-39"/>
        </w:rPr>
        <w:t> </w:t>
      </w:r>
      <w:r>
        <w:rPr/>
        <w:t>pelo</w:t>
      </w:r>
      <w:r>
        <w:rPr>
          <w:spacing w:val="-40"/>
        </w:rPr>
        <w:t> </w:t>
      </w:r>
      <w:r>
        <w:rPr/>
        <w:t>custo</w:t>
      </w:r>
      <w:r>
        <w:rPr>
          <w:spacing w:val="-41"/>
        </w:rPr>
        <w:t> </w:t>
      </w:r>
      <w:r>
        <w:rPr/>
        <w:t>amortizado</w:t>
      </w:r>
      <w:r>
        <w:rPr>
          <w:spacing w:val="-42"/>
        </w:rPr>
        <w:t> </w:t>
      </w:r>
      <w:r>
        <w:rPr/>
        <w:t>e</w:t>
      </w:r>
      <w:r>
        <w:rPr>
          <w:spacing w:val="-40"/>
        </w:rPr>
        <w:t> </w:t>
      </w:r>
      <w:r>
        <w:rPr/>
        <w:t>valor</w:t>
      </w:r>
      <w:r>
        <w:rPr>
          <w:spacing w:val="-40"/>
        </w:rPr>
        <w:t> </w:t>
      </w:r>
      <w:r>
        <w:rPr/>
        <w:t>justo</w:t>
      </w:r>
      <w:r>
        <w:rPr>
          <w:spacing w:val="-40"/>
        </w:rPr>
        <w:t> </w:t>
      </w:r>
      <w:r>
        <w:rPr/>
        <w:t>por</w:t>
      </w:r>
      <w:r>
        <w:rPr>
          <w:spacing w:val="-41"/>
        </w:rPr>
        <w:t> </w:t>
      </w:r>
      <w:r>
        <w:rPr/>
        <w:t>meio</w:t>
      </w:r>
      <w:r>
        <w:rPr>
          <w:spacing w:val="-40"/>
        </w:rPr>
        <w:t> </w:t>
      </w:r>
      <w:r>
        <w:rPr/>
        <w:t>de</w:t>
      </w:r>
      <w:r>
        <w:rPr>
          <w:spacing w:val="-41"/>
        </w:rPr>
        <w:t> </w:t>
      </w:r>
      <w:r>
        <w:rPr/>
        <w:t>outros</w:t>
      </w:r>
      <w:r>
        <w:rPr>
          <w:spacing w:val="-39"/>
        </w:rPr>
        <w:t> </w:t>
      </w:r>
      <w:r>
        <w:rPr/>
        <w:t>resultados</w:t>
      </w:r>
      <w:r>
        <w:rPr>
          <w:spacing w:val="-41"/>
        </w:rPr>
        <w:t> </w:t>
      </w:r>
      <w:r>
        <w:rPr/>
        <w:t>abrangentes, a</w:t>
      </w:r>
      <w:r>
        <w:rPr>
          <w:spacing w:val="-41"/>
        </w:rPr>
        <w:t> </w:t>
      </w:r>
      <w:r>
        <w:rPr/>
        <w:t>Companhia</w:t>
      </w:r>
      <w:r>
        <w:rPr>
          <w:spacing w:val="-39"/>
        </w:rPr>
        <w:t> </w:t>
      </w:r>
      <w:r>
        <w:rPr/>
        <w:t>reconhece</w:t>
      </w:r>
      <w:r>
        <w:rPr>
          <w:spacing w:val="-42"/>
        </w:rPr>
        <w:t> </w:t>
      </w:r>
      <w:r>
        <w:rPr/>
        <w:t>uma</w:t>
      </w:r>
      <w:r>
        <w:rPr>
          <w:spacing w:val="-41"/>
        </w:rPr>
        <w:t> </w:t>
      </w:r>
      <w:r>
        <w:rPr/>
        <w:t>provisão</w:t>
      </w:r>
      <w:r>
        <w:rPr>
          <w:spacing w:val="-41"/>
        </w:rPr>
        <w:t> </w:t>
      </w:r>
      <w:r>
        <w:rPr/>
        <w:t>para</w:t>
      </w:r>
      <w:r>
        <w:rPr>
          <w:spacing w:val="-39"/>
        </w:rPr>
        <w:t> </w:t>
      </w:r>
      <w:r>
        <w:rPr/>
        <w:t>perdas</w:t>
      </w:r>
      <w:r>
        <w:rPr>
          <w:spacing w:val="-41"/>
        </w:rPr>
        <w:t> </w:t>
      </w:r>
      <w:r>
        <w:rPr/>
        <w:t>de</w:t>
      </w:r>
      <w:r>
        <w:rPr>
          <w:spacing w:val="-42"/>
        </w:rPr>
        <w:t> </w:t>
      </w:r>
      <w:r>
        <w:rPr/>
        <w:t>crédito</w:t>
      </w:r>
      <w:r>
        <w:rPr>
          <w:spacing w:val="-40"/>
        </w:rPr>
        <w:t> </w:t>
      </w:r>
      <w:r>
        <w:rPr/>
        <w:t>esperadas,</w:t>
      </w:r>
      <w:r>
        <w:rPr>
          <w:spacing w:val="-40"/>
        </w:rPr>
        <w:t> </w:t>
      </w:r>
      <w:r>
        <w:rPr/>
        <w:t>nos</w:t>
      </w:r>
      <w:r>
        <w:rPr>
          <w:spacing w:val="-41"/>
        </w:rPr>
        <w:t> </w:t>
      </w:r>
      <w:r>
        <w:rPr/>
        <w:t>casos</w:t>
      </w:r>
      <w:r>
        <w:rPr>
          <w:spacing w:val="-38"/>
        </w:rPr>
        <w:t> </w:t>
      </w:r>
      <w:r>
        <w:rPr/>
        <w:t>em</w:t>
      </w:r>
      <w:r>
        <w:rPr>
          <w:spacing w:val="-40"/>
        </w:rPr>
        <w:t> </w:t>
      </w:r>
      <w:r>
        <w:rPr/>
        <w:t>que</w:t>
      </w:r>
      <w:r>
        <w:rPr>
          <w:spacing w:val="-42"/>
        </w:rPr>
        <w:t> </w:t>
      </w:r>
      <w:r>
        <w:rPr/>
        <w:t>há</w:t>
      </w:r>
      <w:r>
        <w:rPr>
          <w:spacing w:val="-40"/>
        </w:rPr>
        <w:t> </w:t>
      </w:r>
      <w:r>
        <w:rPr/>
        <w:t>aumentos</w:t>
      </w:r>
      <w:r>
        <w:rPr>
          <w:spacing w:val="-41"/>
        </w:rPr>
        <w:t> </w:t>
      </w:r>
      <w:r>
        <w:rPr/>
        <w:t>significativos no</w:t>
      </w:r>
      <w:r>
        <w:rPr>
          <w:spacing w:val="-17"/>
        </w:rPr>
        <w:t> </w:t>
      </w:r>
      <w:r>
        <w:rPr/>
        <w:t>risco</w:t>
      </w:r>
      <w:r>
        <w:rPr>
          <w:spacing w:val="-19"/>
        </w:rPr>
        <w:t> </w:t>
      </w:r>
      <w:r>
        <w:rPr/>
        <w:t>de</w:t>
      </w:r>
      <w:r>
        <w:rPr>
          <w:spacing w:val="-21"/>
        </w:rPr>
        <w:t> </w:t>
      </w:r>
      <w:r>
        <w:rPr/>
        <w:t>crédito</w:t>
      </w:r>
      <w:r>
        <w:rPr>
          <w:spacing w:val="-19"/>
        </w:rPr>
        <w:t> </w:t>
      </w:r>
      <w:r>
        <w:rPr/>
        <w:t>desde</w:t>
      </w:r>
      <w:r>
        <w:rPr>
          <w:spacing w:val="-21"/>
        </w:rPr>
        <w:t> </w:t>
      </w:r>
      <w:r>
        <w:rPr/>
        <w:t>o</w:t>
      </w:r>
      <w:r>
        <w:rPr>
          <w:spacing w:val="-16"/>
        </w:rPr>
        <w:t> </w:t>
      </w:r>
      <w:r>
        <w:rPr/>
        <w:t>reconhecimento</w:t>
      </w:r>
      <w:r>
        <w:rPr>
          <w:spacing w:val="-20"/>
        </w:rPr>
        <w:t> </w:t>
      </w:r>
      <w:r>
        <w:rPr/>
        <w:t>inicial.</w:t>
      </w:r>
    </w:p>
    <w:p>
      <w:pPr>
        <w:pStyle w:val="BodyText"/>
        <w:spacing w:before="3"/>
      </w:pPr>
    </w:p>
    <w:p>
      <w:pPr>
        <w:pStyle w:val="BodyText"/>
        <w:spacing w:line="242" w:lineRule="auto"/>
        <w:ind w:left="192" w:right="608"/>
        <w:jc w:val="both"/>
      </w:pPr>
      <w:r>
        <w:rPr/>
        <w:t>A</w:t>
      </w:r>
      <w:r>
        <w:rPr>
          <w:spacing w:val="-25"/>
        </w:rPr>
        <w:t> </w:t>
      </w:r>
      <w:r>
        <w:rPr/>
        <w:t>Companhia</w:t>
      </w:r>
      <w:r>
        <w:rPr>
          <w:spacing w:val="-24"/>
        </w:rPr>
        <w:t> </w:t>
      </w:r>
      <w:r>
        <w:rPr/>
        <w:t>definiu</w:t>
      </w:r>
      <w:r>
        <w:rPr>
          <w:spacing w:val="-23"/>
        </w:rPr>
        <w:t> </w:t>
      </w:r>
      <w:r>
        <w:rPr/>
        <w:t>o</w:t>
      </w:r>
      <w:r>
        <w:rPr>
          <w:spacing w:val="-23"/>
        </w:rPr>
        <w:t> </w:t>
      </w:r>
      <w:r>
        <w:rPr/>
        <w:t>modelo</w:t>
      </w:r>
      <w:r>
        <w:rPr>
          <w:spacing w:val="-24"/>
        </w:rPr>
        <w:t> </w:t>
      </w:r>
      <w:r>
        <w:rPr/>
        <w:t>de</w:t>
      </w:r>
      <w:r>
        <w:rPr>
          <w:spacing w:val="-24"/>
        </w:rPr>
        <w:t> </w:t>
      </w:r>
      <w:r>
        <w:rPr/>
        <w:t>perda</w:t>
      </w:r>
      <w:r>
        <w:rPr>
          <w:spacing w:val="-22"/>
        </w:rPr>
        <w:t> </w:t>
      </w:r>
      <w:r>
        <w:rPr/>
        <w:t>por</w:t>
      </w:r>
      <w:r>
        <w:rPr>
          <w:spacing w:val="-24"/>
        </w:rPr>
        <w:t> </w:t>
      </w:r>
      <w:r>
        <w:rPr/>
        <w:t>redução</w:t>
      </w:r>
      <w:r>
        <w:rPr>
          <w:spacing w:val="-25"/>
        </w:rPr>
        <w:t> </w:t>
      </w:r>
      <w:r>
        <w:rPr/>
        <w:t>ao</w:t>
      </w:r>
      <w:r>
        <w:rPr>
          <w:spacing w:val="-24"/>
        </w:rPr>
        <w:t> </w:t>
      </w:r>
      <w:r>
        <w:rPr/>
        <w:t>valor</w:t>
      </w:r>
      <w:r>
        <w:rPr>
          <w:spacing w:val="-24"/>
        </w:rPr>
        <w:t> </w:t>
      </w:r>
      <w:r>
        <w:rPr/>
        <w:t>recuperável</w:t>
      </w:r>
      <w:r>
        <w:rPr>
          <w:spacing w:val="-22"/>
        </w:rPr>
        <w:t> </w:t>
      </w:r>
      <w:r>
        <w:rPr/>
        <w:t>de</w:t>
      </w:r>
      <w:r>
        <w:rPr>
          <w:spacing w:val="-26"/>
        </w:rPr>
        <w:t> </w:t>
      </w:r>
      <w:r>
        <w:rPr/>
        <w:t>ativos</w:t>
      </w:r>
      <w:r>
        <w:rPr>
          <w:spacing w:val="-24"/>
        </w:rPr>
        <w:t> </w:t>
      </w:r>
      <w:r>
        <w:rPr/>
        <w:t>financeiros,</w:t>
      </w:r>
      <w:r>
        <w:rPr>
          <w:spacing w:val="-24"/>
        </w:rPr>
        <w:t> </w:t>
      </w:r>
      <w:r>
        <w:rPr/>
        <w:t>substancialmente </w:t>
      </w:r>
      <w:r>
        <w:rPr>
          <w:w w:val="95"/>
        </w:rPr>
        <w:t>àqueles</w:t>
      </w:r>
      <w:r>
        <w:rPr>
          <w:spacing w:val="-22"/>
          <w:w w:val="95"/>
        </w:rPr>
        <w:t> </w:t>
      </w:r>
      <w:r>
        <w:rPr>
          <w:w w:val="95"/>
        </w:rPr>
        <w:t>referentes</w:t>
      </w:r>
      <w:r>
        <w:rPr>
          <w:spacing w:val="-21"/>
          <w:w w:val="95"/>
        </w:rPr>
        <w:t> </w:t>
      </w:r>
      <w:r>
        <w:rPr>
          <w:w w:val="95"/>
        </w:rPr>
        <w:t>ao</w:t>
      </w:r>
      <w:r>
        <w:rPr>
          <w:spacing w:val="-22"/>
          <w:w w:val="95"/>
        </w:rPr>
        <w:t> </w:t>
      </w:r>
      <w:r>
        <w:rPr>
          <w:w w:val="95"/>
        </w:rPr>
        <w:t>Contas</w:t>
      </w:r>
      <w:r>
        <w:rPr>
          <w:spacing w:val="-22"/>
          <w:w w:val="95"/>
        </w:rPr>
        <w:t> </w:t>
      </w:r>
      <w:r>
        <w:rPr>
          <w:w w:val="95"/>
        </w:rPr>
        <w:t>a</w:t>
      </w:r>
      <w:r>
        <w:rPr>
          <w:spacing w:val="-21"/>
          <w:w w:val="95"/>
        </w:rPr>
        <w:t> </w:t>
      </w:r>
      <w:r>
        <w:rPr>
          <w:w w:val="95"/>
        </w:rPr>
        <w:t>Receber,</w:t>
      </w:r>
      <w:r>
        <w:rPr>
          <w:spacing w:val="-22"/>
          <w:w w:val="95"/>
        </w:rPr>
        <w:t> </w:t>
      </w:r>
      <w:r>
        <w:rPr>
          <w:w w:val="95"/>
        </w:rPr>
        <w:t>utilizando</w:t>
      </w:r>
      <w:r>
        <w:rPr>
          <w:spacing w:val="-23"/>
          <w:w w:val="95"/>
        </w:rPr>
        <w:t> </w:t>
      </w:r>
      <w:r>
        <w:rPr>
          <w:w w:val="95"/>
        </w:rPr>
        <w:t>uma</w:t>
      </w:r>
      <w:r>
        <w:rPr>
          <w:spacing w:val="-21"/>
          <w:w w:val="95"/>
        </w:rPr>
        <w:t> </w:t>
      </w:r>
      <w:r>
        <w:rPr>
          <w:w w:val="95"/>
        </w:rPr>
        <w:t>matriz</w:t>
      </w:r>
      <w:r>
        <w:rPr>
          <w:spacing w:val="-22"/>
          <w:w w:val="95"/>
        </w:rPr>
        <w:t> </w:t>
      </w:r>
      <w:r>
        <w:rPr>
          <w:w w:val="95"/>
        </w:rPr>
        <w:t>de</w:t>
      </w:r>
      <w:r>
        <w:rPr>
          <w:spacing w:val="-22"/>
          <w:w w:val="95"/>
        </w:rPr>
        <w:t> </w:t>
      </w:r>
      <w:r>
        <w:rPr>
          <w:w w:val="95"/>
        </w:rPr>
        <w:t>provisões</w:t>
      </w:r>
      <w:r>
        <w:rPr>
          <w:spacing w:val="-21"/>
          <w:w w:val="95"/>
        </w:rPr>
        <w:t> </w:t>
      </w:r>
      <w:r>
        <w:rPr>
          <w:w w:val="95"/>
        </w:rPr>
        <w:t>e</w:t>
      </w:r>
      <w:r>
        <w:rPr>
          <w:spacing w:val="-23"/>
          <w:w w:val="95"/>
        </w:rPr>
        <w:t> </w:t>
      </w:r>
      <w:r>
        <w:rPr>
          <w:w w:val="95"/>
        </w:rPr>
        <w:t>um</w:t>
      </w:r>
      <w:r>
        <w:rPr>
          <w:spacing w:val="-23"/>
          <w:w w:val="95"/>
        </w:rPr>
        <w:t> </w:t>
      </w:r>
      <w:r>
        <w:rPr>
          <w:w w:val="95"/>
        </w:rPr>
        <w:t>critério</w:t>
      </w:r>
      <w:r>
        <w:rPr>
          <w:spacing w:val="-22"/>
          <w:w w:val="95"/>
        </w:rPr>
        <w:t> </w:t>
      </w:r>
      <w:r>
        <w:rPr>
          <w:w w:val="95"/>
        </w:rPr>
        <w:t>para</w:t>
      </w:r>
      <w:r>
        <w:rPr>
          <w:spacing w:val="-21"/>
          <w:w w:val="95"/>
        </w:rPr>
        <w:t> </w:t>
      </w:r>
      <w:r>
        <w:rPr>
          <w:w w:val="95"/>
        </w:rPr>
        <w:t>cada</w:t>
      </w:r>
      <w:r>
        <w:rPr>
          <w:spacing w:val="-22"/>
          <w:w w:val="95"/>
        </w:rPr>
        <w:t> </w:t>
      </w:r>
      <w:r>
        <w:rPr>
          <w:w w:val="95"/>
        </w:rPr>
        <w:t>classe</w:t>
      </w:r>
      <w:r>
        <w:rPr>
          <w:spacing w:val="-23"/>
          <w:w w:val="95"/>
        </w:rPr>
        <w:t> </w:t>
      </w:r>
      <w:r>
        <w:rPr>
          <w:w w:val="95"/>
        </w:rPr>
        <w:t>de</w:t>
      </w:r>
      <w:r>
        <w:rPr>
          <w:spacing w:val="-24"/>
          <w:w w:val="95"/>
        </w:rPr>
        <w:t> </w:t>
      </w:r>
      <w:r>
        <w:rPr>
          <w:w w:val="95"/>
        </w:rPr>
        <w:t>consumo, realizando</w:t>
      </w:r>
      <w:r>
        <w:rPr>
          <w:spacing w:val="-23"/>
          <w:w w:val="95"/>
        </w:rPr>
        <w:t> </w:t>
      </w:r>
      <w:r>
        <w:rPr>
          <w:w w:val="95"/>
        </w:rPr>
        <w:t>o</w:t>
      </w:r>
      <w:r>
        <w:rPr>
          <w:spacing w:val="-23"/>
          <w:w w:val="95"/>
        </w:rPr>
        <w:t> </w:t>
      </w:r>
      <w:r>
        <w:rPr>
          <w:w w:val="95"/>
        </w:rPr>
        <w:t>arrasto</w:t>
      </w:r>
      <w:r>
        <w:rPr>
          <w:spacing w:val="-23"/>
          <w:w w:val="95"/>
        </w:rPr>
        <w:t> </w:t>
      </w:r>
      <w:r>
        <w:rPr>
          <w:w w:val="95"/>
        </w:rPr>
        <w:t>para</w:t>
      </w:r>
      <w:r>
        <w:rPr>
          <w:spacing w:val="-22"/>
          <w:w w:val="95"/>
        </w:rPr>
        <w:t> </w:t>
      </w:r>
      <w:r>
        <w:rPr>
          <w:w w:val="95"/>
        </w:rPr>
        <w:t>os</w:t>
      </w:r>
      <w:r>
        <w:rPr>
          <w:spacing w:val="-20"/>
          <w:w w:val="95"/>
        </w:rPr>
        <w:t> </w:t>
      </w:r>
      <w:r>
        <w:rPr>
          <w:w w:val="95"/>
        </w:rPr>
        <w:t>clientes</w:t>
      </w:r>
      <w:r>
        <w:rPr>
          <w:spacing w:val="-22"/>
          <w:w w:val="95"/>
        </w:rPr>
        <w:t> </w:t>
      </w:r>
      <w:r>
        <w:rPr>
          <w:w w:val="95"/>
        </w:rPr>
        <w:t>que</w:t>
      </w:r>
      <w:r>
        <w:rPr>
          <w:spacing w:val="-24"/>
          <w:w w:val="95"/>
        </w:rPr>
        <w:t> </w:t>
      </w:r>
      <w:r>
        <w:rPr>
          <w:w w:val="95"/>
        </w:rPr>
        <w:t>estiverem</w:t>
      </w:r>
      <w:r>
        <w:rPr>
          <w:spacing w:val="-23"/>
          <w:w w:val="95"/>
        </w:rPr>
        <w:t> </w:t>
      </w:r>
      <w:r>
        <w:rPr>
          <w:w w:val="95"/>
        </w:rPr>
        <w:t>dentro</w:t>
      </w:r>
      <w:r>
        <w:rPr>
          <w:spacing w:val="-23"/>
          <w:w w:val="95"/>
        </w:rPr>
        <w:t> </w:t>
      </w:r>
      <w:r>
        <w:rPr>
          <w:w w:val="95"/>
        </w:rPr>
        <w:t>do</w:t>
      </w:r>
      <w:r>
        <w:rPr>
          <w:spacing w:val="-23"/>
          <w:w w:val="95"/>
        </w:rPr>
        <w:t> </w:t>
      </w:r>
      <w:r>
        <w:rPr>
          <w:w w:val="95"/>
        </w:rPr>
        <w:t>critério</w:t>
      </w:r>
      <w:r>
        <w:rPr>
          <w:spacing w:val="-23"/>
          <w:w w:val="95"/>
        </w:rPr>
        <w:t> </w:t>
      </w:r>
      <w:r>
        <w:rPr>
          <w:w w:val="95"/>
        </w:rPr>
        <w:t>estabelecido,</w:t>
      </w:r>
      <w:r>
        <w:rPr>
          <w:spacing w:val="-23"/>
          <w:w w:val="95"/>
        </w:rPr>
        <w:t> </w:t>
      </w:r>
      <w:r>
        <w:rPr>
          <w:w w:val="95"/>
        </w:rPr>
        <w:t>vinculado</w:t>
      </w:r>
      <w:r>
        <w:rPr>
          <w:spacing w:val="-23"/>
          <w:w w:val="95"/>
        </w:rPr>
        <w:t> </w:t>
      </w:r>
      <w:r>
        <w:rPr>
          <w:w w:val="95"/>
        </w:rPr>
        <w:t>ao</w:t>
      </w:r>
      <w:r>
        <w:rPr>
          <w:spacing w:val="-23"/>
          <w:w w:val="95"/>
        </w:rPr>
        <w:t> </w:t>
      </w:r>
      <w:r>
        <w:rPr>
          <w:w w:val="95"/>
        </w:rPr>
        <w:t>corte</w:t>
      </w:r>
      <w:r>
        <w:rPr>
          <w:spacing w:val="-24"/>
          <w:w w:val="95"/>
        </w:rPr>
        <w:t> </w:t>
      </w:r>
      <w:r>
        <w:rPr>
          <w:w w:val="95"/>
        </w:rPr>
        <w:t>de</w:t>
      </w:r>
      <w:r>
        <w:rPr>
          <w:spacing w:val="-21"/>
          <w:w w:val="95"/>
        </w:rPr>
        <w:t> </w:t>
      </w:r>
      <w:r>
        <w:rPr>
          <w:w w:val="95"/>
        </w:rPr>
        <w:t>energia,</w:t>
      </w:r>
      <w:r>
        <w:rPr>
          <w:spacing w:val="-23"/>
          <w:w w:val="95"/>
        </w:rPr>
        <w:t> </w:t>
      </w:r>
      <w:r>
        <w:rPr>
          <w:w w:val="95"/>
        </w:rPr>
        <w:t>haja </w:t>
      </w:r>
      <w:r>
        <w:rPr/>
        <w:t>vista</w:t>
      </w:r>
      <w:r>
        <w:rPr>
          <w:spacing w:val="-18"/>
        </w:rPr>
        <w:t> </w:t>
      </w:r>
      <w:r>
        <w:rPr/>
        <w:t>o</w:t>
      </w:r>
      <w:r>
        <w:rPr>
          <w:spacing w:val="-19"/>
        </w:rPr>
        <w:t> </w:t>
      </w:r>
      <w:r>
        <w:rPr/>
        <w:t>potencial</w:t>
      </w:r>
      <w:r>
        <w:rPr>
          <w:spacing w:val="-19"/>
        </w:rPr>
        <w:t> </w:t>
      </w:r>
      <w:r>
        <w:rPr/>
        <w:t>de</w:t>
      </w:r>
      <w:r>
        <w:rPr>
          <w:spacing w:val="-18"/>
        </w:rPr>
        <w:t> </w:t>
      </w:r>
      <w:r>
        <w:rPr/>
        <w:t>recebimento</w:t>
      </w:r>
      <w:r>
        <w:rPr>
          <w:spacing w:val="-20"/>
        </w:rPr>
        <w:t> </w:t>
      </w:r>
      <w:r>
        <w:rPr/>
        <w:t>das</w:t>
      </w:r>
      <w:r>
        <w:rPr>
          <w:spacing w:val="-18"/>
        </w:rPr>
        <w:t> </w:t>
      </w:r>
      <w:r>
        <w:rPr/>
        <w:t>faturas.</w:t>
      </w:r>
    </w:p>
    <w:p>
      <w:pPr>
        <w:pStyle w:val="BodyText"/>
        <w:spacing w:before="6"/>
      </w:pPr>
    </w:p>
    <w:p>
      <w:pPr>
        <w:pStyle w:val="Heading5"/>
        <w:numPr>
          <w:ilvl w:val="2"/>
          <w:numId w:val="16"/>
        </w:numPr>
        <w:tabs>
          <w:tab w:pos="1045" w:val="left" w:leader="none"/>
          <w:tab w:pos="1046" w:val="left" w:leader="none"/>
        </w:tabs>
        <w:spacing w:line="240" w:lineRule="auto" w:before="0" w:after="0"/>
        <w:ind w:left="1045" w:right="0" w:hanging="854"/>
        <w:jc w:val="left"/>
      </w:pPr>
      <w:r>
        <w:rPr/>
        <w:t>Perda por redução ao valor recuperável de ativos financeiros</w:t>
      </w:r>
      <w:r>
        <w:rPr>
          <w:spacing w:val="11"/>
        </w:rPr>
        <w:t> </w:t>
      </w:r>
      <w:r>
        <w:rPr/>
        <w:t>(</w:t>
      </w:r>
      <w:r>
        <w:rPr>
          <w:rFonts w:ascii="Times New Roman" w:hAnsi="Times New Roman"/>
          <w:i/>
        </w:rPr>
        <w:t>impairment</w:t>
      </w:r>
      <w:r>
        <w:rPr/>
        <w:t>)</w:t>
      </w:r>
    </w:p>
    <w:p>
      <w:pPr>
        <w:pStyle w:val="BodyText"/>
        <w:spacing w:before="10"/>
        <w:rPr>
          <w:rFonts w:ascii="Caladea"/>
          <w:b/>
          <w:sz w:val="23"/>
        </w:rPr>
      </w:pPr>
    </w:p>
    <w:p>
      <w:pPr>
        <w:pStyle w:val="ListParagraph"/>
        <w:numPr>
          <w:ilvl w:val="3"/>
          <w:numId w:val="16"/>
        </w:numPr>
        <w:tabs>
          <w:tab w:pos="1325" w:val="left" w:leader="none"/>
          <w:tab w:pos="1326" w:val="left" w:leader="none"/>
        </w:tabs>
        <w:spacing w:line="240" w:lineRule="auto" w:before="1" w:after="0"/>
        <w:ind w:left="1326" w:right="0" w:hanging="1134"/>
        <w:jc w:val="left"/>
        <w:rPr>
          <w:rFonts w:ascii="Caladea"/>
          <w:b/>
          <w:sz w:val="22"/>
        </w:rPr>
      </w:pPr>
      <w:r>
        <w:rPr>
          <w:rFonts w:ascii="Caladea"/>
          <w:b/>
          <w:sz w:val="22"/>
        </w:rPr>
        <w:t>Ativos mensurados ao custo</w:t>
      </w:r>
      <w:r>
        <w:rPr>
          <w:rFonts w:ascii="Caladea"/>
          <w:b/>
          <w:spacing w:val="-6"/>
          <w:sz w:val="22"/>
        </w:rPr>
        <w:t> </w:t>
      </w:r>
      <w:r>
        <w:rPr>
          <w:rFonts w:ascii="Caladea"/>
          <w:b/>
          <w:sz w:val="22"/>
        </w:rPr>
        <w:t>amortizado</w:t>
      </w:r>
    </w:p>
    <w:p>
      <w:pPr>
        <w:pStyle w:val="BodyText"/>
        <w:spacing w:before="7"/>
        <w:rPr>
          <w:rFonts w:ascii="Caladea"/>
          <w:b/>
          <w:sz w:val="23"/>
        </w:rPr>
      </w:pPr>
    </w:p>
    <w:p>
      <w:pPr>
        <w:pStyle w:val="BodyText"/>
        <w:spacing w:line="254" w:lineRule="auto"/>
        <w:ind w:left="192" w:right="610"/>
        <w:jc w:val="both"/>
      </w:pPr>
      <w:r>
        <w:rPr/>
        <w:t>O</w:t>
      </w:r>
      <w:r>
        <w:rPr>
          <w:spacing w:val="-36"/>
        </w:rPr>
        <w:t> </w:t>
      </w:r>
      <w:r>
        <w:rPr/>
        <w:t>Grupo</w:t>
      </w:r>
      <w:r>
        <w:rPr>
          <w:spacing w:val="-34"/>
        </w:rPr>
        <w:t> </w:t>
      </w:r>
      <w:r>
        <w:rPr/>
        <w:t>avalia</w:t>
      </w:r>
      <w:r>
        <w:rPr>
          <w:spacing w:val="-34"/>
        </w:rPr>
        <w:t> </w:t>
      </w:r>
      <w:r>
        <w:rPr/>
        <w:t>na</w:t>
      </w:r>
      <w:r>
        <w:rPr>
          <w:spacing w:val="-34"/>
        </w:rPr>
        <w:t> </w:t>
      </w:r>
      <w:r>
        <w:rPr/>
        <w:t>data</w:t>
      </w:r>
      <w:r>
        <w:rPr>
          <w:spacing w:val="-33"/>
        </w:rPr>
        <w:t> </w:t>
      </w:r>
      <w:r>
        <w:rPr/>
        <w:t>de</w:t>
      </w:r>
      <w:r>
        <w:rPr>
          <w:spacing w:val="-34"/>
        </w:rPr>
        <w:t> </w:t>
      </w:r>
      <w:r>
        <w:rPr/>
        <w:t>cada</w:t>
      </w:r>
      <w:r>
        <w:rPr>
          <w:spacing w:val="-34"/>
        </w:rPr>
        <w:t> </w:t>
      </w:r>
      <w:r>
        <w:rPr/>
        <w:t>balanço,</w:t>
      </w:r>
      <w:r>
        <w:rPr>
          <w:spacing w:val="-34"/>
        </w:rPr>
        <w:t> </w:t>
      </w:r>
      <w:r>
        <w:rPr/>
        <w:t>se</w:t>
      </w:r>
      <w:r>
        <w:rPr>
          <w:spacing w:val="-35"/>
        </w:rPr>
        <w:t> </w:t>
      </w:r>
      <w:r>
        <w:rPr/>
        <w:t>há</w:t>
      </w:r>
      <w:r>
        <w:rPr>
          <w:spacing w:val="-33"/>
        </w:rPr>
        <w:t> </w:t>
      </w:r>
      <w:r>
        <w:rPr/>
        <w:t>evidência</w:t>
      </w:r>
      <w:r>
        <w:rPr>
          <w:spacing w:val="-33"/>
        </w:rPr>
        <w:t> </w:t>
      </w:r>
      <w:r>
        <w:rPr/>
        <w:t>objetiva</w:t>
      </w:r>
      <w:r>
        <w:rPr>
          <w:spacing w:val="-32"/>
        </w:rPr>
        <w:t> </w:t>
      </w:r>
      <w:r>
        <w:rPr/>
        <w:t>de</w:t>
      </w:r>
      <w:r>
        <w:rPr>
          <w:spacing w:val="-34"/>
        </w:rPr>
        <w:t> </w:t>
      </w:r>
      <w:r>
        <w:rPr/>
        <w:t>que</w:t>
      </w:r>
      <w:r>
        <w:rPr>
          <w:spacing w:val="-34"/>
        </w:rPr>
        <w:t> </w:t>
      </w:r>
      <w:r>
        <w:rPr/>
        <w:t>um</w:t>
      </w:r>
      <w:r>
        <w:rPr>
          <w:spacing w:val="-34"/>
        </w:rPr>
        <w:t> </w:t>
      </w:r>
      <w:r>
        <w:rPr/>
        <w:t>ativo</w:t>
      </w:r>
      <w:r>
        <w:rPr>
          <w:spacing w:val="-33"/>
        </w:rPr>
        <w:t> </w:t>
      </w:r>
      <w:r>
        <w:rPr/>
        <w:t>ou</w:t>
      </w:r>
      <w:r>
        <w:rPr>
          <w:spacing w:val="-34"/>
        </w:rPr>
        <w:t> </w:t>
      </w:r>
      <w:r>
        <w:rPr/>
        <w:t>grupo</w:t>
      </w:r>
      <w:r>
        <w:rPr>
          <w:spacing w:val="-33"/>
        </w:rPr>
        <w:t> </w:t>
      </w:r>
      <w:r>
        <w:rPr/>
        <w:t>de</w:t>
      </w:r>
      <w:r>
        <w:rPr>
          <w:spacing w:val="-29"/>
        </w:rPr>
        <w:t> </w:t>
      </w:r>
      <w:r>
        <w:rPr/>
        <w:t>ativos</w:t>
      </w:r>
      <w:r>
        <w:rPr>
          <w:spacing w:val="-34"/>
        </w:rPr>
        <w:t> </w:t>
      </w:r>
      <w:r>
        <w:rPr/>
        <w:t>financeiros</w:t>
      </w:r>
      <w:r>
        <w:rPr>
          <w:spacing w:val="-31"/>
        </w:rPr>
        <w:t> </w:t>
      </w:r>
      <w:r>
        <w:rPr/>
        <w:t>está deteriorado.</w:t>
      </w:r>
      <w:r>
        <w:rPr>
          <w:spacing w:val="-39"/>
        </w:rPr>
        <w:t> </w:t>
      </w:r>
      <w:r>
        <w:rPr/>
        <w:t>Há</w:t>
      </w:r>
      <w:r>
        <w:rPr>
          <w:spacing w:val="-39"/>
        </w:rPr>
        <w:t> </w:t>
      </w:r>
      <w:r>
        <w:rPr/>
        <w:t>evidência</w:t>
      </w:r>
      <w:r>
        <w:rPr>
          <w:spacing w:val="-40"/>
        </w:rPr>
        <w:t> </w:t>
      </w:r>
      <w:r>
        <w:rPr/>
        <w:t>objetiva</w:t>
      </w:r>
      <w:r>
        <w:rPr>
          <w:spacing w:val="-39"/>
        </w:rPr>
        <w:t> </w:t>
      </w:r>
      <w:r>
        <w:rPr/>
        <w:t>de</w:t>
      </w:r>
      <w:r>
        <w:rPr>
          <w:spacing w:val="-38"/>
        </w:rPr>
        <w:t> </w:t>
      </w:r>
      <w:r>
        <w:rPr>
          <w:rFonts w:ascii="Caladea" w:hAnsi="Caladea"/>
          <w:i/>
        </w:rPr>
        <w:t>impairment</w:t>
      </w:r>
      <w:r>
        <w:rPr>
          <w:rFonts w:ascii="Caladea" w:hAnsi="Caladea"/>
          <w:i/>
          <w:spacing w:val="-22"/>
        </w:rPr>
        <w:t> </w:t>
      </w:r>
      <w:r>
        <w:rPr/>
        <w:t>se,</w:t>
      </w:r>
      <w:r>
        <w:rPr>
          <w:spacing w:val="-40"/>
        </w:rPr>
        <w:t> </w:t>
      </w:r>
      <w:r>
        <w:rPr/>
        <w:t>após</w:t>
      </w:r>
      <w:r>
        <w:rPr>
          <w:spacing w:val="-40"/>
        </w:rPr>
        <w:t> </w:t>
      </w:r>
      <w:r>
        <w:rPr/>
        <w:t>o</w:t>
      </w:r>
      <w:r>
        <w:rPr>
          <w:spacing w:val="-40"/>
        </w:rPr>
        <w:t> </w:t>
      </w:r>
      <w:r>
        <w:rPr/>
        <w:t>reconhecimento</w:t>
      </w:r>
      <w:r>
        <w:rPr>
          <w:spacing w:val="-39"/>
        </w:rPr>
        <w:t> </w:t>
      </w:r>
      <w:r>
        <w:rPr/>
        <w:t>inicial</w:t>
      </w:r>
      <w:r>
        <w:rPr>
          <w:spacing w:val="-39"/>
        </w:rPr>
        <w:t> </w:t>
      </w:r>
      <w:r>
        <w:rPr/>
        <w:t>dos</w:t>
      </w:r>
      <w:r>
        <w:rPr>
          <w:spacing w:val="-40"/>
        </w:rPr>
        <w:t> </w:t>
      </w:r>
      <w:r>
        <w:rPr/>
        <w:t>ativos,</w:t>
      </w:r>
      <w:r>
        <w:rPr>
          <w:spacing w:val="-40"/>
        </w:rPr>
        <w:t> </w:t>
      </w:r>
      <w:r>
        <w:rPr/>
        <w:t>for</w:t>
      </w:r>
      <w:r>
        <w:rPr>
          <w:spacing w:val="-40"/>
        </w:rPr>
        <w:t> </w:t>
      </w:r>
      <w:r>
        <w:rPr/>
        <w:t>constatada</w:t>
      </w:r>
      <w:r>
        <w:rPr>
          <w:spacing w:val="-40"/>
        </w:rPr>
        <w:t> </w:t>
      </w:r>
      <w:r>
        <w:rPr/>
        <w:t>perda apurada</w:t>
      </w:r>
      <w:r>
        <w:rPr>
          <w:spacing w:val="-21"/>
        </w:rPr>
        <w:t> </w:t>
      </w:r>
      <w:r>
        <w:rPr/>
        <w:t>por</w:t>
      </w:r>
      <w:r>
        <w:rPr>
          <w:spacing w:val="-21"/>
        </w:rPr>
        <w:t> </w:t>
      </w:r>
      <w:r>
        <w:rPr/>
        <w:t>meio</w:t>
      </w:r>
      <w:r>
        <w:rPr>
          <w:spacing w:val="-20"/>
        </w:rPr>
        <w:t> </w:t>
      </w:r>
      <w:r>
        <w:rPr/>
        <w:t>de</w:t>
      </w:r>
      <w:r>
        <w:rPr>
          <w:spacing w:val="-22"/>
        </w:rPr>
        <w:t> </w:t>
      </w:r>
      <w:r>
        <w:rPr/>
        <w:t>fluxos</w:t>
      </w:r>
      <w:r>
        <w:rPr>
          <w:spacing w:val="-19"/>
        </w:rPr>
        <w:t> </w:t>
      </w:r>
      <w:r>
        <w:rPr/>
        <w:t>de</w:t>
      </w:r>
      <w:r>
        <w:rPr>
          <w:spacing w:val="-22"/>
        </w:rPr>
        <w:t> </w:t>
      </w:r>
      <w:r>
        <w:rPr/>
        <w:t>caixa</w:t>
      </w:r>
      <w:r>
        <w:rPr>
          <w:spacing w:val="-21"/>
        </w:rPr>
        <w:t> </w:t>
      </w:r>
      <w:r>
        <w:rPr/>
        <w:t>futuros,</w:t>
      </w:r>
      <w:r>
        <w:rPr>
          <w:spacing w:val="-18"/>
        </w:rPr>
        <w:t> </w:t>
      </w:r>
      <w:r>
        <w:rPr/>
        <w:t>estimada</w:t>
      </w:r>
      <w:r>
        <w:rPr>
          <w:spacing w:val="-21"/>
        </w:rPr>
        <w:t> </w:t>
      </w:r>
      <w:r>
        <w:rPr/>
        <w:t>de</w:t>
      </w:r>
      <w:r>
        <w:rPr>
          <w:spacing w:val="-22"/>
        </w:rPr>
        <w:t> </w:t>
      </w:r>
      <w:r>
        <w:rPr/>
        <w:t>maneira</w:t>
      </w:r>
      <w:r>
        <w:rPr>
          <w:spacing w:val="-20"/>
        </w:rPr>
        <w:t> </w:t>
      </w:r>
      <w:r>
        <w:rPr/>
        <w:t>confiável.</w:t>
      </w:r>
    </w:p>
    <w:p>
      <w:pPr>
        <w:pStyle w:val="BodyText"/>
        <w:spacing w:before="6"/>
      </w:pPr>
    </w:p>
    <w:p>
      <w:pPr>
        <w:pStyle w:val="BodyText"/>
        <w:ind w:left="192"/>
        <w:jc w:val="both"/>
      </w:pPr>
      <w:r>
        <w:rPr/>
        <w:t>Os critérios que o Grupo usa para determinar se há evidência objetiva de uma perda por </w:t>
      </w:r>
      <w:r>
        <w:rPr>
          <w:rFonts w:ascii="Caladea" w:hAnsi="Caladea"/>
          <w:i/>
        </w:rPr>
        <w:t>impairment </w:t>
      </w:r>
      <w:r>
        <w:rPr/>
        <w:t>incluem:</w:t>
      </w:r>
    </w:p>
    <w:p>
      <w:pPr>
        <w:pStyle w:val="BodyText"/>
        <w:spacing w:before="5"/>
        <w:rPr>
          <w:sz w:val="21"/>
        </w:rPr>
      </w:pPr>
    </w:p>
    <w:p>
      <w:pPr>
        <w:pStyle w:val="ListParagraph"/>
        <w:numPr>
          <w:ilvl w:val="0"/>
          <w:numId w:val="14"/>
        </w:numPr>
        <w:tabs>
          <w:tab w:pos="620" w:val="left" w:leader="none"/>
          <w:tab w:pos="621" w:val="left" w:leader="none"/>
        </w:tabs>
        <w:spacing w:line="240" w:lineRule="auto" w:before="0" w:after="0"/>
        <w:ind w:left="620" w:right="0" w:hanging="429"/>
        <w:jc w:val="left"/>
        <w:rPr>
          <w:rFonts w:ascii="Symbol" w:hAnsi="Symbol"/>
          <w:sz w:val="20"/>
        </w:rPr>
      </w:pPr>
      <w:r>
        <w:rPr>
          <w:sz w:val="20"/>
        </w:rPr>
        <w:t>Dificuldade</w:t>
      </w:r>
      <w:r>
        <w:rPr>
          <w:spacing w:val="-21"/>
          <w:sz w:val="20"/>
        </w:rPr>
        <w:t> </w:t>
      </w:r>
      <w:r>
        <w:rPr>
          <w:sz w:val="20"/>
        </w:rPr>
        <w:t>financeira</w:t>
      </w:r>
      <w:r>
        <w:rPr>
          <w:spacing w:val="-16"/>
          <w:sz w:val="20"/>
        </w:rPr>
        <w:t> </w:t>
      </w:r>
      <w:r>
        <w:rPr>
          <w:sz w:val="20"/>
        </w:rPr>
        <w:t>relevante</w:t>
      </w:r>
      <w:r>
        <w:rPr>
          <w:spacing w:val="-18"/>
          <w:sz w:val="20"/>
        </w:rPr>
        <w:t> </w:t>
      </w:r>
      <w:r>
        <w:rPr>
          <w:sz w:val="20"/>
        </w:rPr>
        <w:t>do</w:t>
      </w:r>
      <w:r>
        <w:rPr>
          <w:spacing w:val="-18"/>
          <w:sz w:val="20"/>
        </w:rPr>
        <w:t> </w:t>
      </w:r>
      <w:r>
        <w:rPr>
          <w:sz w:val="20"/>
        </w:rPr>
        <w:t>emissor</w:t>
      </w:r>
      <w:r>
        <w:rPr>
          <w:spacing w:val="-17"/>
          <w:sz w:val="20"/>
        </w:rPr>
        <w:t> </w:t>
      </w:r>
      <w:r>
        <w:rPr>
          <w:sz w:val="20"/>
        </w:rPr>
        <w:t>ou</w:t>
      </w:r>
      <w:r>
        <w:rPr>
          <w:spacing w:val="-19"/>
          <w:sz w:val="20"/>
        </w:rPr>
        <w:t> </w:t>
      </w:r>
      <w:r>
        <w:rPr>
          <w:sz w:val="20"/>
        </w:rPr>
        <w:t>devedor;</w:t>
      </w:r>
    </w:p>
    <w:p>
      <w:pPr>
        <w:pStyle w:val="ListParagraph"/>
        <w:numPr>
          <w:ilvl w:val="0"/>
          <w:numId w:val="14"/>
        </w:numPr>
        <w:tabs>
          <w:tab w:pos="620" w:val="left" w:leader="none"/>
          <w:tab w:pos="621" w:val="left" w:leader="none"/>
        </w:tabs>
        <w:spacing w:line="240" w:lineRule="auto" w:before="36" w:after="0"/>
        <w:ind w:left="620" w:right="0" w:hanging="429"/>
        <w:jc w:val="left"/>
        <w:rPr>
          <w:rFonts w:ascii="Symbol" w:hAnsi="Symbol"/>
          <w:sz w:val="20"/>
        </w:rPr>
      </w:pPr>
      <w:r>
        <w:rPr>
          <w:sz w:val="20"/>
        </w:rPr>
        <w:t>Uma</w:t>
      </w:r>
      <w:r>
        <w:rPr>
          <w:spacing w:val="-21"/>
          <w:sz w:val="20"/>
        </w:rPr>
        <w:t> </w:t>
      </w:r>
      <w:r>
        <w:rPr>
          <w:sz w:val="20"/>
        </w:rPr>
        <w:t>quebra</w:t>
      </w:r>
      <w:r>
        <w:rPr>
          <w:spacing w:val="-21"/>
          <w:sz w:val="20"/>
        </w:rPr>
        <w:t> </w:t>
      </w:r>
      <w:r>
        <w:rPr>
          <w:sz w:val="20"/>
        </w:rPr>
        <w:t>de</w:t>
      </w:r>
      <w:r>
        <w:rPr>
          <w:spacing w:val="-23"/>
          <w:sz w:val="20"/>
        </w:rPr>
        <w:t> </w:t>
      </w:r>
      <w:r>
        <w:rPr>
          <w:sz w:val="20"/>
        </w:rPr>
        <w:t>contrato,</w:t>
      </w:r>
      <w:r>
        <w:rPr>
          <w:spacing w:val="-21"/>
          <w:sz w:val="20"/>
        </w:rPr>
        <w:t> </w:t>
      </w:r>
      <w:r>
        <w:rPr>
          <w:sz w:val="20"/>
        </w:rPr>
        <w:t>como</w:t>
      </w:r>
      <w:r>
        <w:rPr>
          <w:spacing w:val="-22"/>
          <w:sz w:val="20"/>
        </w:rPr>
        <w:t> </w:t>
      </w:r>
      <w:r>
        <w:rPr>
          <w:sz w:val="20"/>
        </w:rPr>
        <w:t>inadimplência</w:t>
      </w:r>
      <w:r>
        <w:rPr>
          <w:spacing w:val="-21"/>
          <w:sz w:val="20"/>
        </w:rPr>
        <w:t> </w:t>
      </w:r>
      <w:r>
        <w:rPr>
          <w:sz w:val="20"/>
        </w:rPr>
        <w:t>ou</w:t>
      </w:r>
      <w:r>
        <w:rPr>
          <w:spacing w:val="-19"/>
          <w:sz w:val="20"/>
        </w:rPr>
        <w:t> </w:t>
      </w:r>
      <w:r>
        <w:rPr>
          <w:sz w:val="20"/>
        </w:rPr>
        <w:t>mora</w:t>
      </w:r>
      <w:r>
        <w:rPr>
          <w:spacing w:val="-22"/>
          <w:sz w:val="20"/>
        </w:rPr>
        <w:t> </w:t>
      </w:r>
      <w:r>
        <w:rPr>
          <w:sz w:val="20"/>
        </w:rPr>
        <w:t>no</w:t>
      </w:r>
      <w:r>
        <w:rPr>
          <w:spacing w:val="-22"/>
          <w:sz w:val="20"/>
        </w:rPr>
        <w:t> </w:t>
      </w:r>
      <w:r>
        <w:rPr>
          <w:sz w:val="20"/>
        </w:rPr>
        <w:t>pagamento</w:t>
      </w:r>
      <w:r>
        <w:rPr>
          <w:spacing w:val="-20"/>
          <w:sz w:val="20"/>
        </w:rPr>
        <w:t> </w:t>
      </w:r>
      <w:r>
        <w:rPr>
          <w:sz w:val="20"/>
        </w:rPr>
        <w:t>dos</w:t>
      </w:r>
      <w:r>
        <w:rPr>
          <w:spacing w:val="-20"/>
          <w:sz w:val="20"/>
        </w:rPr>
        <w:t> </w:t>
      </w:r>
      <w:r>
        <w:rPr>
          <w:sz w:val="20"/>
        </w:rPr>
        <w:t>juros</w:t>
      </w:r>
      <w:r>
        <w:rPr>
          <w:spacing w:val="-19"/>
          <w:sz w:val="20"/>
        </w:rPr>
        <w:t> </w:t>
      </w:r>
      <w:r>
        <w:rPr>
          <w:sz w:val="20"/>
        </w:rPr>
        <w:t>ou</w:t>
      </w:r>
      <w:r>
        <w:rPr>
          <w:spacing w:val="-21"/>
          <w:sz w:val="20"/>
        </w:rPr>
        <w:t> </w:t>
      </w:r>
      <w:r>
        <w:rPr>
          <w:sz w:val="20"/>
        </w:rPr>
        <w:t>principal;</w:t>
      </w:r>
    </w:p>
    <w:p>
      <w:pPr>
        <w:pStyle w:val="ListParagraph"/>
        <w:numPr>
          <w:ilvl w:val="0"/>
          <w:numId w:val="14"/>
        </w:numPr>
        <w:tabs>
          <w:tab w:pos="620" w:val="left" w:leader="none"/>
          <w:tab w:pos="621" w:val="left" w:leader="none"/>
        </w:tabs>
        <w:spacing w:line="276" w:lineRule="auto" w:before="35" w:after="0"/>
        <w:ind w:left="620" w:right="613" w:hanging="428"/>
        <w:jc w:val="left"/>
        <w:rPr>
          <w:rFonts w:ascii="Symbol" w:hAnsi="Symbol"/>
          <w:sz w:val="20"/>
        </w:rPr>
      </w:pPr>
      <w:r>
        <w:rPr>
          <w:sz w:val="20"/>
        </w:rPr>
        <w:t>O</w:t>
      </w:r>
      <w:r>
        <w:rPr>
          <w:spacing w:val="-11"/>
          <w:sz w:val="20"/>
        </w:rPr>
        <w:t> </w:t>
      </w:r>
      <w:r>
        <w:rPr>
          <w:sz w:val="20"/>
        </w:rPr>
        <w:t>Grupo,</w:t>
      </w:r>
      <w:r>
        <w:rPr>
          <w:spacing w:val="-11"/>
          <w:sz w:val="20"/>
        </w:rPr>
        <w:t> </w:t>
      </w:r>
      <w:r>
        <w:rPr>
          <w:sz w:val="20"/>
        </w:rPr>
        <w:t>por</w:t>
      </w:r>
      <w:r>
        <w:rPr>
          <w:spacing w:val="-9"/>
          <w:sz w:val="20"/>
        </w:rPr>
        <w:t> </w:t>
      </w:r>
      <w:r>
        <w:rPr>
          <w:sz w:val="20"/>
        </w:rPr>
        <w:t>razões</w:t>
      </w:r>
      <w:r>
        <w:rPr>
          <w:spacing w:val="-8"/>
          <w:sz w:val="20"/>
        </w:rPr>
        <w:t> </w:t>
      </w:r>
      <w:r>
        <w:rPr>
          <w:sz w:val="20"/>
        </w:rPr>
        <w:t>econômicas</w:t>
      </w:r>
      <w:r>
        <w:rPr>
          <w:spacing w:val="-10"/>
          <w:sz w:val="20"/>
        </w:rPr>
        <w:t> </w:t>
      </w:r>
      <w:r>
        <w:rPr>
          <w:sz w:val="20"/>
        </w:rPr>
        <w:t>ou</w:t>
      </w:r>
      <w:r>
        <w:rPr>
          <w:spacing w:val="-10"/>
          <w:sz w:val="20"/>
        </w:rPr>
        <w:t> </w:t>
      </w:r>
      <w:r>
        <w:rPr>
          <w:sz w:val="20"/>
        </w:rPr>
        <w:t>jurídicas</w:t>
      </w:r>
      <w:r>
        <w:rPr>
          <w:spacing w:val="-9"/>
          <w:sz w:val="20"/>
        </w:rPr>
        <w:t> </w:t>
      </w:r>
      <w:r>
        <w:rPr>
          <w:sz w:val="20"/>
        </w:rPr>
        <w:t>relativas</w:t>
      </w:r>
      <w:r>
        <w:rPr>
          <w:spacing w:val="-10"/>
          <w:sz w:val="20"/>
        </w:rPr>
        <w:t> </w:t>
      </w:r>
      <w:r>
        <w:rPr>
          <w:sz w:val="20"/>
        </w:rPr>
        <w:t>à</w:t>
      </w:r>
      <w:r>
        <w:rPr>
          <w:spacing w:val="-10"/>
          <w:sz w:val="20"/>
        </w:rPr>
        <w:t> </w:t>
      </w:r>
      <w:r>
        <w:rPr>
          <w:sz w:val="20"/>
        </w:rPr>
        <w:t>dificuldade</w:t>
      </w:r>
      <w:r>
        <w:rPr>
          <w:spacing w:val="-11"/>
          <w:sz w:val="20"/>
        </w:rPr>
        <w:t> </w:t>
      </w:r>
      <w:r>
        <w:rPr>
          <w:sz w:val="20"/>
        </w:rPr>
        <w:t>financeira</w:t>
      </w:r>
      <w:r>
        <w:rPr>
          <w:spacing w:val="-9"/>
          <w:sz w:val="20"/>
        </w:rPr>
        <w:t> </w:t>
      </w:r>
      <w:r>
        <w:rPr>
          <w:sz w:val="20"/>
        </w:rPr>
        <w:t>do</w:t>
      </w:r>
      <w:r>
        <w:rPr>
          <w:spacing w:val="-9"/>
          <w:sz w:val="20"/>
        </w:rPr>
        <w:t> </w:t>
      </w:r>
      <w:r>
        <w:rPr>
          <w:sz w:val="20"/>
        </w:rPr>
        <w:t>tomador</w:t>
      </w:r>
      <w:r>
        <w:rPr>
          <w:spacing w:val="-11"/>
          <w:sz w:val="20"/>
        </w:rPr>
        <w:t> </w:t>
      </w:r>
      <w:r>
        <w:rPr>
          <w:sz w:val="20"/>
        </w:rPr>
        <w:t>de</w:t>
      </w:r>
      <w:r>
        <w:rPr>
          <w:spacing w:val="-11"/>
          <w:sz w:val="20"/>
        </w:rPr>
        <w:t> </w:t>
      </w:r>
      <w:r>
        <w:rPr>
          <w:sz w:val="20"/>
        </w:rPr>
        <w:t>empréstimo, estende</w:t>
      </w:r>
      <w:r>
        <w:rPr>
          <w:spacing w:val="-23"/>
          <w:sz w:val="20"/>
        </w:rPr>
        <w:t> </w:t>
      </w:r>
      <w:r>
        <w:rPr>
          <w:sz w:val="20"/>
        </w:rPr>
        <w:t>ao</w:t>
      </w:r>
      <w:r>
        <w:rPr>
          <w:spacing w:val="-19"/>
          <w:sz w:val="20"/>
        </w:rPr>
        <w:t> </w:t>
      </w:r>
      <w:r>
        <w:rPr>
          <w:sz w:val="20"/>
        </w:rPr>
        <w:t>tomador</w:t>
      </w:r>
      <w:r>
        <w:rPr>
          <w:spacing w:val="-22"/>
          <w:sz w:val="20"/>
        </w:rPr>
        <w:t> </w:t>
      </w:r>
      <w:r>
        <w:rPr>
          <w:sz w:val="20"/>
        </w:rPr>
        <w:t>uma</w:t>
      </w:r>
      <w:r>
        <w:rPr>
          <w:spacing w:val="-18"/>
          <w:sz w:val="20"/>
        </w:rPr>
        <w:t> </w:t>
      </w:r>
      <w:r>
        <w:rPr>
          <w:sz w:val="20"/>
        </w:rPr>
        <w:t>concessão</w:t>
      </w:r>
      <w:r>
        <w:rPr>
          <w:spacing w:val="-21"/>
          <w:sz w:val="20"/>
        </w:rPr>
        <w:t> </w:t>
      </w:r>
      <w:r>
        <w:rPr>
          <w:sz w:val="20"/>
        </w:rPr>
        <w:t>que</w:t>
      </w:r>
      <w:r>
        <w:rPr>
          <w:spacing w:val="-23"/>
          <w:sz w:val="20"/>
        </w:rPr>
        <w:t> </w:t>
      </w:r>
      <w:r>
        <w:rPr>
          <w:sz w:val="20"/>
        </w:rPr>
        <w:t>um</w:t>
      </w:r>
      <w:r>
        <w:rPr>
          <w:spacing w:val="-21"/>
          <w:sz w:val="20"/>
        </w:rPr>
        <w:t> </w:t>
      </w:r>
      <w:r>
        <w:rPr>
          <w:sz w:val="20"/>
        </w:rPr>
        <w:t>credor</w:t>
      </w:r>
      <w:r>
        <w:rPr>
          <w:spacing w:val="-20"/>
          <w:sz w:val="20"/>
        </w:rPr>
        <w:t> </w:t>
      </w:r>
      <w:r>
        <w:rPr>
          <w:sz w:val="20"/>
        </w:rPr>
        <w:t>normalmente</w:t>
      </w:r>
      <w:r>
        <w:rPr>
          <w:spacing w:val="-20"/>
          <w:sz w:val="20"/>
        </w:rPr>
        <w:t> </w:t>
      </w:r>
      <w:r>
        <w:rPr>
          <w:sz w:val="20"/>
        </w:rPr>
        <w:t>não</w:t>
      </w:r>
      <w:r>
        <w:rPr>
          <w:spacing w:val="-22"/>
          <w:sz w:val="20"/>
        </w:rPr>
        <w:t> </w:t>
      </w:r>
      <w:r>
        <w:rPr>
          <w:sz w:val="20"/>
        </w:rPr>
        <w:t>consideraria;</w:t>
      </w:r>
    </w:p>
    <w:p>
      <w:pPr>
        <w:pStyle w:val="ListParagraph"/>
        <w:numPr>
          <w:ilvl w:val="0"/>
          <w:numId w:val="14"/>
        </w:numPr>
        <w:tabs>
          <w:tab w:pos="620" w:val="left" w:leader="none"/>
          <w:tab w:pos="621" w:val="left" w:leader="none"/>
        </w:tabs>
        <w:spacing w:line="240" w:lineRule="auto" w:before="3" w:after="0"/>
        <w:ind w:left="620" w:right="0" w:hanging="429"/>
        <w:jc w:val="left"/>
        <w:rPr>
          <w:rFonts w:ascii="Symbol" w:hAnsi="Symbol"/>
          <w:sz w:val="20"/>
        </w:rPr>
      </w:pPr>
      <w:r>
        <w:rPr>
          <w:sz w:val="20"/>
        </w:rPr>
        <w:t>Torna-se</w:t>
      </w:r>
      <w:r>
        <w:rPr>
          <w:spacing w:val="-23"/>
          <w:sz w:val="20"/>
        </w:rPr>
        <w:t> </w:t>
      </w:r>
      <w:r>
        <w:rPr>
          <w:sz w:val="20"/>
        </w:rPr>
        <w:t>provável</w:t>
      </w:r>
      <w:r>
        <w:rPr>
          <w:spacing w:val="-19"/>
          <w:sz w:val="20"/>
        </w:rPr>
        <w:t> </w:t>
      </w:r>
      <w:r>
        <w:rPr>
          <w:sz w:val="20"/>
        </w:rPr>
        <w:t>que</w:t>
      </w:r>
      <w:r>
        <w:rPr>
          <w:spacing w:val="-20"/>
          <w:sz w:val="20"/>
        </w:rPr>
        <w:t> </w:t>
      </w:r>
      <w:r>
        <w:rPr>
          <w:sz w:val="20"/>
        </w:rPr>
        <w:t>o</w:t>
      </w:r>
      <w:r>
        <w:rPr>
          <w:spacing w:val="-19"/>
          <w:sz w:val="20"/>
        </w:rPr>
        <w:t> </w:t>
      </w:r>
      <w:r>
        <w:rPr>
          <w:sz w:val="20"/>
        </w:rPr>
        <w:t>tomador</w:t>
      </w:r>
      <w:r>
        <w:rPr>
          <w:spacing w:val="-20"/>
          <w:sz w:val="20"/>
        </w:rPr>
        <w:t> </w:t>
      </w:r>
      <w:r>
        <w:rPr>
          <w:sz w:val="20"/>
        </w:rPr>
        <w:t>declare</w:t>
      </w:r>
      <w:r>
        <w:rPr>
          <w:spacing w:val="-20"/>
          <w:sz w:val="20"/>
        </w:rPr>
        <w:t> </w:t>
      </w:r>
      <w:r>
        <w:rPr>
          <w:sz w:val="20"/>
        </w:rPr>
        <w:t>falência</w:t>
      </w:r>
      <w:r>
        <w:rPr>
          <w:spacing w:val="-18"/>
          <w:sz w:val="20"/>
        </w:rPr>
        <w:t> </w:t>
      </w:r>
      <w:r>
        <w:rPr>
          <w:sz w:val="20"/>
        </w:rPr>
        <w:t>ou</w:t>
      </w:r>
      <w:r>
        <w:rPr>
          <w:spacing w:val="-21"/>
          <w:sz w:val="20"/>
        </w:rPr>
        <w:t> </w:t>
      </w:r>
      <w:r>
        <w:rPr>
          <w:sz w:val="20"/>
        </w:rPr>
        <w:t>outra</w:t>
      </w:r>
      <w:r>
        <w:rPr>
          <w:spacing w:val="-21"/>
          <w:sz w:val="20"/>
        </w:rPr>
        <w:t> </w:t>
      </w:r>
      <w:r>
        <w:rPr>
          <w:sz w:val="20"/>
        </w:rPr>
        <w:t>reorganização</w:t>
      </w:r>
      <w:r>
        <w:rPr>
          <w:spacing w:val="-22"/>
          <w:sz w:val="20"/>
        </w:rPr>
        <w:t> </w:t>
      </w:r>
      <w:r>
        <w:rPr>
          <w:sz w:val="20"/>
        </w:rPr>
        <w:t>financeira;</w:t>
      </w:r>
    </w:p>
    <w:p>
      <w:pPr>
        <w:pStyle w:val="ListParagraph"/>
        <w:numPr>
          <w:ilvl w:val="0"/>
          <w:numId w:val="14"/>
        </w:numPr>
        <w:tabs>
          <w:tab w:pos="620" w:val="left" w:leader="none"/>
          <w:tab w:pos="621" w:val="left" w:leader="none"/>
        </w:tabs>
        <w:spacing w:line="240" w:lineRule="auto" w:before="35" w:after="0"/>
        <w:ind w:left="620" w:right="0" w:hanging="429"/>
        <w:jc w:val="left"/>
        <w:rPr>
          <w:rFonts w:ascii="Symbol" w:hAnsi="Symbol"/>
          <w:sz w:val="20"/>
        </w:rPr>
      </w:pPr>
      <w:r>
        <w:rPr>
          <w:sz w:val="20"/>
        </w:rPr>
        <w:t>O</w:t>
      </w:r>
      <w:r>
        <w:rPr>
          <w:spacing w:val="-29"/>
          <w:sz w:val="20"/>
        </w:rPr>
        <w:t> </w:t>
      </w:r>
      <w:r>
        <w:rPr>
          <w:sz w:val="20"/>
        </w:rPr>
        <w:t>desaparecimento</w:t>
      </w:r>
      <w:r>
        <w:rPr>
          <w:spacing w:val="-26"/>
          <w:sz w:val="20"/>
        </w:rPr>
        <w:t> </w:t>
      </w:r>
      <w:r>
        <w:rPr>
          <w:sz w:val="20"/>
        </w:rPr>
        <w:t>de</w:t>
      </w:r>
      <w:r>
        <w:rPr>
          <w:spacing w:val="-27"/>
          <w:sz w:val="20"/>
        </w:rPr>
        <w:t> </w:t>
      </w:r>
      <w:r>
        <w:rPr>
          <w:sz w:val="20"/>
        </w:rPr>
        <w:t>um</w:t>
      </w:r>
      <w:r>
        <w:rPr>
          <w:spacing w:val="-26"/>
          <w:sz w:val="20"/>
        </w:rPr>
        <w:t> </w:t>
      </w:r>
      <w:r>
        <w:rPr>
          <w:sz w:val="20"/>
        </w:rPr>
        <w:t>mercado</w:t>
      </w:r>
      <w:r>
        <w:rPr>
          <w:spacing w:val="-28"/>
          <w:sz w:val="20"/>
        </w:rPr>
        <w:t> </w:t>
      </w:r>
      <w:r>
        <w:rPr>
          <w:sz w:val="20"/>
        </w:rPr>
        <w:t>ativo</w:t>
      </w:r>
      <w:r>
        <w:rPr>
          <w:spacing w:val="-28"/>
          <w:sz w:val="20"/>
        </w:rPr>
        <w:t> </w:t>
      </w:r>
      <w:r>
        <w:rPr>
          <w:sz w:val="20"/>
        </w:rPr>
        <w:t>para</w:t>
      </w:r>
      <w:r>
        <w:rPr>
          <w:spacing w:val="-28"/>
          <w:sz w:val="20"/>
        </w:rPr>
        <w:t> </w:t>
      </w:r>
      <w:r>
        <w:rPr>
          <w:sz w:val="20"/>
        </w:rPr>
        <w:t>aquele</w:t>
      </w:r>
      <w:r>
        <w:rPr>
          <w:spacing w:val="-29"/>
          <w:sz w:val="20"/>
        </w:rPr>
        <w:t> </w:t>
      </w:r>
      <w:r>
        <w:rPr>
          <w:sz w:val="20"/>
        </w:rPr>
        <w:t>ativo</w:t>
      </w:r>
      <w:r>
        <w:rPr>
          <w:spacing w:val="-27"/>
          <w:sz w:val="20"/>
        </w:rPr>
        <w:t> </w:t>
      </w:r>
      <w:r>
        <w:rPr>
          <w:sz w:val="20"/>
        </w:rPr>
        <w:t>financeiro</w:t>
      </w:r>
      <w:r>
        <w:rPr>
          <w:spacing w:val="-26"/>
          <w:sz w:val="20"/>
        </w:rPr>
        <w:t> </w:t>
      </w:r>
      <w:r>
        <w:rPr>
          <w:sz w:val="20"/>
        </w:rPr>
        <w:t>devido</w:t>
      </w:r>
      <w:r>
        <w:rPr>
          <w:spacing w:val="-28"/>
          <w:sz w:val="20"/>
        </w:rPr>
        <w:t> </w:t>
      </w:r>
      <w:r>
        <w:rPr>
          <w:sz w:val="20"/>
        </w:rPr>
        <w:t>às</w:t>
      </w:r>
      <w:r>
        <w:rPr>
          <w:spacing w:val="-27"/>
          <w:sz w:val="20"/>
        </w:rPr>
        <w:t> </w:t>
      </w:r>
      <w:r>
        <w:rPr>
          <w:sz w:val="20"/>
        </w:rPr>
        <w:t>dificuldades</w:t>
      </w:r>
      <w:r>
        <w:rPr>
          <w:spacing w:val="-27"/>
          <w:sz w:val="20"/>
        </w:rPr>
        <w:t> </w:t>
      </w:r>
      <w:r>
        <w:rPr>
          <w:sz w:val="20"/>
        </w:rPr>
        <w:t>financeiras;</w:t>
      </w:r>
      <w:r>
        <w:rPr>
          <w:spacing w:val="-28"/>
          <w:sz w:val="20"/>
        </w:rPr>
        <w:t> </w:t>
      </w:r>
      <w:r>
        <w:rPr>
          <w:sz w:val="20"/>
        </w:rPr>
        <w:t>ou</w:t>
      </w:r>
    </w:p>
    <w:p>
      <w:pPr>
        <w:pStyle w:val="ListParagraph"/>
        <w:numPr>
          <w:ilvl w:val="0"/>
          <w:numId w:val="14"/>
        </w:numPr>
        <w:tabs>
          <w:tab w:pos="621" w:val="left" w:leader="none"/>
        </w:tabs>
        <w:spacing w:line="276" w:lineRule="auto" w:before="36" w:after="0"/>
        <w:ind w:left="620" w:right="610" w:hanging="428"/>
        <w:jc w:val="both"/>
        <w:rPr>
          <w:rFonts w:ascii="Symbol" w:hAnsi="Symbol"/>
          <w:sz w:val="20"/>
        </w:rPr>
      </w:pPr>
      <w:r>
        <w:rPr>
          <w:sz w:val="20"/>
        </w:rPr>
        <w:t>Dados</w:t>
      </w:r>
      <w:r>
        <w:rPr>
          <w:spacing w:val="-31"/>
          <w:sz w:val="20"/>
        </w:rPr>
        <w:t> </w:t>
      </w:r>
      <w:r>
        <w:rPr>
          <w:sz w:val="20"/>
        </w:rPr>
        <w:t>observáveis</w:t>
      </w:r>
      <w:r>
        <w:rPr>
          <w:spacing w:val="-28"/>
          <w:sz w:val="20"/>
        </w:rPr>
        <w:t> </w:t>
      </w:r>
      <w:r>
        <w:rPr>
          <w:sz w:val="20"/>
        </w:rPr>
        <w:t>indicando</w:t>
      </w:r>
      <w:r>
        <w:rPr>
          <w:spacing w:val="-30"/>
          <w:sz w:val="20"/>
        </w:rPr>
        <w:t> </w:t>
      </w:r>
      <w:r>
        <w:rPr>
          <w:sz w:val="20"/>
        </w:rPr>
        <w:t>que</w:t>
      </w:r>
      <w:r>
        <w:rPr>
          <w:spacing w:val="-31"/>
          <w:sz w:val="20"/>
        </w:rPr>
        <w:t> </w:t>
      </w:r>
      <w:r>
        <w:rPr>
          <w:sz w:val="20"/>
        </w:rPr>
        <w:t>há</w:t>
      </w:r>
      <w:r>
        <w:rPr>
          <w:spacing w:val="-29"/>
          <w:sz w:val="20"/>
        </w:rPr>
        <w:t> </w:t>
      </w:r>
      <w:r>
        <w:rPr>
          <w:sz w:val="20"/>
        </w:rPr>
        <w:t>uma</w:t>
      </w:r>
      <w:r>
        <w:rPr>
          <w:spacing w:val="-30"/>
          <w:sz w:val="20"/>
        </w:rPr>
        <w:t> </w:t>
      </w:r>
      <w:r>
        <w:rPr>
          <w:sz w:val="20"/>
        </w:rPr>
        <w:t>redução</w:t>
      </w:r>
      <w:r>
        <w:rPr>
          <w:spacing w:val="-30"/>
          <w:sz w:val="20"/>
        </w:rPr>
        <w:t> </w:t>
      </w:r>
      <w:r>
        <w:rPr>
          <w:sz w:val="20"/>
        </w:rPr>
        <w:t>mensurável</w:t>
      </w:r>
      <w:r>
        <w:rPr>
          <w:spacing w:val="-29"/>
          <w:sz w:val="20"/>
        </w:rPr>
        <w:t> </w:t>
      </w:r>
      <w:r>
        <w:rPr>
          <w:sz w:val="20"/>
        </w:rPr>
        <w:t>nos</w:t>
      </w:r>
      <w:r>
        <w:rPr>
          <w:spacing w:val="-30"/>
          <w:sz w:val="20"/>
        </w:rPr>
        <w:t> </w:t>
      </w:r>
      <w:r>
        <w:rPr>
          <w:sz w:val="20"/>
        </w:rPr>
        <w:t>futuros</w:t>
      </w:r>
      <w:r>
        <w:rPr>
          <w:spacing w:val="-29"/>
          <w:sz w:val="20"/>
        </w:rPr>
        <w:t> </w:t>
      </w:r>
      <w:r>
        <w:rPr>
          <w:sz w:val="20"/>
        </w:rPr>
        <w:t>fluxos</w:t>
      </w:r>
      <w:r>
        <w:rPr>
          <w:spacing w:val="-30"/>
          <w:sz w:val="20"/>
        </w:rPr>
        <w:t> </w:t>
      </w:r>
      <w:r>
        <w:rPr>
          <w:sz w:val="20"/>
        </w:rPr>
        <w:t>de</w:t>
      </w:r>
      <w:r>
        <w:rPr>
          <w:spacing w:val="-29"/>
          <w:sz w:val="20"/>
        </w:rPr>
        <w:t> </w:t>
      </w:r>
      <w:r>
        <w:rPr>
          <w:sz w:val="20"/>
        </w:rPr>
        <w:t>caixa</w:t>
      </w:r>
      <w:r>
        <w:rPr>
          <w:spacing w:val="-30"/>
          <w:sz w:val="20"/>
        </w:rPr>
        <w:t> </w:t>
      </w:r>
      <w:r>
        <w:rPr>
          <w:sz w:val="20"/>
        </w:rPr>
        <w:t>estimados</w:t>
      </w:r>
      <w:r>
        <w:rPr>
          <w:spacing w:val="-30"/>
          <w:sz w:val="20"/>
        </w:rPr>
        <w:t> </w:t>
      </w:r>
      <w:r>
        <w:rPr>
          <w:sz w:val="20"/>
        </w:rPr>
        <w:t>a</w:t>
      </w:r>
      <w:r>
        <w:rPr>
          <w:spacing w:val="-30"/>
          <w:sz w:val="20"/>
        </w:rPr>
        <w:t> </w:t>
      </w:r>
      <w:r>
        <w:rPr>
          <w:sz w:val="20"/>
        </w:rPr>
        <w:t>partir</w:t>
      </w:r>
      <w:r>
        <w:rPr>
          <w:spacing w:val="-31"/>
          <w:sz w:val="20"/>
        </w:rPr>
        <w:t> </w:t>
      </w:r>
      <w:r>
        <w:rPr>
          <w:sz w:val="20"/>
        </w:rPr>
        <w:t>de uma</w:t>
      </w:r>
      <w:r>
        <w:rPr>
          <w:spacing w:val="-22"/>
          <w:sz w:val="20"/>
        </w:rPr>
        <w:t> </w:t>
      </w:r>
      <w:r>
        <w:rPr>
          <w:sz w:val="20"/>
        </w:rPr>
        <w:t>carteira</w:t>
      </w:r>
      <w:r>
        <w:rPr>
          <w:spacing w:val="-22"/>
          <w:sz w:val="20"/>
        </w:rPr>
        <w:t> </w:t>
      </w:r>
      <w:r>
        <w:rPr>
          <w:sz w:val="20"/>
        </w:rPr>
        <w:t>de</w:t>
      </w:r>
      <w:r>
        <w:rPr>
          <w:spacing w:val="-21"/>
          <w:sz w:val="20"/>
        </w:rPr>
        <w:t> </w:t>
      </w:r>
      <w:r>
        <w:rPr>
          <w:sz w:val="20"/>
        </w:rPr>
        <w:t>ativos</w:t>
      </w:r>
      <w:r>
        <w:rPr>
          <w:spacing w:val="-22"/>
          <w:sz w:val="20"/>
        </w:rPr>
        <w:t> </w:t>
      </w:r>
      <w:r>
        <w:rPr>
          <w:sz w:val="20"/>
        </w:rPr>
        <w:t>financeiros</w:t>
      </w:r>
      <w:r>
        <w:rPr>
          <w:spacing w:val="-22"/>
          <w:sz w:val="20"/>
        </w:rPr>
        <w:t> </w:t>
      </w:r>
      <w:r>
        <w:rPr>
          <w:sz w:val="20"/>
        </w:rPr>
        <w:t>desde</w:t>
      </w:r>
      <w:r>
        <w:rPr>
          <w:spacing w:val="-22"/>
          <w:sz w:val="20"/>
        </w:rPr>
        <w:t> </w:t>
      </w:r>
      <w:r>
        <w:rPr>
          <w:sz w:val="20"/>
        </w:rPr>
        <w:t>o</w:t>
      </w:r>
      <w:r>
        <w:rPr>
          <w:spacing w:val="-22"/>
          <w:sz w:val="20"/>
        </w:rPr>
        <w:t> </w:t>
      </w:r>
      <w:r>
        <w:rPr>
          <w:sz w:val="20"/>
        </w:rPr>
        <w:t>reconhecimento</w:t>
      </w:r>
      <w:r>
        <w:rPr>
          <w:spacing w:val="-22"/>
          <w:sz w:val="20"/>
        </w:rPr>
        <w:t> </w:t>
      </w:r>
      <w:r>
        <w:rPr>
          <w:sz w:val="20"/>
        </w:rPr>
        <w:t>inicial</w:t>
      </w:r>
      <w:r>
        <w:rPr>
          <w:spacing w:val="-22"/>
          <w:sz w:val="20"/>
        </w:rPr>
        <w:t> </w:t>
      </w:r>
      <w:r>
        <w:rPr>
          <w:sz w:val="20"/>
        </w:rPr>
        <w:t>daqueles</w:t>
      </w:r>
      <w:r>
        <w:rPr>
          <w:spacing w:val="-22"/>
          <w:sz w:val="20"/>
        </w:rPr>
        <w:t> </w:t>
      </w:r>
      <w:r>
        <w:rPr>
          <w:sz w:val="20"/>
        </w:rPr>
        <w:t>ativos,</w:t>
      </w:r>
      <w:r>
        <w:rPr>
          <w:spacing w:val="-14"/>
          <w:sz w:val="20"/>
        </w:rPr>
        <w:t> </w:t>
      </w:r>
      <w:r>
        <w:rPr>
          <w:sz w:val="20"/>
        </w:rPr>
        <w:t>embora</w:t>
      </w:r>
      <w:r>
        <w:rPr>
          <w:spacing w:val="-22"/>
          <w:sz w:val="20"/>
        </w:rPr>
        <w:t> </w:t>
      </w:r>
      <w:r>
        <w:rPr>
          <w:sz w:val="20"/>
        </w:rPr>
        <w:t>a</w:t>
      </w:r>
      <w:r>
        <w:rPr>
          <w:spacing w:val="-21"/>
          <w:sz w:val="20"/>
        </w:rPr>
        <w:t> </w:t>
      </w:r>
      <w:r>
        <w:rPr>
          <w:sz w:val="20"/>
        </w:rPr>
        <w:t>diminuição</w:t>
      </w:r>
      <w:r>
        <w:rPr>
          <w:spacing w:val="-22"/>
          <w:sz w:val="20"/>
        </w:rPr>
        <w:t> </w:t>
      </w:r>
      <w:r>
        <w:rPr>
          <w:sz w:val="20"/>
        </w:rPr>
        <w:t>não possa</w:t>
      </w:r>
      <w:r>
        <w:rPr>
          <w:spacing w:val="-22"/>
          <w:sz w:val="20"/>
        </w:rPr>
        <w:t> </w:t>
      </w:r>
      <w:r>
        <w:rPr>
          <w:sz w:val="20"/>
        </w:rPr>
        <w:t>ainda</w:t>
      </w:r>
      <w:r>
        <w:rPr>
          <w:spacing w:val="-22"/>
          <w:sz w:val="20"/>
        </w:rPr>
        <w:t> </w:t>
      </w:r>
      <w:r>
        <w:rPr>
          <w:sz w:val="20"/>
        </w:rPr>
        <w:t>ser</w:t>
      </w:r>
      <w:r>
        <w:rPr>
          <w:spacing w:val="-23"/>
          <w:sz w:val="20"/>
        </w:rPr>
        <w:t> </w:t>
      </w:r>
      <w:r>
        <w:rPr>
          <w:sz w:val="20"/>
        </w:rPr>
        <w:t>identificada</w:t>
      </w:r>
      <w:r>
        <w:rPr>
          <w:spacing w:val="-19"/>
          <w:sz w:val="20"/>
        </w:rPr>
        <w:t> </w:t>
      </w:r>
      <w:r>
        <w:rPr>
          <w:sz w:val="20"/>
        </w:rPr>
        <w:t>com</w:t>
      </w:r>
      <w:r>
        <w:rPr>
          <w:spacing w:val="-23"/>
          <w:sz w:val="20"/>
        </w:rPr>
        <w:t> </w:t>
      </w:r>
      <w:r>
        <w:rPr>
          <w:sz w:val="20"/>
        </w:rPr>
        <w:t>os</w:t>
      </w:r>
      <w:r>
        <w:rPr>
          <w:spacing w:val="-22"/>
          <w:sz w:val="20"/>
        </w:rPr>
        <w:t> </w:t>
      </w:r>
      <w:r>
        <w:rPr>
          <w:sz w:val="20"/>
        </w:rPr>
        <w:t>ativos</w:t>
      </w:r>
      <w:r>
        <w:rPr>
          <w:spacing w:val="-20"/>
          <w:sz w:val="20"/>
        </w:rPr>
        <w:t> </w:t>
      </w:r>
      <w:r>
        <w:rPr>
          <w:sz w:val="20"/>
        </w:rPr>
        <w:t>financeiros</w:t>
      </w:r>
      <w:r>
        <w:rPr>
          <w:spacing w:val="-22"/>
          <w:sz w:val="20"/>
        </w:rPr>
        <w:t> </w:t>
      </w:r>
      <w:r>
        <w:rPr>
          <w:sz w:val="20"/>
        </w:rPr>
        <w:t>individuais</w:t>
      </w:r>
      <w:r>
        <w:rPr>
          <w:spacing w:val="-21"/>
          <w:sz w:val="20"/>
        </w:rPr>
        <w:t> </w:t>
      </w:r>
      <w:r>
        <w:rPr>
          <w:sz w:val="20"/>
        </w:rPr>
        <w:t>na</w:t>
      </w:r>
      <w:r>
        <w:rPr>
          <w:spacing w:val="-22"/>
          <w:sz w:val="20"/>
        </w:rPr>
        <w:t> </w:t>
      </w:r>
      <w:r>
        <w:rPr>
          <w:sz w:val="20"/>
        </w:rPr>
        <w:t>carteira,</w:t>
      </w:r>
      <w:r>
        <w:rPr>
          <w:spacing w:val="-23"/>
          <w:sz w:val="20"/>
        </w:rPr>
        <w:t> </w:t>
      </w:r>
      <w:r>
        <w:rPr>
          <w:sz w:val="20"/>
        </w:rPr>
        <w:t>incluindo:</w:t>
      </w:r>
    </w:p>
    <w:p>
      <w:pPr>
        <w:pStyle w:val="ListParagraph"/>
        <w:numPr>
          <w:ilvl w:val="1"/>
          <w:numId w:val="14"/>
        </w:numPr>
        <w:tabs>
          <w:tab w:pos="902" w:val="left" w:leader="none"/>
        </w:tabs>
        <w:spacing w:line="240" w:lineRule="auto" w:before="3" w:after="0"/>
        <w:ind w:left="901" w:right="0" w:hanging="282"/>
        <w:jc w:val="both"/>
        <w:rPr>
          <w:sz w:val="20"/>
        </w:rPr>
      </w:pPr>
      <w:r>
        <w:rPr>
          <w:sz w:val="20"/>
        </w:rPr>
        <w:t>Mudanças</w:t>
      </w:r>
      <w:r>
        <w:rPr>
          <w:spacing w:val="-22"/>
          <w:sz w:val="20"/>
        </w:rPr>
        <w:t> </w:t>
      </w:r>
      <w:r>
        <w:rPr>
          <w:sz w:val="20"/>
        </w:rPr>
        <w:t>adversas</w:t>
      </w:r>
      <w:r>
        <w:rPr>
          <w:spacing w:val="-21"/>
          <w:sz w:val="20"/>
        </w:rPr>
        <w:t> </w:t>
      </w:r>
      <w:r>
        <w:rPr>
          <w:sz w:val="20"/>
        </w:rPr>
        <w:t>na</w:t>
      </w:r>
      <w:r>
        <w:rPr>
          <w:spacing w:val="-21"/>
          <w:sz w:val="20"/>
        </w:rPr>
        <w:t> </w:t>
      </w:r>
      <w:r>
        <w:rPr>
          <w:sz w:val="20"/>
        </w:rPr>
        <w:t>situação</w:t>
      </w:r>
      <w:r>
        <w:rPr>
          <w:spacing w:val="-22"/>
          <w:sz w:val="20"/>
        </w:rPr>
        <w:t> </w:t>
      </w:r>
      <w:r>
        <w:rPr>
          <w:sz w:val="20"/>
        </w:rPr>
        <w:t>do</w:t>
      </w:r>
      <w:r>
        <w:rPr>
          <w:spacing w:val="-22"/>
          <w:sz w:val="20"/>
        </w:rPr>
        <w:t> </w:t>
      </w:r>
      <w:r>
        <w:rPr>
          <w:sz w:val="20"/>
        </w:rPr>
        <w:t>pagamento</w:t>
      </w:r>
      <w:r>
        <w:rPr>
          <w:spacing w:val="-23"/>
          <w:sz w:val="20"/>
        </w:rPr>
        <w:t> </w:t>
      </w:r>
      <w:r>
        <w:rPr>
          <w:sz w:val="20"/>
        </w:rPr>
        <w:t>dos</w:t>
      </w:r>
      <w:r>
        <w:rPr>
          <w:spacing w:val="-21"/>
          <w:sz w:val="20"/>
        </w:rPr>
        <w:t> </w:t>
      </w:r>
      <w:r>
        <w:rPr>
          <w:sz w:val="20"/>
        </w:rPr>
        <w:t>tomadores</w:t>
      </w:r>
      <w:r>
        <w:rPr>
          <w:spacing w:val="-21"/>
          <w:sz w:val="20"/>
        </w:rPr>
        <w:t> </w:t>
      </w:r>
      <w:r>
        <w:rPr>
          <w:sz w:val="20"/>
        </w:rPr>
        <w:t>de</w:t>
      </w:r>
      <w:r>
        <w:rPr>
          <w:spacing w:val="-20"/>
          <w:sz w:val="20"/>
        </w:rPr>
        <w:t> </w:t>
      </w:r>
      <w:r>
        <w:rPr>
          <w:sz w:val="20"/>
        </w:rPr>
        <w:t>empréstimo</w:t>
      </w:r>
      <w:r>
        <w:rPr>
          <w:spacing w:val="-21"/>
          <w:sz w:val="20"/>
        </w:rPr>
        <w:t> </w:t>
      </w:r>
      <w:r>
        <w:rPr>
          <w:sz w:val="20"/>
        </w:rPr>
        <w:t>na</w:t>
      </w:r>
      <w:r>
        <w:rPr>
          <w:spacing w:val="-21"/>
          <w:sz w:val="20"/>
        </w:rPr>
        <w:t> </w:t>
      </w:r>
      <w:r>
        <w:rPr>
          <w:sz w:val="20"/>
        </w:rPr>
        <w:t>carteira;</w:t>
      </w:r>
      <w:r>
        <w:rPr>
          <w:spacing w:val="-19"/>
          <w:sz w:val="20"/>
        </w:rPr>
        <w:t> </w:t>
      </w:r>
      <w:r>
        <w:rPr>
          <w:sz w:val="20"/>
        </w:rPr>
        <w:t>e</w:t>
      </w:r>
    </w:p>
    <w:p>
      <w:pPr>
        <w:pStyle w:val="ListParagraph"/>
        <w:numPr>
          <w:ilvl w:val="1"/>
          <w:numId w:val="14"/>
        </w:numPr>
        <w:tabs>
          <w:tab w:pos="902" w:val="left" w:leader="none"/>
        </w:tabs>
        <w:spacing w:line="242" w:lineRule="auto" w:before="1" w:after="0"/>
        <w:ind w:left="901" w:right="614" w:hanging="281"/>
        <w:jc w:val="both"/>
        <w:rPr>
          <w:sz w:val="20"/>
        </w:rPr>
      </w:pPr>
      <w:r>
        <w:rPr>
          <w:sz w:val="20"/>
        </w:rPr>
        <w:t>Condições</w:t>
      </w:r>
      <w:r>
        <w:rPr>
          <w:spacing w:val="-19"/>
          <w:sz w:val="20"/>
        </w:rPr>
        <w:t> </w:t>
      </w:r>
      <w:r>
        <w:rPr>
          <w:sz w:val="20"/>
        </w:rPr>
        <w:t>econômicas</w:t>
      </w:r>
      <w:r>
        <w:rPr>
          <w:spacing w:val="-19"/>
          <w:sz w:val="20"/>
        </w:rPr>
        <w:t> </w:t>
      </w:r>
      <w:r>
        <w:rPr>
          <w:sz w:val="20"/>
        </w:rPr>
        <w:t>nacionais</w:t>
      </w:r>
      <w:r>
        <w:rPr>
          <w:spacing w:val="-18"/>
          <w:sz w:val="20"/>
        </w:rPr>
        <w:t> </w:t>
      </w:r>
      <w:r>
        <w:rPr>
          <w:sz w:val="20"/>
        </w:rPr>
        <w:t>ou</w:t>
      </w:r>
      <w:r>
        <w:rPr>
          <w:spacing w:val="-19"/>
          <w:sz w:val="20"/>
        </w:rPr>
        <w:t> </w:t>
      </w:r>
      <w:r>
        <w:rPr>
          <w:sz w:val="20"/>
        </w:rPr>
        <w:t>locais</w:t>
      </w:r>
      <w:r>
        <w:rPr>
          <w:spacing w:val="-18"/>
          <w:sz w:val="20"/>
        </w:rPr>
        <w:t> </w:t>
      </w:r>
      <w:r>
        <w:rPr>
          <w:sz w:val="20"/>
        </w:rPr>
        <w:t>que</w:t>
      </w:r>
      <w:r>
        <w:rPr>
          <w:spacing w:val="-20"/>
          <w:sz w:val="20"/>
        </w:rPr>
        <w:t> </w:t>
      </w:r>
      <w:r>
        <w:rPr>
          <w:sz w:val="20"/>
        </w:rPr>
        <w:t>se</w:t>
      </w:r>
      <w:r>
        <w:rPr>
          <w:spacing w:val="-20"/>
          <w:sz w:val="20"/>
        </w:rPr>
        <w:t> </w:t>
      </w:r>
      <w:r>
        <w:rPr>
          <w:sz w:val="20"/>
        </w:rPr>
        <w:t>correlacionam</w:t>
      </w:r>
      <w:r>
        <w:rPr>
          <w:spacing w:val="-19"/>
          <w:sz w:val="20"/>
        </w:rPr>
        <w:t> </w:t>
      </w:r>
      <w:r>
        <w:rPr>
          <w:sz w:val="20"/>
        </w:rPr>
        <w:t>com</w:t>
      </w:r>
      <w:r>
        <w:rPr>
          <w:spacing w:val="-19"/>
          <w:sz w:val="20"/>
        </w:rPr>
        <w:t> </w:t>
      </w:r>
      <w:r>
        <w:rPr>
          <w:sz w:val="20"/>
        </w:rPr>
        <w:t>as</w:t>
      </w:r>
      <w:r>
        <w:rPr>
          <w:spacing w:val="-19"/>
          <w:sz w:val="20"/>
        </w:rPr>
        <w:t> </w:t>
      </w:r>
      <w:r>
        <w:rPr>
          <w:sz w:val="20"/>
        </w:rPr>
        <w:t>inadimplências</w:t>
      </w:r>
      <w:r>
        <w:rPr>
          <w:spacing w:val="-18"/>
          <w:sz w:val="20"/>
        </w:rPr>
        <w:t> </w:t>
      </w:r>
      <w:r>
        <w:rPr>
          <w:sz w:val="20"/>
        </w:rPr>
        <w:t>sobre</w:t>
      </w:r>
      <w:r>
        <w:rPr>
          <w:spacing w:val="-20"/>
          <w:sz w:val="20"/>
        </w:rPr>
        <w:t> </w:t>
      </w:r>
      <w:r>
        <w:rPr>
          <w:sz w:val="20"/>
        </w:rPr>
        <w:t>os</w:t>
      </w:r>
      <w:r>
        <w:rPr>
          <w:spacing w:val="-19"/>
          <w:sz w:val="20"/>
        </w:rPr>
        <w:t> </w:t>
      </w:r>
      <w:r>
        <w:rPr>
          <w:sz w:val="20"/>
        </w:rPr>
        <w:t>ativos</w:t>
      </w:r>
      <w:r>
        <w:rPr>
          <w:spacing w:val="-17"/>
          <w:sz w:val="20"/>
        </w:rPr>
        <w:t> </w:t>
      </w:r>
      <w:r>
        <w:rPr>
          <w:sz w:val="20"/>
        </w:rPr>
        <w:t>na carteira.</w:t>
      </w:r>
    </w:p>
    <w:p>
      <w:pPr>
        <w:pStyle w:val="BodyText"/>
        <w:spacing w:before="6"/>
      </w:pPr>
    </w:p>
    <w:p>
      <w:pPr>
        <w:pStyle w:val="BodyText"/>
        <w:spacing w:line="249" w:lineRule="auto"/>
        <w:ind w:left="192" w:right="611"/>
        <w:jc w:val="both"/>
      </w:pPr>
      <w:r>
        <w:rPr/>
        <w:t>O</w:t>
      </w:r>
      <w:r>
        <w:rPr>
          <w:spacing w:val="-26"/>
        </w:rPr>
        <w:t> </w:t>
      </w:r>
      <w:r>
        <w:rPr/>
        <w:t>montante</w:t>
      </w:r>
      <w:r>
        <w:rPr>
          <w:spacing w:val="-26"/>
        </w:rPr>
        <w:t> </w:t>
      </w:r>
      <w:r>
        <w:rPr/>
        <w:t>de</w:t>
      </w:r>
      <w:r>
        <w:rPr>
          <w:spacing w:val="-26"/>
        </w:rPr>
        <w:t> </w:t>
      </w:r>
      <w:r>
        <w:rPr/>
        <w:t>perda</w:t>
      </w:r>
      <w:r>
        <w:rPr>
          <w:spacing w:val="-24"/>
        </w:rPr>
        <w:t> </w:t>
      </w:r>
      <w:r>
        <w:rPr/>
        <w:t>por</w:t>
      </w:r>
      <w:r>
        <w:rPr>
          <w:spacing w:val="-23"/>
        </w:rPr>
        <w:t> </w:t>
      </w:r>
      <w:r>
        <w:rPr>
          <w:rFonts w:ascii="Caladea" w:hAnsi="Caladea"/>
          <w:i/>
        </w:rPr>
        <w:t>impairment</w:t>
      </w:r>
      <w:r>
        <w:rPr>
          <w:rFonts w:ascii="Caladea" w:hAnsi="Caladea"/>
          <w:i/>
          <w:spacing w:val="-7"/>
        </w:rPr>
        <w:t> </w:t>
      </w:r>
      <w:r>
        <w:rPr/>
        <w:t>quando</w:t>
      </w:r>
      <w:r>
        <w:rPr>
          <w:spacing w:val="-25"/>
        </w:rPr>
        <w:t> </w:t>
      </w:r>
      <w:r>
        <w:rPr/>
        <w:t>incorrido</w:t>
      </w:r>
      <w:r>
        <w:rPr>
          <w:spacing w:val="-24"/>
        </w:rPr>
        <w:t> </w:t>
      </w:r>
      <w:r>
        <w:rPr/>
        <w:t>é</w:t>
      </w:r>
      <w:r>
        <w:rPr>
          <w:spacing w:val="-25"/>
        </w:rPr>
        <w:t> </w:t>
      </w:r>
      <w:r>
        <w:rPr/>
        <w:t>registrado</w:t>
      </w:r>
      <w:r>
        <w:rPr>
          <w:spacing w:val="-26"/>
        </w:rPr>
        <w:t> </w:t>
      </w:r>
      <w:r>
        <w:rPr/>
        <w:t>no</w:t>
      </w:r>
      <w:r>
        <w:rPr>
          <w:spacing w:val="-25"/>
        </w:rPr>
        <w:t> </w:t>
      </w:r>
      <w:r>
        <w:rPr/>
        <w:t>resultado</w:t>
      </w:r>
      <w:r>
        <w:rPr>
          <w:spacing w:val="-25"/>
        </w:rPr>
        <w:t> </w:t>
      </w:r>
      <w:r>
        <w:rPr/>
        <w:t>e,</w:t>
      </w:r>
      <w:r>
        <w:rPr>
          <w:spacing w:val="-24"/>
        </w:rPr>
        <w:t> </w:t>
      </w:r>
      <w:r>
        <w:rPr/>
        <w:t>se</w:t>
      </w:r>
      <w:r>
        <w:rPr>
          <w:spacing w:val="-25"/>
        </w:rPr>
        <w:t> </w:t>
      </w:r>
      <w:r>
        <w:rPr/>
        <w:t>num</w:t>
      </w:r>
      <w:r>
        <w:rPr>
          <w:spacing w:val="-24"/>
        </w:rPr>
        <w:t> </w:t>
      </w:r>
      <w:r>
        <w:rPr/>
        <w:t>período</w:t>
      </w:r>
      <w:r>
        <w:rPr>
          <w:spacing w:val="-25"/>
        </w:rPr>
        <w:t> </w:t>
      </w:r>
      <w:r>
        <w:rPr/>
        <w:t>subsequente,</w:t>
      </w:r>
      <w:r>
        <w:rPr>
          <w:spacing w:val="-25"/>
        </w:rPr>
        <w:t> </w:t>
      </w:r>
      <w:r>
        <w:rPr/>
        <w:t>o valor</w:t>
      </w:r>
      <w:r>
        <w:rPr>
          <w:spacing w:val="-45"/>
        </w:rPr>
        <w:t> </w:t>
      </w:r>
      <w:r>
        <w:rPr/>
        <w:t>dessa</w:t>
      </w:r>
      <w:r>
        <w:rPr>
          <w:spacing w:val="-44"/>
        </w:rPr>
        <w:t> </w:t>
      </w:r>
      <w:r>
        <w:rPr/>
        <w:t>perda</w:t>
      </w:r>
      <w:r>
        <w:rPr>
          <w:spacing w:val="-42"/>
        </w:rPr>
        <w:t> </w:t>
      </w:r>
      <w:r>
        <w:rPr/>
        <w:t>diminuir,</w:t>
      </w:r>
      <w:r>
        <w:rPr>
          <w:spacing w:val="-44"/>
        </w:rPr>
        <w:t> </w:t>
      </w:r>
      <w:r>
        <w:rPr/>
        <w:t>em</w:t>
      </w:r>
      <w:r>
        <w:rPr>
          <w:spacing w:val="-43"/>
        </w:rPr>
        <w:t> </w:t>
      </w:r>
      <w:r>
        <w:rPr/>
        <w:t>função</w:t>
      </w:r>
      <w:r>
        <w:rPr>
          <w:spacing w:val="-43"/>
        </w:rPr>
        <w:t> </w:t>
      </w:r>
      <w:r>
        <w:rPr/>
        <w:t>de</w:t>
      </w:r>
      <w:r>
        <w:rPr>
          <w:spacing w:val="-45"/>
        </w:rPr>
        <w:t> </w:t>
      </w:r>
      <w:r>
        <w:rPr/>
        <w:t>um</w:t>
      </w:r>
      <w:r>
        <w:rPr>
          <w:spacing w:val="-43"/>
        </w:rPr>
        <w:t> </w:t>
      </w:r>
      <w:r>
        <w:rPr/>
        <w:t>evento</w:t>
      </w:r>
      <w:r>
        <w:rPr>
          <w:spacing w:val="-43"/>
        </w:rPr>
        <w:t> </w:t>
      </w:r>
      <w:r>
        <w:rPr/>
        <w:t>que</w:t>
      </w:r>
      <w:r>
        <w:rPr>
          <w:spacing w:val="-44"/>
        </w:rPr>
        <w:t> </w:t>
      </w:r>
      <w:r>
        <w:rPr/>
        <w:t>ocorreu</w:t>
      </w:r>
      <w:r>
        <w:rPr>
          <w:spacing w:val="-43"/>
        </w:rPr>
        <w:t> </w:t>
      </w:r>
      <w:r>
        <w:rPr/>
        <w:t>após</w:t>
      </w:r>
      <w:r>
        <w:rPr>
          <w:spacing w:val="-43"/>
        </w:rPr>
        <w:t> </w:t>
      </w:r>
      <w:r>
        <w:rPr/>
        <w:t>a</w:t>
      </w:r>
      <w:r>
        <w:rPr>
          <w:spacing w:val="-41"/>
        </w:rPr>
        <w:t> </w:t>
      </w:r>
      <w:r>
        <w:rPr/>
        <w:t>deterioração</w:t>
      </w:r>
      <w:r>
        <w:rPr>
          <w:spacing w:val="-43"/>
        </w:rPr>
        <w:t> </w:t>
      </w:r>
      <w:r>
        <w:rPr/>
        <w:t>anteriormente</w:t>
      </w:r>
      <w:r>
        <w:rPr>
          <w:spacing w:val="-43"/>
        </w:rPr>
        <w:t> </w:t>
      </w:r>
      <w:r>
        <w:rPr/>
        <w:t>reconhecida,</w:t>
      </w:r>
      <w:r>
        <w:rPr>
          <w:spacing w:val="-43"/>
        </w:rPr>
        <w:t> </w:t>
      </w:r>
      <w:r>
        <w:rPr/>
        <w:t>tal perda</w:t>
      </w:r>
      <w:r>
        <w:rPr>
          <w:spacing w:val="-19"/>
        </w:rPr>
        <w:t> </w:t>
      </w:r>
      <w:r>
        <w:rPr/>
        <w:t>deverá</w:t>
      </w:r>
      <w:r>
        <w:rPr>
          <w:spacing w:val="-19"/>
        </w:rPr>
        <w:t> </w:t>
      </w:r>
      <w:r>
        <w:rPr/>
        <w:t>ser</w:t>
      </w:r>
      <w:r>
        <w:rPr>
          <w:spacing w:val="-17"/>
        </w:rPr>
        <w:t> </w:t>
      </w:r>
      <w:r>
        <w:rPr/>
        <w:t>revertida</w:t>
      </w:r>
      <w:r>
        <w:rPr>
          <w:spacing w:val="-19"/>
        </w:rPr>
        <w:t> </w:t>
      </w:r>
      <w:r>
        <w:rPr/>
        <w:t>na</w:t>
      </w:r>
      <w:r>
        <w:rPr>
          <w:spacing w:val="-19"/>
        </w:rPr>
        <w:t> </w:t>
      </w:r>
      <w:r>
        <w:rPr/>
        <w:t>demonstração</w:t>
      </w:r>
      <w:r>
        <w:rPr>
          <w:spacing w:val="-19"/>
        </w:rPr>
        <w:t> </w:t>
      </w:r>
      <w:r>
        <w:rPr/>
        <w:t>do</w:t>
      </w:r>
      <w:r>
        <w:rPr>
          <w:spacing w:val="-20"/>
        </w:rPr>
        <w:t> </w:t>
      </w:r>
      <w:r>
        <w:rPr/>
        <w:t>resultado.</w:t>
      </w:r>
    </w:p>
    <w:p>
      <w:pPr>
        <w:pStyle w:val="BodyText"/>
        <w:spacing w:before="4"/>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C</w:t>
      </w:r>
      <w:r>
        <w:rPr>
          <w:rFonts w:ascii="Caladea"/>
          <w:b/>
          <w:sz w:val="18"/>
        </w:rPr>
        <w:t>ONTAS A </w:t>
      </w:r>
      <w:r>
        <w:rPr>
          <w:rFonts w:ascii="Caladea"/>
          <w:b/>
          <w:sz w:val="22"/>
        </w:rPr>
        <w:t>R</w:t>
      </w:r>
      <w:r>
        <w:rPr>
          <w:rFonts w:ascii="Caladea"/>
          <w:b/>
          <w:sz w:val="18"/>
        </w:rPr>
        <w:t>ECEBER</w:t>
      </w:r>
    </w:p>
    <w:p>
      <w:pPr>
        <w:pStyle w:val="BodyText"/>
        <w:spacing w:before="1"/>
        <w:rPr>
          <w:rFonts w:ascii="Caladea"/>
          <w:b/>
          <w:sz w:val="24"/>
        </w:rPr>
      </w:pPr>
    </w:p>
    <w:p>
      <w:pPr>
        <w:pStyle w:val="BodyText"/>
        <w:spacing w:line="242" w:lineRule="auto"/>
        <w:ind w:left="192" w:right="609"/>
        <w:jc w:val="both"/>
      </w:pPr>
      <w:r>
        <w:rPr/>
        <w:t>O Grupo classifica os valores a receber de consumidores, dos revendedores, dos concessionários e dos permissionários</w:t>
      </w:r>
      <w:r>
        <w:rPr>
          <w:spacing w:val="-40"/>
        </w:rPr>
        <w:t> </w:t>
      </w:r>
      <w:r>
        <w:rPr/>
        <w:t>na</w:t>
      </w:r>
      <w:r>
        <w:rPr>
          <w:spacing w:val="-40"/>
        </w:rPr>
        <w:t> </w:t>
      </w:r>
      <w:r>
        <w:rPr/>
        <w:t>rubrica</w:t>
      </w:r>
      <w:r>
        <w:rPr>
          <w:spacing w:val="-40"/>
        </w:rPr>
        <w:t> </w:t>
      </w:r>
      <w:r>
        <w:rPr/>
        <w:t>contas</w:t>
      </w:r>
      <w:r>
        <w:rPr>
          <w:spacing w:val="-40"/>
        </w:rPr>
        <w:t> </w:t>
      </w:r>
      <w:r>
        <w:rPr/>
        <w:t>a</w:t>
      </w:r>
      <w:r>
        <w:rPr>
          <w:spacing w:val="-39"/>
        </w:rPr>
        <w:t> </w:t>
      </w:r>
      <w:r>
        <w:rPr/>
        <w:t>receber.</w:t>
      </w:r>
      <w:r>
        <w:rPr>
          <w:spacing w:val="-39"/>
        </w:rPr>
        <w:t> </w:t>
      </w:r>
      <w:r>
        <w:rPr/>
        <w:t>Os</w:t>
      </w:r>
      <w:r>
        <w:rPr>
          <w:spacing w:val="-40"/>
        </w:rPr>
        <w:t> </w:t>
      </w:r>
      <w:r>
        <w:rPr/>
        <w:t>recebíveis</w:t>
      </w:r>
      <w:r>
        <w:rPr>
          <w:spacing w:val="-40"/>
        </w:rPr>
        <w:t> </w:t>
      </w:r>
      <w:r>
        <w:rPr/>
        <w:t>são</w:t>
      </w:r>
      <w:r>
        <w:rPr>
          <w:spacing w:val="-40"/>
        </w:rPr>
        <w:t> </w:t>
      </w:r>
      <w:r>
        <w:rPr/>
        <w:t>reconhecidos</w:t>
      </w:r>
      <w:r>
        <w:rPr>
          <w:spacing w:val="-40"/>
        </w:rPr>
        <w:t> </w:t>
      </w:r>
      <w:r>
        <w:rPr/>
        <w:t>inicialmente</w:t>
      </w:r>
      <w:r>
        <w:rPr>
          <w:spacing w:val="-40"/>
        </w:rPr>
        <w:t> </w:t>
      </w:r>
      <w:r>
        <w:rPr/>
        <w:t>pelo</w:t>
      </w:r>
      <w:r>
        <w:rPr>
          <w:spacing w:val="-40"/>
        </w:rPr>
        <w:t> </w:t>
      </w:r>
      <w:r>
        <w:rPr/>
        <w:t>seu</w:t>
      </w:r>
      <w:r>
        <w:rPr>
          <w:spacing w:val="-40"/>
        </w:rPr>
        <w:t> </w:t>
      </w:r>
      <w:r>
        <w:rPr/>
        <w:t>valor</w:t>
      </w:r>
      <w:r>
        <w:rPr>
          <w:spacing w:val="-40"/>
        </w:rPr>
        <w:t> </w:t>
      </w:r>
      <w:r>
        <w:rPr/>
        <w:t>justo</w:t>
      </w:r>
      <w:r>
        <w:rPr>
          <w:spacing w:val="-39"/>
        </w:rPr>
        <w:t> </w:t>
      </w:r>
      <w:r>
        <w:rPr/>
        <w:t>e</w:t>
      </w:r>
      <w:r>
        <w:rPr>
          <w:spacing w:val="-41"/>
        </w:rPr>
        <w:t> </w:t>
      </w:r>
      <w:r>
        <w:rPr/>
        <w:t>estão apresentados</w:t>
      </w:r>
      <w:r>
        <w:rPr>
          <w:spacing w:val="-37"/>
        </w:rPr>
        <w:t> </w:t>
      </w:r>
      <w:r>
        <w:rPr/>
        <w:t>pelo</w:t>
      </w:r>
      <w:r>
        <w:rPr>
          <w:spacing w:val="-39"/>
        </w:rPr>
        <w:t> </w:t>
      </w:r>
      <w:r>
        <w:rPr/>
        <w:t>valor</w:t>
      </w:r>
      <w:r>
        <w:rPr>
          <w:spacing w:val="-38"/>
        </w:rPr>
        <w:t> </w:t>
      </w:r>
      <w:r>
        <w:rPr/>
        <w:t>presente</w:t>
      </w:r>
      <w:r>
        <w:rPr>
          <w:spacing w:val="-38"/>
        </w:rPr>
        <w:t> </w:t>
      </w:r>
      <w:r>
        <w:rPr/>
        <w:t>e</w:t>
      </w:r>
      <w:r>
        <w:rPr>
          <w:spacing w:val="-38"/>
        </w:rPr>
        <w:t> </w:t>
      </w:r>
      <w:r>
        <w:rPr/>
        <w:t>são</w:t>
      </w:r>
      <w:r>
        <w:rPr>
          <w:spacing w:val="-39"/>
        </w:rPr>
        <w:t> </w:t>
      </w:r>
      <w:r>
        <w:rPr/>
        <w:t>deduzidos</w:t>
      </w:r>
      <w:r>
        <w:rPr>
          <w:spacing w:val="-38"/>
        </w:rPr>
        <w:t> </w:t>
      </w:r>
      <w:r>
        <w:rPr/>
        <w:t>pelo</w:t>
      </w:r>
      <w:r>
        <w:rPr>
          <w:spacing w:val="-39"/>
        </w:rPr>
        <w:t> </w:t>
      </w:r>
      <w:r>
        <w:rPr/>
        <w:t>ajuste</w:t>
      </w:r>
      <w:r>
        <w:rPr>
          <w:spacing w:val="-38"/>
        </w:rPr>
        <w:t> </w:t>
      </w:r>
      <w:r>
        <w:rPr/>
        <w:t>para</w:t>
      </w:r>
      <w:r>
        <w:rPr>
          <w:spacing w:val="-37"/>
        </w:rPr>
        <w:t> </w:t>
      </w:r>
      <w:r>
        <w:rPr/>
        <w:t>redução</w:t>
      </w:r>
      <w:r>
        <w:rPr>
          <w:spacing w:val="-38"/>
        </w:rPr>
        <w:t> </w:t>
      </w:r>
      <w:r>
        <w:rPr/>
        <w:t>ao</w:t>
      </w:r>
      <w:r>
        <w:rPr>
          <w:spacing w:val="-39"/>
        </w:rPr>
        <w:t> </w:t>
      </w:r>
      <w:r>
        <w:rPr/>
        <w:t>seu</w:t>
      </w:r>
      <w:r>
        <w:rPr>
          <w:spacing w:val="-37"/>
        </w:rPr>
        <w:t> </w:t>
      </w:r>
      <w:r>
        <w:rPr/>
        <w:t>provável</w:t>
      </w:r>
      <w:r>
        <w:rPr>
          <w:spacing w:val="-38"/>
        </w:rPr>
        <w:t> </w:t>
      </w:r>
      <w:r>
        <w:rPr/>
        <w:t>valor</w:t>
      </w:r>
      <w:r>
        <w:rPr>
          <w:spacing w:val="-38"/>
        </w:rPr>
        <w:t> </w:t>
      </w:r>
      <w:r>
        <w:rPr/>
        <w:t>de</w:t>
      </w:r>
      <w:r>
        <w:rPr>
          <w:spacing w:val="-38"/>
        </w:rPr>
        <w:t> </w:t>
      </w:r>
      <w:r>
        <w:rPr/>
        <w:t>recuperação</w:t>
      </w:r>
      <w:r>
        <w:rPr>
          <w:spacing w:val="-37"/>
        </w:rPr>
        <w:t> </w:t>
      </w:r>
      <w:r>
        <w:rPr/>
        <w:t>por meio</w:t>
      </w:r>
      <w:r>
        <w:rPr>
          <w:spacing w:val="-20"/>
        </w:rPr>
        <w:t> </w:t>
      </w:r>
      <w:r>
        <w:rPr/>
        <w:t>da</w:t>
      </w:r>
      <w:r>
        <w:rPr>
          <w:spacing w:val="-21"/>
        </w:rPr>
        <w:t> </w:t>
      </w:r>
      <w:r>
        <w:rPr/>
        <w:t>constituição</w:t>
      </w:r>
      <w:r>
        <w:rPr>
          <w:spacing w:val="-22"/>
        </w:rPr>
        <w:t> </w:t>
      </w:r>
      <w:r>
        <w:rPr/>
        <w:t>de</w:t>
      </w:r>
      <w:r>
        <w:rPr>
          <w:spacing w:val="-20"/>
        </w:rPr>
        <w:t> </w:t>
      </w:r>
      <w:r>
        <w:rPr/>
        <w:t>estimativa</w:t>
      </w:r>
      <w:r>
        <w:rPr>
          <w:spacing w:val="-20"/>
        </w:rPr>
        <w:t> </w:t>
      </w:r>
      <w:r>
        <w:rPr/>
        <w:t>de</w:t>
      </w:r>
      <w:r>
        <w:rPr>
          <w:spacing w:val="-21"/>
        </w:rPr>
        <w:t> </w:t>
      </w:r>
      <w:r>
        <w:rPr/>
        <w:t>perda</w:t>
      </w:r>
      <w:r>
        <w:rPr>
          <w:spacing w:val="-21"/>
        </w:rPr>
        <w:t> </w:t>
      </w:r>
      <w:r>
        <w:rPr/>
        <w:t>com</w:t>
      </w:r>
      <w:r>
        <w:rPr>
          <w:spacing w:val="-21"/>
        </w:rPr>
        <w:t> </w:t>
      </w:r>
      <w:r>
        <w:rPr/>
        <w:t>crédito</w:t>
      </w:r>
      <w:r>
        <w:rPr>
          <w:spacing w:val="-20"/>
        </w:rPr>
        <w:t> </w:t>
      </w:r>
      <w:r>
        <w:rPr/>
        <w:t>de</w:t>
      </w:r>
      <w:r>
        <w:rPr>
          <w:spacing w:val="-21"/>
        </w:rPr>
        <w:t> </w:t>
      </w:r>
      <w:r>
        <w:rPr/>
        <w:t>liquidação</w:t>
      </w:r>
      <w:r>
        <w:rPr>
          <w:spacing w:val="-22"/>
        </w:rPr>
        <w:t> </w:t>
      </w:r>
      <w:r>
        <w:rPr/>
        <w:t>duvidosa.</w:t>
      </w:r>
    </w:p>
    <w:p>
      <w:pPr>
        <w:pStyle w:val="BodyText"/>
        <w:spacing w:before="5"/>
      </w:pPr>
    </w:p>
    <w:p>
      <w:pPr>
        <w:pStyle w:val="BodyText"/>
        <w:spacing w:line="242" w:lineRule="auto" w:before="1"/>
        <w:ind w:left="192" w:right="617"/>
        <w:jc w:val="both"/>
      </w:pPr>
      <w:r>
        <w:rPr/>
        <w:t>Os</w:t>
      </w:r>
      <w:r>
        <w:rPr>
          <w:spacing w:val="-21"/>
        </w:rPr>
        <w:t> </w:t>
      </w:r>
      <w:r>
        <w:rPr/>
        <w:t>saldos</w:t>
      </w:r>
      <w:r>
        <w:rPr>
          <w:spacing w:val="-21"/>
        </w:rPr>
        <w:t> </w:t>
      </w:r>
      <w:r>
        <w:rPr/>
        <w:t>de</w:t>
      </w:r>
      <w:r>
        <w:rPr>
          <w:spacing w:val="-23"/>
        </w:rPr>
        <w:t> </w:t>
      </w:r>
      <w:r>
        <w:rPr/>
        <w:t>contas</w:t>
      </w:r>
      <w:r>
        <w:rPr>
          <w:spacing w:val="-21"/>
        </w:rPr>
        <w:t> </w:t>
      </w:r>
      <w:r>
        <w:rPr/>
        <w:t>a</w:t>
      </w:r>
      <w:r>
        <w:rPr>
          <w:spacing w:val="-21"/>
        </w:rPr>
        <w:t> </w:t>
      </w:r>
      <w:r>
        <w:rPr/>
        <w:t>receber</w:t>
      </w:r>
      <w:r>
        <w:rPr>
          <w:spacing w:val="-21"/>
        </w:rPr>
        <w:t> </w:t>
      </w:r>
      <w:r>
        <w:rPr/>
        <w:t>de</w:t>
      </w:r>
      <w:r>
        <w:rPr>
          <w:spacing w:val="-23"/>
        </w:rPr>
        <w:t> </w:t>
      </w:r>
      <w:r>
        <w:rPr/>
        <w:t>consumidores,</w:t>
      </w:r>
      <w:r>
        <w:rPr>
          <w:spacing w:val="-21"/>
        </w:rPr>
        <w:t> </w:t>
      </w:r>
      <w:r>
        <w:rPr/>
        <w:t>revendedores,</w:t>
      </w:r>
      <w:r>
        <w:rPr>
          <w:spacing w:val="-22"/>
        </w:rPr>
        <w:t> </w:t>
      </w:r>
      <w:r>
        <w:rPr/>
        <w:t>concessionários</w:t>
      </w:r>
      <w:r>
        <w:rPr>
          <w:spacing w:val="-21"/>
        </w:rPr>
        <w:t> </w:t>
      </w:r>
      <w:r>
        <w:rPr/>
        <w:t>e</w:t>
      </w:r>
      <w:r>
        <w:rPr>
          <w:spacing w:val="-20"/>
        </w:rPr>
        <w:t> </w:t>
      </w:r>
      <w:r>
        <w:rPr/>
        <w:t>permissionários</w:t>
      </w:r>
      <w:r>
        <w:rPr>
          <w:spacing w:val="-21"/>
        </w:rPr>
        <w:t> </w:t>
      </w:r>
      <w:r>
        <w:rPr/>
        <w:t>incluem</w:t>
      </w:r>
      <w:r>
        <w:rPr>
          <w:spacing w:val="-22"/>
        </w:rPr>
        <w:t> </w:t>
      </w:r>
      <w:r>
        <w:rPr/>
        <w:t>valores faturados</w:t>
      </w:r>
      <w:r>
        <w:rPr>
          <w:spacing w:val="-24"/>
        </w:rPr>
        <w:t> </w:t>
      </w:r>
      <w:r>
        <w:rPr/>
        <w:t>e</w:t>
      </w:r>
      <w:r>
        <w:rPr>
          <w:spacing w:val="-25"/>
        </w:rPr>
        <w:t> </w:t>
      </w:r>
      <w:r>
        <w:rPr/>
        <w:t>não</w:t>
      </w:r>
      <w:r>
        <w:rPr>
          <w:spacing w:val="-24"/>
        </w:rPr>
        <w:t> </w:t>
      </w:r>
      <w:r>
        <w:rPr/>
        <w:t>faturados</w:t>
      </w:r>
      <w:r>
        <w:rPr>
          <w:spacing w:val="-24"/>
        </w:rPr>
        <w:t> </w:t>
      </w:r>
      <w:r>
        <w:rPr/>
        <w:t>referentes</w:t>
      </w:r>
      <w:r>
        <w:rPr>
          <w:spacing w:val="-24"/>
        </w:rPr>
        <w:t> </w:t>
      </w:r>
      <w:r>
        <w:rPr/>
        <w:t>aos</w:t>
      </w:r>
      <w:r>
        <w:rPr>
          <w:spacing w:val="-25"/>
        </w:rPr>
        <w:t> </w:t>
      </w:r>
      <w:r>
        <w:rPr/>
        <w:t>serviços</w:t>
      </w:r>
      <w:r>
        <w:rPr>
          <w:spacing w:val="-25"/>
        </w:rPr>
        <w:t> </w:t>
      </w:r>
      <w:r>
        <w:rPr/>
        <w:t>de</w:t>
      </w:r>
      <w:r>
        <w:rPr>
          <w:spacing w:val="-25"/>
        </w:rPr>
        <w:t> </w:t>
      </w:r>
      <w:r>
        <w:rPr/>
        <w:t>distribuição</w:t>
      </w:r>
      <w:r>
        <w:rPr>
          <w:spacing w:val="-24"/>
        </w:rPr>
        <w:t> </w:t>
      </w:r>
      <w:r>
        <w:rPr/>
        <w:t>de</w:t>
      </w:r>
      <w:r>
        <w:rPr>
          <w:spacing w:val="-25"/>
        </w:rPr>
        <w:t> </w:t>
      </w:r>
      <w:r>
        <w:rPr/>
        <w:t>energia</w:t>
      </w:r>
      <w:r>
        <w:rPr>
          <w:spacing w:val="-24"/>
        </w:rPr>
        <w:t> </w:t>
      </w:r>
      <w:r>
        <w:rPr/>
        <w:t>elétrica</w:t>
      </w:r>
      <w:r>
        <w:rPr>
          <w:spacing w:val="-25"/>
        </w:rPr>
        <w:t> </w:t>
      </w:r>
      <w:r>
        <w:rPr/>
        <w:t>e</w:t>
      </w:r>
      <w:r>
        <w:rPr>
          <w:spacing w:val="-25"/>
        </w:rPr>
        <w:t> </w:t>
      </w:r>
      <w:r>
        <w:rPr/>
        <w:t>de</w:t>
      </w:r>
      <w:r>
        <w:rPr>
          <w:spacing w:val="-24"/>
        </w:rPr>
        <w:t> </w:t>
      </w:r>
      <w:r>
        <w:rPr/>
        <w:t>prestação</w:t>
      </w:r>
      <w:r>
        <w:rPr>
          <w:spacing w:val="-26"/>
        </w:rPr>
        <w:t> </w:t>
      </w:r>
      <w:r>
        <w:rPr/>
        <w:t>de</w:t>
      </w:r>
      <w:r>
        <w:rPr>
          <w:spacing w:val="-25"/>
        </w:rPr>
        <w:t> </w:t>
      </w:r>
      <w:r>
        <w:rPr/>
        <w:t>serviços</w:t>
      </w:r>
      <w:r>
        <w:rPr>
          <w:spacing w:val="-24"/>
        </w:rPr>
        <w:t> </w:t>
      </w:r>
      <w:r>
        <w:rPr/>
        <w:t>de manutenção</w:t>
      </w:r>
      <w:r>
        <w:rPr>
          <w:spacing w:val="-27"/>
        </w:rPr>
        <w:t> </w:t>
      </w:r>
      <w:r>
        <w:rPr/>
        <w:t>e</w:t>
      </w:r>
      <w:r>
        <w:rPr>
          <w:spacing w:val="-27"/>
        </w:rPr>
        <w:t> </w:t>
      </w:r>
      <w:r>
        <w:rPr/>
        <w:t>obras</w:t>
      </w:r>
      <w:r>
        <w:rPr>
          <w:spacing w:val="-27"/>
        </w:rPr>
        <w:t> </w:t>
      </w:r>
      <w:r>
        <w:rPr/>
        <w:t>de</w:t>
      </w:r>
      <w:r>
        <w:rPr>
          <w:spacing w:val="-28"/>
        </w:rPr>
        <w:t> </w:t>
      </w:r>
      <w:r>
        <w:rPr/>
        <w:t>Iluminação</w:t>
      </w:r>
      <w:r>
        <w:rPr>
          <w:spacing w:val="-28"/>
        </w:rPr>
        <w:t> </w:t>
      </w:r>
      <w:r>
        <w:rPr/>
        <w:t>pública;</w:t>
      </w:r>
      <w:r>
        <w:rPr>
          <w:spacing w:val="-27"/>
        </w:rPr>
        <w:t> </w:t>
      </w:r>
      <w:r>
        <w:rPr/>
        <w:t>incluem</w:t>
      </w:r>
      <w:r>
        <w:rPr>
          <w:spacing w:val="-27"/>
        </w:rPr>
        <w:t> </w:t>
      </w:r>
      <w:r>
        <w:rPr/>
        <w:t>ainda</w:t>
      </w:r>
      <w:r>
        <w:rPr>
          <w:spacing w:val="-27"/>
        </w:rPr>
        <w:t> </w:t>
      </w:r>
      <w:r>
        <w:rPr/>
        <w:t>o</w:t>
      </w:r>
      <w:r>
        <w:rPr>
          <w:spacing w:val="-27"/>
        </w:rPr>
        <w:t> </w:t>
      </w:r>
      <w:r>
        <w:rPr/>
        <w:t>uso</w:t>
      </w:r>
      <w:r>
        <w:rPr>
          <w:spacing w:val="-26"/>
        </w:rPr>
        <w:t> </w:t>
      </w:r>
      <w:r>
        <w:rPr/>
        <w:t>do</w:t>
      </w:r>
      <w:r>
        <w:rPr>
          <w:spacing w:val="-27"/>
        </w:rPr>
        <w:t> </w:t>
      </w:r>
      <w:r>
        <w:rPr/>
        <w:t>sistema</w:t>
      </w:r>
      <w:r>
        <w:rPr>
          <w:spacing w:val="-27"/>
        </w:rPr>
        <w:t> </w:t>
      </w:r>
      <w:r>
        <w:rPr/>
        <w:t>de</w:t>
      </w:r>
      <w:r>
        <w:rPr>
          <w:spacing w:val="-27"/>
        </w:rPr>
        <w:t> </w:t>
      </w:r>
      <w:r>
        <w:rPr/>
        <w:t>distribuição</w:t>
      </w:r>
      <w:r>
        <w:rPr>
          <w:spacing w:val="-28"/>
        </w:rPr>
        <w:t> </w:t>
      </w:r>
      <w:r>
        <w:rPr/>
        <w:t>por</w:t>
      </w:r>
      <w:r>
        <w:rPr>
          <w:spacing w:val="-27"/>
        </w:rPr>
        <w:t> </w:t>
      </w:r>
      <w:r>
        <w:rPr/>
        <w:t>clientes</w:t>
      </w:r>
      <w:r>
        <w:rPr>
          <w:spacing w:val="-26"/>
        </w:rPr>
        <w:t> </w:t>
      </w:r>
      <w:r>
        <w:rPr/>
        <w:t>livres,</w:t>
      </w:r>
      <w:r>
        <w:rPr>
          <w:spacing w:val="-27"/>
        </w:rPr>
        <w:t> </w:t>
      </w:r>
      <w:r>
        <w:rPr/>
        <w:t>bem como</w:t>
      </w:r>
      <w:r>
        <w:rPr>
          <w:spacing w:val="-46"/>
        </w:rPr>
        <w:t> </w:t>
      </w:r>
      <w:r>
        <w:rPr/>
        <w:t>o</w:t>
      </w:r>
      <w:r>
        <w:rPr>
          <w:spacing w:val="-45"/>
        </w:rPr>
        <w:t> </w:t>
      </w:r>
      <w:r>
        <w:rPr/>
        <w:t>saldo</w:t>
      </w:r>
      <w:r>
        <w:rPr>
          <w:spacing w:val="-46"/>
        </w:rPr>
        <w:t> </w:t>
      </w:r>
      <w:r>
        <w:rPr/>
        <w:t>de</w:t>
      </w:r>
      <w:r>
        <w:rPr>
          <w:spacing w:val="-44"/>
        </w:rPr>
        <w:t> </w:t>
      </w:r>
      <w:r>
        <w:rPr/>
        <w:t>energia</w:t>
      </w:r>
      <w:r>
        <w:rPr>
          <w:spacing w:val="-45"/>
        </w:rPr>
        <w:t> </w:t>
      </w:r>
      <w:r>
        <w:rPr/>
        <w:t>vendida</w:t>
      </w:r>
      <w:r>
        <w:rPr>
          <w:spacing w:val="-45"/>
        </w:rPr>
        <w:t> </w:t>
      </w:r>
      <w:r>
        <w:rPr/>
        <w:t>no</w:t>
      </w:r>
      <w:r>
        <w:rPr>
          <w:spacing w:val="-46"/>
        </w:rPr>
        <w:t> </w:t>
      </w:r>
      <w:r>
        <w:rPr/>
        <w:t>mercado</w:t>
      </w:r>
      <w:r>
        <w:rPr>
          <w:spacing w:val="-45"/>
        </w:rPr>
        <w:t> </w:t>
      </w:r>
      <w:r>
        <w:rPr/>
        <w:t>de</w:t>
      </w:r>
      <w:r>
        <w:rPr>
          <w:spacing w:val="-46"/>
        </w:rPr>
        <w:t> </w:t>
      </w:r>
      <w:r>
        <w:rPr/>
        <w:t>curto</w:t>
      </w:r>
      <w:r>
        <w:rPr>
          <w:spacing w:val="-44"/>
        </w:rPr>
        <w:t> </w:t>
      </w:r>
      <w:r>
        <w:rPr/>
        <w:t>prazo</w:t>
      </w:r>
      <w:r>
        <w:rPr>
          <w:spacing w:val="-45"/>
        </w:rPr>
        <w:t> </w:t>
      </w:r>
      <w:r>
        <w:rPr/>
        <w:t>comercializada</w:t>
      </w:r>
      <w:r>
        <w:rPr>
          <w:spacing w:val="-45"/>
        </w:rPr>
        <w:t> </w:t>
      </w:r>
      <w:r>
        <w:rPr/>
        <w:t>na</w:t>
      </w:r>
      <w:r>
        <w:rPr>
          <w:spacing w:val="-45"/>
        </w:rPr>
        <w:t> </w:t>
      </w:r>
      <w:r>
        <w:rPr/>
        <w:t>Câmara</w:t>
      </w:r>
      <w:r>
        <w:rPr>
          <w:spacing w:val="-45"/>
        </w:rPr>
        <w:t> </w:t>
      </w:r>
      <w:r>
        <w:rPr/>
        <w:t>de</w:t>
      </w:r>
      <w:r>
        <w:rPr>
          <w:spacing w:val="-46"/>
        </w:rPr>
        <w:t> </w:t>
      </w:r>
      <w:r>
        <w:rPr/>
        <w:t>Comercialização</w:t>
      </w:r>
      <w:r>
        <w:rPr>
          <w:spacing w:val="-45"/>
        </w:rPr>
        <w:t> </w:t>
      </w:r>
      <w:r>
        <w:rPr/>
        <w:t>de</w:t>
      </w:r>
      <w:r>
        <w:rPr>
          <w:spacing w:val="-46"/>
        </w:rPr>
        <w:t> </w:t>
      </w:r>
      <w:r>
        <w:rPr/>
        <w:t>Energia Elétrica</w:t>
      </w:r>
      <w:r>
        <w:rPr>
          <w:spacing w:val="-16"/>
        </w:rPr>
        <w:t> </w:t>
      </w:r>
      <w:r>
        <w:rPr>
          <w:w w:val="105"/>
        </w:rPr>
        <w:t>–</w:t>
      </w:r>
      <w:r>
        <w:rPr>
          <w:spacing w:val="-20"/>
          <w:w w:val="105"/>
        </w:rPr>
        <w:t> </w:t>
      </w:r>
      <w:r>
        <w:rPr/>
        <w:t>CCEE</w:t>
      </w:r>
      <w:r>
        <w:rPr>
          <w:spacing w:val="-17"/>
        </w:rPr>
        <w:t> </w:t>
      </w:r>
      <w:r>
        <w:rPr/>
        <w:t>(Nota</w:t>
      </w:r>
      <w:r>
        <w:rPr>
          <w:spacing w:val="-18"/>
        </w:rPr>
        <w:t> </w:t>
      </w:r>
      <w:r>
        <w:rPr/>
        <w:t>Explicativa</w:t>
      </w:r>
      <w:r>
        <w:rPr>
          <w:spacing w:val="-17"/>
        </w:rPr>
        <w:t> </w:t>
      </w:r>
      <w:r>
        <w:rPr/>
        <w:t>nº</w:t>
      </w:r>
      <w:r>
        <w:rPr>
          <w:spacing w:val="-17"/>
        </w:rPr>
        <w:t> </w:t>
      </w:r>
      <w:r>
        <w:rPr/>
        <w:t>6).</w:t>
      </w:r>
    </w:p>
    <w:p>
      <w:pPr>
        <w:spacing w:after="0" w:line="242" w:lineRule="auto"/>
        <w:jc w:val="both"/>
        <w:sectPr>
          <w:pgSz w:w="11910" w:h="16850"/>
          <w:pgMar w:header="792" w:footer="1193" w:top="1360" w:bottom="1460" w:left="940" w:right="240"/>
        </w:sectPr>
      </w:pPr>
    </w:p>
    <w:p>
      <w:pPr>
        <w:pStyle w:val="Heading5"/>
        <w:numPr>
          <w:ilvl w:val="2"/>
          <w:numId w:val="16"/>
        </w:numPr>
        <w:tabs>
          <w:tab w:pos="1045" w:val="left" w:leader="none"/>
          <w:tab w:pos="1046" w:val="left" w:leader="none"/>
        </w:tabs>
        <w:spacing w:line="240" w:lineRule="auto" w:before="48" w:after="0"/>
        <w:ind w:left="1045" w:right="0" w:hanging="854"/>
        <w:jc w:val="left"/>
      </w:pPr>
      <w:r>
        <w:rPr/>
        <w:t>Perda Estimada com Créditos de Liquidação</w:t>
      </w:r>
      <w:r>
        <w:rPr>
          <w:spacing w:val="-9"/>
        </w:rPr>
        <w:t> </w:t>
      </w:r>
      <w:r>
        <w:rPr/>
        <w:t>Duvidosa</w:t>
      </w:r>
    </w:p>
    <w:p>
      <w:pPr>
        <w:pStyle w:val="BodyText"/>
        <w:spacing w:before="10"/>
        <w:rPr>
          <w:rFonts w:ascii="Caladea"/>
          <w:b/>
          <w:sz w:val="23"/>
        </w:rPr>
      </w:pPr>
    </w:p>
    <w:p>
      <w:pPr>
        <w:pStyle w:val="BodyText"/>
        <w:spacing w:line="242" w:lineRule="auto"/>
        <w:ind w:left="192" w:right="611"/>
        <w:jc w:val="both"/>
      </w:pPr>
      <w:r>
        <w:rPr/>
        <w:t>A</w:t>
      </w:r>
      <w:r>
        <w:rPr>
          <w:spacing w:val="-34"/>
        </w:rPr>
        <w:t> </w:t>
      </w:r>
      <w:r>
        <w:rPr/>
        <w:t>Perda</w:t>
      </w:r>
      <w:r>
        <w:rPr>
          <w:spacing w:val="-31"/>
        </w:rPr>
        <w:t> </w:t>
      </w:r>
      <w:r>
        <w:rPr/>
        <w:t>Estimada</w:t>
      </w:r>
      <w:r>
        <w:rPr>
          <w:spacing w:val="-31"/>
        </w:rPr>
        <w:t> </w:t>
      </w:r>
      <w:r>
        <w:rPr/>
        <w:t>com</w:t>
      </w:r>
      <w:r>
        <w:rPr>
          <w:spacing w:val="-33"/>
        </w:rPr>
        <w:t> </w:t>
      </w:r>
      <w:r>
        <w:rPr/>
        <w:t>Créditos</w:t>
      </w:r>
      <w:r>
        <w:rPr>
          <w:spacing w:val="-33"/>
        </w:rPr>
        <w:t> </w:t>
      </w:r>
      <w:r>
        <w:rPr/>
        <w:t>de</w:t>
      </w:r>
      <w:r>
        <w:rPr>
          <w:spacing w:val="-32"/>
        </w:rPr>
        <w:t> </w:t>
      </w:r>
      <w:r>
        <w:rPr/>
        <w:t>Liquidação</w:t>
      </w:r>
      <w:r>
        <w:rPr>
          <w:spacing w:val="-34"/>
        </w:rPr>
        <w:t> </w:t>
      </w:r>
      <w:r>
        <w:rPr/>
        <w:t>Duvidosa</w:t>
      </w:r>
      <w:r>
        <w:rPr>
          <w:spacing w:val="-31"/>
        </w:rPr>
        <w:t> </w:t>
      </w:r>
      <w:r>
        <w:rPr/>
        <w:t>foi</w:t>
      </w:r>
      <w:r>
        <w:rPr>
          <w:spacing w:val="-34"/>
        </w:rPr>
        <w:t> </w:t>
      </w:r>
      <w:r>
        <w:rPr/>
        <w:t>constituída</w:t>
      </w:r>
      <w:r>
        <w:rPr>
          <w:spacing w:val="-32"/>
        </w:rPr>
        <w:t> </w:t>
      </w:r>
      <w:r>
        <w:rPr/>
        <w:t>com</w:t>
      </w:r>
      <w:r>
        <w:rPr>
          <w:spacing w:val="-30"/>
        </w:rPr>
        <w:t> </w:t>
      </w:r>
      <w:r>
        <w:rPr/>
        <w:t>base</w:t>
      </w:r>
      <w:r>
        <w:rPr>
          <w:spacing w:val="-33"/>
        </w:rPr>
        <w:t> </w:t>
      </w:r>
      <w:r>
        <w:rPr/>
        <w:t>na</w:t>
      </w:r>
      <w:r>
        <w:rPr>
          <w:spacing w:val="-31"/>
        </w:rPr>
        <w:t> </w:t>
      </w:r>
      <w:r>
        <w:rPr/>
        <w:t>estimativa</w:t>
      </w:r>
      <w:r>
        <w:rPr>
          <w:spacing w:val="-33"/>
        </w:rPr>
        <w:t> </w:t>
      </w:r>
      <w:r>
        <w:rPr/>
        <w:t>das</w:t>
      </w:r>
      <w:r>
        <w:rPr>
          <w:spacing w:val="-32"/>
        </w:rPr>
        <w:t> </w:t>
      </w:r>
      <w:r>
        <w:rPr/>
        <w:t>prováveis</w:t>
      </w:r>
      <w:r>
        <w:rPr>
          <w:spacing w:val="-32"/>
        </w:rPr>
        <w:t> </w:t>
      </w:r>
      <w:r>
        <w:rPr/>
        <w:t>perdas que</w:t>
      </w:r>
      <w:r>
        <w:rPr>
          <w:spacing w:val="-30"/>
        </w:rPr>
        <w:t> </w:t>
      </w:r>
      <w:r>
        <w:rPr/>
        <w:t>possam</w:t>
      </w:r>
      <w:r>
        <w:rPr>
          <w:spacing w:val="-31"/>
        </w:rPr>
        <w:t> </w:t>
      </w:r>
      <w:r>
        <w:rPr/>
        <w:t>ocorrer</w:t>
      </w:r>
      <w:r>
        <w:rPr>
          <w:spacing w:val="-29"/>
        </w:rPr>
        <w:t> </w:t>
      </w:r>
      <w:r>
        <w:rPr/>
        <w:t>na</w:t>
      </w:r>
      <w:r>
        <w:rPr>
          <w:spacing w:val="-31"/>
        </w:rPr>
        <w:t> </w:t>
      </w:r>
      <w:r>
        <w:rPr/>
        <w:t>cobrança</w:t>
      </w:r>
      <w:r>
        <w:rPr>
          <w:spacing w:val="-30"/>
        </w:rPr>
        <w:t> </w:t>
      </w:r>
      <w:r>
        <w:rPr/>
        <w:t>dos</w:t>
      </w:r>
      <w:r>
        <w:rPr>
          <w:spacing w:val="-30"/>
        </w:rPr>
        <w:t> </w:t>
      </w:r>
      <w:r>
        <w:rPr/>
        <w:t>créditos,</w:t>
      </w:r>
      <w:r>
        <w:rPr>
          <w:spacing w:val="-31"/>
        </w:rPr>
        <w:t> </w:t>
      </w:r>
      <w:r>
        <w:rPr/>
        <w:t>sendo</w:t>
      </w:r>
      <w:r>
        <w:rPr>
          <w:spacing w:val="-29"/>
        </w:rPr>
        <w:t> </w:t>
      </w:r>
      <w:r>
        <w:rPr/>
        <w:t>os</w:t>
      </w:r>
      <w:r>
        <w:rPr>
          <w:spacing w:val="-29"/>
        </w:rPr>
        <w:t> </w:t>
      </w:r>
      <w:r>
        <w:rPr/>
        <w:t>saldos</w:t>
      </w:r>
      <w:r>
        <w:rPr>
          <w:spacing w:val="-30"/>
        </w:rPr>
        <w:t> </w:t>
      </w:r>
      <w:r>
        <w:rPr/>
        <w:t>demonstrados</w:t>
      </w:r>
      <w:r>
        <w:rPr>
          <w:spacing w:val="-29"/>
        </w:rPr>
        <w:t> </w:t>
      </w:r>
      <w:r>
        <w:rPr/>
        <w:t>no</w:t>
      </w:r>
      <w:r>
        <w:rPr>
          <w:spacing w:val="-31"/>
        </w:rPr>
        <w:t> </w:t>
      </w:r>
      <w:r>
        <w:rPr/>
        <w:t>Ativo</w:t>
      </w:r>
      <w:r>
        <w:rPr>
          <w:spacing w:val="-31"/>
        </w:rPr>
        <w:t> </w:t>
      </w:r>
      <w:r>
        <w:rPr/>
        <w:t>Circulante</w:t>
      </w:r>
      <w:r>
        <w:rPr>
          <w:spacing w:val="-30"/>
        </w:rPr>
        <w:t> </w:t>
      </w:r>
      <w:r>
        <w:rPr/>
        <w:t>ou</w:t>
      </w:r>
      <w:r>
        <w:rPr>
          <w:spacing w:val="-31"/>
        </w:rPr>
        <w:t> </w:t>
      </w:r>
      <w:r>
        <w:rPr/>
        <w:t>Não</w:t>
      </w:r>
      <w:r>
        <w:rPr>
          <w:spacing w:val="-31"/>
        </w:rPr>
        <w:t> </w:t>
      </w:r>
      <w:r>
        <w:rPr/>
        <w:t>Circulante, de</w:t>
      </w:r>
      <w:r>
        <w:rPr>
          <w:spacing w:val="-21"/>
        </w:rPr>
        <w:t> </w:t>
      </w:r>
      <w:r>
        <w:rPr/>
        <w:t>acordo</w:t>
      </w:r>
      <w:r>
        <w:rPr>
          <w:spacing w:val="-20"/>
        </w:rPr>
        <w:t> </w:t>
      </w:r>
      <w:r>
        <w:rPr/>
        <w:t>com</w:t>
      </w:r>
      <w:r>
        <w:rPr>
          <w:spacing w:val="-20"/>
        </w:rPr>
        <w:t> </w:t>
      </w:r>
      <w:r>
        <w:rPr/>
        <w:t>a</w:t>
      </w:r>
      <w:r>
        <w:rPr>
          <w:spacing w:val="-18"/>
        </w:rPr>
        <w:t> </w:t>
      </w:r>
      <w:r>
        <w:rPr/>
        <w:t>classificação</w:t>
      </w:r>
      <w:r>
        <w:rPr>
          <w:spacing w:val="-20"/>
        </w:rPr>
        <w:t> </w:t>
      </w:r>
      <w:r>
        <w:rPr/>
        <w:t>do</w:t>
      </w:r>
      <w:r>
        <w:rPr>
          <w:spacing w:val="-18"/>
        </w:rPr>
        <w:t> </w:t>
      </w:r>
      <w:r>
        <w:rPr/>
        <w:t>título</w:t>
      </w:r>
      <w:r>
        <w:rPr>
          <w:spacing w:val="-17"/>
        </w:rPr>
        <w:t> </w:t>
      </w:r>
      <w:r>
        <w:rPr/>
        <w:t>que</w:t>
      </w:r>
      <w:r>
        <w:rPr>
          <w:spacing w:val="-18"/>
        </w:rPr>
        <w:t> </w:t>
      </w:r>
      <w:r>
        <w:rPr/>
        <w:t>as</w:t>
      </w:r>
      <w:r>
        <w:rPr>
          <w:spacing w:val="-18"/>
        </w:rPr>
        <w:t> </w:t>
      </w:r>
      <w:r>
        <w:rPr/>
        <w:t>originaram.</w:t>
      </w:r>
    </w:p>
    <w:p>
      <w:pPr>
        <w:pStyle w:val="BodyText"/>
        <w:spacing w:line="242" w:lineRule="auto" w:before="119"/>
        <w:ind w:left="192" w:right="612"/>
        <w:jc w:val="both"/>
      </w:pPr>
      <w:r>
        <w:rPr/>
        <w:t>Para</w:t>
      </w:r>
      <w:r>
        <w:rPr>
          <w:spacing w:val="-23"/>
        </w:rPr>
        <w:t> </w:t>
      </w:r>
      <w:r>
        <w:rPr/>
        <w:t>a</w:t>
      </w:r>
      <w:r>
        <w:rPr>
          <w:spacing w:val="-23"/>
        </w:rPr>
        <w:t> </w:t>
      </w:r>
      <w:r>
        <w:rPr/>
        <w:t>CEB</w:t>
      </w:r>
      <w:r>
        <w:rPr>
          <w:spacing w:val="-22"/>
        </w:rPr>
        <w:t> </w:t>
      </w:r>
      <w:r>
        <w:rPr/>
        <w:t>DIS,</w:t>
      </w:r>
      <w:r>
        <w:rPr>
          <w:spacing w:val="-22"/>
        </w:rPr>
        <w:t> </w:t>
      </w:r>
      <w:r>
        <w:rPr/>
        <w:t>foi</w:t>
      </w:r>
      <w:r>
        <w:rPr>
          <w:spacing w:val="-22"/>
        </w:rPr>
        <w:t> </w:t>
      </w:r>
      <w:r>
        <w:rPr/>
        <w:t>definido</w:t>
      </w:r>
      <w:r>
        <w:rPr>
          <w:spacing w:val="-23"/>
        </w:rPr>
        <w:t> </w:t>
      </w:r>
      <w:r>
        <w:rPr/>
        <w:t>o</w:t>
      </w:r>
      <w:r>
        <w:rPr>
          <w:spacing w:val="-22"/>
        </w:rPr>
        <w:t> </w:t>
      </w:r>
      <w:r>
        <w:rPr/>
        <w:t>modelo</w:t>
      </w:r>
      <w:r>
        <w:rPr>
          <w:spacing w:val="-23"/>
        </w:rPr>
        <w:t> </w:t>
      </w:r>
      <w:r>
        <w:rPr/>
        <w:t>de</w:t>
      </w:r>
      <w:r>
        <w:rPr>
          <w:spacing w:val="-22"/>
        </w:rPr>
        <w:t> </w:t>
      </w:r>
      <w:r>
        <w:rPr/>
        <w:t>perdas</w:t>
      </w:r>
      <w:r>
        <w:rPr>
          <w:spacing w:val="-24"/>
        </w:rPr>
        <w:t> </w:t>
      </w:r>
      <w:r>
        <w:rPr/>
        <w:t>ao</w:t>
      </w:r>
      <w:r>
        <w:rPr>
          <w:spacing w:val="-22"/>
        </w:rPr>
        <w:t> </w:t>
      </w:r>
      <w:r>
        <w:rPr/>
        <w:t>valor</w:t>
      </w:r>
      <w:r>
        <w:rPr>
          <w:spacing w:val="-23"/>
        </w:rPr>
        <w:t> </w:t>
      </w:r>
      <w:r>
        <w:rPr/>
        <w:t>recuperável,</w:t>
      </w:r>
      <w:r>
        <w:rPr>
          <w:spacing w:val="-22"/>
        </w:rPr>
        <w:t> </w:t>
      </w:r>
      <w:r>
        <w:rPr/>
        <w:t>através</w:t>
      </w:r>
      <w:r>
        <w:rPr>
          <w:spacing w:val="-22"/>
        </w:rPr>
        <w:t> </w:t>
      </w:r>
      <w:r>
        <w:rPr/>
        <w:t>de</w:t>
      </w:r>
      <w:r>
        <w:rPr>
          <w:spacing w:val="-25"/>
        </w:rPr>
        <w:t> </w:t>
      </w:r>
      <w:r>
        <w:rPr/>
        <w:t>critérios</w:t>
      </w:r>
      <w:r>
        <w:rPr>
          <w:spacing w:val="-20"/>
        </w:rPr>
        <w:t> </w:t>
      </w:r>
      <w:r>
        <w:rPr/>
        <w:t>estabelecidos</w:t>
      </w:r>
      <w:r>
        <w:rPr>
          <w:spacing w:val="-22"/>
        </w:rPr>
        <w:t> </w:t>
      </w:r>
      <w:r>
        <w:rPr/>
        <w:t>para</w:t>
      </w:r>
      <w:r>
        <w:rPr>
          <w:spacing w:val="-22"/>
        </w:rPr>
        <w:t> </w:t>
      </w:r>
      <w:r>
        <w:rPr/>
        <w:t>cada classe</w:t>
      </w:r>
      <w:r>
        <w:rPr>
          <w:spacing w:val="-37"/>
        </w:rPr>
        <w:t> </w:t>
      </w:r>
      <w:r>
        <w:rPr/>
        <w:t>de</w:t>
      </w:r>
      <w:r>
        <w:rPr>
          <w:spacing w:val="-37"/>
        </w:rPr>
        <w:t> </w:t>
      </w:r>
      <w:r>
        <w:rPr/>
        <w:t>consumo,</w:t>
      </w:r>
      <w:r>
        <w:rPr>
          <w:spacing w:val="-37"/>
        </w:rPr>
        <w:t> </w:t>
      </w:r>
      <w:r>
        <w:rPr/>
        <w:t>conforme</w:t>
      </w:r>
      <w:r>
        <w:rPr>
          <w:spacing w:val="-36"/>
        </w:rPr>
        <w:t> </w:t>
      </w:r>
      <w:r>
        <w:rPr/>
        <w:t>definido</w:t>
      </w:r>
      <w:r>
        <w:rPr>
          <w:spacing w:val="-37"/>
        </w:rPr>
        <w:t> </w:t>
      </w:r>
      <w:r>
        <w:rPr/>
        <w:t>no</w:t>
      </w:r>
      <w:r>
        <w:rPr>
          <w:spacing w:val="-36"/>
        </w:rPr>
        <w:t> </w:t>
      </w:r>
      <w:r>
        <w:rPr/>
        <w:t>Manual</w:t>
      </w:r>
      <w:r>
        <w:rPr>
          <w:spacing w:val="-36"/>
        </w:rPr>
        <w:t> </w:t>
      </w:r>
      <w:r>
        <w:rPr/>
        <w:t>de</w:t>
      </w:r>
      <w:r>
        <w:rPr>
          <w:spacing w:val="-37"/>
        </w:rPr>
        <w:t> </w:t>
      </w:r>
      <w:r>
        <w:rPr/>
        <w:t>Contabilidade</w:t>
      </w:r>
      <w:r>
        <w:rPr>
          <w:spacing w:val="-37"/>
        </w:rPr>
        <w:t> </w:t>
      </w:r>
      <w:r>
        <w:rPr/>
        <w:t>do</w:t>
      </w:r>
      <w:r>
        <w:rPr>
          <w:spacing w:val="-36"/>
        </w:rPr>
        <w:t> </w:t>
      </w:r>
      <w:r>
        <w:rPr/>
        <w:t>Setor</w:t>
      </w:r>
      <w:r>
        <w:rPr>
          <w:spacing w:val="-32"/>
        </w:rPr>
        <w:t> </w:t>
      </w:r>
      <w:r>
        <w:rPr/>
        <w:t>Elétrico,</w:t>
      </w:r>
      <w:r>
        <w:rPr>
          <w:spacing w:val="-36"/>
        </w:rPr>
        <w:t> </w:t>
      </w:r>
      <w:r>
        <w:rPr/>
        <w:t>bem</w:t>
      </w:r>
      <w:r>
        <w:rPr>
          <w:spacing w:val="-37"/>
        </w:rPr>
        <w:t> </w:t>
      </w:r>
      <w:r>
        <w:rPr/>
        <w:t>com</w:t>
      </w:r>
      <w:r>
        <w:rPr>
          <w:spacing w:val="-37"/>
        </w:rPr>
        <w:t> </w:t>
      </w:r>
      <w:r>
        <w:rPr/>
        <w:t>o</w:t>
      </w:r>
      <w:r>
        <w:rPr>
          <w:spacing w:val="-36"/>
        </w:rPr>
        <w:t> </w:t>
      </w:r>
      <w:r>
        <w:rPr/>
        <w:t>incremento</w:t>
      </w:r>
      <w:r>
        <w:rPr>
          <w:spacing w:val="-35"/>
        </w:rPr>
        <w:t> </w:t>
      </w:r>
      <w:r>
        <w:rPr/>
        <w:t>do</w:t>
      </w:r>
      <w:r>
        <w:rPr>
          <w:spacing w:val="-37"/>
        </w:rPr>
        <w:t> </w:t>
      </w:r>
      <w:r>
        <w:rPr/>
        <w:t>risco de</w:t>
      </w:r>
      <w:r>
        <w:rPr>
          <w:spacing w:val="-25"/>
        </w:rPr>
        <w:t> </w:t>
      </w:r>
      <w:r>
        <w:rPr/>
        <w:t>recebimento</w:t>
      </w:r>
      <w:r>
        <w:rPr>
          <w:spacing w:val="-24"/>
        </w:rPr>
        <w:t> </w:t>
      </w:r>
      <w:r>
        <w:rPr/>
        <w:t>das</w:t>
      </w:r>
      <w:r>
        <w:rPr>
          <w:spacing w:val="-25"/>
        </w:rPr>
        <w:t> </w:t>
      </w:r>
      <w:r>
        <w:rPr/>
        <w:t>faturas</w:t>
      </w:r>
      <w:r>
        <w:rPr>
          <w:spacing w:val="-25"/>
        </w:rPr>
        <w:t> </w:t>
      </w:r>
      <w:r>
        <w:rPr/>
        <w:t>adjacentes</w:t>
      </w:r>
      <w:r>
        <w:rPr>
          <w:spacing w:val="-25"/>
        </w:rPr>
        <w:t> </w:t>
      </w:r>
      <w:r>
        <w:rPr/>
        <w:t>aos</w:t>
      </w:r>
      <w:r>
        <w:rPr>
          <w:spacing w:val="-24"/>
        </w:rPr>
        <w:t> </w:t>
      </w:r>
      <w:r>
        <w:rPr/>
        <w:t>clientes</w:t>
      </w:r>
      <w:r>
        <w:rPr>
          <w:spacing w:val="-23"/>
        </w:rPr>
        <w:t> </w:t>
      </w:r>
      <w:r>
        <w:rPr/>
        <w:t>que</w:t>
      </w:r>
      <w:r>
        <w:rPr>
          <w:spacing w:val="-24"/>
        </w:rPr>
        <w:t> </w:t>
      </w:r>
      <w:r>
        <w:rPr/>
        <w:t>possuem</w:t>
      </w:r>
      <w:r>
        <w:rPr>
          <w:spacing w:val="-24"/>
        </w:rPr>
        <w:t> </w:t>
      </w:r>
      <w:r>
        <w:rPr/>
        <w:t>um</w:t>
      </w:r>
      <w:r>
        <w:rPr>
          <w:spacing w:val="-24"/>
        </w:rPr>
        <w:t> </w:t>
      </w:r>
      <w:r>
        <w:rPr/>
        <w:t>histórico</w:t>
      </w:r>
      <w:r>
        <w:rPr>
          <w:spacing w:val="-23"/>
        </w:rPr>
        <w:t> </w:t>
      </w:r>
      <w:r>
        <w:rPr/>
        <w:t>de</w:t>
      </w:r>
      <w:r>
        <w:rPr>
          <w:spacing w:val="-27"/>
        </w:rPr>
        <w:t> </w:t>
      </w:r>
      <w:r>
        <w:rPr/>
        <w:t>inadimplemento.</w:t>
      </w:r>
    </w:p>
    <w:p>
      <w:pPr>
        <w:pStyle w:val="BodyText"/>
        <w:spacing w:before="8"/>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E</w:t>
      </w:r>
      <w:r>
        <w:rPr>
          <w:rFonts w:ascii="Caladea"/>
          <w:b/>
          <w:sz w:val="18"/>
        </w:rPr>
        <w:t>STOQUES</w:t>
      </w:r>
    </w:p>
    <w:p>
      <w:pPr>
        <w:pStyle w:val="BodyText"/>
        <w:spacing w:before="10"/>
        <w:rPr>
          <w:rFonts w:ascii="Caladea"/>
          <w:b/>
          <w:sz w:val="23"/>
        </w:rPr>
      </w:pPr>
    </w:p>
    <w:p>
      <w:pPr>
        <w:pStyle w:val="BodyText"/>
        <w:spacing w:line="242" w:lineRule="auto"/>
        <w:ind w:left="192" w:right="612"/>
        <w:jc w:val="both"/>
      </w:pPr>
      <w:r>
        <w:rPr/>
        <w:t>Representam os materiais e os equipamentos em estoque (almoxarifado de manutenção e administrativo), classificados</w:t>
      </w:r>
      <w:r>
        <w:rPr>
          <w:spacing w:val="-38"/>
        </w:rPr>
        <w:t> </w:t>
      </w:r>
      <w:r>
        <w:rPr/>
        <w:t>no</w:t>
      </w:r>
      <w:r>
        <w:rPr>
          <w:spacing w:val="-39"/>
        </w:rPr>
        <w:t> </w:t>
      </w:r>
      <w:r>
        <w:rPr/>
        <w:t>ativo</w:t>
      </w:r>
      <w:r>
        <w:rPr>
          <w:spacing w:val="-37"/>
        </w:rPr>
        <w:t> </w:t>
      </w:r>
      <w:r>
        <w:rPr/>
        <w:t>circulante</w:t>
      </w:r>
      <w:r>
        <w:rPr>
          <w:spacing w:val="-36"/>
        </w:rPr>
        <w:t> </w:t>
      </w:r>
      <w:r>
        <w:rPr/>
        <w:t>e</w:t>
      </w:r>
      <w:r>
        <w:rPr>
          <w:spacing w:val="-39"/>
        </w:rPr>
        <w:t> </w:t>
      </w:r>
      <w:r>
        <w:rPr/>
        <w:t>aqueles</w:t>
      </w:r>
      <w:r>
        <w:rPr>
          <w:spacing w:val="-36"/>
        </w:rPr>
        <w:t> </w:t>
      </w:r>
      <w:r>
        <w:rPr/>
        <w:t>destinados</w:t>
      </w:r>
      <w:r>
        <w:rPr>
          <w:spacing w:val="-38"/>
        </w:rPr>
        <w:t> </w:t>
      </w:r>
      <w:r>
        <w:rPr/>
        <w:t>a</w:t>
      </w:r>
      <w:r>
        <w:rPr>
          <w:spacing w:val="-38"/>
        </w:rPr>
        <w:t> </w:t>
      </w:r>
      <w:r>
        <w:rPr/>
        <w:t>investimentos</w:t>
      </w:r>
      <w:r>
        <w:rPr>
          <w:spacing w:val="-37"/>
        </w:rPr>
        <w:t> </w:t>
      </w:r>
      <w:r>
        <w:rPr/>
        <w:t>(material</w:t>
      </w:r>
      <w:r>
        <w:rPr>
          <w:spacing w:val="-33"/>
        </w:rPr>
        <w:t> </w:t>
      </w:r>
      <w:r>
        <w:rPr/>
        <w:t>em</w:t>
      </w:r>
      <w:r>
        <w:rPr>
          <w:spacing w:val="-36"/>
        </w:rPr>
        <w:t> </w:t>
      </w:r>
      <w:r>
        <w:rPr/>
        <w:t>depósito),</w:t>
      </w:r>
      <w:r>
        <w:rPr>
          <w:spacing w:val="-38"/>
        </w:rPr>
        <w:t> </w:t>
      </w:r>
      <w:r>
        <w:rPr/>
        <w:t>classificados</w:t>
      </w:r>
      <w:r>
        <w:rPr>
          <w:spacing w:val="-37"/>
        </w:rPr>
        <w:t> </w:t>
      </w:r>
      <w:r>
        <w:rPr/>
        <w:t>no</w:t>
      </w:r>
      <w:r>
        <w:rPr>
          <w:spacing w:val="-39"/>
        </w:rPr>
        <w:t> </w:t>
      </w:r>
      <w:r>
        <w:rPr/>
        <w:t>ativo não</w:t>
      </w:r>
      <w:r>
        <w:rPr>
          <w:spacing w:val="-12"/>
        </w:rPr>
        <w:t> </w:t>
      </w:r>
      <w:r>
        <w:rPr/>
        <w:t>circulante</w:t>
      </w:r>
      <w:r>
        <w:rPr>
          <w:spacing w:val="-12"/>
        </w:rPr>
        <w:t> </w:t>
      </w:r>
      <w:r>
        <w:rPr>
          <w:w w:val="105"/>
        </w:rPr>
        <w:t>–</w:t>
      </w:r>
      <w:r>
        <w:rPr>
          <w:spacing w:val="-14"/>
          <w:w w:val="105"/>
        </w:rPr>
        <w:t> </w:t>
      </w:r>
      <w:r>
        <w:rPr/>
        <w:t>imobilizado,</w:t>
      </w:r>
      <w:r>
        <w:rPr>
          <w:spacing w:val="-12"/>
        </w:rPr>
        <w:t> </w:t>
      </w:r>
      <w:r>
        <w:rPr/>
        <w:t>que</w:t>
      </w:r>
      <w:r>
        <w:rPr>
          <w:spacing w:val="-13"/>
        </w:rPr>
        <w:t> </w:t>
      </w:r>
      <w:r>
        <w:rPr/>
        <w:t>estão</w:t>
      </w:r>
      <w:r>
        <w:rPr>
          <w:spacing w:val="-10"/>
        </w:rPr>
        <w:t> </w:t>
      </w:r>
      <w:r>
        <w:rPr/>
        <w:t>registrados</w:t>
      </w:r>
      <w:r>
        <w:rPr>
          <w:spacing w:val="-12"/>
        </w:rPr>
        <w:t> </w:t>
      </w:r>
      <w:r>
        <w:rPr/>
        <w:t>pelo</w:t>
      </w:r>
      <w:r>
        <w:rPr>
          <w:spacing w:val="-12"/>
        </w:rPr>
        <w:t> </w:t>
      </w:r>
      <w:r>
        <w:rPr/>
        <w:t>custo</w:t>
      </w:r>
      <w:r>
        <w:rPr>
          <w:spacing w:val="-11"/>
        </w:rPr>
        <w:t> </w:t>
      </w:r>
      <w:r>
        <w:rPr/>
        <w:t>médio</w:t>
      </w:r>
      <w:r>
        <w:rPr>
          <w:spacing w:val="-12"/>
        </w:rPr>
        <w:t> </w:t>
      </w:r>
      <w:r>
        <w:rPr/>
        <w:t>de</w:t>
      </w:r>
      <w:r>
        <w:rPr>
          <w:spacing w:val="-13"/>
        </w:rPr>
        <w:t> </w:t>
      </w:r>
      <w:r>
        <w:rPr/>
        <w:t>aquisição.</w:t>
      </w:r>
      <w:r>
        <w:rPr>
          <w:spacing w:val="-12"/>
        </w:rPr>
        <w:t> </w:t>
      </w:r>
      <w:r>
        <w:rPr/>
        <w:t>Quando</w:t>
      </w:r>
      <w:r>
        <w:rPr>
          <w:spacing w:val="-10"/>
        </w:rPr>
        <w:t> </w:t>
      </w:r>
      <w:r>
        <w:rPr/>
        <w:t>exceder</w:t>
      </w:r>
      <w:r>
        <w:rPr>
          <w:spacing w:val="-13"/>
        </w:rPr>
        <w:t> </w:t>
      </w:r>
      <w:r>
        <w:rPr/>
        <w:t>os</w:t>
      </w:r>
      <w:r>
        <w:rPr>
          <w:spacing w:val="-11"/>
        </w:rPr>
        <w:t> </w:t>
      </w:r>
      <w:r>
        <w:rPr/>
        <w:t>custos</w:t>
      </w:r>
      <w:r>
        <w:rPr>
          <w:spacing w:val="-10"/>
        </w:rPr>
        <w:t> </w:t>
      </w:r>
      <w:r>
        <w:rPr/>
        <w:t>de reposição</w:t>
      </w:r>
      <w:r>
        <w:rPr>
          <w:spacing w:val="-35"/>
        </w:rPr>
        <w:t> </w:t>
      </w:r>
      <w:r>
        <w:rPr/>
        <w:t>ou</w:t>
      </w:r>
      <w:r>
        <w:rPr>
          <w:spacing w:val="-34"/>
        </w:rPr>
        <w:t> </w:t>
      </w:r>
      <w:r>
        <w:rPr/>
        <w:t>valores</w:t>
      </w:r>
      <w:r>
        <w:rPr>
          <w:spacing w:val="-34"/>
        </w:rPr>
        <w:t> </w:t>
      </w:r>
      <w:r>
        <w:rPr/>
        <w:t>de</w:t>
      </w:r>
      <w:r>
        <w:rPr>
          <w:spacing w:val="-34"/>
        </w:rPr>
        <w:t> </w:t>
      </w:r>
      <w:r>
        <w:rPr/>
        <w:t>realização,</w:t>
      </w:r>
      <w:r>
        <w:rPr>
          <w:spacing w:val="-33"/>
        </w:rPr>
        <w:t> </w:t>
      </w:r>
      <w:r>
        <w:rPr/>
        <w:t>são</w:t>
      </w:r>
      <w:r>
        <w:rPr>
          <w:spacing w:val="-34"/>
        </w:rPr>
        <w:t> </w:t>
      </w:r>
      <w:r>
        <w:rPr/>
        <w:t>deduzidos</w:t>
      </w:r>
      <w:r>
        <w:rPr>
          <w:spacing w:val="-33"/>
        </w:rPr>
        <w:t> </w:t>
      </w:r>
      <w:r>
        <w:rPr/>
        <w:t>pelo</w:t>
      </w:r>
      <w:r>
        <w:rPr>
          <w:spacing w:val="-35"/>
        </w:rPr>
        <w:t> </w:t>
      </w:r>
      <w:r>
        <w:rPr/>
        <w:t>ajuste</w:t>
      </w:r>
      <w:r>
        <w:rPr>
          <w:spacing w:val="-35"/>
        </w:rPr>
        <w:t> </w:t>
      </w:r>
      <w:r>
        <w:rPr/>
        <w:t>para</w:t>
      </w:r>
      <w:r>
        <w:rPr>
          <w:spacing w:val="-34"/>
        </w:rPr>
        <w:t> </w:t>
      </w:r>
      <w:r>
        <w:rPr/>
        <w:t>redução</w:t>
      </w:r>
      <w:r>
        <w:rPr>
          <w:spacing w:val="-35"/>
        </w:rPr>
        <w:t> </w:t>
      </w:r>
      <w:r>
        <w:rPr/>
        <w:t>ao</w:t>
      </w:r>
      <w:r>
        <w:rPr>
          <w:spacing w:val="-34"/>
        </w:rPr>
        <w:t> </w:t>
      </w:r>
      <w:r>
        <w:rPr/>
        <w:t>seu</w:t>
      </w:r>
      <w:r>
        <w:rPr>
          <w:spacing w:val="-34"/>
        </w:rPr>
        <w:t> </w:t>
      </w:r>
      <w:r>
        <w:rPr/>
        <w:t>provável</w:t>
      </w:r>
      <w:r>
        <w:rPr>
          <w:spacing w:val="-34"/>
        </w:rPr>
        <w:t> </w:t>
      </w:r>
      <w:r>
        <w:rPr/>
        <w:t>valor</w:t>
      </w:r>
      <w:r>
        <w:rPr>
          <w:spacing w:val="-35"/>
        </w:rPr>
        <w:t> </w:t>
      </w:r>
      <w:r>
        <w:rPr/>
        <w:t>de</w:t>
      </w:r>
      <w:r>
        <w:rPr>
          <w:spacing w:val="-34"/>
        </w:rPr>
        <w:t> </w:t>
      </w:r>
      <w:r>
        <w:rPr/>
        <w:t>recuperação.</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R</w:t>
      </w:r>
      <w:r>
        <w:rPr>
          <w:rFonts w:ascii="Caladea"/>
          <w:b/>
          <w:sz w:val="18"/>
        </w:rPr>
        <w:t>ECONHECIMENTO DOS </w:t>
      </w:r>
      <w:r>
        <w:rPr>
          <w:rFonts w:ascii="Caladea"/>
          <w:b/>
          <w:sz w:val="22"/>
        </w:rPr>
        <w:t>V</w:t>
      </w:r>
      <w:r>
        <w:rPr>
          <w:rFonts w:ascii="Caladea"/>
          <w:b/>
          <w:sz w:val="18"/>
        </w:rPr>
        <w:t>ALORES A </w:t>
      </w:r>
      <w:r>
        <w:rPr>
          <w:rFonts w:ascii="Caladea"/>
          <w:b/>
          <w:sz w:val="22"/>
        </w:rPr>
        <w:t>R</w:t>
      </w:r>
      <w:r>
        <w:rPr>
          <w:rFonts w:ascii="Caladea"/>
          <w:b/>
          <w:sz w:val="18"/>
        </w:rPr>
        <w:t>ECEBER E A </w:t>
      </w:r>
      <w:r>
        <w:rPr>
          <w:rFonts w:ascii="Caladea"/>
          <w:b/>
          <w:sz w:val="22"/>
        </w:rPr>
        <w:t>P</w:t>
      </w:r>
      <w:r>
        <w:rPr>
          <w:rFonts w:ascii="Caladea"/>
          <w:b/>
          <w:sz w:val="18"/>
        </w:rPr>
        <w:t>AGAR DE </w:t>
      </w:r>
      <w:r>
        <w:rPr>
          <w:rFonts w:ascii="Caladea"/>
          <w:b/>
          <w:sz w:val="22"/>
        </w:rPr>
        <w:t>P</w:t>
      </w:r>
      <w:r>
        <w:rPr>
          <w:rFonts w:ascii="Caladea"/>
          <w:b/>
          <w:sz w:val="18"/>
        </w:rPr>
        <w:t>ARCELA </w:t>
      </w:r>
      <w:r>
        <w:rPr>
          <w:rFonts w:ascii="Caladea"/>
          <w:b/>
          <w:sz w:val="22"/>
        </w:rPr>
        <w:t>A </w:t>
      </w:r>
      <w:r>
        <w:rPr>
          <w:rFonts w:ascii="Caladea"/>
          <w:b/>
          <w:sz w:val="18"/>
        </w:rPr>
        <w:t>E </w:t>
      </w:r>
      <w:r>
        <w:rPr>
          <w:rFonts w:ascii="Caladea"/>
          <w:b/>
          <w:sz w:val="22"/>
        </w:rPr>
        <w:t>O</w:t>
      </w:r>
      <w:r>
        <w:rPr>
          <w:rFonts w:ascii="Caladea"/>
          <w:b/>
          <w:sz w:val="18"/>
        </w:rPr>
        <w:t>UTROS </w:t>
      </w:r>
      <w:r>
        <w:rPr>
          <w:rFonts w:ascii="Caladea"/>
          <w:b/>
          <w:sz w:val="22"/>
        </w:rPr>
        <w:t>I</w:t>
      </w:r>
      <w:r>
        <w:rPr>
          <w:rFonts w:ascii="Caladea"/>
          <w:b/>
          <w:sz w:val="18"/>
        </w:rPr>
        <w:t>TENS</w:t>
      </w:r>
      <w:r>
        <w:rPr>
          <w:rFonts w:ascii="Caladea"/>
          <w:b/>
          <w:spacing w:val="-21"/>
          <w:sz w:val="18"/>
        </w:rPr>
        <w:t> </w:t>
      </w:r>
      <w:r>
        <w:rPr>
          <w:rFonts w:ascii="Caladea"/>
          <w:b/>
          <w:sz w:val="22"/>
        </w:rPr>
        <w:t>F</w:t>
      </w:r>
      <w:r>
        <w:rPr>
          <w:rFonts w:ascii="Caladea"/>
          <w:b/>
          <w:sz w:val="18"/>
        </w:rPr>
        <w:t>INANCEIROS</w:t>
      </w:r>
    </w:p>
    <w:p>
      <w:pPr>
        <w:pStyle w:val="BodyText"/>
        <w:spacing w:before="10"/>
        <w:rPr>
          <w:rFonts w:ascii="Caladea"/>
          <w:b/>
          <w:sz w:val="23"/>
        </w:rPr>
      </w:pPr>
    </w:p>
    <w:p>
      <w:pPr>
        <w:pStyle w:val="BodyText"/>
        <w:spacing w:line="242" w:lineRule="auto"/>
        <w:ind w:left="192" w:right="607"/>
        <w:jc w:val="both"/>
      </w:pPr>
      <w:r>
        <w:rPr/>
        <w:t>Em</w:t>
      </w:r>
      <w:r>
        <w:rPr>
          <w:spacing w:val="-30"/>
        </w:rPr>
        <w:t> </w:t>
      </w:r>
      <w:r>
        <w:rPr/>
        <w:t>25</w:t>
      </w:r>
      <w:r>
        <w:rPr>
          <w:spacing w:val="-27"/>
        </w:rPr>
        <w:t> </w:t>
      </w:r>
      <w:r>
        <w:rPr/>
        <w:t>de</w:t>
      </w:r>
      <w:r>
        <w:rPr>
          <w:spacing w:val="-29"/>
        </w:rPr>
        <w:t> </w:t>
      </w:r>
      <w:r>
        <w:rPr/>
        <w:t>novembro</w:t>
      </w:r>
      <w:r>
        <w:rPr>
          <w:spacing w:val="-27"/>
        </w:rPr>
        <w:t> </w:t>
      </w:r>
      <w:r>
        <w:rPr/>
        <w:t>de</w:t>
      </w:r>
      <w:r>
        <w:rPr>
          <w:spacing w:val="-28"/>
        </w:rPr>
        <w:t> </w:t>
      </w:r>
      <w:r>
        <w:rPr/>
        <w:t>2014,</w:t>
      </w:r>
      <w:r>
        <w:rPr>
          <w:spacing w:val="-30"/>
        </w:rPr>
        <w:t> </w:t>
      </w:r>
      <w:r>
        <w:rPr/>
        <w:t>a</w:t>
      </w:r>
      <w:r>
        <w:rPr>
          <w:spacing w:val="-28"/>
        </w:rPr>
        <w:t> </w:t>
      </w:r>
      <w:r>
        <w:rPr/>
        <w:t>ANEEL</w:t>
      </w:r>
      <w:r>
        <w:rPr>
          <w:spacing w:val="-28"/>
        </w:rPr>
        <w:t> </w:t>
      </w:r>
      <w:r>
        <w:rPr/>
        <w:t>aditou</w:t>
      </w:r>
      <w:r>
        <w:rPr>
          <w:spacing w:val="-28"/>
        </w:rPr>
        <w:t> </w:t>
      </w:r>
      <w:r>
        <w:rPr/>
        <w:t>os</w:t>
      </w:r>
      <w:r>
        <w:rPr>
          <w:spacing w:val="-28"/>
        </w:rPr>
        <w:t> </w:t>
      </w:r>
      <w:r>
        <w:rPr/>
        <w:t>contratos</w:t>
      </w:r>
      <w:r>
        <w:rPr>
          <w:spacing w:val="-29"/>
        </w:rPr>
        <w:t> </w:t>
      </w:r>
      <w:r>
        <w:rPr/>
        <w:t>de</w:t>
      </w:r>
      <w:r>
        <w:rPr>
          <w:spacing w:val="-30"/>
        </w:rPr>
        <w:t> </w:t>
      </w:r>
      <w:r>
        <w:rPr/>
        <w:t>concessão</w:t>
      </w:r>
      <w:r>
        <w:rPr>
          <w:spacing w:val="-28"/>
        </w:rPr>
        <w:t> </w:t>
      </w:r>
      <w:r>
        <w:rPr/>
        <w:t>e</w:t>
      </w:r>
      <w:r>
        <w:rPr>
          <w:spacing w:val="-28"/>
        </w:rPr>
        <w:t> </w:t>
      </w:r>
      <w:r>
        <w:rPr/>
        <w:t>permissão</w:t>
      </w:r>
      <w:r>
        <w:rPr>
          <w:spacing w:val="-29"/>
        </w:rPr>
        <w:t> </w:t>
      </w:r>
      <w:r>
        <w:rPr/>
        <w:t>das</w:t>
      </w:r>
      <w:r>
        <w:rPr>
          <w:spacing w:val="-29"/>
        </w:rPr>
        <w:t> </w:t>
      </w:r>
      <w:r>
        <w:rPr/>
        <w:t>companhias</w:t>
      </w:r>
      <w:r>
        <w:rPr>
          <w:spacing w:val="-26"/>
        </w:rPr>
        <w:t> </w:t>
      </w:r>
      <w:r>
        <w:rPr/>
        <w:t>de</w:t>
      </w:r>
      <w:r>
        <w:rPr>
          <w:spacing w:val="-29"/>
        </w:rPr>
        <w:t> </w:t>
      </w:r>
      <w:r>
        <w:rPr/>
        <w:t>distribuição de</w:t>
      </w:r>
      <w:r>
        <w:rPr>
          <w:spacing w:val="-32"/>
        </w:rPr>
        <w:t> </w:t>
      </w:r>
      <w:r>
        <w:rPr/>
        <w:t>energia</w:t>
      </w:r>
      <w:r>
        <w:rPr>
          <w:spacing w:val="-30"/>
        </w:rPr>
        <w:t> </w:t>
      </w:r>
      <w:r>
        <w:rPr/>
        <w:t>elétrica,</w:t>
      </w:r>
      <w:r>
        <w:rPr>
          <w:spacing w:val="-32"/>
        </w:rPr>
        <w:t> </w:t>
      </w:r>
      <w:r>
        <w:rPr/>
        <w:t>visando</w:t>
      </w:r>
      <w:r>
        <w:rPr>
          <w:spacing w:val="-30"/>
        </w:rPr>
        <w:t> </w:t>
      </w:r>
      <w:r>
        <w:rPr/>
        <w:t>eliminar</w:t>
      </w:r>
      <w:r>
        <w:rPr>
          <w:spacing w:val="-31"/>
        </w:rPr>
        <w:t> </w:t>
      </w:r>
      <w:r>
        <w:rPr/>
        <w:t>eventuais</w:t>
      </w:r>
      <w:r>
        <w:rPr>
          <w:spacing w:val="-31"/>
        </w:rPr>
        <w:t> </w:t>
      </w:r>
      <w:r>
        <w:rPr/>
        <w:t>incertezas</w:t>
      </w:r>
      <w:r>
        <w:rPr>
          <w:spacing w:val="-31"/>
        </w:rPr>
        <w:t> </w:t>
      </w:r>
      <w:r>
        <w:rPr/>
        <w:t>quanto</w:t>
      </w:r>
      <w:r>
        <w:rPr>
          <w:spacing w:val="-31"/>
        </w:rPr>
        <w:t> </w:t>
      </w:r>
      <w:r>
        <w:rPr/>
        <w:t>ao</w:t>
      </w:r>
      <w:r>
        <w:rPr>
          <w:spacing w:val="-31"/>
        </w:rPr>
        <w:t> </w:t>
      </w:r>
      <w:r>
        <w:rPr/>
        <w:t>reconhecimento</w:t>
      </w:r>
      <w:r>
        <w:rPr>
          <w:spacing w:val="-32"/>
        </w:rPr>
        <w:t> </w:t>
      </w:r>
      <w:r>
        <w:rPr/>
        <w:t>e</w:t>
      </w:r>
      <w:r>
        <w:rPr>
          <w:spacing w:val="-31"/>
        </w:rPr>
        <w:t> </w:t>
      </w:r>
      <w:r>
        <w:rPr/>
        <w:t>à</w:t>
      </w:r>
      <w:r>
        <w:rPr>
          <w:spacing w:val="-30"/>
        </w:rPr>
        <w:t> </w:t>
      </w:r>
      <w:r>
        <w:rPr/>
        <w:t>realização</w:t>
      </w:r>
      <w:r>
        <w:rPr>
          <w:spacing w:val="-32"/>
        </w:rPr>
        <w:t> </w:t>
      </w:r>
      <w:r>
        <w:rPr/>
        <w:t>das</w:t>
      </w:r>
      <w:r>
        <w:rPr>
          <w:spacing w:val="-32"/>
        </w:rPr>
        <w:t> </w:t>
      </w:r>
      <w:r>
        <w:rPr/>
        <w:t>diferenças temporais, cujos valores são repassados à tarifa de distribuição de energia elétrica </w:t>
      </w:r>
      <w:r>
        <w:rPr>
          <w:w w:val="105"/>
        </w:rPr>
        <w:t>– </w:t>
      </w:r>
      <w:r>
        <w:rPr/>
        <w:t>Parcela A (CVA) e outros componentes</w:t>
      </w:r>
      <w:r>
        <w:rPr>
          <w:spacing w:val="-30"/>
        </w:rPr>
        <w:t> </w:t>
      </w:r>
      <w:r>
        <w:rPr/>
        <w:t>financeiros.</w:t>
      </w:r>
      <w:r>
        <w:rPr>
          <w:spacing w:val="-30"/>
        </w:rPr>
        <w:t> </w:t>
      </w:r>
      <w:r>
        <w:rPr/>
        <w:t>No</w:t>
      </w:r>
      <w:r>
        <w:rPr>
          <w:spacing w:val="-32"/>
        </w:rPr>
        <w:t> </w:t>
      </w:r>
      <w:r>
        <w:rPr/>
        <w:t>termo</w:t>
      </w:r>
      <w:r>
        <w:rPr>
          <w:spacing w:val="-32"/>
        </w:rPr>
        <w:t> </w:t>
      </w:r>
      <w:r>
        <w:rPr/>
        <w:t>aditivo</w:t>
      </w:r>
      <w:r>
        <w:rPr>
          <w:spacing w:val="-29"/>
        </w:rPr>
        <w:t> </w:t>
      </w:r>
      <w:r>
        <w:rPr/>
        <w:t>emitido</w:t>
      </w:r>
      <w:r>
        <w:rPr>
          <w:spacing w:val="-31"/>
        </w:rPr>
        <w:t> </w:t>
      </w:r>
      <w:r>
        <w:rPr/>
        <w:t>pela</w:t>
      </w:r>
      <w:r>
        <w:rPr>
          <w:spacing w:val="-31"/>
        </w:rPr>
        <w:t> </w:t>
      </w:r>
      <w:r>
        <w:rPr/>
        <w:t>ANEEL,</w:t>
      </w:r>
      <w:r>
        <w:rPr>
          <w:spacing w:val="-32"/>
        </w:rPr>
        <w:t> </w:t>
      </w:r>
      <w:r>
        <w:rPr/>
        <w:t>o</w:t>
      </w:r>
      <w:r>
        <w:rPr>
          <w:spacing w:val="-31"/>
        </w:rPr>
        <w:t> </w:t>
      </w:r>
      <w:r>
        <w:rPr/>
        <w:t>Órgão</w:t>
      </w:r>
      <w:r>
        <w:rPr>
          <w:spacing w:val="-32"/>
        </w:rPr>
        <w:t> </w:t>
      </w:r>
      <w:r>
        <w:rPr/>
        <w:t>Regulador</w:t>
      </w:r>
      <w:r>
        <w:rPr>
          <w:spacing w:val="-30"/>
        </w:rPr>
        <w:t> </w:t>
      </w:r>
      <w:r>
        <w:rPr/>
        <w:t>garante</w:t>
      </w:r>
      <w:r>
        <w:rPr>
          <w:spacing w:val="-30"/>
        </w:rPr>
        <w:t> </w:t>
      </w:r>
      <w:r>
        <w:rPr/>
        <w:t>que</w:t>
      </w:r>
      <w:r>
        <w:rPr>
          <w:spacing w:val="-32"/>
        </w:rPr>
        <w:t> </w:t>
      </w:r>
      <w:r>
        <w:rPr/>
        <w:t>os</w:t>
      </w:r>
      <w:r>
        <w:rPr>
          <w:spacing w:val="-30"/>
        </w:rPr>
        <w:t> </w:t>
      </w:r>
      <w:r>
        <w:rPr/>
        <w:t>valores</w:t>
      </w:r>
      <w:r>
        <w:rPr>
          <w:spacing w:val="-32"/>
        </w:rPr>
        <w:t> </w:t>
      </w:r>
      <w:r>
        <w:rPr/>
        <w:t>de</w:t>
      </w:r>
      <w:r>
        <w:rPr>
          <w:spacing w:val="-31"/>
        </w:rPr>
        <w:t> </w:t>
      </w:r>
      <w:r>
        <w:rPr/>
        <w:t>CVA</w:t>
      </w:r>
      <w:r>
        <w:rPr>
          <w:spacing w:val="-30"/>
        </w:rPr>
        <w:t> </w:t>
      </w:r>
      <w:r>
        <w:rPr/>
        <w:t>e outros</w:t>
      </w:r>
      <w:r>
        <w:rPr>
          <w:spacing w:val="-36"/>
        </w:rPr>
        <w:t> </w:t>
      </w:r>
      <w:r>
        <w:rPr/>
        <w:t>componentes</w:t>
      </w:r>
      <w:r>
        <w:rPr>
          <w:spacing w:val="-35"/>
        </w:rPr>
        <w:t> </w:t>
      </w:r>
      <w:r>
        <w:rPr/>
        <w:t>financeiros</w:t>
      </w:r>
      <w:r>
        <w:rPr>
          <w:spacing w:val="-35"/>
        </w:rPr>
        <w:t> </w:t>
      </w:r>
      <w:r>
        <w:rPr/>
        <w:t>serão</w:t>
      </w:r>
      <w:r>
        <w:rPr>
          <w:spacing w:val="-36"/>
        </w:rPr>
        <w:t> </w:t>
      </w:r>
      <w:r>
        <w:rPr/>
        <w:t>incorporados</w:t>
      </w:r>
      <w:r>
        <w:rPr>
          <w:spacing w:val="-35"/>
        </w:rPr>
        <w:t> </w:t>
      </w:r>
      <w:r>
        <w:rPr/>
        <w:t>no</w:t>
      </w:r>
      <w:r>
        <w:rPr>
          <w:spacing w:val="-34"/>
        </w:rPr>
        <w:t> </w:t>
      </w:r>
      <w:r>
        <w:rPr/>
        <w:t>cálculo</w:t>
      </w:r>
      <w:r>
        <w:rPr>
          <w:spacing w:val="-35"/>
        </w:rPr>
        <w:t> </w:t>
      </w:r>
      <w:r>
        <w:rPr/>
        <w:t>da</w:t>
      </w:r>
      <w:r>
        <w:rPr>
          <w:spacing w:val="-35"/>
        </w:rPr>
        <w:t> </w:t>
      </w:r>
      <w:r>
        <w:rPr/>
        <w:t>indenização,</w:t>
      </w:r>
      <w:r>
        <w:rPr>
          <w:spacing w:val="-36"/>
        </w:rPr>
        <w:t> </w:t>
      </w:r>
      <w:r>
        <w:rPr/>
        <w:t>quando</w:t>
      </w:r>
      <w:r>
        <w:rPr>
          <w:spacing w:val="-36"/>
        </w:rPr>
        <w:t> </w:t>
      </w:r>
      <w:r>
        <w:rPr/>
        <w:t>da</w:t>
      </w:r>
      <w:r>
        <w:rPr>
          <w:spacing w:val="-33"/>
        </w:rPr>
        <w:t> </w:t>
      </w:r>
      <w:r>
        <w:rPr/>
        <w:t>extinção</w:t>
      </w:r>
      <w:r>
        <w:rPr>
          <w:spacing w:val="-36"/>
        </w:rPr>
        <w:t> </w:t>
      </w:r>
      <w:r>
        <w:rPr/>
        <w:t>da</w:t>
      </w:r>
      <w:r>
        <w:rPr>
          <w:spacing w:val="-35"/>
        </w:rPr>
        <w:t> </w:t>
      </w:r>
      <w:r>
        <w:rPr/>
        <w:t>concessão.</w:t>
      </w:r>
    </w:p>
    <w:p>
      <w:pPr>
        <w:pStyle w:val="BodyText"/>
        <w:spacing w:line="242" w:lineRule="auto" w:before="121"/>
        <w:ind w:left="192" w:right="608"/>
        <w:jc w:val="both"/>
      </w:pPr>
      <w:r>
        <w:rPr/>
        <w:t>Como</w:t>
      </w:r>
      <w:r>
        <w:rPr>
          <w:spacing w:val="-22"/>
        </w:rPr>
        <w:t> </w:t>
      </w:r>
      <w:r>
        <w:rPr/>
        <w:t>consequência,</w:t>
      </w:r>
      <w:r>
        <w:rPr>
          <w:spacing w:val="-19"/>
        </w:rPr>
        <w:t> </w:t>
      </w:r>
      <w:r>
        <w:rPr/>
        <w:t>a</w:t>
      </w:r>
      <w:r>
        <w:rPr>
          <w:spacing w:val="-19"/>
        </w:rPr>
        <w:t> </w:t>
      </w:r>
      <w:r>
        <w:rPr/>
        <w:t>CVM</w:t>
      </w:r>
      <w:r>
        <w:rPr>
          <w:spacing w:val="-17"/>
        </w:rPr>
        <w:t> </w:t>
      </w:r>
      <w:r>
        <w:rPr/>
        <w:t>emitiu</w:t>
      </w:r>
      <w:r>
        <w:rPr>
          <w:spacing w:val="-20"/>
        </w:rPr>
        <w:t> </w:t>
      </w:r>
      <w:r>
        <w:rPr/>
        <w:t>a</w:t>
      </w:r>
      <w:r>
        <w:rPr>
          <w:spacing w:val="-20"/>
        </w:rPr>
        <w:t> </w:t>
      </w:r>
      <w:r>
        <w:rPr/>
        <w:t>Deliberação</w:t>
      </w:r>
      <w:r>
        <w:rPr>
          <w:spacing w:val="-18"/>
        </w:rPr>
        <w:t> </w:t>
      </w:r>
      <w:r>
        <w:rPr/>
        <w:t>nº</w:t>
      </w:r>
      <w:r>
        <w:rPr>
          <w:spacing w:val="-20"/>
        </w:rPr>
        <w:t> </w:t>
      </w:r>
      <w:r>
        <w:rPr/>
        <w:t>732/2014</w:t>
      </w:r>
      <w:r>
        <w:rPr>
          <w:spacing w:val="-19"/>
        </w:rPr>
        <w:t> </w:t>
      </w:r>
      <w:r>
        <w:rPr/>
        <w:t>e</w:t>
      </w:r>
      <w:r>
        <w:rPr>
          <w:spacing w:val="-22"/>
        </w:rPr>
        <w:t> </w:t>
      </w:r>
      <w:r>
        <w:rPr/>
        <w:t>o</w:t>
      </w:r>
      <w:r>
        <w:rPr>
          <w:spacing w:val="-19"/>
        </w:rPr>
        <w:t> </w:t>
      </w:r>
      <w:r>
        <w:rPr/>
        <w:t>CPC</w:t>
      </w:r>
      <w:r>
        <w:rPr>
          <w:spacing w:val="-19"/>
        </w:rPr>
        <w:t> </w:t>
      </w:r>
      <w:r>
        <w:rPr/>
        <w:t>aprovou</w:t>
      </w:r>
      <w:r>
        <w:rPr>
          <w:spacing w:val="-19"/>
        </w:rPr>
        <w:t> </w:t>
      </w:r>
      <w:r>
        <w:rPr/>
        <w:t>a</w:t>
      </w:r>
      <w:r>
        <w:rPr>
          <w:spacing w:val="-17"/>
        </w:rPr>
        <w:t> </w:t>
      </w:r>
      <w:r>
        <w:rPr/>
        <w:t>Orientação</w:t>
      </w:r>
      <w:r>
        <w:rPr>
          <w:spacing w:val="-20"/>
        </w:rPr>
        <w:t> </w:t>
      </w:r>
      <w:r>
        <w:rPr/>
        <w:t>Técnica</w:t>
      </w:r>
      <w:r>
        <w:rPr>
          <w:spacing w:val="-19"/>
        </w:rPr>
        <w:t> </w:t>
      </w:r>
      <w:r>
        <w:rPr/>
        <w:t>OCPC08,</w:t>
      </w:r>
      <w:r>
        <w:rPr>
          <w:spacing w:val="-17"/>
        </w:rPr>
        <w:t> </w:t>
      </w:r>
      <w:r>
        <w:rPr/>
        <w:t>que teve</w:t>
      </w:r>
      <w:r>
        <w:rPr>
          <w:spacing w:val="-11"/>
        </w:rPr>
        <w:t> </w:t>
      </w:r>
      <w:r>
        <w:rPr/>
        <w:t>por</w:t>
      </w:r>
      <w:r>
        <w:rPr>
          <w:spacing w:val="-10"/>
        </w:rPr>
        <w:t> </w:t>
      </w:r>
      <w:r>
        <w:rPr/>
        <w:t>objetivo</w:t>
      </w:r>
      <w:r>
        <w:rPr>
          <w:spacing w:val="-9"/>
        </w:rPr>
        <w:t> </w:t>
      </w:r>
      <w:r>
        <w:rPr/>
        <w:t>tratar</w:t>
      </w:r>
      <w:r>
        <w:rPr>
          <w:spacing w:val="-9"/>
        </w:rPr>
        <w:t> </w:t>
      </w:r>
      <w:r>
        <w:rPr/>
        <w:t>dos</w:t>
      </w:r>
      <w:r>
        <w:rPr>
          <w:spacing w:val="-9"/>
        </w:rPr>
        <w:t> </w:t>
      </w:r>
      <w:r>
        <w:rPr/>
        <w:t>requisitos</w:t>
      </w:r>
      <w:r>
        <w:rPr>
          <w:spacing w:val="-9"/>
        </w:rPr>
        <w:t> </w:t>
      </w:r>
      <w:r>
        <w:rPr/>
        <w:t>básicos</w:t>
      </w:r>
      <w:r>
        <w:rPr>
          <w:spacing w:val="-9"/>
        </w:rPr>
        <w:t> </w:t>
      </w:r>
      <w:r>
        <w:rPr/>
        <w:t>de</w:t>
      </w:r>
      <w:r>
        <w:rPr>
          <w:spacing w:val="-9"/>
        </w:rPr>
        <w:t> </w:t>
      </w:r>
      <w:r>
        <w:rPr/>
        <w:t>reconhecimento,</w:t>
      </w:r>
      <w:r>
        <w:rPr>
          <w:spacing w:val="-9"/>
        </w:rPr>
        <w:t> </w:t>
      </w:r>
      <w:r>
        <w:rPr/>
        <w:t>mensuração</w:t>
      </w:r>
      <w:r>
        <w:rPr>
          <w:spacing w:val="-8"/>
        </w:rPr>
        <w:t> </w:t>
      </w:r>
      <w:r>
        <w:rPr/>
        <w:t>e</w:t>
      </w:r>
      <w:r>
        <w:rPr>
          <w:spacing w:val="-9"/>
        </w:rPr>
        <w:t> </w:t>
      </w:r>
      <w:r>
        <w:rPr/>
        <w:t>evidenciação</w:t>
      </w:r>
      <w:r>
        <w:rPr>
          <w:spacing w:val="-10"/>
        </w:rPr>
        <w:t> </w:t>
      </w:r>
      <w:r>
        <w:rPr/>
        <w:t>destes</w:t>
      </w:r>
      <w:r>
        <w:rPr>
          <w:spacing w:val="-10"/>
        </w:rPr>
        <w:t> </w:t>
      </w:r>
      <w:r>
        <w:rPr/>
        <w:t>ativos</w:t>
      </w:r>
      <w:r>
        <w:rPr>
          <w:spacing w:val="-9"/>
        </w:rPr>
        <w:t> </w:t>
      </w:r>
      <w:r>
        <w:rPr/>
        <w:t>ou passivos financeiros, que passam a ter a característica de direito (ou obrigação) incondicional de receber (ou entregar)</w:t>
      </w:r>
      <w:r>
        <w:rPr>
          <w:spacing w:val="-24"/>
        </w:rPr>
        <w:t> </w:t>
      </w:r>
      <w:r>
        <w:rPr/>
        <w:t>caixa</w:t>
      </w:r>
      <w:r>
        <w:rPr>
          <w:spacing w:val="-23"/>
        </w:rPr>
        <w:t> </w:t>
      </w:r>
      <w:r>
        <w:rPr/>
        <w:t>ou</w:t>
      </w:r>
      <w:r>
        <w:rPr>
          <w:spacing w:val="-22"/>
        </w:rPr>
        <w:t> </w:t>
      </w:r>
      <w:r>
        <w:rPr/>
        <w:t>outro</w:t>
      </w:r>
      <w:r>
        <w:rPr>
          <w:spacing w:val="-24"/>
        </w:rPr>
        <w:t> </w:t>
      </w:r>
      <w:r>
        <w:rPr/>
        <w:t>instrumento</w:t>
      </w:r>
      <w:r>
        <w:rPr>
          <w:spacing w:val="-23"/>
        </w:rPr>
        <w:t> </w:t>
      </w:r>
      <w:r>
        <w:rPr/>
        <w:t>financeiro</w:t>
      </w:r>
      <w:r>
        <w:rPr>
          <w:spacing w:val="-24"/>
        </w:rPr>
        <w:t> </w:t>
      </w:r>
      <w:r>
        <w:rPr/>
        <w:t>a</w:t>
      </w:r>
      <w:r>
        <w:rPr>
          <w:spacing w:val="-21"/>
        </w:rPr>
        <w:t> </w:t>
      </w:r>
      <w:r>
        <w:rPr/>
        <w:t>uma</w:t>
      </w:r>
      <w:r>
        <w:rPr>
          <w:spacing w:val="-23"/>
        </w:rPr>
        <w:t> </w:t>
      </w:r>
      <w:r>
        <w:rPr/>
        <w:t>contraparte</w:t>
      </w:r>
      <w:r>
        <w:rPr>
          <w:spacing w:val="-23"/>
        </w:rPr>
        <w:t> </w:t>
      </w:r>
      <w:r>
        <w:rPr/>
        <w:t>claramente</w:t>
      </w:r>
      <w:r>
        <w:rPr>
          <w:spacing w:val="-24"/>
        </w:rPr>
        <w:t> </w:t>
      </w:r>
      <w:r>
        <w:rPr/>
        <w:t>identificada.</w:t>
      </w:r>
    </w:p>
    <w:p>
      <w:pPr>
        <w:pStyle w:val="BodyText"/>
        <w:spacing w:line="242" w:lineRule="auto" w:before="120"/>
        <w:ind w:left="192" w:right="614"/>
        <w:jc w:val="both"/>
      </w:pPr>
      <w:r>
        <w:rPr/>
        <w:t>De</w:t>
      </w:r>
      <w:r>
        <w:rPr>
          <w:spacing w:val="-30"/>
        </w:rPr>
        <w:t> </w:t>
      </w:r>
      <w:r>
        <w:rPr/>
        <w:t>acordo</w:t>
      </w:r>
      <w:r>
        <w:rPr>
          <w:spacing w:val="-27"/>
        </w:rPr>
        <w:t> </w:t>
      </w:r>
      <w:r>
        <w:rPr/>
        <w:t>com</w:t>
      </w:r>
      <w:r>
        <w:rPr>
          <w:spacing w:val="-28"/>
        </w:rPr>
        <w:t> </w:t>
      </w:r>
      <w:r>
        <w:rPr/>
        <w:t>a</w:t>
      </w:r>
      <w:r>
        <w:rPr>
          <w:spacing w:val="-28"/>
        </w:rPr>
        <w:t> </w:t>
      </w:r>
      <w:r>
        <w:rPr/>
        <w:t>OCPC</w:t>
      </w:r>
      <w:r>
        <w:rPr>
          <w:spacing w:val="-27"/>
        </w:rPr>
        <w:t> </w:t>
      </w:r>
      <w:r>
        <w:rPr/>
        <w:t>08,</w:t>
      </w:r>
      <w:r>
        <w:rPr>
          <w:spacing w:val="-28"/>
        </w:rPr>
        <w:t> </w:t>
      </w:r>
      <w:r>
        <w:rPr/>
        <w:t>o</w:t>
      </w:r>
      <w:r>
        <w:rPr>
          <w:spacing w:val="-27"/>
        </w:rPr>
        <w:t> </w:t>
      </w:r>
      <w:r>
        <w:rPr/>
        <w:t>aditamento</w:t>
      </w:r>
      <w:r>
        <w:rPr>
          <w:spacing w:val="-29"/>
        </w:rPr>
        <w:t> </w:t>
      </w:r>
      <w:r>
        <w:rPr/>
        <w:t>do</w:t>
      </w:r>
      <w:r>
        <w:rPr>
          <w:spacing w:val="-29"/>
        </w:rPr>
        <w:t> </w:t>
      </w:r>
      <w:r>
        <w:rPr/>
        <w:t>contrato</w:t>
      </w:r>
      <w:r>
        <w:rPr>
          <w:spacing w:val="-29"/>
        </w:rPr>
        <w:t> </w:t>
      </w:r>
      <w:r>
        <w:rPr/>
        <w:t>de</w:t>
      </w:r>
      <w:r>
        <w:rPr>
          <w:spacing w:val="-28"/>
        </w:rPr>
        <w:t> </w:t>
      </w:r>
      <w:r>
        <w:rPr/>
        <w:t>concessão</w:t>
      </w:r>
      <w:r>
        <w:rPr>
          <w:spacing w:val="-28"/>
        </w:rPr>
        <w:t> </w:t>
      </w:r>
      <w:r>
        <w:rPr/>
        <w:t>representou</w:t>
      </w:r>
      <w:r>
        <w:rPr>
          <w:spacing w:val="-28"/>
        </w:rPr>
        <w:t> </w:t>
      </w:r>
      <w:r>
        <w:rPr/>
        <w:t>um</w:t>
      </w:r>
      <w:r>
        <w:rPr>
          <w:spacing w:val="-27"/>
        </w:rPr>
        <w:t> </w:t>
      </w:r>
      <w:r>
        <w:rPr/>
        <w:t>elemento</w:t>
      </w:r>
      <w:r>
        <w:rPr>
          <w:spacing w:val="-27"/>
        </w:rPr>
        <w:t> </w:t>
      </w:r>
      <w:r>
        <w:rPr/>
        <w:t>novo,</w:t>
      </w:r>
      <w:r>
        <w:rPr>
          <w:spacing w:val="-28"/>
        </w:rPr>
        <w:t> </w:t>
      </w:r>
      <w:r>
        <w:rPr/>
        <w:t>que</w:t>
      </w:r>
      <w:r>
        <w:rPr>
          <w:spacing w:val="-29"/>
        </w:rPr>
        <w:t> </w:t>
      </w:r>
      <w:r>
        <w:rPr/>
        <w:t>eliminou</w:t>
      </w:r>
      <w:r>
        <w:rPr>
          <w:spacing w:val="-26"/>
        </w:rPr>
        <w:t> </w:t>
      </w:r>
      <w:r>
        <w:rPr/>
        <w:t>as eventuais incertezas quando à realização do ativo ou exigibilidade do passivo dos itens da Parcela A e outros componentes</w:t>
      </w:r>
      <w:r>
        <w:rPr>
          <w:spacing w:val="-18"/>
        </w:rPr>
        <w:t> </w:t>
      </w:r>
      <w:r>
        <w:rPr/>
        <w:t>financeiros,</w:t>
      </w:r>
      <w:r>
        <w:rPr>
          <w:spacing w:val="-18"/>
        </w:rPr>
        <w:t> </w:t>
      </w:r>
      <w:r>
        <w:rPr/>
        <w:t>que</w:t>
      </w:r>
      <w:r>
        <w:rPr>
          <w:spacing w:val="-21"/>
        </w:rPr>
        <w:t> </w:t>
      </w:r>
      <w:r>
        <w:rPr/>
        <w:t>até</w:t>
      </w:r>
      <w:r>
        <w:rPr>
          <w:spacing w:val="-19"/>
        </w:rPr>
        <w:t> </w:t>
      </w:r>
      <w:r>
        <w:rPr/>
        <w:t>então,</w:t>
      </w:r>
      <w:r>
        <w:rPr>
          <w:spacing w:val="-19"/>
        </w:rPr>
        <w:t> </w:t>
      </w:r>
      <w:r>
        <w:rPr/>
        <w:t>não</w:t>
      </w:r>
      <w:r>
        <w:rPr>
          <w:spacing w:val="-18"/>
        </w:rPr>
        <w:t> </w:t>
      </w:r>
      <w:r>
        <w:rPr/>
        <w:t>eram</w:t>
      </w:r>
      <w:r>
        <w:rPr>
          <w:spacing w:val="-20"/>
        </w:rPr>
        <w:t> </w:t>
      </w:r>
      <w:r>
        <w:rPr/>
        <w:t>reconhecidos.</w:t>
      </w:r>
    </w:p>
    <w:p>
      <w:pPr>
        <w:pStyle w:val="BodyText"/>
        <w:spacing w:line="242" w:lineRule="auto" w:before="120"/>
        <w:ind w:left="192" w:right="613"/>
        <w:jc w:val="both"/>
      </w:pPr>
      <w:r>
        <w:rPr/>
        <w:t>O</w:t>
      </w:r>
      <w:r>
        <w:rPr>
          <w:spacing w:val="-44"/>
        </w:rPr>
        <w:t> </w:t>
      </w:r>
      <w:r>
        <w:rPr/>
        <w:t>Grupo</w:t>
      </w:r>
      <w:r>
        <w:rPr>
          <w:spacing w:val="-44"/>
        </w:rPr>
        <w:t> </w:t>
      </w:r>
      <w:r>
        <w:rPr/>
        <w:t>efetuou</w:t>
      </w:r>
      <w:r>
        <w:rPr>
          <w:spacing w:val="-43"/>
        </w:rPr>
        <w:t> </w:t>
      </w:r>
      <w:r>
        <w:rPr/>
        <w:t>o</w:t>
      </w:r>
      <w:r>
        <w:rPr>
          <w:spacing w:val="-43"/>
        </w:rPr>
        <w:t> </w:t>
      </w:r>
      <w:r>
        <w:rPr/>
        <w:t>reconhecimento</w:t>
      </w:r>
      <w:r>
        <w:rPr>
          <w:spacing w:val="-44"/>
        </w:rPr>
        <w:t> </w:t>
      </w:r>
      <w:r>
        <w:rPr/>
        <w:t>dos</w:t>
      </w:r>
      <w:r>
        <w:rPr>
          <w:spacing w:val="-43"/>
        </w:rPr>
        <w:t> </w:t>
      </w:r>
      <w:r>
        <w:rPr/>
        <w:t>saldos</w:t>
      </w:r>
      <w:r>
        <w:rPr>
          <w:spacing w:val="-44"/>
        </w:rPr>
        <w:t> </w:t>
      </w:r>
      <w:r>
        <w:rPr/>
        <w:t>de</w:t>
      </w:r>
      <w:r>
        <w:rPr>
          <w:spacing w:val="-44"/>
        </w:rPr>
        <w:t> </w:t>
      </w:r>
      <w:r>
        <w:rPr/>
        <w:t>CVA</w:t>
      </w:r>
      <w:r>
        <w:rPr>
          <w:spacing w:val="-43"/>
        </w:rPr>
        <w:t> </w:t>
      </w:r>
      <w:r>
        <w:rPr/>
        <w:t>e</w:t>
      </w:r>
      <w:r>
        <w:rPr>
          <w:spacing w:val="-44"/>
        </w:rPr>
        <w:t> </w:t>
      </w:r>
      <w:r>
        <w:rPr/>
        <w:t>outros</w:t>
      </w:r>
      <w:r>
        <w:rPr>
          <w:spacing w:val="-44"/>
        </w:rPr>
        <w:t> </w:t>
      </w:r>
      <w:r>
        <w:rPr/>
        <w:t>componentes</w:t>
      </w:r>
      <w:r>
        <w:rPr>
          <w:spacing w:val="-43"/>
        </w:rPr>
        <w:t> </w:t>
      </w:r>
      <w:r>
        <w:rPr/>
        <w:t>financeiros</w:t>
      </w:r>
      <w:r>
        <w:rPr>
          <w:spacing w:val="-44"/>
        </w:rPr>
        <w:t> </w:t>
      </w:r>
      <w:r>
        <w:rPr/>
        <w:t>de</w:t>
      </w:r>
      <w:r>
        <w:rPr>
          <w:spacing w:val="-44"/>
        </w:rPr>
        <w:t> </w:t>
      </w:r>
      <w:r>
        <w:rPr/>
        <w:t>forma</w:t>
      </w:r>
      <w:r>
        <w:rPr>
          <w:spacing w:val="-44"/>
        </w:rPr>
        <w:t> </w:t>
      </w:r>
      <w:r>
        <w:rPr/>
        <w:t>prospectiva</w:t>
      </w:r>
      <w:r>
        <w:rPr>
          <w:spacing w:val="-43"/>
        </w:rPr>
        <w:t> </w:t>
      </w:r>
      <w:r>
        <w:rPr/>
        <w:t>quando da</w:t>
      </w:r>
      <w:r>
        <w:rPr>
          <w:spacing w:val="-30"/>
        </w:rPr>
        <w:t> </w:t>
      </w:r>
      <w:r>
        <w:rPr/>
        <w:t>sua</w:t>
      </w:r>
      <w:r>
        <w:rPr>
          <w:spacing w:val="-29"/>
        </w:rPr>
        <w:t> </w:t>
      </w:r>
      <w:r>
        <w:rPr/>
        <w:t>aplicação</w:t>
      </w:r>
      <w:r>
        <w:rPr>
          <w:spacing w:val="-30"/>
        </w:rPr>
        <w:t> </w:t>
      </w:r>
      <w:r>
        <w:rPr/>
        <w:t>inicial,</w:t>
      </w:r>
      <w:r>
        <w:rPr>
          <w:spacing w:val="-30"/>
        </w:rPr>
        <w:t> </w:t>
      </w:r>
      <w:r>
        <w:rPr/>
        <w:t>a</w:t>
      </w:r>
      <w:r>
        <w:rPr>
          <w:spacing w:val="-30"/>
        </w:rPr>
        <w:t> </w:t>
      </w:r>
      <w:r>
        <w:rPr/>
        <w:t>partir</w:t>
      </w:r>
      <w:r>
        <w:rPr>
          <w:spacing w:val="-29"/>
        </w:rPr>
        <w:t> </w:t>
      </w:r>
      <w:r>
        <w:rPr/>
        <w:t>da</w:t>
      </w:r>
      <w:r>
        <w:rPr>
          <w:spacing w:val="-29"/>
        </w:rPr>
        <w:t> </w:t>
      </w:r>
      <w:r>
        <w:rPr/>
        <w:t>assinatura</w:t>
      </w:r>
      <w:r>
        <w:rPr>
          <w:spacing w:val="-30"/>
        </w:rPr>
        <w:t> </w:t>
      </w:r>
      <w:r>
        <w:rPr/>
        <w:t>dos</w:t>
      </w:r>
      <w:r>
        <w:rPr>
          <w:spacing w:val="-29"/>
        </w:rPr>
        <w:t> </w:t>
      </w:r>
      <w:r>
        <w:rPr/>
        <w:t>respectivos</w:t>
      </w:r>
      <w:r>
        <w:rPr>
          <w:spacing w:val="-30"/>
        </w:rPr>
        <w:t> </w:t>
      </w:r>
      <w:r>
        <w:rPr/>
        <w:t>aditivos</w:t>
      </w:r>
      <w:r>
        <w:rPr>
          <w:spacing w:val="-29"/>
        </w:rPr>
        <w:t> </w:t>
      </w:r>
      <w:r>
        <w:rPr/>
        <w:t>contratuais.</w:t>
      </w:r>
      <w:r>
        <w:rPr>
          <w:spacing w:val="-28"/>
        </w:rPr>
        <w:t> </w:t>
      </w:r>
      <w:r>
        <w:rPr/>
        <w:t>O</w:t>
      </w:r>
      <w:r>
        <w:rPr>
          <w:spacing w:val="-31"/>
        </w:rPr>
        <w:t> </w:t>
      </w:r>
      <w:r>
        <w:rPr/>
        <w:t>registro</w:t>
      </w:r>
      <w:r>
        <w:rPr>
          <w:spacing w:val="-30"/>
        </w:rPr>
        <w:t> </w:t>
      </w:r>
      <w:r>
        <w:rPr/>
        <w:t>dos</w:t>
      </w:r>
      <w:r>
        <w:rPr>
          <w:spacing w:val="-30"/>
        </w:rPr>
        <w:t> </w:t>
      </w:r>
      <w:r>
        <w:rPr/>
        <w:t>valores</w:t>
      </w:r>
      <w:r>
        <w:rPr>
          <w:spacing w:val="-29"/>
        </w:rPr>
        <w:t> </w:t>
      </w:r>
      <w:r>
        <w:rPr/>
        <w:t>a</w:t>
      </w:r>
      <w:r>
        <w:rPr>
          <w:spacing w:val="-29"/>
        </w:rPr>
        <w:t> </w:t>
      </w:r>
      <w:r>
        <w:rPr/>
        <w:t>receber foi</w:t>
      </w:r>
      <w:r>
        <w:rPr>
          <w:spacing w:val="-45"/>
        </w:rPr>
        <w:t> </w:t>
      </w:r>
      <w:r>
        <w:rPr/>
        <w:t>efetuado</w:t>
      </w:r>
      <w:r>
        <w:rPr>
          <w:spacing w:val="-44"/>
        </w:rPr>
        <w:t> </w:t>
      </w:r>
      <w:r>
        <w:rPr/>
        <w:t>em</w:t>
      </w:r>
      <w:r>
        <w:rPr>
          <w:spacing w:val="-43"/>
        </w:rPr>
        <w:t> </w:t>
      </w:r>
      <w:r>
        <w:rPr/>
        <w:t>contas</w:t>
      </w:r>
      <w:r>
        <w:rPr>
          <w:spacing w:val="-45"/>
        </w:rPr>
        <w:t> </w:t>
      </w:r>
      <w:r>
        <w:rPr/>
        <w:t>de</w:t>
      </w:r>
      <w:r>
        <w:rPr>
          <w:spacing w:val="-44"/>
        </w:rPr>
        <w:t> </w:t>
      </w:r>
      <w:r>
        <w:rPr/>
        <w:t>ativo</w:t>
      </w:r>
      <w:r>
        <w:rPr>
          <w:spacing w:val="-45"/>
        </w:rPr>
        <w:t> </w:t>
      </w:r>
      <w:r>
        <w:rPr/>
        <w:t>em</w:t>
      </w:r>
      <w:r>
        <w:rPr>
          <w:spacing w:val="-45"/>
        </w:rPr>
        <w:t> </w:t>
      </w:r>
      <w:r>
        <w:rPr/>
        <w:t>contrapartida</w:t>
      </w:r>
      <w:r>
        <w:rPr>
          <w:spacing w:val="-44"/>
        </w:rPr>
        <w:t> </w:t>
      </w:r>
      <w:r>
        <w:rPr/>
        <w:t>ao</w:t>
      </w:r>
      <w:r>
        <w:rPr>
          <w:spacing w:val="-44"/>
        </w:rPr>
        <w:t> </w:t>
      </w:r>
      <w:r>
        <w:rPr/>
        <w:t>resultado</w:t>
      </w:r>
      <w:r>
        <w:rPr>
          <w:spacing w:val="-45"/>
        </w:rPr>
        <w:t> </w:t>
      </w:r>
      <w:r>
        <w:rPr/>
        <w:t>deste</w:t>
      </w:r>
      <w:r>
        <w:rPr>
          <w:spacing w:val="-45"/>
        </w:rPr>
        <w:t> </w:t>
      </w:r>
      <w:r>
        <w:rPr/>
        <w:t>exercício</w:t>
      </w:r>
      <w:r>
        <w:rPr>
          <w:spacing w:val="-44"/>
        </w:rPr>
        <w:t> </w:t>
      </w:r>
      <w:r>
        <w:rPr/>
        <w:t>na</w:t>
      </w:r>
      <w:r>
        <w:rPr>
          <w:spacing w:val="-43"/>
        </w:rPr>
        <w:t> </w:t>
      </w:r>
      <w:r>
        <w:rPr/>
        <w:t>rubrica</w:t>
      </w:r>
      <w:r>
        <w:rPr>
          <w:spacing w:val="-44"/>
        </w:rPr>
        <w:t> </w:t>
      </w:r>
      <w:r>
        <w:rPr/>
        <w:t>de</w:t>
      </w:r>
      <w:r>
        <w:rPr>
          <w:spacing w:val="-45"/>
        </w:rPr>
        <w:t> </w:t>
      </w:r>
      <w:r>
        <w:rPr/>
        <w:t>receita</w:t>
      </w:r>
      <w:r>
        <w:rPr>
          <w:spacing w:val="-43"/>
        </w:rPr>
        <w:t> </w:t>
      </w:r>
      <w:r>
        <w:rPr/>
        <w:t>de</w:t>
      </w:r>
      <w:r>
        <w:rPr>
          <w:spacing w:val="-44"/>
        </w:rPr>
        <w:t> </w:t>
      </w:r>
      <w:r>
        <w:rPr/>
        <w:t>vendas</w:t>
      </w:r>
      <w:r>
        <w:rPr>
          <w:spacing w:val="-45"/>
        </w:rPr>
        <w:t> </w:t>
      </w:r>
      <w:r>
        <w:rPr/>
        <w:t>de</w:t>
      </w:r>
      <w:r>
        <w:rPr>
          <w:spacing w:val="-44"/>
        </w:rPr>
        <w:t> </w:t>
      </w:r>
      <w:r>
        <w:rPr/>
        <w:t>bens e</w:t>
      </w:r>
      <w:r>
        <w:rPr>
          <w:spacing w:val="-20"/>
        </w:rPr>
        <w:t> </w:t>
      </w:r>
      <w:r>
        <w:rPr/>
        <w:t>serviços</w:t>
      </w:r>
      <w:r>
        <w:rPr>
          <w:spacing w:val="-17"/>
        </w:rPr>
        <w:t> </w:t>
      </w:r>
      <w:r>
        <w:rPr/>
        <w:t>(Nota</w:t>
      </w:r>
      <w:r>
        <w:rPr>
          <w:spacing w:val="-18"/>
        </w:rPr>
        <w:t> </w:t>
      </w:r>
      <w:r>
        <w:rPr/>
        <w:t>Explicativa</w:t>
      </w:r>
      <w:r>
        <w:rPr>
          <w:spacing w:val="-18"/>
        </w:rPr>
        <w:t> </w:t>
      </w:r>
      <w:r>
        <w:rPr/>
        <w:t>nº</w:t>
      </w:r>
      <w:r>
        <w:rPr>
          <w:spacing w:val="-16"/>
        </w:rPr>
        <w:t> </w:t>
      </w:r>
      <w:r>
        <w:rPr/>
        <w:t>8).</w:t>
      </w:r>
    </w:p>
    <w:p>
      <w:pPr>
        <w:pStyle w:val="BodyText"/>
        <w:spacing w:line="242" w:lineRule="auto" w:before="120"/>
        <w:ind w:left="192" w:right="609"/>
        <w:jc w:val="both"/>
      </w:pPr>
      <w:r>
        <w:rPr/>
        <w:t>A</w:t>
      </w:r>
      <w:r>
        <w:rPr>
          <w:spacing w:val="-44"/>
        </w:rPr>
        <w:t> </w:t>
      </w:r>
      <w:r>
        <w:rPr/>
        <w:t>Companhia</w:t>
      </w:r>
      <w:r>
        <w:rPr>
          <w:spacing w:val="-42"/>
        </w:rPr>
        <w:t> </w:t>
      </w:r>
      <w:r>
        <w:rPr/>
        <w:t>reconhece</w:t>
      </w:r>
      <w:r>
        <w:rPr>
          <w:spacing w:val="-44"/>
        </w:rPr>
        <w:t> </w:t>
      </w:r>
      <w:r>
        <w:rPr/>
        <w:t>os</w:t>
      </w:r>
      <w:r>
        <w:rPr>
          <w:spacing w:val="-42"/>
        </w:rPr>
        <w:t> </w:t>
      </w:r>
      <w:r>
        <w:rPr/>
        <w:t>valores</w:t>
      </w:r>
      <w:r>
        <w:rPr>
          <w:spacing w:val="-44"/>
        </w:rPr>
        <w:t> </w:t>
      </w:r>
      <w:r>
        <w:rPr/>
        <w:t>a</w:t>
      </w:r>
      <w:r>
        <w:rPr>
          <w:spacing w:val="-42"/>
        </w:rPr>
        <w:t> </w:t>
      </w:r>
      <w:r>
        <w:rPr/>
        <w:t>receber</w:t>
      </w:r>
      <w:r>
        <w:rPr>
          <w:spacing w:val="-43"/>
        </w:rPr>
        <w:t> </w:t>
      </w:r>
      <w:r>
        <w:rPr/>
        <w:t>e</w:t>
      </w:r>
      <w:r>
        <w:rPr>
          <w:spacing w:val="-44"/>
        </w:rPr>
        <w:t> </w:t>
      </w:r>
      <w:r>
        <w:rPr/>
        <w:t>a</w:t>
      </w:r>
      <w:r>
        <w:rPr>
          <w:spacing w:val="-41"/>
        </w:rPr>
        <w:t> </w:t>
      </w:r>
      <w:r>
        <w:rPr/>
        <w:t>pagar</w:t>
      </w:r>
      <w:r>
        <w:rPr>
          <w:spacing w:val="-43"/>
        </w:rPr>
        <w:t> </w:t>
      </w:r>
      <w:r>
        <w:rPr/>
        <w:t>da</w:t>
      </w:r>
      <w:r>
        <w:rPr>
          <w:spacing w:val="-42"/>
        </w:rPr>
        <w:t> </w:t>
      </w:r>
      <w:r>
        <w:rPr/>
        <w:t>“Parcela</w:t>
      </w:r>
      <w:r>
        <w:rPr>
          <w:spacing w:val="-43"/>
        </w:rPr>
        <w:t> </w:t>
      </w:r>
      <w:r>
        <w:rPr/>
        <w:t>A”</w:t>
      </w:r>
      <w:r>
        <w:rPr>
          <w:spacing w:val="-41"/>
        </w:rPr>
        <w:t> </w:t>
      </w:r>
      <w:r>
        <w:rPr/>
        <w:t>e</w:t>
      </w:r>
      <w:r>
        <w:rPr>
          <w:spacing w:val="-43"/>
        </w:rPr>
        <w:t> </w:t>
      </w:r>
      <w:r>
        <w:rPr/>
        <w:t>Outros</w:t>
      </w:r>
      <w:r>
        <w:rPr>
          <w:spacing w:val="-43"/>
        </w:rPr>
        <w:t> </w:t>
      </w:r>
      <w:r>
        <w:rPr/>
        <w:t>Componentes</w:t>
      </w:r>
      <w:r>
        <w:rPr>
          <w:spacing w:val="-43"/>
        </w:rPr>
        <w:t> </w:t>
      </w:r>
      <w:r>
        <w:rPr/>
        <w:t>Financeiros,</w:t>
      </w:r>
      <w:r>
        <w:rPr>
          <w:spacing w:val="-42"/>
        </w:rPr>
        <w:t> </w:t>
      </w:r>
      <w:r>
        <w:rPr/>
        <w:t>pelo</w:t>
      </w:r>
      <w:r>
        <w:rPr>
          <w:spacing w:val="-43"/>
        </w:rPr>
        <w:t> </w:t>
      </w:r>
      <w:r>
        <w:rPr/>
        <w:t>regime </w:t>
      </w:r>
      <w:r>
        <w:rPr>
          <w:w w:val="95"/>
        </w:rPr>
        <w:t>de</w:t>
      </w:r>
      <w:r>
        <w:rPr>
          <w:spacing w:val="-12"/>
          <w:w w:val="95"/>
        </w:rPr>
        <w:t> </w:t>
      </w:r>
      <w:r>
        <w:rPr>
          <w:w w:val="95"/>
        </w:rPr>
        <w:t>competência.</w:t>
      </w:r>
      <w:r>
        <w:rPr>
          <w:spacing w:val="-10"/>
          <w:w w:val="95"/>
        </w:rPr>
        <w:t> </w:t>
      </w:r>
      <w:r>
        <w:rPr>
          <w:w w:val="95"/>
        </w:rPr>
        <w:t>Esta</w:t>
      </w:r>
      <w:r>
        <w:rPr>
          <w:spacing w:val="-10"/>
          <w:w w:val="95"/>
        </w:rPr>
        <w:t> </w:t>
      </w:r>
      <w:r>
        <w:rPr>
          <w:w w:val="95"/>
        </w:rPr>
        <w:t>forma</w:t>
      </w:r>
      <w:r>
        <w:rPr>
          <w:spacing w:val="-9"/>
          <w:w w:val="95"/>
        </w:rPr>
        <w:t> </w:t>
      </w:r>
      <w:r>
        <w:rPr>
          <w:w w:val="95"/>
        </w:rPr>
        <w:t>de</w:t>
      </w:r>
      <w:r>
        <w:rPr>
          <w:spacing w:val="-12"/>
          <w:w w:val="95"/>
        </w:rPr>
        <w:t> </w:t>
      </w:r>
      <w:r>
        <w:rPr>
          <w:w w:val="95"/>
        </w:rPr>
        <w:t>apresentação,</w:t>
      </w:r>
      <w:r>
        <w:rPr>
          <w:spacing w:val="-10"/>
          <w:w w:val="95"/>
        </w:rPr>
        <w:t> </w:t>
      </w:r>
      <w:r>
        <w:rPr>
          <w:w w:val="95"/>
        </w:rPr>
        <w:t>além</w:t>
      </w:r>
      <w:r>
        <w:rPr>
          <w:spacing w:val="-9"/>
          <w:w w:val="95"/>
        </w:rPr>
        <w:t> </w:t>
      </w:r>
      <w:r>
        <w:rPr>
          <w:w w:val="95"/>
        </w:rPr>
        <w:t>de</w:t>
      </w:r>
      <w:r>
        <w:rPr>
          <w:spacing w:val="-11"/>
          <w:w w:val="95"/>
        </w:rPr>
        <w:t> </w:t>
      </w:r>
      <w:r>
        <w:rPr>
          <w:w w:val="95"/>
        </w:rPr>
        <w:t>atender</w:t>
      </w:r>
      <w:r>
        <w:rPr>
          <w:spacing w:val="-11"/>
          <w:w w:val="95"/>
        </w:rPr>
        <w:t> </w:t>
      </w:r>
      <w:r>
        <w:rPr>
          <w:w w:val="95"/>
        </w:rPr>
        <w:t>aos</w:t>
      </w:r>
      <w:r>
        <w:rPr>
          <w:spacing w:val="-10"/>
          <w:w w:val="95"/>
        </w:rPr>
        <w:t> </w:t>
      </w:r>
      <w:r>
        <w:rPr>
          <w:w w:val="95"/>
        </w:rPr>
        <w:t>preceitos</w:t>
      </w:r>
      <w:r>
        <w:rPr>
          <w:spacing w:val="-10"/>
          <w:w w:val="95"/>
        </w:rPr>
        <w:t> </w:t>
      </w:r>
      <w:r>
        <w:rPr>
          <w:w w:val="95"/>
        </w:rPr>
        <w:t>da</w:t>
      </w:r>
      <w:r>
        <w:rPr>
          <w:spacing w:val="-2"/>
          <w:w w:val="95"/>
        </w:rPr>
        <w:t> </w:t>
      </w:r>
      <w:r>
        <w:rPr>
          <w:w w:val="95"/>
        </w:rPr>
        <w:t>Contabilidade</w:t>
      </w:r>
      <w:r>
        <w:rPr>
          <w:spacing w:val="-8"/>
          <w:w w:val="95"/>
        </w:rPr>
        <w:t> </w:t>
      </w:r>
      <w:r>
        <w:rPr>
          <w:w w:val="95"/>
        </w:rPr>
        <w:t>Societária,</w:t>
      </w:r>
      <w:r>
        <w:rPr>
          <w:spacing w:val="-10"/>
          <w:w w:val="95"/>
        </w:rPr>
        <w:t> </w:t>
      </w:r>
      <w:r>
        <w:rPr>
          <w:w w:val="95"/>
        </w:rPr>
        <w:t>resulta</w:t>
      </w:r>
      <w:r>
        <w:rPr>
          <w:spacing w:val="-10"/>
          <w:w w:val="95"/>
        </w:rPr>
        <w:t> </w:t>
      </w:r>
      <w:r>
        <w:rPr>
          <w:w w:val="95"/>
        </w:rPr>
        <w:t>em </w:t>
      </w:r>
      <w:r>
        <w:rPr/>
        <w:t>uma</w:t>
      </w:r>
      <w:r>
        <w:rPr>
          <w:spacing w:val="-22"/>
        </w:rPr>
        <w:t> </w:t>
      </w:r>
      <w:r>
        <w:rPr/>
        <w:t>informação</w:t>
      </w:r>
      <w:r>
        <w:rPr>
          <w:spacing w:val="-23"/>
        </w:rPr>
        <w:t> </w:t>
      </w:r>
      <w:r>
        <w:rPr/>
        <w:t>mais</w:t>
      </w:r>
      <w:r>
        <w:rPr>
          <w:spacing w:val="-23"/>
        </w:rPr>
        <w:t> </w:t>
      </w:r>
      <w:r>
        <w:rPr/>
        <w:t>confiável</w:t>
      </w:r>
      <w:r>
        <w:rPr>
          <w:spacing w:val="-22"/>
        </w:rPr>
        <w:t> </w:t>
      </w:r>
      <w:r>
        <w:rPr/>
        <w:t>e</w:t>
      </w:r>
      <w:r>
        <w:rPr>
          <w:spacing w:val="-23"/>
        </w:rPr>
        <w:t> </w:t>
      </w:r>
      <w:r>
        <w:rPr/>
        <w:t>relevante</w:t>
      </w:r>
      <w:r>
        <w:rPr>
          <w:spacing w:val="-22"/>
        </w:rPr>
        <w:t> </w:t>
      </w:r>
      <w:r>
        <w:rPr/>
        <w:t>para</w:t>
      </w:r>
      <w:r>
        <w:rPr>
          <w:spacing w:val="-21"/>
        </w:rPr>
        <w:t> </w:t>
      </w:r>
      <w:r>
        <w:rPr/>
        <w:t>a</w:t>
      </w:r>
      <w:r>
        <w:rPr>
          <w:spacing w:val="-22"/>
        </w:rPr>
        <w:t> </w:t>
      </w:r>
      <w:r>
        <w:rPr/>
        <w:t>compreensão</w:t>
      </w:r>
      <w:r>
        <w:rPr>
          <w:spacing w:val="-24"/>
        </w:rPr>
        <w:t> </w:t>
      </w:r>
      <w:r>
        <w:rPr/>
        <w:t>dos</w:t>
      </w:r>
      <w:r>
        <w:rPr>
          <w:spacing w:val="-21"/>
        </w:rPr>
        <w:t> </w:t>
      </w:r>
      <w:r>
        <w:rPr/>
        <w:t>efeitos</w:t>
      </w:r>
      <w:r>
        <w:rPr>
          <w:spacing w:val="-21"/>
        </w:rPr>
        <w:t> </w:t>
      </w:r>
      <w:r>
        <w:rPr/>
        <w:t>destas</w:t>
      </w:r>
      <w:r>
        <w:rPr>
          <w:spacing w:val="-21"/>
        </w:rPr>
        <w:t> </w:t>
      </w:r>
      <w:r>
        <w:rPr/>
        <w:t>transações</w:t>
      </w:r>
      <w:r>
        <w:rPr>
          <w:spacing w:val="-23"/>
        </w:rPr>
        <w:t> </w:t>
      </w:r>
      <w:r>
        <w:rPr/>
        <w:t>nas</w:t>
      </w:r>
      <w:r>
        <w:rPr>
          <w:spacing w:val="-21"/>
        </w:rPr>
        <w:t> </w:t>
      </w:r>
      <w:r>
        <w:rPr/>
        <w:t>Demonstrações Financeiras.</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A</w:t>
      </w:r>
      <w:r>
        <w:rPr>
          <w:rFonts w:ascii="Caladea" w:hAnsi="Caladea"/>
          <w:b/>
          <w:sz w:val="18"/>
        </w:rPr>
        <w:t>TIVO </w:t>
      </w:r>
      <w:r>
        <w:rPr>
          <w:rFonts w:ascii="Caladea" w:hAnsi="Caladea"/>
          <w:b/>
          <w:sz w:val="22"/>
        </w:rPr>
        <w:t>N</w:t>
      </w:r>
      <w:r>
        <w:rPr>
          <w:rFonts w:ascii="Caladea" w:hAnsi="Caladea"/>
          <w:b/>
          <w:sz w:val="18"/>
        </w:rPr>
        <w:t>ÃO </w:t>
      </w:r>
      <w:r>
        <w:rPr>
          <w:rFonts w:ascii="Caladea" w:hAnsi="Caladea"/>
          <w:b/>
          <w:sz w:val="22"/>
        </w:rPr>
        <w:t>C</w:t>
      </w:r>
      <w:r>
        <w:rPr>
          <w:rFonts w:ascii="Caladea" w:hAnsi="Caladea"/>
          <w:b/>
          <w:sz w:val="18"/>
        </w:rPr>
        <w:t>IRCULANTE </w:t>
      </w:r>
      <w:r>
        <w:rPr>
          <w:rFonts w:ascii="Caladea" w:hAnsi="Caladea"/>
          <w:b/>
          <w:sz w:val="22"/>
        </w:rPr>
        <w:t>M</w:t>
      </w:r>
      <w:r>
        <w:rPr>
          <w:rFonts w:ascii="Caladea" w:hAnsi="Caladea"/>
          <w:b/>
          <w:sz w:val="18"/>
        </w:rPr>
        <w:t>ANTIDO PARA</w:t>
      </w:r>
      <w:r>
        <w:rPr>
          <w:rFonts w:ascii="Caladea" w:hAnsi="Caladea"/>
          <w:b/>
          <w:spacing w:val="2"/>
          <w:sz w:val="18"/>
        </w:rPr>
        <w:t> </w:t>
      </w:r>
      <w:r>
        <w:rPr>
          <w:rFonts w:ascii="Caladea" w:hAnsi="Caladea"/>
          <w:b/>
          <w:sz w:val="22"/>
        </w:rPr>
        <w:t>V</w:t>
      </w:r>
      <w:r>
        <w:rPr>
          <w:rFonts w:ascii="Caladea" w:hAnsi="Caladea"/>
          <w:b/>
          <w:sz w:val="18"/>
        </w:rPr>
        <w:t>ENDA</w:t>
      </w:r>
    </w:p>
    <w:p>
      <w:pPr>
        <w:pStyle w:val="BodyText"/>
        <w:spacing w:before="10"/>
        <w:rPr>
          <w:rFonts w:ascii="Caladea"/>
          <w:b/>
          <w:sz w:val="23"/>
        </w:rPr>
      </w:pPr>
    </w:p>
    <w:p>
      <w:pPr>
        <w:pStyle w:val="BodyText"/>
        <w:spacing w:line="242" w:lineRule="auto"/>
        <w:ind w:left="192" w:right="609"/>
        <w:jc w:val="both"/>
      </w:pPr>
      <w:r>
        <w:rPr/>
        <w:t>A</w:t>
      </w:r>
      <w:r>
        <w:rPr>
          <w:spacing w:val="-28"/>
        </w:rPr>
        <w:t> </w:t>
      </w:r>
      <w:r>
        <w:rPr/>
        <w:t>Companhia</w:t>
      </w:r>
      <w:r>
        <w:rPr>
          <w:spacing w:val="-27"/>
        </w:rPr>
        <w:t> </w:t>
      </w:r>
      <w:r>
        <w:rPr/>
        <w:t>classifica</w:t>
      </w:r>
      <w:r>
        <w:rPr>
          <w:spacing w:val="-26"/>
        </w:rPr>
        <w:t> </w:t>
      </w:r>
      <w:r>
        <w:rPr/>
        <w:t>um</w:t>
      </w:r>
      <w:r>
        <w:rPr>
          <w:spacing w:val="-28"/>
        </w:rPr>
        <w:t> </w:t>
      </w:r>
      <w:r>
        <w:rPr/>
        <w:t>ativo</w:t>
      </w:r>
      <w:r>
        <w:rPr>
          <w:spacing w:val="-26"/>
        </w:rPr>
        <w:t> </w:t>
      </w:r>
      <w:r>
        <w:rPr/>
        <w:t>não</w:t>
      </w:r>
      <w:r>
        <w:rPr>
          <w:spacing w:val="-27"/>
        </w:rPr>
        <w:t> </w:t>
      </w:r>
      <w:r>
        <w:rPr/>
        <w:t>circulante</w:t>
      </w:r>
      <w:r>
        <w:rPr>
          <w:spacing w:val="-28"/>
        </w:rPr>
        <w:t> </w:t>
      </w:r>
      <w:r>
        <w:rPr/>
        <w:t>como</w:t>
      </w:r>
      <w:r>
        <w:rPr>
          <w:spacing w:val="-26"/>
        </w:rPr>
        <w:t> </w:t>
      </w:r>
      <w:r>
        <w:rPr/>
        <w:t>mantido</w:t>
      </w:r>
      <w:r>
        <w:rPr>
          <w:spacing w:val="-27"/>
        </w:rPr>
        <w:t> </w:t>
      </w:r>
      <w:r>
        <w:rPr/>
        <w:t>para</w:t>
      </w:r>
      <w:r>
        <w:rPr>
          <w:spacing w:val="-27"/>
        </w:rPr>
        <w:t> </w:t>
      </w:r>
      <w:r>
        <w:rPr/>
        <w:t>a</w:t>
      </w:r>
      <w:r>
        <w:rPr>
          <w:spacing w:val="-25"/>
        </w:rPr>
        <w:t> </w:t>
      </w:r>
      <w:r>
        <w:rPr/>
        <w:t>venda,</w:t>
      </w:r>
      <w:r>
        <w:rPr>
          <w:spacing w:val="-27"/>
        </w:rPr>
        <w:t> </w:t>
      </w:r>
      <w:r>
        <w:rPr/>
        <w:t>se</w:t>
      </w:r>
      <w:r>
        <w:rPr>
          <w:spacing w:val="-28"/>
        </w:rPr>
        <w:t> </w:t>
      </w:r>
      <w:r>
        <w:rPr/>
        <w:t>o</w:t>
      </w:r>
      <w:r>
        <w:rPr>
          <w:spacing w:val="-27"/>
        </w:rPr>
        <w:t> </w:t>
      </w:r>
      <w:r>
        <w:rPr/>
        <w:t>seu</w:t>
      </w:r>
      <w:r>
        <w:rPr>
          <w:spacing w:val="-26"/>
        </w:rPr>
        <w:t> </w:t>
      </w:r>
      <w:r>
        <w:rPr/>
        <w:t>valor</w:t>
      </w:r>
      <w:r>
        <w:rPr>
          <w:spacing w:val="-28"/>
        </w:rPr>
        <w:t> </w:t>
      </w:r>
      <w:r>
        <w:rPr/>
        <w:t>contábil</w:t>
      </w:r>
      <w:r>
        <w:rPr>
          <w:spacing w:val="-26"/>
        </w:rPr>
        <w:t> </w:t>
      </w:r>
      <w:r>
        <w:rPr/>
        <w:t>for</w:t>
      </w:r>
      <w:r>
        <w:rPr>
          <w:spacing w:val="-27"/>
        </w:rPr>
        <w:t> </w:t>
      </w:r>
      <w:r>
        <w:rPr/>
        <w:t>recuperável por</w:t>
      </w:r>
      <w:r>
        <w:rPr>
          <w:spacing w:val="-43"/>
        </w:rPr>
        <w:t> </w:t>
      </w:r>
      <w:r>
        <w:rPr/>
        <w:t>meio</w:t>
      </w:r>
      <w:r>
        <w:rPr>
          <w:spacing w:val="-41"/>
        </w:rPr>
        <w:t> </w:t>
      </w:r>
      <w:r>
        <w:rPr/>
        <w:t>de</w:t>
      </w:r>
      <w:r>
        <w:rPr>
          <w:spacing w:val="-43"/>
        </w:rPr>
        <w:t> </w:t>
      </w:r>
      <w:r>
        <w:rPr/>
        <w:t>transação</w:t>
      </w:r>
      <w:r>
        <w:rPr>
          <w:spacing w:val="-43"/>
        </w:rPr>
        <w:t> </w:t>
      </w:r>
      <w:r>
        <w:rPr/>
        <w:t>de</w:t>
      </w:r>
      <w:r>
        <w:rPr>
          <w:spacing w:val="-43"/>
        </w:rPr>
        <w:t> </w:t>
      </w:r>
      <w:r>
        <w:rPr/>
        <w:t>alienação.</w:t>
      </w:r>
      <w:r>
        <w:rPr>
          <w:spacing w:val="-42"/>
        </w:rPr>
        <w:t> </w:t>
      </w:r>
      <w:r>
        <w:rPr/>
        <w:t>Neste</w:t>
      </w:r>
      <w:r>
        <w:rPr>
          <w:spacing w:val="-42"/>
        </w:rPr>
        <w:t> </w:t>
      </w:r>
      <w:r>
        <w:rPr/>
        <w:t>caso,</w:t>
      </w:r>
      <w:r>
        <w:rPr>
          <w:spacing w:val="-43"/>
        </w:rPr>
        <w:t> </w:t>
      </w:r>
      <w:r>
        <w:rPr/>
        <w:t>deve</w:t>
      </w:r>
      <w:r>
        <w:rPr>
          <w:spacing w:val="-42"/>
        </w:rPr>
        <w:t> </w:t>
      </w:r>
      <w:r>
        <w:rPr/>
        <w:t>estar</w:t>
      </w:r>
      <w:r>
        <w:rPr>
          <w:spacing w:val="-42"/>
        </w:rPr>
        <w:t> </w:t>
      </w:r>
      <w:r>
        <w:rPr/>
        <w:t>disponível</w:t>
      </w:r>
      <w:r>
        <w:rPr>
          <w:spacing w:val="-42"/>
        </w:rPr>
        <w:t> </w:t>
      </w:r>
      <w:r>
        <w:rPr/>
        <w:t>para</w:t>
      </w:r>
      <w:r>
        <w:rPr>
          <w:spacing w:val="-42"/>
        </w:rPr>
        <w:t> </w:t>
      </w:r>
      <w:r>
        <w:rPr/>
        <w:t>venda</w:t>
      </w:r>
      <w:r>
        <w:rPr>
          <w:spacing w:val="-41"/>
        </w:rPr>
        <w:t> </w:t>
      </w:r>
      <w:r>
        <w:rPr/>
        <w:t>imediata</w:t>
      </w:r>
      <w:r>
        <w:rPr>
          <w:spacing w:val="-42"/>
        </w:rPr>
        <w:t> </w:t>
      </w:r>
      <w:r>
        <w:rPr/>
        <w:t>em</w:t>
      </w:r>
      <w:r>
        <w:rPr>
          <w:spacing w:val="-41"/>
        </w:rPr>
        <w:t> </w:t>
      </w:r>
      <w:r>
        <w:rPr/>
        <w:t>suas</w:t>
      </w:r>
      <w:r>
        <w:rPr>
          <w:spacing w:val="-42"/>
        </w:rPr>
        <w:t> </w:t>
      </w:r>
      <w:r>
        <w:rPr/>
        <w:t>condições</w:t>
      </w:r>
      <w:r>
        <w:rPr>
          <w:spacing w:val="-41"/>
        </w:rPr>
        <w:t> </w:t>
      </w:r>
      <w:r>
        <w:rPr/>
        <w:t>atuais, </w:t>
      </w:r>
      <w:r>
        <w:rPr>
          <w:w w:val="95"/>
        </w:rPr>
        <w:t>sujeito</w:t>
      </w:r>
      <w:r>
        <w:rPr>
          <w:spacing w:val="-15"/>
          <w:w w:val="95"/>
        </w:rPr>
        <w:t> </w:t>
      </w:r>
      <w:r>
        <w:rPr>
          <w:w w:val="95"/>
        </w:rPr>
        <w:t>apenas</w:t>
      </w:r>
      <w:r>
        <w:rPr>
          <w:spacing w:val="-17"/>
          <w:w w:val="95"/>
        </w:rPr>
        <w:t> </w:t>
      </w:r>
      <w:r>
        <w:rPr>
          <w:w w:val="95"/>
        </w:rPr>
        <w:t>aos</w:t>
      </w:r>
      <w:r>
        <w:rPr>
          <w:spacing w:val="-17"/>
          <w:w w:val="95"/>
        </w:rPr>
        <w:t> </w:t>
      </w:r>
      <w:r>
        <w:rPr>
          <w:w w:val="95"/>
        </w:rPr>
        <w:t>procedimentos</w:t>
      </w:r>
      <w:r>
        <w:rPr>
          <w:spacing w:val="-17"/>
          <w:w w:val="95"/>
        </w:rPr>
        <w:t> </w:t>
      </w:r>
      <w:r>
        <w:rPr>
          <w:w w:val="95"/>
        </w:rPr>
        <w:t>habituais</w:t>
      </w:r>
      <w:r>
        <w:rPr>
          <w:spacing w:val="-14"/>
          <w:w w:val="95"/>
        </w:rPr>
        <w:t> </w:t>
      </w:r>
      <w:r>
        <w:rPr>
          <w:w w:val="95"/>
        </w:rPr>
        <w:t>para</w:t>
      </w:r>
      <w:r>
        <w:rPr>
          <w:spacing w:val="-16"/>
          <w:w w:val="95"/>
        </w:rPr>
        <w:t> </w:t>
      </w:r>
      <w:r>
        <w:rPr>
          <w:w w:val="95"/>
        </w:rPr>
        <w:t>operações</w:t>
      </w:r>
      <w:r>
        <w:rPr>
          <w:spacing w:val="-17"/>
          <w:w w:val="95"/>
        </w:rPr>
        <w:t> </w:t>
      </w:r>
      <w:r>
        <w:rPr>
          <w:w w:val="95"/>
        </w:rPr>
        <w:t>desta</w:t>
      </w:r>
      <w:r>
        <w:rPr>
          <w:spacing w:val="-17"/>
          <w:w w:val="95"/>
        </w:rPr>
        <w:t> </w:t>
      </w:r>
      <w:r>
        <w:rPr>
          <w:w w:val="95"/>
        </w:rPr>
        <w:t>natureza.</w:t>
      </w:r>
      <w:r>
        <w:rPr>
          <w:spacing w:val="-17"/>
          <w:w w:val="95"/>
        </w:rPr>
        <w:t> </w:t>
      </w:r>
      <w:r>
        <w:rPr>
          <w:w w:val="95"/>
        </w:rPr>
        <w:t>Além</w:t>
      </w:r>
      <w:r>
        <w:rPr>
          <w:spacing w:val="-18"/>
          <w:w w:val="95"/>
        </w:rPr>
        <w:t> </w:t>
      </w:r>
      <w:r>
        <w:rPr>
          <w:w w:val="95"/>
        </w:rPr>
        <w:t>disso,</w:t>
      </w:r>
      <w:r>
        <w:rPr>
          <w:spacing w:val="-17"/>
          <w:w w:val="95"/>
        </w:rPr>
        <w:t> </w:t>
      </w:r>
      <w:r>
        <w:rPr>
          <w:w w:val="95"/>
        </w:rPr>
        <w:t>sua</w:t>
      </w:r>
      <w:r>
        <w:rPr>
          <w:spacing w:val="-16"/>
          <w:w w:val="95"/>
        </w:rPr>
        <w:t> </w:t>
      </w:r>
      <w:r>
        <w:rPr>
          <w:w w:val="95"/>
        </w:rPr>
        <w:t>venda</w:t>
      </w:r>
      <w:r>
        <w:rPr>
          <w:spacing w:val="-16"/>
          <w:w w:val="95"/>
        </w:rPr>
        <w:t> </w:t>
      </w:r>
      <w:r>
        <w:rPr>
          <w:w w:val="95"/>
        </w:rPr>
        <w:t>deve</w:t>
      </w:r>
      <w:r>
        <w:rPr>
          <w:spacing w:val="-16"/>
          <w:w w:val="95"/>
        </w:rPr>
        <w:t> </w:t>
      </w:r>
      <w:r>
        <w:rPr>
          <w:w w:val="95"/>
        </w:rPr>
        <w:t>ser</w:t>
      </w:r>
      <w:r>
        <w:rPr>
          <w:spacing w:val="-16"/>
          <w:w w:val="95"/>
        </w:rPr>
        <w:t> </w:t>
      </w:r>
      <w:r>
        <w:rPr>
          <w:w w:val="95"/>
        </w:rPr>
        <w:t>altamente </w:t>
      </w:r>
      <w:r>
        <w:rPr/>
        <w:t>provável.</w:t>
      </w:r>
    </w:p>
    <w:p>
      <w:pPr>
        <w:pStyle w:val="BodyText"/>
        <w:spacing w:line="242" w:lineRule="auto" w:before="121"/>
        <w:ind w:left="192" w:right="611"/>
        <w:jc w:val="both"/>
      </w:pPr>
      <w:r>
        <w:rPr/>
        <w:t>A</w:t>
      </w:r>
      <w:r>
        <w:rPr>
          <w:spacing w:val="-37"/>
        </w:rPr>
        <w:t> </w:t>
      </w:r>
      <w:r>
        <w:rPr/>
        <w:t>Administração</w:t>
      </w:r>
      <w:r>
        <w:rPr>
          <w:spacing w:val="-38"/>
        </w:rPr>
        <w:t> </w:t>
      </w:r>
      <w:r>
        <w:rPr/>
        <w:t>deve</w:t>
      </w:r>
      <w:r>
        <w:rPr>
          <w:spacing w:val="-36"/>
        </w:rPr>
        <w:t> </w:t>
      </w:r>
      <w:r>
        <w:rPr/>
        <w:t>estar</w:t>
      </w:r>
      <w:r>
        <w:rPr>
          <w:spacing w:val="-35"/>
        </w:rPr>
        <w:t> </w:t>
      </w:r>
      <w:r>
        <w:rPr/>
        <w:t>comprometida</w:t>
      </w:r>
      <w:r>
        <w:rPr>
          <w:spacing w:val="-37"/>
        </w:rPr>
        <w:t> </w:t>
      </w:r>
      <w:r>
        <w:rPr/>
        <w:t>com</w:t>
      </w:r>
      <w:r>
        <w:rPr>
          <w:spacing w:val="-36"/>
        </w:rPr>
        <w:t> </w:t>
      </w:r>
      <w:r>
        <w:rPr/>
        <w:t>o</w:t>
      </w:r>
      <w:r>
        <w:rPr>
          <w:spacing w:val="-37"/>
        </w:rPr>
        <w:t> </w:t>
      </w:r>
      <w:r>
        <w:rPr/>
        <w:t>plano</w:t>
      </w:r>
      <w:r>
        <w:rPr>
          <w:spacing w:val="-37"/>
        </w:rPr>
        <w:t> </w:t>
      </w:r>
      <w:r>
        <w:rPr/>
        <w:t>de</w:t>
      </w:r>
      <w:r>
        <w:rPr>
          <w:spacing w:val="-37"/>
        </w:rPr>
        <w:t> </w:t>
      </w:r>
      <w:r>
        <w:rPr/>
        <w:t>venda</w:t>
      </w:r>
      <w:r>
        <w:rPr>
          <w:spacing w:val="-37"/>
        </w:rPr>
        <w:t> </w:t>
      </w:r>
      <w:r>
        <w:rPr/>
        <w:t>do</w:t>
      </w:r>
      <w:r>
        <w:rPr>
          <w:spacing w:val="-38"/>
        </w:rPr>
        <w:t> </w:t>
      </w:r>
      <w:r>
        <w:rPr/>
        <w:t>ativo,</w:t>
      </w:r>
      <w:r>
        <w:rPr>
          <w:spacing w:val="-36"/>
        </w:rPr>
        <w:t> </w:t>
      </w:r>
      <w:r>
        <w:rPr/>
        <w:t>e</w:t>
      </w:r>
      <w:r>
        <w:rPr>
          <w:spacing w:val="-38"/>
        </w:rPr>
        <w:t> </w:t>
      </w:r>
      <w:r>
        <w:rPr/>
        <w:t>iniciar</w:t>
      </w:r>
      <w:r>
        <w:rPr>
          <w:spacing w:val="-38"/>
        </w:rPr>
        <w:t> </w:t>
      </w:r>
      <w:r>
        <w:rPr/>
        <w:t>um</w:t>
      </w:r>
      <w:r>
        <w:rPr>
          <w:spacing w:val="-37"/>
        </w:rPr>
        <w:t> </w:t>
      </w:r>
      <w:r>
        <w:rPr/>
        <w:t>programa</w:t>
      </w:r>
      <w:r>
        <w:rPr>
          <w:spacing w:val="-36"/>
        </w:rPr>
        <w:t> </w:t>
      </w:r>
      <w:r>
        <w:rPr/>
        <w:t>firme</w:t>
      </w:r>
      <w:r>
        <w:rPr>
          <w:spacing w:val="-36"/>
        </w:rPr>
        <w:t> </w:t>
      </w:r>
      <w:r>
        <w:rPr/>
        <w:t>para</w:t>
      </w:r>
      <w:r>
        <w:rPr>
          <w:spacing w:val="-37"/>
        </w:rPr>
        <w:t> </w:t>
      </w:r>
      <w:r>
        <w:rPr/>
        <w:t>localizar um</w:t>
      </w:r>
      <w:r>
        <w:rPr>
          <w:spacing w:val="-37"/>
        </w:rPr>
        <w:t> </w:t>
      </w:r>
      <w:r>
        <w:rPr/>
        <w:t>comprador</w:t>
      </w:r>
      <w:r>
        <w:rPr>
          <w:spacing w:val="-35"/>
        </w:rPr>
        <w:t> </w:t>
      </w:r>
      <w:r>
        <w:rPr/>
        <w:t>e</w:t>
      </w:r>
      <w:r>
        <w:rPr>
          <w:spacing w:val="-36"/>
        </w:rPr>
        <w:t> </w:t>
      </w:r>
      <w:r>
        <w:rPr/>
        <w:t>concluir</w:t>
      </w:r>
      <w:r>
        <w:rPr>
          <w:spacing w:val="-36"/>
        </w:rPr>
        <w:t> </w:t>
      </w:r>
      <w:r>
        <w:rPr/>
        <w:t>o</w:t>
      </w:r>
      <w:r>
        <w:rPr>
          <w:spacing w:val="-34"/>
        </w:rPr>
        <w:t> </w:t>
      </w:r>
      <w:r>
        <w:rPr/>
        <w:t>plano.</w:t>
      </w:r>
      <w:r>
        <w:rPr>
          <w:spacing w:val="-35"/>
        </w:rPr>
        <w:t> </w:t>
      </w:r>
      <w:r>
        <w:rPr/>
        <w:t>O</w:t>
      </w:r>
      <w:r>
        <w:rPr>
          <w:spacing w:val="-37"/>
        </w:rPr>
        <w:t> </w:t>
      </w:r>
      <w:r>
        <w:rPr/>
        <w:t>ativo</w:t>
      </w:r>
      <w:r>
        <w:rPr>
          <w:spacing w:val="-35"/>
        </w:rPr>
        <w:t> </w:t>
      </w:r>
      <w:r>
        <w:rPr/>
        <w:t>mantido</w:t>
      </w:r>
      <w:r>
        <w:rPr>
          <w:spacing w:val="-35"/>
        </w:rPr>
        <w:t> </w:t>
      </w:r>
      <w:r>
        <w:rPr/>
        <w:t>para</w:t>
      </w:r>
      <w:r>
        <w:rPr>
          <w:spacing w:val="-35"/>
        </w:rPr>
        <w:t> </w:t>
      </w:r>
      <w:r>
        <w:rPr/>
        <w:t>alienação</w:t>
      </w:r>
      <w:r>
        <w:rPr>
          <w:spacing w:val="-36"/>
        </w:rPr>
        <w:t> </w:t>
      </w:r>
      <w:r>
        <w:rPr/>
        <w:t>deve</w:t>
      </w:r>
      <w:r>
        <w:rPr>
          <w:spacing w:val="-36"/>
        </w:rPr>
        <w:t> </w:t>
      </w:r>
      <w:r>
        <w:rPr/>
        <w:t>ser</w:t>
      </w:r>
      <w:r>
        <w:rPr>
          <w:spacing w:val="-35"/>
        </w:rPr>
        <w:t> </w:t>
      </w:r>
      <w:r>
        <w:rPr/>
        <w:t>efetivamente</w:t>
      </w:r>
      <w:r>
        <w:rPr>
          <w:spacing w:val="-36"/>
        </w:rPr>
        <w:t> </w:t>
      </w:r>
      <w:r>
        <w:rPr/>
        <w:t>colocado</w:t>
      </w:r>
      <w:r>
        <w:rPr>
          <w:spacing w:val="-37"/>
        </w:rPr>
        <w:t> </w:t>
      </w:r>
      <w:r>
        <w:rPr/>
        <w:t>à</w:t>
      </w:r>
      <w:r>
        <w:rPr>
          <w:spacing w:val="-35"/>
        </w:rPr>
        <w:t> </w:t>
      </w:r>
      <w:r>
        <w:rPr/>
        <w:t>venda</w:t>
      </w:r>
      <w:r>
        <w:rPr>
          <w:spacing w:val="-35"/>
        </w:rPr>
        <w:t> </w:t>
      </w:r>
      <w:r>
        <w:rPr/>
        <w:t>por</w:t>
      </w:r>
      <w:r>
        <w:rPr>
          <w:spacing w:val="-36"/>
        </w:rPr>
        <w:t> </w:t>
      </w:r>
      <w:r>
        <w:rPr/>
        <w:t>preço que</w:t>
      </w:r>
      <w:r>
        <w:rPr>
          <w:spacing w:val="-47"/>
        </w:rPr>
        <w:t> </w:t>
      </w:r>
      <w:r>
        <w:rPr/>
        <w:t>seja</w:t>
      </w:r>
      <w:r>
        <w:rPr>
          <w:spacing w:val="-46"/>
        </w:rPr>
        <w:t> </w:t>
      </w:r>
      <w:r>
        <w:rPr/>
        <w:t>razoável</w:t>
      </w:r>
      <w:r>
        <w:rPr>
          <w:spacing w:val="-45"/>
        </w:rPr>
        <w:t> </w:t>
      </w:r>
      <w:r>
        <w:rPr/>
        <w:t>em</w:t>
      </w:r>
      <w:r>
        <w:rPr>
          <w:spacing w:val="-46"/>
        </w:rPr>
        <w:t> </w:t>
      </w:r>
      <w:r>
        <w:rPr/>
        <w:t>relação</w:t>
      </w:r>
      <w:r>
        <w:rPr>
          <w:spacing w:val="-46"/>
        </w:rPr>
        <w:t> </w:t>
      </w:r>
      <w:r>
        <w:rPr/>
        <w:t>ao</w:t>
      </w:r>
      <w:r>
        <w:rPr>
          <w:spacing w:val="-46"/>
        </w:rPr>
        <w:t> </w:t>
      </w:r>
      <w:r>
        <w:rPr/>
        <w:t>seu</w:t>
      </w:r>
      <w:r>
        <w:rPr>
          <w:spacing w:val="-46"/>
        </w:rPr>
        <w:t> </w:t>
      </w:r>
      <w:r>
        <w:rPr/>
        <w:t>valor</w:t>
      </w:r>
      <w:r>
        <w:rPr>
          <w:spacing w:val="-46"/>
        </w:rPr>
        <w:t> </w:t>
      </w:r>
      <w:r>
        <w:rPr/>
        <w:t>justo</w:t>
      </w:r>
      <w:r>
        <w:rPr>
          <w:spacing w:val="-46"/>
        </w:rPr>
        <w:t> </w:t>
      </w:r>
      <w:r>
        <w:rPr/>
        <w:t>corrente.</w:t>
      </w:r>
      <w:r>
        <w:rPr>
          <w:spacing w:val="-46"/>
        </w:rPr>
        <w:t> </w:t>
      </w:r>
      <w:r>
        <w:rPr/>
        <w:t>Espera-se,</w:t>
      </w:r>
      <w:r>
        <w:rPr>
          <w:spacing w:val="-46"/>
        </w:rPr>
        <w:t> </w:t>
      </w:r>
      <w:r>
        <w:rPr/>
        <w:t>ainda,</w:t>
      </w:r>
      <w:r>
        <w:rPr>
          <w:spacing w:val="-45"/>
        </w:rPr>
        <w:t> </w:t>
      </w:r>
      <w:r>
        <w:rPr/>
        <w:t>que</w:t>
      </w:r>
      <w:r>
        <w:rPr>
          <w:spacing w:val="-46"/>
        </w:rPr>
        <w:t> </w:t>
      </w:r>
      <w:r>
        <w:rPr/>
        <w:t>a</w:t>
      </w:r>
      <w:r>
        <w:rPr>
          <w:spacing w:val="-45"/>
        </w:rPr>
        <w:t> </w:t>
      </w:r>
      <w:r>
        <w:rPr/>
        <w:t>operação</w:t>
      </w:r>
      <w:r>
        <w:rPr>
          <w:spacing w:val="-46"/>
        </w:rPr>
        <w:t> </w:t>
      </w:r>
      <w:r>
        <w:rPr/>
        <w:t>de</w:t>
      </w:r>
      <w:r>
        <w:rPr>
          <w:spacing w:val="-47"/>
        </w:rPr>
        <w:t> </w:t>
      </w:r>
      <w:r>
        <w:rPr/>
        <w:t>desmobilização</w:t>
      </w:r>
      <w:r>
        <w:rPr>
          <w:spacing w:val="-46"/>
        </w:rPr>
        <w:t> </w:t>
      </w:r>
      <w:r>
        <w:rPr/>
        <w:t>do</w:t>
      </w:r>
      <w:r>
        <w:rPr>
          <w:spacing w:val="-46"/>
        </w:rPr>
        <w:t> </w:t>
      </w:r>
      <w:r>
        <w:rPr/>
        <w:t>ativo seja</w:t>
      </w:r>
      <w:r>
        <w:rPr>
          <w:spacing w:val="-20"/>
        </w:rPr>
        <w:t> </w:t>
      </w:r>
      <w:r>
        <w:rPr/>
        <w:t>concluída</w:t>
      </w:r>
      <w:r>
        <w:rPr>
          <w:spacing w:val="-17"/>
        </w:rPr>
        <w:t> </w:t>
      </w:r>
      <w:r>
        <w:rPr/>
        <w:t>em</w:t>
      </w:r>
      <w:r>
        <w:rPr>
          <w:spacing w:val="-20"/>
        </w:rPr>
        <w:t> </w:t>
      </w:r>
      <w:r>
        <w:rPr/>
        <w:t>até</w:t>
      </w:r>
      <w:r>
        <w:rPr>
          <w:spacing w:val="-22"/>
        </w:rPr>
        <w:t> </w:t>
      </w:r>
      <w:r>
        <w:rPr/>
        <w:t>um</w:t>
      </w:r>
      <w:r>
        <w:rPr>
          <w:spacing w:val="-20"/>
        </w:rPr>
        <w:t> </w:t>
      </w:r>
      <w:r>
        <w:rPr/>
        <w:t>ano</w:t>
      </w:r>
      <w:r>
        <w:rPr>
          <w:spacing w:val="-20"/>
        </w:rPr>
        <w:t> </w:t>
      </w:r>
      <w:r>
        <w:rPr/>
        <w:t>a</w:t>
      </w:r>
      <w:r>
        <w:rPr>
          <w:spacing w:val="-20"/>
        </w:rPr>
        <w:t> </w:t>
      </w:r>
      <w:r>
        <w:rPr/>
        <w:t>partir</w:t>
      </w:r>
      <w:r>
        <w:rPr>
          <w:spacing w:val="-19"/>
        </w:rPr>
        <w:t> </w:t>
      </w:r>
      <w:r>
        <w:rPr/>
        <w:t>da</w:t>
      </w:r>
      <w:r>
        <w:rPr>
          <w:spacing w:val="-19"/>
        </w:rPr>
        <w:t> </w:t>
      </w:r>
      <w:r>
        <w:rPr/>
        <w:t>data</w:t>
      </w:r>
      <w:r>
        <w:rPr>
          <w:spacing w:val="-20"/>
        </w:rPr>
        <w:t> </w:t>
      </w:r>
      <w:r>
        <w:rPr/>
        <w:t>da</w:t>
      </w:r>
      <w:r>
        <w:rPr>
          <w:spacing w:val="-19"/>
        </w:rPr>
        <w:t> </w:t>
      </w:r>
      <w:r>
        <w:rPr/>
        <w:t>classificação.</w:t>
      </w:r>
    </w:p>
    <w:p>
      <w:pPr>
        <w:pStyle w:val="BodyText"/>
        <w:spacing w:line="242" w:lineRule="auto" w:before="120"/>
        <w:ind w:left="192" w:right="605"/>
        <w:jc w:val="both"/>
      </w:pPr>
      <w:r>
        <w:rPr/>
        <w:t>O</w:t>
      </w:r>
      <w:r>
        <w:rPr>
          <w:spacing w:val="-24"/>
        </w:rPr>
        <w:t> </w:t>
      </w:r>
      <w:r>
        <w:rPr/>
        <w:t>grupo</w:t>
      </w:r>
      <w:r>
        <w:rPr>
          <w:spacing w:val="-22"/>
        </w:rPr>
        <w:t> </w:t>
      </w:r>
      <w:r>
        <w:rPr/>
        <w:t>de</w:t>
      </w:r>
      <w:r>
        <w:rPr>
          <w:spacing w:val="-24"/>
        </w:rPr>
        <w:t> </w:t>
      </w:r>
      <w:r>
        <w:rPr/>
        <w:t>ativos</w:t>
      </w:r>
      <w:r>
        <w:rPr>
          <w:spacing w:val="-22"/>
        </w:rPr>
        <w:t> </w:t>
      </w:r>
      <w:r>
        <w:rPr/>
        <w:t>mantidos</w:t>
      </w:r>
      <w:r>
        <w:rPr>
          <w:spacing w:val="-21"/>
        </w:rPr>
        <w:t> </w:t>
      </w:r>
      <w:r>
        <w:rPr/>
        <w:t>para</w:t>
      </w:r>
      <w:r>
        <w:rPr>
          <w:spacing w:val="-23"/>
        </w:rPr>
        <w:t> </w:t>
      </w:r>
      <w:r>
        <w:rPr/>
        <w:t>a</w:t>
      </w:r>
      <w:r>
        <w:rPr>
          <w:spacing w:val="-22"/>
        </w:rPr>
        <w:t> </w:t>
      </w:r>
      <w:r>
        <w:rPr/>
        <w:t>venda</w:t>
      </w:r>
      <w:r>
        <w:rPr>
          <w:spacing w:val="-23"/>
        </w:rPr>
        <w:t> </w:t>
      </w:r>
      <w:r>
        <w:rPr/>
        <w:t>é</w:t>
      </w:r>
      <w:r>
        <w:rPr>
          <w:spacing w:val="-23"/>
        </w:rPr>
        <w:t> </w:t>
      </w:r>
      <w:r>
        <w:rPr/>
        <w:t>mensurado</w:t>
      </w:r>
      <w:r>
        <w:rPr>
          <w:spacing w:val="-20"/>
        </w:rPr>
        <w:t> </w:t>
      </w:r>
      <w:r>
        <w:rPr/>
        <w:t>pelo</w:t>
      </w:r>
      <w:r>
        <w:rPr>
          <w:spacing w:val="-21"/>
        </w:rPr>
        <w:t> </w:t>
      </w:r>
      <w:r>
        <w:rPr/>
        <w:t>menor</w:t>
      </w:r>
      <w:r>
        <w:rPr>
          <w:spacing w:val="-23"/>
        </w:rPr>
        <w:t> </w:t>
      </w:r>
      <w:r>
        <w:rPr/>
        <w:t>valor</w:t>
      </w:r>
      <w:r>
        <w:rPr>
          <w:spacing w:val="-21"/>
        </w:rPr>
        <w:t> </w:t>
      </w:r>
      <w:r>
        <w:rPr/>
        <w:t>entre</w:t>
      </w:r>
      <w:r>
        <w:rPr>
          <w:spacing w:val="-23"/>
        </w:rPr>
        <w:t> </w:t>
      </w:r>
      <w:r>
        <w:rPr/>
        <w:t>seu</w:t>
      </w:r>
      <w:r>
        <w:rPr>
          <w:spacing w:val="-21"/>
        </w:rPr>
        <w:t> </w:t>
      </w:r>
      <w:r>
        <w:rPr/>
        <w:t>“valor</w:t>
      </w:r>
      <w:r>
        <w:rPr>
          <w:spacing w:val="-24"/>
        </w:rPr>
        <w:t> </w:t>
      </w:r>
      <w:r>
        <w:rPr/>
        <w:t>contábil”</w:t>
      </w:r>
      <w:r>
        <w:rPr>
          <w:spacing w:val="-22"/>
        </w:rPr>
        <w:t> </w:t>
      </w:r>
      <w:r>
        <w:rPr/>
        <w:t>e</w:t>
      </w:r>
      <w:r>
        <w:rPr>
          <w:spacing w:val="-22"/>
        </w:rPr>
        <w:t> </w:t>
      </w:r>
      <w:r>
        <w:rPr/>
        <w:t>o</w:t>
      </w:r>
      <w:r>
        <w:rPr>
          <w:spacing w:val="-22"/>
        </w:rPr>
        <w:t> </w:t>
      </w:r>
      <w:r>
        <w:rPr/>
        <w:t>“valor</w:t>
      </w:r>
      <w:r>
        <w:rPr>
          <w:spacing w:val="-23"/>
        </w:rPr>
        <w:t> </w:t>
      </w:r>
      <w:r>
        <w:rPr>
          <w:spacing w:val="3"/>
        </w:rPr>
        <w:t>justo </w:t>
      </w:r>
      <w:r>
        <w:rPr/>
        <w:t>menos</w:t>
      </w:r>
      <w:r>
        <w:rPr>
          <w:spacing w:val="-16"/>
        </w:rPr>
        <w:t> </w:t>
      </w:r>
      <w:r>
        <w:rPr/>
        <w:t>as</w:t>
      </w:r>
      <w:r>
        <w:rPr>
          <w:spacing w:val="-16"/>
        </w:rPr>
        <w:t> </w:t>
      </w:r>
      <w:r>
        <w:rPr/>
        <w:t>despesas</w:t>
      </w:r>
      <w:r>
        <w:rPr>
          <w:spacing w:val="-16"/>
        </w:rPr>
        <w:t> </w:t>
      </w:r>
      <w:r>
        <w:rPr/>
        <w:t>de</w:t>
      </w:r>
      <w:r>
        <w:rPr>
          <w:spacing w:val="-18"/>
        </w:rPr>
        <w:t> </w:t>
      </w:r>
      <w:r>
        <w:rPr/>
        <w:t>venda”.</w:t>
      </w:r>
      <w:r>
        <w:rPr>
          <w:spacing w:val="-16"/>
        </w:rPr>
        <w:t> </w:t>
      </w:r>
      <w:r>
        <w:rPr/>
        <w:t>Caso</w:t>
      </w:r>
      <w:r>
        <w:rPr>
          <w:spacing w:val="-17"/>
        </w:rPr>
        <w:t> </w:t>
      </w:r>
      <w:r>
        <w:rPr/>
        <w:t>o</w:t>
      </w:r>
      <w:r>
        <w:rPr>
          <w:spacing w:val="-17"/>
        </w:rPr>
        <w:t> </w:t>
      </w:r>
      <w:r>
        <w:rPr/>
        <w:t>valor</w:t>
      </w:r>
      <w:r>
        <w:rPr>
          <w:spacing w:val="-17"/>
        </w:rPr>
        <w:t> </w:t>
      </w:r>
      <w:r>
        <w:rPr/>
        <w:t>contábil</w:t>
      </w:r>
      <w:r>
        <w:rPr>
          <w:spacing w:val="-16"/>
        </w:rPr>
        <w:t> </w:t>
      </w:r>
      <w:r>
        <w:rPr/>
        <w:t>seja</w:t>
      </w:r>
      <w:r>
        <w:rPr>
          <w:spacing w:val="-16"/>
        </w:rPr>
        <w:t> </w:t>
      </w:r>
      <w:r>
        <w:rPr/>
        <w:t>superior</w:t>
      </w:r>
      <w:r>
        <w:rPr>
          <w:spacing w:val="-16"/>
        </w:rPr>
        <w:t> </w:t>
      </w:r>
      <w:r>
        <w:rPr/>
        <w:t>ao</w:t>
      </w:r>
      <w:r>
        <w:rPr>
          <w:spacing w:val="-17"/>
        </w:rPr>
        <w:t> </w:t>
      </w:r>
      <w:r>
        <w:rPr/>
        <w:t>seu</w:t>
      </w:r>
      <w:r>
        <w:rPr>
          <w:spacing w:val="-16"/>
        </w:rPr>
        <w:t> </w:t>
      </w:r>
      <w:r>
        <w:rPr/>
        <w:t>valor</w:t>
      </w:r>
      <w:r>
        <w:rPr>
          <w:spacing w:val="-17"/>
        </w:rPr>
        <w:t> </w:t>
      </w:r>
      <w:r>
        <w:rPr/>
        <w:t>justo,</w:t>
      </w:r>
      <w:r>
        <w:rPr>
          <w:spacing w:val="-17"/>
        </w:rPr>
        <w:t> </w:t>
      </w:r>
      <w:r>
        <w:rPr/>
        <w:t>uma</w:t>
      </w:r>
      <w:r>
        <w:rPr>
          <w:spacing w:val="-15"/>
        </w:rPr>
        <w:t> </w:t>
      </w:r>
      <w:r>
        <w:rPr/>
        <w:t>perda</w:t>
      </w:r>
      <w:r>
        <w:rPr>
          <w:spacing w:val="-16"/>
        </w:rPr>
        <w:t> </w:t>
      </w:r>
      <w:r>
        <w:rPr/>
        <w:t>por</w:t>
      </w:r>
      <w:r>
        <w:rPr>
          <w:spacing w:val="-7"/>
        </w:rPr>
        <w:t> </w:t>
      </w:r>
      <w:r>
        <w:rPr>
          <w:rFonts w:ascii="Caladea" w:hAnsi="Caladea"/>
          <w:i/>
        </w:rPr>
        <w:t>impairment</w:t>
      </w:r>
      <w:r>
        <w:rPr>
          <w:rFonts w:ascii="Caladea" w:hAnsi="Caladea"/>
          <w:i/>
          <w:spacing w:val="3"/>
        </w:rPr>
        <w:t> </w:t>
      </w:r>
      <w:r>
        <w:rPr/>
        <w:t>é reconhecida</w:t>
      </w:r>
      <w:r>
        <w:rPr>
          <w:spacing w:val="-16"/>
        </w:rPr>
        <w:t> </w:t>
      </w:r>
      <w:r>
        <w:rPr/>
        <w:t>em</w:t>
      </w:r>
      <w:r>
        <w:rPr>
          <w:spacing w:val="-17"/>
        </w:rPr>
        <w:t> </w:t>
      </w:r>
      <w:r>
        <w:rPr/>
        <w:t>contrapartida</w:t>
      </w:r>
      <w:r>
        <w:rPr>
          <w:spacing w:val="-17"/>
        </w:rPr>
        <w:t> </w:t>
      </w:r>
      <w:r>
        <w:rPr/>
        <w:t>do</w:t>
      </w:r>
      <w:r>
        <w:rPr>
          <w:spacing w:val="-16"/>
        </w:rPr>
        <w:t> </w:t>
      </w:r>
      <w:r>
        <w:rPr/>
        <w:t>resultado.</w:t>
      </w:r>
      <w:r>
        <w:rPr>
          <w:spacing w:val="-16"/>
        </w:rPr>
        <w:t> </w:t>
      </w:r>
      <w:r>
        <w:rPr/>
        <w:t>Qualquer</w:t>
      </w:r>
      <w:r>
        <w:rPr>
          <w:spacing w:val="-16"/>
        </w:rPr>
        <w:t> </w:t>
      </w:r>
      <w:r>
        <w:rPr/>
        <w:t>reversão</w:t>
      </w:r>
      <w:r>
        <w:rPr>
          <w:spacing w:val="-18"/>
        </w:rPr>
        <w:t> </w:t>
      </w:r>
      <w:r>
        <w:rPr/>
        <w:t>ou</w:t>
      </w:r>
      <w:r>
        <w:rPr>
          <w:spacing w:val="-16"/>
        </w:rPr>
        <w:t> </w:t>
      </w:r>
      <w:r>
        <w:rPr/>
        <w:t>ganho</w:t>
      </w:r>
      <w:r>
        <w:rPr>
          <w:spacing w:val="-17"/>
        </w:rPr>
        <w:t> </w:t>
      </w:r>
      <w:r>
        <w:rPr/>
        <w:t>somente</w:t>
      </w:r>
      <w:r>
        <w:rPr>
          <w:spacing w:val="-17"/>
        </w:rPr>
        <w:t> </w:t>
      </w:r>
      <w:r>
        <w:rPr/>
        <w:t>será</w:t>
      </w:r>
      <w:r>
        <w:rPr>
          <w:spacing w:val="-17"/>
        </w:rPr>
        <w:t> </w:t>
      </w:r>
      <w:r>
        <w:rPr/>
        <w:t>registrado</w:t>
      </w:r>
      <w:r>
        <w:rPr>
          <w:spacing w:val="-18"/>
        </w:rPr>
        <w:t> </w:t>
      </w:r>
      <w:r>
        <w:rPr/>
        <w:t>até</w:t>
      </w:r>
      <w:r>
        <w:rPr>
          <w:spacing w:val="-17"/>
        </w:rPr>
        <w:t> </w:t>
      </w:r>
      <w:r>
        <w:rPr/>
        <w:t>o</w:t>
      </w:r>
      <w:r>
        <w:rPr>
          <w:spacing w:val="-18"/>
        </w:rPr>
        <w:t> </w:t>
      </w:r>
      <w:r>
        <w:rPr/>
        <w:t>limite</w:t>
      </w:r>
      <w:r>
        <w:rPr>
          <w:spacing w:val="-17"/>
        </w:rPr>
        <w:t> </w:t>
      </w:r>
      <w:r>
        <w:rPr/>
        <w:t>da perda</w:t>
      </w:r>
      <w:r>
        <w:rPr>
          <w:spacing w:val="-18"/>
        </w:rPr>
        <w:t> </w:t>
      </w:r>
      <w:r>
        <w:rPr/>
        <w:t>reconhecida.</w:t>
      </w:r>
    </w:p>
    <w:p>
      <w:pPr>
        <w:spacing w:after="0" w:line="242" w:lineRule="auto"/>
        <w:jc w:val="both"/>
        <w:sectPr>
          <w:pgSz w:w="11910" w:h="16850"/>
          <w:pgMar w:header="792" w:footer="1193" w:top="1360" w:bottom="1460" w:left="940" w:right="240"/>
        </w:sectPr>
      </w:pPr>
    </w:p>
    <w:p>
      <w:pPr>
        <w:pStyle w:val="BodyText"/>
        <w:spacing w:line="242" w:lineRule="auto" w:before="50"/>
        <w:ind w:left="192" w:right="615"/>
        <w:jc w:val="both"/>
      </w:pPr>
      <w:r>
        <w:rPr/>
        <w:t>A</w:t>
      </w:r>
      <w:r>
        <w:rPr>
          <w:spacing w:val="-39"/>
        </w:rPr>
        <w:t> </w:t>
      </w:r>
      <w:r>
        <w:rPr/>
        <w:t>depreciação</w:t>
      </w:r>
      <w:r>
        <w:rPr>
          <w:spacing w:val="-39"/>
        </w:rPr>
        <w:t> </w:t>
      </w:r>
      <w:r>
        <w:rPr/>
        <w:t>dos</w:t>
      </w:r>
      <w:r>
        <w:rPr>
          <w:spacing w:val="-39"/>
        </w:rPr>
        <w:t> </w:t>
      </w:r>
      <w:r>
        <w:rPr/>
        <w:t>ativos</w:t>
      </w:r>
      <w:r>
        <w:rPr>
          <w:spacing w:val="-39"/>
        </w:rPr>
        <w:t> </w:t>
      </w:r>
      <w:r>
        <w:rPr/>
        <w:t>mantidos</w:t>
      </w:r>
      <w:r>
        <w:rPr>
          <w:spacing w:val="-37"/>
        </w:rPr>
        <w:t> </w:t>
      </w:r>
      <w:r>
        <w:rPr/>
        <w:t>para</w:t>
      </w:r>
      <w:r>
        <w:rPr>
          <w:spacing w:val="-38"/>
        </w:rPr>
        <w:t> </w:t>
      </w:r>
      <w:r>
        <w:rPr/>
        <w:t>negociação</w:t>
      </w:r>
      <w:r>
        <w:rPr>
          <w:spacing w:val="-39"/>
        </w:rPr>
        <w:t> </w:t>
      </w:r>
      <w:r>
        <w:rPr/>
        <w:t>cessa</w:t>
      </w:r>
      <w:r>
        <w:rPr>
          <w:spacing w:val="-39"/>
        </w:rPr>
        <w:t> </w:t>
      </w:r>
      <w:r>
        <w:rPr/>
        <w:t>quando</w:t>
      </w:r>
      <w:r>
        <w:rPr>
          <w:spacing w:val="-39"/>
        </w:rPr>
        <w:t> </w:t>
      </w:r>
      <w:r>
        <w:rPr/>
        <w:t>um</w:t>
      </w:r>
      <w:r>
        <w:rPr>
          <w:spacing w:val="-39"/>
        </w:rPr>
        <w:t> </w:t>
      </w:r>
      <w:r>
        <w:rPr/>
        <w:t>grupo</w:t>
      </w:r>
      <w:r>
        <w:rPr>
          <w:spacing w:val="-40"/>
        </w:rPr>
        <w:t> </w:t>
      </w:r>
      <w:r>
        <w:rPr/>
        <w:t>de</w:t>
      </w:r>
      <w:r>
        <w:rPr>
          <w:spacing w:val="-39"/>
        </w:rPr>
        <w:t> </w:t>
      </w:r>
      <w:r>
        <w:rPr/>
        <w:t>ativos</w:t>
      </w:r>
      <w:r>
        <w:rPr>
          <w:spacing w:val="-38"/>
        </w:rPr>
        <w:t> </w:t>
      </w:r>
      <w:r>
        <w:rPr/>
        <w:t>é</w:t>
      </w:r>
      <w:r>
        <w:rPr>
          <w:spacing w:val="-39"/>
        </w:rPr>
        <w:t> </w:t>
      </w:r>
      <w:r>
        <w:rPr/>
        <w:t>designado</w:t>
      </w:r>
      <w:r>
        <w:rPr>
          <w:spacing w:val="-40"/>
        </w:rPr>
        <w:t> </w:t>
      </w:r>
      <w:r>
        <w:rPr/>
        <w:t>como</w:t>
      </w:r>
      <w:r>
        <w:rPr>
          <w:spacing w:val="-39"/>
        </w:rPr>
        <w:t> </w:t>
      </w:r>
      <w:r>
        <w:rPr/>
        <w:t>mantido</w:t>
      </w:r>
      <w:r>
        <w:rPr>
          <w:spacing w:val="-39"/>
        </w:rPr>
        <w:t> </w:t>
      </w:r>
      <w:r>
        <w:rPr/>
        <w:t>para a</w:t>
      </w:r>
      <w:r>
        <w:rPr>
          <w:spacing w:val="-18"/>
        </w:rPr>
        <w:t> </w:t>
      </w:r>
      <w:r>
        <w:rPr/>
        <w:t>venda.</w:t>
      </w:r>
    </w:p>
    <w:p>
      <w:pPr>
        <w:pStyle w:val="BodyText"/>
        <w:spacing w:before="119"/>
        <w:ind w:left="192"/>
        <w:jc w:val="both"/>
      </w:pPr>
      <w:r>
        <w:rPr/>
        <w:t>O Grupo tem classificado como ativos mantidos para venda apenas terrenos e prédios (Nota Explicativa nº 13).</w:t>
      </w:r>
    </w:p>
    <w:p>
      <w:pPr>
        <w:pStyle w:val="BodyText"/>
        <w:spacing w:before="8"/>
      </w:pPr>
    </w:p>
    <w:p>
      <w:pPr>
        <w:pStyle w:val="ListParagraph"/>
        <w:numPr>
          <w:ilvl w:val="1"/>
          <w:numId w:val="16"/>
        </w:numPr>
        <w:tabs>
          <w:tab w:pos="1045" w:val="left" w:leader="none"/>
          <w:tab w:pos="1046" w:val="left" w:leader="none"/>
        </w:tabs>
        <w:spacing w:line="276" w:lineRule="auto" w:before="1" w:after="0"/>
        <w:ind w:left="1045" w:right="608" w:hanging="853"/>
        <w:jc w:val="left"/>
        <w:rPr>
          <w:rFonts w:ascii="Caladea" w:hAnsi="Caladea"/>
          <w:b/>
          <w:sz w:val="18"/>
        </w:rPr>
      </w:pPr>
      <w:r>
        <w:rPr>
          <w:rFonts w:ascii="Caladea" w:hAnsi="Caladea"/>
          <w:b/>
          <w:w w:val="105"/>
          <w:sz w:val="22"/>
        </w:rPr>
        <w:t>C</w:t>
      </w:r>
      <w:r>
        <w:rPr>
          <w:rFonts w:ascii="Caladea" w:hAnsi="Caladea"/>
          <w:b/>
          <w:w w:val="105"/>
          <w:sz w:val="18"/>
        </w:rPr>
        <w:t>ONTRATO DE </w:t>
      </w:r>
      <w:r>
        <w:rPr>
          <w:rFonts w:ascii="Caladea" w:hAnsi="Caladea"/>
          <w:b/>
          <w:w w:val="105"/>
          <w:sz w:val="22"/>
        </w:rPr>
        <w:t>C</w:t>
      </w:r>
      <w:r>
        <w:rPr>
          <w:rFonts w:ascii="Caladea" w:hAnsi="Caladea"/>
          <w:b/>
          <w:w w:val="105"/>
          <w:sz w:val="18"/>
        </w:rPr>
        <w:t>ONCESSÃO </w:t>
      </w:r>
      <w:r>
        <w:rPr>
          <w:rFonts w:ascii="Caladea" w:hAnsi="Caladea"/>
          <w:b/>
          <w:w w:val="105"/>
          <w:sz w:val="22"/>
        </w:rPr>
        <w:t>(</w:t>
      </w:r>
      <w:r>
        <w:rPr>
          <w:rFonts w:ascii="Caladea" w:hAnsi="Caladea"/>
          <w:b/>
          <w:w w:val="105"/>
          <w:sz w:val="18"/>
        </w:rPr>
        <w:t>ATIVO INTANGÍVEL DE CONCESSÃO E ATIVO FINANCEIRO INDENIZÁVEL</w:t>
      </w:r>
      <w:r>
        <w:rPr>
          <w:rFonts w:ascii="Caladea" w:hAnsi="Caladea"/>
          <w:b/>
          <w:w w:val="105"/>
          <w:sz w:val="22"/>
        </w:rPr>
        <w:t>) </w:t>
      </w:r>
      <w:r>
        <w:rPr>
          <w:b/>
          <w:w w:val="105"/>
          <w:sz w:val="22"/>
        </w:rPr>
        <w:t>– </w:t>
      </w:r>
      <w:r>
        <w:rPr>
          <w:rFonts w:ascii="Caladea" w:hAnsi="Caladea"/>
          <w:b/>
          <w:w w:val="105"/>
          <w:sz w:val="22"/>
        </w:rPr>
        <w:t>A</w:t>
      </w:r>
      <w:r>
        <w:rPr>
          <w:rFonts w:ascii="Caladea" w:hAnsi="Caladea"/>
          <w:b/>
          <w:w w:val="105"/>
          <w:sz w:val="18"/>
        </w:rPr>
        <w:t>TIVIDADE DE</w:t>
      </w:r>
      <w:r>
        <w:rPr>
          <w:rFonts w:ascii="Caladea" w:hAnsi="Caladea"/>
          <w:b/>
          <w:spacing w:val="-8"/>
          <w:w w:val="105"/>
          <w:sz w:val="18"/>
        </w:rPr>
        <w:t> </w:t>
      </w:r>
      <w:r>
        <w:rPr>
          <w:rFonts w:ascii="Caladea" w:hAnsi="Caladea"/>
          <w:b/>
          <w:w w:val="105"/>
          <w:sz w:val="22"/>
        </w:rPr>
        <w:t>D</w:t>
      </w:r>
      <w:r>
        <w:rPr>
          <w:rFonts w:ascii="Caladea" w:hAnsi="Caladea"/>
          <w:b/>
          <w:w w:val="105"/>
          <w:sz w:val="18"/>
        </w:rPr>
        <w:t>ISTRIBUIÇÃO</w:t>
      </w:r>
    </w:p>
    <w:p>
      <w:pPr>
        <w:pStyle w:val="BodyText"/>
        <w:spacing w:before="7"/>
        <w:rPr>
          <w:rFonts w:ascii="Caladea"/>
          <w:b/>
        </w:rPr>
      </w:pPr>
    </w:p>
    <w:p>
      <w:pPr>
        <w:pStyle w:val="BodyText"/>
        <w:spacing w:line="242" w:lineRule="auto"/>
        <w:ind w:left="192" w:right="609"/>
        <w:jc w:val="both"/>
      </w:pPr>
      <w:r>
        <w:rPr/>
        <w:t>A Interpretação ICPC 1/IFRIC 12 prevê que uma vez considerado que o concessionário não controla os ativos subjacentes, a infraestrutura de concessões (incluindo energia elétrica) não pode ser reconhecida como ativo imobilizado passando a ser reconhecida de acordo com um dos modelos contábeis previstos na interpretação. Dependendo do tipo de compromisso de remuneração do concessionário assumido junto ao Poder</w:t>
      </w:r>
      <w:r>
        <w:rPr>
          <w:spacing w:val="-43"/>
        </w:rPr>
        <w:t> </w:t>
      </w:r>
      <w:r>
        <w:rPr/>
        <w:t>Concedente, conforme</w:t>
      </w:r>
      <w:r>
        <w:rPr>
          <w:spacing w:val="-36"/>
        </w:rPr>
        <w:t> </w:t>
      </w:r>
      <w:r>
        <w:rPr/>
        <w:t>contrato</w:t>
      </w:r>
      <w:r>
        <w:rPr>
          <w:spacing w:val="-36"/>
        </w:rPr>
        <w:t> </w:t>
      </w:r>
      <w:r>
        <w:rPr/>
        <w:t>estabelecido</w:t>
      </w:r>
      <w:r>
        <w:rPr>
          <w:spacing w:val="-35"/>
        </w:rPr>
        <w:t> </w:t>
      </w:r>
      <w:r>
        <w:rPr/>
        <w:t>entre</w:t>
      </w:r>
      <w:r>
        <w:rPr>
          <w:spacing w:val="-35"/>
        </w:rPr>
        <w:t> </w:t>
      </w:r>
      <w:r>
        <w:rPr/>
        <w:t>as</w:t>
      </w:r>
      <w:r>
        <w:rPr>
          <w:spacing w:val="-36"/>
        </w:rPr>
        <w:t> </w:t>
      </w:r>
      <w:r>
        <w:rPr/>
        <w:t>partes</w:t>
      </w:r>
      <w:r>
        <w:rPr>
          <w:spacing w:val="-36"/>
        </w:rPr>
        <w:t> </w:t>
      </w:r>
      <w:r>
        <w:rPr/>
        <w:t>(modelos</w:t>
      </w:r>
      <w:r>
        <w:rPr>
          <w:spacing w:val="-35"/>
        </w:rPr>
        <w:t> </w:t>
      </w:r>
      <w:r>
        <w:rPr/>
        <w:t>do</w:t>
      </w:r>
      <w:r>
        <w:rPr>
          <w:spacing w:val="-37"/>
        </w:rPr>
        <w:t> </w:t>
      </w:r>
      <w:r>
        <w:rPr/>
        <w:t>ativo</w:t>
      </w:r>
      <w:r>
        <w:rPr>
          <w:spacing w:val="-34"/>
        </w:rPr>
        <w:t> </w:t>
      </w:r>
      <w:r>
        <w:rPr/>
        <w:t>financeiro,</w:t>
      </w:r>
      <w:r>
        <w:rPr>
          <w:spacing w:val="-35"/>
        </w:rPr>
        <w:t> </w:t>
      </w:r>
      <w:r>
        <w:rPr/>
        <w:t>do</w:t>
      </w:r>
      <w:r>
        <w:rPr>
          <w:spacing w:val="-37"/>
        </w:rPr>
        <w:t> </w:t>
      </w:r>
      <w:r>
        <w:rPr/>
        <w:t>ativo</w:t>
      </w:r>
      <w:r>
        <w:rPr>
          <w:spacing w:val="-34"/>
        </w:rPr>
        <w:t> </w:t>
      </w:r>
      <w:r>
        <w:rPr/>
        <w:t>intangível</w:t>
      </w:r>
      <w:r>
        <w:rPr>
          <w:spacing w:val="-35"/>
        </w:rPr>
        <w:t> </w:t>
      </w:r>
      <w:r>
        <w:rPr/>
        <w:t>e</w:t>
      </w:r>
      <w:r>
        <w:rPr>
          <w:spacing w:val="-35"/>
        </w:rPr>
        <w:t> </w:t>
      </w:r>
      <w:r>
        <w:rPr/>
        <w:t>do</w:t>
      </w:r>
      <w:r>
        <w:rPr>
          <w:spacing w:val="-35"/>
        </w:rPr>
        <w:t> </w:t>
      </w:r>
      <w:r>
        <w:rPr/>
        <w:t>bifurcado).</w:t>
      </w:r>
    </w:p>
    <w:p>
      <w:pPr>
        <w:pStyle w:val="BodyText"/>
        <w:spacing w:before="6"/>
      </w:pPr>
    </w:p>
    <w:p>
      <w:pPr>
        <w:pStyle w:val="BodyText"/>
        <w:spacing w:line="242" w:lineRule="auto"/>
        <w:ind w:left="192" w:right="615"/>
        <w:jc w:val="both"/>
      </w:pPr>
      <w:r>
        <w:rPr/>
        <w:t>Na</w:t>
      </w:r>
      <w:r>
        <w:rPr>
          <w:spacing w:val="-33"/>
        </w:rPr>
        <w:t> </w:t>
      </w:r>
      <w:r>
        <w:rPr/>
        <w:t>atividade</w:t>
      </w:r>
      <w:r>
        <w:rPr>
          <w:spacing w:val="-33"/>
        </w:rPr>
        <w:t> </w:t>
      </w:r>
      <w:r>
        <w:rPr/>
        <w:t>de</w:t>
      </w:r>
      <w:r>
        <w:rPr>
          <w:spacing w:val="-34"/>
        </w:rPr>
        <w:t> </w:t>
      </w:r>
      <w:r>
        <w:rPr/>
        <w:t>concessão</w:t>
      </w:r>
      <w:r>
        <w:rPr>
          <w:spacing w:val="-33"/>
        </w:rPr>
        <w:t> </w:t>
      </w:r>
      <w:r>
        <w:rPr/>
        <w:t>de</w:t>
      </w:r>
      <w:r>
        <w:rPr>
          <w:spacing w:val="-33"/>
        </w:rPr>
        <w:t> </w:t>
      </w:r>
      <w:r>
        <w:rPr/>
        <w:t>distribuição</w:t>
      </w:r>
      <w:r>
        <w:rPr>
          <w:spacing w:val="-33"/>
        </w:rPr>
        <w:t> </w:t>
      </w:r>
      <w:r>
        <w:rPr/>
        <w:t>de</w:t>
      </w:r>
      <w:r>
        <w:rPr>
          <w:spacing w:val="-33"/>
        </w:rPr>
        <w:t> </w:t>
      </w:r>
      <w:r>
        <w:rPr/>
        <w:t>energia</w:t>
      </w:r>
      <w:r>
        <w:rPr>
          <w:spacing w:val="-31"/>
        </w:rPr>
        <w:t> </w:t>
      </w:r>
      <w:r>
        <w:rPr/>
        <w:t>elétrica,</w:t>
      </w:r>
      <w:r>
        <w:rPr>
          <w:spacing w:val="-33"/>
        </w:rPr>
        <w:t> </w:t>
      </w:r>
      <w:r>
        <w:rPr/>
        <w:t>é</w:t>
      </w:r>
      <w:r>
        <w:rPr>
          <w:spacing w:val="-34"/>
        </w:rPr>
        <w:t> </w:t>
      </w:r>
      <w:r>
        <w:rPr/>
        <w:t>aplicado</w:t>
      </w:r>
      <w:r>
        <w:rPr>
          <w:spacing w:val="-33"/>
        </w:rPr>
        <w:t> </w:t>
      </w:r>
      <w:r>
        <w:rPr/>
        <w:t>o</w:t>
      </w:r>
      <w:r>
        <w:rPr>
          <w:spacing w:val="-31"/>
        </w:rPr>
        <w:t> </w:t>
      </w:r>
      <w:r>
        <w:rPr/>
        <w:t>modelo</w:t>
      </w:r>
      <w:r>
        <w:rPr>
          <w:spacing w:val="-33"/>
        </w:rPr>
        <w:t> </w:t>
      </w:r>
      <w:r>
        <w:rPr/>
        <w:t>denominado</w:t>
      </w:r>
      <w:r>
        <w:rPr>
          <w:spacing w:val="-33"/>
        </w:rPr>
        <w:t> </w:t>
      </w:r>
      <w:r>
        <w:rPr/>
        <w:t>bifurcado</w:t>
      </w:r>
      <w:r>
        <w:rPr>
          <w:spacing w:val="-32"/>
        </w:rPr>
        <w:t> </w:t>
      </w:r>
      <w:r>
        <w:rPr/>
        <w:t>em</w:t>
      </w:r>
      <w:r>
        <w:rPr>
          <w:spacing w:val="-32"/>
        </w:rPr>
        <w:t> </w:t>
      </w:r>
      <w:r>
        <w:rPr/>
        <w:t>razão de</w:t>
      </w:r>
      <w:r>
        <w:rPr>
          <w:spacing w:val="-28"/>
        </w:rPr>
        <w:t> </w:t>
      </w:r>
      <w:r>
        <w:rPr/>
        <w:t>as</w:t>
      </w:r>
      <w:r>
        <w:rPr>
          <w:spacing w:val="-25"/>
        </w:rPr>
        <w:t> </w:t>
      </w:r>
      <w:r>
        <w:rPr/>
        <w:t>empresas</w:t>
      </w:r>
      <w:r>
        <w:rPr>
          <w:spacing w:val="-27"/>
        </w:rPr>
        <w:t> </w:t>
      </w:r>
      <w:r>
        <w:rPr/>
        <w:t>do</w:t>
      </w:r>
      <w:r>
        <w:rPr>
          <w:spacing w:val="-27"/>
        </w:rPr>
        <w:t> </w:t>
      </w:r>
      <w:r>
        <w:rPr/>
        <w:t>segmento</w:t>
      </w:r>
      <w:r>
        <w:rPr>
          <w:spacing w:val="-25"/>
        </w:rPr>
        <w:t> </w:t>
      </w:r>
      <w:r>
        <w:rPr/>
        <w:t>possuir</w:t>
      </w:r>
      <w:r>
        <w:rPr>
          <w:spacing w:val="-25"/>
        </w:rPr>
        <w:t> </w:t>
      </w:r>
      <w:r>
        <w:rPr/>
        <w:t>o</w:t>
      </w:r>
      <w:r>
        <w:rPr>
          <w:spacing w:val="-27"/>
        </w:rPr>
        <w:t> </w:t>
      </w:r>
      <w:r>
        <w:rPr/>
        <w:t>direito</w:t>
      </w:r>
      <w:r>
        <w:rPr>
          <w:spacing w:val="-26"/>
        </w:rPr>
        <w:t> </w:t>
      </w:r>
      <w:r>
        <w:rPr/>
        <w:t>às</w:t>
      </w:r>
      <w:r>
        <w:rPr>
          <w:spacing w:val="-26"/>
        </w:rPr>
        <w:t> </w:t>
      </w:r>
      <w:r>
        <w:rPr/>
        <w:t>seguintes</w:t>
      </w:r>
      <w:r>
        <w:rPr>
          <w:spacing w:val="-27"/>
        </w:rPr>
        <w:t> </w:t>
      </w:r>
      <w:r>
        <w:rPr/>
        <w:t>fontes</w:t>
      </w:r>
      <w:r>
        <w:rPr>
          <w:spacing w:val="-26"/>
        </w:rPr>
        <w:t> </w:t>
      </w:r>
      <w:r>
        <w:rPr/>
        <w:t>de</w:t>
      </w:r>
      <w:r>
        <w:rPr>
          <w:spacing w:val="-25"/>
        </w:rPr>
        <w:t> </w:t>
      </w:r>
      <w:r>
        <w:rPr/>
        <w:t>remuneração,</w:t>
      </w:r>
      <w:r>
        <w:rPr>
          <w:spacing w:val="-28"/>
        </w:rPr>
        <w:t> </w:t>
      </w:r>
      <w:r>
        <w:rPr/>
        <w:t>derivadas</w:t>
      </w:r>
      <w:r>
        <w:rPr>
          <w:spacing w:val="-26"/>
        </w:rPr>
        <w:t> </w:t>
      </w:r>
      <w:r>
        <w:rPr/>
        <w:t>da</w:t>
      </w:r>
      <w:r>
        <w:rPr>
          <w:spacing w:val="-26"/>
        </w:rPr>
        <w:t> </w:t>
      </w:r>
      <w:r>
        <w:rPr/>
        <w:t>concessão:</w:t>
      </w:r>
    </w:p>
    <w:p>
      <w:pPr>
        <w:pStyle w:val="BodyText"/>
        <w:spacing w:before="7"/>
      </w:pPr>
    </w:p>
    <w:p>
      <w:pPr>
        <w:pStyle w:val="ListParagraph"/>
        <w:numPr>
          <w:ilvl w:val="0"/>
          <w:numId w:val="14"/>
        </w:numPr>
        <w:tabs>
          <w:tab w:pos="620" w:val="left" w:leader="none"/>
          <w:tab w:pos="621" w:val="left" w:leader="none"/>
        </w:tabs>
        <w:spacing w:line="240" w:lineRule="auto" w:before="1" w:after="0"/>
        <w:ind w:left="620" w:right="621" w:hanging="428"/>
        <w:jc w:val="left"/>
        <w:rPr>
          <w:rFonts w:ascii="Symbol" w:hAnsi="Symbol"/>
          <w:sz w:val="22"/>
        </w:rPr>
      </w:pPr>
      <w:r>
        <w:rPr>
          <w:sz w:val="20"/>
        </w:rPr>
        <w:t>Do</w:t>
      </w:r>
      <w:r>
        <w:rPr>
          <w:spacing w:val="-26"/>
          <w:sz w:val="20"/>
        </w:rPr>
        <w:t> </w:t>
      </w:r>
      <w:r>
        <w:rPr>
          <w:sz w:val="20"/>
        </w:rPr>
        <w:t>Poder</w:t>
      </w:r>
      <w:r>
        <w:rPr>
          <w:spacing w:val="-24"/>
          <w:sz w:val="20"/>
        </w:rPr>
        <w:t> </w:t>
      </w:r>
      <w:r>
        <w:rPr>
          <w:sz w:val="20"/>
        </w:rPr>
        <w:t>Concedente,</w:t>
      </w:r>
      <w:r>
        <w:rPr>
          <w:spacing w:val="-24"/>
          <w:sz w:val="20"/>
        </w:rPr>
        <w:t> </w:t>
      </w:r>
      <w:r>
        <w:rPr>
          <w:sz w:val="20"/>
        </w:rPr>
        <w:t>no</w:t>
      </w:r>
      <w:r>
        <w:rPr>
          <w:spacing w:val="-24"/>
          <w:sz w:val="20"/>
        </w:rPr>
        <w:t> </w:t>
      </w:r>
      <w:r>
        <w:rPr>
          <w:sz w:val="20"/>
        </w:rPr>
        <w:t>tocante</w:t>
      </w:r>
      <w:r>
        <w:rPr>
          <w:spacing w:val="-25"/>
          <w:sz w:val="20"/>
        </w:rPr>
        <w:t> </w:t>
      </w:r>
      <w:r>
        <w:rPr>
          <w:sz w:val="20"/>
        </w:rPr>
        <w:t>ao</w:t>
      </w:r>
      <w:r>
        <w:rPr>
          <w:spacing w:val="-25"/>
          <w:sz w:val="20"/>
        </w:rPr>
        <w:t> </w:t>
      </w:r>
      <w:r>
        <w:rPr>
          <w:sz w:val="20"/>
        </w:rPr>
        <w:t>valor</w:t>
      </w:r>
      <w:r>
        <w:rPr>
          <w:spacing w:val="-25"/>
          <w:sz w:val="20"/>
        </w:rPr>
        <w:t> </w:t>
      </w:r>
      <w:r>
        <w:rPr>
          <w:sz w:val="20"/>
        </w:rPr>
        <w:t>contábil</w:t>
      </w:r>
      <w:r>
        <w:rPr>
          <w:spacing w:val="-23"/>
          <w:sz w:val="20"/>
        </w:rPr>
        <w:t> </w:t>
      </w:r>
      <w:r>
        <w:rPr>
          <w:sz w:val="20"/>
        </w:rPr>
        <w:t>da</w:t>
      </w:r>
      <w:r>
        <w:rPr>
          <w:spacing w:val="-25"/>
          <w:sz w:val="20"/>
        </w:rPr>
        <w:t> </w:t>
      </w:r>
      <w:r>
        <w:rPr>
          <w:sz w:val="20"/>
        </w:rPr>
        <w:t>infraestrutura</w:t>
      </w:r>
      <w:r>
        <w:rPr>
          <w:spacing w:val="-24"/>
          <w:sz w:val="20"/>
        </w:rPr>
        <w:t> </w:t>
      </w:r>
      <w:r>
        <w:rPr>
          <w:sz w:val="20"/>
        </w:rPr>
        <w:t>ao</w:t>
      </w:r>
      <w:r>
        <w:rPr>
          <w:spacing w:val="-24"/>
          <w:sz w:val="20"/>
        </w:rPr>
        <w:t> </w:t>
      </w:r>
      <w:r>
        <w:rPr>
          <w:sz w:val="20"/>
        </w:rPr>
        <w:t>final</w:t>
      </w:r>
      <w:r>
        <w:rPr>
          <w:spacing w:val="-25"/>
          <w:sz w:val="20"/>
        </w:rPr>
        <w:t> </w:t>
      </w:r>
      <w:r>
        <w:rPr>
          <w:sz w:val="20"/>
        </w:rPr>
        <w:t>do</w:t>
      </w:r>
      <w:r>
        <w:rPr>
          <w:spacing w:val="-24"/>
          <w:sz w:val="20"/>
        </w:rPr>
        <w:t> </w:t>
      </w:r>
      <w:r>
        <w:rPr>
          <w:sz w:val="20"/>
        </w:rPr>
        <w:t>contrato</w:t>
      </w:r>
      <w:r>
        <w:rPr>
          <w:spacing w:val="-24"/>
          <w:sz w:val="20"/>
        </w:rPr>
        <w:t> </w:t>
      </w:r>
      <w:r>
        <w:rPr>
          <w:sz w:val="20"/>
        </w:rPr>
        <w:t>de</w:t>
      </w:r>
      <w:r>
        <w:rPr>
          <w:spacing w:val="-24"/>
          <w:sz w:val="20"/>
        </w:rPr>
        <w:t> </w:t>
      </w:r>
      <w:r>
        <w:rPr>
          <w:sz w:val="20"/>
        </w:rPr>
        <w:t>concessão</w:t>
      </w:r>
      <w:r>
        <w:rPr>
          <w:spacing w:val="-24"/>
          <w:sz w:val="20"/>
        </w:rPr>
        <w:t> </w:t>
      </w:r>
      <w:r>
        <w:rPr>
          <w:sz w:val="20"/>
        </w:rPr>
        <w:t>(ativo financeiro</w:t>
      </w:r>
      <w:r>
        <w:rPr>
          <w:spacing w:val="-16"/>
          <w:sz w:val="20"/>
        </w:rPr>
        <w:t> </w:t>
      </w:r>
      <w:r>
        <w:rPr>
          <w:sz w:val="20"/>
        </w:rPr>
        <w:t>da</w:t>
      </w:r>
      <w:r>
        <w:rPr>
          <w:spacing w:val="-18"/>
          <w:sz w:val="20"/>
        </w:rPr>
        <w:t> </w:t>
      </w:r>
      <w:r>
        <w:rPr>
          <w:sz w:val="20"/>
        </w:rPr>
        <w:t>concessão);</w:t>
      </w:r>
      <w:r>
        <w:rPr>
          <w:spacing w:val="-18"/>
          <w:sz w:val="20"/>
        </w:rPr>
        <w:t> </w:t>
      </w:r>
      <w:r>
        <w:rPr>
          <w:sz w:val="20"/>
        </w:rPr>
        <w:t>e</w:t>
      </w:r>
    </w:p>
    <w:p>
      <w:pPr>
        <w:pStyle w:val="ListParagraph"/>
        <w:numPr>
          <w:ilvl w:val="0"/>
          <w:numId w:val="14"/>
        </w:numPr>
        <w:tabs>
          <w:tab w:pos="620" w:val="left" w:leader="none"/>
          <w:tab w:pos="621" w:val="left" w:leader="none"/>
        </w:tabs>
        <w:spacing w:line="240" w:lineRule="auto" w:before="0" w:after="0"/>
        <w:ind w:left="620" w:right="614" w:hanging="428"/>
        <w:jc w:val="left"/>
        <w:rPr>
          <w:rFonts w:ascii="Symbol" w:hAnsi="Symbol"/>
          <w:sz w:val="22"/>
        </w:rPr>
      </w:pPr>
      <w:r>
        <w:rPr>
          <w:sz w:val="20"/>
        </w:rPr>
        <w:t>Dos</w:t>
      </w:r>
      <w:r>
        <w:rPr>
          <w:spacing w:val="-30"/>
          <w:sz w:val="20"/>
        </w:rPr>
        <w:t> </w:t>
      </w:r>
      <w:r>
        <w:rPr>
          <w:sz w:val="20"/>
        </w:rPr>
        <w:t>usuários,</w:t>
      </w:r>
      <w:r>
        <w:rPr>
          <w:spacing w:val="-29"/>
          <w:sz w:val="20"/>
        </w:rPr>
        <w:t> </w:t>
      </w:r>
      <w:r>
        <w:rPr>
          <w:sz w:val="20"/>
        </w:rPr>
        <w:t>pela</w:t>
      </w:r>
      <w:r>
        <w:rPr>
          <w:spacing w:val="-29"/>
          <w:sz w:val="20"/>
        </w:rPr>
        <w:t> </w:t>
      </w:r>
      <w:r>
        <w:rPr>
          <w:sz w:val="20"/>
        </w:rPr>
        <w:t>parte</w:t>
      </w:r>
      <w:r>
        <w:rPr>
          <w:spacing w:val="-30"/>
          <w:sz w:val="20"/>
        </w:rPr>
        <w:t> </w:t>
      </w:r>
      <w:r>
        <w:rPr>
          <w:sz w:val="20"/>
        </w:rPr>
        <w:t>que</w:t>
      </w:r>
      <w:r>
        <w:rPr>
          <w:spacing w:val="-29"/>
          <w:sz w:val="20"/>
        </w:rPr>
        <w:t> </w:t>
      </w:r>
      <w:r>
        <w:rPr>
          <w:sz w:val="20"/>
        </w:rPr>
        <w:t>lhes</w:t>
      </w:r>
      <w:r>
        <w:rPr>
          <w:spacing w:val="-30"/>
          <w:sz w:val="20"/>
        </w:rPr>
        <w:t> </w:t>
      </w:r>
      <w:r>
        <w:rPr>
          <w:sz w:val="20"/>
        </w:rPr>
        <w:t>cabe</w:t>
      </w:r>
      <w:r>
        <w:rPr>
          <w:spacing w:val="-31"/>
          <w:sz w:val="20"/>
        </w:rPr>
        <w:t> </w:t>
      </w:r>
      <w:r>
        <w:rPr>
          <w:sz w:val="20"/>
        </w:rPr>
        <w:t>dos</w:t>
      </w:r>
      <w:r>
        <w:rPr>
          <w:spacing w:val="-29"/>
          <w:sz w:val="20"/>
        </w:rPr>
        <w:t> </w:t>
      </w:r>
      <w:r>
        <w:rPr>
          <w:sz w:val="20"/>
        </w:rPr>
        <w:t>serviços</w:t>
      </w:r>
      <w:r>
        <w:rPr>
          <w:spacing w:val="-30"/>
          <w:sz w:val="20"/>
        </w:rPr>
        <w:t> </w:t>
      </w:r>
      <w:r>
        <w:rPr>
          <w:sz w:val="20"/>
        </w:rPr>
        <w:t>de</w:t>
      </w:r>
      <w:r>
        <w:rPr>
          <w:spacing w:val="-27"/>
          <w:sz w:val="20"/>
        </w:rPr>
        <w:t> </w:t>
      </w:r>
      <w:r>
        <w:rPr>
          <w:sz w:val="20"/>
        </w:rPr>
        <w:t>construção</w:t>
      </w:r>
      <w:r>
        <w:rPr>
          <w:spacing w:val="-28"/>
          <w:sz w:val="20"/>
        </w:rPr>
        <w:t> </w:t>
      </w:r>
      <w:r>
        <w:rPr>
          <w:sz w:val="20"/>
        </w:rPr>
        <w:t>e</w:t>
      </w:r>
      <w:r>
        <w:rPr>
          <w:spacing w:val="-29"/>
          <w:sz w:val="20"/>
        </w:rPr>
        <w:t> </w:t>
      </w:r>
      <w:r>
        <w:rPr>
          <w:sz w:val="20"/>
        </w:rPr>
        <w:t>pela</w:t>
      </w:r>
      <w:r>
        <w:rPr>
          <w:spacing w:val="-28"/>
          <w:sz w:val="20"/>
        </w:rPr>
        <w:t> </w:t>
      </w:r>
      <w:r>
        <w:rPr>
          <w:sz w:val="20"/>
        </w:rPr>
        <w:t>prestação</w:t>
      </w:r>
      <w:r>
        <w:rPr>
          <w:spacing w:val="-31"/>
          <w:sz w:val="20"/>
        </w:rPr>
        <w:t> </w:t>
      </w:r>
      <w:r>
        <w:rPr>
          <w:sz w:val="20"/>
        </w:rPr>
        <w:t>do</w:t>
      </w:r>
      <w:r>
        <w:rPr>
          <w:spacing w:val="-30"/>
          <w:sz w:val="20"/>
        </w:rPr>
        <w:t> </w:t>
      </w:r>
      <w:r>
        <w:rPr>
          <w:sz w:val="20"/>
        </w:rPr>
        <w:t>serviço</w:t>
      </w:r>
      <w:r>
        <w:rPr>
          <w:spacing w:val="-28"/>
          <w:sz w:val="20"/>
        </w:rPr>
        <w:t> </w:t>
      </w:r>
      <w:r>
        <w:rPr>
          <w:sz w:val="20"/>
        </w:rPr>
        <w:t>de</w:t>
      </w:r>
      <w:r>
        <w:rPr>
          <w:spacing w:val="-30"/>
          <w:sz w:val="20"/>
        </w:rPr>
        <w:t> </w:t>
      </w:r>
      <w:r>
        <w:rPr>
          <w:sz w:val="20"/>
        </w:rPr>
        <w:t>fornecimento de</w:t>
      </w:r>
      <w:r>
        <w:rPr>
          <w:spacing w:val="-19"/>
          <w:sz w:val="20"/>
        </w:rPr>
        <w:t> </w:t>
      </w:r>
      <w:r>
        <w:rPr>
          <w:sz w:val="20"/>
        </w:rPr>
        <w:t>energia</w:t>
      </w:r>
      <w:r>
        <w:rPr>
          <w:spacing w:val="-16"/>
          <w:sz w:val="20"/>
        </w:rPr>
        <w:t> </w:t>
      </w:r>
      <w:r>
        <w:rPr>
          <w:sz w:val="20"/>
        </w:rPr>
        <w:t>elétrica</w:t>
      </w:r>
      <w:r>
        <w:rPr>
          <w:spacing w:val="-18"/>
          <w:sz w:val="20"/>
        </w:rPr>
        <w:t> </w:t>
      </w:r>
      <w:r>
        <w:rPr>
          <w:sz w:val="20"/>
        </w:rPr>
        <w:t>(ativo</w:t>
      </w:r>
      <w:r>
        <w:rPr>
          <w:spacing w:val="-20"/>
          <w:sz w:val="20"/>
        </w:rPr>
        <w:t> </w:t>
      </w:r>
      <w:r>
        <w:rPr>
          <w:sz w:val="20"/>
        </w:rPr>
        <w:t>intangível).</w:t>
      </w:r>
    </w:p>
    <w:p>
      <w:pPr>
        <w:pStyle w:val="BodyText"/>
        <w:spacing w:before="7"/>
      </w:pPr>
    </w:p>
    <w:p>
      <w:pPr>
        <w:pStyle w:val="BodyText"/>
        <w:spacing w:line="242" w:lineRule="auto"/>
        <w:ind w:left="192" w:right="617"/>
        <w:jc w:val="both"/>
      </w:pPr>
      <w:r>
        <w:rPr/>
        <w:t>Na</w:t>
      </w:r>
      <w:r>
        <w:rPr>
          <w:spacing w:val="-46"/>
        </w:rPr>
        <w:t> </w:t>
      </w:r>
      <w:r>
        <w:rPr/>
        <w:t>avaliação</w:t>
      </w:r>
      <w:r>
        <w:rPr>
          <w:spacing w:val="-46"/>
        </w:rPr>
        <w:t> </w:t>
      </w:r>
      <w:r>
        <w:rPr/>
        <w:t>da</w:t>
      </w:r>
      <w:r>
        <w:rPr>
          <w:spacing w:val="-46"/>
        </w:rPr>
        <w:t> </w:t>
      </w:r>
      <w:r>
        <w:rPr/>
        <w:t>Administração</w:t>
      </w:r>
      <w:r>
        <w:rPr>
          <w:spacing w:val="-46"/>
        </w:rPr>
        <w:t> </w:t>
      </w:r>
      <w:r>
        <w:rPr/>
        <w:t>da</w:t>
      </w:r>
      <w:r>
        <w:rPr>
          <w:spacing w:val="-46"/>
        </w:rPr>
        <w:t> </w:t>
      </w:r>
      <w:r>
        <w:rPr/>
        <w:t>Companhia,</w:t>
      </w:r>
      <w:r>
        <w:rPr>
          <w:spacing w:val="-45"/>
        </w:rPr>
        <w:t> </w:t>
      </w:r>
      <w:r>
        <w:rPr/>
        <w:t>em</w:t>
      </w:r>
      <w:r>
        <w:rPr>
          <w:spacing w:val="-46"/>
        </w:rPr>
        <w:t> </w:t>
      </w:r>
      <w:r>
        <w:rPr/>
        <w:t>conjunto</w:t>
      </w:r>
      <w:r>
        <w:rPr>
          <w:spacing w:val="-46"/>
        </w:rPr>
        <w:t> </w:t>
      </w:r>
      <w:r>
        <w:rPr/>
        <w:t>com</w:t>
      </w:r>
      <w:r>
        <w:rPr>
          <w:spacing w:val="-46"/>
        </w:rPr>
        <w:t> </w:t>
      </w:r>
      <w:r>
        <w:rPr/>
        <w:t>consultoria</w:t>
      </w:r>
      <w:r>
        <w:rPr>
          <w:spacing w:val="-46"/>
        </w:rPr>
        <w:t> </w:t>
      </w:r>
      <w:r>
        <w:rPr/>
        <w:t>técnica</w:t>
      </w:r>
      <w:r>
        <w:rPr>
          <w:spacing w:val="-46"/>
        </w:rPr>
        <w:t> </w:t>
      </w:r>
      <w:r>
        <w:rPr/>
        <w:t>externa,</w:t>
      </w:r>
      <w:r>
        <w:rPr>
          <w:spacing w:val="-45"/>
        </w:rPr>
        <w:t> </w:t>
      </w:r>
      <w:r>
        <w:rPr/>
        <w:t>não</w:t>
      </w:r>
      <w:r>
        <w:rPr>
          <w:spacing w:val="-46"/>
        </w:rPr>
        <w:t> </w:t>
      </w:r>
      <w:r>
        <w:rPr/>
        <w:t>é</w:t>
      </w:r>
      <w:r>
        <w:rPr>
          <w:spacing w:val="-46"/>
        </w:rPr>
        <w:t> </w:t>
      </w:r>
      <w:r>
        <w:rPr/>
        <w:t>aplicável</w:t>
      </w:r>
      <w:r>
        <w:rPr>
          <w:spacing w:val="-46"/>
        </w:rPr>
        <w:t> </w:t>
      </w:r>
      <w:r>
        <w:rPr/>
        <w:t>a</w:t>
      </w:r>
      <w:r>
        <w:rPr>
          <w:spacing w:val="-46"/>
        </w:rPr>
        <w:t> </w:t>
      </w:r>
      <w:r>
        <w:rPr/>
        <w:t>adoção do</w:t>
      </w:r>
      <w:r>
        <w:rPr>
          <w:spacing w:val="-21"/>
        </w:rPr>
        <w:t> </w:t>
      </w:r>
      <w:r>
        <w:rPr/>
        <w:t>ICPC</w:t>
      </w:r>
      <w:r>
        <w:rPr>
          <w:spacing w:val="-19"/>
        </w:rPr>
        <w:t> </w:t>
      </w:r>
      <w:r>
        <w:rPr/>
        <w:t>1/IFRIC</w:t>
      </w:r>
      <w:r>
        <w:rPr>
          <w:spacing w:val="-19"/>
        </w:rPr>
        <w:t> </w:t>
      </w:r>
      <w:r>
        <w:rPr/>
        <w:t>12</w:t>
      </w:r>
      <w:r>
        <w:rPr>
          <w:spacing w:val="-17"/>
        </w:rPr>
        <w:t> </w:t>
      </w:r>
      <w:r>
        <w:rPr/>
        <w:t>nas</w:t>
      </w:r>
      <w:r>
        <w:rPr>
          <w:spacing w:val="-19"/>
        </w:rPr>
        <w:t> </w:t>
      </w:r>
      <w:r>
        <w:rPr/>
        <w:t>concessões</w:t>
      </w:r>
      <w:r>
        <w:rPr>
          <w:spacing w:val="-17"/>
        </w:rPr>
        <w:t> </w:t>
      </w:r>
      <w:r>
        <w:rPr/>
        <w:t>relativas</w:t>
      </w:r>
      <w:r>
        <w:rPr>
          <w:spacing w:val="-19"/>
        </w:rPr>
        <w:t> </w:t>
      </w:r>
      <w:r>
        <w:rPr/>
        <w:t>à</w:t>
      </w:r>
      <w:r>
        <w:rPr>
          <w:spacing w:val="-15"/>
        </w:rPr>
        <w:t> </w:t>
      </w:r>
      <w:r>
        <w:rPr/>
        <w:t>geração</w:t>
      </w:r>
      <w:r>
        <w:rPr>
          <w:spacing w:val="-20"/>
        </w:rPr>
        <w:t> </w:t>
      </w:r>
      <w:r>
        <w:rPr/>
        <w:t>de</w:t>
      </w:r>
      <w:r>
        <w:rPr>
          <w:spacing w:val="-18"/>
        </w:rPr>
        <w:t> </w:t>
      </w:r>
      <w:r>
        <w:rPr/>
        <w:t>energia</w:t>
      </w:r>
      <w:r>
        <w:rPr>
          <w:spacing w:val="-19"/>
        </w:rPr>
        <w:t> </w:t>
      </w:r>
      <w:r>
        <w:rPr/>
        <w:t>do</w:t>
      </w:r>
      <w:r>
        <w:rPr>
          <w:spacing w:val="-18"/>
        </w:rPr>
        <w:t> </w:t>
      </w:r>
      <w:r>
        <w:rPr/>
        <w:t>Grupo.</w:t>
      </w:r>
    </w:p>
    <w:p>
      <w:pPr>
        <w:pStyle w:val="BodyText"/>
        <w:spacing w:before="6"/>
      </w:pPr>
    </w:p>
    <w:p>
      <w:pPr>
        <w:pStyle w:val="BodyText"/>
        <w:spacing w:line="242" w:lineRule="auto" w:before="1"/>
        <w:ind w:left="192" w:right="611"/>
        <w:jc w:val="both"/>
      </w:pPr>
      <w:r>
        <w:rPr/>
        <w:t>Os ativos classificados como financeiros representam a parcela estimada dos investimentos realizados e não amortizados</w:t>
      </w:r>
      <w:r>
        <w:rPr>
          <w:spacing w:val="-18"/>
        </w:rPr>
        <w:t> </w:t>
      </w:r>
      <w:r>
        <w:rPr/>
        <w:t>até</w:t>
      </w:r>
      <w:r>
        <w:rPr>
          <w:spacing w:val="-19"/>
        </w:rPr>
        <w:t> </w:t>
      </w:r>
      <w:r>
        <w:rPr/>
        <w:t>o</w:t>
      </w:r>
      <w:r>
        <w:rPr>
          <w:spacing w:val="-19"/>
        </w:rPr>
        <w:t> </w:t>
      </w:r>
      <w:r>
        <w:rPr/>
        <w:t>final</w:t>
      </w:r>
      <w:r>
        <w:rPr>
          <w:spacing w:val="-16"/>
        </w:rPr>
        <w:t> </w:t>
      </w:r>
      <w:r>
        <w:rPr/>
        <w:t>da</w:t>
      </w:r>
      <w:r>
        <w:rPr>
          <w:spacing w:val="-18"/>
        </w:rPr>
        <w:t> </w:t>
      </w:r>
      <w:r>
        <w:rPr/>
        <w:t>concessão,</w:t>
      </w:r>
      <w:r>
        <w:rPr>
          <w:spacing w:val="-18"/>
        </w:rPr>
        <w:t> </w:t>
      </w:r>
      <w:r>
        <w:rPr/>
        <w:t>sobre</w:t>
      </w:r>
      <w:r>
        <w:rPr>
          <w:spacing w:val="-19"/>
        </w:rPr>
        <w:t> </w:t>
      </w:r>
      <w:r>
        <w:rPr/>
        <w:t>o</w:t>
      </w:r>
      <w:r>
        <w:rPr>
          <w:spacing w:val="-14"/>
        </w:rPr>
        <w:t> </w:t>
      </w:r>
      <w:r>
        <w:rPr/>
        <w:t>qual</w:t>
      </w:r>
      <w:r>
        <w:rPr>
          <w:spacing w:val="-20"/>
        </w:rPr>
        <w:t> </w:t>
      </w:r>
      <w:r>
        <w:rPr/>
        <w:t>a</w:t>
      </w:r>
      <w:r>
        <w:rPr>
          <w:spacing w:val="-19"/>
        </w:rPr>
        <w:t> </w:t>
      </w:r>
      <w:r>
        <w:rPr/>
        <w:t>CEB</w:t>
      </w:r>
      <w:r>
        <w:rPr>
          <w:spacing w:val="-19"/>
        </w:rPr>
        <w:t> </w:t>
      </w:r>
      <w:r>
        <w:rPr/>
        <w:t>DIS</w:t>
      </w:r>
      <w:r>
        <w:rPr>
          <w:spacing w:val="-18"/>
        </w:rPr>
        <w:t> </w:t>
      </w:r>
      <w:r>
        <w:rPr/>
        <w:t>possui</w:t>
      </w:r>
      <w:r>
        <w:rPr>
          <w:spacing w:val="-20"/>
        </w:rPr>
        <w:t> </w:t>
      </w:r>
      <w:r>
        <w:rPr/>
        <w:t>o</w:t>
      </w:r>
      <w:r>
        <w:rPr>
          <w:spacing w:val="-18"/>
        </w:rPr>
        <w:t> </w:t>
      </w:r>
      <w:r>
        <w:rPr/>
        <w:t>direito</w:t>
      </w:r>
      <w:r>
        <w:rPr>
          <w:spacing w:val="-18"/>
        </w:rPr>
        <w:t> </w:t>
      </w:r>
      <w:r>
        <w:rPr/>
        <w:t>incondicional</w:t>
      </w:r>
      <w:r>
        <w:rPr>
          <w:spacing w:val="-20"/>
        </w:rPr>
        <w:t> </w:t>
      </w:r>
      <w:r>
        <w:rPr/>
        <w:t>de</w:t>
      </w:r>
      <w:r>
        <w:rPr>
          <w:spacing w:val="-19"/>
        </w:rPr>
        <w:t> </w:t>
      </w:r>
      <w:r>
        <w:rPr/>
        <w:t>receber</w:t>
      </w:r>
      <w:r>
        <w:rPr>
          <w:spacing w:val="-18"/>
        </w:rPr>
        <w:t> </w:t>
      </w:r>
      <w:r>
        <w:rPr/>
        <w:t>dinheiro</w:t>
      </w:r>
      <w:r>
        <w:rPr>
          <w:spacing w:val="-19"/>
        </w:rPr>
        <w:t> </w:t>
      </w:r>
      <w:r>
        <w:rPr/>
        <w:t>ou outro</w:t>
      </w:r>
      <w:r>
        <w:rPr>
          <w:spacing w:val="-41"/>
        </w:rPr>
        <w:t> </w:t>
      </w:r>
      <w:r>
        <w:rPr/>
        <w:t>ativo</w:t>
      </w:r>
      <w:r>
        <w:rPr>
          <w:spacing w:val="-40"/>
        </w:rPr>
        <w:t> </w:t>
      </w:r>
      <w:r>
        <w:rPr/>
        <w:t>financeiro</w:t>
      </w:r>
      <w:r>
        <w:rPr>
          <w:spacing w:val="-40"/>
        </w:rPr>
        <w:t> </w:t>
      </w:r>
      <w:r>
        <w:rPr/>
        <w:t>do</w:t>
      </w:r>
      <w:r>
        <w:rPr>
          <w:spacing w:val="-40"/>
        </w:rPr>
        <w:t> </w:t>
      </w:r>
      <w:r>
        <w:rPr/>
        <w:t>Poder</w:t>
      </w:r>
      <w:r>
        <w:rPr>
          <w:spacing w:val="-41"/>
        </w:rPr>
        <w:t> </w:t>
      </w:r>
      <w:r>
        <w:rPr/>
        <w:t>Concedente</w:t>
      </w:r>
      <w:r>
        <w:rPr>
          <w:spacing w:val="-41"/>
        </w:rPr>
        <w:t> </w:t>
      </w:r>
      <w:r>
        <w:rPr/>
        <w:t>à</w:t>
      </w:r>
      <w:r>
        <w:rPr>
          <w:spacing w:val="-38"/>
        </w:rPr>
        <w:t> </w:t>
      </w:r>
      <w:r>
        <w:rPr/>
        <w:t>título</w:t>
      </w:r>
      <w:r>
        <w:rPr>
          <w:spacing w:val="-40"/>
        </w:rPr>
        <w:t> </w:t>
      </w:r>
      <w:r>
        <w:rPr/>
        <w:t>de</w:t>
      </w:r>
      <w:r>
        <w:rPr>
          <w:spacing w:val="-41"/>
        </w:rPr>
        <w:t> </w:t>
      </w:r>
      <w:r>
        <w:rPr/>
        <w:t>indenização.</w:t>
      </w:r>
      <w:r>
        <w:rPr>
          <w:spacing w:val="-40"/>
        </w:rPr>
        <w:t> </w:t>
      </w:r>
      <w:r>
        <w:rPr/>
        <w:t>Essa</w:t>
      </w:r>
      <w:r>
        <w:rPr>
          <w:spacing w:val="-41"/>
        </w:rPr>
        <w:t> </w:t>
      </w:r>
      <w:r>
        <w:rPr/>
        <w:t>indenização</w:t>
      </w:r>
      <w:r>
        <w:rPr>
          <w:spacing w:val="-41"/>
        </w:rPr>
        <w:t> </w:t>
      </w:r>
      <w:r>
        <w:rPr/>
        <w:t>tem</w:t>
      </w:r>
      <w:r>
        <w:rPr>
          <w:spacing w:val="-40"/>
        </w:rPr>
        <w:t> </w:t>
      </w:r>
      <w:r>
        <w:rPr/>
        <w:t>como</w:t>
      </w:r>
      <w:r>
        <w:rPr>
          <w:spacing w:val="-41"/>
        </w:rPr>
        <w:t> </w:t>
      </w:r>
      <w:r>
        <w:rPr/>
        <w:t>objetivo</w:t>
      </w:r>
      <w:r>
        <w:rPr>
          <w:spacing w:val="-39"/>
        </w:rPr>
        <w:t> </w:t>
      </w:r>
      <w:r>
        <w:rPr/>
        <w:t>reembolsar a</w:t>
      </w:r>
      <w:r>
        <w:rPr>
          <w:spacing w:val="-24"/>
        </w:rPr>
        <w:t> </w:t>
      </w:r>
      <w:r>
        <w:rPr/>
        <w:t>CEB</w:t>
      </w:r>
      <w:r>
        <w:rPr>
          <w:spacing w:val="-23"/>
        </w:rPr>
        <w:t> </w:t>
      </w:r>
      <w:r>
        <w:rPr/>
        <w:t>DIS</w:t>
      </w:r>
      <w:r>
        <w:rPr>
          <w:spacing w:val="-24"/>
        </w:rPr>
        <w:t> </w:t>
      </w:r>
      <w:r>
        <w:rPr/>
        <w:t>pelos</w:t>
      </w:r>
      <w:r>
        <w:rPr>
          <w:spacing w:val="-23"/>
        </w:rPr>
        <w:t> </w:t>
      </w:r>
      <w:r>
        <w:rPr/>
        <w:t>investimentos</w:t>
      </w:r>
      <w:r>
        <w:rPr>
          <w:spacing w:val="-23"/>
        </w:rPr>
        <w:t> </w:t>
      </w:r>
      <w:r>
        <w:rPr/>
        <w:t>em</w:t>
      </w:r>
      <w:r>
        <w:rPr>
          <w:spacing w:val="-23"/>
        </w:rPr>
        <w:t> </w:t>
      </w:r>
      <w:r>
        <w:rPr/>
        <w:t>infraestrutura</w:t>
      </w:r>
      <w:r>
        <w:rPr>
          <w:spacing w:val="-23"/>
        </w:rPr>
        <w:t> </w:t>
      </w:r>
      <w:r>
        <w:rPr/>
        <w:t>que</w:t>
      </w:r>
      <w:r>
        <w:rPr>
          <w:spacing w:val="-22"/>
        </w:rPr>
        <w:t> </w:t>
      </w:r>
      <w:r>
        <w:rPr/>
        <w:t>possuírem</w:t>
      </w:r>
      <w:r>
        <w:rPr>
          <w:spacing w:val="-23"/>
        </w:rPr>
        <w:t> </w:t>
      </w:r>
      <w:r>
        <w:rPr/>
        <w:t>vida</w:t>
      </w:r>
      <w:r>
        <w:rPr>
          <w:spacing w:val="-23"/>
        </w:rPr>
        <w:t> </w:t>
      </w:r>
      <w:r>
        <w:rPr/>
        <w:t>útil</w:t>
      </w:r>
      <w:r>
        <w:rPr>
          <w:spacing w:val="-22"/>
        </w:rPr>
        <w:t> </w:t>
      </w:r>
      <w:r>
        <w:rPr/>
        <w:t>superior</w:t>
      </w:r>
      <w:r>
        <w:rPr>
          <w:spacing w:val="-25"/>
        </w:rPr>
        <w:t> </w:t>
      </w:r>
      <w:r>
        <w:rPr/>
        <w:t>ao</w:t>
      </w:r>
      <w:r>
        <w:rPr>
          <w:spacing w:val="-21"/>
        </w:rPr>
        <w:t> </w:t>
      </w:r>
      <w:r>
        <w:rPr/>
        <w:t>prazo</w:t>
      </w:r>
      <w:r>
        <w:rPr>
          <w:spacing w:val="-22"/>
        </w:rPr>
        <w:t> </w:t>
      </w:r>
      <w:r>
        <w:rPr/>
        <w:t>da</w:t>
      </w:r>
      <w:r>
        <w:rPr>
          <w:spacing w:val="-23"/>
        </w:rPr>
        <w:t> </w:t>
      </w:r>
      <w:r>
        <w:rPr/>
        <w:t>concessão.</w:t>
      </w:r>
    </w:p>
    <w:p>
      <w:pPr>
        <w:pStyle w:val="BodyText"/>
        <w:spacing w:before="7"/>
      </w:pPr>
    </w:p>
    <w:p>
      <w:pPr>
        <w:pStyle w:val="BodyText"/>
        <w:spacing w:line="242" w:lineRule="auto" w:before="1"/>
        <w:ind w:left="192" w:right="611"/>
        <w:jc w:val="both"/>
      </w:pPr>
      <w:r>
        <w:rPr/>
        <w:t>Os</w:t>
      </w:r>
      <w:r>
        <w:rPr>
          <w:spacing w:val="-27"/>
        </w:rPr>
        <w:t> </w:t>
      </w:r>
      <w:r>
        <w:rPr/>
        <w:t>ativos</w:t>
      </w:r>
      <w:r>
        <w:rPr>
          <w:spacing w:val="-27"/>
        </w:rPr>
        <w:t> </w:t>
      </w:r>
      <w:r>
        <w:rPr/>
        <w:t>financeiros</w:t>
      </w:r>
      <w:r>
        <w:rPr>
          <w:spacing w:val="-24"/>
        </w:rPr>
        <w:t> </w:t>
      </w:r>
      <w:r>
        <w:rPr/>
        <w:t>relacionados</w:t>
      </w:r>
      <w:r>
        <w:rPr>
          <w:spacing w:val="-27"/>
        </w:rPr>
        <w:t> </w:t>
      </w:r>
      <w:r>
        <w:rPr/>
        <w:t>ao</w:t>
      </w:r>
      <w:r>
        <w:rPr>
          <w:spacing w:val="-26"/>
        </w:rPr>
        <w:t> </w:t>
      </w:r>
      <w:r>
        <w:rPr/>
        <w:t>contrato</w:t>
      </w:r>
      <w:r>
        <w:rPr>
          <w:spacing w:val="-26"/>
        </w:rPr>
        <w:t> </w:t>
      </w:r>
      <w:r>
        <w:rPr/>
        <w:t>de</w:t>
      </w:r>
      <w:r>
        <w:rPr>
          <w:spacing w:val="-27"/>
        </w:rPr>
        <w:t> </w:t>
      </w:r>
      <w:r>
        <w:rPr/>
        <w:t>concessão</w:t>
      </w:r>
      <w:r>
        <w:rPr>
          <w:spacing w:val="-26"/>
        </w:rPr>
        <w:t> </w:t>
      </w:r>
      <w:r>
        <w:rPr/>
        <w:t>são</w:t>
      </w:r>
      <w:r>
        <w:rPr>
          <w:spacing w:val="-27"/>
        </w:rPr>
        <w:t> </w:t>
      </w:r>
      <w:r>
        <w:rPr/>
        <w:t>classificados</w:t>
      </w:r>
      <w:r>
        <w:rPr>
          <w:spacing w:val="-27"/>
        </w:rPr>
        <w:t> </w:t>
      </w:r>
      <w:r>
        <w:rPr/>
        <w:t>como</w:t>
      </w:r>
      <w:r>
        <w:rPr>
          <w:spacing w:val="-26"/>
        </w:rPr>
        <w:t> </w:t>
      </w:r>
      <w:r>
        <w:rPr/>
        <w:t>disponíveis</w:t>
      </w:r>
      <w:r>
        <w:rPr>
          <w:spacing w:val="-26"/>
        </w:rPr>
        <w:t> </w:t>
      </w:r>
      <w:r>
        <w:rPr/>
        <w:t>para</w:t>
      </w:r>
      <w:r>
        <w:rPr>
          <w:spacing w:val="-26"/>
        </w:rPr>
        <w:t> </w:t>
      </w:r>
      <w:r>
        <w:rPr/>
        <w:t>venda</w:t>
      </w:r>
      <w:r>
        <w:rPr>
          <w:spacing w:val="-26"/>
        </w:rPr>
        <w:t> </w:t>
      </w:r>
      <w:r>
        <w:rPr/>
        <w:t>e</w:t>
      </w:r>
      <w:r>
        <w:rPr>
          <w:spacing w:val="-26"/>
        </w:rPr>
        <w:t> </w:t>
      </w:r>
      <w:r>
        <w:rPr/>
        <w:t>em</w:t>
      </w:r>
      <w:r>
        <w:rPr>
          <w:spacing w:val="-25"/>
        </w:rPr>
        <w:t> </w:t>
      </w:r>
      <w:r>
        <w:rPr/>
        <w:t>31 de</w:t>
      </w:r>
      <w:r>
        <w:rPr>
          <w:spacing w:val="-33"/>
        </w:rPr>
        <w:t> </w:t>
      </w:r>
      <w:r>
        <w:rPr/>
        <w:t>dezembro</w:t>
      </w:r>
      <w:r>
        <w:rPr>
          <w:spacing w:val="-31"/>
        </w:rPr>
        <w:t> </w:t>
      </w:r>
      <w:r>
        <w:rPr/>
        <w:t>de</w:t>
      </w:r>
      <w:r>
        <w:rPr>
          <w:spacing w:val="-31"/>
        </w:rPr>
        <w:t> </w:t>
      </w:r>
      <w:r>
        <w:rPr/>
        <w:t>2016,</w:t>
      </w:r>
      <w:r>
        <w:rPr>
          <w:spacing w:val="-31"/>
        </w:rPr>
        <w:t> </w:t>
      </w:r>
      <w:r>
        <w:rPr/>
        <w:t>foram</w:t>
      </w:r>
      <w:r>
        <w:rPr>
          <w:spacing w:val="-32"/>
        </w:rPr>
        <w:t> </w:t>
      </w:r>
      <w:r>
        <w:rPr/>
        <w:t>valorizados</w:t>
      </w:r>
      <w:r>
        <w:rPr>
          <w:spacing w:val="-30"/>
        </w:rPr>
        <w:t> </w:t>
      </w:r>
      <w:r>
        <w:rPr/>
        <w:t>com</w:t>
      </w:r>
      <w:r>
        <w:rPr>
          <w:spacing w:val="-32"/>
        </w:rPr>
        <w:t> </w:t>
      </w:r>
      <w:r>
        <w:rPr/>
        <w:t>base</w:t>
      </w:r>
      <w:r>
        <w:rPr>
          <w:spacing w:val="-30"/>
        </w:rPr>
        <w:t> </w:t>
      </w:r>
      <w:r>
        <w:rPr/>
        <w:t>na</w:t>
      </w:r>
      <w:r>
        <w:rPr>
          <w:spacing w:val="-29"/>
        </w:rPr>
        <w:t> </w:t>
      </w:r>
      <w:r>
        <w:rPr/>
        <w:t>BRR</w:t>
      </w:r>
      <w:r>
        <w:rPr>
          <w:spacing w:val="-28"/>
        </w:rPr>
        <w:t> </w:t>
      </w:r>
      <w:r>
        <w:rPr>
          <w:w w:val="105"/>
        </w:rPr>
        <w:t>–</w:t>
      </w:r>
      <w:r>
        <w:rPr>
          <w:spacing w:val="-34"/>
          <w:w w:val="105"/>
        </w:rPr>
        <w:t> </w:t>
      </w:r>
      <w:r>
        <w:rPr/>
        <w:t>Base</w:t>
      </w:r>
      <w:r>
        <w:rPr>
          <w:spacing w:val="-31"/>
        </w:rPr>
        <w:t> </w:t>
      </w:r>
      <w:r>
        <w:rPr/>
        <w:t>de</w:t>
      </w:r>
      <w:r>
        <w:rPr>
          <w:spacing w:val="-32"/>
        </w:rPr>
        <w:t> </w:t>
      </w:r>
      <w:r>
        <w:rPr/>
        <w:t>Remuneração</w:t>
      </w:r>
      <w:r>
        <w:rPr>
          <w:spacing w:val="-31"/>
        </w:rPr>
        <w:t> </w:t>
      </w:r>
      <w:r>
        <w:rPr/>
        <w:t>Regulatória,</w:t>
      </w:r>
      <w:r>
        <w:rPr>
          <w:spacing w:val="-31"/>
        </w:rPr>
        <w:t> </w:t>
      </w:r>
      <w:r>
        <w:rPr/>
        <w:t>conceito</w:t>
      </w:r>
      <w:r>
        <w:rPr>
          <w:spacing w:val="-30"/>
        </w:rPr>
        <w:t> </w:t>
      </w:r>
      <w:r>
        <w:rPr/>
        <w:t>de</w:t>
      </w:r>
      <w:r>
        <w:rPr>
          <w:spacing w:val="-32"/>
        </w:rPr>
        <w:t> </w:t>
      </w:r>
      <w:r>
        <w:rPr/>
        <w:t>valor</w:t>
      </w:r>
      <w:r>
        <w:rPr>
          <w:spacing w:val="-32"/>
        </w:rPr>
        <w:t> </w:t>
      </w:r>
      <w:r>
        <w:rPr/>
        <w:t>de reposição,</w:t>
      </w:r>
      <w:r>
        <w:rPr>
          <w:spacing w:val="-36"/>
        </w:rPr>
        <w:t> </w:t>
      </w:r>
      <w:r>
        <w:rPr/>
        <w:t>que</w:t>
      </w:r>
      <w:r>
        <w:rPr>
          <w:spacing w:val="-36"/>
        </w:rPr>
        <w:t> </w:t>
      </w:r>
      <w:r>
        <w:rPr/>
        <w:t>é</w:t>
      </w:r>
      <w:r>
        <w:rPr>
          <w:spacing w:val="-36"/>
        </w:rPr>
        <w:t> </w:t>
      </w:r>
      <w:r>
        <w:rPr/>
        <w:t>utilizada</w:t>
      </w:r>
      <w:r>
        <w:rPr>
          <w:spacing w:val="-35"/>
        </w:rPr>
        <w:t> </w:t>
      </w:r>
      <w:r>
        <w:rPr/>
        <w:t>para</w:t>
      </w:r>
      <w:r>
        <w:rPr>
          <w:spacing w:val="-36"/>
        </w:rPr>
        <w:t> </w:t>
      </w:r>
      <w:r>
        <w:rPr/>
        <w:t>a</w:t>
      </w:r>
      <w:r>
        <w:rPr>
          <w:spacing w:val="-35"/>
        </w:rPr>
        <w:t> </w:t>
      </w:r>
      <w:r>
        <w:rPr/>
        <w:t>determinação</w:t>
      </w:r>
      <w:r>
        <w:rPr>
          <w:spacing w:val="-36"/>
        </w:rPr>
        <w:t> </w:t>
      </w:r>
      <w:r>
        <w:rPr/>
        <w:t>tarifária.</w:t>
      </w:r>
      <w:r>
        <w:rPr>
          <w:spacing w:val="-35"/>
        </w:rPr>
        <w:t> </w:t>
      </w:r>
      <w:r>
        <w:rPr/>
        <w:t>A</w:t>
      </w:r>
      <w:r>
        <w:rPr>
          <w:spacing w:val="-35"/>
        </w:rPr>
        <w:t> </w:t>
      </w:r>
      <w:r>
        <w:rPr/>
        <w:t>valorização</w:t>
      </w:r>
      <w:r>
        <w:rPr>
          <w:spacing w:val="-36"/>
        </w:rPr>
        <w:t> </w:t>
      </w:r>
      <w:r>
        <w:rPr/>
        <w:t>pela</w:t>
      </w:r>
      <w:r>
        <w:rPr>
          <w:spacing w:val="-36"/>
        </w:rPr>
        <w:t> </w:t>
      </w:r>
      <w:r>
        <w:rPr/>
        <w:t>BRR,</w:t>
      </w:r>
      <w:r>
        <w:rPr>
          <w:spacing w:val="-36"/>
        </w:rPr>
        <w:t> </w:t>
      </w:r>
      <w:r>
        <w:rPr/>
        <w:t>apesar</w:t>
      </w:r>
      <w:r>
        <w:rPr>
          <w:spacing w:val="-36"/>
        </w:rPr>
        <w:t> </w:t>
      </w:r>
      <w:r>
        <w:rPr/>
        <w:t>de</w:t>
      </w:r>
      <w:r>
        <w:rPr>
          <w:spacing w:val="-35"/>
        </w:rPr>
        <w:t> </w:t>
      </w:r>
      <w:r>
        <w:rPr/>
        <w:t>não</w:t>
      </w:r>
      <w:r>
        <w:rPr>
          <w:spacing w:val="-35"/>
        </w:rPr>
        <w:t> </w:t>
      </w:r>
      <w:r>
        <w:rPr/>
        <w:t>haver</w:t>
      </w:r>
      <w:r>
        <w:rPr>
          <w:spacing w:val="-35"/>
        </w:rPr>
        <w:t> </w:t>
      </w:r>
      <w:r>
        <w:rPr/>
        <w:t>legislação</w:t>
      </w:r>
      <w:r>
        <w:rPr>
          <w:spacing w:val="-36"/>
        </w:rPr>
        <w:t> </w:t>
      </w:r>
      <w:r>
        <w:rPr/>
        <w:t>que confirmasse</w:t>
      </w:r>
      <w:r>
        <w:rPr>
          <w:spacing w:val="-7"/>
        </w:rPr>
        <w:t> </w:t>
      </w:r>
      <w:r>
        <w:rPr/>
        <w:t>que</w:t>
      </w:r>
      <w:r>
        <w:rPr>
          <w:spacing w:val="-8"/>
        </w:rPr>
        <w:t> </w:t>
      </w:r>
      <w:r>
        <w:rPr/>
        <w:t>a</w:t>
      </w:r>
      <w:r>
        <w:rPr>
          <w:spacing w:val="-5"/>
        </w:rPr>
        <w:t> </w:t>
      </w:r>
      <w:r>
        <w:rPr/>
        <w:t>indenização</w:t>
      </w:r>
      <w:r>
        <w:rPr>
          <w:spacing w:val="-7"/>
        </w:rPr>
        <w:t> </w:t>
      </w:r>
      <w:r>
        <w:rPr/>
        <w:t>seria</w:t>
      </w:r>
      <w:r>
        <w:rPr>
          <w:spacing w:val="-5"/>
        </w:rPr>
        <w:t> </w:t>
      </w:r>
      <w:r>
        <w:rPr/>
        <w:t>neste</w:t>
      </w:r>
      <w:r>
        <w:rPr>
          <w:spacing w:val="-7"/>
        </w:rPr>
        <w:t> </w:t>
      </w:r>
      <w:r>
        <w:rPr/>
        <w:t>conceito,</w:t>
      </w:r>
      <w:r>
        <w:rPr>
          <w:spacing w:val="-5"/>
        </w:rPr>
        <w:t> </w:t>
      </w:r>
      <w:r>
        <w:rPr/>
        <w:t>guarda</w:t>
      </w:r>
      <w:r>
        <w:rPr>
          <w:spacing w:val="-7"/>
        </w:rPr>
        <w:t> </w:t>
      </w:r>
      <w:r>
        <w:rPr/>
        <w:t>coerência</w:t>
      </w:r>
      <w:r>
        <w:rPr>
          <w:spacing w:val="-5"/>
        </w:rPr>
        <w:t> </w:t>
      </w:r>
      <w:r>
        <w:rPr/>
        <w:t>com</w:t>
      </w:r>
      <w:r>
        <w:rPr>
          <w:spacing w:val="-6"/>
        </w:rPr>
        <w:t> </w:t>
      </w:r>
      <w:r>
        <w:rPr/>
        <w:t>o</w:t>
      </w:r>
      <w:r>
        <w:rPr>
          <w:spacing w:val="-5"/>
        </w:rPr>
        <w:t> </w:t>
      </w:r>
      <w:r>
        <w:rPr/>
        <w:t>critério</w:t>
      </w:r>
      <w:r>
        <w:rPr>
          <w:spacing w:val="-8"/>
        </w:rPr>
        <w:t> </w:t>
      </w:r>
      <w:r>
        <w:rPr/>
        <w:t>utilizado</w:t>
      </w:r>
      <w:r>
        <w:rPr>
          <w:spacing w:val="-5"/>
        </w:rPr>
        <w:t> </w:t>
      </w:r>
      <w:r>
        <w:rPr/>
        <w:t>pela</w:t>
      </w:r>
      <w:r>
        <w:rPr>
          <w:spacing w:val="-7"/>
        </w:rPr>
        <w:t> </w:t>
      </w:r>
      <w:r>
        <w:rPr/>
        <w:t>ANEEL</w:t>
      </w:r>
      <w:r>
        <w:rPr>
          <w:spacing w:val="-5"/>
        </w:rPr>
        <w:t> </w:t>
      </w:r>
      <w:r>
        <w:rPr/>
        <w:t>para determinar</w:t>
      </w:r>
      <w:r>
        <w:rPr>
          <w:spacing w:val="-18"/>
        </w:rPr>
        <w:t> </w:t>
      </w:r>
      <w:r>
        <w:rPr/>
        <w:t>a</w:t>
      </w:r>
      <w:r>
        <w:rPr>
          <w:spacing w:val="-18"/>
        </w:rPr>
        <w:t> </w:t>
      </w:r>
      <w:r>
        <w:rPr/>
        <w:t>tarifa</w:t>
      </w:r>
      <w:r>
        <w:rPr>
          <w:spacing w:val="-18"/>
        </w:rPr>
        <w:t> </w:t>
      </w:r>
      <w:r>
        <w:rPr/>
        <w:t>de</w:t>
      </w:r>
      <w:r>
        <w:rPr>
          <w:spacing w:val="-19"/>
        </w:rPr>
        <w:t> </w:t>
      </w:r>
      <w:r>
        <w:rPr/>
        <w:t>energia</w:t>
      </w:r>
      <w:r>
        <w:rPr>
          <w:spacing w:val="-18"/>
        </w:rPr>
        <w:t> </w:t>
      </w:r>
      <w:r>
        <w:rPr/>
        <w:t>das</w:t>
      </w:r>
      <w:r>
        <w:rPr>
          <w:spacing w:val="-18"/>
        </w:rPr>
        <w:t> </w:t>
      </w:r>
      <w:r>
        <w:rPr/>
        <w:t>distribuidoras.</w:t>
      </w:r>
    </w:p>
    <w:p>
      <w:pPr>
        <w:pStyle w:val="BodyText"/>
        <w:spacing w:before="6"/>
      </w:pPr>
    </w:p>
    <w:p>
      <w:pPr>
        <w:pStyle w:val="BodyText"/>
        <w:spacing w:line="242" w:lineRule="auto"/>
        <w:ind w:left="192" w:right="606"/>
        <w:jc w:val="both"/>
      </w:pPr>
      <w:r>
        <w:rPr/>
        <w:t>Com</w:t>
      </w:r>
      <w:r>
        <w:rPr>
          <w:spacing w:val="-29"/>
        </w:rPr>
        <w:t> </w:t>
      </w:r>
      <w:r>
        <w:rPr/>
        <w:t>a</w:t>
      </w:r>
      <w:r>
        <w:rPr>
          <w:spacing w:val="-26"/>
        </w:rPr>
        <w:t> </w:t>
      </w:r>
      <w:r>
        <w:rPr/>
        <w:t>edição</w:t>
      </w:r>
      <w:r>
        <w:rPr>
          <w:spacing w:val="-27"/>
        </w:rPr>
        <w:t> </w:t>
      </w:r>
      <w:r>
        <w:rPr/>
        <w:t>da</w:t>
      </w:r>
      <w:r>
        <w:rPr>
          <w:spacing w:val="-28"/>
        </w:rPr>
        <w:t> </w:t>
      </w:r>
      <w:r>
        <w:rPr/>
        <w:t>Medida</w:t>
      </w:r>
      <w:r>
        <w:rPr>
          <w:spacing w:val="-26"/>
        </w:rPr>
        <w:t> </w:t>
      </w:r>
      <w:r>
        <w:rPr/>
        <w:t>Provisória</w:t>
      </w:r>
      <w:r>
        <w:rPr>
          <w:spacing w:val="-26"/>
        </w:rPr>
        <w:t> </w:t>
      </w:r>
      <w:r>
        <w:rPr/>
        <w:t>nº</w:t>
      </w:r>
      <w:r>
        <w:rPr>
          <w:spacing w:val="-27"/>
        </w:rPr>
        <w:t> </w:t>
      </w:r>
      <w:r>
        <w:rPr/>
        <w:t>579,</w:t>
      </w:r>
      <w:r>
        <w:rPr>
          <w:spacing w:val="-27"/>
        </w:rPr>
        <w:t> </w:t>
      </w:r>
      <w:r>
        <w:rPr/>
        <w:t>convertida</w:t>
      </w:r>
      <w:r>
        <w:rPr>
          <w:spacing w:val="-23"/>
        </w:rPr>
        <w:t> </w:t>
      </w:r>
      <w:r>
        <w:rPr/>
        <w:t>na</w:t>
      </w:r>
      <w:r>
        <w:rPr>
          <w:spacing w:val="-27"/>
        </w:rPr>
        <w:t> </w:t>
      </w:r>
      <w:r>
        <w:rPr/>
        <w:t>Lei</w:t>
      </w:r>
      <w:r>
        <w:rPr>
          <w:spacing w:val="-27"/>
        </w:rPr>
        <w:t> </w:t>
      </w:r>
      <w:r>
        <w:rPr/>
        <w:t>n</w:t>
      </w:r>
      <w:r>
        <w:rPr>
          <w:position w:val="5"/>
          <w:sz w:val="13"/>
        </w:rPr>
        <w:t>o</w:t>
      </w:r>
      <w:r>
        <w:rPr>
          <w:spacing w:val="-17"/>
          <w:position w:val="5"/>
          <w:sz w:val="13"/>
        </w:rPr>
        <w:t> </w:t>
      </w:r>
      <w:r>
        <w:rPr/>
        <w:t>12.783/2013,</w:t>
      </w:r>
      <w:r>
        <w:rPr>
          <w:spacing w:val="-28"/>
        </w:rPr>
        <w:t> </w:t>
      </w:r>
      <w:r>
        <w:rPr/>
        <w:t>foram</w:t>
      </w:r>
      <w:r>
        <w:rPr>
          <w:spacing w:val="-27"/>
        </w:rPr>
        <w:t> </w:t>
      </w:r>
      <w:r>
        <w:rPr/>
        <w:t>definidos</w:t>
      </w:r>
      <w:r>
        <w:rPr>
          <w:spacing w:val="-27"/>
        </w:rPr>
        <w:t> </w:t>
      </w:r>
      <w:r>
        <w:rPr/>
        <w:t>os</w:t>
      </w:r>
      <w:r>
        <w:rPr>
          <w:spacing w:val="-28"/>
        </w:rPr>
        <w:t> </w:t>
      </w:r>
      <w:r>
        <w:rPr/>
        <w:t>critérios</w:t>
      </w:r>
      <w:r>
        <w:rPr>
          <w:spacing w:val="-27"/>
        </w:rPr>
        <w:t> </w:t>
      </w:r>
      <w:r>
        <w:rPr/>
        <w:t>utilizados pelo Poder Concedente para apurar o valor de indenização a ser pago ao término do contrato de concessão. A indenização</w:t>
      </w:r>
      <w:r>
        <w:rPr>
          <w:spacing w:val="-30"/>
        </w:rPr>
        <w:t> </w:t>
      </w:r>
      <w:r>
        <w:rPr/>
        <w:t>será</w:t>
      </w:r>
      <w:r>
        <w:rPr>
          <w:spacing w:val="-27"/>
        </w:rPr>
        <w:t> </w:t>
      </w:r>
      <w:r>
        <w:rPr/>
        <w:t>determinada</w:t>
      </w:r>
      <w:r>
        <w:rPr>
          <w:spacing w:val="-29"/>
        </w:rPr>
        <w:t> </w:t>
      </w:r>
      <w:r>
        <w:rPr/>
        <w:t>com</w:t>
      </w:r>
      <w:r>
        <w:rPr>
          <w:spacing w:val="-28"/>
        </w:rPr>
        <w:t> </w:t>
      </w:r>
      <w:r>
        <w:rPr/>
        <w:t>base</w:t>
      </w:r>
      <w:r>
        <w:rPr>
          <w:spacing w:val="-29"/>
        </w:rPr>
        <w:t> </w:t>
      </w:r>
      <w:r>
        <w:rPr/>
        <w:t>no</w:t>
      </w:r>
      <w:r>
        <w:rPr>
          <w:spacing w:val="-29"/>
        </w:rPr>
        <w:t> </w:t>
      </w:r>
      <w:r>
        <w:rPr/>
        <w:t>valor</w:t>
      </w:r>
      <w:r>
        <w:rPr>
          <w:spacing w:val="-29"/>
        </w:rPr>
        <w:t> </w:t>
      </w:r>
      <w:r>
        <w:rPr/>
        <w:t>novo</w:t>
      </w:r>
      <w:r>
        <w:rPr>
          <w:spacing w:val="-28"/>
        </w:rPr>
        <w:t> </w:t>
      </w:r>
      <w:r>
        <w:rPr/>
        <w:t>de</w:t>
      </w:r>
      <w:r>
        <w:rPr>
          <w:spacing w:val="-29"/>
        </w:rPr>
        <w:t> </w:t>
      </w:r>
      <w:r>
        <w:rPr/>
        <w:t>reposição</w:t>
      </w:r>
      <w:r>
        <w:rPr>
          <w:spacing w:val="-28"/>
        </w:rPr>
        <w:t> </w:t>
      </w:r>
      <w:r>
        <w:rPr/>
        <w:t>depreciado,</w:t>
      </w:r>
      <w:r>
        <w:rPr>
          <w:spacing w:val="-28"/>
        </w:rPr>
        <w:t> </w:t>
      </w:r>
      <w:r>
        <w:rPr/>
        <w:t>utilizando</w:t>
      </w:r>
      <w:r>
        <w:rPr>
          <w:spacing w:val="-29"/>
        </w:rPr>
        <w:t> </w:t>
      </w:r>
      <w:r>
        <w:rPr/>
        <w:t>a</w:t>
      </w:r>
      <w:r>
        <w:rPr>
          <w:spacing w:val="-29"/>
        </w:rPr>
        <w:t> </w:t>
      </w:r>
      <w:r>
        <w:rPr/>
        <w:t>Base</w:t>
      </w:r>
      <w:r>
        <w:rPr>
          <w:spacing w:val="-29"/>
        </w:rPr>
        <w:t> </w:t>
      </w:r>
      <w:r>
        <w:rPr/>
        <w:t>de</w:t>
      </w:r>
      <w:r>
        <w:rPr>
          <w:spacing w:val="-29"/>
        </w:rPr>
        <w:t> </w:t>
      </w:r>
      <w:r>
        <w:rPr/>
        <w:t>Remuneração Regulatória</w:t>
      </w:r>
      <w:r>
        <w:rPr>
          <w:spacing w:val="-33"/>
        </w:rPr>
        <w:t> </w:t>
      </w:r>
      <w:r>
        <w:rPr>
          <w:w w:val="105"/>
        </w:rPr>
        <w:t>–</w:t>
      </w:r>
      <w:r>
        <w:rPr>
          <w:spacing w:val="-35"/>
          <w:w w:val="105"/>
        </w:rPr>
        <w:t> </w:t>
      </w:r>
      <w:r>
        <w:rPr/>
        <w:t>BRR.</w:t>
      </w:r>
      <w:r>
        <w:rPr>
          <w:spacing w:val="-33"/>
        </w:rPr>
        <w:t> </w:t>
      </w:r>
      <w:r>
        <w:rPr/>
        <w:t>Desta</w:t>
      </w:r>
      <w:r>
        <w:rPr>
          <w:spacing w:val="-33"/>
        </w:rPr>
        <w:t> </w:t>
      </w:r>
      <w:r>
        <w:rPr/>
        <w:t>forma,</w:t>
      </w:r>
      <w:r>
        <w:rPr>
          <w:spacing w:val="-33"/>
        </w:rPr>
        <w:t> </w:t>
      </w:r>
      <w:r>
        <w:rPr/>
        <w:t>o</w:t>
      </w:r>
      <w:r>
        <w:rPr>
          <w:spacing w:val="-33"/>
        </w:rPr>
        <w:t> </w:t>
      </w:r>
      <w:r>
        <w:rPr/>
        <w:t>valor</w:t>
      </w:r>
      <w:r>
        <w:rPr>
          <w:spacing w:val="-33"/>
        </w:rPr>
        <w:t> </w:t>
      </w:r>
      <w:r>
        <w:rPr/>
        <w:t>da</w:t>
      </w:r>
      <w:r>
        <w:rPr>
          <w:spacing w:val="-33"/>
        </w:rPr>
        <w:t> </w:t>
      </w:r>
      <w:r>
        <w:rPr/>
        <w:t>indenização</w:t>
      </w:r>
      <w:r>
        <w:rPr>
          <w:spacing w:val="-33"/>
        </w:rPr>
        <w:t> </w:t>
      </w:r>
      <w:r>
        <w:rPr/>
        <w:t>a</w:t>
      </w:r>
      <w:r>
        <w:rPr>
          <w:spacing w:val="-33"/>
        </w:rPr>
        <w:t> </w:t>
      </w:r>
      <w:r>
        <w:rPr/>
        <w:t>ser</w:t>
      </w:r>
      <w:r>
        <w:rPr>
          <w:spacing w:val="-32"/>
        </w:rPr>
        <w:t> </w:t>
      </w:r>
      <w:r>
        <w:rPr/>
        <w:t>recebido</w:t>
      </w:r>
      <w:r>
        <w:rPr>
          <w:spacing w:val="-32"/>
        </w:rPr>
        <w:t> </w:t>
      </w:r>
      <w:r>
        <w:rPr/>
        <w:t>(fluxo</w:t>
      </w:r>
      <w:r>
        <w:rPr>
          <w:spacing w:val="-32"/>
        </w:rPr>
        <w:t> </w:t>
      </w:r>
      <w:r>
        <w:rPr/>
        <w:t>de</w:t>
      </w:r>
      <w:r>
        <w:rPr>
          <w:spacing w:val="-32"/>
        </w:rPr>
        <w:t> </w:t>
      </w:r>
      <w:r>
        <w:rPr/>
        <w:t>caixa)</w:t>
      </w:r>
      <w:r>
        <w:rPr>
          <w:spacing w:val="-33"/>
        </w:rPr>
        <w:t> </w:t>
      </w:r>
      <w:r>
        <w:rPr/>
        <w:t>através</w:t>
      </w:r>
      <w:r>
        <w:rPr>
          <w:spacing w:val="-33"/>
        </w:rPr>
        <w:t> </w:t>
      </w:r>
      <w:r>
        <w:rPr/>
        <w:t>deste</w:t>
      </w:r>
      <w:r>
        <w:rPr>
          <w:spacing w:val="-34"/>
        </w:rPr>
        <w:t> </w:t>
      </w:r>
      <w:r>
        <w:rPr/>
        <w:t>ativo</w:t>
      </w:r>
      <w:r>
        <w:rPr>
          <w:spacing w:val="-32"/>
        </w:rPr>
        <w:t> </w:t>
      </w:r>
      <w:r>
        <w:rPr/>
        <w:t>financeiro foi estabelecido com base nessas informações. Conforme estabelecido pelo pronunciamento técnico CPC 38 </w:t>
      </w:r>
      <w:r>
        <w:rPr>
          <w:w w:val="105"/>
        </w:rPr>
        <w:t>– </w:t>
      </w:r>
      <w:r>
        <w:rPr>
          <w:w w:val="95"/>
        </w:rPr>
        <w:t>Instrumentos</w:t>
      </w:r>
      <w:r>
        <w:rPr>
          <w:spacing w:val="-18"/>
          <w:w w:val="95"/>
        </w:rPr>
        <w:t> </w:t>
      </w:r>
      <w:r>
        <w:rPr>
          <w:w w:val="95"/>
        </w:rPr>
        <w:t>Financeiros:</w:t>
      </w:r>
      <w:r>
        <w:rPr>
          <w:spacing w:val="-17"/>
          <w:w w:val="95"/>
        </w:rPr>
        <w:t> </w:t>
      </w:r>
      <w:r>
        <w:rPr>
          <w:w w:val="95"/>
        </w:rPr>
        <w:t>Reconhecimento</w:t>
      </w:r>
      <w:r>
        <w:rPr>
          <w:spacing w:val="-18"/>
          <w:w w:val="95"/>
        </w:rPr>
        <w:t> </w:t>
      </w:r>
      <w:r>
        <w:rPr>
          <w:w w:val="95"/>
        </w:rPr>
        <w:t>e</w:t>
      </w:r>
      <w:r>
        <w:rPr>
          <w:spacing w:val="-19"/>
          <w:w w:val="95"/>
        </w:rPr>
        <w:t> </w:t>
      </w:r>
      <w:r>
        <w:rPr>
          <w:w w:val="95"/>
        </w:rPr>
        <w:t>Mensuração,</w:t>
      </w:r>
      <w:r>
        <w:rPr>
          <w:spacing w:val="-18"/>
          <w:w w:val="95"/>
        </w:rPr>
        <w:t> </w:t>
      </w:r>
      <w:r>
        <w:rPr>
          <w:w w:val="95"/>
        </w:rPr>
        <w:t>as</w:t>
      </w:r>
      <w:r>
        <w:rPr>
          <w:spacing w:val="-16"/>
          <w:w w:val="95"/>
        </w:rPr>
        <w:t> </w:t>
      </w:r>
      <w:r>
        <w:rPr>
          <w:w w:val="95"/>
        </w:rPr>
        <w:t>variações</w:t>
      </w:r>
      <w:r>
        <w:rPr>
          <w:spacing w:val="-17"/>
          <w:w w:val="95"/>
        </w:rPr>
        <w:t> </w:t>
      </w:r>
      <w:r>
        <w:rPr>
          <w:w w:val="95"/>
        </w:rPr>
        <w:t>na</w:t>
      </w:r>
      <w:r>
        <w:rPr>
          <w:spacing w:val="-17"/>
          <w:w w:val="95"/>
        </w:rPr>
        <w:t> </w:t>
      </w:r>
      <w:r>
        <w:rPr>
          <w:w w:val="95"/>
        </w:rPr>
        <w:t>estimativa</w:t>
      </w:r>
      <w:r>
        <w:rPr>
          <w:spacing w:val="-14"/>
          <w:w w:val="95"/>
        </w:rPr>
        <w:t> </w:t>
      </w:r>
      <w:r>
        <w:rPr>
          <w:w w:val="95"/>
        </w:rPr>
        <w:t>de</w:t>
      </w:r>
      <w:r>
        <w:rPr>
          <w:spacing w:val="-19"/>
          <w:w w:val="95"/>
        </w:rPr>
        <w:t> </w:t>
      </w:r>
      <w:r>
        <w:rPr>
          <w:w w:val="95"/>
        </w:rPr>
        <w:t>fluxo</w:t>
      </w:r>
      <w:r>
        <w:rPr>
          <w:spacing w:val="-15"/>
          <w:w w:val="95"/>
        </w:rPr>
        <w:t> </w:t>
      </w:r>
      <w:r>
        <w:rPr>
          <w:w w:val="95"/>
        </w:rPr>
        <w:t>de</w:t>
      </w:r>
      <w:r>
        <w:rPr>
          <w:spacing w:val="-19"/>
          <w:w w:val="95"/>
        </w:rPr>
        <w:t> </w:t>
      </w:r>
      <w:r>
        <w:rPr>
          <w:w w:val="95"/>
        </w:rPr>
        <w:t>caixa</w:t>
      </w:r>
      <w:r>
        <w:rPr>
          <w:spacing w:val="-17"/>
          <w:w w:val="95"/>
        </w:rPr>
        <w:t> </w:t>
      </w:r>
      <w:r>
        <w:rPr>
          <w:w w:val="95"/>
        </w:rPr>
        <w:t>são</w:t>
      </w:r>
      <w:r>
        <w:rPr>
          <w:spacing w:val="-18"/>
          <w:w w:val="95"/>
        </w:rPr>
        <w:t> </w:t>
      </w:r>
      <w:r>
        <w:rPr>
          <w:w w:val="95"/>
        </w:rPr>
        <w:t>registradas </w:t>
      </w:r>
      <w:r>
        <w:rPr/>
        <w:t>diretamente</w:t>
      </w:r>
      <w:r>
        <w:rPr>
          <w:spacing w:val="-26"/>
        </w:rPr>
        <w:t> </w:t>
      </w:r>
      <w:r>
        <w:rPr/>
        <w:t>no</w:t>
      </w:r>
      <w:r>
        <w:rPr>
          <w:spacing w:val="-22"/>
        </w:rPr>
        <w:t> </w:t>
      </w:r>
      <w:r>
        <w:rPr/>
        <w:t>resultado</w:t>
      </w:r>
      <w:r>
        <w:rPr>
          <w:spacing w:val="-25"/>
        </w:rPr>
        <w:t> </w:t>
      </w:r>
      <w:r>
        <w:rPr/>
        <w:t>do</w:t>
      </w:r>
      <w:r>
        <w:rPr>
          <w:spacing w:val="-23"/>
        </w:rPr>
        <w:t> </w:t>
      </w:r>
      <w:r>
        <w:rPr/>
        <w:t>exercício.</w:t>
      </w:r>
      <w:r>
        <w:rPr>
          <w:spacing w:val="-23"/>
        </w:rPr>
        <w:t> </w:t>
      </w:r>
      <w:r>
        <w:rPr/>
        <w:t>Portanto,</w:t>
      </w:r>
      <w:r>
        <w:rPr>
          <w:spacing w:val="-24"/>
        </w:rPr>
        <w:t> </w:t>
      </w:r>
      <w:r>
        <w:rPr/>
        <w:t>com</w:t>
      </w:r>
      <w:r>
        <w:rPr>
          <w:spacing w:val="-23"/>
        </w:rPr>
        <w:t> </w:t>
      </w:r>
      <w:r>
        <w:rPr/>
        <w:t>o</w:t>
      </w:r>
      <w:r>
        <w:rPr>
          <w:spacing w:val="-22"/>
        </w:rPr>
        <w:t> </w:t>
      </w:r>
      <w:r>
        <w:rPr/>
        <w:t>advento</w:t>
      </w:r>
      <w:r>
        <w:rPr>
          <w:spacing w:val="-23"/>
        </w:rPr>
        <w:t> </w:t>
      </w:r>
      <w:r>
        <w:rPr/>
        <w:t>da</w:t>
      </w:r>
      <w:r>
        <w:rPr>
          <w:spacing w:val="-24"/>
        </w:rPr>
        <w:t> </w:t>
      </w:r>
      <w:r>
        <w:rPr/>
        <w:t>Medida</w:t>
      </w:r>
      <w:r>
        <w:rPr>
          <w:spacing w:val="-23"/>
        </w:rPr>
        <w:t> </w:t>
      </w:r>
      <w:r>
        <w:rPr/>
        <w:t>Provisória</w:t>
      </w:r>
      <w:r>
        <w:rPr>
          <w:spacing w:val="-24"/>
        </w:rPr>
        <w:t> </w:t>
      </w:r>
      <w:r>
        <w:rPr/>
        <w:t>nº</w:t>
      </w:r>
      <w:r>
        <w:rPr>
          <w:spacing w:val="-23"/>
        </w:rPr>
        <w:t> </w:t>
      </w:r>
      <w:r>
        <w:rPr/>
        <w:t>579,</w:t>
      </w:r>
      <w:r>
        <w:rPr>
          <w:spacing w:val="-24"/>
        </w:rPr>
        <w:t> </w:t>
      </w:r>
      <w:r>
        <w:rPr/>
        <w:t>confirmou-se</w:t>
      </w:r>
      <w:r>
        <w:rPr>
          <w:spacing w:val="-25"/>
        </w:rPr>
        <w:t> </w:t>
      </w:r>
      <w:r>
        <w:rPr/>
        <w:t>que</w:t>
      </w:r>
      <w:r>
        <w:rPr>
          <w:spacing w:val="-25"/>
        </w:rPr>
        <w:t> </w:t>
      </w:r>
      <w:r>
        <w:rPr/>
        <w:t>as variações</w:t>
      </w:r>
      <w:r>
        <w:rPr>
          <w:spacing w:val="-32"/>
        </w:rPr>
        <w:t> </w:t>
      </w:r>
      <w:r>
        <w:rPr/>
        <w:t>no</w:t>
      </w:r>
      <w:r>
        <w:rPr>
          <w:spacing w:val="-31"/>
        </w:rPr>
        <w:t> </w:t>
      </w:r>
      <w:r>
        <w:rPr/>
        <w:t>valor</w:t>
      </w:r>
      <w:r>
        <w:rPr>
          <w:spacing w:val="-32"/>
        </w:rPr>
        <w:t> </w:t>
      </w:r>
      <w:r>
        <w:rPr/>
        <w:t>da</w:t>
      </w:r>
      <w:r>
        <w:rPr>
          <w:spacing w:val="-31"/>
        </w:rPr>
        <w:t> </w:t>
      </w:r>
      <w:r>
        <w:rPr/>
        <w:t>indenização</w:t>
      </w:r>
      <w:r>
        <w:rPr>
          <w:spacing w:val="-32"/>
        </w:rPr>
        <w:t> </w:t>
      </w:r>
      <w:r>
        <w:rPr/>
        <w:t>decorrentes</w:t>
      </w:r>
      <w:r>
        <w:rPr>
          <w:spacing w:val="-31"/>
        </w:rPr>
        <w:t> </w:t>
      </w:r>
      <w:r>
        <w:rPr/>
        <w:t>da</w:t>
      </w:r>
      <w:r>
        <w:rPr>
          <w:spacing w:val="-31"/>
        </w:rPr>
        <w:t> </w:t>
      </w:r>
      <w:r>
        <w:rPr/>
        <w:t>atualização</w:t>
      </w:r>
      <w:r>
        <w:rPr>
          <w:spacing w:val="-32"/>
        </w:rPr>
        <w:t> </w:t>
      </w:r>
      <w:r>
        <w:rPr/>
        <w:t>monetária</w:t>
      </w:r>
      <w:r>
        <w:rPr>
          <w:spacing w:val="-31"/>
        </w:rPr>
        <w:t> </w:t>
      </w:r>
      <w:r>
        <w:rPr/>
        <w:t>ou</w:t>
      </w:r>
      <w:r>
        <w:rPr>
          <w:spacing w:val="-32"/>
        </w:rPr>
        <w:t> </w:t>
      </w:r>
      <w:r>
        <w:rPr/>
        <w:t>dos</w:t>
      </w:r>
      <w:r>
        <w:rPr>
          <w:spacing w:val="-32"/>
        </w:rPr>
        <w:t> </w:t>
      </w:r>
      <w:r>
        <w:rPr/>
        <w:t>valores</w:t>
      </w:r>
      <w:r>
        <w:rPr>
          <w:spacing w:val="-31"/>
        </w:rPr>
        <w:t> </w:t>
      </w:r>
      <w:r>
        <w:rPr/>
        <w:t>de</w:t>
      </w:r>
      <w:r>
        <w:rPr>
          <w:spacing w:val="-31"/>
        </w:rPr>
        <w:t> </w:t>
      </w:r>
      <w:r>
        <w:rPr/>
        <w:t>reposição</w:t>
      </w:r>
      <w:r>
        <w:rPr>
          <w:spacing w:val="-32"/>
        </w:rPr>
        <w:t> </w:t>
      </w:r>
      <w:r>
        <w:rPr/>
        <w:t>constituem-se em</w:t>
      </w:r>
      <w:r>
        <w:rPr>
          <w:spacing w:val="-26"/>
        </w:rPr>
        <w:t> </w:t>
      </w:r>
      <w:r>
        <w:rPr/>
        <w:t>elemento</w:t>
      </w:r>
      <w:r>
        <w:rPr>
          <w:spacing w:val="-25"/>
        </w:rPr>
        <w:t> </w:t>
      </w:r>
      <w:r>
        <w:rPr/>
        <w:t>do</w:t>
      </w:r>
      <w:r>
        <w:rPr>
          <w:spacing w:val="-25"/>
        </w:rPr>
        <w:t> </w:t>
      </w:r>
      <w:r>
        <w:rPr/>
        <w:t>fluxo</w:t>
      </w:r>
      <w:r>
        <w:rPr>
          <w:spacing w:val="-26"/>
        </w:rPr>
        <w:t> </w:t>
      </w:r>
      <w:r>
        <w:rPr/>
        <w:t>de</w:t>
      </w:r>
      <w:r>
        <w:rPr>
          <w:spacing w:val="-28"/>
        </w:rPr>
        <w:t> </w:t>
      </w:r>
      <w:r>
        <w:rPr/>
        <w:t>caixa</w:t>
      </w:r>
      <w:r>
        <w:rPr>
          <w:spacing w:val="-26"/>
        </w:rPr>
        <w:t> </w:t>
      </w:r>
      <w:r>
        <w:rPr/>
        <w:t>esperado</w:t>
      </w:r>
      <w:r>
        <w:rPr>
          <w:spacing w:val="-25"/>
        </w:rPr>
        <w:t> </w:t>
      </w:r>
      <w:r>
        <w:rPr/>
        <w:t>e,</w:t>
      </w:r>
      <w:r>
        <w:rPr>
          <w:spacing w:val="-27"/>
        </w:rPr>
        <w:t> </w:t>
      </w:r>
      <w:r>
        <w:rPr/>
        <w:t>consequentemente,</w:t>
      </w:r>
      <w:r>
        <w:rPr>
          <w:spacing w:val="-25"/>
        </w:rPr>
        <w:t> </w:t>
      </w:r>
      <w:r>
        <w:rPr/>
        <w:t>devem</w:t>
      </w:r>
      <w:r>
        <w:rPr>
          <w:spacing w:val="-27"/>
        </w:rPr>
        <w:t> </w:t>
      </w:r>
      <w:r>
        <w:rPr/>
        <w:t>ser</w:t>
      </w:r>
      <w:r>
        <w:rPr>
          <w:spacing w:val="-25"/>
        </w:rPr>
        <w:t> </w:t>
      </w:r>
      <w:r>
        <w:rPr/>
        <w:t>registrados</w:t>
      </w:r>
      <w:r>
        <w:rPr>
          <w:spacing w:val="-26"/>
        </w:rPr>
        <w:t> </w:t>
      </w:r>
      <w:r>
        <w:rPr/>
        <w:t>no</w:t>
      </w:r>
      <w:r>
        <w:rPr>
          <w:spacing w:val="-24"/>
        </w:rPr>
        <w:t> </w:t>
      </w:r>
      <w:r>
        <w:rPr/>
        <w:t>resultado.</w:t>
      </w:r>
    </w:p>
    <w:p>
      <w:pPr>
        <w:pStyle w:val="BodyText"/>
        <w:spacing w:before="9"/>
      </w:pPr>
    </w:p>
    <w:p>
      <w:pPr>
        <w:pStyle w:val="BodyText"/>
        <w:spacing w:line="242" w:lineRule="auto" w:before="1"/>
        <w:ind w:left="192" w:right="603"/>
        <w:jc w:val="both"/>
      </w:pPr>
      <w:r>
        <w:rPr/>
        <w:t>Os ativos classificados como intangível representam o direito de exploração da infraestrutura, construída ou adquirida</w:t>
      </w:r>
      <w:r>
        <w:rPr>
          <w:spacing w:val="-28"/>
        </w:rPr>
        <w:t> </w:t>
      </w:r>
      <w:r>
        <w:rPr/>
        <w:t>sob</w:t>
      </w:r>
      <w:r>
        <w:rPr>
          <w:spacing w:val="-29"/>
        </w:rPr>
        <w:t> </w:t>
      </w:r>
      <w:r>
        <w:rPr/>
        <w:t>o</w:t>
      </w:r>
      <w:r>
        <w:rPr>
          <w:spacing w:val="-28"/>
        </w:rPr>
        <w:t> </w:t>
      </w:r>
      <w:r>
        <w:rPr/>
        <w:t>regime</w:t>
      </w:r>
      <w:r>
        <w:rPr>
          <w:spacing w:val="-28"/>
        </w:rPr>
        <w:t> </w:t>
      </w:r>
      <w:r>
        <w:rPr/>
        <w:t>de</w:t>
      </w:r>
      <w:r>
        <w:rPr>
          <w:spacing w:val="-29"/>
        </w:rPr>
        <w:t> </w:t>
      </w:r>
      <w:r>
        <w:rPr/>
        <w:t>concessão</w:t>
      </w:r>
      <w:r>
        <w:rPr>
          <w:spacing w:val="-25"/>
        </w:rPr>
        <w:t> </w:t>
      </w:r>
      <w:r>
        <w:rPr/>
        <w:t>do</w:t>
      </w:r>
      <w:r>
        <w:rPr>
          <w:spacing w:val="-28"/>
        </w:rPr>
        <w:t> </w:t>
      </w:r>
      <w:r>
        <w:rPr/>
        <w:t>serviço</w:t>
      </w:r>
      <w:r>
        <w:rPr>
          <w:spacing w:val="-28"/>
        </w:rPr>
        <w:t> </w:t>
      </w:r>
      <w:r>
        <w:rPr/>
        <w:t>público</w:t>
      </w:r>
      <w:r>
        <w:rPr>
          <w:spacing w:val="-27"/>
        </w:rPr>
        <w:t> </w:t>
      </w:r>
      <w:r>
        <w:rPr/>
        <w:t>de</w:t>
      </w:r>
      <w:r>
        <w:rPr>
          <w:spacing w:val="-28"/>
        </w:rPr>
        <w:t> </w:t>
      </w:r>
      <w:r>
        <w:rPr/>
        <w:t>energia</w:t>
      </w:r>
      <w:r>
        <w:rPr>
          <w:spacing w:val="-26"/>
        </w:rPr>
        <w:t> </w:t>
      </w:r>
      <w:r>
        <w:rPr/>
        <w:t>elétrica,</w:t>
      </w:r>
      <w:r>
        <w:rPr>
          <w:spacing w:val="-28"/>
        </w:rPr>
        <w:t> </w:t>
      </w:r>
      <w:r>
        <w:rPr/>
        <w:t>e</w:t>
      </w:r>
      <w:r>
        <w:rPr>
          <w:spacing w:val="-28"/>
        </w:rPr>
        <w:t> </w:t>
      </w:r>
      <w:r>
        <w:rPr/>
        <w:t>de</w:t>
      </w:r>
      <w:r>
        <w:rPr>
          <w:spacing w:val="-29"/>
        </w:rPr>
        <w:t> </w:t>
      </w:r>
      <w:r>
        <w:rPr/>
        <w:t>cobrar</w:t>
      </w:r>
      <w:r>
        <w:rPr>
          <w:spacing w:val="-28"/>
        </w:rPr>
        <w:t> </w:t>
      </w:r>
      <w:r>
        <w:rPr/>
        <w:t>dos</w:t>
      </w:r>
      <w:r>
        <w:rPr>
          <w:spacing w:val="-28"/>
        </w:rPr>
        <w:t> </w:t>
      </w:r>
      <w:r>
        <w:rPr/>
        <w:t>consumidores</w:t>
      </w:r>
      <w:r>
        <w:rPr>
          <w:spacing w:val="-27"/>
        </w:rPr>
        <w:t> </w:t>
      </w:r>
      <w:r>
        <w:rPr/>
        <w:t>o</w:t>
      </w:r>
      <w:r>
        <w:rPr>
          <w:spacing w:val="-28"/>
        </w:rPr>
        <w:t> </w:t>
      </w:r>
      <w:r>
        <w:rPr/>
        <w:t>serviço público</w:t>
      </w:r>
      <w:r>
        <w:rPr>
          <w:spacing w:val="-27"/>
        </w:rPr>
        <w:t> </w:t>
      </w:r>
      <w:r>
        <w:rPr/>
        <w:t>prestado,</w:t>
      </w:r>
      <w:r>
        <w:rPr>
          <w:spacing w:val="-26"/>
        </w:rPr>
        <w:t> </w:t>
      </w:r>
      <w:r>
        <w:rPr/>
        <w:t>de</w:t>
      </w:r>
      <w:r>
        <w:rPr>
          <w:spacing w:val="-28"/>
        </w:rPr>
        <w:t> </w:t>
      </w:r>
      <w:r>
        <w:rPr/>
        <w:t>acordo</w:t>
      </w:r>
      <w:r>
        <w:rPr>
          <w:spacing w:val="-25"/>
        </w:rPr>
        <w:t> </w:t>
      </w:r>
      <w:r>
        <w:rPr/>
        <w:t>com</w:t>
      </w:r>
      <w:r>
        <w:rPr>
          <w:spacing w:val="-28"/>
        </w:rPr>
        <w:t> </w:t>
      </w:r>
      <w:r>
        <w:rPr/>
        <w:t>o</w:t>
      </w:r>
      <w:r>
        <w:rPr>
          <w:spacing w:val="-27"/>
        </w:rPr>
        <w:t> </w:t>
      </w:r>
      <w:r>
        <w:rPr/>
        <w:t>CPC</w:t>
      </w:r>
      <w:r>
        <w:rPr>
          <w:spacing w:val="-27"/>
        </w:rPr>
        <w:t> </w:t>
      </w:r>
      <w:r>
        <w:rPr/>
        <w:t>04</w:t>
      </w:r>
      <w:r>
        <w:rPr>
          <w:spacing w:val="-24"/>
        </w:rPr>
        <w:t> </w:t>
      </w:r>
      <w:r>
        <w:rPr>
          <w:w w:val="105"/>
        </w:rPr>
        <w:t>–</w:t>
      </w:r>
      <w:r>
        <w:rPr>
          <w:spacing w:val="-29"/>
          <w:w w:val="105"/>
        </w:rPr>
        <w:t> </w:t>
      </w:r>
      <w:r>
        <w:rPr/>
        <w:t>Ativos</w:t>
      </w:r>
      <w:r>
        <w:rPr>
          <w:spacing w:val="-27"/>
        </w:rPr>
        <w:t> </w:t>
      </w:r>
      <w:r>
        <w:rPr/>
        <w:t>Intangíveis,</w:t>
      </w:r>
      <w:r>
        <w:rPr>
          <w:spacing w:val="-27"/>
        </w:rPr>
        <w:t> </w:t>
      </w:r>
      <w:r>
        <w:rPr/>
        <w:t>a</w:t>
      </w:r>
      <w:r>
        <w:rPr>
          <w:spacing w:val="-26"/>
        </w:rPr>
        <w:t> </w:t>
      </w:r>
      <w:r>
        <w:rPr/>
        <w:t>ICPC</w:t>
      </w:r>
      <w:r>
        <w:rPr>
          <w:spacing w:val="-26"/>
        </w:rPr>
        <w:t> </w:t>
      </w:r>
      <w:r>
        <w:rPr/>
        <w:t>01(R1)</w:t>
      </w:r>
      <w:r>
        <w:rPr>
          <w:spacing w:val="-27"/>
        </w:rPr>
        <w:t> </w:t>
      </w:r>
      <w:r>
        <w:rPr/>
        <w:t>e</w:t>
      </w:r>
      <w:r>
        <w:rPr>
          <w:spacing w:val="-28"/>
        </w:rPr>
        <w:t> </w:t>
      </w:r>
      <w:r>
        <w:rPr/>
        <w:t>a</w:t>
      </w:r>
      <w:r>
        <w:rPr>
          <w:spacing w:val="-26"/>
        </w:rPr>
        <w:t> </w:t>
      </w:r>
      <w:r>
        <w:rPr/>
        <w:t>OCPC</w:t>
      </w:r>
      <w:r>
        <w:rPr>
          <w:spacing w:val="-27"/>
        </w:rPr>
        <w:t> </w:t>
      </w:r>
      <w:r>
        <w:rPr/>
        <w:t>05</w:t>
      </w:r>
      <w:r>
        <w:rPr>
          <w:spacing w:val="-23"/>
        </w:rPr>
        <w:t> </w:t>
      </w:r>
      <w:r>
        <w:rPr>
          <w:w w:val="105"/>
        </w:rPr>
        <w:t>–</w:t>
      </w:r>
      <w:r>
        <w:rPr>
          <w:spacing w:val="-29"/>
          <w:w w:val="105"/>
        </w:rPr>
        <w:t> </w:t>
      </w:r>
      <w:r>
        <w:rPr/>
        <w:t>Contratos</w:t>
      </w:r>
      <w:r>
        <w:rPr>
          <w:spacing w:val="-27"/>
        </w:rPr>
        <w:t> </w:t>
      </w:r>
      <w:r>
        <w:rPr/>
        <w:t>de</w:t>
      </w:r>
      <w:r>
        <w:rPr>
          <w:spacing w:val="-28"/>
        </w:rPr>
        <w:t> </w:t>
      </w:r>
      <w:r>
        <w:rPr/>
        <w:t>Concessão. Os ativos intangíveis foram mensurados pelo valor contábil na data de transição para os Pronunciamentos, Interpretações</w:t>
      </w:r>
      <w:r>
        <w:rPr>
          <w:spacing w:val="-26"/>
        </w:rPr>
        <w:t> </w:t>
      </w:r>
      <w:r>
        <w:rPr/>
        <w:t>e</w:t>
      </w:r>
      <w:r>
        <w:rPr>
          <w:spacing w:val="-27"/>
        </w:rPr>
        <w:t> </w:t>
      </w:r>
      <w:r>
        <w:rPr/>
        <w:t>Orientações</w:t>
      </w:r>
      <w:r>
        <w:rPr>
          <w:spacing w:val="-28"/>
        </w:rPr>
        <w:t> </w:t>
      </w:r>
      <w:r>
        <w:rPr/>
        <w:t>emitidas</w:t>
      </w:r>
      <w:r>
        <w:rPr>
          <w:spacing w:val="-25"/>
        </w:rPr>
        <w:t> </w:t>
      </w:r>
      <w:r>
        <w:rPr/>
        <w:t>pelo</w:t>
      </w:r>
      <w:r>
        <w:rPr>
          <w:spacing w:val="-27"/>
        </w:rPr>
        <w:t> </w:t>
      </w:r>
      <w:r>
        <w:rPr/>
        <w:t>CPC</w:t>
      </w:r>
      <w:r>
        <w:rPr>
          <w:spacing w:val="-26"/>
        </w:rPr>
        <w:t> </w:t>
      </w:r>
      <w:r>
        <w:rPr/>
        <w:t>e</w:t>
      </w:r>
      <w:r>
        <w:rPr>
          <w:spacing w:val="-28"/>
        </w:rPr>
        <w:t> </w:t>
      </w:r>
      <w:r>
        <w:rPr/>
        <w:t>IFRS</w:t>
      </w:r>
      <w:r>
        <w:rPr>
          <w:spacing w:val="-27"/>
        </w:rPr>
        <w:t> </w:t>
      </w:r>
      <w:r>
        <w:rPr/>
        <w:t>(1º</w:t>
      </w:r>
      <w:r>
        <w:rPr>
          <w:spacing w:val="-27"/>
        </w:rPr>
        <w:t> </w:t>
      </w:r>
      <w:r>
        <w:rPr/>
        <w:t>de</w:t>
      </w:r>
      <w:r>
        <w:rPr>
          <w:spacing w:val="-27"/>
        </w:rPr>
        <w:t> </w:t>
      </w:r>
      <w:r>
        <w:rPr/>
        <w:t>janeiro</w:t>
      </w:r>
      <w:r>
        <w:rPr>
          <w:spacing w:val="-28"/>
        </w:rPr>
        <w:t> </w:t>
      </w:r>
      <w:r>
        <w:rPr/>
        <w:t>de</w:t>
      </w:r>
      <w:r>
        <w:rPr>
          <w:spacing w:val="-27"/>
        </w:rPr>
        <w:t> </w:t>
      </w:r>
      <w:r>
        <w:rPr/>
        <w:t>2009).</w:t>
      </w:r>
      <w:r>
        <w:rPr>
          <w:spacing w:val="-27"/>
        </w:rPr>
        <w:t> </w:t>
      </w:r>
      <w:r>
        <w:rPr/>
        <w:t>Esses</w:t>
      </w:r>
      <w:r>
        <w:rPr>
          <w:spacing w:val="-27"/>
        </w:rPr>
        <w:t> </w:t>
      </w:r>
      <w:r>
        <w:rPr/>
        <w:t>ativos</w:t>
      </w:r>
      <w:r>
        <w:rPr>
          <w:spacing w:val="-28"/>
        </w:rPr>
        <w:t> </w:t>
      </w:r>
      <w:r>
        <w:rPr/>
        <w:t>foram</w:t>
      </w:r>
      <w:r>
        <w:rPr>
          <w:spacing w:val="-26"/>
        </w:rPr>
        <w:t> </w:t>
      </w:r>
      <w:r>
        <w:rPr/>
        <w:t>mensurados</w:t>
      </w:r>
      <w:r>
        <w:rPr>
          <w:spacing w:val="-26"/>
        </w:rPr>
        <w:t> </w:t>
      </w:r>
      <w:r>
        <w:rPr/>
        <w:t>com base nas práticas contábeis anteriores à transição e eram mensurados com base nos mesmos critérios do ativo imobilizado descritos</w:t>
      </w:r>
      <w:r>
        <w:rPr>
          <w:spacing w:val="-37"/>
        </w:rPr>
        <w:t> </w:t>
      </w:r>
      <w:r>
        <w:rPr/>
        <w:t>abaixo.</w:t>
      </w:r>
    </w:p>
    <w:p>
      <w:pPr>
        <w:pStyle w:val="BodyText"/>
        <w:spacing w:before="5"/>
      </w:pPr>
    </w:p>
    <w:p>
      <w:pPr>
        <w:pStyle w:val="BodyText"/>
        <w:spacing w:line="242" w:lineRule="auto"/>
        <w:ind w:left="192" w:right="608"/>
        <w:jc w:val="both"/>
      </w:pPr>
      <w:r>
        <w:rPr/>
        <w:t>As</w:t>
      </w:r>
      <w:r>
        <w:rPr>
          <w:spacing w:val="-35"/>
        </w:rPr>
        <w:t> </w:t>
      </w:r>
      <w:r>
        <w:rPr/>
        <w:t>adições</w:t>
      </w:r>
      <w:r>
        <w:rPr>
          <w:spacing w:val="-32"/>
        </w:rPr>
        <w:t> </w:t>
      </w:r>
      <w:r>
        <w:rPr/>
        <w:t>subsequentes</w:t>
      </w:r>
      <w:r>
        <w:rPr>
          <w:spacing w:val="-32"/>
        </w:rPr>
        <w:t> </w:t>
      </w:r>
      <w:r>
        <w:rPr/>
        <w:t>são</w:t>
      </w:r>
      <w:r>
        <w:rPr>
          <w:spacing w:val="-33"/>
        </w:rPr>
        <w:t> </w:t>
      </w:r>
      <w:r>
        <w:rPr/>
        <w:t>reconhecidas</w:t>
      </w:r>
      <w:r>
        <w:rPr>
          <w:spacing w:val="-33"/>
        </w:rPr>
        <w:t> </w:t>
      </w:r>
      <w:r>
        <w:rPr/>
        <w:t>inicialmente</w:t>
      </w:r>
      <w:r>
        <w:rPr>
          <w:spacing w:val="-29"/>
        </w:rPr>
        <w:t> </w:t>
      </w:r>
      <w:r>
        <w:rPr/>
        <w:t>no</w:t>
      </w:r>
      <w:r>
        <w:rPr>
          <w:spacing w:val="-34"/>
        </w:rPr>
        <w:t> </w:t>
      </w:r>
      <w:r>
        <w:rPr/>
        <w:t>Ativo</w:t>
      </w:r>
      <w:r>
        <w:rPr>
          <w:spacing w:val="-34"/>
        </w:rPr>
        <w:t> </w:t>
      </w:r>
      <w:r>
        <w:rPr/>
        <w:t>Intangível</w:t>
      </w:r>
      <w:r>
        <w:rPr>
          <w:spacing w:val="-31"/>
        </w:rPr>
        <w:t> </w:t>
      </w:r>
      <w:r>
        <w:rPr/>
        <w:t>pelo</w:t>
      </w:r>
      <w:r>
        <w:rPr>
          <w:spacing w:val="-34"/>
        </w:rPr>
        <w:t> </w:t>
      </w:r>
      <w:r>
        <w:rPr/>
        <w:t>valor</w:t>
      </w:r>
      <w:r>
        <w:rPr>
          <w:spacing w:val="-33"/>
        </w:rPr>
        <w:t> </w:t>
      </w:r>
      <w:r>
        <w:rPr/>
        <w:t>justo</w:t>
      </w:r>
      <w:r>
        <w:rPr>
          <w:spacing w:val="-32"/>
        </w:rPr>
        <w:t> </w:t>
      </w:r>
      <w:r>
        <w:rPr/>
        <w:t>na</w:t>
      </w:r>
      <w:r>
        <w:rPr>
          <w:spacing w:val="-34"/>
        </w:rPr>
        <w:t> </w:t>
      </w:r>
      <w:r>
        <w:rPr/>
        <w:t>data</w:t>
      </w:r>
      <w:r>
        <w:rPr>
          <w:spacing w:val="-32"/>
        </w:rPr>
        <w:t> </w:t>
      </w:r>
      <w:r>
        <w:rPr/>
        <w:t>de</w:t>
      </w:r>
      <w:r>
        <w:rPr>
          <w:spacing w:val="-35"/>
        </w:rPr>
        <w:t> </w:t>
      </w:r>
      <w:r>
        <w:rPr/>
        <w:t>sua</w:t>
      </w:r>
      <w:r>
        <w:rPr>
          <w:spacing w:val="-32"/>
        </w:rPr>
        <w:t> </w:t>
      </w:r>
      <w:r>
        <w:rPr/>
        <w:t>aquisição </w:t>
      </w:r>
      <w:r>
        <w:rPr>
          <w:w w:val="99"/>
        </w:rPr>
        <w:t>ou</w:t>
      </w:r>
      <w:r>
        <w:rPr>
          <w:spacing w:val="-15"/>
        </w:rPr>
        <w:t> </w:t>
      </w:r>
      <w:r>
        <w:rPr>
          <w:w w:val="88"/>
        </w:rPr>
        <w:t>c</w:t>
      </w:r>
      <w:r>
        <w:rPr>
          <w:w w:val="100"/>
        </w:rPr>
        <w:t>o</w:t>
      </w:r>
      <w:r>
        <w:rPr>
          <w:spacing w:val="-1"/>
          <w:w w:val="100"/>
        </w:rPr>
        <w:t>n</w:t>
      </w:r>
      <w:r>
        <w:rPr>
          <w:w w:val="105"/>
        </w:rPr>
        <w:t>s</w:t>
      </w:r>
      <w:r>
        <w:rPr>
          <w:spacing w:val="-1"/>
          <w:w w:val="95"/>
        </w:rPr>
        <w:t>t</w:t>
      </w:r>
      <w:r>
        <w:rPr>
          <w:spacing w:val="-2"/>
          <w:w w:val="95"/>
        </w:rPr>
        <w:t>r</w:t>
      </w:r>
      <w:r>
        <w:rPr>
          <w:spacing w:val="-1"/>
          <w:w w:val="94"/>
        </w:rPr>
        <w:t>u</w:t>
      </w:r>
      <w:r>
        <w:rPr>
          <w:spacing w:val="1"/>
          <w:w w:val="94"/>
        </w:rPr>
        <w:t>ç</w:t>
      </w:r>
      <w:r>
        <w:rPr>
          <w:w w:val="92"/>
        </w:rPr>
        <w:t>ã</w:t>
      </w:r>
      <w:r>
        <w:rPr>
          <w:w w:val="81"/>
        </w:rPr>
        <w:t>o.</w:t>
      </w:r>
      <w:r>
        <w:rPr>
          <w:spacing w:val="-12"/>
        </w:rPr>
        <w:t> </w:t>
      </w:r>
      <w:r>
        <w:rPr>
          <w:spacing w:val="-1"/>
          <w:w w:val="96"/>
        </w:rPr>
        <w:t>Qu</w:t>
      </w:r>
      <w:r>
        <w:rPr>
          <w:w w:val="96"/>
        </w:rPr>
        <w:t>a</w:t>
      </w:r>
      <w:r>
        <w:rPr>
          <w:spacing w:val="-1"/>
          <w:w w:val="101"/>
        </w:rPr>
        <w:t>n</w:t>
      </w:r>
      <w:r>
        <w:rPr>
          <w:w w:val="98"/>
        </w:rPr>
        <w:t>do</w:t>
      </w:r>
      <w:r>
        <w:rPr>
          <w:spacing w:val="-13"/>
        </w:rPr>
        <w:t> </w:t>
      </w:r>
      <w:r>
        <w:rPr>
          <w:w w:val="95"/>
        </w:rPr>
        <w:t>da</w:t>
      </w:r>
      <w:r>
        <w:rPr>
          <w:spacing w:val="-14"/>
        </w:rPr>
        <w:t> </w:t>
      </w:r>
      <w:r>
        <w:rPr>
          <w:w w:val="105"/>
        </w:rPr>
        <w:t>s</w:t>
      </w:r>
      <w:r>
        <w:rPr>
          <w:spacing w:val="-1"/>
          <w:w w:val="96"/>
        </w:rPr>
        <w:t>u</w:t>
      </w:r>
      <w:r>
        <w:rPr>
          <w:w w:val="96"/>
        </w:rPr>
        <w:t>a</w:t>
      </w:r>
      <w:r>
        <w:rPr>
          <w:spacing w:val="-14"/>
        </w:rPr>
        <w:t> </w:t>
      </w:r>
      <w:r>
        <w:rPr>
          <w:spacing w:val="-2"/>
          <w:w w:val="89"/>
        </w:rPr>
        <w:t>e</w:t>
      </w:r>
      <w:r>
        <w:rPr>
          <w:spacing w:val="-1"/>
          <w:w w:val="101"/>
        </w:rPr>
        <w:t>n</w:t>
      </w:r>
      <w:r>
        <w:rPr>
          <w:spacing w:val="1"/>
          <w:w w:val="85"/>
        </w:rPr>
        <w:t>t</w:t>
      </w:r>
      <w:r>
        <w:rPr>
          <w:spacing w:val="-1"/>
          <w:w w:val="105"/>
        </w:rPr>
        <w:t>r</w:t>
      </w:r>
      <w:r>
        <w:rPr>
          <w:w w:val="92"/>
        </w:rPr>
        <w:t>a</w:t>
      </w:r>
      <w:r>
        <w:rPr>
          <w:w w:val="95"/>
        </w:rPr>
        <w:t>da</w:t>
      </w:r>
      <w:r>
        <w:rPr>
          <w:spacing w:val="-14"/>
        </w:rPr>
        <w:t> </w:t>
      </w:r>
      <w:r>
        <w:rPr>
          <w:spacing w:val="-2"/>
          <w:w w:val="89"/>
        </w:rPr>
        <w:t>e</w:t>
      </w:r>
      <w:r>
        <w:rPr>
          <w:w w:val="99"/>
        </w:rPr>
        <w:t>m</w:t>
      </w:r>
      <w:r>
        <w:rPr>
          <w:spacing w:val="-10"/>
        </w:rPr>
        <w:t> </w:t>
      </w:r>
      <w:r>
        <w:rPr>
          <w:w w:val="98"/>
        </w:rPr>
        <w:t>o</w:t>
      </w:r>
      <w:r>
        <w:rPr>
          <w:spacing w:val="1"/>
          <w:w w:val="98"/>
        </w:rPr>
        <w:t>p</w:t>
      </w:r>
      <w:r>
        <w:rPr>
          <w:spacing w:val="-2"/>
          <w:w w:val="89"/>
        </w:rPr>
        <w:t>e</w:t>
      </w:r>
      <w:r>
        <w:rPr>
          <w:spacing w:val="-1"/>
          <w:w w:val="105"/>
        </w:rPr>
        <w:t>r</w:t>
      </w:r>
      <w:r>
        <w:rPr>
          <w:w w:val="92"/>
        </w:rPr>
        <w:t>a</w:t>
      </w:r>
      <w:r>
        <w:rPr>
          <w:w w:val="88"/>
        </w:rPr>
        <w:t>ç</w:t>
      </w:r>
      <w:r>
        <w:rPr>
          <w:w w:val="92"/>
        </w:rPr>
        <w:t>ã</w:t>
      </w:r>
      <w:r>
        <w:rPr>
          <w:w w:val="81"/>
        </w:rPr>
        <w:t>o,</w:t>
      </w:r>
      <w:r>
        <w:rPr>
          <w:spacing w:val="-15"/>
        </w:rPr>
        <w:t> </w:t>
      </w:r>
      <w:r>
        <w:rPr>
          <w:w w:val="105"/>
        </w:rPr>
        <w:t>s</w:t>
      </w:r>
      <w:r>
        <w:rPr>
          <w:w w:val="92"/>
        </w:rPr>
        <w:t>ã</w:t>
      </w:r>
      <w:r>
        <w:rPr>
          <w:w w:val="98"/>
        </w:rPr>
        <w:t>o</w:t>
      </w:r>
      <w:r>
        <w:rPr>
          <w:spacing w:val="-13"/>
        </w:rPr>
        <w:t> </w:t>
      </w:r>
      <w:r>
        <w:rPr>
          <w:spacing w:val="-2"/>
          <w:w w:val="97"/>
        </w:rPr>
        <w:t>b</w:t>
      </w:r>
      <w:r>
        <w:rPr>
          <w:w w:val="93"/>
        </w:rPr>
        <w:t>if</w:t>
      </w:r>
      <w:r>
        <w:rPr>
          <w:spacing w:val="2"/>
          <w:w w:val="93"/>
        </w:rPr>
        <w:t>u</w:t>
      </w:r>
      <w:r>
        <w:rPr>
          <w:spacing w:val="-1"/>
          <w:w w:val="105"/>
        </w:rPr>
        <w:t>r</w:t>
      </w:r>
      <w:r>
        <w:rPr>
          <w:w w:val="88"/>
        </w:rPr>
        <w:t>c</w:t>
      </w:r>
      <w:r>
        <w:rPr>
          <w:w w:val="92"/>
        </w:rPr>
        <w:t>a</w:t>
      </w:r>
      <w:r>
        <w:rPr>
          <w:w w:val="100"/>
        </w:rPr>
        <w:t>dos</w:t>
      </w:r>
      <w:r>
        <w:rPr>
          <w:spacing w:val="-15"/>
        </w:rPr>
        <w:t> </w:t>
      </w:r>
      <w:r>
        <w:rPr>
          <w:spacing w:val="1"/>
          <w:w w:val="89"/>
        </w:rPr>
        <w:t>e</w:t>
      </w:r>
      <w:r>
        <w:rPr>
          <w:spacing w:val="-1"/>
          <w:w w:val="101"/>
        </w:rPr>
        <w:t>n</w:t>
      </w:r>
      <w:r>
        <w:rPr>
          <w:spacing w:val="-1"/>
          <w:w w:val="95"/>
        </w:rPr>
        <w:t>t</w:t>
      </w:r>
      <w:r>
        <w:rPr>
          <w:spacing w:val="1"/>
          <w:w w:val="95"/>
        </w:rPr>
        <w:t>r</w:t>
      </w:r>
      <w:r>
        <w:rPr>
          <w:w w:val="89"/>
        </w:rPr>
        <w:t>e</w:t>
      </w:r>
      <w:r>
        <w:rPr>
          <w:spacing w:val="-16"/>
        </w:rPr>
        <w:t> </w:t>
      </w:r>
      <w:r>
        <w:rPr>
          <w:w w:val="105"/>
        </w:rPr>
        <w:t>A</w:t>
      </w:r>
      <w:r>
        <w:rPr>
          <w:spacing w:val="-1"/>
          <w:w w:val="95"/>
        </w:rPr>
        <w:t>ti</w:t>
      </w:r>
      <w:r>
        <w:rPr>
          <w:spacing w:val="2"/>
          <w:w w:val="95"/>
        </w:rPr>
        <w:t>v</w:t>
      </w:r>
      <w:r>
        <w:rPr>
          <w:w w:val="98"/>
        </w:rPr>
        <w:t>o</w:t>
      </w:r>
      <w:r>
        <w:rPr>
          <w:spacing w:val="-15"/>
        </w:rPr>
        <w:t> </w:t>
      </w:r>
      <w:r>
        <w:rPr>
          <w:w w:val="101"/>
        </w:rPr>
        <w:t>F</w:t>
      </w:r>
      <w:r>
        <w:rPr>
          <w:w w:val="100"/>
        </w:rPr>
        <w:t>i</w:t>
      </w:r>
      <w:r>
        <w:rPr>
          <w:spacing w:val="-1"/>
          <w:w w:val="100"/>
        </w:rPr>
        <w:t>n</w:t>
      </w:r>
      <w:r>
        <w:rPr>
          <w:spacing w:val="6"/>
          <w:w w:val="92"/>
        </w:rPr>
        <w:t>a</w:t>
      </w:r>
      <w:r>
        <w:rPr>
          <w:spacing w:val="-1"/>
          <w:w w:val="101"/>
        </w:rPr>
        <w:t>n</w:t>
      </w:r>
      <w:r>
        <w:rPr>
          <w:w w:val="88"/>
        </w:rPr>
        <w:t>c</w:t>
      </w:r>
      <w:r>
        <w:rPr>
          <w:spacing w:val="-2"/>
          <w:w w:val="89"/>
        </w:rPr>
        <w:t>e</w:t>
      </w:r>
      <w:r>
        <w:rPr>
          <w:spacing w:val="2"/>
          <w:w w:val="97"/>
        </w:rPr>
        <w:t>i</w:t>
      </w:r>
      <w:r>
        <w:rPr>
          <w:spacing w:val="-1"/>
          <w:w w:val="105"/>
        </w:rPr>
        <w:t>r</w:t>
      </w:r>
      <w:r>
        <w:rPr>
          <w:w w:val="98"/>
        </w:rPr>
        <w:t>o</w:t>
      </w:r>
      <w:r>
        <w:rPr>
          <w:spacing w:val="-13"/>
        </w:rPr>
        <w:t> </w:t>
      </w:r>
      <w:r>
        <w:rPr>
          <w:w w:val="89"/>
        </w:rPr>
        <w:t>e</w:t>
      </w:r>
      <w:r>
        <w:rPr>
          <w:spacing w:val="-16"/>
        </w:rPr>
        <w:t> </w:t>
      </w:r>
      <w:r>
        <w:rPr>
          <w:w w:val="105"/>
        </w:rPr>
        <w:t>A</w:t>
      </w:r>
      <w:r>
        <w:rPr>
          <w:spacing w:val="-1"/>
          <w:w w:val="96"/>
        </w:rPr>
        <w:t>tiv</w:t>
      </w:r>
      <w:r>
        <w:rPr>
          <w:w w:val="96"/>
        </w:rPr>
        <w:t>o</w:t>
      </w:r>
      <w:r>
        <w:rPr>
          <w:spacing w:val="-15"/>
        </w:rPr>
        <w:t> </w:t>
      </w:r>
      <w:r>
        <w:rPr>
          <w:spacing w:val="2"/>
          <w:w w:val="116"/>
        </w:rPr>
        <w:t>I</w:t>
      </w:r>
      <w:r>
        <w:rPr>
          <w:spacing w:val="-1"/>
          <w:w w:val="101"/>
        </w:rPr>
        <w:t>n</w:t>
      </w:r>
      <w:r>
        <w:rPr>
          <w:spacing w:val="-1"/>
          <w:w w:val="89"/>
        </w:rPr>
        <w:t>t</w:t>
      </w:r>
      <w:r>
        <w:rPr>
          <w:w w:val="89"/>
        </w:rPr>
        <w:t>a</w:t>
      </w:r>
      <w:r>
        <w:rPr>
          <w:spacing w:val="1"/>
          <w:w w:val="101"/>
        </w:rPr>
        <w:t>n</w:t>
      </w:r>
      <w:r>
        <w:rPr>
          <w:spacing w:val="-1"/>
          <w:w w:val="96"/>
        </w:rPr>
        <w:t>gív</w:t>
      </w:r>
      <w:r>
        <w:rPr>
          <w:spacing w:val="-2"/>
          <w:w w:val="96"/>
        </w:rPr>
        <w:t>e</w:t>
      </w:r>
      <w:r>
        <w:rPr>
          <w:w w:val="91"/>
        </w:rPr>
        <w:t>l</w:t>
      </w:r>
      <w:r>
        <w:rPr>
          <w:w w:val="55"/>
        </w:rPr>
        <w:t>.</w:t>
      </w:r>
      <w:r>
        <w:rPr>
          <w:spacing w:val="-12"/>
        </w:rPr>
        <w:t> </w:t>
      </w:r>
      <w:r>
        <w:rPr>
          <w:w w:val="105"/>
        </w:rPr>
        <w:t>A</w:t>
      </w:r>
      <w:r>
        <w:rPr>
          <w:spacing w:val="1"/>
          <w:w w:val="99"/>
        </w:rPr>
        <w:t>p</w:t>
      </w:r>
      <w:r>
        <w:rPr>
          <w:w w:val="101"/>
        </w:rPr>
        <w:t>ós</w:t>
      </w:r>
      <w:r>
        <w:rPr>
          <w:spacing w:val="-15"/>
        </w:rPr>
        <w:t> </w:t>
      </w:r>
      <w:r>
        <w:rPr>
          <w:w w:val="98"/>
        </w:rPr>
        <w:t>o </w:t>
      </w:r>
      <w:r>
        <w:rPr>
          <w:w w:val="95"/>
        </w:rPr>
        <w:t>seu</w:t>
      </w:r>
      <w:r>
        <w:rPr>
          <w:spacing w:val="-19"/>
          <w:w w:val="95"/>
        </w:rPr>
        <w:t> </w:t>
      </w:r>
      <w:r>
        <w:rPr>
          <w:w w:val="95"/>
        </w:rPr>
        <w:t>reconhecimento</w:t>
      </w:r>
      <w:r>
        <w:rPr>
          <w:spacing w:val="-20"/>
          <w:w w:val="95"/>
        </w:rPr>
        <w:t> </w:t>
      </w:r>
      <w:r>
        <w:rPr>
          <w:w w:val="95"/>
        </w:rPr>
        <w:t>inicial,</w:t>
      </w:r>
      <w:r>
        <w:rPr>
          <w:spacing w:val="-19"/>
          <w:w w:val="95"/>
        </w:rPr>
        <w:t> </w:t>
      </w:r>
      <w:r>
        <w:rPr>
          <w:w w:val="95"/>
        </w:rPr>
        <w:t>os</w:t>
      </w:r>
      <w:r>
        <w:rPr>
          <w:spacing w:val="-17"/>
          <w:w w:val="95"/>
        </w:rPr>
        <w:t> </w:t>
      </w:r>
      <w:r>
        <w:rPr>
          <w:w w:val="95"/>
        </w:rPr>
        <w:t>ativos</w:t>
      </w:r>
      <w:r>
        <w:rPr>
          <w:spacing w:val="-19"/>
          <w:w w:val="95"/>
        </w:rPr>
        <w:t> </w:t>
      </w:r>
      <w:r>
        <w:rPr>
          <w:w w:val="95"/>
        </w:rPr>
        <w:t>intangíveis</w:t>
      </w:r>
      <w:r>
        <w:rPr>
          <w:spacing w:val="-17"/>
          <w:w w:val="95"/>
        </w:rPr>
        <w:t> </w:t>
      </w:r>
      <w:r>
        <w:rPr>
          <w:w w:val="95"/>
        </w:rPr>
        <w:t>são</w:t>
      </w:r>
      <w:r>
        <w:rPr>
          <w:spacing w:val="-19"/>
          <w:w w:val="95"/>
        </w:rPr>
        <w:t> </w:t>
      </w:r>
      <w:r>
        <w:rPr>
          <w:w w:val="95"/>
        </w:rPr>
        <w:t>amortizados</w:t>
      </w:r>
      <w:r>
        <w:rPr>
          <w:spacing w:val="-19"/>
          <w:w w:val="95"/>
        </w:rPr>
        <w:t> </w:t>
      </w:r>
      <w:r>
        <w:rPr>
          <w:w w:val="95"/>
        </w:rPr>
        <w:t>com</w:t>
      </w:r>
      <w:r>
        <w:rPr>
          <w:spacing w:val="-16"/>
          <w:w w:val="95"/>
        </w:rPr>
        <w:t> </w:t>
      </w:r>
      <w:r>
        <w:rPr>
          <w:w w:val="95"/>
        </w:rPr>
        <w:t>base</w:t>
      </w:r>
      <w:r>
        <w:rPr>
          <w:spacing w:val="-18"/>
          <w:w w:val="95"/>
        </w:rPr>
        <w:t> </w:t>
      </w:r>
      <w:r>
        <w:rPr>
          <w:w w:val="95"/>
        </w:rPr>
        <w:t>no</w:t>
      </w:r>
      <w:r>
        <w:rPr>
          <w:spacing w:val="-16"/>
          <w:w w:val="95"/>
        </w:rPr>
        <w:t> </w:t>
      </w:r>
      <w:r>
        <w:rPr>
          <w:w w:val="95"/>
        </w:rPr>
        <w:t>prazo</w:t>
      </w:r>
      <w:r>
        <w:rPr>
          <w:spacing w:val="-15"/>
          <w:w w:val="95"/>
        </w:rPr>
        <w:t> </w:t>
      </w:r>
      <w:r>
        <w:rPr>
          <w:w w:val="95"/>
        </w:rPr>
        <w:t>de</w:t>
      </w:r>
      <w:r>
        <w:rPr>
          <w:spacing w:val="-18"/>
          <w:w w:val="95"/>
        </w:rPr>
        <w:t> </w:t>
      </w:r>
      <w:r>
        <w:rPr>
          <w:w w:val="95"/>
        </w:rPr>
        <w:t>benefício</w:t>
      </w:r>
      <w:r>
        <w:rPr>
          <w:spacing w:val="-16"/>
          <w:w w:val="95"/>
        </w:rPr>
        <w:t> </w:t>
      </w:r>
      <w:r>
        <w:rPr>
          <w:w w:val="95"/>
        </w:rPr>
        <w:t>econômico</w:t>
      </w:r>
      <w:r>
        <w:rPr>
          <w:spacing w:val="-19"/>
          <w:w w:val="95"/>
        </w:rPr>
        <w:t> </w:t>
      </w:r>
      <w:r>
        <w:rPr>
          <w:w w:val="95"/>
        </w:rPr>
        <w:t>esperado </w:t>
      </w:r>
      <w:r>
        <w:rPr/>
        <w:t>até</w:t>
      </w:r>
      <w:r>
        <w:rPr>
          <w:spacing w:val="-20"/>
        </w:rPr>
        <w:t> </w:t>
      </w:r>
      <w:r>
        <w:rPr/>
        <w:t>o</w:t>
      </w:r>
      <w:r>
        <w:rPr>
          <w:spacing w:val="-16"/>
        </w:rPr>
        <w:t> </w:t>
      </w:r>
      <w:r>
        <w:rPr/>
        <w:t>final</w:t>
      </w:r>
      <w:r>
        <w:rPr>
          <w:spacing w:val="-18"/>
        </w:rPr>
        <w:t> </w:t>
      </w:r>
      <w:r>
        <w:rPr/>
        <w:t>do</w:t>
      </w:r>
      <w:r>
        <w:rPr>
          <w:spacing w:val="-19"/>
        </w:rPr>
        <w:t> </w:t>
      </w:r>
      <w:r>
        <w:rPr/>
        <w:t>prazo</w:t>
      </w:r>
      <w:r>
        <w:rPr>
          <w:spacing w:val="-18"/>
        </w:rPr>
        <w:t> </w:t>
      </w:r>
      <w:r>
        <w:rPr/>
        <w:t>da</w:t>
      </w:r>
      <w:r>
        <w:rPr>
          <w:spacing w:val="-18"/>
        </w:rPr>
        <w:t> </w:t>
      </w:r>
      <w:r>
        <w:rPr/>
        <w:t>concessão.</w:t>
      </w:r>
    </w:p>
    <w:p>
      <w:pPr>
        <w:spacing w:after="0" w:line="242" w:lineRule="auto"/>
        <w:jc w:val="both"/>
        <w:sectPr>
          <w:pgSz w:w="11910" w:h="16850"/>
          <w:pgMar w:header="792" w:footer="1193" w:top="1360" w:bottom="1460" w:left="940" w:right="240"/>
        </w:sectPr>
      </w:pPr>
    </w:p>
    <w:p>
      <w:pPr>
        <w:pStyle w:val="BodyText"/>
        <w:spacing w:before="50"/>
        <w:ind w:left="192"/>
      </w:pPr>
      <w:r>
        <w:rPr/>
        <w:t>O valor contábil dos bens substituídos é baixado em contrapartida ao resultado do exercício.</w:t>
      </w:r>
    </w:p>
    <w:p>
      <w:pPr>
        <w:pStyle w:val="BodyText"/>
        <w:spacing w:before="8"/>
      </w:pPr>
    </w:p>
    <w:p>
      <w:pPr>
        <w:pStyle w:val="BodyText"/>
        <w:spacing w:line="242" w:lineRule="auto"/>
        <w:ind w:left="192" w:right="609"/>
        <w:jc w:val="both"/>
      </w:pPr>
      <w:r>
        <w:rPr/>
        <w:t>A</w:t>
      </w:r>
      <w:r>
        <w:rPr>
          <w:spacing w:val="-16"/>
        </w:rPr>
        <w:t> </w:t>
      </w:r>
      <w:r>
        <w:rPr/>
        <w:t>CEB</w:t>
      </w:r>
      <w:r>
        <w:rPr>
          <w:spacing w:val="-16"/>
        </w:rPr>
        <w:t> </w:t>
      </w:r>
      <w:r>
        <w:rPr/>
        <w:t>DIS</w:t>
      </w:r>
      <w:r>
        <w:rPr>
          <w:spacing w:val="-15"/>
        </w:rPr>
        <w:t> </w:t>
      </w:r>
      <w:r>
        <w:rPr/>
        <w:t>mantém</w:t>
      </w:r>
      <w:r>
        <w:rPr>
          <w:spacing w:val="-14"/>
        </w:rPr>
        <w:t> </w:t>
      </w:r>
      <w:r>
        <w:rPr/>
        <w:t>outros</w:t>
      </w:r>
      <w:r>
        <w:rPr>
          <w:spacing w:val="-16"/>
        </w:rPr>
        <w:t> </w:t>
      </w:r>
      <w:r>
        <w:rPr/>
        <w:t>ativos</w:t>
      </w:r>
      <w:r>
        <w:rPr>
          <w:spacing w:val="-16"/>
        </w:rPr>
        <w:t> </w:t>
      </w:r>
      <w:r>
        <w:rPr/>
        <w:t>intangíveis</w:t>
      </w:r>
      <w:r>
        <w:rPr>
          <w:spacing w:val="-14"/>
        </w:rPr>
        <w:t> </w:t>
      </w:r>
      <w:r>
        <w:rPr/>
        <w:t>que</w:t>
      </w:r>
      <w:r>
        <w:rPr>
          <w:spacing w:val="-17"/>
        </w:rPr>
        <w:t> </w:t>
      </w:r>
      <w:r>
        <w:rPr/>
        <w:t>têm</w:t>
      </w:r>
      <w:r>
        <w:rPr>
          <w:spacing w:val="-14"/>
        </w:rPr>
        <w:t> </w:t>
      </w:r>
      <w:r>
        <w:rPr/>
        <w:t>vidas</w:t>
      </w:r>
      <w:r>
        <w:rPr>
          <w:spacing w:val="-16"/>
        </w:rPr>
        <w:t> </w:t>
      </w:r>
      <w:r>
        <w:rPr/>
        <w:t>úteis</w:t>
      </w:r>
      <w:r>
        <w:rPr>
          <w:spacing w:val="-15"/>
        </w:rPr>
        <w:t> </w:t>
      </w:r>
      <w:r>
        <w:rPr/>
        <w:t>finitas</w:t>
      </w:r>
      <w:r>
        <w:rPr>
          <w:spacing w:val="-16"/>
        </w:rPr>
        <w:t> </w:t>
      </w:r>
      <w:r>
        <w:rPr/>
        <w:t>limitadas</w:t>
      </w:r>
      <w:r>
        <w:rPr>
          <w:spacing w:val="-16"/>
        </w:rPr>
        <w:t> </w:t>
      </w:r>
      <w:r>
        <w:rPr/>
        <w:t>ao</w:t>
      </w:r>
      <w:r>
        <w:rPr>
          <w:spacing w:val="-15"/>
        </w:rPr>
        <w:t> </w:t>
      </w:r>
      <w:r>
        <w:rPr/>
        <w:t>prazo</w:t>
      </w:r>
      <w:r>
        <w:rPr>
          <w:spacing w:val="-16"/>
        </w:rPr>
        <w:t> </w:t>
      </w:r>
      <w:r>
        <w:rPr/>
        <w:t>da</w:t>
      </w:r>
      <w:r>
        <w:rPr>
          <w:spacing w:val="-16"/>
        </w:rPr>
        <w:t> </w:t>
      </w:r>
      <w:r>
        <w:rPr/>
        <w:t>concessão</w:t>
      </w:r>
      <w:r>
        <w:rPr>
          <w:spacing w:val="-15"/>
        </w:rPr>
        <w:t> </w:t>
      </w:r>
      <w:r>
        <w:rPr/>
        <w:t>e</w:t>
      </w:r>
      <w:r>
        <w:rPr>
          <w:spacing w:val="-15"/>
        </w:rPr>
        <w:t> </w:t>
      </w:r>
      <w:r>
        <w:rPr/>
        <w:t>que</w:t>
      </w:r>
      <w:r>
        <w:rPr>
          <w:spacing w:val="-15"/>
        </w:rPr>
        <w:t> </w:t>
      </w:r>
      <w:r>
        <w:rPr/>
        <w:t>são mensurados</w:t>
      </w:r>
      <w:r>
        <w:rPr>
          <w:spacing w:val="-44"/>
        </w:rPr>
        <w:t> </w:t>
      </w:r>
      <w:r>
        <w:rPr/>
        <w:t>pelo</w:t>
      </w:r>
      <w:r>
        <w:rPr>
          <w:spacing w:val="-44"/>
        </w:rPr>
        <w:t> </w:t>
      </w:r>
      <w:r>
        <w:rPr/>
        <w:t>custo,</w:t>
      </w:r>
      <w:r>
        <w:rPr>
          <w:spacing w:val="-45"/>
        </w:rPr>
        <w:t> </w:t>
      </w:r>
      <w:r>
        <w:rPr/>
        <w:t>deduzido</w:t>
      </w:r>
      <w:r>
        <w:rPr>
          <w:spacing w:val="-45"/>
        </w:rPr>
        <w:t> </w:t>
      </w:r>
      <w:r>
        <w:rPr/>
        <w:t>da</w:t>
      </w:r>
      <w:r>
        <w:rPr>
          <w:spacing w:val="-44"/>
        </w:rPr>
        <w:t> </w:t>
      </w:r>
      <w:r>
        <w:rPr/>
        <w:t>amortização</w:t>
      </w:r>
      <w:r>
        <w:rPr>
          <w:spacing w:val="-44"/>
        </w:rPr>
        <w:t> </w:t>
      </w:r>
      <w:r>
        <w:rPr/>
        <w:t>acumulada</w:t>
      </w:r>
      <w:r>
        <w:rPr>
          <w:spacing w:val="-45"/>
        </w:rPr>
        <w:t> </w:t>
      </w:r>
      <w:r>
        <w:rPr/>
        <w:t>e</w:t>
      </w:r>
      <w:r>
        <w:rPr>
          <w:spacing w:val="-45"/>
        </w:rPr>
        <w:t> </w:t>
      </w:r>
      <w:r>
        <w:rPr/>
        <w:t>das</w:t>
      </w:r>
      <w:r>
        <w:rPr>
          <w:spacing w:val="-44"/>
        </w:rPr>
        <w:t> </w:t>
      </w:r>
      <w:r>
        <w:rPr/>
        <w:t>perdas</w:t>
      </w:r>
      <w:r>
        <w:rPr>
          <w:spacing w:val="-45"/>
        </w:rPr>
        <w:t> </w:t>
      </w:r>
      <w:r>
        <w:rPr/>
        <w:t>para</w:t>
      </w:r>
      <w:r>
        <w:rPr>
          <w:spacing w:val="-43"/>
        </w:rPr>
        <w:t> </w:t>
      </w:r>
      <w:r>
        <w:rPr/>
        <w:t>redução</w:t>
      </w:r>
      <w:r>
        <w:rPr>
          <w:spacing w:val="-45"/>
        </w:rPr>
        <w:t> </w:t>
      </w:r>
      <w:r>
        <w:rPr/>
        <w:t>ao</w:t>
      </w:r>
      <w:r>
        <w:rPr>
          <w:spacing w:val="-44"/>
        </w:rPr>
        <w:t> </w:t>
      </w:r>
      <w:r>
        <w:rPr/>
        <w:t>valor</w:t>
      </w:r>
      <w:r>
        <w:rPr>
          <w:spacing w:val="-45"/>
        </w:rPr>
        <w:t> </w:t>
      </w:r>
      <w:r>
        <w:rPr/>
        <w:t>recuperável,</w:t>
      </w:r>
      <w:r>
        <w:rPr>
          <w:spacing w:val="-43"/>
        </w:rPr>
        <w:t> </w:t>
      </w:r>
      <w:r>
        <w:rPr/>
        <w:t>quando aplicável.</w:t>
      </w:r>
    </w:p>
    <w:p>
      <w:pPr>
        <w:pStyle w:val="BodyText"/>
        <w:spacing w:before="8"/>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P</w:t>
      </w:r>
      <w:r>
        <w:rPr>
          <w:rFonts w:ascii="Caladea"/>
          <w:b/>
          <w:sz w:val="18"/>
        </w:rPr>
        <w:t>ROPRIEDADE PARA</w:t>
      </w:r>
      <w:r>
        <w:rPr>
          <w:rFonts w:ascii="Caladea"/>
          <w:b/>
          <w:spacing w:val="2"/>
          <w:sz w:val="18"/>
        </w:rPr>
        <w:t> </w:t>
      </w:r>
      <w:r>
        <w:rPr>
          <w:rFonts w:ascii="Caladea"/>
          <w:b/>
          <w:sz w:val="22"/>
        </w:rPr>
        <w:t>I</w:t>
      </w:r>
      <w:r>
        <w:rPr>
          <w:rFonts w:ascii="Caladea"/>
          <w:b/>
          <w:sz w:val="18"/>
        </w:rPr>
        <w:t>NVESTIMENTO</w:t>
      </w:r>
    </w:p>
    <w:p>
      <w:pPr>
        <w:pStyle w:val="BodyText"/>
        <w:spacing w:before="10"/>
        <w:rPr>
          <w:rFonts w:ascii="Caladea"/>
          <w:b/>
          <w:sz w:val="23"/>
        </w:rPr>
      </w:pPr>
    </w:p>
    <w:p>
      <w:pPr>
        <w:pStyle w:val="BodyText"/>
        <w:spacing w:line="242" w:lineRule="auto"/>
        <w:ind w:left="192" w:right="610"/>
        <w:jc w:val="both"/>
      </w:pPr>
      <w:r>
        <w:rPr/>
        <w:t>Propriedade</w:t>
      </w:r>
      <w:r>
        <w:rPr>
          <w:spacing w:val="-19"/>
        </w:rPr>
        <w:t> </w:t>
      </w:r>
      <w:r>
        <w:rPr/>
        <w:t>para</w:t>
      </w:r>
      <w:r>
        <w:rPr>
          <w:spacing w:val="-18"/>
        </w:rPr>
        <w:t> </w:t>
      </w:r>
      <w:r>
        <w:rPr/>
        <w:t>investimento</w:t>
      </w:r>
      <w:r>
        <w:rPr>
          <w:spacing w:val="-17"/>
        </w:rPr>
        <w:t> </w:t>
      </w:r>
      <w:r>
        <w:rPr/>
        <w:t>é</w:t>
      </w:r>
      <w:r>
        <w:rPr>
          <w:spacing w:val="-20"/>
        </w:rPr>
        <w:t> </w:t>
      </w:r>
      <w:r>
        <w:rPr/>
        <w:t>aquela</w:t>
      </w:r>
      <w:r>
        <w:rPr>
          <w:spacing w:val="-18"/>
        </w:rPr>
        <w:t> </w:t>
      </w:r>
      <w:r>
        <w:rPr/>
        <w:t>mantida</w:t>
      </w:r>
      <w:r>
        <w:rPr>
          <w:spacing w:val="-18"/>
        </w:rPr>
        <w:t> </w:t>
      </w:r>
      <w:r>
        <w:rPr/>
        <w:t>visando</w:t>
      </w:r>
      <w:r>
        <w:rPr>
          <w:spacing w:val="-19"/>
        </w:rPr>
        <w:t> </w:t>
      </w:r>
      <w:r>
        <w:rPr/>
        <w:t>auferir</w:t>
      </w:r>
      <w:r>
        <w:rPr>
          <w:spacing w:val="-18"/>
        </w:rPr>
        <w:t> </w:t>
      </w:r>
      <w:r>
        <w:rPr/>
        <w:t>receita</w:t>
      </w:r>
      <w:r>
        <w:rPr>
          <w:spacing w:val="-18"/>
        </w:rPr>
        <w:t> </w:t>
      </w:r>
      <w:r>
        <w:rPr/>
        <w:t>de</w:t>
      </w:r>
      <w:r>
        <w:rPr>
          <w:spacing w:val="-20"/>
        </w:rPr>
        <w:t> </w:t>
      </w:r>
      <w:r>
        <w:rPr/>
        <w:t>aluguel</w:t>
      </w:r>
      <w:r>
        <w:rPr>
          <w:spacing w:val="-18"/>
        </w:rPr>
        <w:t> </w:t>
      </w:r>
      <w:r>
        <w:rPr/>
        <w:t>e/ou</w:t>
      </w:r>
      <w:r>
        <w:rPr>
          <w:spacing w:val="-19"/>
        </w:rPr>
        <w:t> </w:t>
      </w:r>
      <w:r>
        <w:rPr/>
        <w:t>alcançar</w:t>
      </w:r>
      <w:r>
        <w:rPr>
          <w:spacing w:val="-19"/>
        </w:rPr>
        <w:t> </w:t>
      </w:r>
      <w:r>
        <w:rPr/>
        <w:t>valorização</w:t>
      </w:r>
      <w:r>
        <w:rPr>
          <w:spacing w:val="-19"/>
        </w:rPr>
        <w:t> </w:t>
      </w:r>
      <w:r>
        <w:rPr/>
        <w:t>de capital,</w:t>
      </w:r>
      <w:r>
        <w:rPr>
          <w:spacing w:val="-30"/>
        </w:rPr>
        <w:t> </w:t>
      </w:r>
      <w:r>
        <w:rPr/>
        <w:t>não</w:t>
      </w:r>
      <w:r>
        <w:rPr>
          <w:spacing w:val="-30"/>
        </w:rPr>
        <w:t> </w:t>
      </w:r>
      <w:r>
        <w:rPr/>
        <w:t>disponível</w:t>
      </w:r>
      <w:r>
        <w:rPr>
          <w:spacing w:val="-30"/>
        </w:rPr>
        <w:t> </w:t>
      </w:r>
      <w:r>
        <w:rPr/>
        <w:t>para</w:t>
      </w:r>
      <w:r>
        <w:rPr>
          <w:spacing w:val="-28"/>
        </w:rPr>
        <w:t> </w:t>
      </w:r>
      <w:r>
        <w:rPr/>
        <w:t>venda</w:t>
      </w:r>
      <w:r>
        <w:rPr>
          <w:spacing w:val="-28"/>
        </w:rPr>
        <w:t> </w:t>
      </w:r>
      <w:r>
        <w:rPr/>
        <w:t>no</w:t>
      </w:r>
      <w:r>
        <w:rPr>
          <w:spacing w:val="-30"/>
        </w:rPr>
        <w:t> </w:t>
      </w:r>
      <w:r>
        <w:rPr/>
        <w:t>curso</w:t>
      </w:r>
      <w:r>
        <w:rPr>
          <w:spacing w:val="-28"/>
        </w:rPr>
        <w:t> </w:t>
      </w:r>
      <w:r>
        <w:rPr/>
        <w:t>normal</w:t>
      </w:r>
      <w:r>
        <w:rPr>
          <w:spacing w:val="-29"/>
        </w:rPr>
        <w:t> </w:t>
      </w:r>
      <w:r>
        <w:rPr/>
        <w:t>dos</w:t>
      </w:r>
      <w:r>
        <w:rPr>
          <w:spacing w:val="-29"/>
        </w:rPr>
        <w:t> </w:t>
      </w:r>
      <w:r>
        <w:rPr/>
        <w:t>negócios</w:t>
      </w:r>
      <w:r>
        <w:rPr>
          <w:spacing w:val="-29"/>
        </w:rPr>
        <w:t> </w:t>
      </w:r>
      <w:r>
        <w:rPr/>
        <w:t>e</w:t>
      </w:r>
      <w:r>
        <w:rPr>
          <w:spacing w:val="-30"/>
        </w:rPr>
        <w:t> </w:t>
      </w:r>
      <w:r>
        <w:rPr/>
        <w:t>não</w:t>
      </w:r>
      <w:r>
        <w:rPr>
          <w:spacing w:val="-30"/>
        </w:rPr>
        <w:t> </w:t>
      </w:r>
      <w:r>
        <w:rPr/>
        <w:t>utilizada</w:t>
      </w:r>
      <w:r>
        <w:rPr>
          <w:spacing w:val="-29"/>
        </w:rPr>
        <w:t> </w:t>
      </w:r>
      <w:r>
        <w:rPr/>
        <w:t>na</w:t>
      </w:r>
      <w:r>
        <w:rPr>
          <w:spacing w:val="-29"/>
        </w:rPr>
        <w:t> </w:t>
      </w:r>
      <w:r>
        <w:rPr/>
        <w:t>produção</w:t>
      </w:r>
      <w:r>
        <w:rPr>
          <w:spacing w:val="-30"/>
        </w:rPr>
        <w:t> </w:t>
      </w:r>
      <w:r>
        <w:rPr/>
        <w:t>ou</w:t>
      </w:r>
      <w:r>
        <w:rPr>
          <w:spacing w:val="-28"/>
        </w:rPr>
        <w:t> </w:t>
      </w:r>
      <w:r>
        <w:rPr/>
        <w:t>no</w:t>
      </w:r>
      <w:r>
        <w:rPr>
          <w:spacing w:val="-30"/>
        </w:rPr>
        <w:t> </w:t>
      </w:r>
      <w:r>
        <w:rPr/>
        <w:t>fornecimento</w:t>
      </w:r>
      <w:r>
        <w:rPr>
          <w:spacing w:val="-30"/>
        </w:rPr>
        <w:t> </w:t>
      </w:r>
      <w:r>
        <w:rPr/>
        <w:t>de produtos</w:t>
      </w:r>
      <w:r>
        <w:rPr>
          <w:spacing w:val="-37"/>
        </w:rPr>
        <w:t> </w:t>
      </w:r>
      <w:r>
        <w:rPr/>
        <w:t>e</w:t>
      </w:r>
      <w:r>
        <w:rPr>
          <w:spacing w:val="-37"/>
        </w:rPr>
        <w:t> </w:t>
      </w:r>
      <w:r>
        <w:rPr/>
        <w:t>serviços</w:t>
      </w:r>
      <w:r>
        <w:rPr>
          <w:spacing w:val="-36"/>
        </w:rPr>
        <w:t> </w:t>
      </w:r>
      <w:r>
        <w:rPr/>
        <w:t>para</w:t>
      </w:r>
      <w:r>
        <w:rPr>
          <w:spacing w:val="-35"/>
        </w:rPr>
        <w:t> </w:t>
      </w:r>
      <w:r>
        <w:rPr/>
        <w:t>propósitos</w:t>
      </w:r>
      <w:r>
        <w:rPr>
          <w:spacing w:val="-37"/>
        </w:rPr>
        <w:t> </w:t>
      </w:r>
      <w:r>
        <w:rPr/>
        <w:t>administrativos.</w:t>
      </w:r>
      <w:r>
        <w:rPr>
          <w:spacing w:val="-37"/>
        </w:rPr>
        <w:t> </w:t>
      </w:r>
      <w:r>
        <w:rPr/>
        <w:t>Além</w:t>
      </w:r>
      <w:r>
        <w:rPr>
          <w:spacing w:val="-37"/>
        </w:rPr>
        <w:t> </w:t>
      </w:r>
      <w:r>
        <w:rPr/>
        <w:t>disso,</w:t>
      </w:r>
      <w:r>
        <w:rPr>
          <w:spacing w:val="-37"/>
        </w:rPr>
        <w:t> </w:t>
      </w:r>
      <w:r>
        <w:rPr/>
        <w:t>a</w:t>
      </w:r>
      <w:r>
        <w:rPr>
          <w:spacing w:val="-36"/>
        </w:rPr>
        <w:t> </w:t>
      </w:r>
      <w:r>
        <w:rPr/>
        <w:t>propriedade</w:t>
      </w:r>
      <w:r>
        <w:rPr>
          <w:spacing w:val="-38"/>
        </w:rPr>
        <w:t> </w:t>
      </w:r>
      <w:r>
        <w:rPr/>
        <w:t>para</w:t>
      </w:r>
      <w:r>
        <w:rPr>
          <w:spacing w:val="-35"/>
        </w:rPr>
        <w:t> </w:t>
      </w:r>
      <w:r>
        <w:rPr/>
        <w:t>investimento</w:t>
      </w:r>
      <w:r>
        <w:rPr>
          <w:spacing w:val="-36"/>
        </w:rPr>
        <w:t> </w:t>
      </w:r>
      <w:r>
        <w:rPr/>
        <w:t>é</w:t>
      </w:r>
      <w:r>
        <w:rPr>
          <w:spacing w:val="-36"/>
        </w:rPr>
        <w:t> </w:t>
      </w:r>
      <w:r>
        <w:rPr/>
        <w:t>mensurada</w:t>
      </w:r>
      <w:r>
        <w:rPr>
          <w:spacing w:val="-35"/>
        </w:rPr>
        <w:t> </w:t>
      </w:r>
      <w:r>
        <w:rPr/>
        <w:t>pelo custo.</w:t>
      </w:r>
    </w:p>
    <w:p>
      <w:pPr>
        <w:pStyle w:val="BodyText"/>
        <w:spacing w:before="8"/>
      </w:pPr>
    </w:p>
    <w:p>
      <w:pPr>
        <w:pStyle w:val="BodyText"/>
        <w:spacing w:line="242" w:lineRule="auto"/>
        <w:ind w:left="192" w:right="611"/>
        <w:jc w:val="both"/>
      </w:pPr>
      <w:r>
        <w:rPr/>
        <w:t>O</w:t>
      </w:r>
      <w:r>
        <w:rPr>
          <w:spacing w:val="-28"/>
        </w:rPr>
        <w:t> </w:t>
      </w:r>
      <w:r>
        <w:rPr/>
        <w:t>custo</w:t>
      </w:r>
      <w:r>
        <w:rPr>
          <w:spacing w:val="-26"/>
        </w:rPr>
        <w:t> </w:t>
      </w:r>
      <w:r>
        <w:rPr/>
        <w:t>inclui</w:t>
      </w:r>
      <w:r>
        <w:rPr>
          <w:spacing w:val="-27"/>
        </w:rPr>
        <w:t> </w:t>
      </w:r>
      <w:r>
        <w:rPr/>
        <w:t>despesa</w:t>
      </w:r>
      <w:r>
        <w:rPr>
          <w:spacing w:val="-26"/>
        </w:rPr>
        <w:t> </w:t>
      </w:r>
      <w:r>
        <w:rPr/>
        <w:t>que</w:t>
      </w:r>
      <w:r>
        <w:rPr>
          <w:spacing w:val="-27"/>
        </w:rPr>
        <w:t> </w:t>
      </w:r>
      <w:r>
        <w:rPr/>
        <w:t>é</w:t>
      </w:r>
      <w:r>
        <w:rPr>
          <w:spacing w:val="-26"/>
        </w:rPr>
        <w:t> </w:t>
      </w:r>
      <w:r>
        <w:rPr/>
        <w:t>diretamente</w:t>
      </w:r>
      <w:r>
        <w:rPr>
          <w:spacing w:val="-27"/>
        </w:rPr>
        <w:t> </w:t>
      </w:r>
      <w:r>
        <w:rPr/>
        <w:t>atribuível</w:t>
      </w:r>
      <w:r>
        <w:rPr>
          <w:spacing w:val="-24"/>
        </w:rPr>
        <w:t> </w:t>
      </w:r>
      <w:r>
        <w:rPr/>
        <w:t>à</w:t>
      </w:r>
      <w:r>
        <w:rPr>
          <w:spacing w:val="-27"/>
        </w:rPr>
        <w:t> </w:t>
      </w:r>
      <w:r>
        <w:rPr/>
        <w:t>aquisição</w:t>
      </w:r>
      <w:r>
        <w:rPr>
          <w:spacing w:val="-27"/>
        </w:rPr>
        <w:t> </w:t>
      </w:r>
      <w:r>
        <w:rPr/>
        <w:t>de</w:t>
      </w:r>
      <w:r>
        <w:rPr>
          <w:spacing w:val="-26"/>
        </w:rPr>
        <w:t> </w:t>
      </w:r>
      <w:r>
        <w:rPr/>
        <w:t>uma</w:t>
      </w:r>
      <w:r>
        <w:rPr>
          <w:spacing w:val="-27"/>
        </w:rPr>
        <w:t> </w:t>
      </w:r>
      <w:r>
        <w:rPr/>
        <w:t>propriedade</w:t>
      </w:r>
      <w:r>
        <w:rPr>
          <w:spacing w:val="-26"/>
        </w:rPr>
        <w:t> </w:t>
      </w:r>
      <w:r>
        <w:rPr/>
        <w:t>para</w:t>
      </w:r>
      <w:r>
        <w:rPr>
          <w:spacing w:val="-25"/>
        </w:rPr>
        <w:t> </w:t>
      </w:r>
      <w:r>
        <w:rPr/>
        <w:t>investimento.</w:t>
      </w:r>
      <w:r>
        <w:rPr>
          <w:spacing w:val="-26"/>
        </w:rPr>
        <w:t> </w:t>
      </w:r>
      <w:r>
        <w:rPr/>
        <w:t>O</w:t>
      </w:r>
      <w:r>
        <w:rPr>
          <w:spacing w:val="-26"/>
        </w:rPr>
        <w:t> </w:t>
      </w:r>
      <w:r>
        <w:rPr/>
        <w:t>custo</w:t>
      </w:r>
      <w:r>
        <w:rPr>
          <w:spacing w:val="-24"/>
        </w:rPr>
        <w:t> </w:t>
      </w:r>
      <w:r>
        <w:rPr/>
        <w:t>da propriedade para investimento construída pelo proprietário inclui os custos de material e mão de obra direta, qualquer</w:t>
      </w:r>
      <w:r>
        <w:rPr>
          <w:spacing w:val="-48"/>
        </w:rPr>
        <w:t> </w:t>
      </w:r>
      <w:r>
        <w:rPr/>
        <w:t>custo</w:t>
      </w:r>
      <w:r>
        <w:rPr>
          <w:spacing w:val="-46"/>
        </w:rPr>
        <w:t> </w:t>
      </w:r>
      <w:r>
        <w:rPr/>
        <w:t>diretamente</w:t>
      </w:r>
      <w:r>
        <w:rPr>
          <w:spacing w:val="-46"/>
        </w:rPr>
        <w:t> </w:t>
      </w:r>
      <w:r>
        <w:rPr/>
        <w:t>atribuído</w:t>
      </w:r>
      <w:r>
        <w:rPr>
          <w:spacing w:val="-47"/>
        </w:rPr>
        <w:t> </w:t>
      </w:r>
      <w:r>
        <w:rPr/>
        <w:t>para</w:t>
      </w:r>
      <w:r>
        <w:rPr>
          <w:spacing w:val="-47"/>
        </w:rPr>
        <w:t> </w:t>
      </w:r>
      <w:r>
        <w:rPr/>
        <w:t>colocar</w:t>
      </w:r>
      <w:r>
        <w:rPr>
          <w:spacing w:val="-46"/>
        </w:rPr>
        <w:t> </w:t>
      </w:r>
      <w:r>
        <w:rPr/>
        <w:t>essa</w:t>
      </w:r>
      <w:r>
        <w:rPr>
          <w:spacing w:val="-46"/>
        </w:rPr>
        <w:t> </w:t>
      </w:r>
      <w:r>
        <w:rPr/>
        <w:t>propriedade</w:t>
      </w:r>
      <w:r>
        <w:rPr>
          <w:spacing w:val="-47"/>
        </w:rPr>
        <w:t> </w:t>
      </w:r>
      <w:r>
        <w:rPr/>
        <w:t>para</w:t>
      </w:r>
      <w:r>
        <w:rPr>
          <w:spacing w:val="-46"/>
        </w:rPr>
        <w:t> </w:t>
      </w:r>
      <w:r>
        <w:rPr/>
        <w:t>investimento</w:t>
      </w:r>
      <w:r>
        <w:rPr>
          <w:spacing w:val="-46"/>
        </w:rPr>
        <w:t> </w:t>
      </w:r>
      <w:r>
        <w:rPr/>
        <w:t>em</w:t>
      </w:r>
      <w:r>
        <w:rPr>
          <w:spacing w:val="-47"/>
        </w:rPr>
        <w:t> </w:t>
      </w:r>
      <w:r>
        <w:rPr/>
        <w:t>condição</w:t>
      </w:r>
      <w:r>
        <w:rPr>
          <w:spacing w:val="-47"/>
        </w:rPr>
        <w:t> </w:t>
      </w:r>
      <w:r>
        <w:rPr/>
        <w:t>de</w:t>
      </w:r>
      <w:r>
        <w:rPr>
          <w:spacing w:val="-48"/>
        </w:rPr>
        <w:t> </w:t>
      </w:r>
      <w:r>
        <w:rPr/>
        <w:t>uso</w:t>
      </w:r>
      <w:r>
        <w:rPr>
          <w:spacing w:val="-47"/>
        </w:rPr>
        <w:t> </w:t>
      </w:r>
      <w:r>
        <w:rPr/>
        <w:t>conforme o</w:t>
      </w:r>
      <w:r>
        <w:rPr>
          <w:spacing w:val="-20"/>
        </w:rPr>
        <w:t> </w:t>
      </w:r>
      <w:r>
        <w:rPr/>
        <w:t>seu</w:t>
      </w:r>
      <w:r>
        <w:rPr>
          <w:spacing w:val="-16"/>
        </w:rPr>
        <w:t> </w:t>
      </w:r>
      <w:r>
        <w:rPr/>
        <w:t>propósito</w:t>
      </w:r>
      <w:r>
        <w:rPr>
          <w:spacing w:val="-17"/>
        </w:rPr>
        <w:t> </w:t>
      </w:r>
      <w:r>
        <w:rPr/>
        <w:t>e</w:t>
      </w:r>
      <w:r>
        <w:rPr>
          <w:spacing w:val="-18"/>
        </w:rPr>
        <w:t> </w:t>
      </w:r>
      <w:r>
        <w:rPr/>
        <w:t>os</w:t>
      </w:r>
      <w:r>
        <w:rPr>
          <w:spacing w:val="-18"/>
        </w:rPr>
        <w:t> </w:t>
      </w:r>
      <w:r>
        <w:rPr/>
        <w:t>juros</w:t>
      </w:r>
      <w:r>
        <w:rPr>
          <w:spacing w:val="-18"/>
        </w:rPr>
        <w:t> </w:t>
      </w:r>
      <w:r>
        <w:rPr/>
        <w:t>capitalizados</w:t>
      </w:r>
      <w:r>
        <w:rPr>
          <w:spacing w:val="-18"/>
        </w:rPr>
        <w:t> </w:t>
      </w:r>
      <w:r>
        <w:rPr/>
        <w:t>dos</w:t>
      </w:r>
      <w:r>
        <w:rPr>
          <w:spacing w:val="-17"/>
        </w:rPr>
        <w:t> </w:t>
      </w:r>
      <w:r>
        <w:rPr/>
        <w:t>empréstimos.</w:t>
      </w:r>
    </w:p>
    <w:p>
      <w:pPr>
        <w:pStyle w:val="BodyText"/>
        <w:spacing w:before="8"/>
      </w:pPr>
    </w:p>
    <w:p>
      <w:pPr>
        <w:pStyle w:val="BodyText"/>
        <w:spacing w:line="242" w:lineRule="auto"/>
        <w:ind w:left="192" w:right="609"/>
        <w:jc w:val="both"/>
      </w:pPr>
      <w:r>
        <w:rPr/>
        <w:t>Os</w:t>
      </w:r>
      <w:r>
        <w:rPr>
          <w:spacing w:val="-47"/>
        </w:rPr>
        <w:t> </w:t>
      </w:r>
      <w:r>
        <w:rPr/>
        <w:t>ganhos</w:t>
      </w:r>
      <w:r>
        <w:rPr>
          <w:spacing w:val="-46"/>
        </w:rPr>
        <w:t> </w:t>
      </w:r>
      <w:r>
        <w:rPr/>
        <w:t>e</w:t>
      </w:r>
      <w:r>
        <w:rPr>
          <w:spacing w:val="-47"/>
        </w:rPr>
        <w:t> </w:t>
      </w:r>
      <w:r>
        <w:rPr/>
        <w:t>perdas</w:t>
      </w:r>
      <w:r>
        <w:rPr>
          <w:spacing w:val="-47"/>
        </w:rPr>
        <w:t> </w:t>
      </w:r>
      <w:r>
        <w:rPr/>
        <w:t>na</w:t>
      </w:r>
      <w:r>
        <w:rPr>
          <w:spacing w:val="-46"/>
        </w:rPr>
        <w:t> </w:t>
      </w:r>
      <w:r>
        <w:rPr/>
        <w:t>alienação</w:t>
      </w:r>
      <w:r>
        <w:rPr>
          <w:spacing w:val="-47"/>
        </w:rPr>
        <w:t> </w:t>
      </w:r>
      <w:r>
        <w:rPr/>
        <w:t>de</w:t>
      </w:r>
      <w:r>
        <w:rPr>
          <w:spacing w:val="-47"/>
        </w:rPr>
        <w:t> </w:t>
      </w:r>
      <w:r>
        <w:rPr/>
        <w:t>uma</w:t>
      </w:r>
      <w:r>
        <w:rPr>
          <w:spacing w:val="-46"/>
        </w:rPr>
        <w:t> </w:t>
      </w:r>
      <w:r>
        <w:rPr/>
        <w:t>propriedade</w:t>
      </w:r>
      <w:r>
        <w:rPr>
          <w:spacing w:val="-47"/>
        </w:rPr>
        <w:t> </w:t>
      </w:r>
      <w:r>
        <w:rPr/>
        <w:t>para</w:t>
      </w:r>
      <w:r>
        <w:rPr>
          <w:spacing w:val="-46"/>
        </w:rPr>
        <w:t> </w:t>
      </w:r>
      <w:r>
        <w:rPr/>
        <w:t>investimento</w:t>
      </w:r>
      <w:r>
        <w:rPr>
          <w:spacing w:val="-46"/>
        </w:rPr>
        <w:t> </w:t>
      </w:r>
      <w:r>
        <w:rPr/>
        <w:t>(calculado</w:t>
      </w:r>
      <w:r>
        <w:rPr>
          <w:spacing w:val="-47"/>
        </w:rPr>
        <w:t> </w:t>
      </w:r>
      <w:r>
        <w:rPr/>
        <w:t>pela</w:t>
      </w:r>
      <w:r>
        <w:rPr>
          <w:spacing w:val="-47"/>
        </w:rPr>
        <w:t> </w:t>
      </w:r>
      <w:r>
        <w:rPr/>
        <w:t>diferença</w:t>
      </w:r>
      <w:r>
        <w:rPr>
          <w:spacing w:val="-45"/>
        </w:rPr>
        <w:t> </w:t>
      </w:r>
      <w:r>
        <w:rPr/>
        <w:t>entre</w:t>
      </w:r>
      <w:r>
        <w:rPr>
          <w:spacing w:val="-48"/>
        </w:rPr>
        <w:t> </w:t>
      </w:r>
      <w:r>
        <w:rPr/>
        <w:t>o</w:t>
      </w:r>
      <w:r>
        <w:rPr>
          <w:spacing w:val="-46"/>
        </w:rPr>
        <w:t> </w:t>
      </w:r>
      <w:r>
        <w:rPr/>
        <w:t>valor</w:t>
      </w:r>
      <w:r>
        <w:rPr>
          <w:spacing w:val="-47"/>
        </w:rPr>
        <w:t> </w:t>
      </w:r>
      <w:r>
        <w:rPr/>
        <w:t>líquido recebido</w:t>
      </w:r>
      <w:r>
        <w:rPr>
          <w:spacing w:val="-39"/>
        </w:rPr>
        <w:t> </w:t>
      </w:r>
      <w:r>
        <w:rPr/>
        <w:t>e</w:t>
      </w:r>
      <w:r>
        <w:rPr>
          <w:spacing w:val="-41"/>
        </w:rPr>
        <w:t> </w:t>
      </w:r>
      <w:r>
        <w:rPr/>
        <w:t>o</w:t>
      </w:r>
      <w:r>
        <w:rPr>
          <w:spacing w:val="-39"/>
        </w:rPr>
        <w:t> </w:t>
      </w:r>
      <w:r>
        <w:rPr/>
        <w:t>valor</w:t>
      </w:r>
      <w:r>
        <w:rPr>
          <w:spacing w:val="-40"/>
        </w:rPr>
        <w:t> </w:t>
      </w:r>
      <w:r>
        <w:rPr/>
        <w:t>contábil)</w:t>
      </w:r>
      <w:r>
        <w:rPr>
          <w:spacing w:val="-39"/>
        </w:rPr>
        <w:t> </w:t>
      </w:r>
      <w:r>
        <w:rPr/>
        <w:t>são</w:t>
      </w:r>
      <w:r>
        <w:rPr>
          <w:spacing w:val="-40"/>
        </w:rPr>
        <w:t> </w:t>
      </w:r>
      <w:r>
        <w:rPr/>
        <w:t>reconhecidos</w:t>
      </w:r>
      <w:r>
        <w:rPr>
          <w:spacing w:val="-40"/>
        </w:rPr>
        <w:t> </w:t>
      </w:r>
      <w:r>
        <w:rPr/>
        <w:t>no</w:t>
      </w:r>
      <w:r>
        <w:rPr>
          <w:spacing w:val="-38"/>
        </w:rPr>
        <w:t> </w:t>
      </w:r>
      <w:r>
        <w:rPr/>
        <w:t>resultado</w:t>
      </w:r>
      <w:r>
        <w:rPr>
          <w:spacing w:val="-40"/>
        </w:rPr>
        <w:t> </w:t>
      </w:r>
      <w:r>
        <w:rPr/>
        <w:t>do</w:t>
      </w:r>
      <w:r>
        <w:rPr>
          <w:spacing w:val="-38"/>
        </w:rPr>
        <w:t> </w:t>
      </w:r>
      <w:r>
        <w:rPr/>
        <w:t>exercício.</w:t>
      </w:r>
      <w:r>
        <w:rPr>
          <w:spacing w:val="-39"/>
        </w:rPr>
        <w:t> </w:t>
      </w:r>
      <w:r>
        <w:rPr/>
        <w:t>Quando</w:t>
      </w:r>
      <w:r>
        <w:rPr>
          <w:spacing w:val="-40"/>
        </w:rPr>
        <w:t> </w:t>
      </w:r>
      <w:r>
        <w:rPr/>
        <w:t>uma</w:t>
      </w:r>
      <w:r>
        <w:rPr>
          <w:spacing w:val="-39"/>
        </w:rPr>
        <w:t> </w:t>
      </w:r>
      <w:r>
        <w:rPr/>
        <w:t>propriedade</w:t>
      </w:r>
      <w:r>
        <w:rPr>
          <w:spacing w:val="-40"/>
        </w:rPr>
        <w:t> </w:t>
      </w:r>
      <w:r>
        <w:rPr/>
        <w:t>para</w:t>
      </w:r>
      <w:r>
        <w:rPr>
          <w:spacing w:val="-39"/>
        </w:rPr>
        <w:t> </w:t>
      </w:r>
      <w:r>
        <w:rPr/>
        <w:t>investimento </w:t>
      </w:r>
      <w:r>
        <w:rPr>
          <w:w w:val="95"/>
        </w:rPr>
        <w:t>previamente</w:t>
      </w:r>
      <w:r>
        <w:rPr>
          <w:spacing w:val="-10"/>
          <w:w w:val="95"/>
        </w:rPr>
        <w:t> </w:t>
      </w:r>
      <w:r>
        <w:rPr>
          <w:w w:val="95"/>
        </w:rPr>
        <w:t>reconhecida</w:t>
      </w:r>
      <w:r>
        <w:rPr>
          <w:spacing w:val="-8"/>
          <w:w w:val="95"/>
        </w:rPr>
        <w:t> </w:t>
      </w:r>
      <w:r>
        <w:rPr>
          <w:w w:val="95"/>
        </w:rPr>
        <w:t>como</w:t>
      </w:r>
      <w:r>
        <w:rPr>
          <w:spacing w:val="-8"/>
          <w:w w:val="95"/>
        </w:rPr>
        <w:t> </w:t>
      </w:r>
      <w:r>
        <w:rPr>
          <w:w w:val="95"/>
        </w:rPr>
        <w:t>ativo</w:t>
      </w:r>
      <w:r>
        <w:rPr>
          <w:spacing w:val="-9"/>
          <w:w w:val="95"/>
        </w:rPr>
        <w:t> </w:t>
      </w:r>
      <w:r>
        <w:rPr>
          <w:w w:val="95"/>
        </w:rPr>
        <w:t>imobilizado</w:t>
      </w:r>
      <w:r>
        <w:rPr>
          <w:spacing w:val="-8"/>
          <w:w w:val="95"/>
        </w:rPr>
        <w:t> </w:t>
      </w:r>
      <w:r>
        <w:rPr>
          <w:w w:val="95"/>
        </w:rPr>
        <w:t>é</w:t>
      </w:r>
      <w:r>
        <w:rPr>
          <w:spacing w:val="-8"/>
          <w:w w:val="95"/>
        </w:rPr>
        <w:t> </w:t>
      </w:r>
      <w:r>
        <w:rPr>
          <w:w w:val="95"/>
        </w:rPr>
        <w:t>vendida,</w:t>
      </w:r>
      <w:r>
        <w:rPr>
          <w:spacing w:val="-9"/>
          <w:w w:val="95"/>
        </w:rPr>
        <w:t> </w:t>
      </w:r>
      <w:r>
        <w:rPr>
          <w:w w:val="95"/>
        </w:rPr>
        <w:t>qualquer</w:t>
      </w:r>
      <w:r>
        <w:rPr>
          <w:spacing w:val="-9"/>
          <w:w w:val="95"/>
        </w:rPr>
        <w:t> </w:t>
      </w:r>
      <w:r>
        <w:rPr>
          <w:w w:val="95"/>
        </w:rPr>
        <w:t>montante</w:t>
      </w:r>
      <w:r>
        <w:rPr>
          <w:spacing w:val="-8"/>
          <w:w w:val="95"/>
        </w:rPr>
        <w:t> </w:t>
      </w:r>
      <w:r>
        <w:rPr>
          <w:w w:val="95"/>
        </w:rPr>
        <w:t>reconhecido</w:t>
      </w:r>
      <w:r>
        <w:rPr>
          <w:spacing w:val="-8"/>
          <w:w w:val="95"/>
        </w:rPr>
        <w:t> </w:t>
      </w:r>
      <w:r>
        <w:rPr>
          <w:w w:val="95"/>
        </w:rPr>
        <w:t>em</w:t>
      </w:r>
      <w:r>
        <w:rPr>
          <w:spacing w:val="-9"/>
          <w:w w:val="95"/>
        </w:rPr>
        <w:t> </w:t>
      </w:r>
      <w:r>
        <w:rPr>
          <w:w w:val="95"/>
        </w:rPr>
        <w:t>ajuste</w:t>
      </w:r>
      <w:r>
        <w:rPr>
          <w:spacing w:val="-7"/>
          <w:w w:val="95"/>
        </w:rPr>
        <w:t> </w:t>
      </w:r>
      <w:r>
        <w:rPr>
          <w:w w:val="95"/>
        </w:rPr>
        <w:t>de</w:t>
      </w:r>
      <w:r>
        <w:rPr>
          <w:spacing w:val="-8"/>
          <w:w w:val="95"/>
        </w:rPr>
        <w:t> </w:t>
      </w:r>
      <w:r>
        <w:rPr>
          <w:w w:val="95"/>
        </w:rPr>
        <w:t>avaliação </w:t>
      </w:r>
      <w:r>
        <w:rPr/>
        <w:t>patrimonial</w:t>
      </w:r>
      <w:r>
        <w:rPr>
          <w:spacing w:val="-19"/>
        </w:rPr>
        <w:t> </w:t>
      </w:r>
      <w:r>
        <w:rPr/>
        <w:t>é</w:t>
      </w:r>
      <w:r>
        <w:rPr>
          <w:spacing w:val="-17"/>
        </w:rPr>
        <w:t> </w:t>
      </w:r>
      <w:r>
        <w:rPr/>
        <w:t>transferido</w:t>
      </w:r>
      <w:r>
        <w:rPr>
          <w:spacing w:val="-17"/>
        </w:rPr>
        <w:t> </w:t>
      </w:r>
      <w:r>
        <w:rPr/>
        <w:t>para</w:t>
      </w:r>
      <w:r>
        <w:rPr>
          <w:spacing w:val="-18"/>
        </w:rPr>
        <w:t> </w:t>
      </w:r>
      <w:r>
        <w:rPr/>
        <w:t>lucros</w:t>
      </w:r>
      <w:r>
        <w:rPr>
          <w:spacing w:val="-19"/>
        </w:rPr>
        <w:t> </w:t>
      </w:r>
      <w:r>
        <w:rPr/>
        <w:t>acumulados.</w:t>
      </w:r>
    </w:p>
    <w:p>
      <w:pPr>
        <w:pStyle w:val="BodyText"/>
        <w:spacing w:before="6"/>
      </w:pPr>
    </w:p>
    <w:p>
      <w:pPr>
        <w:pStyle w:val="BodyText"/>
        <w:spacing w:line="242" w:lineRule="auto"/>
        <w:ind w:left="192" w:right="609"/>
        <w:jc w:val="both"/>
      </w:pPr>
      <w:r>
        <w:rPr/>
        <w:t>Quando</w:t>
      </w:r>
      <w:r>
        <w:rPr>
          <w:spacing w:val="-34"/>
        </w:rPr>
        <w:t> </w:t>
      </w:r>
      <w:r>
        <w:rPr/>
        <w:t>a</w:t>
      </w:r>
      <w:r>
        <w:rPr>
          <w:spacing w:val="-34"/>
        </w:rPr>
        <w:t> </w:t>
      </w:r>
      <w:r>
        <w:rPr/>
        <w:t>utilização</w:t>
      </w:r>
      <w:r>
        <w:rPr>
          <w:spacing w:val="-33"/>
        </w:rPr>
        <w:t> </w:t>
      </w:r>
      <w:r>
        <w:rPr/>
        <w:t>da</w:t>
      </w:r>
      <w:r>
        <w:rPr>
          <w:spacing w:val="-34"/>
        </w:rPr>
        <w:t> </w:t>
      </w:r>
      <w:r>
        <w:rPr/>
        <w:t>propriedade</w:t>
      </w:r>
      <w:r>
        <w:rPr>
          <w:spacing w:val="-32"/>
        </w:rPr>
        <w:t> </w:t>
      </w:r>
      <w:r>
        <w:rPr/>
        <w:t>muda</w:t>
      </w:r>
      <w:r>
        <w:rPr>
          <w:spacing w:val="-33"/>
        </w:rPr>
        <w:t> </w:t>
      </w:r>
      <w:r>
        <w:rPr/>
        <w:t>de</w:t>
      </w:r>
      <w:r>
        <w:rPr>
          <w:spacing w:val="-34"/>
        </w:rPr>
        <w:t> </w:t>
      </w:r>
      <w:r>
        <w:rPr/>
        <w:t>tal</w:t>
      </w:r>
      <w:r>
        <w:rPr>
          <w:spacing w:val="-34"/>
        </w:rPr>
        <w:t> </w:t>
      </w:r>
      <w:r>
        <w:rPr/>
        <w:t>forma</w:t>
      </w:r>
      <w:r>
        <w:rPr>
          <w:spacing w:val="-31"/>
        </w:rPr>
        <w:t> </w:t>
      </w:r>
      <w:r>
        <w:rPr/>
        <w:t>que</w:t>
      </w:r>
      <w:r>
        <w:rPr>
          <w:spacing w:val="-33"/>
        </w:rPr>
        <w:t> </w:t>
      </w:r>
      <w:r>
        <w:rPr/>
        <w:t>ela</w:t>
      </w:r>
      <w:r>
        <w:rPr>
          <w:spacing w:val="-33"/>
        </w:rPr>
        <w:t> </w:t>
      </w:r>
      <w:r>
        <w:rPr/>
        <w:t>é</w:t>
      </w:r>
      <w:r>
        <w:rPr>
          <w:spacing w:val="-33"/>
        </w:rPr>
        <w:t> </w:t>
      </w:r>
      <w:r>
        <w:rPr/>
        <w:t>reclassificada</w:t>
      </w:r>
      <w:r>
        <w:rPr>
          <w:spacing w:val="-33"/>
        </w:rPr>
        <w:t> </w:t>
      </w:r>
      <w:r>
        <w:rPr/>
        <w:t>como</w:t>
      </w:r>
      <w:r>
        <w:rPr>
          <w:spacing w:val="-32"/>
        </w:rPr>
        <w:t> </w:t>
      </w:r>
      <w:r>
        <w:rPr/>
        <w:t>imobilizado,</w:t>
      </w:r>
      <w:r>
        <w:rPr>
          <w:spacing w:val="-34"/>
        </w:rPr>
        <w:t> </w:t>
      </w:r>
      <w:r>
        <w:rPr/>
        <w:t>seu</w:t>
      </w:r>
      <w:r>
        <w:rPr>
          <w:spacing w:val="-33"/>
        </w:rPr>
        <w:t> </w:t>
      </w:r>
      <w:r>
        <w:rPr/>
        <w:t>valor</w:t>
      </w:r>
      <w:r>
        <w:rPr>
          <w:spacing w:val="-33"/>
        </w:rPr>
        <w:t> </w:t>
      </w:r>
      <w:r>
        <w:rPr/>
        <w:t>contábil apurado</w:t>
      </w:r>
      <w:r>
        <w:rPr>
          <w:spacing w:val="-37"/>
        </w:rPr>
        <w:t> </w:t>
      </w:r>
      <w:r>
        <w:rPr/>
        <w:t>na</w:t>
      </w:r>
      <w:r>
        <w:rPr>
          <w:spacing w:val="-37"/>
        </w:rPr>
        <w:t> </w:t>
      </w:r>
      <w:r>
        <w:rPr/>
        <w:t>data</w:t>
      </w:r>
      <w:r>
        <w:rPr>
          <w:spacing w:val="-37"/>
        </w:rPr>
        <w:t> </w:t>
      </w:r>
      <w:r>
        <w:rPr/>
        <w:t>da</w:t>
      </w:r>
      <w:r>
        <w:rPr>
          <w:spacing w:val="-36"/>
        </w:rPr>
        <w:t> </w:t>
      </w:r>
      <w:r>
        <w:rPr/>
        <w:t>reclassificação</w:t>
      </w:r>
      <w:r>
        <w:rPr>
          <w:spacing w:val="-37"/>
        </w:rPr>
        <w:t> </w:t>
      </w:r>
      <w:r>
        <w:rPr/>
        <w:t>se</w:t>
      </w:r>
      <w:r>
        <w:rPr>
          <w:spacing w:val="-38"/>
        </w:rPr>
        <w:t> </w:t>
      </w:r>
      <w:r>
        <w:rPr/>
        <w:t>torna</w:t>
      </w:r>
      <w:r>
        <w:rPr>
          <w:spacing w:val="-38"/>
        </w:rPr>
        <w:t> </w:t>
      </w:r>
      <w:r>
        <w:rPr/>
        <w:t>seu</w:t>
      </w:r>
      <w:r>
        <w:rPr>
          <w:spacing w:val="-36"/>
        </w:rPr>
        <w:t> </w:t>
      </w:r>
      <w:r>
        <w:rPr/>
        <w:t>custo</w:t>
      </w:r>
      <w:r>
        <w:rPr>
          <w:spacing w:val="-37"/>
        </w:rPr>
        <w:t> </w:t>
      </w:r>
      <w:r>
        <w:rPr/>
        <w:t>para</w:t>
      </w:r>
      <w:r>
        <w:rPr>
          <w:spacing w:val="-37"/>
        </w:rPr>
        <w:t> </w:t>
      </w:r>
      <w:r>
        <w:rPr/>
        <w:t>a</w:t>
      </w:r>
      <w:r>
        <w:rPr>
          <w:spacing w:val="-37"/>
        </w:rPr>
        <w:t> </w:t>
      </w:r>
      <w:r>
        <w:rPr/>
        <w:t>contabilização</w:t>
      </w:r>
      <w:r>
        <w:rPr>
          <w:spacing w:val="-38"/>
        </w:rPr>
        <w:t> </w:t>
      </w:r>
      <w:r>
        <w:rPr/>
        <w:t>subsequente</w:t>
      </w:r>
      <w:r>
        <w:rPr>
          <w:spacing w:val="-37"/>
        </w:rPr>
        <w:t> </w:t>
      </w:r>
      <w:r>
        <w:rPr/>
        <w:t>(Nota</w:t>
      </w:r>
      <w:r>
        <w:rPr>
          <w:spacing w:val="-37"/>
        </w:rPr>
        <w:t> </w:t>
      </w:r>
      <w:r>
        <w:rPr/>
        <w:t>Explicativa</w:t>
      </w:r>
      <w:r>
        <w:rPr>
          <w:spacing w:val="-37"/>
        </w:rPr>
        <w:t> </w:t>
      </w:r>
      <w:r>
        <w:rPr/>
        <w:t>nº</w:t>
      </w:r>
      <w:r>
        <w:rPr>
          <w:spacing w:val="-36"/>
        </w:rPr>
        <w:t> </w:t>
      </w:r>
      <w:r>
        <w:rPr>
          <w:spacing w:val="2"/>
        </w:rPr>
        <w:t>14.3).</w:t>
      </w:r>
    </w:p>
    <w:p>
      <w:pPr>
        <w:pStyle w:val="BodyText"/>
        <w:spacing w:before="7"/>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A</w:t>
      </w:r>
      <w:r>
        <w:rPr>
          <w:rFonts w:ascii="Caladea"/>
          <w:b/>
          <w:sz w:val="18"/>
        </w:rPr>
        <w:t>TIVO </w:t>
      </w:r>
      <w:r>
        <w:rPr>
          <w:rFonts w:ascii="Caladea"/>
          <w:b/>
          <w:sz w:val="22"/>
        </w:rPr>
        <w:t>I</w:t>
      </w:r>
      <w:r>
        <w:rPr>
          <w:rFonts w:ascii="Caladea"/>
          <w:b/>
          <w:sz w:val="18"/>
        </w:rPr>
        <w:t>MOBILIZADO</w:t>
      </w:r>
    </w:p>
    <w:p>
      <w:pPr>
        <w:pStyle w:val="BodyText"/>
        <w:spacing w:before="10"/>
        <w:rPr>
          <w:rFonts w:ascii="Caladea"/>
          <w:b/>
          <w:sz w:val="23"/>
        </w:rPr>
      </w:pPr>
    </w:p>
    <w:p>
      <w:pPr>
        <w:pStyle w:val="BodyText"/>
        <w:ind w:left="192" w:right="551"/>
      </w:pPr>
      <w:r>
        <w:rPr/>
        <w:t>Os</w:t>
      </w:r>
      <w:r>
        <w:rPr>
          <w:spacing w:val="-37"/>
        </w:rPr>
        <w:t> </w:t>
      </w:r>
      <w:r>
        <w:rPr/>
        <w:t>itens</w:t>
      </w:r>
      <w:r>
        <w:rPr>
          <w:spacing w:val="-34"/>
        </w:rPr>
        <w:t> </w:t>
      </w:r>
      <w:r>
        <w:rPr/>
        <w:t>do</w:t>
      </w:r>
      <w:r>
        <w:rPr>
          <w:spacing w:val="-35"/>
        </w:rPr>
        <w:t> </w:t>
      </w:r>
      <w:r>
        <w:rPr/>
        <w:t>imobilizado</w:t>
      </w:r>
      <w:r>
        <w:rPr>
          <w:spacing w:val="-36"/>
        </w:rPr>
        <w:t> </w:t>
      </w:r>
      <w:r>
        <w:rPr/>
        <w:t>são</w:t>
      </w:r>
      <w:r>
        <w:rPr>
          <w:spacing w:val="-34"/>
        </w:rPr>
        <w:t> </w:t>
      </w:r>
      <w:r>
        <w:rPr/>
        <w:t>mensurados</w:t>
      </w:r>
      <w:r>
        <w:rPr>
          <w:spacing w:val="-35"/>
        </w:rPr>
        <w:t> </w:t>
      </w:r>
      <w:r>
        <w:rPr/>
        <w:t>pelo</w:t>
      </w:r>
      <w:r>
        <w:rPr>
          <w:spacing w:val="-35"/>
        </w:rPr>
        <w:t> </w:t>
      </w:r>
      <w:r>
        <w:rPr/>
        <w:t>custo</w:t>
      </w:r>
      <w:r>
        <w:rPr>
          <w:spacing w:val="-36"/>
        </w:rPr>
        <w:t> </w:t>
      </w:r>
      <w:r>
        <w:rPr/>
        <w:t>de</w:t>
      </w:r>
      <w:r>
        <w:rPr>
          <w:spacing w:val="-36"/>
        </w:rPr>
        <w:t> </w:t>
      </w:r>
      <w:r>
        <w:rPr/>
        <w:t>aquisição</w:t>
      </w:r>
      <w:r>
        <w:rPr>
          <w:spacing w:val="-36"/>
        </w:rPr>
        <w:t> </w:t>
      </w:r>
      <w:r>
        <w:rPr/>
        <w:t>ou</w:t>
      </w:r>
      <w:r>
        <w:rPr>
          <w:spacing w:val="-35"/>
        </w:rPr>
        <w:t> </w:t>
      </w:r>
      <w:r>
        <w:rPr/>
        <w:t>construção,</w:t>
      </w:r>
      <w:r>
        <w:rPr>
          <w:spacing w:val="-36"/>
        </w:rPr>
        <w:t> </w:t>
      </w:r>
      <w:r>
        <w:rPr/>
        <w:t>deduzido</w:t>
      </w:r>
      <w:r>
        <w:rPr>
          <w:spacing w:val="-36"/>
        </w:rPr>
        <w:t> </w:t>
      </w:r>
      <w:r>
        <w:rPr/>
        <w:t>de</w:t>
      </w:r>
      <w:r>
        <w:rPr>
          <w:spacing w:val="-36"/>
        </w:rPr>
        <w:t> </w:t>
      </w:r>
      <w:r>
        <w:rPr/>
        <w:t>depreciação</w:t>
      </w:r>
      <w:r>
        <w:rPr>
          <w:spacing w:val="-36"/>
        </w:rPr>
        <w:t> </w:t>
      </w:r>
      <w:r>
        <w:rPr/>
        <w:t>acumulada e</w:t>
      </w:r>
      <w:r>
        <w:rPr>
          <w:spacing w:val="-24"/>
        </w:rPr>
        <w:t> </w:t>
      </w:r>
      <w:r>
        <w:rPr/>
        <w:t>perdas</w:t>
      </w:r>
      <w:r>
        <w:rPr>
          <w:spacing w:val="-21"/>
        </w:rPr>
        <w:t> </w:t>
      </w:r>
      <w:r>
        <w:rPr/>
        <w:t>de</w:t>
      </w:r>
      <w:r>
        <w:rPr>
          <w:spacing w:val="-22"/>
        </w:rPr>
        <w:t> </w:t>
      </w:r>
      <w:r>
        <w:rPr/>
        <w:t>redução</w:t>
      </w:r>
      <w:r>
        <w:rPr>
          <w:spacing w:val="-23"/>
        </w:rPr>
        <w:t> </w:t>
      </w:r>
      <w:r>
        <w:rPr/>
        <w:t>ao</w:t>
      </w:r>
      <w:r>
        <w:rPr>
          <w:spacing w:val="-22"/>
        </w:rPr>
        <w:t> </w:t>
      </w:r>
      <w:r>
        <w:rPr/>
        <w:t>valor</w:t>
      </w:r>
      <w:r>
        <w:rPr>
          <w:spacing w:val="-21"/>
        </w:rPr>
        <w:t> </w:t>
      </w:r>
      <w:r>
        <w:rPr/>
        <w:t>recuperável</w:t>
      </w:r>
      <w:r>
        <w:rPr>
          <w:spacing w:val="-21"/>
        </w:rPr>
        <w:t> </w:t>
      </w:r>
      <w:r>
        <w:rPr/>
        <w:t>(</w:t>
      </w:r>
      <w:r>
        <w:rPr>
          <w:rFonts w:ascii="Caladea" w:hAnsi="Caladea"/>
          <w:i/>
        </w:rPr>
        <w:t>impairment</w:t>
      </w:r>
      <w:r>
        <w:rPr/>
        <w:t>),</w:t>
      </w:r>
      <w:r>
        <w:rPr>
          <w:spacing w:val="-23"/>
        </w:rPr>
        <w:t> </w:t>
      </w:r>
      <w:r>
        <w:rPr/>
        <w:t>acumuladas,</w:t>
      </w:r>
      <w:r>
        <w:rPr>
          <w:spacing w:val="-22"/>
        </w:rPr>
        <w:t> </w:t>
      </w:r>
      <w:r>
        <w:rPr/>
        <w:t>quando</w:t>
      </w:r>
      <w:r>
        <w:rPr>
          <w:spacing w:val="-23"/>
        </w:rPr>
        <w:t> </w:t>
      </w:r>
      <w:r>
        <w:rPr/>
        <w:t>aplicável.</w:t>
      </w:r>
    </w:p>
    <w:p>
      <w:pPr>
        <w:pStyle w:val="BodyText"/>
        <w:rPr>
          <w:sz w:val="21"/>
        </w:rPr>
      </w:pPr>
    </w:p>
    <w:p>
      <w:pPr>
        <w:pStyle w:val="BodyText"/>
        <w:spacing w:line="242" w:lineRule="auto"/>
        <w:ind w:left="192" w:right="618"/>
        <w:jc w:val="both"/>
      </w:pPr>
      <w:r>
        <w:rPr/>
        <w:t>O</w:t>
      </w:r>
      <w:r>
        <w:rPr>
          <w:spacing w:val="-46"/>
        </w:rPr>
        <w:t> </w:t>
      </w:r>
      <w:r>
        <w:rPr/>
        <w:t>custo</w:t>
      </w:r>
      <w:r>
        <w:rPr>
          <w:spacing w:val="-45"/>
        </w:rPr>
        <w:t> </w:t>
      </w:r>
      <w:r>
        <w:rPr/>
        <w:t>inclui</w:t>
      </w:r>
      <w:r>
        <w:rPr>
          <w:spacing w:val="-45"/>
        </w:rPr>
        <w:t> </w:t>
      </w:r>
      <w:r>
        <w:rPr/>
        <w:t>gastos</w:t>
      </w:r>
      <w:r>
        <w:rPr>
          <w:spacing w:val="-44"/>
        </w:rPr>
        <w:t> </w:t>
      </w:r>
      <w:r>
        <w:rPr/>
        <w:t>que</w:t>
      </w:r>
      <w:r>
        <w:rPr>
          <w:spacing w:val="-44"/>
        </w:rPr>
        <w:t> </w:t>
      </w:r>
      <w:r>
        <w:rPr/>
        <w:t>são</w:t>
      </w:r>
      <w:r>
        <w:rPr>
          <w:spacing w:val="-44"/>
        </w:rPr>
        <w:t> </w:t>
      </w:r>
      <w:r>
        <w:rPr/>
        <w:t>diretamente</w:t>
      </w:r>
      <w:r>
        <w:rPr>
          <w:spacing w:val="-46"/>
        </w:rPr>
        <w:t> </w:t>
      </w:r>
      <w:r>
        <w:rPr/>
        <w:t>atribuíveis</w:t>
      </w:r>
      <w:r>
        <w:rPr>
          <w:spacing w:val="-44"/>
        </w:rPr>
        <w:t> </w:t>
      </w:r>
      <w:r>
        <w:rPr/>
        <w:t>à</w:t>
      </w:r>
      <w:r>
        <w:rPr>
          <w:spacing w:val="-45"/>
        </w:rPr>
        <w:t> </w:t>
      </w:r>
      <w:r>
        <w:rPr/>
        <w:t>aquisição</w:t>
      </w:r>
      <w:r>
        <w:rPr>
          <w:spacing w:val="-45"/>
        </w:rPr>
        <w:t> </w:t>
      </w:r>
      <w:r>
        <w:rPr/>
        <w:t>de</w:t>
      </w:r>
      <w:r>
        <w:rPr>
          <w:spacing w:val="-45"/>
        </w:rPr>
        <w:t> </w:t>
      </w:r>
      <w:r>
        <w:rPr/>
        <w:t>um</w:t>
      </w:r>
      <w:r>
        <w:rPr>
          <w:spacing w:val="-45"/>
        </w:rPr>
        <w:t> </w:t>
      </w:r>
      <w:r>
        <w:rPr/>
        <w:t>ativo.</w:t>
      </w:r>
      <w:r>
        <w:rPr>
          <w:spacing w:val="-44"/>
        </w:rPr>
        <w:t> </w:t>
      </w:r>
      <w:r>
        <w:rPr/>
        <w:t>O</w:t>
      </w:r>
      <w:r>
        <w:rPr>
          <w:spacing w:val="-44"/>
        </w:rPr>
        <w:t> </w:t>
      </w:r>
      <w:r>
        <w:rPr/>
        <w:t>custo</w:t>
      </w:r>
      <w:r>
        <w:rPr>
          <w:spacing w:val="-44"/>
        </w:rPr>
        <w:t> </w:t>
      </w:r>
      <w:r>
        <w:rPr/>
        <w:t>de</w:t>
      </w:r>
      <w:r>
        <w:rPr>
          <w:spacing w:val="-46"/>
        </w:rPr>
        <w:t> </w:t>
      </w:r>
      <w:r>
        <w:rPr/>
        <w:t>ativos</w:t>
      </w:r>
      <w:r>
        <w:rPr>
          <w:spacing w:val="-44"/>
        </w:rPr>
        <w:t> </w:t>
      </w:r>
      <w:r>
        <w:rPr/>
        <w:t>construídos</w:t>
      </w:r>
      <w:r>
        <w:rPr>
          <w:spacing w:val="-44"/>
        </w:rPr>
        <w:t> </w:t>
      </w:r>
      <w:r>
        <w:rPr/>
        <w:t>pelo</w:t>
      </w:r>
      <w:r>
        <w:rPr>
          <w:spacing w:val="-44"/>
        </w:rPr>
        <w:t> </w:t>
      </w:r>
      <w:r>
        <w:rPr/>
        <w:t>Grupo inclui:</w:t>
      </w:r>
    </w:p>
    <w:p>
      <w:pPr>
        <w:pStyle w:val="BodyText"/>
        <w:spacing w:before="5"/>
      </w:pPr>
    </w:p>
    <w:p>
      <w:pPr>
        <w:pStyle w:val="ListParagraph"/>
        <w:numPr>
          <w:ilvl w:val="0"/>
          <w:numId w:val="14"/>
        </w:numPr>
        <w:tabs>
          <w:tab w:pos="620" w:val="left" w:leader="none"/>
          <w:tab w:pos="621" w:val="left" w:leader="none"/>
        </w:tabs>
        <w:spacing w:line="245" w:lineRule="exact" w:before="0" w:after="0"/>
        <w:ind w:left="620" w:right="0" w:hanging="429"/>
        <w:jc w:val="left"/>
        <w:rPr>
          <w:rFonts w:ascii="Symbol" w:hAnsi="Symbol"/>
          <w:sz w:val="20"/>
        </w:rPr>
      </w:pPr>
      <w:r>
        <w:rPr>
          <w:sz w:val="20"/>
        </w:rPr>
        <w:t>O</w:t>
      </w:r>
      <w:r>
        <w:rPr>
          <w:spacing w:val="-20"/>
          <w:sz w:val="20"/>
        </w:rPr>
        <w:t> </w:t>
      </w:r>
      <w:r>
        <w:rPr>
          <w:sz w:val="20"/>
        </w:rPr>
        <w:t>custo</w:t>
      </w:r>
      <w:r>
        <w:rPr>
          <w:spacing w:val="-19"/>
          <w:sz w:val="20"/>
        </w:rPr>
        <w:t> </w:t>
      </w:r>
      <w:r>
        <w:rPr>
          <w:sz w:val="20"/>
        </w:rPr>
        <w:t>de</w:t>
      </w:r>
      <w:r>
        <w:rPr>
          <w:spacing w:val="-17"/>
          <w:sz w:val="20"/>
        </w:rPr>
        <w:t> </w:t>
      </w:r>
      <w:r>
        <w:rPr>
          <w:sz w:val="20"/>
        </w:rPr>
        <w:t>materiais</w:t>
      </w:r>
      <w:r>
        <w:rPr>
          <w:spacing w:val="-16"/>
          <w:sz w:val="20"/>
        </w:rPr>
        <w:t> </w:t>
      </w:r>
      <w:r>
        <w:rPr>
          <w:sz w:val="20"/>
        </w:rPr>
        <w:t>e</w:t>
      </w:r>
      <w:r>
        <w:rPr>
          <w:spacing w:val="-20"/>
          <w:sz w:val="20"/>
        </w:rPr>
        <w:t> </w:t>
      </w:r>
      <w:r>
        <w:rPr>
          <w:sz w:val="20"/>
        </w:rPr>
        <w:t>mão</w:t>
      </w:r>
      <w:r>
        <w:rPr>
          <w:spacing w:val="-16"/>
          <w:sz w:val="20"/>
        </w:rPr>
        <w:t> </w:t>
      </w:r>
      <w:r>
        <w:rPr>
          <w:sz w:val="20"/>
        </w:rPr>
        <w:t>de</w:t>
      </w:r>
      <w:r>
        <w:rPr>
          <w:spacing w:val="-20"/>
          <w:sz w:val="20"/>
        </w:rPr>
        <w:t> </w:t>
      </w:r>
      <w:r>
        <w:rPr>
          <w:sz w:val="20"/>
        </w:rPr>
        <w:t>obra</w:t>
      </w:r>
      <w:r>
        <w:rPr>
          <w:spacing w:val="-15"/>
          <w:sz w:val="20"/>
        </w:rPr>
        <w:t> </w:t>
      </w:r>
      <w:r>
        <w:rPr>
          <w:sz w:val="20"/>
        </w:rPr>
        <w:t>direta;</w:t>
      </w:r>
    </w:p>
    <w:p>
      <w:pPr>
        <w:pStyle w:val="ListParagraph"/>
        <w:numPr>
          <w:ilvl w:val="0"/>
          <w:numId w:val="14"/>
        </w:numPr>
        <w:tabs>
          <w:tab w:pos="620" w:val="left" w:leader="none"/>
          <w:tab w:pos="621" w:val="left" w:leader="none"/>
        </w:tabs>
        <w:spacing w:line="242" w:lineRule="auto" w:before="0" w:after="0"/>
        <w:ind w:left="620" w:right="617" w:hanging="428"/>
        <w:jc w:val="left"/>
        <w:rPr>
          <w:rFonts w:ascii="Symbol" w:hAnsi="Symbol"/>
          <w:sz w:val="20"/>
        </w:rPr>
      </w:pPr>
      <w:r>
        <w:rPr>
          <w:sz w:val="20"/>
        </w:rPr>
        <w:t>Quaisquer</w:t>
      </w:r>
      <w:r>
        <w:rPr>
          <w:spacing w:val="-30"/>
          <w:sz w:val="20"/>
        </w:rPr>
        <w:t> </w:t>
      </w:r>
      <w:r>
        <w:rPr>
          <w:sz w:val="20"/>
        </w:rPr>
        <w:t>outros</w:t>
      </w:r>
      <w:r>
        <w:rPr>
          <w:spacing w:val="-29"/>
          <w:sz w:val="20"/>
        </w:rPr>
        <w:t> </w:t>
      </w:r>
      <w:r>
        <w:rPr>
          <w:sz w:val="20"/>
        </w:rPr>
        <w:t>custos</w:t>
      </w:r>
      <w:r>
        <w:rPr>
          <w:spacing w:val="-28"/>
          <w:sz w:val="20"/>
        </w:rPr>
        <w:t> </w:t>
      </w:r>
      <w:r>
        <w:rPr>
          <w:sz w:val="20"/>
        </w:rPr>
        <w:t>para</w:t>
      </w:r>
      <w:r>
        <w:rPr>
          <w:spacing w:val="-29"/>
          <w:sz w:val="20"/>
        </w:rPr>
        <w:t> </w:t>
      </w:r>
      <w:r>
        <w:rPr>
          <w:sz w:val="20"/>
        </w:rPr>
        <w:t>colocar</w:t>
      </w:r>
      <w:r>
        <w:rPr>
          <w:spacing w:val="-29"/>
          <w:sz w:val="20"/>
        </w:rPr>
        <w:t> </w:t>
      </w:r>
      <w:r>
        <w:rPr>
          <w:sz w:val="20"/>
        </w:rPr>
        <w:t>o</w:t>
      </w:r>
      <w:r>
        <w:rPr>
          <w:spacing w:val="-30"/>
          <w:sz w:val="20"/>
        </w:rPr>
        <w:t> </w:t>
      </w:r>
      <w:r>
        <w:rPr>
          <w:sz w:val="20"/>
        </w:rPr>
        <w:t>ativo</w:t>
      </w:r>
      <w:r>
        <w:rPr>
          <w:spacing w:val="-28"/>
          <w:sz w:val="20"/>
        </w:rPr>
        <w:t> </w:t>
      </w:r>
      <w:r>
        <w:rPr>
          <w:sz w:val="20"/>
        </w:rPr>
        <w:t>no</w:t>
      </w:r>
      <w:r>
        <w:rPr>
          <w:spacing w:val="-29"/>
          <w:sz w:val="20"/>
        </w:rPr>
        <w:t> </w:t>
      </w:r>
      <w:r>
        <w:rPr>
          <w:sz w:val="20"/>
        </w:rPr>
        <w:t>local</w:t>
      </w:r>
      <w:r>
        <w:rPr>
          <w:spacing w:val="-29"/>
          <w:sz w:val="20"/>
        </w:rPr>
        <w:t> </w:t>
      </w:r>
      <w:r>
        <w:rPr>
          <w:sz w:val="20"/>
        </w:rPr>
        <w:t>e</w:t>
      </w:r>
      <w:r>
        <w:rPr>
          <w:spacing w:val="-30"/>
          <w:sz w:val="20"/>
        </w:rPr>
        <w:t> </w:t>
      </w:r>
      <w:r>
        <w:rPr>
          <w:sz w:val="20"/>
        </w:rPr>
        <w:t>condições</w:t>
      </w:r>
      <w:r>
        <w:rPr>
          <w:spacing w:val="-29"/>
          <w:sz w:val="20"/>
        </w:rPr>
        <w:t> </w:t>
      </w:r>
      <w:r>
        <w:rPr>
          <w:sz w:val="20"/>
        </w:rPr>
        <w:t>necessários</w:t>
      </w:r>
      <w:r>
        <w:rPr>
          <w:spacing w:val="-29"/>
          <w:sz w:val="20"/>
        </w:rPr>
        <w:t> </w:t>
      </w:r>
      <w:r>
        <w:rPr>
          <w:sz w:val="20"/>
        </w:rPr>
        <w:t>para</w:t>
      </w:r>
      <w:r>
        <w:rPr>
          <w:spacing w:val="-27"/>
          <w:sz w:val="20"/>
        </w:rPr>
        <w:t> </w:t>
      </w:r>
      <w:r>
        <w:rPr>
          <w:sz w:val="20"/>
        </w:rPr>
        <w:t>que</w:t>
      </w:r>
      <w:r>
        <w:rPr>
          <w:spacing w:val="-29"/>
          <w:sz w:val="20"/>
        </w:rPr>
        <w:t> </w:t>
      </w:r>
      <w:r>
        <w:rPr>
          <w:sz w:val="20"/>
        </w:rPr>
        <w:t>esses</w:t>
      </w:r>
      <w:r>
        <w:rPr>
          <w:spacing w:val="-29"/>
          <w:sz w:val="20"/>
        </w:rPr>
        <w:t> </w:t>
      </w:r>
      <w:r>
        <w:rPr>
          <w:sz w:val="20"/>
        </w:rPr>
        <w:t>sejam</w:t>
      </w:r>
      <w:r>
        <w:rPr>
          <w:spacing w:val="-29"/>
          <w:sz w:val="20"/>
        </w:rPr>
        <w:t> </w:t>
      </w:r>
      <w:r>
        <w:rPr>
          <w:sz w:val="20"/>
        </w:rPr>
        <w:t>capazes</w:t>
      </w:r>
      <w:r>
        <w:rPr>
          <w:spacing w:val="-29"/>
          <w:sz w:val="20"/>
        </w:rPr>
        <w:t> </w:t>
      </w:r>
      <w:r>
        <w:rPr>
          <w:sz w:val="20"/>
        </w:rPr>
        <w:t>de operar</w:t>
      </w:r>
      <w:r>
        <w:rPr>
          <w:spacing w:val="-19"/>
          <w:sz w:val="20"/>
        </w:rPr>
        <w:t> </w:t>
      </w:r>
      <w:r>
        <w:rPr>
          <w:sz w:val="20"/>
        </w:rPr>
        <w:t>de</w:t>
      </w:r>
      <w:r>
        <w:rPr>
          <w:spacing w:val="-17"/>
          <w:sz w:val="20"/>
        </w:rPr>
        <w:t> </w:t>
      </w:r>
      <w:r>
        <w:rPr>
          <w:sz w:val="20"/>
        </w:rPr>
        <w:t>forma</w:t>
      </w:r>
      <w:r>
        <w:rPr>
          <w:spacing w:val="-18"/>
          <w:sz w:val="20"/>
        </w:rPr>
        <w:t> </w:t>
      </w:r>
      <w:r>
        <w:rPr>
          <w:sz w:val="20"/>
        </w:rPr>
        <w:t>adequada;</w:t>
      </w:r>
      <w:r>
        <w:rPr>
          <w:spacing w:val="-15"/>
          <w:sz w:val="20"/>
        </w:rPr>
        <w:t> </w:t>
      </w:r>
      <w:r>
        <w:rPr>
          <w:sz w:val="20"/>
        </w:rPr>
        <w:t>e</w:t>
      </w:r>
    </w:p>
    <w:p>
      <w:pPr>
        <w:pStyle w:val="ListParagraph"/>
        <w:numPr>
          <w:ilvl w:val="0"/>
          <w:numId w:val="14"/>
        </w:numPr>
        <w:tabs>
          <w:tab w:pos="620" w:val="left" w:leader="none"/>
          <w:tab w:pos="621" w:val="left" w:leader="none"/>
        </w:tabs>
        <w:spacing w:line="243" w:lineRule="exact" w:before="0" w:after="0"/>
        <w:ind w:left="620" w:right="0" w:hanging="429"/>
        <w:jc w:val="left"/>
        <w:rPr>
          <w:rFonts w:ascii="Symbol" w:hAnsi="Symbol"/>
          <w:sz w:val="20"/>
        </w:rPr>
      </w:pPr>
      <w:r>
        <w:rPr>
          <w:sz w:val="20"/>
        </w:rPr>
        <w:t>Custos</w:t>
      </w:r>
      <w:r>
        <w:rPr>
          <w:spacing w:val="-20"/>
          <w:sz w:val="20"/>
        </w:rPr>
        <w:t> </w:t>
      </w:r>
      <w:r>
        <w:rPr>
          <w:sz w:val="20"/>
        </w:rPr>
        <w:t>de</w:t>
      </w:r>
      <w:r>
        <w:rPr>
          <w:spacing w:val="-19"/>
          <w:sz w:val="20"/>
        </w:rPr>
        <w:t> </w:t>
      </w:r>
      <w:r>
        <w:rPr>
          <w:sz w:val="20"/>
        </w:rPr>
        <w:t>empréstimos</w:t>
      </w:r>
      <w:r>
        <w:rPr>
          <w:spacing w:val="-17"/>
          <w:sz w:val="20"/>
        </w:rPr>
        <w:t> </w:t>
      </w:r>
      <w:r>
        <w:rPr>
          <w:sz w:val="20"/>
        </w:rPr>
        <w:t>e</w:t>
      </w:r>
      <w:r>
        <w:rPr>
          <w:spacing w:val="-21"/>
          <w:sz w:val="20"/>
        </w:rPr>
        <w:t> </w:t>
      </w:r>
      <w:r>
        <w:rPr>
          <w:sz w:val="20"/>
        </w:rPr>
        <w:t>financiamento</w:t>
      </w:r>
      <w:r>
        <w:rPr>
          <w:spacing w:val="-20"/>
          <w:sz w:val="20"/>
        </w:rPr>
        <w:t> </w:t>
      </w:r>
      <w:r>
        <w:rPr>
          <w:sz w:val="20"/>
        </w:rPr>
        <w:t>sobre</w:t>
      </w:r>
      <w:r>
        <w:rPr>
          <w:spacing w:val="-22"/>
          <w:sz w:val="20"/>
        </w:rPr>
        <w:t> </w:t>
      </w:r>
      <w:r>
        <w:rPr>
          <w:sz w:val="20"/>
        </w:rPr>
        <w:t>ativos</w:t>
      </w:r>
      <w:r>
        <w:rPr>
          <w:spacing w:val="-19"/>
          <w:sz w:val="20"/>
        </w:rPr>
        <w:t> </w:t>
      </w:r>
      <w:r>
        <w:rPr>
          <w:sz w:val="20"/>
        </w:rPr>
        <w:t>qualificáveis.</w:t>
      </w:r>
    </w:p>
    <w:p>
      <w:pPr>
        <w:pStyle w:val="BodyText"/>
        <w:spacing w:before="11"/>
      </w:pPr>
    </w:p>
    <w:p>
      <w:pPr>
        <w:pStyle w:val="BodyText"/>
        <w:spacing w:line="242" w:lineRule="auto"/>
        <w:ind w:left="192" w:right="615"/>
        <w:jc w:val="both"/>
      </w:pPr>
      <w:r>
        <w:rPr/>
        <w:t>Ganhos</w:t>
      </w:r>
      <w:r>
        <w:rPr>
          <w:spacing w:val="-16"/>
        </w:rPr>
        <w:t> </w:t>
      </w:r>
      <w:r>
        <w:rPr/>
        <w:t>e</w:t>
      </w:r>
      <w:r>
        <w:rPr>
          <w:spacing w:val="-14"/>
        </w:rPr>
        <w:t> </w:t>
      </w:r>
      <w:r>
        <w:rPr/>
        <w:t>perdas</w:t>
      </w:r>
      <w:r>
        <w:rPr>
          <w:spacing w:val="-15"/>
        </w:rPr>
        <w:t> </w:t>
      </w:r>
      <w:r>
        <w:rPr/>
        <w:t>na</w:t>
      </w:r>
      <w:r>
        <w:rPr>
          <w:spacing w:val="-15"/>
        </w:rPr>
        <w:t> </w:t>
      </w:r>
      <w:r>
        <w:rPr/>
        <w:t>alienação</w:t>
      </w:r>
      <w:r>
        <w:rPr>
          <w:spacing w:val="-16"/>
        </w:rPr>
        <w:t> </w:t>
      </w:r>
      <w:r>
        <w:rPr/>
        <w:t>de</w:t>
      </w:r>
      <w:r>
        <w:rPr>
          <w:spacing w:val="-16"/>
        </w:rPr>
        <w:t> </w:t>
      </w:r>
      <w:r>
        <w:rPr/>
        <w:t>um</w:t>
      </w:r>
      <w:r>
        <w:rPr>
          <w:spacing w:val="-16"/>
        </w:rPr>
        <w:t> </w:t>
      </w:r>
      <w:r>
        <w:rPr/>
        <w:t>item</w:t>
      </w:r>
      <w:r>
        <w:rPr>
          <w:spacing w:val="-14"/>
        </w:rPr>
        <w:t> </w:t>
      </w:r>
      <w:r>
        <w:rPr/>
        <w:t>do</w:t>
      </w:r>
      <w:r>
        <w:rPr>
          <w:spacing w:val="-14"/>
        </w:rPr>
        <w:t> </w:t>
      </w:r>
      <w:r>
        <w:rPr/>
        <w:t>imobilizado</w:t>
      </w:r>
      <w:r>
        <w:rPr>
          <w:spacing w:val="-16"/>
        </w:rPr>
        <w:t> </w:t>
      </w:r>
      <w:r>
        <w:rPr/>
        <w:t>(apurados</w:t>
      </w:r>
      <w:r>
        <w:rPr>
          <w:spacing w:val="-13"/>
        </w:rPr>
        <w:t> </w:t>
      </w:r>
      <w:r>
        <w:rPr/>
        <w:t>pela</w:t>
      </w:r>
      <w:r>
        <w:rPr>
          <w:spacing w:val="-16"/>
        </w:rPr>
        <w:t> </w:t>
      </w:r>
      <w:r>
        <w:rPr/>
        <w:t>diferença</w:t>
      </w:r>
      <w:r>
        <w:rPr>
          <w:spacing w:val="-15"/>
        </w:rPr>
        <w:t> </w:t>
      </w:r>
      <w:r>
        <w:rPr/>
        <w:t>entre</w:t>
      </w:r>
      <w:r>
        <w:rPr>
          <w:spacing w:val="-16"/>
        </w:rPr>
        <w:t> </w:t>
      </w:r>
      <w:r>
        <w:rPr/>
        <w:t>os</w:t>
      </w:r>
      <w:r>
        <w:rPr>
          <w:spacing w:val="-14"/>
        </w:rPr>
        <w:t> </w:t>
      </w:r>
      <w:r>
        <w:rPr/>
        <w:t>recursos</w:t>
      </w:r>
      <w:r>
        <w:rPr>
          <w:spacing w:val="-15"/>
        </w:rPr>
        <w:t> </w:t>
      </w:r>
      <w:r>
        <w:rPr/>
        <w:t>advindos</w:t>
      </w:r>
      <w:r>
        <w:rPr>
          <w:spacing w:val="-13"/>
        </w:rPr>
        <w:t> </w:t>
      </w:r>
      <w:r>
        <w:rPr/>
        <w:t>da </w:t>
      </w:r>
      <w:r>
        <w:rPr>
          <w:w w:val="95"/>
        </w:rPr>
        <w:t>alienação</w:t>
      </w:r>
      <w:r>
        <w:rPr>
          <w:spacing w:val="-20"/>
          <w:w w:val="95"/>
        </w:rPr>
        <w:t> </w:t>
      </w:r>
      <w:r>
        <w:rPr>
          <w:w w:val="95"/>
        </w:rPr>
        <w:t>e</w:t>
      </w:r>
      <w:r>
        <w:rPr>
          <w:spacing w:val="-21"/>
          <w:w w:val="95"/>
        </w:rPr>
        <w:t> </w:t>
      </w:r>
      <w:r>
        <w:rPr>
          <w:w w:val="95"/>
        </w:rPr>
        <w:t>o</w:t>
      </w:r>
      <w:r>
        <w:rPr>
          <w:spacing w:val="-18"/>
          <w:w w:val="95"/>
        </w:rPr>
        <w:t> </w:t>
      </w:r>
      <w:r>
        <w:rPr>
          <w:w w:val="95"/>
        </w:rPr>
        <w:t>valor</w:t>
      </w:r>
      <w:r>
        <w:rPr>
          <w:spacing w:val="-21"/>
          <w:w w:val="95"/>
        </w:rPr>
        <w:t> </w:t>
      </w:r>
      <w:r>
        <w:rPr>
          <w:w w:val="95"/>
        </w:rPr>
        <w:t>contábil</w:t>
      </w:r>
      <w:r>
        <w:rPr>
          <w:spacing w:val="-18"/>
          <w:w w:val="95"/>
        </w:rPr>
        <w:t> </w:t>
      </w:r>
      <w:r>
        <w:rPr>
          <w:w w:val="95"/>
        </w:rPr>
        <w:t>do</w:t>
      </w:r>
      <w:r>
        <w:rPr>
          <w:spacing w:val="-20"/>
          <w:w w:val="95"/>
        </w:rPr>
        <w:t> </w:t>
      </w:r>
      <w:r>
        <w:rPr>
          <w:w w:val="95"/>
        </w:rPr>
        <w:t>imobilizado),</w:t>
      </w:r>
      <w:r>
        <w:rPr>
          <w:spacing w:val="-20"/>
          <w:w w:val="95"/>
        </w:rPr>
        <w:t> </w:t>
      </w:r>
      <w:r>
        <w:rPr>
          <w:w w:val="95"/>
        </w:rPr>
        <w:t>são</w:t>
      </w:r>
      <w:r>
        <w:rPr>
          <w:spacing w:val="-17"/>
          <w:w w:val="95"/>
        </w:rPr>
        <w:t> </w:t>
      </w:r>
      <w:r>
        <w:rPr>
          <w:w w:val="95"/>
        </w:rPr>
        <w:t>reconhecidos</w:t>
      </w:r>
      <w:r>
        <w:rPr>
          <w:spacing w:val="-20"/>
          <w:w w:val="95"/>
        </w:rPr>
        <w:t> </w:t>
      </w:r>
      <w:r>
        <w:rPr>
          <w:w w:val="95"/>
        </w:rPr>
        <w:t>em</w:t>
      </w:r>
      <w:r>
        <w:rPr>
          <w:spacing w:val="-20"/>
          <w:w w:val="95"/>
        </w:rPr>
        <w:t> </w:t>
      </w:r>
      <w:r>
        <w:rPr>
          <w:w w:val="95"/>
        </w:rPr>
        <w:t>outras</w:t>
      </w:r>
      <w:r>
        <w:rPr>
          <w:spacing w:val="-18"/>
          <w:w w:val="95"/>
        </w:rPr>
        <w:t> </w:t>
      </w:r>
      <w:r>
        <w:rPr>
          <w:w w:val="95"/>
        </w:rPr>
        <w:t>receitas/despesas</w:t>
      </w:r>
      <w:r>
        <w:rPr>
          <w:spacing w:val="-19"/>
          <w:w w:val="95"/>
        </w:rPr>
        <w:t> </w:t>
      </w:r>
      <w:r>
        <w:rPr>
          <w:w w:val="95"/>
        </w:rPr>
        <w:t>operacionais</w:t>
      </w:r>
      <w:r>
        <w:rPr>
          <w:spacing w:val="-17"/>
          <w:w w:val="95"/>
        </w:rPr>
        <w:t> </w:t>
      </w:r>
      <w:r>
        <w:rPr>
          <w:w w:val="95"/>
        </w:rPr>
        <w:t>no</w:t>
      </w:r>
      <w:r>
        <w:rPr>
          <w:spacing w:val="-17"/>
          <w:w w:val="95"/>
        </w:rPr>
        <w:t> </w:t>
      </w:r>
      <w:r>
        <w:rPr>
          <w:w w:val="95"/>
        </w:rPr>
        <w:t>resultado.</w:t>
      </w:r>
    </w:p>
    <w:p>
      <w:pPr>
        <w:pStyle w:val="BodyText"/>
        <w:spacing w:before="6"/>
      </w:pPr>
    </w:p>
    <w:p>
      <w:pPr>
        <w:pStyle w:val="BodyText"/>
        <w:spacing w:line="242" w:lineRule="auto" w:before="1"/>
        <w:ind w:left="192" w:right="615"/>
        <w:jc w:val="both"/>
      </w:pPr>
      <w:r>
        <w:rPr/>
        <w:t>Gastos</w:t>
      </w:r>
      <w:r>
        <w:rPr>
          <w:spacing w:val="-18"/>
        </w:rPr>
        <w:t> </w:t>
      </w:r>
      <w:r>
        <w:rPr/>
        <w:t>subsequentes</w:t>
      </w:r>
      <w:r>
        <w:rPr>
          <w:spacing w:val="-16"/>
        </w:rPr>
        <w:t> </w:t>
      </w:r>
      <w:r>
        <w:rPr/>
        <w:t>são</w:t>
      </w:r>
      <w:r>
        <w:rPr>
          <w:spacing w:val="-18"/>
        </w:rPr>
        <w:t> </w:t>
      </w:r>
      <w:r>
        <w:rPr/>
        <w:t>capitalizados</w:t>
      </w:r>
      <w:r>
        <w:rPr>
          <w:spacing w:val="-18"/>
        </w:rPr>
        <w:t> </w:t>
      </w:r>
      <w:r>
        <w:rPr/>
        <w:t>na</w:t>
      </w:r>
      <w:r>
        <w:rPr>
          <w:spacing w:val="-17"/>
        </w:rPr>
        <w:t> </w:t>
      </w:r>
      <w:r>
        <w:rPr/>
        <w:t>medida</w:t>
      </w:r>
      <w:r>
        <w:rPr>
          <w:spacing w:val="-16"/>
        </w:rPr>
        <w:t> </w:t>
      </w:r>
      <w:r>
        <w:rPr/>
        <w:t>em</w:t>
      </w:r>
      <w:r>
        <w:rPr>
          <w:spacing w:val="-17"/>
        </w:rPr>
        <w:t> </w:t>
      </w:r>
      <w:r>
        <w:rPr/>
        <w:t>que</w:t>
      </w:r>
      <w:r>
        <w:rPr>
          <w:spacing w:val="-19"/>
        </w:rPr>
        <w:t> </w:t>
      </w:r>
      <w:r>
        <w:rPr/>
        <w:t>seja</w:t>
      </w:r>
      <w:r>
        <w:rPr>
          <w:spacing w:val="-17"/>
        </w:rPr>
        <w:t> </w:t>
      </w:r>
      <w:r>
        <w:rPr/>
        <w:t>provável</w:t>
      </w:r>
      <w:r>
        <w:rPr>
          <w:spacing w:val="-17"/>
        </w:rPr>
        <w:t> </w:t>
      </w:r>
      <w:r>
        <w:rPr/>
        <w:t>que</w:t>
      </w:r>
      <w:r>
        <w:rPr>
          <w:spacing w:val="-17"/>
        </w:rPr>
        <w:t> </w:t>
      </w:r>
      <w:r>
        <w:rPr/>
        <w:t>benefícios</w:t>
      </w:r>
      <w:r>
        <w:rPr>
          <w:spacing w:val="-18"/>
        </w:rPr>
        <w:t> </w:t>
      </w:r>
      <w:r>
        <w:rPr/>
        <w:t>futuros</w:t>
      </w:r>
      <w:r>
        <w:rPr>
          <w:spacing w:val="-18"/>
        </w:rPr>
        <w:t> </w:t>
      </w:r>
      <w:r>
        <w:rPr/>
        <w:t>associados</w:t>
      </w:r>
      <w:r>
        <w:rPr>
          <w:spacing w:val="-18"/>
        </w:rPr>
        <w:t> </w:t>
      </w:r>
      <w:r>
        <w:rPr/>
        <w:t>com</w:t>
      </w:r>
      <w:r>
        <w:rPr>
          <w:spacing w:val="-17"/>
        </w:rPr>
        <w:t> </w:t>
      </w:r>
      <w:r>
        <w:rPr/>
        <w:t>os gastos</w:t>
      </w:r>
      <w:r>
        <w:rPr>
          <w:spacing w:val="-30"/>
        </w:rPr>
        <w:t> </w:t>
      </w:r>
      <w:r>
        <w:rPr/>
        <w:t>serão</w:t>
      </w:r>
      <w:r>
        <w:rPr>
          <w:spacing w:val="-30"/>
        </w:rPr>
        <w:t> </w:t>
      </w:r>
      <w:r>
        <w:rPr/>
        <w:t>auferidos</w:t>
      </w:r>
      <w:r>
        <w:rPr>
          <w:spacing w:val="-28"/>
        </w:rPr>
        <w:t> </w:t>
      </w:r>
      <w:r>
        <w:rPr/>
        <w:t>pelo</w:t>
      </w:r>
      <w:r>
        <w:rPr>
          <w:spacing w:val="-27"/>
        </w:rPr>
        <w:t> </w:t>
      </w:r>
      <w:r>
        <w:rPr/>
        <w:t>Grupo.</w:t>
      </w:r>
      <w:r>
        <w:rPr>
          <w:spacing w:val="-30"/>
        </w:rPr>
        <w:t> </w:t>
      </w:r>
      <w:r>
        <w:rPr/>
        <w:t>Gastos</w:t>
      </w:r>
      <w:r>
        <w:rPr>
          <w:spacing w:val="-28"/>
        </w:rPr>
        <w:t> </w:t>
      </w:r>
      <w:r>
        <w:rPr/>
        <w:t>de</w:t>
      </w:r>
      <w:r>
        <w:rPr>
          <w:spacing w:val="-30"/>
        </w:rPr>
        <w:t> </w:t>
      </w:r>
      <w:r>
        <w:rPr/>
        <w:t>manutenção</w:t>
      </w:r>
      <w:r>
        <w:rPr>
          <w:spacing w:val="-30"/>
        </w:rPr>
        <w:t> </w:t>
      </w:r>
      <w:r>
        <w:rPr/>
        <w:t>e</w:t>
      </w:r>
      <w:r>
        <w:rPr>
          <w:spacing w:val="-29"/>
        </w:rPr>
        <w:t> </w:t>
      </w:r>
      <w:r>
        <w:rPr/>
        <w:t>reparos</w:t>
      </w:r>
      <w:r>
        <w:rPr>
          <w:spacing w:val="-28"/>
        </w:rPr>
        <w:t> </w:t>
      </w:r>
      <w:r>
        <w:rPr/>
        <w:t>recorrentes</w:t>
      </w:r>
      <w:r>
        <w:rPr>
          <w:spacing w:val="-29"/>
        </w:rPr>
        <w:t> </w:t>
      </w:r>
      <w:r>
        <w:rPr/>
        <w:t>são</w:t>
      </w:r>
      <w:r>
        <w:rPr>
          <w:spacing w:val="-28"/>
        </w:rPr>
        <w:t> </w:t>
      </w:r>
      <w:r>
        <w:rPr/>
        <w:t>registrados</w:t>
      </w:r>
      <w:r>
        <w:rPr>
          <w:spacing w:val="-28"/>
        </w:rPr>
        <w:t> </w:t>
      </w:r>
      <w:r>
        <w:rPr/>
        <w:t>no</w:t>
      </w:r>
      <w:r>
        <w:rPr>
          <w:spacing w:val="-29"/>
        </w:rPr>
        <w:t> </w:t>
      </w:r>
      <w:r>
        <w:rPr/>
        <w:t>resultado.</w:t>
      </w:r>
    </w:p>
    <w:p>
      <w:pPr>
        <w:pStyle w:val="BodyText"/>
        <w:spacing w:before="9"/>
      </w:pPr>
    </w:p>
    <w:p>
      <w:pPr>
        <w:pStyle w:val="BodyText"/>
        <w:spacing w:line="242" w:lineRule="auto"/>
        <w:ind w:left="192" w:right="609"/>
        <w:jc w:val="both"/>
      </w:pPr>
      <w:r>
        <w:rPr/>
        <w:t>A depreciação e amortização são calculadas sobre o saldo das imobilizações em serviço e investimentos em consórcios,</w:t>
      </w:r>
      <w:r>
        <w:rPr>
          <w:spacing w:val="-34"/>
        </w:rPr>
        <w:t> </w:t>
      </w:r>
      <w:r>
        <w:rPr/>
        <w:t>pelo</w:t>
      </w:r>
      <w:r>
        <w:rPr>
          <w:spacing w:val="-34"/>
        </w:rPr>
        <w:t> </w:t>
      </w:r>
      <w:r>
        <w:rPr/>
        <w:t>método</w:t>
      </w:r>
      <w:r>
        <w:rPr>
          <w:spacing w:val="-35"/>
        </w:rPr>
        <w:t> </w:t>
      </w:r>
      <w:r>
        <w:rPr/>
        <w:t>linear,</w:t>
      </w:r>
      <w:r>
        <w:rPr>
          <w:spacing w:val="-34"/>
        </w:rPr>
        <w:t> </w:t>
      </w:r>
      <w:r>
        <w:rPr/>
        <w:t>mediante</w:t>
      </w:r>
      <w:r>
        <w:rPr>
          <w:spacing w:val="-35"/>
        </w:rPr>
        <w:t> </w:t>
      </w:r>
      <w:r>
        <w:rPr/>
        <w:t>aplicação</w:t>
      </w:r>
      <w:r>
        <w:rPr>
          <w:spacing w:val="-35"/>
        </w:rPr>
        <w:t> </w:t>
      </w:r>
      <w:r>
        <w:rPr/>
        <w:t>das</w:t>
      </w:r>
      <w:r>
        <w:rPr>
          <w:spacing w:val="-34"/>
        </w:rPr>
        <w:t> </w:t>
      </w:r>
      <w:r>
        <w:rPr/>
        <w:t>taxas</w:t>
      </w:r>
      <w:r>
        <w:rPr>
          <w:spacing w:val="-34"/>
        </w:rPr>
        <w:t> </w:t>
      </w:r>
      <w:r>
        <w:rPr/>
        <w:t>determinadas</w:t>
      </w:r>
      <w:r>
        <w:rPr>
          <w:spacing w:val="-35"/>
        </w:rPr>
        <w:t> </w:t>
      </w:r>
      <w:r>
        <w:rPr/>
        <w:t>pela</w:t>
      </w:r>
      <w:r>
        <w:rPr>
          <w:spacing w:val="-35"/>
        </w:rPr>
        <w:t> </w:t>
      </w:r>
      <w:r>
        <w:rPr/>
        <w:t>ANEEL</w:t>
      </w:r>
      <w:r>
        <w:rPr>
          <w:spacing w:val="-35"/>
        </w:rPr>
        <w:t> </w:t>
      </w:r>
      <w:r>
        <w:rPr/>
        <w:t>para</w:t>
      </w:r>
      <w:r>
        <w:rPr>
          <w:spacing w:val="-35"/>
        </w:rPr>
        <w:t> </w:t>
      </w:r>
      <w:r>
        <w:rPr/>
        <w:t>os</w:t>
      </w:r>
      <w:r>
        <w:rPr>
          <w:spacing w:val="-34"/>
        </w:rPr>
        <w:t> </w:t>
      </w:r>
      <w:r>
        <w:rPr/>
        <w:t>ativos</w:t>
      </w:r>
      <w:r>
        <w:rPr>
          <w:spacing w:val="-34"/>
        </w:rPr>
        <w:t> </w:t>
      </w:r>
      <w:r>
        <w:rPr/>
        <w:t>relacionados às</w:t>
      </w:r>
      <w:r>
        <w:rPr>
          <w:spacing w:val="-21"/>
        </w:rPr>
        <w:t> </w:t>
      </w:r>
      <w:r>
        <w:rPr/>
        <w:t>atividades</w:t>
      </w:r>
      <w:r>
        <w:rPr>
          <w:spacing w:val="-21"/>
        </w:rPr>
        <w:t> </w:t>
      </w:r>
      <w:r>
        <w:rPr/>
        <w:t>de</w:t>
      </w:r>
      <w:r>
        <w:rPr>
          <w:spacing w:val="-20"/>
        </w:rPr>
        <w:t> </w:t>
      </w:r>
      <w:r>
        <w:rPr/>
        <w:t>energia</w:t>
      </w:r>
      <w:r>
        <w:rPr>
          <w:spacing w:val="-19"/>
        </w:rPr>
        <w:t> </w:t>
      </w:r>
      <w:r>
        <w:rPr/>
        <w:t>elétrica,</w:t>
      </w:r>
      <w:r>
        <w:rPr>
          <w:spacing w:val="-22"/>
        </w:rPr>
        <w:t> </w:t>
      </w:r>
      <w:r>
        <w:rPr/>
        <w:t>e</w:t>
      </w:r>
      <w:r>
        <w:rPr>
          <w:spacing w:val="-19"/>
        </w:rPr>
        <w:t> </w:t>
      </w:r>
      <w:r>
        <w:rPr/>
        <w:t>refletem</w:t>
      </w:r>
      <w:r>
        <w:rPr>
          <w:spacing w:val="-20"/>
        </w:rPr>
        <w:t> </w:t>
      </w:r>
      <w:r>
        <w:rPr/>
        <w:t>a</w:t>
      </w:r>
      <w:r>
        <w:rPr>
          <w:spacing w:val="-21"/>
        </w:rPr>
        <w:t> </w:t>
      </w:r>
      <w:r>
        <w:rPr/>
        <w:t>vida</w:t>
      </w:r>
      <w:r>
        <w:rPr>
          <w:spacing w:val="-21"/>
        </w:rPr>
        <w:t> </w:t>
      </w:r>
      <w:r>
        <w:rPr/>
        <w:t>útil</w:t>
      </w:r>
      <w:r>
        <w:rPr>
          <w:spacing w:val="-21"/>
        </w:rPr>
        <w:t> </w:t>
      </w:r>
      <w:r>
        <w:rPr/>
        <w:t>estimada</w:t>
      </w:r>
      <w:r>
        <w:rPr>
          <w:spacing w:val="-20"/>
        </w:rPr>
        <w:t> </w:t>
      </w:r>
      <w:r>
        <w:rPr/>
        <w:t>dos</w:t>
      </w:r>
      <w:r>
        <w:rPr>
          <w:spacing w:val="-19"/>
        </w:rPr>
        <w:t> </w:t>
      </w:r>
      <w:r>
        <w:rPr/>
        <w:t>bens.</w:t>
      </w:r>
    </w:p>
    <w:p>
      <w:pPr>
        <w:pStyle w:val="BodyText"/>
        <w:spacing w:before="7"/>
      </w:pPr>
    </w:p>
    <w:p>
      <w:pPr>
        <w:pStyle w:val="BodyText"/>
        <w:spacing w:before="1"/>
        <w:ind w:left="192"/>
      </w:pPr>
      <w:r>
        <w:rPr/>
        <w:t>As principais taxas de depreciação dos bens do ativo imobilizado estão demonstradas na Nota Explicativa nº 15.</w:t>
      </w:r>
    </w:p>
    <w:p>
      <w:pPr>
        <w:spacing w:after="0"/>
        <w:sectPr>
          <w:pgSz w:w="11910" w:h="16850"/>
          <w:pgMar w:header="792" w:footer="1193" w:top="1360" w:bottom="1460" w:left="940" w:right="240"/>
        </w:sectPr>
      </w:pPr>
    </w:p>
    <w:p>
      <w:pPr>
        <w:pStyle w:val="ListParagraph"/>
        <w:numPr>
          <w:ilvl w:val="1"/>
          <w:numId w:val="16"/>
        </w:numPr>
        <w:tabs>
          <w:tab w:pos="1045" w:val="left" w:leader="none"/>
          <w:tab w:pos="1046" w:val="left" w:leader="none"/>
        </w:tabs>
        <w:spacing w:line="240" w:lineRule="auto" w:before="48" w:after="0"/>
        <w:ind w:left="1045" w:right="0" w:hanging="854"/>
        <w:jc w:val="left"/>
        <w:rPr>
          <w:rFonts w:ascii="Caladea" w:hAnsi="Caladea"/>
          <w:b/>
          <w:sz w:val="18"/>
        </w:rPr>
      </w:pPr>
      <w:r>
        <w:rPr>
          <w:rFonts w:ascii="Caladea" w:hAnsi="Caladea"/>
          <w:b/>
          <w:sz w:val="22"/>
        </w:rPr>
        <w:t>I</w:t>
      </w:r>
      <w:r>
        <w:rPr>
          <w:rFonts w:ascii="Caladea" w:hAnsi="Caladea"/>
          <w:b/>
          <w:sz w:val="18"/>
        </w:rPr>
        <w:t>NTANGÍVEL</w:t>
      </w:r>
    </w:p>
    <w:p>
      <w:pPr>
        <w:pStyle w:val="BodyText"/>
        <w:spacing w:before="10"/>
        <w:rPr>
          <w:rFonts w:ascii="Caladea"/>
          <w:b/>
          <w:sz w:val="23"/>
        </w:rPr>
      </w:pPr>
    </w:p>
    <w:p>
      <w:pPr>
        <w:pStyle w:val="Heading5"/>
        <w:numPr>
          <w:ilvl w:val="2"/>
          <w:numId w:val="16"/>
        </w:numPr>
        <w:tabs>
          <w:tab w:pos="1046" w:val="left" w:leader="none"/>
        </w:tabs>
        <w:spacing w:line="240" w:lineRule="auto" w:before="0" w:after="0"/>
        <w:ind w:left="1045" w:right="0" w:hanging="854"/>
        <w:jc w:val="left"/>
      </w:pPr>
      <w:r>
        <w:rPr>
          <w:w w:val="105"/>
        </w:rPr>
        <w:t>Ativos</w:t>
      </w:r>
      <w:r>
        <w:rPr>
          <w:spacing w:val="-9"/>
          <w:w w:val="105"/>
        </w:rPr>
        <w:t> </w:t>
      </w:r>
      <w:r>
        <w:rPr>
          <w:w w:val="105"/>
        </w:rPr>
        <w:t>intangíveis</w:t>
      </w:r>
      <w:r>
        <w:rPr>
          <w:spacing w:val="-8"/>
          <w:w w:val="105"/>
        </w:rPr>
        <w:t> </w:t>
      </w:r>
      <w:r>
        <w:rPr>
          <w:w w:val="105"/>
        </w:rPr>
        <w:t>vinculados</w:t>
      </w:r>
      <w:r>
        <w:rPr>
          <w:spacing w:val="-8"/>
          <w:w w:val="105"/>
        </w:rPr>
        <w:t> </w:t>
      </w:r>
      <w:r>
        <w:rPr>
          <w:w w:val="105"/>
        </w:rPr>
        <w:t>à</w:t>
      </w:r>
      <w:r>
        <w:rPr>
          <w:spacing w:val="-8"/>
          <w:w w:val="105"/>
        </w:rPr>
        <w:t> </w:t>
      </w:r>
      <w:r>
        <w:rPr>
          <w:w w:val="105"/>
        </w:rPr>
        <w:t>concessão</w:t>
      </w:r>
      <w:r>
        <w:rPr>
          <w:spacing w:val="-8"/>
          <w:w w:val="105"/>
        </w:rPr>
        <w:t> </w:t>
      </w:r>
      <w:r>
        <w:rPr>
          <w:rFonts w:ascii="Trebuchet MS" w:hAnsi="Trebuchet MS"/>
          <w:w w:val="105"/>
        </w:rPr>
        <w:t>–</w:t>
      </w:r>
      <w:r>
        <w:rPr>
          <w:rFonts w:ascii="Trebuchet MS" w:hAnsi="Trebuchet MS"/>
          <w:spacing w:val="-27"/>
          <w:w w:val="105"/>
        </w:rPr>
        <w:t> </w:t>
      </w:r>
      <w:r>
        <w:rPr>
          <w:w w:val="105"/>
        </w:rPr>
        <w:t>Atividade</w:t>
      </w:r>
      <w:r>
        <w:rPr>
          <w:spacing w:val="-8"/>
          <w:w w:val="105"/>
        </w:rPr>
        <w:t> </w:t>
      </w:r>
      <w:r>
        <w:rPr>
          <w:w w:val="105"/>
        </w:rPr>
        <w:t>de</w:t>
      </w:r>
      <w:r>
        <w:rPr>
          <w:spacing w:val="-7"/>
          <w:w w:val="105"/>
        </w:rPr>
        <w:t> </w:t>
      </w:r>
      <w:r>
        <w:rPr>
          <w:w w:val="105"/>
        </w:rPr>
        <w:t>distribuição</w:t>
      </w:r>
    </w:p>
    <w:p>
      <w:pPr>
        <w:pStyle w:val="BodyText"/>
        <w:spacing w:before="10"/>
        <w:rPr>
          <w:rFonts w:ascii="Caladea"/>
          <w:b/>
          <w:sz w:val="23"/>
        </w:rPr>
      </w:pPr>
    </w:p>
    <w:p>
      <w:pPr>
        <w:pStyle w:val="BodyText"/>
        <w:spacing w:line="242" w:lineRule="auto"/>
        <w:ind w:left="192" w:right="605"/>
        <w:jc w:val="both"/>
      </w:pPr>
      <w:r>
        <w:rPr/>
        <w:t>A</w:t>
      </w:r>
      <w:r>
        <w:rPr>
          <w:spacing w:val="-32"/>
        </w:rPr>
        <w:t> </w:t>
      </w:r>
      <w:r>
        <w:rPr/>
        <w:t>parcela</w:t>
      </w:r>
      <w:r>
        <w:rPr>
          <w:spacing w:val="-31"/>
        </w:rPr>
        <w:t> </w:t>
      </w:r>
      <w:r>
        <w:rPr/>
        <w:t>dos</w:t>
      </w:r>
      <w:r>
        <w:rPr>
          <w:spacing w:val="-31"/>
        </w:rPr>
        <w:t> </w:t>
      </w:r>
      <w:r>
        <w:rPr/>
        <w:t>ativos</w:t>
      </w:r>
      <w:r>
        <w:rPr>
          <w:spacing w:val="-31"/>
        </w:rPr>
        <w:t> </w:t>
      </w:r>
      <w:r>
        <w:rPr/>
        <w:t>da</w:t>
      </w:r>
      <w:r>
        <w:rPr>
          <w:spacing w:val="-31"/>
        </w:rPr>
        <w:t> </w:t>
      </w:r>
      <w:r>
        <w:rPr/>
        <w:t>concessão</w:t>
      </w:r>
      <w:r>
        <w:rPr>
          <w:spacing w:val="-31"/>
        </w:rPr>
        <w:t> </w:t>
      </w:r>
      <w:r>
        <w:rPr/>
        <w:t>que</w:t>
      </w:r>
      <w:r>
        <w:rPr>
          <w:spacing w:val="-32"/>
        </w:rPr>
        <w:t> </w:t>
      </w:r>
      <w:r>
        <w:rPr/>
        <w:t>será</w:t>
      </w:r>
      <w:r>
        <w:rPr>
          <w:spacing w:val="-31"/>
        </w:rPr>
        <w:t> </w:t>
      </w:r>
      <w:r>
        <w:rPr/>
        <w:t>integralmente</w:t>
      </w:r>
      <w:r>
        <w:rPr>
          <w:spacing w:val="-32"/>
        </w:rPr>
        <w:t> </w:t>
      </w:r>
      <w:r>
        <w:rPr/>
        <w:t>utilizada</w:t>
      </w:r>
      <w:r>
        <w:rPr>
          <w:spacing w:val="-31"/>
        </w:rPr>
        <w:t> </w:t>
      </w:r>
      <w:r>
        <w:rPr/>
        <w:t>durante</w:t>
      </w:r>
      <w:r>
        <w:rPr>
          <w:spacing w:val="-32"/>
        </w:rPr>
        <w:t> </w:t>
      </w:r>
      <w:r>
        <w:rPr/>
        <w:t>a</w:t>
      </w:r>
      <w:r>
        <w:rPr>
          <w:spacing w:val="-31"/>
        </w:rPr>
        <w:t> </w:t>
      </w:r>
      <w:r>
        <w:rPr/>
        <w:t>concessão</w:t>
      </w:r>
      <w:r>
        <w:rPr>
          <w:spacing w:val="-32"/>
        </w:rPr>
        <w:t> </w:t>
      </w:r>
      <w:r>
        <w:rPr/>
        <w:t>é</w:t>
      </w:r>
      <w:r>
        <w:rPr>
          <w:spacing w:val="-32"/>
        </w:rPr>
        <w:t> </w:t>
      </w:r>
      <w:r>
        <w:rPr/>
        <w:t>registrada</w:t>
      </w:r>
      <w:r>
        <w:rPr>
          <w:spacing w:val="-31"/>
        </w:rPr>
        <w:t> </w:t>
      </w:r>
      <w:r>
        <w:rPr/>
        <w:t>como</w:t>
      </w:r>
      <w:r>
        <w:rPr>
          <w:spacing w:val="-32"/>
        </w:rPr>
        <w:t> </w:t>
      </w:r>
      <w:r>
        <w:rPr/>
        <w:t>um</w:t>
      </w:r>
      <w:r>
        <w:rPr>
          <w:spacing w:val="-31"/>
        </w:rPr>
        <w:t> </w:t>
      </w:r>
      <w:r>
        <w:rPr>
          <w:spacing w:val="2"/>
        </w:rPr>
        <w:t>ativo </w:t>
      </w:r>
      <w:r>
        <w:rPr/>
        <w:t>intangível</w:t>
      </w:r>
      <w:r>
        <w:rPr>
          <w:spacing w:val="-22"/>
        </w:rPr>
        <w:t> </w:t>
      </w:r>
      <w:r>
        <w:rPr/>
        <w:t>e</w:t>
      </w:r>
      <w:r>
        <w:rPr>
          <w:spacing w:val="-25"/>
        </w:rPr>
        <w:t> </w:t>
      </w:r>
      <w:r>
        <w:rPr/>
        <w:t>amortizada</w:t>
      </w:r>
      <w:r>
        <w:rPr>
          <w:spacing w:val="-24"/>
        </w:rPr>
        <w:t> </w:t>
      </w:r>
      <w:r>
        <w:rPr/>
        <w:t>integralmente</w:t>
      </w:r>
      <w:r>
        <w:rPr>
          <w:spacing w:val="-23"/>
        </w:rPr>
        <w:t> </w:t>
      </w:r>
      <w:r>
        <w:rPr/>
        <w:t>durante</w:t>
      </w:r>
      <w:r>
        <w:rPr>
          <w:spacing w:val="-24"/>
        </w:rPr>
        <w:t> </w:t>
      </w:r>
      <w:r>
        <w:rPr/>
        <w:t>o</w:t>
      </w:r>
      <w:r>
        <w:rPr>
          <w:spacing w:val="-22"/>
        </w:rPr>
        <w:t> </w:t>
      </w:r>
      <w:r>
        <w:rPr/>
        <w:t>período</w:t>
      </w:r>
      <w:r>
        <w:rPr>
          <w:spacing w:val="-25"/>
        </w:rPr>
        <w:t> </w:t>
      </w:r>
      <w:r>
        <w:rPr/>
        <w:t>de</w:t>
      </w:r>
      <w:r>
        <w:rPr>
          <w:spacing w:val="-23"/>
        </w:rPr>
        <w:t> </w:t>
      </w:r>
      <w:r>
        <w:rPr/>
        <w:t>vigência</w:t>
      </w:r>
      <w:r>
        <w:rPr>
          <w:spacing w:val="-24"/>
        </w:rPr>
        <w:t> </w:t>
      </w:r>
      <w:r>
        <w:rPr/>
        <w:t>do</w:t>
      </w:r>
      <w:r>
        <w:rPr>
          <w:spacing w:val="-25"/>
        </w:rPr>
        <w:t> </w:t>
      </w:r>
      <w:r>
        <w:rPr/>
        <w:t>contrato</w:t>
      </w:r>
      <w:r>
        <w:rPr>
          <w:spacing w:val="-22"/>
        </w:rPr>
        <w:t> </w:t>
      </w:r>
      <w:r>
        <w:rPr/>
        <w:t>de</w:t>
      </w:r>
      <w:r>
        <w:rPr>
          <w:spacing w:val="-23"/>
        </w:rPr>
        <w:t> </w:t>
      </w:r>
      <w:r>
        <w:rPr/>
        <w:t>concessão.</w:t>
      </w:r>
    </w:p>
    <w:p>
      <w:pPr>
        <w:pStyle w:val="BodyText"/>
        <w:spacing w:before="6"/>
      </w:pPr>
    </w:p>
    <w:p>
      <w:pPr>
        <w:pStyle w:val="BodyText"/>
        <w:spacing w:line="242" w:lineRule="auto" w:before="1"/>
        <w:ind w:left="192" w:right="615"/>
        <w:jc w:val="both"/>
      </w:pPr>
      <w:r>
        <w:rPr/>
        <w:t>A amortização reflete o padrão de consumo dos direitos adquiridos, sendo calculada sobre o saldo dos ativos vinculados</w:t>
      </w:r>
      <w:r>
        <w:rPr>
          <w:spacing w:val="-32"/>
        </w:rPr>
        <w:t> </w:t>
      </w:r>
      <w:r>
        <w:rPr/>
        <w:t>à</w:t>
      </w:r>
      <w:r>
        <w:rPr>
          <w:spacing w:val="-31"/>
        </w:rPr>
        <w:t> </w:t>
      </w:r>
      <w:r>
        <w:rPr/>
        <w:t>concessão</w:t>
      </w:r>
      <w:r>
        <w:rPr>
          <w:spacing w:val="-31"/>
        </w:rPr>
        <w:t> </w:t>
      </w:r>
      <w:r>
        <w:rPr/>
        <w:t>pelo</w:t>
      </w:r>
      <w:r>
        <w:rPr>
          <w:spacing w:val="-31"/>
        </w:rPr>
        <w:t> </w:t>
      </w:r>
      <w:r>
        <w:rPr/>
        <w:t>método</w:t>
      </w:r>
      <w:r>
        <w:rPr>
          <w:spacing w:val="-31"/>
        </w:rPr>
        <w:t> </w:t>
      </w:r>
      <w:r>
        <w:rPr/>
        <w:t>linear,</w:t>
      </w:r>
      <w:r>
        <w:rPr>
          <w:spacing w:val="-32"/>
        </w:rPr>
        <w:t> </w:t>
      </w:r>
      <w:r>
        <w:rPr/>
        <w:t>tendo</w:t>
      </w:r>
      <w:r>
        <w:rPr>
          <w:spacing w:val="-32"/>
        </w:rPr>
        <w:t> </w:t>
      </w:r>
      <w:r>
        <w:rPr/>
        <w:t>como</w:t>
      </w:r>
      <w:r>
        <w:rPr>
          <w:spacing w:val="-29"/>
        </w:rPr>
        <w:t> </w:t>
      </w:r>
      <w:r>
        <w:rPr/>
        <w:t>base</w:t>
      </w:r>
      <w:r>
        <w:rPr>
          <w:spacing w:val="-33"/>
        </w:rPr>
        <w:t> </w:t>
      </w:r>
      <w:r>
        <w:rPr/>
        <w:t>a</w:t>
      </w:r>
      <w:r>
        <w:rPr>
          <w:spacing w:val="-31"/>
        </w:rPr>
        <w:t> </w:t>
      </w:r>
      <w:r>
        <w:rPr/>
        <w:t>aplicação</w:t>
      </w:r>
      <w:r>
        <w:rPr>
          <w:spacing w:val="-31"/>
        </w:rPr>
        <w:t> </w:t>
      </w:r>
      <w:r>
        <w:rPr/>
        <w:t>das</w:t>
      </w:r>
      <w:r>
        <w:rPr>
          <w:spacing w:val="-31"/>
        </w:rPr>
        <w:t> </w:t>
      </w:r>
      <w:r>
        <w:rPr/>
        <w:t>taxas</w:t>
      </w:r>
      <w:r>
        <w:rPr>
          <w:spacing w:val="-31"/>
        </w:rPr>
        <w:t> </w:t>
      </w:r>
      <w:r>
        <w:rPr/>
        <w:t>determinadas</w:t>
      </w:r>
      <w:r>
        <w:rPr>
          <w:spacing w:val="-31"/>
        </w:rPr>
        <w:t> </w:t>
      </w:r>
      <w:r>
        <w:rPr/>
        <w:t>pela</w:t>
      </w:r>
      <w:r>
        <w:rPr>
          <w:spacing w:val="-31"/>
        </w:rPr>
        <w:t> </w:t>
      </w:r>
      <w:r>
        <w:rPr/>
        <w:t>ANEEL</w:t>
      </w:r>
      <w:r>
        <w:rPr>
          <w:spacing w:val="-32"/>
        </w:rPr>
        <w:t> </w:t>
      </w:r>
      <w:r>
        <w:rPr/>
        <w:t>para</w:t>
      </w:r>
      <w:r>
        <w:rPr>
          <w:spacing w:val="-31"/>
        </w:rPr>
        <w:t> </w:t>
      </w:r>
      <w:r>
        <w:rPr/>
        <w:t>a atividade</w:t>
      </w:r>
      <w:r>
        <w:rPr>
          <w:spacing w:val="-19"/>
        </w:rPr>
        <w:t> </w:t>
      </w:r>
      <w:r>
        <w:rPr/>
        <w:t>de</w:t>
      </w:r>
      <w:r>
        <w:rPr>
          <w:spacing w:val="-19"/>
        </w:rPr>
        <w:t> </w:t>
      </w:r>
      <w:r>
        <w:rPr/>
        <w:t>distribuição</w:t>
      </w:r>
      <w:r>
        <w:rPr>
          <w:spacing w:val="-16"/>
        </w:rPr>
        <w:t> </w:t>
      </w:r>
      <w:r>
        <w:rPr/>
        <w:t>de</w:t>
      </w:r>
      <w:r>
        <w:rPr>
          <w:spacing w:val="-16"/>
        </w:rPr>
        <w:t> </w:t>
      </w:r>
      <w:r>
        <w:rPr/>
        <w:t>energia</w:t>
      </w:r>
      <w:r>
        <w:rPr>
          <w:spacing w:val="-18"/>
        </w:rPr>
        <w:t> </w:t>
      </w:r>
      <w:r>
        <w:rPr/>
        <w:t>elétrica.</w:t>
      </w:r>
    </w:p>
    <w:p>
      <w:pPr>
        <w:pStyle w:val="BodyText"/>
        <w:spacing w:before="7"/>
      </w:pPr>
    </w:p>
    <w:p>
      <w:pPr>
        <w:pStyle w:val="BodyText"/>
        <w:spacing w:line="242" w:lineRule="auto"/>
        <w:ind w:left="192" w:right="617"/>
        <w:jc w:val="both"/>
      </w:pPr>
      <w:r>
        <w:rPr/>
        <w:t>O</w:t>
      </w:r>
      <w:r>
        <w:rPr>
          <w:spacing w:val="-23"/>
        </w:rPr>
        <w:t> </w:t>
      </w:r>
      <w:r>
        <w:rPr/>
        <w:t>Grupo</w:t>
      </w:r>
      <w:r>
        <w:rPr>
          <w:spacing w:val="-21"/>
        </w:rPr>
        <w:t> </w:t>
      </w:r>
      <w:r>
        <w:rPr/>
        <w:t>mensura</w:t>
      </w:r>
      <w:r>
        <w:rPr>
          <w:spacing w:val="-21"/>
        </w:rPr>
        <w:t> </w:t>
      </w:r>
      <w:r>
        <w:rPr/>
        <w:t>a</w:t>
      </w:r>
      <w:r>
        <w:rPr>
          <w:spacing w:val="-20"/>
        </w:rPr>
        <w:t> </w:t>
      </w:r>
      <w:r>
        <w:rPr/>
        <w:t>parcela</w:t>
      </w:r>
      <w:r>
        <w:rPr>
          <w:spacing w:val="-20"/>
        </w:rPr>
        <w:t> </w:t>
      </w:r>
      <w:r>
        <w:rPr/>
        <w:t>do</w:t>
      </w:r>
      <w:r>
        <w:rPr>
          <w:spacing w:val="-21"/>
        </w:rPr>
        <w:t> </w:t>
      </w:r>
      <w:r>
        <w:rPr/>
        <w:t>valor</w:t>
      </w:r>
      <w:r>
        <w:rPr>
          <w:spacing w:val="-23"/>
        </w:rPr>
        <w:t> </w:t>
      </w:r>
      <w:r>
        <w:rPr/>
        <w:t>dos</w:t>
      </w:r>
      <w:r>
        <w:rPr>
          <w:spacing w:val="-21"/>
        </w:rPr>
        <w:t> </w:t>
      </w:r>
      <w:r>
        <w:rPr/>
        <w:t>ativos</w:t>
      </w:r>
      <w:r>
        <w:rPr>
          <w:spacing w:val="-20"/>
        </w:rPr>
        <w:t> </w:t>
      </w:r>
      <w:r>
        <w:rPr/>
        <w:t>que</w:t>
      </w:r>
      <w:r>
        <w:rPr>
          <w:spacing w:val="-21"/>
        </w:rPr>
        <w:t> </w:t>
      </w:r>
      <w:r>
        <w:rPr/>
        <w:t>não</w:t>
      </w:r>
      <w:r>
        <w:rPr>
          <w:spacing w:val="-21"/>
        </w:rPr>
        <w:t> </w:t>
      </w:r>
      <w:r>
        <w:rPr/>
        <w:t>estará</w:t>
      </w:r>
      <w:r>
        <w:rPr>
          <w:spacing w:val="-21"/>
        </w:rPr>
        <w:t> </w:t>
      </w:r>
      <w:r>
        <w:rPr/>
        <w:t>integralmente</w:t>
      </w:r>
      <w:r>
        <w:rPr>
          <w:spacing w:val="-21"/>
        </w:rPr>
        <w:t> </w:t>
      </w:r>
      <w:r>
        <w:rPr/>
        <w:t>amortizada</w:t>
      </w:r>
      <w:r>
        <w:rPr>
          <w:spacing w:val="-22"/>
        </w:rPr>
        <w:t> </w:t>
      </w:r>
      <w:r>
        <w:rPr/>
        <w:t>até</w:t>
      </w:r>
      <w:r>
        <w:rPr>
          <w:spacing w:val="-22"/>
        </w:rPr>
        <w:t> </w:t>
      </w:r>
      <w:r>
        <w:rPr/>
        <w:t>o</w:t>
      </w:r>
      <w:r>
        <w:rPr>
          <w:spacing w:val="-21"/>
        </w:rPr>
        <w:t> </w:t>
      </w:r>
      <w:r>
        <w:rPr/>
        <w:t>final</w:t>
      </w:r>
      <w:r>
        <w:rPr>
          <w:spacing w:val="-21"/>
        </w:rPr>
        <w:t> </w:t>
      </w:r>
      <w:r>
        <w:rPr/>
        <w:t>da</w:t>
      </w:r>
      <w:r>
        <w:rPr>
          <w:spacing w:val="-21"/>
        </w:rPr>
        <w:t> </w:t>
      </w:r>
      <w:r>
        <w:rPr/>
        <w:t>concessão, registrando</w:t>
      </w:r>
      <w:r>
        <w:rPr>
          <w:spacing w:val="-14"/>
        </w:rPr>
        <w:t> </w:t>
      </w:r>
      <w:r>
        <w:rPr/>
        <w:t>esse</w:t>
      </w:r>
      <w:r>
        <w:rPr>
          <w:spacing w:val="-15"/>
        </w:rPr>
        <w:t> </w:t>
      </w:r>
      <w:r>
        <w:rPr/>
        <w:t>valor</w:t>
      </w:r>
      <w:r>
        <w:rPr>
          <w:spacing w:val="-15"/>
        </w:rPr>
        <w:t> </w:t>
      </w:r>
      <w:r>
        <w:rPr/>
        <w:t>como</w:t>
      </w:r>
      <w:r>
        <w:rPr>
          <w:spacing w:val="-16"/>
        </w:rPr>
        <w:t> </w:t>
      </w:r>
      <w:r>
        <w:rPr/>
        <w:t>um</w:t>
      </w:r>
      <w:r>
        <w:rPr>
          <w:spacing w:val="-13"/>
        </w:rPr>
        <w:t> </w:t>
      </w:r>
      <w:r>
        <w:rPr/>
        <w:t>ativo</w:t>
      </w:r>
      <w:r>
        <w:rPr>
          <w:spacing w:val="-10"/>
        </w:rPr>
        <w:t> </w:t>
      </w:r>
      <w:r>
        <w:rPr/>
        <w:t>financeiro</w:t>
      </w:r>
      <w:r>
        <w:rPr>
          <w:spacing w:val="-15"/>
        </w:rPr>
        <w:t> </w:t>
      </w:r>
      <w:r>
        <w:rPr/>
        <w:t>por</w:t>
      </w:r>
      <w:r>
        <w:rPr>
          <w:spacing w:val="-14"/>
        </w:rPr>
        <w:t> </w:t>
      </w:r>
      <w:r>
        <w:rPr/>
        <w:t>ser</w:t>
      </w:r>
      <w:r>
        <w:rPr>
          <w:spacing w:val="-15"/>
        </w:rPr>
        <w:t> </w:t>
      </w:r>
      <w:r>
        <w:rPr/>
        <w:t>um</w:t>
      </w:r>
      <w:r>
        <w:rPr>
          <w:spacing w:val="-13"/>
        </w:rPr>
        <w:t> </w:t>
      </w:r>
      <w:r>
        <w:rPr/>
        <w:t>direito</w:t>
      </w:r>
      <w:r>
        <w:rPr>
          <w:spacing w:val="-15"/>
        </w:rPr>
        <w:t> </w:t>
      </w:r>
      <w:r>
        <w:rPr/>
        <w:t>incondicional</w:t>
      </w:r>
      <w:r>
        <w:rPr>
          <w:spacing w:val="-13"/>
        </w:rPr>
        <w:t> </w:t>
      </w:r>
      <w:r>
        <w:rPr/>
        <w:t>de</w:t>
      </w:r>
      <w:r>
        <w:rPr>
          <w:spacing w:val="-15"/>
        </w:rPr>
        <w:t> </w:t>
      </w:r>
      <w:r>
        <w:rPr/>
        <w:t>receber</w:t>
      </w:r>
      <w:r>
        <w:rPr>
          <w:spacing w:val="-16"/>
        </w:rPr>
        <w:t> </w:t>
      </w:r>
      <w:r>
        <w:rPr/>
        <w:t>caixa</w:t>
      </w:r>
      <w:r>
        <w:rPr>
          <w:spacing w:val="-13"/>
        </w:rPr>
        <w:t> </w:t>
      </w:r>
      <w:r>
        <w:rPr/>
        <w:t>ou</w:t>
      </w:r>
      <w:r>
        <w:rPr>
          <w:spacing w:val="-14"/>
        </w:rPr>
        <w:t> </w:t>
      </w:r>
      <w:r>
        <w:rPr/>
        <w:t>outro</w:t>
      </w:r>
      <w:r>
        <w:rPr>
          <w:spacing w:val="-16"/>
        </w:rPr>
        <w:t> </w:t>
      </w:r>
      <w:r>
        <w:rPr/>
        <w:t>ativo financeiro</w:t>
      </w:r>
      <w:r>
        <w:rPr>
          <w:spacing w:val="-17"/>
        </w:rPr>
        <w:t> </w:t>
      </w:r>
      <w:r>
        <w:rPr/>
        <w:t>diretamente</w:t>
      </w:r>
      <w:r>
        <w:rPr>
          <w:spacing w:val="-19"/>
        </w:rPr>
        <w:t> </w:t>
      </w:r>
      <w:r>
        <w:rPr/>
        <w:t>do</w:t>
      </w:r>
      <w:r>
        <w:rPr>
          <w:spacing w:val="-17"/>
        </w:rPr>
        <w:t> </w:t>
      </w:r>
      <w:r>
        <w:rPr/>
        <w:t>Poder</w:t>
      </w:r>
      <w:r>
        <w:rPr>
          <w:spacing w:val="-20"/>
        </w:rPr>
        <w:t> </w:t>
      </w:r>
      <w:r>
        <w:rPr/>
        <w:t>Concedente.</w:t>
      </w:r>
    </w:p>
    <w:p>
      <w:pPr>
        <w:pStyle w:val="BodyText"/>
        <w:spacing w:before="8"/>
      </w:pPr>
    </w:p>
    <w:p>
      <w:pPr>
        <w:pStyle w:val="BodyText"/>
        <w:spacing w:line="242" w:lineRule="auto"/>
        <w:ind w:left="192" w:right="623"/>
        <w:jc w:val="both"/>
      </w:pPr>
      <w:r>
        <w:rPr/>
        <w:t>Os</w:t>
      </w:r>
      <w:r>
        <w:rPr>
          <w:spacing w:val="-24"/>
        </w:rPr>
        <w:t> </w:t>
      </w:r>
      <w:r>
        <w:rPr/>
        <w:t>novos</w:t>
      </w:r>
      <w:r>
        <w:rPr>
          <w:spacing w:val="-23"/>
        </w:rPr>
        <w:t> </w:t>
      </w:r>
      <w:r>
        <w:rPr/>
        <w:t>ativos</w:t>
      </w:r>
      <w:r>
        <w:rPr>
          <w:spacing w:val="-24"/>
        </w:rPr>
        <w:t> </w:t>
      </w:r>
      <w:r>
        <w:rPr/>
        <w:t>são</w:t>
      </w:r>
      <w:r>
        <w:rPr>
          <w:spacing w:val="-22"/>
        </w:rPr>
        <w:t> </w:t>
      </w:r>
      <w:r>
        <w:rPr/>
        <w:t>registrados</w:t>
      </w:r>
      <w:r>
        <w:rPr>
          <w:spacing w:val="-24"/>
        </w:rPr>
        <w:t> </w:t>
      </w:r>
      <w:r>
        <w:rPr/>
        <w:t>inicialmente</w:t>
      </w:r>
      <w:r>
        <w:rPr>
          <w:spacing w:val="-21"/>
        </w:rPr>
        <w:t> </w:t>
      </w:r>
      <w:r>
        <w:rPr/>
        <w:t>no</w:t>
      </w:r>
      <w:r>
        <w:rPr>
          <w:spacing w:val="-24"/>
        </w:rPr>
        <w:t> </w:t>
      </w:r>
      <w:r>
        <w:rPr/>
        <w:t>ativo</w:t>
      </w:r>
      <w:r>
        <w:rPr>
          <w:spacing w:val="-22"/>
        </w:rPr>
        <w:t> </w:t>
      </w:r>
      <w:r>
        <w:rPr/>
        <w:t>intangível,</w:t>
      </w:r>
      <w:r>
        <w:rPr>
          <w:spacing w:val="-22"/>
        </w:rPr>
        <w:t> </w:t>
      </w:r>
      <w:r>
        <w:rPr/>
        <w:t>mensurados</w:t>
      </w:r>
      <w:r>
        <w:rPr>
          <w:spacing w:val="-22"/>
        </w:rPr>
        <w:t> </w:t>
      </w:r>
      <w:r>
        <w:rPr/>
        <w:t>pelo</w:t>
      </w:r>
      <w:r>
        <w:rPr>
          <w:spacing w:val="-22"/>
        </w:rPr>
        <w:t> </w:t>
      </w:r>
      <w:r>
        <w:rPr/>
        <w:t>custo</w:t>
      </w:r>
      <w:r>
        <w:rPr>
          <w:spacing w:val="-24"/>
        </w:rPr>
        <w:t> </w:t>
      </w:r>
      <w:r>
        <w:rPr/>
        <w:t>de</w:t>
      </w:r>
      <w:r>
        <w:rPr>
          <w:spacing w:val="-25"/>
        </w:rPr>
        <w:t> </w:t>
      </w:r>
      <w:r>
        <w:rPr/>
        <w:t>aquisição,</w:t>
      </w:r>
      <w:r>
        <w:rPr>
          <w:spacing w:val="-23"/>
        </w:rPr>
        <w:t> </w:t>
      </w:r>
      <w:r>
        <w:rPr/>
        <w:t>incluindo</w:t>
      </w:r>
      <w:r>
        <w:rPr>
          <w:spacing w:val="-22"/>
        </w:rPr>
        <w:t> </w:t>
      </w:r>
      <w:r>
        <w:rPr/>
        <w:t>os custos</w:t>
      </w:r>
      <w:r>
        <w:rPr>
          <w:spacing w:val="-18"/>
        </w:rPr>
        <w:t> </w:t>
      </w:r>
      <w:r>
        <w:rPr/>
        <w:t>de</w:t>
      </w:r>
      <w:r>
        <w:rPr>
          <w:spacing w:val="-18"/>
        </w:rPr>
        <w:t> </w:t>
      </w:r>
      <w:r>
        <w:rPr/>
        <w:t>empréstimos</w:t>
      </w:r>
      <w:r>
        <w:rPr>
          <w:spacing w:val="-15"/>
        </w:rPr>
        <w:t> </w:t>
      </w:r>
      <w:r>
        <w:rPr/>
        <w:t>capitalizados.</w:t>
      </w:r>
    </w:p>
    <w:p>
      <w:pPr>
        <w:pStyle w:val="BodyText"/>
        <w:spacing w:before="9"/>
      </w:pPr>
    </w:p>
    <w:p>
      <w:pPr>
        <w:pStyle w:val="BodyText"/>
        <w:spacing w:line="242" w:lineRule="auto"/>
        <w:ind w:left="192" w:right="606"/>
        <w:jc w:val="both"/>
      </w:pPr>
      <w:r>
        <w:rPr>
          <w:w w:val="95"/>
        </w:rPr>
        <w:t>Quando</w:t>
      </w:r>
      <w:r>
        <w:rPr>
          <w:spacing w:val="-21"/>
          <w:w w:val="95"/>
        </w:rPr>
        <w:t> </w:t>
      </w:r>
      <w:r>
        <w:rPr>
          <w:w w:val="95"/>
        </w:rPr>
        <w:t>da</w:t>
      </w:r>
      <w:r>
        <w:rPr>
          <w:spacing w:val="-19"/>
          <w:w w:val="95"/>
        </w:rPr>
        <w:t> </w:t>
      </w:r>
      <w:r>
        <w:rPr>
          <w:w w:val="95"/>
        </w:rPr>
        <w:t>sua</w:t>
      </w:r>
      <w:r>
        <w:rPr>
          <w:spacing w:val="-19"/>
          <w:w w:val="95"/>
        </w:rPr>
        <w:t> </w:t>
      </w:r>
      <w:r>
        <w:rPr>
          <w:w w:val="95"/>
        </w:rPr>
        <w:t>entrada</w:t>
      </w:r>
      <w:r>
        <w:rPr>
          <w:spacing w:val="-17"/>
          <w:w w:val="95"/>
        </w:rPr>
        <w:t> </w:t>
      </w:r>
      <w:r>
        <w:rPr>
          <w:w w:val="95"/>
        </w:rPr>
        <w:t>em</w:t>
      </w:r>
      <w:r>
        <w:rPr>
          <w:spacing w:val="-20"/>
          <w:w w:val="95"/>
        </w:rPr>
        <w:t> </w:t>
      </w:r>
      <w:r>
        <w:rPr>
          <w:w w:val="95"/>
        </w:rPr>
        <w:t>operação</w:t>
      </w:r>
      <w:r>
        <w:rPr>
          <w:spacing w:val="-21"/>
          <w:w w:val="95"/>
        </w:rPr>
        <w:t> </w:t>
      </w:r>
      <w:r>
        <w:rPr>
          <w:w w:val="95"/>
        </w:rPr>
        <w:t>são</w:t>
      </w:r>
      <w:r>
        <w:rPr>
          <w:spacing w:val="-20"/>
          <w:w w:val="95"/>
        </w:rPr>
        <w:t> </w:t>
      </w:r>
      <w:r>
        <w:rPr>
          <w:w w:val="95"/>
        </w:rPr>
        <w:t>bifurcados</w:t>
      </w:r>
      <w:r>
        <w:rPr>
          <w:spacing w:val="-20"/>
          <w:w w:val="95"/>
        </w:rPr>
        <w:t> </w:t>
      </w:r>
      <w:r>
        <w:rPr>
          <w:w w:val="95"/>
        </w:rPr>
        <w:t>entre</w:t>
      </w:r>
      <w:r>
        <w:rPr>
          <w:spacing w:val="-19"/>
          <w:w w:val="95"/>
        </w:rPr>
        <w:t> </w:t>
      </w:r>
      <w:r>
        <w:rPr>
          <w:w w:val="95"/>
        </w:rPr>
        <w:t>ativos</w:t>
      </w:r>
      <w:r>
        <w:rPr>
          <w:spacing w:val="-21"/>
          <w:w w:val="95"/>
        </w:rPr>
        <w:t> </w:t>
      </w:r>
      <w:r>
        <w:rPr>
          <w:w w:val="95"/>
        </w:rPr>
        <w:t>financeiro</w:t>
      </w:r>
      <w:r>
        <w:rPr>
          <w:spacing w:val="-18"/>
          <w:w w:val="95"/>
        </w:rPr>
        <w:t> </w:t>
      </w:r>
      <w:r>
        <w:rPr>
          <w:w w:val="95"/>
        </w:rPr>
        <w:t>e</w:t>
      </w:r>
      <w:r>
        <w:rPr>
          <w:spacing w:val="-21"/>
          <w:w w:val="95"/>
        </w:rPr>
        <w:t> </w:t>
      </w:r>
      <w:r>
        <w:rPr>
          <w:w w:val="95"/>
        </w:rPr>
        <w:t>intangível,</w:t>
      </w:r>
      <w:r>
        <w:rPr>
          <w:spacing w:val="-20"/>
          <w:w w:val="95"/>
        </w:rPr>
        <w:t> </w:t>
      </w:r>
      <w:r>
        <w:rPr>
          <w:w w:val="95"/>
        </w:rPr>
        <w:t>conforme</w:t>
      </w:r>
      <w:r>
        <w:rPr>
          <w:spacing w:val="-22"/>
          <w:w w:val="95"/>
        </w:rPr>
        <w:t> </w:t>
      </w:r>
      <w:r>
        <w:rPr>
          <w:w w:val="95"/>
        </w:rPr>
        <w:t>critério</w:t>
      </w:r>
      <w:r>
        <w:rPr>
          <w:spacing w:val="-20"/>
          <w:w w:val="95"/>
        </w:rPr>
        <w:t> </w:t>
      </w:r>
      <w:r>
        <w:rPr>
          <w:w w:val="95"/>
        </w:rPr>
        <w:t>mencionado </w:t>
      </w:r>
      <w:r>
        <w:rPr/>
        <w:t>no</w:t>
      </w:r>
      <w:r>
        <w:rPr>
          <w:spacing w:val="-23"/>
        </w:rPr>
        <w:t> </w:t>
      </w:r>
      <w:r>
        <w:rPr/>
        <w:t>item</w:t>
      </w:r>
      <w:r>
        <w:rPr>
          <w:spacing w:val="-21"/>
        </w:rPr>
        <w:t> </w:t>
      </w:r>
      <w:r>
        <w:rPr/>
        <w:t>2.10</w:t>
      </w:r>
      <w:r>
        <w:rPr>
          <w:spacing w:val="-20"/>
        </w:rPr>
        <w:t> </w:t>
      </w:r>
      <w:r>
        <w:rPr>
          <w:w w:val="105"/>
        </w:rPr>
        <w:t>–</w:t>
      </w:r>
      <w:r>
        <w:rPr>
          <w:spacing w:val="-25"/>
          <w:w w:val="105"/>
        </w:rPr>
        <w:t> </w:t>
      </w:r>
      <w:r>
        <w:rPr/>
        <w:t>Contrato</w:t>
      </w:r>
      <w:r>
        <w:rPr>
          <w:spacing w:val="-21"/>
        </w:rPr>
        <w:t> </w:t>
      </w:r>
      <w:r>
        <w:rPr/>
        <w:t>de</w:t>
      </w:r>
      <w:r>
        <w:rPr>
          <w:spacing w:val="-20"/>
        </w:rPr>
        <w:t> </w:t>
      </w:r>
      <w:r>
        <w:rPr/>
        <w:t>concessão</w:t>
      </w:r>
      <w:r>
        <w:rPr>
          <w:spacing w:val="-23"/>
        </w:rPr>
        <w:t> </w:t>
      </w:r>
      <w:r>
        <w:rPr/>
        <w:t>(ativo</w:t>
      </w:r>
      <w:r>
        <w:rPr>
          <w:spacing w:val="-22"/>
        </w:rPr>
        <w:t> </w:t>
      </w:r>
      <w:r>
        <w:rPr/>
        <w:t>intangível</w:t>
      </w:r>
      <w:r>
        <w:rPr>
          <w:spacing w:val="-21"/>
        </w:rPr>
        <w:t> </w:t>
      </w:r>
      <w:r>
        <w:rPr/>
        <w:t>de</w:t>
      </w:r>
      <w:r>
        <w:rPr>
          <w:spacing w:val="-23"/>
        </w:rPr>
        <w:t> </w:t>
      </w:r>
      <w:r>
        <w:rPr/>
        <w:t>concessão</w:t>
      </w:r>
      <w:r>
        <w:rPr>
          <w:spacing w:val="-21"/>
        </w:rPr>
        <w:t> </w:t>
      </w:r>
      <w:r>
        <w:rPr/>
        <w:t>e</w:t>
      </w:r>
      <w:r>
        <w:rPr>
          <w:spacing w:val="-23"/>
        </w:rPr>
        <w:t> </w:t>
      </w:r>
      <w:r>
        <w:rPr/>
        <w:t>ativo</w:t>
      </w:r>
      <w:r>
        <w:rPr>
          <w:spacing w:val="-21"/>
        </w:rPr>
        <w:t> </w:t>
      </w:r>
      <w:r>
        <w:rPr/>
        <w:t>financeiro</w:t>
      </w:r>
      <w:r>
        <w:rPr>
          <w:spacing w:val="-22"/>
        </w:rPr>
        <w:t> </w:t>
      </w:r>
      <w:r>
        <w:rPr/>
        <w:t>indenizável).</w:t>
      </w:r>
      <w:r>
        <w:rPr>
          <w:spacing w:val="-23"/>
        </w:rPr>
        <w:t> </w:t>
      </w:r>
      <w:r>
        <w:rPr/>
        <w:t>A</w:t>
      </w:r>
      <w:r>
        <w:rPr>
          <w:spacing w:val="-13"/>
        </w:rPr>
        <w:t> </w:t>
      </w:r>
      <w:r>
        <w:rPr/>
        <w:t>parcela</w:t>
      </w:r>
      <w:r>
        <w:rPr>
          <w:spacing w:val="-20"/>
        </w:rPr>
        <w:t> </w:t>
      </w:r>
      <w:r>
        <w:rPr/>
        <w:t>dos ativos</w:t>
      </w:r>
      <w:r>
        <w:rPr>
          <w:spacing w:val="-37"/>
        </w:rPr>
        <w:t> </w:t>
      </w:r>
      <w:r>
        <w:rPr/>
        <w:t>que</w:t>
      </w:r>
      <w:r>
        <w:rPr>
          <w:spacing w:val="-36"/>
        </w:rPr>
        <w:t> </w:t>
      </w:r>
      <w:r>
        <w:rPr/>
        <w:t>é</w:t>
      </w:r>
      <w:r>
        <w:rPr>
          <w:spacing w:val="-36"/>
        </w:rPr>
        <w:t> </w:t>
      </w:r>
      <w:r>
        <w:rPr/>
        <w:t>registrada</w:t>
      </w:r>
      <w:r>
        <w:rPr>
          <w:spacing w:val="-37"/>
        </w:rPr>
        <w:t> </w:t>
      </w:r>
      <w:r>
        <w:rPr/>
        <w:t>no</w:t>
      </w:r>
      <w:r>
        <w:rPr>
          <w:spacing w:val="-37"/>
        </w:rPr>
        <w:t> </w:t>
      </w:r>
      <w:r>
        <w:rPr/>
        <w:t>ativo</w:t>
      </w:r>
      <w:r>
        <w:rPr>
          <w:spacing w:val="-36"/>
        </w:rPr>
        <w:t> </w:t>
      </w:r>
      <w:r>
        <w:rPr/>
        <w:t>financeiro</w:t>
      </w:r>
      <w:r>
        <w:rPr>
          <w:spacing w:val="-36"/>
        </w:rPr>
        <w:t> </w:t>
      </w:r>
      <w:r>
        <w:rPr/>
        <w:t>é</w:t>
      </w:r>
      <w:r>
        <w:rPr>
          <w:spacing w:val="-37"/>
        </w:rPr>
        <w:t> </w:t>
      </w:r>
      <w:r>
        <w:rPr/>
        <w:t>avaliada</w:t>
      </w:r>
      <w:r>
        <w:rPr>
          <w:spacing w:val="-37"/>
        </w:rPr>
        <w:t> </w:t>
      </w:r>
      <w:r>
        <w:rPr/>
        <w:t>com</w:t>
      </w:r>
      <w:r>
        <w:rPr>
          <w:spacing w:val="-37"/>
        </w:rPr>
        <w:t> </w:t>
      </w:r>
      <w:r>
        <w:rPr/>
        <w:t>base</w:t>
      </w:r>
      <w:r>
        <w:rPr>
          <w:spacing w:val="-36"/>
        </w:rPr>
        <w:t> </w:t>
      </w:r>
      <w:r>
        <w:rPr/>
        <w:t>no</w:t>
      </w:r>
      <w:r>
        <w:rPr>
          <w:spacing w:val="-37"/>
        </w:rPr>
        <w:t> </w:t>
      </w:r>
      <w:r>
        <w:rPr/>
        <w:t>custo</w:t>
      </w:r>
      <w:r>
        <w:rPr>
          <w:spacing w:val="-36"/>
        </w:rPr>
        <w:t> </w:t>
      </w:r>
      <w:r>
        <w:rPr/>
        <w:t>novo</w:t>
      </w:r>
      <w:r>
        <w:rPr>
          <w:spacing w:val="-36"/>
        </w:rPr>
        <w:t> </w:t>
      </w:r>
      <w:r>
        <w:rPr/>
        <w:t>de</w:t>
      </w:r>
      <w:r>
        <w:rPr>
          <w:spacing w:val="-37"/>
        </w:rPr>
        <w:t> </w:t>
      </w:r>
      <w:r>
        <w:rPr/>
        <w:t>reposição,</w:t>
      </w:r>
      <w:r>
        <w:rPr>
          <w:spacing w:val="-37"/>
        </w:rPr>
        <w:t> </w:t>
      </w:r>
      <w:r>
        <w:rPr/>
        <w:t>tendo</w:t>
      </w:r>
      <w:r>
        <w:rPr>
          <w:spacing w:val="-36"/>
        </w:rPr>
        <w:t> </w:t>
      </w:r>
      <w:r>
        <w:rPr/>
        <w:t>como</w:t>
      </w:r>
      <w:r>
        <w:rPr>
          <w:spacing w:val="-36"/>
        </w:rPr>
        <w:t> </w:t>
      </w:r>
      <w:r>
        <w:rPr/>
        <w:t>referência</w:t>
      </w:r>
      <w:r>
        <w:rPr>
          <w:spacing w:val="-37"/>
        </w:rPr>
        <w:t> </w:t>
      </w:r>
      <w:r>
        <w:rPr/>
        <w:t>os valores homologados pela ANEEL da Base de Remuneração de Ativos nos processos de revisão tarifária (Nota Explicativa nº</w:t>
      </w:r>
      <w:r>
        <w:rPr>
          <w:spacing w:val="-34"/>
        </w:rPr>
        <w:t> </w:t>
      </w:r>
      <w:r>
        <w:rPr/>
        <w:t>16).</w:t>
      </w:r>
    </w:p>
    <w:p>
      <w:pPr>
        <w:pStyle w:val="BodyText"/>
        <w:spacing w:before="8"/>
      </w:pPr>
    </w:p>
    <w:p>
      <w:pPr>
        <w:pStyle w:val="BodyText"/>
        <w:spacing w:before="1"/>
        <w:ind w:left="192"/>
        <w:jc w:val="both"/>
      </w:pPr>
      <w:r>
        <w:rPr/>
        <w:t>O valor contábil dos bens substituídos é baixado em contrapartida ao resultado do exercício.</w:t>
      </w:r>
    </w:p>
    <w:p>
      <w:pPr>
        <w:pStyle w:val="BodyText"/>
        <w:spacing w:before="6"/>
      </w:pPr>
    </w:p>
    <w:p>
      <w:pPr>
        <w:pStyle w:val="Heading5"/>
        <w:numPr>
          <w:ilvl w:val="2"/>
          <w:numId w:val="16"/>
        </w:numPr>
        <w:tabs>
          <w:tab w:pos="1046" w:val="left" w:leader="none"/>
        </w:tabs>
        <w:spacing w:line="240" w:lineRule="auto" w:before="0" w:after="0"/>
        <w:ind w:left="1045" w:right="0" w:hanging="854"/>
        <w:jc w:val="left"/>
      </w:pPr>
      <w:r>
        <w:rPr/>
        <w:t>Direito de exploração da</w:t>
      </w:r>
      <w:r>
        <w:rPr>
          <w:spacing w:val="-5"/>
        </w:rPr>
        <w:t> </w:t>
      </w:r>
      <w:r>
        <w:rPr/>
        <w:t>concessão</w:t>
      </w:r>
    </w:p>
    <w:p>
      <w:pPr>
        <w:pStyle w:val="BodyText"/>
        <w:rPr>
          <w:rFonts w:ascii="Caladea"/>
          <w:b/>
          <w:sz w:val="24"/>
        </w:rPr>
      </w:pPr>
    </w:p>
    <w:p>
      <w:pPr>
        <w:pStyle w:val="BodyText"/>
        <w:spacing w:line="242" w:lineRule="auto"/>
        <w:ind w:left="192" w:right="610"/>
        <w:jc w:val="both"/>
      </w:pPr>
      <w:r>
        <w:rPr/>
        <w:t>Refere-se</w:t>
      </w:r>
      <w:r>
        <w:rPr>
          <w:spacing w:val="-9"/>
        </w:rPr>
        <w:t> </w:t>
      </w:r>
      <w:r>
        <w:rPr/>
        <w:t>ao</w:t>
      </w:r>
      <w:r>
        <w:rPr>
          <w:spacing w:val="-8"/>
        </w:rPr>
        <w:t> </w:t>
      </w:r>
      <w:r>
        <w:rPr/>
        <w:t>direito</w:t>
      </w:r>
      <w:r>
        <w:rPr>
          <w:spacing w:val="-8"/>
        </w:rPr>
        <w:t> </w:t>
      </w:r>
      <w:r>
        <w:rPr/>
        <w:t>da</w:t>
      </w:r>
      <w:r>
        <w:rPr>
          <w:spacing w:val="-7"/>
        </w:rPr>
        <w:t> </w:t>
      </w:r>
      <w:r>
        <w:rPr/>
        <w:t>concessão</w:t>
      </w:r>
      <w:r>
        <w:rPr>
          <w:spacing w:val="-8"/>
        </w:rPr>
        <w:t> </w:t>
      </w:r>
      <w:r>
        <w:rPr/>
        <w:t>pelo</w:t>
      </w:r>
      <w:r>
        <w:rPr>
          <w:spacing w:val="-8"/>
        </w:rPr>
        <w:t> </w:t>
      </w:r>
      <w:r>
        <w:rPr/>
        <w:t>uso</w:t>
      </w:r>
      <w:r>
        <w:rPr>
          <w:spacing w:val="-6"/>
        </w:rPr>
        <w:t> </w:t>
      </w:r>
      <w:r>
        <w:rPr/>
        <w:t>de</w:t>
      </w:r>
      <w:r>
        <w:rPr>
          <w:spacing w:val="-7"/>
        </w:rPr>
        <w:t> </w:t>
      </w:r>
      <w:r>
        <w:rPr/>
        <w:t>bem</w:t>
      </w:r>
      <w:r>
        <w:rPr>
          <w:spacing w:val="-6"/>
        </w:rPr>
        <w:t> </w:t>
      </w:r>
      <w:r>
        <w:rPr/>
        <w:t>público</w:t>
      </w:r>
      <w:r>
        <w:rPr>
          <w:spacing w:val="-8"/>
        </w:rPr>
        <w:t> </w:t>
      </w:r>
      <w:r>
        <w:rPr/>
        <w:t>para</w:t>
      </w:r>
      <w:r>
        <w:rPr>
          <w:spacing w:val="-5"/>
        </w:rPr>
        <w:t> </w:t>
      </w:r>
      <w:r>
        <w:rPr/>
        <w:t>exploração</w:t>
      </w:r>
      <w:r>
        <w:rPr>
          <w:spacing w:val="-8"/>
        </w:rPr>
        <w:t> </w:t>
      </w:r>
      <w:r>
        <w:rPr/>
        <w:t>de</w:t>
      </w:r>
      <w:r>
        <w:rPr>
          <w:spacing w:val="-8"/>
        </w:rPr>
        <w:t> </w:t>
      </w:r>
      <w:r>
        <w:rPr/>
        <w:t>aproveitamento</w:t>
      </w:r>
      <w:r>
        <w:rPr>
          <w:spacing w:val="-8"/>
        </w:rPr>
        <w:t> </w:t>
      </w:r>
      <w:r>
        <w:rPr/>
        <w:t>hidroelétrico.</w:t>
      </w:r>
      <w:r>
        <w:rPr>
          <w:spacing w:val="-8"/>
        </w:rPr>
        <w:t> </w:t>
      </w:r>
      <w:r>
        <w:rPr/>
        <w:t>É constituído</w:t>
      </w:r>
      <w:r>
        <w:rPr>
          <w:spacing w:val="-36"/>
        </w:rPr>
        <w:t> </w:t>
      </w:r>
      <w:r>
        <w:rPr/>
        <w:t>pelo</w:t>
      </w:r>
      <w:r>
        <w:rPr>
          <w:spacing w:val="-36"/>
        </w:rPr>
        <w:t> </w:t>
      </w:r>
      <w:r>
        <w:rPr/>
        <w:t>valor</w:t>
      </w:r>
      <w:r>
        <w:rPr>
          <w:spacing w:val="-38"/>
        </w:rPr>
        <w:t> </w:t>
      </w:r>
      <w:r>
        <w:rPr/>
        <w:t>de</w:t>
      </w:r>
      <w:r>
        <w:rPr>
          <w:spacing w:val="-37"/>
        </w:rPr>
        <w:t> </w:t>
      </w:r>
      <w:r>
        <w:rPr/>
        <w:t>aquisição</w:t>
      </w:r>
      <w:r>
        <w:rPr>
          <w:spacing w:val="-38"/>
        </w:rPr>
        <w:t> </w:t>
      </w:r>
      <w:r>
        <w:rPr/>
        <w:t>do</w:t>
      </w:r>
      <w:r>
        <w:rPr>
          <w:spacing w:val="-36"/>
        </w:rPr>
        <w:t> </w:t>
      </w:r>
      <w:r>
        <w:rPr/>
        <w:t>direito</w:t>
      </w:r>
      <w:r>
        <w:rPr>
          <w:spacing w:val="-37"/>
        </w:rPr>
        <w:t> </w:t>
      </w:r>
      <w:r>
        <w:rPr/>
        <w:t>relacionado</w:t>
      </w:r>
      <w:r>
        <w:rPr>
          <w:spacing w:val="-37"/>
        </w:rPr>
        <w:t> </w:t>
      </w:r>
      <w:r>
        <w:rPr/>
        <w:t>com</w:t>
      </w:r>
      <w:r>
        <w:rPr>
          <w:spacing w:val="-37"/>
        </w:rPr>
        <w:t> </w:t>
      </w:r>
      <w:r>
        <w:rPr/>
        <w:t>o</w:t>
      </w:r>
      <w:r>
        <w:rPr>
          <w:spacing w:val="-37"/>
        </w:rPr>
        <w:t> </w:t>
      </w:r>
      <w:r>
        <w:rPr/>
        <w:t>uso</w:t>
      </w:r>
      <w:r>
        <w:rPr>
          <w:spacing w:val="-36"/>
        </w:rPr>
        <w:t> </w:t>
      </w:r>
      <w:r>
        <w:rPr/>
        <w:t>do</w:t>
      </w:r>
      <w:r>
        <w:rPr>
          <w:spacing w:val="-36"/>
        </w:rPr>
        <w:t> </w:t>
      </w:r>
      <w:r>
        <w:rPr/>
        <w:t>bem</w:t>
      </w:r>
      <w:r>
        <w:rPr>
          <w:spacing w:val="-36"/>
        </w:rPr>
        <w:t> </w:t>
      </w:r>
      <w:r>
        <w:rPr/>
        <w:t>público</w:t>
      </w:r>
      <w:r>
        <w:rPr>
          <w:spacing w:val="-35"/>
        </w:rPr>
        <w:t> </w:t>
      </w:r>
      <w:r>
        <w:rPr/>
        <w:t>até</w:t>
      </w:r>
      <w:r>
        <w:rPr>
          <w:spacing w:val="-38"/>
        </w:rPr>
        <w:t> </w:t>
      </w:r>
      <w:r>
        <w:rPr/>
        <w:t>o</w:t>
      </w:r>
      <w:r>
        <w:rPr>
          <w:spacing w:val="-36"/>
        </w:rPr>
        <w:t> </w:t>
      </w:r>
      <w:r>
        <w:rPr/>
        <w:t>final</w:t>
      </w:r>
      <w:r>
        <w:rPr>
          <w:spacing w:val="-37"/>
        </w:rPr>
        <w:t> </w:t>
      </w:r>
      <w:r>
        <w:rPr/>
        <w:t>do</w:t>
      </w:r>
      <w:r>
        <w:rPr>
          <w:spacing w:val="-37"/>
        </w:rPr>
        <w:t> </w:t>
      </w:r>
      <w:r>
        <w:rPr/>
        <w:t>prazo</w:t>
      </w:r>
      <w:r>
        <w:rPr>
          <w:spacing w:val="-36"/>
        </w:rPr>
        <w:t> </w:t>
      </w:r>
      <w:r>
        <w:rPr/>
        <w:t>de</w:t>
      </w:r>
      <w:r>
        <w:rPr>
          <w:spacing w:val="-39"/>
        </w:rPr>
        <w:t> </w:t>
      </w:r>
      <w:r>
        <w:rPr/>
        <w:t>concessão e</w:t>
      </w:r>
      <w:r>
        <w:rPr>
          <w:spacing w:val="-21"/>
        </w:rPr>
        <w:t> </w:t>
      </w:r>
      <w:r>
        <w:rPr/>
        <w:t>amortizado</w:t>
      </w:r>
      <w:r>
        <w:rPr>
          <w:spacing w:val="-18"/>
        </w:rPr>
        <w:t> </w:t>
      </w:r>
      <w:r>
        <w:rPr/>
        <w:t>pelo</w:t>
      </w:r>
      <w:r>
        <w:rPr>
          <w:spacing w:val="-16"/>
        </w:rPr>
        <w:t> </w:t>
      </w:r>
      <w:r>
        <w:rPr/>
        <w:t>prazo</w:t>
      </w:r>
      <w:r>
        <w:rPr>
          <w:spacing w:val="-19"/>
        </w:rPr>
        <w:t> </w:t>
      </w:r>
      <w:r>
        <w:rPr/>
        <w:t>de</w:t>
      </w:r>
      <w:r>
        <w:rPr>
          <w:spacing w:val="-20"/>
        </w:rPr>
        <w:t> </w:t>
      </w:r>
      <w:r>
        <w:rPr/>
        <w:t>concessão</w:t>
      </w:r>
      <w:r>
        <w:rPr>
          <w:spacing w:val="-20"/>
        </w:rPr>
        <w:t> </w:t>
      </w:r>
      <w:r>
        <w:rPr/>
        <w:t>(Nota</w:t>
      </w:r>
      <w:r>
        <w:rPr>
          <w:spacing w:val="-19"/>
        </w:rPr>
        <w:t> </w:t>
      </w:r>
      <w:r>
        <w:rPr/>
        <w:t>Explicativa</w:t>
      </w:r>
      <w:r>
        <w:rPr>
          <w:spacing w:val="-18"/>
        </w:rPr>
        <w:t> </w:t>
      </w:r>
      <w:r>
        <w:rPr/>
        <w:t>nº</w:t>
      </w:r>
      <w:r>
        <w:rPr>
          <w:spacing w:val="-18"/>
        </w:rPr>
        <w:t> </w:t>
      </w:r>
      <w:r>
        <w:rPr/>
        <w:t>16).</w:t>
      </w:r>
    </w:p>
    <w:p>
      <w:pPr>
        <w:pStyle w:val="BodyText"/>
        <w:spacing w:before="6"/>
      </w:pPr>
    </w:p>
    <w:p>
      <w:pPr>
        <w:pStyle w:val="Heading5"/>
        <w:numPr>
          <w:ilvl w:val="2"/>
          <w:numId w:val="16"/>
        </w:numPr>
        <w:tabs>
          <w:tab w:pos="1046" w:val="left" w:leader="none"/>
        </w:tabs>
        <w:spacing w:line="240" w:lineRule="auto" w:before="0" w:after="0"/>
        <w:ind w:left="1045" w:right="0" w:hanging="854"/>
        <w:jc w:val="left"/>
      </w:pPr>
      <w:r>
        <w:rPr/>
        <w:t>Outros ativos</w:t>
      </w:r>
      <w:r>
        <w:rPr>
          <w:spacing w:val="-3"/>
        </w:rPr>
        <w:t> </w:t>
      </w:r>
      <w:r>
        <w:rPr/>
        <w:t>intangíveis</w:t>
      </w:r>
    </w:p>
    <w:p>
      <w:pPr>
        <w:pStyle w:val="BodyText"/>
        <w:spacing w:before="10"/>
        <w:rPr>
          <w:rFonts w:ascii="Caladea"/>
          <w:b/>
          <w:sz w:val="23"/>
        </w:rPr>
      </w:pPr>
    </w:p>
    <w:p>
      <w:pPr>
        <w:pStyle w:val="BodyText"/>
        <w:spacing w:line="242" w:lineRule="auto"/>
        <w:ind w:left="192" w:right="607"/>
        <w:jc w:val="both"/>
      </w:pPr>
      <w:r>
        <w:rPr/>
        <w:t>Ativos intangíveis com vida útil definida, adquiridos separadamente, são registrados ao custo, deduzido da amortização</w:t>
      </w:r>
      <w:r>
        <w:rPr>
          <w:spacing w:val="-36"/>
        </w:rPr>
        <w:t> </w:t>
      </w:r>
      <w:r>
        <w:rPr/>
        <w:t>e</w:t>
      </w:r>
      <w:r>
        <w:rPr>
          <w:spacing w:val="-36"/>
        </w:rPr>
        <w:t> </w:t>
      </w:r>
      <w:r>
        <w:rPr/>
        <w:t>das</w:t>
      </w:r>
      <w:r>
        <w:rPr>
          <w:spacing w:val="-36"/>
        </w:rPr>
        <w:t> </w:t>
      </w:r>
      <w:r>
        <w:rPr/>
        <w:t>perdas</w:t>
      </w:r>
      <w:r>
        <w:rPr>
          <w:spacing w:val="-35"/>
        </w:rPr>
        <w:t> </w:t>
      </w:r>
      <w:r>
        <w:rPr/>
        <w:t>por</w:t>
      </w:r>
      <w:r>
        <w:rPr>
          <w:spacing w:val="-36"/>
        </w:rPr>
        <w:t> </w:t>
      </w:r>
      <w:r>
        <w:rPr/>
        <w:t>redução</w:t>
      </w:r>
      <w:r>
        <w:rPr>
          <w:spacing w:val="-36"/>
        </w:rPr>
        <w:t> </w:t>
      </w:r>
      <w:r>
        <w:rPr/>
        <w:t>ao</w:t>
      </w:r>
      <w:r>
        <w:rPr>
          <w:spacing w:val="-35"/>
        </w:rPr>
        <w:t> </w:t>
      </w:r>
      <w:r>
        <w:rPr/>
        <w:t>valor</w:t>
      </w:r>
      <w:r>
        <w:rPr>
          <w:spacing w:val="-36"/>
        </w:rPr>
        <w:t> </w:t>
      </w:r>
      <w:r>
        <w:rPr/>
        <w:t>recuperável,</w:t>
      </w:r>
      <w:r>
        <w:rPr>
          <w:spacing w:val="-37"/>
        </w:rPr>
        <w:t> </w:t>
      </w:r>
      <w:r>
        <w:rPr/>
        <w:t>acumuladas.</w:t>
      </w:r>
      <w:r>
        <w:rPr>
          <w:spacing w:val="-36"/>
        </w:rPr>
        <w:t> </w:t>
      </w:r>
      <w:r>
        <w:rPr/>
        <w:t>A</w:t>
      </w:r>
      <w:r>
        <w:rPr>
          <w:spacing w:val="-36"/>
        </w:rPr>
        <w:t> </w:t>
      </w:r>
      <w:r>
        <w:rPr/>
        <w:t>amortização</w:t>
      </w:r>
      <w:r>
        <w:rPr>
          <w:spacing w:val="-37"/>
        </w:rPr>
        <w:t> </w:t>
      </w:r>
      <w:r>
        <w:rPr/>
        <w:t>é</w:t>
      </w:r>
      <w:r>
        <w:rPr>
          <w:spacing w:val="-35"/>
        </w:rPr>
        <w:t> </w:t>
      </w:r>
      <w:r>
        <w:rPr/>
        <w:t>reconhecida</w:t>
      </w:r>
      <w:r>
        <w:rPr>
          <w:spacing w:val="-37"/>
        </w:rPr>
        <w:t> </w:t>
      </w:r>
      <w:r>
        <w:rPr/>
        <w:t>linearmente com</w:t>
      </w:r>
      <w:r>
        <w:rPr>
          <w:spacing w:val="-23"/>
        </w:rPr>
        <w:t> </w:t>
      </w:r>
      <w:r>
        <w:rPr/>
        <w:t>base</w:t>
      </w:r>
      <w:r>
        <w:rPr>
          <w:spacing w:val="-21"/>
        </w:rPr>
        <w:t> </w:t>
      </w:r>
      <w:r>
        <w:rPr/>
        <w:t>na</w:t>
      </w:r>
      <w:r>
        <w:rPr>
          <w:spacing w:val="-22"/>
        </w:rPr>
        <w:t> </w:t>
      </w:r>
      <w:r>
        <w:rPr/>
        <w:t>vida</w:t>
      </w:r>
      <w:r>
        <w:rPr>
          <w:spacing w:val="-21"/>
        </w:rPr>
        <w:t> </w:t>
      </w:r>
      <w:r>
        <w:rPr/>
        <w:t>útil</w:t>
      </w:r>
      <w:r>
        <w:rPr>
          <w:spacing w:val="-22"/>
        </w:rPr>
        <w:t> </w:t>
      </w:r>
      <w:r>
        <w:rPr/>
        <w:t>estimada</w:t>
      </w:r>
      <w:r>
        <w:rPr>
          <w:spacing w:val="-21"/>
        </w:rPr>
        <w:t> </w:t>
      </w:r>
      <w:r>
        <w:rPr/>
        <w:t>dos</w:t>
      </w:r>
      <w:r>
        <w:rPr>
          <w:spacing w:val="-22"/>
        </w:rPr>
        <w:t> </w:t>
      </w:r>
      <w:r>
        <w:rPr/>
        <w:t>ativos.</w:t>
      </w:r>
      <w:r>
        <w:rPr>
          <w:spacing w:val="-22"/>
        </w:rPr>
        <w:t> </w:t>
      </w:r>
      <w:r>
        <w:rPr/>
        <w:t>A</w:t>
      </w:r>
      <w:r>
        <w:rPr>
          <w:spacing w:val="-21"/>
        </w:rPr>
        <w:t> </w:t>
      </w:r>
      <w:r>
        <w:rPr/>
        <w:t>vida</w:t>
      </w:r>
      <w:r>
        <w:rPr>
          <w:spacing w:val="-22"/>
        </w:rPr>
        <w:t> </w:t>
      </w:r>
      <w:r>
        <w:rPr/>
        <w:t>útil</w:t>
      </w:r>
      <w:r>
        <w:rPr>
          <w:spacing w:val="-19"/>
        </w:rPr>
        <w:t> </w:t>
      </w:r>
      <w:r>
        <w:rPr/>
        <w:t>estimada</w:t>
      </w:r>
      <w:r>
        <w:rPr>
          <w:spacing w:val="-22"/>
        </w:rPr>
        <w:t> </w:t>
      </w:r>
      <w:r>
        <w:rPr/>
        <w:t>e</w:t>
      </w:r>
      <w:r>
        <w:rPr>
          <w:spacing w:val="-23"/>
        </w:rPr>
        <w:t> </w:t>
      </w:r>
      <w:r>
        <w:rPr/>
        <w:t>o</w:t>
      </w:r>
      <w:r>
        <w:rPr>
          <w:spacing w:val="-20"/>
        </w:rPr>
        <w:t> </w:t>
      </w:r>
      <w:r>
        <w:rPr/>
        <w:t>método</w:t>
      </w:r>
      <w:r>
        <w:rPr>
          <w:spacing w:val="-23"/>
        </w:rPr>
        <w:t> </w:t>
      </w:r>
      <w:r>
        <w:rPr/>
        <w:t>de</w:t>
      </w:r>
      <w:r>
        <w:rPr>
          <w:spacing w:val="-22"/>
        </w:rPr>
        <w:t> </w:t>
      </w:r>
      <w:r>
        <w:rPr/>
        <w:t>amortização</w:t>
      </w:r>
      <w:r>
        <w:rPr>
          <w:spacing w:val="-23"/>
        </w:rPr>
        <w:t> </w:t>
      </w:r>
      <w:r>
        <w:rPr/>
        <w:t>são</w:t>
      </w:r>
      <w:r>
        <w:rPr>
          <w:spacing w:val="-22"/>
        </w:rPr>
        <w:t> </w:t>
      </w:r>
      <w:r>
        <w:rPr/>
        <w:t>revisados</w:t>
      </w:r>
      <w:r>
        <w:rPr>
          <w:spacing w:val="-20"/>
        </w:rPr>
        <w:t> </w:t>
      </w:r>
      <w:r>
        <w:rPr/>
        <w:t>no</w:t>
      </w:r>
      <w:r>
        <w:rPr>
          <w:spacing w:val="-20"/>
        </w:rPr>
        <w:t> </w:t>
      </w:r>
      <w:r>
        <w:rPr/>
        <w:t>fim</w:t>
      </w:r>
      <w:r>
        <w:rPr>
          <w:spacing w:val="-22"/>
        </w:rPr>
        <w:t> </w:t>
      </w:r>
      <w:r>
        <w:rPr/>
        <w:t>de cada</w:t>
      </w:r>
      <w:r>
        <w:rPr>
          <w:spacing w:val="-44"/>
        </w:rPr>
        <w:t> </w:t>
      </w:r>
      <w:r>
        <w:rPr/>
        <w:t>exercício</w:t>
      </w:r>
      <w:r>
        <w:rPr>
          <w:spacing w:val="-43"/>
        </w:rPr>
        <w:t> </w:t>
      </w:r>
      <w:r>
        <w:rPr/>
        <w:t>e</w:t>
      </w:r>
      <w:r>
        <w:rPr>
          <w:spacing w:val="-43"/>
        </w:rPr>
        <w:t> </w:t>
      </w:r>
      <w:r>
        <w:rPr/>
        <w:t>o</w:t>
      </w:r>
      <w:r>
        <w:rPr>
          <w:spacing w:val="-43"/>
        </w:rPr>
        <w:t> </w:t>
      </w:r>
      <w:r>
        <w:rPr/>
        <w:t>efeito</w:t>
      </w:r>
      <w:r>
        <w:rPr>
          <w:spacing w:val="-44"/>
        </w:rPr>
        <w:t> </w:t>
      </w:r>
      <w:r>
        <w:rPr/>
        <w:t>de</w:t>
      </w:r>
      <w:r>
        <w:rPr>
          <w:spacing w:val="-43"/>
        </w:rPr>
        <w:t> </w:t>
      </w:r>
      <w:r>
        <w:rPr/>
        <w:t>quaisquer</w:t>
      </w:r>
      <w:r>
        <w:rPr>
          <w:spacing w:val="-44"/>
        </w:rPr>
        <w:t> </w:t>
      </w:r>
      <w:r>
        <w:rPr/>
        <w:t>mudanças</w:t>
      </w:r>
      <w:r>
        <w:rPr>
          <w:spacing w:val="-43"/>
        </w:rPr>
        <w:t> </w:t>
      </w:r>
      <w:r>
        <w:rPr/>
        <w:t>nas</w:t>
      </w:r>
      <w:r>
        <w:rPr>
          <w:spacing w:val="-44"/>
        </w:rPr>
        <w:t> </w:t>
      </w:r>
      <w:r>
        <w:rPr/>
        <w:t>estimativas</w:t>
      </w:r>
      <w:r>
        <w:rPr>
          <w:spacing w:val="-43"/>
        </w:rPr>
        <w:t> </w:t>
      </w:r>
      <w:r>
        <w:rPr/>
        <w:t>é</w:t>
      </w:r>
      <w:r>
        <w:rPr>
          <w:spacing w:val="-44"/>
        </w:rPr>
        <w:t> </w:t>
      </w:r>
      <w:r>
        <w:rPr/>
        <w:t>contabilizado</w:t>
      </w:r>
      <w:r>
        <w:rPr>
          <w:spacing w:val="-44"/>
        </w:rPr>
        <w:t> </w:t>
      </w:r>
      <w:r>
        <w:rPr/>
        <w:t>prospectivamente</w:t>
      </w:r>
      <w:r>
        <w:rPr>
          <w:spacing w:val="-44"/>
        </w:rPr>
        <w:t> </w:t>
      </w:r>
      <w:r>
        <w:rPr/>
        <w:t>(Nota</w:t>
      </w:r>
      <w:r>
        <w:rPr>
          <w:spacing w:val="-43"/>
        </w:rPr>
        <w:t> </w:t>
      </w:r>
      <w:r>
        <w:rPr/>
        <w:t>Explicativa nº</w:t>
      </w:r>
      <w:r>
        <w:rPr>
          <w:spacing w:val="-17"/>
        </w:rPr>
        <w:t> </w:t>
      </w:r>
      <w:r>
        <w:rPr/>
        <w:t>16).</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22"/>
        </w:rPr>
      </w:pPr>
      <w:r>
        <w:rPr>
          <w:rFonts w:ascii="Caladea" w:hAnsi="Caladea"/>
          <w:b/>
          <w:sz w:val="22"/>
        </w:rPr>
        <w:t>P</w:t>
      </w:r>
      <w:r>
        <w:rPr>
          <w:rFonts w:ascii="Caladea" w:hAnsi="Caladea"/>
          <w:b/>
          <w:sz w:val="18"/>
        </w:rPr>
        <w:t>ERDA </w:t>
      </w:r>
      <w:r>
        <w:rPr>
          <w:rFonts w:ascii="Caladea" w:hAnsi="Caladea"/>
          <w:b/>
          <w:sz w:val="22"/>
        </w:rPr>
        <w:t>P</w:t>
      </w:r>
      <w:r>
        <w:rPr>
          <w:rFonts w:ascii="Caladea" w:hAnsi="Caladea"/>
          <w:b/>
          <w:sz w:val="18"/>
        </w:rPr>
        <w:t>OR </w:t>
      </w:r>
      <w:r>
        <w:rPr>
          <w:rFonts w:ascii="Caladea" w:hAnsi="Caladea"/>
          <w:b/>
          <w:sz w:val="22"/>
        </w:rPr>
        <w:t>R</w:t>
      </w:r>
      <w:r>
        <w:rPr>
          <w:rFonts w:ascii="Caladea" w:hAnsi="Caladea"/>
          <w:b/>
          <w:sz w:val="18"/>
        </w:rPr>
        <w:t>EDUÇÃO AO </w:t>
      </w:r>
      <w:r>
        <w:rPr>
          <w:rFonts w:ascii="Caladea" w:hAnsi="Caladea"/>
          <w:b/>
          <w:sz w:val="22"/>
        </w:rPr>
        <w:t>V</w:t>
      </w:r>
      <w:r>
        <w:rPr>
          <w:rFonts w:ascii="Caladea" w:hAnsi="Caladea"/>
          <w:b/>
          <w:sz w:val="18"/>
        </w:rPr>
        <w:t>ALOR </w:t>
      </w:r>
      <w:r>
        <w:rPr>
          <w:rFonts w:ascii="Caladea" w:hAnsi="Caladea"/>
          <w:b/>
          <w:sz w:val="22"/>
        </w:rPr>
        <w:t>R</w:t>
      </w:r>
      <w:r>
        <w:rPr>
          <w:rFonts w:ascii="Caladea" w:hAnsi="Caladea"/>
          <w:b/>
          <w:sz w:val="18"/>
        </w:rPr>
        <w:t>ECUPERÁVEL DE </w:t>
      </w:r>
      <w:r>
        <w:rPr>
          <w:rFonts w:ascii="Caladea" w:hAnsi="Caladea"/>
          <w:b/>
          <w:sz w:val="22"/>
        </w:rPr>
        <w:t>A</w:t>
      </w:r>
      <w:r>
        <w:rPr>
          <w:rFonts w:ascii="Caladea" w:hAnsi="Caladea"/>
          <w:b/>
          <w:sz w:val="18"/>
        </w:rPr>
        <w:t>TIVOS </w:t>
      </w:r>
      <w:r>
        <w:rPr>
          <w:rFonts w:ascii="Caladea" w:hAnsi="Caladea"/>
          <w:b/>
          <w:sz w:val="22"/>
        </w:rPr>
        <w:t>N</w:t>
      </w:r>
      <w:r>
        <w:rPr>
          <w:rFonts w:ascii="Caladea" w:hAnsi="Caladea"/>
          <w:b/>
          <w:sz w:val="18"/>
        </w:rPr>
        <w:t>ÃO </w:t>
      </w:r>
      <w:r>
        <w:rPr>
          <w:rFonts w:ascii="Caladea" w:hAnsi="Caladea"/>
          <w:b/>
          <w:sz w:val="22"/>
        </w:rPr>
        <w:t>F</w:t>
      </w:r>
      <w:r>
        <w:rPr>
          <w:rFonts w:ascii="Caladea" w:hAnsi="Caladea"/>
          <w:b/>
          <w:sz w:val="18"/>
        </w:rPr>
        <w:t>INANCEIROS</w:t>
      </w:r>
      <w:r>
        <w:rPr>
          <w:rFonts w:ascii="Caladea" w:hAnsi="Caladea"/>
          <w:b/>
          <w:spacing w:val="-20"/>
          <w:sz w:val="18"/>
        </w:rPr>
        <w:t> </w:t>
      </w:r>
      <w:r>
        <w:rPr>
          <w:rFonts w:ascii="Caladea" w:hAnsi="Caladea"/>
          <w:b/>
          <w:sz w:val="22"/>
        </w:rPr>
        <w:t>(</w:t>
      </w:r>
      <w:r>
        <w:rPr>
          <w:rFonts w:ascii="Times New Roman" w:hAnsi="Times New Roman"/>
          <w:b/>
          <w:i/>
          <w:sz w:val="18"/>
        </w:rPr>
        <w:t>IMPAIRMENT</w:t>
      </w:r>
      <w:r>
        <w:rPr>
          <w:rFonts w:ascii="Caladea" w:hAnsi="Caladea"/>
          <w:b/>
          <w:sz w:val="22"/>
        </w:rPr>
        <w:t>)</w:t>
      </w:r>
    </w:p>
    <w:p>
      <w:pPr>
        <w:pStyle w:val="BodyText"/>
        <w:spacing w:before="10"/>
        <w:rPr>
          <w:rFonts w:ascii="Caladea"/>
          <w:b/>
          <w:sz w:val="23"/>
        </w:rPr>
      </w:pPr>
    </w:p>
    <w:p>
      <w:pPr>
        <w:pStyle w:val="BodyText"/>
        <w:spacing w:line="242" w:lineRule="auto"/>
        <w:ind w:left="192" w:right="610"/>
        <w:jc w:val="both"/>
      </w:pPr>
      <w:r>
        <w:rPr/>
        <w:t>A</w:t>
      </w:r>
      <w:r>
        <w:rPr>
          <w:spacing w:val="-36"/>
        </w:rPr>
        <w:t> </w:t>
      </w:r>
      <w:r>
        <w:rPr/>
        <w:t>Administração</w:t>
      </w:r>
      <w:r>
        <w:rPr>
          <w:spacing w:val="-36"/>
        </w:rPr>
        <w:t> </w:t>
      </w:r>
      <w:r>
        <w:rPr/>
        <w:t>avalia,</w:t>
      </w:r>
      <w:r>
        <w:rPr>
          <w:spacing w:val="-36"/>
        </w:rPr>
        <w:t> </w:t>
      </w:r>
      <w:r>
        <w:rPr/>
        <w:t>no</w:t>
      </w:r>
      <w:r>
        <w:rPr>
          <w:spacing w:val="-37"/>
        </w:rPr>
        <w:t> </w:t>
      </w:r>
      <w:r>
        <w:rPr/>
        <w:t>mínimo</w:t>
      </w:r>
      <w:r>
        <w:rPr>
          <w:spacing w:val="-36"/>
        </w:rPr>
        <w:t> </w:t>
      </w:r>
      <w:r>
        <w:rPr/>
        <w:t>anualmente,</w:t>
      </w:r>
      <w:r>
        <w:rPr>
          <w:spacing w:val="-36"/>
        </w:rPr>
        <w:t> </w:t>
      </w:r>
      <w:r>
        <w:rPr/>
        <w:t>o</w:t>
      </w:r>
      <w:r>
        <w:rPr>
          <w:spacing w:val="-36"/>
        </w:rPr>
        <w:t> </w:t>
      </w:r>
      <w:r>
        <w:rPr/>
        <w:t>valor</w:t>
      </w:r>
      <w:r>
        <w:rPr>
          <w:spacing w:val="-35"/>
        </w:rPr>
        <w:t> </w:t>
      </w:r>
      <w:r>
        <w:rPr/>
        <w:t>contábil</w:t>
      </w:r>
      <w:r>
        <w:rPr>
          <w:spacing w:val="-35"/>
        </w:rPr>
        <w:t> </w:t>
      </w:r>
      <w:r>
        <w:rPr/>
        <w:t>líquido</w:t>
      </w:r>
      <w:r>
        <w:rPr>
          <w:spacing w:val="-32"/>
        </w:rPr>
        <w:t> </w:t>
      </w:r>
      <w:r>
        <w:rPr/>
        <w:t>dos</w:t>
      </w:r>
      <w:r>
        <w:rPr>
          <w:spacing w:val="-36"/>
        </w:rPr>
        <w:t> </w:t>
      </w:r>
      <w:r>
        <w:rPr/>
        <w:t>ativos</w:t>
      </w:r>
      <w:r>
        <w:rPr>
          <w:spacing w:val="-36"/>
        </w:rPr>
        <w:t> </w:t>
      </w:r>
      <w:r>
        <w:rPr/>
        <w:t>não</w:t>
      </w:r>
      <w:r>
        <w:rPr>
          <w:spacing w:val="-36"/>
        </w:rPr>
        <w:t> </w:t>
      </w:r>
      <w:r>
        <w:rPr/>
        <w:t>financeiros</w:t>
      </w:r>
      <w:r>
        <w:rPr>
          <w:spacing w:val="-36"/>
        </w:rPr>
        <w:t> </w:t>
      </w:r>
      <w:r>
        <w:rPr/>
        <w:t>com</w:t>
      </w:r>
      <w:r>
        <w:rPr>
          <w:spacing w:val="-36"/>
        </w:rPr>
        <w:t> </w:t>
      </w:r>
      <w:r>
        <w:rPr/>
        <w:t>o</w:t>
      </w:r>
      <w:r>
        <w:rPr>
          <w:spacing w:val="-35"/>
        </w:rPr>
        <w:t> </w:t>
      </w:r>
      <w:r>
        <w:rPr/>
        <w:t>objetivo</w:t>
      </w:r>
      <w:r>
        <w:rPr>
          <w:spacing w:val="-35"/>
        </w:rPr>
        <w:t> </w:t>
      </w:r>
      <w:r>
        <w:rPr/>
        <w:t>de avaliar eventos ou mudanças nas circunstâncias econômicas, operacionais ou tecnológicas, que possam</w:t>
      </w:r>
      <w:r>
        <w:rPr>
          <w:spacing w:val="-37"/>
        </w:rPr>
        <w:t> </w:t>
      </w:r>
      <w:r>
        <w:rPr/>
        <w:t>indicar deterioração</w:t>
      </w:r>
      <w:r>
        <w:rPr>
          <w:spacing w:val="-26"/>
        </w:rPr>
        <w:t> </w:t>
      </w:r>
      <w:r>
        <w:rPr/>
        <w:t>ou</w:t>
      </w:r>
      <w:r>
        <w:rPr>
          <w:spacing w:val="-23"/>
        </w:rPr>
        <w:t> </w:t>
      </w:r>
      <w:r>
        <w:rPr/>
        <w:t>perda</w:t>
      </w:r>
      <w:r>
        <w:rPr>
          <w:spacing w:val="-24"/>
        </w:rPr>
        <w:t> </w:t>
      </w:r>
      <w:r>
        <w:rPr/>
        <w:t>de</w:t>
      </w:r>
      <w:r>
        <w:rPr>
          <w:spacing w:val="-25"/>
        </w:rPr>
        <w:t> </w:t>
      </w:r>
      <w:r>
        <w:rPr/>
        <w:t>seu</w:t>
      </w:r>
      <w:r>
        <w:rPr>
          <w:spacing w:val="-25"/>
        </w:rPr>
        <w:t> </w:t>
      </w:r>
      <w:r>
        <w:rPr/>
        <w:t>valor</w:t>
      </w:r>
      <w:r>
        <w:rPr>
          <w:spacing w:val="-24"/>
        </w:rPr>
        <w:t> </w:t>
      </w:r>
      <w:r>
        <w:rPr/>
        <w:t>recuperável.</w:t>
      </w:r>
      <w:r>
        <w:rPr>
          <w:spacing w:val="-24"/>
        </w:rPr>
        <w:t> </w:t>
      </w:r>
      <w:r>
        <w:rPr/>
        <w:t>Não</w:t>
      </w:r>
      <w:r>
        <w:rPr>
          <w:spacing w:val="-24"/>
        </w:rPr>
        <w:t> </w:t>
      </w:r>
      <w:r>
        <w:rPr/>
        <w:t>foram</w:t>
      </w:r>
      <w:r>
        <w:rPr>
          <w:spacing w:val="-26"/>
        </w:rPr>
        <w:t> </w:t>
      </w:r>
      <w:r>
        <w:rPr/>
        <w:t>identificadas</w:t>
      </w:r>
      <w:r>
        <w:rPr>
          <w:spacing w:val="-25"/>
        </w:rPr>
        <w:t> </w:t>
      </w:r>
      <w:r>
        <w:rPr/>
        <w:t>tais</w:t>
      </w:r>
      <w:r>
        <w:rPr>
          <w:spacing w:val="-23"/>
        </w:rPr>
        <w:t> </w:t>
      </w:r>
      <w:r>
        <w:rPr/>
        <w:t>circunstâncias</w:t>
      </w:r>
      <w:r>
        <w:rPr>
          <w:spacing w:val="-26"/>
        </w:rPr>
        <w:t> </w:t>
      </w:r>
      <w:r>
        <w:rPr/>
        <w:t>que</w:t>
      </w:r>
      <w:r>
        <w:rPr>
          <w:spacing w:val="-24"/>
        </w:rPr>
        <w:t> </w:t>
      </w:r>
      <w:r>
        <w:rPr/>
        <w:t>levasse</w:t>
      </w:r>
      <w:r>
        <w:rPr>
          <w:spacing w:val="-24"/>
        </w:rPr>
        <w:t> </w:t>
      </w:r>
      <w:r>
        <w:rPr/>
        <w:t>o</w:t>
      </w:r>
      <w:r>
        <w:rPr>
          <w:spacing w:val="-24"/>
        </w:rPr>
        <w:t> </w:t>
      </w:r>
      <w:r>
        <w:rPr/>
        <w:t>Grupo</w:t>
      </w:r>
      <w:r>
        <w:rPr>
          <w:spacing w:val="-25"/>
        </w:rPr>
        <w:t> </w:t>
      </w:r>
      <w:r>
        <w:rPr/>
        <w:t>a avaliar</w:t>
      </w:r>
      <w:r>
        <w:rPr>
          <w:spacing w:val="-25"/>
        </w:rPr>
        <w:t> </w:t>
      </w:r>
      <w:r>
        <w:rPr/>
        <w:t>a</w:t>
      </w:r>
      <w:r>
        <w:rPr>
          <w:spacing w:val="-23"/>
        </w:rPr>
        <w:t> </w:t>
      </w:r>
      <w:r>
        <w:rPr/>
        <w:t>necessidade</w:t>
      </w:r>
      <w:r>
        <w:rPr>
          <w:spacing w:val="-25"/>
        </w:rPr>
        <w:t> </w:t>
      </w:r>
      <w:r>
        <w:rPr/>
        <w:t>de</w:t>
      </w:r>
      <w:r>
        <w:rPr>
          <w:spacing w:val="-26"/>
        </w:rPr>
        <w:t> </w:t>
      </w:r>
      <w:r>
        <w:rPr/>
        <w:t>constituição</w:t>
      </w:r>
      <w:r>
        <w:rPr>
          <w:spacing w:val="-24"/>
        </w:rPr>
        <w:t> </w:t>
      </w:r>
      <w:r>
        <w:rPr/>
        <w:t>de</w:t>
      </w:r>
      <w:r>
        <w:rPr>
          <w:spacing w:val="-23"/>
        </w:rPr>
        <w:t> </w:t>
      </w:r>
      <w:r>
        <w:rPr/>
        <w:t>provisão</w:t>
      </w:r>
      <w:r>
        <w:rPr>
          <w:spacing w:val="-25"/>
        </w:rPr>
        <w:t> </w:t>
      </w:r>
      <w:r>
        <w:rPr/>
        <w:t>para</w:t>
      </w:r>
      <w:r>
        <w:rPr>
          <w:spacing w:val="-23"/>
        </w:rPr>
        <w:t> </w:t>
      </w:r>
      <w:r>
        <w:rPr/>
        <w:t>perda</w:t>
      </w:r>
      <w:r>
        <w:rPr>
          <w:spacing w:val="-24"/>
        </w:rPr>
        <w:t> </w:t>
      </w:r>
      <w:r>
        <w:rPr/>
        <w:t>sobre</w:t>
      </w:r>
      <w:r>
        <w:rPr>
          <w:spacing w:val="-22"/>
        </w:rPr>
        <w:t> </w:t>
      </w:r>
      <w:r>
        <w:rPr/>
        <w:t>o</w:t>
      </w:r>
      <w:r>
        <w:rPr>
          <w:spacing w:val="-25"/>
        </w:rPr>
        <w:t> </w:t>
      </w:r>
      <w:r>
        <w:rPr/>
        <w:t>valor</w:t>
      </w:r>
      <w:r>
        <w:rPr>
          <w:spacing w:val="-22"/>
        </w:rPr>
        <w:t> </w:t>
      </w:r>
      <w:r>
        <w:rPr/>
        <w:t>dos</w:t>
      </w:r>
      <w:r>
        <w:rPr>
          <w:spacing w:val="-24"/>
        </w:rPr>
        <w:t> </w:t>
      </w:r>
      <w:r>
        <w:rPr/>
        <w:t>ativos</w:t>
      </w:r>
      <w:r>
        <w:rPr>
          <w:spacing w:val="-21"/>
        </w:rPr>
        <w:t> </w:t>
      </w:r>
      <w:r>
        <w:rPr/>
        <w:t>não</w:t>
      </w:r>
      <w:r>
        <w:rPr>
          <w:spacing w:val="-25"/>
        </w:rPr>
        <w:t> </w:t>
      </w:r>
      <w:r>
        <w:rPr/>
        <w:t>financeiros.</w:t>
      </w:r>
    </w:p>
    <w:p>
      <w:pPr>
        <w:pStyle w:val="BodyText"/>
        <w:spacing w:before="9"/>
      </w:pPr>
    </w:p>
    <w:p>
      <w:pPr>
        <w:pStyle w:val="BodyText"/>
        <w:spacing w:line="242" w:lineRule="auto"/>
        <w:ind w:left="192" w:right="610"/>
        <w:jc w:val="both"/>
      </w:pPr>
      <w:r>
        <w:rPr/>
        <w:t>O</w:t>
      </w:r>
      <w:r>
        <w:rPr>
          <w:spacing w:val="-23"/>
        </w:rPr>
        <w:t> </w:t>
      </w:r>
      <w:r>
        <w:rPr/>
        <w:t>valor</w:t>
      </w:r>
      <w:r>
        <w:rPr>
          <w:spacing w:val="-19"/>
        </w:rPr>
        <w:t> </w:t>
      </w:r>
      <w:r>
        <w:rPr/>
        <w:t>recuperável</w:t>
      </w:r>
      <w:r>
        <w:rPr>
          <w:spacing w:val="-20"/>
        </w:rPr>
        <w:t> </w:t>
      </w:r>
      <w:r>
        <w:rPr/>
        <w:t>do</w:t>
      </w:r>
      <w:r>
        <w:rPr>
          <w:spacing w:val="-21"/>
        </w:rPr>
        <w:t> </w:t>
      </w:r>
      <w:r>
        <w:rPr/>
        <w:t>ativo</w:t>
      </w:r>
      <w:r>
        <w:rPr>
          <w:spacing w:val="-22"/>
        </w:rPr>
        <w:t> </w:t>
      </w:r>
      <w:r>
        <w:rPr/>
        <w:t>ou</w:t>
      </w:r>
      <w:r>
        <w:rPr>
          <w:spacing w:val="-20"/>
        </w:rPr>
        <w:t> </w:t>
      </w:r>
      <w:r>
        <w:rPr/>
        <w:t>de</w:t>
      </w:r>
      <w:r>
        <w:rPr>
          <w:spacing w:val="-21"/>
        </w:rPr>
        <w:t> </w:t>
      </w:r>
      <w:r>
        <w:rPr/>
        <w:t>determinada</w:t>
      </w:r>
      <w:r>
        <w:rPr>
          <w:spacing w:val="-21"/>
        </w:rPr>
        <w:t> </w:t>
      </w:r>
      <w:r>
        <w:rPr/>
        <w:t>unidade</w:t>
      </w:r>
      <w:r>
        <w:rPr>
          <w:spacing w:val="-21"/>
        </w:rPr>
        <w:t> </w:t>
      </w:r>
      <w:r>
        <w:rPr/>
        <w:t>geradora</w:t>
      </w:r>
      <w:r>
        <w:rPr>
          <w:spacing w:val="-20"/>
        </w:rPr>
        <w:t> </w:t>
      </w:r>
      <w:r>
        <w:rPr/>
        <w:t>de</w:t>
      </w:r>
      <w:r>
        <w:rPr>
          <w:spacing w:val="-21"/>
        </w:rPr>
        <w:t> </w:t>
      </w:r>
      <w:r>
        <w:rPr/>
        <w:t>caixa</w:t>
      </w:r>
      <w:r>
        <w:rPr>
          <w:spacing w:val="-20"/>
        </w:rPr>
        <w:t> </w:t>
      </w:r>
      <w:r>
        <w:rPr/>
        <w:t>é</w:t>
      </w:r>
      <w:r>
        <w:rPr>
          <w:spacing w:val="-22"/>
        </w:rPr>
        <w:t> </w:t>
      </w:r>
      <w:r>
        <w:rPr/>
        <w:t>definido</w:t>
      </w:r>
      <w:r>
        <w:rPr>
          <w:spacing w:val="-22"/>
        </w:rPr>
        <w:t> </w:t>
      </w:r>
      <w:r>
        <w:rPr/>
        <w:t>como</w:t>
      </w:r>
      <w:r>
        <w:rPr>
          <w:spacing w:val="-21"/>
        </w:rPr>
        <w:t> </w:t>
      </w:r>
      <w:r>
        <w:rPr/>
        <w:t>sendo</w:t>
      </w:r>
      <w:r>
        <w:rPr>
          <w:spacing w:val="-21"/>
        </w:rPr>
        <w:t> </w:t>
      </w:r>
      <w:r>
        <w:rPr/>
        <w:t>o</w:t>
      </w:r>
      <w:r>
        <w:rPr>
          <w:spacing w:val="-21"/>
        </w:rPr>
        <w:t> </w:t>
      </w:r>
      <w:r>
        <w:rPr/>
        <w:t>maior</w:t>
      </w:r>
      <w:r>
        <w:rPr>
          <w:spacing w:val="-21"/>
        </w:rPr>
        <w:t> </w:t>
      </w:r>
      <w:r>
        <w:rPr/>
        <w:t>entre</w:t>
      </w:r>
      <w:r>
        <w:rPr>
          <w:spacing w:val="-21"/>
        </w:rPr>
        <w:t> </w:t>
      </w:r>
      <w:r>
        <w:rPr/>
        <w:t>o valor</w:t>
      </w:r>
      <w:r>
        <w:rPr>
          <w:spacing w:val="-10"/>
        </w:rPr>
        <w:t> </w:t>
      </w:r>
      <w:r>
        <w:rPr/>
        <w:t>de</w:t>
      </w:r>
      <w:r>
        <w:rPr>
          <w:spacing w:val="-8"/>
        </w:rPr>
        <w:t> </w:t>
      </w:r>
      <w:r>
        <w:rPr/>
        <w:t>uso</w:t>
      </w:r>
      <w:r>
        <w:rPr>
          <w:spacing w:val="-6"/>
        </w:rPr>
        <w:t> </w:t>
      </w:r>
      <w:r>
        <w:rPr/>
        <w:t>e</w:t>
      </w:r>
      <w:r>
        <w:rPr>
          <w:spacing w:val="-8"/>
        </w:rPr>
        <w:t> </w:t>
      </w:r>
      <w:r>
        <w:rPr/>
        <w:t>o</w:t>
      </w:r>
      <w:r>
        <w:rPr>
          <w:spacing w:val="-8"/>
        </w:rPr>
        <w:t> </w:t>
      </w:r>
      <w:r>
        <w:rPr/>
        <w:t>valor</w:t>
      </w:r>
      <w:r>
        <w:rPr>
          <w:spacing w:val="-8"/>
        </w:rPr>
        <w:t> </w:t>
      </w:r>
      <w:r>
        <w:rPr/>
        <w:t>líquido</w:t>
      </w:r>
      <w:r>
        <w:rPr>
          <w:spacing w:val="-2"/>
        </w:rPr>
        <w:t> </w:t>
      </w:r>
      <w:r>
        <w:rPr/>
        <w:t>de</w:t>
      </w:r>
      <w:r>
        <w:rPr>
          <w:spacing w:val="-8"/>
        </w:rPr>
        <w:t> </w:t>
      </w:r>
      <w:r>
        <w:rPr/>
        <w:t>venda.</w:t>
      </w:r>
      <w:r>
        <w:rPr>
          <w:spacing w:val="-7"/>
        </w:rPr>
        <w:t> </w:t>
      </w:r>
      <w:r>
        <w:rPr/>
        <w:t>As</w:t>
      </w:r>
      <w:r>
        <w:rPr>
          <w:spacing w:val="-7"/>
        </w:rPr>
        <w:t> </w:t>
      </w:r>
      <w:r>
        <w:rPr/>
        <w:t>unidades</w:t>
      </w:r>
      <w:r>
        <w:rPr>
          <w:spacing w:val="-6"/>
        </w:rPr>
        <w:t> </w:t>
      </w:r>
      <w:r>
        <w:rPr/>
        <w:t>geradoras</w:t>
      </w:r>
      <w:r>
        <w:rPr>
          <w:spacing w:val="-8"/>
        </w:rPr>
        <w:t> </w:t>
      </w:r>
      <w:r>
        <w:rPr/>
        <w:t>de</w:t>
      </w:r>
      <w:r>
        <w:rPr>
          <w:spacing w:val="-8"/>
        </w:rPr>
        <w:t> </w:t>
      </w:r>
      <w:r>
        <w:rPr/>
        <w:t>caixa</w:t>
      </w:r>
      <w:r>
        <w:rPr>
          <w:spacing w:val="-8"/>
        </w:rPr>
        <w:t> </w:t>
      </w:r>
      <w:r>
        <w:rPr/>
        <w:t>são</w:t>
      </w:r>
      <w:r>
        <w:rPr>
          <w:spacing w:val="-7"/>
        </w:rPr>
        <w:t> </w:t>
      </w:r>
      <w:r>
        <w:rPr/>
        <w:t>as</w:t>
      </w:r>
      <w:r>
        <w:rPr>
          <w:spacing w:val="-8"/>
        </w:rPr>
        <w:t> </w:t>
      </w:r>
      <w:r>
        <w:rPr/>
        <w:t>atividades</w:t>
      </w:r>
      <w:r>
        <w:rPr>
          <w:spacing w:val="-7"/>
        </w:rPr>
        <w:t> </w:t>
      </w:r>
      <w:r>
        <w:rPr/>
        <w:t>de</w:t>
      </w:r>
      <w:r>
        <w:rPr>
          <w:spacing w:val="-1"/>
        </w:rPr>
        <w:t> </w:t>
      </w:r>
      <w:r>
        <w:rPr/>
        <w:t>gerenciamento</w:t>
      </w:r>
      <w:r>
        <w:rPr>
          <w:spacing w:val="-5"/>
        </w:rPr>
        <w:t> </w:t>
      </w:r>
      <w:r>
        <w:rPr/>
        <w:t>dos negócios</w:t>
      </w:r>
      <w:r>
        <w:rPr>
          <w:spacing w:val="-19"/>
        </w:rPr>
        <w:t> </w:t>
      </w:r>
      <w:r>
        <w:rPr/>
        <w:t>da</w:t>
      </w:r>
      <w:r>
        <w:rPr>
          <w:spacing w:val="-15"/>
        </w:rPr>
        <w:t> </w:t>
      </w:r>
      <w:r>
        <w:rPr/>
        <w:t>rede</w:t>
      </w:r>
      <w:r>
        <w:rPr>
          <w:spacing w:val="-17"/>
        </w:rPr>
        <w:t> </w:t>
      </w:r>
      <w:r>
        <w:rPr/>
        <w:t>de</w:t>
      </w:r>
      <w:r>
        <w:rPr>
          <w:spacing w:val="-18"/>
        </w:rPr>
        <w:t> </w:t>
      </w:r>
      <w:r>
        <w:rPr/>
        <w:t>distribuição</w:t>
      </w:r>
      <w:r>
        <w:rPr>
          <w:spacing w:val="-18"/>
        </w:rPr>
        <w:t> </w:t>
      </w:r>
      <w:r>
        <w:rPr/>
        <w:t>e</w:t>
      </w:r>
      <w:r>
        <w:rPr>
          <w:spacing w:val="-20"/>
        </w:rPr>
        <w:t> </w:t>
      </w:r>
      <w:r>
        <w:rPr/>
        <w:t>geração.</w:t>
      </w:r>
    </w:p>
    <w:p>
      <w:pPr>
        <w:spacing w:after="0" w:line="242" w:lineRule="auto"/>
        <w:jc w:val="both"/>
        <w:sectPr>
          <w:pgSz w:w="11910" w:h="16850"/>
          <w:pgMar w:header="792" w:footer="1193" w:top="1360" w:bottom="1460" w:left="940" w:right="240"/>
        </w:sectPr>
      </w:pPr>
    </w:p>
    <w:p>
      <w:pPr>
        <w:pStyle w:val="ListParagraph"/>
        <w:numPr>
          <w:ilvl w:val="1"/>
          <w:numId w:val="16"/>
        </w:numPr>
        <w:tabs>
          <w:tab w:pos="1045" w:val="left" w:leader="none"/>
          <w:tab w:pos="1046" w:val="left" w:leader="none"/>
        </w:tabs>
        <w:spacing w:line="240" w:lineRule="auto" w:before="48" w:after="0"/>
        <w:ind w:left="1045" w:right="0" w:hanging="854"/>
        <w:jc w:val="left"/>
        <w:rPr>
          <w:rFonts w:ascii="Caladea"/>
          <w:b/>
          <w:sz w:val="18"/>
        </w:rPr>
      </w:pPr>
      <w:r>
        <w:rPr>
          <w:rFonts w:ascii="Caladea"/>
          <w:b/>
          <w:sz w:val="22"/>
        </w:rPr>
        <w:t>P</w:t>
      </w:r>
      <w:r>
        <w:rPr>
          <w:rFonts w:ascii="Caladea"/>
          <w:b/>
          <w:sz w:val="18"/>
        </w:rPr>
        <w:t>ASSIVOS</w:t>
      </w:r>
      <w:r>
        <w:rPr>
          <w:rFonts w:ascii="Caladea"/>
          <w:b/>
          <w:spacing w:val="-1"/>
          <w:sz w:val="18"/>
        </w:rPr>
        <w:t> </w:t>
      </w:r>
      <w:r>
        <w:rPr>
          <w:rFonts w:ascii="Caladea"/>
          <w:b/>
          <w:sz w:val="22"/>
        </w:rPr>
        <w:t>F</w:t>
      </w:r>
      <w:r>
        <w:rPr>
          <w:rFonts w:ascii="Caladea"/>
          <w:b/>
          <w:sz w:val="18"/>
        </w:rPr>
        <w:t>INANCEIROS</w:t>
      </w:r>
    </w:p>
    <w:p>
      <w:pPr>
        <w:pStyle w:val="BodyText"/>
        <w:spacing w:before="10"/>
        <w:rPr>
          <w:rFonts w:ascii="Caladea"/>
          <w:b/>
          <w:sz w:val="23"/>
        </w:rPr>
      </w:pPr>
    </w:p>
    <w:p>
      <w:pPr>
        <w:pStyle w:val="BodyText"/>
        <w:spacing w:line="242" w:lineRule="auto"/>
        <w:ind w:left="192" w:right="606"/>
        <w:jc w:val="both"/>
      </w:pPr>
      <w:r>
        <w:rPr/>
        <w:t>O</w:t>
      </w:r>
      <w:r>
        <w:rPr>
          <w:spacing w:val="-25"/>
        </w:rPr>
        <w:t> </w:t>
      </w:r>
      <w:r>
        <w:rPr/>
        <w:t>Grupo</w:t>
      </w:r>
      <w:r>
        <w:rPr>
          <w:spacing w:val="-23"/>
        </w:rPr>
        <w:t> </w:t>
      </w:r>
      <w:r>
        <w:rPr/>
        <w:t>reconhece</w:t>
      </w:r>
      <w:r>
        <w:rPr>
          <w:spacing w:val="-25"/>
        </w:rPr>
        <w:t> </w:t>
      </w:r>
      <w:r>
        <w:rPr/>
        <w:t>títulos</w:t>
      </w:r>
      <w:r>
        <w:rPr>
          <w:spacing w:val="-22"/>
        </w:rPr>
        <w:t> </w:t>
      </w:r>
      <w:r>
        <w:rPr/>
        <w:t>de</w:t>
      </w:r>
      <w:r>
        <w:rPr>
          <w:spacing w:val="-25"/>
        </w:rPr>
        <w:t> </w:t>
      </w:r>
      <w:r>
        <w:rPr/>
        <w:t>dívida</w:t>
      </w:r>
      <w:r>
        <w:rPr>
          <w:spacing w:val="-23"/>
        </w:rPr>
        <w:t> </w:t>
      </w:r>
      <w:r>
        <w:rPr/>
        <w:t>e</w:t>
      </w:r>
      <w:r>
        <w:rPr>
          <w:spacing w:val="-22"/>
        </w:rPr>
        <w:t> </w:t>
      </w:r>
      <w:r>
        <w:rPr/>
        <w:t>passivos</w:t>
      </w:r>
      <w:r>
        <w:rPr>
          <w:spacing w:val="-24"/>
        </w:rPr>
        <w:t> </w:t>
      </w:r>
      <w:r>
        <w:rPr/>
        <w:t>subordinados</w:t>
      </w:r>
      <w:r>
        <w:rPr>
          <w:spacing w:val="-24"/>
        </w:rPr>
        <w:t> </w:t>
      </w:r>
      <w:r>
        <w:rPr/>
        <w:t>inicialmente</w:t>
      </w:r>
      <w:r>
        <w:rPr>
          <w:spacing w:val="-24"/>
        </w:rPr>
        <w:t> </w:t>
      </w:r>
      <w:r>
        <w:rPr/>
        <w:t>na</w:t>
      </w:r>
      <w:r>
        <w:rPr>
          <w:spacing w:val="-23"/>
        </w:rPr>
        <w:t> </w:t>
      </w:r>
      <w:r>
        <w:rPr/>
        <w:t>data</w:t>
      </w:r>
      <w:r>
        <w:rPr>
          <w:spacing w:val="-21"/>
        </w:rPr>
        <w:t> </w:t>
      </w:r>
      <w:r>
        <w:rPr/>
        <w:t>em</w:t>
      </w:r>
      <w:r>
        <w:rPr>
          <w:spacing w:val="-24"/>
        </w:rPr>
        <w:t> </w:t>
      </w:r>
      <w:r>
        <w:rPr/>
        <w:t>que</w:t>
      </w:r>
      <w:r>
        <w:rPr>
          <w:spacing w:val="-24"/>
        </w:rPr>
        <w:t> </w:t>
      </w:r>
      <w:r>
        <w:rPr/>
        <w:t>são</w:t>
      </w:r>
      <w:r>
        <w:rPr>
          <w:spacing w:val="-24"/>
        </w:rPr>
        <w:t> </w:t>
      </w:r>
      <w:r>
        <w:rPr/>
        <w:t>originados.</w:t>
      </w:r>
      <w:r>
        <w:rPr>
          <w:spacing w:val="-23"/>
        </w:rPr>
        <w:t> </w:t>
      </w:r>
      <w:r>
        <w:rPr/>
        <w:t>Todos</w:t>
      </w:r>
      <w:r>
        <w:rPr>
          <w:spacing w:val="-15"/>
        </w:rPr>
        <w:t> </w:t>
      </w:r>
      <w:r>
        <w:rPr/>
        <w:t>os outros</w:t>
      </w:r>
      <w:r>
        <w:rPr>
          <w:spacing w:val="-41"/>
        </w:rPr>
        <w:t> </w:t>
      </w:r>
      <w:r>
        <w:rPr/>
        <w:t>passivos</w:t>
      </w:r>
      <w:r>
        <w:rPr>
          <w:spacing w:val="-41"/>
        </w:rPr>
        <w:t> </w:t>
      </w:r>
      <w:r>
        <w:rPr/>
        <w:t>financeiros</w:t>
      </w:r>
      <w:r>
        <w:rPr>
          <w:spacing w:val="-41"/>
        </w:rPr>
        <w:t> </w:t>
      </w:r>
      <w:r>
        <w:rPr/>
        <w:t>(incluindo</w:t>
      </w:r>
      <w:r>
        <w:rPr>
          <w:spacing w:val="-41"/>
        </w:rPr>
        <w:t> </w:t>
      </w:r>
      <w:r>
        <w:rPr/>
        <w:t>passivos</w:t>
      </w:r>
      <w:r>
        <w:rPr>
          <w:spacing w:val="-41"/>
        </w:rPr>
        <w:t> </w:t>
      </w:r>
      <w:r>
        <w:rPr/>
        <w:t>designados</w:t>
      </w:r>
      <w:r>
        <w:rPr>
          <w:spacing w:val="-41"/>
        </w:rPr>
        <w:t> </w:t>
      </w:r>
      <w:r>
        <w:rPr/>
        <w:t>pelo</w:t>
      </w:r>
      <w:r>
        <w:rPr>
          <w:spacing w:val="-42"/>
        </w:rPr>
        <w:t> </w:t>
      </w:r>
      <w:r>
        <w:rPr/>
        <w:t>valor</w:t>
      </w:r>
      <w:r>
        <w:rPr>
          <w:spacing w:val="-41"/>
        </w:rPr>
        <w:t> </w:t>
      </w:r>
      <w:r>
        <w:rPr/>
        <w:t>justo</w:t>
      </w:r>
      <w:r>
        <w:rPr>
          <w:spacing w:val="-41"/>
        </w:rPr>
        <w:t> </w:t>
      </w:r>
      <w:r>
        <w:rPr/>
        <w:t>registrado</w:t>
      </w:r>
      <w:r>
        <w:rPr>
          <w:spacing w:val="-40"/>
        </w:rPr>
        <w:t> </w:t>
      </w:r>
      <w:r>
        <w:rPr/>
        <w:t>no</w:t>
      </w:r>
      <w:r>
        <w:rPr>
          <w:spacing w:val="-41"/>
        </w:rPr>
        <w:t> </w:t>
      </w:r>
      <w:r>
        <w:rPr/>
        <w:t>resultado)</w:t>
      </w:r>
      <w:r>
        <w:rPr>
          <w:spacing w:val="-42"/>
        </w:rPr>
        <w:t> </w:t>
      </w:r>
      <w:r>
        <w:rPr/>
        <w:t>são</w:t>
      </w:r>
      <w:r>
        <w:rPr>
          <w:spacing w:val="-40"/>
        </w:rPr>
        <w:t> </w:t>
      </w:r>
      <w:r>
        <w:rPr/>
        <w:t>reconhecidos inicialmente</w:t>
      </w:r>
      <w:r>
        <w:rPr>
          <w:spacing w:val="-13"/>
        </w:rPr>
        <w:t> </w:t>
      </w:r>
      <w:r>
        <w:rPr/>
        <w:t>na</w:t>
      </w:r>
      <w:r>
        <w:rPr>
          <w:spacing w:val="-13"/>
        </w:rPr>
        <w:t> </w:t>
      </w:r>
      <w:r>
        <w:rPr/>
        <w:t>data</w:t>
      </w:r>
      <w:r>
        <w:rPr>
          <w:spacing w:val="-14"/>
        </w:rPr>
        <w:t> </w:t>
      </w:r>
      <w:r>
        <w:rPr/>
        <w:t>de</w:t>
      </w:r>
      <w:r>
        <w:rPr>
          <w:spacing w:val="-14"/>
        </w:rPr>
        <w:t> </w:t>
      </w:r>
      <w:r>
        <w:rPr/>
        <w:t>negociação</w:t>
      </w:r>
      <w:r>
        <w:rPr>
          <w:spacing w:val="-15"/>
        </w:rPr>
        <w:t> </w:t>
      </w:r>
      <w:r>
        <w:rPr/>
        <w:t>na</w:t>
      </w:r>
      <w:r>
        <w:rPr>
          <w:spacing w:val="-13"/>
        </w:rPr>
        <w:t> </w:t>
      </w:r>
      <w:r>
        <w:rPr/>
        <w:t>qual</w:t>
      </w:r>
      <w:r>
        <w:rPr>
          <w:spacing w:val="-14"/>
        </w:rPr>
        <w:t> </w:t>
      </w:r>
      <w:r>
        <w:rPr/>
        <w:t>a</w:t>
      </w:r>
      <w:r>
        <w:rPr>
          <w:spacing w:val="-12"/>
        </w:rPr>
        <w:t> </w:t>
      </w:r>
      <w:r>
        <w:rPr/>
        <w:t>Companhia</w:t>
      </w:r>
      <w:r>
        <w:rPr>
          <w:spacing w:val="-14"/>
        </w:rPr>
        <w:t> </w:t>
      </w:r>
      <w:r>
        <w:rPr/>
        <w:t>ou</w:t>
      </w:r>
      <w:r>
        <w:rPr>
          <w:spacing w:val="-14"/>
        </w:rPr>
        <w:t> </w:t>
      </w:r>
      <w:r>
        <w:rPr/>
        <w:t>suas</w:t>
      </w:r>
      <w:r>
        <w:rPr>
          <w:spacing w:val="-15"/>
        </w:rPr>
        <w:t> </w:t>
      </w:r>
      <w:r>
        <w:rPr/>
        <w:t>controladas</w:t>
      </w:r>
      <w:r>
        <w:rPr>
          <w:spacing w:val="-12"/>
        </w:rPr>
        <w:t> </w:t>
      </w:r>
      <w:r>
        <w:rPr/>
        <w:t>e</w:t>
      </w:r>
      <w:r>
        <w:rPr>
          <w:spacing w:val="-14"/>
        </w:rPr>
        <w:t> </w:t>
      </w:r>
      <w:r>
        <w:rPr/>
        <w:t>coligadas</w:t>
      </w:r>
      <w:r>
        <w:rPr>
          <w:spacing w:val="-15"/>
        </w:rPr>
        <w:t> </w:t>
      </w:r>
      <w:r>
        <w:rPr/>
        <w:t>se</w:t>
      </w:r>
      <w:r>
        <w:rPr>
          <w:spacing w:val="-14"/>
        </w:rPr>
        <w:t> </w:t>
      </w:r>
      <w:r>
        <w:rPr/>
        <w:t>torna</w:t>
      </w:r>
      <w:r>
        <w:rPr>
          <w:spacing w:val="-13"/>
        </w:rPr>
        <w:t> </w:t>
      </w:r>
      <w:r>
        <w:rPr/>
        <w:t>uma</w:t>
      </w:r>
      <w:r>
        <w:rPr>
          <w:spacing w:val="-12"/>
        </w:rPr>
        <w:t> </w:t>
      </w:r>
      <w:r>
        <w:rPr/>
        <w:t>parte</w:t>
      </w:r>
      <w:r>
        <w:rPr>
          <w:spacing w:val="-13"/>
        </w:rPr>
        <w:t> </w:t>
      </w:r>
      <w:r>
        <w:rPr/>
        <w:t>das disposições</w:t>
      </w:r>
      <w:r>
        <w:rPr>
          <w:spacing w:val="-47"/>
        </w:rPr>
        <w:t> </w:t>
      </w:r>
      <w:r>
        <w:rPr/>
        <w:t>contratuais</w:t>
      </w:r>
      <w:r>
        <w:rPr>
          <w:spacing w:val="-46"/>
        </w:rPr>
        <w:t> </w:t>
      </w:r>
      <w:r>
        <w:rPr/>
        <w:t>do</w:t>
      </w:r>
      <w:r>
        <w:rPr>
          <w:spacing w:val="-47"/>
        </w:rPr>
        <w:t> </w:t>
      </w:r>
      <w:r>
        <w:rPr/>
        <w:t>instrumento.</w:t>
      </w:r>
      <w:r>
        <w:rPr>
          <w:spacing w:val="-46"/>
        </w:rPr>
        <w:t> </w:t>
      </w:r>
      <w:r>
        <w:rPr/>
        <w:t>O</w:t>
      </w:r>
      <w:r>
        <w:rPr>
          <w:spacing w:val="-47"/>
        </w:rPr>
        <w:t> </w:t>
      </w:r>
      <w:r>
        <w:rPr/>
        <w:t>Grupo</w:t>
      </w:r>
      <w:r>
        <w:rPr>
          <w:spacing w:val="-46"/>
        </w:rPr>
        <w:t> </w:t>
      </w:r>
      <w:r>
        <w:rPr/>
        <w:t>baixa</w:t>
      </w:r>
      <w:r>
        <w:rPr>
          <w:spacing w:val="-47"/>
        </w:rPr>
        <w:t> </w:t>
      </w:r>
      <w:r>
        <w:rPr/>
        <w:t>um</w:t>
      </w:r>
      <w:r>
        <w:rPr>
          <w:spacing w:val="-46"/>
        </w:rPr>
        <w:t> </w:t>
      </w:r>
      <w:r>
        <w:rPr/>
        <w:t>passivo</w:t>
      </w:r>
      <w:r>
        <w:rPr>
          <w:spacing w:val="-47"/>
        </w:rPr>
        <w:t> </w:t>
      </w:r>
      <w:r>
        <w:rPr/>
        <w:t>financeiro</w:t>
      </w:r>
      <w:r>
        <w:rPr>
          <w:spacing w:val="-46"/>
        </w:rPr>
        <w:t> </w:t>
      </w:r>
      <w:r>
        <w:rPr/>
        <w:t>quando</w:t>
      </w:r>
      <w:r>
        <w:rPr>
          <w:spacing w:val="-46"/>
        </w:rPr>
        <w:t> </w:t>
      </w:r>
      <w:r>
        <w:rPr/>
        <w:t>tem</w:t>
      </w:r>
      <w:r>
        <w:rPr>
          <w:spacing w:val="-46"/>
        </w:rPr>
        <w:t> </w:t>
      </w:r>
      <w:r>
        <w:rPr/>
        <w:t>suas</w:t>
      </w:r>
      <w:r>
        <w:rPr>
          <w:spacing w:val="-46"/>
        </w:rPr>
        <w:t> </w:t>
      </w:r>
      <w:r>
        <w:rPr/>
        <w:t>obrigações</w:t>
      </w:r>
      <w:r>
        <w:rPr>
          <w:spacing w:val="-46"/>
        </w:rPr>
        <w:t> </w:t>
      </w:r>
      <w:r>
        <w:rPr/>
        <w:t>contratuais retiradas,</w:t>
      </w:r>
      <w:r>
        <w:rPr>
          <w:spacing w:val="-20"/>
        </w:rPr>
        <w:t> </w:t>
      </w:r>
      <w:r>
        <w:rPr/>
        <w:t>canceladas</w:t>
      </w:r>
      <w:r>
        <w:rPr>
          <w:spacing w:val="-18"/>
        </w:rPr>
        <w:t> </w:t>
      </w:r>
      <w:r>
        <w:rPr/>
        <w:t>ou</w:t>
      </w:r>
      <w:r>
        <w:rPr>
          <w:spacing w:val="-18"/>
        </w:rPr>
        <w:t> </w:t>
      </w:r>
      <w:r>
        <w:rPr/>
        <w:t>vencidas.</w:t>
      </w:r>
    </w:p>
    <w:p>
      <w:pPr>
        <w:pStyle w:val="BodyText"/>
        <w:spacing w:before="8"/>
      </w:pPr>
    </w:p>
    <w:p>
      <w:pPr>
        <w:pStyle w:val="BodyText"/>
        <w:spacing w:line="242" w:lineRule="auto"/>
        <w:ind w:left="192" w:right="617"/>
        <w:jc w:val="both"/>
      </w:pPr>
      <w:r>
        <w:rPr/>
        <w:t>O</w:t>
      </w:r>
      <w:r>
        <w:rPr>
          <w:spacing w:val="-28"/>
        </w:rPr>
        <w:t> </w:t>
      </w:r>
      <w:r>
        <w:rPr/>
        <w:t>Grupo</w:t>
      </w:r>
      <w:r>
        <w:rPr>
          <w:spacing w:val="-28"/>
        </w:rPr>
        <w:t> </w:t>
      </w:r>
      <w:r>
        <w:rPr/>
        <w:t>classifica</w:t>
      </w:r>
      <w:r>
        <w:rPr>
          <w:spacing w:val="-27"/>
        </w:rPr>
        <w:t> </w:t>
      </w:r>
      <w:r>
        <w:rPr/>
        <w:t>os</w:t>
      </w:r>
      <w:r>
        <w:rPr>
          <w:spacing w:val="-27"/>
        </w:rPr>
        <w:t> </w:t>
      </w:r>
      <w:r>
        <w:rPr/>
        <w:t>passivos</w:t>
      </w:r>
      <w:r>
        <w:rPr>
          <w:spacing w:val="-27"/>
        </w:rPr>
        <w:t> </w:t>
      </w:r>
      <w:r>
        <w:rPr/>
        <w:t>financeiros</w:t>
      </w:r>
      <w:r>
        <w:rPr>
          <w:spacing w:val="-27"/>
        </w:rPr>
        <w:t> </w:t>
      </w:r>
      <w:r>
        <w:rPr/>
        <w:t>não</w:t>
      </w:r>
      <w:r>
        <w:rPr>
          <w:spacing w:val="-28"/>
        </w:rPr>
        <w:t> </w:t>
      </w:r>
      <w:r>
        <w:rPr/>
        <w:t>derivativos</w:t>
      </w:r>
      <w:r>
        <w:rPr>
          <w:spacing w:val="-27"/>
        </w:rPr>
        <w:t> </w:t>
      </w:r>
      <w:r>
        <w:rPr/>
        <w:t>na</w:t>
      </w:r>
      <w:r>
        <w:rPr>
          <w:spacing w:val="-27"/>
        </w:rPr>
        <w:t> </w:t>
      </w:r>
      <w:r>
        <w:rPr/>
        <w:t>categoria</w:t>
      </w:r>
      <w:r>
        <w:rPr>
          <w:spacing w:val="-27"/>
        </w:rPr>
        <w:t> </w:t>
      </w:r>
      <w:r>
        <w:rPr/>
        <w:t>de</w:t>
      </w:r>
      <w:r>
        <w:rPr>
          <w:spacing w:val="-28"/>
        </w:rPr>
        <w:t> </w:t>
      </w:r>
      <w:r>
        <w:rPr/>
        <w:t>outros</w:t>
      </w:r>
      <w:r>
        <w:rPr>
          <w:spacing w:val="-27"/>
        </w:rPr>
        <w:t> </w:t>
      </w:r>
      <w:r>
        <w:rPr/>
        <w:t>passivos</w:t>
      </w:r>
      <w:r>
        <w:rPr>
          <w:spacing w:val="-27"/>
        </w:rPr>
        <w:t> </w:t>
      </w:r>
      <w:r>
        <w:rPr/>
        <w:t>financeiros.</w:t>
      </w:r>
      <w:r>
        <w:rPr>
          <w:spacing w:val="-25"/>
        </w:rPr>
        <w:t> </w:t>
      </w:r>
      <w:r>
        <w:rPr/>
        <w:t>Tais</w:t>
      </w:r>
      <w:r>
        <w:rPr>
          <w:spacing w:val="-27"/>
        </w:rPr>
        <w:t> </w:t>
      </w:r>
      <w:r>
        <w:rPr/>
        <w:t>passivos financeiros</w:t>
      </w:r>
      <w:r>
        <w:rPr>
          <w:spacing w:val="-33"/>
        </w:rPr>
        <w:t> </w:t>
      </w:r>
      <w:r>
        <w:rPr/>
        <w:t>são</w:t>
      </w:r>
      <w:r>
        <w:rPr>
          <w:spacing w:val="-34"/>
        </w:rPr>
        <w:t> </w:t>
      </w:r>
      <w:r>
        <w:rPr/>
        <w:t>reconhecidos</w:t>
      </w:r>
      <w:r>
        <w:rPr>
          <w:spacing w:val="-33"/>
        </w:rPr>
        <w:t> </w:t>
      </w:r>
      <w:r>
        <w:rPr/>
        <w:t>inicialmente</w:t>
      </w:r>
      <w:r>
        <w:rPr>
          <w:spacing w:val="-34"/>
        </w:rPr>
        <w:t> </w:t>
      </w:r>
      <w:r>
        <w:rPr/>
        <w:t>pelo</w:t>
      </w:r>
      <w:r>
        <w:rPr>
          <w:spacing w:val="-34"/>
        </w:rPr>
        <w:t> </w:t>
      </w:r>
      <w:r>
        <w:rPr/>
        <w:t>valor</w:t>
      </w:r>
      <w:r>
        <w:rPr>
          <w:spacing w:val="-33"/>
        </w:rPr>
        <w:t> </w:t>
      </w:r>
      <w:r>
        <w:rPr/>
        <w:t>justo</w:t>
      </w:r>
      <w:r>
        <w:rPr>
          <w:spacing w:val="-34"/>
        </w:rPr>
        <w:t> </w:t>
      </w:r>
      <w:r>
        <w:rPr/>
        <w:t>acrescido</w:t>
      </w:r>
      <w:r>
        <w:rPr>
          <w:spacing w:val="-34"/>
        </w:rPr>
        <w:t> </w:t>
      </w:r>
      <w:r>
        <w:rPr/>
        <w:t>de</w:t>
      </w:r>
      <w:r>
        <w:rPr>
          <w:spacing w:val="-33"/>
        </w:rPr>
        <w:t> </w:t>
      </w:r>
      <w:r>
        <w:rPr/>
        <w:t>quaisquer</w:t>
      </w:r>
      <w:r>
        <w:rPr>
          <w:spacing w:val="-33"/>
        </w:rPr>
        <w:t> </w:t>
      </w:r>
      <w:r>
        <w:rPr/>
        <w:t>custos</w:t>
      </w:r>
      <w:r>
        <w:rPr>
          <w:spacing w:val="-33"/>
        </w:rPr>
        <w:t> </w:t>
      </w:r>
      <w:r>
        <w:rPr/>
        <w:t>de</w:t>
      </w:r>
      <w:r>
        <w:rPr>
          <w:spacing w:val="-34"/>
        </w:rPr>
        <w:t> </w:t>
      </w:r>
      <w:r>
        <w:rPr/>
        <w:t>transações</w:t>
      </w:r>
      <w:r>
        <w:rPr>
          <w:spacing w:val="-33"/>
        </w:rPr>
        <w:t> </w:t>
      </w:r>
      <w:r>
        <w:rPr/>
        <w:t>atribuíveis. Após</w:t>
      </w:r>
      <w:r>
        <w:rPr>
          <w:spacing w:val="-31"/>
        </w:rPr>
        <w:t> </w:t>
      </w:r>
      <w:r>
        <w:rPr/>
        <w:t>o</w:t>
      </w:r>
      <w:r>
        <w:rPr>
          <w:spacing w:val="-31"/>
        </w:rPr>
        <w:t> </w:t>
      </w:r>
      <w:r>
        <w:rPr/>
        <w:t>reconhecimento</w:t>
      </w:r>
      <w:r>
        <w:rPr>
          <w:spacing w:val="-32"/>
        </w:rPr>
        <w:t> </w:t>
      </w:r>
      <w:r>
        <w:rPr/>
        <w:t>inicial,</w:t>
      </w:r>
      <w:r>
        <w:rPr>
          <w:spacing w:val="-31"/>
        </w:rPr>
        <w:t> </w:t>
      </w:r>
      <w:r>
        <w:rPr/>
        <w:t>esses</w:t>
      </w:r>
      <w:r>
        <w:rPr>
          <w:spacing w:val="-31"/>
        </w:rPr>
        <w:t> </w:t>
      </w:r>
      <w:r>
        <w:rPr/>
        <w:t>passivos</w:t>
      </w:r>
      <w:r>
        <w:rPr>
          <w:spacing w:val="-30"/>
        </w:rPr>
        <w:t> </w:t>
      </w:r>
      <w:r>
        <w:rPr/>
        <w:t>financeiros</w:t>
      </w:r>
      <w:r>
        <w:rPr>
          <w:spacing w:val="-31"/>
        </w:rPr>
        <w:t> </w:t>
      </w:r>
      <w:r>
        <w:rPr/>
        <w:t>são</w:t>
      </w:r>
      <w:r>
        <w:rPr>
          <w:spacing w:val="-31"/>
        </w:rPr>
        <w:t> </w:t>
      </w:r>
      <w:r>
        <w:rPr/>
        <w:t>medidos</w:t>
      </w:r>
      <w:r>
        <w:rPr>
          <w:spacing w:val="-31"/>
        </w:rPr>
        <w:t> </w:t>
      </w:r>
      <w:r>
        <w:rPr/>
        <w:t>pelo</w:t>
      </w:r>
      <w:r>
        <w:rPr>
          <w:spacing w:val="-31"/>
        </w:rPr>
        <w:t> </w:t>
      </w:r>
      <w:r>
        <w:rPr/>
        <w:t>custo</w:t>
      </w:r>
      <w:r>
        <w:rPr>
          <w:spacing w:val="-31"/>
        </w:rPr>
        <w:t> </w:t>
      </w:r>
      <w:r>
        <w:rPr/>
        <w:t>amortizado</w:t>
      </w:r>
      <w:r>
        <w:rPr>
          <w:spacing w:val="-31"/>
        </w:rPr>
        <w:t> </w:t>
      </w:r>
      <w:r>
        <w:rPr/>
        <w:t>através</w:t>
      </w:r>
      <w:r>
        <w:rPr>
          <w:spacing w:val="-31"/>
        </w:rPr>
        <w:t> </w:t>
      </w:r>
      <w:r>
        <w:rPr/>
        <w:t>do</w:t>
      </w:r>
      <w:r>
        <w:rPr>
          <w:spacing w:val="-31"/>
        </w:rPr>
        <w:t> </w:t>
      </w:r>
      <w:r>
        <w:rPr/>
        <w:t>método</w:t>
      </w:r>
      <w:r>
        <w:rPr>
          <w:spacing w:val="-30"/>
        </w:rPr>
        <w:t> </w:t>
      </w:r>
      <w:r>
        <w:rPr/>
        <w:t>de juros</w:t>
      </w:r>
      <w:r>
        <w:rPr>
          <w:spacing w:val="-16"/>
        </w:rPr>
        <w:t> </w:t>
      </w:r>
      <w:r>
        <w:rPr/>
        <w:t>efetivos.</w:t>
      </w:r>
    </w:p>
    <w:p>
      <w:pPr>
        <w:pStyle w:val="BodyText"/>
        <w:spacing w:before="8"/>
      </w:pPr>
    </w:p>
    <w:p>
      <w:pPr>
        <w:pStyle w:val="BodyText"/>
        <w:spacing w:line="242" w:lineRule="auto"/>
        <w:ind w:left="192" w:right="605"/>
        <w:jc w:val="both"/>
      </w:pPr>
      <w:r>
        <w:rPr/>
        <w:t>O</w:t>
      </w:r>
      <w:r>
        <w:rPr>
          <w:spacing w:val="-38"/>
        </w:rPr>
        <w:t> </w:t>
      </w:r>
      <w:r>
        <w:rPr/>
        <w:t>Grupo</w:t>
      </w:r>
      <w:r>
        <w:rPr>
          <w:spacing w:val="-38"/>
        </w:rPr>
        <w:t> </w:t>
      </w:r>
      <w:r>
        <w:rPr/>
        <w:t>tem</w:t>
      </w:r>
      <w:r>
        <w:rPr>
          <w:spacing w:val="-37"/>
        </w:rPr>
        <w:t> </w:t>
      </w:r>
      <w:r>
        <w:rPr/>
        <w:t>os</w:t>
      </w:r>
      <w:r>
        <w:rPr>
          <w:spacing w:val="-37"/>
        </w:rPr>
        <w:t> </w:t>
      </w:r>
      <w:r>
        <w:rPr/>
        <w:t>seguintes</w:t>
      </w:r>
      <w:r>
        <w:rPr>
          <w:spacing w:val="-36"/>
        </w:rPr>
        <w:t> </w:t>
      </w:r>
      <w:r>
        <w:rPr/>
        <w:t>passivos</w:t>
      </w:r>
      <w:r>
        <w:rPr>
          <w:spacing w:val="-37"/>
        </w:rPr>
        <w:t> </w:t>
      </w:r>
      <w:r>
        <w:rPr/>
        <w:t>financeiros</w:t>
      </w:r>
      <w:r>
        <w:rPr>
          <w:spacing w:val="-38"/>
        </w:rPr>
        <w:t> </w:t>
      </w:r>
      <w:r>
        <w:rPr/>
        <w:t>não</w:t>
      </w:r>
      <w:r>
        <w:rPr>
          <w:spacing w:val="-37"/>
        </w:rPr>
        <w:t> </w:t>
      </w:r>
      <w:r>
        <w:rPr/>
        <w:t>derivativos:</w:t>
      </w:r>
      <w:r>
        <w:rPr>
          <w:spacing w:val="-38"/>
        </w:rPr>
        <w:t> </w:t>
      </w:r>
      <w:r>
        <w:rPr/>
        <w:t>Passivos</w:t>
      </w:r>
      <w:r>
        <w:rPr>
          <w:spacing w:val="-37"/>
        </w:rPr>
        <w:t> </w:t>
      </w:r>
      <w:r>
        <w:rPr/>
        <w:t>Financeiros</w:t>
      </w:r>
      <w:r>
        <w:rPr>
          <w:spacing w:val="-37"/>
        </w:rPr>
        <w:t> </w:t>
      </w:r>
      <w:r>
        <w:rPr/>
        <w:t>Setoriais</w:t>
      </w:r>
      <w:r>
        <w:rPr>
          <w:spacing w:val="-38"/>
        </w:rPr>
        <w:t> </w:t>
      </w:r>
      <w:r>
        <w:rPr/>
        <w:t>(Nota</w:t>
      </w:r>
      <w:r>
        <w:rPr>
          <w:spacing w:val="-37"/>
        </w:rPr>
        <w:t> </w:t>
      </w:r>
      <w:r>
        <w:rPr/>
        <w:t>Explicativa</w:t>
      </w:r>
      <w:r>
        <w:rPr>
          <w:spacing w:val="-37"/>
        </w:rPr>
        <w:t> </w:t>
      </w:r>
      <w:r>
        <w:rPr/>
        <w:t>nº</w:t>
      </w:r>
      <w:r>
        <w:rPr>
          <w:spacing w:val="-37"/>
        </w:rPr>
        <w:t> </w:t>
      </w:r>
      <w:r>
        <w:rPr/>
        <w:t>8); fornecedores (Nota Explicativa nº 17); Encargos Regulatórios (Notas Explicativas nº 20); debêntures (Nota Explicativa</w:t>
      </w:r>
      <w:r>
        <w:rPr>
          <w:spacing w:val="-33"/>
        </w:rPr>
        <w:t> </w:t>
      </w:r>
      <w:r>
        <w:rPr/>
        <w:t>nº</w:t>
      </w:r>
      <w:r>
        <w:rPr>
          <w:spacing w:val="-33"/>
        </w:rPr>
        <w:t> </w:t>
      </w:r>
      <w:r>
        <w:rPr/>
        <w:t>21);</w:t>
      </w:r>
      <w:r>
        <w:rPr>
          <w:spacing w:val="-32"/>
        </w:rPr>
        <w:t> </w:t>
      </w:r>
      <w:r>
        <w:rPr/>
        <w:t>empréstimos</w:t>
      </w:r>
      <w:r>
        <w:rPr>
          <w:spacing w:val="-33"/>
        </w:rPr>
        <w:t> </w:t>
      </w:r>
      <w:r>
        <w:rPr/>
        <w:t>e</w:t>
      </w:r>
      <w:r>
        <w:rPr>
          <w:spacing w:val="-34"/>
        </w:rPr>
        <w:t> </w:t>
      </w:r>
      <w:r>
        <w:rPr/>
        <w:t>financiamentos</w:t>
      </w:r>
      <w:r>
        <w:rPr>
          <w:spacing w:val="-33"/>
        </w:rPr>
        <w:t> </w:t>
      </w:r>
      <w:r>
        <w:rPr/>
        <w:t>(Nota</w:t>
      </w:r>
      <w:r>
        <w:rPr>
          <w:spacing w:val="-29"/>
        </w:rPr>
        <w:t> </w:t>
      </w:r>
      <w:r>
        <w:rPr/>
        <w:t>Explicativa</w:t>
      </w:r>
      <w:r>
        <w:rPr>
          <w:spacing w:val="-33"/>
        </w:rPr>
        <w:t> </w:t>
      </w:r>
      <w:r>
        <w:rPr/>
        <w:t>nº</w:t>
      </w:r>
      <w:r>
        <w:rPr>
          <w:spacing w:val="-32"/>
        </w:rPr>
        <w:t> </w:t>
      </w:r>
      <w:r>
        <w:rPr/>
        <w:t>22);</w:t>
      </w:r>
      <w:r>
        <w:rPr>
          <w:spacing w:val="-33"/>
        </w:rPr>
        <w:t> </w:t>
      </w:r>
      <w:r>
        <w:rPr/>
        <w:t>obrigações</w:t>
      </w:r>
      <w:r>
        <w:rPr>
          <w:spacing w:val="-32"/>
        </w:rPr>
        <w:t> </w:t>
      </w:r>
      <w:r>
        <w:rPr/>
        <w:t>societárias</w:t>
      </w:r>
      <w:r>
        <w:rPr>
          <w:spacing w:val="-33"/>
        </w:rPr>
        <w:t> </w:t>
      </w:r>
      <w:r>
        <w:rPr/>
        <w:t>(Nota</w:t>
      </w:r>
      <w:r>
        <w:rPr>
          <w:spacing w:val="-33"/>
        </w:rPr>
        <w:t> </w:t>
      </w:r>
      <w:r>
        <w:rPr/>
        <w:t>Explicativa nº</w:t>
      </w:r>
      <w:r>
        <w:rPr>
          <w:spacing w:val="-17"/>
        </w:rPr>
        <w:t> </w:t>
      </w:r>
      <w:r>
        <w:rPr/>
        <w:t>23);</w:t>
      </w:r>
      <w:r>
        <w:rPr>
          <w:spacing w:val="-16"/>
        </w:rPr>
        <w:t> </w:t>
      </w:r>
      <w:r>
        <w:rPr/>
        <w:t>e</w:t>
      </w:r>
      <w:r>
        <w:rPr>
          <w:spacing w:val="-20"/>
        </w:rPr>
        <w:t> </w:t>
      </w:r>
      <w:r>
        <w:rPr/>
        <w:t>demais</w:t>
      </w:r>
      <w:r>
        <w:rPr>
          <w:spacing w:val="-18"/>
        </w:rPr>
        <w:t> </w:t>
      </w:r>
      <w:r>
        <w:rPr/>
        <w:t>obrigações</w:t>
      </w:r>
      <w:r>
        <w:rPr>
          <w:spacing w:val="-16"/>
        </w:rPr>
        <w:t> </w:t>
      </w:r>
      <w:r>
        <w:rPr/>
        <w:t>(Nota</w:t>
      </w:r>
      <w:r>
        <w:rPr>
          <w:spacing w:val="-18"/>
        </w:rPr>
        <w:t> </w:t>
      </w:r>
      <w:r>
        <w:rPr/>
        <w:t>Explicativa</w:t>
      </w:r>
      <w:r>
        <w:rPr>
          <w:spacing w:val="-18"/>
        </w:rPr>
        <w:t> </w:t>
      </w:r>
      <w:r>
        <w:rPr/>
        <w:t>nº</w:t>
      </w:r>
      <w:r>
        <w:rPr>
          <w:spacing w:val="-17"/>
        </w:rPr>
        <w:t> </w:t>
      </w:r>
      <w:r>
        <w:rPr/>
        <w:t>27).</w:t>
      </w:r>
    </w:p>
    <w:p>
      <w:pPr>
        <w:pStyle w:val="BodyText"/>
        <w:spacing w:before="7"/>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F</w:t>
      </w:r>
      <w:r>
        <w:rPr>
          <w:rFonts w:ascii="Caladea"/>
          <w:b/>
          <w:sz w:val="18"/>
        </w:rPr>
        <w:t>ORNECEDORES</w:t>
      </w:r>
    </w:p>
    <w:p>
      <w:pPr>
        <w:pStyle w:val="BodyText"/>
        <w:spacing w:before="10"/>
        <w:rPr>
          <w:rFonts w:ascii="Caladea"/>
          <w:b/>
          <w:sz w:val="23"/>
        </w:rPr>
      </w:pPr>
    </w:p>
    <w:p>
      <w:pPr>
        <w:pStyle w:val="BodyText"/>
        <w:spacing w:line="242" w:lineRule="auto"/>
        <w:ind w:left="192" w:right="613"/>
        <w:jc w:val="both"/>
      </w:pPr>
      <w:r>
        <w:rPr/>
        <w:t>As</w:t>
      </w:r>
      <w:r>
        <w:rPr>
          <w:spacing w:val="-37"/>
        </w:rPr>
        <w:t> </w:t>
      </w:r>
      <w:r>
        <w:rPr/>
        <w:t>contas</w:t>
      </w:r>
      <w:r>
        <w:rPr>
          <w:spacing w:val="-37"/>
        </w:rPr>
        <w:t> </w:t>
      </w:r>
      <w:r>
        <w:rPr/>
        <w:t>a</w:t>
      </w:r>
      <w:r>
        <w:rPr>
          <w:spacing w:val="-36"/>
        </w:rPr>
        <w:t> </w:t>
      </w:r>
      <w:r>
        <w:rPr/>
        <w:t>pagar</w:t>
      </w:r>
      <w:r>
        <w:rPr>
          <w:spacing w:val="-37"/>
        </w:rPr>
        <w:t> </w:t>
      </w:r>
      <w:r>
        <w:rPr/>
        <w:t>aos</w:t>
      </w:r>
      <w:r>
        <w:rPr>
          <w:spacing w:val="-36"/>
        </w:rPr>
        <w:t> </w:t>
      </w:r>
      <w:r>
        <w:rPr/>
        <w:t>fornecedores</w:t>
      </w:r>
      <w:r>
        <w:rPr>
          <w:spacing w:val="-37"/>
        </w:rPr>
        <w:t> </w:t>
      </w:r>
      <w:r>
        <w:rPr/>
        <w:t>são</w:t>
      </w:r>
      <w:r>
        <w:rPr>
          <w:spacing w:val="-36"/>
        </w:rPr>
        <w:t> </w:t>
      </w:r>
      <w:r>
        <w:rPr/>
        <w:t>obrigações</w:t>
      </w:r>
      <w:r>
        <w:rPr>
          <w:spacing w:val="-37"/>
        </w:rPr>
        <w:t> </w:t>
      </w:r>
      <w:r>
        <w:rPr/>
        <w:t>a</w:t>
      </w:r>
      <w:r>
        <w:rPr>
          <w:spacing w:val="-36"/>
        </w:rPr>
        <w:t> </w:t>
      </w:r>
      <w:r>
        <w:rPr/>
        <w:t>pagar</w:t>
      </w:r>
      <w:r>
        <w:rPr>
          <w:spacing w:val="-38"/>
        </w:rPr>
        <w:t> </w:t>
      </w:r>
      <w:r>
        <w:rPr/>
        <w:t>por</w:t>
      </w:r>
      <w:r>
        <w:rPr>
          <w:spacing w:val="-36"/>
        </w:rPr>
        <w:t> </w:t>
      </w:r>
      <w:r>
        <w:rPr/>
        <w:t>bens</w:t>
      </w:r>
      <w:r>
        <w:rPr>
          <w:spacing w:val="-35"/>
        </w:rPr>
        <w:t> </w:t>
      </w:r>
      <w:r>
        <w:rPr/>
        <w:t>ou</w:t>
      </w:r>
      <w:r>
        <w:rPr>
          <w:spacing w:val="-37"/>
        </w:rPr>
        <w:t> </w:t>
      </w:r>
      <w:r>
        <w:rPr/>
        <w:t>serviços</w:t>
      </w:r>
      <w:r>
        <w:rPr>
          <w:spacing w:val="-36"/>
        </w:rPr>
        <w:t> </w:t>
      </w:r>
      <w:r>
        <w:rPr/>
        <w:t>que</w:t>
      </w:r>
      <w:r>
        <w:rPr>
          <w:spacing w:val="-38"/>
        </w:rPr>
        <w:t> </w:t>
      </w:r>
      <w:r>
        <w:rPr/>
        <w:t>foram</w:t>
      </w:r>
      <w:r>
        <w:rPr>
          <w:spacing w:val="-37"/>
        </w:rPr>
        <w:t> </w:t>
      </w:r>
      <w:r>
        <w:rPr/>
        <w:t>adquiridos</w:t>
      </w:r>
      <w:r>
        <w:rPr>
          <w:spacing w:val="-37"/>
        </w:rPr>
        <w:t> </w:t>
      </w:r>
      <w:r>
        <w:rPr/>
        <w:t>no</w:t>
      </w:r>
      <w:r>
        <w:rPr>
          <w:spacing w:val="-37"/>
        </w:rPr>
        <w:t> </w:t>
      </w:r>
      <w:r>
        <w:rPr/>
        <w:t>curso</w:t>
      </w:r>
      <w:r>
        <w:rPr>
          <w:spacing w:val="-36"/>
        </w:rPr>
        <w:t> </w:t>
      </w:r>
      <w:r>
        <w:rPr/>
        <w:t>normal dos</w:t>
      </w:r>
      <w:r>
        <w:rPr>
          <w:spacing w:val="-44"/>
        </w:rPr>
        <w:t> </w:t>
      </w:r>
      <w:r>
        <w:rPr/>
        <w:t>negócios,</w:t>
      </w:r>
      <w:r>
        <w:rPr>
          <w:spacing w:val="-43"/>
        </w:rPr>
        <w:t> </w:t>
      </w:r>
      <w:r>
        <w:rPr/>
        <w:t>sendo</w:t>
      </w:r>
      <w:r>
        <w:rPr>
          <w:spacing w:val="-44"/>
        </w:rPr>
        <w:t> </w:t>
      </w:r>
      <w:r>
        <w:rPr/>
        <w:t>classificadas</w:t>
      </w:r>
      <w:r>
        <w:rPr>
          <w:spacing w:val="-43"/>
        </w:rPr>
        <w:t> </w:t>
      </w:r>
      <w:r>
        <w:rPr/>
        <w:t>como</w:t>
      </w:r>
      <w:r>
        <w:rPr>
          <w:spacing w:val="-44"/>
        </w:rPr>
        <w:t> </w:t>
      </w:r>
      <w:r>
        <w:rPr/>
        <w:t>passivos</w:t>
      </w:r>
      <w:r>
        <w:rPr>
          <w:spacing w:val="-43"/>
        </w:rPr>
        <w:t> </w:t>
      </w:r>
      <w:r>
        <w:rPr/>
        <w:t>circulantes</w:t>
      </w:r>
      <w:r>
        <w:rPr>
          <w:spacing w:val="-44"/>
        </w:rPr>
        <w:t> </w:t>
      </w:r>
      <w:r>
        <w:rPr/>
        <w:t>se</w:t>
      </w:r>
      <w:r>
        <w:rPr>
          <w:spacing w:val="-44"/>
        </w:rPr>
        <w:t> </w:t>
      </w:r>
      <w:r>
        <w:rPr/>
        <w:t>o</w:t>
      </w:r>
      <w:r>
        <w:rPr>
          <w:spacing w:val="-44"/>
        </w:rPr>
        <w:t> </w:t>
      </w:r>
      <w:r>
        <w:rPr/>
        <w:t>pagamento</w:t>
      </w:r>
      <w:r>
        <w:rPr>
          <w:spacing w:val="-43"/>
        </w:rPr>
        <w:t> </w:t>
      </w:r>
      <w:r>
        <w:rPr/>
        <w:t>for</w:t>
      </w:r>
      <w:r>
        <w:rPr>
          <w:spacing w:val="-44"/>
        </w:rPr>
        <w:t> </w:t>
      </w:r>
      <w:r>
        <w:rPr/>
        <w:t>devido</w:t>
      </w:r>
      <w:r>
        <w:rPr>
          <w:spacing w:val="-42"/>
        </w:rPr>
        <w:t> </w:t>
      </w:r>
      <w:r>
        <w:rPr/>
        <w:t>no</w:t>
      </w:r>
      <w:r>
        <w:rPr>
          <w:spacing w:val="-44"/>
        </w:rPr>
        <w:t> </w:t>
      </w:r>
      <w:r>
        <w:rPr/>
        <w:t>período</w:t>
      </w:r>
      <w:r>
        <w:rPr>
          <w:spacing w:val="-44"/>
        </w:rPr>
        <w:t> </w:t>
      </w:r>
      <w:r>
        <w:rPr/>
        <w:t>de</w:t>
      </w:r>
      <w:r>
        <w:rPr>
          <w:spacing w:val="-44"/>
        </w:rPr>
        <w:t> </w:t>
      </w:r>
      <w:r>
        <w:rPr/>
        <w:t>até</w:t>
      </w:r>
      <w:r>
        <w:rPr>
          <w:spacing w:val="-44"/>
        </w:rPr>
        <w:t> </w:t>
      </w:r>
      <w:r>
        <w:rPr/>
        <w:t>um</w:t>
      </w:r>
      <w:r>
        <w:rPr>
          <w:spacing w:val="-44"/>
        </w:rPr>
        <w:t> </w:t>
      </w:r>
      <w:r>
        <w:rPr/>
        <w:t>ano.</w:t>
      </w:r>
      <w:r>
        <w:rPr>
          <w:spacing w:val="-44"/>
        </w:rPr>
        <w:t> </w:t>
      </w:r>
      <w:r>
        <w:rPr/>
        <w:t>Caso contrário,</w:t>
      </w:r>
      <w:r>
        <w:rPr>
          <w:spacing w:val="-21"/>
        </w:rPr>
        <w:t> </w:t>
      </w:r>
      <w:r>
        <w:rPr/>
        <w:t>as</w:t>
      </w:r>
      <w:r>
        <w:rPr>
          <w:spacing w:val="-20"/>
        </w:rPr>
        <w:t> </w:t>
      </w:r>
      <w:r>
        <w:rPr/>
        <w:t>contas</w:t>
      </w:r>
      <w:r>
        <w:rPr>
          <w:spacing w:val="-20"/>
        </w:rPr>
        <w:t> </w:t>
      </w:r>
      <w:r>
        <w:rPr/>
        <w:t>a</w:t>
      </w:r>
      <w:r>
        <w:rPr>
          <w:spacing w:val="-20"/>
        </w:rPr>
        <w:t> </w:t>
      </w:r>
      <w:r>
        <w:rPr/>
        <w:t>pagar</w:t>
      </w:r>
      <w:r>
        <w:rPr>
          <w:spacing w:val="-19"/>
        </w:rPr>
        <w:t> </w:t>
      </w:r>
      <w:r>
        <w:rPr/>
        <w:t>são</w:t>
      </w:r>
      <w:r>
        <w:rPr>
          <w:spacing w:val="-21"/>
        </w:rPr>
        <w:t> </w:t>
      </w:r>
      <w:r>
        <w:rPr/>
        <w:t>apresentadas</w:t>
      </w:r>
      <w:r>
        <w:rPr>
          <w:spacing w:val="-20"/>
        </w:rPr>
        <w:t> </w:t>
      </w:r>
      <w:r>
        <w:rPr/>
        <w:t>como</w:t>
      </w:r>
      <w:r>
        <w:rPr>
          <w:spacing w:val="-21"/>
        </w:rPr>
        <w:t> </w:t>
      </w:r>
      <w:r>
        <w:rPr/>
        <w:t>passivo</w:t>
      </w:r>
      <w:r>
        <w:rPr>
          <w:spacing w:val="-20"/>
        </w:rPr>
        <w:t> </w:t>
      </w:r>
      <w:r>
        <w:rPr/>
        <w:t>não</w:t>
      </w:r>
      <w:r>
        <w:rPr>
          <w:spacing w:val="-18"/>
        </w:rPr>
        <w:t> </w:t>
      </w:r>
      <w:r>
        <w:rPr/>
        <w:t>circulante.</w:t>
      </w:r>
    </w:p>
    <w:p>
      <w:pPr>
        <w:pStyle w:val="BodyText"/>
        <w:spacing w:before="5"/>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E</w:t>
      </w:r>
      <w:r>
        <w:rPr>
          <w:rFonts w:ascii="Caladea" w:hAnsi="Caladea"/>
          <w:b/>
          <w:sz w:val="18"/>
        </w:rPr>
        <w:t>MPRÉSTIMOS E</w:t>
      </w:r>
      <w:r>
        <w:rPr>
          <w:rFonts w:ascii="Caladea" w:hAnsi="Caladea"/>
          <w:b/>
          <w:spacing w:val="-1"/>
          <w:sz w:val="18"/>
        </w:rPr>
        <w:t> </w:t>
      </w:r>
      <w:r>
        <w:rPr>
          <w:rFonts w:ascii="Caladea" w:hAnsi="Caladea"/>
          <w:b/>
          <w:sz w:val="22"/>
        </w:rPr>
        <w:t>F</w:t>
      </w:r>
      <w:r>
        <w:rPr>
          <w:rFonts w:ascii="Caladea" w:hAnsi="Caladea"/>
          <w:b/>
          <w:sz w:val="18"/>
        </w:rPr>
        <w:t>INANCIAMENTOS</w:t>
      </w:r>
    </w:p>
    <w:p>
      <w:pPr>
        <w:pStyle w:val="BodyText"/>
        <w:rPr>
          <w:rFonts w:ascii="Caladea"/>
          <w:b/>
          <w:sz w:val="24"/>
        </w:rPr>
      </w:pPr>
    </w:p>
    <w:p>
      <w:pPr>
        <w:pStyle w:val="BodyText"/>
        <w:spacing w:line="242" w:lineRule="auto"/>
        <w:ind w:left="192" w:right="606"/>
        <w:jc w:val="both"/>
      </w:pPr>
      <w:r>
        <w:rPr/>
        <w:t>Os</w:t>
      </w:r>
      <w:r>
        <w:rPr>
          <w:spacing w:val="-33"/>
        </w:rPr>
        <w:t> </w:t>
      </w:r>
      <w:r>
        <w:rPr/>
        <w:t>empréstimos</w:t>
      </w:r>
      <w:r>
        <w:rPr>
          <w:spacing w:val="-31"/>
        </w:rPr>
        <w:t> </w:t>
      </w:r>
      <w:r>
        <w:rPr/>
        <w:t>e</w:t>
      </w:r>
      <w:r>
        <w:rPr>
          <w:spacing w:val="-32"/>
        </w:rPr>
        <w:t> </w:t>
      </w:r>
      <w:r>
        <w:rPr/>
        <w:t>financiamentos</w:t>
      </w:r>
      <w:r>
        <w:rPr>
          <w:spacing w:val="-31"/>
        </w:rPr>
        <w:t> </w:t>
      </w:r>
      <w:r>
        <w:rPr/>
        <w:t>são</w:t>
      </w:r>
      <w:r>
        <w:rPr>
          <w:spacing w:val="-32"/>
        </w:rPr>
        <w:t> </w:t>
      </w:r>
      <w:r>
        <w:rPr/>
        <w:t>reconhecidos,</w:t>
      </w:r>
      <w:r>
        <w:rPr>
          <w:spacing w:val="-33"/>
        </w:rPr>
        <w:t> </w:t>
      </w:r>
      <w:r>
        <w:rPr/>
        <w:t>inicialmente,</w:t>
      </w:r>
      <w:r>
        <w:rPr>
          <w:spacing w:val="-32"/>
        </w:rPr>
        <w:t> </w:t>
      </w:r>
      <w:r>
        <w:rPr/>
        <w:t>pelo</w:t>
      </w:r>
      <w:r>
        <w:rPr>
          <w:spacing w:val="-32"/>
        </w:rPr>
        <w:t> </w:t>
      </w:r>
      <w:r>
        <w:rPr/>
        <w:t>valor</w:t>
      </w:r>
      <w:r>
        <w:rPr>
          <w:spacing w:val="-31"/>
        </w:rPr>
        <w:t> </w:t>
      </w:r>
      <w:r>
        <w:rPr/>
        <w:t>justo,</w:t>
      </w:r>
      <w:r>
        <w:rPr>
          <w:spacing w:val="-32"/>
        </w:rPr>
        <w:t> </w:t>
      </w:r>
      <w:r>
        <w:rPr/>
        <w:t>líquido</w:t>
      </w:r>
      <w:r>
        <w:rPr>
          <w:spacing w:val="-30"/>
        </w:rPr>
        <w:t> </w:t>
      </w:r>
      <w:r>
        <w:rPr/>
        <w:t>dos</w:t>
      </w:r>
      <w:r>
        <w:rPr>
          <w:spacing w:val="-32"/>
        </w:rPr>
        <w:t> </w:t>
      </w:r>
      <w:r>
        <w:rPr/>
        <w:t>custos</w:t>
      </w:r>
      <w:r>
        <w:rPr>
          <w:spacing w:val="-32"/>
        </w:rPr>
        <w:t> </w:t>
      </w:r>
      <w:r>
        <w:rPr/>
        <w:t>incorridos</w:t>
      </w:r>
      <w:r>
        <w:rPr>
          <w:spacing w:val="-31"/>
        </w:rPr>
        <w:t> </w:t>
      </w:r>
      <w:r>
        <w:rPr/>
        <w:t>na transação</w:t>
      </w:r>
      <w:r>
        <w:rPr>
          <w:spacing w:val="-11"/>
        </w:rPr>
        <w:t> </w:t>
      </w:r>
      <w:r>
        <w:rPr/>
        <w:t>e</w:t>
      </w:r>
      <w:r>
        <w:rPr>
          <w:spacing w:val="-11"/>
        </w:rPr>
        <w:t> </w:t>
      </w:r>
      <w:r>
        <w:rPr/>
        <w:t>são,</w:t>
      </w:r>
      <w:r>
        <w:rPr>
          <w:spacing w:val="-10"/>
        </w:rPr>
        <w:t> </w:t>
      </w:r>
      <w:r>
        <w:rPr/>
        <w:t>subsequentemente,</w:t>
      </w:r>
      <w:r>
        <w:rPr>
          <w:spacing w:val="-9"/>
        </w:rPr>
        <w:t> </w:t>
      </w:r>
      <w:r>
        <w:rPr/>
        <w:t>demonstrados</w:t>
      </w:r>
      <w:r>
        <w:rPr>
          <w:spacing w:val="-9"/>
        </w:rPr>
        <w:t> </w:t>
      </w:r>
      <w:r>
        <w:rPr/>
        <w:t>pelo</w:t>
      </w:r>
      <w:r>
        <w:rPr>
          <w:spacing w:val="-10"/>
        </w:rPr>
        <w:t> </w:t>
      </w:r>
      <w:r>
        <w:rPr/>
        <w:t>custo</w:t>
      </w:r>
      <w:r>
        <w:rPr>
          <w:spacing w:val="-10"/>
        </w:rPr>
        <w:t> </w:t>
      </w:r>
      <w:r>
        <w:rPr/>
        <w:t>amortizado.</w:t>
      </w:r>
      <w:r>
        <w:rPr>
          <w:spacing w:val="-9"/>
        </w:rPr>
        <w:t> </w:t>
      </w:r>
      <w:r>
        <w:rPr/>
        <w:t>Qualquer</w:t>
      </w:r>
      <w:r>
        <w:rPr>
          <w:spacing w:val="-9"/>
        </w:rPr>
        <w:t> </w:t>
      </w:r>
      <w:r>
        <w:rPr/>
        <w:t>diferença</w:t>
      </w:r>
      <w:r>
        <w:rPr>
          <w:spacing w:val="-8"/>
        </w:rPr>
        <w:t> </w:t>
      </w:r>
      <w:r>
        <w:rPr/>
        <w:t>entre</w:t>
      </w:r>
      <w:r>
        <w:rPr>
          <w:spacing w:val="-10"/>
        </w:rPr>
        <w:t> </w:t>
      </w:r>
      <w:r>
        <w:rPr/>
        <w:t>os</w:t>
      </w:r>
      <w:r>
        <w:rPr>
          <w:spacing w:val="-2"/>
        </w:rPr>
        <w:t> </w:t>
      </w:r>
      <w:r>
        <w:rPr/>
        <w:t>valores captados</w:t>
      </w:r>
      <w:r>
        <w:rPr>
          <w:spacing w:val="-10"/>
        </w:rPr>
        <w:t> </w:t>
      </w:r>
      <w:r>
        <w:rPr/>
        <w:t>(líquidos</w:t>
      </w:r>
      <w:r>
        <w:rPr>
          <w:spacing w:val="-8"/>
        </w:rPr>
        <w:t> </w:t>
      </w:r>
      <w:r>
        <w:rPr/>
        <w:t>dos</w:t>
      </w:r>
      <w:r>
        <w:rPr>
          <w:spacing w:val="-10"/>
        </w:rPr>
        <w:t> </w:t>
      </w:r>
      <w:r>
        <w:rPr/>
        <w:t>custos</w:t>
      </w:r>
      <w:r>
        <w:rPr>
          <w:spacing w:val="-10"/>
        </w:rPr>
        <w:t> </w:t>
      </w:r>
      <w:r>
        <w:rPr/>
        <w:t>da</w:t>
      </w:r>
      <w:r>
        <w:rPr>
          <w:spacing w:val="-9"/>
        </w:rPr>
        <w:t> </w:t>
      </w:r>
      <w:r>
        <w:rPr/>
        <w:t>transação)</w:t>
      </w:r>
      <w:r>
        <w:rPr>
          <w:spacing w:val="-10"/>
        </w:rPr>
        <w:t> </w:t>
      </w:r>
      <w:r>
        <w:rPr/>
        <w:t>e</w:t>
      </w:r>
      <w:r>
        <w:rPr>
          <w:spacing w:val="-11"/>
        </w:rPr>
        <w:t> </w:t>
      </w:r>
      <w:r>
        <w:rPr/>
        <w:t>o</w:t>
      </w:r>
      <w:r>
        <w:rPr>
          <w:spacing w:val="-8"/>
        </w:rPr>
        <w:t> </w:t>
      </w:r>
      <w:r>
        <w:rPr/>
        <w:t>valor</w:t>
      </w:r>
      <w:r>
        <w:rPr>
          <w:spacing w:val="-11"/>
        </w:rPr>
        <w:t> </w:t>
      </w:r>
      <w:r>
        <w:rPr/>
        <w:t>total</w:t>
      </w:r>
      <w:r>
        <w:rPr>
          <w:spacing w:val="-9"/>
        </w:rPr>
        <w:t> </w:t>
      </w:r>
      <w:r>
        <w:rPr/>
        <w:t>a</w:t>
      </w:r>
      <w:r>
        <w:rPr>
          <w:spacing w:val="-9"/>
        </w:rPr>
        <w:t> </w:t>
      </w:r>
      <w:r>
        <w:rPr/>
        <w:t>pagar</w:t>
      </w:r>
      <w:r>
        <w:rPr>
          <w:spacing w:val="-9"/>
        </w:rPr>
        <w:t> </w:t>
      </w:r>
      <w:r>
        <w:rPr/>
        <w:t>é</w:t>
      </w:r>
      <w:r>
        <w:rPr>
          <w:spacing w:val="-11"/>
        </w:rPr>
        <w:t> </w:t>
      </w:r>
      <w:r>
        <w:rPr/>
        <w:t>reconhecida na</w:t>
      </w:r>
      <w:r>
        <w:rPr>
          <w:spacing w:val="-9"/>
        </w:rPr>
        <w:t> </w:t>
      </w:r>
      <w:r>
        <w:rPr/>
        <w:t>demonstração</w:t>
      </w:r>
      <w:r>
        <w:rPr>
          <w:spacing w:val="-10"/>
        </w:rPr>
        <w:t> </w:t>
      </w:r>
      <w:r>
        <w:rPr/>
        <w:t>do</w:t>
      </w:r>
      <w:r>
        <w:rPr>
          <w:spacing w:val="-9"/>
        </w:rPr>
        <w:t> </w:t>
      </w:r>
      <w:r>
        <w:rPr/>
        <w:t>resultado durante</w:t>
      </w:r>
      <w:r>
        <w:rPr>
          <w:spacing w:val="-23"/>
        </w:rPr>
        <w:t> </w:t>
      </w:r>
      <w:r>
        <w:rPr/>
        <w:t>o</w:t>
      </w:r>
      <w:r>
        <w:rPr>
          <w:spacing w:val="-20"/>
        </w:rPr>
        <w:t> </w:t>
      </w:r>
      <w:r>
        <w:rPr/>
        <w:t>período</w:t>
      </w:r>
      <w:r>
        <w:rPr>
          <w:spacing w:val="-20"/>
        </w:rPr>
        <w:t> </w:t>
      </w:r>
      <w:r>
        <w:rPr/>
        <w:t>em</w:t>
      </w:r>
      <w:r>
        <w:rPr>
          <w:spacing w:val="-20"/>
        </w:rPr>
        <w:t> </w:t>
      </w:r>
      <w:r>
        <w:rPr/>
        <w:t>que</w:t>
      </w:r>
      <w:r>
        <w:rPr>
          <w:spacing w:val="-19"/>
        </w:rPr>
        <w:t> </w:t>
      </w:r>
      <w:r>
        <w:rPr/>
        <w:t>os</w:t>
      </w:r>
      <w:r>
        <w:rPr>
          <w:spacing w:val="-21"/>
        </w:rPr>
        <w:t> </w:t>
      </w:r>
      <w:r>
        <w:rPr/>
        <w:t>empréstimos</w:t>
      </w:r>
      <w:r>
        <w:rPr>
          <w:spacing w:val="-19"/>
        </w:rPr>
        <w:t> </w:t>
      </w:r>
      <w:r>
        <w:rPr/>
        <w:t>estejam</w:t>
      </w:r>
      <w:r>
        <w:rPr>
          <w:spacing w:val="-21"/>
        </w:rPr>
        <w:t> </w:t>
      </w:r>
      <w:r>
        <w:rPr/>
        <w:t>em</w:t>
      </w:r>
      <w:r>
        <w:rPr>
          <w:spacing w:val="-20"/>
        </w:rPr>
        <w:t> </w:t>
      </w:r>
      <w:r>
        <w:rPr/>
        <w:t>aberto,</w:t>
      </w:r>
      <w:r>
        <w:rPr>
          <w:spacing w:val="-20"/>
        </w:rPr>
        <w:t> </w:t>
      </w:r>
      <w:r>
        <w:rPr/>
        <w:t>utilizando</w:t>
      </w:r>
      <w:r>
        <w:rPr>
          <w:spacing w:val="-21"/>
        </w:rPr>
        <w:t> </w:t>
      </w:r>
      <w:r>
        <w:rPr/>
        <w:t>o</w:t>
      </w:r>
      <w:r>
        <w:rPr>
          <w:spacing w:val="-20"/>
        </w:rPr>
        <w:t> </w:t>
      </w:r>
      <w:r>
        <w:rPr/>
        <w:t>método</w:t>
      </w:r>
      <w:r>
        <w:rPr>
          <w:spacing w:val="-21"/>
        </w:rPr>
        <w:t> </w:t>
      </w:r>
      <w:r>
        <w:rPr/>
        <w:t>da</w:t>
      </w:r>
      <w:r>
        <w:rPr>
          <w:spacing w:val="-21"/>
        </w:rPr>
        <w:t> </w:t>
      </w:r>
      <w:r>
        <w:rPr/>
        <w:t>taxa</w:t>
      </w:r>
      <w:r>
        <w:rPr>
          <w:spacing w:val="-19"/>
        </w:rPr>
        <w:t> </w:t>
      </w:r>
      <w:r>
        <w:rPr/>
        <w:t>efetiva</w:t>
      </w:r>
      <w:r>
        <w:rPr>
          <w:spacing w:val="-21"/>
        </w:rPr>
        <w:t> </w:t>
      </w:r>
      <w:r>
        <w:rPr/>
        <w:t>de</w:t>
      </w:r>
      <w:r>
        <w:rPr>
          <w:spacing w:val="-21"/>
        </w:rPr>
        <w:t> </w:t>
      </w:r>
      <w:r>
        <w:rPr/>
        <w:t>juros</w:t>
      </w:r>
      <w:r>
        <w:rPr>
          <w:spacing w:val="-10"/>
        </w:rPr>
        <w:t> </w:t>
      </w:r>
      <w:r>
        <w:rPr/>
        <w:t>(Nota Explicativa nº</w:t>
      </w:r>
      <w:r>
        <w:rPr>
          <w:spacing w:val="-34"/>
        </w:rPr>
        <w:t> </w:t>
      </w:r>
      <w:r>
        <w:rPr/>
        <w:t>22).</w:t>
      </w:r>
    </w:p>
    <w:p>
      <w:pPr>
        <w:pStyle w:val="BodyText"/>
        <w:spacing w:before="100"/>
        <w:ind w:left="192" w:right="608"/>
        <w:jc w:val="both"/>
      </w:pPr>
      <w:r>
        <w:rPr/>
        <w:t>Os</w:t>
      </w:r>
      <w:r>
        <w:rPr>
          <w:spacing w:val="-30"/>
        </w:rPr>
        <w:t> </w:t>
      </w:r>
      <w:r>
        <w:rPr/>
        <w:t>empréstimos</w:t>
      </w:r>
      <w:r>
        <w:rPr>
          <w:spacing w:val="-27"/>
        </w:rPr>
        <w:t> </w:t>
      </w:r>
      <w:r>
        <w:rPr/>
        <w:t>e</w:t>
      </w:r>
      <w:r>
        <w:rPr>
          <w:spacing w:val="-30"/>
        </w:rPr>
        <w:t> </w:t>
      </w:r>
      <w:r>
        <w:rPr/>
        <w:t>financiamentos</w:t>
      </w:r>
      <w:r>
        <w:rPr>
          <w:spacing w:val="-29"/>
        </w:rPr>
        <w:t> </w:t>
      </w:r>
      <w:r>
        <w:rPr/>
        <w:t>são</w:t>
      </w:r>
      <w:r>
        <w:rPr>
          <w:spacing w:val="-29"/>
        </w:rPr>
        <w:t> </w:t>
      </w:r>
      <w:r>
        <w:rPr/>
        <w:t>classificados</w:t>
      </w:r>
      <w:r>
        <w:rPr>
          <w:spacing w:val="-30"/>
        </w:rPr>
        <w:t> </w:t>
      </w:r>
      <w:r>
        <w:rPr/>
        <w:t>como</w:t>
      </w:r>
      <w:r>
        <w:rPr>
          <w:spacing w:val="-29"/>
        </w:rPr>
        <w:t> </w:t>
      </w:r>
      <w:r>
        <w:rPr/>
        <w:t>passivo</w:t>
      </w:r>
      <w:r>
        <w:rPr>
          <w:spacing w:val="-29"/>
        </w:rPr>
        <w:t> </w:t>
      </w:r>
      <w:r>
        <w:rPr/>
        <w:t>circulante,</w:t>
      </w:r>
      <w:r>
        <w:rPr>
          <w:spacing w:val="-29"/>
        </w:rPr>
        <w:t> </w:t>
      </w:r>
      <w:r>
        <w:rPr/>
        <w:t>a</w:t>
      </w:r>
      <w:r>
        <w:rPr>
          <w:spacing w:val="-29"/>
        </w:rPr>
        <w:t> </w:t>
      </w:r>
      <w:r>
        <w:rPr/>
        <w:t>menos</w:t>
      </w:r>
      <w:r>
        <w:rPr>
          <w:spacing w:val="-29"/>
        </w:rPr>
        <w:t> </w:t>
      </w:r>
      <w:r>
        <w:rPr/>
        <w:t>que</w:t>
      </w:r>
      <w:r>
        <w:rPr>
          <w:spacing w:val="-30"/>
        </w:rPr>
        <w:t> </w:t>
      </w:r>
      <w:r>
        <w:rPr/>
        <w:t>o</w:t>
      </w:r>
      <w:r>
        <w:rPr>
          <w:spacing w:val="-29"/>
        </w:rPr>
        <w:t> </w:t>
      </w:r>
      <w:r>
        <w:rPr/>
        <w:t>Grupo</w:t>
      </w:r>
      <w:r>
        <w:rPr>
          <w:spacing w:val="-28"/>
        </w:rPr>
        <w:t> </w:t>
      </w:r>
      <w:r>
        <w:rPr>
          <w:spacing w:val="2"/>
        </w:rPr>
        <w:t>tenha</w:t>
      </w:r>
      <w:r>
        <w:rPr>
          <w:spacing w:val="-29"/>
        </w:rPr>
        <w:t> </w:t>
      </w:r>
      <w:r>
        <w:rPr/>
        <w:t>um</w:t>
      </w:r>
      <w:r>
        <w:rPr>
          <w:spacing w:val="-29"/>
        </w:rPr>
        <w:t> </w:t>
      </w:r>
      <w:r>
        <w:rPr/>
        <w:t>direito incondicional</w:t>
      </w:r>
      <w:r>
        <w:rPr>
          <w:spacing w:val="-24"/>
        </w:rPr>
        <w:t> </w:t>
      </w:r>
      <w:r>
        <w:rPr/>
        <w:t>de</w:t>
      </w:r>
      <w:r>
        <w:rPr>
          <w:spacing w:val="-25"/>
        </w:rPr>
        <w:t> </w:t>
      </w:r>
      <w:r>
        <w:rPr/>
        <w:t>diferir</w:t>
      </w:r>
      <w:r>
        <w:rPr>
          <w:spacing w:val="-22"/>
        </w:rPr>
        <w:t> </w:t>
      </w:r>
      <w:r>
        <w:rPr/>
        <w:t>a</w:t>
      </w:r>
      <w:r>
        <w:rPr>
          <w:spacing w:val="-23"/>
        </w:rPr>
        <w:t> </w:t>
      </w:r>
      <w:r>
        <w:rPr/>
        <w:t>liquidação</w:t>
      </w:r>
      <w:r>
        <w:rPr>
          <w:spacing w:val="-24"/>
        </w:rPr>
        <w:t> </w:t>
      </w:r>
      <w:r>
        <w:rPr/>
        <w:t>do</w:t>
      </w:r>
      <w:r>
        <w:rPr>
          <w:spacing w:val="-24"/>
        </w:rPr>
        <w:t> </w:t>
      </w:r>
      <w:r>
        <w:rPr/>
        <w:t>passivo</w:t>
      </w:r>
      <w:r>
        <w:rPr>
          <w:spacing w:val="-22"/>
        </w:rPr>
        <w:t> </w:t>
      </w:r>
      <w:r>
        <w:rPr/>
        <w:t>por,</w:t>
      </w:r>
      <w:r>
        <w:rPr>
          <w:spacing w:val="-21"/>
        </w:rPr>
        <w:t> </w:t>
      </w:r>
      <w:r>
        <w:rPr/>
        <w:t>pelo</w:t>
      </w:r>
      <w:r>
        <w:rPr>
          <w:spacing w:val="-22"/>
        </w:rPr>
        <w:t> </w:t>
      </w:r>
      <w:r>
        <w:rPr/>
        <w:t>menos,</w:t>
      </w:r>
      <w:r>
        <w:rPr>
          <w:spacing w:val="-23"/>
        </w:rPr>
        <w:t> </w:t>
      </w:r>
      <w:r>
        <w:rPr/>
        <w:t>12</w:t>
      </w:r>
      <w:r>
        <w:rPr>
          <w:spacing w:val="-23"/>
        </w:rPr>
        <w:t> </w:t>
      </w:r>
      <w:r>
        <w:rPr/>
        <w:t>meses</w:t>
      </w:r>
      <w:r>
        <w:rPr>
          <w:spacing w:val="-21"/>
        </w:rPr>
        <w:t> </w:t>
      </w:r>
      <w:r>
        <w:rPr/>
        <w:t>após</w:t>
      </w:r>
      <w:r>
        <w:rPr>
          <w:spacing w:val="-23"/>
        </w:rPr>
        <w:t> </w:t>
      </w:r>
      <w:r>
        <w:rPr/>
        <w:t>a</w:t>
      </w:r>
      <w:r>
        <w:rPr>
          <w:spacing w:val="-23"/>
        </w:rPr>
        <w:t> </w:t>
      </w:r>
      <w:r>
        <w:rPr/>
        <w:t>data</w:t>
      </w:r>
      <w:r>
        <w:rPr>
          <w:spacing w:val="-24"/>
        </w:rPr>
        <w:t> </w:t>
      </w:r>
      <w:r>
        <w:rPr/>
        <w:t>do</w:t>
      </w:r>
      <w:r>
        <w:rPr>
          <w:spacing w:val="-24"/>
        </w:rPr>
        <w:t> </w:t>
      </w:r>
      <w:r>
        <w:rPr/>
        <w:t>balanço.</w:t>
      </w:r>
    </w:p>
    <w:p>
      <w:pPr>
        <w:pStyle w:val="BodyText"/>
        <w:spacing w:before="9"/>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O</w:t>
      </w:r>
      <w:r>
        <w:rPr>
          <w:rFonts w:ascii="Caladea" w:hAnsi="Caladea"/>
          <w:b/>
          <w:sz w:val="18"/>
        </w:rPr>
        <w:t>BRIGAÇÕES</w:t>
      </w:r>
      <w:r>
        <w:rPr>
          <w:rFonts w:ascii="Caladea" w:hAnsi="Caladea"/>
          <w:b/>
          <w:spacing w:val="-1"/>
          <w:sz w:val="18"/>
        </w:rPr>
        <w:t> </w:t>
      </w:r>
      <w:r>
        <w:rPr>
          <w:rFonts w:ascii="Caladea" w:hAnsi="Caladea"/>
          <w:b/>
          <w:sz w:val="22"/>
        </w:rPr>
        <w:t>T</w:t>
      </w:r>
      <w:r>
        <w:rPr>
          <w:rFonts w:ascii="Caladea" w:hAnsi="Caladea"/>
          <w:b/>
          <w:sz w:val="18"/>
        </w:rPr>
        <w:t>RIBUTÁRIAS</w:t>
      </w:r>
    </w:p>
    <w:p>
      <w:pPr>
        <w:pStyle w:val="BodyText"/>
        <w:spacing w:before="1"/>
        <w:rPr>
          <w:rFonts w:ascii="Caladea"/>
          <w:b/>
          <w:sz w:val="24"/>
        </w:rPr>
      </w:pPr>
    </w:p>
    <w:p>
      <w:pPr>
        <w:pStyle w:val="BodyText"/>
        <w:spacing w:line="242" w:lineRule="auto"/>
        <w:ind w:left="192" w:right="610"/>
        <w:jc w:val="both"/>
      </w:pPr>
      <w:r>
        <w:rPr/>
        <w:t>A</w:t>
      </w:r>
      <w:r>
        <w:rPr>
          <w:spacing w:val="-17"/>
        </w:rPr>
        <w:t> </w:t>
      </w:r>
      <w:r>
        <w:rPr/>
        <w:t>despesa</w:t>
      </w:r>
      <w:r>
        <w:rPr>
          <w:spacing w:val="-17"/>
        </w:rPr>
        <w:t> </w:t>
      </w:r>
      <w:r>
        <w:rPr/>
        <w:t>com</w:t>
      </w:r>
      <w:r>
        <w:rPr>
          <w:spacing w:val="-18"/>
        </w:rPr>
        <w:t> </w:t>
      </w:r>
      <w:r>
        <w:rPr/>
        <w:t>imposto</w:t>
      </w:r>
      <w:r>
        <w:rPr>
          <w:spacing w:val="-15"/>
        </w:rPr>
        <w:t> </w:t>
      </w:r>
      <w:r>
        <w:rPr/>
        <w:t>de</w:t>
      </w:r>
      <w:r>
        <w:rPr>
          <w:spacing w:val="-17"/>
        </w:rPr>
        <w:t> </w:t>
      </w:r>
      <w:r>
        <w:rPr/>
        <w:t>renda</w:t>
      </w:r>
      <w:r>
        <w:rPr>
          <w:spacing w:val="-17"/>
        </w:rPr>
        <w:t> </w:t>
      </w:r>
      <w:r>
        <w:rPr/>
        <w:t>e</w:t>
      </w:r>
      <w:r>
        <w:rPr>
          <w:spacing w:val="-18"/>
        </w:rPr>
        <w:t> </w:t>
      </w:r>
      <w:r>
        <w:rPr/>
        <w:t>contribuição</w:t>
      </w:r>
      <w:r>
        <w:rPr>
          <w:spacing w:val="-18"/>
        </w:rPr>
        <w:t> </w:t>
      </w:r>
      <w:r>
        <w:rPr/>
        <w:t>social</w:t>
      </w:r>
      <w:r>
        <w:rPr>
          <w:spacing w:val="-16"/>
        </w:rPr>
        <w:t> </w:t>
      </w:r>
      <w:r>
        <w:rPr/>
        <w:t>compreende</w:t>
      </w:r>
      <w:r>
        <w:rPr>
          <w:spacing w:val="-19"/>
        </w:rPr>
        <w:t> </w:t>
      </w:r>
      <w:r>
        <w:rPr/>
        <w:t>os</w:t>
      </w:r>
      <w:r>
        <w:rPr>
          <w:spacing w:val="-17"/>
        </w:rPr>
        <w:t> </w:t>
      </w:r>
      <w:r>
        <w:rPr/>
        <w:t>impostos</w:t>
      </w:r>
      <w:r>
        <w:rPr>
          <w:spacing w:val="-15"/>
        </w:rPr>
        <w:t> </w:t>
      </w:r>
      <w:r>
        <w:rPr/>
        <w:t>de</w:t>
      </w:r>
      <w:r>
        <w:rPr>
          <w:spacing w:val="-17"/>
        </w:rPr>
        <w:t> </w:t>
      </w:r>
      <w:r>
        <w:rPr/>
        <w:t>renda</w:t>
      </w:r>
      <w:r>
        <w:rPr>
          <w:spacing w:val="-17"/>
        </w:rPr>
        <w:t> </w:t>
      </w:r>
      <w:r>
        <w:rPr/>
        <w:t>correntes</w:t>
      </w:r>
      <w:r>
        <w:rPr>
          <w:spacing w:val="-16"/>
        </w:rPr>
        <w:t> </w:t>
      </w:r>
      <w:r>
        <w:rPr/>
        <w:t>e</w:t>
      </w:r>
      <w:r>
        <w:rPr>
          <w:spacing w:val="-17"/>
        </w:rPr>
        <w:t> </w:t>
      </w:r>
      <w:r>
        <w:rPr/>
        <w:t>diferidos.</w:t>
      </w:r>
      <w:r>
        <w:rPr>
          <w:spacing w:val="-18"/>
        </w:rPr>
        <w:t> </w:t>
      </w:r>
      <w:r>
        <w:rPr/>
        <w:t>O </w:t>
      </w:r>
      <w:r>
        <w:rPr>
          <w:w w:val="95"/>
        </w:rPr>
        <w:t>imposto</w:t>
      </w:r>
      <w:r>
        <w:rPr>
          <w:spacing w:val="-20"/>
          <w:w w:val="95"/>
        </w:rPr>
        <w:t> </w:t>
      </w:r>
      <w:r>
        <w:rPr>
          <w:w w:val="95"/>
        </w:rPr>
        <w:t>corrente</w:t>
      </w:r>
      <w:r>
        <w:rPr>
          <w:spacing w:val="-18"/>
          <w:w w:val="95"/>
        </w:rPr>
        <w:t> </w:t>
      </w:r>
      <w:r>
        <w:rPr>
          <w:w w:val="95"/>
        </w:rPr>
        <w:t>e</w:t>
      </w:r>
      <w:r>
        <w:rPr>
          <w:spacing w:val="-20"/>
          <w:w w:val="95"/>
        </w:rPr>
        <w:t> </w:t>
      </w:r>
      <w:r>
        <w:rPr>
          <w:w w:val="95"/>
        </w:rPr>
        <w:t>o</w:t>
      </w:r>
      <w:r>
        <w:rPr>
          <w:spacing w:val="-19"/>
          <w:w w:val="95"/>
        </w:rPr>
        <w:t> </w:t>
      </w:r>
      <w:r>
        <w:rPr>
          <w:w w:val="95"/>
        </w:rPr>
        <w:t>imposto</w:t>
      </w:r>
      <w:r>
        <w:rPr>
          <w:spacing w:val="-19"/>
          <w:w w:val="95"/>
        </w:rPr>
        <w:t> </w:t>
      </w:r>
      <w:r>
        <w:rPr>
          <w:w w:val="95"/>
        </w:rPr>
        <w:t>diferido</w:t>
      </w:r>
      <w:r>
        <w:rPr>
          <w:spacing w:val="-19"/>
          <w:w w:val="95"/>
        </w:rPr>
        <w:t> </w:t>
      </w:r>
      <w:r>
        <w:rPr>
          <w:w w:val="95"/>
        </w:rPr>
        <w:t>são</w:t>
      </w:r>
      <w:r>
        <w:rPr>
          <w:spacing w:val="-19"/>
          <w:w w:val="95"/>
        </w:rPr>
        <w:t> </w:t>
      </w:r>
      <w:r>
        <w:rPr>
          <w:w w:val="95"/>
        </w:rPr>
        <w:t>reconhecidos</w:t>
      </w:r>
      <w:r>
        <w:rPr>
          <w:spacing w:val="-16"/>
          <w:w w:val="95"/>
        </w:rPr>
        <w:t> </w:t>
      </w:r>
      <w:r>
        <w:rPr>
          <w:w w:val="95"/>
        </w:rPr>
        <w:t>no</w:t>
      </w:r>
      <w:r>
        <w:rPr>
          <w:spacing w:val="-19"/>
          <w:w w:val="95"/>
        </w:rPr>
        <w:t> </w:t>
      </w:r>
      <w:r>
        <w:rPr>
          <w:w w:val="95"/>
        </w:rPr>
        <w:t>resultado,</w:t>
      </w:r>
      <w:r>
        <w:rPr>
          <w:spacing w:val="-19"/>
          <w:w w:val="95"/>
        </w:rPr>
        <w:t> </w:t>
      </w:r>
      <w:r>
        <w:rPr>
          <w:w w:val="95"/>
        </w:rPr>
        <w:t>a</w:t>
      </w:r>
      <w:r>
        <w:rPr>
          <w:spacing w:val="-18"/>
          <w:w w:val="95"/>
        </w:rPr>
        <w:t> </w:t>
      </w:r>
      <w:r>
        <w:rPr>
          <w:w w:val="95"/>
        </w:rPr>
        <w:t>menos</w:t>
      </w:r>
      <w:r>
        <w:rPr>
          <w:spacing w:val="-18"/>
          <w:w w:val="95"/>
        </w:rPr>
        <w:t> </w:t>
      </w:r>
      <w:r>
        <w:rPr>
          <w:w w:val="95"/>
        </w:rPr>
        <w:t>que</w:t>
      </w:r>
      <w:r>
        <w:rPr>
          <w:spacing w:val="-18"/>
          <w:w w:val="95"/>
        </w:rPr>
        <w:t> </w:t>
      </w:r>
      <w:r>
        <w:rPr>
          <w:w w:val="95"/>
        </w:rPr>
        <w:t>estejam</w:t>
      </w:r>
      <w:r>
        <w:rPr>
          <w:spacing w:val="-19"/>
          <w:w w:val="95"/>
        </w:rPr>
        <w:t> </w:t>
      </w:r>
      <w:r>
        <w:rPr>
          <w:w w:val="95"/>
        </w:rPr>
        <w:t>relacionados</w:t>
      </w:r>
      <w:r>
        <w:rPr>
          <w:spacing w:val="-19"/>
          <w:w w:val="95"/>
        </w:rPr>
        <w:t> </w:t>
      </w:r>
      <w:r>
        <w:rPr>
          <w:w w:val="95"/>
        </w:rPr>
        <w:t>à</w:t>
      </w:r>
      <w:r>
        <w:rPr>
          <w:spacing w:val="-18"/>
          <w:w w:val="95"/>
        </w:rPr>
        <w:t> </w:t>
      </w:r>
      <w:r>
        <w:rPr>
          <w:w w:val="95"/>
        </w:rPr>
        <w:t>combinação </w:t>
      </w:r>
      <w:r>
        <w:rPr/>
        <w:t>de</w:t>
      </w:r>
      <w:r>
        <w:rPr>
          <w:spacing w:val="-29"/>
        </w:rPr>
        <w:t> </w:t>
      </w:r>
      <w:r>
        <w:rPr/>
        <w:t>negócios,</w:t>
      </w:r>
      <w:r>
        <w:rPr>
          <w:spacing w:val="-29"/>
        </w:rPr>
        <w:t> </w:t>
      </w:r>
      <w:r>
        <w:rPr/>
        <w:t>ou</w:t>
      </w:r>
      <w:r>
        <w:rPr>
          <w:spacing w:val="-27"/>
        </w:rPr>
        <w:t> </w:t>
      </w:r>
      <w:r>
        <w:rPr/>
        <w:t>itens</w:t>
      </w:r>
      <w:r>
        <w:rPr>
          <w:spacing w:val="-27"/>
        </w:rPr>
        <w:t> </w:t>
      </w:r>
      <w:r>
        <w:rPr/>
        <w:t>diretamente</w:t>
      </w:r>
      <w:r>
        <w:rPr>
          <w:spacing w:val="-29"/>
        </w:rPr>
        <w:t> </w:t>
      </w:r>
      <w:r>
        <w:rPr/>
        <w:t>reconhecidos</w:t>
      </w:r>
      <w:r>
        <w:rPr>
          <w:spacing w:val="-27"/>
        </w:rPr>
        <w:t> </w:t>
      </w:r>
      <w:r>
        <w:rPr/>
        <w:t>no</w:t>
      </w:r>
      <w:r>
        <w:rPr>
          <w:spacing w:val="-28"/>
        </w:rPr>
        <w:t> </w:t>
      </w:r>
      <w:r>
        <w:rPr/>
        <w:t>patrimônio</w:t>
      </w:r>
      <w:r>
        <w:rPr>
          <w:spacing w:val="-28"/>
        </w:rPr>
        <w:t> </w:t>
      </w:r>
      <w:r>
        <w:rPr/>
        <w:t>líquido</w:t>
      </w:r>
      <w:r>
        <w:rPr>
          <w:spacing w:val="-29"/>
        </w:rPr>
        <w:t> </w:t>
      </w:r>
      <w:r>
        <w:rPr/>
        <w:t>ou</w:t>
      </w:r>
      <w:r>
        <w:rPr>
          <w:spacing w:val="-27"/>
        </w:rPr>
        <w:t> </w:t>
      </w:r>
      <w:r>
        <w:rPr/>
        <w:t>em</w:t>
      </w:r>
      <w:r>
        <w:rPr>
          <w:spacing w:val="-30"/>
        </w:rPr>
        <w:t> </w:t>
      </w:r>
      <w:r>
        <w:rPr/>
        <w:t>outros</w:t>
      </w:r>
      <w:r>
        <w:rPr>
          <w:spacing w:val="-27"/>
        </w:rPr>
        <w:t> </w:t>
      </w:r>
      <w:r>
        <w:rPr/>
        <w:t>resultados</w:t>
      </w:r>
      <w:r>
        <w:rPr>
          <w:spacing w:val="-29"/>
        </w:rPr>
        <w:t> </w:t>
      </w:r>
      <w:r>
        <w:rPr/>
        <w:t>abrangentes.</w:t>
      </w:r>
    </w:p>
    <w:p>
      <w:pPr>
        <w:pStyle w:val="BodyText"/>
        <w:spacing w:before="7"/>
      </w:pPr>
    </w:p>
    <w:p>
      <w:pPr>
        <w:pStyle w:val="BodyText"/>
        <w:spacing w:line="242" w:lineRule="auto"/>
        <w:ind w:left="192" w:right="615"/>
        <w:jc w:val="both"/>
      </w:pPr>
      <w:r>
        <w:rPr/>
        <w:t>O</w:t>
      </w:r>
      <w:r>
        <w:rPr>
          <w:spacing w:val="-9"/>
        </w:rPr>
        <w:t> </w:t>
      </w:r>
      <w:r>
        <w:rPr/>
        <w:t>imposto</w:t>
      </w:r>
      <w:r>
        <w:rPr>
          <w:spacing w:val="-6"/>
        </w:rPr>
        <w:t> </w:t>
      </w:r>
      <w:r>
        <w:rPr/>
        <w:t>corrente</w:t>
      </w:r>
      <w:r>
        <w:rPr>
          <w:spacing w:val="-6"/>
        </w:rPr>
        <w:t> </w:t>
      </w:r>
      <w:r>
        <w:rPr/>
        <w:t>é</w:t>
      </w:r>
      <w:r>
        <w:rPr>
          <w:spacing w:val="-9"/>
        </w:rPr>
        <w:t> </w:t>
      </w:r>
      <w:r>
        <w:rPr/>
        <w:t>o</w:t>
      </w:r>
      <w:r>
        <w:rPr>
          <w:spacing w:val="-5"/>
        </w:rPr>
        <w:t> </w:t>
      </w:r>
      <w:r>
        <w:rPr/>
        <w:t>imposto</w:t>
      </w:r>
      <w:r>
        <w:rPr>
          <w:spacing w:val="-8"/>
        </w:rPr>
        <w:t> </w:t>
      </w:r>
      <w:r>
        <w:rPr/>
        <w:t>a</w:t>
      </w:r>
      <w:r>
        <w:rPr>
          <w:spacing w:val="-5"/>
        </w:rPr>
        <w:t> </w:t>
      </w:r>
      <w:r>
        <w:rPr/>
        <w:t>pagar</w:t>
      </w:r>
      <w:r>
        <w:rPr>
          <w:spacing w:val="-8"/>
        </w:rPr>
        <w:t> </w:t>
      </w:r>
      <w:r>
        <w:rPr/>
        <w:t>ou</w:t>
      </w:r>
      <w:r>
        <w:rPr>
          <w:spacing w:val="-6"/>
        </w:rPr>
        <w:t> </w:t>
      </w:r>
      <w:r>
        <w:rPr/>
        <w:t>a</w:t>
      </w:r>
      <w:r>
        <w:rPr>
          <w:spacing w:val="-2"/>
        </w:rPr>
        <w:t> </w:t>
      </w:r>
      <w:r>
        <w:rPr/>
        <w:t>receber</w:t>
      </w:r>
      <w:r>
        <w:rPr>
          <w:spacing w:val="-7"/>
        </w:rPr>
        <w:t> </w:t>
      </w:r>
      <w:r>
        <w:rPr/>
        <w:t>esperado</w:t>
      </w:r>
      <w:r>
        <w:rPr>
          <w:spacing w:val="-6"/>
        </w:rPr>
        <w:t> </w:t>
      </w:r>
      <w:r>
        <w:rPr/>
        <w:t>sobre</w:t>
      </w:r>
      <w:r>
        <w:rPr>
          <w:spacing w:val="-8"/>
        </w:rPr>
        <w:t> </w:t>
      </w:r>
      <w:r>
        <w:rPr/>
        <w:t>o</w:t>
      </w:r>
      <w:r>
        <w:rPr>
          <w:spacing w:val="-6"/>
        </w:rPr>
        <w:t> </w:t>
      </w:r>
      <w:r>
        <w:rPr/>
        <w:t>lucro</w:t>
      </w:r>
      <w:r>
        <w:rPr>
          <w:spacing w:val="-7"/>
        </w:rPr>
        <w:t> </w:t>
      </w:r>
      <w:r>
        <w:rPr/>
        <w:t>tributável</w:t>
      </w:r>
      <w:r>
        <w:rPr>
          <w:spacing w:val="-7"/>
        </w:rPr>
        <w:t> </w:t>
      </w:r>
      <w:r>
        <w:rPr/>
        <w:t>do</w:t>
      </w:r>
      <w:r>
        <w:rPr>
          <w:spacing w:val="-6"/>
        </w:rPr>
        <w:t> </w:t>
      </w:r>
      <w:r>
        <w:rPr/>
        <w:t>exercício,</w:t>
      </w:r>
      <w:r>
        <w:rPr>
          <w:spacing w:val="-6"/>
        </w:rPr>
        <w:t> </w:t>
      </w:r>
      <w:r>
        <w:rPr/>
        <w:t>a</w:t>
      </w:r>
      <w:r>
        <w:rPr>
          <w:spacing w:val="-6"/>
        </w:rPr>
        <w:t> </w:t>
      </w:r>
      <w:r>
        <w:rPr/>
        <w:t>taxas</w:t>
      </w:r>
      <w:r>
        <w:rPr>
          <w:spacing w:val="-7"/>
        </w:rPr>
        <w:t> </w:t>
      </w:r>
      <w:r>
        <w:rPr/>
        <w:t>de impostos</w:t>
      </w:r>
      <w:r>
        <w:rPr>
          <w:spacing w:val="-40"/>
        </w:rPr>
        <w:t> </w:t>
      </w:r>
      <w:r>
        <w:rPr/>
        <w:t>vigentes</w:t>
      </w:r>
      <w:r>
        <w:rPr>
          <w:spacing w:val="-40"/>
        </w:rPr>
        <w:t> </w:t>
      </w:r>
      <w:r>
        <w:rPr/>
        <w:t>ou</w:t>
      </w:r>
      <w:r>
        <w:rPr>
          <w:spacing w:val="-41"/>
        </w:rPr>
        <w:t> </w:t>
      </w:r>
      <w:r>
        <w:rPr/>
        <w:t>substantivamente</w:t>
      </w:r>
      <w:r>
        <w:rPr>
          <w:spacing w:val="-41"/>
        </w:rPr>
        <w:t> </w:t>
      </w:r>
      <w:r>
        <w:rPr/>
        <w:t>vigentes</w:t>
      </w:r>
      <w:r>
        <w:rPr>
          <w:spacing w:val="-40"/>
        </w:rPr>
        <w:t> </w:t>
      </w:r>
      <w:r>
        <w:rPr/>
        <w:t>na</w:t>
      </w:r>
      <w:r>
        <w:rPr>
          <w:spacing w:val="-40"/>
        </w:rPr>
        <w:t> </w:t>
      </w:r>
      <w:r>
        <w:rPr/>
        <w:t>data</w:t>
      </w:r>
      <w:r>
        <w:rPr>
          <w:spacing w:val="-40"/>
        </w:rPr>
        <w:t> </w:t>
      </w:r>
      <w:r>
        <w:rPr/>
        <w:t>de</w:t>
      </w:r>
      <w:r>
        <w:rPr>
          <w:spacing w:val="-42"/>
        </w:rPr>
        <w:t> </w:t>
      </w:r>
      <w:r>
        <w:rPr/>
        <w:t>apresentação</w:t>
      </w:r>
      <w:r>
        <w:rPr>
          <w:spacing w:val="-40"/>
        </w:rPr>
        <w:t> </w:t>
      </w:r>
      <w:r>
        <w:rPr/>
        <w:t>das</w:t>
      </w:r>
      <w:r>
        <w:rPr>
          <w:spacing w:val="-41"/>
        </w:rPr>
        <w:t> </w:t>
      </w:r>
      <w:r>
        <w:rPr/>
        <w:t>demonstrações</w:t>
      </w:r>
      <w:r>
        <w:rPr>
          <w:spacing w:val="-41"/>
        </w:rPr>
        <w:t> </w:t>
      </w:r>
      <w:r>
        <w:rPr/>
        <w:t>financeiras</w:t>
      </w:r>
      <w:r>
        <w:rPr>
          <w:spacing w:val="-40"/>
        </w:rPr>
        <w:t> </w:t>
      </w:r>
      <w:r>
        <w:rPr/>
        <w:t>e</w:t>
      </w:r>
      <w:r>
        <w:rPr>
          <w:spacing w:val="-41"/>
        </w:rPr>
        <w:t> </w:t>
      </w:r>
      <w:r>
        <w:rPr/>
        <w:t>qualquer ajuste</w:t>
      </w:r>
      <w:r>
        <w:rPr>
          <w:spacing w:val="-22"/>
        </w:rPr>
        <w:t> </w:t>
      </w:r>
      <w:r>
        <w:rPr/>
        <w:t>aos</w:t>
      </w:r>
      <w:r>
        <w:rPr>
          <w:spacing w:val="-19"/>
        </w:rPr>
        <w:t> </w:t>
      </w:r>
      <w:r>
        <w:rPr/>
        <w:t>impostos</w:t>
      </w:r>
      <w:r>
        <w:rPr>
          <w:spacing w:val="-20"/>
        </w:rPr>
        <w:t> </w:t>
      </w:r>
      <w:r>
        <w:rPr/>
        <w:t>a</w:t>
      </w:r>
      <w:r>
        <w:rPr>
          <w:spacing w:val="-16"/>
        </w:rPr>
        <w:t> </w:t>
      </w:r>
      <w:r>
        <w:rPr/>
        <w:t>pagar</w:t>
      </w:r>
      <w:r>
        <w:rPr>
          <w:spacing w:val="-19"/>
        </w:rPr>
        <w:t> </w:t>
      </w:r>
      <w:r>
        <w:rPr/>
        <w:t>com</w:t>
      </w:r>
      <w:r>
        <w:rPr>
          <w:spacing w:val="-20"/>
        </w:rPr>
        <w:t> </w:t>
      </w:r>
      <w:r>
        <w:rPr/>
        <w:t>relação</w:t>
      </w:r>
      <w:r>
        <w:rPr>
          <w:spacing w:val="-20"/>
        </w:rPr>
        <w:t> </w:t>
      </w:r>
      <w:r>
        <w:rPr/>
        <w:t>aos</w:t>
      </w:r>
      <w:r>
        <w:rPr>
          <w:spacing w:val="-20"/>
        </w:rPr>
        <w:t> </w:t>
      </w:r>
      <w:r>
        <w:rPr/>
        <w:t>exercícios</w:t>
      </w:r>
      <w:r>
        <w:rPr>
          <w:spacing w:val="-19"/>
        </w:rPr>
        <w:t> </w:t>
      </w:r>
      <w:r>
        <w:rPr/>
        <w:t>anteriores.</w:t>
      </w:r>
    </w:p>
    <w:p>
      <w:pPr>
        <w:pStyle w:val="BodyText"/>
        <w:spacing w:before="7"/>
      </w:pPr>
    </w:p>
    <w:p>
      <w:pPr>
        <w:pStyle w:val="BodyText"/>
        <w:spacing w:line="242" w:lineRule="auto" w:before="1"/>
        <w:ind w:left="192" w:right="610"/>
        <w:jc w:val="both"/>
      </w:pPr>
      <w:r>
        <w:rPr/>
        <w:t>O</w:t>
      </w:r>
      <w:r>
        <w:rPr>
          <w:spacing w:val="-7"/>
        </w:rPr>
        <w:t> </w:t>
      </w:r>
      <w:r>
        <w:rPr/>
        <w:t>imposto</w:t>
      </w:r>
      <w:r>
        <w:rPr>
          <w:spacing w:val="-4"/>
        </w:rPr>
        <w:t> </w:t>
      </w:r>
      <w:r>
        <w:rPr/>
        <w:t>diferido</w:t>
      </w:r>
      <w:r>
        <w:rPr>
          <w:spacing w:val="-5"/>
        </w:rPr>
        <w:t> </w:t>
      </w:r>
      <w:r>
        <w:rPr/>
        <w:t>é</w:t>
      </w:r>
      <w:r>
        <w:rPr>
          <w:spacing w:val="-6"/>
        </w:rPr>
        <w:t> </w:t>
      </w:r>
      <w:r>
        <w:rPr/>
        <w:t>reconhecido</w:t>
      </w:r>
      <w:r>
        <w:rPr>
          <w:spacing w:val="-7"/>
        </w:rPr>
        <w:t> </w:t>
      </w:r>
      <w:r>
        <w:rPr/>
        <w:t>com</w:t>
      </w:r>
      <w:r>
        <w:rPr>
          <w:spacing w:val="-6"/>
        </w:rPr>
        <w:t> </w:t>
      </w:r>
      <w:r>
        <w:rPr/>
        <w:t>relação</w:t>
      </w:r>
      <w:r>
        <w:rPr>
          <w:spacing w:val="-6"/>
        </w:rPr>
        <w:t> </w:t>
      </w:r>
      <w:r>
        <w:rPr/>
        <w:t>às</w:t>
      </w:r>
      <w:r>
        <w:rPr>
          <w:spacing w:val="-5"/>
        </w:rPr>
        <w:t> </w:t>
      </w:r>
      <w:r>
        <w:rPr/>
        <w:t>diferenças</w:t>
      </w:r>
      <w:r>
        <w:rPr>
          <w:spacing w:val="-6"/>
        </w:rPr>
        <w:t> </w:t>
      </w:r>
      <w:r>
        <w:rPr/>
        <w:t>temporárias</w:t>
      </w:r>
      <w:r>
        <w:rPr>
          <w:spacing w:val="-4"/>
        </w:rPr>
        <w:t> </w:t>
      </w:r>
      <w:r>
        <w:rPr/>
        <w:t>entre</w:t>
      </w:r>
      <w:r>
        <w:rPr>
          <w:spacing w:val="-5"/>
        </w:rPr>
        <w:t> </w:t>
      </w:r>
      <w:r>
        <w:rPr/>
        <w:t>os</w:t>
      </w:r>
      <w:r>
        <w:rPr>
          <w:spacing w:val="-4"/>
        </w:rPr>
        <w:t> </w:t>
      </w:r>
      <w:r>
        <w:rPr/>
        <w:t>valores</w:t>
      </w:r>
      <w:r>
        <w:rPr>
          <w:spacing w:val="-5"/>
        </w:rPr>
        <w:t> </w:t>
      </w:r>
      <w:r>
        <w:rPr/>
        <w:t>contábeis</w:t>
      </w:r>
      <w:r>
        <w:rPr>
          <w:spacing w:val="-6"/>
        </w:rPr>
        <w:t> </w:t>
      </w:r>
      <w:r>
        <w:rPr/>
        <w:t>de</w:t>
      </w:r>
      <w:r>
        <w:rPr>
          <w:spacing w:val="-7"/>
        </w:rPr>
        <w:t> </w:t>
      </w:r>
      <w:r>
        <w:rPr/>
        <w:t>ativos</w:t>
      </w:r>
      <w:r>
        <w:rPr>
          <w:spacing w:val="-5"/>
        </w:rPr>
        <w:t> </w:t>
      </w:r>
      <w:r>
        <w:rPr/>
        <w:t>e passivos</w:t>
      </w:r>
      <w:r>
        <w:rPr>
          <w:spacing w:val="-42"/>
        </w:rPr>
        <w:t> </w:t>
      </w:r>
      <w:r>
        <w:rPr/>
        <w:t>e</w:t>
      </w:r>
      <w:r>
        <w:rPr>
          <w:spacing w:val="-41"/>
        </w:rPr>
        <w:t> </w:t>
      </w:r>
      <w:r>
        <w:rPr/>
        <w:t>os</w:t>
      </w:r>
      <w:r>
        <w:rPr>
          <w:spacing w:val="-42"/>
        </w:rPr>
        <w:t> </w:t>
      </w:r>
      <w:r>
        <w:rPr/>
        <w:t>correspondentes</w:t>
      </w:r>
      <w:r>
        <w:rPr>
          <w:spacing w:val="-41"/>
        </w:rPr>
        <w:t> </w:t>
      </w:r>
      <w:r>
        <w:rPr/>
        <w:t>valores</w:t>
      </w:r>
      <w:r>
        <w:rPr>
          <w:spacing w:val="-42"/>
        </w:rPr>
        <w:t> </w:t>
      </w:r>
      <w:r>
        <w:rPr/>
        <w:t>usados</w:t>
      </w:r>
      <w:r>
        <w:rPr>
          <w:spacing w:val="-40"/>
        </w:rPr>
        <w:t> </w:t>
      </w:r>
      <w:r>
        <w:rPr/>
        <w:t>para</w:t>
      </w:r>
      <w:r>
        <w:rPr>
          <w:spacing w:val="-42"/>
        </w:rPr>
        <w:t> </w:t>
      </w:r>
      <w:r>
        <w:rPr/>
        <w:t>fins</w:t>
      </w:r>
      <w:r>
        <w:rPr>
          <w:spacing w:val="-41"/>
        </w:rPr>
        <w:t> </w:t>
      </w:r>
      <w:r>
        <w:rPr/>
        <w:t>de</w:t>
      </w:r>
      <w:r>
        <w:rPr>
          <w:spacing w:val="-43"/>
        </w:rPr>
        <w:t> </w:t>
      </w:r>
      <w:r>
        <w:rPr/>
        <w:t>tributação.</w:t>
      </w:r>
      <w:r>
        <w:rPr>
          <w:spacing w:val="-42"/>
        </w:rPr>
        <w:t> </w:t>
      </w:r>
      <w:r>
        <w:rPr/>
        <w:t>O</w:t>
      </w:r>
      <w:r>
        <w:rPr>
          <w:spacing w:val="-41"/>
        </w:rPr>
        <w:t> </w:t>
      </w:r>
      <w:r>
        <w:rPr/>
        <w:t>imposto</w:t>
      </w:r>
      <w:r>
        <w:rPr>
          <w:spacing w:val="-41"/>
        </w:rPr>
        <w:t> </w:t>
      </w:r>
      <w:r>
        <w:rPr/>
        <w:t>diferido</w:t>
      </w:r>
      <w:r>
        <w:rPr>
          <w:spacing w:val="-41"/>
        </w:rPr>
        <w:t> </w:t>
      </w:r>
      <w:r>
        <w:rPr/>
        <w:t>é</w:t>
      </w:r>
      <w:r>
        <w:rPr>
          <w:spacing w:val="-41"/>
        </w:rPr>
        <w:t> </w:t>
      </w:r>
      <w:r>
        <w:rPr/>
        <w:t>mensurado</w:t>
      </w:r>
      <w:r>
        <w:rPr>
          <w:spacing w:val="-41"/>
        </w:rPr>
        <w:t> </w:t>
      </w:r>
      <w:r>
        <w:rPr/>
        <w:t>pelas</w:t>
      </w:r>
      <w:r>
        <w:rPr>
          <w:spacing w:val="-41"/>
        </w:rPr>
        <w:t> </w:t>
      </w:r>
      <w:r>
        <w:rPr/>
        <w:t>alíquotas que</w:t>
      </w:r>
      <w:r>
        <w:rPr>
          <w:spacing w:val="-12"/>
        </w:rPr>
        <w:t> </w:t>
      </w:r>
      <w:r>
        <w:rPr/>
        <w:t>se</w:t>
      </w:r>
      <w:r>
        <w:rPr>
          <w:spacing w:val="-11"/>
        </w:rPr>
        <w:t> </w:t>
      </w:r>
      <w:r>
        <w:rPr/>
        <w:t>espera</w:t>
      </w:r>
      <w:r>
        <w:rPr>
          <w:spacing w:val="-10"/>
        </w:rPr>
        <w:t> </w:t>
      </w:r>
      <w:r>
        <w:rPr/>
        <w:t>serem</w:t>
      </w:r>
      <w:r>
        <w:rPr>
          <w:spacing w:val="-12"/>
        </w:rPr>
        <w:t> </w:t>
      </w:r>
      <w:r>
        <w:rPr/>
        <w:t>aplicadas</w:t>
      </w:r>
      <w:r>
        <w:rPr>
          <w:spacing w:val="-12"/>
        </w:rPr>
        <w:t> </w:t>
      </w:r>
      <w:r>
        <w:rPr/>
        <w:t>às</w:t>
      </w:r>
      <w:r>
        <w:rPr>
          <w:spacing w:val="-11"/>
        </w:rPr>
        <w:t> </w:t>
      </w:r>
      <w:r>
        <w:rPr/>
        <w:t>diferenças</w:t>
      </w:r>
      <w:r>
        <w:rPr>
          <w:spacing w:val="-11"/>
        </w:rPr>
        <w:t> </w:t>
      </w:r>
      <w:r>
        <w:rPr/>
        <w:t>temporárias</w:t>
      </w:r>
      <w:r>
        <w:rPr>
          <w:spacing w:val="-12"/>
        </w:rPr>
        <w:t> </w:t>
      </w:r>
      <w:r>
        <w:rPr/>
        <w:t>quando</w:t>
      </w:r>
      <w:r>
        <w:rPr>
          <w:spacing w:val="-11"/>
        </w:rPr>
        <w:t> </w:t>
      </w:r>
      <w:r>
        <w:rPr/>
        <w:t>elas</w:t>
      </w:r>
      <w:r>
        <w:rPr>
          <w:spacing w:val="-11"/>
        </w:rPr>
        <w:t> </w:t>
      </w:r>
      <w:r>
        <w:rPr/>
        <w:t>revertem,</w:t>
      </w:r>
      <w:r>
        <w:rPr>
          <w:spacing w:val="-11"/>
        </w:rPr>
        <w:t> </w:t>
      </w:r>
      <w:r>
        <w:rPr/>
        <w:t>baseando-se</w:t>
      </w:r>
      <w:r>
        <w:rPr>
          <w:spacing w:val="-11"/>
        </w:rPr>
        <w:t> </w:t>
      </w:r>
      <w:r>
        <w:rPr/>
        <w:t>nas</w:t>
      </w:r>
      <w:r>
        <w:rPr>
          <w:spacing w:val="-11"/>
        </w:rPr>
        <w:t> </w:t>
      </w:r>
      <w:r>
        <w:rPr/>
        <w:t>leis</w:t>
      </w:r>
      <w:r>
        <w:rPr>
          <w:spacing w:val="-10"/>
        </w:rPr>
        <w:t> </w:t>
      </w:r>
      <w:r>
        <w:rPr/>
        <w:t>que</w:t>
      </w:r>
      <w:r>
        <w:rPr>
          <w:spacing w:val="-13"/>
        </w:rPr>
        <w:t> </w:t>
      </w:r>
      <w:r>
        <w:rPr/>
        <w:t>foram decretadas</w:t>
      </w:r>
      <w:r>
        <w:rPr>
          <w:spacing w:val="-29"/>
        </w:rPr>
        <w:t> </w:t>
      </w:r>
      <w:r>
        <w:rPr/>
        <w:t>ou</w:t>
      </w:r>
      <w:r>
        <w:rPr>
          <w:spacing w:val="-29"/>
        </w:rPr>
        <w:t> </w:t>
      </w:r>
      <w:r>
        <w:rPr/>
        <w:t>substantivamente</w:t>
      </w:r>
      <w:r>
        <w:rPr>
          <w:spacing w:val="-28"/>
        </w:rPr>
        <w:t> </w:t>
      </w:r>
      <w:r>
        <w:rPr/>
        <w:t>decretadas</w:t>
      </w:r>
      <w:r>
        <w:rPr>
          <w:spacing w:val="-29"/>
        </w:rPr>
        <w:t> </w:t>
      </w:r>
      <w:r>
        <w:rPr/>
        <w:t>até</w:t>
      </w:r>
      <w:r>
        <w:rPr>
          <w:spacing w:val="-30"/>
        </w:rPr>
        <w:t> </w:t>
      </w:r>
      <w:r>
        <w:rPr/>
        <w:t>a</w:t>
      </w:r>
      <w:r>
        <w:rPr>
          <w:spacing w:val="-28"/>
        </w:rPr>
        <w:t> </w:t>
      </w:r>
      <w:r>
        <w:rPr/>
        <w:t>data</w:t>
      </w:r>
      <w:r>
        <w:rPr>
          <w:spacing w:val="-29"/>
        </w:rPr>
        <w:t> </w:t>
      </w:r>
      <w:r>
        <w:rPr/>
        <w:t>de</w:t>
      </w:r>
      <w:r>
        <w:rPr>
          <w:spacing w:val="-30"/>
        </w:rPr>
        <w:t> </w:t>
      </w:r>
      <w:r>
        <w:rPr/>
        <w:t>apresentação</w:t>
      </w:r>
      <w:r>
        <w:rPr>
          <w:spacing w:val="-30"/>
        </w:rPr>
        <w:t> </w:t>
      </w:r>
      <w:r>
        <w:rPr/>
        <w:t>das</w:t>
      </w:r>
      <w:r>
        <w:rPr>
          <w:spacing w:val="-28"/>
        </w:rPr>
        <w:t> </w:t>
      </w:r>
      <w:r>
        <w:rPr/>
        <w:t>demonstrações</w:t>
      </w:r>
      <w:r>
        <w:rPr>
          <w:spacing w:val="-29"/>
        </w:rPr>
        <w:t> </w:t>
      </w:r>
      <w:r>
        <w:rPr/>
        <w:t>financeiras.</w:t>
      </w:r>
    </w:p>
    <w:p>
      <w:pPr>
        <w:pStyle w:val="BodyText"/>
        <w:spacing w:before="8"/>
      </w:pPr>
    </w:p>
    <w:p>
      <w:pPr>
        <w:pStyle w:val="BodyText"/>
        <w:spacing w:line="242" w:lineRule="auto"/>
        <w:ind w:left="192" w:right="607"/>
        <w:jc w:val="both"/>
      </w:pPr>
      <w:r>
        <w:rPr/>
        <w:t>Os</w:t>
      </w:r>
      <w:r>
        <w:rPr>
          <w:spacing w:val="-44"/>
        </w:rPr>
        <w:t> </w:t>
      </w:r>
      <w:r>
        <w:rPr/>
        <w:t>ativos</w:t>
      </w:r>
      <w:r>
        <w:rPr>
          <w:spacing w:val="-41"/>
        </w:rPr>
        <w:t> </w:t>
      </w:r>
      <w:r>
        <w:rPr/>
        <w:t>e</w:t>
      </w:r>
      <w:r>
        <w:rPr>
          <w:spacing w:val="-42"/>
        </w:rPr>
        <w:t> </w:t>
      </w:r>
      <w:r>
        <w:rPr/>
        <w:t>passivos</w:t>
      </w:r>
      <w:r>
        <w:rPr>
          <w:spacing w:val="-44"/>
        </w:rPr>
        <w:t> </w:t>
      </w:r>
      <w:r>
        <w:rPr/>
        <w:t>fiscais</w:t>
      </w:r>
      <w:r>
        <w:rPr>
          <w:spacing w:val="-42"/>
        </w:rPr>
        <w:t> </w:t>
      </w:r>
      <w:r>
        <w:rPr/>
        <w:t>diferidos</w:t>
      </w:r>
      <w:r>
        <w:rPr>
          <w:spacing w:val="-42"/>
        </w:rPr>
        <w:t> </w:t>
      </w:r>
      <w:r>
        <w:rPr/>
        <w:t>são</w:t>
      </w:r>
      <w:r>
        <w:rPr>
          <w:spacing w:val="-44"/>
        </w:rPr>
        <w:t> </w:t>
      </w:r>
      <w:r>
        <w:rPr/>
        <w:t>compensados</w:t>
      </w:r>
      <w:r>
        <w:rPr>
          <w:spacing w:val="-43"/>
        </w:rPr>
        <w:t> </w:t>
      </w:r>
      <w:r>
        <w:rPr/>
        <w:t>caso</w:t>
      </w:r>
      <w:r>
        <w:rPr>
          <w:spacing w:val="-44"/>
        </w:rPr>
        <w:t> </w:t>
      </w:r>
      <w:r>
        <w:rPr/>
        <w:t>haja</w:t>
      </w:r>
      <w:r>
        <w:rPr>
          <w:spacing w:val="-44"/>
        </w:rPr>
        <w:t> </w:t>
      </w:r>
      <w:r>
        <w:rPr/>
        <w:t>um</w:t>
      </w:r>
      <w:r>
        <w:rPr>
          <w:spacing w:val="-42"/>
        </w:rPr>
        <w:t> </w:t>
      </w:r>
      <w:r>
        <w:rPr/>
        <w:t>direito</w:t>
      </w:r>
      <w:r>
        <w:rPr>
          <w:spacing w:val="-44"/>
        </w:rPr>
        <w:t> </w:t>
      </w:r>
      <w:r>
        <w:rPr/>
        <w:t>legal</w:t>
      </w:r>
      <w:r>
        <w:rPr>
          <w:spacing w:val="-43"/>
        </w:rPr>
        <w:t> </w:t>
      </w:r>
      <w:r>
        <w:rPr/>
        <w:t>de</w:t>
      </w:r>
      <w:r>
        <w:rPr>
          <w:spacing w:val="-41"/>
        </w:rPr>
        <w:t> </w:t>
      </w:r>
      <w:r>
        <w:rPr/>
        <w:t>compensar</w:t>
      </w:r>
      <w:r>
        <w:rPr>
          <w:spacing w:val="-43"/>
        </w:rPr>
        <w:t> </w:t>
      </w:r>
      <w:r>
        <w:rPr/>
        <w:t>passivos</w:t>
      </w:r>
      <w:r>
        <w:rPr>
          <w:spacing w:val="-42"/>
        </w:rPr>
        <w:t> </w:t>
      </w:r>
      <w:r>
        <w:rPr/>
        <w:t>e</w:t>
      </w:r>
      <w:r>
        <w:rPr>
          <w:spacing w:val="-43"/>
        </w:rPr>
        <w:t> </w:t>
      </w:r>
      <w:r>
        <w:rPr/>
        <w:t>ativos</w:t>
      </w:r>
      <w:r>
        <w:rPr>
          <w:spacing w:val="-42"/>
        </w:rPr>
        <w:t> </w:t>
      </w:r>
      <w:r>
        <w:rPr/>
        <w:t>fiscais </w:t>
      </w:r>
      <w:r>
        <w:rPr>
          <w:w w:val="95"/>
        </w:rPr>
        <w:t>correntes,</w:t>
      </w:r>
      <w:r>
        <w:rPr>
          <w:spacing w:val="-19"/>
          <w:w w:val="95"/>
        </w:rPr>
        <w:t> </w:t>
      </w:r>
      <w:r>
        <w:rPr>
          <w:w w:val="95"/>
        </w:rPr>
        <w:t>e</w:t>
      </w:r>
      <w:r>
        <w:rPr>
          <w:spacing w:val="-15"/>
          <w:w w:val="95"/>
        </w:rPr>
        <w:t> </w:t>
      </w:r>
      <w:r>
        <w:rPr>
          <w:w w:val="95"/>
        </w:rPr>
        <w:t>eles</w:t>
      </w:r>
      <w:r>
        <w:rPr>
          <w:spacing w:val="-20"/>
          <w:w w:val="95"/>
        </w:rPr>
        <w:t> </w:t>
      </w:r>
      <w:r>
        <w:rPr>
          <w:w w:val="95"/>
        </w:rPr>
        <w:t>se</w:t>
      </w:r>
      <w:r>
        <w:rPr>
          <w:spacing w:val="-18"/>
          <w:w w:val="95"/>
        </w:rPr>
        <w:t> </w:t>
      </w:r>
      <w:r>
        <w:rPr>
          <w:w w:val="95"/>
        </w:rPr>
        <w:t>relacionam</w:t>
      </w:r>
      <w:r>
        <w:rPr>
          <w:spacing w:val="-20"/>
          <w:w w:val="95"/>
        </w:rPr>
        <w:t> </w:t>
      </w:r>
      <w:r>
        <w:rPr>
          <w:w w:val="95"/>
        </w:rPr>
        <w:t>a</w:t>
      </w:r>
      <w:r>
        <w:rPr>
          <w:spacing w:val="-16"/>
          <w:w w:val="95"/>
        </w:rPr>
        <w:t> </w:t>
      </w:r>
      <w:r>
        <w:rPr>
          <w:w w:val="95"/>
        </w:rPr>
        <w:t>impostos</w:t>
      </w:r>
      <w:r>
        <w:rPr>
          <w:spacing w:val="-19"/>
          <w:w w:val="95"/>
        </w:rPr>
        <w:t> </w:t>
      </w:r>
      <w:r>
        <w:rPr>
          <w:w w:val="95"/>
        </w:rPr>
        <w:t>lançados</w:t>
      </w:r>
      <w:r>
        <w:rPr>
          <w:spacing w:val="-17"/>
          <w:w w:val="95"/>
        </w:rPr>
        <w:t> </w:t>
      </w:r>
      <w:r>
        <w:rPr>
          <w:w w:val="95"/>
        </w:rPr>
        <w:t>pela</w:t>
      </w:r>
      <w:r>
        <w:rPr>
          <w:spacing w:val="-16"/>
          <w:w w:val="95"/>
        </w:rPr>
        <w:t> </w:t>
      </w:r>
      <w:r>
        <w:rPr>
          <w:w w:val="95"/>
        </w:rPr>
        <w:t>mesma</w:t>
      </w:r>
      <w:r>
        <w:rPr>
          <w:spacing w:val="-17"/>
          <w:w w:val="95"/>
        </w:rPr>
        <w:t> </w:t>
      </w:r>
      <w:r>
        <w:rPr>
          <w:w w:val="95"/>
        </w:rPr>
        <w:t>autoridade</w:t>
      </w:r>
      <w:r>
        <w:rPr>
          <w:spacing w:val="-19"/>
          <w:w w:val="95"/>
        </w:rPr>
        <w:t> </w:t>
      </w:r>
      <w:r>
        <w:rPr>
          <w:w w:val="95"/>
        </w:rPr>
        <w:t>tributária</w:t>
      </w:r>
      <w:r>
        <w:rPr>
          <w:spacing w:val="-19"/>
          <w:w w:val="95"/>
        </w:rPr>
        <w:t> </w:t>
      </w:r>
      <w:r>
        <w:rPr>
          <w:w w:val="95"/>
        </w:rPr>
        <w:t>sobre</w:t>
      </w:r>
      <w:r>
        <w:rPr>
          <w:spacing w:val="-19"/>
          <w:w w:val="95"/>
        </w:rPr>
        <w:t> </w:t>
      </w:r>
      <w:r>
        <w:rPr>
          <w:w w:val="95"/>
        </w:rPr>
        <w:t>a</w:t>
      </w:r>
      <w:r>
        <w:rPr>
          <w:spacing w:val="-16"/>
          <w:w w:val="95"/>
        </w:rPr>
        <w:t> </w:t>
      </w:r>
      <w:r>
        <w:rPr>
          <w:w w:val="95"/>
        </w:rPr>
        <w:t>mesma</w:t>
      </w:r>
      <w:r>
        <w:rPr>
          <w:spacing w:val="-17"/>
          <w:w w:val="95"/>
        </w:rPr>
        <w:t> </w:t>
      </w:r>
      <w:r>
        <w:rPr>
          <w:w w:val="95"/>
        </w:rPr>
        <w:t>entidade</w:t>
      </w:r>
      <w:r>
        <w:rPr>
          <w:spacing w:val="-19"/>
          <w:w w:val="95"/>
        </w:rPr>
        <w:t> </w:t>
      </w:r>
      <w:r>
        <w:rPr>
          <w:w w:val="95"/>
        </w:rPr>
        <w:t>sujeita </w:t>
      </w:r>
      <w:r>
        <w:rPr/>
        <w:t>à</w:t>
      </w:r>
      <w:r>
        <w:rPr>
          <w:spacing w:val="-18"/>
        </w:rPr>
        <w:t> </w:t>
      </w:r>
      <w:r>
        <w:rPr/>
        <w:t>tributação.</w:t>
      </w:r>
    </w:p>
    <w:p>
      <w:pPr>
        <w:pStyle w:val="BodyText"/>
        <w:spacing w:before="7"/>
      </w:pPr>
    </w:p>
    <w:p>
      <w:pPr>
        <w:pStyle w:val="BodyText"/>
        <w:spacing w:line="242" w:lineRule="auto" w:before="1"/>
        <w:ind w:left="192" w:right="604"/>
        <w:jc w:val="both"/>
      </w:pPr>
      <w:r>
        <w:rPr/>
        <w:t>A Administração do Grupo decidiu pela constituição de ativo fiscal diferido já que os planos de recuperação econômico-financeira</w:t>
      </w:r>
      <w:r>
        <w:rPr>
          <w:spacing w:val="-33"/>
        </w:rPr>
        <w:t> </w:t>
      </w:r>
      <w:r>
        <w:rPr/>
        <w:t>do</w:t>
      </w:r>
      <w:r>
        <w:rPr>
          <w:spacing w:val="-33"/>
        </w:rPr>
        <w:t> </w:t>
      </w:r>
      <w:r>
        <w:rPr/>
        <w:t>Grupo</w:t>
      </w:r>
      <w:r>
        <w:rPr>
          <w:spacing w:val="-33"/>
        </w:rPr>
        <w:t> </w:t>
      </w:r>
      <w:r>
        <w:rPr/>
        <w:t>irão</w:t>
      </w:r>
      <w:r>
        <w:rPr>
          <w:spacing w:val="-32"/>
        </w:rPr>
        <w:t> </w:t>
      </w:r>
      <w:r>
        <w:rPr/>
        <w:t>resultar</w:t>
      </w:r>
      <w:r>
        <w:rPr>
          <w:spacing w:val="-32"/>
        </w:rPr>
        <w:t> </w:t>
      </w:r>
      <w:r>
        <w:rPr/>
        <w:t>na</w:t>
      </w:r>
      <w:r>
        <w:rPr>
          <w:spacing w:val="-32"/>
        </w:rPr>
        <w:t> </w:t>
      </w:r>
      <w:r>
        <w:rPr/>
        <w:t>apuração</w:t>
      </w:r>
      <w:r>
        <w:rPr>
          <w:spacing w:val="-34"/>
        </w:rPr>
        <w:t> </w:t>
      </w:r>
      <w:r>
        <w:rPr/>
        <w:t>de</w:t>
      </w:r>
      <w:r>
        <w:rPr>
          <w:spacing w:val="-33"/>
        </w:rPr>
        <w:t> </w:t>
      </w:r>
      <w:r>
        <w:rPr/>
        <w:t>lucro</w:t>
      </w:r>
      <w:r>
        <w:rPr>
          <w:spacing w:val="-32"/>
        </w:rPr>
        <w:t> </w:t>
      </w:r>
      <w:r>
        <w:rPr/>
        <w:t>tributário</w:t>
      </w:r>
      <w:r>
        <w:rPr>
          <w:spacing w:val="-33"/>
        </w:rPr>
        <w:t> </w:t>
      </w:r>
      <w:r>
        <w:rPr/>
        <w:t>futuro</w:t>
      </w:r>
      <w:r>
        <w:rPr>
          <w:spacing w:val="-31"/>
        </w:rPr>
        <w:t> </w:t>
      </w:r>
      <w:r>
        <w:rPr/>
        <w:t>de</w:t>
      </w:r>
      <w:r>
        <w:rPr>
          <w:spacing w:val="-34"/>
        </w:rPr>
        <w:t> </w:t>
      </w:r>
      <w:r>
        <w:rPr/>
        <w:t>forma</w:t>
      </w:r>
      <w:r>
        <w:rPr>
          <w:spacing w:val="-33"/>
        </w:rPr>
        <w:t> </w:t>
      </w:r>
      <w:r>
        <w:rPr/>
        <w:t>consistente</w:t>
      </w:r>
      <w:r>
        <w:rPr>
          <w:spacing w:val="-32"/>
        </w:rPr>
        <w:t> </w:t>
      </w:r>
      <w:r>
        <w:rPr/>
        <w:t>no</w:t>
      </w:r>
      <w:r>
        <w:rPr>
          <w:spacing w:val="-33"/>
        </w:rPr>
        <w:t> </w:t>
      </w:r>
      <w:r>
        <w:rPr/>
        <w:t>âmbito da</w:t>
      </w:r>
      <w:r>
        <w:rPr>
          <w:spacing w:val="-37"/>
        </w:rPr>
        <w:t> </w:t>
      </w:r>
      <w:r>
        <w:rPr/>
        <w:t>Companhia.</w:t>
      </w:r>
      <w:r>
        <w:rPr>
          <w:spacing w:val="-38"/>
        </w:rPr>
        <w:t> </w:t>
      </w:r>
      <w:r>
        <w:rPr/>
        <w:t>As</w:t>
      </w:r>
      <w:r>
        <w:rPr>
          <w:spacing w:val="-37"/>
        </w:rPr>
        <w:t> </w:t>
      </w:r>
      <w:r>
        <w:rPr/>
        <w:t>demais</w:t>
      </w:r>
      <w:r>
        <w:rPr>
          <w:spacing w:val="-35"/>
        </w:rPr>
        <w:t> </w:t>
      </w:r>
      <w:r>
        <w:rPr/>
        <w:t>empresas</w:t>
      </w:r>
      <w:r>
        <w:rPr>
          <w:spacing w:val="-37"/>
        </w:rPr>
        <w:t> </w:t>
      </w:r>
      <w:r>
        <w:rPr/>
        <w:t>do</w:t>
      </w:r>
      <w:r>
        <w:rPr>
          <w:spacing w:val="-38"/>
        </w:rPr>
        <w:t> </w:t>
      </w:r>
      <w:r>
        <w:rPr/>
        <w:t>grupo</w:t>
      </w:r>
      <w:r>
        <w:rPr>
          <w:spacing w:val="-37"/>
        </w:rPr>
        <w:t> </w:t>
      </w:r>
      <w:r>
        <w:rPr/>
        <w:t>ainda</w:t>
      </w:r>
      <w:r>
        <w:rPr>
          <w:spacing w:val="-37"/>
        </w:rPr>
        <w:t> </w:t>
      </w:r>
      <w:r>
        <w:rPr/>
        <w:t>não</w:t>
      </w:r>
      <w:r>
        <w:rPr>
          <w:spacing w:val="-36"/>
        </w:rPr>
        <w:t> </w:t>
      </w:r>
      <w:r>
        <w:rPr/>
        <w:t>reúnem</w:t>
      </w:r>
      <w:r>
        <w:rPr>
          <w:spacing w:val="-37"/>
        </w:rPr>
        <w:t> </w:t>
      </w:r>
      <w:r>
        <w:rPr/>
        <w:t>condições</w:t>
      </w:r>
      <w:r>
        <w:rPr>
          <w:spacing w:val="-37"/>
        </w:rPr>
        <w:t> </w:t>
      </w:r>
      <w:r>
        <w:rPr/>
        <w:t>necessárias</w:t>
      </w:r>
      <w:r>
        <w:rPr>
          <w:spacing w:val="-37"/>
        </w:rPr>
        <w:t> </w:t>
      </w:r>
      <w:r>
        <w:rPr/>
        <w:t>para</w:t>
      </w:r>
      <w:r>
        <w:rPr>
          <w:spacing w:val="-37"/>
        </w:rPr>
        <w:t> </w:t>
      </w:r>
      <w:r>
        <w:rPr/>
        <w:t>a</w:t>
      </w:r>
      <w:r>
        <w:rPr>
          <w:spacing w:val="-37"/>
        </w:rPr>
        <w:t> </w:t>
      </w:r>
      <w:r>
        <w:rPr/>
        <w:t>contabilização</w:t>
      </w:r>
      <w:r>
        <w:rPr>
          <w:spacing w:val="-37"/>
        </w:rPr>
        <w:t> </w:t>
      </w:r>
      <w:r>
        <w:rPr/>
        <w:t>de</w:t>
      </w:r>
      <w:r>
        <w:rPr>
          <w:spacing w:val="-38"/>
        </w:rPr>
        <w:t> </w:t>
      </w:r>
      <w:r>
        <w:rPr/>
        <w:t>ativo fiscal</w:t>
      </w:r>
      <w:r>
        <w:rPr>
          <w:spacing w:val="-18"/>
        </w:rPr>
        <w:t> </w:t>
      </w:r>
      <w:r>
        <w:rPr/>
        <w:t>diferido.</w:t>
      </w:r>
    </w:p>
    <w:p>
      <w:pPr>
        <w:spacing w:after="0" w:line="242" w:lineRule="auto"/>
        <w:jc w:val="both"/>
        <w:sectPr>
          <w:pgSz w:w="11910" w:h="16850"/>
          <w:pgMar w:header="792" w:footer="1193" w:top="1360" w:bottom="1460" w:left="940" w:right="240"/>
        </w:sectPr>
      </w:pPr>
    </w:p>
    <w:p>
      <w:pPr>
        <w:pStyle w:val="BodyText"/>
        <w:spacing w:line="242" w:lineRule="auto" w:before="47"/>
        <w:ind w:left="192" w:right="608"/>
        <w:jc w:val="both"/>
      </w:pPr>
      <w:r>
        <w:rPr/>
        <w:t>O</w:t>
      </w:r>
      <w:r>
        <w:rPr>
          <w:spacing w:val="-27"/>
        </w:rPr>
        <w:t> </w:t>
      </w:r>
      <w:r>
        <w:rPr/>
        <w:t>Grupo</w:t>
      </w:r>
      <w:r>
        <w:rPr>
          <w:spacing w:val="-25"/>
        </w:rPr>
        <w:t> </w:t>
      </w:r>
      <w:r>
        <w:rPr/>
        <w:t>registrou</w:t>
      </w:r>
      <w:r>
        <w:rPr>
          <w:spacing w:val="-24"/>
        </w:rPr>
        <w:t> </w:t>
      </w:r>
      <w:r>
        <w:rPr/>
        <w:t>passivo</w:t>
      </w:r>
      <w:r>
        <w:rPr>
          <w:spacing w:val="-25"/>
        </w:rPr>
        <w:t> </w:t>
      </w:r>
      <w:r>
        <w:rPr/>
        <w:t>fiscal</w:t>
      </w:r>
      <w:r>
        <w:rPr>
          <w:spacing w:val="-25"/>
        </w:rPr>
        <w:t> </w:t>
      </w:r>
      <w:r>
        <w:rPr/>
        <w:t>diferido</w:t>
      </w:r>
      <w:r>
        <w:rPr>
          <w:spacing w:val="-25"/>
        </w:rPr>
        <w:t> </w:t>
      </w:r>
      <w:r>
        <w:rPr/>
        <w:t>relativo</w:t>
      </w:r>
      <w:r>
        <w:rPr>
          <w:spacing w:val="-26"/>
        </w:rPr>
        <w:t> </w:t>
      </w:r>
      <w:r>
        <w:rPr/>
        <w:t>ao</w:t>
      </w:r>
      <w:r>
        <w:rPr>
          <w:spacing w:val="-24"/>
        </w:rPr>
        <w:t> </w:t>
      </w:r>
      <w:r>
        <w:rPr/>
        <w:t>ganho</w:t>
      </w:r>
      <w:r>
        <w:rPr>
          <w:spacing w:val="-26"/>
        </w:rPr>
        <w:t> </w:t>
      </w:r>
      <w:r>
        <w:rPr/>
        <w:t>na</w:t>
      </w:r>
      <w:r>
        <w:rPr>
          <w:spacing w:val="-24"/>
        </w:rPr>
        <w:t> </w:t>
      </w:r>
      <w:r>
        <w:rPr/>
        <w:t>utilização</w:t>
      </w:r>
      <w:r>
        <w:rPr>
          <w:spacing w:val="-26"/>
        </w:rPr>
        <w:t> </w:t>
      </w:r>
      <w:r>
        <w:rPr/>
        <w:t>do</w:t>
      </w:r>
      <w:r>
        <w:rPr>
          <w:spacing w:val="-25"/>
        </w:rPr>
        <w:t> </w:t>
      </w:r>
      <w:r>
        <w:rPr/>
        <w:t>custo</w:t>
      </w:r>
      <w:r>
        <w:rPr>
          <w:spacing w:val="-24"/>
        </w:rPr>
        <w:t> </w:t>
      </w:r>
      <w:r>
        <w:rPr/>
        <w:t>atribuído</w:t>
      </w:r>
      <w:r>
        <w:rPr>
          <w:spacing w:val="-25"/>
        </w:rPr>
        <w:t> </w:t>
      </w:r>
      <w:r>
        <w:rPr/>
        <w:t>(</w:t>
      </w:r>
      <w:r>
        <w:rPr>
          <w:rFonts w:ascii="Caladea" w:hAnsi="Caladea"/>
          <w:i/>
        </w:rPr>
        <w:t>Deemed</w:t>
      </w:r>
      <w:r>
        <w:rPr>
          <w:rFonts w:ascii="Caladea" w:hAnsi="Caladea"/>
          <w:i/>
          <w:spacing w:val="-9"/>
        </w:rPr>
        <w:t> </w:t>
      </w:r>
      <w:r>
        <w:rPr>
          <w:rFonts w:ascii="Caladea" w:hAnsi="Caladea"/>
          <w:i/>
        </w:rPr>
        <w:t>Cost</w:t>
      </w:r>
      <w:r>
        <w:rPr/>
        <w:t>),</w:t>
      </w:r>
      <w:r>
        <w:rPr>
          <w:spacing w:val="-26"/>
        </w:rPr>
        <w:t> </w:t>
      </w:r>
      <w:r>
        <w:rPr/>
        <w:t>aplicado sobre</w:t>
      </w:r>
      <w:r>
        <w:rPr>
          <w:spacing w:val="-27"/>
        </w:rPr>
        <w:t> </w:t>
      </w:r>
      <w:r>
        <w:rPr/>
        <w:t>os</w:t>
      </w:r>
      <w:r>
        <w:rPr>
          <w:spacing w:val="-24"/>
        </w:rPr>
        <w:t> </w:t>
      </w:r>
      <w:r>
        <w:rPr/>
        <w:t>imóveis</w:t>
      </w:r>
      <w:r>
        <w:rPr>
          <w:spacing w:val="-25"/>
        </w:rPr>
        <w:t> </w:t>
      </w:r>
      <w:r>
        <w:rPr/>
        <w:t>do</w:t>
      </w:r>
      <w:r>
        <w:rPr>
          <w:spacing w:val="-24"/>
        </w:rPr>
        <w:t> </w:t>
      </w:r>
      <w:r>
        <w:rPr/>
        <w:t>Grupo</w:t>
      </w:r>
      <w:r>
        <w:rPr>
          <w:spacing w:val="-25"/>
        </w:rPr>
        <w:t> </w:t>
      </w:r>
      <w:r>
        <w:rPr/>
        <w:t>quando</w:t>
      </w:r>
      <w:r>
        <w:rPr>
          <w:spacing w:val="-26"/>
        </w:rPr>
        <w:t> </w:t>
      </w:r>
      <w:r>
        <w:rPr/>
        <w:t>da</w:t>
      </w:r>
      <w:r>
        <w:rPr>
          <w:spacing w:val="-24"/>
        </w:rPr>
        <w:t> </w:t>
      </w:r>
      <w:r>
        <w:rPr/>
        <w:t>convergência</w:t>
      </w:r>
      <w:r>
        <w:rPr>
          <w:spacing w:val="-25"/>
        </w:rPr>
        <w:t> </w:t>
      </w:r>
      <w:r>
        <w:rPr/>
        <w:t>para</w:t>
      </w:r>
      <w:r>
        <w:rPr>
          <w:spacing w:val="-22"/>
        </w:rPr>
        <w:t> </w:t>
      </w:r>
      <w:r>
        <w:rPr/>
        <w:t>o</w:t>
      </w:r>
      <w:r>
        <w:rPr>
          <w:spacing w:val="-25"/>
        </w:rPr>
        <w:t> </w:t>
      </w:r>
      <w:r>
        <w:rPr/>
        <w:t>IFRS;</w:t>
      </w:r>
      <w:r>
        <w:rPr>
          <w:spacing w:val="-26"/>
        </w:rPr>
        <w:t> </w:t>
      </w:r>
      <w:r>
        <w:rPr/>
        <w:t>quanto</w:t>
      </w:r>
      <w:r>
        <w:rPr>
          <w:spacing w:val="-25"/>
        </w:rPr>
        <w:t> </w:t>
      </w:r>
      <w:r>
        <w:rPr/>
        <w:t>ao</w:t>
      </w:r>
      <w:r>
        <w:rPr>
          <w:spacing w:val="-26"/>
        </w:rPr>
        <w:t> </w:t>
      </w:r>
      <w:r>
        <w:rPr/>
        <w:t>ganho</w:t>
      </w:r>
      <w:r>
        <w:rPr>
          <w:spacing w:val="-23"/>
        </w:rPr>
        <w:t> </w:t>
      </w:r>
      <w:r>
        <w:rPr/>
        <w:t>no</w:t>
      </w:r>
      <w:r>
        <w:rPr>
          <w:spacing w:val="-23"/>
        </w:rPr>
        <w:t> </w:t>
      </w:r>
      <w:r>
        <w:rPr/>
        <w:t>registro</w:t>
      </w:r>
      <w:r>
        <w:rPr>
          <w:spacing w:val="-25"/>
        </w:rPr>
        <w:t> </w:t>
      </w:r>
      <w:r>
        <w:rPr/>
        <w:t>do</w:t>
      </w:r>
      <w:r>
        <w:rPr>
          <w:spacing w:val="-24"/>
        </w:rPr>
        <w:t> </w:t>
      </w:r>
      <w:r>
        <w:rPr/>
        <w:t>VNR</w:t>
      </w:r>
      <w:r>
        <w:rPr>
          <w:spacing w:val="-24"/>
        </w:rPr>
        <w:t> </w:t>
      </w:r>
      <w:r>
        <w:rPr/>
        <w:t>(Valor</w:t>
      </w:r>
      <w:r>
        <w:rPr>
          <w:spacing w:val="-26"/>
        </w:rPr>
        <w:t> </w:t>
      </w:r>
      <w:r>
        <w:rPr/>
        <w:t>Novo</w:t>
      </w:r>
      <w:r>
        <w:rPr>
          <w:spacing w:val="-21"/>
        </w:rPr>
        <w:t> </w:t>
      </w:r>
      <w:r>
        <w:rPr/>
        <w:t>de Reposição) aplicado sobre os bens objeto da concessão; sobre o registro dos Ativos e Passivos Regulatórios reconhecidos</w:t>
      </w:r>
      <w:r>
        <w:rPr>
          <w:spacing w:val="-25"/>
        </w:rPr>
        <w:t> </w:t>
      </w:r>
      <w:r>
        <w:rPr/>
        <w:t>de</w:t>
      </w:r>
      <w:r>
        <w:rPr>
          <w:spacing w:val="-26"/>
        </w:rPr>
        <w:t> </w:t>
      </w:r>
      <w:r>
        <w:rPr/>
        <w:t>acordo</w:t>
      </w:r>
      <w:r>
        <w:rPr>
          <w:spacing w:val="-25"/>
        </w:rPr>
        <w:t> </w:t>
      </w:r>
      <w:r>
        <w:rPr/>
        <w:t>com</w:t>
      </w:r>
      <w:r>
        <w:rPr>
          <w:spacing w:val="-24"/>
        </w:rPr>
        <w:t> </w:t>
      </w:r>
      <w:r>
        <w:rPr/>
        <w:t>a</w:t>
      </w:r>
      <w:r>
        <w:rPr>
          <w:spacing w:val="-25"/>
        </w:rPr>
        <w:t> </w:t>
      </w:r>
      <w:r>
        <w:rPr/>
        <w:t>orientação</w:t>
      </w:r>
      <w:r>
        <w:rPr>
          <w:spacing w:val="-25"/>
        </w:rPr>
        <w:t> </w:t>
      </w:r>
      <w:r>
        <w:rPr/>
        <w:t>técnica</w:t>
      </w:r>
      <w:r>
        <w:rPr>
          <w:spacing w:val="-24"/>
        </w:rPr>
        <w:t> </w:t>
      </w:r>
      <w:r>
        <w:rPr/>
        <w:t>OCPC</w:t>
      </w:r>
      <w:r>
        <w:rPr>
          <w:spacing w:val="-25"/>
        </w:rPr>
        <w:t> </w:t>
      </w:r>
      <w:r>
        <w:rPr/>
        <w:t>08;</w:t>
      </w:r>
      <w:r>
        <w:rPr>
          <w:spacing w:val="-24"/>
        </w:rPr>
        <w:t> </w:t>
      </w:r>
      <w:r>
        <w:rPr/>
        <w:t>e</w:t>
      </w:r>
      <w:r>
        <w:rPr>
          <w:spacing w:val="-25"/>
        </w:rPr>
        <w:t> </w:t>
      </w:r>
      <w:r>
        <w:rPr/>
        <w:t>também</w:t>
      </w:r>
      <w:r>
        <w:rPr>
          <w:spacing w:val="-23"/>
        </w:rPr>
        <w:t> </w:t>
      </w:r>
      <w:r>
        <w:rPr/>
        <w:t>sobre</w:t>
      </w:r>
      <w:r>
        <w:rPr>
          <w:spacing w:val="-24"/>
        </w:rPr>
        <w:t> </w:t>
      </w:r>
      <w:r>
        <w:rPr/>
        <w:t>diferenças</w:t>
      </w:r>
      <w:r>
        <w:rPr>
          <w:spacing w:val="-25"/>
        </w:rPr>
        <w:t> </w:t>
      </w:r>
      <w:r>
        <w:rPr/>
        <w:t>temporárias</w:t>
      </w:r>
    </w:p>
    <w:p>
      <w:pPr>
        <w:pStyle w:val="BodyText"/>
        <w:spacing w:before="6"/>
      </w:pPr>
    </w:p>
    <w:p>
      <w:pPr>
        <w:pStyle w:val="BodyText"/>
        <w:spacing w:line="242" w:lineRule="auto"/>
        <w:ind w:left="192" w:right="613"/>
        <w:jc w:val="both"/>
      </w:pPr>
      <w:r>
        <w:rPr/>
        <w:t>Ativos</w:t>
      </w:r>
      <w:r>
        <w:rPr>
          <w:spacing w:val="-33"/>
        </w:rPr>
        <w:t> </w:t>
      </w:r>
      <w:r>
        <w:rPr/>
        <w:t>de</w:t>
      </w:r>
      <w:r>
        <w:rPr>
          <w:spacing w:val="-32"/>
        </w:rPr>
        <w:t> </w:t>
      </w:r>
      <w:r>
        <w:rPr/>
        <w:t>imposto</w:t>
      </w:r>
      <w:r>
        <w:rPr>
          <w:spacing w:val="-32"/>
        </w:rPr>
        <w:t> </w:t>
      </w:r>
      <w:r>
        <w:rPr/>
        <w:t>de</w:t>
      </w:r>
      <w:r>
        <w:rPr>
          <w:spacing w:val="-32"/>
        </w:rPr>
        <w:t> </w:t>
      </w:r>
      <w:r>
        <w:rPr/>
        <w:t>renda</w:t>
      </w:r>
      <w:r>
        <w:rPr>
          <w:spacing w:val="-30"/>
        </w:rPr>
        <w:t> </w:t>
      </w:r>
      <w:r>
        <w:rPr/>
        <w:t>e</w:t>
      </w:r>
      <w:r>
        <w:rPr>
          <w:spacing w:val="-34"/>
        </w:rPr>
        <w:t> </w:t>
      </w:r>
      <w:r>
        <w:rPr/>
        <w:t>contribuição</w:t>
      </w:r>
      <w:r>
        <w:rPr>
          <w:spacing w:val="-33"/>
        </w:rPr>
        <w:t> </w:t>
      </w:r>
      <w:r>
        <w:rPr/>
        <w:t>social</w:t>
      </w:r>
      <w:r>
        <w:rPr>
          <w:spacing w:val="-33"/>
        </w:rPr>
        <w:t> </w:t>
      </w:r>
      <w:r>
        <w:rPr/>
        <w:t>diferido</w:t>
      </w:r>
      <w:r>
        <w:rPr>
          <w:spacing w:val="-34"/>
        </w:rPr>
        <w:t> </w:t>
      </w:r>
      <w:r>
        <w:rPr/>
        <w:t>são</w:t>
      </w:r>
      <w:r>
        <w:rPr>
          <w:spacing w:val="-31"/>
        </w:rPr>
        <w:t> </w:t>
      </w:r>
      <w:r>
        <w:rPr/>
        <w:t>revisados</w:t>
      </w:r>
      <w:r>
        <w:rPr>
          <w:spacing w:val="-33"/>
        </w:rPr>
        <w:t> </w:t>
      </w:r>
      <w:r>
        <w:rPr/>
        <w:t>a</w:t>
      </w:r>
      <w:r>
        <w:rPr>
          <w:spacing w:val="-31"/>
        </w:rPr>
        <w:t> </w:t>
      </w:r>
      <w:r>
        <w:rPr/>
        <w:t>cada</w:t>
      </w:r>
      <w:r>
        <w:rPr>
          <w:spacing w:val="-33"/>
        </w:rPr>
        <w:t> </w:t>
      </w:r>
      <w:r>
        <w:rPr/>
        <w:t>data</w:t>
      </w:r>
      <w:r>
        <w:rPr>
          <w:spacing w:val="-31"/>
        </w:rPr>
        <w:t> </w:t>
      </w:r>
      <w:r>
        <w:rPr/>
        <w:t>de</w:t>
      </w:r>
      <w:r>
        <w:rPr>
          <w:spacing w:val="-33"/>
        </w:rPr>
        <w:t> </w:t>
      </w:r>
      <w:r>
        <w:rPr/>
        <w:t>relatório</w:t>
      </w:r>
      <w:r>
        <w:rPr>
          <w:spacing w:val="-31"/>
        </w:rPr>
        <w:t> </w:t>
      </w:r>
      <w:r>
        <w:rPr/>
        <w:t>e</w:t>
      </w:r>
      <w:r>
        <w:rPr>
          <w:spacing w:val="-32"/>
        </w:rPr>
        <w:t> </w:t>
      </w:r>
      <w:r>
        <w:rPr/>
        <w:t>serão</w:t>
      </w:r>
      <w:r>
        <w:rPr>
          <w:spacing w:val="-30"/>
        </w:rPr>
        <w:t> </w:t>
      </w:r>
      <w:r>
        <w:rPr/>
        <w:t>reduzidos</w:t>
      </w:r>
      <w:r>
        <w:rPr>
          <w:spacing w:val="-33"/>
        </w:rPr>
        <w:t> </w:t>
      </w:r>
      <w:r>
        <w:rPr/>
        <w:t>na medida</w:t>
      </w:r>
      <w:r>
        <w:rPr>
          <w:spacing w:val="-20"/>
        </w:rPr>
        <w:t> </w:t>
      </w:r>
      <w:r>
        <w:rPr/>
        <w:t>da</w:t>
      </w:r>
      <w:r>
        <w:rPr>
          <w:spacing w:val="-20"/>
        </w:rPr>
        <w:t> </w:t>
      </w:r>
      <w:r>
        <w:rPr/>
        <w:t>sua</w:t>
      </w:r>
      <w:r>
        <w:rPr>
          <w:spacing w:val="-18"/>
        </w:rPr>
        <w:t> </w:t>
      </w:r>
      <w:r>
        <w:rPr/>
        <w:t>realização</w:t>
      </w:r>
      <w:r>
        <w:rPr>
          <w:spacing w:val="-21"/>
        </w:rPr>
        <w:t> </w:t>
      </w:r>
      <w:r>
        <w:rPr/>
        <w:t>ou</w:t>
      </w:r>
      <w:r>
        <w:rPr>
          <w:spacing w:val="-18"/>
        </w:rPr>
        <w:t> </w:t>
      </w:r>
      <w:r>
        <w:rPr/>
        <w:t>que</w:t>
      </w:r>
      <w:r>
        <w:rPr>
          <w:spacing w:val="-19"/>
        </w:rPr>
        <w:t> </w:t>
      </w:r>
      <w:r>
        <w:rPr/>
        <w:t>sua</w:t>
      </w:r>
      <w:r>
        <w:rPr>
          <w:spacing w:val="-18"/>
        </w:rPr>
        <w:t> </w:t>
      </w:r>
      <w:r>
        <w:rPr/>
        <w:t>realização</w:t>
      </w:r>
      <w:r>
        <w:rPr>
          <w:spacing w:val="-21"/>
        </w:rPr>
        <w:t> </w:t>
      </w:r>
      <w:r>
        <w:rPr/>
        <w:t>não</w:t>
      </w:r>
      <w:r>
        <w:rPr>
          <w:spacing w:val="-20"/>
        </w:rPr>
        <w:t> </w:t>
      </w:r>
      <w:r>
        <w:rPr/>
        <w:t>seja</w:t>
      </w:r>
      <w:r>
        <w:rPr>
          <w:spacing w:val="-18"/>
        </w:rPr>
        <w:t> </w:t>
      </w:r>
      <w:r>
        <w:rPr/>
        <w:t>mais</w:t>
      </w:r>
      <w:r>
        <w:rPr>
          <w:spacing w:val="-20"/>
        </w:rPr>
        <w:t> </w:t>
      </w:r>
      <w:r>
        <w:rPr/>
        <w:t>provável.</w:t>
      </w:r>
    </w:p>
    <w:p>
      <w:pPr>
        <w:pStyle w:val="BodyText"/>
        <w:spacing w:before="7"/>
      </w:pPr>
    </w:p>
    <w:p>
      <w:pPr>
        <w:pStyle w:val="ListParagraph"/>
        <w:numPr>
          <w:ilvl w:val="1"/>
          <w:numId w:val="16"/>
        </w:numPr>
        <w:tabs>
          <w:tab w:pos="1045" w:val="left" w:leader="none"/>
          <w:tab w:pos="1046" w:val="left" w:leader="none"/>
        </w:tabs>
        <w:spacing w:line="276" w:lineRule="auto" w:before="0" w:after="0"/>
        <w:ind w:left="1045" w:right="606" w:hanging="853"/>
        <w:jc w:val="left"/>
        <w:rPr>
          <w:rFonts w:ascii="Caladea" w:hAnsi="Caladea"/>
          <w:b/>
          <w:sz w:val="22"/>
        </w:rPr>
      </w:pPr>
      <w:r>
        <w:rPr>
          <w:rFonts w:ascii="Caladea" w:hAnsi="Caladea"/>
          <w:b/>
          <w:sz w:val="22"/>
        </w:rPr>
        <w:t>O</w:t>
      </w:r>
      <w:r>
        <w:rPr>
          <w:rFonts w:ascii="Caladea" w:hAnsi="Caladea"/>
          <w:b/>
          <w:sz w:val="18"/>
        </w:rPr>
        <w:t>PERAÇÕES DE </w:t>
      </w:r>
      <w:r>
        <w:rPr>
          <w:rFonts w:ascii="Caladea" w:hAnsi="Caladea"/>
          <w:b/>
          <w:sz w:val="22"/>
        </w:rPr>
        <w:t>C</w:t>
      </w:r>
      <w:r>
        <w:rPr>
          <w:rFonts w:ascii="Caladea" w:hAnsi="Caladea"/>
          <w:b/>
          <w:sz w:val="18"/>
        </w:rPr>
        <w:t>OMPRA E </w:t>
      </w:r>
      <w:r>
        <w:rPr>
          <w:rFonts w:ascii="Caladea" w:hAnsi="Caladea"/>
          <w:b/>
          <w:sz w:val="22"/>
        </w:rPr>
        <w:t>V</w:t>
      </w:r>
      <w:r>
        <w:rPr>
          <w:rFonts w:ascii="Caladea" w:hAnsi="Caladea"/>
          <w:b/>
          <w:sz w:val="18"/>
        </w:rPr>
        <w:t>ENDA DE </w:t>
      </w:r>
      <w:r>
        <w:rPr>
          <w:rFonts w:ascii="Caladea" w:hAnsi="Caladea"/>
          <w:b/>
          <w:sz w:val="22"/>
        </w:rPr>
        <w:t>E</w:t>
      </w:r>
      <w:r>
        <w:rPr>
          <w:rFonts w:ascii="Caladea" w:hAnsi="Caladea"/>
          <w:b/>
          <w:sz w:val="18"/>
        </w:rPr>
        <w:t>NERGIA </w:t>
      </w:r>
      <w:r>
        <w:rPr>
          <w:rFonts w:ascii="Caladea" w:hAnsi="Caladea"/>
          <w:b/>
          <w:sz w:val="22"/>
        </w:rPr>
        <w:t>E</w:t>
      </w:r>
      <w:r>
        <w:rPr>
          <w:rFonts w:ascii="Caladea" w:hAnsi="Caladea"/>
          <w:b/>
          <w:sz w:val="18"/>
        </w:rPr>
        <w:t>LÉTRICA NA </w:t>
      </w:r>
      <w:r>
        <w:rPr>
          <w:rFonts w:ascii="Caladea" w:hAnsi="Caladea"/>
          <w:b/>
          <w:sz w:val="22"/>
        </w:rPr>
        <w:t>C</w:t>
      </w:r>
      <w:r>
        <w:rPr>
          <w:rFonts w:ascii="Caladea" w:hAnsi="Caladea"/>
          <w:b/>
          <w:sz w:val="18"/>
        </w:rPr>
        <w:t>ÂMARA DE </w:t>
      </w:r>
      <w:r>
        <w:rPr>
          <w:rFonts w:ascii="Caladea" w:hAnsi="Caladea"/>
          <w:b/>
          <w:sz w:val="22"/>
        </w:rPr>
        <w:t>C</w:t>
      </w:r>
      <w:r>
        <w:rPr>
          <w:rFonts w:ascii="Caladea" w:hAnsi="Caladea"/>
          <w:b/>
          <w:sz w:val="18"/>
        </w:rPr>
        <w:t>OMERCIALIZAÇÃO DE </w:t>
      </w:r>
      <w:r>
        <w:rPr>
          <w:rFonts w:ascii="Caladea" w:hAnsi="Caladea"/>
          <w:b/>
          <w:sz w:val="22"/>
        </w:rPr>
        <w:t>E</w:t>
      </w:r>
      <w:r>
        <w:rPr>
          <w:rFonts w:ascii="Caladea" w:hAnsi="Caladea"/>
          <w:b/>
          <w:sz w:val="18"/>
        </w:rPr>
        <w:t>NERGIA</w:t>
      </w:r>
      <w:r>
        <w:rPr>
          <w:rFonts w:ascii="Caladea" w:hAnsi="Caladea"/>
          <w:b/>
          <w:spacing w:val="39"/>
          <w:sz w:val="18"/>
        </w:rPr>
        <w:t> </w:t>
      </w:r>
      <w:r>
        <w:rPr>
          <w:rFonts w:ascii="Caladea" w:hAnsi="Caladea"/>
          <w:b/>
          <w:w w:val="105"/>
          <w:sz w:val="22"/>
        </w:rPr>
        <w:t>E</w:t>
      </w:r>
      <w:r>
        <w:rPr>
          <w:rFonts w:ascii="Caladea" w:hAnsi="Caladea"/>
          <w:b/>
          <w:w w:val="105"/>
          <w:sz w:val="18"/>
        </w:rPr>
        <w:t>LÉTRICA </w:t>
      </w:r>
      <w:r>
        <w:rPr>
          <w:b/>
          <w:w w:val="105"/>
          <w:sz w:val="22"/>
        </w:rPr>
        <w:t>–</w:t>
      </w:r>
      <w:r>
        <w:rPr>
          <w:b/>
          <w:spacing w:val="-31"/>
          <w:w w:val="105"/>
          <w:sz w:val="22"/>
        </w:rPr>
        <w:t> </w:t>
      </w:r>
      <w:r>
        <w:rPr>
          <w:rFonts w:ascii="Caladea" w:hAnsi="Caladea"/>
          <w:b/>
          <w:w w:val="105"/>
          <w:sz w:val="22"/>
        </w:rPr>
        <w:t>CCEE</w:t>
      </w:r>
    </w:p>
    <w:p>
      <w:pPr>
        <w:pStyle w:val="BodyText"/>
        <w:spacing w:before="7"/>
        <w:rPr>
          <w:rFonts w:ascii="Caladea"/>
          <w:b/>
        </w:rPr>
      </w:pPr>
    </w:p>
    <w:p>
      <w:pPr>
        <w:pStyle w:val="BodyText"/>
        <w:spacing w:line="242" w:lineRule="auto" w:before="1"/>
        <w:ind w:left="192" w:right="608"/>
        <w:jc w:val="both"/>
      </w:pPr>
      <w:r>
        <w:rPr/>
        <w:t>Os</w:t>
      </w:r>
      <w:r>
        <w:rPr>
          <w:spacing w:val="-32"/>
        </w:rPr>
        <w:t> </w:t>
      </w:r>
      <w:r>
        <w:rPr/>
        <w:t>registros</w:t>
      </w:r>
      <w:r>
        <w:rPr>
          <w:spacing w:val="-29"/>
        </w:rPr>
        <w:t> </w:t>
      </w:r>
      <w:r>
        <w:rPr/>
        <w:t>das</w:t>
      </w:r>
      <w:r>
        <w:rPr>
          <w:spacing w:val="-31"/>
        </w:rPr>
        <w:t> </w:t>
      </w:r>
      <w:r>
        <w:rPr/>
        <w:t>operações</w:t>
      </w:r>
      <w:r>
        <w:rPr>
          <w:spacing w:val="-29"/>
        </w:rPr>
        <w:t> </w:t>
      </w:r>
      <w:r>
        <w:rPr/>
        <w:t>de</w:t>
      </w:r>
      <w:r>
        <w:rPr>
          <w:spacing w:val="-32"/>
        </w:rPr>
        <w:t> </w:t>
      </w:r>
      <w:r>
        <w:rPr/>
        <w:t>compra</w:t>
      </w:r>
      <w:r>
        <w:rPr>
          <w:spacing w:val="-29"/>
        </w:rPr>
        <w:t> </w:t>
      </w:r>
      <w:r>
        <w:rPr/>
        <w:t>e</w:t>
      </w:r>
      <w:r>
        <w:rPr>
          <w:spacing w:val="-28"/>
        </w:rPr>
        <w:t> </w:t>
      </w:r>
      <w:r>
        <w:rPr/>
        <w:t>venda</w:t>
      </w:r>
      <w:r>
        <w:rPr>
          <w:spacing w:val="-31"/>
        </w:rPr>
        <w:t> </w:t>
      </w:r>
      <w:r>
        <w:rPr/>
        <w:t>de</w:t>
      </w:r>
      <w:r>
        <w:rPr>
          <w:spacing w:val="-30"/>
        </w:rPr>
        <w:t> </w:t>
      </w:r>
      <w:r>
        <w:rPr/>
        <w:t>energia</w:t>
      </w:r>
      <w:r>
        <w:rPr>
          <w:spacing w:val="-31"/>
        </w:rPr>
        <w:t> </w:t>
      </w:r>
      <w:r>
        <w:rPr/>
        <w:t>elétrica</w:t>
      </w:r>
      <w:r>
        <w:rPr>
          <w:spacing w:val="-29"/>
        </w:rPr>
        <w:t> </w:t>
      </w:r>
      <w:r>
        <w:rPr/>
        <w:t>estão</w:t>
      </w:r>
      <w:r>
        <w:rPr>
          <w:spacing w:val="-30"/>
        </w:rPr>
        <w:t> </w:t>
      </w:r>
      <w:r>
        <w:rPr/>
        <w:t>reconhecidos</w:t>
      </w:r>
      <w:r>
        <w:rPr>
          <w:spacing w:val="-30"/>
        </w:rPr>
        <w:t> </w:t>
      </w:r>
      <w:r>
        <w:rPr/>
        <w:t>pelo</w:t>
      </w:r>
      <w:r>
        <w:rPr>
          <w:spacing w:val="-30"/>
        </w:rPr>
        <w:t> </w:t>
      </w:r>
      <w:r>
        <w:rPr/>
        <w:t>regime</w:t>
      </w:r>
      <w:r>
        <w:rPr>
          <w:spacing w:val="-30"/>
        </w:rPr>
        <w:t> </w:t>
      </w:r>
      <w:r>
        <w:rPr/>
        <w:t>de</w:t>
      </w:r>
      <w:r>
        <w:rPr>
          <w:spacing w:val="-31"/>
        </w:rPr>
        <w:t> </w:t>
      </w:r>
      <w:r>
        <w:rPr/>
        <w:t>competência, com</w:t>
      </w:r>
      <w:r>
        <w:rPr>
          <w:spacing w:val="-33"/>
        </w:rPr>
        <w:t> </w:t>
      </w:r>
      <w:r>
        <w:rPr/>
        <w:t>base</w:t>
      </w:r>
      <w:r>
        <w:rPr>
          <w:spacing w:val="-34"/>
        </w:rPr>
        <w:t> </w:t>
      </w:r>
      <w:r>
        <w:rPr/>
        <w:t>em</w:t>
      </w:r>
      <w:r>
        <w:rPr>
          <w:spacing w:val="-33"/>
        </w:rPr>
        <w:t> </w:t>
      </w:r>
      <w:r>
        <w:rPr/>
        <w:t>informações</w:t>
      </w:r>
      <w:r>
        <w:rPr>
          <w:spacing w:val="-32"/>
        </w:rPr>
        <w:t> </w:t>
      </w:r>
      <w:r>
        <w:rPr/>
        <w:t>divulgadas</w:t>
      </w:r>
      <w:r>
        <w:rPr>
          <w:spacing w:val="-34"/>
        </w:rPr>
        <w:t> </w:t>
      </w:r>
      <w:r>
        <w:rPr/>
        <w:t>pela</w:t>
      </w:r>
      <w:r>
        <w:rPr>
          <w:spacing w:val="-34"/>
        </w:rPr>
        <w:t> </w:t>
      </w:r>
      <w:r>
        <w:rPr/>
        <w:t>CCEE,</w:t>
      </w:r>
      <w:r>
        <w:rPr>
          <w:spacing w:val="-33"/>
        </w:rPr>
        <w:t> </w:t>
      </w:r>
      <w:r>
        <w:rPr/>
        <w:t>responsável</w:t>
      </w:r>
      <w:r>
        <w:rPr>
          <w:spacing w:val="-34"/>
        </w:rPr>
        <w:t> </w:t>
      </w:r>
      <w:r>
        <w:rPr/>
        <w:t>pela</w:t>
      </w:r>
      <w:r>
        <w:rPr>
          <w:spacing w:val="-33"/>
        </w:rPr>
        <w:t> </w:t>
      </w:r>
      <w:r>
        <w:rPr/>
        <w:t>apuração</w:t>
      </w:r>
      <w:r>
        <w:rPr>
          <w:spacing w:val="-33"/>
        </w:rPr>
        <w:t> </w:t>
      </w:r>
      <w:r>
        <w:rPr/>
        <w:t>dos</w:t>
      </w:r>
      <w:r>
        <w:rPr>
          <w:spacing w:val="-33"/>
        </w:rPr>
        <w:t> </w:t>
      </w:r>
      <w:r>
        <w:rPr/>
        <w:t>valores</w:t>
      </w:r>
      <w:r>
        <w:rPr>
          <w:spacing w:val="-32"/>
        </w:rPr>
        <w:t> </w:t>
      </w:r>
      <w:r>
        <w:rPr/>
        <w:t>e</w:t>
      </w:r>
      <w:r>
        <w:rPr>
          <w:spacing w:val="-34"/>
        </w:rPr>
        <w:t> </w:t>
      </w:r>
      <w:r>
        <w:rPr/>
        <w:t>quantidades</w:t>
      </w:r>
      <w:r>
        <w:rPr>
          <w:spacing w:val="-34"/>
        </w:rPr>
        <w:t> </w:t>
      </w:r>
      <w:r>
        <w:rPr/>
        <w:t>de</w:t>
      </w:r>
      <w:r>
        <w:rPr>
          <w:spacing w:val="-34"/>
        </w:rPr>
        <w:t> </w:t>
      </w:r>
      <w:r>
        <w:rPr/>
        <w:t>compras</w:t>
      </w:r>
      <w:r>
        <w:rPr>
          <w:spacing w:val="-34"/>
        </w:rPr>
        <w:t> </w:t>
      </w:r>
      <w:r>
        <w:rPr/>
        <w:t>e </w:t>
      </w:r>
      <w:r>
        <w:rPr>
          <w:w w:val="95"/>
        </w:rPr>
        <w:t>vendas</w:t>
      </w:r>
      <w:r>
        <w:rPr>
          <w:spacing w:val="-17"/>
          <w:w w:val="95"/>
        </w:rPr>
        <w:t> </w:t>
      </w:r>
      <w:r>
        <w:rPr>
          <w:w w:val="95"/>
        </w:rPr>
        <w:t>realizadas</w:t>
      </w:r>
      <w:r>
        <w:rPr>
          <w:spacing w:val="-16"/>
          <w:w w:val="95"/>
        </w:rPr>
        <w:t> </w:t>
      </w:r>
      <w:r>
        <w:rPr>
          <w:w w:val="95"/>
        </w:rPr>
        <w:t>no</w:t>
      </w:r>
      <w:r>
        <w:rPr>
          <w:spacing w:val="-18"/>
          <w:w w:val="95"/>
        </w:rPr>
        <w:t> </w:t>
      </w:r>
      <w:r>
        <w:rPr>
          <w:w w:val="95"/>
        </w:rPr>
        <w:t>âmbito</w:t>
      </w:r>
      <w:r>
        <w:rPr>
          <w:spacing w:val="-14"/>
          <w:w w:val="95"/>
        </w:rPr>
        <w:t> </w:t>
      </w:r>
      <w:r>
        <w:rPr>
          <w:w w:val="95"/>
        </w:rPr>
        <w:t>desta</w:t>
      </w:r>
      <w:r>
        <w:rPr>
          <w:spacing w:val="-16"/>
          <w:w w:val="95"/>
        </w:rPr>
        <w:t> </w:t>
      </w:r>
      <w:r>
        <w:rPr>
          <w:w w:val="95"/>
        </w:rPr>
        <w:t>entidade,</w:t>
      </w:r>
      <w:r>
        <w:rPr>
          <w:spacing w:val="-18"/>
          <w:w w:val="95"/>
        </w:rPr>
        <w:t> </w:t>
      </w:r>
      <w:r>
        <w:rPr>
          <w:w w:val="95"/>
        </w:rPr>
        <w:t>ou</w:t>
      </w:r>
      <w:r>
        <w:rPr>
          <w:spacing w:val="-14"/>
          <w:w w:val="95"/>
        </w:rPr>
        <w:t> </w:t>
      </w:r>
      <w:r>
        <w:rPr>
          <w:w w:val="95"/>
        </w:rPr>
        <w:t>por</w:t>
      </w:r>
      <w:r>
        <w:rPr>
          <w:spacing w:val="-16"/>
          <w:w w:val="95"/>
        </w:rPr>
        <w:t> </w:t>
      </w:r>
      <w:r>
        <w:rPr>
          <w:w w:val="95"/>
        </w:rPr>
        <w:t>estimativa</w:t>
      </w:r>
      <w:r>
        <w:rPr>
          <w:spacing w:val="-17"/>
          <w:w w:val="95"/>
        </w:rPr>
        <w:t> </w:t>
      </w:r>
      <w:r>
        <w:rPr>
          <w:w w:val="95"/>
        </w:rPr>
        <w:t>da</w:t>
      </w:r>
      <w:r>
        <w:rPr>
          <w:spacing w:val="-16"/>
          <w:w w:val="95"/>
        </w:rPr>
        <w:t> </w:t>
      </w:r>
      <w:r>
        <w:rPr>
          <w:w w:val="95"/>
        </w:rPr>
        <w:t>Administração,</w:t>
      </w:r>
      <w:r>
        <w:rPr>
          <w:spacing w:val="-18"/>
          <w:w w:val="95"/>
        </w:rPr>
        <w:t> </w:t>
      </w:r>
      <w:r>
        <w:rPr>
          <w:w w:val="95"/>
        </w:rPr>
        <w:t>quando</w:t>
      </w:r>
      <w:r>
        <w:rPr>
          <w:spacing w:val="-15"/>
          <w:w w:val="95"/>
        </w:rPr>
        <w:t> </w:t>
      </w:r>
      <w:r>
        <w:rPr>
          <w:w w:val="95"/>
        </w:rPr>
        <w:t>essas</w:t>
      </w:r>
      <w:r>
        <w:rPr>
          <w:spacing w:val="-16"/>
          <w:w w:val="95"/>
        </w:rPr>
        <w:t> </w:t>
      </w:r>
      <w:r>
        <w:rPr>
          <w:w w:val="95"/>
        </w:rPr>
        <w:t>informações</w:t>
      </w:r>
      <w:r>
        <w:rPr>
          <w:spacing w:val="-17"/>
          <w:w w:val="95"/>
        </w:rPr>
        <w:t> </w:t>
      </w:r>
      <w:r>
        <w:rPr>
          <w:w w:val="95"/>
        </w:rPr>
        <w:t>não</w:t>
      </w:r>
      <w:r>
        <w:rPr>
          <w:spacing w:val="-14"/>
          <w:w w:val="95"/>
        </w:rPr>
        <w:t> </w:t>
      </w:r>
      <w:r>
        <w:rPr>
          <w:w w:val="95"/>
        </w:rPr>
        <w:t>estão </w:t>
      </w:r>
      <w:r>
        <w:rPr/>
        <w:t>disponíveis.</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D</w:t>
      </w:r>
      <w:r>
        <w:rPr>
          <w:rFonts w:ascii="Caladea"/>
          <w:b/>
          <w:sz w:val="18"/>
        </w:rPr>
        <w:t>EMAIS </w:t>
      </w:r>
      <w:r>
        <w:rPr>
          <w:rFonts w:ascii="Caladea"/>
          <w:b/>
          <w:sz w:val="22"/>
        </w:rPr>
        <w:t>A</w:t>
      </w:r>
      <w:r>
        <w:rPr>
          <w:rFonts w:ascii="Caladea"/>
          <w:b/>
          <w:sz w:val="18"/>
        </w:rPr>
        <w:t>TIVOS E</w:t>
      </w:r>
      <w:r>
        <w:rPr>
          <w:rFonts w:ascii="Caladea"/>
          <w:b/>
          <w:spacing w:val="-3"/>
          <w:sz w:val="18"/>
        </w:rPr>
        <w:t> </w:t>
      </w:r>
      <w:r>
        <w:rPr>
          <w:rFonts w:ascii="Caladea"/>
          <w:b/>
          <w:sz w:val="22"/>
        </w:rPr>
        <w:t>P</w:t>
      </w:r>
      <w:r>
        <w:rPr>
          <w:rFonts w:ascii="Caladea"/>
          <w:b/>
          <w:sz w:val="18"/>
        </w:rPr>
        <w:t>ASSIVOS</w:t>
      </w:r>
    </w:p>
    <w:p>
      <w:pPr>
        <w:pStyle w:val="BodyText"/>
        <w:spacing w:before="10"/>
        <w:rPr>
          <w:rFonts w:ascii="Caladea"/>
          <w:b/>
          <w:sz w:val="23"/>
        </w:rPr>
      </w:pPr>
    </w:p>
    <w:p>
      <w:pPr>
        <w:pStyle w:val="BodyText"/>
        <w:spacing w:line="242" w:lineRule="auto"/>
        <w:ind w:left="192" w:right="612"/>
        <w:jc w:val="both"/>
      </w:pPr>
      <w:r>
        <w:rPr/>
        <w:t>Os</w:t>
      </w:r>
      <w:r>
        <w:rPr>
          <w:spacing w:val="-49"/>
        </w:rPr>
        <w:t> </w:t>
      </w:r>
      <w:r>
        <w:rPr/>
        <w:t>outros</w:t>
      </w:r>
      <w:r>
        <w:rPr>
          <w:spacing w:val="-48"/>
        </w:rPr>
        <w:t> </w:t>
      </w:r>
      <w:r>
        <w:rPr/>
        <w:t>ativos</w:t>
      </w:r>
      <w:r>
        <w:rPr>
          <w:spacing w:val="-47"/>
        </w:rPr>
        <w:t> </w:t>
      </w:r>
      <w:r>
        <w:rPr/>
        <w:t>estão</w:t>
      </w:r>
      <w:r>
        <w:rPr>
          <w:spacing w:val="-47"/>
        </w:rPr>
        <w:t> </w:t>
      </w:r>
      <w:r>
        <w:rPr/>
        <w:t>apresentados</w:t>
      </w:r>
      <w:r>
        <w:rPr>
          <w:spacing w:val="-48"/>
        </w:rPr>
        <w:t> </w:t>
      </w:r>
      <w:r>
        <w:rPr/>
        <w:t>ao</w:t>
      </w:r>
      <w:r>
        <w:rPr>
          <w:spacing w:val="-49"/>
        </w:rPr>
        <w:t> </w:t>
      </w:r>
      <w:r>
        <w:rPr/>
        <w:t>valor</w:t>
      </w:r>
      <w:r>
        <w:rPr>
          <w:spacing w:val="-47"/>
        </w:rPr>
        <w:t> </w:t>
      </w:r>
      <w:r>
        <w:rPr/>
        <w:t>de</w:t>
      </w:r>
      <w:r>
        <w:rPr>
          <w:spacing w:val="-49"/>
        </w:rPr>
        <w:t> </w:t>
      </w:r>
      <w:r>
        <w:rPr/>
        <w:t>realização,</w:t>
      </w:r>
      <w:r>
        <w:rPr>
          <w:spacing w:val="-48"/>
        </w:rPr>
        <w:t> </w:t>
      </w:r>
      <w:r>
        <w:rPr/>
        <w:t>incluindo,</w:t>
      </w:r>
      <w:r>
        <w:rPr>
          <w:spacing w:val="-47"/>
        </w:rPr>
        <w:t> </w:t>
      </w:r>
      <w:r>
        <w:rPr/>
        <w:t>quando</w:t>
      </w:r>
      <w:r>
        <w:rPr>
          <w:spacing w:val="-49"/>
        </w:rPr>
        <w:t> </w:t>
      </w:r>
      <w:r>
        <w:rPr/>
        <w:t>aplicável,</w:t>
      </w:r>
      <w:r>
        <w:rPr>
          <w:spacing w:val="-48"/>
        </w:rPr>
        <w:t> </w:t>
      </w:r>
      <w:r>
        <w:rPr/>
        <w:t>os</w:t>
      </w:r>
      <w:r>
        <w:rPr>
          <w:spacing w:val="-48"/>
        </w:rPr>
        <w:t> </w:t>
      </w:r>
      <w:r>
        <w:rPr/>
        <w:t>rendimentos</w:t>
      </w:r>
      <w:r>
        <w:rPr>
          <w:spacing w:val="-47"/>
        </w:rPr>
        <w:t> </w:t>
      </w:r>
      <w:r>
        <w:rPr/>
        <w:t>e</w:t>
      </w:r>
      <w:r>
        <w:rPr>
          <w:spacing w:val="-49"/>
        </w:rPr>
        <w:t> </w:t>
      </w:r>
      <w:r>
        <w:rPr/>
        <w:t>as</w:t>
      </w:r>
      <w:r>
        <w:rPr>
          <w:spacing w:val="-48"/>
        </w:rPr>
        <w:t> </w:t>
      </w:r>
      <w:r>
        <w:rPr/>
        <w:t>variações monetárias</w:t>
      </w:r>
      <w:r>
        <w:rPr>
          <w:spacing w:val="-43"/>
        </w:rPr>
        <w:t> </w:t>
      </w:r>
      <w:r>
        <w:rPr/>
        <w:t>auferidas</w:t>
      </w:r>
      <w:r>
        <w:rPr>
          <w:spacing w:val="-42"/>
        </w:rPr>
        <w:t> </w:t>
      </w:r>
      <w:r>
        <w:rPr/>
        <w:t>até</w:t>
      </w:r>
      <w:r>
        <w:rPr>
          <w:spacing w:val="-43"/>
        </w:rPr>
        <w:t> </w:t>
      </w:r>
      <w:r>
        <w:rPr/>
        <w:t>a</w:t>
      </w:r>
      <w:r>
        <w:rPr>
          <w:spacing w:val="-42"/>
        </w:rPr>
        <w:t> </w:t>
      </w:r>
      <w:r>
        <w:rPr/>
        <w:t>data</w:t>
      </w:r>
      <w:r>
        <w:rPr>
          <w:spacing w:val="-42"/>
        </w:rPr>
        <w:t> </w:t>
      </w:r>
      <w:r>
        <w:rPr/>
        <w:t>do</w:t>
      </w:r>
      <w:r>
        <w:rPr>
          <w:spacing w:val="-42"/>
        </w:rPr>
        <w:t> </w:t>
      </w:r>
      <w:r>
        <w:rPr/>
        <w:t>balanço,</w:t>
      </w:r>
      <w:r>
        <w:rPr>
          <w:spacing w:val="-43"/>
        </w:rPr>
        <w:t> </w:t>
      </w:r>
      <w:r>
        <w:rPr/>
        <w:t>deduzidos</w:t>
      </w:r>
      <w:r>
        <w:rPr>
          <w:spacing w:val="-42"/>
        </w:rPr>
        <w:t> </w:t>
      </w:r>
      <w:r>
        <w:rPr/>
        <w:t>por</w:t>
      </w:r>
      <w:r>
        <w:rPr>
          <w:spacing w:val="-43"/>
        </w:rPr>
        <w:t> </w:t>
      </w:r>
      <w:r>
        <w:rPr/>
        <w:t>provisão</w:t>
      </w:r>
      <w:r>
        <w:rPr>
          <w:spacing w:val="-42"/>
        </w:rPr>
        <w:t> </w:t>
      </w:r>
      <w:r>
        <w:rPr/>
        <w:t>para</w:t>
      </w:r>
      <w:r>
        <w:rPr>
          <w:spacing w:val="-42"/>
        </w:rPr>
        <w:t> </w:t>
      </w:r>
      <w:r>
        <w:rPr/>
        <w:t>perdas</w:t>
      </w:r>
      <w:r>
        <w:rPr>
          <w:spacing w:val="-43"/>
        </w:rPr>
        <w:t> </w:t>
      </w:r>
      <w:r>
        <w:rPr/>
        <w:t>e/ou</w:t>
      </w:r>
      <w:r>
        <w:rPr>
          <w:spacing w:val="-41"/>
        </w:rPr>
        <w:t> </w:t>
      </w:r>
      <w:r>
        <w:rPr/>
        <w:t>ajuste</w:t>
      </w:r>
      <w:r>
        <w:rPr>
          <w:spacing w:val="-43"/>
        </w:rPr>
        <w:t> </w:t>
      </w:r>
      <w:r>
        <w:rPr/>
        <w:t>a</w:t>
      </w:r>
      <w:r>
        <w:rPr>
          <w:spacing w:val="-42"/>
        </w:rPr>
        <w:t> </w:t>
      </w:r>
      <w:r>
        <w:rPr/>
        <w:t>valor</w:t>
      </w:r>
      <w:r>
        <w:rPr>
          <w:spacing w:val="-43"/>
        </w:rPr>
        <w:t> </w:t>
      </w:r>
      <w:r>
        <w:rPr/>
        <w:t>presente,</w:t>
      </w:r>
      <w:r>
        <w:rPr>
          <w:spacing w:val="-42"/>
        </w:rPr>
        <w:t> </w:t>
      </w:r>
      <w:r>
        <w:rPr/>
        <w:t>quando aplicável. As outras obrigações são demonstradas pelos valores conhecidos ou calculáveis acrescidos, quando aplicável,</w:t>
      </w:r>
      <w:r>
        <w:rPr>
          <w:spacing w:val="-41"/>
        </w:rPr>
        <w:t> </w:t>
      </w:r>
      <w:r>
        <w:rPr/>
        <w:t>dos</w:t>
      </w:r>
      <w:r>
        <w:rPr>
          <w:spacing w:val="-41"/>
        </w:rPr>
        <w:t> </w:t>
      </w:r>
      <w:r>
        <w:rPr/>
        <w:t>correspondentes</w:t>
      </w:r>
      <w:r>
        <w:rPr>
          <w:spacing w:val="-40"/>
        </w:rPr>
        <w:t> </w:t>
      </w:r>
      <w:r>
        <w:rPr/>
        <w:t>encargos</w:t>
      </w:r>
      <w:r>
        <w:rPr>
          <w:spacing w:val="-40"/>
        </w:rPr>
        <w:t> </w:t>
      </w:r>
      <w:r>
        <w:rPr/>
        <w:t>e</w:t>
      </w:r>
      <w:r>
        <w:rPr>
          <w:spacing w:val="-40"/>
        </w:rPr>
        <w:t> </w:t>
      </w:r>
      <w:r>
        <w:rPr/>
        <w:t>das</w:t>
      </w:r>
      <w:r>
        <w:rPr>
          <w:spacing w:val="-41"/>
        </w:rPr>
        <w:t> </w:t>
      </w:r>
      <w:r>
        <w:rPr/>
        <w:t>variações</w:t>
      </w:r>
      <w:r>
        <w:rPr>
          <w:spacing w:val="-39"/>
        </w:rPr>
        <w:t> </w:t>
      </w:r>
      <w:r>
        <w:rPr/>
        <w:t>monetárias</w:t>
      </w:r>
      <w:r>
        <w:rPr>
          <w:spacing w:val="-40"/>
        </w:rPr>
        <w:t> </w:t>
      </w:r>
      <w:r>
        <w:rPr/>
        <w:t>e/ou</w:t>
      </w:r>
      <w:r>
        <w:rPr>
          <w:spacing w:val="-40"/>
        </w:rPr>
        <w:t> </w:t>
      </w:r>
      <w:r>
        <w:rPr/>
        <w:t>cambiais</w:t>
      </w:r>
      <w:r>
        <w:rPr>
          <w:spacing w:val="-41"/>
        </w:rPr>
        <w:t> </w:t>
      </w:r>
      <w:r>
        <w:rPr/>
        <w:t>incorridas</w:t>
      </w:r>
      <w:r>
        <w:rPr>
          <w:spacing w:val="-40"/>
        </w:rPr>
        <w:t> </w:t>
      </w:r>
      <w:r>
        <w:rPr/>
        <w:t>até</w:t>
      </w:r>
      <w:r>
        <w:rPr>
          <w:spacing w:val="-42"/>
        </w:rPr>
        <w:t> </w:t>
      </w:r>
      <w:r>
        <w:rPr/>
        <w:t>a</w:t>
      </w:r>
      <w:r>
        <w:rPr>
          <w:spacing w:val="-40"/>
        </w:rPr>
        <w:t> </w:t>
      </w:r>
      <w:r>
        <w:rPr/>
        <w:t>data</w:t>
      </w:r>
      <w:r>
        <w:rPr>
          <w:spacing w:val="-41"/>
        </w:rPr>
        <w:t> </w:t>
      </w:r>
      <w:r>
        <w:rPr/>
        <w:t>do</w:t>
      </w:r>
      <w:r>
        <w:rPr>
          <w:spacing w:val="-39"/>
        </w:rPr>
        <w:t> </w:t>
      </w:r>
      <w:r>
        <w:rPr/>
        <w:t>balanço.</w:t>
      </w:r>
    </w:p>
    <w:p>
      <w:pPr>
        <w:pStyle w:val="BodyText"/>
        <w:spacing w:before="6"/>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C</w:t>
      </w:r>
      <w:r>
        <w:rPr>
          <w:rFonts w:ascii="Caladea"/>
          <w:b/>
          <w:sz w:val="18"/>
        </w:rPr>
        <w:t>APITAL</w:t>
      </w:r>
      <w:r>
        <w:rPr>
          <w:rFonts w:ascii="Caladea"/>
          <w:b/>
          <w:spacing w:val="-1"/>
          <w:sz w:val="18"/>
        </w:rPr>
        <w:t> </w:t>
      </w:r>
      <w:r>
        <w:rPr>
          <w:rFonts w:ascii="Caladea"/>
          <w:b/>
          <w:sz w:val="22"/>
        </w:rPr>
        <w:t>S</w:t>
      </w:r>
      <w:r>
        <w:rPr>
          <w:rFonts w:ascii="Caladea"/>
          <w:b/>
          <w:sz w:val="18"/>
        </w:rPr>
        <w:t>OCIAL</w:t>
      </w:r>
    </w:p>
    <w:p>
      <w:pPr>
        <w:pStyle w:val="BodyText"/>
        <w:spacing w:before="10"/>
        <w:rPr>
          <w:rFonts w:ascii="Caladea"/>
          <w:b/>
          <w:sz w:val="23"/>
        </w:rPr>
      </w:pPr>
    </w:p>
    <w:p>
      <w:pPr>
        <w:pStyle w:val="BodyText"/>
        <w:ind w:left="192"/>
        <w:jc w:val="both"/>
      </w:pPr>
      <w:r>
        <w:rPr/>
        <w:t>As ações ordinárias e as preferenciais são classificadas no patrimônio líquido.</w:t>
      </w:r>
    </w:p>
    <w:p>
      <w:pPr>
        <w:pStyle w:val="BodyText"/>
        <w:spacing w:before="8"/>
      </w:pPr>
    </w:p>
    <w:p>
      <w:pPr>
        <w:pStyle w:val="Heading5"/>
        <w:numPr>
          <w:ilvl w:val="2"/>
          <w:numId w:val="16"/>
        </w:numPr>
        <w:tabs>
          <w:tab w:pos="1046" w:val="left" w:leader="none"/>
        </w:tabs>
        <w:spacing w:line="240" w:lineRule="auto" w:before="1" w:after="0"/>
        <w:ind w:left="1045" w:right="0" w:hanging="854"/>
        <w:jc w:val="left"/>
      </w:pPr>
      <w:r>
        <w:rPr/>
        <w:t>Ações</w:t>
      </w:r>
      <w:r>
        <w:rPr>
          <w:spacing w:val="-2"/>
        </w:rPr>
        <w:t> </w:t>
      </w:r>
      <w:r>
        <w:rPr/>
        <w:t>ordinárias</w:t>
      </w:r>
    </w:p>
    <w:p>
      <w:pPr>
        <w:pStyle w:val="BodyText"/>
        <w:rPr>
          <w:rFonts w:ascii="Caladea"/>
          <w:b/>
          <w:sz w:val="24"/>
        </w:rPr>
      </w:pPr>
    </w:p>
    <w:p>
      <w:pPr>
        <w:pStyle w:val="BodyText"/>
        <w:spacing w:line="242" w:lineRule="auto"/>
        <w:ind w:left="192" w:right="611"/>
        <w:jc w:val="both"/>
      </w:pPr>
      <w:r>
        <w:rPr>
          <w:spacing w:val="-3"/>
        </w:rPr>
        <w:t>Ações</w:t>
      </w:r>
      <w:r>
        <w:rPr>
          <w:spacing w:val="-26"/>
        </w:rPr>
        <w:t> </w:t>
      </w:r>
      <w:r>
        <w:rPr>
          <w:spacing w:val="-3"/>
        </w:rPr>
        <w:t>ordinárias</w:t>
      </w:r>
      <w:r>
        <w:rPr>
          <w:spacing w:val="-27"/>
        </w:rPr>
        <w:t> </w:t>
      </w:r>
      <w:r>
        <w:rPr/>
        <w:t>são</w:t>
      </w:r>
      <w:r>
        <w:rPr>
          <w:spacing w:val="-27"/>
        </w:rPr>
        <w:t> </w:t>
      </w:r>
      <w:r>
        <w:rPr/>
        <w:t>classificadas</w:t>
      </w:r>
      <w:r>
        <w:rPr>
          <w:spacing w:val="-27"/>
        </w:rPr>
        <w:t> </w:t>
      </w:r>
      <w:r>
        <w:rPr/>
        <w:t>como</w:t>
      </w:r>
      <w:r>
        <w:rPr>
          <w:spacing w:val="-26"/>
        </w:rPr>
        <w:t> </w:t>
      </w:r>
      <w:r>
        <w:rPr/>
        <w:t>patrimônio</w:t>
      </w:r>
      <w:r>
        <w:rPr>
          <w:spacing w:val="-27"/>
        </w:rPr>
        <w:t> </w:t>
      </w:r>
      <w:r>
        <w:rPr/>
        <w:t>líquido.</w:t>
      </w:r>
      <w:r>
        <w:rPr>
          <w:spacing w:val="-27"/>
        </w:rPr>
        <w:t> </w:t>
      </w:r>
      <w:r>
        <w:rPr/>
        <w:t>Custos</w:t>
      </w:r>
      <w:r>
        <w:rPr>
          <w:spacing w:val="-27"/>
        </w:rPr>
        <w:t> </w:t>
      </w:r>
      <w:r>
        <w:rPr/>
        <w:t>adicionais</w:t>
      </w:r>
      <w:r>
        <w:rPr>
          <w:spacing w:val="-26"/>
        </w:rPr>
        <w:t> </w:t>
      </w:r>
      <w:r>
        <w:rPr/>
        <w:t>diretamente</w:t>
      </w:r>
      <w:r>
        <w:rPr>
          <w:spacing w:val="-28"/>
        </w:rPr>
        <w:t> </w:t>
      </w:r>
      <w:r>
        <w:rPr/>
        <w:t>atribuíveis</w:t>
      </w:r>
      <w:r>
        <w:rPr>
          <w:spacing w:val="-26"/>
        </w:rPr>
        <w:t> </w:t>
      </w:r>
      <w:r>
        <w:rPr/>
        <w:t>à</w:t>
      </w:r>
      <w:r>
        <w:rPr>
          <w:spacing w:val="-25"/>
        </w:rPr>
        <w:t> </w:t>
      </w:r>
      <w:r>
        <w:rPr/>
        <w:t>emissão</w:t>
      </w:r>
      <w:r>
        <w:rPr>
          <w:spacing w:val="-28"/>
        </w:rPr>
        <w:t> </w:t>
      </w:r>
      <w:r>
        <w:rPr/>
        <w:t>de ações</w:t>
      </w:r>
      <w:r>
        <w:rPr>
          <w:spacing w:val="-36"/>
        </w:rPr>
        <w:t> </w:t>
      </w:r>
      <w:r>
        <w:rPr/>
        <w:t>e</w:t>
      </w:r>
      <w:r>
        <w:rPr>
          <w:spacing w:val="-38"/>
        </w:rPr>
        <w:t> </w:t>
      </w:r>
      <w:r>
        <w:rPr/>
        <w:t>opção</w:t>
      </w:r>
      <w:r>
        <w:rPr>
          <w:spacing w:val="-37"/>
        </w:rPr>
        <w:t> </w:t>
      </w:r>
      <w:r>
        <w:rPr/>
        <w:t>de</w:t>
      </w:r>
      <w:r>
        <w:rPr>
          <w:spacing w:val="-37"/>
        </w:rPr>
        <w:t> </w:t>
      </w:r>
      <w:r>
        <w:rPr/>
        <w:t>ações</w:t>
      </w:r>
      <w:r>
        <w:rPr>
          <w:spacing w:val="-37"/>
        </w:rPr>
        <w:t> </w:t>
      </w:r>
      <w:r>
        <w:rPr/>
        <w:t>são</w:t>
      </w:r>
      <w:r>
        <w:rPr>
          <w:spacing w:val="-36"/>
        </w:rPr>
        <w:t> </w:t>
      </w:r>
      <w:r>
        <w:rPr/>
        <w:t>reconhecidos</w:t>
      </w:r>
      <w:r>
        <w:rPr>
          <w:spacing w:val="-36"/>
        </w:rPr>
        <w:t> </w:t>
      </w:r>
      <w:r>
        <w:rPr/>
        <w:t>como</w:t>
      </w:r>
      <w:r>
        <w:rPr>
          <w:spacing w:val="-37"/>
        </w:rPr>
        <w:t> </w:t>
      </w:r>
      <w:r>
        <w:rPr/>
        <w:t>dedução</w:t>
      </w:r>
      <w:r>
        <w:rPr>
          <w:spacing w:val="-36"/>
        </w:rPr>
        <w:t> </w:t>
      </w:r>
      <w:r>
        <w:rPr/>
        <w:t>do</w:t>
      </w:r>
      <w:r>
        <w:rPr>
          <w:spacing w:val="-37"/>
        </w:rPr>
        <w:t> </w:t>
      </w:r>
      <w:r>
        <w:rPr/>
        <w:t>patrimônio</w:t>
      </w:r>
      <w:r>
        <w:rPr>
          <w:spacing w:val="-37"/>
        </w:rPr>
        <w:t> </w:t>
      </w:r>
      <w:r>
        <w:rPr/>
        <w:t>líquido,</w:t>
      </w:r>
      <w:r>
        <w:rPr>
          <w:spacing w:val="-37"/>
        </w:rPr>
        <w:t> </w:t>
      </w:r>
      <w:r>
        <w:rPr/>
        <w:t>livre</w:t>
      </w:r>
      <w:r>
        <w:rPr>
          <w:spacing w:val="-37"/>
        </w:rPr>
        <w:t> </w:t>
      </w:r>
      <w:r>
        <w:rPr/>
        <w:t>de</w:t>
      </w:r>
      <w:r>
        <w:rPr>
          <w:spacing w:val="-36"/>
        </w:rPr>
        <w:t> </w:t>
      </w:r>
      <w:r>
        <w:rPr/>
        <w:t>quaisquer</w:t>
      </w:r>
      <w:r>
        <w:rPr>
          <w:spacing w:val="-37"/>
        </w:rPr>
        <w:t> </w:t>
      </w:r>
      <w:r>
        <w:rPr>
          <w:spacing w:val="-3"/>
        </w:rPr>
        <w:t>efeitos</w:t>
      </w:r>
      <w:r>
        <w:rPr>
          <w:spacing w:val="-36"/>
        </w:rPr>
        <w:t> </w:t>
      </w:r>
      <w:r>
        <w:rPr>
          <w:spacing w:val="-2"/>
        </w:rPr>
        <w:t>tributários, </w:t>
      </w:r>
      <w:r>
        <w:rPr>
          <w:spacing w:val="-3"/>
        </w:rPr>
        <w:t>quando</w:t>
      </w:r>
      <w:r>
        <w:rPr>
          <w:spacing w:val="-21"/>
        </w:rPr>
        <w:t> </w:t>
      </w:r>
      <w:r>
        <w:rPr/>
        <w:t>aplicável.</w:t>
      </w:r>
    </w:p>
    <w:p>
      <w:pPr>
        <w:pStyle w:val="BodyText"/>
        <w:spacing w:before="6"/>
      </w:pPr>
    </w:p>
    <w:p>
      <w:pPr>
        <w:pStyle w:val="Heading5"/>
        <w:numPr>
          <w:ilvl w:val="2"/>
          <w:numId w:val="16"/>
        </w:numPr>
        <w:tabs>
          <w:tab w:pos="1046" w:val="left" w:leader="none"/>
        </w:tabs>
        <w:spacing w:line="240" w:lineRule="auto" w:before="0" w:after="0"/>
        <w:ind w:left="1045" w:right="0" w:hanging="854"/>
        <w:jc w:val="left"/>
      </w:pPr>
      <w:r>
        <w:rPr/>
        <w:t>Ações</w:t>
      </w:r>
      <w:r>
        <w:rPr>
          <w:spacing w:val="-1"/>
        </w:rPr>
        <w:t> </w:t>
      </w:r>
      <w:r>
        <w:rPr/>
        <w:t>preferenciais</w:t>
      </w:r>
    </w:p>
    <w:p>
      <w:pPr>
        <w:pStyle w:val="BodyText"/>
        <w:rPr>
          <w:rFonts w:ascii="Caladea"/>
          <w:b/>
          <w:sz w:val="24"/>
        </w:rPr>
      </w:pPr>
    </w:p>
    <w:p>
      <w:pPr>
        <w:pStyle w:val="BodyText"/>
        <w:ind w:left="192" w:right="602"/>
        <w:jc w:val="both"/>
      </w:pPr>
      <w:r>
        <w:rPr>
          <w:spacing w:val="-3"/>
          <w:w w:val="95"/>
        </w:rPr>
        <w:t>Ações</w:t>
      </w:r>
      <w:r>
        <w:rPr>
          <w:spacing w:val="-26"/>
          <w:w w:val="95"/>
        </w:rPr>
        <w:t> </w:t>
      </w:r>
      <w:r>
        <w:rPr>
          <w:spacing w:val="-3"/>
          <w:w w:val="95"/>
        </w:rPr>
        <w:t>preferenciais</w:t>
      </w:r>
      <w:r>
        <w:rPr>
          <w:spacing w:val="-28"/>
          <w:w w:val="95"/>
        </w:rPr>
        <w:t> </w:t>
      </w:r>
      <w:r>
        <w:rPr>
          <w:w w:val="95"/>
        </w:rPr>
        <w:t>são</w:t>
      </w:r>
      <w:r>
        <w:rPr>
          <w:spacing w:val="-29"/>
          <w:w w:val="95"/>
        </w:rPr>
        <w:t> </w:t>
      </w:r>
      <w:r>
        <w:rPr>
          <w:w w:val="95"/>
        </w:rPr>
        <w:t>classificadas</w:t>
      </w:r>
      <w:r>
        <w:rPr>
          <w:spacing w:val="-26"/>
          <w:w w:val="95"/>
        </w:rPr>
        <w:t> </w:t>
      </w:r>
      <w:r>
        <w:rPr>
          <w:w w:val="95"/>
        </w:rPr>
        <w:t>no</w:t>
      </w:r>
      <w:r>
        <w:rPr>
          <w:spacing w:val="-26"/>
          <w:w w:val="95"/>
        </w:rPr>
        <w:t> </w:t>
      </w:r>
      <w:r>
        <w:rPr>
          <w:w w:val="95"/>
        </w:rPr>
        <w:t>patrimônio</w:t>
      </w:r>
      <w:r>
        <w:rPr>
          <w:spacing w:val="-26"/>
          <w:w w:val="95"/>
        </w:rPr>
        <w:t> </w:t>
      </w:r>
      <w:r>
        <w:rPr>
          <w:w w:val="95"/>
        </w:rPr>
        <w:t>líquido</w:t>
      </w:r>
      <w:r>
        <w:rPr>
          <w:spacing w:val="-27"/>
          <w:w w:val="95"/>
        </w:rPr>
        <w:t> </w:t>
      </w:r>
      <w:r>
        <w:rPr>
          <w:w w:val="95"/>
        </w:rPr>
        <w:t>caso</w:t>
      </w:r>
      <w:r>
        <w:rPr>
          <w:spacing w:val="-29"/>
          <w:w w:val="95"/>
        </w:rPr>
        <w:t> </w:t>
      </w:r>
      <w:r>
        <w:rPr>
          <w:w w:val="95"/>
        </w:rPr>
        <w:t>não</w:t>
      </w:r>
      <w:r>
        <w:rPr>
          <w:spacing w:val="-29"/>
          <w:w w:val="95"/>
        </w:rPr>
        <w:t> </w:t>
      </w:r>
      <w:r>
        <w:rPr>
          <w:w w:val="95"/>
        </w:rPr>
        <w:t>sejam</w:t>
      </w:r>
      <w:r>
        <w:rPr>
          <w:spacing w:val="-26"/>
          <w:w w:val="95"/>
        </w:rPr>
        <w:t> </w:t>
      </w:r>
      <w:r>
        <w:rPr>
          <w:w w:val="95"/>
        </w:rPr>
        <w:t>resgatáveis,</w:t>
      </w:r>
      <w:r>
        <w:rPr>
          <w:spacing w:val="-27"/>
          <w:w w:val="95"/>
        </w:rPr>
        <w:t> </w:t>
      </w:r>
      <w:r>
        <w:rPr>
          <w:w w:val="95"/>
        </w:rPr>
        <w:t>ou</w:t>
      </w:r>
      <w:r>
        <w:rPr>
          <w:spacing w:val="-28"/>
          <w:w w:val="95"/>
        </w:rPr>
        <w:t> </w:t>
      </w:r>
      <w:r>
        <w:rPr>
          <w:w w:val="95"/>
        </w:rPr>
        <w:t>resgatáveis</w:t>
      </w:r>
      <w:r>
        <w:rPr>
          <w:spacing w:val="-28"/>
          <w:w w:val="95"/>
        </w:rPr>
        <w:t> </w:t>
      </w:r>
      <w:r>
        <w:rPr>
          <w:w w:val="95"/>
        </w:rPr>
        <w:t>somente</w:t>
      </w:r>
      <w:r>
        <w:rPr>
          <w:spacing w:val="-27"/>
          <w:w w:val="95"/>
        </w:rPr>
        <w:t> </w:t>
      </w:r>
      <w:r>
        <w:rPr>
          <w:w w:val="95"/>
        </w:rPr>
        <w:t>à</w:t>
      </w:r>
      <w:r>
        <w:rPr>
          <w:spacing w:val="-26"/>
          <w:w w:val="95"/>
        </w:rPr>
        <w:t> </w:t>
      </w:r>
      <w:r>
        <w:rPr>
          <w:w w:val="95"/>
        </w:rPr>
        <w:t>escolha </w:t>
      </w:r>
      <w:r>
        <w:rPr/>
        <w:t>da</w:t>
      </w:r>
      <w:r>
        <w:rPr>
          <w:spacing w:val="-41"/>
        </w:rPr>
        <w:t> </w:t>
      </w:r>
      <w:r>
        <w:rPr/>
        <w:t>Companhia</w:t>
      </w:r>
      <w:r>
        <w:rPr>
          <w:spacing w:val="-39"/>
        </w:rPr>
        <w:t> </w:t>
      </w:r>
      <w:r>
        <w:rPr/>
        <w:t>e</w:t>
      </w:r>
      <w:r>
        <w:rPr>
          <w:spacing w:val="-40"/>
        </w:rPr>
        <w:t> </w:t>
      </w:r>
      <w:r>
        <w:rPr>
          <w:spacing w:val="-3"/>
        </w:rPr>
        <w:t>quaisquer</w:t>
      </w:r>
      <w:r>
        <w:rPr>
          <w:spacing w:val="-39"/>
        </w:rPr>
        <w:t> </w:t>
      </w:r>
      <w:r>
        <w:rPr/>
        <w:t>dividendos</w:t>
      </w:r>
      <w:r>
        <w:rPr>
          <w:spacing w:val="-39"/>
        </w:rPr>
        <w:t> </w:t>
      </w:r>
      <w:r>
        <w:rPr/>
        <w:t>sejam</w:t>
      </w:r>
      <w:r>
        <w:rPr>
          <w:spacing w:val="-39"/>
        </w:rPr>
        <w:t> </w:t>
      </w:r>
      <w:r>
        <w:rPr>
          <w:spacing w:val="-3"/>
        </w:rPr>
        <w:t>discricionários.</w:t>
      </w:r>
      <w:r>
        <w:rPr>
          <w:spacing w:val="-40"/>
        </w:rPr>
        <w:t> </w:t>
      </w:r>
      <w:r>
        <w:rPr/>
        <w:t>Dividendos</w:t>
      </w:r>
      <w:r>
        <w:rPr>
          <w:spacing w:val="-38"/>
        </w:rPr>
        <w:t> </w:t>
      </w:r>
      <w:r>
        <w:rPr>
          <w:spacing w:val="-3"/>
        </w:rPr>
        <w:t>pagos</w:t>
      </w:r>
      <w:r>
        <w:rPr>
          <w:spacing w:val="-40"/>
        </w:rPr>
        <w:t> </w:t>
      </w:r>
      <w:r>
        <w:rPr/>
        <w:t>são</w:t>
      </w:r>
      <w:r>
        <w:rPr>
          <w:spacing w:val="-39"/>
        </w:rPr>
        <w:t> </w:t>
      </w:r>
      <w:r>
        <w:rPr>
          <w:spacing w:val="-3"/>
        </w:rPr>
        <w:t>reconhecidos</w:t>
      </w:r>
      <w:r>
        <w:rPr>
          <w:spacing w:val="-38"/>
        </w:rPr>
        <w:t> </w:t>
      </w:r>
      <w:r>
        <w:rPr/>
        <w:t>no</w:t>
      </w:r>
      <w:r>
        <w:rPr>
          <w:spacing w:val="-40"/>
        </w:rPr>
        <w:t> </w:t>
      </w:r>
      <w:r>
        <w:rPr/>
        <w:t>patrimônio</w:t>
      </w:r>
      <w:r>
        <w:rPr>
          <w:spacing w:val="-40"/>
        </w:rPr>
        <w:t> </w:t>
      </w:r>
      <w:r>
        <w:rPr>
          <w:spacing w:val="-3"/>
        </w:rPr>
        <w:t>líquido quando</w:t>
      </w:r>
      <w:r>
        <w:rPr>
          <w:spacing w:val="-22"/>
        </w:rPr>
        <w:t> </w:t>
      </w:r>
      <w:r>
        <w:rPr/>
        <w:t>da</w:t>
      </w:r>
      <w:r>
        <w:rPr>
          <w:spacing w:val="-20"/>
        </w:rPr>
        <w:t> </w:t>
      </w:r>
      <w:r>
        <w:rPr/>
        <w:t>aprovação</w:t>
      </w:r>
      <w:r>
        <w:rPr>
          <w:spacing w:val="-22"/>
        </w:rPr>
        <w:t> </w:t>
      </w:r>
      <w:r>
        <w:rPr/>
        <w:t>dos</w:t>
      </w:r>
      <w:r>
        <w:rPr>
          <w:spacing w:val="-20"/>
        </w:rPr>
        <w:t> </w:t>
      </w:r>
      <w:r>
        <w:rPr/>
        <w:t>acionistas</w:t>
      </w:r>
      <w:r>
        <w:rPr>
          <w:spacing w:val="-23"/>
        </w:rPr>
        <w:t> </w:t>
      </w:r>
      <w:r>
        <w:rPr/>
        <w:t>da</w:t>
      </w:r>
      <w:r>
        <w:rPr>
          <w:spacing w:val="-20"/>
        </w:rPr>
        <w:t> </w:t>
      </w:r>
      <w:r>
        <w:rPr/>
        <w:t>Companhia.</w:t>
      </w:r>
    </w:p>
    <w:p>
      <w:pPr>
        <w:pStyle w:val="BodyText"/>
        <w:spacing w:before="105"/>
        <w:ind w:left="192"/>
        <w:jc w:val="both"/>
      </w:pPr>
      <w:r>
        <w:rPr/>
        <w:t>Os dividendos mínimos obrigatórios, conforme definido em estatuto, são reconhecidos como passivo.</w:t>
      </w:r>
    </w:p>
    <w:p>
      <w:pPr>
        <w:pStyle w:val="BodyText"/>
        <w:spacing w:before="9"/>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R</w:t>
      </w:r>
      <w:r>
        <w:rPr>
          <w:rFonts w:ascii="Caladea"/>
          <w:b/>
          <w:sz w:val="18"/>
        </w:rPr>
        <w:t>ECONHECIMENTO DE</w:t>
      </w:r>
      <w:r>
        <w:rPr>
          <w:rFonts w:ascii="Caladea"/>
          <w:b/>
          <w:spacing w:val="2"/>
          <w:sz w:val="18"/>
        </w:rPr>
        <w:t> </w:t>
      </w:r>
      <w:r>
        <w:rPr>
          <w:rFonts w:ascii="Caladea"/>
          <w:b/>
          <w:sz w:val="22"/>
        </w:rPr>
        <w:t>R</w:t>
      </w:r>
      <w:r>
        <w:rPr>
          <w:rFonts w:ascii="Caladea"/>
          <w:b/>
          <w:sz w:val="18"/>
        </w:rPr>
        <w:t>ECEITA</w:t>
      </w:r>
    </w:p>
    <w:p>
      <w:pPr>
        <w:pStyle w:val="BodyText"/>
        <w:rPr>
          <w:rFonts w:ascii="Caladea"/>
          <w:b/>
          <w:sz w:val="24"/>
        </w:rPr>
      </w:pPr>
    </w:p>
    <w:p>
      <w:pPr>
        <w:pStyle w:val="BodyText"/>
        <w:spacing w:line="242" w:lineRule="auto"/>
        <w:ind w:left="192" w:right="610"/>
        <w:jc w:val="both"/>
      </w:pPr>
      <w:r>
        <w:rPr/>
        <w:t>A</w:t>
      </w:r>
      <w:r>
        <w:rPr>
          <w:spacing w:val="-44"/>
        </w:rPr>
        <w:t> </w:t>
      </w:r>
      <w:r>
        <w:rPr/>
        <w:t>receita</w:t>
      </w:r>
      <w:r>
        <w:rPr>
          <w:spacing w:val="-43"/>
        </w:rPr>
        <w:t> </w:t>
      </w:r>
      <w:r>
        <w:rPr/>
        <w:t>é</w:t>
      </w:r>
      <w:r>
        <w:rPr>
          <w:spacing w:val="-43"/>
        </w:rPr>
        <w:t> </w:t>
      </w:r>
      <w:r>
        <w:rPr/>
        <w:t>reconhecida</w:t>
      </w:r>
      <w:r>
        <w:rPr>
          <w:spacing w:val="-44"/>
        </w:rPr>
        <w:t> </w:t>
      </w:r>
      <w:r>
        <w:rPr/>
        <w:t>por</w:t>
      </w:r>
      <w:r>
        <w:rPr>
          <w:spacing w:val="-42"/>
        </w:rPr>
        <w:t> </w:t>
      </w:r>
      <w:r>
        <w:rPr/>
        <w:t>meio</w:t>
      </w:r>
      <w:r>
        <w:rPr>
          <w:spacing w:val="-43"/>
        </w:rPr>
        <w:t> </w:t>
      </w:r>
      <w:r>
        <w:rPr/>
        <w:t>de</w:t>
      </w:r>
      <w:r>
        <w:rPr>
          <w:spacing w:val="-44"/>
        </w:rPr>
        <w:t> </w:t>
      </w:r>
      <w:r>
        <w:rPr/>
        <w:t>contratos</w:t>
      </w:r>
      <w:r>
        <w:rPr>
          <w:spacing w:val="-42"/>
        </w:rPr>
        <w:t> </w:t>
      </w:r>
      <w:r>
        <w:rPr/>
        <w:t>firmados,</w:t>
      </w:r>
      <w:r>
        <w:rPr>
          <w:spacing w:val="-42"/>
        </w:rPr>
        <w:t> </w:t>
      </w:r>
      <w:r>
        <w:rPr/>
        <w:t>cuja</w:t>
      </w:r>
      <w:r>
        <w:rPr>
          <w:spacing w:val="-43"/>
        </w:rPr>
        <w:t> </w:t>
      </w:r>
      <w:r>
        <w:rPr/>
        <w:t>obrigação</w:t>
      </w:r>
      <w:r>
        <w:rPr>
          <w:spacing w:val="-44"/>
        </w:rPr>
        <w:t> </w:t>
      </w:r>
      <w:r>
        <w:rPr/>
        <w:t>de</w:t>
      </w:r>
      <w:r>
        <w:rPr>
          <w:spacing w:val="-44"/>
        </w:rPr>
        <w:t> </w:t>
      </w:r>
      <w:r>
        <w:rPr/>
        <w:t>desempenho</w:t>
      </w:r>
      <w:r>
        <w:rPr>
          <w:spacing w:val="-42"/>
        </w:rPr>
        <w:t> </w:t>
      </w:r>
      <w:r>
        <w:rPr/>
        <w:t>é</w:t>
      </w:r>
      <w:r>
        <w:rPr>
          <w:spacing w:val="-45"/>
        </w:rPr>
        <w:t> </w:t>
      </w:r>
      <w:r>
        <w:rPr/>
        <w:t>atendida</w:t>
      </w:r>
      <w:r>
        <w:rPr>
          <w:spacing w:val="-43"/>
        </w:rPr>
        <w:t> </w:t>
      </w:r>
      <w:r>
        <w:rPr/>
        <w:t>ao</w:t>
      </w:r>
      <w:r>
        <w:rPr>
          <w:spacing w:val="-43"/>
        </w:rPr>
        <w:t> </w:t>
      </w:r>
      <w:r>
        <w:rPr/>
        <w:t>longo</w:t>
      </w:r>
      <w:r>
        <w:rPr>
          <w:spacing w:val="-43"/>
        </w:rPr>
        <w:t> </w:t>
      </w:r>
      <w:r>
        <w:rPr/>
        <w:t>do</w:t>
      </w:r>
      <w:r>
        <w:rPr>
          <w:spacing w:val="-43"/>
        </w:rPr>
        <w:t> </w:t>
      </w:r>
      <w:r>
        <w:rPr/>
        <w:t>tempo e o valor da contraprestação reflete o valor justo a receber no momento em que os serviços </w:t>
      </w:r>
      <w:r>
        <w:rPr>
          <w:spacing w:val="4"/>
        </w:rPr>
        <w:t>são </w:t>
      </w:r>
      <w:r>
        <w:rPr/>
        <w:t>efetivamente transferidos</w:t>
      </w:r>
      <w:r>
        <w:rPr>
          <w:spacing w:val="-25"/>
        </w:rPr>
        <w:t> </w:t>
      </w:r>
      <w:r>
        <w:rPr/>
        <w:t>ao</w:t>
      </w:r>
      <w:r>
        <w:rPr>
          <w:spacing w:val="-25"/>
        </w:rPr>
        <w:t> </w:t>
      </w:r>
      <w:r>
        <w:rPr/>
        <w:t>cliente,</w:t>
      </w:r>
      <w:r>
        <w:rPr>
          <w:spacing w:val="-26"/>
        </w:rPr>
        <w:t> </w:t>
      </w:r>
      <w:r>
        <w:rPr/>
        <w:t>deduzida</w:t>
      </w:r>
      <w:r>
        <w:rPr>
          <w:spacing w:val="-24"/>
        </w:rPr>
        <w:t> </w:t>
      </w:r>
      <w:r>
        <w:rPr/>
        <w:t>dos</w:t>
      </w:r>
      <w:r>
        <w:rPr>
          <w:spacing w:val="-24"/>
        </w:rPr>
        <w:t> </w:t>
      </w:r>
      <w:r>
        <w:rPr/>
        <w:t>impostos</w:t>
      </w:r>
      <w:r>
        <w:rPr>
          <w:spacing w:val="-23"/>
        </w:rPr>
        <w:t> </w:t>
      </w:r>
      <w:r>
        <w:rPr/>
        <w:t>e</w:t>
      </w:r>
      <w:r>
        <w:rPr>
          <w:spacing w:val="-24"/>
        </w:rPr>
        <w:t> </w:t>
      </w:r>
      <w:r>
        <w:rPr/>
        <w:t>dos</w:t>
      </w:r>
      <w:r>
        <w:rPr>
          <w:spacing w:val="-23"/>
        </w:rPr>
        <w:t> </w:t>
      </w:r>
      <w:r>
        <w:rPr/>
        <w:t>eventuais</w:t>
      </w:r>
      <w:r>
        <w:rPr>
          <w:spacing w:val="-24"/>
        </w:rPr>
        <w:t> </w:t>
      </w:r>
      <w:r>
        <w:rPr/>
        <w:t>descontos</w:t>
      </w:r>
      <w:r>
        <w:rPr>
          <w:spacing w:val="-23"/>
        </w:rPr>
        <w:t> </w:t>
      </w:r>
      <w:r>
        <w:rPr/>
        <w:t>incidentes</w:t>
      </w:r>
      <w:r>
        <w:rPr>
          <w:spacing w:val="-21"/>
        </w:rPr>
        <w:t> </w:t>
      </w:r>
      <w:r>
        <w:rPr/>
        <w:t>sobre</w:t>
      </w:r>
      <w:r>
        <w:rPr>
          <w:spacing w:val="-26"/>
        </w:rPr>
        <w:t> </w:t>
      </w:r>
      <w:r>
        <w:rPr/>
        <w:t>a</w:t>
      </w:r>
      <w:r>
        <w:rPr>
          <w:spacing w:val="-22"/>
        </w:rPr>
        <w:t> </w:t>
      </w:r>
      <w:r>
        <w:rPr/>
        <w:t>mesma.</w:t>
      </w:r>
    </w:p>
    <w:p>
      <w:pPr>
        <w:pStyle w:val="BodyText"/>
        <w:spacing w:line="242" w:lineRule="auto" w:before="121"/>
        <w:ind w:left="192" w:right="620"/>
        <w:jc w:val="both"/>
      </w:pPr>
      <w:r>
        <w:rPr/>
        <w:t>A</w:t>
      </w:r>
      <w:r>
        <w:rPr>
          <w:spacing w:val="-31"/>
        </w:rPr>
        <w:t> </w:t>
      </w:r>
      <w:r>
        <w:rPr/>
        <w:t>partir</w:t>
      </w:r>
      <w:r>
        <w:rPr>
          <w:spacing w:val="-29"/>
        </w:rPr>
        <w:t> </w:t>
      </w:r>
      <w:r>
        <w:rPr/>
        <w:t>de</w:t>
      </w:r>
      <w:r>
        <w:rPr>
          <w:spacing w:val="-29"/>
        </w:rPr>
        <w:t> </w:t>
      </w:r>
      <w:r>
        <w:rPr/>
        <w:t>1º</w:t>
      </w:r>
      <w:r>
        <w:rPr>
          <w:spacing w:val="-30"/>
        </w:rPr>
        <w:t> </w:t>
      </w:r>
      <w:r>
        <w:rPr/>
        <w:t>de</w:t>
      </w:r>
      <w:r>
        <w:rPr>
          <w:spacing w:val="-29"/>
        </w:rPr>
        <w:t> </w:t>
      </w:r>
      <w:r>
        <w:rPr/>
        <w:t>janeiro</w:t>
      </w:r>
      <w:r>
        <w:rPr>
          <w:spacing w:val="-29"/>
        </w:rPr>
        <w:t> </w:t>
      </w:r>
      <w:r>
        <w:rPr/>
        <w:t>de</w:t>
      </w:r>
      <w:r>
        <w:rPr>
          <w:spacing w:val="-30"/>
        </w:rPr>
        <w:t> </w:t>
      </w:r>
      <w:r>
        <w:rPr/>
        <w:t>2018</w:t>
      </w:r>
      <w:r>
        <w:rPr>
          <w:spacing w:val="-28"/>
        </w:rPr>
        <w:t> </w:t>
      </w:r>
      <w:r>
        <w:rPr/>
        <w:t>o</w:t>
      </w:r>
      <w:r>
        <w:rPr>
          <w:spacing w:val="-31"/>
        </w:rPr>
        <w:t> </w:t>
      </w:r>
      <w:r>
        <w:rPr/>
        <w:t>CPC</w:t>
      </w:r>
      <w:r>
        <w:rPr>
          <w:spacing w:val="-29"/>
        </w:rPr>
        <w:t> </w:t>
      </w:r>
      <w:r>
        <w:rPr/>
        <w:t>47</w:t>
      </w:r>
      <w:r>
        <w:rPr>
          <w:spacing w:val="-29"/>
        </w:rPr>
        <w:t> </w:t>
      </w:r>
      <w:r>
        <w:rPr/>
        <w:t>foi</w:t>
      </w:r>
      <w:r>
        <w:rPr>
          <w:spacing w:val="-29"/>
        </w:rPr>
        <w:t> </w:t>
      </w:r>
      <w:r>
        <w:rPr/>
        <w:t>adotado</w:t>
      </w:r>
      <w:r>
        <w:rPr>
          <w:spacing w:val="-27"/>
        </w:rPr>
        <w:t> </w:t>
      </w:r>
      <w:r>
        <w:rPr/>
        <w:t>pela</w:t>
      </w:r>
      <w:r>
        <w:rPr>
          <w:spacing w:val="-30"/>
        </w:rPr>
        <w:t> </w:t>
      </w:r>
      <w:r>
        <w:rPr/>
        <w:t>Companhia,</w:t>
      </w:r>
      <w:r>
        <w:rPr>
          <w:spacing w:val="-29"/>
        </w:rPr>
        <w:t> </w:t>
      </w:r>
      <w:r>
        <w:rPr/>
        <w:t>todos</w:t>
      </w:r>
      <w:r>
        <w:rPr>
          <w:spacing w:val="-28"/>
        </w:rPr>
        <w:t> </w:t>
      </w:r>
      <w:r>
        <w:rPr/>
        <w:t>os</w:t>
      </w:r>
      <w:r>
        <w:rPr>
          <w:spacing w:val="-29"/>
        </w:rPr>
        <w:t> </w:t>
      </w:r>
      <w:r>
        <w:rPr/>
        <w:t>ativos</w:t>
      </w:r>
      <w:r>
        <w:rPr>
          <w:spacing w:val="-29"/>
        </w:rPr>
        <w:t> </w:t>
      </w:r>
      <w:r>
        <w:rPr/>
        <w:t>estão</w:t>
      </w:r>
      <w:r>
        <w:rPr>
          <w:spacing w:val="-28"/>
        </w:rPr>
        <w:t> </w:t>
      </w:r>
      <w:r>
        <w:rPr/>
        <w:t>registrados</w:t>
      </w:r>
      <w:r>
        <w:rPr>
          <w:spacing w:val="-29"/>
        </w:rPr>
        <w:t> </w:t>
      </w:r>
      <w:r>
        <w:rPr/>
        <w:t>conforme</w:t>
      </w:r>
      <w:r>
        <w:rPr>
          <w:spacing w:val="-30"/>
        </w:rPr>
        <w:t> </w:t>
      </w:r>
      <w:r>
        <w:rPr/>
        <w:t>a respectiva</w:t>
      </w:r>
      <w:r>
        <w:rPr>
          <w:spacing w:val="-18"/>
        </w:rPr>
        <w:t> </w:t>
      </w:r>
      <w:r>
        <w:rPr/>
        <w:t>prática.</w:t>
      </w:r>
    </w:p>
    <w:p>
      <w:pPr>
        <w:pStyle w:val="BodyText"/>
        <w:spacing w:line="242" w:lineRule="auto" w:before="118"/>
        <w:ind w:left="192" w:right="609"/>
        <w:jc w:val="both"/>
      </w:pPr>
      <w:r>
        <w:rPr/>
        <w:t>O</w:t>
      </w:r>
      <w:r>
        <w:rPr>
          <w:spacing w:val="-31"/>
        </w:rPr>
        <w:t> </w:t>
      </w:r>
      <w:r>
        <w:rPr/>
        <w:t>reconhecimento</w:t>
      </w:r>
      <w:r>
        <w:rPr>
          <w:spacing w:val="-30"/>
        </w:rPr>
        <w:t> </w:t>
      </w:r>
      <w:r>
        <w:rPr/>
        <w:t>da</w:t>
      </w:r>
      <w:r>
        <w:rPr>
          <w:spacing w:val="-29"/>
        </w:rPr>
        <w:t> </w:t>
      </w:r>
      <w:r>
        <w:rPr/>
        <w:t>receita</w:t>
      </w:r>
      <w:r>
        <w:rPr>
          <w:spacing w:val="-31"/>
        </w:rPr>
        <w:t> </w:t>
      </w:r>
      <w:r>
        <w:rPr/>
        <w:t>se</w:t>
      </w:r>
      <w:r>
        <w:rPr>
          <w:spacing w:val="-31"/>
        </w:rPr>
        <w:t> </w:t>
      </w:r>
      <w:r>
        <w:rPr/>
        <w:t>dá</w:t>
      </w:r>
      <w:r>
        <w:rPr>
          <w:spacing w:val="-29"/>
        </w:rPr>
        <w:t> </w:t>
      </w:r>
      <w:r>
        <w:rPr/>
        <w:t>quando</w:t>
      </w:r>
      <w:r>
        <w:rPr>
          <w:spacing w:val="-30"/>
        </w:rPr>
        <w:t> </w:t>
      </w:r>
      <w:r>
        <w:rPr/>
        <w:t>ou</w:t>
      </w:r>
      <w:r>
        <w:rPr>
          <w:spacing w:val="-30"/>
        </w:rPr>
        <w:t> </w:t>
      </w:r>
      <w:r>
        <w:rPr/>
        <w:t>à</w:t>
      </w:r>
      <w:r>
        <w:rPr>
          <w:spacing w:val="-31"/>
        </w:rPr>
        <w:t> </w:t>
      </w:r>
      <w:r>
        <w:rPr/>
        <w:t>medida</w:t>
      </w:r>
      <w:r>
        <w:rPr>
          <w:spacing w:val="-29"/>
        </w:rPr>
        <w:t> </w:t>
      </w:r>
      <w:r>
        <w:rPr/>
        <w:t>que</w:t>
      </w:r>
      <w:r>
        <w:rPr>
          <w:spacing w:val="-30"/>
        </w:rPr>
        <w:t> </w:t>
      </w:r>
      <w:r>
        <w:rPr/>
        <w:t>a</w:t>
      </w:r>
      <w:r>
        <w:rPr>
          <w:spacing w:val="-30"/>
        </w:rPr>
        <w:t> </w:t>
      </w:r>
      <w:r>
        <w:rPr/>
        <w:t>entidade</w:t>
      </w:r>
      <w:r>
        <w:rPr>
          <w:spacing w:val="-31"/>
        </w:rPr>
        <w:t> </w:t>
      </w:r>
      <w:r>
        <w:rPr/>
        <w:t>satisfizer</w:t>
      </w:r>
      <w:r>
        <w:rPr>
          <w:spacing w:val="-30"/>
        </w:rPr>
        <w:t> </w:t>
      </w:r>
      <w:r>
        <w:rPr/>
        <w:t>uma</w:t>
      </w:r>
      <w:r>
        <w:rPr>
          <w:spacing w:val="-31"/>
        </w:rPr>
        <w:t> </w:t>
      </w:r>
      <w:r>
        <w:rPr/>
        <w:t>obrigação</w:t>
      </w:r>
      <w:r>
        <w:rPr>
          <w:spacing w:val="-29"/>
        </w:rPr>
        <w:t> </w:t>
      </w:r>
      <w:r>
        <w:rPr/>
        <w:t>de</w:t>
      </w:r>
      <w:r>
        <w:rPr>
          <w:spacing w:val="-31"/>
        </w:rPr>
        <w:t> </w:t>
      </w:r>
      <w:r>
        <w:rPr/>
        <w:t>performance</w:t>
      </w:r>
      <w:r>
        <w:rPr>
          <w:spacing w:val="-31"/>
        </w:rPr>
        <w:t> </w:t>
      </w:r>
      <w:r>
        <w:rPr/>
        <w:t>ao transferir</w:t>
      </w:r>
      <w:r>
        <w:rPr>
          <w:spacing w:val="-15"/>
        </w:rPr>
        <w:t> </w:t>
      </w:r>
      <w:r>
        <w:rPr/>
        <w:t>o</w:t>
      </w:r>
      <w:r>
        <w:rPr>
          <w:spacing w:val="-15"/>
        </w:rPr>
        <w:t> </w:t>
      </w:r>
      <w:r>
        <w:rPr/>
        <w:t>bem</w:t>
      </w:r>
      <w:r>
        <w:rPr>
          <w:spacing w:val="-15"/>
        </w:rPr>
        <w:t> </w:t>
      </w:r>
      <w:r>
        <w:rPr/>
        <w:t>ou</w:t>
      </w:r>
      <w:r>
        <w:rPr>
          <w:spacing w:val="-15"/>
        </w:rPr>
        <w:t> </w:t>
      </w:r>
      <w:r>
        <w:rPr/>
        <w:t>serviço</w:t>
      </w:r>
      <w:r>
        <w:rPr>
          <w:spacing w:val="-15"/>
        </w:rPr>
        <w:t> </w:t>
      </w:r>
      <w:r>
        <w:rPr/>
        <w:t>ao</w:t>
      </w:r>
      <w:r>
        <w:rPr>
          <w:spacing w:val="-16"/>
        </w:rPr>
        <w:t> </w:t>
      </w:r>
      <w:r>
        <w:rPr/>
        <w:t>cliente,</w:t>
      </w:r>
      <w:r>
        <w:rPr>
          <w:spacing w:val="-15"/>
        </w:rPr>
        <w:t> </w:t>
      </w:r>
      <w:r>
        <w:rPr/>
        <w:t>sendo</w:t>
      </w:r>
      <w:r>
        <w:rPr>
          <w:spacing w:val="-14"/>
        </w:rPr>
        <w:t> </w:t>
      </w:r>
      <w:r>
        <w:rPr/>
        <w:t>que</w:t>
      </w:r>
      <w:r>
        <w:rPr>
          <w:spacing w:val="-15"/>
        </w:rPr>
        <w:t> </w:t>
      </w:r>
      <w:r>
        <w:rPr/>
        <w:t>por</w:t>
      </w:r>
      <w:r>
        <w:rPr>
          <w:spacing w:val="-16"/>
        </w:rPr>
        <w:t> </w:t>
      </w:r>
      <w:r>
        <w:rPr/>
        <w:t>obrigação</w:t>
      </w:r>
      <w:r>
        <w:rPr>
          <w:spacing w:val="-15"/>
        </w:rPr>
        <w:t> </w:t>
      </w:r>
      <w:r>
        <w:rPr/>
        <w:t>de</w:t>
      </w:r>
      <w:r>
        <w:rPr>
          <w:spacing w:val="-14"/>
        </w:rPr>
        <w:t> </w:t>
      </w:r>
      <w:r>
        <w:rPr/>
        <w:t>performance</w:t>
      </w:r>
      <w:r>
        <w:rPr>
          <w:spacing w:val="-16"/>
        </w:rPr>
        <w:t> </w:t>
      </w:r>
      <w:r>
        <w:rPr/>
        <w:t>entende-se</w:t>
      </w:r>
      <w:r>
        <w:rPr>
          <w:spacing w:val="-16"/>
        </w:rPr>
        <w:t> </w:t>
      </w:r>
      <w:r>
        <w:rPr/>
        <w:t>como</w:t>
      </w:r>
      <w:r>
        <w:rPr>
          <w:spacing w:val="-16"/>
        </w:rPr>
        <w:t> </w:t>
      </w:r>
      <w:r>
        <w:rPr/>
        <w:t>uma</w:t>
      </w:r>
      <w:r>
        <w:rPr>
          <w:spacing w:val="-14"/>
        </w:rPr>
        <w:t> </w:t>
      </w:r>
      <w:r>
        <w:rPr/>
        <w:t>promessa executória</w:t>
      </w:r>
      <w:r>
        <w:rPr>
          <w:spacing w:val="-40"/>
        </w:rPr>
        <w:t> </w:t>
      </w:r>
      <w:r>
        <w:rPr/>
        <w:t>em</w:t>
      </w:r>
      <w:r>
        <w:rPr>
          <w:spacing w:val="-39"/>
        </w:rPr>
        <w:t> </w:t>
      </w:r>
      <w:r>
        <w:rPr/>
        <w:t>um</w:t>
      </w:r>
      <w:r>
        <w:rPr>
          <w:spacing w:val="-39"/>
        </w:rPr>
        <w:t> </w:t>
      </w:r>
      <w:r>
        <w:rPr/>
        <w:t>contrato</w:t>
      </w:r>
      <w:r>
        <w:rPr>
          <w:spacing w:val="-39"/>
        </w:rPr>
        <w:t> </w:t>
      </w:r>
      <w:r>
        <w:rPr/>
        <w:t>com</w:t>
      </w:r>
      <w:r>
        <w:rPr>
          <w:spacing w:val="-41"/>
        </w:rPr>
        <w:t> </w:t>
      </w:r>
      <w:r>
        <w:rPr/>
        <w:t>um</w:t>
      </w:r>
      <w:r>
        <w:rPr>
          <w:spacing w:val="-41"/>
        </w:rPr>
        <w:t> </w:t>
      </w:r>
      <w:r>
        <w:rPr/>
        <w:t>cliente</w:t>
      </w:r>
      <w:r>
        <w:rPr>
          <w:spacing w:val="-40"/>
        </w:rPr>
        <w:t> </w:t>
      </w:r>
      <w:r>
        <w:rPr/>
        <w:t>para</w:t>
      </w:r>
      <w:r>
        <w:rPr>
          <w:spacing w:val="-39"/>
        </w:rPr>
        <w:t> </w:t>
      </w:r>
      <w:r>
        <w:rPr/>
        <w:t>a</w:t>
      </w:r>
      <w:r>
        <w:rPr>
          <w:spacing w:val="-40"/>
        </w:rPr>
        <w:t> </w:t>
      </w:r>
      <w:r>
        <w:rPr/>
        <w:t>transferência</w:t>
      </w:r>
      <w:r>
        <w:rPr>
          <w:spacing w:val="-41"/>
        </w:rPr>
        <w:t> </w:t>
      </w:r>
      <w:r>
        <w:rPr/>
        <w:t>de</w:t>
      </w:r>
      <w:r>
        <w:rPr>
          <w:spacing w:val="-40"/>
        </w:rPr>
        <w:t> </w:t>
      </w:r>
      <w:r>
        <w:rPr/>
        <w:t>um</w:t>
      </w:r>
      <w:r>
        <w:rPr>
          <w:spacing w:val="-39"/>
        </w:rPr>
        <w:t> </w:t>
      </w:r>
      <w:r>
        <w:rPr/>
        <w:t>bem/serviço</w:t>
      </w:r>
      <w:r>
        <w:rPr>
          <w:spacing w:val="-40"/>
        </w:rPr>
        <w:t> </w:t>
      </w:r>
      <w:r>
        <w:rPr/>
        <w:t>ou</w:t>
      </w:r>
      <w:r>
        <w:rPr>
          <w:spacing w:val="-40"/>
        </w:rPr>
        <w:t> </w:t>
      </w:r>
      <w:r>
        <w:rPr/>
        <w:t>uma</w:t>
      </w:r>
      <w:r>
        <w:rPr>
          <w:spacing w:val="-39"/>
        </w:rPr>
        <w:t> </w:t>
      </w:r>
      <w:r>
        <w:rPr/>
        <w:t>série</w:t>
      </w:r>
      <w:r>
        <w:rPr>
          <w:spacing w:val="-40"/>
        </w:rPr>
        <w:t> </w:t>
      </w:r>
      <w:r>
        <w:rPr/>
        <w:t>de</w:t>
      </w:r>
      <w:r>
        <w:rPr>
          <w:spacing w:val="-40"/>
        </w:rPr>
        <w:t> </w:t>
      </w:r>
      <w:r>
        <w:rPr/>
        <w:t>bens</w:t>
      </w:r>
      <w:r>
        <w:rPr>
          <w:spacing w:val="-39"/>
        </w:rPr>
        <w:t> </w:t>
      </w:r>
      <w:r>
        <w:rPr/>
        <w:t>ou</w:t>
      </w:r>
      <w:r>
        <w:rPr>
          <w:spacing w:val="-40"/>
        </w:rPr>
        <w:t> </w:t>
      </w:r>
      <w:r>
        <w:rPr/>
        <w:t>serviços.</w:t>
      </w:r>
    </w:p>
    <w:p>
      <w:pPr>
        <w:pStyle w:val="BodyText"/>
        <w:spacing w:before="122"/>
        <w:ind w:left="192"/>
        <w:jc w:val="both"/>
      </w:pPr>
      <w:r>
        <w:rPr/>
        <w:t>A transferência é considerada efetuada quando ou à medida que o cliente obtiver o controle desse ativo.</w:t>
      </w:r>
    </w:p>
    <w:p>
      <w:pPr>
        <w:spacing w:after="0"/>
        <w:jc w:val="both"/>
        <w:sectPr>
          <w:pgSz w:w="11910" w:h="16850"/>
          <w:pgMar w:header="792" w:footer="1193" w:top="1360" w:bottom="1460" w:left="940" w:right="240"/>
        </w:sectPr>
      </w:pPr>
    </w:p>
    <w:p>
      <w:pPr>
        <w:pStyle w:val="Heading5"/>
        <w:numPr>
          <w:ilvl w:val="2"/>
          <w:numId w:val="16"/>
        </w:numPr>
        <w:tabs>
          <w:tab w:pos="1046" w:val="left" w:leader="none"/>
        </w:tabs>
        <w:spacing w:line="240" w:lineRule="auto" w:before="48" w:after="0"/>
        <w:ind w:left="1045" w:right="0" w:hanging="854"/>
        <w:jc w:val="left"/>
      </w:pPr>
      <w:r>
        <w:rPr/>
        <w:t>Receita de prestação de</w:t>
      </w:r>
      <w:r>
        <w:rPr>
          <w:spacing w:val="-7"/>
        </w:rPr>
        <w:t> </w:t>
      </w:r>
      <w:r>
        <w:rPr/>
        <w:t>serviços</w:t>
      </w:r>
    </w:p>
    <w:p>
      <w:pPr>
        <w:pStyle w:val="BodyText"/>
        <w:spacing w:before="10"/>
        <w:rPr>
          <w:rFonts w:ascii="Caladea"/>
          <w:b/>
          <w:sz w:val="23"/>
        </w:rPr>
      </w:pPr>
    </w:p>
    <w:p>
      <w:pPr>
        <w:pStyle w:val="BodyText"/>
        <w:spacing w:line="242" w:lineRule="auto"/>
        <w:ind w:left="192" w:right="612"/>
        <w:jc w:val="both"/>
      </w:pPr>
      <w:r>
        <w:rPr/>
        <w:t>A</w:t>
      </w:r>
      <w:r>
        <w:rPr>
          <w:spacing w:val="-26"/>
        </w:rPr>
        <w:t> </w:t>
      </w:r>
      <w:r>
        <w:rPr/>
        <w:t>receita</w:t>
      </w:r>
      <w:r>
        <w:rPr>
          <w:spacing w:val="-26"/>
        </w:rPr>
        <w:t> </w:t>
      </w:r>
      <w:r>
        <w:rPr/>
        <w:t>de</w:t>
      </w:r>
      <w:r>
        <w:rPr>
          <w:spacing w:val="-26"/>
        </w:rPr>
        <w:t> </w:t>
      </w:r>
      <w:r>
        <w:rPr/>
        <w:t>serviços</w:t>
      </w:r>
      <w:r>
        <w:rPr>
          <w:spacing w:val="-24"/>
        </w:rPr>
        <w:t> </w:t>
      </w:r>
      <w:r>
        <w:rPr/>
        <w:t>prestados</w:t>
      </w:r>
      <w:r>
        <w:rPr>
          <w:spacing w:val="-26"/>
        </w:rPr>
        <w:t> </w:t>
      </w:r>
      <w:r>
        <w:rPr/>
        <w:t>é</w:t>
      </w:r>
      <w:r>
        <w:rPr>
          <w:spacing w:val="-25"/>
        </w:rPr>
        <w:t> </w:t>
      </w:r>
      <w:r>
        <w:rPr/>
        <w:t>reconhecida</w:t>
      </w:r>
      <w:r>
        <w:rPr>
          <w:spacing w:val="-22"/>
        </w:rPr>
        <w:t> </w:t>
      </w:r>
      <w:r>
        <w:rPr/>
        <w:t>no</w:t>
      </w:r>
      <w:r>
        <w:rPr>
          <w:spacing w:val="-25"/>
        </w:rPr>
        <w:t> </w:t>
      </w:r>
      <w:r>
        <w:rPr/>
        <w:t>resultado</w:t>
      </w:r>
      <w:r>
        <w:rPr>
          <w:spacing w:val="-26"/>
        </w:rPr>
        <w:t> </w:t>
      </w:r>
      <w:r>
        <w:rPr/>
        <w:t>com</w:t>
      </w:r>
      <w:r>
        <w:rPr>
          <w:spacing w:val="-25"/>
        </w:rPr>
        <w:t> </w:t>
      </w:r>
      <w:r>
        <w:rPr/>
        <w:t>base</w:t>
      </w:r>
      <w:r>
        <w:rPr>
          <w:spacing w:val="-25"/>
        </w:rPr>
        <w:t> </w:t>
      </w:r>
      <w:r>
        <w:rPr/>
        <w:t>no</w:t>
      </w:r>
      <w:r>
        <w:rPr>
          <w:spacing w:val="-24"/>
        </w:rPr>
        <w:t> </w:t>
      </w:r>
      <w:r>
        <w:rPr/>
        <w:t>estágio</w:t>
      </w:r>
      <w:r>
        <w:rPr>
          <w:spacing w:val="-24"/>
        </w:rPr>
        <w:t> </w:t>
      </w:r>
      <w:r>
        <w:rPr/>
        <w:t>de</w:t>
      </w:r>
      <w:r>
        <w:rPr>
          <w:spacing w:val="-24"/>
        </w:rPr>
        <w:t> </w:t>
      </w:r>
      <w:r>
        <w:rPr/>
        <w:t>conclusão</w:t>
      </w:r>
      <w:r>
        <w:rPr>
          <w:spacing w:val="-26"/>
        </w:rPr>
        <w:t> </w:t>
      </w:r>
      <w:r>
        <w:rPr/>
        <w:t>do</w:t>
      </w:r>
      <w:r>
        <w:rPr>
          <w:spacing w:val="-26"/>
        </w:rPr>
        <w:t> </w:t>
      </w:r>
      <w:r>
        <w:rPr/>
        <w:t>serviço</w:t>
      </w:r>
      <w:r>
        <w:rPr>
          <w:spacing w:val="-24"/>
        </w:rPr>
        <w:t> </w:t>
      </w:r>
      <w:r>
        <w:rPr/>
        <w:t>na</w:t>
      </w:r>
      <w:r>
        <w:rPr>
          <w:spacing w:val="-25"/>
        </w:rPr>
        <w:t> </w:t>
      </w:r>
      <w:r>
        <w:rPr/>
        <w:t>data</w:t>
      </w:r>
      <w:r>
        <w:rPr>
          <w:spacing w:val="-25"/>
        </w:rPr>
        <w:t> </w:t>
      </w:r>
      <w:r>
        <w:rPr/>
        <w:t>de apresentação das demonstrações financeiras. O estágio de conclusão é avaliado por referência a pesquisas de trabalhos</w:t>
      </w:r>
      <w:r>
        <w:rPr>
          <w:spacing w:val="-18"/>
        </w:rPr>
        <w:t> </w:t>
      </w:r>
      <w:r>
        <w:rPr/>
        <w:t>realizados.</w:t>
      </w:r>
    </w:p>
    <w:p>
      <w:pPr>
        <w:pStyle w:val="BodyText"/>
        <w:spacing w:before="5"/>
      </w:pPr>
    </w:p>
    <w:p>
      <w:pPr>
        <w:pStyle w:val="Heading5"/>
        <w:numPr>
          <w:ilvl w:val="2"/>
          <w:numId w:val="16"/>
        </w:numPr>
        <w:tabs>
          <w:tab w:pos="1046" w:val="left" w:leader="none"/>
        </w:tabs>
        <w:spacing w:line="240" w:lineRule="auto" w:before="0" w:after="0"/>
        <w:ind w:left="1045" w:right="0" w:hanging="854"/>
        <w:jc w:val="left"/>
      </w:pPr>
      <w:r>
        <w:rPr/>
        <w:t>Receita de distribuição de energia</w:t>
      </w:r>
      <w:r>
        <w:rPr>
          <w:spacing w:val="-4"/>
        </w:rPr>
        <w:t> </w:t>
      </w:r>
      <w:r>
        <w:rPr/>
        <w:t>elétrica</w:t>
      </w:r>
    </w:p>
    <w:p>
      <w:pPr>
        <w:pStyle w:val="BodyText"/>
        <w:rPr>
          <w:rFonts w:ascii="Caladea"/>
          <w:b/>
          <w:sz w:val="24"/>
        </w:rPr>
      </w:pPr>
    </w:p>
    <w:p>
      <w:pPr>
        <w:pStyle w:val="BodyText"/>
        <w:spacing w:line="242" w:lineRule="auto" w:before="1"/>
        <w:ind w:left="192" w:right="608"/>
        <w:jc w:val="both"/>
      </w:pPr>
      <w:r>
        <w:rPr/>
        <w:t>Os</w:t>
      </w:r>
      <w:r>
        <w:rPr>
          <w:spacing w:val="-24"/>
        </w:rPr>
        <w:t> </w:t>
      </w:r>
      <w:r>
        <w:rPr/>
        <w:t>serviços</w:t>
      </w:r>
      <w:r>
        <w:rPr>
          <w:spacing w:val="-24"/>
        </w:rPr>
        <w:t> </w:t>
      </w:r>
      <w:r>
        <w:rPr/>
        <w:t>de</w:t>
      </w:r>
      <w:r>
        <w:rPr>
          <w:spacing w:val="-24"/>
        </w:rPr>
        <w:t> </w:t>
      </w:r>
      <w:r>
        <w:rPr/>
        <w:t>distribuição</w:t>
      </w:r>
      <w:r>
        <w:rPr>
          <w:spacing w:val="-21"/>
        </w:rPr>
        <w:t> </w:t>
      </w:r>
      <w:r>
        <w:rPr/>
        <w:t>de</w:t>
      </w:r>
      <w:r>
        <w:rPr>
          <w:spacing w:val="-23"/>
        </w:rPr>
        <w:t> </w:t>
      </w:r>
      <w:r>
        <w:rPr/>
        <w:t>energia</w:t>
      </w:r>
      <w:r>
        <w:rPr>
          <w:spacing w:val="-22"/>
        </w:rPr>
        <w:t> </w:t>
      </w:r>
      <w:r>
        <w:rPr/>
        <w:t>elétrica</w:t>
      </w:r>
      <w:r>
        <w:rPr>
          <w:spacing w:val="-24"/>
        </w:rPr>
        <w:t> </w:t>
      </w:r>
      <w:r>
        <w:rPr/>
        <w:t>são</w:t>
      </w:r>
      <w:r>
        <w:rPr>
          <w:spacing w:val="-22"/>
        </w:rPr>
        <w:t> </w:t>
      </w:r>
      <w:r>
        <w:rPr/>
        <w:t>medidos</w:t>
      </w:r>
      <w:r>
        <w:rPr>
          <w:spacing w:val="-24"/>
        </w:rPr>
        <w:t> </w:t>
      </w:r>
      <w:r>
        <w:rPr/>
        <w:t>através</w:t>
      </w:r>
      <w:r>
        <w:rPr>
          <w:spacing w:val="-22"/>
        </w:rPr>
        <w:t> </w:t>
      </w:r>
      <w:r>
        <w:rPr/>
        <w:t>da</w:t>
      </w:r>
      <w:r>
        <w:rPr>
          <w:spacing w:val="-22"/>
        </w:rPr>
        <w:t> </w:t>
      </w:r>
      <w:r>
        <w:rPr/>
        <w:t>entrega</w:t>
      </w:r>
      <w:r>
        <w:rPr>
          <w:spacing w:val="-23"/>
        </w:rPr>
        <w:t> </w:t>
      </w:r>
      <w:r>
        <w:rPr/>
        <w:t>de</w:t>
      </w:r>
      <w:r>
        <w:rPr>
          <w:spacing w:val="-24"/>
        </w:rPr>
        <w:t> </w:t>
      </w:r>
      <w:r>
        <w:rPr/>
        <w:t>energia</w:t>
      </w:r>
      <w:r>
        <w:rPr>
          <w:spacing w:val="-22"/>
        </w:rPr>
        <w:t> </w:t>
      </w:r>
      <w:r>
        <w:rPr/>
        <w:t>elétrica</w:t>
      </w:r>
      <w:r>
        <w:rPr>
          <w:spacing w:val="-23"/>
        </w:rPr>
        <w:t> </w:t>
      </w:r>
      <w:r>
        <w:rPr/>
        <w:t>ocorrida</w:t>
      </w:r>
      <w:r>
        <w:rPr>
          <w:spacing w:val="-22"/>
        </w:rPr>
        <w:t> </w:t>
      </w:r>
      <w:r>
        <w:rPr/>
        <w:t>em</w:t>
      </w:r>
      <w:r>
        <w:rPr>
          <w:spacing w:val="-23"/>
        </w:rPr>
        <w:t> </w:t>
      </w:r>
      <w:r>
        <w:rPr/>
        <w:t>um </w:t>
      </w:r>
      <w:r>
        <w:rPr>
          <w:w w:val="95"/>
        </w:rPr>
        <w:t>determinado</w:t>
      </w:r>
      <w:r>
        <w:rPr>
          <w:spacing w:val="-13"/>
          <w:w w:val="95"/>
        </w:rPr>
        <w:t> </w:t>
      </w:r>
      <w:r>
        <w:rPr>
          <w:w w:val="95"/>
        </w:rPr>
        <w:t>período.</w:t>
      </w:r>
      <w:r>
        <w:rPr>
          <w:spacing w:val="-15"/>
          <w:w w:val="95"/>
        </w:rPr>
        <w:t> </w:t>
      </w:r>
      <w:r>
        <w:rPr>
          <w:w w:val="95"/>
        </w:rPr>
        <w:t>Essa</w:t>
      </w:r>
      <w:r>
        <w:rPr>
          <w:spacing w:val="-12"/>
          <w:w w:val="95"/>
        </w:rPr>
        <w:t> </w:t>
      </w:r>
      <w:r>
        <w:rPr>
          <w:w w:val="95"/>
        </w:rPr>
        <w:t>medição</w:t>
      </w:r>
      <w:r>
        <w:rPr>
          <w:spacing w:val="-13"/>
          <w:w w:val="95"/>
        </w:rPr>
        <w:t> </w:t>
      </w:r>
      <w:r>
        <w:rPr>
          <w:w w:val="95"/>
        </w:rPr>
        <w:t>ocorre</w:t>
      </w:r>
      <w:r>
        <w:rPr>
          <w:spacing w:val="-14"/>
          <w:w w:val="95"/>
        </w:rPr>
        <w:t> </w:t>
      </w:r>
      <w:r>
        <w:rPr>
          <w:w w:val="95"/>
        </w:rPr>
        <w:t>de</w:t>
      </w:r>
      <w:r>
        <w:rPr>
          <w:spacing w:val="-16"/>
          <w:w w:val="95"/>
        </w:rPr>
        <w:t> </w:t>
      </w:r>
      <w:r>
        <w:rPr>
          <w:w w:val="95"/>
        </w:rPr>
        <w:t>acordo</w:t>
      </w:r>
      <w:r>
        <w:rPr>
          <w:spacing w:val="-15"/>
          <w:w w:val="95"/>
        </w:rPr>
        <w:t> </w:t>
      </w:r>
      <w:r>
        <w:rPr>
          <w:w w:val="95"/>
        </w:rPr>
        <w:t>com</w:t>
      </w:r>
      <w:r>
        <w:rPr>
          <w:spacing w:val="-15"/>
          <w:w w:val="95"/>
        </w:rPr>
        <w:t> </w:t>
      </w:r>
      <w:r>
        <w:rPr>
          <w:w w:val="95"/>
        </w:rPr>
        <w:t>o</w:t>
      </w:r>
      <w:r>
        <w:rPr>
          <w:spacing w:val="-15"/>
          <w:w w:val="95"/>
        </w:rPr>
        <w:t> </w:t>
      </w:r>
      <w:r>
        <w:rPr>
          <w:w w:val="95"/>
        </w:rPr>
        <w:t>calendário</w:t>
      </w:r>
      <w:r>
        <w:rPr>
          <w:spacing w:val="-13"/>
          <w:w w:val="95"/>
        </w:rPr>
        <w:t> </w:t>
      </w:r>
      <w:r>
        <w:rPr>
          <w:w w:val="95"/>
        </w:rPr>
        <w:t>de</w:t>
      </w:r>
      <w:r>
        <w:rPr>
          <w:spacing w:val="-16"/>
          <w:w w:val="95"/>
        </w:rPr>
        <w:t> </w:t>
      </w:r>
      <w:r>
        <w:rPr>
          <w:w w:val="95"/>
        </w:rPr>
        <w:t>leitura</w:t>
      </w:r>
      <w:r>
        <w:rPr>
          <w:spacing w:val="-14"/>
          <w:w w:val="95"/>
        </w:rPr>
        <w:t> </w:t>
      </w:r>
      <w:r>
        <w:rPr>
          <w:w w:val="95"/>
        </w:rPr>
        <w:t>estabelecido</w:t>
      </w:r>
      <w:r>
        <w:rPr>
          <w:spacing w:val="-15"/>
          <w:w w:val="95"/>
        </w:rPr>
        <w:t> </w:t>
      </w:r>
      <w:r>
        <w:rPr>
          <w:w w:val="95"/>
        </w:rPr>
        <w:t>pela</w:t>
      </w:r>
      <w:r>
        <w:rPr>
          <w:spacing w:val="-14"/>
          <w:w w:val="95"/>
        </w:rPr>
        <w:t> </w:t>
      </w:r>
      <w:r>
        <w:rPr>
          <w:w w:val="95"/>
        </w:rPr>
        <w:t>concessionária.</w:t>
      </w:r>
      <w:r>
        <w:rPr>
          <w:spacing w:val="-15"/>
          <w:w w:val="95"/>
        </w:rPr>
        <w:t> </w:t>
      </w:r>
      <w:r>
        <w:rPr>
          <w:w w:val="95"/>
        </w:rPr>
        <w:t>O </w:t>
      </w:r>
      <w:r>
        <w:rPr/>
        <w:t>faturamento</w:t>
      </w:r>
      <w:r>
        <w:rPr>
          <w:spacing w:val="-39"/>
        </w:rPr>
        <w:t> </w:t>
      </w:r>
      <w:r>
        <w:rPr/>
        <w:t>dos</w:t>
      </w:r>
      <w:r>
        <w:rPr>
          <w:spacing w:val="-40"/>
        </w:rPr>
        <w:t> </w:t>
      </w:r>
      <w:r>
        <w:rPr/>
        <w:t>serviços</w:t>
      </w:r>
      <w:r>
        <w:rPr>
          <w:spacing w:val="-39"/>
        </w:rPr>
        <w:t> </w:t>
      </w:r>
      <w:r>
        <w:rPr/>
        <w:t>de</w:t>
      </w:r>
      <w:r>
        <w:rPr>
          <w:spacing w:val="-39"/>
        </w:rPr>
        <w:t> </w:t>
      </w:r>
      <w:r>
        <w:rPr/>
        <w:t>distribuição</w:t>
      </w:r>
      <w:r>
        <w:rPr>
          <w:spacing w:val="-38"/>
        </w:rPr>
        <w:t> </w:t>
      </w:r>
      <w:r>
        <w:rPr/>
        <w:t>de</w:t>
      </w:r>
      <w:r>
        <w:rPr>
          <w:spacing w:val="-39"/>
        </w:rPr>
        <w:t> </w:t>
      </w:r>
      <w:r>
        <w:rPr/>
        <w:t>energia</w:t>
      </w:r>
      <w:r>
        <w:rPr>
          <w:spacing w:val="-39"/>
        </w:rPr>
        <w:t> </w:t>
      </w:r>
      <w:r>
        <w:rPr/>
        <w:t>elétrica</w:t>
      </w:r>
      <w:r>
        <w:rPr>
          <w:spacing w:val="-40"/>
        </w:rPr>
        <w:t> </w:t>
      </w:r>
      <w:r>
        <w:rPr/>
        <w:t>é,</w:t>
      </w:r>
      <w:r>
        <w:rPr>
          <w:spacing w:val="-39"/>
        </w:rPr>
        <w:t> </w:t>
      </w:r>
      <w:r>
        <w:rPr/>
        <w:t>portanto,</w:t>
      </w:r>
      <w:r>
        <w:rPr>
          <w:spacing w:val="-39"/>
        </w:rPr>
        <w:t> </w:t>
      </w:r>
      <w:r>
        <w:rPr/>
        <w:t>efetuado</w:t>
      </w:r>
      <w:r>
        <w:rPr>
          <w:spacing w:val="-40"/>
        </w:rPr>
        <w:t> </w:t>
      </w:r>
      <w:r>
        <w:rPr/>
        <w:t>de</w:t>
      </w:r>
      <w:r>
        <w:rPr>
          <w:spacing w:val="-39"/>
        </w:rPr>
        <w:t> </w:t>
      </w:r>
      <w:r>
        <w:rPr/>
        <w:t>acordo</w:t>
      </w:r>
      <w:r>
        <w:rPr>
          <w:spacing w:val="-40"/>
        </w:rPr>
        <w:t> </w:t>
      </w:r>
      <w:r>
        <w:rPr/>
        <w:t>com</w:t>
      </w:r>
      <w:r>
        <w:rPr>
          <w:spacing w:val="-38"/>
        </w:rPr>
        <w:t> </w:t>
      </w:r>
      <w:r>
        <w:rPr/>
        <w:t>esse</w:t>
      </w:r>
      <w:r>
        <w:rPr>
          <w:spacing w:val="-40"/>
        </w:rPr>
        <w:t> </w:t>
      </w:r>
      <w:r>
        <w:rPr/>
        <w:t>calendário</w:t>
      </w:r>
      <w:r>
        <w:rPr>
          <w:spacing w:val="-39"/>
        </w:rPr>
        <w:t> </w:t>
      </w:r>
      <w:r>
        <w:rPr/>
        <w:t>de leitura,</w:t>
      </w:r>
      <w:r>
        <w:rPr>
          <w:spacing w:val="-28"/>
        </w:rPr>
        <w:t> </w:t>
      </w:r>
      <w:r>
        <w:rPr/>
        <w:t>sendo</w:t>
      </w:r>
      <w:r>
        <w:rPr>
          <w:spacing w:val="-27"/>
        </w:rPr>
        <w:t> </w:t>
      </w:r>
      <w:r>
        <w:rPr/>
        <w:t>a</w:t>
      </w:r>
      <w:r>
        <w:rPr>
          <w:spacing w:val="-25"/>
        </w:rPr>
        <w:t> </w:t>
      </w:r>
      <w:r>
        <w:rPr/>
        <w:t>receita</w:t>
      </w:r>
      <w:r>
        <w:rPr>
          <w:spacing w:val="-27"/>
        </w:rPr>
        <w:t> </w:t>
      </w:r>
      <w:r>
        <w:rPr/>
        <w:t>de</w:t>
      </w:r>
      <w:r>
        <w:rPr>
          <w:spacing w:val="-28"/>
        </w:rPr>
        <w:t> </w:t>
      </w:r>
      <w:r>
        <w:rPr/>
        <w:t>serviços</w:t>
      </w:r>
      <w:r>
        <w:rPr>
          <w:spacing w:val="-25"/>
        </w:rPr>
        <w:t> </w:t>
      </w:r>
      <w:r>
        <w:rPr/>
        <w:t>registrada</w:t>
      </w:r>
      <w:r>
        <w:rPr>
          <w:spacing w:val="-27"/>
        </w:rPr>
        <w:t> </w:t>
      </w:r>
      <w:r>
        <w:rPr/>
        <w:t>à</w:t>
      </w:r>
      <w:r>
        <w:rPr>
          <w:spacing w:val="-27"/>
        </w:rPr>
        <w:t> </w:t>
      </w:r>
      <w:r>
        <w:rPr/>
        <w:t>medida</w:t>
      </w:r>
      <w:r>
        <w:rPr>
          <w:spacing w:val="-25"/>
        </w:rPr>
        <w:t> </w:t>
      </w:r>
      <w:r>
        <w:rPr/>
        <w:t>que</w:t>
      </w:r>
      <w:r>
        <w:rPr>
          <w:spacing w:val="-28"/>
        </w:rPr>
        <w:t> </w:t>
      </w:r>
      <w:r>
        <w:rPr/>
        <w:t>as</w:t>
      </w:r>
      <w:r>
        <w:rPr>
          <w:spacing w:val="-26"/>
        </w:rPr>
        <w:t> </w:t>
      </w:r>
      <w:r>
        <w:rPr/>
        <w:t>faturas</w:t>
      </w:r>
      <w:r>
        <w:rPr>
          <w:spacing w:val="-27"/>
        </w:rPr>
        <w:t> </w:t>
      </w:r>
      <w:r>
        <w:rPr/>
        <w:t>são</w:t>
      </w:r>
      <w:r>
        <w:rPr>
          <w:spacing w:val="-27"/>
        </w:rPr>
        <w:t> </w:t>
      </w:r>
      <w:r>
        <w:rPr/>
        <w:t>emitidas,</w:t>
      </w:r>
      <w:r>
        <w:rPr>
          <w:spacing w:val="-28"/>
        </w:rPr>
        <w:t> </w:t>
      </w:r>
      <w:r>
        <w:rPr/>
        <w:t>ou</w:t>
      </w:r>
      <w:r>
        <w:rPr>
          <w:spacing w:val="-26"/>
        </w:rPr>
        <w:t> </w:t>
      </w:r>
      <w:r>
        <w:rPr/>
        <w:t>seja,</w:t>
      </w:r>
      <w:r>
        <w:rPr>
          <w:spacing w:val="-28"/>
        </w:rPr>
        <w:t> </w:t>
      </w:r>
      <w:r>
        <w:rPr/>
        <w:t>pela</w:t>
      </w:r>
      <w:r>
        <w:rPr>
          <w:spacing w:val="-26"/>
        </w:rPr>
        <w:t> </w:t>
      </w:r>
      <w:r>
        <w:rPr/>
        <w:t>competência.</w:t>
      </w:r>
      <w:r>
        <w:rPr>
          <w:spacing w:val="-26"/>
        </w:rPr>
        <w:t> </w:t>
      </w:r>
      <w:r>
        <w:rPr/>
        <w:t>Os serviços</w:t>
      </w:r>
      <w:r>
        <w:rPr>
          <w:spacing w:val="-10"/>
        </w:rPr>
        <w:t> </w:t>
      </w:r>
      <w:r>
        <w:rPr/>
        <w:t>prestados</w:t>
      </w:r>
      <w:r>
        <w:rPr>
          <w:spacing w:val="-9"/>
        </w:rPr>
        <w:t> </w:t>
      </w:r>
      <w:r>
        <w:rPr/>
        <w:t>entre</w:t>
      </w:r>
      <w:r>
        <w:rPr>
          <w:spacing w:val="-11"/>
        </w:rPr>
        <w:t> </w:t>
      </w:r>
      <w:r>
        <w:rPr/>
        <w:t>a</w:t>
      </w:r>
      <w:r>
        <w:rPr>
          <w:spacing w:val="-7"/>
        </w:rPr>
        <w:t> </w:t>
      </w:r>
      <w:r>
        <w:rPr/>
        <w:t>data</w:t>
      </w:r>
      <w:r>
        <w:rPr>
          <w:spacing w:val="-10"/>
        </w:rPr>
        <w:t> </w:t>
      </w:r>
      <w:r>
        <w:rPr/>
        <w:t>da</w:t>
      </w:r>
      <w:r>
        <w:rPr>
          <w:spacing w:val="-9"/>
        </w:rPr>
        <w:t> </w:t>
      </w:r>
      <w:r>
        <w:rPr/>
        <w:t>leitura</w:t>
      </w:r>
      <w:r>
        <w:rPr>
          <w:spacing w:val="-8"/>
        </w:rPr>
        <w:t> </w:t>
      </w:r>
      <w:r>
        <w:rPr/>
        <w:t>e</w:t>
      </w:r>
      <w:r>
        <w:rPr>
          <w:spacing w:val="-10"/>
        </w:rPr>
        <w:t> </w:t>
      </w:r>
      <w:r>
        <w:rPr/>
        <w:t>o</w:t>
      </w:r>
      <w:r>
        <w:rPr>
          <w:spacing w:val="-9"/>
        </w:rPr>
        <w:t> </w:t>
      </w:r>
      <w:r>
        <w:rPr/>
        <w:t>encerramento</w:t>
      </w:r>
      <w:r>
        <w:rPr>
          <w:spacing w:val="-10"/>
        </w:rPr>
        <w:t> </w:t>
      </w:r>
      <w:r>
        <w:rPr/>
        <w:t>de</w:t>
      </w:r>
      <w:r>
        <w:rPr>
          <w:spacing w:val="-11"/>
        </w:rPr>
        <w:t> </w:t>
      </w:r>
      <w:r>
        <w:rPr>
          <w:spacing w:val="2"/>
        </w:rPr>
        <w:t>cada</w:t>
      </w:r>
      <w:r>
        <w:rPr>
          <w:spacing w:val="-9"/>
        </w:rPr>
        <w:t> </w:t>
      </w:r>
      <w:r>
        <w:rPr/>
        <w:t>mês</w:t>
      </w:r>
      <w:r>
        <w:rPr>
          <w:spacing w:val="-9"/>
        </w:rPr>
        <w:t> </w:t>
      </w:r>
      <w:r>
        <w:rPr/>
        <w:t>são</w:t>
      </w:r>
      <w:r>
        <w:rPr>
          <w:spacing w:val="-10"/>
        </w:rPr>
        <w:t> </w:t>
      </w:r>
      <w:r>
        <w:rPr/>
        <w:t>registrados</w:t>
      </w:r>
      <w:r>
        <w:rPr>
          <w:spacing w:val="-9"/>
        </w:rPr>
        <w:t> </w:t>
      </w:r>
      <w:r>
        <w:rPr/>
        <w:t>através</w:t>
      </w:r>
      <w:r>
        <w:rPr>
          <w:spacing w:val="-8"/>
        </w:rPr>
        <w:t> </w:t>
      </w:r>
      <w:r>
        <w:rPr/>
        <w:t>de</w:t>
      </w:r>
      <w:r>
        <w:rPr>
          <w:spacing w:val="-9"/>
        </w:rPr>
        <w:t> </w:t>
      </w:r>
      <w:r>
        <w:rPr/>
        <w:t>estimativas (fornecimento não</w:t>
      </w:r>
      <w:r>
        <w:rPr>
          <w:spacing w:val="-36"/>
        </w:rPr>
        <w:t> </w:t>
      </w:r>
      <w:r>
        <w:rPr/>
        <w:t>faturado).</w:t>
      </w:r>
    </w:p>
    <w:p>
      <w:pPr>
        <w:pStyle w:val="BodyText"/>
        <w:spacing w:before="5"/>
      </w:pPr>
    </w:p>
    <w:p>
      <w:pPr>
        <w:pStyle w:val="Heading5"/>
        <w:numPr>
          <w:ilvl w:val="2"/>
          <w:numId w:val="16"/>
        </w:numPr>
        <w:tabs>
          <w:tab w:pos="1046" w:val="left" w:leader="none"/>
        </w:tabs>
        <w:spacing w:line="240" w:lineRule="auto" w:before="0" w:after="0"/>
        <w:ind w:left="1045" w:right="0" w:hanging="854"/>
        <w:jc w:val="left"/>
      </w:pPr>
      <w:r>
        <w:rPr/>
        <w:t>Receita de</w:t>
      </w:r>
      <w:r>
        <w:rPr>
          <w:spacing w:val="-2"/>
        </w:rPr>
        <w:t> </w:t>
      </w:r>
      <w:r>
        <w:rPr/>
        <w:t>construção</w:t>
      </w:r>
    </w:p>
    <w:p>
      <w:pPr>
        <w:pStyle w:val="BodyText"/>
        <w:rPr>
          <w:rFonts w:ascii="Caladea"/>
          <w:b/>
          <w:sz w:val="24"/>
        </w:rPr>
      </w:pPr>
    </w:p>
    <w:p>
      <w:pPr>
        <w:pStyle w:val="BodyText"/>
        <w:spacing w:line="242" w:lineRule="auto"/>
        <w:ind w:left="192" w:right="605"/>
        <w:jc w:val="both"/>
      </w:pPr>
      <w:r>
        <w:rPr>
          <w:w w:val="105"/>
        </w:rPr>
        <w:t>A</w:t>
      </w:r>
      <w:r>
        <w:rPr>
          <w:spacing w:val="-40"/>
          <w:w w:val="105"/>
        </w:rPr>
        <w:t> </w:t>
      </w:r>
      <w:r>
        <w:rPr>
          <w:w w:val="105"/>
        </w:rPr>
        <w:t>ICPC</w:t>
      </w:r>
      <w:r>
        <w:rPr>
          <w:spacing w:val="-39"/>
          <w:w w:val="105"/>
        </w:rPr>
        <w:t> </w:t>
      </w:r>
      <w:r>
        <w:rPr>
          <w:w w:val="105"/>
        </w:rPr>
        <w:t>01</w:t>
      </w:r>
      <w:r>
        <w:rPr>
          <w:spacing w:val="-39"/>
          <w:w w:val="105"/>
        </w:rPr>
        <w:t> </w:t>
      </w:r>
      <w:r>
        <w:rPr>
          <w:w w:val="105"/>
        </w:rPr>
        <w:t>(IFRIC</w:t>
      </w:r>
      <w:r>
        <w:rPr>
          <w:spacing w:val="-38"/>
          <w:w w:val="105"/>
        </w:rPr>
        <w:t> </w:t>
      </w:r>
      <w:r>
        <w:rPr>
          <w:w w:val="105"/>
        </w:rPr>
        <w:t>12)</w:t>
      </w:r>
      <w:r>
        <w:rPr>
          <w:spacing w:val="-38"/>
          <w:w w:val="105"/>
        </w:rPr>
        <w:t> </w:t>
      </w:r>
      <w:r>
        <w:rPr>
          <w:w w:val="105"/>
        </w:rPr>
        <w:t>estabelece</w:t>
      </w:r>
      <w:r>
        <w:rPr>
          <w:spacing w:val="-39"/>
          <w:w w:val="105"/>
        </w:rPr>
        <w:t> </w:t>
      </w:r>
      <w:r>
        <w:rPr>
          <w:w w:val="105"/>
        </w:rPr>
        <w:t>que</w:t>
      </w:r>
      <w:r>
        <w:rPr>
          <w:spacing w:val="-39"/>
          <w:w w:val="105"/>
        </w:rPr>
        <w:t> </w:t>
      </w:r>
      <w:r>
        <w:rPr>
          <w:w w:val="105"/>
        </w:rPr>
        <w:t>a</w:t>
      </w:r>
      <w:r>
        <w:rPr>
          <w:spacing w:val="-39"/>
          <w:w w:val="105"/>
        </w:rPr>
        <w:t> </w:t>
      </w:r>
      <w:r>
        <w:rPr>
          <w:w w:val="105"/>
        </w:rPr>
        <w:t>concessionária</w:t>
      </w:r>
      <w:r>
        <w:rPr>
          <w:spacing w:val="-38"/>
          <w:w w:val="105"/>
        </w:rPr>
        <w:t> </w:t>
      </w:r>
      <w:r>
        <w:rPr>
          <w:w w:val="105"/>
        </w:rPr>
        <w:t>de</w:t>
      </w:r>
      <w:r>
        <w:rPr>
          <w:spacing w:val="-38"/>
          <w:w w:val="105"/>
        </w:rPr>
        <w:t> </w:t>
      </w:r>
      <w:r>
        <w:rPr>
          <w:w w:val="105"/>
        </w:rPr>
        <w:t>energia</w:t>
      </w:r>
      <w:r>
        <w:rPr>
          <w:spacing w:val="-39"/>
          <w:w w:val="105"/>
        </w:rPr>
        <w:t> </w:t>
      </w:r>
      <w:r>
        <w:rPr>
          <w:w w:val="105"/>
        </w:rPr>
        <w:t>elétrica</w:t>
      </w:r>
      <w:r>
        <w:rPr>
          <w:spacing w:val="-39"/>
          <w:w w:val="105"/>
        </w:rPr>
        <w:t> </w:t>
      </w:r>
      <w:r>
        <w:rPr>
          <w:w w:val="105"/>
        </w:rPr>
        <w:t>deve</w:t>
      </w:r>
      <w:r>
        <w:rPr>
          <w:spacing w:val="-39"/>
          <w:w w:val="105"/>
        </w:rPr>
        <w:t> </w:t>
      </w:r>
      <w:r>
        <w:rPr>
          <w:w w:val="105"/>
        </w:rPr>
        <w:t>registrar</w:t>
      </w:r>
      <w:r>
        <w:rPr>
          <w:spacing w:val="-39"/>
          <w:w w:val="105"/>
        </w:rPr>
        <w:t> </w:t>
      </w:r>
      <w:r>
        <w:rPr>
          <w:w w:val="105"/>
        </w:rPr>
        <w:t>e</w:t>
      </w:r>
      <w:r>
        <w:rPr>
          <w:spacing w:val="-39"/>
          <w:w w:val="105"/>
        </w:rPr>
        <w:t> </w:t>
      </w:r>
      <w:r>
        <w:rPr>
          <w:w w:val="105"/>
        </w:rPr>
        <w:t>mensurar</w:t>
      </w:r>
      <w:r>
        <w:rPr>
          <w:spacing w:val="-39"/>
          <w:w w:val="105"/>
        </w:rPr>
        <w:t> </w:t>
      </w:r>
      <w:r>
        <w:rPr>
          <w:w w:val="105"/>
        </w:rPr>
        <w:t>a</w:t>
      </w:r>
      <w:r>
        <w:rPr>
          <w:spacing w:val="-38"/>
          <w:w w:val="105"/>
        </w:rPr>
        <w:t> </w:t>
      </w:r>
      <w:r>
        <w:rPr>
          <w:w w:val="105"/>
        </w:rPr>
        <w:t>receita</w:t>
      </w:r>
      <w:r>
        <w:rPr>
          <w:spacing w:val="-38"/>
          <w:w w:val="105"/>
        </w:rPr>
        <w:t> </w:t>
      </w:r>
      <w:r>
        <w:rPr>
          <w:w w:val="105"/>
        </w:rPr>
        <w:t>dos serviços</w:t>
      </w:r>
      <w:r>
        <w:rPr>
          <w:spacing w:val="-38"/>
          <w:w w:val="105"/>
        </w:rPr>
        <w:t> </w:t>
      </w:r>
      <w:r>
        <w:rPr>
          <w:w w:val="105"/>
        </w:rPr>
        <w:t>que</w:t>
      </w:r>
      <w:r>
        <w:rPr>
          <w:spacing w:val="-37"/>
          <w:w w:val="105"/>
        </w:rPr>
        <w:t> </w:t>
      </w:r>
      <w:r>
        <w:rPr>
          <w:w w:val="105"/>
        </w:rPr>
        <w:t>presta</w:t>
      </w:r>
      <w:r>
        <w:rPr>
          <w:spacing w:val="-37"/>
          <w:w w:val="105"/>
        </w:rPr>
        <w:t> </w:t>
      </w:r>
      <w:r>
        <w:rPr>
          <w:w w:val="105"/>
        </w:rPr>
        <w:t>de</w:t>
      </w:r>
      <w:r>
        <w:rPr>
          <w:spacing w:val="-38"/>
          <w:w w:val="105"/>
        </w:rPr>
        <w:t> </w:t>
      </w:r>
      <w:r>
        <w:rPr>
          <w:w w:val="105"/>
        </w:rPr>
        <w:t>acordo</w:t>
      </w:r>
      <w:r>
        <w:rPr>
          <w:spacing w:val="-38"/>
          <w:w w:val="105"/>
        </w:rPr>
        <w:t> </w:t>
      </w:r>
      <w:r>
        <w:rPr>
          <w:w w:val="105"/>
        </w:rPr>
        <w:t>com</w:t>
      </w:r>
      <w:r>
        <w:rPr>
          <w:spacing w:val="-37"/>
          <w:w w:val="105"/>
        </w:rPr>
        <w:t> </w:t>
      </w:r>
      <w:r>
        <w:rPr>
          <w:w w:val="105"/>
        </w:rPr>
        <w:t>os</w:t>
      </w:r>
      <w:r>
        <w:rPr>
          <w:spacing w:val="-37"/>
          <w:w w:val="105"/>
        </w:rPr>
        <w:t> </w:t>
      </w:r>
      <w:r>
        <w:rPr>
          <w:w w:val="105"/>
        </w:rPr>
        <w:t>Pronunciamentos</w:t>
      </w:r>
      <w:r>
        <w:rPr>
          <w:spacing w:val="-37"/>
          <w:w w:val="105"/>
        </w:rPr>
        <w:t> </w:t>
      </w:r>
      <w:r>
        <w:rPr>
          <w:w w:val="105"/>
        </w:rPr>
        <w:t>Técnicos</w:t>
      </w:r>
      <w:r>
        <w:rPr>
          <w:spacing w:val="-37"/>
          <w:w w:val="105"/>
        </w:rPr>
        <w:t> </w:t>
      </w:r>
      <w:r>
        <w:rPr>
          <w:w w:val="105"/>
        </w:rPr>
        <w:t>CPC</w:t>
      </w:r>
      <w:r>
        <w:rPr>
          <w:spacing w:val="-38"/>
          <w:w w:val="105"/>
        </w:rPr>
        <w:t> </w:t>
      </w:r>
      <w:r>
        <w:rPr>
          <w:w w:val="105"/>
        </w:rPr>
        <w:t>17</w:t>
      </w:r>
      <w:r>
        <w:rPr>
          <w:spacing w:val="-37"/>
          <w:w w:val="105"/>
        </w:rPr>
        <w:t> </w:t>
      </w:r>
      <w:r>
        <w:rPr>
          <w:w w:val="105"/>
        </w:rPr>
        <w:t>(R1)</w:t>
      </w:r>
      <w:r>
        <w:rPr>
          <w:spacing w:val="-37"/>
          <w:w w:val="105"/>
        </w:rPr>
        <w:t> </w:t>
      </w:r>
      <w:r>
        <w:rPr>
          <w:w w:val="105"/>
        </w:rPr>
        <w:t>(IAS</w:t>
      </w:r>
      <w:r>
        <w:rPr>
          <w:spacing w:val="-37"/>
          <w:w w:val="105"/>
        </w:rPr>
        <w:t> </w:t>
      </w:r>
      <w:r>
        <w:rPr>
          <w:w w:val="105"/>
        </w:rPr>
        <w:t>11)</w:t>
      </w:r>
      <w:r>
        <w:rPr>
          <w:spacing w:val="-35"/>
          <w:w w:val="105"/>
        </w:rPr>
        <w:t> </w:t>
      </w:r>
      <w:r>
        <w:rPr>
          <w:w w:val="105"/>
        </w:rPr>
        <w:t>–</w:t>
      </w:r>
      <w:r>
        <w:rPr>
          <w:spacing w:val="-37"/>
          <w:w w:val="105"/>
        </w:rPr>
        <w:t> </w:t>
      </w:r>
      <w:r>
        <w:rPr>
          <w:w w:val="105"/>
        </w:rPr>
        <w:t>Contratos</w:t>
      </w:r>
      <w:r>
        <w:rPr>
          <w:spacing w:val="-37"/>
          <w:w w:val="105"/>
        </w:rPr>
        <w:t> </w:t>
      </w:r>
      <w:r>
        <w:rPr>
          <w:w w:val="105"/>
        </w:rPr>
        <w:t>de</w:t>
      </w:r>
      <w:r>
        <w:rPr>
          <w:spacing w:val="-38"/>
          <w:w w:val="105"/>
        </w:rPr>
        <w:t> </w:t>
      </w:r>
      <w:r>
        <w:rPr>
          <w:w w:val="105"/>
        </w:rPr>
        <w:t>Construção (serviços</w:t>
      </w:r>
      <w:r>
        <w:rPr>
          <w:spacing w:val="-32"/>
          <w:w w:val="105"/>
        </w:rPr>
        <w:t> </w:t>
      </w:r>
      <w:r>
        <w:rPr>
          <w:w w:val="105"/>
        </w:rPr>
        <w:t>de</w:t>
      </w:r>
      <w:r>
        <w:rPr>
          <w:spacing w:val="-31"/>
          <w:w w:val="105"/>
        </w:rPr>
        <w:t> </w:t>
      </w:r>
      <w:r>
        <w:rPr>
          <w:w w:val="105"/>
        </w:rPr>
        <w:t>construção</w:t>
      </w:r>
      <w:r>
        <w:rPr>
          <w:spacing w:val="-31"/>
          <w:w w:val="105"/>
        </w:rPr>
        <w:t> </w:t>
      </w:r>
      <w:r>
        <w:rPr>
          <w:w w:val="105"/>
        </w:rPr>
        <w:t>ou</w:t>
      </w:r>
      <w:r>
        <w:rPr>
          <w:spacing w:val="-30"/>
          <w:w w:val="105"/>
        </w:rPr>
        <w:t> </w:t>
      </w:r>
      <w:r>
        <w:rPr>
          <w:w w:val="105"/>
        </w:rPr>
        <w:t>melhoria)</w:t>
      </w:r>
      <w:r>
        <w:rPr>
          <w:spacing w:val="-30"/>
          <w:w w:val="105"/>
        </w:rPr>
        <w:t> </w:t>
      </w:r>
      <w:r>
        <w:rPr>
          <w:w w:val="105"/>
        </w:rPr>
        <w:t>e</w:t>
      </w:r>
      <w:r>
        <w:rPr>
          <w:spacing w:val="-31"/>
          <w:w w:val="105"/>
        </w:rPr>
        <w:t> </w:t>
      </w:r>
      <w:r>
        <w:rPr>
          <w:w w:val="105"/>
        </w:rPr>
        <w:t>CPC</w:t>
      </w:r>
      <w:r>
        <w:rPr>
          <w:spacing w:val="-31"/>
          <w:w w:val="105"/>
        </w:rPr>
        <w:t> </w:t>
      </w:r>
      <w:r>
        <w:rPr>
          <w:w w:val="105"/>
        </w:rPr>
        <w:t>30</w:t>
      </w:r>
      <w:r>
        <w:rPr>
          <w:spacing w:val="-31"/>
          <w:w w:val="105"/>
        </w:rPr>
        <w:t> </w:t>
      </w:r>
      <w:r>
        <w:rPr>
          <w:w w:val="105"/>
        </w:rPr>
        <w:t>(R1)</w:t>
      </w:r>
      <w:r>
        <w:rPr>
          <w:spacing w:val="-31"/>
          <w:w w:val="105"/>
        </w:rPr>
        <w:t> </w:t>
      </w:r>
      <w:r>
        <w:rPr>
          <w:w w:val="105"/>
        </w:rPr>
        <w:t>(IAS</w:t>
      </w:r>
      <w:r>
        <w:rPr>
          <w:spacing w:val="-32"/>
          <w:w w:val="105"/>
        </w:rPr>
        <w:t> </w:t>
      </w:r>
      <w:r>
        <w:rPr>
          <w:w w:val="105"/>
        </w:rPr>
        <w:t>18)</w:t>
      </w:r>
      <w:r>
        <w:rPr>
          <w:spacing w:val="-28"/>
          <w:w w:val="105"/>
        </w:rPr>
        <w:t> </w:t>
      </w:r>
      <w:r>
        <w:rPr>
          <w:w w:val="105"/>
        </w:rPr>
        <w:t>–</w:t>
      </w:r>
      <w:r>
        <w:rPr>
          <w:spacing w:val="-30"/>
          <w:w w:val="105"/>
        </w:rPr>
        <w:t> </w:t>
      </w:r>
      <w:r>
        <w:rPr>
          <w:w w:val="105"/>
        </w:rPr>
        <w:t>Receitas</w:t>
      </w:r>
      <w:r>
        <w:rPr>
          <w:spacing w:val="-31"/>
          <w:w w:val="105"/>
        </w:rPr>
        <w:t> </w:t>
      </w:r>
      <w:r>
        <w:rPr>
          <w:w w:val="105"/>
        </w:rPr>
        <w:t>(serviços</w:t>
      </w:r>
      <w:r>
        <w:rPr>
          <w:spacing w:val="-30"/>
          <w:w w:val="105"/>
        </w:rPr>
        <w:t> </w:t>
      </w:r>
      <w:r>
        <w:rPr>
          <w:w w:val="105"/>
        </w:rPr>
        <w:t>de</w:t>
      </w:r>
      <w:r>
        <w:rPr>
          <w:spacing w:val="-32"/>
          <w:w w:val="105"/>
        </w:rPr>
        <w:t> </w:t>
      </w:r>
      <w:r>
        <w:rPr>
          <w:w w:val="105"/>
        </w:rPr>
        <w:t>operação</w:t>
      </w:r>
      <w:r>
        <w:rPr>
          <w:spacing w:val="-30"/>
          <w:w w:val="105"/>
        </w:rPr>
        <w:t> </w:t>
      </w:r>
      <w:r>
        <w:rPr>
          <w:w w:val="105"/>
        </w:rPr>
        <w:t>–</w:t>
      </w:r>
      <w:r>
        <w:rPr>
          <w:spacing w:val="-30"/>
          <w:w w:val="105"/>
        </w:rPr>
        <w:t> </w:t>
      </w:r>
      <w:r>
        <w:rPr>
          <w:w w:val="105"/>
        </w:rPr>
        <w:t>fornecimento</w:t>
      </w:r>
      <w:r>
        <w:rPr>
          <w:spacing w:val="-30"/>
          <w:w w:val="105"/>
        </w:rPr>
        <w:t> </w:t>
      </w:r>
      <w:r>
        <w:rPr>
          <w:w w:val="105"/>
        </w:rPr>
        <w:t>de energia</w:t>
      </w:r>
      <w:r>
        <w:rPr>
          <w:spacing w:val="-29"/>
          <w:w w:val="105"/>
        </w:rPr>
        <w:t> </w:t>
      </w:r>
      <w:r>
        <w:rPr>
          <w:w w:val="105"/>
        </w:rPr>
        <w:t>elétrica),</w:t>
      </w:r>
      <w:r>
        <w:rPr>
          <w:spacing w:val="-30"/>
          <w:w w:val="105"/>
        </w:rPr>
        <w:t> </w:t>
      </w:r>
      <w:r>
        <w:rPr>
          <w:w w:val="105"/>
        </w:rPr>
        <w:t>como</w:t>
      </w:r>
      <w:r>
        <w:rPr>
          <w:spacing w:val="-29"/>
          <w:w w:val="105"/>
        </w:rPr>
        <w:t> </w:t>
      </w:r>
      <w:r>
        <w:rPr>
          <w:w w:val="105"/>
        </w:rPr>
        <w:t>componentes</w:t>
      </w:r>
      <w:r>
        <w:rPr>
          <w:spacing w:val="-29"/>
          <w:w w:val="105"/>
        </w:rPr>
        <w:t> </w:t>
      </w:r>
      <w:r>
        <w:rPr>
          <w:w w:val="105"/>
        </w:rPr>
        <w:t>separados</w:t>
      </w:r>
      <w:r>
        <w:rPr>
          <w:spacing w:val="-27"/>
          <w:w w:val="105"/>
        </w:rPr>
        <w:t> </w:t>
      </w:r>
      <w:r>
        <w:rPr>
          <w:w w:val="105"/>
        </w:rPr>
        <w:t>do</w:t>
      </w:r>
      <w:r>
        <w:rPr>
          <w:spacing w:val="-28"/>
          <w:w w:val="105"/>
        </w:rPr>
        <w:t> </w:t>
      </w:r>
      <w:r>
        <w:rPr>
          <w:w w:val="105"/>
        </w:rPr>
        <w:t>mesmo</w:t>
      </w:r>
      <w:r>
        <w:rPr>
          <w:spacing w:val="-29"/>
          <w:w w:val="105"/>
        </w:rPr>
        <w:t> </w:t>
      </w:r>
      <w:r>
        <w:rPr>
          <w:w w:val="105"/>
        </w:rPr>
        <w:t>contrato</w:t>
      </w:r>
      <w:r>
        <w:rPr>
          <w:spacing w:val="-28"/>
          <w:w w:val="105"/>
        </w:rPr>
        <w:t> </w:t>
      </w:r>
      <w:r>
        <w:rPr>
          <w:w w:val="105"/>
        </w:rPr>
        <w:t>de</w:t>
      </w:r>
      <w:r>
        <w:rPr>
          <w:spacing w:val="-29"/>
          <w:w w:val="105"/>
        </w:rPr>
        <w:t> </w:t>
      </w:r>
      <w:r>
        <w:rPr>
          <w:w w:val="105"/>
        </w:rPr>
        <w:t>concessão.</w:t>
      </w:r>
    </w:p>
    <w:p>
      <w:pPr>
        <w:pStyle w:val="BodyText"/>
        <w:spacing w:line="242" w:lineRule="auto" w:before="99"/>
        <w:ind w:left="192" w:right="617"/>
        <w:jc w:val="both"/>
      </w:pPr>
      <w:r>
        <w:rPr/>
        <w:t>A</w:t>
      </w:r>
      <w:r>
        <w:rPr>
          <w:spacing w:val="-30"/>
        </w:rPr>
        <w:t> </w:t>
      </w:r>
      <w:r>
        <w:rPr/>
        <w:t>CEB</w:t>
      </w:r>
      <w:r>
        <w:rPr>
          <w:spacing w:val="-29"/>
        </w:rPr>
        <w:t> </w:t>
      </w:r>
      <w:r>
        <w:rPr/>
        <w:t>DIS</w:t>
      </w:r>
      <w:r>
        <w:rPr>
          <w:spacing w:val="-30"/>
        </w:rPr>
        <w:t> </w:t>
      </w:r>
      <w:r>
        <w:rPr/>
        <w:t>contabiliza</w:t>
      </w:r>
      <w:r>
        <w:rPr>
          <w:spacing w:val="-27"/>
        </w:rPr>
        <w:t> </w:t>
      </w:r>
      <w:r>
        <w:rPr/>
        <w:t>receitas</w:t>
      </w:r>
      <w:r>
        <w:rPr>
          <w:spacing w:val="-29"/>
        </w:rPr>
        <w:t> </w:t>
      </w:r>
      <w:r>
        <w:rPr/>
        <w:t>e</w:t>
      </w:r>
      <w:r>
        <w:rPr>
          <w:spacing w:val="-29"/>
        </w:rPr>
        <w:t> </w:t>
      </w:r>
      <w:r>
        <w:rPr/>
        <w:t>custos</w:t>
      </w:r>
      <w:r>
        <w:rPr>
          <w:spacing w:val="-30"/>
        </w:rPr>
        <w:t> </w:t>
      </w:r>
      <w:r>
        <w:rPr/>
        <w:t>relativos</w:t>
      </w:r>
      <w:r>
        <w:rPr>
          <w:spacing w:val="-28"/>
        </w:rPr>
        <w:t> </w:t>
      </w:r>
      <w:r>
        <w:rPr/>
        <w:t>a</w:t>
      </w:r>
      <w:r>
        <w:rPr>
          <w:spacing w:val="-29"/>
        </w:rPr>
        <w:t> </w:t>
      </w:r>
      <w:r>
        <w:rPr/>
        <w:t>serviços</w:t>
      </w:r>
      <w:r>
        <w:rPr>
          <w:spacing w:val="-29"/>
        </w:rPr>
        <w:t> </w:t>
      </w:r>
      <w:r>
        <w:rPr/>
        <w:t>de</w:t>
      </w:r>
      <w:r>
        <w:rPr>
          <w:spacing w:val="-31"/>
        </w:rPr>
        <w:t> </w:t>
      </w:r>
      <w:r>
        <w:rPr/>
        <w:t>construção</w:t>
      </w:r>
      <w:r>
        <w:rPr>
          <w:spacing w:val="-28"/>
        </w:rPr>
        <w:t> </w:t>
      </w:r>
      <w:r>
        <w:rPr/>
        <w:t>ou</w:t>
      </w:r>
      <w:r>
        <w:rPr>
          <w:spacing w:val="-28"/>
        </w:rPr>
        <w:t> </w:t>
      </w:r>
      <w:r>
        <w:rPr/>
        <w:t>melhoria</w:t>
      </w:r>
      <w:r>
        <w:rPr>
          <w:spacing w:val="-29"/>
        </w:rPr>
        <w:t> </w:t>
      </w:r>
      <w:r>
        <w:rPr/>
        <w:t>da</w:t>
      </w:r>
      <w:r>
        <w:rPr>
          <w:spacing w:val="-30"/>
        </w:rPr>
        <w:t> </w:t>
      </w:r>
      <w:r>
        <w:rPr/>
        <w:t>infraestrutura</w:t>
      </w:r>
      <w:r>
        <w:rPr>
          <w:spacing w:val="-29"/>
        </w:rPr>
        <w:t> </w:t>
      </w:r>
      <w:r>
        <w:rPr/>
        <w:t>utilizada</w:t>
      </w:r>
      <w:r>
        <w:rPr>
          <w:spacing w:val="-29"/>
        </w:rPr>
        <w:t> </w:t>
      </w:r>
      <w:r>
        <w:rPr/>
        <w:t>na </w:t>
      </w:r>
      <w:r>
        <w:rPr>
          <w:w w:val="95"/>
        </w:rPr>
        <w:t>prestação</w:t>
      </w:r>
      <w:r>
        <w:rPr>
          <w:spacing w:val="-20"/>
          <w:w w:val="95"/>
        </w:rPr>
        <w:t> </w:t>
      </w:r>
      <w:r>
        <w:rPr>
          <w:w w:val="95"/>
        </w:rPr>
        <w:t>dos</w:t>
      </w:r>
      <w:r>
        <w:rPr>
          <w:spacing w:val="-19"/>
          <w:w w:val="95"/>
        </w:rPr>
        <w:t> </w:t>
      </w:r>
      <w:r>
        <w:rPr>
          <w:w w:val="95"/>
        </w:rPr>
        <w:t>serviços</w:t>
      </w:r>
      <w:r>
        <w:rPr>
          <w:spacing w:val="-19"/>
          <w:w w:val="95"/>
        </w:rPr>
        <w:t> </w:t>
      </w:r>
      <w:r>
        <w:rPr>
          <w:w w:val="95"/>
        </w:rPr>
        <w:t>de</w:t>
      </w:r>
      <w:r>
        <w:rPr>
          <w:spacing w:val="-19"/>
          <w:w w:val="95"/>
        </w:rPr>
        <w:t> </w:t>
      </w:r>
      <w:r>
        <w:rPr>
          <w:w w:val="95"/>
        </w:rPr>
        <w:t>distribuição</w:t>
      </w:r>
      <w:r>
        <w:rPr>
          <w:spacing w:val="-19"/>
          <w:w w:val="95"/>
        </w:rPr>
        <w:t> </w:t>
      </w:r>
      <w:r>
        <w:rPr>
          <w:w w:val="95"/>
        </w:rPr>
        <w:t>de</w:t>
      </w:r>
      <w:r>
        <w:rPr>
          <w:spacing w:val="-18"/>
          <w:w w:val="95"/>
        </w:rPr>
        <w:t> </w:t>
      </w:r>
      <w:r>
        <w:rPr>
          <w:w w:val="95"/>
        </w:rPr>
        <w:t>energia</w:t>
      </w:r>
      <w:r>
        <w:rPr>
          <w:spacing w:val="-19"/>
          <w:w w:val="95"/>
        </w:rPr>
        <w:t> </w:t>
      </w:r>
      <w:r>
        <w:rPr>
          <w:w w:val="95"/>
        </w:rPr>
        <w:t>elétrica.</w:t>
      </w:r>
      <w:r>
        <w:rPr>
          <w:spacing w:val="-16"/>
          <w:w w:val="95"/>
        </w:rPr>
        <w:t> </w:t>
      </w:r>
      <w:r>
        <w:rPr>
          <w:w w:val="95"/>
        </w:rPr>
        <w:t>A</w:t>
      </w:r>
      <w:r>
        <w:rPr>
          <w:spacing w:val="-19"/>
          <w:w w:val="95"/>
        </w:rPr>
        <w:t> </w:t>
      </w:r>
      <w:r>
        <w:rPr>
          <w:w w:val="95"/>
        </w:rPr>
        <w:t>margem</w:t>
      </w:r>
      <w:r>
        <w:rPr>
          <w:spacing w:val="-18"/>
          <w:w w:val="95"/>
        </w:rPr>
        <w:t> </w:t>
      </w:r>
      <w:r>
        <w:rPr>
          <w:w w:val="95"/>
        </w:rPr>
        <w:t>de</w:t>
      </w:r>
      <w:r>
        <w:rPr>
          <w:spacing w:val="-19"/>
          <w:w w:val="95"/>
        </w:rPr>
        <w:t> </w:t>
      </w:r>
      <w:r>
        <w:rPr>
          <w:w w:val="95"/>
        </w:rPr>
        <w:t>construção</w:t>
      </w:r>
      <w:r>
        <w:rPr>
          <w:spacing w:val="-20"/>
          <w:w w:val="95"/>
        </w:rPr>
        <w:t> </w:t>
      </w:r>
      <w:r>
        <w:rPr>
          <w:w w:val="95"/>
        </w:rPr>
        <w:t>adotada</w:t>
      </w:r>
      <w:r>
        <w:rPr>
          <w:spacing w:val="-18"/>
          <w:w w:val="95"/>
        </w:rPr>
        <w:t> </w:t>
      </w:r>
      <w:r>
        <w:rPr>
          <w:w w:val="95"/>
        </w:rPr>
        <w:t>é</w:t>
      </w:r>
      <w:r>
        <w:rPr>
          <w:spacing w:val="-18"/>
          <w:w w:val="95"/>
        </w:rPr>
        <w:t> </w:t>
      </w:r>
      <w:r>
        <w:rPr>
          <w:w w:val="95"/>
        </w:rPr>
        <w:t>nula,</w:t>
      </w:r>
      <w:r>
        <w:rPr>
          <w:spacing w:val="-20"/>
          <w:w w:val="95"/>
        </w:rPr>
        <w:t> </w:t>
      </w:r>
      <w:r>
        <w:rPr>
          <w:w w:val="95"/>
        </w:rPr>
        <w:t>considerando</w:t>
      </w:r>
      <w:r>
        <w:rPr>
          <w:spacing w:val="-17"/>
          <w:w w:val="95"/>
        </w:rPr>
        <w:t> </w:t>
      </w:r>
      <w:r>
        <w:rPr>
          <w:w w:val="95"/>
        </w:rPr>
        <w:t>que:</w:t>
      </w:r>
    </w:p>
    <w:p>
      <w:pPr>
        <w:pStyle w:val="BodyText"/>
        <w:spacing w:line="242" w:lineRule="auto" w:before="1"/>
        <w:ind w:left="192" w:right="613"/>
        <w:jc w:val="both"/>
      </w:pPr>
      <w:r>
        <w:rPr/>
        <w:t>(i) a atividade fim da concessionária é a distribuição de energia elétrica; (ii) toda receita de construção está relacionada</w:t>
      </w:r>
      <w:r>
        <w:rPr>
          <w:spacing w:val="-26"/>
        </w:rPr>
        <w:t> </w:t>
      </w:r>
      <w:r>
        <w:rPr/>
        <w:t>com</w:t>
      </w:r>
      <w:r>
        <w:rPr>
          <w:spacing w:val="-24"/>
        </w:rPr>
        <w:t> </w:t>
      </w:r>
      <w:r>
        <w:rPr/>
        <w:t>a</w:t>
      </w:r>
      <w:r>
        <w:rPr>
          <w:spacing w:val="-26"/>
        </w:rPr>
        <w:t> </w:t>
      </w:r>
      <w:r>
        <w:rPr/>
        <w:t>construção</w:t>
      </w:r>
      <w:r>
        <w:rPr>
          <w:spacing w:val="-26"/>
        </w:rPr>
        <w:t> </w:t>
      </w:r>
      <w:r>
        <w:rPr/>
        <w:t>de</w:t>
      </w:r>
      <w:r>
        <w:rPr>
          <w:spacing w:val="-25"/>
        </w:rPr>
        <w:t> </w:t>
      </w:r>
      <w:r>
        <w:rPr/>
        <w:t>infraestrutura</w:t>
      </w:r>
      <w:r>
        <w:rPr>
          <w:spacing w:val="-25"/>
        </w:rPr>
        <w:t> </w:t>
      </w:r>
      <w:r>
        <w:rPr/>
        <w:t>para</w:t>
      </w:r>
      <w:r>
        <w:rPr>
          <w:spacing w:val="-24"/>
        </w:rPr>
        <w:t> </w:t>
      </w:r>
      <w:r>
        <w:rPr/>
        <w:t>o</w:t>
      </w:r>
      <w:r>
        <w:rPr>
          <w:spacing w:val="-24"/>
        </w:rPr>
        <w:t> </w:t>
      </w:r>
      <w:r>
        <w:rPr/>
        <w:t>alcance</w:t>
      </w:r>
      <w:r>
        <w:rPr>
          <w:spacing w:val="-26"/>
        </w:rPr>
        <w:t> </w:t>
      </w:r>
      <w:r>
        <w:rPr/>
        <w:t>da</w:t>
      </w:r>
      <w:r>
        <w:rPr>
          <w:spacing w:val="-25"/>
        </w:rPr>
        <w:t> </w:t>
      </w:r>
      <w:r>
        <w:rPr/>
        <w:t>atividade</w:t>
      </w:r>
      <w:r>
        <w:rPr>
          <w:spacing w:val="-26"/>
        </w:rPr>
        <w:t> </w:t>
      </w:r>
      <w:r>
        <w:rPr/>
        <w:t>fim,</w:t>
      </w:r>
      <w:r>
        <w:rPr>
          <w:spacing w:val="-25"/>
        </w:rPr>
        <w:t> </w:t>
      </w:r>
      <w:r>
        <w:rPr/>
        <w:t>ou</w:t>
      </w:r>
      <w:r>
        <w:rPr>
          <w:spacing w:val="-25"/>
        </w:rPr>
        <w:t> </w:t>
      </w:r>
      <w:r>
        <w:rPr/>
        <w:t>seja,</w:t>
      </w:r>
      <w:r>
        <w:rPr>
          <w:spacing w:val="-25"/>
        </w:rPr>
        <w:t> </w:t>
      </w:r>
      <w:r>
        <w:rPr/>
        <w:t>a</w:t>
      </w:r>
      <w:r>
        <w:rPr>
          <w:spacing w:val="-24"/>
        </w:rPr>
        <w:t> </w:t>
      </w:r>
      <w:r>
        <w:rPr/>
        <w:t>distribuição</w:t>
      </w:r>
      <w:r>
        <w:rPr>
          <w:spacing w:val="-24"/>
        </w:rPr>
        <w:t> </w:t>
      </w:r>
      <w:r>
        <w:rPr/>
        <w:t>de</w:t>
      </w:r>
      <w:r>
        <w:rPr>
          <w:spacing w:val="-25"/>
        </w:rPr>
        <w:t> </w:t>
      </w:r>
      <w:r>
        <w:rPr/>
        <w:t>energia </w:t>
      </w:r>
      <w:r>
        <w:rPr>
          <w:spacing w:val="-2"/>
          <w:w w:val="89"/>
        </w:rPr>
        <w:t>e</w:t>
      </w:r>
      <w:r>
        <w:rPr>
          <w:w w:val="91"/>
        </w:rPr>
        <w:t>l</w:t>
      </w:r>
      <w:r>
        <w:rPr>
          <w:spacing w:val="-2"/>
          <w:w w:val="89"/>
        </w:rPr>
        <w:t>é</w:t>
      </w:r>
      <w:r>
        <w:rPr>
          <w:spacing w:val="1"/>
          <w:w w:val="85"/>
        </w:rPr>
        <w:t>t</w:t>
      </w:r>
      <w:r>
        <w:rPr>
          <w:spacing w:val="-1"/>
          <w:w w:val="105"/>
        </w:rPr>
        <w:t>r</w:t>
      </w:r>
      <w:r>
        <w:rPr>
          <w:w w:val="91"/>
        </w:rPr>
        <w:t>ic</w:t>
      </w:r>
      <w:r>
        <w:rPr>
          <w:w w:val="92"/>
        </w:rPr>
        <w:t>a</w:t>
      </w:r>
      <w:r>
        <w:rPr>
          <w:w w:val="71"/>
        </w:rPr>
        <w:t>;</w:t>
      </w:r>
      <w:r>
        <w:rPr>
          <w:spacing w:val="14"/>
        </w:rPr>
        <w:t> </w:t>
      </w:r>
      <w:r>
        <w:rPr>
          <w:w w:val="89"/>
        </w:rPr>
        <w:t>e</w:t>
      </w:r>
      <w:r>
        <w:rPr>
          <w:spacing w:val="10"/>
        </w:rPr>
        <w:t> </w:t>
      </w:r>
      <w:r>
        <w:rPr>
          <w:w w:val="103"/>
        </w:rPr>
        <w:t>(</w:t>
      </w:r>
      <w:r>
        <w:rPr>
          <w:w w:val="97"/>
        </w:rPr>
        <w:t>i</w:t>
      </w:r>
      <w:r>
        <w:rPr>
          <w:spacing w:val="1"/>
          <w:w w:val="97"/>
        </w:rPr>
        <w:t>i</w:t>
      </w:r>
      <w:r>
        <w:rPr>
          <w:w w:val="100"/>
        </w:rPr>
        <w:t>i)</w:t>
      </w:r>
      <w:r>
        <w:rPr>
          <w:spacing w:val="12"/>
        </w:rPr>
        <w:t> </w:t>
      </w:r>
      <w:r>
        <w:rPr>
          <w:w w:val="92"/>
        </w:rPr>
        <w:t>a</w:t>
      </w:r>
      <w:r>
        <w:rPr>
          <w:spacing w:val="14"/>
        </w:rPr>
        <w:t> </w:t>
      </w:r>
      <w:r>
        <w:rPr>
          <w:w w:val="88"/>
        </w:rPr>
        <w:t>c</w:t>
      </w:r>
      <w:r>
        <w:rPr>
          <w:w w:val="100"/>
        </w:rPr>
        <w:t>o</w:t>
      </w:r>
      <w:r>
        <w:rPr>
          <w:spacing w:val="-1"/>
          <w:w w:val="100"/>
        </w:rPr>
        <w:t>n</w:t>
      </w:r>
      <w:r>
        <w:rPr>
          <w:w w:val="88"/>
        </w:rPr>
        <w:t>c</w:t>
      </w:r>
      <w:r>
        <w:rPr>
          <w:spacing w:val="-2"/>
          <w:w w:val="89"/>
        </w:rPr>
        <w:t>e</w:t>
      </w:r>
      <w:r>
        <w:rPr>
          <w:w w:val="105"/>
        </w:rPr>
        <w:t>ss</w:t>
      </w:r>
      <w:r>
        <w:rPr>
          <w:w w:val="98"/>
        </w:rPr>
        <w:t>i</w:t>
      </w:r>
      <w:r>
        <w:rPr>
          <w:spacing w:val="1"/>
          <w:w w:val="98"/>
        </w:rPr>
        <w:t>o</w:t>
      </w:r>
      <w:r>
        <w:rPr>
          <w:spacing w:val="1"/>
          <w:w w:val="101"/>
        </w:rPr>
        <w:t>n</w:t>
      </w:r>
      <w:r>
        <w:rPr>
          <w:w w:val="92"/>
        </w:rPr>
        <w:t>á</w:t>
      </w:r>
      <w:r>
        <w:rPr>
          <w:spacing w:val="-1"/>
          <w:w w:val="105"/>
        </w:rPr>
        <w:t>r</w:t>
      </w:r>
      <w:r>
        <w:rPr>
          <w:w w:val="94"/>
        </w:rPr>
        <w:t>ia</w:t>
      </w:r>
      <w:r>
        <w:rPr>
          <w:spacing w:val="12"/>
        </w:rPr>
        <w:t> </w:t>
      </w:r>
      <w:r>
        <w:rPr>
          <w:spacing w:val="1"/>
          <w:w w:val="85"/>
        </w:rPr>
        <w:t>t</w:t>
      </w:r>
      <w:r>
        <w:rPr>
          <w:spacing w:val="-2"/>
          <w:w w:val="89"/>
        </w:rPr>
        <w:t>e</w:t>
      </w:r>
      <w:r>
        <w:rPr>
          <w:spacing w:val="-1"/>
          <w:w w:val="105"/>
        </w:rPr>
        <w:t>r</w:t>
      </w:r>
      <w:r>
        <w:rPr>
          <w:w w:val="88"/>
        </w:rPr>
        <w:t>c</w:t>
      </w:r>
      <w:r>
        <w:rPr>
          <w:spacing w:val="1"/>
          <w:w w:val="89"/>
        </w:rPr>
        <w:t>e</w:t>
      </w:r>
      <w:r>
        <w:rPr>
          <w:w w:val="102"/>
        </w:rPr>
        <w:t>i</w:t>
      </w:r>
      <w:r>
        <w:rPr>
          <w:spacing w:val="-1"/>
          <w:w w:val="102"/>
        </w:rPr>
        <w:t>r</w:t>
      </w:r>
      <w:r>
        <w:rPr>
          <w:w w:val="94"/>
        </w:rPr>
        <w:t>iza</w:t>
      </w:r>
      <w:r>
        <w:rPr>
          <w:spacing w:val="15"/>
        </w:rPr>
        <w:t> </w:t>
      </w:r>
      <w:r>
        <w:rPr>
          <w:w w:val="92"/>
        </w:rPr>
        <w:t>a</w:t>
      </w:r>
      <w:r>
        <w:rPr>
          <w:spacing w:val="12"/>
        </w:rPr>
        <w:t> </w:t>
      </w:r>
      <w:r>
        <w:rPr>
          <w:w w:val="88"/>
        </w:rPr>
        <w:t>c</w:t>
      </w:r>
      <w:r>
        <w:rPr>
          <w:w w:val="100"/>
        </w:rPr>
        <w:t>o</w:t>
      </w:r>
      <w:r>
        <w:rPr>
          <w:spacing w:val="-1"/>
          <w:w w:val="100"/>
        </w:rPr>
        <w:t>n</w:t>
      </w:r>
      <w:r>
        <w:rPr>
          <w:spacing w:val="7"/>
          <w:w w:val="105"/>
        </w:rPr>
        <w:t>s</w:t>
      </w:r>
      <w:r>
        <w:rPr>
          <w:spacing w:val="1"/>
          <w:w w:val="85"/>
        </w:rPr>
        <w:t>t</w:t>
      </w:r>
      <w:r>
        <w:rPr>
          <w:spacing w:val="-1"/>
          <w:w w:val="105"/>
        </w:rPr>
        <w:t>r</w:t>
      </w:r>
      <w:r>
        <w:rPr>
          <w:spacing w:val="-1"/>
          <w:w w:val="94"/>
        </w:rPr>
        <w:t>u</w:t>
      </w:r>
      <w:r>
        <w:rPr>
          <w:spacing w:val="1"/>
          <w:w w:val="94"/>
        </w:rPr>
        <w:t>ç</w:t>
      </w:r>
      <w:r>
        <w:rPr>
          <w:w w:val="92"/>
        </w:rPr>
        <w:t>ã</w:t>
      </w:r>
      <w:r>
        <w:rPr>
          <w:w w:val="98"/>
        </w:rPr>
        <w:t>o</w:t>
      </w:r>
      <w:r>
        <w:rPr>
          <w:spacing w:val="13"/>
        </w:rPr>
        <w:t> </w:t>
      </w:r>
      <w:r>
        <w:rPr>
          <w:w w:val="95"/>
        </w:rPr>
        <w:t>da</w:t>
      </w:r>
      <w:r>
        <w:rPr>
          <w:spacing w:val="14"/>
        </w:rPr>
        <w:t> </w:t>
      </w:r>
      <w:r>
        <w:rPr>
          <w:w w:val="100"/>
        </w:rPr>
        <w:t>i</w:t>
      </w:r>
      <w:r>
        <w:rPr>
          <w:spacing w:val="-1"/>
          <w:w w:val="100"/>
        </w:rPr>
        <w:t>n</w:t>
      </w:r>
      <w:r>
        <w:rPr>
          <w:spacing w:val="1"/>
          <w:w w:val="81"/>
        </w:rPr>
        <w:t>f</w:t>
      </w:r>
      <w:r>
        <w:rPr>
          <w:spacing w:val="-1"/>
          <w:w w:val="105"/>
        </w:rPr>
        <w:t>r</w:t>
      </w:r>
      <w:r>
        <w:rPr>
          <w:w w:val="92"/>
        </w:rPr>
        <w:t>a</w:t>
      </w:r>
      <w:r>
        <w:rPr>
          <w:spacing w:val="-2"/>
          <w:w w:val="89"/>
        </w:rPr>
        <w:t>e</w:t>
      </w:r>
      <w:r>
        <w:rPr>
          <w:w w:val="105"/>
        </w:rPr>
        <w:t>s</w:t>
      </w:r>
      <w:r>
        <w:rPr>
          <w:spacing w:val="1"/>
          <w:w w:val="85"/>
        </w:rPr>
        <w:t>t</w:t>
      </w:r>
      <w:r>
        <w:rPr>
          <w:spacing w:val="-1"/>
          <w:w w:val="105"/>
        </w:rPr>
        <w:t>r</w:t>
      </w:r>
      <w:r>
        <w:rPr>
          <w:spacing w:val="-1"/>
          <w:w w:val="96"/>
        </w:rPr>
        <w:t>ut</w:t>
      </w:r>
      <w:r>
        <w:rPr>
          <w:w w:val="96"/>
        </w:rPr>
        <w:t>u</w:t>
      </w:r>
      <w:r>
        <w:rPr>
          <w:spacing w:val="-1"/>
          <w:w w:val="105"/>
        </w:rPr>
        <w:t>r</w:t>
      </w:r>
      <w:r>
        <w:rPr>
          <w:w w:val="92"/>
        </w:rPr>
        <w:t>a</w:t>
      </w:r>
      <w:r>
        <w:rPr>
          <w:w w:val="55"/>
        </w:rPr>
        <w:t>.</w:t>
      </w:r>
      <w:r>
        <w:rPr>
          <w:spacing w:val="13"/>
        </w:rPr>
        <w:t> </w:t>
      </w:r>
      <w:r>
        <w:rPr>
          <w:w w:val="114"/>
        </w:rPr>
        <w:t>M</w:t>
      </w:r>
      <w:r>
        <w:rPr>
          <w:spacing w:val="1"/>
          <w:w w:val="89"/>
        </w:rPr>
        <w:t>e</w:t>
      </w:r>
      <w:r>
        <w:rPr>
          <w:spacing w:val="-1"/>
          <w:w w:val="101"/>
        </w:rPr>
        <w:t>n</w:t>
      </w:r>
      <w:r>
        <w:rPr>
          <w:w w:val="105"/>
        </w:rPr>
        <w:t>s</w:t>
      </w:r>
      <w:r>
        <w:rPr>
          <w:w w:val="92"/>
        </w:rPr>
        <w:t>a</w:t>
      </w:r>
      <w:r>
        <w:rPr>
          <w:w w:val="91"/>
        </w:rPr>
        <w:t>l</w:t>
      </w:r>
      <w:r>
        <w:rPr>
          <w:w w:val="95"/>
        </w:rPr>
        <w:t>me</w:t>
      </w:r>
      <w:r>
        <w:rPr>
          <w:spacing w:val="-1"/>
          <w:w w:val="101"/>
        </w:rPr>
        <w:t>n</w:t>
      </w:r>
      <w:r>
        <w:rPr>
          <w:spacing w:val="-1"/>
          <w:w w:val="87"/>
        </w:rPr>
        <w:t>t</w:t>
      </w:r>
      <w:r>
        <w:rPr>
          <w:spacing w:val="-2"/>
          <w:w w:val="87"/>
        </w:rPr>
        <w:t>e</w:t>
      </w:r>
      <w:r>
        <w:rPr>
          <w:w w:val="55"/>
        </w:rPr>
        <w:t>,</w:t>
      </w:r>
      <w:r>
        <w:rPr>
          <w:spacing w:val="13"/>
        </w:rPr>
        <w:t> </w:t>
      </w:r>
      <w:r>
        <w:rPr>
          <w:w w:val="92"/>
        </w:rPr>
        <w:t>a</w:t>
      </w:r>
      <w:r>
        <w:rPr>
          <w:spacing w:val="14"/>
        </w:rPr>
        <w:t> </w:t>
      </w:r>
      <w:r>
        <w:rPr>
          <w:spacing w:val="-1"/>
          <w:w w:val="91"/>
        </w:rPr>
        <w:t>tot</w:t>
      </w:r>
      <w:r>
        <w:rPr>
          <w:w w:val="91"/>
        </w:rPr>
        <w:t>a</w:t>
      </w:r>
      <w:r>
        <w:rPr>
          <w:w w:val="91"/>
        </w:rPr>
        <w:t>l</w:t>
      </w:r>
      <w:r>
        <w:rPr>
          <w:w w:val="96"/>
        </w:rPr>
        <w:t>ida</w:t>
      </w:r>
      <w:r>
        <w:rPr>
          <w:spacing w:val="2"/>
          <w:w w:val="99"/>
        </w:rPr>
        <w:t>d</w:t>
      </w:r>
      <w:r>
        <w:rPr>
          <w:w w:val="89"/>
        </w:rPr>
        <w:t>e</w:t>
      </w:r>
      <w:r>
        <w:rPr>
          <w:spacing w:val="10"/>
        </w:rPr>
        <w:t> </w:t>
      </w:r>
      <w:r>
        <w:rPr>
          <w:w w:val="95"/>
        </w:rPr>
        <w:t>da</w:t>
      </w:r>
      <w:r>
        <w:rPr>
          <w:w w:val="105"/>
        </w:rPr>
        <w:t>s</w:t>
      </w:r>
      <w:r>
        <w:rPr>
          <w:spacing w:val="14"/>
        </w:rPr>
        <w:t> </w:t>
      </w:r>
      <w:r>
        <w:rPr>
          <w:w w:val="92"/>
        </w:rPr>
        <w:t>a</w:t>
      </w:r>
      <w:r>
        <w:rPr>
          <w:w w:val="98"/>
        </w:rPr>
        <w:t>d</w:t>
      </w:r>
      <w:r>
        <w:rPr>
          <w:spacing w:val="1"/>
          <w:w w:val="98"/>
        </w:rPr>
        <w:t>i</w:t>
      </w:r>
      <w:r>
        <w:rPr>
          <w:w w:val="88"/>
        </w:rPr>
        <w:t>ç</w:t>
      </w:r>
      <w:r>
        <w:rPr>
          <w:w w:val="93"/>
        </w:rPr>
        <w:t>õ</w:t>
      </w:r>
      <w:r>
        <w:rPr>
          <w:spacing w:val="-2"/>
          <w:w w:val="93"/>
        </w:rPr>
        <w:t>e</w:t>
      </w:r>
      <w:r>
        <w:rPr>
          <w:w w:val="105"/>
        </w:rPr>
        <w:t>s </w:t>
      </w:r>
      <w:r>
        <w:rPr/>
        <w:t>efetuadas</w:t>
      </w:r>
      <w:r>
        <w:rPr>
          <w:spacing w:val="-38"/>
        </w:rPr>
        <w:t> </w:t>
      </w:r>
      <w:r>
        <w:rPr/>
        <w:t>ao</w:t>
      </w:r>
      <w:r>
        <w:rPr>
          <w:spacing w:val="-38"/>
        </w:rPr>
        <w:t> </w:t>
      </w:r>
      <w:r>
        <w:rPr/>
        <w:t>ativo</w:t>
      </w:r>
      <w:r>
        <w:rPr>
          <w:spacing w:val="-36"/>
        </w:rPr>
        <w:t> </w:t>
      </w:r>
      <w:r>
        <w:rPr/>
        <w:t>intangível</w:t>
      </w:r>
      <w:r>
        <w:rPr>
          <w:spacing w:val="-36"/>
        </w:rPr>
        <w:t> </w:t>
      </w:r>
      <w:r>
        <w:rPr/>
        <w:t>em</w:t>
      </w:r>
      <w:r>
        <w:rPr>
          <w:spacing w:val="-37"/>
        </w:rPr>
        <w:t> </w:t>
      </w:r>
      <w:r>
        <w:rPr/>
        <w:t>curso</w:t>
      </w:r>
      <w:r>
        <w:rPr>
          <w:spacing w:val="-36"/>
        </w:rPr>
        <w:t> </w:t>
      </w:r>
      <w:r>
        <w:rPr/>
        <w:t>é</w:t>
      </w:r>
      <w:r>
        <w:rPr>
          <w:spacing w:val="-37"/>
        </w:rPr>
        <w:t> </w:t>
      </w:r>
      <w:r>
        <w:rPr/>
        <w:t>transferida</w:t>
      </w:r>
      <w:r>
        <w:rPr>
          <w:spacing w:val="-38"/>
        </w:rPr>
        <w:t> </w:t>
      </w:r>
      <w:r>
        <w:rPr/>
        <w:t>para</w:t>
      </w:r>
      <w:r>
        <w:rPr>
          <w:spacing w:val="-36"/>
        </w:rPr>
        <w:t> </w:t>
      </w:r>
      <w:r>
        <w:rPr/>
        <w:t>o</w:t>
      </w:r>
      <w:r>
        <w:rPr>
          <w:spacing w:val="-38"/>
        </w:rPr>
        <w:t> </w:t>
      </w:r>
      <w:r>
        <w:rPr/>
        <w:t>resultado,</w:t>
      </w:r>
      <w:r>
        <w:rPr>
          <w:spacing w:val="-38"/>
        </w:rPr>
        <w:t> </w:t>
      </w:r>
      <w:r>
        <w:rPr/>
        <w:t>como</w:t>
      </w:r>
      <w:r>
        <w:rPr>
          <w:spacing w:val="-37"/>
        </w:rPr>
        <w:t> </w:t>
      </w:r>
      <w:r>
        <w:rPr/>
        <w:t>custo</w:t>
      </w:r>
      <w:r>
        <w:rPr>
          <w:spacing w:val="-38"/>
        </w:rPr>
        <w:t> </w:t>
      </w:r>
      <w:r>
        <w:rPr/>
        <w:t>de</w:t>
      </w:r>
      <w:r>
        <w:rPr>
          <w:spacing w:val="-38"/>
        </w:rPr>
        <w:t> </w:t>
      </w:r>
      <w:r>
        <w:rPr/>
        <w:t>construção,</w:t>
      </w:r>
      <w:r>
        <w:rPr>
          <w:spacing w:val="-38"/>
        </w:rPr>
        <w:t> </w:t>
      </w:r>
      <w:r>
        <w:rPr/>
        <w:t>após</w:t>
      </w:r>
      <w:r>
        <w:rPr>
          <w:spacing w:val="-37"/>
        </w:rPr>
        <w:t> </w:t>
      </w:r>
      <w:r>
        <w:rPr/>
        <w:t>a</w:t>
      </w:r>
      <w:r>
        <w:rPr>
          <w:spacing w:val="-37"/>
        </w:rPr>
        <w:t> </w:t>
      </w:r>
      <w:r>
        <w:rPr/>
        <w:t>dedução</w:t>
      </w:r>
      <w:r>
        <w:rPr>
          <w:spacing w:val="-38"/>
        </w:rPr>
        <w:t> </w:t>
      </w:r>
      <w:r>
        <w:rPr/>
        <w:t>dos recursos</w:t>
      </w:r>
      <w:r>
        <w:rPr>
          <w:spacing w:val="-17"/>
        </w:rPr>
        <w:t> </w:t>
      </w:r>
      <w:r>
        <w:rPr/>
        <w:t>provenientes</w:t>
      </w:r>
      <w:r>
        <w:rPr>
          <w:spacing w:val="-18"/>
        </w:rPr>
        <w:t> </w:t>
      </w:r>
      <w:r>
        <w:rPr/>
        <w:t>do</w:t>
      </w:r>
      <w:r>
        <w:rPr>
          <w:spacing w:val="-20"/>
        </w:rPr>
        <w:t> </w:t>
      </w:r>
      <w:r>
        <w:rPr/>
        <w:t>ingresso</w:t>
      </w:r>
      <w:r>
        <w:rPr>
          <w:spacing w:val="-16"/>
        </w:rPr>
        <w:t> </w:t>
      </w:r>
      <w:r>
        <w:rPr/>
        <w:t>das</w:t>
      </w:r>
      <w:r>
        <w:rPr>
          <w:spacing w:val="-18"/>
        </w:rPr>
        <w:t> </w:t>
      </w:r>
      <w:r>
        <w:rPr/>
        <w:t>obrigações</w:t>
      </w:r>
      <w:r>
        <w:rPr>
          <w:spacing w:val="-19"/>
        </w:rPr>
        <w:t> </w:t>
      </w:r>
      <w:r>
        <w:rPr/>
        <w:t>especiais.</w:t>
      </w:r>
    </w:p>
    <w:p>
      <w:pPr>
        <w:pStyle w:val="BodyText"/>
        <w:spacing w:before="4"/>
      </w:pPr>
    </w:p>
    <w:p>
      <w:pPr>
        <w:pStyle w:val="Heading5"/>
        <w:numPr>
          <w:ilvl w:val="2"/>
          <w:numId w:val="16"/>
        </w:numPr>
        <w:tabs>
          <w:tab w:pos="1046" w:val="left" w:leader="none"/>
        </w:tabs>
        <w:spacing w:line="240" w:lineRule="auto" w:before="1" w:after="0"/>
        <w:ind w:left="1045" w:right="0" w:hanging="854"/>
        <w:jc w:val="left"/>
      </w:pPr>
      <w:r>
        <w:rPr/>
        <w:t>Receita de</w:t>
      </w:r>
      <w:r>
        <w:rPr>
          <w:spacing w:val="-2"/>
        </w:rPr>
        <w:t> </w:t>
      </w:r>
      <w:r>
        <w:rPr/>
        <w:t>juros</w:t>
      </w:r>
    </w:p>
    <w:p>
      <w:pPr>
        <w:pStyle w:val="BodyText"/>
        <w:rPr>
          <w:rFonts w:ascii="Caladea"/>
          <w:b/>
          <w:sz w:val="24"/>
        </w:rPr>
      </w:pPr>
    </w:p>
    <w:p>
      <w:pPr>
        <w:pStyle w:val="BodyText"/>
        <w:spacing w:line="242" w:lineRule="auto"/>
        <w:ind w:left="192" w:right="611"/>
        <w:jc w:val="both"/>
      </w:pPr>
      <w:r>
        <w:rPr/>
        <w:t>É</w:t>
      </w:r>
      <w:r>
        <w:rPr>
          <w:spacing w:val="-18"/>
        </w:rPr>
        <w:t> </w:t>
      </w:r>
      <w:r>
        <w:rPr/>
        <w:t>reconhecida</w:t>
      </w:r>
      <w:r>
        <w:rPr>
          <w:spacing w:val="-15"/>
        </w:rPr>
        <w:t> </w:t>
      </w:r>
      <w:r>
        <w:rPr/>
        <w:t>quando</w:t>
      </w:r>
      <w:r>
        <w:rPr>
          <w:spacing w:val="-16"/>
        </w:rPr>
        <w:t> </w:t>
      </w:r>
      <w:r>
        <w:rPr/>
        <w:t>for</w:t>
      </w:r>
      <w:r>
        <w:rPr>
          <w:spacing w:val="-16"/>
        </w:rPr>
        <w:t> </w:t>
      </w:r>
      <w:r>
        <w:rPr/>
        <w:t>provável</w:t>
      </w:r>
      <w:r>
        <w:rPr>
          <w:spacing w:val="-15"/>
        </w:rPr>
        <w:t> </w:t>
      </w:r>
      <w:r>
        <w:rPr/>
        <w:t>que</w:t>
      </w:r>
      <w:r>
        <w:rPr>
          <w:spacing w:val="-17"/>
        </w:rPr>
        <w:t> </w:t>
      </w:r>
      <w:r>
        <w:rPr/>
        <w:t>os</w:t>
      </w:r>
      <w:r>
        <w:rPr>
          <w:spacing w:val="-15"/>
        </w:rPr>
        <w:t> </w:t>
      </w:r>
      <w:r>
        <w:rPr/>
        <w:t>benefícios</w:t>
      </w:r>
      <w:r>
        <w:rPr>
          <w:spacing w:val="-13"/>
        </w:rPr>
        <w:t> </w:t>
      </w:r>
      <w:r>
        <w:rPr/>
        <w:t>econômicos</w:t>
      </w:r>
      <w:r>
        <w:rPr>
          <w:spacing w:val="-15"/>
        </w:rPr>
        <w:t> </w:t>
      </w:r>
      <w:r>
        <w:rPr/>
        <w:t>futuros</w:t>
      </w:r>
      <w:r>
        <w:rPr>
          <w:spacing w:val="-15"/>
        </w:rPr>
        <w:t> </w:t>
      </w:r>
      <w:r>
        <w:rPr/>
        <w:t>deverão</w:t>
      </w:r>
      <w:r>
        <w:rPr>
          <w:spacing w:val="-16"/>
        </w:rPr>
        <w:t> </w:t>
      </w:r>
      <w:r>
        <w:rPr/>
        <w:t>fluir</w:t>
      </w:r>
      <w:r>
        <w:rPr>
          <w:spacing w:val="-16"/>
        </w:rPr>
        <w:t> </w:t>
      </w:r>
      <w:r>
        <w:rPr/>
        <w:t>para</w:t>
      </w:r>
      <w:r>
        <w:rPr>
          <w:spacing w:val="-15"/>
        </w:rPr>
        <w:t> </w:t>
      </w:r>
      <w:r>
        <w:rPr/>
        <w:t>a</w:t>
      </w:r>
      <w:r>
        <w:rPr>
          <w:spacing w:val="-17"/>
        </w:rPr>
        <w:t> </w:t>
      </w:r>
      <w:r>
        <w:rPr/>
        <w:t>Companhia</w:t>
      </w:r>
      <w:r>
        <w:rPr>
          <w:spacing w:val="-14"/>
        </w:rPr>
        <w:t> </w:t>
      </w:r>
      <w:r>
        <w:rPr/>
        <w:t>ou</w:t>
      </w:r>
      <w:r>
        <w:rPr>
          <w:spacing w:val="-16"/>
        </w:rPr>
        <w:t> </w:t>
      </w:r>
      <w:r>
        <w:rPr/>
        <w:t>suas controladas</w:t>
      </w:r>
      <w:r>
        <w:rPr>
          <w:spacing w:val="-42"/>
        </w:rPr>
        <w:t> </w:t>
      </w:r>
      <w:r>
        <w:rPr/>
        <w:t>e</w:t>
      </w:r>
      <w:r>
        <w:rPr>
          <w:spacing w:val="-42"/>
        </w:rPr>
        <w:t> </w:t>
      </w:r>
      <w:r>
        <w:rPr/>
        <w:t>coligadas</w:t>
      </w:r>
      <w:r>
        <w:rPr>
          <w:spacing w:val="-41"/>
        </w:rPr>
        <w:t> </w:t>
      </w:r>
      <w:r>
        <w:rPr/>
        <w:t>e</w:t>
      </w:r>
      <w:r>
        <w:rPr>
          <w:spacing w:val="-42"/>
        </w:rPr>
        <w:t> </w:t>
      </w:r>
      <w:r>
        <w:rPr/>
        <w:t>o</w:t>
      </w:r>
      <w:r>
        <w:rPr>
          <w:spacing w:val="-42"/>
        </w:rPr>
        <w:t> </w:t>
      </w:r>
      <w:r>
        <w:rPr/>
        <w:t>valor</w:t>
      </w:r>
      <w:r>
        <w:rPr>
          <w:spacing w:val="-42"/>
        </w:rPr>
        <w:t> </w:t>
      </w:r>
      <w:r>
        <w:rPr/>
        <w:t>da</w:t>
      </w:r>
      <w:r>
        <w:rPr>
          <w:spacing w:val="-42"/>
        </w:rPr>
        <w:t> </w:t>
      </w:r>
      <w:r>
        <w:rPr/>
        <w:t>receita</w:t>
      </w:r>
      <w:r>
        <w:rPr>
          <w:spacing w:val="-41"/>
        </w:rPr>
        <w:t> </w:t>
      </w:r>
      <w:r>
        <w:rPr/>
        <w:t>possa</w:t>
      </w:r>
      <w:r>
        <w:rPr>
          <w:spacing w:val="-42"/>
        </w:rPr>
        <w:t> </w:t>
      </w:r>
      <w:r>
        <w:rPr/>
        <w:t>ser</w:t>
      </w:r>
      <w:r>
        <w:rPr>
          <w:spacing w:val="-41"/>
        </w:rPr>
        <w:t> </w:t>
      </w:r>
      <w:r>
        <w:rPr/>
        <w:t>mensurado</w:t>
      </w:r>
      <w:r>
        <w:rPr>
          <w:spacing w:val="-42"/>
        </w:rPr>
        <w:t> </w:t>
      </w:r>
      <w:r>
        <w:rPr/>
        <w:t>com</w:t>
      </w:r>
      <w:r>
        <w:rPr>
          <w:spacing w:val="-41"/>
        </w:rPr>
        <w:t> </w:t>
      </w:r>
      <w:r>
        <w:rPr/>
        <w:t>confiabilidade.</w:t>
      </w:r>
      <w:r>
        <w:rPr>
          <w:spacing w:val="-41"/>
        </w:rPr>
        <w:t> </w:t>
      </w:r>
      <w:r>
        <w:rPr/>
        <w:t>A</w:t>
      </w:r>
      <w:r>
        <w:rPr>
          <w:spacing w:val="-41"/>
        </w:rPr>
        <w:t> </w:t>
      </w:r>
      <w:r>
        <w:rPr/>
        <w:t>receita</w:t>
      </w:r>
      <w:r>
        <w:rPr>
          <w:spacing w:val="-42"/>
        </w:rPr>
        <w:t> </w:t>
      </w:r>
      <w:r>
        <w:rPr/>
        <w:t>de</w:t>
      </w:r>
      <w:r>
        <w:rPr>
          <w:spacing w:val="-42"/>
        </w:rPr>
        <w:t> </w:t>
      </w:r>
      <w:r>
        <w:rPr/>
        <w:t>juros</w:t>
      </w:r>
      <w:r>
        <w:rPr>
          <w:spacing w:val="-41"/>
        </w:rPr>
        <w:t> </w:t>
      </w:r>
      <w:r>
        <w:rPr/>
        <w:t>é</w:t>
      </w:r>
      <w:r>
        <w:rPr>
          <w:spacing w:val="-42"/>
        </w:rPr>
        <w:t> </w:t>
      </w:r>
      <w:r>
        <w:rPr/>
        <w:t>reconhecida com</w:t>
      </w:r>
      <w:r>
        <w:rPr>
          <w:spacing w:val="-44"/>
        </w:rPr>
        <w:t> </w:t>
      </w:r>
      <w:r>
        <w:rPr/>
        <w:t>base</w:t>
      </w:r>
      <w:r>
        <w:rPr>
          <w:spacing w:val="-43"/>
        </w:rPr>
        <w:t> </w:t>
      </w:r>
      <w:r>
        <w:rPr/>
        <w:t>no</w:t>
      </w:r>
      <w:r>
        <w:rPr>
          <w:spacing w:val="-43"/>
        </w:rPr>
        <w:t> </w:t>
      </w:r>
      <w:r>
        <w:rPr/>
        <w:t>tempo</w:t>
      </w:r>
      <w:r>
        <w:rPr>
          <w:spacing w:val="-42"/>
        </w:rPr>
        <w:t> </w:t>
      </w:r>
      <w:r>
        <w:rPr/>
        <w:t>e</w:t>
      </w:r>
      <w:r>
        <w:rPr>
          <w:spacing w:val="-44"/>
        </w:rPr>
        <w:t> </w:t>
      </w:r>
      <w:r>
        <w:rPr/>
        <w:t>na</w:t>
      </w:r>
      <w:r>
        <w:rPr>
          <w:spacing w:val="-42"/>
        </w:rPr>
        <w:t> </w:t>
      </w:r>
      <w:r>
        <w:rPr/>
        <w:t>taxa</w:t>
      </w:r>
      <w:r>
        <w:rPr>
          <w:spacing w:val="-42"/>
        </w:rPr>
        <w:t> </w:t>
      </w:r>
      <w:r>
        <w:rPr/>
        <w:t>de</w:t>
      </w:r>
      <w:r>
        <w:rPr>
          <w:spacing w:val="-44"/>
        </w:rPr>
        <w:t> </w:t>
      </w:r>
      <w:r>
        <w:rPr/>
        <w:t>juros</w:t>
      </w:r>
      <w:r>
        <w:rPr>
          <w:spacing w:val="-43"/>
        </w:rPr>
        <w:t> </w:t>
      </w:r>
      <w:r>
        <w:rPr/>
        <w:t>efetiva</w:t>
      </w:r>
      <w:r>
        <w:rPr>
          <w:spacing w:val="-42"/>
        </w:rPr>
        <w:t> </w:t>
      </w:r>
      <w:r>
        <w:rPr/>
        <w:t>sobre</w:t>
      </w:r>
      <w:r>
        <w:rPr>
          <w:spacing w:val="-44"/>
        </w:rPr>
        <w:t> </w:t>
      </w:r>
      <w:r>
        <w:rPr/>
        <w:t>o</w:t>
      </w:r>
      <w:r>
        <w:rPr>
          <w:spacing w:val="-43"/>
        </w:rPr>
        <w:t> </w:t>
      </w:r>
      <w:r>
        <w:rPr/>
        <w:t>montante</w:t>
      </w:r>
      <w:r>
        <w:rPr>
          <w:spacing w:val="-43"/>
        </w:rPr>
        <w:t> </w:t>
      </w:r>
      <w:r>
        <w:rPr/>
        <w:t>do</w:t>
      </w:r>
      <w:r>
        <w:rPr>
          <w:spacing w:val="-42"/>
        </w:rPr>
        <w:t> </w:t>
      </w:r>
      <w:r>
        <w:rPr/>
        <w:t>principal</w:t>
      </w:r>
      <w:r>
        <w:rPr>
          <w:spacing w:val="-43"/>
        </w:rPr>
        <w:t> </w:t>
      </w:r>
      <w:r>
        <w:rPr/>
        <w:t>em</w:t>
      </w:r>
      <w:r>
        <w:rPr>
          <w:spacing w:val="-43"/>
        </w:rPr>
        <w:t> </w:t>
      </w:r>
      <w:r>
        <w:rPr/>
        <w:t>aberto.</w:t>
      </w:r>
      <w:r>
        <w:rPr>
          <w:spacing w:val="-42"/>
        </w:rPr>
        <w:t> </w:t>
      </w:r>
      <w:r>
        <w:rPr/>
        <w:t>A</w:t>
      </w:r>
      <w:r>
        <w:rPr>
          <w:spacing w:val="-43"/>
        </w:rPr>
        <w:t> </w:t>
      </w:r>
      <w:r>
        <w:rPr/>
        <w:t>taxa</w:t>
      </w:r>
      <w:r>
        <w:rPr>
          <w:spacing w:val="-42"/>
        </w:rPr>
        <w:t> </w:t>
      </w:r>
      <w:r>
        <w:rPr/>
        <w:t>de</w:t>
      </w:r>
      <w:r>
        <w:rPr>
          <w:spacing w:val="-44"/>
        </w:rPr>
        <w:t> </w:t>
      </w:r>
      <w:r>
        <w:rPr/>
        <w:t>juros</w:t>
      </w:r>
      <w:r>
        <w:rPr>
          <w:spacing w:val="-43"/>
        </w:rPr>
        <w:t> </w:t>
      </w:r>
      <w:r>
        <w:rPr/>
        <w:t>efetiva</w:t>
      </w:r>
      <w:r>
        <w:rPr>
          <w:spacing w:val="-42"/>
        </w:rPr>
        <w:t> </w:t>
      </w:r>
      <w:r>
        <w:rPr/>
        <w:t>é</w:t>
      </w:r>
      <w:r>
        <w:rPr>
          <w:spacing w:val="-44"/>
        </w:rPr>
        <w:t> </w:t>
      </w:r>
      <w:r>
        <w:rPr/>
        <w:t>aquela que</w:t>
      </w:r>
      <w:r>
        <w:rPr>
          <w:spacing w:val="-35"/>
        </w:rPr>
        <w:t> </w:t>
      </w:r>
      <w:r>
        <w:rPr/>
        <w:t>desconta</w:t>
      </w:r>
      <w:r>
        <w:rPr>
          <w:spacing w:val="-33"/>
        </w:rPr>
        <w:t> </w:t>
      </w:r>
      <w:r>
        <w:rPr/>
        <w:t>os</w:t>
      </w:r>
      <w:r>
        <w:rPr>
          <w:spacing w:val="-34"/>
        </w:rPr>
        <w:t> </w:t>
      </w:r>
      <w:r>
        <w:rPr/>
        <w:t>recebimentos</w:t>
      </w:r>
      <w:r>
        <w:rPr>
          <w:spacing w:val="-33"/>
        </w:rPr>
        <w:t> </w:t>
      </w:r>
      <w:r>
        <w:rPr/>
        <w:t>de</w:t>
      </w:r>
      <w:r>
        <w:rPr>
          <w:spacing w:val="-34"/>
        </w:rPr>
        <w:t> </w:t>
      </w:r>
      <w:r>
        <w:rPr/>
        <w:t>caixa</w:t>
      </w:r>
      <w:r>
        <w:rPr>
          <w:spacing w:val="-34"/>
        </w:rPr>
        <w:t> </w:t>
      </w:r>
      <w:r>
        <w:rPr/>
        <w:t>futuros</w:t>
      </w:r>
      <w:r>
        <w:rPr>
          <w:spacing w:val="-32"/>
        </w:rPr>
        <w:t> </w:t>
      </w:r>
      <w:r>
        <w:rPr/>
        <w:t>estimados</w:t>
      </w:r>
      <w:r>
        <w:rPr>
          <w:spacing w:val="-34"/>
        </w:rPr>
        <w:t> </w:t>
      </w:r>
      <w:r>
        <w:rPr/>
        <w:t>durante</w:t>
      </w:r>
      <w:r>
        <w:rPr>
          <w:spacing w:val="-34"/>
        </w:rPr>
        <w:t> </w:t>
      </w:r>
      <w:r>
        <w:rPr/>
        <w:t>a</w:t>
      </w:r>
      <w:r>
        <w:rPr>
          <w:spacing w:val="-33"/>
        </w:rPr>
        <w:t> </w:t>
      </w:r>
      <w:r>
        <w:rPr/>
        <w:t>vida</w:t>
      </w:r>
      <w:r>
        <w:rPr>
          <w:spacing w:val="-34"/>
        </w:rPr>
        <w:t> </w:t>
      </w:r>
      <w:r>
        <w:rPr/>
        <w:t>econômica</w:t>
      </w:r>
      <w:r>
        <w:rPr>
          <w:spacing w:val="-33"/>
        </w:rPr>
        <w:t> </w:t>
      </w:r>
      <w:r>
        <w:rPr/>
        <w:t>do</w:t>
      </w:r>
      <w:r>
        <w:rPr>
          <w:spacing w:val="-34"/>
        </w:rPr>
        <w:t> </w:t>
      </w:r>
      <w:r>
        <w:rPr/>
        <w:t>ativo</w:t>
      </w:r>
      <w:r>
        <w:rPr>
          <w:spacing w:val="-34"/>
        </w:rPr>
        <w:t> </w:t>
      </w:r>
      <w:r>
        <w:rPr/>
        <w:t>financeiro,</w:t>
      </w:r>
      <w:r>
        <w:rPr>
          <w:spacing w:val="-33"/>
        </w:rPr>
        <w:t> </w:t>
      </w:r>
      <w:r>
        <w:rPr/>
        <w:t>em</w:t>
      </w:r>
      <w:r>
        <w:rPr>
          <w:spacing w:val="-32"/>
        </w:rPr>
        <w:t> </w:t>
      </w:r>
      <w:r>
        <w:rPr/>
        <w:t>relação ao</w:t>
      </w:r>
      <w:r>
        <w:rPr>
          <w:spacing w:val="-20"/>
        </w:rPr>
        <w:t> </w:t>
      </w:r>
      <w:r>
        <w:rPr/>
        <w:t>valor</w:t>
      </w:r>
      <w:r>
        <w:rPr>
          <w:spacing w:val="-19"/>
        </w:rPr>
        <w:t> </w:t>
      </w:r>
      <w:r>
        <w:rPr/>
        <w:t>contábil</w:t>
      </w:r>
      <w:r>
        <w:rPr>
          <w:spacing w:val="-18"/>
        </w:rPr>
        <w:t> </w:t>
      </w:r>
      <w:r>
        <w:rPr/>
        <w:t>líquido</w:t>
      </w:r>
      <w:r>
        <w:rPr>
          <w:spacing w:val="-19"/>
        </w:rPr>
        <w:t> </w:t>
      </w:r>
      <w:r>
        <w:rPr/>
        <w:t>inicial</w:t>
      </w:r>
      <w:r>
        <w:rPr>
          <w:spacing w:val="-19"/>
        </w:rPr>
        <w:t> </w:t>
      </w:r>
      <w:r>
        <w:rPr/>
        <w:t>deste</w:t>
      </w:r>
      <w:r>
        <w:rPr>
          <w:spacing w:val="-18"/>
        </w:rPr>
        <w:t> </w:t>
      </w:r>
      <w:r>
        <w:rPr/>
        <w:t>ativo.</w:t>
      </w:r>
    </w:p>
    <w:p>
      <w:pPr>
        <w:pStyle w:val="BodyText"/>
        <w:spacing w:before="5"/>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b/>
          <w:sz w:val="18"/>
        </w:rPr>
      </w:pPr>
      <w:r>
        <w:rPr>
          <w:rFonts w:ascii="Caladea"/>
          <w:b/>
          <w:sz w:val="22"/>
        </w:rPr>
        <w:t>R</w:t>
      </w:r>
      <w:r>
        <w:rPr>
          <w:rFonts w:ascii="Caladea"/>
          <w:b/>
          <w:sz w:val="18"/>
        </w:rPr>
        <w:t>ECEITAS E </w:t>
      </w:r>
      <w:r>
        <w:rPr>
          <w:rFonts w:ascii="Caladea"/>
          <w:b/>
          <w:sz w:val="22"/>
        </w:rPr>
        <w:t>D</w:t>
      </w:r>
      <w:r>
        <w:rPr>
          <w:rFonts w:ascii="Caladea"/>
          <w:b/>
          <w:sz w:val="18"/>
        </w:rPr>
        <w:t>ESPESAS</w:t>
      </w:r>
      <w:r>
        <w:rPr>
          <w:rFonts w:ascii="Caladea"/>
          <w:b/>
          <w:spacing w:val="-1"/>
          <w:sz w:val="18"/>
        </w:rPr>
        <w:t> </w:t>
      </w:r>
      <w:r>
        <w:rPr>
          <w:rFonts w:ascii="Caladea"/>
          <w:b/>
          <w:sz w:val="22"/>
        </w:rPr>
        <w:t>F</w:t>
      </w:r>
      <w:r>
        <w:rPr>
          <w:rFonts w:ascii="Caladea"/>
          <w:b/>
          <w:sz w:val="18"/>
        </w:rPr>
        <w:t>INANCEIRAS</w:t>
      </w:r>
    </w:p>
    <w:p>
      <w:pPr>
        <w:pStyle w:val="BodyText"/>
        <w:rPr>
          <w:rFonts w:ascii="Caladea"/>
          <w:b/>
          <w:sz w:val="24"/>
        </w:rPr>
      </w:pPr>
    </w:p>
    <w:p>
      <w:pPr>
        <w:pStyle w:val="BodyText"/>
        <w:spacing w:line="242" w:lineRule="auto"/>
        <w:ind w:left="192" w:right="613"/>
        <w:jc w:val="both"/>
      </w:pPr>
      <w:r>
        <w:rPr>
          <w:w w:val="95"/>
        </w:rPr>
        <w:t>As</w:t>
      </w:r>
      <w:r>
        <w:rPr>
          <w:spacing w:val="-28"/>
          <w:w w:val="95"/>
        </w:rPr>
        <w:t> </w:t>
      </w:r>
      <w:r>
        <w:rPr>
          <w:w w:val="95"/>
        </w:rPr>
        <w:t>receitas</w:t>
      </w:r>
      <w:r>
        <w:rPr>
          <w:spacing w:val="-27"/>
          <w:w w:val="95"/>
        </w:rPr>
        <w:t> </w:t>
      </w:r>
      <w:r>
        <w:rPr>
          <w:w w:val="95"/>
        </w:rPr>
        <w:t>financeiras</w:t>
      </w:r>
      <w:r>
        <w:rPr>
          <w:spacing w:val="-27"/>
          <w:w w:val="95"/>
        </w:rPr>
        <w:t> </w:t>
      </w:r>
      <w:r>
        <w:rPr>
          <w:w w:val="95"/>
        </w:rPr>
        <w:t>referem‐se,</w:t>
      </w:r>
      <w:r>
        <w:rPr>
          <w:spacing w:val="-28"/>
          <w:w w:val="95"/>
        </w:rPr>
        <w:t> </w:t>
      </w:r>
      <w:r>
        <w:rPr>
          <w:w w:val="95"/>
        </w:rPr>
        <w:t>principalmente,</w:t>
      </w:r>
      <w:r>
        <w:rPr>
          <w:spacing w:val="-28"/>
          <w:w w:val="95"/>
        </w:rPr>
        <w:t> </w:t>
      </w:r>
      <w:r>
        <w:rPr>
          <w:w w:val="95"/>
        </w:rPr>
        <w:t>à</w:t>
      </w:r>
      <w:r>
        <w:rPr>
          <w:spacing w:val="-28"/>
          <w:w w:val="95"/>
        </w:rPr>
        <w:t> </w:t>
      </w:r>
      <w:r>
        <w:rPr>
          <w:w w:val="95"/>
        </w:rPr>
        <w:t>receita</w:t>
      </w:r>
      <w:r>
        <w:rPr>
          <w:spacing w:val="-27"/>
          <w:w w:val="95"/>
        </w:rPr>
        <w:t> </w:t>
      </w:r>
      <w:r>
        <w:rPr>
          <w:w w:val="95"/>
        </w:rPr>
        <w:t>de</w:t>
      </w:r>
      <w:r>
        <w:rPr>
          <w:spacing w:val="-29"/>
          <w:w w:val="95"/>
        </w:rPr>
        <w:t> </w:t>
      </w:r>
      <w:r>
        <w:rPr>
          <w:w w:val="95"/>
        </w:rPr>
        <w:t>aplicação</w:t>
      </w:r>
      <w:r>
        <w:rPr>
          <w:spacing w:val="-28"/>
          <w:w w:val="95"/>
        </w:rPr>
        <w:t> </w:t>
      </w:r>
      <w:r>
        <w:rPr>
          <w:w w:val="95"/>
        </w:rPr>
        <w:t>financeira;</w:t>
      </w:r>
      <w:r>
        <w:rPr>
          <w:spacing w:val="-28"/>
          <w:w w:val="95"/>
        </w:rPr>
        <w:t> </w:t>
      </w:r>
      <w:r>
        <w:rPr>
          <w:w w:val="95"/>
        </w:rPr>
        <w:t>acréscimos</w:t>
      </w:r>
      <w:r>
        <w:rPr>
          <w:spacing w:val="-26"/>
          <w:w w:val="95"/>
        </w:rPr>
        <w:t> </w:t>
      </w:r>
      <w:r>
        <w:rPr>
          <w:w w:val="95"/>
        </w:rPr>
        <w:t>moratórios</w:t>
      </w:r>
      <w:r>
        <w:rPr>
          <w:spacing w:val="-25"/>
          <w:w w:val="95"/>
        </w:rPr>
        <w:t> </w:t>
      </w:r>
      <w:r>
        <w:rPr>
          <w:w w:val="95"/>
        </w:rPr>
        <w:t>em</w:t>
      </w:r>
      <w:r>
        <w:rPr>
          <w:spacing w:val="-28"/>
          <w:w w:val="95"/>
        </w:rPr>
        <w:t> </w:t>
      </w:r>
      <w:r>
        <w:rPr>
          <w:w w:val="95"/>
        </w:rPr>
        <w:t>contas </w:t>
      </w:r>
      <w:r>
        <w:rPr/>
        <w:t>de</w:t>
      </w:r>
      <w:r>
        <w:rPr>
          <w:spacing w:val="-35"/>
        </w:rPr>
        <w:t> </w:t>
      </w:r>
      <w:r>
        <w:rPr/>
        <w:t>energia</w:t>
      </w:r>
      <w:r>
        <w:rPr>
          <w:spacing w:val="-34"/>
        </w:rPr>
        <w:t> </w:t>
      </w:r>
      <w:r>
        <w:rPr/>
        <w:t>elétrica;</w:t>
      </w:r>
      <w:r>
        <w:rPr>
          <w:spacing w:val="-35"/>
        </w:rPr>
        <w:t> </w:t>
      </w:r>
      <w:r>
        <w:rPr/>
        <w:t>juros</w:t>
      </w:r>
      <w:r>
        <w:rPr>
          <w:spacing w:val="-35"/>
        </w:rPr>
        <w:t> </w:t>
      </w:r>
      <w:r>
        <w:rPr/>
        <w:t>sobre</w:t>
      </w:r>
      <w:r>
        <w:rPr>
          <w:spacing w:val="-36"/>
        </w:rPr>
        <w:t> </w:t>
      </w:r>
      <w:r>
        <w:rPr/>
        <w:t>ativos</w:t>
      </w:r>
      <w:r>
        <w:rPr>
          <w:spacing w:val="-34"/>
        </w:rPr>
        <w:t> </w:t>
      </w:r>
      <w:r>
        <w:rPr/>
        <w:t>financeiros</w:t>
      </w:r>
      <w:r>
        <w:rPr>
          <w:spacing w:val="-35"/>
        </w:rPr>
        <w:t> </w:t>
      </w:r>
      <w:r>
        <w:rPr/>
        <w:t>da</w:t>
      </w:r>
      <w:r>
        <w:rPr>
          <w:spacing w:val="-35"/>
        </w:rPr>
        <w:t> </w:t>
      </w:r>
      <w:r>
        <w:rPr/>
        <w:t>concessão;</w:t>
      </w:r>
      <w:r>
        <w:rPr>
          <w:spacing w:val="-35"/>
        </w:rPr>
        <w:t> </w:t>
      </w:r>
      <w:r>
        <w:rPr/>
        <w:t>e</w:t>
      </w:r>
      <w:r>
        <w:rPr>
          <w:spacing w:val="-35"/>
        </w:rPr>
        <w:t> </w:t>
      </w:r>
      <w:r>
        <w:rPr/>
        <w:t>juros</w:t>
      </w:r>
      <w:r>
        <w:rPr>
          <w:spacing w:val="-35"/>
        </w:rPr>
        <w:t> </w:t>
      </w:r>
      <w:r>
        <w:rPr/>
        <w:t>sobre</w:t>
      </w:r>
      <w:r>
        <w:rPr>
          <w:spacing w:val="-36"/>
        </w:rPr>
        <w:t> </w:t>
      </w:r>
      <w:r>
        <w:rPr/>
        <w:t>outros</w:t>
      </w:r>
      <w:r>
        <w:rPr>
          <w:spacing w:val="-35"/>
        </w:rPr>
        <w:t> </w:t>
      </w:r>
      <w:r>
        <w:rPr/>
        <w:t>ativos</w:t>
      </w:r>
      <w:r>
        <w:rPr>
          <w:spacing w:val="-34"/>
        </w:rPr>
        <w:t> </w:t>
      </w:r>
      <w:r>
        <w:rPr/>
        <w:t>financeiros.</w:t>
      </w:r>
      <w:r>
        <w:rPr>
          <w:spacing w:val="-35"/>
        </w:rPr>
        <w:t> </w:t>
      </w:r>
      <w:r>
        <w:rPr/>
        <w:t>A</w:t>
      </w:r>
      <w:r>
        <w:rPr>
          <w:spacing w:val="-34"/>
        </w:rPr>
        <w:t> </w:t>
      </w:r>
      <w:r>
        <w:rPr/>
        <w:t>receita</w:t>
      </w:r>
      <w:r>
        <w:rPr>
          <w:spacing w:val="-35"/>
        </w:rPr>
        <w:t> </w:t>
      </w:r>
      <w:r>
        <w:rPr/>
        <w:t>de juros</w:t>
      </w:r>
      <w:r>
        <w:rPr>
          <w:spacing w:val="-12"/>
        </w:rPr>
        <w:t> </w:t>
      </w:r>
      <w:r>
        <w:rPr/>
        <w:t>é</w:t>
      </w:r>
      <w:r>
        <w:rPr>
          <w:spacing w:val="-11"/>
        </w:rPr>
        <w:t> </w:t>
      </w:r>
      <w:r>
        <w:rPr/>
        <w:t>reconhecida</w:t>
      </w:r>
      <w:r>
        <w:rPr>
          <w:spacing w:val="-12"/>
        </w:rPr>
        <w:t> </w:t>
      </w:r>
      <w:r>
        <w:rPr/>
        <w:t>no</w:t>
      </w:r>
      <w:r>
        <w:rPr>
          <w:spacing w:val="-12"/>
        </w:rPr>
        <w:t> </w:t>
      </w:r>
      <w:r>
        <w:rPr/>
        <w:t>resultado</w:t>
      </w:r>
      <w:r>
        <w:rPr>
          <w:spacing w:val="-12"/>
        </w:rPr>
        <w:t> </w:t>
      </w:r>
      <w:r>
        <w:rPr/>
        <w:t>através</w:t>
      </w:r>
      <w:r>
        <w:rPr>
          <w:spacing w:val="-11"/>
        </w:rPr>
        <w:t> </w:t>
      </w:r>
      <w:r>
        <w:rPr/>
        <w:t>do</w:t>
      </w:r>
      <w:r>
        <w:rPr>
          <w:spacing w:val="-13"/>
        </w:rPr>
        <w:t> </w:t>
      </w:r>
      <w:r>
        <w:rPr/>
        <w:t>método</w:t>
      </w:r>
      <w:r>
        <w:rPr>
          <w:spacing w:val="-12"/>
        </w:rPr>
        <w:t> </w:t>
      </w:r>
      <w:r>
        <w:rPr/>
        <w:t>de</w:t>
      </w:r>
      <w:r>
        <w:rPr>
          <w:spacing w:val="-12"/>
        </w:rPr>
        <w:t> </w:t>
      </w:r>
      <w:r>
        <w:rPr/>
        <w:t>juros</w:t>
      </w:r>
      <w:r>
        <w:rPr>
          <w:spacing w:val="-11"/>
        </w:rPr>
        <w:t> </w:t>
      </w:r>
      <w:r>
        <w:rPr/>
        <w:t>efetivos.</w:t>
      </w:r>
      <w:r>
        <w:rPr>
          <w:spacing w:val="-12"/>
        </w:rPr>
        <w:t> </w:t>
      </w:r>
      <w:r>
        <w:rPr/>
        <w:t>A</w:t>
      </w:r>
      <w:r>
        <w:rPr>
          <w:spacing w:val="-11"/>
        </w:rPr>
        <w:t> </w:t>
      </w:r>
      <w:r>
        <w:rPr/>
        <w:t>receita</w:t>
      </w:r>
      <w:r>
        <w:rPr>
          <w:spacing w:val="-12"/>
        </w:rPr>
        <w:t> </w:t>
      </w:r>
      <w:r>
        <w:rPr/>
        <w:t>de</w:t>
      </w:r>
      <w:r>
        <w:rPr>
          <w:spacing w:val="-12"/>
        </w:rPr>
        <w:t> </w:t>
      </w:r>
      <w:r>
        <w:rPr/>
        <w:t>dividendos</w:t>
      </w:r>
      <w:r>
        <w:rPr>
          <w:spacing w:val="-12"/>
        </w:rPr>
        <w:t> </w:t>
      </w:r>
      <w:r>
        <w:rPr/>
        <w:t>é</w:t>
      </w:r>
      <w:r>
        <w:rPr>
          <w:spacing w:val="-11"/>
        </w:rPr>
        <w:t> </w:t>
      </w:r>
      <w:r>
        <w:rPr/>
        <w:t>reconhecida</w:t>
      </w:r>
      <w:r>
        <w:rPr>
          <w:spacing w:val="-12"/>
        </w:rPr>
        <w:t> </w:t>
      </w:r>
      <w:r>
        <w:rPr/>
        <w:t>no resultado na data em que o direito da Companhia ou suas controladas e coligadas em receber o pagamento é estabelecido.</w:t>
      </w:r>
      <w:r>
        <w:rPr>
          <w:spacing w:val="-32"/>
        </w:rPr>
        <w:t> </w:t>
      </w:r>
      <w:r>
        <w:rPr/>
        <w:t>As</w:t>
      </w:r>
      <w:r>
        <w:rPr>
          <w:spacing w:val="-30"/>
        </w:rPr>
        <w:t> </w:t>
      </w:r>
      <w:r>
        <w:rPr/>
        <w:t>distribuições</w:t>
      </w:r>
      <w:r>
        <w:rPr>
          <w:spacing w:val="-31"/>
        </w:rPr>
        <w:t> </w:t>
      </w:r>
      <w:r>
        <w:rPr/>
        <w:t>recebidas</w:t>
      </w:r>
      <w:r>
        <w:rPr>
          <w:spacing w:val="-31"/>
        </w:rPr>
        <w:t> </w:t>
      </w:r>
      <w:r>
        <w:rPr/>
        <w:t>de</w:t>
      </w:r>
      <w:r>
        <w:rPr>
          <w:spacing w:val="-32"/>
        </w:rPr>
        <w:t> </w:t>
      </w:r>
      <w:r>
        <w:rPr/>
        <w:t>investidas</w:t>
      </w:r>
      <w:r>
        <w:rPr>
          <w:spacing w:val="-30"/>
        </w:rPr>
        <w:t> </w:t>
      </w:r>
      <w:r>
        <w:rPr/>
        <w:t>registradas</w:t>
      </w:r>
      <w:r>
        <w:rPr>
          <w:spacing w:val="-31"/>
        </w:rPr>
        <w:t> </w:t>
      </w:r>
      <w:r>
        <w:rPr/>
        <w:t>por</w:t>
      </w:r>
      <w:r>
        <w:rPr>
          <w:spacing w:val="-30"/>
        </w:rPr>
        <w:t> </w:t>
      </w:r>
      <w:r>
        <w:rPr/>
        <w:t>equivalência</w:t>
      </w:r>
      <w:r>
        <w:rPr>
          <w:spacing w:val="-30"/>
        </w:rPr>
        <w:t> </w:t>
      </w:r>
      <w:r>
        <w:rPr/>
        <w:t>patrimonial</w:t>
      </w:r>
      <w:r>
        <w:rPr>
          <w:spacing w:val="-30"/>
        </w:rPr>
        <w:t> </w:t>
      </w:r>
      <w:r>
        <w:rPr/>
        <w:t>reduzem</w:t>
      </w:r>
      <w:r>
        <w:rPr>
          <w:spacing w:val="-32"/>
        </w:rPr>
        <w:t> </w:t>
      </w:r>
      <w:r>
        <w:rPr/>
        <w:t>o</w:t>
      </w:r>
      <w:r>
        <w:rPr>
          <w:spacing w:val="-31"/>
        </w:rPr>
        <w:t> </w:t>
      </w:r>
      <w:r>
        <w:rPr/>
        <w:t>valor</w:t>
      </w:r>
      <w:r>
        <w:rPr>
          <w:spacing w:val="-31"/>
        </w:rPr>
        <w:t> </w:t>
      </w:r>
      <w:r>
        <w:rPr/>
        <w:t>do investimento.</w:t>
      </w:r>
    </w:p>
    <w:p>
      <w:pPr>
        <w:pStyle w:val="BodyText"/>
        <w:spacing w:line="242" w:lineRule="auto" w:before="120"/>
        <w:ind w:left="192" w:right="618"/>
        <w:jc w:val="both"/>
      </w:pPr>
      <w:r>
        <w:rPr/>
        <w:t>As despesas financeiras abrangem encargos, variação cambial e variação monetária sobre empréstimos e financiamentos.</w:t>
      </w:r>
      <w:r>
        <w:rPr>
          <w:spacing w:val="-33"/>
        </w:rPr>
        <w:t> </w:t>
      </w:r>
      <w:r>
        <w:rPr/>
        <w:t>Os</w:t>
      </w:r>
      <w:r>
        <w:rPr>
          <w:spacing w:val="-30"/>
        </w:rPr>
        <w:t> </w:t>
      </w:r>
      <w:r>
        <w:rPr/>
        <w:t>custos</w:t>
      </w:r>
      <w:r>
        <w:rPr>
          <w:spacing w:val="-32"/>
        </w:rPr>
        <w:t> </w:t>
      </w:r>
      <w:r>
        <w:rPr/>
        <w:t>dos</w:t>
      </w:r>
      <w:r>
        <w:rPr>
          <w:spacing w:val="-32"/>
        </w:rPr>
        <w:t> </w:t>
      </w:r>
      <w:r>
        <w:rPr/>
        <w:t>empréstimos</w:t>
      </w:r>
      <w:r>
        <w:rPr>
          <w:spacing w:val="-33"/>
        </w:rPr>
        <w:t> </w:t>
      </w:r>
      <w:r>
        <w:rPr/>
        <w:t>são</w:t>
      </w:r>
      <w:r>
        <w:rPr>
          <w:spacing w:val="-32"/>
        </w:rPr>
        <w:t> </w:t>
      </w:r>
      <w:r>
        <w:rPr/>
        <w:t>reconhecidos</w:t>
      </w:r>
      <w:r>
        <w:rPr>
          <w:spacing w:val="-32"/>
        </w:rPr>
        <w:t> </w:t>
      </w:r>
      <w:r>
        <w:rPr/>
        <w:t>no</w:t>
      </w:r>
      <w:r>
        <w:rPr>
          <w:spacing w:val="-31"/>
        </w:rPr>
        <w:t> </w:t>
      </w:r>
      <w:r>
        <w:rPr/>
        <w:t>resultado</w:t>
      </w:r>
      <w:r>
        <w:rPr>
          <w:spacing w:val="-33"/>
        </w:rPr>
        <w:t> </w:t>
      </w:r>
      <w:r>
        <w:rPr/>
        <w:t>através</w:t>
      </w:r>
      <w:r>
        <w:rPr>
          <w:spacing w:val="-32"/>
        </w:rPr>
        <w:t> </w:t>
      </w:r>
      <w:r>
        <w:rPr/>
        <w:t>do</w:t>
      </w:r>
      <w:r>
        <w:rPr>
          <w:spacing w:val="-27"/>
        </w:rPr>
        <w:t> </w:t>
      </w:r>
      <w:r>
        <w:rPr/>
        <w:t>método</w:t>
      </w:r>
      <w:r>
        <w:rPr>
          <w:spacing w:val="-32"/>
        </w:rPr>
        <w:t> </w:t>
      </w:r>
      <w:r>
        <w:rPr/>
        <w:t>de</w:t>
      </w:r>
      <w:r>
        <w:rPr>
          <w:spacing w:val="-33"/>
        </w:rPr>
        <w:t> </w:t>
      </w:r>
      <w:r>
        <w:rPr/>
        <w:t>juros</w:t>
      </w:r>
      <w:r>
        <w:rPr>
          <w:spacing w:val="-31"/>
        </w:rPr>
        <w:t> </w:t>
      </w:r>
      <w:r>
        <w:rPr/>
        <w:t>efetivos</w:t>
      </w:r>
      <w:r>
        <w:rPr>
          <w:color w:val="404040"/>
        </w:rPr>
        <w:t>.</w:t>
      </w:r>
    </w:p>
    <w:p>
      <w:pPr>
        <w:pStyle w:val="BodyText"/>
        <w:spacing w:before="121"/>
        <w:ind w:left="192"/>
        <w:jc w:val="both"/>
      </w:pPr>
      <w:r>
        <w:rPr/>
        <w:t>Os ganhos e perdas cambiais são reportados em uma base líquida.</w:t>
      </w:r>
    </w:p>
    <w:p>
      <w:pPr>
        <w:pStyle w:val="BodyText"/>
        <w:spacing w:before="6"/>
      </w:pPr>
    </w:p>
    <w:p>
      <w:pPr>
        <w:pStyle w:val="ListParagraph"/>
        <w:numPr>
          <w:ilvl w:val="1"/>
          <w:numId w:val="16"/>
        </w:numPr>
        <w:tabs>
          <w:tab w:pos="1045" w:val="left" w:leader="none"/>
          <w:tab w:pos="1046" w:val="left" w:leader="none"/>
        </w:tabs>
        <w:spacing w:line="240" w:lineRule="auto" w:before="1" w:after="0"/>
        <w:ind w:left="1045" w:right="0" w:hanging="854"/>
        <w:jc w:val="left"/>
        <w:rPr>
          <w:rFonts w:ascii="Caladea" w:hAnsi="Caladea"/>
          <w:b/>
          <w:sz w:val="18"/>
        </w:rPr>
      </w:pPr>
      <w:r>
        <w:rPr>
          <w:rFonts w:ascii="Caladea" w:hAnsi="Caladea"/>
          <w:b/>
          <w:sz w:val="22"/>
        </w:rPr>
        <w:t>I</w:t>
      </w:r>
      <w:r>
        <w:rPr>
          <w:rFonts w:ascii="Caladea" w:hAnsi="Caladea"/>
          <w:b/>
          <w:sz w:val="18"/>
        </w:rPr>
        <w:t>NFORMAÇÕES POR </w:t>
      </w:r>
      <w:r>
        <w:rPr>
          <w:rFonts w:ascii="Caladea" w:hAnsi="Caladea"/>
          <w:b/>
          <w:sz w:val="22"/>
        </w:rPr>
        <w:t>S</w:t>
      </w:r>
      <w:r>
        <w:rPr>
          <w:rFonts w:ascii="Caladea" w:hAnsi="Caladea"/>
          <w:b/>
          <w:sz w:val="18"/>
        </w:rPr>
        <w:t>EGMENTO DE </w:t>
      </w:r>
      <w:r>
        <w:rPr>
          <w:rFonts w:ascii="Caladea" w:hAnsi="Caladea"/>
          <w:b/>
          <w:sz w:val="22"/>
        </w:rPr>
        <w:t>N</w:t>
      </w:r>
      <w:r>
        <w:rPr>
          <w:rFonts w:ascii="Caladea" w:hAnsi="Caladea"/>
          <w:b/>
          <w:sz w:val="18"/>
        </w:rPr>
        <w:t>EGÓCIOS</w:t>
      </w:r>
    </w:p>
    <w:p>
      <w:pPr>
        <w:pStyle w:val="BodyText"/>
        <w:rPr>
          <w:rFonts w:ascii="Caladea"/>
          <w:b/>
          <w:sz w:val="24"/>
        </w:rPr>
      </w:pPr>
    </w:p>
    <w:p>
      <w:pPr>
        <w:pStyle w:val="BodyText"/>
        <w:spacing w:line="242" w:lineRule="auto"/>
        <w:ind w:left="192" w:right="641"/>
        <w:jc w:val="both"/>
      </w:pPr>
      <w:r>
        <w:rPr/>
        <w:t>Um</w:t>
      </w:r>
      <w:r>
        <w:rPr>
          <w:spacing w:val="-25"/>
        </w:rPr>
        <w:t> </w:t>
      </w:r>
      <w:r>
        <w:rPr/>
        <w:t>segmento</w:t>
      </w:r>
      <w:r>
        <w:rPr>
          <w:spacing w:val="-24"/>
        </w:rPr>
        <w:t> </w:t>
      </w:r>
      <w:r>
        <w:rPr/>
        <w:t>operacional</w:t>
      </w:r>
      <w:r>
        <w:rPr>
          <w:spacing w:val="-23"/>
        </w:rPr>
        <w:t> </w:t>
      </w:r>
      <w:r>
        <w:rPr/>
        <w:t>é</w:t>
      </w:r>
      <w:r>
        <w:rPr>
          <w:spacing w:val="-25"/>
        </w:rPr>
        <w:t> </w:t>
      </w:r>
      <w:r>
        <w:rPr/>
        <w:t>um</w:t>
      </w:r>
      <w:r>
        <w:rPr>
          <w:spacing w:val="-24"/>
        </w:rPr>
        <w:t> </w:t>
      </w:r>
      <w:r>
        <w:rPr/>
        <w:t>componente</w:t>
      </w:r>
      <w:r>
        <w:rPr>
          <w:spacing w:val="-25"/>
        </w:rPr>
        <w:t> </w:t>
      </w:r>
      <w:r>
        <w:rPr/>
        <w:t>do</w:t>
      </w:r>
      <w:r>
        <w:rPr>
          <w:spacing w:val="-25"/>
        </w:rPr>
        <w:t> </w:t>
      </w:r>
      <w:r>
        <w:rPr/>
        <w:t>Grupo</w:t>
      </w:r>
      <w:r>
        <w:rPr>
          <w:spacing w:val="-23"/>
        </w:rPr>
        <w:t> </w:t>
      </w:r>
      <w:r>
        <w:rPr/>
        <w:t>que</w:t>
      </w:r>
      <w:r>
        <w:rPr>
          <w:spacing w:val="-24"/>
        </w:rPr>
        <w:t> </w:t>
      </w:r>
      <w:r>
        <w:rPr/>
        <w:t>desenvolve</w:t>
      </w:r>
      <w:r>
        <w:rPr>
          <w:spacing w:val="-26"/>
        </w:rPr>
        <w:t> </w:t>
      </w:r>
      <w:r>
        <w:rPr/>
        <w:t>atividades</w:t>
      </w:r>
      <w:r>
        <w:rPr>
          <w:spacing w:val="-25"/>
        </w:rPr>
        <w:t> </w:t>
      </w:r>
      <w:r>
        <w:rPr/>
        <w:t>de</w:t>
      </w:r>
      <w:r>
        <w:rPr>
          <w:spacing w:val="-26"/>
        </w:rPr>
        <w:t> </w:t>
      </w:r>
      <w:r>
        <w:rPr/>
        <w:t>negócio</w:t>
      </w:r>
      <w:r>
        <w:rPr>
          <w:spacing w:val="-25"/>
        </w:rPr>
        <w:t> </w:t>
      </w:r>
      <w:r>
        <w:rPr/>
        <w:t>das</w:t>
      </w:r>
      <w:r>
        <w:rPr>
          <w:spacing w:val="-25"/>
        </w:rPr>
        <w:t> </w:t>
      </w:r>
      <w:r>
        <w:rPr/>
        <w:t>quais</w:t>
      </w:r>
      <w:r>
        <w:rPr>
          <w:spacing w:val="-23"/>
        </w:rPr>
        <w:t> </w:t>
      </w:r>
      <w:r>
        <w:rPr/>
        <w:t>pode</w:t>
      </w:r>
      <w:r>
        <w:rPr>
          <w:spacing w:val="-26"/>
        </w:rPr>
        <w:t> </w:t>
      </w:r>
      <w:r>
        <w:rPr/>
        <w:t>obter receitas</w:t>
      </w:r>
      <w:r>
        <w:rPr>
          <w:spacing w:val="-47"/>
        </w:rPr>
        <w:t> </w:t>
      </w:r>
      <w:r>
        <w:rPr/>
        <w:t>e</w:t>
      </w:r>
      <w:r>
        <w:rPr>
          <w:spacing w:val="-47"/>
        </w:rPr>
        <w:t> </w:t>
      </w:r>
      <w:r>
        <w:rPr/>
        <w:t>incorrer</w:t>
      </w:r>
      <w:r>
        <w:rPr>
          <w:spacing w:val="-47"/>
        </w:rPr>
        <w:t> </w:t>
      </w:r>
      <w:r>
        <w:rPr/>
        <w:t>em</w:t>
      </w:r>
      <w:r>
        <w:rPr>
          <w:spacing w:val="-46"/>
        </w:rPr>
        <w:t> </w:t>
      </w:r>
      <w:r>
        <w:rPr/>
        <w:t>despesas,</w:t>
      </w:r>
      <w:r>
        <w:rPr>
          <w:spacing w:val="-47"/>
        </w:rPr>
        <w:t> </w:t>
      </w:r>
      <w:r>
        <w:rPr/>
        <w:t>incluindo</w:t>
      </w:r>
      <w:r>
        <w:rPr>
          <w:spacing w:val="-47"/>
        </w:rPr>
        <w:t> </w:t>
      </w:r>
      <w:r>
        <w:rPr/>
        <w:t>receitas</w:t>
      </w:r>
      <w:r>
        <w:rPr>
          <w:spacing w:val="-46"/>
        </w:rPr>
        <w:t> </w:t>
      </w:r>
      <w:r>
        <w:rPr/>
        <w:t>e</w:t>
      </w:r>
      <w:r>
        <w:rPr>
          <w:spacing w:val="-46"/>
        </w:rPr>
        <w:t> </w:t>
      </w:r>
      <w:r>
        <w:rPr/>
        <w:t>despesas</w:t>
      </w:r>
      <w:r>
        <w:rPr>
          <w:spacing w:val="-48"/>
        </w:rPr>
        <w:t> </w:t>
      </w:r>
      <w:r>
        <w:rPr/>
        <w:t>relacionadas</w:t>
      </w:r>
      <w:r>
        <w:rPr>
          <w:spacing w:val="-47"/>
        </w:rPr>
        <w:t> </w:t>
      </w:r>
      <w:r>
        <w:rPr/>
        <w:t>com</w:t>
      </w:r>
      <w:r>
        <w:rPr>
          <w:spacing w:val="-47"/>
        </w:rPr>
        <w:t> </w:t>
      </w:r>
      <w:r>
        <w:rPr/>
        <w:t>transações</w:t>
      </w:r>
      <w:r>
        <w:rPr>
          <w:spacing w:val="-47"/>
        </w:rPr>
        <w:t> </w:t>
      </w:r>
      <w:r>
        <w:rPr/>
        <w:t>com</w:t>
      </w:r>
      <w:r>
        <w:rPr>
          <w:spacing w:val="-47"/>
        </w:rPr>
        <w:t> </w:t>
      </w:r>
      <w:r>
        <w:rPr/>
        <w:t>outros</w:t>
      </w:r>
      <w:r>
        <w:rPr>
          <w:spacing w:val="-47"/>
        </w:rPr>
        <w:t> </w:t>
      </w:r>
      <w:r>
        <w:rPr/>
        <w:t>componentes do Grupo. Todos os resultados operacionais dos segmentos operacionais são revistos frequentemente pela Administração</w:t>
      </w:r>
      <w:r>
        <w:rPr>
          <w:spacing w:val="-35"/>
        </w:rPr>
        <w:t> </w:t>
      </w:r>
      <w:r>
        <w:rPr/>
        <w:t>da</w:t>
      </w:r>
      <w:r>
        <w:rPr>
          <w:spacing w:val="-34"/>
        </w:rPr>
        <w:t> </w:t>
      </w:r>
      <w:r>
        <w:rPr/>
        <w:t>Companhia</w:t>
      </w:r>
      <w:r>
        <w:rPr>
          <w:spacing w:val="-34"/>
        </w:rPr>
        <w:t> </w:t>
      </w:r>
      <w:r>
        <w:rPr/>
        <w:t>para</w:t>
      </w:r>
      <w:r>
        <w:rPr>
          <w:spacing w:val="-34"/>
        </w:rPr>
        <w:t> </w:t>
      </w:r>
      <w:r>
        <w:rPr/>
        <w:t>decisões</w:t>
      </w:r>
      <w:r>
        <w:rPr>
          <w:spacing w:val="-34"/>
        </w:rPr>
        <w:t> </w:t>
      </w:r>
      <w:r>
        <w:rPr/>
        <w:t>sobre</w:t>
      </w:r>
      <w:r>
        <w:rPr>
          <w:spacing w:val="-34"/>
        </w:rPr>
        <w:t> </w:t>
      </w:r>
      <w:r>
        <w:rPr/>
        <w:t>os</w:t>
      </w:r>
      <w:r>
        <w:rPr>
          <w:spacing w:val="-34"/>
        </w:rPr>
        <w:t> </w:t>
      </w:r>
      <w:r>
        <w:rPr/>
        <w:t>recursos</w:t>
      </w:r>
      <w:r>
        <w:rPr>
          <w:spacing w:val="-34"/>
        </w:rPr>
        <w:t> </w:t>
      </w:r>
      <w:r>
        <w:rPr/>
        <w:t>a</w:t>
      </w:r>
      <w:r>
        <w:rPr>
          <w:spacing w:val="-31"/>
        </w:rPr>
        <w:t> </w:t>
      </w:r>
      <w:r>
        <w:rPr/>
        <w:t>serem</w:t>
      </w:r>
      <w:r>
        <w:rPr>
          <w:spacing w:val="-34"/>
        </w:rPr>
        <w:t> </w:t>
      </w:r>
      <w:r>
        <w:rPr/>
        <w:t>alocados</w:t>
      </w:r>
      <w:r>
        <w:rPr>
          <w:spacing w:val="-34"/>
        </w:rPr>
        <w:t> </w:t>
      </w:r>
      <w:r>
        <w:rPr/>
        <w:t>ao</w:t>
      </w:r>
      <w:r>
        <w:rPr>
          <w:spacing w:val="-35"/>
        </w:rPr>
        <w:t> </w:t>
      </w:r>
      <w:r>
        <w:rPr/>
        <w:t>segmento</w:t>
      </w:r>
      <w:r>
        <w:rPr>
          <w:spacing w:val="-33"/>
        </w:rPr>
        <w:t> </w:t>
      </w:r>
      <w:r>
        <w:rPr/>
        <w:t>e</w:t>
      </w:r>
      <w:r>
        <w:rPr>
          <w:spacing w:val="-36"/>
        </w:rPr>
        <w:t> </w:t>
      </w:r>
      <w:r>
        <w:rPr/>
        <w:t>para</w:t>
      </w:r>
      <w:r>
        <w:rPr>
          <w:spacing w:val="-34"/>
        </w:rPr>
        <w:t> </w:t>
      </w:r>
      <w:r>
        <w:rPr/>
        <w:t>avaliação</w:t>
      </w:r>
      <w:r>
        <w:rPr>
          <w:spacing w:val="-34"/>
        </w:rPr>
        <w:t> </w:t>
      </w:r>
      <w:r>
        <w:rPr/>
        <w:t>de</w:t>
      </w:r>
      <w:r>
        <w:rPr>
          <w:spacing w:val="-36"/>
        </w:rPr>
        <w:t> </w:t>
      </w:r>
      <w:r>
        <w:rPr/>
        <w:t>seu desempenho,</w:t>
      </w:r>
      <w:r>
        <w:rPr>
          <w:spacing w:val="-20"/>
        </w:rPr>
        <w:t> </w:t>
      </w:r>
      <w:r>
        <w:rPr/>
        <w:t>e</w:t>
      </w:r>
      <w:r>
        <w:rPr>
          <w:spacing w:val="-23"/>
        </w:rPr>
        <w:t> </w:t>
      </w:r>
      <w:r>
        <w:rPr/>
        <w:t>para</w:t>
      </w:r>
      <w:r>
        <w:rPr>
          <w:spacing w:val="-19"/>
        </w:rPr>
        <w:t> </w:t>
      </w:r>
      <w:r>
        <w:rPr/>
        <w:t>o</w:t>
      </w:r>
      <w:r>
        <w:rPr>
          <w:spacing w:val="-19"/>
        </w:rPr>
        <w:t> </w:t>
      </w:r>
      <w:r>
        <w:rPr/>
        <w:t>qual</w:t>
      </w:r>
      <w:r>
        <w:rPr>
          <w:spacing w:val="-21"/>
        </w:rPr>
        <w:t> </w:t>
      </w:r>
      <w:r>
        <w:rPr/>
        <w:t>informações</w:t>
      </w:r>
      <w:r>
        <w:rPr>
          <w:spacing w:val="-20"/>
        </w:rPr>
        <w:t> </w:t>
      </w:r>
      <w:r>
        <w:rPr/>
        <w:t>financeiras</w:t>
      </w:r>
      <w:r>
        <w:rPr>
          <w:spacing w:val="-21"/>
        </w:rPr>
        <w:t> </w:t>
      </w:r>
      <w:r>
        <w:rPr/>
        <w:t>individualizadas</w:t>
      </w:r>
      <w:r>
        <w:rPr>
          <w:spacing w:val="-21"/>
        </w:rPr>
        <w:t> </w:t>
      </w:r>
      <w:r>
        <w:rPr/>
        <w:t>estão</w:t>
      </w:r>
      <w:r>
        <w:rPr>
          <w:spacing w:val="-22"/>
        </w:rPr>
        <w:t> </w:t>
      </w:r>
      <w:r>
        <w:rPr/>
        <w:t>disponíveis.</w:t>
      </w:r>
    </w:p>
    <w:p>
      <w:pPr>
        <w:spacing w:after="0" w:line="242" w:lineRule="auto"/>
        <w:jc w:val="both"/>
        <w:sectPr>
          <w:pgSz w:w="11910" w:h="16850"/>
          <w:pgMar w:header="792" w:footer="1193" w:top="1360" w:bottom="1420" w:left="940" w:right="240"/>
        </w:sectPr>
      </w:pPr>
    </w:p>
    <w:p>
      <w:pPr>
        <w:pStyle w:val="BodyText"/>
        <w:spacing w:line="242" w:lineRule="auto" w:before="50"/>
        <w:ind w:left="192" w:right="644"/>
        <w:jc w:val="both"/>
      </w:pPr>
      <w:r>
        <w:rPr/>
        <w:t>Os</w:t>
      </w:r>
      <w:r>
        <w:rPr>
          <w:spacing w:val="-44"/>
        </w:rPr>
        <w:t> </w:t>
      </w:r>
      <w:r>
        <w:rPr/>
        <w:t>resultados</w:t>
      </w:r>
      <w:r>
        <w:rPr>
          <w:spacing w:val="-41"/>
        </w:rPr>
        <w:t> </w:t>
      </w:r>
      <w:r>
        <w:rPr/>
        <w:t>de</w:t>
      </w:r>
      <w:r>
        <w:rPr>
          <w:spacing w:val="-43"/>
        </w:rPr>
        <w:t> </w:t>
      </w:r>
      <w:r>
        <w:rPr/>
        <w:t>segmentos</w:t>
      </w:r>
      <w:r>
        <w:rPr>
          <w:spacing w:val="-42"/>
        </w:rPr>
        <w:t> </w:t>
      </w:r>
      <w:r>
        <w:rPr/>
        <w:t>que</w:t>
      </w:r>
      <w:r>
        <w:rPr>
          <w:spacing w:val="-42"/>
        </w:rPr>
        <w:t> </w:t>
      </w:r>
      <w:r>
        <w:rPr/>
        <w:t>são</w:t>
      </w:r>
      <w:r>
        <w:rPr>
          <w:spacing w:val="-42"/>
        </w:rPr>
        <w:t> </w:t>
      </w:r>
      <w:r>
        <w:rPr/>
        <w:t>reportados</w:t>
      </w:r>
      <w:r>
        <w:rPr>
          <w:spacing w:val="-42"/>
        </w:rPr>
        <w:t> </w:t>
      </w:r>
      <w:r>
        <w:rPr/>
        <w:t>à</w:t>
      </w:r>
      <w:r>
        <w:rPr>
          <w:spacing w:val="-43"/>
        </w:rPr>
        <w:t> </w:t>
      </w:r>
      <w:r>
        <w:rPr/>
        <w:t>Administração</w:t>
      </w:r>
      <w:r>
        <w:rPr>
          <w:spacing w:val="-43"/>
        </w:rPr>
        <w:t> </w:t>
      </w:r>
      <w:r>
        <w:rPr/>
        <w:t>incluem</w:t>
      </w:r>
      <w:r>
        <w:rPr>
          <w:spacing w:val="-42"/>
        </w:rPr>
        <w:t> </w:t>
      </w:r>
      <w:r>
        <w:rPr/>
        <w:t>itens</w:t>
      </w:r>
      <w:r>
        <w:rPr>
          <w:spacing w:val="-42"/>
        </w:rPr>
        <w:t> </w:t>
      </w:r>
      <w:r>
        <w:rPr/>
        <w:t>diretamente</w:t>
      </w:r>
      <w:r>
        <w:rPr>
          <w:spacing w:val="-42"/>
        </w:rPr>
        <w:t> </w:t>
      </w:r>
      <w:r>
        <w:rPr/>
        <w:t>atribuíveis</w:t>
      </w:r>
      <w:r>
        <w:rPr>
          <w:spacing w:val="-42"/>
        </w:rPr>
        <w:t> </w:t>
      </w:r>
      <w:r>
        <w:rPr/>
        <w:t>ao</w:t>
      </w:r>
      <w:r>
        <w:rPr>
          <w:spacing w:val="-42"/>
        </w:rPr>
        <w:t> </w:t>
      </w:r>
      <w:r>
        <w:rPr/>
        <w:t>segmento, </w:t>
      </w:r>
      <w:r>
        <w:rPr>
          <w:w w:val="95"/>
        </w:rPr>
        <w:t>bem</w:t>
      </w:r>
      <w:r>
        <w:rPr>
          <w:spacing w:val="-20"/>
          <w:w w:val="95"/>
        </w:rPr>
        <w:t> </w:t>
      </w:r>
      <w:r>
        <w:rPr>
          <w:w w:val="95"/>
        </w:rPr>
        <w:t>como</w:t>
      </w:r>
      <w:r>
        <w:rPr>
          <w:spacing w:val="-20"/>
          <w:w w:val="95"/>
        </w:rPr>
        <w:t> </w:t>
      </w:r>
      <w:r>
        <w:rPr>
          <w:w w:val="95"/>
        </w:rPr>
        <w:t>aqueles</w:t>
      </w:r>
      <w:r>
        <w:rPr>
          <w:spacing w:val="-16"/>
          <w:w w:val="95"/>
        </w:rPr>
        <w:t> </w:t>
      </w:r>
      <w:r>
        <w:rPr>
          <w:w w:val="95"/>
        </w:rPr>
        <w:t>que</w:t>
      </w:r>
      <w:r>
        <w:rPr>
          <w:spacing w:val="-18"/>
          <w:w w:val="95"/>
        </w:rPr>
        <w:t> </w:t>
      </w:r>
      <w:r>
        <w:rPr>
          <w:w w:val="95"/>
        </w:rPr>
        <w:t>podem</w:t>
      </w:r>
      <w:r>
        <w:rPr>
          <w:spacing w:val="-20"/>
          <w:w w:val="95"/>
        </w:rPr>
        <w:t> </w:t>
      </w:r>
      <w:r>
        <w:rPr>
          <w:w w:val="95"/>
        </w:rPr>
        <w:t>ser</w:t>
      </w:r>
      <w:r>
        <w:rPr>
          <w:spacing w:val="-19"/>
          <w:w w:val="95"/>
        </w:rPr>
        <w:t> </w:t>
      </w:r>
      <w:r>
        <w:rPr>
          <w:w w:val="95"/>
        </w:rPr>
        <w:t>alocados</w:t>
      </w:r>
      <w:r>
        <w:rPr>
          <w:spacing w:val="-17"/>
          <w:w w:val="95"/>
        </w:rPr>
        <w:t> </w:t>
      </w:r>
      <w:r>
        <w:rPr>
          <w:w w:val="95"/>
        </w:rPr>
        <w:t>em</w:t>
      </w:r>
      <w:r>
        <w:rPr>
          <w:spacing w:val="-18"/>
          <w:w w:val="95"/>
        </w:rPr>
        <w:t> </w:t>
      </w:r>
      <w:r>
        <w:rPr>
          <w:w w:val="95"/>
        </w:rPr>
        <w:t>bases</w:t>
      </w:r>
      <w:r>
        <w:rPr>
          <w:spacing w:val="-16"/>
          <w:w w:val="95"/>
        </w:rPr>
        <w:t> </w:t>
      </w:r>
      <w:r>
        <w:rPr>
          <w:w w:val="95"/>
        </w:rPr>
        <w:t>razoáveis.</w:t>
      </w:r>
      <w:r>
        <w:rPr>
          <w:spacing w:val="-17"/>
          <w:w w:val="95"/>
        </w:rPr>
        <w:t> </w:t>
      </w:r>
      <w:r>
        <w:rPr>
          <w:w w:val="95"/>
        </w:rPr>
        <w:t>Os</w:t>
      </w:r>
      <w:r>
        <w:rPr>
          <w:spacing w:val="-19"/>
          <w:w w:val="95"/>
        </w:rPr>
        <w:t> </w:t>
      </w:r>
      <w:r>
        <w:rPr>
          <w:w w:val="95"/>
        </w:rPr>
        <w:t>itens</w:t>
      </w:r>
      <w:r>
        <w:rPr>
          <w:spacing w:val="-17"/>
          <w:w w:val="95"/>
        </w:rPr>
        <w:t> </w:t>
      </w:r>
      <w:r>
        <w:rPr>
          <w:w w:val="95"/>
        </w:rPr>
        <w:t>não</w:t>
      </w:r>
      <w:r>
        <w:rPr>
          <w:spacing w:val="-17"/>
          <w:w w:val="95"/>
        </w:rPr>
        <w:t> </w:t>
      </w:r>
      <w:r>
        <w:rPr>
          <w:w w:val="95"/>
        </w:rPr>
        <w:t>alocados</w:t>
      </w:r>
      <w:r>
        <w:rPr>
          <w:spacing w:val="-19"/>
          <w:w w:val="95"/>
        </w:rPr>
        <w:t> </w:t>
      </w:r>
      <w:r>
        <w:rPr>
          <w:w w:val="95"/>
        </w:rPr>
        <w:t>compreendem,</w:t>
      </w:r>
      <w:r>
        <w:rPr>
          <w:spacing w:val="-18"/>
          <w:w w:val="95"/>
        </w:rPr>
        <w:t> </w:t>
      </w:r>
      <w:r>
        <w:rPr>
          <w:w w:val="95"/>
        </w:rPr>
        <w:t>principalmente, </w:t>
      </w:r>
      <w:r>
        <w:rPr/>
        <w:t>os</w:t>
      </w:r>
      <w:r>
        <w:rPr>
          <w:spacing w:val="-19"/>
        </w:rPr>
        <w:t> </w:t>
      </w:r>
      <w:r>
        <w:rPr/>
        <w:t>elementos</w:t>
      </w:r>
      <w:r>
        <w:rPr>
          <w:spacing w:val="-17"/>
        </w:rPr>
        <w:t> </w:t>
      </w:r>
      <w:r>
        <w:rPr/>
        <w:t>patrimoniais</w:t>
      </w:r>
      <w:r>
        <w:rPr>
          <w:spacing w:val="-19"/>
        </w:rPr>
        <w:t> </w:t>
      </w:r>
      <w:r>
        <w:rPr/>
        <w:t>e</w:t>
      </w:r>
      <w:r>
        <w:rPr>
          <w:spacing w:val="-17"/>
        </w:rPr>
        <w:t> </w:t>
      </w:r>
      <w:r>
        <w:rPr/>
        <w:t>de</w:t>
      </w:r>
      <w:r>
        <w:rPr>
          <w:spacing w:val="-18"/>
        </w:rPr>
        <w:t> </w:t>
      </w:r>
      <w:r>
        <w:rPr/>
        <w:t>resultado</w:t>
      </w:r>
      <w:r>
        <w:rPr>
          <w:spacing w:val="-18"/>
        </w:rPr>
        <w:t> </w:t>
      </w:r>
      <w:r>
        <w:rPr/>
        <w:t>da</w:t>
      </w:r>
      <w:r>
        <w:rPr>
          <w:spacing w:val="-19"/>
        </w:rPr>
        <w:t> </w:t>
      </w:r>
      <w:r>
        <w:rPr/>
        <w:t>CEB</w:t>
      </w:r>
      <w:r>
        <w:rPr>
          <w:spacing w:val="-19"/>
        </w:rPr>
        <w:t> </w:t>
      </w:r>
      <w:r>
        <w:rPr/>
        <w:t>(Nota</w:t>
      </w:r>
      <w:r>
        <w:rPr>
          <w:spacing w:val="-19"/>
        </w:rPr>
        <w:t> </w:t>
      </w:r>
      <w:r>
        <w:rPr/>
        <w:t>Explicativa</w:t>
      </w:r>
      <w:r>
        <w:rPr>
          <w:spacing w:val="-19"/>
        </w:rPr>
        <w:t> </w:t>
      </w:r>
      <w:r>
        <w:rPr/>
        <w:t>nº</w:t>
      </w:r>
      <w:r>
        <w:rPr>
          <w:spacing w:val="-18"/>
        </w:rPr>
        <w:t> </w:t>
      </w:r>
      <w:r>
        <w:rPr/>
        <w:t>35).</w:t>
      </w:r>
    </w:p>
    <w:p>
      <w:pPr>
        <w:pStyle w:val="BodyText"/>
        <w:spacing w:before="5"/>
      </w:pPr>
    </w:p>
    <w:p>
      <w:pPr>
        <w:pStyle w:val="ListParagraph"/>
        <w:numPr>
          <w:ilvl w:val="1"/>
          <w:numId w:val="16"/>
        </w:numPr>
        <w:tabs>
          <w:tab w:pos="1045" w:val="left" w:leader="none"/>
          <w:tab w:pos="1046" w:val="left" w:leader="none"/>
        </w:tabs>
        <w:spacing w:line="240" w:lineRule="auto" w:before="0" w:after="0"/>
        <w:ind w:left="1045" w:right="0" w:hanging="854"/>
        <w:jc w:val="left"/>
        <w:rPr>
          <w:rFonts w:ascii="Caladea" w:hAnsi="Caladea"/>
          <w:b/>
          <w:sz w:val="18"/>
        </w:rPr>
      </w:pPr>
      <w:r>
        <w:rPr>
          <w:rFonts w:ascii="Caladea" w:hAnsi="Caladea"/>
          <w:b/>
          <w:sz w:val="22"/>
        </w:rPr>
        <w:t>N</w:t>
      </w:r>
      <w:r>
        <w:rPr>
          <w:rFonts w:ascii="Caladea" w:hAnsi="Caladea"/>
          <w:b/>
          <w:sz w:val="18"/>
        </w:rPr>
        <w:t>OVAS </w:t>
      </w:r>
      <w:r>
        <w:rPr>
          <w:rFonts w:ascii="Caladea" w:hAnsi="Caladea"/>
          <w:b/>
          <w:sz w:val="22"/>
        </w:rPr>
        <w:t>N</w:t>
      </w:r>
      <w:r>
        <w:rPr>
          <w:rFonts w:ascii="Caladea" w:hAnsi="Caladea"/>
          <w:b/>
          <w:sz w:val="18"/>
        </w:rPr>
        <w:t>ORMAS E </w:t>
      </w:r>
      <w:r>
        <w:rPr>
          <w:rFonts w:ascii="Caladea" w:hAnsi="Caladea"/>
          <w:b/>
          <w:sz w:val="22"/>
        </w:rPr>
        <w:t>I</w:t>
      </w:r>
      <w:r>
        <w:rPr>
          <w:rFonts w:ascii="Caladea" w:hAnsi="Caladea"/>
          <w:b/>
          <w:sz w:val="18"/>
        </w:rPr>
        <w:t>NTERPRETAÇÕES </w:t>
      </w:r>
      <w:r>
        <w:rPr>
          <w:rFonts w:ascii="Caladea" w:hAnsi="Caladea"/>
          <w:b/>
          <w:sz w:val="22"/>
        </w:rPr>
        <w:t>A</w:t>
      </w:r>
      <w:r>
        <w:rPr>
          <w:rFonts w:ascii="Caladea" w:hAnsi="Caladea"/>
          <w:b/>
          <w:sz w:val="18"/>
        </w:rPr>
        <w:t>INDA </w:t>
      </w:r>
      <w:r>
        <w:rPr>
          <w:rFonts w:ascii="Caladea" w:hAnsi="Caladea"/>
          <w:b/>
          <w:sz w:val="22"/>
        </w:rPr>
        <w:t>N</w:t>
      </w:r>
      <w:r>
        <w:rPr>
          <w:rFonts w:ascii="Caladea" w:hAnsi="Caladea"/>
          <w:b/>
          <w:sz w:val="18"/>
        </w:rPr>
        <w:t>ÃO</w:t>
      </w:r>
      <w:r>
        <w:rPr>
          <w:rFonts w:ascii="Caladea" w:hAnsi="Caladea"/>
          <w:b/>
          <w:spacing w:val="2"/>
          <w:sz w:val="18"/>
        </w:rPr>
        <w:t> </w:t>
      </w:r>
      <w:r>
        <w:rPr>
          <w:rFonts w:ascii="Caladea" w:hAnsi="Caladea"/>
          <w:b/>
          <w:sz w:val="22"/>
        </w:rPr>
        <w:t>A</w:t>
      </w:r>
      <w:r>
        <w:rPr>
          <w:rFonts w:ascii="Caladea" w:hAnsi="Caladea"/>
          <w:b/>
          <w:sz w:val="18"/>
        </w:rPr>
        <w:t>DOTADAS</w:t>
      </w:r>
    </w:p>
    <w:p>
      <w:pPr>
        <w:pStyle w:val="BodyText"/>
        <w:spacing w:before="10"/>
        <w:rPr>
          <w:rFonts w:ascii="Caladea"/>
          <w:b/>
          <w:sz w:val="23"/>
        </w:rPr>
      </w:pPr>
    </w:p>
    <w:p>
      <w:pPr>
        <w:pStyle w:val="BodyText"/>
        <w:spacing w:line="242" w:lineRule="auto"/>
        <w:ind w:left="192" w:right="605"/>
        <w:jc w:val="both"/>
      </w:pPr>
      <w:r>
        <w:rPr/>
        <w:t>Diversas</w:t>
      </w:r>
      <w:r>
        <w:rPr>
          <w:spacing w:val="-35"/>
        </w:rPr>
        <w:t> </w:t>
      </w:r>
      <w:r>
        <w:rPr/>
        <w:t>normas</w:t>
      </w:r>
      <w:r>
        <w:rPr>
          <w:spacing w:val="-35"/>
        </w:rPr>
        <w:t> </w:t>
      </w:r>
      <w:r>
        <w:rPr/>
        <w:t>e</w:t>
      </w:r>
      <w:r>
        <w:rPr>
          <w:spacing w:val="-36"/>
        </w:rPr>
        <w:t> </w:t>
      </w:r>
      <w:r>
        <w:rPr/>
        <w:t>interpretações</w:t>
      </w:r>
      <w:r>
        <w:rPr>
          <w:spacing w:val="-34"/>
        </w:rPr>
        <w:t> </w:t>
      </w:r>
      <w:r>
        <w:rPr/>
        <w:t>foram</w:t>
      </w:r>
      <w:r>
        <w:rPr>
          <w:spacing w:val="-35"/>
        </w:rPr>
        <w:t> </w:t>
      </w:r>
      <w:r>
        <w:rPr/>
        <w:t>revisadas,</w:t>
      </w:r>
      <w:r>
        <w:rPr>
          <w:spacing w:val="-36"/>
        </w:rPr>
        <w:t> </w:t>
      </w:r>
      <w:r>
        <w:rPr/>
        <w:t>com</w:t>
      </w:r>
      <w:r>
        <w:rPr>
          <w:spacing w:val="-34"/>
        </w:rPr>
        <w:t> </w:t>
      </w:r>
      <w:r>
        <w:rPr/>
        <w:t>aplicabilidade</w:t>
      </w:r>
      <w:r>
        <w:rPr>
          <w:spacing w:val="-36"/>
        </w:rPr>
        <w:t> </w:t>
      </w:r>
      <w:r>
        <w:rPr/>
        <w:t>a</w:t>
      </w:r>
      <w:r>
        <w:rPr>
          <w:spacing w:val="-34"/>
        </w:rPr>
        <w:t> </w:t>
      </w:r>
      <w:r>
        <w:rPr/>
        <w:t>partir</w:t>
      </w:r>
      <w:r>
        <w:rPr>
          <w:spacing w:val="-35"/>
        </w:rPr>
        <w:t> </w:t>
      </w:r>
      <w:r>
        <w:rPr/>
        <w:t>de</w:t>
      </w:r>
      <w:r>
        <w:rPr>
          <w:spacing w:val="-35"/>
        </w:rPr>
        <w:t> </w:t>
      </w:r>
      <w:r>
        <w:rPr/>
        <w:t>1º</w:t>
      </w:r>
      <w:r>
        <w:rPr>
          <w:spacing w:val="-34"/>
        </w:rPr>
        <w:t> </w:t>
      </w:r>
      <w:r>
        <w:rPr/>
        <w:t>de</w:t>
      </w:r>
      <w:r>
        <w:rPr>
          <w:spacing w:val="-36"/>
        </w:rPr>
        <w:t> </w:t>
      </w:r>
      <w:r>
        <w:rPr/>
        <w:t>janeiro</w:t>
      </w:r>
      <w:r>
        <w:rPr>
          <w:spacing w:val="-35"/>
        </w:rPr>
        <w:t> </w:t>
      </w:r>
      <w:r>
        <w:rPr/>
        <w:t>de</w:t>
      </w:r>
      <w:r>
        <w:rPr>
          <w:spacing w:val="-36"/>
        </w:rPr>
        <w:t> </w:t>
      </w:r>
      <w:r>
        <w:rPr/>
        <w:t>2019.</w:t>
      </w:r>
      <w:r>
        <w:rPr>
          <w:spacing w:val="-30"/>
        </w:rPr>
        <w:t> </w:t>
      </w:r>
      <w:r>
        <w:rPr/>
        <w:t>O</w:t>
      </w:r>
      <w:r>
        <w:rPr>
          <w:spacing w:val="-35"/>
        </w:rPr>
        <w:t> </w:t>
      </w:r>
      <w:r>
        <w:rPr/>
        <w:t>Grupo</w:t>
      </w:r>
      <w:r>
        <w:rPr>
          <w:spacing w:val="-34"/>
        </w:rPr>
        <w:t> </w:t>
      </w:r>
      <w:r>
        <w:rPr/>
        <w:t>não adotou</w:t>
      </w:r>
      <w:r>
        <w:rPr>
          <w:spacing w:val="-36"/>
        </w:rPr>
        <w:t> </w:t>
      </w:r>
      <w:r>
        <w:rPr/>
        <w:t>nenhuma</w:t>
      </w:r>
      <w:r>
        <w:rPr>
          <w:spacing w:val="-35"/>
        </w:rPr>
        <w:t> </w:t>
      </w:r>
      <w:r>
        <w:rPr/>
        <w:t>das</w:t>
      </w:r>
      <w:r>
        <w:rPr>
          <w:spacing w:val="-35"/>
        </w:rPr>
        <w:t> </w:t>
      </w:r>
      <w:r>
        <w:rPr/>
        <w:t>normas</w:t>
      </w:r>
      <w:r>
        <w:rPr>
          <w:spacing w:val="-37"/>
        </w:rPr>
        <w:t> </w:t>
      </w:r>
      <w:r>
        <w:rPr/>
        <w:t>de</w:t>
      </w:r>
      <w:r>
        <w:rPr>
          <w:spacing w:val="-36"/>
        </w:rPr>
        <w:t> </w:t>
      </w:r>
      <w:r>
        <w:rPr/>
        <w:t>forma</w:t>
      </w:r>
      <w:r>
        <w:rPr>
          <w:spacing w:val="-36"/>
        </w:rPr>
        <w:t> </w:t>
      </w:r>
      <w:r>
        <w:rPr/>
        <w:t>antecipada.</w:t>
      </w:r>
      <w:r>
        <w:rPr>
          <w:spacing w:val="-36"/>
        </w:rPr>
        <w:t> </w:t>
      </w:r>
      <w:r>
        <w:rPr/>
        <w:t>As</w:t>
      </w:r>
      <w:r>
        <w:rPr>
          <w:spacing w:val="-35"/>
        </w:rPr>
        <w:t> </w:t>
      </w:r>
      <w:r>
        <w:rPr/>
        <w:t>mudanças</w:t>
      </w:r>
      <w:r>
        <w:rPr>
          <w:spacing w:val="-36"/>
        </w:rPr>
        <w:t> </w:t>
      </w:r>
      <w:r>
        <w:rPr/>
        <w:t>nessas</w:t>
      </w:r>
      <w:r>
        <w:rPr>
          <w:spacing w:val="-37"/>
        </w:rPr>
        <w:t> </w:t>
      </w:r>
      <w:r>
        <w:rPr/>
        <w:t>normas</w:t>
      </w:r>
      <w:r>
        <w:rPr>
          <w:spacing w:val="-35"/>
        </w:rPr>
        <w:t> </w:t>
      </w:r>
      <w:r>
        <w:rPr/>
        <w:t>contábeis</w:t>
      </w:r>
      <w:r>
        <w:rPr>
          <w:spacing w:val="-35"/>
        </w:rPr>
        <w:t> </w:t>
      </w:r>
      <w:r>
        <w:rPr/>
        <w:t>internacionais</w:t>
      </w:r>
      <w:r>
        <w:rPr>
          <w:spacing w:val="-37"/>
        </w:rPr>
        <w:t> </w:t>
      </w:r>
      <w:r>
        <w:rPr/>
        <w:t>merecem</w:t>
      </w:r>
      <w:r>
        <w:rPr>
          <w:spacing w:val="-37"/>
        </w:rPr>
        <w:t> </w:t>
      </w:r>
      <w:r>
        <w:rPr/>
        <w:t>o adequado</w:t>
      </w:r>
      <w:r>
        <w:rPr>
          <w:spacing w:val="-49"/>
        </w:rPr>
        <w:t> </w:t>
      </w:r>
      <w:r>
        <w:rPr/>
        <w:t>monitoramento</w:t>
      </w:r>
      <w:r>
        <w:rPr>
          <w:spacing w:val="-48"/>
        </w:rPr>
        <w:t> </w:t>
      </w:r>
      <w:r>
        <w:rPr/>
        <w:t>sobre</w:t>
      </w:r>
      <w:r>
        <w:rPr>
          <w:spacing w:val="-50"/>
        </w:rPr>
        <w:t> </w:t>
      </w:r>
      <w:r>
        <w:rPr/>
        <w:t>as</w:t>
      </w:r>
      <w:r>
        <w:rPr>
          <w:spacing w:val="-48"/>
        </w:rPr>
        <w:t> </w:t>
      </w:r>
      <w:r>
        <w:rPr/>
        <w:t>modificações</w:t>
      </w:r>
      <w:r>
        <w:rPr>
          <w:spacing w:val="-48"/>
        </w:rPr>
        <w:t> </w:t>
      </w:r>
      <w:r>
        <w:rPr/>
        <w:t>e</w:t>
      </w:r>
      <w:r>
        <w:rPr>
          <w:spacing w:val="-49"/>
        </w:rPr>
        <w:t> </w:t>
      </w:r>
      <w:r>
        <w:rPr/>
        <w:t>entrada</w:t>
      </w:r>
      <w:r>
        <w:rPr>
          <w:spacing w:val="-49"/>
        </w:rPr>
        <w:t> </w:t>
      </w:r>
      <w:r>
        <w:rPr/>
        <w:t>em</w:t>
      </w:r>
      <w:r>
        <w:rPr>
          <w:spacing w:val="-49"/>
        </w:rPr>
        <w:t> </w:t>
      </w:r>
      <w:r>
        <w:rPr/>
        <w:t>vigor,</w:t>
      </w:r>
      <w:r>
        <w:rPr>
          <w:spacing w:val="-48"/>
        </w:rPr>
        <w:t> </w:t>
      </w:r>
      <w:r>
        <w:rPr/>
        <w:t>tendo</w:t>
      </w:r>
      <w:r>
        <w:rPr>
          <w:spacing w:val="-49"/>
        </w:rPr>
        <w:t> </w:t>
      </w:r>
      <w:r>
        <w:rPr/>
        <w:t>em</w:t>
      </w:r>
      <w:r>
        <w:rPr>
          <w:spacing w:val="-49"/>
        </w:rPr>
        <w:t> </w:t>
      </w:r>
      <w:r>
        <w:rPr/>
        <w:t>vista</w:t>
      </w:r>
      <w:r>
        <w:rPr>
          <w:spacing w:val="-48"/>
        </w:rPr>
        <w:t> </w:t>
      </w:r>
      <w:r>
        <w:rPr/>
        <w:t>os</w:t>
      </w:r>
      <w:r>
        <w:rPr>
          <w:spacing w:val="-48"/>
        </w:rPr>
        <w:t> </w:t>
      </w:r>
      <w:r>
        <w:rPr/>
        <w:t>eventuais</w:t>
      </w:r>
      <w:r>
        <w:rPr>
          <w:spacing w:val="-48"/>
        </w:rPr>
        <w:t> </w:t>
      </w:r>
      <w:r>
        <w:rPr/>
        <w:t>reflexos</w:t>
      </w:r>
      <w:r>
        <w:rPr>
          <w:spacing w:val="-48"/>
        </w:rPr>
        <w:t> </w:t>
      </w:r>
      <w:r>
        <w:rPr/>
        <w:t>na</w:t>
      </w:r>
      <w:r>
        <w:rPr>
          <w:spacing w:val="-49"/>
        </w:rPr>
        <w:t> </w:t>
      </w:r>
      <w:r>
        <w:rPr/>
        <w:t>condução dos</w:t>
      </w:r>
      <w:r>
        <w:rPr>
          <w:spacing w:val="-19"/>
        </w:rPr>
        <w:t> </w:t>
      </w:r>
      <w:r>
        <w:rPr/>
        <w:t>negócios</w:t>
      </w:r>
      <w:r>
        <w:rPr>
          <w:spacing w:val="-16"/>
        </w:rPr>
        <w:t> </w:t>
      </w:r>
      <w:r>
        <w:rPr/>
        <w:t>e</w:t>
      </w:r>
      <w:r>
        <w:rPr>
          <w:spacing w:val="-17"/>
        </w:rPr>
        <w:t> </w:t>
      </w:r>
      <w:r>
        <w:rPr/>
        <w:t>na</w:t>
      </w:r>
      <w:r>
        <w:rPr>
          <w:spacing w:val="-18"/>
        </w:rPr>
        <w:t> </w:t>
      </w:r>
      <w:r>
        <w:rPr/>
        <w:t>comunicação</w:t>
      </w:r>
      <w:r>
        <w:rPr>
          <w:spacing w:val="-20"/>
        </w:rPr>
        <w:t> </w:t>
      </w:r>
      <w:r>
        <w:rPr/>
        <w:t>com</w:t>
      </w:r>
      <w:r>
        <w:rPr>
          <w:spacing w:val="-19"/>
        </w:rPr>
        <w:t> </w:t>
      </w:r>
      <w:r>
        <w:rPr/>
        <w:t>os</w:t>
      </w:r>
      <w:r>
        <w:rPr>
          <w:spacing w:val="-16"/>
        </w:rPr>
        <w:t> </w:t>
      </w:r>
      <w:r>
        <w:rPr/>
        <w:t>investidores.</w:t>
      </w:r>
    </w:p>
    <w:p>
      <w:pPr>
        <w:pStyle w:val="BodyText"/>
        <w:spacing w:before="101"/>
        <w:ind w:left="192" w:right="616"/>
        <w:jc w:val="both"/>
      </w:pPr>
      <w:r>
        <w:rPr/>
        <w:t>Os</w:t>
      </w:r>
      <w:r>
        <w:rPr>
          <w:spacing w:val="-34"/>
        </w:rPr>
        <w:t> </w:t>
      </w:r>
      <w:r>
        <w:rPr/>
        <w:t>principais</w:t>
      </w:r>
      <w:r>
        <w:rPr>
          <w:spacing w:val="-32"/>
        </w:rPr>
        <w:t> </w:t>
      </w:r>
      <w:r>
        <w:rPr/>
        <w:t>normativos</w:t>
      </w:r>
      <w:r>
        <w:rPr>
          <w:spacing w:val="-33"/>
        </w:rPr>
        <w:t> </w:t>
      </w:r>
      <w:r>
        <w:rPr/>
        <w:t>emitidos</w:t>
      </w:r>
      <w:r>
        <w:rPr>
          <w:spacing w:val="-33"/>
        </w:rPr>
        <w:t> </w:t>
      </w:r>
      <w:r>
        <w:rPr/>
        <w:t>pelo</w:t>
      </w:r>
      <w:r>
        <w:rPr>
          <w:spacing w:val="-34"/>
        </w:rPr>
        <w:t> </w:t>
      </w:r>
      <w:r>
        <w:rPr/>
        <w:t>IASB</w:t>
      </w:r>
      <w:r>
        <w:rPr>
          <w:spacing w:val="-32"/>
        </w:rPr>
        <w:t> </w:t>
      </w:r>
      <w:r>
        <w:rPr/>
        <w:t>que</w:t>
      </w:r>
      <w:r>
        <w:rPr>
          <w:spacing w:val="-35"/>
        </w:rPr>
        <w:t> </w:t>
      </w:r>
      <w:r>
        <w:rPr/>
        <w:t>ainda</w:t>
      </w:r>
      <w:r>
        <w:rPr>
          <w:spacing w:val="-31"/>
        </w:rPr>
        <w:t> </w:t>
      </w:r>
      <w:r>
        <w:rPr/>
        <w:t>não</w:t>
      </w:r>
      <w:r>
        <w:rPr>
          <w:spacing w:val="-34"/>
        </w:rPr>
        <w:t> </w:t>
      </w:r>
      <w:r>
        <w:rPr/>
        <w:t>entraram</w:t>
      </w:r>
      <w:r>
        <w:rPr>
          <w:spacing w:val="-33"/>
        </w:rPr>
        <w:t> </w:t>
      </w:r>
      <w:r>
        <w:rPr/>
        <w:t>em</w:t>
      </w:r>
      <w:r>
        <w:rPr>
          <w:spacing w:val="-34"/>
        </w:rPr>
        <w:t> </w:t>
      </w:r>
      <w:r>
        <w:rPr/>
        <w:t>vigor</w:t>
      </w:r>
      <w:r>
        <w:rPr>
          <w:spacing w:val="-34"/>
        </w:rPr>
        <w:t> </w:t>
      </w:r>
      <w:r>
        <w:rPr/>
        <w:t>e</w:t>
      </w:r>
      <w:r>
        <w:rPr>
          <w:spacing w:val="-33"/>
        </w:rPr>
        <w:t> </w:t>
      </w:r>
      <w:r>
        <w:rPr/>
        <w:t>não</w:t>
      </w:r>
      <w:r>
        <w:rPr>
          <w:spacing w:val="-32"/>
        </w:rPr>
        <w:t> </w:t>
      </w:r>
      <w:r>
        <w:rPr/>
        <w:t>tiveram</w:t>
      </w:r>
      <w:r>
        <w:rPr>
          <w:spacing w:val="-34"/>
        </w:rPr>
        <w:t> </w:t>
      </w:r>
      <w:r>
        <w:rPr/>
        <w:t>adoção</w:t>
      </w:r>
      <w:r>
        <w:rPr>
          <w:spacing w:val="-34"/>
        </w:rPr>
        <w:t> </w:t>
      </w:r>
      <w:r>
        <w:rPr/>
        <w:t>antecipada</w:t>
      </w:r>
      <w:r>
        <w:rPr>
          <w:spacing w:val="-33"/>
        </w:rPr>
        <w:t> </w:t>
      </w:r>
      <w:r>
        <w:rPr/>
        <w:t>pela Companhia</w:t>
      </w:r>
      <w:r>
        <w:rPr>
          <w:spacing w:val="-17"/>
        </w:rPr>
        <w:t> </w:t>
      </w:r>
      <w:r>
        <w:rPr/>
        <w:t>até</w:t>
      </w:r>
      <w:r>
        <w:rPr>
          <w:spacing w:val="-20"/>
        </w:rPr>
        <w:t> </w:t>
      </w:r>
      <w:r>
        <w:rPr/>
        <w:t>31</w:t>
      </w:r>
      <w:r>
        <w:rPr>
          <w:spacing w:val="-16"/>
        </w:rPr>
        <w:t> </w:t>
      </w:r>
      <w:r>
        <w:rPr/>
        <w:t>de</w:t>
      </w:r>
      <w:r>
        <w:rPr>
          <w:spacing w:val="-19"/>
        </w:rPr>
        <w:t> </w:t>
      </w:r>
      <w:r>
        <w:rPr/>
        <w:t>dezembro</w:t>
      </w:r>
      <w:r>
        <w:rPr>
          <w:spacing w:val="-16"/>
        </w:rPr>
        <w:t> </w:t>
      </w:r>
      <w:r>
        <w:rPr/>
        <w:t>de</w:t>
      </w:r>
      <w:r>
        <w:rPr>
          <w:spacing w:val="-20"/>
        </w:rPr>
        <w:t> </w:t>
      </w:r>
      <w:r>
        <w:rPr/>
        <w:t>2019.</w:t>
      </w:r>
    </w:p>
    <w:p>
      <w:pPr>
        <w:pStyle w:val="BodyText"/>
        <w:spacing w:before="7"/>
        <w:rPr>
          <w:sz w:val="8"/>
        </w:rPr>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494"/>
        <w:gridCol w:w="5733"/>
        <w:gridCol w:w="1764"/>
      </w:tblGrid>
      <w:tr>
        <w:trPr>
          <w:trHeight w:val="189" w:hRule="atLeast"/>
        </w:trPr>
        <w:tc>
          <w:tcPr>
            <w:tcW w:w="2494" w:type="dxa"/>
            <w:shd w:val="clear" w:color="auto" w:fill="D9D9D9"/>
          </w:tcPr>
          <w:p>
            <w:pPr>
              <w:pStyle w:val="TableParagraph"/>
              <w:spacing w:line="169" w:lineRule="exact"/>
              <w:ind w:left="108"/>
              <w:rPr>
                <w:rFonts w:ascii="Caladea"/>
                <w:b/>
                <w:sz w:val="16"/>
              </w:rPr>
            </w:pPr>
            <w:r>
              <w:rPr>
                <w:rFonts w:ascii="Caladea"/>
                <w:b/>
                <w:sz w:val="16"/>
              </w:rPr>
              <w:t>Norma</w:t>
            </w:r>
          </w:p>
        </w:tc>
        <w:tc>
          <w:tcPr>
            <w:tcW w:w="5733" w:type="dxa"/>
            <w:shd w:val="clear" w:color="auto" w:fill="D9D9D9"/>
          </w:tcPr>
          <w:p>
            <w:pPr>
              <w:pStyle w:val="TableParagraph"/>
              <w:spacing w:line="169" w:lineRule="exact"/>
              <w:ind w:left="69"/>
              <w:rPr>
                <w:rFonts w:ascii="Caladea" w:hAnsi="Caladea"/>
                <w:b/>
                <w:sz w:val="16"/>
              </w:rPr>
            </w:pPr>
            <w:r>
              <w:rPr>
                <w:rFonts w:ascii="Caladea" w:hAnsi="Caladea"/>
                <w:b/>
                <w:sz w:val="16"/>
              </w:rPr>
              <w:t>Descrição</w:t>
            </w:r>
          </w:p>
        </w:tc>
        <w:tc>
          <w:tcPr>
            <w:tcW w:w="1764" w:type="dxa"/>
            <w:shd w:val="clear" w:color="auto" w:fill="D9D9D9"/>
          </w:tcPr>
          <w:p>
            <w:pPr>
              <w:pStyle w:val="TableParagraph"/>
              <w:spacing w:line="169" w:lineRule="exact"/>
              <w:ind w:left="71"/>
              <w:rPr>
                <w:rFonts w:ascii="Caladea" w:hAnsi="Caladea"/>
                <w:b/>
                <w:sz w:val="16"/>
              </w:rPr>
            </w:pPr>
            <w:r>
              <w:rPr>
                <w:rFonts w:ascii="Caladea" w:hAnsi="Caladea"/>
                <w:b/>
                <w:sz w:val="16"/>
              </w:rPr>
              <w:t>Data Vigência</w:t>
            </w:r>
          </w:p>
        </w:tc>
      </w:tr>
      <w:tr>
        <w:trPr>
          <w:trHeight w:val="561" w:hRule="atLeast"/>
        </w:trPr>
        <w:tc>
          <w:tcPr>
            <w:tcW w:w="2494" w:type="dxa"/>
          </w:tcPr>
          <w:p>
            <w:pPr>
              <w:pStyle w:val="TableParagraph"/>
              <w:tabs>
                <w:tab w:pos="943" w:val="left" w:leader="none"/>
                <w:tab w:pos="1279" w:val="left" w:leader="none"/>
                <w:tab w:pos="1571" w:val="left" w:leader="none"/>
                <w:tab w:pos="2344" w:val="left" w:leader="none"/>
              </w:tabs>
              <w:spacing w:before="92"/>
              <w:ind w:left="72" w:right="56"/>
              <w:rPr>
                <w:rFonts w:ascii="Caladea" w:hAnsi="Caladea"/>
                <w:i/>
                <w:sz w:val="16"/>
              </w:rPr>
            </w:pPr>
            <w:r>
              <w:rPr>
                <w:rFonts w:ascii="Caladea" w:hAnsi="Caladea"/>
                <w:i/>
                <w:w w:val="105"/>
                <w:sz w:val="16"/>
              </w:rPr>
              <w:t>Definition</w:t>
              <w:tab/>
              <w:t>of</w:t>
              <w:tab/>
              <w:t>a</w:t>
              <w:tab/>
              <w:t>Business</w:t>
              <w:tab/>
            </w:r>
            <w:r>
              <w:rPr>
                <w:i/>
                <w:spacing w:val="-17"/>
                <w:w w:val="105"/>
                <w:sz w:val="16"/>
              </w:rPr>
              <w:t>– </w:t>
            </w:r>
            <w:r>
              <w:rPr>
                <w:rFonts w:ascii="Caladea" w:hAnsi="Caladea"/>
                <w:i/>
                <w:w w:val="105"/>
                <w:sz w:val="16"/>
              </w:rPr>
              <w:t>Amendments to IFRS</w:t>
            </w:r>
            <w:r>
              <w:rPr>
                <w:rFonts w:ascii="Caladea" w:hAnsi="Caladea"/>
                <w:i/>
                <w:spacing w:val="-14"/>
                <w:w w:val="105"/>
                <w:sz w:val="16"/>
              </w:rPr>
              <w:t> </w:t>
            </w:r>
            <w:r>
              <w:rPr>
                <w:rFonts w:ascii="Caladea" w:hAnsi="Caladea"/>
                <w:i/>
                <w:w w:val="105"/>
                <w:sz w:val="16"/>
              </w:rPr>
              <w:t>3</w:t>
            </w:r>
          </w:p>
        </w:tc>
        <w:tc>
          <w:tcPr>
            <w:tcW w:w="5733" w:type="dxa"/>
          </w:tcPr>
          <w:p>
            <w:pPr>
              <w:pStyle w:val="TableParagraph"/>
              <w:ind w:left="69" w:right="53"/>
              <w:rPr>
                <w:rFonts w:ascii="Caladea" w:hAnsi="Caladea"/>
                <w:i/>
                <w:sz w:val="16"/>
              </w:rPr>
            </w:pPr>
            <w:r>
              <w:rPr>
                <w:w w:val="105"/>
                <w:sz w:val="16"/>
              </w:rPr>
              <w:t>Estabelece</w:t>
            </w:r>
            <w:r>
              <w:rPr>
                <w:spacing w:val="-20"/>
                <w:w w:val="105"/>
                <w:sz w:val="16"/>
              </w:rPr>
              <w:t> </w:t>
            </w:r>
            <w:r>
              <w:rPr>
                <w:w w:val="105"/>
                <w:sz w:val="16"/>
              </w:rPr>
              <w:t>novos</w:t>
            </w:r>
            <w:r>
              <w:rPr>
                <w:spacing w:val="-19"/>
                <w:w w:val="105"/>
                <w:sz w:val="16"/>
              </w:rPr>
              <w:t> </w:t>
            </w:r>
            <w:r>
              <w:rPr>
                <w:w w:val="105"/>
                <w:sz w:val="16"/>
              </w:rPr>
              <w:t>requerimentos</w:t>
            </w:r>
            <w:r>
              <w:rPr>
                <w:spacing w:val="-21"/>
                <w:w w:val="105"/>
                <w:sz w:val="16"/>
              </w:rPr>
              <w:t> </w:t>
            </w:r>
            <w:r>
              <w:rPr>
                <w:w w:val="105"/>
                <w:sz w:val="16"/>
              </w:rPr>
              <w:t>para</w:t>
            </w:r>
            <w:r>
              <w:rPr>
                <w:spacing w:val="-19"/>
                <w:w w:val="105"/>
                <w:sz w:val="16"/>
              </w:rPr>
              <w:t> </w:t>
            </w:r>
            <w:r>
              <w:rPr>
                <w:w w:val="105"/>
                <w:sz w:val="16"/>
              </w:rPr>
              <w:t>determinar</w:t>
            </w:r>
            <w:r>
              <w:rPr>
                <w:spacing w:val="-21"/>
                <w:w w:val="105"/>
                <w:sz w:val="16"/>
              </w:rPr>
              <w:t> </w:t>
            </w:r>
            <w:r>
              <w:rPr>
                <w:w w:val="105"/>
                <w:sz w:val="16"/>
              </w:rPr>
              <w:t>se</w:t>
            </w:r>
            <w:r>
              <w:rPr>
                <w:spacing w:val="-19"/>
                <w:w w:val="105"/>
                <w:sz w:val="16"/>
              </w:rPr>
              <w:t> </w:t>
            </w:r>
            <w:r>
              <w:rPr>
                <w:w w:val="105"/>
                <w:sz w:val="16"/>
              </w:rPr>
              <w:t>uma</w:t>
            </w:r>
            <w:r>
              <w:rPr>
                <w:spacing w:val="-19"/>
                <w:w w:val="105"/>
                <w:sz w:val="16"/>
              </w:rPr>
              <w:t> </w:t>
            </w:r>
            <w:r>
              <w:rPr>
                <w:w w:val="105"/>
                <w:sz w:val="16"/>
              </w:rPr>
              <w:t>transação</w:t>
            </w:r>
            <w:r>
              <w:rPr>
                <w:spacing w:val="-19"/>
                <w:w w:val="105"/>
                <w:sz w:val="16"/>
              </w:rPr>
              <w:t> </w:t>
            </w:r>
            <w:r>
              <w:rPr>
                <w:w w:val="105"/>
                <w:sz w:val="16"/>
              </w:rPr>
              <w:t>deve</w:t>
            </w:r>
            <w:r>
              <w:rPr>
                <w:spacing w:val="-19"/>
                <w:w w:val="105"/>
                <w:sz w:val="16"/>
              </w:rPr>
              <w:t> </w:t>
            </w:r>
            <w:r>
              <w:rPr>
                <w:w w:val="105"/>
                <w:sz w:val="16"/>
              </w:rPr>
              <w:t>ser reconhecida</w:t>
            </w:r>
            <w:r>
              <w:rPr>
                <w:spacing w:val="-9"/>
                <w:w w:val="105"/>
                <w:sz w:val="16"/>
              </w:rPr>
              <w:t> </w:t>
            </w:r>
            <w:r>
              <w:rPr>
                <w:w w:val="105"/>
                <w:sz w:val="16"/>
              </w:rPr>
              <w:t>como</w:t>
            </w:r>
            <w:r>
              <w:rPr>
                <w:spacing w:val="-6"/>
                <w:w w:val="105"/>
                <w:sz w:val="16"/>
              </w:rPr>
              <w:t> </w:t>
            </w:r>
            <w:r>
              <w:rPr>
                <w:w w:val="105"/>
                <w:sz w:val="16"/>
              </w:rPr>
              <w:t>uma</w:t>
            </w:r>
            <w:r>
              <w:rPr>
                <w:spacing w:val="-7"/>
                <w:w w:val="105"/>
                <w:sz w:val="16"/>
              </w:rPr>
              <w:t> </w:t>
            </w:r>
            <w:r>
              <w:rPr>
                <w:w w:val="105"/>
                <w:sz w:val="16"/>
              </w:rPr>
              <w:t>aquisição</w:t>
            </w:r>
            <w:r>
              <w:rPr>
                <w:spacing w:val="-8"/>
                <w:w w:val="105"/>
                <w:sz w:val="16"/>
              </w:rPr>
              <w:t> </w:t>
            </w:r>
            <w:r>
              <w:rPr>
                <w:w w:val="105"/>
                <w:sz w:val="16"/>
              </w:rPr>
              <w:t>de</w:t>
            </w:r>
            <w:r>
              <w:rPr>
                <w:spacing w:val="-7"/>
                <w:w w:val="105"/>
                <w:sz w:val="16"/>
              </w:rPr>
              <w:t> </w:t>
            </w:r>
            <w:r>
              <w:rPr>
                <w:w w:val="105"/>
                <w:sz w:val="16"/>
              </w:rPr>
              <w:t>negócio</w:t>
            </w:r>
            <w:r>
              <w:rPr>
                <w:spacing w:val="-6"/>
                <w:w w:val="105"/>
                <w:sz w:val="16"/>
              </w:rPr>
              <w:t> </w:t>
            </w:r>
            <w:r>
              <w:rPr>
                <w:w w:val="105"/>
                <w:sz w:val="16"/>
              </w:rPr>
              <w:t>no</w:t>
            </w:r>
            <w:r>
              <w:rPr>
                <w:spacing w:val="-7"/>
                <w:w w:val="105"/>
                <w:sz w:val="16"/>
              </w:rPr>
              <w:t> </w:t>
            </w:r>
            <w:r>
              <w:rPr>
                <w:w w:val="105"/>
                <w:sz w:val="16"/>
              </w:rPr>
              <w:t>âmbito</w:t>
            </w:r>
            <w:r>
              <w:rPr>
                <w:spacing w:val="-6"/>
                <w:w w:val="105"/>
                <w:sz w:val="16"/>
              </w:rPr>
              <w:t> </w:t>
            </w:r>
            <w:r>
              <w:rPr>
                <w:w w:val="105"/>
                <w:sz w:val="16"/>
              </w:rPr>
              <w:t>da</w:t>
            </w:r>
            <w:r>
              <w:rPr>
                <w:spacing w:val="-7"/>
                <w:w w:val="105"/>
                <w:sz w:val="16"/>
              </w:rPr>
              <w:t> </w:t>
            </w:r>
            <w:r>
              <w:rPr>
                <w:w w:val="105"/>
                <w:sz w:val="16"/>
              </w:rPr>
              <w:t>IFRS</w:t>
            </w:r>
            <w:r>
              <w:rPr>
                <w:spacing w:val="-7"/>
                <w:w w:val="105"/>
                <w:sz w:val="16"/>
              </w:rPr>
              <w:t> </w:t>
            </w:r>
            <w:r>
              <w:rPr>
                <w:w w:val="105"/>
                <w:sz w:val="16"/>
              </w:rPr>
              <w:t>3</w:t>
            </w:r>
            <w:r>
              <w:rPr>
                <w:spacing w:val="-6"/>
                <w:w w:val="105"/>
                <w:sz w:val="16"/>
              </w:rPr>
              <w:t> </w:t>
            </w:r>
            <w:r>
              <w:rPr>
                <w:i/>
                <w:w w:val="105"/>
                <w:sz w:val="16"/>
              </w:rPr>
              <w:t>–</w:t>
            </w:r>
            <w:r>
              <w:rPr>
                <w:i/>
                <w:spacing w:val="-6"/>
                <w:w w:val="105"/>
                <w:sz w:val="16"/>
              </w:rPr>
              <w:t> </w:t>
            </w:r>
            <w:r>
              <w:rPr>
                <w:rFonts w:ascii="Caladea" w:hAnsi="Caladea"/>
                <w:i/>
                <w:w w:val="105"/>
                <w:sz w:val="16"/>
              </w:rPr>
              <w:t>Business</w:t>
            </w:r>
          </w:p>
          <w:p>
            <w:pPr>
              <w:pStyle w:val="TableParagraph"/>
              <w:spacing w:line="168" w:lineRule="exact"/>
              <w:ind w:left="69"/>
              <w:rPr>
                <w:sz w:val="16"/>
              </w:rPr>
            </w:pPr>
            <w:r>
              <w:rPr>
                <w:rFonts w:ascii="Caladea" w:hAnsi="Caladea"/>
                <w:i/>
                <w:sz w:val="16"/>
              </w:rPr>
              <w:t>Combination </w:t>
            </w:r>
            <w:r>
              <w:rPr>
                <w:sz w:val="16"/>
              </w:rPr>
              <w:t>ou como uma aquisição de ativos.</w:t>
            </w:r>
          </w:p>
        </w:tc>
        <w:tc>
          <w:tcPr>
            <w:tcW w:w="1764" w:type="dxa"/>
          </w:tcPr>
          <w:p>
            <w:pPr>
              <w:pStyle w:val="TableParagraph"/>
              <w:spacing w:before="94"/>
              <w:ind w:left="71" w:right="48"/>
              <w:rPr>
                <w:sz w:val="16"/>
              </w:rPr>
            </w:pPr>
            <w:r>
              <w:rPr>
                <w:sz w:val="16"/>
              </w:rPr>
              <w:t>1º de janeiro de 2020, aplicação prospectiva.</w:t>
            </w:r>
          </w:p>
        </w:tc>
      </w:tr>
      <w:tr>
        <w:trPr>
          <w:trHeight w:val="1391" w:hRule="atLeast"/>
        </w:trPr>
        <w:tc>
          <w:tcPr>
            <w:tcW w:w="2494" w:type="dxa"/>
          </w:tcPr>
          <w:p>
            <w:pPr>
              <w:pStyle w:val="TableParagraph"/>
              <w:rPr>
                <w:sz w:val="18"/>
              </w:rPr>
            </w:pPr>
          </w:p>
          <w:p>
            <w:pPr>
              <w:pStyle w:val="TableParagraph"/>
              <w:spacing w:before="111"/>
              <w:ind w:left="72" w:right="56"/>
              <w:jc w:val="both"/>
              <w:rPr>
                <w:rFonts w:ascii="Caladea" w:hAnsi="Caladea"/>
                <w:i/>
                <w:sz w:val="16"/>
              </w:rPr>
            </w:pPr>
            <w:r>
              <w:rPr>
                <w:rFonts w:ascii="Caladea" w:hAnsi="Caladea"/>
                <w:i/>
                <w:w w:val="105"/>
                <w:sz w:val="16"/>
              </w:rPr>
              <w:t>Interest</w:t>
            </w:r>
            <w:r>
              <w:rPr>
                <w:rFonts w:ascii="Caladea" w:hAnsi="Caladea"/>
                <w:i/>
                <w:spacing w:val="-14"/>
                <w:w w:val="105"/>
                <w:sz w:val="16"/>
              </w:rPr>
              <w:t> </w:t>
            </w:r>
            <w:r>
              <w:rPr>
                <w:rFonts w:ascii="Caladea" w:hAnsi="Caladea"/>
                <w:i/>
                <w:w w:val="105"/>
                <w:sz w:val="16"/>
              </w:rPr>
              <w:t>Rate</w:t>
            </w:r>
            <w:r>
              <w:rPr>
                <w:rFonts w:ascii="Caladea" w:hAnsi="Caladea"/>
                <w:i/>
                <w:spacing w:val="-12"/>
                <w:w w:val="105"/>
                <w:sz w:val="16"/>
              </w:rPr>
              <w:t> </w:t>
            </w:r>
            <w:r>
              <w:rPr>
                <w:rFonts w:ascii="Caladea" w:hAnsi="Caladea"/>
                <w:i/>
                <w:w w:val="105"/>
                <w:sz w:val="16"/>
              </w:rPr>
              <w:t>Benchmark</w:t>
            </w:r>
            <w:r>
              <w:rPr>
                <w:rFonts w:ascii="Caladea" w:hAnsi="Caladea"/>
                <w:i/>
                <w:spacing w:val="-12"/>
                <w:w w:val="105"/>
                <w:sz w:val="16"/>
              </w:rPr>
              <w:t> </w:t>
            </w:r>
            <w:r>
              <w:rPr>
                <w:rFonts w:ascii="Caladea" w:hAnsi="Caladea"/>
                <w:i/>
                <w:w w:val="105"/>
                <w:sz w:val="16"/>
              </w:rPr>
              <w:t>Reform</w:t>
            </w:r>
            <w:r>
              <w:rPr>
                <w:rFonts w:ascii="Caladea" w:hAnsi="Caladea"/>
                <w:i/>
                <w:spacing w:val="-11"/>
                <w:w w:val="105"/>
                <w:sz w:val="16"/>
              </w:rPr>
              <w:t> </w:t>
            </w:r>
            <w:r>
              <w:rPr>
                <w:i/>
                <w:w w:val="105"/>
                <w:sz w:val="16"/>
              </w:rPr>
              <w:t>– </w:t>
            </w:r>
            <w:r>
              <w:rPr>
                <w:rFonts w:ascii="Caladea" w:hAnsi="Caladea"/>
                <w:i/>
                <w:w w:val="105"/>
                <w:sz w:val="16"/>
              </w:rPr>
              <w:t>Amendments</w:t>
            </w:r>
            <w:r>
              <w:rPr>
                <w:rFonts w:ascii="Caladea" w:hAnsi="Caladea"/>
                <w:i/>
                <w:spacing w:val="-18"/>
                <w:w w:val="105"/>
                <w:sz w:val="16"/>
              </w:rPr>
              <w:t> </w:t>
            </w:r>
            <w:r>
              <w:rPr>
                <w:rFonts w:ascii="Caladea" w:hAnsi="Caladea"/>
                <w:i/>
                <w:w w:val="105"/>
                <w:sz w:val="16"/>
              </w:rPr>
              <w:t>to</w:t>
            </w:r>
            <w:r>
              <w:rPr>
                <w:rFonts w:ascii="Caladea" w:hAnsi="Caladea"/>
                <w:i/>
                <w:spacing w:val="-19"/>
                <w:w w:val="105"/>
                <w:sz w:val="16"/>
              </w:rPr>
              <w:t> </w:t>
            </w:r>
            <w:r>
              <w:rPr>
                <w:rFonts w:ascii="Caladea" w:hAnsi="Caladea"/>
                <w:i/>
                <w:w w:val="105"/>
                <w:sz w:val="16"/>
              </w:rPr>
              <w:t>IFRS</w:t>
            </w:r>
            <w:r>
              <w:rPr>
                <w:rFonts w:ascii="Caladea" w:hAnsi="Caladea"/>
                <w:i/>
                <w:spacing w:val="-20"/>
                <w:w w:val="105"/>
                <w:sz w:val="16"/>
              </w:rPr>
              <w:t> </w:t>
            </w:r>
            <w:r>
              <w:rPr>
                <w:rFonts w:ascii="Caladea" w:hAnsi="Caladea"/>
                <w:i/>
                <w:w w:val="105"/>
                <w:sz w:val="16"/>
              </w:rPr>
              <w:t>9,</w:t>
            </w:r>
            <w:r>
              <w:rPr>
                <w:rFonts w:ascii="Caladea" w:hAnsi="Caladea"/>
                <w:i/>
                <w:spacing w:val="-19"/>
                <w:w w:val="105"/>
                <w:sz w:val="16"/>
              </w:rPr>
              <w:t> </w:t>
            </w:r>
            <w:r>
              <w:rPr>
                <w:rFonts w:ascii="Caladea" w:hAnsi="Caladea"/>
                <w:i/>
                <w:w w:val="105"/>
                <w:sz w:val="16"/>
              </w:rPr>
              <w:t>IFRS</w:t>
            </w:r>
            <w:r>
              <w:rPr>
                <w:rFonts w:ascii="Caladea" w:hAnsi="Caladea"/>
                <w:i/>
                <w:spacing w:val="-18"/>
                <w:w w:val="105"/>
                <w:sz w:val="16"/>
              </w:rPr>
              <w:t> </w:t>
            </w:r>
            <w:r>
              <w:rPr>
                <w:rFonts w:ascii="Caladea" w:hAnsi="Caladea"/>
                <w:i/>
                <w:w w:val="105"/>
                <w:sz w:val="16"/>
              </w:rPr>
              <w:t>7</w:t>
            </w:r>
            <w:r>
              <w:rPr>
                <w:rFonts w:ascii="Caladea" w:hAnsi="Caladea"/>
                <w:i/>
                <w:spacing w:val="-20"/>
                <w:w w:val="105"/>
                <w:sz w:val="16"/>
              </w:rPr>
              <w:t> </w:t>
            </w:r>
            <w:r>
              <w:rPr>
                <w:rFonts w:ascii="Caladea" w:hAnsi="Caladea"/>
                <w:i/>
                <w:w w:val="105"/>
                <w:sz w:val="16"/>
              </w:rPr>
              <w:t>e</w:t>
            </w:r>
            <w:r>
              <w:rPr>
                <w:rFonts w:ascii="Caladea" w:hAnsi="Caladea"/>
                <w:i/>
                <w:spacing w:val="-19"/>
                <w:w w:val="105"/>
                <w:sz w:val="16"/>
              </w:rPr>
              <w:t> </w:t>
            </w:r>
            <w:r>
              <w:rPr>
                <w:rFonts w:ascii="Caladea" w:hAnsi="Caladea"/>
                <w:i/>
                <w:w w:val="105"/>
                <w:sz w:val="16"/>
              </w:rPr>
              <w:t>IAS </w:t>
            </w:r>
            <w:r>
              <w:rPr>
                <w:rFonts w:ascii="Caladea" w:hAnsi="Caladea"/>
                <w:i/>
                <w:w w:val="105"/>
                <w:sz w:val="16"/>
              </w:rPr>
              <w:t>39</w:t>
            </w:r>
          </w:p>
        </w:tc>
        <w:tc>
          <w:tcPr>
            <w:tcW w:w="5733" w:type="dxa"/>
          </w:tcPr>
          <w:p>
            <w:pPr>
              <w:pStyle w:val="TableParagraph"/>
              <w:spacing w:before="6"/>
              <w:rPr>
                <w:sz w:val="19"/>
              </w:rPr>
            </w:pPr>
          </w:p>
          <w:p>
            <w:pPr>
              <w:pStyle w:val="TableParagraph"/>
              <w:ind w:left="69" w:right="56"/>
              <w:jc w:val="both"/>
              <w:rPr>
                <w:rFonts w:ascii="Caladea" w:hAnsi="Caladea"/>
                <w:i/>
                <w:sz w:val="16"/>
              </w:rPr>
            </w:pPr>
            <w:r>
              <w:rPr>
                <w:sz w:val="16"/>
              </w:rPr>
              <w:t>Altera</w:t>
            </w:r>
            <w:r>
              <w:rPr>
                <w:spacing w:val="-16"/>
                <w:sz w:val="16"/>
              </w:rPr>
              <w:t> </w:t>
            </w:r>
            <w:r>
              <w:rPr>
                <w:sz w:val="16"/>
              </w:rPr>
              <w:t>as</w:t>
            </w:r>
            <w:r>
              <w:rPr>
                <w:spacing w:val="-16"/>
                <w:sz w:val="16"/>
              </w:rPr>
              <w:t> </w:t>
            </w:r>
            <w:r>
              <w:rPr>
                <w:sz w:val="16"/>
              </w:rPr>
              <w:t>IFRS</w:t>
            </w:r>
            <w:r>
              <w:rPr>
                <w:spacing w:val="-15"/>
                <w:sz w:val="16"/>
              </w:rPr>
              <w:t> </w:t>
            </w:r>
            <w:r>
              <w:rPr>
                <w:sz w:val="16"/>
              </w:rPr>
              <w:t>9-Financial</w:t>
            </w:r>
            <w:r>
              <w:rPr>
                <w:spacing w:val="-14"/>
                <w:sz w:val="16"/>
              </w:rPr>
              <w:t> </w:t>
            </w:r>
            <w:r>
              <w:rPr>
                <w:rFonts w:ascii="Caladea" w:hAnsi="Caladea"/>
                <w:i/>
                <w:sz w:val="16"/>
              </w:rPr>
              <w:t>Instruments,</w:t>
            </w:r>
            <w:r>
              <w:rPr>
                <w:rFonts w:ascii="Caladea" w:hAnsi="Caladea"/>
                <w:i/>
                <w:spacing w:val="-3"/>
                <w:sz w:val="16"/>
              </w:rPr>
              <w:t> </w:t>
            </w:r>
            <w:r>
              <w:rPr>
                <w:sz w:val="16"/>
              </w:rPr>
              <w:t>IFRS</w:t>
            </w:r>
            <w:r>
              <w:rPr>
                <w:spacing w:val="-15"/>
                <w:sz w:val="16"/>
              </w:rPr>
              <w:t> </w:t>
            </w:r>
            <w:r>
              <w:rPr>
                <w:sz w:val="16"/>
              </w:rPr>
              <w:t>7-</w:t>
            </w:r>
            <w:r>
              <w:rPr>
                <w:rFonts w:ascii="Caladea" w:hAnsi="Caladea"/>
                <w:i/>
                <w:sz w:val="16"/>
              </w:rPr>
              <w:t>Financial</w:t>
            </w:r>
            <w:r>
              <w:rPr>
                <w:rFonts w:ascii="Caladea" w:hAnsi="Caladea"/>
                <w:i/>
                <w:spacing w:val="-2"/>
                <w:sz w:val="16"/>
              </w:rPr>
              <w:t> </w:t>
            </w:r>
            <w:r>
              <w:rPr>
                <w:rFonts w:ascii="Caladea" w:hAnsi="Caladea"/>
                <w:i/>
                <w:sz w:val="16"/>
              </w:rPr>
              <w:t>Instruments:</w:t>
            </w:r>
            <w:r>
              <w:rPr>
                <w:rFonts w:ascii="Caladea" w:hAnsi="Caladea"/>
                <w:i/>
                <w:spacing w:val="-3"/>
                <w:sz w:val="16"/>
              </w:rPr>
              <w:t> </w:t>
            </w:r>
            <w:r>
              <w:rPr>
                <w:rFonts w:ascii="Caladea" w:hAnsi="Caladea"/>
                <w:i/>
                <w:sz w:val="16"/>
              </w:rPr>
              <w:t>Disclosures</w:t>
            </w:r>
            <w:r>
              <w:rPr>
                <w:rFonts w:ascii="Caladea" w:hAnsi="Caladea"/>
                <w:i/>
                <w:spacing w:val="-1"/>
                <w:sz w:val="16"/>
              </w:rPr>
              <w:t> </w:t>
            </w:r>
            <w:r>
              <w:rPr>
                <w:sz w:val="16"/>
              </w:rPr>
              <w:t>e IAS 39-</w:t>
            </w:r>
            <w:r>
              <w:rPr>
                <w:rFonts w:ascii="Caladea" w:hAnsi="Caladea"/>
                <w:i/>
                <w:sz w:val="16"/>
              </w:rPr>
              <w:t>Financial instruments: recognition and measurement</w:t>
            </w:r>
            <w:r>
              <w:rPr>
                <w:sz w:val="16"/>
              </w:rPr>
              <w:t>, com o objetivo de incluir</w:t>
            </w:r>
            <w:r>
              <w:rPr>
                <w:spacing w:val="-33"/>
                <w:sz w:val="16"/>
              </w:rPr>
              <w:t> </w:t>
            </w:r>
            <w:r>
              <w:rPr>
                <w:sz w:val="16"/>
              </w:rPr>
              <w:t>exceções</w:t>
            </w:r>
            <w:r>
              <w:rPr>
                <w:spacing w:val="-31"/>
                <w:sz w:val="16"/>
              </w:rPr>
              <w:t> </w:t>
            </w:r>
            <w:r>
              <w:rPr>
                <w:sz w:val="16"/>
              </w:rPr>
              <w:t>temporárias</w:t>
            </w:r>
            <w:r>
              <w:rPr>
                <w:spacing w:val="-32"/>
                <w:sz w:val="16"/>
              </w:rPr>
              <w:t> </w:t>
            </w:r>
            <w:r>
              <w:rPr>
                <w:sz w:val="16"/>
              </w:rPr>
              <w:t>aos</w:t>
            </w:r>
            <w:r>
              <w:rPr>
                <w:spacing w:val="-32"/>
                <w:sz w:val="16"/>
              </w:rPr>
              <w:t> </w:t>
            </w:r>
            <w:r>
              <w:rPr>
                <w:sz w:val="16"/>
              </w:rPr>
              <w:t>requerimentos</w:t>
            </w:r>
            <w:r>
              <w:rPr>
                <w:spacing w:val="-33"/>
                <w:sz w:val="16"/>
              </w:rPr>
              <w:t> </w:t>
            </w:r>
            <w:r>
              <w:rPr>
                <w:sz w:val="16"/>
              </w:rPr>
              <w:t>atuais</w:t>
            </w:r>
            <w:r>
              <w:rPr>
                <w:spacing w:val="-31"/>
                <w:sz w:val="16"/>
              </w:rPr>
              <w:t> </w:t>
            </w:r>
            <w:r>
              <w:rPr>
                <w:sz w:val="16"/>
              </w:rPr>
              <w:t>da</w:t>
            </w:r>
            <w:r>
              <w:rPr>
                <w:spacing w:val="-32"/>
                <w:sz w:val="16"/>
              </w:rPr>
              <w:t> </w:t>
            </w:r>
            <w:r>
              <w:rPr>
                <w:sz w:val="16"/>
              </w:rPr>
              <w:t>contabilidade</w:t>
            </w:r>
            <w:r>
              <w:rPr>
                <w:spacing w:val="-31"/>
                <w:sz w:val="16"/>
              </w:rPr>
              <w:t> </w:t>
            </w:r>
            <w:r>
              <w:rPr>
                <w:sz w:val="16"/>
              </w:rPr>
              <w:t>de</w:t>
            </w:r>
            <w:r>
              <w:rPr>
                <w:spacing w:val="-32"/>
                <w:sz w:val="16"/>
              </w:rPr>
              <w:t> </w:t>
            </w:r>
            <w:r>
              <w:rPr>
                <w:sz w:val="16"/>
              </w:rPr>
              <w:t>hedge para</w:t>
            </w:r>
            <w:r>
              <w:rPr>
                <w:spacing w:val="-23"/>
                <w:sz w:val="16"/>
              </w:rPr>
              <w:t> </w:t>
            </w:r>
            <w:r>
              <w:rPr>
                <w:sz w:val="16"/>
              </w:rPr>
              <w:t>neutralizar</w:t>
            </w:r>
            <w:r>
              <w:rPr>
                <w:spacing w:val="-23"/>
                <w:sz w:val="16"/>
              </w:rPr>
              <w:t> </w:t>
            </w:r>
            <w:r>
              <w:rPr>
                <w:sz w:val="16"/>
              </w:rPr>
              <w:t>os</w:t>
            </w:r>
            <w:r>
              <w:rPr>
                <w:spacing w:val="-23"/>
                <w:sz w:val="16"/>
              </w:rPr>
              <w:t> </w:t>
            </w:r>
            <w:r>
              <w:rPr>
                <w:sz w:val="16"/>
              </w:rPr>
              <w:t>efeitos</w:t>
            </w:r>
            <w:r>
              <w:rPr>
                <w:spacing w:val="-23"/>
                <w:sz w:val="16"/>
              </w:rPr>
              <w:t> </w:t>
            </w:r>
            <w:r>
              <w:rPr>
                <w:sz w:val="16"/>
              </w:rPr>
              <w:t>das</w:t>
            </w:r>
            <w:r>
              <w:rPr>
                <w:spacing w:val="-24"/>
                <w:sz w:val="16"/>
              </w:rPr>
              <w:t> </w:t>
            </w:r>
            <w:r>
              <w:rPr>
                <w:sz w:val="16"/>
              </w:rPr>
              <w:t>incertezas</w:t>
            </w:r>
            <w:r>
              <w:rPr>
                <w:spacing w:val="-23"/>
                <w:sz w:val="16"/>
              </w:rPr>
              <w:t> </w:t>
            </w:r>
            <w:r>
              <w:rPr>
                <w:sz w:val="16"/>
              </w:rPr>
              <w:t>causadas</w:t>
            </w:r>
            <w:r>
              <w:rPr>
                <w:spacing w:val="-22"/>
                <w:sz w:val="16"/>
              </w:rPr>
              <w:t> </w:t>
            </w:r>
            <w:r>
              <w:rPr>
                <w:sz w:val="16"/>
              </w:rPr>
              <w:t>pela</w:t>
            </w:r>
            <w:r>
              <w:rPr>
                <w:spacing w:val="-23"/>
                <w:sz w:val="16"/>
              </w:rPr>
              <w:t> </w:t>
            </w:r>
            <w:r>
              <w:rPr>
                <w:sz w:val="16"/>
              </w:rPr>
              <w:t>reforma</w:t>
            </w:r>
            <w:r>
              <w:rPr>
                <w:spacing w:val="-22"/>
                <w:sz w:val="16"/>
              </w:rPr>
              <w:t> </w:t>
            </w:r>
            <w:r>
              <w:rPr>
                <w:sz w:val="16"/>
              </w:rPr>
              <w:t>da</w:t>
            </w:r>
            <w:r>
              <w:rPr>
                <w:spacing w:val="-22"/>
                <w:sz w:val="16"/>
              </w:rPr>
              <w:t> </w:t>
            </w:r>
            <w:r>
              <w:rPr>
                <w:sz w:val="16"/>
              </w:rPr>
              <w:t>taxa</w:t>
            </w:r>
            <w:r>
              <w:rPr>
                <w:spacing w:val="-22"/>
                <w:sz w:val="16"/>
              </w:rPr>
              <w:t> </w:t>
            </w:r>
            <w:r>
              <w:rPr>
                <w:sz w:val="16"/>
              </w:rPr>
              <w:t>de</w:t>
            </w:r>
            <w:r>
              <w:rPr>
                <w:spacing w:val="-22"/>
                <w:sz w:val="16"/>
              </w:rPr>
              <w:t> </w:t>
            </w:r>
            <w:r>
              <w:rPr>
                <w:sz w:val="16"/>
              </w:rPr>
              <w:t>juros referenciais</w:t>
            </w:r>
            <w:r>
              <w:rPr>
                <w:spacing w:val="-18"/>
                <w:sz w:val="16"/>
              </w:rPr>
              <w:t> </w:t>
            </w:r>
            <w:r>
              <w:rPr>
                <w:sz w:val="16"/>
              </w:rPr>
              <w:t>(IBOR)</w:t>
            </w:r>
            <w:r>
              <w:rPr>
                <w:spacing w:val="-17"/>
                <w:sz w:val="16"/>
              </w:rPr>
              <w:t> </w:t>
            </w:r>
            <w:r>
              <w:rPr>
                <w:sz w:val="16"/>
              </w:rPr>
              <w:t>recomendada</w:t>
            </w:r>
            <w:r>
              <w:rPr>
                <w:spacing w:val="-18"/>
                <w:sz w:val="16"/>
              </w:rPr>
              <w:t> </w:t>
            </w:r>
            <w:r>
              <w:rPr>
                <w:sz w:val="16"/>
              </w:rPr>
              <w:t>pelo</w:t>
            </w:r>
            <w:r>
              <w:rPr>
                <w:spacing w:val="-13"/>
                <w:sz w:val="16"/>
              </w:rPr>
              <w:t> </w:t>
            </w:r>
            <w:r>
              <w:rPr>
                <w:rFonts w:ascii="Caladea" w:hAnsi="Caladea"/>
                <w:i/>
                <w:sz w:val="16"/>
              </w:rPr>
              <w:t>Financial</w:t>
            </w:r>
            <w:r>
              <w:rPr>
                <w:rFonts w:ascii="Caladea" w:hAnsi="Caladea"/>
                <w:i/>
                <w:spacing w:val="-2"/>
                <w:sz w:val="16"/>
              </w:rPr>
              <w:t> </w:t>
            </w:r>
            <w:r>
              <w:rPr>
                <w:rFonts w:ascii="Caladea" w:hAnsi="Caladea"/>
                <w:i/>
                <w:sz w:val="16"/>
              </w:rPr>
              <w:t>Stability</w:t>
            </w:r>
            <w:r>
              <w:rPr>
                <w:rFonts w:ascii="Caladea" w:hAnsi="Caladea"/>
                <w:i/>
                <w:spacing w:val="-3"/>
                <w:sz w:val="16"/>
              </w:rPr>
              <w:t> </w:t>
            </w:r>
            <w:r>
              <w:rPr>
                <w:rFonts w:ascii="Caladea" w:hAnsi="Caladea"/>
                <w:i/>
                <w:sz w:val="16"/>
              </w:rPr>
              <w:t>Board</w:t>
            </w:r>
            <w:r>
              <w:rPr>
                <w:rFonts w:ascii="Caladea" w:hAnsi="Caladea"/>
                <w:i/>
                <w:spacing w:val="-3"/>
                <w:sz w:val="16"/>
              </w:rPr>
              <w:t> </w:t>
            </w:r>
            <w:r>
              <w:rPr>
                <w:rFonts w:ascii="Caladea" w:hAnsi="Caladea"/>
                <w:i/>
                <w:sz w:val="16"/>
              </w:rPr>
              <w:t>(FSB).</w:t>
            </w:r>
          </w:p>
        </w:tc>
        <w:tc>
          <w:tcPr>
            <w:tcW w:w="1764" w:type="dxa"/>
          </w:tcPr>
          <w:p>
            <w:pPr>
              <w:pStyle w:val="TableParagraph"/>
              <w:rPr>
                <w:sz w:val="18"/>
              </w:rPr>
            </w:pPr>
          </w:p>
          <w:p>
            <w:pPr>
              <w:pStyle w:val="TableParagraph"/>
              <w:spacing w:before="10"/>
              <w:rPr>
                <w:sz w:val="25"/>
              </w:rPr>
            </w:pPr>
          </w:p>
          <w:p>
            <w:pPr>
              <w:pStyle w:val="TableParagraph"/>
              <w:ind w:left="71" w:right="11"/>
              <w:rPr>
                <w:sz w:val="16"/>
              </w:rPr>
            </w:pPr>
            <w:r>
              <w:rPr>
                <w:sz w:val="16"/>
              </w:rPr>
              <w:t>1º de janeiro de 2020, </w:t>
            </w:r>
            <w:r>
              <w:rPr>
                <w:w w:val="95"/>
                <w:sz w:val="16"/>
              </w:rPr>
              <w:t>aplicação retrospectiva.</w:t>
            </w:r>
          </w:p>
        </w:tc>
      </w:tr>
      <w:tr>
        <w:trPr>
          <w:trHeight w:val="1312" w:hRule="atLeast"/>
        </w:trPr>
        <w:tc>
          <w:tcPr>
            <w:tcW w:w="2494" w:type="dxa"/>
          </w:tcPr>
          <w:p>
            <w:pPr>
              <w:pStyle w:val="TableParagraph"/>
              <w:rPr>
                <w:sz w:val="18"/>
              </w:rPr>
            </w:pPr>
          </w:p>
          <w:p>
            <w:pPr>
              <w:pStyle w:val="TableParagraph"/>
              <w:spacing w:before="1"/>
              <w:rPr>
                <w:sz w:val="14"/>
              </w:rPr>
            </w:pPr>
          </w:p>
          <w:p>
            <w:pPr>
              <w:pStyle w:val="TableParagraph"/>
              <w:tabs>
                <w:tab w:pos="1039" w:val="left" w:leader="none"/>
                <w:tab w:pos="1468" w:val="left" w:leader="none"/>
                <w:tab w:pos="2344" w:val="left" w:leader="none"/>
              </w:tabs>
              <w:spacing w:line="242" w:lineRule="auto" w:before="1"/>
              <w:ind w:left="72" w:right="56"/>
              <w:rPr>
                <w:rFonts w:ascii="Caladea" w:hAnsi="Caladea"/>
                <w:i/>
                <w:sz w:val="16"/>
              </w:rPr>
            </w:pPr>
            <w:r>
              <w:rPr>
                <w:rFonts w:ascii="Caladea" w:hAnsi="Caladea"/>
                <w:i/>
                <w:w w:val="105"/>
                <w:sz w:val="16"/>
              </w:rPr>
              <w:t>Definition</w:t>
              <w:tab/>
              <w:t>of</w:t>
              <w:tab/>
              <w:t>Material</w:t>
              <w:tab/>
            </w:r>
            <w:r>
              <w:rPr>
                <w:i/>
                <w:spacing w:val="-17"/>
                <w:w w:val="105"/>
                <w:sz w:val="16"/>
              </w:rPr>
              <w:t>– </w:t>
            </w:r>
            <w:r>
              <w:rPr>
                <w:rFonts w:ascii="Caladea" w:hAnsi="Caladea"/>
                <w:i/>
                <w:w w:val="105"/>
                <w:sz w:val="16"/>
              </w:rPr>
              <w:t>Amendments</w:t>
            </w:r>
            <w:r>
              <w:rPr>
                <w:rFonts w:ascii="Caladea" w:hAnsi="Caladea"/>
                <w:i/>
                <w:spacing w:val="-6"/>
                <w:w w:val="105"/>
                <w:sz w:val="16"/>
              </w:rPr>
              <w:t> </w:t>
            </w:r>
            <w:r>
              <w:rPr>
                <w:rFonts w:ascii="Caladea" w:hAnsi="Caladea"/>
                <w:i/>
                <w:w w:val="105"/>
                <w:sz w:val="16"/>
              </w:rPr>
              <w:t>to</w:t>
            </w:r>
            <w:r>
              <w:rPr>
                <w:rFonts w:ascii="Caladea" w:hAnsi="Caladea"/>
                <w:i/>
                <w:spacing w:val="-7"/>
                <w:w w:val="105"/>
                <w:sz w:val="16"/>
              </w:rPr>
              <w:t> </w:t>
            </w:r>
            <w:r>
              <w:rPr>
                <w:rFonts w:ascii="Caladea" w:hAnsi="Caladea"/>
                <w:i/>
                <w:w w:val="105"/>
                <w:sz w:val="16"/>
              </w:rPr>
              <w:t>IAS</w:t>
            </w:r>
            <w:r>
              <w:rPr>
                <w:rFonts w:ascii="Caladea" w:hAnsi="Caladea"/>
                <w:i/>
                <w:spacing w:val="-7"/>
                <w:w w:val="105"/>
                <w:sz w:val="16"/>
              </w:rPr>
              <w:t> </w:t>
            </w:r>
            <w:r>
              <w:rPr>
                <w:rFonts w:ascii="Caladea" w:hAnsi="Caladea"/>
                <w:i/>
                <w:w w:val="105"/>
                <w:sz w:val="16"/>
              </w:rPr>
              <w:t>1</w:t>
            </w:r>
            <w:r>
              <w:rPr>
                <w:rFonts w:ascii="Caladea" w:hAnsi="Caladea"/>
                <w:i/>
                <w:spacing w:val="-9"/>
                <w:w w:val="105"/>
                <w:sz w:val="16"/>
              </w:rPr>
              <w:t> </w:t>
            </w:r>
            <w:r>
              <w:rPr>
                <w:rFonts w:ascii="Caladea" w:hAnsi="Caladea"/>
                <w:i/>
                <w:w w:val="105"/>
                <w:sz w:val="16"/>
              </w:rPr>
              <w:t>e</w:t>
            </w:r>
            <w:r>
              <w:rPr>
                <w:rFonts w:ascii="Caladea" w:hAnsi="Caladea"/>
                <w:i/>
                <w:spacing w:val="-6"/>
                <w:w w:val="105"/>
                <w:sz w:val="16"/>
              </w:rPr>
              <w:t> </w:t>
            </w:r>
            <w:r>
              <w:rPr>
                <w:rFonts w:ascii="Caladea" w:hAnsi="Caladea"/>
                <w:i/>
                <w:w w:val="105"/>
                <w:sz w:val="16"/>
              </w:rPr>
              <w:t>IAS</w:t>
            </w:r>
            <w:r>
              <w:rPr>
                <w:rFonts w:ascii="Caladea" w:hAnsi="Caladea"/>
                <w:i/>
                <w:spacing w:val="-6"/>
                <w:w w:val="105"/>
                <w:sz w:val="16"/>
              </w:rPr>
              <w:t> </w:t>
            </w:r>
            <w:r>
              <w:rPr>
                <w:rFonts w:ascii="Caladea" w:hAnsi="Caladea"/>
                <w:i/>
                <w:w w:val="105"/>
                <w:sz w:val="16"/>
              </w:rPr>
              <w:t>8</w:t>
            </w:r>
          </w:p>
        </w:tc>
        <w:tc>
          <w:tcPr>
            <w:tcW w:w="5733" w:type="dxa"/>
          </w:tcPr>
          <w:p>
            <w:pPr>
              <w:pStyle w:val="TableParagraph"/>
              <w:ind w:left="69" w:right="56"/>
              <w:jc w:val="both"/>
              <w:rPr>
                <w:sz w:val="16"/>
              </w:rPr>
            </w:pPr>
            <w:r>
              <w:rPr>
                <w:sz w:val="16"/>
              </w:rPr>
              <w:t>Altera</w:t>
            </w:r>
            <w:r>
              <w:rPr>
                <w:spacing w:val="-11"/>
                <w:sz w:val="16"/>
              </w:rPr>
              <w:t> </w:t>
            </w:r>
            <w:r>
              <w:rPr>
                <w:sz w:val="16"/>
              </w:rPr>
              <w:t>a</w:t>
            </w:r>
            <w:r>
              <w:rPr>
                <w:spacing w:val="-11"/>
                <w:sz w:val="16"/>
              </w:rPr>
              <w:t> </w:t>
            </w:r>
            <w:r>
              <w:rPr>
                <w:sz w:val="16"/>
              </w:rPr>
              <w:t>definição</w:t>
            </w:r>
            <w:r>
              <w:rPr>
                <w:spacing w:val="-10"/>
                <w:sz w:val="16"/>
              </w:rPr>
              <w:t> </w:t>
            </w:r>
            <w:r>
              <w:rPr>
                <w:sz w:val="16"/>
              </w:rPr>
              <w:t>de</w:t>
            </w:r>
            <w:r>
              <w:rPr>
                <w:spacing w:val="-9"/>
                <w:sz w:val="16"/>
              </w:rPr>
              <w:t> </w:t>
            </w:r>
            <w:r>
              <w:rPr>
                <w:sz w:val="16"/>
              </w:rPr>
              <w:t>“material”</w:t>
            </w:r>
            <w:r>
              <w:rPr>
                <w:spacing w:val="-10"/>
                <w:sz w:val="16"/>
              </w:rPr>
              <w:t> </w:t>
            </w:r>
            <w:r>
              <w:rPr>
                <w:sz w:val="16"/>
              </w:rPr>
              <w:t>de</w:t>
            </w:r>
            <w:r>
              <w:rPr>
                <w:spacing w:val="-9"/>
                <w:sz w:val="16"/>
              </w:rPr>
              <w:t> </w:t>
            </w:r>
            <w:r>
              <w:rPr>
                <w:sz w:val="16"/>
              </w:rPr>
              <w:t>forma</w:t>
            </w:r>
            <w:r>
              <w:rPr>
                <w:spacing w:val="-11"/>
                <w:sz w:val="16"/>
              </w:rPr>
              <w:t> </w:t>
            </w:r>
            <w:r>
              <w:rPr>
                <w:sz w:val="16"/>
              </w:rPr>
              <w:t>a</w:t>
            </w:r>
            <w:r>
              <w:rPr>
                <w:spacing w:val="-11"/>
                <w:sz w:val="16"/>
              </w:rPr>
              <w:t> </w:t>
            </w:r>
            <w:r>
              <w:rPr>
                <w:sz w:val="16"/>
              </w:rPr>
              <w:t>estabelecer</w:t>
            </w:r>
            <w:r>
              <w:rPr>
                <w:spacing w:val="-12"/>
                <w:sz w:val="16"/>
              </w:rPr>
              <w:t> </w:t>
            </w:r>
            <w:r>
              <w:rPr>
                <w:sz w:val="16"/>
              </w:rPr>
              <w:t>que</w:t>
            </w:r>
            <w:r>
              <w:rPr>
                <w:spacing w:val="-11"/>
                <w:sz w:val="16"/>
              </w:rPr>
              <w:t> </w:t>
            </w:r>
            <w:r>
              <w:rPr>
                <w:sz w:val="16"/>
              </w:rPr>
              <w:t>uma</w:t>
            </w:r>
            <w:r>
              <w:rPr>
                <w:spacing w:val="-11"/>
                <w:sz w:val="16"/>
              </w:rPr>
              <w:t> </w:t>
            </w:r>
            <w:r>
              <w:rPr>
                <w:sz w:val="16"/>
              </w:rPr>
              <w:t>informação</w:t>
            </w:r>
            <w:r>
              <w:rPr>
                <w:spacing w:val="-13"/>
                <w:sz w:val="16"/>
              </w:rPr>
              <w:t> </w:t>
            </w:r>
            <w:r>
              <w:rPr>
                <w:sz w:val="16"/>
              </w:rPr>
              <w:t>é material se sua omissão, distorção ou obscuridade puder influenciar razoavelmente</w:t>
            </w:r>
            <w:r>
              <w:rPr>
                <w:spacing w:val="-10"/>
                <w:sz w:val="16"/>
              </w:rPr>
              <w:t> </w:t>
            </w:r>
            <w:r>
              <w:rPr>
                <w:sz w:val="16"/>
              </w:rPr>
              <w:t>a</w:t>
            </w:r>
            <w:r>
              <w:rPr>
                <w:spacing w:val="-8"/>
                <w:sz w:val="16"/>
              </w:rPr>
              <w:t> </w:t>
            </w:r>
            <w:r>
              <w:rPr>
                <w:sz w:val="16"/>
              </w:rPr>
              <w:t>tomada</w:t>
            </w:r>
            <w:r>
              <w:rPr>
                <w:spacing w:val="-7"/>
                <w:sz w:val="16"/>
              </w:rPr>
              <w:t> </w:t>
            </w:r>
            <w:r>
              <w:rPr>
                <w:sz w:val="16"/>
              </w:rPr>
              <w:t>de</w:t>
            </w:r>
            <w:r>
              <w:rPr>
                <w:spacing w:val="-8"/>
                <w:sz w:val="16"/>
              </w:rPr>
              <w:t> </w:t>
            </w:r>
            <w:r>
              <w:rPr>
                <w:sz w:val="16"/>
              </w:rPr>
              <w:t>decisão</w:t>
            </w:r>
            <w:r>
              <w:rPr>
                <w:spacing w:val="-7"/>
                <w:sz w:val="16"/>
              </w:rPr>
              <w:t> </w:t>
            </w:r>
            <w:r>
              <w:rPr>
                <w:sz w:val="16"/>
              </w:rPr>
              <w:t>dos</w:t>
            </w:r>
            <w:r>
              <w:rPr>
                <w:spacing w:val="-8"/>
                <w:sz w:val="16"/>
              </w:rPr>
              <w:t> </w:t>
            </w:r>
            <w:r>
              <w:rPr>
                <w:sz w:val="16"/>
              </w:rPr>
              <w:t>usuários</w:t>
            </w:r>
            <w:r>
              <w:rPr>
                <w:spacing w:val="-8"/>
                <w:sz w:val="16"/>
              </w:rPr>
              <w:t> </w:t>
            </w:r>
            <w:r>
              <w:rPr>
                <w:sz w:val="16"/>
              </w:rPr>
              <w:t>primários</w:t>
            </w:r>
            <w:r>
              <w:rPr>
                <w:spacing w:val="-8"/>
                <w:sz w:val="16"/>
              </w:rPr>
              <w:t> </w:t>
            </w:r>
            <w:r>
              <w:rPr>
                <w:sz w:val="16"/>
              </w:rPr>
              <w:t>das</w:t>
            </w:r>
            <w:r>
              <w:rPr>
                <w:spacing w:val="-7"/>
                <w:sz w:val="16"/>
              </w:rPr>
              <w:t> </w:t>
            </w:r>
            <w:r>
              <w:rPr>
                <w:sz w:val="16"/>
              </w:rPr>
              <w:t>demonstrações contábeis.</w:t>
            </w:r>
            <w:r>
              <w:rPr>
                <w:spacing w:val="-38"/>
                <w:sz w:val="16"/>
              </w:rPr>
              <w:t> </w:t>
            </w:r>
            <w:r>
              <w:rPr>
                <w:sz w:val="16"/>
              </w:rPr>
              <w:t>Esta</w:t>
            </w:r>
            <w:r>
              <w:rPr>
                <w:spacing w:val="-37"/>
                <w:sz w:val="16"/>
              </w:rPr>
              <w:t> </w:t>
            </w:r>
            <w:r>
              <w:rPr>
                <w:sz w:val="16"/>
              </w:rPr>
              <w:t>atualização</w:t>
            </w:r>
            <w:r>
              <w:rPr>
                <w:spacing w:val="-36"/>
                <w:sz w:val="16"/>
              </w:rPr>
              <w:t> </w:t>
            </w:r>
            <w:r>
              <w:rPr>
                <w:sz w:val="16"/>
              </w:rPr>
              <w:t>promoveu</w:t>
            </w:r>
            <w:r>
              <w:rPr>
                <w:spacing w:val="-37"/>
                <w:sz w:val="16"/>
              </w:rPr>
              <w:t> </w:t>
            </w:r>
            <w:r>
              <w:rPr>
                <w:sz w:val="16"/>
              </w:rPr>
              <w:t>alterações</w:t>
            </w:r>
            <w:r>
              <w:rPr>
                <w:spacing w:val="-36"/>
                <w:sz w:val="16"/>
              </w:rPr>
              <w:t> </w:t>
            </w:r>
            <w:r>
              <w:rPr>
                <w:sz w:val="16"/>
              </w:rPr>
              <w:t>na</w:t>
            </w:r>
            <w:r>
              <w:rPr>
                <w:spacing w:val="-37"/>
                <w:sz w:val="16"/>
              </w:rPr>
              <w:t> </w:t>
            </w:r>
            <w:r>
              <w:rPr>
                <w:sz w:val="16"/>
              </w:rPr>
              <w:t>IAS</w:t>
            </w:r>
            <w:r>
              <w:rPr>
                <w:spacing w:val="-37"/>
                <w:sz w:val="16"/>
              </w:rPr>
              <w:t> </w:t>
            </w:r>
            <w:r>
              <w:rPr>
                <w:sz w:val="16"/>
              </w:rPr>
              <w:t>1</w:t>
            </w:r>
            <w:r>
              <w:rPr>
                <w:spacing w:val="-35"/>
                <w:sz w:val="16"/>
              </w:rPr>
              <w:t> </w:t>
            </w:r>
            <w:r>
              <w:rPr>
                <w:sz w:val="16"/>
              </w:rPr>
              <w:t>-</w:t>
            </w:r>
            <w:r>
              <w:rPr>
                <w:spacing w:val="-37"/>
                <w:sz w:val="16"/>
              </w:rPr>
              <w:t> </w:t>
            </w:r>
            <w:r>
              <w:rPr>
                <w:rFonts w:ascii="Caladea" w:hAnsi="Caladea"/>
                <w:i/>
                <w:sz w:val="16"/>
              </w:rPr>
              <w:t>Presentation</w:t>
            </w:r>
            <w:r>
              <w:rPr>
                <w:rFonts w:ascii="Caladea" w:hAnsi="Caladea"/>
                <w:i/>
                <w:spacing w:val="-24"/>
                <w:sz w:val="16"/>
              </w:rPr>
              <w:t> </w:t>
            </w:r>
            <w:r>
              <w:rPr>
                <w:rFonts w:ascii="Caladea" w:hAnsi="Caladea"/>
                <w:i/>
                <w:sz w:val="16"/>
              </w:rPr>
              <w:t>of</w:t>
            </w:r>
            <w:r>
              <w:rPr>
                <w:rFonts w:ascii="Caladea" w:hAnsi="Caladea"/>
                <w:i/>
                <w:spacing w:val="-23"/>
                <w:sz w:val="16"/>
              </w:rPr>
              <w:t> </w:t>
            </w:r>
            <w:r>
              <w:rPr>
                <w:rFonts w:ascii="Caladea" w:hAnsi="Caladea"/>
                <w:i/>
                <w:sz w:val="16"/>
              </w:rPr>
              <w:t>Financial </w:t>
            </w:r>
            <w:r>
              <w:rPr>
                <w:rFonts w:ascii="Caladea" w:hAnsi="Caladea"/>
                <w:i/>
                <w:sz w:val="16"/>
              </w:rPr>
              <w:t>Statements </w:t>
            </w:r>
            <w:r>
              <w:rPr>
                <w:sz w:val="16"/>
              </w:rPr>
              <w:t>e IAS 8 - </w:t>
            </w:r>
            <w:r>
              <w:rPr>
                <w:rFonts w:ascii="Caladea" w:hAnsi="Caladea"/>
                <w:i/>
                <w:sz w:val="16"/>
              </w:rPr>
              <w:t>Accounting Policies, Changes in Accounting Estimates and </w:t>
            </w:r>
            <w:r>
              <w:rPr>
                <w:rFonts w:ascii="Caladea" w:hAnsi="Caladea"/>
                <w:i/>
                <w:sz w:val="16"/>
              </w:rPr>
              <w:t>Errors</w:t>
            </w:r>
            <w:r>
              <w:rPr>
                <w:sz w:val="16"/>
              </w:rPr>
              <w:t>.</w:t>
            </w:r>
          </w:p>
        </w:tc>
        <w:tc>
          <w:tcPr>
            <w:tcW w:w="1764" w:type="dxa"/>
          </w:tcPr>
          <w:p>
            <w:pPr>
              <w:pStyle w:val="TableParagraph"/>
              <w:rPr>
                <w:sz w:val="18"/>
              </w:rPr>
            </w:pPr>
          </w:p>
          <w:p>
            <w:pPr>
              <w:pStyle w:val="TableParagraph"/>
              <w:spacing w:before="4"/>
              <w:rPr>
                <w:sz w:val="22"/>
              </w:rPr>
            </w:pPr>
          </w:p>
          <w:p>
            <w:pPr>
              <w:pStyle w:val="TableParagraph"/>
              <w:spacing w:line="244" w:lineRule="auto"/>
              <w:ind w:left="71" w:right="48"/>
              <w:rPr>
                <w:sz w:val="16"/>
              </w:rPr>
            </w:pPr>
            <w:r>
              <w:rPr>
                <w:sz w:val="16"/>
              </w:rPr>
              <w:t>1º de janeiro de 2020, aplicação prospectiva.</w:t>
            </w:r>
          </w:p>
        </w:tc>
      </w:tr>
      <w:tr>
        <w:trPr>
          <w:trHeight w:val="750" w:hRule="atLeast"/>
        </w:trPr>
        <w:tc>
          <w:tcPr>
            <w:tcW w:w="2494" w:type="dxa"/>
          </w:tcPr>
          <w:p>
            <w:pPr>
              <w:pStyle w:val="TableParagraph"/>
              <w:spacing w:before="3"/>
              <w:rPr>
                <w:sz w:val="24"/>
              </w:rPr>
            </w:pPr>
          </w:p>
          <w:p>
            <w:pPr>
              <w:pStyle w:val="TableParagraph"/>
              <w:ind w:left="72"/>
              <w:rPr>
                <w:rFonts w:ascii="Caladea" w:hAnsi="Caladea"/>
                <w:i/>
                <w:sz w:val="16"/>
              </w:rPr>
            </w:pPr>
            <w:r>
              <w:rPr>
                <w:rFonts w:ascii="Caladea" w:hAnsi="Caladea"/>
                <w:i/>
                <w:w w:val="110"/>
                <w:sz w:val="16"/>
              </w:rPr>
              <w:t>IFRS 17 </w:t>
            </w:r>
            <w:r>
              <w:rPr>
                <w:i/>
                <w:w w:val="110"/>
                <w:sz w:val="16"/>
              </w:rPr>
              <w:t>– </w:t>
            </w:r>
            <w:r>
              <w:rPr>
                <w:rFonts w:ascii="Caladea" w:hAnsi="Caladea"/>
                <w:i/>
                <w:w w:val="110"/>
                <w:sz w:val="16"/>
              </w:rPr>
              <w:t>Insurance Contracts</w:t>
            </w:r>
          </w:p>
        </w:tc>
        <w:tc>
          <w:tcPr>
            <w:tcW w:w="5733" w:type="dxa"/>
          </w:tcPr>
          <w:p>
            <w:pPr>
              <w:pStyle w:val="TableParagraph"/>
              <w:spacing w:line="242" w:lineRule="auto"/>
              <w:ind w:left="69" w:right="59"/>
              <w:jc w:val="both"/>
              <w:rPr>
                <w:sz w:val="16"/>
              </w:rPr>
            </w:pPr>
            <w:r>
              <w:rPr>
                <w:sz w:val="16"/>
              </w:rPr>
              <w:t>Esta</w:t>
            </w:r>
            <w:r>
              <w:rPr>
                <w:spacing w:val="-7"/>
                <w:sz w:val="16"/>
              </w:rPr>
              <w:t> </w:t>
            </w:r>
            <w:r>
              <w:rPr>
                <w:sz w:val="16"/>
              </w:rPr>
              <w:t>IFRS</w:t>
            </w:r>
            <w:r>
              <w:rPr>
                <w:spacing w:val="-7"/>
                <w:sz w:val="16"/>
              </w:rPr>
              <w:t> </w:t>
            </w:r>
            <w:r>
              <w:rPr>
                <w:sz w:val="16"/>
              </w:rPr>
              <w:t>substitui</w:t>
            </w:r>
            <w:r>
              <w:rPr>
                <w:spacing w:val="-6"/>
                <w:sz w:val="16"/>
              </w:rPr>
              <w:t> </w:t>
            </w:r>
            <w:r>
              <w:rPr>
                <w:sz w:val="16"/>
              </w:rPr>
              <w:t>a</w:t>
            </w:r>
            <w:r>
              <w:rPr>
                <w:spacing w:val="-6"/>
                <w:sz w:val="16"/>
              </w:rPr>
              <w:t> </w:t>
            </w:r>
            <w:r>
              <w:rPr>
                <w:sz w:val="16"/>
              </w:rPr>
              <w:t>IFRS</w:t>
            </w:r>
            <w:r>
              <w:rPr>
                <w:spacing w:val="-7"/>
                <w:sz w:val="16"/>
              </w:rPr>
              <w:t> </w:t>
            </w:r>
            <w:r>
              <w:rPr>
                <w:sz w:val="16"/>
              </w:rPr>
              <w:t>4</w:t>
            </w:r>
            <w:r>
              <w:rPr>
                <w:spacing w:val="-7"/>
                <w:sz w:val="16"/>
              </w:rPr>
              <w:t> </w:t>
            </w:r>
            <w:r>
              <w:rPr>
                <w:w w:val="105"/>
                <w:sz w:val="16"/>
              </w:rPr>
              <w:t>–</w:t>
            </w:r>
            <w:r>
              <w:rPr>
                <w:spacing w:val="-5"/>
                <w:w w:val="105"/>
                <w:sz w:val="16"/>
              </w:rPr>
              <w:t> </w:t>
            </w:r>
            <w:r>
              <w:rPr>
                <w:rFonts w:ascii="Caladea" w:hAnsi="Caladea"/>
                <w:i/>
                <w:sz w:val="16"/>
              </w:rPr>
              <w:t>Insurance</w:t>
            </w:r>
            <w:r>
              <w:rPr>
                <w:rFonts w:ascii="Caladea" w:hAnsi="Caladea"/>
                <w:i/>
                <w:spacing w:val="7"/>
                <w:sz w:val="16"/>
              </w:rPr>
              <w:t> </w:t>
            </w:r>
            <w:r>
              <w:rPr>
                <w:rFonts w:ascii="Caladea" w:hAnsi="Caladea"/>
                <w:i/>
                <w:sz w:val="16"/>
              </w:rPr>
              <w:t>Contracts</w:t>
            </w:r>
            <w:r>
              <w:rPr>
                <w:rFonts w:ascii="Caladea" w:hAnsi="Caladea"/>
                <w:i/>
                <w:spacing w:val="7"/>
                <w:sz w:val="16"/>
              </w:rPr>
              <w:t> </w:t>
            </w:r>
            <w:r>
              <w:rPr>
                <w:sz w:val="16"/>
              </w:rPr>
              <w:t>e</w:t>
            </w:r>
            <w:r>
              <w:rPr>
                <w:spacing w:val="-6"/>
                <w:sz w:val="16"/>
              </w:rPr>
              <w:t> </w:t>
            </w:r>
            <w:r>
              <w:rPr>
                <w:sz w:val="16"/>
              </w:rPr>
              <w:t>estabelece</w:t>
            </w:r>
            <w:r>
              <w:rPr>
                <w:spacing w:val="-6"/>
                <w:sz w:val="16"/>
              </w:rPr>
              <w:t> </w:t>
            </w:r>
            <w:r>
              <w:rPr>
                <w:sz w:val="16"/>
              </w:rPr>
              <w:t>os</w:t>
            </w:r>
            <w:r>
              <w:rPr>
                <w:spacing w:val="-6"/>
                <w:sz w:val="16"/>
              </w:rPr>
              <w:t> </w:t>
            </w:r>
            <w:r>
              <w:rPr>
                <w:sz w:val="16"/>
              </w:rPr>
              <w:t>requisitos</w:t>
            </w:r>
            <w:r>
              <w:rPr>
                <w:spacing w:val="-6"/>
                <w:sz w:val="16"/>
              </w:rPr>
              <w:t> </w:t>
            </w:r>
            <w:r>
              <w:rPr>
                <w:sz w:val="16"/>
              </w:rPr>
              <w:t>que devem</w:t>
            </w:r>
            <w:r>
              <w:rPr>
                <w:spacing w:val="-24"/>
                <w:sz w:val="16"/>
              </w:rPr>
              <w:t> </w:t>
            </w:r>
            <w:r>
              <w:rPr>
                <w:sz w:val="16"/>
              </w:rPr>
              <w:t>ser</w:t>
            </w:r>
            <w:r>
              <w:rPr>
                <w:spacing w:val="-24"/>
                <w:sz w:val="16"/>
              </w:rPr>
              <w:t> </w:t>
            </w:r>
            <w:r>
              <w:rPr>
                <w:sz w:val="16"/>
              </w:rPr>
              <w:t>aplicados</w:t>
            </w:r>
            <w:r>
              <w:rPr>
                <w:spacing w:val="-23"/>
                <w:sz w:val="16"/>
              </w:rPr>
              <w:t> </w:t>
            </w:r>
            <w:r>
              <w:rPr>
                <w:sz w:val="16"/>
              </w:rPr>
              <w:t>no</w:t>
            </w:r>
            <w:r>
              <w:rPr>
                <w:spacing w:val="-24"/>
                <w:sz w:val="16"/>
              </w:rPr>
              <w:t> </w:t>
            </w:r>
            <w:r>
              <w:rPr>
                <w:sz w:val="16"/>
              </w:rPr>
              <w:t>reconhecimento</w:t>
            </w:r>
            <w:r>
              <w:rPr>
                <w:spacing w:val="-23"/>
                <w:sz w:val="16"/>
              </w:rPr>
              <w:t> </w:t>
            </w:r>
            <w:r>
              <w:rPr>
                <w:sz w:val="16"/>
              </w:rPr>
              <w:t>e</w:t>
            </w:r>
            <w:r>
              <w:rPr>
                <w:spacing w:val="-23"/>
                <w:sz w:val="16"/>
              </w:rPr>
              <w:t> </w:t>
            </w:r>
            <w:r>
              <w:rPr>
                <w:sz w:val="16"/>
              </w:rPr>
              <w:t>divulgação</w:t>
            </w:r>
            <w:r>
              <w:rPr>
                <w:spacing w:val="-23"/>
                <w:sz w:val="16"/>
              </w:rPr>
              <w:t> </w:t>
            </w:r>
            <w:r>
              <w:rPr>
                <w:sz w:val="16"/>
              </w:rPr>
              <w:t>relacionados</w:t>
            </w:r>
            <w:r>
              <w:rPr>
                <w:spacing w:val="-24"/>
                <w:sz w:val="16"/>
              </w:rPr>
              <w:t> </w:t>
            </w:r>
            <w:r>
              <w:rPr>
                <w:sz w:val="16"/>
              </w:rPr>
              <w:t>aos</w:t>
            </w:r>
            <w:r>
              <w:rPr>
                <w:spacing w:val="-24"/>
                <w:sz w:val="16"/>
              </w:rPr>
              <w:t> </w:t>
            </w:r>
            <w:r>
              <w:rPr>
                <w:sz w:val="16"/>
              </w:rPr>
              <w:t>contratos de</w:t>
            </w:r>
            <w:r>
              <w:rPr>
                <w:spacing w:val="-13"/>
                <w:sz w:val="16"/>
              </w:rPr>
              <w:t> </w:t>
            </w:r>
            <w:r>
              <w:rPr>
                <w:sz w:val="16"/>
              </w:rPr>
              <w:t>seguro</w:t>
            </w:r>
            <w:r>
              <w:rPr>
                <w:spacing w:val="-15"/>
                <w:sz w:val="16"/>
              </w:rPr>
              <w:t> </w:t>
            </w:r>
            <w:r>
              <w:rPr>
                <w:sz w:val="16"/>
              </w:rPr>
              <w:t>e</w:t>
            </w:r>
            <w:r>
              <w:rPr>
                <w:spacing w:val="-12"/>
                <w:sz w:val="16"/>
              </w:rPr>
              <w:t> </w:t>
            </w:r>
            <w:r>
              <w:rPr>
                <w:sz w:val="16"/>
              </w:rPr>
              <w:t>de</w:t>
            </w:r>
            <w:r>
              <w:rPr>
                <w:spacing w:val="-13"/>
                <w:sz w:val="16"/>
              </w:rPr>
              <w:t> </w:t>
            </w:r>
            <w:r>
              <w:rPr>
                <w:sz w:val="16"/>
              </w:rPr>
              <w:t>resseguro.</w:t>
            </w:r>
          </w:p>
        </w:tc>
        <w:tc>
          <w:tcPr>
            <w:tcW w:w="1764" w:type="dxa"/>
          </w:tcPr>
          <w:p>
            <w:pPr>
              <w:pStyle w:val="TableParagraph"/>
              <w:spacing w:before="2"/>
              <w:rPr>
                <w:sz w:val="16"/>
              </w:rPr>
            </w:pPr>
          </w:p>
          <w:p>
            <w:pPr>
              <w:pStyle w:val="TableParagraph"/>
              <w:spacing w:line="244" w:lineRule="auto"/>
              <w:ind w:left="71" w:right="48"/>
              <w:rPr>
                <w:sz w:val="16"/>
              </w:rPr>
            </w:pPr>
            <w:r>
              <w:rPr>
                <w:sz w:val="16"/>
              </w:rPr>
              <w:t>1º de janeiro de 2021, aplicação prospectiva.</w:t>
            </w:r>
          </w:p>
        </w:tc>
      </w:tr>
    </w:tbl>
    <w:p>
      <w:pPr>
        <w:pStyle w:val="BodyText"/>
        <w:spacing w:line="242" w:lineRule="auto" w:before="103"/>
        <w:ind w:left="192" w:right="608"/>
        <w:jc w:val="both"/>
      </w:pPr>
      <w:r>
        <w:rPr/>
        <w:t>O</w:t>
      </w:r>
      <w:r>
        <w:rPr>
          <w:spacing w:val="-43"/>
        </w:rPr>
        <w:t> </w:t>
      </w:r>
      <w:r>
        <w:rPr/>
        <w:t>CPC</w:t>
      </w:r>
      <w:r>
        <w:rPr>
          <w:spacing w:val="-42"/>
        </w:rPr>
        <w:t> </w:t>
      </w:r>
      <w:r>
        <w:rPr/>
        <w:t>emite</w:t>
      </w:r>
      <w:r>
        <w:rPr>
          <w:spacing w:val="-42"/>
        </w:rPr>
        <w:t> </w:t>
      </w:r>
      <w:r>
        <w:rPr/>
        <w:t>pronunciamentos</w:t>
      </w:r>
      <w:r>
        <w:rPr>
          <w:spacing w:val="-42"/>
        </w:rPr>
        <w:t> </w:t>
      </w:r>
      <w:r>
        <w:rPr/>
        <w:t>e</w:t>
      </w:r>
      <w:r>
        <w:rPr>
          <w:spacing w:val="-42"/>
        </w:rPr>
        <w:t> </w:t>
      </w:r>
      <w:r>
        <w:rPr/>
        <w:t>intepretações</w:t>
      </w:r>
      <w:r>
        <w:rPr>
          <w:spacing w:val="-42"/>
        </w:rPr>
        <w:t> </w:t>
      </w:r>
      <w:r>
        <w:rPr/>
        <w:t>tidos</w:t>
      </w:r>
      <w:r>
        <w:rPr>
          <w:spacing w:val="-42"/>
        </w:rPr>
        <w:t> </w:t>
      </w:r>
      <w:r>
        <w:rPr/>
        <w:t>como</w:t>
      </w:r>
      <w:r>
        <w:rPr>
          <w:spacing w:val="-43"/>
        </w:rPr>
        <w:t> </w:t>
      </w:r>
      <w:r>
        <w:rPr/>
        <w:t>análogos</w:t>
      </w:r>
      <w:r>
        <w:rPr>
          <w:spacing w:val="-43"/>
        </w:rPr>
        <w:t> </w:t>
      </w:r>
      <w:r>
        <w:rPr/>
        <w:t>às</w:t>
      </w:r>
      <w:r>
        <w:rPr>
          <w:spacing w:val="-42"/>
        </w:rPr>
        <w:t> </w:t>
      </w:r>
      <w:r>
        <w:rPr/>
        <w:t>IFRS,</w:t>
      </w:r>
      <w:r>
        <w:rPr>
          <w:spacing w:val="-42"/>
        </w:rPr>
        <w:t> </w:t>
      </w:r>
      <w:r>
        <w:rPr/>
        <w:t>tal</w:t>
      </w:r>
      <w:r>
        <w:rPr>
          <w:spacing w:val="-42"/>
        </w:rPr>
        <w:t> </w:t>
      </w:r>
      <w:r>
        <w:rPr/>
        <w:t>como</w:t>
      </w:r>
      <w:r>
        <w:rPr>
          <w:spacing w:val="-42"/>
        </w:rPr>
        <w:t> </w:t>
      </w:r>
      <w:r>
        <w:rPr/>
        <w:t>emitidas</w:t>
      </w:r>
      <w:r>
        <w:rPr>
          <w:spacing w:val="-42"/>
        </w:rPr>
        <w:t> </w:t>
      </w:r>
      <w:r>
        <w:rPr/>
        <w:t>pelo</w:t>
      </w:r>
      <w:r>
        <w:rPr>
          <w:spacing w:val="-43"/>
        </w:rPr>
        <w:t> </w:t>
      </w:r>
      <w:r>
        <w:rPr/>
        <w:t>IASB.</w:t>
      </w:r>
      <w:r>
        <w:rPr>
          <w:spacing w:val="-43"/>
        </w:rPr>
        <w:t> </w:t>
      </w:r>
      <w:r>
        <w:rPr/>
        <w:t>A</w:t>
      </w:r>
      <w:r>
        <w:rPr>
          <w:spacing w:val="-41"/>
        </w:rPr>
        <w:t> </w:t>
      </w:r>
      <w:r>
        <w:rPr/>
        <w:t>seguir</w:t>
      </w:r>
      <w:r>
        <w:rPr>
          <w:spacing w:val="-42"/>
        </w:rPr>
        <w:t> </w:t>
      </w:r>
      <w:r>
        <w:rPr/>
        <w:t>está apresentado</w:t>
      </w:r>
      <w:r>
        <w:rPr>
          <w:spacing w:val="-17"/>
        </w:rPr>
        <w:t> </w:t>
      </w:r>
      <w:r>
        <w:rPr/>
        <w:t>o</w:t>
      </w:r>
      <w:r>
        <w:rPr>
          <w:spacing w:val="-18"/>
        </w:rPr>
        <w:t> </w:t>
      </w:r>
      <w:r>
        <w:rPr/>
        <w:t>normativo</w:t>
      </w:r>
      <w:r>
        <w:rPr>
          <w:spacing w:val="-18"/>
        </w:rPr>
        <w:t> </w:t>
      </w:r>
      <w:r>
        <w:rPr/>
        <w:t>emitido</w:t>
      </w:r>
      <w:r>
        <w:rPr>
          <w:spacing w:val="-16"/>
        </w:rPr>
        <w:t> </w:t>
      </w:r>
      <w:r>
        <w:rPr/>
        <w:t>pelo</w:t>
      </w:r>
      <w:r>
        <w:rPr>
          <w:spacing w:val="-18"/>
        </w:rPr>
        <w:t> </w:t>
      </w:r>
      <w:r>
        <w:rPr/>
        <w:t>CPC</w:t>
      </w:r>
      <w:r>
        <w:rPr>
          <w:spacing w:val="-16"/>
        </w:rPr>
        <w:t> </w:t>
      </w:r>
      <w:r>
        <w:rPr/>
        <w:t>que</w:t>
      </w:r>
      <w:r>
        <w:rPr>
          <w:spacing w:val="-19"/>
        </w:rPr>
        <w:t> </w:t>
      </w:r>
      <w:r>
        <w:rPr/>
        <w:t>ainda</w:t>
      </w:r>
      <w:r>
        <w:rPr>
          <w:spacing w:val="-15"/>
        </w:rPr>
        <w:t> </w:t>
      </w:r>
      <w:r>
        <w:rPr/>
        <w:t>não</w:t>
      </w:r>
      <w:r>
        <w:rPr>
          <w:spacing w:val="-18"/>
        </w:rPr>
        <w:t> </w:t>
      </w:r>
      <w:r>
        <w:rPr/>
        <w:t>entrou</w:t>
      </w:r>
      <w:r>
        <w:rPr>
          <w:spacing w:val="-18"/>
        </w:rPr>
        <w:t> </w:t>
      </w:r>
      <w:r>
        <w:rPr/>
        <w:t>em</w:t>
      </w:r>
      <w:r>
        <w:rPr>
          <w:spacing w:val="-18"/>
        </w:rPr>
        <w:t> </w:t>
      </w:r>
      <w:r>
        <w:rPr/>
        <w:t>vigor</w:t>
      </w:r>
      <w:r>
        <w:rPr>
          <w:spacing w:val="-18"/>
        </w:rPr>
        <w:t> </w:t>
      </w:r>
      <w:r>
        <w:rPr/>
        <w:t>e</w:t>
      </w:r>
      <w:r>
        <w:rPr>
          <w:spacing w:val="-17"/>
        </w:rPr>
        <w:t> </w:t>
      </w:r>
      <w:r>
        <w:rPr/>
        <w:t>não</w:t>
      </w:r>
      <w:r>
        <w:rPr>
          <w:spacing w:val="-18"/>
        </w:rPr>
        <w:t> </w:t>
      </w:r>
      <w:r>
        <w:rPr/>
        <w:t>teve</w:t>
      </w:r>
      <w:r>
        <w:rPr>
          <w:spacing w:val="-18"/>
        </w:rPr>
        <w:t> </w:t>
      </w:r>
      <w:r>
        <w:rPr/>
        <w:t>sua</w:t>
      </w:r>
      <w:r>
        <w:rPr>
          <w:spacing w:val="-17"/>
        </w:rPr>
        <w:t> </w:t>
      </w:r>
      <w:r>
        <w:rPr/>
        <w:t>adoção</w:t>
      </w:r>
      <w:r>
        <w:rPr>
          <w:spacing w:val="-18"/>
        </w:rPr>
        <w:t> </w:t>
      </w:r>
      <w:r>
        <w:rPr/>
        <w:t>antecipada</w:t>
      </w:r>
      <w:r>
        <w:rPr>
          <w:spacing w:val="-15"/>
        </w:rPr>
        <w:t> </w:t>
      </w:r>
      <w:r>
        <w:rPr/>
        <w:t>pela companhia</w:t>
      </w:r>
      <w:r>
        <w:rPr>
          <w:spacing w:val="-19"/>
        </w:rPr>
        <w:t> </w:t>
      </w:r>
      <w:r>
        <w:rPr/>
        <w:t>até</w:t>
      </w:r>
      <w:r>
        <w:rPr>
          <w:spacing w:val="-21"/>
        </w:rPr>
        <w:t> </w:t>
      </w:r>
      <w:r>
        <w:rPr/>
        <w:t>31</w:t>
      </w:r>
      <w:r>
        <w:rPr>
          <w:spacing w:val="-17"/>
        </w:rPr>
        <w:t> </w:t>
      </w:r>
      <w:r>
        <w:rPr/>
        <w:t>de</w:t>
      </w:r>
      <w:r>
        <w:rPr>
          <w:spacing w:val="-19"/>
        </w:rPr>
        <w:t> </w:t>
      </w:r>
      <w:r>
        <w:rPr/>
        <w:t>dezembro</w:t>
      </w:r>
      <w:r>
        <w:rPr>
          <w:spacing w:val="-17"/>
        </w:rPr>
        <w:t> </w:t>
      </w:r>
      <w:r>
        <w:rPr/>
        <w:t>de</w:t>
      </w:r>
      <w:r>
        <w:rPr>
          <w:spacing w:val="-21"/>
        </w:rPr>
        <w:t> </w:t>
      </w:r>
      <w:r>
        <w:rPr/>
        <w:t>2019,</w:t>
      </w:r>
      <w:r>
        <w:rPr>
          <w:spacing w:val="-17"/>
        </w:rPr>
        <w:t> </w:t>
      </w:r>
      <w:r>
        <w:rPr/>
        <w:t>bem</w:t>
      </w:r>
      <w:r>
        <w:rPr>
          <w:spacing w:val="-20"/>
        </w:rPr>
        <w:t> </w:t>
      </w:r>
      <w:r>
        <w:rPr/>
        <w:t>como</w:t>
      </w:r>
      <w:r>
        <w:rPr>
          <w:spacing w:val="-18"/>
        </w:rPr>
        <w:t> </w:t>
      </w:r>
      <w:r>
        <w:rPr/>
        <w:t>os</w:t>
      </w:r>
      <w:r>
        <w:rPr>
          <w:spacing w:val="-19"/>
        </w:rPr>
        <w:t> </w:t>
      </w:r>
      <w:r>
        <w:rPr/>
        <w:t>IFRS</w:t>
      </w:r>
      <w:r>
        <w:rPr>
          <w:spacing w:val="-20"/>
        </w:rPr>
        <w:t> </w:t>
      </w:r>
      <w:r>
        <w:rPr/>
        <w:t>equivalentes:</w:t>
      </w:r>
    </w:p>
    <w:p>
      <w:pPr>
        <w:pStyle w:val="BodyText"/>
        <w:spacing w:before="6"/>
        <w:rPr>
          <w:sz w:val="28"/>
        </w:rPr>
      </w:pPr>
    </w:p>
    <w:tbl>
      <w:tblPr>
        <w:tblW w:w="0" w:type="auto"/>
        <w:jc w:val="left"/>
        <w:tblInd w:w="20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3236"/>
        <w:gridCol w:w="5305"/>
        <w:gridCol w:w="1474"/>
      </w:tblGrid>
      <w:tr>
        <w:trPr>
          <w:trHeight w:val="292" w:hRule="atLeast"/>
        </w:trPr>
        <w:tc>
          <w:tcPr>
            <w:tcW w:w="3236" w:type="dxa"/>
            <w:shd w:val="clear" w:color="auto" w:fill="D9D9D9"/>
          </w:tcPr>
          <w:p>
            <w:pPr>
              <w:pStyle w:val="TableParagraph"/>
              <w:spacing w:before="52"/>
              <w:ind w:left="72"/>
              <w:rPr>
                <w:rFonts w:ascii="Caladea" w:hAnsi="Caladea"/>
                <w:b/>
                <w:sz w:val="16"/>
              </w:rPr>
            </w:pPr>
            <w:r>
              <w:rPr>
                <w:rFonts w:ascii="Caladea" w:hAnsi="Caladea"/>
                <w:b/>
                <w:sz w:val="16"/>
              </w:rPr>
              <w:t>Pronunciamento ou interpretação do CPC</w:t>
            </w:r>
          </w:p>
        </w:tc>
        <w:tc>
          <w:tcPr>
            <w:tcW w:w="5305" w:type="dxa"/>
            <w:shd w:val="clear" w:color="auto" w:fill="D9D9D9"/>
          </w:tcPr>
          <w:p>
            <w:pPr>
              <w:pStyle w:val="TableParagraph"/>
              <w:spacing w:before="52"/>
              <w:ind w:left="71"/>
              <w:rPr>
                <w:rFonts w:ascii="Caladea"/>
                <w:b/>
                <w:sz w:val="16"/>
              </w:rPr>
            </w:pPr>
            <w:r>
              <w:rPr>
                <w:rFonts w:ascii="Caladea"/>
                <w:b/>
                <w:sz w:val="16"/>
              </w:rPr>
              <w:t>IFRS equivalente</w:t>
            </w:r>
          </w:p>
        </w:tc>
        <w:tc>
          <w:tcPr>
            <w:tcW w:w="1474" w:type="dxa"/>
            <w:shd w:val="clear" w:color="auto" w:fill="D9D9D9"/>
          </w:tcPr>
          <w:p>
            <w:pPr>
              <w:pStyle w:val="TableParagraph"/>
              <w:spacing w:before="52"/>
              <w:ind w:left="72"/>
              <w:rPr>
                <w:rFonts w:ascii="Caladea" w:hAnsi="Caladea"/>
                <w:b/>
                <w:sz w:val="16"/>
              </w:rPr>
            </w:pPr>
            <w:r>
              <w:rPr>
                <w:rFonts w:ascii="Caladea" w:hAnsi="Caladea"/>
                <w:b/>
                <w:sz w:val="16"/>
              </w:rPr>
              <w:t>Data Vigência</w:t>
            </w:r>
          </w:p>
        </w:tc>
      </w:tr>
      <w:tr>
        <w:trPr>
          <w:trHeight w:val="563" w:hRule="atLeast"/>
        </w:trPr>
        <w:tc>
          <w:tcPr>
            <w:tcW w:w="3236" w:type="dxa"/>
          </w:tcPr>
          <w:p>
            <w:pPr>
              <w:pStyle w:val="TableParagraph"/>
              <w:spacing w:before="94"/>
              <w:ind w:left="72" w:right="7"/>
              <w:rPr>
                <w:sz w:val="16"/>
              </w:rPr>
            </w:pPr>
            <w:r>
              <w:rPr>
                <w:w w:val="107"/>
                <w:sz w:val="16"/>
              </w:rPr>
              <w:t>R</w:t>
            </w:r>
            <w:r>
              <w:rPr>
                <w:w w:val="89"/>
                <w:sz w:val="16"/>
              </w:rPr>
              <w:t>e</w:t>
            </w:r>
            <w:r>
              <w:rPr>
                <w:spacing w:val="-2"/>
                <w:w w:val="103"/>
                <w:sz w:val="16"/>
              </w:rPr>
              <w:t>v</w:t>
            </w:r>
            <w:r>
              <w:rPr>
                <w:w w:val="97"/>
                <w:sz w:val="16"/>
              </w:rPr>
              <w:t>i</w:t>
            </w:r>
            <w:r>
              <w:rPr>
                <w:spacing w:val="-2"/>
                <w:w w:val="106"/>
                <w:sz w:val="16"/>
              </w:rPr>
              <w:t>s</w:t>
            </w:r>
            <w:r>
              <w:rPr>
                <w:w w:val="93"/>
                <w:sz w:val="16"/>
              </w:rPr>
              <w:t>ã</w:t>
            </w:r>
            <w:r>
              <w:rPr>
                <w:w w:val="99"/>
                <w:sz w:val="16"/>
              </w:rPr>
              <w:t>o</w:t>
            </w:r>
            <w:r>
              <w:rPr>
                <w:sz w:val="16"/>
              </w:rPr>
              <w:t>  </w:t>
            </w:r>
            <w:r>
              <w:rPr>
                <w:w w:val="95"/>
                <w:sz w:val="16"/>
              </w:rPr>
              <w:t>de</w:t>
            </w:r>
            <w:r>
              <w:rPr>
                <w:sz w:val="16"/>
              </w:rPr>
              <w:t> </w:t>
            </w:r>
            <w:r>
              <w:rPr>
                <w:w w:val="104"/>
                <w:sz w:val="16"/>
              </w:rPr>
              <w:t>P</w:t>
            </w:r>
            <w:r>
              <w:rPr>
                <w:spacing w:val="-2"/>
                <w:w w:val="104"/>
                <w:sz w:val="16"/>
              </w:rPr>
              <w:t>r</w:t>
            </w:r>
            <w:r>
              <w:rPr>
                <w:w w:val="99"/>
                <w:sz w:val="16"/>
              </w:rPr>
              <w:t>o</w:t>
            </w:r>
            <w:r>
              <w:rPr>
                <w:spacing w:val="-1"/>
                <w:w w:val="102"/>
                <w:sz w:val="16"/>
              </w:rPr>
              <w:t>n</w:t>
            </w:r>
            <w:r>
              <w:rPr>
                <w:spacing w:val="-1"/>
                <w:w w:val="102"/>
                <w:sz w:val="16"/>
              </w:rPr>
              <w:t>un</w:t>
            </w:r>
            <w:r>
              <w:rPr>
                <w:spacing w:val="-2"/>
                <w:w w:val="89"/>
                <w:sz w:val="16"/>
              </w:rPr>
              <w:t>c</w:t>
            </w:r>
            <w:r>
              <w:rPr>
                <w:w w:val="97"/>
                <w:sz w:val="16"/>
              </w:rPr>
              <w:t>i</w:t>
            </w:r>
            <w:r>
              <w:rPr>
                <w:spacing w:val="-2"/>
                <w:w w:val="93"/>
                <w:sz w:val="16"/>
              </w:rPr>
              <w:t>a</w:t>
            </w:r>
            <w:r>
              <w:rPr>
                <w:w w:val="100"/>
                <w:sz w:val="16"/>
              </w:rPr>
              <w:t>m</w:t>
            </w:r>
            <w:r>
              <w:rPr>
                <w:w w:val="89"/>
                <w:sz w:val="16"/>
              </w:rPr>
              <w:t>e</w:t>
            </w:r>
            <w:r>
              <w:rPr>
                <w:spacing w:val="-4"/>
                <w:w w:val="102"/>
                <w:sz w:val="16"/>
              </w:rPr>
              <w:t>n</w:t>
            </w:r>
            <w:r>
              <w:rPr>
                <w:w w:val="85"/>
                <w:sz w:val="16"/>
              </w:rPr>
              <w:t>t</w:t>
            </w:r>
            <w:r>
              <w:rPr>
                <w:w w:val="99"/>
                <w:sz w:val="16"/>
              </w:rPr>
              <w:t>o</w:t>
            </w:r>
            <w:r>
              <w:rPr>
                <w:w w:val="106"/>
                <w:sz w:val="16"/>
              </w:rPr>
              <w:t>s</w:t>
            </w:r>
            <w:r>
              <w:rPr>
                <w:sz w:val="16"/>
              </w:rPr>
              <w:t>  </w:t>
            </w:r>
            <w:r>
              <w:rPr>
                <w:spacing w:val="-2"/>
                <w:w w:val="102"/>
                <w:sz w:val="16"/>
              </w:rPr>
              <w:t>T</w:t>
            </w:r>
            <w:r>
              <w:rPr>
                <w:spacing w:val="-2"/>
                <w:w w:val="89"/>
                <w:sz w:val="16"/>
              </w:rPr>
              <w:t>é</w:t>
            </w:r>
            <w:r>
              <w:rPr>
                <w:spacing w:val="-2"/>
                <w:w w:val="89"/>
                <w:sz w:val="16"/>
              </w:rPr>
              <w:t>c</w:t>
            </w:r>
            <w:r>
              <w:rPr>
                <w:spacing w:val="-1"/>
                <w:w w:val="102"/>
                <w:sz w:val="16"/>
              </w:rPr>
              <w:t>n</w:t>
            </w:r>
            <w:r>
              <w:rPr>
                <w:w w:val="97"/>
                <w:sz w:val="16"/>
              </w:rPr>
              <w:t>i</w:t>
            </w:r>
            <w:r>
              <w:rPr>
                <w:w w:val="89"/>
                <w:sz w:val="16"/>
              </w:rPr>
              <w:t>c</w:t>
            </w:r>
            <w:r>
              <w:rPr>
                <w:spacing w:val="-2"/>
                <w:w w:val="99"/>
                <w:sz w:val="16"/>
              </w:rPr>
              <w:t>o</w:t>
            </w:r>
            <w:r>
              <w:rPr>
                <w:w w:val="106"/>
                <w:sz w:val="16"/>
              </w:rPr>
              <w:t>s</w:t>
            </w:r>
            <w:r>
              <w:rPr>
                <w:sz w:val="16"/>
              </w:rPr>
              <w:t>  </w:t>
            </w:r>
            <w:r>
              <w:rPr>
                <w:spacing w:val="-2"/>
                <w:w w:val="136"/>
                <w:sz w:val="16"/>
              </w:rPr>
              <w:t>–</w:t>
            </w:r>
            <w:r>
              <w:rPr>
                <w:w w:val="107"/>
                <w:sz w:val="16"/>
              </w:rPr>
              <w:t>N</w:t>
            </w:r>
            <w:r>
              <w:rPr>
                <w:w w:val="56"/>
                <w:sz w:val="16"/>
              </w:rPr>
              <w:t>.</w:t>
            </w:r>
            <w:r>
              <w:rPr>
                <w:w w:val="117"/>
                <w:sz w:val="16"/>
              </w:rPr>
              <w:t>º </w:t>
            </w:r>
            <w:r>
              <w:rPr>
                <w:sz w:val="16"/>
              </w:rPr>
              <w:t>14/2019</w:t>
            </w:r>
          </w:p>
        </w:tc>
        <w:tc>
          <w:tcPr>
            <w:tcW w:w="5305" w:type="dxa"/>
          </w:tcPr>
          <w:p>
            <w:pPr>
              <w:pStyle w:val="TableParagraph"/>
              <w:ind w:left="71" w:right="1725"/>
              <w:rPr>
                <w:rFonts w:ascii="Caladea" w:hAnsi="Caladea"/>
                <w:i/>
                <w:sz w:val="16"/>
              </w:rPr>
            </w:pPr>
            <w:r>
              <w:rPr>
                <w:rFonts w:ascii="Caladea" w:hAnsi="Caladea"/>
                <w:i/>
                <w:w w:val="105"/>
                <w:sz w:val="16"/>
              </w:rPr>
              <w:t>Definition of a Business </w:t>
            </w:r>
            <w:r>
              <w:rPr>
                <w:i/>
                <w:w w:val="105"/>
                <w:sz w:val="16"/>
              </w:rPr>
              <w:t>– </w:t>
            </w:r>
            <w:r>
              <w:rPr>
                <w:rFonts w:ascii="Caladea" w:hAnsi="Caladea"/>
                <w:i/>
                <w:w w:val="105"/>
                <w:sz w:val="16"/>
              </w:rPr>
              <w:t>Amendments to IFRS 3 </w:t>
            </w:r>
            <w:r>
              <w:rPr>
                <w:rFonts w:ascii="Caladea" w:hAnsi="Caladea"/>
                <w:i/>
                <w:w w:val="105"/>
                <w:sz w:val="16"/>
              </w:rPr>
              <w:t>Definition</w:t>
            </w:r>
            <w:r>
              <w:rPr>
                <w:rFonts w:ascii="Caladea" w:hAnsi="Caladea"/>
                <w:i/>
                <w:spacing w:val="-16"/>
                <w:w w:val="105"/>
                <w:sz w:val="16"/>
              </w:rPr>
              <w:t> </w:t>
            </w:r>
            <w:r>
              <w:rPr>
                <w:rFonts w:ascii="Caladea" w:hAnsi="Caladea"/>
                <w:i/>
                <w:w w:val="105"/>
                <w:sz w:val="16"/>
              </w:rPr>
              <w:t>of</w:t>
            </w:r>
            <w:r>
              <w:rPr>
                <w:rFonts w:ascii="Caladea" w:hAnsi="Caladea"/>
                <w:i/>
                <w:spacing w:val="-16"/>
                <w:w w:val="105"/>
                <w:sz w:val="16"/>
              </w:rPr>
              <w:t> </w:t>
            </w:r>
            <w:r>
              <w:rPr>
                <w:rFonts w:ascii="Caladea" w:hAnsi="Caladea"/>
                <w:i/>
                <w:w w:val="105"/>
                <w:sz w:val="16"/>
              </w:rPr>
              <w:t>Material</w:t>
            </w:r>
            <w:r>
              <w:rPr>
                <w:rFonts w:ascii="Caladea" w:hAnsi="Caladea"/>
                <w:i/>
                <w:spacing w:val="-15"/>
                <w:w w:val="105"/>
                <w:sz w:val="16"/>
              </w:rPr>
              <w:t> </w:t>
            </w:r>
            <w:r>
              <w:rPr>
                <w:i/>
                <w:w w:val="105"/>
                <w:sz w:val="16"/>
              </w:rPr>
              <w:t>–</w:t>
            </w:r>
            <w:r>
              <w:rPr>
                <w:i/>
                <w:spacing w:val="-30"/>
                <w:w w:val="105"/>
                <w:sz w:val="16"/>
              </w:rPr>
              <w:t> </w:t>
            </w:r>
            <w:r>
              <w:rPr>
                <w:rFonts w:ascii="Caladea" w:hAnsi="Caladea"/>
                <w:i/>
                <w:w w:val="105"/>
                <w:sz w:val="16"/>
              </w:rPr>
              <w:t>Amendments</w:t>
            </w:r>
            <w:r>
              <w:rPr>
                <w:rFonts w:ascii="Caladea" w:hAnsi="Caladea"/>
                <w:i/>
                <w:spacing w:val="-17"/>
                <w:w w:val="105"/>
                <w:sz w:val="16"/>
              </w:rPr>
              <w:t> </w:t>
            </w:r>
            <w:r>
              <w:rPr>
                <w:rFonts w:ascii="Caladea" w:hAnsi="Caladea"/>
                <w:i/>
                <w:w w:val="105"/>
                <w:sz w:val="16"/>
              </w:rPr>
              <w:t>to</w:t>
            </w:r>
            <w:r>
              <w:rPr>
                <w:rFonts w:ascii="Caladea" w:hAnsi="Caladea"/>
                <w:i/>
                <w:spacing w:val="-15"/>
                <w:w w:val="105"/>
                <w:sz w:val="16"/>
              </w:rPr>
              <w:t> </w:t>
            </w:r>
            <w:r>
              <w:rPr>
                <w:rFonts w:ascii="Caladea" w:hAnsi="Caladea"/>
                <w:i/>
                <w:w w:val="105"/>
                <w:sz w:val="16"/>
              </w:rPr>
              <w:t>IAS</w:t>
            </w:r>
            <w:r>
              <w:rPr>
                <w:rFonts w:ascii="Caladea" w:hAnsi="Caladea"/>
                <w:i/>
                <w:spacing w:val="-16"/>
                <w:w w:val="105"/>
                <w:sz w:val="16"/>
              </w:rPr>
              <w:t> </w:t>
            </w:r>
            <w:r>
              <w:rPr>
                <w:rFonts w:ascii="Caladea" w:hAnsi="Caladea"/>
                <w:i/>
                <w:w w:val="105"/>
                <w:sz w:val="16"/>
              </w:rPr>
              <w:t>1</w:t>
            </w:r>
            <w:r>
              <w:rPr>
                <w:rFonts w:ascii="Caladea" w:hAnsi="Caladea"/>
                <w:i/>
                <w:spacing w:val="-17"/>
                <w:w w:val="105"/>
                <w:sz w:val="16"/>
              </w:rPr>
              <w:t> </w:t>
            </w:r>
            <w:r>
              <w:rPr>
                <w:rFonts w:ascii="Caladea" w:hAnsi="Caladea"/>
                <w:i/>
                <w:w w:val="105"/>
                <w:sz w:val="16"/>
              </w:rPr>
              <w:t>e</w:t>
            </w:r>
            <w:r>
              <w:rPr>
                <w:rFonts w:ascii="Caladea" w:hAnsi="Caladea"/>
                <w:i/>
                <w:spacing w:val="-15"/>
                <w:w w:val="105"/>
                <w:sz w:val="16"/>
              </w:rPr>
              <w:t> </w:t>
            </w:r>
            <w:r>
              <w:rPr>
                <w:rFonts w:ascii="Caladea" w:hAnsi="Caladea"/>
                <w:i/>
                <w:w w:val="105"/>
                <w:sz w:val="16"/>
              </w:rPr>
              <w:t>IAS</w:t>
            </w:r>
            <w:r>
              <w:rPr>
                <w:rFonts w:ascii="Caladea" w:hAnsi="Caladea"/>
                <w:i/>
                <w:spacing w:val="-16"/>
                <w:w w:val="105"/>
                <w:sz w:val="16"/>
              </w:rPr>
              <w:t> </w:t>
            </w:r>
            <w:r>
              <w:rPr>
                <w:rFonts w:ascii="Caladea" w:hAnsi="Caladea"/>
                <w:i/>
                <w:w w:val="105"/>
                <w:sz w:val="16"/>
              </w:rPr>
              <w:t>8</w:t>
            </w:r>
          </w:p>
        </w:tc>
        <w:tc>
          <w:tcPr>
            <w:tcW w:w="1474" w:type="dxa"/>
          </w:tcPr>
          <w:p>
            <w:pPr>
              <w:pStyle w:val="TableParagraph"/>
              <w:spacing w:before="94"/>
              <w:ind w:left="559" w:right="96" w:hanging="363"/>
              <w:rPr>
                <w:sz w:val="16"/>
              </w:rPr>
            </w:pPr>
            <w:r>
              <w:rPr>
                <w:sz w:val="16"/>
              </w:rPr>
              <w:t>1º de janeiro de 2020</w:t>
            </w:r>
          </w:p>
        </w:tc>
      </w:tr>
    </w:tbl>
    <w:p>
      <w:pPr>
        <w:pStyle w:val="BodyText"/>
        <w:spacing w:before="9"/>
      </w:pPr>
    </w:p>
    <w:p>
      <w:pPr>
        <w:pStyle w:val="ListParagraph"/>
        <w:numPr>
          <w:ilvl w:val="2"/>
          <w:numId w:val="16"/>
        </w:numPr>
        <w:tabs>
          <w:tab w:pos="1046" w:val="left" w:leader="none"/>
        </w:tabs>
        <w:spacing w:line="273" w:lineRule="auto" w:before="1" w:after="0"/>
        <w:ind w:left="1045" w:right="610" w:hanging="853"/>
        <w:jc w:val="left"/>
        <w:rPr>
          <w:rFonts w:ascii="Caladea" w:hAnsi="Caladea"/>
          <w:b/>
          <w:sz w:val="22"/>
        </w:rPr>
      </w:pPr>
      <w:r>
        <w:rPr>
          <w:rFonts w:ascii="Times New Roman" w:hAnsi="Times New Roman"/>
          <w:b/>
          <w:i/>
          <w:sz w:val="22"/>
        </w:rPr>
        <w:t>Conceptual Framework </w:t>
      </w:r>
      <w:r>
        <w:rPr>
          <w:rFonts w:ascii="Caladea" w:hAnsi="Caladea"/>
          <w:b/>
          <w:sz w:val="22"/>
        </w:rPr>
        <w:t>/ Pronunciamento Técnico CPC 00 (Estrutura Conceitual para Relatório</w:t>
      </w:r>
      <w:r>
        <w:rPr>
          <w:rFonts w:ascii="Caladea" w:hAnsi="Caladea"/>
          <w:b/>
          <w:spacing w:val="-3"/>
          <w:sz w:val="22"/>
        </w:rPr>
        <w:t> </w:t>
      </w:r>
      <w:r>
        <w:rPr>
          <w:rFonts w:ascii="Caladea" w:hAnsi="Caladea"/>
          <w:b/>
          <w:sz w:val="22"/>
        </w:rPr>
        <w:t>Financeiro)</w:t>
      </w:r>
    </w:p>
    <w:p>
      <w:pPr>
        <w:pStyle w:val="BodyText"/>
        <w:spacing w:before="10"/>
        <w:rPr>
          <w:rFonts w:ascii="Caladea"/>
          <w:b/>
        </w:rPr>
      </w:pPr>
    </w:p>
    <w:p>
      <w:pPr>
        <w:spacing w:before="0"/>
        <w:ind w:left="192" w:right="608" w:firstLine="0"/>
        <w:jc w:val="both"/>
        <w:rPr>
          <w:sz w:val="20"/>
        </w:rPr>
      </w:pPr>
      <w:r>
        <w:rPr>
          <w:sz w:val="20"/>
        </w:rPr>
        <w:t>Em</w:t>
      </w:r>
      <w:r>
        <w:rPr>
          <w:spacing w:val="-28"/>
          <w:sz w:val="20"/>
        </w:rPr>
        <w:t> </w:t>
      </w:r>
      <w:r>
        <w:rPr>
          <w:sz w:val="20"/>
        </w:rPr>
        <w:t>março</w:t>
      </w:r>
      <w:r>
        <w:rPr>
          <w:spacing w:val="-28"/>
          <w:sz w:val="20"/>
        </w:rPr>
        <w:t> </w:t>
      </w:r>
      <w:r>
        <w:rPr>
          <w:sz w:val="20"/>
        </w:rPr>
        <w:t>de</w:t>
      </w:r>
      <w:r>
        <w:rPr>
          <w:spacing w:val="-29"/>
          <w:sz w:val="20"/>
        </w:rPr>
        <w:t> </w:t>
      </w:r>
      <w:r>
        <w:rPr>
          <w:sz w:val="20"/>
        </w:rPr>
        <w:t>2018</w:t>
      </w:r>
      <w:r>
        <w:rPr>
          <w:spacing w:val="-28"/>
          <w:sz w:val="20"/>
        </w:rPr>
        <w:t> </w:t>
      </w:r>
      <w:r>
        <w:rPr>
          <w:sz w:val="20"/>
        </w:rPr>
        <w:t>o</w:t>
      </w:r>
      <w:r>
        <w:rPr>
          <w:spacing w:val="-27"/>
          <w:sz w:val="20"/>
        </w:rPr>
        <w:t> </w:t>
      </w:r>
      <w:r>
        <w:rPr>
          <w:rFonts w:ascii="Caladea" w:hAnsi="Caladea"/>
          <w:i/>
          <w:sz w:val="20"/>
        </w:rPr>
        <w:t>International</w:t>
      </w:r>
      <w:r>
        <w:rPr>
          <w:rFonts w:ascii="Caladea" w:hAnsi="Caladea"/>
          <w:i/>
          <w:spacing w:val="-12"/>
          <w:sz w:val="20"/>
        </w:rPr>
        <w:t> </w:t>
      </w:r>
      <w:r>
        <w:rPr>
          <w:rFonts w:ascii="Caladea" w:hAnsi="Caladea"/>
          <w:i/>
          <w:sz w:val="20"/>
        </w:rPr>
        <w:t>Accounting</w:t>
      </w:r>
      <w:r>
        <w:rPr>
          <w:rFonts w:ascii="Caladea" w:hAnsi="Caladea"/>
          <w:i/>
          <w:spacing w:val="-13"/>
          <w:sz w:val="20"/>
        </w:rPr>
        <w:t> </w:t>
      </w:r>
      <w:r>
        <w:rPr>
          <w:rFonts w:ascii="Caladea" w:hAnsi="Caladea"/>
          <w:i/>
          <w:sz w:val="20"/>
        </w:rPr>
        <w:t>Standards</w:t>
      </w:r>
      <w:r>
        <w:rPr>
          <w:rFonts w:ascii="Caladea" w:hAnsi="Caladea"/>
          <w:i/>
          <w:spacing w:val="-9"/>
          <w:sz w:val="20"/>
        </w:rPr>
        <w:t> </w:t>
      </w:r>
      <w:r>
        <w:rPr>
          <w:rFonts w:ascii="Caladea" w:hAnsi="Caladea"/>
          <w:i/>
          <w:sz w:val="20"/>
        </w:rPr>
        <w:t>Board</w:t>
      </w:r>
      <w:r>
        <w:rPr>
          <w:rFonts w:ascii="Caladea" w:hAnsi="Caladea"/>
          <w:i/>
          <w:spacing w:val="-9"/>
          <w:sz w:val="20"/>
        </w:rPr>
        <w:t> </w:t>
      </w:r>
      <w:r>
        <w:rPr>
          <w:sz w:val="20"/>
        </w:rPr>
        <w:t>(IASB)</w:t>
      </w:r>
      <w:r>
        <w:rPr>
          <w:spacing w:val="-27"/>
          <w:sz w:val="20"/>
        </w:rPr>
        <w:t> </w:t>
      </w:r>
      <w:r>
        <w:rPr>
          <w:sz w:val="20"/>
        </w:rPr>
        <w:t>emitiu</w:t>
      </w:r>
      <w:r>
        <w:rPr>
          <w:spacing w:val="-28"/>
          <w:sz w:val="20"/>
        </w:rPr>
        <w:t> </w:t>
      </w:r>
      <w:r>
        <w:rPr>
          <w:sz w:val="20"/>
        </w:rPr>
        <w:t>a</w:t>
      </w:r>
      <w:r>
        <w:rPr>
          <w:spacing w:val="-27"/>
          <w:sz w:val="20"/>
        </w:rPr>
        <w:t> </w:t>
      </w:r>
      <w:r>
        <w:rPr>
          <w:sz w:val="20"/>
        </w:rPr>
        <w:t>revisão</w:t>
      </w:r>
      <w:r>
        <w:rPr>
          <w:spacing w:val="-28"/>
          <w:sz w:val="20"/>
        </w:rPr>
        <w:t> </w:t>
      </w:r>
      <w:r>
        <w:rPr>
          <w:sz w:val="20"/>
        </w:rPr>
        <w:t>da</w:t>
      </w:r>
      <w:r>
        <w:rPr>
          <w:spacing w:val="-27"/>
          <w:sz w:val="20"/>
        </w:rPr>
        <w:t> </w:t>
      </w:r>
      <w:r>
        <w:rPr>
          <w:sz w:val="20"/>
        </w:rPr>
        <w:t>estrutura</w:t>
      </w:r>
      <w:r>
        <w:rPr>
          <w:spacing w:val="-27"/>
          <w:sz w:val="20"/>
        </w:rPr>
        <w:t> </w:t>
      </w:r>
      <w:r>
        <w:rPr>
          <w:sz w:val="20"/>
        </w:rPr>
        <w:t>conceitual</w:t>
      </w:r>
      <w:r>
        <w:rPr>
          <w:spacing w:val="-27"/>
          <w:sz w:val="20"/>
        </w:rPr>
        <w:t> </w:t>
      </w:r>
      <w:r>
        <w:rPr>
          <w:sz w:val="20"/>
        </w:rPr>
        <w:t>para</w:t>
      </w:r>
      <w:r>
        <w:rPr>
          <w:spacing w:val="-27"/>
          <w:sz w:val="20"/>
        </w:rPr>
        <w:t> </w:t>
      </w:r>
      <w:r>
        <w:rPr>
          <w:sz w:val="20"/>
        </w:rPr>
        <w:t>o relatório</w:t>
      </w:r>
      <w:r>
        <w:rPr>
          <w:spacing w:val="-41"/>
          <w:sz w:val="20"/>
        </w:rPr>
        <w:t> </w:t>
      </w:r>
      <w:r>
        <w:rPr>
          <w:sz w:val="20"/>
        </w:rPr>
        <w:t>financeiro</w:t>
      </w:r>
      <w:r>
        <w:rPr>
          <w:spacing w:val="-40"/>
          <w:sz w:val="20"/>
        </w:rPr>
        <w:t> </w:t>
      </w:r>
      <w:r>
        <w:rPr>
          <w:sz w:val="20"/>
        </w:rPr>
        <w:t>(</w:t>
      </w:r>
      <w:r>
        <w:rPr>
          <w:rFonts w:ascii="Caladea" w:hAnsi="Caladea"/>
          <w:i/>
          <w:sz w:val="20"/>
        </w:rPr>
        <w:t>conceptual</w:t>
      </w:r>
      <w:r>
        <w:rPr>
          <w:rFonts w:ascii="Caladea" w:hAnsi="Caladea"/>
          <w:i/>
          <w:spacing w:val="-24"/>
          <w:sz w:val="20"/>
        </w:rPr>
        <w:t> </w:t>
      </w:r>
      <w:r>
        <w:rPr>
          <w:rFonts w:ascii="Caladea" w:hAnsi="Caladea"/>
          <w:i/>
          <w:sz w:val="20"/>
        </w:rPr>
        <w:t>framework</w:t>
      </w:r>
      <w:r>
        <w:rPr>
          <w:rFonts w:ascii="Caladea" w:hAnsi="Caladea"/>
          <w:i/>
          <w:spacing w:val="-24"/>
          <w:sz w:val="20"/>
        </w:rPr>
        <w:t> </w:t>
      </w:r>
      <w:r>
        <w:rPr>
          <w:rFonts w:ascii="Caladea" w:hAnsi="Caladea"/>
          <w:i/>
          <w:sz w:val="20"/>
        </w:rPr>
        <w:t>for</w:t>
      </w:r>
      <w:r>
        <w:rPr>
          <w:rFonts w:ascii="Caladea" w:hAnsi="Caladea"/>
          <w:i/>
          <w:spacing w:val="-23"/>
          <w:sz w:val="20"/>
        </w:rPr>
        <w:t> </w:t>
      </w:r>
      <w:r>
        <w:rPr>
          <w:rFonts w:ascii="Caladea" w:hAnsi="Caladea"/>
          <w:i/>
          <w:sz w:val="20"/>
        </w:rPr>
        <w:t>financial</w:t>
      </w:r>
      <w:r>
        <w:rPr>
          <w:sz w:val="20"/>
        </w:rPr>
        <w:t>),</w:t>
      </w:r>
      <w:r>
        <w:rPr>
          <w:spacing w:val="-39"/>
          <w:sz w:val="20"/>
        </w:rPr>
        <w:t> </w:t>
      </w:r>
      <w:r>
        <w:rPr>
          <w:sz w:val="20"/>
        </w:rPr>
        <w:t>as</w:t>
      </w:r>
      <w:r>
        <w:rPr>
          <w:spacing w:val="-41"/>
          <w:sz w:val="20"/>
        </w:rPr>
        <w:t> </w:t>
      </w:r>
      <w:r>
        <w:rPr>
          <w:sz w:val="20"/>
        </w:rPr>
        <w:t>alterações</w:t>
      </w:r>
      <w:r>
        <w:rPr>
          <w:spacing w:val="-41"/>
          <w:sz w:val="20"/>
        </w:rPr>
        <w:t> </w:t>
      </w:r>
      <w:r>
        <w:rPr>
          <w:sz w:val="20"/>
        </w:rPr>
        <w:t>terão</w:t>
      </w:r>
      <w:r>
        <w:rPr>
          <w:spacing w:val="-40"/>
          <w:sz w:val="20"/>
        </w:rPr>
        <w:t> </w:t>
      </w:r>
      <w:r>
        <w:rPr>
          <w:sz w:val="20"/>
        </w:rPr>
        <w:t>vigência</w:t>
      </w:r>
      <w:r>
        <w:rPr>
          <w:spacing w:val="-40"/>
          <w:sz w:val="20"/>
        </w:rPr>
        <w:t> </w:t>
      </w:r>
      <w:r>
        <w:rPr>
          <w:sz w:val="20"/>
        </w:rPr>
        <w:t>a</w:t>
      </w:r>
      <w:r>
        <w:rPr>
          <w:spacing w:val="-40"/>
          <w:sz w:val="20"/>
        </w:rPr>
        <w:t> </w:t>
      </w:r>
      <w:r>
        <w:rPr>
          <w:sz w:val="20"/>
        </w:rPr>
        <w:t>partir</w:t>
      </w:r>
      <w:r>
        <w:rPr>
          <w:spacing w:val="-40"/>
          <w:sz w:val="20"/>
        </w:rPr>
        <w:t> </w:t>
      </w:r>
      <w:r>
        <w:rPr>
          <w:sz w:val="20"/>
        </w:rPr>
        <w:t>de</w:t>
      </w:r>
      <w:r>
        <w:rPr>
          <w:spacing w:val="-41"/>
          <w:sz w:val="20"/>
        </w:rPr>
        <w:t> </w:t>
      </w:r>
      <w:r>
        <w:rPr>
          <w:sz w:val="20"/>
        </w:rPr>
        <w:t>1</w:t>
      </w:r>
      <w:r>
        <w:rPr>
          <w:spacing w:val="-40"/>
          <w:sz w:val="20"/>
        </w:rPr>
        <w:t> </w:t>
      </w:r>
      <w:r>
        <w:rPr>
          <w:sz w:val="20"/>
        </w:rPr>
        <w:t>de</w:t>
      </w:r>
      <w:r>
        <w:rPr>
          <w:spacing w:val="-40"/>
          <w:sz w:val="20"/>
        </w:rPr>
        <w:t> </w:t>
      </w:r>
      <w:r>
        <w:rPr>
          <w:sz w:val="20"/>
        </w:rPr>
        <w:t>janeiro</w:t>
      </w:r>
      <w:r>
        <w:rPr>
          <w:spacing w:val="-39"/>
          <w:sz w:val="20"/>
        </w:rPr>
        <w:t> </w:t>
      </w:r>
      <w:r>
        <w:rPr>
          <w:sz w:val="20"/>
        </w:rPr>
        <w:t>de</w:t>
      </w:r>
      <w:r>
        <w:rPr>
          <w:spacing w:val="-42"/>
          <w:sz w:val="20"/>
        </w:rPr>
        <w:t> </w:t>
      </w:r>
      <w:r>
        <w:rPr>
          <w:sz w:val="20"/>
        </w:rPr>
        <w:t>2020.</w:t>
      </w:r>
    </w:p>
    <w:p>
      <w:pPr>
        <w:pStyle w:val="BodyText"/>
        <w:spacing w:line="242" w:lineRule="auto" w:before="103"/>
        <w:ind w:left="192" w:right="607"/>
        <w:jc w:val="both"/>
      </w:pPr>
      <w:r>
        <w:rPr/>
        <w:t>A</w:t>
      </w:r>
      <w:r>
        <w:rPr>
          <w:spacing w:val="-37"/>
        </w:rPr>
        <w:t> </w:t>
      </w:r>
      <w:r>
        <w:rPr/>
        <w:t>Companhia</w:t>
      </w:r>
      <w:r>
        <w:rPr>
          <w:spacing w:val="-36"/>
        </w:rPr>
        <w:t> </w:t>
      </w:r>
      <w:r>
        <w:rPr/>
        <w:t>acredita</w:t>
      </w:r>
      <w:r>
        <w:rPr>
          <w:spacing w:val="-35"/>
        </w:rPr>
        <w:t> </w:t>
      </w:r>
      <w:r>
        <w:rPr/>
        <w:t>que</w:t>
      </w:r>
      <w:r>
        <w:rPr>
          <w:spacing w:val="-36"/>
        </w:rPr>
        <w:t> </w:t>
      </w:r>
      <w:r>
        <w:rPr/>
        <w:t>as</w:t>
      </w:r>
      <w:r>
        <w:rPr>
          <w:spacing w:val="-36"/>
        </w:rPr>
        <w:t> </w:t>
      </w:r>
      <w:r>
        <w:rPr/>
        <w:t>alterações</w:t>
      </w:r>
      <w:r>
        <w:rPr>
          <w:spacing w:val="-35"/>
        </w:rPr>
        <w:t> </w:t>
      </w:r>
      <w:r>
        <w:rPr/>
        <w:t>visam</w:t>
      </w:r>
      <w:r>
        <w:rPr>
          <w:spacing w:val="-37"/>
        </w:rPr>
        <w:t> </w:t>
      </w:r>
      <w:r>
        <w:rPr/>
        <w:t>maior</w:t>
      </w:r>
      <w:r>
        <w:rPr>
          <w:spacing w:val="-37"/>
        </w:rPr>
        <w:t> </w:t>
      </w:r>
      <w:r>
        <w:rPr/>
        <w:t>clareza</w:t>
      </w:r>
      <w:r>
        <w:rPr>
          <w:spacing w:val="-34"/>
        </w:rPr>
        <w:t> </w:t>
      </w:r>
      <w:r>
        <w:rPr/>
        <w:t>nos</w:t>
      </w:r>
      <w:r>
        <w:rPr>
          <w:spacing w:val="-37"/>
        </w:rPr>
        <w:t> </w:t>
      </w:r>
      <w:r>
        <w:rPr/>
        <w:t>conceitos</w:t>
      </w:r>
      <w:r>
        <w:rPr>
          <w:spacing w:val="-35"/>
        </w:rPr>
        <w:t> </w:t>
      </w:r>
      <w:r>
        <w:rPr/>
        <w:t>e</w:t>
      </w:r>
      <w:r>
        <w:rPr>
          <w:spacing w:val="-36"/>
        </w:rPr>
        <w:t> </w:t>
      </w:r>
      <w:r>
        <w:rPr/>
        <w:t>em</w:t>
      </w:r>
      <w:r>
        <w:rPr>
          <w:spacing w:val="-32"/>
        </w:rPr>
        <w:t> </w:t>
      </w:r>
      <w:r>
        <w:rPr/>
        <w:t>algumas</w:t>
      </w:r>
      <w:r>
        <w:rPr>
          <w:spacing w:val="-37"/>
        </w:rPr>
        <w:t> </w:t>
      </w:r>
      <w:r>
        <w:rPr/>
        <w:t>peças</w:t>
      </w:r>
      <w:r>
        <w:rPr>
          <w:spacing w:val="-34"/>
        </w:rPr>
        <w:t> </w:t>
      </w:r>
      <w:r>
        <w:rPr/>
        <w:t>de</w:t>
      </w:r>
      <w:r>
        <w:rPr>
          <w:spacing w:val="-36"/>
        </w:rPr>
        <w:t> </w:t>
      </w:r>
      <w:r>
        <w:rPr/>
        <w:t>divulgação.</w:t>
      </w:r>
      <w:r>
        <w:rPr>
          <w:spacing w:val="-37"/>
        </w:rPr>
        <w:t> </w:t>
      </w:r>
      <w:r>
        <w:rPr/>
        <w:t>Nesse contexto,</w:t>
      </w:r>
      <w:r>
        <w:rPr>
          <w:spacing w:val="-33"/>
        </w:rPr>
        <w:t> </w:t>
      </w:r>
      <w:r>
        <w:rPr/>
        <w:t>deverá</w:t>
      </w:r>
      <w:r>
        <w:rPr>
          <w:spacing w:val="-32"/>
        </w:rPr>
        <w:t> </w:t>
      </w:r>
      <w:r>
        <w:rPr/>
        <w:t>apresentar</w:t>
      </w:r>
      <w:r>
        <w:rPr>
          <w:spacing w:val="-32"/>
        </w:rPr>
        <w:t> </w:t>
      </w:r>
      <w:r>
        <w:rPr/>
        <w:t>informações</w:t>
      </w:r>
      <w:r>
        <w:rPr>
          <w:spacing w:val="-31"/>
        </w:rPr>
        <w:t> </w:t>
      </w:r>
      <w:r>
        <w:rPr/>
        <w:t>adicionais</w:t>
      </w:r>
      <w:r>
        <w:rPr>
          <w:spacing w:val="-32"/>
        </w:rPr>
        <w:t> </w:t>
      </w:r>
      <w:r>
        <w:rPr/>
        <w:t>em</w:t>
      </w:r>
      <w:r>
        <w:rPr>
          <w:spacing w:val="-32"/>
        </w:rPr>
        <w:t> </w:t>
      </w:r>
      <w:r>
        <w:rPr/>
        <w:t>suas</w:t>
      </w:r>
      <w:r>
        <w:rPr>
          <w:spacing w:val="-32"/>
        </w:rPr>
        <w:t> </w:t>
      </w:r>
      <w:r>
        <w:rPr/>
        <w:t>demonstrações</w:t>
      </w:r>
      <w:r>
        <w:rPr>
          <w:spacing w:val="-31"/>
        </w:rPr>
        <w:t> </w:t>
      </w:r>
      <w:r>
        <w:rPr/>
        <w:t>financeiras</w:t>
      </w:r>
      <w:r>
        <w:rPr>
          <w:spacing w:val="-33"/>
        </w:rPr>
        <w:t> </w:t>
      </w:r>
      <w:r>
        <w:rPr/>
        <w:t>nos</w:t>
      </w:r>
      <w:r>
        <w:rPr>
          <w:spacing w:val="-33"/>
        </w:rPr>
        <w:t> </w:t>
      </w:r>
      <w:r>
        <w:rPr/>
        <w:t>seguintes</w:t>
      </w:r>
      <w:r>
        <w:rPr>
          <w:spacing w:val="-31"/>
        </w:rPr>
        <w:t> </w:t>
      </w:r>
      <w:r>
        <w:rPr/>
        <w:t>aspectos:</w:t>
      </w:r>
      <w:r>
        <w:rPr>
          <w:spacing w:val="-33"/>
        </w:rPr>
        <w:t> </w:t>
      </w:r>
      <w:r>
        <w:rPr/>
        <w:t>as características</w:t>
      </w:r>
      <w:r>
        <w:rPr>
          <w:spacing w:val="-41"/>
        </w:rPr>
        <w:t> </w:t>
      </w:r>
      <w:r>
        <w:rPr/>
        <w:t>qualitativas</w:t>
      </w:r>
      <w:r>
        <w:rPr>
          <w:spacing w:val="-40"/>
        </w:rPr>
        <w:t> </w:t>
      </w:r>
      <w:r>
        <w:rPr/>
        <w:t>da</w:t>
      </w:r>
      <w:r>
        <w:rPr>
          <w:spacing w:val="-41"/>
        </w:rPr>
        <w:t> </w:t>
      </w:r>
      <w:r>
        <w:rPr/>
        <w:t>informação</w:t>
      </w:r>
      <w:r>
        <w:rPr>
          <w:spacing w:val="-41"/>
        </w:rPr>
        <w:t> </w:t>
      </w:r>
      <w:r>
        <w:rPr/>
        <w:t>financeira</w:t>
      </w:r>
      <w:r>
        <w:rPr>
          <w:spacing w:val="-40"/>
        </w:rPr>
        <w:t> </w:t>
      </w:r>
      <w:r>
        <w:rPr/>
        <w:t>útil;</w:t>
      </w:r>
      <w:r>
        <w:rPr>
          <w:spacing w:val="-39"/>
        </w:rPr>
        <w:t> </w:t>
      </w:r>
      <w:r>
        <w:rPr/>
        <w:t>a</w:t>
      </w:r>
      <w:r>
        <w:rPr>
          <w:spacing w:val="-41"/>
        </w:rPr>
        <w:t> </w:t>
      </w:r>
      <w:r>
        <w:rPr/>
        <w:t>descrição</w:t>
      </w:r>
      <w:r>
        <w:rPr>
          <w:spacing w:val="-40"/>
        </w:rPr>
        <w:t> </w:t>
      </w:r>
      <w:r>
        <w:rPr/>
        <w:t>da</w:t>
      </w:r>
      <w:r>
        <w:rPr>
          <w:spacing w:val="-40"/>
        </w:rPr>
        <w:t> </w:t>
      </w:r>
      <w:r>
        <w:rPr/>
        <w:t>entidade</w:t>
      </w:r>
      <w:r>
        <w:rPr>
          <w:spacing w:val="-41"/>
        </w:rPr>
        <w:t> </w:t>
      </w:r>
      <w:r>
        <w:rPr/>
        <w:t>que</w:t>
      </w:r>
      <w:r>
        <w:rPr>
          <w:spacing w:val="-41"/>
        </w:rPr>
        <w:t> </w:t>
      </w:r>
      <w:r>
        <w:rPr/>
        <w:t>relata</w:t>
      </w:r>
      <w:r>
        <w:rPr>
          <w:spacing w:val="-40"/>
        </w:rPr>
        <w:t> </w:t>
      </w:r>
      <w:r>
        <w:rPr/>
        <w:t>e</w:t>
      </w:r>
      <w:r>
        <w:rPr>
          <w:spacing w:val="-41"/>
        </w:rPr>
        <w:t> </w:t>
      </w:r>
      <w:r>
        <w:rPr/>
        <w:t>seu</w:t>
      </w:r>
      <w:r>
        <w:rPr>
          <w:spacing w:val="-41"/>
        </w:rPr>
        <w:t> </w:t>
      </w:r>
      <w:r>
        <w:rPr/>
        <w:t>limite;</w:t>
      </w:r>
      <w:r>
        <w:rPr>
          <w:spacing w:val="-38"/>
        </w:rPr>
        <w:t> </w:t>
      </w:r>
      <w:r>
        <w:rPr/>
        <w:t>definições de ativo, passivo, patrimônio líquido, receitas e despesas; critérios para a inclusão de ativos e passivos nas demonstrações</w:t>
      </w:r>
      <w:r>
        <w:rPr>
          <w:spacing w:val="-37"/>
        </w:rPr>
        <w:t> </w:t>
      </w:r>
      <w:r>
        <w:rPr/>
        <w:t>contábeis</w:t>
      </w:r>
      <w:r>
        <w:rPr>
          <w:spacing w:val="-37"/>
        </w:rPr>
        <w:t> </w:t>
      </w:r>
      <w:r>
        <w:rPr/>
        <w:t>(reconhecimento)</w:t>
      </w:r>
      <w:r>
        <w:rPr>
          <w:spacing w:val="-35"/>
        </w:rPr>
        <w:t> </w:t>
      </w:r>
      <w:r>
        <w:rPr/>
        <w:t>e</w:t>
      </w:r>
      <w:r>
        <w:rPr>
          <w:spacing w:val="-37"/>
        </w:rPr>
        <w:t> </w:t>
      </w:r>
      <w:r>
        <w:rPr/>
        <w:t>orientação</w:t>
      </w:r>
      <w:r>
        <w:rPr>
          <w:spacing w:val="-37"/>
        </w:rPr>
        <w:t> </w:t>
      </w:r>
      <w:r>
        <w:rPr/>
        <w:t>sobre</w:t>
      </w:r>
      <w:r>
        <w:rPr>
          <w:spacing w:val="-36"/>
        </w:rPr>
        <w:t> </w:t>
      </w:r>
      <w:r>
        <w:rPr/>
        <w:t>quando</w:t>
      </w:r>
      <w:r>
        <w:rPr>
          <w:spacing w:val="-36"/>
        </w:rPr>
        <w:t> </w:t>
      </w:r>
      <w:r>
        <w:rPr/>
        <w:t>removê-los</w:t>
      </w:r>
      <w:r>
        <w:rPr>
          <w:spacing w:val="-36"/>
        </w:rPr>
        <w:t> </w:t>
      </w:r>
      <w:r>
        <w:rPr/>
        <w:t>(desreconhecimento);</w:t>
      </w:r>
      <w:r>
        <w:rPr>
          <w:spacing w:val="-35"/>
        </w:rPr>
        <w:t> </w:t>
      </w:r>
      <w:r>
        <w:rPr/>
        <w:t>bases</w:t>
      </w:r>
      <w:r>
        <w:rPr>
          <w:spacing w:val="-36"/>
        </w:rPr>
        <w:t> </w:t>
      </w:r>
      <w:r>
        <w:rPr/>
        <w:t>de mensuração</w:t>
      </w:r>
      <w:r>
        <w:rPr>
          <w:spacing w:val="-29"/>
        </w:rPr>
        <w:t> </w:t>
      </w:r>
      <w:r>
        <w:rPr/>
        <w:t>e</w:t>
      </w:r>
      <w:r>
        <w:rPr>
          <w:spacing w:val="-28"/>
        </w:rPr>
        <w:t> </w:t>
      </w:r>
      <w:r>
        <w:rPr/>
        <w:t>orientação</w:t>
      </w:r>
      <w:r>
        <w:rPr>
          <w:spacing w:val="-29"/>
        </w:rPr>
        <w:t> </w:t>
      </w:r>
      <w:r>
        <w:rPr/>
        <w:t>sobre</w:t>
      </w:r>
      <w:r>
        <w:rPr>
          <w:spacing w:val="-27"/>
        </w:rPr>
        <w:t> </w:t>
      </w:r>
      <w:r>
        <w:rPr/>
        <w:t>quando</w:t>
      </w:r>
      <w:r>
        <w:rPr>
          <w:spacing w:val="-27"/>
        </w:rPr>
        <w:t> </w:t>
      </w:r>
      <w:r>
        <w:rPr/>
        <w:t>usá-las;</w:t>
      </w:r>
      <w:r>
        <w:rPr>
          <w:spacing w:val="-28"/>
        </w:rPr>
        <w:t> </w:t>
      </w:r>
      <w:r>
        <w:rPr/>
        <w:t>conceitos</w:t>
      </w:r>
      <w:r>
        <w:rPr>
          <w:spacing w:val="-28"/>
        </w:rPr>
        <w:t> </w:t>
      </w:r>
      <w:r>
        <w:rPr/>
        <w:t>e</w:t>
      </w:r>
      <w:r>
        <w:rPr>
          <w:spacing w:val="-30"/>
        </w:rPr>
        <w:t> </w:t>
      </w:r>
      <w:r>
        <w:rPr/>
        <w:t>orientações</w:t>
      </w:r>
      <w:r>
        <w:rPr>
          <w:spacing w:val="-28"/>
        </w:rPr>
        <w:t> </w:t>
      </w:r>
      <w:r>
        <w:rPr/>
        <w:t>sobre</w:t>
      </w:r>
      <w:r>
        <w:rPr>
          <w:spacing w:val="-30"/>
        </w:rPr>
        <w:t> </w:t>
      </w:r>
      <w:r>
        <w:rPr/>
        <w:t>apresentação</w:t>
      </w:r>
      <w:r>
        <w:rPr>
          <w:spacing w:val="-28"/>
        </w:rPr>
        <w:t> </w:t>
      </w:r>
      <w:r>
        <w:rPr/>
        <w:t>e</w:t>
      </w:r>
      <w:r>
        <w:rPr>
          <w:spacing w:val="-28"/>
        </w:rPr>
        <w:t> </w:t>
      </w:r>
      <w:r>
        <w:rPr/>
        <w:t>divulgação.</w:t>
      </w:r>
    </w:p>
    <w:p>
      <w:pPr>
        <w:spacing w:after="0" w:line="242" w:lineRule="auto"/>
        <w:jc w:val="both"/>
        <w:sectPr>
          <w:pgSz w:w="11910" w:h="16850"/>
          <w:pgMar w:header="792" w:footer="1193" w:top="1360" w:bottom="1460" w:left="940" w:right="240"/>
        </w:sectPr>
      </w:pPr>
    </w:p>
    <w:p>
      <w:pPr>
        <w:pStyle w:val="Heading5"/>
        <w:numPr>
          <w:ilvl w:val="2"/>
          <w:numId w:val="16"/>
        </w:numPr>
        <w:tabs>
          <w:tab w:pos="1046" w:val="left" w:leader="none"/>
        </w:tabs>
        <w:spacing w:line="240" w:lineRule="auto" w:before="48" w:after="0"/>
        <w:ind w:left="1045" w:right="0" w:hanging="854"/>
        <w:jc w:val="left"/>
      </w:pPr>
      <w:r>
        <w:rPr/>
        <w:t>Pronunciamentos novos ou revisados aplicados pela primeira vez em</w:t>
      </w:r>
      <w:r>
        <w:rPr>
          <w:spacing w:val="-15"/>
        </w:rPr>
        <w:t> </w:t>
      </w:r>
      <w:r>
        <w:rPr/>
        <w:t>2019</w:t>
      </w:r>
    </w:p>
    <w:p>
      <w:pPr>
        <w:pStyle w:val="BodyText"/>
        <w:spacing w:before="10"/>
        <w:rPr>
          <w:rFonts w:ascii="Caladea"/>
          <w:b/>
          <w:sz w:val="23"/>
        </w:rPr>
      </w:pPr>
    </w:p>
    <w:p>
      <w:pPr>
        <w:pStyle w:val="ListParagraph"/>
        <w:numPr>
          <w:ilvl w:val="3"/>
          <w:numId w:val="16"/>
        </w:numPr>
        <w:tabs>
          <w:tab w:pos="1325" w:val="left" w:leader="none"/>
          <w:tab w:pos="1326" w:val="left" w:leader="none"/>
        </w:tabs>
        <w:spacing w:line="240" w:lineRule="auto" w:before="0" w:after="0"/>
        <w:ind w:left="1326" w:right="0" w:hanging="1134"/>
        <w:jc w:val="left"/>
        <w:rPr>
          <w:rFonts w:ascii="Caladea"/>
          <w:b/>
          <w:sz w:val="22"/>
        </w:rPr>
      </w:pPr>
      <w:r>
        <w:rPr>
          <w:rFonts w:ascii="Caladea"/>
          <w:b/>
          <w:sz w:val="22"/>
        </w:rPr>
        <w:t>IFRIC 23 / ICPC 22 (Incerteza sobre Tratamento de tributos sobre o</w:t>
      </w:r>
      <w:r>
        <w:rPr>
          <w:rFonts w:ascii="Caladea"/>
          <w:b/>
          <w:spacing w:val="-15"/>
          <w:sz w:val="22"/>
        </w:rPr>
        <w:t> </w:t>
      </w:r>
      <w:r>
        <w:rPr>
          <w:rFonts w:ascii="Caladea"/>
          <w:b/>
          <w:sz w:val="22"/>
        </w:rPr>
        <w:t>Lucro)</w:t>
      </w:r>
    </w:p>
    <w:p>
      <w:pPr>
        <w:pStyle w:val="BodyText"/>
        <w:spacing w:before="4"/>
        <w:rPr>
          <w:rFonts w:ascii="Caladea"/>
          <w:b/>
        </w:rPr>
      </w:pPr>
    </w:p>
    <w:p>
      <w:pPr>
        <w:pStyle w:val="BodyText"/>
        <w:spacing w:line="242" w:lineRule="auto"/>
        <w:ind w:left="192" w:right="608"/>
        <w:jc w:val="both"/>
      </w:pPr>
      <w:r>
        <w:rPr/>
        <w:t>Esta</w:t>
      </w:r>
      <w:r>
        <w:rPr>
          <w:spacing w:val="-8"/>
        </w:rPr>
        <w:t> </w:t>
      </w:r>
      <w:r>
        <w:rPr/>
        <w:t>Interpretação</w:t>
      </w:r>
      <w:r>
        <w:rPr>
          <w:spacing w:val="-8"/>
        </w:rPr>
        <w:t> </w:t>
      </w:r>
      <w:r>
        <w:rPr/>
        <w:t>esclarece</w:t>
      </w:r>
      <w:r>
        <w:rPr>
          <w:spacing w:val="-9"/>
        </w:rPr>
        <w:t> </w:t>
      </w:r>
      <w:r>
        <w:rPr/>
        <w:t>como</w:t>
      </w:r>
      <w:r>
        <w:rPr>
          <w:spacing w:val="-7"/>
        </w:rPr>
        <w:t> </w:t>
      </w:r>
      <w:r>
        <w:rPr/>
        <w:t>aplicar</w:t>
      </w:r>
      <w:r>
        <w:rPr>
          <w:spacing w:val="-8"/>
        </w:rPr>
        <w:t> </w:t>
      </w:r>
      <w:r>
        <w:rPr/>
        <w:t>os</w:t>
      </w:r>
      <w:r>
        <w:rPr>
          <w:spacing w:val="-3"/>
        </w:rPr>
        <w:t> </w:t>
      </w:r>
      <w:r>
        <w:rPr/>
        <w:t>requisitos</w:t>
      </w:r>
      <w:r>
        <w:rPr>
          <w:spacing w:val="-8"/>
        </w:rPr>
        <w:t> </w:t>
      </w:r>
      <w:r>
        <w:rPr/>
        <w:t>de</w:t>
      </w:r>
      <w:r>
        <w:rPr>
          <w:spacing w:val="-8"/>
        </w:rPr>
        <w:t> </w:t>
      </w:r>
      <w:r>
        <w:rPr/>
        <w:t>reconhecimento</w:t>
      </w:r>
      <w:r>
        <w:rPr>
          <w:spacing w:val="-7"/>
        </w:rPr>
        <w:t> </w:t>
      </w:r>
      <w:r>
        <w:rPr/>
        <w:t>e</w:t>
      </w:r>
      <w:r>
        <w:rPr>
          <w:spacing w:val="-9"/>
        </w:rPr>
        <w:t> </w:t>
      </w:r>
      <w:r>
        <w:rPr/>
        <w:t>mensuração</w:t>
      </w:r>
      <w:r>
        <w:rPr>
          <w:spacing w:val="-8"/>
        </w:rPr>
        <w:t> </w:t>
      </w:r>
      <w:r>
        <w:rPr/>
        <w:t>do</w:t>
      </w:r>
      <w:r>
        <w:rPr>
          <w:spacing w:val="-8"/>
        </w:rPr>
        <w:t> </w:t>
      </w:r>
      <w:r>
        <w:rPr/>
        <w:t>CPC</w:t>
      </w:r>
      <w:r>
        <w:rPr>
          <w:spacing w:val="-8"/>
        </w:rPr>
        <w:t> </w:t>
      </w:r>
      <w:r>
        <w:rPr/>
        <w:t>32</w:t>
      </w:r>
      <w:r>
        <w:rPr>
          <w:spacing w:val="-6"/>
        </w:rPr>
        <w:t> </w:t>
      </w:r>
      <w:r>
        <w:rPr/>
        <w:t>quando</w:t>
      </w:r>
      <w:r>
        <w:rPr>
          <w:spacing w:val="-7"/>
        </w:rPr>
        <w:t> </w:t>
      </w:r>
      <w:r>
        <w:rPr/>
        <w:t>há incerteza sobre os tratamentos de tributo sobre o lucro. Nessa circunstância, a entidade deverá reconhecer e mensurar</w:t>
      </w:r>
      <w:r>
        <w:rPr>
          <w:spacing w:val="-14"/>
        </w:rPr>
        <w:t> </w:t>
      </w:r>
      <w:r>
        <w:rPr/>
        <w:t>seu</w:t>
      </w:r>
      <w:r>
        <w:rPr>
          <w:spacing w:val="-13"/>
        </w:rPr>
        <w:t> </w:t>
      </w:r>
      <w:r>
        <w:rPr/>
        <w:t>tributo</w:t>
      </w:r>
      <w:r>
        <w:rPr>
          <w:spacing w:val="-12"/>
        </w:rPr>
        <w:t> </w:t>
      </w:r>
      <w:r>
        <w:rPr/>
        <w:t>corrente</w:t>
      </w:r>
      <w:r>
        <w:rPr>
          <w:spacing w:val="-14"/>
        </w:rPr>
        <w:t> </w:t>
      </w:r>
      <w:r>
        <w:rPr/>
        <w:t>ou</w:t>
      </w:r>
      <w:r>
        <w:rPr>
          <w:spacing w:val="-13"/>
        </w:rPr>
        <w:t> </w:t>
      </w:r>
      <w:r>
        <w:rPr/>
        <w:t>diferido</w:t>
      </w:r>
      <w:r>
        <w:rPr>
          <w:spacing w:val="-13"/>
        </w:rPr>
        <w:t> </w:t>
      </w:r>
      <w:r>
        <w:rPr/>
        <w:t>ativo</w:t>
      </w:r>
      <w:r>
        <w:rPr>
          <w:spacing w:val="-14"/>
        </w:rPr>
        <w:t> </w:t>
      </w:r>
      <w:r>
        <w:rPr/>
        <w:t>ou</w:t>
      </w:r>
      <w:r>
        <w:rPr>
          <w:spacing w:val="-12"/>
        </w:rPr>
        <w:t> </w:t>
      </w:r>
      <w:r>
        <w:rPr/>
        <w:t>passivo,</w:t>
      </w:r>
      <w:r>
        <w:rPr>
          <w:spacing w:val="-14"/>
        </w:rPr>
        <w:t> </w:t>
      </w:r>
      <w:r>
        <w:rPr/>
        <w:t>aplicando</w:t>
      </w:r>
      <w:r>
        <w:rPr>
          <w:spacing w:val="-13"/>
        </w:rPr>
        <w:t> </w:t>
      </w:r>
      <w:r>
        <w:rPr/>
        <w:t>os</w:t>
      </w:r>
      <w:r>
        <w:rPr>
          <w:spacing w:val="-13"/>
        </w:rPr>
        <w:t> </w:t>
      </w:r>
      <w:r>
        <w:rPr/>
        <w:t>requisitos</w:t>
      </w:r>
      <w:r>
        <w:rPr>
          <w:spacing w:val="-13"/>
        </w:rPr>
        <w:t> </w:t>
      </w:r>
      <w:r>
        <w:rPr>
          <w:spacing w:val="4"/>
        </w:rPr>
        <w:t>do</w:t>
      </w:r>
      <w:r>
        <w:rPr>
          <w:spacing w:val="-13"/>
        </w:rPr>
        <w:t> </w:t>
      </w:r>
      <w:r>
        <w:rPr/>
        <w:t>CPC</w:t>
      </w:r>
      <w:r>
        <w:rPr>
          <w:spacing w:val="-13"/>
        </w:rPr>
        <w:t> </w:t>
      </w:r>
      <w:r>
        <w:rPr/>
        <w:t>32</w:t>
      </w:r>
      <w:r>
        <w:rPr>
          <w:spacing w:val="-12"/>
        </w:rPr>
        <w:t> </w:t>
      </w:r>
      <w:r>
        <w:rPr/>
        <w:t>com</w:t>
      </w:r>
      <w:r>
        <w:rPr>
          <w:spacing w:val="-14"/>
        </w:rPr>
        <w:t> </w:t>
      </w:r>
      <w:r>
        <w:rPr/>
        <w:t>base</w:t>
      </w:r>
      <w:r>
        <w:rPr>
          <w:spacing w:val="-11"/>
        </w:rPr>
        <w:t> </w:t>
      </w:r>
      <w:r>
        <w:rPr/>
        <w:t>em</w:t>
      </w:r>
      <w:r>
        <w:rPr>
          <w:spacing w:val="-14"/>
        </w:rPr>
        <w:t> </w:t>
      </w:r>
      <w:r>
        <w:rPr/>
        <w:t>lucro tributável</w:t>
      </w:r>
      <w:r>
        <w:rPr>
          <w:spacing w:val="-28"/>
        </w:rPr>
        <w:t> </w:t>
      </w:r>
      <w:r>
        <w:rPr/>
        <w:t>(prejuízo</w:t>
      </w:r>
      <w:r>
        <w:rPr>
          <w:spacing w:val="-28"/>
        </w:rPr>
        <w:t> </w:t>
      </w:r>
      <w:r>
        <w:rPr/>
        <w:t>fiscal),</w:t>
      </w:r>
      <w:r>
        <w:rPr>
          <w:spacing w:val="-29"/>
        </w:rPr>
        <w:t> </w:t>
      </w:r>
      <w:r>
        <w:rPr/>
        <w:t>bases</w:t>
      </w:r>
      <w:r>
        <w:rPr>
          <w:spacing w:val="-28"/>
        </w:rPr>
        <w:t> </w:t>
      </w:r>
      <w:r>
        <w:rPr/>
        <w:t>fiscais,</w:t>
      </w:r>
      <w:r>
        <w:rPr>
          <w:spacing w:val="-28"/>
        </w:rPr>
        <w:t> </w:t>
      </w:r>
      <w:r>
        <w:rPr/>
        <w:t>prejuízos</w:t>
      </w:r>
      <w:r>
        <w:rPr>
          <w:spacing w:val="-28"/>
        </w:rPr>
        <w:t> </w:t>
      </w:r>
      <w:r>
        <w:rPr/>
        <w:t>fiscais</w:t>
      </w:r>
      <w:r>
        <w:rPr>
          <w:spacing w:val="-28"/>
        </w:rPr>
        <w:t> </w:t>
      </w:r>
      <w:r>
        <w:rPr/>
        <w:t>não</w:t>
      </w:r>
      <w:r>
        <w:rPr>
          <w:spacing w:val="-28"/>
        </w:rPr>
        <w:t> </w:t>
      </w:r>
      <w:r>
        <w:rPr/>
        <w:t>utilizados,</w:t>
      </w:r>
      <w:r>
        <w:rPr>
          <w:spacing w:val="-29"/>
        </w:rPr>
        <w:t> </w:t>
      </w:r>
      <w:r>
        <w:rPr/>
        <w:t>créditos</w:t>
      </w:r>
      <w:r>
        <w:rPr>
          <w:spacing w:val="-28"/>
        </w:rPr>
        <w:t> </w:t>
      </w:r>
      <w:r>
        <w:rPr/>
        <w:t>fiscais</w:t>
      </w:r>
      <w:r>
        <w:rPr>
          <w:spacing w:val="-28"/>
        </w:rPr>
        <w:t> </w:t>
      </w:r>
      <w:r>
        <w:rPr/>
        <w:t>não</w:t>
      </w:r>
      <w:r>
        <w:rPr>
          <w:spacing w:val="-28"/>
        </w:rPr>
        <w:t> </w:t>
      </w:r>
      <w:r>
        <w:rPr/>
        <w:t>utilizados</w:t>
      </w:r>
      <w:r>
        <w:rPr>
          <w:spacing w:val="-28"/>
        </w:rPr>
        <w:t> </w:t>
      </w:r>
      <w:r>
        <w:rPr/>
        <w:t>e</w:t>
      </w:r>
      <w:r>
        <w:rPr>
          <w:spacing w:val="-29"/>
        </w:rPr>
        <w:t> </w:t>
      </w:r>
      <w:r>
        <w:rPr/>
        <w:t>alíquotas fiscais</w:t>
      </w:r>
      <w:r>
        <w:rPr>
          <w:spacing w:val="-30"/>
        </w:rPr>
        <w:t> </w:t>
      </w:r>
      <w:r>
        <w:rPr/>
        <w:t>determinados,</w:t>
      </w:r>
      <w:r>
        <w:rPr>
          <w:spacing w:val="-29"/>
        </w:rPr>
        <w:t> </w:t>
      </w:r>
      <w:r>
        <w:rPr/>
        <w:t>aplicando</w:t>
      </w:r>
      <w:r>
        <w:rPr>
          <w:spacing w:val="-29"/>
        </w:rPr>
        <w:t> </w:t>
      </w:r>
      <w:r>
        <w:rPr/>
        <w:t>esta</w:t>
      </w:r>
      <w:r>
        <w:rPr>
          <w:spacing w:val="-30"/>
        </w:rPr>
        <w:t> </w:t>
      </w:r>
      <w:r>
        <w:rPr/>
        <w:t>Interpretação.</w:t>
      </w:r>
      <w:r>
        <w:rPr>
          <w:spacing w:val="-30"/>
        </w:rPr>
        <w:t> </w:t>
      </w:r>
      <w:r>
        <w:rPr/>
        <w:t>A</w:t>
      </w:r>
      <w:r>
        <w:rPr>
          <w:spacing w:val="-30"/>
        </w:rPr>
        <w:t> </w:t>
      </w:r>
      <w:r>
        <w:rPr/>
        <w:t>Interpretação</w:t>
      </w:r>
      <w:r>
        <w:rPr>
          <w:spacing w:val="-30"/>
        </w:rPr>
        <w:t> </w:t>
      </w:r>
      <w:r>
        <w:rPr/>
        <w:t>aborda</w:t>
      </w:r>
      <w:r>
        <w:rPr>
          <w:spacing w:val="-30"/>
        </w:rPr>
        <w:t> </w:t>
      </w:r>
      <w:r>
        <w:rPr/>
        <w:t>especificamente</w:t>
      </w:r>
      <w:r>
        <w:rPr>
          <w:spacing w:val="-29"/>
        </w:rPr>
        <w:t> </w:t>
      </w:r>
      <w:r>
        <w:rPr/>
        <w:t>o</w:t>
      </w:r>
      <w:r>
        <w:rPr>
          <w:spacing w:val="-31"/>
        </w:rPr>
        <w:t> </w:t>
      </w:r>
      <w:r>
        <w:rPr/>
        <w:t>seguinte:</w:t>
      </w:r>
    </w:p>
    <w:p>
      <w:pPr>
        <w:pStyle w:val="ListParagraph"/>
        <w:numPr>
          <w:ilvl w:val="4"/>
          <w:numId w:val="16"/>
        </w:numPr>
        <w:tabs>
          <w:tab w:pos="914" w:val="left" w:leader="none"/>
        </w:tabs>
        <w:spacing w:line="240" w:lineRule="auto" w:before="98" w:after="0"/>
        <w:ind w:left="913" w:right="0" w:hanging="361"/>
        <w:jc w:val="both"/>
        <w:rPr>
          <w:sz w:val="20"/>
        </w:rPr>
      </w:pPr>
      <w:r>
        <w:rPr>
          <w:sz w:val="20"/>
        </w:rPr>
        <w:t>Se</w:t>
      </w:r>
      <w:r>
        <w:rPr>
          <w:spacing w:val="-23"/>
          <w:sz w:val="20"/>
        </w:rPr>
        <w:t> </w:t>
      </w:r>
      <w:r>
        <w:rPr>
          <w:sz w:val="20"/>
        </w:rPr>
        <w:t>a</w:t>
      </w:r>
      <w:r>
        <w:rPr>
          <w:spacing w:val="-17"/>
          <w:sz w:val="20"/>
        </w:rPr>
        <w:t> </w:t>
      </w:r>
      <w:r>
        <w:rPr>
          <w:sz w:val="20"/>
        </w:rPr>
        <w:t>entidade</w:t>
      </w:r>
      <w:r>
        <w:rPr>
          <w:spacing w:val="-22"/>
          <w:sz w:val="20"/>
        </w:rPr>
        <w:t> </w:t>
      </w:r>
      <w:r>
        <w:rPr>
          <w:sz w:val="20"/>
        </w:rPr>
        <w:t>considera</w:t>
      </w:r>
      <w:r>
        <w:rPr>
          <w:spacing w:val="-20"/>
          <w:sz w:val="20"/>
        </w:rPr>
        <w:t> </w:t>
      </w:r>
      <w:r>
        <w:rPr>
          <w:sz w:val="20"/>
        </w:rPr>
        <w:t>tratamentos</w:t>
      </w:r>
      <w:r>
        <w:rPr>
          <w:spacing w:val="-20"/>
          <w:sz w:val="20"/>
        </w:rPr>
        <w:t> </w:t>
      </w:r>
      <w:r>
        <w:rPr>
          <w:sz w:val="20"/>
        </w:rPr>
        <w:t>tributários</w:t>
      </w:r>
      <w:r>
        <w:rPr>
          <w:spacing w:val="-21"/>
          <w:sz w:val="20"/>
        </w:rPr>
        <w:t> </w:t>
      </w:r>
      <w:r>
        <w:rPr>
          <w:sz w:val="20"/>
        </w:rPr>
        <w:t>incertos</w:t>
      </w:r>
      <w:r>
        <w:rPr>
          <w:spacing w:val="-18"/>
          <w:sz w:val="20"/>
        </w:rPr>
        <w:t> </w:t>
      </w:r>
      <w:r>
        <w:rPr>
          <w:sz w:val="20"/>
        </w:rPr>
        <w:t>separadamente;</w:t>
      </w:r>
    </w:p>
    <w:p>
      <w:pPr>
        <w:pStyle w:val="ListParagraph"/>
        <w:numPr>
          <w:ilvl w:val="4"/>
          <w:numId w:val="16"/>
        </w:numPr>
        <w:tabs>
          <w:tab w:pos="914" w:val="left" w:leader="none"/>
        </w:tabs>
        <w:spacing w:line="240" w:lineRule="auto" w:before="100" w:after="0"/>
        <w:ind w:left="913" w:right="0" w:hanging="361"/>
        <w:jc w:val="both"/>
        <w:rPr>
          <w:sz w:val="20"/>
        </w:rPr>
      </w:pPr>
      <w:r>
        <w:rPr>
          <w:sz w:val="20"/>
        </w:rPr>
        <w:t>As</w:t>
      </w:r>
      <w:r>
        <w:rPr>
          <w:spacing w:val="-30"/>
          <w:sz w:val="20"/>
        </w:rPr>
        <w:t> </w:t>
      </w:r>
      <w:r>
        <w:rPr>
          <w:sz w:val="20"/>
        </w:rPr>
        <w:t>suposições</w:t>
      </w:r>
      <w:r>
        <w:rPr>
          <w:spacing w:val="-28"/>
          <w:sz w:val="20"/>
        </w:rPr>
        <w:t> </w:t>
      </w:r>
      <w:r>
        <w:rPr>
          <w:sz w:val="20"/>
        </w:rPr>
        <w:t>que</w:t>
      </w:r>
      <w:r>
        <w:rPr>
          <w:spacing w:val="-31"/>
          <w:sz w:val="20"/>
        </w:rPr>
        <w:t> </w:t>
      </w:r>
      <w:r>
        <w:rPr>
          <w:sz w:val="20"/>
        </w:rPr>
        <w:t>a</w:t>
      </w:r>
      <w:r>
        <w:rPr>
          <w:spacing w:val="-28"/>
          <w:sz w:val="20"/>
        </w:rPr>
        <w:t> </w:t>
      </w:r>
      <w:r>
        <w:rPr>
          <w:sz w:val="20"/>
        </w:rPr>
        <w:t>entidade</w:t>
      </w:r>
      <w:r>
        <w:rPr>
          <w:spacing w:val="-31"/>
          <w:sz w:val="20"/>
        </w:rPr>
        <w:t> </w:t>
      </w:r>
      <w:r>
        <w:rPr>
          <w:sz w:val="20"/>
        </w:rPr>
        <w:t>faz</w:t>
      </w:r>
      <w:r>
        <w:rPr>
          <w:spacing w:val="-28"/>
          <w:sz w:val="20"/>
        </w:rPr>
        <w:t> </w:t>
      </w:r>
      <w:r>
        <w:rPr>
          <w:sz w:val="20"/>
        </w:rPr>
        <w:t>em</w:t>
      </w:r>
      <w:r>
        <w:rPr>
          <w:spacing w:val="-29"/>
          <w:sz w:val="20"/>
        </w:rPr>
        <w:t> </w:t>
      </w:r>
      <w:r>
        <w:rPr>
          <w:sz w:val="20"/>
        </w:rPr>
        <w:t>relação</w:t>
      </w:r>
      <w:r>
        <w:rPr>
          <w:spacing w:val="-31"/>
          <w:sz w:val="20"/>
        </w:rPr>
        <w:t> </w:t>
      </w:r>
      <w:r>
        <w:rPr>
          <w:sz w:val="20"/>
        </w:rPr>
        <w:t>ao</w:t>
      </w:r>
      <w:r>
        <w:rPr>
          <w:spacing w:val="-30"/>
          <w:sz w:val="20"/>
        </w:rPr>
        <w:t> </w:t>
      </w:r>
      <w:r>
        <w:rPr>
          <w:sz w:val="20"/>
        </w:rPr>
        <w:t>exame</w:t>
      </w:r>
      <w:r>
        <w:rPr>
          <w:spacing w:val="-31"/>
          <w:sz w:val="20"/>
        </w:rPr>
        <w:t> </w:t>
      </w:r>
      <w:r>
        <w:rPr>
          <w:sz w:val="20"/>
        </w:rPr>
        <w:t>dos</w:t>
      </w:r>
      <w:r>
        <w:rPr>
          <w:spacing w:val="-30"/>
          <w:sz w:val="20"/>
        </w:rPr>
        <w:t> </w:t>
      </w:r>
      <w:r>
        <w:rPr>
          <w:sz w:val="20"/>
        </w:rPr>
        <w:t>tratamentos</w:t>
      </w:r>
      <w:r>
        <w:rPr>
          <w:spacing w:val="-29"/>
          <w:sz w:val="20"/>
        </w:rPr>
        <w:t> </w:t>
      </w:r>
      <w:r>
        <w:rPr>
          <w:sz w:val="20"/>
        </w:rPr>
        <w:t>tributários</w:t>
      </w:r>
      <w:r>
        <w:rPr>
          <w:spacing w:val="-30"/>
          <w:sz w:val="20"/>
        </w:rPr>
        <w:t> </w:t>
      </w:r>
      <w:r>
        <w:rPr>
          <w:sz w:val="20"/>
        </w:rPr>
        <w:t>pelas</w:t>
      </w:r>
      <w:r>
        <w:rPr>
          <w:spacing w:val="-30"/>
          <w:sz w:val="20"/>
        </w:rPr>
        <w:t> </w:t>
      </w:r>
      <w:r>
        <w:rPr>
          <w:sz w:val="20"/>
        </w:rPr>
        <w:t>autoridades</w:t>
      </w:r>
      <w:r>
        <w:rPr>
          <w:spacing w:val="-29"/>
          <w:sz w:val="20"/>
        </w:rPr>
        <w:t> </w:t>
      </w:r>
      <w:r>
        <w:rPr>
          <w:sz w:val="20"/>
        </w:rPr>
        <w:t>fiscais;</w:t>
      </w:r>
    </w:p>
    <w:p>
      <w:pPr>
        <w:pStyle w:val="ListParagraph"/>
        <w:numPr>
          <w:ilvl w:val="4"/>
          <w:numId w:val="16"/>
        </w:numPr>
        <w:tabs>
          <w:tab w:pos="914" w:val="left" w:leader="none"/>
        </w:tabs>
        <w:spacing w:line="240" w:lineRule="auto" w:before="100" w:after="0"/>
        <w:ind w:left="913" w:right="608" w:hanging="360"/>
        <w:jc w:val="both"/>
        <w:rPr>
          <w:sz w:val="20"/>
        </w:rPr>
      </w:pPr>
      <w:r>
        <w:rPr>
          <w:sz w:val="20"/>
        </w:rPr>
        <w:t>Como</w:t>
      </w:r>
      <w:r>
        <w:rPr>
          <w:spacing w:val="-31"/>
          <w:sz w:val="20"/>
        </w:rPr>
        <w:t> </w:t>
      </w:r>
      <w:r>
        <w:rPr>
          <w:sz w:val="20"/>
        </w:rPr>
        <w:t>a</w:t>
      </w:r>
      <w:r>
        <w:rPr>
          <w:spacing w:val="-28"/>
          <w:sz w:val="20"/>
        </w:rPr>
        <w:t> </w:t>
      </w:r>
      <w:r>
        <w:rPr>
          <w:sz w:val="20"/>
        </w:rPr>
        <w:t>entidade</w:t>
      </w:r>
      <w:r>
        <w:rPr>
          <w:spacing w:val="-30"/>
          <w:sz w:val="20"/>
        </w:rPr>
        <w:t> </w:t>
      </w:r>
      <w:r>
        <w:rPr>
          <w:sz w:val="20"/>
        </w:rPr>
        <w:t>determina</w:t>
      </w:r>
      <w:r>
        <w:rPr>
          <w:spacing w:val="-29"/>
          <w:sz w:val="20"/>
        </w:rPr>
        <w:t> </w:t>
      </w:r>
      <w:r>
        <w:rPr>
          <w:sz w:val="20"/>
        </w:rPr>
        <w:t>o</w:t>
      </w:r>
      <w:r>
        <w:rPr>
          <w:spacing w:val="-30"/>
          <w:sz w:val="20"/>
        </w:rPr>
        <w:t> </w:t>
      </w:r>
      <w:r>
        <w:rPr>
          <w:sz w:val="20"/>
        </w:rPr>
        <w:t>lucro</w:t>
      </w:r>
      <w:r>
        <w:rPr>
          <w:spacing w:val="-29"/>
          <w:sz w:val="20"/>
        </w:rPr>
        <w:t> </w:t>
      </w:r>
      <w:r>
        <w:rPr>
          <w:sz w:val="20"/>
        </w:rPr>
        <w:t>real</w:t>
      </w:r>
      <w:r>
        <w:rPr>
          <w:spacing w:val="-30"/>
          <w:sz w:val="20"/>
        </w:rPr>
        <w:t> </w:t>
      </w:r>
      <w:r>
        <w:rPr>
          <w:sz w:val="20"/>
        </w:rPr>
        <w:t>(prejuízo</w:t>
      </w:r>
      <w:r>
        <w:rPr>
          <w:spacing w:val="-29"/>
          <w:sz w:val="20"/>
        </w:rPr>
        <w:t> </w:t>
      </w:r>
      <w:r>
        <w:rPr>
          <w:sz w:val="20"/>
        </w:rPr>
        <w:t>fiscal),</w:t>
      </w:r>
      <w:r>
        <w:rPr>
          <w:spacing w:val="-30"/>
          <w:sz w:val="20"/>
        </w:rPr>
        <w:t> </w:t>
      </w:r>
      <w:r>
        <w:rPr>
          <w:sz w:val="20"/>
        </w:rPr>
        <w:t>bases</w:t>
      </w:r>
      <w:r>
        <w:rPr>
          <w:spacing w:val="-30"/>
          <w:sz w:val="20"/>
        </w:rPr>
        <w:t> </w:t>
      </w:r>
      <w:r>
        <w:rPr>
          <w:sz w:val="20"/>
        </w:rPr>
        <w:t>de</w:t>
      </w:r>
      <w:r>
        <w:rPr>
          <w:spacing w:val="-30"/>
          <w:sz w:val="20"/>
        </w:rPr>
        <w:t> </w:t>
      </w:r>
      <w:r>
        <w:rPr>
          <w:sz w:val="20"/>
        </w:rPr>
        <w:t>cálculo,</w:t>
      </w:r>
      <w:r>
        <w:rPr>
          <w:spacing w:val="-26"/>
          <w:sz w:val="20"/>
        </w:rPr>
        <w:t> </w:t>
      </w:r>
      <w:r>
        <w:rPr>
          <w:sz w:val="20"/>
        </w:rPr>
        <w:t>prejuízos</w:t>
      </w:r>
      <w:r>
        <w:rPr>
          <w:spacing w:val="-30"/>
          <w:sz w:val="20"/>
        </w:rPr>
        <w:t> </w:t>
      </w:r>
      <w:r>
        <w:rPr>
          <w:sz w:val="20"/>
        </w:rPr>
        <w:t>fiscais</w:t>
      </w:r>
      <w:r>
        <w:rPr>
          <w:spacing w:val="-29"/>
          <w:sz w:val="20"/>
        </w:rPr>
        <w:t> </w:t>
      </w:r>
      <w:r>
        <w:rPr>
          <w:sz w:val="20"/>
        </w:rPr>
        <w:t>não</w:t>
      </w:r>
      <w:r>
        <w:rPr>
          <w:spacing w:val="-31"/>
          <w:sz w:val="20"/>
        </w:rPr>
        <w:t> </w:t>
      </w:r>
      <w:r>
        <w:rPr>
          <w:sz w:val="20"/>
        </w:rPr>
        <w:t>utilizados, créditos</w:t>
      </w:r>
      <w:r>
        <w:rPr>
          <w:spacing w:val="-20"/>
          <w:sz w:val="20"/>
        </w:rPr>
        <w:t> </w:t>
      </w:r>
      <w:r>
        <w:rPr>
          <w:sz w:val="20"/>
        </w:rPr>
        <w:t>tributários</w:t>
      </w:r>
      <w:r>
        <w:rPr>
          <w:spacing w:val="-17"/>
          <w:sz w:val="20"/>
        </w:rPr>
        <w:t> </w:t>
      </w:r>
      <w:r>
        <w:rPr>
          <w:sz w:val="20"/>
        </w:rPr>
        <w:t>extemporâneos</w:t>
      </w:r>
      <w:r>
        <w:rPr>
          <w:spacing w:val="-19"/>
          <w:sz w:val="20"/>
        </w:rPr>
        <w:t> </w:t>
      </w:r>
      <w:r>
        <w:rPr>
          <w:sz w:val="20"/>
        </w:rPr>
        <w:t>e</w:t>
      </w:r>
      <w:r>
        <w:rPr>
          <w:spacing w:val="-18"/>
          <w:sz w:val="20"/>
        </w:rPr>
        <w:t> </w:t>
      </w:r>
      <w:r>
        <w:rPr>
          <w:sz w:val="20"/>
        </w:rPr>
        <w:t>alíquotas</w:t>
      </w:r>
      <w:r>
        <w:rPr>
          <w:spacing w:val="-19"/>
          <w:sz w:val="20"/>
        </w:rPr>
        <w:t> </w:t>
      </w:r>
      <w:r>
        <w:rPr>
          <w:sz w:val="20"/>
        </w:rPr>
        <w:t>de</w:t>
      </w:r>
      <w:r>
        <w:rPr>
          <w:spacing w:val="-22"/>
          <w:sz w:val="20"/>
        </w:rPr>
        <w:t> </w:t>
      </w:r>
      <w:r>
        <w:rPr>
          <w:sz w:val="20"/>
        </w:rPr>
        <w:t>imposto;</w:t>
      </w:r>
      <w:r>
        <w:rPr>
          <w:spacing w:val="-19"/>
          <w:sz w:val="20"/>
        </w:rPr>
        <w:t> </w:t>
      </w:r>
      <w:r>
        <w:rPr>
          <w:sz w:val="20"/>
        </w:rPr>
        <w:t>e</w:t>
      </w:r>
    </w:p>
    <w:p>
      <w:pPr>
        <w:pStyle w:val="ListParagraph"/>
        <w:numPr>
          <w:ilvl w:val="4"/>
          <w:numId w:val="16"/>
        </w:numPr>
        <w:tabs>
          <w:tab w:pos="914" w:val="left" w:leader="none"/>
        </w:tabs>
        <w:spacing w:line="240" w:lineRule="auto" w:before="101" w:after="0"/>
        <w:ind w:left="913" w:right="0" w:hanging="361"/>
        <w:jc w:val="both"/>
        <w:rPr>
          <w:sz w:val="20"/>
        </w:rPr>
      </w:pPr>
      <w:r>
        <w:rPr>
          <w:sz w:val="20"/>
        </w:rPr>
        <w:t>Como</w:t>
      </w:r>
      <w:r>
        <w:rPr>
          <w:spacing w:val="-21"/>
          <w:sz w:val="20"/>
        </w:rPr>
        <w:t> </w:t>
      </w:r>
      <w:r>
        <w:rPr>
          <w:sz w:val="20"/>
        </w:rPr>
        <w:t>a</w:t>
      </w:r>
      <w:r>
        <w:rPr>
          <w:spacing w:val="-16"/>
          <w:sz w:val="20"/>
        </w:rPr>
        <w:t> </w:t>
      </w:r>
      <w:r>
        <w:rPr>
          <w:sz w:val="20"/>
        </w:rPr>
        <w:t>entidade</w:t>
      </w:r>
      <w:r>
        <w:rPr>
          <w:spacing w:val="-20"/>
          <w:sz w:val="20"/>
        </w:rPr>
        <w:t> </w:t>
      </w:r>
      <w:r>
        <w:rPr>
          <w:sz w:val="20"/>
        </w:rPr>
        <w:t>considera</w:t>
      </w:r>
      <w:r>
        <w:rPr>
          <w:spacing w:val="-19"/>
          <w:sz w:val="20"/>
        </w:rPr>
        <w:t> </w:t>
      </w:r>
      <w:r>
        <w:rPr>
          <w:sz w:val="20"/>
        </w:rPr>
        <w:t>as</w:t>
      </w:r>
      <w:r>
        <w:rPr>
          <w:spacing w:val="-19"/>
          <w:sz w:val="20"/>
        </w:rPr>
        <w:t> </w:t>
      </w:r>
      <w:r>
        <w:rPr>
          <w:sz w:val="20"/>
        </w:rPr>
        <w:t>mudanças</w:t>
      </w:r>
      <w:r>
        <w:rPr>
          <w:spacing w:val="-20"/>
          <w:sz w:val="20"/>
        </w:rPr>
        <w:t> </w:t>
      </w:r>
      <w:r>
        <w:rPr>
          <w:sz w:val="20"/>
        </w:rPr>
        <w:t>de</w:t>
      </w:r>
      <w:r>
        <w:rPr>
          <w:spacing w:val="-19"/>
          <w:sz w:val="20"/>
        </w:rPr>
        <w:t> </w:t>
      </w:r>
      <w:r>
        <w:rPr>
          <w:sz w:val="20"/>
        </w:rPr>
        <w:t>fatos</w:t>
      </w:r>
      <w:r>
        <w:rPr>
          <w:spacing w:val="-17"/>
          <w:sz w:val="20"/>
        </w:rPr>
        <w:t> </w:t>
      </w:r>
      <w:r>
        <w:rPr>
          <w:sz w:val="20"/>
        </w:rPr>
        <w:t>e</w:t>
      </w:r>
      <w:r>
        <w:rPr>
          <w:spacing w:val="-22"/>
          <w:sz w:val="20"/>
        </w:rPr>
        <w:t> </w:t>
      </w:r>
      <w:r>
        <w:rPr>
          <w:sz w:val="20"/>
        </w:rPr>
        <w:t>circunstâncias.</w:t>
      </w:r>
    </w:p>
    <w:p>
      <w:pPr>
        <w:pStyle w:val="BodyText"/>
        <w:spacing w:before="104"/>
        <w:ind w:left="192"/>
        <w:jc w:val="both"/>
      </w:pPr>
      <w:r>
        <w:rPr/>
        <w:t>O ICPC 22 entra em vigor para exercícios iniciados em, ou após, 1º de janeiro de 2019.</w:t>
      </w:r>
    </w:p>
    <w:p>
      <w:pPr>
        <w:pStyle w:val="BodyText"/>
        <w:spacing w:line="242" w:lineRule="auto" w:before="102"/>
        <w:ind w:left="192" w:right="616"/>
        <w:jc w:val="both"/>
      </w:pPr>
      <w:r>
        <w:rPr/>
        <w:t>A</w:t>
      </w:r>
      <w:r>
        <w:rPr>
          <w:spacing w:val="-22"/>
        </w:rPr>
        <w:t> </w:t>
      </w:r>
      <w:r>
        <w:rPr/>
        <w:t>Companhia</w:t>
      </w:r>
      <w:r>
        <w:rPr>
          <w:spacing w:val="-19"/>
        </w:rPr>
        <w:t> </w:t>
      </w:r>
      <w:r>
        <w:rPr/>
        <w:t>não</w:t>
      </w:r>
      <w:r>
        <w:rPr>
          <w:spacing w:val="-22"/>
        </w:rPr>
        <w:t> </w:t>
      </w:r>
      <w:r>
        <w:rPr/>
        <w:t>terá</w:t>
      </w:r>
      <w:r>
        <w:rPr>
          <w:spacing w:val="-21"/>
        </w:rPr>
        <w:t> </w:t>
      </w:r>
      <w:r>
        <w:rPr/>
        <w:t>impacto</w:t>
      </w:r>
      <w:r>
        <w:rPr>
          <w:spacing w:val="-22"/>
        </w:rPr>
        <w:t> </w:t>
      </w:r>
      <w:r>
        <w:rPr/>
        <w:t>na</w:t>
      </w:r>
      <w:r>
        <w:rPr>
          <w:spacing w:val="-21"/>
        </w:rPr>
        <w:t> </w:t>
      </w:r>
      <w:r>
        <w:rPr/>
        <w:t>aplicação</w:t>
      </w:r>
      <w:r>
        <w:rPr>
          <w:spacing w:val="-22"/>
        </w:rPr>
        <w:t> </w:t>
      </w:r>
      <w:r>
        <w:rPr/>
        <w:t>desse</w:t>
      </w:r>
      <w:r>
        <w:rPr>
          <w:spacing w:val="-21"/>
        </w:rPr>
        <w:t> </w:t>
      </w:r>
      <w:r>
        <w:rPr/>
        <w:t>pronunciamento,</w:t>
      </w:r>
      <w:r>
        <w:rPr>
          <w:spacing w:val="-22"/>
        </w:rPr>
        <w:t> </w:t>
      </w:r>
      <w:r>
        <w:rPr/>
        <w:t>haja</w:t>
      </w:r>
      <w:r>
        <w:rPr>
          <w:spacing w:val="-21"/>
        </w:rPr>
        <w:t> </w:t>
      </w:r>
      <w:r>
        <w:rPr/>
        <w:t>vista</w:t>
      </w:r>
      <w:r>
        <w:rPr>
          <w:spacing w:val="-20"/>
        </w:rPr>
        <w:t> </w:t>
      </w:r>
      <w:r>
        <w:rPr/>
        <w:t>não</w:t>
      </w:r>
      <w:r>
        <w:rPr>
          <w:spacing w:val="-20"/>
        </w:rPr>
        <w:t> </w:t>
      </w:r>
      <w:r>
        <w:rPr/>
        <w:t>possuir</w:t>
      </w:r>
      <w:r>
        <w:rPr>
          <w:spacing w:val="-22"/>
        </w:rPr>
        <w:t> </w:t>
      </w:r>
      <w:r>
        <w:rPr/>
        <w:t>aplicabilidade</w:t>
      </w:r>
      <w:r>
        <w:rPr>
          <w:spacing w:val="-22"/>
        </w:rPr>
        <w:t> </w:t>
      </w:r>
      <w:r>
        <w:rPr/>
        <w:t>sobre</w:t>
      </w:r>
      <w:r>
        <w:rPr>
          <w:spacing w:val="-22"/>
        </w:rPr>
        <w:t> </w:t>
      </w:r>
      <w:r>
        <w:rPr/>
        <w:t>as alterações</w:t>
      </w:r>
      <w:r>
        <w:rPr>
          <w:spacing w:val="-21"/>
        </w:rPr>
        <w:t> </w:t>
      </w:r>
      <w:r>
        <w:rPr/>
        <w:t>ora</w:t>
      </w:r>
      <w:r>
        <w:rPr>
          <w:spacing w:val="-20"/>
        </w:rPr>
        <w:t> </w:t>
      </w:r>
      <w:r>
        <w:rPr/>
        <w:t>propostas</w:t>
      </w:r>
      <w:r>
        <w:rPr>
          <w:spacing w:val="-20"/>
        </w:rPr>
        <w:t> </w:t>
      </w:r>
      <w:r>
        <w:rPr/>
        <w:t>dada</w:t>
      </w:r>
      <w:r>
        <w:rPr>
          <w:spacing w:val="-20"/>
        </w:rPr>
        <w:t> </w:t>
      </w:r>
      <w:r>
        <w:rPr/>
        <w:t>as</w:t>
      </w:r>
      <w:r>
        <w:rPr>
          <w:spacing w:val="-20"/>
        </w:rPr>
        <w:t> </w:t>
      </w:r>
      <w:r>
        <w:rPr/>
        <w:t>divulgações</w:t>
      </w:r>
      <w:r>
        <w:rPr>
          <w:spacing w:val="-20"/>
        </w:rPr>
        <w:t> </w:t>
      </w:r>
      <w:r>
        <w:rPr/>
        <w:t>já</w:t>
      </w:r>
      <w:r>
        <w:rPr>
          <w:spacing w:val="-19"/>
        </w:rPr>
        <w:t> </w:t>
      </w:r>
      <w:r>
        <w:rPr/>
        <w:t>realizadas</w:t>
      </w:r>
      <w:r>
        <w:rPr>
          <w:spacing w:val="-20"/>
        </w:rPr>
        <w:t> </w:t>
      </w:r>
      <w:r>
        <w:rPr/>
        <w:t>pela</w:t>
      </w:r>
      <w:r>
        <w:rPr>
          <w:spacing w:val="-20"/>
        </w:rPr>
        <w:t> </w:t>
      </w:r>
      <w:r>
        <w:rPr/>
        <w:t>Companhia.</w:t>
      </w:r>
    </w:p>
    <w:p>
      <w:pPr>
        <w:pStyle w:val="BodyText"/>
        <w:spacing w:before="11"/>
        <w:rPr>
          <w:sz w:val="19"/>
        </w:rPr>
      </w:pPr>
    </w:p>
    <w:p>
      <w:pPr>
        <w:spacing w:before="0"/>
        <w:ind w:left="192" w:right="0" w:firstLine="0"/>
        <w:jc w:val="both"/>
        <w:rPr>
          <w:rFonts w:ascii="Caladea" w:hAnsi="Caladea"/>
          <w:b/>
          <w:sz w:val="20"/>
        </w:rPr>
      </w:pPr>
      <w:r>
        <w:rPr>
          <w:rFonts w:ascii="Caladea" w:hAnsi="Caladea"/>
          <w:b/>
          <w:sz w:val="20"/>
        </w:rPr>
        <w:t>IFRS 16 / Pronunciamento Técnico CPC 06 (Operações de Arrendamento Mercantil)</w:t>
      </w:r>
    </w:p>
    <w:p>
      <w:pPr>
        <w:pStyle w:val="BodyText"/>
        <w:spacing w:line="242" w:lineRule="auto" w:before="102"/>
        <w:ind w:left="192" w:right="620"/>
        <w:jc w:val="both"/>
      </w:pPr>
      <w:r>
        <w:rPr/>
        <w:t>Esse</w:t>
      </w:r>
      <w:r>
        <w:rPr>
          <w:spacing w:val="-30"/>
        </w:rPr>
        <w:t> </w:t>
      </w:r>
      <w:r>
        <w:rPr/>
        <w:t>pronunciamento</w:t>
      </w:r>
      <w:r>
        <w:rPr>
          <w:spacing w:val="-28"/>
        </w:rPr>
        <w:t> </w:t>
      </w:r>
      <w:r>
        <w:rPr/>
        <w:t>estabelece</w:t>
      </w:r>
      <w:r>
        <w:rPr>
          <w:spacing w:val="-29"/>
        </w:rPr>
        <w:t> </w:t>
      </w:r>
      <w:r>
        <w:rPr/>
        <w:t>os</w:t>
      </w:r>
      <w:r>
        <w:rPr>
          <w:spacing w:val="-29"/>
        </w:rPr>
        <w:t> </w:t>
      </w:r>
      <w:r>
        <w:rPr/>
        <w:t>princípios</w:t>
      </w:r>
      <w:r>
        <w:rPr>
          <w:spacing w:val="-28"/>
        </w:rPr>
        <w:t> </w:t>
      </w:r>
      <w:r>
        <w:rPr/>
        <w:t>para</w:t>
      </w:r>
      <w:r>
        <w:rPr>
          <w:spacing w:val="-28"/>
        </w:rPr>
        <w:t> </w:t>
      </w:r>
      <w:r>
        <w:rPr/>
        <w:t>o</w:t>
      </w:r>
      <w:r>
        <w:rPr>
          <w:spacing w:val="-28"/>
        </w:rPr>
        <w:t> </w:t>
      </w:r>
      <w:r>
        <w:rPr/>
        <w:t>reconhecimento,</w:t>
      </w:r>
      <w:r>
        <w:rPr>
          <w:spacing w:val="-30"/>
        </w:rPr>
        <w:t> </w:t>
      </w:r>
      <w:r>
        <w:rPr/>
        <w:t>mensuração,</w:t>
      </w:r>
      <w:r>
        <w:rPr>
          <w:spacing w:val="-29"/>
        </w:rPr>
        <w:t> </w:t>
      </w:r>
      <w:r>
        <w:rPr/>
        <w:t>apresentação</w:t>
      </w:r>
      <w:r>
        <w:rPr>
          <w:spacing w:val="-29"/>
        </w:rPr>
        <w:t> </w:t>
      </w:r>
      <w:r>
        <w:rPr/>
        <w:t>e</w:t>
      </w:r>
      <w:r>
        <w:rPr>
          <w:spacing w:val="-28"/>
        </w:rPr>
        <w:t> </w:t>
      </w:r>
      <w:r>
        <w:rPr/>
        <w:t>divulgação</w:t>
      </w:r>
      <w:r>
        <w:rPr>
          <w:spacing w:val="-30"/>
        </w:rPr>
        <w:t> </w:t>
      </w:r>
      <w:r>
        <w:rPr/>
        <w:t>de arrendamentos.</w:t>
      </w:r>
      <w:r>
        <w:rPr>
          <w:spacing w:val="-38"/>
        </w:rPr>
        <w:t> </w:t>
      </w:r>
      <w:r>
        <w:rPr/>
        <w:t>O</w:t>
      </w:r>
      <w:r>
        <w:rPr>
          <w:spacing w:val="-39"/>
        </w:rPr>
        <w:t> </w:t>
      </w:r>
      <w:r>
        <w:rPr/>
        <w:t>objetivo</w:t>
      </w:r>
      <w:r>
        <w:rPr>
          <w:spacing w:val="-37"/>
        </w:rPr>
        <w:t> </w:t>
      </w:r>
      <w:r>
        <w:rPr/>
        <w:t>é</w:t>
      </w:r>
      <w:r>
        <w:rPr>
          <w:spacing w:val="-37"/>
        </w:rPr>
        <w:t> </w:t>
      </w:r>
      <w:r>
        <w:rPr/>
        <w:t>garantir</w:t>
      </w:r>
      <w:r>
        <w:rPr>
          <w:spacing w:val="-38"/>
        </w:rPr>
        <w:t> </w:t>
      </w:r>
      <w:r>
        <w:rPr/>
        <w:t>que</w:t>
      </w:r>
      <w:r>
        <w:rPr>
          <w:spacing w:val="-39"/>
        </w:rPr>
        <w:t> </w:t>
      </w:r>
      <w:r>
        <w:rPr/>
        <w:t>arrendatários</w:t>
      </w:r>
      <w:r>
        <w:rPr>
          <w:spacing w:val="-36"/>
        </w:rPr>
        <w:t> </w:t>
      </w:r>
      <w:r>
        <w:rPr/>
        <w:t>e</w:t>
      </w:r>
      <w:r>
        <w:rPr>
          <w:spacing w:val="-39"/>
        </w:rPr>
        <w:t> </w:t>
      </w:r>
      <w:r>
        <w:rPr/>
        <w:t>arrendadores</w:t>
      </w:r>
      <w:r>
        <w:rPr>
          <w:spacing w:val="-38"/>
        </w:rPr>
        <w:t> </w:t>
      </w:r>
      <w:r>
        <w:rPr/>
        <w:t>forneçam</w:t>
      </w:r>
      <w:r>
        <w:rPr>
          <w:spacing w:val="-38"/>
        </w:rPr>
        <w:t> </w:t>
      </w:r>
      <w:r>
        <w:rPr/>
        <w:t>informações</w:t>
      </w:r>
      <w:r>
        <w:rPr>
          <w:spacing w:val="-37"/>
        </w:rPr>
        <w:t> </w:t>
      </w:r>
      <w:r>
        <w:rPr/>
        <w:t>relevantes,</w:t>
      </w:r>
      <w:r>
        <w:rPr>
          <w:spacing w:val="-38"/>
        </w:rPr>
        <w:t> </w:t>
      </w:r>
      <w:r>
        <w:rPr/>
        <w:t>de</w:t>
      </w:r>
      <w:r>
        <w:rPr>
          <w:spacing w:val="-39"/>
        </w:rPr>
        <w:t> </w:t>
      </w:r>
      <w:r>
        <w:rPr/>
        <w:t>modo que</w:t>
      </w:r>
      <w:r>
        <w:rPr>
          <w:spacing w:val="-18"/>
        </w:rPr>
        <w:t> </w:t>
      </w:r>
      <w:r>
        <w:rPr/>
        <w:t>representem</w:t>
      </w:r>
      <w:r>
        <w:rPr>
          <w:spacing w:val="-17"/>
        </w:rPr>
        <w:t> </w:t>
      </w:r>
      <w:r>
        <w:rPr/>
        <w:t>fielmente</w:t>
      </w:r>
      <w:r>
        <w:rPr>
          <w:spacing w:val="-18"/>
        </w:rPr>
        <w:t> </w:t>
      </w:r>
      <w:r>
        <w:rPr/>
        <w:t>essas</w:t>
      </w:r>
      <w:r>
        <w:rPr>
          <w:spacing w:val="-18"/>
        </w:rPr>
        <w:t> </w:t>
      </w:r>
      <w:r>
        <w:rPr/>
        <w:t>transações.</w:t>
      </w:r>
    </w:p>
    <w:p>
      <w:pPr>
        <w:pStyle w:val="BodyText"/>
        <w:spacing w:line="242" w:lineRule="auto" w:before="100"/>
        <w:ind w:left="192" w:right="615"/>
        <w:jc w:val="both"/>
      </w:pPr>
      <w:r>
        <w:rPr/>
        <w:t>A norma traz uma forma única de reconhecimento dos arrendamentos para os arrendatários. Os arrendatários passam</w:t>
      </w:r>
      <w:r>
        <w:rPr>
          <w:spacing w:val="-38"/>
        </w:rPr>
        <w:t> </w:t>
      </w:r>
      <w:r>
        <w:rPr/>
        <w:t>a</w:t>
      </w:r>
      <w:r>
        <w:rPr>
          <w:spacing w:val="-38"/>
        </w:rPr>
        <w:t> </w:t>
      </w:r>
      <w:r>
        <w:rPr/>
        <w:t>ter</w:t>
      </w:r>
      <w:r>
        <w:rPr>
          <w:spacing w:val="-37"/>
        </w:rPr>
        <w:t> </w:t>
      </w:r>
      <w:r>
        <w:rPr/>
        <w:t>que</w:t>
      </w:r>
      <w:r>
        <w:rPr>
          <w:spacing w:val="-36"/>
        </w:rPr>
        <w:t> </w:t>
      </w:r>
      <w:r>
        <w:rPr/>
        <w:t>reconhecer</w:t>
      </w:r>
      <w:r>
        <w:rPr>
          <w:spacing w:val="-37"/>
        </w:rPr>
        <w:t> </w:t>
      </w:r>
      <w:r>
        <w:rPr/>
        <w:t>o</w:t>
      </w:r>
      <w:r>
        <w:rPr>
          <w:spacing w:val="-38"/>
        </w:rPr>
        <w:t> </w:t>
      </w:r>
      <w:r>
        <w:rPr/>
        <w:t>passivo</w:t>
      </w:r>
      <w:r>
        <w:rPr>
          <w:spacing w:val="-38"/>
        </w:rPr>
        <w:t> </w:t>
      </w:r>
      <w:r>
        <w:rPr/>
        <w:t>dos</w:t>
      </w:r>
      <w:r>
        <w:rPr>
          <w:spacing w:val="-36"/>
        </w:rPr>
        <w:t> </w:t>
      </w:r>
      <w:r>
        <w:rPr/>
        <w:t>pagamentos</w:t>
      </w:r>
      <w:r>
        <w:rPr>
          <w:spacing w:val="-38"/>
        </w:rPr>
        <w:t> </w:t>
      </w:r>
      <w:r>
        <w:rPr/>
        <w:t>e</w:t>
      </w:r>
      <w:r>
        <w:rPr>
          <w:spacing w:val="-35"/>
        </w:rPr>
        <w:t> </w:t>
      </w:r>
      <w:r>
        <w:rPr/>
        <w:t>o</w:t>
      </w:r>
      <w:r>
        <w:rPr>
          <w:spacing w:val="-38"/>
        </w:rPr>
        <w:t> </w:t>
      </w:r>
      <w:r>
        <w:rPr/>
        <w:t>direito</w:t>
      </w:r>
      <w:r>
        <w:rPr>
          <w:spacing w:val="-38"/>
        </w:rPr>
        <w:t> </w:t>
      </w:r>
      <w:r>
        <w:rPr/>
        <w:t>de</w:t>
      </w:r>
      <w:r>
        <w:rPr>
          <w:spacing w:val="-39"/>
        </w:rPr>
        <w:t> </w:t>
      </w:r>
      <w:r>
        <w:rPr/>
        <w:t>uso</w:t>
      </w:r>
      <w:r>
        <w:rPr>
          <w:spacing w:val="-36"/>
        </w:rPr>
        <w:t> </w:t>
      </w:r>
      <w:r>
        <w:rPr/>
        <w:t>do</w:t>
      </w:r>
      <w:r>
        <w:rPr>
          <w:spacing w:val="-37"/>
        </w:rPr>
        <w:t> </w:t>
      </w:r>
      <w:r>
        <w:rPr/>
        <w:t>ativo</w:t>
      </w:r>
      <w:r>
        <w:rPr>
          <w:spacing w:val="-38"/>
        </w:rPr>
        <w:t> </w:t>
      </w:r>
      <w:r>
        <w:rPr/>
        <w:t>arrendado</w:t>
      </w:r>
      <w:r>
        <w:rPr>
          <w:spacing w:val="-37"/>
        </w:rPr>
        <w:t> </w:t>
      </w:r>
      <w:r>
        <w:rPr/>
        <w:t>na</w:t>
      </w:r>
      <w:r>
        <w:rPr>
          <w:spacing w:val="-37"/>
        </w:rPr>
        <w:t> </w:t>
      </w:r>
      <w:r>
        <w:rPr/>
        <w:t>maioria</w:t>
      </w:r>
      <w:r>
        <w:rPr>
          <w:spacing w:val="-38"/>
        </w:rPr>
        <w:t> </w:t>
      </w:r>
      <w:r>
        <w:rPr/>
        <w:t>dos</w:t>
      </w:r>
      <w:r>
        <w:rPr>
          <w:spacing w:val="-36"/>
        </w:rPr>
        <w:t> </w:t>
      </w:r>
      <w:r>
        <w:rPr/>
        <w:t>contratos de arrendamento mercantil, inclusive os operacionais. Os critérios de reconhecimento e mensuração dos arrendamentos</w:t>
      </w:r>
      <w:r>
        <w:rPr>
          <w:spacing w:val="-24"/>
        </w:rPr>
        <w:t> </w:t>
      </w:r>
      <w:r>
        <w:rPr/>
        <w:t>nas</w:t>
      </w:r>
      <w:r>
        <w:rPr>
          <w:spacing w:val="-24"/>
        </w:rPr>
        <w:t> </w:t>
      </w:r>
      <w:r>
        <w:rPr/>
        <w:t>Demonstrações</w:t>
      </w:r>
      <w:r>
        <w:rPr>
          <w:spacing w:val="-24"/>
        </w:rPr>
        <w:t> </w:t>
      </w:r>
      <w:r>
        <w:rPr/>
        <w:t>Financeiras</w:t>
      </w:r>
      <w:r>
        <w:rPr>
          <w:spacing w:val="-24"/>
        </w:rPr>
        <w:t> </w:t>
      </w:r>
      <w:r>
        <w:rPr/>
        <w:t>dos</w:t>
      </w:r>
      <w:r>
        <w:rPr>
          <w:spacing w:val="-24"/>
        </w:rPr>
        <w:t> </w:t>
      </w:r>
      <w:r>
        <w:rPr/>
        <w:t>arrendadores</w:t>
      </w:r>
      <w:r>
        <w:rPr>
          <w:spacing w:val="-24"/>
        </w:rPr>
        <w:t> </w:t>
      </w:r>
      <w:r>
        <w:rPr/>
        <w:t>ficam</w:t>
      </w:r>
      <w:r>
        <w:rPr>
          <w:spacing w:val="-25"/>
        </w:rPr>
        <w:t> </w:t>
      </w:r>
      <w:r>
        <w:rPr/>
        <w:t>substancialmente</w:t>
      </w:r>
      <w:r>
        <w:rPr>
          <w:spacing w:val="-24"/>
        </w:rPr>
        <w:t> </w:t>
      </w:r>
      <w:r>
        <w:rPr/>
        <w:t>mantidos.</w:t>
      </w:r>
    </w:p>
    <w:p>
      <w:pPr>
        <w:pStyle w:val="BodyText"/>
        <w:spacing w:line="242" w:lineRule="auto" w:before="101"/>
        <w:ind w:left="192" w:right="609"/>
        <w:jc w:val="both"/>
      </w:pPr>
      <w:r>
        <w:rPr/>
        <w:t>O</w:t>
      </w:r>
      <w:r>
        <w:rPr>
          <w:spacing w:val="-19"/>
        </w:rPr>
        <w:t> </w:t>
      </w:r>
      <w:r>
        <w:rPr/>
        <w:t>CPC</w:t>
      </w:r>
      <w:r>
        <w:rPr>
          <w:spacing w:val="-17"/>
        </w:rPr>
        <w:t> </w:t>
      </w:r>
      <w:r>
        <w:rPr/>
        <w:t>06</w:t>
      </w:r>
      <w:r>
        <w:rPr>
          <w:spacing w:val="-16"/>
        </w:rPr>
        <w:t> </w:t>
      </w:r>
      <w:r>
        <w:rPr/>
        <w:t>entra</w:t>
      </w:r>
      <w:r>
        <w:rPr>
          <w:spacing w:val="-15"/>
        </w:rPr>
        <w:t> </w:t>
      </w:r>
      <w:r>
        <w:rPr/>
        <w:t>em</w:t>
      </w:r>
      <w:r>
        <w:rPr>
          <w:spacing w:val="-19"/>
        </w:rPr>
        <w:t> </w:t>
      </w:r>
      <w:r>
        <w:rPr/>
        <w:t>vigor</w:t>
      </w:r>
      <w:r>
        <w:rPr>
          <w:spacing w:val="-17"/>
        </w:rPr>
        <w:t> </w:t>
      </w:r>
      <w:r>
        <w:rPr/>
        <w:t>para</w:t>
      </w:r>
      <w:r>
        <w:rPr>
          <w:spacing w:val="-17"/>
        </w:rPr>
        <w:t> </w:t>
      </w:r>
      <w:r>
        <w:rPr/>
        <w:t>exercícios</w:t>
      </w:r>
      <w:r>
        <w:rPr>
          <w:spacing w:val="-18"/>
        </w:rPr>
        <w:t> </w:t>
      </w:r>
      <w:r>
        <w:rPr/>
        <w:t>iniciados</w:t>
      </w:r>
      <w:r>
        <w:rPr>
          <w:spacing w:val="-16"/>
        </w:rPr>
        <w:t> </w:t>
      </w:r>
      <w:r>
        <w:rPr/>
        <w:t>em,</w:t>
      </w:r>
      <w:r>
        <w:rPr>
          <w:spacing w:val="-18"/>
        </w:rPr>
        <w:t> </w:t>
      </w:r>
      <w:r>
        <w:rPr/>
        <w:t>ou</w:t>
      </w:r>
      <w:r>
        <w:rPr>
          <w:spacing w:val="-18"/>
        </w:rPr>
        <w:t> </w:t>
      </w:r>
      <w:r>
        <w:rPr/>
        <w:t>após,</w:t>
      </w:r>
      <w:r>
        <w:rPr>
          <w:spacing w:val="-18"/>
        </w:rPr>
        <w:t> </w:t>
      </w:r>
      <w:r>
        <w:rPr/>
        <w:t>1º</w:t>
      </w:r>
      <w:r>
        <w:rPr>
          <w:spacing w:val="-16"/>
        </w:rPr>
        <w:t> </w:t>
      </w:r>
      <w:r>
        <w:rPr/>
        <w:t>de</w:t>
      </w:r>
      <w:r>
        <w:rPr>
          <w:spacing w:val="-19"/>
        </w:rPr>
        <w:t> </w:t>
      </w:r>
      <w:r>
        <w:rPr/>
        <w:t>janeiro</w:t>
      </w:r>
      <w:r>
        <w:rPr>
          <w:spacing w:val="-17"/>
        </w:rPr>
        <w:t> </w:t>
      </w:r>
      <w:r>
        <w:rPr/>
        <w:t>de</w:t>
      </w:r>
      <w:r>
        <w:rPr>
          <w:spacing w:val="-17"/>
        </w:rPr>
        <w:t> </w:t>
      </w:r>
      <w:r>
        <w:rPr>
          <w:spacing w:val="3"/>
        </w:rPr>
        <w:t>2019</w:t>
      </w:r>
      <w:r>
        <w:rPr>
          <w:spacing w:val="-18"/>
        </w:rPr>
        <w:t> </w:t>
      </w:r>
      <w:r>
        <w:rPr/>
        <w:t>e</w:t>
      </w:r>
      <w:r>
        <w:rPr>
          <w:spacing w:val="-17"/>
        </w:rPr>
        <w:t> </w:t>
      </w:r>
      <w:r>
        <w:rPr/>
        <w:t>substitui</w:t>
      </w:r>
      <w:r>
        <w:rPr>
          <w:spacing w:val="-17"/>
        </w:rPr>
        <w:t> </w:t>
      </w:r>
      <w:r>
        <w:rPr/>
        <w:t>o</w:t>
      </w:r>
      <w:r>
        <w:rPr>
          <w:spacing w:val="-18"/>
        </w:rPr>
        <w:t> </w:t>
      </w:r>
      <w:r>
        <w:rPr/>
        <w:t>IAS</w:t>
      </w:r>
      <w:r>
        <w:rPr>
          <w:spacing w:val="-19"/>
        </w:rPr>
        <w:t> </w:t>
      </w:r>
      <w:r>
        <w:rPr/>
        <w:t>17/CPC</w:t>
      </w:r>
      <w:r>
        <w:rPr>
          <w:spacing w:val="-16"/>
        </w:rPr>
        <w:t> </w:t>
      </w:r>
      <w:r>
        <w:rPr/>
        <w:t>06</w:t>
      </w:r>
      <w:r>
        <w:rPr>
          <w:spacing w:val="-16"/>
        </w:rPr>
        <w:t> </w:t>
      </w:r>
      <w:r>
        <w:rPr/>
        <w:t>- Operações</w:t>
      </w:r>
      <w:r>
        <w:rPr>
          <w:spacing w:val="-4"/>
        </w:rPr>
        <w:t> </w:t>
      </w:r>
      <w:r>
        <w:rPr/>
        <w:t>de</w:t>
      </w:r>
      <w:r>
        <w:rPr>
          <w:spacing w:val="-4"/>
        </w:rPr>
        <w:t> </w:t>
      </w:r>
      <w:r>
        <w:rPr/>
        <w:t>Arrendamento</w:t>
      </w:r>
      <w:r>
        <w:rPr>
          <w:spacing w:val="-6"/>
        </w:rPr>
        <w:t> </w:t>
      </w:r>
      <w:r>
        <w:rPr/>
        <w:t>Mercantil</w:t>
      </w:r>
      <w:r>
        <w:rPr>
          <w:spacing w:val="-3"/>
        </w:rPr>
        <w:t> </w:t>
      </w:r>
      <w:r>
        <w:rPr/>
        <w:t>e</w:t>
      </w:r>
      <w:r>
        <w:rPr>
          <w:spacing w:val="-6"/>
        </w:rPr>
        <w:t> </w:t>
      </w:r>
      <w:r>
        <w:rPr/>
        <w:t>correspondentes;</w:t>
      </w:r>
      <w:r>
        <w:rPr>
          <w:spacing w:val="-3"/>
        </w:rPr>
        <w:t> </w:t>
      </w:r>
      <w:r>
        <w:rPr/>
        <w:t>e</w:t>
      </w:r>
      <w:r>
        <w:rPr>
          <w:spacing w:val="-6"/>
        </w:rPr>
        <w:t> </w:t>
      </w:r>
      <w:r>
        <w:rPr/>
        <w:t>o</w:t>
      </w:r>
      <w:r>
        <w:rPr>
          <w:spacing w:val="-4"/>
        </w:rPr>
        <w:t> </w:t>
      </w:r>
      <w:r>
        <w:rPr/>
        <w:t>IFRIC</w:t>
      </w:r>
      <w:r>
        <w:rPr>
          <w:spacing w:val="-5"/>
        </w:rPr>
        <w:t> </w:t>
      </w:r>
      <w:r>
        <w:rPr/>
        <w:t>4/ICPC</w:t>
      </w:r>
      <w:r>
        <w:rPr>
          <w:spacing w:val="-5"/>
        </w:rPr>
        <w:t> </w:t>
      </w:r>
      <w:r>
        <w:rPr/>
        <w:t>03</w:t>
      </w:r>
      <w:r>
        <w:rPr>
          <w:spacing w:val="2"/>
        </w:rPr>
        <w:t> </w:t>
      </w:r>
      <w:r>
        <w:rPr>
          <w:w w:val="105"/>
        </w:rPr>
        <w:t>–</w:t>
      </w:r>
      <w:r>
        <w:rPr>
          <w:spacing w:val="-6"/>
          <w:w w:val="105"/>
        </w:rPr>
        <w:t> </w:t>
      </w:r>
      <w:r>
        <w:rPr/>
        <w:t>Aspectos</w:t>
      </w:r>
      <w:r>
        <w:rPr>
          <w:spacing w:val="-5"/>
        </w:rPr>
        <w:t> </w:t>
      </w:r>
      <w:r>
        <w:rPr/>
        <w:t>Complementares</w:t>
      </w:r>
      <w:r>
        <w:rPr>
          <w:spacing w:val="-3"/>
        </w:rPr>
        <w:t> </w:t>
      </w:r>
      <w:r>
        <w:rPr/>
        <w:t>das </w:t>
      </w:r>
      <w:r>
        <w:rPr>
          <w:spacing w:val="-1"/>
          <w:w w:val="97"/>
        </w:rPr>
        <w:t>Op</w:t>
      </w:r>
      <w:r>
        <w:rPr>
          <w:spacing w:val="1"/>
          <w:w w:val="89"/>
        </w:rPr>
        <w:t>e</w:t>
      </w:r>
      <w:r>
        <w:rPr>
          <w:spacing w:val="-1"/>
          <w:w w:val="105"/>
        </w:rPr>
        <w:t>r</w:t>
      </w:r>
      <w:r>
        <w:rPr>
          <w:w w:val="92"/>
        </w:rPr>
        <w:t>a</w:t>
      </w:r>
      <w:r>
        <w:rPr>
          <w:w w:val="88"/>
        </w:rPr>
        <w:t>ç</w:t>
      </w:r>
      <w:r>
        <w:rPr>
          <w:w w:val="93"/>
        </w:rPr>
        <w:t>õ</w:t>
      </w:r>
      <w:r>
        <w:rPr>
          <w:spacing w:val="-2"/>
          <w:w w:val="93"/>
        </w:rPr>
        <w:t>e</w:t>
      </w:r>
      <w:r>
        <w:rPr>
          <w:w w:val="105"/>
        </w:rPr>
        <w:t>s</w:t>
      </w:r>
      <w:r>
        <w:rPr>
          <w:spacing w:val="-15"/>
        </w:rPr>
        <w:t> </w:t>
      </w:r>
      <w:r>
        <w:rPr>
          <w:w w:val="94"/>
        </w:rPr>
        <w:t>de</w:t>
      </w:r>
      <w:r>
        <w:rPr>
          <w:spacing w:val="-17"/>
        </w:rPr>
        <w:t> </w:t>
      </w:r>
      <w:r>
        <w:rPr>
          <w:w w:val="105"/>
        </w:rPr>
        <w:t>A</w:t>
      </w:r>
      <w:r>
        <w:rPr>
          <w:spacing w:val="-1"/>
          <w:w w:val="105"/>
        </w:rPr>
        <w:t>r</w:t>
      </w:r>
      <w:r>
        <w:rPr>
          <w:spacing w:val="1"/>
          <w:w w:val="105"/>
        </w:rPr>
        <w:t>r</w:t>
      </w:r>
      <w:r>
        <w:rPr>
          <w:spacing w:val="1"/>
          <w:w w:val="89"/>
        </w:rPr>
        <w:t>e</w:t>
      </w:r>
      <w:r>
        <w:rPr>
          <w:spacing w:val="-1"/>
          <w:w w:val="101"/>
        </w:rPr>
        <w:t>n</w:t>
      </w:r>
      <w:r>
        <w:rPr>
          <w:w w:val="95"/>
        </w:rPr>
        <w:t>da</w:t>
      </w:r>
      <w:r>
        <w:rPr>
          <w:spacing w:val="1"/>
          <w:w w:val="99"/>
        </w:rPr>
        <w:t>m</w:t>
      </w:r>
      <w:r>
        <w:rPr>
          <w:spacing w:val="-2"/>
          <w:w w:val="89"/>
        </w:rPr>
        <w:t>e</w:t>
      </w:r>
      <w:r>
        <w:rPr>
          <w:spacing w:val="-1"/>
          <w:w w:val="101"/>
        </w:rPr>
        <w:t>n</w:t>
      </w:r>
      <w:r>
        <w:rPr>
          <w:spacing w:val="1"/>
          <w:w w:val="85"/>
        </w:rPr>
        <w:t>t</w:t>
      </w:r>
      <w:r>
        <w:rPr>
          <w:w w:val="98"/>
        </w:rPr>
        <w:t>o</w:t>
      </w:r>
      <w:r>
        <w:rPr>
          <w:spacing w:val="-15"/>
        </w:rPr>
        <w:t> </w:t>
      </w:r>
      <w:r>
        <w:rPr>
          <w:w w:val="114"/>
        </w:rPr>
        <w:t>M</w:t>
      </w:r>
      <w:r>
        <w:rPr>
          <w:spacing w:val="-2"/>
          <w:w w:val="89"/>
        </w:rPr>
        <w:t>e</w:t>
      </w:r>
      <w:r>
        <w:rPr>
          <w:spacing w:val="-1"/>
          <w:w w:val="105"/>
        </w:rPr>
        <w:t>r</w:t>
      </w:r>
      <w:r>
        <w:rPr>
          <w:w w:val="88"/>
        </w:rPr>
        <w:t>c</w:t>
      </w:r>
      <w:r>
        <w:rPr>
          <w:w w:val="92"/>
        </w:rPr>
        <w:t>a</w:t>
      </w:r>
      <w:r>
        <w:rPr>
          <w:spacing w:val="1"/>
          <w:w w:val="101"/>
        </w:rPr>
        <w:t>n</w:t>
      </w:r>
      <w:r>
        <w:rPr>
          <w:spacing w:val="-1"/>
          <w:w w:val="90"/>
        </w:rPr>
        <w:t>ti</w:t>
      </w:r>
      <w:r>
        <w:rPr>
          <w:w w:val="90"/>
        </w:rPr>
        <w:t>l</w:t>
      </w:r>
      <w:r>
        <w:rPr>
          <w:w w:val="55"/>
        </w:rPr>
        <w:t>.</w:t>
      </w:r>
    </w:p>
    <w:p>
      <w:pPr>
        <w:pStyle w:val="BodyText"/>
        <w:spacing w:line="242" w:lineRule="auto" w:before="98"/>
        <w:ind w:left="192" w:right="606"/>
        <w:jc w:val="both"/>
      </w:pPr>
      <w:r>
        <w:rPr/>
        <w:t>O</w:t>
      </w:r>
      <w:r>
        <w:rPr>
          <w:spacing w:val="-21"/>
        </w:rPr>
        <w:t> </w:t>
      </w:r>
      <w:r>
        <w:rPr/>
        <w:t>Grupo</w:t>
      </w:r>
      <w:r>
        <w:rPr>
          <w:spacing w:val="-18"/>
        </w:rPr>
        <w:t> </w:t>
      </w:r>
      <w:r>
        <w:rPr/>
        <w:t>não</w:t>
      </w:r>
      <w:r>
        <w:rPr>
          <w:spacing w:val="-19"/>
        </w:rPr>
        <w:t> </w:t>
      </w:r>
      <w:r>
        <w:rPr/>
        <w:t>possui</w:t>
      </w:r>
      <w:r>
        <w:rPr>
          <w:spacing w:val="-20"/>
        </w:rPr>
        <w:t> </w:t>
      </w:r>
      <w:r>
        <w:rPr/>
        <w:t>operações</w:t>
      </w:r>
      <w:r>
        <w:rPr>
          <w:spacing w:val="-20"/>
        </w:rPr>
        <w:t> </w:t>
      </w:r>
      <w:r>
        <w:rPr/>
        <w:t>de</w:t>
      </w:r>
      <w:r>
        <w:rPr>
          <w:spacing w:val="-20"/>
        </w:rPr>
        <w:t> </w:t>
      </w:r>
      <w:r>
        <w:rPr/>
        <w:t>arrendamento</w:t>
      </w:r>
      <w:r>
        <w:rPr>
          <w:spacing w:val="-18"/>
        </w:rPr>
        <w:t> </w:t>
      </w:r>
      <w:r>
        <w:rPr/>
        <w:t>mercantil,</w:t>
      </w:r>
      <w:r>
        <w:rPr>
          <w:spacing w:val="-19"/>
        </w:rPr>
        <w:t> </w:t>
      </w:r>
      <w:r>
        <w:rPr/>
        <w:t>desta</w:t>
      </w:r>
      <w:r>
        <w:rPr>
          <w:spacing w:val="-19"/>
        </w:rPr>
        <w:t> </w:t>
      </w:r>
      <w:r>
        <w:rPr/>
        <w:t>forma,</w:t>
      </w:r>
      <w:r>
        <w:rPr>
          <w:spacing w:val="-19"/>
        </w:rPr>
        <w:t> </w:t>
      </w:r>
      <w:r>
        <w:rPr/>
        <w:t>não</w:t>
      </w:r>
      <w:r>
        <w:rPr>
          <w:spacing w:val="-13"/>
        </w:rPr>
        <w:t> </w:t>
      </w:r>
      <w:r>
        <w:rPr/>
        <w:t>possui</w:t>
      </w:r>
      <w:r>
        <w:rPr>
          <w:spacing w:val="-19"/>
        </w:rPr>
        <w:t> </w:t>
      </w:r>
      <w:r>
        <w:rPr/>
        <w:t>impacto</w:t>
      </w:r>
      <w:r>
        <w:rPr>
          <w:spacing w:val="-19"/>
        </w:rPr>
        <w:t> </w:t>
      </w:r>
      <w:r>
        <w:rPr/>
        <w:t>quando</w:t>
      </w:r>
      <w:r>
        <w:rPr>
          <w:spacing w:val="-19"/>
        </w:rPr>
        <w:t> </w:t>
      </w:r>
      <w:r>
        <w:rPr/>
        <w:t>da</w:t>
      </w:r>
      <w:r>
        <w:rPr>
          <w:spacing w:val="-18"/>
        </w:rPr>
        <w:t> </w:t>
      </w:r>
      <w:r>
        <w:rPr/>
        <w:t>aplicação deste</w:t>
      </w:r>
      <w:r>
        <w:rPr>
          <w:spacing w:val="-20"/>
        </w:rPr>
        <w:t> </w:t>
      </w:r>
      <w:r>
        <w:rPr/>
        <w:t>pronunciamento.</w:t>
      </w:r>
    </w:p>
    <w:p>
      <w:pPr>
        <w:pStyle w:val="BodyText"/>
        <w:spacing w:before="5"/>
      </w:pPr>
    </w:p>
    <w:p>
      <w:pPr>
        <w:pStyle w:val="Heading3"/>
        <w:numPr>
          <w:ilvl w:val="0"/>
          <w:numId w:val="6"/>
        </w:numPr>
        <w:tabs>
          <w:tab w:pos="973" w:val="left" w:leader="none"/>
          <w:tab w:pos="974" w:val="left" w:leader="none"/>
        </w:tabs>
        <w:spacing w:line="240" w:lineRule="auto" w:before="0" w:after="0"/>
        <w:ind w:left="973" w:right="0" w:hanging="782"/>
        <w:jc w:val="left"/>
      </w:pPr>
      <w:r>
        <w:rPr/>
        <w:t>REAPRESENTAÇÃO DOS EXERCÍCIOS</w:t>
      </w:r>
      <w:r>
        <w:rPr>
          <w:spacing w:val="-3"/>
        </w:rPr>
        <w:t> </w:t>
      </w:r>
      <w:r>
        <w:rPr/>
        <w:t>ANTERIORES</w:t>
      </w:r>
    </w:p>
    <w:p>
      <w:pPr>
        <w:pStyle w:val="BodyText"/>
        <w:spacing w:line="242" w:lineRule="auto" w:before="244"/>
        <w:ind w:left="192" w:right="613"/>
        <w:jc w:val="both"/>
      </w:pPr>
      <w:r>
        <w:rPr/>
        <w:t>Na</w:t>
      </w:r>
      <w:r>
        <w:rPr>
          <w:spacing w:val="-39"/>
        </w:rPr>
        <w:t> </w:t>
      </w:r>
      <w:r>
        <w:rPr/>
        <w:t>apresentação</w:t>
      </w:r>
      <w:r>
        <w:rPr>
          <w:spacing w:val="-40"/>
        </w:rPr>
        <w:t> </w:t>
      </w:r>
      <w:r>
        <w:rPr/>
        <w:t>das</w:t>
      </w:r>
      <w:r>
        <w:rPr>
          <w:spacing w:val="-39"/>
        </w:rPr>
        <w:t> </w:t>
      </w:r>
      <w:r>
        <w:rPr/>
        <w:t>Demonstrações</w:t>
      </w:r>
      <w:r>
        <w:rPr>
          <w:spacing w:val="-39"/>
        </w:rPr>
        <w:t> </w:t>
      </w:r>
      <w:r>
        <w:rPr/>
        <w:t>Financeiras</w:t>
      </w:r>
      <w:r>
        <w:rPr>
          <w:spacing w:val="-39"/>
        </w:rPr>
        <w:t> </w:t>
      </w:r>
      <w:r>
        <w:rPr/>
        <w:t>comparativas</w:t>
      </w:r>
      <w:r>
        <w:rPr>
          <w:spacing w:val="-39"/>
        </w:rPr>
        <w:t> </w:t>
      </w:r>
      <w:r>
        <w:rPr/>
        <w:t>de</w:t>
      </w:r>
      <w:r>
        <w:rPr>
          <w:spacing w:val="-40"/>
        </w:rPr>
        <w:t> </w:t>
      </w:r>
      <w:r>
        <w:rPr/>
        <w:t>31</w:t>
      </w:r>
      <w:r>
        <w:rPr>
          <w:spacing w:val="-38"/>
        </w:rPr>
        <w:t> </w:t>
      </w:r>
      <w:r>
        <w:rPr/>
        <w:t>de</w:t>
      </w:r>
      <w:r>
        <w:rPr>
          <w:spacing w:val="-41"/>
        </w:rPr>
        <w:t> </w:t>
      </w:r>
      <w:r>
        <w:rPr/>
        <w:t>dezembro</w:t>
      </w:r>
      <w:r>
        <w:rPr>
          <w:spacing w:val="-38"/>
        </w:rPr>
        <w:t> </w:t>
      </w:r>
      <w:r>
        <w:rPr/>
        <w:t>de</w:t>
      </w:r>
      <w:r>
        <w:rPr>
          <w:spacing w:val="-38"/>
        </w:rPr>
        <w:t> </w:t>
      </w:r>
      <w:r>
        <w:rPr/>
        <w:t>2018</w:t>
      </w:r>
      <w:r>
        <w:rPr>
          <w:spacing w:val="-37"/>
        </w:rPr>
        <w:t> </w:t>
      </w:r>
      <w:r>
        <w:rPr/>
        <w:t>e</w:t>
      </w:r>
      <w:r>
        <w:rPr>
          <w:spacing w:val="-41"/>
        </w:rPr>
        <w:t> </w:t>
      </w:r>
      <w:r>
        <w:rPr/>
        <w:t>31</w:t>
      </w:r>
      <w:r>
        <w:rPr>
          <w:spacing w:val="-38"/>
        </w:rPr>
        <w:t> </w:t>
      </w:r>
      <w:r>
        <w:rPr/>
        <w:t>de</w:t>
      </w:r>
      <w:r>
        <w:rPr>
          <w:spacing w:val="-39"/>
        </w:rPr>
        <w:t> </w:t>
      </w:r>
      <w:r>
        <w:rPr/>
        <w:t>dezembro</w:t>
      </w:r>
      <w:r>
        <w:rPr>
          <w:spacing w:val="-38"/>
        </w:rPr>
        <w:t> </w:t>
      </w:r>
      <w:r>
        <w:rPr/>
        <w:t>de</w:t>
      </w:r>
      <w:r>
        <w:rPr>
          <w:spacing w:val="-39"/>
        </w:rPr>
        <w:t> </w:t>
      </w:r>
      <w:r>
        <w:rPr/>
        <w:t>2017 foram efetuados ajustes visando apresentar, retrospectivamente, os efeitos das adoções dos Pronunciamentos Técnicos</w:t>
      </w:r>
      <w:r>
        <w:rPr>
          <w:spacing w:val="-18"/>
        </w:rPr>
        <w:t> </w:t>
      </w:r>
      <w:r>
        <w:rPr/>
        <w:t>CPC</w:t>
      </w:r>
      <w:r>
        <w:rPr>
          <w:spacing w:val="-19"/>
        </w:rPr>
        <w:t> </w:t>
      </w:r>
      <w:r>
        <w:rPr/>
        <w:t>47</w:t>
      </w:r>
      <w:r>
        <w:rPr>
          <w:spacing w:val="-17"/>
        </w:rPr>
        <w:t> </w:t>
      </w:r>
      <w:r>
        <w:rPr/>
        <w:t>e</w:t>
      </w:r>
      <w:r>
        <w:rPr>
          <w:spacing w:val="-18"/>
        </w:rPr>
        <w:t> </w:t>
      </w:r>
      <w:r>
        <w:rPr/>
        <w:t>CPC</w:t>
      </w:r>
      <w:r>
        <w:rPr>
          <w:spacing w:val="-19"/>
        </w:rPr>
        <w:t> </w:t>
      </w:r>
      <w:r>
        <w:rPr/>
        <w:t>48,</w:t>
      </w:r>
      <w:r>
        <w:rPr>
          <w:spacing w:val="-20"/>
        </w:rPr>
        <w:t> </w:t>
      </w:r>
      <w:r>
        <w:rPr/>
        <w:t>com</w:t>
      </w:r>
      <w:r>
        <w:rPr>
          <w:spacing w:val="-20"/>
        </w:rPr>
        <w:t> </w:t>
      </w:r>
      <w:r>
        <w:rPr/>
        <w:t>vigência</w:t>
      </w:r>
      <w:r>
        <w:rPr>
          <w:spacing w:val="-19"/>
        </w:rPr>
        <w:t> </w:t>
      </w:r>
      <w:r>
        <w:rPr/>
        <w:t>a</w:t>
      </w:r>
      <w:r>
        <w:rPr>
          <w:spacing w:val="-17"/>
        </w:rPr>
        <w:t> </w:t>
      </w:r>
      <w:r>
        <w:rPr/>
        <w:t>partir</w:t>
      </w:r>
      <w:r>
        <w:rPr>
          <w:spacing w:val="-20"/>
        </w:rPr>
        <w:t> </w:t>
      </w:r>
      <w:r>
        <w:rPr/>
        <w:t>de</w:t>
      </w:r>
      <w:r>
        <w:rPr>
          <w:spacing w:val="-21"/>
        </w:rPr>
        <w:t> </w:t>
      </w:r>
      <w:r>
        <w:rPr/>
        <w:t>1º</w:t>
      </w:r>
      <w:r>
        <w:rPr>
          <w:spacing w:val="-16"/>
        </w:rPr>
        <w:t> </w:t>
      </w:r>
      <w:r>
        <w:rPr/>
        <w:t>de</w:t>
      </w:r>
      <w:r>
        <w:rPr>
          <w:spacing w:val="-19"/>
        </w:rPr>
        <w:t> </w:t>
      </w:r>
      <w:r>
        <w:rPr/>
        <w:t>janeiro</w:t>
      </w:r>
      <w:r>
        <w:rPr>
          <w:spacing w:val="-17"/>
        </w:rPr>
        <w:t> </w:t>
      </w:r>
      <w:r>
        <w:rPr/>
        <w:t>de</w:t>
      </w:r>
      <w:r>
        <w:rPr>
          <w:spacing w:val="-19"/>
        </w:rPr>
        <w:t> </w:t>
      </w:r>
      <w:r>
        <w:rPr/>
        <w:t>2018.</w:t>
      </w:r>
    </w:p>
    <w:p>
      <w:pPr>
        <w:pStyle w:val="BodyText"/>
        <w:spacing w:line="242" w:lineRule="auto" w:before="119"/>
        <w:ind w:left="192" w:right="619"/>
        <w:jc w:val="both"/>
      </w:pPr>
      <w:r>
        <w:rPr/>
        <w:t>Adicionalmente, foram realizadas reapresentações de saldos nas Demonstrações Financeiras decorrentes de retificação de erros materiais, conforme critérios estabelecidos pelo Pronunciamento Técnico CPC 23.</w:t>
      </w:r>
    </w:p>
    <w:p>
      <w:pPr>
        <w:pStyle w:val="BodyText"/>
        <w:spacing w:line="242" w:lineRule="auto" w:before="122"/>
        <w:ind w:left="192" w:right="607"/>
        <w:jc w:val="both"/>
      </w:pPr>
      <w:r>
        <w:rPr>
          <w:w w:val="95"/>
        </w:rPr>
        <w:t>Foram</w:t>
      </w:r>
      <w:r>
        <w:rPr>
          <w:spacing w:val="-11"/>
          <w:w w:val="95"/>
        </w:rPr>
        <w:t> </w:t>
      </w:r>
      <w:r>
        <w:rPr>
          <w:w w:val="95"/>
        </w:rPr>
        <w:t>efetuados</w:t>
      </w:r>
      <w:r>
        <w:rPr>
          <w:spacing w:val="-10"/>
          <w:w w:val="95"/>
        </w:rPr>
        <w:t> </w:t>
      </w:r>
      <w:r>
        <w:rPr>
          <w:w w:val="95"/>
        </w:rPr>
        <w:t>ajustes</w:t>
      </w:r>
      <w:r>
        <w:rPr>
          <w:spacing w:val="-10"/>
          <w:w w:val="95"/>
        </w:rPr>
        <w:t> </w:t>
      </w:r>
      <w:r>
        <w:rPr>
          <w:w w:val="95"/>
        </w:rPr>
        <w:t>visando</w:t>
      </w:r>
      <w:r>
        <w:rPr>
          <w:spacing w:val="-11"/>
          <w:w w:val="95"/>
        </w:rPr>
        <w:t> </w:t>
      </w:r>
      <w:r>
        <w:rPr>
          <w:w w:val="95"/>
        </w:rPr>
        <w:t>apresentar,</w:t>
      </w:r>
      <w:r>
        <w:rPr>
          <w:spacing w:val="-8"/>
          <w:w w:val="95"/>
        </w:rPr>
        <w:t> </w:t>
      </w:r>
      <w:r>
        <w:rPr>
          <w:w w:val="95"/>
        </w:rPr>
        <w:t>retrospectivamente,</w:t>
      </w:r>
      <w:r>
        <w:rPr>
          <w:spacing w:val="-10"/>
          <w:w w:val="95"/>
        </w:rPr>
        <w:t> </w:t>
      </w:r>
      <w:r>
        <w:rPr>
          <w:w w:val="95"/>
        </w:rPr>
        <w:t>os</w:t>
      </w:r>
      <w:r>
        <w:rPr>
          <w:spacing w:val="-7"/>
          <w:w w:val="95"/>
        </w:rPr>
        <w:t> </w:t>
      </w:r>
      <w:r>
        <w:rPr>
          <w:w w:val="95"/>
        </w:rPr>
        <w:t>efeitos</w:t>
      </w:r>
      <w:r>
        <w:rPr>
          <w:spacing w:val="-10"/>
          <w:w w:val="95"/>
        </w:rPr>
        <w:t> </w:t>
      </w:r>
      <w:r>
        <w:rPr>
          <w:w w:val="95"/>
        </w:rPr>
        <w:t>da</w:t>
      </w:r>
      <w:r>
        <w:rPr>
          <w:spacing w:val="-7"/>
          <w:w w:val="95"/>
        </w:rPr>
        <w:t> </w:t>
      </w:r>
      <w:r>
        <w:rPr>
          <w:w w:val="95"/>
        </w:rPr>
        <w:t>mudança</w:t>
      </w:r>
      <w:r>
        <w:rPr>
          <w:spacing w:val="-10"/>
          <w:w w:val="95"/>
        </w:rPr>
        <w:t> </w:t>
      </w:r>
      <w:r>
        <w:rPr>
          <w:w w:val="95"/>
        </w:rPr>
        <w:t>de</w:t>
      </w:r>
      <w:r>
        <w:rPr>
          <w:spacing w:val="-12"/>
          <w:w w:val="95"/>
        </w:rPr>
        <w:t> </w:t>
      </w:r>
      <w:r>
        <w:rPr>
          <w:w w:val="95"/>
        </w:rPr>
        <w:t>prática</w:t>
      </w:r>
      <w:r>
        <w:rPr>
          <w:spacing w:val="-10"/>
          <w:w w:val="95"/>
        </w:rPr>
        <w:t> </w:t>
      </w:r>
      <w:r>
        <w:rPr>
          <w:w w:val="95"/>
        </w:rPr>
        <w:t>contábil</w:t>
      </w:r>
      <w:r>
        <w:rPr>
          <w:spacing w:val="-7"/>
          <w:w w:val="95"/>
        </w:rPr>
        <w:t> </w:t>
      </w:r>
      <w:r>
        <w:rPr>
          <w:w w:val="95"/>
        </w:rPr>
        <w:t>relativa </w:t>
      </w:r>
      <w:r>
        <w:rPr/>
        <w:t>ao registro contábil do deficit atuarial do Plano de Benefício Definido </w:t>
      </w:r>
      <w:r>
        <w:rPr>
          <w:w w:val="105"/>
        </w:rPr>
        <w:t>– </w:t>
      </w:r>
      <w:r>
        <w:rPr/>
        <w:t>BD, administrado pela Fundação de Previdência</w:t>
      </w:r>
      <w:r>
        <w:rPr>
          <w:spacing w:val="-24"/>
        </w:rPr>
        <w:t> </w:t>
      </w:r>
      <w:r>
        <w:rPr/>
        <w:t>dos</w:t>
      </w:r>
      <w:r>
        <w:rPr>
          <w:spacing w:val="-22"/>
        </w:rPr>
        <w:t> </w:t>
      </w:r>
      <w:r>
        <w:rPr/>
        <w:t>Empregados</w:t>
      </w:r>
      <w:r>
        <w:rPr>
          <w:spacing w:val="-24"/>
        </w:rPr>
        <w:t> </w:t>
      </w:r>
      <w:r>
        <w:rPr/>
        <w:t>da</w:t>
      </w:r>
      <w:r>
        <w:rPr>
          <w:spacing w:val="-23"/>
        </w:rPr>
        <w:t> </w:t>
      </w:r>
      <w:r>
        <w:rPr/>
        <w:t>CEB</w:t>
      </w:r>
      <w:r>
        <w:rPr>
          <w:spacing w:val="-20"/>
        </w:rPr>
        <w:t> </w:t>
      </w:r>
      <w:r>
        <w:rPr/>
        <w:t>-</w:t>
      </w:r>
      <w:r>
        <w:rPr>
          <w:spacing w:val="-23"/>
        </w:rPr>
        <w:t> </w:t>
      </w:r>
      <w:r>
        <w:rPr/>
        <w:t>FACEB,</w:t>
      </w:r>
      <w:r>
        <w:rPr>
          <w:spacing w:val="-24"/>
        </w:rPr>
        <w:t> </w:t>
      </w:r>
      <w:r>
        <w:rPr/>
        <w:t>bem</w:t>
      </w:r>
      <w:r>
        <w:rPr>
          <w:spacing w:val="-25"/>
        </w:rPr>
        <w:t> </w:t>
      </w:r>
      <w:r>
        <w:rPr/>
        <w:t>como</w:t>
      </w:r>
      <w:r>
        <w:rPr>
          <w:spacing w:val="-21"/>
        </w:rPr>
        <w:t> </w:t>
      </w:r>
      <w:r>
        <w:rPr/>
        <w:t>a</w:t>
      </w:r>
      <w:r>
        <w:rPr>
          <w:spacing w:val="-23"/>
        </w:rPr>
        <w:t> </w:t>
      </w:r>
      <w:r>
        <w:rPr/>
        <w:t>reclassificação</w:t>
      </w:r>
      <w:r>
        <w:rPr>
          <w:spacing w:val="-22"/>
        </w:rPr>
        <w:t> </w:t>
      </w:r>
      <w:r>
        <w:rPr/>
        <w:t>do</w:t>
      </w:r>
      <w:r>
        <w:rPr>
          <w:spacing w:val="-25"/>
        </w:rPr>
        <w:t> </w:t>
      </w:r>
      <w:r>
        <w:rPr/>
        <w:t>Superávit</w:t>
      </w:r>
      <w:r>
        <w:rPr>
          <w:spacing w:val="-24"/>
        </w:rPr>
        <w:t> </w:t>
      </w:r>
      <w:r>
        <w:rPr/>
        <w:t>de</w:t>
      </w:r>
      <w:r>
        <w:rPr>
          <w:spacing w:val="-25"/>
        </w:rPr>
        <w:t> </w:t>
      </w:r>
      <w:r>
        <w:rPr/>
        <w:t>Baixa</w:t>
      </w:r>
      <w:r>
        <w:rPr>
          <w:spacing w:val="-24"/>
        </w:rPr>
        <w:t> </w:t>
      </w:r>
      <w:r>
        <w:rPr/>
        <w:t>Renda.</w:t>
      </w:r>
    </w:p>
    <w:p>
      <w:pPr>
        <w:pStyle w:val="BodyText"/>
        <w:spacing w:line="242" w:lineRule="auto" w:before="120"/>
        <w:ind w:left="192" w:right="606"/>
        <w:jc w:val="both"/>
      </w:pPr>
      <w:r>
        <w:rPr/>
        <w:t>Conforme</w:t>
      </w:r>
      <w:r>
        <w:rPr>
          <w:spacing w:val="-36"/>
        </w:rPr>
        <w:t> </w:t>
      </w:r>
      <w:r>
        <w:rPr/>
        <w:t>previsto</w:t>
      </w:r>
      <w:r>
        <w:rPr>
          <w:spacing w:val="-33"/>
        </w:rPr>
        <w:t> </w:t>
      </w:r>
      <w:r>
        <w:rPr/>
        <w:t>no</w:t>
      </w:r>
      <w:r>
        <w:rPr>
          <w:spacing w:val="-34"/>
        </w:rPr>
        <w:t> </w:t>
      </w:r>
      <w:r>
        <w:rPr/>
        <w:t>CPC</w:t>
      </w:r>
      <w:r>
        <w:rPr>
          <w:spacing w:val="-32"/>
        </w:rPr>
        <w:t> </w:t>
      </w:r>
      <w:r>
        <w:rPr/>
        <w:t>23</w:t>
      </w:r>
      <w:r>
        <w:rPr>
          <w:spacing w:val="-33"/>
        </w:rPr>
        <w:t> </w:t>
      </w:r>
      <w:r>
        <w:rPr>
          <w:w w:val="105"/>
        </w:rPr>
        <w:t>–</w:t>
      </w:r>
      <w:r>
        <w:rPr>
          <w:spacing w:val="-36"/>
          <w:w w:val="105"/>
        </w:rPr>
        <w:t> </w:t>
      </w:r>
      <w:r>
        <w:rPr/>
        <w:t>Políticas</w:t>
      </w:r>
      <w:r>
        <w:rPr>
          <w:spacing w:val="-34"/>
        </w:rPr>
        <w:t> </w:t>
      </w:r>
      <w:r>
        <w:rPr/>
        <w:t>Contábeis,</w:t>
      </w:r>
      <w:r>
        <w:rPr>
          <w:spacing w:val="-33"/>
        </w:rPr>
        <w:t> </w:t>
      </w:r>
      <w:r>
        <w:rPr/>
        <w:t>Mudança</w:t>
      </w:r>
      <w:r>
        <w:rPr>
          <w:spacing w:val="-34"/>
        </w:rPr>
        <w:t> </w:t>
      </w:r>
      <w:r>
        <w:rPr/>
        <w:t>de</w:t>
      </w:r>
      <w:r>
        <w:rPr>
          <w:spacing w:val="-34"/>
        </w:rPr>
        <w:t> </w:t>
      </w:r>
      <w:r>
        <w:rPr/>
        <w:t>Estimativa</w:t>
      </w:r>
      <w:r>
        <w:rPr>
          <w:spacing w:val="-33"/>
        </w:rPr>
        <w:t> </w:t>
      </w:r>
      <w:r>
        <w:rPr/>
        <w:t>e</w:t>
      </w:r>
      <w:r>
        <w:rPr>
          <w:spacing w:val="-34"/>
        </w:rPr>
        <w:t> </w:t>
      </w:r>
      <w:r>
        <w:rPr/>
        <w:t>Retificação</w:t>
      </w:r>
      <w:r>
        <w:rPr>
          <w:spacing w:val="-34"/>
        </w:rPr>
        <w:t> </w:t>
      </w:r>
      <w:r>
        <w:rPr/>
        <w:t>de</w:t>
      </w:r>
      <w:r>
        <w:rPr>
          <w:spacing w:val="-34"/>
        </w:rPr>
        <w:t> </w:t>
      </w:r>
      <w:r>
        <w:rPr/>
        <w:t>Erro,</w:t>
      </w:r>
      <w:r>
        <w:rPr>
          <w:spacing w:val="-34"/>
        </w:rPr>
        <w:t> </w:t>
      </w:r>
      <w:r>
        <w:rPr/>
        <w:t>essa</w:t>
      </w:r>
      <w:r>
        <w:rPr>
          <w:spacing w:val="-33"/>
        </w:rPr>
        <w:t> </w:t>
      </w:r>
      <w:r>
        <w:rPr/>
        <w:t>retificação</w:t>
      </w:r>
      <w:r>
        <w:rPr>
          <w:spacing w:val="-33"/>
        </w:rPr>
        <w:t> </w:t>
      </w:r>
      <w:r>
        <w:rPr>
          <w:spacing w:val="5"/>
        </w:rPr>
        <w:t>de </w:t>
      </w:r>
      <w:r>
        <w:rPr/>
        <w:t>erros</w:t>
      </w:r>
      <w:r>
        <w:rPr>
          <w:spacing w:val="-39"/>
        </w:rPr>
        <w:t> </w:t>
      </w:r>
      <w:r>
        <w:rPr/>
        <w:t>requer</w:t>
      </w:r>
      <w:r>
        <w:rPr>
          <w:spacing w:val="-39"/>
        </w:rPr>
        <w:t> </w:t>
      </w:r>
      <w:r>
        <w:rPr/>
        <w:t>a</w:t>
      </w:r>
      <w:r>
        <w:rPr>
          <w:spacing w:val="-38"/>
        </w:rPr>
        <w:t> </w:t>
      </w:r>
      <w:r>
        <w:rPr/>
        <w:t>aplicação</w:t>
      </w:r>
      <w:r>
        <w:rPr>
          <w:spacing w:val="-38"/>
        </w:rPr>
        <w:t> </w:t>
      </w:r>
      <w:r>
        <w:rPr/>
        <w:t>retrospectiva,</w:t>
      </w:r>
      <w:r>
        <w:rPr>
          <w:spacing w:val="-39"/>
        </w:rPr>
        <w:t> </w:t>
      </w:r>
      <w:r>
        <w:rPr/>
        <w:t>ajustando</w:t>
      </w:r>
      <w:r>
        <w:rPr>
          <w:spacing w:val="-37"/>
        </w:rPr>
        <w:t> </w:t>
      </w:r>
      <w:r>
        <w:rPr/>
        <w:t>os</w:t>
      </w:r>
      <w:r>
        <w:rPr>
          <w:spacing w:val="-38"/>
        </w:rPr>
        <w:t> </w:t>
      </w:r>
      <w:r>
        <w:rPr/>
        <w:t>períodos</w:t>
      </w:r>
      <w:r>
        <w:rPr>
          <w:spacing w:val="-39"/>
        </w:rPr>
        <w:t> </w:t>
      </w:r>
      <w:r>
        <w:rPr/>
        <w:t>anteriores</w:t>
      </w:r>
      <w:r>
        <w:rPr>
          <w:spacing w:val="-38"/>
        </w:rPr>
        <w:t> </w:t>
      </w:r>
      <w:r>
        <w:rPr/>
        <w:t>apresentados</w:t>
      </w:r>
      <w:r>
        <w:rPr>
          <w:spacing w:val="-38"/>
        </w:rPr>
        <w:t> </w:t>
      </w:r>
      <w:r>
        <w:rPr/>
        <w:t>para</w:t>
      </w:r>
      <w:r>
        <w:rPr>
          <w:spacing w:val="-38"/>
        </w:rPr>
        <w:t> </w:t>
      </w:r>
      <w:r>
        <w:rPr/>
        <w:t>fins</w:t>
      </w:r>
      <w:r>
        <w:rPr>
          <w:spacing w:val="-38"/>
        </w:rPr>
        <w:t> </w:t>
      </w:r>
      <w:r>
        <w:rPr/>
        <w:t>de</w:t>
      </w:r>
      <w:r>
        <w:rPr>
          <w:spacing w:val="-39"/>
        </w:rPr>
        <w:t> </w:t>
      </w:r>
      <w:r>
        <w:rPr/>
        <w:t>comparação</w:t>
      </w:r>
      <w:r>
        <w:rPr>
          <w:spacing w:val="-38"/>
        </w:rPr>
        <w:t> </w:t>
      </w:r>
      <w:r>
        <w:rPr/>
        <w:t>com o</w:t>
      </w:r>
      <w:r>
        <w:rPr>
          <w:spacing w:val="-25"/>
        </w:rPr>
        <w:t> </w:t>
      </w:r>
      <w:r>
        <w:rPr/>
        <w:t>período</w:t>
      </w:r>
      <w:r>
        <w:rPr>
          <w:spacing w:val="-24"/>
        </w:rPr>
        <w:t> </w:t>
      </w:r>
      <w:r>
        <w:rPr/>
        <w:t>atual,</w:t>
      </w:r>
      <w:r>
        <w:rPr>
          <w:spacing w:val="-25"/>
        </w:rPr>
        <w:t> </w:t>
      </w:r>
      <w:r>
        <w:rPr/>
        <w:t>como</w:t>
      </w:r>
      <w:r>
        <w:rPr>
          <w:spacing w:val="-22"/>
        </w:rPr>
        <w:t> </w:t>
      </w:r>
      <w:r>
        <w:rPr/>
        <w:t>se</w:t>
      </w:r>
      <w:r>
        <w:rPr>
          <w:spacing w:val="-23"/>
        </w:rPr>
        <w:t> </w:t>
      </w:r>
      <w:r>
        <w:rPr/>
        <w:t>estivessem</w:t>
      </w:r>
      <w:r>
        <w:rPr>
          <w:spacing w:val="-22"/>
        </w:rPr>
        <w:t> </w:t>
      </w:r>
      <w:r>
        <w:rPr/>
        <w:t>corretos</w:t>
      </w:r>
      <w:r>
        <w:rPr>
          <w:spacing w:val="-24"/>
        </w:rPr>
        <w:t> </w:t>
      </w:r>
      <w:r>
        <w:rPr/>
        <w:t>a</w:t>
      </w:r>
      <w:r>
        <w:rPr>
          <w:spacing w:val="-23"/>
        </w:rPr>
        <w:t> </w:t>
      </w:r>
      <w:r>
        <w:rPr/>
        <w:t>partir</w:t>
      </w:r>
      <w:r>
        <w:rPr>
          <w:spacing w:val="-24"/>
        </w:rPr>
        <w:t> </w:t>
      </w:r>
      <w:r>
        <w:rPr/>
        <w:t>do</w:t>
      </w:r>
      <w:r>
        <w:rPr>
          <w:spacing w:val="-24"/>
        </w:rPr>
        <w:t> </w:t>
      </w:r>
      <w:r>
        <w:rPr/>
        <w:t>início</w:t>
      </w:r>
      <w:r>
        <w:rPr>
          <w:spacing w:val="-25"/>
        </w:rPr>
        <w:t> </w:t>
      </w:r>
      <w:r>
        <w:rPr/>
        <w:t>do</w:t>
      </w:r>
      <w:r>
        <w:rPr>
          <w:spacing w:val="-24"/>
        </w:rPr>
        <w:t> </w:t>
      </w:r>
      <w:r>
        <w:rPr/>
        <w:t>período</w:t>
      </w:r>
      <w:r>
        <w:rPr>
          <w:spacing w:val="-23"/>
        </w:rPr>
        <w:t> </w:t>
      </w:r>
      <w:r>
        <w:rPr/>
        <w:t>mais</w:t>
      </w:r>
      <w:r>
        <w:rPr>
          <w:spacing w:val="-23"/>
        </w:rPr>
        <w:t> </w:t>
      </w:r>
      <w:r>
        <w:rPr/>
        <w:t>antigo</w:t>
      </w:r>
      <w:r>
        <w:rPr>
          <w:spacing w:val="-23"/>
        </w:rPr>
        <w:t> </w:t>
      </w:r>
      <w:r>
        <w:rPr/>
        <w:t>apresentado.</w:t>
      </w:r>
    </w:p>
    <w:p>
      <w:pPr>
        <w:pStyle w:val="BodyText"/>
        <w:spacing w:before="6"/>
        <w:rPr>
          <w:sz w:val="30"/>
        </w:rPr>
      </w:pPr>
    </w:p>
    <w:p>
      <w:pPr>
        <w:pStyle w:val="BodyText"/>
        <w:spacing w:line="242" w:lineRule="auto"/>
        <w:ind w:left="192" w:right="613"/>
        <w:jc w:val="both"/>
      </w:pPr>
      <w:r>
        <w:rPr>
          <w:w w:val="95"/>
        </w:rPr>
        <w:t>Seguem</w:t>
      </w:r>
      <w:r>
        <w:rPr>
          <w:spacing w:val="-14"/>
          <w:w w:val="95"/>
        </w:rPr>
        <w:t> </w:t>
      </w:r>
      <w:r>
        <w:rPr>
          <w:w w:val="95"/>
        </w:rPr>
        <w:t>demonstrativos</w:t>
      </w:r>
      <w:r>
        <w:rPr>
          <w:spacing w:val="-14"/>
          <w:w w:val="95"/>
        </w:rPr>
        <w:t> </w:t>
      </w:r>
      <w:r>
        <w:rPr>
          <w:w w:val="95"/>
        </w:rPr>
        <w:t>contendo</w:t>
      </w:r>
      <w:r>
        <w:rPr>
          <w:spacing w:val="-13"/>
          <w:w w:val="95"/>
        </w:rPr>
        <w:t> </w:t>
      </w:r>
      <w:r>
        <w:rPr>
          <w:w w:val="95"/>
        </w:rPr>
        <w:t>os</w:t>
      </w:r>
      <w:r>
        <w:rPr>
          <w:spacing w:val="-12"/>
          <w:w w:val="95"/>
        </w:rPr>
        <w:t> </w:t>
      </w:r>
      <w:r>
        <w:rPr>
          <w:w w:val="95"/>
        </w:rPr>
        <w:t>montantes</w:t>
      </w:r>
      <w:r>
        <w:rPr>
          <w:spacing w:val="-12"/>
          <w:w w:val="95"/>
        </w:rPr>
        <w:t> </w:t>
      </w:r>
      <w:r>
        <w:rPr>
          <w:w w:val="95"/>
        </w:rPr>
        <w:t>reapresentados</w:t>
      </w:r>
      <w:r>
        <w:rPr>
          <w:spacing w:val="-14"/>
          <w:w w:val="95"/>
        </w:rPr>
        <w:t> </w:t>
      </w:r>
      <w:r>
        <w:rPr>
          <w:w w:val="95"/>
        </w:rPr>
        <w:t>para</w:t>
      </w:r>
      <w:r>
        <w:rPr>
          <w:spacing w:val="-14"/>
          <w:w w:val="95"/>
        </w:rPr>
        <w:t> </w:t>
      </w:r>
      <w:r>
        <w:rPr>
          <w:w w:val="95"/>
        </w:rPr>
        <w:t>cada</w:t>
      </w:r>
      <w:r>
        <w:rPr>
          <w:spacing w:val="-15"/>
          <w:w w:val="95"/>
        </w:rPr>
        <w:t> </w:t>
      </w:r>
      <w:r>
        <w:rPr>
          <w:w w:val="95"/>
        </w:rPr>
        <w:t>item</w:t>
      </w:r>
      <w:r>
        <w:rPr>
          <w:spacing w:val="-13"/>
          <w:w w:val="95"/>
        </w:rPr>
        <w:t> </w:t>
      </w:r>
      <w:r>
        <w:rPr>
          <w:w w:val="95"/>
        </w:rPr>
        <w:t>das</w:t>
      </w:r>
      <w:r>
        <w:rPr>
          <w:spacing w:val="-12"/>
          <w:w w:val="95"/>
        </w:rPr>
        <w:t> </w:t>
      </w:r>
      <w:r>
        <w:rPr>
          <w:w w:val="95"/>
        </w:rPr>
        <w:t>demonstrações</w:t>
      </w:r>
      <w:r>
        <w:rPr>
          <w:spacing w:val="-14"/>
          <w:w w:val="95"/>
        </w:rPr>
        <w:t> </w:t>
      </w:r>
      <w:r>
        <w:rPr>
          <w:w w:val="95"/>
        </w:rPr>
        <w:t>contábeis</w:t>
      </w:r>
      <w:r>
        <w:rPr>
          <w:spacing w:val="-14"/>
          <w:w w:val="95"/>
        </w:rPr>
        <w:t> </w:t>
      </w:r>
      <w:r>
        <w:rPr>
          <w:w w:val="95"/>
        </w:rPr>
        <w:t>afetada </w:t>
      </w:r>
      <w:r>
        <w:rPr/>
        <w:t>em períodos</w:t>
      </w:r>
      <w:r>
        <w:rPr>
          <w:spacing w:val="-34"/>
        </w:rPr>
        <w:t> </w:t>
      </w:r>
      <w:r>
        <w:rPr/>
        <w:t>anteriores:</w:t>
      </w:r>
    </w:p>
    <w:p>
      <w:pPr>
        <w:spacing w:after="0" w:line="242" w:lineRule="auto"/>
        <w:jc w:val="both"/>
        <w:sectPr>
          <w:pgSz w:w="11910" w:h="16850"/>
          <w:pgMar w:header="792" w:footer="1193" w:top="1360" w:bottom="1460" w:left="940" w:right="240"/>
        </w:sectPr>
      </w:pPr>
    </w:p>
    <w:p>
      <w:pPr>
        <w:pStyle w:val="BodyText"/>
        <w:spacing w:before="1"/>
        <w:rPr>
          <w:sz w:val="16"/>
        </w:rPr>
      </w:pPr>
    </w:p>
    <w:p>
      <w:pPr>
        <w:pStyle w:val="ListParagraph"/>
        <w:numPr>
          <w:ilvl w:val="1"/>
          <w:numId w:val="17"/>
        </w:numPr>
        <w:tabs>
          <w:tab w:pos="1008" w:val="left" w:leader="none"/>
          <w:tab w:pos="1009" w:val="left" w:leader="none"/>
        </w:tabs>
        <w:spacing w:line="240" w:lineRule="auto" w:before="101" w:after="0"/>
        <w:ind w:left="1008" w:right="0" w:hanging="897"/>
        <w:jc w:val="left"/>
        <w:rPr>
          <w:rFonts w:ascii="Caladea" w:hAnsi="Caladea"/>
          <w:b/>
          <w:sz w:val="18"/>
        </w:rPr>
      </w:pPr>
      <w:r>
        <w:rPr>
          <w:rFonts w:ascii="Caladea" w:hAnsi="Caladea"/>
          <w:b/>
          <w:sz w:val="22"/>
        </w:rPr>
        <w:t>B</w:t>
      </w:r>
      <w:r>
        <w:rPr>
          <w:rFonts w:ascii="Caladea" w:hAnsi="Caladea"/>
          <w:b/>
          <w:sz w:val="18"/>
        </w:rPr>
        <w:t>ALANÇO </w:t>
      </w:r>
      <w:r>
        <w:rPr>
          <w:rFonts w:ascii="Caladea" w:hAnsi="Caladea"/>
          <w:b/>
          <w:sz w:val="22"/>
        </w:rPr>
        <w:t>P</w:t>
      </w:r>
      <w:r>
        <w:rPr>
          <w:rFonts w:ascii="Caladea" w:hAnsi="Caladea"/>
          <w:b/>
          <w:sz w:val="18"/>
        </w:rPr>
        <w:t>ATRIMONIAL</w:t>
      </w:r>
    </w:p>
    <w:p>
      <w:pPr>
        <w:pStyle w:val="BodyText"/>
        <w:spacing w:before="10"/>
        <w:rPr>
          <w:rFonts w:ascii="Caladea"/>
          <w:b/>
          <w:sz w:val="23"/>
        </w:rPr>
      </w:pPr>
    </w:p>
    <w:p>
      <w:pPr>
        <w:pStyle w:val="Heading5"/>
        <w:numPr>
          <w:ilvl w:val="2"/>
          <w:numId w:val="17"/>
        </w:numPr>
        <w:tabs>
          <w:tab w:pos="965" w:val="left" w:leader="none"/>
          <w:tab w:pos="966" w:val="left" w:leader="none"/>
        </w:tabs>
        <w:spacing w:line="240" w:lineRule="auto" w:before="0" w:after="0"/>
        <w:ind w:left="965" w:right="0" w:hanging="854"/>
        <w:jc w:val="left"/>
      </w:pPr>
      <w:r>
        <w:rPr/>
        <w:t>Ativo</w:t>
      </w:r>
    </w:p>
    <w:p>
      <w:pPr>
        <w:pStyle w:val="BodyText"/>
        <w:spacing w:before="7"/>
        <w:rPr>
          <w:rFonts w:ascii="Caladea"/>
          <w:b/>
          <w:sz w:val="15"/>
        </w:rPr>
      </w:pPr>
    </w:p>
    <w:p>
      <w:pPr>
        <w:tabs>
          <w:tab w:pos="11149" w:val="left" w:leader="none"/>
        </w:tabs>
        <w:spacing w:before="104"/>
        <w:ind w:left="5336" w:right="0" w:firstLine="0"/>
        <w:jc w:val="left"/>
        <w:rPr>
          <w:rFonts w:ascii="Caladea"/>
          <w:b/>
          <w:sz w:val="15"/>
        </w:rPr>
      </w:pPr>
      <w:r>
        <w:rPr/>
        <w:pict>
          <v:group style="position:absolute;margin-left:208.967529pt;margin-top:14.884933pt;width:575.950pt;height:.65pt;mso-position-horizontal-relative:page;mso-position-vertical-relative:paragraph;z-index:15758336" coordorigin="4179,298" coordsize="11519,13">
            <v:rect style="position:absolute;left:4183;top:297;width:5008;height:13" filled="true" fillcolor="#000000" stroked="false">
              <v:fill type="solid"/>
            </v:rect>
            <v:rect style="position:absolute;left:4179;top:297;width:5017;height:13" filled="true" fillcolor="#000000" stroked="false">
              <v:fill type="solid"/>
            </v:rect>
            <v:rect style="position:absolute;left:9253;top:297;width:6441;height:13" filled="true" fillcolor="#000000" stroked="false">
              <v:fill type="solid"/>
            </v:rect>
            <v:rect style="position:absolute;left:9249;top:297;width:6449;height:13" filled="true" fillcolor="#000000" stroked="false">
              <v:fill type="solid"/>
            </v:rect>
            <w10:wrap type="none"/>
          </v:group>
        </w:pict>
      </w:r>
      <w:r>
        <w:rPr>
          <w:rFonts w:ascii="Caladea"/>
          <w:b/>
          <w:w w:val="75"/>
          <w:sz w:val="15"/>
        </w:rPr>
        <w:t>Controladora</w:t>
        <w:tab/>
      </w:r>
      <w:r>
        <w:rPr>
          <w:rFonts w:ascii="Caladea"/>
          <w:b/>
          <w:w w:val="80"/>
          <w:sz w:val="15"/>
        </w:rPr>
        <w:t>Consolidado</w:t>
      </w:r>
    </w:p>
    <w:p>
      <w:pPr>
        <w:spacing w:after="0"/>
        <w:jc w:val="left"/>
        <w:rPr>
          <w:rFonts w:ascii="Caladea"/>
          <w:sz w:val="15"/>
        </w:rPr>
        <w:sectPr>
          <w:headerReference w:type="default" r:id="rId75"/>
          <w:footerReference w:type="default" r:id="rId76"/>
          <w:pgSz w:w="16850" w:h="11910" w:orient="landscape"/>
          <w:pgMar w:header="792" w:footer="1269" w:top="1360" w:bottom="1460" w:left="1020" w:right="1020"/>
          <w:pgNumType w:start="39"/>
        </w:sectPr>
      </w:pPr>
    </w:p>
    <w:p>
      <w:pPr>
        <w:spacing w:before="44"/>
        <w:ind w:left="0" w:right="0" w:firstLine="0"/>
        <w:jc w:val="right"/>
        <w:rPr>
          <w:sz w:val="15"/>
        </w:rPr>
      </w:pPr>
      <w:r>
        <w:rPr>
          <w:w w:val="70"/>
          <w:sz w:val="15"/>
        </w:rPr>
        <w:t>Ajuste Atuarial dos</w:t>
      </w:r>
    </w:p>
    <w:p>
      <w:pPr>
        <w:spacing w:before="44"/>
        <w:ind w:left="1625" w:right="0" w:firstLine="0"/>
        <w:jc w:val="left"/>
        <w:rPr>
          <w:sz w:val="15"/>
        </w:rPr>
      </w:pPr>
      <w:r>
        <w:rPr/>
        <w:br w:type="column"/>
      </w:r>
      <w:r>
        <w:rPr>
          <w:w w:val="70"/>
          <w:sz w:val="15"/>
        </w:rPr>
        <w:t>Ajuste Atuarial</w:t>
      </w:r>
      <w:r>
        <w:rPr>
          <w:spacing w:val="-22"/>
          <w:w w:val="70"/>
          <w:sz w:val="15"/>
        </w:rPr>
        <w:t> </w:t>
      </w:r>
      <w:r>
        <w:rPr>
          <w:spacing w:val="-6"/>
          <w:w w:val="70"/>
          <w:sz w:val="15"/>
        </w:rPr>
        <w:t>dos</w:t>
      </w:r>
    </w:p>
    <w:p>
      <w:pPr>
        <w:spacing w:before="44"/>
        <w:ind w:left="1679" w:right="0" w:firstLine="0"/>
        <w:jc w:val="left"/>
        <w:rPr>
          <w:sz w:val="15"/>
        </w:rPr>
      </w:pPr>
      <w:r>
        <w:rPr/>
        <w:br w:type="column"/>
      </w:r>
      <w:r>
        <w:rPr>
          <w:w w:val="70"/>
          <w:sz w:val="15"/>
        </w:rPr>
        <w:t>Ajuste Atuarial</w:t>
      </w:r>
      <w:r>
        <w:rPr>
          <w:spacing w:val="-22"/>
          <w:w w:val="70"/>
          <w:sz w:val="15"/>
        </w:rPr>
        <w:t> </w:t>
      </w:r>
      <w:r>
        <w:rPr>
          <w:spacing w:val="-6"/>
          <w:w w:val="70"/>
          <w:sz w:val="15"/>
        </w:rPr>
        <w:t>dos</w:t>
      </w:r>
    </w:p>
    <w:p>
      <w:pPr>
        <w:spacing w:line="97" w:lineRule="exact" w:before="147"/>
        <w:ind w:left="192" w:right="0" w:firstLine="0"/>
        <w:jc w:val="left"/>
        <w:rPr>
          <w:sz w:val="15"/>
        </w:rPr>
      </w:pPr>
      <w:r>
        <w:rPr/>
        <w:br w:type="column"/>
      </w:r>
      <w:r>
        <w:rPr>
          <w:w w:val="70"/>
          <w:sz w:val="15"/>
        </w:rPr>
        <w:t>Superávit</w:t>
      </w:r>
    </w:p>
    <w:p>
      <w:pPr>
        <w:spacing w:before="44"/>
        <w:ind w:left="1661" w:right="0" w:firstLine="0"/>
        <w:jc w:val="left"/>
        <w:rPr>
          <w:sz w:val="15"/>
        </w:rPr>
      </w:pPr>
      <w:r>
        <w:rPr/>
        <w:br w:type="column"/>
      </w:r>
      <w:r>
        <w:rPr>
          <w:w w:val="70"/>
          <w:sz w:val="15"/>
        </w:rPr>
        <w:t>Ajuste Atuarial</w:t>
      </w:r>
      <w:r>
        <w:rPr>
          <w:spacing w:val="-22"/>
          <w:w w:val="70"/>
          <w:sz w:val="15"/>
        </w:rPr>
        <w:t> </w:t>
      </w:r>
      <w:r>
        <w:rPr>
          <w:spacing w:val="-6"/>
          <w:w w:val="70"/>
          <w:sz w:val="15"/>
        </w:rPr>
        <w:t>dos</w:t>
      </w:r>
    </w:p>
    <w:p>
      <w:pPr>
        <w:spacing w:line="97" w:lineRule="exact" w:before="147"/>
        <w:ind w:left="192" w:right="0" w:firstLine="0"/>
        <w:jc w:val="left"/>
        <w:rPr>
          <w:sz w:val="15"/>
        </w:rPr>
      </w:pPr>
      <w:r>
        <w:rPr/>
        <w:br w:type="column"/>
      </w:r>
      <w:r>
        <w:rPr>
          <w:w w:val="80"/>
          <w:sz w:val="15"/>
        </w:rPr>
        <w:t>Superávit</w:t>
      </w:r>
    </w:p>
    <w:p>
      <w:pPr>
        <w:spacing w:after="0" w:line="97" w:lineRule="exact"/>
        <w:jc w:val="left"/>
        <w:rPr>
          <w:sz w:val="15"/>
        </w:rPr>
        <w:sectPr>
          <w:type w:val="continuous"/>
          <w:pgSz w:w="16850" w:h="11910" w:orient="landscape"/>
          <w:pgMar w:top="1600" w:bottom="280" w:left="1020" w:right="1020"/>
          <w:cols w:num="6" w:equalWidth="0">
            <w:col w:w="4782" w:space="40"/>
            <w:col w:w="2495" w:space="39"/>
            <w:col w:w="2549" w:space="39"/>
            <w:col w:w="641" w:space="40"/>
            <w:col w:w="2531" w:space="40"/>
            <w:col w:w="1614"/>
          </w:cols>
        </w:sectPr>
      </w:pPr>
    </w:p>
    <w:p>
      <w:pPr>
        <w:tabs>
          <w:tab w:pos="3195" w:val="left" w:leader="none"/>
        </w:tabs>
        <w:spacing w:line="103" w:lineRule="auto" w:before="28"/>
        <w:ind w:left="140" w:right="0" w:firstLine="0"/>
        <w:jc w:val="left"/>
        <w:rPr>
          <w:rFonts w:ascii="Caladea" w:hAnsi="Caladea"/>
          <w:b/>
          <w:sz w:val="15"/>
        </w:rPr>
      </w:pPr>
      <w:r>
        <w:rPr/>
        <w:pict>
          <v:group style="position:absolute;margin-left:208.967529pt;margin-top:455.014587pt;width:413.4pt;height:.65pt;mso-position-horizontal-relative:page;mso-position-vertical-relative:page;z-index:-32457216" coordorigin="4179,9100" coordsize="8268,13">
            <v:rect style="position:absolute;left:4183;top:9100;width:2419;height:13" filled="true" fillcolor="#000000" stroked="false">
              <v:fill type="solid"/>
            </v:rect>
            <v:rect style="position:absolute;left:4179;top:9100;width:2428;height:13" filled="true" fillcolor="#000000" stroked="false">
              <v:fill type="solid"/>
            </v:rect>
            <v:rect style="position:absolute;left:6664;top:9100;width:2527;height:13" filled="true" fillcolor="#000000" stroked="false">
              <v:fill type="solid"/>
            </v:rect>
            <v:rect style="position:absolute;left:6660;top:9100;width:2536;height:13" filled="true" fillcolor="#000000" stroked="false">
              <v:fill type="solid"/>
            </v:rect>
            <v:rect style="position:absolute;left:9253;top:9100;width:3189;height:13" filled="true" fillcolor="#000000" stroked="false">
              <v:fill type="solid"/>
            </v:rect>
            <v:rect style="position:absolute;left:9249;top:9100;width:3198;height:13" filled="true" fillcolor="#000000" stroked="false">
              <v:fill type="solid"/>
            </v:rect>
            <w10:wrap type="none"/>
          </v:group>
        </w:pict>
      </w:r>
      <w:r>
        <w:rPr>
          <w:rFonts w:ascii="Caladea" w:hAnsi="Caladea"/>
          <w:b/>
          <w:w w:val="80"/>
          <w:sz w:val="15"/>
        </w:rPr>
        <w:t>Ativo</w:t>
        <w:tab/>
      </w:r>
      <w:r>
        <w:rPr>
          <w:rFonts w:ascii="Caladea" w:hAnsi="Caladea"/>
          <w:b/>
          <w:w w:val="75"/>
          <w:sz w:val="15"/>
        </w:rPr>
        <w:t>31/12/2018</w:t>
      </w:r>
      <w:r>
        <w:rPr>
          <w:rFonts w:ascii="Caladea" w:hAnsi="Caladea"/>
          <w:b/>
          <w:spacing w:val="2"/>
          <w:w w:val="75"/>
          <w:sz w:val="15"/>
        </w:rPr>
        <w:t> </w:t>
      </w:r>
      <w:r>
        <w:rPr>
          <w:w w:val="75"/>
          <w:sz w:val="15"/>
        </w:rPr>
        <w:t>Planos</w:t>
      </w:r>
      <w:r>
        <w:rPr>
          <w:spacing w:val="-19"/>
          <w:w w:val="75"/>
          <w:sz w:val="15"/>
        </w:rPr>
        <w:t> </w:t>
      </w:r>
      <w:r>
        <w:rPr>
          <w:w w:val="75"/>
          <w:sz w:val="15"/>
        </w:rPr>
        <w:t>de</w:t>
      </w:r>
      <w:r>
        <w:rPr>
          <w:spacing w:val="-17"/>
          <w:w w:val="75"/>
          <w:sz w:val="15"/>
        </w:rPr>
        <w:t> </w:t>
      </w:r>
      <w:r>
        <w:rPr>
          <w:w w:val="75"/>
          <w:sz w:val="15"/>
        </w:rPr>
        <w:t>Benefício</w:t>
      </w:r>
      <w:r>
        <w:rPr>
          <w:spacing w:val="5"/>
          <w:w w:val="75"/>
          <w:sz w:val="15"/>
        </w:rPr>
        <w:t> </w:t>
      </w:r>
      <w:r>
        <w:rPr>
          <w:rFonts w:ascii="Caladea" w:hAnsi="Caladea"/>
          <w:b/>
          <w:w w:val="75"/>
          <w:sz w:val="15"/>
        </w:rPr>
        <w:t>31/12/2018</w:t>
      </w:r>
      <w:r>
        <w:rPr>
          <w:rFonts w:ascii="Caladea" w:hAnsi="Caladea"/>
          <w:b/>
          <w:spacing w:val="15"/>
          <w:w w:val="75"/>
          <w:sz w:val="15"/>
        </w:rPr>
        <w:t> </w:t>
      </w:r>
      <w:r>
        <w:rPr>
          <w:rFonts w:ascii="Caladea" w:hAnsi="Caladea"/>
          <w:b/>
          <w:w w:val="75"/>
          <w:sz w:val="15"/>
        </w:rPr>
        <w:t>01/01/2018</w:t>
      </w:r>
      <w:r>
        <w:rPr>
          <w:rFonts w:ascii="Caladea" w:hAnsi="Caladea"/>
          <w:b/>
          <w:spacing w:val="6"/>
          <w:w w:val="75"/>
          <w:sz w:val="15"/>
        </w:rPr>
        <w:t> </w:t>
      </w:r>
      <w:r>
        <w:rPr>
          <w:w w:val="75"/>
          <w:sz w:val="15"/>
        </w:rPr>
        <w:t>Planos</w:t>
      </w:r>
      <w:r>
        <w:rPr>
          <w:spacing w:val="-19"/>
          <w:w w:val="75"/>
          <w:sz w:val="15"/>
        </w:rPr>
        <w:t> </w:t>
      </w:r>
      <w:r>
        <w:rPr>
          <w:w w:val="75"/>
          <w:sz w:val="15"/>
        </w:rPr>
        <w:t>de</w:t>
      </w:r>
      <w:r>
        <w:rPr>
          <w:spacing w:val="-18"/>
          <w:w w:val="75"/>
          <w:sz w:val="15"/>
        </w:rPr>
        <w:t> </w:t>
      </w:r>
      <w:r>
        <w:rPr>
          <w:w w:val="75"/>
          <w:sz w:val="15"/>
        </w:rPr>
        <w:t>Benefício</w:t>
      </w:r>
      <w:r>
        <w:rPr>
          <w:spacing w:val="-20"/>
          <w:w w:val="75"/>
          <w:sz w:val="15"/>
        </w:rPr>
        <w:t> </w:t>
      </w:r>
      <w:r>
        <w:rPr>
          <w:w w:val="75"/>
          <w:sz w:val="15"/>
        </w:rPr>
        <w:t>Pós</w:t>
      </w:r>
      <w:r>
        <w:rPr>
          <w:spacing w:val="14"/>
          <w:w w:val="75"/>
          <w:sz w:val="15"/>
        </w:rPr>
        <w:t> </w:t>
      </w:r>
      <w:r>
        <w:rPr>
          <w:rFonts w:ascii="Caladea" w:hAnsi="Caladea"/>
          <w:b/>
          <w:w w:val="75"/>
          <w:sz w:val="15"/>
        </w:rPr>
        <w:t>01/01/2018</w:t>
      </w:r>
      <w:r>
        <w:rPr>
          <w:rFonts w:ascii="Caladea" w:hAnsi="Caladea"/>
          <w:b/>
          <w:spacing w:val="16"/>
          <w:w w:val="75"/>
          <w:sz w:val="15"/>
        </w:rPr>
        <w:t> </w:t>
      </w:r>
      <w:r>
        <w:rPr>
          <w:rFonts w:ascii="Caladea" w:hAnsi="Caladea"/>
          <w:b/>
          <w:w w:val="75"/>
          <w:sz w:val="15"/>
        </w:rPr>
        <w:t>31/12/2018</w:t>
      </w:r>
      <w:r>
        <w:rPr>
          <w:rFonts w:ascii="Caladea" w:hAnsi="Caladea"/>
          <w:b/>
          <w:spacing w:val="6"/>
          <w:w w:val="75"/>
          <w:sz w:val="15"/>
        </w:rPr>
        <w:t> </w:t>
      </w:r>
      <w:r>
        <w:rPr>
          <w:w w:val="75"/>
          <w:sz w:val="15"/>
        </w:rPr>
        <w:t>Planos</w:t>
      </w:r>
      <w:r>
        <w:rPr>
          <w:spacing w:val="-19"/>
          <w:w w:val="75"/>
          <w:sz w:val="15"/>
        </w:rPr>
        <w:t> </w:t>
      </w:r>
      <w:r>
        <w:rPr>
          <w:w w:val="75"/>
          <w:sz w:val="15"/>
        </w:rPr>
        <w:t>de</w:t>
      </w:r>
      <w:r>
        <w:rPr>
          <w:spacing w:val="-18"/>
          <w:w w:val="75"/>
          <w:sz w:val="15"/>
        </w:rPr>
        <w:t> </w:t>
      </w:r>
      <w:r>
        <w:rPr>
          <w:w w:val="75"/>
          <w:sz w:val="15"/>
        </w:rPr>
        <w:t>Benefício</w:t>
      </w:r>
      <w:r>
        <w:rPr>
          <w:spacing w:val="-20"/>
          <w:w w:val="75"/>
          <w:sz w:val="15"/>
        </w:rPr>
        <w:t> </w:t>
      </w:r>
      <w:r>
        <w:rPr>
          <w:w w:val="75"/>
          <w:sz w:val="15"/>
        </w:rPr>
        <w:t>Pós</w:t>
      </w:r>
      <w:r>
        <w:rPr>
          <w:spacing w:val="3"/>
          <w:w w:val="75"/>
          <w:sz w:val="15"/>
        </w:rPr>
        <w:t> </w:t>
      </w:r>
      <w:r>
        <w:rPr>
          <w:w w:val="75"/>
          <w:position w:val="-9"/>
          <w:sz w:val="15"/>
        </w:rPr>
        <w:t>Baixa</w:t>
      </w:r>
      <w:r>
        <w:rPr>
          <w:spacing w:val="-18"/>
          <w:w w:val="75"/>
          <w:position w:val="-9"/>
          <w:sz w:val="15"/>
        </w:rPr>
        <w:t> </w:t>
      </w:r>
      <w:r>
        <w:rPr>
          <w:w w:val="75"/>
          <w:position w:val="-9"/>
          <w:sz w:val="15"/>
        </w:rPr>
        <w:t>Renda</w:t>
      </w:r>
      <w:r>
        <w:rPr>
          <w:spacing w:val="31"/>
          <w:w w:val="75"/>
          <w:position w:val="-9"/>
          <w:sz w:val="15"/>
        </w:rPr>
        <w:t> </w:t>
      </w:r>
      <w:r>
        <w:rPr>
          <w:rFonts w:ascii="Caladea" w:hAnsi="Caladea"/>
          <w:b/>
          <w:w w:val="75"/>
          <w:sz w:val="15"/>
        </w:rPr>
        <w:t>31/12/2018</w:t>
      </w:r>
      <w:r>
        <w:rPr>
          <w:rFonts w:ascii="Caladea" w:hAnsi="Caladea"/>
          <w:b/>
          <w:spacing w:val="16"/>
          <w:w w:val="75"/>
          <w:sz w:val="15"/>
        </w:rPr>
        <w:t> </w:t>
      </w:r>
      <w:r>
        <w:rPr>
          <w:rFonts w:ascii="Caladea" w:hAnsi="Caladea"/>
          <w:b/>
          <w:w w:val="75"/>
          <w:sz w:val="15"/>
        </w:rPr>
        <w:t>01/01/2018</w:t>
      </w:r>
      <w:r>
        <w:rPr>
          <w:rFonts w:ascii="Caladea" w:hAnsi="Caladea"/>
          <w:b/>
          <w:spacing w:val="6"/>
          <w:w w:val="75"/>
          <w:sz w:val="15"/>
        </w:rPr>
        <w:t> </w:t>
      </w:r>
      <w:r>
        <w:rPr>
          <w:w w:val="75"/>
          <w:sz w:val="15"/>
        </w:rPr>
        <w:t>Planos</w:t>
      </w:r>
      <w:r>
        <w:rPr>
          <w:spacing w:val="-19"/>
          <w:w w:val="75"/>
          <w:sz w:val="15"/>
        </w:rPr>
        <w:t> </w:t>
      </w:r>
      <w:r>
        <w:rPr>
          <w:w w:val="75"/>
          <w:sz w:val="15"/>
        </w:rPr>
        <w:t>de</w:t>
      </w:r>
      <w:r>
        <w:rPr>
          <w:spacing w:val="-18"/>
          <w:w w:val="75"/>
          <w:sz w:val="15"/>
        </w:rPr>
        <w:t> </w:t>
      </w:r>
      <w:r>
        <w:rPr>
          <w:w w:val="75"/>
          <w:sz w:val="15"/>
        </w:rPr>
        <w:t>Benefício</w:t>
      </w:r>
      <w:r>
        <w:rPr>
          <w:spacing w:val="-20"/>
          <w:w w:val="75"/>
          <w:sz w:val="15"/>
        </w:rPr>
        <w:t> </w:t>
      </w:r>
      <w:r>
        <w:rPr>
          <w:w w:val="75"/>
          <w:sz w:val="15"/>
        </w:rPr>
        <w:t>Pós</w:t>
      </w:r>
      <w:r>
        <w:rPr>
          <w:spacing w:val="3"/>
          <w:w w:val="75"/>
          <w:sz w:val="15"/>
        </w:rPr>
        <w:t> </w:t>
      </w:r>
      <w:r>
        <w:rPr>
          <w:w w:val="75"/>
          <w:position w:val="-9"/>
          <w:sz w:val="15"/>
        </w:rPr>
        <w:t>Baixa</w:t>
      </w:r>
      <w:r>
        <w:rPr>
          <w:spacing w:val="-18"/>
          <w:w w:val="75"/>
          <w:position w:val="-9"/>
          <w:sz w:val="15"/>
        </w:rPr>
        <w:t> </w:t>
      </w:r>
      <w:r>
        <w:rPr>
          <w:w w:val="75"/>
          <w:position w:val="-9"/>
          <w:sz w:val="15"/>
        </w:rPr>
        <w:t>Renda</w:t>
      </w:r>
      <w:r>
        <w:rPr>
          <w:spacing w:val="31"/>
          <w:w w:val="75"/>
          <w:position w:val="-9"/>
          <w:sz w:val="15"/>
        </w:rPr>
        <w:t> </w:t>
      </w:r>
      <w:r>
        <w:rPr>
          <w:rFonts w:ascii="Caladea" w:hAnsi="Caladea"/>
          <w:b/>
          <w:w w:val="75"/>
          <w:sz w:val="15"/>
        </w:rPr>
        <w:t>01/01/2018</w:t>
      </w:r>
    </w:p>
    <w:p>
      <w:pPr>
        <w:tabs>
          <w:tab w:pos="4037" w:val="left" w:leader="none"/>
          <w:tab w:pos="5586" w:val="left" w:leader="none"/>
          <w:tab w:pos="6670" w:val="left" w:leader="none"/>
          <w:tab w:pos="8175" w:val="left" w:leader="none"/>
          <w:tab w:pos="9259" w:val="left" w:leader="none"/>
          <w:tab w:pos="11426" w:val="left" w:leader="none"/>
          <w:tab w:pos="12510" w:val="left" w:leader="none"/>
          <w:tab w:pos="14678" w:val="left" w:leader="none"/>
        </w:tabs>
        <w:spacing w:before="5" w:after="26"/>
        <w:ind w:left="3159" w:right="0" w:firstLine="0"/>
        <w:jc w:val="left"/>
        <w:rPr>
          <w:sz w:val="15"/>
        </w:rPr>
      </w:pPr>
      <w:r>
        <w:rPr>
          <w:w w:val="52"/>
          <w:sz w:val="15"/>
          <w:u w:val="single"/>
        </w:rPr>
        <w:t> </w:t>
      </w:r>
      <w:r>
        <w:rPr>
          <w:sz w:val="15"/>
          <w:u w:val="single"/>
        </w:rPr>
        <w:tab/>
      </w:r>
      <w:r>
        <w:rPr>
          <w:w w:val="80"/>
          <w:sz w:val="15"/>
          <w:u w:val="single"/>
        </w:rPr>
        <w:t>Pós</w:t>
      </w:r>
      <w:r>
        <w:rPr>
          <w:spacing w:val="-26"/>
          <w:w w:val="80"/>
          <w:sz w:val="15"/>
          <w:u w:val="single"/>
        </w:rPr>
        <w:t> </w:t>
      </w:r>
      <w:r>
        <w:rPr>
          <w:w w:val="80"/>
          <w:sz w:val="15"/>
          <w:u w:val="single"/>
        </w:rPr>
        <w:t>Emprego</w:t>
        <w:tab/>
        <w:t> </w:t>
        <w:tab/>
        <w:t>Emprego</w:t>
        <w:tab/>
        <w:t> </w:t>
        <w:tab/>
        <w:t>Emprego</w:t>
        <w:tab/>
        <w:t> </w:t>
        <w:tab/>
        <w:t>Emprego</w:t>
      </w:r>
      <w:r>
        <w:rPr>
          <w:sz w:val="15"/>
          <w:u w:val="single"/>
        </w:rPr>
        <w:tab/>
      </w:r>
    </w:p>
    <w:tbl>
      <w:tblPr>
        <w:tblW w:w="0" w:type="auto"/>
        <w:jc w:val="left"/>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48"/>
        <w:gridCol w:w="924"/>
        <w:gridCol w:w="746"/>
        <w:gridCol w:w="759"/>
        <w:gridCol w:w="54"/>
        <w:gridCol w:w="977"/>
        <w:gridCol w:w="799"/>
        <w:gridCol w:w="758"/>
        <w:gridCol w:w="53"/>
        <w:gridCol w:w="1424"/>
        <w:gridCol w:w="1029"/>
        <w:gridCol w:w="743"/>
        <w:gridCol w:w="54"/>
        <w:gridCol w:w="1424"/>
        <w:gridCol w:w="1029"/>
        <w:gridCol w:w="743"/>
      </w:tblGrid>
      <w:tr>
        <w:trPr>
          <w:trHeight w:val="398" w:hRule="atLeast"/>
        </w:trPr>
        <w:tc>
          <w:tcPr>
            <w:tcW w:w="3048" w:type="dxa"/>
          </w:tcPr>
          <w:p>
            <w:pPr>
              <w:pStyle w:val="TableParagraph"/>
              <w:rPr>
                <w:sz w:val="18"/>
              </w:rPr>
            </w:pPr>
          </w:p>
          <w:p>
            <w:pPr>
              <w:pStyle w:val="TableParagraph"/>
              <w:spacing w:line="169" w:lineRule="exact"/>
              <w:ind w:left="29"/>
              <w:rPr>
                <w:rFonts w:ascii="Caladea"/>
                <w:b/>
                <w:sz w:val="15"/>
              </w:rPr>
            </w:pPr>
            <w:r>
              <w:rPr>
                <w:rFonts w:ascii="Caladea"/>
                <w:b/>
                <w:w w:val="80"/>
                <w:sz w:val="15"/>
              </w:rPr>
              <w:t>Circulante</w:t>
            </w:r>
          </w:p>
        </w:tc>
        <w:tc>
          <w:tcPr>
            <w:tcW w:w="924" w:type="dxa"/>
          </w:tcPr>
          <w:p>
            <w:pPr>
              <w:pStyle w:val="TableParagraph"/>
              <w:rPr>
                <w:rFonts w:ascii="Times New Roman"/>
                <w:sz w:val="10"/>
              </w:rPr>
            </w:pPr>
          </w:p>
        </w:tc>
        <w:tc>
          <w:tcPr>
            <w:tcW w:w="1505" w:type="dxa"/>
            <w:gridSpan w:val="2"/>
          </w:tcPr>
          <w:p>
            <w:pPr>
              <w:pStyle w:val="TableParagraph"/>
              <w:spacing w:before="5"/>
              <w:ind w:left="786"/>
              <w:rPr>
                <w:sz w:val="15"/>
              </w:rPr>
            </w:pPr>
            <w:r>
              <w:rPr>
                <w:w w:val="70"/>
                <w:sz w:val="15"/>
              </w:rPr>
              <w:t>Reapresentado</w:t>
            </w:r>
          </w:p>
        </w:tc>
        <w:tc>
          <w:tcPr>
            <w:tcW w:w="54" w:type="dxa"/>
          </w:tcPr>
          <w:p>
            <w:pPr>
              <w:pStyle w:val="TableParagraph"/>
              <w:rPr>
                <w:rFonts w:ascii="Times New Roman"/>
                <w:sz w:val="10"/>
              </w:rPr>
            </w:pPr>
          </w:p>
        </w:tc>
        <w:tc>
          <w:tcPr>
            <w:tcW w:w="977" w:type="dxa"/>
          </w:tcPr>
          <w:p>
            <w:pPr>
              <w:pStyle w:val="TableParagraph"/>
              <w:rPr>
                <w:rFonts w:ascii="Times New Roman"/>
                <w:sz w:val="10"/>
              </w:rPr>
            </w:pPr>
          </w:p>
        </w:tc>
        <w:tc>
          <w:tcPr>
            <w:tcW w:w="1557" w:type="dxa"/>
            <w:gridSpan w:val="2"/>
          </w:tcPr>
          <w:p>
            <w:pPr>
              <w:pStyle w:val="TableParagraph"/>
              <w:spacing w:before="5"/>
              <w:ind w:left="839"/>
              <w:rPr>
                <w:sz w:val="15"/>
              </w:rPr>
            </w:pPr>
            <w:r>
              <w:rPr>
                <w:w w:val="70"/>
                <w:sz w:val="15"/>
              </w:rPr>
              <w:t>Reapresentado</w:t>
            </w:r>
          </w:p>
        </w:tc>
        <w:tc>
          <w:tcPr>
            <w:tcW w:w="53" w:type="dxa"/>
          </w:tcPr>
          <w:p>
            <w:pPr>
              <w:pStyle w:val="TableParagraph"/>
              <w:rPr>
                <w:rFonts w:ascii="Times New Roman"/>
                <w:sz w:val="10"/>
              </w:rPr>
            </w:pPr>
          </w:p>
        </w:tc>
        <w:tc>
          <w:tcPr>
            <w:tcW w:w="1424" w:type="dxa"/>
          </w:tcPr>
          <w:p>
            <w:pPr>
              <w:pStyle w:val="TableParagraph"/>
              <w:rPr>
                <w:rFonts w:ascii="Times New Roman"/>
                <w:sz w:val="10"/>
              </w:rPr>
            </w:pPr>
          </w:p>
        </w:tc>
        <w:tc>
          <w:tcPr>
            <w:tcW w:w="1772" w:type="dxa"/>
            <w:gridSpan w:val="2"/>
          </w:tcPr>
          <w:p>
            <w:pPr>
              <w:pStyle w:val="TableParagraph"/>
              <w:spacing w:before="5"/>
              <w:ind w:left="1056"/>
              <w:rPr>
                <w:sz w:val="15"/>
              </w:rPr>
            </w:pPr>
            <w:r>
              <w:rPr>
                <w:w w:val="70"/>
                <w:sz w:val="15"/>
              </w:rPr>
              <w:t>Reapresentado</w:t>
            </w:r>
          </w:p>
        </w:tc>
        <w:tc>
          <w:tcPr>
            <w:tcW w:w="54" w:type="dxa"/>
          </w:tcPr>
          <w:p>
            <w:pPr>
              <w:pStyle w:val="TableParagraph"/>
              <w:rPr>
                <w:rFonts w:ascii="Times New Roman"/>
                <w:sz w:val="10"/>
              </w:rPr>
            </w:pPr>
          </w:p>
        </w:tc>
        <w:tc>
          <w:tcPr>
            <w:tcW w:w="1424" w:type="dxa"/>
          </w:tcPr>
          <w:p>
            <w:pPr>
              <w:pStyle w:val="TableParagraph"/>
              <w:rPr>
                <w:rFonts w:ascii="Times New Roman"/>
                <w:sz w:val="10"/>
              </w:rPr>
            </w:pPr>
          </w:p>
        </w:tc>
        <w:tc>
          <w:tcPr>
            <w:tcW w:w="1772" w:type="dxa"/>
            <w:gridSpan w:val="2"/>
          </w:tcPr>
          <w:p>
            <w:pPr>
              <w:pStyle w:val="TableParagraph"/>
              <w:spacing w:before="5"/>
              <w:ind w:left="1058"/>
              <w:rPr>
                <w:sz w:val="15"/>
              </w:rPr>
            </w:pPr>
            <w:r>
              <w:rPr>
                <w:w w:val="70"/>
                <w:sz w:val="15"/>
              </w:rPr>
              <w:t>Reapresentado</w:t>
            </w:r>
          </w:p>
        </w:tc>
      </w:tr>
      <w:tr>
        <w:trPr>
          <w:trHeight w:val="205" w:hRule="atLeast"/>
        </w:trPr>
        <w:tc>
          <w:tcPr>
            <w:tcW w:w="3048" w:type="dxa"/>
          </w:tcPr>
          <w:p>
            <w:pPr>
              <w:pStyle w:val="TableParagraph"/>
              <w:spacing w:line="168" w:lineRule="exact" w:before="18"/>
              <w:ind w:left="29"/>
              <w:rPr>
                <w:sz w:val="15"/>
              </w:rPr>
            </w:pPr>
            <w:r>
              <w:rPr>
                <w:w w:val="80"/>
                <w:sz w:val="15"/>
              </w:rPr>
              <w:t>Caixa e Equivalentes de Caixa</w:t>
            </w:r>
          </w:p>
        </w:tc>
        <w:tc>
          <w:tcPr>
            <w:tcW w:w="924" w:type="dxa"/>
          </w:tcPr>
          <w:p>
            <w:pPr>
              <w:pStyle w:val="TableParagraph"/>
              <w:spacing w:line="168" w:lineRule="exact" w:before="18"/>
              <w:ind w:right="316"/>
              <w:jc w:val="right"/>
              <w:rPr>
                <w:sz w:val="15"/>
              </w:rPr>
            </w:pPr>
            <w:r>
              <w:rPr>
                <w:w w:val="70"/>
                <w:sz w:val="15"/>
              </w:rPr>
              <w:t>12.784</w:t>
            </w:r>
          </w:p>
        </w:tc>
        <w:tc>
          <w:tcPr>
            <w:tcW w:w="1505" w:type="dxa"/>
            <w:gridSpan w:val="2"/>
          </w:tcPr>
          <w:p>
            <w:pPr>
              <w:pStyle w:val="TableParagraph"/>
              <w:spacing w:line="168" w:lineRule="exact" w:before="18"/>
              <w:ind w:right="74"/>
              <w:jc w:val="right"/>
              <w:rPr>
                <w:sz w:val="15"/>
              </w:rPr>
            </w:pPr>
            <w:r>
              <w:rPr>
                <w:w w:val="70"/>
                <w:sz w:val="15"/>
              </w:rPr>
              <w:t>12.784</w:t>
            </w:r>
          </w:p>
        </w:tc>
        <w:tc>
          <w:tcPr>
            <w:tcW w:w="54" w:type="dxa"/>
          </w:tcPr>
          <w:p>
            <w:pPr>
              <w:pStyle w:val="TableParagraph"/>
              <w:rPr>
                <w:rFonts w:ascii="Times New Roman"/>
                <w:sz w:val="10"/>
              </w:rPr>
            </w:pPr>
          </w:p>
        </w:tc>
        <w:tc>
          <w:tcPr>
            <w:tcW w:w="977" w:type="dxa"/>
          </w:tcPr>
          <w:p>
            <w:pPr>
              <w:pStyle w:val="TableParagraph"/>
              <w:spacing w:line="168" w:lineRule="exact" w:before="18"/>
              <w:ind w:right="371"/>
              <w:jc w:val="right"/>
              <w:rPr>
                <w:sz w:val="15"/>
              </w:rPr>
            </w:pPr>
            <w:r>
              <w:rPr>
                <w:w w:val="70"/>
                <w:sz w:val="15"/>
              </w:rPr>
              <w:t>6.964</w:t>
            </w:r>
          </w:p>
        </w:tc>
        <w:tc>
          <w:tcPr>
            <w:tcW w:w="1557" w:type="dxa"/>
            <w:gridSpan w:val="2"/>
          </w:tcPr>
          <w:p>
            <w:pPr>
              <w:pStyle w:val="TableParagraph"/>
              <w:spacing w:line="168" w:lineRule="exact" w:before="18"/>
              <w:ind w:right="74"/>
              <w:jc w:val="right"/>
              <w:rPr>
                <w:sz w:val="15"/>
              </w:rPr>
            </w:pPr>
            <w:r>
              <w:rPr>
                <w:w w:val="70"/>
                <w:sz w:val="15"/>
              </w:rPr>
              <w:t>6.964</w:t>
            </w:r>
          </w:p>
        </w:tc>
        <w:tc>
          <w:tcPr>
            <w:tcW w:w="53" w:type="dxa"/>
          </w:tcPr>
          <w:p>
            <w:pPr>
              <w:pStyle w:val="TableParagraph"/>
              <w:rPr>
                <w:rFonts w:ascii="Times New Roman"/>
                <w:sz w:val="10"/>
              </w:rPr>
            </w:pPr>
          </w:p>
        </w:tc>
        <w:tc>
          <w:tcPr>
            <w:tcW w:w="1424" w:type="dxa"/>
          </w:tcPr>
          <w:p>
            <w:pPr>
              <w:pStyle w:val="TableParagraph"/>
              <w:spacing w:line="168" w:lineRule="exact" w:before="18"/>
              <w:ind w:right="817"/>
              <w:jc w:val="right"/>
              <w:rPr>
                <w:sz w:val="15"/>
              </w:rPr>
            </w:pPr>
            <w:r>
              <w:rPr>
                <w:w w:val="70"/>
                <w:sz w:val="15"/>
              </w:rPr>
              <w:t>179.699</w:t>
            </w:r>
          </w:p>
        </w:tc>
        <w:tc>
          <w:tcPr>
            <w:tcW w:w="1772" w:type="dxa"/>
            <w:gridSpan w:val="2"/>
          </w:tcPr>
          <w:p>
            <w:pPr>
              <w:pStyle w:val="TableParagraph"/>
              <w:spacing w:line="168" w:lineRule="exact" w:before="18"/>
              <w:ind w:right="72"/>
              <w:jc w:val="right"/>
              <w:rPr>
                <w:sz w:val="15"/>
              </w:rPr>
            </w:pPr>
            <w:r>
              <w:rPr>
                <w:w w:val="70"/>
                <w:sz w:val="15"/>
              </w:rPr>
              <w:t>179.699</w:t>
            </w:r>
          </w:p>
        </w:tc>
        <w:tc>
          <w:tcPr>
            <w:tcW w:w="54" w:type="dxa"/>
          </w:tcPr>
          <w:p>
            <w:pPr>
              <w:pStyle w:val="TableParagraph"/>
              <w:rPr>
                <w:rFonts w:ascii="Times New Roman"/>
                <w:sz w:val="10"/>
              </w:rPr>
            </w:pPr>
          </w:p>
        </w:tc>
        <w:tc>
          <w:tcPr>
            <w:tcW w:w="1424" w:type="dxa"/>
          </w:tcPr>
          <w:p>
            <w:pPr>
              <w:pStyle w:val="TableParagraph"/>
              <w:spacing w:line="168" w:lineRule="exact" w:before="18"/>
              <w:ind w:right="815"/>
              <w:jc w:val="right"/>
              <w:rPr>
                <w:sz w:val="15"/>
              </w:rPr>
            </w:pPr>
            <w:r>
              <w:rPr>
                <w:w w:val="70"/>
                <w:sz w:val="15"/>
              </w:rPr>
              <w:t>92.001</w:t>
            </w:r>
          </w:p>
        </w:tc>
        <w:tc>
          <w:tcPr>
            <w:tcW w:w="1772" w:type="dxa"/>
            <w:gridSpan w:val="2"/>
          </w:tcPr>
          <w:p>
            <w:pPr>
              <w:pStyle w:val="TableParagraph"/>
              <w:spacing w:line="168" w:lineRule="exact" w:before="18"/>
              <w:ind w:right="70"/>
              <w:jc w:val="right"/>
              <w:rPr>
                <w:sz w:val="15"/>
              </w:rPr>
            </w:pPr>
            <w:r>
              <w:rPr>
                <w:w w:val="70"/>
                <w:sz w:val="15"/>
              </w:rPr>
              <w:t>92.001</w:t>
            </w:r>
          </w:p>
        </w:tc>
      </w:tr>
      <w:tr>
        <w:trPr>
          <w:trHeight w:val="205" w:hRule="atLeast"/>
        </w:trPr>
        <w:tc>
          <w:tcPr>
            <w:tcW w:w="3048" w:type="dxa"/>
          </w:tcPr>
          <w:p>
            <w:pPr>
              <w:pStyle w:val="TableParagraph"/>
              <w:spacing w:line="167" w:lineRule="exact" w:before="18"/>
              <w:ind w:left="29"/>
              <w:rPr>
                <w:sz w:val="15"/>
              </w:rPr>
            </w:pPr>
            <w:r>
              <w:rPr>
                <w:w w:val="80"/>
                <w:sz w:val="15"/>
              </w:rPr>
              <w:t>Contas a Receber</w:t>
            </w:r>
          </w:p>
        </w:tc>
        <w:tc>
          <w:tcPr>
            <w:tcW w:w="924" w:type="dxa"/>
          </w:tcPr>
          <w:p>
            <w:pPr>
              <w:pStyle w:val="TableParagraph"/>
              <w:spacing w:line="167" w:lineRule="exact" w:before="18"/>
              <w:ind w:right="316"/>
              <w:jc w:val="right"/>
              <w:rPr>
                <w:sz w:val="15"/>
              </w:rPr>
            </w:pPr>
            <w:r>
              <w:rPr>
                <w:w w:val="70"/>
                <w:sz w:val="15"/>
              </w:rPr>
              <w:t>26.994</w:t>
            </w:r>
          </w:p>
        </w:tc>
        <w:tc>
          <w:tcPr>
            <w:tcW w:w="1505" w:type="dxa"/>
            <w:gridSpan w:val="2"/>
          </w:tcPr>
          <w:p>
            <w:pPr>
              <w:pStyle w:val="TableParagraph"/>
              <w:spacing w:line="167" w:lineRule="exact" w:before="18"/>
              <w:ind w:right="74"/>
              <w:jc w:val="right"/>
              <w:rPr>
                <w:sz w:val="15"/>
              </w:rPr>
            </w:pPr>
            <w:r>
              <w:rPr>
                <w:w w:val="70"/>
                <w:sz w:val="15"/>
              </w:rPr>
              <w:t>26.994</w:t>
            </w:r>
          </w:p>
        </w:tc>
        <w:tc>
          <w:tcPr>
            <w:tcW w:w="54" w:type="dxa"/>
          </w:tcPr>
          <w:p>
            <w:pPr>
              <w:pStyle w:val="TableParagraph"/>
              <w:rPr>
                <w:rFonts w:ascii="Times New Roman"/>
                <w:sz w:val="10"/>
              </w:rPr>
            </w:pPr>
          </w:p>
        </w:tc>
        <w:tc>
          <w:tcPr>
            <w:tcW w:w="977" w:type="dxa"/>
          </w:tcPr>
          <w:p>
            <w:pPr>
              <w:pStyle w:val="TableParagraph"/>
              <w:spacing w:line="167" w:lineRule="exact" w:before="18"/>
              <w:ind w:right="371"/>
              <w:jc w:val="right"/>
              <w:rPr>
                <w:sz w:val="15"/>
              </w:rPr>
            </w:pPr>
            <w:r>
              <w:rPr>
                <w:w w:val="70"/>
                <w:sz w:val="15"/>
              </w:rPr>
              <w:t>15.323</w:t>
            </w:r>
          </w:p>
        </w:tc>
        <w:tc>
          <w:tcPr>
            <w:tcW w:w="1557" w:type="dxa"/>
            <w:gridSpan w:val="2"/>
          </w:tcPr>
          <w:p>
            <w:pPr>
              <w:pStyle w:val="TableParagraph"/>
              <w:spacing w:line="167" w:lineRule="exact" w:before="18"/>
              <w:ind w:right="74"/>
              <w:jc w:val="right"/>
              <w:rPr>
                <w:sz w:val="15"/>
              </w:rPr>
            </w:pPr>
            <w:r>
              <w:rPr>
                <w:w w:val="70"/>
                <w:sz w:val="15"/>
              </w:rPr>
              <w:t>15.323</w:t>
            </w: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622.655</w:t>
            </w:r>
          </w:p>
        </w:tc>
        <w:tc>
          <w:tcPr>
            <w:tcW w:w="1772" w:type="dxa"/>
            <w:gridSpan w:val="2"/>
          </w:tcPr>
          <w:p>
            <w:pPr>
              <w:pStyle w:val="TableParagraph"/>
              <w:spacing w:line="167" w:lineRule="exact" w:before="18"/>
              <w:ind w:right="72"/>
              <w:jc w:val="right"/>
              <w:rPr>
                <w:sz w:val="15"/>
              </w:rPr>
            </w:pPr>
            <w:r>
              <w:rPr>
                <w:w w:val="70"/>
                <w:sz w:val="15"/>
              </w:rPr>
              <w:t>622.655</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538.539</w:t>
            </w:r>
          </w:p>
        </w:tc>
        <w:tc>
          <w:tcPr>
            <w:tcW w:w="1772" w:type="dxa"/>
            <w:gridSpan w:val="2"/>
          </w:tcPr>
          <w:p>
            <w:pPr>
              <w:pStyle w:val="TableParagraph"/>
              <w:spacing w:line="167" w:lineRule="exact" w:before="18"/>
              <w:ind w:right="70"/>
              <w:jc w:val="right"/>
              <w:rPr>
                <w:sz w:val="15"/>
              </w:rPr>
            </w:pPr>
            <w:r>
              <w:rPr>
                <w:w w:val="70"/>
                <w:sz w:val="15"/>
              </w:rPr>
              <w:t>538.539</w:t>
            </w:r>
          </w:p>
        </w:tc>
      </w:tr>
      <w:tr>
        <w:trPr>
          <w:trHeight w:val="205" w:hRule="atLeast"/>
        </w:trPr>
        <w:tc>
          <w:tcPr>
            <w:tcW w:w="3048" w:type="dxa"/>
          </w:tcPr>
          <w:p>
            <w:pPr>
              <w:pStyle w:val="TableParagraph"/>
              <w:spacing w:line="168" w:lineRule="exact" w:before="18"/>
              <w:ind w:left="29"/>
              <w:rPr>
                <w:sz w:val="15"/>
              </w:rPr>
            </w:pPr>
            <w:r>
              <w:rPr>
                <w:w w:val="80"/>
                <w:sz w:val="15"/>
              </w:rPr>
              <w:t>Depósitos e Bloqueios Judiciais</w:t>
            </w:r>
          </w:p>
        </w:tc>
        <w:tc>
          <w:tcPr>
            <w:tcW w:w="924" w:type="dxa"/>
          </w:tcPr>
          <w:p>
            <w:pPr>
              <w:pStyle w:val="TableParagraph"/>
              <w:spacing w:line="168" w:lineRule="exact" w:before="18"/>
              <w:ind w:right="313"/>
              <w:jc w:val="right"/>
              <w:rPr>
                <w:sz w:val="15"/>
              </w:rPr>
            </w:pPr>
            <w:r>
              <w:rPr>
                <w:w w:val="75"/>
                <w:sz w:val="15"/>
              </w:rPr>
              <w:t>111</w:t>
            </w:r>
          </w:p>
        </w:tc>
        <w:tc>
          <w:tcPr>
            <w:tcW w:w="1505" w:type="dxa"/>
            <w:gridSpan w:val="2"/>
          </w:tcPr>
          <w:p>
            <w:pPr>
              <w:pStyle w:val="TableParagraph"/>
              <w:spacing w:line="168" w:lineRule="exact" w:before="18"/>
              <w:ind w:right="71"/>
              <w:jc w:val="right"/>
              <w:rPr>
                <w:sz w:val="15"/>
              </w:rPr>
            </w:pPr>
            <w:r>
              <w:rPr>
                <w:w w:val="75"/>
                <w:sz w:val="15"/>
              </w:rPr>
              <w:t>111</w:t>
            </w:r>
          </w:p>
        </w:tc>
        <w:tc>
          <w:tcPr>
            <w:tcW w:w="54" w:type="dxa"/>
          </w:tcPr>
          <w:p>
            <w:pPr>
              <w:pStyle w:val="TableParagraph"/>
              <w:rPr>
                <w:rFonts w:ascii="Times New Roman"/>
                <w:sz w:val="10"/>
              </w:rPr>
            </w:pPr>
          </w:p>
        </w:tc>
        <w:tc>
          <w:tcPr>
            <w:tcW w:w="977" w:type="dxa"/>
          </w:tcPr>
          <w:p>
            <w:pPr>
              <w:pStyle w:val="TableParagraph"/>
              <w:spacing w:line="168" w:lineRule="exact" w:before="18"/>
              <w:ind w:right="368"/>
              <w:jc w:val="right"/>
              <w:rPr>
                <w:sz w:val="15"/>
              </w:rPr>
            </w:pPr>
            <w:r>
              <w:rPr>
                <w:w w:val="75"/>
                <w:sz w:val="15"/>
              </w:rPr>
              <w:t>95</w:t>
            </w:r>
          </w:p>
        </w:tc>
        <w:tc>
          <w:tcPr>
            <w:tcW w:w="1557" w:type="dxa"/>
            <w:gridSpan w:val="2"/>
          </w:tcPr>
          <w:p>
            <w:pPr>
              <w:pStyle w:val="TableParagraph"/>
              <w:spacing w:line="168" w:lineRule="exact" w:before="18"/>
              <w:ind w:right="71"/>
              <w:jc w:val="right"/>
              <w:rPr>
                <w:sz w:val="15"/>
              </w:rPr>
            </w:pPr>
            <w:r>
              <w:rPr>
                <w:w w:val="75"/>
                <w:sz w:val="15"/>
              </w:rPr>
              <w:t>95</w:t>
            </w:r>
          </w:p>
        </w:tc>
        <w:tc>
          <w:tcPr>
            <w:tcW w:w="53" w:type="dxa"/>
          </w:tcPr>
          <w:p>
            <w:pPr>
              <w:pStyle w:val="TableParagraph"/>
              <w:rPr>
                <w:rFonts w:ascii="Times New Roman"/>
                <w:sz w:val="10"/>
              </w:rPr>
            </w:pPr>
          </w:p>
        </w:tc>
        <w:tc>
          <w:tcPr>
            <w:tcW w:w="1424" w:type="dxa"/>
          </w:tcPr>
          <w:p>
            <w:pPr>
              <w:pStyle w:val="TableParagraph"/>
              <w:spacing w:line="168" w:lineRule="exact" w:before="18"/>
              <w:ind w:right="816"/>
              <w:jc w:val="right"/>
              <w:rPr>
                <w:sz w:val="15"/>
              </w:rPr>
            </w:pPr>
            <w:r>
              <w:rPr>
                <w:w w:val="70"/>
                <w:sz w:val="15"/>
              </w:rPr>
              <w:t>2.552</w:t>
            </w:r>
          </w:p>
        </w:tc>
        <w:tc>
          <w:tcPr>
            <w:tcW w:w="1772" w:type="dxa"/>
            <w:gridSpan w:val="2"/>
          </w:tcPr>
          <w:p>
            <w:pPr>
              <w:pStyle w:val="TableParagraph"/>
              <w:spacing w:line="168" w:lineRule="exact" w:before="18"/>
              <w:ind w:right="71"/>
              <w:jc w:val="right"/>
              <w:rPr>
                <w:sz w:val="15"/>
              </w:rPr>
            </w:pPr>
            <w:r>
              <w:rPr>
                <w:w w:val="70"/>
                <w:sz w:val="15"/>
              </w:rPr>
              <w:t>2.552</w:t>
            </w:r>
          </w:p>
        </w:tc>
        <w:tc>
          <w:tcPr>
            <w:tcW w:w="54" w:type="dxa"/>
          </w:tcPr>
          <w:p>
            <w:pPr>
              <w:pStyle w:val="TableParagraph"/>
              <w:rPr>
                <w:rFonts w:ascii="Times New Roman"/>
                <w:sz w:val="10"/>
              </w:rPr>
            </w:pPr>
          </w:p>
        </w:tc>
        <w:tc>
          <w:tcPr>
            <w:tcW w:w="1424" w:type="dxa"/>
          </w:tcPr>
          <w:p>
            <w:pPr>
              <w:pStyle w:val="TableParagraph"/>
              <w:spacing w:line="168" w:lineRule="exact" w:before="18"/>
              <w:ind w:right="815"/>
              <w:jc w:val="right"/>
              <w:rPr>
                <w:sz w:val="15"/>
              </w:rPr>
            </w:pPr>
            <w:r>
              <w:rPr>
                <w:w w:val="70"/>
                <w:sz w:val="15"/>
              </w:rPr>
              <w:t>5.385</w:t>
            </w:r>
          </w:p>
        </w:tc>
        <w:tc>
          <w:tcPr>
            <w:tcW w:w="1772" w:type="dxa"/>
            <w:gridSpan w:val="2"/>
          </w:tcPr>
          <w:p>
            <w:pPr>
              <w:pStyle w:val="TableParagraph"/>
              <w:spacing w:line="168" w:lineRule="exact" w:before="18"/>
              <w:ind w:right="70"/>
              <w:jc w:val="right"/>
              <w:rPr>
                <w:sz w:val="15"/>
              </w:rPr>
            </w:pPr>
            <w:r>
              <w:rPr>
                <w:w w:val="70"/>
                <w:sz w:val="15"/>
              </w:rPr>
              <w:t>5.385</w:t>
            </w:r>
          </w:p>
        </w:tc>
      </w:tr>
      <w:tr>
        <w:trPr>
          <w:trHeight w:val="205" w:hRule="atLeast"/>
        </w:trPr>
        <w:tc>
          <w:tcPr>
            <w:tcW w:w="3048" w:type="dxa"/>
          </w:tcPr>
          <w:p>
            <w:pPr>
              <w:pStyle w:val="TableParagraph"/>
              <w:spacing w:line="167" w:lineRule="exact" w:before="18"/>
              <w:ind w:left="29"/>
              <w:rPr>
                <w:sz w:val="15"/>
              </w:rPr>
            </w:pPr>
            <w:r>
              <w:rPr>
                <w:w w:val="80"/>
                <w:sz w:val="15"/>
              </w:rPr>
              <w:t>Estoques</w:t>
            </w:r>
          </w:p>
        </w:tc>
        <w:tc>
          <w:tcPr>
            <w:tcW w:w="924" w:type="dxa"/>
          </w:tcPr>
          <w:p>
            <w:pPr>
              <w:pStyle w:val="TableParagraph"/>
              <w:spacing w:line="167" w:lineRule="exact" w:before="18"/>
              <w:ind w:right="313"/>
              <w:jc w:val="right"/>
              <w:rPr>
                <w:sz w:val="15"/>
              </w:rPr>
            </w:pPr>
            <w:r>
              <w:rPr>
                <w:w w:val="75"/>
                <w:sz w:val="15"/>
              </w:rPr>
              <w:t>595</w:t>
            </w:r>
          </w:p>
        </w:tc>
        <w:tc>
          <w:tcPr>
            <w:tcW w:w="1505" w:type="dxa"/>
            <w:gridSpan w:val="2"/>
          </w:tcPr>
          <w:p>
            <w:pPr>
              <w:pStyle w:val="TableParagraph"/>
              <w:spacing w:line="167" w:lineRule="exact" w:before="18"/>
              <w:ind w:right="71"/>
              <w:jc w:val="right"/>
              <w:rPr>
                <w:sz w:val="15"/>
              </w:rPr>
            </w:pPr>
            <w:r>
              <w:rPr>
                <w:w w:val="75"/>
                <w:sz w:val="15"/>
              </w:rPr>
              <w:t>595</w:t>
            </w:r>
          </w:p>
        </w:tc>
        <w:tc>
          <w:tcPr>
            <w:tcW w:w="54" w:type="dxa"/>
          </w:tcPr>
          <w:p>
            <w:pPr>
              <w:pStyle w:val="TableParagraph"/>
              <w:rPr>
                <w:rFonts w:ascii="Times New Roman"/>
                <w:sz w:val="10"/>
              </w:rPr>
            </w:pPr>
          </w:p>
        </w:tc>
        <w:tc>
          <w:tcPr>
            <w:tcW w:w="977" w:type="dxa"/>
          </w:tcPr>
          <w:p>
            <w:pPr>
              <w:pStyle w:val="TableParagraph"/>
              <w:spacing w:line="167" w:lineRule="exact" w:before="18"/>
              <w:ind w:right="368"/>
              <w:jc w:val="right"/>
              <w:rPr>
                <w:sz w:val="15"/>
              </w:rPr>
            </w:pPr>
            <w:r>
              <w:rPr>
                <w:w w:val="75"/>
                <w:sz w:val="15"/>
              </w:rPr>
              <w:t>565</w:t>
            </w:r>
          </w:p>
        </w:tc>
        <w:tc>
          <w:tcPr>
            <w:tcW w:w="1557" w:type="dxa"/>
            <w:gridSpan w:val="2"/>
          </w:tcPr>
          <w:p>
            <w:pPr>
              <w:pStyle w:val="TableParagraph"/>
              <w:spacing w:line="167" w:lineRule="exact" w:before="18"/>
              <w:ind w:right="71"/>
              <w:jc w:val="right"/>
              <w:rPr>
                <w:sz w:val="15"/>
              </w:rPr>
            </w:pPr>
            <w:r>
              <w:rPr>
                <w:w w:val="75"/>
                <w:sz w:val="15"/>
              </w:rPr>
              <w:t>565</w:t>
            </w:r>
          </w:p>
        </w:tc>
        <w:tc>
          <w:tcPr>
            <w:tcW w:w="53" w:type="dxa"/>
          </w:tcPr>
          <w:p>
            <w:pPr>
              <w:pStyle w:val="TableParagraph"/>
              <w:rPr>
                <w:rFonts w:ascii="Times New Roman"/>
                <w:sz w:val="10"/>
              </w:rPr>
            </w:pPr>
          </w:p>
        </w:tc>
        <w:tc>
          <w:tcPr>
            <w:tcW w:w="1424" w:type="dxa"/>
          </w:tcPr>
          <w:p>
            <w:pPr>
              <w:pStyle w:val="TableParagraph"/>
              <w:spacing w:line="167" w:lineRule="exact" w:before="18"/>
              <w:ind w:right="816"/>
              <w:jc w:val="right"/>
              <w:rPr>
                <w:sz w:val="15"/>
              </w:rPr>
            </w:pPr>
            <w:r>
              <w:rPr>
                <w:w w:val="70"/>
                <w:sz w:val="15"/>
              </w:rPr>
              <w:t>8.437</w:t>
            </w:r>
          </w:p>
        </w:tc>
        <w:tc>
          <w:tcPr>
            <w:tcW w:w="1772" w:type="dxa"/>
            <w:gridSpan w:val="2"/>
          </w:tcPr>
          <w:p>
            <w:pPr>
              <w:pStyle w:val="TableParagraph"/>
              <w:spacing w:line="167" w:lineRule="exact" w:before="18"/>
              <w:ind w:right="71"/>
              <w:jc w:val="right"/>
              <w:rPr>
                <w:sz w:val="15"/>
              </w:rPr>
            </w:pPr>
            <w:r>
              <w:rPr>
                <w:w w:val="70"/>
                <w:sz w:val="15"/>
              </w:rPr>
              <w:t>8.437</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7.846</w:t>
            </w:r>
          </w:p>
        </w:tc>
        <w:tc>
          <w:tcPr>
            <w:tcW w:w="1772" w:type="dxa"/>
            <w:gridSpan w:val="2"/>
          </w:tcPr>
          <w:p>
            <w:pPr>
              <w:pStyle w:val="TableParagraph"/>
              <w:spacing w:line="167" w:lineRule="exact" w:before="18"/>
              <w:ind w:right="70"/>
              <w:jc w:val="right"/>
              <w:rPr>
                <w:sz w:val="15"/>
              </w:rPr>
            </w:pPr>
            <w:r>
              <w:rPr>
                <w:w w:val="70"/>
                <w:sz w:val="15"/>
              </w:rPr>
              <w:t>7.846</w:t>
            </w:r>
          </w:p>
        </w:tc>
      </w:tr>
      <w:tr>
        <w:trPr>
          <w:trHeight w:val="205" w:hRule="atLeast"/>
        </w:trPr>
        <w:tc>
          <w:tcPr>
            <w:tcW w:w="3048" w:type="dxa"/>
          </w:tcPr>
          <w:p>
            <w:pPr>
              <w:pStyle w:val="TableParagraph"/>
              <w:spacing w:line="168" w:lineRule="exact" w:before="18"/>
              <w:ind w:left="29"/>
              <w:rPr>
                <w:sz w:val="15"/>
              </w:rPr>
            </w:pPr>
            <w:r>
              <w:rPr>
                <w:w w:val="80"/>
                <w:sz w:val="15"/>
              </w:rPr>
              <w:t>Tributos e Contribuições Compensáveis</w:t>
            </w:r>
          </w:p>
        </w:tc>
        <w:tc>
          <w:tcPr>
            <w:tcW w:w="924" w:type="dxa"/>
          </w:tcPr>
          <w:p>
            <w:pPr>
              <w:pStyle w:val="TableParagraph"/>
              <w:spacing w:line="168" w:lineRule="exact" w:before="18"/>
              <w:ind w:right="316"/>
              <w:jc w:val="right"/>
              <w:rPr>
                <w:sz w:val="15"/>
              </w:rPr>
            </w:pPr>
            <w:r>
              <w:rPr>
                <w:w w:val="70"/>
                <w:sz w:val="15"/>
              </w:rPr>
              <w:t>4.684</w:t>
            </w:r>
          </w:p>
        </w:tc>
        <w:tc>
          <w:tcPr>
            <w:tcW w:w="1505" w:type="dxa"/>
            <w:gridSpan w:val="2"/>
          </w:tcPr>
          <w:p>
            <w:pPr>
              <w:pStyle w:val="TableParagraph"/>
              <w:spacing w:line="168" w:lineRule="exact" w:before="18"/>
              <w:ind w:right="75"/>
              <w:jc w:val="right"/>
              <w:rPr>
                <w:sz w:val="15"/>
              </w:rPr>
            </w:pPr>
            <w:r>
              <w:rPr>
                <w:w w:val="70"/>
                <w:sz w:val="15"/>
              </w:rPr>
              <w:t>4.684</w:t>
            </w:r>
          </w:p>
        </w:tc>
        <w:tc>
          <w:tcPr>
            <w:tcW w:w="54" w:type="dxa"/>
          </w:tcPr>
          <w:p>
            <w:pPr>
              <w:pStyle w:val="TableParagraph"/>
              <w:rPr>
                <w:rFonts w:ascii="Times New Roman"/>
                <w:sz w:val="10"/>
              </w:rPr>
            </w:pPr>
          </w:p>
        </w:tc>
        <w:tc>
          <w:tcPr>
            <w:tcW w:w="977" w:type="dxa"/>
          </w:tcPr>
          <w:p>
            <w:pPr>
              <w:pStyle w:val="TableParagraph"/>
              <w:spacing w:line="168" w:lineRule="exact" w:before="18"/>
              <w:ind w:right="371"/>
              <w:jc w:val="right"/>
              <w:rPr>
                <w:sz w:val="15"/>
              </w:rPr>
            </w:pPr>
            <w:r>
              <w:rPr>
                <w:w w:val="70"/>
                <w:sz w:val="15"/>
              </w:rPr>
              <w:t>1.758</w:t>
            </w:r>
          </w:p>
        </w:tc>
        <w:tc>
          <w:tcPr>
            <w:tcW w:w="1557" w:type="dxa"/>
            <w:gridSpan w:val="2"/>
          </w:tcPr>
          <w:p>
            <w:pPr>
              <w:pStyle w:val="TableParagraph"/>
              <w:spacing w:line="168" w:lineRule="exact" w:before="18"/>
              <w:ind w:right="74"/>
              <w:jc w:val="right"/>
              <w:rPr>
                <w:sz w:val="15"/>
              </w:rPr>
            </w:pPr>
            <w:r>
              <w:rPr>
                <w:w w:val="70"/>
                <w:sz w:val="15"/>
              </w:rPr>
              <w:t>1.758</w:t>
            </w:r>
          </w:p>
        </w:tc>
        <w:tc>
          <w:tcPr>
            <w:tcW w:w="53" w:type="dxa"/>
          </w:tcPr>
          <w:p>
            <w:pPr>
              <w:pStyle w:val="TableParagraph"/>
              <w:rPr>
                <w:rFonts w:ascii="Times New Roman"/>
                <w:sz w:val="10"/>
              </w:rPr>
            </w:pPr>
          </w:p>
        </w:tc>
        <w:tc>
          <w:tcPr>
            <w:tcW w:w="1424" w:type="dxa"/>
          </w:tcPr>
          <w:p>
            <w:pPr>
              <w:pStyle w:val="TableParagraph"/>
              <w:spacing w:line="168" w:lineRule="exact" w:before="18"/>
              <w:ind w:right="817"/>
              <w:jc w:val="right"/>
              <w:rPr>
                <w:sz w:val="15"/>
              </w:rPr>
            </w:pPr>
            <w:r>
              <w:rPr>
                <w:w w:val="70"/>
                <w:sz w:val="15"/>
              </w:rPr>
              <w:t>23.169</w:t>
            </w:r>
          </w:p>
        </w:tc>
        <w:tc>
          <w:tcPr>
            <w:tcW w:w="1772" w:type="dxa"/>
            <w:gridSpan w:val="2"/>
          </w:tcPr>
          <w:p>
            <w:pPr>
              <w:pStyle w:val="TableParagraph"/>
              <w:spacing w:line="168" w:lineRule="exact" w:before="18"/>
              <w:ind w:right="71"/>
              <w:jc w:val="right"/>
              <w:rPr>
                <w:sz w:val="15"/>
              </w:rPr>
            </w:pPr>
            <w:r>
              <w:rPr>
                <w:w w:val="70"/>
                <w:sz w:val="15"/>
              </w:rPr>
              <w:t>23.169</w:t>
            </w:r>
          </w:p>
        </w:tc>
        <w:tc>
          <w:tcPr>
            <w:tcW w:w="54" w:type="dxa"/>
          </w:tcPr>
          <w:p>
            <w:pPr>
              <w:pStyle w:val="TableParagraph"/>
              <w:rPr>
                <w:rFonts w:ascii="Times New Roman"/>
                <w:sz w:val="10"/>
              </w:rPr>
            </w:pPr>
          </w:p>
        </w:tc>
        <w:tc>
          <w:tcPr>
            <w:tcW w:w="1424" w:type="dxa"/>
          </w:tcPr>
          <w:p>
            <w:pPr>
              <w:pStyle w:val="TableParagraph"/>
              <w:spacing w:line="168" w:lineRule="exact" w:before="18"/>
              <w:ind w:right="815"/>
              <w:jc w:val="right"/>
              <w:rPr>
                <w:sz w:val="15"/>
              </w:rPr>
            </w:pPr>
            <w:r>
              <w:rPr>
                <w:w w:val="70"/>
                <w:sz w:val="15"/>
              </w:rPr>
              <w:t>44.850</w:t>
            </w:r>
          </w:p>
        </w:tc>
        <w:tc>
          <w:tcPr>
            <w:tcW w:w="1772" w:type="dxa"/>
            <w:gridSpan w:val="2"/>
          </w:tcPr>
          <w:p>
            <w:pPr>
              <w:pStyle w:val="TableParagraph"/>
              <w:spacing w:line="168" w:lineRule="exact" w:before="18"/>
              <w:ind w:right="70"/>
              <w:jc w:val="right"/>
              <w:rPr>
                <w:sz w:val="15"/>
              </w:rPr>
            </w:pPr>
            <w:r>
              <w:rPr>
                <w:w w:val="70"/>
                <w:sz w:val="15"/>
              </w:rPr>
              <w:t>44.850</w:t>
            </w:r>
          </w:p>
        </w:tc>
      </w:tr>
      <w:tr>
        <w:trPr>
          <w:trHeight w:val="205" w:hRule="atLeast"/>
        </w:trPr>
        <w:tc>
          <w:tcPr>
            <w:tcW w:w="3048" w:type="dxa"/>
          </w:tcPr>
          <w:p>
            <w:pPr>
              <w:pStyle w:val="TableParagraph"/>
              <w:spacing w:line="167" w:lineRule="exact" w:before="18"/>
              <w:ind w:left="29"/>
              <w:rPr>
                <w:sz w:val="15"/>
              </w:rPr>
            </w:pPr>
            <w:r>
              <w:rPr>
                <w:w w:val="75"/>
                <w:sz w:val="15"/>
              </w:rPr>
              <w:t>Valores a Receber de Parcela "A" e Outros Itens Financeiros</w:t>
            </w:r>
          </w:p>
        </w:tc>
        <w:tc>
          <w:tcPr>
            <w:tcW w:w="924" w:type="dxa"/>
          </w:tcPr>
          <w:p>
            <w:pPr>
              <w:pStyle w:val="TableParagraph"/>
              <w:rPr>
                <w:rFonts w:ascii="Times New Roman"/>
                <w:sz w:val="10"/>
              </w:rPr>
            </w:pPr>
          </w:p>
        </w:tc>
        <w:tc>
          <w:tcPr>
            <w:tcW w:w="150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77" w:type="dxa"/>
          </w:tcPr>
          <w:p>
            <w:pPr>
              <w:pStyle w:val="TableParagraph"/>
              <w:rPr>
                <w:rFonts w:ascii="Times New Roman"/>
                <w:sz w:val="10"/>
              </w:rPr>
            </w:pPr>
          </w:p>
        </w:tc>
        <w:tc>
          <w:tcPr>
            <w:tcW w:w="1557" w:type="dxa"/>
            <w:gridSpan w:val="2"/>
          </w:tcPr>
          <w:p>
            <w:pPr>
              <w:pStyle w:val="TableParagraph"/>
              <w:rPr>
                <w:rFonts w:ascii="Times New Roman"/>
                <w:sz w:val="10"/>
              </w:rPr>
            </w:pP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862.704</w:t>
            </w:r>
          </w:p>
        </w:tc>
        <w:tc>
          <w:tcPr>
            <w:tcW w:w="1772" w:type="dxa"/>
            <w:gridSpan w:val="2"/>
          </w:tcPr>
          <w:p>
            <w:pPr>
              <w:pStyle w:val="TableParagraph"/>
              <w:spacing w:line="167" w:lineRule="exact" w:before="18"/>
              <w:ind w:right="72"/>
              <w:jc w:val="right"/>
              <w:rPr>
                <w:sz w:val="15"/>
              </w:rPr>
            </w:pPr>
            <w:r>
              <w:rPr>
                <w:w w:val="70"/>
                <w:sz w:val="15"/>
              </w:rPr>
              <w:t>862.704</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922.669</w:t>
            </w:r>
          </w:p>
        </w:tc>
        <w:tc>
          <w:tcPr>
            <w:tcW w:w="1772" w:type="dxa"/>
            <w:gridSpan w:val="2"/>
          </w:tcPr>
          <w:p>
            <w:pPr>
              <w:pStyle w:val="TableParagraph"/>
              <w:spacing w:line="167" w:lineRule="exact" w:before="18"/>
              <w:ind w:right="70"/>
              <w:jc w:val="right"/>
              <w:rPr>
                <w:sz w:val="15"/>
              </w:rPr>
            </w:pPr>
            <w:r>
              <w:rPr>
                <w:w w:val="70"/>
                <w:sz w:val="15"/>
              </w:rPr>
              <w:t>922.669</w:t>
            </w:r>
          </w:p>
        </w:tc>
      </w:tr>
      <w:tr>
        <w:trPr>
          <w:trHeight w:val="205" w:hRule="atLeast"/>
        </w:trPr>
        <w:tc>
          <w:tcPr>
            <w:tcW w:w="3048" w:type="dxa"/>
          </w:tcPr>
          <w:p>
            <w:pPr>
              <w:pStyle w:val="TableParagraph"/>
              <w:spacing w:line="167" w:lineRule="exact" w:before="18"/>
              <w:ind w:left="29"/>
              <w:rPr>
                <w:sz w:val="15"/>
              </w:rPr>
            </w:pPr>
            <w:r>
              <w:rPr>
                <w:w w:val="80"/>
                <w:sz w:val="15"/>
              </w:rPr>
              <w:t>Demais Créditos</w:t>
            </w:r>
          </w:p>
        </w:tc>
        <w:tc>
          <w:tcPr>
            <w:tcW w:w="924" w:type="dxa"/>
          </w:tcPr>
          <w:p>
            <w:pPr>
              <w:pStyle w:val="TableParagraph"/>
              <w:spacing w:line="167" w:lineRule="exact" w:before="18"/>
              <w:ind w:right="316"/>
              <w:jc w:val="right"/>
              <w:rPr>
                <w:sz w:val="15"/>
              </w:rPr>
            </w:pPr>
            <w:r>
              <w:rPr>
                <w:w w:val="70"/>
                <w:sz w:val="15"/>
              </w:rPr>
              <w:t>24.249</w:t>
            </w:r>
          </w:p>
        </w:tc>
        <w:tc>
          <w:tcPr>
            <w:tcW w:w="1505" w:type="dxa"/>
            <w:gridSpan w:val="2"/>
          </w:tcPr>
          <w:p>
            <w:pPr>
              <w:pStyle w:val="TableParagraph"/>
              <w:spacing w:line="167" w:lineRule="exact" w:before="18"/>
              <w:ind w:right="74"/>
              <w:jc w:val="right"/>
              <w:rPr>
                <w:sz w:val="15"/>
              </w:rPr>
            </w:pPr>
            <w:r>
              <w:rPr>
                <w:w w:val="70"/>
                <w:sz w:val="15"/>
              </w:rPr>
              <w:t>24.249</w:t>
            </w:r>
          </w:p>
        </w:tc>
        <w:tc>
          <w:tcPr>
            <w:tcW w:w="54" w:type="dxa"/>
          </w:tcPr>
          <w:p>
            <w:pPr>
              <w:pStyle w:val="TableParagraph"/>
              <w:rPr>
                <w:rFonts w:ascii="Times New Roman"/>
                <w:sz w:val="10"/>
              </w:rPr>
            </w:pPr>
          </w:p>
        </w:tc>
        <w:tc>
          <w:tcPr>
            <w:tcW w:w="977" w:type="dxa"/>
          </w:tcPr>
          <w:p>
            <w:pPr>
              <w:pStyle w:val="TableParagraph"/>
              <w:spacing w:line="167" w:lineRule="exact" w:before="18"/>
              <w:ind w:right="371"/>
              <w:jc w:val="right"/>
              <w:rPr>
                <w:sz w:val="15"/>
              </w:rPr>
            </w:pPr>
            <w:r>
              <w:rPr>
                <w:w w:val="70"/>
                <w:sz w:val="15"/>
              </w:rPr>
              <w:t>8.877</w:t>
            </w:r>
          </w:p>
        </w:tc>
        <w:tc>
          <w:tcPr>
            <w:tcW w:w="1557" w:type="dxa"/>
            <w:gridSpan w:val="2"/>
          </w:tcPr>
          <w:p>
            <w:pPr>
              <w:pStyle w:val="TableParagraph"/>
              <w:spacing w:line="167" w:lineRule="exact" w:before="18"/>
              <w:ind w:right="74"/>
              <w:jc w:val="right"/>
              <w:rPr>
                <w:sz w:val="15"/>
              </w:rPr>
            </w:pPr>
            <w:r>
              <w:rPr>
                <w:w w:val="70"/>
                <w:sz w:val="15"/>
              </w:rPr>
              <w:t>8.877</w:t>
            </w: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140.785</w:t>
            </w:r>
          </w:p>
        </w:tc>
        <w:tc>
          <w:tcPr>
            <w:tcW w:w="1772" w:type="dxa"/>
            <w:gridSpan w:val="2"/>
          </w:tcPr>
          <w:p>
            <w:pPr>
              <w:pStyle w:val="TableParagraph"/>
              <w:spacing w:line="167" w:lineRule="exact" w:before="18"/>
              <w:ind w:right="72"/>
              <w:jc w:val="right"/>
              <w:rPr>
                <w:sz w:val="15"/>
              </w:rPr>
            </w:pPr>
            <w:r>
              <w:rPr>
                <w:w w:val="70"/>
                <w:sz w:val="15"/>
              </w:rPr>
              <w:t>140.785</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69.728</w:t>
            </w:r>
          </w:p>
        </w:tc>
        <w:tc>
          <w:tcPr>
            <w:tcW w:w="1772" w:type="dxa"/>
            <w:gridSpan w:val="2"/>
          </w:tcPr>
          <w:p>
            <w:pPr>
              <w:pStyle w:val="TableParagraph"/>
              <w:spacing w:line="167" w:lineRule="exact" w:before="18"/>
              <w:ind w:right="70"/>
              <w:jc w:val="right"/>
              <w:rPr>
                <w:sz w:val="15"/>
              </w:rPr>
            </w:pPr>
            <w:r>
              <w:rPr>
                <w:w w:val="70"/>
                <w:sz w:val="15"/>
              </w:rPr>
              <w:t>69.728</w:t>
            </w:r>
          </w:p>
        </w:tc>
      </w:tr>
      <w:tr>
        <w:trPr>
          <w:trHeight w:val="401" w:hRule="atLeast"/>
        </w:trPr>
        <w:tc>
          <w:tcPr>
            <w:tcW w:w="3048" w:type="dxa"/>
          </w:tcPr>
          <w:p>
            <w:pPr>
              <w:pStyle w:val="TableParagraph"/>
              <w:spacing w:before="18"/>
              <w:ind w:left="29"/>
              <w:rPr>
                <w:sz w:val="15"/>
              </w:rPr>
            </w:pPr>
            <w:r>
              <w:rPr>
                <w:w w:val="80"/>
                <w:sz w:val="15"/>
              </w:rPr>
              <w:t>Ativos não Circulante Mantido para Venda</w:t>
            </w:r>
          </w:p>
        </w:tc>
        <w:tc>
          <w:tcPr>
            <w:tcW w:w="924" w:type="dxa"/>
            <w:tcBorders>
              <w:bottom w:val="single" w:sz="6" w:space="0" w:color="000000"/>
            </w:tcBorders>
          </w:tcPr>
          <w:p>
            <w:pPr>
              <w:pStyle w:val="TableParagraph"/>
              <w:spacing w:before="18"/>
              <w:ind w:right="313"/>
              <w:jc w:val="right"/>
              <w:rPr>
                <w:sz w:val="15"/>
              </w:rPr>
            </w:pPr>
            <w:r>
              <w:rPr>
                <w:w w:val="75"/>
                <w:sz w:val="15"/>
              </w:rPr>
              <w:t>641</w:t>
            </w:r>
          </w:p>
        </w:tc>
        <w:tc>
          <w:tcPr>
            <w:tcW w:w="1505" w:type="dxa"/>
            <w:gridSpan w:val="2"/>
            <w:tcBorders>
              <w:bottom w:val="single" w:sz="6" w:space="0" w:color="000000"/>
            </w:tcBorders>
          </w:tcPr>
          <w:p>
            <w:pPr>
              <w:pStyle w:val="TableParagraph"/>
              <w:spacing w:before="18"/>
              <w:ind w:right="71"/>
              <w:jc w:val="right"/>
              <w:rPr>
                <w:sz w:val="15"/>
              </w:rPr>
            </w:pPr>
            <w:r>
              <w:rPr>
                <w:w w:val="75"/>
                <w:sz w:val="15"/>
              </w:rPr>
              <w:t>641</w:t>
            </w:r>
          </w:p>
        </w:tc>
        <w:tc>
          <w:tcPr>
            <w:tcW w:w="54" w:type="dxa"/>
          </w:tcPr>
          <w:p>
            <w:pPr>
              <w:pStyle w:val="TableParagraph"/>
              <w:rPr>
                <w:rFonts w:ascii="Times New Roman"/>
                <w:sz w:val="10"/>
              </w:rPr>
            </w:pPr>
          </w:p>
        </w:tc>
        <w:tc>
          <w:tcPr>
            <w:tcW w:w="977" w:type="dxa"/>
            <w:tcBorders>
              <w:bottom w:val="single" w:sz="6" w:space="0" w:color="000000"/>
            </w:tcBorders>
          </w:tcPr>
          <w:p>
            <w:pPr>
              <w:pStyle w:val="TableParagraph"/>
              <w:spacing w:before="18"/>
              <w:ind w:right="371"/>
              <w:jc w:val="right"/>
              <w:rPr>
                <w:sz w:val="15"/>
              </w:rPr>
            </w:pPr>
            <w:r>
              <w:rPr>
                <w:w w:val="70"/>
                <w:sz w:val="15"/>
              </w:rPr>
              <w:t>2.094</w:t>
            </w:r>
          </w:p>
        </w:tc>
        <w:tc>
          <w:tcPr>
            <w:tcW w:w="1557" w:type="dxa"/>
            <w:gridSpan w:val="2"/>
            <w:tcBorders>
              <w:bottom w:val="single" w:sz="6" w:space="0" w:color="000000"/>
            </w:tcBorders>
          </w:tcPr>
          <w:p>
            <w:pPr>
              <w:pStyle w:val="TableParagraph"/>
              <w:spacing w:before="18"/>
              <w:ind w:right="74"/>
              <w:jc w:val="right"/>
              <w:rPr>
                <w:sz w:val="15"/>
              </w:rPr>
            </w:pPr>
            <w:r>
              <w:rPr>
                <w:w w:val="70"/>
                <w:sz w:val="15"/>
              </w:rPr>
              <w:t>2.094</w:t>
            </w:r>
          </w:p>
        </w:tc>
        <w:tc>
          <w:tcPr>
            <w:tcW w:w="53" w:type="dxa"/>
          </w:tcPr>
          <w:p>
            <w:pPr>
              <w:pStyle w:val="TableParagraph"/>
              <w:rPr>
                <w:rFonts w:ascii="Times New Roman"/>
                <w:sz w:val="10"/>
              </w:rPr>
            </w:pPr>
          </w:p>
        </w:tc>
        <w:tc>
          <w:tcPr>
            <w:tcW w:w="1424" w:type="dxa"/>
            <w:tcBorders>
              <w:bottom w:val="single" w:sz="6" w:space="0" w:color="000000"/>
            </w:tcBorders>
          </w:tcPr>
          <w:p>
            <w:pPr>
              <w:pStyle w:val="TableParagraph"/>
              <w:spacing w:before="18"/>
              <w:ind w:right="816"/>
              <w:jc w:val="right"/>
              <w:rPr>
                <w:sz w:val="15"/>
              </w:rPr>
            </w:pPr>
            <w:r>
              <w:rPr>
                <w:w w:val="70"/>
                <w:sz w:val="15"/>
              </w:rPr>
              <w:t>2.352</w:t>
            </w:r>
          </w:p>
        </w:tc>
        <w:tc>
          <w:tcPr>
            <w:tcW w:w="1772" w:type="dxa"/>
            <w:gridSpan w:val="2"/>
            <w:tcBorders>
              <w:bottom w:val="single" w:sz="6" w:space="0" w:color="000000"/>
            </w:tcBorders>
          </w:tcPr>
          <w:p>
            <w:pPr>
              <w:pStyle w:val="TableParagraph"/>
              <w:spacing w:before="18"/>
              <w:ind w:right="71"/>
              <w:jc w:val="right"/>
              <w:rPr>
                <w:sz w:val="15"/>
              </w:rPr>
            </w:pPr>
            <w:r>
              <w:rPr>
                <w:w w:val="70"/>
                <w:sz w:val="15"/>
              </w:rPr>
              <w:t>2.352</w:t>
            </w:r>
          </w:p>
        </w:tc>
        <w:tc>
          <w:tcPr>
            <w:tcW w:w="54" w:type="dxa"/>
          </w:tcPr>
          <w:p>
            <w:pPr>
              <w:pStyle w:val="TableParagraph"/>
              <w:rPr>
                <w:rFonts w:ascii="Times New Roman"/>
                <w:sz w:val="10"/>
              </w:rPr>
            </w:pPr>
          </w:p>
        </w:tc>
        <w:tc>
          <w:tcPr>
            <w:tcW w:w="1424" w:type="dxa"/>
            <w:tcBorders>
              <w:bottom w:val="single" w:sz="6" w:space="0" w:color="000000"/>
            </w:tcBorders>
          </w:tcPr>
          <w:p>
            <w:pPr>
              <w:pStyle w:val="TableParagraph"/>
              <w:spacing w:before="18"/>
              <w:ind w:right="815"/>
              <w:jc w:val="right"/>
              <w:rPr>
                <w:sz w:val="15"/>
              </w:rPr>
            </w:pPr>
            <w:r>
              <w:rPr>
                <w:w w:val="70"/>
                <w:sz w:val="15"/>
              </w:rPr>
              <w:t>2.094</w:t>
            </w:r>
          </w:p>
        </w:tc>
        <w:tc>
          <w:tcPr>
            <w:tcW w:w="1772" w:type="dxa"/>
            <w:gridSpan w:val="2"/>
            <w:tcBorders>
              <w:bottom w:val="single" w:sz="6" w:space="0" w:color="000000"/>
            </w:tcBorders>
          </w:tcPr>
          <w:p>
            <w:pPr>
              <w:pStyle w:val="TableParagraph"/>
              <w:spacing w:before="18"/>
              <w:ind w:right="70"/>
              <w:jc w:val="right"/>
              <w:rPr>
                <w:sz w:val="15"/>
              </w:rPr>
            </w:pPr>
            <w:r>
              <w:rPr>
                <w:w w:val="70"/>
                <w:sz w:val="15"/>
              </w:rPr>
              <w:t>2.094</w:t>
            </w:r>
          </w:p>
        </w:tc>
      </w:tr>
      <w:tr>
        <w:trPr>
          <w:trHeight w:val="190" w:hRule="atLeast"/>
        </w:trPr>
        <w:tc>
          <w:tcPr>
            <w:tcW w:w="3048" w:type="dxa"/>
          </w:tcPr>
          <w:p>
            <w:pPr>
              <w:pStyle w:val="TableParagraph"/>
              <w:spacing w:line="160" w:lineRule="exact" w:before="10"/>
              <w:ind w:left="29"/>
              <w:rPr>
                <w:rFonts w:ascii="Caladea"/>
                <w:b/>
                <w:sz w:val="15"/>
              </w:rPr>
            </w:pPr>
            <w:r>
              <w:rPr>
                <w:rFonts w:ascii="Caladea"/>
                <w:b/>
                <w:w w:val="80"/>
                <w:sz w:val="15"/>
              </w:rPr>
              <w:t>Total do Circulante</w:t>
            </w:r>
          </w:p>
        </w:tc>
        <w:tc>
          <w:tcPr>
            <w:tcW w:w="924" w:type="dxa"/>
            <w:tcBorders>
              <w:top w:val="single" w:sz="6" w:space="0" w:color="000000"/>
              <w:bottom w:val="single" w:sz="6" w:space="0" w:color="000000"/>
            </w:tcBorders>
          </w:tcPr>
          <w:p>
            <w:pPr>
              <w:pStyle w:val="TableParagraph"/>
              <w:spacing w:line="160" w:lineRule="exact" w:before="10"/>
              <w:ind w:right="312"/>
              <w:jc w:val="right"/>
              <w:rPr>
                <w:rFonts w:ascii="Caladea"/>
                <w:b/>
                <w:sz w:val="15"/>
              </w:rPr>
            </w:pPr>
            <w:r>
              <w:rPr>
                <w:rFonts w:ascii="Caladea"/>
                <w:b/>
                <w:w w:val="70"/>
                <w:sz w:val="15"/>
              </w:rPr>
              <w:t>70.058</w:t>
            </w:r>
          </w:p>
        </w:tc>
        <w:tc>
          <w:tcPr>
            <w:tcW w:w="1505" w:type="dxa"/>
            <w:gridSpan w:val="2"/>
            <w:tcBorders>
              <w:top w:val="single" w:sz="6" w:space="0" w:color="000000"/>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70.058</w:t>
            </w:r>
          </w:p>
        </w:tc>
        <w:tc>
          <w:tcPr>
            <w:tcW w:w="54" w:type="dxa"/>
          </w:tcPr>
          <w:p>
            <w:pPr>
              <w:pStyle w:val="TableParagraph"/>
              <w:rPr>
                <w:rFonts w:ascii="Times New Roman"/>
                <w:sz w:val="10"/>
              </w:rPr>
            </w:pPr>
          </w:p>
        </w:tc>
        <w:tc>
          <w:tcPr>
            <w:tcW w:w="977" w:type="dxa"/>
            <w:tcBorders>
              <w:top w:val="single" w:sz="6" w:space="0" w:color="000000"/>
              <w:bottom w:val="single" w:sz="6" w:space="0" w:color="000000"/>
            </w:tcBorders>
          </w:tcPr>
          <w:p>
            <w:pPr>
              <w:pStyle w:val="TableParagraph"/>
              <w:spacing w:line="160" w:lineRule="exact" w:before="10"/>
              <w:ind w:right="367"/>
              <w:jc w:val="right"/>
              <w:rPr>
                <w:rFonts w:ascii="Caladea"/>
                <w:b/>
                <w:sz w:val="15"/>
              </w:rPr>
            </w:pPr>
            <w:r>
              <w:rPr>
                <w:rFonts w:ascii="Caladea"/>
                <w:b/>
                <w:w w:val="70"/>
                <w:sz w:val="15"/>
              </w:rPr>
              <w:t>35.676</w:t>
            </w:r>
          </w:p>
        </w:tc>
        <w:tc>
          <w:tcPr>
            <w:tcW w:w="1557" w:type="dxa"/>
            <w:gridSpan w:val="2"/>
            <w:tcBorders>
              <w:top w:val="single" w:sz="6" w:space="0" w:color="000000"/>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35.676</w:t>
            </w:r>
          </w:p>
        </w:tc>
        <w:tc>
          <w:tcPr>
            <w:tcW w:w="53"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2"/>
              <w:jc w:val="right"/>
              <w:rPr>
                <w:rFonts w:ascii="Caladea"/>
                <w:b/>
                <w:sz w:val="15"/>
              </w:rPr>
            </w:pPr>
            <w:r>
              <w:rPr>
                <w:rFonts w:ascii="Caladea"/>
                <w:b/>
                <w:w w:val="70"/>
                <w:sz w:val="15"/>
              </w:rPr>
              <w:t>1.842.353</w:t>
            </w:r>
          </w:p>
        </w:tc>
        <w:tc>
          <w:tcPr>
            <w:tcW w:w="1772" w:type="dxa"/>
            <w:gridSpan w:val="2"/>
            <w:tcBorders>
              <w:top w:val="single" w:sz="6" w:space="0" w:color="000000"/>
              <w:bottom w:val="single" w:sz="6" w:space="0" w:color="000000"/>
            </w:tcBorders>
          </w:tcPr>
          <w:p>
            <w:pPr>
              <w:pStyle w:val="TableParagraph"/>
              <w:tabs>
                <w:tab w:pos="1208" w:val="left" w:leader="none"/>
              </w:tabs>
              <w:spacing w:line="160" w:lineRule="exact" w:before="10"/>
              <w:ind w:left="814"/>
              <w:rPr>
                <w:rFonts w:ascii="Caladea"/>
                <w:b/>
                <w:sz w:val="15"/>
              </w:rPr>
            </w:pPr>
            <w:r>
              <w:rPr>
                <w:w w:val="80"/>
                <w:sz w:val="15"/>
              </w:rPr>
              <w:t>-</w:t>
              <w:tab/>
            </w:r>
            <w:r>
              <w:rPr>
                <w:rFonts w:ascii="Caladea"/>
                <w:b/>
                <w:w w:val="75"/>
                <w:sz w:val="15"/>
              </w:rPr>
              <w:t>1.842.353</w:t>
            </w:r>
          </w:p>
        </w:tc>
        <w:tc>
          <w:tcPr>
            <w:tcW w:w="54"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1"/>
              <w:jc w:val="right"/>
              <w:rPr>
                <w:rFonts w:ascii="Caladea"/>
                <w:b/>
                <w:sz w:val="15"/>
              </w:rPr>
            </w:pPr>
            <w:r>
              <w:rPr>
                <w:rFonts w:ascii="Caladea"/>
                <w:b/>
                <w:w w:val="70"/>
                <w:sz w:val="15"/>
              </w:rPr>
              <w:t>1.683.112</w:t>
            </w:r>
          </w:p>
        </w:tc>
        <w:tc>
          <w:tcPr>
            <w:tcW w:w="1772" w:type="dxa"/>
            <w:gridSpan w:val="2"/>
            <w:tcBorders>
              <w:top w:val="single" w:sz="6" w:space="0" w:color="000000"/>
              <w:bottom w:val="single" w:sz="6" w:space="0" w:color="000000"/>
            </w:tcBorders>
          </w:tcPr>
          <w:p>
            <w:pPr>
              <w:pStyle w:val="TableParagraph"/>
              <w:tabs>
                <w:tab w:pos="1210" w:val="left" w:leader="none"/>
              </w:tabs>
              <w:spacing w:line="160" w:lineRule="exact" w:before="10"/>
              <w:ind w:left="816"/>
              <w:rPr>
                <w:rFonts w:ascii="Caladea"/>
                <w:b/>
                <w:sz w:val="15"/>
              </w:rPr>
            </w:pPr>
            <w:r>
              <w:rPr>
                <w:w w:val="80"/>
                <w:sz w:val="15"/>
              </w:rPr>
              <w:t>-</w:t>
              <w:tab/>
            </w:r>
            <w:r>
              <w:rPr>
                <w:rFonts w:ascii="Caladea"/>
                <w:b/>
                <w:w w:val="75"/>
                <w:sz w:val="15"/>
              </w:rPr>
              <w:t>1.683.112</w:t>
            </w:r>
          </w:p>
        </w:tc>
      </w:tr>
      <w:tr>
        <w:trPr>
          <w:trHeight w:val="610" w:hRule="atLeast"/>
        </w:trPr>
        <w:tc>
          <w:tcPr>
            <w:tcW w:w="3048" w:type="dxa"/>
          </w:tcPr>
          <w:p>
            <w:pPr>
              <w:pStyle w:val="TableParagraph"/>
              <w:spacing w:before="7"/>
              <w:rPr>
                <w:sz w:val="18"/>
              </w:rPr>
            </w:pPr>
          </w:p>
          <w:p>
            <w:pPr>
              <w:pStyle w:val="TableParagraph"/>
              <w:ind w:left="29"/>
              <w:rPr>
                <w:rFonts w:ascii="Caladea" w:hAnsi="Caladea"/>
                <w:b/>
                <w:sz w:val="15"/>
              </w:rPr>
            </w:pPr>
            <w:r>
              <w:rPr>
                <w:rFonts w:ascii="Caladea" w:hAnsi="Caladea"/>
                <w:b/>
                <w:w w:val="80"/>
                <w:sz w:val="15"/>
              </w:rPr>
              <w:t>Não Circulante</w:t>
            </w:r>
          </w:p>
          <w:p>
            <w:pPr>
              <w:pStyle w:val="TableParagraph"/>
              <w:spacing w:line="167" w:lineRule="exact" w:before="31"/>
              <w:ind w:left="29"/>
              <w:rPr>
                <w:sz w:val="15"/>
              </w:rPr>
            </w:pPr>
            <w:r>
              <w:rPr>
                <w:w w:val="80"/>
                <w:sz w:val="15"/>
              </w:rPr>
              <w:t>Aplicações Financeiras</w:t>
            </w:r>
          </w:p>
        </w:tc>
        <w:tc>
          <w:tcPr>
            <w:tcW w:w="924" w:type="dxa"/>
            <w:tcBorders>
              <w:top w:val="single" w:sz="6" w:space="0" w:color="000000"/>
            </w:tcBorders>
          </w:tcPr>
          <w:p>
            <w:pPr>
              <w:pStyle w:val="TableParagraph"/>
              <w:rPr>
                <w:rFonts w:ascii="Times New Roman"/>
                <w:sz w:val="10"/>
              </w:rPr>
            </w:pPr>
          </w:p>
        </w:tc>
        <w:tc>
          <w:tcPr>
            <w:tcW w:w="1505" w:type="dxa"/>
            <w:gridSpan w:val="2"/>
            <w:tcBorders>
              <w:top w:val="single" w:sz="6" w:space="0" w:color="000000"/>
            </w:tcBorders>
          </w:tcPr>
          <w:p>
            <w:pPr>
              <w:pStyle w:val="TableParagraph"/>
              <w:rPr>
                <w:rFonts w:ascii="Times New Roman"/>
                <w:sz w:val="10"/>
              </w:rPr>
            </w:pPr>
          </w:p>
        </w:tc>
        <w:tc>
          <w:tcPr>
            <w:tcW w:w="54" w:type="dxa"/>
          </w:tcPr>
          <w:p>
            <w:pPr>
              <w:pStyle w:val="TableParagraph"/>
              <w:rPr>
                <w:rFonts w:ascii="Times New Roman"/>
                <w:sz w:val="10"/>
              </w:rPr>
            </w:pPr>
          </w:p>
        </w:tc>
        <w:tc>
          <w:tcPr>
            <w:tcW w:w="977" w:type="dxa"/>
            <w:tcBorders>
              <w:top w:val="single" w:sz="6" w:space="0" w:color="000000"/>
            </w:tcBorders>
          </w:tcPr>
          <w:p>
            <w:pPr>
              <w:pStyle w:val="TableParagraph"/>
              <w:rPr>
                <w:rFonts w:ascii="Times New Roman"/>
                <w:sz w:val="10"/>
              </w:rPr>
            </w:pPr>
          </w:p>
        </w:tc>
        <w:tc>
          <w:tcPr>
            <w:tcW w:w="1557" w:type="dxa"/>
            <w:gridSpan w:val="2"/>
            <w:tcBorders>
              <w:top w:val="single" w:sz="6" w:space="0" w:color="000000"/>
            </w:tcBorders>
          </w:tcPr>
          <w:p>
            <w:pPr>
              <w:pStyle w:val="TableParagraph"/>
              <w:rPr>
                <w:rFonts w:ascii="Times New Roman"/>
                <w:sz w:val="10"/>
              </w:rPr>
            </w:pPr>
          </w:p>
        </w:tc>
        <w:tc>
          <w:tcPr>
            <w:tcW w:w="53" w:type="dxa"/>
          </w:tcPr>
          <w:p>
            <w:pPr>
              <w:pStyle w:val="TableParagraph"/>
              <w:rPr>
                <w:rFonts w:ascii="Times New Roman"/>
                <w:sz w:val="10"/>
              </w:rPr>
            </w:pPr>
          </w:p>
        </w:tc>
        <w:tc>
          <w:tcPr>
            <w:tcW w:w="1424" w:type="dxa"/>
            <w:tcBorders>
              <w:top w:val="single" w:sz="6" w:space="0" w:color="000000"/>
            </w:tcBorders>
          </w:tcPr>
          <w:p>
            <w:pPr>
              <w:pStyle w:val="TableParagraph"/>
              <w:rPr>
                <w:sz w:val="18"/>
              </w:rPr>
            </w:pPr>
          </w:p>
          <w:p>
            <w:pPr>
              <w:pStyle w:val="TableParagraph"/>
              <w:spacing w:before="5"/>
              <w:rPr>
                <w:sz w:val="18"/>
              </w:rPr>
            </w:pPr>
          </w:p>
          <w:p>
            <w:pPr>
              <w:pStyle w:val="TableParagraph"/>
              <w:spacing w:line="167" w:lineRule="exact"/>
              <w:ind w:right="817"/>
              <w:jc w:val="right"/>
              <w:rPr>
                <w:sz w:val="15"/>
              </w:rPr>
            </w:pPr>
            <w:r>
              <w:rPr>
                <w:w w:val="70"/>
                <w:sz w:val="15"/>
              </w:rPr>
              <w:t>10.355</w:t>
            </w:r>
          </w:p>
        </w:tc>
        <w:tc>
          <w:tcPr>
            <w:tcW w:w="1772" w:type="dxa"/>
            <w:gridSpan w:val="2"/>
            <w:tcBorders>
              <w:top w:val="single" w:sz="6" w:space="0" w:color="000000"/>
            </w:tcBorders>
          </w:tcPr>
          <w:p>
            <w:pPr>
              <w:pStyle w:val="TableParagraph"/>
              <w:rPr>
                <w:sz w:val="18"/>
              </w:rPr>
            </w:pPr>
          </w:p>
          <w:p>
            <w:pPr>
              <w:pStyle w:val="TableParagraph"/>
              <w:spacing w:before="5"/>
              <w:rPr>
                <w:sz w:val="18"/>
              </w:rPr>
            </w:pPr>
          </w:p>
          <w:p>
            <w:pPr>
              <w:pStyle w:val="TableParagraph"/>
              <w:spacing w:line="167" w:lineRule="exact"/>
              <w:ind w:right="71"/>
              <w:jc w:val="right"/>
              <w:rPr>
                <w:sz w:val="15"/>
              </w:rPr>
            </w:pPr>
            <w:r>
              <w:rPr>
                <w:w w:val="70"/>
                <w:sz w:val="15"/>
              </w:rPr>
              <w:t>10.355</w:t>
            </w:r>
          </w:p>
        </w:tc>
        <w:tc>
          <w:tcPr>
            <w:tcW w:w="54" w:type="dxa"/>
          </w:tcPr>
          <w:p>
            <w:pPr>
              <w:pStyle w:val="TableParagraph"/>
              <w:rPr>
                <w:rFonts w:ascii="Times New Roman"/>
                <w:sz w:val="10"/>
              </w:rPr>
            </w:pPr>
          </w:p>
        </w:tc>
        <w:tc>
          <w:tcPr>
            <w:tcW w:w="1424" w:type="dxa"/>
            <w:tcBorders>
              <w:top w:val="single" w:sz="6" w:space="0" w:color="000000"/>
            </w:tcBorders>
          </w:tcPr>
          <w:p>
            <w:pPr>
              <w:pStyle w:val="TableParagraph"/>
              <w:rPr>
                <w:sz w:val="18"/>
              </w:rPr>
            </w:pPr>
          </w:p>
          <w:p>
            <w:pPr>
              <w:pStyle w:val="TableParagraph"/>
              <w:spacing w:before="5"/>
              <w:rPr>
                <w:sz w:val="18"/>
              </w:rPr>
            </w:pPr>
          </w:p>
          <w:p>
            <w:pPr>
              <w:pStyle w:val="TableParagraph"/>
              <w:spacing w:line="167" w:lineRule="exact"/>
              <w:ind w:right="815"/>
              <w:jc w:val="right"/>
              <w:rPr>
                <w:sz w:val="15"/>
              </w:rPr>
            </w:pPr>
            <w:r>
              <w:rPr>
                <w:w w:val="70"/>
                <w:sz w:val="15"/>
              </w:rPr>
              <w:t>7.770</w:t>
            </w:r>
          </w:p>
        </w:tc>
        <w:tc>
          <w:tcPr>
            <w:tcW w:w="1772" w:type="dxa"/>
            <w:gridSpan w:val="2"/>
            <w:tcBorders>
              <w:top w:val="single" w:sz="6" w:space="0" w:color="000000"/>
            </w:tcBorders>
          </w:tcPr>
          <w:p>
            <w:pPr>
              <w:pStyle w:val="TableParagraph"/>
              <w:rPr>
                <w:sz w:val="18"/>
              </w:rPr>
            </w:pPr>
          </w:p>
          <w:p>
            <w:pPr>
              <w:pStyle w:val="TableParagraph"/>
              <w:spacing w:before="5"/>
              <w:rPr>
                <w:sz w:val="18"/>
              </w:rPr>
            </w:pPr>
          </w:p>
          <w:p>
            <w:pPr>
              <w:pStyle w:val="TableParagraph"/>
              <w:spacing w:line="167" w:lineRule="exact"/>
              <w:ind w:right="70"/>
              <w:jc w:val="right"/>
              <w:rPr>
                <w:sz w:val="15"/>
              </w:rPr>
            </w:pPr>
            <w:r>
              <w:rPr>
                <w:w w:val="70"/>
                <w:sz w:val="15"/>
              </w:rPr>
              <w:t>7.770</w:t>
            </w:r>
          </w:p>
        </w:tc>
      </w:tr>
      <w:tr>
        <w:trPr>
          <w:trHeight w:val="205" w:hRule="atLeast"/>
        </w:trPr>
        <w:tc>
          <w:tcPr>
            <w:tcW w:w="3048" w:type="dxa"/>
          </w:tcPr>
          <w:p>
            <w:pPr>
              <w:pStyle w:val="TableParagraph"/>
              <w:spacing w:line="168" w:lineRule="exact" w:before="18"/>
              <w:ind w:left="29"/>
              <w:rPr>
                <w:sz w:val="15"/>
              </w:rPr>
            </w:pPr>
            <w:r>
              <w:rPr>
                <w:w w:val="80"/>
                <w:sz w:val="15"/>
              </w:rPr>
              <w:t>Contas a Receber</w:t>
            </w:r>
          </w:p>
        </w:tc>
        <w:tc>
          <w:tcPr>
            <w:tcW w:w="924" w:type="dxa"/>
          </w:tcPr>
          <w:p>
            <w:pPr>
              <w:pStyle w:val="TableParagraph"/>
              <w:rPr>
                <w:rFonts w:ascii="Times New Roman"/>
                <w:sz w:val="10"/>
              </w:rPr>
            </w:pPr>
          </w:p>
        </w:tc>
        <w:tc>
          <w:tcPr>
            <w:tcW w:w="150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77" w:type="dxa"/>
          </w:tcPr>
          <w:p>
            <w:pPr>
              <w:pStyle w:val="TableParagraph"/>
              <w:rPr>
                <w:rFonts w:ascii="Times New Roman"/>
                <w:sz w:val="10"/>
              </w:rPr>
            </w:pPr>
          </w:p>
        </w:tc>
        <w:tc>
          <w:tcPr>
            <w:tcW w:w="1557" w:type="dxa"/>
            <w:gridSpan w:val="2"/>
          </w:tcPr>
          <w:p>
            <w:pPr>
              <w:pStyle w:val="TableParagraph"/>
              <w:rPr>
                <w:rFonts w:ascii="Times New Roman"/>
                <w:sz w:val="10"/>
              </w:rPr>
            </w:pPr>
          </w:p>
        </w:tc>
        <w:tc>
          <w:tcPr>
            <w:tcW w:w="53" w:type="dxa"/>
          </w:tcPr>
          <w:p>
            <w:pPr>
              <w:pStyle w:val="TableParagraph"/>
              <w:rPr>
                <w:rFonts w:ascii="Times New Roman"/>
                <w:sz w:val="10"/>
              </w:rPr>
            </w:pPr>
          </w:p>
        </w:tc>
        <w:tc>
          <w:tcPr>
            <w:tcW w:w="1424" w:type="dxa"/>
          </w:tcPr>
          <w:p>
            <w:pPr>
              <w:pStyle w:val="TableParagraph"/>
              <w:spacing w:line="168" w:lineRule="exact" w:before="18"/>
              <w:ind w:right="817"/>
              <w:jc w:val="right"/>
              <w:rPr>
                <w:sz w:val="15"/>
              </w:rPr>
            </w:pPr>
            <w:r>
              <w:rPr>
                <w:w w:val="70"/>
                <w:sz w:val="15"/>
              </w:rPr>
              <w:t>33.317</w:t>
            </w:r>
          </w:p>
        </w:tc>
        <w:tc>
          <w:tcPr>
            <w:tcW w:w="1772" w:type="dxa"/>
            <w:gridSpan w:val="2"/>
          </w:tcPr>
          <w:p>
            <w:pPr>
              <w:pStyle w:val="TableParagraph"/>
              <w:spacing w:line="168" w:lineRule="exact" w:before="18"/>
              <w:ind w:right="71"/>
              <w:jc w:val="right"/>
              <w:rPr>
                <w:sz w:val="15"/>
              </w:rPr>
            </w:pPr>
            <w:r>
              <w:rPr>
                <w:w w:val="70"/>
                <w:sz w:val="15"/>
              </w:rPr>
              <w:t>33.317</w:t>
            </w:r>
          </w:p>
        </w:tc>
        <w:tc>
          <w:tcPr>
            <w:tcW w:w="54" w:type="dxa"/>
          </w:tcPr>
          <w:p>
            <w:pPr>
              <w:pStyle w:val="TableParagraph"/>
              <w:rPr>
                <w:rFonts w:ascii="Times New Roman"/>
                <w:sz w:val="10"/>
              </w:rPr>
            </w:pPr>
          </w:p>
        </w:tc>
        <w:tc>
          <w:tcPr>
            <w:tcW w:w="1424" w:type="dxa"/>
          </w:tcPr>
          <w:p>
            <w:pPr>
              <w:pStyle w:val="TableParagraph"/>
              <w:spacing w:line="168" w:lineRule="exact" w:before="18"/>
              <w:ind w:right="815"/>
              <w:jc w:val="right"/>
              <w:rPr>
                <w:sz w:val="15"/>
              </w:rPr>
            </w:pPr>
            <w:r>
              <w:rPr>
                <w:w w:val="70"/>
                <w:sz w:val="15"/>
              </w:rPr>
              <w:t>43.295</w:t>
            </w:r>
          </w:p>
        </w:tc>
        <w:tc>
          <w:tcPr>
            <w:tcW w:w="1772" w:type="dxa"/>
            <w:gridSpan w:val="2"/>
          </w:tcPr>
          <w:p>
            <w:pPr>
              <w:pStyle w:val="TableParagraph"/>
              <w:spacing w:line="168" w:lineRule="exact" w:before="18"/>
              <w:ind w:right="70"/>
              <w:jc w:val="right"/>
              <w:rPr>
                <w:sz w:val="15"/>
              </w:rPr>
            </w:pPr>
            <w:r>
              <w:rPr>
                <w:w w:val="70"/>
                <w:sz w:val="15"/>
              </w:rPr>
              <w:t>43.295</w:t>
            </w:r>
          </w:p>
        </w:tc>
      </w:tr>
      <w:tr>
        <w:trPr>
          <w:trHeight w:val="205" w:hRule="atLeast"/>
        </w:trPr>
        <w:tc>
          <w:tcPr>
            <w:tcW w:w="3048" w:type="dxa"/>
          </w:tcPr>
          <w:p>
            <w:pPr>
              <w:pStyle w:val="TableParagraph"/>
              <w:spacing w:line="167" w:lineRule="exact" w:before="18"/>
              <w:ind w:left="29"/>
              <w:rPr>
                <w:sz w:val="15"/>
              </w:rPr>
            </w:pPr>
            <w:r>
              <w:rPr>
                <w:w w:val="80"/>
                <w:sz w:val="15"/>
              </w:rPr>
              <w:t>Empréstimos e Financiamentos</w:t>
            </w:r>
          </w:p>
        </w:tc>
        <w:tc>
          <w:tcPr>
            <w:tcW w:w="924" w:type="dxa"/>
          </w:tcPr>
          <w:p>
            <w:pPr>
              <w:pStyle w:val="TableParagraph"/>
              <w:spacing w:line="167" w:lineRule="exact" w:before="18"/>
              <w:ind w:right="316"/>
              <w:jc w:val="right"/>
              <w:rPr>
                <w:sz w:val="15"/>
              </w:rPr>
            </w:pPr>
            <w:r>
              <w:rPr>
                <w:w w:val="70"/>
                <w:sz w:val="15"/>
              </w:rPr>
              <w:t>13.415</w:t>
            </w:r>
          </w:p>
        </w:tc>
        <w:tc>
          <w:tcPr>
            <w:tcW w:w="1505" w:type="dxa"/>
            <w:gridSpan w:val="2"/>
          </w:tcPr>
          <w:p>
            <w:pPr>
              <w:pStyle w:val="TableParagraph"/>
              <w:spacing w:line="167" w:lineRule="exact" w:before="18"/>
              <w:ind w:right="74"/>
              <w:jc w:val="right"/>
              <w:rPr>
                <w:sz w:val="15"/>
              </w:rPr>
            </w:pPr>
            <w:r>
              <w:rPr>
                <w:w w:val="70"/>
                <w:sz w:val="15"/>
              </w:rPr>
              <w:t>13.415</w:t>
            </w:r>
          </w:p>
        </w:tc>
        <w:tc>
          <w:tcPr>
            <w:tcW w:w="54" w:type="dxa"/>
          </w:tcPr>
          <w:p>
            <w:pPr>
              <w:pStyle w:val="TableParagraph"/>
              <w:rPr>
                <w:rFonts w:ascii="Times New Roman"/>
                <w:sz w:val="10"/>
              </w:rPr>
            </w:pPr>
          </w:p>
        </w:tc>
        <w:tc>
          <w:tcPr>
            <w:tcW w:w="977" w:type="dxa"/>
          </w:tcPr>
          <w:p>
            <w:pPr>
              <w:pStyle w:val="TableParagraph"/>
              <w:spacing w:line="167" w:lineRule="exact" w:before="18"/>
              <w:ind w:right="371"/>
              <w:jc w:val="right"/>
              <w:rPr>
                <w:sz w:val="15"/>
              </w:rPr>
            </w:pPr>
            <w:r>
              <w:rPr>
                <w:w w:val="70"/>
                <w:sz w:val="15"/>
              </w:rPr>
              <w:t>11.849</w:t>
            </w:r>
          </w:p>
        </w:tc>
        <w:tc>
          <w:tcPr>
            <w:tcW w:w="1557" w:type="dxa"/>
            <w:gridSpan w:val="2"/>
          </w:tcPr>
          <w:p>
            <w:pPr>
              <w:pStyle w:val="TableParagraph"/>
              <w:spacing w:line="167" w:lineRule="exact" w:before="18"/>
              <w:ind w:right="74"/>
              <w:jc w:val="right"/>
              <w:rPr>
                <w:sz w:val="15"/>
              </w:rPr>
            </w:pPr>
            <w:r>
              <w:rPr>
                <w:w w:val="70"/>
                <w:sz w:val="15"/>
              </w:rPr>
              <w:t>11.849</w:t>
            </w: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14.989</w:t>
            </w:r>
          </w:p>
        </w:tc>
        <w:tc>
          <w:tcPr>
            <w:tcW w:w="1772" w:type="dxa"/>
            <w:gridSpan w:val="2"/>
          </w:tcPr>
          <w:p>
            <w:pPr>
              <w:pStyle w:val="TableParagraph"/>
              <w:spacing w:line="167" w:lineRule="exact" w:before="18"/>
              <w:ind w:right="71"/>
              <w:jc w:val="right"/>
              <w:rPr>
                <w:sz w:val="15"/>
              </w:rPr>
            </w:pPr>
            <w:r>
              <w:rPr>
                <w:w w:val="70"/>
                <w:sz w:val="15"/>
              </w:rPr>
              <w:t>14.989</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13.529</w:t>
            </w:r>
          </w:p>
        </w:tc>
        <w:tc>
          <w:tcPr>
            <w:tcW w:w="1772" w:type="dxa"/>
            <w:gridSpan w:val="2"/>
          </w:tcPr>
          <w:p>
            <w:pPr>
              <w:pStyle w:val="TableParagraph"/>
              <w:spacing w:line="167" w:lineRule="exact" w:before="18"/>
              <w:ind w:right="70"/>
              <w:jc w:val="right"/>
              <w:rPr>
                <w:sz w:val="15"/>
              </w:rPr>
            </w:pPr>
            <w:r>
              <w:rPr>
                <w:w w:val="70"/>
                <w:sz w:val="15"/>
              </w:rPr>
              <w:t>13.529</w:t>
            </w:r>
          </w:p>
        </w:tc>
      </w:tr>
      <w:tr>
        <w:trPr>
          <w:trHeight w:val="205" w:hRule="atLeast"/>
        </w:trPr>
        <w:tc>
          <w:tcPr>
            <w:tcW w:w="3048" w:type="dxa"/>
          </w:tcPr>
          <w:p>
            <w:pPr>
              <w:pStyle w:val="TableParagraph"/>
              <w:spacing w:line="167" w:lineRule="exact" w:before="18"/>
              <w:ind w:left="29"/>
              <w:rPr>
                <w:sz w:val="15"/>
              </w:rPr>
            </w:pPr>
            <w:r>
              <w:rPr>
                <w:w w:val="80"/>
                <w:sz w:val="15"/>
              </w:rPr>
              <w:t>Depósitos e Bloqueios Judiciais</w:t>
            </w:r>
          </w:p>
        </w:tc>
        <w:tc>
          <w:tcPr>
            <w:tcW w:w="924" w:type="dxa"/>
          </w:tcPr>
          <w:p>
            <w:pPr>
              <w:pStyle w:val="TableParagraph"/>
              <w:spacing w:line="167" w:lineRule="exact" w:before="18"/>
              <w:ind w:right="313"/>
              <w:jc w:val="right"/>
              <w:rPr>
                <w:sz w:val="15"/>
              </w:rPr>
            </w:pPr>
            <w:r>
              <w:rPr>
                <w:w w:val="75"/>
                <w:sz w:val="15"/>
              </w:rPr>
              <w:t>150</w:t>
            </w:r>
          </w:p>
        </w:tc>
        <w:tc>
          <w:tcPr>
            <w:tcW w:w="1505" w:type="dxa"/>
            <w:gridSpan w:val="2"/>
          </w:tcPr>
          <w:p>
            <w:pPr>
              <w:pStyle w:val="TableParagraph"/>
              <w:spacing w:line="167" w:lineRule="exact" w:before="18"/>
              <w:ind w:right="71"/>
              <w:jc w:val="right"/>
              <w:rPr>
                <w:sz w:val="15"/>
              </w:rPr>
            </w:pPr>
            <w:r>
              <w:rPr>
                <w:w w:val="75"/>
                <w:sz w:val="15"/>
              </w:rPr>
              <w:t>150</w:t>
            </w:r>
          </w:p>
        </w:tc>
        <w:tc>
          <w:tcPr>
            <w:tcW w:w="54" w:type="dxa"/>
          </w:tcPr>
          <w:p>
            <w:pPr>
              <w:pStyle w:val="TableParagraph"/>
              <w:rPr>
                <w:rFonts w:ascii="Times New Roman"/>
                <w:sz w:val="10"/>
              </w:rPr>
            </w:pPr>
          </w:p>
        </w:tc>
        <w:tc>
          <w:tcPr>
            <w:tcW w:w="977" w:type="dxa"/>
          </w:tcPr>
          <w:p>
            <w:pPr>
              <w:pStyle w:val="TableParagraph"/>
              <w:spacing w:line="167" w:lineRule="exact" w:before="18"/>
              <w:ind w:right="368"/>
              <w:jc w:val="right"/>
              <w:rPr>
                <w:sz w:val="15"/>
              </w:rPr>
            </w:pPr>
            <w:r>
              <w:rPr>
                <w:w w:val="75"/>
                <w:sz w:val="15"/>
              </w:rPr>
              <w:t>150</w:t>
            </w:r>
          </w:p>
        </w:tc>
        <w:tc>
          <w:tcPr>
            <w:tcW w:w="1557" w:type="dxa"/>
            <w:gridSpan w:val="2"/>
          </w:tcPr>
          <w:p>
            <w:pPr>
              <w:pStyle w:val="TableParagraph"/>
              <w:spacing w:line="167" w:lineRule="exact" w:before="18"/>
              <w:ind w:right="71"/>
              <w:jc w:val="right"/>
              <w:rPr>
                <w:sz w:val="15"/>
              </w:rPr>
            </w:pPr>
            <w:r>
              <w:rPr>
                <w:w w:val="75"/>
                <w:sz w:val="15"/>
              </w:rPr>
              <w:t>150</w:t>
            </w: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14.948</w:t>
            </w:r>
          </w:p>
        </w:tc>
        <w:tc>
          <w:tcPr>
            <w:tcW w:w="1772" w:type="dxa"/>
            <w:gridSpan w:val="2"/>
          </w:tcPr>
          <w:p>
            <w:pPr>
              <w:pStyle w:val="TableParagraph"/>
              <w:spacing w:line="167" w:lineRule="exact" w:before="18"/>
              <w:ind w:right="71"/>
              <w:jc w:val="right"/>
              <w:rPr>
                <w:sz w:val="15"/>
              </w:rPr>
            </w:pPr>
            <w:r>
              <w:rPr>
                <w:w w:val="70"/>
                <w:sz w:val="15"/>
              </w:rPr>
              <w:t>14.948</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5.010</w:t>
            </w:r>
          </w:p>
        </w:tc>
        <w:tc>
          <w:tcPr>
            <w:tcW w:w="1772" w:type="dxa"/>
            <w:gridSpan w:val="2"/>
          </w:tcPr>
          <w:p>
            <w:pPr>
              <w:pStyle w:val="TableParagraph"/>
              <w:spacing w:line="167" w:lineRule="exact" w:before="18"/>
              <w:ind w:right="70"/>
              <w:jc w:val="right"/>
              <w:rPr>
                <w:sz w:val="15"/>
              </w:rPr>
            </w:pPr>
            <w:r>
              <w:rPr>
                <w:w w:val="70"/>
                <w:sz w:val="15"/>
              </w:rPr>
              <w:t>5.010</w:t>
            </w:r>
          </w:p>
        </w:tc>
      </w:tr>
      <w:tr>
        <w:trPr>
          <w:trHeight w:val="205" w:hRule="atLeast"/>
        </w:trPr>
        <w:tc>
          <w:tcPr>
            <w:tcW w:w="3048" w:type="dxa"/>
          </w:tcPr>
          <w:p>
            <w:pPr>
              <w:pStyle w:val="TableParagraph"/>
              <w:spacing w:line="168" w:lineRule="exact" w:before="18"/>
              <w:ind w:left="29"/>
              <w:rPr>
                <w:sz w:val="15"/>
              </w:rPr>
            </w:pPr>
            <w:r>
              <w:rPr>
                <w:w w:val="80"/>
                <w:sz w:val="15"/>
              </w:rPr>
              <w:t>Tributos e Contribuições Compensáveis</w:t>
            </w:r>
          </w:p>
        </w:tc>
        <w:tc>
          <w:tcPr>
            <w:tcW w:w="924" w:type="dxa"/>
          </w:tcPr>
          <w:p>
            <w:pPr>
              <w:pStyle w:val="TableParagraph"/>
              <w:spacing w:line="168" w:lineRule="exact" w:before="18"/>
              <w:ind w:right="316"/>
              <w:jc w:val="right"/>
              <w:rPr>
                <w:sz w:val="15"/>
              </w:rPr>
            </w:pPr>
            <w:r>
              <w:rPr>
                <w:w w:val="70"/>
                <w:sz w:val="15"/>
              </w:rPr>
              <w:t>26.063</w:t>
            </w:r>
          </w:p>
        </w:tc>
        <w:tc>
          <w:tcPr>
            <w:tcW w:w="1505" w:type="dxa"/>
            <w:gridSpan w:val="2"/>
          </w:tcPr>
          <w:p>
            <w:pPr>
              <w:pStyle w:val="TableParagraph"/>
              <w:spacing w:line="168" w:lineRule="exact" w:before="18"/>
              <w:ind w:right="74"/>
              <w:jc w:val="right"/>
              <w:rPr>
                <w:sz w:val="15"/>
              </w:rPr>
            </w:pPr>
            <w:r>
              <w:rPr>
                <w:w w:val="70"/>
                <w:sz w:val="15"/>
              </w:rPr>
              <w:t>26.063</w:t>
            </w:r>
          </w:p>
        </w:tc>
        <w:tc>
          <w:tcPr>
            <w:tcW w:w="54" w:type="dxa"/>
          </w:tcPr>
          <w:p>
            <w:pPr>
              <w:pStyle w:val="TableParagraph"/>
              <w:rPr>
                <w:rFonts w:ascii="Times New Roman"/>
                <w:sz w:val="10"/>
              </w:rPr>
            </w:pPr>
          </w:p>
        </w:tc>
        <w:tc>
          <w:tcPr>
            <w:tcW w:w="977" w:type="dxa"/>
          </w:tcPr>
          <w:p>
            <w:pPr>
              <w:pStyle w:val="TableParagraph"/>
              <w:spacing w:line="168" w:lineRule="exact" w:before="18"/>
              <w:ind w:right="371"/>
              <w:jc w:val="right"/>
              <w:rPr>
                <w:sz w:val="15"/>
              </w:rPr>
            </w:pPr>
            <w:r>
              <w:rPr>
                <w:w w:val="70"/>
                <w:sz w:val="15"/>
              </w:rPr>
              <w:t>30.228</w:t>
            </w:r>
          </w:p>
        </w:tc>
        <w:tc>
          <w:tcPr>
            <w:tcW w:w="1557" w:type="dxa"/>
            <w:gridSpan w:val="2"/>
          </w:tcPr>
          <w:p>
            <w:pPr>
              <w:pStyle w:val="TableParagraph"/>
              <w:spacing w:line="168" w:lineRule="exact" w:before="18"/>
              <w:ind w:right="74"/>
              <w:jc w:val="right"/>
              <w:rPr>
                <w:sz w:val="15"/>
              </w:rPr>
            </w:pPr>
            <w:r>
              <w:rPr>
                <w:w w:val="70"/>
                <w:sz w:val="15"/>
              </w:rPr>
              <w:t>30.228</w:t>
            </w:r>
          </w:p>
        </w:tc>
        <w:tc>
          <w:tcPr>
            <w:tcW w:w="53" w:type="dxa"/>
          </w:tcPr>
          <w:p>
            <w:pPr>
              <w:pStyle w:val="TableParagraph"/>
              <w:rPr>
                <w:rFonts w:ascii="Times New Roman"/>
                <w:sz w:val="10"/>
              </w:rPr>
            </w:pPr>
          </w:p>
        </w:tc>
        <w:tc>
          <w:tcPr>
            <w:tcW w:w="1424" w:type="dxa"/>
          </w:tcPr>
          <w:p>
            <w:pPr>
              <w:pStyle w:val="TableParagraph"/>
              <w:spacing w:line="168" w:lineRule="exact" w:before="18"/>
              <w:ind w:right="817"/>
              <w:jc w:val="right"/>
              <w:rPr>
                <w:sz w:val="15"/>
              </w:rPr>
            </w:pPr>
            <w:r>
              <w:rPr>
                <w:w w:val="70"/>
                <w:sz w:val="15"/>
              </w:rPr>
              <w:t>32.147</w:t>
            </w:r>
          </w:p>
        </w:tc>
        <w:tc>
          <w:tcPr>
            <w:tcW w:w="1772" w:type="dxa"/>
            <w:gridSpan w:val="2"/>
          </w:tcPr>
          <w:p>
            <w:pPr>
              <w:pStyle w:val="TableParagraph"/>
              <w:spacing w:line="168" w:lineRule="exact" w:before="18"/>
              <w:ind w:right="71"/>
              <w:jc w:val="right"/>
              <w:rPr>
                <w:sz w:val="15"/>
              </w:rPr>
            </w:pPr>
            <w:r>
              <w:rPr>
                <w:w w:val="70"/>
                <w:sz w:val="15"/>
              </w:rPr>
              <w:t>32.147</w:t>
            </w:r>
          </w:p>
        </w:tc>
        <w:tc>
          <w:tcPr>
            <w:tcW w:w="54" w:type="dxa"/>
          </w:tcPr>
          <w:p>
            <w:pPr>
              <w:pStyle w:val="TableParagraph"/>
              <w:rPr>
                <w:rFonts w:ascii="Times New Roman"/>
                <w:sz w:val="10"/>
              </w:rPr>
            </w:pPr>
          </w:p>
        </w:tc>
        <w:tc>
          <w:tcPr>
            <w:tcW w:w="1424" w:type="dxa"/>
          </w:tcPr>
          <w:p>
            <w:pPr>
              <w:pStyle w:val="TableParagraph"/>
              <w:spacing w:line="168" w:lineRule="exact" w:before="18"/>
              <w:ind w:right="815"/>
              <w:jc w:val="right"/>
              <w:rPr>
                <w:sz w:val="15"/>
              </w:rPr>
            </w:pPr>
            <w:r>
              <w:rPr>
                <w:w w:val="70"/>
                <w:sz w:val="15"/>
              </w:rPr>
              <w:t>36.252</w:t>
            </w:r>
          </w:p>
        </w:tc>
        <w:tc>
          <w:tcPr>
            <w:tcW w:w="1772" w:type="dxa"/>
            <w:gridSpan w:val="2"/>
          </w:tcPr>
          <w:p>
            <w:pPr>
              <w:pStyle w:val="TableParagraph"/>
              <w:spacing w:line="168" w:lineRule="exact" w:before="18"/>
              <w:ind w:right="70"/>
              <w:jc w:val="right"/>
              <w:rPr>
                <w:sz w:val="15"/>
              </w:rPr>
            </w:pPr>
            <w:r>
              <w:rPr>
                <w:w w:val="70"/>
                <w:sz w:val="15"/>
              </w:rPr>
              <w:t>36.252</w:t>
            </w:r>
          </w:p>
        </w:tc>
      </w:tr>
      <w:tr>
        <w:trPr>
          <w:trHeight w:val="193" w:hRule="atLeast"/>
        </w:trPr>
        <w:tc>
          <w:tcPr>
            <w:tcW w:w="3048" w:type="dxa"/>
          </w:tcPr>
          <w:p>
            <w:pPr>
              <w:pStyle w:val="TableParagraph"/>
              <w:spacing w:line="155" w:lineRule="exact" w:before="18"/>
              <w:ind w:left="29"/>
              <w:rPr>
                <w:sz w:val="15"/>
              </w:rPr>
            </w:pPr>
            <w:r>
              <w:rPr>
                <w:w w:val="80"/>
                <w:sz w:val="15"/>
              </w:rPr>
              <w:t>Ativo Financeiro Indenizável</w:t>
            </w:r>
          </w:p>
        </w:tc>
        <w:tc>
          <w:tcPr>
            <w:tcW w:w="924" w:type="dxa"/>
          </w:tcPr>
          <w:p>
            <w:pPr>
              <w:pStyle w:val="TableParagraph"/>
              <w:rPr>
                <w:rFonts w:ascii="Times New Roman"/>
                <w:sz w:val="10"/>
              </w:rPr>
            </w:pPr>
          </w:p>
        </w:tc>
        <w:tc>
          <w:tcPr>
            <w:tcW w:w="150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77" w:type="dxa"/>
          </w:tcPr>
          <w:p>
            <w:pPr>
              <w:pStyle w:val="TableParagraph"/>
              <w:rPr>
                <w:rFonts w:ascii="Times New Roman"/>
                <w:sz w:val="10"/>
              </w:rPr>
            </w:pPr>
          </w:p>
        </w:tc>
        <w:tc>
          <w:tcPr>
            <w:tcW w:w="1557" w:type="dxa"/>
            <w:gridSpan w:val="2"/>
          </w:tcPr>
          <w:p>
            <w:pPr>
              <w:pStyle w:val="TableParagraph"/>
              <w:rPr>
                <w:rFonts w:ascii="Times New Roman"/>
                <w:sz w:val="10"/>
              </w:rPr>
            </w:pPr>
          </w:p>
        </w:tc>
        <w:tc>
          <w:tcPr>
            <w:tcW w:w="53" w:type="dxa"/>
          </w:tcPr>
          <w:p>
            <w:pPr>
              <w:pStyle w:val="TableParagraph"/>
              <w:rPr>
                <w:rFonts w:ascii="Times New Roman"/>
                <w:sz w:val="10"/>
              </w:rPr>
            </w:pPr>
          </w:p>
        </w:tc>
        <w:tc>
          <w:tcPr>
            <w:tcW w:w="1424" w:type="dxa"/>
          </w:tcPr>
          <w:p>
            <w:pPr>
              <w:pStyle w:val="TableParagraph"/>
              <w:spacing w:line="155" w:lineRule="exact" w:before="18"/>
              <w:ind w:right="817"/>
              <w:jc w:val="right"/>
              <w:rPr>
                <w:sz w:val="15"/>
              </w:rPr>
            </w:pPr>
            <w:r>
              <w:rPr>
                <w:w w:val="70"/>
                <w:sz w:val="15"/>
              </w:rPr>
              <w:t>144.450</w:t>
            </w:r>
          </w:p>
        </w:tc>
        <w:tc>
          <w:tcPr>
            <w:tcW w:w="1772" w:type="dxa"/>
            <w:gridSpan w:val="2"/>
          </w:tcPr>
          <w:p>
            <w:pPr>
              <w:pStyle w:val="TableParagraph"/>
              <w:spacing w:line="155" w:lineRule="exact" w:before="18"/>
              <w:ind w:right="72"/>
              <w:jc w:val="right"/>
              <w:rPr>
                <w:sz w:val="15"/>
              </w:rPr>
            </w:pPr>
            <w:r>
              <w:rPr>
                <w:w w:val="70"/>
                <w:sz w:val="15"/>
              </w:rPr>
              <w:t>144.450</w:t>
            </w:r>
          </w:p>
        </w:tc>
        <w:tc>
          <w:tcPr>
            <w:tcW w:w="54" w:type="dxa"/>
          </w:tcPr>
          <w:p>
            <w:pPr>
              <w:pStyle w:val="TableParagraph"/>
              <w:rPr>
                <w:rFonts w:ascii="Times New Roman"/>
                <w:sz w:val="10"/>
              </w:rPr>
            </w:pPr>
          </w:p>
        </w:tc>
        <w:tc>
          <w:tcPr>
            <w:tcW w:w="1424" w:type="dxa"/>
          </w:tcPr>
          <w:p>
            <w:pPr>
              <w:pStyle w:val="TableParagraph"/>
              <w:spacing w:line="155" w:lineRule="exact" w:before="18"/>
              <w:ind w:right="815"/>
              <w:jc w:val="right"/>
              <w:rPr>
                <w:sz w:val="15"/>
              </w:rPr>
            </w:pPr>
            <w:r>
              <w:rPr>
                <w:w w:val="70"/>
                <w:sz w:val="15"/>
              </w:rPr>
              <w:t>137.481</w:t>
            </w:r>
          </w:p>
        </w:tc>
        <w:tc>
          <w:tcPr>
            <w:tcW w:w="1772" w:type="dxa"/>
            <w:gridSpan w:val="2"/>
          </w:tcPr>
          <w:p>
            <w:pPr>
              <w:pStyle w:val="TableParagraph"/>
              <w:spacing w:line="155" w:lineRule="exact" w:before="18"/>
              <w:ind w:right="70"/>
              <w:jc w:val="right"/>
              <w:rPr>
                <w:sz w:val="15"/>
              </w:rPr>
            </w:pPr>
            <w:r>
              <w:rPr>
                <w:w w:val="70"/>
                <w:sz w:val="15"/>
              </w:rPr>
              <w:t>137.481</w:t>
            </w:r>
          </w:p>
        </w:tc>
      </w:tr>
      <w:tr>
        <w:trPr>
          <w:trHeight w:val="215" w:hRule="atLeast"/>
        </w:trPr>
        <w:tc>
          <w:tcPr>
            <w:tcW w:w="3048" w:type="dxa"/>
          </w:tcPr>
          <w:p>
            <w:pPr>
              <w:pStyle w:val="TableParagraph"/>
              <w:spacing w:line="165" w:lineRule="exact" w:before="30"/>
              <w:ind w:left="29"/>
              <w:rPr>
                <w:sz w:val="15"/>
              </w:rPr>
            </w:pPr>
            <w:r>
              <w:rPr>
                <w:w w:val="80"/>
                <w:sz w:val="15"/>
              </w:rPr>
              <w:t>Demais Créditos</w:t>
            </w:r>
          </w:p>
        </w:tc>
        <w:tc>
          <w:tcPr>
            <w:tcW w:w="5017" w:type="dxa"/>
            <w:gridSpan w:val="7"/>
          </w:tcPr>
          <w:p>
            <w:pPr>
              <w:pStyle w:val="TableParagraph"/>
              <w:tabs>
                <w:tab w:pos="2447" w:val="left" w:leader="none"/>
                <w:tab w:pos="5036" w:val="left" w:leader="none"/>
              </w:tabs>
              <w:spacing w:line="165" w:lineRule="exact" w:before="30"/>
              <w:ind w:left="-1" w:right="-29"/>
              <w:rPr>
                <w:sz w:val="15"/>
              </w:rPr>
            </w:pPr>
            <w:r>
              <w:rPr>
                <w:w w:val="52"/>
                <w:sz w:val="15"/>
                <w:u w:val="single"/>
              </w:rPr>
              <w:t> </w:t>
            </w:r>
            <w:r>
              <w:rPr>
                <w:sz w:val="15"/>
                <w:u w:val="single"/>
              </w:rPr>
              <w:tab/>
            </w:r>
            <w:r>
              <w:rPr>
                <w:spacing w:val="-13"/>
                <w:sz w:val="15"/>
              </w:rPr>
              <w:t> </w:t>
            </w:r>
            <w:r>
              <w:rPr>
                <w:w w:val="52"/>
                <w:sz w:val="15"/>
                <w:u w:val="single"/>
              </w:rPr>
              <w:t> </w:t>
            </w:r>
            <w:r>
              <w:rPr>
                <w:sz w:val="15"/>
                <w:u w:val="single"/>
              </w:rPr>
              <w:tab/>
            </w:r>
          </w:p>
        </w:tc>
        <w:tc>
          <w:tcPr>
            <w:tcW w:w="1477" w:type="dxa"/>
            <w:gridSpan w:val="2"/>
          </w:tcPr>
          <w:p>
            <w:pPr>
              <w:pStyle w:val="TableParagraph"/>
              <w:spacing w:line="165" w:lineRule="exact" w:before="30"/>
              <w:ind w:left="329"/>
              <w:rPr>
                <w:sz w:val="15"/>
              </w:rPr>
            </w:pPr>
            <w:r>
              <w:rPr>
                <w:w w:val="80"/>
                <w:sz w:val="15"/>
              </w:rPr>
              <w:t>13.020</w:t>
            </w:r>
          </w:p>
        </w:tc>
        <w:tc>
          <w:tcPr>
            <w:tcW w:w="1772" w:type="dxa"/>
            <w:gridSpan w:val="2"/>
          </w:tcPr>
          <w:p>
            <w:pPr>
              <w:pStyle w:val="TableParagraph"/>
              <w:spacing w:line="165" w:lineRule="exact" w:before="30"/>
              <w:ind w:right="71"/>
              <w:jc w:val="right"/>
              <w:rPr>
                <w:sz w:val="15"/>
              </w:rPr>
            </w:pPr>
            <w:r>
              <w:rPr>
                <w:w w:val="70"/>
                <w:sz w:val="15"/>
              </w:rPr>
              <w:t>13.020</w:t>
            </w:r>
          </w:p>
        </w:tc>
        <w:tc>
          <w:tcPr>
            <w:tcW w:w="1478" w:type="dxa"/>
            <w:gridSpan w:val="2"/>
          </w:tcPr>
          <w:p>
            <w:pPr>
              <w:pStyle w:val="TableParagraph"/>
              <w:spacing w:line="165" w:lineRule="exact" w:before="30"/>
              <w:ind w:left="332"/>
              <w:rPr>
                <w:sz w:val="15"/>
              </w:rPr>
            </w:pPr>
            <w:r>
              <w:rPr>
                <w:w w:val="80"/>
                <w:sz w:val="15"/>
              </w:rPr>
              <w:t>15.167</w:t>
            </w:r>
          </w:p>
        </w:tc>
        <w:tc>
          <w:tcPr>
            <w:tcW w:w="1772" w:type="dxa"/>
            <w:gridSpan w:val="2"/>
          </w:tcPr>
          <w:p>
            <w:pPr>
              <w:pStyle w:val="TableParagraph"/>
              <w:spacing w:line="165" w:lineRule="exact" w:before="30"/>
              <w:ind w:right="70"/>
              <w:jc w:val="right"/>
              <w:rPr>
                <w:sz w:val="15"/>
              </w:rPr>
            </w:pPr>
            <w:r>
              <w:rPr>
                <w:w w:val="70"/>
                <w:sz w:val="15"/>
              </w:rPr>
              <w:t>15.167</w:t>
            </w:r>
          </w:p>
        </w:tc>
      </w:tr>
      <w:tr>
        <w:trPr>
          <w:trHeight w:val="184" w:hRule="atLeast"/>
        </w:trPr>
        <w:tc>
          <w:tcPr>
            <w:tcW w:w="3048" w:type="dxa"/>
          </w:tcPr>
          <w:p>
            <w:pPr>
              <w:pStyle w:val="TableParagraph"/>
              <w:spacing w:line="160" w:lineRule="exact" w:before="10"/>
              <w:ind w:left="29"/>
              <w:rPr>
                <w:rFonts w:ascii="Caladea" w:hAnsi="Caladea"/>
                <w:b/>
                <w:sz w:val="15"/>
              </w:rPr>
            </w:pPr>
            <w:r>
              <w:rPr>
                <w:rFonts w:ascii="Caladea" w:hAnsi="Caladea"/>
                <w:b/>
                <w:w w:val="80"/>
                <w:sz w:val="15"/>
              </w:rPr>
              <w:t>Realizável a Longo Prazo</w:t>
            </w:r>
          </w:p>
        </w:tc>
        <w:tc>
          <w:tcPr>
            <w:tcW w:w="924" w:type="dxa"/>
            <w:tcBorders>
              <w:bottom w:val="single" w:sz="6" w:space="0" w:color="000000"/>
            </w:tcBorders>
          </w:tcPr>
          <w:p>
            <w:pPr>
              <w:pStyle w:val="TableParagraph"/>
              <w:spacing w:line="160" w:lineRule="exact" w:before="10"/>
              <w:ind w:right="312"/>
              <w:jc w:val="right"/>
              <w:rPr>
                <w:rFonts w:ascii="Caladea"/>
                <w:b/>
                <w:sz w:val="15"/>
              </w:rPr>
            </w:pPr>
            <w:r>
              <w:rPr>
                <w:rFonts w:ascii="Caladea"/>
                <w:b/>
                <w:w w:val="70"/>
                <w:sz w:val="15"/>
              </w:rPr>
              <w:t>39.628</w:t>
            </w:r>
          </w:p>
        </w:tc>
        <w:tc>
          <w:tcPr>
            <w:tcW w:w="746" w:type="dxa"/>
            <w:tcBorders>
              <w:bottom w:val="single" w:sz="6" w:space="0" w:color="000000"/>
            </w:tcBorders>
          </w:tcPr>
          <w:p>
            <w:pPr>
              <w:pStyle w:val="TableParagraph"/>
              <w:rPr>
                <w:rFonts w:ascii="Times New Roman"/>
                <w:sz w:val="10"/>
              </w:rPr>
            </w:pPr>
          </w:p>
        </w:tc>
        <w:tc>
          <w:tcPr>
            <w:tcW w:w="759" w:type="dxa"/>
            <w:tcBorders>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39.628</w:t>
            </w:r>
          </w:p>
        </w:tc>
        <w:tc>
          <w:tcPr>
            <w:tcW w:w="54" w:type="dxa"/>
          </w:tcPr>
          <w:p>
            <w:pPr>
              <w:pStyle w:val="TableParagraph"/>
              <w:rPr>
                <w:rFonts w:ascii="Times New Roman"/>
                <w:sz w:val="10"/>
              </w:rPr>
            </w:pPr>
          </w:p>
        </w:tc>
        <w:tc>
          <w:tcPr>
            <w:tcW w:w="977" w:type="dxa"/>
            <w:tcBorders>
              <w:bottom w:val="single" w:sz="6" w:space="0" w:color="000000"/>
            </w:tcBorders>
          </w:tcPr>
          <w:p>
            <w:pPr>
              <w:pStyle w:val="TableParagraph"/>
              <w:spacing w:line="160" w:lineRule="exact" w:before="10"/>
              <w:ind w:right="367"/>
              <w:jc w:val="right"/>
              <w:rPr>
                <w:rFonts w:ascii="Caladea"/>
                <w:b/>
                <w:sz w:val="15"/>
              </w:rPr>
            </w:pPr>
            <w:r>
              <w:rPr>
                <w:rFonts w:ascii="Caladea"/>
                <w:b/>
                <w:w w:val="70"/>
                <w:sz w:val="15"/>
              </w:rPr>
              <w:t>42.227</w:t>
            </w:r>
          </w:p>
        </w:tc>
        <w:tc>
          <w:tcPr>
            <w:tcW w:w="799" w:type="dxa"/>
            <w:tcBorders>
              <w:bottom w:val="single" w:sz="6" w:space="0" w:color="000000"/>
            </w:tcBorders>
          </w:tcPr>
          <w:p>
            <w:pPr>
              <w:pStyle w:val="TableParagraph"/>
              <w:rPr>
                <w:rFonts w:ascii="Times New Roman"/>
                <w:sz w:val="10"/>
              </w:rPr>
            </w:pPr>
          </w:p>
        </w:tc>
        <w:tc>
          <w:tcPr>
            <w:tcW w:w="758" w:type="dxa"/>
            <w:tcBorders>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42.227</w:t>
            </w:r>
          </w:p>
        </w:tc>
        <w:tc>
          <w:tcPr>
            <w:tcW w:w="53"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2"/>
              <w:jc w:val="right"/>
              <w:rPr>
                <w:rFonts w:ascii="Caladea"/>
                <w:b/>
                <w:sz w:val="15"/>
              </w:rPr>
            </w:pPr>
            <w:r>
              <w:rPr>
                <w:rFonts w:ascii="Caladea"/>
                <w:b/>
                <w:w w:val="70"/>
                <w:sz w:val="15"/>
              </w:rPr>
              <w:t>263.226</w:t>
            </w:r>
          </w:p>
        </w:tc>
        <w:tc>
          <w:tcPr>
            <w:tcW w:w="1029" w:type="dxa"/>
            <w:tcBorders>
              <w:top w:val="single" w:sz="6" w:space="0" w:color="000000"/>
              <w:bottom w:val="single" w:sz="6" w:space="0" w:color="000000"/>
            </w:tcBorders>
          </w:tcPr>
          <w:p>
            <w:pPr>
              <w:pStyle w:val="TableParagraph"/>
              <w:spacing w:line="158" w:lineRule="exact" w:before="12"/>
              <w:ind w:right="176"/>
              <w:jc w:val="right"/>
              <w:rPr>
                <w:sz w:val="15"/>
              </w:rPr>
            </w:pPr>
            <w:r>
              <w:rPr>
                <w:w w:val="64"/>
                <w:sz w:val="15"/>
              </w:rPr>
              <w:t>-</w:t>
            </w:r>
          </w:p>
        </w:tc>
        <w:tc>
          <w:tcPr>
            <w:tcW w:w="743" w:type="dxa"/>
            <w:tcBorders>
              <w:top w:val="single" w:sz="6" w:space="0" w:color="000000"/>
              <w:bottom w:val="single" w:sz="6" w:space="0" w:color="000000"/>
            </w:tcBorders>
          </w:tcPr>
          <w:p>
            <w:pPr>
              <w:pStyle w:val="TableParagraph"/>
              <w:spacing w:line="160" w:lineRule="exact" w:before="10"/>
              <w:ind w:right="67"/>
              <w:jc w:val="right"/>
              <w:rPr>
                <w:rFonts w:ascii="Caladea"/>
                <w:b/>
                <w:sz w:val="15"/>
              </w:rPr>
            </w:pPr>
            <w:r>
              <w:rPr>
                <w:rFonts w:ascii="Caladea"/>
                <w:b/>
                <w:w w:val="70"/>
                <w:sz w:val="15"/>
              </w:rPr>
              <w:t>263.226</w:t>
            </w:r>
          </w:p>
        </w:tc>
        <w:tc>
          <w:tcPr>
            <w:tcW w:w="54"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1"/>
              <w:jc w:val="right"/>
              <w:rPr>
                <w:rFonts w:ascii="Caladea"/>
                <w:b/>
                <w:sz w:val="15"/>
              </w:rPr>
            </w:pPr>
            <w:r>
              <w:rPr>
                <w:rFonts w:ascii="Caladea"/>
                <w:b/>
                <w:w w:val="70"/>
                <w:sz w:val="15"/>
              </w:rPr>
              <w:t>258.504</w:t>
            </w:r>
          </w:p>
        </w:tc>
        <w:tc>
          <w:tcPr>
            <w:tcW w:w="1029" w:type="dxa"/>
            <w:tcBorders>
              <w:top w:val="single" w:sz="6" w:space="0" w:color="000000"/>
              <w:bottom w:val="single" w:sz="6" w:space="0" w:color="000000"/>
            </w:tcBorders>
          </w:tcPr>
          <w:p>
            <w:pPr>
              <w:pStyle w:val="TableParagraph"/>
              <w:spacing w:line="158" w:lineRule="exact" w:before="12"/>
              <w:ind w:right="175"/>
              <w:jc w:val="right"/>
              <w:rPr>
                <w:sz w:val="15"/>
              </w:rPr>
            </w:pPr>
            <w:r>
              <w:rPr>
                <w:w w:val="64"/>
                <w:sz w:val="15"/>
              </w:rPr>
              <w:t>-</w:t>
            </w:r>
          </w:p>
        </w:tc>
        <w:tc>
          <w:tcPr>
            <w:tcW w:w="743" w:type="dxa"/>
            <w:tcBorders>
              <w:top w:val="single" w:sz="6" w:space="0" w:color="000000"/>
              <w:bottom w:val="single" w:sz="6" w:space="0" w:color="000000"/>
            </w:tcBorders>
          </w:tcPr>
          <w:p>
            <w:pPr>
              <w:pStyle w:val="TableParagraph"/>
              <w:spacing w:line="160" w:lineRule="exact" w:before="10"/>
              <w:ind w:right="66"/>
              <w:jc w:val="right"/>
              <w:rPr>
                <w:rFonts w:ascii="Caladea"/>
                <w:b/>
                <w:sz w:val="15"/>
              </w:rPr>
            </w:pPr>
            <w:r>
              <w:rPr>
                <w:rFonts w:ascii="Caladea"/>
                <w:b/>
                <w:w w:val="70"/>
                <w:sz w:val="15"/>
              </w:rPr>
              <w:t>258.504</w:t>
            </w:r>
          </w:p>
        </w:tc>
      </w:tr>
      <w:tr>
        <w:trPr>
          <w:trHeight w:val="405" w:hRule="atLeast"/>
        </w:trPr>
        <w:tc>
          <w:tcPr>
            <w:tcW w:w="3048" w:type="dxa"/>
          </w:tcPr>
          <w:p>
            <w:pPr>
              <w:pStyle w:val="TableParagraph"/>
              <w:spacing w:before="8"/>
              <w:rPr>
                <w:sz w:val="18"/>
              </w:rPr>
            </w:pPr>
          </w:p>
          <w:p>
            <w:pPr>
              <w:pStyle w:val="TableParagraph"/>
              <w:spacing w:line="167" w:lineRule="exact" w:before="1"/>
              <w:ind w:left="29"/>
              <w:rPr>
                <w:sz w:val="15"/>
              </w:rPr>
            </w:pPr>
            <w:r>
              <w:rPr>
                <w:w w:val="80"/>
                <w:sz w:val="15"/>
              </w:rPr>
              <w:t>Investimentos</w:t>
            </w:r>
          </w:p>
        </w:tc>
        <w:tc>
          <w:tcPr>
            <w:tcW w:w="924" w:type="dxa"/>
            <w:tcBorders>
              <w:top w:val="single" w:sz="6" w:space="0" w:color="000000"/>
            </w:tcBorders>
          </w:tcPr>
          <w:p>
            <w:pPr>
              <w:pStyle w:val="TableParagraph"/>
              <w:spacing w:before="8"/>
              <w:rPr>
                <w:sz w:val="18"/>
              </w:rPr>
            </w:pPr>
          </w:p>
          <w:p>
            <w:pPr>
              <w:pStyle w:val="TableParagraph"/>
              <w:spacing w:line="167" w:lineRule="exact" w:before="1"/>
              <w:ind w:right="316"/>
              <w:jc w:val="right"/>
              <w:rPr>
                <w:sz w:val="15"/>
              </w:rPr>
            </w:pPr>
            <w:r>
              <w:rPr>
                <w:w w:val="70"/>
                <w:sz w:val="15"/>
              </w:rPr>
              <w:t>584.545</w:t>
            </w:r>
          </w:p>
        </w:tc>
        <w:tc>
          <w:tcPr>
            <w:tcW w:w="746" w:type="dxa"/>
            <w:tcBorders>
              <w:top w:val="single" w:sz="6" w:space="0" w:color="000000"/>
            </w:tcBorders>
          </w:tcPr>
          <w:p>
            <w:pPr>
              <w:pStyle w:val="TableParagraph"/>
              <w:spacing w:before="8"/>
              <w:rPr>
                <w:sz w:val="18"/>
              </w:rPr>
            </w:pPr>
          </w:p>
          <w:p>
            <w:pPr>
              <w:pStyle w:val="TableParagraph"/>
              <w:spacing w:line="167" w:lineRule="exact" w:before="1"/>
              <w:ind w:left="311"/>
              <w:rPr>
                <w:sz w:val="15"/>
              </w:rPr>
            </w:pPr>
            <w:r>
              <w:rPr>
                <w:w w:val="75"/>
                <w:sz w:val="15"/>
              </w:rPr>
              <w:t>147.338</w:t>
            </w:r>
          </w:p>
        </w:tc>
        <w:tc>
          <w:tcPr>
            <w:tcW w:w="759" w:type="dxa"/>
            <w:tcBorders>
              <w:top w:val="single" w:sz="6" w:space="0" w:color="000000"/>
            </w:tcBorders>
          </w:tcPr>
          <w:p>
            <w:pPr>
              <w:pStyle w:val="TableParagraph"/>
              <w:spacing w:before="8"/>
              <w:rPr>
                <w:sz w:val="18"/>
              </w:rPr>
            </w:pPr>
          </w:p>
          <w:p>
            <w:pPr>
              <w:pStyle w:val="TableParagraph"/>
              <w:spacing w:line="167" w:lineRule="exact" w:before="1"/>
              <w:ind w:right="75"/>
              <w:jc w:val="right"/>
              <w:rPr>
                <w:sz w:val="15"/>
              </w:rPr>
            </w:pPr>
            <w:r>
              <w:rPr>
                <w:w w:val="70"/>
                <w:sz w:val="15"/>
              </w:rPr>
              <w:t>731.883</w:t>
            </w:r>
          </w:p>
        </w:tc>
        <w:tc>
          <w:tcPr>
            <w:tcW w:w="54" w:type="dxa"/>
          </w:tcPr>
          <w:p>
            <w:pPr>
              <w:pStyle w:val="TableParagraph"/>
              <w:rPr>
                <w:rFonts w:ascii="Times New Roman"/>
                <w:sz w:val="10"/>
              </w:rPr>
            </w:pPr>
          </w:p>
        </w:tc>
        <w:tc>
          <w:tcPr>
            <w:tcW w:w="977" w:type="dxa"/>
            <w:tcBorders>
              <w:top w:val="single" w:sz="6" w:space="0" w:color="000000"/>
            </w:tcBorders>
          </w:tcPr>
          <w:p>
            <w:pPr>
              <w:pStyle w:val="TableParagraph"/>
              <w:spacing w:before="8"/>
              <w:rPr>
                <w:sz w:val="18"/>
              </w:rPr>
            </w:pPr>
          </w:p>
          <w:p>
            <w:pPr>
              <w:pStyle w:val="TableParagraph"/>
              <w:spacing w:line="167" w:lineRule="exact" w:before="1"/>
              <w:ind w:right="371"/>
              <w:jc w:val="right"/>
              <w:rPr>
                <w:sz w:val="15"/>
              </w:rPr>
            </w:pPr>
            <w:r>
              <w:rPr>
                <w:w w:val="70"/>
                <w:sz w:val="15"/>
              </w:rPr>
              <w:t>570.701</w:t>
            </w:r>
          </w:p>
        </w:tc>
        <w:tc>
          <w:tcPr>
            <w:tcW w:w="799" w:type="dxa"/>
            <w:tcBorders>
              <w:top w:val="single" w:sz="6" w:space="0" w:color="000000"/>
            </w:tcBorders>
          </w:tcPr>
          <w:p>
            <w:pPr>
              <w:pStyle w:val="TableParagraph"/>
              <w:spacing w:before="8"/>
              <w:rPr>
                <w:sz w:val="18"/>
              </w:rPr>
            </w:pPr>
          </w:p>
          <w:p>
            <w:pPr>
              <w:pStyle w:val="TableParagraph"/>
              <w:spacing w:line="167" w:lineRule="exact" w:before="1"/>
              <w:ind w:left="364"/>
              <w:rPr>
                <w:sz w:val="15"/>
              </w:rPr>
            </w:pPr>
            <w:r>
              <w:rPr>
                <w:w w:val="75"/>
                <w:sz w:val="15"/>
              </w:rPr>
              <w:t>114.187</w:t>
            </w:r>
          </w:p>
        </w:tc>
        <w:tc>
          <w:tcPr>
            <w:tcW w:w="758" w:type="dxa"/>
            <w:tcBorders>
              <w:top w:val="single" w:sz="6" w:space="0" w:color="000000"/>
            </w:tcBorders>
          </w:tcPr>
          <w:p>
            <w:pPr>
              <w:pStyle w:val="TableParagraph"/>
              <w:spacing w:before="8"/>
              <w:rPr>
                <w:sz w:val="18"/>
              </w:rPr>
            </w:pPr>
          </w:p>
          <w:p>
            <w:pPr>
              <w:pStyle w:val="TableParagraph"/>
              <w:spacing w:line="167" w:lineRule="exact" w:before="1"/>
              <w:ind w:right="74"/>
              <w:jc w:val="right"/>
              <w:rPr>
                <w:sz w:val="15"/>
              </w:rPr>
            </w:pPr>
            <w:r>
              <w:rPr>
                <w:w w:val="70"/>
                <w:sz w:val="15"/>
              </w:rPr>
              <w:t>684.888</w:t>
            </w:r>
          </w:p>
        </w:tc>
        <w:tc>
          <w:tcPr>
            <w:tcW w:w="53" w:type="dxa"/>
          </w:tcPr>
          <w:p>
            <w:pPr>
              <w:pStyle w:val="TableParagraph"/>
              <w:rPr>
                <w:rFonts w:ascii="Times New Roman"/>
                <w:sz w:val="10"/>
              </w:rPr>
            </w:pPr>
          </w:p>
        </w:tc>
        <w:tc>
          <w:tcPr>
            <w:tcW w:w="1424" w:type="dxa"/>
            <w:tcBorders>
              <w:top w:val="single" w:sz="6" w:space="0" w:color="000000"/>
            </w:tcBorders>
          </w:tcPr>
          <w:p>
            <w:pPr>
              <w:pStyle w:val="TableParagraph"/>
              <w:spacing w:before="8"/>
              <w:rPr>
                <w:sz w:val="18"/>
              </w:rPr>
            </w:pPr>
          </w:p>
          <w:p>
            <w:pPr>
              <w:pStyle w:val="TableParagraph"/>
              <w:spacing w:line="167" w:lineRule="exact" w:before="1"/>
              <w:ind w:right="817"/>
              <w:jc w:val="right"/>
              <w:rPr>
                <w:sz w:val="15"/>
              </w:rPr>
            </w:pPr>
            <w:r>
              <w:rPr>
                <w:w w:val="70"/>
                <w:sz w:val="15"/>
              </w:rPr>
              <w:t>613.426</w:t>
            </w:r>
          </w:p>
        </w:tc>
        <w:tc>
          <w:tcPr>
            <w:tcW w:w="1029" w:type="dxa"/>
            <w:tcBorders>
              <w:top w:val="single" w:sz="6" w:space="0" w:color="000000"/>
            </w:tcBorders>
          </w:tcPr>
          <w:p>
            <w:pPr>
              <w:pStyle w:val="TableParagraph"/>
              <w:rPr>
                <w:rFonts w:ascii="Times New Roman"/>
                <w:sz w:val="10"/>
              </w:rPr>
            </w:pPr>
          </w:p>
        </w:tc>
        <w:tc>
          <w:tcPr>
            <w:tcW w:w="743" w:type="dxa"/>
            <w:tcBorders>
              <w:top w:val="single" w:sz="6" w:space="0" w:color="000000"/>
            </w:tcBorders>
          </w:tcPr>
          <w:p>
            <w:pPr>
              <w:pStyle w:val="TableParagraph"/>
              <w:spacing w:before="8"/>
              <w:rPr>
                <w:sz w:val="18"/>
              </w:rPr>
            </w:pPr>
          </w:p>
          <w:p>
            <w:pPr>
              <w:pStyle w:val="TableParagraph"/>
              <w:spacing w:line="167" w:lineRule="exact" w:before="1"/>
              <w:ind w:right="72"/>
              <w:jc w:val="right"/>
              <w:rPr>
                <w:sz w:val="15"/>
              </w:rPr>
            </w:pPr>
            <w:r>
              <w:rPr>
                <w:w w:val="70"/>
                <w:sz w:val="15"/>
              </w:rPr>
              <w:t>613.426</w:t>
            </w:r>
          </w:p>
        </w:tc>
        <w:tc>
          <w:tcPr>
            <w:tcW w:w="54" w:type="dxa"/>
          </w:tcPr>
          <w:p>
            <w:pPr>
              <w:pStyle w:val="TableParagraph"/>
              <w:rPr>
                <w:rFonts w:ascii="Times New Roman"/>
                <w:sz w:val="10"/>
              </w:rPr>
            </w:pPr>
          </w:p>
        </w:tc>
        <w:tc>
          <w:tcPr>
            <w:tcW w:w="1424" w:type="dxa"/>
            <w:tcBorders>
              <w:top w:val="single" w:sz="6" w:space="0" w:color="000000"/>
            </w:tcBorders>
          </w:tcPr>
          <w:p>
            <w:pPr>
              <w:pStyle w:val="TableParagraph"/>
              <w:spacing w:before="8"/>
              <w:rPr>
                <w:sz w:val="18"/>
              </w:rPr>
            </w:pPr>
          </w:p>
          <w:p>
            <w:pPr>
              <w:pStyle w:val="TableParagraph"/>
              <w:spacing w:line="167" w:lineRule="exact" w:before="1"/>
              <w:ind w:right="815"/>
              <w:jc w:val="right"/>
              <w:rPr>
                <w:sz w:val="15"/>
              </w:rPr>
            </w:pPr>
            <w:r>
              <w:rPr>
                <w:w w:val="70"/>
                <w:sz w:val="15"/>
              </w:rPr>
              <w:t>596.693</w:t>
            </w:r>
          </w:p>
        </w:tc>
        <w:tc>
          <w:tcPr>
            <w:tcW w:w="1029" w:type="dxa"/>
            <w:tcBorders>
              <w:top w:val="single" w:sz="6" w:space="0" w:color="000000"/>
            </w:tcBorders>
          </w:tcPr>
          <w:p>
            <w:pPr>
              <w:pStyle w:val="TableParagraph"/>
              <w:rPr>
                <w:rFonts w:ascii="Times New Roman"/>
                <w:sz w:val="10"/>
              </w:rPr>
            </w:pPr>
          </w:p>
        </w:tc>
        <w:tc>
          <w:tcPr>
            <w:tcW w:w="743" w:type="dxa"/>
            <w:tcBorders>
              <w:top w:val="single" w:sz="6" w:space="0" w:color="000000"/>
            </w:tcBorders>
          </w:tcPr>
          <w:p>
            <w:pPr>
              <w:pStyle w:val="TableParagraph"/>
              <w:spacing w:before="8"/>
              <w:rPr>
                <w:sz w:val="18"/>
              </w:rPr>
            </w:pPr>
          </w:p>
          <w:p>
            <w:pPr>
              <w:pStyle w:val="TableParagraph"/>
              <w:spacing w:line="167" w:lineRule="exact" w:before="1"/>
              <w:ind w:right="70"/>
              <w:jc w:val="right"/>
              <w:rPr>
                <w:sz w:val="15"/>
              </w:rPr>
            </w:pPr>
            <w:r>
              <w:rPr>
                <w:w w:val="70"/>
                <w:sz w:val="15"/>
              </w:rPr>
              <w:t>596.693</w:t>
            </w:r>
          </w:p>
        </w:tc>
      </w:tr>
      <w:tr>
        <w:trPr>
          <w:trHeight w:val="205" w:hRule="atLeast"/>
        </w:trPr>
        <w:tc>
          <w:tcPr>
            <w:tcW w:w="3048" w:type="dxa"/>
          </w:tcPr>
          <w:p>
            <w:pPr>
              <w:pStyle w:val="TableParagraph"/>
              <w:spacing w:line="167" w:lineRule="exact" w:before="18"/>
              <w:ind w:left="29"/>
              <w:rPr>
                <w:sz w:val="15"/>
              </w:rPr>
            </w:pPr>
            <w:r>
              <w:rPr>
                <w:w w:val="80"/>
                <w:sz w:val="15"/>
              </w:rPr>
              <w:t>Imobilizado</w:t>
            </w:r>
          </w:p>
        </w:tc>
        <w:tc>
          <w:tcPr>
            <w:tcW w:w="924" w:type="dxa"/>
          </w:tcPr>
          <w:p>
            <w:pPr>
              <w:pStyle w:val="TableParagraph"/>
              <w:spacing w:line="167" w:lineRule="exact" w:before="18"/>
              <w:ind w:right="316"/>
              <w:jc w:val="right"/>
              <w:rPr>
                <w:sz w:val="15"/>
              </w:rPr>
            </w:pPr>
            <w:r>
              <w:rPr>
                <w:w w:val="70"/>
                <w:sz w:val="15"/>
              </w:rPr>
              <w:t>13.136</w:t>
            </w:r>
          </w:p>
        </w:tc>
        <w:tc>
          <w:tcPr>
            <w:tcW w:w="746" w:type="dxa"/>
          </w:tcPr>
          <w:p>
            <w:pPr>
              <w:pStyle w:val="TableParagraph"/>
              <w:rPr>
                <w:rFonts w:ascii="Times New Roman"/>
                <w:sz w:val="10"/>
              </w:rPr>
            </w:pPr>
          </w:p>
        </w:tc>
        <w:tc>
          <w:tcPr>
            <w:tcW w:w="759" w:type="dxa"/>
          </w:tcPr>
          <w:p>
            <w:pPr>
              <w:pStyle w:val="TableParagraph"/>
              <w:spacing w:line="167" w:lineRule="exact" w:before="18"/>
              <w:ind w:right="74"/>
              <w:jc w:val="right"/>
              <w:rPr>
                <w:sz w:val="15"/>
              </w:rPr>
            </w:pPr>
            <w:r>
              <w:rPr>
                <w:w w:val="70"/>
                <w:sz w:val="15"/>
              </w:rPr>
              <w:t>13.136</w:t>
            </w:r>
          </w:p>
        </w:tc>
        <w:tc>
          <w:tcPr>
            <w:tcW w:w="54" w:type="dxa"/>
          </w:tcPr>
          <w:p>
            <w:pPr>
              <w:pStyle w:val="TableParagraph"/>
              <w:rPr>
                <w:rFonts w:ascii="Times New Roman"/>
                <w:sz w:val="10"/>
              </w:rPr>
            </w:pPr>
          </w:p>
        </w:tc>
        <w:tc>
          <w:tcPr>
            <w:tcW w:w="977" w:type="dxa"/>
          </w:tcPr>
          <w:p>
            <w:pPr>
              <w:pStyle w:val="TableParagraph"/>
              <w:spacing w:line="167" w:lineRule="exact" w:before="18"/>
              <w:ind w:right="371"/>
              <w:jc w:val="right"/>
              <w:rPr>
                <w:sz w:val="15"/>
              </w:rPr>
            </w:pPr>
            <w:r>
              <w:rPr>
                <w:w w:val="70"/>
                <w:sz w:val="15"/>
              </w:rPr>
              <w:t>13.136</w:t>
            </w:r>
          </w:p>
        </w:tc>
        <w:tc>
          <w:tcPr>
            <w:tcW w:w="799" w:type="dxa"/>
          </w:tcPr>
          <w:p>
            <w:pPr>
              <w:pStyle w:val="TableParagraph"/>
              <w:rPr>
                <w:rFonts w:ascii="Times New Roman"/>
                <w:sz w:val="10"/>
              </w:rPr>
            </w:pPr>
          </w:p>
        </w:tc>
        <w:tc>
          <w:tcPr>
            <w:tcW w:w="758" w:type="dxa"/>
          </w:tcPr>
          <w:p>
            <w:pPr>
              <w:pStyle w:val="TableParagraph"/>
              <w:spacing w:line="167" w:lineRule="exact" w:before="18"/>
              <w:ind w:right="74"/>
              <w:jc w:val="right"/>
              <w:rPr>
                <w:sz w:val="15"/>
              </w:rPr>
            </w:pPr>
            <w:r>
              <w:rPr>
                <w:w w:val="70"/>
                <w:sz w:val="15"/>
              </w:rPr>
              <w:t>13.136</w:t>
            </w:r>
          </w:p>
        </w:tc>
        <w:tc>
          <w:tcPr>
            <w:tcW w:w="53" w:type="dxa"/>
          </w:tcPr>
          <w:p>
            <w:pPr>
              <w:pStyle w:val="TableParagraph"/>
              <w:rPr>
                <w:rFonts w:ascii="Times New Roman"/>
                <w:sz w:val="10"/>
              </w:rPr>
            </w:pPr>
          </w:p>
        </w:tc>
        <w:tc>
          <w:tcPr>
            <w:tcW w:w="1424" w:type="dxa"/>
          </w:tcPr>
          <w:p>
            <w:pPr>
              <w:pStyle w:val="TableParagraph"/>
              <w:spacing w:line="167" w:lineRule="exact" w:before="18"/>
              <w:ind w:right="817"/>
              <w:jc w:val="right"/>
              <w:rPr>
                <w:sz w:val="15"/>
              </w:rPr>
            </w:pPr>
            <w:r>
              <w:rPr>
                <w:w w:val="70"/>
                <w:sz w:val="15"/>
              </w:rPr>
              <w:t>102.560</w:t>
            </w:r>
          </w:p>
        </w:tc>
        <w:tc>
          <w:tcPr>
            <w:tcW w:w="1029" w:type="dxa"/>
          </w:tcPr>
          <w:p>
            <w:pPr>
              <w:pStyle w:val="TableParagraph"/>
              <w:rPr>
                <w:rFonts w:ascii="Times New Roman"/>
                <w:sz w:val="10"/>
              </w:rPr>
            </w:pPr>
          </w:p>
        </w:tc>
        <w:tc>
          <w:tcPr>
            <w:tcW w:w="743" w:type="dxa"/>
          </w:tcPr>
          <w:p>
            <w:pPr>
              <w:pStyle w:val="TableParagraph"/>
              <w:spacing w:line="167" w:lineRule="exact" w:before="18"/>
              <w:ind w:right="72"/>
              <w:jc w:val="right"/>
              <w:rPr>
                <w:sz w:val="15"/>
              </w:rPr>
            </w:pPr>
            <w:r>
              <w:rPr>
                <w:w w:val="70"/>
                <w:sz w:val="15"/>
              </w:rPr>
              <w:t>102.560</w:t>
            </w:r>
          </w:p>
        </w:tc>
        <w:tc>
          <w:tcPr>
            <w:tcW w:w="54" w:type="dxa"/>
          </w:tcPr>
          <w:p>
            <w:pPr>
              <w:pStyle w:val="TableParagraph"/>
              <w:rPr>
                <w:rFonts w:ascii="Times New Roman"/>
                <w:sz w:val="10"/>
              </w:rPr>
            </w:pPr>
          </w:p>
        </w:tc>
        <w:tc>
          <w:tcPr>
            <w:tcW w:w="1424" w:type="dxa"/>
          </w:tcPr>
          <w:p>
            <w:pPr>
              <w:pStyle w:val="TableParagraph"/>
              <w:spacing w:line="167" w:lineRule="exact" w:before="18"/>
              <w:ind w:right="815"/>
              <w:jc w:val="right"/>
              <w:rPr>
                <w:sz w:val="15"/>
              </w:rPr>
            </w:pPr>
            <w:r>
              <w:rPr>
                <w:w w:val="70"/>
                <w:sz w:val="15"/>
              </w:rPr>
              <w:t>104.066</w:t>
            </w:r>
          </w:p>
        </w:tc>
        <w:tc>
          <w:tcPr>
            <w:tcW w:w="1029" w:type="dxa"/>
          </w:tcPr>
          <w:p>
            <w:pPr>
              <w:pStyle w:val="TableParagraph"/>
              <w:rPr>
                <w:rFonts w:ascii="Times New Roman"/>
                <w:sz w:val="10"/>
              </w:rPr>
            </w:pPr>
          </w:p>
        </w:tc>
        <w:tc>
          <w:tcPr>
            <w:tcW w:w="743" w:type="dxa"/>
          </w:tcPr>
          <w:p>
            <w:pPr>
              <w:pStyle w:val="TableParagraph"/>
              <w:spacing w:line="167" w:lineRule="exact" w:before="18"/>
              <w:ind w:right="70"/>
              <w:jc w:val="right"/>
              <w:rPr>
                <w:sz w:val="15"/>
              </w:rPr>
            </w:pPr>
            <w:r>
              <w:rPr>
                <w:w w:val="70"/>
                <w:sz w:val="15"/>
              </w:rPr>
              <w:t>104.066</w:t>
            </w:r>
          </w:p>
        </w:tc>
      </w:tr>
      <w:tr>
        <w:trPr>
          <w:trHeight w:val="196" w:hRule="atLeast"/>
        </w:trPr>
        <w:tc>
          <w:tcPr>
            <w:tcW w:w="3048" w:type="dxa"/>
          </w:tcPr>
          <w:p>
            <w:pPr>
              <w:pStyle w:val="TableParagraph"/>
              <w:spacing w:line="158" w:lineRule="exact" w:before="18"/>
              <w:ind w:left="29"/>
              <w:rPr>
                <w:sz w:val="15"/>
              </w:rPr>
            </w:pPr>
            <w:r>
              <w:rPr>
                <w:w w:val="80"/>
                <w:sz w:val="15"/>
              </w:rPr>
              <w:t>Intangível</w:t>
            </w:r>
          </w:p>
        </w:tc>
        <w:tc>
          <w:tcPr>
            <w:tcW w:w="924" w:type="dxa"/>
            <w:tcBorders>
              <w:bottom w:val="single" w:sz="6" w:space="0" w:color="000000"/>
            </w:tcBorders>
          </w:tcPr>
          <w:p>
            <w:pPr>
              <w:pStyle w:val="TableParagraph"/>
              <w:spacing w:line="158" w:lineRule="exact" w:before="18"/>
              <w:ind w:right="316"/>
              <w:jc w:val="right"/>
              <w:rPr>
                <w:sz w:val="15"/>
              </w:rPr>
            </w:pPr>
            <w:r>
              <w:rPr>
                <w:w w:val="70"/>
                <w:sz w:val="15"/>
              </w:rPr>
              <w:t>3.971</w:t>
            </w:r>
          </w:p>
        </w:tc>
        <w:tc>
          <w:tcPr>
            <w:tcW w:w="746" w:type="dxa"/>
            <w:tcBorders>
              <w:bottom w:val="single" w:sz="6" w:space="0" w:color="000000"/>
            </w:tcBorders>
          </w:tcPr>
          <w:p>
            <w:pPr>
              <w:pStyle w:val="TableParagraph"/>
              <w:rPr>
                <w:rFonts w:ascii="Times New Roman"/>
                <w:sz w:val="10"/>
              </w:rPr>
            </w:pPr>
          </w:p>
        </w:tc>
        <w:tc>
          <w:tcPr>
            <w:tcW w:w="759" w:type="dxa"/>
            <w:tcBorders>
              <w:bottom w:val="single" w:sz="6" w:space="0" w:color="000000"/>
            </w:tcBorders>
          </w:tcPr>
          <w:p>
            <w:pPr>
              <w:pStyle w:val="TableParagraph"/>
              <w:spacing w:line="158" w:lineRule="exact" w:before="18"/>
              <w:ind w:right="75"/>
              <w:jc w:val="right"/>
              <w:rPr>
                <w:sz w:val="15"/>
              </w:rPr>
            </w:pPr>
            <w:r>
              <w:rPr>
                <w:w w:val="70"/>
                <w:sz w:val="15"/>
              </w:rPr>
              <w:t>3.971</w:t>
            </w:r>
          </w:p>
        </w:tc>
        <w:tc>
          <w:tcPr>
            <w:tcW w:w="54" w:type="dxa"/>
          </w:tcPr>
          <w:p>
            <w:pPr>
              <w:pStyle w:val="TableParagraph"/>
              <w:rPr>
                <w:rFonts w:ascii="Times New Roman"/>
                <w:sz w:val="10"/>
              </w:rPr>
            </w:pPr>
          </w:p>
        </w:tc>
        <w:tc>
          <w:tcPr>
            <w:tcW w:w="977" w:type="dxa"/>
            <w:tcBorders>
              <w:bottom w:val="single" w:sz="6" w:space="0" w:color="000000"/>
            </w:tcBorders>
          </w:tcPr>
          <w:p>
            <w:pPr>
              <w:pStyle w:val="TableParagraph"/>
              <w:spacing w:line="158" w:lineRule="exact" w:before="18"/>
              <w:ind w:right="371"/>
              <w:jc w:val="right"/>
              <w:rPr>
                <w:sz w:val="15"/>
              </w:rPr>
            </w:pPr>
            <w:r>
              <w:rPr>
                <w:w w:val="70"/>
                <w:sz w:val="15"/>
              </w:rPr>
              <w:t>2.650</w:t>
            </w:r>
          </w:p>
        </w:tc>
        <w:tc>
          <w:tcPr>
            <w:tcW w:w="799" w:type="dxa"/>
            <w:tcBorders>
              <w:bottom w:val="single" w:sz="6" w:space="0" w:color="000000"/>
            </w:tcBorders>
          </w:tcPr>
          <w:p>
            <w:pPr>
              <w:pStyle w:val="TableParagraph"/>
              <w:rPr>
                <w:rFonts w:ascii="Times New Roman"/>
                <w:sz w:val="10"/>
              </w:rPr>
            </w:pPr>
          </w:p>
        </w:tc>
        <w:tc>
          <w:tcPr>
            <w:tcW w:w="758" w:type="dxa"/>
            <w:tcBorders>
              <w:bottom w:val="single" w:sz="6" w:space="0" w:color="000000"/>
            </w:tcBorders>
          </w:tcPr>
          <w:p>
            <w:pPr>
              <w:pStyle w:val="TableParagraph"/>
              <w:spacing w:line="158" w:lineRule="exact" w:before="18"/>
              <w:ind w:right="74"/>
              <w:jc w:val="right"/>
              <w:rPr>
                <w:sz w:val="15"/>
              </w:rPr>
            </w:pPr>
            <w:r>
              <w:rPr>
                <w:w w:val="70"/>
                <w:sz w:val="15"/>
              </w:rPr>
              <w:t>2.650</w:t>
            </w:r>
          </w:p>
        </w:tc>
        <w:tc>
          <w:tcPr>
            <w:tcW w:w="53" w:type="dxa"/>
          </w:tcPr>
          <w:p>
            <w:pPr>
              <w:pStyle w:val="TableParagraph"/>
              <w:rPr>
                <w:rFonts w:ascii="Times New Roman"/>
                <w:sz w:val="10"/>
              </w:rPr>
            </w:pPr>
          </w:p>
        </w:tc>
        <w:tc>
          <w:tcPr>
            <w:tcW w:w="1424" w:type="dxa"/>
            <w:tcBorders>
              <w:bottom w:val="single" w:sz="6" w:space="0" w:color="000000"/>
            </w:tcBorders>
          </w:tcPr>
          <w:p>
            <w:pPr>
              <w:pStyle w:val="TableParagraph"/>
              <w:spacing w:line="158" w:lineRule="exact" w:before="18"/>
              <w:ind w:right="817"/>
              <w:jc w:val="right"/>
              <w:rPr>
                <w:sz w:val="15"/>
              </w:rPr>
            </w:pPr>
            <w:r>
              <w:rPr>
                <w:w w:val="70"/>
                <w:sz w:val="15"/>
              </w:rPr>
              <w:t>920.106</w:t>
            </w:r>
          </w:p>
        </w:tc>
        <w:tc>
          <w:tcPr>
            <w:tcW w:w="1029" w:type="dxa"/>
            <w:tcBorders>
              <w:bottom w:val="single" w:sz="6" w:space="0" w:color="000000"/>
            </w:tcBorders>
          </w:tcPr>
          <w:p>
            <w:pPr>
              <w:pStyle w:val="TableParagraph"/>
              <w:rPr>
                <w:rFonts w:ascii="Times New Roman"/>
                <w:sz w:val="10"/>
              </w:rPr>
            </w:pPr>
          </w:p>
        </w:tc>
        <w:tc>
          <w:tcPr>
            <w:tcW w:w="743" w:type="dxa"/>
            <w:tcBorders>
              <w:bottom w:val="single" w:sz="6" w:space="0" w:color="000000"/>
            </w:tcBorders>
          </w:tcPr>
          <w:p>
            <w:pPr>
              <w:pStyle w:val="TableParagraph"/>
              <w:spacing w:line="158" w:lineRule="exact" w:before="18"/>
              <w:ind w:right="72"/>
              <w:jc w:val="right"/>
              <w:rPr>
                <w:sz w:val="15"/>
              </w:rPr>
            </w:pPr>
            <w:r>
              <w:rPr>
                <w:w w:val="70"/>
                <w:sz w:val="15"/>
              </w:rPr>
              <w:t>920.106</w:t>
            </w:r>
          </w:p>
        </w:tc>
        <w:tc>
          <w:tcPr>
            <w:tcW w:w="54" w:type="dxa"/>
          </w:tcPr>
          <w:p>
            <w:pPr>
              <w:pStyle w:val="TableParagraph"/>
              <w:rPr>
                <w:rFonts w:ascii="Times New Roman"/>
                <w:sz w:val="10"/>
              </w:rPr>
            </w:pPr>
          </w:p>
        </w:tc>
        <w:tc>
          <w:tcPr>
            <w:tcW w:w="1424" w:type="dxa"/>
            <w:tcBorders>
              <w:bottom w:val="single" w:sz="6" w:space="0" w:color="000000"/>
            </w:tcBorders>
          </w:tcPr>
          <w:p>
            <w:pPr>
              <w:pStyle w:val="TableParagraph"/>
              <w:spacing w:line="158" w:lineRule="exact" w:before="18"/>
              <w:ind w:right="815"/>
              <w:jc w:val="right"/>
              <w:rPr>
                <w:sz w:val="15"/>
              </w:rPr>
            </w:pPr>
            <w:r>
              <w:rPr>
                <w:w w:val="70"/>
                <w:sz w:val="15"/>
              </w:rPr>
              <w:t>960.373</w:t>
            </w:r>
          </w:p>
        </w:tc>
        <w:tc>
          <w:tcPr>
            <w:tcW w:w="1029" w:type="dxa"/>
            <w:tcBorders>
              <w:bottom w:val="single" w:sz="6" w:space="0" w:color="000000"/>
            </w:tcBorders>
          </w:tcPr>
          <w:p>
            <w:pPr>
              <w:pStyle w:val="TableParagraph"/>
              <w:rPr>
                <w:rFonts w:ascii="Times New Roman"/>
                <w:sz w:val="10"/>
              </w:rPr>
            </w:pPr>
          </w:p>
        </w:tc>
        <w:tc>
          <w:tcPr>
            <w:tcW w:w="743" w:type="dxa"/>
            <w:tcBorders>
              <w:bottom w:val="single" w:sz="6" w:space="0" w:color="000000"/>
            </w:tcBorders>
          </w:tcPr>
          <w:p>
            <w:pPr>
              <w:pStyle w:val="TableParagraph"/>
              <w:spacing w:line="158" w:lineRule="exact" w:before="18"/>
              <w:ind w:right="70"/>
              <w:jc w:val="right"/>
              <w:rPr>
                <w:sz w:val="15"/>
              </w:rPr>
            </w:pPr>
            <w:r>
              <w:rPr>
                <w:w w:val="70"/>
                <w:sz w:val="15"/>
              </w:rPr>
              <w:t>960.373</w:t>
            </w:r>
          </w:p>
        </w:tc>
      </w:tr>
      <w:tr>
        <w:trPr>
          <w:trHeight w:val="190" w:hRule="atLeast"/>
        </w:trPr>
        <w:tc>
          <w:tcPr>
            <w:tcW w:w="3048" w:type="dxa"/>
          </w:tcPr>
          <w:p>
            <w:pPr>
              <w:pStyle w:val="TableParagraph"/>
              <w:spacing w:line="160" w:lineRule="exact" w:before="10"/>
              <w:ind w:left="29"/>
              <w:rPr>
                <w:rFonts w:ascii="Caladea" w:hAnsi="Caladea"/>
                <w:b/>
                <w:sz w:val="15"/>
              </w:rPr>
            </w:pPr>
            <w:r>
              <w:rPr>
                <w:rFonts w:ascii="Caladea" w:hAnsi="Caladea"/>
                <w:b/>
                <w:w w:val="80"/>
                <w:sz w:val="15"/>
              </w:rPr>
              <w:t>Total do Não Circulante</w:t>
            </w:r>
          </w:p>
        </w:tc>
        <w:tc>
          <w:tcPr>
            <w:tcW w:w="924" w:type="dxa"/>
            <w:tcBorders>
              <w:top w:val="single" w:sz="6" w:space="0" w:color="000000"/>
            </w:tcBorders>
          </w:tcPr>
          <w:p>
            <w:pPr>
              <w:pStyle w:val="TableParagraph"/>
              <w:spacing w:line="160" w:lineRule="exact" w:before="10"/>
              <w:ind w:right="312"/>
              <w:jc w:val="right"/>
              <w:rPr>
                <w:rFonts w:ascii="Caladea"/>
                <w:b/>
                <w:sz w:val="15"/>
              </w:rPr>
            </w:pPr>
            <w:r>
              <w:rPr>
                <w:rFonts w:ascii="Caladea"/>
                <w:b/>
                <w:w w:val="70"/>
                <w:sz w:val="15"/>
              </w:rPr>
              <w:t>641.280</w:t>
            </w:r>
          </w:p>
        </w:tc>
        <w:tc>
          <w:tcPr>
            <w:tcW w:w="746" w:type="dxa"/>
            <w:tcBorders>
              <w:top w:val="single" w:sz="6" w:space="0" w:color="000000"/>
            </w:tcBorders>
          </w:tcPr>
          <w:p>
            <w:pPr>
              <w:pStyle w:val="TableParagraph"/>
              <w:rPr>
                <w:rFonts w:ascii="Times New Roman"/>
                <w:sz w:val="10"/>
              </w:rPr>
            </w:pPr>
          </w:p>
        </w:tc>
        <w:tc>
          <w:tcPr>
            <w:tcW w:w="759" w:type="dxa"/>
            <w:tcBorders>
              <w:top w:val="single" w:sz="6" w:space="0" w:color="000000"/>
            </w:tcBorders>
          </w:tcPr>
          <w:p>
            <w:pPr>
              <w:pStyle w:val="TableParagraph"/>
              <w:spacing w:line="160" w:lineRule="exact" w:before="10"/>
              <w:ind w:right="70"/>
              <w:jc w:val="right"/>
              <w:rPr>
                <w:rFonts w:ascii="Caladea"/>
                <w:b/>
                <w:sz w:val="15"/>
              </w:rPr>
            </w:pPr>
            <w:r>
              <w:rPr>
                <w:rFonts w:ascii="Caladea"/>
                <w:b/>
                <w:w w:val="70"/>
                <w:sz w:val="15"/>
              </w:rPr>
              <w:t>788.618</w:t>
            </w:r>
          </w:p>
        </w:tc>
        <w:tc>
          <w:tcPr>
            <w:tcW w:w="54" w:type="dxa"/>
          </w:tcPr>
          <w:p>
            <w:pPr>
              <w:pStyle w:val="TableParagraph"/>
              <w:rPr>
                <w:rFonts w:ascii="Times New Roman"/>
                <w:sz w:val="10"/>
              </w:rPr>
            </w:pPr>
          </w:p>
        </w:tc>
        <w:tc>
          <w:tcPr>
            <w:tcW w:w="977" w:type="dxa"/>
            <w:tcBorders>
              <w:top w:val="single" w:sz="6" w:space="0" w:color="000000"/>
            </w:tcBorders>
          </w:tcPr>
          <w:p>
            <w:pPr>
              <w:pStyle w:val="TableParagraph"/>
              <w:spacing w:line="160" w:lineRule="exact" w:before="10"/>
              <w:ind w:right="367"/>
              <w:jc w:val="right"/>
              <w:rPr>
                <w:rFonts w:ascii="Caladea"/>
                <w:b/>
                <w:sz w:val="15"/>
              </w:rPr>
            </w:pPr>
            <w:r>
              <w:rPr>
                <w:rFonts w:ascii="Caladea"/>
                <w:b/>
                <w:w w:val="70"/>
                <w:sz w:val="15"/>
              </w:rPr>
              <w:t>628.714</w:t>
            </w:r>
          </w:p>
        </w:tc>
        <w:tc>
          <w:tcPr>
            <w:tcW w:w="799" w:type="dxa"/>
            <w:tcBorders>
              <w:top w:val="single" w:sz="6" w:space="0" w:color="000000"/>
            </w:tcBorders>
          </w:tcPr>
          <w:p>
            <w:pPr>
              <w:pStyle w:val="TableParagraph"/>
              <w:rPr>
                <w:rFonts w:ascii="Times New Roman"/>
                <w:sz w:val="10"/>
              </w:rPr>
            </w:pPr>
          </w:p>
        </w:tc>
        <w:tc>
          <w:tcPr>
            <w:tcW w:w="758" w:type="dxa"/>
            <w:tcBorders>
              <w:top w:val="single" w:sz="6" w:space="0" w:color="000000"/>
            </w:tcBorders>
          </w:tcPr>
          <w:p>
            <w:pPr>
              <w:pStyle w:val="TableParagraph"/>
              <w:spacing w:line="160" w:lineRule="exact" w:before="10"/>
              <w:ind w:right="70"/>
              <w:jc w:val="right"/>
              <w:rPr>
                <w:rFonts w:ascii="Caladea"/>
                <w:b/>
                <w:sz w:val="15"/>
              </w:rPr>
            </w:pPr>
            <w:r>
              <w:rPr>
                <w:rFonts w:ascii="Caladea"/>
                <w:b/>
                <w:w w:val="70"/>
                <w:sz w:val="15"/>
              </w:rPr>
              <w:t>742.901</w:t>
            </w:r>
          </w:p>
        </w:tc>
        <w:tc>
          <w:tcPr>
            <w:tcW w:w="53" w:type="dxa"/>
          </w:tcPr>
          <w:p>
            <w:pPr>
              <w:pStyle w:val="TableParagraph"/>
              <w:rPr>
                <w:rFonts w:ascii="Times New Roman"/>
                <w:sz w:val="10"/>
              </w:rPr>
            </w:pPr>
          </w:p>
        </w:tc>
        <w:tc>
          <w:tcPr>
            <w:tcW w:w="1424" w:type="dxa"/>
            <w:tcBorders>
              <w:top w:val="single" w:sz="6" w:space="0" w:color="000000"/>
            </w:tcBorders>
          </w:tcPr>
          <w:p>
            <w:pPr>
              <w:pStyle w:val="TableParagraph"/>
              <w:spacing w:line="160" w:lineRule="exact" w:before="10"/>
              <w:ind w:right="812"/>
              <w:jc w:val="right"/>
              <w:rPr>
                <w:rFonts w:ascii="Caladea"/>
                <w:b/>
                <w:sz w:val="15"/>
              </w:rPr>
            </w:pPr>
            <w:r>
              <w:rPr>
                <w:rFonts w:ascii="Caladea"/>
                <w:b/>
                <w:w w:val="70"/>
                <w:sz w:val="15"/>
              </w:rPr>
              <w:t>1.899.318</w:t>
            </w:r>
          </w:p>
        </w:tc>
        <w:tc>
          <w:tcPr>
            <w:tcW w:w="1029" w:type="dxa"/>
            <w:tcBorders>
              <w:top w:val="single" w:sz="6" w:space="0" w:color="000000"/>
            </w:tcBorders>
          </w:tcPr>
          <w:p>
            <w:pPr>
              <w:pStyle w:val="TableParagraph"/>
              <w:spacing w:line="158" w:lineRule="exact" w:before="12"/>
              <w:ind w:right="176"/>
              <w:jc w:val="right"/>
              <w:rPr>
                <w:sz w:val="15"/>
              </w:rPr>
            </w:pPr>
            <w:r>
              <w:rPr>
                <w:w w:val="64"/>
                <w:sz w:val="15"/>
              </w:rPr>
              <w:t>-</w:t>
            </w:r>
          </w:p>
        </w:tc>
        <w:tc>
          <w:tcPr>
            <w:tcW w:w="743" w:type="dxa"/>
            <w:tcBorders>
              <w:top w:val="single" w:sz="6" w:space="0" w:color="000000"/>
            </w:tcBorders>
          </w:tcPr>
          <w:p>
            <w:pPr>
              <w:pStyle w:val="TableParagraph"/>
              <w:spacing w:line="160" w:lineRule="exact" w:before="10"/>
              <w:ind w:right="67"/>
              <w:jc w:val="right"/>
              <w:rPr>
                <w:rFonts w:ascii="Caladea"/>
                <w:b/>
                <w:sz w:val="15"/>
              </w:rPr>
            </w:pPr>
            <w:r>
              <w:rPr>
                <w:rFonts w:ascii="Caladea"/>
                <w:b/>
                <w:w w:val="70"/>
                <w:sz w:val="15"/>
              </w:rPr>
              <w:t>1.899.318</w:t>
            </w:r>
          </w:p>
        </w:tc>
        <w:tc>
          <w:tcPr>
            <w:tcW w:w="54"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1"/>
              <w:jc w:val="right"/>
              <w:rPr>
                <w:rFonts w:ascii="Caladea"/>
                <w:b/>
                <w:sz w:val="15"/>
              </w:rPr>
            </w:pPr>
            <w:r>
              <w:rPr>
                <w:rFonts w:ascii="Caladea"/>
                <w:b/>
                <w:w w:val="70"/>
                <w:sz w:val="15"/>
              </w:rPr>
              <w:t>1.919.636</w:t>
            </w:r>
          </w:p>
        </w:tc>
        <w:tc>
          <w:tcPr>
            <w:tcW w:w="1029" w:type="dxa"/>
            <w:tcBorders>
              <w:top w:val="single" w:sz="6" w:space="0" w:color="000000"/>
              <w:bottom w:val="single" w:sz="6" w:space="0" w:color="000000"/>
            </w:tcBorders>
          </w:tcPr>
          <w:p>
            <w:pPr>
              <w:pStyle w:val="TableParagraph"/>
              <w:spacing w:line="158" w:lineRule="exact" w:before="12"/>
              <w:ind w:right="175"/>
              <w:jc w:val="right"/>
              <w:rPr>
                <w:sz w:val="15"/>
              </w:rPr>
            </w:pPr>
            <w:r>
              <w:rPr>
                <w:w w:val="64"/>
                <w:sz w:val="15"/>
              </w:rPr>
              <w:t>-</w:t>
            </w:r>
          </w:p>
        </w:tc>
        <w:tc>
          <w:tcPr>
            <w:tcW w:w="743" w:type="dxa"/>
            <w:tcBorders>
              <w:top w:val="single" w:sz="6" w:space="0" w:color="000000"/>
              <w:bottom w:val="single" w:sz="6" w:space="0" w:color="000000"/>
            </w:tcBorders>
          </w:tcPr>
          <w:p>
            <w:pPr>
              <w:pStyle w:val="TableParagraph"/>
              <w:spacing w:line="160" w:lineRule="exact" w:before="10"/>
              <w:ind w:right="66"/>
              <w:jc w:val="right"/>
              <w:rPr>
                <w:rFonts w:ascii="Caladea"/>
                <w:b/>
                <w:sz w:val="15"/>
              </w:rPr>
            </w:pPr>
            <w:r>
              <w:rPr>
                <w:rFonts w:ascii="Caladea"/>
                <w:b/>
                <w:w w:val="70"/>
                <w:sz w:val="15"/>
              </w:rPr>
              <w:t>1.919.636</w:t>
            </w:r>
          </w:p>
        </w:tc>
      </w:tr>
      <w:tr>
        <w:trPr>
          <w:trHeight w:val="190" w:hRule="atLeast"/>
        </w:trPr>
        <w:tc>
          <w:tcPr>
            <w:tcW w:w="3048" w:type="dxa"/>
          </w:tcPr>
          <w:p>
            <w:pPr>
              <w:pStyle w:val="TableParagraph"/>
              <w:rPr>
                <w:rFonts w:ascii="Times New Roman"/>
                <w:sz w:val="10"/>
              </w:rPr>
            </w:pPr>
          </w:p>
        </w:tc>
        <w:tc>
          <w:tcPr>
            <w:tcW w:w="924" w:type="dxa"/>
            <w:tcBorders>
              <w:bottom w:val="single" w:sz="6" w:space="0" w:color="000000"/>
            </w:tcBorders>
          </w:tcPr>
          <w:p>
            <w:pPr>
              <w:pStyle w:val="TableParagraph"/>
              <w:rPr>
                <w:rFonts w:ascii="Times New Roman"/>
                <w:sz w:val="10"/>
              </w:rPr>
            </w:pPr>
          </w:p>
        </w:tc>
        <w:tc>
          <w:tcPr>
            <w:tcW w:w="746" w:type="dxa"/>
            <w:tcBorders>
              <w:bottom w:val="single" w:sz="6" w:space="0" w:color="000000"/>
            </w:tcBorders>
          </w:tcPr>
          <w:p>
            <w:pPr>
              <w:pStyle w:val="TableParagraph"/>
              <w:rPr>
                <w:rFonts w:ascii="Times New Roman"/>
                <w:sz w:val="10"/>
              </w:rPr>
            </w:pPr>
          </w:p>
        </w:tc>
        <w:tc>
          <w:tcPr>
            <w:tcW w:w="759" w:type="dxa"/>
            <w:tcBorders>
              <w:bottom w:val="single" w:sz="6" w:space="0" w:color="000000"/>
            </w:tcBorders>
          </w:tcPr>
          <w:p>
            <w:pPr>
              <w:pStyle w:val="TableParagraph"/>
              <w:rPr>
                <w:rFonts w:ascii="Times New Roman"/>
                <w:sz w:val="10"/>
              </w:rPr>
            </w:pPr>
          </w:p>
        </w:tc>
        <w:tc>
          <w:tcPr>
            <w:tcW w:w="54" w:type="dxa"/>
          </w:tcPr>
          <w:p>
            <w:pPr>
              <w:pStyle w:val="TableParagraph"/>
              <w:rPr>
                <w:rFonts w:ascii="Times New Roman"/>
                <w:sz w:val="10"/>
              </w:rPr>
            </w:pPr>
          </w:p>
        </w:tc>
        <w:tc>
          <w:tcPr>
            <w:tcW w:w="977" w:type="dxa"/>
            <w:tcBorders>
              <w:bottom w:val="single" w:sz="6" w:space="0" w:color="000000"/>
            </w:tcBorders>
          </w:tcPr>
          <w:p>
            <w:pPr>
              <w:pStyle w:val="TableParagraph"/>
              <w:rPr>
                <w:rFonts w:ascii="Times New Roman"/>
                <w:sz w:val="10"/>
              </w:rPr>
            </w:pPr>
          </w:p>
        </w:tc>
        <w:tc>
          <w:tcPr>
            <w:tcW w:w="799" w:type="dxa"/>
            <w:tcBorders>
              <w:bottom w:val="single" w:sz="6" w:space="0" w:color="000000"/>
            </w:tcBorders>
          </w:tcPr>
          <w:p>
            <w:pPr>
              <w:pStyle w:val="TableParagraph"/>
              <w:rPr>
                <w:rFonts w:ascii="Times New Roman"/>
                <w:sz w:val="10"/>
              </w:rPr>
            </w:pPr>
          </w:p>
        </w:tc>
        <w:tc>
          <w:tcPr>
            <w:tcW w:w="758" w:type="dxa"/>
            <w:tcBorders>
              <w:bottom w:val="single" w:sz="6" w:space="0" w:color="000000"/>
            </w:tcBorders>
          </w:tcPr>
          <w:p>
            <w:pPr>
              <w:pStyle w:val="TableParagraph"/>
              <w:rPr>
                <w:rFonts w:ascii="Times New Roman"/>
                <w:sz w:val="10"/>
              </w:rPr>
            </w:pPr>
          </w:p>
        </w:tc>
        <w:tc>
          <w:tcPr>
            <w:tcW w:w="53" w:type="dxa"/>
          </w:tcPr>
          <w:p>
            <w:pPr>
              <w:pStyle w:val="TableParagraph"/>
              <w:rPr>
                <w:rFonts w:ascii="Times New Roman"/>
                <w:sz w:val="10"/>
              </w:rPr>
            </w:pPr>
          </w:p>
        </w:tc>
        <w:tc>
          <w:tcPr>
            <w:tcW w:w="1424" w:type="dxa"/>
            <w:tcBorders>
              <w:bottom w:val="single" w:sz="6" w:space="0" w:color="000000"/>
            </w:tcBorders>
          </w:tcPr>
          <w:p>
            <w:pPr>
              <w:pStyle w:val="TableParagraph"/>
              <w:rPr>
                <w:rFonts w:ascii="Times New Roman"/>
                <w:sz w:val="10"/>
              </w:rPr>
            </w:pPr>
          </w:p>
        </w:tc>
        <w:tc>
          <w:tcPr>
            <w:tcW w:w="1029" w:type="dxa"/>
            <w:tcBorders>
              <w:bottom w:val="single" w:sz="6" w:space="0" w:color="000000"/>
            </w:tcBorders>
          </w:tcPr>
          <w:p>
            <w:pPr>
              <w:pStyle w:val="TableParagraph"/>
              <w:rPr>
                <w:rFonts w:ascii="Times New Roman"/>
                <w:sz w:val="10"/>
              </w:rPr>
            </w:pPr>
          </w:p>
        </w:tc>
        <w:tc>
          <w:tcPr>
            <w:tcW w:w="743" w:type="dxa"/>
            <w:tcBorders>
              <w:bottom w:val="single" w:sz="6" w:space="0" w:color="000000"/>
            </w:tcBorders>
          </w:tcPr>
          <w:p>
            <w:pPr>
              <w:pStyle w:val="TableParagraph"/>
              <w:rPr>
                <w:rFonts w:ascii="Times New Roman"/>
                <w:sz w:val="10"/>
              </w:rPr>
            </w:pPr>
          </w:p>
        </w:tc>
        <w:tc>
          <w:tcPr>
            <w:tcW w:w="54"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rPr>
                <w:rFonts w:ascii="Times New Roman"/>
                <w:sz w:val="10"/>
              </w:rPr>
            </w:pPr>
          </w:p>
        </w:tc>
        <w:tc>
          <w:tcPr>
            <w:tcW w:w="1029" w:type="dxa"/>
            <w:tcBorders>
              <w:top w:val="single" w:sz="6" w:space="0" w:color="000000"/>
              <w:bottom w:val="single" w:sz="6" w:space="0" w:color="000000"/>
            </w:tcBorders>
          </w:tcPr>
          <w:p>
            <w:pPr>
              <w:pStyle w:val="TableParagraph"/>
              <w:rPr>
                <w:rFonts w:ascii="Times New Roman"/>
                <w:sz w:val="10"/>
              </w:rPr>
            </w:pPr>
          </w:p>
        </w:tc>
        <w:tc>
          <w:tcPr>
            <w:tcW w:w="743" w:type="dxa"/>
            <w:tcBorders>
              <w:top w:val="single" w:sz="6" w:space="0" w:color="000000"/>
              <w:bottom w:val="single" w:sz="6" w:space="0" w:color="000000"/>
            </w:tcBorders>
          </w:tcPr>
          <w:p>
            <w:pPr>
              <w:pStyle w:val="TableParagraph"/>
              <w:rPr>
                <w:rFonts w:ascii="Times New Roman"/>
                <w:sz w:val="10"/>
              </w:rPr>
            </w:pPr>
          </w:p>
        </w:tc>
      </w:tr>
      <w:tr>
        <w:trPr>
          <w:trHeight w:val="190" w:hRule="atLeast"/>
        </w:trPr>
        <w:tc>
          <w:tcPr>
            <w:tcW w:w="3048" w:type="dxa"/>
          </w:tcPr>
          <w:p>
            <w:pPr>
              <w:pStyle w:val="TableParagraph"/>
              <w:spacing w:line="160" w:lineRule="exact" w:before="10"/>
              <w:ind w:left="29"/>
              <w:rPr>
                <w:rFonts w:ascii="Caladea"/>
                <w:b/>
                <w:sz w:val="15"/>
              </w:rPr>
            </w:pPr>
            <w:r>
              <w:rPr>
                <w:rFonts w:ascii="Caladea"/>
                <w:b/>
                <w:w w:val="80"/>
                <w:sz w:val="15"/>
              </w:rPr>
              <w:t>Total do Ativo</w:t>
            </w:r>
          </w:p>
        </w:tc>
        <w:tc>
          <w:tcPr>
            <w:tcW w:w="924" w:type="dxa"/>
            <w:tcBorders>
              <w:top w:val="single" w:sz="6" w:space="0" w:color="000000"/>
              <w:bottom w:val="single" w:sz="6" w:space="0" w:color="000000"/>
            </w:tcBorders>
          </w:tcPr>
          <w:p>
            <w:pPr>
              <w:pStyle w:val="TableParagraph"/>
              <w:spacing w:line="160" w:lineRule="exact" w:before="10"/>
              <w:ind w:right="312"/>
              <w:jc w:val="right"/>
              <w:rPr>
                <w:rFonts w:ascii="Caladea"/>
                <w:b/>
                <w:sz w:val="15"/>
              </w:rPr>
            </w:pPr>
            <w:r>
              <w:rPr>
                <w:rFonts w:ascii="Caladea"/>
                <w:b/>
                <w:w w:val="70"/>
                <w:sz w:val="15"/>
              </w:rPr>
              <w:t>711.338</w:t>
            </w:r>
          </w:p>
        </w:tc>
        <w:tc>
          <w:tcPr>
            <w:tcW w:w="746" w:type="dxa"/>
            <w:tcBorders>
              <w:top w:val="single" w:sz="6" w:space="0" w:color="000000"/>
              <w:bottom w:val="single" w:sz="6" w:space="0" w:color="000000"/>
            </w:tcBorders>
          </w:tcPr>
          <w:p>
            <w:pPr>
              <w:pStyle w:val="TableParagraph"/>
              <w:rPr>
                <w:rFonts w:ascii="Times New Roman"/>
                <w:sz w:val="10"/>
              </w:rPr>
            </w:pPr>
          </w:p>
        </w:tc>
        <w:tc>
          <w:tcPr>
            <w:tcW w:w="759" w:type="dxa"/>
            <w:tcBorders>
              <w:top w:val="single" w:sz="6" w:space="0" w:color="000000"/>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858.676</w:t>
            </w:r>
          </w:p>
        </w:tc>
        <w:tc>
          <w:tcPr>
            <w:tcW w:w="54" w:type="dxa"/>
          </w:tcPr>
          <w:p>
            <w:pPr>
              <w:pStyle w:val="TableParagraph"/>
              <w:rPr>
                <w:rFonts w:ascii="Times New Roman"/>
                <w:sz w:val="10"/>
              </w:rPr>
            </w:pPr>
          </w:p>
        </w:tc>
        <w:tc>
          <w:tcPr>
            <w:tcW w:w="977" w:type="dxa"/>
            <w:tcBorders>
              <w:top w:val="single" w:sz="6" w:space="0" w:color="000000"/>
              <w:bottom w:val="single" w:sz="6" w:space="0" w:color="000000"/>
            </w:tcBorders>
          </w:tcPr>
          <w:p>
            <w:pPr>
              <w:pStyle w:val="TableParagraph"/>
              <w:spacing w:line="160" w:lineRule="exact" w:before="10"/>
              <w:ind w:right="367"/>
              <w:jc w:val="right"/>
              <w:rPr>
                <w:rFonts w:ascii="Caladea"/>
                <w:b/>
                <w:sz w:val="15"/>
              </w:rPr>
            </w:pPr>
            <w:r>
              <w:rPr>
                <w:rFonts w:ascii="Caladea"/>
                <w:b/>
                <w:w w:val="70"/>
                <w:sz w:val="15"/>
              </w:rPr>
              <w:t>664.390</w:t>
            </w:r>
          </w:p>
        </w:tc>
        <w:tc>
          <w:tcPr>
            <w:tcW w:w="799" w:type="dxa"/>
            <w:tcBorders>
              <w:top w:val="single" w:sz="6" w:space="0" w:color="000000"/>
              <w:bottom w:val="single" w:sz="6" w:space="0" w:color="000000"/>
            </w:tcBorders>
          </w:tcPr>
          <w:p>
            <w:pPr>
              <w:pStyle w:val="TableParagraph"/>
              <w:rPr>
                <w:rFonts w:ascii="Times New Roman"/>
                <w:sz w:val="10"/>
              </w:rPr>
            </w:pPr>
          </w:p>
        </w:tc>
        <w:tc>
          <w:tcPr>
            <w:tcW w:w="758" w:type="dxa"/>
            <w:tcBorders>
              <w:top w:val="single" w:sz="6" w:space="0" w:color="000000"/>
              <w:bottom w:val="single" w:sz="6" w:space="0" w:color="000000"/>
            </w:tcBorders>
          </w:tcPr>
          <w:p>
            <w:pPr>
              <w:pStyle w:val="TableParagraph"/>
              <w:spacing w:line="160" w:lineRule="exact" w:before="10"/>
              <w:ind w:right="70"/>
              <w:jc w:val="right"/>
              <w:rPr>
                <w:rFonts w:ascii="Caladea"/>
                <w:b/>
                <w:sz w:val="15"/>
              </w:rPr>
            </w:pPr>
            <w:r>
              <w:rPr>
                <w:rFonts w:ascii="Caladea"/>
                <w:b/>
                <w:w w:val="70"/>
                <w:sz w:val="15"/>
              </w:rPr>
              <w:t>778.577</w:t>
            </w:r>
          </w:p>
        </w:tc>
        <w:tc>
          <w:tcPr>
            <w:tcW w:w="53"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2"/>
              <w:jc w:val="right"/>
              <w:rPr>
                <w:rFonts w:ascii="Caladea"/>
                <w:b/>
                <w:sz w:val="15"/>
              </w:rPr>
            </w:pPr>
            <w:r>
              <w:rPr>
                <w:rFonts w:ascii="Caladea"/>
                <w:b/>
                <w:w w:val="70"/>
                <w:sz w:val="15"/>
              </w:rPr>
              <w:t>3.741.671</w:t>
            </w:r>
          </w:p>
        </w:tc>
        <w:tc>
          <w:tcPr>
            <w:tcW w:w="1029" w:type="dxa"/>
            <w:tcBorders>
              <w:top w:val="single" w:sz="6" w:space="0" w:color="000000"/>
              <w:bottom w:val="single" w:sz="6" w:space="0" w:color="000000"/>
            </w:tcBorders>
          </w:tcPr>
          <w:p>
            <w:pPr>
              <w:pStyle w:val="TableParagraph"/>
              <w:spacing w:line="159" w:lineRule="exact" w:before="12"/>
              <w:ind w:right="176"/>
              <w:jc w:val="right"/>
              <w:rPr>
                <w:sz w:val="15"/>
              </w:rPr>
            </w:pPr>
            <w:r>
              <w:rPr>
                <w:w w:val="64"/>
                <w:sz w:val="15"/>
              </w:rPr>
              <w:t>-</w:t>
            </w:r>
          </w:p>
        </w:tc>
        <w:tc>
          <w:tcPr>
            <w:tcW w:w="743" w:type="dxa"/>
            <w:tcBorders>
              <w:top w:val="single" w:sz="6" w:space="0" w:color="000000"/>
              <w:bottom w:val="single" w:sz="6" w:space="0" w:color="000000"/>
            </w:tcBorders>
          </w:tcPr>
          <w:p>
            <w:pPr>
              <w:pStyle w:val="TableParagraph"/>
              <w:spacing w:line="160" w:lineRule="exact" w:before="10"/>
              <w:ind w:right="67"/>
              <w:jc w:val="right"/>
              <w:rPr>
                <w:rFonts w:ascii="Caladea"/>
                <w:b/>
                <w:sz w:val="15"/>
              </w:rPr>
            </w:pPr>
            <w:r>
              <w:rPr>
                <w:rFonts w:ascii="Caladea"/>
                <w:b/>
                <w:w w:val="70"/>
                <w:sz w:val="15"/>
              </w:rPr>
              <w:t>3.741.671</w:t>
            </w:r>
          </w:p>
        </w:tc>
        <w:tc>
          <w:tcPr>
            <w:tcW w:w="54" w:type="dxa"/>
          </w:tcPr>
          <w:p>
            <w:pPr>
              <w:pStyle w:val="TableParagraph"/>
              <w:rPr>
                <w:rFonts w:ascii="Times New Roman"/>
                <w:sz w:val="10"/>
              </w:rPr>
            </w:pPr>
          </w:p>
        </w:tc>
        <w:tc>
          <w:tcPr>
            <w:tcW w:w="1424" w:type="dxa"/>
            <w:tcBorders>
              <w:top w:val="single" w:sz="6" w:space="0" w:color="000000"/>
              <w:bottom w:val="single" w:sz="6" w:space="0" w:color="000000"/>
            </w:tcBorders>
          </w:tcPr>
          <w:p>
            <w:pPr>
              <w:pStyle w:val="TableParagraph"/>
              <w:spacing w:line="160" w:lineRule="exact" w:before="10"/>
              <w:ind w:right="811"/>
              <w:jc w:val="right"/>
              <w:rPr>
                <w:rFonts w:ascii="Caladea"/>
                <w:b/>
                <w:sz w:val="15"/>
              </w:rPr>
            </w:pPr>
            <w:r>
              <w:rPr>
                <w:rFonts w:ascii="Caladea"/>
                <w:b/>
                <w:w w:val="70"/>
                <w:sz w:val="15"/>
              </w:rPr>
              <w:t>3.602.748</w:t>
            </w:r>
          </w:p>
        </w:tc>
        <w:tc>
          <w:tcPr>
            <w:tcW w:w="1029" w:type="dxa"/>
            <w:tcBorders>
              <w:top w:val="single" w:sz="6" w:space="0" w:color="000000"/>
              <w:bottom w:val="single" w:sz="6" w:space="0" w:color="000000"/>
            </w:tcBorders>
          </w:tcPr>
          <w:p>
            <w:pPr>
              <w:pStyle w:val="TableParagraph"/>
              <w:spacing w:line="159" w:lineRule="exact" w:before="12"/>
              <w:ind w:right="175"/>
              <w:jc w:val="right"/>
              <w:rPr>
                <w:sz w:val="15"/>
              </w:rPr>
            </w:pPr>
            <w:r>
              <w:rPr>
                <w:w w:val="64"/>
                <w:sz w:val="15"/>
              </w:rPr>
              <w:t>-</w:t>
            </w:r>
          </w:p>
        </w:tc>
        <w:tc>
          <w:tcPr>
            <w:tcW w:w="743" w:type="dxa"/>
            <w:tcBorders>
              <w:top w:val="single" w:sz="6" w:space="0" w:color="000000"/>
              <w:bottom w:val="single" w:sz="6" w:space="0" w:color="000000"/>
            </w:tcBorders>
          </w:tcPr>
          <w:p>
            <w:pPr>
              <w:pStyle w:val="TableParagraph"/>
              <w:spacing w:line="160" w:lineRule="exact" w:before="10"/>
              <w:ind w:right="66"/>
              <w:jc w:val="right"/>
              <w:rPr>
                <w:rFonts w:ascii="Caladea"/>
                <w:b/>
                <w:sz w:val="15"/>
              </w:rPr>
            </w:pPr>
            <w:r>
              <w:rPr>
                <w:rFonts w:ascii="Caladea"/>
                <w:b/>
                <w:w w:val="70"/>
                <w:sz w:val="15"/>
              </w:rPr>
              <w:t>3.602.748</w:t>
            </w:r>
          </w:p>
        </w:tc>
      </w:tr>
    </w:tbl>
    <w:p>
      <w:pPr>
        <w:spacing w:after="0" w:line="160" w:lineRule="exact"/>
        <w:jc w:val="right"/>
        <w:rPr>
          <w:rFonts w:ascii="Caladea"/>
          <w:sz w:val="15"/>
        </w:rPr>
        <w:sectPr>
          <w:type w:val="continuous"/>
          <w:pgSz w:w="16850" w:h="11910" w:orient="landscape"/>
          <w:pgMar w:top="1600" w:bottom="280" w:left="1020" w:right="1020"/>
        </w:sectPr>
      </w:pPr>
    </w:p>
    <w:p>
      <w:pPr>
        <w:pStyle w:val="Heading5"/>
        <w:numPr>
          <w:ilvl w:val="2"/>
          <w:numId w:val="17"/>
        </w:numPr>
        <w:tabs>
          <w:tab w:pos="965" w:val="left" w:leader="none"/>
          <w:tab w:pos="966" w:val="left" w:leader="none"/>
        </w:tabs>
        <w:spacing w:line="240" w:lineRule="auto" w:before="47" w:after="0"/>
        <w:ind w:left="965" w:right="0" w:hanging="854"/>
        <w:jc w:val="left"/>
      </w:pPr>
      <w:r>
        <w:rPr/>
        <w:t>Passivo</w:t>
      </w:r>
    </w:p>
    <w:p>
      <w:pPr>
        <w:pStyle w:val="BodyText"/>
        <w:rPr>
          <w:rFonts w:ascii="Caladea"/>
          <w:b/>
        </w:rPr>
      </w:pPr>
    </w:p>
    <w:p>
      <w:pPr>
        <w:pStyle w:val="BodyText"/>
        <w:spacing w:before="8"/>
        <w:rPr>
          <w:rFonts w:ascii="Caladea"/>
          <w:b/>
          <w:sz w:val="15"/>
        </w:rPr>
      </w:pPr>
    </w:p>
    <w:p>
      <w:pPr>
        <w:tabs>
          <w:tab w:pos="11153" w:val="left" w:leader="none"/>
        </w:tabs>
        <w:spacing w:before="105"/>
        <w:ind w:left="5338" w:right="0" w:firstLine="0"/>
        <w:jc w:val="left"/>
        <w:rPr>
          <w:rFonts w:ascii="Caladea"/>
          <w:b/>
          <w:sz w:val="13"/>
        </w:rPr>
      </w:pPr>
      <w:r>
        <w:rPr/>
        <w:pict>
          <v:group style="position:absolute;margin-left:209.027756pt;margin-top:13.676722pt;width:576.2pt;height:.6pt;mso-position-horizontal-relative:page;mso-position-vertical-relative:paragraph;z-index:15759360" coordorigin="4181,274" coordsize="11524,12">
            <v:rect style="position:absolute;left:4185;top:273;width:5010;height:12" filled="true" fillcolor="#000000" stroked="false">
              <v:fill type="solid"/>
            </v:rect>
            <v:rect style="position:absolute;left:4180;top:273;width:5019;height:12" filled="true" fillcolor="#000000" stroked="false">
              <v:fill type="solid"/>
            </v:rect>
            <v:rect style="position:absolute;left:9256;top:273;width:6443;height:12" filled="true" fillcolor="#000000" stroked="false">
              <v:fill type="solid"/>
            </v:rect>
            <v:rect style="position:absolute;left:9252;top:273;width:6452;height:12" filled="true" fillcolor="#000000" stroked="false">
              <v:fill type="solid"/>
            </v:rect>
            <w10:wrap type="none"/>
          </v:group>
        </w:pict>
      </w:r>
      <w:r>
        <w:rPr>
          <w:rFonts w:ascii="Caladea"/>
          <w:b/>
          <w:w w:val="85"/>
          <w:sz w:val="13"/>
        </w:rPr>
        <w:t>Controladora</w:t>
        <w:tab/>
      </w:r>
      <w:r>
        <w:rPr>
          <w:rFonts w:ascii="Caladea"/>
          <w:b/>
          <w:w w:val="95"/>
          <w:sz w:val="13"/>
        </w:rPr>
        <w:t>Consolidado</w:t>
      </w:r>
    </w:p>
    <w:p>
      <w:pPr>
        <w:spacing w:after="0"/>
        <w:jc w:val="left"/>
        <w:rPr>
          <w:rFonts w:ascii="Caladea"/>
          <w:sz w:val="13"/>
        </w:rPr>
        <w:sectPr>
          <w:pgSz w:w="16850" w:h="11910" w:orient="landscape"/>
          <w:pgMar w:header="792" w:footer="1269" w:top="1360" w:bottom="1460" w:left="1020" w:right="1020"/>
        </w:sectPr>
      </w:pPr>
    </w:p>
    <w:p>
      <w:pPr>
        <w:spacing w:before="40"/>
        <w:ind w:left="0" w:right="0" w:firstLine="0"/>
        <w:jc w:val="right"/>
        <w:rPr>
          <w:sz w:val="13"/>
        </w:rPr>
      </w:pPr>
      <w:r>
        <w:rPr>
          <w:w w:val="80"/>
          <w:sz w:val="13"/>
        </w:rPr>
        <w:t>Ajuste Atuarial dos</w:t>
      </w:r>
    </w:p>
    <w:p>
      <w:pPr>
        <w:spacing w:before="40"/>
        <w:ind w:left="1626" w:right="0" w:firstLine="0"/>
        <w:jc w:val="left"/>
        <w:rPr>
          <w:sz w:val="13"/>
        </w:rPr>
      </w:pPr>
      <w:r>
        <w:rPr/>
        <w:br w:type="column"/>
      </w:r>
      <w:r>
        <w:rPr>
          <w:w w:val="80"/>
          <w:sz w:val="13"/>
        </w:rPr>
        <w:t>Ajuste Atuarial </w:t>
      </w:r>
      <w:r>
        <w:rPr>
          <w:spacing w:val="-6"/>
          <w:w w:val="80"/>
          <w:sz w:val="13"/>
        </w:rPr>
        <w:t>dos</w:t>
      </w:r>
    </w:p>
    <w:p>
      <w:pPr>
        <w:spacing w:before="40"/>
        <w:ind w:left="1680" w:right="0" w:firstLine="0"/>
        <w:jc w:val="left"/>
        <w:rPr>
          <w:sz w:val="13"/>
        </w:rPr>
      </w:pPr>
      <w:r>
        <w:rPr/>
        <w:br w:type="column"/>
      </w:r>
      <w:r>
        <w:rPr>
          <w:w w:val="80"/>
          <w:sz w:val="13"/>
        </w:rPr>
        <w:t>Ajuste Atuarial </w:t>
      </w:r>
      <w:r>
        <w:rPr>
          <w:spacing w:val="-6"/>
          <w:w w:val="80"/>
          <w:sz w:val="13"/>
        </w:rPr>
        <w:t>dos</w:t>
      </w:r>
    </w:p>
    <w:p>
      <w:pPr>
        <w:spacing w:line="83" w:lineRule="exact" w:before="131"/>
        <w:ind w:left="192" w:right="0" w:firstLine="0"/>
        <w:jc w:val="left"/>
        <w:rPr>
          <w:sz w:val="13"/>
        </w:rPr>
      </w:pPr>
      <w:r>
        <w:rPr/>
        <w:br w:type="column"/>
      </w:r>
      <w:r>
        <w:rPr>
          <w:w w:val="80"/>
          <w:sz w:val="13"/>
        </w:rPr>
        <w:t>Superávit</w:t>
      </w:r>
    </w:p>
    <w:p>
      <w:pPr>
        <w:spacing w:before="40"/>
        <w:ind w:left="1662" w:right="0" w:firstLine="0"/>
        <w:jc w:val="left"/>
        <w:rPr>
          <w:sz w:val="13"/>
        </w:rPr>
      </w:pPr>
      <w:r>
        <w:rPr/>
        <w:br w:type="column"/>
      </w:r>
      <w:r>
        <w:rPr>
          <w:w w:val="80"/>
          <w:sz w:val="13"/>
        </w:rPr>
        <w:t>Ajuste Atuarial </w:t>
      </w:r>
      <w:r>
        <w:rPr>
          <w:spacing w:val="-6"/>
          <w:w w:val="80"/>
          <w:sz w:val="13"/>
        </w:rPr>
        <w:t>dos</w:t>
      </w:r>
    </w:p>
    <w:p>
      <w:pPr>
        <w:spacing w:line="83" w:lineRule="exact" w:before="131"/>
        <w:ind w:left="192" w:right="0" w:firstLine="0"/>
        <w:jc w:val="left"/>
        <w:rPr>
          <w:sz w:val="13"/>
        </w:rPr>
      </w:pPr>
      <w:r>
        <w:rPr/>
        <w:br w:type="column"/>
      </w:r>
      <w:r>
        <w:rPr>
          <w:w w:val="90"/>
          <w:sz w:val="13"/>
        </w:rPr>
        <w:t>Superávit</w:t>
      </w:r>
    </w:p>
    <w:p>
      <w:pPr>
        <w:spacing w:after="0" w:line="83" w:lineRule="exact"/>
        <w:jc w:val="left"/>
        <w:rPr>
          <w:sz w:val="13"/>
        </w:rPr>
        <w:sectPr>
          <w:type w:val="continuous"/>
          <w:pgSz w:w="16850" w:h="11910" w:orient="landscape"/>
          <w:pgMar w:top="1600" w:bottom="280" w:left="1020" w:right="1020"/>
          <w:cols w:num="6" w:equalWidth="0">
            <w:col w:w="4783" w:space="40"/>
            <w:col w:w="2496" w:space="39"/>
            <w:col w:w="2550" w:space="40"/>
            <w:col w:w="641" w:space="40"/>
            <w:col w:w="2532" w:space="40"/>
            <w:col w:w="1609"/>
          </w:cols>
        </w:sectPr>
      </w:pPr>
    </w:p>
    <w:p>
      <w:pPr>
        <w:tabs>
          <w:tab w:pos="3196" w:val="left" w:leader="none"/>
        </w:tabs>
        <w:spacing w:line="103" w:lineRule="auto" w:before="24"/>
        <w:ind w:left="140" w:right="0" w:firstLine="0"/>
        <w:jc w:val="left"/>
        <w:rPr>
          <w:rFonts w:ascii="Caladea" w:hAnsi="Caladea"/>
          <w:b/>
          <w:sz w:val="13"/>
        </w:rPr>
      </w:pPr>
      <w:r>
        <w:rPr>
          <w:rFonts w:ascii="Caladea" w:hAnsi="Caladea"/>
          <w:b/>
          <w:w w:val="90"/>
          <w:sz w:val="13"/>
        </w:rPr>
        <w:t>Passivo</w:t>
        <w:tab/>
        <w:t>31/12/2018</w:t>
      </w:r>
      <w:r>
        <w:rPr>
          <w:rFonts w:ascii="Caladea" w:hAnsi="Caladea"/>
          <w:b/>
          <w:spacing w:val="6"/>
          <w:w w:val="90"/>
          <w:sz w:val="13"/>
        </w:rPr>
        <w:t> </w:t>
      </w:r>
      <w:r>
        <w:rPr>
          <w:w w:val="90"/>
          <w:sz w:val="13"/>
        </w:rPr>
        <w:t>Planos</w:t>
      </w:r>
      <w:r>
        <w:rPr>
          <w:spacing w:val="-26"/>
          <w:w w:val="90"/>
          <w:sz w:val="13"/>
        </w:rPr>
        <w:t> </w:t>
      </w:r>
      <w:r>
        <w:rPr>
          <w:w w:val="90"/>
          <w:sz w:val="13"/>
        </w:rPr>
        <w:t>de</w:t>
      </w:r>
      <w:r>
        <w:rPr>
          <w:spacing w:val="-25"/>
          <w:w w:val="90"/>
          <w:sz w:val="13"/>
        </w:rPr>
        <w:t> </w:t>
      </w:r>
      <w:r>
        <w:rPr>
          <w:w w:val="90"/>
          <w:sz w:val="13"/>
        </w:rPr>
        <w:t>Benefício</w:t>
      </w:r>
      <w:r>
        <w:rPr>
          <w:spacing w:val="10"/>
          <w:w w:val="90"/>
          <w:sz w:val="13"/>
        </w:rPr>
        <w:t> </w:t>
      </w:r>
      <w:r>
        <w:rPr>
          <w:rFonts w:ascii="Caladea" w:hAnsi="Caladea"/>
          <w:b/>
          <w:w w:val="90"/>
          <w:sz w:val="13"/>
        </w:rPr>
        <w:t>31/12/2018</w:t>
      </w:r>
      <w:r>
        <w:rPr>
          <w:rFonts w:ascii="Caladea" w:hAnsi="Caladea"/>
          <w:b/>
          <w:spacing w:val="5"/>
          <w:w w:val="90"/>
          <w:sz w:val="13"/>
        </w:rPr>
        <w:t> </w:t>
      </w:r>
      <w:r>
        <w:rPr>
          <w:rFonts w:ascii="Caladea" w:hAnsi="Caladea"/>
          <w:b/>
          <w:w w:val="90"/>
          <w:sz w:val="13"/>
        </w:rPr>
        <w:t>01/01/2018</w:t>
      </w:r>
      <w:r>
        <w:rPr>
          <w:rFonts w:ascii="Caladea" w:hAnsi="Caladea"/>
          <w:b/>
          <w:spacing w:val="-7"/>
          <w:w w:val="90"/>
          <w:sz w:val="13"/>
        </w:rPr>
        <w:t> </w:t>
      </w:r>
      <w:r>
        <w:rPr>
          <w:w w:val="90"/>
          <w:sz w:val="13"/>
        </w:rPr>
        <w:t>Planos</w:t>
      </w:r>
      <w:r>
        <w:rPr>
          <w:spacing w:val="-26"/>
          <w:w w:val="90"/>
          <w:sz w:val="13"/>
        </w:rPr>
        <w:t> </w:t>
      </w:r>
      <w:r>
        <w:rPr>
          <w:w w:val="90"/>
          <w:sz w:val="13"/>
        </w:rPr>
        <w:t>de</w:t>
      </w:r>
      <w:r>
        <w:rPr>
          <w:spacing w:val="-25"/>
          <w:w w:val="90"/>
          <w:sz w:val="13"/>
        </w:rPr>
        <w:t> </w:t>
      </w:r>
      <w:r>
        <w:rPr>
          <w:w w:val="90"/>
          <w:sz w:val="13"/>
        </w:rPr>
        <w:t>Benefício</w:t>
      </w:r>
      <w:r>
        <w:rPr>
          <w:spacing w:val="-27"/>
          <w:w w:val="90"/>
          <w:sz w:val="13"/>
        </w:rPr>
        <w:t> </w:t>
      </w:r>
      <w:r>
        <w:rPr>
          <w:w w:val="90"/>
          <w:sz w:val="13"/>
        </w:rPr>
        <w:t>Pós</w:t>
      </w:r>
      <w:r>
        <w:rPr>
          <w:spacing w:val="-5"/>
          <w:w w:val="90"/>
          <w:sz w:val="13"/>
        </w:rPr>
        <w:t> </w:t>
      </w:r>
      <w:r>
        <w:rPr>
          <w:rFonts w:ascii="Caladea" w:hAnsi="Caladea"/>
          <w:b/>
          <w:w w:val="90"/>
          <w:sz w:val="13"/>
        </w:rPr>
        <w:t>01/01/2018</w:t>
      </w:r>
      <w:r>
        <w:rPr>
          <w:rFonts w:ascii="Caladea" w:hAnsi="Caladea"/>
          <w:b/>
          <w:spacing w:val="4"/>
          <w:w w:val="90"/>
          <w:sz w:val="13"/>
        </w:rPr>
        <w:t> </w:t>
      </w:r>
      <w:r>
        <w:rPr>
          <w:rFonts w:ascii="Caladea" w:hAnsi="Caladea"/>
          <w:b/>
          <w:w w:val="90"/>
          <w:sz w:val="13"/>
        </w:rPr>
        <w:t>31/12/2018</w:t>
      </w:r>
      <w:r>
        <w:rPr>
          <w:rFonts w:ascii="Caladea" w:hAnsi="Caladea"/>
          <w:b/>
          <w:spacing w:val="-6"/>
          <w:w w:val="90"/>
          <w:sz w:val="13"/>
        </w:rPr>
        <w:t> </w:t>
      </w:r>
      <w:r>
        <w:rPr>
          <w:w w:val="90"/>
          <w:sz w:val="13"/>
        </w:rPr>
        <w:t>Planos</w:t>
      </w:r>
      <w:r>
        <w:rPr>
          <w:spacing w:val="-26"/>
          <w:w w:val="90"/>
          <w:sz w:val="13"/>
        </w:rPr>
        <w:t> </w:t>
      </w:r>
      <w:r>
        <w:rPr>
          <w:w w:val="90"/>
          <w:sz w:val="13"/>
        </w:rPr>
        <w:t>de</w:t>
      </w:r>
      <w:r>
        <w:rPr>
          <w:spacing w:val="-25"/>
          <w:w w:val="90"/>
          <w:sz w:val="13"/>
        </w:rPr>
        <w:t> </w:t>
      </w:r>
      <w:r>
        <w:rPr>
          <w:w w:val="90"/>
          <w:sz w:val="13"/>
        </w:rPr>
        <w:t>Benefício</w:t>
      </w:r>
      <w:r>
        <w:rPr>
          <w:spacing w:val="-27"/>
          <w:w w:val="90"/>
          <w:sz w:val="13"/>
        </w:rPr>
        <w:t> </w:t>
      </w:r>
      <w:r>
        <w:rPr>
          <w:w w:val="90"/>
          <w:sz w:val="13"/>
        </w:rPr>
        <w:t>Pós</w:t>
      </w:r>
      <w:r>
        <w:rPr>
          <w:spacing w:val="-12"/>
          <w:w w:val="90"/>
          <w:sz w:val="13"/>
        </w:rPr>
        <w:t> </w:t>
      </w:r>
      <w:r>
        <w:rPr>
          <w:w w:val="90"/>
          <w:position w:val="-8"/>
          <w:sz w:val="13"/>
        </w:rPr>
        <w:t>Baixa</w:t>
      </w:r>
      <w:r>
        <w:rPr>
          <w:spacing w:val="-25"/>
          <w:w w:val="90"/>
          <w:position w:val="-8"/>
          <w:sz w:val="13"/>
        </w:rPr>
        <w:t> </w:t>
      </w:r>
      <w:r>
        <w:rPr>
          <w:w w:val="90"/>
          <w:position w:val="-8"/>
          <w:sz w:val="13"/>
        </w:rPr>
        <w:t>Renda</w:t>
      </w:r>
      <w:r>
        <w:rPr>
          <w:spacing w:val="4"/>
          <w:w w:val="90"/>
          <w:position w:val="-8"/>
          <w:sz w:val="13"/>
        </w:rPr>
        <w:t> </w:t>
      </w:r>
      <w:r>
        <w:rPr>
          <w:rFonts w:ascii="Caladea" w:hAnsi="Caladea"/>
          <w:b/>
          <w:w w:val="90"/>
          <w:sz w:val="13"/>
        </w:rPr>
        <w:t>31/12/2018</w:t>
      </w:r>
      <w:r>
        <w:rPr>
          <w:rFonts w:ascii="Caladea" w:hAnsi="Caladea"/>
          <w:b/>
          <w:spacing w:val="5"/>
          <w:w w:val="90"/>
          <w:sz w:val="13"/>
        </w:rPr>
        <w:t> </w:t>
      </w:r>
      <w:r>
        <w:rPr>
          <w:rFonts w:ascii="Caladea" w:hAnsi="Caladea"/>
          <w:b/>
          <w:w w:val="90"/>
          <w:sz w:val="13"/>
        </w:rPr>
        <w:t>01/01/2018</w:t>
      </w:r>
      <w:r>
        <w:rPr>
          <w:rFonts w:ascii="Caladea" w:hAnsi="Caladea"/>
          <w:b/>
          <w:spacing w:val="-7"/>
          <w:w w:val="90"/>
          <w:sz w:val="13"/>
        </w:rPr>
        <w:t> </w:t>
      </w:r>
      <w:r>
        <w:rPr>
          <w:w w:val="90"/>
          <w:sz w:val="13"/>
        </w:rPr>
        <w:t>Planos</w:t>
      </w:r>
      <w:r>
        <w:rPr>
          <w:spacing w:val="-26"/>
          <w:w w:val="90"/>
          <w:sz w:val="13"/>
        </w:rPr>
        <w:t> </w:t>
      </w:r>
      <w:r>
        <w:rPr>
          <w:w w:val="90"/>
          <w:sz w:val="13"/>
        </w:rPr>
        <w:t>de</w:t>
      </w:r>
      <w:r>
        <w:rPr>
          <w:spacing w:val="-25"/>
          <w:w w:val="90"/>
          <w:sz w:val="13"/>
        </w:rPr>
        <w:t> </w:t>
      </w:r>
      <w:r>
        <w:rPr>
          <w:w w:val="90"/>
          <w:sz w:val="13"/>
        </w:rPr>
        <w:t>Benefício</w:t>
      </w:r>
      <w:r>
        <w:rPr>
          <w:spacing w:val="-26"/>
          <w:w w:val="90"/>
          <w:sz w:val="13"/>
        </w:rPr>
        <w:t> </w:t>
      </w:r>
      <w:r>
        <w:rPr>
          <w:w w:val="90"/>
          <w:sz w:val="13"/>
        </w:rPr>
        <w:t>Pós</w:t>
      </w:r>
      <w:r>
        <w:rPr>
          <w:spacing w:val="-13"/>
          <w:w w:val="90"/>
          <w:sz w:val="13"/>
        </w:rPr>
        <w:t> </w:t>
      </w:r>
      <w:r>
        <w:rPr>
          <w:w w:val="90"/>
          <w:position w:val="-8"/>
          <w:sz w:val="13"/>
        </w:rPr>
        <w:t>Baixa</w:t>
      </w:r>
      <w:r>
        <w:rPr>
          <w:spacing w:val="-25"/>
          <w:w w:val="90"/>
          <w:position w:val="-8"/>
          <w:sz w:val="13"/>
        </w:rPr>
        <w:t> </w:t>
      </w:r>
      <w:r>
        <w:rPr>
          <w:w w:val="90"/>
          <w:position w:val="-8"/>
          <w:sz w:val="13"/>
        </w:rPr>
        <w:t>Renda</w:t>
      </w:r>
      <w:r>
        <w:rPr>
          <w:spacing w:val="5"/>
          <w:w w:val="90"/>
          <w:position w:val="-8"/>
          <w:sz w:val="13"/>
        </w:rPr>
        <w:t> </w:t>
      </w:r>
      <w:r>
        <w:rPr>
          <w:rFonts w:ascii="Caladea" w:hAnsi="Caladea"/>
          <w:b/>
          <w:w w:val="90"/>
          <w:sz w:val="13"/>
        </w:rPr>
        <w:t>01/01/2018</w:t>
      </w:r>
    </w:p>
    <w:p>
      <w:pPr>
        <w:tabs>
          <w:tab w:pos="4038" w:val="left" w:leader="none"/>
          <w:tab w:pos="5588" w:val="left" w:leader="none"/>
          <w:tab w:pos="6673" w:val="left" w:leader="none"/>
          <w:tab w:pos="8178" w:val="left" w:leader="none"/>
          <w:tab w:pos="9262" w:val="left" w:leader="none"/>
          <w:tab w:pos="11431" w:val="left" w:leader="none"/>
          <w:tab w:pos="12515" w:val="left" w:leader="none"/>
          <w:tab w:pos="14684" w:val="left" w:leader="none"/>
        </w:tabs>
        <w:spacing w:before="8" w:after="22"/>
        <w:ind w:left="3160" w:right="0" w:firstLine="0"/>
        <w:jc w:val="left"/>
        <w:rPr>
          <w:sz w:val="13"/>
        </w:rPr>
      </w:pPr>
      <w:r>
        <w:rPr>
          <w:w w:val="60"/>
          <w:sz w:val="13"/>
          <w:u w:val="single"/>
        </w:rPr>
        <w:t> </w:t>
      </w:r>
      <w:r>
        <w:rPr>
          <w:sz w:val="13"/>
          <w:u w:val="single"/>
        </w:rPr>
        <w:tab/>
      </w:r>
      <w:r>
        <w:rPr>
          <w:w w:val="90"/>
          <w:sz w:val="13"/>
          <w:u w:val="single"/>
        </w:rPr>
        <w:t>Pós</w:t>
      </w:r>
      <w:r>
        <w:rPr>
          <w:spacing w:val="-22"/>
          <w:w w:val="90"/>
          <w:sz w:val="13"/>
          <w:u w:val="single"/>
        </w:rPr>
        <w:t> </w:t>
      </w:r>
      <w:r>
        <w:rPr>
          <w:w w:val="90"/>
          <w:sz w:val="13"/>
          <w:u w:val="single"/>
        </w:rPr>
        <w:t>Emprego</w:t>
        <w:tab/>
        <w:t> </w:t>
        <w:tab/>
        <w:t>Emprego</w:t>
        <w:tab/>
        <w:t> </w:t>
        <w:tab/>
        <w:t>Emprego</w:t>
        <w:tab/>
        <w:t> </w:t>
        <w:tab/>
      </w:r>
      <w:r>
        <w:rPr>
          <w:w w:val="95"/>
          <w:sz w:val="13"/>
          <w:u w:val="single"/>
        </w:rPr>
        <w:t>Emprego</w:t>
      </w:r>
      <w:r>
        <w:rPr>
          <w:sz w:val="13"/>
          <w:u w:val="single"/>
        </w:rPr>
        <w:tab/>
      </w:r>
    </w:p>
    <w:tbl>
      <w:tblPr>
        <w:tblW w:w="0" w:type="auto"/>
        <w:jc w:val="left"/>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48"/>
        <w:gridCol w:w="926"/>
        <w:gridCol w:w="744"/>
        <w:gridCol w:w="759"/>
        <w:gridCol w:w="54"/>
        <w:gridCol w:w="982"/>
        <w:gridCol w:w="796"/>
        <w:gridCol w:w="759"/>
        <w:gridCol w:w="54"/>
        <w:gridCol w:w="957"/>
        <w:gridCol w:w="945"/>
        <w:gridCol w:w="560"/>
        <w:gridCol w:w="737"/>
        <w:gridCol w:w="54"/>
        <w:gridCol w:w="957"/>
        <w:gridCol w:w="945"/>
        <w:gridCol w:w="560"/>
        <w:gridCol w:w="737"/>
      </w:tblGrid>
      <w:tr>
        <w:trPr>
          <w:trHeight w:val="350" w:hRule="atLeast"/>
        </w:trPr>
        <w:tc>
          <w:tcPr>
            <w:tcW w:w="3048" w:type="dxa"/>
          </w:tcPr>
          <w:p>
            <w:pPr>
              <w:pStyle w:val="TableParagraph"/>
              <w:rPr>
                <w:sz w:val="16"/>
              </w:rPr>
            </w:pPr>
          </w:p>
          <w:p>
            <w:pPr>
              <w:pStyle w:val="TableParagraph"/>
              <w:spacing w:line="144" w:lineRule="exact"/>
              <w:ind w:left="28"/>
              <w:rPr>
                <w:rFonts w:ascii="Caladea"/>
                <w:b/>
                <w:sz w:val="13"/>
              </w:rPr>
            </w:pPr>
            <w:r>
              <w:rPr>
                <w:rFonts w:ascii="Caladea"/>
                <w:b/>
                <w:w w:val="95"/>
                <w:sz w:val="13"/>
              </w:rPr>
              <w:t>Circulante</w:t>
            </w:r>
          </w:p>
        </w:tc>
        <w:tc>
          <w:tcPr>
            <w:tcW w:w="926" w:type="dxa"/>
          </w:tcPr>
          <w:p>
            <w:pPr>
              <w:pStyle w:val="TableParagraph"/>
              <w:rPr>
                <w:rFonts w:ascii="Times New Roman"/>
                <w:sz w:val="10"/>
              </w:rPr>
            </w:pPr>
          </w:p>
        </w:tc>
        <w:tc>
          <w:tcPr>
            <w:tcW w:w="1503" w:type="dxa"/>
            <w:gridSpan w:val="2"/>
          </w:tcPr>
          <w:p>
            <w:pPr>
              <w:pStyle w:val="TableParagraph"/>
              <w:spacing w:before="6"/>
              <w:ind w:left="785"/>
              <w:rPr>
                <w:sz w:val="13"/>
              </w:rPr>
            </w:pPr>
            <w:r>
              <w:rPr>
                <w:w w:val="80"/>
                <w:sz w:val="13"/>
              </w:rPr>
              <w:t>Reapresentado</w:t>
            </w: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spacing w:before="6"/>
              <w:ind w:left="836"/>
              <w:rPr>
                <w:sz w:val="13"/>
              </w:rPr>
            </w:pPr>
            <w:r>
              <w:rPr>
                <w:w w:val="80"/>
                <w:sz w:val="13"/>
              </w:rPr>
              <w:t>Reapresentado</w:t>
            </w:r>
          </w:p>
        </w:tc>
        <w:tc>
          <w:tcPr>
            <w:tcW w:w="54" w:type="dxa"/>
          </w:tcPr>
          <w:p>
            <w:pPr>
              <w:pStyle w:val="TableParagraph"/>
              <w:rPr>
                <w:rFonts w:ascii="Times New Roman"/>
                <w:sz w:val="10"/>
              </w:rPr>
            </w:pPr>
          </w:p>
        </w:tc>
        <w:tc>
          <w:tcPr>
            <w:tcW w:w="957" w:type="dxa"/>
          </w:tcPr>
          <w:p>
            <w:pPr>
              <w:pStyle w:val="TableParagraph"/>
              <w:rPr>
                <w:rFonts w:ascii="Times New Roman"/>
                <w:sz w:val="10"/>
              </w:rPr>
            </w:pP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before="6"/>
              <w:ind w:right="15"/>
              <w:jc w:val="right"/>
              <w:rPr>
                <w:sz w:val="13"/>
              </w:rPr>
            </w:pPr>
            <w:r>
              <w:rPr>
                <w:w w:val="80"/>
                <w:sz w:val="13"/>
              </w:rPr>
              <w:t>Reapresentado</w:t>
            </w:r>
          </w:p>
        </w:tc>
        <w:tc>
          <w:tcPr>
            <w:tcW w:w="54" w:type="dxa"/>
          </w:tcPr>
          <w:p>
            <w:pPr>
              <w:pStyle w:val="TableParagraph"/>
              <w:rPr>
                <w:rFonts w:ascii="Times New Roman"/>
                <w:sz w:val="10"/>
              </w:rPr>
            </w:pPr>
          </w:p>
        </w:tc>
        <w:tc>
          <w:tcPr>
            <w:tcW w:w="957" w:type="dxa"/>
          </w:tcPr>
          <w:p>
            <w:pPr>
              <w:pStyle w:val="TableParagraph"/>
              <w:rPr>
                <w:rFonts w:ascii="Times New Roman"/>
                <w:sz w:val="10"/>
              </w:rPr>
            </w:pP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before="6"/>
              <w:ind w:right="15"/>
              <w:jc w:val="right"/>
              <w:rPr>
                <w:sz w:val="13"/>
              </w:rPr>
            </w:pPr>
            <w:r>
              <w:rPr>
                <w:w w:val="80"/>
                <w:sz w:val="13"/>
              </w:rPr>
              <w:t>Reapresentado</w:t>
            </w:r>
          </w:p>
        </w:tc>
      </w:tr>
      <w:tr>
        <w:trPr>
          <w:trHeight w:val="180" w:hRule="atLeast"/>
        </w:trPr>
        <w:tc>
          <w:tcPr>
            <w:tcW w:w="3048" w:type="dxa"/>
          </w:tcPr>
          <w:p>
            <w:pPr>
              <w:pStyle w:val="TableParagraph"/>
              <w:spacing w:line="143" w:lineRule="exact" w:before="17"/>
              <w:ind w:left="28"/>
              <w:rPr>
                <w:sz w:val="13"/>
              </w:rPr>
            </w:pPr>
            <w:r>
              <w:rPr>
                <w:w w:val="90"/>
                <w:sz w:val="13"/>
              </w:rPr>
              <w:t>Fornecedores</w:t>
            </w:r>
          </w:p>
        </w:tc>
        <w:tc>
          <w:tcPr>
            <w:tcW w:w="926" w:type="dxa"/>
          </w:tcPr>
          <w:p>
            <w:pPr>
              <w:pStyle w:val="TableParagraph"/>
              <w:spacing w:line="143" w:lineRule="exact" w:before="17"/>
              <w:ind w:right="318"/>
              <w:jc w:val="right"/>
              <w:rPr>
                <w:sz w:val="13"/>
              </w:rPr>
            </w:pPr>
            <w:r>
              <w:rPr>
                <w:w w:val="80"/>
                <w:sz w:val="13"/>
              </w:rPr>
              <w:t>15.237</w:t>
            </w:r>
          </w:p>
        </w:tc>
        <w:tc>
          <w:tcPr>
            <w:tcW w:w="1503" w:type="dxa"/>
            <w:gridSpan w:val="2"/>
          </w:tcPr>
          <w:p>
            <w:pPr>
              <w:pStyle w:val="TableParagraph"/>
              <w:spacing w:line="143" w:lineRule="exact" w:before="17"/>
              <w:ind w:right="73"/>
              <w:jc w:val="right"/>
              <w:rPr>
                <w:sz w:val="13"/>
              </w:rPr>
            </w:pPr>
            <w:r>
              <w:rPr>
                <w:w w:val="80"/>
                <w:sz w:val="13"/>
              </w:rPr>
              <w:t>15.237</w:t>
            </w:r>
          </w:p>
        </w:tc>
        <w:tc>
          <w:tcPr>
            <w:tcW w:w="54" w:type="dxa"/>
          </w:tcPr>
          <w:p>
            <w:pPr>
              <w:pStyle w:val="TableParagraph"/>
              <w:rPr>
                <w:rFonts w:ascii="Times New Roman"/>
                <w:sz w:val="10"/>
              </w:rPr>
            </w:pPr>
          </w:p>
        </w:tc>
        <w:tc>
          <w:tcPr>
            <w:tcW w:w="982" w:type="dxa"/>
          </w:tcPr>
          <w:p>
            <w:pPr>
              <w:pStyle w:val="TableParagraph"/>
              <w:spacing w:line="143" w:lineRule="exact" w:before="17"/>
              <w:ind w:right="374"/>
              <w:jc w:val="right"/>
              <w:rPr>
                <w:sz w:val="13"/>
              </w:rPr>
            </w:pPr>
            <w:r>
              <w:rPr>
                <w:w w:val="80"/>
                <w:sz w:val="13"/>
              </w:rPr>
              <w:t>8.795</w:t>
            </w:r>
          </w:p>
        </w:tc>
        <w:tc>
          <w:tcPr>
            <w:tcW w:w="1555" w:type="dxa"/>
            <w:gridSpan w:val="2"/>
          </w:tcPr>
          <w:p>
            <w:pPr>
              <w:pStyle w:val="TableParagraph"/>
              <w:spacing w:line="143" w:lineRule="exact" w:before="17"/>
              <w:ind w:right="74"/>
              <w:jc w:val="right"/>
              <w:rPr>
                <w:sz w:val="13"/>
              </w:rPr>
            </w:pPr>
            <w:r>
              <w:rPr>
                <w:w w:val="80"/>
                <w:sz w:val="13"/>
              </w:rPr>
              <w:t>8.795</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488.018</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488.018</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403.602</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403.602</w:t>
            </w:r>
          </w:p>
        </w:tc>
      </w:tr>
      <w:tr>
        <w:trPr>
          <w:trHeight w:val="180" w:hRule="atLeast"/>
        </w:trPr>
        <w:tc>
          <w:tcPr>
            <w:tcW w:w="3048" w:type="dxa"/>
          </w:tcPr>
          <w:p>
            <w:pPr>
              <w:pStyle w:val="TableParagraph"/>
              <w:spacing w:line="143" w:lineRule="exact" w:before="17"/>
              <w:ind w:left="28"/>
              <w:rPr>
                <w:sz w:val="13"/>
              </w:rPr>
            </w:pPr>
            <w:r>
              <w:rPr>
                <w:w w:val="90"/>
                <w:sz w:val="13"/>
              </w:rPr>
              <w:t>Obrigações tributárias</w:t>
            </w:r>
          </w:p>
        </w:tc>
        <w:tc>
          <w:tcPr>
            <w:tcW w:w="926" w:type="dxa"/>
          </w:tcPr>
          <w:p>
            <w:pPr>
              <w:pStyle w:val="TableParagraph"/>
              <w:spacing w:line="143" w:lineRule="exact" w:before="17"/>
              <w:ind w:right="318"/>
              <w:jc w:val="right"/>
              <w:rPr>
                <w:sz w:val="13"/>
              </w:rPr>
            </w:pPr>
            <w:r>
              <w:rPr>
                <w:w w:val="80"/>
                <w:sz w:val="13"/>
              </w:rPr>
              <w:t>5.706</w:t>
            </w:r>
          </w:p>
        </w:tc>
        <w:tc>
          <w:tcPr>
            <w:tcW w:w="1503" w:type="dxa"/>
            <w:gridSpan w:val="2"/>
          </w:tcPr>
          <w:p>
            <w:pPr>
              <w:pStyle w:val="TableParagraph"/>
              <w:spacing w:line="143" w:lineRule="exact" w:before="17"/>
              <w:ind w:right="73"/>
              <w:jc w:val="right"/>
              <w:rPr>
                <w:sz w:val="13"/>
              </w:rPr>
            </w:pPr>
            <w:r>
              <w:rPr>
                <w:w w:val="80"/>
                <w:sz w:val="13"/>
              </w:rPr>
              <w:t>5.706</w:t>
            </w:r>
          </w:p>
        </w:tc>
        <w:tc>
          <w:tcPr>
            <w:tcW w:w="54" w:type="dxa"/>
          </w:tcPr>
          <w:p>
            <w:pPr>
              <w:pStyle w:val="TableParagraph"/>
              <w:rPr>
                <w:rFonts w:ascii="Times New Roman"/>
                <w:sz w:val="10"/>
              </w:rPr>
            </w:pPr>
          </w:p>
        </w:tc>
        <w:tc>
          <w:tcPr>
            <w:tcW w:w="982" w:type="dxa"/>
          </w:tcPr>
          <w:p>
            <w:pPr>
              <w:pStyle w:val="TableParagraph"/>
              <w:spacing w:line="143" w:lineRule="exact" w:before="17"/>
              <w:ind w:right="374"/>
              <w:jc w:val="right"/>
              <w:rPr>
                <w:sz w:val="13"/>
              </w:rPr>
            </w:pPr>
            <w:r>
              <w:rPr>
                <w:w w:val="80"/>
                <w:sz w:val="13"/>
              </w:rPr>
              <w:t>5.488</w:t>
            </w:r>
          </w:p>
        </w:tc>
        <w:tc>
          <w:tcPr>
            <w:tcW w:w="1555" w:type="dxa"/>
            <w:gridSpan w:val="2"/>
          </w:tcPr>
          <w:p>
            <w:pPr>
              <w:pStyle w:val="TableParagraph"/>
              <w:spacing w:line="143" w:lineRule="exact" w:before="17"/>
              <w:ind w:right="74"/>
              <w:jc w:val="right"/>
              <w:rPr>
                <w:sz w:val="13"/>
              </w:rPr>
            </w:pPr>
            <w:r>
              <w:rPr>
                <w:w w:val="80"/>
                <w:sz w:val="13"/>
              </w:rPr>
              <w:t>5.488</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220.970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220.970</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272.157</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272.157</w:t>
            </w:r>
          </w:p>
        </w:tc>
      </w:tr>
      <w:tr>
        <w:trPr>
          <w:trHeight w:val="180" w:hRule="atLeast"/>
        </w:trPr>
        <w:tc>
          <w:tcPr>
            <w:tcW w:w="3048" w:type="dxa"/>
          </w:tcPr>
          <w:p>
            <w:pPr>
              <w:pStyle w:val="TableParagraph"/>
              <w:spacing w:line="143" w:lineRule="exact" w:before="17"/>
              <w:ind w:left="28"/>
              <w:rPr>
                <w:sz w:val="13"/>
              </w:rPr>
            </w:pPr>
            <w:r>
              <w:rPr>
                <w:w w:val="90"/>
                <w:sz w:val="13"/>
              </w:rPr>
              <w:t>Contribuição de iluminação pública</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96.866</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96.866</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79.130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79.130</w:t>
            </w:r>
          </w:p>
        </w:tc>
      </w:tr>
      <w:tr>
        <w:trPr>
          <w:trHeight w:val="180" w:hRule="atLeast"/>
        </w:trPr>
        <w:tc>
          <w:tcPr>
            <w:tcW w:w="3048" w:type="dxa"/>
          </w:tcPr>
          <w:p>
            <w:pPr>
              <w:pStyle w:val="TableParagraph"/>
              <w:spacing w:line="143" w:lineRule="exact" w:before="17"/>
              <w:ind w:left="28"/>
              <w:rPr>
                <w:sz w:val="13"/>
              </w:rPr>
            </w:pPr>
            <w:r>
              <w:rPr>
                <w:w w:val="90"/>
                <w:sz w:val="13"/>
              </w:rPr>
              <w:t>Encargos regulatórios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90.107</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90.107</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101.030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101.030</w:t>
            </w:r>
          </w:p>
        </w:tc>
      </w:tr>
      <w:tr>
        <w:trPr>
          <w:trHeight w:val="180" w:hRule="atLeast"/>
        </w:trPr>
        <w:tc>
          <w:tcPr>
            <w:tcW w:w="3048" w:type="dxa"/>
          </w:tcPr>
          <w:p>
            <w:pPr>
              <w:pStyle w:val="TableParagraph"/>
              <w:spacing w:line="143" w:lineRule="exact" w:before="17"/>
              <w:ind w:left="28"/>
              <w:rPr>
                <w:sz w:val="13"/>
              </w:rPr>
            </w:pPr>
            <w:r>
              <w:rPr>
                <w:w w:val="90"/>
                <w:sz w:val="13"/>
              </w:rPr>
              <w:t>Debêntures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247.778</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247.778</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64.641</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64.641</w:t>
            </w:r>
          </w:p>
        </w:tc>
      </w:tr>
      <w:tr>
        <w:trPr>
          <w:trHeight w:val="180" w:hRule="atLeast"/>
        </w:trPr>
        <w:tc>
          <w:tcPr>
            <w:tcW w:w="3048" w:type="dxa"/>
          </w:tcPr>
          <w:p>
            <w:pPr>
              <w:pStyle w:val="TableParagraph"/>
              <w:spacing w:line="143" w:lineRule="exact" w:before="17"/>
              <w:ind w:left="28"/>
              <w:rPr>
                <w:sz w:val="13"/>
              </w:rPr>
            </w:pPr>
            <w:r>
              <w:rPr>
                <w:w w:val="90"/>
                <w:sz w:val="13"/>
              </w:rPr>
              <w:t>Empréstimos e financiamentos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86.069</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86.069</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125.030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125.030</w:t>
            </w:r>
          </w:p>
        </w:tc>
      </w:tr>
      <w:tr>
        <w:trPr>
          <w:trHeight w:val="180" w:hRule="atLeast"/>
        </w:trPr>
        <w:tc>
          <w:tcPr>
            <w:tcW w:w="3048" w:type="dxa"/>
          </w:tcPr>
          <w:p>
            <w:pPr>
              <w:pStyle w:val="TableParagraph"/>
              <w:spacing w:line="143" w:lineRule="exact" w:before="17"/>
              <w:ind w:left="28"/>
              <w:rPr>
                <w:sz w:val="13"/>
              </w:rPr>
            </w:pPr>
            <w:r>
              <w:rPr>
                <w:w w:val="90"/>
                <w:sz w:val="13"/>
              </w:rPr>
              <w:t>Obrigações societárias</w:t>
            </w:r>
          </w:p>
        </w:tc>
        <w:tc>
          <w:tcPr>
            <w:tcW w:w="926" w:type="dxa"/>
          </w:tcPr>
          <w:p>
            <w:pPr>
              <w:pStyle w:val="TableParagraph"/>
              <w:spacing w:line="143" w:lineRule="exact" w:before="17"/>
              <w:ind w:right="318"/>
              <w:jc w:val="right"/>
              <w:rPr>
                <w:sz w:val="13"/>
              </w:rPr>
            </w:pPr>
            <w:r>
              <w:rPr>
                <w:w w:val="80"/>
                <w:sz w:val="13"/>
              </w:rPr>
              <w:t>5.885</w:t>
            </w:r>
          </w:p>
        </w:tc>
        <w:tc>
          <w:tcPr>
            <w:tcW w:w="1503" w:type="dxa"/>
            <w:gridSpan w:val="2"/>
          </w:tcPr>
          <w:p>
            <w:pPr>
              <w:pStyle w:val="TableParagraph"/>
              <w:spacing w:line="143" w:lineRule="exact" w:before="17"/>
              <w:ind w:right="73"/>
              <w:jc w:val="right"/>
              <w:rPr>
                <w:sz w:val="13"/>
              </w:rPr>
            </w:pPr>
            <w:r>
              <w:rPr>
                <w:w w:val="80"/>
                <w:sz w:val="13"/>
              </w:rPr>
              <w:t>5.885</w:t>
            </w:r>
          </w:p>
        </w:tc>
        <w:tc>
          <w:tcPr>
            <w:tcW w:w="54" w:type="dxa"/>
          </w:tcPr>
          <w:p>
            <w:pPr>
              <w:pStyle w:val="TableParagraph"/>
              <w:rPr>
                <w:rFonts w:ascii="Times New Roman"/>
                <w:sz w:val="10"/>
              </w:rPr>
            </w:pPr>
          </w:p>
        </w:tc>
        <w:tc>
          <w:tcPr>
            <w:tcW w:w="982" w:type="dxa"/>
          </w:tcPr>
          <w:p>
            <w:pPr>
              <w:pStyle w:val="TableParagraph"/>
              <w:spacing w:line="143" w:lineRule="exact" w:before="17"/>
              <w:ind w:right="374"/>
              <w:jc w:val="right"/>
              <w:rPr>
                <w:sz w:val="13"/>
              </w:rPr>
            </w:pPr>
            <w:r>
              <w:rPr>
                <w:w w:val="80"/>
                <w:sz w:val="13"/>
              </w:rPr>
              <w:t>7.741</w:t>
            </w:r>
          </w:p>
        </w:tc>
        <w:tc>
          <w:tcPr>
            <w:tcW w:w="1555" w:type="dxa"/>
            <w:gridSpan w:val="2"/>
          </w:tcPr>
          <w:p>
            <w:pPr>
              <w:pStyle w:val="TableParagraph"/>
              <w:spacing w:line="143" w:lineRule="exact" w:before="17"/>
              <w:ind w:right="74"/>
              <w:jc w:val="right"/>
              <w:rPr>
                <w:sz w:val="13"/>
              </w:rPr>
            </w:pPr>
            <w:r>
              <w:rPr>
                <w:w w:val="80"/>
                <w:sz w:val="13"/>
              </w:rPr>
              <w:t>7.741</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16.744</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16.744</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16.766</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16.766</w:t>
            </w:r>
          </w:p>
        </w:tc>
      </w:tr>
      <w:tr>
        <w:trPr>
          <w:trHeight w:val="180" w:hRule="atLeast"/>
        </w:trPr>
        <w:tc>
          <w:tcPr>
            <w:tcW w:w="3048" w:type="dxa"/>
          </w:tcPr>
          <w:p>
            <w:pPr>
              <w:pStyle w:val="TableParagraph"/>
              <w:spacing w:line="143" w:lineRule="exact" w:before="17"/>
              <w:ind w:left="28"/>
              <w:rPr>
                <w:sz w:val="13"/>
              </w:rPr>
            </w:pPr>
            <w:r>
              <w:rPr>
                <w:w w:val="90"/>
                <w:sz w:val="13"/>
              </w:rPr>
              <w:t>Obrigações sociais e trabalhistas</w:t>
            </w:r>
          </w:p>
        </w:tc>
        <w:tc>
          <w:tcPr>
            <w:tcW w:w="926" w:type="dxa"/>
          </w:tcPr>
          <w:p>
            <w:pPr>
              <w:pStyle w:val="TableParagraph"/>
              <w:spacing w:line="143" w:lineRule="exact" w:before="17"/>
              <w:ind w:right="314"/>
              <w:jc w:val="right"/>
              <w:rPr>
                <w:sz w:val="13"/>
              </w:rPr>
            </w:pPr>
            <w:r>
              <w:rPr>
                <w:w w:val="85"/>
                <w:sz w:val="13"/>
              </w:rPr>
              <w:t>201</w:t>
            </w:r>
          </w:p>
        </w:tc>
        <w:tc>
          <w:tcPr>
            <w:tcW w:w="1503" w:type="dxa"/>
            <w:gridSpan w:val="2"/>
          </w:tcPr>
          <w:p>
            <w:pPr>
              <w:pStyle w:val="TableParagraph"/>
              <w:spacing w:line="143" w:lineRule="exact" w:before="17"/>
              <w:ind w:right="70"/>
              <w:jc w:val="right"/>
              <w:rPr>
                <w:sz w:val="13"/>
              </w:rPr>
            </w:pPr>
            <w:r>
              <w:rPr>
                <w:w w:val="85"/>
                <w:sz w:val="13"/>
              </w:rPr>
              <w:t>201</w:t>
            </w:r>
          </w:p>
        </w:tc>
        <w:tc>
          <w:tcPr>
            <w:tcW w:w="54" w:type="dxa"/>
          </w:tcPr>
          <w:p>
            <w:pPr>
              <w:pStyle w:val="TableParagraph"/>
              <w:rPr>
                <w:rFonts w:ascii="Times New Roman"/>
                <w:sz w:val="10"/>
              </w:rPr>
            </w:pPr>
          </w:p>
        </w:tc>
        <w:tc>
          <w:tcPr>
            <w:tcW w:w="982" w:type="dxa"/>
          </w:tcPr>
          <w:p>
            <w:pPr>
              <w:pStyle w:val="TableParagraph"/>
              <w:spacing w:line="143" w:lineRule="exact" w:before="17"/>
              <w:ind w:right="371"/>
              <w:jc w:val="right"/>
              <w:rPr>
                <w:sz w:val="13"/>
              </w:rPr>
            </w:pPr>
            <w:r>
              <w:rPr>
                <w:w w:val="85"/>
                <w:sz w:val="13"/>
              </w:rPr>
              <w:t>174</w:t>
            </w:r>
          </w:p>
        </w:tc>
        <w:tc>
          <w:tcPr>
            <w:tcW w:w="1555" w:type="dxa"/>
            <w:gridSpan w:val="2"/>
          </w:tcPr>
          <w:p>
            <w:pPr>
              <w:pStyle w:val="TableParagraph"/>
              <w:spacing w:line="143" w:lineRule="exact" w:before="17"/>
              <w:ind w:right="71"/>
              <w:jc w:val="right"/>
              <w:rPr>
                <w:sz w:val="13"/>
              </w:rPr>
            </w:pPr>
            <w:r>
              <w:rPr>
                <w:w w:val="85"/>
                <w:sz w:val="13"/>
              </w:rPr>
              <w:t>174</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25.983</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25.983</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33.746</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33.746</w:t>
            </w:r>
          </w:p>
        </w:tc>
      </w:tr>
      <w:tr>
        <w:trPr>
          <w:trHeight w:val="180" w:hRule="atLeast"/>
        </w:trPr>
        <w:tc>
          <w:tcPr>
            <w:tcW w:w="3048" w:type="dxa"/>
          </w:tcPr>
          <w:p>
            <w:pPr>
              <w:pStyle w:val="TableParagraph"/>
              <w:spacing w:line="143" w:lineRule="exact" w:before="17"/>
              <w:ind w:left="28"/>
              <w:rPr>
                <w:sz w:val="13"/>
              </w:rPr>
            </w:pPr>
            <w:r>
              <w:rPr>
                <w:w w:val="90"/>
                <w:sz w:val="13"/>
              </w:rPr>
              <w:t>Valores a pagar de Parcela "A" e outros itens financeiros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608.361</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608.361</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543.297</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543.297</w:t>
            </w:r>
          </w:p>
        </w:tc>
      </w:tr>
      <w:tr>
        <w:trPr>
          <w:trHeight w:val="180" w:hRule="atLeast"/>
        </w:trPr>
        <w:tc>
          <w:tcPr>
            <w:tcW w:w="3048" w:type="dxa"/>
          </w:tcPr>
          <w:p>
            <w:pPr>
              <w:pStyle w:val="TableParagraph"/>
              <w:spacing w:line="143" w:lineRule="exact" w:before="17"/>
              <w:ind w:left="28"/>
              <w:rPr>
                <w:sz w:val="13"/>
              </w:rPr>
            </w:pPr>
            <w:r>
              <w:rPr>
                <w:w w:val="90"/>
                <w:sz w:val="13"/>
              </w:rPr>
              <w:t>Benefícios pós emprego</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2.814</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2.814</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4.791</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4.791</w:t>
            </w:r>
          </w:p>
        </w:tc>
      </w:tr>
      <w:tr>
        <w:trPr>
          <w:trHeight w:val="180" w:hRule="atLeast"/>
        </w:trPr>
        <w:tc>
          <w:tcPr>
            <w:tcW w:w="3048" w:type="dxa"/>
          </w:tcPr>
          <w:p>
            <w:pPr>
              <w:pStyle w:val="TableParagraph"/>
              <w:spacing w:line="143" w:lineRule="exact" w:before="17"/>
              <w:ind w:left="28"/>
              <w:rPr>
                <w:sz w:val="13"/>
              </w:rPr>
            </w:pPr>
            <w:r>
              <w:rPr>
                <w:w w:val="85"/>
                <w:sz w:val="13"/>
              </w:rPr>
              <w:t>Provisões</w:t>
            </w:r>
            <w:r>
              <w:rPr>
                <w:spacing w:val="-22"/>
                <w:w w:val="85"/>
                <w:sz w:val="13"/>
              </w:rPr>
              <w:t> </w:t>
            </w:r>
            <w:r>
              <w:rPr>
                <w:w w:val="85"/>
                <w:sz w:val="13"/>
              </w:rPr>
              <w:t>para</w:t>
            </w:r>
            <w:r>
              <w:rPr>
                <w:spacing w:val="-21"/>
                <w:w w:val="85"/>
                <w:sz w:val="13"/>
              </w:rPr>
              <w:t> </w:t>
            </w:r>
            <w:r>
              <w:rPr>
                <w:spacing w:val="-2"/>
                <w:w w:val="85"/>
                <w:sz w:val="13"/>
              </w:rPr>
              <w:t>riscos</w:t>
            </w:r>
            <w:r>
              <w:rPr>
                <w:spacing w:val="-22"/>
                <w:w w:val="85"/>
                <w:sz w:val="13"/>
              </w:rPr>
              <w:t> </w:t>
            </w:r>
            <w:r>
              <w:rPr>
                <w:w w:val="85"/>
                <w:sz w:val="13"/>
              </w:rPr>
              <w:t>trabalhistas,</w:t>
            </w:r>
            <w:r>
              <w:rPr>
                <w:spacing w:val="-24"/>
                <w:w w:val="85"/>
                <w:sz w:val="13"/>
              </w:rPr>
              <w:t> </w:t>
            </w:r>
            <w:r>
              <w:rPr>
                <w:w w:val="85"/>
                <w:sz w:val="13"/>
              </w:rPr>
              <w:t>cíveis,</w:t>
            </w:r>
            <w:r>
              <w:rPr>
                <w:spacing w:val="-23"/>
                <w:w w:val="85"/>
                <w:sz w:val="13"/>
              </w:rPr>
              <w:t> </w:t>
            </w:r>
            <w:r>
              <w:rPr>
                <w:w w:val="85"/>
                <w:sz w:val="13"/>
              </w:rPr>
              <w:t>fiscais</w:t>
            </w:r>
            <w:r>
              <w:rPr>
                <w:spacing w:val="-22"/>
                <w:w w:val="85"/>
                <w:sz w:val="13"/>
              </w:rPr>
              <w:t> </w:t>
            </w:r>
            <w:r>
              <w:rPr>
                <w:w w:val="85"/>
                <w:sz w:val="13"/>
              </w:rPr>
              <w:t>e</w:t>
            </w:r>
            <w:r>
              <w:rPr>
                <w:spacing w:val="-21"/>
                <w:w w:val="85"/>
                <w:sz w:val="13"/>
              </w:rPr>
              <w:t> </w:t>
            </w:r>
            <w:r>
              <w:rPr>
                <w:w w:val="85"/>
                <w:sz w:val="13"/>
              </w:rPr>
              <w:t>regulatórios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6.478</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6.478</w:t>
            </w: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4.013</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4.013</w:t>
            </w:r>
          </w:p>
        </w:tc>
      </w:tr>
      <w:tr>
        <w:trPr>
          <w:trHeight w:val="171" w:hRule="atLeast"/>
        </w:trPr>
        <w:tc>
          <w:tcPr>
            <w:tcW w:w="3048" w:type="dxa"/>
          </w:tcPr>
          <w:p>
            <w:pPr>
              <w:pStyle w:val="TableParagraph"/>
              <w:spacing w:line="134" w:lineRule="exact" w:before="17"/>
              <w:ind w:left="28"/>
              <w:rPr>
                <w:sz w:val="13"/>
              </w:rPr>
            </w:pPr>
            <w:r>
              <w:rPr>
                <w:w w:val="90"/>
                <w:sz w:val="13"/>
              </w:rPr>
              <w:t>Demais obrigações</w:t>
            </w:r>
          </w:p>
        </w:tc>
        <w:tc>
          <w:tcPr>
            <w:tcW w:w="926" w:type="dxa"/>
            <w:tcBorders>
              <w:bottom w:val="single" w:sz="6" w:space="0" w:color="000000"/>
            </w:tcBorders>
          </w:tcPr>
          <w:p>
            <w:pPr>
              <w:pStyle w:val="TableParagraph"/>
              <w:spacing w:line="134" w:lineRule="exact" w:before="17"/>
              <w:ind w:right="314"/>
              <w:jc w:val="right"/>
              <w:rPr>
                <w:sz w:val="13"/>
              </w:rPr>
            </w:pPr>
            <w:r>
              <w:rPr>
                <w:w w:val="85"/>
                <w:sz w:val="13"/>
              </w:rPr>
              <w:t>414</w:t>
            </w:r>
          </w:p>
        </w:tc>
        <w:tc>
          <w:tcPr>
            <w:tcW w:w="1503" w:type="dxa"/>
            <w:gridSpan w:val="2"/>
            <w:tcBorders>
              <w:bottom w:val="single" w:sz="6" w:space="0" w:color="000000"/>
            </w:tcBorders>
          </w:tcPr>
          <w:p>
            <w:pPr>
              <w:pStyle w:val="TableParagraph"/>
              <w:spacing w:line="134" w:lineRule="exact" w:before="17"/>
              <w:ind w:right="70"/>
              <w:jc w:val="right"/>
              <w:rPr>
                <w:sz w:val="13"/>
              </w:rPr>
            </w:pPr>
            <w:r>
              <w:rPr>
                <w:w w:val="85"/>
                <w:sz w:val="13"/>
              </w:rPr>
              <w:t>414</w:t>
            </w:r>
          </w:p>
        </w:tc>
        <w:tc>
          <w:tcPr>
            <w:tcW w:w="54" w:type="dxa"/>
          </w:tcPr>
          <w:p>
            <w:pPr>
              <w:pStyle w:val="TableParagraph"/>
              <w:rPr>
                <w:rFonts w:ascii="Times New Roman"/>
                <w:sz w:val="10"/>
              </w:rPr>
            </w:pPr>
          </w:p>
        </w:tc>
        <w:tc>
          <w:tcPr>
            <w:tcW w:w="982" w:type="dxa"/>
            <w:tcBorders>
              <w:bottom w:val="single" w:sz="6" w:space="0" w:color="000000"/>
            </w:tcBorders>
          </w:tcPr>
          <w:p>
            <w:pPr>
              <w:pStyle w:val="TableParagraph"/>
              <w:spacing w:line="134" w:lineRule="exact" w:before="17"/>
              <w:ind w:right="374"/>
              <w:jc w:val="right"/>
              <w:rPr>
                <w:sz w:val="13"/>
              </w:rPr>
            </w:pPr>
            <w:r>
              <w:rPr>
                <w:w w:val="80"/>
                <w:sz w:val="13"/>
              </w:rPr>
              <w:t>1.960</w:t>
            </w:r>
          </w:p>
        </w:tc>
        <w:tc>
          <w:tcPr>
            <w:tcW w:w="1555" w:type="dxa"/>
            <w:gridSpan w:val="2"/>
            <w:tcBorders>
              <w:bottom w:val="single" w:sz="6" w:space="0" w:color="000000"/>
            </w:tcBorders>
          </w:tcPr>
          <w:p>
            <w:pPr>
              <w:pStyle w:val="TableParagraph"/>
              <w:spacing w:line="134" w:lineRule="exact" w:before="17"/>
              <w:ind w:right="74"/>
              <w:jc w:val="right"/>
              <w:rPr>
                <w:sz w:val="13"/>
              </w:rPr>
            </w:pPr>
            <w:r>
              <w:rPr>
                <w:w w:val="80"/>
                <w:sz w:val="13"/>
              </w:rPr>
              <w:t>1.960</w:t>
            </w:r>
          </w:p>
        </w:tc>
        <w:tc>
          <w:tcPr>
            <w:tcW w:w="54" w:type="dxa"/>
          </w:tcPr>
          <w:p>
            <w:pPr>
              <w:pStyle w:val="TableParagraph"/>
              <w:rPr>
                <w:rFonts w:ascii="Times New Roman"/>
                <w:sz w:val="10"/>
              </w:rPr>
            </w:pPr>
          </w:p>
        </w:tc>
        <w:tc>
          <w:tcPr>
            <w:tcW w:w="957" w:type="dxa"/>
            <w:tcBorders>
              <w:bottom w:val="single" w:sz="6" w:space="0" w:color="000000"/>
            </w:tcBorders>
          </w:tcPr>
          <w:p>
            <w:pPr>
              <w:pStyle w:val="TableParagraph"/>
              <w:spacing w:line="134" w:lineRule="exact" w:before="17"/>
              <w:ind w:right="351"/>
              <w:jc w:val="right"/>
              <w:rPr>
                <w:sz w:val="13"/>
              </w:rPr>
            </w:pPr>
            <w:r>
              <w:rPr>
                <w:w w:val="80"/>
                <w:sz w:val="13"/>
              </w:rPr>
              <w:t>38.655</w:t>
            </w:r>
          </w:p>
        </w:tc>
        <w:tc>
          <w:tcPr>
            <w:tcW w:w="945" w:type="dxa"/>
            <w:tcBorders>
              <w:bottom w:val="single" w:sz="6" w:space="0" w:color="000000"/>
            </w:tcBorders>
          </w:tcPr>
          <w:p>
            <w:pPr>
              <w:pStyle w:val="TableParagraph"/>
              <w:rPr>
                <w:rFonts w:ascii="Times New Roman"/>
                <w:sz w:val="10"/>
              </w:rPr>
            </w:pPr>
          </w:p>
        </w:tc>
        <w:tc>
          <w:tcPr>
            <w:tcW w:w="560" w:type="dxa"/>
            <w:tcBorders>
              <w:bottom w:val="single" w:sz="6" w:space="0" w:color="000000"/>
            </w:tcBorders>
          </w:tcPr>
          <w:p>
            <w:pPr>
              <w:pStyle w:val="TableParagraph"/>
              <w:rPr>
                <w:rFonts w:ascii="Times New Roman"/>
                <w:sz w:val="10"/>
              </w:rPr>
            </w:pPr>
          </w:p>
        </w:tc>
        <w:tc>
          <w:tcPr>
            <w:tcW w:w="737" w:type="dxa"/>
            <w:tcBorders>
              <w:bottom w:val="single" w:sz="6" w:space="0" w:color="000000"/>
            </w:tcBorders>
          </w:tcPr>
          <w:p>
            <w:pPr>
              <w:pStyle w:val="TableParagraph"/>
              <w:spacing w:line="134" w:lineRule="exact" w:before="17"/>
              <w:ind w:right="75"/>
              <w:jc w:val="right"/>
              <w:rPr>
                <w:sz w:val="13"/>
              </w:rPr>
            </w:pPr>
            <w:r>
              <w:rPr>
                <w:w w:val="80"/>
                <w:sz w:val="13"/>
              </w:rPr>
              <w:t>38.655</w:t>
            </w:r>
          </w:p>
        </w:tc>
        <w:tc>
          <w:tcPr>
            <w:tcW w:w="54" w:type="dxa"/>
          </w:tcPr>
          <w:p>
            <w:pPr>
              <w:pStyle w:val="TableParagraph"/>
              <w:rPr>
                <w:rFonts w:ascii="Times New Roman"/>
                <w:sz w:val="10"/>
              </w:rPr>
            </w:pPr>
          </w:p>
        </w:tc>
        <w:tc>
          <w:tcPr>
            <w:tcW w:w="957" w:type="dxa"/>
            <w:tcBorders>
              <w:bottom w:val="single" w:sz="6" w:space="0" w:color="000000"/>
            </w:tcBorders>
          </w:tcPr>
          <w:p>
            <w:pPr>
              <w:pStyle w:val="TableParagraph"/>
              <w:spacing w:line="134" w:lineRule="exact" w:before="17"/>
              <w:ind w:right="351"/>
              <w:jc w:val="right"/>
              <w:rPr>
                <w:sz w:val="13"/>
              </w:rPr>
            </w:pPr>
            <w:r>
              <w:rPr>
                <w:w w:val="80"/>
                <w:sz w:val="13"/>
              </w:rPr>
              <w:t>34.523</w:t>
            </w:r>
          </w:p>
        </w:tc>
        <w:tc>
          <w:tcPr>
            <w:tcW w:w="945" w:type="dxa"/>
            <w:tcBorders>
              <w:bottom w:val="single" w:sz="6" w:space="0" w:color="000000"/>
            </w:tcBorders>
          </w:tcPr>
          <w:p>
            <w:pPr>
              <w:pStyle w:val="TableParagraph"/>
              <w:rPr>
                <w:rFonts w:ascii="Times New Roman"/>
                <w:sz w:val="10"/>
              </w:rPr>
            </w:pPr>
          </w:p>
        </w:tc>
        <w:tc>
          <w:tcPr>
            <w:tcW w:w="560" w:type="dxa"/>
            <w:tcBorders>
              <w:bottom w:val="single" w:sz="6" w:space="0" w:color="000000"/>
            </w:tcBorders>
          </w:tcPr>
          <w:p>
            <w:pPr>
              <w:pStyle w:val="TableParagraph"/>
              <w:rPr>
                <w:rFonts w:ascii="Times New Roman"/>
                <w:sz w:val="10"/>
              </w:rPr>
            </w:pPr>
          </w:p>
        </w:tc>
        <w:tc>
          <w:tcPr>
            <w:tcW w:w="737" w:type="dxa"/>
            <w:tcBorders>
              <w:bottom w:val="single" w:sz="6" w:space="0" w:color="000000"/>
            </w:tcBorders>
          </w:tcPr>
          <w:p>
            <w:pPr>
              <w:pStyle w:val="TableParagraph"/>
              <w:spacing w:line="134" w:lineRule="exact" w:before="17"/>
              <w:ind w:left="331"/>
              <w:rPr>
                <w:sz w:val="13"/>
              </w:rPr>
            </w:pPr>
            <w:r>
              <w:rPr>
                <w:w w:val="90"/>
                <w:sz w:val="13"/>
              </w:rPr>
              <w:t>34.523</w:t>
            </w:r>
          </w:p>
        </w:tc>
      </w:tr>
      <w:tr>
        <w:trPr>
          <w:trHeight w:val="165" w:hRule="atLeast"/>
        </w:trPr>
        <w:tc>
          <w:tcPr>
            <w:tcW w:w="3048" w:type="dxa"/>
          </w:tcPr>
          <w:p>
            <w:pPr>
              <w:pStyle w:val="TableParagraph"/>
              <w:spacing w:line="135" w:lineRule="exact" w:before="10"/>
              <w:ind w:left="28"/>
              <w:rPr>
                <w:rFonts w:ascii="Caladea"/>
                <w:b/>
                <w:sz w:val="13"/>
              </w:rPr>
            </w:pPr>
            <w:r>
              <w:rPr>
                <w:rFonts w:ascii="Caladea"/>
                <w:b/>
                <w:w w:val="95"/>
                <w:sz w:val="13"/>
              </w:rPr>
              <w:t>Total do Circulante</w:t>
            </w:r>
          </w:p>
        </w:tc>
        <w:tc>
          <w:tcPr>
            <w:tcW w:w="926" w:type="dxa"/>
            <w:tcBorders>
              <w:top w:val="single" w:sz="6" w:space="0" w:color="000000"/>
              <w:bottom w:val="single" w:sz="6" w:space="0" w:color="000000"/>
            </w:tcBorders>
          </w:tcPr>
          <w:p>
            <w:pPr>
              <w:pStyle w:val="TableParagraph"/>
              <w:spacing w:line="135" w:lineRule="exact" w:before="10"/>
              <w:ind w:right="313"/>
              <w:jc w:val="right"/>
              <w:rPr>
                <w:rFonts w:ascii="Caladea"/>
                <w:b/>
                <w:sz w:val="13"/>
              </w:rPr>
            </w:pPr>
            <w:r>
              <w:rPr>
                <w:rFonts w:ascii="Caladea"/>
                <w:b/>
                <w:w w:val="80"/>
                <w:sz w:val="13"/>
              </w:rPr>
              <w:t>27.443</w:t>
            </w:r>
          </w:p>
        </w:tc>
        <w:tc>
          <w:tcPr>
            <w:tcW w:w="1503" w:type="dxa"/>
            <w:gridSpan w:val="2"/>
            <w:tcBorders>
              <w:top w:val="single" w:sz="6" w:space="0" w:color="000000"/>
              <w:bottom w:val="single" w:sz="6" w:space="0" w:color="000000"/>
            </w:tcBorders>
          </w:tcPr>
          <w:p>
            <w:pPr>
              <w:pStyle w:val="TableParagraph"/>
              <w:spacing w:line="135" w:lineRule="exact" w:before="10"/>
              <w:ind w:right="69"/>
              <w:jc w:val="right"/>
              <w:rPr>
                <w:rFonts w:ascii="Caladea"/>
                <w:b/>
                <w:sz w:val="13"/>
              </w:rPr>
            </w:pPr>
            <w:r>
              <w:rPr>
                <w:rFonts w:ascii="Caladea"/>
                <w:b/>
                <w:w w:val="80"/>
                <w:sz w:val="13"/>
              </w:rPr>
              <w:t>27.443</w:t>
            </w:r>
          </w:p>
        </w:tc>
        <w:tc>
          <w:tcPr>
            <w:tcW w:w="54" w:type="dxa"/>
          </w:tcPr>
          <w:p>
            <w:pPr>
              <w:pStyle w:val="TableParagraph"/>
              <w:rPr>
                <w:rFonts w:ascii="Times New Roman"/>
                <w:sz w:val="10"/>
              </w:rPr>
            </w:pPr>
          </w:p>
        </w:tc>
        <w:tc>
          <w:tcPr>
            <w:tcW w:w="982" w:type="dxa"/>
            <w:tcBorders>
              <w:top w:val="single" w:sz="6" w:space="0" w:color="000000"/>
              <w:bottom w:val="single" w:sz="6" w:space="0" w:color="000000"/>
            </w:tcBorders>
          </w:tcPr>
          <w:p>
            <w:pPr>
              <w:pStyle w:val="TableParagraph"/>
              <w:spacing w:line="135" w:lineRule="exact" w:before="10"/>
              <w:ind w:right="370"/>
              <w:jc w:val="right"/>
              <w:rPr>
                <w:rFonts w:ascii="Caladea"/>
                <w:b/>
                <w:sz w:val="13"/>
              </w:rPr>
            </w:pPr>
            <w:r>
              <w:rPr>
                <w:rFonts w:ascii="Caladea"/>
                <w:b/>
                <w:w w:val="80"/>
                <w:sz w:val="13"/>
              </w:rPr>
              <w:t>24.158</w:t>
            </w:r>
          </w:p>
        </w:tc>
        <w:tc>
          <w:tcPr>
            <w:tcW w:w="1555" w:type="dxa"/>
            <w:gridSpan w:val="2"/>
            <w:tcBorders>
              <w:top w:val="single" w:sz="6" w:space="0" w:color="000000"/>
              <w:bottom w:val="single" w:sz="6" w:space="0" w:color="000000"/>
            </w:tcBorders>
          </w:tcPr>
          <w:p>
            <w:pPr>
              <w:pStyle w:val="TableParagraph"/>
              <w:spacing w:line="135" w:lineRule="exact" w:before="10"/>
              <w:ind w:right="70"/>
              <w:jc w:val="right"/>
              <w:rPr>
                <w:rFonts w:ascii="Caladea"/>
                <w:b/>
                <w:sz w:val="13"/>
              </w:rPr>
            </w:pPr>
            <w:r>
              <w:rPr>
                <w:rFonts w:ascii="Caladea"/>
                <w:b/>
                <w:w w:val="80"/>
                <w:sz w:val="13"/>
              </w:rPr>
              <w:t>24.158</w:t>
            </w:r>
          </w:p>
        </w:tc>
        <w:tc>
          <w:tcPr>
            <w:tcW w:w="54" w:type="dxa"/>
          </w:tcPr>
          <w:p>
            <w:pPr>
              <w:pStyle w:val="TableParagraph"/>
              <w:rPr>
                <w:rFonts w:ascii="Times New Roman"/>
                <w:sz w:val="10"/>
              </w:rPr>
            </w:pPr>
          </w:p>
        </w:tc>
        <w:tc>
          <w:tcPr>
            <w:tcW w:w="957" w:type="dxa"/>
            <w:tcBorders>
              <w:top w:val="single" w:sz="6" w:space="0" w:color="000000"/>
              <w:bottom w:val="single" w:sz="6" w:space="0" w:color="000000"/>
            </w:tcBorders>
          </w:tcPr>
          <w:p>
            <w:pPr>
              <w:pStyle w:val="TableParagraph"/>
              <w:spacing w:line="135" w:lineRule="exact" w:before="10"/>
              <w:ind w:right="347"/>
              <w:jc w:val="right"/>
              <w:rPr>
                <w:rFonts w:ascii="Caladea"/>
                <w:b/>
                <w:sz w:val="13"/>
              </w:rPr>
            </w:pPr>
            <w:r>
              <w:rPr>
                <w:rFonts w:ascii="Caladea"/>
                <w:b/>
                <w:w w:val="80"/>
                <w:sz w:val="13"/>
              </w:rPr>
              <w:t>1.928.843</w:t>
            </w:r>
          </w:p>
        </w:tc>
        <w:tc>
          <w:tcPr>
            <w:tcW w:w="945" w:type="dxa"/>
            <w:tcBorders>
              <w:top w:val="single" w:sz="6" w:space="0" w:color="000000"/>
              <w:bottom w:val="single" w:sz="6" w:space="0" w:color="000000"/>
            </w:tcBorders>
          </w:tcPr>
          <w:p>
            <w:pPr>
              <w:pStyle w:val="TableParagraph"/>
              <w:rPr>
                <w:rFonts w:ascii="Times New Roman"/>
                <w:sz w:val="10"/>
              </w:rPr>
            </w:pPr>
          </w:p>
        </w:tc>
        <w:tc>
          <w:tcPr>
            <w:tcW w:w="560" w:type="dxa"/>
            <w:tcBorders>
              <w:top w:val="single" w:sz="6" w:space="0" w:color="000000"/>
              <w:bottom w:val="single" w:sz="6" w:space="0" w:color="000000"/>
            </w:tcBorders>
          </w:tcPr>
          <w:p>
            <w:pPr>
              <w:pStyle w:val="TableParagraph"/>
              <w:spacing w:line="134" w:lineRule="exact" w:before="11"/>
              <w:ind w:left="148"/>
              <w:jc w:val="center"/>
              <w:rPr>
                <w:sz w:val="13"/>
              </w:rPr>
            </w:pPr>
            <w:r>
              <w:rPr>
                <w:w w:val="74"/>
                <w:sz w:val="13"/>
              </w:rPr>
              <w:t>-</w:t>
            </w:r>
          </w:p>
        </w:tc>
        <w:tc>
          <w:tcPr>
            <w:tcW w:w="737" w:type="dxa"/>
            <w:tcBorders>
              <w:top w:val="single" w:sz="6" w:space="0" w:color="000000"/>
              <w:bottom w:val="single" w:sz="6" w:space="0" w:color="000000"/>
            </w:tcBorders>
          </w:tcPr>
          <w:p>
            <w:pPr>
              <w:pStyle w:val="TableParagraph"/>
              <w:spacing w:line="135" w:lineRule="exact" w:before="10"/>
              <w:ind w:right="71"/>
              <w:jc w:val="right"/>
              <w:rPr>
                <w:rFonts w:ascii="Caladea"/>
                <w:b/>
                <w:sz w:val="13"/>
              </w:rPr>
            </w:pPr>
            <w:r>
              <w:rPr>
                <w:rFonts w:ascii="Caladea"/>
                <w:b/>
                <w:w w:val="80"/>
                <w:sz w:val="13"/>
              </w:rPr>
              <w:t>1.928.843</w:t>
            </w:r>
          </w:p>
        </w:tc>
        <w:tc>
          <w:tcPr>
            <w:tcW w:w="54" w:type="dxa"/>
          </w:tcPr>
          <w:p>
            <w:pPr>
              <w:pStyle w:val="TableParagraph"/>
              <w:rPr>
                <w:rFonts w:ascii="Times New Roman"/>
                <w:sz w:val="10"/>
              </w:rPr>
            </w:pPr>
          </w:p>
        </w:tc>
        <w:tc>
          <w:tcPr>
            <w:tcW w:w="957" w:type="dxa"/>
            <w:tcBorders>
              <w:top w:val="single" w:sz="6" w:space="0" w:color="000000"/>
              <w:bottom w:val="single" w:sz="6" w:space="0" w:color="000000"/>
            </w:tcBorders>
          </w:tcPr>
          <w:p>
            <w:pPr>
              <w:pStyle w:val="TableParagraph"/>
              <w:spacing w:line="135" w:lineRule="exact" w:before="10"/>
              <w:ind w:right="347"/>
              <w:jc w:val="right"/>
              <w:rPr>
                <w:rFonts w:ascii="Caladea"/>
                <w:b/>
                <w:sz w:val="13"/>
              </w:rPr>
            </w:pPr>
            <w:r>
              <w:rPr>
                <w:rFonts w:ascii="Caladea"/>
                <w:b/>
                <w:w w:val="80"/>
                <w:sz w:val="13"/>
              </w:rPr>
              <w:t>1.682.726</w:t>
            </w:r>
          </w:p>
        </w:tc>
        <w:tc>
          <w:tcPr>
            <w:tcW w:w="945" w:type="dxa"/>
            <w:tcBorders>
              <w:top w:val="single" w:sz="6" w:space="0" w:color="000000"/>
              <w:bottom w:val="single" w:sz="6" w:space="0" w:color="000000"/>
            </w:tcBorders>
          </w:tcPr>
          <w:p>
            <w:pPr>
              <w:pStyle w:val="TableParagraph"/>
              <w:rPr>
                <w:rFonts w:ascii="Times New Roman"/>
                <w:sz w:val="10"/>
              </w:rPr>
            </w:pPr>
          </w:p>
        </w:tc>
        <w:tc>
          <w:tcPr>
            <w:tcW w:w="560" w:type="dxa"/>
            <w:tcBorders>
              <w:top w:val="single" w:sz="6" w:space="0" w:color="000000"/>
              <w:bottom w:val="single" w:sz="6" w:space="0" w:color="000000"/>
            </w:tcBorders>
          </w:tcPr>
          <w:p>
            <w:pPr>
              <w:pStyle w:val="TableParagraph"/>
              <w:spacing w:line="134" w:lineRule="exact" w:before="11"/>
              <w:ind w:left="147"/>
              <w:jc w:val="center"/>
              <w:rPr>
                <w:sz w:val="13"/>
              </w:rPr>
            </w:pPr>
            <w:r>
              <w:rPr>
                <w:w w:val="74"/>
                <w:sz w:val="13"/>
              </w:rPr>
              <w:t>-</w:t>
            </w:r>
          </w:p>
        </w:tc>
        <w:tc>
          <w:tcPr>
            <w:tcW w:w="737" w:type="dxa"/>
            <w:tcBorders>
              <w:top w:val="single" w:sz="6" w:space="0" w:color="000000"/>
              <w:bottom w:val="single" w:sz="6" w:space="0" w:color="000000"/>
            </w:tcBorders>
          </w:tcPr>
          <w:p>
            <w:pPr>
              <w:pStyle w:val="TableParagraph"/>
              <w:spacing w:line="135" w:lineRule="exact" w:before="10"/>
              <w:ind w:left="170"/>
              <w:rPr>
                <w:rFonts w:ascii="Caladea"/>
                <w:b/>
                <w:sz w:val="13"/>
              </w:rPr>
            </w:pPr>
            <w:r>
              <w:rPr>
                <w:rFonts w:ascii="Caladea"/>
                <w:b/>
                <w:w w:val="90"/>
                <w:sz w:val="13"/>
              </w:rPr>
              <w:t>1.682.726</w:t>
            </w:r>
          </w:p>
        </w:tc>
      </w:tr>
      <w:tr>
        <w:trPr>
          <w:trHeight w:val="534" w:hRule="atLeast"/>
        </w:trPr>
        <w:tc>
          <w:tcPr>
            <w:tcW w:w="3048" w:type="dxa"/>
          </w:tcPr>
          <w:p>
            <w:pPr>
              <w:pStyle w:val="TableParagraph"/>
              <w:spacing w:before="4"/>
              <w:rPr>
                <w:sz w:val="16"/>
              </w:rPr>
            </w:pPr>
          </w:p>
          <w:p>
            <w:pPr>
              <w:pStyle w:val="TableParagraph"/>
              <w:ind w:left="28"/>
              <w:rPr>
                <w:rFonts w:ascii="Caladea" w:hAnsi="Caladea"/>
                <w:b/>
                <w:sz w:val="13"/>
              </w:rPr>
            </w:pPr>
            <w:r>
              <w:rPr>
                <w:rFonts w:ascii="Caladea" w:hAnsi="Caladea"/>
                <w:b/>
                <w:w w:val="95"/>
                <w:sz w:val="13"/>
              </w:rPr>
              <w:t>Não Circulante</w:t>
            </w:r>
          </w:p>
          <w:p>
            <w:pPr>
              <w:pStyle w:val="TableParagraph"/>
              <w:spacing w:line="143" w:lineRule="exact" w:before="30"/>
              <w:ind w:left="28"/>
              <w:rPr>
                <w:sz w:val="13"/>
              </w:rPr>
            </w:pPr>
            <w:r>
              <w:rPr>
                <w:w w:val="90"/>
                <w:sz w:val="13"/>
              </w:rPr>
              <w:t>Fornecedores</w:t>
            </w:r>
          </w:p>
        </w:tc>
        <w:tc>
          <w:tcPr>
            <w:tcW w:w="926" w:type="dxa"/>
            <w:tcBorders>
              <w:top w:val="single" w:sz="6" w:space="0" w:color="000000"/>
            </w:tcBorders>
          </w:tcPr>
          <w:p>
            <w:pPr>
              <w:pStyle w:val="TableParagraph"/>
              <w:rPr>
                <w:rFonts w:ascii="Times New Roman"/>
                <w:sz w:val="10"/>
              </w:rPr>
            </w:pPr>
          </w:p>
        </w:tc>
        <w:tc>
          <w:tcPr>
            <w:tcW w:w="1503" w:type="dxa"/>
            <w:gridSpan w:val="2"/>
            <w:tcBorders>
              <w:top w:val="single" w:sz="6" w:space="0" w:color="000000"/>
            </w:tcBorders>
          </w:tcPr>
          <w:p>
            <w:pPr>
              <w:pStyle w:val="TableParagraph"/>
              <w:rPr>
                <w:rFonts w:ascii="Times New Roman"/>
                <w:sz w:val="10"/>
              </w:rPr>
            </w:pPr>
          </w:p>
        </w:tc>
        <w:tc>
          <w:tcPr>
            <w:tcW w:w="54" w:type="dxa"/>
          </w:tcPr>
          <w:p>
            <w:pPr>
              <w:pStyle w:val="TableParagraph"/>
              <w:rPr>
                <w:rFonts w:ascii="Times New Roman"/>
                <w:sz w:val="10"/>
              </w:rPr>
            </w:pPr>
          </w:p>
        </w:tc>
        <w:tc>
          <w:tcPr>
            <w:tcW w:w="982" w:type="dxa"/>
            <w:tcBorders>
              <w:top w:val="single" w:sz="6" w:space="0" w:color="000000"/>
            </w:tcBorders>
          </w:tcPr>
          <w:p>
            <w:pPr>
              <w:pStyle w:val="TableParagraph"/>
              <w:rPr>
                <w:rFonts w:ascii="Times New Roman"/>
                <w:sz w:val="10"/>
              </w:rPr>
            </w:pPr>
          </w:p>
        </w:tc>
        <w:tc>
          <w:tcPr>
            <w:tcW w:w="1555" w:type="dxa"/>
            <w:gridSpan w:val="2"/>
            <w:tcBorders>
              <w:top w:val="single" w:sz="6" w:space="0" w:color="000000"/>
            </w:tcBorders>
          </w:tcPr>
          <w:p>
            <w:pPr>
              <w:pStyle w:val="TableParagraph"/>
              <w:rPr>
                <w:rFonts w:ascii="Times New Roman"/>
                <w:sz w:val="10"/>
              </w:rPr>
            </w:pPr>
          </w:p>
        </w:tc>
        <w:tc>
          <w:tcPr>
            <w:tcW w:w="54" w:type="dxa"/>
          </w:tcPr>
          <w:p>
            <w:pPr>
              <w:pStyle w:val="TableParagraph"/>
              <w:rPr>
                <w:rFonts w:ascii="Times New Roman"/>
                <w:sz w:val="10"/>
              </w:rPr>
            </w:pPr>
          </w:p>
        </w:tc>
        <w:tc>
          <w:tcPr>
            <w:tcW w:w="957"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342"/>
              <w:jc w:val="right"/>
              <w:rPr>
                <w:sz w:val="13"/>
              </w:rPr>
            </w:pPr>
            <w:r>
              <w:rPr>
                <w:w w:val="80"/>
                <w:sz w:val="13"/>
              </w:rPr>
              <w:t>36.830</w:t>
            </w:r>
          </w:p>
        </w:tc>
        <w:tc>
          <w:tcPr>
            <w:tcW w:w="945" w:type="dxa"/>
            <w:tcBorders>
              <w:top w:val="single" w:sz="6" w:space="0" w:color="000000"/>
            </w:tcBorders>
          </w:tcPr>
          <w:p>
            <w:pPr>
              <w:pStyle w:val="TableParagraph"/>
              <w:rPr>
                <w:rFonts w:ascii="Times New Roman"/>
                <w:sz w:val="10"/>
              </w:rPr>
            </w:pPr>
          </w:p>
        </w:tc>
        <w:tc>
          <w:tcPr>
            <w:tcW w:w="560" w:type="dxa"/>
            <w:tcBorders>
              <w:top w:val="single" w:sz="6" w:space="0" w:color="000000"/>
            </w:tcBorders>
          </w:tcPr>
          <w:p>
            <w:pPr>
              <w:pStyle w:val="TableParagraph"/>
              <w:rPr>
                <w:rFonts w:ascii="Times New Roman"/>
                <w:sz w:val="10"/>
              </w:rPr>
            </w:pPr>
          </w:p>
        </w:tc>
        <w:tc>
          <w:tcPr>
            <w:tcW w:w="737"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75"/>
              <w:jc w:val="right"/>
              <w:rPr>
                <w:sz w:val="13"/>
              </w:rPr>
            </w:pPr>
            <w:r>
              <w:rPr>
                <w:w w:val="80"/>
                <w:sz w:val="13"/>
              </w:rPr>
              <w:t>36.830</w:t>
            </w:r>
          </w:p>
        </w:tc>
        <w:tc>
          <w:tcPr>
            <w:tcW w:w="54" w:type="dxa"/>
          </w:tcPr>
          <w:p>
            <w:pPr>
              <w:pStyle w:val="TableParagraph"/>
              <w:rPr>
                <w:rFonts w:ascii="Times New Roman"/>
                <w:sz w:val="10"/>
              </w:rPr>
            </w:pPr>
          </w:p>
        </w:tc>
        <w:tc>
          <w:tcPr>
            <w:tcW w:w="957" w:type="dxa"/>
            <w:tcBorders>
              <w:top w:val="single" w:sz="6" w:space="0" w:color="000000"/>
            </w:tcBorders>
          </w:tcPr>
          <w:p>
            <w:pPr>
              <w:pStyle w:val="TableParagraph"/>
              <w:rPr>
                <w:rFonts w:ascii="Times New Roman"/>
                <w:sz w:val="10"/>
              </w:rPr>
            </w:pPr>
          </w:p>
        </w:tc>
        <w:tc>
          <w:tcPr>
            <w:tcW w:w="945" w:type="dxa"/>
            <w:tcBorders>
              <w:top w:val="single" w:sz="6" w:space="0" w:color="000000"/>
            </w:tcBorders>
          </w:tcPr>
          <w:p>
            <w:pPr>
              <w:pStyle w:val="TableParagraph"/>
              <w:rPr>
                <w:rFonts w:ascii="Times New Roman"/>
                <w:sz w:val="10"/>
              </w:rPr>
            </w:pPr>
          </w:p>
        </w:tc>
        <w:tc>
          <w:tcPr>
            <w:tcW w:w="560" w:type="dxa"/>
            <w:tcBorders>
              <w:top w:val="single" w:sz="6" w:space="0" w:color="000000"/>
            </w:tcBorders>
          </w:tcPr>
          <w:p>
            <w:pPr>
              <w:pStyle w:val="TableParagraph"/>
              <w:rPr>
                <w:rFonts w:ascii="Times New Roman"/>
                <w:sz w:val="10"/>
              </w:rPr>
            </w:pPr>
          </w:p>
        </w:tc>
        <w:tc>
          <w:tcPr>
            <w:tcW w:w="737" w:type="dxa"/>
            <w:tcBorders>
              <w:top w:val="single" w:sz="6" w:space="0" w:color="000000"/>
            </w:tcBorders>
          </w:tcPr>
          <w:p>
            <w:pPr>
              <w:pStyle w:val="TableParagraph"/>
              <w:rPr>
                <w:rFonts w:ascii="Times New Roman"/>
                <w:sz w:val="10"/>
              </w:rPr>
            </w:pPr>
          </w:p>
        </w:tc>
      </w:tr>
      <w:tr>
        <w:trPr>
          <w:trHeight w:val="180" w:hRule="atLeast"/>
        </w:trPr>
        <w:tc>
          <w:tcPr>
            <w:tcW w:w="3048" w:type="dxa"/>
          </w:tcPr>
          <w:p>
            <w:pPr>
              <w:pStyle w:val="TableParagraph"/>
              <w:spacing w:line="143" w:lineRule="exact" w:before="17"/>
              <w:ind w:left="28"/>
              <w:rPr>
                <w:sz w:val="13"/>
              </w:rPr>
            </w:pPr>
            <w:r>
              <w:rPr>
                <w:w w:val="90"/>
                <w:sz w:val="13"/>
              </w:rPr>
              <w:t>Obrigações tributárias</w:t>
            </w:r>
          </w:p>
        </w:tc>
        <w:tc>
          <w:tcPr>
            <w:tcW w:w="926" w:type="dxa"/>
          </w:tcPr>
          <w:p>
            <w:pPr>
              <w:pStyle w:val="TableParagraph"/>
              <w:spacing w:line="143" w:lineRule="exact" w:before="17"/>
              <w:ind w:right="309"/>
              <w:jc w:val="right"/>
              <w:rPr>
                <w:sz w:val="13"/>
              </w:rPr>
            </w:pPr>
            <w:r>
              <w:rPr>
                <w:w w:val="80"/>
                <w:sz w:val="13"/>
              </w:rPr>
              <w:t>96.781</w:t>
            </w:r>
          </w:p>
        </w:tc>
        <w:tc>
          <w:tcPr>
            <w:tcW w:w="1503" w:type="dxa"/>
            <w:gridSpan w:val="2"/>
          </w:tcPr>
          <w:p>
            <w:pPr>
              <w:pStyle w:val="TableParagraph"/>
              <w:spacing w:line="143" w:lineRule="exact" w:before="17"/>
              <w:ind w:right="73"/>
              <w:jc w:val="right"/>
              <w:rPr>
                <w:sz w:val="13"/>
              </w:rPr>
            </w:pPr>
            <w:r>
              <w:rPr>
                <w:w w:val="80"/>
                <w:sz w:val="13"/>
              </w:rPr>
              <w:t>96.781</w:t>
            </w:r>
          </w:p>
        </w:tc>
        <w:tc>
          <w:tcPr>
            <w:tcW w:w="54" w:type="dxa"/>
          </w:tcPr>
          <w:p>
            <w:pPr>
              <w:pStyle w:val="TableParagraph"/>
              <w:rPr>
                <w:rFonts w:ascii="Times New Roman"/>
                <w:sz w:val="10"/>
              </w:rPr>
            </w:pPr>
          </w:p>
        </w:tc>
        <w:tc>
          <w:tcPr>
            <w:tcW w:w="982" w:type="dxa"/>
          </w:tcPr>
          <w:p>
            <w:pPr>
              <w:pStyle w:val="TableParagraph"/>
              <w:spacing w:line="143" w:lineRule="exact" w:before="17"/>
              <w:ind w:right="367"/>
              <w:jc w:val="right"/>
              <w:rPr>
                <w:sz w:val="13"/>
              </w:rPr>
            </w:pPr>
            <w:r>
              <w:rPr>
                <w:w w:val="80"/>
                <w:sz w:val="13"/>
              </w:rPr>
              <w:t>97.270</w:t>
            </w:r>
          </w:p>
        </w:tc>
        <w:tc>
          <w:tcPr>
            <w:tcW w:w="1555" w:type="dxa"/>
            <w:gridSpan w:val="2"/>
          </w:tcPr>
          <w:p>
            <w:pPr>
              <w:pStyle w:val="TableParagraph"/>
              <w:spacing w:line="143" w:lineRule="exact" w:before="17"/>
              <w:ind w:right="75"/>
              <w:jc w:val="right"/>
              <w:rPr>
                <w:sz w:val="13"/>
              </w:rPr>
            </w:pPr>
            <w:r>
              <w:rPr>
                <w:w w:val="80"/>
                <w:sz w:val="13"/>
              </w:rPr>
              <w:t>97.270</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322.356</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322.356</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297.869</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297.869</w:t>
            </w:r>
          </w:p>
        </w:tc>
      </w:tr>
      <w:tr>
        <w:trPr>
          <w:trHeight w:val="180" w:hRule="atLeast"/>
        </w:trPr>
        <w:tc>
          <w:tcPr>
            <w:tcW w:w="3048" w:type="dxa"/>
          </w:tcPr>
          <w:p>
            <w:pPr>
              <w:pStyle w:val="TableParagraph"/>
              <w:spacing w:line="143" w:lineRule="exact" w:before="17"/>
              <w:ind w:left="28"/>
              <w:rPr>
                <w:sz w:val="13"/>
              </w:rPr>
            </w:pPr>
            <w:r>
              <w:rPr>
                <w:w w:val="90"/>
                <w:sz w:val="13"/>
              </w:rPr>
              <w:t>Contribuição de iluminação pública</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3.393</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3.393</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42.494</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42.494</w:t>
            </w:r>
          </w:p>
        </w:tc>
      </w:tr>
      <w:tr>
        <w:trPr>
          <w:trHeight w:val="180" w:hRule="atLeast"/>
        </w:trPr>
        <w:tc>
          <w:tcPr>
            <w:tcW w:w="3048" w:type="dxa"/>
          </w:tcPr>
          <w:p>
            <w:pPr>
              <w:pStyle w:val="TableParagraph"/>
              <w:spacing w:line="143" w:lineRule="exact" w:before="17"/>
              <w:ind w:left="28"/>
              <w:rPr>
                <w:sz w:val="13"/>
              </w:rPr>
            </w:pPr>
            <w:r>
              <w:rPr>
                <w:w w:val="90"/>
                <w:sz w:val="13"/>
              </w:rPr>
              <w:t>Debêntures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15.019</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15.019</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61.987</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61.987</w:t>
            </w:r>
          </w:p>
        </w:tc>
      </w:tr>
      <w:tr>
        <w:trPr>
          <w:trHeight w:val="180" w:hRule="atLeast"/>
        </w:trPr>
        <w:tc>
          <w:tcPr>
            <w:tcW w:w="3048" w:type="dxa"/>
          </w:tcPr>
          <w:p>
            <w:pPr>
              <w:pStyle w:val="TableParagraph"/>
              <w:spacing w:line="143" w:lineRule="exact" w:before="17"/>
              <w:ind w:left="28"/>
              <w:rPr>
                <w:sz w:val="13"/>
              </w:rPr>
            </w:pPr>
            <w:r>
              <w:rPr>
                <w:w w:val="90"/>
                <w:sz w:val="13"/>
              </w:rPr>
              <w:t>Empréstimos e financiamentos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188.194</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188.194</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255.312</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268"/>
              <w:rPr>
                <w:sz w:val="13"/>
              </w:rPr>
            </w:pPr>
            <w:r>
              <w:rPr>
                <w:w w:val="90"/>
                <w:sz w:val="13"/>
              </w:rPr>
              <w:t>255.312</w:t>
            </w:r>
          </w:p>
        </w:tc>
      </w:tr>
      <w:tr>
        <w:trPr>
          <w:trHeight w:val="180" w:hRule="atLeast"/>
        </w:trPr>
        <w:tc>
          <w:tcPr>
            <w:tcW w:w="3048" w:type="dxa"/>
          </w:tcPr>
          <w:p>
            <w:pPr>
              <w:pStyle w:val="TableParagraph"/>
              <w:spacing w:line="143" w:lineRule="exact" w:before="17"/>
              <w:ind w:left="28"/>
              <w:rPr>
                <w:sz w:val="13"/>
              </w:rPr>
            </w:pPr>
            <w:r>
              <w:rPr>
                <w:w w:val="90"/>
                <w:sz w:val="13"/>
              </w:rPr>
              <w:t>Benefícios pós emprego</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204.345</w:t>
            </w:r>
          </w:p>
        </w:tc>
        <w:tc>
          <w:tcPr>
            <w:tcW w:w="945" w:type="dxa"/>
          </w:tcPr>
          <w:p>
            <w:pPr>
              <w:pStyle w:val="TableParagraph"/>
              <w:spacing w:line="143" w:lineRule="exact" w:before="17"/>
              <w:ind w:right="123"/>
              <w:jc w:val="right"/>
              <w:rPr>
                <w:sz w:val="13"/>
              </w:rPr>
            </w:pPr>
            <w:r>
              <w:rPr>
                <w:w w:val="85"/>
                <w:sz w:val="13"/>
              </w:rPr>
              <w:t>(147.338)</w:t>
            </w: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57.007</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166.427</w:t>
            </w:r>
          </w:p>
        </w:tc>
        <w:tc>
          <w:tcPr>
            <w:tcW w:w="945" w:type="dxa"/>
          </w:tcPr>
          <w:p>
            <w:pPr>
              <w:pStyle w:val="TableParagraph"/>
              <w:spacing w:line="143" w:lineRule="exact" w:before="17"/>
              <w:ind w:left="339"/>
              <w:rPr>
                <w:sz w:val="13"/>
              </w:rPr>
            </w:pPr>
            <w:r>
              <w:rPr>
                <w:w w:val="95"/>
                <w:sz w:val="13"/>
              </w:rPr>
              <w:t>(114.187)</w:t>
            </w: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52.240</w:t>
            </w:r>
          </w:p>
        </w:tc>
      </w:tr>
      <w:tr>
        <w:trPr>
          <w:trHeight w:val="180" w:hRule="atLeast"/>
        </w:trPr>
        <w:tc>
          <w:tcPr>
            <w:tcW w:w="3048" w:type="dxa"/>
          </w:tcPr>
          <w:p>
            <w:pPr>
              <w:pStyle w:val="TableParagraph"/>
              <w:spacing w:line="143" w:lineRule="exact" w:before="17"/>
              <w:ind w:left="28"/>
              <w:rPr>
                <w:sz w:val="13"/>
              </w:rPr>
            </w:pPr>
            <w:r>
              <w:rPr>
                <w:w w:val="90"/>
                <w:sz w:val="13"/>
              </w:rPr>
              <w:t>Encargos regulatórios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178.915</w:t>
            </w:r>
          </w:p>
        </w:tc>
        <w:tc>
          <w:tcPr>
            <w:tcW w:w="945" w:type="dxa"/>
          </w:tcPr>
          <w:p>
            <w:pPr>
              <w:pStyle w:val="TableParagraph"/>
              <w:rPr>
                <w:rFonts w:ascii="Times New Roman"/>
                <w:sz w:val="10"/>
              </w:rPr>
            </w:pPr>
          </w:p>
        </w:tc>
        <w:tc>
          <w:tcPr>
            <w:tcW w:w="560" w:type="dxa"/>
          </w:tcPr>
          <w:p>
            <w:pPr>
              <w:pStyle w:val="TableParagraph"/>
              <w:spacing w:line="143" w:lineRule="exact" w:before="17"/>
              <w:ind w:right="20"/>
              <w:jc w:val="right"/>
              <w:rPr>
                <w:sz w:val="13"/>
              </w:rPr>
            </w:pPr>
            <w:r>
              <w:rPr>
                <w:w w:val="80"/>
                <w:sz w:val="13"/>
              </w:rPr>
              <w:t>(78.795)</w:t>
            </w:r>
          </w:p>
        </w:tc>
        <w:tc>
          <w:tcPr>
            <w:tcW w:w="737" w:type="dxa"/>
          </w:tcPr>
          <w:p>
            <w:pPr>
              <w:pStyle w:val="TableParagraph"/>
              <w:spacing w:line="143" w:lineRule="exact" w:before="17"/>
              <w:ind w:right="75"/>
              <w:jc w:val="right"/>
              <w:rPr>
                <w:sz w:val="13"/>
              </w:rPr>
            </w:pPr>
            <w:r>
              <w:rPr>
                <w:w w:val="80"/>
                <w:sz w:val="13"/>
              </w:rPr>
              <w:t>100.120</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168.748</w:t>
            </w:r>
          </w:p>
        </w:tc>
        <w:tc>
          <w:tcPr>
            <w:tcW w:w="945" w:type="dxa"/>
          </w:tcPr>
          <w:p>
            <w:pPr>
              <w:pStyle w:val="TableParagraph"/>
              <w:rPr>
                <w:rFonts w:ascii="Times New Roman"/>
                <w:sz w:val="10"/>
              </w:rPr>
            </w:pPr>
          </w:p>
        </w:tc>
        <w:tc>
          <w:tcPr>
            <w:tcW w:w="560" w:type="dxa"/>
          </w:tcPr>
          <w:p>
            <w:pPr>
              <w:pStyle w:val="TableParagraph"/>
              <w:spacing w:line="143" w:lineRule="exact" w:before="17"/>
              <w:ind w:left="103" w:right="5"/>
              <w:jc w:val="center"/>
              <w:rPr>
                <w:sz w:val="13"/>
              </w:rPr>
            </w:pPr>
            <w:r>
              <w:rPr>
                <w:w w:val="85"/>
                <w:sz w:val="13"/>
              </w:rPr>
              <w:t>(74.036)</w:t>
            </w:r>
          </w:p>
        </w:tc>
        <w:tc>
          <w:tcPr>
            <w:tcW w:w="737" w:type="dxa"/>
          </w:tcPr>
          <w:p>
            <w:pPr>
              <w:pStyle w:val="TableParagraph"/>
              <w:spacing w:line="143" w:lineRule="exact" w:before="17"/>
              <w:ind w:left="331"/>
              <w:rPr>
                <w:sz w:val="13"/>
              </w:rPr>
            </w:pPr>
            <w:r>
              <w:rPr>
                <w:w w:val="90"/>
                <w:sz w:val="13"/>
              </w:rPr>
              <w:t>94.712</w:t>
            </w:r>
          </w:p>
        </w:tc>
      </w:tr>
      <w:tr>
        <w:trPr>
          <w:trHeight w:val="180" w:hRule="atLeast"/>
        </w:trPr>
        <w:tc>
          <w:tcPr>
            <w:tcW w:w="3048" w:type="dxa"/>
          </w:tcPr>
          <w:p>
            <w:pPr>
              <w:pStyle w:val="TableParagraph"/>
              <w:spacing w:line="143" w:lineRule="exact" w:before="17"/>
              <w:ind w:left="28"/>
              <w:rPr>
                <w:sz w:val="13"/>
              </w:rPr>
            </w:pPr>
            <w:r>
              <w:rPr>
                <w:w w:val="85"/>
                <w:sz w:val="13"/>
              </w:rPr>
              <w:t>Provisões</w:t>
            </w:r>
            <w:r>
              <w:rPr>
                <w:spacing w:val="-22"/>
                <w:w w:val="85"/>
                <w:sz w:val="13"/>
              </w:rPr>
              <w:t> </w:t>
            </w:r>
            <w:r>
              <w:rPr>
                <w:w w:val="85"/>
                <w:sz w:val="13"/>
              </w:rPr>
              <w:t>para</w:t>
            </w:r>
            <w:r>
              <w:rPr>
                <w:spacing w:val="-21"/>
                <w:w w:val="85"/>
                <w:sz w:val="13"/>
              </w:rPr>
              <w:t> </w:t>
            </w:r>
            <w:r>
              <w:rPr>
                <w:spacing w:val="-2"/>
                <w:w w:val="85"/>
                <w:sz w:val="13"/>
              </w:rPr>
              <w:t>riscos</w:t>
            </w:r>
            <w:r>
              <w:rPr>
                <w:spacing w:val="-22"/>
                <w:w w:val="85"/>
                <w:sz w:val="13"/>
              </w:rPr>
              <w:t> </w:t>
            </w:r>
            <w:r>
              <w:rPr>
                <w:w w:val="85"/>
                <w:sz w:val="13"/>
              </w:rPr>
              <w:t>trabalhistas,</w:t>
            </w:r>
            <w:r>
              <w:rPr>
                <w:spacing w:val="-24"/>
                <w:w w:val="85"/>
                <w:sz w:val="13"/>
              </w:rPr>
              <w:t> </w:t>
            </w:r>
            <w:r>
              <w:rPr>
                <w:w w:val="85"/>
                <w:sz w:val="13"/>
              </w:rPr>
              <w:t>cíveis,</w:t>
            </w:r>
            <w:r>
              <w:rPr>
                <w:spacing w:val="-23"/>
                <w:w w:val="85"/>
                <w:sz w:val="13"/>
              </w:rPr>
              <w:t> </w:t>
            </w:r>
            <w:r>
              <w:rPr>
                <w:w w:val="85"/>
                <w:sz w:val="13"/>
              </w:rPr>
              <w:t>fiscais</w:t>
            </w:r>
            <w:r>
              <w:rPr>
                <w:spacing w:val="-22"/>
                <w:w w:val="85"/>
                <w:sz w:val="13"/>
              </w:rPr>
              <w:t> </w:t>
            </w:r>
            <w:r>
              <w:rPr>
                <w:w w:val="85"/>
                <w:sz w:val="13"/>
              </w:rPr>
              <w:t>e</w:t>
            </w:r>
            <w:r>
              <w:rPr>
                <w:spacing w:val="-21"/>
                <w:w w:val="85"/>
                <w:sz w:val="13"/>
              </w:rPr>
              <w:t> </w:t>
            </w:r>
            <w:r>
              <w:rPr>
                <w:w w:val="85"/>
                <w:sz w:val="13"/>
              </w:rPr>
              <w:t>regulatórios</w:t>
            </w:r>
          </w:p>
        </w:tc>
        <w:tc>
          <w:tcPr>
            <w:tcW w:w="926" w:type="dxa"/>
          </w:tcPr>
          <w:p>
            <w:pPr>
              <w:pStyle w:val="TableParagraph"/>
              <w:spacing w:line="143" w:lineRule="exact" w:before="17"/>
              <w:ind w:right="308"/>
              <w:jc w:val="right"/>
              <w:rPr>
                <w:sz w:val="13"/>
              </w:rPr>
            </w:pPr>
            <w:r>
              <w:rPr>
                <w:w w:val="87"/>
                <w:sz w:val="13"/>
              </w:rPr>
              <w:t>1</w:t>
            </w:r>
          </w:p>
        </w:tc>
        <w:tc>
          <w:tcPr>
            <w:tcW w:w="1503" w:type="dxa"/>
            <w:gridSpan w:val="2"/>
          </w:tcPr>
          <w:p>
            <w:pPr>
              <w:pStyle w:val="TableParagraph"/>
              <w:spacing w:line="143" w:lineRule="exact" w:before="17"/>
              <w:ind w:right="73"/>
              <w:jc w:val="right"/>
              <w:rPr>
                <w:sz w:val="13"/>
              </w:rPr>
            </w:pPr>
            <w:r>
              <w:rPr>
                <w:w w:val="87"/>
                <w:sz w:val="13"/>
              </w:rPr>
              <w:t>1</w:t>
            </w:r>
          </w:p>
        </w:tc>
        <w:tc>
          <w:tcPr>
            <w:tcW w:w="54" w:type="dxa"/>
          </w:tcPr>
          <w:p>
            <w:pPr>
              <w:pStyle w:val="TableParagraph"/>
              <w:rPr>
                <w:rFonts w:ascii="Times New Roman"/>
                <w:sz w:val="10"/>
              </w:rPr>
            </w:pPr>
          </w:p>
        </w:tc>
        <w:tc>
          <w:tcPr>
            <w:tcW w:w="982" w:type="dxa"/>
          </w:tcPr>
          <w:p>
            <w:pPr>
              <w:pStyle w:val="TableParagraph"/>
              <w:spacing w:line="143" w:lineRule="exact" w:before="17"/>
              <w:ind w:right="362"/>
              <w:jc w:val="right"/>
              <w:rPr>
                <w:sz w:val="13"/>
              </w:rPr>
            </w:pPr>
            <w:r>
              <w:rPr>
                <w:w w:val="85"/>
                <w:sz w:val="13"/>
              </w:rPr>
              <w:t>96</w:t>
            </w:r>
          </w:p>
        </w:tc>
        <w:tc>
          <w:tcPr>
            <w:tcW w:w="1555" w:type="dxa"/>
            <w:gridSpan w:val="2"/>
          </w:tcPr>
          <w:p>
            <w:pPr>
              <w:pStyle w:val="TableParagraph"/>
              <w:spacing w:line="143" w:lineRule="exact" w:before="17"/>
              <w:ind w:right="71"/>
              <w:jc w:val="right"/>
              <w:rPr>
                <w:sz w:val="13"/>
              </w:rPr>
            </w:pPr>
            <w:r>
              <w:rPr>
                <w:w w:val="85"/>
                <w:sz w:val="13"/>
              </w:rPr>
              <w:t>96</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44.294</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44.294</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75.166</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75.166</w:t>
            </w:r>
          </w:p>
        </w:tc>
      </w:tr>
      <w:tr>
        <w:trPr>
          <w:trHeight w:val="180" w:hRule="atLeast"/>
        </w:trPr>
        <w:tc>
          <w:tcPr>
            <w:tcW w:w="3048" w:type="dxa"/>
          </w:tcPr>
          <w:p>
            <w:pPr>
              <w:pStyle w:val="TableParagraph"/>
              <w:spacing w:line="143" w:lineRule="exact" w:before="17"/>
              <w:ind w:left="28"/>
              <w:rPr>
                <w:sz w:val="13"/>
              </w:rPr>
            </w:pPr>
            <w:r>
              <w:rPr>
                <w:w w:val="90"/>
                <w:sz w:val="13"/>
              </w:rPr>
              <w:t>Obrigações vinculadas a concessão</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3.400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3.400</w:t>
            </w:r>
          </w:p>
        </w:tc>
        <w:tc>
          <w:tcPr>
            <w:tcW w:w="54" w:type="dxa"/>
          </w:tcPr>
          <w:p>
            <w:pPr>
              <w:pStyle w:val="TableParagraph"/>
              <w:rPr>
                <w:rFonts w:ascii="Times New Roman"/>
                <w:sz w:val="10"/>
              </w:rPr>
            </w:pPr>
          </w:p>
        </w:tc>
        <w:tc>
          <w:tcPr>
            <w:tcW w:w="957" w:type="dxa"/>
          </w:tcPr>
          <w:p>
            <w:pPr>
              <w:pStyle w:val="TableParagraph"/>
              <w:spacing w:line="143" w:lineRule="exact" w:before="17"/>
              <w:ind w:right="342"/>
              <w:jc w:val="right"/>
              <w:rPr>
                <w:sz w:val="13"/>
              </w:rPr>
            </w:pPr>
            <w:r>
              <w:rPr>
                <w:w w:val="80"/>
                <w:sz w:val="13"/>
              </w:rPr>
              <w:t>65.420</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left="331"/>
              <w:rPr>
                <w:sz w:val="13"/>
              </w:rPr>
            </w:pPr>
            <w:r>
              <w:rPr>
                <w:w w:val="90"/>
                <w:sz w:val="13"/>
              </w:rPr>
              <w:t>65.420</w:t>
            </w:r>
          </w:p>
        </w:tc>
      </w:tr>
      <w:tr>
        <w:trPr>
          <w:trHeight w:val="169" w:hRule="atLeast"/>
        </w:trPr>
        <w:tc>
          <w:tcPr>
            <w:tcW w:w="3048" w:type="dxa"/>
          </w:tcPr>
          <w:p>
            <w:pPr>
              <w:pStyle w:val="TableParagraph"/>
              <w:spacing w:line="132" w:lineRule="exact" w:before="17"/>
              <w:ind w:left="28"/>
              <w:rPr>
                <w:sz w:val="13"/>
              </w:rPr>
            </w:pPr>
            <w:r>
              <w:rPr>
                <w:w w:val="90"/>
                <w:sz w:val="13"/>
              </w:rPr>
              <w:t>Valores a pagar de Parcela "A" e outros itens financeiros</w:t>
            </w:r>
          </w:p>
        </w:tc>
        <w:tc>
          <w:tcPr>
            <w:tcW w:w="926" w:type="dxa"/>
          </w:tcPr>
          <w:p>
            <w:pPr>
              <w:pStyle w:val="TableParagraph"/>
              <w:rPr>
                <w:rFonts w:ascii="Times New Roman"/>
                <w:sz w:val="10"/>
              </w:rPr>
            </w:pPr>
          </w:p>
        </w:tc>
        <w:tc>
          <w:tcPr>
            <w:tcW w:w="1503"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1555" w:type="dxa"/>
            <w:gridSpan w:val="2"/>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32" w:lineRule="exact" w:before="17"/>
              <w:ind w:right="342"/>
              <w:jc w:val="right"/>
              <w:rPr>
                <w:sz w:val="13"/>
              </w:rPr>
            </w:pPr>
            <w:r>
              <w:rPr>
                <w:w w:val="80"/>
                <w:sz w:val="13"/>
              </w:rPr>
              <w:t>17.643</w:t>
            </w:r>
          </w:p>
        </w:tc>
        <w:tc>
          <w:tcPr>
            <w:tcW w:w="945" w:type="dxa"/>
          </w:tcPr>
          <w:p>
            <w:pPr>
              <w:pStyle w:val="TableParagraph"/>
              <w:rPr>
                <w:rFonts w:ascii="Times New Roman"/>
                <w:sz w:val="10"/>
              </w:rPr>
            </w:pPr>
          </w:p>
        </w:tc>
        <w:tc>
          <w:tcPr>
            <w:tcW w:w="560" w:type="dxa"/>
          </w:tcPr>
          <w:p>
            <w:pPr>
              <w:pStyle w:val="TableParagraph"/>
              <w:spacing w:line="132" w:lineRule="exact" w:before="17"/>
              <w:ind w:right="64"/>
              <w:jc w:val="right"/>
              <w:rPr>
                <w:sz w:val="13"/>
              </w:rPr>
            </w:pPr>
            <w:r>
              <w:rPr>
                <w:w w:val="80"/>
                <w:sz w:val="13"/>
              </w:rPr>
              <w:t>78.795</w:t>
            </w:r>
          </w:p>
        </w:tc>
        <w:tc>
          <w:tcPr>
            <w:tcW w:w="737" w:type="dxa"/>
          </w:tcPr>
          <w:p>
            <w:pPr>
              <w:pStyle w:val="TableParagraph"/>
              <w:spacing w:line="132" w:lineRule="exact" w:before="17"/>
              <w:ind w:right="75"/>
              <w:jc w:val="right"/>
              <w:rPr>
                <w:sz w:val="13"/>
              </w:rPr>
            </w:pPr>
            <w:r>
              <w:rPr>
                <w:w w:val="80"/>
                <w:sz w:val="13"/>
              </w:rPr>
              <w:t>96.438</w:t>
            </w:r>
          </w:p>
        </w:tc>
        <w:tc>
          <w:tcPr>
            <w:tcW w:w="54" w:type="dxa"/>
          </w:tcPr>
          <w:p>
            <w:pPr>
              <w:pStyle w:val="TableParagraph"/>
              <w:rPr>
                <w:rFonts w:ascii="Times New Roman"/>
                <w:sz w:val="10"/>
              </w:rPr>
            </w:pPr>
          </w:p>
        </w:tc>
        <w:tc>
          <w:tcPr>
            <w:tcW w:w="957" w:type="dxa"/>
          </w:tcPr>
          <w:p>
            <w:pPr>
              <w:pStyle w:val="TableParagraph"/>
              <w:spacing w:line="132" w:lineRule="exact" w:before="17"/>
              <w:ind w:right="342"/>
              <w:jc w:val="right"/>
              <w:rPr>
                <w:sz w:val="13"/>
              </w:rPr>
            </w:pPr>
            <w:r>
              <w:rPr>
                <w:w w:val="80"/>
                <w:sz w:val="13"/>
              </w:rPr>
              <w:t>32.563</w:t>
            </w:r>
          </w:p>
        </w:tc>
        <w:tc>
          <w:tcPr>
            <w:tcW w:w="945" w:type="dxa"/>
          </w:tcPr>
          <w:p>
            <w:pPr>
              <w:pStyle w:val="TableParagraph"/>
              <w:rPr>
                <w:rFonts w:ascii="Times New Roman"/>
                <w:sz w:val="10"/>
              </w:rPr>
            </w:pPr>
          </w:p>
        </w:tc>
        <w:tc>
          <w:tcPr>
            <w:tcW w:w="560" w:type="dxa"/>
          </w:tcPr>
          <w:p>
            <w:pPr>
              <w:pStyle w:val="TableParagraph"/>
              <w:spacing w:line="132" w:lineRule="exact" w:before="17"/>
              <w:ind w:left="103" w:right="4"/>
              <w:jc w:val="center"/>
              <w:rPr>
                <w:sz w:val="13"/>
              </w:rPr>
            </w:pPr>
            <w:r>
              <w:rPr>
                <w:w w:val="90"/>
                <w:sz w:val="13"/>
              </w:rPr>
              <w:t>74.036</w:t>
            </w:r>
          </w:p>
        </w:tc>
        <w:tc>
          <w:tcPr>
            <w:tcW w:w="737" w:type="dxa"/>
          </w:tcPr>
          <w:p>
            <w:pPr>
              <w:pStyle w:val="TableParagraph"/>
              <w:spacing w:line="132" w:lineRule="exact" w:before="17"/>
              <w:ind w:left="268"/>
              <w:rPr>
                <w:sz w:val="13"/>
              </w:rPr>
            </w:pPr>
            <w:r>
              <w:rPr>
                <w:w w:val="90"/>
                <w:sz w:val="13"/>
              </w:rPr>
              <w:t>106.599</w:t>
            </w:r>
          </w:p>
        </w:tc>
      </w:tr>
      <w:tr>
        <w:trPr>
          <w:trHeight w:val="187" w:hRule="atLeast"/>
        </w:trPr>
        <w:tc>
          <w:tcPr>
            <w:tcW w:w="3048" w:type="dxa"/>
          </w:tcPr>
          <w:p>
            <w:pPr>
              <w:pStyle w:val="TableParagraph"/>
              <w:spacing w:line="140" w:lineRule="exact" w:before="28"/>
              <w:ind w:left="28"/>
              <w:rPr>
                <w:sz w:val="13"/>
              </w:rPr>
            </w:pPr>
            <w:r>
              <w:rPr>
                <w:w w:val="90"/>
                <w:sz w:val="13"/>
              </w:rPr>
              <w:t>Demais obrigações</w:t>
            </w:r>
          </w:p>
        </w:tc>
        <w:tc>
          <w:tcPr>
            <w:tcW w:w="5020" w:type="dxa"/>
            <w:gridSpan w:val="7"/>
          </w:tcPr>
          <w:p>
            <w:pPr>
              <w:pStyle w:val="TableParagraph"/>
              <w:tabs>
                <w:tab w:pos="2449" w:val="left" w:leader="none"/>
                <w:tab w:pos="5039" w:val="left" w:leader="none"/>
              </w:tabs>
              <w:spacing w:line="140" w:lineRule="exact" w:before="28"/>
              <w:ind w:right="-29"/>
              <w:rPr>
                <w:sz w:val="13"/>
              </w:rPr>
            </w:pPr>
            <w:r>
              <w:rPr>
                <w:w w:val="60"/>
                <w:sz w:val="13"/>
                <w:u w:val="single"/>
              </w:rPr>
              <w:t> </w:t>
            </w:r>
            <w:r>
              <w:rPr>
                <w:sz w:val="13"/>
                <w:u w:val="single"/>
              </w:rPr>
              <w:tab/>
            </w:r>
            <w:r>
              <w:rPr>
                <w:spacing w:val="-7"/>
                <w:sz w:val="13"/>
              </w:rPr>
              <w:t> </w:t>
            </w:r>
            <w:r>
              <w:rPr>
                <w:w w:val="60"/>
                <w:sz w:val="13"/>
                <w:u w:val="single"/>
              </w:rPr>
              <w:t> </w:t>
            </w:r>
            <w:r>
              <w:rPr>
                <w:sz w:val="13"/>
                <w:u w:val="single"/>
              </w:rPr>
              <w:tab/>
            </w:r>
          </w:p>
        </w:tc>
        <w:tc>
          <w:tcPr>
            <w:tcW w:w="1011" w:type="dxa"/>
            <w:gridSpan w:val="2"/>
          </w:tcPr>
          <w:p>
            <w:pPr>
              <w:pStyle w:val="TableParagraph"/>
              <w:spacing w:line="140" w:lineRule="exact" w:before="28"/>
              <w:ind w:left="369" w:right="312"/>
              <w:jc w:val="center"/>
              <w:rPr>
                <w:sz w:val="13"/>
              </w:rPr>
            </w:pPr>
            <w:r>
              <w:rPr>
                <w:w w:val="90"/>
                <w:sz w:val="13"/>
              </w:rPr>
              <w:t>5.869</w:t>
            </w:r>
          </w:p>
        </w:tc>
        <w:tc>
          <w:tcPr>
            <w:tcW w:w="2242" w:type="dxa"/>
            <w:gridSpan w:val="3"/>
          </w:tcPr>
          <w:p>
            <w:pPr>
              <w:pStyle w:val="TableParagraph"/>
              <w:spacing w:line="140" w:lineRule="exact" w:before="28"/>
              <w:ind w:right="75"/>
              <w:jc w:val="right"/>
              <w:rPr>
                <w:sz w:val="13"/>
              </w:rPr>
            </w:pPr>
            <w:r>
              <w:rPr>
                <w:w w:val="80"/>
                <w:sz w:val="13"/>
              </w:rPr>
              <w:t>5.869</w:t>
            </w:r>
          </w:p>
        </w:tc>
        <w:tc>
          <w:tcPr>
            <w:tcW w:w="1011" w:type="dxa"/>
            <w:gridSpan w:val="2"/>
          </w:tcPr>
          <w:p>
            <w:pPr>
              <w:pStyle w:val="TableParagraph"/>
              <w:spacing w:line="140" w:lineRule="exact" w:before="28"/>
              <w:ind w:left="368" w:right="312"/>
              <w:jc w:val="center"/>
              <w:rPr>
                <w:sz w:val="13"/>
              </w:rPr>
            </w:pPr>
            <w:r>
              <w:rPr>
                <w:w w:val="90"/>
                <w:sz w:val="13"/>
              </w:rPr>
              <w:t>9.741</w:t>
            </w:r>
          </w:p>
        </w:tc>
        <w:tc>
          <w:tcPr>
            <w:tcW w:w="2242" w:type="dxa"/>
            <w:gridSpan w:val="3"/>
          </w:tcPr>
          <w:p>
            <w:pPr>
              <w:pStyle w:val="TableParagraph"/>
              <w:spacing w:line="140" w:lineRule="exact" w:before="28"/>
              <w:ind w:right="75"/>
              <w:jc w:val="right"/>
              <w:rPr>
                <w:sz w:val="13"/>
              </w:rPr>
            </w:pPr>
            <w:r>
              <w:rPr>
                <w:w w:val="80"/>
                <w:sz w:val="13"/>
              </w:rPr>
              <w:t>9.741</w:t>
            </w:r>
          </w:p>
        </w:tc>
      </w:tr>
      <w:tr>
        <w:trPr>
          <w:trHeight w:val="159" w:hRule="atLeast"/>
        </w:trPr>
        <w:tc>
          <w:tcPr>
            <w:tcW w:w="3048" w:type="dxa"/>
          </w:tcPr>
          <w:p>
            <w:pPr>
              <w:pStyle w:val="TableParagraph"/>
              <w:spacing w:line="135" w:lineRule="exact" w:before="10"/>
              <w:ind w:left="28"/>
              <w:rPr>
                <w:rFonts w:ascii="Caladea" w:hAnsi="Caladea"/>
                <w:b/>
                <w:sz w:val="13"/>
              </w:rPr>
            </w:pPr>
            <w:r>
              <w:rPr>
                <w:rFonts w:ascii="Caladea" w:hAnsi="Caladea"/>
                <w:b/>
                <w:w w:val="95"/>
                <w:sz w:val="13"/>
              </w:rPr>
              <w:t>Total do Não Circulante</w:t>
            </w:r>
          </w:p>
        </w:tc>
        <w:tc>
          <w:tcPr>
            <w:tcW w:w="926" w:type="dxa"/>
            <w:tcBorders>
              <w:bottom w:val="single" w:sz="6" w:space="0" w:color="000000"/>
            </w:tcBorders>
          </w:tcPr>
          <w:p>
            <w:pPr>
              <w:pStyle w:val="TableParagraph"/>
              <w:spacing w:line="135" w:lineRule="exact" w:before="10"/>
              <w:ind w:right="313"/>
              <w:jc w:val="right"/>
              <w:rPr>
                <w:rFonts w:ascii="Caladea"/>
                <w:b/>
                <w:sz w:val="13"/>
              </w:rPr>
            </w:pPr>
            <w:r>
              <w:rPr>
                <w:rFonts w:ascii="Caladea"/>
                <w:b/>
                <w:w w:val="80"/>
                <w:sz w:val="13"/>
              </w:rPr>
              <w:t>96.782</w:t>
            </w:r>
          </w:p>
        </w:tc>
        <w:tc>
          <w:tcPr>
            <w:tcW w:w="744" w:type="dxa"/>
            <w:tcBorders>
              <w:bottom w:val="single" w:sz="6" w:space="0" w:color="000000"/>
            </w:tcBorders>
          </w:tcPr>
          <w:p>
            <w:pPr>
              <w:pStyle w:val="TableParagraph"/>
              <w:rPr>
                <w:rFonts w:ascii="Times New Roman"/>
                <w:sz w:val="10"/>
              </w:rPr>
            </w:pPr>
          </w:p>
        </w:tc>
        <w:tc>
          <w:tcPr>
            <w:tcW w:w="759" w:type="dxa"/>
            <w:tcBorders>
              <w:bottom w:val="single" w:sz="6" w:space="0" w:color="000000"/>
            </w:tcBorders>
          </w:tcPr>
          <w:p>
            <w:pPr>
              <w:pStyle w:val="TableParagraph"/>
              <w:spacing w:line="135" w:lineRule="exact" w:before="10"/>
              <w:ind w:right="69"/>
              <w:jc w:val="right"/>
              <w:rPr>
                <w:rFonts w:ascii="Caladea"/>
                <w:b/>
                <w:sz w:val="13"/>
              </w:rPr>
            </w:pPr>
            <w:r>
              <w:rPr>
                <w:rFonts w:ascii="Caladea"/>
                <w:b/>
                <w:w w:val="80"/>
                <w:sz w:val="13"/>
              </w:rPr>
              <w:t>96.782</w:t>
            </w:r>
          </w:p>
        </w:tc>
        <w:tc>
          <w:tcPr>
            <w:tcW w:w="54" w:type="dxa"/>
          </w:tcPr>
          <w:p>
            <w:pPr>
              <w:pStyle w:val="TableParagraph"/>
              <w:rPr>
                <w:rFonts w:ascii="Times New Roman"/>
                <w:sz w:val="10"/>
              </w:rPr>
            </w:pPr>
          </w:p>
        </w:tc>
        <w:tc>
          <w:tcPr>
            <w:tcW w:w="982" w:type="dxa"/>
            <w:tcBorders>
              <w:bottom w:val="single" w:sz="6" w:space="0" w:color="000000"/>
            </w:tcBorders>
          </w:tcPr>
          <w:p>
            <w:pPr>
              <w:pStyle w:val="TableParagraph"/>
              <w:spacing w:line="135" w:lineRule="exact" w:before="10"/>
              <w:ind w:right="370"/>
              <w:jc w:val="right"/>
              <w:rPr>
                <w:rFonts w:ascii="Caladea"/>
                <w:b/>
                <w:sz w:val="13"/>
              </w:rPr>
            </w:pPr>
            <w:r>
              <w:rPr>
                <w:rFonts w:ascii="Caladea"/>
                <w:b/>
                <w:w w:val="80"/>
                <w:sz w:val="13"/>
              </w:rPr>
              <w:t>97.366</w:t>
            </w:r>
          </w:p>
        </w:tc>
        <w:tc>
          <w:tcPr>
            <w:tcW w:w="796" w:type="dxa"/>
            <w:tcBorders>
              <w:bottom w:val="single" w:sz="6" w:space="0" w:color="000000"/>
            </w:tcBorders>
          </w:tcPr>
          <w:p>
            <w:pPr>
              <w:pStyle w:val="TableParagraph"/>
              <w:rPr>
                <w:rFonts w:ascii="Times New Roman"/>
                <w:sz w:val="10"/>
              </w:rPr>
            </w:pPr>
          </w:p>
        </w:tc>
        <w:tc>
          <w:tcPr>
            <w:tcW w:w="759" w:type="dxa"/>
            <w:tcBorders>
              <w:bottom w:val="single" w:sz="6" w:space="0" w:color="000000"/>
            </w:tcBorders>
          </w:tcPr>
          <w:p>
            <w:pPr>
              <w:pStyle w:val="TableParagraph"/>
              <w:spacing w:line="135" w:lineRule="exact" w:before="10"/>
              <w:ind w:right="70"/>
              <w:jc w:val="right"/>
              <w:rPr>
                <w:rFonts w:ascii="Caladea"/>
                <w:b/>
                <w:sz w:val="13"/>
              </w:rPr>
            </w:pPr>
            <w:r>
              <w:rPr>
                <w:rFonts w:ascii="Caladea"/>
                <w:b/>
                <w:w w:val="80"/>
                <w:sz w:val="13"/>
              </w:rPr>
              <w:t>97.366</w:t>
            </w:r>
          </w:p>
        </w:tc>
        <w:tc>
          <w:tcPr>
            <w:tcW w:w="54" w:type="dxa"/>
          </w:tcPr>
          <w:p>
            <w:pPr>
              <w:pStyle w:val="TableParagraph"/>
              <w:rPr>
                <w:rFonts w:ascii="Times New Roman"/>
                <w:sz w:val="10"/>
              </w:rPr>
            </w:pPr>
          </w:p>
        </w:tc>
        <w:tc>
          <w:tcPr>
            <w:tcW w:w="957" w:type="dxa"/>
            <w:tcBorders>
              <w:top w:val="single" w:sz="6" w:space="0" w:color="000000"/>
              <w:bottom w:val="single" w:sz="6" w:space="0" w:color="000000"/>
            </w:tcBorders>
          </w:tcPr>
          <w:p>
            <w:pPr>
              <w:pStyle w:val="TableParagraph"/>
              <w:spacing w:line="135" w:lineRule="exact" w:before="10"/>
              <w:ind w:right="347"/>
              <w:jc w:val="right"/>
              <w:rPr>
                <w:rFonts w:ascii="Caladea"/>
                <w:b/>
                <w:sz w:val="13"/>
              </w:rPr>
            </w:pPr>
            <w:r>
              <w:rPr>
                <w:rFonts w:ascii="Caladea"/>
                <w:b/>
                <w:w w:val="80"/>
                <w:sz w:val="13"/>
              </w:rPr>
              <w:t>1.020.258</w:t>
            </w:r>
          </w:p>
        </w:tc>
        <w:tc>
          <w:tcPr>
            <w:tcW w:w="945" w:type="dxa"/>
            <w:tcBorders>
              <w:top w:val="single" w:sz="6" w:space="0" w:color="000000"/>
              <w:bottom w:val="single" w:sz="6" w:space="0" w:color="000000"/>
            </w:tcBorders>
          </w:tcPr>
          <w:p>
            <w:pPr>
              <w:pStyle w:val="TableParagraph"/>
              <w:rPr>
                <w:rFonts w:ascii="Times New Roman"/>
                <w:sz w:val="10"/>
              </w:rPr>
            </w:pPr>
          </w:p>
        </w:tc>
        <w:tc>
          <w:tcPr>
            <w:tcW w:w="560" w:type="dxa"/>
            <w:tcBorders>
              <w:top w:val="single" w:sz="6" w:space="0" w:color="000000"/>
              <w:bottom w:val="single" w:sz="6" w:space="0" w:color="000000"/>
            </w:tcBorders>
          </w:tcPr>
          <w:p>
            <w:pPr>
              <w:pStyle w:val="TableParagraph"/>
              <w:spacing w:line="134" w:lineRule="exact" w:before="11"/>
              <w:ind w:left="148"/>
              <w:jc w:val="center"/>
              <w:rPr>
                <w:sz w:val="13"/>
              </w:rPr>
            </w:pPr>
            <w:r>
              <w:rPr>
                <w:w w:val="74"/>
                <w:sz w:val="13"/>
              </w:rPr>
              <w:t>-</w:t>
            </w:r>
          </w:p>
        </w:tc>
        <w:tc>
          <w:tcPr>
            <w:tcW w:w="737" w:type="dxa"/>
            <w:tcBorders>
              <w:top w:val="single" w:sz="6" w:space="0" w:color="000000"/>
              <w:bottom w:val="single" w:sz="6" w:space="0" w:color="000000"/>
            </w:tcBorders>
          </w:tcPr>
          <w:p>
            <w:pPr>
              <w:pStyle w:val="TableParagraph"/>
              <w:spacing w:line="135" w:lineRule="exact" w:before="10"/>
              <w:ind w:right="70"/>
              <w:jc w:val="right"/>
              <w:rPr>
                <w:rFonts w:ascii="Caladea"/>
                <w:b/>
                <w:sz w:val="13"/>
              </w:rPr>
            </w:pPr>
            <w:r>
              <w:rPr>
                <w:rFonts w:ascii="Caladea"/>
                <w:b/>
                <w:w w:val="80"/>
                <w:sz w:val="13"/>
              </w:rPr>
              <w:t>872.920</w:t>
            </w:r>
          </w:p>
        </w:tc>
        <w:tc>
          <w:tcPr>
            <w:tcW w:w="54" w:type="dxa"/>
          </w:tcPr>
          <w:p>
            <w:pPr>
              <w:pStyle w:val="TableParagraph"/>
              <w:rPr>
                <w:rFonts w:ascii="Times New Roman"/>
                <w:sz w:val="10"/>
              </w:rPr>
            </w:pPr>
          </w:p>
        </w:tc>
        <w:tc>
          <w:tcPr>
            <w:tcW w:w="957" w:type="dxa"/>
            <w:tcBorders>
              <w:top w:val="single" w:sz="6" w:space="0" w:color="000000"/>
              <w:bottom w:val="single" w:sz="6" w:space="0" w:color="000000"/>
            </w:tcBorders>
          </w:tcPr>
          <w:p>
            <w:pPr>
              <w:pStyle w:val="TableParagraph"/>
              <w:spacing w:line="135" w:lineRule="exact" w:before="10"/>
              <w:ind w:right="347"/>
              <w:jc w:val="right"/>
              <w:rPr>
                <w:rFonts w:ascii="Caladea"/>
                <w:b/>
                <w:sz w:val="13"/>
              </w:rPr>
            </w:pPr>
            <w:r>
              <w:rPr>
                <w:rFonts w:ascii="Caladea"/>
                <w:b/>
                <w:w w:val="80"/>
                <w:sz w:val="13"/>
              </w:rPr>
              <w:t>1.175.727</w:t>
            </w:r>
          </w:p>
        </w:tc>
        <w:tc>
          <w:tcPr>
            <w:tcW w:w="945" w:type="dxa"/>
            <w:tcBorders>
              <w:top w:val="single" w:sz="6" w:space="0" w:color="000000"/>
              <w:bottom w:val="single" w:sz="6" w:space="0" w:color="000000"/>
            </w:tcBorders>
          </w:tcPr>
          <w:p>
            <w:pPr>
              <w:pStyle w:val="TableParagraph"/>
              <w:rPr>
                <w:rFonts w:ascii="Times New Roman"/>
                <w:sz w:val="10"/>
              </w:rPr>
            </w:pPr>
          </w:p>
        </w:tc>
        <w:tc>
          <w:tcPr>
            <w:tcW w:w="1297" w:type="dxa"/>
            <w:gridSpan w:val="2"/>
            <w:tcBorders>
              <w:top w:val="single" w:sz="6" w:space="0" w:color="000000"/>
              <w:bottom w:val="single" w:sz="6" w:space="0" w:color="000000"/>
            </w:tcBorders>
          </w:tcPr>
          <w:p>
            <w:pPr>
              <w:pStyle w:val="TableParagraph"/>
              <w:tabs>
                <w:tab w:pos="729" w:val="left" w:leader="none"/>
              </w:tabs>
              <w:spacing w:line="135" w:lineRule="exact" w:before="10"/>
              <w:ind w:left="335"/>
              <w:rPr>
                <w:rFonts w:ascii="Caladea"/>
                <w:b/>
                <w:sz w:val="13"/>
              </w:rPr>
            </w:pPr>
            <w:r>
              <w:rPr>
                <w:w w:val="90"/>
                <w:sz w:val="13"/>
              </w:rPr>
              <w:t>-</w:t>
              <w:tab/>
            </w:r>
            <w:r>
              <w:rPr>
                <w:rFonts w:ascii="Caladea"/>
                <w:b/>
                <w:w w:val="90"/>
                <w:sz w:val="13"/>
              </w:rPr>
              <w:t>1.061.540</w:t>
            </w:r>
          </w:p>
        </w:tc>
      </w:tr>
      <w:tr>
        <w:trPr>
          <w:trHeight w:val="535" w:hRule="atLeast"/>
        </w:trPr>
        <w:tc>
          <w:tcPr>
            <w:tcW w:w="3048" w:type="dxa"/>
          </w:tcPr>
          <w:p>
            <w:pPr>
              <w:pStyle w:val="TableParagraph"/>
              <w:spacing w:before="4"/>
              <w:rPr>
                <w:sz w:val="16"/>
              </w:rPr>
            </w:pPr>
          </w:p>
          <w:p>
            <w:pPr>
              <w:pStyle w:val="TableParagraph"/>
              <w:ind w:left="28"/>
              <w:rPr>
                <w:rFonts w:ascii="Caladea" w:hAnsi="Caladea"/>
                <w:b/>
                <w:sz w:val="13"/>
              </w:rPr>
            </w:pPr>
            <w:r>
              <w:rPr>
                <w:rFonts w:ascii="Caladea" w:hAnsi="Caladea"/>
                <w:b/>
                <w:w w:val="95"/>
                <w:sz w:val="13"/>
              </w:rPr>
              <w:t>Patrimônio Líquido</w:t>
            </w:r>
          </w:p>
          <w:p>
            <w:pPr>
              <w:pStyle w:val="TableParagraph"/>
              <w:spacing w:line="143" w:lineRule="exact" w:before="30"/>
              <w:ind w:left="28"/>
              <w:rPr>
                <w:sz w:val="13"/>
              </w:rPr>
            </w:pPr>
            <w:r>
              <w:rPr>
                <w:w w:val="90"/>
                <w:sz w:val="13"/>
              </w:rPr>
              <w:t>Capital social</w:t>
            </w:r>
          </w:p>
        </w:tc>
        <w:tc>
          <w:tcPr>
            <w:tcW w:w="926"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318"/>
              <w:jc w:val="right"/>
              <w:rPr>
                <w:sz w:val="13"/>
              </w:rPr>
            </w:pPr>
            <w:r>
              <w:rPr>
                <w:w w:val="80"/>
                <w:sz w:val="13"/>
              </w:rPr>
              <w:t>566.025</w:t>
            </w:r>
          </w:p>
        </w:tc>
        <w:tc>
          <w:tcPr>
            <w:tcW w:w="744" w:type="dxa"/>
            <w:tcBorders>
              <w:top w:val="single" w:sz="6" w:space="0" w:color="000000"/>
            </w:tcBorders>
          </w:tcPr>
          <w:p>
            <w:pPr>
              <w:pStyle w:val="TableParagraph"/>
              <w:rPr>
                <w:rFonts w:ascii="Times New Roman"/>
                <w:sz w:val="10"/>
              </w:rPr>
            </w:pPr>
          </w:p>
        </w:tc>
        <w:tc>
          <w:tcPr>
            <w:tcW w:w="759"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73"/>
              <w:jc w:val="right"/>
              <w:rPr>
                <w:sz w:val="13"/>
              </w:rPr>
            </w:pPr>
            <w:r>
              <w:rPr>
                <w:w w:val="80"/>
                <w:sz w:val="13"/>
              </w:rPr>
              <w:t>566.025</w:t>
            </w:r>
          </w:p>
        </w:tc>
        <w:tc>
          <w:tcPr>
            <w:tcW w:w="54" w:type="dxa"/>
          </w:tcPr>
          <w:p>
            <w:pPr>
              <w:pStyle w:val="TableParagraph"/>
              <w:rPr>
                <w:rFonts w:ascii="Times New Roman"/>
                <w:sz w:val="10"/>
              </w:rPr>
            </w:pPr>
          </w:p>
        </w:tc>
        <w:tc>
          <w:tcPr>
            <w:tcW w:w="982"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375"/>
              <w:jc w:val="right"/>
              <w:rPr>
                <w:sz w:val="13"/>
              </w:rPr>
            </w:pPr>
            <w:r>
              <w:rPr>
                <w:w w:val="80"/>
                <w:sz w:val="13"/>
              </w:rPr>
              <w:t>566.025</w:t>
            </w:r>
          </w:p>
        </w:tc>
        <w:tc>
          <w:tcPr>
            <w:tcW w:w="796" w:type="dxa"/>
            <w:tcBorders>
              <w:top w:val="single" w:sz="6" w:space="0" w:color="000000"/>
            </w:tcBorders>
          </w:tcPr>
          <w:p>
            <w:pPr>
              <w:pStyle w:val="TableParagraph"/>
              <w:rPr>
                <w:rFonts w:ascii="Times New Roman"/>
                <w:sz w:val="10"/>
              </w:rPr>
            </w:pPr>
          </w:p>
        </w:tc>
        <w:tc>
          <w:tcPr>
            <w:tcW w:w="759"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75"/>
              <w:jc w:val="right"/>
              <w:rPr>
                <w:sz w:val="13"/>
              </w:rPr>
            </w:pPr>
            <w:r>
              <w:rPr>
                <w:w w:val="80"/>
                <w:sz w:val="13"/>
              </w:rPr>
              <w:t>566.025</w:t>
            </w:r>
          </w:p>
        </w:tc>
        <w:tc>
          <w:tcPr>
            <w:tcW w:w="54" w:type="dxa"/>
          </w:tcPr>
          <w:p>
            <w:pPr>
              <w:pStyle w:val="TableParagraph"/>
              <w:rPr>
                <w:rFonts w:ascii="Times New Roman"/>
                <w:sz w:val="10"/>
              </w:rPr>
            </w:pPr>
          </w:p>
        </w:tc>
        <w:tc>
          <w:tcPr>
            <w:tcW w:w="957"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351"/>
              <w:jc w:val="right"/>
              <w:rPr>
                <w:sz w:val="13"/>
              </w:rPr>
            </w:pPr>
            <w:r>
              <w:rPr>
                <w:w w:val="80"/>
                <w:sz w:val="13"/>
              </w:rPr>
              <w:t>566.025</w:t>
            </w:r>
          </w:p>
        </w:tc>
        <w:tc>
          <w:tcPr>
            <w:tcW w:w="945" w:type="dxa"/>
            <w:tcBorders>
              <w:top w:val="single" w:sz="6" w:space="0" w:color="000000"/>
            </w:tcBorders>
          </w:tcPr>
          <w:p>
            <w:pPr>
              <w:pStyle w:val="TableParagraph"/>
              <w:rPr>
                <w:rFonts w:ascii="Times New Roman"/>
                <w:sz w:val="10"/>
              </w:rPr>
            </w:pPr>
          </w:p>
        </w:tc>
        <w:tc>
          <w:tcPr>
            <w:tcW w:w="560" w:type="dxa"/>
            <w:tcBorders>
              <w:top w:val="single" w:sz="6" w:space="0" w:color="000000"/>
            </w:tcBorders>
          </w:tcPr>
          <w:p>
            <w:pPr>
              <w:pStyle w:val="TableParagraph"/>
              <w:rPr>
                <w:rFonts w:ascii="Times New Roman"/>
                <w:sz w:val="10"/>
              </w:rPr>
            </w:pPr>
          </w:p>
        </w:tc>
        <w:tc>
          <w:tcPr>
            <w:tcW w:w="737"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75"/>
              <w:jc w:val="right"/>
              <w:rPr>
                <w:sz w:val="13"/>
              </w:rPr>
            </w:pPr>
            <w:r>
              <w:rPr>
                <w:w w:val="80"/>
                <w:sz w:val="13"/>
              </w:rPr>
              <w:t>566.025</w:t>
            </w:r>
          </w:p>
        </w:tc>
        <w:tc>
          <w:tcPr>
            <w:tcW w:w="54" w:type="dxa"/>
          </w:tcPr>
          <w:p>
            <w:pPr>
              <w:pStyle w:val="TableParagraph"/>
              <w:rPr>
                <w:rFonts w:ascii="Times New Roman"/>
                <w:sz w:val="10"/>
              </w:rPr>
            </w:pPr>
          </w:p>
        </w:tc>
        <w:tc>
          <w:tcPr>
            <w:tcW w:w="957" w:type="dxa"/>
            <w:tcBorders>
              <w:top w:val="single" w:sz="6" w:space="0" w:color="000000"/>
            </w:tcBorders>
          </w:tcPr>
          <w:p>
            <w:pPr>
              <w:pStyle w:val="TableParagraph"/>
              <w:rPr>
                <w:sz w:val="16"/>
              </w:rPr>
            </w:pPr>
          </w:p>
          <w:p>
            <w:pPr>
              <w:pStyle w:val="TableParagraph"/>
              <w:rPr>
                <w:sz w:val="16"/>
              </w:rPr>
            </w:pPr>
          </w:p>
          <w:p>
            <w:pPr>
              <w:pStyle w:val="TableParagraph"/>
              <w:spacing w:line="143" w:lineRule="exact"/>
              <w:ind w:right="351"/>
              <w:jc w:val="right"/>
              <w:rPr>
                <w:sz w:val="13"/>
              </w:rPr>
            </w:pPr>
            <w:r>
              <w:rPr>
                <w:w w:val="80"/>
                <w:sz w:val="13"/>
              </w:rPr>
              <w:t>566.025</w:t>
            </w:r>
          </w:p>
        </w:tc>
        <w:tc>
          <w:tcPr>
            <w:tcW w:w="945" w:type="dxa"/>
            <w:tcBorders>
              <w:top w:val="single" w:sz="6" w:space="0" w:color="000000"/>
            </w:tcBorders>
          </w:tcPr>
          <w:p>
            <w:pPr>
              <w:pStyle w:val="TableParagraph"/>
              <w:rPr>
                <w:rFonts w:ascii="Times New Roman"/>
                <w:sz w:val="10"/>
              </w:rPr>
            </w:pPr>
          </w:p>
        </w:tc>
        <w:tc>
          <w:tcPr>
            <w:tcW w:w="1297" w:type="dxa"/>
            <w:gridSpan w:val="2"/>
            <w:tcBorders>
              <w:top w:val="single" w:sz="6" w:space="0" w:color="000000"/>
            </w:tcBorders>
          </w:tcPr>
          <w:p>
            <w:pPr>
              <w:pStyle w:val="TableParagraph"/>
              <w:rPr>
                <w:sz w:val="16"/>
              </w:rPr>
            </w:pPr>
          </w:p>
          <w:p>
            <w:pPr>
              <w:pStyle w:val="TableParagraph"/>
              <w:rPr>
                <w:sz w:val="16"/>
              </w:rPr>
            </w:pPr>
          </w:p>
          <w:p>
            <w:pPr>
              <w:pStyle w:val="TableParagraph"/>
              <w:spacing w:line="143" w:lineRule="exact"/>
              <w:ind w:left="828"/>
              <w:rPr>
                <w:sz w:val="13"/>
              </w:rPr>
            </w:pPr>
            <w:r>
              <w:rPr>
                <w:w w:val="90"/>
                <w:sz w:val="13"/>
              </w:rPr>
              <w:t>566.025</w:t>
            </w:r>
          </w:p>
        </w:tc>
      </w:tr>
      <w:tr>
        <w:trPr>
          <w:trHeight w:val="180" w:hRule="atLeast"/>
        </w:trPr>
        <w:tc>
          <w:tcPr>
            <w:tcW w:w="3048" w:type="dxa"/>
          </w:tcPr>
          <w:p>
            <w:pPr>
              <w:pStyle w:val="TableParagraph"/>
              <w:spacing w:line="143" w:lineRule="exact" w:before="17"/>
              <w:ind w:left="28"/>
              <w:rPr>
                <w:sz w:val="13"/>
              </w:rPr>
            </w:pPr>
            <w:r>
              <w:rPr>
                <w:w w:val="90"/>
                <w:sz w:val="13"/>
              </w:rPr>
              <w:t>Reserva de lucros</w:t>
            </w:r>
          </w:p>
        </w:tc>
        <w:tc>
          <w:tcPr>
            <w:tcW w:w="926" w:type="dxa"/>
          </w:tcPr>
          <w:p>
            <w:pPr>
              <w:pStyle w:val="TableParagraph"/>
              <w:spacing w:line="143" w:lineRule="exact" w:before="17"/>
              <w:ind w:right="318"/>
              <w:jc w:val="right"/>
              <w:rPr>
                <w:sz w:val="13"/>
              </w:rPr>
            </w:pPr>
            <w:r>
              <w:rPr>
                <w:w w:val="80"/>
                <w:sz w:val="13"/>
              </w:rPr>
              <w:t>18.677</w:t>
            </w:r>
          </w:p>
        </w:tc>
        <w:tc>
          <w:tcPr>
            <w:tcW w:w="744" w:type="dxa"/>
          </w:tcPr>
          <w:p>
            <w:pPr>
              <w:pStyle w:val="TableParagraph"/>
              <w:rPr>
                <w:rFonts w:ascii="Times New Roman"/>
                <w:sz w:val="10"/>
              </w:rPr>
            </w:pPr>
          </w:p>
        </w:tc>
        <w:tc>
          <w:tcPr>
            <w:tcW w:w="759" w:type="dxa"/>
          </w:tcPr>
          <w:p>
            <w:pPr>
              <w:pStyle w:val="TableParagraph"/>
              <w:spacing w:line="143" w:lineRule="exact" w:before="17"/>
              <w:ind w:right="73"/>
              <w:jc w:val="right"/>
              <w:rPr>
                <w:sz w:val="13"/>
              </w:rPr>
            </w:pPr>
            <w:r>
              <w:rPr>
                <w:w w:val="80"/>
                <w:sz w:val="13"/>
              </w:rPr>
              <w:t>18.677</w:t>
            </w:r>
          </w:p>
        </w:tc>
        <w:tc>
          <w:tcPr>
            <w:tcW w:w="54" w:type="dxa"/>
          </w:tcPr>
          <w:p>
            <w:pPr>
              <w:pStyle w:val="TableParagraph"/>
              <w:rPr>
                <w:rFonts w:ascii="Times New Roman"/>
                <w:sz w:val="10"/>
              </w:rPr>
            </w:pPr>
          </w:p>
        </w:tc>
        <w:tc>
          <w:tcPr>
            <w:tcW w:w="982" w:type="dxa"/>
          </w:tcPr>
          <w:p>
            <w:pPr>
              <w:pStyle w:val="TableParagraph"/>
              <w:rPr>
                <w:rFonts w:ascii="Times New Roman"/>
                <w:sz w:val="10"/>
              </w:rPr>
            </w:pPr>
          </w:p>
        </w:tc>
        <w:tc>
          <w:tcPr>
            <w:tcW w:w="796" w:type="dxa"/>
          </w:tcPr>
          <w:p>
            <w:pPr>
              <w:pStyle w:val="TableParagraph"/>
              <w:rPr>
                <w:rFonts w:ascii="Times New Roman"/>
                <w:sz w:val="10"/>
              </w:rPr>
            </w:pPr>
          </w:p>
        </w:tc>
        <w:tc>
          <w:tcPr>
            <w:tcW w:w="759" w:type="dxa"/>
          </w:tcPr>
          <w:p>
            <w:pPr>
              <w:pStyle w:val="TableParagraph"/>
              <w:rPr>
                <w:rFonts w:ascii="Times New Roman"/>
                <w:sz w:val="10"/>
              </w:rPr>
            </w:pPr>
          </w:p>
        </w:tc>
        <w:tc>
          <w:tcPr>
            <w:tcW w:w="54" w:type="dxa"/>
          </w:tcPr>
          <w:p>
            <w:pPr>
              <w:pStyle w:val="TableParagraph"/>
              <w:rPr>
                <w:rFonts w:ascii="Times New Roman"/>
                <w:sz w:val="10"/>
              </w:rPr>
            </w:pPr>
          </w:p>
        </w:tc>
        <w:tc>
          <w:tcPr>
            <w:tcW w:w="957" w:type="dxa"/>
          </w:tcPr>
          <w:p>
            <w:pPr>
              <w:pStyle w:val="TableParagraph"/>
              <w:spacing w:line="143" w:lineRule="exact" w:before="17"/>
              <w:ind w:right="351"/>
              <w:jc w:val="right"/>
              <w:rPr>
                <w:sz w:val="13"/>
              </w:rPr>
            </w:pPr>
            <w:r>
              <w:rPr>
                <w:w w:val="80"/>
                <w:sz w:val="13"/>
              </w:rPr>
              <w:t>18.677</w:t>
            </w:r>
          </w:p>
        </w:tc>
        <w:tc>
          <w:tcPr>
            <w:tcW w:w="945" w:type="dxa"/>
          </w:tcPr>
          <w:p>
            <w:pPr>
              <w:pStyle w:val="TableParagraph"/>
              <w:rPr>
                <w:rFonts w:ascii="Times New Roman"/>
                <w:sz w:val="10"/>
              </w:rPr>
            </w:pPr>
          </w:p>
        </w:tc>
        <w:tc>
          <w:tcPr>
            <w:tcW w:w="560" w:type="dxa"/>
          </w:tcPr>
          <w:p>
            <w:pPr>
              <w:pStyle w:val="TableParagraph"/>
              <w:rPr>
                <w:rFonts w:ascii="Times New Roman"/>
                <w:sz w:val="10"/>
              </w:rPr>
            </w:pPr>
          </w:p>
        </w:tc>
        <w:tc>
          <w:tcPr>
            <w:tcW w:w="737" w:type="dxa"/>
          </w:tcPr>
          <w:p>
            <w:pPr>
              <w:pStyle w:val="TableParagraph"/>
              <w:spacing w:line="143" w:lineRule="exact" w:before="17"/>
              <w:ind w:right="75"/>
              <w:jc w:val="right"/>
              <w:rPr>
                <w:sz w:val="13"/>
              </w:rPr>
            </w:pPr>
            <w:r>
              <w:rPr>
                <w:w w:val="80"/>
                <w:sz w:val="13"/>
              </w:rPr>
              <w:t>18.677</w:t>
            </w:r>
          </w:p>
        </w:tc>
        <w:tc>
          <w:tcPr>
            <w:tcW w:w="54" w:type="dxa"/>
          </w:tcPr>
          <w:p>
            <w:pPr>
              <w:pStyle w:val="TableParagraph"/>
              <w:rPr>
                <w:rFonts w:ascii="Times New Roman"/>
                <w:sz w:val="10"/>
              </w:rPr>
            </w:pPr>
          </w:p>
        </w:tc>
        <w:tc>
          <w:tcPr>
            <w:tcW w:w="957" w:type="dxa"/>
          </w:tcPr>
          <w:p>
            <w:pPr>
              <w:pStyle w:val="TableParagraph"/>
              <w:rPr>
                <w:rFonts w:ascii="Times New Roman"/>
                <w:sz w:val="10"/>
              </w:rPr>
            </w:pPr>
          </w:p>
        </w:tc>
        <w:tc>
          <w:tcPr>
            <w:tcW w:w="945" w:type="dxa"/>
          </w:tcPr>
          <w:p>
            <w:pPr>
              <w:pStyle w:val="TableParagraph"/>
              <w:rPr>
                <w:rFonts w:ascii="Times New Roman"/>
                <w:sz w:val="10"/>
              </w:rPr>
            </w:pPr>
          </w:p>
        </w:tc>
        <w:tc>
          <w:tcPr>
            <w:tcW w:w="1297" w:type="dxa"/>
            <w:gridSpan w:val="2"/>
          </w:tcPr>
          <w:p>
            <w:pPr>
              <w:pStyle w:val="TableParagraph"/>
              <w:spacing w:line="143" w:lineRule="exact" w:before="17"/>
              <w:ind w:right="197"/>
              <w:jc w:val="right"/>
              <w:rPr>
                <w:sz w:val="13"/>
              </w:rPr>
            </w:pPr>
            <w:r>
              <w:rPr>
                <w:w w:val="74"/>
                <w:sz w:val="13"/>
              </w:rPr>
              <w:t>-</w:t>
            </w:r>
          </w:p>
        </w:tc>
      </w:tr>
      <w:tr>
        <w:trPr>
          <w:trHeight w:val="169" w:hRule="atLeast"/>
        </w:trPr>
        <w:tc>
          <w:tcPr>
            <w:tcW w:w="3048" w:type="dxa"/>
          </w:tcPr>
          <w:p>
            <w:pPr>
              <w:pStyle w:val="TableParagraph"/>
              <w:spacing w:line="132" w:lineRule="exact" w:before="17"/>
              <w:ind w:left="28"/>
              <w:rPr>
                <w:sz w:val="13"/>
              </w:rPr>
            </w:pPr>
            <w:r>
              <w:rPr>
                <w:w w:val="90"/>
                <w:sz w:val="13"/>
              </w:rPr>
              <w:t>Ajuste de avaliação patrimonial</w:t>
            </w:r>
          </w:p>
        </w:tc>
        <w:tc>
          <w:tcPr>
            <w:tcW w:w="926" w:type="dxa"/>
          </w:tcPr>
          <w:p>
            <w:pPr>
              <w:pStyle w:val="TableParagraph"/>
              <w:spacing w:line="132" w:lineRule="exact" w:before="17"/>
              <w:ind w:right="318"/>
              <w:jc w:val="right"/>
              <w:rPr>
                <w:sz w:val="13"/>
              </w:rPr>
            </w:pPr>
            <w:r>
              <w:rPr>
                <w:w w:val="80"/>
                <w:sz w:val="13"/>
              </w:rPr>
              <w:t>2.411</w:t>
            </w:r>
          </w:p>
        </w:tc>
        <w:tc>
          <w:tcPr>
            <w:tcW w:w="744" w:type="dxa"/>
          </w:tcPr>
          <w:p>
            <w:pPr>
              <w:pStyle w:val="TableParagraph"/>
              <w:spacing w:line="132" w:lineRule="exact" w:before="17"/>
              <w:ind w:left="310"/>
              <w:rPr>
                <w:sz w:val="13"/>
              </w:rPr>
            </w:pPr>
            <w:r>
              <w:rPr>
                <w:w w:val="90"/>
                <w:sz w:val="13"/>
              </w:rPr>
              <w:t>147.338</w:t>
            </w:r>
          </w:p>
        </w:tc>
        <w:tc>
          <w:tcPr>
            <w:tcW w:w="759" w:type="dxa"/>
          </w:tcPr>
          <w:p>
            <w:pPr>
              <w:pStyle w:val="TableParagraph"/>
              <w:spacing w:line="132" w:lineRule="exact" w:before="17"/>
              <w:ind w:right="73"/>
              <w:jc w:val="right"/>
              <w:rPr>
                <w:sz w:val="13"/>
              </w:rPr>
            </w:pPr>
            <w:r>
              <w:rPr>
                <w:w w:val="80"/>
                <w:sz w:val="13"/>
              </w:rPr>
              <w:t>149.749</w:t>
            </w:r>
          </w:p>
        </w:tc>
        <w:tc>
          <w:tcPr>
            <w:tcW w:w="54" w:type="dxa"/>
          </w:tcPr>
          <w:p>
            <w:pPr>
              <w:pStyle w:val="TableParagraph"/>
              <w:rPr>
                <w:rFonts w:ascii="Times New Roman"/>
                <w:sz w:val="10"/>
              </w:rPr>
            </w:pPr>
          </w:p>
        </w:tc>
        <w:tc>
          <w:tcPr>
            <w:tcW w:w="982" w:type="dxa"/>
          </w:tcPr>
          <w:p>
            <w:pPr>
              <w:pStyle w:val="TableParagraph"/>
              <w:spacing w:line="132" w:lineRule="exact" w:before="17"/>
              <w:ind w:right="374"/>
              <w:jc w:val="right"/>
              <w:rPr>
                <w:sz w:val="13"/>
              </w:rPr>
            </w:pPr>
            <w:r>
              <w:rPr>
                <w:w w:val="80"/>
                <w:sz w:val="13"/>
              </w:rPr>
              <w:t>42.319</w:t>
            </w:r>
          </w:p>
        </w:tc>
        <w:tc>
          <w:tcPr>
            <w:tcW w:w="796" w:type="dxa"/>
          </w:tcPr>
          <w:p>
            <w:pPr>
              <w:pStyle w:val="TableParagraph"/>
              <w:spacing w:line="132" w:lineRule="exact" w:before="17"/>
              <w:ind w:left="361"/>
              <w:rPr>
                <w:sz w:val="13"/>
              </w:rPr>
            </w:pPr>
            <w:r>
              <w:rPr>
                <w:w w:val="90"/>
                <w:sz w:val="13"/>
              </w:rPr>
              <w:t>114.187</w:t>
            </w:r>
          </w:p>
        </w:tc>
        <w:tc>
          <w:tcPr>
            <w:tcW w:w="759" w:type="dxa"/>
          </w:tcPr>
          <w:p>
            <w:pPr>
              <w:pStyle w:val="TableParagraph"/>
              <w:spacing w:line="132" w:lineRule="exact" w:before="17"/>
              <w:ind w:right="75"/>
              <w:jc w:val="right"/>
              <w:rPr>
                <w:sz w:val="13"/>
              </w:rPr>
            </w:pPr>
            <w:r>
              <w:rPr>
                <w:w w:val="80"/>
                <w:sz w:val="13"/>
              </w:rPr>
              <w:t>156.506</w:t>
            </w:r>
          </w:p>
        </w:tc>
        <w:tc>
          <w:tcPr>
            <w:tcW w:w="54" w:type="dxa"/>
          </w:tcPr>
          <w:p>
            <w:pPr>
              <w:pStyle w:val="TableParagraph"/>
              <w:rPr>
                <w:rFonts w:ascii="Times New Roman"/>
                <w:sz w:val="10"/>
              </w:rPr>
            </w:pPr>
          </w:p>
        </w:tc>
        <w:tc>
          <w:tcPr>
            <w:tcW w:w="957" w:type="dxa"/>
          </w:tcPr>
          <w:p>
            <w:pPr>
              <w:pStyle w:val="TableParagraph"/>
              <w:spacing w:line="132" w:lineRule="exact" w:before="17"/>
              <w:ind w:right="351"/>
              <w:jc w:val="right"/>
              <w:rPr>
                <w:sz w:val="13"/>
              </w:rPr>
            </w:pPr>
            <w:r>
              <w:rPr>
                <w:w w:val="80"/>
                <w:sz w:val="13"/>
              </w:rPr>
              <w:t>2.411</w:t>
            </w:r>
          </w:p>
        </w:tc>
        <w:tc>
          <w:tcPr>
            <w:tcW w:w="945" w:type="dxa"/>
          </w:tcPr>
          <w:p>
            <w:pPr>
              <w:pStyle w:val="TableParagraph"/>
              <w:spacing w:line="132" w:lineRule="exact" w:before="17"/>
              <w:ind w:right="167"/>
              <w:jc w:val="right"/>
              <w:rPr>
                <w:sz w:val="13"/>
              </w:rPr>
            </w:pPr>
            <w:r>
              <w:rPr>
                <w:w w:val="80"/>
                <w:sz w:val="13"/>
              </w:rPr>
              <w:t>147.338</w:t>
            </w:r>
          </w:p>
        </w:tc>
        <w:tc>
          <w:tcPr>
            <w:tcW w:w="560" w:type="dxa"/>
          </w:tcPr>
          <w:p>
            <w:pPr>
              <w:pStyle w:val="TableParagraph"/>
              <w:rPr>
                <w:rFonts w:ascii="Times New Roman"/>
                <w:sz w:val="10"/>
              </w:rPr>
            </w:pPr>
          </w:p>
        </w:tc>
        <w:tc>
          <w:tcPr>
            <w:tcW w:w="737" w:type="dxa"/>
          </w:tcPr>
          <w:p>
            <w:pPr>
              <w:pStyle w:val="TableParagraph"/>
              <w:spacing w:line="132" w:lineRule="exact" w:before="17"/>
              <w:ind w:right="75"/>
              <w:jc w:val="right"/>
              <w:rPr>
                <w:sz w:val="13"/>
              </w:rPr>
            </w:pPr>
            <w:r>
              <w:rPr>
                <w:w w:val="80"/>
                <w:sz w:val="13"/>
              </w:rPr>
              <w:t>149.749</w:t>
            </w:r>
          </w:p>
        </w:tc>
        <w:tc>
          <w:tcPr>
            <w:tcW w:w="54" w:type="dxa"/>
          </w:tcPr>
          <w:p>
            <w:pPr>
              <w:pStyle w:val="TableParagraph"/>
              <w:rPr>
                <w:rFonts w:ascii="Times New Roman"/>
                <w:sz w:val="10"/>
              </w:rPr>
            </w:pPr>
          </w:p>
        </w:tc>
        <w:tc>
          <w:tcPr>
            <w:tcW w:w="957" w:type="dxa"/>
          </w:tcPr>
          <w:p>
            <w:pPr>
              <w:pStyle w:val="TableParagraph"/>
              <w:spacing w:line="132" w:lineRule="exact" w:before="17"/>
              <w:ind w:right="351"/>
              <w:jc w:val="right"/>
              <w:rPr>
                <w:sz w:val="13"/>
              </w:rPr>
            </w:pPr>
            <w:r>
              <w:rPr>
                <w:w w:val="80"/>
                <w:sz w:val="13"/>
              </w:rPr>
              <w:t>42.319</w:t>
            </w:r>
          </w:p>
        </w:tc>
        <w:tc>
          <w:tcPr>
            <w:tcW w:w="945" w:type="dxa"/>
          </w:tcPr>
          <w:p>
            <w:pPr>
              <w:pStyle w:val="TableParagraph"/>
              <w:spacing w:line="132" w:lineRule="exact" w:before="17"/>
              <w:ind w:left="384"/>
              <w:rPr>
                <w:sz w:val="13"/>
              </w:rPr>
            </w:pPr>
            <w:r>
              <w:rPr>
                <w:w w:val="90"/>
                <w:sz w:val="13"/>
              </w:rPr>
              <w:t>114.187</w:t>
            </w:r>
          </w:p>
        </w:tc>
        <w:tc>
          <w:tcPr>
            <w:tcW w:w="1297" w:type="dxa"/>
            <w:gridSpan w:val="2"/>
          </w:tcPr>
          <w:p>
            <w:pPr>
              <w:pStyle w:val="TableParagraph"/>
              <w:spacing w:line="132" w:lineRule="exact" w:before="17"/>
              <w:ind w:left="828"/>
              <w:rPr>
                <w:sz w:val="13"/>
              </w:rPr>
            </w:pPr>
            <w:r>
              <w:rPr>
                <w:w w:val="90"/>
                <w:sz w:val="13"/>
              </w:rPr>
              <w:t>156.506</w:t>
            </w:r>
          </w:p>
        </w:tc>
      </w:tr>
    </w:tbl>
    <w:tbl>
      <w:tblPr>
        <w:tblW w:w="0" w:type="auto"/>
        <w:jc w:val="left"/>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048"/>
        <w:gridCol w:w="1282"/>
        <w:gridCol w:w="1147"/>
        <w:gridCol w:w="54"/>
        <w:gridCol w:w="1356"/>
        <w:gridCol w:w="1181"/>
        <w:gridCol w:w="54"/>
        <w:gridCol w:w="1425"/>
        <w:gridCol w:w="1030"/>
        <w:gridCol w:w="744"/>
        <w:gridCol w:w="55"/>
        <w:gridCol w:w="1446"/>
        <w:gridCol w:w="1011"/>
        <w:gridCol w:w="745"/>
      </w:tblGrid>
      <w:tr>
        <w:trPr>
          <w:trHeight w:val="166" w:hRule="atLeast"/>
        </w:trPr>
        <w:tc>
          <w:tcPr>
            <w:tcW w:w="3048" w:type="dxa"/>
          </w:tcPr>
          <w:p>
            <w:pPr>
              <w:pStyle w:val="TableParagraph"/>
              <w:spacing w:line="140" w:lineRule="exact" w:before="6"/>
              <w:ind w:left="28"/>
              <w:rPr>
                <w:sz w:val="13"/>
              </w:rPr>
            </w:pPr>
            <w:r>
              <w:rPr>
                <w:w w:val="90"/>
                <w:sz w:val="13"/>
              </w:rPr>
              <w:t>Prejuízos acumulados</w:t>
            </w:r>
          </w:p>
        </w:tc>
        <w:tc>
          <w:tcPr>
            <w:tcW w:w="2429" w:type="dxa"/>
            <w:gridSpan w:val="2"/>
          </w:tcPr>
          <w:p>
            <w:pPr>
              <w:pStyle w:val="TableParagraph"/>
              <w:tabs>
                <w:tab w:pos="2195" w:val="left" w:leader="none"/>
              </w:tabs>
              <w:spacing w:line="140" w:lineRule="exact" w:before="6"/>
              <w:rPr>
                <w:sz w:val="13"/>
              </w:rPr>
            </w:pPr>
            <w:r>
              <w:rPr>
                <w:w w:val="60"/>
                <w:sz w:val="13"/>
                <w:u w:val="single"/>
              </w:rPr>
              <w:t> </w:t>
            </w:r>
            <w:r>
              <w:rPr>
                <w:sz w:val="13"/>
                <w:u w:val="single"/>
              </w:rPr>
              <w:tab/>
            </w:r>
            <w:r>
              <w:rPr>
                <w:w w:val="85"/>
                <w:sz w:val="13"/>
                <w:u w:val="single"/>
              </w:rPr>
              <w:t>-</w:t>
            </w:r>
            <w:r>
              <w:rPr>
                <w:spacing w:val="1"/>
                <w:sz w:val="13"/>
                <w:u w:val="single"/>
              </w:rPr>
              <w:t> </w:t>
            </w:r>
          </w:p>
        </w:tc>
        <w:tc>
          <w:tcPr>
            <w:tcW w:w="1410" w:type="dxa"/>
            <w:gridSpan w:val="2"/>
          </w:tcPr>
          <w:p>
            <w:pPr>
              <w:pStyle w:val="TableParagraph"/>
              <w:spacing w:line="140" w:lineRule="exact" w:before="6"/>
              <w:ind w:left="286"/>
              <w:rPr>
                <w:sz w:val="13"/>
              </w:rPr>
            </w:pPr>
            <w:r>
              <w:rPr>
                <w:w w:val="90"/>
                <w:sz w:val="13"/>
              </w:rPr>
              <w:t>(65.478)</w:t>
            </w:r>
          </w:p>
        </w:tc>
        <w:tc>
          <w:tcPr>
            <w:tcW w:w="4434" w:type="dxa"/>
            <w:gridSpan w:val="5"/>
          </w:tcPr>
          <w:p>
            <w:pPr>
              <w:pStyle w:val="TableParagraph"/>
              <w:tabs>
                <w:tab w:pos="4198" w:val="left" w:leader="none"/>
              </w:tabs>
              <w:spacing w:line="140" w:lineRule="exact" w:before="6"/>
              <w:ind w:left="731"/>
              <w:rPr>
                <w:sz w:val="13"/>
              </w:rPr>
            </w:pPr>
            <w:r>
              <w:rPr>
                <w:w w:val="90"/>
                <w:sz w:val="13"/>
              </w:rPr>
              <w:t>(65.478)</w:t>
            </w:r>
            <w:r>
              <w:rPr>
                <w:w w:val="90"/>
                <w:sz w:val="13"/>
                <w:u w:val="single"/>
              </w:rPr>
              <w:t> </w:t>
              <w:tab/>
              <w:t>-</w:t>
            </w:r>
            <w:r>
              <w:rPr>
                <w:spacing w:val="1"/>
                <w:sz w:val="13"/>
                <w:u w:val="single"/>
              </w:rPr>
              <w:t> </w:t>
            </w:r>
          </w:p>
        </w:tc>
        <w:tc>
          <w:tcPr>
            <w:tcW w:w="3257" w:type="dxa"/>
            <w:gridSpan w:val="4"/>
          </w:tcPr>
          <w:p>
            <w:pPr>
              <w:pStyle w:val="TableParagraph"/>
              <w:tabs>
                <w:tab w:pos="2802" w:val="left" w:leader="none"/>
              </w:tabs>
              <w:spacing w:line="140" w:lineRule="exact" w:before="6"/>
              <w:ind w:left="284"/>
              <w:rPr>
                <w:sz w:val="13"/>
              </w:rPr>
            </w:pPr>
            <w:r>
              <w:rPr>
                <w:w w:val="90"/>
                <w:sz w:val="13"/>
              </w:rPr>
              <w:t>(65.478)</w:t>
              <w:tab/>
              <w:t>(65.478)</w:t>
            </w:r>
          </w:p>
        </w:tc>
      </w:tr>
      <w:tr>
        <w:trPr>
          <w:trHeight w:val="168" w:hRule="atLeast"/>
        </w:trPr>
        <w:tc>
          <w:tcPr>
            <w:tcW w:w="3048" w:type="dxa"/>
          </w:tcPr>
          <w:p>
            <w:pPr>
              <w:pStyle w:val="TableParagraph"/>
              <w:spacing w:line="144" w:lineRule="exact" w:before="10"/>
              <w:ind w:left="28"/>
              <w:rPr>
                <w:rFonts w:ascii="Caladea" w:hAnsi="Caladea"/>
                <w:b/>
                <w:sz w:val="13"/>
              </w:rPr>
            </w:pPr>
            <w:r>
              <w:rPr>
                <w:rFonts w:ascii="Caladea" w:hAnsi="Caladea"/>
                <w:b/>
                <w:w w:val="95"/>
                <w:sz w:val="13"/>
              </w:rPr>
              <w:t>Atribuível as acionista controlador</w:t>
            </w:r>
          </w:p>
        </w:tc>
        <w:tc>
          <w:tcPr>
            <w:tcW w:w="1282" w:type="dxa"/>
          </w:tcPr>
          <w:p>
            <w:pPr>
              <w:pStyle w:val="TableParagraph"/>
              <w:spacing w:line="144" w:lineRule="exact" w:before="10"/>
              <w:ind w:left="206"/>
              <w:rPr>
                <w:rFonts w:ascii="Caladea"/>
                <w:b/>
                <w:sz w:val="13"/>
              </w:rPr>
            </w:pPr>
            <w:r>
              <w:rPr>
                <w:rFonts w:ascii="Caladea"/>
                <w:b/>
                <w:w w:val="95"/>
                <w:sz w:val="13"/>
              </w:rPr>
              <w:t>587.113</w:t>
            </w:r>
          </w:p>
        </w:tc>
        <w:tc>
          <w:tcPr>
            <w:tcW w:w="1147" w:type="dxa"/>
          </w:tcPr>
          <w:p>
            <w:pPr>
              <w:pStyle w:val="TableParagraph"/>
              <w:spacing w:line="144" w:lineRule="exact" w:before="10"/>
              <w:ind w:right="69"/>
              <w:jc w:val="right"/>
              <w:rPr>
                <w:rFonts w:ascii="Caladea"/>
                <w:b/>
                <w:sz w:val="13"/>
              </w:rPr>
            </w:pPr>
            <w:r>
              <w:rPr>
                <w:rFonts w:ascii="Caladea"/>
                <w:b/>
                <w:w w:val="80"/>
                <w:sz w:val="13"/>
              </w:rPr>
              <w:t>734.451</w:t>
            </w:r>
          </w:p>
        </w:tc>
        <w:tc>
          <w:tcPr>
            <w:tcW w:w="54" w:type="dxa"/>
          </w:tcPr>
          <w:p>
            <w:pPr>
              <w:pStyle w:val="TableParagraph"/>
              <w:rPr>
                <w:rFonts w:ascii="Times New Roman"/>
                <w:sz w:val="10"/>
              </w:rPr>
            </w:pPr>
          </w:p>
        </w:tc>
        <w:tc>
          <w:tcPr>
            <w:tcW w:w="1356" w:type="dxa"/>
            <w:tcBorders>
              <w:top w:val="single" w:sz="6" w:space="0" w:color="000000"/>
            </w:tcBorders>
          </w:tcPr>
          <w:p>
            <w:pPr>
              <w:pStyle w:val="TableParagraph"/>
              <w:spacing w:line="144" w:lineRule="exact" w:before="10"/>
              <w:ind w:left="205"/>
              <w:rPr>
                <w:rFonts w:ascii="Caladea"/>
                <w:b/>
                <w:sz w:val="13"/>
              </w:rPr>
            </w:pPr>
            <w:r>
              <w:rPr>
                <w:rFonts w:ascii="Caladea"/>
                <w:b/>
                <w:w w:val="95"/>
                <w:sz w:val="13"/>
              </w:rPr>
              <w:t>542.866</w:t>
            </w:r>
          </w:p>
        </w:tc>
        <w:tc>
          <w:tcPr>
            <w:tcW w:w="1181" w:type="dxa"/>
            <w:tcBorders>
              <w:top w:val="single" w:sz="6" w:space="0" w:color="000000"/>
            </w:tcBorders>
          </w:tcPr>
          <w:p>
            <w:pPr>
              <w:pStyle w:val="TableParagraph"/>
              <w:spacing w:line="144" w:lineRule="exact" w:before="10"/>
              <w:ind w:right="70"/>
              <w:jc w:val="right"/>
              <w:rPr>
                <w:rFonts w:ascii="Caladea"/>
                <w:b/>
                <w:sz w:val="13"/>
              </w:rPr>
            </w:pPr>
            <w:r>
              <w:rPr>
                <w:rFonts w:ascii="Caladea"/>
                <w:b/>
                <w:w w:val="80"/>
                <w:sz w:val="13"/>
              </w:rPr>
              <w:t>657.053</w:t>
            </w:r>
          </w:p>
        </w:tc>
        <w:tc>
          <w:tcPr>
            <w:tcW w:w="54" w:type="dxa"/>
          </w:tcPr>
          <w:p>
            <w:pPr>
              <w:pStyle w:val="TableParagraph"/>
              <w:rPr>
                <w:rFonts w:ascii="Times New Roman"/>
                <w:sz w:val="10"/>
              </w:rPr>
            </w:pPr>
          </w:p>
        </w:tc>
        <w:tc>
          <w:tcPr>
            <w:tcW w:w="1425" w:type="dxa"/>
          </w:tcPr>
          <w:p>
            <w:pPr>
              <w:pStyle w:val="TableParagraph"/>
              <w:spacing w:line="144" w:lineRule="exact" w:before="10"/>
              <w:ind w:left="203"/>
              <w:rPr>
                <w:rFonts w:ascii="Caladea"/>
                <w:b/>
                <w:sz w:val="13"/>
              </w:rPr>
            </w:pPr>
            <w:r>
              <w:rPr>
                <w:rFonts w:ascii="Caladea"/>
                <w:b/>
                <w:w w:val="95"/>
                <w:sz w:val="13"/>
              </w:rPr>
              <w:t>587.113</w:t>
            </w:r>
          </w:p>
        </w:tc>
        <w:tc>
          <w:tcPr>
            <w:tcW w:w="1030" w:type="dxa"/>
          </w:tcPr>
          <w:p>
            <w:pPr>
              <w:pStyle w:val="TableParagraph"/>
              <w:spacing w:line="143" w:lineRule="exact" w:before="11"/>
              <w:ind w:right="178"/>
              <w:jc w:val="right"/>
              <w:rPr>
                <w:sz w:val="13"/>
              </w:rPr>
            </w:pPr>
            <w:r>
              <w:rPr>
                <w:w w:val="74"/>
                <w:sz w:val="13"/>
              </w:rPr>
              <w:t>-</w:t>
            </w:r>
          </w:p>
        </w:tc>
        <w:tc>
          <w:tcPr>
            <w:tcW w:w="744" w:type="dxa"/>
          </w:tcPr>
          <w:p>
            <w:pPr>
              <w:pStyle w:val="TableParagraph"/>
              <w:spacing w:line="144" w:lineRule="exact" w:before="10"/>
              <w:ind w:right="70"/>
              <w:jc w:val="right"/>
              <w:rPr>
                <w:rFonts w:ascii="Caladea"/>
                <w:b/>
                <w:sz w:val="13"/>
              </w:rPr>
            </w:pPr>
            <w:r>
              <w:rPr>
                <w:rFonts w:ascii="Caladea"/>
                <w:b/>
                <w:w w:val="80"/>
                <w:sz w:val="13"/>
              </w:rPr>
              <w:t>734.451</w:t>
            </w:r>
          </w:p>
        </w:tc>
        <w:tc>
          <w:tcPr>
            <w:tcW w:w="55" w:type="dxa"/>
          </w:tcPr>
          <w:p>
            <w:pPr>
              <w:pStyle w:val="TableParagraph"/>
              <w:rPr>
                <w:rFonts w:ascii="Times New Roman"/>
                <w:sz w:val="10"/>
              </w:rPr>
            </w:pPr>
          </w:p>
        </w:tc>
        <w:tc>
          <w:tcPr>
            <w:tcW w:w="1446" w:type="dxa"/>
            <w:tcBorders>
              <w:top w:val="single" w:sz="6" w:space="0" w:color="000000"/>
            </w:tcBorders>
          </w:tcPr>
          <w:p>
            <w:pPr>
              <w:pStyle w:val="TableParagraph"/>
              <w:spacing w:line="144" w:lineRule="exact" w:before="10"/>
              <w:ind w:left="202"/>
              <w:rPr>
                <w:rFonts w:ascii="Caladea"/>
                <w:b/>
                <w:sz w:val="13"/>
              </w:rPr>
            </w:pPr>
            <w:r>
              <w:rPr>
                <w:rFonts w:ascii="Caladea"/>
                <w:b/>
                <w:w w:val="95"/>
                <w:sz w:val="13"/>
              </w:rPr>
              <w:t>542.866</w:t>
            </w:r>
          </w:p>
        </w:tc>
        <w:tc>
          <w:tcPr>
            <w:tcW w:w="1011" w:type="dxa"/>
            <w:tcBorders>
              <w:top w:val="single" w:sz="6" w:space="0" w:color="000000"/>
            </w:tcBorders>
          </w:tcPr>
          <w:p>
            <w:pPr>
              <w:pStyle w:val="TableParagraph"/>
              <w:spacing w:line="143" w:lineRule="exact" w:before="11"/>
              <w:ind w:right="182"/>
              <w:jc w:val="right"/>
              <w:rPr>
                <w:sz w:val="13"/>
              </w:rPr>
            </w:pPr>
            <w:r>
              <w:rPr>
                <w:w w:val="74"/>
                <w:sz w:val="13"/>
              </w:rPr>
              <w:t>-</w:t>
            </w:r>
          </w:p>
        </w:tc>
        <w:tc>
          <w:tcPr>
            <w:tcW w:w="745" w:type="dxa"/>
            <w:tcBorders>
              <w:top w:val="single" w:sz="6" w:space="0" w:color="000000"/>
            </w:tcBorders>
          </w:tcPr>
          <w:p>
            <w:pPr>
              <w:pStyle w:val="TableParagraph"/>
              <w:spacing w:line="144" w:lineRule="exact" w:before="10"/>
              <w:ind w:right="75"/>
              <w:jc w:val="right"/>
              <w:rPr>
                <w:rFonts w:ascii="Caladea"/>
                <w:b/>
                <w:sz w:val="13"/>
              </w:rPr>
            </w:pPr>
            <w:r>
              <w:rPr>
                <w:rFonts w:ascii="Caladea"/>
                <w:b/>
                <w:w w:val="80"/>
                <w:sz w:val="13"/>
              </w:rPr>
              <w:t>657.053</w:t>
            </w:r>
          </w:p>
        </w:tc>
      </w:tr>
      <w:tr>
        <w:trPr>
          <w:trHeight w:val="180" w:hRule="atLeast"/>
        </w:trPr>
        <w:tc>
          <w:tcPr>
            <w:tcW w:w="3048" w:type="dxa"/>
          </w:tcPr>
          <w:p>
            <w:pPr>
              <w:pStyle w:val="TableParagraph"/>
              <w:spacing w:line="144" w:lineRule="exact" w:before="16"/>
              <w:ind w:left="28"/>
              <w:rPr>
                <w:rFonts w:ascii="Caladea" w:hAnsi="Caladea"/>
                <w:b/>
                <w:sz w:val="13"/>
              </w:rPr>
            </w:pPr>
            <w:r>
              <w:rPr>
                <w:rFonts w:ascii="Caladea" w:hAnsi="Caladea"/>
                <w:b/>
                <w:w w:val="95"/>
                <w:sz w:val="13"/>
              </w:rPr>
              <w:t>Atribuível aos acionistas não controladores</w:t>
            </w:r>
          </w:p>
        </w:tc>
        <w:tc>
          <w:tcPr>
            <w:tcW w:w="1282" w:type="dxa"/>
          </w:tcPr>
          <w:p>
            <w:pPr>
              <w:pStyle w:val="TableParagraph"/>
              <w:rPr>
                <w:rFonts w:ascii="Times New Roman"/>
                <w:sz w:val="10"/>
              </w:rPr>
            </w:pPr>
          </w:p>
        </w:tc>
        <w:tc>
          <w:tcPr>
            <w:tcW w:w="1147" w:type="dxa"/>
          </w:tcPr>
          <w:p>
            <w:pPr>
              <w:pStyle w:val="TableParagraph"/>
              <w:rPr>
                <w:rFonts w:ascii="Times New Roman"/>
                <w:sz w:val="10"/>
              </w:rPr>
            </w:pPr>
          </w:p>
        </w:tc>
        <w:tc>
          <w:tcPr>
            <w:tcW w:w="54" w:type="dxa"/>
          </w:tcPr>
          <w:p>
            <w:pPr>
              <w:pStyle w:val="TableParagraph"/>
              <w:rPr>
                <w:rFonts w:ascii="Times New Roman"/>
                <w:sz w:val="10"/>
              </w:rPr>
            </w:pPr>
          </w:p>
        </w:tc>
        <w:tc>
          <w:tcPr>
            <w:tcW w:w="1356" w:type="dxa"/>
          </w:tcPr>
          <w:p>
            <w:pPr>
              <w:pStyle w:val="TableParagraph"/>
              <w:rPr>
                <w:rFonts w:ascii="Times New Roman"/>
                <w:sz w:val="10"/>
              </w:rPr>
            </w:pPr>
          </w:p>
        </w:tc>
        <w:tc>
          <w:tcPr>
            <w:tcW w:w="1181" w:type="dxa"/>
          </w:tcPr>
          <w:p>
            <w:pPr>
              <w:pStyle w:val="TableParagraph"/>
              <w:rPr>
                <w:rFonts w:ascii="Times New Roman"/>
                <w:sz w:val="10"/>
              </w:rPr>
            </w:pPr>
          </w:p>
        </w:tc>
        <w:tc>
          <w:tcPr>
            <w:tcW w:w="54" w:type="dxa"/>
          </w:tcPr>
          <w:p>
            <w:pPr>
              <w:pStyle w:val="TableParagraph"/>
              <w:rPr>
                <w:rFonts w:ascii="Times New Roman"/>
                <w:sz w:val="10"/>
              </w:rPr>
            </w:pPr>
          </w:p>
        </w:tc>
        <w:tc>
          <w:tcPr>
            <w:tcW w:w="1425" w:type="dxa"/>
          </w:tcPr>
          <w:p>
            <w:pPr>
              <w:pStyle w:val="TableParagraph"/>
              <w:spacing w:line="144" w:lineRule="exact" w:before="16"/>
              <w:ind w:left="203"/>
              <w:rPr>
                <w:rFonts w:ascii="Caladea"/>
                <w:b/>
                <w:sz w:val="13"/>
              </w:rPr>
            </w:pPr>
            <w:r>
              <w:rPr>
                <w:rFonts w:ascii="Caladea"/>
                <w:b/>
                <w:w w:val="95"/>
                <w:sz w:val="13"/>
              </w:rPr>
              <w:t>205.457</w:t>
            </w:r>
          </w:p>
        </w:tc>
        <w:tc>
          <w:tcPr>
            <w:tcW w:w="1030" w:type="dxa"/>
          </w:tcPr>
          <w:p>
            <w:pPr>
              <w:pStyle w:val="TableParagraph"/>
              <w:rPr>
                <w:rFonts w:ascii="Times New Roman"/>
                <w:sz w:val="10"/>
              </w:rPr>
            </w:pPr>
          </w:p>
        </w:tc>
        <w:tc>
          <w:tcPr>
            <w:tcW w:w="744" w:type="dxa"/>
          </w:tcPr>
          <w:p>
            <w:pPr>
              <w:pStyle w:val="TableParagraph"/>
              <w:spacing w:line="144" w:lineRule="exact" w:before="16"/>
              <w:ind w:right="70"/>
              <w:jc w:val="right"/>
              <w:rPr>
                <w:rFonts w:ascii="Caladea"/>
                <w:b/>
                <w:sz w:val="13"/>
              </w:rPr>
            </w:pPr>
            <w:r>
              <w:rPr>
                <w:rFonts w:ascii="Caladea"/>
                <w:b/>
                <w:w w:val="80"/>
                <w:sz w:val="13"/>
              </w:rPr>
              <w:t>205.457</w:t>
            </w:r>
          </w:p>
        </w:tc>
        <w:tc>
          <w:tcPr>
            <w:tcW w:w="55" w:type="dxa"/>
          </w:tcPr>
          <w:p>
            <w:pPr>
              <w:pStyle w:val="TableParagraph"/>
              <w:rPr>
                <w:rFonts w:ascii="Times New Roman"/>
                <w:sz w:val="10"/>
              </w:rPr>
            </w:pPr>
          </w:p>
        </w:tc>
        <w:tc>
          <w:tcPr>
            <w:tcW w:w="1446" w:type="dxa"/>
          </w:tcPr>
          <w:p>
            <w:pPr>
              <w:pStyle w:val="TableParagraph"/>
              <w:spacing w:line="144" w:lineRule="exact" w:before="16"/>
              <w:ind w:left="202"/>
              <w:rPr>
                <w:rFonts w:ascii="Caladea"/>
                <w:b/>
                <w:sz w:val="13"/>
              </w:rPr>
            </w:pPr>
            <w:r>
              <w:rPr>
                <w:rFonts w:ascii="Caladea"/>
                <w:b/>
                <w:w w:val="95"/>
                <w:sz w:val="13"/>
              </w:rPr>
              <w:t>201.429</w:t>
            </w:r>
          </w:p>
        </w:tc>
        <w:tc>
          <w:tcPr>
            <w:tcW w:w="1011" w:type="dxa"/>
          </w:tcPr>
          <w:p>
            <w:pPr>
              <w:pStyle w:val="TableParagraph"/>
              <w:rPr>
                <w:rFonts w:ascii="Times New Roman"/>
                <w:sz w:val="10"/>
              </w:rPr>
            </w:pPr>
          </w:p>
        </w:tc>
        <w:tc>
          <w:tcPr>
            <w:tcW w:w="745" w:type="dxa"/>
          </w:tcPr>
          <w:p>
            <w:pPr>
              <w:pStyle w:val="TableParagraph"/>
              <w:spacing w:line="144" w:lineRule="exact" w:before="16"/>
              <w:ind w:right="75"/>
              <w:jc w:val="right"/>
              <w:rPr>
                <w:rFonts w:ascii="Caladea"/>
                <w:b/>
                <w:sz w:val="13"/>
              </w:rPr>
            </w:pPr>
            <w:r>
              <w:rPr>
                <w:rFonts w:ascii="Caladea"/>
                <w:b/>
                <w:w w:val="80"/>
                <w:sz w:val="13"/>
              </w:rPr>
              <w:t>201.429</w:t>
            </w:r>
          </w:p>
        </w:tc>
      </w:tr>
      <w:tr>
        <w:trPr>
          <w:trHeight w:val="351" w:hRule="atLeast"/>
        </w:trPr>
        <w:tc>
          <w:tcPr>
            <w:tcW w:w="3048" w:type="dxa"/>
          </w:tcPr>
          <w:p>
            <w:pPr>
              <w:pStyle w:val="TableParagraph"/>
              <w:spacing w:before="16"/>
              <w:ind w:left="28"/>
              <w:rPr>
                <w:rFonts w:ascii="Caladea" w:hAnsi="Caladea"/>
                <w:b/>
                <w:sz w:val="13"/>
              </w:rPr>
            </w:pPr>
            <w:r>
              <w:rPr>
                <w:rFonts w:ascii="Caladea" w:hAnsi="Caladea"/>
                <w:b/>
                <w:w w:val="95"/>
                <w:sz w:val="13"/>
              </w:rPr>
              <w:t>Total do Patrimônio Líquido</w:t>
            </w:r>
          </w:p>
        </w:tc>
        <w:tc>
          <w:tcPr>
            <w:tcW w:w="1282" w:type="dxa"/>
            <w:tcBorders>
              <w:bottom w:val="single" w:sz="6" w:space="0" w:color="000000"/>
            </w:tcBorders>
          </w:tcPr>
          <w:p>
            <w:pPr>
              <w:pStyle w:val="TableParagraph"/>
              <w:spacing w:before="16"/>
              <w:ind w:left="206"/>
              <w:rPr>
                <w:rFonts w:ascii="Caladea"/>
                <w:b/>
                <w:sz w:val="13"/>
              </w:rPr>
            </w:pPr>
            <w:r>
              <w:rPr>
                <w:rFonts w:ascii="Caladea"/>
                <w:b/>
                <w:w w:val="95"/>
                <w:sz w:val="13"/>
              </w:rPr>
              <w:t>587.113</w:t>
            </w:r>
          </w:p>
        </w:tc>
        <w:tc>
          <w:tcPr>
            <w:tcW w:w="1147" w:type="dxa"/>
            <w:tcBorders>
              <w:bottom w:val="single" w:sz="6" w:space="0" w:color="000000"/>
            </w:tcBorders>
          </w:tcPr>
          <w:p>
            <w:pPr>
              <w:pStyle w:val="TableParagraph"/>
              <w:spacing w:before="16"/>
              <w:ind w:right="69"/>
              <w:jc w:val="right"/>
              <w:rPr>
                <w:rFonts w:ascii="Caladea"/>
                <w:b/>
                <w:sz w:val="13"/>
              </w:rPr>
            </w:pPr>
            <w:r>
              <w:rPr>
                <w:rFonts w:ascii="Caladea"/>
                <w:b/>
                <w:w w:val="80"/>
                <w:sz w:val="13"/>
              </w:rPr>
              <w:t>734.451</w:t>
            </w:r>
          </w:p>
        </w:tc>
        <w:tc>
          <w:tcPr>
            <w:tcW w:w="54" w:type="dxa"/>
          </w:tcPr>
          <w:p>
            <w:pPr>
              <w:pStyle w:val="TableParagraph"/>
              <w:rPr>
                <w:rFonts w:ascii="Times New Roman"/>
                <w:sz w:val="10"/>
              </w:rPr>
            </w:pPr>
          </w:p>
        </w:tc>
        <w:tc>
          <w:tcPr>
            <w:tcW w:w="1356" w:type="dxa"/>
            <w:tcBorders>
              <w:bottom w:val="single" w:sz="6" w:space="0" w:color="000000"/>
            </w:tcBorders>
          </w:tcPr>
          <w:p>
            <w:pPr>
              <w:pStyle w:val="TableParagraph"/>
              <w:spacing w:before="16"/>
              <w:ind w:left="205"/>
              <w:rPr>
                <w:rFonts w:ascii="Caladea"/>
                <w:b/>
                <w:sz w:val="13"/>
              </w:rPr>
            </w:pPr>
            <w:r>
              <w:rPr>
                <w:rFonts w:ascii="Caladea"/>
                <w:b/>
                <w:w w:val="95"/>
                <w:sz w:val="13"/>
              </w:rPr>
              <w:t>542.866</w:t>
            </w:r>
          </w:p>
        </w:tc>
        <w:tc>
          <w:tcPr>
            <w:tcW w:w="1181" w:type="dxa"/>
            <w:tcBorders>
              <w:bottom w:val="single" w:sz="6" w:space="0" w:color="000000"/>
            </w:tcBorders>
          </w:tcPr>
          <w:p>
            <w:pPr>
              <w:pStyle w:val="TableParagraph"/>
              <w:spacing w:before="16"/>
              <w:ind w:right="70"/>
              <w:jc w:val="right"/>
              <w:rPr>
                <w:rFonts w:ascii="Caladea"/>
                <w:b/>
                <w:sz w:val="13"/>
              </w:rPr>
            </w:pPr>
            <w:r>
              <w:rPr>
                <w:rFonts w:ascii="Caladea"/>
                <w:b/>
                <w:w w:val="80"/>
                <w:sz w:val="13"/>
              </w:rPr>
              <w:t>657.053</w:t>
            </w:r>
          </w:p>
        </w:tc>
        <w:tc>
          <w:tcPr>
            <w:tcW w:w="54" w:type="dxa"/>
          </w:tcPr>
          <w:p>
            <w:pPr>
              <w:pStyle w:val="TableParagraph"/>
              <w:rPr>
                <w:rFonts w:ascii="Times New Roman"/>
                <w:sz w:val="10"/>
              </w:rPr>
            </w:pPr>
          </w:p>
        </w:tc>
        <w:tc>
          <w:tcPr>
            <w:tcW w:w="1425" w:type="dxa"/>
            <w:tcBorders>
              <w:bottom w:val="single" w:sz="6" w:space="0" w:color="000000"/>
            </w:tcBorders>
          </w:tcPr>
          <w:p>
            <w:pPr>
              <w:pStyle w:val="TableParagraph"/>
              <w:spacing w:before="16"/>
              <w:ind w:left="203"/>
              <w:rPr>
                <w:rFonts w:ascii="Caladea"/>
                <w:b/>
                <w:sz w:val="13"/>
              </w:rPr>
            </w:pPr>
            <w:r>
              <w:rPr>
                <w:rFonts w:ascii="Caladea"/>
                <w:b/>
                <w:w w:val="95"/>
                <w:sz w:val="13"/>
              </w:rPr>
              <w:t>792.570</w:t>
            </w:r>
          </w:p>
        </w:tc>
        <w:tc>
          <w:tcPr>
            <w:tcW w:w="1030" w:type="dxa"/>
            <w:tcBorders>
              <w:bottom w:val="single" w:sz="6" w:space="0" w:color="000000"/>
            </w:tcBorders>
          </w:tcPr>
          <w:p>
            <w:pPr>
              <w:pStyle w:val="TableParagraph"/>
              <w:spacing w:before="17"/>
              <w:ind w:right="178"/>
              <w:jc w:val="right"/>
              <w:rPr>
                <w:sz w:val="13"/>
              </w:rPr>
            </w:pPr>
            <w:r>
              <w:rPr>
                <w:w w:val="74"/>
                <w:sz w:val="13"/>
              </w:rPr>
              <w:t>-</w:t>
            </w:r>
          </w:p>
        </w:tc>
        <w:tc>
          <w:tcPr>
            <w:tcW w:w="744" w:type="dxa"/>
            <w:tcBorders>
              <w:bottom w:val="single" w:sz="6" w:space="0" w:color="000000"/>
            </w:tcBorders>
          </w:tcPr>
          <w:p>
            <w:pPr>
              <w:pStyle w:val="TableParagraph"/>
              <w:spacing w:before="16"/>
              <w:ind w:right="70"/>
              <w:jc w:val="right"/>
              <w:rPr>
                <w:rFonts w:ascii="Caladea"/>
                <w:b/>
                <w:sz w:val="13"/>
              </w:rPr>
            </w:pPr>
            <w:r>
              <w:rPr>
                <w:rFonts w:ascii="Caladea"/>
                <w:b/>
                <w:w w:val="80"/>
                <w:sz w:val="13"/>
              </w:rPr>
              <w:t>939.908</w:t>
            </w:r>
          </w:p>
        </w:tc>
        <w:tc>
          <w:tcPr>
            <w:tcW w:w="55" w:type="dxa"/>
          </w:tcPr>
          <w:p>
            <w:pPr>
              <w:pStyle w:val="TableParagraph"/>
              <w:rPr>
                <w:rFonts w:ascii="Times New Roman"/>
                <w:sz w:val="10"/>
              </w:rPr>
            </w:pPr>
          </w:p>
        </w:tc>
        <w:tc>
          <w:tcPr>
            <w:tcW w:w="1446" w:type="dxa"/>
            <w:tcBorders>
              <w:bottom w:val="single" w:sz="6" w:space="0" w:color="000000"/>
            </w:tcBorders>
          </w:tcPr>
          <w:p>
            <w:pPr>
              <w:pStyle w:val="TableParagraph"/>
              <w:spacing w:before="16"/>
              <w:ind w:left="202"/>
              <w:rPr>
                <w:rFonts w:ascii="Caladea"/>
                <w:b/>
                <w:sz w:val="13"/>
              </w:rPr>
            </w:pPr>
            <w:r>
              <w:rPr>
                <w:rFonts w:ascii="Caladea"/>
                <w:b/>
                <w:w w:val="95"/>
                <w:sz w:val="13"/>
              </w:rPr>
              <w:t>744.295</w:t>
            </w:r>
          </w:p>
        </w:tc>
        <w:tc>
          <w:tcPr>
            <w:tcW w:w="1011" w:type="dxa"/>
            <w:tcBorders>
              <w:bottom w:val="single" w:sz="6" w:space="0" w:color="000000"/>
            </w:tcBorders>
          </w:tcPr>
          <w:p>
            <w:pPr>
              <w:pStyle w:val="TableParagraph"/>
              <w:spacing w:before="17"/>
              <w:ind w:right="182"/>
              <w:jc w:val="right"/>
              <w:rPr>
                <w:sz w:val="13"/>
              </w:rPr>
            </w:pPr>
            <w:r>
              <w:rPr>
                <w:w w:val="74"/>
                <w:sz w:val="13"/>
              </w:rPr>
              <w:t>-</w:t>
            </w:r>
          </w:p>
        </w:tc>
        <w:tc>
          <w:tcPr>
            <w:tcW w:w="745" w:type="dxa"/>
            <w:tcBorders>
              <w:bottom w:val="single" w:sz="6" w:space="0" w:color="000000"/>
            </w:tcBorders>
          </w:tcPr>
          <w:p>
            <w:pPr>
              <w:pStyle w:val="TableParagraph"/>
              <w:spacing w:before="16"/>
              <w:ind w:right="75"/>
              <w:jc w:val="right"/>
              <w:rPr>
                <w:rFonts w:ascii="Caladea"/>
                <w:b/>
                <w:sz w:val="13"/>
              </w:rPr>
            </w:pPr>
            <w:r>
              <w:rPr>
                <w:rFonts w:ascii="Caladea"/>
                <w:b/>
                <w:w w:val="80"/>
                <w:sz w:val="13"/>
              </w:rPr>
              <w:t>858.482</w:t>
            </w:r>
          </w:p>
        </w:tc>
      </w:tr>
      <w:tr>
        <w:trPr>
          <w:trHeight w:val="167" w:hRule="atLeast"/>
        </w:trPr>
        <w:tc>
          <w:tcPr>
            <w:tcW w:w="3048" w:type="dxa"/>
          </w:tcPr>
          <w:p>
            <w:pPr>
              <w:pStyle w:val="TableParagraph"/>
              <w:spacing w:line="137" w:lineRule="exact" w:before="9"/>
              <w:ind w:left="28"/>
              <w:rPr>
                <w:rFonts w:ascii="Caladea"/>
                <w:b/>
                <w:sz w:val="13"/>
              </w:rPr>
            </w:pPr>
            <w:r>
              <w:rPr>
                <w:rFonts w:ascii="Caladea"/>
                <w:b/>
                <w:w w:val="95"/>
                <w:sz w:val="13"/>
              </w:rPr>
              <w:t>Total do Passivo</w:t>
            </w:r>
          </w:p>
        </w:tc>
        <w:tc>
          <w:tcPr>
            <w:tcW w:w="1282" w:type="dxa"/>
            <w:tcBorders>
              <w:top w:val="single" w:sz="6" w:space="0" w:color="000000"/>
              <w:bottom w:val="thinThickMediumGap" w:sz="3" w:space="0" w:color="000000"/>
            </w:tcBorders>
          </w:tcPr>
          <w:p>
            <w:pPr>
              <w:pStyle w:val="TableParagraph"/>
              <w:spacing w:line="137" w:lineRule="exact" w:before="9"/>
              <w:ind w:left="206"/>
              <w:rPr>
                <w:rFonts w:ascii="Caladea"/>
                <w:b/>
                <w:sz w:val="13"/>
              </w:rPr>
            </w:pPr>
            <w:r>
              <w:rPr>
                <w:rFonts w:ascii="Caladea"/>
                <w:b/>
                <w:w w:val="95"/>
                <w:sz w:val="13"/>
              </w:rPr>
              <w:t>711.338</w:t>
            </w:r>
          </w:p>
        </w:tc>
        <w:tc>
          <w:tcPr>
            <w:tcW w:w="1147" w:type="dxa"/>
            <w:tcBorders>
              <w:top w:val="single" w:sz="6" w:space="0" w:color="000000"/>
              <w:bottom w:val="thinThickMediumGap" w:sz="3" w:space="0" w:color="000000"/>
            </w:tcBorders>
          </w:tcPr>
          <w:p>
            <w:pPr>
              <w:pStyle w:val="TableParagraph"/>
              <w:spacing w:line="137" w:lineRule="exact" w:before="9"/>
              <w:ind w:right="69"/>
              <w:jc w:val="right"/>
              <w:rPr>
                <w:rFonts w:ascii="Caladea"/>
                <w:b/>
                <w:sz w:val="13"/>
              </w:rPr>
            </w:pPr>
            <w:r>
              <w:rPr>
                <w:rFonts w:ascii="Caladea"/>
                <w:b/>
                <w:w w:val="80"/>
                <w:sz w:val="13"/>
              </w:rPr>
              <w:t>858.676</w:t>
            </w:r>
          </w:p>
        </w:tc>
        <w:tc>
          <w:tcPr>
            <w:tcW w:w="54" w:type="dxa"/>
          </w:tcPr>
          <w:p>
            <w:pPr>
              <w:pStyle w:val="TableParagraph"/>
              <w:rPr>
                <w:rFonts w:ascii="Times New Roman"/>
                <w:sz w:val="10"/>
              </w:rPr>
            </w:pPr>
          </w:p>
        </w:tc>
        <w:tc>
          <w:tcPr>
            <w:tcW w:w="1356" w:type="dxa"/>
            <w:tcBorders>
              <w:top w:val="single" w:sz="6" w:space="0" w:color="000000"/>
              <w:bottom w:val="thinThickMediumGap" w:sz="3" w:space="0" w:color="000000"/>
            </w:tcBorders>
          </w:tcPr>
          <w:p>
            <w:pPr>
              <w:pStyle w:val="TableParagraph"/>
              <w:spacing w:line="137" w:lineRule="exact" w:before="9"/>
              <w:ind w:left="205"/>
              <w:rPr>
                <w:rFonts w:ascii="Caladea"/>
                <w:b/>
                <w:sz w:val="13"/>
              </w:rPr>
            </w:pPr>
            <w:r>
              <w:rPr>
                <w:rFonts w:ascii="Caladea"/>
                <w:b/>
                <w:w w:val="95"/>
                <w:sz w:val="13"/>
              </w:rPr>
              <w:t>664.390</w:t>
            </w:r>
          </w:p>
        </w:tc>
        <w:tc>
          <w:tcPr>
            <w:tcW w:w="1181" w:type="dxa"/>
            <w:tcBorders>
              <w:top w:val="single" w:sz="6" w:space="0" w:color="000000"/>
              <w:bottom w:val="thinThickMediumGap" w:sz="3" w:space="0" w:color="000000"/>
            </w:tcBorders>
          </w:tcPr>
          <w:p>
            <w:pPr>
              <w:pStyle w:val="TableParagraph"/>
              <w:spacing w:line="137" w:lineRule="exact" w:before="9"/>
              <w:ind w:right="70"/>
              <w:jc w:val="right"/>
              <w:rPr>
                <w:rFonts w:ascii="Caladea"/>
                <w:b/>
                <w:sz w:val="13"/>
              </w:rPr>
            </w:pPr>
            <w:r>
              <w:rPr>
                <w:rFonts w:ascii="Caladea"/>
                <w:b/>
                <w:w w:val="80"/>
                <w:sz w:val="13"/>
              </w:rPr>
              <w:t>778.577</w:t>
            </w:r>
          </w:p>
        </w:tc>
        <w:tc>
          <w:tcPr>
            <w:tcW w:w="54" w:type="dxa"/>
          </w:tcPr>
          <w:p>
            <w:pPr>
              <w:pStyle w:val="TableParagraph"/>
              <w:rPr>
                <w:rFonts w:ascii="Times New Roman"/>
                <w:sz w:val="10"/>
              </w:rPr>
            </w:pPr>
          </w:p>
        </w:tc>
        <w:tc>
          <w:tcPr>
            <w:tcW w:w="1425" w:type="dxa"/>
            <w:tcBorders>
              <w:top w:val="single" w:sz="6" w:space="0" w:color="000000"/>
              <w:bottom w:val="thinThickMediumGap" w:sz="3" w:space="0" w:color="000000"/>
            </w:tcBorders>
          </w:tcPr>
          <w:p>
            <w:pPr>
              <w:pStyle w:val="TableParagraph"/>
              <w:spacing w:line="137" w:lineRule="exact" w:before="9"/>
              <w:ind w:left="114"/>
              <w:rPr>
                <w:rFonts w:ascii="Caladea"/>
                <w:b/>
                <w:sz w:val="13"/>
              </w:rPr>
            </w:pPr>
            <w:r>
              <w:rPr>
                <w:rFonts w:ascii="Caladea"/>
                <w:b/>
                <w:w w:val="95"/>
                <w:sz w:val="13"/>
              </w:rPr>
              <w:t>3.741.671</w:t>
            </w:r>
          </w:p>
        </w:tc>
        <w:tc>
          <w:tcPr>
            <w:tcW w:w="1030" w:type="dxa"/>
            <w:tcBorders>
              <w:top w:val="single" w:sz="6" w:space="0" w:color="000000"/>
              <w:bottom w:val="thinThickMediumGap" w:sz="3" w:space="0" w:color="000000"/>
            </w:tcBorders>
          </w:tcPr>
          <w:p>
            <w:pPr>
              <w:pStyle w:val="TableParagraph"/>
              <w:spacing w:line="136" w:lineRule="exact" w:before="11"/>
              <w:ind w:right="178"/>
              <w:jc w:val="right"/>
              <w:rPr>
                <w:sz w:val="13"/>
              </w:rPr>
            </w:pPr>
            <w:r>
              <w:rPr>
                <w:w w:val="74"/>
                <w:sz w:val="13"/>
              </w:rPr>
              <w:t>-</w:t>
            </w:r>
          </w:p>
        </w:tc>
        <w:tc>
          <w:tcPr>
            <w:tcW w:w="744" w:type="dxa"/>
            <w:tcBorders>
              <w:top w:val="single" w:sz="6" w:space="0" w:color="000000"/>
              <w:bottom w:val="thinThickMediumGap" w:sz="3" w:space="0" w:color="000000"/>
            </w:tcBorders>
          </w:tcPr>
          <w:p>
            <w:pPr>
              <w:pStyle w:val="TableParagraph"/>
              <w:spacing w:line="137" w:lineRule="exact" w:before="9"/>
              <w:ind w:right="71"/>
              <w:jc w:val="right"/>
              <w:rPr>
                <w:rFonts w:ascii="Caladea"/>
                <w:b/>
                <w:sz w:val="13"/>
              </w:rPr>
            </w:pPr>
            <w:r>
              <w:rPr>
                <w:rFonts w:ascii="Caladea"/>
                <w:b/>
                <w:w w:val="80"/>
                <w:sz w:val="13"/>
              </w:rPr>
              <w:t>3.741.671</w:t>
            </w:r>
          </w:p>
        </w:tc>
        <w:tc>
          <w:tcPr>
            <w:tcW w:w="55" w:type="dxa"/>
          </w:tcPr>
          <w:p>
            <w:pPr>
              <w:pStyle w:val="TableParagraph"/>
              <w:rPr>
                <w:rFonts w:ascii="Times New Roman"/>
                <w:sz w:val="10"/>
              </w:rPr>
            </w:pPr>
          </w:p>
        </w:tc>
        <w:tc>
          <w:tcPr>
            <w:tcW w:w="1446" w:type="dxa"/>
            <w:tcBorders>
              <w:top w:val="single" w:sz="6" w:space="0" w:color="000000"/>
              <w:bottom w:val="thinThickMediumGap" w:sz="3" w:space="0" w:color="000000"/>
            </w:tcBorders>
          </w:tcPr>
          <w:p>
            <w:pPr>
              <w:pStyle w:val="TableParagraph"/>
              <w:spacing w:line="137" w:lineRule="exact" w:before="9"/>
              <w:ind w:left="113"/>
              <w:rPr>
                <w:rFonts w:ascii="Caladea"/>
                <w:b/>
                <w:sz w:val="13"/>
              </w:rPr>
            </w:pPr>
            <w:r>
              <w:rPr>
                <w:rFonts w:ascii="Caladea"/>
                <w:b/>
                <w:w w:val="95"/>
                <w:sz w:val="13"/>
              </w:rPr>
              <w:t>3.602.748</w:t>
            </w:r>
          </w:p>
        </w:tc>
        <w:tc>
          <w:tcPr>
            <w:tcW w:w="1011" w:type="dxa"/>
            <w:tcBorders>
              <w:top w:val="single" w:sz="6" w:space="0" w:color="000000"/>
              <w:bottom w:val="thinThickMediumGap" w:sz="3" w:space="0" w:color="000000"/>
            </w:tcBorders>
          </w:tcPr>
          <w:p>
            <w:pPr>
              <w:pStyle w:val="TableParagraph"/>
              <w:spacing w:line="136" w:lineRule="exact" w:before="11"/>
              <w:ind w:right="182"/>
              <w:jc w:val="right"/>
              <w:rPr>
                <w:sz w:val="13"/>
              </w:rPr>
            </w:pPr>
            <w:r>
              <w:rPr>
                <w:w w:val="74"/>
                <w:sz w:val="13"/>
              </w:rPr>
              <w:t>-</w:t>
            </w:r>
          </w:p>
        </w:tc>
        <w:tc>
          <w:tcPr>
            <w:tcW w:w="745" w:type="dxa"/>
            <w:tcBorders>
              <w:top w:val="single" w:sz="6" w:space="0" w:color="000000"/>
              <w:bottom w:val="thinThickMediumGap" w:sz="3" w:space="0" w:color="000000"/>
            </w:tcBorders>
          </w:tcPr>
          <w:p>
            <w:pPr>
              <w:pStyle w:val="TableParagraph"/>
              <w:spacing w:line="137" w:lineRule="exact" w:before="9"/>
              <w:ind w:right="75"/>
              <w:jc w:val="right"/>
              <w:rPr>
                <w:rFonts w:ascii="Caladea"/>
                <w:b/>
                <w:sz w:val="13"/>
              </w:rPr>
            </w:pPr>
            <w:r>
              <w:rPr>
                <w:rFonts w:ascii="Caladea"/>
                <w:b/>
                <w:w w:val="80"/>
                <w:sz w:val="13"/>
              </w:rPr>
              <w:t>3.602.748</w:t>
            </w:r>
          </w:p>
        </w:tc>
      </w:tr>
    </w:tbl>
    <w:p>
      <w:pPr>
        <w:spacing w:after="0" w:line="137" w:lineRule="exact"/>
        <w:jc w:val="right"/>
        <w:rPr>
          <w:rFonts w:ascii="Caladea"/>
          <w:sz w:val="13"/>
        </w:rPr>
        <w:sectPr>
          <w:type w:val="continuous"/>
          <w:pgSz w:w="16850" w:h="11910" w:orient="landscape"/>
          <w:pgMar w:top="1600" w:bottom="280" w:left="1020" w:right="102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before="3"/>
        <w:rPr>
          <w:sz w:val="13"/>
        </w:rPr>
      </w:pPr>
    </w:p>
    <w:p>
      <w:pPr>
        <w:pStyle w:val="ListParagraph"/>
        <w:numPr>
          <w:ilvl w:val="1"/>
          <w:numId w:val="17"/>
        </w:numPr>
        <w:tabs>
          <w:tab w:pos="1025" w:val="left" w:leader="none"/>
          <w:tab w:pos="1026" w:val="left" w:leader="none"/>
        </w:tabs>
        <w:spacing w:line="240" w:lineRule="auto" w:before="101" w:after="0"/>
        <w:ind w:left="1025" w:right="0" w:hanging="854"/>
        <w:jc w:val="left"/>
        <w:rPr>
          <w:rFonts w:ascii="Caladea" w:hAnsi="Caladea"/>
          <w:b/>
          <w:sz w:val="18"/>
        </w:rPr>
      </w:pPr>
      <w:r>
        <w:rPr>
          <w:rFonts w:ascii="Caladea" w:hAnsi="Caladea"/>
          <w:b/>
          <w:sz w:val="22"/>
        </w:rPr>
        <w:t>D</w:t>
      </w:r>
      <w:r>
        <w:rPr>
          <w:rFonts w:ascii="Caladea" w:hAnsi="Caladea"/>
          <w:b/>
          <w:sz w:val="18"/>
        </w:rPr>
        <w:t>EMONSTRAÇÕES DAS </w:t>
      </w:r>
      <w:r>
        <w:rPr>
          <w:rFonts w:ascii="Caladea" w:hAnsi="Caladea"/>
          <w:b/>
          <w:sz w:val="22"/>
        </w:rPr>
        <w:t>M</w:t>
      </w:r>
      <w:r>
        <w:rPr>
          <w:rFonts w:ascii="Caladea" w:hAnsi="Caladea"/>
          <w:b/>
          <w:sz w:val="18"/>
        </w:rPr>
        <w:t>UTAÇÕES DO </w:t>
      </w:r>
      <w:r>
        <w:rPr>
          <w:rFonts w:ascii="Caladea" w:hAnsi="Caladea"/>
          <w:b/>
          <w:sz w:val="22"/>
        </w:rPr>
        <w:t>P</w:t>
      </w:r>
      <w:r>
        <w:rPr>
          <w:rFonts w:ascii="Caladea" w:hAnsi="Caladea"/>
          <w:b/>
          <w:sz w:val="18"/>
        </w:rPr>
        <w:t>ATRIMÔNIO</w:t>
      </w:r>
      <w:r>
        <w:rPr>
          <w:rFonts w:ascii="Caladea" w:hAnsi="Caladea"/>
          <w:b/>
          <w:spacing w:val="-1"/>
          <w:sz w:val="18"/>
        </w:rPr>
        <w:t> </w:t>
      </w:r>
      <w:r>
        <w:rPr>
          <w:rFonts w:ascii="Caladea" w:hAnsi="Caladea"/>
          <w:b/>
          <w:sz w:val="22"/>
        </w:rPr>
        <w:t>L</w:t>
      </w:r>
      <w:r>
        <w:rPr>
          <w:rFonts w:ascii="Caladea" w:hAnsi="Caladea"/>
          <w:b/>
          <w:sz w:val="18"/>
        </w:rPr>
        <w:t>ÍQUIDO</w:t>
      </w:r>
    </w:p>
    <w:p>
      <w:pPr>
        <w:pStyle w:val="BodyText"/>
        <w:spacing w:before="7"/>
        <w:rPr>
          <w:rFonts w:ascii="Caladea"/>
          <w:b/>
          <w:sz w:val="23"/>
        </w:rPr>
      </w:pPr>
    </w:p>
    <w:tbl>
      <w:tblPr>
        <w:tblW w:w="0" w:type="auto"/>
        <w:jc w:val="left"/>
        <w:tblInd w:w="1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289"/>
        <w:gridCol w:w="570"/>
        <w:gridCol w:w="1332"/>
        <w:gridCol w:w="781"/>
        <w:gridCol w:w="1048"/>
        <w:gridCol w:w="910"/>
        <w:gridCol w:w="984"/>
      </w:tblGrid>
      <w:tr>
        <w:trPr>
          <w:trHeight w:val="216" w:hRule="atLeast"/>
        </w:trPr>
        <w:tc>
          <w:tcPr>
            <w:tcW w:w="4289" w:type="dxa"/>
            <w:vMerge w:val="restart"/>
            <w:tcBorders>
              <w:left w:val="single" w:sz="4" w:space="0" w:color="000000"/>
              <w:right w:val="single" w:sz="4" w:space="0" w:color="000000"/>
            </w:tcBorders>
          </w:tcPr>
          <w:p>
            <w:pPr>
              <w:pStyle w:val="TableParagraph"/>
              <w:rPr>
                <w:rFonts w:ascii="Caladea"/>
                <w:b/>
                <w:sz w:val="16"/>
              </w:rPr>
            </w:pPr>
          </w:p>
          <w:p>
            <w:pPr>
              <w:pStyle w:val="TableParagraph"/>
              <w:spacing w:before="128"/>
              <w:ind w:left="22"/>
              <w:rPr>
                <w:rFonts w:ascii="Caladea"/>
                <w:b/>
                <w:sz w:val="14"/>
              </w:rPr>
            </w:pPr>
            <w:r>
              <w:rPr>
                <w:rFonts w:ascii="Caladea"/>
                <w:b/>
                <w:w w:val="90"/>
                <w:sz w:val="14"/>
              </w:rPr>
              <w:t>Eventos</w:t>
            </w:r>
          </w:p>
        </w:tc>
        <w:tc>
          <w:tcPr>
            <w:tcW w:w="3731" w:type="dxa"/>
            <w:gridSpan w:val="4"/>
            <w:tcBorders>
              <w:left w:val="single" w:sz="4" w:space="0" w:color="000000"/>
              <w:right w:val="single" w:sz="4" w:space="0" w:color="000000"/>
            </w:tcBorders>
          </w:tcPr>
          <w:p>
            <w:pPr>
              <w:pStyle w:val="TableParagraph"/>
              <w:spacing w:before="15"/>
              <w:ind w:left="867"/>
              <w:rPr>
                <w:rFonts w:ascii="Caladea" w:hAnsi="Caladea"/>
                <w:b/>
                <w:sz w:val="14"/>
              </w:rPr>
            </w:pPr>
            <w:r>
              <w:rPr>
                <w:rFonts w:ascii="Caladea" w:hAnsi="Caladea"/>
                <w:b/>
                <w:w w:val="90"/>
                <w:sz w:val="14"/>
              </w:rPr>
              <w:t>Atribuído aos acionistas controladores</w:t>
            </w:r>
          </w:p>
        </w:tc>
        <w:tc>
          <w:tcPr>
            <w:tcW w:w="910" w:type="dxa"/>
            <w:vMerge w:val="restart"/>
            <w:tcBorders>
              <w:left w:val="single" w:sz="4" w:space="0" w:color="000000"/>
              <w:right w:val="single" w:sz="4" w:space="0" w:color="000000"/>
            </w:tcBorders>
          </w:tcPr>
          <w:p>
            <w:pPr>
              <w:pStyle w:val="TableParagraph"/>
              <w:spacing w:line="271" w:lineRule="auto" w:before="131"/>
              <w:ind w:left="74" w:right="58" w:hanging="19"/>
              <w:jc w:val="both"/>
              <w:rPr>
                <w:rFonts w:ascii="Caladea" w:hAnsi="Caladea"/>
                <w:b/>
                <w:sz w:val="14"/>
              </w:rPr>
            </w:pPr>
            <w:r>
              <w:rPr>
                <w:rFonts w:ascii="Caladea" w:hAnsi="Caladea"/>
                <w:b/>
                <w:w w:val="80"/>
                <w:sz w:val="14"/>
              </w:rPr>
              <w:t>Participação </w:t>
            </w:r>
            <w:r>
              <w:rPr>
                <w:rFonts w:ascii="Caladea" w:hAnsi="Caladea"/>
                <w:b/>
                <w:spacing w:val="-7"/>
                <w:w w:val="80"/>
                <w:sz w:val="14"/>
              </w:rPr>
              <w:t>de </w:t>
            </w:r>
            <w:r>
              <w:rPr>
                <w:rFonts w:ascii="Caladea" w:hAnsi="Caladea"/>
                <w:b/>
                <w:w w:val="80"/>
                <w:sz w:val="14"/>
              </w:rPr>
              <w:t>Acionistas </w:t>
            </w:r>
            <w:r>
              <w:rPr>
                <w:rFonts w:ascii="Caladea" w:hAnsi="Caladea"/>
                <w:b/>
                <w:spacing w:val="-3"/>
                <w:w w:val="80"/>
                <w:sz w:val="14"/>
              </w:rPr>
              <w:t>não </w:t>
            </w:r>
            <w:r>
              <w:rPr>
                <w:rFonts w:ascii="Caladea" w:hAnsi="Caladea"/>
                <w:b/>
                <w:w w:val="80"/>
                <w:sz w:val="14"/>
              </w:rPr>
              <w:t>Controladores</w:t>
            </w:r>
          </w:p>
        </w:tc>
        <w:tc>
          <w:tcPr>
            <w:tcW w:w="984" w:type="dxa"/>
            <w:vMerge w:val="restart"/>
            <w:tcBorders>
              <w:left w:val="single" w:sz="4" w:space="0" w:color="000000"/>
              <w:right w:val="single" w:sz="4" w:space="0" w:color="000000"/>
            </w:tcBorders>
          </w:tcPr>
          <w:p>
            <w:pPr>
              <w:pStyle w:val="TableParagraph"/>
              <w:spacing w:line="271" w:lineRule="auto" w:before="131"/>
              <w:ind w:left="193" w:right="202" w:firstLine="9"/>
              <w:jc w:val="center"/>
              <w:rPr>
                <w:rFonts w:ascii="Caladea" w:hAnsi="Caladea"/>
                <w:b/>
                <w:sz w:val="14"/>
              </w:rPr>
            </w:pPr>
            <w:r>
              <w:rPr>
                <w:rFonts w:ascii="Caladea" w:hAnsi="Caladea"/>
                <w:b/>
                <w:w w:val="90"/>
                <w:sz w:val="14"/>
              </w:rPr>
              <w:t>Total do </w:t>
            </w:r>
            <w:r>
              <w:rPr>
                <w:rFonts w:ascii="Caladea" w:hAnsi="Caladea"/>
                <w:b/>
                <w:w w:val="75"/>
                <w:sz w:val="14"/>
              </w:rPr>
              <w:t>Patrimônio </w:t>
            </w:r>
            <w:r>
              <w:rPr>
                <w:rFonts w:ascii="Caladea" w:hAnsi="Caladea"/>
                <w:b/>
                <w:w w:val="90"/>
                <w:sz w:val="14"/>
              </w:rPr>
              <w:t>Líquido</w:t>
            </w:r>
          </w:p>
        </w:tc>
      </w:tr>
      <w:tr>
        <w:trPr>
          <w:trHeight w:val="586" w:hRule="atLeast"/>
        </w:trPr>
        <w:tc>
          <w:tcPr>
            <w:tcW w:w="4289" w:type="dxa"/>
            <w:vMerge/>
            <w:tcBorders>
              <w:top w:val="nil"/>
              <w:left w:val="single" w:sz="4" w:space="0" w:color="000000"/>
              <w:right w:val="single" w:sz="4" w:space="0" w:color="000000"/>
            </w:tcBorders>
          </w:tcPr>
          <w:p>
            <w:pPr>
              <w:rPr>
                <w:sz w:val="2"/>
                <w:szCs w:val="2"/>
              </w:rPr>
            </w:pPr>
          </w:p>
        </w:tc>
        <w:tc>
          <w:tcPr>
            <w:tcW w:w="570" w:type="dxa"/>
            <w:tcBorders>
              <w:left w:val="single" w:sz="4" w:space="0" w:color="000000"/>
              <w:right w:val="single" w:sz="4" w:space="0" w:color="000000"/>
            </w:tcBorders>
          </w:tcPr>
          <w:p>
            <w:pPr>
              <w:pStyle w:val="TableParagraph"/>
              <w:spacing w:line="271" w:lineRule="auto" w:before="108"/>
              <w:ind w:left="132" w:right="97" w:hanging="28"/>
              <w:rPr>
                <w:rFonts w:ascii="Caladea"/>
                <w:b/>
                <w:sz w:val="14"/>
              </w:rPr>
            </w:pPr>
            <w:r>
              <w:rPr>
                <w:rFonts w:ascii="Caladea"/>
                <w:b/>
                <w:w w:val="75"/>
                <w:sz w:val="14"/>
              </w:rPr>
              <w:t>Capital </w:t>
            </w:r>
            <w:r>
              <w:rPr>
                <w:rFonts w:ascii="Caladea"/>
                <w:b/>
                <w:w w:val="80"/>
                <w:sz w:val="14"/>
              </w:rPr>
              <w:t>Social</w:t>
            </w:r>
          </w:p>
        </w:tc>
        <w:tc>
          <w:tcPr>
            <w:tcW w:w="1332" w:type="dxa"/>
            <w:tcBorders>
              <w:left w:val="single" w:sz="4" w:space="0" w:color="000000"/>
              <w:right w:val="single" w:sz="4" w:space="0" w:color="000000"/>
            </w:tcBorders>
          </w:tcPr>
          <w:p>
            <w:pPr>
              <w:pStyle w:val="TableParagraph"/>
              <w:spacing w:line="271" w:lineRule="auto" w:before="16"/>
              <w:ind w:left="159" w:right="156" w:hanging="7"/>
              <w:jc w:val="center"/>
              <w:rPr>
                <w:rFonts w:ascii="Caladea" w:hAnsi="Caladea"/>
                <w:b/>
                <w:sz w:val="14"/>
              </w:rPr>
            </w:pPr>
            <w:r>
              <w:rPr>
                <w:rFonts w:ascii="Caladea" w:hAnsi="Caladea"/>
                <w:b/>
                <w:w w:val="80"/>
                <w:sz w:val="14"/>
              </w:rPr>
              <w:t>Ajuste de Avaliação </w:t>
            </w:r>
            <w:r>
              <w:rPr>
                <w:rFonts w:ascii="Caladea" w:hAnsi="Caladea"/>
                <w:b/>
                <w:w w:val="75"/>
                <w:sz w:val="14"/>
              </w:rPr>
              <w:t>Patrimonial/Outros</w:t>
            </w:r>
          </w:p>
          <w:p>
            <w:pPr>
              <w:pStyle w:val="TableParagraph"/>
              <w:spacing w:line="163" w:lineRule="exact"/>
              <w:ind w:left="13" w:right="19"/>
              <w:jc w:val="center"/>
              <w:rPr>
                <w:rFonts w:ascii="Caladea"/>
                <w:b/>
                <w:sz w:val="14"/>
              </w:rPr>
            </w:pPr>
            <w:r>
              <w:rPr>
                <w:rFonts w:ascii="Caladea"/>
                <w:b/>
                <w:w w:val="80"/>
                <w:sz w:val="14"/>
              </w:rPr>
              <w:t>Resultados Abrangentes</w:t>
            </w:r>
          </w:p>
        </w:tc>
        <w:tc>
          <w:tcPr>
            <w:tcW w:w="781" w:type="dxa"/>
            <w:tcBorders>
              <w:left w:val="single" w:sz="4" w:space="0" w:color="000000"/>
              <w:right w:val="single" w:sz="4" w:space="0" w:color="000000"/>
            </w:tcBorders>
          </w:tcPr>
          <w:p>
            <w:pPr>
              <w:pStyle w:val="TableParagraph"/>
              <w:spacing w:line="271" w:lineRule="auto" w:before="16"/>
              <w:ind w:left="94" w:right="97" w:firstLine="10"/>
              <w:jc w:val="center"/>
              <w:rPr>
                <w:rFonts w:ascii="Caladea" w:hAnsi="Caladea"/>
                <w:b/>
                <w:sz w:val="14"/>
              </w:rPr>
            </w:pPr>
            <w:r>
              <w:rPr>
                <w:rFonts w:ascii="Caladea" w:hAnsi="Caladea"/>
                <w:b/>
                <w:w w:val="90"/>
                <w:sz w:val="14"/>
              </w:rPr>
              <w:t>Lucros / </w:t>
            </w:r>
            <w:r>
              <w:rPr>
                <w:rFonts w:ascii="Caladea" w:hAnsi="Caladea"/>
                <w:b/>
                <w:w w:val="75"/>
                <w:sz w:val="14"/>
              </w:rPr>
              <w:t>(Prejuízos)</w:t>
            </w:r>
          </w:p>
          <w:p>
            <w:pPr>
              <w:pStyle w:val="TableParagraph"/>
              <w:spacing w:line="163" w:lineRule="exact"/>
              <w:ind w:left="44" w:right="50"/>
              <w:jc w:val="center"/>
              <w:rPr>
                <w:rFonts w:ascii="Caladea"/>
                <w:b/>
                <w:sz w:val="14"/>
              </w:rPr>
            </w:pPr>
            <w:r>
              <w:rPr>
                <w:rFonts w:ascii="Caladea"/>
                <w:b/>
                <w:w w:val="80"/>
                <w:sz w:val="14"/>
              </w:rPr>
              <w:t>Acumulados</w:t>
            </w:r>
          </w:p>
        </w:tc>
        <w:tc>
          <w:tcPr>
            <w:tcW w:w="1048" w:type="dxa"/>
            <w:tcBorders>
              <w:left w:val="single" w:sz="4" w:space="0" w:color="000000"/>
              <w:right w:val="single" w:sz="4" w:space="0" w:color="000000"/>
            </w:tcBorders>
          </w:tcPr>
          <w:p>
            <w:pPr>
              <w:pStyle w:val="TableParagraph"/>
              <w:spacing w:line="271" w:lineRule="auto" w:before="16"/>
              <w:ind w:left="277" w:hanging="156"/>
              <w:rPr>
                <w:rFonts w:ascii="Caladea" w:hAnsi="Caladea"/>
                <w:b/>
                <w:sz w:val="14"/>
              </w:rPr>
            </w:pPr>
            <w:r>
              <w:rPr>
                <w:rFonts w:ascii="Caladea" w:hAnsi="Caladea"/>
                <w:b/>
                <w:w w:val="80"/>
                <w:sz w:val="14"/>
              </w:rPr>
              <w:t>Participação do </w:t>
            </w:r>
            <w:r>
              <w:rPr>
                <w:rFonts w:ascii="Caladea" w:hAnsi="Caladea"/>
                <w:b/>
                <w:w w:val="90"/>
                <w:sz w:val="14"/>
              </w:rPr>
              <w:t>Acionista</w:t>
            </w:r>
          </w:p>
          <w:p>
            <w:pPr>
              <w:pStyle w:val="TableParagraph"/>
              <w:spacing w:line="163" w:lineRule="exact"/>
              <w:ind w:left="204"/>
              <w:rPr>
                <w:rFonts w:ascii="Caladea"/>
                <w:b/>
                <w:sz w:val="14"/>
              </w:rPr>
            </w:pPr>
            <w:r>
              <w:rPr>
                <w:rFonts w:ascii="Caladea"/>
                <w:b/>
                <w:w w:val="90"/>
                <w:sz w:val="14"/>
              </w:rPr>
              <w:t>Controlador</w:t>
            </w:r>
          </w:p>
        </w:tc>
        <w:tc>
          <w:tcPr>
            <w:tcW w:w="910" w:type="dxa"/>
            <w:vMerge/>
            <w:tcBorders>
              <w:top w:val="nil"/>
              <w:left w:val="single" w:sz="4" w:space="0" w:color="000000"/>
              <w:right w:val="single" w:sz="4" w:space="0" w:color="000000"/>
            </w:tcBorders>
          </w:tcPr>
          <w:p>
            <w:pPr>
              <w:rPr>
                <w:sz w:val="2"/>
                <w:szCs w:val="2"/>
              </w:rPr>
            </w:pPr>
          </w:p>
        </w:tc>
        <w:tc>
          <w:tcPr>
            <w:tcW w:w="984" w:type="dxa"/>
            <w:vMerge/>
            <w:tcBorders>
              <w:top w:val="nil"/>
              <w:left w:val="single" w:sz="4" w:space="0" w:color="000000"/>
              <w:right w:val="single" w:sz="4" w:space="0" w:color="000000"/>
            </w:tcBorders>
          </w:tcPr>
          <w:p>
            <w:pPr>
              <w:rPr>
                <w:sz w:val="2"/>
                <w:szCs w:val="2"/>
              </w:rPr>
            </w:pPr>
          </w:p>
        </w:tc>
      </w:tr>
      <w:tr>
        <w:trPr>
          <w:trHeight w:val="204" w:hRule="atLeast"/>
        </w:trPr>
        <w:tc>
          <w:tcPr>
            <w:tcW w:w="4289" w:type="dxa"/>
            <w:tcBorders>
              <w:left w:val="single" w:sz="4" w:space="0" w:color="000000"/>
              <w:right w:val="single" w:sz="4" w:space="0" w:color="000000"/>
            </w:tcBorders>
          </w:tcPr>
          <w:p>
            <w:pPr>
              <w:pStyle w:val="TableParagraph"/>
              <w:spacing w:line="146" w:lineRule="exact" w:before="38"/>
              <w:ind w:left="22"/>
              <w:rPr>
                <w:rFonts w:ascii="Caladea" w:hAnsi="Caladea"/>
                <w:b/>
                <w:sz w:val="14"/>
              </w:rPr>
            </w:pPr>
            <w:r>
              <w:rPr>
                <w:rFonts w:ascii="Caladea" w:hAnsi="Caladea"/>
                <w:b/>
                <w:w w:val="90"/>
                <w:sz w:val="14"/>
              </w:rPr>
              <w:t>Saldo em 1º de janeiro de 2018 - Reapresentado</w:t>
            </w:r>
          </w:p>
        </w:tc>
        <w:tc>
          <w:tcPr>
            <w:tcW w:w="570" w:type="dxa"/>
            <w:tcBorders>
              <w:left w:val="single" w:sz="4" w:space="0" w:color="000000"/>
              <w:right w:val="single" w:sz="4" w:space="0" w:color="000000"/>
            </w:tcBorders>
          </w:tcPr>
          <w:p>
            <w:pPr>
              <w:pStyle w:val="TableParagraph"/>
              <w:spacing w:line="146" w:lineRule="exact" w:before="38"/>
              <w:ind w:left="31" w:right="5"/>
              <w:jc w:val="center"/>
              <w:rPr>
                <w:rFonts w:ascii="Caladea"/>
                <w:b/>
                <w:sz w:val="14"/>
              </w:rPr>
            </w:pPr>
            <w:r>
              <w:rPr>
                <w:rFonts w:ascii="Caladea"/>
                <w:b/>
                <w:w w:val="85"/>
                <w:sz w:val="14"/>
              </w:rPr>
              <w:t>566.025</w:t>
            </w:r>
          </w:p>
        </w:tc>
        <w:tc>
          <w:tcPr>
            <w:tcW w:w="1332" w:type="dxa"/>
            <w:tcBorders>
              <w:left w:val="single" w:sz="4" w:space="0" w:color="000000"/>
              <w:right w:val="single" w:sz="4" w:space="0" w:color="000000"/>
            </w:tcBorders>
          </w:tcPr>
          <w:p>
            <w:pPr>
              <w:pStyle w:val="TableParagraph"/>
              <w:spacing w:line="146" w:lineRule="exact" w:before="38"/>
              <w:ind w:right="58"/>
              <w:jc w:val="right"/>
              <w:rPr>
                <w:rFonts w:ascii="Caladea"/>
                <w:b/>
                <w:sz w:val="14"/>
              </w:rPr>
            </w:pPr>
            <w:r>
              <w:rPr>
                <w:rFonts w:ascii="Caladea"/>
                <w:b/>
                <w:w w:val="75"/>
                <w:sz w:val="14"/>
              </w:rPr>
              <w:t>156.506</w:t>
            </w:r>
          </w:p>
        </w:tc>
        <w:tc>
          <w:tcPr>
            <w:tcW w:w="781" w:type="dxa"/>
            <w:tcBorders>
              <w:left w:val="single" w:sz="4" w:space="0" w:color="000000"/>
              <w:right w:val="single" w:sz="4" w:space="0" w:color="000000"/>
            </w:tcBorders>
          </w:tcPr>
          <w:p>
            <w:pPr>
              <w:pStyle w:val="TableParagraph"/>
              <w:spacing w:line="146" w:lineRule="exact" w:before="38"/>
              <w:ind w:left="315"/>
              <w:rPr>
                <w:rFonts w:ascii="Caladea"/>
                <w:b/>
                <w:sz w:val="14"/>
              </w:rPr>
            </w:pPr>
            <w:r>
              <w:rPr>
                <w:rFonts w:ascii="Caladea"/>
                <w:b/>
                <w:w w:val="75"/>
                <w:sz w:val="14"/>
              </w:rPr>
              <w:t>(65.478)</w:t>
            </w:r>
          </w:p>
        </w:tc>
        <w:tc>
          <w:tcPr>
            <w:tcW w:w="1048" w:type="dxa"/>
            <w:tcBorders>
              <w:left w:val="single" w:sz="4" w:space="0" w:color="000000"/>
              <w:right w:val="single" w:sz="4" w:space="0" w:color="000000"/>
            </w:tcBorders>
          </w:tcPr>
          <w:p>
            <w:pPr>
              <w:pStyle w:val="TableParagraph"/>
              <w:spacing w:line="146" w:lineRule="exact" w:before="38"/>
              <w:ind w:right="59"/>
              <w:jc w:val="right"/>
              <w:rPr>
                <w:rFonts w:ascii="Caladea"/>
                <w:b/>
                <w:sz w:val="14"/>
              </w:rPr>
            </w:pPr>
            <w:r>
              <w:rPr>
                <w:rFonts w:ascii="Caladea"/>
                <w:b/>
                <w:w w:val="75"/>
                <w:sz w:val="14"/>
              </w:rPr>
              <w:t>657.053</w:t>
            </w:r>
          </w:p>
        </w:tc>
        <w:tc>
          <w:tcPr>
            <w:tcW w:w="910" w:type="dxa"/>
            <w:tcBorders>
              <w:left w:val="single" w:sz="4" w:space="0" w:color="000000"/>
              <w:right w:val="single" w:sz="4" w:space="0" w:color="000000"/>
            </w:tcBorders>
          </w:tcPr>
          <w:p>
            <w:pPr>
              <w:pStyle w:val="TableParagraph"/>
              <w:spacing w:line="146" w:lineRule="exact" w:before="38"/>
              <w:ind w:right="60"/>
              <w:jc w:val="right"/>
              <w:rPr>
                <w:rFonts w:ascii="Caladea"/>
                <w:b/>
                <w:sz w:val="14"/>
              </w:rPr>
            </w:pPr>
            <w:r>
              <w:rPr>
                <w:rFonts w:ascii="Caladea"/>
                <w:b/>
                <w:w w:val="75"/>
                <w:sz w:val="14"/>
              </w:rPr>
              <w:t>201.429</w:t>
            </w:r>
          </w:p>
        </w:tc>
        <w:tc>
          <w:tcPr>
            <w:tcW w:w="984" w:type="dxa"/>
            <w:tcBorders>
              <w:left w:val="single" w:sz="4" w:space="0" w:color="000000"/>
              <w:right w:val="single" w:sz="4" w:space="0" w:color="000000"/>
            </w:tcBorders>
          </w:tcPr>
          <w:p>
            <w:pPr>
              <w:pStyle w:val="TableParagraph"/>
              <w:spacing w:line="146" w:lineRule="exact" w:before="38"/>
              <w:ind w:right="61"/>
              <w:jc w:val="right"/>
              <w:rPr>
                <w:rFonts w:ascii="Caladea"/>
                <w:b/>
                <w:sz w:val="14"/>
              </w:rPr>
            </w:pPr>
            <w:r>
              <w:rPr>
                <w:rFonts w:ascii="Caladea"/>
                <w:b/>
                <w:w w:val="75"/>
                <w:sz w:val="14"/>
              </w:rPr>
              <w:t>858.482</w:t>
            </w:r>
          </w:p>
        </w:tc>
      </w:tr>
      <w:tr>
        <w:trPr>
          <w:trHeight w:val="1961" w:hRule="atLeast"/>
        </w:trPr>
        <w:tc>
          <w:tcPr>
            <w:tcW w:w="4289" w:type="dxa"/>
            <w:tcBorders>
              <w:left w:val="single" w:sz="4" w:space="0" w:color="000000"/>
              <w:right w:val="single" w:sz="4" w:space="0" w:color="000000"/>
            </w:tcBorders>
          </w:tcPr>
          <w:p>
            <w:pPr>
              <w:pStyle w:val="TableParagraph"/>
              <w:spacing w:before="38"/>
              <w:ind w:left="22"/>
              <w:rPr>
                <w:rFonts w:ascii="Caladea" w:hAnsi="Caladea"/>
                <w:b/>
                <w:sz w:val="14"/>
              </w:rPr>
            </w:pPr>
            <w:r>
              <w:rPr>
                <w:rFonts w:ascii="Caladea" w:hAnsi="Caladea"/>
                <w:b/>
                <w:w w:val="90"/>
                <w:sz w:val="14"/>
              </w:rPr>
              <w:t>Transação de Capital com Acionistas:</w:t>
            </w:r>
          </w:p>
          <w:p>
            <w:pPr>
              <w:pStyle w:val="TableParagraph"/>
              <w:spacing w:line="324" w:lineRule="auto" w:before="57"/>
              <w:ind w:left="22" w:right="1971"/>
              <w:rPr>
                <w:sz w:val="14"/>
              </w:rPr>
            </w:pPr>
            <w:r>
              <w:rPr>
                <w:w w:val="85"/>
                <w:sz w:val="14"/>
              </w:rPr>
              <w:t>Dividendos destinados aos acionistas </w:t>
            </w:r>
            <w:r>
              <w:rPr>
                <w:w w:val="75"/>
                <w:sz w:val="14"/>
              </w:rPr>
              <w:t>Constituição de Provisão de Partes Beneficiárias </w:t>
            </w:r>
            <w:r>
              <w:rPr>
                <w:w w:val="85"/>
                <w:sz w:val="14"/>
              </w:rPr>
              <w:t>Dividendos a pagar</w:t>
            </w:r>
          </w:p>
          <w:p>
            <w:pPr>
              <w:pStyle w:val="TableParagraph"/>
              <w:spacing w:line="321" w:lineRule="auto"/>
              <w:ind w:left="22" w:right="2899"/>
              <w:rPr>
                <w:rFonts w:ascii="Caladea" w:hAnsi="Caladea"/>
                <w:b/>
                <w:sz w:val="14"/>
              </w:rPr>
            </w:pPr>
            <w:r>
              <w:rPr>
                <w:rFonts w:ascii="Caladea" w:hAnsi="Caladea"/>
                <w:b/>
                <w:w w:val="80"/>
                <w:sz w:val="14"/>
              </w:rPr>
              <w:t>Lucro líquido do exercício </w:t>
            </w:r>
            <w:r>
              <w:rPr>
                <w:rFonts w:ascii="Caladea" w:hAnsi="Caladea"/>
                <w:b/>
                <w:w w:val="90"/>
                <w:sz w:val="14"/>
              </w:rPr>
              <w:t>Destinação do Lucro</w:t>
            </w:r>
          </w:p>
          <w:p>
            <w:pPr>
              <w:pStyle w:val="TableParagraph"/>
              <w:ind w:left="104"/>
              <w:rPr>
                <w:sz w:val="14"/>
              </w:rPr>
            </w:pPr>
            <w:r>
              <w:rPr>
                <w:w w:val="85"/>
                <w:sz w:val="14"/>
              </w:rPr>
              <w:t>Reserva Legal</w:t>
            </w:r>
          </w:p>
          <w:p>
            <w:pPr>
              <w:pStyle w:val="TableParagraph"/>
              <w:spacing w:before="57"/>
              <w:ind w:left="104"/>
              <w:rPr>
                <w:sz w:val="14"/>
              </w:rPr>
            </w:pPr>
            <w:r>
              <w:rPr>
                <w:w w:val="90"/>
                <w:sz w:val="14"/>
              </w:rPr>
              <w:t>Reserva para Expansão dos Negócios Sociais</w:t>
            </w:r>
          </w:p>
          <w:p>
            <w:pPr>
              <w:pStyle w:val="TableParagraph"/>
              <w:spacing w:line="144" w:lineRule="exact" w:before="57"/>
              <w:ind w:left="22"/>
              <w:rPr>
                <w:sz w:val="14"/>
              </w:rPr>
            </w:pPr>
            <w:r>
              <w:rPr>
                <w:w w:val="80"/>
                <w:sz w:val="14"/>
              </w:rPr>
              <w:t>Equiv. Patrim. sobre Resultados Abrangentes - Controladas - Benefícios Pós-Emprego</w:t>
            </w:r>
          </w:p>
        </w:tc>
        <w:tc>
          <w:tcPr>
            <w:tcW w:w="570" w:type="dxa"/>
            <w:tcBorders>
              <w:left w:val="single" w:sz="4" w:space="0" w:color="000000"/>
              <w:right w:val="single" w:sz="4" w:space="0" w:color="000000"/>
            </w:tcBorders>
          </w:tcPr>
          <w:p>
            <w:pPr>
              <w:pStyle w:val="TableParagraph"/>
              <w:rPr>
                <w:rFonts w:ascii="Times New Roman"/>
                <w:sz w:val="18"/>
              </w:rPr>
            </w:pPr>
          </w:p>
        </w:tc>
        <w:tc>
          <w:tcPr>
            <w:tcW w:w="1332" w:type="dxa"/>
            <w:tcBorders>
              <w:left w:val="single" w:sz="4" w:space="0" w:color="000000"/>
              <w:right w:val="single" w:sz="4" w:space="0" w:color="000000"/>
            </w:tcBorders>
          </w:tcPr>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line="144" w:lineRule="exact" w:before="109"/>
              <w:ind w:right="17"/>
              <w:jc w:val="right"/>
              <w:rPr>
                <w:sz w:val="14"/>
              </w:rPr>
            </w:pPr>
            <w:r>
              <w:rPr>
                <w:w w:val="80"/>
                <w:sz w:val="14"/>
              </w:rPr>
              <w:t>(6.757)</w:t>
            </w:r>
          </w:p>
        </w:tc>
        <w:tc>
          <w:tcPr>
            <w:tcW w:w="781" w:type="dxa"/>
            <w:tcBorders>
              <w:left w:val="single" w:sz="4" w:space="0" w:color="000000"/>
              <w:right w:val="single" w:sz="4" w:space="0" w:color="000000"/>
            </w:tcBorders>
          </w:tcPr>
          <w:p>
            <w:pPr>
              <w:pStyle w:val="TableParagraph"/>
              <w:spacing w:before="1"/>
              <w:rPr>
                <w:rFonts w:ascii="Caladea"/>
                <w:b/>
                <w:sz w:val="22"/>
              </w:rPr>
            </w:pPr>
          </w:p>
          <w:p>
            <w:pPr>
              <w:pStyle w:val="TableParagraph"/>
              <w:ind w:left="388"/>
              <w:rPr>
                <w:sz w:val="14"/>
              </w:rPr>
            </w:pPr>
            <w:r>
              <w:rPr>
                <w:w w:val="80"/>
                <w:sz w:val="14"/>
              </w:rPr>
              <w:t>(5.817)</w:t>
            </w:r>
          </w:p>
          <w:p>
            <w:pPr>
              <w:pStyle w:val="TableParagraph"/>
              <w:rPr>
                <w:rFonts w:ascii="Caladea"/>
                <w:b/>
                <w:sz w:val="16"/>
              </w:rPr>
            </w:pPr>
          </w:p>
          <w:p>
            <w:pPr>
              <w:pStyle w:val="TableParagraph"/>
              <w:rPr>
                <w:rFonts w:ascii="Caladea"/>
                <w:b/>
                <w:sz w:val="16"/>
              </w:rPr>
            </w:pPr>
          </w:p>
          <w:p>
            <w:pPr>
              <w:pStyle w:val="TableParagraph"/>
              <w:spacing w:before="122"/>
              <w:ind w:left="370"/>
              <w:rPr>
                <w:sz w:val="14"/>
              </w:rPr>
            </w:pPr>
            <w:r>
              <w:rPr>
                <w:w w:val="85"/>
                <w:sz w:val="14"/>
              </w:rPr>
              <w:t>89.972</w:t>
            </w:r>
          </w:p>
          <w:p>
            <w:pPr>
              <w:pStyle w:val="TableParagraph"/>
              <w:spacing w:before="7"/>
              <w:rPr>
                <w:rFonts w:ascii="Caladea"/>
                <w:b/>
                <w:sz w:val="23"/>
              </w:rPr>
            </w:pPr>
          </w:p>
          <w:p>
            <w:pPr>
              <w:pStyle w:val="TableParagraph"/>
              <w:ind w:left="388"/>
              <w:rPr>
                <w:sz w:val="14"/>
              </w:rPr>
            </w:pPr>
            <w:r>
              <w:rPr>
                <w:w w:val="80"/>
                <w:sz w:val="14"/>
              </w:rPr>
              <w:t>(1.225)</w:t>
            </w:r>
          </w:p>
          <w:p>
            <w:pPr>
              <w:pStyle w:val="TableParagraph"/>
              <w:spacing w:before="57"/>
              <w:ind w:left="324"/>
              <w:rPr>
                <w:sz w:val="14"/>
              </w:rPr>
            </w:pPr>
            <w:r>
              <w:rPr>
                <w:w w:val="80"/>
                <w:sz w:val="14"/>
              </w:rPr>
              <w:t>(17.452)</w:t>
            </w:r>
          </w:p>
        </w:tc>
        <w:tc>
          <w:tcPr>
            <w:tcW w:w="1048" w:type="dxa"/>
            <w:tcBorders>
              <w:left w:val="single" w:sz="4" w:space="0" w:color="000000"/>
              <w:right w:val="single" w:sz="4" w:space="0" w:color="000000"/>
            </w:tcBorders>
          </w:tcPr>
          <w:p>
            <w:pPr>
              <w:pStyle w:val="TableParagraph"/>
              <w:spacing w:before="1"/>
              <w:rPr>
                <w:rFonts w:ascii="Caladea"/>
                <w:b/>
                <w:sz w:val="22"/>
              </w:rPr>
            </w:pPr>
          </w:p>
          <w:p>
            <w:pPr>
              <w:pStyle w:val="TableParagraph"/>
              <w:ind w:left="654"/>
              <w:rPr>
                <w:sz w:val="14"/>
              </w:rPr>
            </w:pPr>
            <w:r>
              <w:rPr>
                <w:w w:val="80"/>
                <w:sz w:val="14"/>
              </w:rPr>
              <w:t>(5.817)</w:t>
            </w:r>
          </w:p>
          <w:p>
            <w:pPr>
              <w:pStyle w:val="TableParagraph"/>
              <w:rPr>
                <w:rFonts w:ascii="Caladea"/>
                <w:b/>
                <w:sz w:val="16"/>
              </w:rPr>
            </w:pPr>
          </w:p>
          <w:p>
            <w:pPr>
              <w:pStyle w:val="TableParagraph"/>
              <w:rPr>
                <w:rFonts w:ascii="Caladea"/>
                <w:b/>
                <w:sz w:val="16"/>
              </w:rPr>
            </w:pPr>
          </w:p>
          <w:p>
            <w:pPr>
              <w:pStyle w:val="TableParagraph"/>
              <w:spacing w:before="122"/>
              <w:ind w:left="636"/>
              <w:rPr>
                <w:sz w:val="14"/>
              </w:rPr>
            </w:pPr>
            <w:r>
              <w:rPr>
                <w:w w:val="85"/>
                <w:sz w:val="14"/>
              </w:rPr>
              <w:t>89.972</w:t>
            </w: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rPr>
                <w:rFonts w:ascii="Caladea"/>
                <w:b/>
                <w:sz w:val="13"/>
              </w:rPr>
            </w:pPr>
          </w:p>
          <w:p>
            <w:pPr>
              <w:pStyle w:val="TableParagraph"/>
              <w:spacing w:line="144" w:lineRule="exact" w:before="1"/>
              <w:ind w:left="654"/>
              <w:rPr>
                <w:sz w:val="14"/>
              </w:rPr>
            </w:pPr>
            <w:r>
              <w:rPr>
                <w:w w:val="80"/>
                <w:sz w:val="14"/>
              </w:rPr>
              <w:t>(6.757)</w:t>
            </w:r>
          </w:p>
        </w:tc>
        <w:tc>
          <w:tcPr>
            <w:tcW w:w="910" w:type="dxa"/>
            <w:tcBorders>
              <w:left w:val="single" w:sz="4" w:space="0" w:color="000000"/>
              <w:right w:val="single" w:sz="4" w:space="0" w:color="000000"/>
            </w:tcBorders>
          </w:tcPr>
          <w:p>
            <w:pPr>
              <w:pStyle w:val="TableParagraph"/>
              <w:rPr>
                <w:rFonts w:ascii="Caladea"/>
                <w:b/>
                <w:sz w:val="16"/>
              </w:rPr>
            </w:pPr>
          </w:p>
          <w:p>
            <w:pPr>
              <w:pStyle w:val="TableParagraph"/>
              <w:rPr>
                <w:rFonts w:ascii="Caladea"/>
                <w:b/>
                <w:sz w:val="16"/>
              </w:rPr>
            </w:pPr>
          </w:p>
          <w:p>
            <w:pPr>
              <w:pStyle w:val="TableParagraph"/>
              <w:spacing w:before="104"/>
              <w:ind w:left="515"/>
              <w:rPr>
                <w:sz w:val="14"/>
              </w:rPr>
            </w:pPr>
            <w:r>
              <w:rPr>
                <w:w w:val="80"/>
                <w:sz w:val="14"/>
              </w:rPr>
              <w:t>(5.238)</w:t>
            </w:r>
          </w:p>
          <w:p>
            <w:pPr>
              <w:pStyle w:val="TableParagraph"/>
              <w:spacing w:before="57"/>
              <w:ind w:left="451"/>
              <w:rPr>
                <w:sz w:val="14"/>
              </w:rPr>
            </w:pPr>
            <w:r>
              <w:rPr>
                <w:w w:val="80"/>
                <w:sz w:val="14"/>
              </w:rPr>
              <w:t>(16.472)</w:t>
            </w:r>
          </w:p>
          <w:p>
            <w:pPr>
              <w:pStyle w:val="TableParagraph"/>
              <w:spacing w:before="57"/>
              <w:ind w:left="497"/>
              <w:rPr>
                <w:sz w:val="14"/>
              </w:rPr>
            </w:pPr>
            <w:r>
              <w:rPr>
                <w:w w:val="85"/>
                <w:sz w:val="14"/>
              </w:rPr>
              <w:t>25.738</w:t>
            </w:r>
          </w:p>
        </w:tc>
        <w:tc>
          <w:tcPr>
            <w:tcW w:w="984" w:type="dxa"/>
            <w:tcBorders>
              <w:left w:val="single" w:sz="4" w:space="0" w:color="000000"/>
              <w:right w:val="single" w:sz="4" w:space="0" w:color="000000"/>
            </w:tcBorders>
          </w:tcPr>
          <w:p>
            <w:pPr>
              <w:pStyle w:val="TableParagraph"/>
              <w:rPr>
                <w:rFonts w:ascii="Caladea"/>
                <w:b/>
                <w:sz w:val="22"/>
              </w:rPr>
            </w:pPr>
          </w:p>
          <w:p>
            <w:pPr>
              <w:pStyle w:val="TableParagraph"/>
              <w:ind w:left="578"/>
              <w:rPr>
                <w:rFonts w:ascii="Caladea"/>
                <w:b/>
                <w:sz w:val="14"/>
              </w:rPr>
            </w:pPr>
            <w:r>
              <w:rPr>
                <w:rFonts w:ascii="Caladea"/>
                <w:b/>
                <w:w w:val="80"/>
                <w:sz w:val="14"/>
              </w:rPr>
              <w:t>(5.817)</w:t>
            </w:r>
          </w:p>
          <w:p>
            <w:pPr>
              <w:pStyle w:val="TableParagraph"/>
              <w:spacing w:before="55"/>
              <w:ind w:left="578"/>
              <w:rPr>
                <w:rFonts w:ascii="Caladea"/>
                <w:b/>
                <w:sz w:val="14"/>
              </w:rPr>
            </w:pPr>
            <w:r>
              <w:rPr>
                <w:rFonts w:ascii="Caladea"/>
                <w:b/>
                <w:w w:val="80"/>
                <w:sz w:val="14"/>
              </w:rPr>
              <w:t>(5.238)</w:t>
            </w:r>
          </w:p>
          <w:p>
            <w:pPr>
              <w:pStyle w:val="TableParagraph"/>
              <w:spacing w:before="56"/>
              <w:ind w:left="514"/>
              <w:rPr>
                <w:rFonts w:ascii="Caladea"/>
                <w:b/>
                <w:sz w:val="14"/>
              </w:rPr>
            </w:pPr>
            <w:r>
              <w:rPr>
                <w:rFonts w:ascii="Caladea"/>
                <w:b/>
                <w:w w:val="80"/>
                <w:sz w:val="14"/>
              </w:rPr>
              <w:t>(16.472)</w:t>
            </w:r>
          </w:p>
          <w:p>
            <w:pPr>
              <w:pStyle w:val="TableParagraph"/>
              <w:spacing w:before="56"/>
              <w:ind w:left="496"/>
              <w:rPr>
                <w:rFonts w:ascii="Caladea"/>
                <w:b/>
                <w:sz w:val="14"/>
              </w:rPr>
            </w:pPr>
            <w:r>
              <w:rPr>
                <w:rFonts w:ascii="Caladea"/>
                <w:b/>
                <w:w w:val="85"/>
                <w:sz w:val="14"/>
              </w:rPr>
              <w:t>115.710</w:t>
            </w:r>
          </w:p>
          <w:p>
            <w:pPr>
              <w:pStyle w:val="TableParagraph"/>
              <w:rPr>
                <w:rFonts w:ascii="Caladea"/>
                <w:b/>
                <w:sz w:val="16"/>
              </w:rPr>
            </w:pPr>
          </w:p>
          <w:p>
            <w:pPr>
              <w:pStyle w:val="TableParagraph"/>
              <w:rPr>
                <w:rFonts w:ascii="Caladea"/>
                <w:b/>
                <w:sz w:val="16"/>
              </w:rPr>
            </w:pPr>
          </w:p>
          <w:p>
            <w:pPr>
              <w:pStyle w:val="TableParagraph"/>
              <w:rPr>
                <w:rFonts w:ascii="Caladea"/>
                <w:b/>
                <w:sz w:val="16"/>
              </w:rPr>
            </w:pPr>
          </w:p>
          <w:p>
            <w:pPr>
              <w:pStyle w:val="TableParagraph"/>
              <w:spacing w:before="10"/>
              <w:rPr>
                <w:rFonts w:ascii="Caladea"/>
                <w:b/>
                <w:sz w:val="12"/>
              </w:rPr>
            </w:pPr>
          </w:p>
          <w:p>
            <w:pPr>
              <w:pStyle w:val="TableParagraph"/>
              <w:spacing w:line="146" w:lineRule="exact" w:before="1"/>
              <w:ind w:left="578"/>
              <w:rPr>
                <w:rFonts w:ascii="Caladea"/>
                <w:b/>
                <w:sz w:val="14"/>
              </w:rPr>
            </w:pPr>
            <w:r>
              <w:rPr>
                <w:rFonts w:ascii="Caladea"/>
                <w:b/>
                <w:w w:val="80"/>
                <w:sz w:val="14"/>
              </w:rPr>
              <w:t>(6.757)</w:t>
            </w:r>
          </w:p>
        </w:tc>
      </w:tr>
      <w:tr>
        <w:trPr>
          <w:trHeight w:val="204" w:hRule="atLeast"/>
        </w:trPr>
        <w:tc>
          <w:tcPr>
            <w:tcW w:w="4289" w:type="dxa"/>
            <w:tcBorders>
              <w:left w:val="single" w:sz="4" w:space="0" w:color="000000"/>
              <w:right w:val="single" w:sz="4" w:space="0" w:color="000000"/>
            </w:tcBorders>
          </w:tcPr>
          <w:p>
            <w:pPr>
              <w:pStyle w:val="TableParagraph"/>
              <w:spacing w:line="146" w:lineRule="exact" w:before="38"/>
              <w:ind w:left="22"/>
              <w:rPr>
                <w:rFonts w:ascii="Caladea"/>
                <w:b/>
                <w:sz w:val="14"/>
              </w:rPr>
            </w:pPr>
            <w:r>
              <w:rPr>
                <w:rFonts w:ascii="Caladea"/>
                <w:b/>
                <w:w w:val="90"/>
                <w:sz w:val="14"/>
              </w:rPr>
              <w:t>Saldo em 31 de dezembro de 2018</w:t>
            </w:r>
          </w:p>
        </w:tc>
        <w:tc>
          <w:tcPr>
            <w:tcW w:w="570" w:type="dxa"/>
            <w:tcBorders>
              <w:left w:val="single" w:sz="4" w:space="0" w:color="000000"/>
              <w:right w:val="single" w:sz="4" w:space="0" w:color="000000"/>
            </w:tcBorders>
          </w:tcPr>
          <w:p>
            <w:pPr>
              <w:pStyle w:val="TableParagraph"/>
              <w:spacing w:line="146" w:lineRule="exact" w:before="38"/>
              <w:ind w:left="31" w:right="5"/>
              <w:jc w:val="center"/>
              <w:rPr>
                <w:rFonts w:ascii="Caladea"/>
                <w:b/>
                <w:sz w:val="14"/>
              </w:rPr>
            </w:pPr>
            <w:r>
              <w:rPr>
                <w:rFonts w:ascii="Caladea"/>
                <w:b/>
                <w:w w:val="85"/>
                <w:sz w:val="14"/>
              </w:rPr>
              <w:t>566.025</w:t>
            </w:r>
          </w:p>
        </w:tc>
        <w:tc>
          <w:tcPr>
            <w:tcW w:w="1332" w:type="dxa"/>
            <w:tcBorders>
              <w:left w:val="single" w:sz="4" w:space="0" w:color="000000"/>
              <w:right w:val="single" w:sz="4" w:space="0" w:color="000000"/>
            </w:tcBorders>
          </w:tcPr>
          <w:p>
            <w:pPr>
              <w:pStyle w:val="TableParagraph"/>
              <w:spacing w:line="146" w:lineRule="exact" w:before="38"/>
              <w:ind w:right="58"/>
              <w:jc w:val="right"/>
              <w:rPr>
                <w:rFonts w:ascii="Caladea"/>
                <w:b/>
                <w:sz w:val="14"/>
              </w:rPr>
            </w:pPr>
            <w:r>
              <w:rPr>
                <w:rFonts w:ascii="Caladea"/>
                <w:b/>
                <w:w w:val="75"/>
                <w:sz w:val="14"/>
              </w:rPr>
              <w:t>149.749</w:t>
            </w:r>
          </w:p>
        </w:tc>
        <w:tc>
          <w:tcPr>
            <w:tcW w:w="781" w:type="dxa"/>
            <w:tcBorders>
              <w:left w:val="single" w:sz="4" w:space="0" w:color="000000"/>
              <w:right w:val="single" w:sz="4" w:space="0" w:color="000000"/>
            </w:tcBorders>
          </w:tcPr>
          <w:p>
            <w:pPr>
              <w:pStyle w:val="TableParagraph"/>
              <w:rPr>
                <w:rFonts w:ascii="Times New Roman"/>
                <w:sz w:val="14"/>
              </w:rPr>
            </w:pPr>
          </w:p>
        </w:tc>
        <w:tc>
          <w:tcPr>
            <w:tcW w:w="1048" w:type="dxa"/>
            <w:tcBorders>
              <w:left w:val="single" w:sz="4" w:space="0" w:color="000000"/>
              <w:right w:val="single" w:sz="4" w:space="0" w:color="000000"/>
            </w:tcBorders>
          </w:tcPr>
          <w:p>
            <w:pPr>
              <w:pStyle w:val="TableParagraph"/>
              <w:spacing w:line="146" w:lineRule="exact" w:before="38"/>
              <w:ind w:right="59"/>
              <w:jc w:val="right"/>
              <w:rPr>
                <w:rFonts w:ascii="Caladea"/>
                <w:b/>
                <w:sz w:val="14"/>
              </w:rPr>
            </w:pPr>
            <w:r>
              <w:rPr>
                <w:rFonts w:ascii="Caladea"/>
                <w:b/>
                <w:w w:val="75"/>
                <w:sz w:val="14"/>
              </w:rPr>
              <w:t>734.451</w:t>
            </w:r>
          </w:p>
        </w:tc>
        <w:tc>
          <w:tcPr>
            <w:tcW w:w="910" w:type="dxa"/>
            <w:tcBorders>
              <w:left w:val="single" w:sz="4" w:space="0" w:color="000000"/>
              <w:right w:val="single" w:sz="4" w:space="0" w:color="000000"/>
            </w:tcBorders>
          </w:tcPr>
          <w:p>
            <w:pPr>
              <w:pStyle w:val="TableParagraph"/>
              <w:spacing w:line="146" w:lineRule="exact" w:before="38"/>
              <w:ind w:right="60"/>
              <w:jc w:val="right"/>
              <w:rPr>
                <w:rFonts w:ascii="Caladea"/>
                <w:b/>
                <w:sz w:val="14"/>
              </w:rPr>
            </w:pPr>
            <w:r>
              <w:rPr>
                <w:rFonts w:ascii="Caladea"/>
                <w:b/>
                <w:w w:val="75"/>
                <w:sz w:val="14"/>
              </w:rPr>
              <w:t>205.457</w:t>
            </w:r>
          </w:p>
        </w:tc>
        <w:tc>
          <w:tcPr>
            <w:tcW w:w="984" w:type="dxa"/>
            <w:tcBorders>
              <w:left w:val="single" w:sz="4" w:space="0" w:color="000000"/>
              <w:right w:val="single" w:sz="4" w:space="0" w:color="000000"/>
            </w:tcBorders>
          </w:tcPr>
          <w:p>
            <w:pPr>
              <w:pStyle w:val="TableParagraph"/>
              <w:spacing w:line="146" w:lineRule="exact" w:before="38"/>
              <w:ind w:right="61"/>
              <w:jc w:val="right"/>
              <w:rPr>
                <w:rFonts w:ascii="Caladea"/>
                <w:b/>
                <w:sz w:val="14"/>
              </w:rPr>
            </w:pPr>
            <w:r>
              <w:rPr>
                <w:rFonts w:ascii="Caladea"/>
                <w:b/>
                <w:w w:val="75"/>
                <w:sz w:val="14"/>
              </w:rPr>
              <w:t>939.908</w:t>
            </w:r>
          </w:p>
        </w:tc>
      </w:tr>
    </w:tbl>
    <w:p>
      <w:pPr>
        <w:pStyle w:val="BodyText"/>
        <w:spacing w:before="136"/>
        <w:ind w:left="172"/>
        <w:jc w:val="both"/>
      </w:pPr>
      <w:r>
        <w:rPr/>
        <w:t>Os impactos apresentados estão de acordo com as justificativas abaixo:</w:t>
      </w:r>
    </w:p>
    <w:p>
      <w:pPr>
        <w:pStyle w:val="BodyText"/>
        <w:spacing w:before="5"/>
        <w:rPr>
          <w:sz w:val="30"/>
        </w:rPr>
      </w:pPr>
    </w:p>
    <w:p>
      <w:pPr>
        <w:pStyle w:val="ListParagraph"/>
        <w:numPr>
          <w:ilvl w:val="0"/>
          <w:numId w:val="18"/>
        </w:numPr>
        <w:tabs>
          <w:tab w:pos="404" w:val="left" w:leader="none"/>
        </w:tabs>
        <w:spacing w:line="240" w:lineRule="auto" w:before="1" w:after="0"/>
        <w:ind w:left="403" w:right="0" w:hanging="232"/>
        <w:jc w:val="left"/>
        <w:rPr>
          <w:rFonts w:ascii="Caladea" w:hAnsi="Caladea"/>
          <w:b/>
          <w:sz w:val="20"/>
        </w:rPr>
      </w:pPr>
      <w:r>
        <w:rPr>
          <w:rFonts w:ascii="Caladea" w:hAnsi="Caladea"/>
          <w:b/>
          <w:sz w:val="20"/>
        </w:rPr>
        <w:t>Ganho/(Perda) Atuarial dos Planos de Benefício</w:t>
      </w:r>
      <w:r>
        <w:rPr>
          <w:rFonts w:ascii="Caladea" w:hAnsi="Caladea"/>
          <w:b/>
          <w:spacing w:val="1"/>
          <w:sz w:val="20"/>
        </w:rPr>
        <w:t> </w:t>
      </w:r>
      <w:r>
        <w:rPr>
          <w:rFonts w:ascii="Caladea" w:hAnsi="Caladea"/>
          <w:b/>
          <w:sz w:val="20"/>
        </w:rPr>
        <w:t>Definido</w:t>
      </w:r>
    </w:p>
    <w:p>
      <w:pPr>
        <w:pStyle w:val="BodyText"/>
        <w:spacing w:before="4"/>
        <w:rPr>
          <w:rFonts w:ascii="Caladea"/>
          <w:b/>
          <w:sz w:val="30"/>
        </w:rPr>
      </w:pPr>
    </w:p>
    <w:p>
      <w:pPr>
        <w:pStyle w:val="BodyText"/>
        <w:spacing w:line="242" w:lineRule="auto"/>
        <w:ind w:left="172" w:right="409"/>
        <w:jc w:val="both"/>
      </w:pPr>
      <w:r>
        <w:rPr/>
        <w:t>Trata-se</w:t>
      </w:r>
      <w:r>
        <w:rPr>
          <w:spacing w:val="-20"/>
        </w:rPr>
        <w:t> </w:t>
      </w:r>
      <w:r>
        <w:rPr/>
        <w:t>de</w:t>
      </w:r>
      <w:r>
        <w:rPr>
          <w:spacing w:val="-19"/>
        </w:rPr>
        <w:t> </w:t>
      </w:r>
      <w:r>
        <w:rPr/>
        <w:t>mudança</w:t>
      </w:r>
      <w:r>
        <w:rPr>
          <w:spacing w:val="-17"/>
        </w:rPr>
        <w:t> </w:t>
      </w:r>
      <w:r>
        <w:rPr/>
        <w:t>da</w:t>
      </w:r>
      <w:r>
        <w:rPr>
          <w:spacing w:val="-18"/>
        </w:rPr>
        <w:t> </w:t>
      </w:r>
      <w:r>
        <w:rPr/>
        <w:t>política</w:t>
      </w:r>
      <w:r>
        <w:rPr>
          <w:spacing w:val="-17"/>
        </w:rPr>
        <w:t> </w:t>
      </w:r>
      <w:r>
        <w:rPr/>
        <w:t>contábil</w:t>
      </w:r>
      <w:r>
        <w:rPr>
          <w:spacing w:val="-18"/>
        </w:rPr>
        <w:t> </w:t>
      </w:r>
      <w:r>
        <w:rPr/>
        <w:t>realizada</w:t>
      </w:r>
      <w:r>
        <w:rPr>
          <w:spacing w:val="-18"/>
        </w:rPr>
        <w:t> </w:t>
      </w:r>
      <w:r>
        <w:rPr/>
        <w:t>pela</w:t>
      </w:r>
      <w:r>
        <w:rPr>
          <w:spacing w:val="-17"/>
        </w:rPr>
        <w:t> </w:t>
      </w:r>
      <w:r>
        <w:rPr/>
        <w:t>CEB</w:t>
      </w:r>
      <w:r>
        <w:rPr>
          <w:spacing w:val="-18"/>
        </w:rPr>
        <w:t> </w:t>
      </w:r>
      <w:r>
        <w:rPr/>
        <w:t>Distribuição</w:t>
      </w:r>
      <w:r>
        <w:rPr>
          <w:spacing w:val="-17"/>
        </w:rPr>
        <w:t> </w:t>
      </w:r>
      <w:r>
        <w:rPr/>
        <w:t>S.A.,</w:t>
      </w:r>
      <w:r>
        <w:rPr>
          <w:spacing w:val="-17"/>
        </w:rPr>
        <w:t> </w:t>
      </w:r>
      <w:r>
        <w:rPr/>
        <w:t>que</w:t>
      </w:r>
      <w:r>
        <w:rPr>
          <w:spacing w:val="-17"/>
        </w:rPr>
        <w:t> </w:t>
      </w:r>
      <w:r>
        <w:rPr/>
        <w:t>optou</w:t>
      </w:r>
      <w:r>
        <w:rPr>
          <w:spacing w:val="-17"/>
        </w:rPr>
        <w:t> </w:t>
      </w:r>
      <w:r>
        <w:rPr/>
        <w:t>pela</w:t>
      </w:r>
      <w:r>
        <w:rPr>
          <w:spacing w:val="-17"/>
        </w:rPr>
        <w:t> </w:t>
      </w:r>
      <w:r>
        <w:rPr/>
        <w:t>adoção</w:t>
      </w:r>
      <w:r>
        <w:rPr>
          <w:spacing w:val="-18"/>
        </w:rPr>
        <w:t> </w:t>
      </w:r>
      <w:r>
        <w:rPr/>
        <w:t>ao</w:t>
      </w:r>
      <w:r>
        <w:rPr>
          <w:spacing w:val="-18"/>
        </w:rPr>
        <w:t> </w:t>
      </w:r>
      <w:r>
        <w:rPr/>
        <w:t>registro contábil</w:t>
      </w:r>
      <w:r>
        <w:rPr>
          <w:spacing w:val="-30"/>
        </w:rPr>
        <w:t> </w:t>
      </w:r>
      <w:r>
        <w:rPr/>
        <w:t>paritário</w:t>
      </w:r>
      <w:r>
        <w:rPr>
          <w:spacing w:val="-32"/>
        </w:rPr>
        <w:t> </w:t>
      </w:r>
      <w:r>
        <w:rPr/>
        <w:t>da</w:t>
      </w:r>
      <w:r>
        <w:rPr>
          <w:spacing w:val="-30"/>
        </w:rPr>
        <w:t> </w:t>
      </w:r>
      <w:r>
        <w:rPr/>
        <w:t>Obrigação</w:t>
      </w:r>
      <w:r>
        <w:rPr>
          <w:spacing w:val="-32"/>
        </w:rPr>
        <w:t> </w:t>
      </w:r>
      <w:r>
        <w:rPr/>
        <w:t>de</w:t>
      </w:r>
      <w:r>
        <w:rPr>
          <w:spacing w:val="-31"/>
        </w:rPr>
        <w:t> </w:t>
      </w:r>
      <w:r>
        <w:rPr/>
        <w:t>Passivo</w:t>
      </w:r>
      <w:r>
        <w:rPr>
          <w:spacing w:val="-32"/>
        </w:rPr>
        <w:t> </w:t>
      </w:r>
      <w:r>
        <w:rPr/>
        <w:t>Atuarial</w:t>
      </w:r>
      <w:r>
        <w:rPr>
          <w:spacing w:val="-31"/>
        </w:rPr>
        <w:t> </w:t>
      </w:r>
      <w:r>
        <w:rPr/>
        <w:t>de</w:t>
      </w:r>
      <w:r>
        <w:rPr>
          <w:spacing w:val="-33"/>
        </w:rPr>
        <w:t> </w:t>
      </w:r>
      <w:r>
        <w:rPr/>
        <w:t>Benefício</w:t>
      </w:r>
      <w:r>
        <w:rPr>
          <w:spacing w:val="-30"/>
        </w:rPr>
        <w:t> </w:t>
      </w:r>
      <w:r>
        <w:rPr/>
        <w:t>Pós-Emprego,</w:t>
      </w:r>
      <w:r>
        <w:rPr>
          <w:spacing w:val="-31"/>
        </w:rPr>
        <w:t> </w:t>
      </w:r>
      <w:r>
        <w:rPr/>
        <w:t>oriundo</w:t>
      </w:r>
      <w:r>
        <w:rPr>
          <w:spacing w:val="-32"/>
        </w:rPr>
        <w:t> </w:t>
      </w:r>
      <w:r>
        <w:rPr/>
        <w:t>do</w:t>
      </w:r>
      <w:r>
        <w:rPr>
          <w:spacing w:val="-31"/>
        </w:rPr>
        <w:t> </w:t>
      </w:r>
      <w:r>
        <w:rPr/>
        <w:t>Pronunciamento</w:t>
      </w:r>
      <w:r>
        <w:rPr>
          <w:spacing w:val="-31"/>
        </w:rPr>
        <w:t> </w:t>
      </w:r>
      <w:r>
        <w:rPr/>
        <w:t>Técnico CPC nº 33 (R1), onde o patrocinador público, em nenhuma hipótese, suportará exclusivamente a assunção da totalidade de tal obrigação, sob pena de afrontar a Constituição Federal, a Lei Complementar nº 108/2001 e normativos</w:t>
      </w:r>
      <w:r>
        <w:rPr>
          <w:spacing w:val="-31"/>
        </w:rPr>
        <w:t> </w:t>
      </w:r>
      <w:r>
        <w:rPr/>
        <w:t>subordinados,</w:t>
      </w:r>
      <w:r>
        <w:rPr>
          <w:spacing w:val="-30"/>
        </w:rPr>
        <w:t> </w:t>
      </w:r>
      <w:r>
        <w:rPr/>
        <w:t>sujeitando</w:t>
      </w:r>
      <w:r>
        <w:rPr>
          <w:spacing w:val="-31"/>
        </w:rPr>
        <w:t> </w:t>
      </w:r>
      <w:r>
        <w:rPr/>
        <w:t>ainda,</w:t>
      </w:r>
      <w:r>
        <w:rPr>
          <w:spacing w:val="-31"/>
        </w:rPr>
        <w:t> </w:t>
      </w:r>
      <w:r>
        <w:rPr/>
        <w:t>seus</w:t>
      </w:r>
      <w:r>
        <w:rPr>
          <w:spacing w:val="-28"/>
        </w:rPr>
        <w:t> </w:t>
      </w:r>
      <w:r>
        <w:rPr/>
        <w:t>administradores</w:t>
      </w:r>
      <w:r>
        <w:rPr>
          <w:spacing w:val="-30"/>
        </w:rPr>
        <w:t> </w:t>
      </w:r>
      <w:r>
        <w:rPr/>
        <w:t>aos</w:t>
      </w:r>
      <w:r>
        <w:rPr>
          <w:spacing w:val="-31"/>
        </w:rPr>
        <w:t> </w:t>
      </w:r>
      <w:r>
        <w:rPr/>
        <w:t>rigores</w:t>
      </w:r>
      <w:r>
        <w:rPr>
          <w:spacing w:val="-29"/>
        </w:rPr>
        <w:t> </w:t>
      </w:r>
      <w:r>
        <w:rPr/>
        <w:t>do</w:t>
      </w:r>
      <w:r>
        <w:rPr>
          <w:spacing w:val="-30"/>
        </w:rPr>
        <w:t> </w:t>
      </w:r>
      <w:r>
        <w:rPr/>
        <w:t>Decreto</w:t>
      </w:r>
      <w:r>
        <w:rPr>
          <w:spacing w:val="-31"/>
        </w:rPr>
        <w:t> </w:t>
      </w:r>
      <w:r>
        <w:rPr/>
        <w:t>Federal</w:t>
      </w:r>
      <w:r>
        <w:rPr>
          <w:spacing w:val="-31"/>
        </w:rPr>
        <w:t> </w:t>
      </w:r>
      <w:r>
        <w:rPr/>
        <w:t>nº</w:t>
      </w:r>
      <w:r>
        <w:rPr>
          <w:spacing w:val="-29"/>
        </w:rPr>
        <w:t> </w:t>
      </w:r>
      <w:r>
        <w:rPr/>
        <w:t>4.942/2003.</w:t>
      </w:r>
    </w:p>
    <w:p>
      <w:pPr>
        <w:pStyle w:val="BodyText"/>
        <w:spacing w:line="242" w:lineRule="auto" w:before="118"/>
        <w:ind w:left="172" w:right="413"/>
        <w:jc w:val="both"/>
      </w:pPr>
      <w:r>
        <w:rPr/>
        <w:t>Foi</w:t>
      </w:r>
      <w:r>
        <w:rPr>
          <w:spacing w:val="-29"/>
        </w:rPr>
        <w:t> </w:t>
      </w:r>
      <w:r>
        <w:rPr/>
        <w:t>realizada,</w:t>
      </w:r>
      <w:r>
        <w:rPr>
          <w:spacing w:val="-29"/>
        </w:rPr>
        <w:t> </w:t>
      </w:r>
      <w:r>
        <w:rPr/>
        <w:t>através</w:t>
      </w:r>
      <w:r>
        <w:rPr>
          <w:spacing w:val="-28"/>
        </w:rPr>
        <w:t> </w:t>
      </w:r>
      <w:r>
        <w:rPr/>
        <w:t>do</w:t>
      </w:r>
      <w:r>
        <w:rPr>
          <w:spacing w:val="-27"/>
        </w:rPr>
        <w:t> </w:t>
      </w:r>
      <w:r>
        <w:rPr/>
        <w:t>Ofício</w:t>
      </w:r>
      <w:r>
        <w:rPr>
          <w:spacing w:val="-29"/>
        </w:rPr>
        <w:t> </w:t>
      </w:r>
      <w:r>
        <w:rPr/>
        <w:t>nº</w:t>
      </w:r>
      <w:r>
        <w:rPr>
          <w:spacing w:val="-26"/>
        </w:rPr>
        <w:t> </w:t>
      </w:r>
      <w:r>
        <w:rPr/>
        <w:t>22/2020/CVM/SEP/GEA-5,</w:t>
      </w:r>
      <w:r>
        <w:rPr>
          <w:spacing w:val="-28"/>
        </w:rPr>
        <w:t> </w:t>
      </w:r>
      <w:r>
        <w:rPr/>
        <w:t>consulta</w:t>
      </w:r>
      <w:r>
        <w:rPr>
          <w:spacing w:val="-28"/>
        </w:rPr>
        <w:t> </w:t>
      </w:r>
      <w:r>
        <w:rPr/>
        <w:t>à</w:t>
      </w:r>
      <w:r>
        <w:rPr>
          <w:spacing w:val="-27"/>
        </w:rPr>
        <w:t> </w:t>
      </w:r>
      <w:r>
        <w:rPr/>
        <w:t>CVM,</w:t>
      </w:r>
      <w:r>
        <w:rPr>
          <w:spacing w:val="-27"/>
        </w:rPr>
        <w:t> </w:t>
      </w:r>
      <w:r>
        <w:rPr/>
        <w:t>que</w:t>
      </w:r>
      <w:r>
        <w:rPr>
          <w:spacing w:val="-28"/>
        </w:rPr>
        <w:t> </w:t>
      </w:r>
      <w:r>
        <w:rPr/>
        <w:t>pronunciou</w:t>
      </w:r>
      <w:r>
        <w:rPr>
          <w:spacing w:val="-27"/>
        </w:rPr>
        <w:t> </w:t>
      </w:r>
      <w:r>
        <w:rPr/>
        <w:t>sobre</w:t>
      </w:r>
      <w:r>
        <w:rPr>
          <w:spacing w:val="-28"/>
        </w:rPr>
        <w:t> </w:t>
      </w:r>
      <w:r>
        <w:rPr/>
        <w:t>o</w:t>
      </w:r>
      <w:r>
        <w:rPr>
          <w:spacing w:val="-27"/>
        </w:rPr>
        <w:t> </w:t>
      </w:r>
      <w:r>
        <w:rPr/>
        <w:t>assunto,</w:t>
      </w:r>
      <w:r>
        <w:rPr>
          <w:spacing w:val="-28"/>
        </w:rPr>
        <w:t> </w:t>
      </w:r>
      <w:r>
        <w:rPr/>
        <w:t>não vislumbrando</w:t>
      </w:r>
      <w:r>
        <w:rPr>
          <w:spacing w:val="-28"/>
        </w:rPr>
        <w:t> </w:t>
      </w:r>
      <w:r>
        <w:rPr/>
        <w:t>óbice</w:t>
      </w:r>
      <w:r>
        <w:rPr>
          <w:spacing w:val="-28"/>
        </w:rPr>
        <w:t> </w:t>
      </w:r>
      <w:r>
        <w:rPr/>
        <w:t>em</w:t>
      </w:r>
      <w:r>
        <w:rPr>
          <w:spacing w:val="-28"/>
        </w:rPr>
        <w:t> </w:t>
      </w:r>
      <w:r>
        <w:rPr/>
        <w:t>relação</w:t>
      </w:r>
      <w:r>
        <w:rPr>
          <w:spacing w:val="-28"/>
        </w:rPr>
        <w:t> </w:t>
      </w:r>
      <w:r>
        <w:rPr/>
        <w:t>ao</w:t>
      </w:r>
      <w:r>
        <w:rPr>
          <w:spacing w:val="-28"/>
        </w:rPr>
        <w:t> </w:t>
      </w:r>
      <w:r>
        <w:rPr/>
        <w:t>procedimento</w:t>
      </w:r>
      <w:r>
        <w:rPr>
          <w:spacing w:val="-27"/>
        </w:rPr>
        <w:t> </w:t>
      </w:r>
      <w:r>
        <w:rPr/>
        <w:t>adotado</w:t>
      </w:r>
      <w:r>
        <w:rPr>
          <w:spacing w:val="-28"/>
        </w:rPr>
        <w:t> </w:t>
      </w:r>
      <w:r>
        <w:rPr/>
        <w:t>pelas</w:t>
      </w:r>
      <w:r>
        <w:rPr>
          <w:spacing w:val="-28"/>
        </w:rPr>
        <w:t> </w:t>
      </w:r>
      <w:r>
        <w:rPr/>
        <w:t>patrocinadoras</w:t>
      </w:r>
      <w:r>
        <w:rPr>
          <w:spacing w:val="-27"/>
        </w:rPr>
        <w:t> </w:t>
      </w:r>
      <w:r>
        <w:rPr/>
        <w:t>de</w:t>
      </w:r>
      <w:r>
        <w:rPr>
          <w:spacing w:val="-28"/>
        </w:rPr>
        <w:t> </w:t>
      </w:r>
      <w:r>
        <w:rPr/>
        <w:t>reconhecer</w:t>
      </w:r>
      <w:r>
        <w:rPr>
          <w:spacing w:val="-26"/>
        </w:rPr>
        <w:t> </w:t>
      </w:r>
      <w:r>
        <w:rPr/>
        <w:t>o</w:t>
      </w:r>
      <w:r>
        <w:rPr>
          <w:spacing w:val="-28"/>
        </w:rPr>
        <w:t> </w:t>
      </w:r>
      <w:r>
        <w:rPr/>
        <w:t>déficit</w:t>
      </w:r>
      <w:r>
        <w:rPr>
          <w:spacing w:val="-27"/>
        </w:rPr>
        <w:t> </w:t>
      </w:r>
      <w:r>
        <w:rPr/>
        <w:t>atuarial</w:t>
      </w:r>
      <w:r>
        <w:rPr>
          <w:spacing w:val="-27"/>
        </w:rPr>
        <w:t> </w:t>
      </w:r>
      <w:r>
        <w:rPr/>
        <w:t>de forma</w:t>
      </w:r>
      <w:r>
        <w:rPr>
          <w:spacing w:val="-21"/>
        </w:rPr>
        <w:t> </w:t>
      </w:r>
      <w:r>
        <w:rPr/>
        <w:t>paritária,</w:t>
      </w:r>
      <w:r>
        <w:rPr>
          <w:spacing w:val="-20"/>
        </w:rPr>
        <w:t> </w:t>
      </w:r>
      <w:r>
        <w:rPr/>
        <w:t>conforme</w:t>
      </w:r>
      <w:r>
        <w:rPr>
          <w:spacing w:val="-21"/>
        </w:rPr>
        <w:t> </w:t>
      </w:r>
      <w:r>
        <w:rPr/>
        <w:t>documentação</w:t>
      </w:r>
      <w:r>
        <w:rPr>
          <w:spacing w:val="-23"/>
        </w:rPr>
        <w:t> </w:t>
      </w:r>
      <w:r>
        <w:rPr/>
        <w:t>apresentada</w:t>
      </w:r>
      <w:r>
        <w:rPr>
          <w:spacing w:val="-17"/>
        </w:rPr>
        <w:t> </w:t>
      </w:r>
      <w:r>
        <w:rPr/>
        <w:t>ao</w:t>
      </w:r>
      <w:r>
        <w:rPr>
          <w:spacing w:val="-22"/>
        </w:rPr>
        <w:t> </w:t>
      </w:r>
      <w:r>
        <w:rPr/>
        <w:t>Órgão</w:t>
      </w:r>
      <w:r>
        <w:rPr>
          <w:spacing w:val="-23"/>
        </w:rPr>
        <w:t> </w:t>
      </w:r>
      <w:r>
        <w:rPr/>
        <w:t>Regulador</w:t>
      </w:r>
      <w:r>
        <w:rPr>
          <w:spacing w:val="-24"/>
        </w:rPr>
        <w:t> </w:t>
      </w:r>
      <w:r>
        <w:rPr/>
        <w:t>consultado.</w:t>
      </w:r>
    </w:p>
    <w:p>
      <w:pPr>
        <w:pStyle w:val="BodyText"/>
        <w:rPr>
          <w:sz w:val="22"/>
        </w:rPr>
      </w:pPr>
    </w:p>
    <w:p>
      <w:pPr>
        <w:pStyle w:val="BodyText"/>
        <w:spacing w:before="11"/>
        <w:rPr>
          <w:sz w:val="18"/>
        </w:rPr>
      </w:pPr>
    </w:p>
    <w:p>
      <w:pPr>
        <w:pStyle w:val="ListParagraph"/>
        <w:numPr>
          <w:ilvl w:val="0"/>
          <w:numId w:val="18"/>
        </w:numPr>
        <w:tabs>
          <w:tab w:pos="416" w:val="left" w:leader="none"/>
        </w:tabs>
        <w:spacing w:line="240" w:lineRule="auto" w:before="0" w:after="0"/>
        <w:ind w:left="415" w:right="0" w:hanging="244"/>
        <w:jc w:val="left"/>
        <w:rPr>
          <w:rFonts w:ascii="Caladea" w:hAnsi="Caladea"/>
          <w:b/>
          <w:sz w:val="20"/>
        </w:rPr>
      </w:pPr>
      <w:r>
        <w:rPr>
          <w:rFonts w:ascii="Caladea" w:hAnsi="Caladea"/>
          <w:b/>
          <w:sz w:val="20"/>
        </w:rPr>
        <w:t>Superávit Baixa</w:t>
      </w:r>
      <w:r>
        <w:rPr>
          <w:rFonts w:ascii="Caladea" w:hAnsi="Caladea"/>
          <w:b/>
          <w:spacing w:val="-3"/>
          <w:sz w:val="20"/>
        </w:rPr>
        <w:t> </w:t>
      </w:r>
      <w:r>
        <w:rPr>
          <w:rFonts w:ascii="Caladea" w:hAnsi="Caladea"/>
          <w:b/>
          <w:sz w:val="20"/>
        </w:rPr>
        <w:t>Renda</w:t>
      </w:r>
    </w:p>
    <w:p>
      <w:pPr>
        <w:pStyle w:val="BodyText"/>
        <w:rPr>
          <w:rFonts w:ascii="Caladea"/>
          <w:b/>
          <w:sz w:val="22"/>
        </w:rPr>
      </w:pPr>
    </w:p>
    <w:p>
      <w:pPr>
        <w:pStyle w:val="BodyText"/>
        <w:spacing w:before="7"/>
        <w:rPr>
          <w:rFonts w:ascii="Caladea"/>
          <w:b/>
          <w:sz w:val="18"/>
        </w:rPr>
      </w:pPr>
    </w:p>
    <w:p>
      <w:pPr>
        <w:pStyle w:val="BodyText"/>
        <w:spacing w:line="242" w:lineRule="auto"/>
        <w:ind w:left="172" w:right="409"/>
        <w:jc w:val="both"/>
      </w:pPr>
      <w:r>
        <w:rPr/>
        <w:t>Em</w:t>
      </w:r>
      <w:r>
        <w:rPr>
          <w:spacing w:val="-27"/>
        </w:rPr>
        <w:t> </w:t>
      </w:r>
      <w:r>
        <w:rPr/>
        <w:t>11</w:t>
      </w:r>
      <w:r>
        <w:rPr>
          <w:spacing w:val="-26"/>
        </w:rPr>
        <w:t> </w:t>
      </w:r>
      <w:r>
        <w:rPr/>
        <w:t>de</w:t>
      </w:r>
      <w:r>
        <w:rPr>
          <w:spacing w:val="-27"/>
        </w:rPr>
        <w:t> </w:t>
      </w:r>
      <w:r>
        <w:rPr/>
        <w:t>outubro</w:t>
      </w:r>
      <w:r>
        <w:rPr>
          <w:spacing w:val="-27"/>
        </w:rPr>
        <w:t> </w:t>
      </w:r>
      <w:r>
        <w:rPr/>
        <w:t>de</w:t>
      </w:r>
      <w:r>
        <w:rPr>
          <w:spacing w:val="-25"/>
        </w:rPr>
        <w:t> </w:t>
      </w:r>
      <w:r>
        <w:rPr/>
        <w:t>2017,</w:t>
      </w:r>
      <w:r>
        <w:rPr>
          <w:spacing w:val="-24"/>
        </w:rPr>
        <w:t> </w:t>
      </w:r>
      <w:r>
        <w:rPr/>
        <w:t>por</w:t>
      </w:r>
      <w:r>
        <w:rPr>
          <w:spacing w:val="-26"/>
        </w:rPr>
        <w:t> </w:t>
      </w:r>
      <w:r>
        <w:rPr/>
        <w:t>meio</w:t>
      </w:r>
      <w:r>
        <w:rPr>
          <w:spacing w:val="-27"/>
        </w:rPr>
        <w:t> </w:t>
      </w:r>
      <w:r>
        <w:rPr/>
        <w:t>da</w:t>
      </w:r>
      <w:r>
        <w:rPr>
          <w:spacing w:val="-26"/>
        </w:rPr>
        <w:t> </w:t>
      </w:r>
      <w:r>
        <w:rPr/>
        <w:t>Nota</w:t>
      </w:r>
      <w:r>
        <w:rPr>
          <w:spacing w:val="-24"/>
        </w:rPr>
        <w:t> </w:t>
      </w:r>
      <w:r>
        <w:rPr/>
        <w:t>Técnica</w:t>
      </w:r>
      <w:r>
        <w:rPr>
          <w:spacing w:val="-26"/>
        </w:rPr>
        <w:t> </w:t>
      </w:r>
      <w:r>
        <w:rPr/>
        <w:t>nº</w:t>
      </w:r>
      <w:r>
        <w:rPr>
          <w:spacing w:val="-23"/>
        </w:rPr>
        <w:t> </w:t>
      </w:r>
      <w:r>
        <w:rPr/>
        <w:t>308/2017-SGT/ANEEL,</w:t>
      </w:r>
      <w:r>
        <w:rPr>
          <w:spacing w:val="-25"/>
        </w:rPr>
        <w:t> </w:t>
      </w:r>
      <w:r>
        <w:rPr/>
        <w:t>a</w:t>
      </w:r>
      <w:r>
        <w:rPr>
          <w:spacing w:val="-26"/>
        </w:rPr>
        <w:t> </w:t>
      </w:r>
      <w:r>
        <w:rPr/>
        <w:t>ANEEL</w:t>
      </w:r>
      <w:r>
        <w:rPr>
          <w:spacing w:val="-24"/>
        </w:rPr>
        <w:t> </w:t>
      </w:r>
      <w:r>
        <w:rPr/>
        <w:t>esclareceu</w:t>
      </w:r>
      <w:r>
        <w:rPr>
          <w:spacing w:val="-26"/>
        </w:rPr>
        <w:t> </w:t>
      </w:r>
      <w:r>
        <w:rPr/>
        <w:t>que</w:t>
      </w:r>
      <w:r>
        <w:rPr>
          <w:spacing w:val="-25"/>
        </w:rPr>
        <w:t> </w:t>
      </w:r>
      <w:r>
        <w:rPr/>
        <w:t>no</w:t>
      </w:r>
      <w:r>
        <w:rPr>
          <w:spacing w:val="-24"/>
        </w:rPr>
        <w:t> </w:t>
      </w:r>
      <w:r>
        <w:rPr/>
        <w:t>item</w:t>
      </w:r>
      <w:r>
        <w:rPr>
          <w:spacing w:val="-27"/>
        </w:rPr>
        <w:t> </w:t>
      </w:r>
      <w:r>
        <w:rPr/>
        <w:t>55, que trata sobre os componentes financeiros considerados no reajuste, foi considerado a Reversão do Passivo Regulatório Baixa</w:t>
      </w:r>
      <w:r>
        <w:rPr>
          <w:spacing w:val="-35"/>
        </w:rPr>
        <w:t> </w:t>
      </w:r>
      <w:r>
        <w:rPr/>
        <w:t>Renda.</w:t>
      </w:r>
    </w:p>
    <w:p>
      <w:pPr>
        <w:pStyle w:val="BodyText"/>
        <w:spacing w:line="242" w:lineRule="auto" w:before="120"/>
        <w:ind w:left="172" w:right="408"/>
        <w:jc w:val="both"/>
      </w:pPr>
      <w:r>
        <w:rPr/>
        <w:t>Anexo</w:t>
      </w:r>
      <w:r>
        <w:rPr>
          <w:spacing w:val="-24"/>
        </w:rPr>
        <w:t> </w:t>
      </w:r>
      <w:r>
        <w:rPr/>
        <w:t>à</w:t>
      </w:r>
      <w:r>
        <w:rPr>
          <w:spacing w:val="-22"/>
        </w:rPr>
        <w:t> </w:t>
      </w:r>
      <w:r>
        <w:rPr/>
        <w:t>REH</w:t>
      </w:r>
      <w:r>
        <w:rPr>
          <w:spacing w:val="-20"/>
        </w:rPr>
        <w:t> </w:t>
      </w:r>
      <w:r>
        <w:rPr/>
        <w:t>nº</w:t>
      </w:r>
      <w:r>
        <w:rPr>
          <w:spacing w:val="-23"/>
        </w:rPr>
        <w:t> </w:t>
      </w:r>
      <w:r>
        <w:rPr/>
        <w:t>2.316</w:t>
      </w:r>
      <w:r>
        <w:rPr>
          <w:spacing w:val="-20"/>
        </w:rPr>
        <w:t> </w:t>
      </w:r>
      <w:r>
        <w:rPr/>
        <w:t>de</w:t>
      </w:r>
      <w:r>
        <w:rPr>
          <w:spacing w:val="-24"/>
        </w:rPr>
        <w:t> </w:t>
      </w:r>
      <w:r>
        <w:rPr/>
        <w:t>17</w:t>
      </w:r>
      <w:r>
        <w:rPr>
          <w:spacing w:val="-22"/>
        </w:rPr>
        <w:t> </w:t>
      </w:r>
      <w:r>
        <w:rPr/>
        <w:t>de</w:t>
      </w:r>
      <w:r>
        <w:rPr>
          <w:spacing w:val="-22"/>
        </w:rPr>
        <w:t> </w:t>
      </w:r>
      <w:r>
        <w:rPr/>
        <w:t>outubro</w:t>
      </w:r>
      <w:r>
        <w:rPr>
          <w:spacing w:val="-21"/>
        </w:rPr>
        <w:t> </w:t>
      </w:r>
      <w:r>
        <w:rPr/>
        <w:t>de</w:t>
      </w:r>
      <w:r>
        <w:rPr>
          <w:spacing w:val="-24"/>
        </w:rPr>
        <w:t> </w:t>
      </w:r>
      <w:r>
        <w:rPr/>
        <w:t>2017,</w:t>
      </w:r>
      <w:r>
        <w:rPr>
          <w:spacing w:val="-23"/>
        </w:rPr>
        <w:t> </w:t>
      </w:r>
      <w:r>
        <w:rPr/>
        <w:t>consta</w:t>
      </w:r>
      <w:r>
        <w:rPr>
          <w:spacing w:val="-21"/>
        </w:rPr>
        <w:t> </w:t>
      </w:r>
      <w:r>
        <w:rPr/>
        <w:t>anuência</w:t>
      </w:r>
      <w:r>
        <w:rPr>
          <w:spacing w:val="-21"/>
        </w:rPr>
        <w:t> </w:t>
      </w:r>
      <w:r>
        <w:rPr/>
        <w:t>da</w:t>
      </w:r>
      <w:r>
        <w:rPr>
          <w:spacing w:val="-22"/>
        </w:rPr>
        <w:t> </w:t>
      </w:r>
      <w:r>
        <w:rPr/>
        <w:t>ANEEL</w:t>
      </w:r>
      <w:r>
        <w:rPr>
          <w:spacing w:val="-22"/>
        </w:rPr>
        <w:t> </w:t>
      </w:r>
      <w:r>
        <w:rPr/>
        <w:t>referente</w:t>
      </w:r>
      <w:r>
        <w:rPr>
          <w:spacing w:val="-24"/>
        </w:rPr>
        <w:t> </w:t>
      </w:r>
      <w:r>
        <w:rPr/>
        <w:t>ao</w:t>
      </w:r>
      <w:r>
        <w:rPr>
          <w:spacing w:val="-21"/>
        </w:rPr>
        <w:t> </w:t>
      </w:r>
      <w:r>
        <w:rPr/>
        <w:t>pedido</w:t>
      </w:r>
      <w:r>
        <w:rPr>
          <w:spacing w:val="-22"/>
        </w:rPr>
        <w:t> </w:t>
      </w:r>
      <w:r>
        <w:rPr/>
        <w:t>realizado</w:t>
      </w:r>
      <w:r>
        <w:rPr>
          <w:spacing w:val="-23"/>
        </w:rPr>
        <w:t> </w:t>
      </w:r>
      <w:r>
        <w:rPr/>
        <w:t>pela</w:t>
      </w:r>
      <w:r>
        <w:rPr>
          <w:spacing w:val="-22"/>
        </w:rPr>
        <w:t> </w:t>
      </w:r>
      <w:r>
        <w:rPr/>
        <w:t>CEB Distribuição</w:t>
      </w:r>
      <w:r>
        <w:rPr>
          <w:spacing w:val="-24"/>
        </w:rPr>
        <w:t> </w:t>
      </w:r>
      <w:r>
        <w:rPr/>
        <w:t>de</w:t>
      </w:r>
      <w:r>
        <w:rPr>
          <w:spacing w:val="-22"/>
        </w:rPr>
        <w:t> </w:t>
      </w:r>
      <w:r>
        <w:rPr/>
        <w:t>parcelamento</w:t>
      </w:r>
      <w:r>
        <w:rPr>
          <w:spacing w:val="-23"/>
        </w:rPr>
        <w:t> </w:t>
      </w:r>
      <w:r>
        <w:rPr/>
        <w:t>da</w:t>
      </w:r>
      <w:r>
        <w:rPr>
          <w:spacing w:val="-21"/>
        </w:rPr>
        <w:t> </w:t>
      </w:r>
      <w:r>
        <w:rPr/>
        <w:t>reversão</w:t>
      </w:r>
      <w:r>
        <w:rPr>
          <w:spacing w:val="-22"/>
        </w:rPr>
        <w:t> </w:t>
      </w:r>
      <w:r>
        <w:rPr/>
        <w:t>do</w:t>
      </w:r>
      <w:r>
        <w:rPr>
          <w:spacing w:val="-23"/>
        </w:rPr>
        <w:t> </w:t>
      </w:r>
      <w:r>
        <w:rPr/>
        <w:t>passivo</w:t>
      </w:r>
      <w:r>
        <w:rPr>
          <w:spacing w:val="-22"/>
        </w:rPr>
        <w:t> </w:t>
      </w:r>
      <w:r>
        <w:rPr/>
        <w:t>baixa</w:t>
      </w:r>
      <w:r>
        <w:rPr>
          <w:spacing w:val="-23"/>
        </w:rPr>
        <w:t> </w:t>
      </w:r>
      <w:r>
        <w:rPr/>
        <w:t>renda.</w:t>
      </w:r>
      <w:r>
        <w:rPr>
          <w:spacing w:val="-22"/>
        </w:rPr>
        <w:t> </w:t>
      </w:r>
      <w:r>
        <w:rPr/>
        <w:t>Portanto,</w:t>
      </w:r>
      <w:r>
        <w:rPr>
          <w:spacing w:val="-22"/>
        </w:rPr>
        <w:t> </w:t>
      </w:r>
      <w:r>
        <w:rPr/>
        <w:t>a</w:t>
      </w:r>
      <w:r>
        <w:rPr>
          <w:spacing w:val="-21"/>
        </w:rPr>
        <w:t> </w:t>
      </w:r>
      <w:r>
        <w:rPr/>
        <w:t>partir</w:t>
      </w:r>
      <w:r>
        <w:rPr>
          <w:spacing w:val="-23"/>
        </w:rPr>
        <w:t> </w:t>
      </w:r>
      <w:r>
        <w:rPr/>
        <w:t>dessa</w:t>
      </w:r>
      <w:r>
        <w:rPr>
          <w:spacing w:val="-22"/>
        </w:rPr>
        <w:t> </w:t>
      </w:r>
      <w:r>
        <w:rPr/>
        <w:t>decisão</w:t>
      </w:r>
      <w:r>
        <w:rPr>
          <w:spacing w:val="-24"/>
        </w:rPr>
        <w:t> </w:t>
      </w:r>
      <w:r>
        <w:rPr/>
        <w:t>o</w:t>
      </w:r>
      <w:r>
        <w:rPr>
          <w:spacing w:val="-20"/>
        </w:rPr>
        <w:t> </w:t>
      </w:r>
      <w:r>
        <w:rPr/>
        <w:t>passivo</w:t>
      </w:r>
      <w:r>
        <w:rPr>
          <w:spacing w:val="-22"/>
        </w:rPr>
        <w:t> </w:t>
      </w:r>
      <w:r>
        <w:rPr/>
        <w:t>baixa renda</w:t>
      </w:r>
      <w:r>
        <w:rPr>
          <w:spacing w:val="-27"/>
        </w:rPr>
        <w:t> </w:t>
      </w:r>
      <w:r>
        <w:rPr/>
        <w:t>foi</w:t>
      </w:r>
      <w:r>
        <w:rPr>
          <w:spacing w:val="-26"/>
        </w:rPr>
        <w:t> </w:t>
      </w:r>
      <w:r>
        <w:rPr/>
        <w:t>classificado</w:t>
      </w:r>
      <w:r>
        <w:rPr>
          <w:spacing w:val="-27"/>
        </w:rPr>
        <w:t> </w:t>
      </w:r>
      <w:r>
        <w:rPr/>
        <w:t>como</w:t>
      </w:r>
      <w:r>
        <w:rPr>
          <w:spacing w:val="-24"/>
        </w:rPr>
        <w:t> </w:t>
      </w:r>
      <w:r>
        <w:rPr/>
        <w:t>“Passivo</w:t>
      </w:r>
      <w:r>
        <w:rPr>
          <w:spacing w:val="-26"/>
        </w:rPr>
        <w:t> </w:t>
      </w:r>
      <w:r>
        <w:rPr/>
        <w:t>Financeiro</w:t>
      </w:r>
      <w:r>
        <w:rPr>
          <w:spacing w:val="-26"/>
        </w:rPr>
        <w:t> </w:t>
      </w:r>
      <w:r>
        <w:rPr/>
        <w:t>Setorial”,</w:t>
      </w:r>
      <w:r>
        <w:rPr>
          <w:spacing w:val="-27"/>
        </w:rPr>
        <w:t> </w:t>
      </w:r>
      <w:r>
        <w:rPr/>
        <w:t>uma</w:t>
      </w:r>
      <w:r>
        <w:rPr>
          <w:spacing w:val="-26"/>
        </w:rPr>
        <w:t> </w:t>
      </w:r>
      <w:r>
        <w:rPr/>
        <w:t>vez</w:t>
      </w:r>
      <w:r>
        <w:rPr>
          <w:spacing w:val="-24"/>
        </w:rPr>
        <w:t> </w:t>
      </w:r>
      <w:r>
        <w:rPr/>
        <w:t>que</w:t>
      </w:r>
      <w:r>
        <w:rPr>
          <w:spacing w:val="-27"/>
        </w:rPr>
        <w:t> </w:t>
      </w:r>
      <w:r>
        <w:rPr/>
        <w:t>sua</w:t>
      </w:r>
      <w:r>
        <w:rPr>
          <w:spacing w:val="-25"/>
        </w:rPr>
        <w:t> </w:t>
      </w:r>
      <w:r>
        <w:rPr/>
        <w:t>reversão</w:t>
      </w:r>
      <w:r>
        <w:rPr>
          <w:spacing w:val="-25"/>
        </w:rPr>
        <w:t> </w:t>
      </w:r>
      <w:r>
        <w:rPr/>
        <w:t>poderá</w:t>
      </w:r>
      <w:r>
        <w:rPr>
          <w:spacing w:val="-24"/>
        </w:rPr>
        <w:t> </w:t>
      </w:r>
      <w:r>
        <w:rPr/>
        <w:t>ser</w:t>
      </w:r>
      <w:r>
        <w:rPr>
          <w:spacing w:val="-27"/>
        </w:rPr>
        <w:t> </w:t>
      </w:r>
      <w:r>
        <w:rPr/>
        <w:t>por</w:t>
      </w:r>
      <w:r>
        <w:rPr>
          <w:spacing w:val="-26"/>
        </w:rPr>
        <w:t> </w:t>
      </w:r>
      <w:r>
        <w:rPr/>
        <w:t>meio</w:t>
      </w:r>
      <w:r>
        <w:rPr>
          <w:spacing w:val="-24"/>
        </w:rPr>
        <w:t> </w:t>
      </w:r>
      <w:r>
        <w:rPr/>
        <w:t>da</w:t>
      </w:r>
      <w:r>
        <w:rPr>
          <w:spacing w:val="-27"/>
        </w:rPr>
        <w:t> </w:t>
      </w:r>
      <w:r>
        <w:rPr/>
        <w:t>tarifa, assim</w:t>
      </w:r>
      <w:r>
        <w:rPr>
          <w:spacing w:val="-18"/>
        </w:rPr>
        <w:t> </w:t>
      </w:r>
      <w:r>
        <w:rPr/>
        <w:t>como</w:t>
      </w:r>
      <w:r>
        <w:rPr>
          <w:spacing w:val="-19"/>
        </w:rPr>
        <w:t> </w:t>
      </w:r>
      <w:r>
        <w:rPr/>
        <w:t>ocorreu</w:t>
      </w:r>
      <w:r>
        <w:rPr>
          <w:spacing w:val="-18"/>
        </w:rPr>
        <w:t> </w:t>
      </w:r>
      <w:r>
        <w:rPr/>
        <w:t>com</w:t>
      </w:r>
      <w:r>
        <w:rPr>
          <w:spacing w:val="-19"/>
        </w:rPr>
        <w:t> </w:t>
      </w:r>
      <w:r>
        <w:rPr/>
        <w:t>a</w:t>
      </w:r>
      <w:r>
        <w:rPr>
          <w:spacing w:val="-18"/>
        </w:rPr>
        <w:t> </w:t>
      </w:r>
      <w:r>
        <w:rPr/>
        <w:t>1ª</w:t>
      </w:r>
      <w:r>
        <w:rPr>
          <w:spacing w:val="-17"/>
        </w:rPr>
        <w:t> </w:t>
      </w:r>
      <w:r>
        <w:rPr/>
        <w:t>parcela</w:t>
      </w:r>
      <w:r>
        <w:rPr>
          <w:spacing w:val="-18"/>
        </w:rPr>
        <w:t> </w:t>
      </w:r>
      <w:r>
        <w:rPr/>
        <w:t>de</w:t>
      </w:r>
      <w:r>
        <w:rPr>
          <w:spacing w:val="-20"/>
        </w:rPr>
        <w:t> </w:t>
      </w:r>
      <w:r>
        <w:rPr/>
        <w:t>R$</w:t>
      </w:r>
      <w:r>
        <w:rPr>
          <w:spacing w:val="-18"/>
        </w:rPr>
        <w:t> </w:t>
      </w:r>
      <w:r>
        <w:rPr/>
        <w:t>24.408</w:t>
      </w:r>
      <w:r>
        <w:rPr>
          <w:spacing w:val="-16"/>
        </w:rPr>
        <w:t> </w:t>
      </w:r>
      <w:r>
        <w:rPr/>
        <w:t>no</w:t>
      </w:r>
      <w:r>
        <w:rPr>
          <w:spacing w:val="-19"/>
        </w:rPr>
        <w:t> </w:t>
      </w:r>
      <w:r>
        <w:rPr/>
        <w:t>RTA</w:t>
      </w:r>
      <w:r>
        <w:rPr>
          <w:spacing w:val="-17"/>
        </w:rPr>
        <w:t> </w:t>
      </w:r>
      <w:r>
        <w:rPr/>
        <w:t>de</w:t>
      </w:r>
      <w:r>
        <w:rPr>
          <w:spacing w:val="-20"/>
        </w:rPr>
        <w:t> </w:t>
      </w:r>
      <w:r>
        <w:rPr/>
        <w:t>2017.</w:t>
      </w:r>
    </w:p>
    <w:p>
      <w:pPr>
        <w:pStyle w:val="BodyText"/>
        <w:spacing w:before="3"/>
      </w:pPr>
    </w:p>
    <w:p>
      <w:pPr>
        <w:pStyle w:val="Heading3"/>
        <w:numPr>
          <w:ilvl w:val="0"/>
          <w:numId w:val="6"/>
        </w:numPr>
        <w:tabs>
          <w:tab w:pos="953" w:val="left" w:leader="none"/>
          <w:tab w:pos="954" w:val="left" w:leader="none"/>
        </w:tabs>
        <w:spacing w:line="240" w:lineRule="auto" w:before="0" w:after="0"/>
        <w:ind w:left="953" w:right="0" w:hanging="782"/>
        <w:jc w:val="left"/>
      </w:pPr>
      <w:r>
        <w:rPr/>
        <w:t>INSTRUMENTOS FINANCEIROS E GESTÃO DE</w:t>
      </w:r>
      <w:r>
        <w:rPr>
          <w:spacing w:val="-3"/>
        </w:rPr>
        <w:t> </w:t>
      </w:r>
      <w:r>
        <w:rPr/>
        <w:t>RISCO</w:t>
      </w:r>
    </w:p>
    <w:p>
      <w:pPr>
        <w:pStyle w:val="ListParagraph"/>
        <w:numPr>
          <w:ilvl w:val="1"/>
          <w:numId w:val="6"/>
        </w:numPr>
        <w:tabs>
          <w:tab w:pos="1025" w:val="left" w:leader="none"/>
          <w:tab w:pos="1026" w:val="left" w:leader="none"/>
        </w:tabs>
        <w:spacing w:line="240" w:lineRule="auto" w:before="243" w:after="0"/>
        <w:ind w:left="1025" w:right="0" w:hanging="854"/>
        <w:jc w:val="left"/>
        <w:rPr>
          <w:rFonts w:ascii="Caladea" w:hAnsi="Caladea"/>
          <w:b/>
          <w:sz w:val="18"/>
        </w:rPr>
      </w:pPr>
      <w:r>
        <w:rPr>
          <w:rFonts w:ascii="Caladea" w:hAnsi="Caladea"/>
          <w:b/>
          <w:sz w:val="22"/>
        </w:rPr>
        <w:t>C</w:t>
      </w:r>
      <w:r>
        <w:rPr>
          <w:rFonts w:ascii="Caladea" w:hAnsi="Caladea"/>
          <w:b/>
          <w:sz w:val="18"/>
        </w:rPr>
        <w:t>ONSIDERAÇÕES</w:t>
      </w:r>
      <w:r>
        <w:rPr>
          <w:rFonts w:ascii="Caladea" w:hAnsi="Caladea"/>
          <w:b/>
          <w:spacing w:val="-2"/>
          <w:sz w:val="18"/>
        </w:rPr>
        <w:t> </w:t>
      </w:r>
      <w:r>
        <w:rPr>
          <w:rFonts w:ascii="Caladea" w:hAnsi="Caladea"/>
          <w:b/>
          <w:sz w:val="18"/>
        </w:rPr>
        <w:t>GERAIS</w:t>
      </w:r>
    </w:p>
    <w:p>
      <w:pPr>
        <w:pStyle w:val="BodyText"/>
        <w:spacing w:before="9"/>
        <w:rPr>
          <w:rFonts w:ascii="Caladea"/>
          <w:b/>
          <w:sz w:val="23"/>
        </w:rPr>
      </w:pPr>
    </w:p>
    <w:p>
      <w:pPr>
        <w:pStyle w:val="BodyText"/>
        <w:spacing w:line="242" w:lineRule="auto" w:before="1"/>
        <w:ind w:left="172" w:right="416"/>
        <w:jc w:val="both"/>
      </w:pPr>
      <w:r>
        <w:rPr/>
        <w:t>O</w:t>
      </w:r>
      <w:r>
        <w:rPr>
          <w:spacing w:val="-5"/>
        </w:rPr>
        <w:t> </w:t>
      </w:r>
      <w:r>
        <w:rPr/>
        <w:t>Grupo</w:t>
      </w:r>
      <w:r>
        <w:rPr>
          <w:spacing w:val="-4"/>
        </w:rPr>
        <w:t> </w:t>
      </w:r>
      <w:r>
        <w:rPr/>
        <w:t>mantém</w:t>
      </w:r>
      <w:r>
        <w:rPr>
          <w:spacing w:val="-3"/>
        </w:rPr>
        <w:t> </w:t>
      </w:r>
      <w:r>
        <w:rPr/>
        <w:t>operações</w:t>
      </w:r>
      <w:r>
        <w:rPr>
          <w:spacing w:val="-4"/>
        </w:rPr>
        <w:t> </w:t>
      </w:r>
      <w:r>
        <w:rPr/>
        <w:t>com</w:t>
      </w:r>
      <w:r>
        <w:rPr>
          <w:spacing w:val="-5"/>
        </w:rPr>
        <w:t> </w:t>
      </w:r>
      <w:r>
        <w:rPr/>
        <w:t>instrumentos</w:t>
      </w:r>
      <w:r>
        <w:rPr>
          <w:spacing w:val="-3"/>
        </w:rPr>
        <w:t> </w:t>
      </w:r>
      <w:r>
        <w:rPr/>
        <w:t>financeiros,</w:t>
      </w:r>
      <w:r>
        <w:rPr>
          <w:spacing w:val="-4"/>
        </w:rPr>
        <w:t> </w:t>
      </w:r>
      <w:r>
        <w:rPr/>
        <w:t>cujos</w:t>
      </w:r>
      <w:r>
        <w:rPr>
          <w:spacing w:val="-4"/>
        </w:rPr>
        <w:t> </w:t>
      </w:r>
      <w:r>
        <w:rPr/>
        <w:t>limites</w:t>
      </w:r>
      <w:r>
        <w:rPr>
          <w:spacing w:val="-4"/>
        </w:rPr>
        <w:t> </w:t>
      </w:r>
      <w:r>
        <w:rPr/>
        <w:t>de</w:t>
      </w:r>
      <w:r>
        <w:rPr>
          <w:spacing w:val="-5"/>
        </w:rPr>
        <w:t> </w:t>
      </w:r>
      <w:r>
        <w:rPr/>
        <w:t>exposição</w:t>
      </w:r>
      <w:r>
        <w:rPr>
          <w:spacing w:val="-4"/>
        </w:rPr>
        <w:t> </w:t>
      </w:r>
      <w:r>
        <w:rPr/>
        <w:t>aos</w:t>
      </w:r>
      <w:r>
        <w:rPr>
          <w:spacing w:val="-4"/>
        </w:rPr>
        <w:t> </w:t>
      </w:r>
      <w:r>
        <w:rPr/>
        <w:t>riscos</w:t>
      </w:r>
      <w:r>
        <w:rPr>
          <w:spacing w:val="-4"/>
        </w:rPr>
        <w:t> </w:t>
      </w:r>
      <w:r>
        <w:rPr/>
        <w:t>de</w:t>
      </w:r>
      <w:r>
        <w:rPr>
          <w:spacing w:val="-5"/>
        </w:rPr>
        <w:t> </w:t>
      </w:r>
      <w:r>
        <w:rPr/>
        <w:t>crédito</w:t>
      </w:r>
      <w:r>
        <w:rPr>
          <w:spacing w:val="-3"/>
        </w:rPr>
        <w:t> </w:t>
      </w:r>
      <w:r>
        <w:rPr/>
        <w:t>são aprovados e revisados periodicamente pela Administração. Todos os instrumentos financeiros são inerentes às respectivas</w:t>
      </w:r>
      <w:r>
        <w:rPr>
          <w:spacing w:val="-20"/>
        </w:rPr>
        <w:t> </w:t>
      </w:r>
      <w:r>
        <w:rPr/>
        <w:t>atividades</w:t>
      </w:r>
      <w:r>
        <w:rPr>
          <w:spacing w:val="-20"/>
        </w:rPr>
        <w:t> </w:t>
      </w:r>
      <w:r>
        <w:rPr/>
        <w:t>operacionais,</w:t>
      </w:r>
      <w:r>
        <w:rPr>
          <w:spacing w:val="-19"/>
        </w:rPr>
        <w:t> </w:t>
      </w:r>
      <w:r>
        <w:rPr/>
        <w:t>e</w:t>
      </w:r>
      <w:r>
        <w:rPr>
          <w:spacing w:val="-19"/>
        </w:rPr>
        <w:t> </w:t>
      </w:r>
      <w:r>
        <w:rPr/>
        <w:t>não</w:t>
      </w:r>
      <w:r>
        <w:rPr>
          <w:spacing w:val="-17"/>
        </w:rPr>
        <w:t> </w:t>
      </w:r>
      <w:r>
        <w:rPr/>
        <w:t>operam</w:t>
      </w:r>
      <w:r>
        <w:rPr>
          <w:spacing w:val="-19"/>
        </w:rPr>
        <w:t> </w:t>
      </w:r>
      <w:r>
        <w:rPr/>
        <w:t>com</w:t>
      </w:r>
      <w:r>
        <w:rPr>
          <w:spacing w:val="-19"/>
        </w:rPr>
        <w:t> </w:t>
      </w:r>
      <w:r>
        <w:rPr/>
        <w:t>derivativos.</w:t>
      </w:r>
    </w:p>
    <w:p>
      <w:pPr>
        <w:pStyle w:val="BodyText"/>
        <w:spacing w:line="242" w:lineRule="auto" w:before="119"/>
        <w:ind w:left="172" w:right="409"/>
        <w:jc w:val="both"/>
      </w:pPr>
      <w:r>
        <w:rPr/>
        <w:t>Relativamente à gestão de risco, há duas vertentes predominantes que têm merecido particular atenção da Administração:</w:t>
      </w:r>
      <w:r>
        <w:rPr>
          <w:spacing w:val="-49"/>
        </w:rPr>
        <w:t> </w:t>
      </w:r>
      <w:r>
        <w:rPr/>
        <w:t>(i)</w:t>
      </w:r>
      <w:r>
        <w:rPr>
          <w:spacing w:val="-48"/>
        </w:rPr>
        <w:t> </w:t>
      </w:r>
      <w:r>
        <w:rPr/>
        <w:t>a</w:t>
      </w:r>
      <w:r>
        <w:rPr>
          <w:spacing w:val="-48"/>
        </w:rPr>
        <w:t> </w:t>
      </w:r>
      <w:r>
        <w:rPr/>
        <w:t>conjuntura</w:t>
      </w:r>
      <w:r>
        <w:rPr>
          <w:spacing w:val="-48"/>
        </w:rPr>
        <w:t> </w:t>
      </w:r>
      <w:r>
        <w:rPr/>
        <w:t>econômico-financeira</w:t>
      </w:r>
      <w:r>
        <w:rPr>
          <w:spacing w:val="-48"/>
        </w:rPr>
        <w:t> </w:t>
      </w:r>
      <w:r>
        <w:rPr/>
        <w:t>da</w:t>
      </w:r>
      <w:r>
        <w:rPr>
          <w:spacing w:val="-47"/>
        </w:rPr>
        <w:t> </w:t>
      </w:r>
      <w:r>
        <w:rPr/>
        <w:t>CEB</w:t>
      </w:r>
      <w:r>
        <w:rPr>
          <w:spacing w:val="-48"/>
        </w:rPr>
        <w:t> </w:t>
      </w:r>
      <w:r>
        <w:rPr/>
        <w:t>Distribuição</w:t>
      </w:r>
      <w:r>
        <w:rPr>
          <w:spacing w:val="-49"/>
        </w:rPr>
        <w:t> </w:t>
      </w:r>
      <w:r>
        <w:rPr/>
        <w:t>S.A.;</w:t>
      </w:r>
      <w:r>
        <w:rPr>
          <w:spacing w:val="-46"/>
        </w:rPr>
        <w:t> </w:t>
      </w:r>
      <w:r>
        <w:rPr/>
        <w:t>e</w:t>
      </w:r>
      <w:r>
        <w:rPr>
          <w:spacing w:val="-48"/>
        </w:rPr>
        <w:t> </w:t>
      </w:r>
      <w:r>
        <w:rPr/>
        <w:t>(ii)</w:t>
      </w:r>
      <w:r>
        <w:rPr>
          <w:spacing w:val="-48"/>
        </w:rPr>
        <w:t> </w:t>
      </w:r>
      <w:r>
        <w:rPr/>
        <w:t>as</w:t>
      </w:r>
      <w:r>
        <w:rPr>
          <w:spacing w:val="-48"/>
        </w:rPr>
        <w:t> </w:t>
      </w:r>
      <w:r>
        <w:rPr/>
        <w:t>consequências</w:t>
      </w:r>
      <w:r>
        <w:rPr>
          <w:spacing w:val="-49"/>
        </w:rPr>
        <w:t> </w:t>
      </w:r>
      <w:r>
        <w:rPr/>
        <w:t>da</w:t>
      </w:r>
      <w:r>
        <w:rPr>
          <w:spacing w:val="-48"/>
        </w:rPr>
        <w:t> </w:t>
      </w:r>
      <w:r>
        <w:rPr/>
        <w:t>crise</w:t>
      </w:r>
      <w:r>
        <w:rPr>
          <w:spacing w:val="-47"/>
        </w:rPr>
        <w:t> </w:t>
      </w:r>
      <w:r>
        <w:rPr/>
        <w:t>hídrica </w:t>
      </w:r>
      <w:r>
        <w:rPr>
          <w:spacing w:val="-1"/>
          <w:w w:val="97"/>
        </w:rPr>
        <w:t>q</w:t>
      </w:r>
      <w:r>
        <w:rPr>
          <w:spacing w:val="-1"/>
          <w:w w:val="94"/>
        </w:rPr>
        <w:t>u</w:t>
      </w:r>
      <w:r>
        <w:rPr>
          <w:w w:val="94"/>
        </w:rPr>
        <w:t>e</w:t>
      </w:r>
      <w:r>
        <w:rPr>
          <w:spacing w:val="13"/>
        </w:rPr>
        <w:t> </w:t>
      </w:r>
      <w:r>
        <w:rPr>
          <w:spacing w:val="-1"/>
          <w:w w:val="105"/>
        </w:rPr>
        <w:t>r</w:t>
      </w:r>
      <w:r>
        <w:rPr>
          <w:spacing w:val="1"/>
          <w:w w:val="89"/>
        </w:rPr>
        <w:t>e</w:t>
      </w:r>
      <w:r>
        <w:rPr>
          <w:spacing w:val="-1"/>
          <w:w w:val="94"/>
        </w:rPr>
        <w:t>p</w:t>
      </w:r>
      <w:r>
        <w:rPr>
          <w:w w:val="94"/>
        </w:rPr>
        <w:t>e</w:t>
      </w:r>
      <w:r>
        <w:rPr>
          <w:spacing w:val="-1"/>
          <w:w w:val="105"/>
        </w:rPr>
        <w:t>r</w:t>
      </w:r>
      <w:r>
        <w:rPr>
          <w:w w:val="88"/>
        </w:rPr>
        <w:t>c</w:t>
      </w:r>
      <w:r>
        <w:rPr>
          <w:spacing w:val="-1"/>
          <w:w w:val="92"/>
        </w:rPr>
        <w:t>ut</w:t>
      </w:r>
      <w:r>
        <w:rPr>
          <w:spacing w:val="1"/>
          <w:w w:val="92"/>
        </w:rPr>
        <w:t>e</w:t>
      </w:r>
      <w:r>
        <w:rPr>
          <w:w w:val="99"/>
        </w:rPr>
        <w:t>m</w:t>
      </w:r>
      <w:r>
        <w:rPr>
          <w:spacing w:val="11"/>
        </w:rPr>
        <w:t> </w:t>
      </w:r>
      <w:r>
        <w:rPr>
          <w:spacing w:val="-1"/>
          <w:w w:val="101"/>
        </w:rPr>
        <w:t>n</w:t>
      </w:r>
      <w:r>
        <w:rPr>
          <w:w w:val="98"/>
        </w:rPr>
        <w:t>o</w:t>
      </w:r>
      <w:r>
        <w:rPr>
          <w:spacing w:val="11"/>
        </w:rPr>
        <w:t> </w:t>
      </w:r>
      <w:r>
        <w:rPr>
          <w:spacing w:val="2"/>
          <w:w w:val="114"/>
        </w:rPr>
        <w:t>M</w:t>
      </w:r>
      <w:r>
        <w:rPr>
          <w:spacing w:val="-2"/>
          <w:w w:val="89"/>
        </w:rPr>
        <w:t>e</w:t>
      </w:r>
      <w:r>
        <w:rPr>
          <w:w w:val="88"/>
        </w:rPr>
        <w:t>c</w:t>
      </w:r>
      <w:r>
        <w:rPr>
          <w:w w:val="92"/>
        </w:rPr>
        <w:t>a</w:t>
      </w:r>
      <w:r>
        <w:rPr>
          <w:spacing w:val="-1"/>
          <w:w w:val="101"/>
        </w:rPr>
        <w:t>n</w:t>
      </w:r>
      <w:r>
        <w:rPr>
          <w:w w:val="102"/>
        </w:rPr>
        <w:t>i</w:t>
      </w:r>
      <w:r>
        <w:rPr>
          <w:spacing w:val="2"/>
          <w:w w:val="102"/>
        </w:rPr>
        <w:t>s</w:t>
      </w:r>
      <w:r>
        <w:rPr>
          <w:spacing w:val="-1"/>
          <w:w w:val="99"/>
        </w:rPr>
        <w:t>m</w:t>
      </w:r>
      <w:r>
        <w:rPr>
          <w:w w:val="99"/>
        </w:rPr>
        <w:t>o</w:t>
      </w:r>
      <w:r>
        <w:rPr>
          <w:spacing w:val="11"/>
        </w:rPr>
        <w:t> </w:t>
      </w:r>
      <w:r>
        <w:rPr>
          <w:w w:val="94"/>
        </w:rPr>
        <w:t>de</w:t>
      </w:r>
      <w:r>
        <w:rPr>
          <w:spacing w:val="10"/>
        </w:rPr>
        <w:t> </w:t>
      </w:r>
      <w:r>
        <w:rPr>
          <w:spacing w:val="3"/>
          <w:w w:val="106"/>
        </w:rPr>
        <w:t>R</w:t>
      </w:r>
      <w:r>
        <w:rPr>
          <w:spacing w:val="-2"/>
          <w:w w:val="89"/>
        </w:rPr>
        <w:t>e</w:t>
      </w:r>
      <w:r>
        <w:rPr>
          <w:w w:val="92"/>
        </w:rPr>
        <w:t>a</w:t>
      </w:r>
      <w:r>
        <w:rPr>
          <w:w w:val="91"/>
        </w:rPr>
        <w:t>l</w:t>
      </w:r>
      <w:r>
        <w:rPr>
          <w:w w:val="93"/>
        </w:rPr>
        <w:t>oc</w:t>
      </w:r>
      <w:r>
        <w:rPr>
          <w:w w:val="92"/>
        </w:rPr>
        <w:t>a</w:t>
      </w:r>
      <w:r>
        <w:rPr>
          <w:w w:val="88"/>
        </w:rPr>
        <w:t>ç</w:t>
      </w:r>
      <w:r>
        <w:rPr>
          <w:w w:val="92"/>
        </w:rPr>
        <w:t>ã</w:t>
      </w:r>
      <w:r>
        <w:rPr>
          <w:w w:val="98"/>
        </w:rPr>
        <w:t>o</w:t>
      </w:r>
      <w:r>
        <w:rPr>
          <w:spacing w:val="11"/>
        </w:rPr>
        <w:t> </w:t>
      </w:r>
      <w:r>
        <w:rPr>
          <w:w w:val="94"/>
        </w:rPr>
        <w:t>de</w:t>
      </w:r>
      <w:r>
        <w:rPr>
          <w:spacing w:val="10"/>
        </w:rPr>
        <w:t> </w:t>
      </w:r>
      <w:r>
        <w:rPr>
          <w:w w:val="106"/>
        </w:rPr>
        <w:t>E</w:t>
      </w:r>
      <w:r>
        <w:rPr>
          <w:spacing w:val="-1"/>
          <w:w w:val="101"/>
        </w:rPr>
        <w:t>n</w:t>
      </w:r>
      <w:r>
        <w:rPr>
          <w:spacing w:val="1"/>
          <w:w w:val="89"/>
        </w:rPr>
        <w:t>e</w:t>
      </w:r>
      <w:r>
        <w:rPr>
          <w:spacing w:val="-1"/>
          <w:w w:val="105"/>
        </w:rPr>
        <w:t>r</w:t>
      </w:r>
      <w:r>
        <w:rPr>
          <w:spacing w:val="2"/>
          <w:w w:val="98"/>
        </w:rPr>
        <w:t>g</w:t>
      </w:r>
      <w:r>
        <w:rPr>
          <w:w w:val="94"/>
        </w:rPr>
        <w:t>ia</w:t>
      </w:r>
      <w:r>
        <w:rPr>
          <w:spacing w:val="18"/>
        </w:rPr>
        <w:t> </w:t>
      </w:r>
      <w:r>
        <w:rPr>
          <w:w w:val="135"/>
        </w:rPr>
        <w:t>–</w:t>
      </w:r>
      <w:r>
        <w:rPr>
          <w:spacing w:val="13"/>
        </w:rPr>
        <w:t> </w:t>
      </w:r>
      <w:r>
        <w:rPr>
          <w:w w:val="114"/>
        </w:rPr>
        <w:t>M</w:t>
      </w:r>
      <w:r>
        <w:rPr>
          <w:w w:val="106"/>
        </w:rPr>
        <w:t>R</w:t>
      </w:r>
      <w:r>
        <w:rPr>
          <w:w w:val="106"/>
        </w:rPr>
        <w:t>E</w:t>
      </w:r>
      <w:r>
        <w:rPr>
          <w:w w:val="55"/>
        </w:rPr>
        <w:t>,</w:t>
      </w:r>
      <w:r>
        <w:rPr>
          <w:spacing w:val="11"/>
        </w:rPr>
        <w:t> </w:t>
      </w:r>
      <w:r>
        <w:rPr>
          <w:spacing w:val="-1"/>
          <w:w w:val="105"/>
        </w:rPr>
        <w:t>r</w:t>
      </w:r>
      <w:r>
        <w:rPr>
          <w:spacing w:val="-2"/>
          <w:w w:val="89"/>
        </w:rPr>
        <w:t>e</w:t>
      </w:r>
      <w:r>
        <w:rPr>
          <w:w w:val="105"/>
        </w:rPr>
        <w:t>s</w:t>
      </w:r>
      <w:r>
        <w:rPr>
          <w:spacing w:val="-1"/>
          <w:w w:val="97"/>
        </w:rPr>
        <w:t>u</w:t>
      </w:r>
      <w:r>
        <w:rPr>
          <w:spacing w:val="1"/>
          <w:w w:val="97"/>
        </w:rPr>
        <w:t>l</w:t>
      </w:r>
      <w:r>
        <w:rPr>
          <w:spacing w:val="-1"/>
          <w:w w:val="89"/>
        </w:rPr>
        <w:t>t</w:t>
      </w:r>
      <w:r>
        <w:rPr>
          <w:w w:val="89"/>
        </w:rPr>
        <w:t>a</w:t>
      </w:r>
      <w:r>
        <w:rPr>
          <w:spacing w:val="-1"/>
          <w:w w:val="101"/>
        </w:rPr>
        <w:t>n</w:t>
      </w:r>
      <w:r>
        <w:rPr>
          <w:w w:val="98"/>
        </w:rPr>
        <w:t>do</w:t>
      </w:r>
      <w:r>
        <w:rPr>
          <w:spacing w:val="11"/>
        </w:rPr>
        <w:t> </w:t>
      </w:r>
      <w:r>
        <w:rPr>
          <w:spacing w:val="-2"/>
          <w:w w:val="89"/>
        </w:rPr>
        <w:t>e</w:t>
      </w:r>
      <w:r>
        <w:rPr>
          <w:w w:val="99"/>
        </w:rPr>
        <w:t>m</w:t>
      </w:r>
      <w:r>
        <w:rPr>
          <w:spacing w:val="13"/>
        </w:rPr>
        <w:t> </w:t>
      </w:r>
      <w:r>
        <w:rPr>
          <w:spacing w:val="-2"/>
          <w:w w:val="89"/>
        </w:rPr>
        <w:t>e</w:t>
      </w:r>
      <w:r>
        <w:rPr>
          <w:spacing w:val="1"/>
          <w:w w:val="101"/>
        </w:rPr>
        <w:t>n</w:t>
      </w:r>
      <w:r>
        <w:rPr>
          <w:w w:val="88"/>
        </w:rPr>
        <w:t>c</w:t>
      </w:r>
      <w:r>
        <w:rPr>
          <w:w w:val="92"/>
        </w:rPr>
        <w:t>a</w:t>
      </w:r>
      <w:r>
        <w:rPr>
          <w:spacing w:val="-1"/>
          <w:w w:val="105"/>
        </w:rPr>
        <w:t>r</w:t>
      </w:r>
      <w:r>
        <w:rPr>
          <w:spacing w:val="-1"/>
          <w:w w:val="100"/>
        </w:rPr>
        <w:t>go</w:t>
      </w:r>
      <w:r>
        <w:rPr>
          <w:w w:val="100"/>
        </w:rPr>
        <w:t>s</w:t>
      </w:r>
      <w:r>
        <w:rPr>
          <w:spacing w:val="12"/>
        </w:rPr>
        <w:t> </w:t>
      </w:r>
      <w:r>
        <w:rPr>
          <w:spacing w:val="-1"/>
          <w:w w:val="105"/>
        </w:rPr>
        <w:t>r</w:t>
      </w:r>
      <w:r>
        <w:rPr>
          <w:spacing w:val="-2"/>
          <w:w w:val="89"/>
        </w:rPr>
        <w:t>e</w:t>
      </w:r>
      <w:r>
        <w:rPr>
          <w:w w:val="91"/>
        </w:rPr>
        <w:t>l</w:t>
      </w:r>
      <w:r>
        <w:rPr>
          <w:spacing w:val="-2"/>
          <w:w w:val="89"/>
        </w:rPr>
        <w:t>e</w:t>
      </w:r>
      <w:r>
        <w:rPr>
          <w:w w:val="97"/>
        </w:rPr>
        <w:t>v</w:t>
      </w:r>
      <w:r>
        <w:rPr>
          <w:spacing w:val="3"/>
          <w:w w:val="97"/>
        </w:rPr>
        <w:t>a</w:t>
      </w:r>
      <w:r>
        <w:rPr>
          <w:spacing w:val="-1"/>
          <w:w w:val="101"/>
        </w:rPr>
        <w:t>n</w:t>
      </w:r>
      <w:r>
        <w:rPr>
          <w:spacing w:val="1"/>
          <w:w w:val="85"/>
        </w:rPr>
        <w:t>t</w:t>
      </w:r>
      <w:r>
        <w:rPr>
          <w:spacing w:val="-2"/>
          <w:w w:val="89"/>
        </w:rPr>
        <w:t>e</w:t>
      </w:r>
      <w:r>
        <w:rPr>
          <w:w w:val="105"/>
        </w:rPr>
        <w:t>s</w:t>
      </w:r>
      <w:r>
        <w:rPr>
          <w:spacing w:val="12"/>
        </w:rPr>
        <w:t> </w:t>
      </w:r>
      <w:r>
        <w:rPr>
          <w:spacing w:val="-1"/>
          <w:w w:val="96"/>
        </w:rPr>
        <w:t>p</w:t>
      </w:r>
      <w:r>
        <w:rPr>
          <w:w w:val="96"/>
        </w:rPr>
        <w:t>a</w:t>
      </w:r>
      <w:r>
        <w:rPr>
          <w:spacing w:val="-1"/>
          <w:w w:val="105"/>
        </w:rPr>
        <w:t>r</w:t>
      </w:r>
      <w:r>
        <w:rPr>
          <w:w w:val="92"/>
        </w:rPr>
        <w:t>a</w:t>
      </w:r>
      <w:r>
        <w:rPr>
          <w:spacing w:val="12"/>
        </w:rPr>
        <w:t> </w:t>
      </w:r>
      <w:r>
        <w:rPr>
          <w:w w:val="92"/>
        </w:rPr>
        <w:t>a</w:t>
      </w:r>
      <w:r>
        <w:rPr>
          <w:spacing w:val="12"/>
        </w:rPr>
        <w:t> </w:t>
      </w:r>
      <w:r>
        <w:rPr>
          <w:w w:val="93"/>
        </w:rPr>
        <w:t>C</w:t>
      </w:r>
      <w:r>
        <w:rPr>
          <w:w w:val="106"/>
        </w:rPr>
        <w:t>E</w:t>
      </w:r>
      <w:r>
        <w:rPr>
          <w:w w:val="107"/>
        </w:rPr>
        <w:t>B </w:t>
      </w:r>
      <w:r>
        <w:rPr>
          <w:w w:val="95"/>
        </w:rPr>
        <w:t>Lajeado</w:t>
      </w:r>
      <w:r>
        <w:rPr>
          <w:spacing w:val="-27"/>
          <w:w w:val="95"/>
        </w:rPr>
        <w:t> </w:t>
      </w:r>
      <w:r>
        <w:rPr>
          <w:w w:val="95"/>
        </w:rPr>
        <w:t>S.A.;</w:t>
      </w:r>
      <w:r>
        <w:rPr>
          <w:spacing w:val="-27"/>
          <w:w w:val="95"/>
        </w:rPr>
        <w:t> </w:t>
      </w:r>
      <w:r>
        <w:rPr>
          <w:w w:val="95"/>
        </w:rPr>
        <w:t>a</w:t>
      </w:r>
      <w:r>
        <w:rPr>
          <w:spacing w:val="-26"/>
          <w:w w:val="95"/>
        </w:rPr>
        <w:t> </w:t>
      </w:r>
      <w:r>
        <w:rPr>
          <w:w w:val="95"/>
        </w:rPr>
        <w:t>CEB</w:t>
      </w:r>
      <w:r>
        <w:rPr>
          <w:spacing w:val="-25"/>
          <w:w w:val="95"/>
        </w:rPr>
        <w:t> </w:t>
      </w:r>
      <w:r>
        <w:rPr>
          <w:w w:val="95"/>
        </w:rPr>
        <w:t>Participações</w:t>
      </w:r>
      <w:r>
        <w:rPr>
          <w:spacing w:val="-26"/>
          <w:w w:val="95"/>
        </w:rPr>
        <w:t> </w:t>
      </w:r>
      <w:r>
        <w:rPr>
          <w:w w:val="95"/>
        </w:rPr>
        <w:t>S.A.;</w:t>
      </w:r>
      <w:r>
        <w:rPr>
          <w:spacing w:val="-26"/>
          <w:w w:val="95"/>
        </w:rPr>
        <w:t> </w:t>
      </w:r>
      <w:r>
        <w:rPr>
          <w:w w:val="95"/>
        </w:rPr>
        <w:t>a</w:t>
      </w:r>
      <w:r>
        <w:rPr>
          <w:spacing w:val="-27"/>
          <w:w w:val="95"/>
        </w:rPr>
        <w:t> </w:t>
      </w:r>
      <w:r>
        <w:rPr>
          <w:w w:val="95"/>
        </w:rPr>
        <w:t>CEB</w:t>
      </w:r>
      <w:r>
        <w:rPr>
          <w:spacing w:val="-26"/>
          <w:w w:val="95"/>
        </w:rPr>
        <w:t> </w:t>
      </w:r>
      <w:r>
        <w:rPr>
          <w:w w:val="95"/>
        </w:rPr>
        <w:t>Geração</w:t>
      </w:r>
      <w:r>
        <w:rPr>
          <w:spacing w:val="-27"/>
          <w:w w:val="95"/>
        </w:rPr>
        <w:t> </w:t>
      </w:r>
      <w:r>
        <w:rPr>
          <w:w w:val="95"/>
        </w:rPr>
        <w:t>S.A.;</w:t>
      </w:r>
      <w:r>
        <w:rPr>
          <w:spacing w:val="-25"/>
          <w:w w:val="95"/>
        </w:rPr>
        <w:t> </w:t>
      </w:r>
      <w:r>
        <w:rPr>
          <w:w w:val="95"/>
        </w:rPr>
        <w:t>a</w:t>
      </w:r>
      <w:r>
        <w:rPr>
          <w:spacing w:val="-26"/>
          <w:w w:val="95"/>
        </w:rPr>
        <w:t> </w:t>
      </w:r>
      <w:r>
        <w:rPr>
          <w:w w:val="95"/>
        </w:rPr>
        <w:t>Corumbá</w:t>
      </w:r>
      <w:r>
        <w:rPr>
          <w:spacing w:val="-26"/>
          <w:w w:val="95"/>
        </w:rPr>
        <w:t> </w:t>
      </w:r>
      <w:r>
        <w:rPr>
          <w:w w:val="95"/>
        </w:rPr>
        <w:t>Concessões</w:t>
      </w:r>
      <w:r>
        <w:rPr>
          <w:spacing w:val="-24"/>
          <w:w w:val="95"/>
        </w:rPr>
        <w:t> </w:t>
      </w:r>
      <w:r>
        <w:rPr>
          <w:w w:val="95"/>
        </w:rPr>
        <w:t>S.A.;</w:t>
      </w:r>
      <w:r>
        <w:rPr>
          <w:spacing w:val="-25"/>
          <w:w w:val="95"/>
        </w:rPr>
        <w:t> </w:t>
      </w:r>
      <w:r>
        <w:rPr>
          <w:w w:val="95"/>
        </w:rPr>
        <w:t>e</w:t>
      </w:r>
      <w:r>
        <w:rPr>
          <w:spacing w:val="-27"/>
          <w:w w:val="95"/>
        </w:rPr>
        <w:t> </w:t>
      </w:r>
      <w:r>
        <w:rPr>
          <w:w w:val="95"/>
        </w:rPr>
        <w:t>a</w:t>
      </w:r>
      <w:r>
        <w:rPr>
          <w:spacing w:val="-26"/>
          <w:w w:val="95"/>
        </w:rPr>
        <w:t> </w:t>
      </w:r>
      <w:r>
        <w:rPr>
          <w:w w:val="95"/>
        </w:rPr>
        <w:t>Energética</w:t>
      </w:r>
      <w:r>
        <w:rPr>
          <w:spacing w:val="-26"/>
          <w:w w:val="95"/>
        </w:rPr>
        <w:t> </w:t>
      </w:r>
      <w:r>
        <w:rPr>
          <w:w w:val="95"/>
        </w:rPr>
        <w:t>Corumbá</w:t>
      </w:r>
      <w:r>
        <w:rPr>
          <w:spacing w:val="-26"/>
          <w:w w:val="95"/>
        </w:rPr>
        <w:t> </w:t>
      </w:r>
      <w:r>
        <w:rPr>
          <w:w w:val="95"/>
        </w:rPr>
        <w:t>III</w:t>
      </w:r>
      <w:r>
        <w:rPr>
          <w:spacing w:val="-25"/>
          <w:w w:val="95"/>
        </w:rPr>
        <w:t> </w:t>
      </w:r>
      <w:r>
        <w:rPr>
          <w:w w:val="95"/>
        </w:rPr>
        <w:t>S.A..</w:t>
      </w:r>
    </w:p>
    <w:p>
      <w:pPr>
        <w:pStyle w:val="BodyText"/>
        <w:spacing w:line="242" w:lineRule="auto" w:before="120"/>
        <w:ind w:left="172" w:right="407"/>
        <w:jc w:val="both"/>
      </w:pPr>
      <w:r>
        <w:rPr/>
        <w:t>Quanto</w:t>
      </w:r>
      <w:r>
        <w:rPr>
          <w:spacing w:val="-28"/>
        </w:rPr>
        <w:t> </w:t>
      </w:r>
      <w:r>
        <w:rPr/>
        <w:t>à</w:t>
      </w:r>
      <w:r>
        <w:rPr>
          <w:spacing w:val="-27"/>
        </w:rPr>
        <w:t> </w:t>
      </w:r>
      <w:r>
        <w:rPr/>
        <w:t>CEB</w:t>
      </w:r>
      <w:r>
        <w:rPr>
          <w:spacing w:val="-27"/>
        </w:rPr>
        <w:t> </w:t>
      </w:r>
      <w:r>
        <w:rPr/>
        <w:t>DIS,</w:t>
      </w:r>
      <w:r>
        <w:rPr>
          <w:spacing w:val="-28"/>
        </w:rPr>
        <w:t> </w:t>
      </w:r>
      <w:r>
        <w:rPr/>
        <w:t>a</w:t>
      </w:r>
      <w:r>
        <w:rPr>
          <w:spacing w:val="-27"/>
        </w:rPr>
        <w:t> </w:t>
      </w:r>
      <w:r>
        <w:rPr/>
        <w:t>diretriz</w:t>
      </w:r>
      <w:r>
        <w:rPr>
          <w:spacing w:val="-26"/>
        </w:rPr>
        <w:t> </w:t>
      </w:r>
      <w:r>
        <w:rPr/>
        <w:t>da</w:t>
      </w:r>
      <w:r>
        <w:rPr>
          <w:spacing w:val="-27"/>
        </w:rPr>
        <w:t> </w:t>
      </w:r>
      <w:r>
        <w:rPr/>
        <w:t>Administração</w:t>
      </w:r>
      <w:r>
        <w:rPr>
          <w:spacing w:val="-27"/>
        </w:rPr>
        <w:t> </w:t>
      </w:r>
      <w:r>
        <w:rPr/>
        <w:t>é</w:t>
      </w:r>
      <w:r>
        <w:rPr>
          <w:spacing w:val="-29"/>
        </w:rPr>
        <w:t> </w:t>
      </w:r>
      <w:r>
        <w:rPr/>
        <w:t>oferecer</w:t>
      </w:r>
      <w:r>
        <w:rPr>
          <w:spacing w:val="-26"/>
        </w:rPr>
        <w:t> </w:t>
      </w:r>
      <w:r>
        <w:rPr/>
        <w:t>um</w:t>
      </w:r>
      <w:r>
        <w:rPr>
          <w:spacing w:val="-27"/>
        </w:rPr>
        <w:t> </w:t>
      </w:r>
      <w:r>
        <w:rPr/>
        <w:t>serviço</w:t>
      </w:r>
      <w:r>
        <w:rPr>
          <w:spacing w:val="-28"/>
        </w:rPr>
        <w:t> </w:t>
      </w:r>
      <w:r>
        <w:rPr/>
        <w:t>de</w:t>
      </w:r>
      <w:r>
        <w:rPr>
          <w:spacing w:val="-26"/>
        </w:rPr>
        <w:t> </w:t>
      </w:r>
      <w:r>
        <w:rPr/>
        <w:t>qualidade</w:t>
      </w:r>
      <w:r>
        <w:rPr>
          <w:spacing w:val="-29"/>
        </w:rPr>
        <w:t> </w:t>
      </w:r>
      <w:r>
        <w:rPr/>
        <w:t>à</w:t>
      </w:r>
      <w:r>
        <w:rPr>
          <w:spacing w:val="-25"/>
        </w:rPr>
        <w:t> </w:t>
      </w:r>
      <w:r>
        <w:rPr/>
        <w:t>população</w:t>
      </w:r>
      <w:r>
        <w:rPr>
          <w:spacing w:val="-27"/>
        </w:rPr>
        <w:t> </w:t>
      </w:r>
      <w:r>
        <w:rPr/>
        <w:t>do</w:t>
      </w:r>
      <w:r>
        <w:rPr>
          <w:spacing w:val="-28"/>
        </w:rPr>
        <w:t> </w:t>
      </w:r>
      <w:r>
        <w:rPr/>
        <w:t>Distrito</w:t>
      </w:r>
      <w:r>
        <w:rPr>
          <w:spacing w:val="-28"/>
        </w:rPr>
        <w:t> </w:t>
      </w:r>
      <w:r>
        <w:rPr/>
        <w:t>Federal</w:t>
      </w:r>
      <w:r>
        <w:rPr>
          <w:spacing w:val="-27"/>
        </w:rPr>
        <w:t> </w:t>
      </w:r>
      <w:r>
        <w:rPr/>
        <w:t>e garantir</w:t>
      </w:r>
      <w:r>
        <w:rPr>
          <w:spacing w:val="-12"/>
        </w:rPr>
        <w:t> </w:t>
      </w:r>
      <w:r>
        <w:rPr/>
        <w:t>rentabilidade</w:t>
      </w:r>
      <w:r>
        <w:rPr>
          <w:spacing w:val="-14"/>
        </w:rPr>
        <w:t> </w:t>
      </w:r>
      <w:r>
        <w:rPr/>
        <w:t>compatível</w:t>
      </w:r>
      <w:r>
        <w:rPr>
          <w:spacing w:val="-13"/>
        </w:rPr>
        <w:t> </w:t>
      </w:r>
      <w:r>
        <w:rPr/>
        <w:t>com</w:t>
      </w:r>
      <w:r>
        <w:rPr>
          <w:spacing w:val="-13"/>
        </w:rPr>
        <w:t> </w:t>
      </w:r>
      <w:r>
        <w:rPr/>
        <w:t>o</w:t>
      </w:r>
      <w:r>
        <w:rPr>
          <w:spacing w:val="-14"/>
        </w:rPr>
        <w:t> </w:t>
      </w:r>
      <w:r>
        <w:rPr/>
        <w:t>mercado</w:t>
      </w:r>
      <w:r>
        <w:rPr>
          <w:spacing w:val="-13"/>
        </w:rPr>
        <w:t> </w:t>
      </w:r>
      <w:r>
        <w:rPr/>
        <w:t>aos</w:t>
      </w:r>
      <w:r>
        <w:rPr>
          <w:spacing w:val="-11"/>
        </w:rPr>
        <w:t> </w:t>
      </w:r>
      <w:r>
        <w:rPr/>
        <w:t>seus</w:t>
      </w:r>
      <w:r>
        <w:rPr>
          <w:spacing w:val="-13"/>
        </w:rPr>
        <w:t> </w:t>
      </w:r>
      <w:r>
        <w:rPr/>
        <w:t>acionistas,</w:t>
      </w:r>
      <w:r>
        <w:rPr>
          <w:spacing w:val="-13"/>
        </w:rPr>
        <w:t> </w:t>
      </w:r>
      <w:r>
        <w:rPr/>
        <w:t>bem</w:t>
      </w:r>
      <w:r>
        <w:rPr>
          <w:spacing w:val="-13"/>
        </w:rPr>
        <w:t> </w:t>
      </w:r>
      <w:r>
        <w:rPr/>
        <w:t>como</w:t>
      </w:r>
      <w:r>
        <w:rPr>
          <w:spacing w:val="-12"/>
        </w:rPr>
        <w:t> </w:t>
      </w:r>
      <w:r>
        <w:rPr/>
        <w:t>assegurar</w:t>
      </w:r>
      <w:r>
        <w:rPr>
          <w:spacing w:val="-14"/>
        </w:rPr>
        <w:t> </w:t>
      </w:r>
      <w:r>
        <w:rPr/>
        <w:t>sua</w:t>
      </w:r>
      <w:r>
        <w:rPr>
          <w:spacing w:val="-12"/>
        </w:rPr>
        <w:t> </w:t>
      </w:r>
      <w:r>
        <w:rPr/>
        <w:t>sustentabilidade econômico-financeira.</w:t>
      </w:r>
      <w:r>
        <w:rPr>
          <w:spacing w:val="16"/>
        </w:rPr>
        <w:t> </w:t>
      </w:r>
      <w:r>
        <w:rPr/>
        <w:t>Para</w:t>
      </w:r>
      <w:r>
        <w:rPr>
          <w:spacing w:val="18"/>
        </w:rPr>
        <w:t> </w:t>
      </w:r>
      <w:r>
        <w:rPr/>
        <w:t>tanto,</w:t>
      </w:r>
      <w:r>
        <w:rPr>
          <w:spacing w:val="15"/>
        </w:rPr>
        <w:t> </w:t>
      </w:r>
      <w:r>
        <w:rPr/>
        <w:t>a</w:t>
      </w:r>
      <w:r>
        <w:rPr>
          <w:spacing w:val="17"/>
        </w:rPr>
        <w:t> </w:t>
      </w:r>
      <w:r>
        <w:rPr/>
        <w:t>CEB</w:t>
      </w:r>
      <w:r>
        <w:rPr>
          <w:spacing w:val="16"/>
        </w:rPr>
        <w:t> </w:t>
      </w:r>
      <w:r>
        <w:rPr/>
        <w:t>concebeu</w:t>
      </w:r>
      <w:r>
        <w:rPr>
          <w:spacing w:val="19"/>
        </w:rPr>
        <w:t> </w:t>
      </w:r>
      <w:r>
        <w:rPr/>
        <w:t>o</w:t>
      </w:r>
      <w:r>
        <w:rPr>
          <w:spacing w:val="17"/>
        </w:rPr>
        <w:t> </w:t>
      </w:r>
      <w:r>
        <w:rPr/>
        <w:t>Plano</w:t>
      </w:r>
      <w:r>
        <w:rPr>
          <w:spacing w:val="17"/>
        </w:rPr>
        <w:t> </w:t>
      </w:r>
      <w:r>
        <w:rPr/>
        <w:t>de</w:t>
      </w:r>
      <w:r>
        <w:rPr>
          <w:spacing w:val="16"/>
        </w:rPr>
        <w:t> </w:t>
      </w:r>
      <w:r>
        <w:rPr/>
        <w:t>Negócios</w:t>
      </w:r>
      <w:r>
        <w:rPr>
          <w:spacing w:val="23"/>
        </w:rPr>
        <w:t> </w:t>
      </w:r>
      <w:r>
        <w:rPr>
          <w:w w:val="105"/>
        </w:rPr>
        <w:t>–</w:t>
      </w:r>
      <w:r>
        <w:rPr>
          <w:spacing w:val="14"/>
          <w:w w:val="105"/>
        </w:rPr>
        <w:t> </w:t>
      </w:r>
      <w:r>
        <w:rPr/>
        <w:t>Período</w:t>
      </w:r>
      <w:r>
        <w:rPr>
          <w:spacing w:val="16"/>
        </w:rPr>
        <w:t> </w:t>
      </w:r>
      <w:r>
        <w:rPr/>
        <w:t>2020</w:t>
      </w:r>
      <w:r>
        <w:rPr>
          <w:spacing w:val="16"/>
        </w:rPr>
        <w:t> </w:t>
      </w:r>
      <w:r>
        <w:rPr/>
        <w:t>a</w:t>
      </w:r>
      <w:r>
        <w:rPr>
          <w:spacing w:val="17"/>
        </w:rPr>
        <w:t> </w:t>
      </w:r>
      <w:r>
        <w:rPr/>
        <w:t>2024,</w:t>
      </w:r>
      <w:r>
        <w:rPr>
          <w:spacing w:val="18"/>
        </w:rPr>
        <w:t> </w:t>
      </w:r>
      <w:r>
        <w:rPr/>
        <w:t>que</w:t>
      </w:r>
      <w:r>
        <w:rPr>
          <w:spacing w:val="15"/>
        </w:rPr>
        <w:t> </w:t>
      </w:r>
      <w:r>
        <w:rPr/>
        <w:t>suporta</w:t>
      </w:r>
    </w:p>
    <w:p>
      <w:pPr>
        <w:spacing w:after="0" w:line="242" w:lineRule="auto"/>
        <w:jc w:val="both"/>
        <w:sectPr>
          <w:headerReference w:type="default" r:id="rId77"/>
          <w:footerReference w:type="default" r:id="rId78"/>
          <w:pgSz w:w="11910" w:h="16850"/>
          <w:pgMar w:header="792" w:footer="987" w:top="1280" w:bottom="1180" w:left="960" w:right="440"/>
          <w:pgNumType w:start="41"/>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07"/>
        <w:jc w:val="both"/>
      </w:pPr>
      <w:r>
        <w:rPr/>
        <w:t>informações</w:t>
      </w:r>
      <w:r>
        <w:rPr>
          <w:spacing w:val="-33"/>
        </w:rPr>
        <w:t> </w:t>
      </w:r>
      <w:r>
        <w:rPr/>
        <w:t>sobre</w:t>
      </w:r>
      <w:r>
        <w:rPr>
          <w:spacing w:val="-33"/>
        </w:rPr>
        <w:t> </w:t>
      </w:r>
      <w:r>
        <w:rPr/>
        <w:t>aspectos</w:t>
      </w:r>
      <w:r>
        <w:rPr>
          <w:spacing w:val="-31"/>
        </w:rPr>
        <w:t> </w:t>
      </w:r>
      <w:r>
        <w:rPr/>
        <w:t>relacionados</w:t>
      </w:r>
      <w:r>
        <w:rPr>
          <w:spacing w:val="-32"/>
        </w:rPr>
        <w:t> </w:t>
      </w:r>
      <w:r>
        <w:rPr/>
        <w:t>ao</w:t>
      </w:r>
      <w:r>
        <w:rPr>
          <w:spacing w:val="-34"/>
        </w:rPr>
        <w:t> </w:t>
      </w:r>
      <w:r>
        <w:rPr/>
        <w:t>pressuposto</w:t>
      </w:r>
      <w:r>
        <w:rPr>
          <w:spacing w:val="-32"/>
        </w:rPr>
        <w:t> </w:t>
      </w:r>
      <w:r>
        <w:rPr/>
        <w:t>da</w:t>
      </w:r>
      <w:r>
        <w:rPr>
          <w:spacing w:val="-34"/>
        </w:rPr>
        <w:t> </w:t>
      </w:r>
      <w:r>
        <w:rPr/>
        <w:t>continuidade</w:t>
      </w:r>
      <w:r>
        <w:rPr>
          <w:spacing w:val="-33"/>
        </w:rPr>
        <w:t> </w:t>
      </w:r>
      <w:r>
        <w:rPr/>
        <w:t>operacional</w:t>
      </w:r>
      <w:r>
        <w:rPr>
          <w:spacing w:val="-33"/>
        </w:rPr>
        <w:t> </w:t>
      </w:r>
      <w:r>
        <w:rPr/>
        <w:t>da</w:t>
      </w:r>
      <w:r>
        <w:rPr>
          <w:spacing w:val="-33"/>
        </w:rPr>
        <w:t> </w:t>
      </w:r>
      <w:r>
        <w:rPr/>
        <w:t>CEB</w:t>
      </w:r>
      <w:r>
        <w:rPr>
          <w:spacing w:val="-34"/>
        </w:rPr>
        <w:t> </w:t>
      </w:r>
      <w:r>
        <w:rPr>
          <w:spacing w:val="2"/>
        </w:rPr>
        <w:t>DIS”</w:t>
      </w:r>
      <w:r>
        <w:rPr>
          <w:spacing w:val="-33"/>
        </w:rPr>
        <w:t> </w:t>
      </w:r>
      <w:r>
        <w:rPr/>
        <w:t>divulgada</w:t>
      </w:r>
      <w:r>
        <w:rPr>
          <w:spacing w:val="-32"/>
        </w:rPr>
        <w:t> </w:t>
      </w:r>
      <w:r>
        <w:rPr/>
        <w:t>nestas notas</w:t>
      </w:r>
      <w:r>
        <w:rPr>
          <w:spacing w:val="-18"/>
        </w:rPr>
        <w:t> </w:t>
      </w:r>
      <w:r>
        <w:rPr/>
        <w:t>explicativas.</w:t>
      </w:r>
    </w:p>
    <w:p>
      <w:pPr>
        <w:pStyle w:val="BodyText"/>
        <w:spacing w:before="9"/>
      </w:pPr>
    </w:p>
    <w:p>
      <w:pPr>
        <w:pStyle w:val="BodyText"/>
        <w:spacing w:before="1"/>
        <w:ind w:left="172"/>
        <w:jc w:val="both"/>
      </w:pPr>
      <w:r>
        <w:rPr/>
        <w:t>Com</w:t>
      </w:r>
      <w:r>
        <w:rPr>
          <w:spacing w:val="-27"/>
        </w:rPr>
        <w:t> </w:t>
      </w:r>
      <w:r>
        <w:rPr/>
        <w:t>relação</w:t>
      </w:r>
      <w:r>
        <w:rPr>
          <w:spacing w:val="-27"/>
        </w:rPr>
        <w:t> </w:t>
      </w:r>
      <w:r>
        <w:rPr/>
        <w:t>às</w:t>
      </w:r>
      <w:r>
        <w:rPr>
          <w:spacing w:val="-27"/>
        </w:rPr>
        <w:t> </w:t>
      </w:r>
      <w:r>
        <w:rPr/>
        <w:t>empresas</w:t>
      </w:r>
      <w:r>
        <w:rPr>
          <w:spacing w:val="-26"/>
        </w:rPr>
        <w:t> </w:t>
      </w:r>
      <w:r>
        <w:rPr/>
        <w:t>geradoras/comercializadoras,</w:t>
      </w:r>
      <w:r>
        <w:rPr>
          <w:spacing w:val="-25"/>
        </w:rPr>
        <w:t> </w:t>
      </w:r>
      <w:r>
        <w:rPr/>
        <w:t>o</w:t>
      </w:r>
      <w:r>
        <w:rPr>
          <w:spacing w:val="-27"/>
        </w:rPr>
        <w:t> </w:t>
      </w:r>
      <w:r>
        <w:rPr/>
        <w:t>“Item</w:t>
      </w:r>
      <w:r>
        <w:rPr>
          <w:spacing w:val="-26"/>
        </w:rPr>
        <w:t> </w:t>
      </w:r>
      <w:r>
        <w:rPr/>
        <w:t>1.2</w:t>
      </w:r>
      <w:r>
        <w:rPr>
          <w:spacing w:val="-25"/>
        </w:rPr>
        <w:t> </w:t>
      </w:r>
      <w:r>
        <w:rPr/>
        <w:t>Acordo</w:t>
      </w:r>
      <w:r>
        <w:rPr>
          <w:spacing w:val="-26"/>
        </w:rPr>
        <w:t> </w:t>
      </w:r>
      <w:r>
        <w:rPr/>
        <w:t>GSF</w:t>
      </w:r>
      <w:r>
        <w:rPr>
          <w:spacing w:val="-20"/>
        </w:rPr>
        <w:t> </w:t>
      </w:r>
      <w:r>
        <w:rPr/>
        <w:t>–</w:t>
      </w:r>
      <w:r>
        <w:rPr>
          <w:spacing w:val="-24"/>
        </w:rPr>
        <w:t> </w:t>
      </w:r>
      <w:r>
        <w:rPr/>
        <w:t>Repactuação</w:t>
      </w:r>
      <w:r>
        <w:rPr>
          <w:spacing w:val="-27"/>
        </w:rPr>
        <w:t> </w:t>
      </w:r>
      <w:r>
        <w:rPr/>
        <w:t>do</w:t>
      </w:r>
      <w:r>
        <w:rPr>
          <w:spacing w:val="-27"/>
        </w:rPr>
        <w:t> </w:t>
      </w:r>
      <w:r>
        <w:rPr/>
        <w:t>Risco</w:t>
      </w:r>
      <w:r>
        <w:rPr>
          <w:spacing w:val="-27"/>
        </w:rPr>
        <w:t> </w:t>
      </w:r>
      <w:r>
        <w:rPr/>
        <w:t>Hidrológico</w:t>
      </w:r>
    </w:p>
    <w:p>
      <w:pPr>
        <w:pStyle w:val="BodyText"/>
        <w:ind w:left="172"/>
        <w:jc w:val="both"/>
      </w:pPr>
      <w:r>
        <w:rPr/>
        <w:t>–</w:t>
      </w:r>
      <w:r>
        <w:rPr>
          <w:spacing w:val="-31"/>
        </w:rPr>
        <w:t> </w:t>
      </w:r>
      <w:r>
        <w:rPr/>
        <w:t>Impactos</w:t>
      </w:r>
      <w:r>
        <w:rPr>
          <w:spacing w:val="-30"/>
        </w:rPr>
        <w:t> </w:t>
      </w:r>
      <w:r>
        <w:rPr/>
        <w:t>Sobre</w:t>
      </w:r>
      <w:r>
        <w:rPr>
          <w:spacing w:val="-32"/>
        </w:rPr>
        <w:t> </w:t>
      </w:r>
      <w:r>
        <w:rPr/>
        <w:t>as</w:t>
      </w:r>
      <w:r>
        <w:rPr>
          <w:spacing w:val="-31"/>
        </w:rPr>
        <w:t> </w:t>
      </w:r>
      <w:r>
        <w:rPr/>
        <w:t>Investidas”</w:t>
      </w:r>
      <w:r>
        <w:rPr>
          <w:spacing w:val="-32"/>
        </w:rPr>
        <w:t> </w:t>
      </w:r>
      <w:r>
        <w:rPr/>
        <w:t>destas</w:t>
      </w:r>
      <w:r>
        <w:rPr>
          <w:spacing w:val="-30"/>
        </w:rPr>
        <w:t> </w:t>
      </w:r>
      <w:r>
        <w:rPr/>
        <w:t>Notas</w:t>
      </w:r>
      <w:r>
        <w:rPr>
          <w:spacing w:val="-31"/>
        </w:rPr>
        <w:t> </w:t>
      </w:r>
      <w:r>
        <w:rPr/>
        <w:t>Explicativas,</w:t>
      </w:r>
      <w:r>
        <w:rPr>
          <w:spacing w:val="-31"/>
        </w:rPr>
        <w:t> </w:t>
      </w:r>
      <w:r>
        <w:rPr/>
        <w:t>relata</w:t>
      </w:r>
      <w:r>
        <w:rPr>
          <w:spacing w:val="-31"/>
        </w:rPr>
        <w:t> </w:t>
      </w:r>
      <w:r>
        <w:rPr/>
        <w:t>as</w:t>
      </w:r>
      <w:r>
        <w:rPr>
          <w:spacing w:val="-31"/>
        </w:rPr>
        <w:t> </w:t>
      </w:r>
      <w:r>
        <w:rPr/>
        <w:t>iniciativas</w:t>
      </w:r>
      <w:r>
        <w:rPr>
          <w:spacing w:val="-31"/>
        </w:rPr>
        <w:t> </w:t>
      </w:r>
      <w:r>
        <w:rPr/>
        <w:t>da</w:t>
      </w:r>
      <w:r>
        <w:rPr>
          <w:spacing w:val="-30"/>
        </w:rPr>
        <w:t> </w:t>
      </w:r>
      <w:r>
        <w:rPr/>
        <w:t>Administração</w:t>
      </w:r>
      <w:r>
        <w:rPr>
          <w:spacing w:val="-32"/>
        </w:rPr>
        <w:t> </w:t>
      </w:r>
      <w:r>
        <w:rPr/>
        <w:t>sobre</w:t>
      </w:r>
      <w:r>
        <w:rPr>
          <w:spacing w:val="-30"/>
        </w:rPr>
        <w:t> </w:t>
      </w:r>
      <w:r>
        <w:rPr/>
        <w:t>este</w:t>
      </w:r>
      <w:r>
        <w:rPr>
          <w:spacing w:val="-24"/>
        </w:rPr>
        <w:t> </w:t>
      </w:r>
      <w:r>
        <w:rPr/>
        <w:t>aspecto.</w:t>
      </w:r>
    </w:p>
    <w:p>
      <w:pPr>
        <w:pStyle w:val="BodyText"/>
        <w:spacing w:before="9"/>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b/>
          <w:sz w:val="18"/>
        </w:rPr>
      </w:pPr>
      <w:r>
        <w:rPr>
          <w:rFonts w:ascii="Caladea"/>
          <w:b/>
          <w:sz w:val="22"/>
        </w:rPr>
        <w:t>G</w:t>
      </w:r>
      <w:r>
        <w:rPr>
          <w:rFonts w:ascii="Caladea"/>
          <w:b/>
          <w:sz w:val="18"/>
        </w:rPr>
        <w:t>ERENCIAMENTO DE</w:t>
      </w:r>
      <w:r>
        <w:rPr>
          <w:rFonts w:ascii="Caladea"/>
          <w:b/>
          <w:spacing w:val="2"/>
          <w:sz w:val="18"/>
        </w:rPr>
        <w:t> </w:t>
      </w:r>
      <w:r>
        <w:rPr>
          <w:rFonts w:ascii="Caladea"/>
          <w:b/>
          <w:sz w:val="22"/>
        </w:rPr>
        <w:t>R</w:t>
      </w:r>
      <w:r>
        <w:rPr>
          <w:rFonts w:ascii="Caladea"/>
          <w:b/>
          <w:sz w:val="18"/>
        </w:rPr>
        <w:t>ISCOS</w:t>
      </w:r>
    </w:p>
    <w:p>
      <w:pPr>
        <w:pStyle w:val="BodyText"/>
        <w:rPr>
          <w:rFonts w:ascii="Caladea"/>
          <w:b/>
          <w:sz w:val="24"/>
        </w:rPr>
      </w:pPr>
    </w:p>
    <w:p>
      <w:pPr>
        <w:pStyle w:val="BodyText"/>
        <w:spacing w:line="247" w:lineRule="auto"/>
        <w:ind w:left="172" w:right="406"/>
        <w:jc w:val="both"/>
      </w:pPr>
      <w:r>
        <w:rPr/>
        <w:t>A</w:t>
      </w:r>
      <w:r>
        <w:rPr>
          <w:spacing w:val="-10"/>
        </w:rPr>
        <w:t> </w:t>
      </w:r>
      <w:r>
        <w:rPr/>
        <w:t>Administração</w:t>
      </w:r>
      <w:r>
        <w:rPr>
          <w:spacing w:val="-10"/>
        </w:rPr>
        <w:t> </w:t>
      </w:r>
      <w:r>
        <w:rPr/>
        <w:t>da</w:t>
      </w:r>
      <w:r>
        <w:rPr>
          <w:spacing w:val="-9"/>
        </w:rPr>
        <w:t> </w:t>
      </w:r>
      <w:r>
        <w:rPr/>
        <w:t>CEB</w:t>
      </w:r>
      <w:r>
        <w:rPr>
          <w:spacing w:val="-10"/>
        </w:rPr>
        <w:t> </w:t>
      </w:r>
      <w:r>
        <w:rPr/>
        <w:t>e</w:t>
      </w:r>
      <w:r>
        <w:rPr>
          <w:spacing w:val="-8"/>
        </w:rPr>
        <w:t> </w:t>
      </w:r>
      <w:r>
        <w:rPr/>
        <w:t>de</w:t>
      </w:r>
      <w:r>
        <w:rPr>
          <w:spacing w:val="-10"/>
        </w:rPr>
        <w:t> </w:t>
      </w:r>
      <w:r>
        <w:rPr/>
        <w:t>suas</w:t>
      </w:r>
      <w:r>
        <w:rPr>
          <w:spacing w:val="-9"/>
        </w:rPr>
        <w:t> </w:t>
      </w:r>
      <w:r>
        <w:rPr/>
        <w:t>controladas</w:t>
      </w:r>
      <w:r>
        <w:rPr>
          <w:spacing w:val="-10"/>
        </w:rPr>
        <w:t> </w:t>
      </w:r>
      <w:r>
        <w:rPr/>
        <w:t>tem</w:t>
      </w:r>
      <w:r>
        <w:rPr>
          <w:spacing w:val="-9"/>
        </w:rPr>
        <w:t> </w:t>
      </w:r>
      <w:r>
        <w:rPr/>
        <w:t>total</w:t>
      </w:r>
      <w:r>
        <w:rPr>
          <w:spacing w:val="-10"/>
        </w:rPr>
        <w:t> </w:t>
      </w:r>
      <w:r>
        <w:rPr/>
        <w:t>responsabilidade</w:t>
      </w:r>
      <w:r>
        <w:rPr>
          <w:spacing w:val="-10"/>
        </w:rPr>
        <w:t> </w:t>
      </w:r>
      <w:r>
        <w:rPr/>
        <w:t>pelo</w:t>
      </w:r>
      <w:r>
        <w:rPr>
          <w:spacing w:val="-9"/>
        </w:rPr>
        <w:t> </w:t>
      </w:r>
      <w:r>
        <w:rPr/>
        <w:t>estabelecimento</w:t>
      </w:r>
      <w:r>
        <w:rPr>
          <w:spacing w:val="-8"/>
        </w:rPr>
        <w:t> </w:t>
      </w:r>
      <w:r>
        <w:rPr/>
        <w:t>e</w:t>
      </w:r>
      <w:r>
        <w:rPr>
          <w:spacing w:val="-11"/>
        </w:rPr>
        <w:t> </w:t>
      </w:r>
      <w:r>
        <w:rPr/>
        <w:t>supervisão</w:t>
      </w:r>
      <w:r>
        <w:rPr>
          <w:spacing w:val="-10"/>
        </w:rPr>
        <w:t> </w:t>
      </w:r>
      <w:r>
        <w:rPr/>
        <w:t>da estrutura</w:t>
      </w:r>
      <w:r>
        <w:rPr>
          <w:spacing w:val="-41"/>
        </w:rPr>
        <w:t> </w:t>
      </w:r>
      <w:r>
        <w:rPr/>
        <w:t>de</w:t>
      </w:r>
      <w:r>
        <w:rPr>
          <w:spacing w:val="-41"/>
        </w:rPr>
        <w:t> </w:t>
      </w:r>
      <w:r>
        <w:rPr/>
        <w:t>gerenciamento</w:t>
      </w:r>
      <w:r>
        <w:rPr>
          <w:spacing w:val="-40"/>
        </w:rPr>
        <w:t> </w:t>
      </w:r>
      <w:r>
        <w:rPr/>
        <w:t>de</w:t>
      </w:r>
      <w:r>
        <w:rPr>
          <w:spacing w:val="-41"/>
        </w:rPr>
        <w:t> </w:t>
      </w:r>
      <w:r>
        <w:rPr/>
        <w:t>seus</w:t>
      </w:r>
      <w:r>
        <w:rPr>
          <w:spacing w:val="-40"/>
        </w:rPr>
        <w:t> </w:t>
      </w:r>
      <w:r>
        <w:rPr/>
        <w:t>riscos</w:t>
      </w:r>
      <w:r>
        <w:rPr>
          <w:spacing w:val="-40"/>
        </w:rPr>
        <w:t> </w:t>
      </w:r>
      <w:r>
        <w:rPr/>
        <w:t>observando,</w:t>
      </w:r>
      <w:r>
        <w:rPr>
          <w:spacing w:val="-39"/>
        </w:rPr>
        <w:t> </w:t>
      </w:r>
      <w:r>
        <w:rPr/>
        <w:t>para</w:t>
      </w:r>
      <w:r>
        <w:rPr>
          <w:spacing w:val="-41"/>
        </w:rPr>
        <w:t> </w:t>
      </w:r>
      <w:r>
        <w:rPr/>
        <w:t>tanto,</w:t>
      </w:r>
      <w:r>
        <w:rPr>
          <w:spacing w:val="-41"/>
        </w:rPr>
        <w:t> </w:t>
      </w:r>
      <w:r>
        <w:rPr/>
        <w:t>as</w:t>
      </w:r>
      <w:r>
        <w:rPr>
          <w:spacing w:val="-40"/>
        </w:rPr>
        <w:t> </w:t>
      </w:r>
      <w:r>
        <w:rPr/>
        <w:t>avaliações</w:t>
      </w:r>
      <w:r>
        <w:rPr>
          <w:spacing w:val="-41"/>
        </w:rPr>
        <w:t> </w:t>
      </w:r>
      <w:r>
        <w:rPr/>
        <w:t>técnicas</w:t>
      </w:r>
      <w:r>
        <w:rPr>
          <w:spacing w:val="-41"/>
        </w:rPr>
        <w:t> </w:t>
      </w:r>
      <w:r>
        <w:rPr/>
        <w:t>corporativas</w:t>
      </w:r>
      <w:r>
        <w:rPr>
          <w:spacing w:val="-40"/>
        </w:rPr>
        <w:t> </w:t>
      </w:r>
      <w:r>
        <w:rPr/>
        <w:t>das</w:t>
      </w:r>
      <w:r>
        <w:rPr>
          <w:spacing w:val="-39"/>
        </w:rPr>
        <w:t> </w:t>
      </w:r>
      <w:r>
        <w:rPr/>
        <w:t>empresas do</w:t>
      </w:r>
      <w:r>
        <w:rPr>
          <w:spacing w:val="-19"/>
        </w:rPr>
        <w:t> </w:t>
      </w:r>
      <w:r>
        <w:rPr/>
        <w:t>Grupo.</w:t>
      </w:r>
    </w:p>
    <w:p>
      <w:pPr>
        <w:pStyle w:val="BodyText"/>
        <w:spacing w:before="8"/>
      </w:pPr>
    </w:p>
    <w:p>
      <w:pPr>
        <w:pStyle w:val="BodyText"/>
        <w:spacing w:line="247" w:lineRule="auto"/>
        <w:ind w:left="172" w:right="418"/>
        <w:jc w:val="both"/>
      </w:pPr>
      <w:r>
        <w:rPr/>
        <w:t>As</w:t>
      </w:r>
      <w:r>
        <w:rPr>
          <w:spacing w:val="-18"/>
        </w:rPr>
        <w:t> </w:t>
      </w:r>
      <w:r>
        <w:rPr/>
        <w:t>políticas</w:t>
      </w:r>
      <w:r>
        <w:rPr>
          <w:spacing w:val="-17"/>
        </w:rPr>
        <w:t> </w:t>
      </w:r>
      <w:r>
        <w:rPr/>
        <w:t>de</w:t>
      </w:r>
      <w:r>
        <w:rPr>
          <w:spacing w:val="-19"/>
        </w:rPr>
        <w:t> </w:t>
      </w:r>
      <w:r>
        <w:rPr/>
        <w:t>gerenciamento</w:t>
      </w:r>
      <w:r>
        <w:rPr>
          <w:spacing w:val="-17"/>
        </w:rPr>
        <w:t> </w:t>
      </w:r>
      <w:r>
        <w:rPr/>
        <w:t>de</w:t>
      </w:r>
      <w:r>
        <w:rPr>
          <w:spacing w:val="-17"/>
        </w:rPr>
        <w:t> </w:t>
      </w:r>
      <w:r>
        <w:rPr/>
        <w:t>risco</w:t>
      </w:r>
      <w:r>
        <w:rPr>
          <w:spacing w:val="-18"/>
        </w:rPr>
        <w:t> </w:t>
      </w:r>
      <w:r>
        <w:rPr/>
        <w:t>são</w:t>
      </w:r>
      <w:r>
        <w:rPr>
          <w:spacing w:val="-16"/>
        </w:rPr>
        <w:t> </w:t>
      </w:r>
      <w:r>
        <w:rPr/>
        <w:t>estabelecidas</w:t>
      </w:r>
      <w:r>
        <w:rPr>
          <w:spacing w:val="-17"/>
        </w:rPr>
        <w:t> </w:t>
      </w:r>
      <w:r>
        <w:rPr/>
        <w:t>para</w:t>
      </w:r>
      <w:r>
        <w:rPr>
          <w:spacing w:val="-17"/>
        </w:rPr>
        <w:t> </w:t>
      </w:r>
      <w:r>
        <w:rPr/>
        <w:t>dar</w:t>
      </w:r>
      <w:r>
        <w:rPr>
          <w:spacing w:val="-17"/>
        </w:rPr>
        <w:t> </w:t>
      </w:r>
      <w:r>
        <w:rPr/>
        <w:t>previsibilidade</w:t>
      </w:r>
      <w:r>
        <w:rPr>
          <w:spacing w:val="-16"/>
        </w:rPr>
        <w:t> </w:t>
      </w:r>
      <w:r>
        <w:rPr/>
        <w:t>a</w:t>
      </w:r>
      <w:r>
        <w:rPr>
          <w:spacing w:val="-17"/>
        </w:rPr>
        <w:t> </w:t>
      </w:r>
      <w:r>
        <w:rPr/>
        <w:t>eventuais</w:t>
      </w:r>
      <w:r>
        <w:rPr>
          <w:spacing w:val="-16"/>
        </w:rPr>
        <w:t> </w:t>
      </w:r>
      <w:r>
        <w:rPr/>
        <w:t>riscos,</w:t>
      </w:r>
      <w:r>
        <w:rPr>
          <w:spacing w:val="-16"/>
        </w:rPr>
        <w:t> </w:t>
      </w:r>
      <w:r>
        <w:rPr/>
        <w:t>objetivando definir limites e controles apropriados, de forma a propiciar monitoração permanente e aderência aos limites operativos</w:t>
      </w:r>
      <w:r>
        <w:rPr>
          <w:spacing w:val="-12"/>
        </w:rPr>
        <w:t> </w:t>
      </w:r>
      <w:r>
        <w:rPr/>
        <w:t>estabelecidos</w:t>
      </w:r>
      <w:r>
        <w:rPr>
          <w:spacing w:val="-13"/>
        </w:rPr>
        <w:t> </w:t>
      </w:r>
      <w:r>
        <w:rPr/>
        <w:t>a</w:t>
      </w:r>
      <w:r>
        <w:rPr>
          <w:spacing w:val="-11"/>
        </w:rPr>
        <w:t> </w:t>
      </w:r>
      <w:r>
        <w:rPr/>
        <w:t>cada</w:t>
      </w:r>
      <w:r>
        <w:rPr>
          <w:spacing w:val="-12"/>
        </w:rPr>
        <w:t> </w:t>
      </w:r>
      <w:r>
        <w:rPr/>
        <w:t>empresa.</w:t>
      </w:r>
      <w:r>
        <w:rPr>
          <w:spacing w:val="-11"/>
        </w:rPr>
        <w:t> </w:t>
      </w:r>
      <w:r>
        <w:rPr/>
        <w:t>A</w:t>
      </w:r>
      <w:r>
        <w:rPr>
          <w:spacing w:val="-13"/>
        </w:rPr>
        <w:t> </w:t>
      </w:r>
      <w:r>
        <w:rPr/>
        <w:t>Administração</w:t>
      </w:r>
      <w:r>
        <w:rPr>
          <w:spacing w:val="-13"/>
        </w:rPr>
        <w:t> </w:t>
      </w:r>
      <w:r>
        <w:rPr/>
        <w:t>busca,</w:t>
      </w:r>
      <w:r>
        <w:rPr>
          <w:spacing w:val="-13"/>
        </w:rPr>
        <w:t> </w:t>
      </w:r>
      <w:r>
        <w:rPr/>
        <w:t>efetivamente,</w:t>
      </w:r>
      <w:r>
        <w:rPr>
          <w:spacing w:val="-13"/>
        </w:rPr>
        <w:t> </w:t>
      </w:r>
      <w:r>
        <w:rPr/>
        <w:t>a</w:t>
      </w:r>
      <w:r>
        <w:rPr>
          <w:spacing w:val="-11"/>
        </w:rPr>
        <w:t> </w:t>
      </w:r>
      <w:r>
        <w:rPr/>
        <w:t>previsibilidade</w:t>
      </w:r>
      <w:r>
        <w:rPr>
          <w:spacing w:val="-14"/>
        </w:rPr>
        <w:t> </w:t>
      </w:r>
      <w:r>
        <w:rPr/>
        <w:t>com</w:t>
      </w:r>
      <w:r>
        <w:rPr>
          <w:spacing w:val="-12"/>
        </w:rPr>
        <w:t> </w:t>
      </w:r>
      <w:r>
        <w:rPr/>
        <w:t>vistas</w:t>
      </w:r>
      <w:r>
        <w:rPr>
          <w:spacing w:val="-11"/>
        </w:rPr>
        <w:t> </w:t>
      </w:r>
      <w:r>
        <w:rPr/>
        <w:t>ao acompanhamento</w:t>
      </w:r>
      <w:r>
        <w:rPr>
          <w:spacing w:val="-27"/>
        </w:rPr>
        <w:t> </w:t>
      </w:r>
      <w:r>
        <w:rPr/>
        <w:t>de</w:t>
      </w:r>
      <w:r>
        <w:rPr>
          <w:spacing w:val="-28"/>
        </w:rPr>
        <w:t> </w:t>
      </w:r>
      <w:r>
        <w:rPr/>
        <w:t>operações</w:t>
      </w:r>
      <w:r>
        <w:rPr>
          <w:spacing w:val="-26"/>
        </w:rPr>
        <w:t> </w:t>
      </w:r>
      <w:r>
        <w:rPr/>
        <w:t>que</w:t>
      </w:r>
      <w:r>
        <w:rPr>
          <w:spacing w:val="-27"/>
        </w:rPr>
        <w:t> </w:t>
      </w:r>
      <w:r>
        <w:rPr/>
        <w:t>porventura</w:t>
      </w:r>
      <w:r>
        <w:rPr>
          <w:spacing w:val="-28"/>
        </w:rPr>
        <w:t> </w:t>
      </w:r>
      <w:r>
        <w:rPr/>
        <w:t>possam</w:t>
      </w:r>
      <w:r>
        <w:rPr>
          <w:spacing w:val="-26"/>
        </w:rPr>
        <w:t> </w:t>
      </w:r>
      <w:r>
        <w:rPr/>
        <w:t>comprometer</w:t>
      </w:r>
      <w:r>
        <w:rPr>
          <w:spacing w:val="-29"/>
        </w:rPr>
        <w:t> </w:t>
      </w:r>
      <w:r>
        <w:rPr/>
        <w:t>a</w:t>
      </w:r>
      <w:r>
        <w:rPr>
          <w:spacing w:val="-27"/>
        </w:rPr>
        <w:t> </w:t>
      </w:r>
      <w:r>
        <w:rPr/>
        <w:t>liquidez</w:t>
      </w:r>
      <w:r>
        <w:rPr>
          <w:spacing w:val="-26"/>
        </w:rPr>
        <w:t> </w:t>
      </w:r>
      <w:r>
        <w:rPr/>
        <w:t>e</w:t>
      </w:r>
      <w:r>
        <w:rPr>
          <w:spacing w:val="-27"/>
        </w:rPr>
        <w:t> </w:t>
      </w:r>
      <w:r>
        <w:rPr/>
        <w:t>rentabilidade</w:t>
      </w:r>
      <w:r>
        <w:rPr>
          <w:spacing w:val="-29"/>
        </w:rPr>
        <w:t> </w:t>
      </w:r>
      <w:r>
        <w:rPr/>
        <w:t>do</w:t>
      </w:r>
      <w:r>
        <w:rPr>
          <w:spacing w:val="-29"/>
        </w:rPr>
        <w:t> </w:t>
      </w:r>
      <w:r>
        <w:rPr/>
        <w:t>Grupo.</w:t>
      </w:r>
    </w:p>
    <w:p>
      <w:pPr>
        <w:pStyle w:val="BodyText"/>
        <w:spacing w:before="9"/>
      </w:pPr>
    </w:p>
    <w:p>
      <w:pPr>
        <w:pStyle w:val="BodyText"/>
        <w:spacing w:line="247" w:lineRule="auto"/>
        <w:ind w:left="172" w:right="413"/>
        <w:jc w:val="both"/>
      </w:pPr>
      <w:r>
        <w:rPr/>
        <w:t>Essa</w:t>
      </w:r>
      <w:r>
        <w:rPr>
          <w:spacing w:val="-19"/>
        </w:rPr>
        <w:t> </w:t>
      </w:r>
      <w:r>
        <w:rPr/>
        <w:t>política,</w:t>
      </w:r>
      <w:r>
        <w:rPr>
          <w:spacing w:val="-19"/>
        </w:rPr>
        <w:t> </w:t>
      </w:r>
      <w:r>
        <w:rPr/>
        <w:t>lastreada</w:t>
      </w:r>
      <w:r>
        <w:rPr>
          <w:spacing w:val="-18"/>
        </w:rPr>
        <w:t> </w:t>
      </w:r>
      <w:r>
        <w:rPr/>
        <w:t>em</w:t>
      </w:r>
      <w:r>
        <w:rPr>
          <w:spacing w:val="-19"/>
        </w:rPr>
        <w:t> </w:t>
      </w:r>
      <w:r>
        <w:rPr/>
        <w:t>sistemas</w:t>
      </w:r>
      <w:r>
        <w:rPr>
          <w:spacing w:val="-19"/>
        </w:rPr>
        <w:t> </w:t>
      </w:r>
      <w:r>
        <w:rPr/>
        <w:t>de</w:t>
      </w:r>
      <w:r>
        <w:rPr>
          <w:spacing w:val="-19"/>
        </w:rPr>
        <w:t> </w:t>
      </w:r>
      <w:r>
        <w:rPr/>
        <w:t>gerenciamento</w:t>
      </w:r>
      <w:r>
        <w:rPr>
          <w:spacing w:val="-18"/>
        </w:rPr>
        <w:t> </w:t>
      </w:r>
      <w:r>
        <w:rPr/>
        <w:t>de</w:t>
      </w:r>
      <w:r>
        <w:rPr>
          <w:spacing w:val="-20"/>
        </w:rPr>
        <w:t> </w:t>
      </w:r>
      <w:r>
        <w:rPr/>
        <w:t>riscos,</w:t>
      </w:r>
      <w:r>
        <w:rPr>
          <w:spacing w:val="-14"/>
        </w:rPr>
        <w:t> </w:t>
      </w:r>
      <w:r>
        <w:rPr/>
        <w:t>trata</w:t>
      </w:r>
      <w:r>
        <w:rPr>
          <w:spacing w:val="-18"/>
        </w:rPr>
        <w:t> </w:t>
      </w:r>
      <w:r>
        <w:rPr/>
        <w:t>da</w:t>
      </w:r>
      <w:r>
        <w:rPr>
          <w:spacing w:val="-18"/>
        </w:rPr>
        <w:t> </w:t>
      </w:r>
      <w:r>
        <w:rPr/>
        <w:t>revisão</w:t>
      </w:r>
      <w:r>
        <w:rPr>
          <w:spacing w:val="-19"/>
        </w:rPr>
        <w:t> </w:t>
      </w:r>
      <w:r>
        <w:rPr/>
        <w:t>periódica</w:t>
      </w:r>
      <w:r>
        <w:rPr>
          <w:spacing w:val="-18"/>
        </w:rPr>
        <w:t> </w:t>
      </w:r>
      <w:r>
        <w:rPr/>
        <w:t>dos</w:t>
      </w:r>
      <w:r>
        <w:rPr>
          <w:spacing w:val="-19"/>
        </w:rPr>
        <w:t> </w:t>
      </w:r>
      <w:r>
        <w:rPr/>
        <w:t>riscos</w:t>
      </w:r>
      <w:r>
        <w:rPr>
          <w:spacing w:val="-18"/>
        </w:rPr>
        <w:t> </w:t>
      </w:r>
      <w:r>
        <w:rPr/>
        <w:t>financeiros associados</w:t>
      </w:r>
      <w:r>
        <w:rPr>
          <w:spacing w:val="-16"/>
        </w:rPr>
        <w:t> </w:t>
      </w:r>
      <w:r>
        <w:rPr/>
        <w:t>às</w:t>
      </w:r>
      <w:r>
        <w:rPr>
          <w:spacing w:val="-16"/>
        </w:rPr>
        <w:t> </w:t>
      </w:r>
      <w:r>
        <w:rPr/>
        <w:t>captações,</w:t>
      </w:r>
      <w:r>
        <w:rPr>
          <w:spacing w:val="-16"/>
        </w:rPr>
        <w:t> </w:t>
      </w:r>
      <w:r>
        <w:rPr/>
        <w:t>de</w:t>
      </w:r>
      <w:r>
        <w:rPr>
          <w:spacing w:val="-18"/>
        </w:rPr>
        <w:t> </w:t>
      </w:r>
      <w:r>
        <w:rPr/>
        <w:t>modo</w:t>
      </w:r>
      <w:r>
        <w:rPr>
          <w:spacing w:val="-16"/>
        </w:rPr>
        <w:t> </w:t>
      </w:r>
      <w:r>
        <w:rPr/>
        <w:t>a</w:t>
      </w:r>
      <w:r>
        <w:rPr>
          <w:spacing w:val="-16"/>
        </w:rPr>
        <w:t> </w:t>
      </w:r>
      <w:r>
        <w:rPr/>
        <w:t>antecipar</w:t>
      </w:r>
      <w:r>
        <w:rPr>
          <w:spacing w:val="-17"/>
        </w:rPr>
        <w:t> </w:t>
      </w:r>
      <w:r>
        <w:rPr/>
        <w:t>eventuais</w:t>
      </w:r>
      <w:r>
        <w:rPr>
          <w:spacing w:val="-16"/>
        </w:rPr>
        <w:t> </w:t>
      </w:r>
      <w:r>
        <w:rPr/>
        <w:t>mudanças</w:t>
      </w:r>
      <w:r>
        <w:rPr>
          <w:spacing w:val="-15"/>
        </w:rPr>
        <w:t> </w:t>
      </w:r>
      <w:r>
        <w:rPr/>
        <w:t>nas</w:t>
      </w:r>
      <w:r>
        <w:rPr>
          <w:spacing w:val="-16"/>
        </w:rPr>
        <w:t> </w:t>
      </w:r>
      <w:r>
        <w:rPr/>
        <w:t>condições</w:t>
      </w:r>
      <w:r>
        <w:rPr>
          <w:spacing w:val="-15"/>
        </w:rPr>
        <w:t> </w:t>
      </w:r>
      <w:r>
        <w:rPr/>
        <w:t>de</w:t>
      </w:r>
      <w:r>
        <w:rPr>
          <w:spacing w:val="-17"/>
        </w:rPr>
        <w:t> </w:t>
      </w:r>
      <w:r>
        <w:rPr/>
        <w:t>mercado</w:t>
      </w:r>
      <w:r>
        <w:rPr>
          <w:spacing w:val="-15"/>
        </w:rPr>
        <w:t> </w:t>
      </w:r>
      <w:r>
        <w:rPr/>
        <w:t>e</w:t>
      </w:r>
      <w:r>
        <w:rPr>
          <w:spacing w:val="-17"/>
        </w:rPr>
        <w:t> </w:t>
      </w:r>
      <w:r>
        <w:rPr/>
        <w:t>seus</w:t>
      </w:r>
      <w:r>
        <w:rPr>
          <w:spacing w:val="-16"/>
        </w:rPr>
        <w:t> </w:t>
      </w:r>
      <w:r>
        <w:rPr/>
        <w:t>reflexos</w:t>
      </w:r>
      <w:r>
        <w:rPr>
          <w:spacing w:val="-14"/>
        </w:rPr>
        <w:t> </w:t>
      </w:r>
      <w:r>
        <w:rPr/>
        <w:t>nas atividades do</w:t>
      </w:r>
      <w:r>
        <w:rPr>
          <w:spacing w:val="-36"/>
        </w:rPr>
        <w:t> </w:t>
      </w:r>
      <w:r>
        <w:rPr/>
        <w:t>Grupo.</w:t>
      </w:r>
    </w:p>
    <w:p>
      <w:pPr>
        <w:pStyle w:val="BodyText"/>
        <w:spacing w:before="8"/>
      </w:pPr>
    </w:p>
    <w:p>
      <w:pPr>
        <w:pStyle w:val="BodyText"/>
        <w:spacing w:line="247" w:lineRule="auto"/>
        <w:ind w:left="172" w:right="410"/>
        <w:jc w:val="both"/>
      </w:pPr>
      <w:r>
        <w:rPr/>
        <w:t>A</w:t>
      </w:r>
      <w:r>
        <w:rPr>
          <w:spacing w:val="-34"/>
        </w:rPr>
        <w:t> </w:t>
      </w:r>
      <w:r>
        <w:rPr/>
        <w:t>CEB,</w:t>
      </w:r>
      <w:r>
        <w:rPr>
          <w:spacing w:val="-34"/>
        </w:rPr>
        <w:t> </w:t>
      </w:r>
      <w:r>
        <w:rPr/>
        <w:t>por</w:t>
      </w:r>
      <w:r>
        <w:rPr>
          <w:spacing w:val="-34"/>
        </w:rPr>
        <w:t> </w:t>
      </w:r>
      <w:r>
        <w:rPr/>
        <w:t>meio</w:t>
      </w:r>
      <w:r>
        <w:rPr>
          <w:spacing w:val="-32"/>
        </w:rPr>
        <w:t> </w:t>
      </w:r>
      <w:r>
        <w:rPr/>
        <w:t>de</w:t>
      </w:r>
      <w:r>
        <w:rPr>
          <w:spacing w:val="-35"/>
        </w:rPr>
        <w:t> </w:t>
      </w:r>
      <w:r>
        <w:rPr/>
        <w:t>seus</w:t>
      </w:r>
      <w:r>
        <w:rPr>
          <w:spacing w:val="-31"/>
        </w:rPr>
        <w:t> </w:t>
      </w:r>
      <w:r>
        <w:rPr/>
        <w:t>atos</w:t>
      </w:r>
      <w:r>
        <w:rPr>
          <w:spacing w:val="-32"/>
        </w:rPr>
        <w:t> </w:t>
      </w:r>
      <w:r>
        <w:rPr/>
        <w:t>normativos</w:t>
      </w:r>
      <w:r>
        <w:rPr>
          <w:spacing w:val="-32"/>
        </w:rPr>
        <w:t> </w:t>
      </w:r>
      <w:r>
        <w:rPr/>
        <w:t>e</w:t>
      </w:r>
      <w:r>
        <w:rPr>
          <w:spacing w:val="-33"/>
        </w:rPr>
        <w:t> </w:t>
      </w:r>
      <w:r>
        <w:rPr/>
        <w:t>de</w:t>
      </w:r>
      <w:r>
        <w:rPr>
          <w:spacing w:val="-33"/>
        </w:rPr>
        <w:t> </w:t>
      </w:r>
      <w:r>
        <w:rPr/>
        <w:t>gestão</w:t>
      </w:r>
      <w:r>
        <w:rPr>
          <w:spacing w:val="-34"/>
        </w:rPr>
        <w:t> </w:t>
      </w:r>
      <w:r>
        <w:rPr/>
        <w:t>em</w:t>
      </w:r>
      <w:r>
        <w:rPr>
          <w:spacing w:val="-34"/>
        </w:rPr>
        <w:t> </w:t>
      </w:r>
      <w:r>
        <w:rPr/>
        <w:t>suas</w:t>
      </w:r>
      <w:r>
        <w:rPr>
          <w:spacing w:val="-33"/>
        </w:rPr>
        <w:t> </w:t>
      </w:r>
      <w:r>
        <w:rPr/>
        <w:t>controladas,</w:t>
      </w:r>
      <w:r>
        <w:rPr>
          <w:spacing w:val="-34"/>
        </w:rPr>
        <w:t> </w:t>
      </w:r>
      <w:r>
        <w:rPr/>
        <w:t>atua</w:t>
      </w:r>
      <w:r>
        <w:rPr>
          <w:spacing w:val="-33"/>
        </w:rPr>
        <w:t> </w:t>
      </w:r>
      <w:r>
        <w:rPr/>
        <w:t>de</w:t>
      </w:r>
      <w:r>
        <w:rPr>
          <w:spacing w:val="-34"/>
        </w:rPr>
        <w:t> </w:t>
      </w:r>
      <w:r>
        <w:rPr/>
        <w:t>forma</w:t>
      </w:r>
      <w:r>
        <w:rPr>
          <w:spacing w:val="-34"/>
        </w:rPr>
        <w:t> </w:t>
      </w:r>
      <w:r>
        <w:rPr/>
        <w:t>a</w:t>
      </w:r>
      <w:r>
        <w:rPr>
          <w:spacing w:val="-33"/>
        </w:rPr>
        <w:t> </w:t>
      </w:r>
      <w:r>
        <w:rPr/>
        <w:t>desenvolver</w:t>
      </w:r>
      <w:r>
        <w:rPr>
          <w:spacing w:val="-33"/>
        </w:rPr>
        <w:t> </w:t>
      </w:r>
      <w:r>
        <w:rPr/>
        <w:t>um</w:t>
      </w:r>
      <w:r>
        <w:rPr>
          <w:spacing w:val="-33"/>
        </w:rPr>
        <w:t> </w:t>
      </w:r>
      <w:r>
        <w:rPr/>
        <w:t>ambiente de</w:t>
      </w:r>
      <w:r>
        <w:rPr>
          <w:spacing w:val="-22"/>
        </w:rPr>
        <w:t> </w:t>
      </w:r>
      <w:r>
        <w:rPr/>
        <w:t>controle</w:t>
      </w:r>
      <w:r>
        <w:rPr>
          <w:spacing w:val="-21"/>
        </w:rPr>
        <w:t> </w:t>
      </w:r>
      <w:r>
        <w:rPr/>
        <w:t>disciplinado</w:t>
      </w:r>
      <w:r>
        <w:rPr>
          <w:spacing w:val="-20"/>
        </w:rPr>
        <w:t> </w:t>
      </w:r>
      <w:r>
        <w:rPr/>
        <w:t>e</w:t>
      </w:r>
      <w:r>
        <w:rPr>
          <w:spacing w:val="-20"/>
        </w:rPr>
        <w:t> </w:t>
      </w:r>
      <w:r>
        <w:rPr/>
        <w:t>construtivo,</w:t>
      </w:r>
      <w:r>
        <w:rPr>
          <w:spacing w:val="-18"/>
        </w:rPr>
        <w:t> </w:t>
      </w:r>
      <w:r>
        <w:rPr/>
        <w:t>no</w:t>
      </w:r>
      <w:r>
        <w:rPr>
          <w:spacing w:val="-21"/>
        </w:rPr>
        <w:t> </w:t>
      </w:r>
      <w:r>
        <w:rPr/>
        <w:t>qual,</w:t>
      </w:r>
      <w:r>
        <w:rPr>
          <w:spacing w:val="-20"/>
        </w:rPr>
        <w:t> </w:t>
      </w:r>
      <w:r>
        <w:rPr/>
        <w:t>as</w:t>
      </w:r>
      <w:r>
        <w:rPr>
          <w:spacing w:val="-20"/>
        </w:rPr>
        <w:t> </w:t>
      </w:r>
      <w:r>
        <w:rPr/>
        <w:t>empresas</w:t>
      </w:r>
      <w:r>
        <w:rPr>
          <w:spacing w:val="-20"/>
        </w:rPr>
        <w:t> </w:t>
      </w:r>
      <w:r>
        <w:rPr/>
        <w:t>ajustam</w:t>
      </w:r>
      <w:r>
        <w:rPr>
          <w:spacing w:val="-20"/>
        </w:rPr>
        <w:t> </w:t>
      </w:r>
      <w:r>
        <w:rPr/>
        <w:t>seus</w:t>
      </w:r>
      <w:r>
        <w:rPr>
          <w:spacing w:val="-20"/>
        </w:rPr>
        <w:t> </w:t>
      </w:r>
      <w:r>
        <w:rPr/>
        <w:t>padrões</w:t>
      </w:r>
      <w:r>
        <w:rPr>
          <w:spacing w:val="-18"/>
        </w:rPr>
        <w:t> </w:t>
      </w:r>
      <w:r>
        <w:rPr/>
        <w:t>de</w:t>
      </w:r>
      <w:r>
        <w:rPr>
          <w:spacing w:val="-21"/>
        </w:rPr>
        <w:t> </w:t>
      </w:r>
      <w:r>
        <w:rPr/>
        <w:t>riscos</w:t>
      </w:r>
      <w:r>
        <w:rPr>
          <w:spacing w:val="-20"/>
        </w:rPr>
        <w:t> </w:t>
      </w:r>
      <w:r>
        <w:rPr/>
        <w:t>às</w:t>
      </w:r>
      <w:r>
        <w:rPr>
          <w:spacing w:val="-20"/>
        </w:rPr>
        <w:t> </w:t>
      </w:r>
      <w:r>
        <w:rPr/>
        <w:t>recomendações</w:t>
      </w:r>
      <w:r>
        <w:rPr>
          <w:spacing w:val="-19"/>
        </w:rPr>
        <w:t> </w:t>
      </w:r>
      <w:r>
        <w:rPr/>
        <w:t>da Administração.</w:t>
      </w:r>
    </w:p>
    <w:p>
      <w:pPr>
        <w:pStyle w:val="BodyText"/>
        <w:spacing w:before="8"/>
      </w:pPr>
    </w:p>
    <w:p>
      <w:pPr>
        <w:pStyle w:val="BodyText"/>
        <w:spacing w:line="247" w:lineRule="auto"/>
        <w:ind w:left="172" w:right="407"/>
        <w:jc w:val="both"/>
      </w:pPr>
      <w:r>
        <w:rPr/>
        <w:t>O</w:t>
      </w:r>
      <w:r>
        <w:rPr>
          <w:spacing w:val="-4"/>
        </w:rPr>
        <w:t> </w:t>
      </w:r>
      <w:r>
        <w:rPr/>
        <w:t>Grupo</w:t>
      </w:r>
      <w:r>
        <w:rPr>
          <w:spacing w:val="-4"/>
        </w:rPr>
        <w:t> </w:t>
      </w:r>
      <w:r>
        <w:rPr/>
        <w:t>mantém</w:t>
      </w:r>
      <w:r>
        <w:rPr>
          <w:spacing w:val="-3"/>
        </w:rPr>
        <w:t> </w:t>
      </w:r>
      <w:r>
        <w:rPr/>
        <w:t>operações</w:t>
      </w:r>
      <w:r>
        <w:rPr>
          <w:spacing w:val="-3"/>
        </w:rPr>
        <w:t> </w:t>
      </w:r>
      <w:r>
        <w:rPr/>
        <w:t>com</w:t>
      </w:r>
      <w:r>
        <w:rPr>
          <w:spacing w:val="-4"/>
        </w:rPr>
        <w:t> </w:t>
      </w:r>
      <w:r>
        <w:rPr/>
        <w:t>instrumentos</w:t>
      </w:r>
      <w:r>
        <w:rPr>
          <w:spacing w:val="-3"/>
        </w:rPr>
        <w:t> </w:t>
      </w:r>
      <w:r>
        <w:rPr/>
        <w:t>financeiros,</w:t>
      </w:r>
      <w:r>
        <w:rPr>
          <w:spacing w:val="-3"/>
        </w:rPr>
        <w:t> </w:t>
      </w:r>
      <w:r>
        <w:rPr/>
        <w:t>cujos</w:t>
      </w:r>
      <w:r>
        <w:rPr>
          <w:spacing w:val="-3"/>
        </w:rPr>
        <w:t> </w:t>
      </w:r>
      <w:r>
        <w:rPr/>
        <w:t>limites</w:t>
      </w:r>
      <w:r>
        <w:rPr>
          <w:spacing w:val="-3"/>
        </w:rPr>
        <w:t> </w:t>
      </w:r>
      <w:r>
        <w:rPr/>
        <w:t>de</w:t>
      </w:r>
      <w:r>
        <w:rPr>
          <w:spacing w:val="-5"/>
        </w:rPr>
        <w:t> </w:t>
      </w:r>
      <w:r>
        <w:rPr/>
        <w:t>exposição</w:t>
      </w:r>
      <w:r>
        <w:rPr>
          <w:spacing w:val="-3"/>
        </w:rPr>
        <w:t> </w:t>
      </w:r>
      <w:r>
        <w:rPr/>
        <w:t>aos</w:t>
      </w:r>
      <w:r>
        <w:rPr>
          <w:spacing w:val="-4"/>
        </w:rPr>
        <w:t> </w:t>
      </w:r>
      <w:r>
        <w:rPr/>
        <w:t>riscos</w:t>
      </w:r>
      <w:r>
        <w:rPr>
          <w:spacing w:val="-3"/>
        </w:rPr>
        <w:t> </w:t>
      </w:r>
      <w:r>
        <w:rPr/>
        <w:t>de</w:t>
      </w:r>
      <w:r>
        <w:rPr>
          <w:spacing w:val="-4"/>
        </w:rPr>
        <w:t> </w:t>
      </w:r>
      <w:r>
        <w:rPr/>
        <w:t>crédito</w:t>
      </w:r>
      <w:r>
        <w:rPr>
          <w:spacing w:val="-3"/>
        </w:rPr>
        <w:t> </w:t>
      </w:r>
      <w:r>
        <w:rPr/>
        <w:t>são aprovados e revisados periodicamente pela Administração. Todos os instrumentos financeiros são inerentes à atividade</w:t>
      </w:r>
      <w:r>
        <w:rPr>
          <w:spacing w:val="-22"/>
        </w:rPr>
        <w:t> </w:t>
      </w:r>
      <w:r>
        <w:rPr/>
        <w:t>operacional</w:t>
      </w:r>
      <w:r>
        <w:rPr>
          <w:spacing w:val="-22"/>
        </w:rPr>
        <w:t> </w:t>
      </w:r>
      <w:r>
        <w:rPr/>
        <w:t>do</w:t>
      </w:r>
      <w:r>
        <w:rPr>
          <w:spacing w:val="-23"/>
        </w:rPr>
        <w:t> </w:t>
      </w:r>
      <w:r>
        <w:rPr/>
        <w:t>Grupo,</w:t>
      </w:r>
      <w:r>
        <w:rPr>
          <w:spacing w:val="-21"/>
        </w:rPr>
        <w:t> </w:t>
      </w:r>
      <w:r>
        <w:rPr/>
        <w:t>que</w:t>
      </w:r>
      <w:r>
        <w:rPr>
          <w:spacing w:val="-21"/>
        </w:rPr>
        <w:t> </w:t>
      </w:r>
      <w:r>
        <w:rPr/>
        <w:t>não</w:t>
      </w:r>
      <w:r>
        <w:rPr>
          <w:spacing w:val="-20"/>
        </w:rPr>
        <w:t> </w:t>
      </w:r>
      <w:r>
        <w:rPr/>
        <w:t>opera</w:t>
      </w:r>
      <w:r>
        <w:rPr>
          <w:spacing w:val="-22"/>
        </w:rPr>
        <w:t> </w:t>
      </w:r>
      <w:r>
        <w:rPr/>
        <w:t>com</w:t>
      </w:r>
      <w:r>
        <w:rPr>
          <w:spacing w:val="-23"/>
        </w:rPr>
        <w:t> </w:t>
      </w:r>
      <w:r>
        <w:rPr/>
        <w:t>instrumentos</w:t>
      </w:r>
      <w:r>
        <w:rPr>
          <w:spacing w:val="-20"/>
        </w:rPr>
        <w:t> </w:t>
      </w:r>
      <w:r>
        <w:rPr/>
        <w:t>financeiros</w:t>
      </w:r>
      <w:r>
        <w:rPr>
          <w:spacing w:val="-21"/>
        </w:rPr>
        <w:t> </w:t>
      </w:r>
      <w:r>
        <w:rPr/>
        <w:t>derivativos.</w:t>
      </w:r>
    </w:p>
    <w:p>
      <w:pPr>
        <w:pStyle w:val="BodyText"/>
        <w:spacing w:before="8"/>
      </w:pPr>
    </w:p>
    <w:p>
      <w:pPr>
        <w:pStyle w:val="BodyText"/>
        <w:spacing w:line="247" w:lineRule="auto"/>
        <w:ind w:left="172" w:right="414"/>
        <w:jc w:val="both"/>
      </w:pPr>
      <w:r>
        <w:rPr/>
        <w:t>Em</w:t>
      </w:r>
      <w:r>
        <w:rPr>
          <w:spacing w:val="-24"/>
        </w:rPr>
        <w:t> </w:t>
      </w:r>
      <w:r>
        <w:rPr/>
        <w:t>observância</w:t>
      </w:r>
      <w:r>
        <w:rPr>
          <w:spacing w:val="-24"/>
        </w:rPr>
        <w:t> </w:t>
      </w:r>
      <w:r>
        <w:rPr/>
        <w:t>à</w:t>
      </w:r>
      <w:r>
        <w:rPr>
          <w:spacing w:val="-23"/>
        </w:rPr>
        <w:t> </w:t>
      </w:r>
      <w:r>
        <w:rPr/>
        <w:t>Lei</w:t>
      </w:r>
      <w:r>
        <w:rPr>
          <w:spacing w:val="-24"/>
        </w:rPr>
        <w:t> </w:t>
      </w:r>
      <w:r>
        <w:rPr/>
        <w:t>13.303/16,</w:t>
      </w:r>
      <w:r>
        <w:rPr>
          <w:spacing w:val="-24"/>
        </w:rPr>
        <w:t> </w:t>
      </w:r>
      <w:r>
        <w:rPr/>
        <w:t>cada</w:t>
      </w:r>
      <w:r>
        <w:rPr>
          <w:spacing w:val="-23"/>
        </w:rPr>
        <w:t> </w:t>
      </w:r>
      <w:r>
        <w:rPr/>
        <w:t>empresa</w:t>
      </w:r>
      <w:r>
        <w:rPr>
          <w:spacing w:val="-23"/>
        </w:rPr>
        <w:t> </w:t>
      </w:r>
      <w:r>
        <w:rPr/>
        <w:t>do</w:t>
      </w:r>
      <w:r>
        <w:rPr>
          <w:spacing w:val="-24"/>
        </w:rPr>
        <w:t> </w:t>
      </w:r>
      <w:r>
        <w:rPr/>
        <w:t>Grupo</w:t>
      </w:r>
      <w:r>
        <w:rPr>
          <w:spacing w:val="-24"/>
        </w:rPr>
        <w:t> </w:t>
      </w:r>
      <w:r>
        <w:rPr/>
        <w:t>deverá</w:t>
      </w:r>
      <w:r>
        <w:rPr>
          <w:spacing w:val="-23"/>
        </w:rPr>
        <w:t> </w:t>
      </w:r>
      <w:r>
        <w:rPr/>
        <w:t>observar</w:t>
      </w:r>
      <w:r>
        <w:rPr>
          <w:spacing w:val="-24"/>
        </w:rPr>
        <w:t> </w:t>
      </w:r>
      <w:r>
        <w:rPr/>
        <w:t>as</w:t>
      </w:r>
      <w:r>
        <w:rPr>
          <w:spacing w:val="-23"/>
        </w:rPr>
        <w:t> </w:t>
      </w:r>
      <w:r>
        <w:rPr/>
        <w:t>regras</w:t>
      </w:r>
      <w:r>
        <w:rPr>
          <w:spacing w:val="-24"/>
        </w:rPr>
        <w:t> </w:t>
      </w:r>
      <w:r>
        <w:rPr/>
        <w:t>de</w:t>
      </w:r>
      <w:r>
        <w:rPr>
          <w:spacing w:val="-24"/>
        </w:rPr>
        <w:t> </w:t>
      </w:r>
      <w:r>
        <w:rPr/>
        <w:t>governança</w:t>
      </w:r>
      <w:r>
        <w:rPr>
          <w:spacing w:val="-23"/>
        </w:rPr>
        <w:t> </w:t>
      </w:r>
      <w:r>
        <w:rPr/>
        <w:t>corporativa,</w:t>
      </w:r>
      <w:r>
        <w:rPr>
          <w:spacing w:val="-24"/>
        </w:rPr>
        <w:t> </w:t>
      </w:r>
      <w:r>
        <w:rPr/>
        <w:t>de transparência</w:t>
      </w:r>
      <w:r>
        <w:rPr>
          <w:spacing w:val="-22"/>
        </w:rPr>
        <w:t> </w:t>
      </w:r>
      <w:r>
        <w:rPr/>
        <w:t>e</w:t>
      </w:r>
      <w:r>
        <w:rPr>
          <w:spacing w:val="-22"/>
        </w:rPr>
        <w:t> </w:t>
      </w:r>
      <w:r>
        <w:rPr/>
        <w:t>de</w:t>
      </w:r>
      <w:r>
        <w:rPr>
          <w:spacing w:val="-22"/>
        </w:rPr>
        <w:t> </w:t>
      </w:r>
      <w:r>
        <w:rPr/>
        <w:t>estruturas,</w:t>
      </w:r>
      <w:r>
        <w:rPr>
          <w:spacing w:val="-23"/>
        </w:rPr>
        <w:t> </w:t>
      </w:r>
      <w:r>
        <w:rPr/>
        <w:t>práticas</w:t>
      </w:r>
      <w:r>
        <w:rPr>
          <w:spacing w:val="-23"/>
        </w:rPr>
        <w:t> </w:t>
      </w:r>
      <w:r>
        <w:rPr/>
        <w:t>de</w:t>
      </w:r>
      <w:r>
        <w:rPr>
          <w:spacing w:val="-22"/>
        </w:rPr>
        <w:t> </w:t>
      </w:r>
      <w:r>
        <w:rPr/>
        <w:t>gestão</w:t>
      </w:r>
      <w:r>
        <w:rPr>
          <w:spacing w:val="-22"/>
        </w:rPr>
        <w:t> </w:t>
      </w:r>
      <w:r>
        <w:rPr/>
        <w:t>de</w:t>
      </w:r>
      <w:r>
        <w:rPr>
          <w:spacing w:val="-22"/>
        </w:rPr>
        <w:t> </w:t>
      </w:r>
      <w:r>
        <w:rPr/>
        <w:t>riscos</w:t>
      </w:r>
      <w:r>
        <w:rPr>
          <w:spacing w:val="-23"/>
        </w:rPr>
        <w:t> </w:t>
      </w:r>
      <w:r>
        <w:rPr/>
        <w:t>e</w:t>
      </w:r>
      <w:r>
        <w:rPr>
          <w:spacing w:val="-22"/>
        </w:rPr>
        <w:t> </w:t>
      </w:r>
      <w:r>
        <w:rPr/>
        <w:t>de</w:t>
      </w:r>
      <w:r>
        <w:rPr>
          <w:spacing w:val="-23"/>
        </w:rPr>
        <w:t> </w:t>
      </w:r>
      <w:r>
        <w:rPr/>
        <w:t>controle</w:t>
      </w:r>
      <w:r>
        <w:rPr>
          <w:spacing w:val="-22"/>
        </w:rPr>
        <w:t> </w:t>
      </w:r>
      <w:r>
        <w:rPr/>
        <w:t>interno,</w:t>
      </w:r>
      <w:r>
        <w:rPr>
          <w:spacing w:val="-22"/>
        </w:rPr>
        <w:t> </w:t>
      </w:r>
      <w:r>
        <w:rPr/>
        <w:t>composição</w:t>
      </w:r>
      <w:r>
        <w:rPr>
          <w:spacing w:val="-22"/>
        </w:rPr>
        <w:t> </w:t>
      </w:r>
      <w:r>
        <w:rPr/>
        <w:t>da</w:t>
      </w:r>
      <w:r>
        <w:rPr>
          <w:spacing w:val="-22"/>
        </w:rPr>
        <w:t> </w:t>
      </w:r>
      <w:r>
        <w:rPr/>
        <w:t>administração</w:t>
      </w:r>
      <w:r>
        <w:rPr>
          <w:spacing w:val="-22"/>
        </w:rPr>
        <w:t> </w:t>
      </w:r>
      <w:r>
        <w:rPr/>
        <w:t>e, havendo</w:t>
      </w:r>
      <w:r>
        <w:rPr>
          <w:spacing w:val="-21"/>
        </w:rPr>
        <w:t> </w:t>
      </w:r>
      <w:r>
        <w:rPr/>
        <w:t>acionistas,</w:t>
      </w:r>
      <w:r>
        <w:rPr>
          <w:spacing w:val="-22"/>
        </w:rPr>
        <w:t> </w:t>
      </w:r>
      <w:r>
        <w:rPr/>
        <w:t>mecanismos</w:t>
      </w:r>
      <w:r>
        <w:rPr>
          <w:spacing w:val="-22"/>
        </w:rPr>
        <w:t> </w:t>
      </w:r>
      <w:r>
        <w:rPr/>
        <w:t>para</w:t>
      </w:r>
      <w:r>
        <w:rPr>
          <w:spacing w:val="-21"/>
        </w:rPr>
        <w:t> </w:t>
      </w:r>
      <w:r>
        <w:rPr/>
        <w:t>sua</w:t>
      </w:r>
      <w:r>
        <w:rPr>
          <w:spacing w:val="-19"/>
        </w:rPr>
        <w:t> </w:t>
      </w:r>
      <w:r>
        <w:rPr/>
        <w:t>proteção,</w:t>
      </w:r>
      <w:r>
        <w:rPr>
          <w:spacing w:val="-22"/>
        </w:rPr>
        <w:t> </w:t>
      </w:r>
      <w:r>
        <w:rPr/>
        <w:t>todos</w:t>
      </w:r>
      <w:r>
        <w:rPr>
          <w:spacing w:val="-22"/>
        </w:rPr>
        <w:t> </w:t>
      </w:r>
      <w:r>
        <w:rPr/>
        <w:t>constantes</w:t>
      </w:r>
      <w:r>
        <w:rPr>
          <w:spacing w:val="-21"/>
        </w:rPr>
        <w:t> </w:t>
      </w:r>
      <w:r>
        <w:rPr/>
        <w:t>da</w:t>
      </w:r>
      <w:r>
        <w:rPr>
          <w:spacing w:val="-22"/>
        </w:rPr>
        <w:t> </w:t>
      </w:r>
      <w:r>
        <w:rPr/>
        <w:t>citada</w:t>
      </w:r>
      <w:r>
        <w:rPr>
          <w:spacing w:val="-21"/>
        </w:rPr>
        <w:t> </w:t>
      </w:r>
      <w:r>
        <w:rPr/>
        <w:t>Lei.</w:t>
      </w:r>
    </w:p>
    <w:p>
      <w:pPr>
        <w:pStyle w:val="BodyText"/>
        <w:spacing w:before="8"/>
      </w:pPr>
    </w:p>
    <w:p>
      <w:pPr>
        <w:pStyle w:val="Heading5"/>
        <w:numPr>
          <w:ilvl w:val="2"/>
          <w:numId w:val="19"/>
        </w:numPr>
        <w:tabs>
          <w:tab w:pos="1025" w:val="left" w:leader="none"/>
          <w:tab w:pos="1026" w:val="left" w:leader="none"/>
        </w:tabs>
        <w:spacing w:line="240" w:lineRule="auto" w:before="0" w:after="0"/>
        <w:ind w:left="1025" w:right="0" w:hanging="854"/>
        <w:jc w:val="left"/>
      </w:pPr>
      <w:r>
        <w:rPr/>
        <w:t>Risco de</w:t>
      </w:r>
      <w:r>
        <w:rPr>
          <w:spacing w:val="-2"/>
        </w:rPr>
        <w:t> </w:t>
      </w:r>
      <w:r>
        <w:rPr/>
        <w:t>crédito</w:t>
      </w:r>
    </w:p>
    <w:p>
      <w:pPr>
        <w:pStyle w:val="BodyText"/>
        <w:spacing w:before="10"/>
        <w:rPr>
          <w:rFonts w:ascii="Caladea"/>
          <w:b/>
          <w:sz w:val="23"/>
        </w:rPr>
      </w:pPr>
    </w:p>
    <w:p>
      <w:pPr>
        <w:pStyle w:val="BodyText"/>
        <w:spacing w:line="247" w:lineRule="auto"/>
        <w:ind w:left="172" w:right="424"/>
        <w:jc w:val="both"/>
      </w:pPr>
      <w:r>
        <w:rPr/>
        <w:t>A</w:t>
      </w:r>
      <w:r>
        <w:rPr>
          <w:spacing w:val="-17"/>
        </w:rPr>
        <w:t> </w:t>
      </w:r>
      <w:r>
        <w:rPr/>
        <w:t>CEB</w:t>
      </w:r>
      <w:r>
        <w:rPr>
          <w:spacing w:val="-17"/>
        </w:rPr>
        <w:t> </w:t>
      </w:r>
      <w:r>
        <w:rPr/>
        <w:t>e</w:t>
      </w:r>
      <w:r>
        <w:rPr>
          <w:spacing w:val="-16"/>
        </w:rPr>
        <w:t> </w:t>
      </w:r>
      <w:r>
        <w:rPr/>
        <w:t>suas</w:t>
      </w:r>
      <w:r>
        <w:rPr>
          <w:spacing w:val="-17"/>
        </w:rPr>
        <w:t> </w:t>
      </w:r>
      <w:r>
        <w:rPr/>
        <w:t>controladas</w:t>
      </w:r>
      <w:r>
        <w:rPr>
          <w:spacing w:val="-17"/>
        </w:rPr>
        <w:t> </w:t>
      </w:r>
      <w:r>
        <w:rPr/>
        <w:t>qualificam</w:t>
      </w:r>
      <w:r>
        <w:rPr>
          <w:spacing w:val="-17"/>
        </w:rPr>
        <w:t> </w:t>
      </w:r>
      <w:r>
        <w:rPr/>
        <w:t>o</w:t>
      </w:r>
      <w:r>
        <w:rPr>
          <w:spacing w:val="-17"/>
        </w:rPr>
        <w:t> </w:t>
      </w:r>
      <w:r>
        <w:rPr/>
        <w:t>risco</w:t>
      </w:r>
      <w:r>
        <w:rPr>
          <w:spacing w:val="-18"/>
        </w:rPr>
        <w:t> </w:t>
      </w:r>
      <w:r>
        <w:rPr/>
        <w:t>de</w:t>
      </w:r>
      <w:r>
        <w:rPr>
          <w:spacing w:val="-18"/>
        </w:rPr>
        <w:t> </w:t>
      </w:r>
      <w:r>
        <w:rPr/>
        <w:t>crédito</w:t>
      </w:r>
      <w:r>
        <w:rPr>
          <w:spacing w:val="-16"/>
        </w:rPr>
        <w:t> </w:t>
      </w:r>
      <w:r>
        <w:rPr/>
        <w:t>pela</w:t>
      </w:r>
      <w:r>
        <w:rPr>
          <w:spacing w:val="-16"/>
        </w:rPr>
        <w:t> </w:t>
      </w:r>
      <w:r>
        <w:rPr/>
        <w:t>incerteza</w:t>
      </w:r>
      <w:r>
        <w:rPr>
          <w:spacing w:val="-15"/>
        </w:rPr>
        <w:t> </w:t>
      </w:r>
      <w:r>
        <w:rPr/>
        <w:t>no</w:t>
      </w:r>
      <w:r>
        <w:rPr>
          <w:spacing w:val="-16"/>
        </w:rPr>
        <w:t> </w:t>
      </w:r>
      <w:r>
        <w:rPr/>
        <w:t>recebimento</w:t>
      </w:r>
      <w:r>
        <w:rPr>
          <w:spacing w:val="-16"/>
        </w:rPr>
        <w:t> </w:t>
      </w:r>
      <w:r>
        <w:rPr/>
        <w:t>de</w:t>
      </w:r>
      <w:r>
        <w:rPr>
          <w:spacing w:val="-16"/>
        </w:rPr>
        <w:t> </w:t>
      </w:r>
      <w:r>
        <w:rPr/>
        <w:t>valores</w:t>
      </w:r>
      <w:r>
        <w:rPr>
          <w:spacing w:val="-17"/>
        </w:rPr>
        <w:t> </w:t>
      </w:r>
      <w:r>
        <w:rPr/>
        <w:t>faturados</w:t>
      </w:r>
      <w:r>
        <w:rPr>
          <w:spacing w:val="-16"/>
        </w:rPr>
        <w:t> </w:t>
      </w:r>
      <w:r>
        <w:rPr/>
        <w:t>a</w:t>
      </w:r>
      <w:r>
        <w:rPr>
          <w:spacing w:val="-17"/>
        </w:rPr>
        <w:t> </w:t>
      </w:r>
      <w:r>
        <w:rPr/>
        <w:t>seus clientes,</w:t>
      </w:r>
      <w:r>
        <w:rPr>
          <w:spacing w:val="-25"/>
        </w:rPr>
        <w:t> </w:t>
      </w:r>
      <w:r>
        <w:rPr/>
        <w:t>decorrentes</w:t>
      </w:r>
      <w:r>
        <w:rPr>
          <w:spacing w:val="-23"/>
        </w:rPr>
        <w:t> </w:t>
      </w:r>
      <w:r>
        <w:rPr/>
        <w:t>das</w:t>
      </w:r>
      <w:r>
        <w:rPr>
          <w:spacing w:val="-23"/>
        </w:rPr>
        <w:t> </w:t>
      </w:r>
      <w:r>
        <w:rPr/>
        <w:t>vendas</w:t>
      </w:r>
      <w:r>
        <w:rPr>
          <w:spacing w:val="-23"/>
        </w:rPr>
        <w:t> </w:t>
      </w:r>
      <w:r>
        <w:rPr/>
        <w:t>de</w:t>
      </w:r>
      <w:r>
        <w:rPr>
          <w:spacing w:val="-23"/>
        </w:rPr>
        <w:t> </w:t>
      </w:r>
      <w:r>
        <w:rPr/>
        <w:t>energia</w:t>
      </w:r>
      <w:r>
        <w:rPr>
          <w:spacing w:val="-22"/>
        </w:rPr>
        <w:t> </w:t>
      </w:r>
      <w:r>
        <w:rPr/>
        <w:t>elétrica</w:t>
      </w:r>
      <w:r>
        <w:rPr>
          <w:spacing w:val="-20"/>
        </w:rPr>
        <w:t> </w:t>
      </w:r>
      <w:r>
        <w:rPr/>
        <w:t>e</w:t>
      </w:r>
      <w:r>
        <w:rPr>
          <w:spacing w:val="-25"/>
        </w:rPr>
        <w:t> </w:t>
      </w:r>
      <w:r>
        <w:rPr/>
        <w:t>da</w:t>
      </w:r>
      <w:r>
        <w:rPr>
          <w:spacing w:val="-21"/>
        </w:rPr>
        <w:t> </w:t>
      </w:r>
      <w:r>
        <w:rPr/>
        <w:t>prestação</w:t>
      </w:r>
      <w:r>
        <w:rPr>
          <w:spacing w:val="-24"/>
        </w:rPr>
        <w:t> </w:t>
      </w:r>
      <w:r>
        <w:rPr/>
        <w:t>de</w:t>
      </w:r>
      <w:r>
        <w:rPr>
          <w:spacing w:val="-23"/>
        </w:rPr>
        <w:t> </w:t>
      </w:r>
      <w:r>
        <w:rPr/>
        <w:t>serviços</w:t>
      </w:r>
      <w:r>
        <w:rPr>
          <w:spacing w:val="-23"/>
        </w:rPr>
        <w:t> </w:t>
      </w:r>
      <w:r>
        <w:rPr/>
        <w:t>correlatos.</w:t>
      </w:r>
    </w:p>
    <w:p>
      <w:pPr>
        <w:pStyle w:val="BodyText"/>
        <w:spacing w:before="9"/>
      </w:pPr>
    </w:p>
    <w:p>
      <w:pPr>
        <w:pStyle w:val="BodyText"/>
        <w:spacing w:line="247" w:lineRule="auto" w:before="1"/>
        <w:ind w:left="172" w:right="410"/>
        <w:jc w:val="both"/>
      </w:pPr>
      <w:r>
        <w:rPr/>
        <w:t>O</w:t>
      </w:r>
      <w:r>
        <w:rPr>
          <w:spacing w:val="-45"/>
        </w:rPr>
        <w:t> </w:t>
      </w:r>
      <w:r>
        <w:rPr/>
        <w:t>principal</w:t>
      </w:r>
      <w:r>
        <w:rPr>
          <w:spacing w:val="-44"/>
        </w:rPr>
        <w:t> </w:t>
      </w:r>
      <w:r>
        <w:rPr/>
        <w:t>mitigador</w:t>
      </w:r>
      <w:r>
        <w:rPr>
          <w:spacing w:val="-44"/>
        </w:rPr>
        <w:t> </w:t>
      </w:r>
      <w:r>
        <w:rPr/>
        <w:t>do</w:t>
      </w:r>
      <w:r>
        <w:rPr>
          <w:spacing w:val="-43"/>
        </w:rPr>
        <w:t> </w:t>
      </w:r>
      <w:r>
        <w:rPr/>
        <w:t>risco</w:t>
      </w:r>
      <w:r>
        <w:rPr>
          <w:spacing w:val="-44"/>
        </w:rPr>
        <w:t> </w:t>
      </w:r>
      <w:r>
        <w:rPr/>
        <w:t>é</w:t>
      </w:r>
      <w:r>
        <w:rPr>
          <w:spacing w:val="-44"/>
        </w:rPr>
        <w:t> </w:t>
      </w:r>
      <w:r>
        <w:rPr/>
        <w:t>a</w:t>
      </w:r>
      <w:r>
        <w:rPr>
          <w:spacing w:val="-43"/>
        </w:rPr>
        <w:t> </w:t>
      </w:r>
      <w:r>
        <w:rPr/>
        <w:t>regulamentação</w:t>
      </w:r>
      <w:r>
        <w:rPr>
          <w:spacing w:val="-44"/>
        </w:rPr>
        <w:t> </w:t>
      </w:r>
      <w:r>
        <w:rPr/>
        <w:t>setorial,</w:t>
      </w:r>
      <w:r>
        <w:rPr>
          <w:spacing w:val="-44"/>
        </w:rPr>
        <w:t> </w:t>
      </w:r>
      <w:r>
        <w:rPr/>
        <w:t>uma</w:t>
      </w:r>
      <w:r>
        <w:rPr>
          <w:spacing w:val="-44"/>
        </w:rPr>
        <w:t> </w:t>
      </w:r>
      <w:r>
        <w:rPr/>
        <w:t>vez</w:t>
      </w:r>
      <w:r>
        <w:rPr>
          <w:spacing w:val="-43"/>
        </w:rPr>
        <w:t> </w:t>
      </w:r>
      <w:r>
        <w:rPr/>
        <w:t>que</w:t>
      </w:r>
      <w:r>
        <w:rPr>
          <w:spacing w:val="-44"/>
        </w:rPr>
        <w:t> </w:t>
      </w:r>
      <w:r>
        <w:rPr/>
        <w:t>parcela</w:t>
      </w:r>
      <w:r>
        <w:rPr>
          <w:spacing w:val="-44"/>
        </w:rPr>
        <w:t> </w:t>
      </w:r>
      <w:r>
        <w:rPr/>
        <w:t>da</w:t>
      </w:r>
      <w:r>
        <w:rPr>
          <w:spacing w:val="-43"/>
        </w:rPr>
        <w:t> </w:t>
      </w:r>
      <w:r>
        <w:rPr/>
        <w:t>inadimplência</w:t>
      </w:r>
      <w:r>
        <w:rPr>
          <w:spacing w:val="-44"/>
        </w:rPr>
        <w:t> </w:t>
      </w:r>
      <w:r>
        <w:rPr/>
        <w:t>vinculada</w:t>
      </w:r>
      <w:r>
        <w:rPr>
          <w:spacing w:val="-44"/>
        </w:rPr>
        <w:t> </w:t>
      </w:r>
      <w:r>
        <w:rPr/>
        <w:t>ao</w:t>
      </w:r>
      <w:r>
        <w:rPr>
          <w:spacing w:val="-44"/>
        </w:rPr>
        <w:t> </w:t>
      </w:r>
      <w:r>
        <w:rPr/>
        <w:t>contas a</w:t>
      </w:r>
      <w:r>
        <w:rPr>
          <w:spacing w:val="-19"/>
        </w:rPr>
        <w:t> </w:t>
      </w:r>
      <w:r>
        <w:rPr/>
        <w:t>receber</w:t>
      </w:r>
      <w:r>
        <w:rPr>
          <w:spacing w:val="-17"/>
        </w:rPr>
        <w:t> </w:t>
      </w:r>
      <w:r>
        <w:rPr/>
        <w:t>da</w:t>
      </w:r>
      <w:r>
        <w:rPr>
          <w:spacing w:val="-18"/>
        </w:rPr>
        <w:t> </w:t>
      </w:r>
      <w:r>
        <w:rPr/>
        <w:t>Companhia</w:t>
      </w:r>
      <w:r>
        <w:rPr>
          <w:spacing w:val="-16"/>
        </w:rPr>
        <w:t> </w:t>
      </w:r>
      <w:r>
        <w:rPr/>
        <w:t>são</w:t>
      </w:r>
      <w:r>
        <w:rPr>
          <w:spacing w:val="-18"/>
        </w:rPr>
        <w:t> </w:t>
      </w:r>
      <w:r>
        <w:rPr/>
        <w:t>incorporadas</w:t>
      </w:r>
      <w:r>
        <w:rPr>
          <w:spacing w:val="-18"/>
        </w:rPr>
        <w:t> </w:t>
      </w:r>
      <w:r>
        <w:rPr/>
        <w:t>na</w:t>
      </w:r>
      <w:r>
        <w:rPr>
          <w:spacing w:val="-18"/>
        </w:rPr>
        <w:t> </w:t>
      </w:r>
      <w:r>
        <w:rPr/>
        <w:t>Parcela</w:t>
      </w:r>
      <w:r>
        <w:rPr>
          <w:spacing w:val="-18"/>
        </w:rPr>
        <w:t> </w:t>
      </w:r>
      <w:r>
        <w:rPr/>
        <w:t>“A”</w:t>
      </w:r>
      <w:r>
        <w:rPr>
          <w:spacing w:val="-19"/>
        </w:rPr>
        <w:t> </w:t>
      </w:r>
      <w:r>
        <w:rPr/>
        <w:t>das</w:t>
      </w:r>
      <w:r>
        <w:rPr>
          <w:spacing w:val="-18"/>
        </w:rPr>
        <w:t> </w:t>
      </w:r>
      <w:r>
        <w:rPr/>
        <w:t>tarifas,</w:t>
      </w:r>
      <w:r>
        <w:rPr>
          <w:spacing w:val="-15"/>
        </w:rPr>
        <w:t> </w:t>
      </w:r>
      <w:r>
        <w:rPr/>
        <w:t>a</w:t>
      </w:r>
      <w:r>
        <w:rPr>
          <w:spacing w:val="-18"/>
        </w:rPr>
        <w:t> </w:t>
      </w:r>
      <w:r>
        <w:rPr/>
        <w:t>fim</w:t>
      </w:r>
      <w:r>
        <w:rPr>
          <w:spacing w:val="-19"/>
        </w:rPr>
        <w:t> </w:t>
      </w:r>
      <w:r>
        <w:rPr/>
        <w:t>de</w:t>
      </w:r>
      <w:r>
        <w:rPr>
          <w:spacing w:val="-20"/>
        </w:rPr>
        <w:t> </w:t>
      </w:r>
      <w:r>
        <w:rPr/>
        <w:t>serem</w:t>
      </w:r>
      <w:r>
        <w:rPr>
          <w:spacing w:val="-17"/>
        </w:rPr>
        <w:t> </w:t>
      </w:r>
      <w:r>
        <w:rPr/>
        <w:t>capturadas</w:t>
      </w:r>
      <w:r>
        <w:rPr>
          <w:spacing w:val="-18"/>
        </w:rPr>
        <w:t> </w:t>
      </w:r>
      <w:r>
        <w:rPr/>
        <w:t>nos</w:t>
      </w:r>
      <w:r>
        <w:rPr>
          <w:spacing w:val="-18"/>
        </w:rPr>
        <w:t> </w:t>
      </w:r>
      <w:r>
        <w:rPr/>
        <w:t>processos</w:t>
      </w:r>
      <w:r>
        <w:rPr>
          <w:spacing w:val="-19"/>
        </w:rPr>
        <w:t> </w:t>
      </w:r>
      <w:r>
        <w:rPr/>
        <w:t>de reajustes</w:t>
      </w:r>
      <w:r>
        <w:rPr>
          <w:spacing w:val="-19"/>
        </w:rPr>
        <w:t> </w:t>
      </w:r>
      <w:r>
        <w:rPr/>
        <w:t>e</w:t>
      </w:r>
      <w:r>
        <w:rPr>
          <w:spacing w:val="-17"/>
        </w:rPr>
        <w:t> </w:t>
      </w:r>
      <w:r>
        <w:rPr/>
        <w:t>de</w:t>
      </w:r>
      <w:r>
        <w:rPr>
          <w:spacing w:val="-18"/>
        </w:rPr>
        <w:t> </w:t>
      </w:r>
      <w:r>
        <w:rPr/>
        <w:t>revisões</w:t>
      </w:r>
      <w:r>
        <w:rPr>
          <w:spacing w:val="-18"/>
        </w:rPr>
        <w:t> </w:t>
      </w:r>
      <w:r>
        <w:rPr/>
        <w:t>tarifárias</w:t>
      </w:r>
      <w:r>
        <w:rPr>
          <w:spacing w:val="-19"/>
        </w:rPr>
        <w:t> </w:t>
      </w:r>
      <w:r>
        <w:rPr/>
        <w:t>subsequentes.</w:t>
      </w:r>
    </w:p>
    <w:p>
      <w:pPr>
        <w:pStyle w:val="BodyText"/>
        <w:spacing w:before="7"/>
      </w:pPr>
    </w:p>
    <w:p>
      <w:pPr>
        <w:pStyle w:val="BodyText"/>
        <w:spacing w:line="247" w:lineRule="auto"/>
        <w:ind w:left="172" w:right="416"/>
        <w:jc w:val="both"/>
      </w:pPr>
      <w:r>
        <w:rPr/>
        <w:t>A</w:t>
      </w:r>
      <w:r>
        <w:rPr>
          <w:spacing w:val="-6"/>
        </w:rPr>
        <w:t> </w:t>
      </w:r>
      <w:r>
        <w:rPr/>
        <w:t>CEB</w:t>
      </w:r>
      <w:r>
        <w:rPr>
          <w:spacing w:val="-6"/>
        </w:rPr>
        <w:t> </w:t>
      </w:r>
      <w:r>
        <w:rPr/>
        <w:t>DIS</w:t>
      </w:r>
      <w:r>
        <w:rPr>
          <w:spacing w:val="-5"/>
        </w:rPr>
        <w:t> </w:t>
      </w:r>
      <w:r>
        <w:rPr/>
        <w:t>pratica</w:t>
      </w:r>
      <w:r>
        <w:rPr>
          <w:spacing w:val="-4"/>
        </w:rPr>
        <w:t> </w:t>
      </w:r>
      <w:r>
        <w:rPr/>
        <w:t>linha</w:t>
      </w:r>
      <w:r>
        <w:rPr>
          <w:spacing w:val="-6"/>
        </w:rPr>
        <w:t> </w:t>
      </w:r>
      <w:r>
        <w:rPr/>
        <w:t>de</w:t>
      </w:r>
      <w:r>
        <w:rPr>
          <w:spacing w:val="-5"/>
        </w:rPr>
        <w:t> </w:t>
      </w:r>
      <w:r>
        <w:rPr/>
        <w:t>parcelamento</w:t>
      </w:r>
      <w:r>
        <w:rPr>
          <w:spacing w:val="-5"/>
        </w:rPr>
        <w:t> </w:t>
      </w:r>
      <w:r>
        <w:rPr/>
        <w:t>para</w:t>
      </w:r>
      <w:r>
        <w:rPr>
          <w:spacing w:val="-4"/>
        </w:rPr>
        <w:t> </w:t>
      </w:r>
      <w:r>
        <w:rPr/>
        <w:t>devedores</w:t>
      </w:r>
      <w:r>
        <w:rPr>
          <w:spacing w:val="-5"/>
        </w:rPr>
        <w:t> </w:t>
      </w:r>
      <w:r>
        <w:rPr/>
        <w:t>em</w:t>
      </w:r>
      <w:r>
        <w:rPr>
          <w:spacing w:val="-5"/>
        </w:rPr>
        <w:t> </w:t>
      </w:r>
      <w:r>
        <w:rPr/>
        <w:t>todas</w:t>
      </w:r>
      <w:r>
        <w:rPr>
          <w:spacing w:val="-6"/>
        </w:rPr>
        <w:t> </w:t>
      </w:r>
      <w:r>
        <w:rPr/>
        <w:t>as</w:t>
      </w:r>
      <w:r>
        <w:rPr>
          <w:spacing w:val="-6"/>
        </w:rPr>
        <w:t> </w:t>
      </w:r>
      <w:r>
        <w:rPr/>
        <w:t>suas</w:t>
      </w:r>
      <w:r>
        <w:rPr>
          <w:spacing w:val="-6"/>
        </w:rPr>
        <w:t> </w:t>
      </w:r>
      <w:r>
        <w:rPr/>
        <w:t>agências</w:t>
      </w:r>
      <w:r>
        <w:rPr>
          <w:spacing w:val="-6"/>
        </w:rPr>
        <w:t> </w:t>
      </w:r>
      <w:r>
        <w:rPr/>
        <w:t>e</w:t>
      </w:r>
      <w:r>
        <w:rPr>
          <w:spacing w:val="-6"/>
        </w:rPr>
        <w:t> </w:t>
      </w:r>
      <w:r>
        <w:rPr/>
        <w:t>postos</w:t>
      </w:r>
      <w:r>
        <w:rPr>
          <w:spacing w:val="-4"/>
        </w:rPr>
        <w:t> </w:t>
      </w:r>
      <w:r>
        <w:rPr/>
        <w:t>de</w:t>
      </w:r>
      <w:r>
        <w:rPr>
          <w:spacing w:val="-6"/>
        </w:rPr>
        <w:t> </w:t>
      </w:r>
      <w:r>
        <w:rPr/>
        <w:t>atendimento,</w:t>
      </w:r>
      <w:r>
        <w:rPr>
          <w:spacing w:val="-7"/>
        </w:rPr>
        <w:t> </w:t>
      </w:r>
      <w:r>
        <w:rPr/>
        <w:t>e programas</w:t>
      </w:r>
      <w:r>
        <w:rPr>
          <w:spacing w:val="-14"/>
        </w:rPr>
        <w:t> </w:t>
      </w:r>
      <w:r>
        <w:rPr/>
        <w:t>de</w:t>
      </w:r>
      <w:r>
        <w:rPr>
          <w:spacing w:val="-15"/>
        </w:rPr>
        <w:t> </w:t>
      </w:r>
      <w:r>
        <w:rPr/>
        <w:t>incentivo</w:t>
      </w:r>
      <w:r>
        <w:rPr>
          <w:spacing w:val="-15"/>
        </w:rPr>
        <w:t> </w:t>
      </w:r>
      <w:r>
        <w:rPr/>
        <w:t>à</w:t>
      </w:r>
      <w:r>
        <w:rPr>
          <w:spacing w:val="-13"/>
        </w:rPr>
        <w:t> </w:t>
      </w:r>
      <w:r>
        <w:rPr/>
        <w:t>negociação</w:t>
      </w:r>
      <w:r>
        <w:rPr>
          <w:spacing w:val="-14"/>
        </w:rPr>
        <w:t> </w:t>
      </w:r>
      <w:r>
        <w:rPr/>
        <w:t>de</w:t>
      </w:r>
      <w:r>
        <w:rPr>
          <w:spacing w:val="-14"/>
        </w:rPr>
        <w:t> </w:t>
      </w:r>
      <w:r>
        <w:rPr/>
        <w:t>débitos</w:t>
      </w:r>
      <w:r>
        <w:rPr>
          <w:spacing w:val="-14"/>
        </w:rPr>
        <w:t> </w:t>
      </w:r>
      <w:r>
        <w:rPr/>
        <w:t>de</w:t>
      </w:r>
      <w:r>
        <w:rPr>
          <w:spacing w:val="-15"/>
        </w:rPr>
        <w:t> </w:t>
      </w:r>
      <w:r>
        <w:rPr/>
        <w:t>longa</w:t>
      </w:r>
      <w:r>
        <w:rPr>
          <w:spacing w:val="-14"/>
        </w:rPr>
        <w:t> </w:t>
      </w:r>
      <w:r>
        <w:rPr/>
        <w:t>data,</w:t>
      </w:r>
      <w:r>
        <w:rPr>
          <w:spacing w:val="-15"/>
        </w:rPr>
        <w:t> </w:t>
      </w:r>
      <w:r>
        <w:rPr/>
        <w:t>com</w:t>
      </w:r>
      <w:r>
        <w:rPr>
          <w:spacing w:val="-14"/>
        </w:rPr>
        <w:t> </w:t>
      </w:r>
      <w:r>
        <w:rPr/>
        <w:t>redução</w:t>
      </w:r>
      <w:r>
        <w:rPr>
          <w:spacing w:val="-15"/>
        </w:rPr>
        <w:t> </w:t>
      </w:r>
      <w:r>
        <w:rPr/>
        <w:t>escalonada</w:t>
      </w:r>
      <w:r>
        <w:rPr>
          <w:spacing w:val="-14"/>
        </w:rPr>
        <w:t> </w:t>
      </w:r>
      <w:r>
        <w:rPr/>
        <w:t>de</w:t>
      </w:r>
      <w:r>
        <w:rPr>
          <w:spacing w:val="-13"/>
        </w:rPr>
        <w:t> </w:t>
      </w:r>
      <w:r>
        <w:rPr/>
        <w:t>encargos</w:t>
      </w:r>
      <w:r>
        <w:rPr>
          <w:spacing w:val="-14"/>
        </w:rPr>
        <w:t> </w:t>
      </w:r>
      <w:r>
        <w:rPr/>
        <w:t>por</w:t>
      </w:r>
      <w:r>
        <w:rPr>
          <w:spacing w:val="-15"/>
        </w:rPr>
        <w:t> </w:t>
      </w:r>
      <w:r>
        <w:rPr/>
        <w:t>atraso, objetivando</w:t>
      </w:r>
      <w:r>
        <w:rPr>
          <w:spacing w:val="-20"/>
        </w:rPr>
        <w:t> </w:t>
      </w:r>
      <w:r>
        <w:rPr/>
        <w:t>manter</w:t>
      </w:r>
      <w:r>
        <w:rPr>
          <w:spacing w:val="-20"/>
        </w:rPr>
        <w:t> </w:t>
      </w:r>
      <w:r>
        <w:rPr/>
        <w:t>a</w:t>
      </w:r>
      <w:r>
        <w:rPr>
          <w:spacing w:val="-18"/>
        </w:rPr>
        <w:t> </w:t>
      </w:r>
      <w:r>
        <w:rPr/>
        <w:t>liquidez</w:t>
      </w:r>
      <w:r>
        <w:rPr>
          <w:spacing w:val="-19"/>
        </w:rPr>
        <w:t> </w:t>
      </w:r>
      <w:r>
        <w:rPr/>
        <w:t>de</w:t>
      </w:r>
      <w:r>
        <w:rPr>
          <w:spacing w:val="-21"/>
        </w:rPr>
        <w:t> </w:t>
      </w:r>
      <w:r>
        <w:rPr/>
        <w:t>seus</w:t>
      </w:r>
      <w:r>
        <w:rPr>
          <w:spacing w:val="-18"/>
        </w:rPr>
        <w:t> </w:t>
      </w:r>
      <w:r>
        <w:rPr/>
        <w:t>faturamentos.</w:t>
      </w:r>
    </w:p>
    <w:p>
      <w:pPr>
        <w:pStyle w:val="BodyText"/>
        <w:spacing w:before="9"/>
      </w:pPr>
    </w:p>
    <w:p>
      <w:pPr>
        <w:pStyle w:val="BodyText"/>
        <w:spacing w:line="247" w:lineRule="auto"/>
        <w:ind w:left="172" w:right="412"/>
        <w:jc w:val="both"/>
      </w:pPr>
      <w:r>
        <w:rPr/>
        <w:t>Além</w:t>
      </w:r>
      <w:r>
        <w:rPr>
          <w:spacing w:val="-44"/>
        </w:rPr>
        <w:t> </w:t>
      </w:r>
      <w:r>
        <w:rPr/>
        <w:t>dos</w:t>
      </w:r>
      <w:r>
        <w:rPr>
          <w:spacing w:val="-43"/>
        </w:rPr>
        <w:t> </w:t>
      </w:r>
      <w:r>
        <w:rPr/>
        <w:t>aspectos</w:t>
      </w:r>
      <w:r>
        <w:rPr>
          <w:spacing w:val="-43"/>
        </w:rPr>
        <w:t> </w:t>
      </w:r>
      <w:r>
        <w:rPr/>
        <w:t>apresentados,</w:t>
      </w:r>
      <w:r>
        <w:rPr>
          <w:spacing w:val="-43"/>
        </w:rPr>
        <w:t> </w:t>
      </w:r>
      <w:r>
        <w:rPr/>
        <w:t>a</w:t>
      </w:r>
      <w:r>
        <w:rPr>
          <w:spacing w:val="-43"/>
        </w:rPr>
        <w:t> </w:t>
      </w:r>
      <w:r>
        <w:rPr/>
        <w:t>Administração</w:t>
      </w:r>
      <w:r>
        <w:rPr>
          <w:spacing w:val="-43"/>
        </w:rPr>
        <w:t> </w:t>
      </w:r>
      <w:r>
        <w:rPr/>
        <w:t>entende</w:t>
      </w:r>
      <w:r>
        <w:rPr>
          <w:spacing w:val="-44"/>
        </w:rPr>
        <w:t> </w:t>
      </w:r>
      <w:r>
        <w:rPr/>
        <w:t>que</w:t>
      </w:r>
      <w:r>
        <w:rPr>
          <w:spacing w:val="-44"/>
        </w:rPr>
        <w:t> </w:t>
      </w:r>
      <w:r>
        <w:rPr/>
        <w:t>a</w:t>
      </w:r>
      <w:r>
        <w:rPr>
          <w:spacing w:val="-43"/>
        </w:rPr>
        <w:t> </w:t>
      </w:r>
      <w:r>
        <w:rPr/>
        <w:t>estrutura</w:t>
      </w:r>
      <w:r>
        <w:rPr>
          <w:spacing w:val="-43"/>
        </w:rPr>
        <w:t> </w:t>
      </w:r>
      <w:r>
        <w:rPr/>
        <w:t>de</w:t>
      </w:r>
      <w:r>
        <w:rPr>
          <w:spacing w:val="-43"/>
        </w:rPr>
        <w:t> </w:t>
      </w:r>
      <w:r>
        <w:rPr/>
        <w:t>controle</w:t>
      </w:r>
      <w:r>
        <w:rPr>
          <w:spacing w:val="-44"/>
        </w:rPr>
        <w:t> </w:t>
      </w:r>
      <w:r>
        <w:rPr/>
        <w:t>e</w:t>
      </w:r>
      <w:r>
        <w:rPr>
          <w:spacing w:val="-44"/>
        </w:rPr>
        <w:t> </w:t>
      </w:r>
      <w:r>
        <w:rPr/>
        <w:t>contratações</w:t>
      </w:r>
      <w:r>
        <w:rPr>
          <w:spacing w:val="-43"/>
        </w:rPr>
        <w:t> </w:t>
      </w:r>
      <w:r>
        <w:rPr/>
        <w:t>adotada</w:t>
      </w:r>
      <w:r>
        <w:rPr>
          <w:spacing w:val="-43"/>
        </w:rPr>
        <w:t> </w:t>
      </w:r>
      <w:r>
        <w:rPr/>
        <w:t>para</w:t>
      </w:r>
      <w:r>
        <w:rPr>
          <w:spacing w:val="-43"/>
        </w:rPr>
        <w:t> </w:t>
      </w:r>
      <w:r>
        <w:rPr/>
        <w:t>a minimização</w:t>
      </w:r>
      <w:r>
        <w:rPr>
          <w:spacing w:val="-10"/>
        </w:rPr>
        <w:t> </w:t>
      </w:r>
      <w:r>
        <w:rPr/>
        <w:t>de</w:t>
      </w:r>
      <w:r>
        <w:rPr>
          <w:spacing w:val="-11"/>
        </w:rPr>
        <w:t> </w:t>
      </w:r>
      <w:r>
        <w:rPr/>
        <w:t>riscos</w:t>
      </w:r>
      <w:r>
        <w:rPr>
          <w:spacing w:val="-9"/>
        </w:rPr>
        <w:t> </w:t>
      </w:r>
      <w:r>
        <w:rPr/>
        <w:t>de</w:t>
      </w:r>
      <w:r>
        <w:rPr>
          <w:spacing w:val="-11"/>
        </w:rPr>
        <w:t> </w:t>
      </w:r>
      <w:r>
        <w:rPr/>
        <w:t>crédito,</w:t>
      </w:r>
      <w:r>
        <w:rPr>
          <w:spacing w:val="-10"/>
        </w:rPr>
        <w:t> </w:t>
      </w:r>
      <w:r>
        <w:rPr/>
        <w:t>corroborada</w:t>
      </w:r>
      <w:r>
        <w:rPr>
          <w:spacing w:val="-10"/>
        </w:rPr>
        <w:t> </w:t>
      </w:r>
      <w:r>
        <w:rPr/>
        <w:t>pela</w:t>
      </w:r>
      <w:r>
        <w:rPr>
          <w:spacing w:val="-9"/>
        </w:rPr>
        <w:t> </w:t>
      </w:r>
      <w:r>
        <w:rPr/>
        <w:t>regulação</w:t>
      </w:r>
      <w:r>
        <w:rPr>
          <w:spacing w:val="-9"/>
        </w:rPr>
        <w:t> </w:t>
      </w:r>
      <w:r>
        <w:rPr/>
        <w:t>setorial</w:t>
      </w:r>
      <w:r>
        <w:rPr>
          <w:spacing w:val="-10"/>
        </w:rPr>
        <w:t> </w:t>
      </w:r>
      <w:r>
        <w:rPr/>
        <w:t>emanada</w:t>
      </w:r>
      <w:r>
        <w:rPr>
          <w:spacing w:val="-9"/>
        </w:rPr>
        <w:t> </w:t>
      </w:r>
      <w:r>
        <w:rPr/>
        <w:t>da</w:t>
      </w:r>
      <w:r>
        <w:rPr>
          <w:spacing w:val="-9"/>
        </w:rPr>
        <w:t> </w:t>
      </w:r>
      <w:r>
        <w:rPr/>
        <w:t>Agência</w:t>
      </w:r>
      <w:r>
        <w:rPr>
          <w:spacing w:val="-9"/>
        </w:rPr>
        <w:t> </w:t>
      </w:r>
      <w:r>
        <w:rPr/>
        <w:t>Nacional</w:t>
      </w:r>
      <w:r>
        <w:rPr>
          <w:spacing w:val="-9"/>
        </w:rPr>
        <w:t> </w:t>
      </w:r>
      <w:r>
        <w:rPr/>
        <w:t>de</w:t>
      </w:r>
      <w:r>
        <w:rPr>
          <w:spacing w:val="-10"/>
        </w:rPr>
        <w:t> </w:t>
      </w:r>
      <w:r>
        <w:rPr/>
        <w:t>Energia Elétrica</w:t>
      </w:r>
      <w:r>
        <w:rPr>
          <w:spacing w:val="-26"/>
        </w:rPr>
        <w:t> </w:t>
      </w:r>
      <w:r>
        <w:rPr/>
        <w:t>–</w:t>
      </w:r>
      <w:r>
        <w:rPr>
          <w:spacing w:val="-27"/>
        </w:rPr>
        <w:t> </w:t>
      </w:r>
      <w:r>
        <w:rPr/>
        <w:t>ANEEL,</w:t>
      </w:r>
      <w:r>
        <w:rPr>
          <w:spacing w:val="-28"/>
        </w:rPr>
        <w:t> </w:t>
      </w:r>
      <w:r>
        <w:rPr/>
        <w:t>garante</w:t>
      </w:r>
      <w:r>
        <w:rPr>
          <w:spacing w:val="-27"/>
        </w:rPr>
        <w:t> </w:t>
      </w:r>
      <w:r>
        <w:rPr/>
        <w:t>às</w:t>
      </w:r>
      <w:r>
        <w:rPr>
          <w:spacing w:val="-27"/>
        </w:rPr>
        <w:t> </w:t>
      </w:r>
      <w:r>
        <w:rPr/>
        <w:t>concessionárias</w:t>
      </w:r>
      <w:r>
        <w:rPr>
          <w:spacing w:val="-27"/>
        </w:rPr>
        <w:t> </w:t>
      </w:r>
      <w:r>
        <w:rPr/>
        <w:t>riscos</w:t>
      </w:r>
      <w:r>
        <w:rPr>
          <w:spacing w:val="-26"/>
        </w:rPr>
        <w:t> </w:t>
      </w:r>
      <w:r>
        <w:rPr/>
        <w:t>mínimos</w:t>
      </w:r>
      <w:r>
        <w:rPr>
          <w:spacing w:val="-28"/>
        </w:rPr>
        <w:t> </w:t>
      </w:r>
      <w:r>
        <w:rPr/>
        <w:t>de</w:t>
      </w:r>
      <w:r>
        <w:rPr>
          <w:spacing w:val="-28"/>
        </w:rPr>
        <w:t> </w:t>
      </w:r>
      <w:r>
        <w:rPr/>
        <w:t>sofrer</w:t>
      </w:r>
      <w:r>
        <w:rPr>
          <w:spacing w:val="-29"/>
        </w:rPr>
        <w:t> </w:t>
      </w:r>
      <w:r>
        <w:rPr/>
        <w:t>perdas</w:t>
      </w:r>
      <w:r>
        <w:rPr>
          <w:spacing w:val="-27"/>
        </w:rPr>
        <w:t> </w:t>
      </w:r>
      <w:r>
        <w:rPr/>
        <w:t>decorrentes</w:t>
      </w:r>
      <w:r>
        <w:rPr>
          <w:spacing w:val="-27"/>
        </w:rPr>
        <w:t> </w:t>
      </w:r>
      <w:r>
        <w:rPr/>
        <w:t>de</w:t>
      </w:r>
      <w:r>
        <w:rPr>
          <w:spacing w:val="-29"/>
        </w:rPr>
        <w:t> </w:t>
      </w:r>
      <w:r>
        <w:rPr/>
        <w:t>inadimplência</w:t>
      </w:r>
      <w:r>
        <w:rPr>
          <w:spacing w:val="-25"/>
        </w:rPr>
        <w:t> </w:t>
      </w:r>
      <w:r>
        <w:rPr/>
        <w:t>de</w:t>
      </w:r>
      <w:r>
        <w:rPr>
          <w:spacing w:val="-29"/>
        </w:rPr>
        <w:t> </w:t>
      </w:r>
      <w:r>
        <w:rPr/>
        <w:t>suas contrapartes</w:t>
      </w:r>
      <w:r>
        <w:rPr>
          <w:spacing w:val="-27"/>
        </w:rPr>
        <w:t> </w:t>
      </w:r>
      <w:r>
        <w:rPr/>
        <w:t>ou</w:t>
      </w:r>
      <w:r>
        <w:rPr>
          <w:spacing w:val="-25"/>
        </w:rPr>
        <w:t> </w:t>
      </w:r>
      <w:r>
        <w:rPr/>
        <w:t>de</w:t>
      </w:r>
      <w:r>
        <w:rPr>
          <w:spacing w:val="-27"/>
        </w:rPr>
        <w:t> </w:t>
      </w:r>
      <w:r>
        <w:rPr/>
        <w:t>instituições</w:t>
      </w:r>
      <w:r>
        <w:rPr>
          <w:spacing w:val="-26"/>
        </w:rPr>
        <w:t> </w:t>
      </w:r>
      <w:r>
        <w:rPr/>
        <w:t>financeiras</w:t>
      </w:r>
      <w:r>
        <w:rPr>
          <w:spacing w:val="-26"/>
        </w:rPr>
        <w:t> </w:t>
      </w:r>
      <w:r>
        <w:rPr/>
        <w:t>depositárias</w:t>
      </w:r>
      <w:r>
        <w:rPr>
          <w:spacing w:val="-26"/>
        </w:rPr>
        <w:t> </w:t>
      </w:r>
      <w:r>
        <w:rPr/>
        <w:t>de</w:t>
      </w:r>
      <w:r>
        <w:rPr>
          <w:spacing w:val="-26"/>
        </w:rPr>
        <w:t> </w:t>
      </w:r>
      <w:r>
        <w:rPr/>
        <w:t>recursos</w:t>
      </w:r>
      <w:r>
        <w:rPr>
          <w:spacing w:val="-26"/>
        </w:rPr>
        <w:t> </w:t>
      </w:r>
      <w:r>
        <w:rPr/>
        <w:t>financeiros.</w:t>
      </w:r>
      <w:r>
        <w:rPr>
          <w:spacing w:val="-26"/>
        </w:rPr>
        <w:t> </w:t>
      </w:r>
      <w:r>
        <w:rPr/>
        <w:t>Do</w:t>
      </w:r>
      <w:r>
        <w:rPr>
          <w:spacing w:val="-25"/>
        </w:rPr>
        <w:t> </w:t>
      </w:r>
      <w:r>
        <w:rPr/>
        <w:t>mesmo</w:t>
      </w:r>
      <w:r>
        <w:rPr>
          <w:spacing w:val="-26"/>
        </w:rPr>
        <w:t> </w:t>
      </w:r>
      <w:r>
        <w:rPr/>
        <w:t>modo,</w:t>
      </w:r>
      <w:r>
        <w:rPr>
          <w:spacing w:val="-27"/>
        </w:rPr>
        <w:t> </w:t>
      </w:r>
      <w:r>
        <w:rPr/>
        <w:t>a</w:t>
      </w:r>
      <w:r>
        <w:rPr>
          <w:spacing w:val="-25"/>
        </w:rPr>
        <w:t> </w:t>
      </w:r>
      <w:r>
        <w:rPr/>
        <w:t>prudência</w:t>
      </w:r>
      <w:r>
        <w:rPr>
          <w:spacing w:val="-25"/>
        </w:rPr>
        <w:t> </w:t>
      </w:r>
      <w:r>
        <w:rPr/>
        <w:t>nos investimentos</w:t>
      </w:r>
      <w:r>
        <w:rPr>
          <w:spacing w:val="-37"/>
        </w:rPr>
        <w:t> </w:t>
      </w:r>
      <w:r>
        <w:rPr/>
        <w:t>financeiros</w:t>
      </w:r>
      <w:r>
        <w:rPr>
          <w:spacing w:val="-37"/>
        </w:rPr>
        <w:t> </w:t>
      </w:r>
      <w:r>
        <w:rPr/>
        <w:t>minimiza</w:t>
      </w:r>
      <w:r>
        <w:rPr>
          <w:spacing w:val="-37"/>
        </w:rPr>
        <w:t> </w:t>
      </w:r>
      <w:r>
        <w:rPr/>
        <w:t>os</w:t>
      </w:r>
      <w:r>
        <w:rPr>
          <w:spacing w:val="-36"/>
        </w:rPr>
        <w:t> </w:t>
      </w:r>
      <w:r>
        <w:rPr/>
        <w:t>riscos</w:t>
      </w:r>
      <w:r>
        <w:rPr>
          <w:spacing w:val="-37"/>
        </w:rPr>
        <w:t> </w:t>
      </w:r>
      <w:r>
        <w:rPr/>
        <w:t>de</w:t>
      </w:r>
      <w:r>
        <w:rPr>
          <w:spacing w:val="-38"/>
        </w:rPr>
        <w:t> </w:t>
      </w:r>
      <w:r>
        <w:rPr/>
        <w:t>crédito,</w:t>
      </w:r>
      <w:r>
        <w:rPr>
          <w:spacing w:val="-37"/>
        </w:rPr>
        <w:t> </w:t>
      </w:r>
      <w:r>
        <w:rPr/>
        <w:t>uma</w:t>
      </w:r>
      <w:r>
        <w:rPr>
          <w:spacing w:val="-37"/>
        </w:rPr>
        <w:t> </w:t>
      </w:r>
      <w:r>
        <w:rPr/>
        <w:t>vez</w:t>
      </w:r>
      <w:r>
        <w:rPr>
          <w:spacing w:val="-36"/>
        </w:rPr>
        <w:t> </w:t>
      </w:r>
      <w:r>
        <w:rPr/>
        <w:t>que</w:t>
      </w:r>
      <w:r>
        <w:rPr>
          <w:spacing w:val="-37"/>
        </w:rPr>
        <w:t> </w:t>
      </w:r>
      <w:r>
        <w:rPr/>
        <w:t>realiza</w:t>
      </w:r>
      <w:r>
        <w:rPr>
          <w:spacing w:val="-37"/>
        </w:rPr>
        <w:t> </w:t>
      </w:r>
      <w:r>
        <w:rPr/>
        <w:t>operações</w:t>
      </w:r>
      <w:r>
        <w:rPr>
          <w:spacing w:val="-38"/>
        </w:rPr>
        <w:t> </w:t>
      </w:r>
      <w:r>
        <w:rPr/>
        <w:t>com</w:t>
      </w:r>
      <w:r>
        <w:rPr>
          <w:spacing w:val="-37"/>
        </w:rPr>
        <w:t> </w:t>
      </w:r>
      <w:r>
        <w:rPr/>
        <w:t>instituições</w:t>
      </w:r>
      <w:r>
        <w:rPr>
          <w:spacing w:val="-36"/>
        </w:rPr>
        <w:t> </w:t>
      </w:r>
      <w:r>
        <w:rPr/>
        <w:t>financeiras </w:t>
      </w:r>
      <w:r>
        <w:rPr>
          <w:w w:val="105"/>
        </w:rPr>
        <w:t>de</w:t>
      </w:r>
      <w:r>
        <w:rPr>
          <w:spacing w:val="-23"/>
          <w:w w:val="105"/>
        </w:rPr>
        <w:t> </w:t>
      </w:r>
      <w:r>
        <w:rPr>
          <w:w w:val="105"/>
        </w:rPr>
        <w:t>baixo</w:t>
      </w:r>
      <w:r>
        <w:rPr>
          <w:spacing w:val="-21"/>
          <w:w w:val="105"/>
        </w:rPr>
        <w:t> </w:t>
      </w:r>
      <w:r>
        <w:rPr>
          <w:w w:val="105"/>
        </w:rPr>
        <w:t>risco</w:t>
      </w:r>
      <w:r>
        <w:rPr>
          <w:spacing w:val="-24"/>
          <w:w w:val="105"/>
        </w:rPr>
        <w:t> </w:t>
      </w:r>
      <w:r>
        <w:rPr>
          <w:w w:val="105"/>
        </w:rPr>
        <w:t>avaliadas</w:t>
      </w:r>
      <w:r>
        <w:rPr>
          <w:spacing w:val="-22"/>
          <w:w w:val="105"/>
        </w:rPr>
        <w:t> </w:t>
      </w:r>
      <w:r>
        <w:rPr>
          <w:w w:val="105"/>
        </w:rPr>
        <w:t>por</w:t>
      </w:r>
      <w:r>
        <w:rPr>
          <w:spacing w:val="-20"/>
          <w:w w:val="105"/>
        </w:rPr>
        <w:t> </w:t>
      </w:r>
      <w:r>
        <w:rPr>
          <w:w w:val="105"/>
        </w:rPr>
        <w:t>agência</w:t>
      </w:r>
      <w:r>
        <w:rPr>
          <w:spacing w:val="-23"/>
          <w:w w:val="105"/>
        </w:rPr>
        <w:t> </w:t>
      </w:r>
      <w:r>
        <w:rPr>
          <w:w w:val="105"/>
        </w:rPr>
        <w:t>de</w:t>
      </w:r>
      <w:r>
        <w:rPr>
          <w:spacing w:val="-20"/>
          <w:w w:val="105"/>
        </w:rPr>
        <w:t> </w:t>
      </w:r>
      <w:r>
        <w:rPr>
          <w:rFonts w:ascii="Caladea" w:hAnsi="Caladea"/>
          <w:i/>
          <w:w w:val="105"/>
        </w:rPr>
        <w:t>rating</w:t>
      </w:r>
      <w:r>
        <w:rPr>
          <w:w w:val="105"/>
        </w:rPr>
        <w:t>.</w:t>
      </w:r>
    </w:p>
    <w:p>
      <w:pPr>
        <w:pStyle w:val="BodyText"/>
        <w:spacing w:before="7"/>
      </w:pPr>
    </w:p>
    <w:p>
      <w:pPr>
        <w:pStyle w:val="BodyText"/>
        <w:spacing w:line="247" w:lineRule="auto" w:before="1"/>
        <w:ind w:left="172" w:right="408"/>
        <w:jc w:val="both"/>
      </w:pPr>
      <w:r>
        <w:rPr>
          <w:w w:val="95"/>
        </w:rPr>
        <w:t>Reitera-se,</w:t>
      </w:r>
      <w:r>
        <w:rPr>
          <w:spacing w:val="-22"/>
          <w:w w:val="95"/>
        </w:rPr>
        <w:t> </w:t>
      </w:r>
      <w:r>
        <w:rPr>
          <w:w w:val="95"/>
        </w:rPr>
        <w:t>finalmente,</w:t>
      </w:r>
      <w:r>
        <w:rPr>
          <w:spacing w:val="-18"/>
          <w:w w:val="95"/>
        </w:rPr>
        <w:t> </w:t>
      </w:r>
      <w:r>
        <w:rPr>
          <w:w w:val="95"/>
        </w:rPr>
        <w:t>que</w:t>
      </w:r>
      <w:r>
        <w:rPr>
          <w:spacing w:val="-22"/>
          <w:w w:val="95"/>
        </w:rPr>
        <w:t> </w:t>
      </w:r>
      <w:r>
        <w:rPr>
          <w:w w:val="95"/>
        </w:rPr>
        <w:t>a</w:t>
      </w:r>
      <w:r>
        <w:rPr>
          <w:spacing w:val="-17"/>
          <w:w w:val="95"/>
        </w:rPr>
        <w:t> </w:t>
      </w:r>
      <w:r>
        <w:rPr>
          <w:w w:val="95"/>
        </w:rPr>
        <w:t>Distribuidora</w:t>
      </w:r>
      <w:r>
        <w:rPr>
          <w:spacing w:val="-20"/>
          <w:w w:val="95"/>
        </w:rPr>
        <w:t> </w:t>
      </w:r>
      <w:r>
        <w:rPr>
          <w:w w:val="95"/>
        </w:rPr>
        <w:t>utiliza</w:t>
      </w:r>
      <w:r>
        <w:rPr>
          <w:spacing w:val="-19"/>
          <w:w w:val="95"/>
        </w:rPr>
        <w:t> </w:t>
      </w:r>
      <w:r>
        <w:rPr>
          <w:w w:val="95"/>
        </w:rPr>
        <w:t>todas</w:t>
      </w:r>
      <w:r>
        <w:rPr>
          <w:spacing w:val="-20"/>
          <w:w w:val="95"/>
        </w:rPr>
        <w:t> </w:t>
      </w:r>
      <w:r>
        <w:rPr>
          <w:w w:val="95"/>
        </w:rPr>
        <w:t>as</w:t>
      </w:r>
      <w:r>
        <w:rPr>
          <w:spacing w:val="-20"/>
          <w:w w:val="95"/>
        </w:rPr>
        <w:t> </w:t>
      </w:r>
      <w:r>
        <w:rPr>
          <w:w w:val="95"/>
        </w:rPr>
        <w:t>ferramentas</w:t>
      </w:r>
      <w:r>
        <w:rPr>
          <w:spacing w:val="-20"/>
          <w:w w:val="95"/>
        </w:rPr>
        <w:t> </w:t>
      </w:r>
      <w:r>
        <w:rPr>
          <w:w w:val="95"/>
        </w:rPr>
        <w:t>de</w:t>
      </w:r>
      <w:r>
        <w:rPr>
          <w:spacing w:val="-20"/>
          <w:w w:val="95"/>
        </w:rPr>
        <w:t> </w:t>
      </w:r>
      <w:r>
        <w:rPr>
          <w:w w:val="95"/>
        </w:rPr>
        <w:t>cobrança</w:t>
      </w:r>
      <w:r>
        <w:rPr>
          <w:spacing w:val="-20"/>
          <w:w w:val="95"/>
        </w:rPr>
        <w:t> </w:t>
      </w:r>
      <w:r>
        <w:rPr>
          <w:w w:val="95"/>
        </w:rPr>
        <w:t>permitidas</w:t>
      </w:r>
      <w:r>
        <w:rPr>
          <w:spacing w:val="-20"/>
          <w:w w:val="95"/>
        </w:rPr>
        <w:t> </w:t>
      </w:r>
      <w:r>
        <w:rPr>
          <w:w w:val="95"/>
        </w:rPr>
        <w:t>pelo</w:t>
      </w:r>
      <w:r>
        <w:rPr>
          <w:spacing w:val="-19"/>
          <w:w w:val="95"/>
        </w:rPr>
        <w:t> </w:t>
      </w:r>
      <w:r>
        <w:rPr>
          <w:w w:val="95"/>
        </w:rPr>
        <w:t>Órgão</w:t>
      </w:r>
      <w:r>
        <w:rPr>
          <w:spacing w:val="-21"/>
          <w:w w:val="95"/>
        </w:rPr>
        <w:t> </w:t>
      </w:r>
      <w:r>
        <w:rPr>
          <w:w w:val="95"/>
        </w:rPr>
        <w:t>Regulador, </w:t>
      </w:r>
      <w:r>
        <w:rPr/>
        <w:t>tais</w:t>
      </w:r>
      <w:r>
        <w:rPr>
          <w:spacing w:val="-27"/>
        </w:rPr>
        <w:t> </w:t>
      </w:r>
      <w:r>
        <w:rPr/>
        <w:t>como:</w:t>
      </w:r>
      <w:r>
        <w:rPr>
          <w:spacing w:val="-26"/>
        </w:rPr>
        <w:t> </w:t>
      </w:r>
      <w:r>
        <w:rPr/>
        <w:t>telecobrança;</w:t>
      </w:r>
      <w:r>
        <w:rPr>
          <w:spacing w:val="-27"/>
        </w:rPr>
        <w:t> </w:t>
      </w:r>
      <w:r>
        <w:rPr/>
        <w:t>suspensão</w:t>
      </w:r>
      <w:r>
        <w:rPr>
          <w:spacing w:val="-25"/>
        </w:rPr>
        <w:t> </w:t>
      </w:r>
      <w:r>
        <w:rPr/>
        <w:t>de</w:t>
      </w:r>
      <w:r>
        <w:rPr>
          <w:spacing w:val="-26"/>
        </w:rPr>
        <w:t> </w:t>
      </w:r>
      <w:r>
        <w:rPr/>
        <w:t>fornecimento</w:t>
      </w:r>
      <w:r>
        <w:rPr>
          <w:spacing w:val="-26"/>
        </w:rPr>
        <w:t> </w:t>
      </w:r>
      <w:r>
        <w:rPr/>
        <w:t>por</w:t>
      </w:r>
      <w:r>
        <w:rPr>
          <w:spacing w:val="-26"/>
        </w:rPr>
        <w:t> </w:t>
      </w:r>
      <w:r>
        <w:rPr/>
        <w:t>inadimplência;</w:t>
      </w:r>
      <w:r>
        <w:rPr>
          <w:spacing w:val="-26"/>
        </w:rPr>
        <w:t> </w:t>
      </w:r>
      <w:r>
        <w:rPr/>
        <w:t>negativação</w:t>
      </w:r>
      <w:r>
        <w:rPr>
          <w:spacing w:val="-26"/>
        </w:rPr>
        <w:t> </w:t>
      </w:r>
      <w:r>
        <w:rPr/>
        <w:t>e</w:t>
      </w:r>
      <w:r>
        <w:rPr>
          <w:spacing w:val="-27"/>
        </w:rPr>
        <w:t> </w:t>
      </w:r>
      <w:r>
        <w:rPr/>
        <w:t>protesto</w:t>
      </w:r>
      <w:r>
        <w:rPr>
          <w:spacing w:val="-26"/>
        </w:rPr>
        <w:t> </w:t>
      </w:r>
      <w:r>
        <w:rPr/>
        <w:t>de</w:t>
      </w:r>
      <w:r>
        <w:rPr>
          <w:spacing w:val="-26"/>
        </w:rPr>
        <w:t> </w:t>
      </w:r>
      <w:r>
        <w:rPr/>
        <w:t>débitos;</w:t>
      </w:r>
      <w:r>
        <w:rPr>
          <w:spacing w:val="-26"/>
        </w:rPr>
        <w:t> </w:t>
      </w:r>
      <w:r>
        <w:rPr/>
        <w:t>ações judiciais; mediação no Centro Judiciário de Solução de conflitos e Cidadania de Brasília </w:t>
      </w:r>
      <w:r>
        <w:rPr>
          <w:w w:val="105"/>
        </w:rPr>
        <w:t>– </w:t>
      </w:r>
      <w:r>
        <w:rPr/>
        <w:t>CEJUS/TJDFT; e acompanhamento</w:t>
      </w:r>
      <w:r>
        <w:rPr>
          <w:spacing w:val="-19"/>
        </w:rPr>
        <w:t> </w:t>
      </w:r>
      <w:r>
        <w:rPr/>
        <w:t>e</w:t>
      </w:r>
      <w:r>
        <w:rPr>
          <w:spacing w:val="-19"/>
        </w:rPr>
        <w:t> </w:t>
      </w:r>
      <w:r>
        <w:rPr/>
        <w:t>negociação</w:t>
      </w:r>
      <w:r>
        <w:rPr>
          <w:spacing w:val="-21"/>
        </w:rPr>
        <w:t> </w:t>
      </w:r>
      <w:r>
        <w:rPr/>
        <w:t>permanente</w:t>
      </w:r>
      <w:r>
        <w:rPr>
          <w:spacing w:val="-19"/>
        </w:rPr>
        <w:t> </w:t>
      </w:r>
      <w:r>
        <w:rPr/>
        <w:t>das</w:t>
      </w:r>
      <w:r>
        <w:rPr>
          <w:spacing w:val="-20"/>
        </w:rPr>
        <w:t> </w:t>
      </w:r>
      <w:r>
        <w:rPr/>
        <w:t>posições</w:t>
      </w:r>
      <w:r>
        <w:rPr>
          <w:spacing w:val="-19"/>
        </w:rPr>
        <w:t> </w:t>
      </w:r>
      <w:r>
        <w:rPr/>
        <w:t>em</w:t>
      </w:r>
      <w:r>
        <w:rPr>
          <w:spacing w:val="-19"/>
        </w:rPr>
        <w:t> </w:t>
      </w:r>
      <w:r>
        <w:rPr/>
        <w:t>aberto.</w:t>
      </w:r>
    </w:p>
    <w:p>
      <w:pPr>
        <w:spacing w:after="0" w:line="247"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19"/>
        </w:numPr>
        <w:tabs>
          <w:tab w:pos="1025" w:val="left" w:leader="none"/>
          <w:tab w:pos="1026" w:val="left" w:leader="none"/>
        </w:tabs>
        <w:spacing w:line="240" w:lineRule="auto" w:before="14" w:after="0"/>
        <w:ind w:left="1025" w:right="0" w:hanging="854"/>
        <w:jc w:val="left"/>
      </w:pPr>
      <w:r>
        <w:rPr/>
        <w:t>Risco de</w:t>
      </w:r>
      <w:r>
        <w:rPr>
          <w:spacing w:val="-2"/>
        </w:rPr>
        <w:t> </w:t>
      </w:r>
      <w:r>
        <w:rPr/>
        <w:t>liquidez</w:t>
      </w:r>
    </w:p>
    <w:p>
      <w:pPr>
        <w:pStyle w:val="BodyText"/>
        <w:spacing w:before="1"/>
        <w:rPr>
          <w:rFonts w:ascii="Caladea"/>
          <w:b/>
          <w:sz w:val="24"/>
        </w:rPr>
      </w:pPr>
    </w:p>
    <w:p>
      <w:pPr>
        <w:pStyle w:val="BodyText"/>
        <w:spacing w:line="247" w:lineRule="auto"/>
        <w:ind w:left="172" w:right="415"/>
        <w:jc w:val="both"/>
      </w:pPr>
      <w:r>
        <w:rPr/>
        <w:t>O Grupo, em especial a CEB DIS, tem financiado suas operações com recursos oriundos de suas atividades operacionais,</w:t>
      </w:r>
      <w:r>
        <w:rPr>
          <w:spacing w:val="-19"/>
        </w:rPr>
        <w:t> </w:t>
      </w:r>
      <w:r>
        <w:rPr/>
        <w:t>do</w:t>
      </w:r>
      <w:r>
        <w:rPr>
          <w:spacing w:val="-18"/>
        </w:rPr>
        <w:t> </w:t>
      </w:r>
      <w:r>
        <w:rPr/>
        <w:t>mercado</w:t>
      </w:r>
      <w:r>
        <w:rPr>
          <w:spacing w:val="-19"/>
        </w:rPr>
        <w:t> </w:t>
      </w:r>
      <w:r>
        <w:rPr/>
        <w:t>financeiro</w:t>
      </w:r>
      <w:r>
        <w:rPr>
          <w:spacing w:val="-18"/>
        </w:rPr>
        <w:t> </w:t>
      </w:r>
      <w:r>
        <w:rPr/>
        <w:t>e</w:t>
      </w:r>
      <w:r>
        <w:rPr>
          <w:spacing w:val="-18"/>
        </w:rPr>
        <w:t> </w:t>
      </w:r>
      <w:r>
        <w:rPr/>
        <w:t>de</w:t>
      </w:r>
      <w:r>
        <w:rPr>
          <w:spacing w:val="-18"/>
        </w:rPr>
        <w:t> </w:t>
      </w:r>
      <w:r>
        <w:rPr/>
        <w:t>empresas</w:t>
      </w:r>
      <w:r>
        <w:rPr>
          <w:spacing w:val="-17"/>
        </w:rPr>
        <w:t> </w:t>
      </w:r>
      <w:r>
        <w:rPr/>
        <w:t>controladas</w:t>
      </w:r>
      <w:r>
        <w:rPr>
          <w:spacing w:val="-18"/>
        </w:rPr>
        <w:t> </w:t>
      </w:r>
      <w:r>
        <w:rPr/>
        <w:t>e</w:t>
      </w:r>
      <w:r>
        <w:rPr>
          <w:spacing w:val="-18"/>
        </w:rPr>
        <w:t> </w:t>
      </w:r>
      <w:r>
        <w:rPr/>
        <w:t>coligadas.</w:t>
      </w:r>
      <w:r>
        <w:rPr>
          <w:spacing w:val="-20"/>
        </w:rPr>
        <w:t> </w:t>
      </w:r>
      <w:r>
        <w:rPr/>
        <w:t>A</w:t>
      </w:r>
      <w:r>
        <w:rPr>
          <w:spacing w:val="-17"/>
        </w:rPr>
        <w:t> </w:t>
      </w:r>
      <w:r>
        <w:rPr/>
        <w:t>situação</w:t>
      </w:r>
      <w:r>
        <w:rPr>
          <w:spacing w:val="-19"/>
        </w:rPr>
        <w:t> </w:t>
      </w:r>
      <w:r>
        <w:rPr/>
        <w:t>econômica</w:t>
      </w:r>
      <w:r>
        <w:rPr>
          <w:spacing w:val="-18"/>
        </w:rPr>
        <w:t> </w:t>
      </w:r>
      <w:r>
        <w:rPr/>
        <w:t>e</w:t>
      </w:r>
      <w:r>
        <w:rPr>
          <w:spacing w:val="-18"/>
        </w:rPr>
        <w:t> </w:t>
      </w:r>
      <w:r>
        <w:rPr/>
        <w:t>financeira</w:t>
      </w:r>
      <w:r>
        <w:rPr>
          <w:spacing w:val="-18"/>
        </w:rPr>
        <w:t> </w:t>
      </w:r>
      <w:r>
        <w:rPr/>
        <w:t>é constantemente avaliada por meio de informações da área financeira, tratadas em ambiente de executivos</w:t>
      </w:r>
      <w:r>
        <w:rPr>
          <w:spacing w:val="-40"/>
        </w:rPr>
        <w:t> </w:t>
      </w:r>
      <w:r>
        <w:rPr/>
        <w:t>da Companhia.</w:t>
      </w:r>
    </w:p>
    <w:p>
      <w:pPr>
        <w:pStyle w:val="BodyText"/>
        <w:spacing w:before="8"/>
      </w:pPr>
    </w:p>
    <w:p>
      <w:pPr>
        <w:pStyle w:val="BodyText"/>
        <w:spacing w:line="247" w:lineRule="auto" w:before="1"/>
        <w:ind w:left="172" w:right="412"/>
        <w:jc w:val="both"/>
      </w:pPr>
      <w:r>
        <w:rPr/>
        <w:t>No que concerne ao acompanhamento de caixa, a Administração tem buscado efetividade no gerenciamento orçamentário,</w:t>
      </w:r>
      <w:r>
        <w:rPr>
          <w:spacing w:val="-13"/>
        </w:rPr>
        <w:t> </w:t>
      </w:r>
      <w:r>
        <w:rPr/>
        <w:t>visando</w:t>
      </w:r>
      <w:r>
        <w:rPr>
          <w:spacing w:val="-12"/>
        </w:rPr>
        <w:t> </w:t>
      </w:r>
      <w:r>
        <w:rPr/>
        <w:t>equilibrar</w:t>
      </w:r>
      <w:r>
        <w:rPr>
          <w:spacing w:val="-13"/>
        </w:rPr>
        <w:t> </w:t>
      </w:r>
      <w:r>
        <w:rPr/>
        <w:t>o</w:t>
      </w:r>
      <w:r>
        <w:rPr>
          <w:spacing w:val="-12"/>
        </w:rPr>
        <w:t> </w:t>
      </w:r>
      <w:r>
        <w:rPr/>
        <w:t>efeito</w:t>
      </w:r>
      <w:r>
        <w:rPr>
          <w:spacing w:val="-13"/>
        </w:rPr>
        <w:t> </w:t>
      </w:r>
      <w:r>
        <w:rPr/>
        <w:t>financeiro</w:t>
      </w:r>
      <w:r>
        <w:rPr>
          <w:spacing w:val="-12"/>
        </w:rPr>
        <w:t> </w:t>
      </w:r>
      <w:r>
        <w:rPr/>
        <w:t>da</w:t>
      </w:r>
      <w:r>
        <w:rPr>
          <w:spacing w:val="-11"/>
        </w:rPr>
        <w:t> </w:t>
      </w:r>
      <w:r>
        <w:rPr/>
        <w:t>recomposição</w:t>
      </w:r>
      <w:r>
        <w:rPr>
          <w:spacing w:val="-14"/>
        </w:rPr>
        <w:t> </w:t>
      </w:r>
      <w:r>
        <w:rPr/>
        <w:t>dos</w:t>
      </w:r>
      <w:r>
        <w:rPr>
          <w:spacing w:val="-13"/>
        </w:rPr>
        <w:t> </w:t>
      </w:r>
      <w:r>
        <w:rPr/>
        <w:t>Ativos</w:t>
      </w:r>
      <w:r>
        <w:rPr>
          <w:spacing w:val="-12"/>
        </w:rPr>
        <w:t> </w:t>
      </w:r>
      <w:r>
        <w:rPr/>
        <w:t>e</w:t>
      </w:r>
      <w:r>
        <w:rPr>
          <w:spacing w:val="-11"/>
        </w:rPr>
        <w:t> </w:t>
      </w:r>
      <w:r>
        <w:rPr/>
        <w:t>Passivos</w:t>
      </w:r>
      <w:r>
        <w:rPr>
          <w:spacing w:val="-14"/>
        </w:rPr>
        <w:t> </w:t>
      </w:r>
      <w:r>
        <w:rPr/>
        <w:t>Financeiros</w:t>
      </w:r>
      <w:r>
        <w:rPr>
          <w:spacing w:val="-11"/>
        </w:rPr>
        <w:t> </w:t>
      </w:r>
      <w:r>
        <w:rPr/>
        <w:t>Setoriais (Nota</w:t>
      </w:r>
      <w:r>
        <w:rPr>
          <w:spacing w:val="-36"/>
        </w:rPr>
        <w:t> </w:t>
      </w:r>
      <w:r>
        <w:rPr/>
        <w:t>Explicativa</w:t>
      </w:r>
      <w:r>
        <w:rPr>
          <w:spacing w:val="-35"/>
        </w:rPr>
        <w:t> </w:t>
      </w:r>
      <w:r>
        <w:rPr/>
        <w:t>nº</w:t>
      </w:r>
      <w:r>
        <w:rPr>
          <w:spacing w:val="-34"/>
        </w:rPr>
        <w:t> </w:t>
      </w:r>
      <w:r>
        <w:rPr/>
        <w:t>8),</w:t>
      </w:r>
      <w:r>
        <w:rPr>
          <w:spacing w:val="-34"/>
        </w:rPr>
        <w:t> </w:t>
      </w:r>
      <w:r>
        <w:rPr/>
        <w:t>bem</w:t>
      </w:r>
      <w:r>
        <w:rPr>
          <w:spacing w:val="-34"/>
        </w:rPr>
        <w:t> </w:t>
      </w:r>
      <w:r>
        <w:rPr/>
        <w:t>como</w:t>
      </w:r>
      <w:r>
        <w:rPr>
          <w:spacing w:val="-35"/>
        </w:rPr>
        <w:t> </w:t>
      </w:r>
      <w:r>
        <w:rPr/>
        <w:t>a</w:t>
      </w:r>
      <w:r>
        <w:rPr>
          <w:spacing w:val="-35"/>
        </w:rPr>
        <w:t> </w:t>
      </w:r>
      <w:r>
        <w:rPr/>
        <w:t>incompatibilidade</w:t>
      </w:r>
      <w:r>
        <w:rPr>
          <w:spacing w:val="-34"/>
        </w:rPr>
        <w:t> </w:t>
      </w:r>
      <w:r>
        <w:rPr/>
        <w:t>da</w:t>
      </w:r>
      <w:r>
        <w:rPr>
          <w:spacing w:val="-35"/>
        </w:rPr>
        <w:t> </w:t>
      </w:r>
      <w:r>
        <w:rPr/>
        <w:t>estrutura</w:t>
      </w:r>
      <w:r>
        <w:rPr>
          <w:spacing w:val="-35"/>
        </w:rPr>
        <w:t> </w:t>
      </w:r>
      <w:r>
        <w:rPr/>
        <w:t>tarifária</w:t>
      </w:r>
      <w:r>
        <w:rPr>
          <w:spacing w:val="-35"/>
        </w:rPr>
        <w:t> </w:t>
      </w:r>
      <w:r>
        <w:rPr/>
        <w:t>vigente</w:t>
      </w:r>
      <w:r>
        <w:rPr>
          <w:spacing w:val="-33"/>
        </w:rPr>
        <w:t> </w:t>
      </w:r>
      <w:r>
        <w:rPr/>
        <w:t>contra</w:t>
      </w:r>
      <w:r>
        <w:rPr>
          <w:spacing w:val="-34"/>
        </w:rPr>
        <w:t> </w:t>
      </w:r>
      <w:r>
        <w:rPr/>
        <w:t>seus</w:t>
      </w:r>
      <w:r>
        <w:rPr>
          <w:spacing w:val="-35"/>
        </w:rPr>
        <w:t> </w:t>
      </w:r>
      <w:r>
        <w:rPr/>
        <w:t>custos</w:t>
      </w:r>
      <w:r>
        <w:rPr>
          <w:spacing w:val="-34"/>
        </w:rPr>
        <w:t> </w:t>
      </w:r>
      <w:r>
        <w:rPr/>
        <w:t>de</w:t>
      </w:r>
      <w:r>
        <w:rPr>
          <w:spacing w:val="-35"/>
        </w:rPr>
        <w:t> </w:t>
      </w:r>
      <w:r>
        <w:rPr/>
        <w:t>Parcela</w:t>
      </w:r>
      <w:r>
        <w:rPr>
          <w:spacing w:val="-35"/>
        </w:rPr>
        <w:t> </w:t>
      </w:r>
      <w:r>
        <w:rPr/>
        <w:t>A e</w:t>
      </w:r>
      <w:r>
        <w:rPr>
          <w:spacing w:val="-21"/>
        </w:rPr>
        <w:t> </w:t>
      </w:r>
      <w:r>
        <w:rPr/>
        <w:t>Parcela</w:t>
      </w:r>
      <w:r>
        <w:rPr>
          <w:spacing w:val="-18"/>
        </w:rPr>
        <w:t> </w:t>
      </w:r>
      <w:r>
        <w:rPr/>
        <w:t>B</w:t>
      </w:r>
      <w:r>
        <w:rPr>
          <w:spacing w:val="-18"/>
        </w:rPr>
        <w:t> </w:t>
      </w:r>
      <w:r>
        <w:rPr/>
        <w:t>sem</w:t>
      </w:r>
      <w:r>
        <w:rPr>
          <w:spacing w:val="-19"/>
        </w:rPr>
        <w:t> </w:t>
      </w:r>
      <w:r>
        <w:rPr/>
        <w:t>reconhecimento</w:t>
      </w:r>
      <w:r>
        <w:rPr>
          <w:spacing w:val="-19"/>
        </w:rPr>
        <w:t> </w:t>
      </w:r>
      <w:r>
        <w:rPr/>
        <w:t>tarifário.</w:t>
      </w:r>
    </w:p>
    <w:p>
      <w:pPr>
        <w:pStyle w:val="BodyText"/>
        <w:spacing w:before="8"/>
      </w:pPr>
    </w:p>
    <w:p>
      <w:pPr>
        <w:pStyle w:val="BodyText"/>
        <w:spacing w:line="247" w:lineRule="auto"/>
        <w:ind w:left="172" w:right="408"/>
        <w:jc w:val="both"/>
      </w:pPr>
      <w:r>
        <w:rPr/>
        <w:t>Os</w:t>
      </w:r>
      <w:r>
        <w:rPr>
          <w:spacing w:val="-40"/>
        </w:rPr>
        <w:t> </w:t>
      </w:r>
      <w:r>
        <w:rPr/>
        <w:t>planos</w:t>
      </w:r>
      <w:r>
        <w:rPr>
          <w:spacing w:val="-39"/>
        </w:rPr>
        <w:t> </w:t>
      </w:r>
      <w:r>
        <w:rPr/>
        <w:t>da</w:t>
      </w:r>
      <w:r>
        <w:rPr>
          <w:spacing w:val="-38"/>
        </w:rPr>
        <w:t> </w:t>
      </w:r>
      <w:r>
        <w:rPr/>
        <w:t>Administração</w:t>
      </w:r>
      <w:r>
        <w:rPr>
          <w:spacing w:val="-38"/>
        </w:rPr>
        <w:t> </w:t>
      </w:r>
      <w:r>
        <w:rPr/>
        <w:t>para</w:t>
      </w:r>
      <w:r>
        <w:rPr>
          <w:spacing w:val="-40"/>
        </w:rPr>
        <w:t> </w:t>
      </w:r>
      <w:r>
        <w:rPr/>
        <w:t>manutenção</w:t>
      </w:r>
      <w:r>
        <w:rPr>
          <w:spacing w:val="-38"/>
        </w:rPr>
        <w:t> </w:t>
      </w:r>
      <w:r>
        <w:rPr/>
        <w:t>das</w:t>
      </w:r>
      <w:r>
        <w:rPr>
          <w:spacing w:val="-39"/>
        </w:rPr>
        <w:t> </w:t>
      </w:r>
      <w:r>
        <w:rPr/>
        <w:t>atividades</w:t>
      </w:r>
      <w:r>
        <w:rPr>
          <w:spacing w:val="-40"/>
        </w:rPr>
        <w:t> </w:t>
      </w:r>
      <w:r>
        <w:rPr/>
        <w:t>da</w:t>
      </w:r>
      <w:r>
        <w:rPr>
          <w:spacing w:val="-38"/>
        </w:rPr>
        <w:t> </w:t>
      </w:r>
      <w:r>
        <w:rPr/>
        <w:t>concessionária</w:t>
      </w:r>
      <w:r>
        <w:rPr>
          <w:spacing w:val="-37"/>
        </w:rPr>
        <w:t> </w:t>
      </w:r>
      <w:r>
        <w:rPr/>
        <w:t>passam,</w:t>
      </w:r>
      <w:r>
        <w:rPr>
          <w:spacing w:val="-39"/>
        </w:rPr>
        <w:t> </w:t>
      </w:r>
      <w:r>
        <w:rPr/>
        <w:t>entre</w:t>
      </w:r>
      <w:r>
        <w:rPr>
          <w:spacing w:val="-38"/>
        </w:rPr>
        <w:t> </w:t>
      </w:r>
      <w:r>
        <w:rPr/>
        <w:t>outros,</w:t>
      </w:r>
      <w:r>
        <w:rPr>
          <w:spacing w:val="-37"/>
        </w:rPr>
        <w:t> </w:t>
      </w:r>
      <w:r>
        <w:rPr/>
        <w:t>pelo</w:t>
      </w:r>
      <w:r>
        <w:rPr>
          <w:spacing w:val="-37"/>
        </w:rPr>
        <w:t> </w:t>
      </w:r>
      <w:r>
        <w:rPr/>
        <w:t>equilíbrio econômico-financeiro,</w:t>
      </w:r>
      <w:r>
        <w:rPr>
          <w:spacing w:val="-18"/>
        </w:rPr>
        <w:t> </w:t>
      </w:r>
      <w:r>
        <w:rPr/>
        <w:t>em</w:t>
      </w:r>
      <w:r>
        <w:rPr>
          <w:spacing w:val="-19"/>
        </w:rPr>
        <w:t> </w:t>
      </w:r>
      <w:r>
        <w:rPr/>
        <w:t>atendimento</w:t>
      </w:r>
      <w:r>
        <w:rPr>
          <w:spacing w:val="-19"/>
        </w:rPr>
        <w:t> </w:t>
      </w:r>
      <w:r>
        <w:rPr/>
        <w:t>as</w:t>
      </w:r>
      <w:r>
        <w:rPr>
          <w:spacing w:val="-19"/>
        </w:rPr>
        <w:t> </w:t>
      </w:r>
      <w:r>
        <w:rPr/>
        <w:t>metas</w:t>
      </w:r>
      <w:r>
        <w:rPr>
          <w:spacing w:val="-18"/>
        </w:rPr>
        <w:t> </w:t>
      </w:r>
      <w:r>
        <w:rPr/>
        <w:t>regulatórias,</w:t>
      </w:r>
      <w:r>
        <w:rPr>
          <w:spacing w:val="-19"/>
        </w:rPr>
        <w:t> </w:t>
      </w:r>
      <w:r>
        <w:rPr/>
        <w:t>previstas</w:t>
      </w:r>
      <w:r>
        <w:rPr>
          <w:spacing w:val="-18"/>
        </w:rPr>
        <w:t> </w:t>
      </w:r>
      <w:r>
        <w:rPr/>
        <w:t>no</w:t>
      </w:r>
      <w:r>
        <w:rPr>
          <w:spacing w:val="-15"/>
        </w:rPr>
        <w:t> </w:t>
      </w:r>
      <w:r>
        <w:rPr/>
        <w:t>Quarto</w:t>
      </w:r>
      <w:r>
        <w:rPr>
          <w:spacing w:val="-18"/>
        </w:rPr>
        <w:t> </w:t>
      </w:r>
      <w:r>
        <w:rPr/>
        <w:t>Termo</w:t>
      </w:r>
      <w:r>
        <w:rPr>
          <w:spacing w:val="-19"/>
        </w:rPr>
        <w:t> </w:t>
      </w:r>
      <w:r>
        <w:rPr/>
        <w:t>Aditivo</w:t>
      </w:r>
      <w:r>
        <w:rPr>
          <w:spacing w:val="-19"/>
        </w:rPr>
        <w:t> </w:t>
      </w:r>
      <w:r>
        <w:rPr/>
        <w:t>ao</w:t>
      </w:r>
      <w:r>
        <w:rPr>
          <w:spacing w:val="-19"/>
        </w:rPr>
        <w:t> </w:t>
      </w:r>
      <w:r>
        <w:rPr/>
        <w:t>Contrato</w:t>
      </w:r>
      <w:r>
        <w:rPr>
          <w:spacing w:val="-17"/>
        </w:rPr>
        <w:t> </w:t>
      </w:r>
      <w:r>
        <w:rPr/>
        <w:t>de Concessão</w:t>
      </w:r>
      <w:r>
        <w:rPr>
          <w:spacing w:val="-37"/>
        </w:rPr>
        <w:t> </w:t>
      </w:r>
      <w:r>
        <w:rPr/>
        <w:t>nº</w:t>
      </w:r>
      <w:r>
        <w:rPr>
          <w:spacing w:val="-35"/>
        </w:rPr>
        <w:t> </w:t>
      </w:r>
      <w:r>
        <w:rPr/>
        <w:t>066/1999</w:t>
      </w:r>
      <w:r>
        <w:rPr>
          <w:spacing w:val="-35"/>
        </w:rPr>
        <w:t> </w:t>
      </w:r>
      <w:r>
        <w:rPr>
          <w:w w:val="105"/>
        </w:rPr>
        <w:t>–</w:t>
      </w:r>
      <w:r>
        <w:rPr>
          <w:spacing w:val="-39"/>
          <w:w w:val="105"/>
        </w:rPr>
        <w:t> </w:t>
      </w:r>
      <w:r>
        <w:rPr/>
        <w:t>ANEEL,</w:t>
      </w:r>
      <w:r>
        <w:rPr>
          <w:spacing w:val="-36"/>
        </w:rPr>
        <w:t> </w:t>
      </w:r>
      <w:r>
        <w:rPr/>
        <w:t>com</w:t>
      </w:r>
      <w:r>
        <w:rPr>
          <w:spacing w:val="-36"/>
        </w:rPr>
        <w:t> </w:t>
      </w:r>
      <w:r>
        <w:rPr/>
        <w:t>alternativas</w:t>
      </w:r>
      <w:r>
        <w:rPr>
          <w:spacing w:val="-36"/>
        </w:rPr>
        <w:t> </w:t>
      </w:r>
      <w:r>
        <w:rPr/>
        <w:t>para</w:t>
      </w:r>
      <w:r>
        <w:rPr>
          <w:spacing w:val="-34"/>
        </w:rPr>
        <w:t> </w:t>
      </w:r>
      <w:r>
        <w:rPr/>
        <w:t>o</w:t>
      </w:r>
      <w:r>
        <w:rPr>
          <w:spacing w:val="-37"/>
        </w:rPr>
        <w:t> </w:t>
      </w:r>
      <w:r>
        <w:rPr/>
        <w:t>saneamento</w:t>
      </w:r>
      <w:r>
        <w:rPr>
          <w:spacing w:val="-36"/>
        </w:rPr>
        <w:t> </w:t>
      </w:r>
      <w:r>
        <w:rPr/>
        <w:t>e</w:t>
      </w:r>
      <w:r>
        <w:rPr>
          <w:spacing w:val="-37"/>
        </w:rPr>
        <w:t> </w:t>
      </w:r>
      <w:r>
        <w:rPr/>
        <w:t>sustentabilidade</w:t>
      </w:r>
      <w:r>
        <w:rPr>
          <w:spacing w:val="-36"/>
        </w:rPr>
        <w:t> </w:t>
      </w:r>
      <w:r>
        <w:rPr/>
        <w:t>da</w:t>
      </w:r>
      <w:r>
        <w:rPr>
          <w:spacing w:val="-36"/>
        </w:rPr>
        <w:t> </w:t>
      </w:r>
      <w:r>
        <w:rPr/>
        <w:t>Distribuidora,</w:t>
      </w:r>
      <w:r>
        <w:rPr>
          <w:spacing w:val="-36"/>
        </w:rPr>
        <w:t> </w:t>
      </w:r>
      <w:r>
        <w:rPr/>
        <w:t>conforme evidenciado</w:t>
      </w:r>
      <w:r>
        <w:rPr>
          <w:spacing w:val="-16"/>
        </w:rPr>
        <w:t> </w:t>
      </w:r>
      <w:r>
        <w:rPr/>
        <w:t>na</w:t>
      </w:r>
      <w:r>
        <w:rPr>
          <w:spacing w:val="-18"/>
        </w:rPr>
        <w:t> </w:t>
      </w:r>
      <w:r>
        <w:rPr/>
        <w:t>Nota</w:t>
      </w:r>
      <w:r>
        <w:rPr>
          <w:spacing w:val="-19"/>
        </w:rPr>
        <w:t> </w:t>
      </w:r>
      <w:r>
        <w:rPr/>
        <w:t>Explicativa</w:t>
      </w:r>
      <w:r>
        <w:rPr>
          <w:spacing w:val="-18"/>
        </w:rPr>
        <w:t> </w:t>
      </w:r>
      <w:r>
        <w:rPr/>
        <w:t>nº</w:t>
      </w:r>
      <w:r>
        <w:rPr>
          <w:spacing w:val="-18"/>
        </w:rPr>
        <w:t> </w:t>
      </w:r>
      <w:r>
        <w:rPr/>
        <w:t>2.2.1.1(c).</w:t>
      </w:r>
    </w:p>
    <w:p>
      <w:pPr>
        <w:pStyle w:val="BodyText"/>
        <w:spacing w:before="9"/>
      </w:pPr>
    </w:p>
    <w:p>
      <w:pPr>
        <w:pStyle w:val="BodyText"/>
        <w:spacing w:line="247" w:lineRule="auto"/>
        <w:ind w:left="172" w:right="419"/>
        <w:jc w:val="both"/>
      </w:pPr>
      <w:r>
        <w:rPr/>
        <w:t>Assim,</w:t>
      </w:r>
      <w:r>
        <w:rPr>
          <w:spacing w:val="-39"/>
        </w:rPr>
        <w:t> </w:t>
      </w:r>
      <w:r>
        <w:rPr/>
        <w:t>as</w:t>
      </w:r>
      <w:r>
        <w:rPr>
          <w:spacing w:val="-38"/>
        </w:rPr>
        <w:t> </w:t>
      </w:r>
      <w:r>
        <w:rPr/>
        <w:t>Demonstrações</w:t>
      </w:r>
      <w:r>
        <w:rPr>
          <w:spacing w:val="-36"/>
        </w:rPr>
        <w:t> </w:t>
      </w:r>
      <w:r>
        <w:rPr/>
        <w:t>Financeiras</w:t>
      </w:r>
      <w:r>
        <w:rPr>
          <w:spacing w:val="-37"/>
        </w:rPr>
        <w:t> </w:t>
      </w:r>
      <w:r>
        <w:rPr/>
        <w:t>daquela</w:t>
      </w:r>
      <w:r>
        <w:rPr>
          <w:spacing w:val="-38"/>
        </w:rPr>
        <w:t> </w:t>
      </w:r>
      <w:r>
        <w:rPr/>
        <w:t>Companhia</w:t>
      </w:r>
      <w:r>
        <w:rPr>
          <w:spacing w:val="-38"/>
        </w:rPr>
        <w:t> </w:t>
      </w:r>
      <w:r>
        <w:rPr/>
        <w:t>foram</w:t>
      </w:r>
      <w:r>
        <w:rPr>
          <w:spacing w:val="-37"/>
        </w:rPr>
        <w:t> </w:t>
      </w:r>
      <w:r>
        <w:rPr/>
        <w:t>elaboradas</w:t>
      </w:r>
      <w:r>
        <w:rPr>
          <w:spacing w:val="-37"/>
        </w:rPr>
        <w:t> </w:t>
      </w:r>
      <w:r>
        <w:rPr/>
        <w:t>no</w:t>
      </w:r>
      <w:r>
        <w:rPr>
          <w:spacing w:val="-37"/>
        </w:rPr>
        <w:t> </w:t>
      </w:r>
      <w:r>
        <w:rPr/>
        <w:t>pressuposto</w:t>
      </w:r>
      <w:r>
        <w:rPr>
          <w:spacing w:val="-37"/>
        </w:rPr>
        <w:t> </w:t>
      </w:r>
      <w:r>
        <w:rPr/>
        <w:t>de</w:t>
      </w:r>
      <w:r>
        <w:rPr>
          <w:spacing w:val="-38"/>
        </w:rPr>
        <w:t> </w:t>
      </w:r>
      <w:r>
        <w:rPr/>
        <w:t>continuidade</w:t>
      </w:r>
      <w:r>
        <w:rPr>
          <w:spacing w:val="-37"/>
        </w:rPr>
        <w:t> </w:t>
      </w:r>
      <w:r>
        <w:rPr/>
        <w:t>normal dos</w:t>
      </w:r>
      <w:r>
        <w:rPr>
          <w:spacing w:val="-18"/>
        </w:rPr>
        <w:t> </w:t>
      </w:r>
      <w:r>
        <w:rPr/>
        <w:t>negócios</w:t>
      </w:r>
      <w:r>
        <w:rPr>
          <w:spacing w:val="-16"/>
        </w:rPr>
        <w:t> </w:t>
      </w:r>
      <w:r>
        <w:rPr/>
        <w:t>da</w:t>
      </w:r>
      <w:r>
        <w:rPr>
          <w:spacing w:val="-17"/>
        </w:rPr>
        <w:t> </w:t>
      </w:r>
      <w:r>
        <w:rPr/>
        <w:t>concessionária.</w:t>
      </w:r>
    </w:p>
    <w:p>
      <w:pPr>
        <w:pStyle w:val="BodyText"/>
        <w:spacing w:before="7"/>
      </w:pPr>
    </w:p>
    <w:p>
      <w:pPr>
        <w:pStyle w:val="BodyText"/>
        <w:ind w:left="172"/>
        <w:jc w:val="both"/>
      </w:pPr>
      <w:r>
        <w:rPr/>
        <w:t>A seguir, estão demonstrados os fluxos de caixa contratuais dos principais passivos financeiros:</w:t>
      </w:r>
    </w:p>
    <w:p>
      <w:pPr>
        <w:pStyle w:val="BodyText"/>
        <w:rPr>
          <w:sz w:val="21"/>
        </w:rPr>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27"/>
        <w:gridCol w:w="1297"/>
        <w:gridCol w:w="1299"/>
        <w:gridCol w:w="1297"/>
        <w:gridCol w:w="1299"/>
      </w:tblGrid>
      <w:tr>
        <w:trPr>
          <w:trHeight w:val="645" w:hRule="atLeast"/>
        </w:trPr>
        <w:tc>
          <w:tcPr>
            <w:tcW w:w="4727" w:type="dxa"/>
            <w:shd w:val="clear" w:color="auto" w:fill="D9D9D9"/>
          </w:tcPr>
          <w:p>
            <w:pPr>
              <w:pStyle w:val="TableParagraph"/>
              <w:spacing w:before="6"/>
              <w:rPr>
                <w:sz w:val="20"/>
              </w:rPr>
            </w:pPr>
          </w:p>
          <w:p>
            <w:pPr>
              <w:pStyle w:val="TableParagraph"/>
              <w:ind w:left="72"/>
              <w:rPr>
                <w:rFonts w:ascii="Caladea"/>
                <w:b/>
                <w:sz w:val="14"/>
              </w:rPr>
            </w:pPr>
            <w:r>
              <w:rPr>
                <w:rFonts w:ascii="Caladea"/>
                <w:b/>
                <w:sz w:val="14"/>
              </w:rPr>
              <w:t>Consolidado</w:t>
            </w:r>
          </w:p>
        </w:tc>
        <w:tc>
          <w:tcPr>
            <w:tcW w:w="1297" w:type="dxa"/>
          </w:tcPr>
          <w:p>
            <w:pPr>
              <w:pStyle w:val="TableParagraph"/>
              <w:spacing w:before="6"/>
              <w:rPr>
                <w:sz w:val="20"/>
              </w:rPr>
            </w:pPr>
          </w:p>
          <w:p>
            <w:pPr>
              <w:pStyle w:val="TableParagraph"/>
              <w:ind w:left="454" w:right="442"/>
              <w:jc w:val="center"/>
              <w:rPr>
                <w:rFonts w:ascii="Caladea"/>
                <w:b/>
                <w:sz w:val="14"/>
              </w:rPr>
            </w:pPr>
            <w:r>
              <w:rPr>
                <w:rFonts w:ascii="Caladea"/>
                <w:b/>
                <w:sz w:val="14"/>
              </w:rPr>
              <w:t>Valor</w:t>
            </w:r>
          </w:p>
        </w:tc>
        <w:tc>
          <w:tcPr>
            <w:tcW w:w="1299" w:type="dxa"/>
          </w:tcPr>
          <w:p>
            <w:pPr>
              <w:pStyle w:val="TableParagraph"/>
              <w:spacing w:before="6"/>
              <w:rPr>
                <w:sz w:val="20"/>
              </w:rPr>
            </w:pPr>
          </w:p>
          <w:p>
            <w:pPr>
              <w:pStyle w:val="TableParagraph"/>
              <w:ind w:left="349"/>
              <w:rPr>
                <w:rFonts w:ascii="Caladea" w:hAnsi="Caladea"/>
                <w:b/>
                <w:sz w:val="14"/>
              </w:rPr>
            </w:pPr>
            <w:r>
              <w:rPr>
                <w:rFonts w:ascii="Caladea" w:hAnsi="Caladea"/>
                <w:b/>
                <w:sz w:val="14"/>
              </w:rPr>
              <w:t>Até 1 ano</w:t>
            </w:r>
          </w:p>
        </w:tc>
        <w:tc>
          <w:tcPr>
            <w:tcW w:w="1297" w:type="dxa"/>
          </w:tcPr>
          <w:p>
            <w:pPr>
              <w:pStyle w:val="TableParagraph"/>
              <w:spacing w:before="6"/>
              <w:rPr>
                <w:sz w:val="20"/>
              </w:rPr>
            </w:pPr>
          </w:p>
          <w:p>
            <w:pPr>
              <w:pStyle w:val="TableParagraph"/>
              <w:ind w:left="226"/>
              <w:rPr>
                <w:rFonts w:ascii="Caladea"/>
                <w:b/>
                <w:sz w:val="14"/>
              </w:rPr>
            </w:pPr>
            <w:r>
              <w:rPr>
                <w:rFonts w:ascii="Caladea"/>
                <w:b/>
                <w:sz w:val="14"/>
              </w:rPr>
              <w:t>De 1 a 2 anos</w:t>
            </w:r>
          </w:p>
        </w:tc>
        <w:tc>
          <w:tcPr>
            <w:tcW w:w="1299" w:type="dxa"/>
          </w:tcPr>
          <w:p>
            <w:pPr>
              <w:pStyle w:val="TableParagraph"/>
              <w:spacing w:before="6"/>
              <w:rPr>
                <w:sz w:val="20"/>
              </w:rPr>
            </w:pPr>
          </w:p>
          <w:p>
            <w:pPr>
              <w:pStyle w:val="TableParagraph"/>
              <w:ind w:right="124"/>
              <w:jc w:val="right"/>
              <w:rPr>
                <w:rFonts w:ascii="Caladea"/>
                <w:b/>
                <w:sz w:val="14"/>
              </w:rPr>
            </w:pPr>
            <w:r>
              <w:rPr>
                <w:rFonts w:ascii="Caladea"/>
                <w:b/>
                <w:sz w:val="14"/>
              </w:rPr>
              <w:t>Acima de 2 anos</w:t>
            </w:r>
          </w:p>
        </w:tc>
      </w:tr>
      <w:tr>
        <w:trPr>
          <w:trHeight w:val="162" w:hRule="atLeast"/>
        </w:trPr>
        <w:tc>
          <w:tcPr>
            <w:tcW w:w="4727" w:type="dxa"/>
          </w:tcPr>
          <w:p>
            <w:pPr>
              <w:pStyle w:val="TableParagraph"/>
              <w:spacing w:line="143" w:lineRule="exact"/>
              <w:ind w:left="72"/>
              <w:rPr>
                <w:rFonts w:ascii="Caladea" w:hAnsi="Caladea"/>
                <w:b/>
                <w:sz w:val="14"/>
              </w:rPr>
            </w:pPr>
            <w:r>
              <w:rPr>
                <w:rFonts w:ascii="Caladea" w:hAnsi="Caladea"/>
                <w:b/>
                <w:sz w:val="14"/>
              </w:rPr>
              <w:t>Passivos Financeiros não Derivativos</w:t>
            </w:r>
          </w:p>
        </w:tc>
        <w:tc>
          <w:tcPr>
            <w:tcW w:w="1297" w:type="dxa"/>
          </w:tcPr>
          <w:p>
            <w:pPr>
              <w:pStyle w:val="TableParagraph"/>
              <w:rPr>
                <w:rFonts w:ascii="Times New Roman"/>
                <w:sz w:val="10"/>
              </w:rPr>
            </w:pPr>
          </w:p>
        </w:tc>
        <w:tc>
          <w:tcPr>
            <w:tcW w:w="1299" w:type="dxa"/>
          </w:tcPr>
          <w:p>
            <w:pPr>
              <w:pStyle w:val="TableParagraph"/>
              <w:rPr>
                <w:rFonts w:ascii="Times New Roman"/>
                <w:sz w:val="10"/>
              </w:rPr>
            </w:pPr>
          </w:p>
        </w:tc>
        <w:tc>
          <w:tcPr>
            <w:tcW w:w="1297" w:type="dxa"/>
          </w:tcPr>
          <w:p>
            <w:pPr>
              <w:pStyle w:val="TableParagraph"/>
              <w:rPr>
                <w:rFonts w:ascii="Times New Roman"/>
                <w:sz w:val="10"/>
              </w:rPr>
            </w:pPr>
          </w:p>
        </w:tc>
        <w:tc>
          <w:tcPr>
            <w:tcW w:w="1299" w:type="dxa"/>
          </w:tcPr>
          <w:p>
            <w:pPr>
              <w:pStyle w:val="TableParagraph"/>
              <w:rPr>
                <w:rFonts w:ascii="Times New Roman"/>
                <w:sz w:val="10"/>
              </w:rPr>
            </w:pPr>
          </w:p>
        </w:tc>
      </w:tr>
      <w:tr>
        <w:trPr>
          <w:trHeight w:val="165" w:hRule="atLeast"/>
        </w:trPr>
        <w:tc>
          <w:tcPr>
            <w:tcW w:w="4727" w:type="dxa"/>
          </w:tcPr>
          <w:p>
            <w:pPr>
              <w:pStyle w:val="TableParagraph"/>
              <w:spacing w:line="145" w:lineRule="exact"/>
              <w:ind w:left="72"/>
              <w:rPr>
                <w:sz w:val="14"/>
              </w:rPr>
            </w:pPr>
            <w:r>
              <w:rPr>
                <w:sz w:val="14"/>
              </w:rPr>
              <w:t>Fornecedores</w:t>
            </w:r>
          </w:p>
        </w:tc>
        <w:tc>
          <w:tcPr>
            <w:tcW w:w="1297" w:type="dxa"/>
          </w:tcPr>
          <w:p>
            <w:pPr>
              <w:pStyle w:val="TableParagraph"/>
              <w:spacing w:line="145" w:lineRule="exact"/>
              <w:ind w:right="58"/>
              <w:jc w:val="right"/>
              <w:rPr>
                <w:sz w:val="14"/>
              </w:rPr>
            </w:pPr>
            <w:r>
              <w:rPr>
                <w:w w:val="95"/>
                <w:sz w:val="14"/>
              </w:rPr>
              <w:t>196.454</w:t>
            </w:r>
          </w:p>
        </w:tc>
        <w:tc>
          <w:tcPr>
            <w:tcW w:w="1299" w:type="dxa"/>
          </w:tcPr>
          <w:p>
            <w:pPr>
              <w:pStyle w:val="TableParagraph"/>
              <w:spacing w:line="145" w:lineRule="exact"/>
              <w:ind w:right="61"/>
              <w:jc w:val="right"/>
              <w:rPr>
                <w:sz w:val="14"/>
              </w:rPr>
            </w:pPr>
            <w:r>
              <w:rPr>
                <w:w w:val="95"/>
                <w:sz w:val="14"/>
              </w:rPr>
              <w:t>196.454</w:t>
            </w:r>
          </w:p>
        </w:tc>
        <w:tc>
          <w:tcPr>
            <w:tcW w:w="1297" w:type="dxa"/>
          </w:tcPr>
          <w:p>
            <w:pPr>
              <w:pStyle w:val="TableParagraph"/>
              <w:rPr>
                <w:rFonts w:ascii="Times New Roman"/>
                <w:sz w:val="10"/>
              </w:rPr>
            </w:pPr>
          </w:p>
        </w:tc>
        <w:tc>
          <w:tcPr>
            <w:tcW w:w="1299" w:type="dxa"/>
          </w:tcPr>
          <w:p>
            <w:pPr>
              <w:pStyle w:val="TableParagraph"/>
              <w:rPr>
                <w:rFonts w:ascii="Times New Roman"/>
                <w:sz w:val="10"/>
              </w:rPr>
            </w:pPr>
          </w:p>
        </w:tc>
      </w:tr>
      <w:tr>
        <w:trPr>
          <w:trHeight w:val="162" w:hRule="atLeast"/>
        </w:trPr>
        <w:tc>
          <w:tcPr>
            <w:tcW w:w="4727" w:type="dxa"/>
          </w:tcPr>
          <w:p>
            <w:pPr>
              <w:pStyle w:val="TableParagraph"/>
              <w:spacing w:line="142" w:lineRule="exact"/>
              <w:ind w:left="72"/>
              <w:rPr>
                <w:sz w:val="14"/>
              </w:rPr>
            </w:pPr>
            <w:r>
              <w:rPr>
                <w:sz w:val="14"/>
              </w:rPr>
              <w:t>Empréstimos e Financiamentos</w:t>
            </w:r>
          </w:p>
        </w:tc>
        <w:tc>
          <w:tcPr>
            <w:tcW w:w="1297" w:type="dxa"/>
          </w:tcPr>
          <w:p>
            <w:pPr>
              <w:pStyle w:val="TableParagraph"/>
              <w:spacing w:line="142" w:lineRule="exact"/>
              <w:ind w:right="58"/>
              <w:jc w:val="right"/>
              <w:rPr>
                <w:sz w:val="14"/>
              </w:rPr>
            </w:pPr>
            <w:r>
              <w:rPr>
                <w:w w:val="95"/>
                <w:sz w:val="14"/>
              </w:rPr>
              <w:t>288.365</w:t>
            </w:r>
          </w:p>
        </w:tc>
        <w:tc>
          <w:tcPr>
            <w:tcW w:w="1299" w:type="dxa"/>
          </w:tcPr>
          <w:p>
            <w:pPr>
              <w:pStyle w:val="TableParagraph"/>
              <w:spacing w:line="142" w:lineRule="exact"/>
              <w:ind w:right="61"/>
              <w:jc w:val="right"/>
              <w:rPr>
                <w:sz w:val="14"/>
              </w:rPr>
            </w:pPr>
            <w:r>
              <w:rPr>
                <w:w w:val="95"/>
                <w:sz w:val="14"/>
              </w:rPr>
              <w:t>121.445</w:t>
            </w:r>
          </w:p>
        </w:tc>
        <w:tc>
          <w:tcPr>
            <w:tcW w:w="1297" w:type="dxa"/>
          </w:tcPr>
          <w:p>
            <w:pPr>
              <w:pStyle w:val="TableParagraph"/>
              <w:spacing w:line="142" w:lineRule="exact"/>
              <w:ind w:right="61"/>
              <w:jc w:val="right"/>
              <w:rPr>
                <w:sz w:val="14"/>
              </w:rPr>
            </w:pPr>
            <w:r>
              <w:rPr>
                <w:w w:val="95"/>
                <w:sz w:val="14"/>
              </w:rPr>
              <w:t>72.331</w:t>
            </w:r>
          </w:p>
        </w:tc>
        <w:tc>
          <w:tcPr>
            <w:tcW w:w="1299" w:type="dxa"/>
          </w:tcPr>
          <w:p>
            <w:pPr>
              <w:pStyle w:val="TableParagraph"/>
              <w:spacing w:line="142" w:lineRule="exact"/>
              <w:ind w:right="62"/>
              <w:jc w:val="right"/>
              <w:rPr>
                <w:sz w:val="14"/>
              </w:rPr>
            </w:pPr>
            <w:r>
              <w:rPr>
                <w:w w:val="95"/>
                <w:sz w:val="14"/>
              </w:rPr>
              <w:t>94.589</w:t>
            </w:r>
          </w:p>
        </w:tc>
      </w:tr>
      <w:tr>
        <w:trPr>
          <w:trHeight w:val="165" w:hRule="atLeast"/>
        </w:trPr>
        <w:tc>
          <w:tcPr>
            <w:tcW w:w="4727" w:type="dxa"/>
          </w:tcPr>
          <w:p>
            <w:pPr>
              <w:pStyle w:val="TableParagraph"/>
              <w:spacing w:line="145" w:lineRule="exact"/>
              <w:ind w:left="72"/>
              <w:rPr>
                <w:sz w:val="14"/>
              </w:rPr>
            </w:pPr>
            <w:r>
              <w:rPr>
                <w:sz w:val="14"/>
              </w:rPr>
              <w:t>Debêntures</w:t>
            </w:r>
          </w:p>
        </w:tc>
        <w:tc>
          <w:tcPr>
            <w:tcW w:w="1297" w:type="dxa"/>
          </w:tcPr>
          <w:p>
            <w:pPr>
              <w:pStyle w:val="TableParagraph"/>
              <w:spacing w:line="145" w:lineRule="exact"/>
              <w:ind w:right="58"/>
              <w:jc w:val="right"/>
              <w:rPr>
                <w:sz w:val="14"/>
              </w:rPr>
            </w:pPr>
            <w:r>
              <w:rPr>
                <w:w w:val="95"/>
                <w:sz w:val="14"/>
              </w:rPr>
              <w:t>213.810</w:t>
            </w:r>
          </w:p>
        </w:tc>
        <w:tc>
          <w:tcPr>
            <w:tcW w:w="1299" w:type="dxa"/>
          </w:tcPr>
          <w:p>
            <w:pPr>
              <w:pStyle w:val="TableParagraph"/>
              <w:spacing w:line="145" w:lineRule="exact"/>
              <w:ind w:right="61"/>
              <w:jc w:val="right"/>
              <w:rPr>
                <w:sz w:val="14"/>
              </w:rPr>
            </w:pPr>
            <w:r>
              <w:rPr>
                <w:w w:val="95"/>
                <w:sz w:val="14"/>
              </w:rPr>
              <w:t>26.814</w:t>
            </w:r>
          </w:p>
        </w:tc>
        <w:tc>
          <w:tcPr>
            <w:tcW w:w="1297" w:type="dxa"/>
          </w:tcPr>
          <w:p>
            <w:pPr>
              <w:pStyle w:val="TableParagraph"/>
              <w:spacing w:line="145" w:lineRule="exact"/>
              <w:ind w:right="61"/>
              <w:jc w:val="right"/>
              <w:rPr>
                <w:sz w:val="14"/>
              </w:rPr>
            </w:pPr>
            <w:r>
              <w:rPr>
                <w:w w:val="95"/>
                <w:sz w:val="14"/>
              </w:rPr>
              <w:t>66.667</w:t>
            </w:r>
          </w:p>
        </w:tc>
        <w:tc>
          <w:tcPr>
            <w:tcW w:w="1299" w:type="dxa"/>
          </w:tcPr>
          <w:p>
            <w:pPr>
              <w:pStyle w:val="TableParagraph"/>
              <w:spacing w:line="145" w:lineRule="exact"/>
              <w:ind w:right="62"/>
              <w:jc w:val="right"/>
              <w:rPr>
                <w:sz w:val="14"/>
              </w:rPr>
            </w:pPr>
            <w:r>
              <w:rPr>
                <w:w w:val="95"/>
                <w:sz w:val="14"/>
              </w:rPr>
              <w:t>120.329</w:t>
            </w:r>
          </w:p>
        </w:tc>
      </w:tr>
      <w:tr>
        <w:trPr>
          <w:trHeight w:val="162" w:hRule="atLeast"/>
        </w:trPr>
        <w:tc>
          <w:tcPr>
            <w:tcW w:w="4727" w:type="dxa"/>
          </w:tcPr>
          <w:p>
            <w:pPr>
              <w:pStyle w:val="TableParagraph"/>
              <w:spacing w:line="143" w:lineRule="exact"/>
              <w:ind w:left="72"/>
              <w:rPr>
                <w:rFonts w:ascii="Caladea"/>
                <w:b/>
                <w:sz w:val="14"/>
              </w:rPr>
            </w:pPr>
            <w:r>
              <w:rPr>
                <w:rFonts w:ascii="Caladea"/>
                <w:b/>
                <w:sz w:val="14"/>
              </w:rPr>
              <w:t>Total</w:t>
            </w:r>
          </w:p>
        </w:tc>
        <w:tc>
          <w:tcPr>
            <w:tcW w:w="1297" w:type="dxa"/>
          </w:tcPr>
          <w:p>
            <w:pPr>
              <w:pStyle w:val="TableParagraph"/>
              <w:spacing w:line="143" w:lineRule="exact"/>
              <w:ind w:right="58"/>
              <w:jc w:val="right"/>
              <w:rPr>
                <w:rFonts w:ascii="Caladea"/>
                <w:b/>
                <w:sz w:val="14"/>
              </w:rPr>
            </w:pPr>
            <w:r>
              <w:rPr>
                <w:rFonts w:ascii="Caladea"/>
                <w:b/>
                <w:w w:val="95"/>
                <w:sz w:val="14"/>
              </w:rPr>
              <w:t>698.629</w:t>
            </w:r>
          </w:p>
        </w:tc>
        <w:tc>
          <w:tcPr>
            <w:tcW w:w="1299" w:type="dxa"/>
          </w:tcPr>
          <w:p>
            <w:pPr>
              <w:pStyle w:val="TableParagraph"/>
              <w:spacing w:line="143" w:lineRule="exact"/>
              <w:ind w:right="61"/>
              <w:jc w:val="right"/>
              <w:rPr>
                <w:rFonts w:ascii="Caladea"/>
                <w:b/>
                <w:sz w:val="14"/>
              </w:rPr>
            </w:pPr>
            <w:r>
              <w:rPr>
                <w:rFonts w:ascii="Caladea"/>
                <w:b/>
                <w:w w:val="95"/>
                <w:sz w:val="14"/>
              </w:rPr>
              <w:t>344.713</w:t>
            </w:r>
          </w:p>
        </w:tc>
        <w:tc>
          <w:tcPr>
            <w:tcW w:w="1297" w:type="dxa"/>
          </w:tcPr>
          <w:p>
            <w:pPr>
              <w:pStyle w:val="TableParagraph"/>
              <w:spacing w:line="143" w:lineRule="exact"/>
              <w:ind w:right="62"/>
              <w:jc w:val="right"/>
              <w:rPr>
                <w:rFonts w:ascii="Caladea"/>
                <w:b/>
                <w:sz w:val="14"/>
              </w:rPr>
            </w:pPr>
            <w:r>
              <w:rPr>
                <w:rFonts w:ascii="Caladea"/>
                <w:b/>
                <w:w w:val="95"/>
                <w:sz w:val="14"/>
              </w:rPr>
              <w:t>138.998</w:t>
            </w:r>
          </w:p>
        </w:tc>
        <w:tc>
          <w:tcPr>
            <w:tcW w:w="1299" w:type="dxa"/>
          </w:tcPr>
          <w:p>
            <w:pPr>
              <w:pStyle w:val="TableParagraph"/>
              <w:spacing w:line="143" w:lineRule="exact"/>
              <w:ind w:right="62"/>
              <w:jc w:val="right"/>
              <w:rPr>
                <w:rFonts w:ascii="Caladea"/>
                <w:b/>
                <w:sz w:val="14"/>
              </w:rPr>
            </w:pPr>
            <w:r>
              <w:rPr>
                <w:rFonts w:ascii="Caladea"/>
                <w:b/>
                <w:w w:val="95"/>
                <w:sz w:val="14"/>
              </w:rPr>
              <w:t>214.918</w:t>
            </w:r>
          </w:p>
        </w:tc>
      </w:tr>
    </w:tbl>
    <w:p>
      <w:pPr>
        <w:pStyle w:val="BodyText"/>
        <w:spacing w:before="9"/>
      </w:pPr>
    </w:p>
    <w:p>
      <w:pPr>
        <w:pStyle w:val="Heading5"/>
        <w:numPr>
          <w:ilvl w:val="2"/>
          <w:numId w:val="19"/>
        </w:numPr>
        <w:tabs>
          <w:tab w:pos="1025" w:val="left" w:leader="none"/>
          <w:tab w:pos="1026" w:val="left" w:leader="none"/>
        </w:tabs>
        <w:spacing w:line="240" w:lineRule="auto" w:before="1" w:after="0"/>
        <w:ind w:left="1025" w:right="0" w:hanging="854"/>
        <w:jc w:val="left"/>
      </w:pPr>
      <w:r>
        <w:rPr/>
        <w:t>Risco de taxa de</w:t>
      </w:r>
      <w:r>
        <w:rPr>
          <w:spacing w:val="-4"/>
        </w:rPr>
        <w:t> </w:t>
      </w:r>
      <w:r>
        <w:rPr/>
        <w:t>juros</w:t>
      </w:r>
    </w:p>
    <w:p>
      <w:pPr>
        <w:pStyle w:val="BodyText"/>
        <w:rPr>
          <w:rFonts w:ascii="Caladea"/>
          <w:b/>
          <w:sz w:val="24"/>
        </w:rPr>
      </w:pPr>
    </w:p>
    <w:p>
      <w:pPr>
        <w:pStyle w:val="BodyText"/>
        <w:spacing w:line="247" w:lineRule="auto" w:before="1"/>
        <w:ind w:left="172" w:right="412"/>
        <w:jc w:val="both"/>
      </w:pPr>
      <w:r>
        <w:rPr/>
        <w:t>O</w:t>
      </w:r>
      <w:r>
        <w:rPr>
          <w:spacing w:val="-36"/>
        </w:rPr>
        <w:t> </w:t>
      </w:r>
      <w:r>
        <w:rPr/>
        <w:t>Grupo</w:t>
      </w:r>
      <w:r>
        <w:rPr>
          <w:spacing w:val="-36"/>
        </w:rPr>
        <w:t> </w:t>
      </w:r>
      <w:r>
        <w:rPr/>
        <w:t>possui</w:t>
      </w:r>
      <w:r>
        <w:rPr>
          <w:spacing w:val="-36"/>
        </w:rPr>
        <w:t> </w:t>
      </w:r>
      <w:r>
        <w:rPr/>
        <w:t>ativos</w:t>
      </w:r>
      <w:r>
        <w:rPr>
          <w:spacing w:val="-34"/>
        </w:rPr>
        <w:t> </w:t>
      </w:r>
      <w:r>
        <w:rPr/>
        <w:t>e</w:t>
      </w:r>
      <w:r>
        <w:rPr>
          <w:spacing w:val="-35"/>
        </w:rPr>
        <w:t> </w:t>
      </w:r>
      <w:r>
        <w:rPr/>
        <w:t>passivos</w:t>
      </w:r>
      <w:r>
        <w:rPr>
          <w:spacing w:val="-35"/>
        </w:rPr>
        <w:t> </w:t>
      </w:r>
      <w:r>
        <w:rPr/>
        <w:t>remunerados</w:t>
      </w:r>
      <w:r>
        <w:rPr>
          <w:spacing w:val="-36"/>
        </w:rPr>
        <w:t> </w:t>
      </w:r>
      <w:r>
        <w:rPr/>
        <w:t>por</w:t>
      </w:r>
      <w:r>
        <w:rPr>
          <w:spacing w:val="-36"/>
        </w:rPr>
        <w:t> </w:t>
      </w:r>
      <w:r>
        <w:rPr/>
        <w:t>taxas</w:t>
      </w:r>
      <w:r>
        <w:rPr>
          <w:spacing w:val="-35"/>
        </w:rPr>
        <w:t> </w:t>
      </w:r>
      <w:r>
        <w:rPr/>
        <w:t>de</w:t>
      </w:r>
      <w:r>
        <w:rPr>
          <w:spacing w:val="-35"/>
        </w:rPr>
        <w:t> </w:t>
      </w:r>
      <w:r>
        <w:rPr/>
        <w:t>expectativas</w:t>
      </w:r>
      <w:r>
        <w:rPr>
          <w:spacing w:val="-36"/>
        </w:rPr>
        <w:t> </w:t>
      </w:r>
      <w:r>
        <w:rPr/>
        <w:t>inflacionárias</w:t>
      </w:r>
      <w:r>
        <w:rPr>
          <w:spacing w:val="-35"/>
        </w:rPr>
        <w:t> </w:t>
      </w:r>
      <w:r>
        <w:rPr/>
        <w:t>e/ou</w:t>
      </w:r>
      <w:r>
        <w:rPr>
          <w:spacing w:val="-35"/>
        </w:rPr>
        <w:t> </w:t>
      </w:r>
      <w:r>
        <w:rPr/>
        <w:t>encargos</w:t>
      </w:r>
      <w:r>
        <w:rPr>
          <w:spacing w:val="-36"/>
        </w:rPr>
        <w:t> </w:t>
      </w:r>
      <w:r>
        <w:rPr/>
        <w:t>de</w:t>
      </w:r>
      <w:r>
        <w:rPr>
          <w:spacing w:val="-36"/>
        </w:rPr>
        <w:t> </w:t>
      </w:r>
      <w:r>
        <w:rPr/>
        <w:t>juros.</w:t>
      </w:r>
      <w:r>
        <w:rPr>
          <w:spacing w:val="-36"/>
        </w:rPr>
        <w:t> </w:t>
      </w:r>
      <w:r>
        <w:rPr/>
        <w:t>Esses ativos e passivos incluem, relevantemente, os créditos a receber na data-base do balanço, debêntures e os empréstimos</w:t>
      </w:r>
      <w:r>
        <w:rPr>
          <w:spacing w:val="-32"/>
        </w:rPr>
        <w:t> </w:t>
      </w:r>
      <w:r>
        <w:rPr/>
        <w:t>passivos.</w:t>
      </w:r>
      <w:r>
        <w:rPr>
          <w:spacing w:val="-33"/>
        </w:rPr>
        <w:t> </w:t>
      </w:r>
      <w:r>
        <w:rPr/>
        <w:t>Vide</w:t>
      </w:r>
      <w:r>
        <w:rPr>
          <w:spacing w:val="-31"/>
        </w:rPr>
        <w:t> </w:t>
      </w:r>
      <w:r>
        <w:rPr/>
        <w:t>detalhamento</w:t>
      </w:r>
      <w:r>
        <w:rPr>
          <w:spacing w:val="-32"/>
        </w:rPr>
        <w:t> </w:t>
      </w:r>
      <w:r>
        <w:rPr/>
        <w:t>desses</w:t>
      </w:r>
      <w:r>
        <w:rPr>
          <w:spacing w:val="-32"/>
        </w:rPr>
        <w:t> </w:t>
      </w:r>
      <w:r>
        <w:rPr/>
        <w:t>encargos</w:t>
      </w:r>
      <w:r>
        <w:rPr>
          <w:spacing w:val="-33"/>
        </w:rPr>
        <w:t> </w:t>
      </w:r>
      <w:r>
        <w:rPr/>
        <w:t>nas</w:t>
      </w:r>
      <w:r>
        <w:rPr>
          <w:spacing w:val="-32"/>
        </w:rPr>
        <w:t> </w:t>
      </w:r>
      <w:r>
        <w:rPr/>
        <w:t>Notas</w:t>
      </w:r>
      <w:r>
        <w:rPr>
          <w:spacing w:val="-32"/>
        </w:rPr>
        <w:t> </w:t>
      </w:r>
      <w:r>
        <w:rPr/>
        <w:t>Explicativas</w:t>
      </w:r>
      <w:r>
        <w:rPr>
          <w:spacing w:val="-33"/>
        </w:rPr>
        <w:t> </w:t>
      </w:r>
      <w:r>
        <w:rPr/>
        <w:t>nos</w:t>
      </w:r>
      <w:r>
        <w:rPr>
          <w:spacing w:val="-32"/>
        </w:rPr>
        <w:t> </w:t>
      </w:r>
      <w:r>
        <w:rPr/>
        <w:t>21</w:t>
      </w:r>
      <w:r>
        <w:rPr>
          <w:spacing w:val="-32"/>
        </w:rPr>
        <w:t> </w:t>
      </w:r>
      <w:r>
        <w:rPr/>
        <w:t>e</w:t>
      </w:r>
      <w:r>
        <w:rPr>
          <w:spacing w:val="-32"/>
        </w:rPr>
        <w:t> </w:t>
      </w:r>
      <w:r>
        <w:rPr/>
        <w:t>22,</w:t>
      </w:r>
      <w:r>
        <w:rPr>
          <w:spacing w:val="-32"/>
        </w:rPr>
        <w:t> </w:t>
      </w:r>
      <w:r>
        <w:rPr/>
        <w:t>respectivamente.</w:t>
      </w:r>
    </w:p>
    <w:p>
      <w:pPr>
        <w:pStyle w:val="BodyText"/>
        <w:spacing w:line="247" w:lineRule="auto" w:before="120"/>
        <w:ind w:left="172" w:right="410"/>
        <w:jc w:val="both"/>
      </w:pPr>
      <w:r>
        <w:rPr/>
        <w:t>A</w:t>
      </w:r>
      <w:r>
        <w:rPr>
          <w:spacing w:val="-32"/>
        </w:rPr>
        <w:t> </w:t>
      </w:r>
      <w:r>
        <w:rPr/>
        <w:t>CEB</w:t>
      </w:r>
      <w:r>
        <w:rPr>
          <w:spacing w:val="-31"/>
        </w:rPr>
        <w:t> </w:t>
      </w:r>
      <w:r>
        <w:rPr/>
        <w:t>Distribuição</w:t>
      </w:r>
      <w:r>
        <w:rPr>
          <w:spacing w:val="-29"/>
        </w:rPr>
        <w:t> </w:t>
      </w:r>
      <w:r>
        <w:rPr/>
        <w:t>S.A</w:t>
      </w:r>
      <w:r>
        <w:rPr>
          <w:spacing w:val="-30"/>
        </w:rPr>
        <w:t> </w:t>
      </w:r>
      <w:r>
        <w:rPr/>
        <w:t>possui</w:t>
      </w:r>
      <w:r>
        <w:rPr>
          <w:spacing w:val="-31"/>
        </w:rPr>
        <w:t> </w:t>
      </w:r>
      <w:r>
        <w:rPr/>
        <w:t>Ativos</w:t>
      </w:r>
      <w:r>
        <w:rPr>
          <w:spacing w:val="-30"/>
        </w:rPr>
        <w:t> </w:t>
      </w:r>
      <w:r>
        <w:rPr/>
        <w:t>e</w:t>
      </w:r>
      <w:r>
        <w:rPr>
          <w:spacing w:val="-30"/>
        </w:rPr>
        <w:t> </w:t>
      </w:r>
      <w:r>
        <w:rPr/>
        <w:t>Passivos</w:t>
      </w:r>
      <w:r>
        <w:rPr>
          <w:spacing w:val="-31"/>
        </w:rPr>
        <w:t> </w:t>
      </w:r>
      <w:r>
        <w:rPr/>
        <w:t>remunerados</w:t>
      </w:r>
      <w:r>
        <w:rPr>
          <w:spacing w:val="-32"/>
        </w:rPr>
        <w:t> </w:t>
      </w:r>
      <w:r>
        <w:rPr/>
        <w:t>por</w:t>
      </w:r>
      <w:r>
        <w:rPr>
          <w:spacing w:val="-30"/>
        </w:rPr>
        <w:t> </w:t>
      </w:r>
      <w:r>
        <w:rPr/>
        <w:t>taxas</w:t>
      </w:r>
      <w:r>
        <w:rPr>
          <w:spacing w:val="-31"/>
        </w:rPr>
        <w:t> </w:t>
      </w:r>
      <w:r>
        <w:rPr/>
        <w:t>de</w:t>
      </w:r>
      <w:r>
        <w:rPr>
          <w:spacing w:val="-24"/>
        </w:rPr>
        <w:t> </w:t>
      </w:r>
      <w:r>
        <w:rPr/>
        <w:t>expectativas</w:t>
      </w:r>
      <w:r>
        <w:rPr>
          <w:spacing w:val="-31"/>
        </w:rPr>
        <w:t> </w:t>
      </w:r>
      <w:r>
        <w:rPr/>
        <w:t>inflacionárias</w:t>
      </w:r>
      <w:r>
        <w:rPr>
          <w:spacing w:val="-29"/>
        </w:rPr>
        <w:t> </w:t>
      </w:r>
      <w:r>
        <w:rPr/>
        <w:t>e/ou</w:t>
      </w:r>
      <w:r>
        <w:rPr>
          <w:spacing w:val="-30"/>
        </w:rPr>
        <w:t> </w:t>
      </w:r>
      <w:r>
        <w:rPr/>
        <w:t>encargos de</w:t>
      </w:r>
      <w:r>
        <w:rPr>
          <w:spacing w:val="-23"/>
        </w:rPr>
        <w:t> </w:t>
      </w:r>
      <w:r>
        <w:rPr/>
        <w:t>juros,</w:t>
      </w:r>
      <w:r>
        <w:rPr>
          <w:spacing w:val="-19"/>
        </w:rPr>
        <w:t> </w:t>
      </w:r>
      <w:r>
        <w:rPr/>
        <w:t>em</w:t>
      </w:r>
      <w:r>
        <w:rPr>
          <w:spacing w:val="-19"/>
        </w:rPr>
        <w:t> </w:t>
      </w:r>
      <w:r>
        <w:rPr/>
        <w:t>especial</w:t>
      </w:r>
      <w:r>
        <w:rPr>
          <w:spacing w:val="-21"/>
        </w:rPr>
        <w:t> </w:t>
      </w:r>
      <w:r>
        <w:rPr/>
        <w:t>das</w:t>
      </w:r>
      <w:r>
        <w:rPr>
          <w:spacing w:val="-21"/>
        </w:rPr>
        <w:t> </w:t>
      </w:r>
      <w:r>
        <w:rPr/>
        <w:t>variações</w:t>
      </w:r>
      <w:r>
        <w:rPr>
          <w:spacing w:val="-20"/>
        </w:rPr>
        <w:t> </w:t>
      </w:r>
      <w:r>
        <w:rPr/>
        <w:t>atreladas</w:t>
      </w:r>
      <w:r>
        <w:rPr>
          <w:spacing w:val="-21"/>
        </w:rPr>
        <w:t> </w:t>
      </w:r>
      <w:r>
        <w:rPr/>
        <w:t>aos</w:t>
      </w:r>
      <w:r>
        <w:rPr>
          <w:spacing w:val="-21"/>
        </w:rPr>
        <w:t> </w:t>
      </w:r>
      <w:r>
        <w:rPr/>
        <w:t>indexadores</w:t>
      </w:r>
      <w:r>
        <w:rPr>
          <w:spacing w:val="-17"/>
        </w:rPr>
        <w:t> </w:t>
      </w:r>
      <w:r>
        <w:rPr/>
        <w:t>IGPM,</w:t>
      </w:r>
      <w:r>
        <w:rPr>
          <w:spacing w:val="-21"/>
        </w:rPr>
        <w:t> </w:t>
      </w:r>
      <w:r>
        <w:rPr/>
        <w:t>CDI</w:t>
      </w:r>
      <w:r>
        <w:rPr>
          <w:spacing w:val="-19"/>
        </w:rPr>
        <w:t> </w:t>
      </w:r>
      <w:r>
        <w:rPr/>
        <w:t>e</w:t>
      </w:r>
      <w:r>
        <w:rPr>
          <w:spacing w:val="-20"/>
        </w:rPr>
        <w:t> </w:t>
      </w:r>
      <w:r>
        <w:rPr/>
        <w:t>TJLP.</w:t>
      </w:r>
    </w:p>
    <w:p>
      <w:pPr>
        <w:pStyle w:val="BodyText"/>
        <w:spacing w:line="247" w:lineRule="auto" w:before="121"/>
        <w:ind w:left="172" w:right="413"/>
        <w:jc w:val="both"/>
      </w:pPr>
      <w:r>
        <w:rPr/>
        <w:t>Tais</w:t>
      </w:r>
      <w:r>
        <w:rPr>
          <w:spacing w:val="-34"/>
        </w:rPr>
        <w:t> </w:t>
      </w:r>
      <w:r>
        <w:rPr/>
        <w:t>Ativos</w:t>
      </w:r>
      <w:r>
        <w:rPr>
          <w:spacing w:val="-32"/>
        </w:rPr>
        <w:t> </w:t>
      </w:r>
      <w:r>
        <w:rPr/>
        <w:t>e</w:t>
      </w:r>
      <w:r>
        <w:rPr>
          <w:spacing w:val="-33"/>
        </w:rPr>
        <w:t> </w:t>
      </w:r>
      <w:r>
        <w:rPr/>
        <w:t>Passivos</w:t>
      </w:r>
      <w:r>
        <w:rPr>
          <w:spacing w:val="-35"/>
        </w:rPr>
        <w:t> </w:t>
      </w:r>
      <w:r>
        <w:rPr/>
        <w:t>incluem,</w:t>
      </w:r>
      <w:r>
        <w:rPr>
          <w:spacing w:val="-33"/>
        </w:rPr>
        <w:t> </w:t>
      </w:r>
      <w:r>
        <w:rPr/>
        <w:t>principalmente,</w:t>
      </w:r>
      <w:r>
        <w:rPr>
          <w:spacing w:val="-29"/>
        </w:rPr>
        <w:t> </w:t>
      </w:r>
      <w:r>
        <w:rPr/>
        <w:t>os</w:t>
      </w:r>
      <w:r>
        <w:rPr>
          <w:spacing w:val="-33"/>
        </w:rPr>
        <w:t> </w:t>
      </w:r>
      <w:r>
        <w:rPr/>
        <w:t>créditos</w:t>
      </w:r>
      <w:r>
        <w:rPr>
          <w:spacing w:val="-34"/>
        </w:rPr>
        <w:t> </w:t>
      </w:r>
      <w:r>
        <w:rPr/>
        <w:t>a</w:t>
      </w:r>
      <w:r>
        <w:rPr>
          <w:spacing w:val="-33"/>
        </w:rPr>
        <w:t> </w:t>
      </w:r>
      <w:r>
        <w:rPr/>
        <w:t>receber</w:t>
      </w:r>
      <w:r>
        <w:rPr>
          <w:spacing w:val="-31"/>
        </w:rPr>
        <w:t> </w:t>
      </w:r>
      <w:r>
        <w:rPr/>
        <w:t>com</w:t>
      </w:r>
      <w:r>
        <w:rPr>
          <w:spacing w:val="-34"/>
        </w:rPr>
        <w:t> </w:t>
      </w:r>
      <w:r>
        <w:rPr/>
        <w:t>clientes,</w:t>
      </w:r>
      <w:r>
        <w:rPr>
          <w:spacing w:val="-33"/>
        </w:rPr>
        <w:t> </w:t>
      </w:r>
      <w:r>
        <w:rPr/>
        <w:t>as</w:t>
      </w:r>
      <w:r>
        <w:rPr>
          <w:spacing w:val="-33"/>
        </w:rPr>
        <w:t> </w:t>
      </w:r>
      <w:r>
        <w:rPr/>
        <w:t>obrigações</w:t>
      </w:r>
      <w:r>
        <w:rPr>
          <w:spacing w:val="-34"/>
        </w:rPr>
        <w:t> </w:t>
      </w:r>
      <w:r>
        <w:rPr/>
        <w:t>com</w:t>
      </w:r>
      <w:r>
        <w:rPr>
          <w:spacing w:val="-33"/>
        </w:rPr>
        <w:t> </w:t>
      </w:r>
      <w:r>
        <w:rPr/>
        <w:t>fornecedores ou</w:t>
      </w:r>
      <w:r>
        <w:rPr>
          <w:spacing w:val="-36"/>
        </w:rPr>
        <w:t> </w:t>
      </w:r>
      <w:r>
        <w:rPr/>
        <w:t>dívidas</w:t>
      </w:r>
      <w:r>
        <w:rPr>
          <w:spacing w:val="-34"/>
        </w:rPr>
        <w:t> </w:t>
      </w:r>
      <w:r>
        <w:rPr/>
        <w:t>em</w:t>
      </w:r>
      <w:r>
        <w:rPr>
          <w:spacing w:val="-35"/>
        </w:rPr>
        <w:t> </w:t>
      </w:r>
      <w:r>
        <w:rPr/>
        <w:t>atraso,</w:t>
      </w:r>
      <w:r>
        <w:rPr>
          <w:spacing w:val="-36"/>
        </w:rPr>
        <w:t> </w:t>
      </w:r>
      <w:r>
        <w:rPr/>
        <w:t>renegociadas</w:t>
      </w:r>
      <w:r>
        <w:rPr>
          <w:spacing w:val="-35"/>
        </w:rPr>
        <w:t> </w:t>
      </w:r>
      <w:r>
        <w:rPr/>
        <w:t>até</w:t>
      </w:r>
      <w:r>
        <w:rPr>
          <w:spacing w:val="-36"/>
        </w:rPr>
        <w:t> </w:t>
      </w:r>
      <w:r>
        <w:rPr/>
        <w:t>a</w:t>
      </w:r>
      <w:r>
        <w:rPr>
          <w:spacing w:val="-35"/>
        </w:rPr>
        <w:t> </w:t>
      </w:r>
      <w:r>
        <w:rPr/>
        <w:t>data-base</w:t>
      </w:r>
      <w:r>
        <w:rPr>
          <w:spacing w:val="-36"/>
        </w:rPr>
        <w:t> </w:t>
      </w:r>
      <w:r>
        <w:rPr/>
        <w:t>do</w:t>
      </w:r>
      <w:r>
        <w:rPr>
          <w:spacing w:val="-34"/>
        </w:rPr>
        <w:t> </w:t>
      </w:r>
      <w:r>
        <w:rPr/>
        <w:t>balanço,</w:t>
      </w:r>
      <w:r>
        <w:rPr>
          <w:spacing w:val="-36"/>
        </w:rPr>
        <w:t> </w:t>
      </w:r>
      <w:r>
        <w:rPr/>
        <w:t>e</w:t>
      </w:r>
      <w:r>
        <w:rPr>
          <w:spacing w:val="-35"/>
        </w:rPr>
        <w:t> </w:t>
      </w:r>
      <w:r>
        <w:rPr/>
        <w:t>as</w:t>
      </w:r>
      <w:r>
        <w:rPr>
          <w:spacing w:val="-35"/>
        </w:rPr>
        <w:t> </w:t>
      </w:r>
      <w:r>
        <w:rPr/>
        <w:t>obrigações</w:t>
      </w:r>
      <w:r>
        <w:rPr>
          <w:spacing w:val="-35"/>
        </w:rPr>
        <w:t> </w:t>
      </w:r>
      <w:r>
        <w:rPr/>
        <w:t>com</w:t>
      </w:r>
      <w:r>
        <w:rPr>
          <w:spacing w:val="-35"/>
        </w:rPr>
        <w:t> </w:t>
      </w:r>
      <w:r>
        <w:rPr/>
        <w:t>empréstimos,</w:t>
      </w:r>
      <w:r>
        <w:rPr>
          <w:spacing w:val="-34"/>
        </w:rPr>
        <w:t> </w:t>
      </w:r>
      <w:r>
        <w:rPr/>
        <w:t>financiamentos</w:t>
      </w:r>
      <w:r>
        <w:rPr>
          <w:spacing w:val="-35"/>
        </w:rPr>
        <w:t> </w:t>
      </w:r>
      <w:r>
        <w:rPr/>
        <w:t>e debêntures.</w:t>
      </w:r>
    </w:p>
    <w:p>
      <w:pPr>
        <w:pStyle w:val="BodyText"/>
        <w:spacing w:line="247" w:lineRule="auto" w:before="120"/>
        <w:ind w:left="172" w:right="424"/>
        <w:jc w:val="both"/>
      </w:pPr>
      <w:r>
        <w:rPr/>
        <w:t>Consequentemente,</w:t>
      </w:r>
      <w:r>
        <w:rPr>
          <w:spacing w:val="-18"/>
        </w:rPr>
        <w:t> </w:t>
      </w:r>
      <w:r>
        <w:rPr/>
        <w:t>as</w:t>
      </w:r>
      <w:r>
        <w:rPr>
          <w:spacing w:val="-20"/>
        </w:rPr>
        <w:t> </w:t>
      </w:r>
      <w:r>
        <w:rPr/>
        <w:t>variações</w:t>
      </w:r>
      <w:r>
        <w:rPr>
          <w:spacing w:val="-19"/>
        </w:rPr>
        <w:t> </w:t>
      </w:r>
      <w:r>
        <w:rPr/>
        <w:t>positivas</w:t>
      </w:r>
      <w:r>
        <w:rPr>
          <w:spacing w:val="-19"/>
        </w:rPr>
        <w:t> </w:t>
      </w:r>
      <w:r>
        <w:rPr/>
        <w:t>e</w:t>
      </w:r>
      <w:r>
        <w:rPr>
          <w:spacing w:val="-19"/>
        </w:rPr>
        <w:t> </w:t>
      </w:r>
      <w:r>
        <w:rPr/>
        <w:t>negativas</w:t>
      </w:r>
      <w:r>
        <w:rPr>
          <w:spacing w:val="-19"/>
        </w:rPr>
        <w:t> </w:t>
      </w:r>
      <w:r>
        <w:rPr/>
        <w:t>dos</w:t>
      </w:r>
      <w:r>
        <w:rPr>
          <w:spacing w:val="-19"/>
        </w:rPr>
        <w:t> </w:t>
      </w:r>
      <w:r>
        <w:rPr/>
        <w:t>indexadores</w:t>
      </w:r>
      <w:r>
        <w:rPr>
          <w:spacing w:val="-18"/>
        </w:rPr>
        <w:t> </w:t>
      </w:r>
      <w:r>
        <w:rPr/>
        <w:t>e</w:t>
      </w:r>
      <w:r>
        <w:rPr>
          <w:spacing w:val="-18"/>
        </w:rPr>
        <w:t> </w:t>
      </w:r>
      <w:r>
        <w:rPr/>
        <w:t>juros</w:t>
      </w:r>
      <w:r>
        <w:rPr>
          <w:spacing w:val="-19"/>
        </w:rPr>
        <w:t> </w:t>
      </w:r>
      <w:r>
        <w:rPr/>
        <w:t>atreladas</w:t>
      </w:r>
      <w:r>
        <w:rPr>
          <w:spacing w:val="-20"/>
        </w:rPr>
        <w:t> </w:t>
      </w:r>
      <w:r>
        <w:rPr/>
        <w:t>a</w:t>
      </w:r>
      <w:r>
        <w:rPr>
          <w:spacing w:val="-18"/>
        </w:rPr>
        <w:t> </w:t>
      </w:r>
      <w:r>
        <w:rPr/>
        <w:t>esses</w:t>
      </w:r>
      <w:r>
        <w:rPr>
          <w:spacing w:val="-19"/>
        </w:rPr>
        <w:t> </w:t>
      </w:r>
      <w:r>
        <w:rPr/>
        <w:t>ativos</w:t>
      </w:r>
      <w:r>
        <w:rPr>
          <w:spacing w:val="-18"/>
        </w:rPr>
        <w:t> </w:t>
      </w:r>
      <w:r>
        <w:rPr/>
        <w:t>e</w:t>
      </w:r>
      <w:r>
        <w:rPr>
          <w:spacing w:val="-18"/>
        </w:rPr>
        <w:t> </w:t>
      </w:r>
      <w:r>
        <w:rPr/>
        <w:t>passivos afetam</w:t>
      </w:r>
      <w:r>
        <w:rPr>
          <w:spacing w:val="-20"/>
        </w:rPr>
        <w:t> </w:t>
      </w:r>
      <w:r>
        <w:rPr/>
        <w:t>diretamente</w:t>
      </w:r>
      <w:r>
        <w:rPr>
          <w:spacing w:val="-17"/>
        </w:rPr>
        <w:t> </w:t>
      </w:r>
      <w:r>
        <w:rPr/>
        <w:t>o</w:t>
      </w:r>
      <w:r>
        <w:rPr>
          <w:spacing w:val="-19"/>
        </w:rPr>
        <w:t> </w:t>
      </w:r>
      <w:r>
        <w:rPr/>
        <w:t>resultado</w:t>
      </w:r>
      <w:r>
        <w:rPr>
          <w:spacing w:val="-20"/>
        </w:rPr>
        <w:t> </w:t>
      </w:r>
      <w:r>
        <w:rPr/>
        <w:t>do</w:t>
      </w:r>
      <w:r>
        <w:rPr>
          <w:spacing w:val="-19"/>
        </w:rPr>
        <w:t> </w:t>
      </w:r>
      <w:r>
        <w:rPr/>
        <w:t>Grupo.</w:t>
      </w:r>
    </w:p>
    <w:p>
      <w:pPr>
        <w:pStyle w:val="Heading5"/>
        <w:numPr>
          <w:ilvl w:val="3"/>
          <w:numId w:val="19"/>
        </w:numPr>
        <w:tabs>
          <w:tab w:pos="1305" w:val="left" w:leader="none"/>
          <w:tab w:pos="1306" w:val="left" w:leader="none"/>
        </w:tabs>
        <w:spacing w:line="240" w:lineRule="auto" w:before="117" w:after="0"/>
        <w:ind w:left="1306" w:right="0" w:hanging="1134"/>
        <w:jc w:val="left"/>
      </w:pPr>
      <w:r>
        <w:rPr/>
        <w:t>Análise de</w:t>
      </w:r>
      <w:r>
        <w:rPr>
          <w:spacing w:val="-2"/>
        </w:rPr>
        <w:t> </w:t>
      </w:r>
      <w:r>
        <w:rPr/>
        <w:t>sensibilidade</w:t>
      </w:r>
    </w:p>
    <w:p>
      <w:pPr>
        <w:pStyle w:val="BodyText"/>
        <w:spacing w:before="7"/>
        <w:rPr>
          <w:rFonts w:ascii="Caladea"/>
          <w:b/>
        </w:rPr>
      </w:pPr>
    </w:p>
    <w:p>
      <w:pPr>
        <w:pStyle w:val="BodyText"/>
        <w:spacing w:line="242" w:lineRule="auto" w:before="1"/>
        <w:ind w:left="172" w:right="411"/>
        <w:jc w:val="both"/>
      </w:pPr>
      <w:r>
        <w:rPr/>
        <w:t>A</w:t>
      </w:r>
      <w:r>
        <w:rPr>
          <w:spacing w:val="-29"/>
        </w:rPr>
        <w:t> </w:t>
      </w:r>
      <w:r>
        <w:rPr/>
        <w:t>Companhia</w:t>
      </w:r>
      <w:r>
        <w:rPr>
          <w:spacing w:val="-26"/>
        </w:rPr>
        <w:t> </w:t>
      </w:r>
      <w:r>
        <w:rPr/>
        <w:t>desenvolveu</w:t>
      </w:r>
      <w:r>
        <w:rPr>
          <w:spacing w:val="-28"/>
        </w:rPr>
        <w:t> </w:t>
      </w:r>
      <w:r>
        <w:rPr/>
        <w:t>análise</w:t>
      </w:r>
      <w:r>
        <w:rPr>
          <w:spacing w:val="-29"/>
        </w:rPr>
        <w:t> </w:t>
      </w:r>
      <w:r>
        <w:rPr/>
        <w:t>de</w:t>
      </w:r>
      <w:r>
        <w:rPr>
          <w:spacing w:val="-30"/>
        </w:rPr>
        <w:t> </w:t>
      </w:r>
      <w:r>
        <w:rPr/>
        <w:t>sensibilidade</w:t>
      </w:r>
      <w:r>
        <w:rPr>
          <w:spacing w:val="-27"/>
        </w:rPr>
        <w:t> </w:t>
      </w:r>
      <w:r>
        <w:rPr/>
        <w:t>para</w:t>
      </w:r>
      <w:r>
        <w:rPr>
          <w:spacing w:val="-27"/>
        </w:rPr>
        <w:t> </w:t>
      </w:r>
      <w:r>
        <w:rPr/>
        <w:t>os</w:t>
      </w:r>
      <w:r>
        <w:rPr>
          <w:spacing w:val="-28"/>
        </w:rPr>
        <w:t> </w:t>
      </w:r>
      <w:r>
        <w:rPr/>
        <w:t>instrumentos</w:t>
      </w:r>
      <w:r>
        <w:rPr>
          <w:spacing w:val="-27"/>
        </w:rPr>
        <w:t> </w:t>
      </w:r>
      <w:r>
        <w:rPr/>
        <w:t>financeiros</w:t>
      </w:r>
      <w:r>
        <w:rPr>
          <w:spacing w:val="-26"/>
        </w:rPr>
        <w:t> </w:t>
      </w:r>
      <w:r>
        <w:rPr/>
        <w:t>do</w:t>
      </w:r>
      <w:r>
        <w:rPr>
          <w:spacing w:val="-29"/>
        </w:rPr>
        <w:t> </w:t>
      </w:r>
      <w:r>
        <w:rPr/>
        <w:t>Grupo</w:t>
      </w:r>
      <w:r>
        <w:rPr>
          <w:spacing w:val="-27"/>
        </w:rPr>
        <w:t> </w:t>
      </w:r>
      <w:r>
        <w:rPr/>
        <w:t>que</w:t>
      </w:r>
      <w:r>
        <w:rPr>
          <w:spacing w:val="-28"/>
        </w:rPr>
        <w:t> </w:t>
      </w:r>
      <w:r>
        <w:rPr/>
        <w:t>estão</w:t>
      </w:r>
      <w:r>
        <w:rPr>
          <w:spacing w:val="-29"/>
        </w:rPr>
        <w:t> </w:t>
      </w:r>
      <w:r>
        <w:rPr/>
        <w:t>sujeitos</w:t>
      </w:r>
      <w:r>
        <w:rPr>
          <w:spacing w:val="-26"/>
        </w:rPr>
        <w:t> </w:t>
      </w:r>
      <w:r>
        <w:rPr/>
        <w:t>às oscilações</w:t>
      </w:r>
      <w:r>
        <w:rPr>
          <w:spacing w:val="-21"/>
        </w:rPr>
        <w:t> </w:t>
      </w:r>
      <w:r>
        <w:rPr/>
        <w:t>nas</w:t>
      </w:r>
      <w:r>
        <w:rPr>
          <w:spacing w:val="-20"/>
        </w:rPr>
        <w:t> </w:t>
      </w:r>
      <w:r>
        <w:rPr/>
        <w:t>taxas</w:t>
      </w:r>
      <w:r>
        <w:rPr>
          <w:spacing w:val="-21"/>
        </w:rPr>
        <w:t> </w:t>
      </w:r>
      <w:r>
        <w:rPr/>
        <w:t>CDI,</w:t>
      </w:r>
      <w:r>
        <w:rPr>
          <w:spacing w:val="-18"/>
        </w:rPr>
        <w:t> </w:t>
      </w:r>
      <w:r>
        <w:rPr/>
        <w:t>TJLP,</w:t>
      </w:r>
      <w:r>
        <w:rPr>
          <w:spacing w:val="-22"/>
        </w:rPr>
        <w:t> </w:t>
      </w:r>
      <w:r>
        <w:rPr/>
        <w:t>IGPM</w:t>
      </w:r>
      <w:r>
        <w:rPr>
          <w:spacing w:val="-19"/>
        </w:rPr>
        <w:t> </w:t>
      </w:r>
      <w:r>
        <w:rPr/>
        <w:t>e</w:t>
      </w:r>
      <w:r>
        <w:rPr>
          <w:spacing w:val="-21"/>
        </w:rPr>
        <w:t> </w:t>
      </w:r>
      <w:r>
        <w:rPr/>
        <w:t>UMBNDES.</w:t>
      </w:r>
      <w:r>
        <w:rPr>
          <w:spacing w:val="-21"/>
        </w:rPr>
        <w:t> </w:t>
      </w:r>
      <w:r>
        <w:rPr/>
        <w:t>Estimou-se</w:t>
      </w:r>
      <w:r>
        <w:rPr>
          <w:spacing w:val="-21"/>
        </w:rPr>
        <w:t> </w:t>
      </w:r>
      <w:r>
        <w:rPr/>
        <w:t>que,</w:t>
      </w:r>
      <w:r>
        <w:rPr>
          <w:spacing w:val="-19"/>
        </w:rPr>
        <w:t> </w:t>
      </w:r>
      <w:r>
        <w:rPr/>
        <w:t>em</w:t>
      </w:r>
      <w:r>
        <w:rPr>
          <w:spacing w:val="-21"/>
        </w:rPr>
        <w:t> </w:t>
      </w:r>
      <w:r>
        <w:rPr/>
        <w:t>um</w:t>
      </w:r>
      <w:r>
        <w:rPr>
          <w:spacing w:val="-21"/>
        </w:rPr>
        <w:t> </w:t>
      </w:r>
      <w:r>
        <w:rPr/>
        <w:t>cenário</w:t>
      </w:r>
      <w:r>
        <w:rPr>
          <w:spacing w:val="-19"/>
        </w:rPr>
        <w:t> </w:t>
      </w:r>
      <w:r>
        <w:rPr/>
        <w:t>provável</w:t>
      </w:r>
      <w:r>
        <w:rPr>
          <w:spacing w:val="-18"/>
        </w:rPr>
        <w:t> </w:t>
      </w:r>
      <w:r>
        <w:rPr/>
        <w:t>em</w:t>
      </w:r>
      <w:r>
        <w:rPr>
          <w:spacing w:val="-20"/>
        </w:rPr>
        <w:t> </w:t>
      </w:r>
      <w:r>
        <w:rPr/>
        <w:t>31</w:t>
      </w:r>
      <w:r>
        <w:rPr>
          <w:spacing w:val="-19"/>
        </w:rPr>
        <w:t> </w:t>
      </w:r>
      <w:r>
        <w:rPr/>
        <w:t>de</w:t>
      </w:r>
      <w:r>
        <w:rPr>
          <w:spacing w:val="-22"/>
        </w:rPr>
        <w:t> </w:t>
      </w:r>
      <w:r>
        <w:rPr/>
        <w:t>dezembro</w:t>
      </w:r>
      <w:r>
        <w:rPr>
          <w:spacing w:val="-21"/>
        </w:rPr>
        <w:t> </w:t>
      </w:r>
      <w:r>
        <w:rPr/>
        <w:t>de 2019,</w:t>
      </w:r>
      <w:r>
        <w:rPr>
          <w:spacing w:val="-36"/>
        </w:rPr>
        <w:t> </w:t>
      </w:r>
      <w:r>
        <w:rPr/>
        <w:t>as</w:t>
      </w:r>
      <w:r>
        <w:rPr>
          <w:spacing w:val="-36"/>
        </w:rPr>
        <w:t> </w:t>
      </w:r>
      <w:r>
        <w:rPr/>
        <w:t>taxas</w:t>
      </w:r>
      <w:r>
        <w:rPr>
          <w:spacing w:val="-35"/>
        </w:rPr>
        <w:t> </w:t>
      </w:r>
      <w:r>
        <w:rPr/>
        <w:t>CDI</w:t>
      </w:r>
      <w:r>
        <w:rPr>
          <w:spacing w:val="-35"/>
        </w:rPr>
        <w:t> </w:t>
      </w:r>
      <w:r>
        <w:rPr/>
        <w:t>e</w:t>
      </w:r>
      <w:r>
        <w:rPr>
          <w:spacing w:val="-35"/>
        </w:rPr>
        <w:t> </w:t>
      </w:r>
      <w:r>
        <w:rPr/>
        <w:t>IGP-M</w:t>
      </w:r>
      <w:r>
        <w:rPr>
          <w:spacing w:val="-35"/>
        </w:rPr>
        <w:t> </w:t>
      </w:r>
      <w:r>
        <w:rPr/>
        <w:t>atinjam</w:t>
      </w:r>
      <w:r>
        <w:rPr>
          <w:spacing w:val="-37"/>
        </w:rPr>
        <w:t> </w:t>
      </w:r>
      <w:r>
        <w:rPr/>
        <w:t>um</w:t>
      </w:r>
      <w:r>
        <w:rPr>
          <w:spacing w:val="-34"/>
        </w:rPr>
        <w:t> </w:t>
      </w:r>
      <w:r>
        <w:rPr/>
        <w:t>patamar</w:t>
      </w:r>
      <w:r>
        <w:rPr>
          <w:spacing w:val="-36"/>
        </w:rPr>
        <w:t> </w:t>
      </w:r>
      <w:r>
        <w:rPr/>
        <w:t>de</w:t>
      </w:r>
      <w:r>
        <w:rPr>
          <w:spacing w:val="-33"/>
        </w:rPr>
        <w:t> </w:t>
      </w:r>
      <w:r>
        <w:rPr/>
        <w:t>4,25%</w:t>
      </w:r>
      <w:r>
        <w:rPr>
          <w:spacing w:val="-33"/>
        </w:rPr>
        <w:t> </w:t>
      </w:r>
      <w:r>
        <w:rPr/>
        <w:t>e</w:t>
      </w:r>
      <w:r>
        <w:rPr>
          <w:spacing w:val="-36"/>
        </w:rPr>
        <w:t> </w:t>
      </w:r>
      <w:r>
        <w:rPr/>
        <w:t>4,04%,</w:t>
      </w:r>
      <w:r>
        <w:rPr>
          <w:spacing w:val="-34"/>
        </w:rPr>
        <w:t> </w:t>
      </w:r>
      <w:r>
        <w:rPr/>
        <w:t>respectivamente,</w:t>
      </w:r>
      <w:r>
        <w:rPr>
          <w:spacing w:val="-36"/>
        </w:rPr>
        <w:t> </w:t>
      </w:r>
      <w:r>
        <w:rPr/>
        <w:t>de</w:t>
      </w:r>
      <w:r>
        <w:rPr>
          <w:spacing w:val="-36"/>
        </w:rPr>
        <w:t> </w:t>
      </w:r>
      <w:r>
        <w:rPr/>
        <w:t>acordo</w:t>
      </w:r>
      <w:r>
        <w:rPr>
          <w:spacing w:val="-37"/>
        </w:rPr>
        <w:t> </w:t>
      </w:r>
      <w:r>
        <w:rPr/>
        <w:t>com</w:t>
      </w:r>
      <w:r>
        <w:rPr>
          <w:spacing w:val="-36"/>
        </w:rPr>
        <w:t> </w:t>
      </w:r>
      <w:r>
        <w:rPr/>
        <w:t>o</w:t>
      </w:r>
      <w:r>
        <w:rPr>
          <w:spacing w:val="-34"/>
        </w:rPr>
        <w:t> </w:t>
      </w:r>
      <w:r>
        <w:rPr/>
        <w:t>Relatório</w:t>
      </w:r>
      <w:r>
        <w:rPr>
          <w:spacing w:val="-36"/>
        </w:rPr>
        <w:t> </w:t>
      </w:r>
      <w:r>
        <w:rPr/>
        <w:t>Focus </w:t>
      </w:r>
      <w:r>
        <w:rPr>
          <w:w w:val="105"/>
        </w:rPr>
        <w:t>do</w:t>
      </w:r>
      <w:r>
        <w:rPr>
          <w:spacing w:val="-28"/>
          <w:w w:val="105"/>
        </w:rPr>
        <w:t> </w:t>
      </w:r>
      <w:r>
        <w:rPr>
          <w:w w:val="105"/>
        </w:rPr>
        <w:t>Banco</w:t>
      </w:r>
      <w:r>
        <w:rPr>
          <w:spacing w:val="-27"/>
          <w:w w:val="105"/>
        </w:rPr>
        <w:t> </w:t>
      </w:r>
      <w:r>
        <w:rPr>
          <w:w w:val="105"/>
        </w:rPr>
        <w:t>Central</w:t>
      </w:r>
      <w:r>
        <w:rPr>
          <w:spacing w:val="-27"/>
          <w:w w:val="105"/>
        </w:rPr>
        <w:t> </w:t>
      </w:r>
      <w:r>
        <w:rPr>
          <w:w w:val="105"/>
        </w:rPr>
        <w:t>do</w:t>
      </w:r>
      <w:r>
        <w:rPr>
          <w:spacing w:val="-27"/>
          <w:w w:val="105"/>
        </w:rPr>
        <w:t> </w:t>
      </w:r>
      <w:r>
        <w:rPr>
          <w:w w:val="105"/>
        </w:rPr>
        <w:t>Brasil,</w:t>
      </w:r>
      <w:r>
        <w:rPr>
          <w:spacing w:val="-27"/>
          <w:w w:val="105"/>
        </w:rPr>
        <w:t> </w:t>
      </w:r>
      <w:r>
        <w:rPr>
          <w:w w:val="105"/>
        </w:rPr>
        <w:t>de</w:t>
      </w:r>
      <w:r>
        <w:rPr>
          <w:spacing w:val="-28"/>
          <w:w w:val="105"/>
        </w:rPr>
        <w:t> </w:t>
      </w:r>
      <w:r>
        <w:rPr>
          <w:w w:val="105"/>
        </w:rPr>
        <w:t>27</w:t>
      </w:r>
      <w:r>
        <w:rPr>
          <w:spacing w:val="-24"/>
          <w:w w:val="105"/>
        </w:rPr>
        <w:t> </w:t>
      </w:r>
      <w:r>
        <w:rPr>
          <w:w w:val="105"/>
        </w:rPr>
        <w:t>de</w:t>
      </w:r>
      <w:r>
        <w:rPr>
          <w:spacing w:val="-28"/>
          <w:w w:val="105"/>
        </w:rPr>
        <w:t> </w:t>
      </w:r>
      <w:r>
        <w:rPr>
          <w:w w:val="105"/>
        </w:rPr>
        <w:t>dezembro</w:t>
      </w:r>
      <w:r>
        <w:rPr>
          <w:spacing w:val="-25"/>
          <w:w w:val="105"/>
        </w:rPr>
        <w:t> </w:t>
      </w:r>
      <w:r>
        <w:rPr>
          <w:w w:val="105"/>
        </w:rPr>
        <w:t>de</w:t>
      </w:r>
      <w:r>
        <w:rPr>
          <w:spacing w:val="-26"/>
          <w:w w:val="105"/>
        </w:rPr>
        <w:t> </w:t>
      </w:r>
      <w:r>
        <w:rPr>
          <w:w w:val="105"/>
        </w:rPr>
        <w:t>2019</w:t>
      </w:r>
      <w:r>
        <w:rPr>
          <w:spacing w:val="-27"/>
          <w:w w:val="105"/>
        </w:rPr>
        <w:t> </w:t>
      </w:r>
      <w:r>
        <w:rPr>
          <w:w w:val="105"/>
        </w:rPr>
        <w:t>(Mediana</w:t>
      </w:r>
      <w:r>
        <w:rPr>
          <w:spacing w:val="-25"/>
          <w:w w:val="105"/>
        </w:rPr>
        <w:t> </w:t>
      </w:r>
      <w:r>
        <w:rPr>
          <w:w w:val="105"/>
        </w:rPr>
        <w:t>–</w:t>
      </w:r>
      <w:r>
        <w:rPr>
          <w:spacing w:val="-23"/>
          <w:w w:val="105"/>
        </w:rPr>
        <w:t> </w:t>
      </w:r>
      <w:r>
        <w:rPr>
          <w:w w:val="105"/>
        </w:rPr>
        <w:t>Top</w:t>
      </w:r>
      <w:r>
        <w:rPr>
          <w:spacing w:val="-26"/>
          <w:w w:val="105"/>
        </w:rPr>
        <w:t> </w:t>
      </w:r>
      <w:r>
        <w:rPr>
          <w:w w:val="105"/>
        </w:rPr>
        <w:t>5</w:t>
      </w:r>
      <w:r>
        <w:rPr>
          <w:spacing w:val="-26"/>
          <w:w w:val="105"/>
        </w:rPr>
        <w:t> </w:t>
      </w:r>
      <w:r>
        <w:rPr>
          <w:w w:val="105"/>
        </w:rPr>
        <w:t>Curto</w:t>
      </w:r>
      <w:r>
        <w:rPr>
          <w:spacing w:val="-26"/>
          <w:w w:val="105"/>
        </w:rPr>
        <w:t> </w:t>
      </w:r>
      <w:r>
        <w:rPr>
          <w:w w:val="105"/>
        </w:rPr>
        <w:t>Prazo).</w:t>
      </w:r>
    </w:p>
    <w:p>
      <w:pPr>
        <w:pStyle w:val="BodyText"/>
        <w:spacing w:line="242" w:lineRule="auto" w:before="120"/>
        <w:ind w:left="172" w:right="409"/>
        <w:jc w:val="both"/>
      </w:pPr>
      <w:r>
        <w:rPr/>
        <w:t>No</w:t>
      </w:r>
      <w:r>
        <w:rPr>
          <w:spacing w:val="-25"/>
        </w:rPr>
        <w:t> </w:t>
      </w:r>
      <w:r>
        <w:rPr/>
        <w:t>caso</w:t>
      </w:r>
      <w:r>
        <w:rPr>
          <w:spacing w:val="-24"/>
        </w:rPr>
        <w:t> </w:t>
      </w:r>
      <w:r>
        <w:rPr/>
        <w:t>da</w:t>
      </w:r>
      <w:r>
        <w:rPr>
          <w:spacing w:val="-24"/>
        </w:rPr>
        <w:t> </w:t>
      </w:r>
      <w:r>
        <w:rPr/>
        <w:t>TLP,</w:t>
      </w:r>
      <w:r>
        <w:rPr>
          <w:spacing w:val="-23"/>
        </w:rPr>
        <w:t> </w:t>
      </w:r>
      <w:r>
        <w:rPr/>
        <w:t>atribuiu-se</w:t>
      </w:r>
      <w:r>
        <w:rPr>
          <w:spacing w:val="-24"/>
        </w:rPr>
        <w:t> </w:t>
      </w:r>
      <w:r>
        <w:rPr/>
        <w:t>a</w:t>
      </w:r>
      <w:r>
        <w:rPr>
          <w:spacing w:val="-24"/>
        </w:rPr>
        <w:t> </w:t>
      </w:r>
      <w:r>
        <w:rPr/>
        <w:t>taxa</w:t>
      </w:r>
      <w:r>
        <w:rPr>
          <w:spacing w:val="-23"/>
        </w:rPr>
        <w:t> </w:t>
      </w:r>
      <w:r>
        <w:rPr/>
        <w:t>de</w:t>
      </w:r>
      <w:r>
        <w:rPr>
          <w:spacing w:val="-24"/>
        </w:rPr>
        <w:t> </w:t>
      </w:r>
      <w:r>
        <w:rPr/>
        <w:t>5,17%</w:t>
      </w:r>
      <w:r>
        <w:rPr>
          <w:spacing w:val="-24"/>
        </w:rPr>
        <w:t> </w:t>
      </w:r>
      <w:r>
        <w:rPr/>
        <w:t>a.a.,</w:t>
      </w:r>
      <w:r>
        <w:rPr>
          <w:spacing w:val="-24"/>
        </w:rPr>
        <w:t> </w:t>
      </w:r>
      <w:r>
        <w:rPr/>
        <w:t>para</w:t>
      </w:r>
      <w:r>
        <w:rPr>
          <w:spacing w:val="-23"/>
        </w:rPr>
        <w:t> </w:t>
      </w:r>
      <w:r>
        <w:rPr/>
        <w:t>o</w:t>
      </w:r>
      <w:r>
        <w:rPr>
          <w:spacing w:val="-22"/>
        </w:rPr>
        <w:t> </w:t>
      </w:r>
      <w:r>
        <w:rPr/>
        <w:t>2020.</w:t>
      </w:r>
      <w:r>
        <w:rPr>
          <w:spacing w:val="-24"/>
        </w:rPr>
        <w:t> </w:t>
      </w:r>
      <w:r>
        <w:rPr/>
        <w:t>Essa</w:t>
      </w:r>
      <w:r>
        <w:rPr>
          <w:spacing w:val="-24"/>
        </w:rPr>
        <w:t> </w:t>
      </w:r>
      <w:r>
        <w:rPr/>
        <w:t>informação</w:t>
      </w:r>
      <w:r>
        <w:rPr>
          <w:spacing w:val="-24"/>
        </w:rPr>
        <w:t> </w:t>
      </w:r>
      <w:r>
        <w:rPr/>
        <w:t>foi</w:t>
      </w:r>
      <w:r>
        <w:rPr>
          <w:spacing w:val="-23"/>
        </w:rPr>
        <w:t> </w:t>
      </w:r>
      <w:r>
        <w:rPr/>
        <w:t>extraída</w:t>
      </w:r>
      <w:r>
        <w:rPr>
          <w:spacing w:val="-24"/>
        </w:rPr>
        <w:t> </w:t>
      </w:r>
      <w:r>
        <w:rPr/>
        <w:t>das</w:t>
      </w:r>
      <w:r>
        <w:rPr>
          <w:spacing w:val="-24"/>
        </w:rPr>
        <w:t> </w:t>
      </w:r>
      <w:r>
        <w:rPr/>
        <w:t>projeções</w:t>
      </w:r>
      <w:r>
        <w:rPr>
          <w:spacing w:val="-23"/>
        </w:rPr>
        <w:t> </w:t>
      </w:r>
      <w:r>
        <w:rPr/>
        <w:t>do</w:t>
      </w:r>
      <w:r>
        <w:rPr>
          <w:spacing w:val="-23"/>
        </w:rPr>
        <w:t> </w:t>
      </w:r>
      <w:r>
        <w:rPr/>
        <w:t>Banco Bradesco pelo link (</w:t>
      </w:r>
      <w:hyperlink r:id="rId79">
        <w:r>
          <w:rPr>
            <w:color w:val="0000FF"/>
            <w:u w:val="single" w:color="0000FF"/>
          </w:rPr>
          <w:t>https://www.economiaemdia.com.br/SiteEconomiaEmDia/Projecoes/Longo-Prazo</w:t>
        </w:r>
      </w:hyperlink>
      <w:r>
        <w:rPr/>
        <w:t>) com a informação atualizada pelo Banco em 07 de fevereiro de 2020. Também se espera que a taxa de 4,063328%</w:t>
      </w:r>
      <w:r>
        <w:rPr>
          <w:spacing w:val="-35"/>
        </w:rPr>
        <w:t> </w:t>
      </w:r>
      <w:r>
        <w:rPr/>
        <w:t>da UMBNDES</w:t>
      </w:r>
      <w:r>
        <w:rPr>
          <w:spacing w:val="-19"/>
        </w:rPr>
        <w:t> </w:t>
      </w:r>
      <w:r>
        <w:rPr/>
        <w:t>se</w:t>
      </w:r>
      <w:r>
        <w:rPr>
          <w:spacing w:val="-17"/>
        </w:rPr>
        <w:t> </w:t>
      </w:r>
      <w:r>
        <w:rPr/>
        <w:t>mantenha</w:t>
      </w:r>
      <w:r>
        <w:rPr>
          <w:spacing w:val="-15"/>
        </w:rPr>
        <w:t> </w:t>
      </w:r>
      <w:r>
        <w:rPr/>
        <w:t>estável</w:t>
      </w:r>
      <w:r>
        <w:rPr>
          <w:spacing w:val="-18"/>
        </w:rPr>
        <w:t> </w:t>
      </w:r>
      <w:r>
        <w:rPr/>
        <w:t>para</w:t>
      </w:r>
      <w:r>
        <w:rPr>
          <w:spacing w:val="-18"/>
        </w:rPr>
        <w:t> </w:t>
      </w:r>
      <w:r>
        <w:rPr/>
        <w:t>os</w:t>
      </w:r>
      <w:r>
        <w:rPr>
          <w:spacing w:val="-16"/>
        </w:rPr>
        <w:t> </w:t>
      </w:r>
      <w:r>
        <w:rPr/>
        <w:t>próximos</w:t>
      </w:r>
      <w:r>
        <w:rPr>
          <w:spacing w:val="-18"/>
        </w:rPr>
        <w:t> </w:t>
      </w:r>
      <w:r>
        <w:rPr/>
        <w:t>trimestres</w:t>
      </w:r>
      <w:r>
        <w:rPr>
          <w:spacing w:val="-16"/>
        </w:rPr>
        <w:t> </w:t>
      </w:r>
      <w:r>
        <w:rPr/>
        <w:t>de</w:t>
      </w:r>
      <w:r>
        <w:rPr>
          <w:spacing w:val="-18"/>
        </w:rPr>
        <w:t> </w:t>
      </w:r>
      <w:r>
        <w:rPr/>
        <w:t>2020.</w:t>
      </w:r>
    </w:p>
    <w:p>
      <w:pPr>
        <w:pStyle w:val="BodyText"/>
        <w:spacing w:line="242" w:lineRule="auto" w:before="120"/>
        <w:ind w:left="172" w:right="405"/>
        <w:jc w:val="both"/>
      </w:pPr>
      <w:r>
        <w:rPr/>
        <w:t>A</w:t>
      </w:r>
      <w:r>
        <w:rPr>
          <w:spacing w:val="-17"/>
        </w:rPr>
        <w:t> </w:t>
      </w:r>
      <w:r>
        <w:rPr/>
        <w:t>Companhia</w:t>
      </w:r>
      <w:r>
        <w:rPr>
          <w:spacing w:val="-14"/>
        </w:rPr>
        <w:t> </w:t>
      </w:r>
      <w:r>
        <w:rPr/>
        <w:t>fez</w:t>
      </w:r>
      <w:r>
        <w:rPr>
          <w:spacing w:val="-15"/>
        </w:rPr>
        <w:t> </w:t>
      </w:r>
      <w:r>
        <w:rPr/>
        <w:t>uma</w:t>
      </w:r>
      <w:r>
        <w:rPr>
          <w:spacing w:val="-16"/>
        </w:rPr>
        <w:t> </w:t>
      </w:r>
      <w:r>
        <w:rPr/>
        <w:t>análise</w:t>
      </w:r>
      <w:r>
        <w:rPr>
          <w:spacing w:val="-18"/>
        </w:rPr>
        <w:t> </w:t>
      </w:r>
      <w:r>
        <w:rPr/>
        <w:t>de</w:t>
      </w:r>
      <w:r>
        <w:rPr>
          <w:spacing w:val="-19"/>
        </w:rPr>
        <w:t> </w:t>
      </w:r>
      <w:r>
        <w:rPr/>
        <w:t>sensibilidade</w:t>
      </w:r>
      <w:r>
        <w:rPr>
          <w:spacing w:val="-18"/>
        </w:rPr>
        <w:t> </w:t>
      </w:r>
      <w:r>
        <w:rPr/>
        <w:t>dos</w:t>
      </w:r>
      <w:r>
        <w:rPr>
          <w:spacing w:val="-15"/>
        </w:rPr>
        <w:t> </w:t>
      </w:r>
      <w:r>
        <w:rPr/>
        <w:t>efeitos</w:t>
      </w:r>
      <w:r>
        <w:rPr>
          <w:spacing w:val="-16"/>
        </w:rPr>
        <w:t> </w:t>
      </w:r>
      <w:r>
        <w:rPr/>
        <w:t>nos</w:t>
      </w:r>
      <w:r>
        <w:rPr>
          <w:spacing w:val="-15"/>
        </w:rPr>
        <w:t> </w:t>
      </w:r>
      <w:r>
        <w:rPr/>
        <w:t>resultados</w:t>
      </w:r>
      <w:r>
        <w:rPr>
          <w:spacing w:val="-17"/>
        </w:rPr>
        <w:t> </w:t>
      </w:r>
      <w:r>
        <w:rPr/>
        <w:t>advindos</w:t>
      </w:r>
      <w:r>
        <w:rPr>
          <w:spacing w:val="-15"/>
        </w:rPr>
        <w:t> </w:t>
      </w:r>
      <w:r>
        <w:rPr/>
        <w:t>de</w:t>
      </w:r>
      <w:r>
        <w:rPr>
          <w:spacing w:val="-18"/>
        </w:rPr>
        <w:t> </w:t>
      </w:r>
      <w:r>
        <w:rPr/>
        <w:t>uma</w:t>
      </w:r>
      <w:r>
        <w:rPr>
          <w:spacing w:val="-16"/>
        </w:rPr>
        <w:t> </w:t>
      </w:r>
      <w:r>
        <w:rPr/>
        <w:t>alta</w:t>
      </w:r>
      <w:r>
        <w:rPr>
          <w:spacing w:val="-15"/>
        </w:rPr>
        <w:t> </w:t>
      </w:r>
      <w:r>
        <w:rPr/>
        <w:t>nas</w:t>
      </w:r>
      <w:r>
        <w:rPr>
          <w:spacing w:val="-17"/>
        </w:rPr>
        <w:t> </w:t>
      </w:r>
      <w:r>
        <w:rPr/>
        <w:t>taxas</w:t>
      </w:r>
      <w:r>
        <w:rPr>
          <w:spacing w:val="-16"/>
        </w:rPr>
        <w:t> </w:t>
      </w:r>
      <w:r>
        <w:rPr/>
        <w:t>de</w:t>
      </w:r>
      <w:r>
        <w:rPr>
          <w:spacing w:val="-17"/>
        </w:rPr>
        <w:t> </w:t>
      </w:r>
      <w:r>
        <w:rPr/>
        <w:t>25%</w:t>
      </w:r>
      <w:r>
        <w:rPr>
          <w:spacing w:val="-16"/>
        </w:rPr>
        <w:t> </w:t>
      </w:r>
      <w:r>
        <w:rPr/>
        <w:t>e 50%</w:t>
      </w:r>
      <w:r>
        <w:rPr>
          <w:spacing w:val="-20"/>
        </w:rPr>
        <w:t> </w:t>
      </w:r>
      <w:r>
        <w:rPr/>
        <w:t>em</w:t>
      </w:r>
      <w:r>
        <w:rPr>
          <w:spacing w:val="-18"/>
        </w:rPr>
        <w:t> </w:t>
      </w:r>
      <w:r>
        <w:rPr/>
        <w:t>relação</w:t>
      </w:r>
      <w:r>
        <w:rPr>
          <w:spacing w:val="-20"/>
        </w:rPr>
        <w:t> </w:t>
      </w:r>
      <w:r>
        <w:rPr/>
        <w:t>ao</w:t>
      </w:r>
      <w:r>
        <w:rPr>
          <w:spacing w:val="-20"/>
        </w:rPr>
        <w:t> </w:t>
      </w:r>
      <w:r>
        <w:rPr/>
        <w:t>cenário</w:t>
      </w:r>
      <w:r>
        <w:rPr>
          <w:spacing w:val="-16"/>
        </w:rPr>
        <w:t> </w:t>
      </w:r>
      <w:r>
        <w:rPr/>
        <w:t>provável,</w:t>
      </w:r>
      <w:r>
        <w:rPr>
          <w:spacing w:val="-20"/>
        </w:rPr>
        <w:t> </w:t>
      </w:r>
      <w:r>
        <w:rPr/>
        <w:t>considerados</w:t>
      </w:r>
      <w:r>
        <w:rPr>
          <w:spacing w:val="-17"/>
        </w:rPr>
        <w:t> </w:t>
      </w:r>
      <w:r>
        <w:rPr/>
        <w:t>como</w:t>
      </w:r>
      <w:r>
        <w:rPr>
          <w:spacing w:val="-21"/>
        </w:rPr>
        <w:t> </w:t>
      </w:r>
      <w:r>
        <w:rPr/>
        <w:t>possível</w:t>
      </w:r>
      <w:r>
        <w:rPr>
          <w:spacing w:val="-19"/>
        </w:rPr>
        <w:t> </w:t>
      </w:r>
      <w:r>
        <w:rPr/>
        <w:t>e</w:t>
      </w:r>
      <w:r>
        <w:rPr>
          <w:spacing w:val="-18"/>
        </w:rPr>
        <w:t> </w:t>
      </w:r>
      <w:r>
        <w:rPr/>
        <w:t>remoto.</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before="5"/>
        <w:rPr>
          <w:sz w:val="1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7"/>
        <w:gridCol w:w="2427"/>
        <w:gridCol w:w="2048"/>
        <w:gridCol w:w="2045"/>
      </w:tblGrid>
      <w:tr>
        <w:trPr>
          <w:trHeight w:val="254" w:hRule="atLeast"/>
        </w:trPr>
        <w:tc>
          <w:tcPr>
            <w:tcW w:w="3397" w:type="dxa"/>
            <w:vMerge w:val="restart"/>
            <w:shd w:val="clear" w:color="auto" w:fill="D9D9D9"/>
          </w:tcPr>
          <w:p>
            <w:pPr>
              <w:pStyle w:val="TableParagraph"/>
              <w:rPr>
                <w:rFonts w:ascii="Times New Roman"/>
                <w:sz w:val="14"/>
              </w:rPr>
            </w:pPr>
          </w:p>
        </w:tc>
        <w:tc>
          <w:tcPr>
            <w:tcW w:w="2427" w:type="dxa"/>
            <w:vMerge w:val="restart"/>
          </w:tcPr>
          <w:p>
            <w:pPr>
              <w:pStyle w:val="TableParagraph"/>
              <w:spacing w:before="2"/>
              <w:rPr>
                <w:sz w:val="15"/>
              </w:rPr>
            </w:pPr>
          </w:p>
          <w:p>
            <w:pPr>
              <w:pStyle w:val="TableParagraph"/>
              <w:ind w:left="907" w:right="897"/>
              <w:jc w:val="center"/>
              <w:rPr>
                <w:rFonts w:ascii="Caladea" w:hAnsi="Caladea"/>
                <w:b/>
                <w:sz w:val="14"/>
              </w:rPr>
            </w:pPr>
            <w:r>
              <w:rPr>
                <w:rFonts w:ascii="Caladea" w:hAnsi="Caladea"/>
                <w:b/>
                <w:sz w:val="14"/>
              </w:rPr>
              <w:t>Provável</w:t>
            </w:r>
          </w:p>
        </w:tc>
        <w:tc>
          <w:tcPr>
            <w:tcW w:w="4093" w:type="dxa"/>
            <w:gridSpan w:val="2"/>
          </w:tcPr>
          <w:p>
            <w:pPr>
              <w:pStyle w:val="TableParagraph"/>
              <w:spacing w:before="45"/>
              <w:ind w:left="1069"/>
              <w:rPr>
                <w:rFonts w:ascii="Caladea" w:hAnsi="Caladea"/>
                <w:b/>
                <w:sz w:val="14"/>
              </w:rPr>
            </w:pPr>
            <w:r>
              <w:rPr>
                <w:rFonts w:ascii="Caladea" w:hAnsi="Caladea"/>
                <w:b/>
                <w:sz w:val="14"/>
              </w:rPr>
              <w:t>Cenário de Elevação das Taxas</w:t>
            </w:r>
          </w:p>
        </w:tc>
      </w:tr>
      <w:tr>
        <w:trPr>
          <w:trHeight w:val="251" w:hRule="atLeast"/>
        </w:trPr>
        <w:tc>
          <w:tcPr>
            <w:tcW w:w="3397" w:type="dxa"/>
            <w:vMerge/>
            <w:tcBorders>
              <w:top w:val="nil"/>
            </w:tcBorders>
            <w:shd w:val="clear" w:color="auto" w:fill="D9D9D9"/>
          </w:tcPr>
          <w:p>
            <w:pPr>
              <w:rPr>
                <w:sz w:val="2"/>
                <w:szCs w:val="2"/>
              </w:rPr>
            </w:pPr>
          </w:p>
        </w:tc>
        <w:tc>
          <w:tcPr>
            <w:tcW w:w="2427" w:type="dxa"/>
            <w:vMerge/>
            <w:tcBorders>
              <w:top w:val="nil"/>
            </w:tcBorders>
          </w:tcPr>
          <w:p>
            <w:pPr>
              <w:rPr>
                <w:sz w:val="2"/>
                <w:szCs w:val="2"/>
              </w:rPr>
            </w:pPr>
          </w:p>
        </w:tc>
        <w:tc>
          <w:tcPr>
            <w:tcW w:w="2048" w:type="dxa"/>
          </w:tcPr>
          <w:p>
            <w:pPr>
              <w:pStyle w:val="TableParagraph"/>
              <w:spacing w:before="42"/>
              <w:ind w:left="737" w:right="730"/>
              <w:jc w:val="center"/>
              <w:rPr>
                <w:rFonts w:ascii="Caladea" w:hAnsi="Caladea"/>
                <w:b/>
                <w:sz w:val="14"/>
              </w:rPr>
            </w:pPr>
            <w:r>
              <w:rPr>
                <w:rFonts w:ascii="Caladea" w:hAnsi="Caladea"/>
                <w:b/>
                <w:sz w:val="14"/>
              </w:rPr>
              <w:t>Possível</w:t>
            </w:r>
          </w:p>
        </w:tc>
        <w:tc>
          <w:tcPr>
            <w:tcW w:w="2045" w:type="dxa"/>
          </w:tcPr>
          <w:p>
            <w:pPr>
              <w:pStyle w:val="TableParagraph"/>
              <w:spacing w:before="42"/>
              <w:ind w:left="747" w:right="744"/>
              <w:jc w:val="center"/>
              <w:rPr>
                <w:rFonts w:ascii="Caladea"/>
                <w:b/>
                <w:sz w:val="14"/>
              </w:rPr>
            </w:pPr>
            <w:r>
              <w:rPr>
                <w:rFonts w:ascii="Caladea"/>
                <w:b/>
                <w:sz w:val="14"/>
              </w:rPr>
              <w:t>Remoto</w:t>
            </w:r>
          </w:p>
        </w:tc>
      </w:tr>
      <w:tr>
        <w:trPr>
          <w:trHeight w:val="254" w:hRule="atLeast"/>
        </w:trPr>
        <w:tc>
          <w:tcPr>
            <w:tcW w:w="3397" w:type="dxa"/>
          </w:tcPr>
          <w:p>
            <w:pPr>
              <w:pStyle w:val="TableParagraph"/>
              <w:spacing w:before="46"/>
              <w:ind w:left="72"/>
              <w:rPr>
                <w:sz w:val="14"/>
              </w:rPr>
            </w:pPr>
            <w:r>
              <w:rPr>
                <w:w w:val="105"/>
                <w:sz w:val="14"/>
              </w:rPr>
              <w:t>CDI</w:t>
            </w:r>
          </w:p>
        </w:tc>
        <w:tc>
          <w:tcPr>
            <w:tcW w:w="2427" w:type="dxa"/>
          </w:tcPr>
          <w:p>
            <w:pPr>
              <w:pStyle w:val="TableParagraph"/>
              <w:spacing w:before="46"/>
              <w:ind w:right="58"/>
              <w:jc w:val="right"/>
              <w:rPr>
                <w:sz w:val="14"/>
              </w:rPr>
            </w:pPr>
            <w:r>
              <w:rPr>
                <w:w w:val="105"/>
                <w:sz w:val="14"/>
              </w:rPr>
              <w:t>4,25%</w:t>
            </w:r>
          </w:p>
        </w:tc>
        <w:tc>
          <w:tcPr>
            <w:tcW w:w="2048" w:type="dxa"/>
          </w:tcPr>
          <w:p>
            <w:pPr>
              <w:pStyle w:val="TableParagraph"/>
              <w:spacing w:before="46"/>
              <w:ind w:right="62"/>
              <w:jc w:val="right"/>
              <w:rPr>
                <w:sz w:val="14"/>
              </w:rPr>
            </w:pPr>
            <w:r>
              <w:rPr>
                <w:w w:val="105"/>
                <w:sz w:val="14"/>
              </w:rPr>
              <w:t>5,31%</w:t>
            </w:r>
          </w:p>
        </w:tc>
        <w:tc>
          <w:tcPr>
            <w:tcW w:w="2045" w:type="dxa"/>
          </w:tcPr>
          <w:p>
            <w:pPr>
              <w:pStyle w:val="TableParagraph"/>
              <w:spacing w:before="46"/>
              <w:ind w:right="64"/>
              <w:jc w:val="right"/>
              <w:rPr>
                <w:sz w:val="14"/>
              </w:rPr>
            </w:pPr>
            <w:r>
              <w:rPr>
                <w:w w:val="105"/>
                <w:sz w:val="14"/>
              </w:rPr>
              <w:t>6,38%</w:t>
            </w:r>
          </w:p>
        </w:tc>
      </w:tr>
      <w:tr>
        <w:trPr>
          <w:trHeight w:val="254" w:hRule="atLeast"/>
        </w:trPr>
        <w:tc>
          <w:tcPr>
            <w:tcW w:w="3397" w:type="dxa"/>
          </w:tcPr>
          <w:p>
            <w:pPr>
              <w:pStyle w:val="TableParagraph"/>
              <w:spacing w:before="46"/>
              <w:ind w:left="72"/>
              <w:rPr>
                <w:sz w:val="14"/>
              </w:rPr>
            </w:pPr>
            <w:r>
              <w:rPr>
                <w:w w:val="105"/>
                <w:sz w:val="14"/>
              </w:rPr>
              <w:t>TLP</w:t>
            </w:r>
          </w:p>
        </w:tc>
        <w:tc>
          <w:tcPr>
            <w:tcW w:w="2427" w:type="dxa"/>
          </w:tcPr>
          <w:p>
            <w:pPr>
              <w:pStyle w:val="TableParagraph"/>
              <w:spacing w:before="46"/>
              <w:ind w:right="58"/>
              <w:jc w:val="right"/>
              <w:rPr>
                <w:sz w:val="14"/>
              </w:rPr>
            </w:pPr>
            <w:r>
              <w:rPr>
                <w:w w:val="105"/>
                <w:sz w:val="14"/>
              </w:rPr>
              <w:t>5,17%</w:t>
            </w:r>
          </w:p>
        </w:tc>
        <w:tc>
          <w:tcPr>
            <w:tcW w:w="2048" w:type="dxa"/>
          </w:tcPr>
          <w:p>
            <w:pPr>
              <w:pStyle w:val="TableParagraph"/>
              <w:spacing w:before="46"/>
              <w:ind w:right="62"/>
              <w:jc w:val="right"/>
              <w:rPr>
                <w:sz w:val="14"/>
              </w:rPr>
            </w:pPr>
            <w:r>
              <w:rPr>
                <w:w w:val="105"/>
                <w:sz w:val="14"/>
              </w:rPr>
              <w:t>6,46%</w:t>
            </w:r>
          </w:p>
        </w:tc>
        <w:tc>
          <w:tcPr>
            <w:tcW w:w="2045" w:type="dxa"/>
          </w:tcPr>
          <w:p>
            <w:pPr>
              <w:pStyle w:val="TableParagraph"/>
              <w:spacing w:before="46"/>
              <w:ind w:right="64"/>
              <w:jc w:val="right"/>
              <w:rPr>
                <w:sz w:val="14"/>
              </w:rPr>
            </w:pPr>
            <w:r>
              <w:rPr>
                <w:w w:val="105"/>
                <w:sz w:val="14"/>
              </w:rPr>
              <w:t>7,76%</w:t>
            </w:r>
          </w:p>
        </w:tc>
      </w:tr>
      <w:tr>
        <w:trPr>
          <w:trHeight w:val="251" w:hRule="atLeast"/>
        </w:trPr>
        <w:tc>
          <w:tcPr>
            <w:tcW w:w="3397" w:type="dxa"/>
          </w:tcPr>
          <w:p>
            <w:pPr>
              <w:pStyle w:val="TableParagraph"/>
              <w:spacing w:before="43"/>
              <w:ind w:left="72"/>
              <w:rPr>
                <w:sz w:val="14"/>
              </w:rPr>
            </w:pPr>
            <w:r>
              <w:rPr>
                <w:sz w:val="14"/>
              </w:rPr>
              <w:t>IGP-M</w:t>
            </w:r>
          </w:p>
        </w:tc>
        <w:tc>
          <w:tcPr>
            <w:tcW w:w="2427" w:type="dxa"/>
          </w:tcPr>
          <w:p>
            <w:pPr>
              <w:pStyle w:val="TableParagraph"/>
              <w:spacing w:before="43"/>
              <w:ind w:right="58"/>
              <w:jc w:val="right"/>
              <w:rPr>
                <w:sz w:val="14"/>
              </w:rPr>
            </w:pPr>
            <w:r>
              <w:rPr>
                <w:w w:val="105"/>
                <w:sz w:val="14"/>
              </w:rPr>
              <w:t>4,04%</w:t>
            </w:r>
          </w:p>
        </w:tc>
        <w:tc>
          <w:tcPr>
            <w:tcW w:w="2048" w:type="dxa"/>
          </w:tcPr>
          <w:p>
            <w:pPr>
              <w:pStyle w:val="TableParagraph"/>
              <w:spacing w:before="43"/>
              <w:ind w:right="62"/>
              <w:jc w:val="right"/>
              <w:rPr>
                <w:sz w:val="14"/>
              </w:rPr>
            </w:pPr>
            <w:r>
              <w:rPr>
                <w:w w:val="105"/>
                <w:sz w:val="14"/>
              </w:rPr>
              <w:t>5,05%</w:t>
            </w:r>
          </w:p>
        </w:tc>
        <w:tc>
          <w:tcPr>
            <w:tcW w:w="2045" w:type="dxa"/>
          </w:tcPr>
          <w:p>
            <w:pPr>
              <w:pStyle w:val="TableParagraph"/>
              <w:spacing w:before="43"/>
              <w:ind w:right="64"/>
              <w:jc w:val="right"/>
              <w:rPr>
                <w:sz w:val="14"/>
              </w:rPr>
            </w:pPr>
            <w:r>
              <w:rPr>
                <w:w w:val="105"/>
                <w:sz w:val="14"/>
              </w:rPr>
              <w:t>6,06%</w:t>
            </w:r>
          </w:p>
        </w:tc>
      </w:tr>
      <w:tr>
        <w:trPr>
          <w:trHeight w:val="253" w:hRule="atLeast"/>
        </w:trPr>
        <w:tc>
          <w:tcPr>
            <w:tcW w:w="3397" w:type="dxa"/>
          </w:tcPr>
          <w:p>
            <w:pPr>
              <w:pStyle w:val="TableParagraph"/>
              <w:spacing w:before="46"/>
              <w:ind w:left="72"/>
              <w:rPr>
                <w:sz w:val="14"/>
              </w:rPr>
            </w:pPr>
            <w:r>
              <w:rPr>
                <w:w w:val="105"/>
                <w:sz w:val="14"/>
              </w:rPr>
              <w:t>UMBNDES</w:t>
            </w:r>
          </w:p>
        </w:tc>
        <w:tc>
          <w:tcPr>
            <w:tcW w:w="2427" w:type="dxa"/>
          </w:tcPr>
          <w:p>
            <w:pPr>
              <w:pStyle w:val="TableParagraph"/>
              <w:spacing w:before="46"/>
              <w:ind w:right="58"/>
              <w:jc w:val="right"/>
              <w:rPr>
                <w:sz w:val="14"/>
              </w:rPr>
            </w:pPr>
            <w:r>
              <w:rPr>
                <w:w w:val="105"/>
                <w:sz w:val="14"/>
              </w:rPr>
              <w:t>4,06%</w:t>
            </w:r>
          </w:p>
        </w:tc>
        <w:tc>
          <w:tcPr>
            <w:tcW w:w="2048" w:type="dxa"/>
          </w:tcPr>
          <w:p>
            <w:pPr>
              <w:pStyle w:val="TableParagraph"/>
              <w:spacing w:before="46"/>
              <w:ind w:right="62"/>
              <w:jc w:val="right"/>
              <w:rPr>
                <w:sz w:val="14"/>
              </w:rPr>
            </w:pPr>
            <w:r>
              <w:rPr>
                <w:w w:val="105"/>
                <w:sz w:val="14"/>
              </w:rPr>
              <w:t>5,08%</w:t>
            </w:r>
          </w:p>
        </w:tc>
        <w:tc>
          <w:tcPr>
            <w:tcW w:w="2045" w:type="dxa"/>
          </w:tcPr>
          <w:p>
            <w:pPr>
              <w:pStyle w:val="TableParagraph"/>
              <w:spacing w:before="46"/>
              <w:ind w:right="64"/>
              <w:jc w:val="right"/>
              <w:rPr>
                <w:sz w:val="14"/>
              </w:rPr>
            </w:pPr>
            <w:r>
              <w:rPr>
                <w:w w:val="105"/>
                <w:sz w:val="14"/>
              </w:rPr>
              <w:t>6,09%</w:t>
            </w:r>
          </w:p>
        </w:tc>
      </w:tr>
    </w:tbl>
    <w:p>
      <w:pPr>
        <w:pStyle w:val="BodyText"/>
        <w:spacing w:before="124"/>
        <w:ind w:left="172"/>
      </w:pPr>
      <w:r>
        <w:rPr/>
        <w:t>Fica registrado que os empréstimos contratados com taxas pré-fixadas não foram objeto de avaliação.</w:t>
      </w:r>
    </w:p>
    <w:p>
      <w:pPr>
        <w:pStyle w:val="BodyText"/>
        <w:spacing w:before="7"/>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0"/>
        <w:gridCol w:w="1265"/>
        <w:gridCol w:w="1469"/>
        <w:gridCol w:w="1657"/>
        <w:gridCol w:w="1596"/>
      </w:tblGrid>
      <w:tr>
        <w:trPr>
          <w:trHeight w:val="237" w:hRule="atLeast"/>
        </w:trPr>
        <w:tc>
          <w:tcPr>
            <w:tcW w:w="3930" w:type="dxa"/>
            <w:vMerge w:val="restart"/>
            <w:shd w:val="clear" w:color="auto" w:fill="D9D9D9"/>
          </w:tcPr>
          <w:p>
            <w:pPr>
              <w:pStyle w:val="TableParagraph"/>
              <w:rPr>
                <w:sz w:val="16"/>
              </w:rPr>
            </w:pPr>
          </w:p>
          <w:p>
            <w:pPr>
              <w:pStyle w:val="TableParagraph"/>
              <w:spacing w:before="96"/>
              <w:ind w:left="72"/>
              <w:rPr>
                <w:rFonts w:ascii="Caladea"/>
                <w:b/>
                <w:sz w:val="14"/>
              </w:rPr>
            </w:pPr>
            <w:r>
              <w:rPr>
                <w:rFonts w:ascii="Caladea"/>
                <w:b/>
                <w:sz w:val="14"/>
              </w:rPr>
              <w:t>Alta do CDI</w:t>
            </w:r>
          </w:p>
        </w:tc>
        <w:tc>
          <w:tcPr>
            <w:tcW w:w="1265" w:type="dxa"/>
            <w:vMerge w:val="restart"/>
          </w:tcPr>
          <w:p>
            <w:pPr>
              <w:pStyle w:val="TableParagraph"/>
              <w:spacing w:before="3"/>
              <w:rPr>
                <w:sz w:val="17"/>
              </w:rPr>
            </w:pPr>
          </w:p>
          <w:p>
            <w:pPr>
              <w:pStyle w:val="TableParagraph"/>
              <w:ind w:left="383" w:right="127" w:hanging="75"/>
              <w:rPr>
                <w:rFonts w:ascii="Caladea" w:hAnsi="Caladea"/>
                <w:b/>
                <w:sz w:val="14"/>
              </w:rPr>
            </w:pPr>
            <w:r>
              <w:rPr>
                <w:rFonts w:ascii="Caladea" w:hAnsi="Caladea"/>
                <w:b/>
                <w:w w:val="95"/>
                <w:sz w:val="14"/>
              </w:rPr>
              <w:t>Exposição </w:t>
            </w:r>
            <w:r>
              <w:rPr>
                <w:rFonts w:ascii="Caladea" w:hAnsi="Caladea"/>
                <w:b/>
                <w:sz w:val="14"/>
              </w:rPr>
              <w:t>(R$ mil)</w:t>
            </w:r>
          </w:p>
        </w:tc>
        <w:tc>
          <w:tcPr>
            <w:tcW w:w="4722" w:type="dxa"/>
            <w:gridSpan w:val="3"/>
          </w:tcPr>
          <w:p>
            <w:pPr>
              <w:pStyle w:val="TableParagraph"/>
              <w:spacing w:before="34"/>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31/12/2019</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5"/>
              <w:ind w:left="448"/>
              <w:rPr>
                <w:rFonts w:ascii="Caladea" w:hAnsi="Caladea"/>
                <w:b/>
                <w:sz w:val="14"/>
              </w:rPr>
            </w:pPr>
            <w:r>
              <w:rPr>
                <w:rFonts w:ascii="Caladea" w:hAnsi="Caladea"/>
                <w:b/>
                <w:sz w:val="14"/>
              </w:rPr>
              <w:t>Provável</w:t>
            </w:r>
          </w:p>
        </w:tc>
        <w:tc>
          <w:tcPr>
            <w:tcW w:w="1657" w:type="dxa"/>
          </w:tcPr>
          <w:p>
            <w:pPr>
              <w:pStyle w:val="TableParagraph"/>
              <w:spacing w:before="35"/>
              <w:ind w:left="347"/>
              <w:rPr>
                <w:rFonts w:ascii="Caladea" w:hAnsi="Caladea"/>
                <w:b/>
                <w:sz w:val="14"/>
              </w:rPr>
            </w:pPr>
            <w:r>
              <w:rPr>
                <w:rFonts w:ascii="Caladea" w:hAnsi="Caladea"/>
                <w:b/>
                <w:w w:val="110"/>
                <w:sz w:val="14"/>
              </w:rPr>
              <w:t>Possível </w:t>
            </w:r>
            <w:r>
              <w:rPr>
                <w:b/>
                <w:w w:val="110"/>
                <w:sz w:val="14"/>
              </w:rPr>
              <w:t>– </w:t>
            </w:r>
            <w:r>
              <w:rPr>
                <w:rFonts w:ascii="Caladea" w:hAnsi="Caladea"/>
                <w:b/>
                <w:w w:val="110"/>
                <w:sz w:val="14"/>
              </w:rPr>
              <w:t>25%</w:t>
            </w:r>
          </w:p>
        </w:tc>
        <w:tc>
          <w:tcPr>
            <w:tcW w:w="1596" w:type="dxa"/>
          </w:tcPr>
          <w:p>
            <w:pPr>
              <w:pStyle w:val="TableParagraph"/>
              <w:spacing w:before="35"/>
              <w:ind w:left="330"/>
              <w:rPr>
                <w:rFonts w:ascii="Caladea" w:hAnsi="Caladea"/>
                <w:b/>
                <w:sz w:val="14"/>
              </w:rPr>
            </w:pPr>
            <w:r>
              <w:rPr>
                <w:rFonts w:ascii="Caladea" w:hAnsi="Caladea"/>
                <w:b/>
                <w:w w:val="110"/>
                <w:sz w:val="14"/>
              </w:rPr>
              <w:t>Remoto </w:t>
            </w:r>
            <w:r>
              <w:rPr>
                <w:b/>
                <w:w w:val="110"/>
                <w:sz w:val="14"/>
              </w:rPr>
              <w:t>– </w:t>
            </w:r>
            <w:r>
              <w:rPr>
                <w:rFonts w:ascii="Caladea" w:hAnsi="Caladea"/>
                <w:b/>
                <w:w w:val="110"/>
                <w:sz w:val="14"/>
              </w:rPr>
              <w:t>50%</w:t>
            </w:r>
          </w:p>
        </w:tc>
      </w:tr>
      <w:tr>
        <w:trPr>
          <w:trHeight w:val="239"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right="61"/>
              <w:jc w:val="right"/>
              <w:rPr>
                <w:rFonts w:ascii="Caladea"/>
                <w:b/>
                <w:sz w:val="14"/>
              </w:rPr>
            </w:pPr>
            <w:r>
              <w:rPr>
                <w:rFonts w:ascii="Caladea"/>
                <w:b/>
                <w:sz w:val="14"/>
              </w:rPr>
              <w:t>4,25%</w:t>
            </w:r>
          </w:p>
        </w:tc>
        <w:tc>
          <w:tcPr>
            <w:tcW w:w="1657" w:type="dxa"/>
          </w:tcPr>
          <w:p>
            <w:pPr>
              <w:pStyle w:val="TableParagraph"/>
              <w:spacing w:before="37"/>
              <w:ind w:right="59"/>
              <w:jc w:val="right"/>
              <w:rPr>
                <w:rFonts w:ascii="Caladea"/>
                <w:b/>
                <w:sz w:val="14"/>
              </w:rPr>
            </w:pPr>
            <w:r>
              <w:rPr>
                <w:rFonts w:ascii="Caladea"/>
                <w:b/>
                <w:sz w:val="14"/>
              </w:rPr>
              <w:t>5,31%</w:t>
            </w:r>
          </w:p>
        </w:tc>
        <w:tc>
          <w:tcPr>
            <w:tcW w:w="1596" w:type="dxa"/>
          </w:tcPr>
          <w:p>
            <w:pPr>
              <w:pStyle w:val="TableParagraph"/>
              <w:spacing w:before="37"/>
              <w:ind w:right="62"/>
              <w:jc w:val="right"/>
              <w:rPr>
                <w:rFonts w:ascii="Caladea"/>
                <w:b/>
                <w:sz w:val="14"/>
              </w:rPr>
            </w:pPr>
            <w:r>
              <w:rPr>
                <w:rFonts w:ascii="Caladea"/>
                <w:b/>
                <w:sz w:val="14"/>
              </w:rPr>
              <w:t>6,38%</w:t>
            </w:r>
          </w:p>
        </w:tc>
      </w:tr>
      <w:tr>
        <w:trPr>
          <w:trHeight w:val="237" w:hRule="atLeast"/>
        </w:trPr>
        <w:tc>
          <w:tcPr>
            <w:tcW w:w="3930" w:type="dxa"/>
          </w:tcPr>
          <w:p>
            <w:pPr>
              <w:pStyle w:val="TableParagraph"/>
              <w:rPr>
                <w:rFonts w:ascii="Times New Roman"/>
                <w:sz w:val="14"/>
              </w:rPr>
            </w:pPr>
          </w:p>
        </w:tc>
        <w:tc>
          <w:tcPr>
            <w:tcW w:w="1265" w:type="dxa"/>
          </w:tcPr>
          <w:p>
            <w:pPr>
              <w:pStyle w:val="TableParagraph"/>
              <w:spacing w:before="36"/>
              <w:ind w:right="60"/>
              <w:jc w:val="right"/>
              <w:rPr>
                <w:sz w:val="14"/>
              </w:rPr>
            </w:pPr>
            <w:r>
              <w:rPr>
                <w:w w:val="95"/>
                <w:sz w:val="14"/>
              </w:rPr>
              <w:t>464.236</w:t>
            </w:r>
          </w:p>
        </w:tc>
        <w:tc>
          <w:tcPr>
            <w:tcW w:w="1469" w:type="dxa"/>
          </w:tcPr>
          <w:p>
            <w:pPr>
              <w:pStyle w:val="TableParagraph"/>
              <w:spacing w:before="36"/>
              <w:ind w:right="60"/>
              <w:jc w:val="right"/>
              <w:rPr>
                <w:sz w:val="14"/>
              </w:rPr>
            </w:pPr>
            <w:r>
              <w:rPr>
                <w:w w:val="95"/>
                <w:sz w:val="14"/>
              </w:rPr>
              <w:t>483.966</w:t>
            </w:r>
          </w:p>
        </w:tc>
        <w:tc>
          <w:tcPr>
            <w:tcW w:w="1657" w:type="dxa"/>
          </w:tcPr>
          <w:p>
            <w:pPr>
              <w:pStyle w:val="TableParagraph"/>
              <w:spacing w:before="36"/>
              <w:ind w:right="58"/>
              <w:jc w:val="right"/>
              <w:rPr>
                <w:sz w:val="14"/>
              </w:rPr>
            </w:pPr>
            <w:r>
              <w:rPr>
                <w:w w:val="95"/>
                <w:sz w:val="14"/>
              </w:rPr>
              <w:t>488.886</w:t>
            </w:r>
          </w:p>
        </w:tc>
        <w:tc>
          <w:tcPr>
            <w:tcW w:w="1596" w:type="dxa"/>
          </w:tcPr>
          <w:p>
            <w:pPr>
              <w:pStyle w:val="TableParagraph"/>
              <w:spacing w:before="36"/>
              <w:ind w:right="60"/>
              <w:jc w:val="right"/>
              <w:rPr>
                <w:sz w:val="14"/>
              </w:rPr>
            </w:pPr>
            <w:r>
              <w:rPr>
                <w:w w:val="95"/>
                <w:sz w:val="14"/>
              </w:rPr>
              <w:t>493.854</w:t>
            </w:r>
          </w:p>
        </w:tc>
      </w:tr>
      <w:tr>
        <w:trPr>
          <w:trHeight w:val="237" w:hRule="atLeast"/>
        </w:trPr>
        <w:tc>
          <w:tcPr>
            <w:tcW w:w="3930" w:type="dxa"/>
          </w:tcPr>
          <w:p>
            <w:pPr>
              <w:pStyle w:val="TableParagraph"/>
              <w:spacing w:before="34"/>
              <w:ind w:left="72"/>
              <w:rPr>
                <w:rFonts w:ascii="Caladea" w:hAnsi="Caladea"/>
                <w:b/>
                <w:sz w:val="14"/>
              </w:rPr>
            </w:pPr>
            <w:r>
              <w:rPr>
                <w:rFonts w:ascii="Caladea" w:hAnsi="Caladea"/>
                <w:b/>
                <w:sz w:val="14"/>
              </w:rPr>
              <w:t>Efeito da Variação do CDI</w:t>
            </w:r>
          </w:p>
        </w:tc>
        <w:tc>
          <w:tcPr>
            <w:tcW w:w="1265" w:type="dxa"/>
          </w:tcPr>
          <w:p>
            <w:pPr>
              <w:pStyle w:val="TableParagraph"/>
              <w:rPr>
                <w:rFonts w:ascii="Times New Roman"/>
                <w:sz w:val="14"/>
              </w:rPr>
            </w:pPr>
          </w:p>
        </w:tc>
        <w:tc>
          <w:tcPr>
            <w:tcW w:w="1469" w:type="dxa"/>
          </w:tcPr>
          <w:p>
            <w:pPr>
              <w:pStyle w:val="TableParagraph"/>
              <w:spacing w:before="36"/>
              <w:ind w:right="59"/>
              <w:jc w:val="right"/>
              <w:rPr>
                <w:sz w:val="14"/>
              </w:rPr>
            </w:pPr>
            <w:r>
              <w:rPr>
                <w:sz w:val="14"/>
              </w:rPr>
              <w:t>(19.730)</w:t>
            </w:r>
          </w:p>
        </w:tc>
        <w:tc>
          <w:tcPr>
            <w:tcW w:w="1657" w:type="dxa"/>
          </w:tcPr>
          <w:p>
            <w:pPr>
              <w:pStyle w:val="TableParagraph"/>
              <w:spacing w:before="36"/>
              <w:ind w:right="57"/>
              <w:jc w:val="right"/>
              <w:rPr>
                <w:sz w:val="14"/>
              </w:rPr>
            </w:pPr>
            <w:r>
              <w:rPr>
                <w:sz w:val="14"/>
              </w:rPr>
              <w:t>(24.650)</w:t>
            </w:r>
          </w:p>
        </w:tc>
        <w:tc>
          <w:tcPr>
            <w:tcW w:w="1596" w:type="dxa"/>
          </w:tcPr>
          <w:p>
            <w:pPr>
              <w:pStyle w:val="TableParagraph"/>
              <w:spacing w:before="36"/>
              <w:ind w:right="60"/>
              <w:jc w:val="right"/>
              <w:rPr>
                <w:sz w:val="14"/>
              </w:rPr>
            </w:pPr>
            <w:r>
              <w:rPr>
                <w:sz w:val="14"/>
              </w:rPr>
              <w:t>(29.618)</w:t>
            </w:r>
          </w:p>
        </w:tc>
      </w:tr>
      <w:tr>
        <w:trPr>
          <w:trHeight w:val="239" w:hRule="atLeast"/>
        </w:trPr>
        <w:tc>
          <w:tcPr>
            <w:tcW w:w="3930" w:type="dxa"/>
            <w:vMerge w:val="restart"/>
            <w:shd w:val="clear" w:color="auto" w:fill="D9D9D9"/>
          </w:tcPr>
          <w:p>
            <w:pPr>
              <w:pStyle w:val="TableParagraph"/>
              <w:rPr>
                <w:sz w:val="16"/>
              </w:rPr>
            </w:pPr>
          </w:p>
          <w:p>
            <w:pPr>
              <w:pStyle w:val="TableParagraph"/>
              <w:spacing w:before="99"/>
              <w:ind w:left="72"/>
              <w:rPr>
                <w:rFonts w:ascii="Caladea"/>
                <w:b/>
                <w:sz w:val="14"/>
              </w:rPr>
            </w:pPr>
            <w:r>
              <w:rPr>
                <w:rFonts w:ascii="Caladea"/>
                <w:b/>
                <w:sz w:val="14"/>
              </w:rPr>
              <w:t>Alta do CDI</w:t>
            </w:r>
          </w:p>
        </w:tc>
        <w:tc>
          <w:tcPr>
            <w:tcW w:w="1265" w:type="dxa"/>
            <w:vMerge w:val="restart"/>
          </w:tcPr>
          <w:p>
            <w:pPr>
              <w:pStyle w:val="TableParagraph"/>
              <w:spacing w:before="5"/>
              <w:rPr>
                <w:sz w:val="17"/>
              </w:rPr>
            </w:pPr>
          </w:p>
          <w:p>
            <w:pPr>
              <w:pStyle w:val="TableParagraph"/>
              <w:ind w:left="383" w:right="127" w:hanging="75"/>
              <w:rPr>
                <w:rFonts w:ascii="Caladea" w:hAnsi="Caladea"/>
                <w:b/>
                <w:sz w:val="14"/>
              </w:rPr>
            </w:pPr>
            <w:r>
              <w:rPr>
                <w:rFonts w:ascii="Caladea" w:hAnsi="Caladea"/>
                <w:b/>
                <w:w w:val="95"/>
                <w:sz w:val="14"/>
              </w:rPr>
              <w:t>Exposição </w:t>
            </w:r>
            <w:r>
              <w:rPr>
                <w:rFonts w:ascii="Caladea" w:hAnsi="Caladea"/>
                <w:b/>
                <w:sz w:val="14"/>
              </w:rPr>
              <w:t>(R$ mil)</w:t>
            </w:r>
          </w:p>
        </w:tc>
        <w:tc>
          <w:tcPr>
            <w:tcW w:w="4722" w:type="dxa"/>
            <w:gridSpan w:val="3"/>
          </w:tcPr>
          <w:p>
            <w:pPr>
              <w:pStyle w:val="TableParagraph"/>
              <w:spacing w:before="37"/>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31/12/2018</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5"/>
              <w:ind w:left="448"/>
              <w:rPr>
                <w:rFonts w:ascii="Caladea" w:hAnsi="Caladea"/>
                <w:b/>
                <w:sz w:val="14"/>
              </w:rPr>
            </w:pPr>
            <w:r>
              <w:rPr>
                <w:rFonts w:ascii="Caladea" w:hAnsi="Caladea"/>
                <w:b/>
                <w:sz w:val="14"/>
              </w:rPr>
              <w:t>Provável</w:t>
            </w:r>
          </w:p>
        </w:tc>
        <w:tc>
          <w:tcPr>
            <w:tcW w:w="1657" w:type="dxa"/>
          </w:tcPr>
          <w:p>
            <w:pPr>
              <w:pStyle w:val="TableParagraph"/>
              <w:rPr>
                <w:rFonts w:ascii="Times New Roman"/>
                <w:sz w:val="14"/>
              </w:rPr>
            </w:pPr>
          </w:p>
        </w:tc>
        <w:tc>
          <w:tcPr>
            <w:tcW w:w="1596" w:type="dxa"/>
          </w:tcPr>
          <w:p>
            <w:pPr>
              <w:pStyle w:val="TableParagraph"/>
              <w:spacing w:before="35"/>
              <w:ind w:left="512"/>
              <w:rPr>
                <w:rFonts w:ascii="Caladea" w:hAnsi="Caladea"/>
                <w:b/>
                <w:sz w:val="14"/>
              </w:rPr>
            </w:pPr>
            <w:r>
              <w:rPr>
                <w:rFonts w:ascii="Caladea" w:hAnsi="Caladea"/>
                <w:b/>
                <w:sz w:val="14"/>
              </w:rPr>
              <w:t>Provável</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5"/>
              <w:ind w:right="61"/>
              <w:jc w:val="right"/>
              <w:rPr>
                <w:rFonts w:ascii="Caladea"/>
                <w:b/>
                <w:sz w:val="14"/>
              </w:rPr>
            </w:pPr>
            <w:r>
              <w:rPr>
                <w:rFonts w:ascii="Caladea"/>
                <w:b/>
                <w:sz w:val="14"/>
              </w:rPr>
              <w:t>6,5%</w:t>
            </w:r>
          </w:p>
        </w:tc>
        <w:tc>
          <w:tcPr>
            <w:tcW w:w="1657" w:type="dxa"/>
          </w:tcPr>
          <w:p>
            <w:pPr>
              <w:pStyle w:val="TableParagraph"/>
              <w:spacing w:before="35"/>
              <w:ind w:right="59"/>
              <w:jc w:val="right"/>
              <w:rPr>
                <w:rFonts w:ascii="Caladea"/>
                <w:b/>
                <w:sz w:val="14"/>
              </w:rPr>
            </w:pPr>
            <w:r>
              <w:rPr>
                <w:rFonts w:ascii="Caladea"/>
                <w:b/>
                <w:sz w:val="14"/>
              </w:rPr>
              <w:t>8,13%</w:t>
            </w:r>
          </w:p>
        </w:tc>
        <w:tc>
          <w:tcPr>
            <w:tcW w:w="1596" w:type="dxa"/>
          </w:tcPr>
          <w:p>
            <w:pPr>
              <w:pStyle w:val="TableParagraph"/>
              <w:spacing w:before="35"/>
              <w:ind w:right="62"/>
              <w:jc w:val="right"/>
              <w:rPr>
                <w:rFonts w:ascii="Caladea"/>
                <w:b/>
                <w:sz w:val="14"/>
              </w:rPr>
            </w:pPr>
            <w:r>
              <w:rPr>
                <w:rFonts w:ascii="Caladea"/>
                <w:b/>
                <w:sz w:val="14"/>
              </w:rPr>
              <w:t>9,75%</w:t>
            </w:r>
          </w:p>
        </w:tc>
      </w:tr>
      <w:tr>
        <w:trPr>
          <w:trHeight w:val="239" w:hRule="atLeast"/>
        </w:trPr>
        <w:tc>
          <w:tcPr>
            <w:tcW w:w="3930" w:type="dxa"/>
          </w:tcPr>
          <w:p>
            <w:pPr>
              <w:pStyle w:val="TableParagraph"/>
              <w:rPr>
                <w:rFonts w:ascii="Times New Roman"/>
                <w:sz w:val="14"/>
              </w:rPr>
            </w:pPr>
          </w:p>
        </w:tc>
        <w:tc>
          <w:tcPr>
            <w:tcW w:w="1265" w:type="dxa"/>
          </w:tcPr>
          <w:p>
            <w:pPr>
              <w:pStyle w:val="TableParagraph"/>
              <w:spacing w:before="38"/>
              <w:ind w:right="60"/>
              <w:jc w:val="right"/>
              <w:rPr>
                <w:sz w:val="14"/>
              </w:rPr>
            </w:pPr>
            <w:r>
              <w:rPr>
                <w:w w:val="95"/>
                <w:sz w:val="14"/>
              </w:rPr>
              <w:t>479.606</w:t>
            </w:r>
          </w:p>
        </w:tc>
        <w:tc>
          <w:tcPr>
            <w:tcW w:w="1469" w:type="dxa"/>
          </w:tcPr>
          <w:p>
            <w:pPr>
              <w:pStyle w:val="TableParagraph"/>
              <w:spacing w:before="38"/>
              <w:ind w:right="60"/>
              <w:jc w:val="right"/>
              <w:rPr>
                <w:sz w:val="14"/>
              </w:rPr>
            </w:pPr>
            <w:r>
              <w:rPr>
                <w:w w:val="95"/>
                <w:sz w:val="14"/>
              </w:rPr>
              <w:t>510.780</w:t>
            </w:r>
          </w:p>
        </w:tc>
        <w:tc>
          <w:tcPr>
            <w:tcW w:w="1657" w:type="dxa"/>
          </w:tcPr>
          <w:p>
            <w:pPr>
              <w:pStyle w:val="TableParagraph"/>
              <w:spacing w:before="38"/>
              <w:ind w:right="58"/>
              <w:jc w:val="right"/>
              <w:rPr>
                <w:sz w:val="14"/>
              </w:rPr>
            </w:pPr>
            <w:r>
              <w:rPr>
                <w:w w:val="95"/>
                <w:sz w:val="14"/>
              </w:rPr>
              <w:t>518.598</w:t>
            </w:r>
          </w:p>
        </w:tc>
        <w:tc>
          <w:tcPr>
            <w:tcW w:w="1596" w:type="dxa"/>
          </w:tcPr>
          <w:p>
            <w:pPr>
              <w:pStyle w:val="TableParagraph"/>
              <w:spacing w:before="38"/>
              <w:ind w:right="60"/>
              <w:jc w:val="right"/>
              <w:rPr>
                <w:sz w:val="14"/>
              </w:rPr>
            </w:pPr>
            <w:r>
              <w:rPr>
                <w:sz w:val="14"/>
              </w:rPr>
              <w:t>526.368</w:t>
            </w:r>
          </w:p>
        </w:tc>
      </w:tr>
      <w:tr>
        <w:trPr>
          <w:trHeight w:val="237" w:hRule="atLeast"/>
        </w:trPr>
        <w:tc>
          <w:tcPr>
            <w:tcW w:w="3930" w:type="dxa"/>
          </w:tcPr>
          <w:p>
            <w:pPr>
              <w:pStyle w:val="TableParagraph"/>
              <w:spacing w:before="34"/>
              <w:ind w:left="72"/>
              <w:rPr>
                <w:rFonts w:ascii="Caladea" w:hAnsi="Caladea"/>
                <w:b/>
                <w:sz w:val="14"/>
              </w:rPr>
            </w:pPr>
            <w:r>
              <w:rPr>
                <w:rFonts w:ascii="Caladea" w:hAnsi="Caladea"/>
                <w:b/>
                <w:sz w:val="14"/>
              </w:rPr>
              <w:t>Efeito da Variação do CDI</w:t>
            </w:r>
          </w:p>
        </w:tc>
        <w:tc>
          <w:tcPr>
            <w:tcW w:w="1265" w:type="dxa"/>
          </w:tcPr>
          <w:p>
            <w:pPr>
              <w:pStyle w:val="TableParagraph"/>
              <w:rPr>
                <w:rFonts w:ascii="Times New Roman"/>
                <w:sz w:val="14"/>
              </w:rPr>
            </w:pPr>
          </w:p>
        </w:tc>
        <w:tc>
          <w:tcPr>
            <w:tcW w:w="1469" w:type="dxa"/>
          </w:tcPr>
          <w:p>
            <w:pPr>
              <w:pStyle w:val="TableParagraph"/>
              <w:spacing w:before="36"/>
              <w:ind w:right="59"/>
              <w:jc w:val="right"/>
              <w:rPr>
                <w:sz w:val="14"/>
              </w:rPr>
            </w:pPr>
            <w:r>
              <w:rPr>
                <w:sz w:val="14"/>
              </w:rPr>
              <w:t>(31.174)</w:t>
            </w:r>
          </w:p>
        </w:tc>
        <w:tc>
          <w:tcPr>
            <w:tcW w:w="1657" w:type="dxa"/>
          </w:tcPr>
          <w:p>
            <w:pPr>
              <w:pStyle w:val="TableParagraph"/>
              <w:spacing w:before="36"/>
              <w:ind w:right="57"/>
              <w:jc w:val="right"/>
              <w:rPr>
                <w:sz w:val="14"/>
              </w:rPr>
            </w:pPr>
            <w:r>
              <w:rPr>
                <w:sz w:val="14"/>
              </w:rPr>
              <w:t>(38.992)</w:t>
            </w:r>
          </w:p>
        </w:tc>
        <w:tc>
          <w:tcPr>
            <w:tcW w:w="1596" w:type="dxa"/>
          </w:tcPr>
          <w:p>
            <w:pPr>
              <w:pStyle w:val="TableParagraph"/>
              <w:spacing w:before="36"/>
              <w:ind w:right="60"/>
              <w:jc w:val="right"/>
              <w:rPr>
                <w:sz w:val="14"/>
              </w:rPr>
            </w:pPr>
            <w:r>
              <w:rPr>
                <w:sz w:val="14"/>
              </w:rPr>
              <w:t>(46.762)</w:t>
            </w:r>
          </w:p>
        </w:tc>
      </w:tr>
    </w:tbl>
    <w:p>
      <w:pPr>
        <w:pStyle w:val="BodyText"/>
        <w:spacing w:before="8"/>
        <w:rPr>
          <w:sz w:val="22"/>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0"/>
        <w:gridCol w:w="1265"/>
        <w:gridCol w:w="1469"/>
        <w:gridCol w:w="1657"/>
        <w:gridCol w:w="1596"/>
      </w:tblGrid>
      <w:tr>
        <w:trPr>
          <w:trHeight w:val="237"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da TLP</w:t>
            </w:r>
          </w:p>
        </w:tc>
        <w:tc>
          <w:tcPr>
            <w:tcW w:w="1265" w:type="dxa"/>
            <w:vMerge w:val="restart"/>
          </w:tcPr>
          <w:p>
            <w:pPr>
              <w:pStyle w:val="TableParagraph"/>
              <w:spacing w:before="3"/>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5"/>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31/12/2019</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left="448"/>
              <w:rPr>
                <w:rFonts w:ascii="Caladea" w:hAnsi="Caladea"/>
                <w:b/>
                <w:sz w:val="14"/>
              </w:rPr>
            </w:pPr>
            <w:r>
              <w:rPr>
                <w:rFonts w:ascii="Caladea" w:hAnsi="Caladea"/>
                <w:b/>
                <w:sz w:val="14"/>
              </w:rPr>
              <w:t>Provável</w:t>
            </w:r>
          </w:p>
        </w:tc>
        <w:tc>
          <w:tcPr>
            <w:tcW w:w="1657" w:type="dxa"/>
          </w:tcPr>
          <w:p>
            <w:pPr>
              <w:pStyle w:val="TableParagraph"/>
              <w:spacing w:before="37"/>
              <w:ind w:left="347"/>
              <w:rPr>
                <w:rFonts w:ascii="Caladea" w:hAnsi="Caladea"/>
                <w:b/>
                <w:sz w:val="14"/>
              </w:rPr>
            </w:pPr>
            <w:r>
              <w:rPr>
                <w:rFonts w:ascii="Caladea" w:hAnsi="Caladea"/>
                <w:b/>
                <w:w w:val="110"/>
                <w:sz w:val="14"/>
              </w:rPr>
              <w:t>Possível </w:t>
            </w:r>
            <w:r>
              <w:rPr>
                <w:b/>
                <w:w w:val="110"/>
                <w:sz w:val="14"/>
              </w:rPr>
              <w:t>– </w:t>
            </w:r>
            <w:r>
              <w:rPr>
                <w:rFonts w:ascii="Caladea" w:hAnsi="Caladea"/>
                <w:b/>
                <w:w w:val="110"/>
                <w:sz w:val="14"/>
              </w:rPr>
              <w:t>25%</w:t>
            </w:r>
          </w:p>
        </w:tc>
        <w:tc>
          <w:tcPr>
            <w:tcW w:w="1596" w:type="dxa"/>
          </w:tcPr>
          <w:p>
            <w:pPr>
              <w:pStyle w:val="TableParagraph"/>
              <w:spacing w:before="37"/>
              <w:ind w:left="330"/>
              <w:rPr>
                <w:rFonts w:ascii="Caladea" w:hAnsi="Caladea"/>
                <w:b/>
                <w:sz w:val="14"/>
              </w:rPr>
            </w:pPr>
            <w:r>
              <w:rPr>
                <w:rFonts w:ascii="Caladea" w:hAnsi="Caladea"/>
                <w:b/>
                <w:w w:val="110"/>
                <w:sz w:val="14"/>
              </w:rPr>
              <w:t>Remoto </w:t>
            </w:r>
            <w:r>
              <w:rPr>
                <w:b/>
                <w:w w:val="110"/>
                <w:sz w:val="14"/>
              </w:rPr>
              <w:t>– </w:t>
            </w:r>
            <w:r>
              <w:rPr>
                <w:rFonts w:ascii="Caladea" w:hAnsi="Caladea"/>
                <w:b/>
                <w:w w:val="110"/>
                <w:sz w:val="14"/>
              </w:rPr>
              <w:t>50%</w:t>
            </w:r>
          </w:p>
        </w:tc>
      </w:tr>
      <w:tr>
        <w:trPr>
          <w:trHeight w:val="239"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right="61"/>
              <w:jc w:val="right"/>
              <w:rPr>
                <w:rFonts w:ascii="Caladea"/>
                <w:b/>
                <w:sz w:val="14"/>
              </w:rPr>
            </w:pPr>
            <w:r>
              <w:rPr>
                <w:rFonts w:ascii="Caladea"/>
                <w:b/>
                <w:sz w:val="14"/>
              </w:rPr>
              <w:t>5,17%</w:t>
            </w:r>
          </w:p>
        </w:tc>
        <w:tc>
          <w:tcPr>
            <w:tcW w:w="1657" w:type="dxa"/>
          </w:tcPr>
          <w:p>
            <w:pPr>
              <w:pStyle w:val="TableParagraph"/>
              <w:spacing w:before="37"/>
              <w:ind w:right="59"/>
              <w:jc w:val="right"/>
              <w:rPr>
                <w:rFonts w:ascii="Caladea"/>
                <w:b/>
                <w:sz w:val="14"/>
              </w:rPr>
            </w:pPr>
            <w:r>
              <w:rPr>
                <w:rFonts w:ascii="Caladea"/>
                <w:b/>
                <w:sz w:val="14"/>
              </w:rPr>
              <w:t>6,46%</w:t>
            </w:r>
          </w:p>
        </w:tc>
        <w:tc>
          <w:tcPr>
            <w:tcW w:w="1596" w:type="dxa"/>
          </w:tcPr>
          <w:p>
            <w:pPr>
              <w:pStyle w:val="TableParagraph"/>
              <w:spacing w:before="37"/>
              <w:ind w:right="62"/>
              <w:jc w:val="right"/>
              <w:rPr>
                <w:rFonts w:ascii="Caladea"/>
                <w:b/>
                <w:sz w:val="14"/>
              </w:rPr>
            </w:pPr>
            <w:r>
              <w:rPr>
                <w:rFonts w:ascii="Caladea"/>
                <w:b/>
                <w:sz w:val="14"/>
              </w:rPr>
              <w:t>7,76%</w:t>
            </w:r>
          </w:p>
        </w:tc>
      </w:tr>
      <w:tr>
        <w:trPr>
          <w:trHeight w:val="237" w:hRule="atLeast"/>
        </w:trPr>
        <w:tc>
          <w:tcPr>
            <w:tcW w:w="3930" w:type="dxa"/>
          </w:tcPr>
          <w:p>
            <w:pPr>
              <w:pStyle w:val="TableParagraph"/>
              <w:rPr>
                <w:rFonts w:ascii="Times New Roman"/>
                <w:sz w:val="14"/>
              </w:rPr>
            </w:pPr>
          </w:p>
        </w:tc>
        <w:tc>
          <w:tcPr>
            <w:tcW w:w="1265" w:type="dxa"/>
          </w:tcPr>
          <w:p>
            <w:pPr>
              <w:pStyle w:val="TableParagraph"/>
              <w:spacing w:before="36"/>
              <w:ind w:right="60"/>
              <w:jc w:val="right"/>
              <w:rPr>
                <w:sz w:val="14"/>
              </w:rPr>
            </w:pPr>
            <w:r>
              <w:rPr>
                <w:w w:val="95"/>
                <w:sz w:val="14"/>
              </w:rPr>
              <w:t>29.614</w:t>
            </w:r>
          </w:p>
        </w:tc>
        <w:tc>
          <w:tcPr>
            <w:tcW w:w="1469" w:type="dxa"/>
          </w:tcPr>
          <w:p>
            <w:pPr>
              <w:pStyle w:val="TableParagraph"/>
              <w:spacing w:before="36"/>
              <w:ind w:right="59"/>
              <w:jc w:val="right"/>
              <w:rPr>
                <w:sz w:val="14"/>
              </w:rPr>
            </w:pPr>
            <w:r>
              <w:rPr>
                <w:w w:val="95"/>
                <w:sz w:val="14"/>
              </w:rPr>
              <w:t>31.145</w:t>
            </w:r>
          </w:p>
        </w:tc>
        <w:tc>
          <w:tcPr>
            <w:tcW w:w="1657" w:type="dxa"/>
          </w:tcPr>
          <w:p>
            <w:pPr>
              <w:pStyle w:val="TableParagraph"/>
              <w:spacing w:before="36"/>
              <w:ind w:right="57"/>
              <w:jc w:val="right"/>
              <w:rPr>
                <w:sz w:val="14"/>
              </w:rPr>
            </w:pPr>
            <w:r>
              <w:rPr>
                <w:w w:val="95"/>
                <w:sz w:val="14"/>
              </w:rPr>
              <w:t>31.527</w:t>
            </w:r>
          </w:p>
        </w:tc>
        <w:tc>
          <w:tcPr>
            <w:tcW w:w="1596" w:type="dxa"/>
          </w:tcPr>
          <w:p>
            <w:pPr>
              <w:pStyle w:val="TableParagraph"/>
              <w:spacing w:before="36"/>
              <w:ind w:right="60"/>
              <w:jc w:val="right"/>
              <w:rPr>
                <w:sz w:val="14"/>
              </w:rPr>
            </w:pPr>
            <w:r>
              <w:rPr>
                <w:w w:val="95"/>
                <w:sz w:val="14"/>
              </w:rPr>
              <w:t>31.912</w:t>
            </w:r>
          </w:p>
        </w:tc>
      </w:tr>
      <w:tr>
        <w:trPr>
          <w:trHeight w:val="237" w:hRule="atLeast"/>
        </w:trPr>
        <w:tc>
          <w:tcPr>
            <w:tcW w:w="3930" w:type="dxa"/>
          </w:tcPr>
          <w:p>
            <w:pPr>
              <w:pStyle w:val="TableParagraph"/>
              <w:spacing w:before="37"/>
              <w:ind w:left="72"/>
              <w:rPr>
                <w:rFonts w:ascii="Caladea" w:hAnsi="Caladea"/>
                <w:b/>
                <w:sz w:val="14"/>
              </w:rPr>
            </w:pPr>
            <w:r>
              <w:rPr>
                <w:rFonts w:ascii="Caladea" w:hAnsi="Caladea"/>
                <w:b/>
                <w:sz w:val="14"/>
              </w:rPr>
              <w:t>Efeito da Variação da TLP</w:t>
            </w:r>
          </w:p>
        </w:tc>
        <w:tc>
          <w:tcPr>
            <w:tcW w:w="1265" w:type="dxa"/>
          </w:tcPr>
          <w:p>
            <w:pPr>
              <w:pStyle w:val="TableParagraph"/>
              <w:rPr>
                <w:rFonts w:ascii="Times New Roman"/>
                <w:sz w:val="14"/>
              </w:rPr>
            </w:pPr>
          </w:p>
        </w:tc>
        <w:tc>
          <w:tcPr>
            <w:tcW w:w="1469" w:type="dxa"/>
          </w:tcPr>
          <w:p>
            <w:pPr>
              <w:pStyle w:val="TableParagraph"/>
              <w:spacing w:before="38"/>
              <w:ind w:right="60"/>
              <w:jc w:val="right"/>
              <w:rPr>
                <w:sz w:val="14"/>
              </w:rPr>
            </w:pPr>
            <w:r>
              <w:rPr>
                <w:w w:val="95"/>
                <w:sz w:val="14"/>
              </w:rPr>
              <w:t>(1.531)</w:t>
            </w:r>
          </w:p>
        </w:tc>
        <w:tc>
          <w:tcPr>
            <w:tcW w:w="1657" w:type="dxa"/>
          </w:tcPr>
          <w:p>
            <w:pPr>
              <w:pStyle w:val="TableParagraph"/>
              <w:spacing w:before="38"/>
              <w:ind w:right="58"/>
              <w:jc w:val="right"/>
              <w:rPr>
                <w:sz w:val="14"/>
              </w:rPr>
            </w:pPr>
            <w:r>
              <w:rPr>
                <w:w w:val="95"/>
                <w:sz w:val="14"/>
              </w:rPr>
              <w:t>(1.913)</w:t>
            </w:r>
          </w:p>
        </w:tc>
        <w:tc>
          <w:tcPr>
            <w:tcW w:w="1596" w:type="dxa"/>
          </w:tcPr>
          <w:p>
            <w:pPr>
              <w:pStyle w:val="TableParagraph"/>
              <w:spacing w:before="38"/>
              <w:ind w:right="60"/>
              <w:jc w:val="right"/>
              <w:rPr>
                <w:sz w:val="14"/>
              </w:rPr>
            </w:pPr>
            <w:r>
              <w:rPr>
                <w:sz w:val="14"/>
              </w:rPr>
              <w:t>(2.298)</w:t>
            </w:r>
          </w:p>
        </w:tc>
      </w:tr>
      <w:tr>
        <w:trPr>
          <w:trHeight w:val="239"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da TLP</w:t>
            </w:r>
          </w:p>
        </w:tc>
        <w:tc>
          <w:tcPr>
            <w:tcW w:w="1265" w:type="dxa"/>
            <w:vMerge w:val="restart"/>
          </w:tcPr>
          <w:p>
            <w:pPr>
              <w:pStyle w:val="TableParagraph"/>
              <w:spacing w:before="5"/>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7"/>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31/12/2018</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5"/>
              <w:ind w:left="448"/>
              <w:rPr>
                <w:rFonts w:ascii="Caladea" w:hAnsi="Caladea"/>
                <w:b/>
                <w:sz w:val="14"/>
              </w:rPr>
            </w:pPr>
            <w:r>
              <w:rPr>
                <w:rFonts w:ascii="Caladea" w:hAnsi="Caladea"/>
                <w:b/>
                <w:sz w:val="14"/>
              </w:rPr>
              <w:t>Provável</w:t>
            </w:r>
          </w:p>
        </w:tc>
        <w:tc>
          <w:tcPr>
            <w:tcW w:w="1657" w:type="dxa"/>
          </w:tcPr>
          <w:p>
            <w:pPr>
              <w:pStyle w:val="TableParagraph"/>
              <w:rPr>
                <w:rFonts w:ascii="Times New Roman"/>
                <w:sz w:val="14"/>
              </w:rPr>
            </w:pPr>
          </w:p>
        </w:tc>
        <w:tc>
          <w:tcPr>
            <w:tcW w:w="1596" w:type="dxa"/>
          </w:tcPr>
          <w:p>
            <w:pPr>
              <w:pStyle w:val="TableParagraph"/>
              <w:spacing w:before="35"/>
              <w:ind w:left="512"/>
              <w:rPr>
                <w:rFonts w:ascii="Caladea" w:hAnsi="Caladea"/>
                <w:b/>
                <w:sz w:val="14"/>
              </w:rPr>
            </w:pPr>
            <w:r>
              <w:rPr>
                <w:rFonts w:ascii="Caladea" w:hAnsi="Caladea"/>
                <w:b/>
                <w:sz w:val="14"/>
              </w:rPr>
              <w:t>Provável</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right="61"/>
              <w:jc w:val="right"/>
              <w:rPr>
                <w:rFonts w:ascii="Caladea"/>
                <w:b/>
                <w:sz w:val="14"/>
              </w:rPr>
            </w:pPr>
            <w:r>
              <w:rPr>
                <w:rFonts w:ascii="Caladea"/>
                <w:b/>
                <w:sz w:val="14"/>
              </w:rPr>
              <w:t>7,03%</w:t>
            </w:r>
          </w:p>
        </w:tc>
        <w:tc>
          <w:tcPr>
            <w:tcW w:w="1657" w:type="dxa"/>
          </w:tcPr>
          <w:p>
            <w:pPr>
              <w:pStyle w:val="TableParagraph"/>
              <w:spacing w:before="37"/>
              <w:ind w:right="59"/>
              <w:jc w:val="right"/>
              <w:rPr>
                <w:rFonts w:ascii="Caladea"/>
                <w:b/>
                <w:sz w:val="14"/>
              </w:rPr>
            </w:pPr>
            <w:r>
              <w:rPr>
                <w:rFonts w:ascii="Caladea"/>
                <w:b/>
                <w:sz w:val="14"/>
              </w:rPr>
              <w:t>8,79%</w:t>
            </w:r>
          </w:p>
        </w:tc>
        <w:tc>
          <w:tcPr>
            <w:tcW w:w="1596" w:type="dxa"/>
          </w:tcPr>
          <w:p>
            <w:pPr>
              <w:pStyle w:val="TableParagraph"/>
              <w:spacing w:before="37"/>
              <w:ind w:right="62"/>
              <w:jc w:val="right"/>
              <w:rPr>
                <w:rFonts w:ascii="Caladea"/>
                <w:b/>
                <w:sz w:val="14"/>
              </w:rPr>
            </w:pPr>
            <w:r>
              <w:rPr>
                <w:rFonts w:ascii="Caladea"/>
                <w:b/>
                <w:sz w:val="14"/>
              </w:rPr>
              <w:t>10,55%</w:t>
            </w:r>
          </w:p>
        </w:tc>
      </w:tr>
      <w:tr>
        <w:trPr>
          <w:trHeight w:val="239" w:hRule="atLeast"/>
        </w:trPr>
        <w:tc>
          <w:tcPr>
            <w:tcW w:w="3930" w:type="dxa"/>
          </w:tcPr>
          <w:p>
            <w:pPr>
              <w:pStyle w:val="TableParagraph"/>
              <w:rPr>
                <w:rFonts w:ascii="Times New Roman"/>
                <w:sz w:val="14"/>
              </w:rPr>
            </w:pPr>
          </w:p>
        </w:tc>
        <w:tc>
          <w:tcPr>
            <w:tcW w:w="1265" w:type="dxa"/>
          </w:tcPr>
          <w:p>
            <w:pPr>
              <w:pStyle w:val="TableParagraph"/>
              <w:spacing w:before="38"/>
              <w:ind w:right="60"/>
              <w:jc w:val="right"/>
              <w:rPr>
                <w:sz w:val="14"/>
              </w:rPr>
            </w:pPr>
            <w:r>
              <w:rPr>
                <w:w w:val="95"/>
                <w:sz w:val="14"/>
              </w:rPr>
              <w:t>50.686</w:t>
            </w:r>
          </w:p>
        </w:tc>
        <w:tc>
          <w:tcPr>
            <w:tcW w:w="1469" w:type="dxa"/>
          </w:tcPr>
          <w:p>
            <w:pPr>
              <w:pStyle w:val="TableParagraph"/>
              <w:spacing w:before="38"/>
              <w:ind w:right="59"/>
              <w:jc w:val="right"/>
              <w:rPr>
                <w:sz w:val="14"/>
              </w:rPr>
            </w:pPr>
            <w:r>
              <w:rPr>
                <w:w w:val="95"/>
                <w:sz w:val="14"/>
              </w:rPr>
              <w:t>54.249</w:t>
            </w:r>
          </w:p>
        </w:tc>
        <w:tc>
          <w:tcPr>
            <w:tcW w:w="1657" w:type="dxa"/>
          </w:tcPr>
          <w:p>
            <w:pPr>
              <w:pStyle w:val="TableParagraph"/>
              <w:spacing w:before="38"/>
              <w:ind w:right="57"/>
              <w:jc w:val="right"/>
              <w:rPr>
                <w:sz w:val="14"/>
              </w:rPr>
            </w:pPr>
            <w:r>
              <w:rPr>
                <w:w w:val="95"/>
                <w:sz w:val="14"/>
              </w:rPr>
              <w:t>55.141</w:t>
            </w:r>
          </w:p>
        </w:tc>
        <w:tc>
          <w:tcPr>
            <w:tcW w:w="1596" w:type="dxa"/>
          </w:tcPr>
          <w:p>
            <w:pPr>
              <w:pStyle w:val="TableParagraph"/>
              <w:spacing w:before="38"/>
              <w:ind w:right="60"/>
              <w:jc w:val="right"/>
              <w:rPr>
                <w:sz w:val="14"/>
              </w:rPr>
            </w:pPr>
            <w:r>
              <w:rPr>
                <w:w w:val="95"/>
                <w:sz w:val="14"/>
              </w:rPr>
              <w:t>56.033</w:t>
            </w:r>
          </w:p>
        </w:tc>
      </w:tr>
      <w:tr>
        <w:trPr>
          <w:trHeight w:val="237" w:hRule="atLeast"/>
        </w:trPr>
        <w:tc>
          <w:tcPr>
            <w:tcW w:w="3930" w:type="dxa"/>
          </w:tcPr>
          <w:p>
            <w:pPr>
              <w:pStyle w:val="TableParagraph"/>
              <w:spacing w:before="34"/>
              <w:ind w:left="72"/>
              <w:rPr>
                <w:rFonts w:ascii="Caladea" w:hAnsi="Caladea"/>
                <w:b/>
                <w:sz w:val="14"/>
              </w:rPr>
            </w:pPr>
            <w:r>
              <w:rPr>
                <w:rFonts w:ascii="Caladea" w:hAnsi="Caladea"/>
                <w:b/>
                <w:sz w:val="14"/>
              </w:rPr>
              <w:t>Efeito da Variação da TLP</w:t>
            </w:r>
          </w:p>
        </w:tc>
        <w:tc>
          <w:tcPr>
            <w:tcW w:w="1265" w:type="dxa"/>
          </w:tcPr>
          <w:p>
            <w:pPr>
              <w:pStyle w:val="TableParagraph"/>
              <w:rPr>
                <w:rFonts w:ascii="Times New Roman"/>
                <w:sz w:val="14"/>
              </w:rPr>
            </w:pPr>
          </w:p>
        </w:tc>
        <w:tc>
          <w:tcPr>
            <w:tcW w:w="1469" w:type="dxa"/>
          </w:tcPr>
          <w:p>
            <w:pPr>
              <w:pStyle w:val="TableParagraph"/>
              <w:spacing w:before="36"/>
              <w:ind w:right="60"/>
              <w:jc w:val="right"/>
              <w:rPr>
                <w:sz w:val="14"/>
              </w:rPr>
            </w:pPr>
            <w:r>
              <w:rPr>
                <w:w w:val="95"/>
                <w:sz w:val="14"/>
              </w:rPr>
              <w:t>(3.563)</w:t>
            </w:r>
          </w:p>
        </w:tc>
        <w:tc>
          <w:tcPr>
            <w:tcW w:w="1657" w:type="dxa"/>
          </w:tcPr>
          <w:p>
            <w:pPr>
              <w:pStyle w:val="TableParagraph"/>
              <w:spacing w:before="36"/>
              <w:ind w:right="58"/>
              <w:jc w:val="right"/>
              <w:rPr>
                <w:sz w:val="14"/>
              </w:rPr>
            </w:pPr>
            <w:r>
              <w:rPr>
                <w:w w:val="95"/>
                <w:sz w:val="14"/>
              </w:rPr>
              <w:t>(4.455)</w:t>
            </w:r>
          </w:p>
        </w:tc>
        <w:tc>
          <w:tcPr>
            <w:tcW w:w="1596" w:type="dxa"/>
          </w:tcPr>
          <w:p>
            <w:pPr>
              <w:pStyle w:val="TableParagraph"/>
              <w:spacing w:before="36"/>
              <w:ind w:right="60"/>
              <w:jc w:val="right"/>
              <w:rPr>
                <w:sz w:val="14"/>
              </w:rPr>
            </w:pPr>
            <w:r>
              <w:rPr>
                <w:w w:val="95"/>
                <w:sz w:val="14"/>
              </w:rPr>
              <w:t>(5.347)</w:t>
            </w:r>
          </w:p>
        </w:tc>
      </w:tr>
    </w:tbl>
    <w:p>
      <w:pPr>
        <w:pStyle w:val="BodyText"/>
        <w:spacing w:before="8"/>
        <w:rPr>
          <w:sz w:val="22"/>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0"/>
        <w:gridCol w:w="1265"/>
        <w:gridCol w:w="1469"/>
        <w:gridCol w:w="1657"/>
        <w:gridCol w:w="1596"/>
      </w:tblGrid>
      <w:tr>
        <w:trPr>
          <w:trHeight w:val="237"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do IGP-M</w:t>
            </w:r>
          </w:p>
        </w:tc>
        <w:tc>
          <w:tcPr>
            <w:tcW w:w="1265" w:type="dxa"/>
            <w:vMerge w:val="restart"/>
          </w:tcPr>
          <w:p>
            <w:pPr>
              <w:pStyle w:val="TableParagraph"/>
              <w:spacing w:before="5"/>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7"/>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31/12/2019</w:t>
            </w:r>
          </w:p>
        </w:tc>
      </w:tr>
      <w:tr>
        <w:trPr>
          <w:trHeight w:val="239"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left="448"/>
              <w:rPr>
                <w:rFonts w:ascii="Caladea" w:hAnsi="Caladea"/>
                <w:b/>
                <w:sz w:val="14"/>
              </w:rPr>
            </w:pPr>
            <w:r>
              <w:rPr>
                <w:rFonts w:ascii="Caladea" w:hAnsi="Caladea"/>
                <w:b/>
                <w:sz w:val="14"/>
              </w:rPr>
              <w:t>Provável</w:t>
            </w:r>
          </w:p>
        </w:tc>
        <w:tc>
          <w:tcPr>
            <w:tcW w:w="1657" w:type="dxa"/>
          </w:tcPr>
          <w:p>
            <w:pPr>
              <w:pStyle w:val="TableParagraph"/>
              <w:spacing w:before="37"/>
              <w:ind w:left="347"/>
              <w:rPr>
                <w:rFonts w:ascii="Caladea" w:hAnsi="Caladea"/>
                <w:b/>
                <w:sz w:val="14"/>
              </w:rPr>
            </w:pPr>
            <w:r>
              <w:rPr>
                <w:rFonts w:ascii="Caladea" w:hAnsi="Caladea"/>
                <w:b/>
                <w:w w:val="110"/>
                <w:sz w:val="14"/>
              </w:rPr>
              <w:t>Possível </w:t>
            </w:r>
            <w:r>
              <w:rPr>
                <w:b/>
                <w:w w:val="110"/>
                <w:sz w:val="14"/>
              </w:rPr>
              <w:t>– </w:t>
            </w:r>
            <w:r>
              <w:rPr>
                <w:rFonts w:ascii="Caladea" w:hAnsi="Caladea"/>
                <w:b/>
                <w:w w:val="110"/>
                <w:sz w:val="14"/>
              </w:rPr>
              <w:t>25%</w:t>
            </w:r>
          </w:p>
        </w:tc>
        <w:tc>
          <w:tcPr>
            <w:tcW w:w="1596" w:type="dxa"/>
          </w:tcPr>
          <w:p>
            <w:pPr>
              <w:pStyle w:val="TableParagraph"/>
              <w:spacing w:before="37"/>
              <w:ind w:left="330"/>
              <w:rPr>
                <w:rFonts w:ascii="Caladea" w:hAnsi="Caladea"/>
                <w:b/>
                <w:sz w:val="14"/>
              </w:rPr>
            </w:pPr>
            <w:r>
              <w:rPr>
                <w:rFonts w:ascii="Caladea" w:hAnsi="Caladea"/>
                <w:b/>
                <w:w w:val="110"/>
                <w:sz w:val="14"/>
              </w:rPr>
              <w:t>Remoto </w:t>
            </w:r>
            <w:r>
              <w:rPr>
                <w:b/>
                <w:w w:val="110"/>
                <w:sz w:val="14"/>
              </w:rPr>
              <w:t>– </w:t>
            </w:r>
            <w:r>
              <w:rPr>
                <w:rFonts w:ascii="Caladea" w:hAnsi="Caladea"/>
                <w:b/>
                <w:w w:val="110"/>
                <w:sz w:val="14"/>
              </w:rPr>
              <w:t>50%</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4"/>
              <w:ind w:right="61"/>
              <w:jc w:val="right"/>
              <w:rPr>
                <w:rFonts w:ascii="Caladea"/>
                <w:b/>
                <w:sz w:val="14"/>
              </w:rPr>
            </w:pPr>
            <w:r>
              <w:rPr>
                <w:rFonts w:ascii="Caladea"/>
                <w:b/>
                <w:sz w:val="14"/>
              </w:rPr>
              <w:t>4,04%</w:t>
            </w:r>
          </w:p>
        </w:tc>
        <w:tc>
          <w:tcPr>
            <w:tcW w:w="1657" w:type="dxa"/>
          </w:tcPr>
          <w:p>
            <w:pPr>
              <w:pStyle w:val="TableParagraph"/>
              <w:spacing w:before="34"/>
              <w:ind w:right="59"/>
              <w:jc w:val="right"/>
              <w:rPr>
                <w:rFonts w:ascii="Caladea"/>
                <w:b/>
                <w:sz w:val="14"/>
              </w:rPr>
            </w:pPr>
            <w:r>
              <w:rPr>
                <w:rFonts w:ascii="Caladea"/>
                <w:b/>
                <w:sz w:val="14"/>
              </w:rPr>
              <w:t>5,05%</w:t>
            </w:r>
          </w:p>
        </w:tc>
        <w:tc>
          <w:tcPr>
            <w:tcW w:w="1596" w:type="dxa"/>
          </w:tcPr>
          <w:p>
            <w:pPr>
              <w:pStyle w:val="TableParagraph"/>
              <w:spacing w:before="34"/>
              <w:ind w:right="62"/>
              <w:jc w:val="right"/>
              <w:rPr>
                <w:rFonts w:ascii="Caladea"/>
                <w:b/>
                <w:sz w:val="14"/>
              </w:rPr>
            </w:pPr>
            <w:r>
              <w:rPr>
                <w:rFonts w:ascii="Caladea"/>
                <w:b/>
                <w:sz w:val="14"/>
              </w:rPr>
              <w:t>6,06%</w:t>
            </w:r>
          </w:p>
        </w:tc>
      </w:tr>
      <w:tr>
        <w:trPr>
          <w:trHeight w:val="237" w:hRule="atLeast"/>
        </w:trPr>
        <w:tc>
          <w:tcPr>
            <w:tcW w:w="3930" w:type="dxa"/>
            <w:vMerge w:val="restart"/>
          </w:tcPr>
          <w:p>
            <w:pPr>
              <w:pStyle w:val="TableParagraph"/>
              <w:rPr>
                <w:sz w:val="16"/>
              </w:rPr>
            </w:pPr>
          </w:p>
          <w:p>
            <w:pPr>
              <w:pStyle w:val="TableParagraph"/>
              <w:spacing w:before="98"/>
              <w:ind w:left="72"/>
              <w:rPr>
                <w:rFonts w:ascii="Caladea" w:hAnsi="Caladea"/>
                <w:b/>
                <w:sz w:val="14"/>
              </w:rPr>
            </w:pPr>
            <w:r>
              <w:rPr>
                <w:rFonts w:ascii="Caladea" w:hAnsi="Caladea"/>
                <w:b/>
                <w:sz w:val="14"/>
              </w:rPr>
              <w:t>Efeito da Variação do IGP-M</w:t>
            </w:r>
          </w:p>
        </w:tc>
        <w:tc>
          <w:tcPr>
            <w:tcW w:w="1265" w:type="dxa"/>
          </w:tcPr>
          <w:p>
            <w:pPr>
              <w:pStyle w:val="TableParagraph"/>
              <w:spacing w:before="38"/>
              <w:ind w:right="60"/>
              <w:jc w:val="right"/>
              <w:rPr>
                <w:sz w:val="14"/>
              </w:rPr>
            </w:pPr>
            <w:r>
              <w:rPr>
                <w:sz w:val="14"/>
              </w:rPr>
              <w:t>200</w:t>
            </w:r>
          </w:p>
        </w:tc>
        <w:tc>
          <w:tcPr>
            <w:tcW w:w="1469" w:type="dxa"/>
          </w:tcPr>
          <w:p>
            <w:pPr>
              <w:pStyle w:val="TableParagraph"/>
              <w:spacing w:before="38"/>
              <w:ind w:right="60"/>
              <w:jc w:val="right"/>
              <w:rPr>
                <w:sz w:val="14"/>
              </w:rPr>
            </w:pPr>
            <w:r>
              <w:rPr>
                <w:sz w:val="14"/>
              </w:rPr>
              <w:t>208</w:t>
            </w:r>
          </w:p>
        </w:tc>
        <w:tc>
          <w:tcPr>
            <w:tcW w:w="1657" w:type="dxa"/>
          </w:tcPr>
          <w:p>
            <w:pPr>
              <w:pStyle w:val="TableParagraph"/>
              <w:spacing w:before="38"/>
              <w:ind w:right="58"/>
              <w:jc w:val="right"/>
              <w:rPr>
                <w:sz w:val="14"/>
              </w:rPr>
            </w:pPr>
            <w:r>
              <w:rPr>
                <w:sz w:val="14"/>
              </w:rPr>
              <w:t>210</w:t>
            </w:r>
          </w:p>
        </w:tc>
        <w:tc>
          <w:tcPr>
            <w:tcW w:w="1596" w:type="dxa"/>
          </w:tcPr>
          <w:p>
            <w:pPr>
              <w:pStyle w:val="TableParagraph"/>
              <w:spacing w:before="38"/>
              <w:ind w:right="60"/>
              <w:jc w:val="right"/>
              <w:rPr>
                <w:sz w:val="14"/>
              </w:rPr>
            </w:pPr>
            <w:r>
              <w:rPr>
                <w:sz w:val="14"/>
              </w:rPr>
              <w:t>212</w:t>
            </w:r>
          </w:p>
        </w:tc>
      </w:tr>
      <w:tr>
        <w:trPr>
          <w:trHeight w:val="239" w:hRule="atLeast"/>
        </w:trPr>
        <w:tc>
          <w:tcPr>
            <w:tcW w:w="3930" w:type="dxa"/>
            <w:vMerge/>
            <w:tcBorders>
              <w:top w:val="nil"/>
            </w:tcBorders>
          </w:tcPr>
          <w:p>
            <w:pPr>
              <w:rPr>
                <w:sz w:val="2"/>
                <w:szCs w:val="2"/>
              </w:rPr>
            </w:pPr>
          </w:p>
        </w:tc>
        <w:tc>
          <w:tcPr>
            <w:tcW w:w="1265" w:type="dxa"/>
          </w:tcPr>
          <w:p>
            <w:pPr>
              <w:pStyle w:val="TableParagraph"/>
              <w:rPr>
                <w:rFonts w:ascii="Times New Roman"/>
                <w:sz w:val="14"/>
              </w:rPr>
            </w:pPr>
          </w:p>
        </w:tc>
        <w:tc>
          <w:tcPr>
            <w:tcW w:w="1469" w:type="dxa"/>
          </w:tcPr>
          <w:p>
            <w:pPr>
              <w:pStyle w:val="TableParagraph"/>
              <w:spacing w:before="38"/>
              <w:ind w:right="60"/>
              <w:jc w:val="right"/>
              <w:rPr>
                <w:sz w:val="14"/>
              </w:rPr>
            </w:pPr>
            <w:r>
              <w:rPr>
                <w:sz w:val="14"/>
              </w:rPr>
              <w:t>(8)</w:t>
            </w:r>
          </w:p>
        </w:tc>
        <w:tc>
          <w:tcPr>
            <w:tcW w:w="1657" w:type="dxa"/>
          </w:tcPr>
          <w:p>
            <w:pPr>
              <w:pStyle w:val="TableParagraph"/>
              <w:spacing w:before="38"/>
              <w:ind w:right="58"/>
              <w:jc w:val="right"/>
              <w:rPr>
                <w:sz w:val="14"/>
              </w:rPr>
            </w:pPr>
            <w:r>
              <w:rPr>
                <w:sz w:val="14"/>
              </w:rPr>
              <w:t>(10)</w:t>
            </w:r>
          </w:p>
        </w:tc>
        <w:tc>
          <w:tcPr>
            <w:tcW w:w="1596" w:type="dxa"/>
          </w:tcPr>
          <w:p>
            <w:pPr>
              <w:pStyle w:val="TableParagraph"/>
              <w:spacing w:before="38"/>
              <w:ind w:right="60"/>
              <w:jc w:val="right"/>
              <w:rPr>
                <w:sz w:val="14"/>
              </w:rPr>
            </w:pPr>
            <w:r>
              <w:rPr>
                <w:sz w:val="14"/>
              </w:rPr>
              <w:t>(12)</w:t>
            </w:r>
          </w:p>
        </w:tc>
      </w:tr>
      <w:tr>
        <w:trPr>
          <w:trHeight w:val="237"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do IGP-M</w:t>
            </w:r>
          </w:p>
        </w:tc>
        <w:tc>
          <w:tcPr>
            <w:tcW w:w="1265" w:type="dxa"/>
            <w:vMerge w:val="restart"/>
          </w:tcPr>
          <w:p>
            <w:pPr>
              <w:pStyle w:val="TableParagraph"/>
              <w:spacing w:before="3"/>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4"/>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31/12/2018</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left="448"/>
              <w:rPr>
                <w:rFonts w:ascii="Caladea" w:hAnsi="Caladea"/>
                <w:b/>
                <w:sz w:val="14"/>
              </w:rPr>
            </w:pPr>
            <w:r>
              <w:rPr>
                <w:rFonts w:ascii="Caladea" w:hAnsi="Caladea"/>
                <w:b/>
                <w:sz w:val="14"/>
              </w:rPr>
              <w:t>Provável</w:t>
            </w:r>
          </w:p>
        </w:tc>
        <w:tc>
          <w:tcPr>
            <w:tcW w:w="1657" w:type="dxa"/>
          </w:tcPr>
          <w:p>
            <w:pPr>
              <w:pStyle w:val="TableParagraph"/>
              <w:rPr>
                <w:rFonts w:ascii="Times New Roman"/>
                <w:sz w:val="14"/>
              </w:rPr>
            </w:pPr>
          </w:p>
        </w:tc>
        <w:tc>
          <w:tcPr>
            <w:tcW w:w="1596" w:type="dxa"/>
          </w:tcPr>
          <w:p>
            <w:pPr>
              <w:pStyle w:val="TableParagraph"/>
              <w:spacing w:before="37"/>
              <w:ind w:left="512"/>
              <w:rPr>
                <w:rFonts w:ascii="Caladea" w:hAnsi="Caladea"/>
                <w:b/>
                <w:sz w:val="14"/>
              </w:rPr>
            </w:pPr>
            <w:r>
              <w:rPr>
                <w:rFonts w:ascii="Caladea" w:hAnsi="Caladea"/>
                <w:b/>
                <w:sz w:val="14"/>
              </w:rPr>
              <w:t>Provável</w:t>
            </w:r>
          </w:p>
        </w:tc>
      </w:tr>
      <w:tr>
        <w:trPr>
          <w:trHeight w:val="239"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right="61"/>
              <w:jc w:val="right"/>
              <w:rPr>
                <w:rFonts w:ascii="Caladea"/>
                <w:b/>
                <w:sz w:val="14"/>
              </w:rPr>
            </w:pPr>
            <w:r>
              <w:rPr>
                <w:rFonts w:ascii="Caladea"/>
                <w:b/>
                <w:sz w:val="14"/>
              </w:rPr>
              <w:t>4,17%</w:t>
            </w:r>
          </w:p>
        </w:tc>
        <w:tc>
          <w:tcPr>
            <w:tcW w:w="1657" w:type="dxa"/>
          </w:tcPr>
          <w:p>
            <w:pPr>
              <w:pStyle w:val="TableParagraph"/>
              <w:spacing w:before="37"/>
              <w:ind w:right="59"/>
              <w:jc w:val="right"/>
              <w:rPr>
                <w:rFonts w:ascii="Caladea"/>
                <w:b/>
                <w:sz w:val="14"/>
              </w:rPr>
            </w:pPr>
            <w:r>
              <w:rPr>
                <w:rFonts w:ascii="Caladea"/>
                <w:b/>
                <w:sz w:val="14"/>
              </w:rPr>
              <w:t>5,21%</w:t>
            </w:r>
          </w:p>
        </w:tc>
        <w:tc>
          <w:tcPr>
            <w:tcW w:w="1596" w:type="dxa"/>
          </w:tcPr>
          <w:p>
            <w:pPr>
              <w:pStyle w:val="TableParagraph"/>
              <w:spacing w:before="37"/>
              <w:ind w:right="62"/>
              <w:jc w:val="right"/>
              <w:rPr>
                <w:rFonts w:ascii="Caladea"/>
                <w:b/>
                <w:sz w:val="14"/>
              </w:rPr>
            </w:pPr>
            <w:r>
              <w:rPr>
                <w:rFonts w:ascii="Caladea"/>
                <w:b/>
                <w:sz w:val="14"/>
              </w:rPr>
              <w:t>6,26%</w:t>
            </w:r>
          </w:p>
        </w:tc>
      </w:tr>
      <w:tr>
        <w:trPr>
          <w:trHeight w:val="237" w:hRule="atLeast"/>
        </w:trPr>
        <w:tc>
          <w:tcPr>
            <w:tcW w:w="3930" w:type="dxa"/>
            <w:vMerge w:val="restart"/>
          </w:tcPr>
          <w:p>
            <w:pPr>
              <w:pStyle w:val="TableParagraph"/>
              <w:rPr>
                <w:sz w:val="16"/>
              </w:rPr>
            </w:pPr>
          </w:p>
          <w:p>
            <w:pPr>
              <w:pStyle w:val="TableParagraph"/>
              <w:spacing w:before="98"/>
              <w:ind w:left="72"/>
              <w:rPr>
                <w:rFonts w:ascii="Caladea" w:hAnsi="Caladea"/>
                <w:b/>
                <w:sz w:val="14"/>
              </w:rPr>
            </w:pPr>
            <w:r>
              <w:rPr>
                <w:rFonts w:ascii="Caladea" w:hAnsi="Caladea"/>
                <w:b/>
                <w:sz w:val="14"/>
              </w:rPr>
              <w:t>Efeito da Variação do IGP-M</w:t>
            </w:r>
          </w:p>
        </w:tc>
        <w:tc>
          <w:tcPr>
            <w:tcW w:w="1265" w:type="dxa"/>
          </w:tcPr>
          <w:p>
            <w:pPr>
              <w:pStyle w:val="TableParagraph"/>
              <w:spacing w:before="36"/>
              <w:ind w:right="60"/>
              <w:jc w:val="right"/>
              <w:rPr>
                <w:sz w:val="14"/>
              </w:rPr>
            </w:pPr>
            <w:r>
              <w:rPr>
                <w:sz w:val="14"/>
              </w:rPr>
              <w:t>327</w:t>
            </w:r>
          </w:p>
        </w:tc>
        <w:tc>
          <w:tcPr>
            <w:tcW w:w="1469" w:type="dxa"/>
          </w:tcPr>
          <w:p>
            <w:pPr>
              <w:pStyle w:val="TableParagraph"/>
              <w:spacing w:before="36"/>
              <w:ind w:right="60"/>
              <w:jc w:val="right"/>
              <w:rPr>
                <w:sz w:val="14"/>
              </w:rPr>
            </w:pPr>
            <w:r>
              <w:rPr>
                <w:sz w:val="14"/>
              </w:rPr>
              <w:t>341</w:t>
            </w:r>
          </w:p>
        </w:tc>
        <w:tc>
          <w:tcPr>
            <w:tcW w:w="1657" w:type="dxa"/>
          </w:tcPr>
          <w:p>
            <w:pPr>
              <w:pStyle w:val="TableParagraph"/>
              <w:spacing w:before="36"/>
              <w:ind w:right="58"/>
              <w:jc w:val="right"/>
              <w:rPr>
                <w:sz w:val="14"/>
              </w:rPr>
            </w:pPr>
            <w:r>
              <w:rPr>
                <w:sz w:val="14"/>
              </w:rPr>
              <w:t>344</w:t>
            </w:r>
          </w:p>
        </w:tc>
        <w:tc>
          <w:tcPr>
            <w:tcW w:w="1596" w:type="dxa"/>
          </w:tcPr>
          <w:p>
            <w:pPr>
              <w:pStyle w:val="TableParagraph"/>
              <w:spacing w:before="36"/>
              <w:ind w:right="60"/>
              <w:jc w:val="right"/>
              <w:rPr>
                <w:sz w:val="14"/>
              </w:rPr>
            </w:pPr>
            <w:r>
              <w:rPr>
                <w:sz w:val="14"/>
              </w:rPr>
              <w:t>347</w:t>
            </w:r>
          </w:p>
        </w:tc>
      </w:tr>
      <w:tr>
        <w:trPr>
          <w:trHeight w:val="237" w:hRule="atLeast"/>
        </w:trPr>
        <w:tc>
          <w:tcPr>
            <w:tcW w:w="3930" w:type="dxa"/>
            <w:vMerge/>
            <w:tcBorders>
              <w:top w:val="nil"/>
            </w:tcBorders>
          </w:tcPr>
          <w:p>
            <w:pPr>
              <w:rPr>
                <w:sz w:val="2"/>
                <w:szCs w:val="2"/>
              </w:rPr>
            </w:pPr>
          </w:p>
        </w:tc>
        <w:tc>
          <w:tcPr>
            <w:tcW w:w="1265" w:type="dxa"/>
          </w:tcPr>
          <w:p>
            <w:pPr>
              <w:pStyle w:val="TableParagraph"/>
              <w:rPr>
                <w:rFonts w:ascii="Times New Roman"/>
                <w:sz w:val="14"/>
              </w:rPr>
            </w:pPr>
          </w:p>
        </w:tc>
        <w:tc>
          <w:tcPr>
            <w:tcW w:w="1469" w:type="dxa"/>
          </w:tcPr>
          <w:p>
            <w:pPr>
              <w:pStyle w:val="TableParagraph"/>
              <w:spacing w:before="38"/>
              <w:ind w:right="60"/>
              <w:jc w:val="right"/>
              <w:rPr>
                <w:sz w:val="14"/>
              </w:rPr>
            </w:pPr>
            <w:r>
              <w:rPr>
                <w:sz w:val="14"/>
              </w:rPr>
              <w:t>(14)</w:t>
            </w:r>
          </w:p>
        </w:tc>
        <w:tc>
          <w:tcPr>
            <w:tcW w:w="1657" w:type="dxa"/>
          </w:tcPr>
          <w:p>
            <w:pPr>
              <w:pStyle w:val="TableParagraph"/>
              <w:spacing w:before="38"/>
              <w:ind w:right="58"/>
              <w:jc w:val="right"/>
              <w:rPr>
                <w:sz w:val="14"/>
              </w:rPr>
            </w:pPr>
            <w:r>
              <w:rPr>
                <w:sz w:val="14"/>
              </w:rPr>
              <w:t>(17)</w:t>
            </w:r>
          </w:p>
        </w:tc>
        <w:tc>
          <w:tcPr>
            <w:tcW w:w="1596" w:type="dxa"/>
          </w:tcPr>
          <w:p>
            <w:pPr>
              <w:pStyle w:val="TableParagraph"/>
              <w:spacing w:before="38"/>
              <w:ind w:right="60"/>
              <w:jc w:val="right"/>
              <w:rPr>
                <w:sz w:val="14"/>
              </w:rPr>
            </w:pPr>
            <w:r>
              <w:rPr>
                <w:sz w:val="14"/>
              </w:rPr>
              <w:t>(20)</w:t>
            </w:r>
          </w:p>
        </w:tc>
      </w:tr>
    </w:tbl>
    <w:p>
      <w:pPr>
        <w:pStyle w:val="BodyText"/>
        <w:spacing w:before="9"/>
        <w:rPr>
          <w:sz w:val="1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0"/>
        <w:gridCol w:w="1265"/>
        <w:gridCol w:w="1469"/>
        <w:gridCol w:w="1657"/>
        <w:gridCol w:w="1596"/>
      </w:tblGrid>
      <w:tr>
        <w:trPr>
          <w:trHeight w:val="239"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do UMBNDES</w:t>
            </w:r>
          </w:p>
        </w:tc>
        <w:tc>
          <w:tcPr>
            <w:tcW w:w="1265" w:type="dxa"/>
            <w:vMerge w:val="restart"/>
          </w:tcPr>
          <w:p>
            <w:pPr>
              <w:pStyle w:val="TableParagraph"/>
              <w:spacing w:before="5"/>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7"/>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31/12/2019</w:t>
            </w:r>
          </w:p>
        </w:tc>
      </w:tr>
      <w:tr>
        <w:trPr>
          <w:trHeight w:val="235"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Borders>
              <w:bottom w:val="single" w:sz="6" w:space="0" w:color="000000"/>
            </w:tcBorders>
          </w:tcPr>
          <w:p>
            <w:pPr>
              <w:pStyle w:val="TableParagraph"/>
              <w:spacing w:before="35"/>
              <w:ind w:left="448"/>
              <w:rPr>
                <w:rFonts w:ascii="Caladea" w:hAnsi="Caladea"/>
                <w:b/>
                <w:sz w:val="14"/>
              </w:rPr>
            </w:pPr>
            <w:r>
              <w:rPr>
                <w:rFonts w:ascii="Caladea" w:hAnsi="Caladea"/>
                <w:b/>
                <w:sz w:val="14"/>
              </w:rPr>
              <w:t>Provável</w:t>
            </w:r>
          </w:p>
        </w:tc>
        <w:tc>
          <w:tcPr>
            <w:tcW w:w="1657" w:type="dxa"/>
            <w:tcBorders>
              <w:bottom w:val="single" w:sz="6" w:space="0" w:color="000000"/>
            </w:tcBorders>
          </w:tcPr>
          <w:p>
            <w:pPr>
              <w:pStyle w:val="TableParagraph"/>
              <w:spacing w:before="35"/>
              <w:ind w:left="347"/>
              <w:rPr>
                <w:rFonts w:ascii="Caladea" w:hAnsi="Caladea"/>
                <w:b/>
                <w:sz w:val="14"/>
              </w:rPr>
            </w:pPr>
            <w:r>
              <w:rPr>
                <w:rFonts w:ascii="Caladea" w:hAnsi="Caladea"/>
                <w:b/>
                <w:w w:val="110"/>
                <w:sz w:val="14"/>
              </w:rPr>
              <w:t>Possível </w:t>
            </w:r>
            <w:r>
              <w:rPr>
                <w:b/>
                <w:w w:val="110"/>
                <w:sz w:val="14"/>
              </w:rPr>
              <w:t>– </w:t>
            </w:r>
            <w:r>
              <w:rPr>
                <w:rFonts w:ascii="Caladea" w:hAnsi="Caladea"/>
                <w:b/>
                <w:w w:val="110"/>
                <w:sz w:val="14"/>
              </w:rPr>
              <w:t>25%</w:t>
            </w:r>
          </w:p>
        </w:tc>
        <w:tc>
          <w:tcPr>
            <w:tcW w:w="1596" w:type="dxa"/>
            <w:tcBorders>
              <w:bottom w:val="single" w:sz="6" w:space="0" w:color="000000"/>
            </w:tcBorders>
          </w:tcPr>
          <w:p>
            <w:pPr>
              <w:pStyle w:val="TableParagraph"/>
              <w:spacing w:before="35"/>
              <w:ind w:left="330"/>
              <w:rPr>
                <w:rFonts w:ascii="Caladea" w:hAnsi="Caladea"/>
                <w:b/>
                <w:sz w:val="14"/>
              </w:rPr>
            </w:pPr>
            <w:r>
              <w:rPr>
                <w:rFonts w:ascii="Caladea" w:hAnsi="Caladea"/>
                <w:b/>
                <w:w w:val="110"/>
                <w:sz w:val="14"/>
              </w:rPr>
              <w:t>Remoto </w:t>
            </w:r>
            <w:r>
              <w:rPr>
                <w:b/>
                <w:w w:val="110"/>
                <w:sz w:val="14"/>
              </w:rPr>
              <w:t>– </w:t>
            </w:r>
            <w:r>
              <w:rPr>
                <w:rFonts w:ascii="Caladea" w:hAnsi="Caladea"/>
                <w:b/>
                <w:w w:val="110"/>
                <w:sz w:val="14"/>
              </w:rPr>
              <w:t>50%</w:t>
            </w:r>
          </w:p>
        </w:tc>
      </w:tr>
      <w:tr>
        <w:trPr>
          <w:trHeight w:val="234"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Borders>
              <w:top w:val="single" w:sz="6" w:space="0" w:color="000000"/>
            </w:tcBorders>
          </w:tcPr>
          <w:p>
            <w:pPr>
              <w:pStyle w:val="TableParagraph"/>
              <w:spacing w:before="35"/>
              <w:ind w:right="61"/>
              <w:jc w:val="right"/>
              <w:rPr>
                <w:rFonts w:ascii="Caladea"/>
                <w:b/>
                <w:sz w:val="14"/>
              </w:rPr>
            </w:pPr>
            <w:r>
              <w:rPr>
                <w:rFonts w:ascii="Caladea"/>
                <w:b/>
                <w:sz w:val="14"/>
              </w:rPr>
              <w:t>4,06%</w:t>
            </w:r>
          </w:p>
        </w:tc>
        <w:tc>
          <w:tcPr>
            <w:tcW w:w="1657" w:type="dxa"/>
            <w:tcBorders>
              <w:top w:val="single" w:sz="6" w:space="0" w:color="000000"/>
            </w:tcBorders>
          </w:tcPr>
          <w:p>
            <w:pPr>
              <w:pStyle w:val="TableParagraph"/>
              <w:spacing w:before="35"/>
              <w:ind w:right="59"/>
              <w:jc w:val="right"/>
              <w:rPr>
                <w:rFonts w:ascii="Caladea"/>
                <w:b/>
                <w:sz w:val="14"/>
              </w:rPr>
            </w:pPr>
            <w:r>
              <w:rPr>
                <w:rFonts w:ascii="Caladea"/>
                <w:b/>
                <w:sz w:val="14"/>
              </w:rPr>
              <w:t>5,08%</w:t>
            </w:r>
          </w:p>
        </w:tc>
        <w:tc>
          <w:tcPr>
            <w:tcW w:w="1596" w:type="dxa"/>
            <w:tcBorders>
              <w:top w:val="single" w:sz="6" w:space="0" w:color="000000"/>
            </w:tcBorders>
          </w:tcPr>
          <w:p>
            <w:pPr>
              <w:pStyle w:val="TableParagraph"/>
              <w:spacing w:before="35"/>
              <w:ind w:right="62"/>
              <w:jc w:val="right"/>
              <w:rPr>
                <w:rFonts w:ascii="Caladea"/>
                <w:b/>
                <w:sz w:val="14"/>
              </w:rPr>
            </w:pPr>
            <w:r>
              <w:rPr>
                <w:rFonts w:ascii="Caladea"/>
                <w:b/>
                <w:sz w:val="14"/>
              </w:rPr>
              <w:t>6,09%</w:t>
            </w:r>
          </w:p>
        </w:tc>
      </w:tr>
      <w:tr>
        <w:trPr>
          <w:trHeight w:val="239" w:hRule="atLeast"/>
        </w:trPr>
        <w:tc>
          <w:tcPr>
            <w:tcW w:w="3930" w:type="dxa"/>
            <w:vMerge w:val="restart"/>
          </w:tcPr>
          <w:p>
            <w:pPr>
              <w:pStyle w:val="TableParagraph"/>
              <w:rPr>
                <w:sz w:val="16"/>
              </w:rPr>
            </w:pPr>
          </w:p>
          <w:p>
            <w:pPr>
              <w:pStyle w:val="TableParagraph"/>
              <w:spacing w:before="98"/>
              <w:ind w:left="72"/>
              <w:rPr>
                <w:rFonts w:ascii="Caladea" w:hAnsi="Caladea"/>
                <w:b/>
                <w:sz w:val="14"/>
              </w:rPr>
            </w:pPr>
            <w:r>
              <w:rPr>
                <w:rFonts w:ascii="Caladea" w:hAnsi="Caladea"/>
                <w:b/>
                <w:sz w:val="14"/>
              </w:rPr>
              <w:t>Efeito da Variação do UMBNDES</w:t>
            </w:r>
          </w:p>
        </w:tc>
        <w:tc>
          <w:tcPr>
            <w:tcW w:w="1265" w:type="dxa"/>
          </w:tcPr>
          <w:p>
            <w:pPr>
              <w:pStyle w:val="TableParagraph"/>
              <w:spacing w:before="38"/>
              <w:ind w:right="60"/>
              <w:jc w:val="right"/>
              <w:rPr>
                <w:sz w:val="14"/>
              </w:rPr>
            </w:pPr>
            <w:r>
              <w:rPr>
                <w:w w:val="95"/>
                <w:sz w:val="14"/>
              </w:rPr>
              <w:t>3.870</w:t>
            </w:r>
          </w:p>
        </w:tc>
        <w:tc>
          <w:tcPr>
            <w:tcW w:w="1469" w:type="dxa"/>
          </w:tcPr>
          <w:p>
            <w:pPr>
              <w:pStyle w:val="TableParagraph"/>
              <w:spacing w:before="38"/>
              <w:ind w:right="60"/>
              <w:jc w:val="right"/>
              <w:rPr>
                <w:sz w:val="14"/>
              </w:rPr>
            </w:pPr>
            <w:r>
              <w:rPr>
                <w:w w:val="95"/>
                <w:sz w:val="14"/>
              </w:rPr>
              <w:t>4.027</w:t>
            </w:r>
          </w:p>
        </w:tc>
        <w:tc>
          <w:tcPr>
            <w:tcW w:w="1657" w:type="dxa"/>
          </w:tcPr>
          <w:p>
            <w:pPr>
              <w:pStyle w:val="TableParagraph"/>
              <w:spacing w:before="38"/>
              <w:ind w:right="58"/>
              <w:jc w:val="right"/>
              <w:rPr>
                <w:sz w:val="14"/>
              </w:rPr>
            </w:pPr>
            <w:r>
              <w:rPr>
                <w:w w:val="95"/>
                <w:sz w:val="14"/>
              </w:rPr>
              <w:t>4.067</w:t>
            </w:r>
          </w:p>
        </w:tc>
        <w:tc>
          <w:tcPr>
            <w:tcW w:w="1596" w:type="dxa"/>
          </w:tcPr>
          <w:p>
            <w:pPr>
              <w:pStyle w:val="TableParagraph"/>
              <w:spacing w:before="38"/>
              <w:ind w:right="60"/>
              <w:jc w:val="right"/>
              <w:rPr>
                <w:sz w:val="14"/>
              </w:rPr>
            </w:pPr>
            <w:r>
              <w:rPr>
                <w:w w:val="95"/>
                <w:sz w:val="14"/>
              </w:rPr>
              <w:t>4.106</w:t>
            </w:r>
          </w:p>
        </w:tc>
      </w:tr>
      <w:tr>
        <w:trPr>
          <w:trHeight w:val="237" w:hRule="atLeast"/>
        </w:trPr>
        <w:tc>
          <w:tcPr>
            <w:tcW w:w="3930" w:type="dxa"/>
            <w:vMerge/>
            <w:tcBorders>
              <w:top w:val="nil"/>
            </w:tcBorders>
          </w:tcPr>
          <w:p>
            <w:pPr>
              <w:rPr>
                <w:sz w:val="2"/>
                <w:szCs w:val="2"/>
              </w:rPr>
            </w:pPr>
          </w:p>
        </w:tc>
        <w:tc>
          <w:tcPr>
            <w:tcW w:w="1265" w:type="dxa"/>
          </w:tcPr>
          <w:p>
            <w:pPr>
              <w:pStyle w:val="TableParagraph"/>
              <w:rPr>
                <w:rFonts w:ascii="Times New Roman"/>
                <w:sz w:val="14"/>
              </w:rPr>
            </w:pPr>
          </w:p>
        </w:tc>
        <w:tc>
          <w:tcPr>
            <w:tcW w:w="1469" w:type="dxa"/>
          </w:tcPr>
          <w:p>
            <w:pPr>
              <w:pStyle w:val="TableParagraph"/>
              <w:spacing w:before="36"/>
              <w:ind w:right="60"/>
              <w:jc w:val="right"/>
              <w:rPr>
                <w:sz w:val="14"/>
              </w:rPr>
            </w:pPr>
            <w:r>
              <w:rPr>
                <w:sz w:val="14"/>
              </w:rPr>
              <w:t>(157)</w:t>
            </w:r>
          </w:p>
        </w:tc>
        <w:tc>
          <w:tcPr>
            <w:tcW w:w="1657" w:type="dxa"/>
          </w:tcPr>
          <w:p>
            <w:pPr>
              <w:pStyle w:val="TableParagraph"/>
              <w:spacing w:before="36"/>
              <w:ind w:right="58"/>
              <w:jc w:val="right"/>
              <w:rPr>
                <w:sz w:val="14"/>
              </w:rPr>
            </w:pPr>
            <w:r>
              <w:rPr>
                <w:sz w:val="14"/>
              </w:rPr>
              <w:t>(197)</w:t>
            </w:r>
          </w:p>
        </w:tc>
        <w:tc>
          <w:tcPr>
            <w:tcW w:w="1596" w:type="dxa"/>
          </w:tcPr>
          <w:p>
            <w:pPr>
              <w:pStyle w:val="TableParagraph"/>
              <w:spacing w:before="36"/>
              <w:ind w:right="60"/>
              <w:jc w:val="right"/>
              <w:rPr>
                <w:sz w:val="14"/>
              </w:rPr>
            </w:pPr>
            <w:r>
              <w:rPr>
                <w:sz w:val="14"/>
              </w:rPr>
              <w:t>(236)</w:t>
            </w:r>
          </w:p>
        </w:tc>
      </w:tr>
      <w:tr>
        <w:trPr>
          <w:trHeight w:val="237" w:hRule="atLeast"/>
        </w:trPr>
        <w:tc>
          <w:tcPr>
            <w:tcW w:w="3930" w:type="dxa"/>
            <w:vMerge w:val="restart"/>
            <w:shd w:val="clear" w:color="auto" w:fill="D9D9D9"/>
          </w:tcPr>
          <w:p>
            <w:pPr>
              <w:pStyle w:val="TableParagraph"/>
              <w:rPr>
                <w:sz w:val="16"/>
              </w:rPr>
            </w:pPr>
          </w:p>
          <w:p>
            <w:pPr>
              <w:pStyle w:val="TableParagraph"/>
              <w:spacing w:before="98"/>
              <w:ind w:left="72"/>
              <w:rPr>
                <w:rFonts w:ascii="Caladea"/>
                <w:b/>
                <w:sz w:val="14"/>
              </w:rPr>
            </w:pPr>
            <w:r>
              <w:rPr>
                <w:rFonts w:ascii="Caladea"/>
                <w:b/>
                <w:sz w:val="14"/>
              </w:rPr>
              <w:t>Alta do UMBNDES</w:t>
            </w:r>
          </w:p>
        </w:tc>
        <w:tc>
          <w:tcPr>
            <w:tcW w:w="1265" w:type="dxa"/>
            <w:vMerge w:val="restart"/>
          </w:tcPr>
          <w:p>
            <w:pPr>
              <w:pStyle w:val="TableParagraph"/>
              <w:spacing w:before="5"/>
              <w:rPr>
                <w:sz w:val="17"/>
              </w:rPr>
            </w:pPr>
          </w:p>
          <w:p>
            <w:pPr>
              <w:pStyle w:val="TableParagraph"/>
              <w:ind w:left="369" w:right="127" w:hanging="60"/>
              <w:rPr>
                <w:rFonts w:ascii="Caladea" w:hAnsi="Caladea"/>
                <w:b/>
                <w:sz w:val="14"/>
              </w:rPr>
            </w:pPr>
            <w:r>
              <w:rPr>
                <w:rFonts w:ascii="Caladea" w:hAnsi="Caladea"/>
                <w:b/>
                <w:sz w:val="14"/>
              </w:rPr>
              <w:t>Exposição (R$ mil)</w:t>
            </w:r>
          </w:p>
        </w:tc>
        <w:tc>
          <w:tcPr>
            <w:tcW w:w="4722" w:type="dxa"/>
            <w:gridSpan w:val="3"/>
          </w:tcPr>
          <w:p>
            <w:pPr>
              <w:pStyle w:val="TableParagraph"/>
              <w:spacing w:before="37"/>
              <w:ind w:left="1072"/>
              <w:rPr>
                <w:rFonts w:ascii="Caladea" w:hAnsi="Caladea"/>
                <w:b/>
                <w:sz w:val="14"/>
              </w:rPr>
            </w:pPr>
            <w:r>
              <w:rPr>
                <w:rFonts w:ascii="Caladea" w:hAnsi="Caladea"/>
                <w:b/>
                <w:w w:val="105"/>
                <w:sz w:val="14"/>
              </w:rPr>
              <w:t>Cenários Projetados </w:t>
            </w:r>
            <w:r>
              <w:rPr>
                <w:b/>
                <w:w w:val="105"/>
                <w:sz w:val="14"/>
              </w:rPr>
              <w:t>– </w:t>
            </w:r>
            <w:r>
              <w:rPr>
                <w:rFonts w:ascii="Caladea" w:hAnsi="Caladea"/>
                <w:b/>
                <w:w w:val="105"/>
                <w:sz w:val="14"/>
              </w:rPr>
              <w:t>Base 31/12/2018</w:t>
            </w:r>
          </w:p>
        </w:tc>
      </w:tr>
      <w:tr>
        <w:trPr>
          <w:trHeight w:val="239"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7"/>
              <w:ind w:left="448"/>
              <w:rPr>
                <w:rFonts w:ascii="Caladea" w:hAnsi="Caladea"/>
                <w:b/>
                <w:sz w:val="14"/>
              </w:rPr>
            </w:pPr>
            <w:r>
              <w:rPr>
                <w:rFonts w:ascii="Caladea" w:hAnsi="Caladea"/>
                <w:b/>
                <w:sz w:val="14"/>
              </w:rPr>
              <w:t>Provável</w:t>
            </w:r>
          </w:p>
        </w:tc>
        <w:tc>
          <w:tcPr>
            <w:tcW w:w="1657" w:type="dxa"/>
          </w:tcPr>
          <w:p>
            <w:pPr>
              <w:pStyle w:val="TableParagraph"/>
              <w:rPr>
                <w:rFonts w:ascii="Times New Roman"/>
                <w:sz w:val="14"/>
              </w:rPr>
            </w:pPr>
          </w:p>
        </w:tc>
        <w:tc>
          <w:tcPr>
            <w:tcW w:w="1596" w:type="dxa"/>
          </w:tcPr>
          <w:p>
            <w:pPr>
              <w:pStyle w:val="TableParagraph"/>
              <w:spacing w:before="37"/>
              <w:ind w:left="512"/>
              <w:rPr>
                <w:rFonts w:ascii="Caladea" w:hAnsi="Caladea"/>
                <w:b/>
                <w:sz w:val="14"/>
              </w:rPr>
            </w:pPr>
            <w:r>
              <w:rPr>
                <w:rFonts w:ascii="Caladea" w:hAnsi="Caladea"/>
                <w:b/>
                <w:sz w:val="14"/>
              </w:rPr>
              <w:t>Provável</w:t>
            </w:r>
          </w:p>
        </w:tc>
      </w:tr>
      <w:tr>
        <w:trPr>
          <w:trHeight w:val="237" w:hRule="atLeast"/>
        </w:trPr>
        <w:tc>
          <w:tcPr>
            <w:tcW w:w="3930" w:type="dxa"/>
            <w:vMerge/>
            <w:tcBorders>
              <w:top w:val="nil"/>
            </w:tcBorders>
            <w:shd w:val="clear" w:color="auto" w:fill="D9D9D9"/>
          </w:tcPr>
          <w:p>
            <w:pPr>
              <w:rPr>
                <w:sz w:val="2"/>
                <w:szCs w:val="2"/>
              </w:rPr>
            </w:pPr>
          </w:p>
        </w:tc>
        <w:tc>
          <w:tcPr>
            <w:tcW w:w="1265" w:type="dxa"/>
            <w:vMerge/>
            <w:tcBorders>
              <w:top w:val="nil"/>
            </w:tcBorders>
          </w:tcPr>
          <w:p>
            <w:pPr>
              <w:rPr>
                <w:sz w:val="2"/>
                <w:szCs w:val="2"/>
              </w:rPr>
            </w:pPr>
          </w:p>
        </w:tc>
        <w:tc>
          <w:tcPr>
            <w:tcW w:w="1469" w:type="dxa"/>
          </w:tcPr>
          <w:p>
            <w:pPr>
              <w:pStyle w:val="TableParagraph"/>
              <w:spacing w:before="35"/>
              <w:ind w:right="61"/>
              <w:jc w:val="right"/>
              <w:rPr>
                <w:rFonts w:ascii="Caladea"/>
                <w:b/>
                <w:sz w:val="14"/>
              </w:rPr>
            </w:pPr>
            <w:r>
              <w:rPr>
                <w:rFonts w:ascii="Caladea"/>
                <w:b/>
                <w:sz w:val="14"/>
              </w:rPr>
              <w:t>4,63%</w:t>
            </w:r>
          </w:p>
        </w:tc>
        <w:tc>
          <w:tcPr>
            <w:tcW w:w="1657" w:type="dxa"/>
          </w:tcPr>
          <w:p>
            <w:pPr>
              <w:pStyle w:val="TableParagraph"/>
              <w:spacing w:before="35"/>
              <w:ind w:right="59"/>
              <w:jc w:val="right"/>
              <w:rPr>
                <w:rFonts w:ascii="Caladea"/>
                <w:b/>
                <w:sz w:val="14"/>
              </w:rPr>
            </w:pPr>
            <w:r>
              <w:rPr>
                <w:rFonts w:ascii="Caladea"/>
                <w:b/>
                <w:sz w:val="14"/>
              </w:rPr>
              <w:t>5,79%</w:t>
            </w:r>
          </w:p>
        </w:tc>
        <w:tc>
          <w:tcPr>
            <w:tcW w:w="1596" w:type="dxa"/>
          </w:tcPr>
          <w:p>
            <w:pPr>
              <w:pStyle w:val="TableParagraph"/>
              <w:spacing w:before="35"/>
              <w:ind w:right="62"/>
              <w:jc w:val="right"/>
              <w:rPr>
                <w:rFonts w:ascii="Caladea"/>
                <w:b/>
                <w:sz w:val="14"/>
              </w:rPr>
            </w:pPr>
            <w:r>
              <w:rPr>
                <w:rFonts w:ascii="Caladea"/>
                <w:b/>
                <w:sz w:val="14"/>
              </w:rPr>
              <w:t>6,95%</w:t>
            </w:r>
          </w:p>
        </w:tc>
      </w:tr>
      <w:tr>
        <w:trPr>
          <w:trHeight w:val="237" w:hRule="atLeast"/>
        </w:trPr>
        <w:tc>
          <w:tcPr>
            <w:tcW w:w="3930" w:type="dxa"/>
            <w:vMerge w:val="restart"/>
          </w:tcPr>
          <w:p>
            <w:pPr>
              <w:pStyle w:val="TableParagraph"/>
              <w:rPr>
                <w:sz w:val="16"/>
              </w:rPr>
            </w:pPr>
          </w:p>
          <w:p>
            <w:pPr>
              <w:pStyle w:val="TableParagraph"/>
              <w:spacing w:before="98"/>
              <w:ind w:left="72"/>
              <w:rPr>
                <w:rFonts w:ascii="Caladea" w:hAnsi="Caladea"/>
                <w:b/>
                <w:sz w:val="14"/>
              </w:rPr>
            </w:pPr>
            <w:r>
              <w:rPr>
                <w:rFonts w:ascii="Caladea" w:hAnsi="Caladea"/>
                <w:b/>
                <w:sz w:val="14"/>
              </w:rPr>
              <w:t>Efeito da Variação do UMBNDES</w:t>
            </w:r>
          </w:p>
        </w:tc>
        <w:tc>
          <w:tcPr>
            <w:tcW w:w="1265" w:type="dxa"/>
          </w:tcPr>
          <w:p>
            <w:pPr>
              <w:pStyle w:val="TableParagraph"/>
              <w:spacing w:before="38"/>
              <w:ind w:right="60"/>
              <w:jc w:val="right"/>
              <w:rPr>
                <w:sz w:val="14"/>
              </w:rPr>
            </w:pPr>
            <w:r>
              <w:rPr>
                <w:w w:val="95"/>
                <w:sz w:val="14"/>
              </w:rPr>
              <w:t>9.094</w:t>
            </w:r>
          </w:p>
        </w:tc>
        <w:tc>
          <w:tcPr>
            <w:tcW w:w="1469" w:type="dxa"/>
          </w:tcPr>
          <w:p>
            <w:pPr>
              <w:pStyle w:val="TableParagraph"/>
              <w:spacing w:before="38"/>
              <w:ind w:right="60"/>
              <w:jc w:val="right"/>
              <w:rPr>
                <w:sz w:val="14"/>
              </w:rPr>
            </w:pPr>
            <w:r>
              <w:rPr>
                <w:w w:val="95"/>
                <w:sz w:val="14"/>
              </w:rPr>
              <w:t>9.515</w:t>
            </w:r>
          </w:p>
        </w:tc>
        <w:tc>
          <w:tcPr>
            <w:tcW w:w="1657" w:type="dxa"/>
          </w:tcPr>
          <w:p>
            <w:pPr>
              <w:pStyle w:val="TableParagraph"/>
              <w:spacing w:before="38"/>
              <w:ind w:right="58"/>
              <w:jc w:val="right"/>
              <w:rPr>
                <w:sz w:val="14"/>
              </w:rPr>
            </w:pPr>
            <w:r>
              <w:rPr>
                <w:w w:val="95"/>
                <w:sz w:val="14"/>
              </w:rPr>
              <w:t>9.621</w:t>
            </w:r>
          </w:p>
        </w:tc>
        <w:tc>
          <w:tcPr>
            <w:tcW w:w="1596" w:type="dxa"/>
          </w:tcPr>
          <w:p>
            <w:pPr>
              <w:pStyle w:val="TableParagraph"/>
              <w:spacing w:before="38"/>
              <w:ind w:right="60"/>
              <w:jc w:val="right"/>
              <w:rPr>
                <w:sz w:val="14"/>
              </w:rPr>
            </w:pPr>
            <w:r>
              <w:rPr>
                <w:w w:val="95"/>
                <w:sz w:val="14"/>
              </w:rPr>
              <w:t>9.726</w:t>
            </w:r>
          </w:p>
        </w:tc>
      </w:tr>
      <w:tr>
        <w:trPr>
          <w:trHeight w:val="239" w:hRule="atLeast"/>
        </w:trPr>
        <w:tc>
          <w:tcPr>
            <w:tcW w:w="3930" w:type="dxa"/>
            <w:vMerge/>
            <w:tcBorders>
              <w:top w:val="nil"/>
            </w:tcBorders>
          </w:tcPr>
          <w:p>
            <w:pPr>
              <w:rPr>
                <w:sz w:val="2"/>
                <w:szCs w:val="2"/>
              </w:rPr>
            </w:pPr>
          </w:p>
        </w:tc>
        <w:tc>
          <w:tcPr>
            <w:tcW w:w="1265" w:type="dxa"/>
          </w:tcPr>
          <w:p>
            <w:pPr>
              <w:pStyle w:val="TableParagraph"/>
              <w:rPr>
                <w:rFonts w:ascii="Times New Roman"/>
                <w:sz w:val="14"/>
              </w:rPr>
            </w:pPr>
          </w:p>
        </w:tc>
        <w:tc>
          <w:tcPr>
            <w:tcW w:w="1469" w:type="dxa"/>
          </w:tcPr>
          <w:p>
            <w:pPr>
              <w:pStyle w:val="TableParagraph"/>
              <w:spacing w:before="38"/>
              <w:ind w:right="60"/>
              <w:jc w:val="right"/>
              <w:rPr>
                <w:sz w:val="14"/>
              </w:rPr>
            </w:pPr>
            <w:r>
              <w:rPr>
                <w:sz w:val="14"/>
              </w:rPr>
              <w:t>(421)</w:t>
            </w:r>
          </w:p>
        </w:tc>
        <w:tc>
          <w:tcPr>
            <w:tcW w:w="1657" w:type="dxa"/>
          </w:tcPr>
          <w:p>
            <w:pPr>
              <w:pStyle w:val="TableParagraph"/>
              <w:spacing w:before="38"/>
              <w:ind w:right="58"/>
              <w:jc w:val="right"/>
              <w:rPr>
                <w:sz w:val="14"/>
              </w:rPr>
            </w:pPr>
            <w:r>
              <w:rPr>
                <w:sz w:val="14"/>
              </w:rPr>
              <w:t>(527)</w:t>
            </w:r>
          </w:p>
        </w:tc>
        <w:tc>
          <w:tcPr>
            <w:tcW w:w="1596" w:type="dxa"/>
          </w:tcPr>
          <w:p>
            <w:pPr>
              <w:pStyle w:val="TableParagraph"/>
              <w:spacing w:before="38"/>
              <w:ind w:right="61"/>
              <w:jc w:val="right"/>
              <w:rPr>
                <w:sz w:val="14"/>
              </w:rPr>
            </w:pPr>
            <w:r>
              <w:rPr>
                <w:sz w:val="14"/>
              </w:rPr>
              <w:t>(632)</w:t>
            </w:r>
          </w:p>
        </w:tc>
      </w:tr>
    </w:tbl>
    <w:p>
      <w:pPr>
        <w:spacing w:after="0"/>
        <w:jc w:val="right"/>
        <w:rPr>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19"/>
        </w:numPr>
        <w:tabs>
          <w:tab w:pos="1025" w:val="left" w:leader="none"/>
          <w:tab w:pos="1026" w:val="left" w:leader="none"/>
        </w:tabs>
        <w:spacing w:line="240" w:lineRule="auto" w:before="14" w:after="0"/>
        <w:ind w:left="1025" w:right="0" w:hanging="854"/>
        <w:jc w:val="left"/>
      </w:pPr>
      <w:r>
        <w:rPr/>
        <w:t>Risco</w:t>
      </w:r>
      <w:r>
        <w:rPr>
          <w:spacing w:val="-3"/>
        </w:rPr>
        <w:t> </w:t>
      </w:r>
      <w:r>
        <w:rPr/>
        <w:t>cambial</w:t>
      </w:r>
    </w:p>
    <w:p>
      <w:pPr>
        <w:pStyle w:val="BodyText"/>
        <w:spacing w:before="1"/>
        <w:rPr>
          <w:rFonts w:ascii="Caladea"/>
          <w:b/>
          <w:sz w:val="24"/>
        </w:rPr>
      </w:pPr>
    </w:p>
    <w:p>
      <w:pPr>
        <w:pStyle w:val="BodyText"/>
        <w:spacing w:line="242" w:lineRule="auto"/>
        <w:ind w:left="172" w:right="412"/>
        <w:jc w:val="both"/>
      </w:pPr>
      <w:r>
        <w:rPr/>
        <w:t>A</w:t>
      </w:r>
      <w:r>
        <w:rPr>
          <w:spacing w:val="-35"/>
        </w:rPr>
        <w:t> </w:t>
      </w:r>
      <w:r>
        <w:rPr/>
        <w:t>Distribuidora,</w:t>
      </w:r>
      <w:r>
        <w:rPr>
          <w:spacing w:val="-34"/>
        </w:rPr>
        <w:t> </w:t>
      </w:r>
      <w:r>
        <w:rPr/>
        <w:t>em</w:t>
      </w:r>
      <w:r>
        <w:rPr>
          <w:spacing w:val="-35"/>
        </w:rPr>
        <w:t> </w:t>
      </w:r>
      <w:r>
        <w:rPr/>
        <w:t>outubro</w:t>
      </w:r>
      <w:r>
        <w:rPr>
          <w:spacing w:val="-34"/>
        </w:rPr>
        <w:t> </w:t>
      </w:r>
      <w:r>
        <w:rPr/>
        <w:t>de</w:t>
      </w:r>
      <w:r>
        <w:rPr>
          <w:spacing w:val="-34"/>
        </w:rPr>
        <w:t> </w:t>
      </w:r>
      <w:r>
        <w:rPr/>
        <w:t>2018,</w:t>
      </w:r>
      <w:r>
        <w:rPr>
          <w:spacing w:val="-34"/>
        </w:rPr>
        <w:t> </w:t>
      </w:r>
      <w:r>
        <w:rPr/>
        <w:t>firmou</w:t>
      </w:r>
      <w:r>
        <w:rPr>
          <w:spacing w:val="-35"/>
        </w:rPr>
        <w:t> </w:t>
      </w:r>
      <w:r>
        <w:rPr/>
        <w:t>com</w:t>
      </w:r>
      <w:r>
        <w:rPr>
          <w:spacing w:val="-35"/>
        </w:rPr>
        <w:t> </w:t>
      </w:r>
      <w:r>
        <w:rPr/>
        <w:t>a</w:t>
      </w:r>
      <w:r>
        <w:rPr>
          <w:spacing w:val="-33"/>
        </w:rPr>
        <w:t> </w:t>
      </w:r>
      <w:r>
        <w:rPr/>
        <w:t>Eletrobras,</w:t>
      </w:r>
      <w:r>
        <w:rPr>
          <w:spacing w:val="-35"/>
        </w:rPr>
        <w:t> </w:t>
      </w:r>
      <w:r>
        <w:rPr/>
        <w:t>a</w:t>
      </w:r>
      <w:r>
        <w:rPr>
          <w:spacing w:val="-33"/>
        </w:rPr>
        <w:t> </w:t>
      </w:r>
      <w:r>
        <w:rPr/>
        <w:t>renegociação</w:t>
      </w:r>
      <w:r>
        <w:rPr>
          <w:spacing w:val="-34"/>
        </w:rPr>
        <w:t> </w:t>
      </w:r>
      <w:r>
        <w:rPr/>
        <w:t>da</w:t>
      </w:r>
      <w:r>
        <w:rPr>
          <w:spacing w:val="-34"/>
        </w:rPr>
        <w:t> </w:t>
      </w:r>
      <w:r>
        <w:rPr/>
        <w:t>dívida</w:t>
      </w:r>
      <w:r>
        <w:rPr>
          <w:spacing w:val="-35"/>
        </w:rPr>
        <w:t> </w:t>
      </w:r>
      <w:r>
        <w:rPr/>
        <w:t>de</w:t>
      </w:r>
      <w:r>
        <w:rPr>
          <w:spacing w:val="-35"/>
        </w:rPr>
        <w:t> </w:t>
      </w:r>
      <w:r>
        <w:rPr/>
        <w:t>fornecimento</w:t>
      </w:r>
      <w:r>
        <w:rPr>
          <w:spacing w:val="-34"/>
        </w:rPr>
        <w:t> </w:t>
      </w:r>
      <w:r>
        <w:rPr/>
        <w:t>de</w:t>
      </w:r>
      <w:r>
        <w:rPr>
          <w:spacing w:val="-34"/>
        </w:rPr>
        <w:t> </w:t>
      </w:r>
      <w:r>
        <w:rPr/>
        <w:t>energia elétrica</w:t>
      </w:r>
      <w:r>
        <w:rPr>
          <w:spacing w:val="-28"/>
        </w:rPr>
        <w:t> </w:t>
      </w:r>
      <w:r>
        <w:rPr/>
        <w:t>da</w:t>
      </w:r>
      <w:r>
        <w:rPr>
          <w:spacing w:val="-28"/>
        </w:rPr>
        <w:t> </w:t>
      </w:r>
      <w:r>
        <w:rPr/>
        <w:t>Usina</w:t>
      </w:r>
      <w:r>
        <w:rPr>
          <w:spacing w:val="-28"/>
        </w:rPr>
        <w:t> </w:t>
      </w:r>
      <w:r>
        <w:rPr/>
        <w:t>de</w:t>
      </w:r>
      <w:r>
        <w:rPr>
          <w:spacing w:val="-28"/>
        </w:rPr>
        <w:t> </w:t>
      </w:r>
      <w:r>
        <w:rPr/>
        <w:t>Itaipú</w:t>
      </w:r>
      <w:r>
        <w:rPr>
          <w:spacing w:val="-29"/>
        </w:rPr>
        <w:t> </w:t>
      </w:r>
      <w:r>
        <w:rPr/>
        <w:t>Binacional,</w:t>
      </w:r>
      <w:r>
        <w:rPr>
          <w:spacing w:val="-28"/>
        </w:rPr>
        <w:t> </w:t>
      </w:r>
      <w:r>
        <w:rPr/>
        <w:t>referentes</w:t>
      </w:r>
      <w:r>
        <w:rPr>
          <w:spacing w:val="-28"/>
        </w:rPr>
        <w:t> </w:t>
      </w:r>
      <w:r>
        <w:rPr/>
        <w:t>às</w:t>
      </w:r>
      <w:r>
        <w:rPr>
          <w:spacing w:val="-27"/>
        </w:rPr>
        <w:t> </w:t>
      </w:r>
      <w:r>
        <w:rPr/>
        <w:t>faturas</w:t>
      </w:r>
      <w:r>
        <w:rPr>
          <w:spacing w:val="-28"/>
        </w:rPr>
        <w:t> </w:t>
      </w:r>
      <w:r>
        <w:rPr/>
        <w:t>dos</w:t>
      </w:r>
      <w:r>
        <w:rPr>
          <w:spacing w:val="-28"/>
        </w:rPr>
        <w:t> </w:t>
      </w:r>
      <w:r>
        <w:rPr/>
        <w:t>meses</w:t>
      </w:r>
      <w:r>
        <w:rPr>
          <w:spacing w:val="-28"/>
        </w:rPr>
        <w:t> </w:t>
      </w:r>
      <w:r>
        <w:rPr/>
        <w:t>de</w:t>
      </w:r>
      <w:r>
        <w:rPr>
          <w:spacing w:val="-29"/>
        </w:rPr>
        <w:t> </w:t>
      </w:r>
      <w:r>
        <w:rPr/>
        <w:t>março</w:t>
      </w:r>
      <w:r>
        <w:rPr>
          <w:spacing w:val="-28"/>
        </w:rPr>
        <w:t> </w:t>
      </w:r>
      <w:r>
        <w:rPr/>
        <w:t>a</w:t>
      </w:r>
      <w:r>
        <w:rPr>
          <w:spacing w:val="-28"/>
        </w:rPr>
        <w:t> </w:t>
      </w:r>
      <w:r>
        <w:rPr/>
        <w:t>julho</w:t>
      </w:r>
      <w:r>
        <w:rPr>
          <w:spacing w:val="-28"/>
        </w:rPr>
        <w:t> </w:t>
      </w:r>
      <w:r>
        <w:rPr/>
        <w:t>de</w:t>
      </w:r>
      <w:r>
        <w:rPr>
          <w:spacing w:val="-29"/>
        </w:rPr>
        <w:t> </w:t>
      </w:r>
      <w:r>
        <w:rPr/>
        <w:t>2018,</w:t>
      </w:r>
      <w:r>
        <w:rPr>
          <w:spacing w:val="-28"/>
        </w:rPr>
        <w:t> </w:t>
      </w:r>
      <w:r>
        <w:rPr/>
        <w:t>as</w:t>
      </w:r>
      <w:r>
        <w:rPr>
          <w:spacing w:val="-28"/>
        </w:rPr>
        <w:t> </w:t>
      </w:r>
      <w:r>
        <w:rPr/>
        <w:t>quais</w:t>
      </w:r>
      <w:r>
        <w:rPr>
          <w:spacing w:val="-28"/>
        </w:rPr>
        <w:t> </w:t>
      </w:r>
      <w:r>
        <w:rPr/>
        <w:t>totalizam US$</w:t>
      </w:r>
      <w:r>
        <w:rPr>
          <w:spacing w:val="-15"/>
        </w:rPr>
        <w:t> </w:t>
      </w:r>
      <w:r>
        <w:rPr/>
        <w:t>31.948</w:t>
      </w:r>
      <w:r>
        <w:rPr>
          <w:spacing w:val="-13"/>
        </w:rPr>
        <w:t> </w:t>
      </w:r>
      <w:r>
        <w:rPr/>
        <w:t>mil</w:t>
      </w:r>
      <w:r>
        <w:rPr>
          <w:spacing w:val="-12"/>
        </w:rPr>
        <w:t> </w:t>
      </w:r>
      <w:r>
        <w:rPr/>
        <w:t>dólares</w:t>
      </w:r>
      <w:r>
        <w:rPr>
          <w:spacing w:val="-15"/>
        </w:rPr>
        <w:t> </w:t>
      </w:r>
      <w:r>
        <w:rPr/>
        <w:t>americanos.</w:t>
      </w:r>
      <w:r>
        <w:rPr>
          <w:spacing w:val="-14"/>
        </w:rPr>
        <w:t> </w:t>
      </w:r>
      <w:r>
        <w:rPr/>
        <w:t>Esses</w:t>
      </w:r>
      <w:r>
        <w:rPr>
          <w:spacing w:val="-15"/>
        </w:rPr>
        <w:t> </w:t>
      </w:r>
      <w:r>
        <w:rPr/>
        <w:t>valores</w:t>
      </w:r>
      <w:r>
        <w:rPr>
          <w:spacing w:val="-13"/>
        </w:rPr>
        <w:t> </w:t>
      </w:r>
      <w:r>
        <w:rPr/>
        <w:t>serão</w:t>
      </w:r>
      <w:r>
        <w:rPr>
          <w:spacing w:val="-14"/>
        </w:rPr>
        <w:t> </w:t>
      </w:r>
      <w:r>
        <w:rPr/>
        <w:t>atualizados</w:t>
      </w:r>
      <w:r>
        <w:rPr>
          <w:spacing w:val="-14"/>
        </w:rPr>
        <w:t> </w:t>
      </w:r>
      <w:r>
        <w:rPr/>
        <w:t>durante</w:t>
      </w:r>
      <w:r>
        <w:rPr>
          <w:spacing w:val="-16"/>
        </w:rPr>
        <w:t> </w:t>
      </w:r>
      <w:r>
        <w:rPr/>
        <w:t>a</w:t>
      </w:r>
      <w:r>
        <w:rPr>
          <w:spacing w:val="-13"/>
        </w:rPr>
        <w:t> </w:t>
      </w:r>
      <w:r>
        <w:rPr/>
        <w:t>realização</w:t>
      </w:r>
      <w:r>
        <w:rPr>
          <w:spacing w:val="-15"/>
        </w:rPr>
        <w:t> </w:t>
      </w:r>
      <w:r>
        <w:rPr/>
        <w:t>do</w:t>
      </w:r>
      <w:r>
        <w:rPr>
          <w:spacing w:val="-15"/>
        </w:rPr>
        <w:t> </w:t>
      </w:r>
      <w:r>
        <w:rPr/>
        <w:t>contrato</w:t>
      </w:r>
      <w:r>
        <w:rPr>
          <w:spacing w:val="-15"/>
        </w:rPr>
        <w:t> </w:t>
      </w:r>
      <w:r>
        <w:rPr/>
        <w:t>a</w:t>
      </w:r>
      <w:r>
        <w:rPr>
          <w:spacing w:val="-13"/>
        </w:rPr>
        <w:t> </w:t>
      </w:r>
      <w:r>
        <w:rPr/>
        <w:t>taxa</w:t>
      </w:r>
      <w:r>
        <w:rPr>
          <w:spacing w:val="-12"/>
        </w:rPr>
        <w:t> </w:t>
      </w:r>
      <w:r>
        <w:rPr/>
        <w:t>0,5% (meio</w:t>
      </w:r>
      <w:r>
        <w:rPr>
          <w:spacing w:val="-17"/>
        </w:rPr>
        <w:t> </w:t>
      </w:r>
      <w:r>
        <w:rPr/>
        <w:t>por</w:t>
      </w:r>
      <w:r>
        <w:rPr>
          <w:spacing w:val="-16"/>
        </w:rPr>
        <w:t> </w:t>
      </w:r>
      <w:r>
        <w:rPr/>
        <w:t>cento),</w:t>
      </w:r>
      <w:r>
        <w:rPr>
          <w:spacing w:val="-16"/>
        </w:rPr>
        <w:t> </w:t>
      </w:r>
      <w:r>
        <w:rPr/>
        <w:t>calculados</w:t>
      </w:r>
      <w:r>
        <w:rPr>
          <w:spacing w:val="-17"/>
        </w:rPr>
        <w:t> </w:t>
      </w:r>
      <w:r>
        <w:rPr/>
        <w:t>pro</w:t>
      </w:r>
      <w:r>
        <w:rPr>
          <w:spacing w:val="-16"/>
        </w:rPr>
        <w:t> </w:t>
      </w:r>
      <w:r>
        <w:rPr/>
        <w:t>rata</w:t>
      </w:r>
      <w:r>
        <w:rPr>
          <w:spacing w:val="-15"/>
        </w:rPr>
        <w:t> </w:t>
      </w:r>
      <w:r>
        <w:rPr/>
        <w:t>die,</w:t>
      </w:r>
      <w:r>
        <w:rPr>
          <w:spacing w:val="-14"/>
        </w:rPr>
        <w:t> </w:t>
      </w:r>
      <w:r>
        <w:rPr/>
        <w:t>durante</w:t>
      </w:r>
      <w:r>
        <w:rPr>
          <w:spacing w:val="-17"/>
        </w:rPr>
        <w:t> </w:t>
      </w:r>
      <w:r>
        <w:rPr/>
        <w:t>os</w:t>
      </w:r>
      <w:r>
        <w:rPr>
          <w:spacing w:val="-15"/>
        </w:rPr>
        <w:t> </w:t>
      </w:r>
      <w:r>
        <w:rPr/>
        <w:t>primeiros</w:t>
      </w:r>
      <w:r>
        <w:rPr>
          <w:spacing w:val="-16"/>
        </w:rPr>
        <w:t> </w:t>
      </w:r>
      <w:r>
        <w:rPr/>
        <w:t>15</w:t>
      </w:r>
      <w:r>
        <w:rPr>
          <w:spacing w:val="-16"/>
        </w:rPr>
        <w:t> </w:t>
      </w:r>
      <w:r>
        <w:rPr/>
        <w:t>(quinze)</w:t>
      </w:r>
      <w:r>
        <w:rPr>
          <w:spacing w:val="-15"/>
        </w:rPr>
        <w:t> </w:t>
      </w:r>
      <w:r>
        <w:rPr/>
        <w:t>dias</w:t>
      </w:r>
      <w:r>
        <w:rPr>
          <w:spacing w:val="-14"/>
        </w:rPr>
        <w:t> </w:t>
      </w:r>
      <w:r>
        <w:rPr/>
        <w:t>e</w:t>
      </w:r>
      <w:r>
        <w:rPr>
          <w:spacing w:val="-15"/>
        </w:rPr>
        <w:t> </w:t>
      </w:r>
      <w:r>
        <w:rPr/>
        <w:t>de</w:t>
      </w:r>
      <w:r>
        <w:rPr>
          <w:spacing w:val="-18"/>
        </w:rPr>
        <w:t> </w:t>
      </w:r>
      <w:r>
        <w:rPr/>
        <w:t>1%</w:t>
      </w:r>
      <w:r>
        <w:rPr>
          <w:spacing w:val="-15"/>
        </w:rPr>
        <w:t> </w:t>
      </w:r>
      <w:r>
        <w:rPr/>
        <w:t>(um</w:t>
      </w:r>
      <w:r>
        <w:rPr>
          <w:spacing w:val="-16"/>
        </w:rPr>
        <w:t> </w:t>
      </w:r>
      <w:r>
        <w:rPr/>
        <w:t>por</w:t>
      </w:r>
      <w:r>
        <w:rPr>
          <w:spacing w:val="-16"/>
        </w:rPr>
        <w:t> </w:t>
      </w:r>
      <w:r>
        <w:rPr/>
        <w:t>cento),</w:t>
      </w:r>
      <w:r>
        <w:rPr>
          <w:spacing w:val="-16"/>
        </w:rPr>
        <w:t> </w:t>
      </w:r>
      <w:r>
        <w:rPr/>
        <w:t>também calculados</w:t>
      </w:r>
      <w:r>
        <w:rPr>
          <w:spacing w:val="-20"/>
        </w:rPr>
        <w:t> </w:t>
      </w:r>
      <w:r>
        <w:rPr/>
        <w:t>pro</w:t>
      </w:r>
      <w:r>
        <w:rPr>
          <w:spacing w:val="-18"/>
        </w:rPr>
        <w:t> </w:t>
      </w:r>
      <w:r>
        <w:rPr/>
        <w:t>rata</w:t>
      </w:r>
      <w:r>
        <w:rPr>
          <w:spacing w:val="-19"/>
        </w:rPr>
        <w:t> </w:t>
      </w:r>
      <w:r>
        <w:rPr/>
        <w:t>die,</w:t>
      </w:r>
      <w:r>
        <w:rPr>
          <w:spacing w:val="-21"/>
        </w:rPr>
        <w:t> </w:t>
      </w:r>
      <w:r>
        <w:rPr/>
        <w:t>a</w:t>
      </w:r>
      <w:r>
        <w:rPr>
          <w:spacing w:val="-19"/>
        </w:rPr>
        <w:t> </w:t>
      </w:r>
      <w:r>
        <w:rPr/>
        <w:t>partir</w:t>
      </w:r>
      <w:r>
        <w:rPr>
          <w:spacing w:val="-21"/>
        </w:rPr>
        <w:t> </w:t>
      </w:r>
      <w:r>
        <w:rPr/>
        <w:t>do</w:t>
      </w:r>
      <w:r>
        <w:rPr>
          <w:spacing w:val="-21"/>
        </w:rPr>
        <w:t> </w:t>
      </w:r>
      <w:r>
        <w:rPr/>
        <w:t>16º</w:t>
      </w:r>
      <w:r>
        <w:rPr>
          <w:spacing w:val="-18"/>
        </w:rPr>
        <w:t> </w:t>
      </w:r>
      <w:r>
        <w:rPr/>
        <w:t>(décimo</w:t>
      </w:r>
      <w:r>
        <w:rPr>
          <w:spacing w:val="-19"/>
        </w:rPr>
        <w:t> </w:t>
      </w:r>
      <w:r>
        <w:rPr/>
        <w:t>sexto</w:t>
      </w:r>
      <w:r>
        <w:rPr>
          <w:spacing w:val="-19"/>
        </w:rPr>
        <w:t> </w:t>
      </w:r>
      <w:r>
        <w:rPr/>
        <w:t>dia)</w:t>
      </w:r>
      <w:r>
        <w:rPr>
          <w:spacing w:val="-19"/>
        </w:rPr>
        <w:t> </w:t>
      </w:r>
      <w:r>
        <w:rPr/>
        <w:t>de</w:t>
      </w:r>
      <w:r>
        <w:rPr>
          <w:spacing w:val="-20"/>
        </w:rPr>
        <w:t> </w:t>
      </w:r>
      <w:r>
        <w:rPr/>
        <w:t>cada</w:t>
      </w:r>
      <w:r>
        <w:rPr>
          <w:spacing w:val="-19"/>
        </w:rPr>
        <w:t> </w:t>
      </w:r>
      <w:r>
        <w:rPr/>
        <w:t>mês.</w:t>
      </w:r>
    </w:p>
    <w:p>
      <w:pPr>
        <w:pStyle w:val="BodyText"/>
        <w:spacing w:before="1"/>
      </w:pPr>
    </w:p>
    <w:p>
      <w:pPr>
        <w:pStyle w:val="BodyText"/>
        <w:spacing w:line="242" w:lineRule="auto"/>
        <w:ind w:left="172" w:right="413"/>
        <w:jc w:val="both"/>
      </w:pPr>
      <w:r>
        <w:rPr/>
        <w:t>O</w:t>
      </w:r>
      <w:r>
        <w:rPr>
          <w:spacing w:val="-30"/>
        </w:rPr>
        <w:t> </w:t>
      </w:r>
      <w:r>
        <w:rPr/>
        <w:t>valor</w:t>
      </w:r>
      <w:r>
        <w:rPr>
          <w:spacing w:val="-30"/>
        </w:rPr>
        <w:t> </w:t>
      </w:r>
      <w:r>
        <w:rPr/>
        <w:t>total</w:t>
      </w:r>
      <w:r>
        <w:rPr>
          <w:spacing w:val="-29"/>
        </w:rPr>
        <w:t> </w:t>
      </w:r>
      <w:r>
        <w:rPr/>
        <w:t>deveria</w:t>
      </w:r>
      <w:r>
        <w:rPr>
          <w:spacing w:val="-29"/>
        </w:rPr>
        <w:t> </w:t>
      </w:r>
      <w:r>
        <w:rPr/>
        <w:t>ser</w:t>
      </w:r>
      <w:r>
        <w:rPr>
          <w:spacing w:val="-29"/>
        </w:rPr>
        <w:t> </w:t>
      </w:r>
      <w:r>
        <w:rPr/>
        <w:t>amortizado</w:t>
      </w:r>
      <w:r>
        <w:rPr>
          <w:spacing w:val="-28"/>
        </w:rPr>
        <w:t> </w:t>
      </w:r>
      <w:r>
        <w:rPr/>
        <w:t>em</w:t>
      </w:r>
      <w:r>
        <w:rPr>
          <w:spacing w:val="-30"/>
        </w:rPr>
        <w:t> </w:t>
      </w:r>
      <w:r>
        <w:rPr/>
        <w:t>18</w:t>
      </w:r>
      <w:r>
        <w:rPr>
          <w:spacing w:val="-30"/>
        </w:rPr>
        <w:t> </w:t>
      </w:r>
      <w:r>
        <w:rPr/>
        <w:t>parcelas</w:t>
      </w:r>
      <w:r>
        <w:rPr>
          <w:spacing w:val="-29"/>
        </w:rPr>
        <w:t> </w:t>
      </w:r>
      <w:r>
        <w:rPr/>
        <w:t>mensais</w:t>
      </w:r>
      <w:r>
        <w:rPr>
          <w:spacing w:val="-29"/>
        </w:rPr>
        <w:t> </w:t>
      </w:r>
      <w:r>
        <w:rPr/>
        <w:t>e</w:t>
      </w:r>
      <w:r>
        <w:rPr>
          <w:spacing w:val="-30"/>
        </w:rPr>
        <w:t> </w:t>
      </w:r>
      <w:r>
        <w:rPr/>
        <w:t>consecutivas,</w:t>
      </w:r>
      <w:r>
        <w:rPr>
          <w:spacing w:val="-29"/>
        </w:rPr>
        <w:t> </w:t>
      </w:r>
      <w:r>
        <w:rPr/>
        <w:t>com</w:t>
      </w:r>
      <w:r>
        <w:rPr>
          <w:spacing w:val="-30"/>
        </w:rPr>
        <w:t> </w:t>
      </w:r>
      <w:r>
        <w:rPr/>
        <w:t>início</w:t>
      </w:r>
      <w:r>
        <w:rPr>
          <w:spacing w:val="-30"/>
        </w:rPr>
        <w:t> </w:t>
      </w:r>
      <w:r>
        <w:rPr/>
        <w:t>em</w:t>
      </w:r>
      <w:r>
        <w:rPr>
          <w:spacing w:val="-30"/>
        </w:rPr>
        <w:t> </w:t>
      </w:r>
      <w:r>
        <w:rPr/>
        <w:t>30</w:t>
      </w:r>
      <w:r>
        <w:rPr>
          <w:spacing w:val="-29"/>
        </w:rPr>
        <w:t> </w:t>
      </w:r>
      <w:r>
        <w:rPr/>
        <w:t>de</w:t>
      </w:r>
      <w:r>
        <w:rPr>
          <w:spacing w:val="-30"/>
        </w:rPr>
        <w:t> </w:t>
      </w:r>
      <w:r>
        <w:rPr/>
        <w:t>novembro</w:t>
      </w:r>
      <w:r>
        <w:rPr>
          <w:spacing w:val="-30"/>
        </w:rPr>
        <w:t> </w:t>
      </w:r>
      <w:r>
        <w:rPr/>
        <w:t>de</w:t>
      </w:r>
      <w:r>
        <w:rPr>
          <w:spacing w:val="-29"/>
        </w:rPr>
        <w:t> </w:t>
      </w:r>
      <w:r>
        <w:rPr/>
        <w:t>2018 e</w:t>
      </w:r>
      <w:r>
        <w:rPr>
          <w:spacing w:val="-27"/>
        </w:rPr>
        <w:t> </w:t>
      </w:r>
      <w:r>
        <w:rPr/>
        <w:t>com</w:t>
      </w:r>
      <w:r>
        <w:rPr>
          <w:spacing w:val="-24"/>
        </w:rPr>
        <w:t> </w:t>
      </w:r>
      <w:r>
        <w:rPr/>
        <w:t>juros</w:t>
      </w:r>
      <w:r>
        <w:rPr>
          <w:spacing w:val="-23"/>
        </w:rPr>
        <w:t> </w:t>
      </w:r>
      <w:r>
        <w:rPr/>
        <w:t>remuneratórios</w:t>
      </w:r>
      <w:r>
        <w:rPr>
          <w:spacing w:val="-24"/>
        </w:rPr>
        <w:t> </w:t>
      </w:r>
      <w:r>
        <w:rPr/>
        <w:t>da</w:t>
      </w:r>
      <w:r>
        <w:rPr>
          <w:spacing w:val="-25"/>
        </w:rPr>
        <w:t> </w:t>
      </w:r>
      <w:r>
        <w:rPr/>
        <w:t>ordem</w:t>
      </w:r>
      <w:r>
        <w:rPr>
          <w:spacing w:val="-26"/>
        </w:rPr>
        <w:t> </w:t>
      </w:r>
      <w:r>
        <w:rPr/>
        <w:t>de</w:t>
      </w:r>
      <w:r>
        <w:rPr>
          <w:spacing w:val="-25"/>
        </w:rPr>
        <w:t> </w:t>
      </w:r>
      <w:r>
        <w:rPr/>
        <w:t>1%</w:t>
      </w:r>
      <w:r>
        <w:rPr>
          <w:spacing w:val="-23"/>
        </w:rPr>
        <w:t> </w:t>
      </w:r>
      <w:r>
        <w:rPr/>
        <w:t>ao</w:t>
      </w:r>
      <w:r>
        <w:rPr>
          <w:spacing w:val="-24"/>
        </w:rPr>
        <w:t> </w:t>
      </w:r>
      <w:r>
        <w:rPr/>
        <w:t>mês,</w:t>
      </w:r>
      <w:r>
        <w:rPr>
          <w:spacing w:val="-23"/>
        </w:rPr>
        <w:t> </w:t>
      </w:r>
      <w:r>
        <w:rPr/>
        <w:t>calculados</w:t>
      </w:r>
      <w:r>
        <w:rPr>
          <w:spacing w:val="-25"/>
        </w:rPr>
        <w:t> </w:t>
      </w:r>
      <w:r>
        <w:rPr/>
        <w:t>pro</w:t>
      </w:r>
      <w:r>
        <w:rPr>
          <w:spacing w:val="-25"/>
        </w:rPr>
        <w:t> </w:t>
      </w:r>
      <w:r>
        <w:rPr/>
        <w:t>rata</w:t>
      </w:r>
      <w:r>
        <w:rPr>
          <w:spacing w:val="-23"/>
        </w:rPr>
        <w:t> </w:t>
      </w:r>
      <w:r>
        <w:rPr/>
        <w:t>die,</w:t>
      </w:r>
      <w:r>
        <w:rPr>
          <w:spacing w:val="-25"/>
        </w:rPr>
        <w:t> </w:t>
      </w:r>
      <w:r>
        <w:rPr/>
        <w:t>a</w:t>
      </w:r>
      <w:r>
        <w:rPr>
          <w:spacing w:val="-23"/>
        </w:rPr>
        <w:t> </w:t>
      </w:r>
      <w:r>
        <w:rPr/>
        <w:t>partir</w:t>
      </w:r>
      <w:r>
        <w:rPr>
          <w:spacing w:val="-26"/>
        </w:rPr>
        <w:t> </w:t>
      </w:r>
      <w:r>
        <w:rPr/>
        <w:t>da</w:t>
      </w:r>
      <w:r>
        <w:rPr>
          <w:spacing w:val="-23"/>
        </w:rPr>
        <w:t> </w:t>
      </w:r>
      <w:r>
        <w:rPr/>
        <w:t>assinatura</w:t>
      </w:r>
      <w:r>
        <w:rPr>
          <w:spacing w:val="-24"/>
        </w:rPr>
        <w:t> </w:t>
      </w:r>
      <w:r>
        <w:rPr/>
        <w:t>do</w:t>
      </w:r>
      <w:r>
        <w:rPr>
          <w:spacing w:val="-24"/>
        </w:rPr>
        <w:t> </w:t>
      </w:r>
      <w:r>
        <w:rPr/>
        <w:t>contrato.</w:t>
      </w:r>
      <w:r>
        <w:rPr>
          <w:spacing w:val="-22"/>
        </w:rPr>
        <w:t> </w:t>
      </w:r>
      <w:r>
        <w:rPr/>
        <w:t>No entanto,</w:t>
      </w:r>
      <w:r>
        <w:rPr>
          <w:spacing w:val="-21"/>
        </w:rPr>
        <w:t> </w:t>
      </w:r>
      <w:r>
        <w:rPr/>
        <w:t>em</w:t>
      </w:r>
      <w:r>
        <w:rPr>
          <w:spacing w:val="-21"/>
        </w:rPr>
        <w:t> </w:t>
      </w:r>
      <w:r>
        <w:rPr/>
        <w:t>9</w:t>
      </w:r>
      <w:r>
        <w:rPr>
          <w:spacing w:val="-20"/>
        </w:rPr>
        <w:t> </w:t>
      </w:r>
      <w:r>
        <w:rPr/>
        <w:t>de</w:t>
      </w:r>
      <w:r>
        <w:rPr>
          <w:spacing w:val="-22"/>
        </w:rPr>
        <w:t> </w:t>
      </w:r>
      <w:r>
        <w:rPr/>
        <w:t>julho</w:t>
      </w:r>
      <w:r>
        <w:rPr>
          <w:spacing w:val="-22"/>
        </w:rPr>
        <w:t> </w:t>
      </w:r>
      <w:r>
        <w:rPr/>
        <w:t>de</w:t>
      </w:r>
      <w:r>
        <w:rPr>
          <w:spacing w:val="-24"/>
        </w:rPr>
        <w:t> </w:t>
      </w:r>
      <w:r>
        <w:rPr/>
        <w:t>2019</w:t>
      </w:r>
      <w:r>
        <w:rPr>
          <w:spacing w:val="-21"/>
        </w:rPr>
        <w:t> </w:t>
      </w:r>
      <w:r>
        <w:rPr/>
        <w:t>a</w:t>
      </w:r>
      <w:r>
        <w:rPr>
          <w:spacing w:val="-22"/>
        </w:rPr>
        <w:t> </w:t>
      </w:r>
      <w:r>
        <w:rPr/>
        <w:t>Companhia</w:t>
      </w:r>
      <w:r>
        <w:rPr>
          <w:spacing w:val="-21"/>
        </w:rPr>
        <w:t> </w:t>
      </w:r>
      <w:r>
        <w:rPr/>
        <w:t>liquidou</w:t>
      </w:r>
      <w:r>
        <w:rPr>
          <w:spacing w:val="-22"/>
        </w:rPr>
        <w:t> </w:t>
      </w:r>
      <w:r>
        <w:rPr/>
        <w:t>o</w:t>
      </w:r>
      <w:r>
        <w:rPr>
          <w:spacing w:val="-21"/>
        </w:rPr>
        <w:t> </w:t>
      </w:r>
      <w:r>
        <w:rPr/>
        <w:t>saldo</w:t>
      </w:r>
      <w:r>
        <w:rPr>
          <w:spacing w:val="-23"/>
        </w:rPr>
        <w:t> </w:t>
      </w:r>
      <w:r>
        <w:rPr/>
        <w:t>devedor</w:t>
      </w:r>
      <w:r>
        <w:rPr>
          <w:spacing w:val="-18"/>
        </w:rPr>
        <w:t> </w:t>
      </w:r>
      <w:r>
        <w:rPr/>
        <w:t>da</w:t>
      </w:r>
      <w:r>
        <w:rPr>
          <w:spacing w:val="-22"/>
        </w:rPr>
        <w:t> </w:t>
      </w:r>
      <w:r>
        <w:rPr/>
        <w:t>operação</w:t>
      </w:r>
      <w:r>
        <w:rPr>
          <w:spacing w:val="-22"/>
        </w:rPr>
        <w:t> </w:t>
      </w:r>
      <w:r>
        <w:rPr/>
        <w:t>por</w:t>
      </w:r>
      <w:r>
        <w:rPr>
          <w:spacing w:val="-23"/>
        </w:rPr>
        <w:t> </w:t>
      </w:r>
      <w:r>
        <w:rPr/>
        <w:t>R$</w:t>
      </w:r>
      <w:r>
        <w:rPr>
          <w:spacing w:val="-22"/>
        </w:rPr>
        <w:t> </w:t>
      </w:r>
      <w:r>
        <w:rPr/>
        <w:t>79.113.</w:t>
      </w:r>
    </w:p>
    <w:p>
      <w:pPr>
        <w:pStyle w:val="BodyText"/>
        <w:spacing w:before="3"/>
      </w:pPr>
    </w:p>
    <w:p>
      <w:pPr>
        <w:pStyle w:val="BodyText"/>
        <w:spacing w:line="242" w:lineRule="auto"/>
        <w:ind w:left="172" w:right="407"/>
        <w:jc w:val="both"/>
      </w:pPr>
      <w:r>
        <w:rPr/>
        <w:t>No</w:t>
      </w:r>
      <w:r>
        <w:rPr>
          <w:spacing w:val="-22"/>
        </w:rPr>
        <w:t> </w:t>
      </w:r>
      <w:r>
        <w:rPr/>
        <w:t>encerramento</w:t>
      </w:r>
      <w:r>
        <w:rPr>
          <w:spacing w:val="-22"/>
        </w:rPr>
        <w:t> </w:t>
      </w:r>
      <w:r>
        <w:rPr/>
        <w:t>do</w:t>
      </w:r>
      <w:r>
        <w:rPr>
          <w:spacing w:val="-21"/>
        </w:rPr>
        <w:t> </w:t>
      </w:r>
      <w:r>
        <w:rPr/>
        <w:t>exercício</w:t>
      </w:r>
      <w:r>
        <w:rPr>
          <w:spacing w:val="-22"/>
        </w:rPr>
        <w:t> </w:t>
      </w:r>
      <w:r>
        <w:rPr/>
        <w:t>de</w:t>
      </w:r>
      <w:r>
        <w:rPr>
          <w:spacing w:val="-23"/>
        </w:rPr>
        <w:t> </w:t>
      </w:r>
      <w:r>
        <w:rPr/>
        <w:t>2019,</w:t>
      </w:r>
      <w:r>
        <w:rPr>
          <w:spacing w:val="-21"/>
        </w:rPr>
        <w:t> </w:t>
      </w:r>
      <w:r>
        <w:rPr/>
        <w:t>o</w:t>
      </w:r>
      <w:r>
        <w:rPr>
          <w:spacing w:val="-19"/>
        </w:rPr>
        <w:t> </w:t>
      </w:r>
      <w:r>
        <w:rPr/>
        <w:t>total</w:t>
      </w:r>
      <w:r>
        <w:rPr>
          <w:spacing w:val="-21"/>
        </w:rPr>
        <w:t> </w:t>
      </w:r>
      <w:r>
        <w:rPr/>
        <w:t>da</w:t>
      </w:r>
      <w:r>
        <w:rPr>
          <w:spacing w:val="-21"/>
        </w:rPr>
        <w:t> </w:t>
      </w:r>
      <w:r>
        <w:rPr/>
        <w:t>dívida</w:t>
      </w:r>
      <w:r>
        <w:rPr>
          <w:spacing w:val="-19"/>
        </w:rPr>
        <w:t> </w:t>
      </w:r>
      <w:r>
        <w:rPr/>
        <w:t>em</w:t>
      </w:r>
      <w:r>
        <w:rPr>
          <w:spacing w:val="-22"/>
        </w:rPr>
        <w:t> </w:t>
      </w:r>
      <w:r>
        <w:rPr/>
        <w:t>dólar</w:t>
      </w:r>
      <w:r>
        <w:rPr>
          <w:spacing w:val="-19"/>
        </w:rPr>
        <w:t> </w:t>
      </w:r>
      <w:r>
        <w:rPr/>
        <w:t>era</w:t>
      </w:r>
      <w:r>
        <w:rPr>
          <w:spacing w:val="-21"/>
        </w:rPr>
        <w:t> </w:t>
      </w:r>
      <w:r>
        <w:rPr/>
        <w:t>de</w:t>
      </w:r>
      <w:r>
        <w:rPr>
          <w:spacing w:val="-22"/>
        </w:rPr>
        <w:t> </w:t>
      </w:r>
      <w:r>
        <w:rPr/>
        <w:t>US$</w:t>
      </w:r>
      <w:r>
        <w:rPr>
          <w:spacing w:val="-21"/>
        </w:rPr>
        <w:t> </w:t>
      </w:r>
      <w:r>
        <w:rPr/>
        <w:t>13.758</w:t>
      </w:r>
      <w:r>
        <w:rPr>
          <w:spacing w:val="-21"/>
        </w:rPr>
        <w:t> </w:t>
      </w:r>
      <w:r>
        <w:rPr/>
        <w:t>mil,</w:t>
      </w:r>
      <w:r>
        <w:rPr>
          <w:spacing w:val="-22"/>
        </w:rPr>
        <w:t> </w:t>
      </w:r>
      <w:r>
        <w:rPr/>
        <w:t>equivalente</w:t>
      </w:r>
      <w:r>
        <w:rPr>
          <w:spacing w:val="-23"/>
        </w:rPr>
        <w:t> </w:t>
      </w:r>
      <w:r>
        <w:rPr/>
        <w:t>a</w:t>
      </w:r>
      <w:r>
        <w:rPr>
          <w:spacing w:val="-20"/>
        </w:rPr>
        <w:t> </w:t>
      </w:r>
      <w:r>
        <w:rPr/>
        <w:t>R$</w:t>
      </w:r>
      <w:r>
        <w:rPr>
          <w:spacing w:val="-22"/>
        </w:rPr>
        <w:t> </w:t>
      </w:r>
      <w:r>
        <w:rPr/>
        <w:t>57.128, relativa</w:t>
      </w:r>
      <w:r>
        <w:rPr>
          <w:spacing w:val="-26"/>
        </w:rPr>
        <w:t> </w:t>
      </w:r>
      <w:r>
        <w:rPr/>
        <w:t>à</w:t>
      </w:r>
      <w:r>
        <w:rPr>
          <w:spacing w:val="-25"/>
        </w:rPr>
        <w:t> </w:t>
      </w:r>
      <w:r>
        <w:rPr/>
        <w:t>compra</w:t>
      </w:r>
      <w:r>
        <w:rPr>
          <w:spacing w:val="-26"/>
        </w:rPr>
        <w:t> </w:t>
      </w:r>
      <w:r>
        <w:rPr/>
        <w:t>de</w:t>
      </w:r>
      <w:r>
        <w:rPr>
          <w:spacing w:val="-25"/>
        </w:rPr>
        <w:t> </w:t>
      </w:r>
      <w:r>
        <w:rPr/>
        <w:t>energia</w:t>
      </w:r>
      <w:r>
        <w:rPr>
          <w:spacing w:val="-25"/>
        </w:rPr>
        <w:t> </w:t>
      </w:r>
      <w:r>
        <w:rPr/>
        <w:t>elétrica</w:t>
      </w:r>
      <w:r>
        <w:rPr>
          <w:spacing w:val="-26"/>
        </w:rPr>
        <w:t> </w:t>
      </w:r>
      <w:r>
        <w:rPr/>
        <w:t>de</w:t>
      </w:r>
      <w:r>
        <w:rPr>
          <w:spacing w:val="-26"/>
        </w:rPr>
        <w:t> </w:t>
      </w:r>
      <w:r>
        <w:rPr/>
        <w:t>Itaipu</w:t>
      </w:r>
      <w:r>
        <w:rPr>
          <w:spacing w:val="-25"/>
        </w:rPr>
        <w:t> </w:t>
      </w:r>
      <w:r>
        <w:rPr/>
        <w:t>Binacional</w:t>
      </w:r>
      <w:r>
        <w:rPr>
          <w:spacing w:val="-21"/>
        </w:rPr>
        <w:t> </w:t>
      </w:r>
      <w:r>
        <w:rPr/>
        <w:t>(faturamento</w:t>
      </w:r>
      <w:r>
        <w:rPr>
          <w:spacing w:val="-25"/>
        </w:rPr>
        <w:t> </w:t>
      </w:r>
      <w:r>
        <w:rPr/>
        <w:t>mensal).</w:t>
      </w:r>
      <w:r>
        <w:rPr>
          <w:spacing w:val="-25"/>
        </w:rPr>
        <w:t> </w:t>
      </w:r>
      <w:r>
        <w:rPr/>
        <w:t>Neste</w:t>
      </w:r>
      <w:r>
        <w:rPr>
          <w:spacing w:val="-27"/>
        </w:rPr>
        <w:t> </w:t>
      </w:r>
      <w:r>
        <w:rPr/>
        <w:t>caso,</w:t>
      </w:r>
      <w:r>
        <w:rPr>
          <w:spacing w:val="-25"/>
        </w:rPr>
        <w:t> </w:t>
      </w:r>
      <w:r>
        <w:rPr/>
        <w:t>nesta</w:t>
      </w:r>
      <w:r>
        <w:rPr>
          <w:spacing w:val="-25"/>
        </w:rPr>
        <w:t> </w:t>
      </w:r>
      <w:r>
        <w:rPr/>
        <w:t>data</w:t>
      </w:r>
      <w:r>
        <w:rPr>
          <w:spacing w:val="-24"/>
        </w:rPr>
        <w:t> </w:t>
      </w:r>
      <w:r>
        <w:rPr/>
        <w:t>base,</w:t>
      </w:r>
      <w:r>
        <w:rPr>
          <w:spacing w:val="-25"/>
        </w:rPr>
        <w:t> </w:t>
      </w:r>
      <w:r>
        <w:rPr/>
        <w:t>não haviam</w:t>
      </w:r>
      <w:r>
        <w:rPr>
          <w:spacing w:val="-19"/>
        </w:rPr>
        <w:t> </w:t>
      </w:r>
      <w:r>
        <w:rPr/>
        <w:t>mais</w:t>
      </w:r>
      <w:r>
        <w:rPr>
          <w:spacing w:val="-18"/>
        </w:rPr>
        <w:t> </w:t>
      </w:r>
      <w:r>
        <w:rPr/>
        <w:t>riscos</w:t>
      </w:r>
      <w:r>
        <w:rPr>
          <w:spacing w:val="-18"/>
        </w:rPr>
        <w:t> </w:t>
      </w:r>
      <w:r>
        <w:rPr/>
        <w:t>significativos</w:t>
      </w:r>
      <w:r>
        <w:rPr>
          <w:spacing w:val="-17"/>
        </w:rPr>
        <w:t> </w:t>
      </w:r>
      <w:r>
        <w:rPr/>
        <w:t>envolvidos.</w:t>
      </w:r>
    </w:p>
    <w:p>
      <w:pPr>
        <w:pStyle w:val="BodyText"/>
        <w:spacing w:before="6"/>
      </w:pPr>
    </w:p>
    <w:p>
      <w:pPr>
        <w:pStyle w:val="Heading5"/>
        <w:numPr>
          <w:ilvl w:val="2"/>
          <w:numId w:val="19"/>
        </w:numPr>
        <w:tabs>
          <w:tab w:pos="1025" w:val="left" w:leader="none"/>
          <w:tab w:pos="1026" w:val="left" w:leader="none"/>
        </w:tabs>
        <w:spacing w:line="240" w:lineRule="auto" w:before="0" w:after="0"/>
        <w:ind w:left="1025" w:right="0" w:hanging="854"/>
        <w:jc w:val="left"/>
      </w:pPr>
      <w:r>
        <w:rPr/>
        <w:t>Risco</w:t>
      </w:r>
      <w:r>
        <w:rPr>
          <w:spacing w:val="-2"/>
        </w:rPr>
        <w:t> </w:t>
      </w:r>
      <w:r>
        <w:rPr/>
        <w:t>operacional</w:t>
      </w:r>
    </w:p>
    <w:p>
      <w:pPr>
        <w:pStyle w:val="BodyText"/>
        <w:spacing w:before="9"/>
        <w:rPr>
          <w:rFonts w:ascii="Caladea"/>
          <w:b/>
          <w:sz w:val="23"/>
        </w:rPr>
      </w:pPr>
    </w:p>
    <w:p>
      <w:pPr>
        <w:pStyle w:val="BodyText"/>
        <w:spacing w:line="242" w:lineRule="auto" w:before="1"/>
        <w:ind w:left="172" w:right="404"/>
        <w:jc w:val="both"/>
      </w:pPr>
      <w:r>
        <w:rPr/>
        <w:t>Risco</w:t>
      </w:r>
      <w:r>
        <w:rPr>
          <w:spacing w:val="-21"/>
        </w:rPr>
        <w:t> </w:t>
      </w:r>
      <w:r>
        <w:rPr/>
        <w:t>operacional</w:t>
      </w:r>
      <w:r>
        <w:rPr>
          <w:spacing w:val="-20"/>
        </w:rPr>
        <w:t> </w:t>
      </w:r>
      <w:r>
        <w:rPr/>
        <w:t>é</w:t>
      </w:r>
      <w:r>
        <w:rPr>
          <w:spacing w:val="-22"/>
        </w:rPr>
        <w:t> </w:t>
      </w:r>
      <w:r>
        <w:rPr/>
        <w:t>o</w:t>
      </w:r>
      <w:r>
        <w:rPr>
          <w:spacing w:val="-19"/>
        </w:rPr>
        <w:t> </w:t>
      </w:r>
      <w:r>
        <w:rPr/>
        <w:t>risco</w:t>
      </w:r>
      <w:r>
        <w:rPr>
          <w:spacing w:val="-19"/>
        </w:rPr>
        <w:t> </w:t>
      </w:r>
      <w:r>
        <w:rPr/>
        <w:t>de</w:t>
      </w:r>
      <w:r>
        <w:rPr>
          <w:spacing w:val="-22"/>
        </w:rPr>
        <w:t> </w:t>
      </w:r>
      <w:r>
        <w:rPr/>
        <w:t>prejuízos</w:t>
      </w:r>
      <w:r>
        <w:rPr>
          <w:spacing w:val="-20"/>
        </w:rPr>
        <w:t> </w:t>
      </w:r>
      <w:r>
        <w:rPr/>
        <w:t>diretos</w:t>
      </w:r>
      <w:r>
        <w:rPr>
          <w:spacing w:val="-21"/>
        </w:rPr>
        <w:t> </w:t>
      </w:r>
      <w:r>
        <w:rPr/>
        <w:t>ou</w:t>
      </w:r>
      <w:r>
        <w:rPr>
          <w:spacing w:val="-20"/>
        </w:rPr>
        <w:t> </w:t>
      </w:r>
      <w:r>
        <w:rPr/>
        <w:t>indiretos</w:t>
      </w:r>
      <w:r>
        <w:rPr>
          <w:spacing w:val="-21"/>
        </w:rPr>
        <w:t> </w:t>
      </w:r>
      <w:r>
        <w:rPr/>
        <w:t>decorrentes</w:t>
      </w:r>
      <w:r>
        <w:rPr>
          <w:spacing w:val="-18"/>
        </w:rPr>
        <w:t> </w:t>
      </w:r>
      <w:r>
        <w:rPr/>
        <w:t>de</w:t>
      </w:r>
      <w:r>
        <w:rPr>
          <w:spacing w:val="-22"/>
        </w:rPr>
        <w:t> </w:t>
      </w:r>
      <w:r>
        <w:rPr/>
        <w:t>uma</w:t>
      </w:r>
      <w:r>
        <w:rPr>
          <w:spacing w:val="-21"/>
        </w:rPr>
        <w:t> </w:t>
      </w:r>
      <w:r>
        <w:rPr/>
        <w:t>variedade</w:t>
      </w:r>
      <w:r>
        <w:rPr>
          <w:spacing w:val="-21"/>
        </w:rPr>
        <w:t> </w:t>
      </w:r>
      <w:r>
        <w:rPr/>
        <w:t>de</w:t>
      </w:r>
      <w:r>
        <w:rPr>
          <w:spacing w:val="-22"/>
        </w:rPr>
        <w:t> </w:t>
      </w:r>
      <w:r>
        <w:rPr/>
        <w:t>causas</w:t>
      </w:r>
      <w:r>
        <w:rPr>
          <w:spacing w:val="-21"/>
        </w:rPr>
        <w:t> </w:t>
      </w:r>
      <w:r>
        <w:rPr/>
        <w:t>associadas</w:t>
      </w:r>
      <w:r>
        <w:rPr>
          <w:spacing w:val="-20"/>
        </w:rPr>
        <w:t> </w:t>
      </w:r>
      <w:r>
        <w:rPr/>
        <w:t>a </w:t>
      </w:r>
      <w:r>
        <w:rPr>
          <w:w w:val="95"/>
        </w:rPr>
        <w:t>processos,</w:t>
      </w:r>
      <w:r>
        <w:rPr>
          <w:spacing w:val="-17"/>
          <w:w w:val="95"/>
        </w:rPr>
        <w:t> </w:t>
      </w:r>
      <w:r>
        <w:rPr>
          <w:w w:val="95"/>
        </w:rPr>
        <w:t>pessoal,</w:t>
      </w:r>
      <w:r>
        <w:rPr>
          <w:spacing w:val="-18"/>
          <w:w w:val="95"/>
        </w:rPr>
        <w:t> </w:t>
      </w:r>
      <w:r>
        <w:rPr>
          <w:w w:val="95"/>
        </w:rPr>
        <w:t>tecnologia</w:t>
      </w:r>
      <w:r>
        <w:rPr>
          <w:spacing w:val="-18"/>
          <w:w w:val="95"/>
        </w:rPr>
        <w:t> </w:t>
      </w:r>
      <w:r>
        <w:rPr>
          <w:w w:val="95"/>
        </w:rPr>
        <w:t>e</w:t>
      </w:r>
      <w:r>
        <w:rPr>
          <w:spacing w:val="-20"/>
          <w:w w:val="95"/>
        </w:rPr>
        <w:t> </w:t>
      </w:r>
      <w:r>
        <w:rPr>
          <w:w w:val="95"/>
        </w:rPr>
        <w:t>infraestrutura</w:t>
      </w:r>
      <w:r>
        <w:rPr>
          <w:spacing w:val="-18"/>
          <w:w w:val="95"/>
        </w:rPr>
        <w:t> </w:t>
      </w:r>
      <w:r>
        <w:rPr>
          <w:w w:val="95"/>
        </w:rPr>
        <w:t>da</w:t>
      </w:r>
      <w:r>
        <w:rPr>
          <w:spacing w:val="-18"/>
          <w:w w:val="95"/>
        </w:rPr>
        <w:t> </w:t>
      </w:r>
      <w:r>
        <w:rPr>
          <w:w w:val="95"/>
        </w:rPr>
        <w:t>Companhia</w:t>
      </w:r>
      <w:r>
        <w:rPr>
          <w:spacing w:val="-18"/>
          <w:w w:val="95"/>
        </w:rPr>
        <w:t> </w:t>
      </w:r>
      <w:r>
        <w:rPr>
          <w:w w:val="95"/>
        </w:rPr>
        <w:t>e</w:t>
      </w:r>
      <w:r>
        <w:rPr>
          <w:spacing w:val="-18"/>
          <w:w w:val="95"/>
        </w:rPr>
        <w:t> </w:t>
      </w:r>
      <w:r>
        <w:rPr>
          <w:w w:val="95"/>
        </w:rPr>
        <w:t>de</w:t>
      </w:r>
      <w:r>
        <w:rPr>
          <w:spacing w:val="-20"/>
          <w:w w:val="95"/>
        </w:rPr>
        <w:t> </w:t>
      </w:r>
      <w:r>
        <w:rPr>
          <w:w w:val="95"/>
        </w:rPr>
        <w:t>fatores</w:t>
      </w:r>
      <w:r>
        <w:rPr>
          <w:spacing w:val="-16"/>
          <w:w w:val="95"/>
        </w:rPr>
        <w:t> </w:t>
      </w:r>
      <w:r>
        <w:rPr>
          <w:w w:val="95"/>
        </w:rPr>
        <w:t>externos,</w:t>
      </w:r>
      <w:r>
        <w:rPr>
          <w:spacing w:val="-16"/>
          <w:w w:val="95"/>
        </w:rPr>
        <w:t> </w:t>
      </w:r>
      <w:r>
        <w:rPr>
          <w:w w:val="95"/>
        </w:rPr>
        <w:t>exceto</w:t>
      </w:r>
      <w:r>
        <w:rPr>
          <w:spacing w:val="-17"/>
          <w:w w:val="95"/>
        </w:rPr>
        <w:t> </w:t>
      </w:r>
      <w:r>
        <w:rPr>
          <w:w w:val="95"/>
        </w:rPr>
        <w:t>riscos</w:t>
      </w:r>
      <w:r>
        <w:rPr>
          <w:spacing w:val="-18"/>
          <w:w w:val="95"/>
        </w:rPr>
        <w:t> </w:t>
      </w:r>
      <w:r>
        <w:rPr>
          <w:w w:val="95"/>
        </w:rPr>
        <w:t>de</w:t>
      </w:r>
      <w:r>
        <w:rPr>
          <w:spacing w:val="-20"/>
          <w:w w:val="95"/>
        </w:rPr>
        <w:t> </w:t>
      </w:r>
      <w:r>
        <w:rPr>
          <w:w w:val="95"/>
        </w:rPr>
        <w:t>crédito,</w:t>
      </w:r>
      <w:r>
        <w:rPr>
          <w:spacing w:val="-17"/>
          <w:w w:val="95"/>
        </w:rPr>
        <w:t> </w:t>
      </w:r>
      <w:r>
        <w:rPr>
          <w:w w:val="95"/>
        </w:rPr>
        <w:t>mercado </w:t>
      </w:r>
      <w:r>
        <w:rPr/>
        <w:t>e liquidez, como aqueles decorrentes de exigências legais e regulatórias e de padrões geralmente aceitos de comportamento</w:t>
      </w:r>
      <w:r>
        <w:rPr>
          <w:spacing w:val="-22"/>
        </w:rPr>
        <w:t> </w:t>
      </w:r>
      <w:r>
        <w:rPr/>
        <w:t>empresarial.</w:t>
      </w:r>
      <w:r>
        <w:rPr>
          <w:spacing w:val="-24"/>
        </w:rPr>
        <w:t> </w:t>
      </w:r>
      <w:r>
        <w:rPr/>
        <w:t>Riscos</w:t>
      </w:r>
      <w:r>
        <w:rPr>
          <w:spacing w:val="-23"/>
        </w:rPr>
        <w:t> </w:t>
      </w:r>
      <w:r>
        <w:rPr/>
        <w:t>operacionais</w:t>
      </w:r>
      <w:r>
        <w:rPr>
          <w:spacing w:val="-22"/>
        </w:rPr>
        <w:t> </w:t>
      </w:r>
      <w:r>
        <w:rPr/>
        <w:t>surgem</w:t>
      </w:r>
      <w:r>
        <w:rPr>
          <w:spacing w:val="-24"/>
        </w:rPr>
        <w:t> </w:t>
      </w:r>
      <w:r>
        <w:rPr/>
        <w:t>de</w:t>
      </w:r>
      <w:r>
        <w:rPr>
          <w:spacing w:val="-24"/>
        </w:rPr>
        <w:t> </w:t>
      </w:r>
      <w:r>
        <w:rPr/>
        <w:t>todas</w:t>
      </w:r>
      <w:r>
        <w:rPr>
          <w:spacing w:val="-23"/>
        </w:rPr>
        <w:t> </w:t>
      </w:r>
      <w:r>
        <w:rPr/>
        <w:t>as</w:t>
      </w:r>
      <w:r>
        <w:rPr>
          <w:spacing w:val="-23"/>
        </w:rPr>
        <w:t> </w:t>
      </w:r>
      <w:r>
        <w:rPr/>
        <w:t>operações</w:t>
      </w:r>
      <w:r>
        <w:rPr>
          <w:spacing w:val="-20"/>
        </w:rPr>
        <w:t> </w:t>
      </w:r>
      <w:r>
        <w:rPr/>
        <w:t>da</w:t>
      </w:r>
      <w:r>
        <w:rPr>
          <w:spacing w:val="-21"/>
        </w:rPr>
        <w:t> </w:t>
      </w:r>
      <w:r>
        <w:rPr/>
        <w:t>Companhia.</w:t>
      </w:r>
    </w:p>
    <w:p>
      <w:pPr>
        <w:pStyle w:val="BodyText"/>
        <w:spacing w:before="3"/>
      </w:pPr>
    </w:p>
    <w:p>
      <w:pPr>
        <w:pStyle w:val="BodyText"/>
        <w:spacing w:line="242" w:lineRule="auto"/>
        <w:ind w:left="172" w:right="415"/>
        <w:jc w:val="both"/>
      </w:pPr>
      <w:r>
        <w:rPr/>
        <w:t>O</w:t>
      </w:r>
      <w:r>
        <w:rPr>
          <w:spacing w:val="-34"/>
        </w:rPr>
        <w:t> </w:t>
      </w:r>
      <w:r>
        <w:rPr/>
        <w:t>objetivo</w:t>
      </w:r>
      <w:r>
        <w:rPr>
          <w:spacing w:val="-32"/>
        </w:rPr>
        <w:t> </w:t>
      </w:r>
      <w:r>
        <w:rPr/>
        <w:t>da</w:t>
      </w:r>
      <w:r>
        <w:rPr>
          <w:spacing w:val="-33"/>
        </w:rPr>
        <w:t> </w:t>
      </w:r>
      <w:r>
        <w:rPr/>
        <w:t>Administração</w:t>
      </w:r>
      <w:r>
        <w:rPr>
          <w:spacing w:val="-33"/>
        </w:rPr>
        <w:t> </w:t>
      </w:r>
      <w:r>
        <w:rPr/>
        <w:t>da</w:t>
      </w:r>
      <w:r>
        <w:rPr>
          <w:spacing w:val="-32"/>
        </w:rPr>
        <w:t> </w:t>
      </w:r>
      <w:r>
        <w:rPr/>
        <w:t>Companhia</w:t>
      </w:r>
      <w:r>
        <w:rPr>
          <w:spacing w:val="-32"/>
        </w:rPr>
        <w:t> </w:t>
      </w:r>
      <w:r>
        <w:rPr/>
        <w:t>é</w:t>
      </w:r>
      <w:r>
        <w:rPr>
          <w:spacing w:val="-33"/>
        </w:rPr>
        <w:t> </w:t>
      </w:r>
      <w:r>
        <w:rPr/>
        <w:t>acompanhar</w:t>
      </w:r>
      <w:r>
        <w:rPr>
          <w:spacing w:val="-34"/>
        </w:rPr>
        <w:t> </w:t>
      </w:r>
      <w:r>
        <w:rPr/>
        <w:t>o</w:t>
      </w:r>
      <w:r>
        <w:rPr>
          <w:spacing w:val="-32"/>
        </w:rPr>
        <w:t> </w:t>
      </w:r>
      <w:r>
        <w:rPr/>
        <w:t>risco</w:t>
      </w:r>
      <w:r>
        <w:rPr>
          <w:spacing w:val="-33"/>
        </w:rPr>
        <w:t> </w:t>
      </w:r>
      <w:r>
        <w:rPr/>
        <w:t>operacional</w:t>
      </w:r>
      <w:r>
        <w:rPr>
          <w:spacing w:val="-33"/>
        </w:rPr>
        <w:t> </w:t>
      </w:r>
      <w:r>
        <w:rPr/>
        <w:t>de</w:t>
      </w:r>
      <w:r>
        <w:rPr>
          <w:spacing w:val="-32"/>
        </w:rPr>
        <w:t> </w:t>
      </w:r>
      <w:r>
        <w:rPr/>
        <w:t>modo</w:t>
      </w:r>
      <w:r>
        <w:rPr>
          <w:spacing w:val="-33"/>
        </w:rPr>
        <w:t> </w:t>
      </w:r>
      <w:r>
        <w:rPr/>
        <w:t>a</w:t>
      </w:r>
      <w:r>
        <w:rPr>
          <w:spacing w:val="-33"/>
        </w:rPr>
        <w:t> </w:t>
      </w:r>
      <w:r>
        <w:rPr/>
        <w:t>evitar</w:t>
      </w:r>
      <w:r>
        <w:rPr>
          <w:spacing w:val="-34"/>
        </w:rPr>
        <w:t> </w:t>
      </w:r>
      <w:r>
        <w:rPr/>
        <w:t>danos</w:t>
      </w:r>
      <w:r>
        <w:rPr>
          <w:spacing w:val="-33"/>
        </w:rPr>
        <w:t> </w:t>
      </w:r>
      <w:r>
        <w:rPr/>
        <w:t>à</w:t>
      </w:r>
      <w:r>
        <w:rPr>
          <w:spacing w:val="-31"/>
        </w:rPr>
        <w:t> </w:t>
      </w:r>
      <w:r>
        <w:rPr/>
        <w:t>recuperação da</w:t>
      </w:r>
      <w:r>
        <w:rPr>
          <w:spacing w:val="-24"/>
        </w:rPr>
        <w:t> </w:t>
      </w:r>
      <w:r>
        <w:rPr/>
        <w:t>Companhia,</w:t>
      </w:r>
      <w:r>
        <w:rPr>
          <w:spacing w:val="-21"/>
        </w:rPr>
        <w:t> </w:t>
      </w:r>
      <w:r>
        <w:rPr/>
        <w:t>bem</w:t>
      </w:r>
      <w:r>
        <w:rPr>
          <w:spacing w:val="-22"/>
        </w:rPr>
        <w:t> </w:t>
      </w:r>
      <w:r>
        <w:rPr/>
        <w:t>como</w:t>
      </w:r>
      <w:r>
        <w:rPr>
          <w:spacing w:val="-23"/>
        </w:rPr>
        <w:t> </w:t>
      </w:r>
      <w:r>
        <w:rPr/>
        <w:t>buscar</w:t>
      </w:r>
      <w:r>
        <w:rPr>
          <w:spacing w:val="-24"/>
        </w:rPr>
        <w:t> </w:t>
      </w:r>
      <w:r>
        <w:rPr/>
        <w:t>eficácia</w:t>
      </w:r>
      <w:r>
        <w:rPr>
          <w:spacing w:val="-23"/>
        </w:rPr>
        <w:t> </w:t>
      </w:r>
      <w:r>
        <w:rPr/>
        <w:t>no</w:t>
      </w:r>
      <w:r>
        <w:rPr>
          <w:spacing w:val="-21"/>
        </w:rPr>
        <w:t> </w:t>
      </w:r>
      <w:r>
        <w:rPr/>
        <w:t>processo</w:t>
      </w:r>
      <w:r>
        <w:rPr>
          <w:spacing w:val="-24"/>
        </w:rPr>
        <w:t> </w:t>
      </w:r>
      <w:r>
        <w:rPr/>
        <w:t>de</w:t>
      </w:r>
      <w:r>
        <w:rPr>
          <w:spacing w:val="-23"/>
        </w:rPr>
        <w:t> </w:t>
      </w:r>
      <w:r>
        <w:rPr/>
        <w:t>gerenciamento</w:t>
      </w:r>
      <w:r>
        <w:rPr>
          <w:spacing w:val="-22"/>
        </w:rPr>
        <w:t> </w:t>
      </w:r>
      <w:r>
        <w:rPr/>
        <w:t>e</w:t>
      </w:r>
      <w:r>
        <w:rPr>
          <w:spacing w:val="-22"/>
        </w:rPr>
        <w:t> </w:t>
      </w:r>
      <w:r>
        <w:rPr/>
        <w:t>redução</w:t>
      </w:r>
      <w:r>
        <w:rPr>
          <w:spacing w:val="-24"/>
        </w:rPr>
        <w:t> </w:t>
      </w:r>
      <w:r>
        <w:rPr/>
        <w:t>de</w:t>
      </w:r>
      <w:r>
        <w:rPr>
          <w:spacing w:val="-23"/>
        </w:rPr>
        <w:t> </w:t>
      </w:r>
      <w:r>
        <w:rPr/>
        <w:t>custos.</w:t>
      </w:r>
    </w:p>
    <w:p>
      <w:pPr>
        <w:pStyle w:val="BodyText"/>
        <w:spacing w:before="2"/>
      </w:pPr>
    </w:p>
    <w:p>
      <w:pPr>
        <w:pStyle w:val="BodyText"/>
        <w:spacing w:line="242" w:lineRule="auto"/>
        <w:ind w:left="172" w:right="413"/>
        <w:jc w:val="both"/>
      </w:pPr>
      <w:r>
        <w:rPr/>
        <w:t>A</w:t>
      </w:r>
      <w:r>
        <w:rPr>
          <w:spacing w:val="-31"/>
        </w:rPr>
        <w:t> </w:t>
      </w:r>
      <w:r>
        <w:rPr/>
        <w:t>Carta</w:t>
      </w:r>
      <w:r>
        <w:rPr>
          <w:spacing w:val="-30"/>
        </w:rPr>
        <w:t> </w:t>
      </w:r>
      <w:r>
        <w:rPr/>
        <w:t>de</w:t>
      </w:r>
      <w:r>
        <w:rPr>
          <w:spacing w:val="-31"/>
        </w:rPr>
        <w:t> </w:t>
      </w:r>
      <w:r>
        <w:rPr/>
        <w:t>Controle</w:t>
      </w:r>
      <w:r>
        <w:rPr>
          <w:spacing w:val="-31"/>
        </w:rPr>
        <w:t> </w:t>
      </w:r>
      <w:r>
        <w:rPr/>
        <w:t>Interno</w:t>
      </w:r>
      <w:r>
        <w:rPr>
          <w:spacing w:val="-27"/>
        </w:rPr>
        <w:t> </w:t>
      </w:r>
      <w:r>
        <w:rPr>
          <w:w w:val="105"/>
        </w:rPr>
        <w:t>–</w:t>
      </w:r>
      <w:r>
        <w:rPr>
          <w:spacing w:val="-33"/>
          <w:w w:val="105"/>
        </w:rPr>
        <w:t> </w:t>
      </w:r>
      <w:r>
        <w:rPr/>
        <w:t>CCI,</w:t>
      </w:r>
      <w:r>
        <w:rPr>
          <w:spacing w:val="-31"/>
        </w:rPr>
        <w:t> </w:t>
      </w:r>
      <w:r>
        <w:rPr/>
        <w:t>elaborada</w:t>
      </w:r>
      <w:r>
        <w:rPr>
          <w:spacing w:val="-30"/>
        </w:rPr>
        <w:t> </w:t>
      </w:r>
      <w:r>
        <w:rPr/>
        <w:t>pela</w:t>
      </w:r>
      <w:r>
        <w:rPr>
          <w:spacing w:val="-30"/>
        </w:rPr>
        <w:t> </w:t>
      </w:r>
      <w:r>
        <w:rPr/>
        <w:t>Auditoria</w:t>
      </w:r>
      <w:r>
        <w:rPr>
          <w:spacing w:val="-30"/>
        </w:rPr>
        <w:t> </w:t>
      </w:r>
      <w:r>
        <w:rPr/>
        <w:t>Independente,</w:t>
      </w:r>
      <w:r>
        <w:rPr>
          <w:spacing w:val="-30"/>
        </w:rPr>
        <w:t> </w:t>
      </w:r>
      <w:r>
        <w:rPr/>
        <w:t>apresenta</w:t>
      </w:r>
      <w:r>
        <w:rPr>
          <w:spacing w:val="-30"/>
        </w:rPr>
        <w:t> </w:t>
      </w:r>
      <w:r>
        <w:rPr/>
        <w:t>o</w:t>
      </w:r>
      <w:r>
        <w:rPr>
          <w:spacing w:val="-31"/>
        </w:rPr>
        <w:t> </w:t>
      </w:r>
      <w:r>
        <w:rPr/>
        <w:t>apontamento</w:t>
      </w:r>
      <w:r>
        <w:rPr>
          <w:spacing w:val="-30"/>
        </w:rPr>
        <w:t> </w:t>
      </w:r>
      <w:r>
        <w:rPr/>
        <w:t>dos</w:t>
      </w:r>
      <w:r>
        <w:rPr>
          <w:spacing w:val="-30"/>
        </w:rPr>
        <w:t> </w:t>
      </w:r>
      <w:r>
        <w:rPr/>
        <w:t>principais riscos operacionais da Companhia, segregados em deficiências significativas e não significativas, bem como os respectivos</w:t>
      </w:r>
      <w:r>
        <w:rPr>
          <w:spacing w:val="-18"/>
        </w:rPr>
        <w:t> </w:t>
      </w:r>
      <w:r>
        <w:rPr/>
        <w:t>comentários</w:t>
      </w:r>
      <w:r>
        <w:rPr>
          <w:spacing w:val="-18"/>
        </w:rPr>
        <w:t> </w:t>
      </w:r>
      <w:r>
        <w:rPr/>
        <w:t>da</w:t>
      </w:r>
      <w:r>
        <w:rPr>
          <w:spacing w:val="-16"/>
        </w:rPr>
        <w:t> </w:t>
      </w:r>
      <w:r>
        <w:rPr/>
        <w:t>Administração.</w:t>
      </w:r>
    </w:p>
    <w:p>
      <w:pPr>
        <w:pStyle w:val="BodyText"/>
        <w:spacing w:before="2"/>
      </w:pPr>
    </w:p>
    <w:p>
      <w:pPr>
        <w:pStyle w:val="BodyText"/>
        <w:spacing w:line="242" w:lineRule="auto"/>
        <w:ind w:left="172" w:right="412"/>
        <w:jc w:val="both"/>
      </w:pPr>
      <w:r>
        <w:rPr/>
        <w:t>Em</w:t>
      </w:r>
      <w:r>
        <w:rPr>
          <w:spacing w:val="-39"/>
        </w:rPr>
        <w:t> </w:t>
      </w:r>
      <w:r>
        <w:rPr/>
        <w:t>2019,</w:t>
      </w:r>
      <w:r>
        <w:rPr>
          <w:spacing w:val="-37"/>
        </w:rPr>
        <w:t> </w:t>
      </w:r>
      <w:r>
        <w:rPr/>
        <w:t>foi</w:t>
      </w:r>
      <w:r>
        <w:rPr>
          <w:spacing w:val="-38"/>
        </w:rPr>
        <w:t> </w:t>
      </w:r>
      <w:r>
        <w:rPr/>
        <w:t>aprovada,</w:t>
      </w:r>
      <w:r>
        <w:rPr>
          <w:spacing w:val="-38"/>
        </w:rPr>
        <w:t> </w:t>
      </w:r>
      <w:r>
        <w:rPr/>
        <w:t>em</w:t>
      </w:r>
      <w:r>
        <w:rPr>
          <w:spacing w:val="-38"/>
        </w:rPr>
        <w:t> </w:t>
      </w:r>
      <w:r>
        <w:rPr/>
        <w:t>Assembleia</w:t>
      </w:r>
      <w:r>
        <w:rPr>
          <w:spacing w:val="-37"/>
        </w:rPr>
        <w:t> </w:t>
      </w:r>
      <w:r>
        <w:rPr/>
        <w:t>Geral</w:t>
      </w:r>
      <w:r>
        <w:rPr>
          <w:spacing w:val="-37"/>
        </w:rPr>
        <w:t> </w:t>
      </w:r>
      <w:r>
        <w:rPr/>
        <w:t>Extraordinária,</w:t>
      </w:r>
      <w:r>
        <w:rPr>
          <w:spacing w:val="-37"/>
        </w:rPr>
        <w:t> </w:t>
      </w:r>
      <w:r>
        <w:rPr/>
        <w:t>a</w:t>
      </w:r>
      <w:r>
        <w:rPr>
          <w:spacing w:val="-34"/>
        </w:rPr>
        <w:t> </w:t>
      </w:r>
      <w:r>
        <w:rPr/>
        <w:t>reestruturação</w:t>
      </w:r>
      <w:r>
        <w:rPr>
          <w:spacing w:val="-38"/>
        </w:rPr>
        <w:t> </w:t>
      </w:r>
      <w:r>
        <w:rPr/>
        <w:t>organizacional</w:t>
      </w:r>
      <w:r>
        <w:rPr>
          <w:spacing w:val="-37"/>
        </w:rPr>
        <w:t> </w:t>
      </w:r>
      <w:r>
        <w:rPr/>
        <w:t>da</w:t>
      </w:r>
      <w:r>
        <w:rPr>
          <w:spacing w:val="-37"/>
        </w:rPr>
        <w:t> </w:t>
      </w:r>
      <w:r>
        <w:rPr/>
        <w:t>CEB</w:t>
      </w:r>
      <w:r>
        <w:rPr>
          <w:spacing w:val="-37"/>
        </w:rPr>
        <w:t> </w:t>
      </w:r>
      <w:r>
        <w:rPr/>
        <w:t>DIS,</w:t>
      </w:r>
      <w:r>
        <w:rPr>
          <w:spacing w:val="-38"/>
        </w:rPr>
        <w:t> </w:t>
      </w:r>
      <w:r>
        <w:rPr/>
        <w:t>originando a</w:t>
      </w:r>
      <w:r>
        <w:rPr>
          <w:spacing w:val="-32"/>
        </w:rPr>
        <w:t> </w:t>
      </w:r>
      <w:r>
        <w:rPr/>
        <w:t>criação</w:t>
      </w:r>
      <w:r>
        <w:rPr>
          <w:spacing w:val="-31"/>
        </w:rPr>
        <w:t> </w:t>
      </w:r>
      <w:r>
        <w:rPr/>
        <w:t>da</w:t>
      </w:r>
      <w:r>
        <w:rPr>
          <w:spacing w:val="-32"/>
        </w:rPr>
        <w:t> </w:t>
      </w:r>
      <w:r>
        <w:rPr/>
        <w:t>Superintendência</w:t>
      </w:r>
      <w:r>
        <w:rPr>
          <w:spacing w:val="-32"/>
        </w:rPr>
        <w:t> </w:t>
      </w:r>
      <w:r>
        <w:rPr/>
        <w:t>de</w:t>
      </w:r>
      <w:r>
        <w:rPr>
          <w:spacing w:val="-32"/>
        </w:rPr>
        <w:t> </w:t>
      </w:r>
      <w:r>
        <w:rPr/>
        <w:t>Governança</w:t>
      </w:r>
      <w:r>
        <w:rPr>
          <w:spacing w:val="-31"/>
        </w:rPr>
        <w:t> </w:t>
      </w:r>
      <w:r>
        <w:rPr/>
        <w:t>Corporativa,</w:t>
      </w:r>
      <w:r>
        <w:rPr>
          <w:spacing w:val="-32"/>
        </w:rPr>
        <w:t> </w:t>
      </w:r>
      <w:r>
        <w:rPr/>
        <w:t>vinculada</w:t>
      </w:r>
      <w:r>
        <w:rPr>
          <w:spacing w:val="-32"/>
        </w:rPr>
        <w:t> </w:t>
      </w:r>
      <w:r>
        <w:rPr/>
        <w:t>à</w:t>
      </w:r>
      <w:r>
        <w:rPr>
          <w:spacing w:val="-31"/>
        </w:rPr>
        <w:t> </w:t>
      </w:r>
      <w:r>
        <w:rPr/>
        <w:t>Diretoria</w:t>
      </w:r>
      <w:r>
        <w:rPr>
          <w:spacing w:val="-31"/>
        </w:rPr>
        <w:t> </w:t>
      </w:r>
      <w:r>
        <w:rPr/>
        <w:t>Geral,</w:t>
      </w:r>
      <w:r>
        <w:rPr>
          <w:spacing w:val="-32"/>
        </w:rPr>
        <w:t> </w:t>
      </w:r>
      <w:r>
        <w:rPr/>
        <w:t>que</w:t>
      </w:r>
      <w:r>
        <w:rPr>
          <w:spacing w:val="-32"/>
        </w:rPr>
        <w:t> </w:t>
      </w:r>
      <w:r>
        <w:rPr/>
        <w:t>conta</w:t>
      </w:r>
      <w:r>
        <w:rPr>
          <w:spacing w:val="-32"/>
        </w:rPr>
        <w:t> </w:t>
      </w:r>
      <w:r>
        <w:rPr/>
        <w:t>em</w:t>
      </w:r>
      <w:r>
        <w:rPr>
          <w:spacing w:val="-32"/>
        </w:rPr>
        <w:t> </w:t>
      </w:r>
      <w:r>
        <w:rPr/>
        <w:t>sua</w:t>
      </w:r>
      <w:r>
        <w:rPr>
          <w:spacing w:val="-31"/>
        </w:rPr>
        <w:t> </w:t>
      </w:r>
      <w:r>
        <w:rPr/>
        <w:t>estrutura com</w:t>
      </w:r>
      <w:r>
        <w:rPr>
          <w:spacing w:val="-24"/>
        </w:rPr>
        <w:t> </w:t>
      </w:r>
      <w:r>
        <w:rPr/>
        <w:t>mais</w:t>
      </w:r>
      <w:r>
        <w:rPr>
          <w:spacing w:val="-23"/>
        </w:rPr>
        <w:t> </w:t>
      </w:r>
      <w:r>
        <w:rPr/>
        <w:t>2</w:t>
      </w:r>
      <w:r>
        <w:rPr>
          <w:spacing w:val="-21"/>
        </w:rPr>
        <w:t> </w:t>
      </w:r>
      <w:r>
        <w:rPr/>
        <w:t>(duas)</w:t>
      </w:r>
      <w:r>
        <w:rPr>
          <w:spacing w:val="-23"/>
        </w:rPr>
        <w:t> </w:t>
      </w:r>
      <w:r>
        <w:rPr/>
        <w:t>gerências,</w:t>
      </w:r>
      <w:r>
        <w:rPr>
          <w:spacing w:val="-24"/>
        </w:rPr>
        <w:t> </w:t>
      </w:r>
      <w:r>
        <w:rPr/>
        <w:t>a</w:t>
      </w:r>
      <w:r>
        <w:rPr>
          <w:spacing w:val="-23"/>
        </w:rPr>
        <w:t> </w:t>
      </w:r>
      <w:r>
        <w:rPr/>
        <w:t>Gerência</w:t>
      </w:r>
      <w:r>
        <w:rPr>
          <w:spacing w:val="-23"/>
        </w:rPr>
        <w:t> </w:t>
      </w:r>
      <w:r>
        <w:rPr/>
        <w:t>de</w:t>
      </w:r>
      <w:r>
        <w:rPr>
          <w:spacing w:val="-25"/>
        </w:rPr>
        <w:t> </w:t>
      </w:r>
      <w:r>
        <w:rPr/>
        <w:t>Gestão</w:t>
      </w:r>
      <w:r>
        <w:rPr>
          <w:spacing w:val="-21"/>
        </w:rPr>
        <w:t> </w:t>
      </w:r>
      <w:r>
        <w:rPr/>
        <w:t>de</w:t>
      </w:r>
      <w:r>
        <w:rPr>
          <w:spacing w:val="-25"/>
        </w:rPr>
        <w:t> </w:t>
      </w:r>
      <w:r>
        <w:rPr/>
        <w:t>Riscos</w:t>
      </w:r>
      <w:r>
        <w:rPr>
          <w:spacing w:val="-23"/>
        </w:rPr>
        <w:t> </w:t>
      </w:r>
      <w:r>
        <w:rPr/>
        <w:t>e</w:t>
      </w:r>
      <w:r>
        <w:rPr>
          <w:spacing w:val="-24"/>
        </w:rPr>
        <w:t> </w:t>
      </w:r>
      <w:r>
        <w:rPr/>
        <w:t>a</w:t>
      </w:r>
      <w:r>
        <w:rPr>
          <w:spacing w:val="-23"/>
        </w:rPr>
        <w:t> </w:t>
      </w:r>
      <w:r>
        <w:rPr/>
        <w:t>Gerência</w:t>
      </w:r>
      <w:r>
        <w:rPr>
          <w:spacing w:val="-20"/>
        </w:rPr>
        <w:t> </w:t>
      </w:r>
      <w:r>
        <w:rPr/>
        <w:t>de</w:t>
      </w:r>
      <w:r>
        <w:rPr>
          <w:spacing w:val="-23"/>
        </w:rPr>
        <w:t> </w:t>
      </w:r>
      <w:r>
        <w:rPr/>
        <w:t>Controles</w:t>
      </w:r>
      <w:r>
        <w:rPr>
          <w:spacing w:val="-23"/>
        </w:rPr>
        <w:t> </w:t>
      </w:r>
      <w:r>
        <w:rPr/>
        <w:t>Internos.</w:t>
      </w:r>
    </w:p>
    <w:p>
      <w:pPr>
        <w:pStyle w:val="BodyText"/>
        <w:spacing w:before="1"/>
      </w:pPr>
    </w:p>
    <w:p>
      <w:pPr>
        <w:pStyle w:val="BodyText"/>
        <w:spacing w:line="242" w:lineRule="auto"/>
        <w:ind w:left="172" w:right="413"/>
        <w:jc w:val="both"/>
      </w:pPr>
      <w:r>
        <w:rPr/>
        <w:t>Para</w:t>
      </w:r>
      <w:r>
        <w:rPr>
          <w:spacing w:val="-23"/>
        </w:rPr>
        <w:t> </w:t>
      </w:r>
      <w:r>
        <w:rPr/>
        <w:t>o</w:t>
      </w:r>
      <w:r>
        <w:rPr>
          <w:spacing w:val="-22"/>
        </w:rPr>
        <w:t> </w:t>
      </w:r>
      <w:r>
        <w:rPr/>
        <w:t>processo</w:t>
      </w:r>
      <w:r>
        <w:rPr>
          <w:spacing w:val="-23"/>
        </w:rPr>
        <w:t> </w:t>
      </w:r>
      <w:r>
        <w:rPr/>
        <w:t>de</w:t>
      </w:r>
      <w:r>
        <w:rPr>
          <w:spacing w:val="-22"/>
        </w:rPr>
        <w:t> </w:t>
      </w:r>
      <w:r>
        <w:rPr/>
        <w:t>gestão</w:t>
      </w:r>
      <w:r>
        <w:rPr>
          <w:spacing w:val="-22"/>
        </w:rPr>
        <w:t> </w:t>
      </w:r>
      <w:r>
        <w:rPr/>
        <w:t>de</w:t>
      </w:r>
      <w:r>
        <w:rPr>
          <w:spacing w:val="-22"/>
        </w:rPr>
        <w:t> </w:t>
      </w:r>
      <w:r>
        <w:rPr/>
        <w:t>riscos</w:t>
      </w:r>
      <w:r>
        <w:rPr>
          <w:spacing w:val="-20"/>
        </w:rPr>
        <w:t> </w:t>
      </w:r>
      <w:r>
        <w:rPr/>
        <w:t>do</w:t>
      </w:r>
      <w:r>
        <w:rPr>
          <w:spacing w:val="-22"/>
        </w:rPr>
        <w:t> </w:t>
      </w:r>
      <w:r>
        <w:rPr/>
        <w:t>Grupo,</w:t>
      </w:r>
      <w:r>
        <w:rPr>
          <w:spacing w:val="-23"/>
        </w:rPr>
        <w:t> </w:t>
      </w:r>
      <w:r>
        <w:rPr/>
        <w:t>foi</w:t>
      </w:r>
      <w:r>
        <w:rPr>
          <w:spacing w:val="-21"/>
        </w:rPr>
        <w:t> </w:t>
      </w:r>
      <w:r>
        <w:rPr/>
        <w:t>elaborado</w:t>
      </w:r>
      <w:r>
        <w:rPr>
          <w:spacing w:val="-24"/>
        </w:rPr>
        <w:t> </w:t>
      </w:r>
      <w:r>
        <w:rPr/>
        <w:t>o</w:t>
      </w:r>
      <w:r>
        <w:rPr>
          <w:spacing w:val="-23"/>
        </w:rPr>
        <w:t> </w:t>
      </w:r>
      <w:r>
        <w:rPr/>
        <w:t>Manual</w:t>
      </w:r>
      <w:r>
        <w:rPr>
          <w:spacing w:val="-22"/>
        </w:rPr>
        <w:t> </w:t>
      </w:r>
      <w:r>
        <w:rPr/>
        <w:t>de</w:t>
      </w:r>
      <w:r>
        <w:rPr>
          <w:spacing w:val="-22"/>
        </w:rPr>
        <w:t> </w:t>
      </w:r>
      <w:r>
        <w:rPr/>
        <w:t>Gestão</w:t>
      </w:r>
      <w:r>
        <w:rPr>
          <w:spacing w:val="-22"/>
        </w:rPr>
        <w:t> </w:t>
      </w:r>
      <w:r>
        <w:rPr/>
        <w:t>de</w:t>
      </w:r>
      <w:r>
        <w:rPr>
          <w:spacing w:val="-21"/>
        </w:rPr>
        <w:t> </w:t>
      </w:r>
      <w:r>
        <w:rPr/>
        <w:t>Riscos</w:t>
      </w:r>
      <w:r>
        <w:rPr>
          <w:spacing w:val="-23"/>
        </w:rPr>
        <w:t> </w:t>
      </w:r>
      <w:r>
        <w:rPr/>
        <w:t>com</w:t>
      </w:r>
      <w:r>
        <w:rPr>
          <w:spacing w:val="-23"/>
        </w:rPr>
        <w:t> </w:t>
      </w:r>
      <w:r>
        <w:rPr/>
        <w:t>requisitos</w:t>
      </w:r>
      <w:r>
        <w:rPr>
          <w:spacing w:val="-21"/>
        </w:rPr>
        <w:t> </w:t>
      </w:r>
      <w:r>
        <w:rPr/>
        <w:t>mínimos, </w:t>
      </w:r>
      <w:r>
        <w:rPr>
          <w:w w:val="95"/>
        </w:rPr>
        <w:t>considerando</w:t>
      </w:r>
      <w:r>
        <w:rPr>
          <w:spacing w:val="-15"/>
          <w:w w:val="95"/>
        </w:rPr>
        <w:t> </w:t>
      </w:r>
      <w:r>
        <w:rPr>
          <w:w w:val="95"/>
        </w:rPr>
        <w:t>as</w:t>
      </w:r>
      <w:r>
        <w:rPr>
          <w:spacing w:val="-16"/>
          <w:w w:val="95"/>
        </w:rPr>
        <w:t> </w:t>
      </w:r>
      <w:r>
        <w:rPr>
          <w:w w:val="95"/>
        </w:rPr>
        <w:t>necessidades</w:t>
      </w:r>
      <w:r>
        <w:rPr>
          <w:spacing w:val="-16"/>
          <w:w w:val="95"/>
        </w:rPr>
        <w:t> </w:t>
      </w:r>
      <w:r>
        <w:rPr>
          <w:w w:val="95"/>
        </w:rPr>
        <w:t>e</w:t>
      </w:r>
      <w:r>
        <w:rPr>
          <w:spacing w:val="-19"/>
          <w:w w:val="95"/>
        </w:rPr>
        <w:t> </w:t>
      </w:r>
      <w:r>
        <w:rPr>
          <w:w w:val="95"/>
        </w:rPr>
        <w:t>as</w:t>
      </w:r>
      <w:r>
        <w:rPr>
          <w:spacing w:val="-16"/>
          <w:w w:val="95"/>
        </w:rPr>
        <w:t> </w:t>
      </w:r>
      <w:r>
        <w:rPr>
          <w:w w:val="95"/>
        </w:rPr>
        <w:t>características</w:t>
      </w:r>
      <w:r>
        <w:rPr>
          <w:spacing w:val="-16"/>
          <w:w w:val="95"/>
        </w:rPr>
        <w:t> </w:t>
      </w:r>
      <w:r>
        <w:rPr>
          <w:w w:val="95"/>
        </w:rPr>
        <w:t>das</w:t>
      </w:r>
      <w:r>
        <w:rPr>
          <w:spacing w:val="-16"/>
          <w:w w:val="95"/>
        </w:rPr>
        <w:t> </w:t>
      </w:r>
      <w:r>
        <w:rPr>
          <w:w w:val="95"/>
        </w:rPr>
        <w:t>Companhias,</w:t>
      </w:r>
      <w:r>
        <w:rPr>
          <w:spacing w:val="-17"/>
          <w:w w:val="95"/>
        </w:rPr>
        <w:t> </w:t>
      </w:r>
      <w:r>
        <w:rPr>
          <w:w w:val="95"/>
        </w:rPr>
        <w:t>contemplando</w:t>
      </w:r>
      <w:r>
        <w:rPr>
          <w:spacing w:val="-17"/>
          <w:w w:val="95"/>
        </w:rPr>
        <w:t> </w:t>
      </w:r>
      <w:r>
        <w:rPr>
          <w:w w:val="95"/>
        </w:rPr>
        <w:t>a</w:t>
      </w:r>
      <w:r>
        <w:rPr>
          <w:spacing w:val="-16"/>
          <w:w w:val="95"/>
        </w:rPr>
        <w:t> </w:t>
      </w:r>
      <w:r>
        <w:rPr>
          <w:w w:val="95"/>
        </w:rPr>
        <w:t>importância</w:t>
      </w:r>
      <w:r>
        <w:rPr>
          <w:spacing w:val="-16"/>
          <w:w w:val="95"/>
        </w:rPr>
        <w:t> </w:t>
      </w:r>
      <w:r>
        <w:rPr>
          <w:w w:val="95"/>
        </w:rPr>
        <w:t>da</w:t>
      </w:r>
      <w:r>
        <w:rPr>
          <w:spacing w:val="-14"/>
          <w:w w:val="95"/>
        </w:rPr>
        <w:t> </w:t>
      </w:r>
      <w:r>
        <w:rPr>
          <w:w w:val="95"/>
        </w:rPr>
        <w:t>melhoria</w:t>
      </w:r>
      <w:r>
        <w:rPr>
          <w:spacing w:val="-16"/>
          <w:w w:val="95"/>
        </w:rPr>
        <w:t> </w:t>
      </w:r>
      <w:r>
        <w:rPr>
          <w:w w:val="95"/>
        </w:rPr>
        <w:t>contínua </w:t>
      </w:r>
      <w:r>
        <w:rPr/>
        <w:t>e</w:t>
      </w:r>
      <w:r>
        <w:rPr>
          <w:spacing w:val="-18"/>
        </w:rPr>
        <w:t> </w:t>
      </w:r>
      <w:r>
        <w:rPr/>
        <w:t>sua</w:t>
      </w:r>
      <w:r>
        <w:rPr>
          <w:spacing w:val="-17"/>
        </w:rPr>
        <w:t> </w:t>
      </w:r>
      <w:r>
        <w:rPr/>
        <w:t>adequação,</w:t>
      </w:r>
      <w:r>
        <w:rPr>
          <w:spacing w:val="-17"/>
        </w:rPr>
        <w:t> </w:t>
      </w:r>
      <w:r>
        <w:rPr/>
        <w:t>a</w:t>
      </w:r>
      <w:r>
        <w:rPr>
          <w:spacing w:val="-17"/>
        </w:rPr>
        <w:t> </w:t>
      </w:r>
      <w:r>
        <w:rPr/>
        <w:t>suficiência</w:t>
      </w:r>
      <w:r>
        <w:rPr>
          <w:spacing w:val="-16"/>
        </w:rPr>
        <w:t> </w:t>
      </w:r>
      <w:r>
        <w:rPr/>
        <w:t>e</w:t>
      </w:r>
      <w:r>
        <w:rPr>
          <w:spacing w:val="-18"/>
        </w:rPr>
        <w:t> </w:t>
      </w:r>
      <w:r>
        <w:rPr/>
        <w:t>a</w:t>
      </w:r>
      <w:r>
        <w:rPr>
          <w:spacing w:val="-16"/>
        </w:rPr>
        <w:t> </w:t>
      </w:r>
      <w:r>
        <w:rPr/>
        <w:t>eficácia</w:t>
      </w:r>
      <w:r>
        <w:rPr>
          <w:spacing w:val="-17"/>
        </w:rPr>
        <w:t> </w:t>
      </w:r>
      <w:r>
        <w:rPr/>
        <w:t>da</w:t>
      </w:r>
      <w:r>
        <w:rPr>
          <w:spacing w:val="-16"/>
        </w:rPr>
        <w:t> </w:t>
      </w:r>
      <w:r>
        <w:rPr/>
        <w:t>estrutura</w:t>
      </w:r>
      <w:r>
        <w:rPr>
          <w:spacing w:val="-17"/>
        </w:rPr>
        <w:t> </w:t>
      </w:r>
      <w:r>
        <w:rPr/>
        <w:t>de</w:t>
      </w:r>
      <w:r>
        <w:rPr>
          <w:spacing w:val="-18"/>
        </w:rPr>
        <w:t> </w:t>
      </w:r>
      <w:r>
        <w:rPr/>
        <w:t>gestão</w:t>
      </w:r>
      <w:r>
        <w:rPr>
          <w:spacing w:val="-18"/>
        </w:rPr>
        <w:t> </w:t>
      </w:r>
      <w:r>
        <w:rPr/>
        <w:t>de</w:t>
      </w:r>
      <w:r>
        <w:rPr>
          <w:spacing w:val="-16"/>
        </w:rPr>
        <w:t> </w:t>
      </w:r>
      <w:r>
        <w:rPr/>
        <w:t>riscos</w:t>
      </w:r>
      <w:r>
        <w:rPr>
          <w:spacing w:val="-17"/>
        </w:rPr>
        <w:t> </w:t>
      </w:r>
      <w:r>
        <w:rPr/>
        <w:t>para</w:t>
      </w:r>
      <w:r>
        <w:rPr>
          <w:spacing w:val="-17"/>
        </w:rPr>
        <w:t> </w:t>
      </w:r>
      <w:r>
        <w:rPr/>
        <w:t>assegurar</w:t>
      </w:r>
      <w:r>
        <w:rPr>
          <w:spacing w:val="-16"/>
        </w:rPr>
        <w:t> </w:t>
      </w:r>
      <w:r>
        <w:rPr/>
        <w:t>os</w:t>
      </w:r>
      <w:r>
        <w:rPr>
          <w:spacing w:val="-17"/>
        </w:rPr>
        <w:t> </w:t>
      </w:r>
      <w:r>
        <w:rPr/>
        <w:t>aprimoramentos</w:t>
      </w:r>
      <w:r>
        <w:rPr>
          <w:spacing w:val="-16"/>
        </w:rPr>
        <w:t> </w:t>
      </w:r>
      <w:r>
        <w:rPr/>
        <w:t>do processo</w:t>
      </w:r>
      <w:r>
        <w:rPr>
          <w:spacing w:val="-16"/>
        </w:rPr>
        <w:t> </w:t>
      </w:r>
      <w:r>
        <w:rPr/>
        <w:t>e</w:t>
      </w:r>
      <w:r>
        <w:rPr>
          <w:spacing w:val="-17"/>
        </w:rPr>
        <w:t> </w:t>
      </w:r>
      <w:r>
        <w:rPr/>
        <w:t>da</w:t>
      </w:r>
      <w:r>
        <w:rPr>
          <w:spacing w:val="-18"/>
        </w:rPr>
        <w:t> </w:t>
      </w:r>
      <w:r>
        <w:rPr/>
        <w:t>metodologia</w:t>
      </w:r>
      <w:r>
        <w:rPr>
          <w:spacing w:val="-18"/>
        </w:rPr>
        <w:t> </w:t>
      </w:r>
      <w:r>
        <w:rPr/>
        <w:t>adotada.</w:t>
      </w:r>
    </w:p>
    <w:p>
      <w:pPr>
        <w:pStyle w:val="BodyText"/>
        <w:spacing w:before="3"/>
      </w:pPr>
    </w:p>
    <w:p>
      <w:pPr>
        <w:pStyle w:val="BodyText"/>
        <w:spacing w:line="242" w:lineRule="auto"/>
        <w:ind w:left="172" w:right="417"/>
        <w:jc w:val="both"/>
      </w:pPr>
      <w:r>
        <w:rPr/>
        <w:t>A</w:t>
      </w:r>
      <w:r>
        <w:rPr>
          <w:spacing w:val="-37"/>
        </w:rPr>
        <w:t> </w:t>
      </w:r>
      <w:r>
        <w:rPr/>
        <w:t>Gestão</w:t>
      </w:r>
      <w:r>
        <w:rPr>
          <w:spacing w:val="-36"/>
        </w:rPr>
        <w:t> </w:t>
      </w:r>
      <w:r>
        <w:rPr/>
        <w:t>Integrada</w:t>
      </w:r>
      <w:r>
        <w:rPr>
          <w:spacing w:val="-35"/>
        </w:rPr>
        <w:t> </w:t>
      </w:r>
      <w:r>
        <w:rPr/>
        <w:t>de</w:t>
      </w:r>
      <w:r>
        <w:rPr>
          <w:spacing w:val="-35"/>
        </w:rPr>
        <w:t> </w:t>
      </w:r>
      <w:r>
        <w:rPr/>
        <w:t>Riscos</w:t>
      </w:r>
      <w:r>
        <w:rPr>
          <w:spacing w:val="-37"/>
        </w:rPr>
        <w:t> </w:t>
      </w:r>
      <w:r>
        <w:rPr/>
        <w:t>realizada</w:t>
      </w:r>
      <w:r>
        <w:rPr>
          <w:spacing w:val="-35"/>
        </w:rPr>
        <w:t> </w:t>
      </w:r>
      <w:r>
        <w:rPr/>
        <w:t>pela</w:t>
      </w:r>
      <w:r>
        <w:rPr>
          <w:spacing w:val="-35"/>
        </w:rPr>
        <w:t> </w:t>
      </w:r>
      <w:r>
        <w:rPr/>
        <w:t>Companhia</w:t>
      </w:r>
      <w:r>
        <w:rPr>
          <w:spacing w:val="-35"/>
        </w:rPr>
        <w:t> </w:t>
      </w:r>
      <w:r>
        <w:rPr/>
        <w:t>é</w:t>
      </w:r>
      <w:r>
        <w:rPr>
          <w:spacing w:val="-36"/>
        </w:rPr>
        <w:t> </w:t>
      </w:r>
      <w:r>
        <w:rPr/>
        <w:t>acompanhada</w:t>
      </w:r>
      <w:r>
        <w:rPr>
          <w:spacing w:val="-35"/>
        </w:rPr>
        <w:t> </w:t>
      </w:r>
      <w:r>
        <w:rPr/>
        <w:t>pelo</w:t>
      </w:r>
      <w:r>
        <w:rPr>
          <w:spacing w:val="-36"/>
        </w:rPr>
        <w:t> </w:t>
      </w:r>
      <w:r>
        <w:rPr/>
        <w:t>Comitê</w:t>
      </w:r>
      <w:r>
        <w:rPr>
          <w:spacing w:val="-35"/>
        </w:rPr>
        <w:t> </w:t>
      </w:r>
      <w:r>
        <w:rPr/>
        <w:t>Gestor</w:t>
      </w:r>
      <w:r>
        <w:rPr>
          <w:spacing w:val="-36"/>
        </w:rPr>
        <w:t> </w:t>
      </w:r>
      <w:r>
        <w:rPr/>
        <w:t>de</w:t>
      </w:r>
      <w:r>
        <w:rPr>
          <w:spacing w:val="-37"/>
        </w:rPr>
        <w:t> </w:t>
      </w:r>
      <w:r>
        <w:rPr/>
        <w:t>Riscos</w:t>
      </w:r>
      <w:r>
        <w:rPr>
          <w:spacing w:val="-34"/>
        </w:rPr>
        <w:t> </w:t>
      </w:r>
      <w:r>
        <w:rPr/>
        <w:t>e</w:t>
      </w:r>
      <w:r>
        <w:rPr>
          <w:spacing w:val="-37"/>
        </w:rPr>
        <w:t> </w:t>
      </w:r>
      <w:r>
        <w:rPr/>
        <w:t>reportada</w:t>
      </w:r>
      <w:r>
        <w:rPr>
          <w:spacing w:val="-34"/>
        </w:rPr>
        <w:t> </w:t>
      </w:r>
      <w:r>
        <w:rPr/>
        <w:t>ao Conselho</w:t>
      </w:r>
      <w:r>
        <w:rPr>
          <w:spacing w:val="-20"/>
        </w:rPr>
        <w:t> </w:t>
      </w:r>
      <w:r>
        <w:rPr/>
        <w:t>de</w:t>
      </w:r>
      <w:r>
        <w:rPr>
          <w:spacing w:val="-21"/>
        </w:rPr>
        <w:t> </w:t>
      </w:r>
      <w:r>
        <w:rPr/>
        <w:t>Administração,</w:t>
      </w:r>
      <w:r>
        <w:rPr>
          <w:spacing w:val="-20"/>
        </w:rPr>
        <w:t> </w:t>
      </w:r>
      <w:r>
        <w:rPr/>
        <w:t>Comitê</w:t>
      </w:r>
      <w:r>
        <w:rPr>
          <w:spacing w:val="-20"/>
        </w:rPr>
        <w:t> </w:t>
      </w:r>
      <w:r>
        <w:rPr/>
        <w:t>de</w:t>
      </w:r>
      <w:r>
        <w:rPr>
          <w:spacing w:val="-23"/>
        </w:rPr>
        <w:t> </w:t>
      </w:r>
      <w:r>
        <w:rPr/>
        <w:t>Auditoria</w:t>
      </w:r>
      <w:r>
        <w:rPr>
          <w:spacing w:val="-22"/>
        </w:rPr>
        <w:t> </w:t>
      </w:r>
      <w:r>
        <w:rPr/>
        <w:t>Estatutário</w:t>
      </w:r>
      <w:r>
        <w:rPr>
          <w:spacing w:val="-20"/>
        </w:rPr>
        <w:t> </w:t>
      </w:r>
      <w:r>
        <w:rPr/>
        <w:t>e</w:t>
      </w:r>
      <w:r>
        <w:rPr>
          <w:spacing w:val="-23"/>
        </w:rPr>
        <w:t> </w:t>
      </w:r>
      <w:r>
        <w:rPr/>
        <w:t>ao</w:t>
      </w:r>
      <w:r>
        <w:rPr>
          <w:spacing w:val="-22"/>
        </w:rPr>
        <w:t> </w:t>
      </w:r>
      <w:r>
        <w:rPr/>
        <w:t>Conselho</w:t>
      </w:r>
      <w:r>
        <w:rPr>
          <w:spacing w:val="-22"/>
        </w:rPr>
        <w:t> </w:t>
      </w:r>
      <w:r>
        <w:rPr/>
        <w:t>Fiscal</w:t>
      </w:r>
      <w:r>
        <w:rPr>
          <w:spacing w:val="-16"/>
        </w:rPr>
        <w:t> </w:t>
      </w:r>
      <w:r>
        <w:rPr/>
        <w:t>da</w:t>
      </w:r>
      <w:r>
        <w:rPr>
          <w:spacing w:val="-18"/>
        </w:rPr>
        <w:t> </w:t>
      </w:r>
      <w:r>
        <w:rPr/>
        <w:t>CEB.</w:t>
      </w:r>
    </w:p>
    <w:p>
      <w:pPr>
        <w:pStyle w:val="BodyText"/>
        <w:spacing w:before="2"/>
      </w:pPr>
    </w:p>
    <w:p>
      <w:pPr>
        <w:pStyle w:val="BodyText"/>
        <w:spacing w:line="242" w:lineRule="auto"/>
        <w:ind w:left="172" w:right="408"/>
        <w:jc w:val="both"/>
      </w:pPr>
      <w:r>
        <w:rPr>
          <w:w w:val="105"/>
        </w:rPr>
        <w:t>Em</w:t>
      </w:r>
      <w:r>
        <w:rPr>
          <w:spacing w:val="-18"/>
          <w:w w:val="105"/>
        </w:rPr>
        <w:t> </w:t>
      </w:r>
      <w:r>
        <w:rPr>
          <w:w w:val="105"/>
        </w:rPr>
        <w:t>relação</w:t>
      </w:r>
      <w:r>
        <w:rPr>
          <w:spacing w:val="-17"/>
          <w:w w:val="105"/>
        </w:rPr>
        <w:t> </w:t>
      </w:r>
      <w:r>
        <w:rPr>
          <w:w w:val="105"/>
        </w:rPr>
        <w:t>aos</w:t>
      </w:r>
      <w:r>
        <w:rPr>
          <w:spacing w:val="-17"/>
          <w:w w:val="105"/>
        </w:rPr>
        <w:t> </w:t>
      </w:r>
      <w:r>
        <w:rPr>
          <w:w w:val="105"/>
        </w:rPr>
        <w:t>controles</w:t>
      </w:r>
      <w:r>
        <w:rPr>
          <w:spacing w:val="-17"/>
          <w:w w:val="105"/>
        </w:rPr>
        <w:t> </w:t>
      </w:r>
      <w:r>
        <w:rPr>
          <w:w w:val="105"/>
        </w:rPr>
        <w:t>internos</w:t>
      </w:r>
      <w:r>
        <w:rPr>
          <w:spacing w:val="-17"/>
          <w:w w:val="105"/>
        </w:rPr>
        <w:t> </w:t>
      </w:r>
      <w:r>
        <w:rPr>
          <w:w w:val="105"/>
        </w:rPr>
        <w:t>atuou-se</w:t>
      </w:r>
      <w:r>
        <w:rPr>
          <w:spacing w:val="-18"/>
          <w:w w:val="105"/>
        </w:rPr>
        <w:t> </w:t>
      </w:r>
      <w:r>
        <w:rPr>
          <w:w w:val="105"/>
        </w:rPr>
        <w:t>de</w:t>
      </w:r>
      <w:r>
        <w:rPr>
          <w:spacing w:val="-17"/>
          <w:w w:val="105"/>
        </w:rPr>
        <w:t> </w:t>
      </w:r>
      <w:r>
        <w:rPr>
          <w:w w:val="105"/>
        </w:rPr>
        <w:t>forma</w:t>
      </w:r>
      <w:r>
        <w:rPr>
          <w:spacing w:val="-17"/>
          <w:w w:val="105"/>
        </w:rPr>
        <w:t> </w:t>
      </w:r>
      <w:r>
        <w:rPr>
          <w:w w:val="105"/>
        </w:rPr>
        <w:t>imperiosa</w:t>
      </w:r>
      <w:r>
        <w:rPr>
          <w:spacing w:val="-16"/>
          <w:w w:val="105"/>
        </w:rPr>
        <w:t> </w:t>
      </w:r>
      <w:r>
        <w:rPr>
          <w:w w:val="105"/>
        </w:rPr>
        <w:t>ao</w:t>
      </w:r>
      <w:r>
        <w:rPr>
          <w:spacing w:val="-18"/>
          <w:w w:val="105"/>
        </w:rPr>
        <w:t> </w:t>
      </w:r>
      <w:r>
        <w:rPr>
          <w:w w:val="105"/>
        </w:rPr>
        <w:t>atendimento</w:t>
      </w:r>
      <w:r>
        <w:rPr>
          <w:spacing w:val="-16"/>
          <w:w w:val="105"/>
        </w:rPr>
        <w:t> </w:t>
      </w:r>
      <w:r>
        <w:rPr>
          <w:w w:val="105"/>
        </w:rPr>
        <w:t>dos</w:t>
      </w:r>
      <w:r>
        <w:rPr>
          <w:spacing w:val="-17"/>
          <w:w w:val="105"/>
        </w:rPr>
        <w:t> </w:t>
      </w:r>
      <w:r>
        <w:rPr>
          <w:w w:val="105"/>
        </w:rPr>
        <w:t>requisitos</w:t>
      </w:r>
      <w:r>
        <w:rPr>
          <w:spacing w:val="-18"/>
          <w:w w:val="105"/>
        </w:rPr>
        <w:t> </w:t>
      </w:r>
      <w:r>
        <w:rPr>
          <w:w w:val="105"/>
        </w:rPr>
        <w:t>da</w:t>
      </w:r>
      <w:r>
        <w:rPr>
          <w:spacing w:val="-16"/>
          <w:w w:val="105"/>
        </w:rPr>
        <w:t> </w:t>
      </w:r>
      <w:r>
        <w:rPr>
          <w:w w:val="105"/>
        </w:rPr>
        <w:t>Resolução </w:t>
      </w:r>
      <w:r>
        <w:rPr>
          <w:spacing w:val="1"/>
          <w:w w:val="106"/>
        </w:rPr>
        <w:t>N</w:t>
      </w:r>
      <w:r>
        <w:rPr>
          <w:w w:val="101"/>
        </w:rPr>
        <w:t>o</w:t>
      </w:r>
      <w:r>
        <w:rPr>
          <w:spacing w:val="-1"/>
          <w:w w:val="101"/>
        </w:rPr>
        <w:t>r</w:t>
      </w:r>
      <w:r>
        <w:rPr>
          <w:w w:val="97"/>
        </w:rPr>
        <w:t>ma</w:t>
      </w:r>
      <w:r>
        <w:rPr>
          <w:spacing w:val="-1"/>
          <w:w w:val="94"/>
        </w:rPr>
        <w:t>tiv</w:t>
      </w:r>
      <w:r>
        <w:rPr>
          <w:w w:val="94"/>
        </w:rPr>
        <w:t>a</w:t>
      </w:r>
      <w:r>
        <w:rPr>
          <w:spacing w:val="-5"/>
        </w:rPr>
        <w:t> </w:t>
      </w:r>
      <w:r>
        <w:rPr>
          <w:spacing w:val="1"/>
          <w:w w:val="106"/>
        </w:rPr>
        <w:t>N</w:t>
      </w:r>
      <w:r>
        <w:rPr>
          <w:spacing w:val="1"/>
          <w:w w:val="116"/>
        </w:rPr>
        <w:t>º</w:t>
      </w:r>
      <w:r>
        <w:rPr>
          <w:w w:val="55"/>
        </w:rPr>
        <w:t>.</w:t>
      </w:r>
      <w:r>
        <w:rPr>
          <w:spacing w:val="-6"/>
        </w:rPr>
        <w:t> </w:t>
      </w:r>
      <w:r>
        <w:rPr>
          <w:spacing w:val="2"/>
          <w:w w:val="105"/>
        </w:rPr>
        <w:t>7</w:t>
      </w:r>
      <w:r>
        <w:rPr>
          <w:w w:val="101"/>
        </w:rPr>
        <w:t>87/</w:t>
      </w:r>
      <w:r>
        <w:rPr>
          <w:w w:val="105"/>
        </w:rPr>
        <w:t>2017</w:t>
      </w:r>
      <w:r>
        <w:rPr>
          <w:spacing w:val="-3"/>
        </w:rPr>
        <w:t> </w:t>
      </w:r>
      <w:r>
        <w:rPr>
          <w:w w:val="95"/>
        </w:rPr>
        <w:t>da</w:t>
      </w:r>
      <w:r>
        <w:rPr>
          <w:spacing w:val="-3"/>
        </w:rPr>
        <w:t> </w:t>
      </w:r>
      <w:r>
        <w:rPr>
          <w:w w:val="105"/>
        </w:rPr>
        <w:t>A</w:t>
      </w:r>
      <w:r>
        <w:rPr>
          <w:spacing w:val="-1"/>
          <w:w w:val="93"/>
        </w:rPr>
        <w:t>g</w:t>
      </w:r>
      <w:r>
        <w:rPr>
          <w:w w:val="93"/>
        </w:rPr>
        <w:t>ê</w:t>
      </w:r>
      <w:r>
        <w:rPr>
          <w:spacing w:val="-1"/>
          <w:w w:val="101"/>
        </w:rPr>
        <w:t>n</w:t>
      </w:r>
      <w:r>
        <w:rPr>
          <w:w w:val="88"/>
        </w:rPr>
        <w:t>c</w:t>
      </w:r>
      <w:r>
        <w:rPr>
          <w:w w:val="94"/>
        </w:rPr>
        <w:t>ia</w:t>
      </w:r>
      <w:r>
        <w:rPr>
          <w:spacing w:val="-5"/>
        </w:rPr>
        <w:t> </w:t>
      </w:r>
      <w:r>
        <w:rPr>
          <w:spacing w:val="1"/>
          <w:w w:val="106"/>
        </w:rPr>
        <w:t>N</w:t>
      </w:r>
      <w:r>
        <w:rPr>
          <w:w w:val="92"/>
        </w:rPr>
        <w:t>a</w:t>
      </w:r>
      <w:r>
        <w:rPr>
          <w:w w:val="88"/>
        </w:rPr>
        <w:t>c</w:t>
      </w:r>
      <w:r>
        <w:rPr>
          <w:w w:val="99"/>
        </w:rPr>
        <w:t>io</w:t>
      </w:r>
      <w:r>
        <w:rPr>
          <w:spacing w:val="-2"/>
          <w:w w:val="99"/>
        </w:rPr>
        <w:t>n</w:t>
      </w:r>
      <w:r>
        <w:rPr>
          <w:w w:val="92"/>
        </w:rPr>
        <w:t>a</w:t>
      </w:r>
      <w:r>
        <w:rPr>
          <w:w w:val="91"/>
        </w:rPr>
        <w:t>l</w:t>
      </w:r>
      <w:r>
        <w:rPr>
          <w:spacing w:val="-5"/>
        </w:rPr>
        <w:t> </w:t>
      </w:r>
      <w:r>
        <w:rPr>
          <w:spacing w:val="2"/>
          <w:w w:val="99"/>
        </w:rPr>
        <w:t>d</w:t>
      </w:r>
      <w:r>
        <w:rPr>
          <w:w w:val="89"/>
        </w:rPr>
        <w:t>e</w:t>
      </w:r>
      <w:r>
        <w:rPr>
          <w:spacing w:val="-5"/>
        </w:rPr>
        <w:t> </w:t>
      </w:r>
      <w:r>
        <w:rPr>
          <w:w w:val="106"/>
        </w:rPr>
        <w:t>E</w:t>
      </w:r>
      <w:r>
        <w:rPr>
          <w:spacing w:val="1"/>
          <w:w w:val="101"/>
        </w:rPr>
        <w:t>n</w:t>
      </w:r>
      <w:r>
        <w:rPr>
          <w:spacing w:val="-2"/>
          <w:w w:val="89"/>
        </w:rPr>
        <w:t>e</w:t>
      </w:r>
      <w:r>
        <w:rPr>
          <w:spacing w:val="-1"/>
          <w:w w:val="105"/>
        </w:rPr>
        <w:t>r</w:t>
      </w:r>
      <w:r>
        <w:rPr>
          <w:spacing w:val="2"/>
          <w:w w:val="98"/>
        </w:rPr>
        <w:t>g</w:t>
      </w:r>
      <w:r>
        <w:rPr>
          <w:spacing w:val="2"/>
          <w:w w:val="97"/>
        </w:rPr>
        <w:t>i</w:t>
      </w:r>
      <w:r>
        <w:rPr>
          <w:w w:val="92"/>
        </w:rPr>
        <w:t>a</w:t>
      </w:r>
      <w:r>
        <w:rPr>
          <w:spacing w:val="-5"/>
        </w:rPr>
        <w:t> </w:t>
      </w:r>
      <w:r>
        <w:rPr>
          <w:w w:val="106"/>
        </w:rPr>
        <w:t>E</w:t>
      </w:r>
      <w:r>
        <w:rPr>
          <w:w w:val="91"/>
        </w:rPr>
        <w:t>l</w:t>
      </w:r>
      <w:r>
        <w:rPr>
          <w:spacing w:val="-2"/>
          <w:w w:val="89"/>
        </w:rPr>
        <w:t>é</w:t>
      </w:r>
      <w:r>
        <w:rPr>
          <w:spacing w:val="-1"/>
          <w:w w:val="95"/>
        </w:rPr>
        <w:t>t</w:t>
      </w:r>
      <w:r>
        <w:rPr>
          <w:spacing w:val="-2"/>
          <w:w w:val="95"/>
        </w:rPr>
        <w:t>r</w:t>
      </w:r>
      <w:r>
        <w:rPr>
          <w:w w:val="91"/>
        </w:rPr>
        <w:t>ic</w:t>
      </w:r>
      <w:r>
        <w:rPr>
          <w:w w:val="92"/>
        </w:rPr>
        <w:t>a</w:t>
      </w:r>
      <w:r>
        <w:rPr>
          <w:spacing w:val="5"/>
        </w:rPr>
        <w:t> </w:t>
      </w:r>
      <w:r>
        <w:rPr>
          <w:w w:val="135"/>
        </w:rPr>
        <w:t>–</w:t>
      </w:r>
      <w:r>
        <w:rPr>
          <w:spacing w:val="-2"/>
        </w:rPr>
        <w:t> </w:t>
      </w:r>
      <w:r>
        <w:rPr>
          <w:w w:val="105"/>
        </w:rPr>
        <w:t>A</w:t>
      </w:r>
      <w:r>
        <w:rPr>
          <w:spacing w:val="1"/>
          <w:w w:val="106"/>
        </w:rPr>
        <w:t>N</w:t>
      </w:r>
      <w:r>
        <w:rPr>
          <w:w w:val="106"/>
        </w:rPr>
        <w:t>EE</w:t>
      </w:r>
      <w:r>
        <w:rPr>
          <w:w w:val="105"/>
        </w:rPr>
        <w:t>L</w:t>
      </w:r>
      <w:r>
        <w:rPr>
          <w:w w:val="55"/>
        </w:rPr>
        <w:t>,</w:t>
      </w:r>
      <w:r>
        <w:rPr>
          <w:spacing w:val="-6"/>
        </w:rPr>
        <w:t> </w:t>
      </w:r>
      <w:r>
        <w:rPr>
          <w:spacing w:val="-1"/>
          <w:w w:val="97"/>
        </w:rPr>
        <w:t>q</w:t>
      </w:r>
      <w:r>
        <w:rPr>
          <w:spacing w:val="2"/>
          <w:w w:val="100"/>
        </w:rPr>
        <w:t>u</w:t>
      </w:r>
      <w:r>
        <w:rPr>
          <w:w w:val="89"/>
        </w:rPr>
        <w:t>e</w:t>
      </w:r>
      <w:r>
        <w:rPr>
          <w:spacing w:val="-5"/>
        </w:rPr>
        <w:t> </w:t>
      </w:r>
      <w:r>
        <w:rPr>
          <w:w w:val="92"/>
        </w:rPr>
        <w:t>a</w:t>
      </w:r>
      <w:r>
        <w:rPr>
          <w:spacing w:val="2"/>
          <w:w w:val="102"/>
        </w:rPr>
        <w:t>v</w:t>
      </w:r>
      <w:r>
        <w:rPr>
          <w:w w:val="92"/>
        </w:rPr>
        <w:t>a</w:t>
      </w:r>
      <w:r>
        <w:rPr>
          <w:w w:val="91"/>
        </w:rPr>
        <w:t>l</w:t>
      </w:r>
      <w:r>
        <w:rPr>
          <w:w w:val="94"/>
        </w:rPr>
        <w:t>ia</w:t>
      </w:r>
      <w:r>
        <w:rPr>
          <w:spacing w:val="-5"/>
        </w:rPr>
        <w:t> </w:t>
      </w:r>
      <w:r>
        <w:rPr>
          <w:w w:val="92"/>
        </w:rPr>
        <w:t>a</w:t>
      </w:r>
      <w:r>
        <w:rPr>
          <w:spacing w:val="-5"/>
        </w:rPr>
        <w:t> </w:t>
      </w:r>
      <w:r>
        <w:rPr>
          <w:spacing w:val="-1"/>
          <w:w w:val="97"/>
        </w:rPr>
        <w:t>q</w:t>
      </w:r>
      <w:r>
        <w:rPr>
          <w:spacing w:val="-1"/>
          <w:w w:val="96"/>
        </w:rPr>
        <w:t>u</w:t>
      </w:r>
      <w:r>
        <w:rPr>
          <w:spacing w:val="1"/>
          <w:w w:val="96"/>
        </w:rPr>
        <w:t>a</w:t>
      </w:r>
      <w:r>
        <w:rPr>
          <w:w w:val="91"/>
        </w:rPr>
        <w:t>l</w:t>
      </w:r>
      <w:r>
        <w:rPr>
          <w:w w:val="96"/>
        </w:rPr>
        <w:t>ida</w:t>
      </w:r>
      <w:r>
        <w:rPr>
          <w:spacing w:val="2"/>
          <w:w w:val="99"/>
        </w:rPr>
        <w:t>d</w:t>
      </w:r>
      <w:r>
        <w:rPr>
          <w:w w:val="89"/>
        </w:rPr>
        <w:t>e</w:t>
      </w:r>
      <w:r>
        <w:rPr>
          <w:spacing w:val="-5"/>
        </w:rPr>
        <w:t> </w:t>
      </w:r>
      <w:r>
        <w:rPr>
          <w:w w:val="100"/>
        </w:rPr>
        <w:t>dos</w:t>
      </w:r>
      <w:r>
        <w:rPr>
          <w:spacing w:val="-5"/>
        </w:rPr>
        <w:t> </w:t>
      </w:r>
      <w:r>
        <w:rPr>
          <w:w w:val="105"/>
        </w:rPr>
        <w:t>s</w:t>
      </w:r>
      <w:r>
        <w:rPr>
          <w:w w:val="95"/>
        </w:rPr>
        <w:t>is</w:t>
      </w:r>
      <w:r>
        <w:rPr>
          <w:spacing w:val="2"/>
          <w:w w:val="95"/>
        </w:rPr>
        <w:t>t</w:t>
      </w:r>
      <w:r>
        <w:rPr>
          <w:spacing w:val="-2"/>
          <w:w w:val="89"/>
        </w:rPr>
        <w:t>e</w:t>
      </w:r>
      <w:r>
        <w:rPr>
          <w:w w:val="97"/>
        </w:rPr>
        <w:t>ma</w:t>
      </w:r>
      <w:r>
        <w:rPr>
          <w:w w:val="105"/>
        </w:rPr>
        <w:t>s</w:t>
      </w:r>
      <w:r>
        <w:rPr>
          <w:spacing w:val="-3"/>
        </w:rPr>
        <w:t> </w:t>
      </w:r>
      <w:r>
        <w:rPr>
          <w:w w:val="94"/>
        </w:rPr>
        <w:t>de </w:t>
      </w:r>
      <w:r>
        <w:rPr>
          <w:w w:val="105"/>
        </w:rPr>
        <w:t>governança</w:t>
      </w:r>
      <w:r>
        <w:rPr>
          <w:spacing w:val="-24"/>
          <w:w w:val="105"/>
        </w:rPr>
        <w:t> </w:t>
      </w:r>
      <w:r>
        <w:rPr>
          <w:w w:val="105"/>
        </w:rPr>
        <w:t>corporativa</w:t>
      </w:r>
      <w:r>
        <w:rPr>
          <w:spacing w:val="-24"/>
          <w:w w:val="105"/>
        </w:rPr>
        <w:t> </w:t>
      </w:r>
      <w:r>
        <w:rPr>
          <w:w w:val="105"/>
        </w:rPr>
        <w:t>das</w:t>
      </w:r>
      <w:r>
        <w:rPr>
          <w:spacing w:val="-22"/>
          <w:w w:val="105"/>
        </w:rPr>
        <w:t> </w:t>
      </w:r>
      <w:r>
        <w:rPr>
          <w:w w:val="105"/>
        </w:rPr>
        <w:t>Distribuidoras</w:t>
      </w:r>
      <w:r>
        <w:rPr>
          <w:spacing w:val="-24"/>
          <w:w w:val="105"/>
        </w:rPr>
        <w:t> </w:t>
      </w:r>
      <w:r>
        <w:rPr>
          <w:w w:val="105"/>
        </w:rPr>
        <w:t>de</w:t>
      </w:r>
      <w:r>
        <w:rPr>
          <w:spacing w:val="-24"/>
          <w:w w:val="105"/>
        </w:rPr>
        <w:t> </w:t>
      </w:r>
      <w:r>
        <w:rPr>
          <w:w w:val="105"/>
        </w:rPr>
        <w:t>Energia</w:t>
      </w:r>
      <w:r>
        <w:rPr>
          <w:spacing w:val="-24"/>
          <w:w w:val="105"/>
        </w:rPr>
        <w:t> </w:t>
      </w:r>
      <w:r>
        <w:rPr>
          <w:w w:val="105"/>
        </w:rPr>
        <w:t>Elétrica.</w:t>
      </w:r>
    </w:p>
    <w:p>
      <w:pPr>
        <w:pStyle w:val="BodyText"/>
        <w:spacing w:before="3"/>
      </w:pPr>
    </w:p>
    <w:p>
      <w:pPr>
        <w:pStyle w:val="BodyText"/>
        <w:spacing w:line="242" w:lineRule="auto"/>
        <w:ind w:left="172" w:right="413"/>
        <w:jc w:val="both"/>
      </w:pPr>
      <w:r>
        <w:rPr/>
        <w:t>Neste</w:t>
      </w:r>
      <w:r>
        <w:rPr>
          <w:spacing w:val="-32"/>
        </w:rPr>
        <w:t> </w:t>
      </w:r>
      <w:r>
        <w:rPr/>
        <w:t>diapasão,</w:t>
      </w:r>
      <w:r>
        <w:rPr>
          <w:spacing w:val="-33"/>
        </w:rPr>
        <w:t> </w:t>
      </w:r>
      <w:r>
        <w:rPr/>
        <w:t>com</w:t>
      </w:r>
      <w:r>
        <w:rPr>
          <w:spacing w:val="-31"/>
        </w:rPr>
        <w:t> </w:t>
      </w:r>
      <w:r>
        <w:rPr/>
        <w:t>vistas</w:t>
      </w:r>
      <w:r>
        <w:rPr>
          <w:spacing w:val="-32"/>
        </w:rPr>
        <w:t> </w:t>
      </w:r>
      <w:r>
        <w:rPr/>
        <w:t>a</w:t>
      </w:r>
      <w:r>
        <w:rPr>
          <w:spacing w:val="-31"/>
        </w:rPr>
        <w:t> </w:t>
      </w:r>
      <w:r>
        <w:rPr/>
        <w:t>melhorar</w:t>
      </w:r>
      <w:r>
        <w:rPr>
          <w:spacing w:val="-31"/>
        </w:rPr>
        <w:t> </w:t>
      </w:r>
      <w:r>
        <w:rPr/>
        <w:t>os</w:t>
      </w:r>
      <w:r>
        <w:rPr>
          <w:spacing w:val="-32"/>
        </w:rPr>
        <w:t> </w:t>
      </w:r>
      <w:r>
        <w:rPr/>
        <w:t>sistemas</w:t>
      </w:r>
      <w:r>
        <w:rPr>
          <w:spacing w:val="-32"/>
        </w:rPr>
        <w:t> </w:t>
      </w:r>
      <w:r>
        <w:rPr/>
        <w:t>de</w:t>
      </w:r>
      <w:r>
        <w:rPr>
          <w:spacing w:val="-33"/>
        </w:rPr>
        <w:t> </w:t>
      </w:r>
      <w:r>
        <w:rPr/>
        <w:t>controle,</w:t>
      </w:r>
      <w:r>
        <w:rPr>
          <w:spacing w:val="-31"/>
        </w:rPr>
        <w:t> </w:t>
      </w:r>
      <w:r>
        <w:rPr/>
        <w:t>de</w:t>
      </w:r>
      <w:r>
        <w:rPr>
          <w:spacing w:val="-32"/>
        </w:rPr>
        <w:t> </w:t>
      </w:r>
      <w:r>
        <w:rPr/>
        <w:t>forma</w:t>
      </w:r>
      <w:r>
        <w:rPr>
          <w:spacing w:val="-32"/>
        </w:rPr>
        <w:t> </w:t>
      </w:r>
      <w:r>
        <w:rPr/>
        <w:t>a</w:t>
      </w:r>
      <w:r>
        <w:rPr>
          <w:spacing w:val="-31"/>
        </w:rPr>
        <w:t> </w:t>
      </w:r>
      <w:r>
        <w:rPr/>
        <w:t>mitigar</w:t>
      </w:r>
      <w:r>
        <w:rPr>
          <w:spacing w:val="-33"/>
        </w:rPr>
        <w:t> </w:t>
      </w:r>
      <w:r>
        <w:rPr/>
        <w:t>os</w:t>
      </w:r>
      <w:r>
        <w:rPr>
          <w:spacing w:val="-30"/>
        </w:rPr>
        <w:t> </w:t>
      </w:r>
      <w:r>
        <w:rPr/>
        <w:t>riscos</w:t>
      </w:r>
      <w:r>
        <w:rPr>
          <w:spacing w:val="-31"/>
        </w:rPr>
        <w:t> </w:t>
      </w:r>
      <w:r>
        <w:rPr/>
        <w:t>e</w:t>
      </w:r>
      <w:r>
        <w:rPr>
          <w:spacing w:val="-32"/>
        </w:rPr>
        <w:t> </w:t>
      </w:r>
      <w:r>
        <w:rPr/>
        <w:t>ocorrências</w:t>
      </w:r>
      <w:r>
        <w:rPr>
          <w:spacing w:val="-32"/>
        </w:rPr>
        <w:t> </w:t>
      </w:r>
      <w:r>
        <w:rPr/>
        <w:t>de</w:t>
      </w:r>
      <w:r>
        <w:rPr>
          <w:spacing w:val="-33"/>
        </w:rPr>
        <w:t> </w:t>
      </w:r>
      <w:r>
        <w:rPr/>
        <w:t>fraude, corrupção e lavagem de dinheiro, foi instituído o Comitê Permanente de Integridade, coordenado pela Superintendência de Governança Corporativa, que desenvolveu e implementou o Programa de Integridade na Companhia.</w:t>
      </w:r>
    </w:p>
    <w:p>
      <w:pPr>
        <w:pStyle w:val="BodyText"/>
        <w:spacing w:before="1"/>
      </w:pPr>
    </w:p>
    <w:p>
      <w:pPr>
        <w:pStyle w:val="BodyText"/>
        <w:spacing w:line="242" w:lineRule="auto"/>
        <w:ind w:left="172" w:right="411"/>
        <w:jc w:val="both"/>
      </w:pPr>
      <w:r>
        <w:rPr/>
        <w:t>O</w:t>
      </w:r>
      <w:r>
        <w:rPr>
          <w:spacing w:val="-6"/>
        </w:rPr>
        <w:t> </w:t>
      </w:r>
      <w:r>
        <w:rPr/>
        <w:t>objetivo</w:t>
      </w:r>
      <w:r>
        <w:rPr>
          <w:spacing w:val="-4"/>
        </w:rPr>
        <w:t> </w:t>
      </w:r>
      <w:r>
        <w:rPr/>
        <w:t>da</w:t>
      </w:r>
      <w:r>
        <w:rPr>
          <w:spacing w:val="-2"/>
        </w:rPr>
        <w:t> </w:t>
      </w:r>
      <w:r>
        <w:rPr/>
        <w:t>Administração</w:t>
      </w:r>
      <w:r>
        <w:rPr>
          <w:spacing w:val="-5"/>
        </w:rPr>
        <w:t> </w:t>
      </w:r>
      <w:r>
        <w:rPr/>
        <w:t>da</w:t>
      </w:r>
      <w:r>
        <w:rPr>
          <w:spacing w:val="-3"/>
        </w:rPr>
        <w:t> </w:t>
      </w:r>
      <w:r>
        <w:rPr/>
        <w:t>Companhia</w:t>
      </w:r>
      <w:r>
        <w:rPr>
          <w:spacing w:val="-2"/>
        </w:rPr>
        <w:t> </w:t>
      </w:r>
      <w:r>
        <w:rPr/>
        <w:t>é</w:t>
      </w:r>
      <w:r>
        <w:rPr>
          <w:spacing w:val="-6"/>
        </w:rPr>
        <w:t> </w:t>
      </w:r>
      <w:r>
        <w:rPr/>
        <w:t>administrar</w:t>
      </w:r>
      <w:r>
        <w:rPr>
          <w:spacing w:val="-3"/>
        </w:rPr>
        <w:t> </w:t>
      </w:r>
      <w:r>
        <w:rPr/>
        <w:t>o</w:t>
      </w:r>
      <w:r>
        <w:rPr>
          <w:spacing w:val="-4"/>
        </w:rPr>
        <w:t> </w:t>
      </w:r>
      <w:r>
        <w:rPr/>
        <w:t>risco</w:t>
      </w:r>
      <w:r>
        <w:rPr>
          <w:spacing w:val="-3"/>
        </w:rPr>
        <w:t> </w:t>
      </w:r>
      <w:r>
        <w:rPr/>
        <w:t>operacional</w:t>
      </w:r>
      <w:r>
        <w:rPr>
          <w:spacing w:val="-3"/>
        </w:rPr>
        <w:t> </w:t>
      </w:r>
      <w:r>
        <w:rPr/>
        <w:t>de</w:t>
      </w:r>
      <w:r>
        <w:rPr>
          <w:spacing w:val="-4"/>
        </w:rPr>
        <w:t> </w:t>
      </w:r>
      <w:r>
        <w:rPr/>
        <w:t>todo</w:t>
      </w:r>
      <w:r>
        <w:rPr>
          <w:spacing w:val="3"/>
        </w:rPr>
        <w:t> </w:t>
      </w:r>
      <w:r>
        <w:rPr/>
        <w:t>o</w:t>
      </w:r>
      <w:r>
        <w:rPr>
          <w:spacing w:val="-5"/>
        </w:rPr>
        <w:t> </w:t>
      </w:r>
      <w:r>
        <w:rPr/>
        <w:t>Grupo</w:t>
      </w:r>
      <w:r>
        <w:rPr>
          <w:spacing w:val="-3"/>
        </w:rPr>
        <w:t> </w:t>
      </w:r>
      <w:r>
        <w:rPr/>
        <w:t>para:</w:t>
      </w:r>
      <w:r>
        <w:rPr>
          <w:spacing w:val="-4"/>
        </w:rPr>
        <w:t> </w:t>
      </w:r>
      <w:r>
        <w:rPr/>
        <w:t>(i)</w:t>
      </w:r>
      <w:r>
        <w:rPr>
          <w:spacing w:val="-2"/>
        </w:rPr>
        <w:t> </w:t>
      </w:r>
      <w:r>
        <w:rPr/>
        <w:t>evitar</w:t>
      </w:r>
      <w:r>
        <w:rPr>
          <w:spacing w:val="-6"/>
        </w:rPr>
        <w:t> </w:t>
      </w:r>
      <w:r>
        <w:rPr/>
        <w:t>a ocorrência</w:t>
      </w:r>
      <w:r>
        <w:rPr>
          <w:spacing w:val="-45"/>
        </w:rPr>
        <w:t> </w:t>
      </w:r>
      <w:r>
        <w:rPr/>
        <w:t>de</w:t>
      </w:r>
      <w:r>
        <w:rPr>
          <w:spacing w:val="-46"/>
        </w:rPr>
        <w:t> </w:t>
      </w:r>
      <w:r>
        <w:rPr/>
        <w:t>prejuízos</w:t>
      </w:r>
      <w:r>
        <w:rPr>
          <w:spacing w:val="-45"/>
        </w:rPr>
        <w:t> </w:t>
      </w:r>
      <w:r>
        <w:rPr/>
        <w:t>financeiros</w:t>
      </w:r>
      <w:r>
        <w:rPr>
          <w:spacing w:val="-44"/>
        </w:rPr>
        <w:t> </w:t>
      </w:r>
      <w:r>
        <w:rPr/>
        <w:t>e</w:t>
      </w:r>
      <w:r>
        <w:rPr>
          <w:spacing w:val="-46"/>
        </w:rPr>
        <w:t> </w:t>
      </w:r>
      <w:r>
        <w:rPr/>
        <w:t>danos</w:t>
      </w:r>
      <w:r>
        <w:rPr>
          <w:spacing w:val="-45"/>
        </w:rPr>
        <w:t> </w:t>
      </w:r>
      <w:r>
        <w:rPr/>
        <w:t>à</w:t>
      </w:r>
      <w:r>
        <w:rPr>
          <w:spacing w:val="-45"/>
        </w:rPr>
        <w:t> </w:t>
      </w:r>
      <w:r>
        <w:rPr/>
        <w:t>reputação</w:t>
      </w:r>
      <w:r>
        <w:rPr>
          <w:spacing w:val="-45"/>
        </w:rPr>
        <w:t> </w:t>
      </w:r>
      <w:r>
        <w:rPr/>
        <w:t>da</w:t>
      </w:r>
      <w:r>
        <w:rPr>
          <w:spacing w:val="-45"/>
        </w:rPr>
        <w:t> </w:t>
      </w:r>
      <w:r>
        <w:rPr/>
        <w:t>Organização</w:t>
      </w:r>
      <w:r>
        <w:rPr>
          <w:spacing w:val="-45"/>
        </w:rPr>
        <w:t> </w:t>
      </w:r>
      <w:r>
        <w:rPr/>
        <w:t>e</w:t>
      </w:r>
      <w:r>
        <w:rPr>
          <w:spacing w:val="-46"/>
        </w:rPr>
        <w:t> </w:t>
      </w:r>
      <w:r>
        <w:rPr/>
        <w:t>de</w:t>
      </w:r>
      <w:r>
        <w:rPr>
          <w:spacing w:val="-45"/>
        </w:rPr>
        <w:t> </w:t>
      </w:r>
      <w:r>
        <w:rPr/>
        <w:t>suas</w:t>
      </w:r>
      <w:r>
        <w:rPr>
          <w:spacing w:val="-45"/>
        </w:rPr>
        <w:t> </w:t>
      </w:r>
      <w:r>
        <w:rPr/>
        <w:t>controladas</w:t>
      </w:r>
      <w:r>
        <w:rPr>
          <w:spacing w:val="-45"/>
        </w:rPr>
        <w:t> </w:t>
      </w:r>
      <w:r>
        <w:rPr/>
        <w:t>e</w:t>
      </w:r>
      <w:r>
        <w:rPr>
          <w:spacing w:val="-45"/>
        </w:rPr>
        <w:t> </w:t>
      </w:r>
      <w:r>
        <w:rPr/>
        <w:t>coligadas;</w:t>
      </w:r>
      <w:r>
        <w:rPr>
          <w:spacing w:val="-45"/>
        </w:rPr>
        <w:t> </w:t>
      </w:r>
      <w:r>
        <w:rPr/>
        <w:t>e</w:t>
      </w:r>
      <w:r>
        <w:rPr>
          <w:spacing w:val="-46"/>
        </w:rPr>
        <w:t> </w:t>
      </w:r>
      <w:r>
        <w:rPr/>
        <w:t>(ii)</w:t>
      </w:r>
      <w:r>
        <w:rPr>
          <w:spacing w:val="-45"/>
        </w:rPr>
        <w:t> </w:t>
      </w:r>
      <w:r>
        <w:rPr/>
        <w:t>buscar eficácia de</w:t>
      </w:r>
      <w:r>
        <w:rPr>
          <w:spacing w:val="-36"/>
        </w:rPr>
        <w:t> </w:t>
      </w:r>
      <w:r>
        <w:rPr/>
        <w:t>custos.</w:t>
      </w:r>
    </w:p>
    <w:p>
      <w:pPr>
        <w:pStyle w:val="BodyText"/>
        <w:spacing w:before="2"/>
      </w:pPr>
    </w:p>
    <w:p>
      <w:pPr>
        <w:pStyle w:val="BodyText"/>
        <w:spacing w:line="242" w:lineRule="auto"/>
        <w:ind w:left="172" w:right="410"/>
        <w:jc w:val="both"/>
      </w:pPr>
      <w:r>
        <w:rPr/>
        <w:t>Relativamente à gestão de risco, há duas vertentes predominantes que têm merecido particular atenção da Administração:</w:t>
      </w:r>
      <w:r>
        <w:rPr>
          <w:spacing w:val="-49"/>
        </w:rPr>
        <w:t> </w:t>
      </w:r>
      <w:r>
        <w:rPr/>
        <w:t>(i)</w:t>
      </w:r>
      <w:r>
        <w:rPr>
          <w:spacing w:val="-48"/>
        </w:rPr>
        <w:t> </w:t>
      </w:r>
      <w:r>
        <w:rPr/>
        <w:t>a</w:t>
      </w:r>
      <w:r>
        <w:rPr>
          <w:spacing w:val="-48"/>
        </w:rPr>
        <w:t> </w:t>
      </w:r>
      <w:r>
        <w:rPr/>
        <w:t>conjuntura</w:t>
      </w:r>
      <w:r>
        <w:rPr>
          <w:spacing w:val="-48"/>
        </w:rPr>
        <w:t> </w:t>
      </w:r>
      <w:r>
        <w:rPr/>
        <w:t>econômico-financeira</w:t>
      </w:r>
      <w:r>
        <w:rPr>
          <w:spacing w:val="-48"/>
        </w:rPr>
        <w:t> </w:t>
      </w:r>
      <w:r>
        <w:rPr/>
        <w:t>da</w:t>
      </w:r>
      <w:r>
        <w:rPr>
          <w:spacing w:val="-47"/>
        </w:rPr>
        <w:t> </w:t>
      </w:r>
      <w:r>
        <w:rPr/>
        <w:t>CEB</w:t>
      </w:r>
      <w:r>
        <w:rPr>
          <w:spacing w:val="-48"/>
        </w:rPr>
        <w:t> </w:t>
      </w:r>
      <w:r>
        <w:rPr/>
        <w:t>Distribuição</w:t>
      </w:r>
      <w:r>
        <w:rPr>
          <w:spacing w:val="-49"/>
        </w:rPr>
        <w:t> </w:t>
      </w:r>
      <w:r>
        <w:rPr/>
        <w:t>S.A.;</w:t>
      </w:r>
      <w:r>
        <w:rPr>
          <w:spacing w:val="-47"/>
        </w:rPr>
        <w:t> </w:t>
      </w:r>
      <w:r>
        <w:rPr/>
        <w:t>e</w:t>
      </w:r>
      <w:r>
        <w:rPr>
          <w:spacing w:val="-49"/>
        </w:rPr>
        <w:t> </w:t>
      </w:r>
      <w:r>
        <w:rPr/>
        <w:t>(ii)</w:t>
      </w:r>
      <w:r>
        <w:rPr>
          <w:spacing w:val="-48"/>
        </w:rPr>
        <w:t> </w:t>
      </w:r>
      <w:r>
        <w:rPr/>
        <w:t>as</w:t>
      </w:r>
      <w:r>
        <w:rPr>
          <w:spacing w:val="-48"/>
        </w:rPr>
        <w:t> </w:t>
      </w:r>
      <w:r>
        <w:rPr/>
        <w:t>consequências</w:t>
      </w:r>
      <w:r>
        <w:rPr>
          <w:spacing w:val="-48"/>
        </w:rPr>
        <w:t> </w:t>
      </w:r>
      <w:r>
        <w:rPr/>
        <w:t>da</w:t>
      </w:r>
      <w:r>
        <w:rPr>
          <w:spacing w:val="-49"/>
        </w:rPr>
        <w:t> </w:t>
      </w:r>
      <w:r>
        <w:rPr/>
        <w:t>crise</w:t>
      </w:r>
      <w:r>
        <w:rPr>
          <w:spacing w:val="-47"/>
        </w:rPr>
        <w:t> </w:t>
      </w:r>
      <w:r>
        <w:rPr/>
        <w:t>hídrica </w:t>
      </w:r>
      <w:r>
        <w:rPr>
          <w:spacing w:val="-1"/>
          <w:w w:val="97"/>
        </w:rPr>
        <w:t>q</w:t>
      </w:r>
      <w:r>
        <w:rPr>
          <w:spacing w:val="-1"/>
          <w:w w:val="94"/>
        </w:rPr>
        <w:t>u</w:t>
      </w:r>
      <w:r>
        <w:rPr>
          <w:w w:val="94"/>
        </w:rPr>
        <w:t>e</w:t>
      </w:r>
      <w:r>
        <w:rPr>
          <w:spacing w:val="13"/>
        </w:rPr>
        <w:t> </w:t>
      </w:r>
      <w:r>
        <w:rPr>
          <w:spacing w:val="-1"/>
          <w:w w:val="105"/>
        </w:rPr>
        <w:t>r</w:t>
      </w:r>
      <w:r>
        <w:rPr>
          <w:spacing w:val="1"/>
          <w:w w:val="89"/>
        </w:rPr>
        <w:t>e</w:t>
      </w:r>
      <w:r>
        <w:rPr>
          <w:spacing w:val="-1"/>
          <w:w w:val="94"/>
        </w:rPr>
        <w:t>p</w:t>
      </w:r>
      <w:r>
        <w:rPr>
          <w:w w:val="94"/>
        </w:rPr>
        <w:t>e</w:t>
      </w:r>
      <w:r>
        <w:rPr>
          <w:spacing w:val="-1"/>
          <w:w w:val="105"/>
        </w:rPr>
        <w:t>r</w:t>
      </w:r>
      <w:r>
        <w:rPr>
          <w:w w:val="88"/>
        </w:rPr>
        <w:t>c</w:t>
      </w:r>
      <w:r>
        <w:rPr>
          <w:spacing w:val="-1"/>
          <w:w w:val="92"/>
        </w:rPr>
        <w:t>ut</w:t>
      </w:r>
      <w:r>
        <w:rPr>
          <w:spacing w:val="1"/>
          <w:w w:val="92"/>
        </w:rPr>
        <w:t>e</w:t>
      </w:r>
      <w:r>
        <w:rPr>
          <w:w w:val="99"/>
        </w:rPr>
        <w:t>m</w:t>
      </w:r>
      <w:r>
        <w:rPr>
          <w:spacing w:val="11"/>
        </w:rPr>
        <w:t> </w:t>
      </w:r>
      <w:r>
        <w:rPr>
          <w:spacing w:val="-1"/>
          <w:w w:val="101"/>
        </w:rPr>
        <w:t>n</w:t>
      </w:r>
      <w:r>
        <w:rPr>
          <w:w w:val="98"/>
        </w:rPr>
        <w:t>o</w:t>
      </w:r>
      <w:r>
        <w:rPr>
          <w:spacing w:val="11"/>
        </w:rPr>
        <w:t> </w:t>
      </w:r>
      <w:r>
        <w:rPr>
          <w:spacing w:val="2"/>
          <w:w w:val="114"/>
        </w:rPr>
        <w:t>M</w:t>
      </w:r>
      <w:r>
        <w:rPr>
          <w:spacing w:val="-2"/>
          <w:w w:val="89"/>
        </w:rPr>
        <w:t>e</w:t>
      </w:r>
      <w:r>
        <w:rPr>
          <w:w w:val="88"/>
        </w:rPr>
        <w:t>c</w:t>
      </w:r>
      <w:r>
        <w:rPr>
          <w:w w:val="92"/>
        </w:rPr>
        <w:t>a</w:t>
      </w:r>
      <w:r>
        <w:rPr>
          <w:spacing w:val="-1"/>
          <w:w w:val="101"/>
        </w:rPr>
        <w:t>n</w:t>
      </w:r>
      <w:r>
        <w:rPr>
          <w:w w:val="102"/>
        </w:rPr>
        <w:t>i</w:t>
      </w:r>
      <w:r>
        <w:rPr>
          <w:spacing w:val="2"/>
          <w:w w:val="102"/>
        </w:rPr>
        <w:t>s</w:t>
      </w:r>
      <w:r>
        <w:rPr>
          <w:spacing w:val="-1"/>
          <w:w w:val="99"/>
        </w:rPr>
        <w:t>m</w:t>
      </w:r>
      <w:r>
        <w:rPr>
          <w:w w:val="99"/>
        </w:rPr>
        <w:t>o</w:t>
      </w:r>
      <w:r>
        <w:rPr>
          <w:spacing w:val="11"/>
        </w:rPr>
        <w:t> </w:t>
      </w:r>
      <w:r>
        <w:rPr>
          <w:w w:val="94"/>
        </w:rPr>
        <w:t>de</w:t>
      </w:r>
      <w:r>
        <w:rPr>
          <w:spacing w:val="10"/>
        </w:rPr>
        <w:t> </w:t>
      </w:r>
      <w:r>
        <w:rPr>
          <w:spacing w:val="3"/>
          <w:w w:val="106"/>
        </w:rPr>
        <w:t>R</w:t>
      </w:r>
      <w:r>
        <w:rPr>
          <w:spacing w:val="-2"/>
          <w:w w:val="89"/>
        </w:rPr>
        <w:t>e</w:t>
      </w:r>
      <w:r>
        <w:rPr>
          <w:w w:val="92"/>
        </w:rPr>
        <w:t>a</w:t>
      </w:r>
      <w:r>
        <w:rPr>
          <w:w w:val="91"/>
        </w:rPr>
        <w:t>l</w:t>
      </w:r>
      <w:r>
        <w:rPr>
          <w:w w:val="93"/>
        </w:rPr>
        <w:t>oc</w:t>
      </w:r>
      <w:r>
        <w:rPr>
          <w:w w:val="92"/>
        </w:rPr>
        <w:t>a</w:t>
      </w:r>
      <w:r>
        <w:rPr>
          <w:w w:val="88"/>
        </w:rPr>
        <w:t>ç</w:t>
      </w:r>
      <w:r>
        <w:rPr>
          <w:w w:val="92"/>
        </w:rPr>
        <w:t>ã</w:t>
      </w:r>
      <w:r>
        <w:rPr>
          <w:w w:val="98"/>
        </w:rPr>
        <w:t>o</w:t>
      </w:r>
      <w:r>
        <w:rPr>
          <w:spacing w:val="11"/>
        </w:rPr>
        <w:t> </w:t>
      </w:r>
      <w:r>
        <w:rPr>
          <w:w w:val="94"/>
        </w:rPr>
        <w:t>de</w:t>
      </w:r>
      <w:r>
        <w:rPr>
          <w:spacing w:val="10"/>
        </w:rPr>
        <w:t> </w:t>
      </w:r>
      <w:r>
        <w:rPr>
          <w:w w:val="106"/>
        </w:rPr>
        <w:t>E</w:t>
      </w:r>
      <w:r>
        <w:rPr>
          <w:spacing w:val="-1"/>
          <w:w w:val="101"/>
        </w:rPr>
        <w:t>n</w:t>
      </w:r>
      <w:r>
        <w:rPr>
          <w:spacing w:val="1"/>
          <w:w w:val="89"/>
        </w:rPr>
        <w:t>e</w:t>
      </w:r>
      <w:r>
        <w:rPr>
          <w:spacing w:val="-1"/>
          <w:w w:val="105"/>
        </w:rPr>
        <w:t>r</w:t>
      </w:r>
      <w:r>
        <w:rPr>
          <w:spacing w:val="2"/>
          <w:w w:val="98"/>
        </w:rPr>
        <w:t>g</w:t>
      </w:r>
      <w:r>
        <w:rPr>
          <w:w w:val="94"/>
        </w:rPr>
        <w:t>ia</w:t>
      </w:r>
      <w:r>
        <w:rPr>
          <w:spacing w:val="18"/>
        </w:rPr>
        <w:t> </w:t>
      </w:r>
      <w:r>
        <w:rPr>
          <w:w w:val="135"/>
        </w:rPr>
        <w:t>–</w:t>
      </w:r>
      <w:r>
        <w:rPr>
          <w:spacing w:val="13"/>
        </w:rPr>
        <w:t> </w:t>
      </w:r>
      <w:r>
        <w:rPr>
          <w:w w:val="114"/>
        </w:rPr>
        <w:t>M</w:t>
      </w:r>
      <w:r>
        <w:rPr>
          <w:w w:val="106"/>
        </w:rPr>
        <w:t>R</w:t>
      </w:r>
      <w:r>
        <w:rPr>
          <w:w w:val="106"/>
        </w:rPr>
        <w:t>E</w:t>
      </w:r>
      <w:r>
        <w:rPr>
          <w:w w:val="55"/>
        </w:rPr>
        <w:t>,</w:t>
      </w:r>
      <w:r>
        <w:rPr>
          <w:spacing w:val="11"/>
        </w:rPr>
        <w:t> </w:t>
      </w:r>
      <w:r>
        <w:rPr>
          <w:spacing w:val="-1"/>
          <w:w w:val="105"/>
        </w:rPr>
        <w:t>r</w:t>
      </w:r>
      <w:r>
        <w:rPr>
          <w:spacing w:val="-2"/>
          <w:w w:val="89"/>
        </w:rPr>
        <w:t>e</w:t>
      </w:r>
      <w:r>
        <w:rPr>
          <w:w w:val="105"/>
        </w:rPr>
        <w:t>s</w:t>
      </w:r>
      <w:r>
        <w:rPr>
          <w:spacing w:val="-1"/>
          <w:w w:val="97"/>
        </w:rPr>
        <w:t>u</w:t>
      </w:r>
      <w:r>
        <w:rPr>
          <w:spacing w:val="1"/>
          <w:w w:val="97"/>
        </w:rPr>
        <w:t>l</w:t>
      </w:r>
      <w:r>
        <w:rPr>
          <w:spacing w:val="-1"/>
          <w:w w:val="89"/>
        </w:rPr>
        <w:t>t</w:t>
      </w:r>
      <w:r>
        <w:rPr>
          <w:w w:val="89"/>
        </w:rPr>
        <w:t>a</w:t>
      </w:r>
      <w:r>
        <w:rPr>
          <w:spacing w:val="-1"/>
          <w:w w:val="101"/>
        </w:rPr>
        <w:t>n</w:t>
      </w:r>
      <w:r>
        <w:rPr>
          <w:w w:val="98"/>
        </w:rPr>
        <w:t>do</w:t>
      </w:r>
      <w:r>
        <w:rPr>
          <w:spacing w:val="11"/>
        </w:rPr>
        <w:t> </w:t>
      </w:r>
      <w:r>
        <w:rPr>
          <w:spacing w:val="-2"/>
          <w:w w:val="89"/>
        </w:rPr>
        <w:t>e</w:t>
      </w:r>
      <w:r>
        <w:rPr>
          <w:w w:val="99"/>
        </w:rPr>
        <w:t>m</w:t>
      </w:r>
      <w:r>
        <w:rPr>
          <w:spacing w:val="13"/>
        </w:rPr>
        <w:t> </w:t>
      </w:r>
      <w:r>
        <w:rPr>
          <w:spacing w:val="-2"/>
          <w:w w:val="89"/>
        </w:rPr>
        <w:t>e</w:t>
      </w:r>
      <w:r>
        <w:rPr>
          <w:spacing w:val="1"/>
          <w:w w:val="101"/>
        </w:rPr>
        <w:t>n</w:t>
      </w:r>
      <w:r>
        <w:rPr>
          <w:w w:val="88"/>
        </w:rPr>
        <w:t>c</w:t>
      </w:r>
      <w:r>
        <w:rPr>
          <w:w w:val="92"/>
        </w:rPr>
        <w:t>a</w:t>
      </w:r>
      <w:r>
        <w:rPr>
          <w:spacing w:val="-1"/>
          <w:w w:val="105"/>
        </w:rPr>
        <w:t>r</w:t>
      </w:r>
      <w:r>
        <w:rPr>
          <w:spacing w:val="-1"/>
          <w:w w:val="100"/>
        </w:rPr>
        <w:t>go</w:t>
      </w:r>
      <w:r>
        <w:rPr>
          <w:w w:val="100"/>
        </w:rPr>
        <w:t>s</w:t>
      </w:r>
      <w:r>
        <w:rPr>
          <w:spacing w:val="12"/>
        </w:rPr>
        <w:t> </w:t>
      </w:r>
      <w:r>
        <w:rPr>
          <w:spacing w:val="-1"/>
          <w:w w:val="105"/>
        </w:rPr>
        <w:t>r</w:t>
      </w:r>
      <w:r>
        <w:rPr>
          <w:spacing w:val="-2"/>
          <w:w w:val="89"/>
        </w:rPr>
        <w:t>e</w:t>
      </w:r>
      <w:r>
        <w:rPr>
          <w:w w:val="91"/>
        </w:rPr>
        <w:t>l</w:t>
      </w:r>
      <w:r>
        <w:rPr>
          <w:spacing w:val="-2"/>
          <w:w w:val="89"/>
        </w:rPr>
        <w:t>e</w:t>
      </w:r>
      <w:r>
        <w:rPr>
          <w:w w:val="97"/>
        </w:rPr>
        <w:t>v</w:t>
      </w:r>
      <w:r>
        <w:rPr>
          <w:spacing w:val="3"/>
          <w:w w:val="97"/>
        </w:rPr>
        <w:t>a</w:t>
      </w:r>
      <w:r>
        <w:rPr>
          <w:spacing w:val="-1"/>
          <w:w w:val="101"/>
        </w:rPr>
        <w:t>n</w:t>
      </w:r>
      <w:r>
        <w:rPr>
          <w:spacing w:val="1"/>
          <w:w w:val="85"/>
        </w:rPr>
        <w:t>t</w:t>
      </w:r>
      <w:r>
        <w:rPr>
          <w:spacing w:val="-2"/>
          <w:w w:val="89"/>
        </w:rPr>
        <w:t>e</w:t>
      </w:r>
      <w:r>
        <w:rPr>
          <w:w w:val="105"/>
        </w:rPr>
        <w:t>s</w:t>
      </w:r>
      <w:r>
        <w:rPr>
          <w:spacing w:val="12"/>
        </w:rPr>
        <w:t> </w:t>
      </w:r>
      <w:r>
        <w:rPr>
          <w:spacing w:val="-1"/>
          <w:w w:val="96"/>
        </w:rPr>
        <w:t>p</w:t>
      </w:r>
      <w:r>
        <w:rPr>
          <w:w w:val="96"/>
        </w:rPr>
        <w:t>a</w:t>
      </w:r>
      <w:r>
        <w:rPr>
          <w:spacing w:val="-1"/>
          <w:w w:val="105"/>
        </w:rPr>
        <w:t>r</w:t>
      </w:r>
      <w:r>
        <w:rPr>
          <w:w w:val="92"/>
        </w:rPr>
        <w:t>a</w:t>
      </w:r>
      <w:r>
        <w:rPr>
          <w:spacing w:val="12"/>
        </w:rPr>
        <w:t> </w:t>
      </w:r>
      <w:r>
        <w:rPr>
          <w:w w:val="92"/>
        </w:rPr>
        <w:t>a</w:t>
      </w:r>
      <w:r>
        <w:rPr>
          <w:spacing w:val="12"/>
        </w:rPr>
        <w:t> </w:t>
      </w:r>
      <w:r>
        <w:rPr>
          <w:w w:val="93"/>
        </w:rPr>
        <w:t>C</w:t>
      </w:r>
      <w:r>
        <w:rPr>
          <w:w w:val="106"/>
        </w:rPr>
        <w:t>E</w:t>
      </w:r>
      <w:r>
        <w:rPr>
          <w:w w:val="107"/>
        </w:rPr>
        <w:t>B </w:t>
      </w:r>
      <w:r>
        <w:rPr>
          <w:w w:val="95"/>
        </w:rPr>
        <w:t>Lajeado</w:t>
      </w:r>
      <w:r>
        <w:rPr>
          <w:spacing w:val="-27"/>
          <w:w w:val="95"/>
        </w:rPr>
        <w:t> </w:t>
      </w:r>
      <w:r>
        <w:rPr>
          <w:w w:val="95"/>
        </w:rPr>
        <w:t>S.A.;</w:t>
      </w:r>
      <w:r>
        <w:rPr>
          <w:spacing w:val="-26"/>
          <w:w w:val="95"/>
        </w:rPr>
        <w:t> </w:t>
      </w:r>
      <w:r>
        <w:rPr>
          <w:w w:val="95"/>
        </w:rPr>
        <w:t>a</w:t>
      </w:r>
      <w:r>
        <w:rPr>
          <w:spacing w:val="-24"/>
          <w:w w:val="95"/>
        </w:rPr>
        <w:t> </w:t>
      </w:r>
      <w:r>
        <w:rPr>
          <w:w w:val="95"/>
        </w:rPr>
        <w:t>CEB</w:t>
      </w:r>
      <w:r>
        <w:rPr>
          <w:spacing w:val="-24"/>
          <w:w w:val="95"/>
        </w:rPr>
        <w:t> </w:t>
      </w:r>
      <w:r>
        <w:rPr>
          <w:w w:val="95"/>
        </w:rPr>
        <w:t>Participações</w:t>
      </w:r>
      <w:r>
        <w:rPr>
          <w:spacing w:val="-25"/>
          <w:w w:val="95"/>
        </w:rPr>
        <w:t> </w:t>
      </w:r>
      <w:r>
        <w:rPr>
          <w:w w:val="95"/>
        </w:rPr>
        <w:t>S.A.;</w:t>
      </w:r>
      <w:r>
        <w:rPr>
          <w:spacing w:val="-27"/>
          <w:w w:val="95"/>
        </w:rPr>
        <w:t> </w:t>
      </w:r>
      <w:r>
        <w:rPr>
          <w:w w:val="95"/>
        </w:rPr>
        <w:t>a</w:t>
      </w:r>
      <w:r>
        <w:rPr>
          <w:spacing w:val="-25"/>
          <w:w w:val="95"/>
        </w:rPr>
        <w:t> </w:t>
      </w:r>
      <w:r>
        <w:rPr>
          <w:w w:val="95"/>
        </w:rPr>
        <w:t>CEB</w:t>
      </w:r>
      <w:r>
        <w:rPr>
          <w:spacing w:val="-26"/>
          <w:w w:val="95"/>
        </w:rPr>
        <w:t> </w:t>
      </w:r>
      <w:r>
        <w:rPr>
          <w:w w:val="95"/>
        </w:rPr>
        <w:t>Geração</w:t>
      </w:r>
      <w:r>
        <w:rPr>
          <w:spacing w:val="-26"/>
          <w:w w:val="95"/>
        </w:rPr>
        <w:t> </w:t>
      </w:r>
      <w:r>
        <w:rPr>
          <w:w w:val="95"/>
        </w:rPr>
        <w:t>S.A.;</w:t>
      </w:r>
      <w:r>
        <w:rPr>
          <w:spacing w:val="-24"/>
          <w:w w:val="95"/>
        </w:rPr>
        <w:t> </w:t>
      </w:r>
      <w:r>
        <w:rPr>
          <w:w w:val="95"/>
        </w:rPr>
        <w:t>a</w:t>
      </w:r>
      <w:r>
        <w:rPr>
          <w:spacing w:val="-25"/>
          <w:w w:val="95"/>
        </w:rPr>
        <w:t> </w:t>
      </w:r>
      <w:r>
        <w:rPr>
          <w:w w:val="95"/>
        </w:rPr>
        <w:t>Corumbá</w:t>
      </w:r>
      <w:r>
        <w:rPr>
          <w:spacing w:val="-26"/>
          <w:w w:val="95"/>
        </w:rPr>
        <w:t> </w:t>
      </w:r>
      <w:r>
        <w:rPr>
          <w:w w:val="95"/>
        </w:rPr>
        <w:t>Concessões</w:t>
      </w:r>
      <w:r>
        <w:rPr>
          <w:spacing w:val="-24"/>
          <w:w w:val="95"/>
        </w:rPr>
        <w:t> </w:t>
      </w:r>
      <w:r>
        <w:rPr>
          <w:w w:val="95"/>
        </w:rPr>
        <w:t>S.A.;</w:t>
      </w:r>
      <w:r>
        <w:rPr>
          <w:spacing w:val="-23"/>
          <w:w w:val="95"/>
        </w:rPr>
        <w:t> </w:t>
      </w:r>
      <w:r>
        <w:rPr>
          <w:w w:val="95"/>
        </w:rPr>
        <w:t>e</w:t>
      </w:r>
      <w:r>
        <w:rPr>
          <w:spacing w:val="-27"/>
          <w:w w:val="95"/>
        </w:rPr>
        <w:t> </w:t>
      </w:r>
      <w:r>
        <w:rPr>
          <w:w w:val="95"/>
        </w:rPr>
        <w:t>a</w:t>
      </w:r>
      <w:r>
        <w:rPr>
          <w:spacing w:val="-26"/>
          <w:w w:val="95"/>
        </w:rPr>
        <w:t> </w:t>
      </w:r>
      <w:r>
        <w:rPr>
          <w:w w:val="95"/>
        </w:rPr>
        <w:t>Energética</w:t>
      </w:r>
      <w:r>
        <w:rPr>
          <w:spacing w:val="-25"/>
          <w:w w:val="95"/>
        </w:rPr>
        <w:t> </w:t>
      </w:r>
      <w:r>
        <w:rPr>
          <w:w w:val="95"/>
        </w:rPr>
        <w:t>Corumbá</w:t>
      </w:r>
      <w:r>
        <w:rPr>
          <w:spacing w:val="-25"/>
          <w:w w:val="95"/>
        </w:rPr>
        <w:t> </w:t>
      </w:r>
      <w:r>
        <w:rPr>
          <w:w w:val="95"/>
        </w:rPr>
        <w:t>III</w:t>
      </w:r>
      <w:r>
        <w:rPr>
          <w:spacing w:val="-24"/>
          <w:w w:val="95"/>
        </w:rPr>
        <w:t> </w:t>
      </w:r>
      <w:r>
        <w:rPr>
          <w:w w:val="95"/>
        </w:rPr>
        <w:t>S.A..</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19"/>
        </w:numPr>
        <w:tabs>
          <w:tab w:pos="1025" w:val="left" w:leader="none"/>
          <w:tab w:pos="1026" w:val="left" w:leader="none"/>
        </w:tabs>
        <w:spacing w:line="240" w:lineRule="auto" w:before="14" w:after="0"/>
        <w:ind w:left="1025" w:right="0" w:hanging="854"/>
        <w:jc w:val="left"/>
      </w:pPr>
      <w:r>
        <w:rPr/>
        <w:t>Risco</w:t>
      </w:r>
      <w:r>
        <w:rPr>
          <w:spacing w:val="-3"/>
        </w:rPr>
        <w:t> </w:t>
      </w:r>
      <w:r>
        <w:rPr/>
        <w:t>regulatório</w:t>
      </w:r>
    </w:p>
    <w:p>
      <w:pPr>
        <w:pStyle w:val="BodyText"/>
        <w:spacing w:before="1"/>
        <w:rPr>
          <w:rFonts w:ascii="Caladea"/>
          <w:b/>
          <w:sz w:val="24"/>
        </w:rPr>
      </w:pPr>
    </w:p>
    <w:p>
      <w:pPr>
        <w:pStyle w:val="BodyText"/>
        <w:spacing w:line="242" w:lineRule="auto"/>
        <w:ind w:left="172" w:right="409"/>
        <w:jc w:val="both"/>
      </w:pPr>
      <w:r>
        <w:rPr/>
        <w:t>O</w:t>
      </w:r>
      <w:r>
        <w:rPr>
          <w:spacing w:val="-41"/>
        </w:rPr>
        <w:t> </w:t>
      </w:r>
      <w:r>
        <w:rPr/>
        <w:t>Quarto</w:t>
      </w:r>
      <w:r>
        <w:rPr>
          <w:spacing w:val="-41"/>
        </w:rPr>
        <w:t> </w:t>
      </w:r>
      <w:r>
        <w:rPr/>
        <w:t>Termo</w:t>
      </w:r>
      <w:r>
        <w:rPr>
          <w:spacing w:val="-41"/>
        </w:rPr>
        <w:t> </w:t>
      </w:r>
      <w:r>
        <w:rPr/>
        <w:t>Aditivo</w:t>
      </w:r>
      <w:r>
        <w:rPr>
          <w:spacing w:val="-41"/>
        </w:rPr>
        <w:t> </w:t>
      </w:r>
      <w:r>
        <w:rPr/>
        <w:t>ao</w:t>
      </w:r>
      <w:r>
        <w:rPr>
          <w:spacing w:val="-40"/>
        </w:rPr>
        <w:t> </w:t>
      </w:r>
      <w:r>
        <w:rPr/>
        <w:t>Contrato</w:t>
      </w:r>
      <w:r>
        <w:rPr>
          <w:spacing w:val="-42"/>
        </w:rPr>
        <w:t> </w:t>
      </w:r>
      <w:r>
        <w:rPr/>
        <w:t>de</w:t>
      </w:r>
      <w:r>
        <w:rPr>
          <w:spacing w:val="-41"/>
        </w:rPr>
        <w:t> </w:t>
      </w:r>
      <w:r>
        <w:rPr/>
        <w:t>Concessão</w:t>
      </w:r>
      <w:r>
        <w:rPr>
          <w:spacing w:val="-42"/>
        </w:rPr>
        <w:t> </w:t>
      </w:r>
      <w:r>
        <w:rPr/>
        <w:t>nº</w:t>
      </w:r>
      <w:r>
        <w:rPr>
          <w:spacing w:val="-40"/>
        </w:rPr>
        <w:t> </w:t>
      </w:r>
      <w:r>
        <w:rPr/>
        <w:t>066/1999</w:t>
      </w:r>
      <w:r>
        <w:rPr>
          <w:spacing w:val="-39"/>
        </w:rPr>
        <w:t> </w:t>
      </w:r>
      <w:r>
        <w:rPr/>
        <w:t>-</w:t>
      </w:r>
      <w:r>
        <w:rPr>
          <w:spacing w:val="-41"/>
        </w:rPr>
        <w:t> </w:t>
      </w:r>
      <w:r>
        <w:rPr/>
        <w:t>ANEEL</w:t>
      </w:r>
      <w:r>
        <w:rPr>
          <w:spacing w:val="-40"/>
        </w:rPr>
        <w:t> </w:t>
      </w:r>
      <w:r>
        <w:rPr/>
        <w:t>estabelece</w:t>
      </w:r>
      <w:r>
        <w:rPr>
          <w:spacing w:val="-40"/>
        </w:rPr>
        <w:t> </w:t>
      </w:r>
      <w:r>
        <w:rPr/>
        <w:t>para</w:t>
      </w:r>
      <w:r>
        <w:rPr>
          <w:spacing w:val="-42"/>
        </w:rPr>
        <w:t> </w:t>
      </w:r>
      <w:r>
        <w:rPr/>
        <w:t>a</w:t>
      </w:r>
      <w:r>
        <w:rPr>
          <w:spacing w:val="-41"/>
        </w:rPr>
        <w:t> </w:t>
      </w:r>
      <w:r>
        <w:rPr/>
        <w:t>CEB</w:t>
      </w:r>
      <w:r>
        <w:rPr>
          <w:spacing w:val="-40"/>
        </w:rPr>
        <w:t> </w:t>
      </w:r>
      <w:r>
        <w:rPr/>
        <w:t>Distribuição</w:t>
      </w:r>
      <w:r>
        <w:rPr>
          <w:spacing w:val="-40"/>
        </w:rPr>
        <w:t> </w:t>
      </w:r>
      <w:r>
        <w:rPr/>
        <w:t>S.A.,</w:t>
      </w:r>
      <w:r>
        <w:rPr>
          <w:spacing w:val="-41"/>
        </w:rPr>
        <w:t> </w:t>
      </w:r>
      <w:r>
        <w:rPr/>
        <w:t>entre outros aspectos, parâmetros mínimos de sustentabilidade econômico-financeiro, limites anuais globais de indicadores</w:t>
      </w:r>
      <w:r>
        <w:rPr>
          <w:spacing w:val="-28"/>
        </w:rPr>
        <w:t> </w:t>
      </w:r>
      <w:r>
        <w:rPr/>
        <w:t>de</w:t>
      </w:r>
      <w:r>
        <w:rPr>
          <w:spacing w:val="-28"/>
        </w:rPr>
        <w:t> </w:t>
      </w:r>
      <w:r>
        <w:rPr/>
        <w:t>continuidade</w:t>
      </w:r>
      <w:r>
        <w:rPr>
          <w:spacing w:val="-26"/>
        </w:rPr>
        <w:t> </w:t>
      </w:r>
      <w:r>
        <w:rPr/>
        <w:t>coletivos,</w:t>
      </w:r>
      <w:r>
        <w:rPr>
          <w:spacing w:val="-26"/>
        </w:rPr>
        <w:t> </w:t>
      </w:r>
      <w:r>
        <w:rPr/>
        <w:t>bem</w:t>
      </w:r>
      <w:r>
        <w:rPr>
          <w:spacing w:val="-28"/>
        </w:rPr>
        <w:t> </w:t>
      </w:r>
      <w:r>
        <w:rPr/>
        <w:t>como</w:t>
      </w:r>
      <w:r>
        <w:rPr>
          <w:spacing w:val="-28"/>
        </w:rPr>
        <w:t> </w:t>
      </w:r>
      <w:r>
        <w:rPr/>
        <w:t>condições</w:t>
      </w:r>
      <w:r>
        <w:rPr>
          <w:spacing w:val="-27"/>
        </w:rPr>
        <w:t> </w:t>
      </w:r>
      <w:r>
        <w:rPr/>
        <w:t>para</w:t>
      </w:r>
      <w:r>
        <w:rPr>
          <w:spacing w:val="-27"/>
        </w:rPr>
        <w:t> </w:t>
      </w:r>
      <w:r>
        <w:rPr/>
        <w:t>prorrogação</w:t>
      </w:r>
      <w:r>
        <w:rPr>
          <w:spacing w:val="-28"/>
        </w:rPr>
        <w:t> </w:t>
      </w:r>
      <w:r>
        <w:rPr/>
        <w:t>do</w:t>
      </w:r>
      <w:r>
        <w:rPr>
          <w:spacing w:val="-26"/>
        </w:rPr>
        <w:t> </w:t>
      </w:r>
      <w:r>
        <w:rPr/>
        <w:t>contrato</w:t>
      </w:r>
      <w:r>
        <w:rPr>
          <w:spacing w:val="-28"/>
        </w:rPr>
        <w:t> </w:t>
      </w:r>
      <w:r>
        <w:rPr/>
        <w:t>de</w:t>
      </w:r>
      <w:r>
        <w:rPr>
          <w:spacing w:val="-28"/>
        </w:rPr>
        <w:t> </w:t>
      </w:r>
      <w:r>
        <w:rPr/>
        <w:t>concessão.</w:t>
      </w:r>
    </w:p>
    <w:p>
      <w:pPr>
        <w:pStyle w:val="BodyText"/>
      </w:pPr>
    </w:p>
    <w:p>
      <w:pPr>
        <w:pStyle w:val="BodyText"/>
        <w:spacing w:line="242" w:lineRule="auto"/>
        <w:ind w:left="172" w:right="406"/>
        <w:jc w:val="both"/>
      </w:pPr>
      <w:r>
        <w:rPr/>
        <w:t>No encerramento do exercício findo em 2018, a CEB DIS apresentou, por apuração interna e posteriormente confirmada pela ANEEL, seu LAJIDA Regulatório inferior à Quota de Reintegração Regulatória </w:t>
      </w:r>
      <w:r>
        <w:rPr>
          <w:w w:val="105"/>
        </w:rPr>
        <w:t>– </w:t>
      </w:r>
      <w:r>
        <w:rPr/>
        <w:t>QRR. Com o descumprimento</w:t>
      </w:r>
      <w:r>
        <w:rPr>
          <w:spacing w:val="-48"/>
        </w:rPr>
        <w:t> </w:t>
      </w:r>
      <w:r>
        <w:rPr/>
        <w:t>de</w:t>
      </w:r>
      <w:r>
        <w:rPr>
          <w:spacing w:val="-47"/>
        </w:rPr>
        <w:t> </w:t>
      </w:r>
      <w:r>
        <w:rPr/>
        <w:t>qualquer</w:t>
      </w:r>
      <w:r>
        <w:rPr>
          <w:spacing w:val="-47"/>
        </w:rPr>
        <w:t> </w:t>
      </w:r>
      <w:r>
        <w:rPr/>
        <w:t>meta,</w:t>
      </w:r>
      <w:r>
        <w:rPr>
          <w:spacing w:val="-48"/>
        </w:rPr>
        <w:t> </w:t>
      </w:r>
      <w:r>
        <w:rPr/>
        <w:t>prevista</w:t>
      </w:r>
      <w:r>
        <w:rPr>
          <w:spacing w:val="-47"/>
        </w:rPr>
        <w:t> </w:t>
      </w:r>
      <w:r>
        <w:rPr/>
        <w:t>no</w:t>
      </w:r>
      <w:r>
        <w:rPr>
          <w:spacing w:val="-47"/>
        </w:rPr>
        <w:t> </w:t>
      </w:r>
      <w:r>
        <w:rPr/>
        <w:t>citado</w:t>
      </w:r>
      <w:r>
        <w:rPr>
          <w:spacing w:val="-47"/>
        </w:rPr>
        <w:t> </w:t>
      </w:r>
      <w:r>
        <w:rPr/>
        <w:t>Aditivo,</w:t>
      </w:r>
      <w:r>
        <w:rPr>
          <w:spacing w:val="-47"/>
        </w:rPr>
        <w:t> </w:t>
      </w:r>
      <w:r>
        <w:rPr/>
        <w:t>por</w:t>
      </w:r>
      <w:r>
        <w:rPr>
          <w:spacing w:val="-48"/>
        </w:rPr>
        <w:t> </w:t>
      </w:r>
      <w:r>
        <w:rPr/>
        <w:t>dois</w:t>
      </w:r>
      <w:r>
        <w:rPr>
          <w:spacing w:val="-47"/>
        </w:rPr>
        <w:t> </w:t>
      </w:r>
      <w:r>
        <w:rPr/>
        <w:t>anos</w:t>
      </w:r>
      <w:r>
        <w:rPr>
          <w:spacing w:val="-47"/>
        </w:rPr>
        <w:t> </w:t>
      </w:r>
      <w:r>
        <w:rPr/>
        <w:t>consecutivos</w:t>
      </w:r>
      <w:r>
        <w:rPr>
          <w:spacing w:val="-47"/>
        </w:rPr>
        <w:t> </w:t>
      </w:r>
      <w:r>
        <w:rPr/>
        <w:t>ou</w:t>
      </w:r>
      <w:r>
        <w:rPr>
          <w:spacing w:val="-48"/>
        </w:rPr>
        <w:t> </w:t>
      </w:r>
      <w:r>
        <w:rPr/>
        <w:t>quaisquer</w:t>
      </w:r>
      <w:r>
        <w:rPr>
          <w:spacing w:val="-47"/>
        </w:rPr>
        <w:t> </w:t>
      </w:r>
      <w:r>
        <w:rPr/>
        <w:t>das</w:t>
      </w:r>
      <w:r>
        <w:rPr>
          <w:spacing w:val="-47"/>
        </w:rPr>
        <w:t> </w:t>
      </w:r>
      <w:r>
        <w:rPr/>
        <w:t>Condições ao</w:t>
      </w:r>
      <w:r>
        <w:rPr>
          <w:spacing w:val="-35"/>
        </w:rPr>
        <w:t> </w:t>
      </w:r>
      <w:r>
        <w:rPr/>
        <w:t>final</w:t>
      </w:r>
      <w:r>
        <w:rPr>
          <w:spacing w:val="-33"/>
        </w:rPr>
        <w:t> </w:t>
      </w:r>
      <w:r>
        <w:rPr/>
        <w:t>do</w:t>
      </w:r>
      <w:r>
        <w:rPr>
          <w:spacing w:val="-33"/>
        </w:rPr>
        <w:t> </w:t>
      </w:r>
      <w:r>
        <w:rPr/>
        <w:t>quinto</w:t>
      </w:r>
      <w:r>
        <w:rPr>
          <w:spacing w:val="-33"/>
        </w:rPr>
        <w:t> </w:t>
      </w:r>
      <w:r>
        <w:rPr/>
        <w:t>ano,</w:t>
      </w:r>
      <w:r>
        <w:rPr>
          <w:spacing w:val="-32"/>
        </w:rPr>
        <w:t> </w:t>
      </w:r>
      <w:r>
        <w:rPr/>
        <w:t>é</w:t>
      </w:r>
      <w:r>
        <w:rPr>
          <w:spacing w:val="-33"/>
        </w:rPr>
        <w:t> </w:t>
      </w:r>
      <w:r>
        <w:rPr/>
        <w:t>prevista</w:t>
      </w:r>
      <w:r>
        <w:rPr>
          <w:spacing w:val="-33"/>
        </w:rPr>
        <w:t> </w:t>
      </w:r>
      <w:r>
        <w:rPr/>
        <w:t>a</w:t>
      </w:r>
      <w:r>
        <w:rPr>
          <w:spacing w:val="-34"/>
        </w:rPr>
        <w:t> </w:t>
      </w:r>
      <w:r>
        <w:rPr/>
        <w:t>extinção</w:t>
      </w:r>
      <w:r>
        <w:rPr>
          <w:spacing w:val="-34"/>
        </w:rPr>
        <w:t> </w:t>
      </w:r>
      <w:r>
        <w:rPr/>
        <w:t>da</w:t>
      </w:r>
      <w:r>
        <w:rPr>
          <w:spacing w:val="-33"/>
        </w:rPr>
        <w:t> </w:t>
      </w:r>
      <w:r>
        <w:rPr/>
        <w:t>Concessão,</w:t>
      </w:r>
      <w:r>
        <w:rPr>
          <w:spacing w:val="-34"/>
        </w:rPr>
        <w:t> </w:t>
      </w:r>
      <w:r>
        <w:rPr/>
        <w:t>respeitado</w:t>
      </w:r>
      <w:r>
        <w:rPr>
          <w:spacing w:val="-33"/>
        </w:rPr>
        <w:t> </w:t>
      </w:r>
      <w:r>
        <w:rPr/>
        <w:t>o</w:t>
      </w:r>
      <w:r>
        <w:rPr>
          <w:spacing w:val="-34"/>
        </w:rPr>
        <w:t> </w:t>
      </w:r>
      <w:r>
        <w:rPr/>
        <w:t>direto</w:t>
      </w:r>
      <w:r>
        <w:rPr>
          <w:spacing w:val="-34"/>
        </w:rPr>
        <w:t> </w:t>
      </w:r>
      <w:r>
        <w:rPr/>
        <w:t>à</w:t>
      </w:r>
      <w:r>
        <w:rPr>
          <w:spacing w:val="-34"/>
        </w:rPr>
        <w:t> </w:t>
      </w:r>
      <w:r>
        <w:rPr/>
        <w:t>ampla</w:t>
      </w:r>
      <w:r>
        <w:rPr>
          <w:spacing w:val="-33"/>
        </w:rPr>
        <w:t> </w:t>
      </w:r>
      <w:r>
        <w:rPr/>
        <w:t>defesa</w:t>
      </w:r>
      <w:r>
        <w:rPr>
          <w:spacing w:val="-34"/>
        </w:rPr>
        <w:t> </w:t>
      </w:r>
      <w:r>
        <w:rPr/>
        <w:t>e</w:t>
      </w:r>
      <w:r>
        <w:rPr>
          <w:spacing w:val="-33"/>
        </w:rPr>
        <w:t> </w:t>
      </w:r>
      <w:r>
        <w:rPr/>
        <w:t>ao</w:t>
      </w:r>
      <w:r>
        <w:rPr>
          <w:spacing w:val="-34"/>
        </w:rPr>
        <w:t> </w:t>
      </w:r>
      <w:r>
        <w:rPr/>
        <w:t>contraditório.</w:t>
      </w:r>
    </w:p>
    <w:p>
      <w:pPr>
        <w:pStyle w:val="BodyText"/>
        <w:spacing w:before="3"/>
      </w:pPr>
    </w:p>
    <w:p>
      <w:pPr>
        <w:pStyle w:val="BodyText"/>
        <w:spacing w:line="242" w:lineRule="auto"/>
        <w:ind w:left="172" w:right="410"/>
        <w:jc w:val="both"/>
      </w:pPr>
      <w:r>
        <w:rPr/>
        <w:t>Porém em 2019, a CEB DIS apurou seu LAJIDA, por avaliação interna, superior aos índices necessários para cumprimento das metas previstas no referido Aditivo, cumprindo os requisitos necessários.</w:t>
      </w:r>
    </w:p>
    <w:p>
      <w:pPr>
        <w:pStyle w:val="BodyText"/>
        <w:spacing w:before="2"/>
      </w:pPr>
    </w:p>
    <w:p>
      <w:pPr>
        <w:pStyle w:val="BodyText"/>
        <w:spacing w:line="242" w:lineRule="auto"/>
        <w:ind w:left="172" w:right="408"/>
        <w:jc w:val="both"/>
      </w:pPr>
      <w:r>
        <w:rPr/>
        <w:t>Adicionalmente,</w:t>
      </w:r>
      <w:r>
        <w:rPr>
          <w:spacing w:val="-11"/>
        </w:rPr>
        <w:t> </w:t>
      </w:r>
      <w:r>
        <w:rPr/>
        <w:t>a</w:t>
      </w:r>
      <w:r>
        <w:rPr>
          <w:spacing w:val="-10"/>
        </w:rPr>
        <w:t> </w:t>
      </w:r>
      <w:r>
        <w:rPr/>
        <w:t>Companhia</w:t>
      </w:r>
      <w:r>
        <w:rPr>
          <w:spacing w:val="-10"/>
        </w:rPr>
        <w:t> </w:t>
      </w:r>
      <w:r>
        <w:rPr/>
        <w:t>possui</w:t>
      </w:r>
      <w:r>
        <w:rPr>
          <w:spacing w:val="-11"/>
        </w:rPr>
        <w:t> </w:t>
      </w:r>
      <w:r>
        <w:rPr/>
        <w:t>a</w:t>
      </w:r>
      <w:r>
        <w:rPr>
          <w:spacing w:val="-10"/>
        </w:rPr>
        <w:t> </w:t>
      </w:r>
      <w:r>
        <w:rPr/>
        <w:t>obrigatoriedade</w:t>
      </w:r>
      <w:r>
        <w:rPr>
          <w:spacing w:val="-10"/>
        </w:rPr>
        <w:t> </w:t>
      </w:r>
      <w:r>
        <w:rPr/>
        <w:t>de</w:t>
      </w:r>
      <w:r>
        <w:rPr>
          <w:spacing w:val="-11"/>
        </w:rPr>
        <w:t> </w:t>
      </w:r>
      <w:r>
        <w:rPr/>
        <w:t>destinação</w:t>
      </w:r>
      <w:r>
        <w:rPr>
          <w:spacing w:val="-11"/>
        </w:rPr>
        <w:t> </w:t>
      </w:r>
      <w:r>
        <w:rPr/>
        <w:t>de</w:t>
      </w:r>
      <w:r>
        <w:rPr>
          <w:spacing w:val="-11"/>
        </w:rPr>
        <w:t> </w:t>
      </w:r>
      <w:r>
        <w:rPr/>
        <w:t>1%</w:t>
      </w:r>
      <w:r>
        <w:rPr>
          <w:spacing w:val="-11"/>
        </w:rPr>
        <w:t> </w:t>
      </w:r>
      <w:r>
        <w:rPr/>
        <w:t>da</w:t>
      </w:r>
      <w:r>
        <w:rPr>
          <w:spacing w:val="-10"/>
        </w:rPr>
        <w:t> </w:t>
      </w:r>
      <w:r>
        <w:rPr/>
        <w:t>Receita</w:t>
      </w:r>
      <w:r>
        <w:rPr>
          <w:spacing w:val="-9"/>
        </w:rPr>
        <w:t> </w:t>
      </w:r>
      <w:r>
        <w:rPr/>
        <w:t>Operacional</w:t>
      </w:r>
      <w:r>
        <w:rPr>
          <w:spacing w:val="-10"/>
        </w:rPr>
        <w:t> </w:t>
      </w:r>
      <w:r>
        <w:rPr/>
        <w:t>Líquida</w:t>
      </w:r>
      <w:r>
        <w:rPr>
          <w:spacing w:val="-10"/>
        </w:rPr>
        <w:t> </w:t>
      </w:r>
      <w:r>
        <w:rPr/>
        <w:t>aos Programas</w:t>
      </w:r>
      <w:r>
        <w:rPr>
          <w:spacing w:val="-33"/>
        </w:rPr>
        <w:t> </w:t>
      </w:r>
      <w:r>
        <w:rPr/>
        <w:t>de</w:t>
      </w:r>
      <w:r>
        <w:rPr>
          <w:spacing w:val="-34"/>
        </w:rPr>
        <w:t> </w:t>
      </w:r>
      <w:r>
        <w:rPr/>
        <w:t>Eficiência</w:t>
      </w:r>
      <w:r>
        <w:rPr>
          <w:spacing w:val="-31"/>
        </w:rPr>
        <w:t> </w:t>
      </w:r>
      <w:r>
        <w:rPr/>
        <w:t>Energética</w:t>
      </w:r>
      <w:r>
        <w:rPr>
          <w:spacing w:val="-33"/>
        </w:rPr>
        <w:t> </w:t>
      </w:r>
      <w:r>
        <w:rPr/>
        <w:t>(PEE),</w:t>
      </w:r>
      <w:r>
        <w:rPr>
          <w:spacing w:val="-33"/>
        </w:rPr>
        <w:t> </w:t>
      </w:r>
      <w:r>
        <w:rPr/>
        <w:t>Pesquisa</w:t>
      </w:r>
      <w:r>
        <w:rPr>
          <w:spacing w:val="-32"/>
        </w:rPr>
        <w:t> </w:t>
      </w:r>
      <w:r>
        <w:rPr/>
        <w:t>e</w:t>
      </w:r>
      <w:r>
        <w:rPr>
          <w:spacing w:val="-33"/>
        </w:rPr>
        <w:t> </w:t>
      </w:r>
      <w:r>
        <w:rPr/>
        <w:t>Desenvolvimento</w:t>
      </w:r>
      <w:r>
        <w:rPr>
          <w:spacing w:val="-33"/>
        </w:rPr>
        <w:t> </w:t>
      </w:r>
      <w:r>
        <w:rPr/>
        <w:t>(P&amp;D),</w:t>
      </w:r>
      <w:r>
        <w:rPr>
          <w:spacing w:val="-33"/>
        </w:rPr>
        <w:t> </w:t>
      </w:r>
      <w:r>
        <w:rPr/>
        <w:t>Fundo</w:t>
      </w:r>
      <w:r>
        <w:rPr>
          <w:spacing w:val="-33"/>
        </w:rPr>
        <w:t> </w:t>
      </w:r>
      <w:r>
        <w:rPr/>
        <w:t>Nacional</w:t>
      </w:r>
      <w:r>
        <w:rPr>
          <w:spacing w:val="-26"/>
        </w:rPr>
        <w:t> </w:t>
      </w:r>
      <w:r>
        <w:rPr/>
        <w:t>de</w:t>
      </w:r>
      <w:r>
        <w:rPr>
          <w:spacing w:val="-34"/>
        </w:rPr>
        <w:t> </w:t>
      </w:r>
      <w:r>
        <w:rPr/>
        <w:t>Desenvolvimento Científico</w:t>
      </w:r>
      <w:r>
        <w:rPr>
          <w:spacing w:val="-16"/>
        </w:rPr>
        <w:t> </w:t>
      </w:r>
      <w:r>
        <w:rPr/>
        <w:t>e</w:t>
      </w:r>
      <w:r>
        <w:rPr>
          <w:spacing w:val="-19"/>
        </w:rPr>
        <w:t> </w:t>
      </w:r>
      <w:r>
        <w:rPr/>
        <w:t>Tecnológico,</w:t>
      </w:r>
      <w:r>
        <w:rPr>
          <w:spacing w:val="-17"/>
        </w:rPr>
        <w:t> </w:t>
      </w:r>
      <w:r>
        <w:rPr/>
        <w:t>Ministério</w:t>
      </w:r>
      <w:r>
        <w:rPr>
          <w:spacing w:val="-15"/>
        </w:rPr>
        <w:t> </w:t>
      </w:r>
      <w:r>
        <w:rPr/>
        <w:t>de</w:t>
      </w:r>
      <w:r>
        <w:rPr>
          <w:spacing w:val="-17"/>
        </w:rPr>
        <w:t> </w:t>
      </w:r>
      <w:r>
        <w:rPr/>
        <w:t>Minas</w:t>
      </w:r>
      <w:r>
        <w:rPr>
          <w:spacing w:val="-15"/>
        </w:rPr>
        <w:t> </w:t>
      </w:r>
      <w:r>
        <w:rPr/>
        <w:t>e</w:t>
      </w:r>
      <w:r>
        <w:rPr>
          <w:spacing w:val="-19"/>
        </w:rPr>
        <w:t> </w:t>
      </w:r>
      <w:r>
        <w:rPr/>
        <w:t>Energia</w:t>
      </w:r>
      <w:r>
        <w:rPr>
          <w:spacing w:val="-15"/>
        </w:rPr>
        <w:t> </w:t>
      </w:r>
      <w:r>
        <w:rPr/>
        <w:t>(MME)</w:t>
      </w:r>
      <w:r>
        <w:rPr>
          <w:spacing w:val="-17"/>
        </w:rPr>
        <w:t> </w:t>
      </w:r>
      <w:r>
        <w:rPr/>
        <w:t>e</w:t>
      </w:r>
      <w:r>
        <w:rPr>
          <w:spacing w:val="-18"/>
        </w:rPr>
        <w:t> </w:t>
      </w:r>
      <w:r>
        <w:rPr/>
        <w:t>ao</w:t>
      </w:r>
      <w:r>
        <w:rPr>
          <w:spacing w:val="-18"/>
        </w:rPr>
        <w:t> </w:t>
      </w:r>
      <w:r>
        <w:rPr/>
        <w:t>Programa</w:t>
      </w:r>
      <w:r>
        <w:rPr>
          <w:spacing w:val="-17"/>
        </w:rPr>
        <w:t> </w:t>
      </w:r>
      <w:r>
        <w:rPr/>
        <w:t>Nacional</w:t>
      </w:r>
      <w:r>
        <w:rPr>
          <w:spacing w:val="-16"/>
        </w:rPr>
        <w:t> </w:t>
      </w:r>
      <w:r>
        <w:rPr/>
        <w:t>de</w:t>
      </w:r>
      <w:r>
        <w:rPr>
          <w:spacing w:val="-19"/>
        </w:rPr>
        <w:t> </w:t>
      </w:r>
      <w:r>
        <w:rPr/>
        <w:t>Conservação</w:t>
      </w:r>
      <w:r>
        <w:rPr>
          <w:spacing w:val="-17"/>
        </w:rPr>
        <w:t> </w:t>
      </w:r>
      <w:r>
        <w:rPr/>
        <w:t>de</w:t>
      </w:r>
      <w:r>
        <w:rPr>
          <w:spacing w:val="-17"/>
        </w:rPr>
        <w:t> </w:t>
      </w:r>
      <w:r>
        <w:rPr/>
        <w:t>Energia Elétrica</w:t>
      </w:r>
      <w:r>
        <w:rPr>
          <w:spacing w:val="-18"/>
        </w:rPr>
        <w:t> </w:t>
      </w:r>
      <w:r>
        <w:rPr/>
        <w:t>(PROCEL).</w:t>
      </w:r>
    </w:p>
    <w:p>
      <w:pPr>
        <w:pStyle w:val="BodyText"/>
        <w:spacing w:before="4"/>
      </w:pPr>
    </w:p>
    <w:p>
      <w:pPr>
        <w:pStyle w:val="BodyText"/>
        <w:spacing w:line="242" w:lineRule="auto"/>
        <w:ind w:left="172" w:right="416"/>
        <w:jc w:val="both"/>
      </w:pPr>
      <w:r>
        <w:rPr/>
        <w:t>Dessa forma, à luz da Lei nº 9.991/2000, a concessionária que acumular, em 31 de dezembro de cada ano, um montante</w:t>
      </w:r>
      <w:r>
        <w:rPr>
          <w:spacing w:val="-29"/>
        </w:rPr>
        <w:t> </w:t>
      </w:r>
      <w:r>
        <w:rPr/>
        <w:t>superior</w:t>
      </w:r>
      <w:r>
        <w:rPr>
          <w:spacing w:val="-28"/>
        </w:rPr>
        <w:t> </w:t>
      </w:r>
      <w:r>
        <w:rPr/>
        <w:t>ao</w:t>
      </w:r>
      <w:r>
        <w:rPr>
          <w:spacing w:val="-27"/>
        </w:rPr>
        <w:t> </w:t>
      </w:r>
      <w:r>
        <w:rPr/>
        <w:t>investimento</w:t>
      </w:r>
      <w:r>
        <w:rPr>
          <w:spacing w:val="-27"/>
        </w:rPr>
        <w:t> </w:t>
      </w:r>
      <w:r>
        <w:rPr/>
        <w:t>obrigatório</w:t>
      </w:r>
      <w:r>
        <w:rPr>
          <w:spacing w:val="-28"/>
        </w:rPr>
        <w:t> </w:t>
      </w:r>
      <w:r>
        <w:rPr/>
        <w:t>dos</w:t>
      </w:r>
      <w:r>
        <w:rPr>
          <w:spacing w:val="-27"/>
        </w:rPr>
        <w:t> </w:t>
      </w:r>
      <w:r>
        <w:rPr/>
        <w:t>24</w:t>
      </w:r>
      <w:r>
        <w:rPr>
          <w:spacing w:val="-27"/>
        </w:rPr>
        <w:t> </w:t>
      </w:r>
      <w:r>
        <w:rPr/>
        <w:t>meses</w:t>
      </w:r>
      <w:r>
        <w:rPr>
          <w:spacing w:val="-26"/>
        </w:rPr>
        <w:t> </w:t>
      </w:r>
      <w:r>
        <w:rPr/>
        <w:t>anteriores,</w:t>
      </w:r>
      <w:r>
        <w:rPr>
          <w:spacing w:val="-28"/>
        </w:rPr>
        <w:t> </w:t>
      </w:r>
      <w:r>
        <w:rPr/>
        <w:t>incluindo</w:t>
      </w:r>
      <w:r>
        <w:rPr>
          <w:spacing w:val="-26"/>
        </w:rPr>
        <w:t> </w:t>
      </w:r>
      <w:r>
        <w:rPr/>
        <w:t>o</w:t>
      </w:r>
      <w:r>
        <w:rPr>
          <w:spacing w:val="-29"/>
        </w:rPr>
        <w:t> </w:t>
      </w:r>
      <w:r>
        <w:rPr/>
        <w:t>mês</w:t>
      </w:r>
      <w:r>
        <w:rPr>
          <w:spacing w:val="-27"/>
        </w:rPr>
        <w:t> </w:t>
      </w:r>
      <w:r>
        <w:rPr/>
        <w:t>de</w:t>
      </w:r>
      <w:r>
        <w:rPr>
          <w:spacing w:val="-29"/>
        </w:rPr>
        <w:t> </w:t>
      </w:r>
      <w:r>
        <w:rPr/>
        <w:t>apuração</w:t>
      </w:r>
      <w:r>
        <w:rPr>
          <w:spacing w:val="-29"/>
        </w:rPr>
        <w:t> </w:t>
      </w:r>
      <w:r>
        <w:rPr/>
        <w:t>(dezembro), obrigações</w:t>
      </w:r>
      <w:r>
        <w:rPr>
          <w:spacing w:val="-24"/>
        </w:rPr>
        <w:t> </w:t>
      </w:r>
      <w:r>
        <w:rPr/>
        <w:t>com</w:t>
      </w:r>
      <w:r>
        <w:rPr>
          <w:spacing w:val="-23"/>
        </w:rPr>
        <w:t> </w:t>
      </w:r>
      <w:r>
        <w:rPr/>
        <w:t>P&amp;D</w:t>
      </w:r>
      <w:r>
        <w:rPr>
          <w:spacing w:val="-22"/>
        </w:rPr>
        <w:t> </w:t>
      </w:r>
      <w:r>
        <w:rPr/>
        <w:t>e</w:t>
      </w:r>
      <w:r>
        <w:rPr>
          <w:spacing w:val="-25"/>
        </w:rPr>
        <w:t> </w:t>
      </w:r>
      <w:r>
        <w:rPr/>
        <w:t>ou</w:t>
      </w:r>
      <w:r>
        <w:rPr>
          <w:spacing w:val="-22"/>
        </w:rPr>
        <w:t> </w:t>
      </w:r>
      <w:r>
        <w:rPr/>
        <w:t>PEE,</w:t>
      </w:r>
      <w:r>
        <w:rPr>
          <w:spacing w:val="-24"/>
        </w:rPr>
        <w:t> </w:t>
      </w:r>
      <w:r>
        <w:rPr/>
        <w:t>está</w:t>
      </w:r>
      <w:r>
        <w:rPr>
          <w:spacing w:val="-24"/>
        </w:rPr>
        <w:t> </w:t>
      </w:r>
      <w:r>
        <w:rPr/>
        <w:t>sujeita</w:t>
      </w:r>
      <w:r>
        <w:rPr>
          <w:spacing w:val="-23"/>
        </w:rPr>
        <w:t> </w:t>
      </w:r>
      <w:r>
        <w:rPr/>
        <w:t>às</w:t>
      </w:r>
      <w:r>
        <w:rPr>
          <w:spacing w:val="-24"/>
        </w:rPr>
        <w:t> </w:t>
      </w:r>
      <w:r>
        <w:rPr/>
        <w:t>penalidades</w:t>
      </w:r>
      <w:r>
        <w:rPr>
          <w:spacing w:val="-23"/>
        </w:rPr>
        <w:t> </w:t>
      </w:r>
      <w:r>
        <w:rPr/>
        <w:t>previstas</w:t>
      </w:r>
      <w:r>
        <w:rPr>
          <w:spacing w:val="-24"/>
        </w:rPr>
        <w:t> </w:t>
      </w:r>
      <w:r>
        <w:rPr/>
        <w:t>na</w:t>
      </w:r>
      <w:r>
        <w:rPr>
          <w:spacing w:val="-23"/>
        </w:rPr>
        <w:t> </w:t>
      </w:r>
      <w:r>
        <w:rPr/>
        <w:t>Resolução</w:t>
      </w:r>
      <w:r>
        <w:rPr>
          <w:spacing w:val="-25"/>
        </w:rPr>
        <w:t> </w:t>
      </w:r>
      <w:r>
        <w:rPr/>
        <w:t>Normativa</w:t>
      </w:r>
      <w:r>
        <w:rPr>
          <w:spacing w:val="-23"/>
        </w:rPr>
        <w:t> </w:t>
      </w:r>
      <w:r>
        <w:rPr/>
        <w:t>nº</w:t>
      </w:r>
      <w:r>
        <w:rPr>
          <w:spacing w:val="-23"/>
        </w:rPr>
        <w:t> </w:t>
      </w:r>
      <w:r>
        <w:rPr/>
        <w:t>63/2004.</w:t>
      </w:r>
    </w:p>
    <w:p>
      <w:pPr>
        <w:pStyle w:val="BodyText"/>
      </w:pPr>
    </w:p>
    <w:p>
      <w:pPr>
        <w:pStyle w:val="BodyText"/>
        <w:spacing w:line="242" w:lineRule="auto"/>
        <w:ind w:left="172" w:right="413"/>
        <w:jc w:val="both"/>
      </w:pPr>
      <w:r>
        <w:rPr/>
        <w:t>Em</w:t>
      </w:r>
      <w:r>
        <w:rPr>
          <w:spacing w:val="-39"/>
        </w:rPr>
        <w:t> </w:t>
      </w:r>
      <w:r>
        <w:rPr/>
        <w:t>2019,</w:t>
      </w:r>
      <w:r>
        <w:rPr>
          <w:spacing w:val="-39"/>
        </w:rPr>
        <w:t> </w:t>
      </w:r>
      <w:r>
        <w:rPr/>
        <w:t>o</w:t>
      </w:r>
      <w:r>
        <w:rPr>
          <w:spacing w:val="-38"/>
        </w:rPr>
        <w:t> </w:t>
      </w:r>
      <w:r>
        <w:rPr/>
        <w:t>cálculo</w:t>
      </w:r>
      <w:r>
        <w:rPr>
          <w:spacing w:val="-39"/>
        </w:rPr>
        <w:t> </w:t>
      </w:r>
      <w:r>
        <w:rPr/>
        <w:t>de</w:t>
      </w:r>
      <w:r>
        <w:rPr>
          <w:spacing w:val="-39"/>
        </w:rPr>
        <w:t> </w:t>
      </w:r>
      <w:r>
        <w:rPr/>
        <w:t>verificação</w:t>
      </w:r>
      <w:r>
        <w:rPr>
          <w:spacing w:val="-39"/>
        </w:rPr>
        <w:t> </w:t>
      </w:r>
      <w:r>
        <w:rPr/>
        <w:t>do</w:t>
      </w:r>
      <w:r>
        <w:rPr>
          <w:spacing w:val="-39"/>
        </w:rPr>
        <w:t> </w:t>
      </w:r>
      <w:r>
        <w:rPr/>
        <w:t>saldo</w:t>
      </w:r>
      <w:r>
        <w:rPr>
          <w:spacing w:val="-39"/>
        </w:rPr>
        <w:t> </w:t>
      </w:r>
      <w:r>
        <w:rPr/>
        <w:t>das</w:t>
      </w:r>
      <w:r>
        <w:rPr>
          <w:spacing w:val="-37"/>
        </w:rPr>
        <w:t> </w:t>
      </w:r>
      <w:r>
        <w:rPr/>
        <w:t>obrigações</w:t>
      </w:r>
      <w:r>
        <w:rPr>
          <w:spacing w:val="-38"/>
        </w:rPr>
        <w:t> </w:t>
      </w:r>
      <w:r>
        <w:rPr/>
        <w:t>com</w:t>
      </w:r>
      <w:r>
        <w:rPr>
          <w:spacing w:val="-38"/>
        </w:rPr>
        <w:t> </w:t>
      </w:r>
      <w:r>
        <w:rPr/>
        <w:t>PEE</w:t>
      </w:r>
      <w:r>
        <w:rPr>
          <w:spacing w:val="-38"/>
        </w:rPr>
        <w:t> </w:t>
      </w:r>
      <w:r>
        <w:rPr/>
        <w:t>ficou</w:t>
      </w:r>
      <w:r>
        <w:rPr>
          <w:spacing w:val="-38"/>
        </w:rPr>
        <w:t> </w:t>
      </w:r>
      <w:r>
        <w:rPr/>
        <w:t>aderente</w:t>
      </w:r>
      <w:r>
        <w:rPr>
          <w:spacing w:val="-38"/>
        </w:rPr>
        <w:t> </w:t>
      </w:r>
      <w:r>
        <w:rPr/>
        <w:t>ao</w:t>
      </w:r>
      <w:r>
        <w:rPr>
          <w:spacing w:val="-38"/>
        </w:rPr>
        <w:t> </w:t>
      </w:r>
      <w:r>
        <w:rPr/>
        <w:t>limite</w:t>
      </w:r>
      <w:r>
        <w:rPr>
          <w:spacing w:val="-37"/>
        </w:rPr>
        <w:t> </w:t>
      </w:r>
      <w:r>
        <w:rPr/>
        <w:t>estabelecido</w:t>
      </w:r>
      <w:r>
        <w:rPr>
          <w:spacing w:val="-38"/>
        </w:rPr>
        <w:t> </w:t>
      </w:r>
      <w:r>
        <w:rPr/>
        <w:t>pala</w:t>
      </w:r>
      <w:r>
        <w:rPr>
          <w:spacing w:val="-39"/>
        </w:rPr>
        <w:t> </w:t>
      </w:r>
      <w:r>
        <w:rPr/>
        <w:t>ANEEL, enquanto</w:t>
      </w:r>
      <w:r>
        <w:rPr>
          <w:spacing w:val="-38"/>
        </w:rPr>
        <w:t> </w:t>
      </w:r>
      <w:r>
        <w:rPr/>
        <w:t>na</w:t>
      </w:r>
      <w:r>
        <w:rPr>
          <w:spacing w:val="-38"/>
        </w:rPr>
        <w:t> </w:t>
      </w:r>
      <w:r>
        <w:rPr/>
        <w:t>análise</w:t>
      </w:r>
      <w:r>
        <w:rPr>
          <w:spacing w:val="-39"/>
        </w:rPr>
        <w:t> </w:t>
      </w:r>
      <w:r>
        <w:rPr/>
        <w:t>do</w:t>
      </w:r>
      <w:r>
        <w:rPr>
          <w:spacing w:val="-38"/>
        </w:rPr>
        <w:t> </w:t>
      </w:r>
      <w:r>
        <w:rPr/>
        <w:t>saldo</w:t>
      </w:r>
      <w:r>
        <w:rPr>
          <w:spacing w:val="-39"/>
        </w:rPr>
        <w:t> </w:t>
      </w:r>
      <w:r>
        <w:rPr/>
        <w:t>de</w:t>
      </w:r>
      <w:r>
        <w:rPr>
          <w:spacing w:val="-38"/>
        </w:rPr>
        <w:t> </w:t>
      </w:r>
      <w:r>
        <w:rPr/>
        <w:t>obrigações</w:t>
      </w:r>
      <w:r>
        <w:rPr>
          <w:spacing w:val="-39"/>
        </w:rPr>
        <w:t> </w:t>
      </w:r>
      <w:r>
        <w:rPr/>
        <w:t>com</w:t>
      </w:r>
      <w:r>
        <w:rPr>
          <w:spacing w:val="-37"/>
        </w:rPr>
        <w:t> </w:t>
      </w:r>
      <w:r>
        <w:rPr/>
        <w:t>P&amp;D</w:t>
      </w:r>
      <w:r>
        <w:rPr>
          <w:spacing w:val="-39"/>
        </w:rPr>
        <w:t> </w:t>
      </w:r>
      <w:r>
        <w:rPr/>
        <w:t>a</w:t>
      </w:r>
      <w:r>
        <w:rPr>
          <w:spacing w:val="-37"/>
        </w:rPr>
        <w:t> </w:t>
      </w:r>
      <w:r>
        <w:rPr/>
        <w:t>variação</w:t>
      </w:r>
      <w:r>
        <w:rPr>
          <w:spacing w:val="-39"/>
        </w:rPr>
        <w:t> </w:t>
      </w:r>
      <w:r>
        <w:rPr/>
        <w:t>foi</w:t>
      </w:r>
      <w:r>
        <w:rPr>
          <w:spacing w:val="-38"/>
        </w:rPr>
        <w:t> </w:t>
      </w:r>
      <w:r>
        <w:rPr/>
        <w:t>de</w:t>
      </w:r>
      <w:r>
        <w:rPr>
          <w:spacing w:val="-38"/>
        </w:rPr>
        <w:t> </w:t>
      </w:r>
      <w:r>
        <w:rPr/>
        <w:t>R$</w:t>
      </w:r>
      <w:r>
        <w:rPr>
          <w:spacing w:val="-39"/>
        </w:rPr>
        <w:t> </w:t>
      </w:r>
      <w:r>
        <w:rPr/>
        <w:t>4.756,</w:t>
      </w:r>
      <w:r>
        <w:rPr>
          <w:spacing w:val="-38"/>
        </w:rPr>
        <w:t> </w:t>
      </w:r>
      <w:r>
        <w:rPr/>
        <w:t>acima</w:t>
      </w:r>
      <w:r>
        <w:rPr>
          <w:spacing w:val="-37"/>
        </w:rPr>
        <w:t> </w:t>
      </w:r>
      <w:r>
        <w:rPr/>
        <w:t>do</w:t>
      </w:r>
      <w:r>
        <w:rPr>
          <w:spacing w:val="-40"/>
        </w:rPr>
        <w:t> </w:t>
      </w:r>
      <w:r>
        <w:rPr/>
        <w:t>limite</w:t>
      </w:r>
      <w:r>
        <w:rPr>
          <w:spacing w:val="-38"/>
        </w:rPr>
        <w:t> </w:t>
      </w:r>
      <w:r>
        <w:rPr/>
        <w:t>permitido</w:t>
      </w:r>
      <w:r>
        <w:rPr>
          <w:spacing w:val="-37"/>
        </w:rPr>
        <w:t> </w:t>
      </w:r>
      <w:r>
        <w:rPr/>
        <w:t>pelo</w:t>
      </w:r>
      <w:r>
        <w:rPr>
          <w:spacing w:val="-38"/>
        </w:rPr>
        <w:t> </w:t>
      </w:r>
      <w:r>
        <w:rPr/>
        <w:t>Órgão Regulador.</w:t>
      </w:r>
    </w:p>
    <w:p>
      <w:pPr>
        <w:pStyle w:val="BodyText"/>
        <w:spacing w:before="8"/>
      </w:pPr>
    </w:p>
    <w:p>
      <w:pPr>
        <w:pStyle w:val="Heading5"/>
        <w:numPr>
          <w:ilvl w:val="2"/>
          <w:numId w:val="19"/>
        </w:numPr>
        <w:tabs>
          <w:tab w:pos="1025" w:val="left" w:leader="none"/>
          <w:tab w:pos="1026" w:val="left" w:leader="none"/>
        </w:tabs>
        <w:spacing w:line="240" w:lineRule="auto" w:before="0" w:after="0"/>
        <w:ind w:left="1025" w:right="0" w:hanging="854"/>
        <w:jc w:val="left"/>
      </w:pPr>
      <w:r>
        <w:rPr/>
        <w:t>Risco de aceleração de</w:t>
      </w:r>
      <w:r>
        <w:rPr>
          <w:spacing w:val="-4"/>
        </w:rPr>
        <w:t> </w:t>
      </w:r>
      <w:r>
        <w:rPr/>
        <w:t>dívidas</w:t>
      </w:r>
    </w:p>
    <w:p>
      <w:pPr>
        <w:pStyle w:val="BodyText"/>
        <w:spacing w:before="9"/>
        <w:rPr>
          <w:rFonts w:ascii="Caladea"/>
          <w:b/>
          <w:sz w:val="23"/>
        </w:rPr>
      </w:pPr>
    </w:p>
    <w:p>
      <w:pPr>
        <w:pStyle w:val="BodyText"/>
        <w:spacing w:line="242" w:lineRule="auto" w:before="1"/>
        <w:ind w:left="172" w:right="413"/>
        <w:jc w:val="both"/>
      </w:pPr>
      <w:r>
        <w:rPr>
          <w:w w:val="95"/>
        </w:rPr>
        <w:t>A</w:t>
      </w:r>
      <w:r>
        <w:rPr>
          <w:spacing w:val="-19"/>
          <w:w w:val="95"/>
        </w:rPr>
        <w:t> </w:t>
      </w:r>
      <w:r>
        <w:rPr>
          <w:w w:val="95"/>
        </w:rPr>
        <w:t>CEB</w:t>
      </w:r>
      <w:r>
        <w:rPr>
          <w:spacing w:val="-19"/>
          <w:w w:val="95"/>
        </w:rPr>
        <w:t> </w:t>
      </w:r>
      <w:r>
        <w:rPr>
          <w:w w:val="95"/>
        </w:rPr>
        <w:t>Distribuição</w:t>
      </w:r>
      <w:r>
        <w:rPr>
          <w:spacing w:val="-20"/>
          <w:w w:val="95"/>
        </w:rPr>
        <w:t> </w:t>
      </w:r>
      <w:r>
        <w:rPr>
          <w:w w:val="95"/>
        </w:rPr>
        <w:t>S.A.</w:t>
      </w:r>
      <w:r>
        <w:rPr>
          <w:spacing w:val="-17"/>
          <w:w w:val="95"/>
        </w:rPr>
        <w:t> </w:t>
      </w:r>
      <w:r>
        <w:rPr>
          <w:w w:val="95"/>
        </w:rPr>
        <w:t>possui</w:t>
      </w:r>
      <w:r>
        <w:rPr>
          <w:spacing w:val="-20"/>
          <w:w w:val="95"/>
        </w:rPr>
        <w:t> </w:t>
      </w:r>
      <w:r>
        <w:rPr>
          <w:w w:val="95"/>
        </w:rPr>
        <w:t>contratos</w:t>
      </w:r>
      <w:r>
        <w:rPr>
          <w:spacing w:val="-19"/>
          <w:w w:val="95"/>
        </w:rPr>
        <w:t> </w:t>
      </w:r>
      <w:r>
        <w:rPr>
          <w:w w:val="95"/>
        </w:rPr>
        <w:t>de</w:t>
      </w:r>
      <w:r>
        <w:rPr>
          <w:spacing w:val="-18"/>
          <w:w w:val="95"/>
        </w:rPr>
        <w:t> </w:t>
      </w:r>
      <w:r>
        <w:rPr>
          <w:w w:val="95"/>
        </w:rPr>
        <w:t>empréstimos,</w:t>
      </w:r>
      <w:r>
        <w:rPr>
          <w:spacing w:val="-20"/>
          <w:w w:val="95"/>
        </w:rPr>
        <w:t> </w:t>
      </w:r>
      <w:r>
        <w:rPr>
          <w:w w:val="95"/>
        </w:rPr>
        <w:t>financiamentos,</w:t>
      </w:r>
      <w:r>
        <w:rPr>
          <w:spacing w:val="-17"/>
          <w:w w:val="95"/>
        </w:rPr>
        <w:t> </w:t>
      </w:r>
      <w:r>
        <w:rPr>
          <w:w w:val="95"/>
        </w:rPr>
        <w:t>debêntures</w:t>
      </w:r>
      <w:r>
        <w:rPr>
          <w:spacing w:val="-17"/>
          <w:w w:val="95"/>
        </w:rPr>
        <w:t> </w:t>
      </w:r>
      <w:r>
        <w:rPr>
          <w:w w:val="95"/>
        </w:rPr>
        <w:t>e</w:t>
      </w:r>
      <w:r>
        <w:rPr>
          <w:spacing w:val="-18"/>
          <w:w w:val="95"/>
        </w:rPr>
        <w:t> </w:t>
      </w:r>
      <w:r>
        <w:rPr>
          <w:w w:val="95"/>
        </w:rPr>
        <w:t>parcelamentos,</w:t>
      </w:r>
      <w:r>
        <w:rPr>
          <w:spacing w:val="-19"/>
          <w:w w:val="95"/>
        </w:rPr>
        <w:t> </w:t>
      </w:r>
      <w:r>
        <w:rPr>
          <w:w w:val="95"/>
        </w:rPr>
        <w:t>com</w:t>
      </w:r>
      <w:r>
        <w:rPr>
          <w:spacing w:val="-20"/>
          <w:w w:val="95"/>
        </w:rPr>
        <w:t> </w:t>
      </w:r>
      <w:r>
        <w:rPr>
          <w:w w:val="95"/>
        </w:rPr>
        <w:t>cláusulas </w:t>
      </w:r>
      <w:r>
        <w:rPr/>
        <w:t>restritivas</w:t>
      </w:r>
      <w:r>
        <w:rPr>
          <w:spacing w:val="-31"/>
        </w:rPr>
        <w:t> </w:t>
      </w:r>
      <w:r>
        <w:rPr/>
        <w:t>(</w:t>
      </w:r>
      <w:r>
        <w:rPr>
          <w:rFonts w:ascii="Caladea" w:hAnsi="Caladea"/>
          <w:i/>
        </w:rPr>
        <w:t>covenants</w:t>
      </w:r>
      <w:r>
        <w:rPr/>
        <w:t>)</w:t>
      </w:r>
      <w:r>
        <w:rPr>
          <w:spacing w:val="-29"/>
        </w:rPr>
        <w:t> </w:t>
      </w:r>
      <w:r>
        <w:rPr/>
        <w:t>normalmente</w:t>
      </w:r>
      <w:r>
        <w:rPr>
          <w:spacing w:val="-32"/>
        </w:rPr>
        <w:t> </w:t>
      </w:r>
      <w:r>
        <w:rPr/>
        <w:t>aplicáveis</w:t>
      </w:r>
      <w:r>
        <w:rPr>
          <w:spacing w:val="-30"/>
        </w:rPr>
        <w:t> </w:t>
      </w:r>
      <w:r>
        <w:rPr/>
        <w:t>a</w:t>
      </w:r>
      <w:r>
        <w:rPr>
          <w:spacing w:val="-30"/>
        </w:rPr>
        <w:t> </w:t>
      </w:r>
      <w:r>
        <w:rPr/>
        <w:t>esses</w:t>
      </w:r>
      <w:r>
        <w:rPr>
          <w:spacing w:val="-30"/>
        </w:rPr>
        <w:t> </w:t>
      </w:r>
      <w:r>
        <w:rPr/>
        <w:t>tipos</w:t>
      </w:r>
      <w:r>
        <w:rPr>
          <w:spacing w:val="-31"/>
        </w:rPr>
        <w:t> </w:t>
      </w:r>
      <w:r>
        <w:rPr/>
        <w:t>de</w:t>
      </w:r>
      <w:r>
        <w:rPr>
          <w:spacing w:val="-32"/>
        </w:rPr>
        <w:t> </w:t>
      </w:r>
      <w:r>
        <w:rPr/>
        <w:t>operação.</w:t>
      </w:r>
      <w:r>
        <w:rPr>
          <w:spacing w:val="-31"/>
        </w:rPr>
        <w:t> </w:t>
      </w:r>
      <w:r>
        <w:rPr/>
        <w:t>Essas</w:t>
      </w:r>
      <w:r>
        <w:rPr>
          <w:spacing w:val="-30"/>
        </w:rPr>
        <w:t> </w:t>
      </w:r>
      <w:r>
        <w:rPr/>
        <w:t>cláusulas</w:t>
      </w:r>
      <w:r>
        <w:rPr>
          <w:spacing w:val="-31"/>
        </w:rPr>
        <w:t> </w:t>
      </w:r>
      <w:r>
        <w:rPr/>
        <w:t>não</w:t>
      </w:r>
      <w:r>
        <w:rPr>
          <w:spacing w:val="-31"/>
        </w:rPr>
        <w:t> </w:t>
      </w:r>
      <w:r>
        <w:rPr/>
        <w:t>limitam</w:t>
      </w:r>
      <w:r>
        <w:rPr>
          <w:spacing w:val="-31"/>
        </w:rPr>
        <w:t> </w:t>
      </w:r>
      <w:r>
        <w:rPr/>
        <w:t>a</w:t>
      </w:r>
      <w:r>
        <w:rPr>
          <w:spacing w:val="-30"/>
        </w:rPr>
        <w:t> </w:t>
      </w:r>
      <w:r>
        <w:rPr/>
        <w:t>capacidade de</w:t>
      </w:r>
      <w:r>
        <w:rPr>
          <w:spacing w:val="-22"/>
        </w:rPr>
        <w:t> </w:t>
      </w:r>
      <w:r>
        <w:rPr/>
        <w:t>condução</w:t>
      </w:r>
      <w:r>
        <w:rPr>
          <w:spacing w:val="-21"/>
        </w:rPr>
        <w:t> </w:t>
      </w:r>
      <w:r>
        <w:rPr/>
        <w:t>do</w:t>
      </w:r>
      <w:r>
        <w:rPr>
          <w:spacing w:val="-21"/>
        </w:rPr>
        <w:t> </w:t>
      </w:r>
      <w:r>
        <w:rPr/>
        <w:t>curso</w:t>
      </w:r>
      <w:r>
        <w:rPr>
          <w:spacing w:val="-19"/>
        </w:rPr>
        <w:t> </w:t>
      </w:r>
      <w:r>
        <w:rPr/>
        <w:t>normal</w:t>
      </w:r>
      <w:r>
        <w:rPr>
          <w:spacing w:val="-20"/>
        </w:rPr>
        <w:t> </w:t>
      </w:r>
      <w:r>
        <w:rPr/>
        <w:t>das</w:t>
      </w:r>
      <w:r>
        <w:rPr>
          <w:spacing w:val="-21"/>
        </w:rPr>
        <w:t> </w:t>
      </w:r>
      <w:r>
        <w:rPr/>
        <w:t>operações,</w:t>
      </w:r>
      <w:r>
        <w:rPr>
          <w:spacing w:val="-20"/>
        </w:rPr>
        <w:t> </w:t>
      </w:r>
      <w:r>
        <w:rPr/>
        <w:t>se</w:t>
      </w:r>
      <w:r>
        <w:rPr>
          <w:spacing w:val="-22"/>
        </w:rPr>
        <w:t> </w:t>
      </w:r>
      <w:r>
        <w:rPr/>
        <w:t>atendidas</w:t>
      </w:r>
      <w:r>
        <w:rPr>
          <w:spacing w:val="-20"/>
        </w:rPr>
        <w:t> </w:t>
      </w:r>
      <w:r>
        <w:rPr/>
        <w:t>nas</w:t>
      </w:r>
      <w:r>
        <w:rPr>
          <w:spacing w:val="-21"/>
        </w:rPr>
        <w:t> </w:t>
      </w:r>
      <w:r>
        <w:rPr/>
        <w:t>periodicidades</w:t>
      </w:r>
      <w:r>
        <w:rPr>
          <w:spacing w:val="-21"/>
        </w:rPr>
        <w:t> </w:t>
      </w:r>
      <w:r>
        <w:rPr/>
        <w:t>exigidas</w:t>
      </w:r>
      <w:r>
        <w:rPr>
          <w:spacing w:val="-20"/>
        </w:rPr>
        <w:t> </w:t>
      </w:r>
      <w:r>
        <w:rPr/>
        <w:t>contratualmente</w:t>
      </w:r>
      <w:r>
        <w:rPr>
          <w:spacing w:val="-20"/>
        </w:rPr>
        <w:t> </w:t>
      </w:r>
      <w:r>
        <w:rPr/>
        <w:t>ou</w:t>
      </w:r>
      <w:r>
        <w:rPr>
          <w:spacing w:val="-21"/>
        </w:rPr>
        <w:t> </w:t>
      </w:r>
      <w:r>
        <w:rPr/>
        <w:t>obtida anuência</w:t>
      </w:r>
      <w:r>
        <w:rPr>
          <w:spacing w:val="-16"/>
        </w:rPr>
        <w:t> </w:t>
      </w:r>
      <w:r>
        <w:rPr/>
        <w:t>prévia</w:t>
      </w:r>
      <w:r>
        <w:rPr>
          <w:spacing w:val="-18"/>
        </w:rPr>
        <w:t> </w:t>
      </w:r>
      <w:r>
        <w:rPr/>
        <w:t>dos</w:t>
      </w:r>
      <w:r>
        <w:rPr>
          <w:spacing w:val="-16"/>
        </w:rPr>
        <w:t> </w:t>
      </w:r>
      <w:r>
        <w:rPr/>
        <w:t>credores</w:t>
      </w:r>
      <w:r>
        <w:rPr>
          <w:spacing w:val="-19"/>
        </w:rPr>
        <w:t> </w:t>
      </w:r>
      <w:r>
        <w:rPr/>
        <w:t>para</w:t>
      </w:r>
      <w:r>
        <w:rPr>
          <w:spacing w:val="-18"/>
        </w:rPr>
        <w:t> </w:t>
      </w:r>
      <w:r>
        <w:rPr/>
        <w:t>o</w:t>
      </w:r>
      <w:r>
        <w:rPr>
          <w:spacing w:val="-17"/>
        </w:rPr>
        <w:t> </w:t>
      </w:r>
      <w:r>
        <w:rPr/>
        <w:t>não</w:t>
      </w:r>
      <w:r>
        <w:rPr>
          <w:spacing w:val="-19"/>
        </w:rPr>
        <w:t> </w:t>
      </w:r>
      <w:r>
        <w:rPr/>
        <w:t>atendimento.</w:t>
      </w:r>
    </w:p>
    <w:p>
      <w:pPr>
        <w:pStyle w:val="BodyText"/>
        <w:spacing w:before="8"/>
        <w:rPr>
          <w:sz w:val="19"/>
        </w:rPr>
      </w:pPr>
    </w:p>
    <w:p>
      <w:pPr>
        <w:pStyle w:val="BodyText"/>
        <w:spacing w:line="242" w:lineRule="auto"/>
        <w:ind w:left="172" w:right="409"/>
        <w:jc w:val="both"/>
      </w:pPr>
      <w:r>
        <w:rPr/>
        <w:t>A</w:t>
      </w:r>
      <w:r>
        <w:rPr>
          <w:spacing w:val="-41"/>
        </w:rPr>
        <w:t> </w:t>
      </w:r>
      <w:r>
        <w:rPr/>
        <w:t>CEB</w:t>
      </w:r>
      <w:r>
        <w:rPr>
          <w:spacing w:val="-41"/>
        </w:rPr>
        <w:t> </w:t>
      </w:r>
      <w:r>
        <w:rPr/>
        <w:t>Distribuição</w:t>
      </w:r>
      <w:r>
        <w:rPr>
          <w:spacing w:val="-41"/>
        </w:rPr>
        <w:t> </w:t>
      </w:r>
      <w:r>
        <w:rPr/>
        <w:t>S.A.,</w:t>
      </w:r>
      <w:r>
        <w:rPr>
          <w:spacing w:val="-40"/>
        </w:rPr>
        <w:t> </w:t>
      </w:r>
      <w:r>
        <w:rPr/>
        <w:t>no</w:t>
      </w:r>
      <w:r>
        <w:rPr>
          <w:spacing w:val="-41"/>
        </w:rPr>
        <w:t> </w:t>
      </w:r>
      <w:r>
        <w:rPr/>
        <w:t>encerramento</w:t>
      </w:r>
      <w:r>
        <w:rPr>
          <w:spacing w:val="-39"/>
        </w:rPr>
        <w:t> </w:t>
      </w:r>
      <w:r>
        <w:rPr/>
        <w:t>do</w:t>
      </w:r>
      <w:r>
        <w:rPr>
          <w:spacing w:val="-42"/>
        </w:rPr>
        <w:t> </w:t>
      </w:r>
      <w:r>
        <w:rPr/>
        <w:t>exercício</w:t>
      </w:r>
      <w:r>
        <w:rPr>
          <w:spacing w:val="-41"/>
        </w:rPr>
        <w:t> </w:t>
      </w:r>
      <w:r>
        <w:rPr/>
        <w:t>2019,</w:t>
      </w:r>
      <w:r>
        <w:rPr>
          <w:spacing w:val="-40"/>
        </w:rPr>
        <w:t> </w:t>
      </w:r>
      <w:r>
        <w:rPr/>
        <w:t>estava</w:t>
      </w:r>
      <w:r>
        <w:rPr>
          <w:spacing w:val="-40"/>
        </w:rPr>
        <w:t> </w:t>
      </w:r>
      <w:r>
        <w:rPr/>
        <w:t>de</w:t>
      </w:r>
      <w:r>
        <w:rPr>
          <w:spacing w:val="-42"/>
        </w:rPr>
        <w:t> </w:t>
      </w:r>
      <w:r>
        <w:rPr/>
        <w:t>acordo</w:t>
      </w:r>
      <w:r>
        <w:rPr>
          <w:spacing w:val="-41"/>
        </w:rPr>
        <w:t> </w:t>
      </w:r>
      <w:r>
        <w:rPr/>
        <w:t>com</w:t>
      </w:r>
      <w:r>
        <w:rPr>
          <w:spacing w:val="-41"/>
        </w:rPr>
        <w:t> </w:t>
      </w:r>
      <w:r>
        <w:rPr/>
        <w:t>todos</w:t>
      </w:r>
      <w:r>
        <w:rPr>
          <w:spacing w:val="-41"/>
        </w:rPr>
        <w:t> </w:t>
      </w:r>
      <w:r>
        <w:rPr/>
        <w:t>os</w:t>
      </w:r>
      <w:r>
        <w:rPr>
          <w:spacing w:val="-40"/>
        </w:rPr>
        <w:t> </w:t>
      </w:r>
      <w:r>
        <w:rPr>
          <w:rFonts w:ascii="Caladea" w:hAnsi="Caladea"/>
          <w:i/>
        </w:rPr>
        <w:t>Covenants</w:t>
      </w:r>
      <w:r>
        <w:rPr>
          <w:rFonts w:ascii="Caladea" w:hAnsi="Caladea"/>
          <w:i/>
          <w:spacing w:val="-24"/>
        </w:rPr>
        <w:t> </w:t>
      </w:r>
      <w:r>
        <w:rPr/>
        <w:t>no</w:t>
      </w:r>
      <w:r>
        <w:rPr>
          <w:spacing w:val="-41"/>
        </w:rPr>
        <w:t> </w:t>
      </w:r>
      <w:r>
        <w:rPr/>
        <w:t>seu</w:t>
      </w:r>
      <w:r>
        <w:rPr>
          <w:spacing w:val="-41"/>
        </w:rPr>
        <w:t> </w:t>
      </w:r>
      <w:r>
        <w:rPr/>
        <w:t>contrato da</w:t>
      </w:r>
      <w:r>
        <w:rPr>
          <w:spacing w:val="-19"/>
        </w:rPr>
        <w:t> </w:t>
      </w:r>
      <w:r>
        <w:rPr/>
        <w:t>3ª</w:t>
      </w:r>
      <w:r>
        <w:rPr>
          <w:spacing w:val="-19"/>
        </w:rPr>
        <w:t> </w:t>
      </w:r>
      <w:r>
        <w:rPr/>
        <w:t>emissão</w:t>
      </w:r>
      <w:r>
        <w:rPr>
          <w:spacing w:val="-19"/>
        </w:rPr>
        <w:t> </w:t>
      </w:r>
      <w:r>
        <w:rPr/>
        <w:t>da</w:t>
      </w:r>
      <w:r>
        <w:rPr>
          <w:spacing w:val="-19"/>
        </w:rPr>
        <w:t> </w:t>
      </w:r>
      <w:r>
        <w:rPr/>
        <w:t>Debêntures,</w:t>
      </w:r>
      <w:r>
        <w:rPr>
          <w:spacing w:val="-19"/>
        </w:rPr>
        <w:t> </w:t>
      </w:r>
      <w:r>
        <w:rPr/>
        <w:t>conforme</w:t>
      </w:r>
      <w:r>
        <w:rPr>
          <w:spacing w:val="-21"/>
        </w:rPr>
        <w:t> </w:t>
      </w:r>
      <w:r>
        <w:rPr/>
        <w:t>mencionado</w:t>
      </w:r>
      <w:r>
        <w:rPr>
          <w:spacing w:val="-18"/>
        </w:rPr>
        <w:t> </w:t>
      </w:r>
      <w:r>
        <w:rPr/>
        <w:t>na</w:t>
      </w:r>
      <w:r>
        <w:rPr>
          <w:spacing w:val="-15"/>
        </w:rPr>
        <w:t> </w:t>
      </w:r>
      <w:r>
        <w:rPr/>
        <w:t>Nota</w:t>
      </w:r>
      <w:r>
        <w:rPr>
          <w:spacing w:val="-19"/>
        </w:rPr>
        <w:t> </w:t>
      </w:r>
      <w:r>
        <w:rPr/>
        <w:t>nº</w:t>
      </w:r>
      <w:r>
        <w:rPr>
          <w:spacing w:val="-17"/>
        </w:rPr>
        <w:t> </w:t>
      </w:r>
      <w:r>
        <w:rPr/>
        <w:t>21.</w:t>
      </w:r>
    </w:p>
    <w:p>
      <w:pPr>
        <w:pStyle w:val="BodyText"/>
        <w:spacing w:before="7"/>
      </w:pPr>
    </w:p>
    <w:p>
      <w:pPr>
        <w:pStyle w:val="Heading5"/>
        <w:numPr>
          <w:ilvl w:val="2"/>
          <w:numId w:val="19"/>
        </w:numPr>
        <w:tabs>
          <w:tab w:pos="1025" w:val="left" w:leader="none"/>
          <w:tab w:pos="1026" w:val="left" w:leader="none"/>
        </w:tabs>
        <w:spacing w:line="240" w:lineRule="auto" w:before="0" w:after="0"/>
        <w:ind w:left="1025" w:right="0" w:hanging="854"/>
        <w:jc w:val="left"/>
      </w:pPr>
      <w:r>
        <w:rPr/>
        <w:t>Risco de</w:t>
      </w:r>
      <w:r>
        <w:rPr>
          <w:spacing w:val="-3"/>
        </w:rPr>
        <w:t> </w:t>
      </w:r>
      <w:r>
        <w:rPr/>
        <w:t>sub/sobrecontratação</w:t>
      </w:r>
    </w:p>
    <w:p>
      <w:pPr>
        <w:pStyle w:val="BodyText"/>
        <w:spacing w:before="10"/>
        <w:rPr>
          <w:rFonts w:ascii="Caladea"/>
          <w:b/>
          <w:sz w:val="23"/>
        </w:rPr>
      </w:pPr>
    </w:p>
    <w:p>
      <w:pPr>
        <w:pStyle w:val="BodyText"/>
        <w:spacing w:line="242" w:lineRule="auto"/>
        <w:ind w:left="172" w:right="406"/>
        <w:jc w:val="both"/>
      </w:pPr>
      <w:r>
        <w:rPr/>
        <w:t>Risco</w:t>
      </w:r>
      <w:r>
        <w:rPr>
          <w:spacing w:val="-38"/>
        </w:rPr>
        <w:t> </w:t>
      </w:r>
      <w:r>
        <w:rPr/>
        <w:t>inerente</w:t>
      </w:r>
      <w:r>
        <w:rPr>
          <w:spacing w:val="-37"/>
        </w:rPr>
        <w:t> </w:t>
      </w:r>
      <w:r>
        <w:rPr/>
        <w:t>ao</w:t>
      </w:r>
      <w:r>
        <w:rPr>
          <w:spacing w:val="-35"/>
        </w:rPr>
        <w:t> </w:t>
      </w:r>
      <w:r>
        <w:rPr/>
        <w:t>negócio</w:t>
      </w:r>
      <w:r>
        <w:rPr>
          <w:spacing w:val="-38"/>
        </w:rPr>
        <w:t> </w:t>
      </w:r>
      <w:r>
        <w:rPr/>
        <w:t>de</w:t>
      </w:r>
      <w:r>
        <w:rPr>
          <w:spacing w:val="-35"/>
        </w:rPr>
        <w:t> </w:t>
      </w:r>
      <w:r>
        <w:rPr/>
        <w:t>distribuição</w:t>
      </w:r>
      <w:r>
        <w:rPr>
          <w:spacing w:val="-37"/>
        </w:rPr>
        <w:t> </w:t>
      </w:r>
      <w:r>
        <w:rPr/>
        <w:t>de</w:t>
      </w:r>
      <w:r>
        <w:rPr>
          <w:spacing w:val="-36"/>
        </w:rPr>
        <w:t> </w:t>
      </w:r>
      <w:r>
        <w:rPr/>
        <w:t>energia</w:t>
      </w:r>
      <w:r>
        <w:rPr>
          <w:spacing w:val="-36"/>
        </w:rPr>
        <w:t> </w:t>
      </w:r>
      <w:r>
        <w:rPr/>
        <w:t>no</w:t>
      </w:r>
      <w:r>
        <w:rPr>
          <w:spacing w:val="-35"/>
        </w:rPr>
        <w:t> </w:t>
      </w:r>
      <w:r>
        <w:rPr/>
        <w:t>mercado</w:t>
      </w:r>
      <w:r>
        <w:rPr>
          <w:spacing w:val="-37"/>
        </w:rPr>
        <w:t> </w:t>
      </w:r>
      <w:r>
        <w:rPr/>
        <w:t>brasileiro</w:t>
      </w:r>
      <w:r>
        <w:rPr>
          <w:spacing w:val="-36"/>
        </w:rPr>
        <w:t> </w:t>
      </w:r>
      <w:r>
        <w:rPr/>
        <w:t>ao</w:t>
      </w:r>
      <w:r>
        <w:rPr>
          <w:spacing w:val="-35"/>
        </w:rPr>
        <w:t> </w:t>
      </w:r>
      <w:r>
        <w:rPr/>
        <w:t>qual</w:t>
      </w:r>
      <w:r>
        <w:rPr>
          <w:spacing w:val="-37"/>
        </w:rPr>
        <w:t> </w:t>
      </w:r>
      <w:r>
        <w:rPr/>
        <w:t>a</w:t>
      </w:r>
      <w:r>
        <w:rPr>
          <w:spacing w:val="-37"/>
        </w:rPr>
        <w:t> </w:t>
      </w:r>
      <w:r>
        <w:rPr/>
        <w:t>CEB</w:t>
      </w:r>
      <w:r>
        <w:rPr>
          <w:spacing w:val="-37"/>
        </w:rPr>
        <w:t> </w:t>
      </w:r>
      <w:r>
        <w:rPr/>
        <w:t>DIS</w:t>
      </w:r>
      <w:r>
        <w:rPr>
          <w:spacing w:val="-35"/>
        </w:rPr>
        <w:t> </w:t>
      </w:r>
      <w:r>
        <w:rPr/>
        <w:t>e</w:t>
      </w:r>
      <w:r>
        <w:rPr>
          <w:spacing w:val="-37"/>
        </w:rPr>
        <w:t> </w:t>
      </w:r>
      <w:r>
        <w:rPr/>
        <w:t>todas</w:t>
      </w:r>
      <w:r>
        <w:rPr>
          <w:spacing w:val="-37"/>
        </w:rPr>
        <w:t> </w:t>
      </w:r>
      <w:r>
        <w:rPr/>
        <w:t>as</w:t>
      </w:r>
      <w:r>
        <w:rPr>
          <w:spacing w:val="-36"/>
        </w:rPr>
        <w:t> </w:t>
      </w:r>
      <w:r>
        <w:rPr/>
        <w:t>distribuidoras do</w:t>
      </w:r>
      <w:r>
        <w:rPr>
          <w:spacing w:val="-16"/>
        </w:rPr>
        <w:t> </w:t>
      </w:r>
      <w:r>
        <w:rPr/>
        <w:t>mercado</w:t>
      </w:r>
      <w:r>
        <w:rPr>
          <w:spacing w:val="-13"/>
        </w:rPr>
        <w:t> </w:t>
      </w:r>
      <w:r>
        <w:rPr/>
        <w:t>estão</w:t>
      </w:r>
      <w:r>
        <w:rPr>
          <w:spacing w:val="-16"/>
        </w:rPr>
        <w:t> </w:t>
      </w:r>
      <w:r>
        <w:rPr/>
        <w:t>expostas.</w:t>
      </w:r>
      <w:r>
        <w:rPr>
          <w:spacing w:val="-14"/>
        </w:rPr>
        <w:t> </w:t>
      </w:r>
      <w:r>
        <w:rPr/>
        <w:t>A</w:t>
      </w:r>
      <w:r>
        <w:rPr>
          <w:spacing w:val="-15"/>
        </w:rPr>
        <w:t> </w:t>
      </w:r>
      <w:r>
        <w:rPr/>
        <w:t>Companhia</w:t>
      </w:r>
      <w:r>
        <w:rPr>
          <w:spacing w:val="-15"/>
        </w:rPr>
        <w:t> </w:t>
      </w:r>
      <w:r>
        <w:rPr/>
        <w:t>pode</w:t>
      </w:r>
      <w:r>
        <w:rPr>
          <w:spacing w:val="-14"/>
        </w:rPr>
        <w:t> </w:t>
      </w:r>
      <w:r>
        <w:rPr/>
        <w:t>ficar</w:t>
      </w:r>
      <w:r>
        <w:rPr>
          <w:spacing w:val="-16"/>
        </w:rPr>
        <w:t> </w:t>
      </w:r>
      <w:r>
        <w:rPr/>
        <w:t>impossibilitada</w:t>
      </w:r>
      <w:r>
        <w:rPr>
          <w:spacing w:val="-15"/>
        </w:rPr>
        <w:t> </w:t>
      </w:r>
      <w:r>
        <w:rPr/>
        <w:t>de</w:t>
      </w:r>
      <w:r>
        <w:rPr>
          <w:spacing w:val="-10"/>
        </w:rPr>
        <w:t> </w:t>
      </w:r>
      <w:r>
        <w:rPr/>
        <w:t>repassar</w:t>
      </w:r>
      <w:r>
        <w:rPr>
          <w:spacing w:val="-16"/>
        </w:rPr>
        <w:t> </w:t>
      </w:r>
      <w:r>
        <w:rPr/>
        <w:t>integralmente</w:t>
      </w:r>
      <w:r>
        <w:rPr>
          <w:spacing w:val="-16"/>
        </w:rPr>
        <w:t> </w:t>
      </w:r>
      <w:r>
        <w:rPr/>
        <w:t>os</w:t>
      </w:r>
      <w:r>
        <w:rPr>
          <w:spacing w:val="-15"/>
        </w:rPr>
        <w:t> </w:t>
      </w:r>
      <w:r>
        <w:rPr/>
        <w:t>custos</w:t>
      </w:r>
      <w:r>
        <w:rPr>
          <w:spacing w:val="-15"/>
        </w:rPr>
        <w:t> </w:t>
      </w:r>
      <w:r>
        <w:rPr/>
        <w:t>de</w:t>
      </w:r>
      <w:r>
        <w:rPr>
          <w:spacing w:val="-14"/>
        </w:rPr>
        <w:t> </w:t>
      </w:r>
      <w:r>
        <w:rPr/>
        <w:t>suas compras</w:t>
      </w:r>
      <w:r>
        <w:rPr>
          <w:spacing w:val="-19"/>
        </w:rPr>
        <w:t> </w:t>
      </w:r>
      <w:r>
        <w:rPr/>
        <w:t>de</w:t>
      </w:r>
      <w:r>
        <w:rPr>
          <w:spacing w:val="-19"/>
        </w:rPr>
        <w:t> </w:t>
      </w:r>
      <w:r>
        <w:rPr/>
        <w:t>energia</w:t>
      </w:r>
      <w:r>
        <w:rPr>
          <w:spacing w:val="-19"/>
        </w:rPr>
        <w:t> </w:t>
      </w:r>
      <w:r>
        <w:rPr/>
        <w:t>elétrica</w:t>
      </w:r>
      <w:r>
        <w:rPr>
          <w:spacing w:val="-16"/>
        </w:rPr>
        <w:t> </w:t>
      </w:r>
      <w:r>
        <w:rPr/>
        <w:t>em</w:t>
      </w:r>
      <w:r>
        <w:rPr>
          <w:spacing w:val="-20"/>
        </w:rPr>
        <w:t> </w:t>
      </w:r>
      <w:r>
        <w:rPr/>
        <w:t>duas</w:t>
      </w:r>
      <w:r>
        <w:rPr>
          <w:spacing w:val="-19"/>
        </w:rPr>
        <w:t> </w:t>
      </w:r>
      <w:r>
        <w:rPr/>
        <w:t>situações:</w:t>
      </w:r>
      <w:r>
        <w:rPr>
          <w:spacing w:val="-18"/>
        </w:rPr>
        <w:t> </w:t>
      </w:r>
      <w:r>
        <w:rPr/>
        <w:t>(i)</w:t>
      </w:r>
      <w:r>
        <w:rPr>
          <w:spacing w:val="-19"/>
        </w:rPr>
        <w:t> </w:t>
      </w:r>
      <w:r>
        <w:rPr/>
        <w:t>quando</w:t>
      </w:r>
      <w:r>
        <w:rPr>
          <w:spacing w:val="-20"/>
        </w:rPr>
        <w:t> </w:t>
      </w:r>
      <w:r>
        <w:rPr/>
        <w:t>o</w:t>
      </w:r>
      <w:r>
        <w:rPr>
          <w:spacing w:val="-19"/>
        </w:rPr>
        <w:t> </w:t>
      </w:r>
      <w:r>
        <w:rPr/>
        <w:t>volume</w:t>
      </w:r>
      <w:r>
        <w:rPr>
          <w:spacing w:val="-19"/>
        </w:rPr>
        <w:t> </w:t>
      </w:r>
      <w:r>
        <w:rPr/>
        <w:t>de</w:t>
      </w:r>
      <w:r>
        <w:rPr>
          <w:spacing w:val="-19"/>
        </w:rPr>
        <w:t> </w:t>
      </w:r>
      <w:r>
        <w:rPr/>
        <w:t>energia</w:t>
      </w:r>
      <w:r>
        <w:rPr>
          <w:spacing w:val="-18"/>
        </w:rPr>
        <w:t> </w:t>
      </w:r>
      <w:r>
        <w:rPr/>
        <w:t>contratada</w:t>
      </w:r>
      <w:r>
        <w:rPr>
          <w:spacing w:val="-19"/>
        </w:rPr>
        <w:t> </w:t>
      </w:r>
      <w:r>
        <w:rPr/>
        <w:t>for</w:t>
      </w:r>
      <w:r>
        <w:rPr>
          <w:spacing w:val="-19"/>
        </w:rPr>
        <w:t> </w:t>
      </w:r>
      <w:r>
        <w:rPr/>
        <w:t>superior</w:t>
      </w:r>
      <w:r>
        <w:rPr>
          <w:spacing w:val="-20"/>
        </w:rPr>
        <w:t> </w:t>
      </w:r>
      <w:r>
        <w:rPr/>
        <w:t>a</w:t>
      </w:r>
      <w:r>
        <w:rPr>
          <w:spacing w:val="-18"/>
        </w:rPr>
        <w:t> </w:t>
      </w:r>
      <w:r>
        <w:rPr/>
        <w:t>105%</w:t>
      </w:r>
      <w:r>
        <w:rPr>
          <w:spacing w:val="-18"/>
        </w:rPr>
        <w:t> </w:t>
      </w:r>
      <w:r>
        <w:rPr/>
        <w:t>da energia demandada pelos consumidores e (ii) quando o nível de contratos for inferior a 100% desta energia demandada.</w:t>
      </w:r>
    </w:p>
    <w:p>
      <w:pPr>
        <w:pStyle w:val="BodyText"/>
        <w:spacing w:before="4"/>
      </w:pPr>
    </w:p>
    <w:p>
      <w:pPr>
        <w:pStyle w:val="BodyText"/>
        <w:spacing w:line="242" w:lineRule="auto"/>
        <w:ind w:left="172" w:right="412"/>
        <w:jc w:val="both"/>
      </w:pPr>
      <w:r>
        <w:rPr/>
        <w:t>No</w:t>
      </w:r>
      <w:r>
        <w:rPr>
          <w:spacing w:val="-22"/>
        </w:rPr>
        <w:t> </w:t>
      </w:r>
      <w:r>
        <w:rPr/>
        <w:t>primeiro</w:t>
      </w:r>
      <w:r>
        <w:rPr>
          <w:spacing w:val="-20"/>
        </w:rPr>
        <w:t> </w:t>
      </w:r>
      <w:r>
        <w:rPr/>
        <w:t>caso</w:t>
      </w:r>
      <w:r>
        <w:rPr>
          <w:spacing w:val="-21"/>
        </w:rPr>
        <w:t> </w:t>
      </w:r>
      <w:r>
        <w:rPr/>
        <w:t>a</w:t>
      </w:r>
      <w:r>
        <w:rPr>
          <w:spacing w:val="-18"/>
        </w:rPr>
        <w:t> </w:t>
      </w:r>
      <w:r>
        <w:rPr/>
        <w:t>energia</w:t>
      </w:r>
      <w:r>
        <w:rPr>
          <w:spacing w:val="-17"/>
        </w:rPr>
        <w:t> </w:t>
      </w:r>
      <w:r>
        <w:rPr/>
        <w:t>contratada</w:t>
      </w:r>
      <w:r>
        <w:rPr>
          <w:spacing w:val="-21"/>
        </w:rPr>
        <w:t> </w:t>
      </w:r>
      <w:r>
        <w:rPr/>
        <w:t>acima</w:t>
      </w:r>
      <w:r>
        <w:rPr>
          <w:spacing w:val="-20"/>
        </w:rPr>
        <w:t> </w:t>
      </w:r>
      <w:r>
        <w:rPr/>
        <w:t>dos</w:t>
      </w:r>
      <w:r>
        <w:rPr>
          <w:spacing w:val="-21"/>
        </w:rPr>
        <w:t> </w:t>
      </w:r>
      <w:r>
        <w:rPr/>
        <w:t>105%</w:t>
      </w:r>
      <w:r>
        <w:rPr>
          <w:spacing w:val="-19"/>
        </w:rPr>
        <w:t> </w:t>
      </w:r>
      <w:r>
        <w:rPr/>
        <w:t>é</w:t>
      </w:r>
      <w:r>
        <w:rPr>
          <w:spacing w:val="-22"/>
        </w:rPr>
        <w:t> </w:t>
      </w:r>
      <w:r>
        <w:rPr/>
        <w:t>vendida</w:t>
      </w:r>
      <w:r>
        <w:rPr>
          <w:spacing w:val="-18"/>
        </w:rPr>
        <w:t> </w:t>
      </w:r>
      <w:r>
        <w:rPr/>
        <w:t>na</w:t>
      </w:r>
      <w:r>
        <w:rPr>
          <w:spacing w:val="-21"/>
        </w:rPr>
        <w:t> </w:t>
      </w:r>
      <w:r>
        <w:rPr/>
        <w:t>CCEE</w:t>
      </w:r>
      <w:r>
        <w:rPr>
          <w:spacing w:val="-19"/>
        </w:rPr>
        <w:t> </w:t>
      </w:r>
      <w:r>
        <w:rPr/>
        <w:t>e</w:t>
      </w:r>
      <w:r>
        <w:rPr>
          <w:spacing w:val="-20"/>
        </w:rPr>
        <w:t> </w:t>
      </w:r>
      <w:r>
        <w:rPr/>
        <w:t>não</w:t>
      </w:r>
      <w:r>
        <w:rPr>
          <w:spacing w:val="-19"/>
        </w:rPr>
        <w:t> </w:t>
      </w:r>
      <w:r>
        <w:rPr/>
        <w:t>é</w:t>
      </w:r>
      <w:r>
        <w:rPr>
          <w:spacing w:val="-19"/>
        </w:rPr>
        <w:t> </w:t>
      </w:r>
      <w:r>
        <w:rPr/>
        <w:t>repassada</w:t>
      </w:r>
      <w:r>
        <w:rPr>
          <w:spacing w:val="-21"/>
        </w:rPr>
        <w:t> </w:t>
      </w:r>
      <w:r>
        <w:rPr/>
        <w:t>aos</w:t>
      </w:r>
      <w:r>
        <w:rPr>
          <w:spacing w:val="-21"/>
        </w:rPr>
        <w:t> </w:t>
      </w:r>
      <w:r>
        <w:rPr/>
        <w:t>consumidores,</w:t>
      </w:r>
      <w:r>
        <w:rPr>
          <w:spacing w:val="-19"/>
        </w:rPr>
        <w:t> </w:t>
      </w:r>
      <w:r>
        <w:rPr/>
        <w:t>ou seja,</w:t>
      </w:r>
      <w:r>
        <w:rPr>
          <w:spacing w:val="-12"/>
        </w:rPr>
        <w:t> </w:t>
      </w:r>
      <w:r>
        <w:rPr/>
        <w:t>em</w:t>
      </w:r>
      <w:r>
        <w:rPr>
          <w:spacing w:val="-12"/>
        </w:rPr>
        <w:t> </w:t>
      </w:r>
      <w:r>
        <w:rPr/>
        <w:t>cenários</w:t>
      </w:r>
      <w:r>
        <w:rPr>
          <w:spacing w:val="-12"/>
        </w:rPr>
        <w:t> </w:t>
      </w:r>
      <w:r>
        <w:rPr/>
        <w:t>de</w:t>
      </w:r>
      <w:r>
        <w:rPr>
          <w:spacing w:val="-11"/>
        </w:rPr>
        <w:t> </w:t>
      </w:r>
      <w:r>
        <w:rPr/>
        <w:t>PLD</w:t>
      </w:r>
      <w:r>
        <w:rPr>
          <w:spacing w:val="-12"/>
        </w:rPr>
        <w:t> </w:t>
      </w:r>
      <w:r>
        <w:rPr/>
        <w:t>inferior</w:t>
      </w:r>
      <w:r>
        <w:rPr>
          <w:spacing w:val="-13"/>
        </w:rPr>
        <w:t> </w:t>
      </w:r>
      <w:r>
        <w:rPr/>
        <w:t>ao</w:t>
      </w:r>
      <w:r>
        <w:rPr>
          <w:spacing w:val="-12"/>
        </w:rPr>
        <w:t> </w:t>
      </w:r>
      <w:r>
        <w:rPr/>
        <w:t>preço</w:t>
      </w:r>
      <w:r>
        <w:rPr>
          <w:spacing w:val="-11"/>
        </w:rPr>
        <w:t> </w:t>
      </w:r>
      <w:r>
        <w:rPr/>
        <w:t>de</w:t>
      </w:r>
      <w:r>
        <w:rPr>
          <w:spacing w:val="-14"/>
        </w:rPr>
        <w:t> </w:t>
      </w:r>
      <w:r>
        <w:rPr/>
        <w:t>compra</w:t>
      </w:r>
      <w:r>
        <w:rPr>
          <w:spacing w:val="-9"/>
        </w:rPr>
        <w:t> </w:t>
      </w:r>
      <w:r>
        <w:rPr/>
        <w:t>desses</w:t>
      </w:r>
      <w:r>
        <w:rPr>
          <w:spacing w:val="-12"/>
        </w:rPr>
        <w:t> </w:t>
      </w:r>
      <w:r>
        <w:rPr/>
        <w:t>contratos,</w:t>
      </w:r>
      <w:r>
        <w:rPr>
          <w:spacing w:val="-12"/>
        </w:rPr>
        <w:t> </w:t>
      </w:r>
      <w:r>
        <w:rPr/>
        <w:t>há</w:t>
      </w:r>
      <w:r>
        <w:rPr>
          <w:spacing w:val="-11"/>
        </w:rPr>
        <w:t> </w:t>
      </w:r>
      <w:r>
        <w:rPr/>
        <w:t>uma</w:t>
      </w:r>
      <w:r>
        <w:rPr>
          <w:spacing w:val="-11"/>
        </w:rPr>
        <w:t> </w:t>
      </w:r>
      <w:r>
        <w:rPr/>
        <w:t>perda</w:t>
      </w:r>
      <w:r>
        <w:rPr>
          <w:spacing w:val="-12"/>
        </w:rPr>
        <w:t> </w:t>
      </w:r>
      <w:r>
        <w:rPr/>
        <w:t>para</w:t>
      </w:r>
      <w:r>
        <w:rPr>
          <w:spacing w:val="-11"/>
        </w:rPr>
        <w:t> </w:t>
      </w:r>
      <w:r>
        <w:rPr/>
        <w:t>a</w:t>
      </w:r>
      <w:r>
        <w:rPr>
          <w:spacing w:val="-11"/>
        </w:rPr>
        <w:t> </w:t>
      </w:r>
      <w:r>
        <w:rPr/>
        <w:t>concessionária.</w:t>
      </w:r>
      <w:r>
        <w:rPr>
          <w:spacing w:val="-12"/>
        </w:rPr>
        <w:t> </w:t>
      </w:r>
      <w:r>
        <w:rPr/>
        <w:t>No segundo</w:t>
      </w:r>
      <w:r>
        <w:rPr>
          <w:spacing w:val="-23"/>
        </w:rPr>
        <w:t> </w:t>
      </w:r>
      <w:r>
        <w:rPr/>
        <w:t>caso,</w:t>
      </w:r>
      <w:r>
        <w:rPr>
          <w:spacing w:val="-20"/>
        </w:rPr>
        <w:t> </w:t>
      </w:r>
      <w:r>
        <w:rPr/>
        <w:t>além</w:t>
      </w:r>
      <w:r>
        <w:rPr>
          <w:spacing w:val="-19"/>
        </w:rPr>
        <w:t> </w:t>
      </w:r>
      <w:r>
        <w:rPr/>
        <w:t>da</w:t>
      </w:r>
      <w:r>
        <w:rPr>
          <w:spacing w:val="-19"/>
        </w:rPr>
        <w:t> </w:t>
      </w:r>
      <w:r>
        <w:rPr/>
        <w:t>Companhia</w:t>
      </w:r>
      <w:r>
        <w:rPr>
          <w:spacing w:val="-21"/>
        </w:rPr>
        <w:t> </w:t>
      </w:r>
      <w:r>
        <w:rPr/>
        <w:t>ser</w:t>
      </w:r>
      <w:r>
        <w:rPr>
          <w:spacing w:val="-20"/>
        </w:rPr>
        <w:t> </w:t>
      </w:r>
      <w:r>
        <w:rPr/>
        <w:t>obrigada</w:t>
      </w:r>
      <w:r>
        <w:rPr>
          <w:spacing w:val="-22"/>
        </w:rPr>
        <w:t> </w:t>
      </w:r>
      <w:r>
        <w:rPr/>
        <w:t>a</w:t>
      </w:r>
      <w:r>
        <w:rPr>
          <w:spacing w:val="-21"/>
        </w:rPr>
        <w:t> </w:t>
      </w:r>
      <w:r>
        <w:rPr/>
        <w:t>adquirir</w:t>
      </w:r>
      <w:r>
        <w:rPr>
          <w:spacing w:val="-20"/>
        </w:rPr>
        <w:t> </w:t>
      </w:r>
      <w:r>
        <w:rPr/>
        <w:t>energia</w:t>
      </w:r>
      <w:r>
        <w:rPr>
          <w:spacing w:val="-19"/>
        </w:rPr>
        <w:t> </w:t>
      </w:r>
      <w:r>
        <w:rPr/>
        <w:t>ao</w:t>
      </w:r>
      <w:r>
        <w:rPr>
          <w:spacing w:val="-20"/>
        </w:rPr>
        <w:t> </w:t>
      </w:r>
      <w:r>
        <w:rPr/>
        <w:t>valor</w:t>
      </w:r>
      <w:r>
        <w:rPr>
          <w:spacing w:val="-21"/>
        </w:rPr>
        <w:t> </w:t>
      </w:r>
      <w:r>
        <w:rPr/>
        <w:t>do</w:t>
      </w:r>
      <w:r>
        <w:rPr>
          <w:spacing w:val="-21"/>
        </w:rPr>
        <w:t> </w:t>
      </w:r>
      <w:r>
        <w:rPr/>
        <w:t>PLD</w:t>
      </w:r>
      <w:r>
        <w:rPr>
          <w:spacing w:val="-18"/>
        </w:rPr>
        <w:t> </w:t>
      </w:r>
      <w:r>
        <w:rPr/>
        <w:t>na</w:t>
      </w:r>
      <w:r>
        <w:rPr>
          <w:spacing w:val="-22"/>
        </w:rPr>
        <w:t> </w:t>
      </w:r>
      <w:r>
        <w:rPr/>
        <w:t>CCEE</w:t>
      </w:r>
      <w:r>
        <w:rPr>
          <w:spacing w:val="-20"/>
        </w:rPr>
        <w:t> </w:t>
      </w:r>
      <w:r>
        <w:rPr/>
        <w:t>e</w:t>
      </w:r>
      <w:r>
        <w:rPr>
          <w:spacing w:val="-21"/>
        </w:rPr>
        <w:t> </w:t>
      </w:r>
      <w:r>
        <w:rPr/>
        <w:t>não</w:t>
      </w:r>
      <w:r>
        <w:rPr>
          <w:spacing w:val="-21"/>
        </w:rPr>
        <w:t> </w:t>
      </w:r>
      <w:r>
        <w:rPr/>
        <w:t>possuir</w:t>
      </w:r>
      <w:r>
        <w:rPr>
          <w:spacing w:val="-21"/>
        </w:rPr>
        <w:t> </w:t>
      </w:r>
      <w:r>
        <w:rPr/>
        <w:t>garantias de</w:t>
      </w:r>
      <w:r>
        <w:rPr>
          <w:spacing w:val="-7"/>
        </w:rPr>
        <w:t> </w:t>
      </w:r>
      <w:r>
        <w:rPr/>
        <w:t>repasse</w:t>
      </w:r>
      <w:r>
        <w:rPr>
          <w:spacing w:val="-8"/>
        </w:rPr>
        <w:t> </w:t>
      </w:r>
      <w:r>
        <w:rPr/>
        <w:t>integral</w:t>
      </w:r>
      <w:r>
        <w:rPr>
          <w:spacing w:val="-6"/>
        </w:rPr>
        <w:t> </w:t>
      </w:r>
      <w:r>
        <w:rPr/>
        <w:t>na</w:t>
      </w:r>
      <w:r>
        <w:rPr>
          <w:spacing w:val="-7"/>
        </w:rPr>
        <w:t> </w:t>
      </w:r>
      <w:r>
        <w:rPr/>
        <w:t>tarifa</w:t>
      </w:r>
      <w:r>
        <w:rPr>
          <w:spacing w:val="-6"/>
        </w:rPr>
        <w:t> </w:t>
      </w:r>
      <w:r>
        <w:rPr/>
        <w:t>dos</w:t>
      </w:r>
      <w:r>
        <w:rPr>
          <w:spacing w:val="-8"/>
        </w:rPr>
        <w:t> </w:t>
      </w:r>
      <w:r>
        <w:rPr/>
        <w:t>consumidores,</w:t>
      </w:r>
      <w:r>
        <w:rPr>
          <w:spacing w:val="-6"/>
        </w:rPr>
        <w:t> </w:t>
      </w:r>
      <w:r>
        <w:rPr/>
        <w:t>há</w:t>
      </w:r>
      <w:r>
        <w:rPr>
          <w:spacing w:val="-7"/>
        </w:rPr>
        <w:t> </w:t>
      </w:r>
      <w:r>
        <w:rPr/>
        <w:t>uma</w:t>
      </w:r>
      <w:r>
        <w:rPr>
          <w:spacing w:val="-7"/>
        </w:rPr>
        <w:t> </w:t>
      </w:r>
      <w:r>
        <w:rPr/>
        <w:t>penalidade</w:t>
      </w:r>
      <w:r>
        <w:rPr>
          <w:spacing w:val="-6"/>
        </w:rPr>
        <w:t> </w:t>
      </w:r>
      <w:r>
        <w:rPr/>
        <w:t>por</w:t>
      </w:r>
      <w:r>
        <w:rPr>
          <w:spacing w:val="-7"/>
        </w:rPr>
        <w:t> </w:t>
      </w:r>
      <w:r>
        <w:rPr/>
        <w:t>insuficiência</w:t>
      </w:r>
      <w:r>
        <w:rPr>
          <w:spacing w:val="-7"/>
        </w:rPr>
        <w:t> </w:t>
      </w:r>
      <w:r>
        <w:rPr/>
        <w:t>de</w:t>
      </w:r>
      <w:r>
        <w:rPr>
          <w:spacing w:val="-8"/>
        </w:rPr>
        <w:t> </w:t>
      </w:r>
      <w:r>
        <w:rPr/>
        <w:t>lastro</w:t>
      </w:r>
      <w:r>
        <w:rPr>
          <w:spacing w:val="-6"/>
        </w:rPr>
        <w:t> </w:t>
      </w:r>
      <w:r>
        <w:rPr/>
        <w:t>contratual.</w:t>
      </w:r>
      <w:r>
        <w:rPr>
          <w:spacing w:val="-8"/>
        </w:rPr>
        <w:t> </w:t>
      </w:r>
      <w:r>
        <w:rPr/>
        <w:t>Essas situações podem ser mitigadas se as distribuidoras fizerem jus a exposições ou sobras involuntárias, além da possiblidade</w:t>
      </w:r>
      <w:r>
        <w:rPr>
          <w:spacing w:val="-5"/>
        </w:rPr>
        <w:t> </w:t>
      </w:r>
      <w:r>
        <w:rPr/>
        <w:t>de</w:t>
      </w:r>
      <w:r>
        <w:rPr>
          <w:spacing w:val="-4"/>
        </w:rPr>
        <w:t> </w:t>
      </w:r>
      <w:r>
        <w:rPr/>
        <w:t>participação</w:t>
      </w:r>
      <w:r>
        <w:rPr>
          <w:spacing w:val="-4"/>
        </w:rPr>
        <w:t> </w:t>
      </w:r>
      <w:r>
        <w:rPr/>
        <w:t>do</w:t>
      </w:r>
      <w:r>
        <w:rPr>
          <w:spacing w:val="-3"/>
        </w:rPr>
        <w:t> </w:t>
      </w:r>
      <w:r>
        <w:rPr/>
        <w:t>Mecanismo</w:t>
      </w:r>
      <w:r>
        <w:rPr>
          <w:spacing w:val="-2"/>
        </w:rPr>
        <w:t> </w:t>
      </w:r>
      <w:r>
        <w:rPr/>
        <w:t>de</w:t>
      </w:r>
      <w:r>
        <w:rPr>
          <w:spacing w:val="-3"/>
        </w:rPr>
        <w:t> </w:t>
      </w:r>
      <w:r>
        <w:rPr/>
        <w:t>Venda</w:t>
      </w:r>
      <w:r>
        <w:rPr>
          <w:spacing w:val="-2"/>
        </w:rPr>
        <w:t> </w:t>
      </w:r>
      <w:r>
        <w:rPr/>
        <w:t>de</w:t>
      </w:r>
      <w:r>
        <w:rPr>
          <w:spacing w:val="-4"/>
        </w:rPr>
        <w:t> </w:t>
      </w:r>
      <w:r>
        <w:rPr/>
        <w:t>Excedente</w:t>
      </w:r>
      <w:r>
        <w:rPr>
          <w:spacing w:val="-3"/>
        </w:rPr>
        <w:t> </w:t>
      </w:r>
      <w:r>
        <w:rPr/>
        <w:t>(MVE)</w:t>
      </w:r>
      <w:r>
        <w:rPr>
          <w:spacing w:val="-2"/>
        </w:rPr>
        <w:t> </w:t>
      </w:r>
      <w:r>
        <w:rPr/>
        <w:t>e</w:t>
      </w:r>
      <w:r>
        <w:rPr>
          <w:spacing w:val="-3"/>
        </w:rPr>
        <w:t> </w:t>
      </w:r>
      <w:r>
        <w:rPr/>
        <w:t>do</w:t>
      </w:r>
      <w:r>
        <w:rPr>
          <w:spacing w:val="-1"/>
        </w:rPr>
        <w:t> </w:t>
      </w:r>
      <w:r>
        <w:rPr/>
        <w:t>Mecanismo</w:t>
      </w:r>
      <w:r>
        <w:rPr>
          <w:spacing w:val="-3"/>
        </w:rPr>
        <w:t> </w:t>
      </w:r>
      <w:r>
        <w:rPr/>
        <w:t>de</w:t>
      </w:r>
      <w:r>
        <w:rPr>
          <w:spacing w:val="-3"/>
        </w:rPr>
        <w:t> </w:t>
      </w:r>
      <w:r>
        <w:rPr/>
        <w:t>Sobras</w:t>
      </w:r>
      <w:r>
        <w:rPr>
          <w:spacing w:val="-2"/>
        </w:rPr>
        <w:t> </w:t>
      </w:r>
      <w:r>
        <w:rPr/>
        <w:t>e</w:t>
      </w:r>
      <w:r>
        <w:rPr>
          <w:spacing w:val="-3"/>
        </w:rPr>
        <w:t> </w:t>
      </w:r>
      <w:r>
        <w:rPr/>
        <w:t>Déficits (MCSD).</w:t>
      </w:r>
    </w:p>
    <w:p>
      <w:pPr>
        <w:pStyle w:val="BodyText"/>
      </w:pPr>
    </w:p>
    <w:p>
      <w:pPr>
        <w:pStyle w:val="BodyText"/>
        <w:spacing w:line="242" w:lineRule="auto" w:before="1"/>
        <w:ind w:left="172" w:right="407"/>
        <w:jc w:val="both"/>
      </w:pPr>
      <w:r>
        <w:rPr/>
        <w:t>Como diretriz do Plano de Negócios da Companhia, a empresa vem participando dos mecanismos de descontratação/venda de energia elétrica, a fim de retomar as sobras ao nível regulatório de 105% para reduzir/mitigar</w:t>
      </w:r>
      <w:r>
        <w:rPr>
          <w:spacing w:val="-42"/>
        </w:rPr>
        <w:t> </w:t>
      </w:r>
      <w:r>
        <w:rPr/>
        <w:t>os</w:t>
      </w:r>
      <w:r>
        <w:rPr>
          <w:spacing w:val="-42"/>
        </w:rPr>
        <w:t> </w:t>
      </w:r>
      <w:r>
        <w:rPr/>
        <w:t>riscos</w:t>
      </w:r>
      <w:r>
        <w:rPr>
          <w:spacing w:val="-42"/>
        </w:rPr>
        <w:t> </w:t>
      </w:r>
      <w:r>
        <w:rPr/>
        <w:t>econômico-financeiros</w:t>
      </w:r>
      <w:r>
        <w:rPr>
          <w:spacing w:val="-41"/>
        </w:rPr>
        <w:t> </w:t>
      </w:r>
      <w:r>
        <w:rPr/>
        <w:t>inerentes</w:t>
      </w:r>
      <w:r>
        <w:rPr>
          <w:spacing w:val="-42"/>
        </w:rPr>
        <w:t> </w:t>
      </w:r>
      <w:r>
        <w:rPr/>
        <w:t>as</w:t>
      </w:r>
      <w:r>
        <w:rPr>
          <w:spacing w:val="-42"/>
        </w:rPr>
        <w:t> </w:t>
      </w:r>
      <w:r>
        <w:rPr/>
        <w:t>sobras</w:t>
      </w:r>
      <w:r>
        <w:rPr>
          <w:spacing w:val="-42"/>
        </w:rPr>
        <w:t> </w:t>
      </w:r>
      <w:r>
        <w:rPr/>
        <w:t>de</w:t>
      </w:r>
      <w:r>
        <w:rPr>
          <w:spacing w:val="-42"/>
        </w:rPr>
        <w:t> </w:t>
      </w:r>
      <w:r>
        <w:rPr/>
        <w:t>energia</w:t>
      </w:r>
      <w:r>
        <w:rPr>
          <w:spacing w:val="-40"/>
        </w:rPr>
        <w:t> </w:t>
      </w:r>
      <w:r>
        <w:rPr/>
        <w:t>elétrica.</w:t>
      </w:r>
      <w:r>
        <w:rPr>
          <w:spacing w:val="-42"/>
        </w:rPr>
        <w:t> </w:t>
      </w:r>
      <w:r>
        <w:rPr/>
        <w:t>Todavia,</w:t>
      </w:r>
      <w:r>
        <w:rPr>
          <w:spacing w:val="-42"/>
        </w:rPr>
        <w:t> </w:t>
      </w:r>
      <w:r>
        <w:rPr/>
        <w:t>o</w:t>
      </w:r>
      <w:r>
        <w:rPr>
          <w:spacing w:val="-42"/>
        </w:rPr>
        <w:t> </w:t>
      </w:r>
      <w:r>
        <w:rPr/>
        <w:t>atendimento</w:t>
      </w:r>
      <w:r>
        <w:rPr>
          <w:spacing w:val="-40"/>
        </w:rPr>
        <w:t> </w:t>
      </w:r>
      <w:r>
        <w:rPr/>
        <w:t>dos montantes</w:t>
      </w:r>
      <w:r>
        <w:rPr>
          <w:spacing w:val="-27"/>
        </w:rPr>
        <w:t> </w:t>
      </w:r>
      <w:r>
        <w:rPr/>
        <w:t>declarados/ofertados</w:t>
      </w:r>
      <w:r>
        <w:rPr>
          <w:spacing w:val="-27"/>
        </w:rPr>
        <w:t> </w:t>
      </w:r>
      <w:r>
        <w:rPr/>
        <w:t>depende</w:t>
      </w:r>
      <w:r>
        <w:rPr>
          <w:spacing w:val="-28"/>
        </w:rPr>
        <w:t> </w:t>
      </w:r>
      <w:r>
        <w:rPr/>
        <w:t>do</w:t>
      </w:r>
      <w:r>
        <w:rPr>
          <w:spacing w:val="-27"/>
        </w:rPr>
        <w:t> </w:t>
      </w:r>
      <w:r>
        <w:rPr/>
        <w:t>nível</w:t>
      </w:r>
      <w:r>
        <w:rPr>
          <w:spacing w:val="-28"/>
        </w:rPr>
        <w:t> </w:t>
      </w:r>
      <w:r>
        <w:rPr/>
        <w:t>de</w:t>
      </w:r>
      <w:r>
        <w:rPr>
          <w:spacing w:val="-27"/>
        </w:rPr>
        <w:t> </w:t>
      </w:r>
      <w:r>
        <w:rPr/>
        <w:t>exposição</w:t>
      </w:r>
      <w:r>
        <w:rPr>
          <w:spacing w:val="-27"/>
        </w:rPr>
        <w:t> </w:t>
      </w:r>
      <w:r>
        <w:rPr/>
        <w:t>e</w:t>
      </w:r>
      <w:r>
        <w:rPr>
          <w:spacing w:val="-28"/>
        </w:rPr>
        <w:t> </w:t>
      </w:r>
      <w:r>
        <w:rPr/>
        <w:t>das</w:t>
      </w:r>
      <w:r>
        <w:rPr>
          <w:spacing w:val="-27"/>
        </w:rPr>
        <w:t> </w:t>
      </w:r>
      <w:r>
        <w:rPr/>
        <w:t>declarações</w:t>
      </w:r>
      <w:r>
        <w:rPr>
          <w:spacing w:val="-27"/>
        </w:rPr>
        <w:t> </w:t>
      </w:r>
      <w:r>
        <w:rPr/>
        <w:t>das</w:t>
      </w:r>
      <w:r>
        <w:rPr>
          <w:spacing w:val="-27"/>
        </w:rPr>
        <w:t> </w:t>
      </w:r>
      <w:r>
        <w:rPr/>
        <w:t>empresas</w:t>
      </w:r>
      <w:r>
        <w:rPr>
          <w:spacing w:val="-28"/>
        </w:rPr>
        <w:t> </w:t>
      </w:r>
      <w:r>
        <w:rPr/>
        <w:t>demandantes</w:t>
      </w:r>
      <w:r>
        <w:rPr>
          <w:spacing w:val="-26"/>
        </w:rPr>
        <w:t> </w:t>
      </w:r>
      <w:r>
        <w:rPr/>
        <w:t>em cada</w:t>
      </w:r>
      <w:r>
        <w:rPr>
          <w:spacing w:val="-18"/>
        </w:rPr>
        <w:t> </w:t>
      </w:r>
      <w:r>
        <w:rPr/>
        <w:t>mecanismo.</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20"/>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G</w:t>
      </w:r>
      <w:r>
        <w:rPr>
          <w:rFonts w:ascii="Caladea" w:hAnsi="Caladea"/>
          <w:b/>
          <w:sz w:val="18"/>
        </w:rPr>
        <w:t>ESTÃO DE</w:t>
      </w:r>
      <w:r>
        <w:rPr>
          <w:rFonts w:ascii="Caladea" w:hAnsi="Caladea"/>
          <w:b/>
          <w:spacing w:val="1"/>
          <w:sz w:val="18"/>
        </w:rPr>
        <w:t> </w:t>
      </w:r>
      <w:r>
        <w:rPr>
          <w:rFonts w:ascii="Caladea" w:hAnsi="Caladea"/>
          <w:b/>
          <w:sz w:val="22"/>
        </w:rPr>
        <w:t>C</w:t>
      </w:r>
      <w:r>
        <w:rPr>
          <w:rFonts w:ascii="Caladea" w:hAnsi="Caladea"/>
          <w:b/>
          <w:sz w:val="18"/>
        </w:rPr>
        <w:t>APITAL</w:t>
      </w:r>
    </w:p>
    <w:p>
      <w:pPr>
        <w:pStyle w:val="BodyText"/>
        <w:spacing w:before="1"/>
        <w:rPr>
          <w:rFonts w:ascii="Caladea"/>
          <w:b/>
          <w:sz w:val="24"/>
        </w:rPr>
      </w:pPr>
    </w:p>
    <w:p>
      <w:pPr>
        <w:pStyle w:val="BodyText"/>
        <w:spacing w:line="247" w:lineRule="auto"/>
        <w:ind w:left="172" w:right="416"/>
        <w:jc w:val="both"/>
      </w:pPr>
      <w:r>
        <w:rPr/>
        <w:t>Os</w:t>
      </w:r>
      <w:r>
        <w:rPr>
          <w:spacing w:val="-47"/>
        </w:rPr>
        <w:t> </w:t>
      </w:r>
      <w:r>
        <w:rPr/>
        <w:t>objetivos</w:t>
      </w:r>
      <w:r>
        <w:rPr>
          <w:spacing w:val="-44"/>
        </w:rPr>
        <w:t> </w:t>
      </w:r>
      <w:r>
        <w:rPr/>
        <w:t>do</w:t>
      </w:r>
      <w:r>
        <w:rPr>
          <w:spacing w:val="-45"/>
        </w:rPr>
        <w:t> </w:t>
      </w:r>
      <w:r>
        <w:rPr/>
        <w:t>Grupo</w:t>
      </w:r>
      <w:r>
        <w:rPr>
          <w:spacing w:val="-46"/>
        </w:rPr>
        <w:t> </w:t>
      </w:r>
      <w:r>
        <w:rPr/>
        <w:t>ao</w:t>
      </w:r>
      <w:r>
        <w:rPr>
          <w:spacing w:val="-46"/>
        </w:rPr>
        <w:t> </w:t>
      </w:r>
      <w:r>
        <w:rPr/>
        <w:t>administrar</w:t>
      </w:r>
      <w:r>
        <w:rPr>
          <w:spacing w:val="-46"/>
        </w:rPr>
        <w:t> </w:t>
      </w:r>
      <w:r>
        <w:rPr/>
        <w:t>seu</w:t>
      </w:r>
      <w:r>
        <w:rPr>
          <w:spacing w:val="-45"/>
        </w:rPr>
        <w:t> </w:t>
      </w:r>
      <w:r>
        <w:rPr/>
        <w:t>capital</w:t>
      </w:r>
      <w:r>
        <w:rPr>
          <w:spacing w:val="-46"/>
        </w:rPr>
        <w:t> </w:t>
      </w:r>
      <w:r>
        <w:rPr/>
        <w:t>são</w:t>
      </w:r>
      <w:r>
        <w:rPr>
          <w:spacing w:val="-46"/>
        </w:rPr>
        <w:t> </w:t>
      </w:r>
      <w:r>
        <w:rPr/>
        <w:t>os</w:t>
      </w:r>
      <w:r>
        <w:rPr>
          <w:spacing w:val="-45"/>
        </w:rPr>
        <w:t> </w:t>
      </w:r>
      <w:r>
        <w:rPr/>
        <w:t>de</w:t>
      </w:r>
      <w:r>
        <w:rPr>
          <w:spacing w:val="-46"/>
        </w:rPr>
        <w:t> </w:t>
      </w:r>
      <w:r>
        <w:rPr/>
        <w:t>salvaguardar</w:t>
      </w:r>
      <w:r>
        <w:rPr>
          <w:spacing w:val="-46"/>
        </w:rPr>
        <w:t> </w:t>
      </w:r>
      <w:r>
        <w:rPr/>
        <w:t>sua</w:t>
      </w:r>
      <w:r>
        <w:rPr>
          <w:spacing w:val="-45"/>
        </w:rPr>
        <w:t> </w:t>
      </w:r>
      <w:r>
        <w:rPr/>
        <w:t>capacidade</w:t>
      </w:r>
      <w:r>
        <w:rPr>
          <w:spacing w:val="-46"/>
        </w:rPr>
        <w:t> </w:t>
      </w:r>
      <w:r>
        <w:rPr/>
        <w:t>de</w:t>
      </w:r>
      <w:r>
        <w:rPr>
          <w:spacing w:val="-45"/>
        </w:rPr>
        <w:t> </w:t>
      </w:r>
      <w:r>
        <w:rPr/>
        <w:t>continuidade</w:t>
      </w:r>
      <w:r>
        <w:rPr>
          <w:spacing w:val="-46"/>
        </w:rPr>
        <w:t> </w:t>
      </w:r>
      <w:r>
        <w:rPr/>
        <w:t>para</w:t>
      </w:r>
      <w:r>
        <w:rPr>
          <w:spacing w:val="-46"/>
        </w:rPr>
        <w:t> </w:t>
      </w:r>
      <w:r>
        <w:rPr/>
        <w:t>oferecer retorno</w:t>
      </w:r>
      <w:r>
        <w:rPr>
          <w:spacing w:val="-41"/>
        </w:rPr>
        <w:t> </w:t>
      </w:r>
      <w:r>
        <w:rPr/>
        <w:t>aos</w:t>
      </w:r>
      <w:r>
        <w:rPr>
          <w:spacing w:val="-39"/>
        </w:rPr>
        <w:t> </w:t>
      </w:r>
      <w:r>
        <w:rPr/>
        <w:t>acionistas</w:t>
      </w:r>
      <w:r>
        <w:rPr>
          <w:spacing w:val="-39"/>
        </w:rPr>
        <w:t> </w:t>
      </w:r>
      <w:r>
        <w:rPr/>
        <w:t>e</w:t>
      </w:r>
      <w:r>
        <w:rPr>
          <w:spacing w:val="-39"/>
        </w:rPr>
        <w:t> </w:t>
      </w:r>
      <w:r>
        <w:rPr/>
        <w:t>benefícios</w:t>
      </w:r>
      <w:r>
        <w:rPr>
          <w:spacing w:val="-40"/>
        </w:rPr>
        <w:t> </w:t>
      </w:r>
      <w:r>
        <w:rPr/>
        <w:t>às</w:t>
      </w:r>
      <w:r>
        <w:rPr>
          <w:spacing w:val="-40"/>
        </w:rPr>
        <w:t> </w:t>
      </w:r>
      <w:r>
        <w:rPr/>
        <w:t>outras</w:t>
      </w:r>
      <w:r>
        <w:rPr>
          <w:spacing w:val="-39"/>
        </w:rPr>
        <w:t> </w:t>
      </w:r>
      <w:r>
        <w:rPr/>
        <w:t>partes</w:t>
      </w:r>
      <w:r>
        <w:rPr>
          <w:spacing w:val="-40"/>
        </w:rPr>
        <w:t> </w:t>
      </w:r>
      <w:r>
        <w:rPr/>
        <w:t>interessadas,</w:t>
      </w:r>
      <w:r>
        <w:rPr>
          <w:spacing w:val="-41"/>
        </w:rPr>
        <w:t> </w:t>
      </w:r>
      <w:r>
        <w:rPr/>
        <w:t>além</w:t>
      </w:r>
      <w:r>
        <w:rPr>
          <w:spacing w:val="-40"/>
        </w:rPr>
        <w:t> </w:t>
      </w:r>
      <w:r>
        <w:rPr/>
        <w:t>de</w:t>
      </w:r>
      <w:r>
        <w:rPr>
          <w:spacing w:val="-40"/>
        </w:rPr>
        <w:t> </w:t>
      </w:r>
      <w:r>
        <w:rPr/>
        <w:t>manter</w:t>
      </w:r>
      <w:r>
        <w:rPr>
          <w:spacing w:val="-40"/>
        </w:rPr>
        <w:t> </w:t>
      </w:r>
      <w:r>
        <w:rPr/>
        <w:t>uma</w:t>
      </w:r>
      <w:r>
        <w:rPr>
          <w:spacing w:val="-40"/>
        </w:rPr>
        <w:t> </w:t>
      </w:r>
      <w:r>
        <w:rPr/>
        <w:t>estrutura</w:t>
      </w:r>
      <w:r>
        <w:rPr>
          <w:spacing w:val="-40"/>
        </w:rPr>
        <w:t> </w:t>
      </w:r>
      <w:r>
        <w:rPr/>
        <w:t>de</w:t>
      </w:r>
      <w:r>
        <w:rPr>
          <w:spacing w:val="-40"/>
        </w:rPr>
        <w:t> </w:t>
      </w:r>
      <w:r>
        <w:rPr/>
        <w:t>capital</w:t>
      </w:r>
      <w:r>
        <w:rPr>
          <w:spacing w:val="-40"/>
        </w:rPr>
        <w:t> </w:t>
      </w:r>
      <w:r>
        <w:rPr/>
        <w:t>ideal</w:t>
      </w:r>
      <w:r>
        <w:rPr>
          <w:spacing w:val="-40"/>
        </w:rPr>
        <w:t> </w:t>
      </w:r>
      <w:r>
        <w:rPr/>
        <w:t>para reduzir esse</w:t>
      </w:r>
      <w:r>
        <w:rPr>
          <w:spacing w:val="-33"/>
        </w:rPr>
        <w:t> </w:t>
      </w:r>
      <w:r>
        <w:rPr/>
        <w:t>custo.</w:t>
      </w:r>
    </w:p>
    <w:p>
      <w:pPr>
        <w:pStyle w:val="BodyText"/>
        <w:spacing w:before="8"/>
      </w:pPr>
    </w:p>
    <w:p>
      <w:pPr>
        <w:pStyle w:val="BodyText"/>
        <w:spacing w:line="247" w:lineRule="auto"/>
        <w:ind w:left="172" w:right="414"/>
        <w:jc w:val="both"/>
      </w:pPr>
      <w:r>
        <w:rPr/>
        <w:t>Para</w:t>
      </w:r>
      <w:r>
        <w:rPr>
          <w:spacing w:val="-30"/>
        </w:rPr>
        <w:t> </w:t>
      </w:r>
      <w:r>
        <w:rPr/>
        <w:t>manter</w:t>
      </w:r>
      <w:r>
        <w:rPr>
          <w:spacing w:val="-29"/>
        </w:rPr>
        <w:t> </w:t>
      </w:r>
      <w:r>
        <w:rPr/>
        <w:t>ou</w:t>
      </w:r>
      <w:r>
        <w:rPr>
          <w:spacing w:val="-28"/>
        </w:rPr>
        <w:t> </w:t>
      </w:r>
      <w:r>
        <w:rPr/>
        <w:t>ajustar</w:t>
      </w:r>
      <w:r>
        <w:rPr>
          <w:spacing w:val="-29"/>
        </w:rPr>
        <w:t> </w:t>
      </w:r>
      <w:r>
        <w:rPr/>
        <w:t>a</w:t>
      </w:r>
      <w:r>
        <w:rPr>
          <w:spacing w:val="-29"/>
        </w:rPr>
        <w:t> </w:t>
      </w:r>
      <w:r>
        <w:rPr/>
        <w:t>estrutura</w:t>
      </w:r>
      <w:r>
        <w:rPr>
          <w:spacing w:val="-28"/>
        </w:rPr>
        <w:t> </w:t>
      </w:r>
      <w:r>
        <w:rPr/>
        <w:t>de</w:t>
      </w:r>
      <w:r>
        <w:rPr>
          <w:spacing w:val="-31"/>
        </w:rPr>
        <w:t> </w:t>
      </w:r>
      <w:r>
        <w:rPr/>
        <w:t>capital</w:t>
      </w:r>
      <w:r>
        <w:rPr>
          <w:spacing w:val="-30"/>
        </w:rPr>
        <w:t> </w:t>
      </w:r>
      <w:r>
        <w:rPr/>
        <w:t>do</w:t>
      </w:r>
      <w:r>
        <w:rPr>
          <w:spacing w:val="-29"/>
        </w:rPr>
        <w:t> </w:t>
      </w:r>
      <w:r>
        <w:rPr/>
        <w:t>Grupo,</w:t>
      </w:r>
      <w:r>
        <w:rPr>
          <w:spacing w:val="-27"/>
        </w:rPr>
        <w:t> </w:t>
      </w:r>
      <w:r>
        <w:rPr/>
        <w:t>a</w:t>
      </w:r>
      <w:r>
        <w:rPr>
          <w:spacing w:val="-30"/>
        </w:rPr>
        <w:t> </w:t>
      </w:r>
      <w:r>
        <w:rPr/>
        <w:t>Administração</w:t>
      </w:r>
      <w:r>
        <w:rPr>
          <w:spacing w:val="-29"/>
        </w:rPr>
        <w:t> </w:t>
      </w:r>
      <w:r>
        <w:rPr/>
        <w:t>pode</w:t>
      </w:r>
      <w:r>
        <w:rPr>
          <w:spacing w:val="-29"/>
        </w:rPr>
        <w:t> </w:t>
      </w:r>
      <w:r>
        <w:rPr/>
        <w:t>propor,</w:t>
      </w:r>
      <w:r>
        <w:rPr>
          <w:spacing w:val="-29"/>
        </w:rPr>
        <w:t> </w:t>
      </w:r>
      <w:r>
        <w:rPr/>
        <w:t>nos</w:t>
      </w:r>
      <w:r>
        <w:rPr>
          <w:spacing w:val="-29"/>
        </w:rPr>
        <w:t> </w:t>
      </w:r>
      <w:r>
        <w:rPr/>
        <w:t>casos</w:t>
      </w:r>
      <w:r>
        <w:rPr>
          <w:spacing w:val="-28"/>
        </w:rPr>
        <w:t> </w:t>
      </w:r>
      <w:r>
        <w:rPr/>
        <w:t>em</w:t>
      </w:r>
      <w:r>
        <w:rPr>
          <w:spacing w:val="-29"/>
        </w:rPr>
        <w:t> </w:t>
      </w:r>
      <w:r>
        <w:rPr/>
        <w:t>que</w:t>
      </w:r>
      <w:r>
        <w:rPr>
          <w:spacing w:val="-30"/>
        </w:rPr>
        <w:t> </w:t>
      </w:r>
      <w:r>
        <w:rPr/>
        <w:t>precisar</w:t>
      </w:r>
      <w:r>
        <w:rPr>
          <w:spacing w:val="-29"/>
        </w:rPr>
        <w:t> </w:t>
      </w:r>
      <w:r>
        <w:rPr/>
        <w:t>da aprovação</w:t>
      </w:r>
      <w:r>
        <w:rPr>
          <w:spacing w:val="-21"/>
        </w:rPr>
        <w:t> </w:t>
      </w:r>
      <w:r>
        <w:rPr/>
        <w:t>dos</w:t>
      </w:r>
      <w:r>
        <w:rPr>
          <w:spacing w:val="-20"/>
        </w:rPr>
        <w:t> </w:t>
      </w:r>
      <w:r>
        <w:rPr/>
        <w:t>acionistas,</w:t>
      </w:r>
      <w:r>
        <w:rPr>
          <w:spacing w:val="-20"/>
        </w:rPr>
        <w:t> </w:t>
      </w:r>
      <w:r>
        <w:rPr/>
        <w:t>rever</w:t>
      </w:r>
      <w:r>
        <w:rPr>
          <w:spacing w:val="-20"/>
        </w:rPr>
        <w:t> </w:t>
      </w:r>
      <w:r>
        <w:rPr/>
        <w:t>a</w:t>
      </w:r>
      <w:r>
        <w:rPr>
          <w:spacing w:val="-20"/>
        </w:rPr>
        <w:t> </w:t>
      </w:r>
      <w:r>
        <w:rPr/>
        <w:t>política</w:t>
      </w:r>
      <w:r>
        <w:rPr>
          <w:spacing w:val="-19"/>
        </w:rPr>
        <w:t> </w:t>
      </w:r>
      <w:r>
        <w:rPr/>
        <w:t>de</w:t>
      </w:r>
      <w:r>
        <w:rPr>
          <w:spacing w:val="-22"/>
        </w:rPr>
        <w:t> </w:t>
      </w:r>
      <w:r>
        <w:rPr/>
        <w:t>pagamento</w:t>
      </w:r>
      <w:r>
        <w:rPr>
          <w:spacing w:val="-20"/>
        </w:rPr>
        <w:t> </w:t>
      </w:r>
      <w:r>
        <w:rPr/>
        <w:t>de</w:t>
      </w:r>
      <w:r>
        <w:rPr>
          <w:spacing w:val="-19"/>
        </w:rPr>
        <w:t> </w:t>
      </w:r>
      <w:r>
        <w:rPr/>
        <w:t>dividendos,</w:t>
      </w:r>
      <w:r>
        <w:rPr>
          <w:spacing w:val="-20"/>
        </w:rPr>
        <w:t> </w:t>
      </w:r>
      <w:r>
        <w:rPr/>
        <w:t>devolver</w:t>
      </w:r>
      <w:r>
        <w:rPr>
          <w:spacing w:val="-21"/>
        </w:rPr>
        <w:t> </w:t>
      </w:r>
      <w:r>
        <w:rPr/>
        <w:t>capital</w:t>
      </w:r>
      <w:r>
        <w:rPr>
          <w:spacing w:val="-20"/>
        </w:rPr>
        <w:t> </w:t>
      </w:r>
      <w:r>
        <w:rPr/>
        <w:t>aos</w:t>
      </w:r>
      <w:r>
        <w:rPr>
          <w:spacing w:val="-20"/>
        </w:rPr>
        <w:t> </w:t>
      </w:r>
      <w:r>
        <w:rPr/>
        <w:t>acionistas</w:t>
      </w:r>
      <w:r>
        <w:rPr>
          <w:spacing w:val="-20"/>
        </w:rPr>
        <w:t> </w:t>
      </w:r>
      <w:r>
        <w:rPr/>
        <w:t>ou,</w:t>
      </w:r>
      <w:r>
        <w:rPr>
          <w:spacing w:val="-20"/>
        </w:rPr>
        <w:t> </w:t>
      </w:r>
      <w:r>
        <w:rPr/>
        <w:t>ainda, emitir</w:t>
      </w:r>
      <w:r>
        <w:rPr>
          <w:spacing w:val="-21"/>
        </w:rPr>
        <w:t> </w:t>
      </w:r>
      <w:r>
        <w:rPr/>
        <w:t>novas</w:t>
      </w:r>
      <w:r>
        <w:rPr>
          <w:spacing w:val="-22"/>
        </w:rPr>
        <w:t> </w:t>
      </w:r>
      <w:r>
        <w:rPr/>
        <w:t>ações</w:t>
      </w:r>
      <w:r>
        <w:rPr>
          <w:spacing w:val="-20"/>
        </w:rPr>
        <w:t> </w:t>
      </w:r>
      <w:r>
        <w:rPr/>
        <w:t>ou</w:t>
      </w:r>
      <w:r>
        <w:rPr>
          <w:spacing w:val="-22"/>
        </w:rPr>
        <w:t> </w:t>
      </w:r>
      <w:r>
        <w:rPr/>
        <w:t>vender</w:t>
      </w:r>
      <w:r>
        <w:rPr>
          <w:spacing w:val="-22"/>
        </w:rPr>
        <w:t> </w:t>
      </w:r>
      <w:r>
        <w:rPr/>
        <w:t>ativos</w:t>
      </w:r>
      <w:r>
        <w:rPr>
          <w:spacing w:val="-20"/>
        </w:rPr>
        <w:t> </w:t>
      </w:r>
      <w:r>
        <w:rPr/>
        <w:t>para</w:t>
      </w:r>
      <w:r>
        <w:rPr>
          <w:spacing w:val="-22"/>
        </w:rPr>
        <w:t> </w:t>
      </w:r>
      <w:r>
        <w:rPr/>
        <w:t>reduzir,</w:t>
      </w:r>
      <w:r>
        <w:rPr>
          <w:spacing w:val="-22"/>
        </w:rPr>
        <w:t> </w:t>
      </w:r>
      <w:r>
        <w:rPr/>
        <w:t>por</w:t>
      </w:r>
      <w:r>
        <w:rPr>
          <w:spacing w:val="-21"/>
        </w:rPr>
        <w:t> </w:t>
      </w:r>
      <w:r>
        <w:rPr/>
        <w:t>exemplo,</w:t>
      </w:r>
      <w:r>
        <w:rPr>
          <w:spacing w:val="-20"/>
        </w:rPr>
        <w:t> </w:t>
      </w:r>
      <w:r>
        <w:rPr/>
        <w:t>o</w:t>
      </w:r>
      <w:r>
        <w:rPr>
          <w:spacing w:val="-20"/>
        </w:rPr>
        <w:t> </w:t>
      </w:r>
      <w:r>
        <w:rPr/>
        <w:t>nível</w:t>
      </w:r>
      <w:r>
        <w:rPr>
          <w:spacing w:val="-21"/>
        </w:rPr>
        <w:t> </w:t>
      </w:r>
      <w:r>
        <w:rPr/>
        <w:t>de</w:t>
      </w:r>
      <w:r>
        <w:rPr>
          <w:spacing w:val="-22"/>
        </w:rPr>
        <w:t> </w:t>
      </w:r>
      <w:r>
        <w:rPr/>
        <w:t>endividamento.</w:t>
      </w:r>
    </w:p>
    <w:p>
      <w:pPr>
        <w:pStyle w:val="BodyText"/>
        <w:spacing w:before="7"/>
      </w:pPr>
    </w:p>
    <w:p>
      <w:pPr>
        <w:pStyle w:val="BodyText"/>
        <w:spacing w:line="247" w:lineRule="auto" w:before="1"/>
        <w:ind w:left="172" w:right="410"/>
        <w:jc w:val="both"/>
      </w:pPr>
      <w:r>
        <w:rPr/>
        <w:t>O</w:t>
      </w:r>
      <w:r>
        <w:rPr>
          <w:spacing w:val="-31"/>
        </w:rPr>
        <w:t> </w:t>
      </w:r>
      <w:r>
        <w:rPr/>
        <w:t>Grupo</w:t>
      </w:r>
      <w:r>
        <w:rPr>
          <w:spacing w:val="-29"/>
        </w:rPr>
        <w:t> </w:t>
      </w:r>
      <w:r>
        <w:rPr/>
        <w:t>monitora</w:t>
      </w:r>
      <w:r>
        <w:rPr>
          <w:spacing w:val="-28"/>
        </w:rPr>
        <w:t> </w:t>
      </w:r>
      <w:r>
        <w:rPr/>
        <w:t>o</w:t>
      </w:r>
      <w:r>
        <w:rPr>
          <w:spacing w:val="-31"/>
        </w:rPr>
        <w:t> </w:t>
      </w:r>
      <w:r>
        <w:rPr/>
        <w:t>capital</w:t>
      </w:r>
      <w:r>
        <w:rPr>
          <w:spacing w:val="-28"/>
        </w:rPr>
        <w:t> </w:t>
      </w:r>
      <w:r>
        <w:rPr/>
        <w:t>com</w:t>
      </w:r>
      <w:r>
        <w:rPr>
          <w:spacing w:val="-30"/>
        </w:rPr>
        <w:t> </w:t>
      </w:r>
      <w:r>
        <w:rPr/>
        <w:t>base</w:t>
      </w:r>
      <w:r>
        <w:rPr>
          <w:spacing w:val="-31"/>
        </w:rPr>
        <w:t> </w:t>
      </w:r>
      <w:r>
        <w:rPr/>
        <w:t>no</w:t>
      </w:r>
      <w:r>
        <w:rPr>
          <w:spacing w:val="-30"/>
        </w:rPr>
        <w:t> </w:t>
      </w:r>
      <w:r>
        <w:rPr/>
        <w:t>índice</w:t>
      </w:r>
      <w:r>
        <w:rPr>
          <w:spacing w:val="-31"/>
        </w:rPr>
        <w:t> </w:t>
      </w:r>
      <w:r>
        <w:rPr/>
        <w:t>de</w:t>
      </w:r>
      <w:r>
        <w:rPr>
          <w:spacing w:val="-32"/>
        </w:rPr>
        <w:t> </w:t>
      </w:r>
      <w:r>
        <w:rPr/>
        <w:t>alavancagem</w:t>
      </w:r>
      <w:r>
        <w:rPr>
          <w:spacing w:val="-29"/>
        </w:rPr>
        <w:t> </w:t>
      </w:r>
      <w:r>
        <w:rPr/>
        <w:t>financeira.</w:t>
      </w:r>
      <w:r>
        <w:rPr>
          <w:spacing w:val="-30"/>
        </w:rPr>
        <w:t> </w:t>
      </w:r>
      <w:r>
        <w:rPr/>
        <w:t>Esse</w:t>
      </w:r>
      <w:r>
        <w:rPr>
          <w:spacing w:val="-30"/>
        </w:rPr>
        <w:t> </w:t>
      </w:r>
      <w:r>
        <w:rPr/>
        <w:t>índice</w:t>
      </w:r>
      <w:r>
        <w:rPr>
          <w:spacing w:val="-31"/>
        </w:rPr>
        <w:t> </w:t>
      </w:r>
      <w:r>
        <w:rPr/>
        <w:t>corresponde</w:t>
      </w:r>
      <w:r>
        <w:rPr>
          <w:spacing w:val="-30"/>
        </w:rPr>
        <w:t> </w:t>
      </w:r>
      <w:r>
        <w:rPr/>
        <w:t>à</w:t>
      </w:r>
      <w:r>
        <w:rPr>
          <w:spacing w:val="-30"/>
        </w:rPr>
        <w:t> </w:t>
      </w:r>
      <w:r>
        <w:rPr/>
        <w:t>dívida</w:t>
      </w:r>
      <w:r>
        <w:rPr>
          <w:spacing w:val="-29"/>
        </w:rPr>
        <w:t> </w:t>
      </w:r>
      <w:r>
        <w:rPr/>
        <w:t>líquida expressa</w:t>
      </w:r>
      <w:r>
        <w:rPr>
          <w:spacing w:val="-4"/>
        </w:rPr>
        <w:t> </w:t>
      </w:r>
      <w:r>
        <w:rPr/>
        <w:t>como</w:t>
      </w:r>
      <w:r>
        <w:rPr>
          <w:spacing w:val="-4"/>
        </w:rPr>
        <w:t> </w:t>
      </w:r>
      <w:r>
        <w:rPr/>
        <w:t>percentual</w:t>
      </w:r>
      <w:r>
        <w:rPr>
          <w:spacing w:val="-2"/>
        </w:rPr>
        <w:t> </w:t>
      </w:r>
      <w:r>
        <w:rPr/>
        <w:t>do</w:t>
      </w:r>
      <w:r>
        <w:rPr>
          <w:spacing w:val="-5"/>
        </w:rPr>
        <w:t> </w:t>
      </w:r>
      <w:r>
        <w:rPr/>
        <w:t>capital</w:t>
      </w:r>
      <w:r>
        <w:rPr>
          <w:spacing w:val="-3"/>
        </w:rPr>
        <w:t> </w:t>
      </w:r>
      <w:r>
        <w:rPr/>
        <w:t>total.</w:t>
      </w:r>
      <w:r>
        <w:rPr>
          <w:spacing w:val="-5"/>
        </w:rPr>
        <w:t> </w:t>
      </w:r>
      <w:r>
        <w:rPr/>
        <w:t>A</w:t>
      </w:r>
      <w:r>
        <w:rPr>
          <w:spacing w:val="-3"/>
        </w:rPr>
        <w:t> </w:t>
      </w:r>
      <w:r>
        <w:rPr/>
        <w:t>dívida</w:t>
      </w:r>
      <w:r>
        <w:rPr>
          <w:spacing w:val="-4"/>
        </w:rPr>
        <w:t> </w:t>
      </w:r>
      <w:r>
        <w:rPr/>
        <w:t>líquida,</w:t>
      </w:r>
      <w:r>
        <w:rPr>
          <w:spacing w:val="-3"/>
        </w:rPr>
        <w:t> </w:t>
      </w:r>
      <w:r>
        <w:rPr/>
        <w:t>por</w:t>
      </w:r>
      <w:r>
        <w:rPr>
          <w:spacing w:val="-5"/>
        </w:rPr>
        <w:t> </w:t>
      </w:r>
      <w:r>
        <w:rPr/>
        <w:t>sua</w:t>
      </w:r>
      <w:r>
        <w:rPr>
          <w:spacing w:val="-4"/>
        </w:rPr>
        <w:t> </w:t>
      </w:r>
      <w:r>
        <w:rPr/>
        <w:t>vez,</w:t>
      </w:r>
      <w:r>
        <w:rPr>
          <w:spacing w:val="-3"/>
        </w:rPr>
        <w:t> </w:t>
      </w:r>
      <w:r>
        <w:rPr/>
        <w:t>corresponde</w:t>
      </w:r>
      <w:r>
        <w:rPr>
          <w:spacing w:val="-5"/>
        </w:rPr>
        <w:t> </w:t>
      </w:r>
      <w:r>
        <w:rPr/>
        <w:t>ao</w:t>
      </w:r>
      <w:r>
        <w:rPr>
          <w:spacing w:val="-3"/>
        </w:rPr>
        <w:t> </w:t>
      </w:r>
      <w:r>
        <w:rPr/>
        <w:t>total</w:t>
      </w:r>
      <w:r>
        <w:rPr>
          <w:spacing w:val="-4"/>
        </w:rPr>
        <w:t> </w:t>
      </w:r>
      <w:r>
        <w:rPr/>
        <w:t>de</w:t>
      </w:r>
      <w:r>
        <w:rPr>
          <w:spacing w:val="-4"/>
        </w:rPr>
        <w:t> </w:t>
      </w:r>
      <w:r>
        <w:rPr/>
        <w:t>empréstimos (incluindo</w:t>
      </w:r>
      <w:r>
        <w:rPr>
          <w:spacing w:val="-10"/>
        </w:rPr>
        <w:t> </w:t>
      </w:r>
      <w:r>
        <w:rPr/>
        <w:t>empréstimos</w:t>
      </w:r>
      <w:r>
        <w:rPr>
          <w:spacing w:val="-11"/>
        </w:rPr>
        <w:t> </w:t>
      </w:r>
      <w:r>
        <w:rPr/>
        <w:t>de</w:t>
      </w:r>
      <w:r>
        <w:rPr>
          <w:spacing w:val="-11"/>
        </w:rPr>
        <w:t> </w:t>
      </w:r>
      <w:r>
        <w:rPr/>
        <w:t>curtos</w:t>
      </w:r>
      <w:r>
        <w:rPr>
          <w:spacing w:val="-11"/>
        </w:rPr>
        <w:t> </w:t>
      </w:r>
      <w:r>
        <w:rPr/>
        <w:t>e</w:t>
      </w:r>
      <w:r>
        <w:rPr>
          <w:spacing w:val="-13"/>
        </w:rPr>
        <w:t> </w:t>
      </w:r>
      <w:r>
        <w:rPr/>
        <w:t>longos</w:t>
      </w:r>
      <w:r>
        <w:rPr>
          <w:spacing w:val="-11"/>
        </w:rPr>
        <w:t> </w:t>
      </w:r>
      <w:r>
        <w:rPr/>
        <w:t>prazos,</w:t>
      </w:r>
      <w:r>
        <w:rPr>
          <w:spacing w:val="-12"/>
        </w:rPr>
        <w:t> </w:t>
      </w:r>
      <w:r>
        <w:rPr/>
        <w:t>conforme</w:t>
      </w:r>
      <w:r>
        <w:rPr>
          <w:spacing w:val="-12"/>
        </w:rPr>
        <w:t> </w:t>
      </w:r>
      <w:r>
        <w:rPr/>
        <w:t>demonstrado</w:t>
      </w:r>
      <w:r>
        <w:rPr>
          <w:spacing w:val="-10"/>
        </w:rPr>
        <w:t> </w:t>
      </w:r>
      <w:r>
        <w:rPr/>
        <w:t>no</w:t>
      </w:r>
      <w:r>
        <w:rPr>
          <w:spacing w:val="-10"/>
        </w:rPr>
        <w:t> </w:t>
      </w:r>
      <w:r>
        <w:rPr/>
        <w:t>balanço</w:t>
      </w:r>
      <w:r>
        <w:rPr>
          <w:spacing w:val="-12"/>
        </w:rPr>
        <w:t> </w:t>
      </w:r>
      <w:r>
        <w:rPr/>
        <w:t>patrimonial</w:t>
      </w:r>
      <w:r>
        <w:rPr>
          <w:spacing w:val="-11"/>
        </w:rPr>
        <w:t> </w:t>
      </w:r>
      <w:r>
        <w:rPr/>
        <w:t>consolidado), subtraído</w:t>
      </w:r>
      <w:r>
        <w:rPr>
          <w:spacing w:val="-20"/>
        </w:rPr>
        <w:t> </w:t>
      </w:r>
      <w:r>
        <w:rPr/>
        <w:t>do</w:t>
      </w:r>
      <w:r>
        <w:rPr>
          <w:spacing w:val="-20"/>
        </w:rPr>
        <w:t> </w:t>
      </w:r>
      <w:r>
        <w:rPr/>
        <w:t>montante</w:t>
      </w:r>
      <w:r>
        <w:rPr>
          <w:spacing w:val="-20"/>
        </w:rPr>
        <w:t> </w:t>
      </w:r>
      <w:r>
        <w:rPr/>
        <w:t>de</w:t>
      </w:r>
      <w:r>
        <w:rPr>
          <w:spacing w:val="-21"/>
        </w:rPr>
        <w:t> </w:t>
      </w:r>
      <w:r>
        <w:rPr/>
        <w:t>caixa</w:t>
      </w:r>
      <w:r>
        <w:rPr>
          <w:spacing w:val="-20"/>
        </w:rPr>
        <w:t> </w:t>
      </w:r>
      <w:r>
        <w:rPr/>
        <w:t>e</w:t>
      </w:r>
      <w:r>
        <w:rPr>
          <w:spacing w:val="-19"/>
        </w:rPr>
        <w:t> </w:t>
      </w:r>
      <w:r>
        <w:rPr/>
        <w:t>equivalentes</w:t>
      </w:r>
      <w:r>
        <w:rPr>
          <w:spacing w:val="-19"/>
        </w:rPr>
        <w:t> </w:t>
      </w:r>
      <w:r>
        <w:rPr/>
        <w:t>de</w:t>
      </w:r>
      <w:r>
        <w:rPr>
          <w:spacing w:val="-21"/>
        </w:rPr>
        <w:t> </w:t>
      </w:r>
      <w:r>
        <w:rPr/>
        <w:t>caixa.</w:t>
      </w:r>
      <w:r>
        <w:rPr>
          <w:spacing w:val="-21"/>
        </w:rPr>
        <w:t> </w:t>
      </w:r>
      <w:r>
        <w:rPr/>
        <w:t>O</w:t>
      </w:r>
      <w:r>
        <w:rPr>
          <w:spacing w:val="-20"/>
        </w:rPr>
        <w:t> </w:t>
      </w:r>
      <w:r>
        <w:rPr/>
        <w:t>capital</w:t>
      </w:r>
      <w:r>
        <w:rPr>
          <w:spacing w:val="-19"/>
        </w:rPr>
        <w:t> </w:t>
      </w:r>
      <w:r>
        <w:rPr/>
        <w:t>total</w:t>
      </w:r>
      <w:r>
        <w:rPr>
          <w:spacing w:val="-19"/>
        </w:rPr>
        <w:t> </w:t>
      </w:r>
      <w:r>
        <w:rPr/>
        <w:t>é</w:t>
      </w:r>
      <w:r>
        <w:rPr>
          <w:spacing w:val="-21"/>
        </w:rPr>
        <w:t> </w:t>
      </w:r>
      <w:r>
        <w:rPr/>
        <w:t>apurado</w:t>
      </w:r>
      <w:r>
        <w:rPr>
          <w:spacing w:val="-20"/>
        </w:rPr>
        <w:t> </w:t>
      </w:r>
      <w:r>
        <w:rPr/>
        <w:t>através</w:t>
      </w:r>
      <w:r>
        <w:rPr>
          <w:spacing w:val="-20"/>
        </w:rPr>
        <w:t> </w:t>
      </w:r>
      <w:r>
        <w:rPr/>
        <w:t>da</w:t>
      </w:r>
      <w:r>
        <w:rPr>
          <w:spacing w:val="-20"/>
        </w:rPr>
        <w:t> </w:t>
      </w:r>
      <w:r>
        <w:rPr/>
        <w:t>soma</w:t>
      </w:r>
      <w:r>
        <w:rPr>
          <w:spacing w:val="-21"/>
        </w:rPr>
        <w:t> </w:t>
      </w:r>
      <w:r>
        <w:rPr/>
        <w:t>do</w:t>
      </w:r>
      <w:r>
        <w:rPr>
          <w:spacing w:val="-19"/>
        </w:rPr>
        <w:t> </w:t>
      </w:r>
      <w:r>
        <w:rPr/>
        <w:t>patrimônio líquido,</w:t>
      </w:r>
      <w:r>
        <w:rPr>
          <w:spacing w:val="-23"/>
        </w:rPr>
        <w:t> </w:t>
      </w:r>
      <w:r>
        <w:rPr/>
        <w:t>conforme</w:t>
      </w:r>
      <w:r>
        <w:rPr>
          <w:spacing w:val="-24"/>
        </w:rPr>
        <w:t> </w:t>
      </w:r>
      <w:r>
        <w:rPr/>
        <w:t>demonstrado</w:t>
      </w:r>
      <w:r>
        <w:rPr>
          <w:spacing w:val="-23"/>
        </w:rPr>
        <w:t> </w:t>
      </w:r>
      <w:r>
        <w:rPr/>
        <w:t>no</w:t>
      </w:r>
      <w:r>
        <w:rPr>
          <w:spacing w:val="-20"/>
        </w:rPr>
        <w:t> </w:t>
      </w:r>
      <w:r>
        <w:rPr/>
        <w:t>balanço</w:t>
      </w:r>
      <w:r>
        <w:rPr>
          <w:spacing w:val="-23"/>
        </w:rPr>
        <w:t> </w:t>
      </w:r>
      <w:r>
        <w:rPr/>
        <w:t>patrimonial</w:t>
      </w:r>
      <w:r>
        <w:rPr>
          <w:spacing w:val="-20"/>
        </w:rPr>
        <w:t> </w:t>
      </w:r>
      <w:r>
        <w:rPr/>
        <w:t>consolidado,</w:t>
      </w:r>
      <w:r>
        <w:rPr>
          <w:spacing w:val="-22"/>
        </w:rPr>
        <w:t> </w:t>
      </w:r>
      <w:r>
        <w:rPr/>
        <w:t>com</w:t>
      </w:r>
      <w:r>
        <w:rPr>
          <w:spacing w:val="-22"/>
        </w:rPr>
        <w:t> </w:t>
      </w:r>
      <w:r>
        <w:rPr/>
        <w:t>a</w:t>
      </w:r>
      <w:r>
        <w:rPr>
          <w:spacing w:val="-22"/>
        </w:rPr>
        <w:t> </w:t>
      </w:r>
      <w:r>
        <w:rPr/>
        <w:t>dívida</w:t>
      </w:r>
      <w:r>
        <w:rPr>
          <w:spacing w:val="-22"/>
        </w:rPr>
        <w:t> </w:t>
      </w:r>
      <w:r>
        <w:rPr/>
        <w:t>líquida.</w:t>
      </w:r>
    </w:p>
    <w:p>
      <w:pPr>
        <w:pStyle w:val="BodyText"/>
        <w:spacing w:before="9"/>
      </w:pPr>
    </w:p>
    <w:p>
      <w:pPr>
        <w:pStyle w:val="BodyText"/>
        <w:spacing w:before="1"/>
        <w:ind w:left="172"/>
        <w:jc w:val="both"/>
      </w:pPr>
      <w:r>
        <w:rPr/>
        <w:t>Os índices de alavancagem financeira podem ser assim resumidos:</w:t>
      </w:r>
    </w:p>
    <w:p>
      <w:pPr>
        <w:pStyle w:val="BodyText"/>
        <w:spacing w:before="11"/>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05"/>
        <w:gridCol w:w="1440"/>
        <w:gridCol w:w="1438"/>
        <w:gridCol w:w="1433"/>
      </w:tblGrid>
      <w:tr>
        <w:trPr>
          <w:trHeight w:val="402" w:hRule="atLeast"/>
        </w:trPr>
        <w:tc>
          <w:tcPr>
            <w:tcW w:w="5605" w:type="dxa"/>
            <w:shd w:val="clear" w:color="auto" w:fill="D9D9D9"/>
          </w:tcPr>
          <w:p>
            <w:pPr>
              <w:pStyle w:val="TableParagraph"/>
              <w:rPr>
                <w:rFonts w:ascii="Times New Roman"/>
                <w:sz w:val="16"/>
              </w:rPr>
            </w:pPr>
          </w:p>
        </w:tc>
        <w:tc>
          <w:tcPr>
            <w:tcW w:w="1440" w:type="dxa"/>
          </w:tcPr>
          <w:p>
            <w:pPr>
              <w:pStyle w:val="TableParagraph"/>
              <w:spacing w:before="119"/>
              <w:ind w:left="319"/>
              <w:rPr>
                <w:rFonts w:ascii="Caladea"/>
                <w:b/>
                <w:sz w:val="14"/>
              </w:rPr>
            </w:pPr>
            <w:r>
              <w:rPr>
                <w:rFonts w:ascii="Caladea"/>
                <w:b/>
                <w:sz w:val="14"/>
              </w:rPr>
              <w:t>31/12/2019</w:t>
            </w:r>
          </w:p>
        </w:tc>
        <w:tc>
          <w:tcPr>
            <w:tcW w:w="1438" w:type="dxa"/>
          </w:tcPr>
          <w:p>
            <w:pPr>
              <w:pStyle w:val="TableParagraph"/>
              <w:spacing w:before="37"/>
              <w:ind w:left="317"/>
              <w:rPr>
                <w:rFonts w:ascii="Caladea"/>
                <w:b/>
                <w:sz w:val="14"/>
              </w:rPr>
            </w:pPr>
            <w:r>
              <w:rPr>
                <w:rFonts w:ascii="Caladea"/>
                <w:b/>
                <w:sz w:val="14"/>
              </w:rPr>
              <w:t>31/12/2018</w:t>
            </w:r>
          </w:p>
          <w:p>
            <w:pPr>
              <w:pStyle w:val="TableParagraph"/>
              <w:spacing w:before="1"/>
              <w:ind w:left="266"/>
              <w:rPr>
                <w:sz w:val="14"/>
              </w:rPr>
            </w:pPr>
            <w:r>
              <w:rPr>
                <w:sz w:val="14"/>
              </w:rPr>
              <w:t>Reapresentado</w:t>
            </w:r>
          </w:p>
        </w:tc>
        <w:tc>
          <w:tcPr>
            <w:tcW w:w="1433" w:type="dxa"/>
          </w:tcPr>
          <w:p>
            <w:pPr>
              <w:pStyle w:val="TableParagraph"/>
              <w:spacing w:before="37"/>
              <w:ind w:left="314"/>
              <w:rPr>
                <w:rFonts w:ascii="Caladea"/>
                <w:b/>
                <w:sz w:val="14"/>
              </w:rPr>
            </w:pPr>
            <w:r>
              <w:rPr>
                <w:rFonts w:ascii="Caladea"/>
                <w:b/>
                <w:sz w:val="14"/>
              </w:rPr>
              <w:t>01/01/2018</w:t>
            </w:r>
          </w:p>
          <w:p>
            <w:pPr>
              <w:pStyle w:val="TableParagraph"/>
              <w:spacing w:before="1"/>
              <w:ind w:left="266"/>
              <w:rPr>
                <w:sz w:val="14"/>
              </w:rPr>
            </w:pPr>
            <w:r>
              <w:rPr>
                <w:sz w:val="14"/>
              </w:rPr>
              <w:t>Reapresentado</w:t>
            </w:r>
          </w:p>
        </w:tc>
      </w:tr>
      <w:tr>
        <w:trPr>
          <w:trHeight w:val="239" w:hRule="atLeast"/>
        </w:trPr>
        <w:tc>
          <w:tcPr>
            <w:tcW w:w="5605" w:type="dxa"/>
          </w:tcPr>
          <w:p>
            <w:pPr>
              <w:pStyle w:val="TableParagraph"/>
              <w:spacing w:before="38"/>
              <w:ind w:left="72"/>
              <w:rPr>
                <w:sz w:val="14"/>
              </w:rPr>
            </w:pPr>
            <w:r>
              <w:rPr>
                <w:sz w:val="14"/>
              </w:rPr>
              <w:t>Total dos Empréstimos e Financiamento/Debêntures (Notas Explicativas nº</w:t>
            </w:r>
            <w:r>
              <w:rPr>
                <w:position w:val="3"/>
                <w:sz w:val="9"/>
              </w:rPr>
              <w:t>s </w:t>
            </w:r>
            <w:r>
              <w:rPr>
                <w:sz w:val="14"/>
              </w:rPr>
              <w:t>21 e 22)</w:t>
            </w:r>
          </w:p>
        </w:tc>
        <w:tc>
          <w:tcPr>
            <w:tcW w:w="1440" w:type="dxa"/>
          </w:tcPr>
          <w:p>
            <w:pPr>
              <w:pStyle w:val="TableParagraph"/>
              <w:spacing w:before="38"/>
              <w:ind w:right="59"/>
              <w:jc w:val="right"/>
              <w:rPr>
                <w:sz w:val="14"/>
              </w:rPr>
            </w:pPr>
            <w:r>
              <w:rPr>
                <w:w w:val="95"/>
                <w:sz w:val="14"/>
              </w:rPr>
              <w:t>502.175</w:t>
            </w:r>
          </w:p>
        </w:tc>
        <w:tc>
          <w:tcPr>
            <w:tcW w:w="1438" w:type="dxa"/>
          </w:tcPr>
          <w:p>
            <w:pPr>
              <w:pStyle w:val="TableParagraph"/>
              <w:spacing w:before="38"/>
              <w:ind w:right="59"/>
              <w:jc w:val="right"/>
              <w:rPr>
                <w:sz w:val="14"/>
              </w:rPr>
            </w:pPr>
            <w:r>
              <w:rPr>
                <w:w w:val="95"/>
                <w:sz w:val="14"/>
              </w:rPr>
              <w:t>537.060</w:t>
            </w:r>
          </w:p>
        </w:tc>
        <w:tc>
          <w:tcPr>
            <w:tcW w:w="1433" w:type="dxa"/>
          </w:tcPr>
          <w:p>
            <w:pPr>
              <w:pStyle w:val="TableParagraph"/>
              <w:spacing w:before="38"/>
              <w:ind w:right="59"/>
              <w:jc w:val="right"/>
              <w:rPr>
                <w:sz w:val="14"/>
              </w:rPr>
            </w:pPr>
            <w:r>
              <w:rPr>
                <w:w w:val="95"/>
                <w:sz w:val="14"/>
              </w:rPr>
              <w:t>506.970</w:t>
            </w:r>
          </w:p>
        </w:tc>
      </w:tr>
      <w:tr>
        <w:trPr>
          <w:trHeight w:val="237" w:hRule="atLeast"/>
        </w:trPr>
        <w:tc>
          <w:tcPr>
            <w:tcW w:w="5605" w:type="dxa"/>
          </w:tcPr>
          <w:p>
            <w:pPr>
              <w:pStyle w:val="TableParagraph"/>
              <w:spacing w:before="36"/>
              <w:ind w:left="72"/>
              <w:rPr>
                <w:sz w:val="14"/>
              </w:rPr>
            </w:pPr>
            <w:r>
              <w:rPr>
                <w:sz w:val="14"/>
              </w:rPr>
              <w:t>Menos: Caixa e Equivalentes de Caixa (Nota Explicativa nº 5)</w:t>
            </w:r>
          </w:p>
        </w:tc>
        <w:tc>
          <w:tcPr>
            <w:tcW w:w="1440" w:type="dxa"/>
          </w:tcPr>
          <w:p>
            <w:pPr>
              <w:pStyle w:val="TableParagraph"/>
              <w:spacing w:before="36"/>
              <w:ind w:right="59"/>
              <w:jc w:val="right"/>
              <w:rPr>
                <w:sz w:val="14"/>
              </w:rPr>
            </w:pPr>
            <w:r>
              <w:rPr>
                <w:sz w:val="14"/>
              </w:rPr>
              <w:t>(465.338)</w:t>
            </w:r>
          </w:p>
        </w:tc>
        <w:tc>
          <w:tcPr>
            <w:tcW w:w="1438" w:type="dxa"/>
          </w:tcPr>
          <w:p>
            <w:pPr>
              <w:pStyle w:val="TableParagraph"/>
              <w:spacing w:before="36"/>
              <w:ind w:right="59"/>
              <w:jc w:val="right"/>
              <w:rPr>
                <w:sz w:val="14"/>
              </w:rPr>
            </w:pPr>
            <w:r>
              <w:rPr>
                <w:sz w:val="14"/>
              </w:rPr>
              <w:t>(179.699)</w:t>
            </w:r>
          </w:p>
        </w:tc>
        <w:tc>
          <w:tcPr>
            <w:tcW w:w="1433" w:type="dxa"/>
          </w:tcPr>
          <w:p>
            <w:pPr>
              <w:pStyle w:val="TableParagraph"/>
              <w:spacing w:before="36"/>
              <w:ind w:right="59"/>
              <w:jc w:val="right"/>
              <w:rPr>
                <w:sz w:val="14"/>
              </w:rPr>
            </w:pPr>
            <w:r>
              <w:rPr>
                <w:sz w:val="14"/>
              </w:rPr>
              <w:t>(92.001)</w:t>
            </w:r>
          </w:p>
        </w:tc>
      </w:tr>
      <w:tr>
        <w:trPr>
          <w:trHeight w:val="237" w:hRule="atLeast"/>
        </w:trPr>
        <w:tc>
          <w:tcPr>
            <w:tcW w:w="5605" w:type="dxa"/>
          </w:tcPr>
          <w:p>
            <w:pPr>
              <w:pStyle w:val="TableParagraph"/>
              <w:spacing w:before="37"/>
              <w:ind w:left="72"/>
              <w:rPr>
                <w:rFonts w:ascii="Caladea" w:hAnsi="Caladea"/>
                <w:b/>
                <w:sz w:val="14"/>
              </w:rPr>
            </w:pPr>
            <w:r>
              <w:rPr>
                <w:rFonts w:ascii="Caladea" w:hAnsi="Caladea"/>
                <w:b/>
                <w:sz w:val="14"/>
              </w:rPr>
              <w:t>Dívida líquida</w:t>
            </w:r>
          </w:p>
        </w:tc>
        <w:tc>
          <w:tcPr>
            <w:tcW w:w="1440" w:type="dxa"/>
          </w:tcPr>
          <w:p>
            <w:pPr>
              <w:pStyle w:val="TableParagraph"/>
              <w:spacing w:before="37"/>
              <w:ind w:right="59"/>
              <w:jc w:val="right"/>
              <w:rPr>
                <w:rFonts w:ascii="Caladea"/>
                <w:b/>
                <w:sz w:val="14"/>
              </w:rPr>
            </w:pPr>
            <w:r>
              <w:rPr>
                <w:rFonts w:ascii="Caladea"/>
                <w:b/>
                <w:sz w:val="14"/>
              </w:rPr>
              <w:t>36.837</w:t>
            </w:r>
          </w:p>
        </w:tc>
        <w:tc>
          <w:tcPr>
            <w:tcW w:w="1438" w:type="dxa"/>
          </w:tcPr>
          <w:p>
            <w:pPr>
              <w:pStyle w:val="TableParagraph"/>
              <w:spacing w:before="37"/>
              <w:ind w:right="59"/>
              <w:jc w:val="right"/>
              <w:rPr>
                <w:rFonts w:ascii="Caladea"/>
                <w:b/>
                <w:sz w:val="14"/>
              </w:rPr>
            </w:pPr>
            <w:r>
              <w:rPr>
                <w:rFonts w:ascii="Caladea"/>
                <w:b/>
                <w:w w:val="95"/>
                <w:sz w:val="14"/>
              </w:rPr>
              <w:t>357.361</w:t>
            </w:r>
          </w:p>
        </w:tc>
        <w:tc>
          <w:tcPr>
            <w:tcW w:w="1433" w:type="dxa"/>
          </w:tcPr>
          <w:p>
            <w:pPr>
              <w:pStyle w:val="TableParagraph"/>
              <w:spacing w:before="37"/>
              <w:ind w:right="59"/>
              <w:jc w:val="right"/>
              <w:rPr>
                <w:rFonts w:ascii="Caladea"/>
                <w:b/>
                <w:sz w:val="14"/>
              </w:rPr>
            </w:pPr>
            <w:r>
              <w:rPr>
                <w:rFonts w:ascii="Caladea"/>
                <w:b/>
                <w:w w:val="95"/>
                <w:sz w:val="14"/>
              </w:rPr>
              <w:t>414.969</w:t>
            </w:r>
          </w:p>
        </w:tc>
      </w:tr>
      <w:tr>
        <w:trPr>
          <w:trHeight w:val="239" w:hRule="atLeast"/>
        </w:trPr>
        <w:tc>
          <w:tcPr>
            <w:tcW w:w="5605" w:type="dxa"/>
          </w:tcPr>
          <w:p>
            <w:pPr>
              <w:pStyle w:val="TableParagraph"/>
              <w:spacing w:before="38"/>
              <w:ind w:left="72"/>
              <w:rPr>
                <w:sz w:val="14"/>
              </w:rPr>
            </w:pPr>
            <w:r>
              <w:rPr>
                <w:sz w:val="14"/>
              </w:rPr>
              <w:t>Total do Patrimônio Líquido (Nota Explicativa nº 29)</w:t>
            </w:r>
          </w:p>
        </w:tc>
        <w:tc>
          <w:tcPr>
            <w:tcW w:w="1440" w:type="dxa"/>
          </w:tcPr>
          <w:p>
            <w:pPr>
              <w:pStyle w:val="TableParagraph"/>
              <w:spacing w:before="38"/>
              <w:ind w:right="59"/>
              <w:jc w:val="right"/>
              <w:rPr>
                <w:sz w:val="14"/>
              </w:rPr>
            </w:pPr>
            <w:r>
              <w:rPr>
                <w:w w:val="95"/>
                <w:sz w:val="14"/>
              </w:rPr>
              <w:t>783.986</w:t>
            </w:r>
          </w:p>
        </w:tc>
        <w:tc>
          <w:tcPr>
            <w:tcW w:w="1438" w:type="dxa"/>
          </w:tcPr>
          <w:p>
            <w:pPr>
              <w:pStyle w:val="TableParagraph"/>
              <w:spacing w:before="38"/>
              <w:ind w:right="59"/>
              <w:jc w:val="right"/>
              <w:rPr>
                <w:sz w:val="14"/>
              </w:rPr>
            </w:pPr>
            <w:r>
              <w:rPr>
                <w:w w:val="95"/>
                <w:sz w:val="14"/>
              </w:rPr>
              <w:t>734.451</w:t>
            </w:r>
          </w:p>
        </w:tc>
        <w:tc>
          <w:tcPr>
            <w:tcW w:w="1433" w:type="dxa"/>
          </w:tcPr>
          <w:p>
            <w:pPr>
              <w:pStyle w:val="TableParagraph"/>
              <w:spacing w:before="38"/>
              <w:ind w:right="59"/>
              <w:jc w:val="right"/>
              <w:rPr>
                <w:sz w:val="14"/>
              </w:rPr>
            </w:pPr>
            <w:r>
              <w:rPr>
                <w:w w:val="95"/>
                <w:sz w:val="14"/>
              </w:rPr>
              <w:t>657.053</w:t>
            </w:r>
          </w:p>
        </w:tc>
      </w:tr>
      <w:tr>
        <w:trPr>
          <w:trHeight w:val="237" w:hRule="atLeast"/>
        </w:trPr>
        <w:tc>
          <w:tcPr>
            <w:tcW w:w="5605" w:type="dxa"/>
          </w:tcPr>
          <w:p>
            <w:pPr>
              <w:pStyle w:val="TableParagraph"/>
              <w:spacing w:before="34"/>
              <w:ind w:left="72"/>
              <w:rPr>
                <w:rFonts w:ascii="Caladea"/>
                <w:b/>
                <w:sz w:val="14"/>
              </w:rPr>
            </w:pPr>
            <w:r>
              <w:rPr>
                <w:rFonts w:ascii="Caladea"/>
                <w:b/>
                <w:sz w:val="14"/>
              </w:rPr>
              <w:t>Total do Capital</w:t>
            </w:r>
          </w:p>
        </w:tc>
        <w:tc>
          <w:tcPr>
            <w:tcW w:w="1440" w:type="dxa"/>
          </w:tcPr>
          <w:p>
            <w:pPr>
              <w:pStyle w:val="TableParagraph"/>
              <w:spacing w:before="34"/>
              <w:ind w:right="57"/>
              <w:jc w:val="right"/>
              <w:rPr>
                <w:rFonts w:ascii="Caladea"/>
                <w:b/>
                <w:sz w:val="14"/>
              </w:rPr>
            </w:pPr>
            <w:r>
              <w:rPr>
                <w:rFonts w:ascii="Caladea"/>
                <w:b/>
                <w:w w:val="95"/>
                <w:sz w:val="14"/>
              </w:rPr>
              <w:t>820.823</w:t>
            </w:r>
          </w:p>
        </w:tc>
        <w:tc>
          <w:tcPr>
            <w:tcW w:w="1438" w:type="dxa"/>
          </w:tcPr>
          <w:p>
            <w:pPr>
              <w:pStyle w:val="TableParagraph"/>
              <w:spacing w:before="34"/>
              <w:ind w:right="59"/>
              <w:jc w:val="right"/>
              <w:rPr>
                <w:rFonts w:ascii="Caladea"/>
                <w:b/>
                <w:sz w:val="14"/>
              </w:rPr>
            </w:pPr>
            <w:r>
              <w:rPr>
                <w:rFonts w:ascii="Caladea"/>
                <w:b/>
                <w:w w:val="95"/>
                <w:sz w:val="14"/>
              </w:rPr>
              <w:t>1.091.812</w:t>
            </w:r>
          </w:p>
        </w:tc>
        <w:tc>
          <w:tcPr>
            <w:tcW w:w="1433" w:type="dxa"/>
          </w:tcPr>
          <w:p>
            <w:pPr>
              <w:pStyle w:val="TableParagraph"/>
              <w:spacing w:before="34"/>
              <w:ind w:right="59"/>
              <w:jc w:val="right"/>
              <w:rPr>
                <w:rFonts w:ascii="Caladea"/>
                <w:b/>
                <w:sz w:val="14"/>
              </w:rPr>
            </w:pPr>
            <w:r>
              <w:rPr>
                <w:rFonts w:ascii="Caladea"/>
                <w:b/>
                <w:w w:val="95"/>
                <w:sz w:val="14"/>
              </w:rPr>
              <w:t>1.072.022</w:t>
            </w:r>
          </w:p>
        </w:tc>
      </w:tr>
      <w:tr>
        <w:trPr>
          <w:trHeight w:val="237" w:hRule="atLeast"/>
        </w:trPr>
        <w:tc>
          <w:tcPr>
            <w:tcW w:w="5605" w:type="dxa"/>
          </w:tcPr>
          <w:p>
            <w:pPr>
              <w:pStyle w:val="TableParagraph"/>
              <w:spacing w:before="37"/>
              <w:ind w:left="72"/>
              <w:rPr>
                <w:rFonts w:ascii="Caladea" w:hAnsi="Caladea"/>
                <w:b/>
                <w:sz w:val="14"/>
              </w:rPr>
            </w:pPr>
            <w:r>
              <w:rPr>
                <w:rFonts w:ascii="Caladea" w:hAnsi="Caladea"/>
                <w:b/>
                <w:w w:val="105"/>
                <w:sz w:val="14"/>
              </w:rPr>
              <w:t>Índice de Alavancagem Financeira </w:t>
            </w:r>
            <w:r>
              <w:rPr>
                <w:w w:val="105"/>
                <w:sz w:val="14"/>
              </w:rPr>
              <w:t>– </w:t>
            </w:r>
            <w:r>
              <w:rPr>
                <w:rFonts w:ascii="Caladea" w:hAnsi="Caladea"/>
                <w:b/>
                <w:w w:val="105"/>
                <w:sz w:val="14"/>
              </w:rPr>
              <w:t>%</w:t>
            </w:r>
          </w:p>
        </w:tc>
        <w:tc>
          <w:tcPr>
            <w:tcW w:w="1440" w:type="dxa"/>
          </w:tcPr>
          <w:p>
            <w:pPr>
              <w:pStyle w:val="TableParagraph"/>
              <w:spacing w:before="37"/>
              <w:ind w:right="59"/>
              <w:jc w:val="right"/>
              <w:rPr>
                <w:rFonts w:ascii="Caladea"/>
                <w:b/>
                <w:sz w:val="14"/>
              </w:rPr>
            </w:pPr>
            <w:r>
              <w:rPr>
                <w:rFonts w:ascii="Caladea"/>
                <w:b/>
                <w:sz w:val="14"/>
              </w:rPr>
              <w:t>4,49</w:t>
            </w:r>
          </w:p>
        </w:tc>
        <w:tc>
          <w:tcPr>
            <w:tcW w:w="1438" w:type="dxa"/>
          </w:tcPr>
          <w:p>
            <w:pPr>
              <w:pStyle w:val="TableParagraph"/>
              <w:spacing w:before="37"/>
              <w:ind w:right="59"/>
              <w:jc w:val="right"/>
              <w:rPr>
                <w:rFonts w:ascii="Caladea"/>
                <w:b/>
                <w:sz w:val="14"/>
              </w:rPr>
            </w:pPr>
            <w:r>
              <w:rPr>
                <w:rFonts w:ascii="Caladea"/>
                <w:b/>
                <w:sz w:val="14"/>
              </w:rPr>
              <w:t>32,73</w:t>
            </w:r>
          </w:p>
        </w:tc>
        <w:tc>
          <w:tcPr>
            <w:tcW w:w="1433" w:type="dxa"/>
          </w:tcPr>
          <w:p>
            <w:pPr>
              <w:pStyle w:val="TableParagraph"/>
              <w:spacing w:before="37"/>
              <w:ind w:right="59"/>
              <w:jc w:val="right"/>
              <w:rPr>
                <w:rFonts w:ascii="Caladea"/>
                <w:b/>
                <w:sz w:val="14"/>
              </w:rPr>
            </w:pPr>
            <w:r>
              <w:rPr>
                <w:rFonts w:ascii="Caladea"/>
                <w:b/>
                <w:sz w:val="14"/>
              </w:rPr>
              <w:t>38,71</w:t>
            </w:r>
          </w:p>
        </w:tc>
      </w:tr>
    </w:tbl>
    <w:p>
      <w:pPr>
        <w:pStyle w:val="BodyText"/>
        <w:spacing w:before="9"/>
      </w:pPr>
    </w:p>
    <w:p>
      <w:pPr>
        <w:pStyle w:val="ListParagraph"/>
        <w:numPr>
          <w:ilvl w:val="1"/>
          <w:numId w:val="20"/>
        </w:numPr>
        <w:tabs>
          <w:tab w:pos="1025" w:val="left" w:leader="none"/>
          <w:tab w:pos="1026" w:val="left" w:leader="none"/>
        </w:tabs>
        <w:spacing w:line="240" w:lineRule="auto" w:before="1" w:after="0"/>
        <w:ind w:left="1025" w:right="0" w:hanging="854"/>
        <w:jc w:val="left"/>
        <w:rPr>
          <w:rFonts w:ascii="Caladea"/>
          <w:b/>
          <w:sz w:val="18"/>
        </w:rPr>
      </w:pPr>
      <w:r>
        <w:rPr>
          <w:rFonts w:ascii="Caladea"/>
          <w:b/>
          <w:sz w:val="22"/>
        </w:rPr>
        <w:t>V</w:t>
      </w:r>
      <w:r>
        <w:rPr>
          <w:rFonts w:ascii="Caladea"/>
          <w:b/>
          <w:sz w:val="18"/>
        </w:rPr>
        <w:t>ALOR </w:t>
      </w:r>
      <w:r>
        <w:rPr>
          <w:rFonts w:ascii="Caladea"/>
          <w:b/>
          <w:sz w:val="22"/>
        </w:rPr>
        <w:t>J</w:t>
      </w:r>
      <w:r>
        <w:rPr>
          <w:rFonts w:ascii="Caladea"/>
          <w:b/>
          <w:sz w:val="18"/>
        </w:rPr>
        <w:t>USTO</w:t>
      </w:r>
    </w:p>
    <w:p>
      <w:pPr>
        <w:pStyle w:val="BodyText"/>
        <w:rPr>
          <w:rFonts w:ascii="Caladea"/>
          <w:b/>
          <w:sz w:val="24"/>
        </w:rPr>
      </w:pPr>
    </w:p>
    <w:p>
      <w:pPr>
        <w:pStyle w:val="BodyText"/>
        <w:spacing w:line="247" w:lineRule="auto"/>
        <w:ind w:left="172" w:right="409"/>
        <w:jc w:val="both"/>
      </w:pPr>
      <w:r>
        <w:rPr/>
        <w:t>Os</w:t>
      </w:r>
      <w:r>
        <w:rPr>
          <w:spacing w:val="-35"/>
        </w:rPr>
        <w:t> </w:t>
      </w:r>
      <w:r>
        <w:rPr/>
        <w:t>instrumentos</w:t>
      </w:r>
      <w:r>
        <w:rPr>
          <w:spacing w:val="-33"/>
        </w:rPr>
        <w:t> </w:t>
      </w:r>
      <w:r>
        <w:rPr/>
        <w:t>financeiros</w:t>
      </w:r>
      <w:r>
        <w:rPr>
          <w:spacing w:val="-33"/>
        </w:rPr>
        <w:t> </w:t>
      </w:r>
      <w:r>
        <w:rPr/>
        <w:t>ativos</w:t>
      </w:r>
      <w:r>
        <w:rPr>
          <w:spacing w:val="-33"/>
        </w:rPr>
        <w:t> </w:t>
      </w:r>
      <w:r>
        <w:rPr/>
        <w:t>e</w:t>
      </w:r>
      <w:r>
        <w:rPr>
          <w:spacing w:val="-34"/>
        </w:rPr>
        <w:t> </w:t>
      </w:r>
      <w:r>
        <w:rPr/>
        <w:t>passivos</w:t>
      </w:r>
      <w:r>
        <w:rPr>
          <w:spacing w:val="-34"/>
        </w:rPr>
        <w:t> </w:t>
      </w:r>
      <w:r>
        <w:rPr/>
        <w:t>são</w:t>
      </w:r>
      <w:r>
        <w:rPr>
          <w:spacing w:val="-33"/>
        </w:rPr>
        <w:t> </w:t>
      </w:r>
      <w:r>
        <w:rPr/>
        <w:t>registrados,</w:t>
      </w:r>
      <w:r>
        <w:rPr>
          <w:spacing w:val="-34"/>
        </w:rPr>
        <w:t> </w:t>
      </w:r>
      <w:r>
        <w:rPr/>
        <w:t>inicialmente,</w:t>
      </w:r>
      <w:r>
        <w:rPr>
          <w:spacing w:val="-33"/>
        </w:rPr>
        <w:t> </w:t>
      </w:r>
      <w:r>
        <w:rPr/>
        <w:t>pelo</w:t>
      </w:r>
      <w:r>
        <w:rPr>
          <w:spacing w:val="-34"/>
        </w:rPr>
        <w:t> </w:t>
      </w:r>
      <w:r>
        <w:rPr/>
        <w:t>valor</w:t>
      </w:r>
      <w:r>
        <w:rPr>
          <w:spacing w:val="-35"/>
        </w:rPr>
        <w:t> </w:t>
      </w:r>
      <w:r>
        <w:rPr/>
        <w:t>justo</w:t>
      </w:r>
      <w:r>
        <w:rPr>
          <w:spacing w:val="-33"/>
        </w:rPr>
        <w:t> </w:t>
      </w:r>
      <w:r>
        <w:rPr/>
        <w:t>das</w:t>
      </w:r>
      <w:r>
        <w:rPr>
          <w:spacing w:val="-34"/>
        </w:rPr>
        <w:t> </w:t>
      </w:r>
      <w:r>
        <w:rPr/>
        <w:t>transações</w:t>
      </w:r>
      <w:r>
        <w:rPr>
          <w:spacing w:val="-33"/>
        </w:rPr>
        <w:t> </w:t>
      </w:r>
      <w:r>
        <w:rPr/>
        <w:t>que</w:t>
      </w:r>
      <w:r>
        <w:rPr>
          <w:spacing w:val="-35"/>
        </w:rPr>
        <w:t> </w:t>
      </w:r>
      <w:r>
        <w:rPr/>
        <w:t>lhes deram</w:t>
      </w:r>
      <w:r>
        <w:rPr>
          <w:spacing w:val="-36"/>
        </w:rPr>
        <w:t> </w:t>
      </w:r>
      <w:r>
        <w:rPr/>
        <w:t>origem</w:t>
      </w:r>
      <w:r>
        <w:rPr>
          <w:spacing w:val="-36"/>
        </w:rPr>
        <w:t> </w:t>
      </w:r>
      <w:r>
        <w:rPr/>
        <w:t>e</w:t>
      </w:r>
      <w:r>
        <w:rPr>
          <w:spacing w:val="-36"/>
        </w:rPr>
        <w:t> </w:t>
      </w:r>
      <w:r>
        <w:rPr/>
        <w:t>são</w:t>
      </w:r>
      <w:r>
        <w:rPr>
          <w:spacing w:val="-37"/>
        </w:rPr>
        <w:t> </w:t>
      </w:r>
      <w:r>
        <w:rPr/>
        <w:t>atualizados,</w:t>
      </w:r>
      <w:r>
        <w:rPr>
          <w:spacing w:val="-36"/>
        </w:rPr>
        <w:t> </w:t>
      </w:r>
      <w:r>
        <w:rPr/>
        <w:t>quando</w:t>
      </w:r>
      <w:r>
        <w:rPr>
          <w:spacing w:val="-35"/>
        </w:rPr>
        <w:t> </w:t>
      </w:r>
      <w:r>
        <w:rPr/>
        <w:t>aplicável,</w:t>
      </w:r>
      <w:r>
        <w:rPr>
          <w:spacing w:val="-37"/>
        </w:rPr>
        <w:t> </w:t>
      </w:r>
      <w:r>
        <w:rPr/>
        <w:t>com</w:t>
      </w:r>
      <w:r>
        <w:rPr>
          <w:spacing w:val="-36"/>
        </w:rPr>
        <w:t> </w:t>
      </w:r>
      <w:r>
        <w:rPr/>
        <w:t>base</w:t>
      </w:r>
      <w:r>
        <w:rPr>
          <w:spacing w:val="-35"/>
        </w:rPr>
        <w:t> </w:t>
      </w:r>
      <w:r>
        <w:rPr/>
        <w:t>nos</w:t>
      </w:r>
      <w:r>
        <w:rPr>
          <w:spacing w:val="-36"/>
        </w:rPr>
        <w:t> </w:t>
      </w:r>
      <w:r>
        <w:rPr/>
        <w:t>encargos</w:t>
      </w:r>
      <w:r>
        <w:rPr>
          <w:spacing w:val="-35"/>
        </w:rPr>
        <w:t> </w:t>
      </w:r>
      <w:r>
        <w:rPr/>
        <w:t>contratuais</w:t>
      </w:r>
      <w:r>
        <w:rPr>
          <w:spacing w:val="-37"/>
        </w:rPr>
        <w:t> </w:t>
      </w:r>
      <w:r>
        <w:rPr/>
        <w:t>e</w:t>
      </w:r>
      <w:r>
        <w:rPr>
          <w:spacing w:val="-36"/>
        </w:rPr>
        <w:t> </w:t>
      </w:r>
      <w:r>
        <w:rPr/>
        <w:t>ajustados</w:t>
      </w:r>
      <w:r>
        <w:rPr>
          <w:spacing w:val="-35"/>
        </w:rPr>
        <w:t> </w:t>
      </w:r>
      <w:r>
        <w:rPr/>
        <w:t>pelas</w:t>
      </w:r>
      <w:r>
        <w:rPr>
          <w:spacing w:val="-35"/>
        </w:rPr>
        <w:t> </w:t>
      </w:r>
      <w:r>
        <w:rPr/>
        <w:t>estimativas de</w:t>
      </w:r>
      <w:r>
        <w:rPr>
          <w:spacing w:val="-41"/>
        </w:rPr>
        <w:t> </w:t>
      </w:r>
      <w:r>
        <w:rPr/>
        <w:t>perda.</w:t>
      </w:r>
      <w:r>
        <w:rPr>
          <w:spacing w:val="-40"/>
        </w:rPr>
        <w:t> </w:t>
      </w:r>
      <w:r>
        <w:rPr/>
        <w:t>A</w:t>
      </w:r>
      <w:r>
        <w:rPr>
          <w:spacing w:val="-39"/>
        </w:rPr>
        <w:t> </w:t>
      </w:r>
      <w:r>
        <w:rPr/>
        <w:t>Administração</w:t>
      </w:r>
      <w:r>
        <w:rPr>
          <w:spacing w:val="-40"/>
        </w:rPr>
        <w:t> </w:t>
      </w:r>
      <w:r>
        <w:rPr/>
        <w:t>avalia</w:t>
      </w:r>
      <w:r>
        <w:rPr>
          <w:spacing w:val="-40"/>
        </w:rPr>
        <w:t> </w:t>
      </w:r>
      <w:r>
        <w:rPr/>
        <w:t>que</w:t>
      </w:r>
      <w:r>
        <w:rPr>
          <w:spacing w:val="-39"/>
        </w:rPr>
        <w:t> </w:t>
      </w:r>
      <w:r>
        <w:rPr/>
        <w:t>os</w:t>
      </w:r>
      <w:r>
        <w:rPr>
          <w:spacing w:val="-39"/>
        </w:rPr>
        <w:t> </w:t>
      </w:r>
      <w:r>
        <w:rPr/>
        <w:t>valores</w:t>
      </w:r>
      <w:r>
        <w:rPr>
          <w:spacing w:val="-39"/>
        </w:rPr>
        <w:t> </w:t>
      </w:r>
      <w:r>
        <w:rPr/>
        <w:t>apurados</w:t>
      </w:r>
      <w:r>
        <w:rPr>
          <w:spacing w:val="-40"/>
        </w:rPr>
        <w:t> </w:t>
      </w:r>
      <w:r>
        <w:rPr/>
        <w:t>com</w:t>
      </w:r>
      <w:r>
        <w:rPr>
          <w:spacing w:val="-40"/>
        </w:rPr>
        <w:t> </w:t>
      </w:r>
      <w:r>
        <w:rPr/>
        <w:t>base</w:t>
      </w:r>
      <w:r>
        <w:rPr>
          <w:spacing w:val="-40"/>
        </w:rPr>
        <w:t> </w:t>
      </w:r>
      <w:r>
        <w:rPr/>
        <w:t>nesses</w:t>
      </w:r>
      <w:r>
        <w:rPr>
          <w:spacing w:val="-40"/>
        </w:rPr>
        <w:t> </w:t>
      </w:r>
      <w:r>
        <w:rPr/>
        <w:t>critérios</w:t>
      </w:r>
      <w:r>
        <w:rPr>
          <w:spacing w:val="-39"/>
        </w:rPr>
        <w:t> </w:t>
      </w:r>
      <w:r>
        <w:rPr/>
        <w:t>podem</w:t>
      </w:r>
      <w:r>
        <w:rPr>
          <w:spacing w:val="-40"/>
        </w:rPr>
        <w:t> </w:t>
      </w:r>
      <w:r>
        <w:rPr/>
        <w:t>ser</w:t>
      </w:r>
      <w:r>
        <w:rPr>
          <w:spacing w:val="-40"/>
        </w:rPr>
        <w:t> </w:t>
      </w:r>
      <w:r>
        <w:rPr/>
        <w:t>considerados</w:t>
      </w:r>
      <w:r>
        <w:rPr>
          <w:spacing w:val="-39"/>
        </w:rPr>
        <w:t> </w:t>
      </w:r>
      <w:r>
        <w:rPr/>
        <w:t>a</w:t>
      </w:r>
      <w:r>
        <w:rPr>
          <w:spacing w:val="-40"/>
        </w:rPr>
        <w:t> </w:t>
      </w:r>
      <w:r>
        <w:rPr/>
        <w:t>melhor estimativa</w:t>
      </w:r>
      <w:r>
        <w:rPr>
          <w:spacing w:val="-19"/>
        </w:rPr>
        <w:t> </w:t>
      </w:r>
      <w:r>
        <w:rPr/>
        <w:t>para</w:t>
      </w:r>
      <w:r>
        <w:rPr>
          <w:spacing w:val="-22"/>
        </w:rPr>
        <w:t> </w:t>
      </w:r>
      <w:r>
        <w:rPr/>
        <w:t>apuração</w:t>
      </w:r>
      <w:r>
        <w:rPr>
          <w:spacing w:val="-22"/>
        </w:rPr>
        <w:t> </w:t>
      </w:r>
      <w:r>
        <w:rPr/>
        <w:t>do</w:t>
      </w:r>
      <w:r>
        <w:rPr>
          <w:spacing w:val="-20"/>
        </w:rPr>
        <w:t> </w:t>
      </w:r>
      <w:r>
        <w:rPr/>
        <w:t>valor</w:t>
      </w:r>
      <w:r>
        <w:rPr>
          <w:spacing w:val="-22"/>
        </w:rPr>
        <w:t> </w:t>
      </w:r>
      <w:r>
        <w:rPr/>
        <w:t>justo</w:t>
      </w:r>
      <w:r>
        <w:rPr>
          <w:spacing w:val="-21"/>
        </w:rPr>
        <w:t> </w:t>
      </w:r>
      <w:r>
        <w:rPr/>
        <w:t>dos</w:t>
      </w:r>
      <w:r>
        <w:rPr>
          <w:spacing w:val="-21"/>
        </w:rPr>
        <w:t> </w:t>
      </w:r>
      <w:r>
        <w:rPr/>
        <w:t>instrumentos</w:t>
      </w:r>
      <w:r>
        <w:rPr>
          <w:spacing w:val="-22"/>
        </w:rPr>
        <w:t> </w:t>
      </w:r>
      <w:r>
        <w:rPr/>
        <w:t>financeiros</w:t>
      </w:r>
      <w:r>
        <w:rPr>
          <w:spacing w:val="-21"/>
        </w:rPr>
        <w:t> </w:t>
      </w:r>
      <w:r>
        <w:rPr/>
        <w:t>detidos</w:t>
      </w:r>
      <w:r>
        <w:rPr>
          <w:spacing w:val="-19"/>
        </w:rPr>
        <w:t> </w:t>
      </w:r>
      <w:r>
        <w:rPr/>
        <w:t>pelo</w:t>
      </w:r>
      <w:r>
        <w:rPr>
          <w:spacing w:val="-22"/>
        </w:rPr>
        <w:t> </w:t>
      </w:r>
      <w:r>
        <w:rPr/>
        <w:t>Grupo.</w:t>
      </w:r>
    </w:p>
    <w:p>
      <w:pPr>
        <w:pStyle w:val="BodyText"/>
        <w:spacing w:line="247" w:lineRule="auto" w:before="121"/>
        <w:ind w:left="172" w:right="408"/>
        <w:jc w:val="both"/>
      </w:pPr>
      <w:r>
        <w:rPr/>
        <w:t>As tabelas seguintes demonstram, de forma resumida, os ativos financeiros registrados a valor justo em 31 de dezembro de 2019 e em 2018.</w:t>
      </w:r>
    </w:p>
    <w:p>
      <w:pPr>
        <w:pStyle w:val="BodyText"/>
        <w:spacing w:before="11"/>
        <w:rPr>
          <w:sz w:val="9"/>
        </w:rPr>
      </w:pPr>
    </w:p>
    <w:tbl>
      <w:tblPr>
        <w:tblW w:w="0" w:type="auto"/>
        <w:jc w:val="left"/>
        <w:tblInd w:w="1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4451"/>
        <w:gridCol w:w="1518"/>
        <w:gridCol w:w="985"/>
        <w:gridCol w:w="986"/>
        <w:gridCol w:w="985"/>
        <w:gridCol w:w="999"/>
      </w:tblGrid>
      <w:tr>
        <w:trPr>
          <w:trHeight w:val="340" w:hRule="atLeast"/>
        </w:trPr>
        <w:tc>
          <w:tcPr>
            <w:tcW w:w="4451" w:type="dxa"/>
            <w:vMerge w:val="restart"/>
            <w:shd w:val="clear" w:color="auto" w:fill="D9D9D9"/>
          </w:tcPr>
          <w:p>
            <w:pPr>
              <w:pStyle w:val="TableParagraph"/>
              <w:rPr>
                <w:rFonts w:ascii="Times New Roman"/>
                <w:sz w:val="16"/>
              </w:rPr>
            </w:pPr>
          </w:p>
        </w:tc>
        <w:tc>
          <w:tcPr>
            <w:tcW w:w="1518" w:type="dxa"/>
            <w:vMerge w:val="restart"/>
          </w:tcPr>
          <w:p>
            <w:pPr>
              <w:pStyle w:val="TableParagraph"/>
              <w:rPr>
                <w:sz w:val="16"/>
              </w:rPr>
            </w:pPr>
          </w:p>
          <w:p>
            <w:pPr>
              <w:pStyle w:val="TableParagraph"/>
              <w:spacing w:before="3"/>
              <w:rPr>
                <w:sz w:val="21"/>
              </w:rPr>
            </w:pPr>
          </w:p>
          <w:p>
            <w:pPr>
              <w:pStyle w:val="TableParagraph"/>
              <w:ind w:left="445"/>
              <w:rPr>
                <w:rFonts w:ascii="Caladea" w:hAnsi="Caladea"/>
                <w:b/>
                <w:sz w:val="14"/>
              </w:rPr>
            </w:pPr>
            <w:r>
              <w:rPr>
                <w:rFonts w:ascii="Caladea" w:hAnsi="Caladea"/>
                <w:b/>
                <w:sz w:val="14"/>
              </w:rPr>
              <w:t>Avaliação</w:t>
            </w:r>
          </w:p>
        </w:tc>
        <w:tc>
          <w:tcPr>
            <w:tcW w:w="3955" w:type="dxa"/>
            <w:gridSpan w:val="4"/>
          </w:tcPr>
          <w:p>
            <w:pPr>
              <w:pStyle w:val="TableParagraph"/>
              <w:spacing w:before="87"/>
              <w:ind w:left="1551" w:right="1554"/>
              <w:jc w:val="center"/>
              <w:rPr>
                <w:rFonts w:ascii="Caladea"/>
                <w:b/>
                <w:sz w:val="14"/>
              </w:rPr>
            </w:pPr>
            <w:r>
              <w:rPr>
                <w:rFonts w:ascii="Caladea"/>
                <w:b/>
                <w:sz w:val="14"/>
              </w:rPr>
              <w:t>31/12/2019</w:t>
            </w:r>
          </w:p>
        </w:tc>
      </w:tr>
      <w:tr>
        <w:trPr>
          <w:trHeight w:val="340" w:hRule="atLeast"/>
        </w:trPr>
        <w:tc>
          <w:tcPr>
            <w:tcW w:w="4451" w:type="dxa"/>
            <w:vMerge/>
            <w:tcBorders>
              <w:top w:val="nil"/>
            </w:tcBorders>
            <w:shd w:val="clear" w:color="auto" w:fill="D9D9D9"/>
          </w:tcPr>
          <w:p>
            <w:pPr>
              <w:rPr>
                <w:sz w:val="2"/>
                <w:szCs w:val="2"/>
              </w:rPr>
            </w:pPr>
          </w:p>
        </w:tc>
        <w:tc>
          <w:tcPr>
            <w:tcW w:w="1518" w:type="dxa"/>
            <w:vMerge/>
            <w:tcBorders>
              <w:top w:val="nil"/>
            </w:tcBorders>
          </w:tcPr>
          <w:p>
            <w:pPr>
              <w:rPr>
                <w:sz w:val="2"/>
                <w:szCs w:val="2"/>
              </w:rPr>
            </w:pPr>
          </w:p>
        </w:tc>
        <w:tc>
          <w:tcPr>
            <w:tcW w:w="1971" w:type="dxa"/>
            <w:gridSpan w:val="2"/>
          </w:tcPr>
          <w:p>
            <w:pPr>
              <w:pStyle w:val="TableParagraph"/>
              <w:spacing w:before="87"/>
              <w:ind w:left="550"/>
              <w:rPr>
                <w:rFonts w:ascii="Caladea"/>
                <w:b/>
                <w:sz w:val="14"/>
              </w:rPr>
            </w:pPr>
            <w:r>
              <w:rPr>
                <w:rFonts w:ascii="Caladea"/>
                <w:b/>
                <w:sz w:val="14"/>
              </w:rPr>
              <w:t>Controladora</w:t>
            </w:r>
          </w:p>
        </w:tc>
        <w:tc>
          <w:tcPr>
            <w:tcW w:w="1984" w:type="dxa"/>
            <w:gridSpan w:val="2"/>
          </w:tcPr>
          <w:p>
            <w:pPr>
              <w:pStyle w:val="TableParagraph"/>
              <w:spacing w:before="87"/>
              <w:ind w:left="589"/>
              <w:rPr>
                <w:rFonts w:ascii="Caladea"/>
                <w:b/>
                <w:sz w:val="14"/>
              </w:rPr>
            </w:pPr>
            <w:r>
              <w:rPr>
                <w:rFonts w:ascii="Caladea"/>
                <w:b/>
                <w:sz w:val="14"/>
              </w:rPr>
              <w:t>Consolidado</w:t>
            </w:r>
          </w:p>
        </w:tc>
      </w:tr>
      <w:tr>
        <w:trPr>
          <w:trHeight w:val="340" w:hRule="atLeast"/>
        </w:trPr>
        <w:tc>
          <w:tcPr>
            <w:tcW w:w="4451" w:type="dxa"/>
            <w:vMerge/>
            <w:tcBorders>
              <w:top w:val="nil"/>
            </w:tcBorders>
            <w:shd w:val="clear" w:color="auto" w:fill="D9D9D9"/>
          </w:tcPr>
          <w:p>
            <w:pPr>
              <w:rPr>
                <w:sz w:val="2"/>
                <w:szCs w:val="2"/>
              </w:rPr>
            </w:pPr>
          </w:p>
        </w:tc>
        <w:tc>
          <w:tcPr>
            <w:tcW w:w="1518" w:type="dxa"/>
            <w:vMerge/>
            <w:tcBorders>
              <w:top w:val="nil"/>
            </w:tcBorders>
          </w:tcPr>
          <w:p>
            <w:pPr>
              <w:rPr>
                <w:sz w:val="2"/>
                <w:szCs w:val="2"/>
              </w:rPr>
            </w:pPr>
          </w:p>
        </w:tc>
        <w:tc>
          <w:tcPr>
            <w:tcW w:w="985" w:type="dxa"/>
          </w:tcPr>
          <w:p>
            <w:pPr>
              <w:pStyle w:val="TableParagraph"/>
              <w:spacing w:before="87"/>
              <w:ind w:right="118"/>
              <w:jc w:val="right"/>
              <w:rPr>
                <w:rFonts w:ascii="Caladea"/>
                <w:b/>
                <w:sz w:val="14"/>
              </w:rPr>
            </w:pPr>
            <w:r>
              <w:rPr>
                <w:rFonts w:ascii="Caladea"/>
                <w:b/>
                <w:sz w:val="14"/>
              </w:rPr>
              <w:t>Valor Justo</w:t>
            </w:r>
          </w:p>
        </w:tc>
        <w:tc>
          <w:tcPr>
            <w:tcW w:w="986" w:type="dxa"/>
          </w:tcPr>
          <w:p>
            <w:pPr>
              <w:pStyle w:val="TableParagraph"/>
              <w:spacing w:line="160" w:lineRule="atLeast" w:before="3"/>
              <w:ind w:left="220" w:firstLine="108"/>
              <w:rPr>
                <w:rFonts w:ascii="Caladea" w:hAnsi="Caladea"/>
                <w:b/>
                <w:sz w:val="14"/>
              </w:rPr>
            </w:pPr>
            <w:r>
              <w:rPr>
                <w:rFonts w:ascii="Caladea" w:hAnsi="Caladea"/>
                <w:b/>
                <w:sz w:val="14"/>
              </w:rPr>
              <w:t>Valor </w:t>
            </w:r>
            <w:r>
              <w:rPr>
                <w:rFonts w:ascii="Caladea" w:hAnsi="Caladea"/>
                <w:b/>
                <w:w w:val="95"/>
                <w:sz w:val="14"/>
              </w:rPr>
              <w:t>Contábil</w:t>
            </w:r>
          </w:p>
        </w:tc>
        <w:tc>
          <w:tcPr>
            <w:tcW w:w="985" w:type="dxa"/>
          </w:tcPr>
          <w:p>
            <w:pPr>
              <w:pStyle w:val="TableParagraph"/>
              <w:spacing w:before="87"/>
              <w:ind w:right="120"/>
              <w:jc w:val="right"/>
              <w:rPr>
                <w:rFonts w:ascii="Caladea"/>
                <w:b/>
                <w:sz w:val="14"/>
              </w:rPr>
            </w:pPr>
            <w:r>
              <w:rPr>
                <w:rFonts w:ascii="Caladea"/>
                <w:b/>
                <w:sz w:val="14"/>
              </w:rPr>
              <w:t>Valor Justo</w:t>
            </w:r>
          </w:p>
        </w:tc>
        <w:tc>
          <w:tcPr>
            <w:tcW w:w="999" w:type="dxa"/>
          </w:tcPr>
          <w:p>
            <w:pPr>
              <w:pStyle w:val="TableParagraph"/>
              <w:spacing w:line="160" w:lineRule="atLeast" w:before="3"/>
              <w:ind w:left="225" w:firstLine="108"/>
              <w:rPr>
                <w:rFonts w:ascii="Caladea" w:hAnsi="Caladea"/>
                <w:b/>
                <w:sz w:val="14"/>
              </w:rPr>
            </w:pPr>
            <w:r>
              <w:rPr>
                <w:rFonts w:ascii="Caladea" w:hAnsi="Caladea"/>
                <w:b/>
                <w:sz w:val="14"/>
              </w:rPr>
              <w:t>Valor </w:t>
            </w:r>
            <w:r>
              <w:rPr>
                <w:rFonts w:ascii="Caladea" w:hAnsi="Caladea"/>
                <w:b/>
                <w:w w:val="95"/>
                <w:sz w:val="14"/>
              </w:rPr>
              <w:t>Contábil</w:t>
            </w:r>
          </w:p>
        </w:tc>
      </w:tr>
      <w:tr>
        <w:trPr>
          <w:trHeight w:val="162" w:hRule="atLeast"/>
        </w:trPr>
        <w:tc>
          <w:tcPr>
            <w:tcW w:w="4451" w:type="dxa"/>
          </w:tcPr>
          <w:p>
            <w:pPr>
              <w:pStyle w:val="TableParagraph"/>
              <w:spacing w:line="143" w:lineRule="exact"/>
              <w:ind w:left="72"/>
              <w:rPr>
                <w:rFonts w:ascii="Caladea"/>
                <w:b/>
                <w:sz w:val="14"/>
              </w:rPr>
            </w:pPr>
            <w:r>
              <w:rPr>
                <w:rFonts w:ascii="Caladea"/>
                <w:b/>
                <w:sz w:val="14"/>
              </w:rPr>
              <w:t>Ativos Financeiros</w:t>
            </w:r>
          </w:p>
        </w:tc>
        <w:tc>
          <w:tcPr>
            <w:tcW w:w="1518" w:type="dxa"/>
          </w:tcPr>
          <w:p>
            <w:pPr>
              <w:pStyle w:val="TableParagraph"/>
              <w:rPr>
                <w:rFonts w:ascii="Times New Roman"/>
                <w:sz w:val="10"/>
              </w:rPr>
            </w:pP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rPr>
                <w:rFonts w:ascii="Times New Roman"/>
                <w:sz w:val="10"/>
              </w:rPr>
            </w:pPr>
          </w:p>
        </w:tc>
        <w:tc>
          <w:tcPr>
            <w:tcW w:w="999" w:type="dxa"/>
          </w:tcPr>
          <w:p>
            <w:pPr>
              <w:pStyle w:val="TableParagraph"/>
              <w:rPr>
                <w:rFonts w:ascii="Times New Roman"/>
                <w:sz w:val="10"/>
              </w:rPr>
            </w:pPr>
          </w:p>
        </w:tc>
      </w:tr>
      <w:tr>
        <w:trPr>
          <w:trHeight w:val="165" w:hRule="atLeast"/>
        </w:trPr>
        <w:tc>
          <w:tcPr>
            <w:tcW w:w="4451" w:type="dxa"/>
          </w:tcPr>
          <w:p>
            <w:pPr>
              <w:pStyle w:val="TableParagraph"/>
              <w:spacing w:line="145" w:lineRule="exact"/>
              <w:ind w:left="72"/>
              <w:rPr>
                <w:sz w:val="14"/>
              </w:rPr>
            </w:pPr>
            <w:r>
              <w:rPr>
                <w:sz w:val="14"/>
              </w:rPr>
              <w:t>Caixa e Bancos</w:t>
            </w:r>
          </w:p>
        </w:tc>
        <w:tc>
          <w:tcPr>
            <w:tcW w:w="1518" w:type="dxa"/>
          </w:tcPr>
          <w:p>
            <w:pPr>
              <w:pStyle w:val="TableParagraph"/>
              <w:spacing w:line="145" w:lineRule="exact"/>
              <w:ind w:left="182" w:right="178"/>
              <w:jc w:val="center"/>
              <w:rPr>
                <w:sz w:val="14"/>
              </w:rPr>
            </w:pPr>
            <w:r>
              <w:rPr>
                <w:sz w:val="14"/>
              </w:rPr>
              <w:t>Valor Justo</w:t>
            </w:r>
          </w:p>
        </w:tc>
        <w:tc>
          <w:tcPr>
            <w:tcW w:w="985" w:type="dxa"/>
          </w:tcPr>
          <w:p>
            <w:pPr>
              <w:pStyle w:val="TableParagraph"/>
              <w:spacing w:line="145" w:lineRule="exact"/>
              <w:ind w:right="67"/>
              <w:jc w:val="right"/>
              <w:rPr>
                <w:sz w:val="14"/>
              </w:rPr>
            </w:pPr>
            <w:r>
              <w:rPr>
                <w:sz w:val="14"/>
              </w:rPr>
              <w:t>27</w:t>
            </w:r>
          </w:p>
        </w:tc>
        <w:tc>
          <w:tcPr>
            <w:tcW w:w="986" w:type="dxa"/>
          </w:tcPr>
          <w:p>
            <w:pPr>
              <w:pStyle w:val="TableParagraph"/>
              <w:spacing w:line="145" w:lineRule="exact"/>
              <w:ind w:right="68"/>
              <w:jc w:val="right"/>
              <w:rPr>
                <w:sz w:val="14"/>
              </w:rPr>
            </w:pPr>
            <w:r>
              <w:rPr>
                <w:sz w:val="14"/>
              </w:rPr>
              <w:t>27</w:t>
            </w:r>
          </w:p>
        </w:tc>
        <w:tc>
          <w:tcPr>
            <w:tcW w:w="985" w:type="dxa"/>
          </w:tcPr>
          <w:p>
            <w:pPr>
              <w:pStyle w:val="TableParagraph"/>
              <w:spacing w:line="145" w:lineRule="exact"/>
              <w:ind w:right="69"/>
              <w:jc w:val="right"/>
              <w:rPr>
                <w:sz w:val="14"/>
              </w:rPr>
            </w:pPr>
            <w:r>
              <w:rPr>
                <w:w w:val="95"/>
                <w:sz w:val="14"/>
              </w:rPr>
              <w:t>69.222</w:t>
            </w:r>
          </w:p>
        </w:tc>
        <w:tc>
          <w:tcPr>
            <w:tcW w:w="999" w:type="dxa"/>
          </w:tcPr>
          <w:p>
            <w:pPr>
              <w:pStyle w:val="TableParagraph"/>
              <w:spacing w:line="145" w:lineRule="exact"/>
              <w:ind w:right="69"/>
              <w:jc w:val="right"/>
              <w:rPr>
                <w:sz w:val="14"/>
              </w:rPr>
            </w:pPr>
            <w:r>
              <w:rPr>
                <w:w w:val="95"/>
                <w:sz w:val="14"/>
              </w:rPr>
              <w:t>69.222</w:t>
            </w:r>
          </w:p>
        </w:tc>
      </w:tr>
      <w:tr>
        <w:trPr>
          <w:trHeight w:val="162" w:hRule="atLeast"/>
        </w:trPr>
        <w:tc>
          <w:tcPr>
            <w:tcW w:w="4451" w:type="dxa"/>
          </w:tcPr>
          <w:p>
            <w:pPr>
              <w:pStyle w:val="TableParagraph"/>
              <w:spacing w:line="143" w:lineRule="exact"/>
              <w:ind w:left="72"/>
              <w:rPr>
                <w:sz w:val="14"/>
              </w:rPr>
            </w:pPr>
            <w:r>
              <w:rPr>
                <w:sz w:val="14"/>
              </w:rPr>
              <w:t>Contas a Receber</w:t>
            </w:r>
          </w:p>
        </w:tc>
        <w:tc>
          <w:tcPr>
            <w:tcW w:w="1518" w:type="dxa"/>
          </w:tcPr>
          <w:p>
            <w:pPr>
              <w:pStyle w:val="TableParagraph"/>
              <w:spacing w:line="143" w:lineRule="exact"/>
              <w:ind w:left="182" w:right="183"/>
              <w:jc w:val="center"/>
              <w:rPr>
                <w:sz w:val="14"/>
              </w:rPr>
            </w:pPr>
            <w:r>
              <w:rPr>
                <w:sz w:val="14"/>
              </w:rPr>
              <w:t>Custo Amortizado</w:t>
            </w:r>
          </w:p>
        </w:tc>
        <w:tc>
          <w:tcPr>
            <w:tcW w:w="985" w:type="dxa"/>
          </w:tcPr>
          <w:p>
            <w:pPr>
              <w:pStyle w:val="TableParagraph"/>
              <w:spacing w:line="143" w:lineRule="exact"/>
              <w:ind w:right="66"/>
              <w:jc w:val="right"/>
              <w:rPr>
                <w:sz w:val="14"/>
              </w:rPr>
            </w:pPr>
            <w:r>
              <w:rPr>
                <w:w w:val="95"/>
                <w:sz w:val="14"/>
              </w:rPr>
              <w:t>18.526</w:t>
            </w:r>
          </w:p>
        </w:tc>
        <w:tc>
          <w:tcPr>
            <w:tcW w:w="986" w:type="dxa"/>
          </w:tcPr>
          <w:p>
            <w:pPr>
              <w:pStyle w:val="TableParagraph"/>
              <w:spacing w:line="143" w:lineRule="exact"/>
              <w:ind w:right="66"/>
              <w:jc w:val="right"/>
              <w:rPr>
                <w:sz w:val="14"/>
              </w:rPr>
            </w:pPr>
            <w:r>
              <w:rPr>
                <w:w w:val="95"/>
                <w:sz w:val="14"/>
              </w:rPr>
              <w:t>18.526</w:t>
            </w:r>
          </w:p>
        </w:tc>
        <w:tc>
          <w:tcPr>
            <w:tcW w:w="985" w:type="dxa"/>
          </w:tcPr>
          <w:p>
            <w:pPr>
              <w:pStyle w:val="TableParagraph"/>
              <w:spacing w:line="143" w:lineRule="exact"/>
              <w:ind w:right="67"/>
              <w:jc w:val="right"/>
              <w:rPr>
                <w:sz w:val="14"/>
              </w:rPr>
            </w:pPr>
            <w:r>
              <w:rPr>
                <w:w w:val="95"/>
                <w:sz w:val="14"/>
              </w:rPr>
              <w:t>608.867</w:t>
            </w:r>
          </w:p>
        </w:tc>
        <w:tc>
          <w:tcPr>
            <w:tcW w:w="999" w:type="dxa"/>
          </w:tcPr>
          <w:p>
            <w:pPr>
              <w:pStyle w:val="TableParagraph"/>
              <w:spacing w:line="143" w:lineRule="exact"/>
              <w:ind w:right="70"/>
              <w:jc w:val="right"/>
              <w:rPr>
                <w:sz w:val="14"/>
              </w:rPr>
            </w:pPr>
            <w:r>
              <w:rPr>
                <w:w w:val="95"/>
                <w:sz w:val="14"/>
              </w:rPr>
              <w:t>608.867</w:t>
            </w:r>
          </w:p>
        </w:tc>
      </w:tr>
      <w:tr>
        <w:trPr>
          <w:trHeight w:val="165" w:hRule="atLeast"/>
        </w:trPr>
        <w:tc>
          <w:tcPr>
            <w:tcW w:w="4451" w:type="dxa"/>
          </w:tcPr>
          <w:p>
            <w:pPr>
              <w:pStyle w:val="TableParagraph"/>
              <w:spacing w:line="145" w:lineRule="exact"/>
              <w:ind w:left="72"/>
              <w:rPr>
                <w:sz w:val="14"/>
              </w:rPr>
            </w:pPr>
            <w:r>
              <w:rPr>
                <w:sz w:val="14"/>
              </w:rPr>
              <w:t>Valores a Receber Parcela A e Outros Itens Financeiros</w:t>
            </w:r>
          </w:p>
        </w:tc>
        <w:tc>
          <w:tcPr>
            <w:tcW w:w="1518" w:type="dxa"/>
          </w:tcPr>
          <w:p>
            <w:pPr>
              <w:pStyle w:val="TableParagraph"/>
              <w:spacing w:line="145"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5" w:lineRule="exact"/>
              <w:ind w:right="69"/>
              <w:jc w:val="right"/>
              <w:rPr>
                <w:sz w:val="14"/>
              </w:rPr>
            </w:pPr>
            <w:r>
              <w:rPr>
                <w:w w:val="95"/>
                <w:sz w:val="14"/>
              </w:rPr>
              <w:t>503.161</w:t>
            </w:r>
          </w:p>
        </w:tc>
        <w:tc>
          <w:tcPr>
            <w:tcW w:w="999" w:type="dxa"/>
          </w:tcPr>
          <w:p>
            <w:pPr>
              <w:pStyle w:val="TableParagraph"/>
              <w:spacing w:line="145" w:lineRule="exact"/>
              <w:ind w:right="70"/>
              <w:jc w:val="right"/>
              <w:rPr>
                <w:sz w:val="14"/>
              </w:rPr>
            </w:pPr>
            <w:r>
              <w:rPr>
                <w:w w:val="95"/>
                <w:sz w:val="14"/>
              </w:rPr>
              <w:t>503.161</w:t>
            </w:r>
          </w:p>
        </w:tc>
      </w:tr>
      <w:tr>
        <w:trPr>
          <w:trHeight w:val="163" w:hRule="atLeast"/>
        </w:trPr>
        <w:tc>
          <w:tcPr>
            <w:tcW w:w="4451" w:type="dxa"/>
          </w:tcPr>
          <w:p>
            <w:pPr>
              <w:pStyle w:val="TableParagraph"/>
              <w:spacing w:line="143" w:lineRule="exact"/>
              <w:ind w:left="72"/>
              <w:rPr>
                <w:sz w:val="14"/>
              </w:rPr>
            </w:pPr>
            <w:r>
              <w:rPr>
                <w:sz w:val="14"/>
              </w:rPr>
              <w:t>Aplicações Financeiras</w:t>
            </w:r>
          </w:p>
        </w:tc>
        <w:tc>
          <w:tcPr>
            <w:tcW w:w="1518" w:type="dxa"/>
          </w:tcPr>
          <w:p>
            <w:pPr>
              <w:pStyle w:val="TableParagraph"/>
              <w:spacing w:line="143"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3" w:lineRule="exact"/>
              <w:ind w:right="69"/>
              <w:jc w:val="right"/>
              <w:rPr>
                <w:sz w:val="14"/>
              </w:rPr>
            </w:pPr>
            <w:r>
              <w:rPr>
                <w:w w:val="95"/>
                <w:sz w:val="14"/>
              </w:rPr>
              <w:t>10.886</w:t>
            </w:r>
          </w:p>
        </w:tc>
        <w:tc>
          <w:tcPr>
            <w:tcW w:w="999" w:type="dxa"/>
          </w:tcPr>
          <w:p>
            <w:pPr>
              <w:pStyle w:val="TableParagraph"/>
              <w:spacing w:line="143" w:lineRule="exact"/>
              <w:ind w:right="69"/>
              <w:jc w:val="right"/>
              <w:rPr>
                <w:sz w:val="14"/>
              </w:rPr>
            </w:pPr>
            <w:r>
              <w:rPr>
                <w:w w:val="95"/>
                <w:sz w:val="14"/>
              </w:rPr>
              <w:t>10.886</w:t>
            </w:r>
          </w:p>
        </w:tc>
      </w:tr>
      <w:tr>
        <w:trPr>
          <w:trHeight w:val="165" w:hRule="atLeast"/>
        </w:trPr>
        <w:tc>
          <w:tcPr>
            <w:tcW w:w="4451" w:type="dxa"/>
          </w:tcPr>
          <w:p>
            <w:pPr>
              <w:pStyle w:val="TableParagraph"/>
              <w:spacing w:line="145" w:lineRule="exact"/>
              <w:ind w:left="72"/>
              <w:rPr>
                <w:sz w:val="14"/>
              </w:rPr>
            </w:pPr>
            <w:r>
              <w:rPr>
                <w:sz w:val="14"/>
              </w:rPr>
              <w:t>Aplicações Financeiras</w:t>
            </w:r>
          </w:p>
        </w:tc>
        <w:tc>
          <w:tcPr>
            <w:tcW w:w="1518" w:type="dxa"/>
          </w:tcPr>
          <w:p>
            <w:pPr>
              <w:pStyle w:val="TableParagraph"/>
              <w:spacing w:line="145" w:lineRule="exact"/>
              <w:ind w:left="182" w:right="178"/>
              <w:jc w:val="center"/>
              <w:rPr>
                <w:sz w:val="14"/>
              </w:rPr>
            </w:pPr>
            <w:r>
              <w:rPr>
                <w:sz w:val="14"/>
              </w:rPr>
              <w:t>Valor Justo</w:t>
            </w:r>
          </w:p>
        </w:tc>
        <w:tc>
          <w:tcPr>
            <w:tcW w:w="985" w:type="dxa"/>
          </w:tcPr>
          <w:p>
            <w:pPr>
              <w:pStyle w:val="TableParagraph"/>
              <w:spacing w:line="145" w:lineRule="exact"/>
              <w:ind w:right="66"/>
              <w:jc w:val="right"/>
              <w:rPr>
                <w:sz w:val="14"/>
              </w:rPr>
            </w:pPr>
            <w:r>
              <w:rPr>
                <w:w w:val="95"/>
                <w:sz w:val="14"/>
              </w:rPr>
              <w:t>12.686</w:t>
            </w:r>
          </w:p>
        </w:tc>
        <w:tc>
          <w:tcPr>
            <w:tcW w:w="986" w:type="dxa"/>
          </w:tcPr>
          <w:p>
            <w:pPr>
              <w:pStyle w:val="TableParagraph"/>
              <w:spacing w:line="145" w:lineRule="exact"/>
              <w:ind w:right="68"/>
              <w:jc w:val="right"/>
              <w:rPr>
                <w:sz w:val="14"/>
              </w:rPr>
            </w:pPr>
            <w:r>
              <w:rPr>
                <w:w w:val="95"/>
                <w:sz w:val="14"/>
              </w:rPr>
              <w:t>12.686</w:t>
            </w:r>
          </w:p>
        </w:tc>
        <w:tc>
          <w:tcPr>
            <w:tcW w:w="985" w:type="dxa"/>
          </w:tcPr>
          <w:p>
            <w:pPr>
              <w:pStyle w:val="TableParagraph"/>
              <w:spacing w:line="145" w:lineRule="exact"/>
              <w:ind w:right="67"/>
              <w:jc w:val="right"/>
              <w:rPr>
                <w:sz w:val="14"/>
              </w:rPr>
            </w:pPr>
            <w:r>
              <w:rPr>
                <w:sz w:val="14"/>
              </w:rPr>
              <w:t>396.116</w:t>
            </w:r>
          </w:p>
        </w:tc>
        <w:tc>
          <w:tcPr>
            <w:tcW w:w="999" w:type="dxa"/>
          </w:tcPr>
          <w:p>
            <w:pPr>
              <w:pStyle w:val="TableParagraph"/>
              <w:spacing w:line="145" w:lineRule="exact"/>
              <w:ind w:right="70"/>
              <w:jc w:val="right"/>
              <w:rPr>
                <w:sz w:val="14"/>
              </w:rPr>
            </w:pPr>
            <w:r>
              <w:rPr>
                <w:w w:val="95"/>
                <w:sz w:val="14"/>
              </w:rPr>
              <w:t>396.116</w:t>
            </w:r>
          </w:p>
        </w:tc>
      </w:tr>
      <w:tr>
        <w:trPr>
          <w:trHeight w:val="163" w:hRule="atLeast"/>
        </w:trPr>
        <w:tc>
          <w:tcPr>
            <w:tcW w:w="4451" w:type="dxa"/>
          </w:tcPr>
          <w:p>
            <w:pPr>
              <w:pStyle w:val="TableParagraph"/>
              <w:spacing w:line="143" w:lineRule="exact"/>
              <w:ind w:left="72"/>
              <w:rPr>
                <w:sz w:val="14"/>
              </w:rPr>
            </w:pPr>
            <w:r>
              <w:rPr>
                <w:sz w:val="14"/>
              </w:rPr>
              <w:t>Ativo Financeiro Indenizável</w:t>
            </w:r>
          </w:p>
        </w:tc>
        <w:tc>
          <w:tcPr>
            <w:tcW w:w="1518" w:type="dxa"/>
          </w:tcPr>
          <w:p>
            <w:pPr>
              <w:pStyle w:val="TableParagraph"/>
              <w:spacing w:line="143" w:lineRule="exact"/>
              <w:ind w:left="182" w:right="178"/>
              <w:jc w:val="center"/>
              <w:rPr>
                <w:sz w:val="14"/>
              </w:rPr>
            </w:pPr>
            <w:r>
              <w:rPr>
                <w:sz w:val="14"/>
              </w:rPr>
              <w:t>Valor Justo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3" w:lineRule="exact"/>
              <w:ind w:right="69"/>
              <w:jc w:val="right"/>
              <w:rPr>
                <w:sz w:val="14"/>
              </w:rPr>
            </w:pPr>
            <w:r>
              <w:rPr>
                <w:w w:val="95"/>
                <w:sz w:val="14"/>
              </w:rPr>
              <w:t>150.638</w:t>
            </w:r>
          </w:p>
        </w:tc>
        <w:tc>
          <w:tcPr>
            <w:tcW w:w="999" w:type="dxa"/>
          </w:tcPr>
          <w:p>
            <w:pPr>
              <w:pStyle w:val="TableParagraph"/>
              <w:spacing w:line="143" w:lineRule="exact"/>
              <w:ind w:right="70"/>
              <w:jc w:val="right"/>
              <w:rPr>
                <w:sz w:val="14"/>
              </w:rPr>
            </w:pPr>
            <w:r>
              <w:rPr>
                <w:w w:val="95"/>
                <w:sz w:val="14"/>
              </w:rPr>
              <w:t>150.638</w:t>
            </w:r>
          </w:p>
        </w:tc>
      </w:tr>
      <w:tr>
        <w:trPr>
          <w:trHeight w:val="163" w:hRule="atLeast"/>
        </w:trPr>
        <w:tc>
          <w:tcPr>
            <w:tcW w:w="4451" w:type="dxa"/>
          </w:tcPr>
          <w:p>
            <w:pPr>
              <w:pStyle w:val="TableParagraph"/>
              <w:spacing w:line="143" w:lineRule="exact"/>
              <w:ind w:left="72"/>
              <w:rPr>
                <w:rFonts w:ascii="Caladea"/>
                <w:b/>
                <w:sz w:val="14"/>
              </w:rPr>
            </w:pPr>
            <w:r>
              <w:rPr>
                <w:rFonts w:ascii="Caladea"/>
                <w:b/>
                <w:sz w:val="14"/>
              </w:rPr>
              <w:t>Passivos Financeiros</w:t>
            </w:r>
          </w:p>
        </w:tc>
        <w:tc>
          <w:tcPr>
            <w:tcW w:w="1518" w:type="dxa"/>
          </w:tcPr>
          <w:p>
            <w:pPr>
              <w:pStyle w:val="TableParagraph"/>
              <w:rPr>
                <w:rFonts w:ascii="Times New Roman"/>
                <w:sz w:val="10"/>
              </w:rPr>
            </w:pP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rPr>
                <w:rFonts w:ascii="Times New Roman"/>
                <w:sz w:val="10"/>
              </w:rPr>
            </w:pPr>
          </w:p>
        </w:tc>
        <w:tc>
          <w:tcPr>
            <w:tcW w:w="999" w:type="dxa"/>
          </w:tcPr>
          <w:p>
            <w:pPr>
              <w:pStyle w:val="TableParagraph"/>
              <w:rPr>
                <w:rFonts w:ascii="Times New Roman"/>
                <w:sz w:val="10"/>
              </w:rPr>
            </w:pPr>
          </w:p>
        </w:tc>
      </w:tr>
      <w:tr>
        <w:trPr>
          <w:trHeight w:val="165" w:hRule="atLeast"/>
        </w:trPr>
        <w:tc>
          <w:tcPr>
            <w:tcW w:w="4451" w:type="dxa"/>
          </w:tcPr>
          <w:p>
            <w:pPr>
              <w:pStyle w:val="TableParagraph"/>
              <w:spacing w:line="143" w:lineRule="exact" w:before="3"/>
              <w:ind w:left="72"/>
              <w:rPr>
                <w:sz w:val="14"/>
              </w:rPr>
            </w:pPr>
            <w:r>
              <w:rPr>
                <w:sz w:val="14"/>
              </w:rPr>
              <w:t>Fornecedores</w:t>
            </w:r>
          </w:p>
        </w:tc>
        <w:tc>
          <w:tcPr>
            <w:tcW w:w="1518" w:type="dxa"/>
          </w:tcPr>
          <w:p>
            <w:pPr>
              <w:pStyle w:val="TableParagraph"/>
              <w:spacing w:line="143" w:lineRule="exact" w:before="3"/>
              <w:ind w:left="182" w:right="183"/>
              <w:jc w:val="center"/>
              <w:rPr>
                <w:sz w:val="14"/>
              </w:rPr>
            </w:pPr>
            <w:r>
              <w:rPr>
                <w:sz w:val="14"/>
              </w:rPr>
              <w:t>Custo Amortizado</w:t>
            </w:r>
          </w:p>
        </w:tc>
        <w:tc>
          <w:tcPr>
            <w:tcW w:w="985" w:type="dxa"/>
          </w:tcPr>
          <w:p>
            <w:pPr>
              <w:pStyle w:val="TableParagraph"/>
              <w:spacing w:line="143" w:lineRule="exact" w:before="3"/>
              <w:ind w:right="66"/>
              <w:jc w:val="right"/>
              <w:rPr>
                <w:sz w:val="14"/>
              </w:rPr>
            </w:pPr>
            <w:r>
              <w:rPr>
                <w:w w:val="95"/>
                <w:sz w:val="14"/>
              </w:rPr>
              <w:t>10.660</w:t>
            </w:r>
          </w:p>
        </w:tc>
        <w:tc>
          <w:tcPr>
            <w:tcW w:w="986" w:type="dxa"/>
          </w:tcPr>
          <w:p>
            <w:pPr>
              <w:pStyle w:val="TableParagraph"/>
              <w:spacing w:line="143" w:lineRule="exact" w:before="3"/>
              <w:ind w:right="68"/>
              <w:jc w:val="right"/>
              <w:rPr>
                <w:sz w:val="14"/>
              </w:rPr>
            </w:pPr>
            <w:r>
              <w:rPr>
                <w:w w:val="95"/>
                <w:sz w:val="14"/>
              </w:rPr>
              <w:t>10.660</w:t>
            </w:r>
          </w:p>
        </w:tc>
        <w:tc>
          <w:tcPr>
            <w:tcW w:w="985" w:type="dxa"/>
          </w:tcPr>
          <w:p>
            <w:pPr>
              <w:pStyle w:val="TableParagraph"/>
              <w:spacing w:line="143" w:lineRule="exact" w:before="3"/>
              <w:ind w:right="69"/>
              <w:jc w:val="right"/>
              <w:rPr>
                <w:sz w:val="14"/>
              </w:rPr>
            </w:pPr>
            <w:r>
              <w:rPr>
                <w:w w:val="95"/>
                <w:sz w:val="14"/>
              </w:rPr>
              <w:t>196.454</w:t>
            </w:r>
          </w:p>
        </w:tc>
        <w:tc>
          <w:tcPr>
            <w:tcW w:w="999" w:type="dxa"/>
          </w:tcPr>
          <w:p>
            <w:pPr>
              <w:pStyle w:val="TableParagraph"/>
              <w:spacing w:line="143" w:lineRule="exact" w:before="3"/>
              <w:ind w:right="70"/>
              <w:jc w:val="right"/>
              <w:rPr>
                <w:sz w:val="14"/>
              </w:rPr>
            </w:pPr>
            <w:r>
              <w:rPr>
                <w:w w:val="95"/>
                <w:sz w:val="14"/>
              </w:rPr>
              <w:t>196.454</w:t>
            </w:r>
          </w:p>
        </w:tc>
      </w:tr>
      <w:tr>
        <w:trPr>
          <w:trHeight w:val="162" w:hRule="atLeast"/>
        </w:trPr>
        <w:tc>
          <w:tcPr>
            <w:tcW w:w="4451" w:type="dxa"/>
          </w:tcPr>
          <w:p>
            <w:pPr>
              <w:pStyle w:val="TableParagraph"/>
              <w:spacing w:line="143" w:lineRule="exact"/>
              <w:ind w:left="72"/>
              <w:rPr>
                <w:sz w:val="14"/>
              </w:rPr>
            </w:pPr>
            <w:r>
              <w:rPr>
                <w:sz w:val="14"/>
              </w:rPr>
              <w:t>Debêntures</w:t>
            </w:r>
          </w:p>
        </w:tc>
        <w:tc>
          <w:tcPr>
            <w:tcW w:w="1518" w:type="dxa"/>
          </w:tcPr>
          <w:p>
            <w:pPr>
              <w:pStyle w:val="TableParagraph"/>
              <w:spacing w:line="143"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3" w:lineRule="exact"/>
              <w:ind w:right="69"/>
              <w:jc w:val="right"/>
              <w:rPr>
                <w:sz w:val="14"/>
              </w:rPr>
            </w:pPr>
            <w:r>
              <w:rPr>
                <w:w w:val="95"/>
                <w:sz w:val="14"/>
              </w:rPr>
              <w:t>213.810</w:t>
            </w:r>
          </w:p>
        </w:tc>
        <w:tc>
          <w:tcPr>
            <w:tcW w:w="999" w:type="dxa"/>
          </w:tcPr>
          <w:p>
            <w:pPr>
              <w:pStyle w:val="TableParagraph"/>
              <w:spacing w:line="143" w:lineRule="exact"/>
              <w:ind w:right="70"/>
              <w:jc w:val="right"/>
              <w:rPr>
                <w:sz w:val="14"/>
              </w:rPr>
            </w:pPr>
            <w:r>
              <w:rPr>
                <w:w w:val="95"/>
                <w:sz w:val="14"/>
              </w:rPr>
              <w:t>213.810</w:t>
            </w:r>
          </w:p>
        </w:tc>
      </w:tr>
      <w:tr>
        <w:trPr>
          <w:trHeight w:val="165" w:hRule="atLeast"/>
        </w:trPr>
        <w:tc>
          <w:tcPr>
            <w:tcW w:w="4451" w:type="dxa"/>
          </w:tcPr>
          <w:p>
            <w:pPr>
              <w:pStyle w:val="TableParagraph"/>
              <w:spacing w:line="143" w:lineRule="exact" w:before="3"/>
              <w:ind w:left="72"/>
              <w:rPr>
                <w:sz w:val="14"/>
              </w:rPr>
            </w:pPr>
            <w:r>
              <w:rPr>
                <w:sz w:val="14"/>
              </w:rPr>
              <w:t>Empréstimos e Financiamentos</w:t>
            </w:r>
          </w:p>
        </w:tc>
        <w:tc>
          <w:tcPr>
            <w:tcW w:w="1518" w:type="dxa"/>
          </w:tcPr>
          <w:p>
            <w:pPr>
              <w:pStyle w:val="TableParagraph"/>
              <w:spacing w:line="143" w:lineRule="exact" w:before="3"/>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3" w:lineRule="exact" w:before="3"/>
              <w:ind w:right="69"/>
              <w:jc w:val="right"/>
              <w:rPr>
                <w:sz w:val="14"/>
              </w:rPr>
            </w:pPr>
            <w:r>
              <w:rPr>
                <w:w w:val="95"/>
                <w:sz w:val="14"/>
              </w:rPr>
              <w:t>288.365</w:t>
            </w:r>
          </w:p>
        </w:tc>
        <w:tc>
          <w:tcPr>
            <w:tcW w:w="999" w:type="dxa"/>
          </w:tcPr>
          <w:p>
            <w:pPr>
              <w:pStyle w:val="TableParagraph"/>
              <w:spacing w:line="143" w:lineRule="exact" w:before="3"/>
              <w:ind w:right="70"/>
              <w:jc w:val="right"/>
              <w:rPr>
                <w:sz w:val="14"/>
              </w:rPr>
            </w:pPr>
            <w:r>
              <w:rPr>
                <w:w w:val="95"/>
                <w:sz w:val="14"/>
              </w:rPr>
              <w:t>288.365</w:t>
            </w:r>
          </w:p>
        </w:tc>
      </w:tr>
      <w:tr>
        <w:trPr>
          <w:trHeight w:val="162" w:hRule="atLeast"/>
        </w:trPr>
        <w:tc>
          <w:tcPr>
            <w:tcW w:w="4451" w:type="dxa"/>
          </w:tcPr>
          <w:p>
            <w:pPr>
              <w:pStyle w:val="TableParagraph"/>
              <w:spacing w:line="143" w:lineRule="exact"/>
              <w:ind w:left="72"/>
              <w:rPr>
                <w:sz w:val="14"/>
              </w:rPr>
            </w:pPr>
            <w:r>
              <w:rPr>
                <w:sz w:val="14"/>
              </w:rPr>
              <w:t>Obrigações Societárias</w:t>
            </w:r>
          </w:p>
        </w:tc>
        <w:tc>
          <w:tcPr>
            <w:tcW w:w="1518" w:type="dxa"/>
          </w:tcPr>
          <w:p>
            <w:pPr>
              <w:pStyle w:val="TableParagraph"/>
              <w:spacing w:line="143" w:lineRule="exact"/>
              <w:ind w:left="182" w:right="183"/>
              <w:jc w:val="center"/>
              <w:rPr>
                <w:sz w:val="14"/>
              </w:rPr>
            </w:pPr>
            <w:r>
              <w:rPr>
                <w:sz w:val="14"/>
              </w:rPr>
              <w:t>Custo Amortizado</w:t>
            </w:r>
          </w:p>
        </w:tc>
        <w:tc>
          <w:tcPr>
            <w:tcW w:w="985" w:type="dxa"/>
          </w:tcPr>
          <w:p>
            <w:pPr>
              <w:pStyle w:val="TableParagraph"/>
              <w:spacing w:line="143" w:lineRule="exact"/>
              <w:ind w:right="66"/>
              <w:jc w:val="right"/>
              <w:rPr>
                <w:sz w:val="14"/>
              </w:rPr>
            </w:pPr>
            <w:r>
              <w:rPr>
                <w:w w:val="95"/>
                <w:sz w:val="14"/>
              </w:rPr>
              <w:t>33.818</w:t>
            </w:r>
          </w:p>
        </w:tc>
        <w:tc>
          <w:tcPr>
            <w:tcW w:w="986" w:type="dxa"/>
          </w:tcPr>
          <w:p>
            <w:pPr>
              <w:pStyle w:val="TableParagraph"/>
              <w:spacing w:line="143" w:lineRule="exact"/>
              <w:ind w:right="68"/>
              <w:jc w:val="right"/>
              <w:rPr>
                <w:sz w:val="14"/>
              </w:rPr>
            </w:pPr>
            <w:r>
              <w:rPr>
                <w:w w:val="95"/>
                <w:sz w:val="14"/>
              </w:rPr>
              <w:t>33.818</w:t>
            </w:r>
          </w:p>
        </w:tc>
        <w:tc>
          <w:tcPr>
            <w:tcW w:w="985" w:type="dxa"/>
          </w:tcPr>
          <w:p>
            <w:pPr>
              <w:pStyle w:val="TableParagraph"/>
              <w:spacing w:line="143" w:lineRule="exact"/>
              <w:ind w:right="69"/>
              <w:jc w:val="right"/>
              <w:rPr>
                <w:sz w:val="14"/>
              </w:rPr>
            </w:pPr>
            <w:r>
              <w:rPr>
                <w:w w:val="95"/>
                <w:sz w:val="14"/>
              </w:rPr>
              <w:t>47.062</w:t>
            </w:r>
          </w:p>
        </w:tc>
        <w:tc>
          <w:tcPr>
            <w:tcW w:w="999" w:type="dxa"/>
          </w:tcPr>
          <w:p>
            <w:pPr>
              <w:pStyle w:val="TableParagraph"/>
              <w:spacing w:line="143" w:lineRule="exact"/>
              <w:ind w:right="69"/>
              <w:jc w:val="right"/>
              <w:rPr>
                <w:sz w:val="14"/>
              </w:rPr>
            </w:pPr>
            <w:r>
              <w:rPr>
                <w:w w:val="95"/>
                <w:sz w:val="14"/>
              </w:rPr>
              <w:t>47.062</w:t>
            </w:r>
          </w:p>
        </w:tc>
      </w:tr>
      <w:tr>
        <w:trPr>
          <w:trHeight w:val="165" w:hRule="atLeast"/>
        </w:trPr>
        <w:tc>
          <w:tcPr>
            <w:tcW w:w="4451" w:type="dxa"/>
          </w:tcPr>
          <w:p>
            <w:pPr>
              <w:pStyle w:val="TableParagraph"/>
              <w:spacing w:line="145" w:lineRule="exact"/>
              <w:ind w:left="72"/>
              <w:rPr>
                <w:sz w:val="14"/>
              </w:rPr>
            </w:pPr>
            <w:r>
              <w:rPr>
                <w:sz w:val="14"/>
              </w:rPr>
              <w:t>Valores a Pagar Parcela A e Outros Itens Financeiros</w:t>
            </w:r>
          </w:p>
        </w:tc>
        <w:tc>
          <w:tcPr>
            <w:tcW w:w="1518" w:type="dxa"/>
          </w:tcPr>
          <w:p>
            <w:pPr>
              <w:pStyle w:val="TableParagraph"/>
              <w:spacing w:line="145"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5" w:lineRule="exact"/>
              <w:ind w:right="69"/>
              <w:jc w:val="right"/>
              <w:rPr>
                <w:sz w:val="14"/>
              </w:rPr>
            </w:pPr>
            <w:r>
              <w:rPr>
                <w:w w:val="95"/>
                <w:sz w:val="14"/>
              </w:rPr>
              <w:t>601.296</w:t>
            </w:r>
          </w:p>
        </w:tc>
        <w:tc>
          <w:tcPr>
            <w:tcW w:w="999" w:type="dxa"/>
          </w:tcPr>
          <w:p>
            <w:pPr>
              <w:pStyle w:val="TableParagraph"/>
              <w:spacing w:line="145" w:lineRule="exact"/>
              <w:ind w:right="70"/>
              <w:jc w:val="right"/>
              <w:rPr>
                <w:sz w:val="14"/>
              </w:rPr>
            </w:pPr>
            <w:r>
              <w:rPr>
                <w:w w:val="95"/>
                <w:sz w:val="14"/>
              </w:rPr>
              <w:t>601.296</w:t>
            </w:r>
          </w:p>
        </w:tc>
      </w:tr>
      <w:tr>
        <w:trPr>
          <w:trHeight w:val="162" w:hRule="atLeast"/>
        </w:trPr>
        <w:tc>
          <w:tcPr>
            <w:tcW w:w="4451" w:type="dxa"/>
          </w:tcPr>
          <w:p>
            <w:pPr>
              <w:pStyle w:val="TableParagraph"/>
              <w:spacing w:line="143" w:lineRule="exact"/>
              <w:ind w:left="72"/>
              <w:rPr>
                <w:sz w:val="14"/>
              </w:rPr>
            </w:pPr>
            <w:r>
              <w:rPr>
                <w:sz w:val="14"/>
              </w:rPr>
              <w:t>Encargos Regulatórios</w:t>
            </w:r>
          </w:p>
        </w:tc>
        <w:tc>
          <w:tcPr>
            <w:tcW w:w="1518" w:type="dxa"/>
          </w:tcPr>
          <w:p>
            <w:pPr>
              <w:pStyle w:val="TableParagraph"/>
              <w:spacing w:line="143"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3" w:lineRule="exact"/>
              <w:ind w:right="69"/>
              <w:jc w:val="right"/>
              <w:rPr>
                <w:sz w:val="14"/>
              </w:rPr>
            </w:pPr>
            <w:r>
              <w:rPr>
                <w:w w:val="95"/>
                <w:sz w:val="14"/>
              </w:rPr>
              <w:t>152.127</w:t>
            </w:r>
          </w:p>
        </w:tc>
        <w:tc>
          <w:tcPr>
            <w:tcW w:w="999" w:type="dxa"/>
          </w:tcPr>
          <w:p>
            <w:pPr>
              <w:pStyle w:val="TableParagraph"/>
              <w:spacing w:line="143" w:lineRule="exact"/>
              <w:ind w:right="70"/>
              <w:jc w:val="right"/>
              <w:rPr>
                <w:sz w:val="14"/>
              </w:rPr>
            </w:pPr>
            <w:r>
              <w:rPr>
                <w:w w:val="95"/>
                <w:sz w:val="14"/>
              </w:rPr>
              <w:t>152.127</w:t>
            </w:r>
          </w:p>
        </w:tc>
      </w:tr>
      <w:tr>
        <w:trPr>
          <w:trHeight w:val="165" w:hRule="atLeast"/>
        </w:trPr>
        <w:tc>
          <w:tcPr>
            <w:tcW w:w="4451" w:type="dxa"/>
          </w:tcPr>
          <w:p>
            <w:pPr>
              <w:pStyle w:val="TableParagraph"/>
              <w:spacing w:line="145" w:lineRule="exact"/>
              <w:ind w:left="72"/>
              <w:rPr>
                <w:sz w:val="14"/>
              </w:rPr>
            </w:pPr>
            <w:r>
              <w:rPr>
                <w:sz w:val="14"/>
              </w:rPr>
              <w:t>Obrigações Vinculadas a Concessão</w:t>
            </w:r>
          </w:p>
        </w:tc>
        <w:tc>
          <w:tcPr>
            <w:tcW w:w="1518" w:type="dxa"/>
          </w:tcPr>
          <w:p>
            <w:pPr>
              <w:pStyle w:val="TableParagraph"/>
              <w:spacing w:line="145" w:lineRule="exact"/>
              <w:ind w:left="182" w:right="183"/>
              <w:jc w:val="center"/>
              <w:rPr>
                <w:sz w:val="14"/>
              </w:rPr>
            </w:pPr>
            <w:r>
              <w:rPr>
                <w:sz w:val="14"/>
              </w:rPr>
              <w:t>Custo Amortizado</w:t>
            </w:r>
          </w:p>
        </w:tc>
        <w:tc>
          <w:tcPr>
            <w:tcW w:w="985" w:type="dxa"/>
          </w:tcPr>
          <w:p>
            <w:pPr>
              <w:pStyle w:val="TableParagraph"/>
              <w:rPr>
                <w:rFonts w:ascii="Times New Roman"/>
                <w:sz w:val="10"/>
              </w:rPr>
            </w:pPr>
          </w:p>
        </w:tc>
        <w:tc>
          <w:tcPr>
            <w:tcW w:w="986" w:type="dxa"/>
          </w:tcPr>
          <w:p>
            <w:pPr>
              <w:pStyle w:val="TableParagraph"/>
              <w:rPr>
                <w:rFonts w:ascii="Times New Roman"/>
                <w:sz w:val="10"/>
              </w:rPr>
            </w:pPr>
          </w:p>
        </w:tc>
        <w:tc>
          <w:tcPr>
            <w:tcW w:w="985" w:type="dxa"/>
          </w:tcPr>
          <w:p>
            <w:pPr>
              <w:pStyle w:val="TableParagraph"/>
              <w:spacing w:line="145" w:lineRule="exact"/>
              <w:ind w:right="69"/>
              <w:jc w:val="right"/>
              <w:rPr>
                <w:sz w:val="14"/>
              </w:rPr>
            </w:pPr>
            <w:r>
              <w:rPr>
                <w:w w:val="95"/>
                <w:sz w:val="14"/>
              </w:rPr>
              <w:t>1.103</w:t>
            </w:r>
          </w:p>
        </w:tc>
        <w:tc>
          <w:tcPr>
            <w:tcW w:w="999" w:type="dxa"/>
          </w:tcPr>
          <w:p>
            <w:pPr>
              <w:pStyle w:val="TableParagraph"/>
              <w:spacing w:line="145" w:lineRule="exact"/>
              <w:ind w:right="69"/>
              <w:jc w:val="right"/>
              <w:rPr>
                <w:sz w:val="14"/>
              </w:rPr>
            </w:pPr>
            <w:r>
              <w:rPr>
                <w:w w:val="95"/>
                <w:sz w:val="14"/>
              </w:rPr>
              <w:t>1.103</w:t>
            </w:r>
          </w:p>
        </w:tc>
      </w:tr>
    </w:tbl>
    <w:p>
      <w:pPr>
        <w:spacing w:after="0" w:line="145" w:lineRule="exact"/>
        <w:jc w:val="right"/>
        <w:rPr>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before="8"/>
        <w:rPr>
          <w:sz w:val="2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11"/>
        <w:gridCol w:w="1632"/>
        <w:gridCol w:w="873"/>
        <w:gridCol w:w="922"/>
        <w:gridCol w:w="943"/>
        <w:gridCol w:w="933"/>
      </w:tblGrid>
      <w:tr>
        <w:trPr>
          <w:trHeight w:val="417" w:hRule="atLeast"/>
        </w:trPr>
        <w:tc>
          <w:tcPr>
            <w:tcW w:w="4611" w:type="dxa"/>
            <w:vMerge w:val="restart"/>
            <w:shd w:val="clear" w:color="auto" w:fill="D9D9D9"/>
          </w:tcPr>
          <w:p>
            <w:pPr>
              <w:pStyle w:val="TableParagraph"/>
              <w:rPr>
                <w:rFonts w:ascii="Times New Roman"/>
                <w:sz w:val="16"/>
              </w:rPr>
            </w:pPr>
          </w:p>
        </w:tc>
        <w:tc>
          <w:tcPr>
            <w:tcW w:w="1632" w:type="dxa"/>
            <w:vMerge w:val="restart"/>
          </w:tcPr>
          <w:p>
            <w:pPr>
              <w:pStyle w:val="TableParagraph"/>
              <w:rPr>
                <w:sz w:val="16"/>
              </w:rPr>
            </w:pPr>
          </w:p>
          <w:p>
            <w:pPr>
              <w:pStyle w:val="TableParagraph"/>
              <w:rPr>
                <w:sz w:val="16"/>
              </w:rPr>
            </w:pPr>
          </w:p>
          <w:p>
            <w:pPr>
              <w:pStyle w:val="TableParagraph"/>
              <w:spacing w:before="5"/>
              <w:rPr>
                <w:sz w:val="15"/>
              </w:rPr>
            </w:pPr>
          </w:p>
          <w:p>
            <w:pPr>
              <w:pStyle w:val="TableParagraph"/>
              <w:ind w:left="504"/>
              <w:rPr>
                <w:rFonts w:ascii="Caladea" w:hAnsi="Caladea"/>
                <w:b/>
                <w:sz w:val="14"/>
              </w:rPr>
            </w:pPr>
            <w:r>
              <w:rPr>
                <w:rFonts w:ascii="Caladea" w:hAnsi="Caladea"/>
                <w:b/>
                <w:sz w:val="14"/>
              </w:rPr>
              <w:t>Avaliação</w:t>
            </w:r>
          </w:p>
        </w:tc>
        <w:tc>
          <w:tcPr>
            <w:tcW w:w="3671" w:type="dxa"/>
            <w:gridSpan w:val="4"/>
          </w:tcPr>
          <w:p>
            <w:pPr>
              <w:pStyle w:val="TableParagraph"/>
              <w:spacing w:before="126"/>
              <w:ind w:left="1412" w:right="1404"/>
              <w:jc w:val="center"/>
              <w:rPr>
                <w:rFonts w:ascii="Caladea"/>
                <w:b/>
                <w:sz w:val="14"/>
              </w:rPr>
            </w:pPr>
            <w:r>
              <w:rPr>
                <w:rFonts w:ascii="Caladea"/>
                <w:b/>
                <w:sz w:val="14"/>
              </w:rPr>
              <w:t>31/12/2018</w:t>
            </w:r>
          </w:p>
        </w:tc>
      </w:tr>
      <w:tr>
        <w:trPr>
          <w:trHeight w:val="414" w:hRule="atLeast"/>
        </w:trPr>
        <w:tc>
          <w:tcPr>
            <w:tcW w:w="4611" w:type="dxa"/>
            <w:vMerge/>
            <w:tcBorders>
              <w:top w:val="nil"/>
            </w:tcBorders>
            <w:shd w:val="clear" w:color="auto" w:fill="D9D9D9"/>
          </w:tcPr>
          <w:p>
            <w:pPr>
              <w:rPr>
                <w:sz w:val="2"/>
                <w:szCs w:val="2"/>
              </w:rPr>
            </w:pPr>
          </w:p>
        </w:tc>
        <w:tc>
          <w:tcPr>
            <w:tcW w:w="1632" w:type="dxa"/>
            <w:vMerge/>
            <w:tcBorders>
              <w:top w:val="nil"/>
            </w:tcBorders>
          </w:tcPr>
          <w:p>
            <w:pPr>
              <w:rPr>
                <w:sz w:val="2"/>
                <w:szCs w:val="2"/>
              </w:rPr>
            </w:pPr>
          </w:p>
        </w:tc>
        <w:tc>
          <w:tcPr>
            <w:tcW w:w="1795" w:type="dxa"/>
            <w:gridSpan w:val="2"/>
          </w:tcPr>
          <w:p>
            <w:pPr>
              <w:pStyle w:val="TableParagraph"/>
              <w:spacing w:before="123"/>
              <w:ind w:left="466"/>
              <w:rPr>
                <w:rFonts w:ascii="Caladea"/>
                <w:b/>
                <w:sz w:val="14"/>
              </w:rPr>
            </w:pPr>
            <w:r>
              <w:rPr>
                <w:rFonts w:ascii="Caladea"/>
                <w:b/>
                <w:sz w:val="14"/>
              </w:rPr>
              <w:t>Controladora</w:t>
            </w:r>
          </w:p>
        </w:tc>
        <w:tc>
          <w:tcPr>
            <w:tcW w:w="1876" w:type="dxa"/>
            <w:gridSpan w:val="2"/>
          </w:tcPr>
          <w:p>
            <w:pPr>
              <w:pStyle w:val="TableParagraph"/>
              <w:spacing w:before="42"/>
              <w:ind w:left="541"/>
              <w:rPr>
                <w:rFonts w:ascii="Caladea"/>
                <w:b/>
                <w:sz w:val="14"/>
              </w:rPr>
            </w:pPr>
            <w:r>
              <w:rPr>
                <w:rFonts w:ascii="Caladea"/>
                <w:b/>
                <w:sz w:val="14"/>
              </w:rPr>
              <w:t>Consolidado</w:t>
            </w:r>
          </w:p>
          <w:p>
            <w:pPr>
              <w:pStyle w:val="TableParagraph"/>
              <w:ind w:left="488"/>
              <w:rPr>
                <w:sz w:val="14"/>
              </w:rPr>
            </w:pPr>
            <w:r>
              <w:rPr>
                <w:sz w:val="14"/>
              </w:rPr>
              <w:t>Reapresentado</w:t>
            </w:r>
          </w:p>
        </w:tc>
      </w:tr>
      <w:tr>
        <w:trPr>
          <w:trHeight w:val="417" w:hRule="atLeast"/>
        </w:trPr>
        <w:tc>
          <w:tcPr>
            <w:tcW w:w="4611" w:type="dxa"/>
            <w:vMerge/>
            <w:tcBorders>
              <w:top w:val="nil"/>
            </w:tcBorders>
            <w:shd w:val="clear" w:color="auto" w:fill="D9D9D9"/>
          </w:tcPr>
          <w:p>
            <w:pPr>
              <w:rPr>
                <w:sz w:val="2"/>
                <w:szCs w:val="2"/>
              </w:rPr>
            </w:pPr>
          </w:p>
        </w:tc>
        <w:tc>
          <w:tcPr>
            <w:tcW w:w="1632" w:type="dxa"/>
            <w:vMerge/>
            <w:tcBorders>
              <w:top w:val="nil"/>
            </w:tcBorders>
          </w:tcPr>
          <w:p>
            <w:pPr>
              <w:rPr>
                <w:sz w:val="2"/>
                <w:szCs w:val="2"/>
              </w:rPr>
            </w:pPr>
          </w:p>
        </w:tc>
        <w:tc>
          <w:tcPr>
            <w:tcW w:w="873" w:type="dxa"/>
          </w:tcPr>
          <w:p>
            <w:pPr>
              <w:pStyle w:val="TableParagraph"/>
              <w:spacing w:before="44"/>
              <w:ind w:left="274" w:right="233" w:firstLine="2"/>
              <w:rPr>
                <w:rFonts w:ascii="Caladea"/>
                <w:b/>
                <w:sz w:val="14"/>
              </w:rPr>
            </w:pPr>
            <w:r>
              <w:rPr>
                <w:rFonts w:ascii="Caladea"/>
                <w:b/>
                <w:w w:val="95"/>
                <w:sz w:val="14"/>
              </w:rPr>
              <w:t>Valor </w:t>
            </w:r>
            <w:r>
              <w:rPr>
                <w:rFonts w:ascii="Caladea"/>
                <w:b/>
                <w:sz w:val="14"/>
              </w:rPr>
              <w:t>Justo</w:t>
            </w:r>
          </w:p>
        </w:tc>
        <w:tc>
          <w:tcPr>
            <w:tcW w:w="922" w:type="dxa"/>
          </w:tcPr>
          <w:p>
            <w:pPr>
              <w:pStyle w:val="TableParagraph"/>
              <w:spacing w:before="44"/>
              <w:ind w:left="193" w:firstLine="108"/>
              <w:rPr>
                <w:rFonts w:ascii="Caladea" w:hAnsi="Caladea"/>
                <w:b/>
                <w:sz w:val="14"/>
              </w:rPr>
            </w:pPr>
            <w:r>
              <w:rPr>
                <w:rFonts w:ascii="Caladea" w:hAnsi="Caladea"/>
                <w:b/>
                <w:sz w:val="14"/>
              </w:rPr>
              <w:t>Valor </w:t>
            </w:r>
            <w:r>
              <w:rPr>
                <w:rFonts w:ascii="Caladea" w:hAnsi="Caladea"/>
                <w:b/>
                <w:w w:val="95"/>
                <w:sz w:val="14"/>
              </w:rPr>
              <w:t>Contábil</w:t>
            </w:r>
          </w:p>
        </w:tc>
        <w:tc>
          <w:tcPr>
            <w:tcW w:w="943" w:type="dxa"/>
          </w:tcPr>
          <w:p>
            <w:pPr>
              <w:pStyle w:val="TableParagraph"/>
              <w:spacing w:before="126"/>
              <w:ind w:right="87"/>
              <w:jc w:val="right"/>
              <w:rPr>
                <w:rFonts w:ascii="Caladea"/>
                <w:b/>
                <w:sz w:val="14"/>
              </w:rPr>
            </w:pPr>
            <w:r>
              <w:rPr>
                <w:rFonts w:ascii="Caladea"/>
                <w:b/>
                <w:sz w:val="14"/>
              </w:rPr>
              <w:t>Valor Justo</w:t>
            </w:r>
          </w:p>
        </w:tc>
        <w:tc>
          <w:tcPr>
            <w:tcW w:w="933" w:type="dxa"/>
          </w:tcPr>
          <w:p>
            <w:pPr>
              <w:pStyle w:val="TableParagraph"/>
              <w:spacing w:before="44"/>
              <w:ind w:left="200" w:firstLine="108"/>
              <w:rPr>
                <w:rFonts w:ascii="Caladea" w:hAnsi="Caladea"/>
                <w:b/>
                <w:sz w:val="14"/>
              </w:rPr>
            </w:pPr>
            <w:r>
              <w:rPr>
                <w:rFonts w:ascii="Caladea" w:hAnsi="Caladea"/>
                <w:b/>
                <w:sz w:val="14"/>
              </w:rPr>
              <w:t>Valor </w:t>
            </w:r>
            <w:r>
              <w:rPr>
                <w:rFonts w:ascii="Caladea" w:hAnsi="Caladea"/>
                <w:b/>
                <w:w w:val="95"/>
                <w:sz w:val="14"/>
              </w:rPr>
              <w:t>Contábil</w:t>
            </w:r>
          </w:p>
        </w:tc>
      </w:tr>
      <w:tr>
        <w:trPr>
          <w:trHeight w:val="162" w:hRule="atLeast"/>
        </w:trPr>
        <w:tc>
          <w:tcPr>
            <w:tcW w:w="4611" w:type="dxa"/>
          </w:tcPr>
          <w:p>
            <w:pPr>
              <w:pStyle w:val="TableParagraph"/>
              <w:spacing w:line="143" w:lineRule="exact"/>
              <w:ind w:left="72"/>
              <w:rPr>
                <w:rFonts w:ascii="Caladea"/>
                <w:b/>
                <w:sz w:val="14"/>
              </w:rPr>
            </w:pPr>
            <w:r>
              <w:rPr>
                <w:rFonts w:ascii="Caladea"/>
                <w:b/>
                <w:sz w:val="14"/>
              </w:rPr>
              <w:t>Ativos Financeiros</w:t>
            </w:r>
          </w:p>
        </w:tc>
        <w:tc>
          <w:tcPr>
            <w:tcW w:w="1632" w:type="dxa"/>
          </w:tcPr>
          <w:p>
            <w:pPr>
              <w:pStyle w:val="TableParagraph"/>
              <w:rPr>
                <w:rFonts w:ascii="Times New Roman"/>
                <w:sz w:val="10"/>
              </w:rPr>
            </w:pP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rPr>
                <w:rFonts w:ascii="Times New Roman"/>
                <w:sz w:val="10"/>
              </w:rPr>
            </w:pPr>
          </w:p>
        </w:tc>
        <w:tc>
          <w:tcPr>
            <w:tcW w:w="933" w:type="dxa"/>
          </w:tcPr>
          <w:p>
            <w:pPr>
              <w:pStyle w:val="TableParagraph"/>
              <w:rPr>
                <w:rFonts w:ascii="Times New Roman"/>
                <w:sz w:val="10"/>
              </w:rPr>
            </w:pPr>
          </w:p>
        </w:tc>
      </w:tr>
      <w:tr>
        <w:trPr>
          <w:trHeight w:val="203" w:hRule="atLeast"/>
        </w:trPr>
        <w:tc>
          <w:tcPr>
            <w:tcW w:w="4611" w:type="dxa"/>
          </w:tcPr>
          <w:p>
            <w:pPr>
              <w:pStyle w:val="TableParagraph"/>
              <w:spacing w:before="19"/>
              <w:ind w:left="72"/>
              <w:rPr>
                <w:sz w:val="14"/>
              </w:rPr>
            </w:pPr>
            <w:r>
              <w:rPr>
                <w:sz w:val="14"/>
              </w:rPr>
              <w:t>Caixa e Bancos</w:t>
            </w:r>
          </w:p>
        </w:tc>
        <w:tc>
          <w:tcPr>
            <w:tcW w:w="1632" w:type="dxa"/>
          </w:tcPr>
          <w:p>
            <w:pPr>
              <w:pStyle w:val="TableParagraph"/>
              <w:spacing w:before="19"/>
              <w:ind w:left="240" w:right="234"/>
              <w:jc w:val="center"/>
              <w:rPr>
                <w:sz w:val="14"/>
              </w:rPr>
            </w:pPr>
            <w:r>
              <w:rPr>
                <w:sz w:val="14"/>
              </w:rPr>
              <w:t>Valor Justo</w:t>
            </w:r>
          </w:p>
        </w:tc>
        <w:tc>
          <w:tcPr>
            <w:tcW w:w="873" w:type="dxa"/>
          </w:tcPr>
          <w:p>
            <w:pPr>
              <w:pStyle w:val="TableParagraph"/>
              <w:spacing w:before="19"/>
              <w:ind w:right="58"/>
              <w:jc w:val="right"/>
              <w:rPr>
                <w:sz w:val="14"/>
              </w:rPr>
            </w:pPr>
            <w:r>
              <w:rPr>
                <w:sz w:val="14"/>
              </w:rPr>
              <w:t>15</w:t>
            </w:r>
          </w:p>
        </w:tc>
        <w:tc>
          <w:tcPr>
            <w:tcW w:w="922" w:type="dxa"/>
          </w:tcPr>
          <w:p>
            <w:pPr>
              <w:pStyle w:val="TableParagraph"/>
              <w:spacing w:before="19"/>
              <w:ind w:right="58"/>
              <w:jc w:val="right"/>
              <w:rPr>
                <w:sz w:val="14"/>
              </w:rPr>
            </w:pPr>
            <w:r>
              <w:rPr>
                <w:sz w:val="14"/>
              </w:rPr>
              <w:t>15</w:t>
            </w:r>
          </w:p>
        </w:tc>
        <w:tc>
          <w:tcPr>
            <w:tcW w:w="943" w:type="dxa"/>
          </w:tcPr>
          <w:p>
            <w:pPr>
              <w:pStyle w:val="TableParagraph"/>
              <w:spacing w:before="19"/>
              <w:ind w:right="55"/>
              <w:jc w:val="right"/>
              <w:rPr>
                <w:sz w:val="14"/>
              </w:rPr>
            </w:pPr>
            <w:r>
              <w:rPr>
                <w:w w:val="95"/>
                <w:sz w:val="14"/>
              </w:rPr>
              <w:t>46.598</w:t>
            </w:r>
          </w:p>
        </w:tc>
        <w:tc>
          <w:tcPr>
            <w:tcW w:w="933" w:type="dxa"/>
          </w:tcPr>
          <w:p>
            <w:pPr>
              <w:pStyle w:val="TableParagraph"/>
              <w:spacing w:before="19"/>
              <w:ind w:right="57"/>
              <w:jc w:val="right"/>
              <w:rPr>
                <w:sz w:val="14"/>
              </w:rPr>
            </w:pPr>
            <w:r>
              <w:rPr>
                <w:w w:val="95"/>
                <w:sz w:val="14"/>
              </w:rPr>
              <w:t>46.598</w:t>
            </w:r>
          </w:p>
        </w:tc>
      </w:tr>
      <w:tr>
        <w:trPr>
          <w:trHeight w:val="162" w:hRule="atLeast"/>
        </w:trPr>
        <w:tc>
          <w:tcPr>
            <w:tcW w:w="4611" w:type="dxa"/>
          </w:tcPr>
          <w:p>
            <w:pPr>
              <w:pStyle w:val="TableParagraph"/>
              <w:spacing w:line="142" w:lineRule="exact"/>
              <w:ind w:left="72"/>
              <w:rPr>
                <w:sz w:val="14"/>
              </w:rPr>
            </w:pPr>
            <w:r>
              <w:rPr>
                <w:sz w:val="14"/>
              </w:rPr>
              <w:t>Contas a Receber</w:t>
            </w:r>
          </w:p>
        </w:tc>
        <w:tc>
          <w:tcPr>
            <w:tcW w:w="1632" w:type="dxa"/>
          </w:tcPr>
          <w:p>
            <w:pPr>
              <w:pStyle w:val="TableParagraph"/>
              <w:spacing w:line="142" w:lineRule="exact"/>
              <w:ind w:left="240" w:right="234"/>
              <w:jc w:val="center"/>
              <w:rPr>
                <w:sz w:val="14"/>
              </w:rPr>
            </w:pPr>
            <w:r>
              <w:rPr>
                <w:sz w:val="14"/>
              </w:rPr>
              <w:t>Custo Amortizado</w:t>
            </w:r>
          </w:p>
        </w:tc>
        <w:tc>
          <w:tcPr>
            <w:tcW w:w="873" w:type="dxa"/>
          </w:tcPr>
          <w:p>
            <w:pPr>
              <w:pStyle w:val="TableParagraph"/>
              <w:spacing w:line="142" w:lineRule="exact"/>
              <w:ind w:right="58"/>
              <w:jc w:val="right"/>
              <w:rPr>
                <w:sz w:val="14"/>
              </w:rPr>
            </w:pPr>
            <w:r>
              <w:rPr>
                <w:w w:val="95"/>
                <w:sz w:val="14"/>
              </w:rPr>
              <w:t>26.994</w:t>
            </w:r>
          </w:p>
        </w:tc>
        <w:tc>
          <w:tcPr>
            <w:tcW w:w="922" w:type="dxa"/>
          </w:tcPr>
          <w:p>
            <w:pPr>
              <w:pStyle w:val="TableParagraph"/>
              <w:spacing w:line="142" w:lineRule="exact"/>
              <w:ind w:right="58"/>
              <w:jc w:val="right"/>
              <w:rPr>
                <w:sz w:val="14"/>
              </w:rPr>
            </w:pPr>
            <w:r>
              <w:rPr>
                <w:w w:val="95"/>
                <w:sz w:val="14"/>
              </w:rPr>
              <w:t>26.994</w:t>
            </w:r>
          </w:p>
        </w:tc>
        <w:tc>
          <w:tcPr>
            <w:tcW w:w="943" w:type="dxa"/>
          </w:tcPr>
          <w:p>
            <w:pPr>
              <w:pStyle w:val="TableParagraph"/>
              <w:spacing w:line="142" w:lineRule="exact"/>
              <w:ind w:right="55"/>
              <w:jc w:val="right"/>
              <w:rPr>
                <w:sz w:val="14"/>
              </w:rPr>
            </w:pPr>
            <w:r>
              <w:rPr>
                <w:w w:val="95"/>
                <w:sz w:val="14"/>
              </w:rPr>
              <w:t>655.972</w:t>
            </w:r>
          </w:p>
        </w:tc>
        <w:tc>
          <w:tcPr>
            <w:tcW w:w="933" w:type="dxa"/>
          </w:tcPr>
          <w:p>
            <w:pPr>
              <w:pStyle w:val="TableParagraph"/>
              <w:spacing w:line="142" w:lineRule="exact"/>
              <w:ind w:right="57"/>
              <w:jc w:val="right"/>
              <w:rPr>
                <w:sz w:val="14"/>
              </w:rPr>
            </w:pPr>
            <w:r>
              <w:rPr>
                <w:w w:val="95"/>
                <w:sz w:val="14"/>
              </w:rPr>
              <w:t>655.972</w:t>
            </w:r>
          </w:p>
        </w:tc>
      </w:tr>
      <w:tr>
        <w:trPr>
          <w:trHeight w:val="165" w:hRule="atLeast"/>
        </w:trPr>
        <w:tc>
          <w:tcPr>
            <w:tcW w:w="4611" w:type="dxa"/>
          </w:tcPr>
          <w:p>
            <w:pPr>
              <w:pStyle w:val="TableParagraph"/>
              <w:spacing w:line="145" w:lineRule="exact"/>
              <w:ind w:left="72"/>
              <w:rPr>
                <w:sz w:val="14"/>
              </w:rPr>
            </w:pPr>
            <w:r>
              <w:rPr>
                <w:sz w:val="14"/>
              </w:rPr>
              <w:t>Valores a Receber Parcela A e Outros Itens Financeiros</w:t>
            </w:r>
          </w:p>
        </w:tc>
        <w:tc>
          <w:tcPr>
            <w:tcW w:w="1632" w:type="dxa"/>
          </w:tcPr>
          <w:p>
            <w:pPr>
              <w:pStyle w:val="TableParagraph"/>
              <w:spacing w:line="145" w:lineRule="exact"/>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5" w:lineRule="exact"/>
              <w:ind w:right="55"/>
              <w:jc w:val="right"/>
              <w:rPr>
                <w:sz w:val="14"/>
              </w:rPr>
            </w:pPr>
            <w:r>
              <w:rPr>
                <w:w w:val="95"/>
                <w:sz w:val="14"/>
              </w:rPr>
              <w:t>862.704</w:t>
            </w:r>
          </w:p>
        </w:tc>
        <w:tc>
          <w:tcPr>
            <w:tcW w:w="933" w:type="dxa"/>
          </w:tcPr>
          <w:p>
            <w:pPr>
              <w:pStyle w:val="TableParagraph"/>
              <w:spacing w:line="145" w:lineRule="exact"/>
              <w:ind w:right="57"/>
              <w:jc w:val="right"/>
              <w:rPr>
                <w:sz w:val="14"/>
              </w:rPr>
            </w:pPr>
            <w:r>
              <w:rPr>
                <w:w w:val="95"/>
                <w:sz w:val="14"/>
              </w:rPr>
              <w:t>862.704</w:t>
            </w:r>
          </w:p>
        </w:tc>
      </w:tr>
      <w:tr>
        <w:trPr>
          <w:trHeight w:val="162" w:hRule="atLeast"/>
        </w:trPr>
        <w:tc>
          <w:tcPr>
            <w:tcW w:w="4611" w:type="dxa"/>
          </w:tcPr>
          <w:p>
            <w:pPr>
              <w:pStyle w:val="TableParagraph"/>
              <w:spacing w:line="142" w:lineRule="exact"/>
              <w:ind w:left="72"/>
              <w:rPr>
                <w:sz w:val="14"/>
              </w:rPr>
            </w:pPr>
            <w:r>
              <w:rPr>
                <w:sz w:val="14"/>
              </w:rPr>
              <w:t>Aplicações Financeiras</w:t>
            </w:r>
          </w:p>
        </w:tc>
        <w:tc>
          <w:tcPr>
            <w:tcW w:w="1632" w:type="dxa"/>
          </w:tcPr>
          <w:p>
            <w:pPr>
              <w:pStyle w:val="TableParagraph"/>
              <w:spacing w:line="142" w:lineRule="exact"/>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2" w:lineRule="exact"/>
              <w:ind w:right="55"/>
              <w:jc w:val="right"/>
              <w:rPr>
                <w:sz w:val="14"/>
              </w:rPr>
            </w:pPr>
            <w:r>
              <w:rPr>
                <w:w w:val="95"/>
                <w:sz w:val="14"/>
              </w:rPr>
              <w:t>10.355</w:t>
            </w:r>
          </w:p>
        </w:tc>
        <w:tc>
          <w:tcPr>
            <w:tcW w:w="933" w:type="dxa"/>
          </w:tcPr>
          <w:p>
            <w:pPr>
              <w:pStyle w:val="TableParagraph"/>
              <w:spacing w:line="142" w:lineRule="exact"/>
              <w:ind w:right="57"/>
              <w:jc w:val="right"/>
              <w:rPr>
                <w:sz w:val="14"/>
              </w:rPr>
            </w:pPr>
            <w:r>
              <w:rPr>
                <w:w w:val="95"/>
                <w:sz w:val="14"/>
              </w:rPr>
              <w:t>10.355</w:t>
            </w:r>
          </w:p>
        </w:tc>
      </w:tr>
      <w:tr>
        <w:trPr>
          <w:trHeight w:val="165" w:hRule="atLeast"/>
        </w:trPr>
        <w:tc>
          <w:tcPr>
            <w:tcW w:w="4611" w:type="dxa"/>
          </w:tcPr>
          <w:p>
            <w:pPr>
              <w:pStyle w:val="TableParagraph"/>
              <w:spacing w:line="145" w:lineRule="exact"/>
              <w:ind w:left="72"/>
              <w:rPr>
                <w:sz w:val="14"/>
              </w:rPr>
            </w:pPr>
            <w:r>
              <w:rPr>
                <w:sz w:val="14"/>
              </w:rPr>
              <w:t>Aplicações Financeiras</w:t>
            </w:r>
          </w:p>
        </w:tc>
        <w:tc>
          <w:tcPr>
            <w:tcW w:w="1632" w:type="dxa"/>
          </w:tcPr>
          <w:p>
            <w:pPr>
              <w:pStyle w:val="TableParagraph"/>
              <w:spacing w:line="145" w:lineRule="exact"/>
              <w:ind w:left="240" w:right="234"/>
              <w:jc w:val="center"/>
              <w:rPr>
                <w:sz w:val="14"/>
              </w:rPr>
            </w:pPr>
            <w:r>
              <w:rPr>
                <w:sz w:val="14"/>
              </w:rPr>
              <w:t>Valor Justo</w:t>
            </w:r>
          </w:p>
        </w:tc>
        <w:tc>
          <w:tcPr>
            <w:tcW w:w="873" w:type="dxa"/>
          </w:tcPr>
          <w:p>
            <w:pPr>
              <w:pStyle w:val="TableParagraph"/>
              <w:spacing w:line="145" w:lineRule="exact"/>
              <w:ind w:right="58"/>
              <w:jc w:val="right"/>
              <w:rPr>
                <w:sz w:val="14"/>
              </w:rPr>
            </w:pPr>
            <w:r>
              <w:rPr>
                <w:w w:val="95"/>
                <w:sz w:val="14"/>
              </w:rPr>
              <w:t>12.769</w:t>
            </w:r>
          </w:p>
        </w:tc>
        <w:tc>
          <w:tcPr>
            <w:tcW w:w="922" w:type="dxa"/>
          </w:tcPr>
          <w:p>
            <w:pPr>
              <w:pStyle w:val="TableParagraph"/>
              <w:spacing w:line="145" w:lineRule="exact"/>
              <w:ind w:right="58"/>
              <w:jc w:val="right"/>
              <w:rPr>
                <w:sz w:val="14"/>
              </w:rPr>
            </w:pPr>
            <w:r>
              <w:rPr>
                <w:w w:val="95"/>
                <w:sz w:val="14"/>
              </w:rPr>
              <w:t>12.769</w:t>
            </w:r>
          </w:p>
        </w:tc>
        <w:tc>
          <w:tcPr>
            <w:tcW w:w="943" w:type="dxa"/>
          </w:tcPr>
          <w:p>
            <w:pPr>
              <w:pStyle w:val="TableParagraph"/>
              <w:spacing w:line="145" w:lineRule="exact"/>
              <w:ind w:right="55"/>
              <w:jc w:val="right"/>
              <w:rPr>
                <w:sz w:val="14"/>
              </w:rPr>
            </w:pPr>
            <w:r>
              <w:rPr>
                <w:sz w:val="14"/>
              </w:rPr>
              <w:t>133.101</w:t>
            </w:r>
          </w:p>
        </w:tc>
        <w:tc>
          <w:tcPr>
            <w:tcW w:w="933" w:type="dxa"/>
          </w:tcPr>
          <w:p>
            <w:pPr>
              <w:pStyle w:val="TableParagraph"/>
              <w:spacing w:line="145" w:lineRule="exact"/>
              <w:ind w:right="57"/>
              <w:jc w:val="right"/>
              <w:rPr>
                <w:sz w:val="14"/>
              </w:rPr>
            </w:pPr>
            <w:r>
              <w:rPr>
                <w:w w:val="95"/>
                <w:sz w:val="14"/>
              </w:rPr>
              <w:t>133.101</w:t>
            </w:r>
          </w:p>
        </w:tc>
      </w:tr>
      <w:tr>
        <w:trPr>
          <w:trHeight w:val="162" w:hRule="atLeast"/>
        </w:trPr>
        <w:tc>
          <w:tcPr>
            <w:tcW w:w="4611" w:type="dxa"/>
          </w:tcPr>
          <w:p>
            <w:pPr>
              <w:pStyle w:val="TableParagraph"/>
              <w:spacing w:line="142" w:lineRule="exact"/>
              <w:ind w:left="72"/>
              <w:rPr>
                <w:sz w:val="14"/>
              </w:rPr>
            </w:pPr>
            <w:r>
              <w:rPr>
                <w:sz w:val="14"/>
              </w:rPr>
              <w:t>Ativo Financeiro Indenizável</w:t>
            </w:r>
          </w:p>
        </w:tc>
        <w:tc>
          <w:tcPr>
            <w:tcW w:w="1632" w:type="dxa"/>
          </w:tcPr>
          <w:p>
            <w:pPr>
              <w:pStyle w:val="TableParagraph"/>
              <w:spacing w:line="142" w:lineRule="exact"/>
              <w:ind w:left="240" w:right="234"/>
              <w:jc w:val="center"/>
              <w:rPr>
                <w:sz w:val="14"/>
              </w:rPr>
            </w:pPr>
            <w:r>
              <w:rPr>
                <w:sz w:val="14"/>
              </w:rPr>
              <w:t>Valor Justo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2" w:lineRule="exact"/>
              <w:ind w:right="55"/>
              <w:jc w:val="right"/>
              <w:rPr>
                <w:sz w:val="14"/>
              </w:rPr>
            </w:pPr>
            <w:r>
              <w:rPr>
                <w:w w:val="95"/>
                <w:sz w:val="14"/>
              </w:rPr>
              <w:t>144.450</w:t>
            </w:r>
          </w:p>
        </w:tc>
        <w:tc>
          <w:tcPr>
            <w:tcW w:w="933" w:type="dxa"/>
          </w:tcPr>
          <w:p>
            <w:pPr>
              <w:pStyle w:val="TableParagraph"/>
              <w:spacing w:line="142" w:lineRule="exact"/>
              <w:ind w:right="57"/>
              <w:jc w:val="right"/>
              <w:rPr>
                <w:sz w:val="14"/>
              </w:rPr>
            </w:pPr>
            <w:r>
              <w:rPr>
                <w:w w:val="95"/>
                <w:sz w:val="14"/>
              </w:rPr>
              <w:t>144.450</w:t>
            </w:r>
          </w:p>
        </w:tc>
      </w:tr>
      <w:tr>
        <w:trPr>
          <w:trHeight w:val="165" w:hRule="atLeast"/>
        </w:trPr>
        <w:tc>
          <w:tcPr>
            <w:tcW w:w="4611" w:type="dxa"/>
          </w:tcPr>
          <w:p>
            <w:pPr>
              <w:pStyle w:val="TableParagraph"/>
              <w:spacing w:line="145" w:lineRule="exact"/>
              <w:ind w:left="72"/>
              <w:rPr>
                <w:rFonts w:ascii="Caladea"/>
                <w:b/>
                <w:sz w:val="14"/>
              </w:rPr>
            </w:pPr>
            <w:r>
              <w:rPr>
                <w:rFonts w:ascii="Caladea"/>
                <w:b/>
                <w:sz w:val="14"/>
              </w:rPr>
              <w:t>Passivos Financeiros</w:t>
            </w:r>
          </w:p>
        </w:tc>
        <w:tc>
          <w:tcPr>
            <w:tcW w:w="1632" w:type="dxa"/>
          </w:tcPr>
          <w:p>
            <w:pPr>
              <w:pStyle w:val="TableParagraph"/>
              <w:rPr>
                <w:rFonts w:ascii="Times New Roman"/>
                <w:sz w:val="10"/>
              </w:rPr>
            </w:pP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rPr>
                <w:rFonts w:ascii="Times New Roman"/>
                <w:sz w:val="10"/>
              </w:rPr>
            </w:pPr>
          </w:p>
        </w:tc>
        <w:tc>
          <w:tcPr>
            <w:tcW w:w="933" w:type="dxa"/>
          </w:tcPr>
          <w:p>
            <w:pPr>
              <w:pStyle w:val="TableParagraph"/>
              <w:rPr>
                <w:rFonts w:ascii="Times New Roman"/>
                <w:sz w:val="10"/>
              </w:rPr>
            </w:pPr>
          </w:p>
        </w:tc>
      </w:tr>
      <w:tr>
        <w:trPr>
          <w:trHeight w:val="162" w:hRule="atLeast"/>
        </w:trPr>
        <w:tc>
          <w:tcPr>
            <w:tcW w:w="4611" w:type="dxa"/>
          </w:tcPr>
          <w:p>
            <w:pPr>
              <w:pStyle w:val="TableParagraph"/>
              <w:spacing w:line="142" w:lineRule="exact"/>
              <w:ind w:left="72"/>
              <w:rPr>
                <w:sz w:val="14"/>
              </w:rPr>
            </w:pPr>
            <w:r>
              <w:rPr>
                <w:sz w:val="14"/>
              </w:rPr>
              <w:t>Fornecedores</w:t>
            </w:r>
          </w:p>
        </w:tc>
        <w:tc>
          <w:tcPr>
            <w:tcW w:w="1632" w:type="dxa"/>
          </w:tcPr>
          <w:p>
            <w:pPr>
              <w:pStyle w:val="TableParagraph"/>
              <w:spacing w:line="142" w:lineRule="exact"/>
              <w:ind w:left="240" w:right="234"/>
              <w:jc w:val="center"/>
              <w:rPr>
                <w:sz w:val="14"/>
              </w:rPr>
            </w:pPr>
            <w:r>
              <w:rPr>
                <w:sz w:val="14"/>
              </w:rPr>
              <w:t>Custo Amortizado</w:t>
            </w:r>
          </w:p>
        </w:tc>
        <w:tc>
          <w:tcPr>
            <w:tcW w:w="873" w:type="dxa"/>
          </w:tcPr>
          <w:p>
            <w:pPr>
              <w:pStyle w:val="TableParagraph"/>
              <w:spacing w:line="142" w:lineRule="exact"/>
              <w:ind w:right="58"/>
              <w:jc w:val="right"/>
              <w:rPr>
                <w:sz w:val="14"/>
              </w:rPr>
            </w:pPr>
            <w:r>
              <w:rPr>
                <w:w w:val="95"/>
                <w:sz w:val="14"/>
              </w:rPr>
              <w:t>15.237</w:t>
            </w:r>
          </w:p>
        </w:tc>
        <w:tc>
          <w:tcPr>
            <w:tcW w:w="922" w:type="dxa"/>
          </w:tcPr>
          <w:p>
            <w:pPr>
              <w:pStyle w:val="TableParagraph"/>
              <w:spacing w:line="142" w:lineRule="exact"/>
              <w:ind w:right="58"/>
              <w:jc w:val="right"/>
              <w:rPr>
                <w:sz w:val="14"/>
              </w:rPr>
            </w:pPr>
            <w:r>
              <w:rPr>
                <w:w w:val="95"/>
                <w:sz w:val="14"/>
              </w:rPr>
              <w:t>15.237</w:t>
            </w:r>
          </w:p>
        </w:tc>
        <w:tc>
          <w:tcPr>
            <w:tcW w:w="943" w:type="dxa"/>
          </w:tcPr>
          <w:p>
            <w:pPr>
              <w:pStyle w:val="TableParagraph"/>
              <w:spacing w:line="142" w:lineRule="exact"/>
              <w:ind w:right="55"/>
              <w:jc w:val="right"/>
              <w:rPr>
                <w:sz w:val="14"/>
              </w:rPr>
            </w:pPr>
            <w:r>
              <w:rPr>
                <w:w w:val="95"/>
                <w:sz w:val="14"/>
              </w:rPr>
              <w:t>524.848</w:t>
            </w:r>
          </w:p>
        </w:tc>
        <w:tc>
          <w:tcPr>
            <w:tcW w:w="933" w:type="dxa"/>
          </w:tcPr>
          <w:p>
            <w:pPr>
              <w:pStyle w:val="TableParagraph"/>
              <w:spacing w:line="142" w:lineRule="exact"/>
              <w:ind w:right="57"/>
              <w:jc w:val="right"/>
              <w:rPr>
                <w:sz w:val="14"/>
              </w:rPr>
            </w:pPr>
            <w:r>
              <w:rPr>
                <w:w w:val="95"/>
                <w:sz w:val="14"/>
              </w:rPr>
              <w:t>524.848</w:t>
            </w:r>
          </w:p>
        </w:tc>
      </w:tr>
      <w:tr>
        <w:trPr>
          <w:trHeight w:val="165" w:hRule="atLeast"/>
        </w:trPr>
        <w:tc>
          <w:tcPr>
            <w:tcW w:w="4611" w:type="dxa"/>
          </w:tcPr>
          <w:p>
            <w:pPr>
              <w:pStyle w:val="TableParagraph"/>
              <w:spacing w:line="142" w:lineRule="exact" w:before="2"/>
              <w:ind w:left="72"/>
              <w:rPr>
                <w:sz w:val="14"/>
              </w:rPr>
            </w:pPr>
            <w:r>
              <w:rPr>
                <w:sz w:val="14"/>
              </w:rPr>
              <w:t>Debêntures</w:t>
            </w:r>
          </w:p>
        </w:tc>
        <w:tc>
          <w:tcPr>
            <w:tcW w:w="1632" w:type="dxa"/>
          </w:tcPr>
          <w:p>
            <w:pPr>
              <w:pStyle w:val="TableParagraph"/>
              <w:spacing w:line="142" w:lineRule="exact" w:before="2"/>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2" w:lineRule="exact" w:before="2"/>
              <w:ind w:right="55"/>
              <w:jc w:val="right"/>
              <w:rPr>
                <w:sz w:val="14"/>
              </w:rPr>
            </w:pPr>
            <w:r>
              <w:rPr>
                <w:w w:val="95"/>
                <w:sz w:val="14"/>
              </w:rPr>
              <w:t>262.797</w:t>
            </w:r>
          </w:p>
        </w:tc>
        <w:tc>
          <w:tcPr>
            <w:tcW w:w="933" w:type="dxa"/>
          </w:tcPr>
          <w:p>
            <w:pPr>
              <w:pStyle w:val="TableParagraph"/>
              <w:spacing w:line="142" w:lineRule="exact" w:before="2"/>
              <w:ind w:right="57"/>
              <w:jc w:val="right"/>
              <w:rPr>
                <w:sz w:val="14"/>
              </w:rPr>
            </w:pPr>
            <w:r>
              <w:rPr>
                <w:w w:val="95"/>
                <w:sz w:val="14"/>
              </w:rPr>
              <w:t>262.797</w:t>
            </w:r>
          </w:p>
        </w:tc>
      </w:tr>
      <w:tr>
        <w:trPr>
          <w:trHeight w:val="165" w:hRule="atLeast"/>
        </w:trPr>
        <w:tc>
          <w:tcPr>
            <w:tcW w:w="4611" w:type="dxa"/>
          </w:tcPr>
          <w:p>
            <w:pPr>
              <w:pStyle w:val="TableParagraph"/>
              <w:spacing w:line="145" w:lineRule="exact"/>
              <w:ind w:left="72"/>
              <w:rPr>
                <w:sz w:val="14"/>
              </w:rPr>
            </w:pPr>
            <w:r>
              <w:rPr>
                <w:sz w:val="14"/>
              </w:rPr>
              <w:t>Empréstimos e Financiamentos</w:t>
            </w:r>
          </w:p>
        </w:tc>
        <w:tc>
          <w:tcPr>
            <w:tcW w:w="1632" w:type="dxa"/>
          </w:tcPr>
          <w:p>
            <w:pPr>
              <w:pStyle w:val="TableParagraph"/>
              <w:spacing w:line="145" w:lineRule="exact"/>
              <w:ind w:left="240" w:right="233"/>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5" w:lineRule="exact"/>
              <w:ind w:right="55"/>
              <w:jc w:val="right"/>
              <w:rPr>
                <w:sz w:val="14"/>
              </w:rPr>
            </w:pPr>
            <w:r>
              <w:rPr>
                <w:w w:val="95"/>
                <w:sz w:val="14"/>
              </w:rPr>
              <w:t>274.263</w:t>
            </w:r>
          </w:p>
        </w:tc>
        <w:tc>
          <w:tcPr>
            <w:tcW w:w="933" w:type="dxa"/>
          </w:tcPr>
          <w:p>
            <w:pPr>
              <w:pStyle w:val="TableParagraph"/>
              <w:spacing w:line="145" w:lineRule="exact"/>
              <w:ind w:right="57"/>
              <w:jc w:val="right"/>
              <w:rPr>
                <w:sz w:val="14"/>
              </w:rPr>
            </w:pPr>
            <w:r>
              <w:rPr>
                <w:w w:val="95"/>
                <w:sz w:val="14"/>
              </w:rPr>
              <w:t>274.263</w:t>
            </w:r>
          </w:p>
        </w:tc>
      </w:tr>
      <w:tr>
        <w:trPr>
          <w:trHeight w:val="162" w:hRule="atLeast"/>
        </w:trPr>
        <w:tc>
          <w:tcPr>
            <w:tcW w:w="4611" w:type="dxa"/>
          </w:tcPr>
          <w:p>
            <w:pPr>
              <w:pStyle w:val="TableParagraph"/>
              <w:spacing w:line="142" w:lineRule="exact"/>
              <w:ind w:left="72"/>
              <w:rPr>
                <w:sz w:val="14"/>
              </w:rPr>
            </w:pPr>
            <w:r>
              <w:rPr>
                <w:sz w:val="14"/>
              </w:rPr>
              <w:t>Obrigações Societárias</w:t>
            </w:r>
          </w:p>
        </w:tc>
        <w:tc>
          <w:tcPr>
            <w:tcW w:w="1632" w:type="dxa"/>
          </w:tcPr>
          <w:p>
            <w:pPr>
              <w:pStyle w:val="TableParagraph"/>
              <w:spacing w:line="142" w:lineRule="exact"/>
              <w:ind w:left="240" w:right="234"/>
              <w:jc w:val="center"/>
              <w:rPr>
                <w:sz w:val="14"/>
              </w:rPr>
            </w:pPr>
            <w:r>
              <w:rPr>
                <w:sz w:val="14"/>
              </w:rPr>
              <w:t>Custo Amortizado</w:t>
            </w:r>
          </w:p>
        </w:tc>
        <w:tc>
          <w:tcPr>
            <w:tcW w:w="873" w:type="dxa"/>
          </w:tcPr>
          <w:p>
            <w:pPr>
              <w:pStyle w:val="TableParagraph"/>
              <w:spacing w:line="142" w:lineRule="exact"/>
              <w:ind w:right="58"/>
              <w:jc w:val="right"/>
              <w:rPr>
                <w:sz w:val="14"/>
              </w:rPr>
            </w:pPr>
            <w:r>
              <w:rPr>
                <w:w w:val="95"/>
                <w:sz w:val="14"/>
              </w:rPr>
              <w:t>5.885</w:t>
            </w:r>
          </w:p>
        </w:tc>
        <w:tc>
          <w:tcPr>
            <w:tcW w:w="922" w:type="dxa"/>
          </w:tcPr>
          <w:p>
            <w:pPr>
              <w:pStyle w:val="TableParagraph"/>
              <w:spacing w:line="142" w:lineRule="exact"/>
              <w:ind w:right="58"/>
              <w:jc w:val="right"/>
              <w:rPr>
                <w:sz w:val="14"/>
              </w:rPr>
            </w:pPr>
            <w:r>
              <w:rPr>
                <w:w w:val="95"/>
                <w:sz w:val="14"/>
              </w:rPr>
              <w:t>5.885</w:t>
            </w:r>
          </w:p>
        </w:tc>
        <w:tc>
          <w:tcPr>
            <w:tcW w:w="943" w:type="dxa"/>
          </w:tcPr>
          <w:p>
            <w:pPr>
              <w:pStyle w:val="TableParagraph"/>
              <w:spacing w:line="142" w:lineRule="exact"/>
              <w:ind w:right="55"/>
              <w:jc w:val="right"/>
              <w:rPr>
                <w:sz w:val="14"/>
              </w:rPr>
            </w:pPr>
            <w:r>
              <w:rPr>
                <w:w w:val="95"/>
                <w:sz w:val="14"/>
              </w:rPr>
              <w:t>16.744</w:t>
            </w:r>
          </w:p>
        </w:tc>
        <w:tc>
          <w:tcPr>
            <w:tcW w:w="933" w:type="dxa"/>
          </w:tcPr>
          <w:p>
            <w:pPr>
              <w:pStyle w:val="TableParagraph"/>
              <w:spacing w:line="142" w:lineRule="exact"/>
              <w:ind w:right="57"/>
              <w:jc w:val="right"/>
              <w:rPr>
                <w:sz w:val="14"/>
              </w:rPr>
            </w:pPr>
            <w:r>
              <w:rPr>
                <w:w w:val="95"/>
                <w:sz w:val="14"/>
              </w:rPr>
              <w:t>16.744</w:t>
            </w:r>
          </w:p>
        </w:tc>
      </w:tr>
      <w:tr>
        <w:trPr>
          <w:trHeight w:val="165" w:hRule="atLeast"/>
        </w:trPr>
        <w:tc>
          <w:tcPr>
            <w:tcW w:w="4611" w:type="dxa"/>
          </w:tcPr>
          <w:p>
            <w:pPr>
              <w:pStyle w:val="TableParagraph"/>
              <w:spacing w:line="145" w:lineRule="exact"/>
              <w:ind w:left="72"/>
              <w:rPr>
                <w:sz w:val="14"/>
              </w:rPr>
            </w:pPr>
            <w:r>
              <w:rPr>
                <w:sz w:val="14"/>
              </w:rPr>
              <w:t>Valores a Pagar Parcela A e Outros Itens Financeiros</w:t>
            </w:r>
          </w:p>
        </w:tc>
        <w:tc>
          <w:tcPr>
            <w:tcW w:w="1632" w:type="dxa"/>
          </w:tcPr>
          <w:p>
            <w:pPr>
              <w:pStyle w:val="TableParagraph"/>
              <w:spacing w:line="145" w:lineRule="exact"/>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5" w:lineRule="exact"/>
              <w:ind w:right="55"/>
              <w:jc w:val="right"/>
              <w:rPr>
                <w:sz w:val="14"/>
              </w:rPr>
            </w:pPr>
            <w:r>
              <w:rPr>
                <w:w w:val="95"/>
                <w:sz w:val="14"/>
              </w:rPr>
              <w:t>704.799</w:t>
            </w:r>
          </w:p>
        </w:tc>
        <w:tc>
          <w:tcPr>
            <w:tcW w:w="933" w:type="dxa"/>
          </w:tcPr>
          <w:p>
            <w:pPr>
              <w:pStyle w:val="TableParagraph"/>
              <w:spacing w:line="145" w:lineRule="exact"/>
              <w:ind w:right="57"/>
              <w:jc w:val="right"/>
              <w:rPr>
                <w:sz w:val="14"/>
              </w:rPr>
            </w:pPr>
            <w:r>
              <w:rPr>
                <w:w w:val="95"/>
                <w:sz w:val="14"/>
              </w:rPr>
              <w:t>704.799</w:t>
            </w:r>
          </w:p>
        </w:tc>
      </w:tr>
      <w:tr>
        <w:trPr>
          <w:trHeight w:val="163" w:hRule="atLeast"/>
        </w:trPr>
        <w:tc>
          <w:tcPr>
            <w:tcW w:w="4611" w:type="dxa"/>
          </w:tcPr>
          <w:p>
            <w:pPr>
              <w:pStyle w:val="TableParagraph"/>
              <w:spacing w:line="142" w:lineRule="exact" w:before="1"/>
              <w:ind w:left="72"/>
              <w:rPr>
                <w:sz w:val="14"/>
              </w:rPr>
            </w:pPr>
            <w:r>
              <w:rPr>
                <w:sz w:val="14"/>
              </w:rPr>
              <w:t>Encargos Regulatórios</w:t>
            </w:r>
          </w:p>
        </w:tc>
        <w:tc>
          <w:tcPr>
            <w:tcW w:w="1632" w:type="dxa"/>
          </w:tcPr>
          <w:p>
            <w:pPr>
              <w:pStyle w:val="TableParagraph"/>
              <w:spacing w:line="142" w:lineRule="exact" w:before="1"/>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2" w:lineRule="exact" w:before="1"/>
              <w:ind w:right="55"/>
              <w:jc w:val="right"/>
              <w:rPr>
                <w:sz w:val="14"/>
              </w:rPr>
            </w:pPr>
            <w:r>
              <w:rPr>
                <w:w w:val="95"/>
                <w:sz w:val="14"/>
              </w:rPr>
              <w:t>190.227</w:t>
            </w:r>
          </w:p>
        </w:tc>
        <w:tc>
          <w:tcPr>
            <w:tcW w:w="933" w:type="dxa"/>
          </w:tcPr>
          <w:p>
            <w:pPr>
              <w:pStyle w:val="TableParagraph"/>
              <w:spacing w:line="142" w:lineRule="exact" w:before="1"/>
              <w:ind w:right="57"/>
              <w:jc w:val="right"/>
              <w:rPr>
                <w:sz w:val="14"/>
              </w:rPr>
            </w:pPr>
            <w:r>
              <w:rPr>
                <w:w w:val="95"/>
                <w:sz w:val="14"/>
              </w:rPr>
              <w:t>190.227</w:t>
            </w:r>
          </w:p>
        </w:tc>
      </w:tr>
      <w:tr>
        <w:trPr>
          <w:trHeight w:val="165" w:hRule="atLeast"/>
        </w:trPr>
        <w:tc>
          <w:tcPr>
            <w:tcW w:w="4611" w:type="dxa"/>
          </w:tcPr>
          <w:p>
            <w:pPr>
              <w:pStyle w:val="TableParagraph"/>
              <w:spacing w:line="145" w:lineRule="exact"/>
              <w:ind w:left="72"/>
              <w:rPr>
                <w:sz w:val="14"/>
              </w:rPr>
            </w:pPr>
            <w:r>
              <w:rPr>
                <w:sz w:val="14"/>
              </w:rPr>
              <w:t>Obrigações Vinculadas a Concessão</w:t>
            </w:r>
          </w:p>
        </w:tc>
        <w:tc>
          <w:tcPr>
            <w:tcW w:w="1632" w:type="dxa"/>
          </w:tcPr>
          <w:p>
            <w:pPr>
              <w:pStyle w:val="TableParagraph"/>
              <w:spacing w:line="145" w:lineRule="exact"/>
              <w:ind w:left="240" w:right="234"/>
              <w:jc w:val="center"/>
              <w:rPr>
                <w:sz w:val="14"/>
              </w:rPr>
            </w:pPr>
            <w:r>
              <w:rPr>
                <w:sz w:val="14"/>
              </w:rPr>
              <w:t>Custo Amortizado</w:t>
            </w:r>
          </w:p>
        </w:tc>
        <w:tc>
          <w:tcPr>
            <w:tcW w:w="873" w:type="dxa"/>
          </w:tcPr>
          <w:p>
            <w:pPr>
              <w:pStyle w:val="TableParagraph"/>
              <w:rPr>
                <w:rFonts w:ascii="Times New Roman"/>
                <w:sz w:val="10"/>
              </w:rPr>
            </w:pPr>
          </w:p>
        </w:tc>
        <w:tc>
          <w:tcPr>
            <w:tcW w:w="922" w:type="dxa"/>
          </w:tcPr>
          <w:p>
            <w:pPr>
              <w:pStyle w:val="TableParagraph"/>
              <w:rPr>
                <w:rFonts w:ascii="Times New Roman"/>
                <w:sz w:val="10"/>
              </w:rPr>
            </w:pPr>
          </w:p>
        </w:tc>
        <w:tc>
          <w:tcPr>
            <w:tcW w:w="943" w:type="dxa"/>
          </w:tcPr>
          <w:p>
            <w:pPr>
              <w:pStyle w:val="TableParagraph"/>
              <w:spacing w:line="145" w:lineRule="exact"/>
              <w:ind w:right="55"/>
              <w:jc w:val="right"/>
              <w:rPr>
                <w:sz w:val="14"/>
              </w:rPr>
            </w:pPr>
            <w:r>
              <w:rPr>
                <w:w w:val="95"/>
                <w:sz w:val="14"/>
              </w:rPr>
              <w:t>3.400</w:t>
            </w:r>
          </w:p>
        </w:tc>
        <w:tc>
          <w:tcPr>
            <w:tcW w:w="933" w:type="dxa"/>
          </w:tcPr>
          <w:p>
            <w:pPr>
              <w:pStyle w:val="TableParagraph"/>
              <w:spacing w:line="145" w:lineRule="exact"/>
              <w:ind w:right="57"/>
              <w:jc w:val="right"/>
              <w:rPr>
                <w:sz w:val="14"/>
              </w:rPr>
            </w:pPr>
            <w:r>
              <w:rPr>
                <w:w w:val="95"/>
                <w:sz w:val="14"/>
              </w:rPr>
              <w:t>3.400</w:t>
            </w:r>
          </w:p>
        </w:tc>
      </w:tr>
    </w:tbl>
    <w:p>
      <w:pPr>
        <w:pStyle w:val="BodyText"/>
        <w:spacing w:before="2"/>
        <w:rPr>
          <w:sz w:val="12"/>
        </w:rPr>
      </w:pPr>
    </w:p>
    <w:p>
      <w:pPr>
        <w:pStyle w:val="Heading5"/>
        <w:numPr>
          <w:ilvl w:val="2"/>
          <w:numId w:val="20"/>
        </w:numPr>
        <w:tabs>
          <w:tab w:pos="1025" w:val="left" w:leader="none"/>
          <w:tab w:pos="1026" w:val="left" w:leader="none"/>
        </w:tabs>
        <w:spacing w:line="240" w:lineRule="auto" w:before="101" w:after="0"/>
        <w:ind w:left="1025" w:right="0" w:hanging="854"/>
        <w:jc w:val="left"/>
      </w:pPr>
      <w:r>
        <w:rPr/>
        <w:t>Estimativa do valor</w:t>
      </w:r>
      <w:r>
        <w:rPr>
          <w:spacing w:val="-4"/>
        </w:rPr>
        <w:t> </w:t>
      </w:r>
      <w:r>
        <w:rPr/>
        <w:t>justo</w:t>
      </w:r>
    </w:p>
    <w:p>
      <w:pPr>
        <w:pStyle w:val="BodyText"/>
        <w:spacing w:before="9"/>
        <w:rPr>
          <w:rFonts w:ascii="Caladea"/>
          <w:b/>
          <w:sz w:val="23"/>
        </w:rPr>
      </w:pPr>
    </w:p>
    <w:p>
      <w:pPr>
        <w:pStyle w:val="BodyText"/>
        <w:spacing w:line="242" w:lineRule="auto"/>
        <w:ind w:left="172" w:right="412"/>
        <w:jc w:val="both"/>
      </w:pPr>
      <w:r>
        <w:rPr/>
        <w:t>Os</w:t>
      </w:r>
      <w:r>
        <w:rPr>
          <w:spacing w:val="-25"/>
        </w:rPr>
        <w:t> </w:t>
      </w:r>
      <w:r>
        <w:rPr/>
        <w:t>instrumentos</w:t>
      </w:r>
      <w:r>
        <w:rPr>
          <w:spacing w:val="-25"/>
        </w:rPr>
        <w:t> </w:t>
      </w:r>
      <w:r>
        <w:rPr/>
        <w:t>financeiros</w:t>
      </w:r>
      <w:r>
        <w:rPr>
          <w:spacing w:val="-23"/>
        </w:rPr>
        <w:t> </w:t>
      </w:r>
      <w:r>
        <w:rPr/>
        <w:t>ativos</w:t>
      </w:r>
      <w:r>
        <w:rPr>
          <w:spacing w:val="-24"/>
        </w:rPr>
        <w:t> </w:t>
      </w:r>
      <w:r>
        <w:rPr/>
        <w:t>e</w:t>
      </w:r>
      <w:r>
        <w:rPr>
          <w:spacing w:val="-26"/>
        </w:rPr>
        <w:t> </w:t>
      </w:r>
      <w:r>
        <w:rPr/>
        <w:t>passivos</w:t>
      </w:r>
      <w:r>
        <w:rPr>
          <w:spacing w:val="-24"/>
        </w:rPr>
        <w:t> </w:t>
      </w:r>
      <w:r>
        <w:rPr/>
        <w:t>são</w:t>
      </w:r>
      <w:r>
        <w:rPr>
          <w:spacing w:val="-25"/>
        </w:rPr>
        <w:t> </w:t>
      </w:r>
      <w:r>
        <w:rPr/>
        <w:t>registrados</w:t>
      </w:r>
      <w:r>
        <w:rPr>
          <w:spacing w:val="-24"/>
        </w:rPr>
        <w:t> </w:t>
      </w:r>
      <w:r>
        <w:rPr/>
        <w:t>inicialmente</w:t>
      </w:r>
      <w:r>
        <w:rPr>
          <w:spacing w:val="-25"/>
        </w:rPr>
        <w:t> </w:t>
      </w:r>
      <w:r>
        <w:rPr/>
        <w:t>pelo</w:t>
      </w:r>
      <w:r>
        <w:rPr>
          <w:spacing w:val="-25"/>
        </w:rPr>
        <w:t> </w:t>
      </w:r>
      <w:r>
        <w:rPr/>
        <w:t>valor</w:t>
      </w:r>
      <w:r>
        <w:rPr>
          <w:spacing w:val="-25"/>
        </w:rPr>
        <w:t> </w:t>
      </w:r>
      <w:r>
        <w:rPr/>
        <w:t>justo</w:t>
      </w:r>
      <w:r>
        <w:rPr>
          <w:spacing w:val="-25"/>
        </w:rPr>
        <w:t> </w:t>
      </w:r>
      <w:r>
        <w:rPr/>
        <w:t>das</w:t>
      </w:r>
      <w:r>
        <w:rPr>
          <w:spacing w:val="-24"/>
        </w:rPr>
        <w:t> </w:t>
      </w:r>
      <w:r>
        <w:rPr/>
        <w:t>transações</w:t>
      </w:r>
      <w:r>
        <w:rPr>
          <w:spacing w:val="-25"/>
        </w:rPr>
        <w:t> </w:t>
      </w:r>
      <w:r>
        <w:rPr/>
        <w:t>que</w:t>
      </w:r>
      <w:r>
        <w:rPr>
          <w:spacing w:val="-25"/>
        </w:rPr>
        <w:t> </w:t>
      </w:r>
      <w:r>
        <w:rPr/>
        <w:t>lhes deram</w:t>
      </w:r>
      <w:r>
        <w:rPr>
          <w:spacing w:val="-36"/>
        </w:rPr>
        <w:t> </w:t>
      </w:r>
      <w:r>
        <w:rPr/>
        <w:t>origem</w:t>
      </w:r>
      <w:r>
        <w:rPr>
          <w:spacing w:val="-36"/>
        </w:rPr>
        <w:t> </w:t>
      </w:r>
      <w:r>
        <w:rPr/>
        <w:t>e</w:t>
      </w:r>
      <w:r>
        <w:rPr>
          <w:spacing w:val="-37"/>
        </w:rPr>
        <w:t> </w:t>
      </w:r>
      <w:r>
        <w:rPr/>
        <w:t>são</w:t>
      </w:r>
      <w:r>
        <w:rPr>
          <w:spacing w:val="-37"/>
        </w:rPr>
        <w:t> </w:t>
      </w:r>
      <w:r>
        <w:rPr/>
        <w:t>atualizados,</w:t>
      </w:r>
      <w:r>
        <w:rPr>
          <w:spacing w:val="-35"/>
        </w:rPr>
        <w:t> </w:t>
      </w:r>
      <w:r>
        <w:rPr/>
        <w:t>quando</w:t>
      </w:r>
      <w:r>
        <w:rPr>
          <w:spacing w:val="-36"/>
        </w:rPr>
        <w:t> </w:t>
      </w:r>
      <w:r>
        <w:rPr/>
        <w:t>aplicável,</w:t>
      </w:r>
      <w:r>
        <w:rPr>
          <w:spacing w:val="-37"/>
        </w:rPr>
        <w:t> </w:t>
      </w:r>
      <w:r>
        <w:rPr/>
        <w:t>com</w:t>
      </w:r>
      <w:r>
        <w:rPr>
          <w:spacing w:val="-35"/>
        </w:rPr>
        <w:t> </w:t>
      </w:r>
      <w:r>
        <w:rPr/>
        <w:t>base</w:t>
      </w:r>
      <w:r>
        <w:rPr>
          <w:spacing w:val="-36"/>
        </w:rPr>
        <w:t> </w:t>
      </w:r>
      <w:r>
        <w:rPr/>
        <w:t>nos</w:t>
      </w:r>
      <w:r>
        <w:rPr>
          <w:spacing w:val="-32"/>
        </w:rPr>
        <w:t> </w:t>
      </w:r>
      <w:r>
        <w:rPr/>
        <w:t>encargos</w:t>
      </w:r>
      <w:r>
        <w:rPr>
          <w:spacing w:val="-35"/>
        </w:rPr>
        <w:t> </w:t>
      </w:r>
      <w:r>
        <w:rPr/>
        <w:t>contratuais</w:t>
      </w:r>
      <w:r>
        <w:rPr>
          <w:spacing w:val="-37"/>
        </w:rPr>
        <w:t> </w:t>
      </w:r>
      <w:r>
        <w:rPr/>
        <w:t>e</w:t>
      </w:r>
      <w:r>
        <w:rPr>
          <w:spacing w:val="-36"/>
        </w:rPr>
        <w:t> </w:t>
      </w:r>
      <w:r>
        <w:rPr/>
        <w:t>ajustados</w:t>
      </w:r>
      <w:r>
        <w:rPr>
          <w:spacing w:val="-36"/>
        </w:rPr>
        <w:t> </w:t>
      </w:r>
      <w:r>
        <w:rPr/>
        <w:t>pelas</w:t>
      </w:r>
      <w:r>
        <w:rPr>
          <w:spacing w:val="-35"/>
        </w:rPr>
        <w:t> </w:t>
      </w:r>
      <w:r>
        <w:rPr/>
        <w:t>estimativas de</w:t>
      </w:r>
      <w:r>
        <w:rPr>
          <w:spacing w:val="-41"/>
        </w:rPr>
        <w:t> </w:t>
      </w:r>
      <w:r>
        <w:rPr/>
        <w:t>perda.</w:t>
      </w:r>
      <w:r>
        <w:rPr>
          <w:spacing w:val="-40"/>
        </w:rPr>
        <w:t> </w:t>
      </w:r>
      <w:r>
        <w:rPr/>
        <w:t>A</w:t>
      </w:r>
      <w:r>
        <w:rPr>
          <w:spacing w:val="-40"/>
        </w:rPr>
        <w:t> </w:t>
      </w:r>
      <w:r>
        <w:rPr/>
        <w:t>Administração</w:t>
      </w:r>
      <w:r>
        <w:rPr>
          <w:spacing w:val="-40"/>
        </w:rPr>
        <w:t> </w:t>
      </w:r>
      <w:r>
        <w:rPr/>
        <w:t>avalia</w:t>
      </w:r>
      <w:r>
        <w:rPr>
          <w:spacing w:val="-39"/>
        </w:rPr>
        <w:t> </w:t>
      </w:r>
      <w:r>
        <w:rPr/>
        <w:t>que</w:t>
      </w:r>
      <w:r>
        <w:rPr>
          <w:spacing w:val="-41"/>
        </w:rPr>
        <w:t> </w:t>
      </w:r>
      <w:r>
        <w:rPr/>
        <w:t>os</w:t>
      </w:r>
      <w:r>
        <w:rPr>
          <w:spacing w:val="-39"/>
        </w:rPr>
        <w:t> </w:t>
      </w:r>
      <w:r>
        <w:rPr/>
        <w:t>valores</w:t>
      </w:r>
      <w:r>
        <w:rPr>
          <w:spacing w:val="-40"/>
        </w:rPr>
        <w:t> </w:t>
      </w:r>
      <w:r>
        <w:rPr/>
        <w:t>apurados</w:t>
      </w:r>
      <w:r>
        <w:rPr>
          <w:spacing w:val="-39"/>
        </w:rPr>
        <w:t> </w:t>
      </w:r>
      <w:r>
        <w:rPr/>
        <w:t>com</w:t>
      </w:r>
      <w:r>
        <w:rPr>
          <w:spacing w:val="-40"/>
        </w:rPr>
        <w:t> </w:t>
      </w:r>
      <w:r>
        <w:rPr/>
        <w:t>base</w:t>
      </w:r>
      <w:r>
        <w:rPr>
          <w:spacing w:val="-41"/>
        </w:rPr>
        <w:t> </w:t>
      </w:r>
      <w:r>
        <w:rPr/>
        <w:t>nesses</w:t>
      </w:r>
      <w:r>
        <w:rPr>
          <w:spacing w:val="-39"/>
        </w:rPr>
        <w:t> </w:t>
      </w:r>
      <w:r>
        <w:rPr/>
        <w:t>critérios</w:t>
      </w:r>
      <w:r>
        <w:rPr>
          <w:spacing w:val="-40"/>
        </w:rPr>
        <w:t> </w:t>
      </w:r>
      <w:r>
        <w:rPr/>
        <w:t>podem</w:t>
      </w:r>
      <w:r>
        <w:rPr>
          <w:spacing w:val="-40"/>
        </w:rPr>
        <w:t> </w:t>
      </w:r>
      <w:r>
        <w:rPr/>
        <w:t>ser</w:t>
      </w:r>
      <w:r>
        <w:rPr>
          <w:spacing w:val="-40"/>
        </w:rPr>
        <w:t> </w:t>
      </w:r>
      <w:r>
        <w:rPr/>
        <w:t>considerados</w:t>
      </w:r>
      <w:r>
        <w:rPr>
          <w:spacing w:val="-39"/>
        </w:rPr>
        <w:t> </w:t>
      </w:r>
      <w:r>
        <w:rPr/>
        <w:t>a</w:t>
      </w:r>
      <w:r>
        <w:rPr>
          <w:spacing w:val="-40"/>
        </w:rPr>
        <w:t> </w:t>
      </w:r>
      <w:r>
        <w:rPr/>
        <w:t>melhor estimativa</w:t>
      </w:r>
      <w:r>
        <w:rPr>
          <w:spacing w:val="-18"/>
        </w:rPr>
        <w:t> </w:t>
      </w:r>
      <w:r>
        <w:rPr/>
        <w:t>para</w:t>
      </w:r>
      <w:r>
        <w:rPr>
          <w:spacing w:val="-20"/>
        </w:rPr>
        <w:t> </w:t>
      </w:r>
      <w:r>
        <w:rPr/>
        <w:t>apuração</w:t>
      </w:r>
      <w:r>
        <w:rPr>
          <w:spacing w:val="-21"/>
        </w:rPr>
        <w:t> </w:t>
      </w:r>
      <w:r>
        <w:rPr/>
        <w:t>do</w:t>
      </w:r>
      <w:r>
        <w:rPr>
          <w:spacing w:val="-18"/>
        </w:rPr>
        <w:t> </w:t>
      </w:r>
      <w:r>
        <w:rPr/>
        <w:t>valor</w:t>
      </w:r>
      <w:r>
        <w:rPr>
          <w:spacing w:val="-21"/>
        </w:rPr>
        <w:t> </w:t>
      </w:r>
      <w:r>
        <w:rPr/>
        <w:t>justo</w:t>
      </w:r>
      <w:r>
        <w:rPr>
          <w:spacing w:val="-19"/>
        </w:rPr>
        <w:t> </w:t>
      </w:r>
      <w:r>
        <w:rPr/>
        <w:t>dos</w:t>
      </w:r>
      <w:r>
        <w:rPr>
          <w:spacing w:val="-20"/>
        </w:rPr>
        <w:t> </w:t>
      </w:r>
      <w:r>
        <w:rPr/>
        <w:t>instrumentos</w:t>
      </w:r>
      <w:r>
        <w:rPr>
          <w:spacing w:val="-20"/>
        </w:rPr>
        <w:t> </w:t>
      </w:r>
      <w:r>
        <w:rPr/>
        <w:t>financeiros</w:t>
      </w:r>
      <w:r>
        <w:rPr>
          <w:spacing w:val="-20"/>
        </w:rPr>
        <w:t> </w:t>
      </w:r>
      <w:r>
        <w:rPr/>
        <w:t>detidos.</w:t>
      </w:r>
    </w:p>
    <w:p>
      <w:pPr>
        <w:pStyle w:val="BodyText"/>
        <w:spacing w:before="4"/>
      </w:pPr>
    </w:p>
    <w:p>
      <w:pPr>
        <w:pStyle w:val="Heading3"/>
        <w:numPr>
          <w:ilvl w:val="0"/>
          <w:numId w:val="6"/>
        </w:numPr>
        <w:tabs>
          <w:tab w:pos="953" w:val="left" w:leader="none"/>
          <w:tab w:pos="954" w:val="left" w:leader="none"/>
        </w:tabs>
        <w:spacing w:line="240" w:lineRule="auto" w:before="0" w:after="0"/>
        <w:ind w:left="953" w:right="0" w:hanging="782"/>
        <w:jc w:val="left"/>
      </w:pPr>
      <w:r>
        <w:rPr/>
        <w:t>CAIXA E EQUIVALENTES DE</w:t>
      </w:r>
      <w:r>
        <w:rPr>
          <w:spacing w:val="-3"/>
        </w:rPr>
        <w:t> </w:t>
      </w:r>
      <w:r>
        <w:rPr/>
        <w:t>CAIXA</w:t>
      </w:r>
    </w:p>
    <w:p>
      <w:pPr>
        <w:pStyle w:val="BodyText"/>
        <w:spacing w:before="7" w:after="1"/>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27"/>
        <w:gridCol w:w="1433"/>
        <w:gridCol w:w="1433"/>
        <w:gridCol w:w="1434"/>
        <w:gridCol w:w="1431"/>
      </w:tblGrid>
      <w:tr>
        <w:trPr>
          <w:trHeight w:val="258" w:hRule="atLeast"/>
        </w:trPr>
        <w:tc>
          <w:tcPr>
            <w:tcW w:w="4227" w:type="dxa"/>
            <w:vMerge w:val="restart"/>
            <w:shd w:val="clear" w:color="auto" w:fill="D9D9D9"/>
          </w:tcPr>
          <w:p>
            <w:pPr>
              <w:pStyle w:val="TableParagraph"/>
              <w:rPr>
                <w:rFonts w:ascii="Times New Roman"/>
                <w:sz w:val="16"/>
              </w:rPr>
            </w:pPr>
          </w:p>
        </w:tc>
        <w:tc>
          <w:tcPr>
            <w:tcW w:w="2866" w:type="dxa"/>
            <w:gridSpan w:val="2"/>
          </w:tcPr>
          <w:p>
            <w:pPr>
              <w:pStyle w:val="TableParagraph"/>
              <w:spacing w:before="47"/>
              <w:ind w:left="982" w:right="972"/>
              <w:jc w:val="center"/>
              <w:rPr>
                <w:rFonts w:ascii="Caladea"/>
                <w:b/>
                <w:sz w:val="14"/>
              </w:rPr>
            </w:pPr>
            <w:r>
              <w:rPr>
                <w:rFonts w:ascii="Caladea"/>
                <w:b/>
                <w:sz w:val="14"/>
              </w:rPr>
              <w:t>Controladora</w:t>
            </w:r>
          </w:p>
        </w:tc>
        <w:tc>
          <w:tcPr>
            <w:tcW w:w="2865" w:type="dxa"/>
            <w:gridSpan w:val="2"/>
          </w:tcPr>
          <w:p>
            <w:pPr>
              <w:pStyle w:val="TableParagraph"/>
              <w:spacing w:before="47"/>
              <w:ind w:left="1013" w:right="1004"/>
              <w:jc w:val="center"/>
              <w:rPr>
                <w:rFonts w:ascii="Caladea"/>
                <w:b/>
                <w:sz w:val="14"/>
              </w:rPr>
            </w:pPr>
            <w:r>
              <w:rPr>
                <w:rFonts w:ascii="Caladea"/>
                <w:b/>
                <w:sz w:val="14"/>
              </w:rPr>
              <w:t>Consolidado</w:t>
            </w:r>
          </w:p>
        </w:tc>
      </w:tr>
      <w:tr>
        <w:trPr>
          <w:trHeight w:val="261" w:hRule="atLeast"/>
        </w:trPr>
        <w:tc>
          <w:tcPr>
            <w:tcW w:w="4227" w:type="dxa"/>
            <w:vMerge/>
            <w:tcBorders>
              <w:top w:val="nil"/>
            </w:tcBorders>
            <w:shd w:val="clear" w:color="auto" w:fill="D9D9D9"/>
          </w:tcPr>
          <w:p>
            <w:pPr>
              <w:rPr>
                <w:sz w:val="2"/>
                <w:szCs w:val="2"/>
              </w:rPr>
            </w:pPr>
          </w:p>
        </w:tc>
        <w:tc>
          <w:tcPr>
            <w:tcW w:w="1433" w:type="dxa"/>
          </w:tcPr>
          <w:p>
            <w:pPr>
              <w:pStyle w:val="TableParagraph"/>
              <w:spacing w:before="47"/>
              <w:ind w:left="316"/>
              <w:rPr>
                <w:rFonts w:ascii="Caladea"/>
                <w:b/>
                <w:sz w:val="14"/>
              </w:rPr>
            </w:pPr>
            <w:r>
              <w:rPr>
                <w:rFonts w:ascii="Caladea"/>
                <w:b/>
                <w:sz w:val="14"/>
              </w:rPr>
              <w:t>31/12/2019</w:t>
            </w:r>
          </w:p>
        </w:tc>
        <w:tc>
          <w:tcPr>
            <w:tcW w:w="1433" w:type="dxa"/>
          </w:tcPr>
          <w:p>
            <w:pPr>
              <w:pStyle w:val="TableParagraph"/>
              <w:spacing w:before="47"/>
              <w:ind w:left="314"/>
              <w:rPr>
                <w:rFonts w:ascii="Caladea"/>
                <w:b/>
                <w:sz w:val="14"/>
              </w:rPr>
            </w:pPr>
            <w:r>
              <w:rPr>
                <w:rFonts w:ascii="Caladea"/>
                <w:b/>
                <w:sz w:val="14"/>
              </w:rPr>
              <w:t>31/12/2018</w:t>
            </w:r>
          </w:p>
        </w:tc>
        <w:tc>
          <w:tcPr>
            <w:tcW w:w="1434" w:type="dxa"/>
          </w:tcPr>
          <w:p>
            <w:pPr>
              <w:pStyle w:val="TableParagraph"/>
              <w:spacing w:before="47"/>
              <w:ind w:left="314"/>
              <w:rPr>
                <w:rFonts w:ascii="Caladea"/>
                <w:b/>
                <w:sz w:val="14"/>
              </w:rPr>
            </w:pPr>
            <w:r>
              <w:rPr>
                <w:rFonts w:ascii="Caladea"/>
                <w:b/>
                <w:sz w:val="14"/>
              </w:rPr>
              <w:t>31/12/2019</w:t>
            </w:r>
          </w:p>
        </w:tc>
        <w:tc>
          <w:tcPr>
            <w:tcW w:w="1431" w:type="dxa"/>
          </w:tcPr>
          <w:p>
            <w:pPr>
              <w:pStyle w:val="TableParagraph"/>
              <w:spacing w:before="47"/>
              <w:ind w:left="311"/>
              <w:rPr>
                <w:rFonts w:ascii="Caladea"/>
                <w:b/>
                <w:sz w:val="14"/>
              </w:rPr>
            </w:pPr>
            <w:r>
              <w:rPr>
                <w:rFonts w:ascii="Caladea"/>
                <w:b/>
                <w:sz w:val="14"/>
              </w:rPr>
              <w:t>31/12/2018</w:t>
            </w:r>
          </w:p>
        </w:tc>
      </w:tr>
      <w:tr>
        <w:trPr>
          <w:trHeight w:val="259" w:hRule="atLeast"/>
        </w:trPr>
        <w:tc>
          <w:tcPr>
            <w:tcW w:w="4227" w:type="dxa"/>
          </w:tcPr>
          <w:p>
            <w:pPr>
              <w:pStyle w:val="TableParagraph"/>
              <w:spacing w:before="48"/>
              <w:ind w:left="72"/>
              <w:rPr>
                <w:sz w:val="14"/>
              </w:rPr>
            </w:pPr>
            <w:r>
              <w:rPr>
                <w:sz w:val="14"/>
              </w:rPr>
              <w:t>Caixa e Bancos Conta Movimento</w:t>
            </w:r>
          </w:p>
        </w:tc>
        <w:tc>
          <w:tcPr>
            <w:tcW w:w="1433" w:type="dxa"/>
          </w:tcPr>
          <w:p>
            <w:pPr>
              <w:pStyle w:val="TableParagraph"/>
              <w:spacing w:before="48"/>
              <w:ind w:right="57"/>
              <w:jc w:val="right"/>
              <w:rPr>
                <w:sz w:val="14"/>
              </w:rPr>
            </w:pPr>
            <w:r>
              <w:rPr>
                <w:sz w:val="14"/>
              </w:rPr>
              <w:t>27</w:t>
            </w:r>
          </w:p>
        </w:tc>
        <w:tc>
          <w:tcPr>
            <w:tcW w:w="1433" w:type="dxa"/>
          </w:tcPr>
          <w:p>
            <w:pPr>
              <w:pStyle w:val="TableParagraph"/>
              <w:spacing w:before="48"/>
              <w:ind w:right="59"/>
              <w:jc w:val="right"/>
              <w:rPr>
                <w:sz w:val="14"/>
              </w:rPr>
            </w:pPr>
            <w:r>
              <w:rPr>
                <w:sz w:val="14"/>
              </w:rPr>
              <w:t>15</w:t>
            </w:r>
          </w:p>
        </w:tc>
        <w:tc>
          <w:tcPr>
            <w:tcW w:w="1434" w:type="dxa"/>
          </w:tcPr>
          <w:p>
            <w:pPr>
              <w:pStyle w:val="TableParagraph"/>
              <w:spacing w:before="48"/>
              <w:ind w:right="59"/>
              <w:jc w:val="right"/>
              <w:rPr>
                <w:sz w:val="14"/>
              </w:rPr>
            </w:pPr>
            <w:r>
              <w:rPr>
                <w:w w:val="95"/>
                <w:sz w:val="14"/>
              </w:rPr>
              <w:t>69.222</w:t>
            </w:r>
          </w:p>
        </w:tc>
        <w:tc>
          <w:tcPr>
            <w:tcW w:w="1431" w:type="dxa"/>
          </w:tcPr>
          <w:p>
            <w:pPr>
              <w:pStyle w:val="TableParagraph"/>
              <w:spacing w:before="48"/>
              <w:ind w:right="60"/>
              <w:jc w:val="right"/>
              <w:rPr>
                <w:sz w:val="14"/>
              </w:rPr>
            </w:pPr>
            <w:r>
              <w:rPr>
                <w:w w:val="95"/>
                <w:sz w:val="14"/>
              </w:rPr>
              <w:t>46.598</w:t>
            </w:r>
          </w:p>
        </w:tc>
      </w:tr>
      <w:tr>
        <w:trPr>
          <w:trHeight w:val="261" w:hRule="atLeast"/>
        </w:trPr>
        <w:tc>
          <w:tcPr>
            <w:tcW w:w="4227" w:type="dxa"/>
          </w:tcPr>
          <w:p>
            <w:pPr>
              <w:pStyle w:val="TableParagraph"/>
              <w:spacing w:before="48"/>
              <w:ind w:left="72"/>
              <w:rPr>
                <w:sz w:val="14"/>
              </w:rPr>
            </w:pPr>
            <w:r>
              <w:rPr>
                <w:sz w:val="14"/>
              </w:rPr>
              <w:t>Aplicações Financeiras de Liquidez Imediata</w:t>
            </w:r>
          </w:p>
        </w:tc>
        <w:tc>
          <w:tcPr>
            <w:tcW w:w="1433" w:type="dxa"/>
          </w:tcPr>
          <w:p>
            <w:pPr>
              <w:pStyle w:val="TableParagraph"/>
              <w:spacing w:before="48"/>
              <w:ind w:right="56"/>
              <w:jc w:val="right"/>
              <w:rPr>
                <w:sz w:val="14"/>
              </w:rPr>
            </w:pPr>
            <w:r>
              <w:rPr>
                <w:w w:val="95"/>
                <w:sz w:val="14"/>
              </w:rPr>
              <w:t>12.686</w:t>
            </w:r>
          </w:p>
        </w:tc>
        <w:tc>
          <w:tcPr>
            <w:tcW w:w="1433" w:type="dxa"/>
          </w:tcPr>
          <w:p>
            <w:pPr>
              <w:pStyle w:val="TableParagraph"/>
              <w:spacing w:before="48"/>
              <w:ind w:right="59"/>
              <w:jc w:val="right"/>
              <w:rPr>
                <w:sz w:val="14"/>
              </w:rPr>
            </w:pPr>
            <w:r>
              <w:rPr>
                <w:w w:val="95"/>
                <w:sz w:val="14"/>
              </w:rPr>
              <w:t>12.769</w:t>
            </w:r>
          </w:p>
        </w:tc>
        <w:tc>
          <w:tcPr>
            <w:tcW w:w="1434" w:type="dxa"/>
          </w:tcPr>
          <w:p>
            <w:pPr>
              <w:pStyle w:val="TableParagraph"/>
              <w:spacing w:before="48"/>
              <w:ind w:right="60"/>
              <w:jc w:val="right"/>
              <w:rPr>
                <w:sz w:val="14"/>
              </w:rPr>
            </w:pPr>
            <w:r>
              <w:rPr>
                <w:w w:val="95"/>
                <w:sz w:val="14"/>
              </w:rPr>
              <w:t>396.116</w:t>
            </w:r>
          </w:p>
        </w:tc>
        <w:tc>
          <w:tcPr>
            <w:tcW w:w="1431" w:type="dxa"/>
          </w:tcPr>
          <w:p>
            <w:pPr>
              <w:pStyle w:val="TableParagraph"/>
              <w:spacing w:before="48"/>
              <w:ind w:right="60"/>
              <w:jc w:val="right"/>
              <w:rPr>
                <w:sz w:val="14"/>
              </w:rPr>
            </w:pPr>
            <w:r>
              <w:rPr>
                <w:w w:val="95"/>
                <w:sz w:val="14"/>
              </w:rPr>
              <w:t>133.101</w:t>
            </w:r>
          </w:p>
        </w:tc>
      </w:tr>
      <w:tr>
        <w:trPr>
          <w:trHeight w:val="258" w:hRule="atLeast"/>
        </w:trPr>
        <w:tc>
          <w:tcPr>
            <w:tcW w:w="4227" w:type="dxa"/>
          </w:tcPr>
          <w:p>
            <w:pPr>
              <w:pStyle w:val="TableParagraph"/>
              <w:spacing w:before="47"/>
              <w:ind w:left="72"/>
              <w:rPr>
                <w:rFonts w:ascii="Caladea"/>
                <w:b/>
                <w:sz w:val="14"/>
              </w:rPr>
            </w:pPr>
            <w:r>
              <w:rPr>
                <w:rFonts w:ascii="Caladea"/>
                <w:b/>
                <w:sz w:val="14"/>
              </w:rPr>
              <w:t>Total</w:t>
            </w:r>
          </w:p>
        </w:tc>
        <w:tc>
          <w:tcPr>
            <w:tcW w:w="1433" w:type="dxa"/>
          </w:tcPr>
          <w:p>
            <w:pPr>
              <w:pStyle w:val="TableParagraph"/>
              <w:spacing w:before="47"/>
              <w:ind w:right="56"/>
              <w:jc w:val="right"/>
              <w:rPr>
                <w:rFonts w:ascii="Caladea"/>
                <w:b/>
                <w:sz w:val="14"/>
              </w:rPr>
            </w:pPr>
            <w:r>
              <w:rPr>
                <w:rFonts w:ascii="Caladea"/>
                <w:b/>
                <w:sz w:val="14"/>
              </w:rPr>
              <w:t>12.713</w:t>
            </w:r>
          </w:p>
        </w:tc>
        <w:tc>
          <w:tcPr>
            <w:tcW w:w="1433" w:type="dxa"/>
          </w:tcPr>
          <w:p>
            <w:pPr>
              <w:pStyle w:val="TableParagraph"/>
              <w:spacing w:before="47"/>
              <w:ind w:right="59"/>
              <w:jc w:val="right"/>
              <w:rPr>
                <w:rFonts w:ascii="Caladea"/>
                <w:b/>
                <w:sz w:val="14"/>
              </w:rPr>
            </w:pPr>
            <w:r>
              <w:rPr>
                <w:rFonts w:ascii="Caladea"/>
                <w:b/>
                <w:sz w:val="14"/>
              </w:rPr>
              <w:t>12.784</w:t>
            </w:r>
          </w:p>
        </w:tc>
        <w:tc>
          <w:tcPr>
            <w:tcW w:w="1434" w:type="dxa"/>
          </w:tcPr>
          <w:p>
            <w:pPr>
              <w:pStyle w:val="TableParagraph"/>
              <w:spacing w:before="47"/>
              <w:ind w:right="60"/>
              <w:jc w:val="right"/>
              <w:rPr>
                <w:rFonts w:ascii="Caladea"/>
                <w:b/>
                <w:sz w:val="14"/>
              </w:rPr>
            </w:pPr>
            <w:r>
              <w:rPr>
                <w:rFonts w:ascii="Caladea"/>
                <w:b/>
                <w:w w:val="95"/>
                <w:sz w:val="14"/>
              </w:rPr>
              <w:t>465.338</w:t>
            </w:r>
          </w:p>
        </w:tc>
        <w:tc>
          <w:tcPr>
            <w:tcW w:w="1431" w:type="dxa"/>
          </w:tcPr>
          <w:p>
            <w:pPr>
              <w:pStyle w:val="TableParagraph"/>
              <w:spacing w:before="47"/>
              <w:ind w:right="60"/>
              <w:jc w:val="right"/>
              <w:rPr>
                <w:rFonts w:ascii="Caladea"/>
                <w:b/>
                <w:sz w:val="14"/>
              </w:rPr>
            </w:pPr>
            <w:r>
              <w:rPr>
                <w:rFonts w:ascii="Caladea"/>
                <w:b/>
                <w:w w:val="95"/>
                <w:sz w:val="14"/>
              </w:rPr>
              <w:t>179.699</w:t>
            </w:r>
          </w:p>
        </w:tc>
      </w:tr>
    </w:tbl>
    <w:p>
      <w:pPr>
        <w:pStyle w:val="BodyText"/>
        <w:spacing w:line="242" w:lineRule="auto" w:before="244"/>
        <w:ind w:left="172" w:right="410"/>
        <w:jc w:val="both"/>
      </w:pPr>
      <w:r>
        <w:rPr/>
        <w:t>O</w:t>
      </w:r>
      <w:r>
        <w:rPr>
          <w:spacing w:val="-37"/>
        </w:rPr>
        <w:t> </w:t>
      </w:r>
      <w:r>
        <w:rPr/>
        <w:t>excedente</w:t>
      </w:r>
      <w:r>
        <w:rPr>
          <w:spacing w:val="-35"/>
        </w:rPr>
        <w:t> </w:t>
      </w:r>
      <w:r>
        <w:rPr/>
        <w:t>de</w:t>
      </w:r>
      <w:r>
        <w:rPr>
          <w:spacing w:val="-37"/>
        </w:rPr>
        <w:t> </w:t>
      </w:r>
      <w:r>
        <w:rPr/>
        <w:t>caixa</w:t>
      </w:r>
      <w:r>
        <w:rPr>
          <w:spacing w:val="-36"/>
        </w:rPr>
        <w:t> </w:t>
      </w:r>
      <w:r>
        <w:rPr/>
        <w:t>da</w:t>
      </w:r>
      <w:r>
        <w:rPr>
          <w:spacing w:val="-36"/>
        </w:rPr>
        <w:t> </w:t>
      </w:r>
      <w:r>
        <w:rPr/>
        <w:t>Companhia</w:t>
      </w:r>
      <w:r>
        <w:rPr>
          <w:spacing w:val="-34"/>
        </w:rPr>
        <w:t> </w:t>
      </w:r>
      <w:r>
        <w:rPr/>
        <w:t>é</w:t>
      </w:r>
      <w:r>
        <w:rPr>
          <w:spacing w:val="-37"/>
        </w:rPr>
        <w:t> </w:t>
      </w:r>
      <w:r>
        <w:rPr/>
        <w:t>aplicado</w:t>
      </w:r>
      <w:r>
        <w:rPr>
          <w:spacing w:val="-36"/>
        </w:rPr>
        <w:t> </w:t>
      </w:r>
      <w:r>
        <w:rPr/>
        <w:t>de</w:t>
      </w:r>
      <w:r>
        <w:rPr>
          <w:spacing w:val="-36"/>
        </w:rPr>
        <w:t> </w:t>
      </w:r>
      <w:r>
        <w:rPr/>
        <w:t>forma</w:t>
      </w:r>
      <w:r>
        <w:rPr>
          <w:spacing w:val="-35"/>
        </w:rPr>
        <w:t> </w:t>
      </w:r>
      <w:r>
        <w:rPr/>
        <w:t>conservadora</w:t>
      </w:r>
      <w:r>
        <w:rPr>
          <w:spacing w:val="-36"/>
        </w:rPr>
        <w:t> </w:t>
      </w:r>
      <w:r>
        <w:rPr/>
        <w:t>em</w:t>
      </w:r>
      <w:r>
        <w:rPr>
          <w:spacing w:val="-37"/>
        </w:rPr>
        <w:t> </w:t>
      </w:r>
      <w:r>
        <w:rPr/>
        <w:t>ativos</w:t>
      </w:r>
      <w:r>
        <w:rPr>
          <w:spacing w:val="-36"/>
        </w:rPr>
        <w:t> </w:t>
      </w:r>
      <w:r>
        <w:rPr/>
        <w:t>financeiros</w:t>
      </w:r>
      <w:r>
        <w:rPr>
          <w:spacing w:val="-34"/>
        </w:rPr>
        <w:t> </w:t>
      </w:r>
      <w:r>
        <w:rPr/>
        <w:t>de</w:t>
      </w:r>
      <w:r>
        <w:rPr>
          <w:spacing w:val="-36"/>
        </w:rPr>
        <w:t> </w:t>
      </w:r>
      <w:r>
        <w:rPr/>
        <w:t>baixo</w:t>
      </w:r>
      <w:r>
        <w:rPr>
          <w:spacing w:val="-35"/>
        </w:rPr>
        <w:t> </w:t>
      </w:r>
      <w:r>
        <w:rPr/>
        <w:t>risco,</w:t>
      </w:r>
      <w:r>
        <w:rPr>
          <w:spacing w:val="-36"/>
        </w:rPr>
        <w:t> </w:t>
      </w:r>
      <w:r>
        <w:rPr/>
        <w:t>sendo</w:t>
      </w:r>
      <w:r>
        <w:rPr>
          <w:spacing w:val="-36"/>
        </w:rPr>
        <w:t> </w:t>
      </w:r>
      <w:r>
        <w:rPr/>
        <w:t>os principais</w:t>
      </w:r>
      <w:r>
        <w:rPr>
          <w:spacing w:val="-37"/>
        </w:rPr>
        <w:t> </w:t>
      </w:r>
      <w:r>
        <w:rPr/>
        <w:t>instrumentos</w:t>
      </w:r>
      <w:r>
        <w:rPr>
          <w:spacing w:val="-36"/>
        </w:rPr>
        <w:t> </w:t>
      </w:r>
      <w:r>
        <w:rPr/>
        <w:t>financeiros</w:t>
      </w:r>
      <w:r>
        <w:rPr>
          <w:spacing w:val="-37"/>
        </w:rPr>
        <w:t> </w:t>
      </w:r>
      <w:r>
        <w:rPr/>
        <w:t>representados</w:t>
      </w:r>
      <w:r>
        <w:rPr>
          <w:spacing w:val="-36"/>
        </w:rPr>
        <w:t> </w:t>
      </w:r>
      <w:r>
        <w:rPr/>
        <w:t>por</w:t>
      </w:r>
      <w:r>
        <w:rPr>
          <w:spacing w:val="-37"/>
        </w:rPr>
        <w:t> </w:t>
      </w:r>
      <w:r>
        <w:rPr/>
        <w:t>CDB’s</w:t>
      </w:r>
      <w:r>
        <w:rPr>
          <w:spacing w:val="-37"/>
        </w:rPr>
        <w:t> </w:t>
      </w:r>
      <w:r>
        <w:rPr/>
        <w:t>(Certificados</w:t>
      </w:r>
      <w:r>
        <w:rPr>
          <w:spacing w:val="-36"/>
        </w:rPr>
        <w:t> </w:t>
      </w:r>
      <w:r>
        <w:rPr/>
        <w:t>de</w:t>
      </w:r>
      <w:r>
        <w:rPr>
          <w:spacing w:val="-37"/>
        </w:rPr>
        <w:t> </w:t>
      </w:r>
      <w:r>
        <w:rPr/>
        <w:t>Depósitos</w:t>
      </w:r>
      <w:r>
        <w:rPr>
          <w:spacing w:val="-37"/>
        </w:rPr>
        <w:t> </w:t>
      </w:r>
      <w:r>
        <w:rPr/>
        <w:t>Bancários),</w:t>
      </w:r>
      <w:r>
        <w:rPr>
          <w:spacing w:val="-37"/>
        </w:rPr>
        <w:t> </w:t>
      </w:r>
      <w:r>
        <w:rPr/>
        <w:t>aplicados</w:t>
      </w:r>
      <w:r>
        <w:rPr>
          <w:spacing w:val="-36"/>
        </w:rPr>
        <w:t> </w:t>
      </w:r>
      <w:r>
        <w:rPr/>
        <w:t>junto ao</w:t>
      </w:r>
      <w:r>
        <w:rPr>
          <w:spacing w:val="-48"/>
        </w:rPr>
        <w:t> </w:t>
      </w:r>
      <w:r>
        <w:rPr/>
        <w:t>Banco</w:t>
      </w:r>
      <w:r>
        <w:rPr>
          <w:spacing w:val="-47"/>
        </w:rPr>
        <w:t> </w:t>
      </w:r>
      <w:r>
        <w:rPr/>
        <w:t>de</w:t>
      </w:r>
      <w:r>
        <w:rPr>
          <w:spacing w:val="-47"/>
        </w:rPr>
        <w:t> </w:t>
      </w:r>
      <w:r>
        <w:rPr/>
        <w:t>Brasília</w:t>
      </w:r>
      <w:r>
        <w:rPr>
          <w:spacing w:val="-47"/>
        </w:rPr>
        <w:t> </w:t>
      </w:r>
      <w:r>
        <w:rPr/>
        <w:t>S.A.</w:t>
      </w:r>
      <w:r>
        <w:rPr>
          <w:spacing w:val="-46"/>
        </w:rPr>
        <w:t> </w:t>
      </w:r>
      <w:r>
        <w:rPr>
          <w:w w:val="105"/>
        </w:rPr>
        <w:t>–</w:t>
      </w:r>
      <w:r>
        <w:rPr>
          <w:spacing w:val="-50"/>
          <w:w w:val="105"/>
        </w:rPr>
        <w:t> </w:t>
      </w:r>
      <w:r>
        <w:rPr/>
        <w:t>BRB,</w:t>
      </w:r>
      <w:r>
        <w:rPr>
          <w:spacing w:val="-48"/>
        </w:rPr>
        <w:t> </w:t>
      </w:r>
      <w:r>
        <w:rPr/>
        <w:t>conforme</w:t>
      </w:r>
      <w:r>
        <w:rPr>
          <w:spacing w:val="-47"/>
        </w:rPr>
        <w:t> </w:t>
      </w:r>
      <w:r>
        <w:rPr/>
        <w:t>determinação</w:t>
      </w:r>
      <w:r>
        <w:rPr>
          <w:spacing w:val="-47"/>
        </w:rPr>
        <w:t> </w:t>
      </w:r>
      <w:r>
        <w:rPr/>
        <w:t>legal.</w:t>
      </w:r>
      <w:r>
        <w:rPr>
          <w:spacing w:val="-47"/>
        </w:rPr>
        <w:t> </w:t>
      </w:r>
      <w:r>
        <w:rPr/>
        <w:t>Os</w:t>
      </w:r>
      <w:r>
        <w:rPr>
          <w:spacing w:val="-47"/>
        </w:rPr>
        <w:t> </w:t>
      </w:r>
      <w:r>
        <w:rPr/>
        <w:t>investimentos</w:t>
      </w:r>
      <w:r>
        <w:rPr>
          <w:spacing w:val="-47"/>
        </w:rPr>
        <w:t> </w:t>
      </w:r>
      <w:r>
        <w:rPr/>
        <w:t>têm</w:t>
      </w:r>
      <w:r>
        <w:rPr>
          <w:spacing w:val="-46"/>
        </w:rPr>
        <w:t> </w:t>
      </w:r>
      <w:r>
        <w:rPr/>
        <w:t>alta</w:t>
      </w:r>
      <w:r>
        <w:rPr>
          <w:spacing w:val="-48"/>
        </w:rPr>
        <w:t> </w:t>
      </w:r>
      <w:r>
        <w:rPr/>
        <w:t>liquidez,</w:t>
      </w:r>
      <w:r>
        <w:rPr>
          <w:spacing w:val="-46"/>
        </w:rPr>
        <w:t> </w:t>
      </w:r>
      <w:r>
        <w:rPr/>
        <w:t>sendo</w:t>
      </w:r>
      <w:r>
        <w:rPr>
          <w:spacing w:val="-47"/>
        </w:rPr>
        <w:t> </w:t>
      </w:r>
      <w:r>
        <w:rPr/>
        <w:t>prontamente conversíveis</w:t>
      </w:r>
      <w:r>
        <w:rPr>
          <w:spacing w:val="-30"/>
        </w:rPr>
        <w:t> </w:t>
      </w:r>
      <w:r>
        <w:rPr/>
        <w:t>em</w:t>
      </w:r>
      <w:r>
        <w:rPr>
          <w:spacing w:val="-32"/>
        </w:rPr>
        <w:t> </w:t>
      </w:r>
      <w:r>
        <w:rPr/>
        <w:t>recursos</w:t>
      </w:r>
      <w:r>
        <w:rPr>
          <w:spacing w:val="-31"/>
        </w:rPr>
        <w:t> </w:t>
      </w:r>
      <w:r>
        <w:rPr/>
        <w:t>disponíveis</w:t>
      </w:r>
      <w:r>
        <w:rPr>
          <w:spacing w:val="-32"/>
        </w:rPr>
        <w:t> </w:t>
      </w:r>
      <w:r>
        <w:rPr/>
        <w:t>de</w:t>
      </w:r>
      <w:r>
        <w:rPr>
          <w:spacing w:val="-32"/>
        </w:rPr>
        <w:t> </w:t>
      </w:r>
      <w:r>
        <w:rPr/>
        <w:t>acordo</w:t>
      </w:r>
      <w:r>
        <w:rPr>
          <w:spacing w:val="-32"/>
        </w:rPr>
        <w:t> </w:t>
      </w:r>
      <w:r>
        <w:rPr/>
        <w:t>com</w:t>
      </w:r>
      <w:r>
        <w:rPr>
          <w:spacing w:val="-32"/>
        </w:rPr>
        <w:t> </w:t>
      </w:r>
      <w:r>
        <w:rPr/>
        <w:t>as</w:t>
      </w:r>
      <w:r>
        <w:rPr>
          <w:spacing w:val="-31"/>
        </w:rPr>
        <w:t> </w:t>
      </w:r>
      <w:r>
        <w:rPr/>
        <w:t>necessidades</w:t>
      </w:r>
      <w:r>
        <w:rPr>
          <w:spacing w:val="-32"/>
        </w:rPr>
        <w:t> </w:t>
      </w:r>
      <w:r>
        <w:rPr/>
        <w:t>de</w:t>
      </w:r>
      <w:r>
        <w:rPr>
          <w:spacing w:val="-32"/>
        </w:rPr>
        <w:t> </w:t>
      </w:r>
      <w:r>
        <w:rPr/>
        <w:t>caixa</w:t>
      </w:r>
      <w:r>
        <w:rPr>
          <w:spacing w:val="-31"/>
        </w:rPr>
        <w:t> </w:t>
      </w:r>
      <w:r>
        <w:rPr/>
        <w:t>da</w:t>
      </w:r>
      <w:r>
        <w:rPr>
          <w:spacing w:val="-31"/>
        </w:rPr>
        <w:t> </w:t>
      </w:r>
      <w:r>
        <w:rPr/>
        <w:t>Companhia</w:t>
      </w:r>
      <w:r>
        <w:rPr>
          <w:spacing w:val="-30"/>
        </w:rPr>
        <w:t> </w:t>
      </w:r>
      <w:r>
        <w:rPr/>
        <w:t>em</w:t>
      </w:r>
      <w:r>
        <w:rPr>
          <w:spacing w:val="-32"/>
        </w:rPr>
        <w:t> </w:t>
      </w:r>
      <w:r>
        <w:rPr/>
        <w:t>um</w:t>
      </w:r>
      <w:r>
        <w:rPr>
          <w:spacing w:val="-32"/>
        </w:rPr>
        <w:t> </w:t>
      </w:r>
      <w:r>
        <w:rPr/>
        <w:t>valor</w:t>
      </w:r>
      <w:r>
        <w:rPr>
          <w:spacing w:val="-32"/>
        </w:rPr>
        <w:t> </w:t>
      </w:r>
      <w:r>
        <w:rPr/>
        <w:t>conhecido </w:t>
      </w:r>
      <w:r>
        <w:rPr>
          <w:w w:val="95"/>
        </w:rPr>
        <w:t>e</w:t>
      </w:r>
      <w:r>
        <w:rPr>
          <w:spacing w:val="-22"/>
          <w:w w:val="95"/>
        </w:rPr>
        <w:t> </w:t>
      </w:r>
      <w:r>
        <w:rPr>
          <w:w w:val="95"/>
        </w:rPr>
        <w:t>com</w:t>
      </w:r>
      <w:r>
        <w:rPr>
          <w:spacing w:val="-19"/>
          <w:w w:val="95"/>
        </w:rPr>
        <w:t> </w:t>
      </w:r>
      <w:r>
        <w:rPr>
          <w:w w:val="95"/>
        </w:rPr>
        <w:t>risco</w:t>
      </w:r>
      <w:r>
        <w:rPr>
          <w:spacing w:val="-21"/>
          <w:w w:val="95"/>
        </w:rPr>
        <w:t> </w:t>
      </w:r>
      <w:r>
        <w:rPr>
          <w:w w:val="95"/>
        </w:rPr>
        <w:t>insignificante</w:t>
      </w:r>
      <w:r>
        <w:rPr>
          <w:spacing w:val="-23"/>
          <w:w w:val="95"/>
        </w:rPr>
        <w:t> </w:t>
      </w:r>
      <w:r>
        <w:rPr>
          <w:w w:val="95"/>
        </w:rPr>
        <w:t>de</w:t>
      </w:r>
      <w:r>
        <w:rPr>
          <w:spacing w:val="-20"/>
          <w:w w:val="95"/>
        </w:rPr>
        <w:t> </w:t>
      </w:r>
      <w:r>
        <w:rPr>
          <w:w w:val="95"/>
        </w:rPr>
        <w:t>perda.</w:t>
      </w:r>
      <w:r>
        <w:rPr>
          <w:spacing w:val="-21"/>
          <w:w w:val="95"/>
        </w:rPr>
        <w:t> </w:t>
      </w:r>
      <w:r>
        <w:rPr>
          <w:w w:val="95"/>
        </w:rPr>
        <w:t>As</w:t>
      </w:r>
      <w:r>
        <w:rPr>
          <w:spacing w:val="-19"/>
          <w:w w:val="95"/>
        </w:rPr>
        <w:t> </w:t>
      </w:r>
      <w:r>
        <w:rPr>
          <w:w w:val="95"/>
        </w:rPr>
        <w:t>aplicações</w:t>
      </w:r>
      <w:r>
        <w:rPr>
          <w:spacing w:val="-20"/>
          <w:w w:val="95"/>
        </w:rPr>
        <w:t> </w:t>
      </w:r>
      <w:r>
        <w:rPr>
          <w:w w:val="95"/>
        </w:rPr>
        <w:t>financeiras</w:t>
      </w:r>
      <w:r>
        <w:rPr>
          <w:spacing w:val="-20"/>
          <w:w w:val="95"/>
        </w:rPr>
        <w:t> </w:t>
      </w:r>
      <w:r>
        <w:rPr>
          <w:w w:val="95"/>
        </w:rPr>
        <w:t>da</w:t>
      </w:r>
      <w:r>
        <w:rPr>
          <w:spacing w:val="-20"/>
          <w:w w:val="95"/>
        </w:rPr>
        <w:t> </w:t>
      </w:r>
      <w:r>
        <w:rPr>
          <w:w w:val="95"/>
        </w:rPr>
        <w:t>Companhia</w:t>
      </w:r>
      <w:r>
        <w:rPr>
          <w:spacing w:val="-19"/>
          <w:w w:val="95"/>
        </w:rPr>
        <w:t> </w:t>
      </w:r>
      <w:r>
        <w:rPr>
          <w:w w:val="95"/>
        </w:rPr>
        <w:t>têm</w:t>
      </w:r>
      <w:r>
        <w:rPr>
          <w:spacing w:val="-19"/>
          <w:w w:val="95"/>
        </w:rPr>
        <w:t> </w:t>
      </w:r>
      <w:r>
        <w:rPr>
          <w:w w:val="95"/>
        </w:rPr>
        <w:t>rentabilidade</w:t>
      </w:r>
      <w:r>
        <w:rPr>
          <w:spacing w:val="-22"/>
          <w:w w:val="95"/>
        </w:rPr>
        <w:t> </w:t>
      </w:r>
      <w:r>
        <w:rPr>
          <w:w w:val="95"/>
        </w:rPr>
        <w:t>compatível</w:t>
      </w:r>
      <w:r>
        <w:rPr>
          <w:spacing w:val="-20"/>
          <w:w w:val="95"/>
        </w:rPr>
        <w:t> </w:t>
      </w:r>
      <w:r>
        <w:rPr>
          <w:w w:val="95"/>
        </w:rPr>
        <w:t>às</w:t>
      </w:r>
      <w:r>
        <w:rPr>
          <w:spacing w:val="-19"/>
          <w:w w:val="95"/>
        </w:rPr>
        <w:t> </w:t>
      </w:r>
      <w:r>
        <w:rPr>
          <w:w w:val="95"/>
        </w:rPr>
        <w:t>variações </w:t>
      </w:r>
      <w:r>
        <w:rPr/>
        <w:t>do</w:t>
      </w:r>
      <w:r>
        <w:rPr>
          <w:spacing w:val="-49"/>
        </w:rPr>
        <w:t> </w:t>
      </w:r>
      <w:r>
        <w:rPr/>
        <w:t>CDI</w:t>
      </w:r>
      <w:r>
        <w:rPr>
          <w:spacing w:val="-47"/>
        </w:rPr>
        <w:t> </w:t>
      </w:r>
      <w:r>
        <w:rPr/>
        <w:t>(Certificado</w:t>
      </w:r>
      <w:r>
        <w:rPr>
          <w:spacing w:val="-48"/>
        </w:rPr>
        <w:t> </w:t>
      </w:r>
      <w:r>
        <w:rPr/>
        <w:t>de</w:t>
      </w:r>
      <w:r>
        <w:rPr>
          <w:spacing w:val="-48"/>
        </w:rPr>
        <w:t> </w:t>
      </w:r>
      <w:r>
        <w:rPr/>
        <w:t>Depósito</w:t>
      </w:r>
      <w:r>
        <w:rPr>
          <w:spacing w:val="-48"/>
        </w:rPr>
        <w:t> </w:t>
      </w:r>
      <w:r>
        <w:rPr/>
        <w:t>Bancário),</w:t>
      </w:r>
      <w:r>
        <w:rPr>
          <w:spacing w:val="-48"/>
        </w:rPr>
        <w:t> </w:t>
      </w:r>
      <w:r>
        <w:rPr/>
        <w:t>com</w:t>
      </w:r>
      <w:r>
        <w:rPr>
          <w:spacing w:val="-48"/>
        </w:rPr>
        <w:t> </w:t>
      </w:r>
      <w:r>
        <w:rPr/>
        <w:t>remuneração</w:t>
      </w:r>
      <w:r>
        <w:rPr>
          <w:spacing w:val="-48"/>
        </w:rPr>
        <w:t> </w:t>
      </w:r>
      <w:r>
        <w:rPr/>
        <w:t>de</w:t>
      </w:r>
      <w:r>
        <w:rPr>
          <w:spacing w:val="-48"/>
        </w:rPr>
        <w:t> </w:t>
      </w:r>
      <w:r>
        <w:rPr>
          <w:w w:val="110"/>
        </w:rPr>
        <w:t>98%</w:t>
      </w:r>
      <w:r>
        <w:rPr>
          <w:spacing w:val="-53"/>
          <w:w w:val="110"/>
        </w:rPr>
        <w:t> </w:t>
      </w:r>
      <w:r>
        <w:rPr/>
        <w:t>deste</w:t>
      </w:r>
      <w:r>
        <w:rPr>
          <w:spacing w:val="-49"/>
        </w:rPr>
        <w:t> </w:t>
      </w:r>
      <w:r>
        <w:rPr/>
        <w:t>indicador.</w:t>
      </w:r>
      <w:r>
        <w:rPr>
          <w:spacing w:val="-47"/>
        </w:rPr>
        <w:t> </w:t>
      </w:r>
      <w:r>
        <w:rPr/>
        <w:t>Dada</w:t>
      </w:r>
      <w:r>
        <w:rPr>
          <w:spacing w:val="-48"/>
        </w:rPr>
        <w:t> </w:t>
      </w:r>
      <w:r>
        <w:rPr/>
        <w:t>à</w:t>
      </w:r>
      <w:r>
        <w:rPr>
          <w:spacing w:val="-48"/>
        </w:rPr>
        <w:t> </w:t>
      </w:r>
      <w:r>
        <w:rPr/>
        <w:t>natureza</w:t>
      </w:r>
      <w:r>
        <w:rPr>
          <w:spacing w:val="-47"/>
        </w:rPr>
        <w:t> </w:t>
      </w:r>
      <w:r>
        <w:rPr/>
        <w:t>e</w:t>
      </w:r>
      <w:r>
        <w:rPr>
          <w:spacing w:val="-48"/>
        </w:rPr>
        <w:t> </w:t>
      </w:r>
      <w:r>
        <w:rPr/>
        <w:t>característica das</w:t>
      </w:r>
      <w:r>
        <w:rPr>
          <w:spacing w:val="-37"/>
        </w:rPr>
        <w:t> </w:t>
      </w:r>
      <w:r>
        <w:rPr/>
        <w:t>aplicações</w:t>
      </w:r>
      <w:r>
        <w:rPr>
          <w:spacing w:val="-36"/>
        </w:rPr>
        <w:t> </w:t>
      </w:r>
      <w:r>
        <w:rPr/>
        <w:t>financeiras,</w:t>
      </w:r>
      <w:r>
        <w:rPr>
          <w:spacing w:val="-37"/>
        </w:rPr>
        <w:t> </w:t>
      </w:r>
      <w:r>
        <w:rPr/>
        <w:t>as</w:t>
      </w:r>
      <w:r>
        <w:rPr>
          <w:spacing w:val="-36"/>
        </w:rPr>
        <w:t> </w:t>
      </w:r>
      <w:r>
        <w:rPr/>
        <w:t>mesmas</w:t>
      </w:r>
      <w:r>
        <w:rPr>
          <w:spacing w:val="-36"/>
        </w:rPr>
        <w:t> </w:t>
      </w:r>
      <w:r>
        <w:rPr/>
        <w:t>já</w:t>
      </w:r>
      <w:r>
        <w:rPr>
          <w:spacing w:val="-35"/>
        </w:rPr>
        <w:t> </w:t>
      </w:r>
      <w:r>
        <w:rPr/>
        <w:t>estão</w:t>
      </w:r>
      <w:r>
        <w:rPr>
          <w:spacing w:val="-35"/>
        </w:rPr>
        <w:t> </w:t>
      </w:r>
      <w:r>
        <w:rPr/>
        <w:t>reconhecidas</w:t>
      </w:r>
      <w:r>
        <w:rPr>
          <w:spacing w:val="-36"/>
        </w:rPr>
        <w:t> </w:t>
      </w:r>
      <w:r>
        <w:rPr/>
        <w:t>pelo</w:t>
      </w:r>
      <w:r>
        <w:rPr>
          <w:spacing w:val="-37"/>
        </w:rPr>
        <w:t> </w:t>
      </w:r>
      <w:r>
        <w:rPr/>
        <w:t>seu</w:t>
      </w:r>
      <w:r>
        <w:rPr>
          <w:spacing w:val="-36"/>
        </w:rPr>
        <w:t> </w:t>
      </w:r>
      <w:r>
        <w:rPr/>
        <w:t>valor</w:t>
      </w:r>
      <w:r>
        <w:rPr>
          <w:spacing w:val="-36"/>
        </w:rPr>
        <w:t> </w:t>
      </w:r>
      <w:r>
        <w:rPr/>
        <w:t>justo,</w:t>
      </w:r>
      <w:r>
        <w:rPr>
          <w:spacing w:val="-35"/>
        </w:rPr>
        <w:t> </w:t>
      </w:r>
      <w:r>
        <w:rPr/>
        <w:t>em</w:t>
      </w:r>
      <w:r>
        <w:rPr>
          <w:spacing w:val="-34"/>
        </w:rPr>
        <w:t> </w:t>
      </w:r>
      <w:r>
        <w:rPr/>
        <w:t>contrapartida</w:t>
      </w:r>
      <w:r>
        <w:rPr>
          <w:spacing w:val="-36"/>
        </w:rPr>
        <w:t> </w:t>
      </w:r>
      <w:r>
        <w:rPr/>
        <w:t>ao</w:t>
      </w:r>
      <w:r>
        <w:rPr>
          <w:spacing w:val="-35"/>
        </w:rPr>
        <w:t> </w:t>
      </w:r>
      <w:r>
        <w:rPr/>
        <w:t>resultado.</w:t>
      </w:r>
    </w:p>
    <w:p>
      <w:pPr>
        <w:pStyle w:val="BodyText"/>
        <w:spacing w:before="3"/>
      </w:pPr>
    </w:p>
    <w:p>
      <w:pPr>
        <w:pStyle w:val="Heading3"/>
        <w:numPr>
          <w:ilvl w:val="0"/>
          <w:numId w:val="6"/>
        </w:numPr>
        <w:tabs>
          <w:tab w:pos="953" w:val="left" w:leader="none"/>
          <w:tab w:pos="954" w:val="left" w:leader="none"/>
        </w:tabs>
        <w:spacing w:line="240" w:lineRule="auto" w:before="0" w:after="0"/>
        <w:ind w:left="953" w:right="0" w:hanging="782"/>
        <w:jc w:val="left"/>
      </w:pPr>
      <w:r>
        <w:rPr/>
        <w:t>CONTAS A</w:t>
      </w:r>
      <w:r>
        <w:rPr>
          <w:spacing w:val="-2"/>
        </w:rPr>
        <w:t> </w:t>
      </w:r>
      <w:r>
        <w:rPr/>
        <w:t>RECEBER</w:t>
      </w:r>
    </w:p>
    <w:p>
      <w:pPr>
        <w:pStyle w:val="ListParagraph"/>
        <w:numPr>
          <w:ilvl w:val="1"/>
          <w:numId w:val="6"/>
        </w:numPr>
        <w:tabs>
          <w:tab w:pos="1025" w:val="left" w:leader="none"/>
          <w:tab w:pos="1026" w:val="left" w:leader="none"/>
        </w:tabs>
        <w:spacing w:line="240" w:lineRule="auto" w:before="242" w:after="0"/>
        <w:ind w:left="1025" w:right="0" w:hanging="854"/>
        <w:jc w:val="left"/>
        <w:rPr>
          <w:rFonts w:ascii="Caladea" w:hAnsi="Caladea"/>
          <w:b/>
          <w:sz w:val="18"/>
        </w:rPr>
      </w:pPr>
      <w:r>
        <w:rPr>
          <w:rFonts w:ascii="Caladea" w:hAnsi="Caladea"/>
          <w:b/>
          <w:sz w:val="22"/>
        </w:rPr>
        <w:t>C</w:t>
      </w:r>
      <w:r>
        <w:rPr>
          <w:rFonts w:ascii="Caladea" w:hAnsi="Caladea"/>
          <w:b/>
          <w:sz w:val="18"/>
        </w:rPr>
        <w:t>OMPOSIÇÃO DO </w:t>
      </w:r>
      <w:r>
        <w:rPr>
          <w:rFonts w:ascii="Caladea" w:hAnsi="Caladea"/>
          <w:b/>
          <w:sz w:val="22"/>
        </w:rPr>
        <w:t>C</w:t>
      </w:r>
      <w:r>
        <w:rPr>
          <w:rFonts w:ascii="Caladea" w:hAnsi="Caladea"/>
          <w:b/>
          <w:sz w:val="18"/>
        </w:rPr>
        <w:t>ONTAS A</w:t>
      </w:r>
      <w:r>
        <w:rPr>
          <w:rFonts w:ascii="Caladea" w:hAnsi="Caladea"/>
          <w:b/>
          <w:spacing w:val="1"/>
          <w:sz w:val="18"/>
        </w:rPr>
        <w:t> </w:t>
      </w:r>
      <w:r>
        <w:rPr>
          <w:rFonts w:ascii="Caladea" w:hAnsi="Caladea"/>
          <w:b/>
          <w:sz w:val="22"/>
        </w:rPr>
        <w:t>R</w:t>
      </w:r>
      <w:r>
        <w:rPr>
          <w:rFonts w:ascii="Caladea" w:hAnsi="Caladea"/>
          <w:b/>
          <w:sz w:val="18"/>
        </w:rPr>
        <w:t>ECEBER</w:t>
      </w:r>
    </w:p>
    <w:p>
      <w:pPr>
        <w:pStyle w:val="BodyText"/>
        <w:spacing w:before="8" w:after="1"/>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82"/>
        <w:gridCol w:w="1058"/>
        <w:gridCol w:w="1059"/>
        <w:gridCol w:w="1058"/>
        <w:gridCol w:w="1058"/>
      </w:tblGrid>
      <w:tr>
        <w:trPr>
          <w:trHeight w:val="237" w:hRule="atLeast"/>
        </w:trPr>
        <w:tc>
          <w:tcPr>
            <w:tcW w:w="5682" w:type="dxa"/>
            <w:vMerge w:val="restart"/>
            <w:shd w:val="clear" w:color="auto" w:fill="D9D9D9"/>
          </w:tcPr>
          <w:p>
            <w:pPr>
              <w:pStyle w:val="TableParagraph"/>
              <w:rPr>
                <w:rFonts w:ascii="Times New Roman"/>
                <w:sz w:val="16"/>
              </w:rPr>
            </w:pPr>
          </w:p>
        </w:tc>
        <w:tc>
          <w:tcPr>
            <w:tcW w:w="2117" w:type="dxa"/>
            <w:gridSpan w:val="2"/>
          </w:tcPr>
          <w:p>
            <w:pPr>
              <w:pStyle w:val="TableParagraph"/>
              <w:spacing w:before="35"/>
              <w:ind w:left="628"/>
              <w:rPr>
                <w:rFonts w:ascii="Caladea"/>
                <w:b/>
                <w:sz w:val="14"/>
              </w:rPr>
            </w:pPr>
            <w:r>
              <w:rPr>
                <w:rFonts w:ascii="Caladea"/>
                <w:b/>
                <w:sz w:val="14"/>
              </w:rPr>
              <w:t>Controladora</w:t>
            </w:r>
          </w:p>
        </w:tc>
        <w:tc>
          <w:tcPr>
            <w:tcW w:w="2116" w:type="dxa"/>
            <w:gridSpan w:val="2"/>
          </w:tcPr>
          <w:p>
            <w:pPr>
              <w:pStyle w:val="TableParagraph"/>
              <w:spacing w:before="35"/>
              <w:ind w:left="660"/>
              <w:rPr>
                <w:rFonts w:ascii="Caladea"/>
                <w:b/>
                <w:sz w:val="14"/>
              </w:rPr>
            </w:pPr>
            <w:r>
              <w:rPr>
                <w:rFonts w:ascii="Caladea"/>
                <w:b/>
                <w:sz w:val="14"/>
              </w:rPr>
              <w:t>Consolidado</w:t>
            </w:r>
          </w:p>
        </w:tc>
      </w:tr>
      <w:tr>
        <w:trPr>
          <w:trHeight w:val="239" w:hRule="atLeast"/>
        </w:trPr>
        <w:tc>
          <w:tcPr>
            <w:tcW w:w="5682" w:type="dxa"/>
            <w:vMerge/>
            <w:tcBorders>
              <w:top w:val="nil"/>
            </w:tcBorders>
            <w:shd w:val="clear" w:color="auto" w:fill="D9D9D9"/>
          </w:tcPr>
          <w:p>
            <w:pPr>
              <w:rPr>
                <w:sz w:val="2"/>
                <w:szCs w:val="2"/>
              </w:rPr>
            </w:pPr>
          </w:p>
        </w:tc>
        <w:tc>
          <w:tcPr>
            <w:tcW w:w="1058" w:type="dxa"/>
          </w:tcPr>
          <w:p>
            <w:pPr>
              <w:pStyle w:val="TableParagraph"/>
              <w:spacing w:before="37"/>
              <w:ind w:left="127"/>
              <w:rPr>
                <w:rFonts w:ascii="Caladea"/>
                <w:b/>
                <w:sz w:val="14"/>
              </w:rPr>
            </w:pPr>
            <w:r>
              <w:rPr>
                <w:rFonts w:ascii="Caladea"/>
                <w:b/>
                <w:sz w:val="14"/>
              </w:rPr>
              <w:t>31/12/2019</w:t>
            </w:r>
          </w:p>
        </w:tc>
        <w:tc>
          <w:tcPr>
            <w:tcW w:w="1059" w:type="dxa"/>
          </w:tcPr>
          <w:p>
            <w:pPr>
              <w:pStyle w:val="TableParagraph"/>
              <w:spacing w:before="37"/>
              <w:ind w:right="117"/>
              <w:jc w:val="right"/>
              <w:rPr>
                <w:rFonts w:ascii="Caladea"/>
                <w:b/>
                <w:sz w:val="14"/>
              </w:rPr>
            </w:pPr>
            <w:r>
              <w:rPr>
                <w:rFonts w:ascii="Caladea"/>
                <w:b/>
                <w:sz w:val="14"/>
              </w:rPr>
              <w:t>31/12/2018</w:t>
            </w:r>
          </w:p>
        </w:tc>
        <w:tc>
          <w:tcPr>
            <w:tcW w:w="1058" w:type="dxa"/>
          </w:tcPr>
          <w:p>
            <w:pPr>
              <w:pStyle w:val="TableParagraph"/>
              <w:spacing w:before="37"/>
              <w:ind w:left="127"/>
              <w:rPr>
                <w:rFonts w:ascii="Caladea"/>
                <w:b/>
                <w:sz w:val="14"/>
              </w:rPr>
            </w:pPr>
            <w:r>
              <w:rPr>
                <w:rFonts w:ascii="Caladea"/>
                <w:b/>
                <w:sz w:val="14"/>
              </w:rPr>
              <w:t>31/12/2019</w:t>
            </w:r>
          </w:p>
        </w:tc>
        <w:tc>
          <w:tcPr>
            <w:tcW w:w="1058" w:type="dxa"/>
          </w:tcPr>
          <w:p>
            <w:pPr>
              <w:pStyle w:val="TableParagraph"/>
              <w:spacing w:before="37"/>
              <w:ind w:right="118"/>
              <w:jc w:val="right"/>
              <w:rPr>
                <w:rFonts w:ascii="Caladea"/>
                <w:b/>
                <w:sz w:val="14"/>
              </w:rPr>
            </w:pPr>
            <w:r>
              <w:rPr>
                <w:rFonts w:ascii="Caladea"/>
                <w:b/>
                <w:sz w:val="14"/>
              </w:rPr>
              <w:t>31/12/2018</w:t>
            </w:r>
          </w:p>
        </w:tc>
      </w:tr>
      <w:tr>
        <w:trPr>
          <w:trHeight w:val="237" w:hRule="atLeast"/>
        </w:trPr>
        <w:tc>
          <w:tcPr>
            <w:tcW w:w="5682" w:type="dxa"/>
          </w:tcPr>
          <w:p>
            <w:pPr>
              <w:pStyle w:val="TableParagraph"/>
              <w:spacing w:before="36"/>
              <w:ind w:left="72"/>
              <w:rPr>
                <w:sz w:val="14"/>
              </w:rPr>
            </w:pPr>
            <w:r>
              <w:rPr>
                <w:sz w:val="14"/>
              </w:rPr>
              <w:t>Consumidores, Concessionárias e Permissionárias</w:t>
            </w:r>
          </w:p>
        </w:tc>
        <w:tc>
          <w:tcPr>
            <w:tcW w:w="1058" w:type="dxa"/>
          </w:tcPr>
          <w:p>
            <w:pPr>
              <w:pStyle w:val="TableParagraph"/>
              <w:rPr>
                <w:rFonts w:ascii="Times New Roman"/>
                <w:sz w:val="16"/>
              </w:rPr>
            </w:pPr>
          </w:p>
        </w:tc>
        <w:tc>
          <w:tcPr>
            <w:tcW w:w="1059" w:type="dxa"/>
          </w:tcPr>
          <w:p>
            <w:pPr>
              <w:pStyle w:val="TableParagraph"/>
              <w:rPr>
                <w:rFonts w:ascii="Times New Roman"/>
                <w:sz w:val="16"/>
              </w:rPr>
            </w:pPr>
          </w:p>
        </w:tc>
        <w:tc>
          <w:tcPr>
            <w:tcW w:w="1058" w:type="dxa"/>
          </w:tcPr>
          <w:p>
            <w:pPr>
              <w:pStyle w:val="TableParagraph"/>
              <w:spacing w:before="36"/>
              <w:ind w:right="56"/>
              <w:jc w:val="right"/>
              <w:rPr>
                <w:sz w:val="14"/>
              </w:rPr>
            </w:pPr>
            <w:r>
              <w:rPr>
                <w:w w:val="95"/>
                <w:sz w:val="14"/>
              </w:rPr>
              <w:t>647.834</w:t>
            </w:r>
          </w:p>
        </w:tc>
        <w:tc>
          <w:tcPr>
            <w:tcW w:w="1058" w:type="dxa"/>
          </w:tcPr>
          <w:p>
            <w:pPr>
              <w:pStyle w:val="TableParagraph"/>
              <w:spacing w:before="36"/>
              <w:ind w:right="58"/>
              <w:jc w:val="right"/>
              <w:rPr>
                <w:sz w:val="14"/>
              </w:rPr>
            </w:pPr>
            <w:r>
              <w:rPr>
                <w:w w:val="95"/>
                <w:sz w:val="14"/>
              </w:rPr>
              <w:t>689.124</w:t>
            </w:r>
          </w:p>
        </w:tc>
      </w:tr>
      <w:tr>
        <w:trPr>
          <w:trHeight w:val="237" w:hRule="atLeast"/>
        </w:trPr>
        <w:tc>
          <w:tcPr>
            <w:tcW w:w="5682" w:type="dxa"/>
          </w:tcPr>
          <w:p>
            <w:pPr>
              <w:pStyle w:val="TableParagraph"/>
              <w:spacing w:before="36"/>
              <w:ind w:left="72"/>
              <w:rPr>
                <w:sz w:val="14"/>
              </w:rPr>
            </w:pPr>
            <w:r>
              <w:rPr>
                <w:sz w:val="14"/>
              </w:rPr>
              <w:t>Títulos de Créditos a Receber</w:t>
            </w:r>
          </w:p>
        </w:tc>
        <w:tc>
          <w:tcPr>
            <w:tcW w:w="1058" w:type="dxa"/>
          </w:tcPr>
          <w:p>
            <w:pPr>
              <w:pStyle w:val="TableParagraph"/>
              <w:rPr>
                <w:rFonts w:ascii="Times New Roman"/>
                <w:sz w:val="16"/>
              </w:rPr>
            </w:pPr>
          </w:p>
        </w:tc>
        <w:tc>
          <w:tcPr>
            <w:tcW w:w="1059" w:type="dxa"/>
          </w:tcPr>
          <w:p>
            <w:pPr>
              <w:pStyle w:val="TableParagraph"/>
              <w:rPr>
                <w:rFonts w:ascii="Times New Roman"/>
                <w:sz w:val="16"/>
              </w:rPr>
            </w:pPr>
          </w:p>
        </w:tc>
        <w:tc>
          <w:tcPr>
            <w:tcW w:w="1058" w:type="dxa"/>
          </w:tcPr>
          <w:p>
            <w:pPr>
              <w:pStyle w:val="TableParagraph"/>
              <w:spacing w:before="36"/>
              <w:ind w:right="56"/>
              <w:jc w:val="right"/>
              <w:rPr>
                <w:sz w:val="14"/>
              </w:rPr>
            </w:pPr>
            <w:r>
              <w:rPr>
                <w:w w:val="95"/>
                <w:sz w:val="14"/>
              </w:rPr>
              <w:t>120.306</w:t>
            </w:r>
          </w:p>
        </w:tc>
        <w:tc>
          <w:tcPr>
            <w:tcW w:w="1058" w:type="dxa"/>
          </w:tcPr>
          <w:p>
            <w:pPr>
              <w:pStyle w:val="TableParagraph"/>
              <w:spacing w:before="36"/>
              <w:ind w:right="58"/>
              <w:jc w:val="right"/>
              <w:rPr>
                <w:sz w:val="14"/>
              </w:rPr>
            </w:pPr>
            <w:r>
              <w:rPr>
                <w:w w:val="95"/>
                <w:sz w:val="14"/>
              </w:rPr>
              <w:t>67.322</w:t>
            </w:r>
          </w:p>
        </w:tc>
      </w:tr>
      <w:tr>
        <w:trPr>
          <w:trHeight w:val="239" w:hRule="atLeast"/>
        </w:trPr>
        <w:tc>
          <w:tcPr>
            <w:tcW w:w="5682" w:type="dxa"/>
          </w:tcPr>
          <w:p>
            <w:pPr>
              <w:pStyle w:val="TableParagraph"/>
              <w:spacing w:before="38"/>
              <w:ind w:left="72"/>
              <w:rPr>
                <w:sz w:val="14"/>
              </w:rPr>
            </w:pPr>
            <w:r>
              <w:rPr>
                <w:sz w:val="14"/>
              </w:rPr>
              <w:t>Serviços Prestados a Terceiros</w:t>
            </w:r>
          </w:p>
        </w:tc>
        <w:tc>
          <w:tcPr>
            <w:tcW w:w="1058" w:type="dxa"/>
          </w:tcPr>
          <w:p>
            <w:pPr>
              <w:pStyle w:val="TableParagraph"/>
              <w:spacing w:before="38"/>
              <w:ind w:right="56"/>
              <w:jc w:val="right"/>
              <w:rPr>
                <w:sz w:val="14"/>
              </w:rPr>
            </w:pPr>
            <w:r>
              <w:rPr>
                <w:w w:val="95"/>
                <w:sz w:val="14"/>
              </w:rPr>
              <w:t>30.837</w:t>
            </w:r>
          </w:p>
        </w:tc>
        <w:tc>
          <w:tcPr>
            <w:tcW w:w="1059" w:type="dxa"/>
          </w:tcPr>
          <w:p>
            <w:pPr>
              <w:pStyle w:val="TableParagraph"/>
              <w:spacing w:before="38"/>
              <w:ind w:right="57"/>
              <w:jc w:val="right"/>
              <w:rPr>
                <w:sz w:val="14"/>
              </w:rPr>
            </w:pPr>
            <w:r>
              <w:rPr>
                <w:w w:val="95"/>
                <w:sz w:val="14"/>
              </w:rPr>
              <w:t>36.606</w:t>
            </w:r>
          </w:p>
        </w:tc>
        <w:tc>
          <w:tcPr>
            <w:tcW w:w="1058" w:type="dxa"/>
          </w:tcPr>
          <w:p>
            <w:pPr>
              <w:pStyle w:val="TableParagraph"/>
              <w:spacing w:before="38"/>
              <w:ind w:right="56"/>
              <w:jc w:val="right"/>
              <w:rPr>
                <w:sz w:val="14"/>
              </w:rPr>
            </w:pPr>
            <w:r>
              <w:rPr>
                <w:w w:val="95"/>
                <w:sz w:val="14"/>
              </w:rPr>
              <w:t>57.415</w:t>
            </w:r>
          </w:p>
        </w:tc>
        <w:tc>
          <w:tcPr>
            <w:tcW w:w="1058" w:type="dxa"/>
          </w:tcPr>
          <w:p>
            <w:pPr>
              <w:pStyle w:val="TableParagraph"/>
              <w:spacing w:before="38"/>
              <w:ind w:right="58"/>
              <w:jc w:val="right"/>
              <w:rPr>
                <w:sz w:val="14"/>
              </w:rPr>
            </w:pPr>
            <w:r>
              <w:rPr>
                <w:w w:val="95"/>
                <w:sz w:val="14"/>
              </w:rPr>
              <w:t>57.287</w:t>
            </w:r>
          </w:p>
        </w:tc>
      </w:tr>
      <w:tr>
        <w:trPr>
          <w:trHeight w:val="237" w:hRule="atLeast"/>
        </w:trPr>
        <w:tc>
          <w:tcPr>
            <w:tcW w:w="5682" w:type="dxa"/>
          </w:tcPr>
          <w:p>
            <w:pPr>
              <w:pStyle w:val="TableParagraph"/>
              <w:spacing w:before="34"/>
              <w:ind w:left="72"/>
              <w:rPr>
                <w:rFonts w:ascii="Caladea"/>
                <w:b/>
                <w:sz w:val="14"/>
              </w:rPr>
            </w:pPr>
            <w:r>
              <w:rPr>
                <w:rFonts w:ascii="Caladea"/>
                <w:b/>
                <w:sz w:val="14"/>
              </w:rPr>
              <w:t>Total a Receber Bruto</w:t>
            </w:r>
          </w:p>
        </w:tc>
        <w:tc>
          <w:tcPr>
            <w:tcW w:w="1058" w:type="dxa"/>
          </w:tcPr>
          <w:p>
            <w:pPr>
              <w:pStyle w:val="TableParagraph"/>
              <w:spacing w:before="34"/>
              <w:ind w:right="56"/>
              <w:jc w:val="right"/>
              <w:rPr>
                <w:rFonts w:ascii="Caladea"/>
                <w:b/>
                <w:sz w:val="14"/>
              </w:rPr>
            </w:pPr>
            <w:r>
              <w:rPr>
                <w:rFonts w:ascii="Caladea"/>
                <w:b/>
                <w:sz w:val="14"/>
              </w:rPr>
              <w:t>30.837</w:t>
            </w:r>
          </w:p>
        </w:tc>
        <w:tc>
          <w:tcPr>
            <w:tcW w:w="1059" w:type="dxa"/>
          </w:tcPr>
          <w:p>
            <w:pPr>
              <w:pStyle w:val="TableParagraph"/>
              <w:spacing w:before="34"/>
              <w:ind w:right="57"/>
              <w:jc w:val="right"/>
              <w:rPr>
                <w:rFonts w:ascii="Caladea"/>
                <w:b/>
                <w:sz w:val="14"/>
              </w:rPr>
            </w:pPr>
            <w:r>
              <w:rPr>
                <w:rFonts w:ascii="Caladea"/>
                <w:b/>
                <w:sz w:val="14"/>
              </w:rPr>
              <w:t>36.606</w:t>
            </w:r>
          </w:p>
        </w:tc>
        <w:tc>
          <w:tcPr>
            <w:tcW w:w="1058" w:type="dxa"/>
          </w:tcPr>
          <w:p>
            <w:pPr>
              <w:pStyle w:val="TableParagraph"/>
              <w:spacing w:before="34"/>
              <w:ind w:right="56"/>
              <w:jc w:val="right"/>
              <w:rPr>
                <w:rFonts w:ascii="Caladea"/>
                <w:b/>
                <w:sz w:val="14"/>
              </w:rPr>
            </w:pPr>
            <w:r>
              <w:rPr>
                <w:rFonts w:ascii="Caladea"/>
                <w:b/>
                <w:w w:val="95"/>
                <w:sz w:val="14"/>
              </w:rPr>
              <w:t>825.555</w:t>
            </w:r>
          </w:p>
        </w:tc>
        <w:tc>
          <w:tcPr>
            <w:tcW w:w="1058" w:type="dxa"/>
          </w:tcPr>
          <w:p>
            <w:pPr>
              <w:pStyle w:val="TableParagraph"/>
              <w:spacing w:before="34"/>
              <w:ind w:right="58"/>
              <w:jc w:val="right"/>
              <w:rPr>
                <w:rFonts w:ascii="Caladea"/>
                <w:b/>
                <w:sz w:val="14"/>
              </w:rPr>
            </w:pPr>
            <w:r>
              <w:rPr>
                <w:rFonts w:ascii="Caladea"/>
                <w:b/>
                <w:w w:val="95"/>
                <w:sz w:val="14"/>
              </w:rPr>
              <w:t>813.733</w:t>
            </w:r>
          </w:p>
        </w:tc>
      </w:tr>
      <w:tr>
        <w:trPr>
          <w:trHeight w:val="237" w:hRule="atLeast"/>
        </w:trPr>
        <w:tc>
          <w:tcPr>
            <w:tcW w:w="5682" w:type="dxa"/>
          </w:tcPr>
          <w:p>
            <w:pPr>
              <w:pStyle w:val="TableParagraph"/>
              <w:spacing w:before="36"/>
              <w:ind w:left="72"/>
              <w:rPr>
                <w:sz w:val="14"/>
              </w:rPr>
            </w:pPr>
            <w:r>
              <w:rPr>
                <w:sz w:val="14"/>
              </w:rPr>
              <w:t>Estimativa de Perdas com Créditos de Liquidação Duvidosa (Nota Explicativa 30.3)</w:t>
            </w:r>
          </w:p>
        </w:tc>
        <w:tc>
          <w:tcPr>
            <w:tcW w:w="1058" w:type="dxa"/>
          </w:tcPr>
          <w:p>
            <w:pPr>
              <w:pStyle w:val="TableParagraph"/>
              <w:spacing w:before="36"/>
              <w:ind w:right="59"/>
              <w:jc w:val="right"/>
              <w:rPr>
                <w:sz w:val="14"/>
              </w:rPr>
            </w:pPr>
            <w:r>
              <w:rPr>
                <w:sz w:val="14"/>
              </w:rPr>
              <w:t>(12.311)</w:t>
            </w:r>
          </w:p>
        </w:tc>
        <w:tc>
          <w:tcPr>
            <w:tcW w:w="1059" w:type="dxa"/>
          </w:tcPr>
          <w:p>
            <w:pPr>
              <w:pStyle w:val="TableParagraph"/>
              <w:spacing w:before="36"/>
              <w:ind w:right="60"/>
              <w:jc w:val="right"/>
              <w:rPr>
                <w:sz w:val="14"/>
              </w:rPr>
            </w:pPr>
            <w:r>
              <w:rPr>
                <w:w w:val="95"/>
                <w:sz w:val="14"/>
              </w:rPr>
              <w:t>(9.612)</w:t>
            </w:r>
          </w:p>
        </w:tc>
        <w:tc>
          <w:tcPr>
            <w:tcW w:w="1058" w:type="dxa"/>
          </w:tcPr>
          <w:p>
            <w:pPr>
              <w:pStyle w:val="TableParagraph"/>
              <w:spacing w:before="36"/>
              <w:ind w:right="59"/>
              <w:jc w:val="right"/>
              <w:rPr>
                <w:sz w:val="14"/>
              </w:rPr>
            </w:pPr>
            <w:r>
              <w:rPr>
                <w:sz w:val="14"/>
              </w:rPr>
              <w:t>(151.868)</w:t>
            </w:r>
          </w:p>
        </w:tc>
        <w:tc>
          <w:tcPr>
            <w:tcW w:w="1058" w:type="dxa"/>
          </w:tcPr>
          <w:p>
            <w:pPr>
              <w:pStyle w:val="TableParagraph"/>
              <w:spacing w:before="36"/>
              <w:ind w:right="61"/>
              <w:jc w:val="right"/>
              <w:rPr>
                <w:sz w:val="14"/>
              </w:rPr>
            </w:pPr>
            <w:r>
              <w:rPr>
                <w:sz w:val="14"/>
              </w:rPr>
              <w:t>(157.761)</w:t>
            </w:r>
          </w:p>
        </w:tc>
      </w:tr>
      <w:tr>
        <w:trPr>
          <w:trHeight w:val="239" w:hRule="atLeast"/>
        </w:trPr>
        <w:tc>
          <w:tcPr>
            <w:tcW w:w="5682" w:type="dxa"/>
          </w:tcPr>
          <w:p>
            <w:pPr>
              <w:pStyle w:val="TableParagraph"/>
              <w:spacing w:before="37"/>
              <w:ind w:left="72"/>
              <w:rPr>
                <w:rFonts w:ascii="Caladea" w:hAnsi="Caladea"/>
                <w:b/>
                <w:sz w:val="14"/>
              </w:rPr>
            </w:pPr>
            <w:r>
              <w:rPr>
                <w:rFonts w:ascii="Caladea" w:hAnsi="Caladea"/>
                <w:b/>
                <w:sz w:val="14"/>
              </w:rPr>
              <w:t>Total a Receber Líquido</w:t>
            </w:r>
          </w:p>
        </w:tc>
        <w:tc>
          <w:tcPr>
            <w:tcW w:w="1058" w:type="dxa"/>
          </w:tcPr>
          <w:p>
            <w:pPr>
              <w:pStyle w:val="TableParagraph"/>
              <w:spacing w:before="37"/>
              <w:ind w:right="56"/>
              <w:jc w:val="right"/>
              <w:rPr>
                <w:rFonts w:ascii="Caladea"/>
                <w:b/>
                <w:sz w:val="14"/>
              </w:rPr>
            </w:pPr>
            <w:r>
              <w:rPr>
                <w:rFonts w:ascii="Caladea"/>
                <w:b/>
                <w:sz w:val="14"/>
              </w:rPr>
              <w:t>18.526</w:t>
            </w:r>
          </w:p>
        </w:tc>
        <w:tc>
          <w:tcPr>
            <w:tcW w:w="1059" w:type="dxa"/>
          </w:tcPr>
          <w:p>
            <w:pPr>
              <w:pStyle w:val="TableParagraph"/>
              <w:spacing w:before="37"/>
              <w:ind w:right="57"/>
              <w:jc w:val="right"/>
              <w:rPr>
                <w:rFonts w:ascii="Caladea"/>
                <w:b/>
                <w:sz w:val="14"/>
              </w:rPr>
            </w:pPr>
            <w:r>
              <w:rPr>
                <w:rFonts w:ascii="Caladea"/>
                <w:b/>
                <w:sz w:val="14"/>
              </w:rPr>
              <w:t>26.994</w:t>
            </w:r>
          </w:p>
        </w:tc>
        <w:tc>
          <w:tcPr>
            <w:tcW w:w="1058" w:type="dxa"/>
          </w:tcPr>
          <w:p>
            <w:pPr>
              <w:pStyle w:val="TableParagraph"/>
              <w:spacing w:before="37"/>
              <w:ind w:right="56"/>
              <w:jc w:val="right"/>
              <w:rPr>
                <w:rFonts w:ascii="Caladea"/>
                <w:b/>
                <w:sz w:val="14"/>
              </w:rPr>
            </w:pPr>
            <w:r>
              <w:rPr>
                <w:rFonts w:ascii="Caladea"/>
                <w:b/>
                <w:w w:val="95"/>
                <w:sz w:val="14"/>
              </w:rPr>
              <w:t>673.687</w:t>
            </w:r>
          </w:p>
        </w:tc>
        <w:tc>
          <w:tcPr>
            <w:tcW w:w="1058" w:type="dxa"/>
          </w:tcPr>
          <w:p>
            <w:pPr>
              <w:pStyle w:val="TableParagraph"/>
              <w:spacing w:before="37"/>
              <w:ind w:right="58"/>
              <w:jc w:val="right"/>
              <w:rPr>
                <w:rFonts w:ascii="Caladea"/>
                <w:b/>
                <w:sz w:val="14"/>
              </w:rPr>
            </w:pPr>
            <w:r>
              <w:rPr>
                <w:rFonts w:ascii="Caladea"/>
                <w:b/>
                <w:w w:val="95"/>
                <w:sz w:val="14"/>
              </w:rPr>
              <w:t>655.972</w:t>
            </w:r>
          </w:p>
        </w:tc>
      </w:tr>
      <w:tr>
        <w:trPr>
          <w:trHeight w:val="237" w:hRule="atLeast"/>
        </w:trPr>
        <w:tc>
          <w:tcPr>
            <w:tcW w:w="5682" w:type="dxa"/>
          </w:tcPr>
          <w:p>
            <w:pPr>
              <w:pStyle w:val="TableParagraph"/>
              <w:spacing w:before="34"/>
              <w:ind w:left="72"/>
              <w:rPr>
                <w:rFonts w:ascii="Caladea"/>
                <w:b/>
                <w:sz w:val="14"/>
              </w:rPr>
            </w:pPr>
            <w:r>
              <w:rPr>
                <w:rFonts w:ascii="Caladea"/>
                <w:b/>
                <w:sz w:val="14"/>
              </w:rPr>
              <w:t>Circulante</w:t>
            </w:r>
          </w:p>
        </w:tc>
        <w:tc>
          <w:tcPr>
            <w:tcW w:w="1058" w:type="dxa"/>
          </w:tcPr>
          <w:p>
            <w:pPr>
              <w:pStyle w:val="TableParagraph"/>
              <w:spacing w:before="34"/>
              <w:ind w:right="56"/>
              <w:jc w:val="right"/>
              <w:rPr>
                <w:rFonts w:ascii="Caladea"/>
                <w:b/>
                <w:sz w:val="14"/>
              </w:rPr>
            </w:pPr>
            <w:r>
              <w:rPr>
                <w:rFonts w:ascii="Caladea"/>
                <w:b/>
                <w:sz w:val="14"/>
              </w:rPr>
              <w:t>18.526</w:t>
            </w:r>
          </w:p>
        </w:tc>
        <w:tc>
          <w:tcPr>
            <w:tcW w:w="1059" w:type="dxa"/>
          </w:tcPr>
          <w:p>
            <w:pPr>
              <w:pStyle w:val="TableParagraph"/>
              <w:spacing w:before="34"/>
              <w:ind w:right="57"/>
              <w:jc w:val="right"/>
              <w:rPr>
                <w:rFonts w:ascii="Caladea"/>
                <w:b/>
                <w:sz w:val="14"/>
              </w:rPr>
            </w:pPr>
            <w:r>
              <w:rPr>
                <w:rFonts w:ascii="Caladea"/>
                <w:b/>
                <w:sz w:val="14"/>
              </w:rPr>
              <w:t>26.994</w:t>
            </w:r>
          </w:p>
        </w:tc>
        <w:tc>
          <w:tcPr>
            <w:tcW w:w="1058" w:type="dxa"/>
          </w:tcPr>
          <w:p>
            <w:pPr>
              <w:pStyle w:val="TableParagraph"/>
              <w:spacing w:before="34"/>
              <w:ind w:right="56"/>
              <w:jc w:val="right"/>
              <w:rPr>
                <w:rFonts w:ascii="Caladea"/>
                <w:b/>
                <w:sz w:val="14"/>
              </w:rPr>
            </w:pPr>
            <w:r>
              <w:rPr>
                <w:rFonts w:ascii="Caladea"/>
                <w:b/>
                <w:w w:val="95"/>
                <w:sz w:val="14"/>
              </w:rPr>
              <w:t>608.867</w:t>
            </w:r>
          </w:p>
        </w:tc>
        <w:tc>
          <w:tcPr>
            <w:tcW w:w="1058" w:type="dxa"/>
          </w:tcPr>
          <w:p>
            <w:pPr>
              <w:pStyle w:val="TableParagraph"/>
              <w:spacing w:before="34"/>
              <w:ind w:right="58"/>
              <w:jc w:val="right"/>
              <w:rPr>
                <w:rFonts w:ascii="Caladea"/>
                <w:b/>
                <w:sz w:val="14"/>
              </w:rPr>
            </w:pPr>
            <w:r>
              <w:rPr>
                <w:rFonts w:ascii="Caladea"/>
                <w:b/>
                <w:w w:val="95"/>
                <w:sz w:val="14"/>
              </w:rPr>
              <w:t>622.655</w:t>
            </w:r>
          </w:p>
        </w:tc>
      </w:tr>
      <w:tr>
        <w:trPr>
          <w:trHeight w:val="237" w:hRule="atLeast"/>
        </w:trPr>
        <w:tc>
          <w:tcPr>
            <w:tcW w:w="5682" w:type="dxa"/>
          </w:tcPr>
          <w:p>
            <w:pPr>
              <w:pStyle w:val="TableParagraph"/>
              <w:spacing w:before="34"/>
              <w:ind w:left="72"/>
              <w:rPr>
                <w:rFonts w:ascii="Caladea" w:hAnsi="Caladea"/>
                <w:b/>
                <w:sz w:val="14"/>
              </w:rPr>
            </w:pPr>
            <w:r>
              <w:rPr>
                <w:rFonts w:ascii="Caladea" w:hAnsi="Caladea"/>
                <w:b/>
                <w:sz w:val="14"/>
              </w:rPr>
              <w:t>Não Circulante</w:t>
            </w:r>
          </w:p>
        </w:tc>
        <w:tc>
          <w:tcPr>
            <w:tcW w:w="1058" w:type="dxa"/>
          </w:tcPr>
          <w:p>
            <w:pPr>
              <w:pStyle w:val="TableParagraph"/>
              <w:rPr>
                <w:rFonts w:ascii="Times New Roman"/>
                <w:sz w:val="16"/>
              </w:rPr>
            </w:pPr>
          </w:p>
        </w:tc>
        <w:tc>
          <w:tcPr>
            <w:tcW w:w="1059" w:type="dxa"/>
          </w:tcPr>
          <w:p>
            <w:pPr>
              <w:pStyle w:val="TableParagraph"/>
              <w:rPr>
                <w:rFonts w:ascii="Times New Roman"/>
                <w:sz w:val="16"/>
              </w:rPr>
            </w:pPr>
          </w:p>
        </w:tc>
        <w:tc>
          <w:tcPr>
            <w:tcW w:w="1058" w:type="dxa"/>
          </w:tcPr>
          <w:p>
            <w:pPr>
              <w:pStyle w:val="TableParagraph"/>
              <w:spacing w:before="34"/>
              <w:ind w:right="56"/>
              <w:jc w:val="right"/>
              <w:rPr>
                <w:rFonts w:ascii="Caladea"/>
                <w:b/>
                <w:sz w:val="14"/>
              </w:rPr>
            </w:pPr>
            <w:r>
              <w:rPr>
                <w:rFonts w:ascii="Caladea"/>
                <w:b/>
                <w:sz w:val="14"/>
              </w:rPr>
              <w:t>64.820</w:t>
            </w:r>
          </w:p>
        </w:tc>
        <w:tc>
          <w:tcPr>
            <w:tcW w:w="1058" w:type="dxa"/>
          </w:tcPr>
          <w:p>
            <w:pPr>
              <w:pStyle w:val="TableParagraph"/>
              <w:spacing w:before="34"/>
              <w:ind w:right="58"/>
              <w:jc w:val="right"/>
              <w:rPr>
                <w:rFonts w:ascii="Caladea"/>
                <w:b/>
                <w:sz w:val="14"/>
              </w:rPr>
            </w:pPr>
            <w:r>
              <w:rPr>
                <w:rFonts w:ascii="Caladea"/>
                <w:b/>
                <w:sz w:val="14"/>
              </w:rPr>
              <w:t>33.317</w:t>
            </w:r>
          </w:p>
        </w:tc>
      </w:tr>
    </w:tbl>
    <w:p>
      <w:pPr>
        <w:spacing w:after="0"/>
        <w:jc w:val="right"/>
        <w:rPr>
          <w:rFonts w:ascii="Caladea"/>
          <w:sz w:val="14"/>
        </w:rPr>
        <w:sectPr>
          <w:pgSz w:w="11910" w:h="16850"/>
          <w:pgMar w:header="792" w:footer="987"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ListParagraph"/>
        <w:numPr>
          <w:ilvl w:val="1"/>
          <w:numId w:val="6"/>
        </w:numPr>
        <w:tabs>
          <w:tab w:pos="1025" w:val="left" w:leader="none"/>
          <w:tab w:pos="1026" w:val="left" w:leader="none"/>
        </w:tabs>
        <w:spacing w:line="240" w:lineRule="auto" w:before="13" w:after="0"/>
        <w:ind w:left="1025" w:right="0" w:hanging="854"/>
        <w:jc w:val="left"/>
        <w:rPr>
          <w:rFonts w:ascii="Caladea"/>
          <w:b/>
          <w:sz w:val="18"/>
        </w:rPr>
      </w:pPr>
      <w:r>
        <w:rPr>
          <w:rFonts w:ascii="Caladea"/>
          <w:b/>
          <w:sz w:val="22"/>
        </w:rPr>
        <w:t>V</w:t>
      </w:r>
      <w:r>
        <w:rPr>
          <w:rFonts w:ascii="Caladea"/>
          <w:b/>
          <w:sz w:val="18"/>
        </w:rPr>
        <w:t>ALORES A </w:t>
      </w:r>
      <w:r>
        <w:rPr>
          <w:rFonts w:ascii="Caladea"/>
          <w:b/>
          <w:sz w:val="22"/>
        </w:rPr>
        <w:t>R</w:t>
      </w:r>
      <w:r>
        <w:rPr>
          <w:rFonts w:ascii="Caladea"/>
          <w:b/>
          <w:sz w:val="18"/>
        </w:rPr>
        <w:t>ECEBER POR </w:t>
      </w:r>
      <w:r>
        <w:rPr>
          <w:rFonts w:ascii="Caladea"/>
          <w:b/>
          <w:sz w:val="22"/>
        </w:rPr>
        <w:t>I</w:t>
      </w:r>
      <w:r>
        <w:rPr>
          <w:rFonts w:ascii="Caladea"/>
          <w:b/>
          <w:sz w:val="18"/>
        </w:rPr>
        <w:t>DADE DE</w:t>
      </w:r>
      <w:r>
        <w:rPr>
          <w:rFonts w:ascii="Caladea"/>
          <w:b/>
          <w:spacing w:val="2"/>
          <w:sz w:val="18"/>
        </w:rPr>
        <w:t> </w:t>
      </w:r>
      <w:r>
        <w:rPr>
          <w:rFonts w:ascii="Caladea"/>
          <w:b/>
          <w:sz w:val="22"/>
        </w:rPr>
        <w:t>V</w:t>
      </w:r>
      <w:r>
        <w:rPr>
          <w:rFonts w:ascii="Caladea"/>
          <w:b/>
          <w:sz w:val="18"/>
        </w:rPr>
        <w:t>ENCIMENTO</w:t>
      </w:r>
    </w:p>
    <w:p>
      <w:pPr>
        <w:pStyle w:val="BodyText"/>
        <w:spacing w:before="9"/>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65"/>
        <w:gridCol w:w="955"/>
        <w:gridCol w:w="958"/>
        <w:gridCol w:w="955"/>
        <w:gridCol w:w="1028"/>
        <w:gridCol w:w="1083"/>
        <w:gridCol w:w="1076"/>
      </w:tblGrid>
      <w:tr>
        <w:trPr>
          <w:trHeight w:val="613" w:hRule="atLeast"/>
        </w:trPr>
        <w:tc>
          <w:tcPr>
            <w:tcW w:w="3865" w:type="dxa"/>
            <w:shd w:val="clear" w:color="auto" w:fill="D9D9D9"/>
          </w:tcPr>
          <w:p>
            <w:pPr>
              <w:pStyle w:val="TableParagraph"/>
              <w:rPr>
                <w:rFonts w:ascii="Times New Roman"/>
                <w:sz w:val="16"/>
              </w:rPr>
            </w:pPr>
          </w:p>
        </w:tc>
        <w:tc>
          <w:tcPr>
            <w:tcW w:w="955" w:type="dxa"/>
          </w:tcPr>
          <w:p>
            <w:pPr>
              <w:pStyle w:val="TableParagraph"/>
              <w:spacing w:before="142"/>
              <w:ind w:left="143" w:firstLine="127"/>
              <w:rPr>
                <w:rFonts w:ascii="Caladea"/>
                <w:b/>
                <w:sz w:val="14"/>
              </w:rPr>
            </w:pPr>
            <w:r>
              <w:rPr>
                <w:rFonts w:ascii="Caladea"/>
                <w:b/>
                <w:sz w:val="14"/>
              </w:rPr>
              <w:t>Saldos </w:t>
            </w:r>
            <w:r>
              <w:rPr>
                <w:rFonts w:ascii="Caladea"/>
                <w:b/>
                <w:w w:val="95"/>
                <w:sz w:val="14"/>
              </w:rPr>
              <w:t>Vincendos</w:t>
            </w:r>
          </w:p>
        </w:tc>
        <w:tc>
          <w:tcPr>
            <w:tcW w:w="958" w:type="dxa"/>
          </w:tcPr>
          <w:p>
            <w:pPr>
              <w:pStyle w:val="TableParagraph"/>
              <w:spacing w:before="142"/>
              <w:ind w:left="132" w:firstLine="55"/>
              <w:rPr>
                <w:rFonts w:ascii="Caladea" w:hAnsi="Caladea"/>
                <w:b/>
                <w:sz w:val="14"/>
              </w:rPr>
            </w:pPr>
            <w:r>
              <w:rPr>
                <w:rFonts w:ascii="Caladea" w:hAnsi="Caladea"/>
                <w:b/>
                <w:sz w:val="14"/>
              </w:rPr>
              <w:t>Vencidos até 90 dias</w:t>
            </w:r>
          </w:p>
        </w:tc>
        <w:tc>
          <w:tcPr>
            <w:tcW w:w="955" w:type="dxa"/>
          </w:tcPr>
          <w:p>
            <w:pPr>
              <w:pStyle w:val="TableParagraph"/>
              <w:spacing w:before="61"/>
              <w:ind w:left="91" w:right="80"/>
              <w:jc w:val="center"/>
              <w:rPr>
                <w:rFonts w:ascii="Caladea"/>
                <w:b/>
                <w:sz w:val="14"/>
              </w:rPr>
            </w:pPr>
            <w:r>
              <w:rPr>
                <w:rFonts w:ascii="Caladea"/>
                <w:b/>
                <w:sz w:val="14"/>
              </w:rPr>
              <w:t>Vencidos de 91 a 180</w:t>
            </w:r>
          </w:p>
          <w:p>
            <w:pPr>
              <w:pStyle w:val="TableParagraph"/>
              <w:spacing w:line="162" w:lineRule="exact"/>
              <w:ind w:left="86" w:right="80"/>
              <w:jc w:val="center"/>
              <w:rPr>
                <w:rFonts w:ascii="Caladea"/>
                <w:b/>
                <w:sz w:val="14"/>
              </w:rPr>
            </w:pPr>
            <w:r>
              <w:rPr>
                <w:rFonts w:ascii="Caladea"/>
                <w:b/>
                <w:sz w:val="14"/>
              </w:rPr>
              <w:t>dias</w:t>
            </w:r>
          </w:p>
        </w:tc>
        <w:tc>
          <w:tcPr>
            <w:tcW w:w="1028" w:type="dxa"/>
          </w:tcPr>
          <w:p>
            <w:pPr>
              <w:pStyle w:val="TableParagraph"/>
              <w:spacing w:before="61"/>
              <w:ind w:left="129" w:right="113" w:hanging="1"/>
              <w:jc w:val="center"/>
              <w:rPr>
                <w:rFonts w:ascii="Caladea" w:hAnsi="Caladea"/>
                <w:b/>
                <w:sz w:val="14"/>
              </w:rPr>
            </w:pPr>
            <w:r>
              <w:rPr>
                <w:rFonts w:ascii="Caladea" w:hAnsi="Caladea"/>
                <w:b/>
                <w:sz w:val="14"/>
              </w:rPr>
              <w:t>Vencidos há mais de 180 dias</w:t>
            </w:r>
          </w:p>
        </w:tc>
        <w:tc>
          <w:tcPr>
            <w:tcW w:w="1083" w:type="dxa"/>
          </w:tcPr>
          <w:p>
            <w:pPr>
              <w:pStyle w:val="TableParagraph"/>
              <w:spacing w:before="142"/>
              <w:ind w:left="141" w:firstLine="232"/>
              <w:rPr>
                <w:rFonts w:ascii="Caladea"/>
                <w:b/>
                <w:sz w:val="14"/>
              </w:rPr>
            </w:pPr>
            <w:r>
              <w:rPr>
                <w:rFonts w:ascii="Caladea"/>
                <w:b/>
                <w:sz w:val="14"/>
              </w:rPr>
              <w:t>Total </w:t>
            </w:r>
            <w:r>
              <w:rPr>
                <w:rFonts w:ascii="Caladea"/>
                <w:b/>
                <w:w w:val="95"/>
                <w:sz w:val="14"/>
              </w:rPr>
              <w:t>31/12/2019</w:t>
            </w:r>
          </w:p>
        </w:tc>
        <w:tc>
          <w:tcPr>
            <w:tcW w:w="1076" w:type="dxa"/>
          </w:tcPr>
          <w:p>
            <w:pPr>
              <w:pStyle w:val="TableParagraph"/>
              <w:spacing w:before="142"/>
              <w:ind w:left="136" w:firstLine="235"/>
              <w:rPr>
                <w:rFonts w:ascii="Caladea"/>
                <w:b/>
                <w:sz w:val="14"/>
              </w:rPr>
            </w:pPr>
            <w:r>
              <w:rPr>
                <w:rFonts w:ascii="Caladea"/>
                <w:b/>
                <w:sz w:val="14"/>
              </w:rPr>
              <w:t>Total </w:t>
            </w:r>
            <w:r>
              <w:rPr>
                <w:rFonts w:ascii="Caladea"/>
                <w:b/>
                <w:w w:val="95"/>
                <w:sz w:val="14"/>
              </w:rPr>
              <w:t>31/12/2018</w:t>
            </w:r>
          </w:p>
        </w:tc>
      </w:tr>
      <w:tr>
        <w:trPr>
          <w:trHeight w:val="229" w:hRule="atLeast"/>
        </w:trPr>
        <w:tc>
          <w:tcPr>
            <w:tcW w:w="3865" w:type="dxa"/>
          </w:tcPr>
          <w:p>
            <w:pPr>
              <w:pStyle w:val="TableParagraph"/>
              <w:spacing w:before="32"/>
              <w:ind w:left="72"/>
              <w:rPr>
                <w:rFonts w:ascii="Caladea"/>
                <w:b/>
                <w:sz w:val="14"/>
              </w:rPr>
            </w:pPr>
            <w:r>
              <w:rPr>
                <w:rFonts w:ascii="Caladea"/>
                <w:b/>
                <w:sz w:val="14"/>
              </w:rPr>
              <w:t>Classes de Consumidor</w:t>
            </w:r>
          </w:p>
        </w:tc>
        <w:tc>
          <w:tcPr>
            <w:tcW w:w="955" w:type="dxa"/>
          </w:tcPr>
          <w:p>
            <w:pPr>
              <w:pStyle w:val="TableParagraph"/>
              <w:rPr>
                <w:rFonts w:ascii="Times New Roman"/>
                <w:sz w:val="16"/>
              </w:rPr>
            </w:pP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rPr>
                <w:rFonts w:ascii="Times New Roman"/>
                <w:sz w:val="16"/>
              </w:rPr>
            </w:pPr>
          </w:p>
        </w:tc>
        <w:tc>
          <w:tcPr>
            <w:tcW w:w="1076" w:type="dxa"/>
          </w:tcPr>
          <w:p>
            <w:pPr>
              <w:pStyle w:val="TableParagraph"/>
              <w:rPr>
                <w:rFonts w:ascii="Times New Roman"/>
                <w:sz w:val="16"/>
              </w:rPr>
            </w:pPr>
          </w:p>
        </w:tc>
      </w:tr>
      <w:tr>
        <w:trPr>
          <w:trHeight w:val="227" w:hRule="atLeast"/>
        </w:trPr>
        <w:tc>
          <w:tcPr>
            <w:tcW w:w="3865" w:type="dxa"/>
          </w:tcPr>
          <w:p>
            <w:pPr>
              <w:pStyle w:val="TableParagraph"/>
              <w:spacing w:before="31"/>
              <w:ind w:left="211"/>
              <w:rPr>
                <w:sz w:val="14"/>
              </w:rPr>
            </w:pPr>
            <w:r>
              <w:rPr>
                <w:sz w:val="14"/>
              </w:rPr>
              <w:t>Residencial</w:t>
            </w:r>
          </w:p>
        </w:tc>
        <w:tc>
          <w:tcPr>
            <w:tcW w:w="955" w:type="dxa"/>
          </w:tcPr>
          <w:p>
            <w:pPr>
              <w:pStyle w:val="TableParagraph"/>
              <w:spacing w:before="31"/>
              <w:ind w:right="54"/>
              <w:jc w:val="right"/>
              <w:rPr>
                <w:sz w:val="14"/>
              </w:rPr>
            </w:pPr>
            <w:r>
              <w:rPr>
                <w:w w:val="95"/>
                <w:sz w:val="14"/>
              </w:rPr>
              <w:t>77.097</w:t>
            </w:r>
          </w:p>
        </w:tc>
        <w:tc>
          <w:tcPr>
            <w:tcW w:w="958" w:type="dxa"/>
          </w:tcPr>
          <w:p>
            <w:pPr>
              <w:pStyle w:val="TableParagraph"/>
              <w:spacing w:before="31"/>
              <w:ind w:right="57"/>
              <w:jc w:val="right"/>
              <w:rPr>
                <w:sz w:val="14"/>
              </w:rPr>
            </w:pPr>
            <w:r>
              <w:rPr>
                <w:w w:val="95"/>
                <w:sz w:val="14"/>
              </w:rPr>
              <w:t>102.247</w:t>
            </w:r>
          </w:p>
        </w:tc>
        <w:tc>
          <w:tcPr>
            <w:tcW w:w="955" w:type="dxa"/>
          </w:tcPr>
          <w:p>
            <w:pPr>
              <w:pStyle w:val="TableParagraph"/>
              <w:spacing w:before="31"/>
              <w:ind w:right="56"/>
              <w:jc w:val="right"/>
              <w:rPr>
                <w:sz w:val="14"/>
              </w:rPr>
            </w:pPr>
            <w:r>
              <w:rPr>
                <w:w w:val="95"/>
                <w:sz w:val="14"/>
              </w:rPr>
              <w:t>31.835</w:t>
            </w:r>
          </w:p>
        </w:tc>
        <w:tc>
          <w:tcPr>
            <w:tcW w:w="1028" w:type="dxa"/>
          </w:tcPr>
          <w:p>
            <w:pPr>
              <w:pStyle w:val="TableParagraph"/>
              <w:spacing w:before="31"/>
              <w:ind w:right="55"/>
              <w:jc w:val="right"/>
              <w:rPr>
                <w:sz w:val="14"/>
              </w:rPr>
            </w:pPr>
            <w:r>
              <w:rPr>
                <w:w w:val="95"/>
                <w:sz w:val="14"/>
              </w:rPr>
              <w:t>9.890</w:t>
            </w:r>
          </w:p>
        </w:tc>
        <w:tc>
          <w:tcPr>
            <w:tcW w:w="1083" w:type="dxa"/>
          </w:tcPr>
          <w:p>
            <w:pPr>
              <w:pStyle w:val="TableParagraph"/>
              <w:spacing w:before="31"/>
              <w:ind w:right="55"/>
              <w:jc w:val="right"/>
              <w:rPr>
                <w:sz w:val="14"/>
              </w:rPr>
            </w:pPr>
            <w:r>
              <w:rPr>
                <w:w w:val="95"/>
                <w:sz w:val="14"/>
              </w:rPr>
              <w:t>221.069</w:t>
            </w:r>
          </w:p>
        </w:tc>
        <w:tc>
          <w:tcPr>
            <w:tcW w:w="1076" w:type="dxa"/>
          </w:tcPr>
          <w:p>
            <w:pPr>
              <w:pStyle w:val="TableParagraph"/>
              <w:spacing w:before="31"/>
              <w:ind w:right="56"/>
              <w:jc w:val="right"/>
              <w:rPr>
                <w:sz w:val="14"/>
              </w:rPr>
            </w:pPr>
            <w:r>
              <w:rPr>
                <w:w w:val="95"/>
                <w:sz w:val="14"/>
              </w:rPr>
              <w:t>249.272</w:t>
            </w:r>
          </w:p>
        </w:tc>
      </w:tr>
      <w:tr>
        <w:trPr>
          <w:trHeight w:val="227" w:hRule="atLeast"/>
        </w:trPr>
        <w:tc>
          <w:tcPr>
            <w:tcW w:w="3865" w:type="dxa"/>
          </w:tcPr>
          <w:p>
            <w:pPr>
              <w:pStyle w:val="TableParagraph"/>
              <w:spacing w:before="31"/>
              <w:ind w:left="211"/>
              <w:rPr>
                <w:sz w:val="14"/>
              </w:rPr>
            </w:pPr>
            <w:r>
              <w:rPr>
                <w:sz w:val="14"/>
              </w:rPr>
              <w:t>Industrial</w:t>
            </w:r>
          </w:p>
        </w:tc>
        <w:tc>
          <w:tcPr>
            <w:tcW w:w="955" w:type="dxa"/>
          </w:tcPr>
          <w:p>
            <w:pPr>
              <w:pStyle w:val="TableParagraph"/>
              <w:spacing w:before="31"/>
              <w:ind w:right="54"/>
              <w:jc w:val="right"/>
              <w:rPr>
                <w:sz w:val="14"/>
              </w:rPr>
            </w:pPr>
            <w:r>
              <w:rPr>
                <w:w w:val="95"/>
                <w:sz w:val="14"/>
              </w:rPr>
              <w:t>4.226</w:t>
            </w:r>
          </w:p>
        </w:tc>
        <w:tc>
          <w:tcPr>
            <w:tcW w:w="958" w:type="dxa"/>
          </w:tcPr>
          <w:p>
            <w:pPr>
              <w:pStyle w:val="TableParagraph"/>
              <w:spacing w:before="31"/>
              <w:ind w:right="57"/>
              <w:jc w:val="right"/>
              <w:rPr>
                <w:sz w:val="14"/>
              </w:rPr>
            </w:pPr>
            <w:r>
              <w:rPr>
                <w:w w:val="95"/>
                <w:sz w:val="14"/>
              </w:rPr>
              <w:t>3.615</w:t>
            </w:r>
          </w:p>
        </w:tc>
        <w:tc>
          <w:tcPr>
            <w:tcW w:w="955" w:type="dxa"/>
          </w:tcPr>
          <w:p>
            <w:pPr>
              <w:pStyle w:val="TableParagraph"/>
              <w:spacing w:before="31"/>
              <w:ind w:right="57"/>
              <w:jc w:val="right"/>
              <w:rPr>
                <w:sz w:val="14"/>
              </w:rPr>
            </w:pPr>
            <w:r>
              <w:rPr>
                <w:w w:val="105"/>
                <w:sz w:val="14"/>
              </w:rPr>
              <w:t>326</w:t>
            </w:r>
          </w:p>
        </w:tc>
        <w:tc>
          <w:tcPr>
            <w:tcW w:w="1028" w:type="dxa"/>
          </w:tcPr>
          <w:p>
            <w:pPr>
              <w:pStyle w:val="TableParagraph"/>
              <w:spacing w:before="31"/>
              <w:ind w:right="55"/>
              <w:jc w:val="right"/>
              <w:rPr>
                <w:sz w:val="14"/>
              </w:rPr>
            </w:pPr>
            <w:r>
              <w:rPr>
                <w:w w:val="95"/>
                <w:sz w:val="14"/>
              </w:rPr>
              <w:t>1.805</w:t>
            </w:r>
          </w:p>
        </w:tc>
        <w:tc>
          <w:tcPr>
            <w:tcW w:w="1083" w:type="dxa"/>
          </w:tcPr>
          <w:p>
            <w:pPr>
              <w:pStyle w:val="TableParagraph"/>
              <w:spacing w:before="31"/>
              <w:ind w:right="55"/>
              <w:jc w:val="right"/>
              <w:rPr>
                <w:sz w:val="14"/>
              </w:rPr>
            </w:pPr>
            <w:r>
              <w:rPr>
                <w:w w:val="95"/>
                <w:sz w:val="14"/>
              </w:rPr>
              <w:t>9.972</w:t>
            </w:r>
          </w:p>
        </w:tc>
        <w:tc>
          <w:tcPr>
            <w:tcW w:w="1076" w:type="dxa"/>
          </w:tcPr>
          <w:p>
            <w:pPr>
              <w:pStyle w:val="TableParagraph"/>
              <w:spacing w:before="31"/>
              <w:ind w:right="56"/>
              <w:jc w:val="right"/>
              <w:rPr>
                <w:sz w:val="14"/>
              </w:rPr>
            </w:pPr>
            <w:r>
              <w:rPr>
                <w:w w:val="95"/>
                <w:sz w:val="14"/>
              </w:rPr>
              <w:t>10.961</w:t>
            </w:r>
          </w:p>
        </w:tc>
      </w:tr>
      <w:tr>
        <w:trPr>
          <w:trHeight w:val="227" w:hRule="atLeast"/>
        </w:trPr>
        <w:tc>
          <w:tcPr>
            <w:tcW w:w="3865" w:type="dxa"/>
          </w:tcPr>
          <w:p>
            <w:pPr>
              <w:pStyle w:val="TableParagraph"/>
              <w:spacing w:before="31"/>
              <w:ind w:left="211"/>
              <w:rPr>
                <w:sz w:val="14"/>
              </w:rPr>
            </w:pPr>
            <w:r>
              <w:rPr>
                <w:sz w:val="14"/>
              </w:rPr>
              <w:t>Comércio, Serviços e Outros</w:t>
            </w:r>
          </w:p>
        </w:tc>
        <w:tc>
          <w:tcPr>
            <w:tcW w:w="955" w:type="dxa"/>
          </w:tcPr>
          <w:p>
            <w:pPr>
              <w:pStyle w:val="TableParagraph"/>
              <w:spacing w:before="31"/>
              <w:ind w:right="54"/>
              <w:jc w:val="right"/>
              <w:rPr>
                <w:sz w:val="14"/>
              </w:rPr>
            </w:pPr>
            <w:r>
              <w:rPr>
                <w:w w:val="95"/>
                <w:sz w:val="14"/>
              </w:rPr>
              <w:t>57.956</w:t>
            </w:r>
          </w:p>
        </w:tc>
        <w:tc>
          <w:tcPr>
            <w:tcW w:w="958" w:type="dxa"/>
          </w:tcPr>
          <w:p>
            <w:pPr>
              <w:pStyle w:val="TableParagraph"/>
              <w:spacing w:before="31"/>
              <w:ind w:right="57"/>
              <w:jc w:val="right"/>
              <w:rPr>
                <w:sz w:val="14"/>
              </w:rPr>
            </w:pPr>
            <w:r>
              <w:rPr>
                <w:w w:val="95"/>
                <w:sz w:val="14"/>
              </w:rPr>
              <w:t>35.052</w:t>
            </w:r>
          </w:p>
        </w:tc>
        <w:tc>
          <w:tcPr>
            <w:tcW w:w="955" w:type="dxa"/>
          </w:tcPr>
          <w:p>
            <w:pPr>
              <w:pStyle w:val="TableParagraph"/>
              <w:spacing w:before="31"/>
              <w:ind w:right="57"/>
              <w:jc w:val="right"/>
              <w:rPr>
                <w:sz w:val="14"/>
              </w:rPr>
            </w:pPr>
            <w:r>
              <w:rPr>
                <w:w w:val="95"/>
                <w:sz w:val="14"/>
              </w:rPr>
              <w:t>7.418</w:t>
            </w:r>
          </w:p>
        </w:tc>
        <w:tc>
          <w:tcPr>
            <w:tcW w:w="1028" w:type="dxa"/>
          </w:tcPr>
          <w:p>
            <w:pPr>
              <w:pStyle w:val="TableParagraph"/>
              <w:spacing w:before="31"/>
              <w:ind w:right="55"/>
              <w:jc w:val="right"/>
              <w:rPr>
                <w:sz w:val="14"/>
              </w:rPr>
            </w:pPr>
            <w:r>
              <w:rPr>
                <w:w w:val="95"/>
                <w:sz w:val="14"/>
              </w:rPr>
              <w:t>24.045</w:t>
            </w:r>
          </w:p>
        </w:tc>
        <w:tc>
          <w:tcPr>
            <w:tcW w:w="1083" w:type="dxa"/>
          </w:tcPr>
          <w:p>
            <w:pPr>
              <w:pStyle w:val="TableParagraph"/>
              <w:spacing w:before="31"/>
              <w:ind w:right="55"/>
              <w:jc w:val="right"/>
              <w:rPr>
                <w:sz w:val="14"/>
              </w:rPr>
            </w:pPr>
            <w:r>
              <w:rPr>
                <w:w w:val="95"/>
                <w:sz w:val="14"/>
              </w:rPr>
              <w:t>124.471</w:t>
            </w:r>
          </w:p>
        </w:tc>
        <w:tc>
          <w:tcPr>
            <w:tcW w:w="1076" w:type="dxa"/>
          </w:tcPr>
          <w:p>
            <w:pPr>
              <w:pStyle w:val="TableParagraph"/>
              <w:spacing w:before="31"/>
              <w:ind w:right="56"/>
              <w:jc w:val="right"/>
              <w:rPr>
                <w:sz w:val="14"/>
              </w:rPr>
            </w:pPr>
            <w:r>
              <w:rPr>
                <w:w w:val="95"/>
                <w:sz w:val="14"/>
              </w:rPr>
              <w:t>137.090</w:t>
            </w:r>
          </w:p>
        </w:tc>
      </w:tr>
      <w:tr>
        <w:trPr>
          <w:trHeight w:val="227" w:hRule="atLeast"/>
        </w:trPr>
        <w:tc>
          <w:tcPr>
            <w:tcW w:w="3865" w:type="dxa"/>
          </w:tcPr>
          <w:p>
            <w:pPr>
              <w:pStyle w:val="TableParagraph"/>
              <w:spacing w:before="34"/>
              <w:ind w:left="211"/>
              <w:rPr>
                <w:sz w:val="14"/>
              </w:rPr>
            </w:pPr>
            <w:r>
              <w:rPr>
                <w:sz w:val="14"/>
              </w:rPr>
              <w:t>Rural</w:t>
            </w:r>
          </w:p>
        </w:tc>
        <w:tc>
          <w:tcPr>
            <w:tcW w:w="955" w:type="dxa"/>
          </w:tcPr>
          <w:p>
            <w:pPr>
              <w:pStyle w:val="TableParagraph"/>
              <w:spacing w:before="34"/>
              <w:ind w:right="54"/>
              <w:jc w:val="right"/>
              <w:rPr>
                <w:sz w:val="14"/>
              </w:rPr>
            </w:pPr>
            <w:r>
              <w:rPr>
                <w:w w:val="95"/>
                <w:sz w:val="14"/>
              </w:rPr>
              <w:t>3.385</w:t>
            </w:r>
          </w:p>
        </w:tc>
        <w:tc>
          <w:tcPr>
            <w:tcW w:w="958" w:type="dxa"/>
          </w:tcPr>
          <w:p>
            <w:pPr>
              <w:pStyle w:val="TableParagraph"/>
              <w:spacing w:before="34"/>
              <w:ind w:right="57"/>
              <w:jc w:val="right"/>
              <w:rPr>
                <w:sz w:val="14"/>
              </w:rPr>
            </w:pPr>
            <w:r>
              <w:rPr>
                <w:w w:val="95"/>
                <w:sz w:val="14"/>
              </w:rPr>
              <w:t>3.561</w:t>
            </w:r>
          </w:p>
        </w:tc>
        <w:tc>
          <w:tcPr>
            <w:tcW w:w="955" w:type="dxa"/>
          </w:tcPr>
          <w:p>
            <w:pPr>
              <w:pStyle w:val="TableParagraph"/>
              <w:spacing w:before="34"/>
              <w:ind w:right="57"/>
              <w:jc w:val="right"/>
              <w:rPr>
                <w:sz w:val="14"/>
              </w:rPr>
            </w:pPr>
            <w:r>
              <w:rPr>
                <w:w w:val="95"/>
                <w:sz w:val="14"/>
              </w:rPr>
              <w:t>1.109</w:t>
            </w:r>
          </w:p>
        </w:tc>
        <w:tc>
          <w:tcPr>
            <w:tcW w:w="1028" w:type="dxa"/>
          </w:tcPr>
          <w:p>
            <w:pPr>
              <w:pStyle w:val="TableParagraph"/>
              <w:spacing w:before="34"/>
              <w:ind w:right="55"/>
              <w:jc w:val="right"/>
              <w:rPr>
                <w:sz w:val="14"/>
              </w:rPr>
            </w:pPr>
            <w:r>
              <w:rPr>
                <w:w w:val="105"/>
                <w:sz w:val="14"/>
              </w:rPr>
              <w:t>821</w:t>
            </w:r>
          </w:p>
        </w:tc>
        <w:tc>
          <w:tcPr>
            <w:tcW w:w="1083" w:type="dxa"/>
          </w:tcPr>
          <w:p>
            <w:pPr>
              <w:pStyle w:val="TableParagraph"/>
              <w:spacing w:before="34"/>
              <w:ind w:right="55"/>
              <w:jc w:val="right"/>
              <w:rPr>
                <w:sz w:val="14"/>
              </w:rPr>
            </w:pPr>
            <w:r>
              <w:rPr>
                <w:w w:val="95"/>
                <w:sz w:val="14"/>
              </w:rPr>
              <w:t>8.876</w:t>
            </w:r>
          </w:p>
        </w:tc>
        <w:tc>
          <w:tcPr>
            <w:tcW w:w="1076" w:type="dxa"/>
          </w:tcPr>
          <w:p>
            <w:pPr>
              <w:pStyle w:val="TableParagraph"/>
              <w:spacing w:before="34"/>
              <w:ind w:right="56"/>
              <w:jc w:val="right"/>
              <w:rPr>
                <w:sz w:val="14"/>
              </w:rPr>
            </w:pPr>
            <w:r>
              <w:rPr>
                <w:w w:val="95"/>
                <w:sz w:val="14"/>
              </w:rPr>
              <w:t>9.736</w:t>
            </w:r>
          </w:p>
        </w:tc>
      </w:tr>
      <w:tr>
        <w:trPr>
          <w:trHeight w:val="227" w:hRule="atLeast"/>
        </w:trPr>
        <w:tc>
          <w:tcPr>
            <w:tcW w:w="3865" w:type="dxa"/>
          </w:tcPr>
          <w:p>
            <w:pPr>
              <w:pStyle w:val="TableParagraph"/>
              <w:spacing w:before="34"/>
              <w:ind w:left="211"/>
              <w:rPr>
                <w:sz w:val="14"/>
              </w:rPr>
            </w:pPr>
            <w:r>
              <w:rPr>
                <w:sz w:val="14"/>
              </w:rPr>
              <w:t>Poder Público</w:t>
            </w:r>
          </w:p>
        </w:tc>
        <w:tc>
          <w:tcPr>
            <w:tcW w:w="955" w:type="dxa"/>
          </w:tcPr>
          <w:p>
            <w:pPr>
              <w:pStyle w:val="TableParagraph"/>
              <w:spacing w:before="34"/>
              <w:ind w:right="54"/>
              <w:jc w:val="right"/>
              <w:rPr>
                <w:sz w:val="14"/>
              </w:rPr>
            </w:pPr>
            <w:r>
              <w:rPr>
                <w:w w:val="95"/>
                <w:sz w:val="14"/>
              </w:rPr>
              <w:t>24.249</w:t>
            </w:r>
          </w:p>
        </w:tc>
        <w:tc>
          <w:tcPr>
            <w:tcW w:w="958" w:type="dxa"/>
          </w:tcPr>
          <w:p>
            <w:pPr>
              <w:pStyle w:val="TableParagraph"/>
              <w:spacing w:before="34"/>
              <w:ind w:right="57"/>
              <w:jc w:val="right"/>
              <w:rPr>
                <w:sz w:val="14"/>
              </w:rPr>
            </w:pPr>
            <w:r>
              <w:rPr>
                <w:w w:val="95"/>
                <w:sz w:val="14"/>
              </w:rPr>
              <w:t>5.697</w:t>
            </w:r>
          </w:p>
        </w:tc>
        <w:tc>
          <w:tcPr>
            <w:tcW w:w="955" w:type="dxa"/>
          </w:tcPr>
          <w:p>
            <w:pPr>
              <w:pStyle w:val="TableParagraph"/>
              <w:spacing w:before="34"/>
              <w:ind w:right="57"/>
              <w:jc w:val="right"/>
              <w:rPr>
                <w:sz w:val="14"/>
              </w:rPr>
            </w:pPr>
            <w:r>
              <w:rPr>
                <w:w w:val="95"/>
                <w:sz w:val="14"/>
              </w:rPr>
              <w:t>1.572</w:t>
            </w:r>
          </w:p>
        </w:tc>
        <w:tc>
          <w:tcPr>
            <w:tcW w:w="1028" w:type="dxa"/>
          </w:tcPr>
          <w:p>
            <w:pPr>
              <w:pStyle w:val="TableParagraph"/>
              <w:spacing w:before="34"/>
              <w:ind w:right="55"/>
              <w:jc w:val="right"/>
              <w:rPr>
                <w:sz w:val="14"/>
              </w:rPr>
            </w:pPr>
            <w:r>
              <w:rPr>
                <w:w w:val="95"/>
                <w:sz w:val="14"/>
              </w:rPr>
              <w:t>22.103</w:t>
            </w:r>
          </w:p>
        </w:tc>
        <w:tc>
          <w:tcPr>
            <w:tcW w:w="1083" w:type="dxa"/>
          </w:tcPr>
          <w:p>
            <w:pPr>
              <w:pStyle w:val="TableParagraph"/>
              <w:spacing w:before="34"/>
              <w:ind w:right="55"/>
              <w:jc w:val="right"/>
              <w:rPr>
                <w:sz w:val="14"/>
              </w:rPr>
            </w:pPr>
            <w:r>
              <w:rPr>
                <w:w w:val="95"/>
                <w:sz w:val="14"/>
              </w:rPr>
              <w:t>53.621</w:t>
            </w:r>
          </w:p>
        </w:tc>
        <w:tc>
          <w:tcPr>
            <w:tcW w:w="1076" w:type="dxa"/>
          </w:tcPr>
          <w:p>
            <w:pPr>
              <w:pStyle w:val="TableParagraph"/>
              <w:spacing w:before="34"/>
              <w:ind w:right="56"/>
              <w:jc w:val="right"/>
              <w:rPr>
                <w:sz w:val="14"/>
              </w:rPr>
            </w:pPr>
            <w:r>
              <w:rPr>
                <w:w w:val="95"/>
                <w:sz w:val="14"/>
              </w:rPr>
              <w:t>62.693</w:t>
            </w:r>
          </w:p>
        </w:tc>
      </w:tr>
      <w:tr>
        <w:trPr>
          <w:trHeight w:val="230" w:hRule="atLeast"/>
        </w:trPr>
        <w:tc>
          <w:tcPr>
            <w:tcW w:w="3865" w:type="dxa"/>
          </w:tcPr>
          <w:p>
            <w:pPr>
              <w:pStyle w:val="TableParagraph"/>
              <w:spacing w:before="34"/>
              <w:ind w:left="211"/>
              <w:rPr>
                <w:sz w:val="14"/>
              </w:rPr>
            </w:pPr>
            <w:r>
              <w:rPr>
                <w:sz w:val="14"/>
              </w:rPr>
              <w:t>Iluminação Pública</w:t>
            </w:r>
          </w:p>
        </w:tc>
        <w:tc>
          <w:tcPr>
            <w:tcW w:w="955" w:type="dxa"/>
          </w:tcPr>
          <w:p>
            <w:pPr>
              <w:pStyle w:val="TableParagraph"/>
              <w:spacing w:before="34"/>
              <w:ind w:right="54"/>
              <w:jc w:val="right"/>
              <w:rPr>
                <w:sz w:val="14"/>
              </w:rPr>
            </w:pPr>
            <w:r>
              <w:rPr>
                <w:w w:val="95"/>
                <w:sz w:val="14"/>
              </w:rPr>
              <w:t>13.950</w:t>
            </w:r>
          </w:p>
        </w:tc>
        <w:tc>
          <w:tcPr>
            <w:tcW w:w="958" w:type="dxa"/>
          </w:tcPr>
          <w:p>
            <w:pPr>
              <w:pStyle w:val="TableParagraph"/>
              <w:spacing w:before="34"/>
              <w:ind w:right="57"/>
              <w:jc w:val="right"/>
              <w:rPr>
                <w:sz w:val="14"/>
              </w:rPr>
            </w:pPr>
            <w:r>
              <w:rPr>
                <w:w w:val="95"/>
                <w:sz w:val="14"/>
              </w:rPr>
              <w:t>14.243</w:t>
            </w:r>
          </w:p>
        </w:tc>
        <w:tc>
          <w:tcPr>
            <w:tcW w:w="955" w:type="dxa"/>
          </w:tcPr>
          <w:p>
            <w:pPr>
              <w:pStyle w:val="TableParagraph"/>
              <w:rPr>
                <w:rFonts w:ascii="Times New Roman"/>
                <w:sz w:val="16"/>
              </w:rPr>
            </w:pPr>
          </w:p>
        </w:tc>
        <w:tc>
          <w:tcPr>
            <w:tcW w:w="1028" w:type="dxa"/>
          </w:tcPr>
          <w:p>
            <w:pPr>
              <w:pStyle w:val="TableParagraph"/>
              <w:spacing w:before="34"/>
              <w:ind w:right="55"/>
              <w:jc w:val="right"/>
              <w:rPr>
                <w:sz w:val="14"/>
              </w:rPr>
            </w:pPr>
            <w:r>
              <w:rPr>
                <w:w w:val="95"/>
                <w:sz w:val="14"/>
              </w:rPr>
              <w:t>24.483</w:t>
            </w:r>
          </w:p>
        </w:tc>
        <w:tc>
          <w:tcPr>
            <w:tcW w:w="1083" w:type="dxa"/>
          </w:tcPr>
          <w:p>
            <w:pPr>
              <w:pStyle w:val="TableParagraph"/>
              <w:spacing w:before="34"/>
              <w:ind w:right="55"/>
              <w:jc w:val="right"/>
              <w:rPr>
                <w:sz w:val="14"/>
              </w:rPr>
            </w:pPr>
            <w:r>
              <w:rPr>
                <w:w w:val="95"/>
                <w:sz w:val="14"/>
              </w:rPr>
              <w:t>52.676</w:t>
            </w:r>
          </w:p>
        </w:tc>
        <w:tc>
          <w:tcPr>
            <w:tcW w:w="1076" w:type="dxa"/>
          </w:tcPr>
          <w:p>
            <w:pPr>
              <w:pStyle w:val="TableParagraph"/>
              <w:spacing w:before="34"/>
              <w:ind w:right="56"/>
              <w:jc w:val="right"/>
              <w:rPr>
                <w:sz w:val="14"/>
              </w:rPr>
            </w:pPr>
            <w:r>
              <w:rPr>
                <w:w w:val="95"/>
                <w:sz w:val="14"/>
              </w:rPr>
              <w:t>54.678</w:t>
            </w:r>
          </w:p>
        </w:tc>
      </w:tr>
      <w:tr>
        <w:trPr>
          <w:trHeight w:val="227" w:hRule="atLeast"/>
        </w:trPr>
        <w:tc>
          <w:tcPr>
            <w:tcW w:w="3865" w:type="dxa"/>
          </w:tcPr>
          <w:p>
            <w:pPr>
              <w:pStyle w:val="TableParagraph"/>
              <w:spacing w:before="31"/>
              <w:ind w:left="211"/>
              <w:rPr>
                <w:sz w:val="14"/>
              </w:rPr>
            </w:pPr>
            <w:r>
              <w:rPr>
                <w:sz w:val="14"/>
              </w:rPr>
              <w:t>Serviço Público</w:t>
            </w:r>
          </w:p>
        </w:tc>
        <w:tc>
          <w:tcPr>
            <w:tcW w:w="955" w:type="dxa"/>
          </w:tcPr>
          <w:p>
            <w:pPr>
              <w:pStyle w:val="TableParagraph"/>
              <w:spacing w:before="31"/>
              <w:ind w:right="54"/>
              <w:jc w:val="right"/>
              <w:rPr>
                <w:sz w:val="14"/>
              </w:rPr>
            </w:pPr>
            <w:r>
              <w:rPr>
                <w:w w:val="95"/>
                <w:sz w:val="14"/>
              </w:rPr>
              <w:t>14.687</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5"/>
              <w:jc w:val="right"/>
              <w:rPr>
                <w:sz w:val="14"/>
              </w:rPr>
            </w:pPr>
            <w:r>
              <w:rPr>
                <w:w w:val="95"/>
                <w:sz w:val="14"/>
              </w:rPr>
              <w:t>14.687</w:t>
            </w:r>
          </w:p>
        </w:tc>
        <w:tc>
          <w:tcPr>
            <w:tcW w:w="1076" w:type="dxa"/>
          </w:tcPr>
          <w:p>
            <w:pPr>
              <w:pStyle w:val="TableParagraph"/>
              <w:spacing w:before="31"/>
              <w:ind w:right="56"/>
              <w:jc w:val="right"/>
              <w:rPr>
                <w:sz w:val="14"/>
              </w:rPr>
            </w:pPr>
            <w:r>
              <w:rPr>
                <w:w w:val="95"/>
                <w:sz w:val="14"/>
              </w:rPr>
              <w:t>14.557</w:t>
            </w:r>
          </w:p>
        </w:tc>
      </w:tr>
      <w:tr>
        <w:trPr>
          <w:trHeight w:val="227" w:hRule="atLeast"/>
        </w:trPr>
        <w:tc>
          <w:tcPr>
            <w:tcW w:w="3865" w:type="dxa"/>
          </w:tcPr>
          <w:p>
            <w:pPr>
              <w:pStyle w:val="TableParagraph"/>
              <w:spacing w:before="30"/>
              <w:ind w:left="72"/>
              <w:rPr>
                <w:rFonts w:ascii="Caladea"/>
                <w:b/>
                <w:sz w:val="14"/>
              </w:rPr>
            </w:pPr>
            <w:r>
              <w:rPr>
                <w:rFonts w:ascii="Caladea"/>
                <w:b/>
                <w:sz w:val="14"/>
              </w:rPr>
              <w:t>Subtotal Consumidores</w:t>
            </w:r>
          </w:p>
        </w:tc>
        <w:tc>
          <w:tcPr>
            <w:tcW w:w="955" w:type="dxa"/>
          </w:tcPr>
          <w:p>
            <w:pPr>
              <w:pStyle w:val="TableParagraph"/>
              <w:spacing w:before="30"/>
              <w:ind w:right="55"/>
              <w:jc w:val="right"/>
              <w:rPr>
                <w:rFonts w:ascii="Caladea"/>
                <w:b/>
                <w:sz w:val="14"/>
              </w:rPr>
            </w:pPr>
            <w:r>
              <w:rPr>
                <w:rFonts w:ascii="Caladea"/>
                <w:b/>
                <w:w w:val="95"/>
                <w:sz w:val="14"/>
              </w:rPr>
              <w:t>195.550</w:t>
            </w:r>
          </w:p>
        </w:tc>
        <w:tc>
          <w:tcPr>
            <w:tcW w:w="958" w:type="dxa"/>
          </w:tcPr>
          <w:p>
            <w:pPr>
              <w:pStyle w:val="TableParagraph"/>
              <w:spacing w:before="30"/>
              <w:ind w:right="57"/>
              <w:jc w:val="right"/>
              <w:rPr>
                <w:rFonts w:ascii="Caladea"/>
                <w:b/>
                <w:sz w:val="14"/>
              </w:rPr>
            </w:pPr>
            <w:r>
              <w:rPr>
                <w:rFonts w:ascii="Caladea"/>
                <w:b/>
                <w:w w:val="95"/>
                <w:sz w:val="14"/>
              </w:rPr>
              <w:t>164.415</w:t>
            </w:r>
          </w:p>
        </w:tc>
        <w:tc>
          <w:tcPr>
            <w:tcW w:w="955" w:type="dxa"/>
          </w:tcPr>
          <w:p>
            <w:pPr>
              <w:pStyle w:val="TableParagraph"/>
              <w:spacing w:before="30"/>
              <w:ind w:right="57"/>
              <w:jc w:val="right"/>
              <w:rPr>
                <w:rFonts w:ascii="Caladea"/>
                <w:b/>
                <w:sz w:val="14"/>
              </w:rPr>
            </w:pPr>
            <w:r>
              <w:rPr>
                <w:rFonts w:ascii="Caladea"/>
                <w:b/>
                <w:sz w:val="14"/>
              </w:rPr>
              <w:t>42.260</w:t>
            </w:r>
          </w:p>
        </w:tc>
        <w:tc>
          <w:tcPr>
            <w:tcW w:w="1028" w:type="dxa"/>
          </w:tcPr>
          <w:p>
            <w:pPr>
              <w:pStyle w:val="TableParagraph"/>
              <w:spacing w:before="30"/>
              <w:ind w:right="55"/>
              <w:jc w:val="right"/>
              <w:rPr>
                <w:rFonts w:ascii="Caladea"/>
                <w:b/>
                <w:sz w:val="14"/>
              </w:rPr>
            </w:pPr>
            <w:r>
              <w:rPr>
                <w:rFonts w:ascii="Caladea"/>
                <w:b/>
                <w:sz w:val="14"/>
              </w:rPr>
              <w:t>83.147</w:t>
            </w:r>
          </w:p>
        </w:tc>
        <w:tc>
          <w:tcPr>
            <w:tcW w:w="1083" w:type="dxa"/>
          </w:tcPr>
          <w:p>
            <w:pPr>
              <w:pStyle w:val="TableParagraph"/>
              <w:spacing w:before="30"/>
              <w:ind w:right="55"/>
              <w:jc w:val="right"/>
              <w:rPr>
                <w:rFonts w:ascii="Caladea"/>
                <w:b/>
                <w:sz w:val="14"/>
              </w:rPr>
            </w:pPr>
            <w:r>
              <w:rPr>
                <w:rFonts w:ascii="Caladea"/>
                <w:b/>
                <w:sz w:val="14"/>
              </w:rPr>
              <w:t>485.372</w:t>
            </w:r>
          </w:p>
        </w:tc>
        <w:tc>
          <w:tcPr>
            <w:tcW w:w="1076" w:type="dxa"/>
          </w:tcPr>
          <w:p>
            <w:pPr>
              <w:pStyle w:val="TableParagraph"/>
              <w:spacing w:before="30"/>
              <w:ind w:right="56"/>
              <w:jc w:val="right"/>
              <w:rPr>
                <w:rFonts w:ascii="Caladea"/>
                <w:b/>
                <w:sz w:val="14"/>
              </w:rPr>
            </w:pPr>
            <w:r>
              <w:rPr>
                <w:rFonts w:ascii="Caladea"/>
                <w:b/>
                <w:w w:val="95"/>
                <w:sz w:val="14"/>
              </w:rPr>
              <w:t>538.987</w:t>
            </w:r>
          </w:p>
        </w:tc>
      </w:tr>
      <w:tr>
        <w:trPr>
          <w:trHeight w:val="227" w:hRule="atLeast"/>
        </w:trPr>
        <w:tc>
          <w:tcPr>
            <w:tcW w:w="3865" w:type="dxa"/>
          </w:tcPr>
          <w:p>
            <w:pPr>
              <w:pStyle w:val="TableParagraph"/>
              <w:spacing w:before="31"/>
              <w:ind w:left="211"/>
              <w:rPr>
                <w:sz w:val="14"/>
              </w:rPr>
            </w:pPr>
            <w:r>
              <w:rPr>
                <w:sz w:val="14"/>
              </w:rPr>
              <w:t>Serviço Taxado</w:t>
            </w:r>
          </w:p>
        </w:tc>
        <w:tc>
          <w:tcPr>
            <w:tcW w:w="955" w:type="dxa"/>
          </w:tcPr>
          <w:p>
            <w:pPr>
              <w:pStyle w:val="TableParagraph"/>
              <w:spacing w:before="31"/>
              <w:ind w:right="54"/>
              <w:jc w:val="right"/>
              <w:rPr>
                <w:sz w:val="14"/>
              </w:rPr>
            </w:pPr>
            <w:r>
              <w:rPr>
                <w:w w:val="95"/>
                <w:sz w:val="14"/>
              </w:rPr>
              <w:t>1.462</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5"/>
              <w:jc w:val="right"/>
              <w:rPr>
                <w:sz w:val="14"/>
              </w:rPr>
            </w:pPr>
            <w:r>
              <w:rPr>
                <w:w w:val="95"/>
                <w:sz w:val="14"/>
              </w:rPr>
              <w:t>1.462</w:t>
            </w:r>
          </w:p>
        </w:tc>
        <w:tc>
          <w:tcPr>
            <w:tcW w:w="1076" w:type="dxa"/>
          </w:tcPr>
          <w:p>
            <w:pPr>
              <w:pStyle w:val="TableParagraph"/>
              <w:spacing w:before="31"/>
              <w:ind w:right="56"/>
              <w:jc w:val="right"/>
              <w:rPr>
                <w:sz w:val="14"/>
              </w:rPr>
            </w:pPr>
            <w:r>
              <w:rPr>
                <w:w w:val="95"/>
                <w:sz w:val="14"/>
              </w:rPr>
              <w:t>1.667</w:t>
            </w:r>
          </w:p>
        </w:tc>
      </w:tr>
      <w:tr>
        <w:trPr>
          <w:trHeight w:val="227" w:hRule="atLeast"/>
        </w:trPr>
        <w:tc>
          <w:tcPr>
            <w:tcW w:w="3865" w:type="dxa"/>
          </w:tcPr>
          <w:p>
            <w:pPr>
              <w:pStyle w:val="TableParagraph"/>
              <w:spacing w:before="34"/>
              <w:ind w:left="211"/>
              <w:rPr>
                <w:sz w:val="14"/>
              </w:rPr>
            </w:pPr>
            <w:r>
              <w:rPr>
                <w:sz w:val="14"/>
              </w:rPr>
              <w:t>Concessionárias e Permissionárias</w:t>
            </w:r>
          </w:p>
        </w:tc>
        <w:tc>
          <w:tcPr>
            <w:tcW w:w="955" w:type="dxa"/>
          </w:tcPr>
          <w:p>
            <w:pPr>
              <w:pStyle w:val="TableParagraph"/>
              <w:spacing w:before="34"/>
              <w:ind w:right="54"/>
              <w:jc w:val="right"/>
              <w:rPr>
                <w:sz w:val="14"/>
              </w:rPr>
            </w:pPr>
            <w:r>
              <w:rPr>
                <w:w w:val="95"/>
                <w:sz w:val="14"/>
              </w:rPr>
              <w:t>1.227</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4"/>
              <w:ind w:right="55"/>
              <w:jc w:val="right"/>
              <w:rPr>
                <w:sz w:val="14"/>
              </w:rPr>
            </w:pPr>
            <w:r>
              <w:rPr>
                <w:w w:val="95"/>
                <w:sz w:val="14"/>
              </w:rPr>
              <w:t>1.227</w:t>
            </w:r>
          </w:p>
        </w:tc>
        <w:tc>
          <w:tcPr>
            <w:tcW w:w="1076" w:type="dxa"/>
          </w:tcPr>
          <w:p>
            <w:pPr>
              <w:pStyle w:val="TableParagraph"/>
              <w:spacing w:before="34"/>
              <w:ind w:right="56"/>
              <w:jc w:val="right"/>
              <w:rPr>
                <w:sz w:val="14"/>
              </w:rPr>
            </w:pPr>
            <w:r>
              <w:rPr>
                <w:w w:val="95"/>
                <w:sz w:val="14"/>
              </w:rPr>
              <w:t>2.656</w:t>
            </w:r>
          </w:p>
        </w:tc>
      </w:tr>
      <w:tr>
        <w:trPr>
          <w:trHeight w:val="228" w:hRule="atLeast"/>
        </w:trPr>
        <w:tc>
          <w:tcPr>
            <w:tcW w:w="3865" w:type="dxa"/>
          </w:tcPr>
          <w:p>
            <w:pPr>
              <w:pStyle w:val="TableParagraph"/>
              <w:spacing w:before="34"/>
              <w:ind w:right="480"/>
              <w:jc w:val="right"/>
              <w:rPr>
                <w:sz w:val="14"/>
              </w:rPr>
            </w:pPr>
            <w:r>
              <w:rPr>
                <w:sz w:val="14"/>
              </w:rPr>
              <w:t>Serviços prestado a terceiros (Incluso Serviços de IP)</w:t>
            </w:r>
          </w:p>
        </w:tc>
        <w:tc>
          <w:tcPr>
            <w:tcW w:w="955" w:type="dxa"/>
          </w:tcPr>
          <w:p>
            <w:pPr>
              <w:pStyle w:val="TableParagraph"/>
              <w:spacing w:before="34"/>
              <w:ind w:right="55"/>
              <w:jc w:val="right"/>
              <w:rPr>
                <w:sz w:val="14"/>
              </w:rPr>
            </w:pPr>
            <w:r>
              <w:rPr>
                <w:w w:val="95"/>
                <w:sz w:val="14"/>
              </w:rPr>
              <w:t>39.515</w:t>
            </w:r>
          </w:p>
        </w:tc>
        <w:tc>
          <w:tcPr>
            <w:tcW w:w="958" w:type="dxa"/>
          </w:tcPr>
          <w:p>
            <w:pPr>
              <w:pStyle w:val="TableParagraph"/>
              <w:spacing w:before="34"/>
              <w:ind w:right="57"/>
              <w:jc w:val="right"/>
              <w:rPr>
                <w:sz w:val="14"/>
              </w:rPr>
            </w:pPr>
            <w:r>
              <w:rPr>
                <w:w w:val="95"/>
                <w:sz w:val="14"/>
              </w:rPr>
              <w:t>5.589</w:t>
            </w:r>
          </w:p>
        </w:tc>
        <w:tc>
          <w:tcPr>
            <w:tcW w:w="955" w:type="dxa"/>
          </w:tcPr>
          <w:p>
            <w:pPr>
              <w:pStyle w:val="TableParagraph"/>
              <w:spacing w:before="34"/>
              <w:ind w:right="57"/>
              <w:jc w:val="right"/>
              <w:rPr>
                <w:sz w:val="14"/>
              </w:rPr>
            </w:pPr>
            <w:r>
              <w:rPr>
                <w:w w:val="95"/>
                <w:sz w:val="14"/>
              </w:rPr>
              <w:t>2.292</w:t>
            </w:r>
          </w:p>
        </w:tc>
        <w:tc>
          <w:tcPr>
            <w:tcW w:w="1028" w:type="dxa"/>
          </w:tcPr>
          <w:p>
            <w:pPr>
              <w:pStyle w:val="TableParagraph"/>
              <w:spacing w:before="34"/>
              <w:ind w:right="55"/>
              <w:jc w:val="right"/>
              <w:rPr>
                <w:sz w:val="14"/>
              </w:rPr>
            </w:pPr>
            <w:r>
              <w:rPr>
                <w:w w:val="95"/>
                <w:sz w:val="14"/>
              </w:rPr>
              <w:t>10.019</w:t>
            </w:r>
          </w:p>
        </w:tc>
        <w:tc>
          <w:tcPr>
            <w:tcW w:w="1083" w:type="dxa"/>
          </w:tcPr>
          <w:p>
            <w:pPr>
              <w:pStyle w:val="TableParagraph"/>
              <w:spacing w:before="34"/>
              <w:ind w:right="55"/>
              <w:jc w:val="right"/>
              <w:rPr>
                <w:sz w:val="14"/>
              </w:rPr>
            </w:pPr>
            <w:r>
              <w:rPr>
                <w:w w:val="95"/>
                <w:sz w:val="14"/>
              </w:rPr>
              <w:t>57.415</w:t>
            </w:r>
          </w:p>
        </w:tc>
        <w:tc>
          <w:tcPr>
            <w:tcW w:w="1076" w:type="dxa"/>
          </w:tcPr>
          <w:p>
            <w:pPr>
              <w:pStyle w:val="TableParagraph"/>
              <w:spacing w:before="34"/>
              <w:ind w:right="56"/>
              <w:jc w:val="right"/>
              <w:rPr>
                <w:sz w:val="14"/>
              </w:rPr>
            </w:pPr>
            <w:r>
              <w:rPr>
                <w:w w:val="95"/>
                <w:sz w:val="14"/>
              </w:rPr>
              <w:t>57.447</w:t>
            </w:r>
          </w:p>
        </w:tc>
      </w:tr>
      <w:tr>
        <w:trPr>
          <w:trHeight w:val="230" w:hRule="atLeast"/>
        </w:trPr>
        <w:tc>
          <w:tcPr>
            <w:tcW w:w="3865" w:type="dxa"/>
          </w:tcPr>
          <w:p>
            <w:pPr>
              <w:pStyle w:val="TableParagraph"/>
              <w:spacing w:before="34"/>
              <w:ind w:left="211"/>
              <w:rPr>
                <w:sz w:val="14"/>
              </w:rPr>
            </w:pPr>
            <w:r>
              <w:rPr>
                <w:sz w:val="14"/>
              </w:rPr>
              <w:t>Contribuição do consumidor</w:t>
            </w:r>
          </w:p>
        </w:tc>
        <w:tc>
          <w:tcPr>
            <w:tcW w:w="955" w:type="dxa"/>
          </w:tcPr>
          <w:p>
            <w:pPr>
              <w:pStyle w:val="TableParagraph"/>
              <w:spacing w:before="34"/>
              <w:ind w:right="54"/>
              <w:jc w:val="right"/>
              <w:rPr>
                <w:sz w:val="14"/>
              </w:rPr>
            </w:pPr>
            <w:r>
              <w:rPr>
                <w:w w:val="95"/>
                <w:sz w:val="14"/>
              </w:rPr>
              <w:t>1.227</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4"/>
              <w:ind w:right="55"/>
              <w:jc w:val="right"/>
              <w:rPr>
                <w:sz w:val="14"/>
              </w:rPr>
            </w:pPr>
            <w:r>
              <w:rPr>
                <w:w w:val="95"/>
                <w:sz w:val="14"/>
              </w:rPr>
              <w:t>1.227</w:t>
            </w:r>
          </w:p>
        </w:tc>
        <w:tc>
          <w:tcPr>
            <w:tcW w:w="1076" w:type="dxa"/>
          </w:tcPr>
          <w:p>
            <w:pPr>
              <w:pStyle w:val="TableParagraph"/>
              <w:spacing w:before="34"/>
              <w:ind w:right="56"/>
              <w:jc w:val="right"/>
              <w:rPr>
                <w:sz w:val="14"/>
              </w:rPr>
            </w:pPr>
            <w:r>
              <w:rPr>
                <w:w w:val="95"/>
                <w:sz w:val="14"/>
              </w:rPr>
              <w:t>3.316</w:t>
            </w:r>
          </w:p>
        </w:tc>
      </w:tr>
      <w:tr>
        <w:trPr>
          <w:trHeight w:val="227" w:hRule="atLeast"/>
        </w:trPr>
        <w:tc>
          <w:tcPr>
            <w:tcW w:w="3865" w:type="dxa"/>
          </w:tcPr>
          <w:p>
            <w:pPr>
              <w:pStyle w:val="TableParagraph"/>
              <w:spacing w:before="31"/>
              <w:ind w:left="211"/>
              <w:rPr>
                <w:sz w:val="14"/>
              </w:rPr>
            </w:pPr>
            <w:r>
              <w:rPr>
                <w:sz w:val="14"/>
              </w:rPr>
              <w:t>Fornecimento Não Faturado</w:t>
            </w:r>
          </w:p>
        </w:tc>
        <w:tc>
          <w:tcPr>
            <w:tcW w:w="955" w:type="dxa"/>
          </w:tcPr>
          <w:p>
            <w:pPr>
              <w:pStyle w:val="TableParagraph"/>
              <w:spacing w:before="31"/>
              <w:ind w:right="55"/>
              <w:jc w:val="right"/>
              <w:rPr>
                <w:sz w:val="14"/>
              </w:rPr>
            </w:pPr>
            <w:r>
              <w:rPr>
                <w:w w:val="95"/>
                <w:sz w:val="14"/>
              </w:rPr>
              <w:t>165.288</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5"/>
              <w:jc w:val="right"/>
              <w:rPr>
                <w:sz w:val="14"/>
              </w:rPr>
            </w:pPr>
            <w:r>
              <w:rPr>
                <w:w w:val="95"/>
                <w:sz w:val="14"/>
              </w:rPr>
              <w:t>165.288</w:t>
            </w:r>
          </w:p>
        </w:tc>
        <w:tc>
          <w:tcPr>
            <w:tcW w:w="1076" w:type="dxa"/>
          </w:tcPr>
          <w:p>
            <w:pPr>
              <w:pStyle w:val="TableParagraph"/>
              <w:spacing w:before="31"/>
              <w:ind w:right="56"/>
              <w:jc w:val="right"/>
              <w:rPr>
                <w:sz w:val="14"/>
              </w:rPr>
            </w:pPr>
            <w:r>
              <w:rPr>
                <w:w w:val="95"/>
                <w:sz w:val="14"/>
              </w:rPr>
              <w:t>155.033</w:t>
            </w:r>
          </w:p>
        </w:tc>
      </w:tr>
      <w:tr>
        <w:trPr>
          <w:trHeight w:val="227" w:hRule="atLeast"/>
        </w:trPr>
        <w:tc>
          <w:tcPr>
            <w:tcW w:w="3865" w:type="dxa"/>
          </w:tcPr>
          <w:p>
            <w:pPr>
              <w:pStyle w:val="TableParagraph"/>
              <w:spacing w:before="31"/>
              <w:ind w:left="211"/>
              <w:rPr>
                <w:sz w:val="14"/>
              </w:rPr>
            </w:pPr>
            <w:r>
              <w:rPr>
                <w:sz w:val="14"/>
              </w:rPr>
              <w:t>Parcelamentos a Faturar CP e LP</w:t>
            </w:r>
          </w:p>
        </w:tc>
        <w:tc>
          <w:tcPr>
            <w:tcW w:w="955" w:type="dxa"/>
          </w:tcPr>
          <w:p>
            <w:pPr>
              <w:pStyle w:val="TableParagraph"/>
              <w:spacing w:before="31"/>
              <w:ind w:right="54"/>
              <w:jc w:val="right"/>
              <w:rPr>
                <w:sz w:val="14"/>
              </w:rPr>
            </w:pPr>
            <w:r>
              <w:rPr>
                <w:w w:val="95"/>
                <w:sz w:val="14"/>
              </w:rPr>
              <w:t>95.904</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5"/>
              <w:jc w:val="right"/>
              <w:rPr>
                <w:sz w:val="14"/>
              </w:rPr>
            </w:pPr>
            <w:r>
              <w:rPr>
                <w:w w:val="95"/>
                <w:sz w:val="14"/>
              </w:rPr>
              <w:t>95.904</w:t>
            </w:r>
          </w:p>
        </w:tc>
        <w:tc>
          <w:tcPr>
            <w:tcW w:w="1076" w:type="dxa"/>
          </w:tcPr>
          <w:p>
            <w:pPr>
              <w:pStyle w:val="TableParagraph"/>
              <w:spacing w:before="31"/>
              <w:ind w:right="56"/>
              <w:jc w:val="right"/>
              <w:rPr>
                <w:sz w:val="14"/>
              </w:rPr>
            </w:pPr>
            <w:r>
              <w:rPr>
                <w:w w:val="95"/>
                <w:sz w:val="14"/>
              </w:rPr>
              <w:t>33.948</w:t>
            </w:r>
          </w:p>
        </w:tc>
      </w:tr>
      <w:tr>
        <w:trPr>
          <w:trHeight w:val="227" w:hRule="atLeast"/>
        </w:trPr>
        <w:tc>
          <w:tcPr>
            <w:tcW w:w="3865" w:type="dxa"/>
          </w:tcPr>
          <w:p>
            <w:pPr>
              <w:pStyle w:val="TableParagraph"/>
              <w:spacing w:before="31"/>
              <w:ind w:left="211"/>
              <w:rPr>
                <w:sz w:val="14"/>
              </w:rPr>
            </w:pPr>
            <w:r>
              <w:rPr>
                <w:sz w:val="14"/>
              </w:rPr>
              <w:t>Energia Elétrica Curto Prazo - CCEE</w:t>
            </w:r>
          </w:p>
        </w:tc>
        <w:tc>
          <w:tcPr>
            <w:tcW w:w="955" w:type="dxa"/>
          </w:tcPr>
          <w:p>
            <w:pPr>
              <w:pStyle w:val="TableParagraph"/>
              <w:spacing w:before="31"/>
              <w:ind w:right="54"/>
              <w:jc w:val="right"/>
              <w:rPr>
                <w:sz w:val="14"/>
              </w:rPr>
            </w:pPr>
            <w:r>
              <w:rPr>
                <w:w w:val="95"/>
                <w:sz w:val="14"/>
              </w:rPr>
              <w:t>29.173</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5"/>
              <w:jc w:val="right"/>
              <w:rPr>
                <w:sz w:val="14"/>
              </w:rPr>
            </w:pPr>
            <w:r>
              <w:rPr>
                <w:w w:val="95"/>
                <w:sz w:val="14"/>
              </w:rPr>
              <w:t>29.173</w:t>
            </w:r>
          </w:p>
        </w:tc>
        <w:tc>
          <w:tcPr>
            <w:tcW w:w="1076" w:type="dxa"/>
          </w:tcPr>
          <w:p>
            <w:pPr>
              <w:pStyle w:val="TableParagraph"/>
              <w:spacing w:before="31"/>
              <w:ind w:right="56"/>
              <w:jc w:val="right"/>
              <w:rPr>
                <w:sz w:val="14"/>
              </w:rPr>
            </w:pPr>
            <w:r>
              <w:rPr>
                <w:w w:val="95"/>
                <w:sz w:val="14"/>
              </w:rPr>
              <w:t>29.779</w:t>
            </w:r>
          </w:p>
        </w:tc>
      </w:tr>
      <w:tr>
        <w:trPr>
          <w:trHeight w:val="227" w:hRule="atLeast"/>
        </w:trPr>
        <w:tc>
          <w:tcPr>
            <w:tcW w:w="3865" w:type="dxa"/>
          </w:tcPr>
          <w:p>
            <w:pPr>
              <w:pStyle w:val="TableParagraph"/>
              <w:spacing w:before="34"/>
              <w:ind w:left="211"/>
              <w:rPr>
                <w:sz w:val="14"/>
              </w:rPr>
            </w:pPr>
            <w:r>
              <w:rPr>
                <w:sz w:val="14"/>
              </w:rPr>
              <w:t>Arrecadação a Classificar</w:t>
            </w:r>
          </w:p>
        </w:tc>
        <w:tc>
          <w:tcPr>
            <w:tcW w:w="955" w:type="dxa"/>
          </w:tcPr>
          <w:p>
            <w:pPr>
              <w:pStyle w:val="TableParagraph"/>
              <w:spacing w:before="34"/>
              <w:ind w:right="57"/>
              <w:jc w:val="right"/>
              <w:rPr>
                <w:sz w:val="14"/>
              </w:rPr>
            </w:pPr>
            <w:r>
              <w:rPr>
                <w:sz w:val="14"/>
              </w:rPr>
              <w:t>(16.451)</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4"/>
              <w:ind w:right="57"/>
              <w:jc w:val="right"/>
              <w:rPr>
                <w:sz w:val="14"/>
              </w:rPr>
            </w:pPr>
            <w:r>
              <w:rPr>
                <w:sz w:val="14"/>
              </w:rPr>
              <w:t>(16.451)</w:t>
            </w:r>
          </w:p>
        </w:tc>
        <w:tc>
          <w:tcPr>
            <w:tcW w:w="1076" w:type="dxa"/>
          </w:tcPr>
          <w:p>
            <w:pPr>
              <w:pStyle w:val="TableParagraph"/>
              <w:spacing w:before="34"/>
              <w:ind w:right="58"/>
              <w:jc w:val="right"/>
              <w:rPr>
                <w:sz w:val="14"/>
              </w:rPr>
            </w:pPr>
            <w:r>
              <w:rPr>
                <w:sz w:val="14"/>
              </w:rPr>
              <w:t>(12.885)</w:t>
            </w:r>
          </w:p>
        </w:tc>
      </w:tr>
      <w:tr>
        <w:trPr>
          <w:trHeight w:val="227" w:hRule="atLeast"/>
        </w:trPr>
        <w:tc>
          <w:tcPr>
            <w:tcW w:w="3865" w:type="dxa"/>
          </w:tcPr>
          <w:p>
            <w:pPr>
              <w:pStyle w:val="TableParagraph"/>
              <w:spacing w:before="34"/>
              <w:ind w:left="211"/>
              <w:rPr>
                <w:sz w:val="14"/>
              </w:rPr>
            </w:pPr>
            <w:r>
              <w:rPr>
                <w:sz w:val="14"/>
              </w:rPr>
              <w:t>Outros</w:t>
            </w:r>
          </w:p>
        </w:tc>
        <w:tc>
          <w:tcPr>
            <w:tcW w:w="955" w:type="dxa"/>
          </w:tcPr>
          <w:p>
            <w:pPr>
              <w:pStyle w:val="TableParagraph"/>
              <w:spacing w:before="34"/>
              <w:ind w:right="54"/>
              <w:jc w:val="right"/>
              <w:rPr>
                <w:sz w:val="14"/>
              </w:rPr>
            </w:pPr>
            <w:r>
              <w:rPr>
                <w:w w:val="95"/>
                <w:sz w:val="14"/>
              </w:rPr>
              <w:t>4.938</w:t>
            </w: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4"/>
              <w:ind w:right="55"/>
              <w:jc w:val="right"/>
              <w:rPr>
                <w:sz w:val="14"/>
              </w:rPr>
            </w:pPr>
            <w:r>
              <w:rPr>
                <w:w w:val="95"/>
                <w:sz w:val="14"/>
              </w:rPr>
              <w:t>4.938</w:t>
            </w:r>
          </w:p>
        </w:tc>
        <w:tc>
          <w:tcPr>
            <w:tcW w:w="1076" w:type="dxa"/>
          </w:tcPr>
          <w:p>
            <w:pPr>
              <w:pStyle w:val="TableParagraph"/>
              <w:spacing w:before="34"/>
              <w:ind w:right="56"/>
              <w:jc w:val="right"/>
              <w:rPr>
                <w:sz w:val="14"/>
              </w:rPr>
            </w:pPr>
            <w:r>
              <w:rPr>
                <w:w w:val="95"/>
                <w:sz w:val="14"/>
              </w:rPr>
              <w:t>3.785</w:t>
            </w:r>
          </w:p>
        </w:tc>
      </w:tr>
      <w:tr>
        <w:trPr>
          <w:trHeight w:val="230" w:hRule="atLeast"/>
        </w:trPr>
        <w:tc>
          <w:tcPr>
            <w:tcW w:w="3865" w:type="dxa"/>
          </w:tcPr>
          <w:p>
            <w:pPr>
              <w:pStyle w:val="TableParagraph"/>
              <w:spacing w:before="32"/>
              <w:ind w:left="72"/>
              <w:rPr>
                <w:rFonts w:ascii="Caladea"/>
                <w:b/>
                <w:sz w:val="14"/>
              </w:rPr>
            </w:pPr>
            <w:r>
              <w:rPr>
                <w:rFonts w:ascii="Caladea"/>
                <w:b/>
                <w:sz w:val="14"/>
              </w:rPr>
              <w:t>Total a Receber Bruto</w:t>
            </w:r>
          </w:p>
        </w:tc>
        <w:tc>
          <w:tcPr>
            <w:tcW w:w="955" w:type="dxa"/>
          </w:tcPr>
          <w:p>
            <w:pPr>
              <w:pStyle w:val="TableParagraph"/>
              <w:spacing w:before="32"/>
              <w:ind w:right="55"/>
              <w:jc w:val="right"/>
              <w:rPr>
                <w:rFonts w:ascii="Caladea"/>
                <w:b/>
                <w:sz w:val="14"/>
              </w:rPr>
            </w:pPr>
            <w:r>
              <w:rPr>
                <w:rFonts w:ascii="Caladea"/>
                <w:b/>
                <w:w w:val="95"/>
                <w:sz w:val="14"/>
              </w:rPr>
              <w:t>517.833</w:t>
            </w:r>
          </w:p>
        </w:tc>
        <w:tc>
          <w:tcPr>
            <w:tcW w:w="958" w:type="dxa"/>
          </w:tcPr>
          <w:p>
            <w:pPr>
              <w:pStyle w:val="TableParagraph"/>
              <w:spacing w:before="32"/>
              <w:ind w:right="57"/>
              <w:jc w:val="right"/>
              <w:rPr>
                <w:rFonts w:ascii="Caladea"/>
                <w:b/>
                <w:sz w:val="14"/>
              </w:rPr>
            </w:pPr>
            <w:r>
              <w:rPr>
                <w:rFonts w:ascii="Caladea"/>
                <w:b/>
                <w:w w:val="95"/>
                <w:sz w:val="14"/>
              </w:rPr>
              <w:t>170.004</w:t>
            </w:r>
          </w:p>
        </w:tc>
        <w:tc>
          <w:tcPr>
            <w:tcW w:w="955" w:type="dxa"/>
          </w:tcPr>
          <w:p>
            <w:pPr>
              <w:pStyle w:val="TableParagraph"/>
              <w:spacing w:before="32"/>
              <w:ind w:right="57"/>
              <w:jc w:val="right"/>
              <w:rPr>
                <w:rFonts w:ascii="Caladea"/>
                <w:b/>
                <w:sz w:val="14"/>
              </w:rPr>
            </w:pPr>
            <w:r>
              <w:rPr>
                <w:rFonts w:ascii="Caladea"/>
                <w:b/>
                <w:sz w:val="14"/>
              </w:rPr>
              <w:t>44.552</w:t>
            </w:r>
          </w:p>
        </w:tc>
        <w:tc>
          <w:tcPr>
            <w:tcW w:w="1028" w:type="dxa"/>
          </w:tcPr>
          <w:p>
            <w:pPr>
              <w:pStyle w:val="TableParagraph"/>
              <w:spacing w:before="32"/>
              <w:ind w:right="55"/>
              <w:jc w:val="right"/>
              <w:rPr>
                <w:rFonts w:ascii="Caladea"/>
                <w:b/>
                <w:sz w:val="14"/>
              </w:rPr>
            </w:pPr>
            <w:r>
              <w:rPr>
                <w:rFonts w:ascii="Caladea"/>
                <w:b/>
                <w:sz w:val="14"/>
              </w:rPr>
              <w:t>93.166</w:t>
            </w:r>
          </w:p>
        </w:tc>
        <w:tc>
          <w:tcPr>
            <w:tcW w:w="1083" w:type="dxa"/>
          </w:tcPr>
          <w:p>
            <w:pPr>
              <w:pStyle w:val="TableParagraph"/>
              <w:spacing w:before="32"/>
              <w:ind w:right="55"/>
              <w:jc w:val="right"/>
              <w:rPr>
                <w:rFonts w:ascii="Caladea"/>
                <w:b/>
                <w:sz w:val="14"/>
              </w:rPr>
            </w:pPr>
            <w:r>
              <w:rPr>
                <w:rFonts w:ascii="Caladea"/>
                <w:b/>
                <w:w w:val="95"/>
                <w:sz w:val="14"/>
              </w:rPr>
              <w:t>825.555</w:t>
            </w:r>
          </w:p>
        </w:tc>
        <w:tc>
          <w:tcPr>
            <w:tcW w:w="1076" w:type="dxa"/>
          </w:tcPr>
          <w:p>
            <w:pPr>
              <w:pStyle w:val="TableParagraph"/>
              <w:spacing w:before="32"/>
              <w:ind w:right="56"/>
              <w:jc w:val="right"/>
              <w:rPr>
                <w:rFonts w:ascii="Caladea"/>
                <w:b/>
                <w:sz w:val="14"/>
              </w:rPr>
            </w:pPr>
            <w:r>
              <w:rPr>
                <w:rFonts w:ascii="Caladea"/>
                <w:b/>
                <w:w w:val="95"/>
                <w:sz w:val="14"/>
              </w:rPr>
              <w:t>813.733</w:t>
            </w:r>
          </w:p>
        </w:tc>
      </w:tr>
      <w:tr>
        <w:trPr>
          <w:trHeight w:val="227" w:hRule="atLeast"/>
        </w:trPr>
        <w:tc>
          <w:tcPr>
            <w:tcW w:w="3865" w:type="dxa"/>
          </w:tcPr>
          <w:p>
            <w:pPr>
              <w:pStyle w:val="TableParagraph"/>
              <w:spacing w:before="31"/>
              <w:ind w:right="475"/>
              <w:jc w:val="right"/>
              <w:rPr>
                <w:sz w:val="14"/>
              </w:rPr>
            </w:pPr>
            <w:r>
              <w:rPr>
                <w:sz w:val="14"/>
              </w:rPr>
              <w:t>Perda Estimada Com Crédito de Liquidação Duvidosa</w:t>
            </w:r>
          </w:p>
        </w:tc>
        <w:tc>
          <w:tcPr>
            <w:tcW w:w="955" w:type="dxa"/>
          </w:tcPr>
          <w:p>
            <w:pPr>
              <w:pStyle w:val="TableParagraph"/>
              <w:rPr>
                <w:rFonts w:ascii="Times New Roman"/>
                <w:sz w:val="16"/>
              </w:rPr>
            </w:pP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1"/>
              <w:ind w:right="58"/>
              <w:jc w:val="right"/>
              <w:rPr>
                <w:sz w:val="14"/>
              </w:rPr>
            </w:pPr>
            <w:r>
              <w:rPr>
                <w:sz w:val="14"/>
              </w:rPr>
              <w:t>(151.868)</w:t>
            </w:r>
          </w:p>
        </w:tc>
        <w:tc>
          <w:tcPr>
            <w:tcW w:w="1076" w:type="dxa"/>
          </w:tcPr>
          <w:p>
            <w:pPr>
              <w:pStyle w:val="TableParagraph"/>
              <w:spacing w:before="31"/>
              <w:ind w:right="58"/>
              <w:jc w:val="right"/>
              <w:rPr>
                <w:sz w:val="14"/>
              </w:rPr>
            </w:pPr>
            <w:r>
              <w:rPr>
                <w:sz w:val="14"/>
              </w:rPr>
              <w:t>(157.761)</w:t>
            </w:r>
          </w:p>
        </w:tc>
      </w:tr>
      <w:tr>
        <w:trPr>
          <w:trHeight w:val="227" w:hRule="atLeast"/>
        </w:trPr>
        <w:tc>
          <w:tcPr>
            <w:tcW w:w="3865" w:type="dxa"/>
          </w:tcPr>
          <w:p>
            <w:pPr>
              <w:pStyle w:val="TableParagraph"/>
              <w:spacing w:before="30"/>
              <w:ind w:left="72"/>
              <w:rPr>
                <w:rFonts w:ascii="Caladea" w:hAnsi="Caladea"/>
                <w:b/>
                <w:sz w:val="14"/>
              </w:rPr>
            </w:pPr>
            <w:r>
              <w:rPr>
                <w:rFonts w:ascii="Caladea" w:hAnsi="Caladea"/>
                <w:b/>
                <w:sz w:val="14"/>
              </w:rPr>
              <w:t>Total a Receber Líquido</w:t>
            </w:r>
          </w:p>
        </w:tc>
        <w:tc>
          <w:tcPr>
            <w:tcW w:w="955" w:type="dxa"/>
          </w:tcPr>
          <w:p>
            <w:pPr>
              <w:pStyle w:val="TableParagraph"/>
              <w:rPr>
                <w:rFonts w:ascii="Times New Roman"/>
                <w:sz w:val="16"/>
              </w:rPr>
            </w:pPr>
          </w:p>
        </w:tc>
        <w:tc>
          <w:tcPr>
            <w:tcW w:w="958" w:type="dxa"/>
          </w:tcPr>
          <w:p>
            <w:pPr>
              <w:pStyle w:val="TableParagraph"/>
              <w:rPr>
                <w:rFonts w:ascii="Times New Roman"/>
                <w:sz w:val="16"/>
              </w:rPr>
            </w:pPr>
          </w:p>
        </w:tc>
        <w:tc>
          <w:tcPr>
            <w:tcW w:w="955" w:type="dxa"/>
          </w:tcPr>
          <w:p>
            <w:pPr>
              <w:pStyle w:val="TableParagraph"/>
              <w:rPr>
                <w:rFonts w:ascii="Times New Roman"/>
                <w:sz w:val="16"/>
              </w:rPr>
            </w:pPr>
          </w:p>
        </w:tc>
        <w:tc>
          <w:tcPr>
            <w:tcW w:w="1028" w:type="dxa"/>
          </w:tcPr>
          <w:p>
            <w:pPr>
              <w:pStyle w:val="TableParagraph"/>
              <w:rPr>
                <w:rFonts w:ascii="Times New Roman"/>
                <w:sz w:val="16"/>
              </w:rPr>
            </w:pPr>
          </w:p>
        </w:tc>
        <w:tc>
          <w:tcPr>
            <w:tcW w:w="1083" w:type="dxa"/>
          </w:tcPr>
          <w:p>
            <w:pPr>
              <w:pStyle w:val="TableParagraph"/>
              <w:spacing w:before="30"/>
              <w:ind w:right="55"/>
              <w:jc w:val="right"/>
              <w:rPr>
                <w:rFonts w:ascii="Caladea"/>
                <w:b/>
                <w:sz w:val="14"/>
              </w:rPr>
            </w:pPr>
            <w:r>
              <w:rPr>
                <w:rFonts w:ascii="Caladea"/>
                <w:b/>
                <w:w w:val="95"/>
                <w:sz w:val="14"/>
              </w:rPr>
              <w:t>673.687</w:t>
            </w:r>
          </w:p>
        </w:tc>
        <w:tc>
          <w:tcPr>
            <w:tcW w:w="1076" w:type="dxa"/>
          </w:tcPr>
          <w:p>
            <w:pPr>
              <w:pStyle w:val="TableParagraph"/>
              <w:spacing w:before="30"/>
              <w:ind w:right="56"/>
              <w:jc w:val="right"/>
              <w:rPr>
                <w:rFonts w:ascii="Caladea"/>
                <w:b/>
                <w:sz w:val="14"/>
              </w:rPr>
            </w:pPr>
            <w:r>
              <w:rPr>
                <w:rFonts w:ascii="Caladea"/>
                <w:b/>
                <w:w w:val="95"/>
                <w:sz w:val="14"/>
              </w:rPr>
              <w:t>655.972</w:t>
            </w:r>
          </w:p>
        </w:tc>
      </w:tr>
    </w:tbl>
    <w:p>
      <w:pPr>
        <w:pStyle w:val="BodyText"/>
        <w:spacing w:before="7"/>
        <w:rPr>
          <w:rFonts w:ascii="Caladea"/>
          <w:b/>
        </w:rPr>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hAnsi="Caladea"/>
          <w:b/>
          <w:sz w:val="18"/>
        </w:rPr>
      </w:pPr>
      <w:r>
        <w:rPr>
          <w:rFonts w:ascii="Caladea" w:hAnsi="Caladea"/>
          <w:b/>
          <w:sz w:val="22"/>
        </w:rPr>
        <w:t>E</w:t>
      </w:r>
      <w:r>
        <w:rPr>
          <w:rFonts w:ascii="Caladea" w:hAnsi="Caladea"/>
          <w:b/>
          <w:sz w:val="18"/>
        </w:rPr>
        <w:t>STIMATIVA DE </w:t>
      </w:r>
      <w:r>
        <w:rPr>
          <w:rFonts w:ascii="Caladea" w:hAnsi="Caladea"/>
          <w:b/>
          <w:sz w:val="22"/>
        </w:rPr>
        <w:t>P</w:t>
      </w:r>
      <w:r>
        <w:rPr>
          <w:rFonts w:ascii="Caladea" w:hAnsi="Caladea"/>
          <w:b/>
          <w:sz w:val="18"/>
        </w:rPr>
        <w:t>ERDAS </w:t>
      </w:r>
      <w:r>
        <w:rPr>
          <w:rFonts w:ascii="Caladea" w:hAnsi="Caladea"/>
          <w:b/>
          <w:sz w:val="22"/>
        </w:rPr>
        <w:t>C</w:t>
      </w:r>
      <w:r>
        <w:rPr>
          <w:rFonts w:ascii="Caladea" w:hAnsi="Caladea"/>
          <w:b/>
          <w:sz w:val="18"/>
        </w:rPr>
        <w:t>OM </w:t>
      </w:r>
      <w:r>
        <w:rPr>
          <w:rFonts w:ascii="Caladea" w:hAnsi="Caladea"/>
          <w:b/>
          <w:sz w:val="22"/>
        </w:rPr>
        <w:t>C</w:t>
      </w:r>
      <w:r>
        <w:rPr>
          <w:rFonts w:ascii="Caladea" w:hAnsi="Caladea"/>
          <w:b/>
          <w:sz w:val="18"/>
        </w:rPr>
        <w:t>RÉDITOS DE </w:t>
      </w:r>
      <w:r>
        <w:rPr>
          <w:rFonts w:ascii="Caladea" w:hAnsi="Caladea"/>
          <w:b/>
          <w:sz w:val="22"/>
        </w:rPr>
        <w:t>L</w:t>
      </w:r>
      <w:r>
        <w:rPr>
          <w:rFonts w:ascii="Caladea" w:hAnsi="Caladea"/>
          <w:b/>
          <w:sz w:val="18"/>
        </w:rPr>
        <w:t>IQUIDAÇÃO </w:t>
      </w:r>
      <w:r>
        <w:rPr>
          <w:rFonts w:ascii="Caladea" w:hAnsi="Caladea"/>
          <w:b/>
          <w:sz w:val="22"/>
        </w:rPr>
        <w:t>D</w:t>
      </w:r>
      <w:r>
        <w:rPr>
          <w:rFonts w:ascii="Caladea" w:hAnsi="Caladea"/>
          <w:b/>
          <w:sz w:val="18"/>
        </w:rPr>
        <w:t>UVIDOSA</w:t>
      </w:r>
    </w:p>
    <w:p>
      <w:pPr>
        <w:pStyle w:val="BodyText"/>
        <w:spacing w:before="9"/>
        <w:rPr>
          <w:rFonts w:ascii="Caladea"/>
          <w:b/>
          <w:sz w:val="23"/>
        </w:rPr>
      </w:pPr>
    </w:p>
    <w:p>
      <w:pPr>
        <w:pStyle w:val="BodyText"/>
        <w:spacing w:line="242" w:lineRule="auto"/>
        <w:ind w:left="172" w:right="411"/>
        <w:jc w:val="both"/>
      </w:pPr>
      <w:r>
        <w:rPr/>
        <w:t>A</w:t>
      </w:r>
      <w:r>
        <w:rPr>
          <w:spacing w:val="-32"/>
        </w:rPr>
        <w:t> </w:t>
      </w:r>
      <w:r>
        <w:rPr/>
        <w:t>estimativa</w:t>
      </w:r>
      <w:r>
        <w:rPr>
          <w:spacing w:val="-32"/>
        </w:rPr>
        <w:t> </w:t>
      </w:r>
      <w:r>
        <w:rPr/>
        <w:t>de</w:t>
      </w:r>
      <w:r>
        <w:rPr>
          <w:spacing w:val="-31"/>
        </w:rPr>
        <w:t> </w:t>
      </w:r>
      <w:r>
        <w:rPr/>
        <w:t>perdas</w:t>
      </w:r>
      <w:r>
        <w:rPr>
          <w:spacing w:val="-32"/>
        </w:rPr>
        <w:t> </w:t>
      </w:r>
      <w:r>
        <w:rPr/>
        <w:t>com</w:t>
      </w:r>
      <w:r>
        <w:rPr>
          <w:spacing w:val="-30"/>
        </w:rPr>
        <w:t> </w:t>
      </w:r>
      <w:r>
        <w:rPr/>
        <w:t>créditos</w:t>
      </w:r>
      <w:r>
        <w:rPr>
          <w:spacing w:val="-32"/>
        </w:rPr>
        <w:t> </w:t>
      </w:r>
      <w:r>
        <w:rPr/>
        <w:t>de</w:t>
      </w:r>
      <w:r>
        <w:rPr>
          <w:spacing w:val="-31"/>
        </w:rPr>
        <w:t> </w:t>
      </w:r>
      <w:r>
        <w:rPr/>
        <w:t>liquidação</w:t>
      </w:r>
      <w:r>
        <w:rPr>
          <w:spacing w:val="-31"/>
        </w:rPr>
        <w:t> </w:t>
      </w:r>
      <w:r>
        <w:rPr/>
        <w:t>duvidosa</w:t>
      </w:r>
      <w:r>
        <w:rPr>
          <w:spacing w:val="-31"/>
        </w:rPr>
        <w:t> </w:t>
      </w:r>
      <w:r>
        <w:rPr/>
        <w:t>foi</w:t>
      </w:r>
      <w:r>
        <w:rPr>
          <w:spacing w:val="-31"/>
        </w:rPr>
        <w:t> </w:t>
      </w:r>
      <w:r>
        <w:rPr/>
        <w:t>constituída</w:t>
      </w:r>
      <w:r>
        <w:rPr>
          <w:spacing w:val="-31"/>
        </w:rPr>
        <w:t> </w:t>
      </w:r>
      <w:r>
        <w:rPr/>
        <w:t>com</w:t>
      </w:r>
      <w:r>
        <w:rPr>
          <w:spacing w:val="-31"/>
        </w:rPr>
        <w:t> </w:t>
      </w:r>
      <w:r>
        <w:rPr/>
        <w:t>premissas</w:t>
      </w:r>
      <w:r>
        <w:rPr>
          <w:spacing w:val="-32"/>
        </w:rPr>
        <w:t> </w:t>
      </w:r>
      <w:r>
        <w:rPr/>
        <w:t>consideradas</w:t>
      </w:r>
      <w:r>
        <w:rPr>
          <w:spacing w:val="-31"/>
        </w:rPr>
        <w:t> </w:t>
      </w:r>
      <w:r>
        <w:rPr/>
        <w:t>suficientes para</w:t>
      </w:r>
      <w:r>
        <w:rPr>
          <w:spacing w:val="-19"/>
        </w:rPr>
        <w:t> </w:t>
      </w:r>
      <w:r>
        <w:rPr/>
        <w:t>cobrir</w:t>
      </w:r>
      <w:r>
        <w:rPr>
          <w:spacing w:val="-19"/>
        </w:rPr>
        <w:t> </w:t>
      </w:r>
      <w:r>
        <w:rPr/>
        <w:t>eventuais</w:t>
      </w:r>
      <w:r>
        <w:rPr>
          <w:spacing w:val="-18"/>
        </w:rPr>
        <w:t> </w:t>
      </w:r>
      <w:r>
        <w:rPr/>
        <w:t>perdas</w:t>
      </w:r>
      <w:r>
        <w:rPr>
          <w:spacing w:val="-19"/>
        </w:rPr>
        <w:t> </w:t>
      </w:r>
      <w:r>
        <w:rPr/>
        <w:t>na</w:t>
      </w:r>
      <w:r>
        <w:rPr>
          <w:spacing w:val="-18"/>
        </w:rPr>
        <w:t> </w:t>
      </w:r>
      <w:r>
        <w:rPr/>
        <w:t>realização</w:t>
      </w:r>
      <w:r>
        <w:rPr>
          <w:spacing w:val="-20"/>
        </w:rPr>
        <w:t> </w:t>
      </w:r>
      <w:r>
        <w:rPr/>
        <w:t>dos</w:t>
      </w:r>
      <w:r>
        <w:rPr>
          <w:spacing w:val="-18"/>
        </w:rPr>
        <w:t> </w:t>
      </w:r>
      <w:r>
        <w:rPr/>
        <w:t>créditos</w:t>
      </w:r>
      <w:r>
        <w:rPr>
          <w:spacing w:val="-17"/>
        </w:rPr>
        <w:t> </w:t>
      </w:r>
      <w:r>
        <w:rPr/>
        <w:t>e</w:t>
      </w:r>
      <w:r>
        <w:rPr>
          <w:spacing w:val="-19"/>
        </w:rPr>
        <w:t> </w:t>
      </w:r>
      <w:r>
        <w:rPr/>
        <w:t>está</w:t>
      </w:r>
      <w:r>
        <w:rPr>
          <w:spacing w:val="-19"/>
        </w:rPr>
        <w:t> </w:t>
      </w:r>
      <w:r>
        <w:rPr/>
        <w:t>constituída</w:t>
      </w:r>
      <w:r>
        <w:rPr>
          <w:spacing w:val="-18"/>
        </w:rPr>
        <w:t> </w:t>
      </w:r>
      <w:r>
        <w:rPr/>
        <w:t>de</w:t>
      </w:r>
      <w:r>
        <w:rPr>
          <w:spacing w:val="-20"/>
        </w:rPr>
        <w:t> </w:t>
      </w:r>
      <w:r>
        <w:rPr/>
        <w:t>acordo</w:t>
      </w:r>
      <w:r>
        <w:rPr>
          <w:spacing w:val="-19"/>
        </w:rPr>
        <w:t> </w:t>
      </w:r>
      <w:r>
        <w:rPr/>
        <w:t>com</w:t>
      </w:r>
      <w:r>
        <w:rPr>
          <w:spacing w:val="-20"/>
        </w:rPr>
        <w:t> </w:t>
      </w:r>
      <w:r>
        <w:rPr/>
        <w:t>os</w:t>
      </w:r>
      <w:r>
        <w:rPr>
          <w:spacing w:val="-18"/>
        </w:rPr>
        <w:t> </w:t>
      </w:r>
      <w:r>
        <w:rPr/>
        <w:t>valores</w:t>
      </w:r>
      <w:r>
        <w:rPr>
          <w:spacing w:val="-19"/>
        </w:rPr>
        <w:t> </w:t>
      </w:r>
      <w:r>
        <w:rPr/>
        <w:t>a</w:t>
      </w:r>
      <w:r>
        <w:rPr>
          <w:spacing w:val="-18"/>
        </w:rPr>
        <w:t> </w:t>
      </w:r>
      <w:r>
        <w:rPr/>
        <w:t>receber</w:t>
      </w:r>
      <w:r>
        <w:rPr>
          <w:spacing w:val="-18"/>
        </w:rPr>
        <w:t> </w:t>
      </w:r>
      <w:r>
        <w:rPr/>
        <w:t>dos consumidores</w:t>
      </w:r>
      <w:r>
        <w:rPr>
          <w:spacing w:val="-32"/>
        </w:rPr>
        <w:t> </w:t>
      </w:r>
      <w:r>
        <w:rPr/>
        <w:t>da</w:t>
      </w:r>
      <w:r>
        <w:rPr>
          <w:spacing w:val="-33"/>
        </w:rPr>
        <w:t> </w:t>
      </w:r>
      <w:r>
        <w:rPr/>
        <w:t>classe</w:t>
      </w:r>
      <w:r>
        <w:rPr>
          <w:spacing w:val="-32"/>
        </w:rPr>
        <w:t> </w:t>
      </w:r>
      <w:r>
        <w:rPr/>
        <w:t>residencial</w:t>
      </w:r>
      <w:r>
        <w:rPr>
          <w:spacing w:val="-34"/>
        </w:rPr>
        <w:t> </w:t>
      </w:r>
      <w:r>
        <w:rPr/>
        <w:t>vencidos</w:t>
      </w:r>
      <w:r>
        <w:rPr>
          <w:spacing w:val="-33"/>
        </w:rPr>
        <w:t> </w:t>
      </w:r>
      <w:r>
        <w:rPr/>
        <w:t>há</w:t>
      </w:r>
      <w:r>
        <w:rPr>
          <w:spacing w:val="-31"/>
        </w:rPr>
        <w:t> </w:t>
      </w:r>
      <w:r>
        <w:rPr/>
        <w:t>mais</w:t>
      </w:r>
      <w:r>
        <w:rPr>
          <w:spacing w:val="-33"/>
        </w:rPr>
        <w:t> </w:t>
      </w:r>
      <w:r>
        <w:rPr/>
        <w:t>de</w:t>
      </w:r>
      <w:r>
        <w:rPr>
          <w:spacing w:val="-31"/>
        </w:rPr>
        <w:t> </w:t>
      </w:r>
      <w:r>
        <w:rPr/>
        <w:t>90</w:t>
      </w:r>
      <w:r>
        <w:rPr>
          <w:spacing w:val="-34"/>
        </w:rPr>
        <w:t> </w:t>
      </w:r>
      <w:r>
        <w:rPr/>
        <w:t>dias;</w:t>
      </w:r>
      <w:r>
        <w:rPr>
          <w:spacing w:val="-32"/>
        </w:rPr>
        <w:t> </w:t>
      </w:r>
      <w:r>
        <w:rPr/>
        <w:t>da</w:t>
      </w:r>
      <w:r>
        <w:rPr>
          <w:spacing w:val="-33"/>
        </w:rPr>
        <w:t> </w:t>
      </w:r>
      <w:r>
        <w:rPr/>
        <w:t>classe</w:t>
      </w:r>
      <w:r>
        <w:rPr>
          <w:spacing w:val="-34"/>
        </w:rPr>
        <w:t> </w:t>
      </w:r>
      <w:r>
        <w:rPr/>
        <w:t>comercial,</w:t>
      </w:r>
      <w:r>
        <w:rPr>
          <w:spacing w:val="-32"/>
        </w:rPr>
        <w:t> </w:t>
      </w:r>
      <w:r>
        <w:rPr/>
        <w:t>vencidos</w:t>
      </w:r>
      <w:r>
        <w:rPr>
          <w:spacing w:val="-33"/>
        </w:rPr>
        <w:t> </w:t>
      </w:r>
      <w:r>
        <w:rPr/>
        <w:t>há</w:t>
      </w:r>
      <w:r>
        <w:rPr>
          <w:spacing w:val="-31"/>
        </w:rPr>
        <w:t> </w:t>
      </w:r>
      <w:r>
        <w:rPr/>
        <w:t>mais</w:t>
      </w:r>
      <w:r>
        <w:rPr>
          <w:spacing w:val="-34"/>
        </w:rPr>
        <w:t> </w:t>
      </w:r>
      <w:r>
        <w:rPr/>
        <w:t>de</w:t>
      </w:r>
      <w:r>
        <w:rPr>
          <w:spacing w:val="-32"/>
        </w:rPr>
        <w:t> </w:t>
      </w:r>
      <w:r>
        <w:rPr/>
        <w:t>180</w:t>
      </w:r>
      <w:r>
        <w:rPr>
          <w:spacing w:val="-32"/>
        </w:rPr>
        <w:t> </w:t>
      </w:r>
      <w:r>
        <w:rPr/>
        <w:t>dias;</w:t>
      </w:r>
      <w:r>
        <w:rPr>
          <w:spacing w:val="-33"/>
        </w:rPr>
        <w:t> </w:t>
      </w:r>
      <w:r>
        <w:rPr/>
        <w:t>e das</w:t>
      </w:r>
      <w:r>
        <w:rPr>
          <w:spacing w:val="-34"/>
        </w:rPr>
        <w:t> </w:t>
      </w:r>
      <w:r>
        <w:rPr/>
        <w:t>classes</w:t>
      </w:r>
      <w:r>
        <w:rPr>
          <w:spacing w:val="-33"/>
        </w:rPr>
        <w:t> </w:t>
      </w:r>
      <w:r>
        <w:rPr/>
        <w:t>industrial,</w:t>
      </w:r>
      <w:r>
        <w:rPr>
          <w:spacing w:val="-33"/>
        </w:rPr>
        <w:t> </w:t>
      </w:r>
      <w:r>
        <w:rPr/>
        <w:t>rural,</w:t>
      </w:r>
      <w:r>
        <w:rPr>
          <w:spacing w:val="-32"/>
        </w:rPr>
        <w:t> </w:t>
      </w:r>
      <w:r>
        <w:rPr/>
        <w:t>poderes</w:t>
      </w:r>
      <w:r>
        <w:rPr>
          <w:spacing w:val="-33"/>
        </w:rPr>
        <w:t> </w:t>
      </w:r>
      <w:r>
        <w:rPr/>
        <w:t>públicos,</w:t>
      </w:r>
      <w:r>
        <w:rPr>
          <w:spacing w:val="-34"/>
        </w:rPr>
        <w:t> </w:t>
      </w:r>
      <w:r>
        <w:rPr/>
        <w:t>iluminação</w:t>
      </w:r>
      <w:r>
        <w:rPr>
          <w:spacing w:val="-33"/>
        </w:rPr>
        <w:t> </w:t>
      </w:r>
      <w:r>
        <w:rPr/>
        <w:t>pública</w:t>
      </w:r>
      <w:r>
        <w:rPr>
          <w:spacing w:val="-33"/>
        </w:rPr>
        <w:t> </w:t>
      </w:r>
      <w:r>
        <w:rPr/>
        <w:t>e</w:t>
      </w:r>
      <w:r>
        <w:rPr>
          <w:spacing w:val="-35"/>
        </w:rPr>
        <w:t> </w:t>
      </w:r>
      <w:r>
        <w:rPr/>
        <w:t>serviços</w:t>
      </w:r>
      <w:r>
        <w:rPr>
          <w:spacing w:val="-33"/>
        </w:rPr>
        <w:t> </w:t>
      </w:r>
      <w:r>
        <w:rPr/>
        <w:t>públicos,</w:t>
      </w:r>
      <w:r>
        <w:rPr>
          <w:spacing w:val="-33"/>
        </w:rPr>
        <w:t> </w:t>
      </w:r>
      <w:r>
        <w:rPr/>
        <w:t>vencidos</w:t>
      </w:r>
      <w:r>
        <w:rPr>
          <w:spacing w:val="-33"/>
        </w:rPr>
        <w:t> </w:t>
      </w:r>
      <w:r>
        <w:rPr/>
        <w:t>há</w:t>
      </w:r>
      <w:r>
        <w:rPr>
          <w:spacing w:val="-33"/>
        </w:rPr>
        <w:t> </w:t>
      </w:r>
      <w:r>
        <w:rPr/>
        <w:t>mais</w:t>
      </w:r>
      <w:r>
        <w:rPr>
          <w:spacing w:val="-33"/>
        </w:rPr>
        <w:t> </w:t>
      </w:r>
      <w:r>
        <w:rPr/>
        <w:t>de</w:t>
      </w:r>
      <w:r>
        <w:rPr>
          <w:spacing w:val="-34"/>
        </w:rPr>
        <w:t> </w:t>
      </w:r>
      <w:r>
        <w:rPr/>
        <w:t>360</w:t>
      </w:r>
      <w:r>
        <w:rPr>
          <w:spacing w:val="-33"/>
        </w:rPr>
        <w:t> </w:t>
      </w:r>
      <w:r>
        <w:rPr/>
        <w:t>dias, incluindo</w:t>
      </w:r>
      <w:r>
        <w:rPr>
          <w:spacing w:val="-17"/>
        </w:rPr>
        <w:t> </w:t>
      </w:r>
      <w:r>
        <w:rPr/>
        <w:t>parcelamento</w:t>
      </w:r>
      <w:r>
        <w:rPr>
          <w:spacing w:val="-19"/>
        </w:rPr>
        <w:t> </w:t>
      </w:r>
      <w:r>
        <w:rPr/>
        <w:t>de</w:t>
      </w:r>
      <w:r>
        <w:rPr>
          <w:spacing w:val="-17"/>
        </w:rPr>
        <w:t> </w:t>
      </w:r>
      <w:r>
        <w:rPr/>
        <w:t>débitos.</w:t>
      </w:r>
    </w:p>
    <w:p>
      <w:pPr>
        <w:pStyle w:val="BodyText"/>
        <w:spacing w:line="242" w:lineRule="auto" w:before="122"/>
        <w:ind w:left="172" w:right="410"/>
        <w:jc w:val="both"/>
      </w:pPr>
      <w:r>
        <w:rPr/>
        <w:t>Com</w:t>
      </w:r>
      <w:r>
        <w:rPr>
          <w:spacing w:val="-41"/>
        </w:rPr>
        <w:t> </w:t>
      </w:r>
      <w:r>
        <w:rPr/>
        <w:t>a</w:t>
      </w:r>
      <w:r>
        <w:rPr>
          <w:spacing w:val="-39"/>
        </w:rPr>
        <w:t> </w:t>
      </w:r>
      <w:r>
        <w:rPr/>
        <w:t>adoção</w:t>
      </w:r>
      <w:r>
        <w:rPr>
          <w:spacing w:val="-41"/>
        </w:rPr>
        <w:t> </w:t>
      </w:r>
      <w:r>
        <w:rPr/>
        <w:t>do</w:t>
      </w:r>
      <w:r>
        <w:rPr>
          <w:spacing w:val="-39"/>
        </w:rPr>
        <w:t> </w:t>
      </w:r>
      <w:r>
        <w:rPr/>
        <w:t>Pronunciamento</w:t>
      </w:r>
      <w:r>
        <w:rPr>
          <w:spacing w:val="-39"/>
        </w:rPr>
        <w:t> </w:t>
      </w:r>
      <w:r>
        <w:rPr/>
        <w:t>Técnico</w:t>
      </w:r>
      <w:r>
        <w:rPr>
          <w:spacing w:val="-39"/>
        </w:rPr>
        <w:t> </w:t>
      </w:r>
      <w:r>
        <w:rPr/>
        <w:t>CPC</w:t>
      </w:r>
      <w:r>
        <w:rPr>
          <w:spacing w:val="-39"/>
        </w:rPr>
        <w:t> </w:t>
      </w:r>
      <w:r>
        <w:rPr/>
        <w:t>48,</w:t>
      </w:r>
      <w:r>
        <w:rPr>
          <w:spacing w:val="-39"/>
        </w:rPr>
        <w:t> </w:t>
      </w:r>
      <w:r>
        <w:rPr/>
        <w:t>foram</w:t>
      </w:r>
      <w:r>
        <w:rPr>
          <w:spacing w:val="-40"/>
        </w:rPr>
        <w:t> </w:t>
      </w:r>
      <w:r>
        <w:rPr/>
        <w:t>considerados</w:t>
      </w:r>
      <w:r>
        <w:rPr>
          <w:spacing w:val="-40"/>
        </w:rPr>
        <w:t> </w:t>
      </w:r>
      <w:r>
        <w:rPr/>
        <w:t>ainda,</w:t>
      </w:r>
      <w:r>
        <w:rPr>
          <w:spacing w:val="-38"/>
        </w:rPr>
        <w:t> </w:t>
      </w:r>
      <w:r>
        <w:rPr/>
        <w:t>para</w:t>
      </w:r>
      <w:r>
        <w:rPr>
          <w:spacing w:val="-39"/>
        </w:rPr>
        <w:t> </w:t>
      </w:r>
      <w:r>
        <w:rPr/>
        <w:t>efeitos</w:t>
      </w:r>
      <w:r>
        <w:rPr>
          <w:spacing w:val="-38"/>
        </w:rPr>
        <w:t> </w:t>
      </w:r>
      <w:r>
        <w:rPr/>
        <w:t>de</w:t>
      </w:r>
      <w:r>
        <w:rPr>
          <w:spacing w:val="-40"/>
        </w:rPr>
        <w:t> </w:t>
      </w:r>
      <w:r>
        <w:rPr/>
        <w:t>constituição</w:t>
      </w:r>
      <w:r>
        <w:rPr>
          <w:spacing w:val="-39"/>
        </w:rPr>
        <w:t> </w:t>
      </w:r>
      <w:r>
        <w:rPr/>
        <w:t>da</w:t>
      </w:r>
      <w:r>
        <w:rPr>
          <w:spacing w:val="-40"/>
        </w:rPr>
        <w:t> </w:t>
      </w:r>
      <w:r>
        <w:rPr/>
        <w:t>EPCLD, </w:t>
      </w:r>
      <w:r>
        <w:rPr>
          <w:w w:val="95"/>
        </w:rPr>
        <w:t>o</w:t>
      </w:r>
      <w:r>
        <w:rPr>
          <w:spacing w:val="-21"/>
          <w:w w:val="95"/>
        </w:rPr>
        <w:t> </w:t>
      </w:r>
      <w:r>
        <w:rPr>
          <w:w w:val="95"/>
        </w:rPr>
        <w:t>incremento</w:t>
      </w:r>
      <w:r>
        <w:rPr>
          <w:spacing w:val="-18"/>
          <w:w w:val="95"/>
        </w:rPr>
        <w:t> </w:t>
      </w:r>
      <w:r>
        <w:rPr>
          <w:w w:val="95"/>
        </w:rPr>
        <w:t>das</w:t>
      </w:r>
      <w:r>
        <w:rPr>
          <w:spacing w:val="-16"/>
          <w:w w:val="95"/>
        </w:rPr>
        <w:t> </w:t>
      </w:r>
      <w:r>
        <w:rPr>
          <w:w w:val="95"/>
        </w:rPr>
        <w:t>faturas</w:t>
      </w:r>
      <w:r>
        <w:rPr>
          <w:spacing w:val="-19"/>
          <w:w w:val="95"/>
        </w:rPr>
        <w:t> </w:t>
      </w:r>
      <w:r>
        <w:rPr>
          <w:w w:val="95"/>
        </w:rPr>
        <w:t>de</w:t>
      </w:r>
      <w:r>
        <w:rPr>
          <w:spacing w:val="-16"/>
          <w:w w:val="95"/>
        </w:rPr>
        <w:t> </w:t>
      </w:r>
      <w:r>
        <w:rPr>
          <w:w w:val="95"/>
        </w:rPr>
        <w:t>clientes</w:t>
      </w:r>
      <w:r>
        <w:rPr>
          <w:spacing w:val="-20"/>
          <w:w w:val="95"/>
        </w:rPr>
        <w:t> </w:t>
      </w:r>
      <w:r>
        <w:rPr>
          <w:w w:val="95"/>
        </w:rPr>
        <w:t>com</w:t>
      </w:r>
      <w:r>
        <w:rPr>
          <w:spacing w:val="-18"/>
          <w:w w:val="95"/>
        </w:rPr>
        <w:t> </w:t>
      </w:r>
      <w:r>
        <w:rPr>
          <w:w w:val="95"/>
        </w:rPr>
        <w:t>histórico</w:t>
      </w:r>
      <w:r>
        <w:rPr>
          <w:spacing w:val="-19"/>
          <w:w w:val="95"/>
        </w:rPr>
        <w:t> </w:t>
      </w:r>
      <w:r>
        <w:rPr>
          <w:w w:val="95"/>
        </w:rPr>
        <w:t>de</w:t>
      </w:r>
      <w:r>
        <w:rPr>
          <w:spacing w:val="-21"/>
          <w:w w:val="95"/>
        </w:rPr>
        <w:t> </w:t>
      </w:r>
      <w:r>
        <w:rPr>
          <w:w w:val="95"/>
        </w:rPr>
        <w:t>inadimplemento,</w:t>
      </w:r>
      <w:r>
        <w:rPr>
          <w:spacing w:val="-17"/>
          <w:w w:val="95"/>
        </w:rPr>
        <w:t> </w:t>
      </w:r>
      <w:r>
        <w:rPr>
          <w:w w:val="95"/>
        </w:rPr>
        <w:t>excetuando-se</w:t>
      </w:r>
      <w:r>
        <w:rPr>
          <w:spacing w:val="-21"/>
          <w:w w:val="95"/>
        </w:rPr>
        <w:t> </w:t>
      </w:r>
      <w:r>
        <w:rPr>
          <w:w w:val="95"/>
        </w:rPr>
        <w:t>as</w:t>
      </w:r>
      <w:r>
        <w:rPr>
          <w:spacing w:val="-18"/>
          <w:w w:val="95"/>
        </w:rPr>
        <w:t> </w:t>
      </w:r>
      <w:r>
        <w:rPr>
          <w:w w:val="95"/>
        </w:rPr>
        <w:t>faturas</w:t>
      </w:r>
      <w:r>
        <w:rPr>
          <w:spacing w:val="-19"/>
          <w:w w:val="95"/>
        </w:rPr>
        <w:t> </w:t>
      </w:r>
      <w:r>
        <w:rPr>
          <w:w w:val="95"/>
        </w:rPr>
        <w:t>vencidas</w:t>
      </w:r>
      <w:r>
        <w:rPr>
          <w:spacing w:val="-19"/>
          <w:w w:val="95"/>
        </w:rPr>
        <w:t> </w:t>
      </w:r>
      <w:r>
        <w:rPr>
          <w:w w:val="95"/>
        </w:rPr>
        <w:t>até</w:t>
      </w:r>
      <w:r>
        <w:rPr>
          <w:spacing w:val="-20"/>
          <w:w w:val="95"/>
        </w:rPr>
        <w:t> </w:t>
      </w:r>
      <w:r>
        <w:rPr>
          <w:w w:val="95"/>
        </w:rPr>
        <w:t>noventa </w:t>
      </w:r>
      <w:r>
        <w:rPr/>
        <w:t>dias,</w:t>
      </w:r>
      <w:r>
        <w:rPr>
          <w:spacing w:val="-11"/>
        </w:rPr>
        <w:t> </w:t>
      </w:r>
      <w:r>
        <w:rPr/>
        <w:t>haja</w:t>
      </w:r>
      <w:r>
        <w:rPr>
          <w:spacing w:val="-10"/>
        </w:rPr>
        <w:t> </w:t>
      </w:r>
      <w:r>
        <w:rPr/>
        <w:t>vista</w:t>
      </w:r>
      <w:r>
        <w:rPr>
          <w:spacing w:val="-10"/>
        </w:rPr>
        <w:t> </w:t>
      </w:r>
      <w:r>
        <w:rPr/>
        <w:t>seu</w:t>
      </w:r>
      <w:r>
        <w:rPr>
          <w:spacing w:val="-10"/>
        </w:rPr>
        <w:t> </w:t>
      </w:r>
      <w:r>
        <w:rPr/>
        <w:t>potencial</w:t>
      </w:r>
      <w:r>
        <w:rPr>
          <w:spacing w:val="-10"/>
        </w:rPr>
        <w:t> </w:t>
      </w:r>
      <w:r>
        <w:rPr/>
        <w:t>de</w:t>
      </w:r>
      <w:r>
        <w:rPr>
          <w:spacing w:val="-11"/>
        </w:rPr>
        <w:t> </w:t>
      </w:r>
      <w:r>
        <w:rPr/>
        <w:t>recebimento</w:t>
      </w:r>
      <w:r>
        <w:rPr>
          <w:spacing w:val="-10"/>
        </w:rPr>
        <w:t> </w:t>
      </w:r>
      <w:r>
        <w:rPr/>
        <w:t>através</w:t>
      </w:r>
      <w:r>
        <w:rPr>
          <w:spacing w:val="-9"/>
        </w:rPr>
        <w:t> </w:t>
      </w:r>
      <w:r>
        <w:rPr/>
        <w:t>da</w:t>
      </w:r>
      <w:r>
        <w:rPr>
          <w:spacing w:val="-10"/>
        </w:rPr>
        <w:t> </w:t>
      </w:r>
      <w:r>
        <w:rPr/>
        <w:t>cobrança</w:t>
      </w:r>
      <w:r>
        <w:rPr>
          <w:spacing w:val="-10"/>
        </w:rPr>
        <w:t> </w:t>
      </w:r>
      <w:r>
        <w:rPr/>
        <w:t>administrativa</w:t>
      </w:r>
      <w:r>
        <w:rPr>
          <w:spacing w:val="-9"/>
        </w:rPr>
        <w:t> </w:t>
      </w:r>
      <w:r>
        <w:rPr/>
        <w:t>vinculada</w:t>
      </w:r>
      <w:r>
        <w:rPr>
          <w:spacing w:val="-10"/>
        </w:rPr>
        <w:t> </w:t>
      </w:r>
      <w:r>
        <w:rPr/>
        <w:t>ao</w:t>
      </w:r>
      <w:r>
        <w:rPr>
          <w:spacing w:val="-11"/>
        </w:rPr>
        <w:t> </w:t>
      </w:r>
      <w:r>
        <w:rPr/>
        <w:t>corte</w:t>
      </w:r>
      <w:r>
        <w:rPr>
          <w:spacing w:val="-11"/>
        </w:rPr>
        <w:t> </w:t>
      </w:r>
      <w:r>
        <w:rPr/>
        <w:t>de</w:t>
      </w:r>
      <w:r>
        <w:rPr>
          <w:spacing w:val="-9"/>
        </w:rPr>
        <w:t> </w:t>
      </w:r>
      <w:r>
        <w:rPr/>
        <w:t>energia elétrica.</w:t>
      </w:r>
    </w:p>
    <w:p>
      <w:pPr>
        <w:pStyle w:val="BodyText"/>
        <w:spacing w:line="242" w:lineRule="auto" w:before="120"/>
        <w:ind w:left="172" w:right="409"/>
        <w:jc w:val="both"/>
      </w:pPr>
      <w:r>
        <w:rPr/>
        <w:t>A</w:t>
      </w:r>
      <w:r>
        <w:rPr>
          <w:spacing w:val="-39"/>
        </w:rPr>
        <w:t> </w:t>
      </w:r>
      <w:r>
        <w:rPr/>
        <w:t>CEB</w:t>
      </w:r>
      <w:r>
        <w:rPr>
          <w:spacing w:val="-39"/>
        </w:rPr>
        <w:t> </w:t>
      </w:r>
      <w:r>
        <w:rPr/>
        <w:t>Distribuição</w:t>
      </w:r>
      <w:r>
        <w:rPr>
          <w:spacing w:val="-39"/>
        </w:rPr>
        <w:t> </w:t>
      </w:r>
      <w:r>
        <w:rPr/>
        <w:t>S.A.</w:t>
      </w:r>
      <w:r>
        <w:rPr>
          <w:spacing w:val="-39"/>
        </w:rPr>
        <w:t> </w:t>
      </w:r>
      <w:r>
        <w:rPr/>
        <w:t>vem</w:t>
      </w:r>
      <w:r>
        <w:rPr>
          <w:spacing w:val="-37"/>
        </w:rPr>
        <w:t> </w:t>
      </w:r>
      <w:r>
        <w:rPr/>
        <w:t>adotando</w:t>
      </w:r>
      <w:r>
        <w:rPr>
          <w:spacing w:val="-37"/>
        </w:rPr>
        <w:t> </w:t>
      </w:r>
      <w:r>
        <w:rPr/>
        <w:t>ações</w:t>
      </w:r>
      <w:r>
        <w:rPr>
          <w:spacing w:val="-39"/>
        </w:rPr>
        <w:t> </w:t>
      </w:r>
      <w:r>
        <w:rPr/>
        <w:t>de</w:t>
      </w:r>
      <w:r>
        <w:rPr>
          <w:spacing w:val="-38"/>
        </w:rPr>
        <w:t> </w:t>
      </w:r>
      <w:r>
        <w:rPr/>
        <w:t>cobrança</w:t>
      </w:r>
      <w:r>
        <w:rPr>
          <w:spacing w:val="-38"/>
        </w:rPr>
        <w:t> </w:t>
      </w:r>
      <w:r>
        <w:rPr/>
        <w:t>na</w:t>
      </w:r>
      <w:r>
        <w:rPr>
          <w:spacing w:val="-38"/>
        </w:rPr>
        <w:t> </w:t>
      </w:r>
      <w:r>
        <w:rPr/>
        <w:t>busca</w:t>
      </w:r>
      <w:r>
        <w:rPr>
          <w:spacing w:val="-39"/>
        </w:rPr>
        <w:t> </w:t>
      </w:r>
      <w:r>
        <w:rPr/>
        <w:t>de</w:t>
      </w:r>
      <w:r>
        <w:rPr>
          <w:spacing w:val="-38"/>
        </w:rPr>
        <w:t> </w:t>
      </w:r>
      <w:r>
        <w:rPr/>
        <w:t>redução</w:t>
      </w:r>
      <w:r>
        <w:rPr>
          <w:spacing w:val="-39"/>
        </w:rPr>
        <w:t> </w:t>
      </w:r>
      <w:r>
        <w:rPr/>
        <w:t>da</w:t>
      </w:r>
      <w:r>
        <w:rPr>
          <w:spacing w:val="-39"/>
        </w:rPr>
        <w:t> </w:t>
      </w:r>
      <w:r>
        <w:rPr/>
        <w:t>inadimplência</w:t>
      </w:r>
      <w:r>
        <w:rPr>
          <w:spacing w:val="-37"/>
        </w:rPr>
        <w:t> </w:t>
      </w:r>
      <w:r>
        <w:rPr/>
        <w:t>por</w:t>
      </w:r>
      <w:r>
        <w:rPr>
          <w:spacing w:val="-39"/>
        </w:rPr>
        <w:t> </w:t>
      </w:r>
      <w:r>
        <w:rPr/>
        <w:t>meio</w:t>
      </w:r>
      <w:r>
        <w:rPr>
          <w:spacing w:val="-39"/>
        </w:rPr>
        <w:t> </w:t>
      </w:r>
      <w:r>
        <w:rPr/>
        <w:t>de</w:t>
      </w:r>
      <w:r>
        <w:rPr>
          <w:spacing w:val="-38"/>
        </w:rPr>
        <w:t> </w:t>
      </w:r>
      <w:r>
        <w:rPr/>
        <w:t>reavisos, telemarketing ativo, negativação SERASA, protesto, parceria CEB DIS/ TJDFT-CEJUSC através do Acordo de Cooperação</w:t>
      </w:r>
      <w:r>
        <w:rPr>
          <w:spacing w:val="-22"/>
        </w:rPr>
        <w:t> </w:t>
      </w:r>
      <w:r>
        <w:rPr/>
        <w:t>Técnica</w:t>
      </w:r>
      <w:r>
        <w:rPr>
          <w:spacing w:val="-20"/>
        </w:rPr>
        <w:t> </w:t>
      </w:r>
      <w:r>
        <w:rPr/>
        <w:t>nº</w:t>
      </w:r>
      <w:r>
        <w:rPr>
          <w:spacing w:val="-20"/>
        </w:rPr>
        <w:t> </w:t>
      </w:r>
      <w:r>
        <w:rPr/>
        <w:t>014/2017</w:t>
      </w:r>
      <w:r>
        <w:rPr>
          <w:spacing w:val="-19"/>
        </w:rPr>
        <w:t> </w:t>
      </w:r>
      <w:r>
        <w:rPr/>
        <w:t>e</w:t>
      </w:r>
      <w:r>
        <w:rPr>
          <w:spacing w:val="-22"/>
        </w:rPr>
        <w:t> </w:t>
      </w:r>
      <w:r>
        <w:rPr/>
        <w:t>suspensões</w:t>
      </w:r>
      <w:r>
        <w:rPr>
          <w:spacing w:val="-20"/>
        </w:rPr>
        <w:t> </w:t>
      </w:r>
      <w:r>
        <w:rPr/>
        <w:t>de</w:t>
      </w:r>
      <w:r>
        <w:rPr>
          <w:spacing w:val="-23"/>
        </w:rPr>
        <w:t> </w:t>
      </w:r>
      <w:r>
        <w:rPr/>
        <w:t>fornecimentos</w:t>
      </w:r>
      <w:r>
        <w:rPr>
          <w:spacing w:val="-20"/>
        </w:rPr>
        <w:t> </w:t>
      </w:r>
      <w:r>
        <w:rPr/>
        <w:t>de</w:t>
      </w:r>
      <w:r>
        <w:rPr>
          <w:spacing w:val="-20"/>
        </w:rPr>
        <w:t> </w:t>
      </w:r>
      <w:r>
        <w:rPr/>
        <w:t>energia</w:t>
      </w:r>
      <w:r>
        <w:rPr>
          <w:spacing w:val="-18"/>
        </w:rPr>
        <w:t> </w:t>
      </w:r>
      <w:r>
        <w:rPr/>
        <w:t>elétrica.</w:t>
      </w:r>
    </w:p>
    <w:p>
      <w:pPr>
        <w:pStyle w:val="BodyText"/>
        <w:spacing w:line="242" w:lineRule="auto" w:before="119"/>
        <w:ind w:left="172" w:right="414"/>
        <w:jc w:val="both"/>
      </w:pPr>
      <w:r>
        <w:rPr/>
        <w:t>No</w:t>
      </w:r>
      <w:r>
        <w:rPr>
          <w:spacing w:val="-28"/>
        </w:rPr>
        <w:t> </w:t>
      </w:r>
      <w:r>
        <w:rPr/>
        <w:t>quarto</w:t>
      </w:r>
      <w:r>
        <w:rPr>
          <w:spacing w:val="-29"/>
        </w:rPr>
        <w:t> </w:t>
      </w:r>
      <w:r>
        <w:rPr/>
        <w:t>trimestre</w:t>
      </w:r>
      <w:r>
        <w:rPr>
          <w:spacing w:val="-28"/>
        </w:rPr>
        <w:t> </w:t>
      </w:r>
      <w:r>
        <w:rPr/>
        <w:t>de</w:t>
      </w:r>
      <w:r>
        <w:rPr>
          <w:spacing w:val="-28"/>
        </w:rPr>
        <w:t> </w:t>
      </w:r>
      <w:r>
        <w:rPr/>
        <w:t>2019,</w:t>
      </w:r>
      <w:r>
        <w:rPr>
          <w:spacing w:val="-29"/>
        </w:rPr>
        <w:t> </w:t>
      </w:r>
      <w:r>
        <w:rPr/>
        <w:t>a</w:t>
      </w:r>
      <w:r>
        <w:rPr>
          <w:spacing w:val="-28"/>
        </w:rPr>
        <w:t> </w:t>
      </w:r>
      <w:r>
        <w:rPr/>
        <w:t>CEB</w:t>
      </w:r>
      <w:r>
        <w:rPr>
          <w:spacing w:val="-29"/>
        </w:rPr>
        <w:t> </w:t>
      </w:r>
      <w:r>
        <w:rPr/>
        <w:t>DIS</w:t>
      </w:r>
      <w:r>
        <w:rPr>
          <w:spacing w:val="-28"/>
        </w:rPr>
        <w:t> </w:t>
      </w:r>
      <w:r>
        <w:rPr/>
        <w:t>intensificou</w:t>
      </w:r>
      <w:r>
        <w:rPr>
          <w:spacing w:val="-26"/>
        </w:rPr>
        <w:t> </w:t>
      </w:r>
      <w:r>
        <w:rPr/>
        <w:t>seu</w:t>
      </w:r>
      <w:r>
        <w:rPr>
          <w:spacing w:val="-27"/>
        </w:rPr>
        <w:t> </w:t>
      </w:r>
      <w:r>
        <w:rPr/>
        <w:t>processo</w:t>
      </w:r>
      <w:r>
        <w:rPr>
          <w:spacing w:val="-29"/>
        </w:rPr>
        <w:t> </w:t>
      </w:r>
      <w:r>
        <w:rPr/>
        <w:t>de</w:t>
      </w:r>
      <w:r>
        <w:rPr>
          <w:spacing w:val="-28"/>
        </w:rPr>
        <w:t> </w:t>
      </w:r>
      <w:r>
        <w:rPr/>
        <w:t>recuperação</w:t>
      </w:r>
      <w:r>
        <w:rPr>
          <w:spacing w:val="-28"/>
        </w:rPr>
        <w:t> </w:t>
      </w:r>
      <w:r>
        <w:rPr/>
        <w:t>de</w:t>
      </w:r>
      <w:r>
        <w:rPr>
          <w:spacing w:val="-28"/>
        </w:rPr>
        <w:t> </w:t>
      </w:r>
      <w:r>
        <w:rPr/>
        <w:t>créditos</w:t>
      </w:r>
      <w:r>
        <w:rPr>
          <w:spacing w:val="-27"/>
        </w:rPr>
        <w:t> </w:t>
      </w:r>
      <w:r>
        <w:rPr/>
        <w:t>inadimplentes</w:t>
      </w:r>
      <w:r>
        <w:rPr>
          <w:spacing w:val="-27"/>
        </w:rPr>
        <w:t> </w:t>
      </w:r>
      <w:r>
        <w:rPr/>
        <w:t>como</w:t>
      </w:r>
      <w:r>
        <w:rPr>
          <w:spacing w:val="-28"/>
        </w:rPr>
        <w:t> </w:t>
      </w:r>
      <w:r>
        <w:rPr/>
        <w:t>o programa</w:t>
      </w:r>
      <w:r>
        <w:rPr>
          <w:spacing w:val="-19"/>
        </w:rPr>
        <w:t> </w:t>
      </w:r>
      <w:r>
        <w:rPr/>
        <w:t>“Recupera”</w:t>
      </w:r>
      <w:r>
        <w:rPr>
          <w:spacing w:val="-20"/>
        </w:rPr>
        <w:t> </w:t>
      </w:r>
      <w:r>
        <w:rPr/>
        <w:t>(negociação</w:t>
      </w:r>
      <w:r>
        <w:rPr>
          <w:spacing w:val="-20"/>
        </w:rPr>
        <w:t> </w:t>
      </w:r>
      <w:r>
        <w:rPr/>
        <w:t>de</w:t>
      </w:r>
      <w:r>
        <w:rPr>
          <w:spacing w:val="-21"/>
        </w:rPr>
        <w:t> </w:t>
      </w:r>
      <w:r>
        <w:rPr/>
        <w:t>dívidas</w:t>
      </w:r>
      <w:r>
        <w:rPr>
          <w:spacing w:val="-19"/>
        </w:rPr>
        <w:t> </w:t>
      </w:r>
      <w:r>
        <w:rPr/>
        <w:t>vencidas).</w:t>
      </w:r>
    </w:p>
    <w:p>
      <w:pPr>
        <w:pStyle w:val="BodyText"/>
        <w:spacing w:before="7"/>
      </w:pPr>
    </w:p>
    <w:p>
      <w:pPr>
        <w:pStyle w:val="BodyText"/>
        <w:spacing w:before="1"/>
        <w:ind w:left="172"/>
        <w:jc w:val="both"/>
      </w:pPr>
      <w:r>
        <w:rPr/>
        <w:t>Segue um resumo das faixas de atrasos sujeitas às provisões:</w:t>
      </w:r>
    </w:p>
    <w:p>
      <w:pPr>
        <w:pStyle w:val="BodyText"/>
        <w:spacing w:before="11"/>
      </w:pPr>
    </w:p>
    <w:tbl>
      <w:tblPr>
        <w:tblW w:w="0" w:type="auto"/>
        <w:jc w:val="left"/>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07"/>
        <w:gridCol w:w="1248"/>
        <w:gridCol w:w="1178"/>
        <w:gridCol w:w="1181"/>
        <w:gridCol w:w="1300"/>
      </w:tblGrid>
      <w:tr>
        <w:trPr>
          <w:trHeight w:val="232" w:hRule="atLeast"/>
        </w:trPr>
        <w:tc>
          <w:tcPr>
            <w:tcW w:w="5007" w:type="dxa"/>
            <w:vMerge w:val="restart"/>
            <w:shd w:val="clear" w:color="auto" w:fill="D9D9D9"/>
          </w:tcPr>
          <w:p>
            <w:pPr>
              <w:pStyle w:val="TableParagraph"/>
              <w:rPr>
                <w:rFonts w:ascii="Times New Roman"/>
                <w:sz w:val="16"/>
              </w:rPr>
            </w:pPr>
          </w:p>
        </w:tc>
        <w:tc>
          <w:tcPr>
            <w:tcW w:w="2426" w:type="dxa"/>
            <w:gridSpan w:val="2"/>
          </w:tcPr>
          <w:p>
            <w:pPr>
              <w:pStyle w:val="TableParagraph"/>
              <w:spacing w:before="35"/>
              <w:ind w:left="782"/>
              <w:rPr>
                <w:rFonts w:ascii="Caladea"/>
                <w:b/>
                <w:sz w:val="14"/>
              </w:rPr>
            </w:pPr>
            <w:r>
              <w:rPr>
                <w:rFonts w:ascii="Caladea"/>
                <w:b/>
                <w:sz w:val="14"/>
              </w:rPr>
              <w:t>Controladora</w:t>
            </w:r>
          </w:p>
        </w:tc>
        <w:tc>
          <w:tcPr>
            <w:tcW w:w="2481" w:type="dxa"/>
            <w:gridSpan w:val="2"/>
          </w:tcPr>
          <w:p>
            <w:pPr>
              <w:pStyle w:val="TableParagraph"/>
              <w:spacing w:before="35"/>
              <w:ind w:left="822" w:right="811"/>
              <w:jc w:val="center"/>
              <w:rPr>
                <w:rFonts w:ascii="Caladea"/>
                <w:b/>
                <w:sz w:val="14"/>
              </w:rPr>
            </w:pPr>
            <w:r>
              <w:rPr>
                <w:rFonts w:ascii="Caladea"/>
                <w:b/>
                <w:sz w:val="14"/>
              </w:rPr>
              <w:t>Consolidado</w:t>
            </w:r>
          </w:p>
        </w:tc>
      </w:tr>
      <w:tr>
        <w:trPr>
          <w:trHeight w:val="402" w:hRule="atLeast"/>
        </w:trPr>
        <w:tc>
          <w:tcPr>
            <w:tcW w:w="5007" w:type="dxa"/>
            <w:vMerge/>
            <w:tcBorders>
              <w:top w:val="nil"/>
            </w:tcBorders>
            <w:shd w:val="clear" w:color="auto" w:fill="D9D9D9"/>
          </w:tcPr>
          <w:p>
            <w:pPr>
              <w:rPr>
                <w:sz w:val="2"/>
                <w:szCs w:val="2"/>
              </w:rPr>
            </w:pPr>
          </w:p>
        </w:tc>
        <w:tc>
          <w:tcPr>
            <w:tcW w:w="1248" w:type="dxa"/>
          </w:tcPr>
          <w:p>
            <w:pPr>
              <w:pStyle w:val="TableParagraph"/>
              <w:spacing w:before="119"/>
              <w:ind w:left="221"/>
              <w:rPr>
                <w:rFonts w:ascii="Caladea"/>
                <w:b/>
                <w:sz w:val="14"/>
              </w:rPr>
            </w:pPr>
            <w:r>
              <w:rPr>
                <w:rFonts w:ascii="Caladea"/>
                <w:b/>
                <w:sz w:val="14"/>
              </w:rPr>
              <w:t>31/12/2019</w:t>
            </w:r>
          </w:p>
        </w:tc>
        <w:tc>
          <w:tcPr>
            <w:tcW w:w="1178" w:type="dxa"/>
          </w:tcPr>
          <w:p>
            <w:pPr>
              <w:pStyle w:val="TableParagraph"/>
              <w:spacing w:before="119"/>
              <w:ind w:left="187"/>
              <w:rPr>
                <w:rFonts w:ascii="Caladea"/>
                <w:b/>
                <w:sz w:val="14"/>
              </w:rPr>
            </w:pPr>
            <w:r>
              <w:rPr>
                <w:rFonts w:ascii="Caladea"/>
                <w:b/>
                <w:sz w:val="14"/>
              </w:rPr>
              <w:t>31/12/2018</w:t>
            </w:r>
          </w:p>
        </w:tc>
        <w:tc>
          <w:tcPr>
            <w:tcW w:w="1181" w:type="dxa"/>
          </w:tcPr>
          <w:p>
            <w:pPr>
              <w:pStyle w:val="TableParagraph"/>
              <w:spacing w:before="119"/>
              <w:ind w:left="190"/>
              <w:rPr>
                <w:rFonts w:ascii="Caladea"/>
                <w:b/>
                <w:sz w:val="14"/>
              </w:rPr>
            </w:pPr>
            <w:r>
              <w:rPr>
                <w:rFonts w:ascii="Caladea"/>
                <w:b/>
                <w:sz w:val="14"/>
              </w:rPr>
              <w:t>31/12/2019</w:t>
            </w:r>
          </w:p>
        </w:tc>
        <w:tc>
          <w:tcPr>
            <w:tcW w:w="1300" w:type="dxa"/>
          </w:tcPr>
          <w:p>
            <w:pPr>
              <w:pStyle w:val="TableParagraph"/>
              <w:spacing w:before="119"/>
              <w:ind w:left="248"/>
              <w:rPr>
                <w:rFonts w:ascii="Caladea"/>
                <w:b/>
                <w:sz w:val="14"/>
              </w:rPr>
            </w:pPr>
            <w:r>
              <w:rPr>
                <w:rFonts w:ascii="Caladea"/>
                <w:b/>
                <w:sz w:val="14"/>
              </w:rPr>
              <w:t>31/12/2018</w:t>
            </w:r>
          </w:p>
        </w:tc>
      </w:tr>
      <w:tr>
        <w:trPr>
          <w:trHeight w:val="232" w:hRule="atLeast"/>
        </w:trPr>
        <w:tc>
          <w:tcPr>
            <w:tcW w:w="5007" w:type="dxa"/>
          </w:tcPr>
          <w:p>
            <w:pPr>
              <w:pStyle w:val="TableParagraph"/>
              <w:spacing w:before="32"/>
              <w:ind w:left="72"/>
              <w:rPr>
                <w:rFonts w:ascii="Caladea" w:hAnsi="Caladea"/>
                <w:b/>
                <w:sz w:val="14"/>
              </w:rPr>
            </w:pPr>
            <w:r>
              <w:rPr>
                <w:rFonts w:ascii="Caladea" w:hAnsi="Caladea"/>
                <w:b/>
                <w:sz w:val="14"/>
              </w:rPr>
              <w:t>Poder Público</w:t>
            </w:r>
          </w:p>
        </w:tc>
        <w:tc>
          <w:tcPr>
            <w:tcW w:w="1248" w:type="dxa"/>
          </w:tcPr>
          <w:p>
            <w:pPr>
              <w:pStyle w:val="TableParagraph"/>
              <w:spacing w:before="34"/>
              <w:ind w:right="58"/>
              <w:jc w:val="right"/>
              <w:rPr>
                <w:sz w:val="14"/>
              </w:rPr>
            </w:pPr>
            <w:r>
              <w:rPr>
                <w:sz w:val="14"/>
              </w:rPr>
              <w:t>(12.311)</w:t>
            </w:r>
          </w:p>
        </w:tc>
        <w:tc>
          <w:tcPr>
            <w:tcW w:w="1178" w:type="dxa"/>
          </w:tcPr>
          <w:p>
            <w:pPr>
              <w:pStyle w:val="TableParagraph"/>
              <w:spacing w:before="34"/>
              <w:ind w:right="59"/>
              <w:jc w:val="right"/>
              <w:rPr>
                <w:sz w:val="14"/>
              </w:rPr>
            </w:pPr>
            <w:r>
              <w:rPr>
                <w:w w:val="95"/>
                <w:sz w:val="14"/>
              </w:rPr>
              <w:t>(9.612)</w:t>
            </w:r>
          </w:p>
        </w:tc>
        <w:tc>
          <w:tcPr>
            <w:tcW w:w="1181" w:type="dxa"/>
          </w:tcPr>
          <w:p>
            <w:pPr>
              <w:pStyle w:val="TableParagraph"/>
              <w:spacing w:before="34"/>
              <w:ind w:right="58"/>
              <w:jc w:val="right"/>
              <w:rPr>
                <w:sz w:val="14"/>
              </w:rPr>
            </w:pPr>
            <w:r>
              <w:rPr>
                <w:sz w:val="14"/>
              </w:rPr>
              <w:t>(30.935)</w:t>
            </w:r>
          </w:p>
        </w:tc>
        <w:tc>
          <w:tcPr>
            <w:tcW w:w="1300" w:type="dxa"/>
          </w:tcPr>
          <w:p>
            <w:pPr>
              <w:pStyle w:val="TableParagraph"/>
              <w:spacing w:before="34"/>
              <w:ind w:right="57"/>
              <w:jc w:val="right"/>
              <w:rPr>
                <w:sz w:val="14"/>
              </w:rPr>
            </w:pPr>
            <w:r>
              <w:rPr>
                <w:sz w:val="14"/>
              </w:rPr>
              <w:t>(37.192)</w:t>
            </w:r>
          </w:p>
        </w:tc>
      </w:tr>
      <w:tr>
        <w:trPr>
          <w:trHeight w:val="232" w:hRule="atLeast"/>
        </w:trPr>
        <w:tc>
          <w:tcPr>
            <w:tcW w:w="5007" w:type="dxa"/>
          </w:tcPr>
          <w:p>
            <w:pPr>
              <w:pStyle w:val="TableParagraph"/>
              <w:spacing w:before="32"/>
              <w:ind w:left="72"/>
              <w:rPr>
                <w:rFonts w:ascii="Caladea" w:hAnsi="Caladea"/>
                <w:b/>
                <w:sz w:val="14"/>
              </w:rPr>
            </w:pPr>
            <w:r>
              <w:rPr>
                <w:rFonts w:ascii="Caladea" w:hAnsi="Caladea"/>
                <w:b/>
                <w:sz w:val="14"/>
              </w:rPr>
              <w:t>Iluminação Pública</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4"/>
              <w:ind w:right="58"/>
              <w:jc w:val="right"/>
              <w:rPr>
                <w:sz w:val="14"/>
              </w:rPr>
            </w:pPr>
            <w:r>
              <w:rPr>
                <w:sz w:val="14"/>
              </w:rPr>
              <w:t>(24.640)</w:t>
            </w:r>
          </w:p>
        </w:tc>
        <w:tc>
          <w:tcPr>
            <w:tcW w:w="1300" w:type="dxa"/>
          </w:tcPr>
          <w:p>
            <w:pPr>
              <w:pStyle w:val="TableParagraph"/>
              <w:spacing w:before="34"/>
              <w:ind w:right="57"/>
              <w:jc w:val="right"/>
              <w:rPr>
                <w:sz w:val="14"/>
              </w:rPr>
            </w:pPr>
            <w:r>
              <w:rPr>
                <w:sz w:val="14"/>
              </w:rPr>
              <w:t>(24.640)</w:t>
            </w:r>
          </w:p>
        </w:tc>
      </w:tr>
      <w:tr>
        <w:trPr>
          <w:trHeight w:val="232" w:hRule="atLeast"/>
        </w:trPr>
        <w:tc>
          <w:tcPr>
            <w:tcW w:w="5007" w:type="dxa"/>
          </w:tcPr>
          <w:p>
            <w:pPr>
              <w:pStyle w:val="TableParagraph"/>
              <w:spacing w:before="35"/>
              <w:ind w:left="72"/>
              <w:rPr>
                <w:rFonts w:ascii="Caladea"/>
                <w:b/>
                <w:sz w:val="14"/>
              </w:rPr>
            </w:pPr>
            <w:r>
              <w:rPr>
                <w:rFonts w:ascii="Caladea"/>
                <w:b/>
                <w:sz w:val="14"/>
              </w:rPr>
              <w:t>Residencial</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6"/>
              <w:ind w:right="58"/>
              <w:jc w:val="right"/>
              <w:rPr>
                <w:sz w:val="14"/>
              </w:rPr>
            </w:pPr>
            <w:r>
              <w:rPr>
                <w:sz w:val="14"/>
              </w:rPr>
              <w:t>(46.635)</w:t>
            </w:r>
          </w:p>
        </w:tc>
        <w:tc>
          <w:tcPr>
            <w:tcW w:w="1300" w:type="dxa"/>
          </w:tcPr>
          <w:p>
            <w:pPr>
              <w:pStyle w:val="TableParagraph"/>
              <w:spacing w:before="36"/>
              <w:ind w:right="57"/>
              <w:jc w:val="right"/>
              <w:rPr>
                <w:sz w:val="14"/>
              </w:rPr>
            </w:pPr>
            <w:r>
              <w:rPr>
                <w:sz w:val="14"/>
              </w:rPr>
              <w:t>(51.987)</w:t>
            </w:r>
          </w:p>
        </w:tc>
      </w:tr>
      <w:tr>
        <w:trPr>
          <w:trHeight w:val="234" w:hRule="atLeast"/>
        </w:trPr>
        <w:tc>
          <w:tcPr>
            <w:tcW w:w="5007" w:type="dxa"/>
          </w:tcPr>
          <w:p>
            <w:pPr>
              <w:pStyle w:val="TableParagraph"/>
              <w:spacing w:before="35"/>
              <w:ind w:left="72"/>
              <w:rPr>
                <w:rFonts w:ascii="Caladea"/>
                <w:b/>
                <w:sz w:val="14"/>
              </w:rPr>
            </w:pPr>
            <w:r>
              <w:rPr>
                <w:rFonts w:ascii="Caladea"/>
                <w:b/>
                <w:sz w:val="14"/>
              </w:rPr>
              <w:t>Comercial</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6"/>
              <w:ind w:right="58"/>
              <w:jc w:val="right"/>
              <w:rPr>
                <w:sz w:val="14"/>
              </w:rPr>
            </w:pPr>
            <w:r>
              <w:rPr>
                <w:sz w:val="14"/>
              </w:rPr>
              <w:t>(46.401)</w:t>
            </w:r>
          </w:p>
        </w:tc>
        <w:tc>
          <w:tcPr>
            <w:tcW w:w="1300" w:type="dxa"/>
          </w:tcPr>
          <w:p>
            <w:pPr>
              <w:pStyle w:val="TableParagraph"/>
              <w:spacing w:before="36"/>
              <w:ind w:right="57"/>
              <w:jc w:val="right"/>
              <w:rPr>
                <w:sz w:val="14"/>
              </w:rPr>
            </w:pPr>
            <w:r>
              <w:rPr>
                <w:sz w:val="14"/>
              </w:rPr>
              <w:t>(41.429)</w:t>
            </w:r>
          </w:p>
        </w:tc>
      </w:tr>
      <w:tr>
        <w:trPr>
          <w:trHeight w:val="232" w:hRule="atLeast"/>
        </w:trPr>
        <w:tc>
          <w:tcPr>
            <w:tcW w:w="5007" w:type="dxa"/>
          </w:tcPr>
          <w:p>
            <w:pPr>
              <w:pStyle w:val="TableParagraph"/>
              <w:spacing w:before="32"/>
              <w:ind w:left="72"/>
              <w:rPr>
                <w:rFonts w:ascii="Caladea" w:hAnsi="Caladea"/>
                <w:b/>
                <w:sz w:val="14"/>
              </w:rPr>
            </w:pPr>
            <w:r>
              <w:rPr>
                <w:rFonts w:ascii="Caladea" w:hAnsi="Caladea"/>
                <w:b/>
                <w:sz w:val="14"/>
              </w:rPr>
              <w:t>Serviço Público</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4"/>
              <w:ind w:right="58"/>
              <w:jc w:val="right"/>
              <w:rPr>
                <w:sz w:val="14"/>
              </w:rPr>
            </w:pPr>
            <w:r>
              <w:rPr>
                <w:w w:val="105"/>
                <w:sz w:val="14"/>
              </w:rPr>
              <w:t>(728)</w:t>
            </w:r>
          </w:p>
        </w:tc>
        <w:tc>
          <w:tcPr>
            <w:tcW w:w="1300" w:type="dxa"/>
          </w:tcPr>
          <w:p>
            <w:pPr>
              <w:pStyle w:val="TableParagraph"/>
              <w:spacing w:before="34"/>
              <w:ind w:right="58"/>
              <w:jc w:val="right"/>
              <w:rPr>
                <w:sz w:val="14"/>
              </w:rPr>
            </w:pPr>
            <w:r>
              <w:rPr>
                <w:w w:val="105"/>
                <w:sz w:val="14"/>
              </w:rPr>
              <w:t>(728)</w:t>
            </w:r>
          </w:p>
        </w:tc>
      </w:tr>
      <w:tr>
        <w:trPr>
          <w:trHeight w:val="232" w:hRule="atLeast"/>
        </w:trPr>
        <w:tc>
          <w:tcPr>
            <w:tcW w:w="5007" w:type="dxa"/>
          </w:tcPr>
          <w:p>
            <w:pPr>
              <w:pStyle w:val="TableParagraph"/>
              <w:spacing w:before="32"/>
              <w:ind w:left="72"/>
              <w:rPr>
                <w:rFonts w:ascii="Caladea"/>
                <w:b/>
                <w:sz w:val="14"/>
              </w:rPr>
            </w:pPr>
            <w:r>
              <w:rPr>
                <w:rFonts w:ascii="Caladea"/>
                <w:b/>
                <w:sz w:val="14"/>
              </w:rPr>
              <w:t>Industrial</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4"/>
              <w:ind w:right="56"/>
              <w:jc w:val="right"/>
              <w:rPr>
                <w:sz w:val="14"/>
              </w:rPr>
            </w:pPr>
            <w:r>
              <w:rPr>
                <w:sz w:val="14"/>
              </w:rPr>
              <w:t>(1.240)</w:t>
            </w:r>
          </w:p>
        </w:tc>
        <w:tc>
          <w:tcPr>
            <w:tcW w:w="1300" w:type="dxa"/>
          </w:tcPr>
          <w:p>
            <w:pPr>
              <w:pStyle w:val="TableParagraph"/>
              <w:spacing w:before="34"/>
              <w:ind w:right="57"/>
              <w:jc w:val="right"/>
              <w:rPr>
                <w:sz w:val="14"/>
              </w:rPr>
            </w:pPr>
            <w:r>
              <w:rPr>
                <w:w w:val="95"/>
                <w:sz w:val="14"/>
              </w:rPr>
              <w:t>(1.010)</w:t>
            </w:r>
          </w:p>
        </w:tc>
      </w:tr>
      <w:tr>
        <w:trPr>
          <w:trHeight w:val="232" w:hRule="atLeast"/>
        </w:trPr>
        <w:tc>
          <w:tcPr>
            <w:tcW w:w="5007" w:type="dxa"/>
          </w:tcPr>
          <w:p>
            <w:pPr>
              <w:pStyle w:val="TableParagraph"/>
              <w:spacing w:before="34"/>
              <w:ind w:left="72"/>
              <w:rPr>
                <w:rFonts w:ascii="Caladea"/>
                <w:b/>
                <w:sz w:val="14"/>
              </w:rPr>
            </w:pPr>
            <w:r>
              <w:rPr>
                <w:rFonts w:ascii="Caladea"/>
                <w:b/>
                <w:sz w:val="14"/>
              </w:rPr>
              <w:t>Rural</w:t>
            </w:r>
          </w:p>
        </w:tc>
        <w:tc>
          <w:tcPr>
            <w:tcW w:w="1248" w:type="dxa"/>
          </w:tcPr>
          <w:p>
            <w:pPr>
              <w:pStyle w:val="TableParagraph"/>
              <w:rPr>
                <w:rFonts w:ascii="Times New Roman"/>
                <w:sz w:val="16"/>
              </w:rPr>
            </w:pPr>
          </w:p>
        </w:tc>
        <w:tc>
          <w:tcPr>
            <w:tcW w:w="1178" w:type="dxa"/>
          </w:tcPr>
          <w:p>
            <w:pPr>
              <w:pStyle w:val="TableParagraph"/>
              <w:rPr>
                <w:rFonts w:ascii="Times New Roman"/>
                <w:sz w:val="16"/>
              </w:rPr>
            </w:pPr>
          </w:p>
        </w:tc>
        <w:tc>
          <w:tcPr>
            <w:tcW w:w="1181" w:type="dxa"/>
          </w:tcPr>
          <w:p>
            <w:pPr>
              <w:pStyle w:val="TableParagraph"/>
              <w:spacing w:before="36"/>
              <w:ind w:right="58"/>
              <w:jc w:val="right"/>
              <w:rPr>
                <w:sz w:val="14"/>
              </w:rPr>
            </w:pPr>
            <w:r>
              <w:rPr>
                <w:w w:val="95"/>
                <w:sz w:val="14"/>
              </w:rPr>
              <w:t>(1.289)</w:t>
            </w:r>
          </w:p>
        </w:tc>
        <w:tc>
          <w:tcPr>
            <w:tcW w:w="1300" w:type="dxa"/>
          </w:tcPr>
          <w:p>
            <w:pPr>
              <w:pStyle w:val="TableParagraph"/>
              <w:spacing w:before="36"/>
              <w:ind w:right="58"/>
              <w:jc w:val="right"/>
              <w:rPr>
                <w:sz w:val="14"/>
              </w:rPr>
            </w:pPr>
            <w:r>
              <w:rPr>
                <w:w w:val="105"/>
                <w:sz w:val="14"/>
              </w:rPr>
              <w:t>(775)</w:t>
            </w:r>
          </w:p>
        </w:tc>
      </w:tr>
      <w:tr>
        <w:trPr>
          <w:trHeight w:val="234" w:hRule="atLeast"/>
        </w:trPr>
        <w:tc>
          <w:tcPr>
            <w:tcW w:w="5007" w:type="dxa"/>
          </w:tcPr>
          <w:p>
            <w:pPr>
              <w:pStyle w:val="TableParagraph"/>
              <w:spacing w:before="34"/>
              <w:ind w:left="72"/>
              <w:rPr>
                <w:rFonts w:ascii="Caladea"/>
                <w:b/>
                <w:sz w:val="14"/>
              </w:rPr>
            </w:pPr>
            <w:r>
              <w:rPr>
                <w:rFonts w:ascii="Caladea"/>
                <w:b/>
                <w:sz w:val="14"/>
              </w:rPr>
              <w:t>Total</w:t>
            </w:r>
          </w:p>
        </w:tc>
        <w:tc>
          <w:tcPr>
            <w:tcW w:w="1248" w:type="dxa"/>
          </w:tcPr>
          <w:p>
            <w:pPr>
              <w:pStyle w:val="TableParagraph"/>
              <w:spacing w:before="34"/>
              <w:ind w:right="60"/>
              <w:jc w:val="right"/>
              <w:rPr>
                <w:rFonts w:ascii="Caladea"/>
                <w:b/>
                <w:sz w:val="14"/>
              </w:rPr>
            </w:pPr>
            <w:r>
              <w:rPr>
                <w:rFonts w:ascii="Caladea"/>
                <w:b/>
                <w:sz w:val="14"/>
              </w:rPr>
              <w:t>(12.311)</w:t>
            </w:r>
          </w:p>
        </w:tc>
        <w:tc>
          <w:tcPr>
            <w:tcW w:w="1178" w:type="dxa"/>
          </w:tcPr>
          <w:p>
            <w:pPr>
              <w:pStyle w:val="TableParagraph"/>
              <w:spacing w:before="34"/>
              <w:ind w:right="57"/>
              <w:jc w:val="right"/>
              <w:rPr>
                <w:rFonts w:ascii="Caladea"/>
                <w:b/>
                <w:sz w:val="14"/>
              </w:rPr>
            </w:pPr>
            <w:r>
              <w:rPr>
                <w:rFonts w:ascii="Caladea"/>
                <w:b/>
                <w:sz w:val="14"/>
              </w:rPr>
              <w:t>(9.612)</w:t>
            </w:r>
          </w:p>
        </w:tc>
        <w:tc>
          <w:tcPr>
            <w:tcW w:w="1181" w:type="dxa"/>
          </w:tcPr>
          <w:p>
            <w:pPr>
              <w:pStyle w:val="TableParagraph"/>
              <w:spacing w:before="34"/>
              <w:ind w:right="57"/>
              <w:jc w:val="right"/>
              <w:rPr>
                <w:rFonts w:ascii="Caladea"/>
                <w:b/>
                <w:sz w:val="14"/>
              </w:rPr>
            </w:pPr>
            <w:r>
              <w:rPr>
                <w:rFonts w:ascii="Caladea"/>
                <w:b/>
                <w:sz w:val="14"/>
              </w:rPr>
              <w:t>(151.868)</w:t>
            </w:r>
          </w:p>
        </w:tc>
        <w:tc>
          <w:tcPr>
            <w:tcW w:w="1300" w:type="dxa"/>
          </w:tcPr>
          <w:p>
            <w:pPr>
              <w:pStyle w:val="TableParagraph"/>
              <w:spacing w:before="34"/>
              <w:ind w:right="58"/>
              <w:jc w:val="right"/>
              <w:rPr>
                <w:rFonts w:ascii="Caladea"/>
                <w:b/>
                <w:sz w:val="14"/>
              </w:rPr>
            </w:pPr>
            <w:r>
              <w:rPr>
                <w:rFonts w:ascii="Caladea"/>
                <w:b/>
                <w:sz w:val="14"/>
              </w:rPr>
              <w:t>(157.761)</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before="16"/>
        <w:ind w:left="172"/>
        <w:jc w:val="both"/>
      </w:pPr>
      <w:r>
        <w:rPr/>
        <w:t>A movimentação da estimativa de perdas com créditos de liquidação duvidosa está assim apresentada:</w:t>
      </w:r>
    </w:p>
    <w:p>
      <w:pPr>
        <w:pStyle w:val="BodyText"/>
        <w:spacing w:before="7"/>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70"/>
        <w:gridCol w:w="1738"/>
        <w:gridCol w:w="1608"/>
      </w:tblGrid>
      <w:tr>
        <w:trPr>
          <w:trHeight w:val="645" w:hRule="atLeast"/>
        </w:trPr>
        <w:tc>
          <w:tcPr>
            <w:tcW w:w="6570" w:type="dxa"/>
            <w:shd w:val="clear" w:color="auto" w:fill="D9D9D9"/>
          </w:tcPr>
          <w:p>
            <w:pPr>
              <w:pStyle w:val="TableParagraph"/>
              <w:rPr>
                <w:rFonts w:ascii="Times New Roman"/>
                <w:sz w:val="16"/>
              </w:rPr>
            </w:pPr>
          </w:p>
        </w:tc>
        <w:tc>
          <w:tcPr>
            <w:tcW w:w="1738" w:type="dxa"/>
          </w:tcPr>
          <w:p>
            <w:pPr>
              <w:pStyle w:val="TableParagraph"/>
              <w:spacing w:before="6"/>
              <w:rPr>
                <w:sz w:val="20"/>
              </w:rPr>
            </w:pPr>
          </w:p>
          <w:p>
            <w:pPr>
              <w:pStyle w:val="TableParagraph"/>
              <w:ind w:left="436"/>
              <w:rPr>
                <w:rFonts w:ascii="Caladea"/>
                <w:b/>
                <w:sz w:val="14"/>
              </w:rPr>
            </w:pPr>
            <w:r>
              <w:rPr>
                <w:rFonts w:ascii="Caladea"/>
                <w:b/>
                <w:sz w:val="14"/>
              </w:rPr>
              <w:t>Controladora</w:t>
            </w:r>
          </w:p>
        </w:tc>
        <w:tc>
          <w:tcPr>
            <w:tcW w:w="1608" w:type="dxa"/>
          </w:tcPr>
          <w:p>
            <w:pPr>
              <w:pStyle w:val="TableParagraph"/>
              <w:spacing w:before="6"/>
              <w:rPr>
                <w:sz w:val="20"/>
              </w:rPr>
            </w:pPr>
          </w:p>
          <w:p>
            <w:pPr>
              <w:pStyle w:val="TableParagraph"/>
              <w:ind w:left="405"/>
              <w:rPr>
                <w:rFonts w:ascii="Caladea"/>
                <w:b/>
                <w:sz w:val="14"/>
              </w:rPr>
            </w:pPr>
            <w:r>
              <w:rPr>
                <w:rFonts w:ascii="Caladea"/>
                <w:b/>
                <w:sz w:val="14"/>
              </w:rPr>
              <w:t>Consolidado</w:t>
            </w:r>
          </w:p>
        </w:tc>
      </w:tr>
      <w:tr>
        <w:trPr>
          <w:trHeight w:val="237" w:hRule="atLeast"/>
        </w:trPr>
        <w:tc>
          <w:tcPr>
            <w:tcW w:w="6570" w:type="dxa"/>
          </w:tcPr>
          <w:p>
            <w:pPr>
              <w:pStyle w:val="TableParagraph"/>
              <w:spacing w:before="34"/>
              <w:ind w:left="72"/>
              <w:rPr>
                <w:rFonts w:ascii="Caladea"/>
                <w:b/>
                <w:sz w:val="14"/>
              </w:rPr>
            </w:pPr>
            <w:r>
              <w:rPr>
                <w:rFonts w:ascii="Caladea"/>
                <w:b/>
                <w:sz w:val="14"/>
              </w:rPr>
              <w:t>Saldo em 31 de dezembro de 2017 - Reapresentado</w:t>
            </w:r>
          </w:p>
        </w:tc>
        <w:tc>
          <w:tcPr>
            <w:tcW w:w="1738" w:type="dxa"/>
          </w:tcPr>
          <w:p>
            <w:pPr>
              <w:pStyle w:val="TableParagraph"/>
              <w:spacing w:before="34"/>
              <w:ind w:right="61"/>
              <w:jc w:val="right"/>
              <w:rPr>
                <w:rFonts w:ascii="Caladea"/>
                <w:b/>
                <w:sz w:val="14"/>
              </w:rPr>
            </w:pPr>
            <w:r>
              <w:rPr>
                <w:rFonts w:ascii="Caladea"/>
                <w:b/>
                <w:w w:val="95"/>
                <w:sz w:val="14"/>
              </w:rPr>
              <w:t>9.906</w:t>
            </w:r>
          </w:p>
        </w:tc>
        <w:tc>
          <w:tcPr>
            <w:tcW w:w="1608" w:type="dxa"/>
          </w:tcPr>
          <w:p>
            <w:pPr>
              <w:pStyle w:val="TableParagraph"/>
              <w:spacing w:before="34"/>
              <w:ind w:right="59"/>
              <w:jc w:val="right"/>
              <w:rPr>
                <w:rFonts w:ascii="Caladea"/>
                <w:b/>
                <w:sz w:val="14"/>
              </w:rPr>
            </w:pPr>
            <w:r>
              <w:rPr>
                <w:rFonts w:ascii="Caladea"/>
                <w:b/>
                <w:w w:val="95"/>
                <w:sz w:val="14"/>
              </w:rPr>
              <w:t>144.102</w:t>
            </w:r>
          </w:p>
        </w:tc>
      </w:tr>
      <w:tr>
        <w:trPr>
          <w:trHeight w:val="237" w:hRule="atLeast"/>
        </w:trPr>
        <w:tc>
          <w:tcPr>
            <w:tcW w:w="6570" w:type="dxa"/>
          </w:tcPr>
          <w:p>
            <w:pPr>
              <w:pStyle w:val="TableParagraph"/>
              <w:spacing w:before="38"/>
              <w:ind w:left="72"/>
              <w:rPr>
                <w:sz w:val="14"/>
              </w:rPr>
            </w:pPr>
            <w:r>
              <w:rPr>
                <w:sz w:val="14"/>
              </w:rPr>
              <w:t>Adições</w:t>
            </w:r>
          </w:p>
        </w:tc>
        <w:tc>
          <w:tcPr>
            <w:tcW w:w="1738" w:type="dxa"/>
          </w:tcPr>
          <w:p>
            <w:pPr>
              <w:pStyle w:val="TableParagraph"/>
              <w:spacing w:before="38"/>
              <w:ind w:right="61"/>
              <w:jc w:val="right"/>
              <w:rPr>
                <w:sz w:val="14"/>
              </w:rPr>
            </w:pPr>
            <w:r>
              <w:rPr>
                <w:w w:val="95"/>
                <w:sz w:val="14"/>
              </w:rPr>
              <w:t>5.846</w:t>
            </w:r>
          </w:p>
        </w:tc>
        <w:tc>
          <w:tcPr>
            <w:tcW w:w="1608" w:type="dxa"/>
          </w:tcPr>
          <w:p>
            <w:pPr>
              <w:pStyle w:val="TableParagraph"/>
              <w:spacing w:before="38"/>
              <w:ind w:right="59"/>
              <w:jc w:val="right"/>
              <w:rPr>
                <w:sz w:val="14"/>
              </w:rPr>
            </w:pPr>
            <w:r>
              <w:rPr>
                <w:w w:val="95"/>
                <w:sz w:val="14"/>
              </w:rPr>
              <w:t>162.358</w:t>
            </w:r>
          </w:p>
        </w:tc>
      </w:tr>
      <w:tr>
        <w:trPr>
          <w:trHeight w:val="239" w:hRule="atLeast"/>
        </w:trPr>
        <w:tc>
          <w:tcPr>
            <w:tcW w:w="6570" w:type="dxa"/>
          </w:tcPr>
          <w:p>
            <w:pPr>
              <w:pStyle w:val="TableParagraph"/>
              <w:spacing w:before="38"/>
              <w:ind w:left="72"/>
              <w:rPr>
                <w:sz w:val="14"/>
              </w:rPr>
            </w:pPr>
            <w:r>
              <w:rPr>
                <w:w w:val="105"/>
                <w:sz w:val="14"/>
              </w:rPr>
              <w:t>Baixa Para Perda – Lei 9.430/96</w:t>
            </w:r>
          </w:p>
        </w:tc>
        <w:tc>
          <w:tcPr>
            <w:tcW w:w="1738" w:type="dxa"/>
          </w:tcPr>
          <w:p>
            <w:pPr>
              <w:pStyle w:val="TableParagraph"/>
              <w:rPr>
                <w:rFonts w:ascii="Times New Roman"/>
                <w:sz w:val="16"/>
              </w:rPr>
            </w:pPr>
          </w:p>
        </w:tc>
        <w:tc>
          <w:tcPr>
            <w:tcW w:w="1608" w:type="dxa"/>
          </w:tcPr>
          <w:p>
            <w:pPr>
              <w:pStyle w:val="TableParagraph"/>
              <w:spacing w:before="38"/>
              <w:ind w:right="59"/>
              <w:jc w:val="right"/>
              <w:rPr>
                <w:sz w:val="14"/>
              </w:rPr>
            </w:pPr>
            <w:r>
              <w:rPr>
                <w:sz w:val="14"/>
              </w:rPr>
              <w:t>(106.427)</w:t>
            </w:r>
          </w:p>
        </w:tc>
      </w:tr>
      <w:tr>
        <w:trPr>
          <w:trHeight w:val="237" w:hRule="atLeast"/>
        </w:trPr>
        <w:tc>
          <w:tcPr>
            <w:tcW w:w="6570" w:type="dxa"/>
          </w:tcPr>
          <w:p>
            <w:pPr>
              <w:pStyle w:val="TableParagraph"/>
              <w:spacing w:before="36"/>
              <w:ind w:left="72"/>
              <w:rPr>
                <w:sz w:val="14"/>
              </w:rPr>
            </w:pPr>
            <w:r>
              <w:rPr>
                <w:sz w:val="14"/>
              </w:rPr>
              <w:t>Reversões</w:t>
            </w:r>
          </w:p>
        </w:tc>
        <w:tc>
          <w:tcPr>
            <w:tcW w:w="1738" w:type="dxa"/>
          </w:tcPr>
          <w:p>
            <w:pPr>
              <w:pStyle w:val="TableParagraph"/>
              <w:spacing w:before="36"/>
              <w:ind w:right="62"/>
              <w:jc w:val="right"/>
              <w:rPr>
                <w:sz w:val="14"/>
              </w:rPr>
            </w:pPr>
            <w:r>
              <w:rPr>
                <w:w w:val="95"/>
                <w:sz w:val="14"/>
              </w:rPr>
              <w:t>(6.140)</w:t>
            </w:r>
          </w:p>
        </w:tc>
        <w:tc>
          <w:tcPr>
            <w:tcW w:w="1608" w:type="dxa"/>
          </w:tcPr>
          <w:p>
            <w:pPr>
              <w:pStyle w:val="TableParagraph"/>
              <w:spacing w:before="36"/>
              <w:ind w:right="59"/>
              <w:jc w:val="right"/>
              <w:rPr>
                <w:sz w:val="14"/>
              </w:rPr>
            </w:pPr>
            <w:r>
              <w:rPr>
                <w:sz w:val="14"/>
              </w:rPr>
              <w:t>(42.272)</w:t>
            </w:r>
          </w:p>
        </w:tc>
      </w:tr>
      <w:tr>
        <w:trPr>
          <w:trHeight w:val="237" w:hRule="atLeast"/>
        </w:trPr>
        <w:tc>
          <w:tcPr>
            <w:tcW w:w="6570" w:type="dxa"/>
          </w:tcPr>
          <w:p>
            <w:pPr>
              <w:pStyle w:val="TableParagraph"/>
              <w:spacing w:before="37"/>
              <w:ind w:left="72"/>
              <w:rPr>
                <w:rFonts w:ascii="Caladea"/>
                <w:b/>
                <w:sz w:val="14"/>
              </w:rPr>
            </w:pPr>
            <w:r>
              <w:rPr>
                <w:rFonts w:ascii="Caladea"/>
                <w:b/>
                <w:sz w:val="14"/>
              </w:rPr>
              <w:t>Saldo em 31 de dezembro de 2018</w:t>
            </w:r>
          </w:p>
        </w:tc>
        <w:tc>
          <w:tcPr>
            <w:tcW w:w="1738" w:type="dxa"/>
          </w:tcPr>
          <w:p>
            <w:pPr>
              <w:pStyle w:val="TableParagraph"/>
              <w:spacing w:before="37"/>
              <w:ind w:right="61"/>
              <w:jc w:val="right"/>
              <w:rPr>
                <w:rFonts w:ascii="Caladea"/>
                <w:b/>
                <w:sz w:val="14"/>
              </w:rPr>
            </w:pPr>
            <w:r>
              <w:rPr>
                <w:rFonts w:ascii="Caladea"/>
                <w:b/>
                <w:w w:val="95"/>
                <w:sz w:val="14"/>
              </w:rPr>
              <w:t>9.612</w:t>
            </w:r>
          </w:p>
        </w:tc>
        <w:tc>
          <w:tcPr>
            <w:tcW w:w="1608" w:type="dxa"/>
          </w:tcPr>
          <w:p>
            <w:pPr>
              <w:pStyle w:val="TableParagraph"/>
              <w:spacing w:before="37"/>
              <w:ind w:right="59"/>
              <w:jc w:val="right"/>
              <w:rPr>
                <w:rFonts w:ascii="Caladea"/>
                <w:b/>
                <w:sz w:val="14"/>
              </w:rPr>
            </w:pPr>
            <w:r>
              <w:rPr>
                <w:rFonts w:ascii="Caladea"/>
                <w:b/>
                <w:w w:val="95"/>
                <w:sz w:val="14"/>
              </w:rPr>
              <w:t>157.761</w:t>
            </w:r>
          </w:p>
        </w:tc>
      </w:tr>
      <w:tr>
        <w:trPr>
          <w:trHeight w:val="239" w:hRule="atLeast"/>
        </w:trPr>
        <w:tc>
          <w:tcPr>
            <w:tcW w:w="6570" w:type="dxa"/>
          </w:tcPr>
          <w:p>
            <w:pPr>
              <w:pStyle w:val="TableParagraph"/>
              <w:spacing w:before="38"/>
              <w:ind w:left="72"/>
              <w:rPr>
                <w:sz w:val="14"/>
              </w:rPr>
            </w:pPr>
            <w:r>
              <w:rPr>
                <w:sz w:val="14"/>
              </w:rPr>
              <w:t>Adições</w:t>
            </w:r>
          </w:p>
        </w:tc>
        <w:tc>
          <w:tcPr>
            <w:tcW w:w="1738" w:type="dxa"/>
          </w:tcPr>
          <w:p>
            <w:pPr>
              <w:pStyle w:val="TableParagraph"/>
              <w:spacing w:before="38"/>
              <w:ind w:right="61"/>
              <w:jc w:val="right"/>
              <w:rPr>
                <w:sz w:val="14"/>
              </w:rPr>
            </w:pPr>
            <w:r>
              <w:rPr>
                <w:w w:val="95"/>
                <w:sz w:val="14"/>
              </w:rPr>
              <w:t>16.142</w:t>
            </w:r>
          </w:p>
        </w:tc>
        <w:tc>
          <w:tcPr>
            <w:tcW w:w="1608" w:type="dxa"/>
          </w:tcPr>
          <w:p>
            <w:pPr>
              <w:pStyle w:val="TableParagraph"/>
              <w:spacing w:before="38"/>
              <w:ind w:right="59"/>
              <w:jc w:val="right"/>
              <w:rPr>
                <w:sz w:val="14"/>
              </w:rPr>
            </w:pPr>
            <w:r>
              <w:rPr>
                <w:w w:val="95"/>
                <w:sz w:val="14"/>
              </w:rPr>
              <w:t>178.226</w:t>
            </w:r>
          </w:p>
        </w:tc>
      </w:tr>
      <w:tr>
        <w:trPr>
          <w:trHeight w:val="237" w:hRule="atLeast"/>
        </w:trPr>
        <w:tc>
          <w:tcPr>
            <w:tcW w:w="6570" w:type="dxa"/>
          </w:tcPr>
          <w:p>
            <w:pPr>
              <w:pStyle w:val="TableParagraph"/>
              <w:spacing w:before="36"/>
              <w:ind w:left="72"/>
              <w:rPr>
                <w:sz w:val="14"/>
              </w:rPr>
            </w:pPr>
            <w:r>
              <w:rPr>
                <w:w w:val="105"/>
                <w:sz w:val="14"/>
              </w:rPr>
              <w:t>Baixa Para Perda – Lei 9.430/96</w:t>
            </w:r>
          </w:p>
        </w:tc>
        <w:tc>
          <w:tcPr>
            <w:tcW w:w="1738" w:type="dxa"/>
          </w:tcPr>
          <w:p>
            <w:pPr>
              <w:pStyle w:val="TableParagraph"/>
              <w:rPr>
                <w:rFonts w:ascii="Times New Roman"/>
                <w:sz w:val="16"/>
              </w:rPr>
            </w:pPr>
          </w:p>
        </w:tc>
        <w:tc>
          <w:tcPr>
            <w:tcW w:w="1608" w:type="dxa"/>
          </w:tcPr>
          <w:p>
            <w:pPr>
              <w:pStyle w:val="TableParagraph"/>
              <w:spacing w:before="36"/>
              <w:ind w:right="59"/>
              <w:jc w:val="right"/>
              <w:rPr>
                <w:sz w:val="14"/>
              </w:rPr>
            </w:pPr>
            <w:r>
              <w:rPr>
                <w:sz w:val="14"/>
              </w:rPr>
              <w:t>(142.381)</w:t>
            </w:r>
          </w:p>
        </w:tc>
      </w:tr>
      <w:tr>
        <w:trPr>
          <w:trHeight w:val="237" w:hRule="atLeast"/>
        </w:trPr>
        <w:tc>
          <w:tcPr>
            <w:tcW w:w="6570" w:type="dxa"/>
          </w:tcPr>
          <w:p>
            <w:pPr>
              <w:pStyle w:val="TableParagraph"/>
              <w:spacing w:before="38"/>
              <w:ind w:left="72"/>
              <w:rPr>
                <w:sz w:val="14"/>
              </w:rPr>
            </w:pPr>
            <w:r>
              <w:rPr>
                <w:sz w:val="14"/>
              </w:rPr>
              <w:t>Reversões</w:t>
            </w:r>
          </w:p>
        </w:tc>
        <w:tc>
          <w:tcPr>
            <w:tcW w:w="1738" w:type="dxa"/>
          </w:tcPr>
          <w:p>
            <w:pPr>
              <w:pStyle w:val="TableParagraph"/>
              <w:spacing w:before="38"/>
              <w:ind w:right="61"/>
              <w:jc w:val="right"/>
              <w:rPr>
                <w:sz w:val="14"/>
              </w:rPr>
            </w:pPr>
            <w:r>
              <w:rPr>
                <w:sz w:val="14"/>
              </w:rPr>
              <w:t>(13.443)</w:t>
            </w:r>
          </w:p>
        </w:tc>
        <w:tc>
          <w:tcPr>
            <w:tcW w:w="1608" w:type="dxa"/>
          </w:tcPr>
          <w:p>
            <w:pPr>
              <w:pStyle w:val="TableParagraph"/>
              <w:spacing w:before="38"/>
              <w:ind w:right="59"/>
              <w:jc w:val="right"/>
              <w:rPr>
                <w:sz w:val="14"/>
              </w:rPr>
            </w:pPr>
            <w:r>
              <w:rPr>
                <w:sz w:val="14"/>
              </w:rPr>
              <w:t>(41.738)</w:t>
            </w:r>
          </w:p>
        </w:tc>
      </w:tr>
      <w:tr>
        <w:trPr>
          <w:trHeight w:val="239" w:hRule="atLeast"/>
        </w:trPr>
        <w:tc>
          <w:tcPr>
            <w:tcW w:w="6570" w:type="dxa"/>
          </w:tcPr>
          <w:p>
            <w:pPr>
              <w:pStyle w:val="TableParagraph"/>
              <w:spacing w:before="37"/>
              <w:ind w:left="72"/>
              <w:rPr>
                <w:rFonts w:ascii="Caladea"/>
                <w:b/>
                <w:sz w:val="14"/>
              </w:rPr>
            </w:pPr>
            <w:r>
              <w:rPr>
                <w:rFonts w:ascii="Caladea"/>
                <w:b/>
                <w:sz w:val="14"/>
              </w:rPr>
              <w:t>Saldo em 31 de dezembro de 2019</w:t>
            </w:r>
          </w:p>
        </w:tc>
        <w:tc>
          <w:tcPr>
            <w:tcW w:w="1738" w:type="dxa"/>
          </w:tcPr>
          <w:p>
            <w:pPr>
              <w:pStyle w:val="TableParagraph"/>
              <w:spacing w:before="37"/>
              <w:ind w:right="61"/>
              <w:jc w:val="right"/>
              <w:rPr>
                <w:rFonts w:ascii="Caladea"/>
                <w:b/>
                <w:sz w:val="14"/>
              </w:rPr>
            </w:pPr>
            <w:r>
              <w:rPr>
                <w:rFonts w:ascii="Caladea"/>
                <w:b/>
                <w:sz w:val="14"/>
              </w:rPr>
              <w:t>12.311</w:t>
            </w:r>
          </w:p>
        </w:tc>
        <w:tc>
          <w:tcPr>
            <w:tcW w:w="1608" w:type="dxa"/>
          </w:tcPr>
          <w:p>
            <w:pPr>
              <w:pStyle w:val="TableParagraph"/>
              <w:spacing w:before="37"/>
              <w:ind w:right="59"/>
              <w:jc w:val="right"/>
              <w:rPr>
                <w:rFonts w:ascii="Caladea"/>
                <w:b/>
                <w:sz w:val="14"/>
              </w:rPr>
            </w:pPr>
            <w:r>
              <w:rPr>
                <w:rFonts w:ascii="Caladea"/>
                <w:b/>
                <w:w w:val="95"/>
                <w:sz w:val="14"/>
              </w:rPr>
              <w:t>151.868</w:t>
            </w:r>
          </w:p>
        </w:tc>
      </w:tr>
    </w:tbl>
    <w:p>
      <w:pPr>
        <w:pStyle w:val="BodyText"/>
        <w:spacing w:before="9"/>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hAnsi="Caladea"/>
          <w:b/>
          <w:sz w:val="22"/>
        </w:rPr>
      </w:pPr>
      <w:r>
        <w:rPr>
          <w:rFonts w:ascii="Caladea" w:hAnsi="Caladea"/>
          <w:b/>
          <w:sz w:val="22"/>
        </w:rPr>
        <w:t>C</w:t>
      </w:r>
      <w:r>
        <w:rPr>
          <w:rFonts w:ascii="Caladea" w:hAnsi="Caladea"/>
          <w:b/>
          <w:sz w:val="18"/>
        </w:rPr>
        <w:t>RÉDITOS </w:t>
      </w:r>
      <w:r>
        <w:rPr>
          <w:rFonts w:ascii="Caladea" w:hAnsi="Caladea"/>
          <w:b/>
          <w:sz w:val="22"/>
        </w:rPr>
        <w:t>C</w:t>
      </w:r>
      <w:r>
        <w:rPr>
          <w:rFonts w:ascii="Caladea" w:hAnsi="Caladea"/>
          <w:b/>
          <w:sz w:val="18"/>
        </w:rPr>
        <w:t>OM O </w:t>
      </w:r>
      <w:r>
        <w:rPr>
          <w:rFonts w:ascii="Caladea" w:hAnsi="Caladea"/>
          <w:b/>
          <w:sz w:val="22"/>
        </w:rPr>
        <w:t>G</w:t>
      </w:r>
      <w:r>
        <w:rPr>
          <w:rFonts w:ascii="Caladea" w:hAnsi="Caladea"/>
          <w:b/>
          <w:sz w:val="18"/>
        </w:rPr>
        <w:t>OVERNO DO </w:t>
      </w:r>
      <w:r>
        <w:rPr>
          <w:rFonts w:ascii="Caladea" w:hAnsi="Caladea"/>
          <w:b/>
          <w:sz w:val="22"/>
        </w:rPr>
        <w:t>D</w:t>
      </w:r>
      <w:r>
        <w:rPr>
          <w:rFonts w:ascii="Caladea" w:hAnsi="Caladea"/>
          <w:b/>
          <w:sz w:val="18"/>
        </w:rPr>
        <w:t>ISTRITO </w:t>
      </w:r>
      <w:r>
        <w:rPr>
          <w:rFonts w:ascii="Caladea" w:hAnsi="Caladea"/>
          <w:b/>
          <w:sz w:val="22"/>
        </w:rPr>
        <w:t>F</w:t>
      </w:r>
      <w:r>
        <w:rPr>
          <w:rFonts w:ascii="Caladea" w:hAnsi="Caladea"/>
          <w:b/>
          <w:sz w:val="18"/>
        </w:rPr>
        <w:t>EDERAL</w:t>
      </w:r>
      <w:r>
        <w:rPr>
          <w:rFonts w:ascii="Caladea" w:hAnsi="Caladea"/>
          <w:b/>
          <w:spacing w:val="-4"/>
          <w:sz w:val="18"/>
        </w:rPr>
        <w:t> </w:t>
      </w:r>
      <w:r>
        <w:rPr>
          <w:rFonts w:ascii="Caladea" w:hAnsi="Caladea"/>
          <w:b/>
          <w:sz w:val="22"/>
        </w:rPr>
        <w:t>(C</w:t>
      </w:r>
      <w:r>
        <w:rPr>
          <w:rFonts w:ascii="Caladea" w:hAnsi="Caladea"/>
          <w:b/>
          <w:sz w:val="18"/>
        </w:rPr>
        <w:t>ONSOLIDADO</w:t>
      </w:r>
      <w:r>
        <w:rPr>
          <w:rFonts w:ascii="Caladea" w:hAnsi="Caladea"/>
          <w:b/>
          <w:sz w:val="22"/>
        </w:rPr>
        <w:t>)</w:t>
      </w:r>
    </w:p>
    <w:p>
      <w:pPr>
        <w:pStyle w:val="BodyText"/>
        <w:spacing w:before="10"/>
        <w:rPr>
          <w:rFonts w:ascii="Caladea"/>
          <w:b/>
          <w:sz w:val="23"/>
        </w:rPr>
      </w:pPr>
    </w:p>
    <w:p>
      <w:pPr>
        <w:pStyle w:val="BodyText"/>
        <w:spacing w:line="242" w:lineRule="auto"/>
        <w:ind w:left="172" w:right="405"/>
        <w:jc w:val="both"/>
      </w:pPr>
      <w:r>
        <w:rPr/>
        <w:t>Os</w:t>
      </w:r>
      <w:r>
        <w:rPr>
          <w:spacing w:val="-40"/>
        </w:rPr>
        <w:t> </w:t>
      </w:r>
      <w:r>
        <w:rPr/>
        <w:t>créditos</w:t>
      </w:r>
      <w:r>
        <w:rPr>
          <w:spacing w:val="-40"/>
        </w:rPr>
        <w:t> </w:t>
      </w:r>
      <w:r>
        <w:rPr/>
        <w:t>devidos</w:t>
      </w:r>
      <w:r>
        <w:rPr>
          <w:spacing w:val="-39"/>
        </w:rPr>
        <w:t> </w:t>
      </w:r>
      <w:r>
        <w:rPr/>
        <w:t>pelo</w:t>
      </w:r>
      <w:r>
        <w:rPr>
          <w:spacing w:val="-40"/>
        </w:rPr>
        <w:t> </w:t>
      </w:r>
      <w:r>
        <w:rPr/>
        <w:t>Governo</w:t>
      </w:r>
      <w:r>
        <w:rPr>
          <w:spacing w:val="-39"/>
        </w:rPr>
        <w:t> </w:t>
      </w:r>
      <w:r>
        <w:rPr/>
        <w:t>do</w:t>
      </w:r>
      <w:r>
        <w:rPr>
          <w:spacing w:val="-40"/>
        </w:rPr>
        <w:t> </w:t>
      </w:r>
      <w:r>
        <w:rPr/>
        <w:t>Distrito</w:t>
      </w:r>
      <w:r>
        <w:rPr>
          <w:spacing w:val="-40"/>
        </w:rPr>
        <w:t> </w:t>
      </w:r>
      <w:r>
        <w:rPr/>
        <w:t>Federal</w:t>
      </w:r>
      <w:r>
        <w:rPr>
          <w:spacing w:val="-39"/>
        </w:rPr>
        <w:t> </w:t>
      </w:r>
      <w:r>
        <w:rPr/>
        <w:t>são</w:t>
      </w:r>
      <w:r>
        <w:rPr>
          <w:spacing w:val="-39"/>
        </w:rPr>
        <w:t> </w:t>
      </w:r>
      <w:r>
        <w:rPr/>
        <w:t>representados</w:t>
      </w:r>
      <w:r>
        <w:rPr>
          <w:spacing w:val="-40"/>
        </w:rPr>
        <w:t> </w:t>
      </w:r>
      <w:r>
        <w:rPr/>
        <w:t>pelos</w:t>
      </w:r>
      <w:r>
        <w:rPr>
          <w:spacing w:val="-40"/>
        </w:rPr>
        <w:t> </w:t>
      </w:r>
      <w:r>
        <w:rPr/>
        <w:t>valores</w:t>
      </w:r>
      <w:r>
        <w:rPr>
          <w:spacing w:val="-37"/>
        </w:rPr>
        <w:t> </w:t>
      </w:r>
      <w:r>
        <w:rPr/>
        <w:t>a</w:t>
      </w:r>
      <w:r>
        <w:rPr>
          <w:spacing w:val="-39"/>
        </w:rPr>
        <w:t> </w:t>
      </w:r>
      <w:r>
        <w:rPr/>
        <w:t>receber</w:t>
      </w:r>
      <w:r>
        <w:rPr>
          <w:spacing w:val="-41"/>
        </w:rPr>
        <w:t> </w:t>
      </w:r>
      <w:r>
        <w:rPr/>
        <w:t>de</w:t>
      </w:r>
      <w:r>
        <w:rPr>
          <w:spacing w:val="-40"/>
        </w:rPr>
        <w:t> </w:t>
      </w:r>
      <w:r>
        <w:rPr/>
        <w:t>entidades</w:t>
      </w:r>
      <w:r>
        <w:rPr>
          <w:spacing w:val="-39"/>
        </w:rPr>
        <w:t> </w:t>
      </w:r>
      <w:r>
        <w:rPr/>
        <w:t>e</w:t>
      </w:r>
      <w:r>
        <w:rPr>
          <w:spacing w:val="-39"/>
        </w:rPr>
        <w:t> </w:t>
      </w:r>
      <w:r>
        <w:rPr/>
        <w:t>órgãos da</w:t>
      </w:r>
      <w:r>
        <w:rPr>
          <w:spacing w:val="-30"/>
        </w:rPr>
        <w:t> </w:t>
      </w:r>
      <w:r>
        <w:rPr/>
        <w:t>administração</w:t>
      </w:r>
      <w:r>
        <w:rPr>
          <w:spacing w:val="-31"/>
        </w:rPr>
        <w:t> </w:t>
      </w:r>
      <w:r>
        <w:rPr/>
        <w:t>pública</w:t>
      </w:r>
      <w:r>
        <w:rPr>
          <w:spacing w:val="-29"/>
        </w:rPr>
        <w:t> </w:t>
      </w:r>
      <w:r>
        <w:rPr/>
        <w:t>do</w:t>
      </w:r>
      <w:r>
        <w:rPr>
          <w:spacing w:val="-29"/>
        </w:rPr>
        <w:t> </w:t>
      </w:r>
      <w:r>
        <w:rPr/>
        <w:t>Distrito</w:t>
      </w:r>
      <w:r>
        <w:rPr>
          <w:spacing w:val="-29"/>
        </w:rPr>
        <w:t> </w:t>
      </w:r>
      <w:r>
        <w:rPr/>
        <w:t>Federal,</w:t>
      </w:r>
      <w:r>
        <w:rPr>
          <w:spacing w:val="-30"/>
        </w:rPr>
        <w:t> </w:t>
      </w:r>
      <w:r>
        <w:rPr/>
        <w:t>cujo</w:t>
      </w:r>
      <w:r>
        <w:rPr>
          <w:spacing w:val="-31"/>
        </w:rPr>
        <w:t> </w:t>
      </w:r>
      <w:r>
        <w:rPr/>
        <w:t>valor</w:t>
      </w:r>
      <w:r>
        <w:rPr>
          <w:spacing w:val="-31"/>
        </w:rPr>
        <w:t> </w:t>
      </w:r>
      <w:r>
        <w:rPr/>
        <w:t>total</w:t>
      </w:r>
      <w:r>
        <w:rPr>
          <w:spacing w:val="-29"/>
        </w:rPr>
        <w:t> </w:t>
      </w:r>
      <w:r>
        <w:rPr/>
        <w:t>corresponde</w:t>
      </w:r>
      <w:r>
        <w:rPr>
          <w:spacing w:val="-32"/>
        </w:rPr>
        <w:t> </w:t>
      </w:r>
      <w:r>
        <w:rPr/>
        <w:t>a</w:t>
      </w:r>
      <w:r>
        <w:rPr>
          <w:spacing w:val="-29"/>
        </w:rPr>
        <w:t> </w:t>
      </w:r>
      <w:r>
        <w:rPr/>
        <w:t>R$</w:t>
      </w:r>
      <w:r>
        <w:rPr>
          <w:spacing w:val="-27"/>
        </w:rPr>
        <w:t> </w:t>
      </w:r>
      <w:r>
        <w:rPr/>
        <w:t>75.053,</w:t>
      </w:r>
      <w:r>
        <w:rPr>
          <w:spacing w:val="-31"/>
        </w:rPr>
        <w:t> </w:t>
      </w:r>
      <w:r>
        <w:rPr/>
        <w:t>em</w:t>
      </w:r>
      <w:r>
        <w:rPr>
          <w:spacing w:val="-30"/>
        </w:rPr>
        <w:t> </w:t>
      </w:r>
      <w:r>
        <w:rPr/>
        <w:t>31</w:t>
      </w:r>
      <w:r>
        <w:rPr>
          <w:spacing w:val="-31"/>
        </w:rPr>
        <w:t> </w:t>
      </w:r>
      <w:r>
        <w:rPr/>
        <w:t>de</w:t>
      </w:r>
      <w:r>
        <w:rPr>
          <w:spacing w:val="-29"/>
        </w:rPr>
        <w:t> </w:t>
      </w:r>
      <w:r>
        <w:rPr/>
        <w:t>dezembro</w:t>
      </w:r>
      <w:r>
        <w:rPr>
          <w:spacing w:val="-31"/>
        </w:rPr>
        <w:t> </w:t>
      </w:r>
      <w:r>
        <w:rPr/>
        <w:t>de</w:t>
      </w:r>
      <w:r>
        <w:rPr>
          <w:spacing w:val="-29"/>
        </w:rPr>
        <w:t> </w:t>
      </w:r>
      <w:r>
        <w:rPr/>
        <w:t>2019 (R$</w:t>
      </w:r>
      <w:r>
        <w:rPr>
          <w:spacing w:val="-45"/>
        </w:rPr>
        <w:t> </w:t>
      </w:r>
      <w:r>
        <w:rPr/>
        <w:t>95.304</w:t>
      </w:r>
      <w:r>
        <w:rPr>
          <w:spacing w:val="-43"/>
        </w:rPr>
        <w:t> </w:t>
      </w:r>
      <w:r>
        <w:rPr/>
        <w:t>em</w:t>
      </w:r>
      <w:r>
        <w:rPr>
          <w:spacing w:val="-44"/>
        </w:rPr>
        <w:t> </w:t>
      </w:r>
      <w:r>
        <w:rPr/>
        <w:t>2018),</w:t>
      </w:r>
      <w:r>
        <w:rPr>
          <w:spacing w:val="-45"/>
        </w:rPr>
        <w:t> </w:t>
      </w:r>
      <w:r>
        <w:rPr/>
        <w:t>compostos</w:t>
      </w:r>
      <w:r>
        <w:rPr>
          <w:spacing w:val="-44"/>
        </w:rPr>
        <w:t> </w:t>
      </w:r>
      <w:r>
        <w:rPr/>
        <w:t>por</w:t>
      </w:r>
      <w:r>
        <w:rPr>
          <w:spacing w:val="-45"/>
        </w:rPr>
        <w:t> </w:t>
      </w:r>
      <w:r>
        <w:rPr/>
        <w:t>fornecimento</w:t>
      </w:r>
      <w:r>
        <w:rPr>
          <w:spacing w:val="-44"/>
        </w:rPr>
        <w:t> </w:t>
      </w:r>
      <w:r>
        <w:rPr/>
        <w:t>de</w:t>
      </w:r>
      <w:r>
        <w:rPr>
          <w:spacing w:val="-43"/>
        </w:rPr>
        <w:t> </w:t>
      </w:r>
      <w:r>
        <w:rPr/>
        <w:t>energia</w:t>
      </w:r>
      <w:r>
        <w:rPr>
          <w:spacing w:val="-44"/>
        </w:rPr>
        <w:t> </w:t>
      </w:r>
      <w:r>
        <w:rPr/>
        <w:t>elétrica,</w:t>
      </w:r>
      <w:r>
        <w:rPr>
          <w:spacing w:val="-44"/>
        </w:rPr>
        <w:t> </w:t>
      </w:r>
      <w:r>
        <w:rPr/>
        <w:t>serviços</w:t>
      </w:r>
      <w:r>
        <w:rPr>
          <w:spacing w:val="-44"/>
        </w:rPr>
        <w:t> </w:t>
      </w:r>
      <w:r>
        <w:rPr/>
        <w:t>de</w:t>
      </w:r>
      <w:r>
        <w:rPr>
          <w:spacing w:val="-44"/>
        </w:rPr>
        <w:t> </w:t>
      </w:r>
      <w:r>
        <w:rPr/>
        <w:t>manutenção</w:t>
      </w:r>
      <w:r>
        <w:rPr>
          <w:spacing w:val="-43"/>
        </w:rPr>
        <w:t> </w:t>
      </w:r>
      <w:r>
        <w:rPr/>
        <w:t>e</w:t>
      </w:r>
      <w:r>
        <w:rPr>
          <w:spacing w:val="-44"/>
        </w:rPr>
        <w:t> </w:t>
      </w:r>
      <w:r>
        <w:rPr/>
        <w:t>obras</w:t>
      </w:r>
      <w:r>
        <w:rPr>
          <w:spacing w:val="-44"/>
        </w:rPr>
        <w:t> </w:t>
      </w:r>
      <w:r>
        <w:rPr/>
        <w:t>de</w:t>
      </w:r>
      <w:r>
        <w:rPr>
          <w:spacing w:val="-45"/>
        </w:rPr>
        <w:t> </w:t>
      </w:r>
      <w:r>
        <w:rPr/>
        <w:t>iluminação pública.</w:t>
      </w:r>
    </w:p>
    <w:p>
      <w:pPr>
        <w:pStyle w:val="BodyText"/>
        <w:spacing w:before="8"/>
      </w:pPr>
    </w:p>
    <w:p>
      <w:pPr>
        <w:pStyle w:val="BodyText"/>
        <w:spacing w:line="249" w:lineRule="auto"/>
        <w:ind w:left="172" w:right="409"/>
        <w:jc w:val="both"/>
      </w:pPr>
      <w:r>
        <w:rPr/>
        <w:t>Em</w:t>
      </w:r>
      <w:r>
        <w:rPr>
          <w:spacing w:val="-16"/>
        </w:rPr>
        <w:t> </w:t>
      </w:r>
      <w:r>
        <w:rPr/>
        <w:t>31</w:t>
      </w:r>
      <w:r>
        <w:rPr>
          <w:spacing w:val="-15"/>
        </w:rPr>
        <w:t> </w:t>
      </w:r>
      <w:r>
        <w:rPr/>
        <w:t>de</w:t>
      </w:r>
      <w:r>
        <w:rPr>
          <w:spacing w:val="-15"/>
        </w:rPr>
        <w:t> </w:t>
      </w:r>
      <w:r>
        <w:rPr/>
        <w:t>dezembro</w:t>
      </w:r>
      <w:r>
        <w:rPr>
          <w:spacing w:val="-15"/>
        </w:rPr>
        <w:t> </w:t>
      </w:r>
      <w:r>
        <w:rPr/>
        <w:t>de</w:t>
      </w:r>
      <w:r>
        <w:rPr>
          <w:spacing w:val="-16"/>
        </w:rPr>
        <w:t> </w:t>
      </w:r>
      <w:r>
        <w:rPr/>
        <w:t>2019,</w:t>
      </w:r>
      <w:r>
        <w:rPr>
          <w:spacing w:val="-15"/>
        </w:rPr>
        <w:t> </w:t>
      </w:r>
      <w:r>
        <w:rPr/>
        <w:t>o</w:t>
      </w:r>
      <w:r>
        <w:rPr>
          <w:spacing w:val="-15"/>
        </w:rPr>
        <w:t> </w:t>
      </w:r>
      <w:r>
        <w:rPr/>
        <w:t>valor</w:t>
      </w:r>
      <w:r>
        <w:rPr>
          <w:spacing w:val="-14"/>
        </w:rPr>
        <w:t> </w:t>
      </w:r>
      <w:r>
        <w:rPr/>
        <w:t>das</w:t>
      </w:r>
      <w:r>
        <w:rPr>
          <w:spacing w:val="-15"/>
        </w:rPr>
        <w:t> </w:t>
      </w:r>
      <w:r>
        <w:rPr/>
        <w:t>perdas</w:t>
      </w:r>
      <w:r>
        <w:rPr>
          <w:spacing w:val="-13"/>
        </w:rPr>
        <w:t> </w:t>
      </w:r>
      <w:r>
        <w:rPr/>
        <w:t>estimadas</w:t>
      </w:r>
      <w:r>
        <w:rPr>
          <w:spacing w:val="-11"/>
        </w:rPr>
        <w:t> </w:t>
      </w:r>
      <w:r>
        <w:rPr/>
        <w:t>com</w:t>
      </w:r>
      <w:r>
        <w:rPr>
          <w:spacing w:val="-15"/>
        </w:rPr>
        <w:t> </w:t>
      </w:r>
      <w:r>
        <w:rPr/>
        <w:t>crédito</w:t>
      </w:r>
      <w:r>
        <w:rPr>
          <w:spacing w:val="-14"/>
        </w:rPr>
        <w:t> </w:t>
      </w:r>
      <w:r>
        <w:rPr/>
        <w:t>de</w:t>
      </w:r>
      <w:r>
        <w:rPr>
          <w:spacing w:val="-17"/>
        </w:rPr>
        <w:t> </w:t>
      </w:r>
      <w:r>
        <w:rPr/>
        <w:t>liquidação</w:t>
      </w:r>
      <w:r>
        <w:rPr>
          <w:spacing w:val="-15"/>
        </w:rPr>
        <w:t> </w:t>
      </w:r>
      <w:r>
        <w:rPr/>
        <w:t>duvidosa</w:t>
      </w:r>
      <w:r>
        <w:rPr>
          <w:spacing w:val="-14"/>
        </w:rPr>
        <w:t> </w:t>
      </w:r>
      <w:r>
        <w:rPr/>
        <w:t>com</w:t>
      </w:r>
      <w:r>
        <w:rPr>
          <w:spacing w:val="-14"/>
        </w:rPr>
        <w:t> </w:t>
      </w:r>
      <w:r>
        <w:rPr/>
        <w:t>o</w:t>
      </w:r>
      <w:r>
        <w:rPr>
          <w:spacing w:val="-16"/>
        </w:rPr>
        <w:t> </w:t>
      </w:r>
      <w:r>
        <w:rPr/>
        <w:t>Governo</w:t>
      </w:r>
      <w:r>
        <w:rPr>
          <w:spacing w:val="-13"/>
        </w:rPr>
        <w:t> </w:t>
      </w:r>
      <w:r>
        <w:rPr/>
        <w:t>do Distrito</w:t>
      </w:r>
      <w:r>
        <w:rPr>
          <w:spacing w:val="-28"/>
        </w:rPr>
        <w:t> </w:t>
      </w:r>
      <w:r>
        <w:rPr/>
        <w:t>Federal</w:t>
      </w:r>
      <w:r>
        <w:rPr>
          <w:spacing w:val="-26"/>
        </w:rPr>
        <w:t> </w:t>
      </w:r>
      <w:r>
        <w:rPr/>
        <w:t>totalizou</w:t>
      </w:r>
      <w:r>
        <w:rPr>
          <w:spacing w:val="-26"/>
        </w:rPr>
        <w:t> </w:t>
      </w:r>
      <w:r>
        <w:rPr/>
        <w:t>R$</w:t>
      </w:r>
      <w:r>
        <w:rPr>
          <w:spacing w:val="-23"/>
        </w:rPr>
        <w:t> </w:t>
      </w:r>
      <w:r>
        <w:rPr/>
        <w:t>57.837,</w:t>
      </w:r>
      <w:r>
        <w:rPr>
          <w:spacing w:val="-27"/>
        </w:rPr>
        <w:t> </w:t>
      </w:r>
      <w:r>
        <w:rPr/>
        <w:t>dos</w:t>
      </w:r>
      <w:r>
        <w:rPr>
          <w:spacing w:val="-27"/>
        </w:rPr>
        <w:t> </w:t>
      </w:r>
      <w:r>
        <w:rPr/>
        <w:t>quais,</w:t>
      </w:r>
      <w:r>
        <w:rPr>
          <w:spacing w:val="-26"/>
        </w:rPr>
        <w:t> </w:t>
      </w:r>
      <w:r>
        <w:rPr/>
        <w:t>R$</w:t>
      </w:r>
      <w:r>
        <w:rPr>
          <w:spacing w:val="-26"/>
        </w:rPr>
        <w:t> </w:t>
      </w:r>
      <w:r>
        <w:rPr/>
        <w:t>45.526</w:t>
      </w:r>
      <w:r>
        <w:rPr>
          <w:spacing w:val="-26"/>
        </w:rPr>
        <w:t> </w:t>
      </w:r>
      <w:r>
        <w:rPr/>
        <w:t>no</w:t>
      </w:r>
      <w:r>
        <w:rPr>
          <w:spacing w:val="-27"/>
        </w:rPr>
        <w:t> </w:t>
      </w:r>
      <w:r>
        <w:rPr/>
        <w:t>âmbito</w:t>
      </w:r>
      <w:r>
        <w:rPr>
          <w:spacing w:val="-25"/>
        </w:rPr>
        <w:t> </w:t>
      </w:r>
      <w:r>
        <w:rPr/>
        <w:t>da</w:t>
      </w:r>
      <w:r>
        <w:rPr>
          <w:spacing w:val="-27"/>
        </w:rPr>
        <w:t> </w:t>
      </w:r>
      <w:r>
        <w:rPr/>
        <w:t>CEB</w:t>
      </w:r>
      <w:r>
        <w:rPr>
          <w:spacing w:val="-26"/>
        </w:rPr>
        <w:t> </w:t>
      </w:r>
      <w:r>
        <w:rPr/>
        <w:t>DIS</w:t>
      </w:r>
      <w:r>
        <w:rPr>
          <w:spacing w:val="-27"/>
        </w:rPr>
        <w:t> </w:t>
      </w:r>
      <w:r>
        <w:rPr/>
        <w:t>referentes</w:t>
      </w:r>
      <w:r>
        <w:rPr>
          <w:spacing w:val="-27"/>
        </w:rPr>
        <w:t> </w:t>
      </w:r>
      <w:r>
        <w:rPr/>
        <w:t>a</w:t>
      </w:r>
      <w:r>
        <w:rPr>
          <w:spacing w:val="-26"/>
        </w:rPr>
        <w:t> </w:t>
      </w:r>
      <w:r>
        <w:rPr/>
        <w:t>consumo</w:t>
      </w:r>
      <w:r>
        <w:rPr>
          <w:spacing w:val="-26"/>
        </w:rPr>
        <w:t> </w:t>
      </w:r>
      <w:r>
        <w:rPr/>
        <w:t>de</w:t>
      </w:r>
      <w:r>
        <w:rPr>
          <w:spacing w:val="-26"/>
        </w:rPr>
        <w:t> </w:t>
      </w:r>
      <w:r>
        <w:rPr/>
        <w:t>energia,</w:t>
      </w:r>
      <w:r>
        <w:rPr>
          <w:spacing w:val="-27"/>
        </w:rPr>
        <w:t> </w:t>
      </w:r>
      <w:r>
        <w:rPr/>
        <w:t>e R$</w:t>
      </w:r>
      <w:r>
        <w:rPr>
          <w:spacing w:val="-21"/>
        </w:rPr>
        <w:t> </w:t>
      </w:r>
      <w:r>
        <w:rPr/>
        <w:t>12.311</w:t>
      </w:r>
      <w:r>
        <w:rPr>
          <w:spacing w:val="-17"/>
        </w:rPr>
        <w:t> </w:t>
      </w:r>
      <w:r>
        <w:rPr/>
        <w:t>relativos</w:t>
      </w:r>
      <w:r>
        <w:rPr>
          <w:spacing w:val="-19"/>
        </w:rPr>
        <w:t> </w:t>
      </w:r>
      <w:r>
        <w:rPr/>
        <w:t>a</w:t>
      </w:r>
      <w:r>
        <w:rPr>
          <w:spacing w:val="-19"/>
        </w:rPr>
        <w:t> </w:t>
      </w:r>
      <w:r>
        <w:rPr/>
        <w:t>serviços</w:t>
      </w:r>
      <w:r>
        <w:rPr>
          <w:spacing w:val="-19"/>
        </w:rPr>
        <w:t> </w:t>
      </w:r>
      <w:r>
        <w:rPr/>
        <w:t>de</w:t>
      </w:r>
      <w:r>
        <w:rPr>
          <w:spacing w:val="-19"/>
        </w:rPr>
        <w:t> </w:t>
      </w:r>
      <w:r>
        <w:rPr/>
        <w:t>iluminação</w:t>
      </w:r>
      <w:r>
        <w:rPr>
          <w:spacing w:val="-17"/>
        </w:rPr>
        <w:t> </w:t>
      </w:r>
      <w:r>
        <w:rPr/>
        <w:t>pública</w:t>
      </w:r>
      <w:r>
        <w:rPr>
          <w:spacing w:val="-19"/>
        </w:rPr>
        <w:t> </w:t>
      </w:r>
      <w:r>
        <w:rPr/>
        <w:t>prestados</w:t>
      </w:r>
      <w:r>
        <w:rPr>
          <w:spacing w:val="-20"/>
        </w:rPr>
        <w:t> </w:t>
      </w:r>
      <w:r>
        <w:rPr/>
        <w:t>pela</w:t>
      </w:r>
      <w:r>
        <w:rPr>
          <w:spacing w:val="-19"/>
        </w:rPr>
        <w:t> </w:t>
      </w:r>
      <w:r>
        <w:rPr/>
        <w:t>CEB.</w:t>
      </w:r>
    </w:p>
    <w:p>
      <w:pPr>
        <w:pStyle w:val="BodyText"/>
        <w:spacing w:before="8"/>
      </w:pPr>
    </w:p>
    <w:p>
      <w:pPr>
        <w:pStyle w:val="BodyText"/>
        <w:ind w:left="172"/>
        <w:jc w:val="both"/>
      </w:pPr>
      <w:r>
        <w:rPr/>
        <w:t>O quadro seguinte mostra a composição dos créditos com o acionista controlador por idade de vencimento:</w:t>
      </w:r>
    </w:p>
    <w:p>
      <w:pPr>
        <w:pStyle w:val="BodyText"/>
        <w:rPr>
          <w:sz w:val="2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21"/>
        <w:gridCol w:w="1258"/>
        <w:gridCol w:w="1258"/>
        <w:gridCol w:w="1256"/>
        <w:gridCol w:w="1258"/>
      </w:tblGrid>
      <w:tr>
        <w:trPr>
          <w:trHeight w:val="237" w:hRule="atLeast"/>
        </w:trPr>
        <w:tc>
          <w:tcPr>
            <w:tcW w:w="4921" w:type="dxa"/>
            <w:vMerge w:val="restart"/>
            <w:shd w:val="clear" w:color="auto" w:fill="D9D9D9"/>
          </w:tcPr>
          <w:p>
            <w:pPr>
              <w:pStyle w:val="TableParagraph"/>
              <w:rPr>
                <w:rFonts w:ascii="Times New Roman"/>
                <w:sz w:val="16"/>
              </w:rPr>
            </w:pPr>
          </w:p>
        </w:tc>
        <w:tc>
          <w:tcPr>
            <w:tcW w:w="2516" w:type="dxa"/>
            <w:gridSpan w:val="2"/>
          </w:tcPr>
          <w:p>
            <w:pPr>
              <w:pStyle w:val="TableParagraph"/>
              <w:spacing w:before="37"/>
              <w:ind w:left="828"/>
              <w:rPr>
                <w:rFonts w:ascii="Caladea"/>
                <w:b/>
                <w:sz w:val="14"/>
              </w:rPr>
            </w:pPr>
            <w:r>
              <w:rPr>
                <w:rFonts w:ascii="Caladea"/>
                <w:b/>
                <w:sz w:val="14"/>
              </w:rPr>
              <w:t>Controladora</w:t>
            </w:r>
          </w:p>
        </w:tc>
        <w:tc>
          <w:tcPr>
            <w:tcW w:w="2514" w:type="dxa"/>
            <w:gridSpan w:val="2"/>
          </w:tcPr>
          <w:p>
            <w:pPr>
              <w:pStyle w:val="TableParagraph"/>
              <w:spacing w:before="37"/>
              <w:ind w:left="834" w:right="831"/>
              <w:jc w:val="center"/>
              <w:rPr>
                <w:rFonts w:ascii="Caladea"/>
                <w:b/>
                <w:sz w:val="14"/>
              </w:rPr>
            </w:pPr>
            <w:r>
              <w:rPr>
                <w:rFonts w:ascii="Caladea"/>
                <w:b/>
                <w:sz w:val="14"/>
              </w:rPr>
              <w:t>Consolidado</w:t>
            </w:r>
          </w:p>
        </w:tc>
      </w:tr>
      <w:tr>
        <w:trPr>
          <w:trHeight w:val="398" w:hRule="atLeast"/>
        </w:trPr>
        <w:tc>
          <w:tcPr>
            <w:tcW w:w="4921" w:type="dxa"/>
            <w:vMerge/>
            <w:tcBorders>
              <w:top w:val="nil"/>
            </w:tcBorders>
            <w:shd w:val="clear" w:color="auto" w:fill="D9D9D9"/>
          </w:tcPr>
          <w:p>
            <w:pPr>
              <w:rPr>
                <w:sz w:val="2"/>
                <w:szCs w:val="2"/>
              </w:rPr>
            </w:pPr>
          </w:p>
        </w:tc>
        <w:tc>
          <w:tcPr>
            <w:tcW w:w="1258" w:type="dxa"/>
          </w:tcPr>
          <w:p>
            <w:pPr>
              <w:pStyle w:val="TableParagraph"/>
              <w:spacing w:before="116"/>
              <w:ind w:left="228"/>
              <w:rPr>
                <w:rFonts w:ascii="Caladea"/>
                <w:b/>
                <w:sz w:val="14"/>
              </w:rPr>
            </w:pPr>
            <w:r>
              <w:rPr>
                <w:rFonts w:ascii="Caladea"/>
                <w:b/>
                <w:sz w:val="14"/>
              </w:rPr>
              <w:t>31/12/2019</w:t>
            </w:r>
          </w:p>
        </w:tc>
        <w:tc>
          <w:tcPr>
            <w:tcW w:w="1258" w:type="dxa"/>
          </w:tcPr>
          <w:p>
            <w:pPr>
              <w:pStyle w:val="TableParagraph"/>
              <w:spacing w:before="116"/>
              <w:ind w:left="227"/>
              <w:rPr>
                <w:rFonts w:ascii="Caladea"/>
                <w:b/>
                <w:sz w:val="14"/>
              </w:rPr>
            </w:pPr>
            <w:r>
              <w:rPr>
                <w:rFonts w:ascii="Caladea"/>
                <w:b/>
                <w:sz w:val="14"/>
              </w:rPr>
              <w:t>31/12/2018</w:t>
            </w:r>
          </w:p>
        </w:tc>
        <w:tc>
          <w:tcPr>
            <w:tcW w:w="1256" w:type="dxa"/>
          </w:tcPr>
          <w:p>
            <w:pPr>
              <w:pStyle w:val="TableParagraph"/>
              <w:spacing w:before="116"/>
              <w:ind w:left="225"/>
              <w:rPr>
                <w:rFonts w:ascii="Caladea"/>
                <w:b/>
                <w:sz w:val="14"/>
              </w:rPr>
            </w:pPr>
            <w:r>
              <w:rPr>
                <w:rFonts w:ascii="Caladea"/>
                <w:b/>
                <w:sz w:val="14"/>
              </w:rPr>
              <w:t>31/12/2019</w:t>
            </w:r>
          </w:p>
        </w:tc>
        <w:tc>
          <w:tcPr>
            <w:tcW w:w="1258" w:type="dxa"/>
          </w:tcPr>
          <w:p>
            <w:pPr>
              <w:pStyle w:val="TableParagraph"/>
              <w:spacing w:before="116"/>
              <w:ind w:left="227"/>
              <w:rPr>
                <w:rFonts w:ascii="Caladea"/>
                <w:b/>
                <w:sz w:val="14"/>
              </w:rPr>
            </w:pPr>
            <w:r>
              <w:rPr>
                <w:rFonts w:ascii="Caladea"/>
                <w:b/>
                <w:sz w:val="14"/>
              </w:rPr>
              <w:t>31/12/2018</w:t>
            </w:r>
          </w:p>
        </w:tc>
      </w:tr>
      <w:tr>
        <w:trPr>
          <w:trHeight w:val="237" w:hRule="atLeast"/>
        </w:trPr>
        <w:tc>
          <w:tcPr>
            <w:tcW w:w="4921" w:type="dxa"/>
          </w:tcPr>
          <w:p>
            <w:pPr>
              <w:pStyle w:val="TableParagraph"/>
              <w:spacing w:before="36"/>
              <w:ind w:left="103"/>
              <w:rPr>
                <w:sz w:val="14"/>
              </w:rPr>
            </w:pPr>
            <w:r>
              <w:rPr>
                <w:sz w:val="14"/>
              </w:rPr>
              <w:t>Saldos Vincendos</w:t>
            </w:r>
          </w:p>
        </w:tc>
        <w:tc>
          <w:tcPr>
            <w:tcW w:w="1258" w:type="dxa"/>
          </w:tcPr>
          <w:p>
            <w:pPr>
              <w:pStyle w:val="TableParagraph"/>
              <w:spacing w:before="36"/>
              <w:ind w:right="59"/>
              <w:jc w:val="right"/>
              <w:rPr>
                <w:sz w:val="14"/>
              </w:rPr>
            </w:pPr>
            <w:r>
              <w:rPr>
                <w:w w:val="95"/>
                <w:sz w:val="14"/>
              </w:rPr>
              <w:t>12.937</w:t>
            </w:r>
          </w:p>
        </w:tc>
        <w:tc>
          <w:tcPr>
            <w:tcW w:w="1258" w:type="dxa"/>
          </w:tcPr>
          <w:p>
            <w:pPr>
              <w:pStyle w:val="TableParagraph"/>
              <w:spacing w:before="36"/>
              <w:ind w:right="60"/>
              <w:jc w:val="right"/>
              <w:rPr>
                <w:sz w:val="14"/>
              </w:rPr>
            </w:pPr>
            <w:r>
              <w:rPr>
                <w:w w:val="95"/>
                <w:sz w:val="14"/>
              </w:rPr>
              <w:t>19.459</w:t>
            </w:r>
          </w:p>
        </w:tc>
        <w:tc>
          <w:tcPr>
            <w:tcW w:w="1256" w:type="dxa"/>
          </w:tcPr>
          <w:p>
            <w:pPr>
              <w:pStyle w:val="TableParagraph"/>
              <w:spacing w:before="36"/>
              <w:ind w:right="57"/>
              <w:jc w:val="right"/>
              <w:rPr>
                <w:sz w:val="14"/>
              </w:rPr>
            </w:pPr>
            <w:r>
              <w:rPr>
                <w:w w:val="95"/>
                <w:sz w:val="14"/>
              </w:rPr>
              <w:t>51.915</w:t>
            </w:r>
          </w:p>
        </w:tc>
        <w:tc>
          <w:tcPr>
            <w:tcW w:w="1258" w:type="dxa"/>
          </w:tcPr>
          <w:p>
            <w:pPr>
              <w:pStyle w:val="TableParagraph"/>
              <w:spacing w:before="36"/>
              <w:ind w:right="60"/>
              <w:jc w:val="right"/>
              <w:rPr>
                <w:sz w:val="14"/>
              </w:rPr>
            </w:pPr>
            <w:r>
              <w:rPr>
                <w:w w:val="95"/>
                <w:sz w:val="14"/>
              </w:rPr>
              <w:t>59.443</w:t>
            </w:r>
          </w:p>
        </w:tc>
      </w:tr>
      <w:tr>
        <w:trPr>
          <w:trHeight w:val="237" w:hRule="atLeast"/>
        </w:trPr>
        <w:tc>
          <w:tcPr>
            <w:tcW w:w="4921" w:type="dxa"/>
          </w:tcPr>
          <w:p>
            <w:pPr>
              <w:pStyle w:val="TableParagraph"/>
              <w:spacing w:before="36"/>
              <w:ind w:left="103"/>
              <w:rPr>
                <w:sz w:val="14"/>
              </w:rPr>
            </w:pPr>
            <w:r>
              <w:rPr>
                <w:sz w:val="14"/>
              </w:rPr>
              <w:t>Vencidos até 90 dias</w:t>
            </w:r>
          </w:p>
        </w:tc>
        <w:tc>
          <w:tcPr>
            <w:tcW w:w="1258" w:type="dxa"/>
          </w:tcPr>
          <w:p>
            <w:pPr>
              <w:pStyle w:val="TableParagraph"/>
              <w:spacing w:before="36"/>
              <w:ind w:right="59"/>
              <w:jc w:val="right"/>
              <w:rPr>
                <w:sz w:val="14"/>
              </w:rPr>
            </w:pPr>
            <w:r>
              <w:rPr>
                <w:w w:val="95"/>
                <w:sz w:val="14"/>
              </w:rPr>
              <w:t>5.589</w:t>
            </w:r>
          </w:p>
        </w:tc>
        <w:tc>
          <w:tcPr>
            <w:tcW w:w="1258" w:type="dxa"/>
          </w:tcPr>
          <w:p>
            <w:pPr>
              <w:pStyle w:val="TableParagraph"/>
              <w:spacing w:before="36"/>
              <w:ind w:right="60"/>
              <w:jc w:val="right"/>
              <w:rPr>
                <w:sz w:val="14"/>
              </w:rPr>
            </w:pPr>
            <w:r>
              <w:rPr>
                <w:w w:val="95"/>
                <w:sz w:val="14"/>
              </w:rPr>
              <w:t>7.435</w:t>
            </w:r>
          </w:p>
        </w:tc>
        <w:tc>
          <w:tcPr>
            <w:tcW w:w="1256" w:type="dxa"/>
          </w:tcPr>
          <w:p>
            <w:pPr>
              <w:pStyle w:val="TableParagraph"/>
              <w:spacing w:before="36"/>
              <w:ind w:right="57"/>
              <w:jc w:val="right"/>
              <w:rPr>
                <w:sz w:val="14"/>
              </w:rPr>
            </w:pPr>
            <w:r>
              <w:rPr>
                <w:w w:val="95"/>
                <w:sz w:val="14"/>
              </w:rPr>
              <w:t>23.138</w:t>
            </w:r>
          </w:p>
        </w:tc>
        <w:tc>
          <w:tcPr>
            <w:tcW w:w="1258" w:type="dxa"/>
          </w:tcPr>
          <w:p>
            <w:pPr>
              <w:pStyle w:val="TableParagraph"/>
              <w:spacing w:before="36"/>
              <w:ind w:right="61"/>
              <w:jc w:val="right"/>
              <w:rPr>
                <w:sz w:val="14"/>
              </w:rPr>
            </w:pPr>
            <w:r>
              <w:rPr>
                <w:w w:val="95"/>
                <w:sz w:val="14"/>
              </w:rPr>
              <w:t>33.675</w:t>
            </w:r>
          </w:p>
        </w:tc>
      </w:tr>
      <w:tr>
        <w:trPr>
          <w:trHeight w:val="237" w:hRule="atLeast"/>
        </w:trPr>
        <w:tc>
          <w:tcPr>
            <w:tcW w:w="4921" w:type="dxa"/>
          </w:tcPr>
          <w:p>
            <w:pPr>
              <w:pStyle w:val="TableParagraph"/>
              <w:spacing w:before="36"/>
              <w:ind w:left="103"/>
              <w:rPr>
                <w:sz w:val="14"/>
              </w:rPr>
            </w:pPr>
            <w:r>
              <w:rPr>
                <w:sz w:val="14"/>
              </w:rPr>
              <w:t>Vencidos de 91 a 360 dias</w:t>
            </w:r>
          </w:p>
        </w:tc>
        <w:tc>
          <w:tcPr>
            <w:tcW w:w="1258" w:type="dxa"/>
          </w:tcPr>
          <w:p>
            <w:pPr>
              <w:pStyle w:val="TableParagraph"/>
              <w:spacing w:before="36"/>
              <w:ind w:right="59"/>
              <w:jc w:val="right"/>
              <w:rPr>
                <w:sz w:val="14"/>
              </w:rPr>
            </w:pPr>
            <w:r>
              <w:rPr>
                <w:w w:val="95"/>
                <w:sz w:val="14"/>
              </w:rPr>
              <w:t>2.292</w:t>
            </w:r>
          </w:p>
        </w:tc>
        <w:tc>
          <w:tcPr>
            <w:tcW w:w="1258" w:type="dxa"/>
          </w:tcPr>
          <w:p>
            <w:pPr>
              <w:pStyle w:val="TableParagraph"/>
              <w:spacing w:before="36"/>
              <w:ind w:right="60"/>
              <w:jc w:val="right"/>
              <w:rPr>
                <w:sz w:val="14"/>
              </w:rPr>
            </w:pPr>
            <w:r>
              <w:rPr>
                <w:w w:val="95"/>
                <w:sz w:val="14"/>
              </w:rPr>
              <w:t>3.965</w:t>
            </w:r>
          </w:p>
        </w:tc>
        <w:tc>
          <w:tcPr>
            <w:tcW w:w="1256" w:type="dxa"/>
          </w:tcPr>
          <w:p>
            <w:pPr>
              <w:pStyle w:val="TableParagraph"/>
              <w:spacing w:before="36"/>
              <w:ind w:right="58"/>
              <w:jc w:val="right"/>
              <w:rPr>
                <w:sz w:val="14"/>
              </w:rPr>
            </w:pPr>
            <w:r>
              <w:rPr>
                <w:w w:val="95"/>
                <w:sz w:val="14"/>
              </w:rPr>
              <w:t>2.525</w:t>
            </w:r>
          </w:p>
        </w:tc>
        <w:tc>
          <w:tcPr>
            <w:tcW w:w="1258" w:type="dxa"/>
          </w:tcPr>
          <w:p>
            <w:pPr>
              <w:pStyle w:val="TableParagraph"/>
              <w:spacing w:before="36"/>
              <w:ind w:right="60"/>
              <w:jc w:val="right"/>
              <w:rPr>
                <w:sz w:val="14"/>
              </w:rPr>
            </w:pPr>
            <w:r>
              <w:rPr>
                <w:w w:val="95"/>
                <w:sz w:val="14"/>
              </w:rPr>
              <w:t>6.051</w:t>
            </w:r>
          </w:p>
        </w:tc>
      </w:tr>
      <w:tr>
        <w:trPr>
          <w:trHeight w:val="237" w:hRule="atLeast"/>
        </w:trPr>
        <w:tc>
          <w:tcPr>
            <w:tcW w:w="4921" w:type="dxa"/>
          </w:tcPr>
          <w:p>
            <w:pPr>
              <w:pStyle w:val="TableParagraph"/>
              <w:spacing w:before="36"/>
              <w:ind w:left="103"/>
              <w:rPr>
                <w:sz w:val="14"/>
              </w:rPr>
            </w:pPr>
            <w:r>
              <w:rPr>
                <w:sz w:val="14"/>
              </w:rPr>
              <w:t>Vencidos há mais de 360 dias</w:t>
            </w:r>
          </w:p>
        </w:tc>
        <w:tc>
          <w:tcPr>
            <w:tcW w:w="1258" w:type="dxa"/>
          </w:tcPr>
          <w:p>
            <w:pPr>
              <w:pStyle w:val="TableParagraph"/>
              <w:spacing w:before="36"/>
              <w:ind w:right="59"/>
              <w:jc w:val="right"/>
              <w:rPr>
                <w:sz w:val="14"/>
              </w:rPr>
            </w:pPr>
            <w:r>
              <w:rPr>
                <w:w w:val="95"/>
                <w:sz w:val="14"/>
              </w:rPr>
              <w:t>10.019</w:t>
            </w:r>
          </w:p>
        </w:tc>
        <w:tc>
          <w:tcPr>
            <w:tcW w:w="1258" w:type="dxa"/>
          </w:tcPr>
          <w:p>
            <w:pPr>
              <w:pStyle w:val="TableParagraph"/>
              <w:spacing w:before="36"/>
              <w:ind w:right="60"/>
              <w:jc w:val="right"/>
              <w:rPr>
                <w:sz w:val="14"/>
              </w:rPr>
            </w:pPr>
            <w:r>
              <w:rPr>
                <w:w w:val="95"/>
                <w:sz w:val="14"/>
              </w:rPr>
              <w:t>5.747</w:t>
            </w:r>
          </w:p>
        </w:tc>
        <w:tc>
          <w:tcPr>
            <w:tcW w:w="1256" w:type="dxa"/>
          </w:tcPr>
          <w:p>
            <w:pPr>
              <w:pStyle w:val="TableParagraph"/>
              <w:spacing w:before="36"/>
              <w:ind w:right="57"/>
              <w:jc w:val="right"/>
              <w:rPr>
                <w:sz w:val="14"/>
              </w:rPr>
            </w:pPr>
            <w:r>
              <w:rPr>
                <w:w w:val="95"/>
                <w:sz w:val="14"/>
              </w:rPr>
              <w:t>55.312</w:t>
            </w:r>
          </w:p>
        </w:tc>
        <w:tc>
          <w:tcPr>
            <w:tcW w:w="1258" w:type="dxa"/>
          </w:tcPr>
          <w:p>
            <w:pPr>
              <w:pStyle w:val="TableParagraph"/>
              <w:spacing w:before="36"/>
              <w:ind w:right="60"/>
              <w:jc w:val="right"/>
              <w:rPr>
                <w:sz w:val="14"/>
              </w:rPr>
            </w:pPr>
            <w:r>
              <w:rPr>
                <w:w w:val="95"/>
                <w:sz w:val="14"/>
              </w:rPr>
              <w:t>53.421</w:t>
            </w:r>
          </w:p>
        </w:tc>
      </w:tr>
      <w:tr>
        <w:trPr>
          <w:trHeight w:val="237" w:hRule="atLeast"/>
        </w:trPr>
        <w:tc>
          <w:tcPr>
            <w:tcW w:w="4921" w:type="dxa"/>
          </w:tcPr>
          <w:p>
            <w:pPr>
              <w:pStyle w:val="TableParagraph"/>
              <w:spacing w:before="36"/>
              <w:ind w:left="103"/>
              <w:rPr>
                <w:sz w:val="14"/>
              </w:rPr>
            </w:pPr>
            <w:r>
              <w:rPr>
                <w:sz w:val="14"/>
              </w:rPr>
              <w:t>Estimativa de Perdas com Créditos de Liquidação Duvidosa</w:t>
            </w:r>
          </w:p>
        </w:tc>
        <w:tc>
          <w:tcPr>
            <w:tcW w:w="1258" w:type="dxa"/>
          </w:tcPr>
          <w:p>
            <w:pPr>
              <w:pStyle w:val="TableParagraph"/>
              <w:spacing w:before="36"/>
              <w:ind w:right="59"/>
              <w:jc w:val="right"/>
              <w:rPr>
                <w:sz w:val="14"/>
              </w:rPr>
            </w:pPr>
            <w:r>
              <w:rPr>
                <w:sz w:val="14"/>
              </w:rPr>
              <w:t>(12.311)</w:t>
            </w:r>
          </w:p>
        </w:tc>
        <w:tc>
          <w:tcPr>
            <w:tcW w:w="1258" w:type="dxa"/>
          </w:tcPr>
          <w:p>
            <w:pPr>
              <w:pStyle w:val="TableParagraph"/>
              <w:spacing w:before="36"/>
              <w:ind w:right="60"/>
              <w:jc w:val="right"/>
              <w:rPr>
                <w:sz w:val="14"/>
              </w:rPr>
            </w:pPr>
            <w:r>
              <w:rPr>
                <w:w w:val="95"/>
                <w:sz w:val="14"/>
              </w:rPr>
              <w:t>(9.612)</w:t>
            </w:r>
          </w:p>
        </w:tc>
        <w:tc>
          <w:tcPr>
            <w:tcW w:w="1256" w:type="dxa"/>
          </w:tcPr>
          <w:p>
            <w:pPr>
              <w:pStyle w:val="TableParagraph"/>
              <w:spacing w:before="36"/>
              <w:ind w:right="60"/>
              <w:jc w:val="right"/>
              <w:rPr>
                <w:sz w:val="14"/>
              </w:rPr>
            </w:pPr>
            <w:r>
              <w:rPr>
                <w:sz w:val="14"/>
              </w:rPr>
              <w:t>(57.837)</w:t>
            </w:r>
          </w:p>
        </w:tc>
        <w:tc>
          <w:tcPr>
            <w:tcW w:w="1258" w:type="dxa"/>
          </w:tcPr>
          <w:p>
            <w:pPr>
              <w:pStyle w:val="TableParagraph"/>
              <w:spacing w:before="36"/>
              <w:ind w:right="60"/>
              <w:jc w:val="right"/>
              <w:rPr>
                <w:sz w:val="14"/>
              </w:rPr>
            </w:pPr>
            <w:r>
              <w:rPr>
                <w:sz w:val="14"/>
              </w:rPr>
              <w:t>(57.286)</w:t>
            </w:r>
          </w:p>
        </w:tc>
      </w:tr>
      <w:tr>
        <w:trPr>
          <w:trHeight w:val="237" w:hRule="atLeast"/>
        </w:trPr>
        <w:tc>
          <w:tcPr>
            <w:tcW w:w="4921" w:type="dxa"/>
          </w:tcPr>
          <w:p>
            <w:pPr>
              <w:pStyle w:val="TableParagraph"/>
              <w:spacing w:before="34"/>
              <w:ind w:left="103"/>
              <w:rPr>
                <w:rFonts w:ascii="Caladea"/>
                <w:b/>
                <w:sz w:val="14"/>
              </w:rPr>
            </w:pPr>
            <w:r>
              <w:rPr>
                <w:rFonts w:ascii="Caladea"/>
                <w:b/>
                <w:sz w:val="14"/>
              </w:rPr>
              <w:t>Total</w:t>
            </w:r>
          </w:p>
        </w:tc>
        <w:tc>
          <w:tcPr>
            <w:tcW w:w="1258" w:type="dxa"/>
          </w:tcPr>
          <w:p>
            <w:pPr>
              <w:pStyle w:val="TableParagraph"/>
              <w:spacing w:before="34"/>
              <w:ind w:right="59"/>
              <w:jc w:val="right"/>
              <w:rPr>
                <w:rFonts w:ascii="Caladea"/>
                <w:b/>
                <w:sz w:val="14"/>
              </w:rPr>
            </w:pPr>
            <w:r>
              <w:rPr>
                <w:rFonts w:ascii="Caladea"/>
                <w:b/>
                <w:sz w:val="14"/>
              </w:rPr>
              <w:t>18.526</w:t>
            </w:r>
          </w:p>
        </w:tc>
        <w:tc>
          <w:tcPr>
            <w:tcW w:w="1258" w:type="dxa"/>
          </w:tcPr>
          <w:p>
            <w:pPr>
              <w:pStyle w:val="TableParagraph"/>
              <w:spacing w:before="34"/>
              <w:ind w:right="60"/>
              <w:jc w:val="right"/>
              <w:rPr>
                <w:rFonts w:ascii="Caladea"/>
                <w:b/>
                <w:sz w:val="14"/>
              </w:rPr>
            </w:pPr>
            <w:r>
              <w:rPr>
                <w:rFonts w:ascii="Caladea"/>
                <w:b/>
                <w:sz w:val="14"/>
              </w:rPr>
              <w:t>26.994</w:t>
            </w:r>
          </w:p>
        </w:tc>
        <w:tc>
          <w:tcPr>
            <w:tcW w:w="1256" w:type="dxa"/>
          </w:tcPr>
          <w:p>
            <w:pPr>
              <w:pStyle w:val="TableParagraph"/>
              <w:spacing w:before="34"/>
              <w:ind w:right="58"/>
              <w:jc w:val="right"/>
              <w:rPr>
                <w:rFonts w:ascii="Caladea"/>
                <w:b/>
                <w:sz w:val="14"/>
              </w:rPr>
            </w:pPr>
            <w:r>
              <w:rPr>
                <w:rFonts w:ascii="Caladea"/>
                <w:b/>
                <w:sz w:val="14"/>
              </w:rPr>
              <w:t>75.053</w:t>
            </w:r>
          </w:p>
        </w:tc>
        <w:tc>
          <w:tcPr>
            <w:tcW w:w="1258" w:type="dxa"/>
          </w:tcPr>
          <w:p>
            <w:pPr>
              <w:pStyle w:val="TableParagraph"/>
              <w:spacing w:before="34"/>
              <w:ind w:right="60"/>
              <w:jc w:val="right"/>
              <w:rPr>
                <w:rFonts w:ascii="Caladea"/>
                <w:b/>
                <w:sz w:val="14"/>
              </w:rPr>
            </w:pPr>
            <w:r>
              <w:rPr>
                <w:rFonts w:ascii="Caladea"/>
                <w:b/>
                <w:sz w:val="14"/>
              </w:rPr>
              <w:t>95.304</w:t>
            </w:r>
          </w:p>
        </w:tc>
      </w:tr>
    </w:tbl>
    <w:p>
      <w:pPr>
        <w:pStyle w:val="BodyText"/>
        <w:spacing w:before="7"/>
      </w:pPr>
    </w:p>
    <w:p>
      <w:pPr>
        <w:pStyle w:val="Heading3"/>
        <w:numPr>
          <w:ilvl w:val="0"/>
          <w:numId w:val="6"/>
        </w:numPr>
        <w:tabs>
          <w:tab w:pos="953" w:val="left" w:leader="none"/>
          <w:tab w:pos="954" w:val="left" w:leader="none"/>
        </w:tabs>
        <w:spacing w:line="240" w:lineRule="auto" w:before="0" w:after="0"/>
        <w:ind w:left="953" w:right="0" w:hanging="782"/>
        <w:jc w:val="left"/>
      </w:pPr>
      <w:r>
        <w:rPr/>
        <w:t>TRIBUTOS E CONTRIBUIÇÕES</w:t>
      </w:r>
      <w:r>
        <w:rPr>
          <w:spacing w:val="-2"/>
        </w:rPr>
        <w:t> </w:t>
      </w:r>
      <w:r>
        <w:rPr/>
        <w:t>COMPENSÁVEIS</w:t>
      </w:r>
    </w:p>
    <w:p>
      <w:pPr>
        <w:pStyle w:val="BodyText"/>
        <w:spacing w:before="5" w:after="1"/>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36"/>
        <w:gridCol w:w="943"/>
        <w:gridCol w:w="946"/>
        <w:gridCol w:w="945"/>
        <w:gridCol w:w="945"/>
      </w:tblGrid>
      <w:tr>
        <w:trPr>
          <w:trHeight w:val="237" w:hRule="atLeast"/>
        </w:trPr>
        <w:tc>
          <w:tcPr>
            <w:tcW w:w="6136" w:type="dxa"/>
            <w:vMerge w:val="restart"/>
            <w:shd w:val="clear" w:color="auto" w:fill="D9D9D9"/>
          </w:tcPr>
          <w:p>
            <w:pPr>
              <w:pStyle w:val="TableParagraph"/>
              <w:rPr>
                <w:rFonts w:ascii="Times New Roman"/>
                <w:sz w:val="16"/>
              </w:rPr>
            </w:pPr>
          </w:p>
        </w:tc>
        <w:tc>
          <w:tcPr>
            <w:tcW w:w="1889" w:type="dxa"/>
            <w:gridSpan w:val="2"/>
          </w:tcPr>
          <w:p>
            <w:pPr>
              <w:pStyle w:val="TableParagraph"/>
              <w:spacing w:before="34"/>
              <w:ind w:left="513"/>
              <w:rPr>
                <w:rFonts w:ascii="Caladea"/>
                <w:b/>
                <w:sz w:val="14"/>
              </w:rPr>
            </w:pPr>
            <w:r>
              <w:rPr>
                <w:rFonts w:ascii="Caladea"/>
                <w:b/>
                <w:sz w:val="14"/>
              </w:rPr>
              <w:t>Controladora</w:t>
            </w:r>
          </w:p>
        </w:tc>
        <w:tc>
          <w:tcPr>
            <w:tcW w:w="1890" w:type="dxa"/>
            <w:gridSpan w:val="2"/>
          </w:tcPr>
          <w:p>
            <w:pPr>
              <w:pStyle w:val="TableParagraph"/>
              <w:spacing w:before="34"/>
              <w:ind w:left="547"/>
              <w:rPr>
                <w:rFonts w:ascii="Caladea"/>
                <w:b/>
                <w:sz w:val="14"/>
              </w:rPr>
            </w:pPr>
            <w:r>
              <w:rPr>
                <w:rFonts w:ascii="Caladea"/>
                <w:b/>
                <w:sz w:val="14"/>
              </w:rPr>
              <w:t>Consolidado</w:t>
            </w:r>
          </w:p>
        </w:tc>
      </w:tr>
      <w:tr>
        <w:trPr>
          <w:trHeight w:val="395" w:hRule="atLeast"/>
        </w:trPr>
        <w:tc>
          <w:tcPr>
            <w:tcW w:w="6136" w:type="dxa"/>
            <w:vMerge/>
            <w:tcBorders>
              <w:top w:val="nil"/>
            </w:tcBorders>
            <w:shd w:val="clear" w:color="auto" w:fill="D9D9D9"/>
          </w:tcPr>
          <w:p>
            <w:pPr>
              <w:rPr>
                <w:sz w:val="2"/>
                <w:szCs w:val="2"/>
              </w:rPr>
            </w:pPr>
          </w:p>
        </w:tc>
        <w:tc>
          <w:tcPr>
            <w:tcW w:w="943" w:type="dxa"/>
          </w:tcPr>
          <w:p>
            <w:pPr>
              <w:pStyle w:val="TableParagraph"/>
              <w:spacing w:before="116"/>
              <w:ind w:right="60"/>
              <w:jc w:val="right"/>
              <w:rPr>
                <w:rFonts w:ascii="Caladea"/>
                <w:b/>
                <w:sz w:val="14"/>
              </w:rPr>
            </w:pPr>
            <w:r>
              <w:rPr>
                <w:rFonts w:ascii="Caladea"/>
                <w:b/>
                <w:sz w:val="14"/>
              </w:rPr>
              <w:t>31/12/2019</w:t>
            </w:r>
          </w:p>
        </w:tc>
        <w:tc>
          <w:tcPr>
            <w:tcW w:w="946" w:type="dxa"/>
          </w:tcPr>
          <w:p>
            <w:pPr>
              <w:pStyle w:val="TableParagraph"/>
              <w:spacing w:before="116"/>
              <w:ind w:right="60"/>
              <w:jc w:val="right"/>
              <w:rPr>
                <w:rFonts w:ascii="Caladea"/>
                <w:b/>
                <w:sz w:val="14"/>
              </w:rPr>
            </w:pPr>
            <w:r>
              <w:rPr>
                <w:rFonts w:ascii="Caladea"/>
                <w:b/>
                <w:sz w:val="14"/>
              </w:rPr>
              <w:t>31/12/2018</w:t>
            </w:r>
          </w:p>
        </w:tc>
        <w:tc>
          <w:tcPr>
            <w:tcW w:w="945" w:type="dxa"/>
          </w:tcPr>
          <w:p>
            <w:pPr>
              <w:pStyle w:val="TableParagraph"/>
              <w:spacing w:before="116"/>
              <w:ind w:right="59"/>
              <w:jc w:val="right"/>
              <w:rPr>
                <w:rFonts w:ascii="Caladea"/>
                <w:b/>
                <w:sz w:val="14"/>
              </w:rPr>
            </w:pPr>
            <w:r>
              <w:rPr>
                <w:rFonts w:ascii="Caladea"/>
                <w:b/>
                <w:sz w:val="14"/>
              </w:rPr>
              <w:t>31/12/2019</w:t>
            </w:r>
          </w:p>
        </w:tc>
        <w:tc>
          <w:tcPr>
            <w:tcW w:w="945" w:type="dxa"/>
          </w:tcPr>
          <w:p>
            <w:pPr>
              <w:pStyle w:val="TableParagraph"/>
              <w:spacing w:before="116"/>
              <w:ind w:right="61"/>
              <w:jc w:val="right"/>
              <w:rPr>
                <w:rFonts w:ascii="Caladea"/>
                <w:b/>
                <w:sz w:val="14"/>
              </w:rPr>
            </w:pPr>
            <w:r>
              <w:rPr>
                <w:rFonts w:ascii="Caladea"/>
                <w:b/>
                <w:sz w:val="14"/>
              </w:rPr>
              <w:t>31/12/2018</w:t>
            </w:r>
          </w:p>
        </w:tc>
      </w:tr>
      <w:tr>
        <w:trPr>
          <w:trHeight w:val="239" w:hRule="atLeast"/>
        </w:trPr>
        <w:tc>
          <w:tcPr>
            <w:tcW w:w="6136" w:type="dxa"/>
          </w:tcPr>
          <w:p>
            <w:pPr>
              <w:pStyle w:val="TableParagraph"/>
              <w:spacing w:before="37"/>
              <w:ind w:left="72"/>
              <w:rPr>
                <w:rFonts w:ascii="Caladea" w:hAnsi="Caladea"/>
                <w:b/>
                <w:sz w:val="14"/>
              </w:rPr>
            </w:pPr>
            <w:r>
              <w:rPr>
                <w:w w:val="105"/>
                <w:sz w:val="14"/>
              </w:rPr>
              <w:t>Imposto de Renda Pessoa Jurídica – IRPJ </w:t>
            </w:r>
            <w:r>
              <w:rPr>
                <w:rFonts w:ascii="Caladea" w:hAnsi="Caladea"/>
                <w:b/>
                <w:w w:val="105"/>
                <w:sz w:val="14"/>
              </w:rPr>
              <w:t>(a)</w:t>
            </w:r>
          </w:p>
        </w:tc>
        <w:tc>
          <w:tcPr>
            <w:tcW w:w="943" w:type="dxa"/>
          </w:tcPr>
          <w:p>
            <w:pPr>
              <w:pStyle w:val="TableParagraph"/>
              <w:spacing w:before="38"/>
              <w:ind w:right="57"/>
              <w:jc w:val="right"/>
              <w:rPr>
                <w:sz w:val="14"/>
              </w:rPr>
            </w:pPr>
            <w:r>
              <w:rPr>
                <w:w w:val="95"/>
                <w:sz w:val="14"/>
              </w:rPr>
              <w:t>18.864</w:t>
            </w:r>
          </w:p>
        </w:tc>
        <w:tc>
          <w:tcPr>
            <w:tcW w:w="946" w:type="dxa"/>
          </w:tcPr>
          <w:p>
            <w:pPr>
              <w:pStyle w:val="TableParagraph"/>
              <w:spacing w:before="38"/>
              <w:ind w:right="57"/>
              <w:jc w:val="right"/>
              <w:rPr>
                <w:sz w:val="14"/>
              </w:rPr>
            </w:pPr>
            <w:r>
              <w:rPr>
                <w:w w:val="95"/>
                <w:sz w:val="14"/>
              </w:rPr>
              <w:t>19.443</w:t>
            </w:r>
          </w:p>
        </w:tc>
        <w:tc>
          <w:tcPr>
            <w:tcW w:w="945" w:type="dxa"/>
          </w:tcPr>
          <w:p>
            <w:pPr>
              <w:pStyle w:val="TableParagraph"/>
              <w:spacing w:before="38"/>
              <w:ind w:right="56"/>
              <w:jc w:val="right"/>
              <w:rPr>
                <w:sz w:val="14"/>
              </w:rPr>
            </w:pPr>
            <w:r>
              <w:rPr>
                <w:w w:val="95"/>
                <w:sz w:val="14"/>
              </w:rPr>
              <w:t>25.497</w:t>
            </w:r>
          </w:p>
        </w:tc>
        <w:tc>
          <w:tcPr>
            <w:tcW w:w="945" w:type="dxa"/>
          </w:tcPr>
          <w:p>
            <w:pPr>
              <w:pStyle w:val="TableParagraph"/>
              <w:spacing w:before="38"/>
              <w:ind w:right="60"/>
              <w:jc w:val="right"/>
              <w:rPr>
                <w:sz w:val="14"/>
              </w:rPr>
            </w:pPr>
            <w:r>
              <w:rPr>
                <w:w w:val="95"/>
                <w:sz w:val="14"/>
              </w:rPr>
              <w:t>26.096</w:t>
            </w:r>
          </w:p>
        </w:tc>
      </w:tr>
      <w:tr>
        <w:trPr>
          <w:trHeight w:val="237" w:hRule="atLeast"/>
        </w:trPr>
        <w:tc>
          <w:tcPr>
            <w:tcW w:w="6136" w:type="dxa"/>
          </w:tcPr>
          <w:p>
            <w:pPr>
              <w:pStyle w:val="TableParagraph"/>
              <w:spacing w:before="34"/>
              <w:ind w:left="72"/>
              <w:rPr>
                <w:rFonts w:ascii="Caladea" w:hAnsi="Caladea"/>
                <w:b/>
                <w:sz w:val="14"/>
              </w:rPr>
            </w:pPr>
            <w:r>
              <w:rPr>
                <w:w w:val="105"/>
                <w:sz w:val="14"/>
              </w:rPr>
              <w:t>Contribuição Social Sobre o Lucro Líquido – CSLL </w:t>
            </w:r>
            <w:r>
              <w:rPr>
                <w:rFonts w:ascii="Caladea" w:hAnsi="Caladea"/>
                <w:b/>
                <w:w w:val="105"/>
                <w:sz w:val="14"/>
              </w:rPr>
              <w:t>(a)</w:t>
            </w:r>
          </w:p>
        </w:tc>
        <w:tc>
          <w:tcPr>
            <w:tcW w:w="943" w:type="dxa"/>
          </w:tcPr>
          <w:p>
            <w:pPr>
              <w:pStyle w:val="TableParagraph"/>
              <w:spacing w:before="36"/>
              <w:ind w:right="57"/>
              <w:jc w:val="right"/>
              <w:rPr>
                <w:sz w:val="14"/>
              </w:rPr>
            </w:pPr>
            <w:r>
              <w:rPr>
                <w:w w:val="95"/>
                <w:sz w:val="14"/>
              </w:rPr>
              <w:t>7.184</w:t>
            </w:r>
          </w:p>
        </w:tc>
        <w:tc>
          <w:tcPr>
            <w:tcW w:w="946" w:type="dxa"/>
          </w:tcPr>
          <w:p>
            <w:pPr>
              <w:pStyle w:val="TableParagraph"/>
              <w:spacing w:before="36"/>
              <w:ind w:right="57"/>
              <w:jc w:val="right"/>
              <w:rPr>
                <w:sz w:val="14"/>
              </w:rPr>
            </w:pPr>
            <w:r>
              <w:rPr>
                <w:w w:val="95"/>
                <w:sz w:val="14"/>
              </w:rPr>
              <w:t>7.386</w:t>
            </w:r>
          </w:p>
        </w:tc>
        <w:tc>
          <w:tcPr>
            <w:tcW w:w="945" w:type="dxa"/>
          </w:tcPr>
          <w:p>
            <w:pPr>
              <w:pStyle w:val="TableParagraph"/>
              <w:spacing w:before="36"/>
              <w:ind w:right="56"/>
              <w:jc w:val="right"/>
              <w:rPr>
                <w:sz w:val="14"/>
              </w:rPr>
            </w:pPr>
            <w:r>
              <w:rPr>
                <w:w w:val="95"/>
                <w:sz w:val="14"/>
              </w:rPr>
              <w:t>12.720</w:t>
            </w:r>
          </w:p>
        </w:tc>
        <w:tc>
          <w:tcPr>
            <w:tcW w:w="945" w:type="dxa"/>
          </w:tcPr>
          <w:p>
            <w:pPr>
              <w:pStyle w:val="TableParagraph"/>
              <w:spacing w:before="36"/>
              <w:ind w:right="58"/>
              <w:jc w:val="right"/>
              <w:rPr>
                <w:sz w:val="14"/>
              </w:rPr>
            </w:pPr>
            <w:r>
              <w:rPr>
                <w:w w:val="95"/>
                <w:sz w:val="14"/>
              </w:rPr>
              <w:t>13.004</w:t>
            </w:r>
          </w:p>
        </w:tc>
      </w:tr>
      <w:tr>
        <w:trPr>
          <w:trHeight w:val="237" w:hRule="atLeast"/>
        </w:trPr>
        <w:tc>
          <w:tcPr>
            <w:tcW w:w="6136" w:type="dxa"/>
          </w:tcPr>
          <w:p>
            <w:pPr>
              <w:pStyle w:val="TableParagraph"/>
              <w:spacing w:before="39"/>
              <w:ind w:left="72"/>
              <w:rPr>
                <w:sz w:val="14"/>
              </w:rPr>
            </w:pPr>
            <w:r>
              <w:rPr>
                <w:w w:val="105"/>
                <w:sz w:val="14"/>
              </w:rPr>
              <w:t>Imposto de Renda Retido na Fonte – IRRF</w:t>
            </w:r>
          </w:p>
        </w:tc>
        <w:tc>
          <w:tcPr>
            <w:tcW w:w="943" w:type="dxa"/>
          </w:tcPr>
          <w:p>
            <w:pPr>
              <w:pStyle w:val="TableParagraph"/>
              <w:spacing w:before="39"/>
              <w:ind w:right="57"/>
              <w:jc w:val="right"/>
              <w:rPr>
                <w:sz w:val="14"/>
              </w:rPr>
            </w:pPr>
            <w:r>
              <w:rPr>
                <w:w w:val="95"/>
                <w:sz w:val="14"/>
              </w:rPr>
              <w:t>2.448</w:t>
            </w:r>
          </w:p>
        </w:tc>
        <w:tc>
          <w:tcPr>
            <w:tcW w:w="946" w:type="dxa"/>
          </w:tcPr>
          <w:p>
            <w:pPr>
              <w:pStyle w:val="TableParagraph"/>
              <w:spacing w:before="39"/>
              <w:ind w:right="57"/>
              <w:jc w:val="right"/>
              <w:rPr>
                <w:sz w:val="14"/>
              </w:rPr>
            </w:pPr>
            <w:r>
              <w:rPr>
                <w:w w:val="95"/>
                <w:sz w:val="14"/>
              </w:rPr>
              <w:t>2.448</w:t>
            </w:r>
          </w:p>
        </w:tc>
        <w:tc>
          <w:tcPr>
            <w:tcW w:w="945" w:type="dxa"/>
          </w:tcPr>
          <w:p>
            <w:pPr>
              <w:pStyle w:val="TableParagraph"/>
              <w:spacing w:before="39"/>
              <w:ind w:right="56"/>
              <w:jc w:val="right"/>
              <w:rPr>
                <w:sz w:val="14"/>
              </w:rPr>
            </w:pPr>
            <w:r>
              <w:rPr>
                <w:w w:val="95"/>
                <w:sz w:val="14"/>
              </w:rPr>
              <w:t>2.459</w:t>
            </w:r>
          </w:p>
        </w:tc>
        <w:tc>
          <w:tcPr>
            <w:tcW w:w="945" w:type="dxa"/>
          </w:tcPr>
          <w:p>
            <w:pPr>
              <w:pStyle w:val="TableParagraph"/>
              <w:spacing w:before="39"/>
              <w:ind w:right="58"/>
              <w:jc w:val="right"/>
              <w:rPr>
                <w:sz w:val="14"/>
              </w:rPr>
            </w:pPr>
            <w:r>
              <w:rPr>
                <w:w w:val="95"/>
                <w:sz w:val="14"/>
              </w:rPr>
              <w:t>2.461</w:t>
            </w:r>
          </w:p>
        </w:tc>
      </w:tr>
      <w:tr>
        <w:trPr>
          <w:trHeight w:val="328" w:hRule="atLeast"/>
        </w:trPr>
        <w:tc>
          <w:tcPr>
            <w:tcW w:w="6136" w:type="dxa"/>
          </w:tcPr>
          <w:p>
            <w:pPr>
              <w:pStyle w:val="TableParagraph"/>
              <w:spacing w:line="164" w:lineRule="exact" w:before="3"/>
              <w:ind w:left="72" w:right="514"/>
              <w:rPr>
                <w:rFonts w:ascii="Caladea" w:hAnsi="Caladea"/>
                <w:b/>
                <w:sz w:val="14"/>
              </w:rPr>
            </w:pPr>
            <w:r>
              <w:rPr>
                <w:sz w:val="14"/>
              </w:rPr>
              <w:t>Imposto</w:t>
            </w:r>
            <w:r>
              <w:rPr>
                <w:spacing w:val="-26"/>
                <w:sz w:val="14"/>
              </w:rPr>
              <w:t> </w:t>
            </w:r>
            <w:r>
              <w:rPr>
                <w:sz w:val="14"/>
              </w:rPr>
              <w:t>sobre</w:t>
            </w:r>
            <w:r>
              <w:rPr>
                <w:spacing w:val="-27"/>
                <w:sz w:val="14"/>
              </w:rPr>
              <w:t> </w:t>
            </w:r>
            <w:r>
              <w:rPr>
                <w:sz w:val="14"/>
              </w:rPr>
              <w:t>Circulação</w:t>
            </w:r>
            <w:r>
              <w:rPr>
                <w:spacing w:val="-24"/>
                <w:sz w:val="14"/>
              </w:rPr>
              <w:t> </w:t>
            </w:r>
            <w:r>
              <w:rPr>
                <w:sz w:val="14"/>
              </w:rPr>
              <w:t>de</w:t>
            </w:r>
            <w:r>
              <w:rPr>
                <w:spacing w:val="-25"/>
                <w:sz w:val="14"/>
              </w:rPr>
              <w:t> </w:t>
            </w:r>
            <w:r>
              <w:rPr>
                <w:sz w:val="14"/>
              </w:rPr>
              <w:t>Mercadorias</w:t>
            </w:r>
            <w:r>
              <w:rPr>
                <w:spacing w:val="-26"/>
                <w:sz w:val="14"/>
              </w:rPr>
              <w:t> </w:t>
            </w:r>
            <w:r>
              <w:rPr>
                <w:sz w:val="14"/>
              </w:rPr>
              <w:t>e</w:t>
            </w:r>
            <w:r>
              <w:rPr>
                <w:spacing w:val="-27"/>
                <w:sz w:val="14"/>
              </w:rPr>
              <w:t> </w:t>
            </w:r>
            <w:r>
              <w:rPr>
                <w:sz w:val="14"/>
              </w:rPr>
              <w:t>Prestações</w:t>
            </w:r>
            <w:r>
              <w:rPr>
                <w:spacing w:val="-24"/>
                <w:sz w:val="14"/>
              </w:rPr>
              <w:t> </w:t>
            </w:r>
            <w:r>
              <w:rPr>
                <w:sz w:val="14"/>
              </w:rPr>
              <w:t>de</w:t>
            </w:r>
            <w:r>
              <w:rPr>
                <w:spacing w:val="-26"/>
                <w:sz w:val="14"/>
              </w:rPr>
              <w:t> </w:t>
            </w:r>
            <w:r>
              <w:rPr>
                <w:sz w:val="14"/>
              </w:rPr>
              <w:t>Serviços</w:t>
            </w:r>
            <w:r>
              <w:rPr>
                <w:spacing w:val="-26"/>
                <w:sz w:val="14"/>
              </w:rPr>
              <w:t> </w:t>
            </w:r>
            <w:r>
              <w:rPr>
                <w:sz w:val="14"/>
              </w:rPr>
              <w:t>de</w:t>
            </w:r>
            <w:r>
              <w:rPr>
                <w:spacing w:val="-25"/>
                <w:sz w:val="14"/>
              </w:rPr>
              <w:t> </w:t>
            </w:r>
            <w:r>
              <w:rPr>
                <w:sz w:val="14"/>
              </w:rPr>
              <w:t>Transportes</w:t>
            </w:r>
            <w:r>
              <w:rPr>
                <w:spacing w:val="-26"/>
                <w:sz w:val="14"/>
              </w:rPr>
              <w:t> </w:t>
            </w:r>
            <w:r>
              <w:rPr>
                <w:sz w:val="14"/>
              </w:rPr>
              <w:t>Estaduais, </w:t>
            </w:r>
            <w:r>
              <w:rPr>
                <w:w w:val="105"/>
                <w:sz w:val="14"/>
              </w:rPr>
              <w:t>Intermunicipais</w:t>
            </w:r>
            <w:r>
              <w:rPr>
                <w:spacing w:val="-14"/>
                <w:w w:val="105"/>
                <w:sz w:val="14"/>
              </w:rPr>
              <w:t> </w:t>
            </w:r>
            <w:r>
              <w:rPr>
                <w:w w:val="105"/>
                <w:sz w:val="14"/>
              </w:rPr>
              <w:t>e</w:t>
            </w:r>
            <w:r>
              <w:rPr>
                <w:spacing w:val="-15"/>
                <w:w w:val="105"/>
                <w:sz w:val="14"/>
              </w:rPr>
              <w:t> </w:t>
            </w:r>
            <w:r>
              <w:rPr>
                <w:w w:val="105"/>
                <w:sz w:val="14"/>
              </w:rPr>
              <w:t>de</w:t>
            </w:r>
            <w:r>
              <w:rPr>
                <w:spacing w:val="-16"/>
                <w:w w:val="105"/>
                <w:sz w:val="14"/>
              </w:rPr>
              <w:t> </w:t>
            </w:r>
            <w:r>
              <w:rPr>
                <w:w w:val="105"/>
                <w:sz w:val="14"/>
              </w:rPr>
              <w:t>Comunicações</w:t>
            </w:r>
            <w:r>
              <w:rPr>
                <w:spacing w:val="-14"/>
                <w:w w:val="105"/>
                <w:sz w:val="14"/>
              </w:rPr>
              <w:t> </w:t>
            </w:r>
            <w:r>
              <w:rPr>
                <w:w w:val="105"/>
                <w:sz w:val="14"/>
              </w:rPr>
              <w:t>–</w:t>
            </w:r>
            <w:r>
              <w:rPr>
                <w:spacing w:val="-15"/>
                <w:w w:val="105"/>
                <w:sz w:val="14"/>
              </w:rPr>
              <w:t> </w:t>
            </w:r>
            <w:r>
              <w:rPr>
                <w:w w:val="105"/>
                <w:sz w:val="14"/>
              </w:rPr>
              <w:t>ICMS</w:t>
            </w:r>
            <w:r>
              <w:rPr>
                <w:spacing w:val="-14"/>
                <w:w w:val="105"/>
                <w:sz w:val="14"/>
              </w:rPr>
              <w:t> </w:t>
            </w:r>
            <w:r>
              <w:rPr>
                <w:rFonts w:ascii="Caladea" w:hAnsi="Caladea"/>
                <w:b/>
                <w:w w:val="105"/>
                <w:sz w:val="14"/>
              </w:rPr>
              <w:t>(b)</w:t>
            </w:r>
          </w:p>
        </w:tc>
        <w:tc>
          <w:tcPr>
            <w:tcW w:w="943" w:type="dxa"/>
          </w:tcPr>
          <w:p>
            <w:pPr>
              <w:pStyle w:val="TableParagraph"/>
              <w:rPr>
                <w:rFonts w:ascii="Times New Roman"/>
                <w:sz w:val="16"/>
              </w:rPr>
            </w:pPr>
          </w:p>
        </w:tc>
        <w:tc>
          <w:tcPr>
            <w:tcW w:w="946" w:type="dxa"/>
          </w:tcPr>
          <w:p>
            <w:pPr>
              <w:pStyle w:val="TableParagraph"/>
              <w:rPr>
                <w:rFonts w:ascii="Times New Roman"/>
                <w:sz w:val="16"/>
              </w:rPr>
            </w:pPr>
          </w:p>
        </w:tc>
        <w:tc>
          <w:tcPr>
            <w:tcW w:w="945" w:type="dxa"/>
          </w:tcPr>
          <w:p>
            <w:pPr>
              <w:pStyle w:val="TableParagraph"/>
              <w:spacing w:before="84"/>
              <w:ind w:right="56"/>
              <w:jc w:val="right"/>
              <w:rPr>
                <w:sz w:val="14"/>
              </w:rPr>
            </w:pPr>
            <w:r>
              <w:rPr>
                <w:w w:val="95"/>
                <w:sz w:val="14"/>
              </w:rPr>
              <w:t>9.272</w:t>
            </w:r>
          </w:p>
        </w:tc>
        <w:tc>
          <w:tcPr>
            <w:tcW w:w="945" w:type="dxa"/>
          </w:tcPr>
          <w:p>
            <w:pPr>
              <w:pStyle w:val="TableParagraph"/>
              <w:spacing w:before="84"/>
              <w:ind w:right="58"/>
              <w:jc w:val="right"/>
              <w:rPr>
                <w:sz w:val="14"/>
              </w:rPr>
            </w:pPr>
            <w:r>
              <w:rPr>
                <w:w w:val="95"/>
                <w:sz w:val="14"/>
              </w:rPr>
              <w:t>9.194</w:t>
            </w:r>
          </w:p>
        </w:tc>
      </w:tr>
      <w:tr>
        <w:trPr>
          <w:trHeight w:val="236" w:hRule="atLeast"/>
        </w:trPr>
        <w:tc>
          <w:tcPr>
            <w:tcW w:w="6136" w:type="dxa"/>
          </w:tcPr>
          <w:p>
            <w:pPr>
              <w:pStyle w:val="TableParagraph"/>
              <w:spacing w:before="36"/>
              <w:ind w:left="72"/>
              <w:rPr>
                <w:sz w:val="14"/>
              </w:rPr>
            </w:pPr>
            <w:r>
              <w:rPr>
                <w:sz w:val="14"/>
              </w:rPr>
              <w:t>Contribuição Social para Financiamento da Seguridade Social </w:t>
            </w:r>
            <w:r>
              <w:rPr>
                <w:w w:val="105"/>
                <w:sz w:val="14"/>
              </w:rPr>
              <w:t>– </w:t>
            </w:r>
            <w:r>
              <w:rPr>
                <w:sz w:val="14"/>
              </w:rPr>
              <w:t>COFINS</w:t>
            </w:r>
          </w:p>
        </w:tc>
        <w:tc>
          <w:tcPr>
            <w:tcW w:w="943" w:type="dxa"/>
          </w:tcPr>
          <w:p>
            <w:pPr>
              <w:pStyle w:val="TableParagraph"/>
              <w:spacing w:before="36"/>
              <w:ind w:right="57"/>
              <w:jc w:val="right"/>
              <w:rPr>
                <w:sz w:val="14"/>
              </w:rPr>
            </w:pPr>
            <w:r>
              <w:rPr>
                <w:sz w:val="14"/>
              </w:rPr>
              <w:t>54</w:t>
            </w:r>
          </w:p>
        </w:tc>
        <w:tc>
          <w:tcPr>
            <w:tcW w:w="946" w:type="dxa"/>
          </w:tcPr>
          <w:p>
            <w:pPr>
              <w:pStyle w:val="TableParagraph"/>
              <w:spacing w:before="36"/>
              <w:ind w:right="57"/>
              <w:jc w:val="right"/>
              <w:rPr>
                <w:sz w:val="14"/>
              </w:rPr>
            </w:pPr>
            <w:r>
              <w:rPr>
                <w:sz w:val="14"/>
              </w:rPr>
              <w:t>80</w:t>
            </w:r>
          </w:p>
        </w:tc>
        <w:tc>
          <w:tcPr>
            <w:tcW w:w="945" w:type="dxa"/>
          </w:tcPr>
          <w:p>
            <w:pPr>
              <w:pStyle w:val="TableParagraph"/>
              <w:spacing w:before="36"/>
              <w:ind w:right="56"/>
              <w:jc w:val="right"/>
              <w:rPr>
                <w:sz w:val="14"/>
              </w:rPr>
            </w:pPr>
            <w:r>
              <w:rPr>
                <w:sz w:val="14"/>
              </w:rPr>
              <w:t>608</w:t>
            </w:r>
          </w:p>
        </w:tc>
        <w:tc>
          <w:tcPr>
            <w:tcW w:w="945" w:type="dxa"/>
          </w:tcPr>
          <w:p>
            <w:pPr>
              <w:pStyle w:val="TableParagraph"/>
              <w:spacing w:before="36"/>
              <w:ind w:right="58"/>
              <w:jc w:val="right"/>
              <w:rPr>
                <w:sz w:val="14"/>
              </w:rPr>
            </w:pPr>
            <w:r>
              <w:rPr>
                <w:w w:val="105"/>
                <w:sz w:val="14"/>
              </w:rPr>
              <w:t>623</w:t>
            </w:r>
          </w:p>
        </w:tc>
      </w:tr>
      <w:tr>
        <w:trPr>
          <w:trHeight w:val="237" w:hRule="atLeast"/>
        </w:trPr>
        <w:tc>
          <w:tcPr>
            <w:tcW w:w="6136" w:type="dxa"/>
          </w:tcPr>
          <w:p>
            <w:pPr>
              <w:pStyle w:val="TableParagraph"/>
              <w:spacing w:before="36"/>
              <w:ind w:left="72"/>
              <w:rPr>
                <w:sz w:val="14"/>
              </w:rPr>
            </w:pPr>
            <w:r>
              <w:rPr>
                <w:sz w:val="14"/>
              </w:rPr>
              <w:t>Imposto Sobre Serviços de Qualquer Natureza </w:t>
            </w:r>
            <w:r>
              <w:rPr>
                <w:w w:val="105"/>
                <w:sz w:val="14"/>
              </w:rPr>
              <w:t>– </w:t>
            </w:r>
            <w:r>
              <w:rPr>
                <w:sz w:val="14"/>
              </w:rPr>
              <w:t>ISS</w:t>
            </w:r>
          </w:p>
        </w:tc>
        <w:tc>
          <w:tcPr>
            <w:tcW w:w="943" w:type="dxa"/>
          </w:tcPr>
          <w:p>
            <w:pPr>
              <w:pStyle w:val="TableParagraph"/>
              <w:spacing w:before="36"/>
              <w:ind w:right="57"/>
              <w:jc w:val="right"/>
              <w:rPr>
                <w:sz w:val="14"/>
              </w:rPr>
            </w:pPr>
            <w:r>
              <w:rPr>
                <w:sz w:val="14"/>
              </w:rPr>
              <w:t>484</w:t>
            </w:r>
          </w:p>
        </w:tc>
        <w:tc>
          <w:tcPr>
            <w:tcW w:w="946" w:type="dxa"/>
          </w:tcPr>
          <w:p>
            <w:pPr>
              <w:pStyle w:val="TableParagraph"/>
              <w:spacing w:before="36"/>
              <w:ind w:right="57"/>
              <w:jc w:val="right"/>
              <w:rPr>
                <w:sz w:val="14"/>
              </w:rPr>
            </w:pPr>
            <w:r>
              <w:rPr>
                <w:w w:val="105"/>
                <w:sz w:val="14"/>
              </w:rPr>
              <w:t>384</w:t>
            </w:r>
          </w:p>
        </w:tc>
        <w:tc>
          <w:tcPr>
            <w:tcW w:w="945" w:type="dxa"/>
          </w:tcPr>
          <w:p>
            <w:pPr>
              <w:pStyle w:val="TableParagraph"/>
              <w:spacing w:before="36"/>
              <w:ind w:right="56"/>
              <w:jc w:val="right"/>
              <w:rPr>
                <w:sz w:val="14"/>
              </w:rPr>
            </w:pPr>
            <w:r>
              <w:rPr>
                <w:w w:val="95"/>
                <w:sz w:val="14"/>
              </w:rPr>
              <w:t>3.144</w:t>
            </w:r>
          </w:p>
        </w:tc>
        <w:tc>
          <w:tcPr>
            <w:tcW w:w="945" w:type="dxa"/>
          </w:tcPr>
          <w:p>
            <w:pPr>
              <w:pStyle w:val="TableParagraph"/>
              <w:spacing w:before="36"/>
              <w:ind w:right="58"/>
              <w:jc w:val="right"/>
              <w:rPr>
                <w:sz w:val="14"/>
              </w:rPr>
            </w:pPr>
            <w:r>
              <w:rPr>
                <w:w w:val="95"/>
                <w:sz w:val="14"/>
              </w:rPr>
              <w:t>2.721</w:t>
            </w:r>
          </w:p>
        </w:tc>
      </w:tr>
      <w:tr>
        <w:trPr>
          <w:trHeight w:val="237" w:hRule="atLeast"/>
        </w:trPr>
        <w:tc>
          <w:tcPr>
            <w:tcW w:w="6136" w:type="dxa"/>
          </w:tcPr>
          <w:p>
            <w:pPr>
              <w:pStyle w:val="TableParagraph"/>
              <w:spacing w:before="38"/>
              <w:ind w:left="72"/>
              <w:rPr>
                <w:sz w:val="14"/>
              </w:rPr>
            </w:pPr>
            <w:r>
              <w:rPr>
                <w:w w:val="105"/>
                <w:sz w:val="14"/>
              </w:rPr>
              <w:t>Programa de Integração Social – PIS</w:t>
            </w:r>
          </w:p>
        </w:tc>
        <w:tc>
          <w:tcPr>
            <w:tcW w:w="943" w:type="dxa"/>
          </w:tcPr>
          <w:p>
            <w:pPr>
              <w:pStyle w:val="TableParagraph"/>
              <w:spacing w:before="38"/>
              <w:ind w:right="57"/>
              <w:jc w:val="right"/>
              <w:rPr>
                <w:sz w:val="14"/>
              </w:rPr>
            </w:pPr>
            <w:r>
              <w:rPr>
                <w:sz w:val="14"/>
              </w:rPr>
              <w:t>399</w:t>
            </w:r>
          </w:p>
        </w:tc>
        <w:tc>
          <w:tcPr>
            <w:tcW w:w="946" w:type="dxa"/>
          </w:tcPr>
          <w:p>
            <w:pPr>
              <w:pStyle w:val="TableParagraph"/>
              <w:spacing w:before="38"/>
              <w:ind w:right="57"/>
              <w:jc w:val="right"/>
              <w:rPr>
                <w:sz w:val="14"/>
              </w:rPr>
            </w:pPr>
            <w:r>
              <w:rPr>
                <w:w w:val="105"/>
                <w:sz w:val="14"/>
              </w:rPr>
              <w:t>404</w:t>
            </w:r>
          </w:p>
        </w:tc>
        <w:tc>
          <w:tcPr>
            <w:tcW w:w="945" w:type="dxa"/>
          </w:tcPr>
          <w:p>
            <w:pPr>
              <w:pStyle w:val="TableParagraph"/>
              <w:spacing w:before="38"/>
              <w:ind w:right="56"/>
              <w:jc w:val="right"/>
              <w:rPr>
                <w:sz w:val="14"/>
              </w:rPr>
            </w:pPr>
            <w:r>
              <w:rPr>
                <w:sz w:val="14"/>
              </w:rPr>
              <w:t>842</w:t>
            </w:r>
          </w:p>
        </w:tc>
        <w:tc>
          <w:tcPr>
            <w:tcW w:w="945" w:type="dxa"/>
          </w:tcPr>
          <w:p>
            <w:pPr>
              <w:pStyle w:val="TableParagraph"/>
              <w:spacing w:before="38"/>
              <w:ind w:right="58"/>
              <w:jc w:val="right"/>
              <w:rPr>
                <w:sz w:val="14"/>
              </w:rPr>
            </w:pPr>
            <w:r>
              <w:rPr>
                <w:w w:val="105"/>
                <w:sz w:val="14"/>
              </w:rPr>
              <w:t>615</w:t>
            </w:r>
          </w:p>
        </w:tc>
      </w:tr>
      <w:tr>
        <w:trPr>
          <w:trHeight w:val="239" w:hRule="atLeast"/>
        </w:trPr>
        <w:tc>
          <w:tcPr>
            <w:tcW w:w="6136" w:type="dxa"/>
          </w:tcPr>
          <w:p>
            <w:pPr>
              <w:pStyle w:val="TableParagraph"/>
              <w:spacing w:before="38"/>
              <w:ind w:left="72"/>
              <w:rPr>
                <w:sz w:val="14"/>
              </w:rPr>
            </w:pPr>
            <w:r>
              <w:rPr>
                <w:w w:val="105"/>
                <w:sz w:val="14"/>
              </w:rPr>
              <w:t>Contribuição Provisória Sobre Movimentação Financeira – CPMF</w:t>
            </w:r>
          </w:p>
        </w:tc>
        <w:tc>
          <w:tcPr>
            <w:tcW w:w="943" w:type="dxa"/>
          </w:tcPr>
          <w:p>
            <w:pPr>
              <w:pStyle w:val="TableParagraph"/>
              <w:spacing w:before="38"/>
              <w:ind w:right="57"/>
              <w:jc w:val="right"/>
              <w:rPr>
                <w:sz w:val="14"/>
              </w:rPr>
            </w:pPr>
            <w:r>
              <w:rPr>
                <w:sz w:val="14"/>
              </w:rPr>
              <w:t>544</w:t>
            </w:r>
          </w:p>
        </w:tc>
        <w:tc>
          <w:tcPr>
            <w:tcW w:w="946" w:type="dxa"/>
          </w:tcPr>
          <w:p>
            <w:pPr>
              <w:pStyle w:val="TableParagraph"/>
              <w:spacing w:before="38"/>
              <w:ind w:right="57"/>
              <w:jc w:val="right"/>
              <w:rPr>
                <w:sz w:val="14"/>
              </w:rPr>
            </w:pPr>
            <w:r>
              <w:rPr>
                <w:w w:val="105"/>
                <w:sz w:val="14"/>
              </w:rPr>
              <w:t>544</w:t>
            </w:r>
          </w:p>
        </w:tc>
        <w:tc>
          <w:tcPr>
            <w:tcW w:w="945" w:type="dxa"/>
          </w:tcPr>
          <w:p>
            <w:pPr>
              <w:pStyle w:val="TableParagraph"/>
              <w:spacing w:before="38"/>
              <w:ind w:right="56"/>
              <w:jc w:val="right"/>
              <w:rPr>
                <w:sz w:val="14"/>
              </w:rPr>
            </w:pPr>
            <w:r>
              <w:rPr>
                <w:sz w:val="14"/>
              </w:rPr>
              <w:t>544</w:t>
            </w:r>
          </w:p>
        </w:tc>
        <w:tc>
          <w:tcPr>
            <w:tcW w:w="945" w:type="dxa"/>
          </w:tcPr>
          <w:p>
            <w:pPr>
              <w:pStyle w:val="TableParagraph"/>
              <w:spacing w:before="38"/>
              <w:ind w:right="58"/>
              <w:jc w:val="right"/>
              <w:rPr>
                <w:sz w:val="14"/>
              </w:rPr>
            </w:pPr>
            <w:r>
              <w:rPr>
                <w:w w:val="105"/>
                <w:sz w:val="14"/>
              </w:rPr>
              <w:t>544</w:t>
            </w:r>
          </w:p>
        </w:tc>
      </w:tr>
      <w:tr>
        <w:trPr>
          <w:trHeight w:val="237" w:hRule="atLeast"/>
        </w:trPr>
        <w:tc>
          <w:tcPr>
            <w:tcW w:w="6136" w:type="dxa"/>
          </w:tcPr>
          <w:p>
            <w:pPr>
              <w:pStyle w:val="TableParagraph"/>
              <w:spacing w:before="36"/>
              <w:ind w:left="72"/>
              <w:rPr>
                <w:sz w:val="14"/>
              </w:rPr>
            </w:pPr>
            <w:r>
              <w:rPr>
                <w:sz w:val="14"/>
              </w:rPr>
              <w:t>Outros</w:t>
            </w:r>
          </w:p>
        </w:tc>
        <w:tc>
          <w:tcPr>
            <w:tcW w:w="943" w:type="dxa"/>
          </w:tcPr>
          <w:p>
            <w:pPr>
              <w:pStyle w:val="TableParagraph"/>
              <w:spacing w:before="36"/>
              <w:ind w:right="57"/>
              <w:jc w:val="right"/>
              <w:rPr>
                <w:sz w:val="14"/>
              </w:rPr>
            </w:pPr>
            <w:r>
              <w:rPr>
                <w:sz w:val="14"/>
              </w:rPr>
              <w:t>58</w:t>
            </w:r>
          </w:p>
        </w:tc>
        <w:tc>
          <w:tcPr>
            <w:tcW w:w="946" w:type="dxa"/>
          </w:tcPr>
          <w:p>
            <w:pPr>
              <w:pStyle w:val="TableParagraph"/>
              <w:spacing w:before="36"/>
              <w:ind w:right="57"/>
              <w:jc w:val="right"/>
              <w:rPr>
                <w:sz w:val="14"/>
              </w:rPr>
            </w:pPr>
            <w:r>
              <w:rPr>
                <w:sz w:val="14"/>
              </w:rPr>
              <w:t>58</w:t>
            </w:r>
          </w:p>
        </w:tc>
        <w:tc>
          <w:tcPr>
            <w:tcW w:w="945" w:type="dxa"/>
          </w:tcPr>
          <w:p>
            <w:pPr>
              <w:pStyle w:val="TableParagraph"/>
              <w:spacing w:before="36"/>
              <w:ind w:right="56"/>
              <w:jc w:val="right"/>
              <w:rPr>
                <w:sz w:val="14"/>
              </w:rPr>
            </w:pPr>
            <w:r>
              <w:rPr>
                <w:sz w:val="14"/>
              </w:rPr>
              <w:t>101</w:t>
            </w:r>
          </w:p>
        </w:tc>
        <w:tc>
          <w:tcPr>
            <w:tcW w:w="945" w:type="dxa"/>
          </w:tcPr>
          <w:p>
            <w:pPr>
              <w:pStyle w:val="TableParagraph"/>
              <w:spacing w:before="36"/>
              <w:ind w:right="58"/>
              <w:jc w:val="right"/>
              <w:rPr>
                <w:sz w:val="14"/>
              </w:rPr>
            </w:pPr>
            <w:r>
              <w:rPr>
                <w:sz w:val="14"/>
              </w:rPr>
              <w:t>58</w:t>
            </w:r>
          </w:p>
        </w:tc>
      </w:tr>
      <w:tr>
        <w:trPr>
          <w:trHeight w:val="237" w:hRule="atLeast"/>
        </w:trPr>
        <w:tc>
          <w:tcPr>
            <w:tcW w:w="6136" w:type="dxa"/>
          </w:tcPr>
          <w:p>
            <w:pPr>
              <w:pStyle w:val="TableParagraph"/>
              <w:spacing w:before="37"/>
              <w:ind w:left="72"/>
              <w:rPr>
                <w:rFonts w:ascii="Caladea"/>
                <w:b/>
                <w:sz w:val="14"/>
              </w:rPr>
            </w:pPr>
            <w:r>
              <w:rPr>
                <w:rFonts w:ascii="Caladea"/>
                <w:b/>
                <w:sz w:val="14"/>
              </w:rPr>
              <w:t>Total</w:t>
            </w:r>
          </w:p>
        </w:tc>
        <w:tc>
          <w:tcPr>
            <w:tcW w:w="943" w:type="dxa"/>
          </w:tcPr>
          <w:p>
            <w:pPr>
              <w:pStyle w:val="TableParagraph"/>
              <w:spacing w:before="37"/>
              <w:ind w:right="57"/>
              <w:jc w:val="right"/>
              <w:rPr>
                <w:rFonts w:ascii="Caladea"/>
                <w:b/>
                <w:sz w:val="14"/>
              </w:rPr>
            </w:pPr>
            <w:r>
              <w:rPr>
                <w:rFonts w:ascii="Caladea"/>
                <w:b/>
                <w:sz w:val="14"/>
              </w:rPr>
              <w:t>30.035</w:t>
            </w:r>
          </w:p>
        </w:tc>
        <w:tc>
          <w:tcPr>
            <w:tcW w:w="946" w:type="dxa"/>
          </w:tcPr>
          <w:p>
            <w:pPr>
              <w:pStyle w:val="TableParagraph"/>
              <w:spacing w:before="37"/>
              <w:ind w:right="57"/>
              <w:jc w:val="right"/>
              <w:rPr>
                <w:rFonts w:ascii="Caladea"/>
                <w:b/>
                <w:sz w:val="14"/>
              </w:rPr>
            </w:pPr>
            <w:r>
              <w:rPr>
                <w:rFonts w:ascii="Caladea"/>
                <w:b/>
                <w:sz w:val="14"/>
              </w:rPr>
              <w:t>30.747</w:t>
            </w:r>
          </w:p>
        </w:tc>
        <w:tc>
          <w:tcPr>
            <w:tcW w:w="945" w:type="dxa"/>
          </w:tcPr>
          <w:p>
            <w:pPr>
              <w:pStyle w:val="TableParagraph"/>
              <w:spacing w:before="37"/>
              <w:ind w:right="56"/>
              <w:jc w:val="right"/>
              <w:rPr>
                <w:rFonts w:ascii="Caladea"/>
                <w:b/>
                <w:sz w:val="14"/>
              </w:rPr>
            </w:pPr>
            <w:r>
              <w:rPr>
                <w:rFonts w:ascii="Caladea"/>
                <w:b/>
                <w:sz w:val="14"/>
              </w:rPr>
              <w:t>55.187</w:t>
            </w:r>
          </w:p>
        </w:tc>
        <w:tc>
          <w:tcPr>
            <w:tcW w:w="945" w:type="dxa"/>
          </w:tcPr>
          <w:p>
            <w:pPr>
              <w:pStyle w:val="TableParagraph"/>
              <w:spacing w:before="37"/>
              <w:ind w:right="58"/>
              <w:jc w:val="right"/>
              <w:rPr>
                <w:rFonts w:ascii="Caladea"/>
                <w:b/>
                <w:sz w:val="14"/>
              </w:rPr>
            </w:pPr>
            <w:r>
              <w:rPr>
                <w:rFonts w:ascii="Caladea"/>
                <w:b/>
                <w:sz w:val="14"/>
              </w:rPr>
              <w:t>55.316</w:t>
            </w:r>
          </w:p>
        </w:tc>
      </w:tr>
      <w:tr>
        <w:trPr>
          <w:trHeight w:val="239" w:hRule="atLeast"/>
        </w:trPr>
        <w:tc>
          <w:tcPr>
            <w:tcW w:w="6136" w:type="dxa"/>
          </w:tcPr>
          <w:p>
            <w:pPr>
              <w:pStyle w:val="TableParagraph"/>
              <w:spacing w:before="37"/>
              <w:ind w:left="72"/>
              <w:rPr>
                <w:rFonts w:ascii="Caladea"/>
                <w:b/>
                <w:sz w:val="14"/>
              </w:rPr>
            </w:pPr>
            <w:r>
              <w:rPr>
                <w:rFonts w:ascii="Caladea"/>
                <w:b/>
                <w:sz w:val="14"/>
              </w:rPr>
              <w:t>Circulante</w:t>
            </w:r>
          </w:p>
        </w:tc>
        <w:tc>
          <w:tcPr>
            <w:tcW w:w="943" w:type="dxa"/>
          </w:tcPr>
          <w:p>
            <w:pPr>
              <w:pStyle w:val="TableParagraph"/>
              <w:spacing w:before="37"/>
              <w:ind w:right="57"/>
              <w:jc w:val="right"/>
              <w:rPr>
                <w:rFonts w:ascii="Caladea"/>
                <w:b/>
                <w:sz w:val="14"/>
              </w:rPr>
            </w:pPr>
            <w:r>
              <w:rPr>
                <w:rFonts w:ascii="Caladea"/>
                <w:b/>
                <w:w w:val="95"/>
                <w:sz w:val="14"/>
              </w:rPr>
              <w:t>4.806</w:t>
            </w:r>
          </w:p>
        </w:tc>
        <w:tc>
          <w:tcPr>
            <w:tcW w:w="946" w:type="dxa"/>
          </w:tcPr>
          <w:p>
            <w:pPr>
              <w:pStyle w:val="TableParagraph"/>
              <w:spacing w:before="37"/>
              <w:ind w:right="57"/>
              <w:jc w:val="right"/>
              <w:rPr>
                <w:rFonts w:ascii="Caladea"/>
                <w:b/>
                <w:sz w:val="14"/>
              </w:rPr>
            </w:pPr>
            <w:r>
              <w:rPr>
                <w:rFonts w:ascii="Caladea"/>
                <w:b/>
                <w:w w:val="95"/>
                <w:sz w:val="14"/>
              </w:rPr>
              <w:t>4.684</w:t>
            </w:r>
          </w:p>
        </w:tc>
        <w:tc>
          <w:tcPr>
            <w:tcW w:w="945" w:type="dxa"/>
          </w:tcPr>
          <w:p>
            <w:pPr>
              <w:pStyle w:val="TableParagraph"/>
              <w:spacing w:before="37"/>
              <w:ind w:right="56"/>
              <w:jc w:val="right"/>
              <w:rPr>
                <w:rFonts w:ascii="Caladea"/>
                <w:b/>
                <w:sz w:val="14"/>
              </w:rPr>
            </w:pPr>
            <w:r>
              <w:rPr>
                <w:rFonts w:ascii="Caladea"/>
                <w:b/>
                <w:sz w:val="14"/>
              </w:rPr>
              <w:t>24.040</w:t>
            </w:r>
          </w:p>
        </w:tc>
        <w:tc>
          <w:tcPr>
            <w:tcW w:w="945" w:type="dxa"/>
          </w:tcPr>
          <w:p>
            <w:pPr>
              <w:pStyle w:val="TableParagraph"/>
              <w:spacing w:before="37"/>
              <w:ind w:right="58"/>
              <w:jc w:val="right"/>
              <w:rPr>
                <w:rFonts w:ascii="Caladea"/>
                <w:b/>
                <w:sz w:val="14"/>
              </w:rPr>
            </w:pPr>
            <w:r>
              <w:rPr>
                <w:rFonts w:ascii="Caladea"/>
                <w:b/>
                <w:sz w:val="14"/>
              </w:rPr>
              <w:t>23.169</w:t>
            </w:r>
          </w:p>
        </w:tc>
      </w:tr>
      <w:tr>
        <w:trPr>
          <w:trHeight w:val="237" w:hRule="atLeast"/>
        </w:trPr>
        <w:tc>
          <w:tcPr>
            <w:tcW w:w="6136" w:type="dxa"/>
          </w:tcPr>
          <w:p>
            <w:pPr>
              <w:pStyle w:val="TableParagraph"/>
              <w:spacing w:before="34"/>
              <w:ind w:left="72"/>
              <w:rPr>
                <w:rFonts w:ascii="Caladea" w:hAnsi="Caladea"/>
                <w:b/>
                <w:sz w:val="14"/>
              </w:rPr>
            </w:pPr>
            <w:r>
              <w:rPr>
                <w:rFonts w:ascii="Caladea" w:hAnsi="Caladea"/>
                <w:b/>
                <w:sz w:val="14"/>
              </w:rPr>
              <w:t>Não Circulante</w:t>
            </w:r>
          </w:p>
        </w:tc>
        <w:tc>
          <w:tcPr>
            <w:tcW w:w="943" w:type="dxa"/>
          </w:tcPr>
          <w:p>
            <w:pPr>
              <w:pStyle w:val="TableParagraph"/>
              <w:spacing w:before="34"/>
              <w:ind w:right="57"/>
              <w:jc w:val="right"/>
              <w:rPr>
                <w:rFonts w:ascii="Caladea"/>
                <w:b/>
                <w:sz w:val="14"/>
              </w:rPr>
            </w:pPr>
            <w:r>
              <w:rPr>
                <w:rFonts w:ascii="Caladea"/>
                <w:b/>
                <w:sz w:val="14"/>
              </w:rPr>
              <w:t>25.229</w:t>
            </w:r>
          </w:p>
        </w:tc>
        <w:tc>
          <w:tcPr>
            <w:tcW w:w="946" w:type="dxa"/>
          </w:tcPr>
          <w:p>
            <w:pPr>
              <w:pStyle w:val="TableParagraph"/>
              <w:spacing w:before="34"/>
              <w:ind w:right="57"/>
              <w:jc w:val="right"/>
              <w:rPr>
                <w:rFonts w:ascii="Caladea"/>
                <w:b/>
                <w:sz w:val="14"/>
              </w:rPr>
            </w:pPr>
            <w:r>
              <w:rPr>
                <w:rFonts w:ascii="Caladea"/>
                <w:b/>
                <w:sz w:val="14"/>
              </w:rPr>
              <w:t>26.063</w:t>
            </w:r>
          </w:p>
        </w:tc>
        <w:tc>
          <w:tcPr>
            <w:tcW w:w="945" w:type="dxa"/>
          </w:tcPr>
          <w:p>
            <w:pPr>
              <w:pStyle w:val="TableParagraph"/>
              <w:spacing w:before="34"/>
              <w:ind w:right="56"/>
              <w:jc w:val="right"/>
              <w:rPr>
                <w:rFonts w:ascii="Caladea"/>
                <w:b/>
                <w:sz w:val="14"/>
              </w:rPr>
            </w:pPr>
            <w:r>
              <w:rPr>
                <w:rFonts w:ascii="Caladea"/>
                <w:b/>
                <w:sz w:val="14"/>
              </w:rPr>
              <w:t>31.147</w:t>
            </w:r>
          </w:p>
        </w:tc>
        <w:tc>
          <w:tcPr>
            <w:tcW w:w="945" w:type="dxa"/>
          </w:tcPr>
          <w:p>
            <w:pPr>
              <w:pStyle w:val="TableParagraph"/>
              <w:spacing w:before="34"/>
              <w:ind w:right="58"/>
              <w:jc w:val="right"/>
              <w:rPr>
                <w:rFonts w:ascii="Caladea"/>
                <w:b/>
                <w:sz w:val="14"/>
              </w:rPr>
            </w:pPr>
            <w:r>
              <w:rPr>
                <w:rFonts w:ascii="Caladea"/>
                <w:b/>
                <w:sz w:val="14"/>
              </w:rPr>
              <w:t>32.147</w:t>
            </w:r>
          </w:p>
        </w:tc>
      </w:tr>
    </w:tbl>
    <w:p>
      <w:pPr>
        <w:spacing w:after="0"/>
        <w:jc w:val="right"/>
        <w:rPr>
          <w:rFonts w:ascii="Caladea"/>
          <w:sz w:val="14"/>
        </w:rPr>
        <w:sectPr>
          <w:pgSz w:w="11910" w:h="16850"/>
          <w:pgMar w:header="792" w:footer="987"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ListParagraph"/>
        <w:numPr>
          <w:ilvl w:val="0"/>
          <w:numId w:val="21"/>
        </w:numPr>
        <w:tabs>
          <w:tab w:pos="482" w:val="left" w:leader="none"/>
        </w:tabs>
        <w:spacing w:line="242" w:lineRule="auto" w:before="15" w:after="0"/>
        <w:ind w:left="172" w:right="410" w:firstLine="0"/>
        <w:jc w:val="both"/>
        <w:rPr>
          <w:sz w:val="20"/>
        </w:rPr>
      </w:pPr>
      <w:r>
        <w:rPr>
          <w:sz w:val="20"/>
        </w:rPr>
        <w:t>Os</w:t>
      </w:r>
      <w:r>
        <w:rPr>
          <w:spacing w:val="-24"/>
          <w:sz w:val="20"/>
        </w:rPr>
        <w:t> </w:t>
      </w:r>
      <w:r>
        <w:rPr>
          <w:sz w:val="20"/>
        </w:rPr>
        <w:t>valores</w:t>
      </w:r>
      <w:r>
        <w:rPr>
          <w:spacing w:val="-21"/>
          <w:sz w:val="20"/>
        </w:rPr>
        <w:t> </w:t>
      </w:r>
      <w:r>
        <w:rPr>
          <w:sz w:val="20"/>
        </w:rPr>
        <w:t>de</w:t>
      </w:r>
      <w:r>
        <w:rPr>
          <w:spacing w:val="-25"/>
          <w:sz w:val="20"/>
        </w:rPr>
        <w:t> </w:t>
      </w:r>
      <w:r>
        <w:rPr>
          <w:sz w:val="20"/>
        </w:rPr>
        <w:t>Imposto</w:t>
      </w:r>
      <w:r>
        <w:rPr>
          <w:spacing w:val="-22"/>
          <w:sz w:val="20"/>
        </w:rPr>
        <w:t> </w:t>
      </w:r>
      <w:r>
        <w:rPr>
          <w:sz w:val="20"/>
        </w:rPr>
        <w:t>de</w:t>
      </w:r>
      <w:r>
        <w:rPr>
          <w:spacing w:val="-25"/>
          <w:sz w:val="20"/>
        </w:rPr>
        <w:t> </w:t>
      </w:r>
      <w:r>
        <w:rPr>
          <w:sz w:val="20"/>
        </w:rPr>
        <w:t>Renda</w:t>
      </w:r>
      <w:r>
        <w:rPr>
          <w:spacing w:val="-22"/>
          <w:sz w:val="20"/>
        </w:rPr>
        <w:t> </w:t>
      </w:r>
      <w:r>
        <w:rPr>
          <w:sz w:val="20"/>
        </w:rPr>
        <w:t>e</w:t>
      </w:r>
      <w:r>
        <w:rPr>
          <w:spacing w:val="-23"/>
          <w:sz w:val="20"/>
        </w:rPr>
        <w:t> </w:t>
      </w:r>
      <w:r>
        <w:rPr>
          <w:sz w:val="20"/>
        </w:rPr>
        <w:t>Contribuição</w:t>
      </w:r>
      <w:r>
        <w:rPr>
          <w:spacing w:val="-22"/>
          <w:sz w:val="20"/>
        </w:rPr>
        <w:t> </w:t>
      </w:r>
      <w:r>
        <w:rPr>
          <w:sz w:val="20"/>
        </w:rPr>
        <w:t>Social</w:t>
      </w:r>
      <w:r>
        <w:rPr>
          <w:spacing w:val="-23"/>
          <w:sz w:val="20"/>
        </w:rPr>
        <w:t> </w:t>
      </w:r>
      <w:r>
        <w:rPr>
          <w:sz w:val="20"/>
        </w:rPr>
        <w:t>referem-se</w:t>
      </w:r>
      <w:r>
        <w:rPr>
          <w:spacing w:val="-22"/>
          <w:sz w:val="20"/>
        </w:rPr>
        <w:t> </w:t>
      </w:r>
      <w:r>
        <w:rPr>
          <w:sz w:val="20"/>
        </w:rPr>
        <w:t>às</w:t>
      </w:r>
      <w:r>
        <w:rPr>
          <w:spacing w:val="-24"/>
          <w:sz w:val="20"/>
        </w:rPr>
        <w:t> </w:t>
      </w:r>
      <w:r>
        <w:rPr>
          <w:sz w:val="20"/>
        </w:rPr>
        <w:t>antecipações</w:t>
      </w:r>
      <w:r>
        <w:rPr>
          <w:spacing w:val="-23"/>
          <w:sz w:val="20"/>
        </w:rPr>
        <w:t> </w:t>
      </w:r>
      <w:r>
        <w:rPr>
          <w:sz w:val="20"/>
        </w:rPr>
        <w:t>feitas</w:t>
      </w:r>
      <w:r>
        <w:rPr>
          <w:spacing w:val="-22"/>
          <w:sz w:val="20"/>
        </w:rPr>
        <w:t> </w:t>
      </w:r>
      <w:r>
        <w:rPr>
          <w:sz w:val="20"/>
        </w:rPr>
        <w:t>no</w:t>
      </w:r>
      <w:r>
        <w:rPr>
          <w:spacing w:val="-22"/>
          <w:sz w:val="20"/>
        </w:rPr>
        <w:t> </w:t>
      </w:r>
      <w:r>
        <w:rPr>
          <w:sz w:val="20"/>
        </w:rPr>
        <w:t>período;</w:t>
      </w:r>
      <w:r>
        <w:rPr>
          <w:spacing w:val="-23"/>
          <w:sz w:val="20"/>
        </w:rPr>
        <w:t> </w:t>
      </w:r>
      <w:r>
        <w:rPr>
          <w:sz w:val="20"/>
        </w:rPr>
        <w:t>aos</w:t>
      </w:r>
      <w:r>
        <w:rPr>
          <w:spacing w:val="-23"/>
          <w:sz w:val="20"/>
        </w:rPr>
        <w:t> </w:t>
      </w:r>
      <w:r>
        <w:rPr>
          <w:sz w:val="20"/>
        </w:rPr>
        <w:t>saldos negativos</w:t>
      </w:r>
      <w:r>
        <w:rPr>
          <w:spacing w:val="-45"/>
          <w:sz w:val="20"/>
        </w:rPr>
        <w:t> </w:t>
      </w:r>
      <w:r>
        <w:rPr>
          <w:sz w:val="20"/>
        </w:rPr>
        <w:t>de</w:t>
      </w:r>
      <w:r>
        <w:rPr>
          <w:spacing w:val="-45"/>
          <w:sz w:val="20"/>
        </w:rPr>
        <w:t> </w:t>
      </w:r>
      <w:r>
        <w:rPr>
          <w:sz w:val="20"/>
        </w:rPr>
        <w:t>exercícios</w:t>
      </w:r>
      <w:r>
        <w:rPr>
          <w:spacing w:val="-45"/>
          <w:sz w:val="20"/>
        </w:rPr>
        <w:t> </w:t>
      </w:r>
      <w:r>
        <w:rPr>
          <w:sz w:val="20"/>
        </w:rPr>
        <w:t>anteriores;</w:t>
      </w:r>
      <w:r>
        <w:rPr>
          <w:spacing w:val="-44"/>
          <w:sz w:val="20"/>
        </w:rPr>
        <w:t> </w:t>
      </w:r>
      <w:r>
        <w:rPr>
          <w:sz w:val="20"/>
        </w:rPr>
        <w:t>e</w:t>
      </w:r>
      <w:r>
        <w:rPr>
          <w:spacing w:val="-46"/>
          <w:sz w:val="20"/>
        </w:rPr>
        <w:t> </w:t>
      </w:r>
      <w:r>
        <w:rPr>
          <w:sz w:val="20"/>
        </w:rPr>
        <w:t>às</w:t>
      </w:r>
      <w:r>
        <w:rPr>
          <w:spacing w:val="-43"/>
          <w:sz w:val="20"/>
        </w:rPr>
        <w:t> </w:t>
      </w:r>
      <w:r>
        <w:rPr>
          <w:sz w:val="20"/>
        </w:rPr>
        <w:t>retenções</w:t>
      </w:r>
      <w:r>
        <w:rPr>
          <w:spacing w:val="-44"/>
          <w:sz w:val="20"/>
        </w:rPr>
        <w:t> </w:t>
      </w:r>
      <w:r>
        <w:rPr>
          <w:sz w:val="20"/>
        </w:rPr>
        <w:t>fonte</w:t>
      </w:r>
      <w:r>
        <w:rPr>
          <w:spacing w:val="-45"/>
          <w:sz w:val="20"/>
        </w:rPr>
        <w:t> </w:t>
      </w:r>
      <w:r>
        <w:rPr>
          <w:sz w:val="20"/>
        </w:rPr>
        <w:t>por</w:t>
      </w:r>
      <w:r>
        <w:rPr>
          <w:spacing w:val="-45"/>
          <w:sz w:val="20"/>
        </w:rPr>
        <w:t> </w:t>
      </w:r>
      <w:r>
        <w:rPr>
          <w:sz w:val="20"/>
        </w:rPr>
        <w:t>órgãos</w:t>
      </w:r>
      <w:r>
        <w:rPr>
          <w:spacing w:val="-44"/>
          <w:sz w:val="20"/>
        </w:rPr>
        <w:t> </w:t>
      </w:r>
      <w:r>
        <w:rPr>
          <w:sz w:val="20"/>
        </w:rPr>
        <w:t>públicos,</w:t>
      </w:r>
      <w:r>
        <w:rPr>
          <w:spacing w:val="-44"/>
          <w:sz w:val="20"/>
        </w:rPr>
        <w:t> </w:t>
      </w:r>
      <w:r>
        <w:rPr>
          <w:sz w:val="20"/>
        </w:rPr>
        <w:t>em</w:t>
      </w:r>
      <w:r>
        <w:rPr>
          <w:spacing w:val="-44"/>
          <w:sz w:val="20"/>
        </w:rPr>
        <w:t> </w:t>
      </w:r>
      <w:r>
        <w:rPr>
          <w:sz w:val="20"/>
        </w:rPr>
        <w:t>razão</w:t>
      </w:r>
      <w:r>
        <w:rPr>
          <w:spacing w:val="-44"/>
          <w:sz w:val="20"/>
        </w:rPr>
        <w:t> </w:t>
      </w:r>
      <w:r>
        <w:rPr>
          <w:sz w:val="20"/>
        </w:rPr>
        <w:t>de</w:t>
      </w:r>
      <w:r>
        <w:rPr>
          <w:spacing w:val="-46"/>
          <w:sz w:val="20"/>
        </w:rPr>
        <w:t> </w:t>
      </w:r>
      <w:r>
        <w:rPr>
          <w:sz w:val="20"/>
        </w:rPr>
        <w:t>a</w:t>
      </w:r>
      <w:r>
        <w:rPr>
          <w:spacing w:val="-43"/>
          <w:sz w:val="20"/>
        </w:rPr>
        <w:t> </w:t>
      </w:r>
      <w:r>
        <w:rPr>
          <w:sz w:val="20"/>
        </w:rPr>
        <w:t>opção</w:t>
      </w:r>
      <w:r>
        <w:rPr>
          <w:spacing w:val="-45"/>
          <w:sz w:val="20"/>
        </w:rPr>
        <w:t> </w:t>
      </w:r>
      <w:r>
        <w:rPr>
          <w:sz w:val="20"/>
        </w:rPr>
        <w:t>de</w:t>
      </w:r>
      <w:r>
        <w:rPr>
          <w:spacing w:val="-45"/>
          <w:sz w:val="20"/>
        </w:rPr>
        <w:t> </w:t>
      </w:r>
      <w:r>
        <w:rPr>
          <w:sz w:val="20"/>
        </w:rPr>
        <w:t>apuração</w:t>
      </w:r>
      <w:r>
        <w:rPr>
          <w:spacing w:val="-45"/>
          <w:sz w:val="20"/>
        </w:rPr>
        <w:t> </w:t>
      </w:r>
      <w:r>
        <w:rPr>
          <w:sz w:val="20"/>
        </w:rPr>
        <w:t>ser</w:t>
      </w:r>
      <w:r>
        <w:rPr>
          <w:spacing w:val="-45"/>
          <w:sz w:val="20"/>
        </w:rPr>
        <w:t> </w:t>
      </w:r>
      <w:r>
        <w:rPr>
          <w:sz w:val="20"/>
        </w:rPr>
        <w:t>pelo Lucro</w:t>
      </w:r>
      <w:r>
        <w:rPr>
          <w:spacing w:val="-25"/>
          <w:sz w:val="20"/>
        </w:rPr>
        <w:t> </w:t>
      </w:r>
      <w:r>
        <w:rPr>
          <w:sz w:val="20"/>
        </w:rPr>
        <w:t>Real</w:t>
      </w:r>
      <w:r>
        <w:rPr>
          <w:spacing w:val="-23"/>
          <w:sz w:val="20"/>
        </w:rPr>
        <w:t> </w:t>
      </w:r>
      <w:r>
        <w:rPr>
          <w:sz w:val="20"/>
        </w:rPr>
        <w:t>Anual,</w:t>
      </w:r>
      <w:r>
        <w:rPr>
          <w:spacing w:val="-24"/>
          <w:sz w:val="20"/>
        </w:rPr>
        <w:t> </w:t>
      </w:r>
      <w:r>
        <w:rPr>
          <w:sz w:val="20"/>
        </w:rPr>
        <w:t>bem</w:t>
      </w:r>
      <w:r>
        <w:rPr>
          <w:spacing w:val="-22"/>
          <w:sz w:val="20"/>
        </w:rPr>
        <w:t> </w:t>
      </w:r>
      <w:r>
        <w:rPr>
          <w:sz w:val="20"/>
        </w:rPr>
        <w:t>como</w:t>
      </w:r>
      <w:r>
        <w:rPr>
          <w:spacing w:val="-22"/>
          <w:sz w:val="20"/>
        </w:rPr>
        <w:t> </w:t>
      </w:r>
      <w:r>
        <w:rPr>
          <w:sz w:val="20"/>
        </w:rPr>
        <w:t>dos</w:t>
      </w:r>
      <w:r>
        <w:rPr>
          <w:spacing w:val="-24"/>
          <w:sz w:val="20"/>
        </w:rPr>
        <w:t> </w:t>
      </w:r>
      <w:r>
        <w:rPr>
          <w:sz w:val="20"/>
        </w:rPr>
        <w:t>créditos</w:t>
      </w:r>
      <w:r>
        <w:rPr>
          <w:spacing w:val="-23"/>
          <w:sz w:val="20"/>
        </w:rPr>
        <w:t> </w:t>
      </w:r>
      <w:r>
        <w:rPr>
          <w:sz w:val="20"/>
        </w:rPr>
        <w:t>provenientes</w:t>
      </w:r>
      <w:r>
        <w:rPr>
          <w:spacing w:val="-21"/>
          <w:sz w:val="20"/>
        </w:rPr>
        <w:t> </w:t>
      </w:r>
      <w:r>
        <w:rPr>
          <w:sz w:val="20"/>
        </w:rPr>
        <w:t>de</w:t>
      </w:r>
      <w:r>
        <w:rPr>
          <w:spacing w:val="-25"/>
          <w:sz w:val="20"/>
        </w:rPr>
        <w:t> </w:t>
      </w:r>
      <w:r>
        <w:rPr>
          <w:sz w:val="20"/>
        </w:rPr>
        <w:t>tributos</w:t>
      </w:r>
      <w:r>
        <w:rPr>
          <w:spacing w:val="-23"/>
          <w:sz w:val="20"/>
        </w:rPr>
        <w:t> </w:t>
      </w:r>
      <w:r>
        <w:rPr>
          <w:sz w:val="20"/>
        </w:rPr>
        <w:t>diferidos</w:t>
      </w:r>
      <w:r>
        <w:rPr>
          <w:spacing w:val="-22"/>
          <w:sz w:val="20"/>
        </w:rPr>
        <w:t> </w:t>
      </w:r>
      <w:r>
        <w:rPr>
          <w:sz w:val="20"/>
        </w:rPr>
        <w:t>e</w:t>
      </w:r>
      <w:r>
        <w:rPr>
          <w:spacing w:val="-22"/>
          <w:sz w:val="20"/>
        </w:rPr>
        <w:t> </w:t>
      </w:r>
      <w:r>
        <w:rPr>
          <w:sz w:val="20"/>
        </w:rPr>
        <w:t>de</w:t>
      </w:r>
      <w:r>
        <w:rPr>
          <w:spacing w:val="-23"/>
          <w:sz w:val="20"/>
        </w:rPr>
        <w:t> </w:t>
      </w:r>
      <w:r>
        <w:rPr>
          <w:sz w:val="20"/>
        </w:rPr>
        <w:t>ações</w:t>
      </w:r>
      <w:r>
        <w:rPr>
          <w:spacing w:val="-23"/>
          <w:sz w:val="20"/>
        </w:rPr>
        <w:t> </w:t>
      </w:r>
      <w:r>
        <w:rPr>
          <w:sz w:val="20"/>
        </w:rPr>
        <w:t>judiciais.</w:t>
      </w:r>
    </w:p>
    <w:p>
      <w:pPr>
        <w:pStyle w:val="ListParagraph"/>
        <w:numPr>
          <w:ilvl w:val="0"/>
          <w:numId w:val="21"/>
        </w:numPr>
        <w:tabs>
          <w:tab w:pos="474" w:val="left" w:leader="none"/>
        </w:tabs>
        <w:spacing w:line="242" w:lineRule="auto" w:before="120" w:after="0"/>
        <w:ind w:left="172" w:right="413" w:firstLine="0"/>
        <w:jc w:val="both"/>
        <w:rPr>
          <w:sz w:val="20"/>
        </w:rPr>
      </w:pPr>
      <w:r>
        <w:rPr>
          <w:sz w:val="20"/>
        </w:rPr>
        <w:t>Os</w:t>
      </w:r>
      <w:r>
        <w:rPr>
          <w:spacing w:val="-39"/>
          <w:sz w:val="20"/>
        </w:rPr>
        <w:t> </w:t>
      </w:r>
      <w:r>
        <w:rPr>
          <w:sz w:val="20"/>
        </w:rPr>
        <w:t>montantes</w:t>
      </w:r>
      <w:r>
        <w:rPr>
          <w:spacing w:val="-37"/>
          <w:sz w:val="20"/>
        </w:rPr>
        <w:t> </w:t>
      </w:r>
      <w:r>
        <w:rPr>
          <w:sz w:val="20"/>
        </w:rPr>
        <w:t>de</w:t>
      </w:r>
      <w:r>
        <w:rPr>
          <w:spacing w:val="-40"/>
          <w:sz w:val="20"/>
        </w:rPr>
        <w:t> </w:t>
      </w:r>
      <w:r>
        <w:rPr>
          <w:sz w:val="20"/>
        </w:rPr>
        <w:t>ICMS</w:t>
      </w:r>
      <w:r>
        <w:rPr>
          <w:spacing w:val="-40"/>
          <w:sz w:val="20"/>
        </w:rPr>
        <w:t> </w:t>
      </w:r>
      <w:r>
        <w:rPr>
          <w:sz w:val="20"/>
        </w:rPr>
        <w:t>pagos</w:t>
      </w:r>
      <w:r>
        <w:rPr>
          <w:spacing w:val="-39"/>
          <w:sz w:val="20"/>
        </w:rPr>
        <w:t> </w:t>
      </w:r>
      <w:r>
        <w:rPr>
          <w:sz w:val="20"/>
        </w:rPr>
        <w:t>na</w:t>
      </w:r>
      <w:r>
        <w:rPr>
          <w:spacing w:val="-38"/>
          <w:sz w:val="20"/>
        </w:rPr>
        <w:t> </w:t>
      </w:r>
      <w:r>
        <w:rPr>
          <w:sz w:val="20"/>
        </w:rPr>
        <w:t>aquisição</w:t>
      </w:r>
      <w:r>
        <w:rPr>
          <w:spacing w:val="-39"/>
          <w:sz w:val="20"/>
        </w:rPr>
        <w:t> </w:t>
      </w:r>
      <w:r>
        <w:rPr>
          <w:sz w:val="20"/>
        </w:rPr>
        <w:t>de</w:t>
      </w:r>
      <w:r>
        <w:rPr>
          <w:spacing w:val="-38"/>
          <w:sz w:val="20"/>
        </w:rPr>
        <w:t> </w:t>
      </w:r>
      <w:r>
        <w:rPr>
          <w:sz w:val="20"/>
        </w:rPr>
        <w:t>bens</w:t>
      </w:r>
      <w:r>
        <w:rPr>
          <w:spacing w:val="-39"/>
          <w:sz w:val="20"/>
        </w:rPr>
        <w:t> </w:t>
      </w:r>
      <w:r>
        <w:rPr>
          <w:sz w:val="20"/>
        </w:rPr>
        <w:t>utilizados</w:t>
      </w:r>
      <w:r>
        <w:rPr>
          <w:spacing w:val="-39"/>
          <w:sz w:val="20"/>
        </w:rPr>
        <w:t> </w:t>
      </w:r>
      <w:r>
        <w:rPr>
          <w:sz w:val="20"/>
        </w:rPr>
        <w:t>na</w:t>
      </w:r>
      <w:r>
        <w:rPr>
          <w:spacing w:val="-38"/>
          <w:sz w:val="20"/>
        </w:rPr>
        <w:t> </w:t>
      </w:r>
      <w:r>
        <w:rPr>
          <w:sz w:val="20"/>
        </w:rPr>
        <w:t>atividade</w:t>
      </w:r>
      <w:r>
        <w:rPr>
          <w:spacing w:val="-39"/>
          <w:sz w:val="20"/>
        </w:rPr>
        <w:t> </w:t>
      </w:r>
      <w:r>
        <w:rPr>
          <w:sz w:val="20"/>
        </w:rPr>
        <w:t>de</w:t>
      </w:r>
      <w:r>
        <w:rPr>
          <w:spacing w:val="-40"/>
          <w:sz w:val="20"/>
        </w:rPr>
        <w:t> </w:t>
      </w:r>
      <w:r>
        <w:rPr>
          <w:sz w:val="20"/>
        </w:rPr>
        <w:t>distribuição</w:t>
      </w:r>
      <w:r>
        <w:rPr>
          <w:spacing w:val="-39"/>
          <w:sz w:val="20"/>
        </w:rPr>
        <w:t> </w:t>
      </w:r>
      <w:r>
        <w:rPr>
          <w:sz w:val="20"/>
        </w:rPr>
        <w:t>de</w:t>
      </w:r>
      <w:r>
        <w:rPr>
          <w:spacing w:val="-39"/>
          <w:sz w:val="20"/>
        </w:rPr>
        <w:t> </w:t>
      </w:r>
      <w:r>
        <w:rPr>
          <w:sz w:val="20"/>
        </w:rPr>
        <w:t>energia</w:t>
      </w:r>
      <w:r>
        <w:rPr>
          <w:spacing w:val="-37"/>
          <w:sz w:val="20"/>
        </w:rPr>
        <w:t> </w:t>
      </w:r>
      <w:r>
        <w:rPr>
          <w:sz w:val="20"/>
        </w:rPr>
        <w:t>da</w:t>
      </w:r>
      <w:r>
        <w:rPr>
          <w:spacing w:val="-38"/>
          <w:sz w:val="20"/>
        </w:rPr>
        <w:t> </w:t>
      </w:r>
      <w:r>
        <w:rPr>
          <w:sz w:val="20"/>
        </w:rPr>
        <w:t>controlada CEB DIS são passíveis de ser compensados com os débitos do ICMS sobre faturamento, nos termos e critérios estabelecidos</w:t>
      </w:r>
      <w:r>
        <w:rPr>
          <w:spacing w:val="-31"/>
          <w:sz w:val="20"/>
        </w:rPr>
        <w:t> </w:t>
      </w:r>
      <w:r>
        <w:rPr>
          <w:sz w:val="20"/>
        </w:rPr>
        <w:t>pela</w:t>
      </w:r>
      <w:r>
        <w:rPr>
          <w:spacing w:val="-30"/>
          <w:sz w:val="20"/>
        </w:rPr>
        <w:t> </w:t>
      </w:r>
      <w:r>
        <w:rPr>
          <w:sz w:val="20"/>
        </w:rPr>
        <w:t>legislação</w:t>
      </w:r>
      <w:r>
        <w:rPr>
          <w:spacing w:val="-31"/>
          <w:sz w:val="20"/>
        </w:rPr>
        <w:t> </w:t>
      </w:r>
      <w:r>
        <w:rPr>
          <w:sz w:val="20"/>
        </w:rPr>
        <w:t>fiscal</w:t>
      </w:r>
      <w:r>
        <w:rPr>
          <w:spacing w:val="-31"/>
          <w:sz w:val="20"/>
        </w:rPr>
        <w:t> </w:t>
      </w:r>
      <w:r>
        <w:rPr>
          <w:sz w:val="20"/>
        </w:rPr>
        <w:t>vigente.</w:t>
      </w:r>
      <w:r>
        <w:rPr>
          <w:spacing w:val="-31"/>
          <w:sz w:val="20"/>
        </w:rPr>
        <w:t> </w:t>
      </w:r>
      <w:r>
        <w:rPr>
          <w:sz w:val="20"/>
        </w:rPr>
        <w:t>A</w:t>
      </w:r>
      <w:r>
        <w:rPr>
          <w:spacing w:val="-30"/>
          <w:sz w:val="20"/>
        </w:rPr>
        <w:t> </w:t>
      </w:r>
      <w:r>
        <w:rPr>
          <w:sz w:val="20"/>
        </w:rPr>
        <w:t>utilização</w:t>
      </w:r>
      <w:r>
        <w:rPr>
          <w:spacing w:val="-31"/>
          <w:sz w:val="20"/>
        </w:rPr>
        <w:t> </w:t>
      </w:r>
      <w:r>
        <w:rPr>
          <w:sz w:val="20"/>
        </w:rPr>
        <w:t>dos</w:t>
      </w:r>
      <w:r>
        <w:rPr>
          <w:spacing w:val="-30"/>
          <w:sz w:val="20"/>
        </w:rPr>
        <w:t> </w:t>
      </w:r>
      <w:r>
        <w:rPr>
          <w:sz w:val="20"/>
        </w:rPr>
        <w:t>créditos</w:t>
      </w:r>
      <w:r>
        <w:rPr>
          <w:spacing w:val="-31"/>
          <w:sz w:val="20"/>
        </w:rPr>
        <w:t> </w:t>
      </w:r>
      <w:r>
        <w:rPr>
          <w:sz w:val="20"/>
        </w:rPr>
        <w:t>do</w:t>
      </w:r>
      <w:r>
        <w:rPr>
          <w:spacing w:val="-31"/>
          <w:sz w:val="20"/>
        </w:rPr>
        <w:t> </w:t>
      </w:r>
      <w:r>
        <w:rPr>
          <w:sz w:val="20"/>
        </w:rPr>
        <w:t>ICMS</w:t>
      </w:r>
      <w:r>
        <w:rPr>
          <w:spacing w:val="-30"/>
          <w:sz w:val="20"/>
        </w:rPr>
        <w:t> </w:t>
      </w:r>
      <w:r>
        <w:rPr>
          <w:sz w:val="20"/>
        </w:rPr>
        <w:t>é</w:t>
      </w:r>
      <w:r>
        <w:rPr>
          <w:spacing w:val="-31"/>
          <w:sz w:val="20"/>
        </w:rPr>
        <w:t> </w:t>
      </w:r>
      <w:r>
        <w:rPr>
          <w:sz w:val="20"/>
        </w:rPr>
        <w:t>diferida</w:t>
      </w:r>
      <w:r>
        <w:rPr>
          <w:spacing w:val="-31"/>
          <w:sz w:val="20"/>
        </w:rPr>
        <w:t> </w:t>
      </w:r>
      <w:r>
        <w:rPr>
          <w:sz w:val="20"/>
        </w:rPr>
        <w:t>em</w:t>
      </w:r>
      <w:r>
        <w:rPr>
          <w:spacing w:val="-31"/>
          <w:sz w:val="20"/>
        </w:rPr>
        <w:t> </w:t>
      </w:r>
      <w:r>
        <w:rPr>
          <w:sz w:val="20"/>
        </w:rPr>
        <w:t>48</w:t>
      </w:r>
      <w:r>
        <w:rPr>
          <w:spacing w:val="-29"/>
          <w:sz w:val="20"/>
        </w:rPr>
        <w:t> </w:t>
      </w:r>
      <w:r>
        <w:rPr>
          <w:sz w:val="20"/>
        </w:rPr>
        <w:t>parcelas</w:t>
      </w:r>
      <w:r>
        <w:rPr>
          <w:spacing w:val="-30"/>
          <w:sz w:val="20"/>
        </w:rPr>
        <w:t> </w:t>
      </w:r>
      <w:r>
        <w:rPr>
          <w:sz w:val="20"/>
        </w:rPr>
        <w:t>mensais,</w:t>
      </w:r>
      <w:r>
        <w:rPr>
          <w:spacing w:val="-31"/>
          <w:sz w:val="20"/>
        </w:rPr>
        <w:t> </w:t>
      </w:r>
      <w:r>
        <w:rPr>
          <w:sz w:val="20"/>
        </w:rPr>
        <w:t>de acordo</w:t>
      </w:r>
      <w:r>
        <w:rPr>
          <w:spacing w:val="-19"/>
          <w:sz w:val="20"/>
        </w:rPr>
        <w:t> </w:t>
      </w:r>
      <w:r>
        <w:rPr>
          <w:sz w:val="20"/>
        </w:rPr>
        <w:t>com</w:t>
      </w:r>
      <w:r>
        <w:rPr>
          <w:spacing w:val="-17"/>
          <w:sz w:val="20"/>
        </w:rPr>
        <w:t> </w:t>
      </w:r>
      <w:r>
        <w:rPr>
          <w:sz w:val="20"/>
        </w:rPr>
        <w:t>a</w:t>
      </w:r>
      <w:r>
        <w:rPr>
          <w:spacing w:val="-18"/>
          <w:sz w:val="20"/>
        </w:rPr>
        <w:t> </w:t>
      </w:r>
      <w:r>
        <w:rPr>
          <w:sz w:val="20"/>
        </w:rPr>
        <w:t>Lei</w:t>
      </w:r>
      <w:r>
        <w:rPr>
          <w:spacing w:val="-16"/>
          <w:sz w:val="20"/>
        </w:rPr>
        <w:t> </w:t>
      </w:r>
      <w:r>
        <w:rPr>
          <w:sz w:val="20"/>
        </w:rPr>
        <w:t>Complementar</w:t>
      </w:r>
      <w:r>
        <w:rPr>
          <w:spacing w:val="-17"/>
          <w:sz w:val="20"/>
        </w:rPr>
        <w:t> </w:t>
      </w:r>
      <w:r>
        <w:rPr>
          <w:sz w:val="20"/>
        </w:rPr>
        <w:t>n°</w:t>
      </w:r>
      <w:r>
        <w:rPr>
          <w:spacing w:val="-17"/>
          <w:sz w:val="20"/>
        </w:rPr>
        <w:t> </w:t>
      </w:r>
      <w:r>
        <w:rPr>
          <w:sz w:val="20"/>
        </w:rPr>
        <w:t>102/2000.</w:t>
      </w:r>
    </w:p>
    <w:p>
      <w:pPr>
        <w:pStyle w:val="BodyText"/>
        <w:spacing w:before="6"/>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A</w:t>
      </w:r>
      <w:r>
        <w:rPr>
          <w:rFonts w:ascii="Caladea" w:hAnsi="Caladea"/>
          <w:b/>
          <w:sz w:val="18"/>
        </w:rPr>
        <w:t>TIVOS </w:t>
      </w:r>
      <w:r>
        <w:rPr>
          <w:rFonts w:ascii="Caladea" w:hAnsi="Caladea"/>
          <w:b/>
          <w:sz w:val="22"/>
        </w:rPr>
        <w:t>F</w:t>
      </w:r>
      <w:r>
        <w:rPr>
          <w:rFonts w:ascii="Caladea" w:hAnsi="Caladea"/>
          <w:b/>
          <w:sz w:val="18"/>
        </w:rPr>
        <w:t>ISCAIS </w:t>
      </w:r>
      <w:r>
        <w:rPr>
          <w:rFonts w:ascii="Caladea" w:hAnsi="Caladea"/>
          <w:b/>
          <w:sz w:val="22"/>
        </w:rPr>
        <w:t>D</w:t>
      </w:r>
      <w:r>
        <w:rPr>
          <w:rFonts w:ascii="Caladea" w:hAnsi="Caladea"/>
          <w:b/>
          <w:sz w:val="18"/>
        </w:rPr>
        <w:t>IFERIDOS </w:t>
      </w:r>
      <w:r>
        <w:rPr>
          <w:rFonts w:ascii="Caladea" w:hAnsi="Caladea"/>
          <w:b/>
          <w:sz w:val="22"/>
        </w:rPr>
        <w:t>R</w:t>
      </w:r>
      <w:r>
        <w:rPr>
          <w:rFonts w:ascii="Caladea" w:hAnsi="Caladea"/>
          <w:b/>
          <w:sz w:val="18"/>
        </w:rPr>
        <w:t>ECONHECIDOS E </w:t>
      </w:r>
      <w:r>
        <w:rPr>
          <w:rFonts w:ascii="Caladea" w:hAnsi="Caladea"/>
          <w:b/>
          <w:sz w:val="22"/>
        </w:rPr>
        <w:t>N</w:t>
      </w:r>
      <w:r>
        <w:rPr>
          <w:rFonts w:ascii="Caladea" w:hAnsi="Caladea"/>
          <w:b/>
          <w:sz w:val="18"/>
        </w:rPr>
        <w:t>ÃO</w:t>
      </w:r>
      <w:r>
        <w:rPr>
          <w:rFonts w:ascii="Caladea" w:hAnsi="Caladea"/>
          <w:b/>
          <w:spacing w:val="-3"/>
          <w:sz w:val="18"/>
        </w:rPr>
        <w:t> </w:t>
      </w:r>
      <w:r>
        <w:rPr>
          <w:rFonts w:ascii="Caladea" w:hAnsi="Caladea"/>
          <w:b/>
          <w:sz w:val="22"/>
        </w:rPr>
        <w:t>R</w:t>
      </w:r>
      <w:r>
        <w:rPr>
          <w:rFonts w:ascii="Caladea" w:hAnsi="Caladea"/>
          <w:b/>
          <w:sz w:val="18"/>
        </w:rPr>
        <w:t>ECONHECIDOS</w:t>
      </w:r>
    </w:p>
    <w:p>
      <w:pPr>
        <w:pStyle w:val="BodyText"/>
        <w:spacing w:before="10"/>
        <w:rPr>
          <w:rFonts w:ascii="Caladea"/>
          <w:b/>
          <w:sz w:val="23"/>
        </w:rPr>
      </w:pPr>
    </w:p>
    <w:p>
      <w:pPr>
        <w:pStyle w:val="Heading5"/>
        <w:numPr>
          <w:ilvl w:val="2"/>
          <w:numId w:val="22"/>
        </w:numPr>
        <w:tabs>
          <w:tab w:pos="1305" w:val="left" w:leader="none"/>
          <w:tab w:pos="1306" w:val="left" w:leader="none"/>
        </w:tabs>
        <w:spacing w:line="240" w:lineRule="auto" w:before="1" w:after="0"/>
        <w:ind w:left="1306" w:right="0" w:hanging="1134"/>
        <w:jc w:val="left"/>
      </w:pPr>
      <w:r>
        <w:rPr/>
        <w:t>Ativos fiscais diferidos</w:t>
      </w:r>
      <w:r>
        <w:rPr>
          <w:spacing w:val="-4"/>
        </w:rPr>
        <w:t> </w:t>
      </w:r>
      <w:r>
        <w:rPr/>
        <w:t>reconhecidos</w:t>
      </w:r>
    </w:p>
    <w:p>
      <w:pPr>
        <w:pStyle w:val="BodyText"/>
        <w:spacing w:before="9"/>
        <w:rPr>
          <w:rFonts w:ascii="Caladea"/>
          <w:b/>
          <w:sz w:val="23"/>
        </w:rPr>
      </w:pPr>
    </w:p>
    <w:p>
      <w:pPr>
        <w:pStyle w:val="BodyText"/>
        <w:spacing w:line="242" w:lineRule="auto"/>
        <w:ind w:left="172" w:right="407"/>
        <w:jc w:val="both"/>
      </w:pPr>
      <w:r>
        <w:rPr/>
        <w:t>Em</w:t>
      </w:r>
      <w:r>
        <w:rPr>
          <w:spacing w:val="-26"/>
        </w:rPr>
        <w:t> </w:t>
      </w:r>
      <w:r>
        <w:rPr/>
        <w:t>conformidade</w:t>
      </w:r>
      <w:r>
        <w:rPr>
          <w:spacing w:val="-26"/>
        </w:rPr>
        <w:t> </w:t>
      </w:r>
      <w:r>
        <w:rPr/>
        <w:t>com</w:t>
      </w:r>
      <w:r>
        <w:rPr>
          <w:spacing w:val="-25"/>
        </w:rPr>
        <w:t> </w:t>
      </w:r>
      <w:r>
        <w:rPr/>
        <w:t>a</w:t>
      </w:r>
      <w:r>
        <w:rPr>
          <w:spacing w:val="-24"/>
        </w:rPr>
        <w:t> </w:t>
      </w:r>
      <w:r>
        <w:rPr/>
        <w:t>Instrução</w:t>
      </w:r>
      <w:r>
        <w:rPr>
          <w:spacing w:val="-26"/>
        </w:rPr>
        <w:t> </w:t>
      </w:r>
      <w:r>
        <w:rPr/>
        <w:t>CVM</w:t>
      </w:r>
      <w:r>
        <w:rPr>
          <w:spacing w:val="-24"/>
        </w:rPr>
        <w:t> </w:t>
      </w:r>
      <w:r>
        <w:rPr/>
        <w:t>nº</w:t>
      </w:r>
      <w:r>
        <w:rPr>
          <w:spacing w:val="-24"/>
        </w:rPr>
        <w:t> </w:t>
      </w:r>
      <w:r>
        <w:rPr/>
        <w:t>371,</w:t>
      </w:r>
      <w:r>
        <w:rPr>
          <w:spacing w:val="-23"/>
        </w:rPr>
        <w:t> </w:t>
      </w:r>
      <w:r>
        <w:rPr/>
        <w:t>de</w:t>
      </w:r>
      <w:r>
        <w:rPr>
          <w:spacing w:val="-25"/>
        </w:rPr>
        <w:t> </w:t>
      </w:r>
      <w:r>
        <w:rPr/>
        <w:t>27</w:t>
      </w:r>
      <w:r>
        <w:rPr>
          <w:spacing w:val="-24"/>
        </w:rPr>
        <w:t> </w:t>
      </w:r>
      <w:r>
        <w:rPr/>
        <w:t>de</w:t>
      </w:r>
      <w:r>
        <w:rPr>
          <w:spacing w:val="-26"/>
        </w:rPr>
        <w:t> </w:t>
      </w:r>
      <w:r>
        <w:rPr/>
        <w:t>junho</w:t>
      </w:r>
      <w:r>
        <w:rPr>
          <w:spacing w:val="-26"/>
        </w:rPr>
        <w:t> </w:t>
      </w:r>
      <w:r>
        <w:rPr/>
        <w:t>de</w:t>
      </w:r>
      <w:r>
        <w:rPr>
          <w:spacing w:val="-25"/>
        </w:rPr>
        <w:t> </w:t>
      </w:r>
      <w:r>
        <w:rPr/>
        <w:t>2002,</w:t>
      </w:r>
      <w:r>
        <w:rPr>
          <w:spacing w:val="-24"/>
        </w:rPr>
        <w:t> </w:t>
      </w:r>
      <w:r>
        <w:rPr/>
        <w:t>a</w:t>
      </w:r>
      <w:r>
        <w:rPr>
          <w:spacing w:val="-24"/>
        </w:rPr>
        <w:t> </w:t>
      </w:r>
      <w:r>
        <w:rPr/>
        <w:t>Administração,</w:t>
      </w:r>
      <w:r>
        <w:rPr>
          <w:spacing w:val="-25"/>
        </w:rPr>
        <w:t> </w:t>
      </w:r>
      <w:r>
        <w:rPr/>
        <w:t>fundamentada</w:t>
      </w:r>
      <w:r>
        <w:rPr>
          <w:spacing w:val="-23"/>
        </w:rPr>
        <w:t> </w:t>
      </w:r>
      <w:r>
        <w:rPr/>
        <w:t>em</w:t>
      </w:r>
      <w:r>
        <w:rPr>
          <w:spacing w:val="-23"/>
        </w:rPr>
        <w:t> </w:t>
      </w:r>
      <w:r>
        <w:rPr/>
        <w:t>estudo técnico</w:t>
      </w:r>
      <w:r>
        <w:rPr>
          <w:spacing w:val="-31"/>
        </w:rPr>
        <w:t> </w:t>
      </w:r>
      <w:r>
        <w:rPr/>
        <w:t>de</w:t>
      </w:r>
      <w:r>
        <w:rPr>
          <w:spacing w:val="-32"/>
        </w:rPr>
        <w:t> </w:t>
      </w:r>
      <w:r>
        <w:rPr/>
        <w:t>viabilidade,</w:t>
      </w:r>
      <w:r>
        <w:rPr>
          <w:spacing w:val="-31"/>
        </w:rPr>
        <w:t> </w:t>
      </w:r>
      <w:r>
        <w:rPr/>
        <w:t>estima</w:t>
      </w:r>
      <w:r>
        <w:rPr>
          <w:spacing w:val="-31"/>
        </w:rPr>
        <w:t> </w:t>
      </w:r>
      <w:r>
        <w:rPr/>
        <w:t>à</w:t>
      </w:r>
      <w:r>
        <w:rPr>
          <w:spacing w:val="-31"/>
        </w:rPr>
        <w:t> </w:t>
      </w:r>
      <w:r>
        <w:rPr/>
        <w:t>realização</w:t>
      </w:r>
      <w:r>
        <w:rPr>
          <w:spacing w:val="-32"/>
        </w:rPr>
        <w:t> </w:t>
      </w:r>
      <w:r>
        <w:rPr/>
        <w:t>do</w:t>
      </w:r>
      <w:r>
        <w:rPr>
          <w:spacing w:val="-32"/>
        </w:rPr>
        <w:t> </w:t>
      </w:r>
      <w:r>
        <w:rPr/>
        <w:t>ativo</w:t>
      </w:r>
      <w:r>
        <w:rPr>
          <w:spacing w:val="-31"/>
        </w:rPr>
        <w:t> </w:t>
      </w:r>
      <w:r>
        <w:rPr/>
        <w:t>fiscal</w:t>
      </w:r>
      <w:r>
        <w:rPr>
          <w:spacing w:val="-33"/>
        </w:rPr>
        <w:t> </w:t>
      </w:r>
      <w:r>
        <w:rPr/>
        <w:t>diferido</w:t>
      </w:r>
      <w:r>
        <w:rPr>
          <w:spacing w:val="-30"/>
        </w:rPr>
        <w:t> </w:t>
      </w:r>
      <w:r>
        <w:rPr/>
        <w:t>no</w:t>
      </w:r>
      <w:r>
        <w:rPr>
          <w:spacing w:val="-32"/>
        </w:rPr>
        <w:t> </w:t>
      </w:r>
      <w:r>
        <w:rPr/>
        <w:t>valor</w:t>
      </w:r>
      <w:r>
        <w:rPr>
          <w:spacing w:val="-32"/>
        </w:rPr>
        <w:t> </w:t>
      </w:r>
      <w:r>
        <w:rPr/>
        <w:t>de</w:t>
      </w:r>
      <w:r>
        <w:rPr>
          <w:spacing w:val="-28"/>
        </w:rPr>
        <w:t> </w:t>
      </w:r>
      <w:r>
        <w:rPr/>
        <w:t>R$</w:t>
      </w:r>
      <w:r>
        <w:rPr>
          <w:spacing w:val="-32"/>
        </w:rPr>
        <w:t> </w:t>
      </w:r>
      <w:r>
        <w:rPr/>
        <w:t>25.229,</w:t>
      </w:r>
      <w:r>
        <w:rPr>
          <w:spacing w:val="-31"/>
        </w:rPr>
        <w:t> </w:t>
      </w:r>
      <w:r>
        <w:rPr/>
        <w:t>conforme</w:t>
      </w:r>
      <w:r>
        <w:rPr>
          <w:spacing w:val="-33"/>
        </w:rPr>
        <w:t> </w:t>
      </w:r>
      <w:r>
        <w:rPr/>
        <w:t>demonstrado</w:t>
      </w:r>
      <w:r>
        <w:rPr>
          <w:spacing w:val="-29"/>
        </w:rPr>
        <w:t> </w:t>
      </w:r>
      <w:r>
        <w:rPr/>
        <w:t>no resumo a</w:t>
      </w:r>
      <w:r>
        <w:rPr>
          <w:spacing w:val="-35"/>
        </w:rPr>
        <w:t> </w:t>
      </w:r>
      <w:r>
        <w:rPr/>
        <w:t>seguir:</w:t>
      </w:r>
    </w:p>
    <w:p>
      <w:pPr>
        <w:pStyle w:val="BodyText"/>
        <w:spacing w:before="11"/>
        <w:rPr>
          <w:sz w:val="1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06"/>
        <w:gridCol w:w="4136"/>
        <w:gridCol w:w="458"/>
        <w:gridCol w:w="2815"/>
      </w:tblGrid>
      <w:tr>
        <w:trPr>
          <w:trHeight w:val="189" w:hRule="atLeast"/>
        </w:trPr>
        <w:tc>
          <w:tcPr>
            <w:tcW w:w="9915" w:type="dxa"/>
            <w:gridSpan w:val="4"/>
            <w:shd w:val="clear" w:color="auto" w:fill="D9D9D9"/>
          </w:tcPr>
          <w:p>
            <w:pPr>
              <w:pStyle w:val="TableParagraph"/>
              <w:spacing w:line="169" w:lineRule="exact"/>
              <w:ind w:left="2713" w:right="2697"/>
              <w:jc w:val="center"/>
              <w:rPr>
                <w:rFonts w:ascii="Caladea" w:hAnsi="Caladea"/>
                <w:b/>
                <w:sz w:val="16"/>
              </w:rPr>
            </w:pPr>
            <w:r>
              <w:rPr>
                <w:rFonts w:ascii="Caladea" w:hAnsi="Caladea"/>
                <w:b/>
                <w:sz w:val="16"/>
              </w:rPr>
              <w:t>CONTROLE DE PREJUÍZO FISCAL ACUMULADO A COMPENSAR</w:t>
            </w:r>
          </w:p>
        </w:tc>
      </w:tr>
      <w:tr>
        <w:trPr>
          <w:trHeight w:val="186" w:hRule="atLeast"/>
        </w:trPr>
        <w:tc>
          <w:tcPr>
            <w:tcW w:w="2506" w:type="dxa"/>
            <w:vMerge w:val="restart"/>
          </w:tcPr>
          <w:p>
            <w:pPr>
              <w:pStyle w:val="TableParagraph"/>
              <w:spacing w:before="97"/>
              <w:ind w:left="894" w:right="882"/>
              <w:jc w:val="center"/>
              <w:rPr>
                <w:rFonts w:ascii="Caladea" w:hAnsi="Caladea"/>
                <w:b/>
                <w:sz w:val="16"/>
              </w:rPr>
            </w:pPr>
            <w:r>
              <w:rPr>
                <w:rFonts w:ascii="Caladea" w:hAnsi="Caladea"/>
                <w:b/>
                <w:sz w:val="16"/>
              </w:rPr>
              <w:t>Histórico</w:t>
            </w:r>
          </w:p>
        </w:tc>
        <w:tc>
          <w:tcPr>
            <w:tcW w:w="4136" w:type="dxa"/>
          </w:tcPr>
          <w:p>
            <w:pPr>
              <w:pStyle w:val="TableParagraph"/>
              <w:spacing w:line="167" w:lineRule="exact"/>
              <w:ind w:left="855" w:right="848"/>
              <w:jc w:val="center"/>
              <w:rPr>
                <w:rFonts w:ascii="Caladea" w:hAnsi="Caladea"/>
                <w:b/>
                <w:sz w:val="16"/>
              </w:rPr>
            </w:pPr>
            <w:r>
              <w:rPr>
                <w:rFonts w:ascii="Caladea" w:hAnsi="Caladea"/>
                <w:b/>
                <w:sz w:val="16"/>
              </w:rPr>
              <w:t>Controle de Valores no Exercício</w:t>
            </w:r>
          </w:p>
        </w:tc>
        <w:tc>
          <w:tcPr>
            <w:tcW w:w="458" w:type="dxa"/>
            <w:vMerge w:val="restart"/>
          </w:tcPr>
          <w:p>
            <w:pPr>
              <w:pStyle w:val="TableParagraph"/>
              <w:spacing w:before="97"/>
              <w:ind w:left="83"/>
              <w:rPr>
                <w:rFonts w:ascii="Caladea"/>
                <w:b/>
                <w:sz w:val="16"/>
              </w:rPr>
            </w:pPr>
            <w:r>
              <w:rPr>
                <w:rFonts w:ascii="Caladea"/>
                <w:b/>
                <w:sz w:val="16"/>
              </w:rPr>
              <w:t>D/C</w:t>
            </w:r>
          </w:p>
        </w:tc>
        <w:tc>
          <w:tcPr>
            <w:tcW w:w="2815" w:type="dxa"/>
            <w:vMerge w:val="restart"/>
          </w:tcPr>
          <w:p>
            <w:pPr>
              <w:pStyle w:val="TableParagraph"/>
              <w:spacing w:line="187" w:lineRule="exact" w:before="3"/>
              <w:ind w:left="490" w:right="482"/>
              <w:jc w:val="center"/>
              <w:rPr>
                <w:rFonts w:ascii="Caladea"/>
                <w:b/>
                <w:sz w:val="16"/>
              </w:rPr>
            </w:pPr>
            <w:r>
              <w:rPr>
                <w:rFonts w:ascii="Caladea"/>
                <w:b/>
                <w:sz w:val="16"/>
              </w:rPr>
              <w:t>ATIVO FISCAL DIFERIDO</w:t>
            </w:r>
          </w:p>
          <w:p>
            <w:pPr>
              <w:pStyle w:val="TableParagraph"/>
              <w:spacing w:line="172" w:lineRule="exact"/>
              <w:ind w:left="490" w:right="475"/>
              <w:jc w:val="center"/>
              <w:rPr>
                <w:rFonts w:ascii="Caladea"/>
                <w:b/>
                <w:sz w:val="16"/>
              </w:rPr>
            </w:pPr>
            <w:r>
              <w:rPr>
                <w:rFonts w:ascii="Caladea"/>
                <w:b/>
                <w:sz w:val="16"/>
              </w:rPr>
              <w:t>= Saldo x (+/-)34%</w:t>
            </w:r>
          </w:p>
        </w:tc>
      </w:tr>
      <w:tr>
        <w:trPr>
          <w:trHeight w:val="186" w:hRule="atLeast"/>
        </w:trPr>
        <w:tc>
          <w:tcPr>
            <w:tcW w:w="2506" w:type="dxa"/>
            <w:vMerge/>
            <w:tcBorders>
              <w:top w:val="nil"/>
            </w:tcBorders>
          </w:tcPr>
          <w:p>
            <w:pPr>
              <w:rPr>
                <w:sz w:val="2"/>
                <w:szCs w:val="2"/>
              </w:rPr>
            </w:pPr>
          </w:p>
        </w:tc>
        <w:tc>
          <w:tcPr>
            <w:tcW w:w="4136" w:type="dxa"/>
          </w:tcPr>
          <w:p>
            <w:pPr>
              <w:pStyle w:val="TableParagraph"/>
              <w:spacing w:line="167" w:lineRule="exact"/>
              <w:ind w:left="855" w:right="845"/>
              <w:jc w:val="center"/>
              <w:rPr>
                <w:rFonts w:ascii="Caladea"/>
                <w:b/>
                <w:sz w:val="16"/>
              </w:rPr>
            </w:pPr>
            <w:r>
              <w:rPr>
                <w:rFonts w:ascii="Caladea"/>
                <w:b/>
                <w:sz w:val="16"/>
              </w:rPr>
              <w:t>Saldo</w:t>
            </w:r>
          </w:p>
        </w:tc>
        <w:tc>
          <w:tcPr>
            <w:tcW w:w="458" w:type="dxa"/>
            <w:vMerge/>
            <w:tcBorders>
              <w:top w:val="nil"/>
            </w:tcBorders>
          </w:tcPr>
          <w:p>
            <w:pPr>
              <w:rPr>
                <w:sz w:val="2"/>
                <w:szCs w:val="2"/>
              </w:rPr>
            </w:pPr>
          </w:p>
        </w:tc>
        <w:tc>
          <w:tcPr>
            <w:tcW w:w="2815" w:type="dxa"/>
            <w:vMerge/>
            <w:tcBorders>
              <w:top w:val="nil"/>
            </w:tcBorders>
          </w:tcPr>
          <w:p>
            <w:pPr>
              <w:rPr>
                <w:sz w:val="2"/>
                <w:szCs w:val="2"/>
              </w:rPr>
            </w:pPr>
          </w:p>
        </w:tc>
      </w:tr>
      <w:tr>
        <w:trPr>
          <w:trHeight w:val="189" w:hRule="atLeast"/>
        </w:trPr>
        <w:tc>
          <w:tcPr>
            <w:tcW w:w="2506" w:type="dxa"/>
          </w:tcPr>
          <w:p>
            <w:pPr>
              <w:pStyle w:val="TableParagraph"/>
              <w:spacing w:line="168" w:lineRule="exact"/>
              <w:ind w:left="233"/>
              <w:rPr>
                <w:sz w:val="16"/>
              </w:rPr>
            </w:pPr>
            <w:r>
              <w:rPr>
                <w:sz w:val="16"/>
              </w:rPr>
              <w:t>Baixa por aproveitamento</w:t>
            </w:r>
          </w:p>
        </w:tc>
        <w:tc>
          <w:tcPr>
            <w:tcW w:w="4136" w:type="dxa"/>
          </w:tcPr>
          <w:p>
            <w:pPr>
              <w:pStyle w:val="TableParagraph"/>
              <w:spacing w:line="168" w:lineRule="exact"/>
              <w:ind w:left="855" w:right="841"/>
              <w:jc w:val="center"/>
              <w:rPr>
                <w:sz w:val="16"/>
              </w:rPr>
            </w:pPr>
            <w:r>
              <w:rPr>
                <w:sz w:val="16"/>
              </w:rPr>
              <w:t>74.202</w:t>
            </w:r>
          </w:p>
        </w:tc>
        <w:tc>
          <w:tcPr>
            <w:tcW w:w="458" w:type="dxa"/>
          </w:tcPr>
          <w:p>
            <w:pPr>
              <w:pStyle w:val="TableParagraph"/>
              <w:spacing w:line="168" w:lineRule="exact"/>
              <w:ind w:left="7"/>
              <w:jc w:val="center"/>
              <w:rPr>
                <w:sz w:val="16"/>
              </w:rPr>
            </w:pPr>
            <w:r>
              <w:rPr>
                <w:w w:val="94"/>
                <w:sz w:val="16"/>
              </w:rPr>
              <w:t>C</w:t>
            </w:r>
          </w:p>
        </w:tc>
        <w:tc>
          <w:tcPr>
            <w:tcW w:w="2815" w:type="dxa"/>
          </w:tcPr>
          <w:p>
            <w:pPr>
              <w:pStyle w:val="TableParagraph"/>
              <w:spacing w:line="168" w:lineRule="exact"/>
              <w:ind w:left="490" w:right="478"/>
              <w:jc w:val="center"/>
              <w:rPr>
                <w:sz w:val="16"/>
              </w:rPr>
            </w:pPr>
            <w:r>
              <w:rPr>
                <w:sz w:val="16"/>
              </w:rPr>
              <w:t>25.229</w:t>
            </w:r>
          </w:p>
        </w:tc>
      </w:tr>
      <w:tr>
        <w:trPr>
          <w:trHeight w:val="186" w:hRule="atLeast"/>
        </w:trPr>
        <w:tc>
          <w:tcPr>
            <w:tcW w:w="7100" w:type="dxa"/>
            <w:gridSpan w:val="3"/>
            <w:shd w:val="clear" w:color="auto" w:fill="F1F1F1"/>
          </w:tcPr>
          <w:p>
            <w:pPr>
              <w:pStyle w:val="TableParagraph"/>
              <w:spacing w:line="167" w:lineRule="exact"/>
              <w:ind w:left="1344" w:right="1336"/>
              <w:jc w:val="center"/>
              <w:rPr>
                <w:rFonts w:ascii="Caladea" w:hAnsi="Caladea"/>
                <w:b/>
                <w:sz w:val="16"/>
              </w:rPr>
            </w:pPr>
            <w:r>
              <w:rPr>
                <w:rFonts w:ascii="Caladea" w:hAnsi="Caladea"/>
                <w:b/>
                <w:sz w:val="16"/>
              </w:rPr>
              <w:t>TOTAL DA BASE DE APURAÇÃO DO ATIVO FISCAL DIFERIDO</w:t>
            </w:r>
          </w:p>
        </w:tc>
        <w:tc>
          <w:tcPr>
            <w:tcW w:w="2815" w:type="dxa"/>
            <w:shd w:val="clear" w:color="auto" w:fill="F1F1F1"/>
          </w:tcPr>
          <w:p>
            <w:pPr>
              <w:pStyle w:val="TableParagraph"/>
              <w:spacing w:line="167" w:lineRule="exact"/>
              <w:ind w:left="490" w:right="477"/>
              <w:jc w:val="center"/>
              <w:rPr>
                <w:rFonts w:ascii="Caladea"/>
                <w:b/>
                <w:sz w:val="16"/>
              </w:rPr>
            </w:pPr>
            <w:r>
              <w:rPr>
                <w:rFonts w:ascii="Caladea"/>
                <w:b/>
                <w:sz w:val="16"/>
              </w:rPr>
              <w:t>25.229</w:t>
            </w:r>
          </w:p>
        </w:tc>
      </w:tr>
      <w:tr>
        <w:trPr>
          <w:trHeight w:val="186" w:hRule="atLeast"/>
        </w:trPr>
        <w:tc>
          <w:tcPr>
            <w:tcW w:w="7100" w:type="dxa"/>
            <w:gridSpan w:val="3"/>
            <w:shd w:val="clear" w:color="auto" w:fill="F1F1F1"/>
          </w:tcPr>
          <w:p>
            <w:pPr>
              <w:pStyle w:val="TableParagraph"/>
              <w:spacing w:line="167" w:lineRule="exact"/>
              <w:ind w:left="1735"/>
              <w:rPr>
                <w:rFonts w:ascii="Caladea"/>
                <w:b/>
                <w:sz w:val="16"/>
              </w:rPr>
            </w:pPr>
            <w:r>
              <w:rPr>
                <w:rFonts w:ascii="Caladea"/>
                <w:b/>
                <w:sz w:val="16"/>
              </w:rPr>
              <w:t>TOTAL ATIVO FISCAL DIFERIDO APURADO (34%)</w:t>
            </w:r>
          </w:p>
        </w:tc>
        <w:tc>
          <w:tcPr>
            <w:tcW w:w="2815" w:type="dxa"/>
            <w:shd w:val="clear" w:color="auto" w:fill="F1F1F1"/>
          </w:tcPr>
          <w:p>
            <w:pPr>
              <w:pStyle w:val="TableParagraph"/>
              <w:spacing w:line="167" w:lineRule="exact"/>
              <w:ind w:left="490" w:right="477"/>
              <w:jc w:val="center"/>
              <w:rPr>
                <w:rFonts w:ascii="Caladea"/>
                <w:b/>
                <w:sz w:val="16"/>
              </w:rPr>
            </w:pPr>
            <w:r>
              <w:rPr>
                <w:rFonts w:ascii="Caladea"/>
                <w:b/>
                <w:sz w:val="16"/>
              </w:rPr>
              <w:t>25.229</w:t>
            </w:r>
          </w:p>
        </w:tc>
      </w:tr>
    </w:tbl>
    <w:p>
      <w:pPr>
        <w:pStyle w:val="BodyText"/>
        <w:spacing w:before="6"/>
        <w:rPr>
          <w:sz w:val="30"/>
        </w:rPr>
      </w:pPr>
    </w:p>
    <w:p>
      <w:pPr>
        <w:pStyle w:val="BodyText"/>
        <w:spacing w:line="242" w:lineRule="auto"/>
        <w:ind w:left="172" w:right="416"/>
        <w:jc w:val="both"/>
      </w:pPr>
      <w:r>
        <w:rPr/>
        <w:t>A</w:t>
      </w:r>
      <w:r>
        <w:rPr>
          <w:spacing w:val="-6"/>
        </w:rPr>
        <w:t> </w:t>
      </w:r>
      <w:r>
        <w:rPr/>
        <w:t>Administração,</w:t>
      </w:r>
      <w:r>
        <w:rPr>
          <w:spacing w:val="-6"/>
        </w:rPr>
        <w:t> </w:t>
      </w:r>
      <w:r>
        <w:rPr/>
        <w:t>norteada</w:t>
      </w:r>
      <w:r>
        <w:rPr>
          <w:spacing w:val="-3"/>
        </w:rPr>
        <w:t> </w:t>
      </w:r>
      <w:r>
        <w:rPr/>
        <w:t>pelo</w:t>
      </w:r>
      <w:r>
        <w:rPr>
          <w:spacing w:val="-4"/>
        </w:rPr>
        <w:t> </w:t>
      </w:r>
      <w:r>
        <w:rPr/>
        <w:t>estudo</w:t>
      </w:r>
      <w:r>
        <w:rPr>
          <w:spacing w:val="-4"/>
        </w:rPr>
        <w:t> </w:t>
      </w:r>
      <w:r>
        <w:rPr/>
        <w:t>técnico</w:t>
      </w:r>
      <w:r>
        <w:rPr>
          <w:spacing w:val="-6"/>
        </w:rPr>
        <w:t> </w:t>
      </w:r>
      <w:r>
        <w:rPr/>
        <w:t>para</w:t>
      </w:r>
      <w:r>
        <w:rPr>
          <w:spacing w:val="-5"/>
        </w:rPr>
        <w:t> </w:t>
      </w:r>
      <w:r>
        <w:rPr/>
        <w:t>a</w:t>
      </w:r>
      <w:r>
        <w:rPr>
          <w:spacing w:val="-3"/>
        </w:rPr>
        <w:t> </w:t>
      </w:r>
      <w:r>
        <w:rPr/>
        <w:t>realização</w:t>
      </w:r>
      <w:r>
        <w:rPr>
          <w:spacing w:val="-6"/>
        </w:rPr>
        <w:t> </w:t>
      </w:r>
      <w:r>
        <w:rPr/>
        <w:t>do</w:t>
      </w:r>
      <w:r>
        <w:rPr>
          <w:spacing w:val="-6"/>
        </w:rPr>
        <w:t> </w:t>
      </w:r>
      <w:r>
        <w:rPr/>
        <w:t>ativo</w:t>
      </w:r>
      <w:r>
        <w:rPr>
          <w:spacing w:val="-4"/>
        </w:rPr>
        <w:t> </w:t>
      </w:r>
      <w:r>
        <w:rPr/>
        <w:t>fiscal</w:t>
      </w:r>
      <w:r>
        <w:rPr>
          <w:spacing w:val="-5"/>
        </w:rPr>
        <w:t> </w:t>
      </w:r>
      <w:r>
        <w:rPr/>
        <w:t>diferido,</w:t>
      </w:r>
      <w:r>
        <w:rPr>
          <w:spacing w:val="-5"/>
        </w:rPr>
        <w:t> </w:t>
      </w:r>
      <w:r>
        <w:rPr/>
        <w:t>prevê</w:t>
      </w:r>
      <w:r>
        <w:rPr>
          <w:spacing w:val="-5"/>
        </w:rPr>
        <w:t> </w:t>
      </w:r>
      <w:r>
        <w:rPr/>
        <w:t>que</w:t>
      </w:r>
      <w:r>
        <w:rPr>
          <w:spacing w:val="-5"/>
        </w:rPr>
        <w:t> </w:t>
      </w:r>
      <w:r>
        <w:rPr/>
        <w:t>os</w:t>
      </w:r>
      <w:r>
        <w:rPr>
          <w:spacing w:val="-5"/>
        </w:rPr>
        <w:t> </w:t>
      </w:r>
      <w:r>
        <w:rPr/>
        <w:t>créditos tributários</w:t>
      </w:r>
      <w:r>
        <w:rPr>
          <w:spacing w:val="-28"/>
        </w:rPr>
        <w:t> </w:t>
      </w:r>
      <w:r>
        <w:rPr/>
        <w:t>sobre</w:t>
      </w:r>
      <w:r>
        <w:rPr>
          <w:spacing w:val="-27"/>
        </w:rPr>
        <w:t> </w:t>
      </w:r>
      <w:r>
        <w:rPr/>
        <w:t>prejuízo</w:t>
      </w:r>
      <w:r>
        <w:rPr>
          <w:spacing w:val="-26"/>
        </w:rPr>
        <w:t> </w:t>
      </w:r>
      <w:r>
        <w:rPr/>
        <w:t>fiscal</w:t>
      </w:r>
      <w:r>
        <w:rPr>
          <w:spacing w:val="-27"/>
        </w:rPr>
        <w:t> </w:t>
      </w:r>
      <w:r>
        <w:rPr/>
        <w:t>e</w:t>
      </w:r>
      <w:r>
        <w:rPr>
          <w:spacing w:val="-29"/>
        </w:rPr>
        <w:t> </w:t>
      </w:r>
      <w:r>
        <w:rPr/>
        <w:t>parte</w:t>
      </w:r>
      <w:r>
        <w:rPr>
          <w:spacing w:val="-29"/>
        </w:rPr>
        <w:t> </w:t>
      </w:r>
      <w:r>
        <w:rPr/>
        <w:t>das</w:t>
      </w:r>
      <w:r>
        <w:rPr>
          <w:spacing w:val="-27"/>
        </w:rPr>
        <w:t> </w:t>
      </w:r>
      <w:r>
        <w:rPr/>
        <w:t>diferenças</w:t>
      </w:r>
      <w:r>
        <w:rPr>
          <w:spacing w:val="-28"/>
        </w:rPr>
        <w:t> </w:t>
      </w:r>
      <w:r>
        <w:rPr/>
        <w:t>temporárias</w:t>
      </w:r>
      <w:r>
        <w:rPr>
          <w:spacing w:val="-27"/>
        </w:rPr>
        <w:t> </w:t>
      </w:r>
      <w:r>
        <w:rPr/>
        <w:t>possam</w:t>
      </w:r>
      <w:r>
        <w:rPr>
          <w:spacing w:val="-29"/>
        </w:rPr>
        <w:t> </w:t>
      </w:r>
      <w:r>
        <w:rPr/>
        <w:t>ser</w:t>
      </w:r>
      <w:r>
        <w:rPr>
          <w:spacing w:val="-26"/>
        </w:rPr>
        <w:t> </w:t>
      </w:r>
      <w:r>
        <w:rPr/>
        <w:t>realizados</w:t>
      </w:r>
      <w:r>
        <w:rPr>
          <w:spacing w:val="-28"/>
        </w:rPr>
        <w:t> </w:t>
      </w:r>
      <w:r>
        <w:rPr/>
        <w:t>até</w:t>
      </w:r>
      <w:r>
        <w:rPr>
          <w:spacing w:val="-29"/>
        </w:rPr>
        <w:t> </w:t>
      </w:r>
      <w:r>
        <w:rPr>
          <w:spacing w:val="2"/>
        </w:rPr>
        <w:t>2020,</w:t>
      </w:r>
      <w:r>
        <w:rPr>
          <w:spacing w:val="-28"/>
        </w:rPr>
        <w:t> </w:t>
      </w:r>
      <w:r>
        <w:rPr/>
        <w:t>a</w:t>
      </w:r>
      <w:r>
        <w:rPr>
          <w:spacing w:val="-27"/>
        </w:rPr>
        <w:t> </w:t>
      </w:r>
      <w:r>
        <w:rPr/>
        <w:t>saber:</w:t>
      </w:r>
    </w:p>
    <w:p>
      <w:pPr>
        <w:pStyle w:val="BodyText"/>
        <w:spacing w:before="9"/>
        <w:rPr>
          <w:sz w:val="19"/>
        </w:rPr>
      </w:pPr>
    </w:p>
    <w:tbl>
      <w:tblPr>
        <w:tblW w:w="0" w:type="auto"/>
        <w:jc w:val="left"/>
        <w:tblInd w:w="1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35"/>
        <w:gridCol w:w="1796"/>
        <w:gridCol w:w="1006"/>
        <w:gridCol w:w="1796"/>
        <w:gridCol w:w="1051"/>
      </w:tblGrid>
      <w:tr>
        <w:trPr>
          <w:trHeight w:val="165" w:hRule="atLeast"/>
        </w:trPr>
        <w:tc>
          <w:tcPr>
            <w:tcW w:w="4235" w:type="dxa"/>
            <w:vMerge w:val="restart"/>
            <w:shd w:val="clear" w:color="auto" w:fill="D9D9D9"/>
          </w:tcPr>
          <w:p>
            <w:pPr>
              <w:pStyle w:val="TableParagraph"/>
              <w:spacing w:before="111"/>
              <w:ind w:left="849"/>
              <w:rPr>
                <w:rFonts w:ascii="Caladea"/>
                <w:b/>
                <w:sz w:val="14"/>
              </w:rPr>
            </w:pPr>
            <w:r>
              <w:rPr>
                <w:rFonts w:ascii="Caladea"/>
                <w:b/>
                <w:sz w:val="14"/>
              </w:rPr>
              <w:t>CONTROLE DO ATIVO FISCAL DIFERIDO</w:t>
            </w:r>
          </w:p>
        </w:tc>
        <w:tc>
          <w:tcPr>
            <w:tcW w:w="2802" w:type="dxa"/>
            <w:gridSpan w:val="2"/>
            <w:shd w:val="clear" w:color="auto" w:fill="D9D9D9"/>
          </w:tcPr>
          <w:p>
            <w:pPr>
              <w:pStyle w:val="TableParagraph"/>
              <w:spacing w:line="145" w:lineRule="exact"/>
              <w:ind w:left="948" w:right="939"/>
              <w:jc w:val="center"/>
              <w:rPr>
                <w:rFonts w:ascii="Caladea"/>
                <w:b/>
                <w:sz w:val="14"/>
              </w:rPr>
            </w:pPr>
            <w:r>
              <w:rPr>
                <w:rFonts w:ascii="Caladea"/>
                <w:b/>
                <w:sz w:val="14"/>
              </w:rPr>
              <w:t>2019</w:t>
            </w:r>
          </w:p>
        </w:tc>
        <w:tc>
          <w:tcPr>
            <w:tcW w:w="2847" w:type="dxa"/>
            <w:gridSpan w:val="2"/>
            <w:shd w:val="clear" w:color="auto" w:fill="D9D9D9"/>
          </w:tcPr>
          <w:p>
            <w:pPr>
              <w:pStyle w:val="TableParagraph"/>
              <w:spacing w:line="145" w:lineRule="exact"/>
              <w:ind w:left="1235" w:right="1230"/>
              <w:jc w:val="center"/>
              <w:rPr>
                <w:rFonts w:ascii="Caladea"/>
                <w:b/>
                <w:sz w:val="14"/>
              </w:rPr>
            </w:pPr>
            <w:r>
              <w:rPr>
                <w:rFonts w:ascii="Caladea"/>
                <w:b/>
                <w:sz w:val="14"/>
              </w:rPr>
              <w:t>2020</w:t>
            </w:r>
          </w:p>
        </w:tc>
      </w:tr>
      <w:tr>
        <w:trPr>
          <w:trHeight w:val="213" w:hRule="atLeast"/>
        </w:trPr>
        <w:tc>
          <w:tcPr>
            <w:tcW w:w="4235" w:type="dxa"/>
            <w:vMerge/>
            <w:tcBorders>
              <w:top w:val="nil"/>
            </w:tcBorders>
            <w:shd w:val="clear" w:color="auto" w:fill="D9D9D9"/>
          </w:tcPr>
          <w:p>
            <w:pPr>
              <w:rPr>
                <w:sz w:val="2"/>
                <w:szCs w:val="2"/>
              </w:rPr>
            </w:pPr>
          </w:p>
        </w:tc>
        <w:tc>
          <w:tcPr>
            <w:tcW w:w="1796" w:type="dxa"/>
            <w:shd w:val="clear" w:color="auto" w:fill="D9D9D9"/>
          </w:tcPr>
          <w:p>
            <w:pPr>
              <w:pStyle w:val="TableParagraph"/>
              <w:spacing w:before="23"/>
              <w:ind w:left="402"/>
              <w:rPr>
                <w:rFonts w:ascii="Caladea" w:hAnsi="Caladea"/>
                <w:b/>
                <w:sz w:val="14"/>
              </w:rPr>
            </w:pPr>
            <w:r>
              <w:rPr>
                <w:rFonts w:ascii="Caladea" w:hAnsi="Caladea"/>
                <w:b/>
                <w:sz w:val="14"/>
              </w:rPr>
              <w:t>Base de Cálculo</w:t>
            </w:r>
          </w:p>
        </w:tc>
        <w:tc>
          <w:tcPr>
            <w:tcW w:w="1006" w:type="dxa"/>
            <w:shd w:val="clear" w:color="auto" w:fill="D9D9D9"/>
          </w:tcPr>
          <w:p>
            <w:pPr>
              <w:pStyle w:val="TableParagraph"/>
              <w:spacing w:before="23"/>
              <w:ind w:left="255"/>
              <w:rPr>
                <w:rFonts w:ascii="Caladea"/>
                <w:b/>
                <w:sz w:val="14"/>
              </w:rPr>
            </w:pPr>
            <w:r>
              <w:rPr>
                <w:rFonts w:ascii="Caladea"/>
                <w:b/>
                <w:sz w:val="14"/>
              </w:rPr>
              <w:t>Tributo</w:t>
            </w:r>
          </w:p>
        </w:tc>
        <w:tc>
          <w:tcPr>
            <w:tcW w:w="1796" w:type="dxa"/>
            <w:shd w:val="clear" w:color="auto" w:fill="D9D9D9"/>
          </w:tcPr>
          <w:p>
            <w:pPr>
              <w:pStyle w:val="TableParagraph"/>
              <w:spacing w:before="23"/>
              <w:ind w:left="401"/>
              <w:rPr>
                <w:rFonts w:ascii="Caladea" w:hAnsi="Caladea"/>
                <w:b/>
                <w:sz w:val="14"/>
              </w:rPr>
            </w:pPr>
            <w:r>
              <w:rPr>
                <w:rFonts w:ascii="Caladea" w:hAnsi="Caladea"/>
                <w:b/>
                <w:sz w:val="14"/>
              </w:rPr>
              <w:t>Base de Cálculo</w:t>
            </w:r>
          </w:p>
        </w:tc>
        <w:tc>
          <w:tcPr>
            <w:tcW w:w="1051" w:type="dxa"/>
            <w:shd w:val="clear" w:color="auto" w:fill="D9D9D9"/>
          </w:tcPr>
          <w:p>
            <w:pPr>
              <w:pStyle w:val="TableParagraph"/>
              <w:spacing w:before="23"/>
              <w:ind w:left="276"/>
              <w:rPr>
                <w:rFonts w:ascii="Caladea"/>
                <w:b/>
                <w:sz w:val="14"/>
              </w:rPr>
            </w:pPr>
            <w:r>
              <w:rPr>
                <w:rFonts w:ascii="Caladea"/>
                <w:b/>
                <w:sz w:val="14"/>
              </w:rPr>
              <w:t>Tributo</w:t>
            </w:r>
          </w:p>
        </w:tc>
      </w:tr>
      <w:tr>
        <w:trPr>
          <w:trHeight w:val="165" w:hRule="atLeast"/>
        </w:trPr>
        <w:tc>
          <w:tcPr>
            <w:tcW w:w="4235" w:type="dxa"/>
          </w:tcPr>
          <w:p>
            <w:pPr>
              <w:pStyle w:val="TableParagraph"/>
              <w:spacing w:line="145" w:lineRule="exact"/>
              <w:ind w:left="72"/>
              <w:rPr>
                <w:sz w:val="14"/>
              </w:rPr>
            </w:pPr>
            <w:r>
              <w:rPr>
                <w:sz w:val="14"/>
              </w:rPr>
              <w:t>Saldo Inicial</w:t>
            </w:r>
          </w:p>
        </w:tc>
        <w:tc>
          <w:tcPr>
            <w:tcW w:w="1796" w:type="dxa"/>
          </w:tcPr>
          <w:p>
            <w:pPr>
              <w:pStyle w:val="TableParagraph"/>
              <w:spacing w:line="145" w:lineRule="exact"/>
              <w:ind w:right="58"/>
              <w:jc w:val="right"/>
              <w:rPr>
                <w:sz w:val="14"/>
              </w:rPr>
            </w:pPr>
            <w:r>
              <w:rPr>
                <w:w w:val="95"/>
                <w:sz w:val="14"/>
              </w:rPr>
              <w:t>75.067</w:t>
            </w:r>
          </w:p>
        </w:tc>
        <w:tc>
          <w:tcPr>
            <w:tcW w:w="1006" w:type="dxa"/>
          </w:tcPr>
          <w:p>
            <w:pPr>
              <w:pStyle w:val="TableParagraph"/>
              <w:spacing w:line="145" w:lineRule="exact"/>
              <w:ind w:right="58"/>
              <w:jc w:val="right"/>
              <w:rPr>
                <w:sz w:val="14"/>
              </w:rPr>
            </w:pPr>
            <w:r>
              <w:rPr>
                <w:w w:val="95"/>
                <w:sz w:val="14"/>
              </w:rPr>
              <w:t>25.523</w:t>
            </w:r>
          </w:p>
        </w:tc>
        <w:tc>
          <w:tcPr>
            <w:tcW w:w="1796" w:type="dxa"/>
          </w:tcPr>
          <w:p>
            <w:pPr>
              <w:pStyle w:val="TableParagraph"/>
              <w:spacing w:line="145" w:lineRule="exact"/>
              <w:ind w:right="58"/>
              <w:jc w:val="right"/>
              <w:rPr>
                <w:sz w:val="14"/>
              </w:rPr>
            </w:pPr>
            <w:r>
              <w:rPr>
                <w:w w:val="95"/>
                <w:sz w:val="14"/>
              </w:rPr>
              <w:t>79.768</w:t>
            </w:r>
          </w:p>
        </w:tc>
        <w:tc>
          <w:tcPr>
            <w:tcW w:w="1051" w:type="dxa"/>
          </w:tcPr>
          <w:p>
            <w:pPr>
              <w:pStyle w:val="TableParagraph"/>
              <w:spacing w:line="145" w:lineRule="exact"/>
              <w:ind w:right="60"/>
              <w:jc w:val="right"/>
              <w:rPr>
                <w:sz w:val="14"/>
              </w:rPr>
            </w:pPr>
            <w:r>
              <w:rPr>
                <w:w w:val="95"/>
                <w:sz w:val="14"/>
              </w:rPr>
              <w:t>27.121</w:t>
            </w:r>
          </w:p>
        </w:tc>
      </w:tr>
      <w:tr>
        <w:trPr>
          <w:trHeight w:val="162" w:hRule="atLeast"/>
        </w:trPr>
        <w:tc>
          <w:tcPr>
            <w:tcW w:w="4235" w:type="dxa"/>
          </w:tcPr>
          <w:p>
            <w:pPr>
              <w:pStyle w:val="TableParagraph"/>
              <w:spacing w:line="142" w:lineRule="exact"/>
              <w:ind w:left="72"/>
              <w:rPr>
                <w:sz w:val="14"/>
              </w:rPr>
            </w:pPr>
            <w:r>
              <w:rPr>
                <w:sz w:val="14"/>
              </w:rPr>
              <w:t>(-)Saldo a ser Realizado de IRPJ / CSLL</w:t>
            </w:r>
          </w:p>
        </w:tc>
        <w:tc>
          <w:tcPr>
            <w:tcW w:w="1796" w:type="dxa"/>
          </w:tcPr>
          <w:p>
            <w:pPr>
              <w:pStyle w:val="TableParagraph"/>
              <w:spacing w:line="142" w:lineRule="exact"/>
              <w:ind w:right="58"/>
              <w:jc w:val="right"/>
              <w:rPr>
                <w:sz w:val="14"/>
              </w:rPr>
            </w:pPr>
            <w:r>
              <w:rPr>
                <w:sz w:val="14"/>
              </w:rPr>
              <w:t>(865)</w:t>
            </w:r>
          </w:p>
        </w:tc>
        <w:tc>
          <w:tcPr>
            <w:tcW w:w="1006" w:type="dxa"/>
          </w:tcPr>
          <w:p>
            <w:pPr>
              <w:pStyle w:val="TableParagraph"/>
              <w:spacing w:line="142" w:lineRule="exact"/>
              <w:ind w:right="58"/>
              <w:jc w:val="right"/>
              <w:rPr>
                <w:sz w:val="14"/>
              </w:rPr>
            </w:pPr>
            <w:r>
              <w:rPr>
                <w:sz w:val="14"/>
              </w:rPr>
              <w:t>(294)</w:t>
            </w:r>
          </w:p>
        </w:tc>
        <w:tc>
          <w:tcPr>
            <w:tcW w:w="1796" w:type="dxa"/>
          </w:tcPr>
          <w:p>
            <w:pPr>
              <w:pStyle w:val="TableParagraph"/>
              <w:spacing w:line="142" w:lineRule="exact"/>
              <w:ind w:right="58"/>
              <w:jc w:val="right"/>
              <w:rPr>
                <w:sz w:val="14"/>
              </w:rPr>
            </w:pPr>
            <w:r>
              <w:rPr>
                <w:sz w:val="14"/>
              </w:rPr>
              <w:t>(79.768)</w:t>
            </w:r>
          </w:p>
        </w:tc>
        <w:tc>
          <w:tcPr>
            <w:tcW w:w="1051" w:type="dxa"/>
          </w:tcPr>
          <w:p>
            <w:pPr>
              <w:pStyle w:val="TableParagraph"/>
              <w:spacing w:line="142" w:lineRule="exact"/>
              <w:ind w:right="61"/>
              <w:jc w:val="right"/>
              <w:rPr>
                <w:sz w:val="14"/>
              </w:rPr>
            </w:pPr>
            <w:r>
              <w:rPr>
                <w:sz w:val="14"/>
              </w:rPr>
              <w:t>(27.121)</w:t>
            </w:r>
          </w:p>
        </w:tc>
      </w:tr>
      <w:tr>
        <w:trPr>
          <w:trHeight w:val="165" w:hRule="atLeast"/>
        </w:trPr>
        <w:tc>
          <w:tcPr>
            <w:tcW w:w="4235" w:type="dxa"/>
          </w:tcPr>
          <w:p>
            <w:pPr>
              <w:pStyle w:val="TableParagraph"/>
              <w:spacing w:line="145" w:lineRule="exact"/>
              <w:ind w:left="72"/>
              <w:rPr>
                <w:rFonts w:ascii="Caladea"/>
                <w:b/>
                <w:sz w:val="14"/>
              </w:rPr>
            </w:pPr>
            <w:r>
              <w:rPr>
                <w:rFonts w:ascii="Caladea"/>
                <w:b/>
                <w:sz w:val="14"/>
              </w:rPr>
              <w:t>Saldo Final</w:t>
            </w:r>
          </w:p>
        </w:tc>
        <w:tc>
          <w:tcPr>
            <w:tcW w:w="1796" w:type="dxa"/>
          </w:tcPr>
          <w:p>
            <w:pPr>
              <w:pStyle w:val="TableParagraph"/>
              <w:spacing w:line="145" w:lineRule="exact"/>
              <w:ind w:right="57"/>
              <w:jc w:val="right"/>
              <w:rPr>
                <w:rFonts w:ascii="Caladea"/>
                <w:b/>
                <w:sz w:val="14"/>
              </w:rPr>
            </w:pPr>
            <w:r>
              <w:rPr>
                <w:rFonts w:ascii="Caladea"/>
                <w:b/>
                <w:sz w:val="14"/>
              </w:rPr>
              <w:t>74.202</w:t>
            </w:r>
          </w:p>
        </w:tc>
        <w:tc>
          <w:tcPr>
            <w:tcW w:w="1006" w:type="dxa"/>
          </w:tcPr>
          <w:p>
            <w:pPr>
              <w:pStyle w:val="TableParagraph"/>
              <w:spacing w:line="145" w:lineRule="exact"/>
              <w:ind w:right="58"/>
              <w:jc w:val="right"/>
              <w:rPr>
                <w:rFonts w:ascii="Caladea"/>
                <w:b/>
                <w:sz w:val="14"/>
              </w:rPr>
            </w:pPr>
            <w:r>
              <w:rPr>
                <w:rFonts w:ascii="Caladea"/>
                <w:b/>
                <w:sz w:val="14"/>
              </w:rPr>
              <w:t>25.229</w:t>
            </w:r>
          </w:p>
        </w:tc>
        <w:tc>
          <w:tcPr>
            <w:tcW w:w="1796" w:type="dxa"/>
          </w:tcPr>
          <w:p>
            <w:pPr>
              <w:pStyle w:val="TableParagraph"/>
              <w:rPr>
                <w:rFonts w:ascii="Times New Roman"/>
                <w:sz w:val="10"/>
              </w:rPr>
            </w:pPr>
          </w:p>
        </w:tc>
        <w:tc>
          <w:tcPr>
            <w:tcW w:w="1051" w:type="dxa"/>
          </w:tcPr>
          <w:p>
            <w:pPr>
              <w:pStyle w:val="TableParagraph"/>
              <w:rPr>
                <w:rFonts w:ascii="Times New Roman"/>
                <w:sz w:val="10"/>
              </w:rPr>
            </w:pPr>
          </w:p>
        </w:tc>
      </w:tr>
    </w:tbl>
    <w:p>
      <w:pPr>
        <w:pStyle w:val="BodyText"/>
        <w:spacing w:before="5"/>
      </w:pPr>
    </w:p>
    <w:p>
      <w:pPr>
        <w:pStyle w:val="BodyText"/>
        <w:spacing w:line="242" w:lineRule="auto"/>
        <w:ind w:left="172" w:right="409"/>
        <w:jc w:val="both"/>
      </w:pPr>
      <w:r>
        <w:rPr/>
        <w:t>O estudo técnico de viabilidade elaborado pela Companhia foi objeto de apreciação pelo Conselho Fiscal e aprovado</w:t>
      </w:r>
      <w:r>
        <w:rPr>
          <w:spacing w:val="-31"/>
        </w:rPr>
        <w:t> </w:t>
      </w:r>
      <w:r>
        <w:rPr/>
        <w:t>pelo</w:t>
      </w:r>
      <w:r>
        <w:rPr>
          <w:spacing w:val="-33"/>
        </w:rPr>
        <w:t> </w:t>
      </w:r>
      <w:r>
        <w:rPr/>
        <w:t>Conselho</w:t>
      </w:r>
      <w:r>
        <w:rPr>
          <w:spacing w:val="-32"/>
        </w:rPr>
        <w:t> </w:t>
      </w:r>
      <w:r>
        <w:rPr/>
        <w:t>de</w:t>
      </w:r>
      <w:r>
        <w:rPr>
          <w:spacing w:val="-32"/>
        </w:rPr>
        <w:t> </w:t>
      </w:r>
      <w:r>
        <w:rPr/>
        <w:t>Administração</w:t>
      </w:r>
      <w:r>
        <w:rPr>
          <w:spacing w:val="-33"/>
        </w:rPr>
        <w:t> </w:t>
      </w:r>
      <w:r>
        <w:rPr/>
        <w:t>em</w:t>
      </w:r>
      <w:r>
        <w:rPr>
          <w:spacing w:val="-32"/>
        </w:rPr>
        <w:t> </w:t>
      </w:r>
      <w:r>
        <w:rPr/>
        <w:t>20</w:t>
      </w:r>
      <w:r>
        <w:rPr>
          <w:spacing w:val="-31"/>
        </w:rPr>
        <w:t> </w:t>
      </w:r>
      <w:r>
        <w:rPr/>
        <w:t>de</w:t>
      </w:r>
      <w:r>
        <w:rPr>
          <w:spacing w:val="-31"/>
        </w:rPr>
        <w:t> </w:t>
      </w:r>
      <w:r>
        <w:rPr/>
        <w:t>fevereiro</w:t>
      </w:r>
      <w:r>
        <w:rPr>
          <w:spacing w:val="-33"/>
        </w:rPr>
        <w:t> </w:t>
      </w:r>
      <w:r>
        <w:rPr/>
        <w:t>de</w:t>
      </w:r>
      <w:r>
        <w:rPr>
          <w:spacing w:val="-33"/>
        </w:rPr>
        <w:t> </w:t>
      </w:r>
      <w:r>
        <w:rPr/>
        <w:t>2020</w:t>
      </w:r>
      <w:r>
        <w:rPr>
          <w:spacing w:val="-31"/>
        </w:rPr>
        <w:t> </w:t>
      </w:r>
      <w:r>
        <w:rPr/>
        <w:t>e</w:t>
      </w:r>
      <w:r>
        <w:rPr>
          <w:spacing w:val="-34"/>
        </w:rPr>
        <w:t> </w:t>
      </w:r>
      <w:r>
        <w:rPr/>
        <w:t>27</w:t>
      </w:r>
      <w:r>
        <w:rPr>
          <w:spacing w:val="-30"/>
        </w:rPr>
        <w:t> </w:t>
      </w:r>
      <w:r>
        <w:rPr/>
        <w:t>de</w:t>
      </w:r>
      <w:r>
        <w:rPr>
          <w:spacing w:val="-33"/>
        </w:rPr>
        <w:t> </w:t>
      </w:r>
      <w:r>
        <w:rPr/>
        <w:t>fevereiro</w:t>
      </w:r>
      <w:r>
        <w:rPr>
          <w:spacing w:val="-32"/>
        </w:rPr>
        <w:t> </w:t>
      </w:r>
      <w:r>
        <w:rPr/>
        <w:t>de</w:t>
      </w:r>
      <w:r>
        <w:rPr>
          <w:spacing w:val="-33"/>
        </w:rPr>
        <w:t> </w:t>
      </w:r>
      <w:r>
        <w:rPr/>
        <w:t>2020,</w:t>
      </w:r>
      <w:r>
        <w:rPr>
          <w:spacing w:val="-31"/>
        </w:rPr>
        <w:t> </w:t>
      </w:r>
      <w:r>
        <w:rPr/>
        <w:t>respectivamente.</w:t>
      </w:r>
    </w:p>
    <w:p>
      <w:pPr>
        <w:pStyle w:val="BodyText"/>
        <w:spacing w:before="7"/>
      </w:pPr>
    </w:p>
    <w:p>
      <w:pPr>
        <w:pStyle w:val="Heading5"/>
        <w:numPr>
          <w:ilvl w:val="2"/>
          <w:numId w:val="22"/>
        </w:numPr>
        <w:tabs>
          <w:tab w:pos="1025" w:val="left" w:leader="none"/>
          <w:tab w:pos="1026" w:val="left" w:leader="none"/>
        </w:tabs>
        <w:spacing w:line="240" w:lineRule="auto" w:before="0" w:after="0"/>
        <w:ind w:left="1025" w:right="0" w:hanging="854"/>
        <w:jc w:val="left"/>
      </w:pPr>
      <w:r>
        <w:rPr/>
        <w:t>Ativos fiscais diferidos não</w:t>
      </w:r>
      <w:r>
        <w:rPr>
          <w:spacing w:val="-6"/>
        </w:rPr>
        <w:t> </w:t>
      </w:r>
      <w:r>
        <w:rPr/>
        <w:t>reconhecidos</w:t>
      </w:r>
    </w:p>
    <w:p>
      <w:pPr>
        <w:pStyle w:val="BodyText"/>
        <w:rPr>
          <w:rFonts w:ascii="Caladea"/>
          <w:b/>
          <w:sz w:val="24"/>
        </w:rPr>
      </w:pPr>
    </w:p>
    <w:p>
      <w:pPr>
        <w:pStyle w:val="BodyText"/>
        <w:ind w:left="172"/>
        <w:jc w:val="both"/>
      </w:pPr>
      <w:r>
        <w:rPr/>
        <w:t>Segue o demonstrativo dos ativos fiscais diferidos não reconhecidos:</w:t>
      </w:r>
    </w:p>
    <w:p>
      <w:pPr>
        <w:pStyle w:val="BodyText"/>
        <w:spacing w:before="4" w:after="1"/>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12"/>
        <w:gridCol w:w="1176"/>
        <w:gridCol w:w="1176"/>
        <w:gridCol w:w="1177"/>
        <w:gridCol w:w="1176"/>
      </w:tblGrid>
      <w:tr>
        <w:trPr>
          <w:trHeight w:val="239" w:hRule="atLeast"/>
        </w:trPr>
        <w:tc>
          <w:tcPr>
            <w:tcW w:w="5212" w:type="dxa"/>
            <w:vMerge w:val="restart"/>
            <w:shd w:val="clear" w:color="auto" w:fill="D9D9D9"/>
          </w:tcPr>
          <w:p>
            <w:pPr>
              <w:pStyle w:val="TableParagraph"/>
              <w:rPr>
                <w:rFonts w:ascii="Times New Roman"/>
                <w:sz w:val="18"/>
              </w:rPr>
            </w:pPr>
          </w:p>
        </w:tc>
        <w:tc>
          <w:tcPr>
            <w:tcW w:w="2352" w:type="dxa"/>
            <w:gridSpan w:val="2"/>
          </w:tcPr>
          <w:p>
            <w:pPr>
              <w:pStyle w:val="TableParagraph"/>
              <w:spacing w:before="37"/>
              <w:ind w:left="746"/>
              <w:rPr>
                <w:rFonts w:ascii="Caladea"/>
                <w:b/>
                <w:sz w:val="14"/>
              </w:rPr>
            </w:pPr>
            <w:r>
              <w:rPr>
                <w:rFonts w:ascii="Caladea"/>
                <w:b/>
                <w:sz w:val="14"/>
              </w:rPr>
              <w:t>Controladora</w:t>
            </w:r>
          </w:p>
        </w:tc>
        <w:tc>
          <w:tcPr>
            <w:tcW w:w="2353" w:type="dxa"/>
            <w:gridSpan w:val="2"/>
          </w:tcPr>
          <w:p>
            <w:pPr>
              <w:pStyle w:val="TableParagraph"/>
              <w:spacing w:before="37"/>
              <w:ind w:left="777"/>
              <w:rPr>
                <w:rFonts w:ascii="Caladea"/>
                <w:b/>
                <w:sz w:val="14"/>
              </w:rPr>
            </w:pPr>
            <w:r>
              <w:rPr>
                <w:rFonts w:ascii="Caladea"/>
                <w:b/>
                <w:sz w:val="14"/>
              </w:rPr>
              <w:t>Consolidado</w:t>
            </w:r>
          </w:p>
        </w:tc>
      </w:tr>
      <w:tr>
        <w:trPr>
          <w:trHeight w:val="251" w:hRule="atLeast"/>
        </w:trPr>
        <w:tc>
          <w:tcPr>
            <w:tcW w:w="5212" w:type="dxa"/>
            <w:vMerge/>
            <w:tcBorders>
              <w:top w:val="nil"/>
            </w:tcBorders>
            <w:shd w:val="clear" w:color="auto" w:fill="D9D9D9"/>
          </w:tcPr>
          <w:p>
            <w:pPr>
              <w:rPr>
                <w:sz w:val="2"/>
                <w:szCs w:val="2"/>
              </w:rPr>
            </w:pPr>
          </w:p>
        </w:tc>
        <w:tc>
          <w:tcPr>
            <w:tcW w:w="1176" w:type="dxa"/>
          </w:tcPr>
          <w:p>
            <w:pPr>
              <w:pStyle w:val="TableParagraph"/>
              <w:spacing w:before="42"/>
              <w:ind w:left="186"/>
              <w:rPr>
                <w:rFonts w:ascii="Caladea"/>
                <w:b/>
                <w:sz w:val="14"/>
              </w:rPr>
            </w:pPr>
            <w:r>
              <w:rPr>
                <w:rFonts w:ascii="Caladea"/>
                <w:b/>
                <w:sz w:val="14"/>
              </w:rPr>
              <w:t>31/12/2019</w:t>
            </w:r>
          </w:p>
        </w:tc>
        <w:tc>
          <w:tcPr>
            <w:tcW w:w="1176" w:type="dxa"/>
          </w:tcPr>
          <w:p>
            <w:pPr>
              <w:pStyle w:val="TableParagraph"/>
              <w:spacing w:before="42"/>
              <w:ind w:left="186"/>
              <w:rPr>
                <w:rFonts w:ascii="Caladea"/>
                <w:b/>
                <w:sz w:val="14"/>
              </w:rPr>
            </w:pPr>
            <w:r>
              <w:rPr>
                <w:rFonts w:ascii="Caladea"/>
                <w:b/>
                <w:sz w:val="14"/>
              </w:rPr>
              <w:t>31/12/2018</w:t>
            </w:r>
          </w:p>
        </w:tc>
        <w:tc>
          <w:tcPr>
            <w:tcW w:w="1177" w:type="dxa"/>
          </w:tcPr>
          <w:p>
            <w:pPr>
              <w:pStyle w:val="TableParagraph"/>
              <w:spacing w:before="42"/>
              <w:ind w:left="187"/>
              <w:rPr>
                <w:rFonts w:ascii="Caladea"/>
                <w:b/>
                <w:sz w:val="14"/>
              </w:rPr>
            </w:pPr>
            <w:r>
              <w:rPr>
                <w:rFonts w:ascii="Caladea"/>
                <w:b/>
                <w:sz w:val="14"/>
              </w:rPr>
              <w:t>31/12/2019</w:t>
            </w:r>
          </w:p>
        </w:tc>
        <w:tc>
          <w:tcPr>
            <w:tcW w:w="1176" w:type="dxa"/>
          </w:tcPr>
          <w:p>
            <w:pPr>
              <w:pStyle w:val="TableParagraph"/>
              <w:spacing w:before="42"/>
              <w:ind w:left="186"/>
              <w:rPr>
                <w:rFonts w:ascii="Caladea"/>
                <w:b/>
                <w:sz w:val="14"/>
              </w:rPr>
            </w:pPr>
            <w:r>
              <w:rPr>
                <w:rFonts w:ascii="Caladea"/>
                <w:b/>
                <w:sz w:val="14"/>
              </w:rPr>
              <w:t>31/12/2018</w:t>
            </w:r>
          </w:p>
        </w:tc>
      </w:tr>
      <w:tr>
        <w:trPr>
          <w:trHeight w:val="239" w:hRule="atLeast"/>
        </w:trPr>
        <w:tc>
          <w:tcPr>
            <w:tcW w:w="5212" w:type="dxa"/>
          </w:tcPr>
          <w:p>
            <w:pPr>
              <w:pStyle w:val="TableParagraph"/>
              <w:spacing w:before="38"/>
              <w:ind w:left="72"/>
              <w:rPr>
                <w:sz w:val="14"/>
              </w:rPr>
            </w:pPr>
            <w:r>
              <w:rPr>
                <w:sz w:val="14"/>
              </w:rPr>
              <w:t>Diferenças Temporárias</w:t>
            </w:r>
          </w:p>
        </w:tc>
        <w:tc>
          <w:tcPr>
            <w:tcW w:w="1176" w:type="dxa"/>
          </w:tcPr>
          <w:p>
            <w:pPr>
              <w:pStyle w:val="TableParagraph"/>
              <w:spacing w:before="38"/>
              <w:ind w:right="57"/>
              <w:jc w:val="right"/>
              <w:rPr>
                <w:sz w:val="14"/>
              </w:rPr>
            </w:pPr>
            <w:r>
              <w:rPr>
                <w:w w:val="95"/>
                <w:sz w:val="14"/>
              </w:rPr>
              <w:t>4.219</w:t>
            </w:r>
          </w:p>
        </w:tc>
        <w:tc>
          <w:tcPr>
            <w:tcW w:w="1176" w:type="dxa"/>
          </w:tcPr>
          <w:p>
            <w:pPr>
              <w:pStyle w:val="TableParagraph"/>
              <w:spacing w:before="38"/>
              <w:ind w:right="57"/>
              <w:jc w:val="right"/>
              <w:rPr>
                <w:sz w:val="14"/>
              </w:rPr>
            </w:pPr>
            <w:r>
              <w:rPr>
                <w:w w:val="95"/>
                <w:sz w:val="14"/>
              </w:rPr>
              <w:t>9.613</w:t>
            </w:r>
          </w:p>
        </w:tc>
        <w:tc>
          <w:tcPr>
            <w:tcW w:w="1177" w:type="dxa"/>
          </w:tcPr>
          <w:p>
            <w:pPr>
              <w:pStyle w:val="TableParagraph"/>
              <w:spacing w:before="38"/>
              <w:ind w:right="58"/>
              <w:jc w:val="right"/>
              <w:rPr>
                <w:sz w:val="14"/>
              </w:rPr>
            </w:pPr>
            <w:r>
              <w:rPr>
                <w:w w:val="95"/>
                <w:sz w:val="14"/>
              </w:rPr>
              <w:t>120.748</w:t>
            </w:r>
          </w:p>
        </w:tc>
        <w:tc>
          <w:tcPr>
            <w:tcW w:w="1176" w:type="dxa"/>
          </w:tcPr>
          <w:p>
            <w:pPr>
              <w:pStyle w:val="TableParagraph"/>
              <w:spacing w:before="38"/>
              <w:ind w:right="60"/>
              <w:jc w:val="right"/>
              <w:rPr>
                <w:sz w:val="14"/>
              </w:rPr>
            </w:pPr>
            <w:r>
              <w:rPr>
                <w:w w:val="95"/>
                <w:sz w:val="14"/>
              </w:rPr>
              <w:t>106.595</w:t>
            </w:r>
          </w:p>
        </w:tc>
      </w:tr>
      <w:tr>
        <w:trPr>
          <w:trHeight w:val="237" w:hRule="atLeast"/>
        </w:trPr>
        <w:tc>
          <w:tcPr>
            <w:tcW w:w="5212" w:type="dxa"/>
          </w:tcPr>
          <w:p>
            <w:pPr>
              <w:pStyle w:val="TableParagraph"/>
              <w:spacing w:before="36"/>
              <w:ind w:left="72"/>
              <w:rPr>
                <w:sz w:val="14"/>
              </w:rPr>
            </w:pPr>
            <w:r>
              <w:rPr>
                <w:sz w:val="14"/>
              </w:rPr>
              <w:t>Prejuízo Fiscal e Base Negativa</w:t>
            </w:r>
          </w:p>
        </w:tc>
        <w:tc>
          <w:tcPr>
            <w:tcW w:w="1176" w:type="dxa"/>
          </w:tcPr>
          <w:p>
            <w:pPr>
              <w:pStyle w:val="TableParagraph"/>
              <w:rPr>
                <w:rFonts w:ascii="Times New Roman"/>
                <w:sz w:val="16"/>
              </w:rPr>
            </w:pPr>
          </w:p>
        </w:tc>
        <w:tc>
          <w:tcPr>
            <w:tcW w:w="1176" w:type="dxa"/>
          </w:tcPr>
          <w:p>
            <w:pPr>
              <w:pStyle w:val="TableParagraph"/>
              <w:rPr>
                <w:rFonts w:ascii="Times New Roman"/>
                <w:sz w:val="16"/>
              </w:rPr>
            </w:pPr>
          </w:p>
        </w:tc>
        <w:tc>
          <w:tcPr>
            <w:tcW w:w="1177" w:type="dxa"/>
          </w:tcPr>
          <w:p>
            <w:pPr>
              <w:pStyle w:val="TableParagraph"/>
              <w:spacing w:before="36"/>
              <w:ind w:right="58"/>
              <w:jc w:val="right"/>
              <w:rPr>
                <w:sz w:val="14"/>
              </w:rPr>
            </w:pPr>
            <w:r>
              <w:rPr>
                <w:w w:val="95"/>
                <w:sz w:val="14"/>
              </w:rPr>
              <w:t>122.200</w:t>
            </w:r>
          </w:p>
        </w:tc>
        <w:tc>
          <w:tcPr>
            <w:tcW w:w="1176" w:type="dxa"/>
          </w:tcPr>
          <w:p>
            <w:pPr>
              <w:pStyle w:val="TableParagraph"/>
              <w:spacing w:before="36"/>
              <w:ind w:right="60"/>
              <w:jc w:val="right"/>
              <w:rPr>
                <w:sz w:val="14"/>
              </w:rPr>
            </w:pPr>
            <w:r>
              <w:rPr>
                <w:w w:val="95"/>
                <w:sz w:val="14"/>
              </w:rPr>
              <w:t>161.626</w:t>
            </w:r>
          </w:p>
        </w:tc>
      </w:tr>
      <w:tr>
        <w:trPr>
          <w:trHeight w:val="237" w:hRule="atLeast"/>
        </w:trPr>
        <w:tc>
          <w:tcPr>
            <w:tcW w:w="5212" w:type="dxa"/>
          </w:tcPr>
          <w:p>
            <w:pPr>
              <w:pStyle w:val="TableParagraph"/>
              <w:spacing w:before="37"/>
              <w:ind w:left="72"/>
              <w:rPr>
                <w:rFonts w:ascii="Caladea"/>
                <w:b/>
                <w:sz w:val="14"/>
              </w:rPr>
            </w:pPr>
            <w:r>
              <w:rPr>
                <w:rFonts w:ascii="Caladea"/>
                <w:b/>
                <w:sz w:val="14"/>
              </w:rPr>
              <w:t>Total</w:t>
            </w:r>
          </w:p>
        </w:tc>
        <w:tc>
          <w:tcPr>
            <w:tcW w:w="1176" w:type="dxa"/>
          </w:tcPr>
          <w:p>
            <w:pPr>
              <w:pStyle w:val="TableParagraph"/>
              <w:spacing w:before="37"/>
              <w:ind w:right="57"/>
              <w:jc w:val="right"/>
              <w:rPr>
                <w:rFonts w:ascii="Caladea"/>
                <w:b/>
                <w:sz w:val="14"/>
              </w:rPr>
            </w:pPr>
            <w:r>
              <w:rPr>
                <w:rFonts w:ascii="Caladea"/>
                <w:b/>
                <w:w w:val="95"/>
                <w:sz w:val="14"/>
              </w:rPr>
              <w:t>4.219</w:t>
            </w:r>
          </w:p>
        </w:tc>
        <w:tc>
          <w:tcPr>
            <w:tcW w:w="1176" w:type="dxa"/>
          </w:tcPr>
          <w:p>
            <w:pPr>
              <w:pStyle w:val="TableParagraph"/>
              <w:spacing w:before="37"/>
              <w:ind w:right="57"/>
              <w:jc w:val="right"/>
              <w:rPr>
                <w:rFonts w:ascii="Caladea"/>
                <w:b/>
                <w:sz w:val="14"/>
              </w:rPr>
            </w:pPr>
            <w:r>
              <w:rPr>
                <w:rFonts w:ascii="Caladea"/>
                <w:b/>
                <w:w w:val="95"/>
                <w:sz w:val="14"/>
              </w:rPr>
              <w:t>9.613</w:t>
            </w:r>
          </w:p>
        </w:tc>
        <w:tc>
          <w:tcPr>
            <w:tcW w:w="1177" w:type="dxa"/>
          </w:tcPr>
          <w:p>
            <w:pPr>
              <w:pStyle w:val="TableParagraph"/>
              <w:spacing w:before="37"/>
              <w:ind w:right="58"/>
              <w:jc w:val="right"/>
              <w:rPr>
                <w:rFonts w:ascii="Caladea"/>
                <w:b/>
                <w:sz w:val="14"/>
              </w:rPr>
            </w:pPr>
            <w:r>
              <w:rPr>
                <w:rFonts w:ascii="Caladea"/>
                <w:b/>
                <w:w w:val="95"/>
                <w:sz w:val="14"/>
              </w:rPr>
              <w:t>242.948</w:t>
            </w:r>
          </w:p>
        </w:tc>
        <w:tc>
          <w:tcPr>
            <w:tcW w:w="1176" w:type="dxa"/>
          </w:tcPr>
          <w:p>
            <w:pPr>
              <w:pStyle w:val="TableParagraph"/>
              <w:spacing w:before="37"/>
              <w:ind w:right="60"/>
              <w:jc w:val="right"/>
              <w:rPr>
                <w:rFonts w:ascii="Caladea"/>
                <w:b/>
                <w:sz w:val="14"/>
              </w:rPr>
            </w:pPr>
            <w:r>
              <w:rPr>
                <w:rFonts w:ascii="Caladea"/>
                <w:b/>
                <w:w w:val="95"/>
                <w:sz w:val="14"/>
              </w:rPr>
              <w:t>268.221</w:t>
            </w:r>
          </w:p>
        </w:tc>
      </w:tr>
    </w:tbl>
    <w:p>
      <w:pPr>
        <w:pStyle w:val="BodyText"/>
        <w:spacing w:before="7"/>
        <w:rPr>
          <w:sz w:val="22"/>
        </w:rPr>
      </w:pPr>
    </w:p>
    <w:p>
      <w:pPr>
        <w:pStyle w:val="BodyText"/>
        <w:spacing w:line="249" w:lineRule="auto" w:before="1"/>
        <w:ind w:left="172" w:right="416"/>
        <w:jc w:val="both"/>
      </w:pPr>
      <w:r>
        <w:rPr/>
        <w:t>A Companhia não reconheceu ativo fiscal diferido sobre Provisões para Contingências ou Perdas Estimadas em Créditos</w:t>
      </w:r>
      <w:r>
        <w:rPr>
          <w:spacing w:val="-49"/>
        </w:rPr>
        <w:t> </w:t>
      </w:r>
      <w:r>
        <w:rPr/>
        <w:t>de</w:t>
      </w:r>
      <w:r>
        <w:rPr>
          <w:spacing w:val="-50"/>
        </w:rPr>
        <w:t> </w:t>
      </w:r>
      <w:r>
        <w:rPr/>
        <w:t>Liquidação</w:t>
      </w:r>
      <w:r>
        <w:rPr>
          <w:spacing w:val="-50"/>
        </w:rPr>
        <w:t> </w:t>
      </w:r>
      <w:r>
        <w:rPr/>
        <w:t>Duvidosa,</w:t>
      </w:r>
      <w:r>
        <w:rPr>
          <w:spacing w:val="-50"/>
        </w:rPr>
        <w:t> </w:t>
      </w:r>
      <w:r>
        <w:rPr/>
        <w:t>por</w:t>
      </w:r>
      <w:r>
        <w:rPr>
          <w:spacing w:val="-49"/>
        </w:rPr>
        <w:t> </w:t>
      </w:r>
      <w:r>
        <w:rPr/>
        <w:t>entender</w:t>
      </w:r>
      <w:r>
        <w:rPr>
          <w:spacing w:val="-49"/>
        </w:rPr>
        <w:t> </w:t>
      </w:r>
      <w:r>
        <w:rPr/>
        <w:t>que</w:t>
      </w:r>
      <w:r>
        <w:rPr>
          <w:spacing w:val="-49"/>
        </w:rPr>
        <w:t> </w:t>
      </w:r>
      <w:r>
        <w:rPr/>
        <w:t>tais</w:t>
      </w:r>
      <w:r>
        <w:rPr>
          <w:spacing w:val="-50"/>
        </w:rPr>
        <w:t> </w:t>
      </w:r>
      <w:r>
        <w:rPr/>
        <w:t>diferenças</w:t>
      </w:r>
      <w:r>
        <w:rPr>
          <w:spacing w:val="-49"/>
        </w:rPr>
        <w:t> </w:t>
      </w:r>
      <w:r>
        <w:rPr/>
        <w:t>temporárias</w:t>
      </w:r>
      <w:r>
        <w:rPr>
          <w:spacing w:val="-49"/>
        </w:rPr>
        <w:t> </w:t>
      </w:r>
      <w:r>
        <w:rPr/>
        <w:t>geram</w:t>
      </w:r>
      <w:r>
        <w:rPr>
          <w:spacing w:val="-49"/>
        </w:rPr>
        <w:t> </w:t>
      </w:r>
      <w:r>
        <w:rPr/>
        <w:t>dúvidas</w:t>
      </w:r>
      <w:r>
        <w:rPr>
          <w:spacing w:val="-48"/>
        </w:rPr>
        <w:t> </w:t>
      </w:r>
      <w:r>
        <w:rPr/>
        <w:t>quanto</w:t>
      </w:r>
      <w:r>
        <w:rPr>
          <w:spacing w:val="-49"/>
        </w:rPr>
        <w:t> </w:t>
      </w:r>
      <w:r>
        <w:rPr/>
        <w:t>a</w:t>
      </w:r>
      <w:r>
        <w:rPr>
          <w:spacing w:val="-50"/>
        </w:rPr>
        <w:t> </w:t>
      </w:r>
      <w:r>
        <w:rPr/>
        <w:t>sua</w:t>
      </w:r>
      <w:r>
        <w:rPr>
          <w:spacing w:val="-48"/>
        </w:rPr>
        <w:t> </w:t>
      </w:r>
      <w:r>
        <w:rPr/>
        <w:t>realização nos</w:t>
      </w:r>
      <w:r>
        <w:rPr>
          <w:spacing w:val="-18"/>
        </w:rPr>
        <w:t> </w:t>
      </w:r>
      <w:r>
        <w:rPr/>
        <w:t>prazos</w:t>
      </w:r>
      <w:r>
        <w:rPr>
          <w:spacing w:val="-17"/>
        </w:rPr>
        <w:t> </w:t>
      </w:r>
      <w:r>
        <w:rPr/>
        <w:t>previstos</w:t>
      </w:r>
      <w:r>
        <w:rPr>
          <w:spacing w:val="-18"/>
        </w:rPr>
        <w:t> </w:t>
      </w:r>
      <w:r>
        <w:rPr/>
        <w:t>na</w:t>
      </w:r>
      <w:r>
        <w:rPr>
          <w:spacing w:val="-17"/>
        </w:rPr>
        <w:t> </w:t>
      </w:r>
      <w:r>
        <w:rPr/>
        <w:t>Instrução</w:t>
      </w:r>
      <w:r>
        <w:rPr>
          <w:spacing w:val="-19"/>
        </w:rPr>
        <w:t> </w:t>
      </w:r>
      <w:r>
        <w:rPr/>
        <w:t>CVM</w:t>
      </w:r>
      <w:r>
        <w:rPr>
          <w:spacing w:val="-16"/>
        </w:rPr>
        <w:t> </w:t>
      </w:r>
      <w:r>
        <w:rPr/>
        <w:t>nº</w:t>
      </w:r>
      <w:r>
        <w:rPr>
          <w:spacing w:val="-17"/>
        </w:rPr>
        <w:t> </w:t>
      </w:r>
      <w:r>
        <w:rPr/>
        <w:t>371,</w:t>
      </w:r>
      <w:r>
        <w:rPr>
          <w:spacing w:val="-15"/>
        </w:rPr>
        <w:t> </w:t>
      </w:r>
      <w:r>
        <w:rPr/>
        <w:t>de</w:t>
      </w:r>
      <w:r>
        <w:rPr>
          <w:spacing w:val="-18"/>
        </w:rPr>
        <w:t> </w:t>
      </w:r>
      <w:r>
        <w:rPr/>
        <w:t>27</w:t>
      </w:r>
      <w:r>
        <w:rPr>
          <w:spacing w:val="-16"/>
        </w:rPr>
        <w:t> </w:t>
      </w:r>
      <w:r>
        <w:rPr/>
        <w:t>de</w:t>
      </w:r>
      <w:r>
        <w:rPr>
          <w:spacing w:val="-14"/>
        </w:rPr>
        <w:t> </w:t>
      </w:r>
      <w:r>
        <w:rPr/>
        <w:t>junho</w:t>
      </w:r>
      <w:r>
        <w:rPr>
          <w:spacing w:val="-18"/>
        </w:rPr>
        <w:t> </w:t>
      </w:r>
      <w:r>
        <w:rPr/>
        <w:t>de</w:t>
      </w:r>
      <w:r>
        <w:rPr>
          <w:spacing w:val="-20"/>
        </w:rPr>
        <w:t> </w:t>
      </w:r>
      <w:r>
        <w:rPr/>
        <w:t>2002.</w:t>
      </w:r>
    </w:p>
    <w:p>
      <w:pPr>
        <w:pStyle w:val="BodyText"/>
        <w:spacing w:before="8"/>
      </w:pPr>
    </w:p>
    <w:p>
      <w:pPr>
        <w:pStyle w:val="BodyText"/>
        <w:spacing w:line="249" w:lineRule="auto"/>
        <w:ind w:left="172" w:right="414"/>
        <w:jc w:val="both"/>
      </w:pPr>
      <w:r>
        <w:rPr/>
        <w:t>As</w:t>
      </w:r>
      <w:r>
        <w:rPr>
          <w:spacing w:val="-22"/>
        </w:rPr>
        <w:t> </w:t>
      </w:r>
      <w:r>
        <w:rPr/>
        <w:t>suas</w:t>
      </w:r>
      <w:r>
        <w:rPr>
          <w:spacing w:val="-22"/>
        </w:rPr>
        <w:t> </w:t>
      </w:r>
      <w:r>
        <w:rPr/>
        <w:t>controladas</w:t>
      </w:r>
      <w:r>
        <w:rPr>
          <w:spacing w:val="-22"/>
        </w:rPr>
        <w:t> </w:t>
      </w:r>
      <w:r>
        <w:rPr/>
        <w:t>não</w:t>
      </w:r>
      <w:r>
        <w:rPr>
          <w:spacing w:val="-22"/>
        </w:rPr>
        <w:t> </w:t>
      </w:r>
      <w:r>
        <w:rPr/>
        <w:t>registram</w:t>
      </w:r>
      <w:r>
        <w:rPr>
          <w:spacing w:val="-23"/>
        </w:rPr>
        <w:t> </w:t>
      </w:r>
      <w:r>
        <w:rPr/>
        <w:t>os</w:t>
      </w:r>
      <w:r>
        <w:rPr>
          <w:spacing w:val="-22"/>
        </w:rPr>
        <w:t> </w:t>
      </w:r>
      <w:r>
        <w:rPr/>
        <w:t>efeitos</w:t>
      </w:r>
      <w:r>
        <w:rPr>
          <w:spacing w:val="-22"/>
        </w:rPr>
        <w:t> </w:t>
      </w:r>
      <w:r>
        <w:rPr/>
        <w:t>dos</w:t>
      </w:r>
      <w:r>
        <w:rPr>
          <w:spacing w:val="-22"/>
        </w:rPr>
        <w:t> </w:t>
      </w:r>
      <w:r>
        <w:rPr/>
        <w:t>ativos</w:t>
      </w:r>
      <w:r>
        <w:rPr>
          <w:spacing w:val="-20"/>
        </w:rPr>
        <w:t> </w:t>
      </w:r>
      <w:r>
        <w:rPr/>
        <w:t>fiscais</w:t>
      </w:r>
      <w:r>
        <w:rPr>
          <w:spacing w:val="-22"/>
        </w:rPr>
        <w:t> </w:t>
      </w:r>
      <w:r>
        <w:rPr/>
        <w:t>diferidos</w:t>
      </w:r>
      <w:r>
        <w:rPr>
          <w:spacing w:val="-22"/>
        </w:rPr>
        <w:t> </w:t>
      </w:r>
      <w:r>
        <w:rPr/>
        <w:t>de</w:t>
      </w:r>
      <w:r>
        <w:rPr>
          <w:spacing w:val="-22"/>
        </w:rPr>
        <w:t> </w:t>
      </w:r>
      <w:r>
        <w:rPr/>
        <w:t>imposto</w:t>
      </w:r>
      <w:r>
        <w:rPr>
          <w:spacing w:val="-20"/>
        </w:rPr>
        <w:t> </w:t>
      </w:r>
      <w:r>
        <w:rPr/>
        <w:t>de</w:t>
      </w:r>
      <w:r>
        <w:rPr>
          <w:spacing w:val="-23"/>
        </w:rPr>
        <w:t> </w:t>
      </w:r>
      <w:r>
        <w:rPr/>
        <w:t>renda</w:t>
      </w:r>
      <w:r>
        <w:rPr>
          <w:spacing w:val="-22"/>
        </w:rPr>
        <w:t> </w:t>
      </w:r>
      <w:r>
        <w:rPr/>
        <w:t>e</w:t>
      </w:r>
      <w:r>
        <w:rPr>
          <w:spacing w:val="-24"/>
        </w:rPr>
        <w:t> </w:t>
      </w:r>
      <w:r>
        <w:rPr/>
        <w:t>contribuição</w:t>
      </w:r>
      <w:r>
        <w:rPr>
          <w:spacing w:val="-22"/>
        </w:rPr>
        <w:t> </w:t>
      </w:r>
      <w:r>
        <w:rPr/>
        <w:t>social, decorrentes</w:t>
      </w:r>
      <w:r>
        <w:rPr>
          <w:spacing w:val="-32"/>
        </w:rPr>
        <w:t> </w:t>
      </w:r>
      <w:r>
        <w:rPr/>
        <w:t>de</w:t>
      </w:r>
      <w:r>
        <w:rPr>
          <w:spacing w:val="-32"/>
        </w:rPr>
        <w:t> </w:t>
      </w:r>
      <w:r>
        <w:rPr/>
        <w:t>diferenças</w:t>
      </w:r>
      <w:r>
        <w:rPr>
          <w:spacing w:val="-31"/>
        </w:rPr>
        <w:t> </w:t>
      </w:r>
      <w:r>
        <w:rPr/>
        <w:t>temporárias,</w:t>
      </w:r>
      <w:r>
        <w:rPr>
          <w:spacing w:val="-31"/>
        </w:rPr>
        <w:t> </w:t>
      </w:r>
      <w:r>
        <w:rPr/>
        <w:t>Prejuízo</w:t>
      </w:r>
      <w:r>
        <w:rPr>
          <w:spacing w:val="-31"/>
        </w:rPr>
        <w:t> </w:t>
      </w:r>
      <w:r>
        <w:rPr/>
        <w:t>Fiscal</w:t>
      </w:r>
      <w:r>
        <w:rPr>
          <w:spacing w:val="-32"/>
        </w:rPr>
        <w:t> </w:t>
      </w:r>
      <w:r>
        <w:rPr/>
        <w:t>e</w:t>
      </w:r>
      <w:r>
        <w:rPr>
          <w:spacing w:val="-32"/>
        </w:rPr>
        <w:t> </w:t>
      </w:r>
      <w:r>
        <w:rPr/>
        <w:t>Base</w:t>
      </w:r>
      <w:r>
        <w:rPr>
          <w:spacing w:val="-32"/>
        </w:rPr>
        <w:t> </w:t>
      </w:r>
      <w:r>
        <w:rPr/>
        <w:t>Negativa,</w:t>
      </w:r>
      <w:r>
        <w:rPr>
          <w:spacing w:val="-32"/>
        </w:rPr>
        <w:t> </w:t>
      </w:r>
      <w:r>
        <w:rPr/>
        <w:t>por</w:t>
      </w:r>
      <w:r>
        <w:rPr>
          <w:spacing w:val="-31"/>
        </w:rPr>
        <w:t> </w:t>
      </w:r>
      <w:r>
        <w:rPr/>
        <w:t>não</w:t>
      </w:r>
      <w:r>
        <w:rPr>
          <w:spacing w:val="-31"/>
        </w:rPr>
        <w:t> </w:t>
      </w:r>
      <w:r>
        <w:rPr/>
        <w:t>atenderem</w:t>
      </w:r>
      <w:r>
        <w:rPr>
          <w:spacing w:val="-32"/>
        </w:rPr>
        <w:t> </w:t>
      </w:r>
      <w:r>
        <w:rPr/>
        <w:t>os</w:t>
      </w:r>
      <w:r>
        <w:rPr>
          <w:spacing w:val="-31"/>
        </w:rPr>
        <w:t> </w:t>
      </w:r>
      <w:r>
        <w:rPr/>
        <w:t>critérios</w:t>
      </w:r>
      <w:r>
        <w:rPr>
          <w:spacing w:val="-31"/>
        </w:rPr>
        <w:t> </w:t>
      </w:r>
      <w:r>
        <w:rPr/>
        <w:t>exigidos</w:t>
      </w:r>
      <w:r>
        <w:rPr>
          <w:spacing w:val="-30"/>
        </w:rPr>
        <w:t> </w:t>
      </w:r>
      <w:r>
        <w:rPr/>
        <w:t>na referida</w:t>
      </w:r>
      <w:r>
        <w:rPr>
          <w:spacing w:val="-17"/>
        </w:rPr>
        <w:t> </w:t>
      </w:r>
      <w:r>
        <w:rPr/>
        <w:t>instrução.</w:t>
      </w:r>
    </w:p>
    <w:p>
      <w:pPr>
        <w:pStyle w:val="BodyText"/>
        <w:spacing w:before="2"/>
      </w:pPr>
    </w:p>
    <w:p>
      <w:pPr>
        <w:pStyle w:val="Heading3"/>
        <w:numPr>
          <w:ilvl w:val="0"/>
          <w:numId w:val="6"/>
        </w:numPr>
        <w:tabs>
          <w:tab w:pos="953" w:val="left" w:leader="none"/>
          <w:tab w:pos="954" w:val="left" w:leader="none"/>
        </w:tabs>
        <w:spacing w:line="240" w:lineRule="auto" w:before="0" w:after="0"/>
        <w:ind w:left="953" w:right="0" w:hanging="782"/>
        <w:jc w:val="left"/>
      </w:pPr>
      <w:r>
        <w:rPr/>
        <w:t>VALORES A RECEBER DE PARCELA A E OUTROS ITENS</w:t>
      </w:r>
      <w:r>
        <w:rPr>
          <w:spacing w:val="-1"/>
        </w:rPr>
        <w:t> </w:t>
      </w:r>
      <w:r>
        <w:rPr/>
        <w:t>FINANCEIROS</w:t>
      </w:r>
    </w:p>
    <w:p>
      <w:pPr>
        <w:pStyle w:val="BodyText"/>
        <w:spacing w:line="242" w:lineRule="auto" w:before="243"/>
        <w:ind w:left="172" w:right="404"/>
        <w:jc w:val="both"/>
      </w:pPr>
      <w:r>
        <w:rPr/>
        <w:t>A</w:t>
      </w:r>
      <w:r>
        <w:rPr>
          <w:spacing w:val="-40"/>
        </w:rPr>
        <w:t> </w:t>
      </w:r>
      <w:r>
        <w:rPr/>
        <w:t>receita</w:t>
      </w:r>
      <w:r>
        <w:rPr>
          <w:spacing w:val="-38"/>
        </w:rPr>
        <w:t> </w:t>
      </w:r>
      <w:r>
        <w:rPr/>
        <w:t>da</w:t>
      </w:r>
      <w:r>
        <w:rPr>
          <w:spacing w:val="-39"/>
        </w:rPr>
        <w:t> </w:t>
      </w:r>
      <w:r>
        <w:rPr/>
        <w:t>concessionária</w:t>
      </w:r>
      <w:r>
        <w:rPr>
          <w:spacing w:val="-37"/>
        </w:rPr>
        <w:t> </w:t>
      </w:r>
      <w:r>
        <w:rPr/>
        <w:t>de</w:t>
      </w:r>
      <w:r>
        <w:rPr>
          <w:spacing w:val="-39"/>
        </w:rPr>
        <w:t> </w:t>
      </w:r>
      <w:r>
        <w:rPr/>
        <w:t>distribuição</w:t>
      </w:r>
      <w:r>
        <w:rPr>
          <w:spacing w:val="-39"/>
        </w:rPr>
        <w:t> </w:t>
      </w:r>
      <w:r>
        <w:rPr/>
        <w:t>é</w:t>
      </w:r>
      <w:r>
        <w:rPr>
          <w:spacing w:val="-39"/>
        </w:rPr>
        <w:t> </w:t>
      </w:r>
      <w:r>
        <w:rPr/>
        <w:t>composta</w:t>
      </w:r>
      <w:r>
        <w:rPr>
          <w:spacing w:val="-39"/>
        </w:rPr>
        <w:t> </w:t>
      </w:r>
      <w:r>
        <w:rPr/>
        <w:t>por</w:t>
      </w:r>
      <w:r>
        <w:rPr>
          <w:spacing w:val="-39"/>
        </w:rPr>
        <w:t> </w:t>
      </w:r>
      <w:r>
        <w:rPr/>
        <w:t>duas</w:t>
      </w:r>
      <w:r>
        <w:rPr>
          <w:spacing w:val="-39"/>
        </w:rPr>
        <w:t> </w:t>
      </w:r>
      <w:r>
        <w:rPr/>
        <w:t>parcelas:</w:t>
      </w:r>
      <w:r>
        <w:rPr>
          <w:spacing w:val="-40"/>
        </w:rPr>
        <w:t> </w:t>
      </w:r>
      <w:r>
        <w:rPr/>
        <w:t>a</w:t>
      </w:r>
      <w:r>
        <w:rPr>
          <w:spacing w:val="-39"/>
        </w:rPr>
        <w:t> </w:t>
      </w:r>
      <w:r>
        <w:rPr/>
        <w:t>Parcela</w:t>
      </w:r>
      <w:r>
        <w:rPr>
          <w:spacing w:val="-40"/>
        </w:rPr>
        <w:t> </w:t>
      </w:r>
      <w:r>
        <w:rPr/>
        <w:t>A</w:t>
      </w:r>
      <w:r>
        <w:rPr>
          <w:spacing w:val="-38"/>
        </w:rPr>
        <w:t> </w:t>
      </w:r>
      <w:r>
        <w:rPr/>
        <w:t>representada</w:t>
      </w:r>
      <w:r>
        <w:rPr>
          <w:spacing w:val="-39"/>
        </w:rPr>
        <w:t> </w:t>
      </w:r>
      <w:r>
        <w:rPr/>
        <w:t>pelos</w:t>
      </w:r>
      <w:r>
        <w:rPr>
          <w:spacing w:val="-39"/>
        </w:rPr>
        <w:t> </w:t>
      </w:r>
      <w:r>
        <w:rPr/>
        <w:t>custos</w:t>
      </w:r>
      <w:r>
        <w:rPr>
          <w:spacing w:val="-39"/>
        </w:rPr>
        <w:t> </w:t>
      </w:r>
      <w:r>
        <w:rPr>
          <w:spacing w:val="2"/>
        </w:rPr>
        <w:t>não- </w:t>
      </w:r>
      <w:r>
        <w:rPr/>
        <w:t>gerenciáveis</w:t>
      </w:r>
      <w:r>
        <w:rPr>
          <w:spacing w:val="-16"/>
        </w:rPr>
        <w:t> </w:t>
      </w:r>
      <w:r>
        <w:rPr/>
        <w:t>da</w:t>
      </w:r>
      <w:r>
        <w:rPr>
          <w:spacing w:val="-15"/>
        </w:rPr>
        <w:t> </w:t>
      </w:r>
      <w:r>
        <w:rPr/>
        <w:t>Companhia</w:t>
      </w:r>
      <w:r>
        <w:rPr>
          <w:spacing w:val="-15"/>
        </w:rPr>
        <w:t> </w:t>
      </w:r>
      <w:r>
        <w:rPr/>
        <w:t>(encargos</w:t>
      </w:r>
      <w:r>
        <w:rPr>
          <w:spacing w:val="-14"/>
        </w:rPr>
        <w:t> </w:t>
      </w:r>
      <w:r>
        <w:rPr/>
        <w:t>setoriais,</w:t>
      </w:r>
      <w:r>
        <w:rPr>
          <w:spacing w:val="-14"/>
        </w:rPr>
        <w:t> </w:t>
      </w:r>
      <w:r>
        <w:rPr/>
        <w:t>encargos</w:t>
      </w:r>
      <w:r>
        <w:rPr>
          <w:spacing w:val="-15"/>
        </w:rPr>
        <w:t> </w:t>
      </w:r>
      <w:r>
        <w:rPr/>
        <w:t>de</w:t>
      </w:r>
      <w:r>
        <w:rPr>
          <w:spacing w:val="-16"/>
        </w:rPr>
        <w:t> </w:t>
      </w:r>
      <w:r>
        <w:rPr/>
        <w:t>transmissão</w:t>
      </w:r>
      <w:r>
        <w:rPr>
          <w:spacing w:val="-11"/>
        </w:rPr>
        <w:t> </w:t>
      </w:r>
      <w:r>
        <w:rPr/>
        <w:t>e</w:t>
      </w:r>
      <w:r>
        <w:rPr>
          <w:spacing w:val="-15"/>
        </w:rPr>
        <w:t> </w:t>
      </w:r>
      <w:r>
        <w:rPr/>
        <w:t>compra</w:t>
      </w:r>
      <w:r>
        <w:rPr>
          <w:spacing w:val="-13"/>
        </w:rPr>
        <w:t> </w:t>
      </w:r>
      <w:r>
        <w:rPr/>
        <w:t>de</w:t>
      </w:r>
      <w:r>
        <w:rPr>
          <w:spacing w:val="-16"/>
        </w:rPr>
        <w:t> </w:t>
      </w:r>
      <w:r>
        <w:rPr/>
        <w:t>energia</w:t>
      </w:r>
      <w:r>
        <w:rPr>
          <w:spacing w:val="-15"/>
        </w:rPr>
        <w:t> </w:t>
      </w:r>
      <w:r>
        <w:rPr/>
        <w:t>para</w:t>
      </w:r>
      <w:r>
        <w:rPr>
          <w:spacing w:val="-16"/>
        </w:rPr>
        <w:t> </w:t>
      </w:r>
      <w:r>
        <w:rPr/>
        <w:t>revenda);</w:t>
      </w:r>
      <w:r>
        <w:rPr>
          <w:spacing w:val="-14"/>
        </w:rPr>
        <w:t> </w:t>
      </w:r>
      <w:r>
        <w:rPr/>
        <w:t>e</w:t>
      </w:r>
      <w:r>
        <w:rPr>
          <w:spacing w:val="-15"/>
        </w:rPr>
        <w:t> </w:t>
      </w:r>
      <w:r>
        <w:rPr/>
        <w:t>a “Parcela</w:t>
      </w:r>
      <w:r>
        <w:rPr>
          <w:spacing w:val="-32"/>
        </w:rPr>
        <w:t> </w:t>
      </w:r>
      <w:r>
        <w:rPr/>
        <w:t>B”,</w:t>
      </w:r>
      <w:r>
        <w:rPr>
          <w:spacing w:val="-31"/>
        </w:rPr>
        <w:t> </w:t>
      </w:r>
      <w:r>
        <w:rPr/>
        <w:t>que</w:t>
      </w:r>
      <w:r>
        <w:rPr>
          <w:spacing w:val="-33"/>
        </w:rPr>
        <w:t> </w:t>
      </w:r>
      <w:r>
        <w:rPr/>
        <w:t>agrega</w:t>
      </w:r>
      <w:r>
        <w:rPr>
          <w:spacing w:val="-30"/>
        </w:rPr>
        <w:t> </w:t>
      </w:r>
      <w:r>
        <w:rPr/>
        <w:t>os</w:t>
      </w:r>
      <w:r>
        <w:rPr>
          <w:spacing w:val="-32"/>
        </w:rPr>
        <w:t> </w:t>
      </w:r>
      <w:r>
        <w:rPr/>
        <w:t>custos</w:t>
      </w:r>
      <w:r>
        <w:rPr>
          <w:spacing w:val="-32"/>
        </w:rPr>
        <w:t> </w:t>
      </w:r>
      <w:r>
        <w:rPr/>
        <w:t>gerenciáveis</w:t>
      </w:r>
      <w:r>
        <w:rPr>
          <w:spacing w:val="-31"/>
        </w:rPr>
        <w:t> </w:t>
      </w:r>
      <w:r>
        <w:rPr/>
        <w:t>(despesas</w:t>
      </w:r>
      <w:r>
        <w:rPr>
          <w:spacing w:val="-31"/>
        </w:rPr>
        <w:t> </w:t>
      </w:r>
      <w:r>
        <w:rPr/>
        <w:t>com</w:t>
      </w:r>
      <w:r>
        <w:rPr>
          <w:spacing w:val="-32"/>
        </w:rPr>
        <w:t> </w:t>
      </w:r>
      <w:r>
        <w:rPr/>
        <w:t>operação</w:t>
      </w:r>
      <w:r>
        <w:rPr>
          <w:spacing w:val="-31"/>
        </w:rPr>
        <w:t> </w:t>
      </w:r>
      <w:r>
        <w:rPr/>
        <w:t>e</w:t>
      </w:r>
      <w:r>
        <w:rPr>
          <w:spacing w:val="-33"/>
        </w:rPr>
        <w:t> </w:t>
      </w:r>
      <w:r>
        <w:rPr/>
        <w:t>manutenção,</w:t>
      </w:r>
      <w:r>
        <w:rPr>
          <w:spacing w:val="-32"/>
        </w:rPr>
        <w:t> </w:t>
      </w:r>
      <w:r>
        <w:rPr/>
        <w:t>despesas</w:t>
      </w:r>
      <w:r>
        <w:rPr>
          <w:spacing w:val="-32"/>
        </w:rPr>
        <w:t> </w:t>
      </w:r>
      <w:r>
        <w:rPr/>
        <w:t>de</w:t>
      </w:r>
      <w:r>
        <w:rPr>
          <w:spacing w:val="-33"/>
        </w:rPr>
        <w:t> </w:t>
      </w:r>
      <w:r>
        <w:rPr/>
        <w:t>capital).</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06"/>
        <w:jc w:val="both"/>
      </w:pPr>
      <w:r>
        <w:rPr/>
        <w:t>No</w:t>
      </w:r>
      <w:r>
        <w:rPr>
          <w:spacing w:val="-7"/>
        </w:rPr>
        <w:t> </w:t>
      </w:r>
      <w:r>
        <w:rPr/>
        <w:t>Reajuste</w:t>
      </w:r>
      <w:r>
        <w:rPr>
          <w:spacing w:val="-6"/>
        </w:rPr>
        <w:t> </w:t>
      </w:r>
      <w:r>
        <w:rPr/>
        <w:t>Tarifário</w:t>
      </w:r>
      <w:r>
        <w:rPr>
          <w:spacing w:val="-7"/>
        </w:rPr>
        <w:t> </w:t>
      </w:r>
      <w:r>
        <w:rPr/>
        <w:t>Anual,</w:t>
      </w:r>
      <w:r>
        <w:rPr>
          <w:spacing w:val="-8"/>
        </w:rPr>
        <w:t> </w:t>
      </w:r>
      <w:r>
        <w:rPr/>
        <w:t>a</w:t>
      </w:r>
      <w:r>
        <w:rPr>
          <w:spacing w:val="-6"/>
        </w:rPr>
        <w:t> </w:t>
      </w:r>
      <w:r>
        <w:rPr/>
        <w:t>“Parcela</w:t>
      </w:r>
      <w:r>
        <w:rPr>
          <w:spacing w:val="-6"/>
        </w:rPr>
        <w:t> </w:t>
      </w:r>
      <w:r>
        <w:rPr/>
        <w:t>A”</w:t>
      </w:r>
      <w:r>
        <w:rPr>
          <w:spacing w:val="-5"/>
        </w:rPr>
        <w:t> </w:t>
      </w:r>
      <w:r>
        <w:rPr/>
        <w:t>é</w:t>
      </w:r>
      <w:r>
        <w:rPr>
          <w:spacing w:val="-7"/>
        </w:rPr>
        <w:t> </w:t>
      </w:r>
      <w:r>
        <w:rPr/>
        <w:t>totalmente</w:t>
      </w:r>
      <w:r>
        <w:rPr>
          <w:spacing w:val="-8"/>
        </w:rPr>
        <w:t> </w:t>
      </w:r>
      <w:r>
        <w:rPr/>
        <w:t>recomposta</w:t>
      </w:r>
      <w:r>
        <w:rPr>
          <w:spacing w:val="-6"/>
        </w:rPr>
        <w:t> </w:t>
      </w:r>
      <w:r>
        <w:rPr/>
        <w:t>de</w:t>
      </w:r>
      <w:r>
        <w:rPr>
          <w:spacing w:val="-7"/>
        </w:rPr>
        <w:t> </w:t>
      </w:r>
      <w:r>
        <w:rPr/>
        <w:t>acordo</w:t>
      </w:r>
      <w:r>
        <w:rPr>
          <w:spacing w:val="-5"/>
        </w:rPr>
        <w:t> </w:t>
      </w:r>
      <w:r>
        <w:rPr/>
        <w:t>com</w:t>
      </w:r>
      <w:r>
        <w:rPr>
          <w:spacing w:val="-7"/>
        </w:rPr>
        <w:t> </w:t>
      </w:r>
      <w:r>
        <w:rPr/>
        <w:t>os</w:t>
      </w:r>
      <w:r>
        <w:rPr>
          <w:spacing w:val="-7"/>
        </w:rPr>
        <w:t> </w:t>
      </w:r>
      <w:r>
        <w:rPr/>
        <w:t>custos</w:t>
      </w:r>
      <w:r>
        <w:rPr>
          <w:spacing w:val="-6"/>
        </w:rPr>
        <w:t> </w:t>
      </w:r>
      <w:r>
        <w:rPr/>
        <w:t>vigentes</w:t>
      </w:r>
      <w:r>
        <w:rPr>
          <w:spacing w:val="-5"/>
        </w:rPr>
        <w:t> </w:t>
      </w:r>
      <w:r>
        <w:rPr/>
        <w:t>naquele momento,</w:t>
      </w:r>
      <w:r>
        <w:rPr>
          <w:spacing w:val="-39"/>
        </w:rPr>
        <w:t> </w:t>
      </w:r>
      <w:r>
        <w:rPr/>
        <w:t>enquanto</w:t>
      </w:r>
      <w:r>
        <w:rPr>
          <w:spacing w:val="-39"/>
        </w:rPr>
        <w:t> </w:t>
      </w:r>
      <w:r>
        <w:rPr/>
        <w:t>a</w:t>
      </w:r>
      <w:r>
        <w:rPr>
          <w:spacing w:val="-38"/>
        </w:rPr>
        <w:t> </w:t>
      </w:r>
      <w:r>
        <w:rPr/>
        <w:t>Parcela</w:t>
      </w:r>
      <w:r>
        <w:rPr>
          <w:spacing w:val="-39"/>
        </w:rPr>
        <w:t> </w:t>
      </w:r>
      <w:r>
        <w:rPr/>
        <w:t>B</w:t>
      </w:r>
      <w:r>
        <w:rPr>
          <w:spacing w:val="-38"/>
        </w:rPr>
        <w:t> </w:t>
      </w:r>
      <w:r>
        <w:rPr/>
        <w:t>é</w:t>
      </w:r>
      <w:r>
        <w:rPr>
          <w:spacing w:val="-40"/>
        </w:rPr>
        <w:t> </w:t>
      </w:r>
      <w:r>
        <w:rPr/>
        <w:t>atualizada,</w:t>
      </w:r>
      <w:r>
        <w:rPr>
          <w:spacing w:val="-39"/>
        </w:rPr>
        <w:t> </w:t>
      </w:r>
      <w:r>
        <w:rPr/>
        <w:t>basicamente,</w:t>
      </w:r>
      <w:r>
        <w:rPr>
          <w:spacing w:val="-39"/>
        </w:rPr>
        <w:t> </w:t>
      </w:r>
      <w:r>
        <w:rPr/>
        <w:t>pela</w:t>
      </w:r>
      <w:r>
        <w:rPr>
          <w:spacing w:val="-39"/>
        </w:rPr>
        <w:t> </w:t>
      </w:r>
      <w:r>
        <w:rPr/>
        <w:t>variação</w:t>
      </w:r>
      <w:r>
        <w:rPr>
          <w:spacing w:val="-38"/>
        </w:rPr>
        <w:t> </w:t>
      </w:r>
      <w:r>
        <w:rPr/>
        <w:t>de</w:t>
      </w:r>
      <w:r>
        <w:rPr>
          <w:spacing w:val="-39"/>
        </w:rPr>
        <w:t> </w:t>
      </w:r>
      <w:r>
        <w:rPr/>
        <w:t>mercado</w:t>
      </w:r>
      <w:r>
        <w:rPr>
          <w:spacing w:val="-38"/>
        </w:rPr>
        <w:t> </w:t>
      </w:r>
      <w:r>
        <w:rPr/>
        <w:t>de</w:t>
      </w:r>
      <w:r>
        <w:rPr>
          <w:spacing w:val="-39"/>
        </w:rPr>
        <w:t> </w:t>
      </w:r>
      <w:r>
        <w:rPr/>
        <w:t>referência</w:t>
      </w:r>
      <w:r>
        <w:rPr>
          <w:spacing w:val="-39"/>
        </w:rPr>
        <w:t> </w:t>
      </w:r>
      <w:r>
        <w:rPr/>
        <w:t>(IPCA</w:t>
      </w:r>
      <w:r>
        <w:rPr>
          <w:spacing w:val="-32"/>
        </w:rPr>
        <w:t> </w:t>
      </w:r>
      <w:r>
        <w:rPr>
          <w:w w:val="105"/>
        </w:rPr>
        <w:t>–</w:t>
      </w:r>
      <w:r>
        <w:rPr>
          <w:spacing w:val="-41"/>
          <w:w w:val="105"/>
        </w:rPr>
        <w:t> </w:t>
      </w:r>
      <w:r>
        <w:rPr/>
        <w:t>Fator</w:t>
      </w:r>
      <w:r>
        <w:rPr>
          <w:spacing w:val="-38"/>
        </w:rPr>
        <w:t> </w:t>
      </w:r>
      <w:r>
        <w:rPr/>
        <w:t>X), com</w:t>
      </w:r>
      <w:r>
        <w:rPr>
          <w:spacing w:val="-20"/>
        </w:rPr>
        <w:t> </w:t>
      </w:r>
      <w:r>
        <w:rPr/>
        <w:t>a</w:t>
      </w:r>
      <w:r>
        <w:rPr>
          <w:spacing w:val="-20"/>
        </w:rPr>
        <w:t> </w:t>
      </w:r>
      <w:r>
        <w:rPr/>
        <w:t>dedução</w:t>
      </w:r>
      <w:r>
        <w:rPr>
          <w:spacing w:val="-20"/>
        </w:rPr>
        <w:t> </w:t>
      </w:r>
      <w:r>
        <w:rPr/>
        <w:t>de</w:t>
      </w:r>
      <w:r>
        <w:rPr>
          <w:spacing w:val="-21"/>
        </w:rPr>
        <w:t> </w:t>
      </w:r>
      <w:r>
        <w:rPr/>
        <w:t>Outras</w:t>
      </w:r>
      <w:r>
        <w:rPr>
          <w:spacing w:val="-20"/>
        </w:rPr>
        <w:t> </w:t>
      </w:r>
      <w:r>
        <w:rPr/>
        <w:t>Receitas</w:t>
      </w:r>
      <w:r>
        <w:rPr>
          <w:spacing w:val="-20"/>
        </w:rPr>
        <w:t> </w:t>
      </w:r>
      <w:r>
        <w:rPr/>
        <w:t>(OR)</w:t>
      </w:r>
      <w:r>
        <w:rPr>
          <w:spacing w:val="-20"/>
        </w:rPr>
        <w:t> </w:t>
      </w:r>
      <w:r>
        <w:rPr/>
        <w:t>e</w:t>
      </w:r>
      <w:r>
        <w:rPr>
          <w:spacing w:val="-19"/>
        </w:rPr>
        <w:t> </w:t>
      </w:r>
      <w:r>
        <w:rPr/>
        <w:t>da</w:t>
      </w:r>
      <w:r>
        <w:rPr>
          <w:spacing w:val="-20"/>
        </w:rPr>
        <w:t> </w:t>
      </w:r>
      <w:r>
        <w:rPr/>
        <w:t>Ultrapassagem</w:t>
      </w:r>
      <w:r>
        <w:rPr>
          <w:spacing w:val="-21"/>
        </w:rPr>
        <w:t> </w:t>
      </w:r>
      <w:r>
        <w:rPr/>
        <w:t>de</w:t>
      </w:r>
      <w:r>
        <w:rPr>
          <w:spacing w:val="-21"/>
        </w:rPr>
        <w:t> </w:t>
      </w:r>
      <w:r>
        <w:rPr/>
        <w:t>Demanda</w:t>
      </w:r>
      <w:r>
        <w:rPr>
          <w:spacing w:val="-20"/>
        </w:rPr>
        <w:t> </w:t>
      </w:r>
      <w:r>
        <w:rPr/>
        <w:t>e</w:t>
      </w:r>
      <w:r>
        <w:rPr>
          <w:spacing w:val="-22"/>
        </w:rPr>
        <w:t> </w:t>
      </w:r>
      <w:r>
        <w:rPr/>
        <w:t>Excedente</w:t>
      </w:r>
      <w:r>
        <w:rPr>
          <w:spacing w:val="-21"/>
        </w:rPr>
        <w:t> </w:t>
      </w:r>
      <w:r>
        <w:rPr/>
        <w:t>de</w:t>
      </w:r>
      <w:r>
        <w:rPr>
          <w:spacing w:val="-22"/>
        </w:rPr>
        <w:t> </w:t>
      </w:r>
      <w:r>
        <w:rPr/>
        <w:t>Reativo</w:t>
      </w:r>
      <w:r>
        <w:rPr>
          <w:spacing w:val="-20"/>
        </w:rPr>
        <w:t> </w:t>
      </w:r>
      <w:r>
        <w:rPr/>
        <w:t>(UD/ER)</w:t>
      </w:r>
      <w:r>
        <w:rPr>
          <w:spacing w:val="-20"/>
        </w:rPr>
        <w:t> </w:t>
      </w:r>
      <w:r>
        <w:rPr/>
        <w:t>que</w:t>
      </w:r>
      <w:r>
        <w:rPr>
          <w:spacing w:val="-19"/>
        </w:rPr>
        <w:t> </w:t>
      </w:r>
      <w:r>
        <w:rPr/>
        <w:t>são oferecidos</w:t>
      </w:r>
      <w:r>
        <w:rPr>
          <w:spacing w:val="-19"/>
        </w:rPr>
        <w:t> </w:t>
      </w:r>
      <w:r>
        <w:rPr/>
        <w:t>à</w:t>
      </w:r>
      <w:r>
        <w:rPr>
          <w:spacing w:val="-18"/>
        </w:rPr>
        <w:t> </w:t>
      </w:r>
      <w:r>
        <w:rPr/>
        <w:t>modicidade</w:t>
      </w:r>
      <w:r>
        <w:rPr>
          <w:spacing w:val="-19"/>
        </w:rPr>
        <w:t> </w:t>
      </w:r>
      <w:r>
        <w:rPr/>
        <w:t>tarifária</w:t>
      </w:r>
      <w:r>
        <w:rPr>
          <w:spacing w:val="-18"/>
        </w:rPr>
        <w:t> </w:t>
      </w:r>
      <w:r>
        <w:rPr/>
        <w:t>para</w:t>
      </w:r>
      <w:r>
        <w:rPr>
          <w:spacing w:val="-19"/>
        </w:rPr>
        <w:t> </w:t>
      </w:r>
      <w:r>
        <w:rPr/>
        <w:t>o</w:t>
      </w:r>
      <w:r>
        <w:rPr>
          <w:spacing w:val="-16"/>
        </w:rPr>
        <w:t> </w:t>
      </w:r>
      <w:r>
        <w:rPr/>
        <w:t>consumidor.</w:t>
      </w:r>
    </w:p>
    <w:p>
      <w:pPr>
        <w:pStyle w:val="BodyText"/>
        <w:spacing w:line="242" w:lineRule="auto" w:before="121"/>
        <w:ind w:left="172" w:right="417"/>
        <w:jc w:val="both"/>
      </w:pPr>
      <w:r>
        <w:rPr/>
        <w:t>Os</w:t>
      </w:r>
      <w:r>
        <w:rPr>
          <w:spacing w:val="-38"/>
        </w:rPr>
        <w:t> </w:t>
      </w:r>
      <w:r>
        <w:rPr/>
        <w:t>Ativos</w:t>
      </w:r>
      <w:r>
        <w:rPr>
          <w:spacing w:val="-37"/>
        </w:rPr>
        <w:t> </w:t>
      </w:r>
      <w:r>
        <w:rPr/>
        <w:t>e</w:t>
      </w:r>
      <w:r>
        <w:rPr>
          <w:spacing w:val="-38"/>
        </w:rPr>
        <w:t> </w:t>
      </w:r>
      <w:r>
        <w:rPr/>
        <w:t>Passivos</w:t>
      </w:r>
      <w:r>
        <w:rPr>
          <w:spacing w:val="-38"/>
        </w:rPr>
        <w:t> </w:t>
      </w:r>
      <w:r>
        <w:rPr/>
        <w:t>Financeiros</w:t>
      </w:r>
      <w:r>
        <w:rPr>
          <w:spacing w:val="-37"/>
        </w:rPr>
        <w:t> </w:t>
      </w:r>
      <w:r>
        <w:rPr/>
        <w:t>Setoriais</w:t>
      </w:r>
      <w:r>
        <w:rPr>
          <w:spacing w:val="-38"/>
        </w:rPr>
        <w:t> </w:t>
      </w:r>
      <w:r>
        <w:rPr/>
        <w:t>são</w:t>
      </w:r>
      <w:r>
        <w:rPr>
          <w:spacing w:val="-38"/>
        </w:rPr>
        <w:t> </w:t>
      </w:r>
      <w:r>
        <w:rPr/>
        <w:t>decorrentes</w:t>
      </w:r>
      <w:r>
        <w:rPr>
          <w:spacing w:val="-37"/>
        </w:rPr>
        <w:t> </w:t>
      </w:r>
      <w:r>
        <w:rPr/>
        <w:t>dos</w:t>
      </w:r>
      <w:r>
        <w:rPr>
          <w:spacing w:val="-38"/>
        </w:rPr>
        <w:t> </w:t>
      </w:r>
      <w:r>
        <w:rPr/>
        <w:t>efeitos</w:t>
      </w:r>
      <w:r>
        <w:rPr>
          <w:spacing w:val="-38"/>
        </w:rPr>
        <w:t> </w:t>
      </w:r>
      <w:r>
        <w:rPr/>
        <w:t>positivos</w:t>
      </w:r>
      <w:r>
        <w:rPr>
          <w:spacing w:val="-36"/>
        </w:rPr>
        <w:t> </w:t>
      </w:r>
      <w:r>
        <w:rPr/>
        <w:t>e</w:t>
      </w:r>
      <w:r>
        <w:rPr>
          <w:spacing w:val="-37"/>
        </w:rPr>
        <w:t> </w:t>
      </w:r>
      <w:r>
        <w:rPr/>
        <w:t>negativos</w:t>
      </w:r>
      <w:r>
        <w:rPr>
          <w:spacing w:val="-38"/>
        </w:rPr>
        <w:t> </w:t>
      </w:r>
      <w:r>
        <w:rPr/>
        <w:t>em</w:t>
      </w:r>
      <w:r>
        <w:rPr>
          <w:spacing w:val="-38"/>
        </w:rPr>
        <w:t> </w:t>
      </w:r>
      <w:r>
        <w:rPr/>
        <w:t>relação</w:t>
      </w:r>
      <w:r>
        <w:rPr>
          <w:spacing w:val="-38"/>
        </w:rPr>
        <w:t> </w:t>
      </w:r>
      <w:r>
        <w:rPr/>
        <w:t>aos</w:t>
      </w:r>
      <w:r>
        <w:rPr>
          <w:spacing w:val="-37"/>
        </w:rPr>
        <w:t> </w:t>
      </w:r>
      <w:r>
        <w:rPr/>
        <w:t>custos</w:t>
      </w:r>
      <w:r>
        <w:rPr>
          <w:spacing w:val="-38"/>
        </w:rPr>
        <w:t> </w:t>
      </w:r>
      <w:r>
        <w:rPr/>
        <w:t>não gerenciáveis (Parcela A) originados pela diferença entre os custos previstos nos reajustes tarifários anuais reconhecidos</w:t>
      </w:r>
      <w:r>
        <w:rPr>
          <w:spacing w:val="-41"/>
        </w:rPr>
        <w:t> </w:t>
      </w:r>
      <w:r>
        <w:rPr/>
        <w:t>pela</w:t>
      </w:r>
      <w:r>
        <w:rPr>
          <w:spacing w:val="-40"/>
        </w:rPr>
        <w:t> </w:t>
      </w:r>
      <w:r>
        <w:rPr/>
        <w:t>ANEEL</w:t>
      </w:r>
      <w:r>
        <w:rPr>
          <w:spacing w:val="-40"/>
        </w:rPr>
        <w:t> </w:t>
      </w:r>
      <w:r>
        <w:rPr/>
        <w:t>em</w:t>
      </w:r>
      <w:r>
        <w:rPr>
          <w:spacing w:val="-40"/>
        </w:rPr>
        <w:t> </w:t>
      </w:r>
      <w:r>
        <w:rPr/>
        <w:t>relação</w:t>
      </w:r>
      <w:r>
        <w:rPr>
          <w:spacing w:val="-41"/>
        </w:rPr>
        <w:t> </w:t>
      </w:r>
      <w:r>
        <w:rPr/>
        <w:t>aos</w:t>
      </w:r>
      <w:r>
        <w:rPr>
          <w:spacing w:val="-40"/>
        </w:rPr>
        <w:t> </w:t>
      </w:r>
      <w:r>
        <w:rPr/>
        <w:t>custos</w:t>
      </w:r>
      <w:r>
        <w:rPr>
          <w:spacing w:val="-40"/>
        </w:rPr>
        <w:t> </w:t>
      </w:r>
      <w:r>
        <w:rPr/>
        <w:t>efetivamente</w:t>
      </w:r>
      <w:r>
        <w:rPr>
          <w:spacing w:val="-41"/>
        </w:rPr>
        <w:t> </w:t>
      </w:r>
      <w:r>
        <w:rPr/>
        <w:t>incorridos,</w:t>
      </w:r>
      <w:r>
        <w:rPr>
          <w:spacing w:val="-40"/>
        </w:rPr>
        <w:t> </w:t>
      </w:r>
      <w:r>
        <w:rPr/>
        <w:t>que</w:t>
      </w:r>
      <w:r>
        <w:rPr>
          <w:spacing w:val="-40"/>
        </w:rPr>
        <w:t> </w:t>
      </w:r>
      <w:r>
        <w:rPr/>
        <w:t>são</w:t>
      </w:r>
      <w:r>
        <w:rPr>
          <w:spacing w:val="-41"/>
        </w:rPr>
        <w:t> </w:t>
      </w:r>
      <w:r>
        <w:rPr/>
        <w:t>constituídos</w:t>
      </w:r>
      <w:r>
        <w:rPr>
          <w:spacing w:val="-40"/>
        </w:rPr>
        <w:t> </w:t>
      </w:r>
      <w:r>
        <w:rPr/>
        <w:t>e</w:t>
      </w:r>
      <w:r>
        <w:rPr>
          <w:spacing w:val="-41"/>
        </w:rPr>
        <w:t> </w:t>
      </w:r>
      <w:r>
        <w:rPr/>
        <w:t>atualizados</w:t>
      </w:r>
      <w:r>
        <w:rPr>
          <w:spacing w:val="-40"/>
        </w:rPr>
        <w:t> </w:t>
      </w:r>
      <w:r>
        <w:rPr/>
        <w:t>ao</w:t>
      </w:r>
      <w:r>
        <w:rPr>
          <w:spacing w:val="-41"/>
        </w:rPr>
        <w:t> </w:t>
      </w:r>
      <w:r>
        <w:rPr/>
        <w:t>longo do</w:t>
      </w:r>
      <w:r>
        <w:rPr>
          <w:spacing w:val="-20"/>
        </w:rPr>
        <w:t> </w:t>
      </w:r>
      <w:r>
        <w:rPr/>
        <w:t>ciclo</w:t>
      </w:r>
      <w:r>
        <w:rPr>
          <w:spacing w:val="-20"/>
        </w:rPr>
        <w:t> </w:t>
      </w:r>
      <w:r>
        <w:rPr/>
        <w:t>tarifário</w:t>
      </w:r>
      <w:r>
        <w:rPr>
          <w:spacing w:val="-19"/>
        </w:rPr>
        <w:t> </w:t>
      </w:r>
      <w:r>
        <w:rPr/>
        <w:t>(constituição/atualização).</w:t>
      </w:r>
    </w:p>
    <w:p>
      <w:pPr>
        <w:pStyle w:val="BodyText"/>
        <w:spacing w:line="242" w:lineRule="auto" w:before="120"/>
        <w:ind w:left="172" w:right="409"/>
        <w:jc w:val="both"/>
      </w:pPr>
      <w:r>
        <w:rPr/>
        <w:t>Quando</w:t>
      </w:r>
      <w:r>
        <w:rPr>
          <w:spacing w:val="-7"/>
        </w:rPr>
        <w:t> </w:t>
      </w:r>
      <w:r>
        <w:rPr/>
        <w:t>os</w:t>
      </w:r>
      <w:r>
        <w:rPr>
          <w:spacing w:val="-7"/>
        </w:rPr>
        <w:t> </w:t>
      </w:r>
      <w:r>
        <w:rPr/>
        <w:t>custos</w:t>
      </w:r>
      <w:r>
        <w:rPr>
          <w:spacing w:val="-5"/>
        </w:rPr>
        <w:t> </w:t>
      </w:r>
      <w:r>
        <w:rPr/>
        <w:t>incorridos</w:t>
      </w:r>
      <w:r>
        <w:rPr>
          <w:spacing w:val="-8"/>
        </w:rPr>
        <w:t> </w:t>
      </w:r>
      <w:r>
        <w:rPr/>
        <w:t>são</w:t>
      </w:r>
      <w:r>
        <w:rPr>
          <w:spacing w:val="-7"/>
        </w:rPr>
        <w:t> </w:t>
      </w:r>
      <w:r>
        <w:rPr/>
        <w:t>maiores</w:t>
      </w:r>
      <w:r>
        <w:rPr>
          <w:spacing w:val="-4"/>
        </w:rPr>
        <w:t> </w:t>
      </w:r>
      <w:r>
        <w:rPr/>
        <w:t>que</w:t>
      </w:r>
      <w:r>
        <w:rPr>
          <w:spacing w:val="-7"/>
        </w:rPr>
        <w:t> </w:t>
      </w:r>
      <w:r>
        <w:rPr/>
        <w:t>os</w:t>
      </w:r>
      <w:r>
        <w:rPr>
          <w:spacing w:val="-7"/>
        </w:rPr>
        <w:t> </w:t>
      </w:r>
      <w:r>
        <w:rPr/>
        <w:t>custos</w:t>
      </w:r>
      <w:r>
        <w:rPr>
          <w:spacing w:val="-7"/>
        </w:rPr>
        <w:t> </w:t>
      </w:r>
      <w:r>
        <w:rPr/>
        <w:t>previstos,</w:t>
      </w:r>
      <w:r>
        <w:rPr>
          <w:spacing w:val="-6"/>
        </w:rPr>
        <w:t> </w:t>
      </w:r>
      <w:r>
        <w:rPr/>
        <w:t>a</w:t>
      </w:r>
      <w:r>
        <w:rPr>
          <w:spacing w:val="-6"/>
        </w:rPr>
        <w:t> </w:t>
      </w:r>
      <w:r>
        <w:rPr/>
        <w:t>agência</w:t>
      </w:r>
      <w:r>
        <w:rPr>
          <w:spacing w:val="-5"/>
        </w:rPr>
        <w:t> </w:t>
      </w:r>
      <w:r>
        <w:rPr/>
        <w:t>reguladora</w:t>
      </w:r>
      <w:r>
        <w:rPr>
          <w:spacing w:val="-6"/>
        </w:rPr>
        <w:t> </w:t>
      </w:r>
      <w:r>
        <w:rPr/>
        <w:t>reconhece</w:t>
      </w:r>
      <w:r>
        <w:rPr>
          <w:spacing w:val="-9"/>
        </w:rPr>
        <w:t> </w:t>
      </w:r>
      <w:r>
        <w:rPr/>
        <w:t>um</w:t>
      </w:r>
      <w:r>
        <w:rPr>
          <w:spacing w:val="-7"/>
        </w:rPr>
        <w:t> </w:t>
      </w:r>
      <w:r>
        <w:rPr/>
        <w:t>direito</w:t>
      </w:r>
      <w:r>
        <w:rPr>
          <w:spacing w:val="-6"/>
        </w:rPr>
        <w:t> </w:t>
      </w:r>
      <w:r>
        <w:rPr/>
        <w:t>da Companhia</w:t>
      </w:r>
      <w:r>
        <w:rPr>
          <w:spacing w:val="-25"/>
        </w:rPr>
        <w:t> </w:t>
      </w:r>
      <w:r>
        <w:rPr/>
        <w:t>a</w:t>
      </w:r>
      <w:r>
        <w:rPr>
          <w:spacing w:val="-24"/>
        </w:rPr>
        <w:t> </w:t>
      </w:r>
      <w:r>
        <w:rPr/>
        <w:t>ser</w:t>
      </w:r>
      <w:r>
        <w:rPr>
          <w:spacing w:val="-26"/>
        </w:rPr>
        <w:t> </w:t>
      </w:r>
      <w:r>
        <w:rPr/>
        <w:t>ressarcido</w:t>
      </w:r>
      <w:r>
        <w:rPr>
          <w:spacing w:val="-24"/>
        </w:rPr>
        <w:t> </w:t>
      </w:r>
      <w:r>
        <w:rPr/>
        <w:t>por</w:t>
      </w:r>
      <w:r>
        <w:rPr>
          <w:spacing w:val="-26"/>
        </w:rPr>
        <w:t> </w:t>
      </w:r>
      <w:r>
        <w:rPr/>
        <w:t>meio</w:t>
      </w:r>
      <w:r>
        <w:rPr>
          <w:spacing w:val="-25"/>
        </w:rPr>
        <w:t> </w:t>
      </w:r>
      <w:r>
        <w:rPr/>
        <w:t>da</w:t>
      </w:r>
      <w:r>
        <w:rPr>
          <w:spacing w:val="-24"/>
        </w:rPr>
        <w:t> </w:t>
      </w:r>
      <w:r>
        <w:rPr/>
        <w:t>tarifa</w:t>
      </w:r>
      <w:r>
        <w:rPr>
          <w:spacing w:val="-27"/>
        </w:rPr>
        <w:t> </w:t>
      </w:r>
      <w:r>
        <w:rPr/>
        <w:t>do</w:t>
      </w:r>
      <w:r>
        <w:rPr>
          <w:spacing w:val="-25"/>
        </w:rPr>
        <w:t> </w:t>
      </w:r>
      <w:r>
        <w:rPr/>
        <w:t>consumidor</w:t>
      </w:r>
      <w:r>
        <w:rPr>
          <w:spacing w:val="-24"/>
        </w:rPr>
        <w:t> </w:t>
      </w:r>
      <w:r>
        <w:rPr/>
        <w:t>no</w:t>
      </w:r>
      <w:r>
        <w:rPr>
          <w:spacing w:val="-25"/>
        </w:rPr>
        <w:t> </w:t>
      </w:r>
      <w:r>
        <w:rPr/>
        <w:t>ciclo</w:t>
      </w:r>
      <w:r>
        <w:rPr>
          <w:spacing w:val="-25"/>
        </w:rPr>
        <w:t> </w:t>
      </w:r>
      <w:r>
        <w:rPr/>
        <w:t>seguinte</w:t>
      </w:r>
      <w:r>
        <w:rPr>
          <w:spacing w:val="-26"/>
        </w:rPr>
        <w:t> </w:t>
      </w:r>
      <w:r>
        <w:rPr/>
        <w:t>(período</w:t>
      </w:r>
      <w:r>
        <w:rPr>
          <w:spacing w:val="-26"/>
        </w:rPr>
        <w:t> </w:t>
      </w:r>
      <w:r>
        <w:rPr/>
        <w:t>de</w:t>
      </w:r>
      <w:r>
        <w:rPr>
          <w:spacing w:val="-28"/>
        </w:rPr>
        <w:t> </w:t>
      </w:r>
      <w:r>
        <w:rPr/>
        <w:t>amortização).</w:t>
      </w:r>
      <w:r>
        <w:rPr>
          <w:spacing w:val="-24"/>
        </w:rPr>
        <w:t> </w:t>
      </w:r>
      <w:r>
        <w:rPr/>
        <w:t>De</w:t>
      </w:r>
      <w:r>
        <w:rPr>
          <w:spacing w:val="-26"/>
        </w:rPr>
        <w:t> </w:t>
      </w:r>
      <w:r>
        <w:rPr/>
        <w:t>outro modo,</w:t>
      </w:r>
      <w:r>
        <w:rPr>
          <w:spacing w:val="-37"/>
        </w:rPr>
        <w:t> </w:t>
      </w:r>
      <w:r>
        <w:rPr/>
        <w:t>quando</w:t>
      </w:r>
      <w:r>
        <w:rPr>
          <w:spacing w:val="-38"/>
        </w:rPr>
        <w:t> </w:t>
      </w:r>
      <w:r>
        <w:rPr/>
        <w:t>os</w:t>
      </w:r>
      <w:r>
        <w:rPr>
          <w:spacing w:val="-38"/>
        </w:rPr>
        <w:t> </w:t>
      </w:r>
      <w:r>
        <w:rPr/>
        <w:t>custos</w:t>
      </w:r>
      <w:r>
        <w:rPr>
          <w:spacing w:val="-36"/>
        </w:rPr>
        <w:t> </w:t>
      </w:r>
      <w:r>
        <w:rPr/>
        <w:t>realizados</w:t>
      </w:r>
      <w:r>
        <w:rPr>
          <w:spacing w:val="-38"/>
        </w:rPr>
        <w:t> </w:t>
      </w:r>
      <w:r>
        <w:rPr/>
        <w:t>são</w:t>
      </w:r>
      <w:r>
        <w:rPr>
          <w:spacing w:val="-38"/>
        </w:rPr>
        <w:t> </w:t>
      </w:r>
      <w:r>
        <w:rPr/>
        <w:t>menores</w:t>
      </w:r>
      <w:r>
        <w:rPr>
          <w:spacing w:val="-36"/>
        </w:rPr>
        <w:t> </w:t>
      </w:r>
      <w:r>
        <w:rPr/>
        <w:t>que</w:t>
      </w:r>
      <w:r>
        <w:rPr>
          <w:spacing w:val="-38"/>
        </w:rPr>
        <w:t> </w:t>
      </w:r>
      <w:r>
        <w:rPr/>
        <w:t>os</w:t>
      </w:r>
      <w:r>
        <w:rPr>
          <w:spacing w:val="-38"/>
        </w:rPr>
        <w:t> </w:t>
      </w:r>
      <w:r>
        <w:rPr/>
        <w:t>custos</w:t>
      </w:r>
      <w:r>
        <w:rPr>
          <w:spacing w:val="-38"/>
        </w:rPr>
        <w:t> </w:t>
      </w:r>
      <w:r>
        <w:rPr/>
        <w:t>previstos</w:t>
      </w:r>
      <w:r>
        <w:rPr>
          <w:spacing w:val="-38"/>
        </w:rPr>
        <w:t> </w:t>
      </w:r>
      <w:r>
        <w:rPr/>
        <w:t>se</w:t>
      </w:r>
      <w:r>
        <w:rPr>
          <w:spacing w:val="-37"/>
        </w:rPr>
        <w:t> </w:t>
      </w:r>
      <w:r>
        <w:rPr/>
        <w:t>reconhece</w:t>
      </w:r>
      <w:r>
        <w:rPr>
          <w:spacing w:val="-37"/>
        </w:rPr>
        <w:t> </w:t>
      </w:r>
      <w:r>
        <w:rPr/>
        <w:t>uma</w:t>
      </w:r>
      <w:r>
        <w:rPr>
          <w:spacing w:val="-37"/>
        </w:rPr>
        <w:t> </w:t>
      </w:r>
      <w:r>
        <w:rPr/>
        <w:t>obrigação</w:t>
      </w:r>
      <w:r>
        <w:rPr>
          <w:spacing w:val="-38"/>
        </w:rPr>
        <w:t> </w:t>
      </w:r>
      <w:r>
        <w:rPr/>
        <w:t>da</w:t>
      </w:r>
      <w:r>
        <w:rPr>
          <w:spacing w:val="-37"/>
        </w:rPr>
        <w:t> </w:t>
      </w:r>
      <w:r>
        <w:rPr/>
        <w:t>distribuidora de</w:t>
      </w:r>
      <w:r>
        <w:rPr>
          <w:spacing w:val="-20"/>
        </w:rPr>
        <w:t> </w:t>
      </w:r>
      <w:r>
        <w:rPr/>
        <w:t>devolução</w:t>
      </w:r>
      <w:r>
        <w:rPr>
          <w:spacing w:val="-16"/>
        </w:rPr>
        <w:t> </w:t>
      </w:r>
      <w:r>
        <w:rPr/>
        <w:t>na</w:t>
      </w:r>
      <w:r>
        <w:rPr>
          <w:spacing w:val="-18"/>
        </w:rPr>
        <w:t> </w:t>
      </w:r>
      <w:r>
        <w:rPr/>
        <w:t>tarifa</w:t>
      </w:r>
      <w:r>
        <w:rPr>
          <w:spacing w:val="-14"/>
        </w:rPr>
        <w:t> </w:t>
      </w:r>
      <w:r>
        <w:rPr/>
        <w:t>do</w:t>
      </w:r>
      <w:r>
        <w:rPr>
          <w:spacing w:val="-19"/>
        </w:rPr>
        <w:t> </w:t>
      </w:r>
      <w:r>
        <w:rPr/>
        <w:t>consumidor.</w:t>
      </w:r>
    </w:p>
    <w:p>
      <w:pPr>
        <w:pStyle w:val="BodyText"/>
        <w:spacing w:line="242" w:lineRule="auto" w:before="118"/>
        <w:ind w:left="172" w:right="419"/>
        <w:jc w:val="both"/>
      </w:pPr>
      <w:r>
        <w:rPr/>
        <w:t>Esses</w:t>
      </w:r>
      <w:r>
        <w:rPr>
          <w:spacing w:val="-31"/>
        </w:rPr>
        <w:t> </w:t>
      </w:r>
      <w:r>
        <w:rPr/>
        <w:t>valores</w:t>
      </w:r>
      <w:r>
        <w:rPr>
          <w:spacing w:val="-31"/>
        </w:rPr>
        <w:t> </w:t>
      </w:r>
      <w:r>
        <w:rPr/>
        <w:t>são</w:t>
      </w:r>
      <w:r>
        <w:rPr>
          <w:spacing w:val="-31"/>
        </w:rPr>
        <w:t> </w:t>
      </w:r>
      <w:r>
        <w:rPr/>
        <w:t>homologados</w:t>
      </w:r>
      <w:r>
        <w:rPr>
          <w:spacing w:val="-31"/>
        </w:rPr>
        <w:t> </w:t>
      </w:r>
      <w:r>
        <w:rPr/>
        <w:t>pela</w:t>
      </w:r>
      <w:r>
        <w:rPr>
          <w:spacing w:val="-31"/>
        </w:rPr>
        <w:t> </w:t>
      </w:r>
      <w:r>
        <w:rPr/>
        <w:t>Agência</w:t>
      </w:r>
      <w:r>
        <w:rPr>
          <w:spacing w:val="-30"/>
        </w:rPr>
        <w:t> </w:t>
      </w:r>
      <w:r>
        <w:rPr/>
        <w:t>Reguladora</w:t>
      </w:r>
      <w:r>
        <w:rPr>
          <w:spacing w:val="-31"/>
        </w:rPr>
        <w:t> </w:t>
      </w:r>
      <w:r>
        <w:rPr/>
        <w:t>de</w:t>
      </w:r>
      <w:r>
        <w:rPr>
          <w:spacing w:val="-32"/>
        </w:rPr>
        <w:t> </w:t>
      </w:r>
      <w:r>
        <w:rPr/>
        <w:t>Energia</w:t>
      </w:r>
      <w:r>
        <w:rPr>
          <w:spacing w:val="-31"/>
        </w:rPr>
        <w:t> </w:t>
      </w:r>
      <w:r>
        <w:rPr/>
        <w:t>Elétrica</w:t>
      </w:r>
      <w:r>
        <w:rPr>
          <w:spacing w:val="-30"/>
        </w:rPr>
        <w:t> </w:t>
      </w:r>
      <w:r>
        <w:rPr/>
        <w:t>e</w:t>
      </w:r>
      <w:r>
        <w:rPr>
          <w:spacing w:val="-32"/>
        </w:rPr>
        <w:t> </w:t>
      </w:r>
      <w:r>
        <w:rPr/>
        <w:t>repassados</w:t>
      </w:r>
      <w:r>
        <w:rPr>
          <w:spacing w:val="-31"/>
        </w:rPr>
        <w:t> </w:t>
      </w:r>
      <w:r>
        <w:rPr/>
        <w:t>anualmente</w:t>
      </w:r>
      <w:r>
        <w:rPr>
          <w:spacing w:val="-32"/>
        </w:rPr>
        <w:t> </w:t>
      </w:r>
      <w:r>
        <w:rPr/>
        <w:t>nas</w:t>
      </w:r>
      <w:r>
        <w:rPr>
          <w:spacing w:val="-31"/>
        </w:rPr>
        <w:t> </w:t>
      </w:r>
      <w:r>
        <w:rPr/>
        <w:t>tarifas</w:t>
      </w:r>
      <w:r>
        <w:rPr>
          <w:spacing w:val="-30"/>
        </w:rPr>
        <w:t> </w:t>
      </w:r>
      <w:r>
        <w:rPr/>
        <w:t>de fornecimento</w:t>
      </w:r>
      <w:r>
        <w:rPr>
          <w:spacing w:val="-23"/>
        </w:rPr>
        <w:t> </w:t>
      </w:r>
      <w:r>
        <w:rPr/>
        <w:t>como</w:t>
      </w:r>
      <w:r>
        <w:rPr>
          <w:spacing w:val="-23"/>
        </w:rPr>
        <w:t> </w:t>
      </w:r>
      <w:r>
        <w:rPr/>
        <w:t>item</w:t>
      </w:r>
      <w:r>
        <w:rPr>
          <w:spacing w:val="-23"/>
        </w:rPr>
        <w:t> </w:t>
      </w:r>
      <w:r>
        <w:rPr/>
        <w:t>financeiro</w:t>
      </w:r>
      <w:r>
        <w:rPr>
          <w:spacing w:val="-20"/>
        </w:rPr>
        <w:t> </w:t>
      </w:r>
      <w:r>
        <w:rPr/>
        <w:t>por</w:t>
      </w:r>
      <w:r>
        <w:rPr>
          <w:spacing w:val="-21"/>
        </w:rPr>
        <w:t> </w:t>
      </w:r>
      <w:r>
        <w:rPr/>
        <w:t>meio</w:t>
      </w:r>
      <w:r>
        <w:rPr>
          <w:spacing w:val="-23"/>
        </w:rPr>
        <w:t> </w:t>
      </w:r>
      <w:r>
        <w:rPr/>
        <w:t>dos</w:t>
      </w:r>
      <w:r>
        <w:rPr>
          <w:spacing w:val="-20"/>
        </w:rPr>
        <w:t> </w:t>
      </w:r>
      <w:r>
        <w:rPr/>
        <w:t>Reajustes</w:t>
      </w:r>
      <w:r>
        <w:rPr>
          <w:spacing w:val="-22"/>
        </w:rPr>
        <w:t> </w:t>
      </w:r>
      <w:r>
        <w:rPr/>
        <w:t>Tarifários</w:t>
      </w:r>
      <w:r>
        <w:rPr>
          <w:spacing w:val="-21"/>
        </w:rPr>
        <w:t> </w:t>
      </w:r>
      <w:r>
        <w:rPr/>
        <w:t>ou</w:t>
      </w:r>
      <w:r>
        <w:rPr>
          <w:spacing w:val="-22"/>
        </w:rPr>
        <w:t> </w:t>
      </w:r>
      <w:r>
        <w:rPr/>
        <w:t>Revisões</w:t>
      </w:r>
      <w:r>
        <w:rPr>
          <w:spacing w:val="-22"/>
        </w:rPr>
        <w:t> </w:t>
      </w:r>
      <w:r>
        <w:rPr/>
        <w:t>Tarifárias.</w:t>
      </w:r>
    </w:p>
    <w:p>
      <w:pPr>
        <w:pStyle w:val="BodyText"/>
        <w:spacing w:before="122"/>
        <w:ind w:left="172"/>
        <w:jc w:val="both"/>
      </w:pPr>
      <w:r>
        <w:rPr/>
        <w:t>Segue</w:t>
      </w:r>
      <w:r>
        <w:rPr>
          <w:spacing w:val="-29"/>
        </w:rPr>
        <w:t> </w:t>
      </w:r>
      <w:r>
        <w:rPr/>
        <w:t>demonstrativo</w:t>
      </w:r>
      <w:r>
        <w:rPr>
          <w:spacing w:val="-28"/>
        </w:rPr>
        <w:t> </w:t>
      </w:r>
      <w:r>
        <w:rPr/>
        <w:t>das</w:t>
      </w:r>
      <w:r>
        <w:rPr>
          <w:spacing w:val="-29"/>
        </w:rPr>
        <w:t> </w:t>
      </w:r>
      <w:r>
        <w:rPr/>
        <w:t>movimentações</w:t>
      </w:r>
      <w:r>
        <w:rPr>
          <w:spacing w:val="-23"/>
        </w:rPr>
        <w:t> </w:t>
      </w:r>
      <w:r>
        <w:rPr/>
        <w:t>dos</w:t>
      </w:r>
      <w:r>
        <w:rPr>
          <w:spacing w:val="-27"/>
        </w:rPr>
        <w:t> </w:t>
      </w:r>
      <w:r>
        <w:rPr/>
        <w:t>Ativos</w:t>
      </w:r>
      <w:r>
        <w:rPr>
          <w:spacing w:val="-27"/>
        </w:rPr>
        <w:t> </w:t>
      </w:r>
      <w:r>
        <w:rPr/>
        <w:t>e</w:t>
      </w:r>
      <w:r>
        <w:rPr>
          <w:spacing w:val="-29"/>
        </w:rPr>
        <w:t> </w:t>
      </w:r>
      <w:r>
        <w:rPr/>
        <w:t>Passivos</w:t>
      </w:r>
      <w:r>
        <w:rPr>
          <w:spacing w:val="-28"/>
        </w:rPr>
        <w:t> </w:t>
      </w:r>
      <w:r>
        <w:rPr/>
        <w:t>Financeiros</w:t>
      </w:r>
      <w:r>
        <w:rPr>
          <w:spacing w:val="-27"/>
        </w:rPr>
        <w:t> </w:t>
      </w:r>
      <w:r>
        <w:rPr/>
        <w:t>Setoriais</w:t>
      </w:r>
      <w:r>
        <w:rPr>
          <w:spacing w:val="-27"/>
        </w:rPr>
        <w:t> </w:t>
      </w:r>
      <w:r>
        <w:rPr/>
        <w:t>ocorridas</w:t>
      </w:r>
      <w:r>
        <w:rPr>
          <w:spacing w:val="-29"/>
        </w:rPr>
        <w:t> </w:t>
      </w:r>
      <w:r>
        <w:rPr/>
        <w:t>no</w:t>
      </w:r>
      <w:r>
        <w:rPr>
          <w:spacing w:val="-26"/>
        </w:rPr>
        <w:t> </w:t>
      </w:r>
      <w:r>
        <w:rPr/>
        <w:t>exercício</w:t>
      </w:r>
      <w:r>
        <w:rPr>
          <w:spacing w:val="-27"/>
        </w:rPr>
        <w:t> </w:t>
      </w:r>
      <w:r>
        <w:rPr/>
        <w:t>de</w:t>
      </w:r>
      <w:r>
        <w:rPr>
          <w:spacing w:val="-29"/>
        </w:rPr>
        <w:t> </w:t>
      </w:r>
      <w:r>
        <w:rPr/>
        <w:t>2019:</w:t>
      </w:r>
    </w:p>
    <w:p>
      <w:pPr>
        <w:pStyle w:val="BodyText"/>
      </w:pPr>
    </w:p>
    <w:p>
      <w:pPr>
        <w:pStyle w:val="BodyText"/>
        <w:spacing w:before="5"/>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51"/>
        <w:gridCol w:w="1142"/>
        <w:gridCol w:w="1058"/>
        <w:gridCol w:w="1060"/>
        <w:gridCol w:w="988"/>
        <w:gridCol w:w="1113"/>
        <w:gridCol w:w="1189"/>
      </w:tblGrid>
      <w:tr>
        <w:trPr>
          <w:trHeight w:val="630" w:hRule="atLeast"/>
        </w:trPr>
        <w:tc>
          <w:tcPr>
            <w:tcW w:w="3351" w:type="dxa"/>
            <w:shd w:val="clear" w:color="auto" w:fill="D9D9D9"/>
          </w:tcPr>
          <w:p>
            <w:pPr>
              <w:pStyle w:val="TableParagraph"/>
              <w:spacing w:before="8"/>
              <w:rPr>
                <w:sz w:val="20"/>
              </w:rPr>
            </w:pPr>
          </w:p>
          <w:p>
            <w:pPr>
              <w:pStyle w:val="TableParagraph"/>
              <w:spacing w:before="1"/>
              <w:ind w:left="72"/>
              <w:rPr>
                <w:rFonts w:ascii="Caladea"/>
                <w:b/>
                <w:sz w:val="13"/>
              </w:rPr>
            </w:pPr>
            <w:r>
              <w:rPr>
                <w:rFonts w:ascii="Caladea"/>
                <w:b/>
                <w:sz w:val="13"/>
              </w:rPr>
              <w:t>Ativos Financeiros Setoriais</w:t>
            </w:r>
          </w:p>
        </w:tc>
        <w:tc>
          <w:tcPr>
            <w:tcW w:w="1142" w:type="dxa"/>
          </w:tcPr>
          <w:p>
            <w:pPr>
              <w:pStyle w:val="TableParagraph"/>
              <w:spacing w:before="10"/>
              <w:rPr>
                <w:sz w:val="13"/>
              </w:rPr>
            </w:pPr>
          </w:p>
          <w:p>
            <w:pPr>
              <w:pStyle w:val="TableParagraph"/>
              <w:spacing w:before="1"/>
              <w:ind w:left="199" w:right="166" w:firstLine="100"/>
              <w:rPr>
                <w:rFonts w:ascii="Caladea"/>
                <w:b/>
                <w:sz w:val="13"/>
              </w:rPr>
            </w:pPr>
            <w:r>
              <w:rPr>
                <w:rFonts w:ascii="Caladea"/>
                <w:b/>
                <w:sz w:val="13"/>
              </w:rPr>
              <w:t>Saldo em 31/12/2018</w:t>
            </w:r>
          </w:p>
        </w:tc>
        <w:tc>
          <w:tcPr>
            <w:tcW w:w="1058" w:type="dxa"/>
          </w:tcPr>
          <w:p>
            <w:pPr>
              <w:pStyle w:val="TableParagraph"/>
              <w:spacing w:before="6"/>
              <w:rPr>
                <w:sz w:val="20"/>
              </w:rPr>
            </w:pPr>
          </w:p>
          <w:p>
            <w:pPr>
              <w:pStyle w:val="TableParagraph"/>
              <w:ind w:left="156"/>
              <w:rPr>
                <w:rFonts w:ascii="Caladea" w:hAnsi="Caladea"/>
                <w:b/>
                <w:sz w:val="13"/>
              </w:rPr>
            </w:pPr>
            <w:r>
              <w:rPr>
                <w:rFonts w:ascii="Caladea" w:hAnsi="Caladea"/>
                <w:b/>
                <w:sz w:val="13"/>
              </w:rPr>
              <w:t>Constituição</w:t>
            </w:r>
          </w:p>
        </w:tc>
        <w:tc>
          <w:tcPr>
            <w:tcW w:w="1060" w:type="dxa"/>
          </w:tcPr>
          <w:p>
            <w:pPr>
              <w:pStyle w:val="TableParagraph"/>
              <w:spacing w:before="6"/>
              <w:rPr>
                <w:sz w:val="20"/>
              </w:rPr>
            </w:pPr>
          </w:p>
          <w:p>
            <w:pPr>
              <w:pStyle w:val="TableParagraph"/>
              <w:ind w:left="152"/>
              <w:rPr>
                <w:rFonts w:ascii="Caladea" w:hAnsi="Caladea"/>
                <w:b/>
                <w:sz w:val="13"/>
              </w:rPr>
            </w:pPr>
            <w:r>
              <w:rPr>
                <w:rFonts w:ascii="Caladea" w:hAnsi="Caladea"/>
                <w:b/>
                <w:sz w:val="13"/>
              </w:rPr>
              <w:t>Amortização</w:t>
            </w:r>
          </w:p>
        </w:tc>
        <w:tc>
          <w:tcPr>
            <w:tcW w:w="988" w:type="dxa"/>
          </w:tcPr>
          <w:p>
            <w:pPr>
              <w:pStyle w:val="TableParagraph"/>
              <w:spacing w:before="6"/>
              <w:rPr>
                <w:sz w:val="20"/>
              </w:rPr>
            </w:pPr>
          </w:p>
          <w:p>
            <w:pPr>
              <w:pStyle w:val="TableParagraph"/>
              <w:ind w:left="151"/>
              <w:rPr>
                <w:rFonts w:ascii="Caladea" w:hAnsi="Caladea"/>
                <w:b/>
                <w:sz w:val="13"/>
              </w:rPr>
            </w:pPr>
            <w:r>
              <w:rPr>
                <w:rFonts w:ascii="Caladea" w:hAnsi="Caladea"/>
                <w:b/>
                <w:sz w:val="13"/>
              </w:rPr>
              <w:t>Atualização</w:t>
            </w:r>
          </w:p>
        </w:tc>
        <w:tc>
          <w:tcPr>
            <w:tcW w:w="1113" w:type="dxa"/>
          </w:tcPr>
          <w:p>
            <w:pPr>
              <w:pStyle w:val="TableParagraph"/>
              <w:spacing w:before="6"/>
              <w:rPr>
                <w:sz w:val="20"/>
              </w:rPr>
            </w:pPr>
          </w:p>
          <w:p>
            <w:pPr>
              <w:pStyle w:val="TableParagraph"/>
              <w:ind w:left="140"/>
              <w:rPr>
                <w:rFonts w:ascii="Caladea" w:hAnsi="Caladea"/>
                <w:b/>
                <w:sz w:val="13"/>
              </w:rPr>
            </w:pPr>
            <w:r>
              <w:rPr>
                <w:rFonts w:ascii="Caladea" w:hAnsi="Caladea"/>
                <w:b/>
                <w:sz w:val="13"/>
              </w:rPr>
              <w:t>Transferência</w:t>
            </w:r>
          </w:p>
        </w:tc>
        <w:tc>
          <w:tcPr>
            <w:tcW w:w="1189" w:type="dxa"/>
          </w:tcPr>
          <w:p>
            <w:pPr>
              <w:pStyle w:val="TableParagraph"/>
              <w:spacing w:before="10"/>
              <w:rPr>
                <w:sz w:val="13"/>
              </w:rPr>
            </w:pPr>
          </w:p>
          <w:p>
            <w:pPr>
              <w:pStyle w:val="TableParagraph"/>
              <w:spacing w:before="1"/>
              <w:ind w:left="227" w:right="185" w:firstLine="103"/>
              <w:rPr>
                <w:rFonts w:ascii="Caladea"/>
                <w:b/>
                <w:sz w:val="13"/>
              </w:rPr>
            </w:pPr>
            <w:r>
              <w:rPr>
                <w:rFonts w:ascii="Caladea"/>
                <w:b/>
                <w:sz w:val="13"/>
              </w:rPr>
              <w:t>Saldo em 31/12/2019</w:t>
            </w:r>
          </w:p>
        </w:tc>
      </w:tr>
      <w:tr>
        <w:trPr>
          <w:trHeight w:val="205" w:hRule="atLeast"/>
        </w:trPr>
        <w:tc>
          <w:tcPr>
            <w:tcW w:w="3351" w:type="dxa"/>
          </w:tcPr>
          <w:p>
            <w:pPr>
              <w:pStyle w:val="TableParagraph"/>
              <w:spacing w:before="27"/>
              <w:ind w:left="101"/>
              <w:rPr>
                <w:rFonts w:ascii="Caladea"/>
                <w:b/>
                <w:sz w:val="13"/>
              </w:rPr>
            </w:pPr>
            <w:r>
              <w:rPr>
                <w:rFonts w:ascii="Caladea"/>
                <w:b/>
                <w:sz w:val="13"/>
              </w:rPr>
              <w:t>CVA Ativa</w:t>
            </w:r>
          </w:p>
        </w:tc>
        <w:tc>
          <w:tcPr>
            <w:tcW w:w="1142" w:type="dxa"/>
          </w:tcPr>
          <w:p>
            <w:pPr>
              <w:pStyle w:val="TableParagraph"/>
              <w:spacing w:before="27"/>
              <w:ind w:right="57"/>
              <w:jc w:val="right"/>
              <w:rPr>
                <w:rFonts w:ascii="Caladea"/>
                <w:b/>
                <w:sz w:val="13"/>
              </w:rPr>
            </w:pPr>
            <w:r>
              <w:rPr>
                <w:rFonts w:ascii="Caladea"/>
                <w:b/>
                <w:sz w:val="13"/>
              </w:rPr>
              <w:t>513.388</w:t>
            </w:r>
          </w:p>
        </w:tc>
        <w:tc>
          <w:tcPr>
            <w:tcW w:w="1058" w:type="dxa"/>
          </w:tcPr>
          <w:p>
            <w:pPr>
              <w:pStyle w:val="TableParagraph"/>
              <w:spacing w:before="27"/>
              <w:ind w:right="57"/>
              <w:jc w:val="right"/>
              <w:rPr>
                <w:rFonts w:ascii="Caladea"/>
                <w:b/>
                <w:sz w:val="13"/>
              </w:rPr>
            </w:pPr>
            <w:r>
              <w:rPr>
                <w:rFonts w:ascii="Caladea"/>
                <w:b/>
                <w:sz w:val="13"/>
              </w:rPr>
              <w:t>156.105</w:t>
            </w:r>
          </w:p>
        </w:tc>
        <w:tc>
          <w:tcPr>
            <w:tcW w:w="1060" w:type="dxa"/>
          </w:tcPr>
          <w:p>
            <w:pPr>
              <w:pStyle w:val="TableParagraph"/>
              <w:spacing w:before="27"/>
              <w:ind w:right="55"/>
              <w:jc w:val="right"/>
              <w:rPr>
                <w:rFonts w:ascii="Caladea"/>
                <w:b/>
                <w:sz w:val="13"/>
              </w:rPr>
            </w:pPr>
            <w:r>
              <w:rPr>
                <w:rFonts w:ascii="Caladea"/>
                <w:b/>
                <w:sz w:val="13"/>
              </w:rPr>
              <w:t>(424.041)</w:t>
            </w:r>
          </w:p>
        </w:tc>
        <w:tc>
          <w:tcPr>
            <w:tcW w:w="988" w:type="dxa"/>
          </w:tcPr>
          <w:p>
            <w:pPr>
              <w:pStyle w:val="TableParagraph"/>
              <w:spacing w:before="27"/>
              <w:ind w:right="52"/>
              <w:jc w:val="right"/>
              <w:rPr>
                <w:rFonts w:ascii="Caladea"/>
                <w:b/>
                <w:sz w:val="13"/>
              </w:rPr>
            </w:pPr>
            <w:r>
              <w:rPr>
                <w:rFonts w:ascii="Caladea"/>
                <w:b/>
                <w:sz w:val="13"/>
              </w:rPr>
              <w:t>13.618</w:t>
            </w:r>
          </w:p>
        </w:tc>
        <w:tc>
          <w:tcPr>
            <w:tcW w:w="1113" w:type="dxa"/>
          </w:tcPr>
          <w:p>
            <w:pPr>
              <w:pStyle w:val="TableParagraph"/>
              <w:spacing w:before="27"/>
              <w:ind w:right="53"/>
              <w:jc w:val="right"/>
              <w:rPr>
                <w:rFonts w:ascii="Caladea"/>
                <w:b/>
                <w:sz w:val="13"/>
              </w:rPr>
            </w:pPr>
            <w:r>
              <w:rPr>
                <w:rFonts w:ascii="Caladea"/>
                <w:b/>
                <w:sz w:val="13"/>
              </w:rPr>
              <w:t>(2.107)</w:t>
            </w:r>
          </w:p>
        </w:tc>
        <w:tc>
          <w:tcPr>
            <w:tcW w:w="1189" w:type="dxa"/>
          </w:tcPr>
          <w:p>
            <w:pPr>
              <w:pStyle w:val="TableParagraph"/>
              <w:spacing w:before="27"/>
              <w:ind w:right="50"/>
              <w:jc w:val="right"/>
              <w:rPr>
                <w:rFonts w:ascii="Caladea"/>
                <w:b/>
                <w:sz w:val="13"/>
              </w:rPr>
            </w:pPr>
            <w:r>
              <w:rPr>
                <w:rFonts w:ascii="Caladea"/>
                <w:b/>
                <w:sz w:val="13"/>
              </w:rPr>
              <w:t>256.963</w:t>
            </w:r>
          </w:p>
        </w:tc>
      </w:tr>
      <w:tr>
        <w:trPr>
          <w:trHeight w:val="177" w:hRule="atLeast"/>
        </w:trPr>
        <w:tc>
          <w:tcPr>
            <w:tcW w:w="3351" w:type="dxa"/>
          </w:tcPr>
          <w:p>
            <w:pPr>
              <w:pStyle w:val="TableParagraph"/>
              <w:spacing w:line="143" w:lineRule="exact" w:before="14"/>
              <w:ind w:left="233"/>
              <w:rPr>
                <w:sz w:val="13"/>
              </w:rPr>
            </w:pPr>
            <w:r>
              <w:rPr>
                <w:w w:val="105"/>
                <w:sz w:val="13"/>
              </w:rPr>
              <w:t>Aquisição de Energia – (CVA energia)</w:t>
            </w:r>
          </w:p>
        </w:tc>
        <w:tc>
          <w:tcPr>
            <w:tcW w:w="1142" w:type="dxa"/>
          </w:tcPr>
          <w:p>
            <w:pPr>
              <w:pStyle w:val="TableParagraph"/>
              <w:spacing w:line="143" w:lineRule="exact" w:before="14"/>
              <w:ind w:right="57"/>
              <w:jc w:val="right"/>
              <w:rPr>
                <w:sz w:val="13"/>
              </w:rPr>
            </w:pPr>
            <w:r>
              <w:rPr>
                <w:sz w:val="13"/>
              </w:rPr>
              <w:t>457.332</w:t>
            </w:r>
          </w:p>
        </w:tc>
        <w:tc>
          <w:tcPr>
            <w:tcW w:w="1058" w:type="dxa"/>
          </w:tcPr>
          <w:p>
            <w:pPr>
              <w:pStyle w:val="TableParagraph"/>
              <w:spacing w:line="143" w:lineRule="exact" w:before="14"/>
              <w:ind w:right="57"/>
              <w:jc w:val="right"/>
              <w:rPr>
                <w:sz w:val="13"/>
              </w:rPr>
            </w:pPr>
            <w:r>
              <w:rPr>
                <w:sz w:val="13"/>
              </w:rPr>
              <w:t>130.337</w:t>
            </w:r>
          </w:p>
        </w:tc>
        <w:tc>
          <w:tcPr>
            <w:tcW w:w="1060" w:type="dxa"/>
          </w:tcPr>
          <w:p>
            <w:pPr>
              <w:pStyle w:val="TableParagraph"/>
              <w:spacing w:line="143" w:lineRule="exact" w:before="14"/>
              <w:ind w:right="54"/>
              <w:jc w:val="right"/>
              <w:rPr>
                <w:sz w:val="13"/>
              </w:rPr>
            </w:pPr>
            <w:r>
              <w:rPr>
                <w:sz w:val="13"/>
              </w:rPr>
              <w:t>(378.939)</w:t>
            </w:r>
          </w:p>
        </w:tc>
        <w:tc>
          <w:tcPr>
            <w:tcW w:w="988" w:type="dxa"/>
          </w:tcPr>
          <w:p>
            <w:pPr>
              <w:pStyle w:val="TableParagraph"/>
              <w:spacing w:line="143" w:lineRule="exact" w:before="14"/>
              <w:ind w:right="52"/>
              <w:jc w:val="right"/>
              <w:rPr>
                <w:sz w:val="13"/>
              </w:rPr>
            </w:pPr>
            <w:r>
              <w:rPr>
                <w:w w:val="95"/>
                <w:sz w:val="13"/>
              </w:rPr>
              <w:t>11.550</w:t>
            </w:r>
          </w:p>
        </w:tc>
        <w:tc>
          <w:tcPr>
            <w:tcW w:w="1113" w:type="dxa"/>
          </w:tcPr>
          <w:p>
            <w:pPr>
              <w:pStyle w:val="TableParagraph"/>
              <w:rPr>
                <w:rFonts w:ascii="Times New Roman"/>
                <w:sz w:val="10"/>
              </w:rPr>
            </w:pPr>
          </w:p>
        </w:tc>
        <w:tc>
          <w:tcPr>
            <w:tcW w:w="1189" w:type="dxa"/>
          </w:tcPr>
          <w:p>
            <w:pPr>
              <w:pStyle w:val="TableParagraph"/>
              <w:spacing w:line="143" w:lineRule="exact" w:before="14"/>
              <w:ind w:right="50"/>
              <w:jc w:val="right"/>
              <w:rPr>
                <w:sz w:val="13"/>
              </w:rPr>
            </w:pPr>
            <w:r>
              <w:rPr>
                <w:sz w:val="13"/>
              </w:rPr>
              <w:t>220.280</w:t>
            </w:r>
          </w:p>
        </w:tc>
      </w:tr>
      <w:tr>
        <w:trPr>
          <w:trHeight w:val="177" w:hRule="atLeast"/>
        </w:trPr>
        <w:tc>
          <w:tcPr>
            <w:tcW w:w="3351" w:type="dxa"/>
          </w:tcPr>
          <w:p>
            <w:pPr>
              <w:pStyle w:val="TableParagraph"/>
              <w:spacing w:line="143" w:lineRule="exact" w:before="14"/>
              <w:ind w:left="233"/>
              <w:rPr>
                <w:sz w:val="13"/>
              </w:rPr>
            </w:pPr>
            <w:r>
              <w:rPr>
                <w:w w:val="105"/>
                <w:sz w:val="13"/>
              </w:rPr>
              <w:t>Energia Adquirida – Proinfa</w:t>
            </w:r>
          </w:p>
        </w:tc>
        <w:tc>
          <w:tcPr>
            <w:tcW w:w="1142" w:type="dxa"/>
          </w:tcPr>
          <w:p>
            <w:pPr>
              <w:pStyle w:val="TableParagraph"/>
              <w:spacing w:line="143" w:lineRule="exact" w:before="14"/>
              <w:ind w:right="56"/>
              <w:jc w:val="right"/>
              <w:rPr>
                <w:sz w:val="13"/>
              </w:rPr>
            </w:pPr>
            <w:r>
              <w:rPr>
                <w:w w:val="105"/>
                <w:sz w:val="13"/>
              </w:rPr>
              <w:t>739</w:t>
            </w:r>
          </w:p>
        </w:tc>
        <w:tc>
          <w:tcPr>
            <w:tcW w:w="1058" w:type="dxa"/>
          </w:tcPr>
          <w:p>
            <w:pPr>
              <w:pStyle w:val="TableParagraph"/>
              <w:spacing w:line="143" w:lineRule="exact" w:before="14"/>
              <w:ind w:right="56"/>
              <w:jc w:val="right"/>
              <w:rPr>
                <w:sz w:val="13"/>
              </w:rPr>
            </w:pPr>
            <w:r>
              <w:rPr>
                <w:w w:val="95"/>
                <w:sz w:val="13"/>
              </w:rPr>
              <w:t>4.315</w:t>
            </w:r>
          </w:p>
        </w:tc>
        <w:tc>
          <w:tcPr>
            <w:tcW w:w="1060" w:type="dxa"/>
          </w:tcPr>
          <w:p>
            <w:pPr>
              <w:pStyle w:val="TableParagraph"/>
              <w:spacing w:line="143" w:lineRule="exact" w:before="14"/>
              <w:ind w:right="54"/>
              <w:jc w:val="right"/>
              <w:rPr>
                <w:sz w:val="13"/>
              </w:rPr>
            </w:pPr>
            <w:r>
              <w:rPr>
                <w:sz w:val="13"/>
              </w:rPr>
              <w:t>(1.171)</w:t>
            </w:r>
          </w:p>
        </w:tc>
        <w:tc>
          <w:tcPr>
            <w:tcW w:w="988" w:type="dxa"/>
          </w:tcPr>
          <w:p>
            <w:pPr>
              <w:pStyle w:val="TableParagraph"/>
              <w:spacing w:line="143" w:lineRule="exact" w:before="14"/>
              <w:ind w:right="52"/>
              <w:jc w:val="right"/>
              <w:rPr>
                <w:sz w:val="13"/>
              </w:rPr>
            </w:pPr>
            <w:r>
              <w:rPr>
                <w:w w:val="105"/>
                <w:sz w:val="13"/>
              </w:rPr>
              <w:t>253</w:t>
            </w:r>
          </w:p>
        </w:tc>
        <w:tc>
          <w:tcPr>
            <w:tcW w:w="1113" w:type="dxa"/>
          </w:tcPr>
          <w:p>
            <w:pPr>
              <w:pStyle w:val="TableParagraph"/>
              <w:rPr>
                <w:rFonts w:ascii="Times New Roman"/>
                <w:sz w:val="10"/>
              </w:rPr>
            </w:pPr>
          </w:p>
        </w:tc>
        <w:tc>
          <w:tcPr>
            <w:tcW w:w="1189" w:type="dxa"/>
          </w:tcPr>
          <w:p>
            <w:pPr>
              <w:pStyle w:val="TableParagraph"/>
              <w:spacing w:line="143" w:lineRule="exact" w:before="14"/>
              <w:ind w:right="49"/>
              <w:jc w:val="right"/>
              <w:rPr>
                <w:sz w:val="13"/>
              </w:rPr>
            </w:pPr>
            <w:r>
              <w:rPr>
                <w:w w:val="95"/>
                <w:sz w:val="13"/>
              </w:rPr>
              <w:t>4.136</w:t>
            </w:r>
          </w:p>
        </w:tc>
      </w:tr>
      <w:tr>
        <w:trPr>
          <w:trHeight w:val="177" w:hRule="atLeast"/>
        </w:trPr>
        <w:tc>
          <w:tcPr>
            <w:tcW w:w="3351" w:type="dxa"/>
          </w:tcPr>
          <w:p>
            <w:pPr>
              <w:pStyle w:val="TableParagraph"/>
              <w:spacing w:line="143" w:lineRule="exact" w:before="14"/>
              <w:ind w:left="233"/>
              <w:rPr>
                <w:sz w:val="13"/>
              </w:rPr>
            </w:pPr>
            <w:r>
              <w:rPr>
                <w:sz w:val="13"/>
              </w:rPr>
              <w:t>Transporte Rede Básica</w:t>
            </w:r>
          </w:p>
        </w:tc>
        <w:tc>
          <w:tcPr>
            <w:tcW w:w="1142" w:type="dxa"/>
          </w:tcPr>
          <w:p>
            <w:pPr>
              <w:pStyle w:val="TableParagraph"/>
              <w:spacing w:line="143" w:lineRule="exact" w:before="14"/>
              <w:ind w:right="57"/>
              <w:jc w:val="right"/>
              <w:rPr>
                <w:sz w:val="13"/>
              </w:rPr>
            </w:pPr>
            <w:r>
              <w:rPr>
                <w:w w:val="95"/>
                <w:sz w:val="13"/>
              </w:rPr>
              <w:t>15.307</w:t>
            </w:r>
          </w:p>
        </w:tc>
        <w:tc>
          <w:tcPr>
            <w:tcW w:w="1058" w:type="dxa"/>
          </w:tcPr>
          <w:p>
            <w:pPr>
              <w:pStyle w:val="TableParagraph"/>
              <w:spacing w:line="143" w:lineRule="exact" w:before="14"/>
              <w:ind w:right="57"/>
              <w:jc w:val="right"/>
              <w:rPr>
                <w:sz w:val="13"/>
              </w:rPr>
            </w:pPr>
            <w:r>
              <w:rPr>
                <w:w w:val="95"/>
                <w:sz w:val="13"/>
              </w:rPr>
              <w:t>13.657</w:t>
            </w:r>
          </w:p>
        </w:tc>
        <w:tc>
          <w:tcPr>
            <w:tcW w:w="1060" w:type="dxa"/>
          </w:tcPr>
          <w:p>
            <w:pPr>
              <w:pStyle w:val="TableParagraph"/>
              <w:spacing w:line="143" w:lineRule="exact" w:before="14"/>
              <w:ind w:right="54"/>
              <w:jc w:val="right"/>
              <w:rPr>
                <w:sz w:val="13"/>
              </w:rPr>
            </w:pPr>
            <w:r>
              <w:rPr>
                <w:sz w:val="13"/>
              </w:rPr>
              <w:t>(15.306)</w:t>
            </w:r>
          </w:p>
        </w:tc>
        <w:tc>
          <w:tcPr>
            <w:tcW w:w="988" w:type="dxa"/>
          </w:tcPr>
          <w:p>
            <w:pPr>
              <w:pStyle w:val="TableParagraph"/>
              <w:spacing w:line="143" w:lineRule="exact" w:before="14"/>
              <w:ind w:right="52"/>
              <w:jc w:val="right"/>
              <w:rPr>
                <w:sz w:val="13"/>
              </w:rPr>
            </w:pPr>
            <w:r>
              <w:rPr>
                <w:w w:val="105"/>
                <w:sz w:val="13"/>
              </w:rPr>
              <w:t>631</w:t>
            </w:r>
          </w:p>
        </w:tc>
        <w:tc>
          <w:tcPr>
            <w:tcW w:w="1113" w:type="dxa"/>
          </w:tcPr>
          <w:p>
            <w:pPr>
              <w:pStyle w:val="TableParagraph"/>
              <w:spacing w:line="143" w:lineRule="exact" w:before="14"/>
              <w:ind w:right="52"/>
              <w:jc w:val="right"/>
              <w:rPr>
                <w:sz w:val="13"/>
              </w:rPr>
            </w:pPr>
            <w:r>
              <w:rPr>
                <w:sz w:val="13"/>
              </w:rPr>
              <w:t>(2.107)</w:t>
            </w:r>
          </w:p>
        </w:tc>
        <w:tc>
          <w:tcPr>
            <w:tcW w:w="1189" w:type="dxa"/>
          </w:tcPr>
          <w:p>
            <w:pPr>
              <w:pStyle w:val="TableParagraph"/>
              <w:spacing w:line="143" w:lineRule="exact" w:before="14"/>
              <w:ind w:right="50"/>
              <w:jc w:val="right"/>
              <w:rPr>
                <w:sz w:val="13"/>
              </w:rPr>
            </w:pPr>
            <w:r>
              <w:rPr>
                <w:w w:val="95"/>
                <w:sz w:val="13"/>
              </w:rPr>
              <w:t>12.182</w:t>
            </w:r>
          </w:p>
        </w:tc>
      </w:tr>
      <w:tr>
        <w:trPr>
          <w:trHeight w:val="177" w:hRule="atLeast"/>
        </w:trPr>
        <w:tc>
          <w:tcPr>
            <w:tcW w:w="3351" w:type="dxa"/>
          </w:tcPr>
          <w:p>
            <w:pPr>
              <w:pStyle w:val="TableParagraph"/>
              <w:spacing w:line="143" w:lineRule="exact" w:before="14"/>
              <w:ind w:left="233"/>
              <w:rPr>
                <w:sz w:val="13"/>
              </w:rPr>
            </w:pPr>
            <w:r>
              <w:rPr>
                <w:w w:val="105"/>
                <w:sz w:val="13"/>
              </w:rPr>
              <w:t>Transporte de Energia – Itaipu</w:t>
            </w:r>
          </w:p>
        </w:tc>
        <w:tc>
          <w:tcPr>
            <w:tcW w:w="1142" w:type="dxa"/>
          </w:tcPr>
          <w:p>
            <w:pPr>
              <w:pStyle w:val="TableParagraph"/>
              <w:spacing w:line="143" w:lineRule="exact" w:before="14"/>
              <w:ind w:right="57"/>
              <w:jc w:val="right"/>
              <w:rPr>
                <w:sz w:val="13"/>
              </w:rPr>
            </w:pPr>
            <w:r>
              <w:rPr>
                <w:w w:val="95"/>
                <w:sz w:val="13"/>
              </w:rPr>
              <w:t>7.564</w:t>
            </w:r>
          </w:p>
        </w:tc>
        <w:tc>
          <w:tcPr>
            <w:tcW w:w="1058" w:type="dxa"/>
          </w:tcPr>
          <w:p>
            <w:pPr>
              <w:pStyle w:val="TableParagraph"/>
              <w:spacing w:line="143" w:lineRule="exact" w:before="14"/>
              <w:ind w:right="56"/>
              <w:jc w:val="right"/>
              <w:rPr>
                <w:sz w:val="13"/>
              </w:rPr>
            </w:pPr>
            <w:r>
              <w:rPr>
                <w:w w:val="95"/>
                <w:sz w:val="13"/>
              </w:rPr>
              <w:t>4.029</w:t>
            </w:r>
          </w:p>
        </w:tc>
        <w:tc>
          <w:tcPr>
            <w:tcW w:w="1060" w:type="dxa"/>
          </w:tcPr>
          <w:p>
            <w:pPr>
              <w:pStyle w:val="TableParagraph"/>
              <w:spacing w:line="143" w:lineRule="exact" w:before="14"/>
              <w:ind w:right="54"/>
              <w:jc w:val="right"/>
              <w:rPr>
                <w:sz w:val="13"/>
              </w:rPr>
            </w:pPr>
            <w:r>
              <w:rPr>
                <w:sz w:val="13"/>
              </w:rPr>
              <w:t>(7.425)</w:t>
            </w:r>
          </w:p>
        </w:tc>
        <w:tc>
          <w:tcPr>
            <w:tcW w:w="988" w:type="dxa"/>
          </w:tcPr>
          <w:p>
            <w:pPr>
              <w:pStyle w:val="TableParagraph"/>
              <w:spacing w:line="143" w:lineRule="exact" w:before="14"/>
              <w:ind w:right="52"/>
              <w:jc w:val="right"/>
              <w:rPr>
                <w:sz w:val="13"/>
              </w:rPr>
            </w:pPr>
            <w:r>
              <w:rPr>
                <w:w w:val="105"/>
                <w:sz w:val="13"/>
              </w:rPr>
              <w:t>255</w:t>
            </w:r>
          </w:p>
        </w:tc>
        <w:tc>
          <w:tcPr>
            <w:tcW w:w="1113" w:type="dxa"/>
          </w:tcPr>
          <w:p>
            <w:pPr>
              <w:pStyle w:val="TableParagraph"/>
              <w:rPr>
                <w:rFonts w:ascii="Times New Roman"/>
                <w:sz w:val="10"/>
              </w:rPr>
            </w:pPr>
          </w:p>
        </w:tc>
        <w:tc>
          <w:tcPr>
            <w:tcW w:w="1189" w:type="dxa"/>
          </w:tcPr>
          <w:p>
            <w:pPr>
              <w:pStyle w:val="TableParagraph"/>
              <w:spacing w:line="143" w:lineRule="exact" w:before="14"/>
              <w:ind w:right="49"/>
              <w:jc w:val="right"/>
              <w:rPr>
                <w:sz w:val="13"/>
              </w:rPr>
            </w:pPr>
            <w:r>
              <w:rPr>
                <w:w w:val="95"/>
                <w:sz w:val="13"/>
              </w:rPr>
              <w:t>4.423</w:t>
            </w:r>
          </w:p>
        </w:tc>
      </w:tr>
      <w:tr>
        <w:trPr>
          <w:trHeight w:val="153" w:hRule="atLeast"/>
        </w:trPr>
        <w:tc>
          <w:tcPr>
            <w:tcW w:w="3351" w:type="dxa"/>
          </w:tcPr>
          <w:p>
            <w:pPr>
              <w:pStyle w:val="TableParagraph"/>
              <w:spacing w:line="131" w:lineRule="exact" w:before="2"/>
              <w:ind w:left="233"/>
              <w:rPr>
                <w:sz w:val="13"/>
              </w:rPr>
            </w:pPr>
            <w:r>
              <w:rPr>
                <w:sz w:val="13"/>
              </w:rPr>
              <w:t>Encargo Serviço Sistema - ESS</w:t>
            </w:r>
          </w:p>
        </w:tc>
        <w:tc>
          <w:tcPr>
            <w:tcW w:w="1142" w:type="dxa"/>
          </w:tcPr>
          <w:p>
            <w:pPr>
              <w:pStyle w:val="TableParagraph"/>
              <w:rPr>
                <w:rFonts w:ascii="Times New Roman"/>
                <w:sz w:val="8"/>
              </w:rPr>
            </w:pPr>
          </w:p>
        </w:tc>
        <w:tc>
          <w:tcPr>
            <w:tcW w:w="1058" w:type="dxa"/>
          </w:tcPr>
          <w:p>
            <w:pPr>
              <w:pStyle w:val="TableParagraph"/>
              <w:spacing w:line="131" w:lineRule="exact" w:before="2"/>
              <w:ind w:right="56"/>
              <w:jc w:val="right"/>
              <w:rPr>
                <w:sz w:val="13"/>
              </w:rPr>
            </w:pPr>
            <w:r>
              <w:rPr>
                <w:w w:val="105"/>
                <w:sz w:val="13"/>
              </w:rPr>
              <w:t>605</w:t>
            </w:r>
          </w:p>
        </w:tc>
        <w:tc>
          <w:tcPr>
            <w:tcW w:w="1060" w:type="dxa"/>
          </w:tcPr>
          <w:p>
            <w:pPr>
              <w:pStyle w:val="TableParagraph"/>
              <w:spacing w:line="131" w:lineRule="exact" w:before="2"/>
              <w:ind w:right="54"/>
              <w:jc w:val="right"/>
              <w:rPr>
                <w:sz w:val="13"/>
              </w:rPr>
            </w:pPr>
            <w:r>
              <w:rPr>
                <w:sz w:val="13"/>
              </w:rPr>
              <w:t>(113)</w:t>
            </w:r>
          </w:p>
        </w:tc>
        <w:tc>
          <w:tcPr>
            <w:tcW w:w="988" w:type="dxa"/>
          </w:tcPr>
          <w:p>
            <w:pPr>
              <w:pStyle w:val="TableParagraph"/>
              <w:rPr>
                <w:rFonts w:ascii="Times New Roman"/>
                <w:sz w:val="8"/>
              </w:rPr>
            </w:pPr>
          </w:p>
        </w:tc>
        <w:tc>
          <w:tcPr>
            <w:tcW w:w="1113" w:type="dxa"/>
          </w:tcPr>
          <w:p>
            <w:pPr>
              <w:pStyle w:val="TableParagraph"/>
              <w:rPr>
                <w:rFonts w:ascii="Times New Roman"/>
                <w:sz w:val="8"/>
              </w:rPr>
            </w:pPr>
          </w:p>
        </w:tc>
        <w:tc>
          <w:tcPr>
            <w:tcW w:w="1189" w:type="dxa"/>
          </w:tcPr>
          <w:p>
            <w:pPr>
              <w:pStyle w:val="TableParagraph"/>
              <w:spacing w:line="131" w:lineRule="exact" w:before="2"/>
              <w:ind w:right="49"/>
              <w:jc w:val="right"/>
              <w:rPr>
                <w:sz w:val="13"/>
              </w:rPr>
            </w:pPr>
            <w:r>
              <w:rPr>
                <w:w w:val="105"/>
                <w:sz w:val="13"/>
              </w:rPr>
              <w:t>492</w:t>
            </w:r>
          </w:p>
        </w:tc>
      </w:tr>
      <w:tr>
        <w:trPr>
          <w:trHeight w:val="150" w:hRule="atLeast"/>
        </w:trPr>
        <w:tc>
          <w:tcPr>
            <w:tcW w:w="3351" w:type="dxa"/>
          </w:tcPr>
          <w:p>
            <w:pPr>
              <w:pStyle w:val="TableParagraph"/>
              <w:spacing w:line="131" w:lineRule="exact"/>
              <w:ind w:left="233"/>
              <w:rPr>
                <w:sz w:val="13"/>
              </w:rPr>
            </w:pPr>
            <w:r>
              <w:rPr>
                <w:w w:val="105"/>
                <w:sz w:val="13"/>
              </w:rPr>
              <w:t>Conta de Desenvolvimento Energético – CDE</w:t>
            </w:r>
          </w:p>
        </w:tc>
        <w:tc>
          <w:tcPr>
            <w:tcW w:w="1142" w:type="dxa"/>
          </w:tcPr>
          <w:p>
            <w:pPr>
              <w:pStyle w:val="TableParagraph"/>
              <w:spacing w:line="131" w:lineRule="exact"/>
              <w:ind w:right="57"/>
              <w:jc w:val="right"/>
              <w:rPr>
                <w:sz w:val="13"/>
              </w:rPr>
            </w:pPr>
            <w:r>
              <w:rPr>
                <w:w w:val="95"/>
                <w:sz w:val="13"/>
              </w:rPr>
              <w:t>32.446</w:t>
            </w:r>
          </w:p>
        </w:tc>
        <w:tc>
          <w:tcPr>
            <w:tcW w:w="1058" w:type="dxa"/>
          </w:tcPr>
          <w:p>
            <w:pPr>
              <w:pStyle w:val="TableParagraph"/>
              <w:spacing w:line="131" w:lineRule="exact"/>
              <w:ind w:right="56"/>
              <w:jc w:val="right"/>
              <w:rPr>
                <w:sz w:val="13"/>
              </w:rPr>
            </w:pPr>
            <w:r>
              <w:rPr>
                <w:w w:val="95"/>
                <w:sz w:val="13"/>
              </w:rPr>
              <w:t>3.162</w:t>
            </w:r>
          </w:p>
        </w:tc>
        <w:tc>
          <w:tcPr>
            <w:tcW w:w="1060" w:type="dxa"/>
          </w:tcPr>
          <w:p>
            <w:pPr>
              <w:pStyle w:val="TableParagraph"/>
              <w:spacing w:line="131" w:lineRule="exact"/>
              <w:ind w:right="54"/>
              <w:jc w:val="right"/>
              <w:rPr>
                <w:sz w:val="13"/>
              </w:rPr>
            </w:pPr>
            <w:r>
              <w:rPr>
                <w:sz w:val="13"/>
              </w:rPr>
              <w:t>(21.087)</w:t>
            </w:r>
          </w:p>
        </w:tc>
        <w:tc>
          <w:tcPr>
            <w:tcW w:w="988" w:type="dxa"/>
          </w:tcPr>
          <w:p>
            <w:pPr>
              <w:pStyle w:val="TableParagraph"/>
              <w:spacing w:line="131" w:lineRule="exact"/>
              <w:ind w:right="52"/>
              <w:jc w:val="right"/>
              <w:rPr>
                <w:sz w:val="13"/>
              </w:rPr>
            </w:pPr>
            <w:r>
              <w:rPr>
                <w:w w:val="105"/>
                <w:sz w:val="13"/>
              </w:rPr>
              <w:t>929</w:t>
            </w:r>
          </w:p>
        </w:tc>
        <w:tc>
          <w:tcPr>
            <w:tcW w:w="1113" w:type="dxa"/>
          </w:tcPr>
          <w:p>
            <w:pPr>
              <w:pStyle w:val="TableParagraph"/>
              <w:rPr>
                <w:rFonts w:ascii="Times New Roman"/>
                <w:sz w:val="8"/>
              </w:rPr>
            </w:pPr>
          </w:p>
        </w:tc>
        <w:tc>
          <w:tcPr>
            <w:tcW w:w="1189" w:type="dxa"/>
          </w:tcPr>
          <w:p>
            <w:pPr>
              <w:pStyle w:val="TableParagraph"/>
              <w:spacing w:line="131" w:lineRule="exact"/>
              <w:ind w:right="50"/>
              <w:jc w:val="right"/>
              <w:rPr>
                <w:sz w:val="13"/>
              </w:rPr>
            </w:pPr>
            <w:r>
              <w:rPr>
                <w:w w:val="95"/>
                <w:sz w:val="13"/>
              </w:rPr>
              <w:t>15.450</w:t>
            </w:r>
          </w:p>
        </w:tc>
      </w:tr>
      <w:tr>
        <w:trPr>
          <w:trHeight w:val="167" w:hRule="atLeast"/>
        </w:trPr>
        <w:tc>
          <w:tcPr>
            <w:tcW w:w="3351" w:type="dxa"/>
          </w:tcPr>
          <w:p>
            <w:pPr>
              <w:pStyle w:val="TableParagraph"/>
              <w:spacing w:line="139" w:lineRule="exact" w:before="8"/>
              <w:ind w:left="101"/>
              <w:rPr>
                <w:rFonts w:ascii="Caladea"/>
                <w:b/>
                <w:sz w:val="13"/>
              </w:rPr>
            </w:pPr>
            <w:r>
              <w:rPr>
                <w:rFonts w:ascii="Caladea"/>
                <w:b/>
                <w:sz w:val="13"/>
              </w:rPr>
              <w:t>Demais Ativos Financeiros Setoriais</w:t>
            </w:r>
          </w:p>
        </w:tc>
        <w:tc>
          <w:tcPr>
            <w:tcW w:w="1142" w:type="dxa"/>
          </w:tcPr>
          <w:p>
            <w:pPr>
              <w:pStyle w:val="TableParagraph"/>
              <w:spacing w:line="139" w:lineRule="exact" w:before="8"/>
              <w:ind w:right="57"/>
              <w:jc w:val="right"/>
              <w:rPr>
                <w:rFonts w:ascii="Caladea"/>
                <w:b/>
                <w:sz w:val="13"/>
              </w:rPr>
            </w:pPr>
            <w:r>
              <w:rPr>
                <w:rFonts w:ascii="Caladea"/>
                <w:b/>
                <w:sz w:val="13"/>
              </w:rPr>
              <w:t>349.316</w:t>
            </w:r>
          </w:p>
        </w:tc>
        <w:tc>
          <w:tcPr>
            <w:tcW w:w="1058" w:type="dxa"/>
          </w:tcPr>
          <w:p>
            <w:pPr>
              <w:pStyle w:val="TableParagraph"/>
              <w:spacing w:line="139" w:lineRule="exact" w:before="8"/>
              <w:ind w:right="57"/>
              <w:jc w:val="right"/>
              <w:rPr>
                <w:rFonts w:ascii="Caladea"/>
                <w:b/>
                <w:sz w:val="13"/>
              </w:rPr>
            </w:pPr>
            <w:r>
              <w:rPr>
                <w:rFonts w:ascii="Caladea"/>
                <w:b/>
                <w:sz w:val="13"/>
              </w:rPr>
              <w:t>197.820</w:t>
            </w:r>
          </w:p>
        </w:tc>
        <w:tc>
          <w:tcPr>
            <w:tcW w:w="1060" w:type="dxa"/>
          </w:tcPr>
          <w:p>
            <w:pPr>
              <w:pStyle w:val="TableParagraph"/>
              <w:spacing w:line="139" w:lineRule="exact" w:before="8"/>
              <w:ind w:right="55"/>
              <w:jc w:val="right"/>
              <w:rPr>
                <w:rFonts w:ascii="Caladea"/>
                <w:b/>
                <w:sz w:val="13"/>
              </w:rPr>
            </w:pPr>
            <w:r>
              <w:rPr>
                <w:rFonts w:ascii="Caladea"/>
                <w:b/>
                <w:sz w:val="13"/>
              </w:rPr>
              <w:t>(296.251)</w:t>
            </w:r>
          </w:p>
        </w:tc>
        <w:tc>
          <w:tcPr>
            <w:tcW w:w="988" w:type="dxa"/>
          </w:tcPr>
          <w:p>
            <w:pPr>
              <w:pStyle w:val="TableParagraph"/>
              <w:spacing w:line="139" w:lineRule="exact" w:before="8"/>
              <w:ind w:right="52"/>
              <w:jc w:val="right"/>
              <w:rPr>
                <w:rFonts w:ascii="Caladea"/>
                <w:b/>
                <w:sz w:val="13"/>
              </w:rPr>
            </w:pPr>
            <w:r>
              <w:rPr>
                <w:rFonts w:ascii="Caladea"/>
                <w:b/>
                <w:w w:val="95"/>
                <w:sz w:val="13"/>
              </w:rPr>
              <w:t>593</w:t>
            </w:r>
          </w:p>
        </w:tc>
        <w:tc>
          <w:tcPr>
            <w:tcW w:w="1113" w:type="dxa"/>
          </w:tcPr>
          <w:p>
            <w:pPr>
              <w:pStyle w:val="TableParagraph"/>
              <w:spacing w:line="139" w:lineRule="exact" w:before="8"/>
              <w:ind w:right="53"/>
              <w:jc w:val="right"/>
              <w:rPr>
                <w:rFonts w:ascii="Caladea"/>
                <w:b/>
                <w:sz w:val="13"/>
              </w:rPr>
            </w:pPr>
            <w:r>
              <w:rPr>
                <w:rFonts w:ascii="Caladea"/>
                <w:b/>
                <w:sz w:val="13"/>
              </w:rPr>
              <w:t>(5.280)</w:t>
            </w:r>
          </w:p>
        </w:tc>
        <w:tc>
          <w:tcPr>
            <w:tcW w:w="1189" w:type="dxa"/>
          </w:tcPr>
          <w:p>
            <w:pPr>
              <w:pStyle w:val="TableParagraph"/>
              <w:spacing w:line="139" w:lineRule="exact" w:before="8"/>
              <w:ind w:right="50"/>
              <w:jc w:val="right"/>
              <w:rPr>
                <w:rFonts w:ascii="Caladea"/>
                <w:b/>
                <w:sz w:val="13"/>
              </w:rPr>
            </w:pPr>
            <w:r>
              <w:rPr>
                <w:rFonts w:ascii="Caladea"/>
                <w:b/>
                <w:sz w:val="13"/>
              </w:rPr>
              <w:t>246.198</w:t>
            </w:r>
          </w:p>
        </w:tc>
      </w:tr>
      <w:tr>
        <w:trPr>
          <w:trHeight w:val="177" w:hRule="atLeast"/>
        </w:trPr>
        <w:tc>
          <w:tcPr>
            <w:tcW w:w="3351" w:type="dxa"/>
          </w:tcPr>
          <w:p>
            <w:pPr>
              <w:pStyle w:val="TableParagraph"/>
              <w:spacing w:line="143" w:lineRule="exact" w:before="14"/>
              <w:ind w:left="233"/>
              <w:rPr>
                <w:sz w:val="13"/>
              </w:rPr>
            </w:pPr>
            <w:r>
              <w:rPr>
                <w:sz w:val="13"/>
              </w:rPr>
              <w:t>Neutralidade da Parcela A</w:t>
            </w:r>
          </w:p>
        </w:tc>
        <w:tc>
          <w:tcPr>
            <w:tcW w:w="1142" w:type="dxa"/>
          </w:tcPr>
          <w:p>
            <w:pPr>
              <w:pStyle w:val="TableParagraph"/>
              <w:spacing w:line="143" w:lineRule="exact" w:before="14"/>
              <w:ind w:right="57"/>
              <w:jc w:val="right"/>
              <w:rPr>
                <w:sz w:val="13"/>
              </w:rPr>
            </w:pPr>
            <w:r>
              <w:rPr>
                <w:w w:val="95"/>
                <w:sz w:val="13"/>
              </w:rPr>
              <w:t>33.426</w:t>
            </w:r>
          </w:p>
        </w:tc>
        <w:tc>
          <w:tcPr>
            <w:tcW w:w="1058" w:type="dxa"/>
          </w:tcPr>
          <w:p>
            <w:pPr>
              <w:pStyle w:val="TableParagraph"/>
              <w:spacing w:line="143" w:lineRule="exact" w:before="14"/>
              <w:ind w:right="56"/>
              <w:jc w:val="right"/>
              <w:rPr>
                <w:sz w:val="13"/>
              </w:rPr>
            </w:pPr>
            <w:r>
              <w:rPr>
                <w:w w:val="95"/>
                <w:sz w:val="13"/>
              </w:rPr>
              <w:t>3.274</w:t>
            </w:r>
          </w:p>
        </w:tc>
        <w:tc>
          <w:tcPr>
            <w:tcW w:w="1060" w:type="dxa"/>
          </w:tcPr>
          <w:p>
            <w:pPr>
              <w:pStyle w:val="TableParagraph"/>
              <w:spacing w:line="143" w:lineRule="exact" w:before="14"/>
              <w:ind w:right="54"/>
              <w:jc w:val="right"/>
              <w:rPr>
                <w:sz w:val="13"/>
              </w:rPr>
            </w:pPr>
            <w:r>
              <w:rPr>
                <w:sz w:val="13"/>
              </w:rPr>
              <w:t>(34.036)</w:t>
            </w:r>
          </w:p>
        </w:tc>
        <w:tc>
          <w:tcPr>
            <w:tcW w:w="988" w:type="dxa"/>
          </w:tcPr>
          <w:p>
            <w:pPr>
              <w:pStyle w:val="TableParagraph"/>
              <w:rPr>
                <w:rFonts w:ascii="Times New Roman"/>
                <w:sz w:val="10"/>
              </w:rPr>
            </w:pPr>
          </w:p>
        </w:tc>
        <w:tc>
          <w:tcPr>
            <w:tcW w:w="1113" w:type="dxa"/>
          </w:tcPr>
          <w:p>
            <w:pPr>
              <w:pStyle w:val="TableParagraph"/>
              <w:rPr>
                <w:rFonts w:ascii="Times New Roman"/>
                <w:sz w:val="10"/>
              </w:rPr>
            </w:pPr>
          </w:p>
        </w:tc>
        <w:tc>
          <w:tcPr>
            <w:tcW w:w="1189" w:type="dxa"/>
          </w:tcPr>
          <w:p>
            <w:pPr>
              <w:pStyle w:val="TableParagraph"/>
              <w:spacing w:line="143" w:lineRule="exact" w:before="14"/>
              <w:ind w:right="49"/>
              <w:jc w:val="right"/>
              <w:rPr>
                <w:sz w:val="13"/>
              </w:rPr>
            </w:pPr>
            <w:r>
              <w:rPr>
                <w:w w:val="95"/>
                <w:sz w:val="13"/>
              </w:rPr>
              <w:t>2.664</w:t>
            </w:r>
          </w:p>
        </w:tc>
      </w:tr>
      <w:tr>
        <w:trPr>
          <w:trHeight w:val="177" w:hRule="atLeast"/>
        </w:trPr>
        <w:tc>
          <w:tcPr>
            <w:tcW w:w="3351" w:type="dxa"/>
          </w:tcPr>
          <w:p>
            <w:pPr>
              <w:pStyle w:val="TableParagraph"/>
              <w:spacing w:line="143" w:lineRule="exact" w:before="14"/>
              <w:ind w:left="233"/>
              <w:rPr>
                <w:sz w:val="13"/>
              </w:rPr>
            </w:pPr>
            <w:r>
              <w:rPr>
                <w:sz w:val="13"/>
              </w:rPr>
              <w:t>Sobrecontratação de Energia</w:t>
            </w:r>
          </w:p>
        </w:tc>
        <w:tc>
          <w:tcPr>
            <w:tcW w:w="1142" w:type="dxa"/>
          </w:tcPr>
          <w:p>
            <w:pPr>
              <w:pStyle w:val="TableParagraph"/>
              <w:spacing w:line="143" w:lineRule="exact" w:before="14"/>
              <w:ind w:right="57"/>
              <w:jc w:val="right"/>
              <w:rPr>
                <w:sz w:val="13"/>
              </w:rPr>
            </w:pPr>
            <w:r>
              <w:rPr>
                <w:sz w:val="13"/>
              </w:rPr>
              <w:t>165.990</w:t>
            </w:r>
          </w:p>
        </w:tc>
        <w:tc>
          <w:tcPr>
            <w:tcW w:w="1058" w:type="dxa"/>
          </w:tcPr>
          <w:p>
            <w:pPr>
              <w:pStyle w:val="TableParagraph"/>
              <w:spacing w:line="143" w:lineRule="exact" w:before="14"/>
              <w:ind w:right="57"/>
              <w:jc w:val="right"/>
              <w:rPr>
                <w:sz w:val="13"/>
              </w:rPr>
            </w:pPr>
            <w:r>
              <w:rPr>
                <w:w w:val="95"/>
                <w:sz w:val="13"/>
              </w:rPr>
              <w:t>42.088</w:t>
            </w:r>
          </w:p>
        </w:tc>
        <w:tc>
          <w:tcPr>
            <w:tcW w:w="1060" w:type="dxa"/>
          </w:tcPr>
          <w:p>
            <w:pPr>
              <w:pStyle w:val="TableParagraph"/>
              <w:spacing w:line="143" w:lineRule="exact" w:before="14"/>
              <w:ind w:right="54"/>
              <w:jc w:val="right"/>
              <w:rPr>
                <w:sz w:val="13"/>
              </w:rPr>
            </w:pPr>
            <w:r>
              <w:rPr>
                <w:sz w:val="13"/>
              </w:rPr>
              <w:t>(151.813)</w:t>
            </w:r>
          </w:p>
        </w:tc>
        <w:tc>
          <w:tcPr>
            <w:tcW w:w="988" w:type="dxa"/>
          </w:tcPr>
          <w:p>
            <w:pPr>
              <w:pStyle w:val="TableParagraph"/>
              <w:spacing w:line="143" w:lineRule="exact" w:before="14"/>
              <w:ind w:right="52"/>
              <w:jc w:val="right"/>
              <w:rPr>
                <w:sz w:val="13"/>
              </w:rPr>
            </w:pPr>
            <w:r>
              <w:rPr>
                <w:w w:val="105"/>
                <w:sz w:val="13"/>
              </w:rPr>
              <w:t>490</w:t>
            </w:r>
          </w:p>
        </w:tc>
        <w:tc>
          <w:tcPr>
            <w:tcW w:w="1113" w:type="dxa"/>
          </w:tcPr>
          <w:p>
            <w:pPr>
              <w:pStyle w:val="TableParagraph"/>
              <w:spacing w:line="143" w:lineRule="exact" w:before="14"/>
              <w:ind w:right="52"/>
              <w:jc w:val="right"/>
              <w:rPr>
                <w:sz w:val="13"/>
              </w:rPr>
            </w:pPr>
            <w:r>
              <w:rPr>
                <w:sz w:val="13"/>
              </w:rPr>
              <w:t>(5.280)</w:t>
            </w:r>
          </w:p>
        </w:tc>
        <w:tc>
          <w:tcPr>
            <w:tcW w:w="1189" w:type="dxa"/>
          </w:tcPr>
          <w:p>
            <w:pPr>
              <w:pStyle w:val="TableParagraph"/>
              <w:spacing w:line="143" w:lineRule="exact" w:before="14"/>
              <w:ind w:right="50"/>
              <w:jc w:val="right"/>
              <w:rPr>
                <w:sz w:val="13"/>
              </w:rPr>
            </w:pPr>
            <w:r>
              <w:rPr>
                <w:w w:val="95"/>
                <w:sz w:val="13"/>
              </w:rPr>
              <w:t>51.475</w:t>
            </w:r>
          </w:p>
        </w:tc>
      </w:tr>
      <w:tr>
        <w:trPr>
          <w:trHeight w:val="177" w:hRule="atLeast"/>
        </w:trPr>
        <w:tc>
          <w:tcPr>
            <w:tcW w:w="3351" w:type="dxa"/>
          </w:tcPr>
          <w:p>
            <w:pPr>
              <w:pStyle w:val="TableParagraph"/>
              <w:spacing w:line="143" w:lineRule="exact" w:before="14"/>
              <w:ind w:left="233"/>
              <w:rPr>
                <w:sz w:val="13"/>
              </w:rPr>
            </w:pPr>
            <w:r>
              <w:rPr>
                <w:sz w:val="13"/>
              </w:rPr>
              <w:t>Angra</w:t>
            </w:r>
          </w:p>
        </w:tc>
        <w:tc>
          <w:tcPr>
            <w:tcW w:w="1142" w:type="dxa"/>
          </w:tcPr>
          <w:p>
            <w:pPr>
              <w:pStyle w:val="TableParagraph"/>
              <w:spacing w:line="143" w:lineRule="exact" w:before="14"/>
              <w:ind w:right="57"/>
              <w:jc w:val="right"/>
              <w:rPr>
                <w:sz w:val="13"/>
              </w:rPr>
            </w:pPr>
            <w:r>
              <w:rPr>
                <w:w w:val="95"/>
                <w:sz w:val="13"/>
              </w:rPr>
              <w:t>3.591</w:t>
            </w:r>
          </w:p>
        </w:tc>
        <w:tc>
          <w:tcPr>
            <w:tcW w:w="1058" w:type="dxa"/>
          </w:tcPr>
          <w:p>
            <w:pPr>
              <w:pStyle w:val="TableParagraph"/>
              <w:rPr>
                <w:rFonts w:ascii="Times New Roman"/>
                <w:sz w:val="10"/>
              </w:rPr>
            </w:pPr>
          </w:p>
        </w:tc>
        <w:tc>
          <w:tcPr>
            <w:tcW w:w="1060" w:type="dxa"/>
          </w:tcPr>
          <w:p>
            <w:pPr>
              <w:pStyle w:val="TableParagraph"/>
              <w:spacing w:line="143" w:lineRule="exact" w:before="14"/>
              <w:ind w:right="54"/>
              <w:jc w:val="right"/>
              <w:rPr>
                <w:sz w:val="13"/>
              </w:rPr>
            </w:pPr>
            <w:r>
              <w:rPr>
                <w:sz w:val="13"/>
              </w:rPr>
              <w:t>(3.591)</w:t>
            </w:r>
          </w:p>
        </w:tc>
        <w:tc>
          <w:tcPr>
            <w:tcW w:w="988" w:type="dxa"/>
          </w:tcPr>
          <w:p>
            <w:pPr>
              <w:pStyle w:val="TableParagraph"/>
              <w:rPr>
                <w:rFonts w:ascii="Times New Roman"/>
                <w:sz w:val="10"/>
              </w:rPr>
            </w:pPr>
          </w:p>
        </w:tc>
        <w:tc>
          <w:tcPr>
            <w:tcW w:w="1113" w:type="dxa"/>
          </w:tcPr>
          <w:p>
            <w:pPr>
              <w:pStyle w:val="TableParagraph"/>
              <w:rPr>
                <w:rFonts w:ascii="Times New Roman"/>
                <w:sz w:val="10"/>
              </w:rPr>
            </w:pPr>
          </w:p>
        </w:tc>
        <w:tc>
          <w:tcPr>
            <w:tcW w:w="1189" w:type="dxa"/>
          </w:tcPr>
          <w:p>
            <w:pPr>
              <w:pStyle w:val="TableParagraph"/>
              <w:rPr>
                <w:rFonts w:ascii="Times New Roman"/>
                <w:sz w:val="10"/>
              </w:rPr>
            </w:pPr>
          </w:p>
        </w:tc>
      </w:tr>
      <w:tr>
        <w:trPr>
          <w:trHeight w:val="177" w:hRule="atLeast"/>
        </w:trPr>
        <w:tc>
          <w:tcPr>
            <w:tcW w:w="3351" w:type="dxa"/>
          </w:tcPr>
          <w:p>
            <w:pPr>
              <w:pStyle w:val="TableParagraph"/>
              <w:spacing w:line="143" w:lineRule="exact" w:before="14"/>
              <w:ind w:left="233"/>
              <w:rPr>
                <w:sz w:val="13"/>
              </w:rPr>
            </w:pPr>
            <w:r>
              <w:rPr>
                <w:sz w:val="13"/>
              </w:rPr>
              <w:t>Risco Hidrológico</w:t>
            </w:r>
          </w:p>
        </w:tc>
        <w:tc>
          <w:tcPr>
            <w:tcW w:w="1142" w:type="dxa"/>
          </w:tcPr>
          <w:p>
            <w:pPr>
              <w:pStyle w:val="TableParagraph"/>
              <w:spacing w:line="143" w:lineRule="exact" w:before="14"/>
              <w:ind w:right="56"/>
              <w:jc w:val="right"/>
              <w:rPr>
                <w:sz w:val="13"/>
              </w:rPr>
            </w:pPr>
            <w:r>
              <w:rPr>
                <w:w w:val="95"/>
                <w:sz w:val="13"/>
              </w:rPr>
              <w:t>74.780</w:t>
            </w:r>
          </w:p>
        </w:tc>
        <w:tc>
          <w:tcPr>
            <w:tcW w:w="1058" w:type="dxa"/>
          </w:tcPr>
          <w:p>
            <w:pPr>
              <w:pStyle w:val="TableParagraph"/>
              <w:spacing w:line="143" w:lineRule="exact" w:before="14"/>
              <w:ind w:right="57"/>
              <w:jc w:val="right"/>
              <w:rPr>
                <w:sz w:val="13"/>
              </w:rPr>
            </w:pPr>
            <w:r>
              <w:rPr>
                <w:sz w:val="13"/>
              </w:rPr>
              <w:t>144.040</w:t>
            </w:r>
          </w:p>
        </w:tc>
        <w:tc>
          <w:tcPr>
            <w:tcW w:w="1060" w:type="dxa"/>
          </w:tcPr>
          <w:p>
            <w:pPr>
              <w:pStyle w:val="TableParagraph"/>
              <w:spacing w:line="143" w:lineRule="exact" w:before="14"/>
              <w:ind w:right="54"/>
              <w:jc w:val="right"/>
              <w:rPr>
                <w:sz w:val="13"/>
              </w:rPr>
            </w:pPr>
            <w:r>
              <w:rPr>
                <w:sz w:val="13"/>
              </w:rPr>
              <w:t>(101.630)</w:t>
            </w:r>
          </w:p>
        </w:tc>
        <w:tc>
          <w:tcPr>
            <w:tcW w:w="988" w:type="dxa"/>
          </w:tcPr>
          <w:p>
            <w:pPr>
              <w:pStyle w:val="TableParagraph"/>
              <w:rPr>
                <w:rFonts w:ascii="Times New Roman"/>
                <w:sz w:val="10"/>
              </w:rPr>
            </w:pPr>
          </w:p>
        </w:tc>
        <w:tc>
          <w:tcPr>
            <w:tcW w:w="1113" w:type="dxa"/>
          </w:tcPr>
          <w:p>
            <w:pPr>
              <w:pStyle w:val="TableParagraph"/>
              <w:rPr>
                <w:rFonts w:ascii="Times New Roman"/>
                <w:sz w:val="10"/>
              </w:rPr>
            </w:pPr>
          </w:p>
        </w:tc>
        <w:tc>
          <w:tcPr>
            <w:tcW w:w="1189" w:type="dxa"/>
          </w:tcPr>
          <w:p>
            <w:pPr>
              <w:pStyle w:val="TableParagraph"/>
              <w:spacing w:line="143" w:lineRule="exact" w:before="14"/>
              <w:ind w:right="50"/>
              <w:jc w:val="right"/>
              <w:rPr>
                <w:sz w:val="13"/>
              </w:rPr>
            </w:pPr>
            <w:r>
              <w:rPr>
                <w:sz w:val="13"/>
              </w:rPr>
              <w:t>117.190</w:t>
            </w:r>
          </w:p>
        </w:tc>
      </w:tr>
      <w:tr>
        <w:trPr>
          <w:trHeight w:val="177" w:hRule="atLeast"/>
        </w:trPr>
        <w:tc>
          <w:tcPr>
            <w:tcW w:w="3351" w:type="dxa"/>
          </w:tcPr>
          <w:p>
            <w:pPr>
              <w:pStyle w:val="TableParagraph"/>
              <w:spacing w:line="145" w:lineRule="exact" w:before="12"/>
              <w:ind w:left="233"/>
              <w:rPr>
                <w:sz w:val="13"/>
              </w:rPr>
            </w:pPr>
            <w:r>
              <w:rPr>
                <w:sz w:val="13"/>
              </w:rPr>
              <w:t>Competência</w:t>
            </w:r>
          </w:p>
        </w:tc>
        <w:tc>
          <w:tcPr>
            <w:tcW w:w="1142" w:type="dxa"/>
          </w:tcPr>
          <w:p>
            <w:pPr>
              <w:pStyle w:val="TableParagraph"/>
              <w:spacing w:line="145" w:lineRule="exact" w:before="12"/>
              <w:ind w:right="57"/>
              <w:jc w:val="right"/>
              <w:rPr>
                <w:sz w:val="13"/>
              </w:rPr>
            </w:pPr>
            <w:r>
              <w:rPr>
                <w:w w:val="95"/>
                <w:sz w:val="13"/>
              </w:rPr>
              <w:t>70.859</w:t>
            </w:r>
          </w:p>
        </w:tc>
        <w:tc>
          <w:tcPr>
            <w:tcW w:w="1058" w:type="dxa"/>
          </w:tcPr>
          <w:p>
            <w:pPr>
              <w:pStyle w:val="TableParagraph"/>
              <w:spacing w:line="145" w:lineRule="exact" w:before="12"/>
              <w:ind w:right="55"/>
              <w:jc w:val="right"/>
              <w:rPr>
                <w:sz w:val="13"/>
              </w:rPr>
            </w:pPr>
            <w:r>
              <w:rPr>
                <w:sz w:val="13"/>
              </w:rPr>
              <w:t>(15.683)</w:t>
            </w:r>
          </w:p>
        </w:tc>
        <w:tc>
          <w:tcPr>
            <w:tcW w:w="1060" w:type="dxa"/>
          </w:tcPr>
          <w:p>
            <w:pPr>
              <w:pStyle w:val="TableParagraph"/>
              <w:rPr>
                <w:rFonts w:ascii="Times New Roman"/>
                <w:sz w:val="10"/>
              </w:rPr>
            </w:pPr>
          </w:p>
        </w:tc>
        <w:tc>
          <w:tcPr>
            <w:tcW w:w="988" w:type="dxa"/>
          </w:tcPr>
          <w:p>
            <w:pPr>
              <w:pStyle w:val="TableParagraph"/>
              <w:rPr>
                <w:rFonts w:ascii="Times New Roman"/>
                <w:sz w:val="10"/>
              </w:rPr>
            </w:pPr>
          </w:p>
        </w:tc>
        <w:tc>
          <w:tcPr>
            <w:tcW w:w="1113" w:type="dxa"/>
          </w:tcPr>
          <w:p>
            <w:pPr>
              <w:pStyle w:val="TableParagraph"/>
              <w:rPr>
                <w:rFonts w:ascii="Times New Roman"/>
                <w:sz w:val="10"/>
              </w:rPr>
            </w:pPr>
          </w:p>
        </w:tc>
        <w:tc>
          <w:tcPr>
            <w:tcW w:w="1189" w:type="dxa"/>
          </w:tcPr>
          <w:p>
            <w:pPr>
              <w:pStyle w:val="TableParagraph"/>
              <w:spacing w:line="145" w:lineRule="exact" w:before="12"/>
              <w:ind w:right="50"/>
              <w:jc w:val="right"/>
              <w:rPr>
                <w:sz w:val="13"/>
              </w:rPr>
            </w:pPr>
            <w:r>
              <w:rPr>
                <w:w w:val="95"/>
                <w:sz w:val="13"/>
              </w:rPr>
              <w:t>55.176</w:t>
            </w:r>
          </w:p>
        </w:tc>
      </w:tr>
      <w:tr>
        <w:trPr>
          <w:trHeight w:val="177" w:hRule="atLeast"/>
        </w:trPr>
        <w:tc>
          <w:tcPr>
            <w:tcW w:w="3351" w:type="dxa"/>
          </w:tcPr>
          <w:p>
            <w:pPr>
              <w:pStyle w:val="TableParagraph"/>
              <w:spacing w:line="145" w:lineRule="exact" w:before="12"/>
              <w:ind w:left="233"/>
              <w:rPr>
                <w:sz w:val="13"/>
              </w:rPr>
            </w:pPr>
            <w:r>
              <w:rPr>
                <w:sz w:val="13"/>
              </w:rPr>
              <w:t>Acordo Bilateral</w:t>
            </w:r>
          </w:p>
        </w:tc>
        <w:tc>
          <w:tcPr>
            <w:tcW w:w="1142" w:type="dxa"/>
          </w:tcPr>
          <w:p>
            <w:pPr>
              <w:pStyle w:val="TableParagraph"/>
              <w:rPr>
                <w:rFonts w:ascii="Times New Roman"/>
                <w:sz w:val="10"/>
              </w:rPr>
            </w:pPr>
          </w:p>
        </w:tc>
        <w:tc>
          <w:tcPr>
            <w:tcW w:w="1058" w:type="dxa"/>
          </w:tcPr>
          <w:p>
            <w:pPr>
              <w:pStyle w:val="TableParagraph"/>
              <w:spacing w:line="145" w:lineRule="exact" w:before="12"/>
              <w:ind w:right="57"/>
              <w:jc w:val="right"/>
              <w:rPr>
                <w:sz w:val="13"/>
              </w:rPr>
            </w:pPr>
            <w:r>
              <w:rPr>
                <w:w w:val="95"/>
                <w:sz w:val="13"/>
              </w:rPr>
              <w:t>23.898</w:t>
            </w:r>
          </w:p>
        </w:tc>
        <w:tc>
          <w:tcPr>
            <w:tcW w:w="1060" w:type="dxa"/>
          </w:tcPr>
          <w:p>
            <w:pPr>
              <w:pStyle w:val="TableParagraph"/>
              <w:spacing w:line="145" w:lineRule="exact" w:before="12"/>
              <w:ind w:right="54"/>
              <w:jc w:val="right"/>
              <w:rPr>
                <w:sz w:val="13"/>
              </w:rPr>
            </w:pPr>
            <w:r>
              <w:rPr>
                <w:sz w:val="13"/>
              </w:rPr>
              <w:t>(4.474)</w:t>
            </w:r>
          </w:p>
        </w:tc>
        <w:tc>
          <w:tcPr>
            <w:tcW w:w="988" w:type="dxa"/>
          </w:tcPr>
          <w:p>
            <w:pPr>
              <w:pStyle w:val="TableParagraph"/>
              <w:spacing w:line="145" w:lineRule="exact" w:before="12"/>
              <w:ind w:right="52"/>
              <w:jc w:val="right"/>
              <w:rPr>
                <w:sz w:val="13"/>
              </w:rPr>
            </w:pPr>
            <w:r>
              <w:rPr>
                <w:w w:val="105"/>
                <w:sz w:val="13"/>
              </w:rPr>
              <w:t>103</w:t>
            </w:r>
          </w:p>
        </w:tc>
        <w:tc>
          <w:tcPr>
            <w:tcW w:w="1113" w:type="dxa"/>
          </w:tcPr>
          <w:p>
            <w:pPr>
              <w:pStyle w:val="TableParagraph"/>
              <w:rPr>
                <w:rFonts w:ascii="Times New Roman"/>
                <w:sz w:val="10"/>
              </w:rPr>
            </w:pPr>
          </w:p>
        </w:tc>
        <w:tc>
          <w:tcPr>
            <w:tcW w:w="1189" w:type="dxa"/>
          </w:tcPr>
          <w:p>
            <w:pPr>
              <w:pStyle w:val="TableParagraph"/>
              <w:spacing w:line="145" w:lineRule="exact" w:before="12"/>
              <w:ind w:right="50"/>
              <w:jc w:val="right"/>
              <w:rPr>
                <w:sz w:val="13"/>
              </w:rPr>
            </w:pPr>
            <w:r>
              <w:rPr>
                <w:w w:val="95"/>
                <w:sz w:val="13"/>
              </w:rPr>
              <w:t>19.527</w:t>
            </w:r>
          </w:p>
        </w:tc>
      </w:tr>
      <w:tr>
        <w:trPr>
          <w:trHeight w:val="174" w:hRule="atLeast"/>
        </w:trPr>
        <w:tc>
          <w:tcPr>
            <w:tcW w:w="3351" w:type="dxa"/>
          </w:tcPr>
          <w:p>
            <w:pPr>
              <w:pStyle w:val="TableParagraph"/>
              <w:spacing w:line="143" w:lineRule="exact" w:before="12"/>
              <w:ind w:left="233"/>
              <w:rPr>
                <w:sz w:val="13"/>
              </w:rPr>
            </w:pPr>
            <w:r>
              <w:rPr>
                <w:sz w:val="13"/>
              </w:rPr>
              <w:t>Outros</w:t>
            </w:r>
          </w:p>
        </w:tc>
        <w:tc>
          <w:tcPr>
            <w:tcW w:w="1142" w:type="dxa"/>
          </w:tcPr>
          <w:p>
            <w:pPr>
              <w:pStyle w:val="TableParagraph"/>
              <w:spacing w:line="143" w:lineRule="exact" w:before="12"/>
              <w:ind w:right="58"/>
              <w:jc w:val="right"/>
              <w:rPr>
                <w:sz w:val="13"/>
              </w:rPr>
            </w:pPr>
            <w:r>
              <w:rPr>
                <w:w w:val="105"/>
                <w:sz w:val="13"/>
              </w:rPr>
              <w:t>671</w:t>
            </w:r>
          </w:p>
        </w:tc>
        <w:tc>
          <w:tcPr>
            <w:tcW w:w="1058" w:type="dxa"/>
          </w:tcPr>
          <w:p>
            <w:pPr>
              <w:pStyle w:val="TableParagraph"/>
              <w:spacing w:line="143" w:lineRule="exact" w:before="12"/>
              <w:ind w:right="56"/>
              <w:jc w:val="right"/>
              <w:rPr>
                <w:sz w:val="13"/>
              </w:rPr>
            </w:pPr>
            <w:r>
              <w:rPr>
                <w:w w:val="105"/>
                <w:sz w:val="13"/>
              </w:rPr>
              <w:t>203</w:t>
            </w:r>
          </w:p>
        </w:tc>
        <w:tc>
          <w:tcPr>
            <w:tcW w:w="1060" w:type="dxa"/>
          </w:tcPr>
          <w:p>
            <w:pPr>
              <w:pStyle w:val="TableParagraph"/>
              <w:spacing w:line="143" w:lineRule="exact" w:before="12"/>
              <w:ind w:right="54"/>
              <w:jc w:val="right"/>
              <w:rPr>
                <w:sz w:val="13"/>
              </w:rPr>
            </w:pPr>
            <w:r>
              <w:rPr>
                <w:sz w:val="13"/>
              </w:rPr>
              <w:t>(707)</w:t>
            </w:r>
          </w:p>
        </w:tc>
        <w:tc>
          <w:tcPr>
            <w:tcW w:w="988" w:type="dxa"/>
          </w:tcPr>
          <w:p>
            <w:pPr>
              <w:pStyle w:val="TableParagraph"/>
              <w:rPr>
                <w:rFonts w:ascii="Times New Roman"/>
                <w:sz w:val="10"/>
              </w:rPr>
            </w:pPr>
          </w:p>
        </w:tc>
        <w:tc>
          <w:tcPr>
            <w:tcW w:w="1113" w:type="dxa"/>
          </w:tcPr>
          <w:p>
            <w:pPr>
              <w:pStyle w:val="TableParagraph"/>
              <w:rPr>
                <w:rFonts w:ascii="Times New Roman"/>
                <w:sz w:val="10"/>
              </w:rPr>
            </w:pPr>
          </w:p>
        </w:tc>
        <w:tc>
          <w:tcPr>
            <w:tcW w:w="1189" w:type="dxa"/>
          </w:tcPr>
          <w:p>
            <w:pPr>
              <w:pStyle w:val="TableParagraph"/>
              <w:spacing w:line="143" w:lineRule="exact" w:before="12"/>
              <w:ind w:right="49"/>
              <w:jc w:val="right"/>
              <w:rPr>
                <w:sz w:val="13"/>
              </w:rPr>
            </w:pPr>
            <w:r>
              <w:rPr>
                <w:w w:val="105"/>
                <w:sz w:val="13"/>
              </w:rPr>
              <w:t>166</w:t>
            </w:r>
          </w:p>
        </w:tc>
      </w:tr>
      <w:tr>
        <w:trPr>
          <w:trHeight w:val="153" w:hRule="atLeast"/>
        </w:trPr>
        <w:tc>
          <w:tcPr>
            <w:tcW w:w="3351" w:type="dxa"/>
          </w:tcPr>
          <w:p>
            <w:pPr>
              <w:pStyle w:val="TableParagraph"/>
              <w:spacing w:line="132" w:lineRule="exact" w:before="1"/>
              <w:ind w:left="101"/>
              <w:rPr>
                <w:rFonts w:ascii="Caladea"/>
                <w:b/>
                <w:sz w:val="13"/>
              </w:rPr>
            </w:pPr>
            <w:r>
              <w:rPr>
                <w:rFonts w:ascii="Caladea"/>
                <w:b/>
                <w:sz w:val="13"/>
              </w:rPr>
              <w:t>Total Ativos Financeiros Setoriais</w:t>
            </w:r>
          </w:p>
        </w:tc>
        <w:tc>
          <w:tcPr>
            <w:tcW w:w="1142" w:type="dxa"/>
          </w:tcPr>
          <w:p>
            <w:pPr>
              <w:pStyle w:val="TableParagraph"/>
              <w:spacing w:line="132" w:lineRule="exact" w:before="1"/>
              <w:ind w:right="57"/>
              <w:jc w:val="right"/>
              <w:rPr>
                <w:rFonts w:ascii="Caladea"/>
                <w:b/>
                <w:sz w:val="13"/>
              </w:rPr>
            </w:pPr>
            <w:r>
              <w:rPr>
                <w:rFonts w:ascii="Caladea"/>
                <w:b/>
                <w:sz w:val="13"/>
              </w:rPr>
              <w:t>862.704</w:t>
            </w:r>
          </w:p>
        </w:tc>
        <w:tc>
          <w:tcPr>
            <w:tcW w:w="1058" w:type="dxa"/>
          </w:tcPr>
          <w:p>
            <w:pPr>
              <w:pStyle w:val="TableParagraph"/>
              <w:spacing w:line="132" w:lineRule="exact" w:before="1"/>
              <w:ind w:right="57"/>
              <w:jc w:val="right"/>
              <w:rPr>
                <w:rFonts w:ascii="Caladea"/>
                <w:b/>
                <w:sz w:val="13"/>
              </w:rPr>
            </w:pPr>
            <w:r>
              <w:rPr>
                <w:rFonts w:ascii="Caladea"/>
                <w:b/>
                <w:sz w:val="13"/>
              </w:rPr>
              <w:t>353.925</w:t>
            </w:r>
          </w:p>
        </w:tc>
        <w:tc>
          <w:tcPr>
            <w:tcW w:w="1060" w:type="dxa"/>
          </w:tcPr>
          <w:p>
            <w:pPr>
              <w:pStyle w:val="TableParagraph"/>
              <w:spacing w:line="132" w:lineRule="exact" w:before="1"/>
              <w:ind w:right="55"/>
              <w:jc w:val="right"/>
              <w:rPr>
                <w:rFonts w:ascii="Caladea"/>
                <w:b/>
                <w:sz w:val="13"/>
              </w:rPr>
            </w:pPr>
            <w:r>
              <w:rPr>
                <w:rFonts w:ascii="Caladea"/>
                <w:b/>
                <w:sz w:val="13"/>
              </w:rPr>
              <w:t>(720.292)</w:t>
            </w:r>
          </w:p>
        </w:tc>
        <w:tc>
          <w:tcPr>
            <w:tcW w:w="988" w:type="dxa"/>
          </w:tcPr>
          <w:p>
            <w:pPr>
              <w:pStyle w:val="TableParagraph"/>
              <w:spacing w:line="132" w:lineRule="exact" w:before="1"/>
              <w:ind w:right="52"/>
              <w:jc w:val="right"/>
              <w:rPr>
                <w:rFonts w:ascii="Caladea"/>
                <w:b/>
                <w:sz w:val="13"/>
              </w:rPr>
            </w:pPr>
            <w:r>
              <w:rPr>
                <w:rFonts w:ascii="Caladea"/>
                <w:b/>
                <w:sz w:val="13"/>
              </w:rPr>
              <w:t>14.211</w:t>
            </w:r>
          </w:p>
        </w:tc>
        <w:tc>
          <w:tcPr>
            <w:tcW w:w="1113" w:type="dxa"/>
          </w:tcPr>
          <w:p>
            <w:pPr>
              <w:pStyle w:val="TableParagraph"/>
              <w:spacing w:line="132" w:lineRule="exact" w:before="1"/>
              <w:ind w:right="53"/>
              <w:jc w:val="right"/>
              <w:rPr>
                <w:rFonts w:ascii="Caladea"/>
                <w:b/>
                <w:sz w:val="13"/>
              </w:rPr>
            </w:pPr>
            <w:r>
              <w:rPr>
                <w:rFonts w:ascii="Caladea"/>
                <w:b/>
                <w:sz w:val="13"/>
              </w:rPr>
              <w:t>(7.387)</w:t>
            </w:r>
          </w:p>
        </w:tc>
        <w:tc>
          <w:tcPr>
            <w:tcW w:w="1189" w:type="dxa"/>
          </w:tcPr>
          <w:p>
            <w:pPr>
              <w:pStyle w:val="TableParagraph"/>
              <w:spacing w:line="132" w:lineRule="exact" w:before="1"/>
              <w:ind w:right="50"/>
              <w:jc w:val="right"/>
              <w:rPr>
                <w:rFonts w:ascii="Caladea"/>
                <w:b/>
                <w:sz w:val="13"/>
              </w:rPr>
            </w:pPr>
            <w:r>
              <w:rPr>
                <w:rFonts w:ascii="Caladea"/>
                <w:b/>
                <w:sz w:val="13"/>
              </w:rPr>
              <w:t>503.161</w:t>
            </w:r>
          </w:p>
        </w:tc>
      </w:tr>
      <w:tr>
        <w:trPr>
          <w:trHeight w:val="153" w:hRule="atLeast"/>
        </w:trPr>
        <w:tc>
          <w:tcPr>
            <w:tcW w:w="3351" w:type="dxa"/>
          </w:tcPr>
          <w:p>
            <w:pPr>
              <w:pStyle w:val="TableParagraph"/>
              <w:spacing w:line="132" w:lineRule="exact" w:before="1"/>
              <w:ind w:left="72"/>
              <w:rPr>
                <w:rFonts w:ascii="Caladea"/>
                <w:b/>
                <w:sz w:val="13"/>
              </w:rPr>
            </w:pPr>
            <w:r>
              <w:rPr>
                <w:rFonts w:ascii="Caladea"/>
                <w:b/>
                <w:sz w:val="13"/>
              </w:rPr>
              <w:t>Circulante</w:t>
            </w:r>
          </w:p>
        </w:tc>
        <w:tc>
          <w:tcPr>
            <w:tcW w:w="1142" w:type="dxa"/>
          </w:tcPr>
          <w:p>
            <w:pPr>
              <w:pStyle w:val="TableParagraph"/>
              <w:spacing w:line="132" w:lineRule="exact" w:before="1"/>
              <w:ind w:right="57"/>
              <w:jc w:val="right"/>
              <w:rPr>
                <w:rFonts w:ascii="Caladea"/>
                <w:b/>
                <w:sz w:val="13"/>
              </w:rPr>
            </w:pPr>
            <w:r>
              <w:rPr>
                <w:rFonts w:ascii="Caladea"/>
                <w:b/>
                <w:sz w:val="13"/>
              </w:rPr>
              <w:t>862.704</w:t>
            </w:r>
          </w:p>
        </w:tc>
        <w:tc>
          <w:tcPr>
            <w:tcW w:w="1058" w:type="dxa"/>
          </w:tcPr>
          <w:p>
            <w:pPr>
              <w:pStyle w:val="TableParagraph"/>
              <w:spacing w:line="132" w:lineRule="exact" w:before="1"/>
              <w:ind w:right="57"/>
              <w:jc w:val="right"/>
              <w:rPr>
                <w:rFonts w:ascii="Caladea"/>
                <w:b/>
                <w:sz w:val="13"/>
              </w:rPr>
            </w:pPr>
            <w:r>
              <w:rPr>
                <w:rFonts w:ascii="Caladea"/>
                <w:b/>
                <w:sz w:val="13"/>
              </w:rPr>
              <w:t>353.925</w:t>
            </w:r>
          </w:p>
        </w:tc>
        <w:tc>
          <w:tcPr>
            <w:tcW w:w="1060" w:type="dxa"/>
          </w:tcPr>
          <w:p>
            <w:pPr>
              <w:pStyle w:val="TableParagraph"/>
              <w:spacing w:line="132" w:lineRule="exact" w:before="1"/>
              <w:ind w:right="55"/>
              <w:jc w:val="right"/>
              <w:rPr>
                <w:rFonts w:ascii="Caladea"/>
                <w:b/>
                <w:sz w:val="13"/>
              </w:rPr>
            </w:pPr>
            <w:r>
              <w:rPr>
                <w:rFonts w:ascii="Caladea"/>
                <w:b/>
                <w:sz w:val="13"/>
              </w:rPr>
              <w:t>(720.292)</w:t>
            </w:r>
          </w:p>
        </w:tc>
        <w:tc>
          <w:tcPr>
            <w:tcW w:w="988" w:type="dxa"/>
          </w:tcPr>
          <w:p>
            <w:pPr>
              <w:pStyle w:val="TableParagraph"/>
              <w:spacing w:line="132" w:lineRule="exact" w:before="1"/>
              <w:ind w:right="52"/>
              <w:jc w:val="right"/>
              <w:rPr>
                <w:rFonts w:ascii="Caladea"/>
                <w:b/>
                <w:sz w:val="13"/>
              </w:rPr>
            </w:pPr>
            <w:r>
              <w:rPr>
                <w:rFonts w:ascii="Caladea"/>
                <w:b/>
                <w:sz w:val="13"/>
              </w:rPr>
              <w:t>14.211</w:t>
            </w:r>
          </w:p>
        </w:tc>
        <w:tc>
          <w:tcPr>
            <w:tcW w:w="1113" w:type="dxa"/>
          </w:tcPr>
          <w:p>
            <w:pPr>
              <w:pStyle w:val="TableParagraph"/>
              <w:spacing w:line="132" w:lineRule="exact" w:before="1"/>
              <w:ind w:right="53"/>
              <w:jc w:val="right"/>
              <w:rPr>
                <w:rFonts w:ascii="Caladea"/>
                <w:b/>
                <w:sz w:val="13"/>
              </w:rPr>
            </w:pPr>
            <w:r>
              <w:rPr>
                <w:rFonts w:ascii="Caladea"/>
                <w:b/>
                <w:sz w:val="13"/>
              </w:rPr>
              <w:t>(7.387)</w:t>
            </w:r>
          </w:p>
        </w:tc>
        <w:tc>
          <w:tcPr>
            <w:tcW w:w="1189" w:type="dxa"/>
          </w:tcPr>
          <w:p>
            <w:pPr>
              <w:pStyle w:val="TableParagraph"/>
              <w:spacing w:line="132" w:lineRule="exact" w:before="1"/>
              <w:ind w:right="50"/>
              <w:jc w:val="right"/>
              <w:rPr>
                <w:rFonts w:ascii="Caladea"/>
                <w:b/>
                <w:sz w:val="13"/>
              </w:rPr>
            </w:pPr>
            <w:r>
              <w:rPr>
                <w:rFonts w:ascii="Caladea"/>
                <w:b/>
                <w:sz w:val="13"/>
              </w:rPr>
              <w:t>503.161</w:t>
            </w:r>
          </w:p>
        </w:tc>
      </w:tr>
    </w:tbl>
    <w:p>
      <w:pPr>
        <w:pStyle w:val="BodyText"/>
        <w:spacing w:before="1"/>
        <w:rPr>
          <w:sz w:val="22"/>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459"/>
        <w:gridCol w:w="1137"/>
        <w:gridCol w:w="1053"/>
        <w:gridCol w:w="1053"/>
        <w:gridCol w:w="1056"/>
        <w:gridCol w:w="1103"/>
        <w:gridCol w:w="1050"/>
      </w:tblGrid>
      <w:tr>
        <w:trPr>
          <w:trHeight w:val="666" w:hRule="atLeast"/>
        </w:trPr>
        <w:tc>
          <w:tcPr>
            <w:tcW w:w="3459" w:type="dxa"/>
            <w:shd w:val="clear" w:color="auto" w:fill="D9D9D9"/>
          </w:tcPr>
          <w:p>
            <w:pPr>
              <w:pStyle w:val="TableParagraph"/>
              <w:rPr>
                <w:sz w:val="14"/>
              </w:rPr>
            </w:pPr>
          </w:p>
          <w:p>
            <w:pPr>
              <w:pStyle w:val="TableParagraph"/>
              <w:spacing w:before="95"/>
              <w:ind w:left="72"/>
              <w:rPr>
                <w:rFonts w:ascii="Caladea"/>
                <w:b/>
                <w:sz w:val="13"/>
              </w:rPr>
            </w:pPr>
            <w:r>
              <w:rPr>
                <w:rFonts w:ascii="Caladea"/>
                <w:b/>
                <w:sz w:val="13"/>
              </w:rPr>
              <w:t>Passivos Financeiros Setoriais</w:t>
            </w:r>
          </w:p>
        </w:tc>
        <w:tc>
          <w:tcPr>
            <w:tcW w:w="1137" w:type="dxa"/>
          </w:tcPr>
          <w:p>
            <w:pPr>
              <w:pStyle w:val="TableParagraph"/>
              <w:spacing w:before="106"/>
              <w:ind w:left="194" w:right="186" w:firstLine="4"/>
              <w:jc w:val="center"/>
              <w:rPr>
                <w:rFonts w:ascii="Caladea"/>
                <w:b/>
                <w:sz w:val="13"/>
              </w:rPr>
            </w:pPr>
            <w:r>
              <w:rPr>
                <w:rFonts w:ascii="Caladea"/>
                <w:b/>
                <w:sz w:val="13"/>
              </w:rPr>
              <w:t>Saldo em 31/12/2018</w:t>
            </w:r>
          </w:p>
          <w:p>
            <w:pPr>
              <w:pStyle w:val="TableParagraph"/>
              <w:spacing w:before="2"/>
              <w:ind w:left="113" w:right="108"/>
              <w:jc w:val="center"/>
              <w:rPr>
                <w:sz w:val="13"/>
              </w:rPr>
            </w:pPr>
            <w:r>
              <w:rPr>
                <w:sz w:val="13"/>
              </w:rPr>
              <w:t>Reapresentado</w:t>
            </w:r>
          </w:p>
        </w:tc>
        <w:tc>
          <w:tcPr>
            <w:tcW w:w="1053" w:type="dxa"/>
          </w:tcPr>
          <w:p>
            <w:pPr>
              <w:pStyle w:val="TableParagraph"/>
              <w:rPr>
                <w:sz w:val="14"/>
              </w:rPr>
            </w:pPr>
          </w:p>
          <w:p>
            <w:pPr>
              <w:pStyle w:val="TableParagraph"/>
              <w:spacing w:before="95"/>
              <w:ind w:left="154"/>
              <w:rPr>
                <w:rFonts w:ascii="Caladea" w:hAnsi="Caladea"/>
                <w:b/>
                <w:sz w:val="13"/>
              </w:rPr>
            </w:pPr>
            <w:r>
              <w:rPr>
                <w:rFonts w:ascii="Caladea" w:hAnsi="Caladea"/>
                <w:b/>
                <w:sz w:val="13"/>
              </w:rPr>
              <w:t>Constituição</w:t>
            </w:r>
          </w:p>
        </w:tc>
        <w:tc>
          <w:tcPr>
            <w:tcW w:w="1053" w:type="dxa"/>
          </w:tcPr>
          <w:p>
            <w:pPr>
              <w:pStyle w:val="TableParagraph"/>
              <w:rPr>
                <w:sz w:val="14"/>
              </w:rPr>
            </w:pPr>
          </w:p>
          <w:p>
            <w:pPr>
              <w:pStyle w:val="TableParagraph"/>
              <w:spacing w:before="95"/>
              <w:ind w:left="150"/>
              <w:rPr>
                <w:rFonts w:ascii="Caladea" w:hAnsi="Caladea"/>
                <w:b/>
                <w:sz w:val="13"/>
              </w:rPr>
            </w:pPr>
            <w:r>
              <w:rPr>
                <w:rFonts w:ascii="Caladea" w:hAnsi="Caladea"/>
                <w:b/>
                <w:sz w:val="13"/>
              </w:rPr>
              <w:t>Amortização</w:t>
            </w:r>
          </w:p>
        </w:tc>
        <w:tc>
          <w:tcPr>
            <w:tcW w:w="1056" w:type="dxa"/>
          </w:tcPr>
          <w:p>
            <w:pPr>
              <w:pStyle w:val="TableParagraph"/>
              <w:rPr>
                <w:sz w:val="14"/>
              </w:rPr>
            </w:pPr>
          </w:p>
          <w:p>
            <w:pPr>
              <w:pStyle w:val="TableParagraph"/>
              <w:spacing w:before="95"/>
              <w:ind w:left="182"/>
              <w:rPr>
                <w:rFonts w:ascii="Caladea" w:hAnsi="Caladea"/>
                <w:b/>
                <w:sz w:val="13"/>
              </w:rPr>
            </w:pPr>
            <w:r>
              <w:rPr>
                <w:rFonts w:ascii="Caladea" w:hAnsi="Caladea"/>
                <w:b/>
                <w:sz w:val="13"/>
              </w:rPr>
              <w:t>Atualização</w:t>
            </w:r>
          </w:p>
        </w:tc>
        <w:tc>
          <w:tcPr>
            <w:tcW w:w="1103" w:type="dxa"/>
          </w:tcPr>
          <w:p>
            <w:pPr>
              <w:pStyle w:val="TableParagraph"/>
              <w:rPr>
                <w:sz w:val="14"/>
              </w:rPr>
            </w:pPr>
          </w:p>
          <w:p>
            <w:pPr>
              <w:pStyle w:val="TableParagraph"/>
              <w:spacing w:before="95"/>
              <w:ind w:left="135"/>
              <w:rPr>
                <w:rFonts w:ascii="Caladea" w:hAnsi="Caladea"/>
                <w:b/>
                <w:sz w:val="13"/>
              </w:rPr>
            </w:pPr>
            <w:r>
              <w:rPr>
                <w:rFonts w:ascii="Caladea" w:hAnsi="Caladea"/>
                <w:b/>
                <w:sz w:val="13"/>
              </w:rPr>
              <w:t>Transferência</w:t>
            </w:r>
          </w:p>
        </w:tc>
        <w:tc>
          <w:tcPr>
            <w:tcW w:w="1050" w:type="dxa"/>
          </w:tcPr>
          <w:p>
            <w:pPr>
              <w:pStyle w:val="TableParagraph"/>
              <w:spacing w:before="9"/>
              <w:rPr>
                <w:sz w:val="15"/>
              </w:rPr>
            </w:pPr>
          </w:p>
          <w:p>
            <w:pPr>
              <w:pStyle w:val="TableParagraph"/>
              <w:ind w:left="155" w:firstLine="103"/>
              <w:rPr>
                <w:rFonts w:ascii="Caladea"/>
                <w:b/>
                <w:sz w:val="13"/>
              </w:rPr>
            </w:pPr>
            <w:r>
              <w:rPr>
                <w:rFonts w:ascii="Caladea"/>
                <w:b/>
                <w:sz w:val="13"/>
              </w:rPr>
              <w:t>Saldo em 31/12/2019</w:t>
            </w:r>
          </w:p>
        </w:tc>
      </w:tr>
      <w:tr>
        <w:trPr>
          <w:trHeight w:val="184" w:hRule="atLeast"/>
        </w:trPr>
        <w:tc>
          <w:tcPr>
            <w:tcW w:w="3459" w:type="dxa"/>
          </w:tcPr>
          <w:p>
            <w:pPr>
              <w:pStyle w:val="TableParagraph"/>
              <w:spacing w:line="147" w:lineRule="exact" w:before="18"/>
              <w:ind w:left="101"/>
              <w:rPr>
                <w:rFonts w:ascii="Caladea"/>
                <w:b/>
                <w:sz w:val="13"/>
              </w:rPr>
            </w:pPr>
            <w:r>
              <w:rPr>
                <w:rFonts w:ascii="Caladea"/>
                <w:b/>
                <w:sz w:val="13"/>
              </w:rPr>
              <w:t>CVA Passiva</w:t>
            </w:r>
          </w:p>
        </w:tc>
        <w:tc>
          <w:tcPr>
            <w:tcW w:w="1137" w:type="dxa"/>
          </w:tcPr>
          <w:p>
            <w:pPr>
              <w:pStyle w:val="TableParagraph"/>
              <w:spacing w:line="147" w:lineRule="exact" w:before="18"/>
              <w:ind w:right="57"/>
              <w:jc w:val="right"/>
              <w:rPr>
                <w:rFonts w:ascii="Caladea"/>
                <w:b/>
                <w:sz w:val="13"/>
              </w:rPr>
            </w:pPr>
            <w:r>
              <w:rPr>
                <w:rFonts w:ascii="Caladea"/>
                <w:b/>
                <w:sz w:val="13"/>
              </w:rPr>
              <w:t>(152.885)</w:t>
            </w:r>
          </w:p>
        </w:tc>
        <w:tc>
          <w:tcPr>
            <w:tcW w:w="1053" w:type="dxa"/>
          </w:tcPr>
          <w:p>
            <w:pPr>
              <w:pStyle w:val="TableParagraph"/>
              <w:spacing w:line="147" w:lineRule="exact" w:before="18"/>
              <w:ind w:right="56"/>
              <w:jc w:val="right"/>
              <w:rPr>
                <w:rFonts w:ascii="Caladea"/>
                <w:b/>
                <w:sz w:val="13"/>
              </w:rPr>
            </w:pPr>
            <w:r>
              <w:rPr>
                <w:rFonts w:ascii="Caladea"/>
                <w:b/>
                <w:sz w:val="13"/>
              </w:rPr>
              <w:t>(92.058)</w:t>
            </w:r>
          </w:p>
        </w:tc>
        <w:tc>
          <w:tcPr>
            <w:tcW w:w="1053" w:type="dxa"/>
          </w:tcPr>
          <w:p>
            <w:pPr>
              <w:pStyle w:val="TableParagraph"/>
              <w:spacing w:line="147" w:lineRule="exact" w:before="18"/>
              <w:ind w:right="55"/>
              <w:jc w:val="right"/>
              <w:rPr>
                <w:rFonts w:ascii="Caladea"/>
                <w:b/>
                <w:sz w:val="13"/>
              </w:rPr>
            </w:pPr>
            <w:r>
              <w:rPr>
                <w:rFonts w:ascii="Caladea"/>
                <w:b/>
                <w:sz w:val="13"/>
              </w:rPr>
              <w:t>132.483</w:t>
            </w:r>
          </w:p>
        </w:tc>
        <w:tc>
          <w:tcPr>
            <w:tcW w:w="1056" w:type="dxa"/>
          </w:tcPr>
          <w:p>
            <w:pPr>
              <w:pStyle w:val="TableParagraph"/>
              <w:spacing w:line="147" w:lineRule="exact" w:before="18"/>
              <w:ind w:right="55"/>
              <w:jc w:val="right"/>
              <w:rPr>
                <w:rFonts w:ascii="Caladea"/>
                <w:b/>
                <w:sz w:val="13"/>
              </w:rPr>
            </w:pPr>
            <w:r>
              <w:rPr>
                <w:rFonts w:ascii="Caladea"/>
                <w:b/>
                <w:sz w:val="13"/>
              </w:rPr>
              <w:t>(5.669)</w:t>
            </w:r>
          </w:p>
        </w:tc>
        <w:tc>
          <w:tcPr>
            <w:tcW w:w="1103" w:type="dxa"/>
          </w:tcPr>
          <w:p>
            <w:pPr>
              <w:pStyle w:val="TableParagraph"/>
              <w:spacing w:line="147" w:lineRule="exact" w:before="18"/>
              <w:ind w:right="54"/>
              <w:jc w:val="right"/>
              <w:rPr>
                <w:rFonts w:ascii="Caladea"/>
                <w:b/>
                <w:sz w:val="13"/>
              </w:rPr>
            </w:pPr>
            <w:r>
              <w:rPr>
                <w:rFonts w:ascii="Caladea"/>
                <w:b/>
                <w:sz w:val="13"/>
              </w:rPr>
              <w:t>2.107</w:t>
            </w:r>
          </w:p>
        </w:tc>
        <w:tc>
          <w:tcPr>
            <w:tcW w:w="1050" w:type="dxa"/>
          </w:tcPr>
          <w:p>
            <w:pPr>
              <w:pStyle w:val="TableParagraph"/>
              <w:spacing w:line="147" w:lineRule="exact" w:before="18"/>
              <w:ind w:right="52"/>
              <w:jc w:val="right"/>
              <w:rPr>
                <w:rFonts w:ascii="Caladea"/>
                <w:b/>
                <w:sz w:val="13"/>
              </w:rPr>
            </w:pPr>
            <w:r>
              <w:rPr>
                <w:rFonts w:ascii="Caladea"/>
                <w:b/>
                <w:sz w:val="13"/>
              </w:rPr>
              <w:t>(116.022)</w:t>
            </w:r>
          </w:p>
        </w:tc>
      </w:tr>
      <w:tr>
        <w:trPr>
          <w:trHeight w:val="184" w:hRule="atLeast"/>
        </w:trPr>
        <w:tc>
          <w:tcPr>
            <w:tcW w:w="3459" w:type="dxa"/>
          </w:tcPr>
          <w:p>
            <w:pPr>
              <w:pStyle w:val="TableParagraph"/>
              <w:spacing w:line="145" w:lineRule="exact" w:before="19"/>
              <w:ind w:left="158"/>
              <w:rPr>
                <w:sz w:val="13"/>
              </w:rPr>
            </w:pPr>
            <w:r>
              <w:rPr>
                <w:w w:val="105"/>
                <w:sz w:val="13"/>
              </w:rPr>
              <w:t>Aquisição de Energia – (CVAenergia)</w:t>
            </w:r>
          </w:p>
        </w:tc>
        <w:tc>
          <w:tcPr>
            <w:tcW w:w="1137" w:type="dxa"/>
          </w:tcPr>
          <w:p>
            <w:pPr>
              <w:pStyle w:val="TableParagraph"/>
              <w:rPr>
                <w:rFonts w:ascii="Times New Roman"/>
                <w:sz w:val="12"/>
              </w:rPr>
            </w:pPr>
          </w:p>
        </w:tc>
        <w:tc>
          <w:tcPr>
            <w:tcW w:w="1053" w:type="dxa"/>
          </w:tcPr>
          <w:p>
            <w:pPr>
              <w:pStyle w:val="TableParagraph"/>
              <w:spacing w:line="145" w:lineRule="exact" w:before="19"/>
              <w:ind w:right="54"/>
              <w:jc w:val="right"/>
              <w:rPr>
                <w:sz w:val="13"/>
              </w:rPr>
            </w:pPr>
            <w:r>
              <w:rPr>
                <w:sz w:val="13"/>
              </w:rPr>
              <w:t>(2.211)</w:t>
            </w:r>
          </w:p>
        </w:tc>
        <w:tc>
          <w:tcPr>
            <w:tcW w:w="1053" w:type="dxa"/>
          </w:tcPr>
          <w:p>
            <w:pPr>
              <w:pStyle w:val="TableParagraph"/>
              <w:spacing w:line="145" w:lineRule="exact" w:before="19"/>
              <w:ind w:right="55"/>
              <w:jc w:val="right"/>
              <w:rPr>
                <w:sz w:val="13"/>
              </w:rPr>
            </w:pPr>
            <w:r>
              <w:rPr>
                <w:w w:val="105"/>
                <w:sz w:val="13"/>
              </w:rPr>
              <w:t>412</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spacing w:line="145" w:lineRule="exact" w:before="19"/>
              <w:ind w:right="51"/>
              <w:jc w:val="right"/>
              <w:rPr>
                <w:sz w:val="13"/>
              </w:rPr>
            </w:pPr>
            <w:r>
              <w:rPr>
                <w:sz w:val="13"/>
              </w:rPr>
              <w:t>(1.799)</w:t>
            </w:r>
          </w:p>
        </w:tc>
      </w:tr>
      <w:tr>
        <w:trPr>
          <w:trHeight w:val="184" w:hRule="atLeast"/>
        </w:trPr>
        <w:tc>
          <w:tcPr>
            <w:tcW w:w="3459" w:type="dxa"/>
          </w:tcPr>
          <w:p>
            <w:pPr>
              <w:pStyle w:val="TableParagraph"/>
              <w:spacing w:line="147" w:lineRule="exact" w:before="17"/>
              <w:ind w:left="158"/>
              <w:rPr>
                <w:sz w:val="13"/>
              </w:rPr>
            </w:pPr>
            <w:r>
              <w:rPr>
                <w:sz w:val="13"/>
              </w:rPr>
              <w:t>Energia Adquirida - PROINFA</w:t>
            </w:r>
          </w:p>
        </w:tc>
        <w:tc>
          <w:tcPr>
            <w:tcW w:w="1137" w:type="dxa"/>
          </w:tcPr>
          <w:p>
            <w:pPr>
              <w:pStyle w:val="TableParagraph"/>
              <w:spacing w:line="147" w:lineRule="exact" w:before="17"/>
              <w:ind w:right="55"/>
              <w:jc w:val="right"/>
              <w:rPr>
                <w:sz w:val="13"/>
              </w:rPr>
            </w:pPr>
            <w:r>
              <w:rPr>
                <w:sz w:val="13"/>
              </w:rPr>
              <w:t>(56)</w:t>
            </w:r>
          </w:p>
        </w:tc>
        <w:tc>
          <w:tcPr>
            <w:tcW w:w="1053" w:type="dxa"/>
          </w:tcPr>
          <w:p>
            <w:pPr>
              <w:pStyle w:val="TableParagraph"/>
              <w:spacing w:line="147" w:lineRule="exact" w:before="17"/>
              <w:ind w:right="54"/>
              <w:jc w:val="right"/>
              <w:rPr>
                <w:sz w:val="13"/>
              </w:rPr>
            </w:pPr>
            <w:r>
              <w:rPr>
                <w:sz w:val="13"/>
              </w:rPr>
              <w:t>(841)</w:t>
            </w:r>
          </w:p>
        </w:tc>
        <w:tc>
          <w:tcPr>
            <w:tcW w:w="1053" w:type="dxa"/>
          </w:tcPr>
          <w:p>
            <w:pPr>
              <w:pStyle w:val="TableParagraph"/>
              <w:spacing w:line="147" w:lineRule="exact" w:before="17"/>
              <w:ind w:right="55"/>
              <w:jc w:val="right"/>
              <w:rPr>
                <w:sz w:val="13"/>
              </w:rPr>
            </w:pPr>
            <w:r>
              <w:rPr>
                <w:w w:val="105"/>
                <w:sz w:val="13"/>
              </w:rPr>
              <w:t>58</w:t>
            </w:r>
          </w:p>
        </w:tc>
        <w:tc>
          <w:tcPr>
            <w:tcW w:w="1056" w:type="dxa"/>
          </w:tcPr>
          <w:p>
            <w:pPr>
              <w:pStyle w:val="TableParagraph"/>
              <w:spacing w:line="147" w:lineRule="exact" w:before="17"/>
              <w:ind w:right="53"/>
              <w:jc w:val="right"/>
              <w:rPr>
                <w:sz w:val="13"/>
              </w:rPr>
            </w:pPr>
            <w:r>
              <w:rPr>
                <w:sz w:val="13"/>
              </w:rPr>
              <w:t>(22)</w:t>
            </w:r>
          </w:p>
        </w:tc>
        <w:tc>
          <w:tcPr>
            <w:tcW w:w="1103" w:type="dxa"/>
          </w:tcPr>
          <w:p>
            <w:pPr>
              <w:pStyle w:val="TableParagraph"/>
              <w:rPr>
                <w:rFonts w:ascii="Times New Roman"/>
                <w:sz w:val="12"/>
              </w:rPr>
            </w:pPr>
          </w:p>
        </w:tc>
        <w:tc>
          <w:tcPr>
            <w:tcW w:w="1050" w:type="dxa"/>
          </w:tcPr>
          <w:p>
            <w:pPr>
              <w:pStyle w:val="TableParagraph"/>
              <w:spacing w:line="147" w:lineRule="exact" w:before="17"/>
              <w:ind w:right="51"/>
              <w:jc w:val="right"/>
              <w:rPr>
                <w:sz w:val="13"/>
              </w:rPr>
            </w:pPr>
            <w:r>
              <w:rPr>
                <w:sz w:val="13"/>
              </w:rPr>
              <w:t>(861)</w:t>
            </w:r>
          </w:p>
        </w:tc>
      </w:tr>
      <w:tr>
        <w:trPr>
          <w:trHeight w:val="184" w:hRule="atLeast"/>
        </w:trPr>
        <w:tc>
          <w:tcPr>
            <w:tcW w:w="3459" w:type="dxa"/>
          </w:tcPr>
          <w:p>
            <w:pPr>
              <w:pStyle w:val="TableParagraph"/>
              <w:spacing w:line="147" w:lineRule="exact" w:before="17"/>
              <w:ind w:left="158"/>
              <w:rPr>
                <w:sz w:val="13"/>
              </w:rPr>
            </w:pPr>
            <w:r>
              <w:rPr>
                <w:sz w:val="13"/>
              </w:rPr>
              <w:t>Transporte Rede Básica</w:t>
            </w:r>
          </w:p>
        </w:tc>
        <w:tc>
          <w:tcPr>
            <w:tcW w:w="1137" w:type="dxa"/>
          </w:tcPr>
          <w:p>
            <w:pPr>
              <w:pStyle w:val="TableParagraph"/>
              <w:spacing w:line="147" w:lineRule="exact" w:before="17"/>
              <w:ind w:right="55"/>
              <w:jc w:val="right"/>
              <w:rPr>
                <w:sz w:val="13"/>
              </w:rPr>
            </w:pPr>
            <w:r>
              <w:rPr>
                <w:sz w:val="13"/>
              </w:rPr>
              <w:t>(1.300)</w:t>
            </w:r>
          </w:p>
        </w:tc>
        <w:tc>
          <w:tcPr>
            <w:tcW w:w="1053" w:type="dxa"/>
          </w:tcPr>
          <w:p>
            <w:pPr>
              <w:pStyle w:val="TableParagraph"/>
              <w:spacing w:line="147" w:lineRule="exact" w:before="17"/>
              <w:ind w:right="54"/>
              <w:jc w:val="right"/>
              <w:rPr>
                <w:sz w:val="13"/>
              </w:rPr>
            </w:pPr>
            <w:r>
              <w:rPr>
                <w:sz w:val="13"/>
              </w:rPr>
              <w:t>(1.771)</w:t>
            </w:r>
          </w:p>
        </w:tc>
        <w:tc>
          <w:tcPr>
            <w:tcW w:w="1053" w:type="dxa"/>
          </w:tcPr>
          <w:p>
            <w:pPr>
              <w:pStyle w:val="TableParagraph"/>
              <w:spacing w:line="147" w:lineRule="exact" w:before="17"/>
              <w:ind w:right="55"/>
              <w:jc w:val="right"/>
              <w:rPr>
                <w:sz w:val="13"/>
              </w:rPr>
            </w:pPr>
            <w:r>
              <w:rPr>
                <w:w w:val="105"/>
                <w:sz w:val="13"/>
              </w:rPr>
              <w:t>322</w:t>
            </w:r>
          </w:p>
        </w:tc>
        <w:tc>
          <w:tcPr>
            <w:tcW w:w="1056" w:type="dxa"/>
          </w:tcPr>
          <w:p>
            <w:pPr>
              <w:pStyle w:val="TableParagraph"/>
              <w:spacing w:line="147" w:lineRule="exact" w:before="17"/>
              <w:ind w:right="54"/>
              <w:jc w:val="right"/>
              <w:rPr>
                <w:sz w:val="13"/>
              </w:rPr>
            </w:pPr>
            <w:r>
              <w:rPr>
                <w:sz w:val="13"/>
              </w:rPr>
              <w:t>(764)</w:t>
            </w:r>
          </w:p>
        </w:tc>
        <w:tc>
          <w:tcPr>
            <w:tcW w:w="1103" w:type="dxa"/>
          </w:tcPr>
          <w:p>
            <w:pPr>
              <w:pStyle w:val="TableParagraph"/>
              <w:spacing w:line="147" w:lineRule="exact" w:before="17"/>
              <w:ind w:right="53"/>
              <w:jc w:val="right"/>
              <w:rPr>
                <w:sz w:val="13"/>
              </w:rPr>
            </w:pPr>
            <w:r>
              <w:rPr>
                <w:w w:val="95"/>
                <w:sz w:val="13"/>
              </w:rPr>
              <w:t>2.107</w:t>
            </w:r>
          </w:p>
        </w:tc>
        <w:tc>
          <w:tcPr>
            <w:tcW w:w="1050" w:type="dxa"/>
          </w:tcPr>
          <w:p>
            <w:pPr>
              <w:pStyle w:val="TableParagraph"/>
              <w:spacing w:line="147" w:lineRule="exact" w:before="17"/>
              <w:ind w:right="51"/>
              <w:jc w:val="right"/>
              <w:rPr>
                <w:sz w:val="13"/>
              </w:rPr>
            </w:pPr>
            <w:r>
              <w:rPr>
                <w:sz w:val="13"/>
              </w:rPr>
              <w:t>(1.406)</w:t>
            </w:r>
          </w:p>
        </w:tc>
      </w:tr>
      <w:tr>
        <w:trPr>
          <w:trHeight w:val="184" w:hRule="atLeast"/>
        </w:trPr>
        <w:tc>
          <w:tcPr>
            <w:tcW w:w="3459" w:type="dxa"/>
          </w:tcPr>
          <w:p>
            <w:pPr>
              <w:pStyle w:val="TableParagraph"/>
              <w:spacing w:line="147" w:lineRule="exact" w:before="17"/>
              <w:ind w:left="158"/>
              <w:rPr>
                <w:sz w:val="13"/>
              </w:rPr>
            </w:pPr>
            <w:r>
              <w:rPr>
                <w:sz w:val="13"/>
              </w:rPr>
              <w:t>Transporte de Energia - Itaipu</w:t>
            </w:r>
          </w:p>
        </w:tc>
        <w:tc>
          <w:tcPr>
            <w:tcW w:w="1137" w:type="dxa"/>
          </w:tcPr>
          <w:p>
            <w:pPr>
              <w:pStyle w:val="TableParagraph"/>
              <w:rPr>
                <w:rFonts w:ascii="Times New Roman"/>
                <w:sz w:val="12"/>
              </w:rPr>
            </w:pPr>
          </w:p>
        </w:tc>
        <w:tc>
          <w:tcPr>
            <w:tcW w:w="1053" w:type="dxa"/>
          </w:tcPr>
          <w:p>
            <w:pPr>
              <w:pStyle w:val="TableParagraph"/>
              <w:spacing w:line="147" w:lineRule="exact" w:before="17"/>
              <w:ind w:right="54"/>
              <w:jc w:val="right"/>
              <w:rPr>
                <w:sz w:val="13"/>
              </w:rPr>
            </w:pPr>
            <w:r>
              <w:rPr>
                <w:sz w:val="13"/>
              </w:rPr>
              <w:t>(27)</w:t>
            </w:r>
          </w:p>
        </w:tc>
        <w:tc>
          <w:tcPr>
            <w:tcW w:w="1053" w:type="dxa"/>
          </w:tcPr>
          <w:p>
            <w:pPr>
              <w:pStyle w:val="TableParagraph"/>
              <w:spacing w:line="147" w:lineRule="exact" w:before="17"/>
              <w:ind w:right="55"/>
              <w:jc w:val="right"/>
              <w:rPr>
                <w:sz w:val="13"/>
              </w:rPr>
            </w:pPr>
            <w:r>
              <w:rPr>
                <w:w w:val="105"/>
                <w:sz w:val="13"/>
              </w:rPr>
              <w:t>5</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spacing w:line="147" w:lineRule="exact" w:before="17"/>
              <w:ind w:right="51"/>
              <w:jc w:val="right"/>
              <w:rPr>
                <w:sz w:val="13"/>
              </w:rPr>
            </w:pPr>
            <w:r>
              <w:rPr>
                <w:sz w:val="13"/>
              </w:rPr>
              <w:t>(22)</w:t>
            </w:r>
          </w:p>
        </w:tc>
      </w:tr>
      <w:tr>
        <w:trPr>
          <w:trHeight w:val="181" w:hRule="atLeast"/>
        </w:trPr>
        <w:tc>
          <w:tcPr>
            <w:tcW w:w="3459" w:type="dxa"/>
          </w:tcPr>
          <w:p>
            <w:pPr>
              <w:pStyle w:val="TableParagraph"/>
              <w:spacing w:line="145" w:lineRule="exact" w:before="17"/>
              <w:ind w:left="158"/>
              <w:rPr>
                <w:sz w:val="13"/>
              </w:rPr>
            </w:pPr>
            <w:r>
              <w:rPr>
                <w:w w:val="105"/>
                <w:sz w:val="13"/>
              </w:rPr>
              <w:t>Encargos de Serviços de Sistema – ESS</w:t>
            </w:r>
          </w:p>
        </w:tc>
        <w:tc>
          <w:tcPr>
            <w:tcW w:w="1137" w:type="dxa"/>
          </w:tcPr>
          <w:p>
            <w:pPr>
              <w:pStyle w:val="TableParagraph"/>
              <w:spacing w:line="145" w:lineRule="exact" w:before="17"/>
              <w:ind w:right="55"/>
              <w:jc w:val="right"/>
              <w:rPr>
                <w:sz w:val="13"/>
              </w:rPr>
            </w:pPr>
            <w:r>
              <w:rPr>
                <w:sz w:val="13"/>
              </w:rPr>
              <w:t>(150.334)</w:t>
            </w:r>
          </w:p>
        </w:tc>
        <w:tc>
          <w:tcPr>
            <w:tcW w:w="1053" w:type="dxa"/>
          </w:tcPr>
          <w:p>
            <w:pPr>
              <w:pStyle w:val="TableParagraph"/>
              <w:spacing w:line="145" w:lineRule="exact" w:before="17"/>
              <w:ind w:right="55"/>
              <w:jc w:val="right"/>
              <w:rPr>
                <w:sz w:val="13"/>
              </w:rPr>
            </w:pPr>
            <w:r>
              <w:rPr>
                <w:sz w:val="13"/>
              </w:rPr>
              <w:t>(46.257)</w:t>
            </w:r>
          </w:p>
        </w:tc>
        <w:tc>
          <w:tcPr>
            <w:tcW w:w="1053" w:type="dxa"/>
          </w:tcPr>
          <w:p>
            <w:pPr>
              <w:pStyle w:val="TableParagraph"/>
              <w:spacing w:line="145" w:lineRule="exact" w:before="17"/>
              <w:ind w:right="55"/>
              <w:jc w:val="right"/>
              <w:rPr>
                <w:sz w:val="13"/>
              </w:rPr>
            </w:pPr>
            <w:r>
              <w:rPr>
                <w:sz w:val="13"/>
              </w:rPr>
              <w:t>130.491</w:t>
            </w:r>
          </w:p>
        </w:tc>
        <w:tc>
          <w:tcPr>
            <w:tcW w:w="1056" w:type="dxa"/>
          </w:tcPr>
          <w:p>
            <w:pPr>
              <w:pStyle w:val="TableParagraph"/>
              <w:spacing w:line="145" w:lineRule="exact" w:before="17"/>
              <w:ind w:right="54"/>
              <w:jc w:val="right"/>
              <w:rPr>
                <w:sz w:val="13"/>
              </w:rPr>
            </w:pPr>
            <w:r>
              <w:rPr>
                <w:sz w:val="13"/>
              </w:rPr>
              <w:t>(3.786)</w:t>
            </w:r>
          </w:p>
        </w:tc>
        <w:tc>
          <w:tcPr>
            <w:tcW w:w="1103" w:type="dxa"/>
          </w:tcPr>
          <w:p>
            <w:pPr>
              <w:pStyle w:val="TableParagraph"/>
              <w:rPr>
                <w:rFonts w:ascii="Times New Roman"/>
                <w:sz w:val="12"/>
              </w:rPr>
            </w:pPr>
          </w:p>
        </w:tc>
        <w:tc>
          <w:tcPr>
            <w:tcW w:w="1050" w:type="dxa"/>
          </w:tcPr>
          <w:p>
            <w:pPr>
              <w:pStyle w:val="TableParagraph"/>
              <w:spacing w:line="145" w:lineRule="exact" w:before="17"/>
              <w:ind w:right="51"/>
              <w:jc w:val="right"/>
              <w:rPr>
                <w:sz w:val="13"/>
              </w:rPr>
            </w:pPr>
            <w:r>
              <w:rPr>
                <w:sz w:val="13"/>
              </w:rPr>
              <w:t>(69.886)</w:t>
            </w:r>
          </w:p>
        </w:tc>
      </w:tr>
      <w:tr>
        <w:trPr>
          <w:trHeight w:val="153" w:hRule="atLeast"/>
        </w:trPr>
        <w:tc>
          <w:tcPr>
            <w:tcW w:w="3459" w:type="dxa"/>
          </w:tcPr>
          <w:p>
            <w:pPr>
              <w:pStyle w:val="TableParagraph"/>
              <w:spacing w:line="131" w:lineRule="exact" w:before="2"/>
              <w:ind w:left="158"/>
              <w:rPr>
                <w:sz w:val="13"/>
              </w:rPr>
            </w:pPr>
            <w:r>
              <w:rPr>
                <w:w w:val="105"/>
                <w:sz w:val="13"/>
              </w:rPr>
              <w:t>Conta de Desenvolvimento Energético – CDE</w:t>
            </w:r>
          </w:p>
        </w:tc>
        <w:tc>
          <w:tcPr>
            <w:tcW w:w="1137" w:type="dxa"/>
          </w:tcPr>
          <w:p>
            <w:pPr>
              <w:pStyle w:val="TableParagraph"/>
              <w:spacing w:line="131" w:lineRule="exact" w:before="2"/>
              <w:ind w:right="55"/>
              <w:jc w:val="right"/>
              <w:rPr>
                <w:sz w:val="13"/>
              </w:rPr>
            </w:pPr>
            <w:r>
              <w:rPr>
                <w:sz w:val="13"/>
              </w:rPr>
              <w:t>(1.195)</w:t>
            </w:r>
          </w:p>
        </w:tc>
        <w:tc>
          <w:tcPr>
            <w:tcW w:w="1053" w:type="dxa"/>
          </w:tcPr>
          <w:p>
            <w:pPr>
              <w:pStyle w:val="TableParagraph"/>
              <w:spacing w:line="131" w:lineRule="exact" w:before="2"/>
              <w:ind w:right="55"/>
              <w:jc w:val="right"/>
              <w:rPr>
                <w:sz w:val="13"/>
              </w:rPr>
            </w:pPr>
            <w:r>
              <w:rPr>
                <w:sz w:val="13"/>
              </w:rPr>
              <w:t>(40.951)</w:t>
            </w:r>
          </w:p>
        </w:tc>
        <w:tc>
          <w:tcPr>
            <w:tcW w:w="1053" w:type="dxa"/>
          </w:tcPr>
          <w:p>
            <w:pPr>
              <w:pStyle w:val="TableParagraph"/>
              <w:spacing w:line="131" w:lineRule="exact" w:before="2"/>
              <w:ind w:right="55"/>
              <w:jc w:val="right"/>
              <w:rPr>
                <w:sz w:val="13"/>
              </w:rPr>
            </w:pPr>
            <w:r>
              <w:rPr>
                <w:w w:val="95"/>
                <w:sz w:val="13"/>
              </w:rPr>
              <w:t>1.195</w:t>
            </w:r>
          </w:p>
        </w:tc>
        <w:tc>
          <w:tcPr>
            <w:tcW w:w="1056" w:type="dxa"/>
          </w:tcPr>
          <w:p>
            <w:pPr>
              <w:pStyle w:val="TableParagraph"/>
              <w:spacing w:line="131" w:lineRule="exact" w:before="2"/>
              <w:ind w:right="54"/>
              <w:jc w:val="right"/>
              <w:rPr>
                <w:sz w:val="13"/>
              </w:rPr>
            </w:pPr>
            <w:r>
              <w:rPr>
                <w:sz w:val="13"/>
              </w:rPr>
              <w:t>(1.097)</w:t>
            </w:r>
          </w:p>
        </w:tc>
        <w:tc>
          <w:tcPr>
            <w:tcW w:w="1103" w:type="dxa"/>
          </w:tcPr>
          <w:p>
            <w:pPr>
              <w:pStyle w:val="TableParagraph"/>
              <w:rPr>
                <w:rFonts w:ascii="Times New Roman"/>
                <w:sz w:val="8"/>
              </w:rPr>
            </w:pPr>
          </w:p>
        </w:tc>
        <w:tc>
          <w:tcPr>
            <w:tcW w:w="1050" w:type="dxa"/>
          </w:tcPr>
          <w:p>
            <w:pPr>
              <w:pStyle w:val="TableParagraph"/>
              <w:spacing w:line="131" w:lineRule="exact" w:before="2"/>
              <w:ind w:right="51"/>
              <w:jc w:val="right"/>
              <w:rPr>
                <w:sz w:val="13"/>
              </w:rPr>
            </w:pPr>
            <w:r>
              <w:rPr>
                <w:sz w:val="13"/>
              </w:rPr>
              <w:t>(42.048)</w:t>
            </w:r>
          </w:p>
        </w:tc>
      </w:tr>
      <w:tr>
        <w:trPr>
          <w:trHeight w:val="244" w:hRule="atLeast"/>
        </w:trPr>
        <w:tc>
          <w:tcPr>
            <w:tcW w:w="3459" w:type="dxa"/>
          </w:tcPr>
          <w:p>
            <w:pPr>
              <w:pStyle w:val="TableParagraph"/>
              <w:spacing w:before="46"/>
              <w:ind w:left="101"/>
              <w:rPr>
                <w:rFonts w:ascii="Caladea"/>
                <w:b/>
                <w:sz w:val="13"/>
              </w:rPr>
            </w:pPr>
            <w:r>
              <w:rPr>
                <w:rFonts w:ascii="Caladea"/>
                <w:b/>
                <w:sz w:val="13"/>
              </w:rPr>
              <w:t>Demais Passivos Financeiros Setoriais</w:t>
            </w:r>
          </w:p>
        </w:tc>
        <w:tc>
          <w:tcPr>
            <w:tcW w:w="1137" w:type="dxa"/>
          </w:tcPr>
          <w:p>
            <w:pPr>
              <w:pStyle w:val="TableParagraph"/>
              <w:spacing w:before="46"/>
              <w:ind w:right="56"/>
              <w:jc w:val="right"/>
              <w:rPr>
                <w:rFonts w:ascii="Caladea"/>
                <w:b/>
                <w:sz w:val="13"/>
              </w:rPr>
            </w:pPr>
            <w:r>
              <w:rPr>
                <w:rFonts w:ascii="Caladea"/>
                <w:b/>
                <w:sz w:val="13"/>
              </w:rPr>
              <w:t>(551.914)</w:t>
            </w:r>
          </w:p>
        </w:tc>
        <w:tc>
          <w:tcPr>
            <w:tcW w:w="1053" w:type="dxa"/>
          </w:tcPr>
          <w:p>
            <w:pPr>
              <w:pStyle w:val="TableParagraph"/>
              <w:spacing w:before="46"/>
              <w:ind w:right="56"/>
              <w:jc w:val="right"/>
              <w:rPr>
                <w:rFonts w:ascii="Caladea"/>
                <w:b/>
                <w:sz w:val="13"/>
              </w:rPr>
            </w:pPr>
            <w:r>
              <w:rPr>
                <w:rFonts w:ascii="Caladea"/>
                <w:b/>
                <w:sz w:val="13"/>
              </w:rPr>
              <w:t>(204.977)</w:t>
            </w:r>
          </w:p>
        </w:tc>
        <w:tc>
          <w:tcPr>
            <w:tcW w:w="1053" w:type="dxa"/>
          </w:tcPr>
          <w:p>
            <w:pPr>
              <w:pStyle w:val="TableParagraph"/>
              <w:spacing w:before="46"/>
              <w:ind w:right="55"/>
              <w:jc w:val="right"/>
              <w:rPr>
                <w:rFonts w:ascii="Caladea"/>
                <w:b/>
                <w:sz w:val="13"/>
              </w:rPr>
            </w:pPr>
            <w:r>
              <w:rPr>
                <w:rFonts w:ascii="Caladea"/>
                <w:b/>
                <w:sz w:val="13"/>
              </w:rPr>
              <w:t>278.995</w:t>
            </w:r>
          </w:p>
        </w:tc>
        <w:tc>
          <w:tcPr>
            <w:tcW w:w="1056" w:type="dxa"/>
          </w:tcPr>
          <w:p>
            <w:pPr>
              <w:pStyle w:val="TableParagraph"/>
              <w:spacing w:before="46"/>
              <w:ind w:right="55"/>
              <w:jc w:val="right"/>
              <w:rPr>
                <w:rFonts w:ascii="Caladea"/>
                <w:b/>
                <w:sz w:val="13"/>
              </w:rPr>
            </w:pPr>
            <w:r>
              <w:rPr>
                <w:rFonts w:ascii="Caladea"/>
                <w:b/>
                <w:sz w:val="13"/>
              </w:rPr>
              <w:t>(12.658)</w:t>
            </w:r>
          </w:p>
        </w:tc>
        <w:tc>
          <w:tcPr>
            <w:tcW w:w="1103" w:type="dxa"/>
          </w:tcPr>
          <w:p>
            <w:pPr>
              <w:pStyle w:val="TableParagraph"/>
              <w:spacing w:before="46"/>
              <w:ind w:right="54"/>
              <w:jc w:val="right"/>
              <w:rPr>
                <w:rFonts w:ascii="Caladea"/>
                <w:b/>
                <w:sz w:val="13"/>
              </w:rPr>
            </w:pPr>
            <w:r>
              <w:rPr>
                <w:rFonts w:ascii="Caladea"/>
                <w:b/>
                <w:sz w:val="13"/>
              </w:rPr>
              <w:t>5.280</w:t>
            </w:r>
          </w:p>
        </w:tc>
        <w:tc>
          <w:tcPr>
            <w:tcW w:w="1050" w:type="dxa"/>
          </w:tcPr>
          <w:p>
            <w:pPr>
              <w:pStyle w:val="TableParagraph"/>
              <w:spacing w:before="46"/>
              <w:ind w:right="52"/>
              <w:jc w:val="right"/>
              <w:rPr>
                <w:rFonts w:ascii="Caladea"/>
                <w:b/>
                <w:sz w:val="13"/>
              </w:rPr>
            </w:pPr>
            <w:r>
              <w:rPr>
                <w:rFonts w:ascii="Caladea"/>
                <w:b/>
                <w:sz w:val="13"/>
              </w:rPr>
              <w:t>(485.274)</w:t>
            </w:r>
          </w:p>
        </w:tc>
      </w:tr>
      <w:tr>
        <w:trPr>
          <w:trHeight w:val="184" w:hRule="atLeast"/>
        </w:trPr>
        <w:tc>
          <w:tcPr>
            <w:tcW w:w="3459" w:type="dxa"/>
          </w:tcPr>
          <w:p>
            <w:pPr>
              <w:pStyle w:val="TableParagraph"/>
              <w:spacing w:line="145" w:lineRule="exact" w:before="19"/>
              <w:ind w:left="158"/>
              <w:rPr>
                <w:sz w:val="13"/>
              </w:rPr>
            </w:pPr>
            <w:r>
              <w:rPr>
                <w:sz w:val="13"/>
              </w:rPr>
              <w:t>Neutralidade da Parcela A</w:t>
            </w:r>
          </w:p>
        </w:tc>
        <w:tc>
          <w:tcPr>
            <w:tcW w:w="1137" w:type="dxa"/>
          </w:tcPr>
          <w:p>
            <w:pPr>
              <w:pStyle w:val="TableParagraph"/>
              <w:spacing w:line="145" w:lineRule="exact" w:before="19"/>
              <w:ind w:right="55"/>
              <w:jc w:val="right"/>
              <w:rPr>
                <w:sz w:val="13"/>
              </w:rPr>
            </w:pPr>
            <w:r>
              <w:rPr>
                <w:sz w:val="13"/>
              </w:rPr>
              <w:t>(14.704)</w:t>
            </w:r>
          </w:p>
        </w:tc>
        <w:tc>
          <w:tcPr>
            <w:tcW w:w="1053" w:type="dxa"/>
          </w:tcPr>
          <w:p>
            <w:pPr>
              <w:pStyle w:val="TableParagraph"/>
              <w:spacing w:line="145" w:lineRule="exact" w:before="19"/>
              <w:ind w:right="54"/>
              <w:jc w:val="right"/>
              <w:rPr>
                <w:sz w:val="13"/>
              </w:rPr>
            </w:pPr>
            <w:r>
              <w:rPr>
                <w:sz w:val="13"/>
              </w:rPr>
              <w:t>(6.486)</w:t>
            </w:r>
          </w:p>
        </w:tc>
        <w:tc>
          <w:tcPr>
            <w:tcW w:w="1053" w:type="dxa"/>
          </w:tcPr>
          <w:p>
            <w:pPr>
              <w:pStyle w:val="TableParagraph"/>
              <w:rPr>
                <w:rFonts w:ascii="Times New Roman"/>
                <w:sz w:val="12"/>
              </w:rPr>
            </w:pPr>
          </w:p>
        </w:tc>
        <w:tc>
          <w:tcPr>
            <w:tcW w:w="1056" w:type="dxa"/>
          </w:tcPr>
          <w:p>
            <w:pPr>
              <w:pStyle w:val="TableParagraph"/>
              <w:spacing w:line="145" w:lineRule="exact" w:before="19"/>
              <w:ind w:right="54"/>
              <w:jc w:val="right"/>
              <w:rPr>
                <w:sz w:val="13"/>
              </w:rPr>
            </w:pPr>
            <w:r>
              <w:rPr>
                <w:sz w:val="13"/>
              </w:rPr>
              <w:t>(237)</w:t>
            </w:r>
          </w:p>
        </w:tc>
        <w:tc>
          <w:tcPr>
            <w:tcW w:w="1103" w:type="dxa"/>
          </w:tcPr>
          <w:p>
            <w:pPr>
              <w:pStyle w:val="TableParagraph"/>
              <w:rPr>
                <w:rFonts w:ascii="Times New Roman"/>
                <w:sz w:val="12"/>
              </w:rPr>
            </w:pPr>
          </w:p>
        </w:tc>
        <w:tc>
          <w:tcPr>
            <w:tcW w:w="1050" w:type="dxa"/>
          </w:tcPr>
          <w:p>
            <w:pPr>
              <w:pStyle w:val="TableParagraph"/>
              <w:spacing w:line="145" w:lineRule="exact" w:before="19"/>
              <w:ind w:right="51"/>
              <w:jc w:val="right"/>
              <w:rPr>
                <w:sz w:val="13"/>
              </w:rPr>
            </w:pPr>
            <w:r>
              <w:rPr>
                <w:sz w:val="13"/>
              </w:rPr>
              <w:t>(21.427)</w:t>
            </w:r>
          </w:p>
        </w:tc>
      </w:tr>
      <w:tr>
        <w:trPr>
          <w:trHeight w:val="184" w:hRule="atLeast"/>
        </w:trPr>
        <w:tc>
          <w:tcPr>
            <w:tcW w:w="3459" w:type="dxa"/>
          </w:tcPr>
          <w:p>
            <w:pPr>
              <w:pStyle w:val="TableParagraph"/>
              <w:spacing w:line="147" w:lineRule="exact" w:before="17"/>
              <w:ind w:left="158"/>
              <w:rPr>
                <w:sz w:val="13"/>
              </w:rPr>
            </w:pPr>
            <w:r>
              <w:rPr>
                <w:sz w:val="13"/>
              </w:rPr>
              <w:t>Sobrecontratação de Energia</w:t>
            </w:r>
          </w:p>
        </w:tc>
        <w:tc>
          <w:tcPr>
            <w:tcW w:w="1137" w:type="dxa"/>
          </w:tcPr>
          <w:p>
            <w:pPr>
              <w:pStyle w:val="TableParagraph"/>
              <w:spacing w:line="147" w:lineRule="exact" w:before="17"/>
              <w:ind w:right="55"/>
              <w:jc w:val="right"/>
              <w:rPr>
                <w:sz w:val="13"/>
              </w:rPr>
            </w:pPr>
            <w:r>
              <w:rPr>
                <w:sz w:val="13"/>
              </w:rPr>
              <w:t>(90.341)</w:t>
            </w:r>
          </w:p>
        </w:tc>
        <w:tc>
          <w:tcPr>
            <w:tcW w:w="1053" w:type="dxa"/>
          </w:tcPr>
          <w:p>
            <w:pPr>
              <w:pStyle w:val="TableParagraph"/>
              <w:spacing w:line="147" w:lineRule="exact" w:before="17"/>
              <w:ind w:right="55"/>
              <w:jc w:val="right"/>
              <w:rPr>
                <w:sz w:val="13"/>
              </w:rPr>
            </w:pPr>
            <w:r>
              <w:rPr>
                <w:sz w:val="13"/>
              </w:rPr>
              <w:t>(33.326)</w:t>
            </w:r>
          </w:p>
        </w:tc>
        <w:tc>
          <w:tcPr>
            <w:tcW w:w="1053" w:type="dxa"/>
          </w:tcPr>
          <w:p>
            <w:pPr>
              <w:pStyle w:val="TableParagraph"/>
              <w:spacing w:line="147" w:lineRule="exact" w:before="17"/>
              <w:ind w:right="55"/>
              <w:jc w:val="right"/>
              <w:rPr>
                <w:sz w:val="13"/>
              </w:rPr>
            </w:pPr>
            <w:r>
              <w:rPr>
                <w:w w:val="95"/>
                <w:sz w:val="13"/>
              </w:rPr>
              <w:t>3.137</w:t>
            </w:r>
          </w:p>
        </w:tc>
        <w:tc>
          <w:tcPr>
            <w:tcW w:w="1056" w:type="dxa"/>
          </w:tcPr>
          <w:p>
            <w:pPr>
              <w:pStyle w:val="TableParagraph"/>
              <w:spacing w:line="147" w:lineRule="exact" w:before="17"/>
              <w:ind w:right="54"/>
              <w:jc w:val="right"/>
              <w:rPr>
                <w:sz w:val="13"/>
              </w:rPr>
            </w:pPr>
            <w:r>
              <w:rPr>
                <w:sz w:val="13"/>
              </w:rPr>
              <w:t>(6.387)</w:t>
            </w:r>
          </w:p>
        </w:tc>
        <w:tc>
          <w:tcPr>
            <w:tcW w:w="1103" w:type="dxa"/>
          </w:tcPr>
          <w:p>
            <w:pPr>
              <w:pStyle w:val="TableParagraph"/>
              <w:spacing w:line="147" w:lineRule="exact" w:before="17"/>
              <w:ind w:right="53"/>
              <w:jc w:val="right"/>
              <w:rPr>
                <w:sz w:val="13"/>
              </w:rPr>
            </w:pPr>
            <w:r>
              <w:rPr>
                <w:w w:val="95"/>
                <w:sz w:val="13"/>
              </w:rPr>
              <w:t>5.280</w:t>
            </w:r>
          </w:p>
        </w:tc>
        <w:tc>
          <w:tcPr>
            <w:tcW w:w="1050" w:type="dxa"/>
          </w:tcPr>
          <w:p>
            <w:pPr>
              <w:pStyle w:val="TableParagraph"/>
              <w:spacing w:line="147" w:lineRule="exact" w:before="17"/>
              <w:ind w:right="51"/>
              <w:jc w:val="right"/>
              <w:rPr>
                <w:sz w:val="13"/>
              </w:rPr>
            </w:pPr>
            <w:r>
              <w:rPr>
                <w:sz w:val="13"/>
              </w:rPr>
              <w:t>(121.637)</w:t>
            </w:r>
          </w:p>
        </w:tc>
      </w:tr>
      <w:tr>
        <w:trPr>
          <w:trHeight w:val="153" w:hRule="atLeast"/>
        </w:trPr>
        <w:tc>
          <w:tcPr>
            <w:tcW w:w="3459" w:type="dxa"/>
          </w:tcPr>
          <w:p>
            <w:pPr>
              <w:pStyle w:val="TableParagraph"/>
              <w:spacing w:line="131" w:lineRule="exact" w:before="2"/>
              <w:ind w:left="158"/>
              <w:rPr>
                <w:sz w:val="13"/>
              </w:rPr>
            </w:pPr>
            <w:r>
              <w:rPr>
                <w:sz w:val="13"/>
              </w:rPr>
              <w:t>Devoluções Tarifárias UD/ER</w:t>
            </w:r>
          </w:p>
        </w:tc>
        <w:tc>
          <w:tcPr>
            <w:tcW w:w="1137" w:type="dxa"/>
          </w:tcPr>
          <w:p>
            <w:pPr>
              <w:pStyle w:val="TableParagraph"/>
              <w:spacing w:line="131" w:lineRule="exact" w:before="2"/>
              <w:ind w:right="55"/>
              <w:jc w:val="right"/>
              <w:rPr>
                <w:sz w:val="13"/>
              </w:rPr>
            </w:pPr>
            <w:r>
              <w:rPr>
                <w:sz w:val="13"/>
              </w:rPr>
              <w:t>(40.209)</w:t>
            </w:r>
          </w:p>
        </w:tc>
        <w:tc>
          <w:tcPr>
            <w:tcW w:w="1053" w:type="dxa"/>
          </w:tcPr>
          <w:p>
            <w:pPr>
              <w:pStyle w:val="TableParagraph"/>
              <w:spacing w:line="131" w:lineRule="exact" w:before="2"/>
              <w:ind w:right="55"/>
              <w:jc w:val="right"/>
              <w:rPr>
                <w:sz w:val="13"/>
              </w:rPr>
            </w:pPr>
            <w:r>
              <w:rPr>
                <w:sz w:val="13"/>
              </w:rPr>
              <w:t>(18.532)</w:t>
            </w:r>
          </w:p>
        </w:tc>
        <w:tc>
          <w:tcPr>
            <w:tcW w:w="1053" w:type="dxa"/>
          </w:tcPr>
          <w:p>
            <w:pPr>
              <w:pStyle w:val="TableParagraph"/>
              <w:spacing w:line="131" w:lineRule="exact" w:before="2"/>
              <w:ind w:right="55"/>
              <w:jc w:val="right"/>
              <w:rPr>
                <w:sz w:val="13"/>
              </w:rPr>
            </w:pPr>
            <w:r>
              <w:rPr>
                <w:w w:val="95"/>
                <w:sz w:val="13"/>
              </w:rPr>
              <w:t>20.726</w:t>
            </w:r>
          </w:p>
        </w:tc>
        <w:tc>
          <w:tcPr>
            <w:tcW w:w="1056" w:type="dxa"/>
          </w:tcPr>
          <w:p>
            <w:pPr>
              <w:pStyle w:val="TableParagraph"/>
              <w:spacing w:line="131" w:lineRule="exact" w:before="2"/>
              <w:ind w:right="54"/>
              <w:jc w:val="right"/>
              <w:rPr>
                <w:sz w:val="13"/>
              </w:rPr>
            </w:pPr>
            <w:r>
              <w:rPr>
                <w:sz w:val="13"/>
              </w:rPr>
              <w:t>(1.336)</w:t>
            </w:r>
          </w:p>
        </w:tc>
        <w:tc>
          <w:tcPr>
            <w:tcW w:w="1103" w:type="dxa"/>
          </w:tcPr>
          <w:p>
            <w:pPr>
              <w:pStyle w:val="TableParagraph"/>
              <w:rPr>
                <w:rFonts w:ascii="Times New Roman"/>
                <w:sz w:val="8"/>
              </w:rPr>
            </w:pPr>
          </w:p>
        </w:tc>
        <w:tc>
          <w:tcPr>
            <w:tcW w:w="1050" w:type="dxa"/>
          </w:tcPr>
          <w:p>
            <w:pPr>
              <w:pStyle w:val="TableParagraph"/>
              <w:spacing w:line="131" w:lineRule="exact" w:before="2"/>
              <w:ind w:right="51"/>
              <w:jc w:val="right"/>
              <w:rPr>
                <w:sz w:val="13"/>
              </w:rPr>
            </w:pPr>
            <w:r>
              <w:rPr>
                <w:sz w:val="13"/>
              </w:rPr>
              <w:t>(39.351)</w:t>
            </w:r>
          </w:p>
        </w:tc>
      </w:tr>
      <w:tr>
        <w:trPr>
          <w:trHeight w:val="184" w:hRule="atLeast"/>
        </w:trPr>
        <w:tc>
          <w:tcPr>
            <w:tcW w:w="3459" w:type="dxa"/>
          </w:tcPr>
          <w:p>
            <w:pPr>
              <w:pStyle w:val="TableParagraph"/>
              <w:spacing w:line="147" w:lineRule="exact" w:before="17"/>
              <w:ind w:left="158"/>
              <w:rPr>
                <w:sz w:val="13"/>
              </w:rPr>
            </w:pPr>
            <w:r>
              <w:rPr>
                <w:sz w:val="13"/>
              </w:rPr>
              <w:t>Reversão Financeira MCP</w:t>
            </w:r>
          </w:p>
        </w:tc>
        <w:tc>
          <w:tcPr>
            <w:tcW w:w="1137" w:type="dxa"/>
          </w:tcPr>
          <w:p>
            <w:pPr>
              <w:pStyle w:val="TableParagraph"/>
              <w:spacing w:line="147" w:lineRule="exact" w:before="17"/>
              <w:ind w:right="55"/>
              <w:jc w:val="right"/>
              <w:rPr>
                <w:sz w:val="13"/>
              </w:rPr>
            </w:pPr>
            <w:r>
              <w:rPr>
                <w:sz w:val="13"/>
              </w:rPr>
              <w:t>(59.179)</w:t>
            </w:r>
          </w:p>
        </w:tc>
        <w:tc>
          <w:tcPr>
            <w:tcW w:w="1053" w:type="dxa"/>
          </w:tcPr>
          <w:p>
            <w:pPr>
              <w:pStyle w:val="TableParagraph"/>
              <w:rPr>
                <w:rFonts w:ascii="Times New Roman"/>
                <w:sz w:val="12"/>
              </w:rPr>
            </w:pPr>
          </w:p>
        </w:tc>
        <w:tc>
          <w:tcPr>
            <w:tcW w:w="1053" w:type="dxa"/>
          </w:tcPr>
          <w:p>
            <w:pPr>
              <w:pStyle w:val="TableParagraph"/>
              <w:spacing w:line="147" w:lineRule="exact" w:before="17"/>
              <w:ind w:right="55"/>
              <w:jc w:val="right"/>
              <w:rPr>
                <w:sz w:val="13"/>
              </w:rPr>
            </w:pPr>
            <w:r>
              <w:rPr>
                <w:w w:val="95"/>
                <w:sz w:val="13"/>
              </w:rPr>
              <w:t>59.179</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rPr>
                <w:rFonts w:ascii="Times New Roman"/>
                <w:sz w:val="12"/>
              </w:rPr>
            </w:pPr>
          </w:p>
        </w:tc>
      </w:tr>
      <w:tr>
        <w:trPr>
          <w:trHeight w:val="182" w:hRule="atLeast"/>
        </w:trPr>
        <w:tc>
          <w:tcPr>
            <w:tcW w:w="3459" w:type="dxa"/>
          </w:tcPr>
          <w:p>
            <w:pPr>
              <w:pStyle w:val="TableParagraph"/>
              <w:spacing w:line="145" w:lineRule="exact" w:before="17"/>
              <w:ind w:left="158"/>
              <w:rPr>
                <w:sz w:val="13"/>
              </w:rPr>
            </w:pPr>
            <w:r>
              <w:rPr>
                <w:sz w:val="13"/>
              </w:rPr>
              <w:t>Risco Hidrológico</w:t>
            </w:r>
          </w:p>
        </w:tc>
        <w:tc>
          <w:tcPr>
            <w:tcW w:w="1137" w:type="dxa"/>
          </w:tcPr>
          <w:p>
            <w:pPr>
              <w:pStyle w:val="TableParagraph"/>
              <w:spacing w:line="145" w:lineRule="exact" w:before="17"/>
              <w:ind w:right="55"/>
              <w:jc w:val="right"/>
              <w:rPr>
                <w:sz w:val="13"/>
              </w:rPr>
            </w:pPr>
            <w:r>
              <w:rPr>
                <w:sz w:val="13"/>
              </w:rPr>
              <w:t>(187.553)</w:t>
            </w:r>
          </w:p>
        </w:tc>
        <w:tc>
          <w:tcPr>
            <w:tcW w:w="1053" w:type="dxa"/>
          </w:tcPr>
          <w:p>
            <w:pPr>
              <w:pStyle w:val="TableParagraph"/>
              <w:spacing w:line="145" w:lineRule="exact" w:before="17"/>
              <w:ind w:right="55"/>
              <w:jc w:val="right"/>
              <w:rPr>
                <w:sz w:val="13"/>
              </w:rPr>
            </w:pPr>
            <w:r>
              <w:rPr>
                <w:sz w:val="13"/>
              </w:rPr>
              <w:t>(146.633)</w:t>
            </w:r>
          </w:p>
        </w:tc>
        <w:tc>
          <w:tcPr>
            <w:tcW w:w="1053" w:type="dxa"/>
          </w:tcPr>
          <w:p>
            <w:pPr>
              <w:pStyle w:val="TableParagraph"/>
              <w:spacing w:line="145" w:lineRule="exact" w:before="17"/>
              <w:ind w:right="55"/>
              <w:jc w:val="right"/>
              <w:rPr>
                <w:sz w:val="13"/>
              </w:rPr>
            </w:pPr>
            <w:r>
              <w:rPr>
                <w:sz w:val="13"/>
              </w:rPr>
              <w:t>114.817</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spacing w:line="145" w:lineRule="exact" w:before="17"/>
              <w:ind w:right="51"/>
              <w:jc w:val="right"/>
              <w:rPr>
                <w:sz w:val="13"/>
              </w:rPr>
            </w:pPr>
            <w:r>
              <w:rPr>
                <w:sz w:val="13"/>
              </w:rPr>
              <w:t>(219.369)</w:t>
            </w:r>
          </w:p>
        </w:tc>
      </w:tr>
      <w:tr>
        <w:trPr>
          <w:trHeight w:val="184" w:hRule="atLeast"/>
        </w:trPr>
        <w:tc>
          <w:tcPr>
            <w:tcW w:w="3459" w:type="dxa"/>
          </w:tcPr>
          <w:p>
            <w:pPr>
              <w:pStyle w:val="TableParagraph"/>
              <w:spacing w:line="145" w:lineRule="exact" w:before="19"/>
              <w:ind w:left="158"/>
              <w:rPr>
                <w:sz w:val="13"/>
              </w:rPr>
            </w:pPr>
            <w:r>
              <w:rPr>
                <w:sz w:val="13"/>
              </w:rPr>
              <w:t>Ressarcimento P&amp;D</w:t>
            </w:r>
          </w:p>
        </w:tc>
        <w:tc>
          <w:tcPr>
            <w:tcW w:w="1137" w:type="dxa"/>
          </w:tcPr>
          <w:p>
            <w:pPr>
              <w:pStyle w:val="TableParagraph"/>
              <w:spacing w:line="145" w:lineRule="exact" w:before="19"/>
              <w:ind w:right="55"/>
              <w:jc w:val="right"/>
              <w:rPr>
                <w:sz w:val="13"/>
              </w:rPr>
            </w:pPr>
            <w:r>
              <w:rPr>
                <w:sz w:val="13"/>
              </w:rPr>
              <w:t>(14.839)</w:t>
            </w:r>
          </w:p>
        </w:tc>
        <w:tc>
          <w:tcPr>
            <w:tcW w:w="1053" w:type="dxa"/>
          </w:tcPr>
          <w:p>
            <w:pPr>
              <w:pStyle w:val="TableParagraph"/>
              <w:rPr>
                <w:rFonts w:ascii="Times New Roman"/>
                <w:sz w:val="12"/>
              </w:rPr>
            </w:pPr>
          </w:p>
        </w:tc>
        <w:tc>
          <w:tcPr>
            <w:tcW w:w="1053" w:type="dxa"/>
          </w:tcPr>
          <w:p>
            <w:pPr>
              <w:pStyle w:val="TableParagraph"/>
              <w:spacing w:line="145" w:lineRule="exact" w:before="19"/>
              <w:ind w:right="55"/>
              <w:jc w:val="right"/>
              <w:rPr>
                <w:sz w:val="13"/>
              </w:rPr>
            </w:pPr>
            <w:r>
              <w:rPr>
                <w:w w:val="95"/>
                <w:sz w:val="13"/>
              </w:rPr>
              <w:t>14.839</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rPr>
                <w:rFonts w:ascii="Times New Roman"/>
                <w:sz w:val="12"/>
              </w:rPr>
            </w:pPr>
          </w:p>
        </w:tc>
      </w:tr>
      <w:tr>
        <w:trPr>
          <w:trHeight w:val="184" w:hRule="atLeast"/>
        </w:trPr>
        <w:tc>
          <w:tcPr>
            <w:tcW w:w="3459" w:type="dxa"/>
          </w:tcPr>
          <w:p>
            <w:pPr>
              <w:pStyle w:val="TableParagraph"/>
              <w:spacing w:line="147" w:lineRule="exact" w:before="17"/>
              <w:ind w:left="158"/>
              <w:rPr>
                <w:sz w:val="13"/>
              </w:rPr>
            </w:pPr>
            <w:r>
              <w:rPr>
                <w:sz w:val="13"/>
              </w:rPr>
              <w:t>Reversão RTE 2018</w:t>
            </w:r>
          </w:p>
        </w:tc>
        <w:tc>
          <w:tcPr>
            <w:tcW w:w="1137" w:type="dxa"/>
          </w:tcPr>
          <w:p>
            <w:pPr>
              <w:pStyle w:val="TableParagraph"/>
              <w:spacing w:line="147" w:lineRule="exact" w:before="17"/>
              <w:ind w:right="55"/>
              <w:jc w:val="right"/>
              <w:rPr>
                <w:sz w:val="13"/>
              </w:rPr>
            </w:pPr>
            <w:r>
              <w:rPr>
                <w:sz w:val="13"/>
              </w:rPr>
              <w:t>(66.297)</w:t>
            </w:r>
          </w:p>
        </w:tc>
        <w:tc>
          <w:tcPr>
            <w:tcW w:w="1053" w:type="dxa"/>
          </w:tcPr>
          <w:p>
            <w:pPr>
              <w:pStyle w:val="TableParagraph"/>
              <w:rPr>
                <w:rFonts w:ascii="Times New Roman"/>
                <w:sz w:val="12"/>
              </w:rPr>
            </w:pPr>
          </w:p>
        </w:tc>
        <w:tc>
          <w:tcPr>
            <w:tcW w:w="1053" w:type="dxa"/>
          </w:tcPr>
          <w:p>
            <w:pPr>
              <w:pStyle w:val="TableParagraph"/>
              <w:spacing w:line="147" w:lineRule="exact" w:before="17"/>
              <w:ind w:right="55"/>
              <w:jc w:val="right"/>
              <w:rPr>
                <w:sz w:val="13"/>
              </w:rPr>
            </w:pPr>
            <w:r>
              <w:rPr>
                <w:w w:val="95"/>
                <w:sz w:val="13"/>
              </w:rPr>
              <w:t>66.297</w:t>
            </w: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rPr>
                <w:rFonts w:ascii="Times New Roman"/>
                <w:sz w:val="12"/>
              </w:rPr>
            </w:pPr>
          </w:p>
        </w:tc>
      </w:tr>
      <w:tr>
        <w:trPr>
          <w:trHeight w:val="184" w:hRule="atLeast"/>
        </w:trPr>
        <w:tc>
          <w:tcPr>
            <w:tcW w:w="3459" w:type="dxa"/>
          </w:tcPr>
          <w:p>
            <w:pPr>
              <w:pStyle w:val="TableParagraph"/>
              <w:spacing w:line="147" w:lineRule="exact" w:before="17"/>
              <w:ind w:left="158"/>
              <w:rPr>
                <w:sz w:val="13"/>
              </w:rPr>
            </w:pPr>
            <w:r>
              <w:rPr>
                <w:sz w:val="13"/>
              </w:rPr>
              <w:t>Superavit Baixa Renda</w:t>
            </w:r>
          </w:p>
        </w:tc>
        <w:tc>
          <w:tcPr>
            <w:tcW w:w="1137" w:type="dxa"/>
          </w:tcPr>
          <w:p>
            <w:pPr>
              <w:pStyle w:val="TableParagraph"/>
              <w:spacing w:line="147" w:lineRule="exact" w:before="17"/>
              <w:ind w:right="55"/>
              <w:jc w:val="right"/>
              <w:rPr>
                <w:sz w:val="13"/>
              </w:rPr>
            </w:pPr>
            <w:r>
              <w:rPr>
                <w:sz w:val="13"/>
              </w:rPr>
              <w:t>(78.792)</w:t>
            </w:r>
          </w:p>
        </w:tc>
        <w:tc>
          <w:tcPr>
            <w:tcW w:w="1053" w:type="dxa"/>
          </w:tcPr>
          <w:p>
            <w:pPr>
              <w:pStyle w:val="TableParagraph"/>
              <w:rPr>
                <w:rFonts w:ascii="Times New Roman"/>
                <w:sz w:val="12"/>
              </w:rPr>
            </w:pPr>
          </w:p>
        </w:tc>
        <w:tc>
          <w:tcPr>
            <w:tcW w:w="1053" w:type="dxa"/>
          </w:tcPr>
          <w:p>
            <w:pPr>
              <w:pStyle w:val="TableParagraph"/>
              <w:rPr>
                <w:rFonts w:ascii="Times New Roman"/>
                <w:sz w:val="12"/>
              </w:rPr>
            </w:pPr>
          </w:p>
        </w:tc>
        <w:tc>
          <w:tcPr>
            <w:tcW w:w="1056" w:type="dxa"/>
          </w:tcPr>
          <w:p>
            <w:pPr>
              <w:pStyle w:val="TableParagraph"/>
              <w:spacing w:line="147" w:lineRule="exact" w:before="17"/>
              <w:ind w:right="53"/>
              <w:jc w:val="right"/>
              <w:rPr>
                <w:sz w:val="13"/>
              </w:rPr>
            </w:pPr>
            <w:r>
              <w:rPr>
                <w:sz w:val="13"/>
              </w:rPr>
              <w:t>(4.698)</w:t>
            </w:r>
          </w:p>
        </w:tc>
        <w:tc>
          <w:tcPr>
            <w:tcW w:w="1103" w:type="dxa"/>
          </w:tcPr>
          <w:p>
            <w:pPr>
              <w:pStyle w:val="TableParagraph"/>
              <w:rPr>
                <w:rFonts w:ascii="Times New Roman"/>
                <w:sz w:val="12"/>
              </w:rPr>
            </w:pPr>
          </w:p>
        </w:tc>
        <w:tc>
          <w:tcPr>
            <w:tcW w:w="1050" w:type="dxa"/>
          </w:tcPr>
          <w:p>
            <w:pPr>
              <w:pStyle w:val="TableParagraph"/>
              <w:spacing w:line="147" w:lineRule="exact" w:before="17"/>
              <w:ind w:right="50"/>
              <w:jc w:val="right"/>
              <w:rPr>
                <w:sz w:val="13"/>
              </w:rPr>
            </w:pPr>
            <w:r>
              <w:rPr>
                <w:sz w:val="13"/>
              </w:rPr>
              <w:t>(83.490)</w:t>
            </w:r>
          </w:p>
        </w:tc>
      </w:tr>
      <w:tr>
        <w:trPr>
          <w:trHeight w:val="184" w:hRule="atLeast"/>
        </w:trPr>
        <w:tc>
          <w:tcPr>
            <w:tcW w:w="3459" w:type="dxa"/>
          </w:tcPr>
          <w:p>
            <w:pPr>
              <w:pStyle w:val="TableParagraph"/>
              <w:spacing w:line="147" w:lineRule="exact" w:before="17"/>
              <w:ind w:left="158"/>
              <w:rPr>
                <w:sz w:val="13"/>
              </w:rPr>
            </w:pPr>
            <w:r>
              <w:rPr>
                <w:sz w:val="13"/>
              </w:rPr>
              <w:t>Outros</w:t>
            </w:r>
          </w:p>
        </w:tc>
        <w:tc>
          <w:tcPr>
            <w:tcW w:w="1137" w:type="dxa"/>
          </w:tcPr>
          <w:p>
            <w:pPr>
              <w:pStyle w:val="TableParagraph"/>
              <w:rPr>
                <w:rFonts w:ascii="Times New Roman"/>
                <w:sz w:val="12"/>
              </w:rPr>
            </w:pPr>
          </w:p>
        </w:tc>
        <w:tc>
          <w:tcPr>
            <w:tcW w:w="1053" w:type="dxa"/>
          </w:tcPr>
          <w:p>
            <w:pPr>
              <w:pStyle w:val="TableParagraph"/>
              <w:rPr>
                <w:rFonts w:ascii="Times New Roman"/>
                <w:sz w:val="12"/>
              </w:rPr>
            </w:pPr>
          </w:p>
        </w:tc>
        <w:tc>
          <w:tcPr>
            <w:tcW w:w="1053" w:type="dxa"/>
          </w:tcPr>
          <w:p>
            <w:pPr>
              <w:pStyle w:val="TableParagraph"/>
              <w:rPr>
                <w:rFonts w:ascii="Times New Roman"/>
                <w:sz w:val="12"/>
              </w:rPr>
            </w:pP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rPr>
                <w:rFonts w:ascii="Times New Roman"/>
                <w:sz w:val="12"/>
              </w:rPr>
            </w:pPr>
          </w:p>
        </w:tc>
      </w:tr>
      <w:tr>
        <w:trPr>
          <w:trHeight w:val="184" w:hRule="atLeast"/>
        </w:trPr>
        <w:tc>
          <w:tcPr>
            <w:tcW w:w="3459" w:type="dxa"/>
          </w:tcPr>
          <w:p>
            <w:pPr>
              <w:pStyle w:val="TableParagraph"/>
              <w:spacing w:line="149" w:lineRule="exact" w:before="15"/>
              <w:ind w:left="101"/>
              <w:rPr>
                <w:rFonts w:ascii="Caladea"/>
                <w:b/>
                <w:sz w:val="13"/>
              </w:rPr>
            </w:pPr>
            <w:r>
              <w:rPr>
                <w:rFonts w:ascii="Caladea"/>
                <w:b/>
                <w:sz w:val="13"/>
              </w:rPr>
              <w:t>Total Passivos Financeiros Setoriais</w:t>
            </w:r>
          </w:p>
        </w:tc>
        <w:tc>
          <w:tcPr>
            <w:tcW w:w="1137" w:type="dxa"/>
          </w:tcPr>
          <w:p>
            <w:pPr>
              <w:pStyle w:val="TableParagraph"/>
              <w:spacing w:line="149" w:lineRule="exact" w:before="15"/>
              <w:ind w:right="56"/>
              <w:jc w:val="right"/>
              <w:rPr>
                <w:rFonts w:ascii="Caladea"/>
                <w:b/>
                <w:sz w:val="13"/>
              </w:rPr>
            </w:pPr>
            <w:r>
              <w:rPr>
                <w:rFonts w:ascii="Caladea"/>
                <w:b/>
                <w:sz w:val="13"/>
              </w:rPr>
              <w:t>(704.799)</w:t>
            </w:r>
          </w:p>
        </w:tc>
        <w:tc>
          <w:tcPr>
            <w:tcW w:w="1053" w:type="dxa"/>
          </w:tcPr>
          <w:p>
            <w:pPr>
              <w:pStyle w:val="TableParagraph"/>
              <w:spacing w:line="149" w:lineRule="exact" w:before="15"/>
              <w:ind w:right="56"/>
              <w:jc w:val="right"/>
              <w:rPr>
                <w:rFonts w:ascii="Caladea"/>
                <w:b/>
                <w:sz w:val="13"/>
              </w:rPr>
            </w:pPr>
            <w:r>
              <w:rPr>
                <w:rFonts w:ascii="Caladea"/>
                <w:b/>
                <w:sz w:val="13"/>
              </w:rPr>
              <w:t>(297.035)</w:t>
            </w:r>
          </w:p>
        </w:tc>
        <w:tc>
          <w:tcPr>
            <w:tcW w:w="1053" w:type="dxa"/>
          </w:tcPr>
          <w:p>
            <w:pPr>
              <w:pStyle w:val="TableParagraph"/>
              <w:spacing w:line="149" w:lineRule="exact" w:before="15"/>
              <w:ind w:right="55"/>
              <w:jc w:val="right"/>
              <w:rPr>
                <w:rFonts w:ascii="Caladea"/>
                <w:b/>
                <w:sz w:val="13"/>
              </w:rPr>
            </w:pPr>
            <w:r>
              <w:rPr>
                <w:rFonts w:ascii="Caladea"/>
                <w:b/>
                <w:sz w:val="13"/>
              </w:rPr>
              <w:t>411.478</w:t>
            </w:r>
          </w:p>
        </w:tc>
        <w:tc>
          <w:tcPr>
            <w:tcW w:w="1056" w:type="dxa"/>
          </w:tcPr>
          <w:p>
            <w:pPr>
              <w:pStyle w:val="TableParagraph"/>
              <w:spacing w:line="149" w:lineRule="exact" w:before="15"/>
              <w:ind w:right="55"/>
              <w:jc w:val="right"/>
              <w:rPr>
                <w:rFonts w:ascii="Caladea"/>
                <w:b/>
                <w:sz w:val="13"/>
              </w:rPr>
            </w:pPr>
            <w:r>
              <w:rPr>
                <w:rFonts w:ascii="Caladea"/>
                <w:b/>
                <w:sz w:val="13"/>
              </w:rPr>
              <w:t>(18.327)</w:t>
            </w:r>
          </w:p>
        </w:tc>
        <w:tc>
          <w:tcPr>
            <w:tcW w:w="1103" w:type="dxa"/>
          </w:tcPr>
          <w:p>
            <w:pPr>
              <w:pStyle w:val="TableParagraph"/>
              <w:spacing w:line="149" w:lineRule="exact" w:before="15"/>
              <w:ind w:right="54"/>
              <w:jc w:val="right"/>
              <w:rPr>
                <w:rFonts w:ascii="Caladea"/>
                <w:b/>
                <w:sz w:val="13"/>
              </w:rPr>
            </w:pPr>
            <w:r>
              <w:rPr>
                <w:rFonts w:ascii="Caladea"/>
                <w:b/>
                <w:sz w:val="13"/>
              </w:rPr>
              <w:t>7.387</w:t>
            </w:r>
          </w:p>
        </w:tc>
        <w:tc>
          <w:tcPr>
            <w:tcW w:w="1050" w:type="dxa"/>
          </w:tcPr>
          <w:p>
            <w:pPr>
              <w:pStyle w:val="TableParagraph"/>
              <w:spacing w:line="149" w:lineRule="exact" w:before="15"/>
              <w:ind w:right="52"/>
              <w:jc w:val="right"/>
              <w:rPr>
                <w:rFonts w:ascii="Caladea"/>
                <w:b/>
                <w:sz w:val="13"/>
              </w:rPr>
            </w:pPr>
            <w:r>
              <w:rPr>
                <w:rFonts w:ascii="Caladea"/>
                <w:b/>
                <w:sz w:val="13"/>
              </w:rPr>
              <w:t>(601.296)</w:t>
            </w:r>
          </w:p>
        </w:tc>
      </w:tr>
      <w:tr>
        <w:trPr>
          <w:trHeight w:val="181" w:hRule="atLeast"/>
        </w:trPr>
        <w:tc>
          <w:tcPr>
            <w:tcW w:w="3459" w:type="dxa"/>
          </w:tcPr>
          <w:p>
            <w:pPr>
              <w:pStyle w:val="TableParagraph"/>
              <w:spacing w:line="146" w:lineRule="exact" w:before="15"/>
              <w:ind w:left="72"/>
              <w:rPr>
                <w:rFonts w:ascii="Caladea"/>
                <w:b/>
                <w:sz w:val="13"/>
              </w:rPr>
            </w:pPr>
            <w:r>
              <w:rPr>
                <w:rFonts w:ascii="Caladea"/>
                <w:b/>
                <w:sz w:val="13"/>
              </w:rPr>
              <w:t>Circulante</w:t>
            </w:r>
          </w:p>
        </w:tc>
        <w:tc>
          <w:tcPr>
            <w:tcW w:w="1137" w:type="dxa"/>
          </w:tcPr>
          <w:p>
            <w:pPr>
              <w:pStyle w:val="TableParagraph"/>
              <w:spacing w:line="146" w:lineRule="exact" w:before="15"/>
              <w:ind w:right="56"/>
              <w:jc w:val="right"/>
              <w:rPr>
                <w:rFonts w:ascii="Caladea"/>
                <w:b/>
                <w:sz w:val="13"/>
              </w:rPr>
            </w:pPr>
            <w:r>
              <w:rPr>
                <w:rFonts w:ascii="Caladea"/>
                <w:b/>
                <w:sz w:val="13"/>
              </w:rPr>
              <w:t>(608.361)</w:t>
            </w:r>
          </w:p>
        </w:tc>
        <w:tc>
          <w:tcPr>
            <w:tcW w:w="1053" w:type="dxa"/>
          </w:tcPr>
          <w:p>
            <w:pPr>
              <w:pStyle w:val="TableParagraph"/>
              <w:rPr>
                <w:rFonts w:ascii="Times New Roman"/>
                <w:sz w:val="12"/>
              </w:rPr>
            </w:pPr>
          </w:p>
        </w:tc>
        <w:tc>
          <w:tcPr>
            <w:tcW w:w="1053" w:type="dxa"/>
          </w:tcPr>
          <w:p>
            <w:pPr>
              <w:pStyle w:val="TableParagraph"/>
              <w:rPr>
                <w:rFonts w:ascii="Times New Roman"/>
                <w:sz w:val="12"/>
              </w:rPr>
            </w:pP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spacing w:line="146" w:lineRule="exact" w:before="15"/>
              <w:ind w:right="52"/>
              <w:jc w:val="right"/>
              <w:rPr>
                <w:rFonts w:ascii="Caladea"/>
                <w:b/>
                <w:sz w:val="13"/>
              </w:rPr>
            </w:pPr>
            <w:r>
              <w:rPr>
                <w:rFonts w:ascii="Caladea"/>
                <w:b/>
                <w:sz w:val="13"/>
              </w:rPr>
              <w:t>(499.097)</w:t>
            </w:r>
          </w:p>
        </w:tc>
      </w:tr>
      <w:tr>
        <w:trPr>
          <w:trHeight w:val="184" w:hRule="atLeast"/>
        </w:trPr>
        <w:tc>
          <w:tcPr>
            <w:tcW w:w="3459" w:type="dxa"/>
          </w:tcPr>
          <w:p>
            <w:pPr>
              <w:pStyle w:val="TableParagraph"/>
              <w:spacing w:line="147" w:lineRule="exact" w:before="18"/>
              <w:ind w:left="72"/>
              <w:rPr>
                <w:rFonts w:ascii="Caladea" w:hAnsi="Caladea"/>
                <w:b/>
                <w:sz w:val="13"/>
              </w:rPr>
            </w:pPr>
            <w:r>
              <w:rPr>
                <w:rFonts w:ascii="Caladea" w:hAnsi="Caladea"/>
                <w:b/>
                <w:sz w:val="13"/>
              </w:rPr>
              <w:t>Não Circulante</w:t>
            </w:r>
          </w:p>
        </w:tc>
        <w:tc>
          <w:tcPr>
            <w:tcW w:w="1137" w:type="dxa"/>
          </w:tcPr>
          <w:p>
            <w:pPr>
              <w:pStyle w:val="TableParagraph"/>
              <w:spacing w:line="147" w:lineRule="exact" w:before="18"/>
              <w:ind w:right="56"/>
              <w:jc w:val="right"/>
              <w:rPr>
                <w:rFonts w:ascii="Caladea"/>
                <w:b/>
                <w:sz w:val="13"/>
              </w:rPr>
            </w:pPr>
            <w:r>
              <w:rPr>
                <w:rFonts w:ascii="Caladea"/>
                <w:b/>
                <w:sz w:val="13"/>
              </w:rPr>
              <w:t>(96.438)</w:t>
            </w:r>
          </w:p>
        </w:tc>
        <w:tc>
          <w:tcPr>
            <w:tcW w:w="1053" w:type="dxa"/>
          </w:tcPr>
          <w:p>
            <w:pPr>
              <w:pStyle w:val="TableParagraph"/>
              <w:rPr>
                <w:rFonts w:ascii="Times New Roman"/>
                <w:sz w:val="12"/>
              </w:rPr>
            </w:pPr>
          </w:p>
        </w:tc>
        <w:tc>
          <w:tcPr>
            <w:tcW w:w="1053" w:type="dxa"/>
          </w:tcPr>
          <w:p>
            <w:pPr>
              <w:pStyle w:val="TableParagraph"/>
              <w:rPr>
                <w:rFonts w:ascii="Times New Roman"/>
                <w:sz w:val="12"/>
              </w:rPr>
            </w:pPr>
          </w:p>
        </w:tc>
        <w:tc>
          <w:tcPr>
            <w:tcW w:w="1056" w:type="dxa"/>
          </w:tcPr>
          <w:p>
            <w:pPr>
              <w:pStyle w:val="TableParagraph"/>
              <w:rPr>
                <w:rFonts w:ascii="Times New Roman"/>
                <w:sz w:val="12"/>
              </w:rPr>
            </w:pPr>
          </w:p>
        </w:tc>
        <w:tc>
          <w:tcPr>
            <w:tcW w:w="1103" w:type="dxa"/>
          </w:tcPr>
          <w:p>
            <w:pPr>
              <w:pStyle w:val="TableParagraph"/>
              <w:rPr>
                <w:rFonts w:ascii="Times New Roman"/>
                <w:sz w:val="12"/>
              </w:rPr>
            </w:pPr>
          </w:p>
        </w:tc>
        <w:tc>
          <w:tcPr>
            <w:tcW w:w="1050" w:type="dxa"/>
          </w:tcPr>
          <w:p>
            <w:pPr>
              <w:pStyle w:val="TableParagraph"/>
              <w:spacing w:line="147" w:lineRule="exact" w:before="18"/>
              <w:ind w:right="52"/>
              <w:jc w:val="right"/>
              <w:rPr>
                <w:rFonts w:ascii="Caladea"/>
                <w:b/>
                <w:sz w:val="13"/>
              </w:rPr>
            </w:pPr>
            <w:r>
              <w:rPr>
                <w:rFonts w:ascii="Caladea"/>
                <w:b/>
                <w:sz w:val="13"/>
              </w:rPr>
              <w:t>(102.199)</w:t>
            </w:r>
          </w:p>
        </w:tc>
      </w:tr>
    </w:tbl>
    <w:p>
      <w:pPr>
        <w:spacing w:after="0" w:line="147" w:lineRule="exact"/>
        <w:jc w:val="right"/>
        <w:rPr>
          <w:rFonts w:ascii="Caladea"/>
          <w:sz w:val="13"/>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10"/>
        <w:jc w:val="both"/>
      </w:pPr>
      <w:r>
        <w:rPr/>
        <w:t>A</w:t>
      </w:r>
      <w:r>
        <w:rPr>
          <w:spacing w:val="-19"/>
        </w:rPr>
        <w:t> </w:t>
      </w:r>
      <w:r>
        <w:rPr/>
        <w:t>variação</w:t>
      </w:r>
      <w:r>
        <w:rPr>
          <w:spacing w:val="-19"/>
        </w:rPr>
        <w:t> </w:t>
      </w:r>
      <w:r>
        <w:rPr/>
        <w:t>ocorrida</w:t>
      </w:r>
      <w:r>
        <w:rPr>
          <w:spacing w:val="-17"/>
        </w:rPr>
        <w:t> </w:t>
      </w:r>
      <w:r>
        <w:rPr/>
        <w:t>de</w:t>
      </w:r>
      <w:r>
        <w:rPr>
          <w:spacing w:val="-19"/>
        </w:rPr>
        <w:t> </w:t>
      </w:r>
      <w:r>
        <w:rPr/>
        <w:t>2018</w:t>
      </w:r>
      <w:r>
        <w:rPr>
          <w:spacing w:val="-19"/>
        </w:rPr>
        <w:t> </w:t>
      </w:r>
      <w:r>
        <w:rPr/>
        <w:t>para</w:t>
      </w:r>
      <w:r>
        <w:rPr>
          <w:spacing w:val="-19"/>
        </w:rPr>
        <w:t> </w:t>
      </w:r>
      <w:r>
        <w:rPr/>
        <w:t>2019</w:t>
      </w:r>
      <w:r>
        <w:rPr>
          <w:spacing w:val="-17"/>
        </w:rPr>
        <w:t> </w:t>
      </w:r>
      <w:r>
        <w:rPr/>
        <w:t>na</w:t>
      </w:r>
      <w:r>
        <w:rPr>
          <w:spacing w:val="-19"/>
        </w:rPr>
        <w:t> </w:t>
      </w:r>
      <w:r>
        <w:rPr/>
        <w:t>CVA</w:t>
      </w:r>
      <w:r>
        <w:rPr>
          <w:spacing w:val="-17"/>
        </w:rPr>
        <w:t> </w:t>
      </w:r>
      <w:r>
        <w:rPr/>
        <w:t>energia</w:t>
      </w:r>
      <w:r>
        <w:rPr>
          <w:spacing w:val="-18"/>
        </w:rPr>
        <w:t> </w:t>
      </w:r>
      <w:r>
        <w:rPr/>
        <w:t>ativa,</w:t>
      </w:r>
      <w:r>
        <w:rPr>
          <w:spacing w:val="-19"/>
        </w:rPr>
        <w:t> </w:t>
      </w:r>
      <w:r>
        <w:rPr/>
        <w:t>na</w:t>
      </w:r>
      <w:r>
        <w:rPr>
          <w:spacing w:val="-19"/>
        </w:rPr>
        <w:t> </w:t>
      </w:r>
      <w:r>
        <w:rPr/>
        <w:t>ótica</w:t>
      </w:r>
      <w:r>
        <w:rPr>
          <w:spacing w:val="-19"/>
        </w:rPr>
        <w:t> </w:t>
      </w:r>
      <w:r>
        <w:rPr/>
        <w:t>da</w:t>
      </w:r>
      <w:r>
        <w:rPr>
          <w:spacing w:val="-18"/>
        </w:rPr>
        <w:t> </w:t>
      </w:r>
      <w:r>
        <w:rPr/>
        <w:t>amortização,</w:t>
      </w:r>
      <w:r>
        <w:rPr>
          <w:spacing w:val="-19"/>
        </w:rPr>
        <w:t> </w:t>
      </w:r>
      <w:r>
        <w:rPr/>
        <w:t>decorre</w:t>
      </w:r>
      <w:r>
        <w:rPr>
          <w:spacing w:val="-20"/>
        </w:rPr>
        <w:t> </w:t>
      </w:r>
      <w:r>
        <w:rPr/>
        <w:t>basicamente</w:t>
      </w:r>
      <w:r>
        <w:rPr>
          <w:spacing w:val="-20"/>
        </w:rPr>
        <w:t> </w:t>
      </w:r>
      <w:r>
        <w:rPr/>
        <w:t>de</w:t>
      </w:r>
      <w:r>
        <w:rPr>
          <w:spacing w:val="-19"/>
        </w:rPr>
        <w:t> </w:t>
      </w:r>
      <w:r>
        <w:rPr/>
        <w:t>10 meses</w:t>
      </w:r>
      <w:r>
        <w:rPr>
          <w:spacing w:val="-16"/>
        </w:rPr>
        <w:t> </w:t>
      </w:r>
      <w:r>
        <w:rPr/>
        <w:t>de</w:t>
      </w:r>
      <w:r>
        <w:rPr>
          <w:spacing w:val="-17"/>
        </w:rPr>
        <w:t> </w:t>
      </w:r>
      <w:r>
        <w:rPr/>
        <w:t>amortização</w:t>
      </w:r>
      <w:r>
        <w:rPr>
          <w:spacing w:val="-18"/>
        </w:rPr>
        <w:t> </w:t>
      </w:r>
      <w:r>
        <w:rPr/>
        <w:t>da</w:t>
      </w:r>
      <w:r>
        <w:rPr>
          <w:spacing w:val="-17"/>
        </w:rPr>
        <w:t> </w:t>
      </w:r>
      <w:r>
        <w:rPr/>
        <w:t>CVA</w:t>
      </w:r>
      <w:r>
        <w:rPr>
          <w:spacing w:val="-15"/>
        </w:rPr>
        <w:t> </w:t>
      </w:r>
      <w:r>
        <w:rPr/>
        <w:t>energia</w:t>
      </w:r>
      <w:r>
        <w:rPr>
          <w:spacing w:val="-17"/>
        </w:rPr>
        <w:t> </w:t>
      </w:r>
      <w:r>
        <w:rPr/>
        <w:t>reconhecida</w:t>
      </w:r>
      <w:r>
        <w:rPr>
          <w:spacing w:val="-16"/>
        </w:rPr>
        <w:t> </w:t>
      </w:r>
      <w:r>
        <w:rPr/>
        <w:t>no</w:t>
      </w:r>
      <w:r>
        <w:rPr>
          <w:spacing w:val="-15"/>
        </w:rPr>
        <w:t> </w:t>
      </w:r>
      <w:r>
        <w:rPr/>
        <w:t>ciclo</w:t>
      </w:r>
      <w:r>
        <w:rPr>
          <w:spacing w:val="-18"/>
        </w:rPr>
        <w:t> </w:t>
      </w:r>
      <w:r>
        <w:rPr/>
        <w:t>anterior</w:t>
      </w:r>
      <w:r>
        <w:rPr>
          <w:spacing w:val="-18"/>
        </w:rPr>
        <w:t> </w:t>
      </w:r>
      <w:r>
        <w:rPr/>
        <w:t>(2018/2019</w:t>
      </w:r>
      <w:r>
        <w:rPr>
          <w:spacing w:val="-8"/>
        </w:rPr>
        <w:t> </w:t>
      </w:r>
      <w:r>
        <w:rPr/>
        <w:t>-</w:t>
      </w:r>
      <w:r>
        <w:rPr>
          <w:spacing w:val="29"/>
        </w:rPr>
        <w:t> </w:t>
      </w:r>
      <w:r>
        <w:rPr/>
        <w:t>RTA</w:t>
      </w:r>
      <w:r>
        <w:rPr>
          <w:spacing w:val="-16"/>
        </w:rPr>
        <w:t> </w:t>
      </w:r>
      <w:r>
        <w:rPr/>
        <w:t>2018),</w:t>
      </w:r>
      <w:r>
        <w:rPr>
          <w:spacing w:val="-16"/>
        </w:rPr>
        <w:t> </w:t>
      </w:r>
      <w:r>
        <w:rPr/>
        <w:t>no</w:t>
      </w:r>
      <w:r>
        <w:rPr>
          <w:spacing w:val="-16"/>
        </w:rPr>
        <w:t> </w:t>
      </w:r>
      <w:r>
        <w:rPr/>
        <w:t>montante</w:t>
      </w:r>
      <w:r>
        <w:rPr>
          <w:spacing w:val="-17"/>
        </w:rPr>
        <w:t> </w:t>
      </w:r>
      <w:r>
        <w:rPr/>
        <w:t>de</w:t>
      </w:r>
      <w:r>
        <w:rPr>
          <w:spacing w:val="-18"/>
        </w:rPr>
        <w:t> </w:t>
      </w:r>
      <w:r>
        <w:rPr/>
        <w:t>R$ 394,4</w:t>
      </w:r>
      <w:r>
        <w:rPr>
          <w:spacing w:val="-29"/>
        </w:rPr>
        <w:t> </w:t>
      </w:r>
      <w:r>
        <w:rPr/>
        <w:t>milhões</w:t>
      </w:r>
      <w:r>
        <w:rPr>
          <w:spacing w:val="-29"/>
        </w:rPr>
        <w:t> </w:t>
      </w:r>
      <w:r>
        <w:rPr/>
        <w:t>e</w:t>
      </w:r>
      <w:r>
        <w:rPr>
          <w:spacing w:val="-31"/>
        </w:rPr>
        <w:t> </w:t>
      </w:r>
      <w:r>
        <w:rPr/>
        <w:t>2</w:t>
      </w:r>
      <w:r>
        <w:rPr>
          <w:spacing w:val="-28"/>
        </w:rPr>
        <w:t> </w:t>
      </w:r>
      <w:r>
        <w:rPr/>
        <w:t>meses</w:t>
      </w:r>
      <w:r>
        <w:rPr>
          <w:spacing w:val="-29"/>
        </w:rPr>
        <w:t> </w:t>
      </w:r>
      <w:r>
        <w:rPr/>
        <w:t>de</w:t>
      </w:r>
      <w:r>
        <w:rPr>
          <w:spacing w:val="-28"/>
        </w:rPr>
        <w:t> </w:t>
      </w:r>
      <w:r>
        <w:rPr/>
        <w:t>amortização</w:t>
      </w:r>
      <w:r>
        <w:rPr>
          <w:spacing w:val="-30"/>
        </w:rPr>
        <w:t> </w:t>
      </w:r>
      <w:r>
        <w:rPr/>
        <w:t>do</w:t>
      </w:r>
      <w:r>
        <w:rPr>
          <w:spacing w:val="-30"/>
        </w:rPr>
        <w:t> </w:t>
      </w:r>
      <w:r>
        <w:rPr/>
        <w:t>ciclo</w:t>
      </w:r>
      <w:r>
        <w:rPr>
          <w:spacing w:val="-29"/>
        </w:rPr>
        <w:t> </w:t>
      </w:r>
      <w:r>
        <w:rPr/>
        <w:t>atual</w:t>
      </w:r>
      <w:r>
        <w:rPr>
          <w:spacing w:val="-29"/>
        </w:rPr>
        <w:t> </w:t>
      </w:r>
      <w:r>
        <w:rPr/>
        <w:t>(2019/2020</w:t>
      </w:r>
      <w:r>
        <w:rPr>
          <w:spacing w:val="-26"/>
        </w:rPr>
        <w:t> </w:t>
      </w:r>
      <w:r>
        <w:rPr/>
        <w:t>-</w:t>
      </w:r>
      <w:r>
        <w:rPr>
          <w:spacing w:val="-28"/>
        </w:rPr>
        <w:t> </w:t>
      </w:r>
      <w:r>
        <w:rPr/>
        <w:t>RTA</w:t>
      </w:r>
      <w:r>
        <w:rPr>
          <w:spacing w:val="-29"/>
        </w:rPr>
        <w:t> </w:t>
      </w:r>
      <w:r>
        <w:rPr/>
        <w:t>2019),</w:t>
      </w:r>
      <w:r>
        <w:rPr>
          <w:spacing w:val="-29"/>
        </w:rPr>
        <w:t> </w:t>
      </w:r>
      <w:r>
        <w:rPr/>
        <w:t>no</w:t>
      </w:r>
      <w:r>
        <w:rPr>
          <w:spacing w:val="-29"/>
        </w:rPr>
        <w:t> </w:t>
      </w:r>
      <w:r>
        <w:rPr/>
        <w:t>montante</w:t>
      </w:r>
      <w:r>
        <w:rPr>
          <w:spacing w:val="-31"/>
        </w:rPr>
        <w:t> </w:t>
      </w:r>
      <w:r>
        <w:rPr/>
        <w:t>de</w:t>
      </w:r>
      <w:r>
        <w:rPr>
          <w:spacing w:val="-30"/>
        </w:rPr>
        <w:t> </w:t>
      </w:r>
      <w:r>
        <w:rPr/>
        <w:t>R$</w:t>
      </w:r>
      <w:r>
        <w:rPr>
          <w:spacing w:val="-29"/>
        </w:rPr>
        <w:t> </w:t>
      </w:r>
      <w:r>
        <w:rPr/>
        <w:t>236,2</w:t>
      </w:r>
      <w:r>
        <w:rPr>
          <w:spacing w:val="-29"/>
        </w:rPr>
        <w:t> </w:t>
      </w:r>
      <w:r>
        <w:rPr/>
        <w:t>milhões.</w:t>
      </w:r>
      <w:r>
        <w:rPr>
          <w:spacing w:val="-29"/>
        </w:rPr>
        <w:t> </w:t>
      </w:r>
      <w:r>
        <w:rPr/>
        <w:t>A constituição,</w:t>
      </w:r>
      <w:r>
        <w:rPr>
          <w:spacing w:val="-44"/>
        </w:rPr>
        <w:t> </w:t>
      </w:r>
      <w:r>
        <w:rPr/>
        <w:t>refere-se,</w:t>
      </w:r>
      <w:r>
        <w:rPr>
          <w:spacing w:val="-42"/>
        </w:rPr>
        <w:t> </w:t>
      </w:r>
      <w:r>
        <w:rPr/>
        <w:t>principalmente,</w:t>
      </w:r>
      <w:r>
        <w:rPr>
          <w:spacing w:val="-43"/>
        </w:rPr>
        <w:t> </w:t>
      </w:r>
      <w:r>
        <w:rPr/>
        <w:t>aos</w:t>
      </w:r>
      <w:r>
        <w:rPr>
          <w:spacing w:val="-43"/>
        </w:rPr>
        <w:t> </w:t>
      </w:r>
      <w:r>
        <w:rPr/>
        <w:t>custos</w:t>
      </w:r>
      <w:r>
        <w:rPr>
          <w:spacing w:val="-43"/>
        </w:rPr>
        <w:t> </w:t>
      </w:r>
      <w:r>
        <w:rPr/>
        <w:t>no</w:t>
      </w:r>
      <w:r>
        <w:rPr>
          <w:spacing w:val="-42"/>
        </w:rPr>
        <w:t> </w:t>
      </w:r>
      <w:r>
        <w:rPr/>
        <w:t>mercado</w:t>
      </w:r>
      <w:r>
        <w:rPr>
          <w:spacing w:val="-44"/>
        </w:rPr>
        <w:t> </w:t>
      </w:r>
      <w:r>
        <w:rPr/>
        <w:t>de</w:t>
      </w:r>
      <w:r>
        <w:rPr>
          <w:spacing w:val="-42"/>
        </w:rPr>
        <w:t> </w:t>
      </w:r>
      <w:r>
        <w:rPr/>
        <w:t>curto</w:t>
      </w:r>
      <w:r>
        <w:rPr>
          <w:spacing w:val="-43"/>
        </w:rPr>
        <w:t> </w:t>
      </w:r>
      <w:r>
        <w:rPr/>
        <w:t>prazo</w:t>
      </w:r>
      <w:r>
        <w:rPr>
          <w:spacing w:val="-42"/>
        </w:rPr>
        <w:t> </w:t>
      </w:r>
      <w:r>
        <w:rPr/>
        <w:t>decorrentes</w:t>
      </w:r>
      <w:r>
        <w:rPr>
          <w:spacing w:val="-43"/>
        </w:rPr>
        <w:t> </w:t>
      </w:r>
      <w:r>
        <w:rPr/>
        <w:t>dos</w:t>
      </w:r>
      <w:r>
        <w:rPr>
          <w:spacing w:val="-44"/>
        </w:rPr>
        <w:t> </w:t>
      </w:r>
      <w:r>
        <w:rPr/>
        <w:t>altos</w:t>
      </w:r>
      <w:r>
        <w:rPr>
          <w:spacing w:val="-43"/>
        </w:rPr>
        <w:t> </w:t>
      </w:r>
      <w:r>
        <w:rPr/>
        <w:t>valores</w:t>
      </w:r>
      <w:r>
        <w:rPr>
          <w:spacing w:val="-43"/>
        </w:rPr>
        <w:t> </w:t>
      </w:r>
      <w:r>
        <w:rPr/>
        <w:t>de</w:t>
      </w:r>
      <w:r>
        <w:rPr>
          <w:spacing w:val="-43"/>
        </w:rPr>
        <w:t> </w:t>
      </w:r>
      <w:r>
        <w:rPr/>
        <w:t>Risco Hidrológico</w:t>
      </w:r>
      <w:r>
        <w:rPr>
          <w:spacing w:val="-16"/>
        </w:rPr>
        <w:t> </w:t>
      </w:r>
      <w:r>
        <w:rPr/>
        <w:t>que</w:t>
      </w:r>
      <w:r>
        <w:rPr>
          <w:spacing w:val="-20"/>
        </w:rPr>
        <w:t> </w:t>
      </w:r>
      <w:r>
        <w:rPr/>
        <w:t>são</w:t>
      </w:r>
      <w:r>
        <w:rPr>
          <w:spacing w:val="-16"/>
        </w:rPr>
        <w:t> </w:t>
      </w:r>
      <w:r>
        <w:rPr/>
        <w:t>precificados</w:t>
      </w:r>
      <w:r>
        <w:rPr>
          <w:spacing w:val="-18"/>
        </w:rPr>
        <w:t> </w:t>
      </w:r>
      <w:r>
        <w:rPr/>
        <w:t>pelo</w:t>
      </w:r>
      <w:r>
        <w:rPr>
          <w:spacing w:val="-16"/>
        </w:rPr>
        <w:t> </w:t>
      </w:r>
      <w:r>
        <w:rPr/>
        <w:t>PLD.</w:t>
      </w:r>
    </w:p>
    <w:p>
      <w:pPr>
        <w:pStyle w:val="BodyText"/>
        <w:spacing w:line="242" w:lineRule="auto" w:before="1"/>
        <w:ind w:left="172" w:right="413"/>
        <w:jc w:val="both"/>
      </w:pPr>
      <w:r>
        <w:rPr/>
        <w:t>O</w:t>
      </w:r>
      <w:r>
        <w:rPr>
          <w:spacing w:val="-21"/>
        </w:rPr>
        <w:t> </w:t>
      </w:r>
      <w:r>
        <w:rPr/>
        <w:t>Risco</w:t>
      </w:r>
      <w:r>
        <w:rPr>
          <w:spacing w:val="-19"/>
        </w:rPr>
        <w:t> </w:t>
      </w:r>
      <w:r>
        <w:rPr/>
        <w:t>Hidrológico</w:t>
      </w:r>
      <w:r>
        <w:rPr>
          <w:spacing w:val="-19"/>
        </w:rPr>
        <w:t> </w:t>
      </w:r>
      <w:r>
        <w:rPr/>
        <w:t>ativo</w:t>
      </w:r>
      <w:r>
        <w:rPr>
          <w:spacing w:val="-18"/>
        </w:rPr>
        <w:t> </w:t>
      </w:r>
      <w:r>
        <w:rPr/>
        <w:t>foi</w:t>
      </w:r>
      <w:r>
        <w:rPr>
          <w:spacing w:val="-21"/>
        </w:rPr>
        <w:t> </w:t>
      </w:r>
      <w:r>
        <w:rPr/>
        <w:t>impactado</w:t>
      </w:r>
      <w:r>
        <w:rPr>
          <w:spacing w:val="-20"/>
        </w:rPr>
        <w:t> </w:t>
      </w:r>
      <w:r>
        <w:rPr/>
        <w:t>pela</w:t>
      </w:r>
      <w:r>
        <w:rPr>
          <w:spacing w:val="-18"/>
        </w:rPr>
        <w:t> </w:t>
      </w:r>
      <w:r>
        <w:rPr/>
        <w:t>amortização</w:t>
      </w:r>
      <w:r>
        <w:rPr>
          <w:spacing w:val="-20"/>
        </w:rPr>
        <w:t> </w:t>
      </w:r>
      <w:r>
        <w:rPr/>
        <w:t>de</w:t>
      </w:r>
      <w:r>
        <w:rPr>
          <w:spacing w:val="-21"/>
        </w:rPr>
        <w:t> </w:t>
      </w:r>
      <w:r>
        <w:rPr/>
        <w:t>R$</w:t>
      </w:r>
      <w:r>
        <w:rPr>
          <w:spacing w:val="-18"/>
        </w:rPr>
        <w:t> </w:t>
      </w:r>
      <w:r>
        <w:rPr/>
        <w:t>101</w:t>
      </w:r>
      <w:r>
        <w:rPr>
          <w:spacing w:val="-17"/>
        </w:rPr>
        <w:t> </w:t>
      </w:r>
      <w:r>
        <w:rPr/>
        <w:t>milhões</w:t>
      </w:r>
      <w:r>
        <w:rPr>
          <w:spacing w:val="-18"/>
        </w:rPr>
        <w:t> </w:t>
      </w:r>
      <w:r>
        <w:rPr/>
        <w:t>em</w:t>
      </w:r>
      <w:r>
        <w:rPr>
          <w:spacing w:val="-18"/>
        </w:rPr>
        <w:t> </w:t>
      </w:r>
      <w:r>
        <w:rPr/>
        <w:t>de</w:t>
      </w:r>
      <w:r>
        <w:rPr>
          <w:spacing w:val="-18"/>
        </w:rPr>
        <w:t> </w:t>
      </w:r>
      <w:r>
        <w:rPr/>
        <w:t>2019,</w:t>
      </w:r>
      <w:r>
        <w:rPr>
          <w:spacing w:val="-20"/>
        </w:rPr>
        <w:t> </w:t>
      </w:r>
      <w:r>
        <w:rPr/>
        <w:t>considerando</w:t>
      </w:r>
      <w:r>
        <w:rPr>
          <w:spacing w:val="-18"/>
        </w:rPr>
        <w:t> </w:t>
      </w:r>
      <w:r>
        <w:rPr/>
        <w:t>também</w:t>
      </w:r>
      <w:r>
        <w:rPr>
          <w:spacing w:val="-20"/>
        </w:rPr>
        <w:t> </w:t>
      </w:r>
      <w:r>
        <w:rPr/>
        <w:t>o ciclo</w:t>
      </w:r>
      <w:r>
        <w:rPr>
          <w:spacing w:val="-35"/>
        </w:rPr>
        <w:t> </w:t>
      </w:r>
      <w:r>
        <w:rPr/>
        <w:t>anterior</w:t>
      </w:r>
      <w:r>
        <w:rPr>
          <w:spacing w:val="-33"/>
        </w:rPr>
        <w:t> </w:t>
      </w:r>
      <w:r>
        <w:rPr/>
        <w:t>e</w:t>
      </w:r>
      <w:r>
        <w:rPr>
          <w:spacing w:val="-35"/>
        </w:rPr>
        <w:t> </w:t>
      </w:r>
      <w:r>
        <w:rPr/>
        <w:t>atual,</w:t>
      </w:r>
      <w:r>
        <w:rPr>
          <w:spacing w:val="-34"/>
        </w:rPr>
        <w:t> </w:t>
      </w:r>
      <w:r>
        <w:rPr/>
        <w:t>além</w:t>
      </w:r>
      <w:r>
        <w:rPr>
          <w:spacing w:val="-35"/>
        </w:rPr>
        <w:t> </w:t>
      </w:r>
      <w:r>
        <w:rPr/>
        <w:t>da</w:t>
      </w:r>
      <w:r>
        <w:rPr>
          <w:spacing w:val="-33"/>
        </w:rPr>
        <w:t> </w:t>
      </w:r>
      <w:r>
        <w:rPr/>
        <w:t>constituição</w:t>
      </w:r>
      <w:r>
        <w:rPr>
          <w:spacing w:val="-35"/>
        </w:rPr>
        <w:t> </w:t>
      </w:r>
      <w:r>
        <w:rPr/>
        <w:t>do</w:t>
      </w:r>
      <w:r>
        <w:rPr>
          <w:spacing w:val="-34"/>
        </w:rPr>
        <w:t> </w:t>
      </w:r>
      <w:r>
        <w:rPr/>
        <w:t>adiantamento</w:t>
      </w:r>
      <w:r>
        <w:rPr>
          <w:spacing w:val="-34"/>
        </w:rPr>
        <w:t> </w:t>
      </w:r>
      <w:r>
        <w:rPr/>
        <w:t>da</w:t>
      </w:r>
      <w:r>
        <w:rPr>
          <w:spacing w:val="-34"/>
        </w:rPr>
        <w:t> </w:t>
      </w:r>
      <w:r>
        <w:rPr/>
        <w:t>Previsão</w:t>
      </w:r>
      <w:r>
        <w:rPr>
          <w:spacing w:val="-34"/>
        </w:rPr>
        <w:t> </w:t>
      </w:r>
      <w:r>
        <w:rPr/>
        <w:t>do</w:t>
      </w:r>
      <w:r>
        <w:rPr>
          <w:spacing w:val="-35"/>
        </w:rPr>
        <w:t> </w:t>
      </w:r>
      <w:r>
        <w:rPr/>
        <w:t>Risco</w:t>
      </w:r>
      <w:r>
        <w:rPr>
          <w:spacing w:val="-34"/>
        </w:rPr>
        <w:t> </w:t>
      </w:r>
      <w:r>
        <w:rPr/>
        <w:t>Hidrológico</w:t>
      </w:r>
      <w:r>
        <w:rPr>
          <w:spacing w:val="-34"/>
        </w:rPr>
        <w:t> </w:t>
      </w:r>
      <w:r>
        <w:rPr/>
        <w:t>de</w:t>
      </w:r>
      <w:r>
        <w:rPr>
          <w:spacing w:val="-35"/>
        </w:rPr>
        <w:t> </w:t>
      </w:r>
      <w:r>
        <w:rPr/>
        <w:t>R$</w:t>
      </w:r>
      <w:r>
        <w:rPr>
          <w:spacing w:val="-34"/>
        </w:rPr>
        <w:t> </w:t>
      </w:r>
      <w:r>
        <w:rPr/>
        <w:t>144,04</w:t>
      </w:r>
      <w:r>
        <w:rPr>
          <w:spacing w:val="-34"/>
        </w:rPr>
        <w:t> </w:t>
      </w:r>
      <w:r>
        <w:rPr/>
        <w:t>milhões, reconhecido</w:t>
      </w:r>
      <w:r>
        <w:rPr>
          <w:spacing w:val="-26"/>
        </w:rPr>
        <w:t> </w:t>
      </w:r>
      <w:r>
        <w:rPr/>
        <w:t>na</w:t>
      </w:r>
      <w:r>
        <w:rPr>
          <w:spacing w:val="-25"/>
        </w:rPr>
        <w:t> </w:t>
      </w:r>
      <w:r>
        <w:rPr/>
        <w:t>RTA</w:t>
      </w:r>
      <w:r>
        <w:rPr>
          <w:spacing w:val="-26"/>
        </w:rPr>
        <w:t> </w:t>
      </w:r>
      <w:r>
        <w:rPr/>
        <w:t>2019,</w:t>
      </w:r>
      <w:r>
        <w:rPr>
          <w:spacing w:val="-26"/>
        </w:rPr>
        <w:t> </w:t>
      </w:r>
      <w:r>
        <w:rPr/>
        <w:t>conforme</w:t>
      </w:r>
      <w:r>
        <w:rPr>
          <w:spacing w:val="-26"/>
        </w:rPr>
        <w:t> </w:t>
      </w:r>
      <w:r>
        <w:rPr/>
        <w:t>definido</w:t>
      </w:r>
      <w:r>
        <w:rPr>
          <w:spacing w:val="-25"/>
        </w:rPr>
        <w:t> </w:t>
      </w:r>
      <w:r>
        <w:rPr/>
        <w:t>no</w:t>
      </w:r>
      <w:r>
        <w:rPr>
          <w:spacing w:val="-24"/>
        </w:rPr>
        <w:t> </w:t>
      </w:r>
      <w:r>
        <w:rPr/>
        <w:t>item</w:t>
      </w:r>
      <w:r>
        <w:rPr>
          <w:spacing w:val="-24"/>
        </w:rPr>
        <w:t> </w:t>
      </w:r>
      <w:r>
        <w:rPr/>
        <w:t>5.12</w:t>
      </w:r>
      <w:r>
        <w:rPr>
          <w:spacing w:val="-26"/>
        </w:rPr>
        <w:t> </w:t>
      </w:r>
      <w:r>
        <w:rPr/>
        <w:t>do</w:t>
      </w:r>
      <w:r>
        <w:rPr>
          <w:spacing w:val="-25"/>
        </w:rPr>
        <w:t> </w:t>
      </w:r>
      <w:r>
        <w:rPr/>
        <w:t>Submódulo</w:t>
      </w:r>
      <w:r>
        <w:rPr>
          <w:spacing w:val="-24"/>
        </w:rPr>
        <w:t> </w:t>
      </w:r>
      <w:r>
        <w:rPr/>
        <w:t>4.4A</w:t>
      </w:r>
      <w:r>
        <w:rPr>
          <w:spacing w:val="-25"/>
        </w:rPr>
        <w:t> </w:t>
      </w:r>
      <w:r>
        <w:rPr/>
        <w:t>do</w:t>
      </w:r>
      <w:r>
        <w:rPr>
          <w:spacing w:val="-24"/>
        </w:rPr>
        <w:t> </w:t>
      </w:r>
      <w:r>
        <w:rPr/>
        <w:t>PRORET,</w:t>
      </w:r>
      <w:r>
        <w:rPr>
          <w:spacing w:val="-26"/>
        </w:rPr>
        <w:t> </w:t>
      </w:r>
      <w:r>
        <w:rPr/>
        <w:t>o</w:t>
      </w:r>
      <w:r>
        <w:rPr>
          <w:spacing w:val="-24"/>
        </w:rPr>
        <w:t> </w:t>
      </w:r>
      <w:r>
        <w:rPr/>
        <w:t>qual</w:t>
      </w:r>
      <w:r>
        <w:rPr>
          <w:spacing w:val="-25"/>
        </w:rPr>
        <w:t> </w:t>
      </w:r>
      <w:r>
        <w:rPr/>
        <w:t>será</w:t>
      </w:r>
      <w:r>
        <w:rPr>
          <w:spacing w:val="-24"/>
        </w:rPr>
        <w:t> </w:t>
      </w:r>
      <w:r>
        <w:rPr/>
        <w:t>revertido</w:t>
      </w:r>
      <w:r>
        <w:rPr>
          <w:spacing w:val="-26"/>
        </w:rPr>
        <w:t> </w:t>
      </w:r>
      <w:r>
        <w:rPr/>
        <w:t>no processo tarifário subsequente devidamente atualizado. Por se tratar de “adiantamento” de custos ainda não incorridos,</w:t>
      </w:r>
      <w:r>
        <w:rPr>
          <w:spacing w:val="-7"/>
        </w:rPr>
        <w:t> </w:t>
      </w:r>
      <w:r>
        <w:rPr/>
        <w:t>ao</w:t>
      </w:r>
      <w:r>
        <w:rPr>
          <w:spacing w:val="-6"/>
        </w:rPr>
        <w:t> </w:t>
      </w:r>
      <w:r>
        <w:rPr/>
        <w:t>registrar</w:t>
      </w:r>
      <w:r>
        <w:rPr>
          <w:spacing w:val="-6"/>
        </w:rPr>
        <w:t> </w:t>
      </w:r>
      <w:r>
        <w:rPr/>
        <w:t>o</w:t>
      </w:r>
      <w:r>
        <w:rPr>
          <w:spacing w:val="-7"/>
        </w:rPr>
        <w:t> </w:t>
      </w:r>
      <w:r>
        <w:rPr/>
        <w:t>montante</w:t>
      </w:r>
      <w:r>
        <w:rPr>
          <w:spacing w:val="-6"/>
        </w:rPr>
        <w:t> </w:t>
      </w:r>
      <w:r>
        <w:rPr/>
        <w:t>no</w:t>
      </w:r>
      <w:r>
        <w:rPr>
          <w:spacing w:val="-5"/>
        </w:rPr>
        <w:t> </w:t>
      </w:r>
      <w:r>
        <w:rPr/>
        <w:t>Ativo,</w:t>
      </w:r>
      <w:r>
        <w:rPr>
          <w:spacing w:val="-7"/>
        </w:rPr>
        <w:t> </w:t>
      </w:r>
      <w:r>
        <w:rPr/>
        <w:t>provisionou-se</w:t>
      </w:r>
      <w:r>
        <w:rPr>
          <w:spacing w:val="-8"/>
        </w:rPr>
        <w:t> </w:t>
      </w:r>
      <w:r>
        <w:rPr/>
        <w:t>o</w:t>
      </w:r>
      <w:r>
        <w:rPr>
          <w:spacing w:val="-7"/>
        </w:rPr>
        <w:t> </w:t>
      </w:r>
      <w:r>
        <w:rPr/>
        <w:t>mesmo</w:t>
      </w:r>
      <w:r>
        <w:rPr>
          <w:spacing w:val="-5"/>
        </w:rPr>
        <w:t> </w:t>
      </w:r>
      <w:r>
        <w:rPr/>
        <w:t>montante</w:t>
      </w:r>
      <w:r>
        <w:rPr>
          <w:spacing w:val="-9"/>
        </w:rPr>
        <w:t> </w:t>
      </w:r>
      <w:r>
        <w:rPr/>
        <w:t>no</w:t>
      </w:r>
      <w:r>
        <w:rPr>
          <w:spacing w:val="-7"/>
        </w:rPr>
        <w:t> </w:t>
      </w:r>
      <w:r>
        <w:rPr/>
        <w:t>Passivo</w:t>
      </w:r>
      <w:r>
        <w:rPr>
          <w:spacing w:val="-7"/>
        </w:rPr>
        <w:t> </w:t>
      </w:r>
      <w:r>
        <w:rPr/>
        <w:t>para</w:t>
      </w:r>
      <w:r>
        <w:rPr>
          <w:spacing w:val="-6"/>
        </w:rPr>
        <w:t> </w:t>
      </w:r>
      <w:r>
        <w:rPr/>
        <w:t>a</w:t>
      </w:r>
      <w:r>
        <w:rPr>
          <w:spacing w:val="-6"/>
        </w:rPr>
        <w:t> </w:t>
      </w:r>
      <w:r>
        <w:rPr/>
        <w:t>devolução</w:t>
      </w:r>
      <w:r>
        <w:rPr>
          <w:spacing w:val="-7"/>
        </w:rPr>
        <w:t> </w:t>
      </w:r>
      <w:r>
        <w:rPr/>
        <w:t>no reajuste</w:t>
      </w:r>
      <w:r>
        <w:rPr>
          <w:spacing w:val="-21"/>
        </w:rPr>
        <w:t> </w:t>
      </w:r>
      <w:r>
        <w:rPr/>
        <w:t>seguinte</w:t>
      </w:r>
      <w:r>
        <w:rPr>
          <w:spacing w:val="-19"/>
        </w:rPr>
        <w:t> </w:t>
      </w:r>
      <w:r>
        <w:rPr/>
        <w:t>mantendo</w:t>
      </w:r>
      <w:r>
        <w:rPr>
          <w:spacing w:val="-18"/>
        </w:rPr>
        <w:t> </w:t>
      </w:r>
      <w:r>
        <w:rPr/>
        <w:t>a</w:t>
      </w:r>
      <w:r>
        <w:rPr>
          <w:spacing w:val="-19"/>
        </w:rPr>
        <w:t> </w:t>
      </w:r>
      <w:r>
        <w:rPr/>
        <w:t>neutralidade</w:t>
      </w:r>
      <w:r>
        <w:rPr>
          <w:spacing w:val="-19"/>
        </w:rPr>
        <w:t> </w:t>
      </w:r>
      <w:r>
        <w:rPr/>
        <w:t>no</w:t>
      </w:r>
      <w:r>
        <w:rPr>
          <w:spacing w:val="-18"/>
        </w:rPr>
        <w:t> </w:t>
      </w:r>
      <w:r>
        <w:rPr/>
        <w:t>resultado.</w:t>
      </w:r>
    </w:p>
    <w:p>
      <w:pPr>
        <w:pStyle w:val="BodyText"/>
        <w:spacing w:line="242" w:lineRule="auto"/>
        <w:ind w:left="172" w:right="411"/>
        <w:jc w:val="both"/>
      </w:pPr>
      <w:r>
        <w:rPr/>
        <w:t>A ANEEL reprocessou os cálculos dos Acordos Bilaterais celebrados pela CEB DIS que foram considerados nos reajustes</w:t>
      </w:r>
      <w:r>
        <w:rPr>
          <w:spacing w:val="-44"/>
        </w:rPr>
        <w:t> </w:t>
      </w:r>
      <w:r>
        <w:rPr/>
        <w:t>anteriores</w:t>
      </w:r>
      <w:r>
        <w:rPr>
          <w:spacing w:val="-42"/>
        </w:rPr>
        <w:t> </w:t>
      </w:r>
      <w:r>
        <w:rPr/>
        <w:t>(RTA</w:t>
      </w:r>
      <w:r>
        <w:rPr>
          <w:spacing w:val="-44"/>
        </w:rPr>
        <w:t> </w:t>
      </w:r>
      <w:r>
        <w:rPr/>
        <w:t>2017</w:t>
      </w:r>
      <w:r>
        <w:rPr>
          <w:spacing w:val="-42"/>
        </w:rPr>
        <w:t> </w:t>
      </w:r>
      <w:r>
        <w:rPr/>
        <w:t>e</w:t>
      </w:r>
      <w:r>
        <w:rPr>
          <w:spacing w:val="-44"/>
        </w:rPr>
        <w:t> </w:t>
      </w:r>
      <w:r>
        <w:rPr/>
        <w:t>2018)</w:t>
      </w:r>
      <w:r>
        <w:rPr>
          <w:spacing w:val="-43"/>
        </w:rPr>
        <w:t> </w:t>
      </w:r>
      <w:r>
        <w:rPr/>
        <w:t>além</w:t>
      </w:r>
      <w:r>
        <w:rPr>
          <w:spacing w:val="-43"/>
        </w:rPr>
        <w:t> </w:t>
      </w:r>
      <w:r>
        <w:rPr/>
        <w:t>de</w:t>
      </w:r>
      <w:r>
        <w:rPr>
          <w:spacing w:val="-44"/>
        </w:rPr>
        <w:t> </w:t>
      </w:r>
      <w:r>
        <w:rPr/>
        <w:t>reconhecer</w:t>
      </w:r>
      <w:r>
        <w:rPr>
          <w:spacing w:val="-43"/>
        </w:rPr>
        <w:t> </w:t>
      </w:r>
      <w:r>
        <w:rPr/>
        <w:t>o</w:t>
      </w:r>
      <w:r>
        <w:rPr>
          <w:spacing w:val="-42"/>
        </w:rPr>
        <w:t> </w:t>
      </w:r>
      <w:r>
        <w:rPr/>
        <w:t>direito</w:t>
      </w:r>
      <w:r>
        <w:rPr>
          <w:spacing w:val="-43"/>
        </w:rPr>
        <w:t> </w:t>
      </w:r>
      <w:r>
        <w:rPr/>
        <w:t>daqueles</w:t>
      </w:r>
      <w:r>
        <w:rPr>
          <w:spacing w:val="-43"/>
        </w:rPr>
        <w:t> </w:t>
      </w:r>
      <w:r>
        <w:rPr/>
        <w:t>realizados</w:t>
      </w:r>
      <w:r>
        <w:rPr>
          <w:spacing w:val="-43"/>
        </w:rPr>
        <w:t> </w:t>
      </w:r>
      <w:r>
        <w:rPr/>
        <w:t>no</w:t>
      </w:r>
      <w:r>
        <w:rPr>
          <w:spacing w:val="-44"/>
        </w:rPr>
        <w:t> </w:t>
      </w:r>
      <w:r>
        <w:rPr/>
        <w:t>ciclo</w:t>
      </w:r>
      <w:r>
        <w:rPr>
          <w:spacing w:val="-43"/>
        </w:rPr>
        <w:t> </w:t>
      </w:r>
      <w:r>
        <w:rPr/>
        <w:t>regulatório</w:t>
      </w:r>
      <w:r>
        <w:rPr>
          <w:spacing w:val="-43"/>
        </w:rPr>
        <w:t> </w:t>
      </w:r>
      <w:r>
        <w:rPr/>
        <w:t>vigente, totalizando</w:t>
      </w:r>
      <w:r>
        <w:rPr>
          <w:spacing w:val="-23"/>
        </w:rPr>
        <w:t> </w:t>
      </w:r>
      <w:r>
        <w:rPr/>
        <w:t>o</w:t>
      </w:r>
      <w:r>
        <w:rPr>
          <w:spacing w:val="-25"/>
        </w:rPr>
        <w:t> </w:t>
      </w:r>
      <w:r>
        <w:rPr/>
        <w:t>montante</w:t>
      </w:r>
      <w:r>
        <w:rPr>
          <w:spacing w:val="-23"/>
        </w:rPr>
        <w:t> </w:t>
      </w:r>
      <w:r>
        <w:rPr/>
        <w:t>de</w:t>
      </w:r>
      <w:r>
        <w:rPr>
          <w:spacing w:val="-22"/>
        </w:rPr>
        <w:t> </w:t>
      </w:r>
      <w:r>
        <w:rPr/>
        <w:t>R$</w:t>
      </w:r>
      <w:r>
        <w:rPr>
          <w:spacing w:val="-24"/>
        </w:rPr>
        <w:t> </w:t>
      </w:r>
      <w:r>
        <w:rPr/>
        <w:t>24</w:t>
      </w:r>
      <w:r>
        <w:rPr>
          <w:spacing w:val="-23"/>
        </w:rPr>
        <w:t> </w:t>
      </w:r>
      <w:r>
        <w:rPr/>
        <w:t>milhões,</w:t>
      </w:r>
      <w:r>
        <w:rPr>
          <w:spacing w:val="-22"/>
        </w:rPr>
        <w:t> </w:t>
      </w:r>
      <w:r>
        <w:rPr/>
        <w:t>o</w:t>
      </w:r>
      <w:r>
        <w:rPr>
          <w:spacing w:val="-23"/>
        </w:rPr>
        <w:t> </w:t>
      </w:r>
      <w:r>
        <w:rPr/>
        <w:t>qual</w:t>
      </w:r>
      <w:r>
        <w:rPr>
          <w:spacing w:val="-22"/>
        </w:rPr>
        <w:t> </w:t>
      </w:r>
      <w:r>
        <w:rPr/>
        <w:t>foi</w:t>
      </w:r>
      <w:r>
        <w:rPr>
          <w:spacing w:val="-23"/>
        </w:rPr>
        <w:t> </w:t>
      </w:r>
      <w:r>
        <w:rPr/>
        <w:t>registrado</w:t>
      </w:r>
      <w:r>
        <w:rPr>
          <w:spacing w:val="-23"/>
        </w:rPr>
        <w:t> </w:t>
      </w:r>
      <w:r>
        <w:rPr/>
        <w:t>como</w:t>
      </w:r>
      <w:r>
        <w:rPr>
          <w:spacing w:val="-23"/>
        </w:rPr>
        <w:t> </w:t>
      </w:r>
      <w:r>
        <w:rPr/>
        <w:t>Ativo</w:t>
      </w:r>
      <w:r>
        <w:rPr>
          <w:spacing w:val="-23"/>
        </w:rPr>
        <w:t> </w:t>
      </w:r>
      <w:r>
        <w:rPr/>
        <w:t>Financeiro</w:t>
      </w:r>
      <w:r>
        <w:rPr>
          <w:spacing w:val="-24"/>
        </w:rPr>
        <w:t> </w:t>
      </w:r>
      <w:r>
        <w:rPr/>
        <w:t>Setorial</w:t>
      </w:r>
      <w:r>
        <w:rPr>
          <w:spacing w:val="-22"/>
        </w:rPr>
        <w:t> </w:t>
      </w:r>
      <w:r>
        <w:rPr/>
        <w:t>em</w:t>
      </w:r>
      <w:r>
        <w:rPr>
          <w:spacing w:val="-23"/>
        </w:rPr>
        <w:t> </w:t>
      </w:r>
      <w:r>
        <w:rPr/>
        <w:t>setembro</w:t>
      </w:r>
      <w:r>
        <w:rPr>
          <w:spacing w:val="-22"/>
        </w:rPr>
        <w:t> </w:t>
      </w:r>
      <w:r>
        <w:rPr/>
        <w:t>de</w:t>
      </w:r>
      <w:r>
        <w:rPr>
          <w:spacing w:val="-25"/>
        </w:rPr>
        <w:t> </w:t>
      </w:r>
      <w:r>
        <w:rPr/>
        <w:t>19, tendo</w:t>
      </w:r>
      <w:r>
        <w:rPr>
          <w:spacing w:val="-19"/>
        </w:rPr>
        <w:t> </w:t>
      </w:r>
      <w:r>
        <w:rPr/>
        <w:t>dois</w:t>
      </w:r>
      <w:r>
        <w:rPr>
          <w:spacing w:val="-17"/>
        </w:rPr>
        <w:t> </w:t>
      </w:r>
      <w:r>
        <w:rPr/>
        <w:t>meses</w:t>
      </w:r>
      <w:r>
        <w:rPr>
          <w:spacing w:val="-15"/>
        </w:rPr>
        <w:t> </w:t>
      </w:r>
      <w:r>
        <w:rPr/>
        <w:t>de</w:t>
      </w:r>
      <w:r>
        <w:rPr>
          <w:spacing w:val="-18"/>
        </w:rPr>
        <w:t> </w:t>
      </w:r>
      <w:r>
        <w:rPr/>
        <w:t>amortização.</w:t>
      </w:r>
    </w:p>
    <w:p>
      <w:pPr>
        <w:pStyle w:val="BodyText"/>
        <w:spacing w:line="242" w:lineRule="auto"/>
        <w:ind w:left="172" w:right="413"/>
        <w:jc w:val="both"/>
      </w:pPr>
      <w:r>
        <w:rPr/>
        <w:t>A</w:t>
      </w:r>
      <w:r>
        <w:rPr>
          <w:spacing w:val="-35"/>
        </w:rPr>
        <w:t> </w:t>
      </w:r>
      <w:r>
        <w:rPr/>
        <w:t>variação</w:t>
      </w:r>
      <w:r>
        <w:rPr>
          <w:spacing w:val="-34"/>
        </w:rPr>
        <w:t> </w:t>
      </w:r>
      <w:r>
        <w:rPr/>
        <w:t>entre</w:t>
      </w:r>
      <w:r>
        <w:rPr>
          <w:spacing w:val="-33"/>
        </w:rPr>
        <w:t> </w:t>
      </w:r>
      <w:r>
        <w:rPr/>
        <w:t>a</w:t>
      </w:r>
      <w:r>
        <w:rPr>
          <w:spacing w:val="-34"/>
        </w:rPr>
        <w:t> </w:t>
      </w:r>
      <w:r>
        <w:rPr/>
        <w:t>receita</w:t>
      </w:r>
      <w:r>
        <w:rPr>
          <w:spacing w:val="-33"/>
        </w:rPr>
        <w:t> </w:t>
      </w:r>
      <w:r>
        <w:rPr/>
        <w:t>auferida</w:t>
      </w:r>
      <w:r>
        <w:rPr>
          <w:spacing w:val="-33"/>
        </w:rPr>
        <w:t> </w:t>
      </w:r>
      <w:r>
        <w:rPr/>
        <w:t>pela</w:t>
      </w:r>
      <w:r>
        <w:rPr>
          <w:spacing w:val="-35"/>
        </w:rPr>
        <w:t> </w:t>
      </w:r>
      <w:r>
        <w:rPr/>
        <w:t>Companhia</w:t>
      </w:r>
      <w:r>
        <w:rPr>
          <w:spacing w:val="-33"/>
        </w:rPr>
        <w:t> </w:t>
      </w:r>
      <w:r>
        <w:rPr/>
        <w:t>e</w:t>
      </w:r>
      <w:r>
        <w:rPr>
          <w:spacing w:val="-34"/>
        </w:rPr>
        <w:t> </w:t>
      </w:r>
      <w:r>
        <w:rPr/>
        <w:t>a</w:t>
      </w:r>
      <w:r>
        <w:rPr>
          <w:spacing w:val="-35"/>
        </w:rPr>
        <w:t> </w:t>
      </w:r>
      <w:r>
        <w:rPr/>
        <w:t>cobertura</w:t>
      </w:r>
      <w:r>
        <w:rPr>
          <w:spacing w:val="-34"/>
        </w:rPr>
        <w:t> </w:t>
      </w:r>
      <w:r>
        <w:rPr/>
        <w:t>tarifária</w:t>
      </w:r>
      <w:r>
        <w:rPr>
          <w:spacing w:val="-34"/>
        </w:rPr>
        <w:t> </w:t>
      </w:r>
      <w:r>
        <w:rPr/>
        <w:t>prevista</w:t>
      </w:r>
      <w:r>
        <w:rPr>
          <w:spacing w:val="-33"/>
        </w:rPr>
        <w:t> </w:t>
      </w:r>
      <w:r>
        <w:rPr/>
        <w:t>pela</w:t>
      </w:r>
      <w:r>
        <w:rPr>
          <w:spacing w:val="-34"/>
        </w:rPr>
        <w:t> </w:t>
      </w:r>
      <w:r>
        <w:rPr/>
        <w:t>Aneel</w:t>
      </w:r>
      <w:r>
        <w:rPr>
          <w:spacing w:val="-34"/>
        </w:rPr>
        <w:t> </w:t>
      </w:r>
      <w:r>
        <w:rPr/>
        <w:t>em</w:t>
      </w:r>
      <w:r>
        <w:rPr>
          <w:spacing w:val="-34"/>
        </w:rPr>
        <w:t> </w:t>
      </w:r>
      <w:r>
        <w:rPr/>
        <w:t>razão</w:t>
      </w:r>
      <w:r>
        <w:rPr>
          <w:spacing w:val="-34"/>
        </w:rPr>
        <w:t> </w:t>
      </w:r>
      <w:r>
        <w:rPr/>
        <w:t>do</w:t>
      </w:r>
      <w:r>
        <w:rPr>
          <w:spacing w:val="-34"/>
        </w:rPr>
        <w:t> </w:t>
      </w:r>
      <w:r>
        <w:rPr/>
        <w:t>mercado de</w:t>
      </w:r>
      <w:r>
        <w:rPr>
          <w:spacing w:val="-46"/>
        </w:rPr>
        <w:t> </w:t>
      </w:r>
      <w:r>
        <w:rPr/>
        <w:t>energia</w:t>
      </w:r>
      <w:r>
        <w:rPr>
          <w:spacing w:val="-46"/>
        </w:rPr>
        <w:t> </w:t>
      </w:r>
      <w:r>
        <w:rPr/>
        <w:t>resulta</w:t>
      </w:r>
      <w:r>
        <w:rPr>
          <w:spacing w:val="-45"/>
        </w:rPr>
        <w:t> </w:t>
      </w:r>
      <w:r>
        <w:rPr/>
        <w:t>na</w:t>
      </w:r>
      <w:r>
        <w:rPr>
          <w:spacing w:val="-46"/>
        </w:rPr>
        <w:t> </w:t>
      </w:r>
      <w:r>
        <w:rPr/>
        <w:t>Neutralidade</w:t>
      </w:r>
      <w:r>
        <w:rPr>
          <w:spacing w:val="-46"/>
        </w:rPr>
        <w:t> </w:t>
      </w:r>
      <w:r>
        <w:rPr/>
        <w:t>da</w:t>
      </w:r>
      <w:r>
        <w:rPr>
          <w:spacing w:val="-45"/>
        </w:rPr>
        <w:t> </w:t>
      </w:r>
      <w:r>
        <w:rPr/>
        <w:t>Parcela</w:t>
      </w:r>
      <w:r>
        <w:rPr>
          <w:spacing w:val="-45"/>
        </w:rPr>
        <w:t> </w:t>
      </w:r>
      <w:r>
        <w:rPr/>
        <w:t>A.</w:t>
      </w:r>
      <w:r>
        <w:rPr>
          <w:spacing w:val="-46"/>
        </w:rPr>
        <w:t> </w:t>
      </w:r>
      <w:r>
        <w:rPr/>
        <w:t>Assim,</w:t>
      </w:r>
      <w:r>
        <w:rPr>
          <w:spacing w:val="-46"/>
        </w:rPr>
        <w:t> </w:t>
      </w:r>
      <w:r>
        <w:rPr/>
        <w:t>a</w:t>
      </w:r>
      <w:r>
        <w:rPr>
          <w:spacing w:val="-46"/>
        </w:rPr>
        <w:t> </w:t>
      </w:r>
      <w:r>
        <w:rPr/>
        <w:t>leve</w:t>
      </w:r>
      <w:r>
        <w:rPr>
          <w:spacing w:val="-45"/>
        </w:rPr>
        <w:t> </w:t>
      </w:r>
      <w:r>
        <w:rPr/>
        <w:t>recuperação</w:t>
      </w:r>
      <w:r>
        <w:rPr>
          <w:spacing w:val="-46"/>
        </w:rPr>
        <w:t> </w:t>
      </w:r>
      <w:r>
        <w:rPr/>
        <w:t>do</w:t>
      </w:r>
      <w:r>
        <w:rPr>
          <w:spacing w:val="-45"/>
        </w:rPr>
        <w:t> </w:t>
      </w:r>
      <w:r>
        <w:rPr/>
        <w:t>mercado</w:t>
      </w:r>
      <w:r>
        <w:rPr>
          <w:spacing w:val="-46"/>
        </w:rPr>
        <w:t> </w:t>
      </w:r>
      <w:r>
        <w:rPr/>
        <w:t>apurado</w:t>
      </w:r>
      <w:r>
        <w:rPr>
          <w:spacing w:val="-45"/>
        </w:rPr>
        <w:t> </w:t>
      </w:r>
      <w:r>
        <w:rPr/>
        <w:t>na</w:t>
      </w:r>
      <w:r>
        <w:rPr>
          <w:spacing w:val="-45"/>
        </w:rPr>
        <w:t> </w:t>
      </w:r>
      <w:r>
        <w:rPr/>
        <w:t>RTA</w:t>
      </w:r>
      <w:r>
        <w:rPr>
          <w:spacing w:val="-46"/>
        </w:rPr>
        <w:t> </w:t>
      </w:r>
      <w:r>
        <w:rPr/>
        <w:t>2019,</w:t>
      </w:r>
      <w:r>
        <w:rPr>
          <w:spacing w:val="-46"/>
        </w:rPr>
        <w:t> </w:t>
      </w:r>
      <w:r>
        <w:rPr/>
        <w:t>resultou no</w:t>
      </w:r>
      <w:r>
        <w:rPr>
          <w:spacing w:val="-43"/>
        </w:rPr>
        <w:t> </w:t>
      </w:r>
      <w:r>
        <w:rPr/>
        <w:t>aumento</w:t>
      </w:r>
      <w:r>
        <w:rPr>
          <w:spacing w:val="-43"/>
        </w:rPr>
        <w:t> </w:t>
      </w:r>
      <w:r>
        <w:rPr/>
        <w:t>de</w:t>
      </w:r>
      <w:r>
        <w:rPr>
          <w:spacing w:val="-43"/>
        </w:rPr>
        <w:t> </w:t>
      </w:r>
      <w:r>
        <w:rPr/>
        <w:t>receita</w:t>
      </w:r>
      <w:r>
        <w:rPr>
          <w:spacing w:val="-42"/>
        </w:rPr>
        <w:t> </w:t>
      </w:r>
      <w:r>
        <w:rPr/>
        <w:t>e</w:t>
      </w:r>
      <w:r>
        <w:rPr>
          <w:spacing w:val="-43"/>
        </w:rPr>
        <w:t> </w:t>
      </w:r>
      <w:r>
        <w:rPr/>
        <w:t>uma</w:t>
      </w:r>
      <w:r>
        <w:rPr>
          <w:spacing w:val="-43"/>
        </w:rPr>
        <w:t> </w:t>
      </w:r>
      <w:r>
        <w:rPr/>
        <w:t>consequente</w:t>
      </w:r>
      <w:r>
        <w:rPr>
          <w:spacing w:val="-42"/>
        </w:rPr>
        <w:t> </w:t>
      </w:r>
      <w:r>
        <w:rPr/>
        <w:t>neutralidade</w:t>
      </w:r>
      <w:r>
        <w:rPr>
          <w:spacing w:val="-42"/>
        </w:rPr>
        <w:t> </w:t>
      </w:r>
      <w:r>
        <w:rPr/>
        <w:t>negativa</w:t>
      </w:r>
      <w:r>
        <w:rPr>
          <w:spacing w:val="-43"/>
        </w:rPr>
        <w:t> </w:t>
      </w:r>
      <w:r>
        <w:rPr/>
        <w:t>no</w:t>
      </w:r>
      <w:r>
        <w:rPr>
          <w:spacing w:val="-42"/>
        </w:rPr>
        <w:t> </w:t>
      </w:r>
      <w:r>
        <w:rPr/>
        <w:t>processo</w:t>
      </w:r>
      <w:r>
        <w:rPr>
          <w:spacing w:val="-43"/>
        </w:rPr>
        <w:t> </w:t>
      </w:r>
      <w:r>
        <w:rPr/>
        <w:t>tarifário.</w:t>
      </w:r>
      <w:r>
        <w:rPr>
          <w:spacing w:val="-43"/>
        </w:rPr>
        <w:t> </w:t>
      </w:r>
      <w:r>
        <w:rPr/>
        <w:t>Entretanto,</w:t>
      </w:r>
      <w:r>
        <w:rPr>
          <w:spacing w:val="-43"/>
        </w:rPr>
        <w:t> </w:t>
      </w:r>
      <w:r>
        <w:rPr/>
        <w:t>o</w:t>
      </w:r>
      <w:r>
        <w:rPr>
          <w:spacing w:val="-41"/>
        </w:rPr>
        <w:t> </w:t>
      </w:r>
      <w:r>
        <w:rPr/>
        <w:t>efeito</w:t>
      </w:r>
      <w:r>
        <w:rPr>
          <w:spacing w:val="-42"/>
        </w:rPr>
        <w:t> </w:t>
      </w:r>
      <w:r>
        <w:rPr/>
        <w:t>negativo foi</w:t>
      </w:r>
      <w:r>
        <w:rPr>
          <w:spacing w:val="-47"/>
        </w:rPr>
        <w:t> </w:t>
      </w:r>
      <w:r>
        <w:rPr/>
        <w:t>superado</w:t>
      </w:r>
      <w:r>
        <w:rPr>
          <w:spacing w:val="-44"/>
        </w:rPr>
        <w:t> </w:t>
      </w:r>
      <w:r>
        <w:rPr/>
        <w:t>pela</w:t>
      </w:r>
      <w:r>
        <w:rPr>
          <w:spacing w:val="-45"/>
        </w:rPr>
        <w:t> </w:t>
      </w:r>
      <w:r>
        <w:rPr/>
        <w:t>neutralidade</w:t>
      </w:r>
      <w:r>
        <w:rPr>
          <w:spacing w:val="-46"/>
        </w:rPr>
        <w:t> </w:t>
      </w:r>
      <w:r>
        <w:rPr/>
        <w:t>positiva</w:t>
      </w:r>
      <w:r>
        <w:rPr>
          <w:spacing w:val="-44"/>
        </w:rPr>
        <w:t> </w:t>
      </w:r>
      <w:r>
        <w:rPr/>
        <w:t>em</w:t>
      </w:r>
      <w:r>
        <w:rPr>
          <w:spacing w:val="-45"/>
        </w:rPr>
        <w:t> </w:t>
      </w:r>
      <w:r>
        <w:rPr/>
        <w:t>razão</w:t>
      </w:r>
      <w:r>
        <w:rPr>
          <w:spacing w:val="-46"/>
        </w:rPr>
        <w:t> </w:t>
      </w:r>
      <w:r>
        <w:rPr/>
        <w:t>do</w:t>
      </w:r>
      <w:r>
        <w:rPr>
          <w:spacing w:val="-44"/>
        </w:rPr>
        <w:t> </w:t>
      </w:r>
      <w:r>
        <w:rPr/>
        <w:t>reconhecimento</w:t>
      </w:r>
      <w:r>
        <w:rPr>
          <w:spacing w:val="-46"/>
        </w:rPr>
        <w:t> </w:t>
      </w:r>
      <w:r>
        <w:rPr/>
        <w:t>dos</w:t>
      </w:r>
      <w:r>
        <w:rPr>
          <w:spacing w:val="-46"/>
        </w:rPr>
        <w:t> </w:t>
      </w:r>
      <w:r>
        <w:rPr/>
        <w:t>efeitos</w:t>
      </w:r>
      <w:r>
        <w:rPr>
          <w:spacing w:val="-45"/>
        </w:rPr>
        <w:t> </w:t>
      </w:r>
      <w:r>
        <w:rPr/>
        <w:t>do</w:t>
      </w:r>
      <w:r>
        <w:rPr>
          <w:spacing w:val="-45"/>
        </w:rPr>
        <w:t> </w:t>
      </w:r>
      <w:r>
        <w:rPr/>
        <w:t>Encargo</w:t>
      </w:r>
      <w:r>
        <w:rPr>
          <w:spacing w:val="-46"/>
        </w:rPr>
        <w:t> </w:t>
      </w:r>
      <w:r>
        <w:rPr/>
        <w:t>de</w:t>
      </w:r>
      <w:r>
        <w:rPr>
          <w:spacing w:val="-46"/>
        </w:rPr>
        <w:t> </w:t>
      </w:r>
      <w:r>
        <w:rPr/>
        <w:t>Rede</w:t>
      </w:r>
      <w:r>
        <w:rPr>
          <w:spacing w:val="-46"/>
        </w:rPr>
        <w:t> </w:t>
      </w:r>
      <w:r>
        <w:rPr/>
        <w:t>Básica</w:t>
      </w:r>
      <w:r>
        <w:rPr>
          <w:spacing w:val="-45"/>
        </w:rPr>
        <w:t> </w:t>
      </w:r>
      <w:r>
        <w:rPr/>
        <w:t>de</w:t>
      </w:r>
      <w:r>
        <w:rPr>
          <w:spacing w:val="-46"/>
        </w:rPr>
        <w:t> </w:t>
      </w:r>
      <w:r>
        <w:rPr/>
        <w:t>Brasília Leste,</w:t>
      </w:r>
      <w:r>
        <w:rPr>
          <w:spacing w:val="-37"/>
        </w:rPr>
        <w:t> </w:t>
      </w:r>
      <w:r>
        <w:rPr/>
        <w:t>de</w:t>
      </w:r>
      <w:r>
        <w:rPr>
          <w:spacing w:val="-37"/>
        </w:rPr>
        <w:t> </w:t>
      </w:r>
      <w:r>
        <w:rPr/>
        <w:t>forma</w:t>
      </w:r>
      <w:r>
        <w:rPr>
          <w:spacing w:val="-36"/>
        </w:rPr>
        <w:t> </w:t>
      </w:r>
      <w:r>
        <w:rPr/>
        <w:t>parcial</w:t>
      </w:r>
      <w:r>
        <w:rPr>
          <w:spacing w:val="-37"/>
        </w:rPr>
        <w:t> </w:t>
      </w:r>
      <w:r>
        <w:rPr/>
        <w:t>na</w:t>
      </w:r>
      <w:r>
        <w:rPr>
          <w:spacing w:val="-36"/>
        </w:rPr>
        <w:t> </w:t>
      </w:r>
      <w:r>
        <w:rPr/>
        <w:t>neutralidade</w:t>
      </w:r>
      <w:r>
        <w:rPr>
          <w:spacing w:val="-38"/>
        </w:rPr>
        <w:t> </w:t>
      </w:r>
      <w:r>
        <w:rPr/>
        <w:t>com</w:t>
      </w:r>
      <w:r>
        <w:rPr>
          <w:spacing w:val="-36"/>
        </w:rPr>
        <w:t> </w:t>
      </w:r>
      <w:r>
        <w:rPr/>
        <w:t>complemento</w:t>
      </w:r>
      <w:r>
        <w:rPr>
          <w:spacing w:val="-38"/>
        </w:rPr>
        <w:t> </w:t>
      </w:r>
      <w:r>
        <w:rPr/>
        <w:t>na</w:t>
      </w:r>
      <w:r>
        <w:rPr>
          <w:spacing w:val="-36"/>
        </w:rPr>
        <w:t> </w:t>
      </w:r>
      <w:r>
        <w:rPr/>
        <w:t>CVA</w:t>
      </w:r>
      <w:r>
        <w:rPr>
          <w:spacing w:val="-37"/>
        </w:rPr>
        <w:t> </w:t>
      </w:r>
      <w:r>
        <w:rPr/>
        <w:t>de</w:t>
      </w:r>
      <w:r>
        <w:rPr>
          <w:spacing w:val="-32"/>
        </w:rPr>
        <w:t> </w:t>
      </w:r>
      <w:r>
        <w:rPr/>
        <w:t>Transporte</w:t>
      </w:r>
      <w:r>
        <w:rPr>
          <w:spacing w:val="-37"/>
        </w:rPr>
        <w:t> </w:t>
      </w:r>
      <w:r>
        <w:rPr/>
        <w:t>de</w:t>
      </w:r>
      <w:r>
        <w:rPr>
          <w:spacing w:val="-37"/>
        </w:rPr>
        <w:t> </w:t>
      </w:r>
      <w:r>
        <w:rPr/>
        <w:t>Rede</w:t>
      </w:r>
      <w:r>
        <w:rPr>
          <w:spacing w:val="-37"/>
        </w:rPr>
        <w:t> </w:t>
      </w:r>
      <w:r>
        <w:rPr/>
        <w:t>Básica,</w:t>
      </w:r>
      <w:r>
        <w:rPr>
          <w:spacing w:val="-37"/>
        </w:rPr>
        <w:t> </w:t>
      </w:r>
      <w:r>
        <w:rPr/>
        <w:t>conforme</w:t>
      </w:r>
      <w:r>
        <w:rPr>
          <w:spacing w:val="-38"/>
        </w:rPr>
        <w:t> </w:t>
      </w:r>
      <w:r>
        <w:rPr/>
        <w:t>definido no</w:t>
      </w:r>
      <w:r>
        <w:rPr>
          <w:spacing w:val="-19"/>
        </w:rPr>
        <w:t> </w:t>
      </w:r>
      <w:r>
        <w:rPr/>
        <w:t>PRORET.</w:t>
      </w:r>
    </w:p>
    <w:p>
      <w:pPr>
        <w:pStyle w:val="Heading5"/>
        <w:numPr>
          <w:ilvl w:val="1"/>
          <w:numId w:val="6"/>
        </w:numPr>
        <w:tabs>
          <w:tab w:pos="1025" w:val="left" w:leader="none"/>
          <w:tab w:pos="1026" w:val="left" w:leader="none"/>
        </w:tabs>
        <w:spacing w:line="240" w:lineRule="auto" w:before="117" w:after="0"/>
        <w:ind w:left="1025" w:right="0" w:hanging="854"/>
        <w:jc w:val="left"/>
      </w:pPr>
      <w:r>
        <w:rPr/>
        <w:t>SUPERAVIT DE BAIXA</w:t>
      </w:r>
      <w:r>
        <w:rPr>
          <w:spacing w:val="-30"/>
        </w:rPr>
        <w:t> </w:t>
      </w:r>
      <w:r>
        <w:rPr/>
        <w:t>RENDA</w:t>
      </w:r>
    </w:p>
    <w:p>
      <w:pPr>
        <w:pStyle w:val="BodyText"/>
        <w:spacing w:line="242" w:lineRule="auto" w:before="160"/>
        <w:ind w:left="172" w:right="408"/>
        <w:jc w:val="both"/>
      </w:pPr>
      <w:r>
        <w:rPr/>
        <w:t>A aplicação da tarifa social de baixa renda, que causou impacto significativo nas receitas operacionais das concessionárias,</w:t>
      </w:r>
      <w:r>
        <w:rPr>
          <w:spacing w:val="-27"/>
        </w:rPr>
        <w:t> </w:t>
      </w:r>
      <w:r>
        <w:rPr/>
        <w:t>foi</w:t>
      </w:r>
      <w:r>
        <w:rPr>
          <w:spacing w:val="-27"/>
        </w:rPr>
        <w:t> </w:t>
      </w:r>
      <w:r>
        <w:rPr/>
        <w:t>instituída</w:t>
      </w:r>
      <w:r>
        <w:rPr>
          <w:spacing w:val="-26"/>
        </w:rPr>
        <w:t> </w:t>
      </w:r>
      <w:r>
        <w:rPr/>
        <w:t>pela</w:t>
      </w:r>
      <w:r>
        <w:rPr>
          <w:spacing w:val="-26"/>
        </w:rPr>
        <w:t> </w:t>
      </w:r>
      <w:r>
        <w:rPr/>
        <w:t>Lei</w:t>
      </w:r>
      <w:r>
        <w:rPr>
          <w:spacing w:val="-24"/>
        </w:rPr>
        <w:t> </w:t>
      </w:r>
      <w:r>
        <w:rPr/>
        <w:t>nº</w:t>
      </w:r>
      <w:r>
        <w:rPr>
          <w:spacing w:val="-26"/>
        </w:rPr>
        <w:t> </w:t>
      </w:r>
      <w:r>
        <w:rPr/>
        <w:t>10.438,</w:t>
      </w:r>
      <w:r>
        <w:rPr>
          <w:spacing w:val="-24"/>
        </w:rPr>
        <w:t> </w:t>
      </w:r>
      <w:r>
        <w:rPr/>
        <w:t>de</w:t>
      </w:r>
      <w:r>
        <w:rPr>
          <w:spacing w:val="-25"/>
        </w:rPr>
        <w:t> </w:t>
      </w:r>
      <w:r>
        <w:rPr/>
        <w:t>26</w:t>
      </w:r>
      <w:r>
        <w:rPr>
          <w:spacing w:val="-26"/>
        </w:rPr>
        <w:t> </w:t>
      </w:r>
      <w:r>
        <w:rPr/>
        <w:t>de</w:t>
      </w:r>
      <w:r>
        <w:rPr>
          <w:spacing w:val="-28"/>
        </w:rPr>
        <w:t> </w:t>
      </w:r>
      <w:r>
        <w:rPr/>
        <w:t>abril</w:t>
      </w:r>
      <w:r>
        <w:rPr>
          <w:spacing w:val="-21"/>
        </w:rPr>
        <w:t> </w:t>
      </w:r>
      <w:r>
        <w:rPr/>
        <w:t>de</w:t>
      </w:r>
      <w:r>
        <w:rPr>
          <w:spacing w:val="-26"/>
        </w:rPr>
        <w:t> </w:t>
      </w:r>
      <w:r>
        <w:rPr/>
        <w:t>2002.</w:t>
      </w:r>
      <w:r>
        <w:rPr>
          <w:spacing w:val="-24"/>
        </w:rPr>
        <w:t> </w:t>
      </w:r>
      <w:r>
        <w:rPr/>
        <w:t>O</w:t>
      </w:r>
      <w:r>
        <w:rPr>
          <w:spacing w:val="-27"/>
        </w:rPr>
        <w:t> </w:t>
      </w:r>
      <w:r>
        <w:rPr/>
        <w:t>Decreto</w:t>
      </w:r>
      <w:r>
        <w:rPr>
          <w:spacing w:val="-25"/>
        </w:rPr>
        <w:t> </w:t>
      </w:r>
      <w:r>
        <w:rPr/>
        <w:t>nº</w:t>
      </w:r>
      <w:r>
        <w:rPr>
          <w:spacing w:val="-26"/>
        </w:rPr>
        <w:t> </w:t>
      </w:r>
      <w:r>
        <w:rPr/>
        <w:t>4.538,</w:t>
      </w:r>
      <w:r>
        <w:rPr>
          <w:spacing w:val="-26"/>
        </w:rPr>
        <w:t> </w:t>
      </w:r>
      <w:r>
        <w:rPr/>
        <w:t>de</w:t>
      </w:r>
      <w:r>
        <w:rPr>
          <w:spacing w:val="-27"/>
        </w:rPr>
        <w:t> </w:t>
      </w:r>
      <w:r>
        <w:rPr/>
        <w:t>23</w:t>
      </w:r>
      <w:r>
        <w:rPr>
          <w:spacing w:val="-26"/>
        </w:rPr>
        <w:t> </w:t>
      </w:r>
      <w:r>
        <w:rPr/>
        <w:t>de</w:t>
      </w:r>
      <w:r>
        <w:rPr>
          <w:spacing w:val="-27"/>
        </w:rPr>
        <w:t> </w:t>
      </w:r>
      <w:r>
        <w:rPr/>
        <w:t>dezembro</w:t>
      </w:r>
      <w:r>
        <w:rPr>
          <w:spacing w:val="-25"/>
        </w:rPr>
        <w:t> </w:t>
      </w:r>
      <w:r>
        <w:rPr/>
        <w:t>de 2002,</w:t>
      </w:r>
      <w:r>
        <w:rPr>
          <w:spacing w:val="-19"/>
        </w:rPr>
        <w:t> </w:t>
      </w:r>
      <w:r>
        <w:rPr/>
        <w:t>e</w:t>
      </w:r>
      <w:r>
        <w:rPr>
          <w:spacing w:val="-21"/>
        </w:rPr>
        <w:t> </w:t>
      </w:r>
      <w:r>
        <w:rPr/>
        <w:t>a</w:t>
      </w:r>
      <w:r>
        <w:rPr>
          <w:spacing w:val="-20"/>
        </w:rPr>
        <w:t> </w:t>
      </w:r>
      <w:r>
        <w:rPr/>
        <w:t>Lei</w:t>
      </w:r>
      <w:r>
        <w:rPr>
          <w:spacing w:val="-20"/>
        </w:rPr>
        <w:t> </w:t>
      </w:r>
      <w:r>
        <w:rPr/>
        <w:t>nº</w:t>
      </w:r>
      <w:r>
        <w:rPr>
          <w:spacing w:val="-19"/>
        </w:rPr>
        <w:t> </w:t>
      </w:r>
      <w:r>
        <w:rPr/>
        <w:t>10.604,</w:t>
      </w:r>
      <w:r>
        <w:rPr>
          <w:spacing w:val="-20"/>
        </w:rPr>
        <w:t> </w:t>
      </w:r>
      <w:r>
        <w:rPr/>
        <w:t>de</w:t>
      </w:r>
      <w:r>
        <w:rPr>
          <w:spacing w:val="-18"/>
        </w:rPr>
        <w:t> </w:t>
      </w:r>
      <w:r>
        <w:rPr/>
        <w:t>17</w:t>
      </w:r>
      <w:r>
        <w:rPr>
          <w:spacing w:val="-22"/>
        </w:rPr>
        <w:t> </w:t>
      </w:r>
      <w:r>
        <w:rPr/>
        <w:t>de</w:t>
      </w:r>
      <w:r>
        <w:rPr>
          <w:spacing w:val="-20"/>
        </w:rPr>
        <w:t> </w:t>
      </w:r>
      <w:r>
        <w:rPr/>
        <w:t>dezembro</w:t>
      </w:r>
      <w:r>
        <w:rPr>
          <w:spacing w:val="-20"/>
        </w:rPr>
        <w:t> </w:t>
      </w:r>
      <w:r>
        <w:rPr/>
        <w:t>de</w:t>
      </w:r>
      <w:r>
        <w:rPr>
          <w:spacing w:val="-22"/>
        </w:rPr>
        <w:t> </w:t>
      </w:r>
      <w:r>
        <w:rPr/>
        <w:t>2002,</w:t>
      </w:r>
      <w:r>
        <w:rPr>
          <w:spacing w:val="-19"/>
        </w:rPr>
        <w:t> </w:t>
      </w:r>
      <w:r>
        <w:rPr/>
        <w:t>foram</w:t>
      </w:r>
      <w:r>
        <w:rPr>
          <w:spacing w:val="-20"/>
        </w:rPr>
        <w:t> </w:t>
      </w:r>
      <w:r>
        <w:rPr/>
        <w:t>os</w:t>
      </w:r>
      <w:r>
        <w:rPr>
          <w:spacing w:val="-20"/>
        </w:rPr>
        <w:t> </w:t>
      </w:r>
      <w:r>
        <w:rPr/>
        <w:t>instrumentos</w:t>
      </w:r>
      <w:r>
        <w:rPr>
          <w:spacing w:val="-20"/>
        </w:rPr>
        <w:t> </w:t>
      </w:r>
      <w:r>
        <w:rPr/>
        <w:t>legais</w:t>
      </w:r>
      <w:r>
        <w:rPr>
          <w:spacing w:val="-19"/>
        </w:rPr>
        <w:t> </w:t>
      </w:r>
      <w:r>
        <w:rPr/>
        <w:t>instituídos</w:t>
      </w:r>
      <w:r>
        <w:rPr>
          <w:spacing w:val="-20"/>
        </w:rPr>
        <w:t> </w:t>
      </w:r>
      <w:r>
        <w:rPr/>
        <w:t>para</w:t>
      </w:r>
      <w:r>
        <w:rPr>
          <w:spacing w:val="-19"/>
        </w:rPr>
        <w:t> </w:t>
      </w:r>
      <w:r>
        <w:rPr/>
        <w:t>regulamentar</w:t>
      </w:r>
      <w:r>
        <w:rPr>
          <w:spacing w:val="-22"/>
        </w:rPr>
        <w:t> </w:t>
      </w:r>
      <w:r>
        <w:rPr/>
        <w:t>o processo</w:t>
      </w:r>
      <w:r>
        <w:rPr>
          <w:spacing w:val="-25"/>
        </w:rPr>
        <w:t> </w:t>
      </w:r>
      <w:r>
        <w:rPr/>
        <w:t>de</w:t>
      </w:r>
      <w:r>
        <w:rPr>
          <w:spacing w:val="-25"/>
        </w:rPr>
        <w:t> </w:t>
      </w:r>
      <w:r>
        <w:rPr/>
        <w:t>subvenção</w:t>
      </w:r>
      <w:r>
        <w:rPr>
          <w:spacing w:val="-25"/>
        </w:rPr>
        <w:t> </w:t>
      </w:r>
      <w:r>
        <w:rPr/>
        <w:t>econômica,</w:t>
      </w:r>
      <w:r>
        <w:rPr>
          <w:spacing w:val="-25"/>
        </w:rPr>
        <w:t> </w:t>
      </w:r>
      <w:r>
        <w:rPr/>
        <w:t>com</w:t>
      </w:r>
      <w:r>
        <w:rPr>
          <w:spacing w:val="-25"/>
        </w:rPr>
        <w:t> </w:t>
      </w:r>
      <w:r>
        <w:rPr/>
        <w:t>a</w:t>
      </w:r>
      <w:r>
        <w:rPr>
          <w:spacing w:val="-25"/>
        </w:rPr>
        <w:t> </w:t>
      </w:r>
      <w:r>
        <w:rPr/>
        <w:t>finalidade</w:t>
      </w:r>
      <w:r>
        <w:rPr>
          <w:spacing w:val="-26"/>
        </w:rPr>
        <w:t> </w:t>
      </w:r>
      <w:r>
        <w:rPr/>
        <w:t>de</w:t>
      </w:r>
      <w:r>
        <w:rPr>
          <w:spacing w:val="-25"/>
        </w:rPr>
        <w:t> </w:t>
      </w:r>
      <w:r>
        <w:rPr/>
        <w:t>contribuir</w:t>
      </w:r>
      <w:r>
        <w:rPr>
          <w:spacing w:val="-26"/>
        </w:rPr>
        <w:t> </w:t>
      </w:r>
      <w:r>
        <w:rPr/>
        <w:t>para</w:t>
      </w:r>
      <w:r>
        <w:rPr>
          <w:spacing w:val="-26"/>
        </w:rPr>
        <w:t> </w:t>
      </w:r>
      <w:r>
        <w:rPr/>
        <w:t>a</w:t>
      </w:r>
      <w:r>
        <w:rPr>
          <w:spacing w:val="-25"/>
        </w:rPr>
        <w:t> </w:t>
      </w:r>
      <w:r>
        <w:rPr/>
        <w:t>modicidade</w:t>
      </w:r>
      <w:r>
        <w:rPr>
          <w:spacing w:val="-26"/>
        </w:rPr>
        <w:t> </w:t>
      </w:r>
      <w:r>
        <w:rPr/>
        <w:t>da</w:t>
      </w:r>
      <w:r>
        <w:rPr>
          <w:spacing w:val="-25"/>
        </w:rPr>
        <w:t> </w:t>
      </w:r>
      <w:r>
        <w:rPr/>
        <w:t>tarifa</w:t>
      </w:r>
      <w:r>
        <w:rPr>
          <w:spacing w:val="-19"/>
        </w:rPr>
        <w:t> </w:t>
      </w:r>
      <w:r>
        <w:rPr/>
        <w:t>de</w:t>
      </w:r>
      <w:r>
        <w:rPr>
          <w:spacing w:val="-26"/>
        </w:rPr>
        <w:t> </w:t>
      </w:r>
      <w:r>
        <w:rPr/>
        <w:t>fornecimento</w:t>
      </w:r>
      <w:r>
        <w:rPr>
          <w:spacing w:val="-26"/>
        </w:rPr>
        <w:t> </w:t>
      </w:r>
      <w:r>
        <w:rPr/>
        <w:t>de energia</w:t>
      </w:r>
      <w:r>
        <w:rPr>
          <w:spacing w:val="-21"/>
        </w:rPr>
        <w:t> </w:t>
      </w:r>
      <w:r>
        <w:rPr/>
        <w:t>elétrica</w:t>
      </w:r>
      <w:r>
        <w:rPr>
          <w:spacing w:val="-20"/>
        </w:rPr>
        <w:t> </w:t>
      </w:r>
      <w:r>
        <w:rPr/>
        <w:t>dos</w:t>
      </w:r>
      <w:r>
        <w:rPr>
          <w:spacing w:val="-20"/>
        </w:rPr>
        <w:t> </w:t>
      </w:r>
      <w:r>
        <w:rPr/>
        <w:t>consumidores</w:t>
      </w:r>
      <w:r>
        <w:rPr>
          <w:spacing w:val="-20"/>
        </w:rPr>
        <w:t> </w:t>
      </w:r>
      <w:r>
        <w:rPr/>
        <w:t>finais</w:t>
      </w:r>
      <w:r>
        <w:rPr>
          <w:spacing w:val="-20"/>
        </w:rPr>
        <w:t> </w:t>
      </w:r>
      <w:r>
        <w:rPr/>
        <w:t>integrantes</w:t>
      </w:r>
      <w:r>
        <w:rPr>
          <w:spacing w:val="-21"/>
        </w:rPr>
        <w:t> </w:t>
      </w:r>
      <w:r>
        <w:rPr/>
        <w:t>da</w:t>
      </w:r>
      <w:r>
        <w:rPr>
          <w:spacing w:val="-20"/>
        </w:rPr>
        <w:t> </w:t>
      </w:r>
      <w:r>
        <w:rPr/>
        <w:t>subclasse</w:t>
      </w:r>
      <w:r>
        <w:rPr>
          <w:spacing w:val="-22"/>
        </w:rPr>
        <w:t> </w:t>
      </w:r>
      <w:r>
        <w:rPr/>
        <w:t>residencial.</w:t>
      </w:r>
    </w:p>
    <w:p>
      <w:pPr>
        <w:pStyle w:val="BodyText"/>
        <w:spacing w:line="242" w:lineRule="auto" w:before="121"/>
        <w:ind w:left="172" w:right="413"/>
        <w:jc w:val="both"/>
      </w:pPr>
      <w:r>
        <w:rPr/>
        <w:t>O</w:t>
      </w:r>
      <w:r>
        <w:rPr>
          <w:spacing w:val="-28"/>
        </w:rPr>
        <w:t> </w:t>
      </w:r>
      <w:r>
        <w:rPr/>
        <w:t>montante</w:t>
      </w:r>
      <w:r>
        <w:rPr>
          <w:spacing w:val="-29"/>
        </w:rPr>
        <w:t> </w:t>
      </w:r>
      <w:r>
        <w:rPr/>
        <w:t>apurado</w:t>
      </w:r>
      <w:r>
        <w:rPr>
          <w:spacing w:val="-26"/>
        </w:rPr>
        <w:t> </w:t>
      </w:r>
      <w:r>
        <w:rPr/>
        <w:t>refere-se</w:t>
      </w:r>
      <w:r>
        <w:rPr>
          <w:spacing w:val="-28"/>
        </w:rPr>
        <w:t> </w:t>
      </w:r>
      <w:r>
        <w:rPr/>
        <w:t>ao</w:t>
      </w:r>
      <w:r>
        <w:rPr>
          <w:spacing w:val="-28"/>
        </w:rPr>
        <w:t> </w:t>
      </w:r>
      <w:r>
        <w:rPr/>
        <w:t>valor</w:t>
      </w:r>
      <w:r>
        <w:rPr>
          <w:spacing w:val="-28"/>
        </w:rPr>
        <w:t> </w:t>
      </w:r>
      <w:r>
        <w:rPr/>
        <w:t>a</w:t>
      </w:r>
      <w:r>
        <w:rPr>
          <w:spacing w:val="-27"/>
        </w:rPr>
        <w:t> </w:t>
      </w:r>
      <w:r>
        <w:rPr/>
        <w:t>ser</w:t>
      </w:r>
      <w:r>
        <w:rPr>
          <w:spacing w:val="-27"/>
        </w:rPr>
        <w:t> </w:t>
      </w:r>
      <w:r>
        <w:rPr/>
        <w:t>ressarcido</w:t>
      </w:r>
      <w:r>
        <w:rPr>
          <w:spacing w:val="-25"/>
        </w:rPr>
        <w:t> </w:t>
      </w:r>
      <w:r>
        <w:rPr/>
        <w:t>aos</w:t>
      </w:r>
      <w:r>
        <w:rPr>
          <w:spacing w:val="-27"/>
        </w:rPr>
        <w:t> </w:t>
      </w:r>
      <w:r>
        <w:rPr/>
        <w:t>consumidores</w:t>
      </w:r>
      <w:r>
        <w:rPr>
          <w:spacing w:val="-26"/>
        </w:rPr>
        <w:t> </w:t>
      </w:r>
      <w:r>
        <w:rPr/>
        <w:t>em</w:t>
      </w:r>
      <w:r>
        <w:rPr>
          <w:spacing w:val="-26"/>
        </w:rPr>
        <w:t> </w:t>
      </w:r>
      <w:r>
        <w:rPr/>
        <w:t>decorrência</w:t>
      </w:r>
      <w:r>
        <w:rPr>
          <w:spacing w:val="-27"/>
        </w:rPr>
        <w:t> </w:t>
      </w:r>
      <w:r>
        <w:rPr/>
        <w:t>do</w:t>
      </w:r>
      <w:r>
        <w:rPr>
          <w:spacing w:val="-28"/>
        </w:rPr>
        <w:t> </w:t>
      </w:r>
      <w:r>
        <w:rPr/>
        <w:t>processo</w:t>
      </w:r>
      <w:r>
        <w:rPr>
          <w:spacing w:val="-28"/>
        </w:rPr>
        <w:t> </w:t>
      </w:r>
      <w:r>
        <w:rPr/>
        <w:t>de</w:t>
      </w:r>
      <w:r>
        <w:rPr>
          <w:spacing w:val="-29"/>
        </w:rPr>
        <w:t> </w:t>
      </w:r>
      <w:r>
        <w:rPr/>
        <w:t>migração de determinados consumidores residenciais, anteriormente enquadrados na subclasse de baixa renda, para consumidores</w:t>
      </w:r>
      <w:r>
        <w:rPr>
          <w:spacing w:val="-35"/>
        </w:rPr>
        <w:t> </w:t>
      </w:r>
      <w:r>
        <w:rPr/>
        <w:t>normais.</w:t>
      </w:r>
      <w:r>
        <w:rPr>
          <w:spacing w:val="-34"/>
        </w:rPr>
        <w:t> </w:t>
      </w:r>
      <w:r>
        <w:rPr/>
        <w:t>O</w:t>
      </w:r>
      <w:r>
        <w:rPr>
          <w:spacing w:val="-35"/>
        </w:rPr>
        <w:t> </w:t>
      </w:r>
      <w:r>
        <w:rPr/>
        <w:t>ressarcimento</w:t>
      </w:r>
      <w:r>
        <w:rPr>
          <w:spacing w:val="-35"/>
        </w:rPr>
        <w:t> </w:t>
      </w:r>
      <w:r>
        <w:rPr/>
        <w:t>deve-se</w:t>
      </w:r>
      <w:r>
        <w:rPr>
          <w:spacing w:val="-36"/>
        </w:rPr>
        <w:t> </w:t>
      </w:r>
      <w:r>
        <w:rPr/>
        <w:t>ao</w:t>
      </w:r>
      <w:r>
        <w:rPr>
          <w:spacing w:val="-36"/>
        </w:rPr>
        <w:t> </w:t>
      </w:r>
      <w:r>
        <w:rPr/>
        <w:t>fato</w:t>
      </w:r>
      <w:r>
        <w:rPr>
          <w:spacing w:val="-35"/>
        </w:rPr>
        <w:t> </w:t>
      </w:r>
      <w:r>
        <w:rPr/>
        <w:t>de</w:t>
      </w:r>
      <w:r>
        <w:rPr>
          <w:spacing w:val="-35"/>
        </w:rPr>
        <w:t> </w:t>
      </w:r>
      <w:r>
        <w:rPr/>
        <w:t>as</w:t>
      </w:r>
      <w:r>
        <w:rPr>
          <w:spacing w:val="-36"/>
        </w:rPr>
        <w:t> </w:t>
      </w:r>
      <w:r>
        <w:rPr/>
        <w:t>tarifas</w:t>
      </w:r>
      <w:r>
        <w:rPr>
          <w:spacing w:val="-34"/>
        </w:rPr>
        <w:t> </w:t>
      </w:r>
      <w:r>
        <w:rPr/>
        <w:t>concedidas</w:t>
      </w:r>
      <w:r>
        <w:rPr>
          <w:spacing w:val="-36"/>
        </w:rPr>
        <w:t> </w:t>
      </w:r>
      <w:r>
        <w:rPr/>
        <w:t>à</w:t>
      </w:r>
      <w:r>
        <w:rPr>
          <w:spacing w:val="-34"/>
        </w:rPr>
        <w:t> </w:t>
      </w:r>
      <w:r>
        <w:rPr/>
        <w:t>Companhia</w:t>
      </w:r>
      <w:r>
        <w:rPr>
          <w:spacing w:val="-34"/>
        </w:rPr>
        <w:t> </w:t>
      </w:r>
      <w:r>
        <w:rPr/>
        <w:t>já</w:t>
      </w:r>
      <w:r>
        <w:rPr>
          <w:spacing w:val="-36"/>
        </w:rPr>
        <w:t> </w:t>
      </w:r>
      <w:r>
        <w:rPr/>
        <w:t>terem</w:t>
      </w:r>
      <w:r>
        <w:rPr>
          <w:spacing w:val="-35"/>
        </w:rPr>
        <w:t> </w:t>
      </w:r>
      <w:r>
        <w:rPr/>
        <w:t>considerado o</w:t>
      </w:r>
      <w:r>
        <w:rPr>
          <w:spacing w:val="-20"/>
        </w:rPr>
        <w:t> </w:t>
      </w:r>
      <w:r>
        <w:rPr/>
        <w:t>enquadramento</w:t>
      </w:r>
      <w:r>
        <w:rPr>
          <w:spacing w:val="-18"/>
        </w:rPr>
        <w:t> </w:t>
      </w:r>
      <w:r>
        <w:rPr/>
        <w:t>anterior</w:t>
      </w:r>
      <w:r>
        <w:rPr>
          <w:spacing w:val="-18"/>
        </w:rPr>
        <w:t> </w:t>
      </w:r>
      <w:r>
        <w:rPr/>
        <w:t>dos</w:t>
      </w:r>
      <w:r>
        <w:rPr>
          <w:spacing w:val="-18"/>
        </w:rPr>
        <w:t> </w:t>
      </w:r>
      <w:r>
        <w:rPr/>
        <w:t>consumidores</w:t>
      </w:r>
      <w:r>
        <w:rPr>
          <w:spacing w:val="-19"/>
        </w:rPr>
        <w:t> </w:t>
      </w:r>
      <w:r>
        <w:rPr/>
        <w:t>como</w:t>
      </w:r>
      <w:r>
        <w:rPr>
          <w:spacing w:val="-20"/>
        </w:rPr>
        <w:t> </w:t>
      </w:r>
      <w:r>
        <w:rPr/>
        <w:t>de</w:t>
      </w:r>
      <w:r>
        <w:rPr>
          <w:spacing w:val="-18"/>
        </w:rPr>
        <w:t> </w:t>
      </w:r>
      <w:r>
        <w:rPr/>
        <w:t>baixa</w:t>
      </w:r>
      <w:r>
        <w:rPr>
          <w:spacing w:val="-18"/>
        </w:rPr>
        <w:t> </w:t>
      </w:r>
      <w:r>
        <w:rPr/>
        <w:t>renda.</w:t>
      </w:r>
    </w:p>
    <w:p>
      <w:pPr>
        <w:pStyle w:val="BodyText"/>
        <w:spacing w:line="242" w:lineRule="auto" w:before="120"/>
        <w:ind w:left="172" w:right="408"/>
        <w:jc w:val="both"/>
      </w:pPr>
      <w:r>
        <w:rPr/>
        <w:t>Em</w:t>
      </w:r>
      <w:r>
        <w:rPr>
          <w:spacing w:val="-34"/>
        </w:rPr>
        <w:t> </w:t>
      </w:r>
      <w:r>
        <w:rPr/>
        <w:t>função</w:t>
      </w:r>
      <w:r>
        <w:rPr>
          <w:spacing w:val="-33"/>
        </w:rPr>
        <w:t> </w:t>
      </w:r>
      <w:r>
        <w:rPr/>
        <w:t>de</w:t>
      </w:r>
      <w:r>
        <w:rPr>
          <w:spacing w:val="-33"/>
        </w:rPr>
        <w:t> </w:t>
      </w:r>
      <w:r>
        <w:rPr/>
        <w:t>argumentos</w:t>
      </w:r>
      <w:r>
        <w:rPr>
          <w:spacing w:val="-31"/>
        </w:rPr>
        <w:t> </w:t>
      </w:r>
      <w:r>
        <w:rPr/>
        <w:t>apresentados</w:t>
      </w:r>
      <w:r>
        <w:rPr>
          <w:spacing w:val="-33"/>
        </w:rPr>
        <w:t> </w:t>
      </w:r>
      <w:r>
        <w:rPr/>
        <w:t>pela</w:t>
      </w:r>
      <w:r>
        <w:rPr>
          <w:spacing w:val="-33"/>
        </w:rPr>
        <w:t> </w:t>
      </w:r>
      <w:r>
        <w:rPr/>
        <w:t>CEB</w:t>
      </w:r>
      <w:r>
        <w:rPr>
          <w:spacing w:val="-34"/>
        </w:rPr>
        <w:t> </w:t>
      </w:r>
      <w:r>
        <w:rPr/>
        <w:t>DIS,</w:t>
      </w:r>
      <w:r>
        <w:rPr>
          <w:spacing w:val="-34"/>
        </w:rPr>
        <w:t> </w:t>
      </w:r>
      <w:r>
        <w:rPr/>
        <w:t>a</w:t>
      </w:r>
      <w:r>
        <w:rPr>
          <w:spacing w:val="-32"/>
        </w:rPr>
        <w:t> </w:t>
      </w:r>
      <w:r>
        <w:rPr/>
        <w:t>Superintendência</w:t>
      </w:r>
      <w:r>
        <w:rPr>
          <w:spacing w:val="-31"/>
        </w:rPr>
        <w:t> </w:t>
      </w:r>
      <w:r>
        <w:rPr/>
        <w:t>de</w:t>
      </w:r>
      <w:r>
        <w:rPr>
          <w:spacing w:val="-33"/>
        </w:rPr>
        <w:t> </w:t>
      </w:r>
      <w:r>
        <w:rPr/>
        <w:t>Fiscalização</w:t>
      </w:r>
      <w:r>
        <w:rPr>
          <w:spacing w:val="-34"/>
        </w:rPr>
        <w:t> </w:t>
      </w:r>
      <w:r>
        <w:rPr/>
        <w:t>Financeira</w:t>
      </w:r>
      <w:r>
        <w:rPr>
          <w:spacing w:val="-27"/>
        </w:rPr>
        <w:t> </w:t>
      </w:r>
      <w:r>
        <w:rPr/>
        <w:t>–</w:t>
      </w:r>
      <w:r>
        <w:rPr>
          <w:spacing w:val="-33"/>
        </w:rPr>
        <w:t> </w:t>
      </w:r>
      <w:r>
        <w:rPr/>
        <w:t>SFF</w:t>
      </w:r>
      <w:r>
        <w:rPr>
          <w:spacing w:val="-33"/>
        </w:rPr>
        <w:t> </w:t>
      </w:r>
      <w:r>
        <w:rPr/>
        <w:t>da</w:t>
      </w:r>
      <w:r>
        <w:rPr>
          <w:spacing w:val="-33"/>
        </w:rPr>
        <w:t> </w:t>
      </w:r>
      <w:r>
        <w:rPr/>
        <w:t>ANEEL </w:t>
      </w:r>
      <w:r>
        <w:rPr>
          <w:w w:val="105"/>
        </w:rPr>
        <w:t>editou a Nota Técnica nº 167/2016-SFF/ANEEL, de 29 de setembro de 2016, em que conclui pela não desconformidade</w:t>
      </w:r>
      <w:r>
        <w:rPr>
          <w:spacing w:val="-22"/>
          <w:w w:val="105"/>
        </w:rPr>
        <w:t> </w:t>
      </w:r>
      <w:r>
        <w:rPr>
          <w:w w:val="105"/>
        </w:rPr>
        <w:t>da</w:t>
      </w:r>
      <w:r>
        <w:rPr>
          <w:spacing w:val="-22"/>
          <w:w w:val="105"/>
        </w:rPr>
        <w:t> </w:t>
      </w:r>
      <w:r>
        <w:rPr>
          <w:w w:val="105"/>
        </w:rPr>
        <w:t>Distribuidora</w:t>
      </w:r>
      <w:r>
        <w:rPr>
          <w:spacing w:val="-22"/>
          <w:w w:val="105"/>
        </w:rPr>
        <w:t> </w:t>
      </w:r>
      <w:r>
        <w:rPr>
          <w:w w:val="105"/>
        </w:rPr>
        <w:t>no</w:t>
      </w:r>
      <w:r>
        <w:rPr>
          <w:spacing w:val="-22"/>
          <w:w w:val="105"/>
        </w:rPr>
        <w:t> </w:t>
      </w:r>
      <w:r>
        <w:rPr>
          <w:w w:val="105"/>
        </w:rPr>
        <w:t>tratamento</w:t>
      </w:r>
      <w:r>
        <w:rPr>
          <w:spacing w:val="-23"/>
          <w:w w:val="105"/>
        </w:rPr>
        <w:t> </w:t>
      </w:r>
      <w:r>
        <w:rPr>
          <w:w w:val="105"/>
        </w:rPr>
        <w:t>do</w:t>
      </w:r>
      <w:r>
        <w:rPr>
          <w:spacing w:val="-22"/>
          <w:w w:val="105"/>
        </w:rPr>
        <w:t> </w:t>
      </w:r>
      <w:r>
        <w:rPr>
          <w:w w:val="105"/>
        </w:rPr>
        <w:t>passivo</w:t>
      </w:r>
      <w:r>
        <w:rPr>
          <w:spacing w:val="-23"/>
          <w:w w:val="105"/>
        </w:rPr>
        <w:t> </w:t>
      </w:r>
      <w:r>
        <w:rPr>
          <w:w w:val="105"/>
        </w:rPr>
        <w:t>de</w:t>
      </w:r>
      <w:r>
        <w:rPr>
          <w:spacing w:val="-22"/>
          <w:w w:val="105"/>
        </w:rPr>
        <w:t> </w:t>
      </w:r>
      <w:r>
        <w:rPr>
          <w:w w:val="105"/>
        </w:rPr>
        <w:t>baixa</w:t>
      </w:r>
      <w:r>
        <w:rPr>
          <w:spacing w:val="-21"/>
          <w:w w:val="105"/>
        </w:rPr>
        <w:t> </w:t>
      </w:r>
      <w:r>
        <w:rPr>
          <w:w w:val="105"/>
        </w:rPr>
        <w:t>renda</w:t>
      </w:r>
      <w:r>
        <w:rPr>
          <w:spacing w:val="-19"/>
          <w:w w:val="105"/>
        </w:rPr>
        <w:t> </w:t>
      </w:r>
      <w:r>
        <w:rPr>
          <w:w w:val="105"/>
        </w:rPr>
        <w:t>ao</w:t>
      </w:r>
      <w:r>
        <w:rPr>
          <w:spacing w:val="-22"/>
          <w:w w:val="105"/>
        </w:rPr>
        <w:t> </w:t>
      </w:r>
      <w:r>
        <w:rPr>
          <w:w w:val="105"/>
        </w:rPr>
        <w:t>longo</w:t>
      </w:r>
      <w:r>
        <w:rPr>
          <w:spacing w:val="-22"/>
          <w:w w:val="105"/>
        </w:rPr>
        <w:t> </w:t>
      </w:r>
      <w:r>
        <w:rPr>
          <w:w w:val="105"/>
        </w:rPr>
        <w:t>dos</w:t>
      </w:r>
      <w:r>
        <w:rPr>
          <w:spacing w:val="-23"/>
          <w:w w:val="105"/>
        </w:rPr>
        <w:t> </w:t>
      </w:r>
      <w:r>
        <w:rPr>
          <w:w w:val="105"/>
        </w:rPr>
        <w:t>processos</w:t>
      </w:r>
      <w:r>
        <w:rPr>
          <w:spacing w:val="-21"/>
          <w:w w:val="105"/>
        </w:rPr>
        <w:t> </w:t>
      </w:r>
      <w:r>
        <w:rPr>
          <w:w w:val="105"/>
        </w:rPr>
        <w:t>tarifários </w:t>
      </w:r>
      <w:r>
        <w:rPr/>
        <w:t>correspondentes.</w:t>
      </w:r>
      <w:r>
        <w:rPr>
          <w:spacing w:val="-37"/>
        </w:rPr>
        <w:t> </w:t>
      </w:r>
      <w:r>
        <w:rPr/>
        <w:t>Destaca,</w:t>
      </w:r>
      <w:r>
        <w:rPr>
          <w:spacing w:val="-36"/>
        </w:rPr>
        <w:t> </w:t>
      </w:r>
      <w:r>
        <w:rPr/>
        <w:t>inclusive,</w:t>
      </w:r>
      <w:r>
        <w:rPr>
          <w:spacing w:val="-36"/>
        </w:rPr>
        <w:t> </w:t>
      </w:r>
      <w:r>
        <w:rPr/>
        <w:t>o</w:t>
      </w:r>
      <w:r>
        <w:rPr>
          <w:spacing w:val="-35"/>
        </w:rPr>
        <w:t> </w:t>
      </w:r>
      <w:r>
        <w:rPr/>
        <w:t>fato</w:t>
      </w:r>
      <w:r>
        <w:rPr>
          <w:spacing w:val="-35"/>
        </w:rPr>
        <w:t> </w:t>
      </w:r>
      <w:r>
        <w:rPr/>
        <w:t>do</w:t>
      </w:r>
      <w:r>
        <w:rPr>
          <w:spacing w:val="-36"/>
        </w:rPr>
        <w:t> </w:t>
      </w:r>
      <w:r>
        <w:rPr/>
        <w:t>valor</w:t>
      </w:r>
      <w:r>
        <w:rPr>
          <w:spacing w:val="-35"/>
        </w:rPr>
        <w:t> </w:t>
      </w:r>
      <w:r>
        <w:rPr/>
        <w:t>do</w:t>
      </w:r>
      <w:r>
        <w:rPr>
          <w:spacing w:val="-34"/>
        </w:rPr>
        <w:t> </w:t>
      </w:r>
      <w:r>
        <w:rPr/>
        <w:t>passivo</w:t>
      </w:r>
      <w:r>
        <w:rPr>
          <w:spacing w:val="-36"/>
        </w:rPr>
        <w:t> </w:t>
      </w:r>
      <w:r>
        <w:rPr/>
        <w:t>estar</w:t>
      </w:r>
      <w:r>
        <w:rPr>
          <w:spacing w:val="-36"/>
        </w:rPr>
        <w:t> </w:t>
      </w:r>
      <w:r>
        <w:rPr/>
        <w:t>devidamente</w:t>
      </w:r>
      <w:r>
        <w:rPr>
          <w:spacing w:val="-35"/>
        </w:rPr>
        <w:t> </w:t>
      </w:r>
      <w:r>
        <w:rPr/>
        <w:t>provisionado</w:t>
      </w:r>
      <w:r>
        <w:rPr>
          <w:spacing w:val="-35"/>
        </w:rPr>
        <w:t> </w:t>
      </w:r>
      <w:r>
        <w:rPr/>
        <w:t>nas</w:t>
      </w:r>
      <w:r>
        <w:rPr>
          <w:spacing w:val="-36"/>
        </w:rPr>
        <w:t> </w:t>
      </w:r>
      <w:r>
        <w:rPr/>
        <w:t>Demonstrações Financeiras</w:t>
      </w:r>
      <w:r>
        <w:rPr>
          <w:spacing w:val="-28"/>
        </w:rPr>
        <w:t> </w:t>
      </w:r>
      <w:r>
        <w:rPr/>
        <w:t>da</w:t>
      </w:r>
      <w:r>
        <w:rPr>
          <w:spacing w:val="-27"/>
        </w:rPr>
        <w:t> </w:t>
      </w:r>
      <w:r>
        <w:rPr/>
        <w:t>Empresa.</w:t>
      </w:r>
      <w:r>
        <w:rPr>
          <w:spacing w:val="-28"/>
        </w:rPr>
        <w:t> </w:t>
      </w:r>
      <w:r>
        <w:rPr/>
        <w:t>Não</w:t>
      </w:r>
      <w:r>
        <w:rPr>
          <w:spacing w:val="-28"/>
        </w:rPr>
        <w:t> </w:t>
      </w:r>
      <w:r>
        <w:rPr/>
        <w:t>obstante,</w:t>
      </w:r>
      <w:r>
        <w:rPr>
          <w:spacing w:val="-28"/>
        </w:rPr>
        <w:t> </w:t>
      </w:r>
      <w:r>
        <w:rPr/>
        <w:t>a</w:t>
      </w:r>
      <w:r>
        <w:rPr>
          <w:spacing w:val="-26"/>
        </w:rPr>
        <w:t> </w:t>
      </w:r>
      <w:r>
        <w:rPr/>
        <w:t>SFF</w:t>
      </w:r>
      <w:r>
        <w:rPr>
          <w:spacing w:val="-28"/>
        </w:rPr>
        <w:t> </w:t>
      </w:r>
      <w:r>
        <w:rPr/>
        <w:t>encaminhou</w:t>
      </w:r>
      <w:r>
        <w:rPr>
          <w:spacing w:val="-28"/>
        </w:rPr>
        <w:t> </w:t>
      </w:r>
      <w:r>
        <w:rPr/>
        <w:t>o</w:t>
      </w:r>
      <w:r>
        <w:rPr>
          <w:spacing w:val="-28"/>
        </w:rPr>
        <w:t> </w:t>
      </w:r>
      <w:r>
        <w:rPr/>
        <w:t>assunto</w:t>
      </w:r>
      <w:r>
        <w:rPr>
          <w:spacing w:val="-27"/>
        </w:rPr>
        <w:t> </w:t>
      </w:r>
      <w:r>
        <w:rPr/>
        <w:t>para</w:t>
      </w:r>
      <w:r>
        <w:rPr>
          <w:spacing w:val="-27"/>
        </w:rPr>
        <w:t> </w:t>
      </w:r>
      <w:r>
        <w:rPr/>
        <w:t>o</w:t>
      </w:r>
      <w:r>
        <w:rPr>
          <w:spacing w:val="-27"/>
        </w:rPr>
        <w:t> </w:t>
      </w:r>
      <w:r>
        <w:rPr/>
        <w:t>pronunciamento</w:t>
      </w:r>
      <w:r>
        <w:rPr>
          <w:spacing w:val="-28"/>
        </w:rPr>
        <w:t> </w:t>
      </w:r>
      <w:r>
        <w:rPr/>
        <w:t>das</w:t>
      </w:r>
      <w:r>
        <w:rPr>
          <w:spacing w:val="-26"/>
        </w:rPr>
        <w:t> </w:t>
      </w:r>
      <w:r>
        <w:rPr/>
        <w:t>Superintendências </w:t>
      </w:r>
      <w:r>
        <w:rPr>
          <w:w w:val="94"/>
        </w:rPr>
        <w:t>de</w:t>
      </w:r>
      <w:r>
        <w:rPr>
          <w:spacing w:val="-26"/>
        </w:rPr>
        <w:t> </w:t>
      </w:r>
      <w:r>
        <w:rPr>
          <w:spacing w:val="3"/>
          <w:w w:val="106"/>
        </w:rPr>
        <w:t>R</w:t>
      </w:r>
      <w:r>
        <w:rPr>
          <w:spacing w:val="-2"/>
          <w:w w:val="89"/>
        </w:rPr>
        <w:t>e</w:t>
      </w:r>
      <w:r>
        <w:rPr>
          <w:spacing w:val="-1"/>
          <w:w w:val="97"/>
        </w:rPr>
        <w:t>gu</w:t>
      </w:r>
      <w:r>
        <w:rPr>
          <w:spacing w:val="1"/>
          <w:w w:val="97"/>
        </w:rPr>
        <w:t>l</w:t>
      </w:r>
      <w:r>
        <w:rPr>
          <w:w w:val="92"/>
        </w:rPr>
        <w:t>a</w:t>
      </w:r>
      <w:r>
        <w:rPr>
          <w:w w:val="88"/>
        </w:rPr>
        <w:t>ç</w:t>
      </w:r>
      <w:r>
        <w:rPr>
          <w:w w:val="92"/>
        </w:rPr>
        <w:t>ã</w:t>
      </w:r>
      <w:r>
        <w:rPr>
          <w:w w:val="98"/>
        </w:rPr>
        <w:t>o</w:t>
      </w:r>
      <w:r>
        <w:rPr>
          <w:spacing w:val="-25"/>
        </w:rPr>
        <w:t> </w:t>
      </w:r>
      <w:r>
        <w:rPr>
          <w:w w:val="100"/>
        </w:rPr>
        <w:t>dos</w:t>
      </w:r>
      <w:r>
        <w:rPr>
          <w:spacing w:val="-24"/>
        </w:rPr>
        <w:t> </w:t>
      </w:r>
      <w:r>
        <w:rPr>
          <w:spacing w:val="1"/>
          <w:w w:val="102"/>
        </w:rPr>
        <w:t>S</w:t>
      </w:r>
      <w:r>
        <w:rPr>
          <w:spacing w:val="-2"/>
          <w:w w:val="89"/>
        </w:rPr>
        <w:t>e</w:t>
      </w:r>
      <w:r>
        <w:rPr>
          <w:spacing w:val="-1"/>
          <w:w w:val="105"/>
        </w:rPr>
        <w:t>r</w:t>
      </w:r>
      <w:r>
        <w:rPr>
          <w:w w:val="95"/>
        </w:rPr>
        <w:t>vi</w:t>
      </w:r>
      <w:r>
        <w:rPr>
          <w:spacing w:val="1"/>
          <w:w w:val="95"/>
        </w:rPr>
        <w:t>ç</w:t>
      </w:r>
      <w:r>
        <w:rPr>
          <w:w w:val="101"/>
        </w:rPr>
        <w:t>os</w:t>
      </w:r>
      <w:r>
        <w:rPr>
          <w:spacing w:val="-24"/>
        </w:rPr>
        <w:t> </w:t>
      </w:r>
      <w:r>
        <w:rPr>
          <w:spacing w:val="2"/>
          <w:w w:val="99"/>
        </w:rPr>
        <w:t>d</w:t>
      </w:r>
      <w:r>
        <w:rPr>
          <w:w w:val="89"/>
        </w:rPr>
        <w:t>e</w:t>
      </w:r>
      <w:r>
        <w:rPr>
          <w:spacing w:val="-26"/>
        </w:rPr>
        <w:t> </w:t>
      </w:r>
      <w:r>
        <w:rPr>
          <w:w w:val="104"/>
        </w:rPr>
        <w:t>Dis</w:t>
      </w:r>
      <w:r>
        <w:rPr>
          <w:spacing w:val="1"/>
          <w:w w:val="85"/>
        </w:rPr>
        <w:t>t</w:t>
      </w:r>
      <w:r>
        <w:rPr>
          <w:spacing w:val="-1"/>
          <w:w w:val="105"/>
        </w:rPr>
        <w:t>r</w:t>
      </w:r>
      <w:r>
        <w:rPr>
          <w:w w:val="97"/>
        </w:rPr>
        <w:t>i</w:t>
      </w:r>
      <w:r>
        <w:rPr>
          <w:spacing w:val="-2"/>
          <w:w w:val="97"/>
        </w:rPr>
        <w:t>b</w:t>
      </w:r>
      <w:r>
        <w:rPr>
          <w:spacing w:val="2"/>
          <w:w w:val="100"/>
        </w:rPr>
        <w:t>u</w:t>
      </w:r>
      <w:r>
        <w:rPr>
          <w:w w:val="91"/>
        </w:rPr>
        <w:t>iç</w:t>
      </w:r>
      <w:r>
        <w:rPr>
          <w:w w:val="92"/>
        </w:rPr>
        <w:t>ã</w:t>
      </w:r>
      <w:r>
        <w:rPr>
          <w:w w:val="98"/>
        </w:rPr>
        <w:t>o</w:t>
      </w:r>
      <w:r>
        <w:rPr>
          <w:spacing w:val="-22"/>
        </w:rPr>
        <w:t> </w:t>
      </w:r>
      <w:r>
        <w:rPr>
          <w:w w:val="135"/>
        </w:rPr>
        <w:t>–</w:t>
      </w:r>
      <w:r>
        <w:rPr>
          <w:spacing w:val="-24"/>
        </w:rPr>
        <w:t> </w:t>
      </w:r>
      <w:r>
        <w:rPr>
          <w:spacing w:val="-1"/>
          <w:w w:val="104"/>
        </w:rPr>
        <w:t>S</w:t>
      </w:r>
      <w:r>
        <w:rPr>
          <w:w w:val="104"/>
        </w:rPr>
        <w:t>R</w:t>
      </w:r>
      <w:r>
        <w:rPr>
          <w:w w:val="107"/>
        </w:rPr>
        <w:t>D</w:t>
      </w:r>
      <w:r>
        <w:rPr>
          <w:spacing w:val="-22"/>
        </w:rPr>
        <w:t> </w:t>
      </w:r>
      <w:r>
        <w:rPr>
          <w:w w:val="89"/>
        </w:rPr>
        <w:t>e</w:t>
      </w:r>
      <w:r>
        <w:rPr>
          <w:spacing w:val="-26"/>
        </w:rPr>
        <w:t> </w:t>
      </w:r>
      <w:r>
        <w:rPr>
          <w:spacing w:val="2"/>
          <w:w w:val="99"/>
        </w:rPr>
        <w:t>d</w:t>
      </w:r>
      <w:r>
        <w:rPr>
          <w:w w:val="89"/>
        </w:rPr>
        <w:t>e</w:t>
      </w:r>
      <w:r>
        <w:rPr>
          <w:spacing w:val="-26"/>
        </w:rPr>
        <w:t> </w:t>
      </w:r>
      <w:r>
        <w:rPr>
          <w:w w:val="101"/>
        </w:rPr>
        <w:t>F</w:t>
      </w:r>
      <w:r>
        <w:rPr>
          <w:w w:val="102"/>
        </w:rPr>
        <w:t>i</w:t>
      </w:r>
      <w:r>
        <w:rPr>
          <w:spacing w:val="2"/>
          <w:w w:val="102"/>
        </w:rPr>
        <w:t>s</w:t>
      </w:r>
      <w:r>
        <w:rPr>
          <w:w w:val="88"/>
        </w:rPr>
        <w:t>c</w:t>
      </w:r>
      <w:r>
        <w:rPr>
          <w:w w:val="92"/>
        </w:rPr>
        <w:t>a</w:t>
      </w:r>
      <w:r>
        <w:rPr>
          <w:w w:val="91"/>
        </w:rPr>
        <w:t>l</w:t>
      </w:r>
      <w:r>
        <w:rPr>
          <w:w w:val="94"/>
        </w:rPr>
        <w:t>iz</w:t>
      </w:r>
      <w:r>
        <w:rPr>
          <w:spacing w:val="1"/>
          <w:w w:val="94"/>
        </w:rPr>
        <w:t>a</w:t>
      </w:r>
      <w:r>
        <w:rPr>
          <w:spacing w:val="-2"/>
          <w:w w:val="88"/>
        </w:rPr>
        <w:t>ç</w:t>
      </w:r>
      <w:r>
        <w:rPr>
          <w:w w:val="92"/>
        </w:rPr>
        <w:t>ã</w:t>
      </w:r>
      <w:r>
        <w:rPr>
          <w:w w:val="98"/>
        </w:rPr>
        <w:t>o</w:t>
      </w:r>
      <w:r>
        <w:rPr>
          <w:spacing w:val="-25"/>
        </w:rPr>
        <w:t> </w:t>
      </w:r>
      <w:r>
        <w:rPr>
          <w:w w:val="100"/>
        </w:rPr>
        <w:t>dos</w:t>
      </w:r>
      <w:r>
        <w:rPr>
          <w:spacing w:val="-24"/>
        </w:rPr>
        <w:t> </w:t>
      </w:r>
      <w:r>
        <w:rPr>
          <w:spacing w:val="-1"/>
          <w:w w:val="95"/>
        </w:rPr>
        <w:t>S</w:t>
      </w:r>
      <w:r>
        <w:rPr>
          <w:w w:val="95"/>
        </w:rPr>
        <w:t>e</w:t>
      </w:r>
      <w:r>
        <w:rPr>
          <w:spacing w:val="-1"/>
          <w:w w:val="105"/>
        </w:rPr>
        <w:t>r</w:t>
      </w:r>
      <w:r>
        <w:rPr>
          <w:w w:val="95"/>
        </w:rPr>
        <w:t>vi</w:t>
      </w:r>
      <w:r>
        <w:rPr>
          <w:spacing w:val="1"/>
          <w:w w:val="95"/>
        </w:rPr>
        <w:t>ç</w:t>
      </w:r>
      <w:r>
        <w:rPr>
          <w:w w:val="101"/>
        </w:rPr>
        <w:t>os</w:t>
      </w:r>
      <w:r>
        <w:rPr>
          <w:spacing w:val="-24"/>
        </w:rPr>
        <w:t> </w:t>
      </w:r>
      <w:r>
        <w:rPr>
          <w:spacing w:val="2"/>
          <w:w w:val="99"/>
        </w:rPr>
        <w:t>d</w:t>
      </w:r>
      <w:r>
        <w:rPr>
          <w:w w:val="89"/>
        </w:rPr>
        <w:t>e</w:t>
      </w:r>
      <w:r>
        <w:rPr>
          <w:spacing w:val="-26"/>
        </w:rPr>
        <w:t> </w:t>
      </w:r>
      <w:r>
        <w:rPr>
          <w:w w:val="106"/>
        </w:rPr>
        <w:t>E</w:t>
      </w:r>
      <w:r>
        <w:rPr>
          <w:w w:val="91"/>
        </w:rPr>
        <w:t>l</w:t>
      </w:r>
      <w:r>
        <w:rPr>
          <w:spacing w:val="1"/>
          <w:w w:val="89"/>
        </w:rPr>
        <w:t>e</w:t>
      </w:r>
      <w:r>
        <w:rPr>
          <w:spacing w:val="-1"/>
          <w:w w:val="95"/>
        </w:rPr>
        <w:t>t</w:t>
      </w:r>
      <w:r>
        <w:rPr>
          <w:spacing w:val="-2"/>
          <w:w w:val="95"/>
        </w:rPr>
        <w:t>r</w:t>
      </w:r>
      <w:r>
        <w:rPr>
          <w:w w:val="91"/>
        </w:rPr>
        <w:t>ic</w:t>
      </w:r>
      <w:r>
        <w:rPr>
          <w:w w:val="96"/>
        </w:rPr>
        <w:t>ida</w:t>
      </w:r>
      <w:r>
        <w:rPr>
          <w:spacing w:val="2"/>
          <w:w w:val="99"/>
        </w:rPr>
        <w:t>d</w:t>
      </w:r>
      <w:r>
        <w:rPr>
          <w:w w:val="89"/>
        </w:rPr>
        <w:t>e</w:t>
      </w:r>
      <w:r>
        <w:rPr>
          <w:spacing w:val="-22"/>
        </w:rPr>
        <w:t> </w:t>
      </w:r>
      <w:r>
        <w:rPr>
          <w:spacing w:val="1"/>
          <w:w w:val="135"/>
        </w:rPr>
        <w:t>–</w:t>
      </w:r>
      <w:r>
        <w:rPr>
          <w:spacing w:val="-1"/>
          <w:w w:val="102"/>
        </w:rPr>
        <w:t>S</w:t>
      </w:r>
      <w:r>
        <w:rPr>
          <w:w w:val="102"/>
        </w:rPr>
        <w:t>F</w:t>
      </w:r>
      <w:r>
        <w:rPr>
          <w:w w:val="106"/>
        </w:rPr>
        <w:t>E</w:t>
      </w:r>
      <w:r>
        <w:rPr>
          <w:w w:val="55"/>
        </w:rPr>
        <w:t>,</w:t>
      </w:r>
      <w:r>
        <w:rPr>
          <w:spacing w:val="-25"/>
        </w:rPr>
        <w:t> </w:t>
      </w:r>
      <w:r>
        <w:rPr>
          <w:w w:val="101"/>
        </w:rPr>
        <w:t>o</w:t>
      </w:r>
      <w:r>
        <w:rPr>
          <w:spacing w:val="1"/>
          <w:w w:val="101"/>
        </w:rPr>
        <w:t>r</w:t>
      </w:r>
      <w:r>
        <w:rPr>
          <w:w w:val="91"/>
        </w:rPr>
        <w:t>ie</w:t>
      </w:r>
      <w:r>
        <w:rPr>
          <w:spacing w:val="-1"/>
          <w:w w:val="101"/>
        </w:rPr>
        <w:t>n</w:t>
      </w:r>
      <w:r>
        <w:rPr>
          <w:spacing w:val="-1"/>
          <w:w w:val="89"/>
        </w:rPr>
        <w:t>t</w:t>
      </w:r>
      <w:r>
        <w:rPr>
          <w:w w:val="89"/>
        </w:rPr>
        <w:t>a</w:t>
      </w:r>
      <w:r>
        <w:rPr>
          <w:spacing w:val="-1"/>
          <w:w w:val="101"/>
        </w:rPr>
        <w:t>n</w:t>
      </w:r>
      <w:r>
        <w:rPr>
          <w:spacing w:val="2"/>
          <w:w w:val="99"/>
        </w:rPr>
        <w:t>d</w:t>
      </w:r>
      <w:r>
        <w:rPr>
          <w:w w:val="98"/>
        </w:rPr>
        <w:t>o</w:t>
      </w:r>
      <w:r>
        <w:rPr>
          <w:spacing w:val="-25"/>
        </w:rPr>
        <w:t> </w:t>
      </w:r>
      <w:r>
        <w:rPr>
          <w:w w:val="92"/>
        </w:rPr>
        <w:t>à</w:t>
      </w:r>
      <w:r>
        <w:rPr>
          <w:spacing w:val="-21"/>
        </w:rPr>
        <w:t> </w:t>
      </w:r>
      <w:r>
        <w:rPr>
          <w:w w:val="93"/>
        </w:rPr>
        <w:t>C</w:t>
      </w:r>
      <w:r>
        <w:rPr>
          <w:w w:val="106"/>
        </w:rPr>
        <w:t>E</w:t>
      </w:r>
      <w:r>
        <w:rPr>
          <w:w w:val="107"/>
        </w:rPr>
        <w:t>B </w:t>
      </w:r>
      <w:r>
        <w:rPr>
          <w:w w:val="105"/>
        </w:rPr>
        <w:t>DIS</w:t>
      </w:r>
      <w:r>
        <w:rPr>
          <w:spacing w:val="-27"/>
          <w:w w:val="105"/>
        </w:rPr>
        <w:t> </w:t>
      </w:r>
      <w:r>
        <w:rPr>
          <w:w w:val="105"/>
        </w:rPr>
        <w:t>que</w:t>
      </w:r>
      <w:r>
        <w:rPr>
          <w:spacing w:val="-26"/>
          <w:w w:val="105"/>
        </w:rPr>
        <w:t> </w:t>
      </w:r>
      <w:r>
        <w:rPr>
          <w:w w:val="105"/>
        </w:rPr>
        <w:t>não</w:t>
      </w:r>
      <w:r>
        <w:rPr>
          <w:spacing w:val="-25"/>
          <w:w w:val="105"/>
        </w:rPr>
        <w:t> </w:t>
      </w:r>
      <w:r>
        <w:rPr>
          <w:w w:val="105"/>
        </w:rPr>
        <w:t>baixasse</w:t>
      </w:r>
      <w:r>
        <w:rPr>
          <w:spacing w:val="-26"/>
          <w:w w:val="105"/>
        </w:rPr>
        <w:t> </w:t>
      </w:r>
      <w:r>
        <w:rPr>
          <w:w w:val="105"/>
        </w:rPr>
        <w:t>o</w:t>
      </w:r>
      <w:r>
        <w:rPr>
          <w:spacing w:val="-28"/>
          <w:w w:val="105"/>
        </w:rPr>
        <w:t> </w:t>
      </w:r>
      <w:r>
        <w:rPr>
          <w:w w:val="105"/>
        </w:rPr>
        <w:t>valor</w:t>
      </w:r>
      <w:r>
        <w:rPr>
          <w:spacing w:val="-26"/>
          <w:w w:val="105"/>
        </w:rPr>
        <w:t> </w:t>
      </w:r>
      <w:r>
        <w:rPr>
          <w:w w:val="105"/>
        </w:rPr>
        <w:t>do</w:t>
      </w:r>
      <w:r>
        <w:rPr>
          <w:spacing w:val="-26"/>
          <w:w w:val="105"/>
        </w:rPr>
        <w:t> </w:t>
      </w:r>
      <w:r>
        <w:rPr>
          <w:w w:val="105"/>
        </w:rPr>
        <w:t>passivo</w:t>
      </w:r>
      <w:r>
        <w:rPr>
          <w:spacing w:val="-26"/>
          <w:w w:val="105"/>
        </w:rPr>
        <w:t> </w:t>
      </w:r>
      <w:r>
        <w:rPr>
          <w:w w:val="105"/>
        </w:rPr>
        <w:t>até</w:t>
      </w:r>
      <w:r>
        <w:rPr>
          <w:spacing w:val="-29"/>
          <w:w w:val="105"/>
        </w:rPr>
        <w:t> </w:t>
      </w:r>
      <w:r>
        <w:rPr>
          <w:w w:val="105"/>
        </w:rPr>
        <w:t>a</w:t>
      </w:r>
      <w:r>
        <w:rPr>
          <w:spacing w:val="-24"/>
          <w:w w:val="105"/>
        </w:rPr>
        <w:t> </w:t>
      </w:r>
      <w:r>
        <w:rPr>
          <w:w w:val="105"/>
        </w:rPr>
        <w:t>decisão</w:t>
      </w:r>
      <w:r>
        <w:rPr>
          <w:spacing w:val="-25"/>
          <w:w w:val="105"/>
        </w:rPr>
        <w:t> </w:t>
      </w:r>
      <w:r>
        <w:rPr>
          <w:w w:val="105"/>
        </w:rPr>
        <w:t>final</w:t>
      </w:r>
      <w:r>
        <w:rPr>
          <w:spacing w:val="-27"/>
          <w:w w:val="105"/>
        </w:rPr>
        <w:t> </w:t>
      </w:r>
      <w:r>
        <w:rPr>
          <w:w w:val="105"/>
        </w:rPr>
        <w:t>da</w:t>
      </w:r>
      <w:r>
        <w:rPr>
          <w:spacing w:val="-27"/>
          <w:w w:val="105"/>
        </w:rPr>
        <w:t> </w:t>
      </w:r>
      <w:r>
        <w:rPr>
          <w:w w:val="105"/>
        </w:rPr>
        <w:t>Agência</w:t>
      </w:r>
      <w:r>
        <w:rPr>
          <w:spacing w:val="-26"/>
          <w:w w:val="105"/>
        </w:rPr>
        <w:t> </w:t>
      </w:r>
      <w:r>
        <w:rPr>
          <w:w w:val="105"/>
        </w:rPr>
        <w:t>Reguladora.</w:t>
      </w:r>
    </w:p>
    <w:p>
      <w:pPr>
        <w:pStyle w:val="BodyText"/>
        <w:spacing w:line="242" w:lineRule="auto" w:before="118"/>
        <w:ind w:left="172" w:right="409"/>
        <w:jc w:val="both"/>
      </w:pPr>
      <w:r>
        <w:rPr/>
        <w:t>Em</w:t>
      </w:r>
      <w:r>
        <w:rPr>
          <w:spacing w:val="-4"/>
        </w:rPr>
        <w:t> </w:t>
      </w:r>
      <w:r>
        <w:rPr/>
        <w:t>17</w:t>
      </w:r>
      <w:r>
        <w:rPr>
          <w:spacing w:val="-2"/>
        </w:rPr>
        <w:t> </w:t>
      </w:r>
      <w:r>
        <w:rPr/>
        <w:t>de</w:t>
      </w:r>
      <w:r>
        <w:rPr>
          <w:spacing w:val="-6"/>
        </w:rPr>
        <w:t> </w:t>
      </w:r>
      <w:r>
        <w:rPr/>
        <w:t>outubro</w:t>
      </w:r>
      <w:r>
        <w:rPr>
          <w:spacing w:val="-2"/>
        </w:rPr>
        <w:t> </w:t>
      </w:r>
      <w:r>
        <w:rPr/>
        <w:t>de</w:t>
      </w:r>
      <w:r>
        <w:rPr>
          <w:spacing w:val="-5"/>
        </w:rPr>
        <w:t> </w:t>
      </w:r>
      <w:r>
        <w:rPr/>
        <w:t>2017,</w:t>
      </w:r>
      <w:r>
        <w:rPr>
          <w:spacing w:val="-2"/>
        </w:rPr>
        <w:t> </w:t>
      </w:r>
      <w:r>
        <w:rPr/>
        <w:t>a</w:t>
      </w:r>
      <w:r>
        <w:rPr>
          <w:spacing w:val="-3"/>
        </w:rPr>
        <w:t> </w:t>
      </w:r>
      <w:r>
        <w:rPr/>
        <w:t>ANEEL</w:t>
      </w:r>
      <w:r>
        <w:rPr>
          <w:spacing w:val="-4"/>
        </w:rPr>
        <w:t> </w:t>
      </w:r>
      <w:r>
        <w:rPr/>
        <w:t>publicou</w:t>
      </w:r>
      <w:r>
        <w:rPr>
          <w:spacing w:val="-3"/>
        </w:rPr>
        <w:t> </w:t>
      </w:r>
      <w:r>
        <w:rPr/>
        <w:t>a</w:t>
      </w:r>
      <w:r>
        <w:rPr>
          <w:spacing w:val="-3"/>
        </w:rPr>
        <w:t> </w:t>
      </w:r>
      <w:r>
        <w:rPr/>
        <w:t>Resolução</w:t>
      </w:r>
      <w:r>
        <w:rPr>
          <w:spacing w:val="-4"/>
        </w:rPr>
        <w:t> </w:t>
      </w:r>
      <w:r>
        <w:rPr/>
        <w:t>Homologatória</w:t>
      </w:r>
      <w:r>
        <w:rPr>
          <w:spacing w:val="-1"/>
        </w:rPr>
        <w:t> </w:t>
      </w:r>
      <w:r>
        <w:rPr/>
        <w:t>nº</w:t>
      </w:r>
      <w:r>
        <w:rPr>
          <w:spacing w:val="-3"/>
        </w:rPr>
        <w:t> </w:t>
      </w:r>
      <w:r>
        <w:rPr/>
        <w:t>2.316/2017,</w:t>
      </w:r>
      <w:r>
        <w:rPr>
          <w:spacing w:val="-2"/>
        </w:rPr>
        <w:t> </w:t>
      </w:r>
      <w:r>
        <w:rPr/>
        <w:t>referente</w:t>
      </w:r>
      <w:r>
        <w:rPr>
          <w:spacing w:val="-3"/>
        </w:rPr>
        <w:t> </w:t>
      </w:r>
      <w:r>
        <w:rPr/>
        <w:t>ao</w:t>
      </w:r>
      <w:r>
        <w:rPr>
          <w:spacing w:val="-4"/>
        </w:rPr>
        <w:t> </w:t>
      </w:r>
      <w:r>
        <w:rPr/>
        <w:t>Reajuste Tarifário</w:t>
      </w:r>
      <w:r>
        <w:rPr>
          <w:spacing w:val="-17"/>
        </w:rPr>
        <w:t> </w:t>
      </w:r>
      <w:r>
        <w:rPr/>
        <w:t>Anual</w:t>
      </w:r>
      <w:r>
        <w:rPr>
          <w:spacing w:val="-18"/>
        </w:rPr>
        <w:t> </w:t>
      </w:r>
      <w:r>
        <w:rPr/>
        <w:t>de</w:t>
      </w:r>
      <w:r>
        <w:rPr>
          <w:spacing w:val="-17"/>
        </w:rPr>
        <w:t> </w:t>
      </w:r>
      <w:r>
        <w:rPr/>
        <w:t>2017</w:t>
      </w:r>
      <w:r>
        <w:rPr>
          <w:spacing w:val="-16"/>
        </w:rPr>
        <w:t> </w:t>
      </w:r>
      <w:r>
        <w:rPr/>
        <w:t>da</w:t>
      </w:r>
      <w:r>
        <w:rPr>
          <w:spacing w:val="-17"/>
        </w:rPr>
        <w:t> </w:t>
      </w:r>
      <w:r>
        <w:rPr/>
        <w:t>CEB</w:t>
      </w:r>
      <w:r>
        <w:rPr>
          <w:spacing w:val="-17"/>
        </w:rPr>
        <w:t> </w:t>
      </w:r>
      <w:r>
        <w:rPr/>
        <w:t>DIS</w:t>
      </w:r>
      <w:r>
        <w:rPr>
          <w:spacing w:val="-16"/>
        </w:rPr>
        <w:t> </w:t>
      </w:r>
      <w:r>
        <w:rPr/>
        <w:t>que</w:t>
      </w:r>
      <w:r>
        <w:rPr>
          <w:spacing w:val="-17"/>
        </w:rPr>
        <w:t> </w:t>
      </w:r>
      <w:r>
        <w:rPr/>
        <w:t>decidiu</w:t>
      </w:r>
      <w:r>
        <w:rPr>
          <w:spacing w:val="-17"/>
        </w:rPr>
        <w:t> </w:t>
      </w:r>
      <w:r>
        <w:rPr/>
        <w:t>compensar</w:t>
      </w:r>
      <w:r>
        <w:rPr>
          <w:spacing w:val="-18"/>
        </w:rPr>
        <w:t> </w:t>
      </w:r>
      <w:r>
        <w:rPr/>
        <w:t>na</w:t>
      </w:r>
      <w:r>
        <w:rPr>
          <w:spacing w:val="-15"/>
        </w:rPr>
        <w:t> </w:t>
      </w:r>
      <w:r>
        <w:rPr/>
        <w:t>tarifa</w:t>
      </w:r>
      <w:r>
        <w:rPr>
          <w:spacing w:val="-16"/>
        </w:rPr>
        <w:t> </w:t>
      </w:r>
      <w:r>
        <w:rPr/>
        <w:t>o</w:t>
      </w:r>
      <w:r>
        <w:rPr>
          <w:spacing w:val="-19"/>
        </w:rPr>
        <w:t> </w:t>
      </w:r>
      <w:r>
        <w:rPr/>
        <w:t>saldo</w:t>
      </w:r>
      <w:r>
        <w:rPr>
          <w:spacing w:val="-17"/>
        </w:rPr>
        <w:t> </w:t>
      </w:r>
      <w:r>
        <w:rPr/>
        <w:t>remanescente</w:t>
      </w:r>
      <w:r>
        <w:rPr>
          <w:spacing w:val="-17"/>
        </w:rPr>
        <w:t> </w:t>
      </w:r>
      <w:r>
        <w:rPr/>
        <w:t>do</w:t>
      </w:r>
      <w:r>
        <w:rPr>
          <w:spacing w:val="-17"/>
        </w:rPr>
        <w:t> </w:t>
      </w:r>
      <w:r>
        <w:rPr/>
        <w:t>referido</w:t>
      </w:r>
      <w:r>
        <w:rPr>
          <w:spacing w:val="-17"/>
        </w:rPr>
        <w:t> </w:t>
      </w:r>
      <w:r>
        <w:rPr/>
        <w:t>passivo</w:t>
      </w:r>
      <w:r>
        <w:rPr>
          <w:spacing w:val="-16"/>
        </w:rPr>
        <w:t> </w:t>
      </w:r>
      <w:r>
        <w:rPr/>
        <w:t>em modicidade</w:t>
      </w:r>
      <w:r>
        <w:rPr>
          <w:spacing w:val="-38"/>
        </w:rPr>
        <w:t> </w:t>
      </w:r>
      <w:r>
        <w:rPr/>
        <w:t>tarifária,</w:t>
      </w:r>
      <w:r>
        <w:rPr>
          <w:spacing w:val="-37"/>
        </w:rPr>
        <w:t> </w:t>
      </w:r>
      <w:r>
        <w:rPr/>
        <w:t>atualizado</w:t>
      </w:r>
      <w:r>
        <w:rPr>
          <w:spacing w:val="-37"/>
        </w:rPr>
        <w:t> </w:t>
      </w:r>
      <w:r>
        <w:rPr/>
        <w:t>pela</w:t>
      </w:r>
      <w:r>
        <w:rPr>
          <w:spacing w:val="-37"/>
        </w:rPr>
        <w:t> </w:t>
      </w:r>
      <w:r>
        <w:rPr/>
        <w:t>Taxa</w:t>
      </w:r>
      <w:r>
        <w:rPr>
          <w:spacing w:val="-36"/>
        </w:rPr>
        <w:t> </w:t>
      </w:r>
      <w:r>
        <w:rPr/>
        <w:t>Selic,</w:t>
      </w:r>
      <w:r>
        <w:rPr>
          <w:spacing w:val="-37"/>
        </w:rPr>
        <w:t> </w:t>
      </w:r>
      <w:r>
        <w:rPr/>
        <w:t>até</w:t>
      </w:r>
      <w:r>
        <w:rPr>
          <w:spacing w:val="-37"/>
        </w:rPr>
        <w:t> </w:t>
      </w:r>
      <w:r>
        <w:rPr/>
        <w:t>23</w:t>
      </w:r>
      <w:r>
        <w:rPr>
          <w:spacing w:val="-36"/>
        </w:rPr>
        <w:t> </w:t>
      </w:r>
      <w:r>
        <w:rPr/>
        <w:t>de</w:t>
      </w:r>
      <w:r>
        <w:rPr>
          <w:spacing w:val="-38"/>
        </w:rPr>
        <w:t> </w:t>
      </w:r>
      <w:r>
        <w:rPr/>
        <w:t>dezembro</w:t>
      </w:r>
      <w:r>
        <w:rPr>
          <w:spacing w:val="-35"/>
        </w:rPr>
        <w:t> </w:t>
      </w:r>
      <w:r>
        <w:rPr/>
        <w:t>de</w:t>
      </w:r>
      <w:r>
        <w:rPr>
          <w:spacing w:val="-37"/>
        </w:rPr>
        <w:t> </w:t>
      </w:r>
      <w:r>
        <w:rPr/>
        <w:t>2013,</w:t>
      </w:r>
      <w:r>
        <w:rPr>
          <w:spacing w:val="-36"/>
        </w:rPr>
        <w:t> </w:t>
      </w:r>
      <w:r>
        <w:rPr/>
        <w:t>perfazendo</w:t>
      </w:r>
      <w:r>
        <w:rPr>
          <w:spacing w:val="-37"/>
        </w:rPr>
        <w:t> </w:t>
      </w:r>
      <w:r>
        <w:rPr/>
        <w:t>o</w:t>
      </w:r>
      <w:r>
        <w:rPr>
          <w:spacing w:val="-36"/>
        </w:rPr>
        <w:t> </w:t>
      </w:r>
      <w:r>
        <w:rPr/>
        <w:t>montante</w:t>
      </w:r>
      <w:r>
        <w:rPr>
          <w:spacing w:val="-36"/>
        </w:rPr>
        <w:t> </w:t>
      </w:r>
      <w:r>
        <w:rPr/>
        <w:t>de</w:t>
      </w:r>
      <w:r>
        <w:rPr>
          <w:spacing w:val="-36"/>
        </w:rPr>
        <w:t> </w:t>
      </w:r>
      <w:r>
        <w:rPr/>
        <w:t>R$</w:t>
      </w:r>
      <w:r>
        <w:rPr>
          <w:spacing w:val="-37"/>
        </w:rPr>
        <w:t> </w:t>
      </w:r>
      <w:r>
        <w:rPr/>
        <w:t>97.631, em</w:t>
      </w:r>
      <w:r>
        <w:rPr>
          <w:spacing w:val="-45"/>
        </w:rPr>
        <w:t> </w:t>
      </w:r>
      <w:r>
        <w:rPr/>
        <w:t>quatro</w:t>
      </w:r>
      <w:r>
        <w:rPr>
          <w:spacing w:val="-45"/>
        </w:rPr>
        <w:t> </w:t>
      </w:r>
      <w:r>
        <w:rPr/>
        <w:t>parcelas,</w:t>
      </w:r>
      <w:r>
        <w:rPr>
          <w:spacing w:val="-45"/>
        </w:rPr>
        <w:t> </w:t>
      </w:r>
      <w:r>
        <w:rPr/>
        <w:t>sendo</w:t>
      </w:r>
      <w:r>
        <w:rPr>
          <w:spacing w:val="-46"/>
        </w:rPr>
        <w:t> </w:t>
      </w:r>
      <w:r>
        <w:rPr/>
        <w:t>a</w:t>
      </w:r>
      <w:r>
        <w:rPr>
          <w:spacing w:val="-44"/>
        </w:rPr>
        <w:t> </w:t>
      </w:r>
      <w:r>
        <w:rPr/>
        <w:t>primeira</w:t>
      </w:r>
      <w:r>
        <w:rPr>
          <w:spacing w:val="-45"/>
        </w:rPr>
        <w:t> </w:t>
      </w:r>
      <w:r>
        <w:rPr/>
        <w:t>capturada</w:t>
      </w:r>
      <w:r>
        <w:rPr>
          <w:spacing w:val="-45"/>
        </w:rPr>
        <w:t> </w:t>
      </w:r>
      <w:r>
        <w:rPr/>
        <w:t>no</w:t>
      </w:r>
      <w:r>
        <w:rPr>
          <w:spacing w:val="-45"/>
        </w:rPr>
        <w:t> </w:t>
      </w:r>
      <w:r>
        <w:rPr/>
        <w:t>referido</w:t>
      </w:r>
      <w:r>
        <w:rPr>
          <w:spacing w:val="-46"/>
        </w:rPr>
        <w:t> </w:t>
      </w:r>
      <w:r>
        <w:rPr/>
        <w:t>reajuste,</w:t>
      </w:r>
      <w:r>
        <w:rPr>
          <w:spacing w:val="-44"/>
        </w:rPr>
        <w:t> </w:t>
      </w:r>
      <w:r>
        <w:rPr/>
        <w:t>no</w:t>
      </w:r>
      <w:r>
        <w:rPr>
          <w:spacing w:val="-46"/>
        </w:rPr>
        <w:t> </w:t>
      </w:r>
      <w:r>
        <w:rPr/>
        <w:t>montante</w:t>
      </w:r>
      <w:r>
        <w:rPr>
          <w:spacing w:val="-45"/>
        </w:rPr>
        <w:t> </w:t>
      </w:r>
      <w:r>
        <w:rPr/>
        <w:t>de</w:t>
      </w:r>
      <w:r>
        <w:rPr>
          <w:spacing w:val="-45"/>
        </w:rPr>
        <w:t> </w:t>
      </w:r>
      <w:r>
        <w:rPr/>
        <w:t>R$</w:t>
      </w:r>
      <w:r>
        <w:rPr>
          <w:spacing w:val="-46"/>
        </w:rPr>
        <w:t> </w:t>
      </w:r>
      <w:r>
        <w:rPr/>
        <w:t>24.408,</w:t>
      </w:r>
      <w:r>
        <w:rPr>
          <w:spacing w:val="-44"/>
        </w:rPr>
        <w:t> </w:t>
      </w:r>
      <w:r>
        <w:rPr/>
        <w:t>e</w:t>
      </w:r>
      <w:r>
        <w:rPr>
          <w:spacing w:val="-46"/>
        </w:rPr>
        <w:t> </w:t>
      </w:r>
      <w:r>
        <w:rPr/>
        <w:t>as</w:t>
      </w:r>
      <w:r>
        <w:rPr>
          <w:spacing w:val="-46"/>
        </w:rPr>
        <w:t> </w:t>
      </w:r>
      <w:r>
        <w:rPr/>
        <w:t>demais</w:t>
      </w:r>
      <w:r>
        <w:rPr>
          <w:spacing w:val="-45"/>
        </w:rPr>
        <w:t> </w:t>
      </w:r>
      <w:r>
        <w:rPr/>
        <w:t>diferidas nos</w:t>
      </w:r>
      <w:r>
        <w:rPr>
          <w:spacing w:val="-18"/>
        </w:rPr>
        <w:t> </w:t>
      </w:r>
      <w:r>
        <w:rPr/>
        <w:t>próximos</w:t>
      </w:r>
      <w:r>
        <w:rPr>
          <w:spacing w:val="-18"/>
        </w:rPr>
        <w:t> </w:t>
      </w:r>
      <w:r>
        <w:rPr/>
        <w:t>ciclos</w:t>
      </w:r>
      <w:r>
        <w:rPr>
          <w:spacing w:val="-17"/>
        </w:rPr>
        <w:t> </w:t>
      </w:r>
      <w:r>
        <w:rPr/>
        <w:t>tarifários.</w:t>
      </w:r>
    </w:p>
    <w:p>
      <w:pPr>
        <w:pStyle w:val="BodyText"/>
        <w:spacing w:line="242" w:lineRule="auto" w:before="121"/>
        <w:ind w:left="172" w:right="409"/>
        <w:jc w:val="both"/>
      </w:pPr>
      <w:r>
        <w:rPr/>
        <w:t>A</w:t>
      </w:r>
      <w:r>
        <w:rPr>
          <w:spacing w:val="-29"/>
        </w:rPr>
        <w:t> </w:t>
      </w:r>
      <w:r>
        <w:rPr/>
        <w:t>Administração</w:t>
      </w:r>
      <w:r>
        <w:rPr>
          <w:spacing w:val="-29"/>
        </w:rPr>
        <w:t> </w:t>
      </w:r>
      <w:r>
        <w:rPr/>
        <w:t>da</w:t>
      </w:r>
      <w:r>
        <w:rPr>
          <w:spacing w:val="-28"/>
        </w:rPr>
        <w:t> </w:t>
      </w:r>
      <w:r>
        <w:rPr/>
        <w:t>Companhia</w:t>
      </w:r>
      <w:r>
        <w:rPr>
          <w:spacing w:val="-28"/>
        </w:rPr>
        <w:t> </w:t>
      </w:r>
      <w:r>
        <w:rPr/>
        <w:t>continua</w:t>
      </w:r>
      <w:r>
        <w:rPr>
          <w:spacing w:val="-26"/>
        </w:rPr>
        <w:t> </w:t>
      </w:r>
      <w:r>
        <w:rPr/>
        <w:t>questionando</w:t>
      </w:r>
      <w:r>
        <w:rPr>
          <w:spacing w:val="-29"/>
        </w:rPr>
        <w:t> </w:t>
      </w:r>
      <w:r>
        <w:rPr/>
        <w:t>a</w:t>
      </w:r>
      <w:r>
        <w:rPr>
          <w:spacing w:val="-27"/>
        </w:rPr>
        <w:t> </w:t>
      </w:r>
      <w:r>
        <w:rPr/>
        <w:t>obrigatoriedade</w:t>
      </w:r>
      <w:r>
        <w:rPr>
          <w:spacing w:val="-30"/>
        </w:rPr>
        <w:t> </w:t>
      </w:r>
      <w:r>
        <w:rPr/>
        <w:t>desse</w:t>
      </w:r>
      <w:r>
        <w:rPr>
          <w:spacing w:val="-28"/>
        </w:rPr>
        <w:t> </w:t>
      </w:r>
      <w:r>
        <w:rPr/>
        <w:t>passivo.</w:t>
      </w:r>
      <w:r>
        <w:rPr>
          <w:spacing w:val="-24"/>
        </w:rPr>
        <w:t> </w:t>
      </w:r>
      <w:r>
        <w:rPr/>
        <w:t>Em</w:t>
      </w:r>
      <w:r>
        <w:rPr>
          <w:spacing w:val="-29"/>
        </w:rPr>
        <w:t> </w:t>
      </w:r>
      <w:r>
        <w:rPr/>
        <w:t>18</w:t>
      </w:r>
      <w:r>
        <w:rPr>
          <w:spacing w:val="-29"/>
        </w:rPr>
        <w:t> </w:t>
      </w:r>
      <w:r>
        <w:rPr/>
        <w:t>de</w:t>
      </w:r>
      <w:r>
        <w:rPr>
          <w:spacing w:val="-29"/>
        </w:rPr>
        <w:t> </w:t>
      </w:r>
      <w:r>
        <w:rPr/>
        <w:t>março</w:t>
      </w:r>
      <w:r>
        <w:rPr>
          <w:spacing w:val="-29"/>
        </w:rPr>
        <w:t> </w:t>
      </w:r>
      <w:r>
        <w:rPr/>
        <w:t>de</w:t>
      </w:r>
      <w:r>
        <w:rPr>
          <w:spacing w:val="-28"/>
        </w:rPr>
        <w:t> </w:t>
      </w:r>
      <w:r>
        <w:rPr/>
        <w:t>2018,</w:t>
      </w:r>
      <w:r>
        <w:rPr>
          <w:spacing w:val="-29"/>
        </w:rPr>
        <w:t> </w:t>
      </w:r>
      <w:r>
        <w:rPr/>
        <w:t>a Companhia</w:t>
      </w:r>
      <w:r>
        <w:rPr>
          <w:spacing w:val="-13"/>
        </w:rPr>
        <w:t> </w:t>
      </w:r>
      <w:r>
        <w:rPr/>
        <w:t>obteve</w:t>
      </w:r>
      <w:r>
        <w:rPr>
          <w:spacing w:val="-13"/>
        </w:rPr>
        <w:t> </w:t>
      </w:r>
      <w:r>
        <w:rPr/>
        <w:t>liminar</w:t>
      </w:r>
      <w:r>
        <w:rPr>
          <w:spacing w:val="-11"/>
        </w:rPr>
        <w:t> </w:t>
      </w:r>
      <w:r>
        <w:rPr/>
        <w:t>que</w:t>
      </w:r>
      <w:r>
        <w:rPr>
          <w:spacing w:val="-12"/>
        </w:rPr>
        <w:t> </w:t>
      </w:r>
      <w:r>
        <w:rPr/>
        <w:t>deferiu,</w:t>
      </w:r>
      <w:r>
        <w:rPr>
          <w:spacing w:val="-13"/>
        </w:rPr>
        <w:t> </w:t>
      </w:r>
      <w:r>
        <w:rPr/>
        <w:t>parcialmente,</w:t>
      </w:r>
      <w:r>
        <w:rPr>
          <w:spacing w:val="-11"/>
        </w:rPr>
        <w:t> </w:t>
      </w:r>
      <w:r>
        <w:rPr/>
        <w:t>o</w:t>
      </w:r>
      <w:r>
        <w:rPr>
          <w:spacing w:val="-13"/>
        </w:rPr>
        <w:t> </w:t>
      </w:r>
      <w:r>
        <w:rPr/>
        <w:t>efeito</w:t>
      </w:r>
      <w:r>
        <w:rPr>
          <w:spacing w:val="-13"/>
        </w:rPr>
        <w:t> </w:t>
      </w:r>
      <w:r>
        <w:rPr/>
        <w:t>suspensivo</w:t>
      </w:r>
      <w:r>
        <w:rPr>
          <w:spacing w:val="-12"/>
        </w:rPr>
        <w:t> </w:t>
      </w:r>
      <w:r>
        <w:rPr/>
        <w:t>ativo</w:t>
      </w:r>
      <w:r>
        <w:rPr>
          <w:spacing w:val="-13"/>
        </w:rPr>
        <w:t> </w:t>
      </w:r>
      <w:r>
        <w:rPr/>
        <w:t>para</w:t>
      </w:r>
      <w:r>
        <w:rPr>
          <w:spacing w:val="-12"/>
        </w:rPr>
        <w:t> </w:t>
      </w:r>
      <w:r>
        <w:rPr/>
        <w:t>determinar</w:t>
      </w:r>
      <w:r>
        <w:rPr>
          <w:spacing w:val="-14"/>
        </w:rPr>
        <w:t> </w:t>
      </w:r>
      <w:r>
        <w:rPr/>
        <w:t>à</w:t>
      </w:r>
      <w:r>
        <w:rPr>
          <w:spacing w:val="-12"/>
        </w:rPr>
        <w:t> </w:t>
      </w:r>
      <w:r>
        <w:rPr/>
        <w:t>ANEEL</w:t>
      </w:r>
      <w:r>
        <w:rPr>
          <w:spacing w:val="-12"/>
        </w:rPr>
        <w:t> </w:t>
      </w:r>
      <w:r>
        <w:rPr/>
        <w:t>que</w:t>
      </w:r>
      <w:r>
        <w:rPr>
          <w:spacing w:val="-13"/>
        </w:rPr>
        <w:t> </w:t>
      </w:r>
      <w:r>
        <w:rPr/>
        <w:t>se abstenha</w:t>
      </w:r>
      <w:r>
        <w:rPr>
          <w:spacing w:val="-7"/>
        </w:rPr>
        <w:t> </w:t>
      </w:r>
      <w:r>
        <w:rPr/>
        <w:t>de</w:t>
      </w:r>
      <w:r>
        <w:rPr>
          <w:spacing w:val="-8"/>
        </w:rPr>
        <w:t> </w:t>
      </w:r>
      <w:r>
        <w:rPr/>
        <w:t>efetuar</w:t>
      </w:r>
      <w:r>
        <w:rPr>
          <w:spacing w:val="-10"/>
        </w:rPr>
        <w:t> </w:t>
      </w:r>
      <w:r>
        <w:rPr/>
        <w:t>a</w:t>
      </w:r>
      <w:r>
        <w:rPr>
          <w:spacing w:val="-7"/>
        </w:rPr>
        <w:t> </w:t>
      </w:r>
      <w:r>
        <w:rPr/>
        <w:t>cobrança</w:t>
      </w:r>
      <w:r>
        <w:rPr>
          <w:spacing w:val="-8"/>
        </w:rPr>
        <w:t> </w:t>
      </w:r>
      <w:r>
        <w:rPr/>
        <w:t>relativa</w:t>
      </w:r>
      <w:r>
        <w:rPr>
          <w:spacing w:val="-9"/>
        </w:rPr>
        <w:t> </w:t>
      </w:r>
      <w:r>
        <w:rPr/>
        <w:t>ao</w:t>
      </w:r>
      <w:r>
        <w:rPr>
          <w:spacing w:val="-8"/>
        </w:rPr>
        <w:t> </w:t>
      </w:r>
      <w:r>
        <w:rPr/>
        <w:t>superávit</w:t>
      </w:r>
      <w:r>
        <w:rPr>
          <w:spacing w:val="-8"/>
        </w:rPr>
        <w:t> </w:t>
      </w:r>
      <w:r>
        <w:rPr/>
        <w:t>de</w:t>
      </w:r>
      <w:r>
        <w:rPr>
          <w:spacing w:val="-9"/>
        </w:rPr>
        <w:t> </w:t>
      </w:r>
      <w:r>
        <w:rPr/>
        <w:t>receita</w:t>
      </w:r>
      <w:r>
        <w:rPr>
          <w:spacing w:val="-7"/>
        </w:rPr>
        <w:t> </w:t>
      </w:r>
      <w:r>
        <w:rPr/>
        <w:t>percebido</w:t>
      </w:r>
      <w:r>
        <w:rPr>
          <w:spacing w:val="-10"/>
        </w:rPr>
        <w:t> </w:t>
      </w:r>
      <w:r>
        <w:rPr/>
        <w:t>pela</w:t>
      </w:r>
      <w:r>
        <w:rPr>
          <w:spacing w:val="-8"/>
        </w:rPr>
        <w:t> </w:t>
      </w:r>
      <w:r>
        <w:rPr/>
        <w:t>Companhia</w:t>
      </w:r>
      <w:r>
        <w:rPr>
          <w:spacing w:val="-7"/>
        </w:rPr>
        <w:t> </w:t>
      </w:r>
      <w:r>
        <w:rPr/>
        <w:t>em</w:t>
      </w:r>
      <w:r>
        <w:rPr>
          <w:spacing w:val="-8"/>
        </w:rPr>
        <w:t> </w:t>
      </w:r>
      <w:r>
        <w:rPr/>
        <w:t>decorrência</w:t>
      </w:r>
      <w:r>
        <w:rPr>
          <w:spacing w:val="-7"/>
        </w:rPr>
        <w:t> </w:t>
      </w:r>
      <w:r>
        <w:rPr/>
        <w:t>dos critérios</w:t>
      </w:r>
      <w:r>
        <w:rPr>
          <w:spacing w:val="-33"/>
        </w:rPr>
        <w:t> </w:t>
      </w:r>
      <w:r>
        <w:rPr/>
        <w:t>de</w:t>
      </w:r>
      <w:r>
        <w:rPr>
          <w:spacing w:val="-34"/>
        </w:rPr>
        <w:t> </w:t>
      </w:r>
      <w:r>
        <w:rPr/>
        <w:t>delimitação</w:t>
      </w:r>
      <w:r>
        <w:rPr>
          <w:spacing w:val="-34"/>
        </w:rPr>
        <w:t> </w:t>
      </w:r>
      <w:r>
        <w:rPr/>
        <w:t>da</w:t>
      </w:r>
      <w:r>
        <w:rPr>
          <w:spacing w:val="-34"/>
        </w:rPr>
        <w:t> </w:t>
      </w:r>
      <w:r>
        <w:rPr/>
        <w:t>subclasse</w:t>
      </w:r>
      <w:r>
        <w:rPr>
          <w:spacing w:val="-35"/>
        </w:rPr>
        <w:t> </w:t>
      </w:r>
      <w:r>
        <w:rPr/>
        <w:t>residencial</w:t>
      </w:r>
      <w:r>
        <w:rPr>
          <w:spacing w:val="-34"/>
        </w:rPr>
        <w:t> </w:t>
      </w:r>
      <w:r>
        <w:rPr/>
        <w:t>Baixa</w:t>
      </w:r>
      <w:r>
        <w:rPr>
          <w:spacing w:val="-34"/>
        </w:rPr>
        <w:t> </w:t>
      </w:r>
      <w:r>
        <w:rPr/>
        <w:t>Renda,</w:t>
      </w:r>
      <w:r>
        <w:rPr>
          <w:spacing w:val="-33"/>
        </w:rPr>
        <w:t> </w:t>
      </w:r>
      <w:r>
        <w:rPr/>
        <w:t>bem</w:t>
      </w:r>
      <w:r>
        <w:rPr>
          <w:spacing w:val="-34"/>
        </w:rPr>
        <w:t> </w:t>
      </w:r>
      <w:r>
        <w:rPr/>
        <w:t>como</w:t>
      </w:r>
      <w:r>
        <w:rPr>
          <w:spacing w:val="-33"/>
        </w:rPr>
        <w:t> </w:t>
      </w:r>
      <w:r>
        <w:rPr/>
        <w:t>de</w:t>
      </w:r>
      <w:r>
        <w:rPr>
          <w:spacing w:val="-34"/>
        </w:rPr>
        <w:t> </w:t>
      </w:r>
      <w:r>
        <w:rPr/>
        <w:t>abater,</w:t>
      </w:r>
      <w:r>
        <w:rPr>
          <w:spacing w:val="-33"/>
        </w:rPr>
        <w:t> </w:t>
      </w:r>
      <w:r>
        <w:rPr/>
        <w:t>reverter</w:t>
      </w:r>
      <w:r>
        <w:rPr>
          <w:spacing w:val="-34"/>
        </w:rPr>
        <w:t> </w:t>
      </w:r>
      <w:r>
        <w:rPr/>
        <w:t>e</w:t>
      </w:r>
      <w:r>
        <w:rPr>
          <w:spacing w:val="-34"/>
        </w:rPr>
        <w:t> </w:t>
      </w:r>
      <w:r>
        <w:rPr/>
        <w:t>capturar</w:t>
      </w:r>
      <w:r>
        <w:rPr>
          <w:spacing w:val="-34"/>
        </w:rPr>
        <w:t> </w:t>
      </w:r>
      <w:r>
        <w:rPr/>
        <w:t>tais</w:t>
      </w:r>
      <w:r>
        <w:rPr>
          <w:spacing w:val="-34"/>
        </w:rPr>
        <w:t> </w:t>
      </w:r>
      <w:r>
        <w:rPr/>
        <w:t>valores na</w:t>
      </w:r>
      <w:r>
        <w:rPr>
          <w:spacing w:val="-34"/>
        </w:rPr>
        <w:t> </w:t>
      </w:r>
      <w:r>
        <w:rPr/>
        <w:t>receita</w:t>
      </w:r>
      <w:r>
        <w:rPr>
          <w:spacing w:val="-32"/>
        </w:rPr>
        <w:t> </w:t>
      </w:r>
      <w:r>
        <w:rPr/>
        <w:t>e</w:t>
      </w:r>
      <w:r>
        <w:rPr>
          <w:spacing w:val="-33"/>
        </w:rPr>
        <w:t> </w:t>
      </w:r>
      <w:r>
        <w:rPr/>
        <w:t>nas</w:t>
      </w:r>
      <w:r>
        <w:rPr>
          <w:spacing w:val="-32"/>
        </w:rPr>
        <w:t> </w:t>
      </w:r>
      <w:r>
        <w:rPr/>
        <w:t>tarifas</w:t>
      </w:r>
      <w:r>
        <w:rPr>
          <w:spacing w:val="-32"/>
        </w:rPr>
        <w:t> </w:t>
      </w:r>
      <w:r>
        <w:rPr/>
        <w:t>da</w:t>
      </w:r>
      <w:r>
        <w:rPr>
          <w:spacing w:val="-33"/>
        </w:rPr>
        <w:t> </w:t>
      </w:r>
      <w:r>
        <w:rPr/>
        <w:t>CEB</w:t>
      </w:r>
      <w:r>
        <w:rPr>
          <w:spacing w:val="-34"/>
        </w:rPr>
        <w:t> </w:t>
      </w:r>
      <w:r>
        <w:rPr/>
        <w:t>DIS,</w:t>
      </w:r>
      <w:r>
        <w:rPr>
          <w:spacing w:val="-32"/>
        </w:rPr>
        <w:t> </w:t>
      </w:r>
      <w:r>
        <w:rPr/>
        <w:t>até</w:t>
      </w:r>
      <w:r>
        <w:rPr>
          <w:spacing w:val="-33"/>
        </w:rPr>
        <w:t> </w:t>
      </w:r>
      <w:r>
        <w:rPr/>
        <w:t>o</w:t>
      </w:r>
      <w:r>
        <w:rPr>
          <w:spacing w:val="-32"/>
        </w:rPr>
        <w:t> </w:t>
      </w:r>
      <w:r>
        <w:rPr/>
        <w:t>julgamento</w:t>
      </w:r>
      <w:r>
        <w:rPr>
          <w:spacing w:val="-33"/>
        </w:rPr>
        <w:t> </w:t>
      </w:r>
      <w:r>
        <w:rPr/>
        <w:t>do</w:t>
      </w:r>
      <w:r>
        <w:rPr>
          <w:spacing w:val="-33"/>
        </w:rPr>
        <w:t> </w:t>
      </w:r>
      <w:r>
        <w:rPr/>
        <w:t>Agravo</w:t>
      </w:r>
      <w:r>
        <w:rPr>
          <w:spacing w:val="-32"/>
        </w:rPr>
        <w:t> </w:t>
      </w:r>
      <w:r>
        <w:rPr/>
        <w:t>de</w:t>
      </w:r>
      <w:r>
        <w:rPr>
          <w:spacing w:val="-34"/>
        </w:rPr>
        <w:t> </w:t>
      </w:r>
      <w:r>
        <w:rPr/>
        <w:t>Instrumento.</w:t>
      </w:r>
      <w:r>
        <w:rPr>
          <w:spacing w:val="-33"/>
        </w:rPr>
        <w:t> </w:t>
      </w:r>
      <w:r>
        <w:rPr/>
        <w:t>Contudo,</w:t>
      </w:r>
      <w:r>
        <w:rPr>
          <w:spacing w:val="-33"/>
        </w:rPr>
        <w:t> </w:t>
      </w:r>
      <w:r>
        <w:rPr/>
        <w:t>em</w:t>
      </w:r>
      <w:r>
        <w:rPr>
          <w:spacing w:val="-33"/>
        </w:rPr>
        <w:t> </w:t>
      </w:r>
      <w:r>
        <w:rPr/>
        <w:t>21</w:t>
      </w:r>
      <w:r>
        <w:rPr>
          <w:spacing w:val="-32"/>
        </w:rPr>
        <w:t> </w:t>
      </w:r>
      <w:r>
        <w:rPr/>
        <w:t>de</w:t>
      </w:r>
      <w:r>
        <w:rPr>
          <w:spacing w:val="-33"/>
        </w:rPr>
        <w:t> </w:t>
      </w:r>
      <w:r>
        <w:rPr/>
        <w:t>outubro</w:t>
      </w:r>
      <w:r>
        <w:rPr>
          <w:spacing w:val="-32"/>
        </w:rPr>
        <w:t> </w:t>
      </w:r>
      <w:r>
        <w:rPr/>
        <w:t>2019,</w:t>
      </w:r>
      <w:r>
        <w:rPr>
          <w:spacing w:val="-31"/>
        </w:rPr>
        <w:t> </w:t>
      </w:r>
      <w:r>
        <w:rPr/>
        <w:t>foi proferida</w:t>
      </w:r>
      <w:r>
        <w:rPr>
          <w:spacing w:val="-47"/>
        </w:rPr>
        <w:t> </w:t>
      </w:r>
      <w:r>
        <w:rPr/>
        <w:t>sentença</w:t>
      </w:r>
      <w:r>
        <w:rPr>
          <w:spacing w:val="-46"/>
        </w:rPr>
        <w:t> </w:t>
      </w:r>
      <w:r>
        <w:rPr/>
        <w:t>desfavorável</w:t>
      </w:r>
      <w:r>
        <w:rPr>
          <w:spacing w:val="-47"/>
        </w:rPr>
        <w:t> </w:t>
      </w:r>
      <w:r>
        <w:rPr/>
        <w:t>ao</w:t>
      </w:r>
      <w:r>
        <w:rPr>
          <w:spacing w:val="-45"/>
        </w:rPr>
        <w:t> </w:t>
      </w:r>
      <w:r>
        <w:rPr/>
        <w:t>pleito</w:t>
      </w:r>
      <w:r>
        <w:rPr>
          <w:spacing w:val="-46"/>
        </w:rPr>
        <w:t> </w:t>
      </w:r>
      <w:r>
        <w:rPr/>
        <w:t>da</w:t>
      </w:r>
      <w:r>
        <w:rPr>
          <w:spacing w:val="-46"/>
        </w:rPr>
        <w:t> </w:t>
      </w:r>
      <w:r>
        <w:rPr/>
        <w:t>distribuidora,</w:t>
      </w:r>
      <w:r>
        <w:rPr>
          <w:spacing w:val="-46"/>
        </w:rPr>
        <w:t> </w:t>
      </w:r>
      <w:r>
        <w:rPr/>
        <w:t>e</w:t>
      </w:r>
      <w:r>
        <w:rPr>
          <w:spacing w:val="-47"/>
        </w:rPr>
        <w:t> </w:t>
      </w:r>
      <w:r>
        <w:rPr/>
        <w:t>antes</w:t>
      </w:r>
      <w:r>
        <w:rPr>
          <w:spacing w:val="-45"/>
        </w:rPr>
        <w:t> </w:t>
      </w:r>
      <w:r>
        <w:rPr/>
        <w:t>mesmo</w:t>
      </w:r>
      <w:r>
        <w:rPr>
          <w:spacing w:val="-46"/>
        </w:rPr>
        <w:t> </w:t>
      </w:r>
      <w:r>
        <w:rPr/>
        <w:t>da</w:t>
      </w:r>
      <w:r>
        <w:rPr>
          <w:spacing w:val="-46"/>
        </w:rPr>
        <w:t> </w:t>
      </w:r>
      <w:r>
        <w:rPr/>
        <w:t>publicação,</w:t>
      </w:r>
      <w:r>
        <w:rPr>
          <w:spacing w:val="-46"/>
        </w:rPr>
        <w:t> </w:t>
      </w:r>
      <w:r>
        <w:rPr/>
        <w:t>foram</w:t>
      </w:r>
      <w:r>
        <w:rPr>
          <w:spacing w:val="-46"/>
        </w:rPr>
        <w:t> </w:t>
      </w:r>
      <w:r>
        <w:rPr/>
        <w:t>opostos</w:t>
      </w:r>
      <w:r>
        <w:rPr>
          <w:spacing w:val="-46"/>
        </w:rPr>
        <w:t> </w:t>
      </w:r>
      <w:r>
        <w:rPr/>
        <w:t>embargos</w:t>
      </w:r>
      <w:r>
        <w:rPr>
          <w:spacing w:val="-45"/>
        </w:rPr>
        <w:t> </w:t>
      </w:r>
      <w:r>
        <w:rPr/>
        <w:t>de declaração</w:t>
      </w:r>
      <w:r>
        <w:rPr>
          <w:spacing w:val="-31"/>
        </w:rPr>
        <w:t> </w:t>
      </w:r>
      <w:r>
        <w:rPr/>
        <w:t>perseguindo</w:t>
      </w:r>
      <w:r>
        <w:rPr>
          <w:spacing w:val="-31"/>
        </w:rPr>
        <w:t> </w:t>
      </w:r>
      <w:r>
        <w:rPr/>
        <w:t>o</w:t>
      </w:r>
      <w:r>
        <w:rPr>
          <w:spacing w:val="-31"/>
        </w:rPr>
        <w:t> </w:t>
      </w:r>
      <w:r>
        <w:rPr/>
        <w:t>aclaramento</w:t>
      </w:r>
      <w:r>
        <w:rPr>
          <w:spacing w:val="-31"/>
        </w:rPr>
        <w:t> </w:t>
      </w:r>
      <w:r>
        <w:rPr/>
        <w:t>da</w:t>
      </w:r>
      <w:r>
        <w:rPr>
          <w:spacing w:val="-30"/>
        </w:rPr>
        <w:t> </w:t>
      </w:r>
      <w:r>
        <w:rPr/>
        <w:t>obscuridade,</w:t>
      </w:r>
      <w:r>
        <w:rPr>
          <w:spacing w:val="-30"/>
        </w:rPr>
        <w:t> </w:t>
      </w:r>
      <w:r>
        <w:rPr/>
        <w:t>da</w:t>
      </w:r>
      <w:r>
        <w:rPr>
          <w:spacing w:val="-30"/>
        </w:rPr>
        <w:t> </w:t>
      </w:r>
      <w:r>
        <w:rPr/>
        <w:t>contradição</w:t>
      </w:r>
      <w:r>
        <w:rPr>
          <w:spacing w:val="-31"/>
        </w:rPr>
        <w:t> </w:t>
      </w:r>
      <w:r>
        <w:rPr/>
        <w:t>e</w:t>
      </w:r>
      <w:r>
        <w:rPr>
          <w:spacing w:val="-31"/>
        </w:rPr>
        <w:t> </w:t>
      </w:r>
      <w:r>
        <w:rPr/>
        <w:t>da</w:t>
      </w:r>
      <w:r>
        <w:rPr>
          <w:spacing w:val="-31"/>
        </w:rPr>
        <w:t> </w:t>
      </w:r>
      <w:r>
        <w:rPr/>
        <w:t>omissão</w:t>
      </w:r>
      <w:r>
        <w:rPr>
          <w:spacing w:val="-30"/>
        </w:rPr>
        <w:t> </w:t>
      </w:r>
      <w:r>
        <w:rPr/>
        <w:t>existentes</w:t>
      </w:r>
      <w:r>
        <w:rPr>
          <w:spacing w:val="-30"/>
        </w:rPr>
        <w:t> </w:t>
      </w:r>
      <w:r>
        <w:rPr/>
        <w:t>nessa</w:t>
      </w:r>
      <w:r>
        <w:rPr>
          <w:spacing w:val="-30"/>
        </w:rPr>
        <w:t> </w:t>
      </w:r>
      <w:r>
        <w:rPr/>
        <w:t>decisão,</w:t>
      </w:r>
      <w:r>
        <w:rPr>
          <w:spacing w:val="-30"/>
        </w:rPr>
        <w:t> </w:t>
      </w:r>
      <w:r>
        <w:rPr/>
        <w:t>com efeitos</w:t>
      </w:r>
      <w:r>
        <w:rPr>
          <w:spacing w:val="-33"/>
        </w:rPr>
        <w:t> </w:t>
      </w:r>
      <w:r>
        <w:rPr/>
        <w:t>infringentes</w:t>
      </w:r>
      <w:r>
        <w:rPr>
          <w:spacing w:val="-32"/>
        </w:rPr>
        <w:t> </w:t>
      </w:r>
      <w:r>
        <w:rPr/>
        <w:t>(modificativos).</w:t>
      </w:r>
      <w:r>
        <w:rPr>
          <w:spacing w:val="-33"/>
        </w:rPr>
        <w:t> </w:t>
      </w:r>
      <w:r>
        <w:rPr/>
        <w:t>Ato</w:t>
      </w:r>
      <w:r>
        <w:rPr>
          <w:spacing w:val="-33"/>
        </w:rPr>
        <w:t> </w:t>
      </w:r>
      <w:r>
        <w:rPr/>
        <w:t>contínuo,</w:t>
      </w:r>
      <w:r>
        <w:rPr>
          <w:spacing w:val="-31"/>
        </w:rPr>
        <w:t> </w:t>
      </w:r>
      <w:r>
        <w:rPr/>
        <w:t>os</w:t>
      </w:r>
      <w:r>
        <w:rPr>
          <w:spacing w:val="-32"/>
        </w:rPr>
        <w:t> </w:t>
      </w:r>
      <w:r>
        <w:rPr/>
        <w:t>autos</w:t>
      </w:r>
      <w:r>
        <w:rPr>
          <w:spacing w:val="-32"/>
        </w:rPr>
        <w:t> </w:t>
      </w:r>
      <w:r>
        <w:rPr/>
        <w:t>foram</w:t>
      </w:r>
      <w:r>
        <w:rPr>
          <w:spacing w:val="-29"/>
        </w:rPr>
        <w:t> </w:t>
      </w:r>
      <w:r>
        <w:rPr/>
        <w:t>disponibilizados</w:t>
      </w:r>
      <w:r>
        <w:rPr>
          <w:spacing w:val="-31"/>
        </w:rPr>
        <w:t> </w:t>
      </w:r>
      <w:r>
        <w:rPr/>
        <w:t>para</w:t>
      </w:r>
      <w:r>
        <w:rPr>
          <w:spacing w:val="-32"/>
        </w:rPr>
        <w:t> </w:t>
      </w:r>
      <w:r>
        <w:rPr/>
        <w:t>a</w:t>
      </w:r>
      <w:r>
        <w:rPr>
          <w:spacing w:val="-32"/>
        </w:rPr>
        <w:t> </w:t>
      </w:r>
      <w:r>
        <w:rPr/>
        <w:t>ANEEL</w:t>
      </w:r>
      <w:r>
        <w:rPr>
          <w:spacing w:val="-32"/>
        </w:rPr>
        <w:t> </w:t>
      </w:r>
      <w:r>
        <w:rPr/>
        <w:t>para</w:t>
      </w:r>
      <w:r>
        <w:rPr>
          <w:spacing w:val="-33"/>
        </w:rPr>
        <w:t> </w:t>
      </w:r>
      <w:r>
        <w:rPr/>
        <w:t>se</w:t>
      </w:r>
      <w:r>
        <w:rPr>
          <w:spacing w:val="-33"/>
        </w:rPr>
        <w:t> </w:t>
      </w:r>
      <w:r>
        <w:rPr/>
        <w:t>manifestar em</w:t>
      </w:r>
      <w:r>
        <w:rPr>
          <w:spacing w:val="-26"/>
        </w:rPr>
        <w:t> </w:t>
      </w:r>
      <w:r>
        <w:rPr/>
        <w:t>contrarrazões</w:t>
      </w:r>
      <w:r>
        <w:rPr>
          <w:spacing w:val="-25"/>
        </w:rPr>
        <w:t> </w:t>
      </w:r>
      <w:r>
        <w:rPr/>
        <w:t>quanto</w:t>
      </w:r>
      <w:r>
        <w:rPr>
          <w:spacing w:val="-26"/>
        </w:rPr>
        <w:t> </w:t>
      </w:r>
      <w:r>
        <w:rPr/>
        <w:t>ao</w:t>
      </w:r>
      <w:r>
        <w:rPr>
          <w:spacing w:val="-21"/>
        </w:rPr>
        <w:t> </w:t>
      </w:r>
      <w:r>
        <w:rPr/>
        <w:t>recurso</w:t>
      </w:r>
      <w:r>
        <w:rPr>
          <w:spacing w:val="-23"/>
        </w:rPr>
        <w:t> </w:t>
      </w:r>
      <w:r>
        <w:rPr/>
        <w:t>aviado,</w:t>
      </w:r>
      <w:r>
        <w:rPr>
          <w:spacing w:val="-25"/>
        </w:rPr>
        <w:t> </w:t>
      </w:r>
      <w:r>
        <w:rPr/>
        <w:t>para,</w:t>
      </w:r>
      <w:r>
        <w:rPr>
          <w:spacing w:val="-25"/>
        </w:rPr>
        <w:t> </w:t>
      </w:r>
      <w:r>
        <w:rPr/>
        <w:t>então,</w:t>
      </w:r>
      <w:r>
        <w:rPr>
          <w:spacing w:val="-22"/>
        </w:rPr>
        <w:t> </w:t>
      </w:r>
      <w:r>
        <w:rPr/>
        <w:t>o</w:t>
      </w:r>
      <w:r>
        <w:rPr>
          <w:spacing w:val="-25"/>
        </w:rPr>
        <w:t> </w:t>
      </w:r>
      <w:r>
        <w:rPr/>
        <w:t>Magistrado</w:t>
      </w:r>
      <w:r>
        <w:rPr>
          <w:spacing w:val="-24"/>
        </w:rPr>
        <w:t> </w:t>
      </w:r>
      <w:r>
        <w:rPr/>
        <w:t>decidir</w:t>
      </w:r>
      <w:r>
        <w:rPr>
          <w:spacing w:val="-25"/>
        </w:rPr>
        <w:t> </w:t>
      </w:r>
      <w:r>
        <w:rPr/>
        <w:t>de</w:t>
      </w:r>
      <w:r>
        <w:rPr>
          <w:spacing w:val="-24"/>
        </w:rPr>
        <w:t> </w:t>
      </w:r>
      <w:r>
        <w:rPr/>
        <w:t>forma</w:t>
      </w:r>
      <w:r>
        <w:rPr>
          <w:spacing w:val="-25"/>
        </w:rPr>
        <w:t> </w:t>
      </w:r>
      <w:r>
        <w:rPr/>
        <w:t>derradeira.</w:t>
      </w:r>
    </w:p>
    <w:p>
      <w:pPr>
        <w:pStyle w:val="BodyText"/>
        <w:spacing w:line="242" w:lineRule="auto" w:before="119"/>
        <w:ind w:left="172" w:right="409"/>
        <w:jc w:val="both"/>
      </w:pPr>
      <w:r>
        <w:rPr/>
        <w:t>Nos</w:t>
      </w:r>
      <w:r>
        <w:rPr>
          <w:spacing w:val="-29"/>
        </w:rPr>
        <w:t> </w:t>
      </w:r>
      <w:r>
        <w:rPr/>
        <w:t>Reajustes</w:t>
      </w:r>
      <w:r>
        <w:rPr>
          <w:spacing w:val="-29"/>
        </w:rPr>
        <w:t> </w:t>
      </w:r>
      <w:r>
        <w:rPr/>
        <w:t>Tarifários</w:t>
      </w:r>
      <w:r>
        <w:rPr>
          <w:spacing w:val="-28"/>
        </w:rPr>
        <w:t> </w:t>
      </w:r>
      <w:r>
        <w:rPr/>
        <w:t>Anuais</w:t>
      </w:r>
      <w:r>
        <w:rPr>
          <w:spacing w:val="-29"/>
        </w:rPr>
        <w:t> </w:t>
      </w:r>
      <w:r>
        <w:rPr/>
        <w:t>(RTA)</w:t>
      </w:r>
      <w:r>
        <w:rPr>
          <w:spacing w:val="-29"/>
        </w:rPr>
        <w:t> </w:t>
      </w:r>
      <w:r>
        <w:rPr/>
        <w:t>de</w:t>
      </w:r>
      <w:r>
        <w:rPr>
          <w:spacing w:val="-30"/>
        </w:rPr>
        <w:t> </w:t>
      </w:r>
      <w:r>
        <w:rPr/>
        <w:t>2018</w:t>
      </w:r>
      <w:r>
        <w:rPr>
          <w:spacing w:val="-27"/>
        </w:rPr>
        <w:t> </w:t>
      </w:r>
      <w:r>
        <w:rPr/>
        <w:t>e</w:t>
      </w:r>
      <w:r>
        <w:rPr>
          <w:spacing w:val="-30"/>
        </w:rPr>
        <w:t> </w:t>
      </w:r>
      <w:r>
        <w:rPr/>
        <w:t>2019,</w:t>
      </w:r>
      <w:r>
        <w:rPr>
          <w:spacing w:val="-27"/>
        </w:rPr>
        <w:t> </w:t>
      </w:r>
      <w:r>
        <w:rPr/>
        <w:t>em</w:t>
      </w:r>
      <w:r>
        <w:rPr>
          <w:spacing w:val="-29"/>
        </w:rPr>
        <w:t> </w:t>
      </w:r>
      <w:r>
        <w:rPr/>
        <w:t>razão</w:t>
      </w:r>
      <w:r>
        <w:rPr>
          <w:spacing w:val="-29"/>
        </w:rPr>
        <w:t> </w:t>
      </w:r>
      <w:r>
        <w:rPr/>
        <w:t>da</w:t>
      </w:r>
      <w:r>
        <w:rPr>
          <w:spacing w:val="-28"/>
        </w:rPr>
        <w:t> </w:t>
      </w:r>
      <w:r>
        <w:rPr/>
        <w:t>liminar</w:t>
      </w:r>
      <w:r>
        <w:rPr>
          <w:spacing w:val="-29"/>
        </w:rPr>
        <w:t> </w:t>
      </w:r>
      <w:r>
        <w:rPr/>
        <w:t>a</w:t>
      </w:r>
      <w:r>
        <w:rPr>
          <w:spacing w:val="-28"/>
        </w:rPr>
        <w:t> </w:t>
      </w:r>
      <w:r>
        <w:rPr/>
        <w:t>CEB</w:t>
      </w:r>
      <w:r>
        <w:rPr>
          <w:spacing w:val="-29"/>
        </w:rPr>
        <w:t> </w:t>
      </w:r>
      <w:r>
        <w:rPr/>
        <w:t>DIS</w:t>
      </w:r>
      <w:r>
        <w:rPr>
          <w:spacing w:val="-27"/>
        </w:rPr>
        <w:t> </w:t>
      </w:r>
      <w:r>
        <w:rPr/>
        <w:t>solicitou</w:t>
      </w:r>
      <w:r>
        <w:rPr>
          <w:spacing w:val="-28"/>
        </w:rPr>
        <w:t> </w:t>
      </w:r>
      <w:r>
        <w:rPr/>
        <w:t>a</w:t>
      </w:r>
      <w:r>
        <w:rPr>
          <w:spacing w:val="-28"/>
        </w:rPr>
        <w:t> </w:t>
      </w:r>
      <w:r>
        <w:rPr/>
        <w:t>reversão</w:t>
      </w:r>
      <w:r>
        <w:rPr>
          <w:spacing w:val="-29"/>
        </w:rPr>
        <w:t> </w:t>
      </w:r>
      <w:r>
        <w:rPr/>
        <w:t>dos</w:t>
      </w:r>
      <w:r>
        <w:rPr>
          <w:spacing w:val="-24"/>
        </w:rPr>
        <w:t> </w:t>
      </w:r>
      <w:r>
        <w:rPr/>
        <w:t>valores capturados</w:t>
      </w:r>
      <w:r>
        <w:rPr>
          <w:spacing w:val="-6"/>
        </w:rPr>
        <w:t> </w:t>
      </w:r>
      <w:r>
        <w:rPr/>
        <w:t>no</w:t>
      </w:r>
      <w:r>
        <w:rPr>
          <w:spacing w:val="-6"/>
        </w:rPr>
        <w:t> </w:t>
      </w:r>
      <w:r>
        <w:rPr/>
        <w:t>RTA</w:t>
      </w:r>
      <w:r>
        <w:rPr>
          <w:spacing w:val="-6"/>
        </w:rPr>
        <w:t> </w:t>
      </w:r>
      <w:r>
        <w:rPr/>
        <w:t>de</w:t>
      </w:r>
      <w:r>
        <w:rPr>
          <w:spacing w:val="-7"/>
        </w:rPr>
        <w:t> </w:t>
      </w:r>
      <w:r>
        <w:rPr/>
        <w:t>2017,</w:t>
      </w:r>
      <w:r>
        <w:rPr>
          <w:spacing w:val="-8"/>
        </w:rPr>
        <w:t> </w:t>
      </w:r>
      <w:r>
        <w:rPr/>
        <w:t>além</w:t>
      </w:r>
      <w:r>
        <w:rPr>
          <w:spacing w:val="-7"/>
        </w:rPr>
        <w:t> </w:t>
      </w:r>
      <w:r>
        <w:rPr/>
        <w:t>da</w:t>
      </w:r>
      <w:r>
        <w:rPr>
          <w:spacing w:val="-5"/>
        </w:rPr>
        <w:t> </w:t>
      </w:r>
      <w:r>
        <w:rPr/>
        <w:t>não</w:t>
      </w:r>
      <w:r>
        <w:rPr>
          <w:spacing w:val="-6"/>
        </w:rPr>
        <w:t> </w:t>
      </w:r>
      <w:r>
        <w:rPr/>
        <w:t>inclusão</w:t>
      </w:r>
      <w:r>
        <w:rPr>
          <w:spacing w:val="-8"/>
        </w:rPr>
        <w:t> </w:t>
      </w:r>
      <w:r>
        <w:rPr/>
        <w:t>de</w:t>
      </w:r>
      <w:r>
        <w:rPr>
          <w:spacing w:val="-5"/>
        </w:rPr>
        <w:t> </w:t>
      </w:r>
      <w:r>
        <w:rPr/>
        <w:t>valores</w:t>
      </w:r>
      <w:r>
        <w:rPr>
          <w:spacing w:val="-6"/>
        </w:rPr>
        <w:t> </w:t>
      </w:r>
      <w:r>
        <w:rPr/>
        <w:t>no</w:t>
      </w:r>
      <w:r>
        <w:rPr>
          <w:spacing w:val="-6"/>
        </w:rPr>
        <w:t> </w:t>
      </w:r>
      <w:r>
        <w:rPr/>
        <w:t>processo</w:t>
      </w:r>
      <w:r>
        <w:rPr>
          <w:spacing w:val="-7"/>
        </w:rPr>
        <w:t> </w:t>
      </w:r>
      <w:r>
        <w:rPr/>
        <w:t>tarifário</w:t>
      </w:r>
      <w:r>
        <w:rPr>
          <w:spacing w:val="-5"/>
        </w:rPr>
        <w:t> </w:t>
      </w:r>
      <w:r>
        <w:rPr/>
        <w:t>em</w:t>
      </w:r>
      <w:r>
        <w:rPr>
          <w:spacing w:val="-6"/>
        </w:rPr>
        <w:t> </w:t>
      </w:r>
      <w:r>
        <w:rPr/>
        <w:t>questão.</w:t>
      </w:r>
      <w:r>
        <w:rPr>
          <w:spacing w:val="-7"/>
        </w:rPr>
        <w:t> </w:t>
      </w:r>
      <w:r>
        <w:rPr/>
        <w:t>Conforme</w:t>
      </w:r>
      <w:r>
        <w:rPr>
          <w:spacing w:val="-7"/>
        </w:rPr>
        <w:t> </w:t>
      </w:r>
      <w:r>
        <w:rPr/>
        <w:t>NT</w:t>
      </w:r>
      <w:r>
        <w:rPr>
          <w:spacing w:val="-6"/>
        </w:rPr>
        <w:t> </w:t>
      </w:r>
      <w:r>
        <w:rPr/>
        <w:t>nº 222/2018-SGT/ANEEL</w:t>
      </w:r>
      <w:r>
        <w:rPr>
          <w:spacing w:val="-8"/>
        </w:rPr>
        <w:t> </w:t>
      </w:r>
      <w:r>
        <w:rPr/>
        <w:t>e</w:t>
      </w:r>
      <w:r>
        <w:rPr>
          <w:spacing w:val="-11"/>
        </w:rPr>
        <w:t> </w:t>
      </w:r>
      <w:r>
        <w:rPr/>
        <w:t>NT</w:t>
      </w:r>
      <w:r>
        <w:rPr>
          <w:spacing w:val="-8"/>
        </w:rPr>
        <w:t> </w:t>
      </w:r>
      <w:r>
        <w:rPr/>
        <w:t>nº</w:t>
      </w:r>
      <w:r>
        <w:rPr>
          <w:spacing w:val="-6"/>
        </w:rPr>
        <w:t> </w:t>
      </w:r>
      <w:r>
        <w:rPr/>
        <w:t>181/2019-SGT/ANEEL,</w:t>
      </w:r>
      <w:r>
        <w:rPr>
          <w:spacing w:val="-8"/>
        </w:rPr>
        <w:t> </w:t>
      </w:r>
      <w:r>
        <w:rPr/>
        <w:t>a</w:t>
      </w:r>
      <w:r>
        <w:rPr>
          <w:spacing w:val="-9"/>
        </w:rPr>
        <w:t> </w:t>
      </w:r>
      <w:r>
        <w:rPr/>
        <w:t>ANEEL</w:t>
      </w:r>
      <w:r>
        <w:rPr>
          <w:spacing w:val="-9"/>
        </w:rPr>
        <w:t> </w:t>
      </w:r>
      <w:r>
        <w:rPr/>
        <w:t>resolveu</w:t>
      </w:r>
      <w:r>
        <w:rPr>
          <w:spacing w:val="-9"/>
        </w:rPr>
        <w:t> </w:t>
      </w:r>
      <w:r>
        <w:rPr/>
        <w:t>acatar</w:t>
      </w:r>
      <w:r>
        <w:rPr>
          <w:spacing w:val="-8"/>
        </w:rPr>
        <w:t> </w:t>
      </w:r>
      <w:r>
        <w:rPr/>
        <w:t>e</w:t>
      </w:r>
      <w:r>
        <w:rPr>
          <w:spacing w:val="-9"/>
        </w:rPr>
        <w:t> </w:t>
      </w:r>
      <w:r>
        <w:rPr/>
        <w:t>não</w:t>
      </w:r>
      <w:r>
        <w:rPr>
          <w:spacing w:val="-10"/>
        </w:rPr>
        <w:t> </w:t>
      </w:r>
      <w:r>
        <w:rPr/>
        <w:t>incluir</w:t>
      </w:r>
      <w:r>
        <w:rPr>
          <w:spacing w:val="-9"/>
        </w:rPr>
        <w:t> </w:t>
      </w:r>
      <w:r>
        <w:rPr/>
        <w:t>nenhuma</w:t>
      </w:r>
      <w:r>
        <w:rPr>
          <w:spacing w:val="-7"/>
        </w:rPr>
        <w:t> </w:t>
      </w:r>
      <w:r>
        <w:rPr/>
        <w:t>parcela</w:t>
      </w:r>
      <w:r>
        <w:rPr>
          <w:spacing w:val="-6"/>
        </w:rPr>
        <w:t> </w:t>
      </w:r>
      <w:r>
        <w:rPr/>
        <w:t>do financeiro</w:t>
      </w:r>
      <w:r>
        <w:rPr>
          <w:spacing w:val="-18"/>
        </w:rPr>
        <w:t> </w:t>
      </w:r>
      <w:r>
        <w:rPr/>
        <w:t>de</w:t>
      </w:r>
      <w:r>
        <w:rPr>
          <w:spacing w:val="-19"/>
        </w:rPr>
        <w:t> </w:t>
      </w:r>
      <w:r>
        <w:rPr/>
        <w:t>baixa</w:t>
      </w:r>
      <w:r>
        <w:rPr>
          <w:spacing w:val="-19"/>
        </w:rPr>
        <w:t> </w:t>
      </w:r>
      <w:r>
        <w:rPr/>
        <w:t>renda,</w:t>
      </w:r>
      <w:r>
        <w:rPr>
          <w:spacing w:val="-21"/>
        </w:rPr>
        <w:t> </w:t>
      </w:r>
      <w:r>
        <w:rPr/>
        <w:t>mas</w:t>
      </w:r>
      <w:r>
        <w:rPr>
          <w:spacing w:val="-19"/>
        </w:rPr>
        <w:t> </w:t>
      </w:r>
      <w:r>
        <w:rPr/>
        <w:t>não</w:t>
      </w:r>
      <w:r>
        <w:rPr>
          <w:spacing w:val="-21"/>
        </w:rPr>
        <w:t> </w:t>
      </w:r>
      <w:r>
        <w:rPr/>
        <w:t>reverter</w:t>
      </w:r>
      <w:r>
        <w:rPr>
          <w:spacing w:val="-19"/>
        </w:rPr>
        <w:t> </w:t>
      </w:r>
      <w:r>
        <w:rPr/>
        <w:t>os</w:t>
      </w:r>
      <w:r>
        <w:rPr>
          <w:spacing w:val="-19"/>
        </w:rPr>
        <w:t> </w:t>
      </w:r>
      <w:r>
        <w:rPr/>
        <w:t>valores</w:t>
      </w:r>
      <w:r>
        <w:rPr>
          <w:spacing w:val="-20"/>
        </w:rPr>
        <w:t> </w:t>
      </w:r>
      <w:r>
        <w:rPr/>
        <w:t>capturados</w:t>
      </w:r>
      <w:r>
        <w:rPr>
          <w:spacing w:val="-17"/>
        </w:rPr>
        <w:t> </w:t>
      </w:r>
      <w:r>
        <w:rPr/>
        <w:t>de</w:t>
      </w:r>
      <w:r>
        <w:rPr>
          <w:spacing w:val="-20"/>
        </w:rPr>
        <w:t> </w:t>
      </w:r>
      <w:r>
        <w:rPr/>
        <w:t>2017.</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DEMAIS</w:t>
      </w:r>
      <w:r>
        <w:rPr>
          <w:spacing w:val="-3"/>
        </w:rPr>
        <w:t> </w:t>
      </w:r>
      <w:r>
        <w:rPr/>
        <w:t>CRÉDITOS</w:t>
      </w:r>
    </w:p>
    <w:p>
      <w:pPr>
        <w:pStyle w:val="BodyText"/>
        <w:spacing w:before="8"/>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63"/>
        <w:gridCol w:w="1428"/>
        <w:gridCol w:w="1428"/>
        <w:gridCol w:w="1431"/>
        <w:gridCol w:w="1428"/>
      </w:tblGrid>
      <w:tr>
        <w:trPr>
          <w:trHeight w:val="239" w:hRule="atLeast"/>
        </w:trPr>
        <w:tc>
          <w:tcPr>
            <w:tcW w:w="4263" w:type="dxa"/>
            <w:vMerge w:val="restart"/>
            <w:shd w:val="clear" w:color="auto" w:fill="D9D9D9"/>
          </w:tcPr>
          <w:p>
            <w:pPr>
              <w:pStyle w:val="TableParagraph"/>
              <w:rPr>
                <w:rFonts w:ascii="Times New Roman"/>
                <w:sz w:val="18"/>
              </w:rPr>
            </w:pPr>
          </w:p>
        </w:tc>
        <w:tc>
          <w:tcPr>
            <w:tcW w:w="2856" w:type="dxa"/>
            <w:gridSpan w:val="2"/>
          </w:tcPr>
          <w:p>
            <w:pPr>
              <w:pStyle w:val="TableParagraph"/>
              <w:spacing w:before="37"/>
              <w:ind w:left="977" w:right="967"/>
              <w:jc w:val="center"/>
              <w:rPr>
                <w:rFonts w:ascii="Caladea"/>
                <w:b/>
                <w:sz w:val="14"/>
              </w:rPr>
            </w:pPr>
            <w:r>
              <w:rPr>
                <w:rFonts w:ascii="Caladea"/>
                <w:b/>
                <w:sz w:val="14"/>
              </w:rPr>
              <w:t>Controladora</w:t>
            </w:r>
          </w:p>
        </w:tc>
        <w:tc>
          <w:tcPr>
            <w:tcW w:w="2859" w:type="dxa"/>
            <w:gridSpan w:val="2"/>
          </w:tcPr>
          <w:p>
            <w:pPr>
              <w:pStyle w:val="TableParagraph"/>
              <w:spacing w:before="37"/>
              <w:ind w:left="1011" w:right="1000"/>
              <w:jc w:val="center"/>
              <w:rPr>
                <w:rFonts w:ascii="Caladea"/>
                <w:b/>
                <w:sz w:val="14"/>
              </w:rPr>
            </w:pPr>
            <w:r>
              <w:rPr>
                <w:rFonts w:ascii="Caladea"/>
                <w:b/>
                <w:sz w:val="14"/>
              </w:rPr>
              <w:t>Consolidado</w:t>
            </w:r>
          </w:p>
        </w:tc>
      </w:tr>
      <w:tr>
        <w:trPr>
          <w:trHeight w:val="354" w:hRule="atLeast"/>
        </w:trPr>
        <w:tc>
          <w:tcPr>
            <w:tcW w:w="4263" w:type="dxa"/>
            <w:vMerge/>
            <w:tcBorders>
              <w:top w:val="nil"/>
            </w:tcBorders>
            <w:shd w:val="clear" w:color="auto" w:fill="D9D9D9"/>
          </w:tcPr>
          <w:p>
            <w:pPr>
              <w:rPr>
                <w:sz w:val="2"/>
                <w:szCs w:val="2"/>
              </w:rPr>
            </w:pPr>
          </w:p>
        </w:tc>
        <w:tc>
          <w:tcPr>
            <w:tcW w:w="1428" w:type="dxa"/>
          </w:tcPr>
          <w:p>
            <w:pPr>
              <w:pStyle w:val="TableParagraph"/>
              <w:spacing w:before="94"/>
              <w:ind w:left="314"/>
              <w:rPr>
                <w:rFonts w:ascii="Caladea"/>
                <w:b/>
                <w:sz w:val="14"/>
              </w:rPr>
            </w:pPr>
            <w:r>
              <w:rPr>
                <w:rFonts w:ascii="Caladea"/>
                <w:b/>
                <w:sz w:val="14"/>
              </w:rPr>
              <w:t>31/12/2019</w:t>
            </w:r>
          </w:p>
        </w:tc>
        <w:tc>
          <w:tcPr>
            <w:tcW w:w="1428" w:type="dxa"/>
          </w:tcPr>
          <w:p>
            <w:pPr>
              <w:pStyle w:val="TableParagraph"/>
              <w:spacing w:before="94"/>
              <w:ind w:left="314"/>
              <w:rPr>
                <w:rFonts w:ascii="Caladea"/>
                <w:b/>
                <w:sz w:val="14"/>
              </w:rPr>
            </w:pPr>
            <w:r>
              <w:rPr>
                <w:rFonts w:ascii="Caladea"/>
                <w:b/>
                <w:sz w:val="14"/>
              </w:rPr>
              <w:t>31/12/2018</w:t>
            </w:r>
          </w:p>
        </w:tc>
        <w:tc>
          <w:tcPr>
            <w:tcW w:w="1431" w:type="dxa"/>
          </w:tcPr>
          <w:p>
            <w:pPr>
              <w:pStyle w:val="TableParagraph"/>
              <w:spacing w:before="94"/>
              <w:ind w:left="314"/>
              <w:rPr>
                <w:rFonts w:ascii="Caladea"/>
                <w:b/>
                <w:sz w:val="14"/>
              </w:rPr>
            </w:pPr>
            <w:r>
              <w:rPr>
                <w:rFonts w:ascii="Caladea"/>
                <w:b/>
                <w:sz w:val="14"/>
              </w:rPr>
              <w:t>31/12/2019</w:t>
            </w:r>
          </w:p>
        </w:tc>
        <w:tc>
          <w:tcPr>
            <w:tcW w:w="1428" w:type="dxa"/>
          </w:tcPr>
          <w:p>
            <w:pPr>
              <w:pStyle w:val="TableParagraph"/>
              <w:spacing w:before="94"/>
              <w:ind w:left="312"/>
              <w:rPr>
                <w:rFonts w:ascii="Caladea"/>
                <w:b/>
                <w:sz w:val="14"/>
              </w:rPr>
            </w:pPr>
            <w:r>
              <w:rPr>
                <w:rFonts w:ascii="Caladea"/>
                <w:b/>
                <w:sz w:val="14"/>
              </w:rPr>
              <w:t>31/12/2018</w:t>
            </w:r>
          </w:p>
        </w:tc>
      </w:tr>
      <w:tr>
        <w:trPr>
          <w:trHeight w:val="239" w:hRule="atLeast"/>
        </w:trPr>
        <w:tc>
          <w:tcPr>
            <w:tcW w:w="4263" w:type="dxa"/>
          </w:tcPr>
          <w:p>
            <w:pPr>
              <w:pStyle w:val="TableParagraph"/>
              <w:spacing w:before="37"/>
              <w:ind w:left="72"/>
              <w:rPr>
                <w:rFonts w:ascii="Caladea" w:hAnsi="Caladea"/>
                <w:b/>
                <w:sz w:val="14"/>
              </w:rPr>
            </w:pPr>
            <w:r>
              <w:rPr>
                <w:sz w:val="14"/>
              </w:rPr>
              <w:t>Serviços em Curso </w:t>
            </w:r>
            <w:r>
              <w:rPr>
                <w:rFonts w:ascii="Caladea" w:hAnsi="Caladea"/>
                <w:b/>
                <w:sz w:val="14"/>
              </w:rPr>
              <w:t>(a)</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8"/>
              <w:ind w:right="58"/>
              <w:jc w:val="right"/>
              <w:rPr>
                <w:sz w:val="14"/>
              </w:rPr>
            </w:pPr>
            <w:r>
              <w:rPr>
                <w:w w:val="95"/>
                <w:sz w:val="14"/>
              </w:rPr>
              <w:t>35.330</w:t>
            </w:r>
          </w:p>
        </w:tc>
        <w:tc>
          <w:tcPr>
            <w:tcW w:w="1428" w:type="dxa"/>
          </w:tcPr>
          <w:p>
            <w:pPr>
              <w:pStyle w:val="TableParagraph"/>
              <w:spacing w:before="38"/>
              <w:ind w:right="56"/>
              <w:jc w:val="right"/>
              <w:rPr>
                <w:sz w:val="14"/>
              </w:rPr>
            </w:pPr>
            <w:r>
              <w:rPr>
                <w:w w:val="95"/>
                <w:sz w:val="14"/>
              </w:rPr>
              <w:t>40.041</w:t>
            </w:r>
          </w:p>
        </w:tc>
      </w:tr>
      <w:tr>
        <w:trPr>
          <w:trHeight w:val="242" w:hRule="atLeast"/>
        </w:trPr>
        <w:tc>
          <w:tcPr>
            <w:tcW w:w="4263" w:type="dxa"/>
          </w:tcPr>
          <w:p>
            <w:pPr>
              <w:pStyle w:val="TableParagraph"/>
              <w:spacing w:before="38"/>
              <w:ind w:left="72"/>
              <w:rPr>
                <w:sz w:val="14"/>
              </w:rPr>
            </w:pPr>
            <w:r>
              <w:rPr>
                <w:sz w:val="14"/>
              </w:rPr>
              <w:t>Repactuação do Risco Hidrológico</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8"/>
              <w:ind w:right="58"/>
              <w:jc w:val="right"/>
              <w:rPr>
                <w:sz w:val="14"/>
              </w:rPr>
            </w:pPr>
            <w:r>
              <w:rPr>
                <w:w w:val="95"/>
                <w:sz w:val="14"/>
              </w:rPr>
              <w:t>12.653</w:t>
            </w:r>
          </w:p>
        </w:tc>
        <w:tc>
          <w:tcPr>
            <w:tcW w:w="1428" w:type="dxa"/>
          </w:tcPr>
          <w:p>
            <w:pPr>
              <w:pStyle w:val="TableParagraph"/>
              <w:spacing w:before="38"/>
              <w:ind w:right="56"/>
              <w:jc w:val="right"/>
              <w:rPr>
                <w:sz w:val="14"/>
              </w:rPr>
            </w:pPr>
            <w:r>
              <w:rPr>
                <w:w w:val="95"/>
                <w:sz w:val="14"/>
              </w:rPr>
              <w:t>14.788</w:t>
            </w:r>
          </w:p>
        </w:tc>
      </w:tr>
      <w:tr>
        <w:trPr>
          <w:trHeight w:val="239" w:hRule="atLeast"/>
        </w:trPr>
        <w:tc>
          <w:tcPr>
            <w:tcW w:w="4263" w:type="dxa"/>
          </w:tcPr>
          <w:p>
            <w:pPr>
              <w:pStyle w:val="TableParagraph"/>
              <w:spacing w:before="37"/>
              <w:ind w:left="72"/>
              <w:rPr>
                <w:rFonts w:ascii="Caladea" w:hAnsi="Caladea"/>
                <w:b/>
                <w:sz w:val="14"/>
              </w:rPr>
            </w:pPr>
            <w:r>
              <w:rPr>
                <w:w w:val="105"/>
                <w:sz w:val="14"/>
              </w:rPr>
              <w:t>Aportes da CDE – Decreto nº 7.945/2013 </w:t>
            </w:r>
            <w:r>
              <w:rPr>
                <w:rFonts w:ascii="Caladea" w:hAnsi="Caladea"/>
                <w:b/>
                <w:w w:val="105"/>
                <w:sz w:val="14"/>
              </w:rPr>
              <w:t>(b)</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8"/>
              <w:ind w:right="58"/>
              <w:jc w:val="right"/>
              <w:rPr>
                <w:sz w:val="14"/>
              </w:rPr>
            </w:pPr>
            <w:r>
              <w:rPr>
                <w:w w:val="95"/>
                <w:sz w:val="14"/>
              </w:rPr>
              <w:t>31.256</w:t>
            </w:r>
          </w:p>
        </w:tc>
        <w:tc>
          <w:tcPr>
            <w:tcW w:w="1428" w:type="dxa"/>
          </w:tcPr>
          <w:p>
            <w:pPr>
              <w:pStyle w:val="TableParagraph"/>
              <w:spacing w:before="38"/>
              <w:ind w:right="56"/>
              <w:jc w:val="right"/>
              <w:rPr>
                <w:sz w:val="14"/>
              </w:rPr>
            </w:pPr>
            <w:r>
              <w:rPr>
                <w:w w:val="95"/>
                <w:sz w:val="14"/>
              </w:rPr>
              <w:t>16.277</w:t>
            </w:r>
          </w:p>
        </w:tc>
      </w:tr>
      <w:tr>
        <w:trPr>
          <w:trHeight w:val="242" w:hRule="atLeast"/>
        </w:trPr>
        <w:tc>
          <w:tcPr>
            <w:tcW w:w="4263" w:type="dxa"/>
          </w:tcPr>
          <w:p>
            <w:pPr>
              <w:pStyle w:val="TableParagraph"/>
              <w:spacing w:before="38"/>
              <w:ind w:left="72"/>
              <w:rPr>
                <w:sz w:val="14"/>
              </w:rPr>
            </w:pPr>
            <w:r>
              <w:rPr>
                <w:sz w:val="14"/>
              </w:rPr>
              <w:t>Adiantamento a Fornecedores</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8"/>
              <w:ind w:right="59"/>
              <w:jc w:val="right"/>
              <w:rPr>
                <w:sz w:val="14"/>
              </w:rPr>
            </w:pPr>
            <w:r>
              <w:rPr>
                <w:sz w:val="14"/>
              </w:rPr>
              <w:t>11</w:t>
            </w:r>
          </w:p>
        </w:tc>
        <w:tc>
          <w:tcPr>
            <w:tcW w:w="1428" w:type="dxa"/>
          </w:tcPr>
          <w:p>
            <w:pPr>
              <w:pStyle w:val="TableParagraph"/>
              <w:spacing w:before="38"/>
              <w:ind w:right="56"/>
              <w:jc w:val="right"/>
              <w:rPr>
                <w:sz w:val="14"/>
              </w:rPr>
            </w:pPr>
            <w:r>
              <w:rPr>
                <w:sz w:val="14"/>
              </w:rPr>
              <w:t>11</w:t>
            </w:r>
          </w:p>
        </w:tc>
      </w:tr>
      <w:tr>
        <w:trPr>
          <w:trHeight w:val="239" w:hRule="atLeast"/>
        </w:trPr>
        <w:tc>
          <w:tcPr>
            <w:tcW w:w="4263" w:type="dxa"/>
          </w:tcPr>
          <w:p>
            <w:pPr>
              <w:pStyle w:val="TableParagraph"/>
              <w:spacing w:before="37"/>
              <w:ind w:left="72"/>
              <w:rPr>
                <w:rFonts w:ascii="Caladea" w:hAnsi="Caladea"/>
                <w:b/>
                <w:sz w:val="14"/>
              </w:rPr>
            </w:pPr>
            <w:r>
              <w:rPr>
                <w:sz w:val="14"/>
              </w:rPr>
              <w:t>Desativações em Curso </w:t>
            </w:r>
            <w:r>
              <w:rPr>
                <w:rFonts w:ascii="Caladea" w:hAnsi="Caladea"/>
                <w:b/>
                <w:sz w:val="14"/>
              </w:rPr>
              <w:t>(c)</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8"/>
              <w:ind w:right="59"/>
              <w:jc w:val="right"/>
              <w:rPr>
                <w:sz w:val="14"/>
              </w:rPr>
            </w:pPr>
            <w:r>
              <w:rPr>
                <w:w w:val="95"/>
                <w:sz w:val="14"/>
              </w:rPr>
              <w:t>6.873</w:t>
            </w:r>
          </w:p>
        </w:tc>
        <w:tc>
          <w:tcPr>
            <w:tcW w:w="1428" w:type="dxa"/>
          </w:tcPr>
          <w:p>
            <w:pPr>
              <w:pStyle w:val="TableParagraph"/>
              <w:spacing w:before="38"/>
              <w:ind w:right="56"/>
              <w:jc w:val="right"/>
              <w:rPr>
                <w:sz w:val="14"/>
              </w:rPr>
            </w:pPr>
            <w:r>
              <w:rPr>
                <w:sz w:val="14"/>
              </w:rPr>
              <w:t>285</w:t>
            </w:r>
          </w:p>
        </w:tc>
      </w:tr>
      <w:tr>
        <w:trPr>
          <w:trHeight w:val="242" w:hRule="atLeast"/>
        </w:trPr>
        <w:tc>
          <w:tcPr>
            <w:tcW w:w="4263" w:type="dxa"/>
          </w:tcPr>
          <w:p>
            <w:pPr>
              <w:pStyle w:val="TableParagraph"/>
              <w:spacing w:before="41"/>
              <w:ind w:left="72"/>
              <w:rPr>
                <w:sz w:val="14"/>
              </w:rPr>
            </w:pPr>
            <w:r>
              <w:rPr>
                <w:sz w:val="14"/>
              </w:rPr>
              <w:t>Previdência Privada dos Empregados</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41"/>
              <w:ind w:right="59"/>
              <w:jc w:val="right"/>
              <w:rPr>
                <w:sz w:val="14"/>
              </w:rPr>
            </w:pPr>
            <w:r>
              <w:rPr>
                <w:w w:val="95"/>
                <w:sz w:val="14"/>
              </w:rPr>
              <w:t>2.245</w:t>
            </w:r>
          </w:p>
        </w:tc>
        <w:tc>
          <w:tcPr>
            <w:tcW w:w="1428" w:type="dxa"/>
          </w:tcPr>
          <w:p>
            <w:pPr>
              <w:pStyle w:val="TableParagraph"/>
              <w:spacing w:before="41"/>
              <w:ind w:right="56"/>
              <w:jc w:val="right"/>
              <w:rPr>
                <w:sz w:val="14"/>
              </w:rPr>
            </w:pPr>
            <w:r>
              <w:rPr>
                <w:w w:val="95"/>
                <w:sz w:val="14"/>
              </w:rPr>
              <w:t>2.604</w:t>
            </w:r>
          </w:p>
        </w:tc>
      </w:tr>
      <w:tr>
        <w:trPr>
          <w:trHeight w:val="242" w:hRule="atLeast"/>
        </w:trPr>
        <w:tc>
          <w:tcPr>
            <w:tcW w:w="4263" w:type="dxa"/>
          </w:tcPr>
          <w:p>
            <w:pPr>
              <w:pStyle w:val="TableParagraph"/>
              <w:spacing w:before="38"/>
              <w:ind w:left="72"/>
              <w:rPr>
                <w:sz w:val="14"/>
              </w:rPr>
            </w:pPr>
            <w:r>
              <w:rPr>
                <w:sz w:val="14"/>
              </w:rPr>
              <w:t>Dividendo/JSCP a Receber</w:t>
            </w:r>
          </w:p>
        </w:tc>
        <w:tc>
          <w:tcPr>
            <w:tcW w:w="1428" w:type="dxa"/>
          </w:tcPr>
          <w:p>
            <w:pPr>
              <w:pStyle w:val="TableParagraph"/>
              <w:spacing w:before="38"/>
              <w:ind w:right="56"/>
              <w:jc w:val="right"/>
              <w:rPr>
                <w:sz w:val="14"/>
              </w:rPr>
            </w:pPr>
            <w:r>
              <w:rPr>
                <w:w w:val="95"/>
                <w:sz w:val="14"/>
              </w:rPr>
              <w:t>18.681</w:t>
            </w:r>
          </w:p>
        </w:tc>
        <w:tc>
          <w:tcPr>
            <w:tcW w:w="1428" w:type="dxa"/>
          </w:tcPr>
          <w:p>
            <w:pPr>
              <w:pStyle w:val="TableParagraph"/>
              <w:spacing w:before="38"/>
              <w:ind w:right="56"/>
              <w:jc w:val="right"/>
              <w:rPr>
                <w:sz w:val="14"/>
              </w:rPr>
            </w:pPr>
            <w:r>
              <w:rPr>
                <w:w w:val="95"/>
                <w:sz w:val="14"/>
              </w:rPr>
              <w:t>24.119</w:t>
            </w:r>
          </w:p>
        </w:tc>
        <w:tc>
          <w:tcPr>
            <w:tcW w:w="1431" w:type="dxa"/>
          </w:tcPr>
          <w:p>
            <w:pPr>
              <w:pStyle w:val="TableParagraph"/>
              <w:spacing w:before="38"/>
              <w:ind w:right="59"/>
              <w:jc w:val="right"/>
              <w:rPr>
                <w:sz w:val="14"/>
              </w:rPr>
            </w:pPr>
            <w:r>
              <w:rPr>
                <w:w w:val="95"/>
                <w:sz w:val="14"/>
              </w:rPr>
              <w:t>4.624</w:t>
            </w:r>
          </w:p>
        </w:tc>
        <w:tc>
          <w:tcPr>
            <w:tcW w:w="1428" w:type="dxa"/>
          </w:tcPr>
          <w:p>
            <w:pPr>
              <w:pStyle w:val="TableParagraph"/>
              <w:spacing w:before="38"/>
              <w:ind w:right="56"/>
              <w:jc w:val="right"/>
              <w:rPr>
                <w:sz w:val="14"/>
              </w:rPr>
            </w:pPr>
            <w:r>
              <w:rPr>
                <w:w w:val="95"/>
                <w:sz w:val="14"/>
              </w:rPr>
              <w:t>7.402</w:t>
            </w:r>
          </w:p>
        </w:tc>
      </w:tr>
      <w:tr>
        <w:trPr>
          <w:trHeight w:val="239" w:hRule="atLeast"/>
        </w:trPr>
        <w:tc>
          <w:tcPr>
            <w:tcW w:w="4263" w:type="dxa"/>
          </w:tcPr>
          <w:p>
            <w:pPr>
              <w:pStyle w:val="TableParagraph"/>
              <w:spacing w:before="38"/>
              <w:ind w:left="72"/>
              <w:rPr>
                <w:sz w:val="14"/>
              </w:rPr>
            </w:pPr>
            <w:r>
              <w:rPr>
                <w:sz w:val="14"/>
              </w:rPr>
              <w:t>Despesas Pagas Antecipadamente</w:t>
            </w:r>
          </w:p>
        </w:tc>
        <w:tc>
          <w:tcPr>
            <w:tcW w:w="1428" w:type="dxa"/>
          </w:tcPr>
          <w:p>
            <w:pPr>
              <w:pStyle w:val="TableParagraph"/>
              <w:spacing w:before="38"/>
              <w:ind w:right="58"/>
              <w:jc w:val="right"/>
              <w:rPr>
                <w:sz w:val="14"/>
              </w:rPr>
            </w:pPr>
            <w:r>
              <w:rPr>
                <w:sz w:val="14"/>
              </w:rPr>
              <w:t>48</w:t>
            </w:r>
          </w:p>
        </w:tc>
        <w:tc>
          <w:tcPr>
            <w:tcW w:w="1428" w:type="dxa"/>
          </w:tcPr>
          <w:p>
            <w:pPr>
              <w:pStyle w:val="TableParagraph"/>
              <w:spacing w:before="38"/>
              <w:ind w:right="58"/>
              <w:jc w:val="right"/>
              <w:rPr>
                <w:sz w:val="14"/>
              </w:rPr>
            </w:pPr>
            <w:r>
              <w:rPr>
                <w:sz w:val="14"/>
              </w:rPr>
              <w:t>38</w:t>
            </w:r>
          </w:p>
        </w:tc>
        <w:tc>
          <w:tcPr>
            <w:tcW w:w="1431" w:type="dxa"/>
          </w:tcPr>
          <w:p>
            <w:pPr>
              <w:pStyle w:val="TableParagraph"/>
              <w:spacing w:before="38"/>
              <w:ind w:right="59"/>
              <w:jc w:val="right"/>
              <w:rPr>
                <w:sz w:val="14"/>
              </w:rPr>
            </w:pPr>
            <w:r>
              <w:rPr>
                <w:w w:val="95"/>
                <w:sz w:val="14"/>
              </w:rPr>
              <w:t>3.959</w:t>
            </w:r>
          </w:p>
        </w:tc>
        <w:tc>
          <w:tcPr>
            <w:tcW w:w="1428" w:type="dxa"/>
          </w:tcPr>
          <w:p>
            <w:pPr>
              <w:pStyle w:val="TableParagraph"/>
              <w:spacing w:before="38"/>
              <w:ind w:right="59"/>
              <w:jc w:val="right"/>
              <w:rPr>
                <w:sz w:val="14"/>
              </w:rPr>
            </w:pPr>
            <w:r>
              <w:rPr>
                <w:w w:val="95"/>
                <w:sz w:val="14"/>
              </w:rPr>
              <w:t>6.795</w:t>
            </w:r>
          </w:p>
        </w:tc>
      </w:tr>
      <w:tr>
        <w:trPr>
          <w:trHeight w:val="241" w:hRule="atLeast"/>
        </w:trPr>
        <w:tc>
          <w:tcPr>
            <w:tcW w:w="4263" w:type="dxa"/>
          </w:tcPr>
          <w:p>
            <w:pPr>
              <w:pStyle w:val="TableParagraph"/>
              <w:spacing w:before="38"/>
              <w:ind w:left="72"/>
              <w:rPr>
                <w:sz w:val="14"/>
              </w:rPr>
            </w:pPr>
            <w:r>
              <w:rPr>
                <w:sz w:val="14"/>
              </w:rPr>
              <w:t>Crédito com Empregados</w:t>
            </w:r>
          </w:p>
        </w:tc>
        <w:tc>
          <w:tcPr>
            <w:tcW w:w="1428" w:type="dxa"/>
          </w:tcPr>
          <w:p>
            <w:pPr>
              <w:pStyle w:val="TableParagraph"/>
              <w:spacing w:before="38"/>
              <w:ind w:right="58"/>
              <w:jc w:val="right"/>
              <w:rPr>
                <w:sz w:val="14"/>
              </w:rPr>
            </w:pPr>
            <w:r>
              <w:rPr>
                <w:sz w:val="14"/>
              </w:rPr>
              <w:t>85</w:t>
            </w:r>
          </w:p>
        </w:tc>
        <w:tc>
          <w:tcPr>
            <w:tcW w:w="1428" w:type="dxa"/>
          </w:tcPr>
          <w:p>
            <w:pPr>
              <w:pStyle w:val="TableParagraph"/>
              <w:spacing w:before="38"/>
              <w:ind w:right="58"/>
              <w:jc w:val="right"/>
              <w:rPr>
                <w:sz w:val="14"/>
              </w:rPr>
            </w:pPr>
            <w:r>
              <w:rPr>
                <w:sz w:val="14"/>
              </w:rPr>
              <w:t>65</w:t>
            </w:r>
          </w:p>
        </w:tc>
        <w:tc>
          <w:tcPr>
            <w:tcW w:w="1431" w:type="dxa"/>
          </w:tcPr>
          <w:p>
            <w:pPr>
              <w:pStyle w:val="TableParagraph"/>
              <w:spacing w:before="38"/>
              <w:ind w:right="59"/>
              <w:jc w:val="right"/>
              <w:rPr>
                <w:sz w:val="14"/>
              </w:rPr>
            </w:pPr>
            <w:r>
              <w:rPr>
                <w:w w:val="95"/>
                <w:sz w:val="14"/>
              </w:rPr>
              <w:t>7.834</w:t>
            </w:r>
          </w:p>
        </w:tc>
        <w:tc>
          <w:tcPr>
            <w:tcW w:w="1428" w:type="dxa"/>
          </w:tcPr>
          <w:p>
            <w:pPr>
              <w:pStyle w:val="TableParagraph"/>
              <w:spacing w:before="38"/>
              <w:ind w:right="58"/>
              <w:jc w:val="right"/>
              <w:rPr>
                <w:sz w:val="14"/>
              </w:rPr>
            </w:pPr>
            <w:r>
              <w:rPr>
                <w:w w:val="95"/>
                <w:sz w:val="14"/>
              </w:rPr>
              <w:t>10.636</w:t>
            </w:r>
          </w:p>
        </w:tc>
      </w:tr>
      <w:tr>
        <w:trPr>
          <w:trHeight w:val="239" w:hRule="atLeast"/>
        </w:trPr>
        <w:tc>
          <w:tcPr>
            <w:tcW w:w="4263" w:type="dxa"/>
          </w:tcPr>
          <w:p>
            <w:pPr>
              <w:pStyle w:val="TableParagraph"/>
              <w:spacing w:before="37"/>
              <w:ind w:left="72"/>
              <w:rPr>
                <w:rFonts w:ascii="Caladea"/>
                <w:b/>
                <w:sz w:val="14"/>
              </w:rPr>
            </w:pPr>
            <w:r>
              <w:rPr>
                <w:sz w:val="14"/>
              </w:rPr>
              <w:t>Valores a receber da venda de terreno </w:t>
            </w:r>
            <w:r>
              <w:rPr>
                <w:rFonts w:ascii="Caladea"/>
                <w:b/>
                <w:sz w:val="14"/>
              </w:rPr>
              <w:t>(d)</w:t>
            </w:r>
          </w:p>
        </w:tc>
        <w:tc>
          <w:tcPr>
            <w:tcW w:w="1428" w:type="dxa"/>
          </w:tcPr>
          <w:p>
            <w:pPr>
              <w:pStyle w:val="TableParagraph"/>
              <w:spacing w:before="38"/>
              <w:ind w:right="56"/>
              <w:jc w:val="right"/>
              <w:rPr>
                <w:sz w:val="14"/>
              </w:rPr>
            </w:pPr>
            <w:r>
              <w:rPr>
                <w:w w:val="95"/>
                <w:sz w:val="14"/>
              </w:rPr>
              <w:t>24.955</w:t>
            </w:r>
          </w:p>
        </w:tc>
        <w:tc>
          <w:tcPr>
            <w:tcW w:w="1428" w:type="dxa"/>
          </w:tcPr>
          <w:p>
            <w:pPr>
              <w:pStyle w:val="TableParagraph"/>
              <w:rPr>
                <w:rFonts w:ascii="Times New Roman"/>
                <w:sz w:val="16"/>
              </w:rPr>
            </w:pPr>
          </w:p>
        </w:tc>
        <w:tc>
          <w:tcPr>
            <w:tcW w:w="1431" w:type="dxa"/>
          </w:tcPr>
          <w:p>
            <w:pPr>
              <w:pStyle w:val="TableParagraph"/>
              <w:spacing w:before="38"/>
              <w:ind w:right="58"/>
              <w:jc w:val="right"/>
              <w:rPr>
                <w:sz w:val="14"/>
              </w:rPr>
            </w:pPr>
            <w:r>
              <w:rPr>
                <w:w w:val="95"/>
                <w:sz w:val="14"/>
              </w:rPr>
              <w:t>24.955</w:t>
            </w:r>
          </w:p>
        </w:tc>
        <w:tc>
          <w:tcPr>
            <w:tcW w:w="1428" w:type="dxa"/>
          </w:tcPr>
          <w:p>
            <w:pPr>
              <w:pStyle w:val="TableParagraph"/>
              <w:spacing w:before="38"/>
              <w:ind w:right="58"/>
              <w:jc w:val="right"/>
              <w:rPr>
                <w:sz w:val="14"/>
              </w:rPr>
            </w:pPr>
            <w:r>
              <w:rPr>
                <w:w w:val="95"/>
                <w:sz w:val="14"/>
              </w:rPr>
              <w:t>48.832</w:t>
            </w:r>
          </w:p>
        </w:tc>
      </w:tr>
      <w:tr>
        <w:trPr>
          <w:trHeight w:val="242" w:hRule="atLeast"/>
        </w:trPr>
        <w:tc>
          <w:tcPr>
            <w:tcW w:w="4263" w:type="dxa"/>
          </w:tcPr>
          <w:p>
            <w:pPr>
              <w:pStyle w:val="TableParagraph"/>
              <w:spacing w:before="41"/>
              <w:ind w:left="72"/>
              <w:rPr>
                <w:sz w:val="14"/>
              </w:rPr>
            </w:pPr>
            <w:r>
              <w:rPr>
                <w:sz w:val="14"/>
              </w:rPr>
              <w:t>Outros Créditos</w:t>
            </w:r>
          </w:p>
        </w:tc>
        <w:tc>
          <w:tcPr>
            <w:tcW w:w="1428" w:type="dxa"/>
          </w:tcPr>
          <w:p>
            <w:pPr>
              <w:pStyle w:val="TableParagraph"/>
              <w:spacing w:before="41"/>
              <w:ind w:right="58"/>
              <w:jc w:val="right"/>
              <w:rPr>
                <w:sz w:val="14"/>
              </w:rPr>
            </w:pPr>
            <w:r>
              <w:rPr>
                <w:sz w:val="14"/>
              </w:rPr>
              <w:t>24</w:t>
            </w:r>
          </w:p>
        </w:tc>
        <w:tc>
          <w:tcPr>
            <w:tcW w:w="1428" w:type="dxa"/>
          </w:tcPr>
          <w:p>
            <w:pPr>
              <w:pStyle w:val="TableParagraph"/>
              <w:spacing w:before="41"/>
              <w:ind w:right="58"/>
              <w:jc w:val="right"/>
              <w:rPr>
                <w:sz w:val="14"/>
              </w:rPr>
            </w:pPr>
            <w:r>
              <w:rPr>
                <w:sz w:val="14"/>
              </w:rPr>
              <w:t>27</w:t>
            </w:r>
          </w:p>
        </w:tc>
        <w:tc>
          <w:tcPr>
            <w:tcW w:w="1431" w:type="dxa"/>
          </w:tcPr>
          <w:p>
            <w:pPr>
              <w:pStyle w:val="TableParagraph"/>
              <w:spacing w:before="41"/>
              <w:ind w:right="59"/>
              <w:jc w:val="right"/>
              <w:rPr>
                <w:sz w:val="14"/>
              </w:rPr>
            </w:pPr>
            <w:r>
              <w:rPr>
                <w:w w:val="95"/>
                <w:sz w:val="14"/>
              </w:rPr>
              <w:t>8.026</w:t>
            </w:r>
          </w:p>
        </w:tc>
        <w:tc>
          <w:tcPr>
            <w:tcW w:w="1428" w:type="dxa"/>
          </w:tcPr>
          <w:p>
            <w:pPr>
              <w:pStyle w:val="TableParagraph"/>
              <w:spacing w:before="41"/>
              <w:ind w:right="59"/>
              <w:jc w:val="right"/>
              <w:rPr>
                <w:sz w:val="14"/>
              </w:rPr>
            </w:pPr>
            <w:r>
              <w:rPr>
                <w:w w:val="95"/>
                <w:sz w:val="14"/>
              </w:rPr>
              <w:t>6.134</w:t>
            </w:r>
          </w:p>
        </w:tc>
      </w:tr>
      <w:tr>
        <w:trPr>
          <w:trHeight w:val="241" w:hRule="atLeast"/>
        </w:trPr>
        <w:tc>
          <w:tcPr>
            <w:tcW w:w="4263" w:type="dxa"/>
          </w:tcPr>
          <w:p>
            <w:pPr>
              <w:pStyle w:val="TableParagraph"/>
              <w:spacing w:before="37"/>
              <w:ind w:left="72"/>
              <w:rPr>
                <w:rFonts w:ascii="Caladea"/>
                <w:b/>
                <w:sz w:val="14"/>
              </w:rPr>
            </w:pPr>
            <w:r>
              <w:rPr>
                <w:rFonts w:ascii="Caladea"/>
                <w:b/>
                <w:sz w:val="14"/>
              </w:rPr>
              <w:t>Total</w:t>
            </w:r>
          </w:p>
        </w:tc>
        <w:tc>
          <w:tcPr>
            <w:tcW w:w="1428" w:type="dxa"/>
          </w:tcPr>
          <w:p>
            <w:pPr>
              <w:pStyle w:val="TableParagraph"/>
              <w:spacing w:before="37"/>
              <w:ind w:right="56"/>
              <w:jc w:val="right"/>
              <w:rPr>
                <w:rFonts w:ascii="Caladea"/>
                <w:b/>
                <w:sz w:val="14"/>
              </w:rPr>
            </w:pPr>
            <w:r>
              <w:rPr>
                <w:rFonts w:ascii="Caladea"/>
                <w:b/>
                <w:sz w:val="14"/>
              </w:rPr>
              <w:t>43.793</w:t>
            </w:r>
          </w:p>
        </w:tc>
        <w:tc>
          <w:tcPr>
            <w:tcW w:w="1428" w:type="dxa"/>
          </w:tcPr>
          <w:p>
            <w:pPr>
              <w:pStyle w:val="TableParagraph"/>
              <w:spacing w:before="37"/>
              <w:ind w:right="56"/>
              <w:jc w:val="right"/>
              <w:rPr>
                <w:rFonts w:ascii="Caladea"/>
                <w:b/>
                <w:sz w:val="14"/>
              </w:rPr>
            </w:pPr>
            <w:r>
              <w:rPr>
                <w:rFonts w:ascii="Caladea"/>
                <w:b/>
                <w:sz w:val="14"/>
              </w:rPr>
              <w:t>24.249</w:t>
            </w:r>
          </w:p>
        </w:tc>
        <w:tc>
          <w:tcPr>
            <w:tcW w:w="1431" w:type="dxa"/>
          </w:tcPr>
          <w:p>
            <w:pPr>
              <w:pStyle w:val="TableParagraph"/>
              <w:spacing w:before="37"/>
              <w:ind w:right="59"/>
              <w:jc w:val="right"/>
              <w:rPr>
                <w:rFonts w:ascii="Caladea"/>
                <w:b/>
                <w:sz w:val="14"/>
              </w:rPr>
            </w:pPr>
            <w:r>
              <w:rPr>
                <w:rFonts w:ascii="Caladea"/>
                <w:b/>
                <w:w w:val="95"/>
                <w:sz w:val="14"/>
              </w:rPr>
              <w:t>137.766</w:t>
            </w:r>
          </w:p>
        </w:tc>
        <w:tc>
          <w:tcPr>
            <w:tcW w:w="1428" w:type="dxa"/>
          </w:tcPr>
          <w:p>
            <w:pPr>
              <w:pStyle w:val="TableParagraph"/>
              <w:spacing w:before="37"/>
              <w:ind w:right="56"/>
              <w:jc w:val="right"/>
              <w:rPr>
                <w:rFonts w:ascii="Caladea"/>
                <w:b/>
                <w:sz w:val="14"/>
              </w:rPr>
            </w:pPr>
            <w:r>
              <w:rPr>
                <w:rFonts w:ascii="Caladea"/>
                <w:b/>
                <w:w w:val="95"/>
                <w:sz w:val="14"/>
              </w:rPr>
              <w:t>153.805</w:t>
            </w:r>
          </w:p>
        </w:tc>
      </w:tr>
      <w:tr>
        <w:trPr>
          <w:trHeight w:val="239" w:hRule="atLeast"/>
        </w:trPr>
        <w:tc>
          <w:tcPr>
            <w:tcW w:w="4263" w:type="dxa"/>
          </w:tcPr>
          <w:p>
            <w:pPr>
              <w:pStyle w:val="TableParagraph"/>
              <w:spacing w:before="37"/>
              <w:ind w:left="72"/>
              <w:rPr>
                <w:rFonts w:ascii="Caladea"/>
                <w:b/>
                <w:sz w:val="14"/>
              </w:rPr>
            </w:pPr>
            <w:r>
              <w:rPr>
                <w:rFonts w:ascii="Caladea"/>
                <w:b/>
                <w:sz w:val="14"/>
              </w:rPr>
              <w:t>Circulante</w:t>
            </w:r>
          </w:p>
        </w:tc>
        <w:tc>
          <w:tcPr>
            <w:tcW w:w="1428" w:type="dxa"/>
          </w:tcPr>
          <w:p>
            <w:pPr>
              <w:pStyle w:val="TableParagraph"/>
              <w:spacing w:before="37"/>
              <w:ind w:right="56"/>
              <w:jc w:val="right"/>
              <w:rPr>
                <w:rFonts w:ascii="Caladea"/>
                <w:b/>
                <w:sz w:val="14"/>
              </w:rPr>
            </w:pPr>
            <w:r>
              <w:rPr>
                <w:rFonts w:ascii="Caladea"/>
                <w:b/>
                <w:sz w:val="14"/>
              </w:rPr>
              <w:t>43.793</w:t>
            </w:r>
          </w:p>
        </w:tc>
        <w:tc>
          <w:tcPr>
            <w:tcW w:w="1428" w:type="dxa"/>
          </w:tcPr>
          <w:p>
            <w:pPr>
              <w:pStyle w:val="TableParagraph"/>
              <w:spacing w:before="37"/>
              <w:ind w:right="56"/>
              <w:jc w:val="right"/>
              <w:rPr>
                <w:rFonts w:ascii="Caladea"/>
                <w:b/>
                <w:sz w:val="14"/>
              </w:rPr>
            </w:pPr>
            <w:r>
              <w:rPr>
                <w:rFonts w:ascii="Caladea"/>
                <w:b/>
                <w:sz w:val="14"/>
              </w:rPr>
              <w:t>24.249</w:t>
            </w:r>
          </w:p>
        </w:tc>
        <w:tc>
          <w:tcPr>
            <w:tcW w:w="1431" w:type="dxa"/>
          </w:tcPr>
          <w:p>
            <w:pPr>
              <w:pStyle w:val="TableParagraph"/>
              <w:spacing w:before="37"/>
              <w:ind w:right="59"/>
              <w:jc w:val="right"/>
              <w:rPr>
                <w:rFonts w:ascii="Caladea"/>
                <w:b/>
                <w:sz w:val="14"/>
              </w:rPr>
            </w:pPr>
            <w:r>
              <w:rPr>
                <w:rFonts w:ascii="Caladea"/>
                <w:b/>
                <w:w w:val="95"/>
                <w:sz w:val="14"/>
              </w:rPr>
              <w:t>126.458</w:t>
            </w:r>
          </w:p>
        </w:tc>
        <w:tc>
          <w:tcPr>
            <w:tcW w:w="1428" w:type="dxa"/>
          </w:tcPr>
          <w:p>
            <w:pPr>
              <w:pStyle w:val="TableParagraph"/>
              <w:spacing w:before="37"/>
              <w:ind w:right="56"/>
              <w:jc w:val="right"/>
              <w:rPr>
                <w:rFonts w:ascii="Caladea"/>
                <w:b/>
                <w:sz w:val="14"/>
              </w:rPr>
            </w:pPr>
            <w:r>
              <w:rPr>
                <w:rFonts w:ascii="Caladea"/>
                <w:b/>
                <w:w w:val="95"/>
                <w:sz w:val="14"/>
              </w:rPr>
              <w:t>140.785</w:t>
            </w:r>
          </w:p>
        </w:tc>
      </w:tr>
      <w:tr>
        <w:trPr>
          <w:trHeight w:val="242" w:hRule="atLeast"/>
        </w:trPr>
        <w:tc>
          <w:tcPr>
            <w:tcW w:w="4263" w:type="dxa"/>
          </w:tcPr>
          <w:p>
            <w:pPr>
              <w:pStyle w:val="TableParagraph"/>
              <w:spacing w:before="37"/>
              <w:ind w:left="72"/>
              <w:rPr>
                <w:rFonts w:ascii="Caladea" w:hAnsi="Caladea"/>
                <w:b/>
                <w:sz w:val="14"/>
              </w:rPr>
            </w:pPr>
            <w:r>
              <w:rPr>
                <w:rFonts w:ascii="Caladea" w:hAnsi="Caladea"/>
                <w:b/>
                <w:sz w:val="14"/>
              </w:rPr>
              <w:t>Não Circulante</w:t>
            </w:r>
          </w:p>
        </w:tc>
        <w:tc>
          <w:tcPr>
            <w:tcW w:w="1428" w:type="dxa"/>
          </w:tcPr>
          <w:p>
            <w:pPr>
              <w:pStyle w:val="TableParagraph"/>
              <w:rPr>
                <w:rFonts w:ascii="Times New Roman"/>
                <w:sz w:val="16"/>
              </w:rPr>
            </w:pPr>
          </w:p>
        </w:tc>
        <w:tc>
          <w:tcPr>
            <w:tcW w:w="1428" w:type="dxa"/>
          </w:tcPr>
          <w:p>
            <w:pPr>
              <w:pStyle w:val="TableParagraph"/>
              <w:rPr>
                <w:rFonts w:ascii="Times New Roman"/>
                <w:sz w:val="16"/>
              </w:rPr>
            </w:pPr>
          </w:p>
        </w:tc>
        <w:tc>
          <w:tcPr>
            <w:tcW w:w="1431" w:type="dxa"/>
          </w:tcPr>
          <w:p>
            <w:pPr>
              <w:pStyle w:val="TableParagraph"/>
              <w:spacing w:before="37"/>
              <w:ind w:right="59"/>
              <w:jc w:val="right"/>
              <w:rPr>
                <w:rFonts w:ascii="Caladea"/>
                <w:b/>
                <w:sz w:val="14"/>
              </w:rPr>
            </w:pPr>
            <w:r>
              <w:rPr>
                <w:rFonts w:ascii="Caladea"/>
                <w:b/>
                <w:sz w:val="14"/>
              </w:rPr>
              <w:t>11.308</w:t>
            </w:r>
          </w:p>
        </w:tc>
        <w:tc>
          <w:tcPr>
            <w:tcW w:w="1428" w:type="dxa"/>
          </w:tcPr>
          <w:p>
            <w:pPr>
              <w:pStyle w:val="TableParagraph"/>
              <w:spacing w:before="37"/>
              <w:ind w:right="56"/>
              <w:jc w:val="right"/>
              <w:rPr>
                <w:rFonts w:ascii="Caladea"/>
                <w:b/>
                <w:sz w:val="14"/>
              </w:rPr>
            </w:pPr>
            <w:r>
              <w:rPr>
                <w:rFonts w:ascii="Caladea"/>
                <w:b/>
                <w:sz w:val="14"/>
              </w:rPr>
              <w:t>13.020</w:t>
            </w:r>
          </w:p>
        </w:tc>
      </w:tr>
    </w:tbl>
    <w:p>
      <w:pPr>
        <w:pStyle w:val="ListParagraph"/>
        <w:numPr>
          <w:ilvl w:val="0"/>
          <w:numId w:val="23"/>
        </w:numPr>
        <w:tabs>
          <w:tab w:pos="531" w:val="left" w:leader="none"/>
        </w:tabs>
        <w:spacing w:line="242" w:lineRule="auto" w:before="235" w:after="0"/>
        <w:ind w:left="530" w:right="418" w:hanging="359"/>
        <w:jc w:val="both"/>
        <w:rPr>
          <w:rFonts w:ascii="Caladea" w:hAnsi="Caladea"/>
          <w:sz w:val="20"/>
        </w:rPr>
      </w:pPr>
      <w:r>
        <w:rPr>
          <w:sz w:val="20"/>
        </w:rPr>
        <w:t>Os</w:t>
      </w:r>
      <w:r>
        <w:rPr>
          <w:spacing w:val="-13"/>
          <w:sz w:val="20"/>
        </w:rPr>
        <w:t> </w:t>
      </w:r>
      <w:r>
        <w:rPr>
          <w:sz w:val="20"/>
        </w:rPr>
        <w:t>serviços</w:t>
      </w:r>
      <w:r>
        <w:rPr>
          <w:spacing w:val="-10"/>
          <w:sz w:val="20"/>
        </w:rPr>
        <w:t> </w:t>
      </w:r>
      <w:r>
        <w:rPr>
          <w:sz w:val="20"/>
        </w:rPr>
        <w:t>em</w:t>
      </w:r>
      <w:r>
        <w:rPr>
          <w:spacing w:val="-12"/>
          <w:sz w:val="20"/>
        </w:rPr>
        <w:t> </w:t>
      </w:r>
      <w:r>
        <w:rPr>
          <w:sz w:val="20"/>
        </w:rPr>
        <w:t>curso</w:t>
      </w:r>
      <w:r>
        <w:rPr>
          <w:spacing w:val="-12"/>
          <w:sz w:val="20"/>
        </w:rPr>
        <w:t> </w:t>
      </w:r>
      <w:r>
        <w:rPr>
          <w:sz w:val="20"/>
        </w:rPr>
        <w:t>são</w:t>
      </w:r>
      <w:r>
        <w:rPr>
          <w:spacing w:val="-11"/>
          <w:sz w:val="20"/>
        </w:rPr>
        <w:t> </w:t>
      </w:r>
      <w:r>
        <w:rPr>
          <w:sz w:val="20"/>
        </w:rPr>
        <w:t>referentes</w:t>
      </w:r>
      <w:r>
        <w:rPr>
          <w:spacing w:val="-10"/>
          <w:sz w:val="20"/>
        </w:rPr>
        <w:t> </w:t>
      </w:r>
      <w:r>
        <w:rPr>
          <w:sz w:val="20"/>
        </w:rPr>
        <w:t>aos</w:t>
      </w:r>
      <w:r>
        <w:rPr>
          <w:spacing w:val="-13"/>
          <w:sz w:val="20"/>
        </w:rPr>
        <w:t> </w:t>
      </w:r>
      <w:r>
        <w:rPr>
          <w:sz w:val="20"/>
        </w:rPr>
        <w:t>Programas</w:t>
      </w:r>
      <w:r>
        <w:rPr>
          <w:spacing w:val="-10"/>
          <w:sz w:val="20"/>
        </w:rPr>
        <w:t> </w:t>
      </w:r>
      <w:r>
        <w:rPr>
          <w:sz w:val="20"/>
        </w:rPr>
        <w:t>de</w:t>
      </w:r>
      <w:r>
        <w:rPr>
          <w:spacing w:val="-10"/>
          <w:sz w:val="20"/>
        </w:rPr>
        <w:t> </w:t>
      </w:r>
      <w:r>
        <w:rPr>
          <w:sz w:val="20"/>
        </w:rPr>
        <w:t>Pesquisa</w:t>
      </w:r>
      <w:r>
        <w:rPr>
          <w:spacing w:val="-11"/>
          <w:sz w:val="20"/>
        </w:rPr>
        <w:t> </w:t>
      </w:r>
      <w:r>
        <w:rPr>
          <w:sz w:val="20"/>
        </w:rPr>
        <w:t>e</w:t>
      </w:r>
      <w:r>
        <w:rPr>
          <w:spacing w:val="-12"/>
          <w:sz w:val="20"/>
        </w:rPr>
        <w:t> </w:t>
      </w:r>
      <w:r>
        <w:rPr>
          <w:sz w:val="20"/>
        </w:rPr>
        <w:t>Desenvolvimento</w:t>
      </w:r>
      <w:r>
        <w:rPr>
          <w:spacing w:val="-12"/>
          <w:sz w:val="20"/>
        </w:rPr>
        <w:t> </w:t>
      </w:r>
      <w:r>
        <w:rPr>
          <w:sz w:val="20"/>
        </w:rPr>
        <w:t>e</w:t>
      </w:r>
      <w:r>
        <w:rPr>
          <w:spacing w:val="-11"/>
          <w:sz w:val="20"/>
        </w:rPr>
        <w:t> </w:t>
      </w:r>
      <w:r>
        <w:rPr>
          <w:sz w:val="20"/>
        </w:rPr>
        <w:t>Programa</w:t>
      </w:r>
      <w:r>
        <w:rPr>
          <w:spacing w:val="-11"/>
          <w:sz w:val="20"/>
        </w:rPr>
        <w:t> </w:t>
      </w:r>
      <w:r>
        <w:rPr>
          <w:sz w:val="20"/>
        </w:rPr>
        <w:t>de</w:t>
      </w:r>
      <w:r>
        <w:rPr>
          <w:spacing w:val="-11"/>
          <w:sz w:val="20"/>
        </w:rPr>
        <w:t> </w:t>
      </w:r>
      <w:r>
        <w:rPr>
          <w:sz w:val="20"/>
        </w:rPr>
        <w:t>Eficiência Energética</w:t>
      </w:r>
      <w:r>
        <w:rPr>
          <w:spacing w:val="-20"/>
          <w:sz w:val="20"/>
        </w:rPr>
        <w:t> </w:t>
      </w:r>
      <w:r>
        <w:rPr>
          <w:sz w:val="20"/>
        </w:rPr>
        <w:t>os</w:t>
      </w:r>
      <w:r>
        <w:rPr>
          <w:spacing w:val="-19"/>
          <w:sz w:val="20"/>
        </w:rPr>
        <w:t> </w:t>
      </w:r>
      <w:r>
        <w:rPr>
          <w:sz w:val="20"/>
        </w:rPr>
        <w:t>quais,</w:t>
      </w:r>
      <w:r>
        <w:rPr>
          <w:spacing w:val="-20"/>
          <w:sz w:val="20"/>
        </w:rPr>
        <w:t> </w:t>
      </w:r>
      <w:r>
        <w:rPr>
          <w:sz w:val="20"/>
        </w:rPr>
        <w:t>após</w:t>
      </w:r>
      <w:r>
        <w:rPr>
          <w:spacing w:val="-19"/>
          <w:sz w:val="20"/>
        </w:rPr>
        <w:t> </w:t>
      </w:r>
      <w:r>
        <w:rPr>
          <w:sz w:val="20"/>
        </w:rPr>
        <w:t>seus</w:t>
      </w:r>
      <w:r>
        <w:rPr>
          <w:spacing w:val="-20"/>
          <w:sz w:val="20"/>
        </w:rPr>
        <w:t> </w:t>
      </w:r>
      <w:r>
        <w:rPr>
          <w:sz w:val="20"/>
        </w:rPr>
        <w:t>términos,</w:t>
      </w:r>
      <w:r>
        <w:rPr>
          <w:spacing w:val="-19"/>
          <w:sz w:val="20"/>
        </w:rPr>
        <w:t> </w:t>
      </w:r>
      <w:r>
        <w:rPr>
          <w:sz w:val="20"/>
        </w:rPr>
        <w:t>são</w:t>
      </w:r>
      <w:r>
        <w:rPr>
          <w:spacing w:val="-20"/>
          <w:sz w:val="20"/>
        </w:rPr>
        <w:t> </w:t>
      </w:r>
      <w:r>
        <w:rPr>
          <w:sz w:val="20"/>
        </w:rPr>
        <w:t>compensados</w:t>
      </w:r>
      <w:r>
        <w:rPr>
          <w:spacing w:val="-20"/>
          <w:sz w:val="20"/>
        </w:rPr>
        <w:t> </w:t>
      </w:r>
      <w:r>
        <w:rPr>
          <w:sz w:val="20"/>
        </w:rPr>
        <w:t>com</w:t>
      </w:r>
      <w:r>
        <w:rPr>
          <w:spacing w:val="-19"/>
          <w:sz w:val="20"/>
        </w:rPr>
        <w:t> </w:t>
      </w:r>
      <w:r>
        <w:rPr>
          <w:sz w:val="20"/>
        </w:rPr>
        <w:t>o</w:t>
      </w:r>
      <w:r>
        <w:rPr>
          <w:spacing w:val="-19"/>
          <w:sz w:val="20"/>
        </w:rPr>
        <w:t> </w:t>
      </w:r>
      <w:r>
        <w:rPr>
          <w:sz w:val="20"/>
        </w:rPr>
        <w:t>respectivo</w:t>
      </w:r>
      <w:r>
        <w:rPr>
          <w:spacing w:val="-19"/>
          <w:sz w:val="20"/>
        </w:rPr>
        <w:t> </w:t>
      </w:r>
      <w:r>
        <w:rPr>
          <w:sz w:val="20"/>
        </w:rPr>
        <w:t>passivo</w:t>
      </w:r>
      <w:r>
        <w:rPr>
          <w:spacing w:val="-19"/>
          <w:sz w:val="20"/>
        </w:rPr>
        <w:t> </w:t>
      </w:r>
      <w:r>
        <w:rPr>
          <w:sz w:val="20"/>
        </w:rPr>
        <w:t>registrado</w:t>
      </w:r>
      <w:r>
        <w:rPr>
          <w:spacing w:val="-19"/>
          <w:sz w:val="20"/>
        </w:rPr>
        <w:t> </w:t>
      </w:r>
      <w:r>
        <w:rPr>
          <w:sz w:val="20"/>
        </w:rPr>
        <w:t>para</w:t>
      </w:r>
      <w:r>
        <w:rPr>
          <w:spacing w:val="-18"/>
          <w:sz w:val="20"/>
        </w:rPr>
        <w:t> </w:t>
      </w:r>
      <w:r>
        <w:rPr>
          <w:sz w:val="20"/>
        </w:rPr>
        <w:t>este</w:t>
      </w:r>
      <w:r>
        <w:rPr>
          <w:spacing w:val="-19"/>
          <w:sz w:val="20"/>
        </w:rPr>
        <w:t> </w:t>
      </w:r>
      <w:r>
        <w:rPr>
          <w:sz w:val="20"/>
        </w:rPr>
        <w:t>fim, conforme legislação</w:t>
      </w:r>
      <w:r>
        <w:rPr>
          <w:spacing w:val="-37"/>
          <w:sz w:val="20"/>
        </w:rPr>
        <w:t> </w:t>
      </w:r>
      <w:r>
        <w:rPr>
          <w:sz w:val="20"/>
        </w:rPr>
        <w:t>regulatória;</w:t>
      </w:r>
    </w:p>
    <w:p>
      <w:pPr>
        <w:pStyle w:val="BodyText"/>
        <w:spacing w:before="1"/>
        <w:rPr>
          <w:sz w:val="17"/>
        </w:rPr>
      </w:pPr>
    </w:p>
    <w:p>
      <w:pPr>
        <w:pStyle w:val="ListParagraph"/>
        <w:numPr>
          <w:ilvl w:val="0"/>
          <w:numId w:val="23"/>
        </w:numPr>
        <w:tabs>
          <w:tab w:pos="531" w:val="left" w:leader="none"/>
        </w:tabs>
        <w:spacing w:line="242" w:lineRule="auto" w:before="0" w:after="0"/>
        <w:ind w:left="530" w:right="408" w:hanging="359"/>
        <w:jc w:val="both"/>
        <w:rPr>
          <w:rFonts w:ascii="Caladea" w:hAnsi="Caladea"/>
          <w:sz w:val="20"/>
        </w:rPr>
      </w:pPr>
      <w:r>
        <w:rPr>
          <w:sz w:val="20"/>
        </w:rPr>
        <w:t>Refere-se</w:t>
      </w:r>
      <w:r>
        <w:rPr>
          <w:spacing w:val="-40"/>
          <w:sz w:val="20"/>
        </w:rPr>
        <w:t> </w:t>
      </w:r>
      <w:r>
        <w:rPr>
          <w:sz w:val="20"/>
        </w:rPr>
        <w:t>à</w:t>
      </w:r>
      <w:r>
        <w:rPr>
          <w:spacing w:val="-39"/>
          <w:sz w:val="20"/>
        </w:rPr>
        <w:t> </w:t>
      </w:r>
      <w:r>
        <w:rPr>
          <w:sz w:val="20"/>
        </w:rPr>
        <w:t>Diferença</w:t>
      </w:r>
      <w:r>
        <w:rPr>
          <w:spacing w:val="-38"/>
          <w:sz w:val="20"/>
        </w:rPr>
        <w:t> </w:t>
      </w:r>
      <w:r>
        <w:rPr>
          <w:sz w:val="20"/>
        </w:rPr>
        <w:t>Mensal</w:t>
      </w:r>
      <w:r>
        <w:rPr>
          <w:spacing w:val="-39"/>
          <w:sz w:val="20"/>
        </w:rPr>
        <w:t> </w:t>
      </w:r>
      <w:r>
        <w:rPr>
          <w:sz w:val="20"/>
        </w:rPr>
        <w:t>de</w:t>
      </w:r>
      <w:r>
        <w:rPr>
          <w:spacing w:val="-38"/>
          <w:sz w:val="20"/>
        </w:rPr>
        <w:t> </w:t>
      </w:r>
      <w:r>
        <w:rPr>
          <w:sz w:val="20"/>
        </w:rPr>
        <w:t>Receita</w:t>
      </w:r>
      <w:r>
        <w:rPr>
          <w:spacing w:val="-37"/>
          <w:sz w:val="20"/>
        </w:rPr>
        <w:t> </w:t>
      </w:r>
      <w:r>
        <w:rPr>
          <w:sz w:val="20"/>
        </w:rPr>
        <w:t>–</w:t>
      </w:r>
      <w:r>
        <w:rPr>
          <w:spacing w:val="-38"/>
          <w:sz w:val="20"/>
        </w:rPr>
        <w:t> </w:t>
      </w:r>
      <w:r>
        <w:rPr>
          <w:sz w:val="20"/>
        </w:rPr>
        <w:t>DMR,</w:t>
      </w:r>
      <w:r>
        <w:rPr>
          <w:spacing w:val="-38"/>
          <w:sz w:val="20"/>
        </w:rPr>
        <w:t> </w:t>
      </w:r>
      <w:r>
        <w:rPr>
          <w:sz w:val="20"/>
        </w:rPr>
        <w:t>no</w:t>
      </w:r>
      <w:r>
        <w:rPr>
          <w:spacing w:val="-38"/>
          <w:sz w:val="20"/>
        </w:rPr>
        <w:t> </w:t>
      </w:r>
      <w:r>
        <w:rPr>
          <w:sz w:val="20"/>
        </w:rPr>
        <w:t>âmbito</w:t>
      </w:r>
      <w:r>
        <w:rPr>
          <w:spacing w:val="-38"/>
          <w:sz w:val="20"/>
        </w:rPr>
        <w:t> </w:t>
      </w:r>
      <w:r>
        <w:rPr>
          <w:sz w:val="20"/>
        </w:rPr>
        <w:t>da</w:t>
      </w:r>
      <w:r>
        <w:rPr>
          <w:spacing w:val="-38"/>
          <w:sz w:val="20"/>
        </w:rPr>
        <w:t> </w:t>
      </w:r>
      <w:r>
        <w:rPr>
          <w:sz w:val="20"/>
        </w:rPr>
        <w:t>aplicação</w:t>
      </w:r>
      <w:r>
        <w:rPr>
          <w:spacing w:val="-39"/>
          <w:sz w:val="20"/>
        </w:rPr>
        <w:t> </w:t>
      </w:r>
      <w:r>
        <w:rPr>
          <w:sz w:val="20"/>
        </w:rPr>
        <w:t>da</w:t>
      </w:r>
      <w:r>
        <w:rPr>
          <w:spacing w:val="-39"/>
          <w:sz w:val="20"/>
        </w:rPr>
        <w:t> </w:t>
      </w:r>
      <w:r>
        <w:rPr>
          <w:sz w:val="20"/>
        </w:rPr>
        <w:t>Tarifa</w:t>
      </w:r>
      <w:r>
        <w:rPr>
          <w:spacing w:val="-38"/>
          <w:sz w:val="20"/>
        </w:rPr>
        <w:t> </w:t>
      </w:r>
      <w:r>
        <w:rPr>
          <w:sz w:val="20"/>
        </w:rPr>
        <w:t>Social</w:t>
      </w:r>
      <w:r>
        <w:rPr>
          <w:spacing w:val="-37"/>
          <w:sz w:val="20"/>
        </w:rPr>
        <w:t> </w:t>
      </w:r>
      <w:r>
        <w:rPr>
          <w:sz w:val="20"/>
        </w:rPr>
        <w:t>de</w:t>
      </w:r>
      <w:r>
        <w:rPr>
          <w:spacing w:val="-40"/>
          <w:sz w:val="20"/>
        </w:rPr>
        <w:t> </w:t>
      </w:r>
      <w:r>
        <w:rPr>
          <w:sz w:val="20"/>
        </w:rPr>
        <w:t>Energia</w:t>
      </w:r>
      <w:r>
        <w:rPr>
          <w:spacing w:val="-38"/>
          <w:sz w:val="20"/>
        </w:rPr>
        <w:t> </w:t>
      </w:r>
      <w:r>
        <w:rPr>
          <w:sz w:val="20"/>
        </w:rPr>
        <w:t>Elétrica</w:t>
      </w:r>
      <w:r>
        <w:rPr>
          <w:spacing w:val="-35"/>
          <w:sz w:val="20"/>
        </w:rPr>
        <w:t> </w:t>
      </w:r>
      <w:r>
        <w:rPr>
          <w:sz w:val="20"/>
        </w:rPr>
        <w:t>–</w:t>
      </w:r>
      <w:r>
        <w:rPr>
          <w:spacing w:val="-37"/>
          <w:sz w:val="20"/>
        </w:rPr>
        <w:t> </w:t>
      </w:r>
      <w:r>
        <w:rPr>
          <w:sz w:val="20"/>
        </w:rPr>
        <w:t>TSEE às</w:t>
      </w:r>
      <w:r>
        <w:rPr>
          <w:spacing w:val="-22"/>
          <w:sz w:val="20"/>
        </w:rPr>
        <w:t> </w:t>
      </w:r>
      <w:r>
        <w:rPr>
          <w:sz w:val="20"/>
        </w:rPr>
        <w:t>unidades</w:t>
      </w:r>
      <w:r>
        <w:rPr>
          <w:spacing w:val="-22"/>
          <w:sz w:val="20"/>
        </w:rPr>
        <w:t> </w:t>
      </w:r>
      <w:r>
        <w:rPr>
          <w:sz w:val="20"/>
        </w:rPr>
        <w:t>consumidoras</w:t>
      </w:r>
      <w:r>
        <w:rPr>
          <w:spacing w:val="-19"/>
          <w:sz w:val="20"/>
        </w:rPr>
        <w:t> </w:t>
      </w:r>
      <w:r>
        <w:rPr>
          <w:sz w:val="20"/>
        </w:rPr>
        <w:t>da</w:t>
      </w:r>
      <w:r>
        <w:rPr>
          <w:spacing w:val="-22"/>
          <w:sz w:val="20"/>
        </w:rPr>
        <w:t> </w:t>
      </w:r>
      <w:r>
        <w:rPr>
          <w:sz w:val="20"/>
        </w:rPr>
        <w:t>subclasse</w:t>
      </w:r>
      <w:r>
        <w:rPr>
          <w:spacing w:val="-22"/>
          <w:sz w:val="20"/>
        </w:rPr>
        <w:t> </w:t>
      </w:r>
      <w:r>
        <w:rPr>
          <w:sz w:val="20"/>
        </w:rPr>
        <w:t>residencial</w:t>
      </w:r>
      <w:r>
        <w:rPr>
          <w:spacing w:val="-21"/>
          <w:sz w:val="20"/>
        </w:rPr>
        <w:t> </w:t>
      </w:r>
      <w:r>
        <w:rPr>
          <w:sz w:val="20"/>
        </w:rPr>
        <w:t>baixa</w:t>
      </w:r>
      <w:r>
        <w:rPr>
          <w:spacing w:val="-22"/>
          <w:sz w:val="20"/>
        </w:rPr>
        <w:t> </w:t>
      </w:r>
      <w:r>
        <w:rPr>
          <w:sz w:val="20"/>
        </w:rPr>
        <w:t>renda;</w:t>
      </w:r>
      <w:r>
        <w:rPr>
          <w:spacing w:val="-20"/>
          <w:sz w:val="20"/>
        </w:rPr>
        <w:t> </w:t>
      </w:r>
      <w:r>
        <w:rPr>
          <w:sz w:val="20"/>
        </w:rPr>
        <w:t>e</w:t>
      </w:r>
      <w:r>
        <w:rPr>
          <w:spacing w:val="-23"/>
          <w:sz w:val="20"/>
        </w:rPr>
        <w:t> </w:t>
      </w:r>
      <w:r>
        <w:rPr>
          <w:sz w:val="20"/>
        </w:rPr>
        <w:t>à</w:t>
      </w:r>
      <w:r>
        <w:rPr>
          <w:spacing w:val="-15"/>
          <w:sz w:val="20"/>
        </w:rPr>
        <w:t> </w:t>
      </w:r>
      <w:r>
        <w:rPr>
          <w:sz w:val="20"/>
        </w:rPr>
        <w:t>subvenção</w:t>
      </w:r>
      <w:r>
        <w:rPr>
          <w:spacing w:val="-22"/>
          <w:sz w:val="20"/>
        </w:rPr>
        <w:t> </w:t>
      </w:r>
      <w:r>
        <w:rPr>
          <w:sz w:val="20"/>
        </w:rPr>
        <w:t>da</w:t>
      </w:r>
      <w:r>
        <w:rPr>
          <w:spacing w:val="-19"/>
          <w:sz w:val="20"/>
        </w:rPr>
        <w:t> </w:t>
      </w:r>
      <w:r>
        <w:rPr>
          <w:sz w:val="20"/>
        </w:rPr>
        <w:t>CDE</w:t>
      </w:r>
      <w:r>
        <w:rPr>
          <w:spacing w:val="-22"/>
          <w:sz w:val="20"/>
        </w:rPr>
        <w:t> </w:t>
      </w:r>
      <w:r>
        <w:rPr>
          <w:sz w:val="20"/>
        </w:rPr>
        <w:t>para</w:t>
      </w:r>
      <w:r>
        <w:rPr>
          <w:spacing w:val="-21"/>
          <w:sz w:val="20"/>
        </w:rPr>
        <w:t> </w:t>
      </w:r>
      <w:r>
        <w:rPr>
          <w:sz w:val="20"/>
        </w:rPr>
        <w:t>custear</w:t>
      </w:r>
      <w:r>
        <w:rPr>
          <w:spacing w:val="-20"/>
          <w:sz w:val="20"/>
        </w:rPr>
        <w:t> </w:t>
      </w:r>
      <w:r>
        <w:rPr>
          <w:sz w:val="20"/>
        </w:rPr>
        <w:t>descontos </w:t>
      </w:r>
      <w:r>
        <w:rPr>
          <w:w w:val="105"/>
          <w:sz w:val="20"/>
        </w:rPr>
        <w:t>tarifários;</w:t>
      </w:r>
    </w:p>
    <w:p>
      <w:pPr>
        <w:pStyle w:val="ListParagraph"/>
        <w:numPr>
          <w:ilvl w:val="0"/>
          <w:numId w:val="23"/>
        </w:numPr>
        <w:tabs>
          <w:tab w:pos="531" w:val="left" w:leader="none"/>
        </w:tabs>
        <w:spacing w:line="242" w:lineRule="auto" w:before="197" w:after="0"/>
        <w:ind w:left="530" w:right="405" w:hanging="359"/>
        <w:jc w:val="both"/>
        <w:rPr>
          <w:rFonts w:ascii="Caladea" w:hAnsi="Caladea"/>
          <w:sz w:val="20"/>
        </w:rPr>
      </w:pPr>
      <w:r>
        <w:rPr>
          <w:sz w:val="20"/>
        </w:rPr>
        <w:t>Refere-se</w:t>
      </w:r>
      <w:r>
        <w:rPr>
          <w:spacing w:val="-17"/>
          <w:sz w:val="20"/>
        </w:rPr>
        <w:t> </w:t>
      </w:r>
      <w:r>
        <w:rPr>
          <w:sz w:val="20"/>
        </w:rPr>
        <w:t>ao</w:t>
      </w:r>
      <w:r>
        <w:rPr>
          <w:spacing w:val="-16"/>
          <w:sz w:val="20"/>
        </w:rPr>
        <w:t> </w:t>
      </w:r>
      <w:r>
        <w:rPr>
          <w:sz w:val="20"/>
        </w:rPr>
        <w:t>valor</w:t>
      </w:r>
      <w:r>
        <w:rPr>
          <w:spacing w:val="-14"/>
          <w:sz w:val="20"/>
        </w:rPr>
        <w:t> </w:t>
      </w:r>
      <w:r>
        <w:rPr>
          <w:sz w:val="20"/>
        </w:rPr>
        <w:t>das</w:t>
      </w:r>
      <w:r>
        <w:rPr>
          <w:spacing w:val="-15"/>
          <w:sz w:val="20"/>
        </w:rPr>
        <w:t> </w:t>
      </w:r>
      <w:r>
        <w:rPr>
          <w:sz w:val="20"/>
        </w:rPr>
        <w:t>desativações</w:t>
      </w:r>
      <w:r>
        <w:rPr>
          <w:spacing w:val="-15"/>
          <w:sz w:val="20"/>
        </w:rPr>
        <w:t> </w:t>
      </w:r>
      <w:r>
        <w:rPr>
          <w:sz w:val="20"/>
        </w:rPr>
        <w:t>dos</w:t>
      </w:r>
      <w:r>
        <w:rPr>
          <w:spacing w:val="-14"/>
          <w:sz w:val="20"/>
        </w:rPr>
        <w:t> </w:t>
      </w:r>
      <w:r>
        <w:rPr>
          <w:sz w:val="20"/>
        </w:rPr>
        <w:t>bens</w:t>
      </w:r>
      <w:r>
        <w:rPr>
          <w:spacing w:val="-15"/>
          <w:sz w:val="20"/>
        </w:rPr>
        <w:t> </w:t>
      </w:r>
      <w:r>
        <w:rPr>
          <w:sz w:val="20"/>
        </w:rPr>
        <w:t>anteriormente</w:t>
      </w:r>
      <w:r>
        <w:rPr>
          <w:spacing w:val="-15"/>
          <w:sz w:val="20"/>
        </w:rPr>
        <w:t> </w:t>
      </w:r>
      <w:r>
        <w:rPr>
          <w:sz w:val="20"/>
        </w:rPr>
        <w:t>registrado</w:t>
      </w:r>
      <w:r>
        <w:rPr>
          <w:spacing w:val="-13"/>
          <w:sz w:val="20"/>
        </w:rPr>
        <w:t> </w:t>
      </w:r>
      <w:r>
        <w:rPr>
          <w:sz w:val="20"/>
        </w:rPr>
        <w:t>em</w:t>
      </w:r>
      <w:r>
        <w:rPr>
          <w:spacing w:val="-16"/>
          <w:sz w:val="20"/>
        </w:rPr>
        <w:t> </w:t>
      </w:r>
      <w:r>
        <w:rPr>
          <w:sz w:val="20"/>
        </w:rPr>
        <w:t>serviço</w:t>
      </w:r>
      <w:r>
        <w:rPr>
          <w:spacing w:val="-16"/>
          <w:sz w:val="20"/>
        </w:rPr>
        <w:t> </w:t>
      </w:r>
      <w:r>
        <w:rPr>
          <w:sz w:val="20"/>
        </w:rPr>
        <w:t>na</w:t>
      </w:r>
      <w:r>
        <w:rPr>
          <w:spacing w:val="-15"/>
          <w:sz w:val="20"/>
        </w:rPr>
        <w:t> </w:t>
      </w:r>
      <w:r>
        <w:rPr>
          <w:sz w:val="20"/>
        </w:rPr>
        <w:t>CEB</w:t>
      </w:r>
      <w:r>
        <w:rPr>
          <w:spacing w:val="-15"/>
          <w:sz w:val="20"/>
        </w:rPr>
        <w:t> </w:t>
      </w:r>
      <w:r>
        <w:rPr>
          <w:sz w:val="20"/>
        </w:rPr>
        <w:t>DIS,</w:t>
      </w:r>
      <w:r>
        <w:rPr>
          <w:spacing w:val="-15"/>
          <w:sz w:val="20"/>
        </w:rPr>
        <w:t> </w:t>
      </w:r>
      <w:r>
        <w:rPr>
          <w:sz w:val="20"/>
        </w:rPr>
        <w:t>cujo</w:t>
      </w:r>
      <w:r>
        <w:rPr>
          <w:spacing w:val="-15"/>
          <w:sz w:val="20"/>
        </w:rPr>
        <w:t> </w:t>
      </w:r>
      <w:r>
        <w:rPr>
          <w:sz w:val="20"/>
        </w:rPr>
        <w:t>valor</w:t>
      </w:r>
      <w:r>
        <w:rPr>
          <w:spacing w:val="-15"/>
          <w:sz w:val="20"/>
        </w:rPr>
        <w:t> </w:t>
      </w:r>
      <w:r>
        <w:rPr>
          <w:sz w:val="20"/>
        </w:rPr>
        <w:t>dos itens,</w:t>
      </w:r>
      <w:r>
        <w:rPr>
          <w:spacing w:val="-34"/>
          <w:sz w:val="20"/>
        </w:rPr>
        <w:t> </w:t>
      </w:r>
      <w:r>
        <w:rPr>
          <w:sz w:val="20"/>
        </w:rPr>
        <w:t>quando</w:t>
      </w:r>
      <w:r>
        <w:rPr>
          <w:spacing w:val="-32"/>
          <w:sz w:val="20"/>
        </w:rPr>
        <w:t> </w:t>
      </w:r>
      <w:r>
        <w:rPr>
          <w:sz w:val="20"/>
        </w:rPr>
        <w:t>desativados,</w:t>
      </w:r>
      <w:r>
        <w:rPr>
          <w:spacing w:val="-32"/>
          <w:sz w:val="20"/>
        </w:rPr>
        <w:t> </w:t>
      </w:r>
      <w:r>
        <w:rPr>
          <w:sz w:val="20"/>
        </w:rPr>
        <w:t>é</w:t>
      </w:r>
      <w:r>
        <w:rPr>
          <w:spacing w:val="-33"/>
          <w:sz w:val="20"/>
        </w:rPr>
        <w:t> </w:t>
      </w:r>
      <w:r>
        <w:rPr>
          <w:sz w:val="20"/>
        </w:rPr>
        <w:t>classificado</w:t>
      </w:r>
      <w:r>
        <w:rPr>
          <w:spacing w:val="-33"/>
          <w:sz w:val="20"/>
        </w:rPr>
        <w:t> </w:t>
      </w:r>
      <w:r>
        <w:rPr>
          <w:sz w:val="20"/>
        </w:rPr>
        <w:t>pelo</w:t>
      </w:r>
      <w:r>
        <w:rPr>
          <w:spacing w:val="-33"/>
          <w:sz w:val="20"/>
        </w:rPr>
        <w:t> </w:t>
      </w:r>
      <w:r>
        <w:rPr>
          <w:sz w:val="20"/>
        </w:rPr>
        <w:t>seu</w:t>
      </w:r>
      <w:r>
        <w:rPr>
          <w:spacing w:val="-34"/>
          <w:sz w:val="20"/>
        </w:rPr>
        <w:t> </w:t>
      </w:r>
      <w:r>
        <w:rPr>
          <w:sz w:val="20"/>
        </w:rPr>
        <w:t>valor</w:t>
      </w:r>
      <w:r>
        <w:rPr>
          <w:spacing w:val="-32"/>
          <w:sz w:val="20"/>
        </w:rPr>
        <w:t> </w:t>
      </w:r>
      <w:r>
        <w:rPr>
          <w:sz w:val="20"/>
        </w:rPr>
        <w:t>residual</w:t>
      </w:r>
      <w:r>
        <w:rPr>
          <w:spacing w:val="-33"/>
          <w:sz w:val="20"/>
        </w:rPr>
        <w:t> </w:t>
      </w:r>
      <w:r>
        <w:rPr>
          <w:sz w:val="20"/>
        </w:rPr>
        <w:t>nesta</w:t>
      </w:r>
      <w:r>
        <w:rPr>
          <w:spacing w:val="-33"/>
          <w:sz w:val="20"/>
        </w:rPr>
        <w:t> </w:t>
      </w:r>
      <w:r>
        <w:rPr>
          <w:sz w:val="20"/>
        </w:rPr>
        <w:t>rubrica.</w:t>
      </w:r>
      <w:r>
        <w:rPr>
          <w:spacing w:val="-33"/>
          <w:sz w:val="20"/>
        </w:rPr>
        <w:t> </w:t>
      </w:r>
      <w:r>
        <w:rPr>
          <w:sz w:val="20"/>
        </w:rPr>
        <w:t>Tais</w:t>
      </w:r>
      <w:r>
        <w:rPr>
          <w:spacing w:val="-33"/>
          <w:sz w:val="20"/>
        </w:rPr>
        <w:t> </w:t>
      </w:r>
      <w:r>
        <w:rPr>
          <w:sz w:val="20"/>
        </w:rPr>
        <w:t>bens</w:t>
      </w:r>
      <w:r>
        <w:rPr>
          <w:spacing w:val="-33"/>
          <w:sz w:val="20"/>
        </w:rPr>
        <w:t> </w:t>
      </w:r>
      <w:r>
        <w:rPr>
          <w:sz w:val="20"/>
        </w:rPr>
        <w:t>são</w:t>
      </w:r>
      <w:r>
        <w:rPr>
          <w:spacing w:val="-33"/>
          <w:sz w:val="20"/>
        </w:rPr>
        <w:t> </w:t>
      </w:r>
      <w:r>
        <w:rPr>
          <w:sz w:val="20"/>
        </w:rPr>
        <w:t>classificados</w:t>
      </w:r>
      <w:r>
        <w:rPr>
          <w:spacing w:val="-33"/>
          <w:sz w:val="20"/>
        </w:rPr>
        <w:t> </w:t>
      </w:r>
      <w:r>
        <w:rPr>
          <w:sz w:val="20"/>
        </w:rPr>
        <w:t>nesta conta</w:t>
      </w:r>
      <w:r>
        <w:rPr>
          <w:spacing w:val="-6"/>
          <w:sz w:val="20"/>
        </w:rPr>
        <w:t> </w:t>
      </w:r>
      <w:r>
        <w:rPr>
          <w:sz w:val="20"/>
        </w:rPr>
        <w:t>até</w:t>
      </w:r>
      <w:r>
        <w:rPr>
          <w:spacing w:val="-4"/>
          <w:sz w:val="20"/>
        </w:rPr>
        <w:t> </w:t>
      </w:r>
      <w:r>
        <w:rPr>
          <w:sz w:val="20"/>
        </w:rPr>
        <w:t>que</w:t>
      </w:r>
      <w:r>
        <w:rPr>
          <w:spacing w:val="-5"/>
          <w:sz w:val="20"/>
        </w:rPr>
        <w:t> </w:t>
      </w:r>
      <w:r>
        <w:rPr>
          <w:sz w:val="20"/>
        </w:rPr>
        <w:t>sua</w:t>
      </w:r>
      <w:r>
        <w:rPr>
          <w:spacing w:val="-3"/>
          <w:sz w:val="20"/>
        </w:rPr>
        <w:t> </w:t>
      </w:r>
      <w:r>
        <w:rPr>
          <w:sz w:val="20"/>
        </w:rPr>
        <w:t>destinação</w:t>
      </w:r>
      <w:r>
        <w:rPr>
          <w:spacing w:val="-6"/>
          <w:sz w:val="20"/>
        </w:rPr>
        <w:t> </w:t>
      </w:r>
      <w:r>
        <w:rPr>
          <w:sz w:val="20"/>
        </w:rPr>
        <w:t>seja</w:t>
      </w:r>
      <w:r>
        <w:rPr>
          <w:spacing w:val="-4"/>
          <w:sz w:val="20"/>
        </w:rPr>
        <w:t> </w:t>
      </w:r>
      <w:r>
        <w:rPr>
          <w:sz w:val="20"/>
        </w:rPr>
        <w:t>definida,</w:t>
      </w:r>
      <w:r>
        <w:rPr>
          <w:spacing w:val="-4"/>
          <w:sz w:val="20"/>
        </w:rPr>
        <w:t> </w:t>
      </w:r>
      <w:r>
        <w:rPr>
          <w:sz w:val="20"/>
        </w:rPr>
        <w:t>conforme</w:t>
      </w:r>
      <w:r>
        <w:rPr>
          <w:spacing w:val="-3"/>
          <w:sz w:val="20"/>
        </w:rPr>
        <w:t> </w:t>
      </w:r>
      <w:r>
        <w:rPr>
          <w:sz w:val="20"/>
        </w:rPr>
        <w:t>os</w:t>
      </w:r>
      <w:r>
        <w:rPr>
          <w:spacing w:val="-4"/>
          <w:sz w:val="20"/>
        </w:rPr>
        <w:t> </w:t>
      </w:r>
      <w:r>
        <w:rPr>
          <w:sz w:val="20"/>
        </w:rPr>
        <w:t>critérios</w:t>
      </w:r>
      <w:r>
        <w:rPr>
          <w:spacing w:val="-4"/>
          <w:sz w:val="20"/>
        </w:rPr>
        <w:t> </w:t>
      </w:r>
      <w:r>
        <w:rPr>
          <w:sz w:val="20"/>
        </w:rPr>
        <w:t>de</w:t>
      </w:r>
      <w:r>
        <w:rPr>
          <w:spacing w:val="-4"/>
          <w:sz w:val="20"/>
        </w:rPr>
        <w:t> </w:t>
      </w:r>
      <w:r>
        <w:rPr>
          <w:sz w:val="20"/>
        </w:rPr>
        <w:t>desativação</w:t>
      </w:r>
      <w:r>
        <w:rPr>
          <w:spacing w:val="-4"/>
          <w:sz w:val="20"/>
        </w:rPr>
        <w:t> </w:t>
      </w:r>
      <w:r>
        <w:rPr>
          <w:sz w:val="20"/>
        </w:rPr>
        <w:t>estabelecidos</w:t>
      </w:r>
      <w:r>
        <w:rPr>
          <w:spacing w:val="-4"/>
          <w:sz w:val="20"/>
        </w:rPr>
        <w:t> </w:t>
      </w:r>
      <w:r>
        <w:rPr>
          <w:sz w:val="20"/>
        </w:rPr>
        <w:t>pelo</w:t>
      </w:r>
      <w:r>
        <w:rPr>
          <w:spacing w:val="-4"/>
          <w:sz w:val="20"/>
        </w:rPr>
        <w:t> </w:t>
      </w:r>
      <w:r>
        <w:rPr>
          <w:sz w:val="20"/>
        </w:rPr>
        <w:t>Órgão Regulador;</w:t>
      </w:r>
      <w:r>
        <w:rPr>
          <w:spacing w:val="-16"/>
          <w:sz w:val="20"/>
        </w:rPr>
        <w:t> </w:t>
      </w:r>
      <w:r>
        <w:rPr>
          <w:sz w:val="20"/>
        </w:rPr>
        <w:t>e</w:t>
      </w:r>
    </w:p>
    <w:p>
      <w:pPr>
        <w:pStyle w:val="ListParagraph"/>
        <w:numPr>
          <w:ilvl w:val="0"/>
          <w:numId w:val="23"/>
        </w:numPr>
        <w:tabs>
          <w:tab w:pos="531" w:val="left" w:leader="none"/>
        </w:tabs>
        <w:spacing w:line="242" w:lineRule="auto" w:before="197" w:after="0"/>
        <w:ind w:left="530" w:right="409" w:hanging="359"/>
        <w:jc w:val="both"/>
        <w:rPr>
          <w:rFonts w:ascii="Caladea" w:hAnsi="Caladea"/>
          <w:sz w:val="22"/>
        </w:rPr>
      </w:pPr>
      <w:r>
        <w:rPr>
          <w:sz w:val="20"/>
        </w:rPr>
        <w:t>Refere-se</w:t>
      </w:r>
      <w:r>
        <w:rPr>
          <w:spacing w:val="-29"/>
          <w:sz w:val="20"/>
        </w:rPr>
        <w:t> </w:t>
      </w:r>
      <w:r>
        <w:rPr>
          <w:sz w:val="20"/>
        </w:rPr>
        <w:t>a</w:t>
      </w:r>
      <w:r>
        <w:rPr>
          <w:spacing w:val="-28"/>
          <w:sz w:val="20"/>
        </w:rPr>
        <w:t> </w:t>
      </w:r>
      <w:r>
        <w:rPr>
          <w:sz w:val="20"/>
        </w:rPr>
        <w:t>valores</w:t>
      </w:r>
      <w:r>
        <w:rPr>
          <w:spacing w:val="-27"/>
          <w:sz w:val="20"/>
        </w:rPr>
        <w:t> </w:t>
      </w:r>
      <w:r>
        <w:rPr>
          <w:sz w:val="20"/>
        </w:rPr>
        <w:t>a</w:t>
      </w:r>
      <w:r>
        <w:rPr>
          <w:spacing w:val="-28"/>
          <w:sz w:val="20"/>
        </w:rPr>
        <w:t> </w:t>
      </w:r>
      <w:r>
        <w:rPr>
          <w:sz w:val="20"/>
        </w:rPr>
        <w:t>receber</w:t>
      </w:r>
      <w:r>
        <w:rPr>
          <w:spacing w:val="-28"/>
          <w:sz w:val="20"/>
        </w:rPr>
        <w:t> </w:t>
      </w:r>
      <w:r>
        <w:rPr>
          <w:sz w:val="20"/>
        </w:rPr>
        <w:t>sobre</w:t>
      </w:r>
      <w:r>
        <w:rPr>
          <w:spacing w:val="-29"/>
          <w:sz w:val="20"/>
        </w:rPr>
        <w:t> </w:t>
      </w:r>
      <w:r>
        <w:rPr>
          <w:sz w:val="20"/>
        </w:rPr>
        <w:t>a</w:t>
      </w:r>
      <w:r>
        <w:rPr>
          <w:spacing w:val="-27"/>
          <w:sz w:val="20"/>
        </w:rPr>
        <w:t> </w:t>
      </w:r>
      <w:r>
        <w:rPr>
          <w:sz w:val="20"/>
        </w:rPr>
        <w:t>venda</w:t>
      </w:r>
      <w:r>
        <w:rPr>
          <w:spacing w:val="-27"/>
          <w:sz w:val="20"/>
        </w:rPr>
        <w:t> </w:t>
      </w:r>
      <w:r>
        <w:rPr>
          <w:sz w:val="20"/>
        </w:rPr>
        <w:t>de</w:t>
      </w:r>
      <w:r>
        <w:rPr>
          <w:spacing w:val="-27"/>
          <w:sz w:val="20"/>
        </w:rPr>
        <w:t> </w:t>
      </w:r>
      <w:r>
        <w:rPr>
          <w:sz w:val="20"/>
        </w:rPr>
        <w:t>terreno</w:t>
      </w:r>
      <w:r>
        <w:rPr>
          <w:spacing w:val="-27"/>
          <w:sz w:val="20"/>
        </w:rPr>
        <w:t> </w:t>
      </w:r>
      <w:r>
        <w:rPr>
          <w:sz w:val="20"/>
        </w:rPr>
        <w:t>da</w:t>
      </w:r>
      <w:r>
        <w:rPr>
          <w:spacing w:val="-27"/>
          <w:sz w:val="20"/>
        </w:rPr>
        <w:t> </w:t>
      </w:r>
      <w:r>
        <w:rPr>
          <w:sz w:val="20"/>
        </w:rPr>
        <w:t>CEB</w:t>
      </w:r>
      <w:r>
        <w:rPr>
          <w:spacing w:val="-28"/>
          <w:sz w:val="20"/>
        </w:rPr>
        <w:t> </w:t>
      </w:r>
      <w:r>
        <w:rPr>
          <w:sz w:val="20"/>
        </w:rPr>
        <w:t>Geração</w:t>
      </w:r>
      <w:r>
        <w:rPr>
          <w:spacing w:val="-28"/>
          <w:sz w:val="20"/>
        </w:rPr>
        <w:t> </w:t>
      </w:r>
      <w:r>
        <w:rPr>
          <w:sz w:val="20"/>
        </w:rPr>
        <w:t>S.A.,</w:t>
      </w:r>
      <w:r>
        <w:rPr>
          <w:spacing w:val="-28"/>
          <w:sz w:val="20"/>
        </w:rPr>
        <w:t> </w:t>
      </w:r>
      <w:r>
        <w:rPr>
          <w:sz w:val="20"/>
        </w:rPr>
        <w:t>realizado</w:t>
      </w:r>
      <w:r>
        <w:rPr>
          <w:spacing w:val="-28"/>
          <w:sz w:val="20"/>
        </w:rPr>
        <w:t> </w:t>
      </w:r>
      <w:r>
        <w:rPr>
          <w:sz w:val="20"/>
        </w:rPr>
        <w:t>no</w:t>
      </w:r>
      <w:r>
        <w:rPr>
          <w:spacing w:val="-28"/>
          <w:sz w:val="20"/>
        </w:rPr>
        <w:t> </w:t>
      </w:r>
      <w:r>
        <w:rPr>
          <w:sz w:val="20"/>
        </w:rPr>
        <w:t>segundo</w:t>
      </w:r>
      <w:r>
        <w:rPr>
          <w:spacing w:val="-27"/>
          <w:sz w:val="20"/>
        </w:rPr>
        <w:t> </w:t>
      </w:r>
      <w:r>
        <w:rPr>
          <w:sz w:val="20"/>
        </w:rPr>
        <w:t>semestre</w:t>
      </w:r>
      <w:r>
        <w:rPr>
          <w:spacing w:val="-28"/>
          <w:sz w:val="20"/>
        </w:rPr>
        <w:t> </w:t>
      </w:r>
      <w:r>
        <w:rPr>
          <w:sz w:val="20"/>
        </w:rPr>
        <w:t>de 2018.</w:t>
      </w:r>
      <w:r>
        <w:rPr>
          <w:spacing w:val="-23"/>
          <w:sz w:val="20"/>
        </w:rPr>
        <w:t> </w:t>
      </w:r>
      <w:r>
        <w:rPr>
          <w:sz w:val="20"/>
        </w:rPr>
        <w:t>A</w:t>
      </w:r>
      <w:r>
        <w:rPr>
          <w:spacing w:val="-23"/>
          <w:sz w:val="20"/>
        </w:rPr>
        <w:t> </w:t>
      </w:r>
      <w:r>
        <w:rPr>
          <w:sz w:val="20"/>
        </w:rPr>
        <w:t>venda,</w:t>
      </w:r>
      <w:r>
        <w:rPr>
          <w:spacing w:val="-23"/>
          <w:sz w:val="20"/>
        </w:rPr>
        <w:t> </w:t>
      </w:r>
      <w:r>
        <w:rPr>
          <w:sz w:val="20"/>
        </w:rPr>
        <w:t>conforme</w:t>
      </w:r>
      <w:r>
        <w:rPr>
          <w:spacing w:val="-24"/>
          <w:sz w:val="20"/>
        </w:rPr>
        <w:t> </w:t>
      </w:r>
      <w:r>
        <w:rPr>
          <w:sz w:val="20"/>
        </w:rPr>
        <w:t>o</w:t>
      </w:r>
      <w:r>
        <w:rPr>
          <w:spacing w:val="-21"/>
          <w:sz w:val="20"/>
        </w:rPr>
        <w:t> </w:t>
      </w:r>
      <w:r>
        <w:rPr>
          <w:sz w:val="20"/>
        </w:rPr>
        <w:t>edital,</w:t>
      </w:r>
      <w:r>
        <w:rPr>
          <w:spacing w:val="-23"/>
          <w:sz w:val="20"/>
        </w:rPr>
        <w:t> </w:t>
      </w:r>
      <w:r>
        <w:rPr>
          <w:sz w:val="20"/>
        </w:rPr>
        <w:t>previa</w:t>
      </w:r>
      <w:r>
        <w:rPr>
          <w:spacing w:val="-23"/>
          <w:sz w:val="20"/>
        </w:rPr>
        <w:t> </w:t>
      </w:r>
      <w:r>
        <w:rPr>
          <w:sz w:val="20"/>
        </w:rPr>
        <w:t>o</w:t>
      </w:r>
      <w:r>
        <w:rPr>
          <w:spacing w:val="-23"/>
          <w:sz w:val="20"/>
        </w:rPr>
        <w:t> </w:t>
      </w:r>
      <w:r>
        <w:rPr>
          <w:sz w:val="20"/>
        </w:rPr>
        <w:t>recebimento</w:t>
      </w:r>
      <w:r>
        <w:rPr>
          <w:spacing w:val="-22"/>
          <w:sz w:val="20"/>
        </w:rPr>
        <w:t> </w:t>
      </w:r>
      <w:r>
        <w:rPr>
          <w:sz w:val="20"/>
        </w:rPr>
        <w:t>dos</w:t>
      </w:r>
      <w:r>
        <w:rPr>
          <w:spacing w:val="-22"/>
          <w:sz w:val="20"/>
        </w:rPr>
        <w:t> </w:t>
      </w:r>
      <w:r>
        <w:rPr>
          <w:sz w:val="20"/>
        </w:rPr>
        <w:t>valores</w:t>
      </w:r>
      <w:r>
        <w:rPr>
          <w:spacing w:val="-23"/>
          <w:sz w:val="20"/>
        </w:rPr>
        <w:t> </w:t>
      </w:r>
      <w:r>
        <w:rPr>
          <w:sz w:val="20"/>
        </w:rPr>
        <w:t>da</w:t>
      </w:r>
      <w:r>
        <w:rPr>
          <w:spacing w:val="-22"/>
          <w:sz w:val="20"/>
        </w:rPr>
        <w:t> </w:t>
      </w:r>
      <w:r>
        <w:rPr>
          <w:sz w:val="20"/>
        </w:rPr>
        <w:t>seguinte</w:t>
      </w:r>
      <w:r>
        <w:rPr>
          <w:spacing w:val="-24"/>
          <w:sz w:val="20"/>
        </w:rPr>
        <w:t> </w:t>
      </w:r>
      <w:r>
        <w:rPr>
          <w:sz w:val="20"/>
        </w:rPr>
        <w:t>forma:</w:t>
      </w:r>
      <w:r>
        <w:rPr>
          <w:spacing w:val="-23"/>
          <w:sz w:val="20"/>
        </w:rPr>
        <w:t> </w:t>
      </w:r>
      <w:r>
        <w:rPr>
          <w:sz w:val="20"/>
        </w:rPr>
        <w:t>i)</w:t>
      </w:r>
      <w:r>
        <w:rPr>
          <w:spacing w:val="-22"/>
          <w:sz w:val="20"/>
        </w:rPr>
        <w:t> </w:t>
      </w:r>
      <w:r>
        <w:rPr>
          <w:sz w:val="20"/>
        </w:rPr>
        <w:t>entrada</w:t>
      </w:r>
      <w:r>
        <w:rPr>
          <w:spacing w:val="-23"/>
          <w:sz w:val="20"/>
        </w:rPr>
        <w:t> </w:t>
      </w:r>
      <w:r>
        <w:rPr>
          <w:sz w:val="20"/>
        </w:rPr>
        <w:t>de</w:t>
      </w:r>
      <w:r>
        <w:rPr>
          <w:spacing w:val="-24"/>
          <w:sz w:val="20"/>
        </w:rPr>
        <w:t> </w:t>
      </w:r>
      <w:r>
        <w:rPr>
          <w:sz w:val="20"/>
        </w:rPr>
        <w:t>30%;</w:t>
      </w:r>
      <w:r>
        <w:rPr>
          <w:spacing w:val="-21"/>
          <w:sz w:val="20"/>
        </w:rPr>
        <w:t> </w:t>
      </w:r>
      <w:r>
        <w:rPr>
          <w:sz w:val="20"/>
        </w:rPr>
        <w:t>e</w:t>
      </w:r>
      <w:r>
        <w:rPr>
          <w:spacing w:val="-22"/>
          <w:sz w:val="20"/>
        </w:rPr>
        <w:t> </w:t>
      </w:r>
      <w:r>
        <w:rPr>
          <w:sz w:val="20"/>
        </w:rPr>
        <w:t>b) 70%</w:t>
      </w:r>
      <w:r>
        <w:rPr>
          <w:spacing w:val="-8"/>
          <w:sz w:val="20"/>
        </w:rPr>
        <w:t> </w:t>
      </w:r>
      <w:r>
        <w:rPr>
          <w:sz w:val="20"/>
        </w:rPr>
        <w:t>do</w:t>
      </w:r>
      <w:r>
        <w:rPr>
          <w:spacing w:val="-7"/>
          <w:sz w:val="20"/>
        </w:rPr>
        <w:t> </w:t>
      </w:r>
      <w:r>
        <w:rPr>
          <w:sz w:val="20"/>
        </w:rPr>
        <w:t>valor</w:t>
      </w:r>
      <w:r>
        <w:rPr>
          <w:spacing w:val="-8"/>
          <w:sz w:val="20"/>
        </w:rPr>
        <w:t> </w:t>
      </w:r>
      <w:r>
        <w:rPr>
          <w:sz w:val="20"/>
        </w:rPr>
        <w:t>divididos</w:t>
      </w:r>
      <w:r>
        <w:rPr>
          <w:spacing w:val="-4"/>
          <w:sz w:val="20"/>
        </w:rPr>
        <w:t> </w:t>
      </w:r>
      <w:r>
        <w:rPr>
          <w:sz w:val="20"/>
        </w:rPr>
        <w:t>em</w:t>
      </w:r>
      <w:r>
        <w:rPr>
          <w:spacing w:val="-6"/>
          <w:sz w:val="20"/>
        </w:rPr>
        <w:t> </w:t>
      </w:r>
      <w:r>
        <w:rPr>
          <w:sz w:val="20"/>
        </w:rPr>
        <w:t>24</w:t>
      </w:r>
      <w:r>
        <w:rPr>
          <w:spacing w:val="-7"/>
          <w:sz w:val="20"/>
        </w:rPr>
        <w:t> </w:t>
      </w:r>
      <w:r>
        <w:rPr>
          <w:sz w:val="20"/>
        </w:rPr>
        <w:t>parcelas,</w:t>
      </w:r>
      <w:r>
        <w:rPr>
          <w:spacing w:val="-7"/>
          <w:sz w:val="20"/>
        </w:rPr>
        <w:t> </w:t>
      </w:r>
      <w:r>
        <w:rPr>
          <w:sz w:val="20"/>
        </w:rPr>
        <w:t>acrescidas</w:t>
      </w:r>
      <w:r>
        <w:rPr>
          <w:spacing w:val="-7"/>
          <w:sz w:val="20"/>
        </w:rPr>
        <w:t> </w:t>
      </w:r>
      <w:r>
        <w:rPr>
          <w:sz w:val="20"/>
        </w:rPr>
        <w:t>de</w:t>
      </w:r>
      <w:r>
        <w:rPr>
          <w:spacing w:val="-7"/>
          <w:sz w:val="20"/>
        </w:rPr>
        <w:t> </w:t>
      </w:r>
      <w:r>
        <w:rPr>
          <w:sz w:val="20"/>
        </w:rPr>
        <w:t>atualização</w:t>
      </w:r>
      <w:r>
        <w:rPr>
          <w:spacing w:val="-7"/>
          <w:sz w:val="20"/>
        </w:rPr>
        <w:t> </w:t>
      </w:r>
      <w:r>
        <w:rPr>
          <w:sz w:val="20"/>
        </w:rPr>
        <w:t>monetária</w:t>
      </w:r>
      <w:r>
        <w:rPr>
          <w:spacing w:val="-7"/>
          <w:sz w:val="20"/>
        </w:rPr>
        <w:t> </w:t>
      </w:r>
      <w:r>
        <w:rPr>
          <w:sz w:val="20"/>
        </w:rPr>
        <w:t>(IGP-M).</w:t>
      </w:r>
      <w:r>
        <w:rPr>
          <w:spacing w:val="-7"/>
          <w:sz w:val="20"/>
        </w:rPr>
        <w:t> </w:t>
      </w:r>
      <w:r>
        <w:rPr>
          <w:sz w:val="20"/>
        </w:rPr>
        <w:t>Em</w:t>
      </w:r>
      <w:r>
        <w:rPr>
          <w:spacing w:val="-7"/>
          <w:sz w:val="20"/>
        </w:rPr>
        <w:t> </w:t>
      </w:r>
      <w:r>
        <w:rPr>
          <w:sz w:val="20"/>
        </w:rPr>
        <w:t>junho</w:t>
      </w:r>
      <w:r>
        <w:rPr>
          <w:spacing w:val="-8"/>
          <w:sz w:val="20"/>
        </w:rPr>
        <w:t> </w:t>
      </w:r>
      <w:r>
        <w:rPr>
          <w:sz w:val="20"/>
        </w:rPr>
        <w:t>do</w:t>
      </w:r>
      <w:r>
        <w:rPr>
          <w:spacing w:val="-7"/>
          <w:sz w:val="20"/>
        </w:rPr>
        <w:t> </w:t>
      </w:r>
      <w:r>
        <w:rPr>
          <w:sz w:val="20"/>
        </w:rPr>
        <w:t>exercício corrente,</w:t>
      </w:r>
      <w:r>
        <w:rPr>
          <w:spacing w:val="-36"/>
          <w:sz w:val="20"/>
        </w:rPr>
        <w:t> </w:t>
      </w:r>
      <w:r>
        <w:rPr>
          <w:sz w:val="20"/>
        </w:rPr>
        <w:t>tal</w:t>
      </w:r>
      <w:r>
        <w:rPr>
          <w:spacing w:val="-36"/>
          <w:sz w:val="20"/>
        </w:rPr>
        <w:t> </w:t>
      </w:r>
      <w:r>
        <w:rPr>
          <w:sz w:val="20"/>
        </w:rPr>
        <w:t>contrato</w:t>
      </w:r>
      <w:r>
        <w:rPr>
          <w:spacing w:val="-35"/>
          <w:sz w:val="20"/>
        </w:rPr>
        <w:t> </w:t>
      </w:r>
      <w:r>
        <w:rPr>
          <w:sz w:val="20"/>
        </w:rPr>
        <w:t>foi</w:t>
      </w:r>
      <w:r>
        <w:rPr>
          <w:spacing w:val="-36"/>
          <w:sz w:val="20"/>
        </w:rPr>
        <w:t> </w:t>
      </w:r>
      <w:r>
        <w:rPr>
          <w:sz w:val="20"/>
        </w:rPr>
        <w:t>repassado</w:t>
      </w:r>
      <w:r>
        <w:rPr>
          <w:spacing w:val="-37"/>
          <w:sz w:val="20"/>
        </w:rPr>
        <w:t> </w:t>
      </w:r>
      <w:r>
        <w:rPr>
          <w:sz w:val="20"/>
        </w:rPr>
        <w:t>pela</w:t>
      </w:r>
      <w:r>
        <w:rPr>
          <w:spacing w:val="-36"/>
          <w:sz w:val="20"/>
        </w:rPr>
        <w:t> </w:t>
      </w:r>
      <w:r>
        <w:rPr>
          <w:sz w:val="20"/>
        </w:rPr>
        <w:t>CEB</w:t>
      </w:r>
      <w:r>
        <w:rPr>
          <w:spacing w:val="-35"/>
          <w:sz w:val="20"/>
        </w:rPr>
        <w:t> </w:t>
      </w:r>
      <w:r>
        <w:rPr>
          <w:sz w:val="20"/>
        </w:rPr>
        <w:t>Geração</w:t>
      </w:r>
      <w:r>
        <w:rPr>
          <w:spacing w:val="-36"/>
          <w:sz w:val="20"/>
        </w:rPr>
        <w:t> </w:t>
      </w:r>
      <w:r>
        <w:rPr>
          <w:sz w:val="20"/>
        </w:rPr>
        <w:t>S.A.</w:t>
      </w:r>
      <w:r>
        <w:rPr>
          <w:spacing w:val="-37"/>
          <w:sz w:val="20"/>
        </w:rPr>
        <w:t> </w:t>
      </w:r>
      <w:r>
        <w:rPr>
          <w:sz w:val="20"/>
        </w:rPr>
        <w:t>para</w:t>
      </w:r>
      <w:r>
        <w:rPr>
          <w:spacing w:val="-35"/>
          <w:sz w:val="20"/>
        </w:rPr>
        <w:t> </w:t>
      </w:r>
      <w:r>
        <w:rPr>
          <w:sz w:val="20"/>
        </w:rPr>
        <w:t>a</w:t>
      </w:r>
      <w:r>
        <w:rPr>
          <w:spacing w:val="-36"/>
          <w:sz w:val="20"/>
        </w:rPr>
        <w:t> </w:t>
      </w:r>
      <w:r>
        <w:rPr>
          <w:sz w:val="20"/>
        </w:rPr>
        <w:t>CEB</w:t>
      </w:r>
      <w:r>
        <w:rPr>
          <w:spacing w:val="-35"/>
          <w:sz w:val="20"/>
        </w:rPr>
        <w:t> </w:t>
      </w:r>
      <w:r>
        <w:rPr>
          <w:sz w:val="20"/>
        </w:rPr>
        <w:t>como</w:t>
      </w:r>
      <w:r>
        <w:rPr>
          <w:spacing w:val="-35"/>
          <w:sz w:val="20"/>
        </w:rPr>
        <w:t> </w:t>
      </w:r>
      <w:r>
        <w:rPr>
          <w:sz w:val="20"/>
        </w:rPr>
        <w:t>forma</w:t>
      </w:r>
      <w:r>
        <w:rPr>
          <w:spacing w:val="-37"/>
          <w:sz w:val="20"/>
        </w:rPr>
        <w:t> </w:t>
      </w:r>
      <w:r>
        <w:rPr>
          <w:sz w:val="20"/>
        </w:rPr>
        <w:t>de</w:t>
      </w:r>
      <w:r>
        <w:rPr>
          <w:spacing w:val="-35"/>
          <w:sz w:val="20"/>
        </w:rPr>
        <w:t> </w:t>
      </w:r>
      <w:r>
        <w:rPr>
          <w:sz w:val="20"/>
        </w:rPr>
        <w:t>pagamento</w:t>
      </w:r>
      <w:r>
        <w:rPr>
          <w:spacing w:val="-35"/>
          <w:sz w:val="20"/>
        </w:rPr>
        <w:t> </w:t>
      </w:r>
      <w:r>
        <w:rPr>
          <w:sz w:val="20"/>
        </w:rPr>
        <w:t>dos</w:t>
      </w:r>
      <w:r>
        <w:rPr>
          <w:spacing w:val="-36"/>
          <w:sz w:val="20"/>
        </w:rPr>
        <w:t> </w:t>
      </w:r>
      <w:r>
        <w:rPr>
          <w:sz w:val="20"/>
        </w:rPr>
        <w:t>dividendos referente</w:t>
      </w:r>
      <w:r>
        <w:rPr>
          <w:spacing w:val="-18"/>
          <w:sz w:val="20"/>
        </w:rPr>
        <w:t> </w:t>
      </w:r>
      <w:r>
        <w:rPr>
          <w:sz w:val="20"/>
        </w:rPr>
        <w:t>ao</w:t>
      </w:r>
      <w:r>
        <w:rPr>
          <w:spacing w:val="-16"/>
          <w:sz w:val="20"/>
        </w:rPr>
        <w:t> </w:t>
      </w:r>
      <w:r>
        <w:rPr>
          <w:sz w:val="20"/>
        </w:rPr>
        <w:t>exercício</w:t>
      </w:r>
      <w:r>
        <w:rPr>
          <w:spacing w:val="-15"/>
          <w:sz w:val="20"/>
        </w:rPr>
        <w:t> </w:t>
      </w:r>
      <w:r>
        <w:rPr>
          <w:sz w:val="20"/>
        </w:rPr>
        <w:t>de</w:t>
      </w:r>
      <w:r>
        <w:rPr>
          <w:spacing w:val="-18"/>
          <w:sz w:val="20"/>
        </w:rPr>
        <w:t> </w:t>
      </w:r>
      <w:r>
        <w:rPr>
          <w:sz w:val="20"/>
        </w:rPr>
        <w:t>2018.</w:t>
      </w:r>
    </w:p>
    <w:p>
      <w:pPr>
        <w:pStyle w:val="BodyText"/>
      </w:pPr>
    </w:p>
    <w:p>
      <w:pPr>
        <w:pStyle w:val="Heading3"/>
        <w:numPr>
          <w:ilvl w:val="0"/>
          <w:numId w:val="6"/>
        </w:numPr>
        <w:tabs>
          <w:tab w:pos="953" w:val="left" w:leader="none"/>
          <w:tab w:pos="954" w:val="left" w:leader="none"/>
        </w:tabs>
        <w:spacing w:line="240" w:lineRule="auto" w:before="0" w:after="0"/>
        <w:ind w:left="953" w:right="0" w:hanging="782"/>
        <w:jc w:val="left"/>
      </w:pPr>
      <w:r>
        <w:rPr/>
        <w:t>DEPÓSITOS E BLOQUEIOS</w:t>
      </w:r>
      <w:r>
        <w:rPr>
          <w:spacing w:val="-3"/>
        </w:rPr>
        <w:t> </w:t>
      </w:r>
      <w:r>
        <w:rPr/>
        <w:t>JUDICIAIS</w:t>
      </w:r>
    </w:p>
    <w:p>
      <w:pPr>
        <w:pStyle w:val="BodyText"/>
        <w:spacing w:line="242" w:lineRule="auto" w:before="244"/>
        <w:ind w:left="172" w:right="407"/>
        <w:jc w:val="both"/>
      </w:pPr>
      <w:r>
        <w:rPr/>
        <w:t>Estão</w:t>
      </w:r>
      <w:r>
        <w:rPr>
          <w:spacing w:val="-46"/>
        </w:rPr>
        <w:t> </w:t>
      </w:r>
      <w:r>
        <w:rPr/>
        <w:t>classificadas</w:t>
      </w:r>
      <w:r>
        <w:rPr>
          <w:spacing w:val="-45"/>
        </w:rPr>
        <w:t> </w:t>
      </w:r>
      <w:r>
        <w:rPr/>
        <w:t>neste</w:t>
      </w:r>
      <w:r>
        <w:rPr>
          <w:spacing w:val="-45"/>
        </w:rPr>
        <w:t> </w:t>
      </w:r>
      <w:r>
        <w:rPr/>
        <w:t>grupo</w:t>
      </w:r>
      <w:r>
        <w:rPr>
          <w:spacing w:val="-45"/>
        </w:rPr>
        <w:t> </w:t>
      </w:r>
      <w:r>
        <w:rPr/>
        <w:t>as</w:t>
      </w:r>
      <w:r>
        <w:rPr>
          <w:spacing w:val="-45"/>
        </w:rPr>
        <w:t> </w:t>
      </w:r>
      <w:r>
        <w:rPr/>
        <w:t>penhoras</w:t>
      </w:r>
      <w:r>
        <w:rPr>
          <w:spacing w:val="-45"/>
        </w:rPr>
        <w:t> </w:t>
      </w:r>
      <w:r>
        <w:rPr/>
        <w:t>judiciais</w:t>
      </w:r>
      <w:r>
        <w:rPr>
          <w:spacing w:val="-45"/>
        </w:rPr>
        <w:t> </w:t>
      </w:r>
      <w:r>
        <w:rPr/>
        <w:t>efetuadas</w:t>
      </w:r>
      <w:r>
        <w:rPr>
          <w:spacing w:val="-45"/>
        </w:rPr>
        <w:t> </w:t>
      </w:r>
      <w:r>
        <w:rPr/>
        <w:t>pelas</w:t>
      </w:r>
      <w:r>
        <w:rPr>
          <w:spacing w:val="-44"/>
        </w:rPr>
        <w:t> </w:t>
      </w:r>
      <w:r>
        <w:rPr/>
        <w:t>instituições</w:t>
      </w:r>
      <w:r>
        <w:rPr>
          <w:spacing w:val="-45"/>
        </w:rPr>
        <w:t> </w:t>
      </w:r>
      <w:r>
        <w:rPr/>
        <w:t>financeiras</w:t>
      </w:r>
      <w:r>
        <w:rPr>
          <w:spacing w:val="-45"/>
        </w:rPr>
        <w:t> </w:t>
      </w:r>
      <w:r>
        <w:rPr/>
        <w:t>nas</w:t>
      </w:r>
      <w:r>
        <w:rPr>
          <w:spacing w:val="-45"/>
        </w:rPr>
        <w:t> </w:t>
      </w:r>
      <w:r>
        <w:rPr/>
        <w:t>contas-correntes</w:t>
      </w:r>
      <w:r>
        <w:rPr>
          <w:spacing w:val="-44"/>
        </w:rPr>
        <w:t> </w:t>
      </w:r>
      <w:r>
        <w:rPr/>
        <w:t>da Companhia</w:t>
      </w:r>
      <w:r>
        <w:rPr>
          <w:spacing w:val="-30"/>
        </w:rPr>
        <w:t> </w:t>
      </w:r>
      <w:r>
        <w:rPr/>
        <w:t>Energética</w:t>
      </w:r>
      <w:r>
        <w:rPr>
          <w:spacing w:val="-29"/>
        </w:rPr>
        <w:t> </w:t>
      </w:r>
      <w:r>
        <w:rPr/>
        <w:t>de</w:t>
      </w:r>
      <w:r>
        <w:rPr>
          <w:spacing w:val="-31"/>
        </w:rPr>
        <w:t> </w:t>
      </w:r>
      <w:r>
        <w:rPr/>
        <w:t>Brasília</w:t>
      </w:r>
      <w:r>
        <w:rPr>
          <w:spacing w:val="-27"/>
        </w:rPr>
        <w:t> </w:t>
      </w:r>
      <w:r>
        <w:rPr>
          <w:w w:val="105"/>
        </w:rPr>
        <w:t>–</w:t>
      </w:r>
      <w:r>
        <w:rPr>
          <w:spacing w:val="-32"/>
          <w:w w:val="105"/>
        </w:rPr>
        <w:t> </w:t>
      </w:r>
      <w:r>
        <w:rPr/>
        <w:t>CEB</w:t>
      </w:r>
      <w:r>
        <w:rPr>
          <w:spacing w:val="-30"/>
        </w:rPr>
        <w:t> </w:t>
      </w:r>
      <w:r>
        <w:rPr/>
        <w:t>e</w:t>
      </w:r>
      <w:r>
        <w:rPr>
          <w:spacing w:val="-31"/>
        </w:rPr>
        <w:t> </w:t>
      </w:r>
      <w:r>
        <w:rPr/>
        <w:t>da</w:t>
      </w:r>
      <w:r>
        <w:rPr>
          <w:spacing w:val="-30"/>
        </w:rPr>
        <w:t> </w:t>
      </w:r>
      <w:r>
        <w:rPr/>
        <w:t>controlada</w:t>
      </w:r>
      <w:r>
        <w:rPr>
          <w:spacing w:val="-28"/>
        </w:rPr>
        <w:t> </w:t>
      </w:r>
      <w:r>
        <w:rPr/>
        <w:t>CEB</w:t>
      </w:r>
      <w:r>
        <w:rPr>
          <w:spacing w:val="-30"/>
        </w:rPr>
        <w:t> </w:t>
      </w:r>
      <w:r>
        <w:rPr/>
        <w:t>DIS,</w:t>
      </w:r>
      <w:r>
        <w:rPr>
          <w:spacing w:val="-29"/>
        </w:rPr>
        <w:t> </w:t>
      </w:r>
      <w:r>
        <w:rPr/>
        <w:t>em</w:t>
      </w:r>
      <w:r>
        <w:rPr>
          <w:spacing w:val="-28"/>
        </w:rPr>
        <w:t> </w:t>
      </w:r>
      <w:r>
        <w:rPr/>
        <w:t>atendimento</w:t>
      </w:r>
      <w:r>
        <w:rPr>
          <w:spacing w:val="-30"/>
        </w:rPr>
        <w:t> </w:t>
      </w:r>
      <w:r>
        <w:rPr/>
        <w:t>ao</w:t>
      </w:r>
      <w:r>
        <w:rPr>
          <w:spacing w:val="-29"/>
        </w:rPr>
        <w:t> </w:t>
      </w:r>
      <w:r>
        <w:rPr/>
        <w:t>convênio</w:t>
      </w:r>
      <w:r>
        <w:rPr>
          <w:spacing w:val="-29"/>
        </w:rPr>
        <w:t> </w:t>
      </w:r>
      <w:r>
        <w:rPr/>
        <w:t>de</w:t>
      </w:r>
      <w:r>
        <w:rPr>
          <w:spacing w:val="-28"/>
        </w:rPr>
        <w:t> </w:t>
      </w:r>
      <w:r>
        <w:rPr/>
        <w:t>cooperação</w:t>
      </w:r>
      <w:r>
        <w:rPr>
          <w:spacing w:val="-30"/>
        </w:rPr>
        <w:t> </w:t>
      </w:r>
      <w:r>
        <w:rPr/>
        <w:t>entre o</w:t>
      </w:r>
      <w:r>
        <w:rPr>
          <w:spacing w:val="-39"/>
        </w:rPr>
        <w:t> </w:t>
      </w:r>
      <w:r>
        <w:rPr/>
        <w:t>Tribunal</w:t>
      </w:r>
      <w:r>
        <w:rPr>
          <w:spacing w:val="-37"/>
        </w:rPr>
        <w:t> </w:t>
      </w:r>
      <w:r>
        <w:rPr/>
        <w:t>Superior</w:t>
      </w:r>
      <w:r>
        <w:rPr>
          <w:spacing w:val="-38"/>
        </w:rPr>
        <w:t> </w:t>
      </w:r>
      <w:r>
        <w:rPr/>
        <w:t>do</w:t>
      </w:r>
      <w:r>
        <w:rPr>
          <w:spacing w:val="-37"/>
        </w:rPr>
        <w:t> </w:t>
      </w:r>
      <w:r>
        <w:rPr/>
        <w:t>Trabalho</w:t>
      </w:r>
      <w:r>
        <w:rPr>
          <w:spacing w:val="-38"/>
        </w:rPr>
        <w:t> </w:t>
      </w:r>
      <w:r>
        <w:rPr/>
        <w:t>e</w:t>
      </w:r>
      <w:r>
        <w:rPr>
          <w:spacing w:val="-38"/>
        </w:rPr>
        <w:t> </w:t>
      </w:r>
      <w:r>
        <w:rPr/>
        <w:t>o</w:t>
      </w:r>
      <w:r>
        <w:rPr>
          <w:spacing w:val="-37"/>
        </w:rPr>
        <w:t> </w:t>
      </w:r>
      <w:r>
        <w:rPr/>
        <w:t>Banco</w:t>
      </w:r>
      <w:r>
        <w:rPr>
          <w:spacing w:val="-38"/>
        </w:rPr>
        <w:t> </w:t>
      </w:r>
      <w:r>
        <w:rPr/>
        <w:t>Central</w:t>
      </w:r>
      <w:r>
        <w:rPr>
          <w:spacing w:val="-36"/>
        </w:rPr>
        <w:t> </w:t>
      </w:r>
      <w:r>
        <w:rPr/>
        <w:t>do</w:t>
      </w:r>
      <w:r>
        <w:rPr>
          <w:spacing w:val="-38"/>
        </w:rPr>
        <w:t> </w:t>
      </w:r>
      <w:r>
        <w:rPr/>
        <w:t>Brasil;</w:t>
      </w:r>
      <w:r>
        <w:rPr>
          <w:spacing w:val="-38"/>
        </w:rPr>
        <w:t> </w:t>
      </w:r>
      <w:r>
        <w:rPr/>
        <w:t>e</w:t>
      </w:r>
      <w:r>
        <w:rPr>
          <w:spacing w:val="-39"/>
        </w:rPr>
        <w:t> </w:t>
      </w:r>
      <w:r>
        <w:rPr/>
        <w:t>cauções</w:t>
      </w:r>
      <w:r>
        <w:rPr>
          <w:spacing w:val="-37"/>
        </w:rPr>
        <w:t> </w:t>
      </w:r>
      <w:r>
        <w:rPr/>
        <w:t>referentes</w:t>
      </w:r>
      <w:r>
        <w:rPr>
          <w:spacing w:val="-38"/>
        </w:rPr>
        <w:t> </w:t>
      </w:r>
      <w:r>
        <w:rPr/>
        <w:t>a</w:t>
      </w:r>
      <w:r>
        <w:rPr>
          <w:spacing w:val="-37"/>
        </w:rPr>
        <w:t> </w:t>
      </w:r>
      <w:r>
        <w:rPr/>
        <w:t>leilões</w:t>
      </w:r>
      <w:r>
        <w:rPr>
          <w:spacing w:val="-36"/>
        </w:rPr>
        <w:t> </w:t>
      </w:r>
      <w:r>
        <w:rPr/>
        <w:t>de</w:t>
      </w:r>
      <w:r>
        <w:rPr>
          <w:spacing w:val="-38"/>
        </w:rPr>
        <w:t> </w:t>
      </w:r>
      <w:r>
        <w:rPr/>
        <w:t>energia.</w:t>
      </w:r>
      <w:r>
        <w:rPr>
          <w:spacing w:val="-37"/>
        </w:rPr>
        <w:t> </w:t>
      </w:r>
      <w:r>
        <w:rPr/>
        <w:t>Também</w:t>
      </w:r>
      <w:r>
        <w:rPr>
          <w:spacing w:val="-38"/>
        </w:rPr>
        <w:t> </w:t>
      </w:r>
      <w:r>
        <w:rPr/>
        <w:t>estão registrados</w:t>
      </w:r>
      <w:r>
        <w:rPr>
          <w:spacing w:val="-19"/>
        </w:rPr>
        <w:t> </w:t>
      </w:r>
      <w:r>
        <w:rPr/>
        <w:t>os</w:t>
      </w:r>
      <w:r>
        <w:rPr>
          <w:spacing w:val="-17"/>
        </w:rPr>
        <w:t> </w:t>
      </w:r>
      <w:r>
        <w:rPr/>
        <w:t>depósitos</w:t>
      </w:r>
      <w:r>
        <w:rPr>
          <w:spacing w:val="-19"/>
        </w:rPr>
        <w:t> </w:t>
      </w:r>
      <w:r>
        <w:rPr/>
        <w:t>recursais</w:t>
      </w:r>
      <w:r>
        <w:rPr>
          <w:spacing w:val="-19"/>
        </w:rPr>
        <w:t> </w:t>
      </w:r>
      <w:r>
        <w:rPr/>
        <w:t>que</w:t>
      </w:r>
      <w:r>
        <w:rPr>
          <w:spacing w:val="-21"/>
        </w:rPr>
        <w:t> </w:t>
      </w:r>
      <w:r>
        <w:rPr/>
        <w:t>são</w:t>
      </w:r>
      <w:r>
        <w:rPr>
          <w:spacing w:val="-20"/>
        </w:rPr>
        <w:t> </w:t>
      </w:r>
      <w:r>
        <w:rPr/>
        <w:t>oriundos</w:t>
      </w:r>
      <w:r>
        <w:rPr>
          <w:spacing w:val="-19"/>
        </w:rPr>
        <w:t> </w:t>
      </w:r>
      <w:r>
        <w:rPr/>
        <w:t>das</w:t>
      </w:r>
      <w:r>
        <w:rPr>
          <w:spacing w:val="-17"/>
        </w:rPr>
        <w:t> </w:t>
      </w:r>
      <w:r>
        <w:rPr/>
        <w:t>demandas</w:t>
      </w:r>
      <w:r>
        <w:rPr>
          <w:spacing w:val="-19"/>
        </w:rPr>
        <w:t> </w:t>
      </w:r>
      <w:r>
        <w:rPr/>
        <w:t>judiciais.</w:t>
      </w:r>
    </w:p>
    <w:p>
      <w:pPr>
        <w:pStyle w:val="BodyText"/>
        <w:spacing w:before="4"/>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76"/>
        <w:gridCol w:w="1315"/>
        <w:gridCol w:w="1226"/>
        <w:gridCol w:w="1227"/>
        <w:gridCol w:w="1224"/>
      </w:tblGrid>
      <w:tr>
        <w:trPr>
          <w:trHeight w:val="239" w:hRule="atLeast"/>
        </w:trPr>
        <w:tc>
          <w:tcPr>
            <w:tcW w:w="4976" w:type="dxa"/>
            <w:vMerge w:val="restart"/>
            <w:shd w:val="clear" w:color="auto" w:fill="D9D9D9"/>
          </w:tcPr>
          <w:p>
            <w:pPr>
              <w:pStyle w:val="TableParagraph"/>
              <w:rPr>
                <w:rFonts w:ascii="Times New Roman"/>
                <w:sz w:val="18"/>
              </w:rPr>
            </w:pPr>
          </w:p>
        </w:tc>
        <w:tc>
          <w:tcPr>
            <w:tcW w:w="2541" w:type="dxa"/>
            <w:gridSpan w:val="2"/>
          </w:tcPr>
          <w:p>
            <w:pPr>
              <w:pStyle w:val="TableParagraph"/>
              <w:spacing w:before="37"/>
              <w:ind w:left="840"/>
              <w:rPr>
                <w:rFonts w:ascii="Caladea"/>
                <w:b/>
                <w:sz w:val="14"/>
              </w:rPr>
            </w:pPr>
            <w:r>
              <w:rPr>
                <w:rFonts w:ascii="Caladea"/>
                <w:b/>
                <w:sz w:val="14"/>
              </w:rPr>
              <w:t>Controladora</w:t>
            </w:r>
          </w:p>
        </w:tc>
        <w:tc>
          <w:tcPr>
            <w:tcW w:w="2451" w:type="dxa"/>
            <w:gridSpan w:val="2"/>
          </w:tcPr>
          <w:p>
            <w:pPr>
              <w:pStyle w:val="TableParagraph"/>
              <w:spacing w:before="37"/>
              <w:ind w:left="807" w:right="795"/>
              <w:jc w:val="center"/>
              <w:rPr>
                <w:rFonts w:ascii="Caladea"/>
                <w:b/>
                <w:sz w:val="14"/>
              </w:rPr>
            </w:pPr>
            <w:r>
              <w:rPr>
                <w:rFonts w:ascii="Caladea"/>
                <w:b/>
                <w:sz w:val="14"/>
              </w:rPr>
              <w:t>Consolidado</w:t>
            </w:r>
          </w:p>
        </w:tc>
      </w:tr>
      <w:tr>
        <w:trPr>
          <w:trHeight w:val="237" w:hRule="atLeast"/>
        </w:trPr>
        <w:tc>
          <w:tcPr>
            <w:tcW w:w="4976" w:type="dxa"/>
            <w:vMerge/>
            <w:tcBorders>
              <w:top w:val="nil"/>
            </w:tcBorders>
            <w:shd w:val="clear" w:color="auto" w:fill="D9D9D9"/>
          </w:tcPr>
          <w:p>
            <w:pPr>
              <w:rPr>
                <w:sz w:val="2"/>
                <w:szCs w:val="2"/>
              </w:rPr>
            </w:pPr>
          </w:p>
        </w:tc>
        <w:tc>
          <w:tcPr>
            <w:tcW w:w="1315" w:type="dxa"/>
          </w:tcPr>
          <w:p>
            <w:pPr>
              <w:pStyle w:val="TableParagraph"/>
              <w:spacing w:before="35"/>
              <w:ind w:left="254"/>
              <w:rPr>
                <w:rFonts w:ascii="Caladea"/>
                <w:b/>
                <w:sz w:val="14"/>
              </w:rPr>
            </w:pPr>
            <w:r>
              <w:rPr>
                <w:rFonts w:ascii="Caladea"/>
                <w:b/>
                <w:sz w:val="14"/>
              </w:rPr>
              <w:t>31/12/2019</w:t>
            </w:r>
          </w:p>
        </w:tc>
        <w:tc>
          <w:tcPr>
            <w:tcW w:w="1226" w:type="dxa"/>
          </w:tcPr>
          <w:p>
            <w:pPr>
              <w:pStyle w:val="TableParagraph"/>
              <w:spacing w:before="35"/>
              <w:ind w:left="211"/>
              <w:rPr>
                <w:rFonts w:ascii="Caladea"/>
                <w:b/>
                <w:sz w:val="14"/>
              </w:rPr>
            </w:pPr>
            <w:r>
              <w:rPr>
                <w:rFonts w:ascii="Caladea"/>
                <w:b/>
                <w:sz w:val="14"/>
              </w:rPr>
              <w:t>31/12/2018</w:t>
            </w:r>
          </w:p>
        </w:tc>
        <w:tc>
          <w:tcPr>
            <w:tcW w:w="1227" w:type="dxa"/>
          </w:tcPr>
          <w:p>
            <w:pPr>
              <w:pStyle w:val="TableParagraph"/>
              <w:spacing w:before="35"/>
              <w:ind w:left="212"/>
              <w:rPr>
                <w:rFonts w:ascii="Caladea"/>
                <w:b/>
                <w:sz w:val="14"/>
              </w:rPr>
            </w:pPr>
            <w:r>
              <w:rPr>
                <w:rFonts w:ascii="Caladea"/>
                <w:b/>
                <w:sz w:val="14"/>
              </w:rPr>
              <w:t>31/12/2019</w:t>
            </w:r>
          </w:p>
        </w:tc>
        <w:tc>
          <w:tcPr>
            <w:tcW w:w="1224" w:type="dxa"/>
          </w:tcPr>
          <w:p>
            <w:pPr>
              <w:pStyle w:val="TableParagraph"/>
              <w:spacing w:before="35"/>
              <w:ind w:left="209"/>
              <w:rPr>
                <w:rFonts w:ascii="Caladea"/>
                <w:b/>
                <w:sz w:val="14"/>
              </w:rPr>
            </w:pPr>
            <w:r>
              <w:rPr>
                <w:rFonts w:ascii="Caladea"/>
                <w:b/>
                <w:sz w:val="14"/>
              </w:rPr>
              <w:t>31/12/2018</w:t>
            </w:r>
          </w:p>
        </w:tc>
      </w:tr>
      <w:tr>
        <w:trPr>
          <w:trHeight w:val="239" w:hRule="atLeast"/>
        </w:trPr>
        <w:tc>
          <w:tcPr>
            <w:tcW w:w="4976" w:type="dxa"/>
          </w:tcPr>
          <w:p>
            <w:pPr>
              <w:pStyle w:val="TableParagraph"/>
              <w:spacing w:before="38"/>
              <w:ind w:left="72"/>
              <w:rPr>
                <w:sz w:val="14"/>
              </w:rPr>
            </w:pPr>
            <w:r>
              <w:rPr>
                <w:sz w:val="14"/>
              </w:rPr>
              <w:t>Bloqueios Judiciais</w:t>
            </w:r>
          </w:p>
        </w:tc>
        <w:tc>
          <w:tcPr>
            <w:tcW w:w="1315" w:type="dxa"/>
          </w:tcPr>
          <w:p>
            <w:pPr>
              <w:pStyle w:val="TableParagraph"/>
              <w:rPr>
                <w:rFonts w:ascii="Times New Roman"/>
                <w:sz w:val="16"/>
              </w:rPr>
            </w:pPr>
          </w:p>
        </w:tc>
        <w:tc>
          <w:tcPr>
            <w:tcW w:w="1226" w:type="dxa"/>
          </w:tcPr>
          <w:p>
            <w:pPr>
              <w:pStyle w:val="TableParagraph"/>
              <w:rPr>
                <w:rFonts w:ascii="Times New Roman"/>
                <w:sz w:val="16"/>
              </w:rPr>
            </w:pPr>
          </w:p>
        </w:tc>
        <w:tc>
          <w:tcPr>
            <w:tcW w:w="1227" w:type="dxa"/>
          </w:tcPr>
          <w:p>
            <w:pPr>
              <w:pStyle w:val="TableParagraph"/>
              <w:spacing w:before="38"/>
              <w:ind w:right="58"/>
              <w:jc w:val="right"/>
              <w:rPr>
                <w:sz w:val="14"/>
              </w:rPr>
            </w:pPr>
            <w:r>
              <w:rPr>
                <w:w w:val="95"/>
                <w:sz w:val="14"/>
              </w:rPr>
              <w:t>3.803</w:t>
            </w:r>
          </w:p>
        </w:tc>
        <w:tc>
          <w:tcPr>
            <w:tcW w:w="1224" w:type="dxa"/>
          </w:tcPr>
          <w:p>
            <w:pPr>
              <w:pStyle w:val="TableParagraph"/>
              <w:spacing w:before="38"/>
              <w:ind w:right="58"/>
              <w:jc w:val="right"/>
              <w:rPr>
                <w:sz w:val="14"/>
              </w:rPr>
            </w:pPr>
            <w:r>
              <w:rPr>
                <w:w w:val="95"/>
                <w:sz w:val="14"/>
              </w:rPr>
              <w:t>3.803</w:t>
            </w:r>
          </w:p>
        </w:tc>
      </w:tr>
      <w:tr>
        <w:trPr>
          <w:trHeight w:val="239" w:hRule="atLeast"/>
        </w:trPr>
        <w:tc>
          <w:tcPr>
            <w:tcW w:w="4976" w:type="dxa"/>
          </w:tcPr>
          <w:p>
            <w:pPr>
              <w:pStyle w:val="TableParagraph"/>
              <w:spacing w:before="38"/>
              <w:ind w:left="72"/>
              <w:rPr>
                <w:sz w:val="14"/>
              </w:rPr>
            </w:pPr>
            <w:r>
              <w:rPr>
                <w:sz w:val="14"/>
              </w:rPr>
              <w:t>Cauções</w:t>
            </w:r>
          </w:p>
        </w:tc>
        <w:tc>
          <w:tcPr>
            <w:tcW w:w="1315" w:type="dxa"/>
          </w:tcPr>
          <w:p>
            <w:pPr>
              <w:pStyle w:val="TableParagraph"/>
              <w:spacing w:before="38"/>
              <w:ind w:right="59"/>
              <w:jc w:val="right"/>
              <w:rPr>
                <w:sz w:val="14"/>
              </w:rPr>
            </w:pPr>
            <w:r>
              <w:rPr>
                <w:sz w:val="14"/>
              </w:rPr>
              <w:t>111</w:t>
            </w:r>
          </w:p>
        </w:tc>
        <w:tc>
          <w:tcPr>
            <w:tcW w:w="1226" w:type="dxa"/>
          </w:tcPr>
          <w:p>
            <w:pPr>
              <w:pStyle w:val="TableParagraph"/>
              <w:spacing w:before="38"/>
              <w:ind w:right="60"/>
              <w:jc w:val="right"/>
              <w:rPr>
                <w:sz w:val="14"/>
              </w:rPr>
            </w:pPr>
            <w:r>
              <w:rPr>
                <w:sz w:val="14"/>
              </w:rPr>
              <w:t>111</w:t>
            </w:r>
          </w:p>
        </w:tc>
        <w:tc>
          <w:tcPr>
            <w:tcW w:w="1227" w:type="dxa"/>
          </w:tcPr>
          <w:p>
            <w:pPr>
              <w:pStyle w:val="TableParagraph"/>
              <w:spacing w:before="38"/>
              <w:ind w:right="60"/>
              <w:jc w:val="right"/>
              <w:rPr>
                <w:sz w:val="14"/>
              </w:rPr>
            </w:pPr>
            <w:r>
              <w:rPr>
                <w:w w:val="105"/>
                <w:sz w:val="14"/>
              </w:rPr>
              <w:t>121</w:t>
            </w:r>
          </w:p>
        </w:tc>
        <w:tc>
          <w:tcPr>
            <w:tcW w:w="1224" w:type="dxa"/>
          </w:tcPr>
          <w:p>
            <w:pPr>
              <w:pStyle w:val="TableParagraph"/>
              <w:spacing w:before="38"/>
              <w:ind w:right="58"/>
              <w:jc w:val="right"/>
              <w:rPr>
                <w:sz w:val="14"/>
              </w:rPr>
            </w:pPr>
            <w:r>
              <w:rPr>
                <w:w w:val="95"/>
                <w:sz w:val="14"/>
              </w:rPr>
              <w:t>2.552</w:t>
            </w:r>
          </w:p>
        </w:tc>
      </w:tr>
      <w:tr>
        <w:trPr>
          <w:trHeight w:val="239" w:hRule="atLeast"/>
        </w:trPr>
        <w:tc>
          <w:tcPr>
            <w:tcW w:w="4976" w:type="dxa"/>
          </w:tcPr>
          <w:p>
            <w:pPr>
              <w:pStyle w:val="TableParagraph"/>
              <w:spacing w:before="37"/>
              <w:ind w:left="72"/>
              <w:rPr>
                <w:rFonts w:ascii="Caladea" w:hAnsi="Caladea"/>
                <w:b/>
                <w:sz w:val="14"/>
              </w:rPr>
            </w:pPr>
            <w:r>
              <w:rPr>
                <w:sz w:val="14"/>
              </w:rPr>
              <w:t>Depósitos Recursais </w:t>
            </w:r>
            <w:r>
              <w:rPr>
                <w:rFonts w:ascii="Caladea" w:hAnsi="Caladea"/>
                <w:b/>
                <w:sz w:val="14"/>
              </w:rPr>
              <w:t>(a)</w:t>
            </w:r>
          </w:p>
        </w:tc>
        <w:tc>
          <w:tcPr>
            <w:tcW w:w="1315" w:type="dxa"/>
          </w:tcPr>
          <w:p>
            <w:pPr>
              <w:pStyle w:val="TableParagraph"/>
              <w:spacing w:before="38"/>
              <w:ind w:right="59"/>
              <w:jc w:val="right"/>
              <w:rPr>
                <w:sz w:val="14"/>
              </w:rPr>
            </w:pPr>
            <w:r>
              <w:rPr>
                <w:w w:val="95"/>
                <w:sz w:val="14"/>
              </w:rPr>
              <w:t>5.893</w:t>
            </w:r>
          </w:p>
        </w:tc>
        <w:tc>
          <w:tcPr>
            <w:tcW w:w="1226" w:type="dxa"/>
          </w:tcPr>
          <w:p>
            <w:pPr>
              <w:pStyle w:val="TableParagraph"/>
              <w:spacing w:before="38"/>
              <w:ind w:right="60"/>
              <w:jc w:val="right"/>
              <w:rPr>
                <w:sz w:val="14"/>
              </w:rPr>
            </w:pPr>
            <w:r>
              <w:rPr>
                <w:sz w:val="14"/>
              </w:rPr>
              <w:t>150</w:t>
            </w:r>
          </w:p>
        </w:tc>
        <w:tc>
          <w:tcPr>
            <w:tcW w:w="1227" w:type="dxa"/>
          </w:tcPr>
          <w:p>
            <w:pPr>
              <w:pStyle w:val="TableParagraph"/>
              <w:spacing w:before="38"/>
              <w:ind w:right="56"/>
              <w:jc w:val="right"/>
              <w:rPr>
                <w:sz w:val="14"/>
              </w:rPr>
            </w:pPr>
            <w:r>
              <w:rPr>
                <w:w w:val="95"/>
                <w:sz w:val="14"/>
              </w:rPr>
              <w:t>24.702</w:t>
            </w:r>
          </w:p>
        </w:tc>
        <w:tc>
          <w:tcPr>
            <w:tcW w:w="1224" w:type="dxa"/>
          </w:tcPr>
          <w:p>
            <w:pPr>
              <w:pStyle w:val="TableParagraph"/>
              <w:spacing w:before="38"/>
              <w:ind w:right="58"/>
              <w:jc w:val="right"/>
              <w:rPr>
                <w:sz w:val="14"/>
              </w:rPr>
            </w:pPr>
            <w:r>
              <w:rPr>
                <w:w w:val="95"/>
                <w:sz w:val="14"/>
              </w:rPr>
              <w:t>11.145</w:t>
            </w:r>
          </w:p>
        </w:tc>
      </w:tr>
      <w:tr>
        <w:trPr>
          <w:trHeight w:val="237" w:hRule="atLeast"/>
        </w:trPr>
        <w:tc>
          <w:tcPr>
            <w:tcW w:w="4976" w:type="dxa"/>
          </w:tcPr>
          <w:p>
            <w:pPr>
              <w:pStyle w:val="TableParagraph"/>
              <w:spacing w:before="34"/>
              <w:ind w:left="72"/>
              <w:rPr>
                <w:rFonts w:ascii="Caladea"/>
                <w:b/>
                <w:sz w:val="14"/>
              </w:rPr>
            </w:pPr>
            <w:r>
              <w:rPr>
                <w:rFonts w:ascii="Caladea"/>
                <w:b/>
                <w:sz w:val="14"/>
              </w:rPr>
              <w:t>Total</w:t>
            </w:r>
          </w:p>
        </w:tc>
        <w:tc>
          <w:tcPr>
            <w:tcW w:w="1315" w:type="dxa"/>
          </w:tcPr>
          <w:p>
            <w:pPr>
              <w:pStyle w:val="TableParagraph"/>
              <w:spacing w:before="34"/>
              <w:ind w:right="59"/>
              <w:jc w:val="right"/>
              <w:rPr>
                <w:rFonts w:ascii="Caladea"/>
                <w:b/>
                <w:sz w:val="14"/>
              </w:rPr>
            </w:pPr>
            <w:r>
              <w:rPr>
                <w:rFonts w:ascii="Caladea"/>
                <w:b/>
                <w:w w:val="95"/>
                <w:sz w:val="14"/>
              </w:rPr>
              <w:t>6.004</w:t>
            </w:r>
          </w:p>
        </w:tc>
        <w:tc>
          <w:tcPr>
            <w:tcW w:w="1226" w:type="dxa"/>
          </w:tcPr>
          <w:p>
            <w:pPr>
              <w:pStyle w:val="TableParagraph"/>
              <w:spacing w:before="34"/>
              <w:ind w:right="58"/>
              <w:jc w:val="right"/>
              <w:rPr>
                <w:rFonts w:ascii="Caladea"/>
                <w:b/>
                <w:sz w:val="14"/>
              </w:rPr>
            </w:pPr>
            <w:r>
              <w:rPr>
                <w:rFonts w:ascii="Caladea"/>
                <w:b/>
                <w:sz w:val="14"/>
              </w:rPr>
              <w:t>261</w:t>
            </w:r>
          </w:p>
        </w:tc>
        <w:tc>
          <w:tcPr>
            <w:tcW w:w="1227" w:type="dxa"/>
          </w:tcPr>
          <w:p>
            <w:pPr>
              <w:pStyle w:val="TableParagraph"/>
              <w:spacing w:before="34"/>
              <w:ind w:right="56"/>
              <w:jc w:val="right"/>
              <w:rPr>
                <w:rFonts w:ascii="Caladea"/>
                <w:b/>
                <w:sz w:val="14"/>
              </w:rPr>
            </w:pPr>
            <w:r>
              <w:rPr>
                <w:rFonts w:ascii="Caladea"/>
                <w:b/>
                <w:sz w:val="14"/>
              </w:rPr>
              <w:t>28.626</w:t>
            </w:r>
          </w:p>
        </w:tc>
        <w:tc>
          <w:tcPr>
            <w:tcW w:w="1224" w:type="dxa"/>
          </w:tcPr>
          <w:p>
            <w:pPr>
              <w:pStyle w:val="TableParagraph"/>
              <w:spacing w:before="34"/>
              <w:ind w:right="58"/>
              <w:jc w:val="right"/>
              <w:rPr>
                <w:rFonts w:ascii="Caladea"/>
                <w:b/>
                <w:sz w:val="14"/>
              </w:rPr>
            </w:pPr>
            <w:r>
              <w:rPr>
                <w:rFonts w:ascii="Caladea"/>
                <w:b/>
                <w:sz w:val="14"/>
              </w:rPr>
              <w:t>17.500</w:t>
            </w:r>
          </w:p>
        </w:tc>
      </w:tr>
      <w:tr>
        <w:trPr>
          <w:trHeight w:val="239" w:hRule="atLeast"/>
        </w:trPr>
        <w:tc>
          <w:tcPr>
            <w:tcW w:w="4976" w:type="dxa"/>
          </w:tcPr>
          <w:p>
            <w:pPr>
              <w:pStyle w:val="TableParagraph"/>
              <w:spacing w:before="37"/>
              <w:ind w:left="72"/>
              <w:rPr>
                <w:rFonts w:ascii="Caladea"/>
                <w:b/>
                <w:sz w:val="14"/>
              </w:rPr>
            </w:pPr>
            <w:r>
              <w:rPr>
                <w:rFonts w:ascii="Caladea"/>
                <w:b/>
                <w:sz w:val="14"/>
              </w:rPr>
              <w:t>Circulante</w:t>
            </w:r>
          </w:p>
        </w:tc>
        <w:tc>
          <w:tcPr>
            <w:tcW w:w="1315" w:type="dxa"/>
          </w:tcPr>
          <w:p>
            <w:pPr>
              <w:pStyle w:val="TableParagraph"/>
              <w:spacing w:before="37"/>
              <w:ind w:right="58"/>
              <w:jc w:val="right"/>
              <w:rPr>
                <w:rFonts w:ascii="Caladea"/>
                <w:b/>
                <w:sz w:val="14"/>
              </w:rPr>
            </w:pPr>
            <w:r>
              <w:rPr>
                <w:rFonts w:ascii="Caladea"/>
                <w:b/>
                <w:sz w:val="14"/>
              </w:rPr>
              <w:t>111</w:t>
            </w:r>
          </w:p>
        </w:tc>
        <w:tc>
          <w:tcPr>
            <w:tcW w:w="1226" w:type="dxa"/>
          </w:tcPr>
          <w:p>
            <w:pPr>
              <w:pStyle w:val="TableParagraph"/>
              <w:spacing w:before="37"/>
              <w:ind w:right="58"/>
              <w:jc w:val="right"/>
              <w:rPr>
                <w:rFonts w:ascii="Caladea"/>
                <w:b/>
                <w:sz w:val="14"/>
              </w:rPr>
            </w:pPr>
            <w:r>
              <w:rPr>
                <w:rFonts w:ascii="Caladea"/>
                <w:b/>
                <w:sz w:val="14"/>
              </w:rPr>
              <w:t>111</w:t>
            </w:r>
          </w:p>
        </w:tc>
        <w:tc>
          <w:tcPr>
            <w:tcW w:w="1227" w:type="dxa"/>
          </w:tcPr>
          <w:p>
            <w:pPr>
              <w:pStyle w:val="TableParagraph"/>
              <w:spacing w:before="37"/>
              <w:ind w:right="55"/>
              <w:jc w:val="right"/>
              <w:rPr>
                <w:rFonts w:ascii="Caladea"/>
                <w:b/>
                <w:sz w:val="14"/>
              </w:rPr>
            </w:pPr>
            <w:r>
              <w:rPr>
                <w:rFonts w:ascii="Caladea"/>
                <w:b/>
                <w:sz w:val="14"/>
              </w:rPr>
              <w:t>121</w:t>
            </w:r>
          </w:p>
        </w:tc>
        <w:tc>
          <w:tcPr>
            <w:tcW w:w="1224" w:type="dxa"/>
          </w:tcPr>
          <w:p>
            <w:pPr>
              <w:pStyle w:val="TableParagraph"/>
              <w:spacing w:before="37"/>
              <w:ind w:right="58"/>
              <w:jc w:val="right"/>
              <w:rPr>
                <w:rFonts w:ascii="Caladea"/>
                <w:b/>
                <w:sz w:val="14"/>
              </w:rPr>
            </w:pPr>
            <w:r>
              <w:rPr>
                <w:rFonts w:ascii="Caladea"/>
                <w:b/>
                <w:w w:val="95"/>
                <w:sz w:val="14"/>
              </w:rPr>
              <w:t>2.552</w:t>
            </w:r>
          </w:p>
        </w:tc>
      </w:tr>
      <w:tr>
        <w:trPr>
          <w:trHeight w:val="239" w:hRule="atLeast"/>
        </w:trPr>
        <w:tc>
          <w:tcPr>
            <w:tcW w:w="4976" w:type="dxa"/>
          </w:tcPr>
          <w:p>
            <w:pPr>
              <w:pStyle w:val="TableParagraph"/>
              <w:spacing w:before="37"/>
              <w:ind w:left="72"/>
              <w:rPr>
                <w:rFonts w:ascii="Caladea" w:hAnsi="Caladea"/>
                <w:b/>
                <w:sz w:val="14"/>
              </w:rPr>
            </w:pPr>
            <w:r>
              <w:rPr>
                <w:rFonts w:ascii="Caladea" w:hAnsi="Caladea"/>
                <w:b/>
                <w:sz w:val="14"/>
              </w:rPr>
              <w:t>Não Circulante</w:t>
            </w:r>
          </w:p>
        </w:tc>
        <w:tc>
          <w:tcPr>
            <w:tcW w:w="1315" w:type="dxa"/>
          </w:tcPr>
          <w:p>
            <w:pPr>
              <w:pStyle w:val="TableParagraph"/>
              <w:spacing w:before="37"/>
              <w:ind w:right="59"/>
              <w:jc w:val="right"/>
              <w:rPr>
                <w:rFonts w:ascii="Caladea"/>
                <w:b/>
                <w:sz w:val="14"/>
              </w:rPr>
            </w:pPr>
            <w:r>
              <w:rPr>
                <w:rFonts w:ascii="Caladea"/>
                <w:b/>
                <w:w w:val="95"/>
                <w:sz w:val="14"/>
              </w:rPr>
              <w:t>5.893</w:t>
            </w:r>
          </w:p>
        </w:tc>
        <w:tc>
          <w:tcPr>
            <w:tcW w:w="1226" w:type="dxa"/>
          </w:tcPr>
          <w:p>
            <w:pPr>
              <w:pStyle w:val="TableParagraph"/>
              <w:spacing w:before="37"/>
              <w:ind w:right="58"/>
              <w:jc w:val="right"/>
              <w:rPr>
                <w:rFonts w:ascii="Caladea"/>
                <w:b/>
                <w:sz w:val="14"/>
              </w:rPr>
            </w:pPr>
            <w:r>
              <w:rPr>
                <w:rFonts w:ascii="Caladea"/>
                <w:b/>
                <w:sz w:val="14"/>
              </w:rPr>
              <w:t>150</w:t>
            </w:r>
          </w:p>
        </w:tc>
        <w:tc>
          <w:tcPr>
            <w:tcW w:w="1227" w:type="dxa"/>
          </w:tcPr>
          <w:p>
            <w:pPr>
              <w:pStyle w:val="TableParagraph"/>
              <w:spacing w:before="37"/>
              <w:ind w:right="56"/>
              <w:jc w:val="right"/>
              <w:rPr>
                <w:rFonts w:ascii="Caladea"/>
                <w:b/>
                <w:sz w:val="14"/>
              </w:rPr>
            </w:pPr>
            <w:r>
              <w:rPr>
                <w:rFonts w:ascii="Caladea"/>
                <w:b/>
                <w:sz w:val="14"/>
              </w:rPr>
              <w:t>28.505</w:t>
            </w:r>
          </w:p>
        </w:tc>
        <w:tc>
          <w:tcPr>
            <w:tcW w:w="1224" w:type="dxa"/>
          </w:tcPr>
          <w:p>
            <w:pPr>
              <w:pStyle w:val="TableParagraph"/>
              <w:spacing w:before="37"/>
              <w:ind w:right="58"/>
              <w:jc w:val="right"/>
              <w:rPr>
                <w:rFonts w:ascii="Caladea"/>
                <w:b/>
                <w:sz w:val="14"/>
              </w:rPr>
            </w:pPr>
            <w:r>
              <w:rPr>
                <w:rFonts w:ascii="Caladea"/>
                <w:b/>
                <w:sz w:val="14"/>
              </w:rPr>
              <w:t>14.948</w:t>
            </w:r>
          </w:p>
        </w:tc>
      </w:tr>
    </w:tbl>
    <w:p>
      <w:pPr>
        <w:pStyle w:val="BodyText"/>
        <w:spacing w:before="9"/>
      </w:pPr>
    </w:p>
    <w:p>
      <w:pPr>
        <w:pStyle w:val="BodyText"/>
        <w:spacing w:line="242" w:lineRule="auto"/>
        <w:ind w:left="172"/>
      </w:pPr>
      <w:r>
        <w:rPr>
          <w:rFonts w:ascii="Caladea" w:hAnsi="Caladea"/>
          <w:b/>
        </w:rPr>
        <w:t>(a)</w:t>
      </w:r>
      <w:r>
        <w:rPr>
          <w:rFonts w:ascii="Caladea" w:hAnsi="Caladea"/>
          <w:b/>
          <w:spacing w:val="-12"/>
        </w:rPr>
        <w:t> </w:t>
      </w:r>
      <w:r>
        <w:rPr/>
        <w:t>Processos</w:t>
      </w:r>
      <w:r>
        <w:rPr>
          <w:spacing w:val="-27"/>
        </w:rPr>
        <w:t> </w:t>
      </w:r>
      <w:r>
        <w:rPr/>
        <w:t>Judiciais</w:t>
      </w:r>
      <w:r>
        <w:rPr>
          <w:spacing w:val="-28"/>
        </w:rPr>
        <w:t> </w:t>
      </w:r>
      <w:r>
        <w:rPr/>
        <w:t>relacionados</w:t>
      </w:r>
      <w:r>
        <w:rPr>
          <w:spacing w:val="-28"/>
        </w:rPr>
        <w:t> </w:t>
      </w:r>
      <w:r>
        <w:rPr/>
        <w:t>à</w:t>
      </w:r>
      <w:r>
        <w:rPr>
          <w:spacing w:val="-28"/>
        </w:rPr>
        <w:t> </w:t>
      </w:r>
      <w:r>
        <w:rPr/>
        <w:t>Ações</w:t>
      </w:r>
      <w:r>
        <w:rPr>
          <w:spacing w:val="-30"/>
        </w:rPr>
        <w:t> </w:t>
      </w:r>
      <w:r>
        <w:rPr/>
        <w:t>Anulatórias</w:t>
      </w:r>
      <w:r>
        <w:rPr>
          <w:spacing w:val="-27"/>
        </w:rPr>
        <w:t> </w:t>
      </w:r>
      <w:r>
        <w:rPr/>
        <w:t>de</w:t>
      </w:r>
      <w:r>
        <w:rPr>
          <w:spacing w:val="-30"/>
        </w:rPr>
        <w:t> </w:t>
      </w:r>
      <w:r>
        <w:rPr/>
        <w:t>Autos</w:t>
      </w:r>
      <w:r>
        <w:rPr>
          <w:spacing w:val="-28"/>
        </w:rPr>
        <w:t> </w:t>
      </w:r>
      <w:r>
        <w:rPr/>
        <w:t>de</w:t>
      </w:r>
      <w:r>
        <w:rPr>
          <w:spacing w:val="-28"/>
        </w:rPr>
        <w:t> </w:t>
      </w:r>
      <w:r>
        <w:rPr/>
        <w:t>Infração</w:t>
      </w:r>
      <w:r>
        <w:rPr>
          <w:spacing w:val="-28"/>
        </w:rPr>
        <w:t> </w:t>
      </w:r>
      <w:r>
        <w:rPr/>
        <w:t>da</w:t>
      </w:r>
      <w:r>
        <w:rPr>
          <w:spacing w:val="-29"/>
        </w:rPr>
        <w:t> </w:t>
      </w:r>
      <w:r>
        <w:rPr/>
        <w:t>ANEEL,</w:t>
      </w:r>
      <w:r>
        <w:rPr>
          <w:spacing w:val="-29"/>
        </w:rPr>
        <w:t> </w:t>
      </w:r>
      <w:r>
        <w:rPr/>
        <w:t>em</w:t>
      </w:r>
      <w:r>
        <w:rPr>
          <w:spacing w:val="-27"/>
        </w:rPr>
        <w:t> </w:t>
      </w:r>
      <w:r>
        <w:rPr/>
        <w:t>que</w:t>
      </w:r>
      <w:r>
        <w:rPr>
          <w:spacing w:val="-28"/>
        </w:rPr>
        <w:t> </w:t>
      </w:r>
      <w:r>
        <w:rPr/>
        <w:t>os</w:t>
      </w:r>
      <w:r>
        <w:rPr>
          <w:spacing w:val="-30"/>
        </w:rPr>
        <w:t> </w:t>
      </w:r>
      <w:r>
        <w:rPr/>
        <w:t>depósitos</w:t>
      </w:r>
      <w:r>
        <w:rPr>
          <w:spacing w:val="-27"/>
        </w:rPr>
        <w:t> </w:t>
      </w:r>
      <w:r>
        <w:rPr/>
        <w:t>foram realizados</w:t>
      </w:r>
      <w:r>
        <w:rPr>
          <w:spacing w:val="-31"/>
        </w:rPr>
        <w:t> </w:t>
      </w:r>
      <w:r>
        <w:rPr/>
        <w:t>visando</w:t>
      </w:r>
      <w:r>
        <w:rPr>
          <w:spacing w:val="-29"/>
        </w:rPr>
        <w:t> </w:t>
      </w:r>
      <w:r>
        <w:rPr/>
        <w:t>obtenção</w:t>
      </w:r>
      <w:r>
        <w:rPr>
          <w:spacing w:val="-29"/>
        </w:rPr>
        <w:t> </w:t>
      </w:r>
      <w:r>
        <w:rPr/>
        <w:t>de</w:t>
      </w:r>
      <w:r>
        <w:rPr>
          <w:spacing w:val="-29"/>
        </w:rPr>
        <w:t> </w:t>
      </w:r>
      <w:r>
        <w:rPr/>
        <w:t>medida</w:t>
      </w:r>
      <w:r>
        <w:rPr>
          <w:spacing w:val="-29"/>
        </w:rPr>
        <w:t> </w:t>
      </w:r>
      <w:r>
        <w:rPr/>
        <w:t>liminar</w:t>
      </w:r>
      <w:r>
        <w:rPr>
          <w:spacing w:val="-27"/>
        </w:rPr>
        <w:t> </w:t>
      </w:r>
      <w:r>
        <w:rPr/>
        <w:t>para</w:t>
      </w:r>
      <w:r>
        <w:rPr>
          <w:spacing w:val="-30"/>
        </w:rPr>
        <w:t> </w:t>
      </w:r>
      <w:r>
        <w:rPr/>
        <w:t>impedir</w:t>
      </w:r>
      <w:r>
        <w:rPr>
          <w:spacing w:val="-31"/>
        </w:rPr>
        <w:t> </w:t>
      </w:r>
      <w:r>
        <w:rPr/>
        <w:t>a</w:t>
      </w:r>
      <w:r>
        <w:rPr>
          <w:spacing w:val="-28"/>
        </w:rPr>
        <w:t> </w:t>
      </w:r>
      <w:r>
        <w:rPr/>
        <w:t>cobrança</w:t>
      </w:r>
      <w:r>
        <w:rPr>
          <w:spacing w:val="-30"/>
        </w:rPr>
        <w:t> </w:t>
      </w:r>
      <w:r>
        <w:rPr/>
        <w:t>dos</w:t>
      </w:r>
      <w:r>
        <w:rPr>
          <w:spacing w:val="-28"/>
        </w:rPr>
        <w:t> </w:t>
      </w:r>
      <w:r>
        <w:rPr/>
        <w:t>débitos</w:t>
      </w:r>
      <w:r>
        <w:rPr>
          <w:spacing w:val="-28"/>
        </w:rPr>
        <w:t> </w:t>
      </w:r>
      <w:r>
        <w:rPr/>
        <w:t>e</w:t>
      </w:r>
      <w:r>
        <w:rPr>
          <w:spacing w:val="-30"/>
        </w:rPr>
        <w:t> </w:t>
      </w:r>
      <w:r>
        <w:rPr/>
        <w:t>inscrição</w:t>
      </w:r>
      <w:r>
        <w:rPr>
          <w:spacing w:val="-29"/>
        </w:rPr>
        <w:t> </w:t>
      </w:r>
      <w:r>
        <w:rPr/>
        <w:t>da</w:t>
      </w:r>
      <w:r>
        <w:rPr>
          <w:spacing w:val="-29"/>
        </w:rPr>
        <w:t> </w:t>
      </w:r>
      <w:r>
        <w:rPr/>
        <w:t>CEB</w:t>
      </w:r>
      <w:r>
        <w:rPr>
          <w:spacing w:val="-29"/>
        </w:rPr>
        <w:t> </w:t>
      </w:r>
      <w:r>
        <w:rPr/>
        <w:t>Distribuição</w:t>
      </w:r>
    </w:p>
    <w:p>
      <w:pPr>
        <w:pStyle w:val="BodyText"/>
        <w:spacing w:before="2"/>
        <w:ind w:left="172"/>
      </w:pPr>
      <w:r>
        <w:rPr/>
        <w:t>S.A. em cadastro de inadimplentes da ANEEL, Dívida Ativa da União e CADIN.</w:t>
      </w:r>
    </w:p>
    <w:p>
      <w:pPr>
        <w:spacing w:after="0"/>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ATIVO FINANCEIRO</w:t>
      </w:r>
      <w:r>
        <w:rPr>
          <w:spacing w:val="-2"/>
        </w:rPr>
        <w:t> </w:t>
      </w:r>
      <w:r>
        <w:rPr/>
        <w:t>INDENIZÁVEL</w:t>
      </w:r>
    </w:p>
    <w:p>
      <w:pPr>
        <w:pStyle w:val="BodyText"/>
        <w:spacing w:line="242" w:lineRule="auto" w:before="244"/>
        <w:ind w:left="172" w:right="407"/>
        <w:jc w:val="both"/>
      </w:pPr>
      <w:r>
        <w:rPr/>
        <w:t>Os</w:t>
      </w:r>
      <w:r>
        <w:rPr>
          <w:spacing w:val="-32"/>
        </w:rPr>
        <w:t> </w:t>
      </w:r>
      <w:r>
        <w:rPr/>
        <w:t>ativos</w:t>
      </w:r>
      <w:r>
        <w:rPr>
          <w:spacing w:val="-31"/>
        </w:rPr>
        <w:t> </w:t>
      </w:r>
      <w:r>
        <w:rPr/>
        <w:t>da</w:t>
      </w:r>
      <w:r>
        <w:rPr>
          <w:spacing w:val="-31"/>
        </w:rPr>
        <w:t> </w:t>
      </w:r>
      <w:r>
        <w:rPr/>
        <w:t>concessão</w:t>
      </w:r>
      <w:r>
        <w:rPr>
          <w:spacing w:val="-31"/>
        </w:rPr>
        <w:t> </w:t>
      </w:r>
      <w:r>
        <w:rPr/>
        <w:t>(ativo</w:t>
      </w:r>
      <w:r>
        <w:rPr>
          <w:spacing w:val="-31"/>
        </w:rPr>
        <w:t> </w:t>
      </w:r>
      <w:r>
        <w:rPr/>
        <w:t>financeiro</w:t>
      </w:r>
      <w:r>
        <w:rPr>
          <w:spacing w:val="-32"/>
        </w:rPr>
        <w:t> </w:t>
      </w:r>
      <w:r>
        <w:rPr/>
        <w:t>indenizável</w:t>
      </w:r>
      <w:r>
        <w:rPr>
          <w:spacing w:val="-30"/>
        </w:rPr>
        <w:t> </w:t>
      </w:r>
      <w:r>
        <w:rPr/>
        <w:t>e</w:t>
      </w:r>
      <w:r>
        <w:rPr>
          <w:spacing w:val="-31"/>
        </w:rPr>
        <w:t> </w:t>
      </w:r>
      <w:r>
        <w:rPr/>
        <w:t>intangível</w:t>
      </w:r>
      <w:r>
        <w:rPr>
          <w:spacing w:val="-29"/>
        </w:rPr>
        <w:t> </w:t>
      </w:r>
      <w:r>
        <w:rPr/>
        <w:t>da</w:t>
      </w:r>
      <w:r>
        <w:rPr>
          <w:spacing w:val="-31"/>
        </w:rPr>
        <w:t> </w:t>
      </w:r>
      <w:r>
        <w:rPr/>
        <w:t>concessão)</w:t>
      </w:r>
      <w:r>
        <w:rPr>
          <w:spacing w:val="-31"/>
        </w:rPr>
        <w:t> </w:t>
      </w:r>
      <w:r>
        <w:rPr/>
        <w:t>são</w:t>
      </w:r>
      <w:r>
        <w:rPr>
          <w:spacing w:val="-31"/>
        </w:rPr>
        <w:t> </w:t>
      </w:r>
      <w:r>
        <w:rPr/>
        <w:t>remunerados</w:t>
      </w:r>
      <w:r>
        <w:rPr>
          <w:spacing w:val="-32"/>
        </w:rPr>
        <w:t> </w:t>
      </w:r>
      <w:r>
        <w:rPr/>
        <w:t>por</w:t>
      </w:r>
      <w:r>
        <w:rPr>
          <w:spacing w:val="-30"/>
        </w:rPr>
        <w:t> </w:t>
      </w:r>
      <w:r>
        <w:rPr/>
        <w:t>meio</w:t>
      </w:r>
      <w:r>
        <w:rPr>
          <w:spacing w:val="-32"/>
        </w:rPr>
        <w:t> </w:t>
      </w:r>
      <w:r>
        <w:rPr/>
        <w:t>do</w:t>
      </w:r>
      <w:r>
        <w:rPr>
          <w:spacing w:val="-30"/>
        </w:rPr>
        <w:t> </w:t>
      </w:r>
      <w:r>
        <w:rPr/>
        <w:t>WACC regulatório,</w:t>
      </w:r>
      <w:r>
        <w:rPr>
          <w:spacing w:val="-41"/>
        </w:rPr>
        <w:t> </w:t>
      </w:r>
      <w:r>
        <w:rPr/>
        <w:t>que</w:t>
      </w:r>
      <w:r>
        <w:rPr>
          <w:spacing w:val="-42"/>
        </w:rPr>
        <w:t> </w:t>
      </w:r>
      <w:r>
        <w:rPr/>
        <w:t>consiste</w:t>
      </w:r>
      <w:r>
        <w:rPr>
          <w:spacing w:val="-40"/>
        </w:rPr>
        <w:t> </w:t>
      </w:r>
      <w:r>
        <w:rPr/>
        <w:t>nos</w:t>
      </w:r>
      <w:r>
        <w:rPr>
          <w:spacing w:val="-40"/>
        </w:rPr>
        <w:t> </w:t>
      </w:r>
      <w:r>
        <w:rPr/>
        <w:t>juros</w:t>
      </w:r>
      <w:r>
        <w:rPr>
          <w:spacing w:val="-41"/>
        </w:rPr>
        <w:t> </w:t>
      </w:r>
      <w:r>
        <w:rPr/>
        <w:t>remuneratórios</w:t>
      </w:r>
      <w:r>
        <w:rPr>
          <w:spacing w:val="-39"/>
        </w:rPr>
        <w:t> </w:t>
      </w:r>
      <w:r>
        <w:rPr/>
        <w:t>incluídos</w:t>
      </w:r>
      <w:r>
        <w:rPr>
          <w:spacing w:val="-41"/>
        </w:rPr>
        <w:t> </w:t>
      </w:r>
      <w:r>
        <w:rPr/>
        <w:t>na</w:t>
      </w:r>
      <w:r>
        <w:rPr>
          <w:spacing w:val="-40"/>
        </w:rPr>
        <w:t> </w:t>
      </w:r>
      <w:r>
        <w:rPr/>
        <w:t>tarifa</w:t>
      </w:r>
      <w:r>
        <w:rPr>
          <w:spacing w:val="-39"/>
        </w:rPr>
        <w:t> </w:t>
      </w:r>
      <w:r>
        <w:rPr/>
        <w:t>cobrada</w:t>
      </w:r>
      <w:r>
        <w:rPr>
          <w:spacing w:val="-39"/>
        </w:rPr>
        <w:t> </w:t>
      </w:r>
      <w:r>
        <w:rPr/>
        <w:t>dos</w:t>
      </w:r>
      <w:r>
        <w:rPr>
          <w:spacing w:val="-39"/>
        </w:rPr>
        <w:t> </w:t>
      </w:r>
      <w:r>
        <w:rPr/>
        <w:t>clientes</w:t>
      </w:r>
      <w:r>
        <w:rPr>
          <w:spacing w:val="-40"/>
        </w:rPr>
        <w:t> </w:t>
      </w:r>
      <w:r>
        <w:rPr/>
        <w:t>da</w:t>
      </w:r>
      <w:r>
        <w:rPr>
          <w:spacing w:val="-41"/>
        </w:rPr>
        <w:t> </w:t>
      </w:r>
      <w:r>
        <w:rPr/>
        <w:t>CEB</w:t>
      </w:r>
      <w:r>
        <w:rPr>
          <w:spacing w:val="-40"/>
        </w:rPr>
        <w:t> </w:t>
      </w:r>
      <w:r>
        <w:rPr/>
        <w:t>DIS</w:t>
      </w:r>
      <w:r>
        <w:rPr>
          <w:spacing w:val="-40"/>
        </w:rPr>
        <w:t> </w:t>
      </w:r>
      <w:r>
        <w:rPr/>
        <w:t>e</w:t>
      </w:r>
      <w:r>
        <w:rPr>
          <w:spacing w:val="-41"/>
        </w:rPr>
        <w:t> </w:t>
      </w:r>
      <w:r>
        <w:rPr/>
        <w:t>seu</w:t>
      </w:r>
      <w:r>
        <w:rPr>
          <w:spacing w:val="-41"/>
        </w:rPr>
        <w:t> </w:t>
      </w:r>
      <w:r>
        <w:rPr/>
        <w:t>montante está</w:t>
      </w:r>
      <w:r>
        <w:rPr>
          <w:spacing w:val="-27"/>
        </w:rPr>
        <w:t> </w:t>
      </w:r>
      <w:r>
        <w:rPr/>
        <w:t>incluído</w:t>
      </w:r>
      <w:r>
        <w:rPr>
          <w:spacing w:val="-24"/>
        </w:rPr>
        <w:t> </w:t>
      </w:r>
      <w:r>
        <w:rPr/>
        <w:t>na</w:t>
      </w:r>
      <w:r>
        <w:rPr>
          <w:spacing w:val="-26"/>
        </w:rPr>
        <w:t> </w:t>
      </w:r>
      <w:r>
        <w:rPr/>
        <w:t>composição</w:t>
      </w:r>
      <w:r>
        <w:rPr>
          <w:spacing w:val="-25"/>
        </w:rPr>
        <w:t> </w:t>
      </w:r>
      <w:r>
        <w:rPr/>
        <w:t>da</w:t>
      </w:r>
      <w:r>
        <w:rPr>
          <w:spacing w:val="-26"/>
        </w:rPr>
        <w:t> </w:t>
      </w:r>
      <w:r>
        <w:rPr/>
        <w:t>receita</w:t>
      </w:r>
      <w:r>
        <w:rPr>
          <w:spacing w:val="-26"/>
        </w:rPr>
        <w:t> </w:t>
      </w:r>
      <w:r>
        <w:rPr/>
        <w:t>de</w:t>
      </w:r>
      <w:r>
        <w:rPr>
          <w:spacing w:val="-25"/>
        </w:rPr>
        <w:t> </w:t>
      </w:r>
      <w:r>
        <w:rPr/>
        <w:t>tarifa</w:t>
      </w:r>
      <w:r>
        <w:rPr>
          <w:spacing w:val="-26"/>
        </w:rPr>
        <w:t> </w:t>
      </w:r>
      <w:r>
        <w:rPr/>
        <w:t>faturada</w:t>
      </w:r>
      <w:r>
        <w:rPr>
          <w:spacing w:val="-24"/>
        </w:rPr>
        <w:t> </w:t>
      </w:r>
      <w:r>
        <w:rPr/>
        <w:t>aos</w:t>
      </w:r>
      <w:r>
        <w:rPr>
          <w:spacing w:val="-26"/>
        </w:rPr>
        <w:t> </w:t>
      </w:r>
      <w:r>
        <w:rPr/>
        <w:t>consumidores</w:t>
      </w:r>
      <w:r>
        <w:rPr>
          <w:spacing w:val="-24"/>
        </w:rPr>
        <w:t> </w:t>
      </w:r>
      <w:r>
        <w:rPr/>
        <w:t>e</w:t>
      </w:r>
      <w:r>
        <w:rPr>
          <w:spacing w:val="-25"/>
        </w:rPr>
        <w:t> </w:t>
      </w:r>
      <w:r>
        <w:rPr/>
        <w:t>recebida</w:t>
      </w:r>
      <w:r>
        <w:rPr>
          <w:spacing w:val="-26"/>
        </w:rPr>
        <w:t> </w:t>
      </w:r>
      <w:r>
        <w:rPr/>
        <w:t>mensalmente.</w:t>
      </w:r>
    </w:p>
    <w:p>
      <w:pPr>
        <w:pStyle w:val="BodyText"/>
        <w:spacing w:before="7"/>
      </w:pPr>
    </w:p>
    <w:p>
      <w:pPr>
        <w:pStyle w:val="BodyText"/>
        <w:spacing w:line="242" w:lineRule="auto"/>
        <w:ind w:left="172" w:right="404"/>
        <w:jc w:val="both"/>
      </w:pPr>
      <w:r>
        <w:rPr/>
        <w:t>O</w:t>
      </w:r>
      <w:r>
        <w:rPr>
          <w:spacing w:val="-28"/>
        </w:rPr>
        <w:t> </w:t>
      </w:r>
      <w:r>
        <w:rPr/>
        <w:t>ativo</w:t>
      </w:r>
      <w:r>
        <w:rPr>
          <w:spacing w:val="-27"/>
        </w:rPr>
        <w:t> </w:t>
      </w:r>
      <w:r>
        <w:rPr/>
        <w:t>financeiro</w:t>
      </w:r>
      <w:r>
        <w:rPr>
          <w:spacing w:val="-27"/>
        </w:rPr>
        <w:t> </w:t>
      </w:r>
      <w:r>
        <w:rPr/>
        <w:t>da</w:t>
      </w:r>
      <w:r>
        <w:rPr>
          <w:spacing w:val="-26"/>
        </w:rPr>
        <w:t> </w:t>
      </w:r>
      <w:r>
        <w:rPr/>
        <w:t>concessão</w:t>
      </w:r>
      <w:r>
        <w:rPr>
          <w:spacing w:val="-27"/>
        </w:rPr>
        <w:t> </w:t>
      </w:r>
      <w:r>
        <w:rPr/>
        <w:t>corresponde</w:t>
      </w:r>
      <w:r>
        <w:rPr>
          <w:spacing w:val="-28"/>
        </w:rPr>
        <w:t> </w:t>
      </w:r>
      <w:r>
        <w:rPr/>
        <w:t>à</w:t>
      </w:r>
      <w:r>
        <w:rPr>
          <w:spacing w:val="-26"/>
        </w:rPr>
        <w:t> </w:t>
      </w:r>
      <w:r>
        <w:rPr/>
        <w:t>parcela</w:t>
      </w:r>
      <w:r>
        <w:rPr>
          <w:spacing w:val="-26"/>
        </w:rPr>
        <w:t> </w:t>
      </w:r>
      <w:r>
        <w:rPr/>
        <w:t>estimada</w:t>
      </w:r>
      <w:r>
        <w:rPr>
          <w:spacing w:val="-27"/>
        </w:rPr>
        <w:t> </w:t>
      </w:r>
      <w:r>
        <w:rPr/>
        <w:t>dos</w:t>
      </w:r>
      <w:r>
        <w:rPr>
          <w:spacing w:val="-27"/>
        </w:rPr>
        <w:t> </w:t>
      </w:r>
      <w:r>
        <w:rPr/>
        <w:t>investimentos</w:t>
      </w:r>
      <w:r>
        <w:rPr>
          <w:spacing w:val="-26"/>
        </w:rPr>
        <w:t> </w:t>
      </w:r>
      <w:r>
        <w:rPr/>
        <w:t>realizados</w:t>
      </w:r>
      <w:r>
        <w:rPr>
          <w:spacing w:val="-27"/>
        </w:rPr>
        <w:t> </w:t>
      </w:r>
      <w:r>
        <w:rPr/>
        <w:t>na</w:t>
      </w:r>
      <w:r>
        <w:rPr>
          <w:spacing w:val="-26"/>
        </w:rPr>
        <w:t> </w:t>
      </w:r>
      <w:r>
        <w:rPr/>
        <w:t>infraestrutura</w:t>
      </w:r>
      <w:r>
        <w:rPr>
          <w:spacing w:val="-25"/>
        </w:rPr>
        <w:t> </w:t>
      </w:r>
      <w:r>
        <w:rPr/>
        <w:t>do serviço</w:t>
      </w:r>
      <w:r>
        <w:rPr>
          <w:spacing w:val="-4"/>
        </w:rPr>
        <w:t> </w:t>
      </w:r>
      <w:r>
        <w:rPr/>
        <w:t>público</w:t>
      </w:r>
      <w:r>
        <w:rPr>
          <w:spacing w:val="-3"/>
        </w:rPr>
        <w:t> </w:t>
      </w:r>
      <w:r>
        <w:rPr/>
        <w:t>que</w:t>
      </w:r>
      <w:r>
        <w:rPr>
          <w:spacing w:val="-3"/>
        </w:rPr>
        <w:t> </w:t>
      </w:r>
      <w:r>
        <w:rPr/>
        <w:t>não</w:t>
      </w:r>
      <w:r>
        <w:rPr>
          <w:spacing w:val="-3"/>
        </w:rPr>
        <w:t> </w:t>
      </w:r>
      <w:r>
        <w:rPr/>
        <w:t>será</w:t>
      </w:r>
      <w:r>
        <w:rPr>
          <w:spacing w:val="-4"/>
        </w:rPr>
        <w:t> </w:t>
      </w:r>
      <w:r>
        <w:rPr/>
        <w:t>totalmente</w:t>
      </w:r>
      <w:r>
        <w:rPr>
          <w:spacing w:val="-5"/>
        </w:rPr>
        <w:t> </w:t>
      </w:r>
      <w:r>
        <w:rPr/>
        <w:t>depreciada</w:t>
      </w:r>
      <w:r>
        <w:rPr>
          <w:spacing w:val="-4"/>
        </w:rPr>
        <w:t> </w:t>
      </w:r>
      <w:r>
        <w:rPr/>
        <w:t>até</w:t>
      </w:r>
      <w:r>
        <w:rPr>
          <w:spacing w:val="-4"/>
        </w:rPr>
        <w:t> </w:t>
      </w:r>
      <w:r>
        <w:rPr/>
        <w:t>o</w:t>
      </w:r>
      <w:r>
        <w:rPr>
          <w:spacing w:val="-2"/>
        </w:rPr>
        <w:t> </w:t>
      </w:r>
      <w:r>
        <w:rPr/>
        <w:t>final</w:t>
      </w:r>
      <w:r>
        <w:rPr>
          <w:spacing w:val="-5"/>
        </w:rPr>
        <w:t> </w:t>
      </w:r>
      <w:r>
        <w:rPr/>
        <w:t>da</w:t>
      </w:r>
      <w:r>
        <w:rPr>
          <w:spacing w:val="-2"/>
        </w:rPr>
        <w:t> </w:t>
      </w:r>
      <w:r>
        <w:rPr/>
        <w:t>concessão.</w:t>
      </w:r>
      <w:r>
        <w:rPr>
          <w:spacing w:val="-4"/>
        </w:rPr>
        <w:t> </w:t>
      </w:r>
      <w:r>
        <w:rPr/>
        <w:t>A</w:t>
      </w:r>
      <w:r>
        <w:rPr>
          <w:spacing w:val="-3"/>
        </w:rPr>
        <w:t> </w:t>
      </w:r>
      <w:r>
        <w:rPr/>
        <w:t>concessionária</w:t>
      </w:r>
      <w:r>
        <w:rPr>
          <w:spacing w:val="-4"/>
        </w:rPr>
        <w:t> </w:t>
      </w:r>
      <w:r>
        <w:rPr/>
        <w:t>possui</w:t>
      </w:r>
      <w:r>
        <w:rPr>
          <w:spacing w:val="-5"/>
        </w:rPr>
        <w:t> </w:t>
      </w:r>
      <w:r>
        <w:rPr/>
        <w:t>o</w:t>
      </w:r>
      <w:r>
        <w:rPr>
          <w:spacing w:val="-3"/>
        </w:rPr>
        <w:t> </w:t>
      </w:r>
      <w:r>
        <w:rPr/>
        <w:t>direito incondicional de receber dinheiro ou outro ativo financeiro do Poder Concedente, a título de indenização pela reversão da infraestrutura do serviço público. Os ativos financeiros relacionados ao contrato da concessão são classificados</w:t>
      </w:r>
      <w:r>
        <w:rPr>
          <w:spacing w:val="-32"/>
        </w:rPr>
        <w:t> </w:t>
      </w:r>
      <w:r>
        <w:rPr/>
        <w:t>como</w:t>
      </w:r>
      <w:r>
        <w:rPr>
          <w:spacing w:val="-33"/>
        </w:rPr>
        <w:t> </w:t>
      </w:r>
      <w:r>
        <w:rPr/>
        <w:t>disponíveis</w:t>
      </w:r>
      <w:r>
        <w:rPr>
          <w:spacing w:val="-30"/>
        </w:rPr>
        <w:t> </w:t>
      </w:r>
      <w:r>
        <w:rPr/>
        <w:t>para</w:t>
      </w:r>
      <w:r>
        <w:rPr>
          <w:spacing w:val="-32"/>
        </w:rPr>
        <w:t> </w:t>
      </w:r>
      <w:r>
        <w:rPr/>
        <w:t>venda</w:t>
      </w:r>
      <w:r>
        <w:rPr>
          <w:spacing w:val="-30"/>
        </w:rPr>
        <w:t> </w:t>
      </w:r>
      <w:r>
        <w:rPr/>
        <w:t>e</w:t>
      </w:r>
      <w:r>
        <w:rPr>
          <w:spacing w:val="-31"/>
        </w:rPr>
        <w:t> </w:t>
      </w:r>
      <w:r>
        <w:rPr/>
        <w:t>nos</w:t>
      </w:r>
      <w:r>
        <w:rPr>
          <w:spacing w:val="-30"/>
        </w:rPr>
        <w:t> </w:t>
      </w:r>
      <w:r>
        <w:rPr/>
        <w:t>exercícios</w:t>
      </w:r>
      <w:r>
        <w:rPr>
          <w:spacing w:val="-32"/>
        </w:rPr>
        <w:t> </w:t>
      </w:r>
      <w:r>
        <w:rPr/>
        <w:t>apresentados,</w:t>
      </w:r>
      <w:r>
        <w:rPr>
          <w:spacing w:val="-31"/>
        </w:rPr>
        <w:t> </w:t>
      </w:r>
      <w:r>
        <w:rPr/>
        <w:t>foram</w:t>
      </w:r>
      <w:r>
        <w:rPr>
          <w:spacing w:val="-32"/>
        </w:rPr>
        <w:t> </w:t>
      </w:r>
      <w:r>
        <w:rPr/>
        <w:t>valorizados</w:t>
      </w:r>
      <w:r>
        <w:rPr>
          <w:spacing w:val="-32"/>
        </w:rPr>
        <w:t> </w:t>
      </w:r>
      <w:r>
        <w:rPr/>
        <w:t>com</w:t>
      </w:r>
      <w:r>
        <w:rPr>
          <w:spacing w:val="-29"/>
        </w:rPr>
        <w:t> </w:t>
      </w:r>
      <w:r>
        <w:rPr/>
        <w:t>base</w:t>
      </w:r>
      <w:r>
        <w:rPr>
          <w:spacing w:val="-31"/>
        </w:rPr>
        <w:t> </w:t>
      </w:r>
      <w:r>
        <w:rPr/>
        <w:t>na</w:t>
      </w:r>
      <w:r>
        <w:rPr>
          <w:spacing w:val="-32"/>
        </w:rPr>
        <w:t> </w:t>
      </w:r>
      <w:r>
        <w:rPr/>
        <w:t>BRR</w:t>
      </w:r>
      <w:r>
        <w:rPr>
          <w:spacing w:val="-26"/>
        </w:rPr>
        <w:t> </w:t>
      </w:r>
      <w:r>
        <w:rPr>
          <w:w w:val="105"/>
        </w:rPr>
        <w:t>–</w:t>
      </w:r>
      <w:r>
        <w:rPr>
          <w:spacing w:val="-34"/>
          <w:w w:val="105"/>
        </w:rPr>
        <w:t> </w:t>
      </w:r>
      <w:r>
        <w:rPr/>
        <w:t>Base de</w:t>
      </w:r>
      <w:r>
        <w:rPr>
          <w:spacing w:val="-41"/>
        </w:rPr>
        <w:t> </w:t>
      </w:r>
      <w:r>
        <w:rPr/>
        <w:t>Remuneração</w:t>
      </w:r>
      <w:r>
        <w:rPr>
          <w:spacing w:val="-40"/>
        </w:rPr>
        <w:t> </w:t>
      </w:r>
      <w:r>
        <w:rPr/>
        <w:t>Regulatória,</w:t>
      </w:r>
      <w:r>
        <w:rPr>
          <w:spacing w:val="-41"/>
        </w:rPr>
        <w:t> </w:t>
      </w:r>
      <w:r>
        <w:rPr/>
        <w:t>conceito</w:t>
      </w:r>
      <w:r>
        <w:rPr>
          <w:spacing w:val="-39"/>
        </w:rPr>
        <w:t> </w:t>
      </w:r>
      <w:r>
        <w:rPr/>
        <w:t>de</w:t>
      </w:r>
      <w:r>
        <w:rPr>
          <w:spacing w:val="-41"/>
        </w:rPr>
        <w:t> </w:t>
      </w:r>
      <w:r>
        <w:rPr/>
        <w:t>valor</w:t>
      </w:r>
      <w:r>
        <w:rPr>
          <w:spacing w:val="-39"/>
        </w:rPr>
        <w:t> </w:t>
      </w:r>
      <w:r>
        <w:rPr/>
        <w:t>de</w:t>
      </w:r>
      <w:r>
        <w:rPr>
          <w:spacing w:val="-40"/>
        </w:rPr>
        <w:t> </w:t>
      </w:r>
      <w:r>
        <w:rPr/>
        <w:t>reposição,</w:t>
      </w:r>
      <w:r>
        <w:rPr>
          <w:spacing w:val="-41"/>
        </w:rPr>
        <w:t> </w:t>
      </w:r>
      <w:r>
        <w:rPr/>
        <w:t>que</w:t>
      </w:r>
      <w:r>
        <w:rPr>
          <w:spacing w:val="-40"/>
        </w:rPr>
        <w:t> </w:t>
      </w:r>
      <w:r>
        <w:rPr/>
        <w:t>é</w:t>
      </w:r>
      <w:r>
        <w:rPr>
          <w:spacing w:val="-40"/>
        </w:rPr>
        <w:t> </w:t>
      </w:r>
      <w:r>
        <w:rPr/>
        <w:t>o</w:t>
      </w:r>
      <w:r>
        <w:rPr>
          <w:spacing w:val="-40"/>
        </w:rPr>
        <w:t> </w:t>
      </w:r>
      <w:r>
        <w:rPr/>
        <w:t>critério</w:t>
      </w:r>
      <w:r>
        <w:rPr>
          <w:spacing w:val="-39"/>
        </w:rPr>
        <w:t> </w:t>
      </w:r>
      <w:r>
        <w:rPr/>
        <w:t>utilizado</w:t>
      </w:r>
      <w:r>
        <w:rPr>
          <w:spacing w:val="-41"/>
        </w:rPr>
        <w:t> </w:t>
      </w:r>
      <w:r>
        <w:rPr/>
        <w:t>pela</w:t>
      </w:r>
      <w:r>
        <w:rPr>
          <w:spacing w:val="-40"/>
        </w:rPr>
        <w:t> </w:t>
      </w:r>
      <w:r>
        <w:rPr/>
        <w:t>ANEEL</w:t>
      </w:r>
      <w:r>
        <w:rPr>
          <w:spacing w:val="-39"/>
        </w:rPr>
        <w:t> </w:t>
      </w:r>
      <w:r>
        <w:rPr/>
        <w:t>para</w:t>
      </w:r>
      <w:r>
        <w:rPr>
          <w:spacing w:val="-40"/>
        </w:rPr>
        <w:t> </w:t>
      </w:r>
      <w:r>
        <w:rPr/>
        <w:t>determinar</w:t>
      </w:r>
      <w:r>
        <w:rPr>
          <w:spacing w:val="-41"/>
        </w:rPr>
        <w:t> </w:t>
      </w:r>
      <w:r>
        <w:rPr/>
        <w:t>a tarifa</w:t>
      </w:r>
      <w:r>
        <w:rPr>
          <w:spacing w:val="-18"/>
        </w:rPr>
        <w:t> </w:t>
      </w:r>
      <w:r>
        <w:rPr/>
        <w:t>de</w:t>
      </w:r>
      <w:r>
        <w:rPr>
          <w:spacing w:val="-17"/>
        </w:rPr>
        <w:t> </w:t>
      </w:r>
      <w:r>
        <w:rPr/>
        <w:t>energia</w:t>
      </w:r>
      <w:r>
        <w:rPr>
          <w:spacing w:val="-18"/>
        </w:rPr>
        <w:t> </w:t>
      </w:r>
      <w:r>
        <w:rPr/>
        <w:t>das</w:t>
      </w:r>
      <w:r>
        <w:rPr>
          <w:spacing w:val="-18"/>
        </w:rPr>
        <w:t> </w:t>
      </w:r>
      <w:r>
        <w:rPr/>
        <w:t>distribuidoras.</w:t>
      </w:r>
    </w:p>
    <w:p>
      <w:pPr>
        <w:pStyle w:val="BodyText"/>
        <w:spacing w:before="8"/>
      </w:pPr>
    </w:p>
    <w:p>
      <w:pPr>
        <w:pStyle w:val="BodyText"/>
        <w:spacing w:line="242" w:lineRule="auto"/>
        <w:ind w:left="172" w:right="409"/>
        <w:jc w:val="both"/>
      </w:pPr>
      <w:r>
        <w:rPr/>
        <w:t>De</w:t>
      </w:r>
      <w:r>
        <w:rPr>
          <w:spacing w:val="-26"/>
        </w:rPr>
        <w:t> </w:t>
      </w:r>
      <w:r>
        <w:rPr/>
        <w:t>acordo,</w:t>
      </w:r>
      <w:r>
        <w:rPr>
          <w:spacing w:val="-24"/>
        </w:rPr>
        <w:t> </w:t>
      </w:r>
      <w:r>
        <w:rPr/>
        <w:t>ainda,</w:t>
      </w:r>
      <w:r>
        <w:rPr>
          <w:spacing w:val="-26"/>
        </w:rPr>
        <w:t> </w:t>
      </w:r>
      <w:r>
        <w:rPr/>
        <w:t>com</w:t>
      </w:r>
      <w:r>
        <w:rPr>
          <w:spacing w:val="-25"/>
        </w:rPr>
        <w:t> </w:t>
      </w:r>
      <w:r>
        <w:rPr/>
        <w:t>o</w:t>
      </w:r>
      <w:r>
        <w:rPr>
          <w:spacing w:val="-23"/>
        </w:rPr>
        <w:t> </w:t>
      </w:r>
      <w:r>
        <w:rPr/>
        <w:t>pronunciamento</w:t>
      </w:r>
      <w:r>
        <w:rPr>
          <w:spacing w:val="-25"/>
        </w:rPr>
        <w:t> </w:t>
      </w:r>
      <w:r>
        <w:rPr/>
        <w:t>técnico</w:t>
      </w:r>
      <w:r>
        <w:rPr>
          <w:spacing w:val="-26"/>
        </w:rPr>
        <w:t> </w:t>
      </w:r>
      <w:r>
        <w:rPr/>
        <w:t>CPC</w:t>
      </w:r>
      <w:r>
        <w:rPr>
          <w:spacing w:val="-25"/>
        </w:rPr>
        <w:t> </w:t>
      </w:r>
      <w:r>
        <w:rPr/>
        <w:t>48,</w:t>
      </w:r>
      <w:r>
        <w:rPr>
          <w:spacing w:val="-26"/>
        </w:rPr>
        <w:t> </w:t>
      </w:r>
      <w:r>
        <w:rPr/>
        <w:t>as</w:t>
      </w:r>
      <w:r>
        <w:rPr>
          <w:spacing w:val="-25"/>
        </w:rPr>
        <w:t> </w:t>
      </w:r>
      <w:r>
        <w:rPr/>
        <w:t>alterações</w:t>
      </w:r>
      <w:r>
        <w:rPr>
          <w:spacing w:val="-24"/>
        </w:rPr>
        <w:t> </w:t>
      </w:r>
      <w:r>
        <w:rPr/>
        <w:t>resultantes</w:t>
      </w:r>
      <w:r>
        <w:rPr>
          <w:spacing w:val="-24"/>
        </w:rPr>
        <w:t> </w:t>
      </w:r>
      <w:r>
        <w:rPr/>
        <w:t>de</w:t>
      </w:r>
      <w:r>
        <w:rPr>
          <w:spacing w:val="-26"/>
        </w:rPr>
        <w:t> </w:t>
      </w:r>
      <w:r>
        <w:rPr/>
        <w:t>mudanças</w:t>
      </w:r>
      <w:r>
        <w:rPr>
          <w:spacing w:val="-24"/>
        </w:rPr>
        <w:t> </w:t>
      </w:r>
      <w:r>
        <w:rPr/>
        <w:t>nas</w:t>
      </w:r>
      <w:r>
        <w:rPr>
          <w:spacing w:val="-25"/>
        </w:rPr>
        <w:t> </w:t>
      </w:r>
      <w:r>
        <w:rPr/>
        <w:t>condições</w:t>
      </w:r>
      <w:r>
        <w:rPr>
          <w:spacing w:val="-24"/>
        </w:rPr>
        <w:t> </w:t>
      </w:r>
      <w:r>
        <w:rPr/>
        <w:t>de mercado</w:t>
      </w:r>
      <w:r>
        <w:rPr>
          <w:spacing w:val="-33"/>
        </w:rPr>
        <w:t> </w:t>
      </w:r>
      <w:r>
        <w:rPr/>
        <w:t>(variações</w:t>
      </w:r>
      <w:r>
        <w:rPr>
          <w:spacing w:val="-31"/>
        </w:rPr>
        <w:t> </w:t>
      </w:r>
      <w:r>
        <w:rPr/>
        <w:t>em</w:t>
      </w:r>
      <w:r>
        <w:rPr>
          <w:spacing w:val="-33"/>
        </w:rPr>
        <w:t> </w:t>
      </w:r>
      <w:r>
        <w:rPr/>
        <w:t>taxas</w:t>
      </w:r>
      <w:r>
        <w:rPr>
          <w:spacing w:val="-33"/>
        </w:rPr>
        <w:t> </w:t>
      </w:r>
      <w:r>
        <w:rPr/>
        <w:t>de</w:t>
      </w:r>
      <w:r>
        <w:rPr>
          <w:spacing w:val="-35"/>
        </w:rPr>
        <w:t> </w:t>
      </w:r>
      <w:r>
        <w:rPr/>
        <w:t>juros)</w:t>
      </w:r>
      <w:r>
        <w:rPr>
          <w:spacing w:val="-32"/>
        </w:rPr>
        <w:t> </w:t>
      </w:r>
      <w:r>
        <w:rPr/>
        <w:t>são</w:t>
      </w:r>
      <w:r>
        <w:rPr>
          <w:spacing w:val="-33"/>
        </w:rPr>
        <w:t> </w:t>
      </w:r>
      <w:r>
        <w:rPr/>
        <w:t>registradas</w:t>
      </w:r>
      <w:r>
        <w:rPr>
          <w:spacing w:val="-33"/>
        </w:rPr>
        <w:t> </w:t>
      </w:r>
      <w:r>
        <w:rPr/>
        <w:t>no</w:t>
      </w:r>
      <w:r>
        <w:rPr>
          <w:spacing w:val="-33"/>
        </w:rPr>
        <w:t> </w:t>
      </w:r>
      <w:r>
        <w:rPr/>
        <w:t>patrimônio</w:t>
      </w:r>
      <w:r>
        <w:rPr>
          <w:spacing w:val="-34"/>
        </w:rPr>
        <w:t> </w:t>
      </w:r>
      <w:r>
        <w:rPr/>
        <w:t>líquido</w:t>
      </w:r>
      <w:r>
        <w:rPr>
          <w:spacing w:val="-33"/>
        </w:rPr>
        <w:t> </w:t>
      </w:r>
      <w:r>
        <w:rPr/>
        <w:t>em</w:t>
      </w:r>
      <w:r>
        <w:rPr>
          <w:spacing w:val="-32"/>
        </w:rPr>
        <w:t> </w:t>
      </w:r>
      <w:r>
        <w:rPr/>
        <w:t>outros</w:t>
      </w:r>
      <w:r>
        <w:rPr>
          <w:spacing w:val="-33"/>
        </w:rPr>
        <w:t> </w:t>
      </w:r>
      <w:r>
        <w:rPr/>
        <w:t>resultados</w:t>
      </w:r>
      <w:r>
        <w:rPr>
          <w:spacing w:val="-34"/>
        </w:rPr>
        <w:t> </w:t>
      </w:r>
      <w:r>
        <w:rPr/>
        <w:t>abrangentes.</w:t>
      </w:r>
      <w:r>
        <w:rPr>
          <w:spacing w:val="-32"/>
        </w:rPr>
        <w:t> </w:t>
      </w:r>
      <w:r>
        <w:rPr/>
        <w:t>Por não</w:t>
      </w:r>
      <w:r>
        <w:rPr>
          <w:spacing w:val="-44"/>
        </w:rPr>
        <w:t> </w:t>
      </w:r>
      <w:r>
        <w:rPr/>
        <w:t>existir</w:t>
      </w:r>
      <w:r>
        <w:rPr>
          <w:spacing w:val="-43"/>
        </w:rPr>
        <w:t> </w:t>
      </w:r>
      <w:r>
        <w:rPr/>
        <w:t>um</w:t>
      </w:r>
      <w:r>
        <w:rPr>
          <w:spacing w:val="-44"/>
        </w:rPr>
        <w:t> </w:t>
      </w:r>
      <w:r>
        <w:rPr/>
        <w:t>mercado</w:t>
      </w:r>
      <w:r>
        <w:rPr>
          <w:spacing w:val="-43"/>
        </w:rPr>
        <w:t> </w:t>
      </w:r>
      <w:r>
        <w:rPr/>
        <w:t>ativo</w:t>
      </w:r>
      <w:r>
        <w:rPr>
          <w:spacing w:val="-44"/>
        </w:rPr>
        <w:t> </w:t>
      </w:r>
      <w:r>
        <w:rPr/>
        <w:t>para</w:t>
      </w:r>
      <w:r>
        <w:rPr>
          <w:spacing w:val="-43"/>
        </w:rPr>
        <w:t> </w:t>
      </w:r>
      <w:r>
        <w:rPr/>
        <w:t>negociação</w:t>
      </w:r>
      <w:r>
        <w:rPr>
          <w:spacing w:val="-43"/>
        </w:rPr>
        <w:t> </w:t>
      </w:r>
      <w:r>
        <w:rPr/>
        <w:t>deste</w:t>
      </w:r>
      <w:r>
        <w:rPr>
          <w:spacing w:val="-44"/>
        </w:rPr>
        <w:t> </w:t>
      </w:r>
      <w:r>
        <w:rPr/>
        <w:t>ativo</w:t>
      </w:r>
      <w:r>
        <w:rPr>
          <w:spacing w:val="-44"/>
        </w:rPr>
        <w:t> </w:t>
      </w:r>
      <w:r>
        <w:rPr/>
        <w:t>financeiro,</w:t>
      </w:r>
      <w:r>
        <w:rPr>
          <w:spacing w:val="-43"/>
        </w:rPr>
        <w:t> </w:t>
      </w:r>
      <w:r>
        <w:rPr/>
        <w:t>a</w:t>
      </w:r>
      <w:r>
        <w:rPr>
          <w:spacing w:val="-44"/>
        </w:rPr>
        <w:t> </w:t>
      </w:r>
      <w:r>
        <w:rPr/>
        <w:t>Companhia</w:t>
      </w:r>
      <w:r>
        <w:rPr>
          <w:spacing w:val="-44"/>
        </w:rPr>
        <w:t> </w:t>
      </w:r>
      <w:r>
        <w:rPr/>
        <w:t>mensura</w:t>
      </w:r>
      <w:r>
        <w:rPr>
          <w:spacing w:val="-42"/>
        </w:rPr>
        <w:t> </w:t>
      </w:r>
      <w:r>
        <w:rPr/>
        <w:t>seu</w:t>
      </w:r>
      <w:r>
        <w:rPr>
          <w:spacing w:val="-44"/>
        </w:rPr>
        <w:t> </w:t>
      </w:r>
      <w:r>
        <w:rPr/>
        <w:t>valor</w:t>
      </w:r>
      <w:r>
        <w:rPr>
          <w:spacing w:val="-43"/>
        </w:rPr>
        <w:t> </w:t>
      </w:r>
      <w:r>
        <w:rPr/>
        <w:t>justo</w:t>
      </w:r>
      <w:r>
        <w:rPr>
          <w:spacing w:val="-44"/>
        </w:rPr>
        <w:t> </w:t>
      </w:r>
      <w:r>
        <w:rPr/>
        <w:t>utilizando os</w:t>
      </w:r>
      <w:r>
        <w:rPr>
          <w:spacing w:val="-29"/>
        </w:rPr>
        <w:t> </w:t>
      </w:r>
      <w:r>
        <w:rPr/>
        <w:t>mesmos</w:t>
      </w:r>
      <w:r>
        <w:rPr>
          <w:spacing w:val="-30"/>
        </w:rPr>
        <w:t> </w:t>
      </w:r>
      <w:r>
        <w:rPr/>
        <w:t>componentes</w:t>
      </w:r>
      <w:r>
        <w:rPr>
          <w:spacing w:val="-28"/>
        </w:rPr>
        <w:t> </w:t>
      </w:r>
      <w:r>
        <w:rPr/>
        <w:t>da</w:t>
      </w:r>
      <w:r>
        <w:rPr>
          <w:spacing w:val="-28"/>
        </w:rPr>
        <w:t> </w:t>
      </w:r>
      <w:r>
        <w:rPr/>
        <w:t>taxa</w:t>
      </w:r>
      <w:r>
        <w:rPr>
          <w:spacing w:val="-29"/>
        </w:rPr>
        <w:t> </w:t>
      </w:r>
      <w:r>
        <w:rPr/>
        <w:t>de</w:t>
      </w:r>
      <w:r>
        <w:rPr>
          <w:spacing w:val="-28"/>
        </w:rPr>
        <w:t> </w:t>
      </w:r>
      <w:r>
        <w:rPr/>
        <w:t>remuneração</w:t>
      </w:r>
      <w:r>
        <w:rPr>
          <w:spacing w:val="-30"/>
        </w:rPr>
        <w:t> </w:t>
      </w:r>
      <w:r>
        <w:rPr/>
        <w:t>regulatória</w:t>
      </w:r>
      <w:r>
        <w:rPr>
          <w:spacing w:val="-27"/>
        </w:rPr>
        <w:t> </w:t>
      </w:r>
      <w:r>
        <w:rPr/>
        <w:t>estabelecida</w:t>
      </w:r>
      <w:r>
        <w:rPr>
          <w:spacing w:val="-28"/>
        </w:rPr>
        <w:t> </w:t>
      </w:r>
      <w:r>
        <w:rPr/>
        <w:t>pela</w:t>
      </w:r>
      <w:r>
        <w:rPr>
          <w:spacing w:val="-28"/>
        </w:rPr>
        <w:t> </w:t>
      </w:r>
      <w:r>
        <w:rPr/>
        <w:t>ANEEL</w:t>
      </w:r>
      <w:r>
        <w:rPr>
          <w:spacing w:val="-29"/>
        </w:rPr>
        <w:t> </w:t>
      </w:r>
      <w:r>
        <w:rPr/>
        <w:t>(WACC</w:t>
      </w:r>
      <w:r>
        <w:rPr>
          <w:spacing w:val="-29"/>
        </w:rPr>
        <w:t> </w:t>
      </w:r>
      <w:r>
        <w:rPr/>
        <w:t>Regulatório).</w:t>
      </w:r>
      <w:r>
        <w:rPr>
          <w:spacing w:val="-29"/>
        </w:rPr>
        <w:t> </w:t>
      </w:r>
      <w:r>
        <w:rPr/>
        <w:t>Caso</w:t>
      </w:r>
      <w:r>
        <w:rPr>
          <w:spacing w:val="-29"/>
        </w:rPr>
        <w:t> </w:t>
      </w:r>
      <w:r>
        <w:rPr/>
        <w:t>a concessionária</w:t>
      </w:r>
      <w:r>
        <w:rPr>
          <w:spacing w:val="-37"/>
        </w:rPr>
        <w:t> </w:t>
      </w:r>
      <w:r>
        <w:rPr/>
        <w:t>verifique</w:t>
      </w:r>
      <w:r>
        <w:rPr>
          <w:spacing w:val="-36"/>
        </w:rPr>
        <w:t> </w:t>
      </w:r>
      <w:r>
        <w:rPr/>
        <w:t>uma</w:t>
      </w:r>
      <w:r>
        <w:rPr>
          <w:spacing w:val="-37"/>
        </w:rPr>
        <w:t> </w:t>
      </w:r>
      <w:r>
        <w:rPr/>
        <w:t>mudança</w:t>
      </w:r>
      <w:r>
        <w:rPr>
          <w:spacing w:val="-35"/>
        </w:rPr>
        <w:t> </w:t>
      </w:r>
      <w:r>
        <w:rPr/>
        <w:t>no</w:t>
      </w:r>
      <w:r>
        <w:rPr>
          <w:spacing w:val="-35"/>
        </w:rPr>
        <w:t> </w:t>
      </w:r>
      <w:r>
        <w:rPr/>
        <w:t>WACC</w:t>
      </w:r>
      <w:r>
        <w:rPr>
          <w:spacing w:val="-36"/>
        </w:rPr>
        <w:t> </w:t>
      </w:r>
      <w:r>
        <w:rPr/>
        <w:t>regulatório</w:t>
      </w:r>
      <w:r>
        <w:rPr>
          <w:spacing w:val="-36"/>
        </w:rPr>
        <w:t> </w:t>
      </w:r>
      <w:r>
        <w:rPr/>
        <w:t>durante</w:t>
      </w:r>
      <w:r>
        <w:rPr>
          <w:spacing w:val="-37"/>
        </w:rPr>
        <w:t> </w:t>
      </w:r>
      <w:r>
        <w:rPr/>
        <w:t>os</w:t>
      </w:r>
      <w:r>
        <w:rPr>
          <w:spacing w:val="-35"/>
        </w:rPr>
        <w:t> </w:t>
      </w:r>
      <w:r>
        <w:rPr/>
        <w:t>períodos</w:t>
      </w:r>
      <w:r>
        <w:rPr>
          <w:spacing w:val="-36"/>
        </w:rPr>
        <w:t> </w:t>
      </w:r>
      <w:r>
        <w:rPr/>
        <w:t>de</w:t>
      </w:r>
      <w:r>
        <w:rPr>
          <w:spacing w:val="-35"/>
        </w:rPr>
        <w:t> </w:t>
      </w:r>
      <w:r>
        <w:rPr/>
        <w:t>revisão</w:t>
      </w:r>
      <w:r>
        <w:rPr>
          <w:spacing w:val="-35"/>
        </w:rPr>
        <w:t> </w:t>
      </w:r>
      <w:r>
        <w:rPr/>
        <w:t>tarifária,</w:t>
      </w:r>
      <w:r>
        <w:rPr>
          <w:spacing w:val="-36"/>
        </w:rPr>
        <w:t> </w:t>
      </w:r>
      <w:r>
        <w:rPr/>
        <w:t>essa</w:t>
      </w:r>
      <w:r>
        <w:rPr>
          <w:spacing w:val="-37"/>
        </w:rPr>
        <w:t> </w:t>
      </w:r>
      <w:r>
        <w:rPr/>
        <w:t>nova</w:t>
      </w:r>
      <w:r>
        <w:rPr>
          <w:spacing w:val="-35"/>
        </w:rPr>
        <w:t> </w:t>
      </w:r>
      <w:r>
        <w:rPr/>
        <w:t>taxa de</w:t>
      </w:r>
      <w:r>
        <w:rPr>
          <w:spacing w:val="-42"/>
        </w:rPr>
        <w:t> </w:t>
      </w:r>
      <w:r>
        <w:rPr/>
        <w:t>juros</w:t>
      </w:r>
      <w:r>
        <w:rPr>
          <w:spacing w:val="-41"/>
        </w:rPr>
        <w:t> </w:t>
      </w:r>
      <w:r>
        <w:rPr/>
        <w:t>é</w:t>
      </w:r>
      <w:r>
        <w:rPr>
          <w:spacing w:val="-40"/>
        </w:rPr>
        <w:t> </w:t>
      </w:r>
      <w:r>
        <w:rPr/>
        <w:t>utilizada</w:t>
      </w:r>
      <w:r>
        <w:rPr>
          <w:spacing w:val="-40"/>
        </w:rPr>
        <w:t> </w:t>
      </w:r>
      <w:r>
        <w:rPr/>
        <w:t>para</w:t>
      </w:r>
      <w:r>
        <w:rPr>
          <w:spacing w:val="-40"/>
        </w:rPr>
        <w:t> </w:t>
      </w:r>
      <w:r>
        <w:rPr/>
        <w:t>trazer</w:t>
      </w:r>
      <w:r>
        <w:rPr>
          <w:spacing w:val="-41"/>
        </w:rPr>
        <w:t> </w:t>
      </w:r>
      <w:r>
        <w:rPr/>
        <w:t>a</w:t>
      </w:r>
      <w:r>
        <w:rPr>
          <w:spacing w:val="-40"/>
        </w:rPr>
        <w:t> </w:t>
      </w:r>
      <w:r>
        <w:rPr/>
        <w:t>valor</w:t>
      </w:r>
      <w:r>
        <w:rPr>
          <w:spacing w:val="-40"/>
        </w:rPr>
        <w:t> </w:t>
      </w:r>
      <w:r>
        <w:rPr/>
        <w:t>presente</w:t>
      </w:r>
      <w:r>
        <w:rPr>
          <w:spacing w:val="-41"/>
        </w:rPr>
        <w:t> </w:t>
      </w:r>
      <w:r>
        <w:rPr/>
        <w:t>os</w:t>
      </w:r>
      <w:r>
        <w:rPr>
          <w:spacing w:val="-40"/>
        </w:rPr>
        <w:t> </w:t>
      </w:r>
      <w:r>
        <w:rPr/>
        <w:t>fluxos</w:t>
      </w:r>
      <w:r>
        <w:rPr>
          <w:spacing w:val="-39"/>
        </w:rPr>
        <w:t> </w:t>
      </w:r>
      <w:r>
        <w:rPr/>
        <w:t>de</w:t>
      </w:r>
      <w:r>
        <w:rPr>
          <w:spacing w:val="-42"/>
        </w:rPr>
        <w:t> </w:t>
      </w:r>
      <w:r>
        <w:rPr/>
        <w:t>caixa</w:t>
      </w:r>
      <w:r>
        <w:rPr>
          <w:spacing w:val="-40"/>
        </w:rPr>
        <w:t> </w:t>
      </w:r>
      <w:r>
        <w:rPr/>
        <w:t>estimados.</w:t>
      </w:r>
      <w:r>
        <w:rPr>
          <w:spacing w:val="-41"/>
        </w:rPr>
        <w:t> </w:t>
      </w:r>
      <w:r>
        <w:rPr/>
        <w:t>A</w:t>
      </w:r>
      <w:r>
        <w:rPr>
          <w:spacing w:val="-41"/>
        </w:rPr>
        <w:t> </w:t>
      </w:r>
      <w:r>
        <w:rPr/>
        <w:t>CEB</w:t>
      </w:r>
      <w:r>
        <w:rPr>
          <w:spacing w:val="-40"/>
        </w:rPr>
        <w:t> </w:t>
      </w:r>
      <w:r>
        <w:rPr>
          <w:spacing w:val="2"/>
        </w:rPr>
        <w:t>DIS</w:t>
      </w:r>
      <w:r>
        <w:rPr>
          <w:spacing w:val="-41"/>
        </w:rPr>
        <w:t> </w:t>
      </w:r>
      <w:r>
        <w:rPr/>
        <w:t>entende</w:t>
      </w:r>
      <w:r>
        <w:rPr>
          <w:spacing w:val="-40"/>
        </w:rPr>
        <w:t> </w:t>
      </w:r>
      <w:r>
        <w:rPr/>
        <w:t>que</w:t>
      </w:r>
      <w:r>
        <w:rPr>
          <w:spacing w:val="-40"/>
        </w:rPr>
        <w:t> </w:t>
      </w:r>
      <w:r>
        <w:rPr/>
        <w:t>esta</w:t>
      </w:r>
      <w:r>
        <w:rPr>
          <w:spacing w:val="-41"/>
        </w:rPr>
        <w:t> </w:t>
      </w:r>
      <w:r>
        <w:rPr/>
        <w:t>metodologia é</w:t>
      </w:r>
      <w:r>
        <w:rPr>
          <w:spacing w:val="-44"/>
        </w:rPr>
        <w:t> </w:t>
      </w:r>
      <w:r>
        <w:rPr/>
        <w:t>a</w:t>
      </w:r>
      <w:r>
        <w:rPr>
          <w:spacing w:val="-42"/>
        </w:rPr>
        <w:t> </w:t>
      </w:r>
      <w:r>
        <w:rPr/>
        <w:t>que</w:t>
      </w:r>
      <w:r>
        <w:rPr>
          <w:spacing w:val="-44"/>
        </w:rPr>
        <w:t> </w:t>
      </w:r>
      <w:r>
        <w:rPr/>
        <w:t>melhor</w:t>
      </w:r>
      <w:r>
        <w:rPr>
          <w:spacing w:val="-43"/>
        </w:rPr>
        <w:t> </w:t>
      </w:r>
      <w:r>
        <w:rPr/>
        <w:t>reflete</w:t>
      </w:r>
      <w:r>
        <w:rPr>
          <w:spacing w:val="-43"/>
        </w:rPr>
        <w:t> </w:t>
      </w:r>
      <w:r>
        <w:rPr/>
        <w:t>o</w:t>
      </w:r>
      <w:r>
        <w:rPr>
          <w:spacing w:val="-43"/>
        </w:rPr>
        <w:t> </w:t>
      </w:r>
      <w:r>
        <w:rPr/>
        <w:t>valor</w:t>
      </w:r>
      <w:r>
        <w:rPr>
          <w:spacing w:val="-43"/>
        </w:rPr>
        <w:t> </w:t>
      </w:r>
      <w:r>
        <w:rPr/>
        <w:t>justo</w:t>
      </w:r>
      <w:r>
        <w:rPr>
          <w:spacing w:val="-43"/>
        </w:rPr>
        <w:t> </w:t>
      </w:r>
      <w:r>
        <w:rPr/>
        <w:t>na</w:t>
      </w:r>
      <w:r>
        <w:rPr>
          <w:spacing w:val="-43"/>
        </w:rPr>
        <w:t> </w:t>
      </w:r>
      <w:r>
        <w:rPr/>
        <w:t>visão</w:t>
      </w:r>
      <w:r>
        <w:rPr>
          <w:spacing w:val="-43"/>
        </w:rPr>
        <w:t> </w:t>
      </w:r>
      <w:r>
        <w:rPr/>
        <w:t>dos</w:t>
      </w:r>
      <w:r>
        <w:rPr>
          <w:spacing w:val="-41"/>
        </w:rPr>
        <w:t> </w:t>
      </w:r>
      <w:r>
        <w:rPr/>
        <w:t>participantes</w:t>
      </w:r>
      <w:r>
        <w:rPr>
          <w:spacing w:val="-43"/>
        </w:rPr>
        <w:t> </w:t>
      </w:r>
      <w:r>
        <w:rPr/>
        <w:t>do</w:t>
      </w:r>
      <w:r>
        <w:rPr>
          <w:spacing w:val="-43"/>
        </w:rPr>
        <w:t> </w:t>
      </w:r>
      <w:r>
        <w:rPr/>
        <w:t>mercado,</w:t>
      </w:r>
      <w:r>
        <w:rPr>
          <w:spacing w:val="-44"/>
        </w:rPr>
        <w:t> </w:t>
      </w:r>
      <w:r>
        <w:rPr/>
        <w:t>uma</w:t>
      </w:r>
      <w:r>
        <w:rPr>
          <w:spacing w:val="-42"/>
        </w:rPr>
        <w:t> </w:t>
      </w:r>
      <w:r>
        <w:rPr/>
        <w:t>vez</w:t>
      </w:r>
      <w:r>
        <w:rPr>
          <w:spacing w:val="-43"/>
        </w:rPr>
        <w:t> </w:t>
      </w:r>
      <w:r>
        <w:rPr/>
        <w:t>que</w:t>
      </w:r>
      <w:r>
        <w:rPr>
          <w:spacing w:val="-43"/>
        </w:rPr>
        <w:t> </w:t>
      </w:r>
      <w:r>
        <w:rPr/>
        <w:t>a</w:t>
      </w:r>
      <w:r>
        <w:rPr>
          <w:spacing w:val="-43"/>
        </w:rPr>
        <w:t> </w:t>
      </w:r>
      <w:r>
        <w:rPr/>
        <w:t>taxa</w:t>
      </w:r>
      <w:r>
        <w:rPr>
          <w:spacing w:val="-43"/>
        </w:rPr>
        <w:t> </w:t>
      </w:r>
      <w:r>
        <w:rPr/>
        <w:t>de</w:t>
      </w:r>
      <w:r>
        <w:rPr>
          <w:spacing w:val="-42"/>
        </w:rPr>
        <w:t> </w:t>
      </w:r>
      <w:r>
        <w:rPr/>
        <w:t>retorno</w:t>
      </w:r>
      <w:r>
        <w:rPr>
          <w:spacing w:val="-43"/>
        </w:rPr>
        <w:t> </w:t>
      </w:r>
      <w:r>
        <w:rPr/>
        <w:t>estabelecida pela</w:t>
      </w:r>
      <w:r>
        <w:rPr>
          <w:spacing w:val="-25"/>
        </w:rPr>
        <w:t> </w:t>
      </w:r>
      <w:r>
        <w:rPr/>
        <w:t>ANEEL</w:t>
      </w:r>
      <w:r>
        <w:rPr>
          <w:spacing w:val="-24"/>
        </w:rPr>
        <w:t> </w:t>
      </w:r>
      <w:r>
        <w:rPr/>
        <w:t>leva</w:t>
      </w:r>
      <w:r>
        <w:rPr>
          <w:spacing w:val="-23"/>
        </w:rPr>
        <w:t> </w:t>
      </w:r>
      <w:r>
        <w:rPr/>
        <w:t>em</w:t>
      </w:r>
      <w:r>
        <w:rPr>
          <w:spacing w:val="-25"/>
        </w:rPr>
        <w:t> </w:t>
      </w:r>
      <w:r>
        <w:rPr/>
        <w:t>consideração,</w:t>
      </w:r>
      <w:r>
        <w:rPr>
          <w:spacing w:val="-25"/>
        </w:rPr>
        <w:t> </w:t>
      </w:r>
      <w:r>
        <w:rPr/>
        <w:t>além</w:t>
      </w:r>
      <w:r>
        <w:rPr>
          <w:spacing w:val="-25"/>
        </w:rPr>
        <w:t> </w:t>
      </w:r>
      <w:r>
        <w:rPr/>
        <w:t>das</w:t>
      </w:r>
      <w:r>
        <w:rPr>
          <w:spacing w:val="-24"/>
        </w:rPr>
        <w:t> </w:t>
      </w:r>
      <w:r>
        <w:rPr/>
        <w:t>taxas</w:t>
      </w:r>
      <w:r>
        <w:rPr>
          <w:spacing w:val="-24"/>
        </w:rPr>
        <w:t> </w:t>
      </w:r>
      <w:r>
        <w:rPr/>
        <w:t>livres</w:t>
      </w:r>
      <w:r>
        <w:rPr>
          <w:spacing w:val="-22"/>
        </w:rPr>
        <w:t> </w:t>
      </w:r>
      <w:r>
        <w:rPr/>
        <w:t>de</w:t>
      </w:r>
      <w:r>
        <w:rPr>
          <w:spacing w:val="-24"/>
        </w:rPr>
        <w:t> </w:t>
      </w:r>
      <w:r>
        <w:rPr/>
        <w:t>riscos,</w:t>
      </w:r>
      <w:r>
        <w:rPr>
          <w:spacing w:val="-24"/>
        </w:rPr>
        <w:t> </w:t>
      </w:r>
      <w:r>
        <w:rPr/>
        <w:t>os</w:t>
      </w:r>
      <w:r>
        <w:rPr>
          <w:spacing w:val="-23"/>
        </w:rPr>
        <w:t> </w:t>
      </w:r>
      <w:r>
        <w:rPr/>
        <w:t>demais</w:t>
      </w:r>
      <w:r>
        <w:rPr>
          <w:spacing w:val="-24"/>
        </w:rPr>
        <w:t> </w:t>
      </w:r>
      <w:r>
        <w:rPr/>
        <w:t>riscos</w:t>
      </w:r>
      <w:r>
        <w:rPr>
          <w:spacing w:val="-24"/>
        </w:rPr>
        <w:t> </w:t>
      </w:r>
      <w:r>
        <w:rPr/>
        <w:t>inerentes</w:t>
      </w:r>
      <w:r>
        <w:rPr>
          <w:spacing w:val="-24"/>
        </w:rPr>
        <w:t> </w:t>
      </w:r>
      <w:r>
        <w:rPr/>
        <w:t>ao</w:t>
      </w:r>
      <w:r>
        <w:rPr>
          <w:spacing w:val="-22"/>
        </w:rPr>
        <w:t> </w:t>
      </w:r>
      <w:r>
        <w:rPr/>
        <w:t>setor.</w:t>
      </w:r>
    </w:p>
    <w:p>
      <w:pPr>
        <w:pStyle w:val="BodyText"/>
        <w:spacing w:before="8"/>
      </w:pPr>
    </w:p>
    <w:p>
      <w:pPr>
        <w:pStyle w:val="BodyText"/>
        <w:spacing w:line="242" w:lineRule="auto" w:before="1"/>
        <w:ind w:left="172" w:right="414"/>
        <w:jc w:val="both"/>
      </w:pPr>
      <w:r>
        <w:rPr/>
        <w:t>Portanto,</w:t>
      </w:r>
      <w:r>
        <w:rPr>
          <w:spacing w:val="-30"/>
        </w:rPr>
        <w:t> </w:t>
      </w:r>
      <w:r>
        <w:rPr/>
        <w:t>os</w:t>
      </w:r>
      <w:r>
        <w:rPr>
          <w:spacing w:val="-28"/>
        </w:rPr>
        <w:t> </w:t>
      </w:r>
      <w:r>
        <w:rPr/>
        <w:t>ajustes</w:t>
      </w:r>
      <w:r>
        <w:rPr>
          <w:spacing w:val="-28"/>
        </w:rPr>
        <w:t> </w:t>
      </w:r>
      <w:r>
        <w:rPr/>
        <w:t>decorrentes</w:t>
      </w:r>
      <w:r>
        <w:rPr>
          <w:spacing w:val="-28"/>
        </w:rPr>
        <w:t> </w:t>
      </w:r>
      <w:r>
        <w:rPr/>
        <w:t>da</w:t>
      </w:r>
      <w:r>
        <w:rPr>
          <w:spacing w:val="-28"/>
        </w:rPr>
        <w:t> </w:t>
      </w:r>
      <w:r>
        <w:rPr/>
        <w:t>diferença</w:t>
      </w:r>
      <w:r>
        <w:rPr>
          <w:spacing w:val="-28"/>
        </w:rPr>
        <w:t> </w:t>
      </w:r>
      <w:r>
        <w:rPr/>
        <w:t>entre</w:t>
      </w:r>
      <w:r>
        <w:rPr>
          <w:spacing w:val="-29"/>
        </w:rPr>
        <w:t> </w:t>
      </w:r>
      <w:r>
        <w:rPr/>
        <w:t>o</w:t>
      </w:r>
      <w:r>
        <w:rPr>
          <w:spacing w:val="-28"/>
        </w:rPr>
        <w:t> </w:t>
      </w:r>
      <w:r>
        <w:rPr/>
        <w:t>WACC</w:t>
      </w:r>
      <w:r>
        <w:rPr>
          <w:spacing w:val="-29"/>
        </w:rPr>
        <w:t> </w:t>
      </w:r>
      <w:r>
        <w:rPr/>
        <w:t>de</w:t>
      </w:r>
      <w:r>
        <w:rPr>
          <w:spacing w:val="-29"/>
        </w:rPr>
        <w:t> </w:t>
      </w:r>
      <w:r>
        <w:rPr/>
        <w:t>mercado</w:t>
      </w:r>
      <w:r>
        <w:rPr>
          <w:spacing w:val="-27"/>
        </w:rPr>
        <w:t> </w:t>
      </w:r>
      <w:r>
        <w:rPr/>
        <w:t>e</w:t>
      </w:r>
      <w:r>
        <w:rPr>
          <w:spacing w:val="-30"/>
        </w:rPr>
        <w:t> </w:t>
      </w:r>
      <w:r>
        <w:rPr/>
        <w:t>o</w:t>
      </w:r>
      <w:r>
        <w:rPr>
          <w:spacing w:val="-27"/>
        </w:rPr>
        <w:t> </w:t>
      </w:r>
      <w:r>
        <w:rPr/>
        <w:t>WACC</w:t>
      </w:r>
      <w:r>
        <w:rPr>
          <w:spacing w:val="-29"/>
        </w:rPr>
        <w:t> </w:t>
      </w:r>
      <w:r>
        <w:rPr/>
        <w:t>regulatório</w:t>
      </w:r>
      <w:r>
        <w:rPr>
          <w:spacing w:val="-29"/>
        </w:rPr>
        <w:t> </w:t>
      </w:r>
      <w:r>
        <w:rPr/>
        <w:t>são</w:t>
      </w:r>
      <w:r>
        <w:rPr>
          <w:spacing w:val="-27"/>
        </w:rPr>
        <w:t> </w:t>
      </w:r>
      <w:r>
        <w:rPr/>
        <w:t>reconhecidos</w:t>
      </w:r>
      <w:r>
        <w:rPr>
          <w:spacing w:val="-27"/>
        </w:rPr>
        <w:t> </w:t>
      </w:r>
      <w:r>
        <w:rPr/>
        <w:t>no patrimônio</w:t>
      </w:r>
      <w:r>
        <w:rPr>
          <w:spacing w:val="-26"/>
        </w:rPr>
        <w:t> </w:t>
      </w:r>
      <w:r>
        <w:rPr/>
        <w:t>líquido.</w:t>
      </w:r>
      <w:r>
        <w:rPr>
          <w:spacing w:val="-27"/>
        </w:rPr>
        <w:t> </w:t>
      </w:r>
      <w:r>
        <w:rPr/>
        <w:t>Não</w:t>
      </w:r>
      <w:r>
        <w:rPr>
          <w:spacing w:val="-26"/>
        </w:rPr>
        <w:t> </w:t>
      </w:r>
      <w:r>
        <w:rPr/>
        <w:t>há</w:t>
      </w:r>
      <w:r>
        <w:rPr>
          <w:spacing w:val="-25"/>
        </w:rPr>
        <w:t> </w:t>
      </w:r>
      <w:r>
        <w:rPr/>
        <w:t>saldo</w:t>
      </w:r>
      <w:r>
        <w:rPr>
          <w:spacing w:val="-26"/>
        </w:rPr>
        <w:t> </w:t>
      </w:r>
      <w:r>
        <w:rPr/>
        <w:t>registrado</w:t>
      </w:r>
      <w:r>
        <w:rPr>
          <w:spacing w:val="-26"/>
        </w:rPr>
        <w:t> </w:t>
      </w:r>
      <w:r>
        <w:rPr/>
        <w:t>em</w:t>
      </w:r>
      <w:r>
        <w:rPr>
          <w:spacing w:val="-25"/>
        </w:rPr>
        <w:t> </w:t>
      </w:r>
      <w:r>
        <w:rPr/>
        <w:t>outros</w:t>
      </w:r>
      <w:r>
        <w:rPr>
          <w:spacing w:val="-24"/>
        </w:rPr>
        <w:t> </w:t>
      </w:r>
      <w:r>
        <w:rPr/>
        <w:t>resultados</w:t>
      </w:r>
      <w:r>
        <w:rPr>
          <w:spacing w:val="-26"/>
        </w:rPr>
        <w:t> </w:t>
      </w:r>
      <w:r>
        <w:rPr/>
        <w:t>abrangentes,</w:t>
      </w:r>
      <w:r>
        <w:rPr>
          <w:spacing w:val="-26"/>
        </w:rPr>
        <w:t> </w:t>
      </w:r>
      <w:r>
        <w:rPr/>
        <w:t>uma</w:t>
      </w:r>
      <w:r>
        <w:rPr>
          <w:spacing w:val="-27"/>
        </w:rPr>
        <w:t> </w:t>
      </w:r>
      <w:r>
        <w:rPr/>
        <w:t>vez</w:t>
      </w:r>
      <w:r>
        <w:rPr>
          <w:spacing w:val="-26"/>
        </w:rPr>
        <w:t> </w:t>
      </w:r>
      <w:r>
        <w:rPr/>
        <w:t>que</w:t>
      </w:r>
      <w:r>
        <w:rPr>
          <w:spacing w:val="-27"/>
        </w:rPr>
        <w:t> </w:t>
      </w:r>
      <w:r>
        <w:rPr/>
        <w:t>a</w:t>
      </w:r>
      <w:r>
        <w:rPr>
          <w:spacing w:val="-26"/>
        </w:rPr>
        <w:t> </w:t>
      </w:r>
      <w:r>
        <w:rPr/>
        <w:t>Companhia</w:t>
      </w:r>
      <w:r>
        <w:rPr>
          <w:spacing w:val="-26"/>
        </w:rPr>
        <w:t> </w:t>
      </w:r>
      <w:r>
        <w:rPr/>
        <w:t>concluiu que</w:t>
      </w:r>
      <w:r>
        <w:rPr>
          <w:spacing w:val="-28"/>
        </w:rPr>
        <w:t> </w:t>
      </w:r>
      <w:r>
        <w:rPr/>
        <w:t>naquela</w:t>
      </w:r>
      <w:r>
        <w:rPr>
          <w:spacing w:val="-27"/>
        </w:rPr>
        <w:t> </w:t>
      </w:r>
      <w:r>
        <w:rPr/>
        <w:t>data</w:t>
      </w:r>
      <w:r>
        <w:rPr>
          <w:spacing w:val="-28"/>
        </w:rPr>
        <w:t> </w:t>
      </w:r>
      <w:r>
        <w:rPr/>
        <w:t>não</w:t>
      </w:r>
      <w:r>
        <w:rPr>
          <w:spacing w:val="-27"/>
        </w:rPr>
        <w:t> </w:t>
      </w:r>
      <w:r>
        <w:rPr/>
        <w:t>ocorreu</w:t>
      </w:r>
      <w:r>
        <w:rPr>
          <w:spacing w:val="-27"/>
        </w:rPr>
        <w:t> </w:t>
      </w:r>
      <w:r>
        <w:rPr/>
        <w:t>diferença</w:t>
      </w:r>
      <w:r>
        <w:rPr>
          <w:spacing w:val="-26"/>
        </w:rPr>
        <w:t> </w:t>
      </w:r>
      <w:r>
        <w:rPr/>
        <w:t>entre</w:t>
      </w:r>
      <w:r>
        <w:rPr>
          <w:spacing w:val="-27"/>
        </w:rPr>
        <w:t> </w:t>
      </w:r>
      <w:r>
        <w:rPr/>
        <w:t>essas</w:t>
      </w:r>
      <w:r>
        <w:rPr>
          <w:spacing w:val="-28"/>
        </w:rPr>
        <w:t> </w:t>
      </w:r>
      <w:r>
        <w:rPr/>
        <w:t>taxas</w:t>
      </w:r>
      <w:r>
        <w:rPr>
          <w:spacing w:val="-28"/>
        </w:rPr>
        <w:t> </w:t>
      </w:r>
      <w:r>
        <w:rPr/>
        <w:t>na</w:t>
      </w:r>
      <w:r>
        <w:rPr>
          <w:spacing w:val="-28"/>
        </w:rPr>
        <w:t> </w:t>
      </w:r>
      <w:r>
        <w:rPr/>
        <w:t>data-base</w:t>
      </w:r>
      <w:r>
        <w:rPr>
          <w:spacing w:val="-27"/>
        </w:rPr>
        <w:t> </w:t>
      </w:r>
      <w:r>
        <w:rPr/>
        <w:t>destas</w:t>
      </w:r>
      <w:r>
        <w:rPr>
          <w:spacing w:val="-28"/>
        </w:rPr>
        <w:t> </w:t>
      </w:r>
      <w:r>
        <w:rPr/>
        <w:t>demonstrações</w:t>
      </w:r>
      <w:r>
        <w:rPr>
          <w:spacing w:val="-27"/>
        </w:rPr>
        <w:t> </w:t>
      </w:r>
      <w:r>
        <w:rPr/>
        <w:t>contábeis.</w:t>
      </w:r>
    </w:p>
    <w:p>
      <w:pPr>
        <w:pStyle w:val="BodyText"/>
        <w:spacing w:before="7"/>
      </w:pPr>
    </w:p>
    <w:p>
      <w:pPr>
        <w:pStyle w:val="BodyText"/>
        <w:spacing w:line="242" w:lineRule="auto"/>
        <w:ind w:left="172" w:right="420"/>
        <w:jc w:val="both"/>
      </w:pPr>
      <w:r>
        <w:rPr/>
        <w:t>A</w:t>
      </w:r>
      <w:r>
        <w:rPr>
          <w:spacing w:val="-5"/>
        </w:rPr>
        <w:t> </w:t>
      </w:r>
      <w:r>
        <w:rPr/>
        <w:t>movimentação</w:t>
      </w:r>
      <w:r>
        <w:rPr>
          <w:spacing w:val="-6"/>
        </w:rPr>
        <w:t> </w:t>
      </w:r>
      <w:r>
        <w:rPr/>
        <w:t>do</w:t>
      </w:r>
      <w:r>
        <w:rPr>
          <w:spacing w:val="-5"/>
        </w:rPr>
        <w:t> </w:t>
      </w:r>
      <w:r>
        <w:rPr/>
        <w:t>saldo</w:t>
      </w:r>
      <w:r>
        <w:rPr>
          <w:spacing w:val="-4"/>
        </w:rPr>
        <w:t> </w:t>
      </w:r>
      <w:r>
        <w:rPr/>
        <w:t>referente</w:t>
      </w:r>
      <w:r>
        <w:rPr>
          <w:spacing w:val="-5"/>
        </w:rPr>
        <w:t> </w:t>
      </w:r>
      <w:r>
        <w:rPr/>
        <w:t>ao</w:t>
      </w:r>
      <w:r>
        <w:rPr>
          <w:spacing w:val="-4"/>
        </w:rPr>
        <w:t> </w:t>
      </w:r>
      <w:r>
        <w:rPr/>
        <w:t>ativo</w:t>
      </w:r>
      <w:r>
        <w:rPr>
          <w:spacing w:val="-4"/>
        </w:rPr>
        <w:t> </w:t>
      </w:r>
      <w:r>
        <w:rPr/>
        <w:t>financeiro</w:t>
      </w:r>
      <w:r>
        <w:rPr>
          <w:spacing w:val="-5"/>
        </w:rPr>
        <w:t> </w:t>
      </w:r>
      <w:r>
        <w:rPr/>
        <w:t>indenizável</w:t>
      </w:r>
      <w:r>
        <w:rPr>
          <w:spacing w:val="-3"/>
        </w:rPr>
        <w:t> </w:t>
      </w:r>
      <w:r>
        <w:rPr/>
        <w:t>(concessão)</w:t>
      </w:r>
      <w:r>
        <w:rPr>
          <w:spacing w:val="-3"/>
        </w:rPr>
        <w:t> </w:t>
      </w:r>
      <w:r>
        <w:rPr/>
        <w:t>para</w:t>
      </w:r>
      <w:r>
        <w:rPr>
          <w:spacing w:val="-5"/>
        </w:rPr>
        <w:t> </w:t>
      </w:r>
      <w:r>
        <w:rPr/>
        <w:t>o</w:t>
      </w:r>
      <w:r>
        <w:rPr>
          <w:spacing w:val="-4"/>
        </w:rPr>
        <w:t> </w:t>
      </w:r>
      <w:r>
        <w:rPr/>
        <w:t>período</w:t>
      </w:r>
      <w:r>
        <w:rPr>
          <w:spacing w:val="-4"/>
        </w:rPr>
        <w:t> </w:t>
      </w:r>
      <w:r>
        <w:rPr/>
        <w:t>de</w:t>
      </w:r>
      <w:r>
        <w:rPr>
          <w:spacing w:val="-4"/>
        </w:rPr>
        <w:t> </w:t>
      </w:r>
      <w:r>
        <w:rPr/>
        <w:t>doze</w:t>
      </w:r>
      <w:r>
        <w:rPr>
          <w:spacing w:val="-4"/>
        </w:rPr>
        <w:t> </w:t>
      </w:r>
      <w:r>
        <w:rPr/>
        <w:t>meses, mostrada no quadro</w:t>
      </w:r>
      <w:r>
        <w:rPr>
          <w:spacing w:val="-46"/>
        </w:rPr>
        <w:t> </w:t>
      </w:r>
      <w:r>
        <w:rPr/>
        <w:t>seguinte:</w:t>
      </w:r>
    </w:p>
    <w:p>
      <w:pPr>
        <w:pStyle w:val="BodyText"/>
        <w:spacing w:before="5"/>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030"/>
        <w:gridCol w:w="1886"/>
      </w:tblGrid>
      <w:tr>
        <w:trPr>
          <w:trHeight w:val="237" w:hRule="atLeast"/>
        </w:trPr>
        <w:tc>
          <w:tcPr>
            <w:tcW w:w="8030" w:type="dxa"/>
            <w:shd w:val="clear" w:color="auto" w:fill="D9D9D9"/>
          </w:tcPr>
          <w:p>
            <w:pPr>
              <w:pStyle w:val="TableParagraph"/>
              <w:rPr>
                <w:rFonts w:ascii="Times New Roman"/>
                <w:sz w:val="16"/>
              </w:rPr>
            </w:pPr>
          </w:p>
        </w:tc>
        <w:tc>
          <w:tcPr>
            <w:tcW w:w="1886" w:type="dxa"/>
          </w:tcPr>
          <w:p>
            <w:pPr>
              <w:pStyle w:val="TableParagraph"/>
              <w:spacing w:before="35"/>
              <w:ind w:left="544"/>
              <w:rPr>
                <w:rFonts w:ascii="Caladea"/>
                <w:b/>
                <w:sz w:val="14"/>
              </w:rPr>
            </w:pPr>
            <w:r>
              <w:rPr>
                <w:rFonts w:ascii="Caladea"/>
                <w:b/>
                <w:sz w:val="14"/>
              </w:rPr>
              <w:t>Consolidado</w:t>
            </w:r>
          </w:p>
        </w:tc>
      </w:tr>
      <w:tr>
        <w:trPr>
          <w:trHeight w:val="237" w:hRule="atLeast"/>
        </w:trPr>
        <w:tc>
          <w:tcPr>
            <w:tcW w:w="8030" w:type="dxa"/>
          </w:tcPr>
          <w:p>
            <w:pPr>
              <w:pStyle w:val="TableParagraph"/>
              <w:spacing w:before="37"/>
              <w:ind w:left="103"/>
              <w:rPr>
                <w:rFonts w:ascii="Caladea" w:hAnsi="Caladea"/>
                <w:b/>
                <w:sz w:val="14"/>
              </w:rPr>
            </w:pPr>
            <w:r>
              <w:rPr>
                <w:rFonts w:ascii="Caladea" w:hAnsi="Caladea"/>
                <w:b/>
                <w:sz w:val="14"/>
              </w:rPr>
              <w:t>Saldos em 1º de janeiro de 2018</w:t>
            </w:r>
          </w:p>
        </w:tc>
        <w:tc>
          <w:tcPr>
            <w:tcW w:w="1886" w:type="dxa"/>
          </w:tcPr>
          <w:p>
            <w:pPr>
              <w:pStyle w:val="TableParagraph"/>
              <w:spacing w:before="37"/>
              <w:ind w:right="59"/>
              <w:jc w:val="right"/>
              <w:rPr>
                <w:rFonts w:ascii="Caladea"/>
                <w:b/>
                <w:sz w:val="14"/>
              </w:rPr>
            </w:pPr>
            <w:r>
              <w:rPr>
                <w:rFonts w:ascii="Caladea"/>
                <w:b/>
                <w:w w:val="95"/>
                <w:sz w:val="14"/>
              </w:rPr>
              <w:t>137.481</w:t>
            </w:r>
          </w:p>
        </w:tc>
      </w:tr>
      <w:tr>
        <w:trPr>
          <w:trHeight w:val="239" w:hRule="atLeast"/>
        </w:trPr>
        <w:tc>
          <w:tcPr>
            <w:tcW w:w="8030" w:type="dxa"/>
          </w:tcPr>
          <w:p>
            <w:pPr>
              <w:pStyle w:val="TableParagraph"/>
              <w:spacing w:before="38"/>
              <w:ind w:left="103"/>
              <w:rPr>
                <w:sz w:val="14"/>
              </w:rPr>
            </w:pPr>
            <w:r>
              <w:rPr>
                <w:sz w:val="14"/>
              </w:rPr>
              <w:t>Adições</w:t>
            </w:r>
          </w:p>
        </w:tc>
        <w:tc>
          <w:tcPr>
            <w:tcW w:w="1886" w:type="dxa"/>
          </w:tcPr>
          <w:p>
            <w:pPr>
              <w:pStyle w:val="TableParagraph"/>
              <w:spacing w:before="38"/>
              <w:ind w:right="59"/>
              <w:jc w:val="right"/>
              <w:rPr>
                <w:sz w:val="14"/>
              </w:rPr>
            </w:pPr>
            <w:r>
              <w:rPr>
                <w:w w:val="95"/>
                <w:sz w:val="14"/>
              </w:rPr>
              <w:t>1.968</w:t>
            </w:r>
          </w:p>
        </w:tc>
      </w:tr>
      <w:tr>
        <w:trPr>
          <w:trHeight w:val="237" w:hRule="atLeast"/>
        </w:trPr>
        <w:tc>
          <w:tcPr>
            <w:tcW w:w="8030" w:type="dxa"/>
          </w:tcPr>
          <w:p>
            <w:pPr>
              <w:pStyle w:val="TableParagraph"/>
              <w:spacing w:before="36"/>
              <w:ind w:left="103"/>
              <w:rPr>
                <w:sz w:val="14"/>
              </w:rPr>
            </w:pPr>
            <w:r>
              <w:rPr>
                <w:sz w:val="14"/>
              </w:rPr>
              <w:t>Baixa</w:t>
            </w:r>
          </w:p>
        </w:tc>
        <w:tc>
          <w:tcPr>
            <w:tcW w:w="1886" w:type="dxa"/>
          </w:tcPr>
          <w:p>
            <w:pPr>
              <w:pStyle w:val="TableParagraph"/>
              <w:spacing w:before="36"/>
              <w:ind w:right="59"/>
              <w:jc w:val="right"/>
              <w:rPr>
                <w:sz w:val="14"/>
              </w:rPr>
            </w:pPr>
            <w:r>
              <w:rPr>
                <w:sz w:val="14"/>
              </w:rPr>
              <w:t>(18)</w:t>
            </w:r>
          </w:p>
        </w:tc>
      </w:tr>
      <w:tr>
        <w:trPr>
          <w:trHeight w:val="237" w:hRule="atLeast"/>
        </w:trPr>
        <w:tc>
          <w:tcPr>
            <w:tcW w:w="8030" w:type="dxa"/>
          </w:tcPr>
          <w:p>
            <w:pPr>
              <w:pStyle w:val="TableParagraph"/>
              <w:spacing w:before="38"/>
              <w:ind w:left="103"/>
              <w:rPr>
                <w:sz w:val="14"/>
              </w:rPr>
            </w:pPr>
            <w:r>
              <w:rPr>
                <w:sz w:val="14"/>
              </w:rPr>
              <w:t>Ajuste do Ativo Financeiro de Concessão a VNR</w:t>
            </w:r>
          </w:p>
        </w:tc>
        <w:tc>
          <w:tcPr>
            <w:tcW w:w="1886" w:type="dxa"/>
          </w:tcPr>
          <w:p>
            <w:pPr>
              <w:pStyle w:val="TableParagraph"/>
              <w:spacing w:before="38"/>
              <w:ind w:right="59"/>
              <w:jc w:val="right"/>
              <w:rPr>
                <w:sz w:val="14"/>
              </w:rPr>
            </w:pPr>
            <w:r>
              <w:rPr>
                <w:w w:val="95"/>
                <w:sz w:val="14"/>
              </w:rPr>
              <w:t>5.019</w:t>
            </w:r>
          </w:p>
        </w:tc>
      </w:tr>
      <w:tr>
        <w:trPr>
          <w:trHeight w:val="239" w:hRule="atLeast"/>
        </w:trPr>
        <w:tc>
          <w:tcPr>
            <w:tcW w:w="8030" w:type="dxa"/>
          </w:tcPr>
          <w:p>
            <w:pPr>
              <w:pStyle w:val="TableParagraph"/>
              <w:spacing w:before="37"/>
              <w:ind w:left="103"/>
              <w:rPr>
                <w:rFonts w:ascii="Caladea"/>
                <w:b/>
                <w:sz w:val="14"/>
              </w:rPr>
            </w:pPr>
            <w:r>
              <w:rPr>
                <w:rFonts w:ascii="Caladea"/>
                <w:b/>
                <w:sz w:val="14"/>
              </w:rPr>
              <w:t>Saldos em 31 de dezembro de 2018</w:t>
            </w:r>
          </w:p>
        </w:tc>
        <w:tc>
          <w:tcPr>
            <w:tcW w:w="1886" w:type="dxa"/>
          </w:tcPr>
          <w:p>
            <w:pPr>
              <w:pStyle w:val="TableParagraph"/>
              <w:spacing w:before="37"/>
              <w:ind w:right="59"/>
              <w:jc w:val="right"/>
              <w:rPr>
                <w:rFonts w:ascii="Caladea"/>
                <w:b/>
                <w:sz w:val="14"/>
              </w:rPr>
            </w:pPr>
            <w:r>
              <w:rPr>
                <w:rFonts w:ascii="Caladea"/>
                <w:b/>
                <w:w w:val="95"/>
                <w:sz w:val="14"/>
              </w:rPr>
              <w:t>144.450</w:t>
            </w:r>
          </w:p>
        </w:tc>
      </w:tr>
      <w:tr>
        <w:trPr>
          <w:trHeight w:val="237" w:hRule="atLeast"/>
        </w:trPr>
        <w:tc>
          <w:tcPr>
            <w:tcW w:w="8030" w:type="dxa"/>
          </w:tcPr>
          <w:p>
            <w:pPr>
              <w:pStyle w:val="TableParagraph"/>
              <w:spacing w:before="36"/>
              <w:ind w:left="103"/>
              <w:rPr>
                <w:sz w:val="14"/>
              </w:rPr>
            </w:pPr>
            <w:r>
              <w:rPr>
                <w:sz w:val="14"/>
              </w:rPr>
              <w:t>Adições</w:t>
            </w:r>
          </w:p>
        </w:tc>
        <w:tc>
          <w:tcPr>
            <w:tcW w:w="1886" w:type="dxa"/>
          </w:tcPr>
          <w:p>
            <w:pPr>
              <w:pStyle w:val="TableParagraph"/>
              <w:spacing w:before="36"/>
              <w:ind w:right="59"/>
              <w:jc w:val="right"/>
              <w:rPr>
                <w:sz w:val="14"/>
              </w:rPr>
            </w:pPr>
            <w:r>
              <w:rPr>
                <w:sz w:val="14"/>
              </w:rPr>
              <w:t>548</w:t>
            </w:r>
          </w:p>
        </w:tc>
      </w:tr>
      <w:tr>
        <w:trPr>
          <w:trHeight w:val="237" w:hRule="atLeast"/>
        </w:trPr>
        <w:tc>
          <w:tcPr>
            <w:tcW w:w="8030" w:type="dxa"/>
          </w:tcPr>
          <w:p>
            <w:pPr>
              <w:pStyle w:val="TableParagraph"/>
              <w:spacing w:before="38"/>
              <w:ind w:left="103"/>
              <w:rPr>
                <w:sz w:val="14"/>
              </w:rPr>
            </w:pPr>
            <w:r>
              <w:rPr>
                <w:sz w:val="14"/>
              </w:rPr>
              <w:t>Ajuste do Ativo Financeiro de Concessão a VNR</w:t>
            </w:r>
          </w:p>
        </w:tc>
        <w:tc>
          <w:tcPr>
            <w:tcW w:w="1886" w:type="dxa"/>
          </w:tcPr>
          <w:p>
            <w:pPr>
              <w:pStyle w:val="TableParagraph"/>
              <w:spacing w:before="38"/>
              <w:ind w:right="59"/>
              <w:jc w:val="right"/>
              <w:rPr>
                <w:sz w:val="14"/>
              </w:rPr>
            </w:pPr>
            <w:r>
              <w:rPr>
                <w:w w:val="95"/>
                <w:sz w:val="14"/>
              </w:rPr>
              <w:t>5.640</w:t>
            </w:r>
          </w:p>
        </w:tc>
      </w:tr>
      <w:tr>
        <w:trPr>
          <w:trHeight w:val="239" w:hRule="atLeast"/>
        </w:trPr>
        <w:tc>
          <w:tcPr>
            <w:tcW w:w="8030" w:type="dxa"/>
          </w:tcPr>
          <w:p>
            <w:pPr>
              <w:pStyle w:val="TableParagraph"/>
              <w:spacing w:before="37"/>
              <w:ind w:left="103"/>
              <w:rPr>
                <w:rFonts w:ascii="Caladea"/>
                <w:b/>
                <w:sz w:val="14"/>
              </w:rPr>
            </w:pPr>
            <w:r>
              <w:rPr>
                <w:rFonts w:ascii="Caladea"/>
                <w:b/>
                <w:sz w:val="14"/>
              </w:rPr>
              <w:t>Saldos em 31 de dezembro de 2019</w:t>
            </w:r>
          </w:p>
        </w:tc>
        <w:tc>
          <w:tcPr>
            <w:tcW w:w="1886" w:type="dxa"/>
          </w:tcPr>
          <w:p>
            <w:pPr>
              <w:pStyle w:val="TableParagraph"/>
              <w:spacing w:before="37"/>
              <w:ind w:right="59"/>
              <w:jc w:val="right"/>
              <w:rPr>
                <w:rFonts w:ascii="Caladea"/>
                <w:b/>
                <w:sz w:val="14"/>
              </w:rPr>
            </w:pPr>
            <w:r>
              <w:rPr>
                <w:rFonts w:ascii="Caladea"/>
                <w:b/>
                <w:w w:val="95"/>
                <w:sz w:val="14"/>
              </w:rPr>
              <w:t>150.638</w:t>
            </w:r>
          </w:p>
        </w:tc>
      </w:tr>
    </w:tbl>
    <w:p>
      <w:pPr>
        <w:pStyle w:val="BodyText"/>
        <w:spacing w:line="242" w:lineRule="auto" w:before="124"/>
        <w:ind w:left="172" w:right="412"/>
        <w:jc w:val="both"/>
      </w:pPr>
      <w:r>
        <w:rPr/>
        <w:t>O</w:t>
      </w:r>
      <w:r>
        <w:rPr>
          <w:spacing w:val="-24"/>
        </w:rPr>
        <w:t> </w:t>
      </w:r>
      <w:r>
        <w:rPr/>
        <w:t>valor</w:t>
      </w:r>
      <w:r>
        <w:rPr>
          <w:spacing w:val="-23"/>
        </w:rPr>
        <w:t> </w:t>
      </w:r>
      <w:r>
        <w:rPr/>
        <w:t>recuperável</w:t>
      </w:r>
      <w:r>
        <w:rPr>
          <w:spacing w:val="-21"/>
        </w:rPr>
        <w:t> </w:t>
      </w:r>
      <w:r>
        <w:rPr/>
        <w:t>destes</w:t>
      </w:r>
      <w:r>
        <w:rPr>
          <w:spacing w:val="-21"/>
        </w:rPr>
        <w:t> </w:t>
      </w:r>
      <w:r>
        <w:rPr/>
        <w:t>ativos</w:t>
      </w:r>
      <w:r>
        <w:rPr>
          <w:spacing w:val="-22"/>
        </w:rPr>
        <w:t> </w:t>
      </w:r>
      <w:r>
        <w:rPr/>
        <w:t>supera</w:t>
      </w:r>
      <w:r>
        <w:rPr>
          <w:spacing w:val="-22"/>
        </w:rPr>
        <w:t> </w:t>
      </w:r>
      <w:r>
        <w:rPr/>
        <w:t>seu</w:t>
      </w:r>
      <w:r>
        <w:rPr>
          <w:spacing w:val="-23"/>
        </w:rPr>
        <w:t> </w:t>
      </w:r>
      <w:r>
        <w:rPr/>
        <w:t>valor</w:t>
      </w:r>
      <w:r>
        <w:rPr>
          <w:spacing w:val="-23"/>
        </w:rPr>
        <w:t> </w:t>
      </w:r>
      <w:r>
        <w:rPr/>
        <w:t>contábil</w:t>
      </w:r>
      <w:r>
        <w:rPr>
          <w:spacing w:val="-22"/>
        </w:rPr>
        <w:t> </w:t>
      </w:r>
      <w:r>
        <w:rPr/>
        <w:t>e,</w:t>
      </w:r>
      <w:r>
        <w:rPr>
          <w:spacing w:val="-22"/>
        </w:rPr>
        <w:t> </w:t>
      </w:r>
      <w:r>
        <w:rPr/>
        <w:t>portanto,</w:t>
      </w:r>
      <w:r>
        <w:rPr>
          <w:spacing w:val="-23"/>
        </w:rPr>
        <w:t> </w:t>
      </w:r>
      <w:r>
        <w:rPr/>
        <w:t>não</w:t>
      </w:r>
      <w:r>
        <w:rPr>
          <w:spacing w:val="-22"/>
        </w:rPr>
        <w:t> </w:t>
      </w:r>
      <w:r>
        <w:rPr/>
        <w:t>há</w:t>
      </w:r>
      <w:r>
        <w:rPr>
          <w:spacing w:val="-22"/>
        </w:rPr>
        <w:t> </w:t>
      </w:r>
      <w:r>
        <w:rPr/>
        <w:t>perdas</w:t>
      </w:r>
      <w:r>
        <w:rPr>
          <w:spacing w:val="-22"/>
        </w:rPr>
        <w:t> </w:t>
      </w:r>
      <w:r>
        <w:rPr/>
        <w:t>por</w:t>
      </w:r>
      <w:r>
        <w:rPr>
          <w:spacing w:val="-23"/>
        </w:rPr>
        <w:t> </w:t>
      </w:r>
      <w:r>
        <w:rPr/>
        <w:t>desvalorização</w:t>
      </w:r>
      <w:r>
        <w:rPr>
          <w:spacing w:val="-22"/>
        </w:rPr>
        <w:t> </w:t>
      </w:r>
      <w:r>
        <w:rPr/>
        <w:t>a</w:t>
      </w:r>
      <w:r>
        <w:rPr>
          <w:spacing w:val="-22"/>
        </w:rPr>
        <w:t> </w:t>
      </w:r>
      <w:r>
        <w:rPr/>
        <w:t>serem reconhecidas.</w:t>
      </w:r>
      <w:r>
        <w:rPr>
          <w:spacing w:val="-46"/>
        </w:rPr>
        <w:t> </w:t>
      </w:r>
      <w:r>
        <w:rPr/>
        <w:t>Não</w:t>
      </w:r>
      <w:r>
        <w:rPr>
          <w:spacing w:val="-45"/>
        </w:rPr>
        <w:t> </w:t>
      </w:r>
      <w:r>
        <w:rPr/>
        <w:t>houve</w:t>
      </w:r>
      <w:r>
        <w:rPr>
          <w:spacing w:val="-45"/>
        </w:rPr>
        <w:t> </w:t>
      </w:r>
      <w:r>
        <w:rPr/>
        <w:t>indícios</w:t>
      </w:r>
      <w:r>
        <w:rPr>
          <w:spacing w:val="-45"/>
        </w:rPr>
        <w:t> </w:t>
      </w:r>
      <w:r>
        <w:rPr/>
        <w:t>de</w:t>
      </w:r>
      <w:r>
        <w:rPr>
          <w:spacing w:val="-45"/>
        </w:rPr>
        <w:t> </w:t>
      </w:r>
      <w:r>
        <w:rPr/>
        <w:t>perda</w:t>
      </w:r>
      <w:r>
        <w:rPr>
          <w:spacing w:val="-44"/>
        </w:rPr>
        <w:t> </w:t>
      </w:r>
      <w:r>
        <w:rPr/>
        <w:t>no</w:t>
      </w:r>
      <w:r>
        <w:rPr>
          <w:spacing w:val="-45"/>
        </w:rPr>
        <w:t> </w:t>
      </w:r>
      <w:r>
        <w:rPr/>
        <w:t>valor</w:t>
      </w:r>
      <w:r>
        <w:rPr>
          <w:spacing w:val="-46"/>
        </w:rPr>
        <w:t> </w:t>
      </w:r>
      <w:r>
        <w:rPr/>
        <w:t>recuperável</w:t>
      </w:r>
      <w:r>
        <w:rPr>
          <w:spacing w:val="-44"/>
        </w:rPr>
        <w:t> </w:t>
      </w:r>
      <w:r>
        <w:rPr/>
        <w:t>desses</w:t>
      </w:r>
      <w:r>
        <w:rPr>
          <w:spacing w:val="-46"/>
        </w:rPr>
        <w:t> </w:t>
      </w:r>
      <w:r>
        <w:rPr/>
        <w:t>ativos</w:t>
      </w:r>
      <w:r>
        <w:rPr>
          <w:spacing w:val="-45"/>
        </w:rPr>
        <w:t> </w:t>
      </w:r>
      <w:r>
        <w:rPr/>
        <w:t>na</w:t>
      </w:r>
      <w:r>
        <w:rPr>
          <w:spacing w:val="-44"/>
        </w:rPr>
        <w:t> </w:t>
      </w:r>
      <w:r>
        <w:rPr/>
        <w:t>data</w:t>
      </w:r>
      <w:r>
        <w:rPr>
          <w:spacing w:val="-44"/>
        </w:rPr>
        <w:t> </w:t>
      </w:r>
      <w:r>
        <w:rPr/>
        <w:t>das</w:t>
      </w:r>
      <w:r>
        <w:rPr>
          <w:spacing w:val="-45"/>
        </w:rPr>
        <w:t> </w:t>
      </w:r>
      <w:r>
        <w:rPr/>
        <w:t>demonstrações</w:t>
      </w:r>
      <w:r>
        <w:rPr>
          <w:spacing w:val="-45"/>
        </w:rPr>
        <w:t> </w:t>
      </w:r>
      <w:r>
        <w:rPr/>
        <w:t>financeiras.</w:t>
      </w:r>
    </w:p>
    <w:p>
      <w:pPr>
        <w:pStyle w:val="BodyText"/>
        <w:spacing w:before="2"/>
      </w:pPr>
    </w:p>
    <w:p>
      <w:pPr>
        <w:pStyle w:val="Heading3"/>
        <w:numPr>
          <w:ilvl w:val="0"/>
          <w:numId w:val="6"/>
        </w:numPr>
        <w:tabs>
          <w:tab w:pos="953" w:val="left" w:leader="none"/>
          <w:tab w:pos="954" w:val="left" w:leader="none"/>
        </w:tabs>
        <w:spacing w:line="240" w:lineRule="auto" w:before="0" w:after="0"/>
        <w:ind w:left="953" w:right="0" w:hanging="782"/>
        <w:jc w:val="left"/>
      </w:pPr>
      <w:r>
        <w:rPr/>
        <w:t>APLICAÇÕES</w:t>
      </w:r>
      <w:r>
        <w:rPr>
          <w:spacing w:val="-1"/>
        </w:rPr>
        <w:t> </w:t>
      </w:r>
      <w:r>
        <w:rPr/>
        <w:t>FINANCEIRAS</w:t>
      </w:r>
    </w:p>
    <w:p>
      <w:pPr>
        <w:pStyle w:val="BodyText"/>
        <w:spacing w:before="5"/>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89"/>
        <w:gridCol w:w="1863"/>
        <w:gridCol w:w="1865"/>
      </w:tblGrid>
      <w:tr>
        <w:trPr>
          <w:trHeight w:val="249" w:hRule="atLeast"/>
        </w:trPr>
        <w:tc>
          <w:tcPr>
            <w:tcW w:w="6189" w:type="dxa"/>
            <w:vMerge w:val="restart"/>
            <w:shd w:val="clear" w:color="auto" w:fill="D9D9D9"/>
          </w:tcPr>
          <w:p>
            <w:pPr>
              <w:pStyle w:val="TableParagraph"/>
              <w:rPr>
                <w:rFonts w:ascii="Times New Roman"/>
                <w:sz w:val="18"/>
              </w:rPr>
            </w:pPr>
          </w:p>
        </w:tc>
        <w:tc>
          <w:tcPr>
            <w:tcW w:w="3728" w:type="dxa"/>
            <w:gridSpan w:val="2"/>
          </w:tcPr>
          <w:p>
            <w:pPr>
              <w:pStyle w:val="TableParagraph"/>
              <w:spacing w:before="42"/>
              <w:ind w:left="1443" w:right="1436"/>
              <w:jc w:val="center"/>
              <w:rPr>
                <w:rFonts w:ascii="Caladea"/>
                <w:b/>
                <w:sz w:val="14"/>
              </w:rPr>
            </w:pPr>
            <w:r>
              <w:rPr>
                <w:rFonts w:ascii="Caladea"/>
                <w:b/>
                <w:sz w:val="14"/>
              </w:rPr>
              <w:t>Consolidado</w:t>
            </w:r>
          </w:p>
        </w:tc>
      </w:tr>
      <w:tr>
        <w:trPr>
          <w:trHeight w:val="249" w:hRule="atLeast"/>
        </w:trPr>
        <w:tc>
          <w:tcPr>
            <w:tcW w:w="6189" w:type="dxa"/>
            <w:vMerge/>
            <w:tcBorders>
              <w:top w:val="nil"/>
            </w:tcBorders>
            <w:shd w:val="clear" w:color="auto" w:fill="D9D9D9"/>
          </w:tcPr>
          <w:p>
            <w:pPr>
              <w:rPr>
                <w:sz w:val="2"/>
                <w:szCs w:val="2"/>
              </w:rPr>
            </w:pPr>
          </w:p>
        </w:tc>
        <w:tc>
          <w:tcPr>
            <w:tcW w:w="1863" w:type="dxa"/>
          </w:tcPr>
          <w:p>
            <w:pPr>
              <w:pStyle w:val="TableParagraph"/>
              <w:spacing w:before="42"/>
              <w:ind w:left="529"/>
              <w:rPr>
                <w:rFonts w:ascii="Caladea"/>
                <w:b/>
                <w:sz w:val="14"/>
              </w:rPr>
            </w:pPr>
            <w:r>
              <w:rPr>
                <w:rFonts w:ascii="Caladea"/>
                <w:b/>
                <w:sz w:val="14"/>
              </w:rPr>
              <w:t>31/12/2019</w:t>
            </w:r>
          </w:p>
        </w:tc>
        <w:tc>
          <w:tcPr>
            <w:tcW w:w="1865" w:type="dxa"/>
          </w:tcPr>
          <w:p>
            <w:pPr>
              <w:pStyle w:val="TableParagraph"/>
              <w:spacing w:before="42"/>
              <w:ind w:left="529"/>
              <w:rPr>
                <w:rFonts w:ascii="Caladea"/>
                <w:b/>
                <w:sz w:val="14"/>
              </w:rPr>
            </w:pPr>
            <w:r>
              <w:rPr>
                <w:rFonts w:ascii="Caladea"/>
                <w:b/>
                <w:sz w:val="14"/>
              </w:rPr>
              <w:t>31/12/2018</w:t>
            </w:r>
          </w:p>
        </w:tc>
      </w:tr>
      <w:tr>
        <w:trPr>
          <w:trHeight w:val="249" w:hRule="atLeast"/>
        </w:trPr>
        <w:tc>
          <w:tcPr>
            <w:tcW w:w="6189" w:type="dxa"/>
          </w:tcPr>
          <w:p>
            <w:pPr>
              <w:pStyle w:val="TableParagraph"/>
              <w:spacing w:before="42"/>
              <w:ind w:left="103"/>
              <w:rPr>
                <w:rFonts w:ascii="Caladea" w:hAnsi="Caladea"/>
                <w:b/>
                <w:sz w:val="14"/>
              </w:rPr>
            </w:pPr>
            <w:r>
              <w:rPr>
                <w:w w:val="105"/>
                <w:sz w:val="14"/>
              </w:rPr>
              <w:t>Principal – Banco </w:t>
            </w:r>
            <w:r>
              <w:rPr>
                <w:rFonts w:ascii="Caladea" w:hAnsi="Caladea"/>
                <w:i/>
                <w:w w:val="105"/>
                <w:sz w:val="14"/>
              </w:rPr>
              <w:t>Credit Suisse </w:t>
            </w:r>
            <w:r>
              <w:rPr>
                <w:rFonts w:ascii="Caladea" w:hAnsi="Caladea"/>
                <w:b/>
                <w:w w:val="105"/>
                <w:sz w:val="14"/>
              </w:rPr>
              <w:t>(a)</w:t>
            </w:r>
          </w:p>
        </w:tc>
        <w:tc>
          <w:tcPr>
            <w:tcW w:w="1863" w:type="dxa"/>
          </w:tcPr>
          <w:p>
            <w:pPr>
              <w:pStyle w:val="TableParagraph"/>
              <w:spacing w:before="43"/>
              <w:ind w:right="58"/>
              <w:jc w:val="right"/>
              <w:rPr>
                <w:sz w:val="14"/>
              </w:rPr>
            </w:pPr>
            <w:r>
              <w:rPr>
                <w:w w:val="95"/>
                <w:sz w:val="14"/>
              </w:rPr>
              <w:t>9.450</w:t>
            </w:r>
          </w:p>
        </w:tc>
        <w:tc>
          <w:tcPr>
            <w:tcW w:w="1865" w:type="dxa"/>
          </w:tcPr>
          <w:p>
            <w:pPr>
              <w:pStyle w:val="TableParagraph"/>
              <w:spacing w:before="43"/>
              <w:ind w:right="60"/>
              <w:jc w:val="right"/>
              <w:rPr>
                <w:sz w:val="14"/>
              </w:rPr>
            </w:pPr>
            <w:r>
              <w:rPr>
                <w:w w:val="95"/>
                <w:sz w:val="14"/>
              </w:rPr>
              <w:t>8.534</w:t>
            </w:r>
          </w:p>
        </w:tc>
      </w:tr>
      <w:tr>
        <w:trPr>
          <w:trHeight w:val="249" w:hRule="atLeast"/>
        </w:trPr>
        <w:tc>
          <w:tcPr>
            <w:tcW w:w="6189" w:type="dxa"/>
          </w:tcPr>
          <w:p>
            <w:pPr>
              <w:pStyle w:val="TableParagraph"/>
              <w:spacing w:before="43"/>
              <w:ind w:left="103"/>
              <w:rPr>
                <w:sz w:val="14"/>
              </w:rPr>
            </w:pPr>
            <w:r>
              <w:rPr>
                <w:w w:val="110"/>
                <w:sz w:val="14"/>
              </w:rPr>
              <w:t>Principal – Banco Panamericano – CDB 006026GS</w:t>
            </w:r>
          </w:p>
        </w:tc>
        <w:tc>
          <w:tcPr>
            <w:tcW w:w="1863" w:type="dxa"/>
          </w:tcPr>
          <w:p>
            <w:pPr>
              <w:pStyle w:val="TableParagraph"/>
              <w:rPr>
                <w:rFonts w:ascii="Times New Roman"/>
                <w:sz w:val="18"/>
              </w:rPr>
            </w:pPr>
          </w:p>
        </w:tc>
        <w:tc>
          <w:tcPr>
            <w:tcW w:w="1865" w:type="dxa"/>
          </w:tcPr>
          <w:p>
            <w:pPr>
              <w:pStyle w:val="TableParagraph"/>
              <w:spacing w:before="43"/>
              <w:ind w:right="60"/>
              <w:jc w:val="right"/>
              <w:rPr>
                <w:sz w:val="14"/>
              </w:rPr>
            </w:pPr>
            <w:r>
              <w:rPr>
                <w:sz w:val="14"/>
              </w:rPr>
              <w:t>371</w:t>
            </w:r>
          </w:p>
        </w:tc>
      </w:tr>
      <w:tr>
        <w:trPr>
          <w:trHeight w:val="249" w:hRule="atLeast"/>
        </w:trPr>
        <w:tc>
          <w:tcPr>
            <w:tcW w:w="6189" w:type="dxa"/>
          </w:tcPr>
          <w:p>
            <w:pPr>
              <w:pStyle w:val="TableParagraph"/>
              <w:spacing w:before="43"/>
              <w:ind w:left="103"/>
              <w:rPr>
                <w:sz w:val="14"/>
              </w:rPr>
            </w:pPr>
            <w:r>
              <w:rPr>
                <w:sz w:val="14"/>
              </w:rPr>
              <w:t>Títulos Mobiliários</w:t>
            </w:r>
          </w:p>
        </w:tc>
        <w:tc>
          <w:tcPr>
            <w:tcW w:w="1863" w:type="dxa"/>
          </w:tcPr>
          <w:p>
            <w:pPr>
              <w:pStyle w:val="TableParagraph"/>
              <w:spacing w:before="43"/>
              <w:ind w:right="58"/>
              <w:jc w:val="right"/>
              <w:rPr>
                <w:sz w:val="14"/>
              </w:rPr>
            </w:pPr>
            <w:r>
              <w:rPr>
                <w:w w:val="95"/>
                <w:sz w:val="14"/>
              </w:rPr>
              <w:t>1.436</w:t>
            </w:r>
          </w:p>
        </w:tc>
        <w:tc>
          <w:tcPr>
            <w:tcW w:w="1865" w:type="dxa"/>
          </w:tcPr>
          <w:p>
            <w:pPr>
              <w:pStyle w:val="TableParagraph"/>
              <w:spacing w:before="43"/>
              <w:ind w:right="60"/>
              <w:jc w:val="right"/>
              <w:rPr>
                <w:sz w:val="14"/>
              </w:rPr>
            </w:pPr>
            <w:r>
              <w:rPr>
                <w:w w:val="95"/>
                <w:sz w:val="14"/>
              </w:rPr>
              <w:t>1.450</w:t>
            </w:r>
          </w:p>
        </w:tc>
      </w:tr>
      <w:tr>
        <w:trPr>
          <w:trHeight w:val="249" w:hRule="atLeast"/>
        </w:trPr>
        <w:tc>
          <w:tcPr>
            <w:tcW w:w="6189" w:type="dxa"/>
          </w:tcPr>
          <w:p>
            <w:pPr>
              <w:pStyle w:val="TableParagraph"/>
              <w:spacing w:before="42"/>
              <w:ind w:left="72"/>
              <w:rPr>
                <w:rFonts w:ascii="Caladea"/>
                <w:b/>
                <w:sz w:val="14"/>
              </w:rPr>
            </w:pPr>
            <w:r>
              <w:rPr>
                <w:rFonts w:ascii="Caladea"/>
                <w:b/>
                <w:sz w:val="14"/>
              </w:rPr>
              <w:t>Total</w:t>
            </w:r>
          </w:p>
        </w:tc>
        <w:tc>
          <w:tcPr>
            <w:tcW w:w="1863" w:type="dxa"/>
          </w:tcPr>
          <w:p>
            <w:pPr>
              <w:pStyle w:val="TableParagraph"/>
              <w:spacing w:before="42"/>
              <w:ind w:right="57"/>
              <w:jc w:val="right"/>
              <w:rPr>
                <w:rFonts w:ascii="Caladea"/>
                <w:b/>
                <w:sz w:val="14"/>
              </w:rPr>
            </w:pPr>
            <w:r>
              <w:rPr>
                <w:rFonts w:ascii="Caladea"/>
                <w:b/>
                <w:sz w:val="14"/>
              </w:rPr>
              <w:t>10.886</w:t>
            </w:r>
          </w:p>
        </w:tc>
        <w:tc>
          <w:tcPr>
            <w:tcW w:w="1865" w:type="dxa"/>
          </w:tcPr>
          <w:p>
            <w:pPr>
              <w:pStyle w:val="TableParagraph"/>
              <w:spacing w:before="42"/>
              <w:ind w:right="60"/>
              <w:jc w:val="right"/>
              <w:rPr>
                <w:rFonts w:ascii="Caladea"/>
                <w:b/>
                <w:sz w:val="14"/>
              </w:rPr>
            </w:pPr>
            <w:r>
              <w:rPr>
                <w:rFonts w:ascii="Caladea"/>
                <w:b/>
                <w:sz w:val="14"/>
              </w:rPr>
              <w:t>10.355</w:t>
            </w:r>
          </w:p>
        </w:tc>
      </w:tr>
      <w:tr>
        <w:trPr>
          <w:trHeight w:val="249" w:hRule="atLeast"/>
        </w:trPr>
        <w:tc>
          <w:tcPr>
            <w:tcW w:w="6189" w:type="dxa"/>
          </w:tcPr>
          <w:p>
            <w:pPr>
              <w:pStyle w:val="TableParagraph"/>
              <w:spacing w:before="42"/>
              <w:ind w:left="72"/>
              <w:rPr>
                <w:rFonts w:ascii="Caladea" w:hAnsi="Caladea"/>
                <w:b/>
                <w:sz w:val="14"/>
              </w:rPr>
            </w:pPr>
            <w:r>
              <w:rPr>
                <w:rFonts w:ascii="Caladea" w:hAnsi="Caladea"/>
                <w:b/>
                <w:sz w:val="14"/>
              </w:rPr>
              <w:t>Não Circulante</w:t>
            </w:r>
          </w:p>
        </w:tc>
        <w:tc>
          <w:tcPr>
            <w:tcW w:w="1863" w:type="dxa"/>
          </w:tcPr>
          <w:p>
            <w:pPr>
              <w:pStyle w:val="TableParagraph"/>
              <w:spacing w:before="42"/>
              <w:ind w:right="58"/>
              <w:jc w:val="right"/>
              <w:rPr>
                <w:rFonts w:ascii="Caladea"/>
                <w:b/>
                <w:sz w:val="14"/>
              </w:rPr>
            </w:pPr>
            <w:r>
              <w:rPr>
                <w:rFonts w:ascii="Caladea"/>
                <w:b/>
                <w:sz w:val="14"/>
              </w:rPr>
              <w:t>10.886</w:t>
            </w:r>
          </w:p>
        </w:tc>
        <w:tc>
          <w:tcPr>
            <w:tcW w:w="1865" w:type="dxa"/>
          </w:tcPr>
          <w:p>
            <w:pPr>
              <w:pStyle w:val="TableParagraph"/>
              <w:spacing w:before="42"/>
              <w:ind w:right="60"/>
              <w:jc w:val="right"/>
              <w:rPr>
                <w:rFonts w:ascii="Caladea"/>
                <w:b/>
                <w:sz w:val="14"/>
              </w:rPr>
            </w:pPr>
            <w:r>
              <w:rPr>
                <w:rFonts w:ascii="Caladea"/>
                <w:b/>
                <w:sz w:val="14"/>
              </w:rPr>
              <w:t>10.355</w:t>
            </w:r>
          </w:p>
        </w:tc>
      </w:tr>
    </w:tbl>
    <w:p>
      <w:pPr>
        <w:pStyle w:val="BodyText"/>
        <w:spacing w:line="242" w:lineRule="auto" w:before="122"/>
        <w:ind w:left="172" w:right="406"/>
        <w:jc w:val="both"/>
      </w:pPr>
      <w:r>
        <w:rPr>
          <w:rFonts w:ascii="Caladea" w:hAnsi="Caladea"/>
          <w:b/>
        </w:rPr>
        <w:t>(a) </w:t>
      </w:r>
      <w:r>
        <w:rPr/>
        <w:t>Conforme Contrato de Cessão Fiduciária, formalizado entre a CEB Distribuição S.A. e o </w:t>
      </w:r>
      <w:r>
        <w:rPr>
          <w:rFonts w:ascii="Caladea" w:hAnsi="Caladea"/>
          <w:i/>
        </w:rPr>
        <w:t>Credit Suisse</w:t>
      </w:r>
      <w:r>
        <w:rPr/>
        <w:t>, ficou estabelecido</w:t>
      </w:r>
      <w:r>
        <w:rPr>
          <w:spacing w:val="-42"/>
        </w:rPr>
        <w:t> </w:t>
      </w:r>
      <w:r>
        <w:rPr/>
        <w:t>que</w:t>
      </w:r>
      <w:r>
        <w:rPr>
          <w:spacing w:val="-42"/>
        </w:rPr>
        <w:t> </w:t>
      </w:r>
      <w:r>
        <w:rPr/>
        <w:t>fosse</w:t>
      </w:r>
      <w:r>
        <w:rPr>
          <w:spacing w:val="-43"/>
        </w:rPr>
        <w:t> </w:t>
      </w:r>
      <w:r>
        <w:rPr/>
        <w:t>constituída</w:t>
      </w:r>
      <w:r>
        <w:rPr>
          <w:spacing w:val="-41"/>
        </w:rPr>
        <w:t> </w:t>
      </w:r>
      <w:r>
        <w:rPr/>
        <w:t>reserva</w:t>
      </w:r>
      <w:r>
        <w:rPr>
          <w:spacing w:val="-41"/>
        </w:rPr>
        <w:t> </w:t>
      </w:r>
      <w:r>
        <w:rPr/>
        <w:t>para</w:t>
      </w:r>
      <w:r>
        <w:rPr>
          <w:spacing w:val="-42"/>
        </w:rPr>
        <w:t> </w:t>
      </w:r>
      <w:r>
        <w:rPr/>
        <w:t>garantir</w:t>
      </w:r>
      <w:r>
        <w:rPr>
          <w:spacing w:val="-42"/>
        </w:rPr>
        <w:t> </w:t>
      </w:r>
      <w:r>
        <w:rPr/>
        <w:t>o</w:t>
      </w:r>
      <w:r>
        <w:rPr>
          <w:spacing w:val="-42"/>
        </w:rPr>
        <w:t> </w:t>
      </w:r>
      <w:r>
        <w:rPr/>
        <w:t>pagamento</w:t>
      </w:r>
      <w:r>
        <w:rPr>
          <w:spacing w:val="-42"/>
        </w:rPr>
        <w:t> </w:t>
      </w:r>
      <w:r>
        <w:rPr/>
        <w:t>da</w:t>
      </w:r>
      <w:r>
        <w:rPr>
          <w:spacing w:val="-42"/>
        </w:rPr>
        <w:t> </w:t>
      </w:r>
      <w:r>
        <w:rPr/>
        <w:t>Remuneração</w:t>
      </w:r>
      <w:r>
        <w:rPr>
          <w:spacing w:val="-43"/>
        </w:rPr>
        <w:t> </w:t>
      </w:r>
      <w:r>
        <w:rPr/>
        <w:t>de</w:t>
      </w:r>
      <w:r>
        <w:rPr>
          <w:spacing w:val="-42"/>
        </w:rPr>
        <w:t> </w:t>
      </w:r>
      <w:r>
        <w:rPr/>
        <w:t>Descontinuidade</w:t>
      </w:r>
      <w:r>
        <w:rPr>
          <w:spacing w:val="-42"/>
        </w:rPr>
        <w:t> </w:t>
      </w:r>
      <w:r>
        <w:rPr/>
        <w:t>por</w:t>
      </w:r>
      <w:r>
        <w:rPr>
          <w:spacing w:val="-42"/>
        </w:rPr>
        <w:t> </w:t>
      </w:r>
      <w:r>
        <w:rPr/>
        <w:t>meio de</w:t>
      </w:r>
      <w:r>
        <w:rPr>
          <w:spacing w:val="-25"/>
        </w:rPr>
        <w:t> </w:t>
      </w:r>
      <w:r>
        <w:rPr/>
        <w:t>certificados</w:t>
      </w:r>
      <w:r>
        <w:rPr>
          <w:spacing w:val="-22"/>
        </w:rPr>
        <w:t> </w:t>
      </w:r>
      <w:r>
        <w:rPr/>
        <w:t>de</w:t>
      </w:r>
      <w:r>
        <w:rPr>
          <w:spacing w:val="-24"/>
        </w:rPr>
        <w:t> </w:t>
      </w:r>
      <w:r>
        <w:rPr/>
        <w:t>depósito</w:t>
      </w:r>
      <w:r>
        <w:rPr>
          <w:spacing w:val="-24"/>
        </w:rPr>
        <w:t> </w:t>
      </w:r>
      <w:r>
        <w:rPr/>
        <w:t>bancário,</w:t>
      </w:r>
      <w:r>
        <w:rPr>
          <w:spacing w:val="-23"/>
        </w:rPr>
        <w:t> </w:t>
      </w:r>
      <w:r>
        <w:rPr/>
        <w:t>no</w:t>
      </w:r>
      <w:r>
        <w:rPr>
          <w:spacing w:val="-24"/>
        </w:rPr>
        <w:t> </w:t>
      </w:r>
      <w:r>
        <w:rPr/>
        <w:t>montante</w:t>
      </w:r>
      <w:r>
        <w:rPr>
          <w:spacing w:val="-25"/>
        </w:rPr>
        <w:t> </w:t>
      </w:r>
      <w:r>
        <w:rPr/>
        <w:t>de</w:t>
      </w:r>
      <w:r>
        <w:rPr>
          <w:spacing w:val="-24"/>
        </w:rPr>
        <w:t> </w:t>
      </w:r>
      <w:r>
        <w:rPr/>
        <w:t>emissão</w:t>
      </w:r>
      <w:r>
        <w:rPr>
          <w:spacing w:val="-25"/>
        </w:rPr>
        <w:t> </w:t>
      </w:r>
      <w:r>
        <w:rPr/>
        <w:t>equivalente</w:t>
      </w:r>
      <w:r>
        <w:rPr>
          <w:spacing w:val="-24"/>
        </w:rPr>
        <w:t> </w:t>
      </w:r>
      <w:r>
        <w:rPr/>
        <w:t>a</w:t>
      </w:r>
      <w:r>
        <w:rPr>
          <w:spacing w:val="-24"/>
        </w:rPr>
        <w:t> </w:t>
      </w:r>
      <w:r>
        <w:rPr/>
        <w:t>R$</w:t>
      </w:r>
      <w:r>
        <w:rPr>
          <w:spacing w:val="-23"/>
        </w:rPr>
        <w:t> </w:t>
      </w:r>
      <w:r>
        <w:rPr/>
        <w:t>6.000.</w:t>
      </w:r>
      <w:r>
        <w:rPr>
          <w:spacing w:val="-25"/>
        </w:rPr>
        <w:t> </w:t>
      </w:r>
      <w:r>
        <w:rPr/>
        <w:t>Este</w:t>
      </w:r>
      <w:r>
        <w:rPr>
          <w:spacing w:val="-25"/>
        </w:rPr>
        <w:t> </w:t>
      </w:r>
      <w:r>
        <w:rPr/>
        <w:t>valor</w:t>
      </w:r>
      <w:r>
        <w:rPr>
          <w:spacing w:val="-22"/>
        </w:rPr>
        <w:t> </w:t>
      </w:r>
      <w:r>
        <w:rPr/>
        <w:t>está</w:t>
      </w:r>
      <w:r>
        <w:rPr>
          <w:spacing w:val="-24"/>
        </w:rPr>
        <w:t> </w:t>
      </w:r>
      <w:r>
        <w:rPr/>
        <w:t>mantido</w:t>
      </w:r>
      <w:r>
        <w:rPr>
          <w:spacing w:val="-23"/>
        </w:rPr>
        <w:t> </w:t>
      </w:r>
      <w:r>
        <w:rPr/>
        <w:t>em aplicação</w:t>
      </w:r>
      <w:r>
        <w:rPr>
          <w:spacing w:val="-17"/>
        </w:rPr>
        <w:t> </w:t>
      </w:r>
      <w:r>
        <w:rPr/>
        <w:t>financeira</w:t>
      </w:r>
      <w:r>
        <w:rPr>
          <w:spacing w:val="-15"/>
        </w:rPr>
        <w:t> </w:t>
      </w:r>
      <w:r>
        <w:rPr/>
        <w:t>com</w:t>
      </w:r>
      <w:r>
        <w:rPr>
          <w:spacing w:val="-13"/>
        </w:rPr>
        <w:t> </w:t>
      </w:r>
      <w:r>
        <w:rPr/>
        <w:t>renda</w:t>
      </w:r>
      <w:r>
        <w:rPr>
          <w:spacing w:val="-15"/>
        </w:rPr>
        <w:t> </w:t>
      </w:r>
      <w:r>
        <w:rPr/>
        <w:t>fixa</w:t>
      </w:r>
      <w:r>
        <w:rPr>
          <w:spacing w:val="-13"/>
        </w:rPr>
        <w:t> </w:t>
      </w:r>
      <w:r>
        <w:rPr>
          <w:w w:val="105"/>
        </w:rPr>
        <w:t>–</w:t>
      </w:r>
      <w:r>
        <w:rPr>
          <w:spacing w:val="-18"/>
          <w:w w:val="105"/>
        </w:rPr>
        <w:t> </w:t>
      </w:r>
      <w:r>
        <w:rPr/>
        <w:t>CDB,</w:t>
      </w:r>
      <w:r>
        <w:rPr>
          <w:spacing w:val="-14"/>
        </w:rPr>
        <w:t> </w:t>
      </w:r>
      <w:r>
        <w:rPr/>
        <w:t>no</w:t>
      </w:r>
      <w:r>
        <w:rPr>
          <w:spacing w:val="-13"/>
        </w:rPr>
        <w:t> </w:t>
      </w:r>
      <w:r>
        <w:rPr>
          <w:rFonts w:ascii="Caladea" w:hAnsi="Caladea"/>
          <w:i/>
        </w:rPr>
        <w:t>Credit Suisse</w:t>
      </w:r>
      <w:r>
        <w:rPr/>
        <w:t>,</w:t>
      </w:r>
      <w:r>
        <w:rPr>
          <w:spacing w:val="-16"/>
        </w:rPr>
        <w:t> </w:t>
      </w:r>
      <w:r>
        <w:rPr/>
        <w:t>cuja</w:t>
      </w:r>
      <w:r>
        <w:rPr>
          <w:spacing w:val="-13"/>
        </w:rPr>
        <w:t> </w:t>
      </w:r>
      <w:r>
        <w:rPr/>
        <w:t>rentabilidade</w:t>
      </w:r>
      <w:r>
        <w:rPr>
          <w:spacing w:val="-13"/>
        </w:rPr>
        <w:t> </w:t>
      </w:r>
      <w:r>
        <w:rPr/>
        <w:t>está</w:t>
      </w:r>
      <w:r>
        <w:rPr>
          <w:spacing w:val="-14"/>
        </w:rPr>
        <w:t> </w:t>
      </w:r>
      <w:r>
        <w:rPr/>
        <w:t>afixada</w:t>
      </w:r>
      <w:r>
        <w:rPr>
          <w:spacing w:val="-15"/>
        </w:rPr>
        <w:t> </w:t>
      </w:r>
      <w:r>
        <w:rPr/>
        <w:t>em</w:t>
      </w:r>
      <w:r>
        <w:rPr>
          <w:spacing w:val="-16"/>
        </w:rPr>
        <w:t> </w:t>
      </w:r>
      <w:r>
        <w:rPr/>
        <w:t>100%</w:t>
      </w:r>
      <w:r>
        <w:rPr>
          <w:spacing w:val="-14"/>
        </w:rPr>
        <w:t> </w:t>
      </w:r>
      <w:r>
        <w:rPr/>
        <w:t>do</w:t>
      </w:r>
      <w:r>
        <w:rPr>
          <w:spacing w:val="-15"/>
        </w:rPr>
        <w:t> </w:t>
      </w:r>
      <w:r>
        <w:rPr/>
        <w:t>CDI,</w:t>
      </w:r>
      <w:r>
        <w:rPr>
          <w:spacing w:val="-16"/>
        </w:rPr>
        <w:t> </w:t>
      </w:r>
      <w:r>
        <w:rPr/>
        <w:t>com regaste</w:t>
      </w:r>
      <w:r>
        <w:rPr>
          <w:spacing w:val="-21"/>
        </w:rPr>
        <w:t> </w:t>
      </w:r>
      <w:r>
        <w:rPr/>
        <w:t>mensal</w:t>
      </w:r>
      <w:r>
        <w:rPr>
          <w:spacing w:val="-18"/>
        </w:rPr>
        <w:t> </w:t>
      </w:r>
      <w:r>
        <w:rPr/>
        <w:t>da</w:t>
      </w:r>
      <w:r>
        <w:rPr>
          <w:spacing w:val="-18"/>
        </w:rPr>
        <w:t> </w:t>
      </w:r>
      <w:r>
        <w:rPr/>
        <w:t>rentabilidade</w:t>
      </w:r>
      <w:r>
        <w:rPr>
          <w:spacing w:val="-20"/>
        </w:rPr>
        <w:t> </w:t>
      </w:r>
      <w:r>
        <w:rPr/>
        <w:t>apurada.</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ATIVO NÃO CIRCULANTE MANTIDO PARA</w:t>
      </w:r>
      <w:r>
        <w:rPr>
          <w:spacing w:val="1"/>
        </w:rPr>
        <w:t> </w:t>
      </w:r>
      <w:r>
        <w:rPr/>
        <w:t>VENDA</w:t>
      </w:r>
    </w:p>
    <w:p>
      <w:pPr>
        <w:pStyle w:val="BodyText"/>
        <w:spacing w:before="8"/>
        <w:rPr>
          <w:rFonts w:ascii="Caladea"/>
          <w:b/>
        </w:rPr>
      </w:pPr>
    </w:p>
    <w:tbl>
      <w:tblPr>
        <w:tblW w:w="0" w:type="auto"/>
        <w:jc w:val="lef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36"/>
        <w:gridCol w:w="4301"/>
        <w:gridCol w:w="1293"/>
        <w:gridCol w:w="1173"/>
        <w:gridCol w:w="1174"/>
        <w:gridCol w:w="1173"/>
      </w:tblGrid>
      <w:tr>
        <w:trPr>
          <w:trHeight w:val="244" w:hRule="atLeast"/>
        </w:trPr>
        <w:tc>
          <w:tcPr>
            <w:tcW w:w="936" w:type="dxa"/>
            <w:vMerge w:val="restart"/>
            <w:shd w:val="clear" w:color="auto" w:fill="D9D9D9"/>
          </w:tcPr>
          <w:p>
            <w:pPr>
              <w:pStyle w:val="TableParagraph"/>
              <w:spacing w:before="2"/>
              <w:rPr>
                <w:rFonts w:ascii="Caladea"/>
                <w:b/>
                <w:sz w:val="14"/>
              </w:rPr>
            </w:pPr>
          </w:p>
          <w:p>
            <w:pPr>
              <w:pStyle w:val="TableParagraph"/>
              <w:ind w:left="213"/>
              <w:rPr>
                <w:rFonts w:ascii="Caladea" w:hAnsi="Caladea"/>
                <w:b/>
                <w:sz w:val="14"/>
              </w:rPr>
            </w:pPr>
            <w:r>
              <w:rPr>
                <w:rFonts w:ascii="Caladea" w:hAnsi="Caladea"/>
                <w:b/>
                <w:sz w:val="14"/>
              </w:rPr>
              <w:t>Imóveis</w:t>
            </w:r>
          </w:p>
        </w:tc>
        <w:tc>
          <w:tcPr>
            <w:tcW w:w="4301" w:type="dxa"/>
            <w:vMerge w:val="restart"/>
            <w:shd w:val="clear" w:color="auto" w:fill="D9D9D9"/>
          </w:tcPr>
          <w:p>
            <w:pPr>
              <w:pStyle w:val="TableParagraph"/>
              <w:spacing w:before="2"/>
              <w:rPr>
                <w:rFonts w:ascii="Caladea"/>
                <w:b/>
                <w:sz w:val="14"/>
              </w:rPr>
            </w:pPr>
          </w:p>
          <w:p>
            <w:pPr>
              <w:pStyle w:val="TableParagraph"/>
              <w:ind w:left="1779" w:right="1771"/>
              <w:jc w:val="center"/>
              <w:rPr>
                <w:rFonts w:ascii="Caladea"/>
                <w:b/>
                <w:sz w:val="14"/>
              </w:rPr>
            </w:pPr>
            <w:r>
              <w:rPr>
                <w:rFonts w:ascii="Caladea"/>
                <w:b/>
                <w:sz w:val="14"/>
              </w:rPr>
              <w:t>Localidade</w:t>
            </w:r>
          </w:p>
        </w:tc>
        <w:tc>
          <w:tcPr>
            <w:tcW w:w="2466" w:type="dxa"/>
            <w:gridSpan w:val="2"/>
          </w:tcPr>
          <w:p>
            <w:pPr>
              <w:pStyle w:val="TableParagraph"/>
              <w:spacing w:before="39"/>
              <w:ind w:left="802"/>
              <w:rPr>
                <w:rFonts w:ascii="Caladea"/>
                <w:b/>
                <w:sz w:val="14"/>
              </w:rPr>
            </w:pPr>
            <w:r>
              <w:rPr>
                <w:rFonts w:ascii="Caladea"/>
                <w:b/>
                <w:sz w:val="14"/>
              </w:rPr>
              <w:t>Controladora</w:t>
            </w:r>
          </w:p>
        </w:tc>
        <w:tc>
          <w:tcPr>
            <w:tcW w:w="2347" w:type="dxa"/>
            <w:gridSpan w:val="2"/>
          </w:tcPr>
          <w:p>
            <w:pPr>
              <w:pStyle w:val="TableParagraph"/>
              <w:spacing w:before="39"/>
              <w:ind w:left="778"/>
              <w:rPr>
                <w:rFonts w:ascii="Caladea"/>
                <w:b/>
                <w:sz w:val="14"/>
              </w:rPr>
            </w:pPr>
            <w:r>
              <w:rPr>
                <w:rFonts w:ascii="Caladea"/>
                <w:b/>
                <w:sz w:val="14"/>
              </w:rPr>
              <w:t>Consolidado</w:t>
            </w:r>
          </w:p>
        </w:tc>
      </w:tr>
      <w:tr>
        <w:trPr>
          <w:trHeight w:val="246" w:hRule="atLeast"/>
        </w:trPr>
        <w:tc>
          <w:tcPr>
            <w:tcW w:w="936" w:type="dxa"/>
            <w:vMerge/>
            <w:tcBorders>
              <w:top w:val="nil"/>
            </w:tcBorders>
            <w:shd w:val="clear" w:color="auto" w:fill="D9D9D9"/>
          </w:tcPr>
          <w:p>
            <w:pPr>
              <w:rPr>
                <w:sz w:val="2"/>
                <w:szCs w:val="2"/>
              </w:rPr>
            </w:pPr>
          </w:p>
        </w:tc>
        <w:tc>
          <w:tcPr>
            <w:tcW w:w="4301" w:type="dxa"/>
            <w:vMerge/>
            <w:tcBorders>
              <w:top w:val="nil"/>
            </w:tcBorders>
            <w:shd w:val="clear" w:color="auto" w:fill="D9D9D9"/>
          </w:tcPr>
          <w:p>
            <w:pPr>
              <w:rPr>
                <w:sz w:val="2"/>
                <w:szCs w:val="2"/>
              </w:rPr>
            </w:pPr>
          </w:p>
        </w:tc>
        <w:tc>
          <w:tcPr>
            <w:tcW w:w="1293" w:type="dxa"/>
          </w:tcPr>
          <w:p>
            <w:pPr>
              <w:pStyle w:val="TableParagraph"/>
              <w:spacing w:before="42"/>
              <w:ind w:left="245"/>
              <w:rPr>
                <w:rFonts w:ascii="Caladea"/>
                <w:b/>
                <w:sz w:val="14"/>
              </w:rPr>
            </w:pPr>
            <w:r>
              <w:rPr>
                <w:rFonts w:ascii="Caladea"/>
                <w:b/>
                <w:sz w:val="14"/>
              </w:rPr>
              <w:t>31/12/2019</w:t>
            </w:r>
          </w:p>
        </w:tc>
        <w:tc>
          <w:tcPr>
            <w:tcW w:w="1173" w:type="dxa"/>
          </w:tcPr>
          <w:p>
            <w:pPr>
              <w:pStyle w:val="TableParagraph"/>
              <w:spacing w:before="42"/>
              <w:ind w:left="186"/>
              <w:rPr>
                <w:rFonts w:ascii="Caladea"/>
                <w:b/>
                <w:sz w:val="14"/>
              </w:rPr>
            </w:pPr>
            <w:r>
              <w:rPr>
                <w:rFonts w:ascii="Caladea"/>
                <w:b/>
                <w:sz w:val="14"/>
              </w:rPr>
              <w:t>31/12/2018</w:t>
            </w:r>
          </w:p>
        </w:tc>
        <w:tc>
          <w:tcPr>
            <w:tcW w:w="1174" w:type="dxa"/>
          </w:tcPr>
          <w:p>
            <w:pPr>
              <w:pStyle w:val="TableParagraph"/>
              <w:spacing w:before="42"/>
              <w:ind w:left="187"/>
              <w:rPr>
                <w:rFonts w:ascii="Caladea"/>
                <w:b/>
                <w:sz w:val="14"/>
              </w:rPr>
            </w:pPr>
            <w:r>
              <w:rPr>
                <w:rFonts w:ascii="Caladea"/>
                <w:b/>
                <w:sz w:val="14"/>
              </w:rPr>
              <w:t>31/12/2109</w:t>
            </w:r>
          </w:p>
        </w:tc>
        <w:tc>
          <w:tcPr>
            <w:tcW w:w="1173" w:type="dxa"/>
          </w:tcPr>
          <w:p>
            <w:pPr>
              <w:pStyle w:val="TableParagraph"/>
              <w:spacing w:before="42"/>
              <w:ind w:left="187"/>
              <w:rPr>
                <w:rFonts w:ascii="Caladea"/>
                <w:b/>
                <w:sz w:val="14"/>
              </w:rPr>
            </w:pPr>
            <w:r>
              <w:rPr>
                <w:rFonts w:ascii="Caladea"/>
                <w:b/>
                <w:sz w:val="14"/>
              </w:rPr>
              <w:t>31/12/2018</w:t>
            </w:r>
          </w:p>
        </w:tc>
      </w:tr>
      <w:tr>
        <w:trPr>
          <w:trHeight w:val="246" w:hRule="atLeast"/>
        </w:trPr>
        <w:tc>
          <w:tcPr>
            <w:tcW w:w="936" w:type="dxa"/>
          </w:tcPr>
          <w:p>
            <w:pPr>
              <w:pStyle w:val="TableParagraph"/>
              <w:spacing w:before="41"/>
              <w:ind w:left="71"/>
              <w:rPr>
                <w:sz w:val="14"/>
              </w:rPr>
            </w:pPr>
            <w:r>
              <w:rPr>
                <w:sz w:val="14"/>
              </w:rPr>
              <w:t>Terreno</w:t>
            </w:r>
          </w:p>
        </w:tc>
        <w:tc>
          <w:tcPr>
            <w:tcW w:w="4301" w:type="dxa"/>
          </w:tcPr>
          <w:p>
            <w:pPr>
              <w:pStyle w:val="TableParagraph"/>
              <w:spacing w:before="41"/>
              <w:ind w:left="69"/>
              <w:rPr>
                <w:sz w:val="14"/>
              </w:rPr>
            </w:pPr>
            <w:r>
              <w:rPr>
                <w:sz w:val="14"/>
              </w:rPr>
              <w:t>SHS, Quadra Interna 13, Lote "G" - Lago Sul</w:t>
            </w:r>
          </w:p>
        </w:tc>
        <w:tc>
          <w:tcPr>
            <w:tcW w:w="1293" w:type="dxa"/>
          </w:tcPr>
          <w:p>
            <w:pPr>
              <w:pStyle w:val="TableParagraph"/>
              <w:rPr>
                <w:rFonts w:ascii="Times New Roman"/>
                <w:sz w:val="14"/>
              </w:rPr>
            </w:pPr>
          </w:p>
        </w:tc>
        <w:tc>
          <w:tcPr>
            <w:tcW w:w="1173" w:type="dxa"/>
          </w:tcPr>
          <w:p>
            <w:pPr>
              <w:pStyle w:val="TableParagraph"/>
              <w:rPr>
                <w:rFonts w:ascii="Times New Roman"/>
                <w:sz w:val="14"/>
              </w:rPr>
            </w:pPr>
          </w:p>
        </w:tc>
        <w:tc>
          <w:tcPr>
            <w:tcW w:w="1174" w:type="dxa"/>
          </w:tcPr>
          <w:p>
            <w:pPr>
              <w:pStyle w:val="TableParagraph"/>
              <w:rPr>
                <w:rFonts w:ascii="Times New Roman"/>
                <w:sz w:val="14"/>
              </w:rPr>
            </w:pPr>
          </w:p>
        </w:tc>
        <w:tc>
          <w:tcPr>
            <w:tcW w:w="1173" w:type="dxa"/>
          </w:tcPr>
          <w:p>
            <w:pPr>
              <w:pStyle w:val="TableParagraph"/>
              <w:spacing w:before="41"/>
              <w:ind w:right="58"/>
              <w:jc w:val="right"/>
              <w:rPr>
                <w:sz w:val="14"/>
              </w:rPr>
            </w:pPr>
            <w:r>
              <w:rPr>
                <w:sz w:val="14"/>
              </w:rPr>
              <w:t>124</w:t>
            </w:r>
          </w:p>
        </w:tc>
      </w:tr>
      <w:tr>
        <w:trPr>
          <w:trHeight w:val="244" w:hRule="atLeast"/>
        </w:trPr>
        <w:tc>
          <w:tcPr>
            <w:tcW w:w="936" w:type="dxa"/>
          </w:tcPr>
          <w:p>
            <w:pPr>
              <w:pStyle w:val="TableParagraph"/>
              <w:spacing w:before="41"/>
              <w:ind w:left="71"/>
              <w:rPr>
                <w:sz w:val="14"/>
              </w:rPr>
            </w:pPr>
            <w:r>
              <w:rPr>
                <w:sz w:val="14"/>
              </w:rPr>
              <w:t>Terreno</w:t>
            </w:r>
          </w:p>
        </w:tc>
        <w:tc>
          <w:tcPr>
            <w:tcW w:w="4301" w:type="dxa"/>
          </w:tcPr>
          <w:p>
            <w:pPr>
              <w:pStyle w:val="TableParagraph"/>
              <w:spacing w:before="41"/>
              <w:ind w:left="69"/>
              <w:rPr>
                <w:sz w:val="14"/>
              </w:rPr>
            </w:pPr>
            <w:r>
              <w:rPr>
                <w:w w:val="102"/>
                <w:sz w:val="14"/>
              </w:rPr>
              <w:t>S</w:t>
            </w:r>
            <w:r>
              <w:rPr>
                <w:spacing w:val="-2"/>
                <w:w w:val="89"/>
                <w:sz w:val="14"/>
              </w:rPr>
              <w:t>G</w:t>
            </w:r>
            <w:r>
              <w:rPr>
                <w:spacing w:val="1"/>
                <w:w w:val="114"/>
                <w:sz w:val="14"/>
              </w:rPr>
              <w:t>M</w:t>
            </w:r>
            <w:r>
              <w:rPr>
                <w:spacing w:val="-1"/>
                <w:w w:val="92"/>
                <w:sz w:val="14"/>
              </w:rPr>
              <w:t>/</w:t>
            </w:r>
            <w:r>
              <w:rPr>
                <w:spacing w:val="-2"/>
                <w:w w:val="106"/>
                <w:sz w:val="14"/>
              </w:rPr>
              <w:t>N</w:t>
            </w:r>
            <w:r>
              <w:rPr>
                <w:spacing w:val="2"/>
                <w:w w:val="98"/>
                <w:sz w:val="14"/>
              </w:rPr>
              <w:t>o</w:t>
            </w:r>
            <w:r>
              <w:rPr>
                <w:w w:val="95"/>
                <w:sz w:val="14"/>
              </w:rPr>
              <w:t>rt</w:t>
            </w:r>
            <w:r>
              <w:rPr>
                <w:spacing w:val="-1"/>
                <w:w w:val="88"/>
                <w:sz w:val="14"/>
              </w:rPr>
              <w:t>e</w:t>
            </w:r>
            <w:r>
              <w:rPr>
                <w:w w:val="55"/>
                <w:sz w:val="14"/>
              </w:rPr>
              <w:t>,</w:t>
            </w:r>
            <w:r>
              <w:rPr>
                <w:spacing w:val="-11"/>
                <w:sz w:val="14"/>
              </w:rPr>
              <w:t> </w:t>
            </w:r>
            <w:r>
              <w:rPr>
                <w:w w:val="97"/>
                <w:sz w:val="14"/>
              </w:rPr>
              <w:t>Lo</w:t>
            </w:r>
            <w:r>
              <w:rPr>
                <w:spacing w:val="1"/>
                <w:w w:val="97"/>
                <w:sz w:val="14"/>
              </w:rPr>
              <w:t>t</w:t>
            </w:r>
            <w:r>
              <w:rPr>
                <w:w w:val="88"/>
                <w:sz w:val="14"/>
              </w:rPr>
              <w:t>e</w:t>
            </w:r>
            <w:r>
              <w:rPr>
                <w:spacing w:val="-10"/>
                <w:sz w:val="14"/>
              </w:rPr>
              <w:t> </w:t>
            </w:r>
            <w:r>
              <w:rPr>
                <w:spacing w:val="-2"/>
                <w:w w:val="89"/>
                <w:sz w:val="14"/>
              </w:rPr>
              <w:t>G</w:t>
            </w:r>
            <w:r>
              <w:rPr>
                <w:w w:val="55"/>
                <w:sz w:val="14"/>
              </w:rPr>
              <w:t>,</w:t>
            </w:r>
            <w:r>
              <w:rPr>
                <w:spacing w:val="-11"/>
                <w:sz w:val="14"/>
              </w:rPr>
              <w:t> </w:t>
            </w:r>
            <w:r>
              <w:rPr>
                <w:w w:val="100"/>
                <w:sz w:val="14"/>
              </w:rPr>
              <w:t>Asa</w:t>
            </w:r>
            <w:r>
              <w:rPr>
                <w:spacing w:val="-10"/>
                <w:sz w:val="14"/>
              </w:rPr>
              <w:t> </w:t>
            </w:r>
            <w:r>
              <w:rPr>
                <w:spacing w:val="-2"/>
                <w:w w:val="106"/>
                <w:sz w:val="14"/>
              </w:rPr>
              <w:t>N</w:t>
            </w:r>
            <w:r>
              <w:rPr>
                <w:w w:val="98"/>
                <w:sz w:val="14"/>
              </w:rPr>
              <w:t>o</w:t>
            </w:r>
            <w:r>
              <w:rPr>
                <w:w w:val="95"/>
                <w:sz w:val="14"/>
              </w:rPr>
              <w:t>rt</w:t>
            </w:r>
            <w:r>
              <w:rPr>
                <w:spacing w:val="1"/>
                <w:w w:val="88"/>
                <w:sz w:val="14"/>
              </w:rPr>
              <w:t>e</w:t>
            </w:r>
            <w:r>
              <w:rPr>
                <w:w w:val="89"/>
                <w:sz w:val="14"/>
              </w:rPr>
              <w:t>-</w:t>
            </w:r>
            <w:r>
              <w:rPr>
                <w:spacing w:val="-10"/>
                <w:sz w:val="14"/>
              </w:rPr>
              <w:t> </w:t>
            </w:r>
            <w:r>
              <w:rPr>
                <w:spacing w:val="-2"/>
                <w:w w:val="107"/>
                <w:sz w:val="14"/>
              </w:rPr>
              <w:t>B</w:t>
            </w:r>
            <w:r>
              <w:rPr>
                <w:spacing w:val="2"/>
                <w:w w:val="105"/>
                <w:sz w:val="14"/>
              </w:rPr>
              <w:t>r</w:t>
            </w:r>
            <w:r>
              <w:rPr>
                <w:spacing w:val="-1"/>
                <w:w w:val="92"/>
                <w:sz w:val="14"/>
              </w:rPr>
              <w:t>a</w:t>
            </w:r>
            <w:r>
              <w:rPr>
                <w:w w:val="98"/>
                <w:sz w:val="14"/>
              </w:rPr>
              <w:t>síl</w:t>
            </w:r>
            <w:r>
              <w:rPr>
                <w:w w:val="93"/>
                <w:sz w:val="14"/>
              </w:rPr>
              <w:t>ia</w:t>
            </w:r>
          </w:p>
        </w:tc>
        <w:tc>
          <w:tcPr>
            <w:tcW w:w="1293" w:type="dxa"/>
          </w:tcPr>
          <w:p>
            <w:pPr>
              <w:pStyle w:val="TableParagraph"/>
              <w:rPr>
                <w:rFonts w:ascii="Times New Roman"/>
                <w:sz w:val="14"/>
              </w:rPr>
            </w:pPr>
          </w:p>
        </w:tc>
        <w:tc>
          <w:tcPr>
            <w:tcW w:w="1173" w:type="dxa"/>
          </w:tcPr>
          <w:p>
            <w:pPr>
              <w:pStyle w:val="TableParagraph"/>
              <w:rPr>
                <w:rFonts w:ascii="Times New Roman"/>
                <w:sz w:val="14"/>
              </w:rPr>
            </w:pPr>
          </w:p>
        </w:tc>
        <w:tc>
          <w:tcPr>
            <w:tcW w:w="1174" w:type="dxa"/>
          </w:tcPr>
          <w:p>
            <w:pPr>
              <w:pStyle w:val="TableParagraph"/>
              <w:spacing w:before="41"/>
              <w:ind w:right="57"/>
              <w:jc w:val="right"/>
              <w:rPr>
                <w:sz w:val="14"/>
              </w:rPr>
            </w:pPr>
            <w:r>
              <w:rPr>
                <w:sz w:val="14"/>
              </w:rPr>
              <w:t>18</w:t>
            </w:r>
          </w:p>
        </w:tc>
        <w:tc>
          <w:tcPr>
            <w:tcW w:w="1173" w:type="dxa"/>
          </w:tcPr>
          <w:p>
            <w:pPr>
              <w:pStyle w:val="TableParagraph"/>
              <w:spacing w:before="41"/>
              <w:ind w:right="58"/>
              <w:jc w:val="right"/>
              <w:rPr>
                <w:sz w:val="14"/>
              </w:rPr>
            </w:pPr>
            <w:r>
              <w:rPr>
                <w:sz w:val="14"/>
              </w:rPr>
              <w:t>18</w:t>
            </w:r>
          </w:p>
        </w:tc>
      </w:tr>
      <w:tr>
        <w:trPr>
          <w:trHeight w:val="246" w:hRule="atLeast"/>
        </w:trPr>
        <w:tc>
          <w:tcPr>
            <w:tcW w:w="936" w:type="dxa"/>
          </w:tcPr>
          <w:p>
            <w:pPr>
              <w:pStyle w:val="TableParagraph"/>
              <w:spacing w:before="43"/>
              <w:ind w:left="71"/>
              <w:rPr>
                <w:sz w:val="14"/>
              </w:rPr>
            </w:pPr>
            <w:r>
              <w:rPr>
                <w:sz w:val="14"/>
              </w:rPr>
              <w:t>Terreno</w:t>
            </w:r>
          </w:p>
        </w:tc>
        <w:tc>
          <w:tcPr>
            <w:tcW w:w="4301" w:type="dxa"/>
          </w:tcPr>
          <w:p>
            <w:pPr>
              <w:pStyle w:val="TableParagraph"/>
              <w:spacing w:before="43"/>
              <w:ind w:left="69"/>
              <w:rPr>
                <w:sz w:val="14"/>
              </w:rPr>
            </w:pPr>
            <w:r>
              <w:rPr>
                <w:w w:val="105"/>
                <w:sz w:val="14"/>
              </w:rPr>
              <w:t>QI 10 Lote 38 Setor Industrial – Taguatinga</w:t>
            </w:r>
          </w:p>
        </w:tc>
        <w:tc>
          <w:tcPr>
            <w:tcW w:w="1293" w:type="dxa"/>
          </w:tcPr>
          <w:p>
            <w:pPr>
              <w:pStyle w:val="TableParagraph"/>
              <w:rPr>
                <w:rFonts w:ascii="Times New Roman"/>
                <w:sz w:val="14"/>
              </w:rPr>
            </w:pPr>
          </w:p>
        </w:tc>
        <w:tc>
          <w:tcPr>
            <w:tcW w:w="1173" w:type="dxa"/>
          </w:tcPr>
          <w:p>
            <w:pPr>
              <w:pStyle w:val="TableParagraph"/>
              <w:rPr>
                <w:rFonts w:ascii="Times New Roman"/>
                <w:sz w:val="14"/>
              </w:rPr>
            </w:pPr>
          </w:p>
        </w:tc>
        <w:tc>
          <w:tcPr>
            <w:tcW w:w="1174" w:type="dxa"/>
          </w:tcPr>
          <w:p>
            <w:pPr>
              <w:pStyle w:val="TableParagraph"/>
              <w:spacing w:before="43"/>
              <w:ind w:right="57"/>
              <w:jc w:val="right"/>
              <w:rPr>
                <w:sz w:val="14"/>
              </w:rPr>
            </w:pPr>
            <w:r>
              <w:rPr>
                <w:w w:val="105"/>
                <w:sz w:val="14"/>
              </w:rPr>
              <w:t>897</w:t>
            </w:r>
          </w:p>
        </w:tc>
        <w:tc>
          <w:tcPr>
            <w:tcW w:w="1173" w:type="dxa"/>
          </w:tcPr>
          <w:p>
            <w:pPr>
              <w:pStyle w:val="TableParagraph"/>
              <w:spacing w:before="43"/>
              <w:ind w:right="58"/>
              <w:jc w:val="right"/>
              <w:rPr>
                <w:sz w:val="14"/>
              </w:rPr>
            </w:pPr>
            <w:r>
              <w:rPr>
                <w:sz w:val="14"/>
              </w:rPr>
              <w:t>897</w:t>
            </w:r>
          </w:p>
        </w:tc>
      </w:tr>
      <w:tr>
        <w:trPr>
          <w:trHeight w:val="246" w:hRule="atLeast"/>
        </w:trPr>
        <w:tc>
          <w:tcPr>
            <w:tcW w:w="936" w:type="dxa"/>
          </w:tcPr>
          <w:p>
            <w:pPr>
              <w:pStyle w:val="TableParagraph"/>
              <w:spacing w:before="41"/>
              <w:ind w:left="71"/>
              <w:rPr>
                <w:sz w:val="14"/>
              </w:rPr>
            </w:pPr>
            <w:r>
              <w:rPr>
                <w:sz w:val="14"/>
              </w:rPr>
              <w:t>Edificação</w:t>
            </w:r>
          </w:p>
        </w:tc>
        <w:tc>
          <w:tcPr>
            <w:tcW w:w="4301" w:type="dxa"/>
          </w:tcPr>
          <w:p>
            <w:pPr>
              <w:pStyle w:val="TableParagraph"/>
              <w:spacing w:before="41"/>
              <w:ind w:left="69"/>
              <w:rPr>
                <w:sz w:val="14"/>
              </w:rPr>
            </w:pPr>
            <w:r>
              <w:rPr>
                <w:sz w:val="14"/>
              </w:rPr>
              <w:t>Edificações da QI 10 Lotes 25 a 38, Setor Industrial </w:t>
            </w:r>
            <w:r>
              <w:rPr>
                <w:w w:val="105"/>
                <w:sz w:val="14"/>
              </w:rPr>
              <w:t>– </w:t>
            </w:r>
            <w:r>
              <w:rPr>
                <w:sz w:val="14"/>
              </w:rPr>
              <w:t>Taguatinga</w:t>
            </w:r>
          </w:p>
        </w:tc>
        <w:tc>
          <w:tcPr>
            <w:tcW w:w="1293" w:type="dxa"/>
          </w:tcPr>
          <w:p>
            <w:pPr>
              <w:pStyle w:val="TableParagraph"/>
              <w:rPr>
                <w:rFonts w:ascii="Times New Roman"/>
                <w:sz w:val="14"/>
              </w:rPr>
            </w:pPr>
          </w:p>
        </w:tc>
        <w:tc>
          <w:tcPr>
            <w:tcW w:w="1173" w:type="dxa"/>
          </w:tcPr>
          <w:p>
            <w:pPr>
              <w:pStyle w:val="TableParagraph"/>
              <w:rPr>
                <w:rFonts w:ascii="Times New Roman"/>
                <w:sz w:val="14"/>
              </w:rPr>
            </w:pPr>
          </w:p>
        </w:tc>
        <w:tc>
          <w:tcPr>
            <w:tcW w:w="1174" w:type="dxa"/>
          </w:tcPr>
          <w:p>
            <w:pPr>
              <w:pStyle w:val="TableParagraph"/>
              <w:spacing w:before="41"/>
              <w:ind w:right="57"/>
              <w:jc w:val="right"/>
              <w:rPr>
                <w:sz w:val="14"/>
              </w:rPr>
            </w:pPr>
            <w:r>
              <w:rPr>
                <w:w w:val="105"/>
                <w:sz w:val="14"/>
              </w:rPr>
              <w:t>672</w:t>
            </w:r>
          </w:p>
        </w:tc>
        <w:tc>
          <w:tcPr>
            <w:tcW w:w="1173" w:type="dxa"/>
          </w:tcPr>
          <w:p>
            <w:pPr>
              <w:pStyle w:val="TableParagraph"/>
              <w:spacing w:before="41"/>
              <w:ind w:right="58"/>
              <w:jc w:val="right"/>
              <w:rPr>
                <w:sz w:val="14"/>
              </w:rPr>
            </w:pPr>
            <w:r>
              <w:rPr>
                <w:sz w:val="14"/>
              </w:rPr>
              <w:t>672</w:t>
            </w:r>
          </w:p>
        </w:tc>
      </w:tr>
      <w:tr>
        <w:trPr>
          <w:trHeight w:val="244" w:hRule="atLeast"/>
        </w:trPr>
        <w:tc>
          <w:tcPr>
            <w:tcW w:w="936" w:type="dxa"/>
          </w:tcPr>
          <w:p>
            <w:pPr>
              <w:pStyle w:val="TableParagraph"/>
              <w:spacing w:before="41"/>
              <w:ind w:left="71"/>
              <w:rPr>
                <w:sz w:val="14"/>
              </w:rPr>
            </w:pPr>
            <w:r>
              <w:rPr>
                <w:sz w:val="14"/>
              </w:rPr>
              <w:t>Terreno</w:t>
            </w:r>
          </w:p>
        </w:tc>
        <w:tc>
          <w:tcPr>
            <w:tcW w:w="4301" w:type="dxa"/>
          </w:tcPr>
          <w:p>
            <w:pPr>
              <w:pStyle w:val="TableParagraph"/>
              <w:spacing w:before="41"/>
              <w:ind w:left="69"/>
              <w:rPr>
                <w:sz w:val="14"/>
              </w:rPr>
            </w:pPr>
            <w:r>
              <w:rPr>
                <w:sz w:val="14"/>
              </w:rPr>
              <w:t>Área 1, Quadra 1, Praça 64/1 - Sobradinho</w:t>
            </w:r>
          </w:p>
        </w:tc>
        <w:tc>
          <w:tcPr>
            <w:tcW w:w="1293" w:type="dxa"/>
          </w:tcPr>
          <w:p>
            <w:pPr>
              <w:pStyle w:val="TableParagraph"/>
              <w:spacing w:before="41"/>
              <w:ind w:right="58"/>
              <w:jc w:val="right"/>
              <w:rPr>
                <w:sz w:val="14"/>
              </w:rPr>
            </w:pPr>
            <w:r>
              <w:rPr>
                <w:w w:val="105"/>
                <w:sz w:val="14"/>
              </w:rPr>
              <w:t>641</w:t>
            </w:r>
          </w:p>
        </w:tc>
        <w:tc>
          <w:tcPr>
            <w:tcW w:w="1173" w:type="dxa"/>
          </w:tcPr>
          <w:p>
            <w:pPr>
              <w:pStyle w:val="TableParagraph"/>
              <w:spacing w:before="41"/>
              <w:ind w:right="57"/>
              <w:jc w:val="right"/>
              <w:rPr>
                <w:sz w:val="14"/>
              </w:rPr>
            </w:pPr>
            <w:r>
              <w:rPr>
                <w:sz w:val="14"/>
              </w:rPr>
              <w:t>641</w:t>
            </w:r>
          </w:p>
        </w:tc>
        <w:tc>
          <w:tcPr>
            <w:tcW w:w="1174" w:type="dxa"/>
          </w:tcPr>
          <w:p>
            <w:pPr>
              <w:pStyle w:val="TableParagraph"/>
              <w:spacing w:before="41"/>
              <w:ind w:right="57"/>
              <w:jc w:val="right"/>
              <w:rPr>
                <w:sz w:val="14"/>
              </w:rPr>
            </w:pPr>
            <w:r>
              <w:rPr>
                <w:w w:val="105"/>
                <w:sz w:val="14"/>
              </w:rPr>
              <w:t>641</w:t>
            </w:r>
          </w:p>
        </w:tc>
        <w:tc>
          <w:tcPr>
            <w:tcW w:w="1173" w:type="dxa"/>
          </w:tcPr>
          <w:p>
            <w:pPr>
              <w:pStyle w:val="TableParagraph"/>
              <w:spacing w:before="41"/>
              <w:ind w:right="58"/>
              <w:jc w:val="right"/>
              <w:rPr>
                <w:sz w:val="14"/>
              </w:rPr>
            </w:pPr>
            <w:r>
              <w:rPr>
                <w:sz w:val="14"/>
              </w:rPr>
              <w:t>641</w:t>
            </w:r>
          </w:p>
        </w:tc>
      </w:tr>
      <w:tr>
        <w:trPr>
          <w:trHeight w:val="246" w:hRule="atLeast"/>
        </w:trPr>
        <w:tc>
          <w:tcPr>
            <w:tcW w:w="936" w:type="dxa"/>
          </w:tcPr>
          <w:p>
            <w:pPr>
              <w:pStyle w:val="TableParagraph"/>
              <w:spacing w:before="42"/>
              <w:ind w:left="103"/>
              <w:rPr>
                <w:rFonts w:ascii="Caladea"/>
                <w:b/>
                <w:sz w:val="14"/>
              </w:rPr>
            </w:pPr>
            <w:r>
              <w:rPr>
                <w:rFonts w:ascii="Caladea"/>
                <w:b/>
                <w:sz w:val="14"/>
              </w:rPr>
              <w:t>Total</w:t>
            </w:r>
          </w:p>
        </w:tc>
        <w:tc>
          <w:tcPr>
            <w:tcW w:w="4301" w:type="dxa"/>
          </w:tcPr>
          <w:p>
            <w:pPr>
              <w:pStyle w:val="TableParagraph"/>
              <w:rPr>
                <w:rFonts w:ascii="Times New Roman"/>
                <w:sz w:val="14"/>
              </w:rPr>
            </w:pPr>
          </w:p>
        </w:tc>
        <w:tc>
          <w:tcPr>
            <w:tcW w:w="1293" w:type="dxa"/>
          </w:tcPr>
          <w:p>
            <w:pPr>
              <w:pStyle w:val="TableParagraph"/>
              <w:spacing w:before="42"/>
              <w:ind w:right="57"/>
              <w:jc w:val="right"/>
              <w:rPr>
                <w:rFonts w:ascii="Caladea"/>
                <w:b/>
                <w:sz w:val="14"/>
              </w:rPr>
            </w:pPr>
            <w:r>
              <w:rPr>
                <w:rFonts w:ascii="Caladea"/>
                <w:b/>
                <w:sz w:val="14"/>
              </w:rPr>
              <w:t>641</w:t>
            </w:r>
          </w:p>
        </w:tc>
        <w:tc>
          <w:tcPr>
            <w:tcW w:w="1173" w:type="dxa"/>
          </w:tcPr>
          <w:p>
            <w:pPr>
              <w:pStyle w:val="TableParagraph"/>
              <w:spacing w:before="42"/>
              <w:ind w:right="57"/>
              <w:jc w:val="right"/>
              <w:rPr>
                <w:rFonts w:ascii="Caladea"/>
                <w:b/>
                <w:sz w:val="14"/>
              </w:rPr>
            </w:pPr>
            <w:r>
              <w:rPr>
                <w:rFonts w:ascii="Caladea"/>
                <w:b/>
                <w:w w:val="95"/>
                <w:sz w:val="14"/>
              </w:rPr>
              <w:t>641</w:t>
            </w:r>
          </w:p>
        </w:tc>
        <w:tc>
          <w:tcPr>
            <w:tcW w:w="1174" w:type="dxa"/>
          </w:tcPr>
          <w:p>
            <w:pPr>
              <w:pStyle w:val="TableParagraph"/>
              <w:spacing w:before="42"/>
              <w:ind w:right="57"/>
              <w:jc w:val="right"/>
              <w:rPr>
                <w:rFonts w:ascii="Caladea"/>
                <w:b/>
                <w:sz w:val="14"/>
              </w:rPr>
            </w:pPr>
            <w:r>
              <w:rPr>
                <w:rFonts w:ascii="Caladea"/>
                <w:b/>
                <w:w w:val="95"/>
                <w:sz w:val="14"/>
              </w:rPr>
              <w:t>2.228</w:t>
            </w:r>
          </w:p>
        </w:tc>
        <w:tc>
          <w:tcPr>
            <w:tcW w:w="1173" w:type="dxa"/>
          </w:tcPr>
          <w:p>
            <w:pPr>
              <w:pStyle w:val="TableParagraph"/>
              <w:spacing w:before="42"/>
              <w:ind w:right="56"/>
              <w:jc w:val="right"/>
              <w:rPr>
                <w:rFonts w:ascii="Caladea"/>
                <w:b/>
                <w:sz w:val="14"/>
              </w:rPr>
            </w:pPr>
            <w:r>
              <w:rPr>
                <w:rFonts w:ascii="Caladea"/>
                <w:b/>
                <w:w w:val="95"/>
                <w:sz w:val="14"/>
              </w:rPr>
              <w:t>2.352</w:t>
            </w:r>
          </w:p>
        </w:tc>
      </w:tr>
    </w:tbl>
    <w:p>
      <w:pPr>
        <w:pStyle w:val="BodyText"/>
        <w:spacing w:before="124"/>
        <w:ind w:left="172"/>
        <w:jc w:val="both"/>
      </w:pPr>
      <w:r>
        <w:rPr/>
        <w:t>Os ativos estão reconhecidos pelo menor valor entre o contábil e o valor justo, menos as despesas de venda.</w:t>
      </w:r>
    </w:p>
    <w:p>
      <w:pPr>
        <w:pStyle w:val="BodyText"/>
        <w:spacing w:before="6"/>
      </w:pPr>
    </w:p>
    <w:p>
      <w:pPr>
        <w:pStyle w:val="Heading3"/>
        <w:numPr>
          <w:ilvl w:val="0"/>
          <w:numId w:val="6"/>
        </w:numPr>
        <w:tabs>
          <w:tab w:pos="953" w:val="left" w:leader="none"/>
          <w:tab w:pos="954" w:val="left" w:leader="none"/>
        </w:tabs>
        <w:spacing w:line="240" w:lineRule="auto" w:before="0" w:after="0"/>
        <w:ind w:left="953" w:right="0" w:hanging="782"/>
        <w:jc w:val="left"/>
      </w:pPr>
      <w:r>
        <w:rPr/>
        <w:t>INVESTIMENTOS</w:t>
      </w:r>
    </w:p>
    <w:p>
      <w:pPr>
        <w:pStyle w:val="ListParagraph"/>
        <w:numPr>
          <w:ilvl w:val="1"/>
          <w:numId w:val="6"/>
        </w:numPr>
        <w:tabs>
          <w:tab w:pos="1025" w:val="left" w:leader="none"/>
          <w:tab w:pos="1026" w:val="left" w:leader="none"/>
        </w:tabs>
        <w:spacing w:line="240" w:lineRule="auto" w:before="243" w:after="0"/>
        <w:ind w:left="1025" w:right="0" w:hanging="854"/>
        <w:jc w:val="left"/>
        <w:rPr>
          <w:rFonts w:ascii="Caladea" w:hAnsi="Caladea"/>
          <w:b/>
          <w:sz w:val="18"/>
        </w:rPr>
      </w:pPr>
      <w:r>
        <w:rPr>
          <w:rFonts w:ascii="Caladea" w:hAnsi="Caladea"/>
          <w:b/>
          <w:sz w:val="22"/>
        </w:rPr>
        <w:t>C</w:t>
      </w:r>
      <w:r>
        <w:rPr>
          <w:rFonts w:ascii="Caladea" w:hAnsi="Caladea"/>
          <w:b/>
          <w:sz w:val="18"/>
        </w:rPr>
        <w:t>OMPOSIÇÃO DOS </w:t>
      </w:r>
      <w:r>
        <w:rPr>
          <w:rFonts w:ascii="Caladea" w:hAnsi="Caladea"/>
          <w:b/>
          <w:sz w:val="22"/>
        </w:rPr>
        <w:t>I</w:t>
      </w:r>
      <w:r>
        <w:rPr>
          <w:rFonts w:ascii="Caladea" w:hAnsi="Caladea"/>
          <w:b/>
          <w:sz w:val="18"/>
        </w:rPr>
        <w:t>NVESTIMENTOS</w:t>
      </w:r>
    </w:p>
    <w:p>
      <w:pPr>
        <w:pStyle w:val="BodyText"/>
        <w:spacing w:before="5"/>
        <w:rPr>
          <w:rFonts w:ascii="Caladea"/>
          <w:b/>
          <w:sz w:val="13"/>
        </w:rPr>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76"/>
        <w:gridCol w:w="1407"/>
        <w:gridCol w:w="1404"/>
        <w:gridCol w:w="1405"/>
        <w:gridCol w:w="1407"/>
      </w:tblGrid>
      <w:tr>
        <w:trPr>
          <w:trHeight w:val="342" w:hRule="atLeast"/>
        </w:trPr>
        <w:tc>
          <w:tcPr>
            <w:tcW w:w="4376" w:type="dxa"/>
            <w:vMerge w:val="restart"/>
            <w:shd w:val="clear" w:color="auto" w:fill="D9D9D9"/>
          </w:tcPr>
          <w:p>
            <w:pPr>
              <w:pStyle w:val="TableParagraph"/>
              <w:rPr>
                <w:rFonts w:ascii="Times New Roman"/>
                <w:sz w:val="14"/>
              </w:rPr>
            </w:pPr>
          </w:p>
        </w:tc>
        <w:tc>
          <w:tcPr>
            <w:tcW w:w="2811" w:type="dxa"/>
            <w:gridSpan w:val="2"/>
          </w:tcPr>
          <w:p>
            <w:pPr>
              <w:pStyle w:val="TableParagraph"/>
              <w:spacing w:before="87"/>
              <w:ind w:left="955" w:right="944"/>
              <w:jc w:val="center"/>
              <w:rPr>
                <w:rFonts w:ascii="Caladea"/>
                <w:b/>
                <w:sz w:val="14"/>
              </w:rPr>
            </w:pPr>
            <w:r>
              <w:rPr>
                <w:rFonts w:ascii="Caladea"/>
                <w:b/>
                <w:sz w:val="14"/>
              </w:rPr>
              <w:t>Controladora</w:t>
            </w:r>
          </w:p>
        </w:tc>
        <w:tc>
          <w:tcPr>
            <w:tcW w:w="2812" w:type="dxa"/>
            <w:gridSpan w:val="2"/>
          </w:tcPr>
          <w:p>
            <w:pPr>
              <w:pStyle w:val="TableParagraph"/>
              <w:spacing w:before="87"/>
              <w:ind w:left="986" w:right="978"/>
              <w:jc w:val="center"/>
              <w:rPr>
                <w:rFonts w:ascii="Caladea"/>
                <w:b/>
                <w:sz w:val="14"/>
              </w:rPr>
            </w:pPr>
            <w:r>
              <w:rPr>
                <w:rFonts w:ascii="Caladea"/>
                <w:b/>
                <w:sz w:val="14"/>
              </w:rPr>
              <w:t>Consolidado</w:t>
            </w:r>
          </w:p>
        </w:tc>
      </w:tr>
      <w:tr>
        <w:trPr>
          <w:trHeight w:val="165" w:hRule="atLeast"/>
        </w:trPr>
        <w:tc>
          <w:tcPr>
            <w:tcW w:w="4376" w:type="dxa"/>
            <w:vMerge/>
            <w:tcBorders>
              <w:top w:val="nil"/>
            </w:tcBorders>
            <w:shd w:val="clear" w:color="auto" w:fill="D9D9D9"/>
          </w:tcPr>
          <w:p>
            <w:pPr>
              <w:rPr>
                <w:sz w:val="2"/>
                <w:szCs w:val="2"/>
              </w:rPr>
            </w:pPr>
          </w:p>
        </w:tc>
        <w:tc>
          <w:tcPr>
            <w:tcW w:w="1407" w:type="dxa"/>
          </w:tcPr>
          <w:p>
            <w:pPr>
              <w:pStyle w:val="TableParagraph"/>
              <w:spacing w:line="145" w:lineRule="exact"/>
              <w:ind w:left="302"/>
              <w:rPr>
                <w:rFonts w:ascii="Caladea"/>
                <w:b/>
                <w:sz w:val="14"/>
              </w:rPr>
            </w:pPr>
            <w:r>
              <w:rPr>
                <w:rFonts w:ascii="Caladea"/>
                <w:b/>
                <w:sz w:val="14"/>
              </w:rPr>
              <w:t>31/12/2019</w:t>
            </w:r>
          </w:p>
        </w:tc>
        <w:tc>
          <w:tcPr>
            <w:tcW w:w="1404" w:type="dxa"/>
          </w:tcPr>
          <w:p>
            <w:pPr>
              <w:pStyle w:val="TableParagraph"/>
              <w:spacing w:line="145" w:lineRule="exact"/>
              <w:ind w:left="299"/>
              <w:rPr>
                <w:rFonts w:ascii="Caladea"/>
                <w:b/>
                <w:sz w:val="14"/>
              </w:rPr>
            </w:pPr>
            <w:r>
              <w:rPr>
                <w:rFonts w:ascii="Caladea"/>
                <w:b/>
                <w:sz w:val="14"/>
              </w:rPr>
              <w:t>31/12/2018</w:t>
            </w:r>
          </w:p>
        </w:tc>
        <w:tc>
          <w:tcPr>
            <w:tcW w:w="1405" w:type="dxa"/>
          </w:tcPr>
          <w:p>
            <w:pPr>
              <w:pStyle w:val="TableParagraph"/>
              <w:spacing w:line="145" w:lineRule="exact"/>
              <w:ind w:left="302"/>
              <w:rPr>
                <w:rFonts w:ascii="Caladea"/>
                <w:b/>
                <w:sz w:val="14"/>
              </w:rPr>
            </w:pPr>
            <w:r>
              <w:rPr>
                <w:rFonts w:ascii="Caladea"/>
                <w:b/>
                <w:sz w:val="14"/>
              </w:rPr>
              <w:t>31/12/2019</w:t>
            </w:r>
          </w:p>
        </w:tc>
        <w:tc>
          <w:tcPr>
            <w:tcW w:w="1407" w:type="dxa"/>
          </w:tcPr>
          <w:p>
            <w:pPr>
              <w:pStyle w:val="TableParagraph"/>
              <w:spacing w:line="145" w:lineRule="exact"/>
              <w:ind w:left="301"/>
              <w:rPr>
                <w:rFonts w:ascii="Caladea"/>
                <w:b/>
                <w:sz w:val="14"/>
              </w:rPr>
            </w:pPr>
            <w:r>
              <w:rPr>
                <w:rFonts w:ascii="Caladea"/>
                <w:b/>
                <w:sz w:val="14"/>
              </w:rPr>
              <w:t>31/12/2018</w:t>
            </w:r>
          </w:p>
        </w:tc>
      </w:tr>
      <w:tr>
        <w:trPr>
          <w:trHeight w:val="162" w:hRule="atLeast"/>
        </w:trPr>
        <w:tc>
          <w:tcPr>
            <w:tcW w:w="4376" w:type="dxa"/>
          </w:tcPr>
          <w:p>
            <w:pPr>
              <w:pStyle w:val="TableParagraph"/>
              <w:spacing w:line="142" w:lineRule="exact"/>
              <w:ind w:left="72"/>
              <w:rPr>
                <w:sz w:val="14"/>
              </w:rPr>
            </w:pPr>
            <w:r>
              <w:rPr>
                <w:sz w:val="14"/>
              </w:rPr>
              <w:t>Avaliados por Equivalência Patrimonial</w:t>
            </w:r>
          </w:p>
        </w:tc>
        <w:tc>
          <w:tcPr>
            <w:tcW w:w="1407" w:type="dxa"/>
          </w:tcPr>
          <w:p>
            <w:pPr>
              <w:pStyle w:val="TableParagraph"/>
              <w:spacing w:line="142" w:lineRule="exact"/>
              <w:ind w:right="60"/>
              <w:jc w:val="right"/>
              <w:rPr>
                <w:sz w:val="14"/>
              </w:rPr>
            </w:pPr>
            <w:r>
              <w:rPr>
                <w:w w:val="95"/>
                <w:sz w:val="14"/>
              </w:rPr>
              <w:t>906.307</w:t>
            </w:r>
          </w:p>
        </w:tc>
        <w:tc>
          <w:tcPr>
            <w:tcW w:w="1404" w:type="dxa"/>
          </w:tcPr>
          <w:p>
            <w:pPr>
              <w:pStyle w:val="TableParagraph"/>
              <w:spacing w:line="142" w:lineRule="exact"/>
              <w:ind w:right="60"/>
              <w:jc w:val="right"/>
              <w:rPr>
                <w:sz w:val="14"/>
              </w:rPr>
            </w:pPr>
            <w:r>
              <w:rPr>
                <w:w w:val="95"/>
                <w:sz w:val="14"/>
              </w:rPr>
              <w:t>726.955</w:t>
            </w:r>
          </w:p>
        </w:tc>
        <w:tc>
          <w:tcPr>
            <w:tcW w:w="1405" w:type="dxa"/>
          </w:tcPr>
          <w:p>
            <w:pPr>
              <w:pStyle w:val="TableParagraph"/>
              <w:spacing w:line="142" w:lineRule="exact"/>
              <w:ind w:right="58"/>
              <w:jc w:val="right"/>
              <w:rPr>
                <w:sz w:val="14"/>
              </w:rPr>
            </w:pPr>
            <w:r>
              <w:rPr>
                <w:w w:val="95"/>
                <w:sz w:val="14"/>
              </w:rPr>
              <w:t>356.377</w:t>
            </w:r>
          </w:p>
        </w:tc>
        <w:tc>
          <w:tcPr>
            <w:tcW w:w="1407" w:type="dxa"/>
          </w:tcPr>
          <w:p>
            <w:pPr>
              <w:pStyle w:val="TableParagraph"/>
              <w:spacing w:line="142" w:lineRule="exact"/>
              <w:ind w:right="61"/>
              <w:jc w:val="right"/>
              <w:rPr>
                <w:sz w:val="14"/>
              </w:rPr>
            </w:pPr>
            <w:r>
              <w:rPr>
                <w:w w:val="95"/>
                <w:sz w:val="14"/>
              </w:rPr>
              <w:t>334.158</w:t>
            </w:r>
          </w:p>
        </w:tc>
      </w:tr>
      <w:tr>
        <w:trPr>
          <w:trHeight w:val="165" w:hRule="atLeast"/>
        </w:trPr>
        <w:tc>
          <w:tcPr>
            <w:tcW w:w="4376" w:type="dxa"/>
          </w:tcPr>
          <w:p>
            <w:pPr>
              <w:pStyle w:val="TableParagraph"/>
              <w:spacing w:line="145" w:lineRule="exact"/>
              <w:ind w:left="72"/>
              <w:rPr>
                <w:sz w:val="14"/>
              </w:rPr>
            </w:pPr>
            <w:r>
              <w:rPr>
                <w:sz w:val="14"/>
              </w:rPr>
              <w:t>Propriedade Para Investimento</w:t>
            </w:r>
          </w:p>
        </w:tc>
        <w:tc>
          <w:tcPr>
            <w:tcW w:w="1407" w:type="dxa"/>
          </w:tcPr>
          <w:p>
            <w:pPr>
              <w:pStyle w:val="TableParagraph"/>
              <w:rPr>
                <w:rFonts w:ascii="Times New Roman"/>
                <w:sz w:val="10"/>
              </w:rPr>
            </w:pPr>
          </w:p>
        </w:tc>
        <w:tc>
          <w:tcPr>
            <w:tcW w:w="1404" w:type="dxa"/>
          </w:tcPr>
          <w:p>
            <w:pPr>
              <w:pStyle w:val="TableParagraph"/>
              <w:rPr>
                <w:rFonts w:ascii="Times New Roman"/>
                <w:sz w:val="10"/>
              </w:rPr>
            </w:pPr>
          </w:p>
        </w:tc>
        <w:tc>
          <w:tcPr>
            <w:tcW w:w="1405" w:type="dxa"/>
          </w:tcPr>
          <w:p>
            <w:pPr>
              <w:pStyle w:val="TableParagraph"/>
              <w:spacing w:line="145" w:lineRule="exact"/>
              <w:ind w:right="58"/>
              <w:jc w:val="right"/>
              <w:rPr>
                <w:sz w:val="14"/>
              </w:rPr>
            </w:pPr>
            <w:r>
              <w:rPr>
                <w:w w:val="95"/>
                <w:sz w:val="14"/>
              </w:rPr>
              <w:t>274.400</w:t>
            </w:r>
          </w:p>
        </w:tc>
        <w:tc>
          <w:tcPr>
            <w:tcW w:w="1407" w:type="dxa"/>
          </w:tcPr>
          <w:p>
            <w:pPr>
              <w:pStyle w:val="TableParagraph"/>
              <w:spacing w:line="145" w:lineRule="exact"/>
              <w:ind w:right="61"/>
              <w:jc w:val="right"/>
              <w:rPr>
                <w:sz w:val="14"/>
              </w:rPr>
            </w:pPr>
            <w:r>
              <w:rPr>
                <w:w w:val="95"/>
                <w:sz w:val="14"/>
              </w:rPr>
              <w:t>274.420</w:t>
            </w:r>
          </w:p>
        </w:tc>
      </w:tr>
      <w:tr>
        <w:trPr>
          <w:trHeight w:val="162" w:hRule="atLeast"/>
        </w:trPr>
        <w:tc>
          <w:tcPr>
            <w:tcW w:w="4376" w:type="dxa"/>
          </w:tcPr>
          <w:p>
            <w:pPr>
              <w:pStyle w:val="TableParagraph"/>
              <w:spacing w:line="142" w:lineRule="exact"/>
              <w:ind w:left="72"/>
              <w:rPr>
                <w:sz w:val="14"/>
              </w:rPr>
            </w:pPr>
            <w:r>
              <w:rPr>
                <w:sz w:val="14"/>
              </w:rPr>
              <w:t>Adiantamento Para Futuro Aumento de Capital</w:t>
            </w:r>
          </w:p>
        </w:tc>
        <w:tc>
          <w:tcPr>
            <w:tcW w:w="1407" w:type="dxa"/>
          </w:tcPr>
          <w:p>
            <w:pPr>
              <w:pStyle w:val="TableParagraph"/>
              <w:spacing w:line="142" w:lineRule="exact"/>
              <w:ind w:right="59"/>
              <w:jc w:val="right"/>
              <w:rPr>
                <w:sz w:val="14"/>
              </w:rPr>
            </w:pPr>
            <w:r>
              <w:rPr>
                <w:w w:val="95"/>
                <w:sz w:val="14"/>
              </w:rPr>
              <w:t>1.524</w:t>
            </w:r>
          </w:p>
        </w:tc>
        <w:tc>
          <w:tcPr>
            <w:tcW w:w="1404" w:type="dxa"/>
          </w:tcPr>
          <w:p>
            <w:pPr>
              <w:pStyle w:val="TableParagraph"/>
              <w:spacing w:line="142" w:lineRule="exact"/>
              <w:ind w:right="59"/>
              <w:jc w:val="right"/>
              <w:rPr>
                <w:sz w:val="14"/>
              </w:rPr>
            </w:pPr>
            <w:r>
              <w:rPr>
                <w:w w:val="95"/>
                <w:sz w:val="14"/>
              </w:rPr>
              <w:t>4.717</w:t>
            </w:r>
          </w:p>
        </w:tc>
        <w:tc>
          <w:tcPr>
            <w:tcW w:w="1405" w:type="dxa"/>
          </w:tcPr>
          <w:p>
            <w:pPr>
              <w:pStyle w:val="TableParagraph"/>
              <w:spacing w:line="142" w:lineRule="exact"/>
              <w:ind w:right="57"/>
              <w:jc w:val="right"/>
              <w:rPr>
                <w:sz w:val="14"/>
              </w:rPr>
            </w:pPr>
            <w:r>
              <w:rPr>
                <w:w w:val="95"/>
                <w:sz w:val="14"/>
              </w:rPr>
              <w:t>1.405</w:t>
            </w:r>
          </w:p>
        </w:tc>
        <w:tc>
          <w:tcPr>
            <w:tcW w:w="1407" w:type="dxa"/>
          </w:tcPr>
          <w:p>
            <w:pPr>
              <w:pStyle w:val="TableParagraph"/>
              <w:spacing w:line="142" w:lineRule="exact"/>
              <w:ind w:right="60"/>
              <w:jc w:val="right"/>
              <w:rPr>
                <w:sz w:val="14"/>
              </w:rPr>
            </w:pPr>
            <w:r>
              <w:rPr>
                <w:w w:val="95"/>
                <w:sz w:val="14"/>
              </w:rPr>
              <w:t>4.637</w:t>
            </w:r>
          </w:p>
        </w:tc>
      </w:tr>
      <w:tr>
        <w:trPr>
          <w:trHeight w:val="165" w:hRule="atLeast"/>
        </w:trPr>
        <w:tc>
          <w:tcPr>
            <w:tcW w:w="4376" w:type="dxa"/>
          </w:tcPr>
          <w:p>
            <w:pPr>
              <w:pStyle w:val="TableParagraph"/>
              <w:spacing w:line="142" w:lineRule="exact" w:before="2"/>
              <w:ind w:left="72"/>
              <w:rPr>
                <w:sz w:val="14"/>
              </w:rPr>
            </w:pPr>
            <w:r>
              <w:rPr>
                <w:sz w:val="14"/>
              </w:rPr>
              <w:t>Outros</w:t>
            </w:r>
          </w:p>
        </w:tc>
        <w:tc>
          <w:tcPr>
            <w:tcW w:w="1407" w:type="dxa"/>
          </w:tcPr>
          <w:p>
            <w:pPr>
              <w:pStyle w:val="TableParagraph"/>
              <w:spacing w:line="142" w:lineRule="exact" w:before="2"/>
              <w:ind w:right="60"/>
              <w:jc w:val="right"/>
              <w:rPr>
                <w:sz w:val="14"/>
              </w:rPr>
            </w:pPr>
            <w:r>
              <w:rPr>
                <w:sz w:val="14"/>
              </w:rPr>
              <w:t>210</w:t>
            </w:r>
          </w:p>
        </w:tc>
        <w:tc>
          <w:tcPr>
            <w:tcW w:w="1404" w:type="dxa"/>
          </w:tcPr>
          <w:p>
            <w:pPr>
              <w:pStyle w:val="TableParagraph"/>
              <w:spacing w:line="142" w:lineRule="exact" w:before="2"/>
              <w:ind w:right="60"/>
              <w:jc w:val="right"/>
              <w:rPr>
                <w:sz w:val="14"/>
              </w:rPr>
            </w:pPr>
            <w:r>
              <w:rPr>
                <w:sz w:val="14"/>
              </w:rPr>
              <w:t>211</w:t>
            </w:r>
          </w:p>
        </w:tc>
        <w:tc>
          <w:tcPr>
            <w:tcW w:w="1405" w:type="dxa"/>
          </w:tcPr>
          <w:p>
            <w:pPr>
              <w:pStyle w:val="TableParagraph"/>
              <w:spacing w:line="142" w:lineRule="exact" w:before="2"/>
              <w:ind w:right="58"/>
              <w:jc w:val="right"/>
              <w:rPr>
                <w:sz w:val="14"/>
              </w:rPr>
            </w:pPr>
            <w:r>
              <w:rPr>
                <w:sz w:val="14"/>
              </w:rPr>
              <w:t>210</w:t>
            </w:r>
          </w:p>
        </w:tc>
        <w:tc>
          <w:tcPr>
            <w:tcW w:w="1407" w:type="dxa"/>
          </w:tcPr>
          <w:p>
            <w:pPr>
              <w:pStyle w:val="TableParagraph"/>
              <w:spacing w:line="142" w:lineRule="exact" w:before="2"/>
              <w:ind w:right="61"/>
              <w:jc w:val="right"/>
              <w:rPr>
                <w:sz w:val="14"/>
              </w:rPr>
            </w:pPr>
            <w:r>
              <w:rPr>
                <w:sz w:val="14"/>
              </w:rPr>
              <w:t>211</w:t>
            </w:r>
          </w:p>
        </w:tc>
      </w:tr>
      <w:tr>
        <w:trPr>
          <w:trHeight w:val="208" w:hRule="atLeast"/>
        </w:trPr>
        <w:tc>
          <w:tcPr>
            <w:tcW w:w="4376" w:type="dxa"/>
          </w:tcPr>
          <w:p>
            <w:pPr>
              <w:pStyle w:val="TableParagraph"/>
              <w:spacing w:before="20"/>
              <w:ind w:left="72"/>
              <w:rPr>
                <w:rFonts w:ascii="Caladea"/>
                <w:b/>
                <w:sz w:val="14"/>
              </w:rPr>
            </w:pPr>
            <w:r>
              <w:rPr>
                <w:rFonts w:ascii="Caladea"/>
                <w:b/>
                <w:sz w:val="14"/>
              </w:rPr>
              <w:t>Total</w:t>
            </w:r>
          </w:p>
        </w:tc>
        <w:tc>
          <w:tcPr>
            <w:tcW w:w="1407" w:type="dxa"/>
          </w:tcPr>
          <w:p>
            <w:pPr>
              <w:pStyle w:val="TableParagraph"/>
              <w:spacing w:before="20"/>
              <w:ind w:right="60"/>
              <w:jc w:val="right"/>
              <w:rPr>
                <w:rFonts w:ascii="Caladea"/>
                <w:b/>
                <w:sz w:val="14"/>
              </w:rPr>
            </w:pPr>
            <w:r>
              <w:rPr>
                <w:rFonts w:ascii="Caladea"/>
                <w:b/>
                <w:w w:val="95"/>
                <w:sz w:val="14"/>
              </w:rPr>
              <w:t>908.041</w:t>
            </w:r>
          </w:p>
        </w:tc>
        <w:tc>
          <w:tcPr>
            <w:tcW w:w="1404" w:type="dxa"/>
          </w:tcPr>
          <w:p>
            <w:pPr>
              <w:pStyle w:val="TableParagraph"/>
              <w:spacing w:before="20"/>
              <w:ind w:right="60"/>
              <w:jc w:val="right"/>
              <w:rPr>
                <w:rFonts w:ascii="Caladea"/>
                <w:b/>
                <w:sz w:val="14"/>
              </w:rPr>
            </w:pPr>
            <w:r>
              <w:rPr>
                <w:rFonts w:ascii="Caladea"/>
                <w:b/>
                <w:w w:val="95"/>
                <w:sz w:val="14"/>
              </w:rPr>
              <w:t>731.883</w:t>
            </w:r>
          </w:p>
        </w:tc>
        <w:tc>
          <w:tcPr>
            <w:tcW w:w="1405" w:type="dxa"/>
          </w:tcPr>
          <w:p>
            <w:pPr>
              <w:pStyle w:val="TableParagraph"/>
              <w:spacing w:before="20"/>
              <w:ind w:right="58"/>
              <w:jc w:val="right"/>
              <w:rPr>
                <w:rFonts w:ascii="Caladea"/>
                <w:b/>
                <w:sz w:val="14"/>
              </w:rPr>
            </w:pPr>
            <w:r>
              <w:rPr>
                <w:rFonts w:ascii="Caladea"/>
                <w:b/>
                <w:w w:val="95"/>
                <w:sz w:val="14"/>
              </w:rPr>
              <w:t>632.392</w:t>
            </w:r>
          </w:p>
        </w:tc>
        <w:tc>
          <w:tcPr>
            <w:tcW w:w="1407" w:type="dxa"/>
          </w:tcPr>
          <w:p>
            <w:pPr>
              <w:pStyle w:val="TableParagraph"/>
              <w:spacing w:before="20"/>
              <w:ind w:right="61"/>
              <w:jc w:val="right"/>
              <w:rPr>
                <w:rFonts w:ascii="Caladea"/>
                <w:b/>
                <w:sz w:val="14"/>
              </w:rPr>
            </w:pPr>
            <w:r>
              <w:rPr>
                <w:rFonts w:ascii="Caladea"/>
                <w:b/>
                <w:w w:val="95"/>
                <w:sz w:val="14"/>
              </w:rPr>
              <w:t>613.426</w:t>
            </w:r>
          </w:p>
        </w:tc>
      </w:tr>
    </w:tbl>
    <w:p>
      <w:pPr>
        <w:pStyle w:val="ListParagraph"/>
        <w:numPr>
          <w:ilvl w:val="1"/>
          <w:numId w:val="6"/>
        </w:numPr>
        <w:tabs>
          <w:tab w:pos="1025" w:val="left" w:leader="none"/>
          <w:tab w:pos="1026" w:val="left" w:leader="none"/>
        </w:tabs>
        <w:spacing w:line="240" w:lineRule="auto" w:before="122" w:after="0"/>
        <w:ind w:left="1025" w:right="0" w:hanging="854"/>
        <w:jc w:val="left"/>
        <w:rPr>
          <w:rFonts w:ascii="Caladea" w:hAnsi="Caladea"/>
          <w:b/>
          <w:sz w:val="18"/>
        </w:rPr>
      </w:pPr>
      <w:r>
        <w:rPr>
          <w:rFonts w:ascii="Caladea" w:hAnsi="Caladea"/>
          <w:b/>
          <w:sz w:val="22"/>
        </w:rPr>
        <w:t>I</w:t>
      </w:r>
      <w:r>
        <w:rPr>
          <w:rFonts w:ascii="Caladea" w:hAnsi="Caladea"/>
          <w:b/>
          <w:sz w:val="18"/>
        </w:rPr>
        <w:t>NVESTIMENTOS </w:t>
      </w:r>
      <w:r>
        <w:rPr>
          <w:rFonts w:ascii="Caladea" w:hAnsi="Caladea"/>
          <w:b/>
          <w:sz w:val="22"/>
        </w:rPr>
        <w:t>A</w:t>
      </w:r>
      <w:r>
        <w:rPr>
          <w:rFonts w:ascii="Caladea" w:hAnsi="Caladea"/>
          <w:b/>
          <w:sz w:val="18"/>
        </w:rPr>
        <w:t>VALIADOS POR </w:t>
      </w:r>
      <w:r>
        <w:rPr>
          <w:rFonts w:ascii="Caladea" w:hAnsi="Caladea"/>
          <w:b/>
          <w:sz w:val="22"/>
        </w:rPr>
        <w:t>E</w:t>
      </w:r>
      <w:r>
        <w:rPr>
          <w:rFonts w:ascii="Caladea" w:hAnsi="Caladea"/>
          <w:b/>
          <w:sz w:val="18"/>
        </w:rPr>
        <w:t>QUIVALÊNCIA</w:t>
      </w:r>
      <w:r>
        <w:rPr>
          <w:rFonts w:ascii="Caladea" w:hAnsi="Caladea"/>
          <w:b/>
          <w:spacing w:val="3"/>
          <w:sz w:val="18"/>
        </w:rPr>
        <w:t> </w:t>
      </w:r>
      <w:r>
        <w:rPr>
          <w:rFonts w:ascii="Caladea" w:hAnsi="Caladea"/>
          <w:b/>
          <w:sz w:val="22"/>
        </w:rPr>
        <w:t>P</w:t>
      </w:r>
      <w:r>
        <w:rPr>
          <w:rFonts w:ascii="Caladea" w:hAnsi="Caladea"/>
          <w:b/>
          <w:sz w:val="18"/>
        </w:rPr>
        <w:t>ATRIMONIAL</w:t>
      </w:r>
    </w:p>
    <w:p>
      <w:pPr>
        <w:pStyle w:val="BodyText"/>
        <w:spacing w:before="5"/>
        <w:rPr>
          <w:rFonts w:ascii="Caladea"/>
          <w:b/>
          <w:sz w:val="1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33"/>
        <w:gridCol w:w="1191"/>
        <w:gridCol w:w="972"/>
        <w:gridCol w:w="1270"/>
        <w:gridCol w:w="1193"/>
        <w:gridCol w:w="1446"/>
        <w:gridCol w:w="889"/>
        <w:gridCol w:w="978"/>
      </w:tblGrid>
      <w:tr>
        <w:trPr>
          <w:trHeight w:val="241" w:hRule="atLeast"/>
        </w:trPr>
        <w:tc>
          <w:tcPr>
            <w:tcW w:w="2033" w:type="dxa"/>
            <w:vMerge w:val="restart"/>
            <w:shd w:val="clear" w:color="auto" w:fill="D9D9D9"/>
          </w:tcPr>
          <w:p>
            <w:pPr>
              <w:pStyle w:val="TableParagraph"/>
              <w:rPr>
                <w:rFonts w:ascii="Caladea"/>
                <w:b/>
                <w:sz w:val="14"/>
              </w:rPr>
            </w:pPr>
          </w:p>
          <w:p>
            <w:pPr>
              <w:pStyle w:val="TableParagraph"/>
              <w:spacing w:before="1"/>
              <w:rPr>
                <w:rFonts w:ascii="Caladea"/>
                <w:b/>
                <w:sz w:val="14"/>
              </w:rPr>
            </w:pPr>
          </w:p>
          <w:p>
            <w:pPr>
              <w:pStyle w:val="TableParagraph"/>
              <w:ind w:left="72"/>
              <w:rPr>
                <w:rFonts w:ascii="Caladea"/>
                <w:b/>
                <w:sz w:val="13"/>
              </w:rPr>
            </w:pPr>
            <w:r>
              <w:rPr>
                <w:rFonts w:ascii="Caladea"/>
                <w:b/>
                <w:sz w:val="13"/>
              </w:rPr>
              <w:t>Investidas</w:t>
            </w:r>
          </w:p>
        </w:tc>
        <w:tc>
          <w:tcPr>
            <w:tcW w:w="7939" w:type="dxa"/>
            <w:gridSpan w:val="7"/>
          </w:tcPr>
          <w:p>
            <w:pPr>
              <w:pStyle w:val="TableParagraph"/>
              <w:spacing w:before="44"/>
              <w:ind w:left="3550" w:right="3539"/>
              <w:jc w:val="center"/>
              <w:rPr>
                <w:rFonts w:ascii="Caladea"/>
                <w:b/>
                <w:sz w:val="13"/>
              </w:rPr>
            </w:pPr>
            <w:r>
              <w:rPr>
                <w:rFonts w:ascii="Caladea"/>
                <w:b/>
                <w:sz w:val="13"/>
              </w:rPr>
              <w:t>Controladora</w:t>
            </w:r>
          </w:p>
        </w:tc>
      </w:tr>
      <w:tr>
        <w:trPr>
          <w:trHeight w:val="241" w:hRule="atLeast"/>
        </w:trPr>
        <w:tc>
          <w:tcPr>
            <w:tcW w:w="2033" w:type="dxa"/>
            <w:vMerge/>
            <w:tcBorders>
              <w:top w:val="nil"/>
            </w:tcBorders>
            <w:shd w:val="clear" w:color="auto" w:fill="D9D9D9"/>
          </w:tcPr>
          <w:p>
            <w:pPr>
              <w:rPr>
                <w:sz w:val="2"/>
                <w:szCs w:val="2"/>
              </w:rPr>
            </w:pPr>
          </w:p>
        </w:tc>
        <w:tc>
          <w:tcPr>
            <w:tcW w:w="1191" w:type="dxa"/>
            <w:vMerge w:val="restart"/>
          </w:tcPr>
          <w:p>
            <w:pPr>
              <w:pStyle w:val="TableParagraph"/>
              <w:spacing w:before="126"/>
              <w:ind w:left="194" w:right="150" w:firstLine="16"/>
              <w:rPr>
                <w:rFonts w:ascii="Caladea"/>
                <w:b/>
                <w:sz w:val="13"/>
              </w:rPr>
            </w:pPr>
            <w:r>
              <w:rPr>
                <w:rFonts w:ascii="Caladea"/>
                <w:b/>
                <w:sz w:val="13"/>
              </w:rPr>
              <w:t>Capital Social Integralizado</w:t>
            </w:r>
          </w:p>
        </w:tc>
        <w:tc>
          <w:tcPr>
            <w:tcW w:w="972" w:type="dxa"/>
            <w:vMerge w:val="restart"/>
          </w:tcPr>
          <w:p>
            <w:pPr>
              <w:pStyle w:val="TableParagraph"/>
              <w:spacing w:before="126"/>
              <w:ind w:left="256" w:right="101" w:hanging="96"/>
              <w:rPr>
                <w:rFonts w:ascii="Caladea" w:hAnsi="Caladea"/>
                <w:b/>
                <w:sz w:val="13"/>
              </w:rPr>
            </w:pPr>
            <w:r>
              <w:rPr>
                <w:rFonts w:ascii="Caladea" w:hAnsi="Caladea"/>
                <w:b/>
                <w:sz w:val="13"/>
              </w:rPr>
              <w:t>Patrimônio Líquido</w:t>
            </w:r>
          </w:p>
        </w:tc>
        <w:tc>
          <w:tcPr>
            <w:tcW w:w="1270" w:type="dxa"/>
            <w:vMerge w:val="restart"/>
          </w:tcPr>
          <w:p>
            <w:pPr>
              <w:pStyle w:val="TableParagraph"/>
              <w:spacing w:before="126"/>
              <w:ind w:left="103" w:right="75" w:firstLine="81"/>
              <w:rPr>
                <w:rFonts w:ascii="Caladea" w:hAnsi="Caladea"/>
                <w:b/>
                <w:sz w:val="13"/>
              </w:rPr>
            </w:pPr>
            <w:r>
              <w:rPr>
                <w:rFonts w:ascii="Caladea" w:hAnsi="Caladea"/>
                <w:b/>
                <w:sz w:val="13"/>
              </w:rPr>
              <w:t>Participação no Capital Social (%)</w:t>
            </w:r>
          </w:p>
        </w:tc>
        <w:tc>
          <w:tcPr>
            <w:tcW w:w="1193" w:type="dxa"/>
            <w:vMerge w:val="restart"/>
          </w:tcPr>
          <w:p>
            <w:pPr>
              <w:pStyle w:val="TableParagraph"/>
              <w:spacing w:before="49"/>
              <w:ind w:left="83" w:right="74" w:firstLine="29"/>
              <w:jc w:val="center"/>
              <w:rPr>
                <w:rFonts w:ascii="Caladea" w:hAnsi="Caladea"/>
                <w:b/>
                <w:sz w:val="13"/>
              </w:rPr>
            </w:pPr>
            <w:r>
              <w:rPr>
                <w:rFonts w:ascii="Caladea" w:hAnsi="Caladea"/>
                <w:b/>
                <w:sz w:val="13"/>
              </w:rPr>
              <w:t>Participação nas Ações Ordinárias (%)</w:t>
            </w:r>
          </w:p>
        </w:tc>
        <w:tc>
          <w:tcPr>
            <w:tcW w:w="1446" w:type="dxa"/>
            <w:vMerge w:val="restart"/>
          </w:tcPr>
          <w:p>
            <w:pPr>
              <w:pStyle w:val="TableParagraph"/>
              <w:spacing w:before="126"/>
              <w:ind w:left="220" w:right="162" w:hanging="3"/>
              <w:rPr>
                <w:rFonts w:ascii="Caladea" w:hAnsi="Caladea"/>
                <w:b/>
                <w:sz w:val="13"/>
              </w:rPr>
            </w:pPr>
            <w:r>
              <w:rPr>
                <w:rFonts w:ascii="Caladea" w:hAnsi="Caladea"/>
                <w:b/>
                <w:sz w:val="13"/>
              </w:rPr>
              <w:t>Número de Ações Detidas Pela CEB</w:t>
            </w:r>
          </w:p>
        </w:tc>
        <w:tc>
          <w:tcPr>
            <w:tcW w:w="1867" w:type="dxa"/>
            <w:gridSpan w:val="2"/>
          </w:tcPr>
          <w:p>
            <w:pPr>
              <w:pStyle w:val="TableParagraph"/>
              <w:spacing w:before="44"/>
              <w:ind w:left="505"/>
              <w:rPr>
                <w:rFonts w:ascii="Caladea" w:hAnsi="Caladea"/>
                <w:b/>
                <w:sz w:val="13"/>
              </w:rPr>
            </w:pPr>
            <w:r>
              <w:rPr>
                <w:rFonts w:ascii="Caladea" w:hAnsi="Caladea"/>
                <w:b/>
                <w:sz w:val="13"/>
              </w:rPr>
              <w:t>Valor Contábil</w:t>
            </w:r>
          </w:p>
        </w:tc>
      </w:tr>
      <w:tr>
        <w:trPr>
          <w:trHeight w:val="304" w:hRule="atLeast"/>
        </w:trPr>
        <w:tc>
          <w:tcPr>
            <w:tcW w:w="2033" w:type="dxa"/>
            <w:vMerge/>
            <w:tcBorders>
              <w:top w:val="nil"/>
            </w:tcBorders>
            <w:shd w:val="clear" w:color="auto" w:fill="D9D9D9"/>
          </w:tcPr>
          <w:p>
            <w:pPr>
              <w:rPr>
                <w:sz w:val="2"/>
                <w:szCs w:val="2"/>
              </w:rPr>
            </w:pPr>
          </w:p>
        </w:tc>
        <w:tc>
          <w:tcPr>
            <w:tcW w:w="1191" w:type="dxa"/>
            <w:vMerge/>
            <w:tcBorders>
              <w:top w:val="nil"/>
            </w:tcBorders>
          </w:tcPr>
          <w:p>
            <w:pPr>
              <w:rPr>
                <w:sz w:val="2"/>
                <w:szCs w:val="2"/>
              </w:rPr>
            </w:pPr>
          </w:p>
        </w:tc>
        <w:tc>
          <w:tcPr>
            <w:tcW w:w="972" w:type="dxa"/>
            <w:vMerge/>
            <w:tcBorders>
              <w:top w:val="nil"/>
            </w:tcBorders>
          </w:tcPr>
          <w:p>
            <w:pPr>
              <w:rPr>
                <w:sz w:val="2"/>
                <w:szCs w:val="2"/>
              </w:rPr>
            </w:pPr>
          </w:p>
        </w:tc>
        <w:tc>
          <w:tcPr>
            <w:tcW w:w="1270" w:type="dxa"/>
            <w:vMerge/>
            <w:tcBorders>
              <w:top w:val="nil"/>
            </w:tcBorders>
          </w:tcPr>
          <w:p>
            <w:pPr>
              <w:rPr>
                <w:sz w:val="2"/>
                <w:szCs w:val="2"/>
              </w:rPr>
            </w:pPr>
          </w:p>
        </w:tc>
        <w:tc>
          <w:tcPr>
            <w:tcW w:w="1193" w:type="dxa"/>
            <w:vMerge/>
            <w:tcBorders>
              <w:top w:val="nil"/>
            </w:tcBorders>
          </w:tcPr>
          <w:p>
            <w:pPr>
              <w:rPr>
                <w:sz w:val="2"/>
                <w:szCs w:val="2"/>
              </w:rPr>
            </w:pPr>
          </w:p>
        </w:tc>
        <w:tc>
          <w:tcPr>
            <w:tcW w:w="1446" w:type="dxa"/>
            <w:vMerge/>
            <w:tcBorders>
              <w:top w:val="nil"/>
            </w:tcBorders>
          </w:tcPr>
          <w:p>
            <w:pPr>
              <w:rPr>
                <w:sz w:val="2"/>
                <w:szCs w:val="2"/>
              </w:rPr>
            </w:pPr>
          </w:p>
        </w:tc>
        <w:tc>
          <w:tcPr>
            <w:tcW w:w="889" w:type="dxa"/>
          </w:tcPr>
          <w:p>
            <w:pPr>
              <w:pStyle w:val="TableParagraph"/>
              <w:spacing w:before="75"/>
              <w:ind w:right="61"/>
              <w:jc w:val="right"/>
              <w:rPr>
                <w:rFonts w:ascii="Caladea"/>
                <w:b/>
                <w:sz w:val="13"/>
              </w:rPr>
            </w:pPr>
            <w:r>
              <w:rPr>
                <w:rFonts w:ascii="Caladea"/>
                <w:b/>
                <w:sz w:val="13"/>
              </w:rPr>
              <w:t>31/12/2019</w:t>
            </w:r>
          </w:p>
        </w:tc>
        <w:tc>
          <w:tcPr>
            <w:tcW w:w="978" w:type="dxa"/>
          </w:tcPr>
          <w:p>
            <w:pPr>
              <w:pStyle w:val="TableParagraph"/>
              <w:spacing w:before="1"/>
              <w:ind w:left="115"/>
              <w:rPr>
                <w:rFonts w:ascii="Caladea"/>
                <w:b/>
                <w:sz w:val="13"/>
              </w:rPr>
            </w:pPr>
            <w:r>
              <w:rPr>
                <w:rFonts w:ascii="Caladea"/>
                <w:b/>
                <w:sz w:val="13"/>
              </w:rPr>
              <w:t>31/12/2018</w:t>
            </w:r>
          </w:p>
          <w:p>
            <w:pPr>
              <w:pStyle w:val="TableParagraph"/>
              <w:spacing w:line="131" w:lineRule="exact"/>
              <w:ind w:left="70"/>
              <w:rPr>
                <w:sz w:val="13"/>
              </w:rPr>
            </w:pPr>
            <w:r>
              <w:rPr>
                <w:sz w:val="13"/>
              </w:rPr>
              <w:t>Reapresentado</w:t>
            </w:r>
          </w:p>
        </w:tc>
      </w:tr>
      <w:tr>
        <w:trPr>
          <w:trHeight w:val="241" w:hRule="atLeast"/>
        </w:trPr>
        <w:tc>
          <w:tcPr>
            <w:tcW w:w="2033" w:type="dxa"/>
          </w:tcPr>
          <w:p>
            <w:pPr>
              <w:pStyle w:val="TableParagraph"/>
              <w:spacing w:before="45"/>
              <w:ind w:left="72"/>
              <w:rPr>
                <w:sz w:val="13"/>
              </w:rPr>
            </w:pPr>
            <w:r>
              <w:rPr>
                <w:sz w:val="13"/>
              </w:rPr>
              <w:t>CEB Distribuição S.A.</w:t>
            </w:r>
          </w:p>
        </w:tc>
        <w:tc>
          <w:tcPr>
            <w:tcW w:w="1191" w:type="dxa"/>
          </w:tcPr>
          <w:p>
            <w:pPr>
              <w:pStyle w:val="TableParagraph"/>
              <w:spacing w:before="45"/>
              <w:ind w:right="55"/>
              <w:jc w:val="right"/>
              <w:rPr>
                <w:sz w:val="13"/>
              </w:rPr>
            </w:pPr>
            <w:r>
              <w:rPr>
                <w:sz w:val="13"/>
              </w:rPr>
              <w:t>883.998</w:t>
            </w:r>
          </w:p>
        </w:tc>
        <w:tc>
          <w:tcPr>
            <w:tcW w:w="972" w:type="dxa"/>
          </w:tcPr>
          <w:p>
            <w:pPr>
              <w:pStyle w:val="TableParagraph"/>
              <w:spacing w:before="45"/>
              <w:ind w:right="58"/>
              <w:jc w:val="right"/>
              <w:rPr>
                <w:sz w:val="13"/>
              </w:rPr>
            </w:pPr>
            <w:r>
              <w:rPr>
                <w:sz w:val="13"/>
              </w:rPr>
              <w:t>587.873</w:t>
            </w:r>
          </w:p>
        </w:tc>
        <w:tc>
          <w:tcPr>
            <w:tcW w:w="1270" w:type="dxa"/>
          </w:tcPr>
          <w:p>
            <w:pPr>
              <w:pStyle w:val="TableParagraph"/>
              <w:spacing w:before="45"/>
              <w:ind w:right="58"/>
              <w:jc w:val="right"/>
              <w:rPr>
                <w:sz w:val="13"/>
              </w:rPr>
            </w:pPr>
            <w:r>
              <w:rPr>
                <w:w w:val="95"/>
                <w:sz w:val="13"/>
              </w:rPr>
              <w:t>100,00</w:t>
            </w:r>
          </w:p>
        </w:tc>
        <w:tc>
          <w:tcPr>
            <w:tcW w:w="1193" w:type="dxa"/>
          </w:tcPr>
          <w:p>
            <w:pPr>
              <w:pStyle w:val="TableParagraph"/>
              <w:spacing w:before="45"/>
              <w:ind w:right="58"/>
              <w:jc w:val="right"/>
              <w:rPr>
                <w:sz w:val="13"/>
              </w:rPr>
            </w:pPr>
            <w:r>
              <w:rPr>
                <w:w w:val="95"/>
                <w:sz w:val="13"/>
              </w:rPr>
              <w:t>100,00</w:t>
            </w:r>
          </w:p>
        </w:tc>
        <w:tc>
          <w:tcPr>
            <w:tcW w:w="1446" w:type="dxa"/>
          </w:tcPr>
          <w:p>
            <w:pPr>
              <w:pStyle w:val="TableParagraph"/>
              <w:spacing w:before="45"/>
              <w:ind w:right="59"/>
              <w:jc w:val="right"/>
              <w:rPr>
                <w:sz w:val="13"/>
              </w:rPr>
            </w:pPr>
            <w:r>
              <w:rPr>
                <w:w w:val="95"/>
                <w:sz w:val="13"/>
              </w:rPr>
              <w:t>883.997.830</w:t>
            </w:r>
          </w:p>
        </w:tc>
        <w:tc>
          <w:tcPr>
            <w:tcW w:w="889" w:type="dxa"/>
          </w:tcPr>
          <w:p>
            <w:pPr>
              <w:pStyle w:val="TableParagraph"/>
              <w:spacing w:before="45"/>
              <w:ind w:right="57"/>
              <w:jc w:val="right"/>
              <w:rPr>
                <w:sz w:val="13"/>
              </w:rPr>
            </w:pPr>
            <w:r>
              <w:rPr>
                <w:sz w:val="13"/>
              </w:rPr>
              <w:t>587.873</w:t>
            </w:r>
          </w:p>
        </w:tc>
        <w:tc>
          <w:tcPr>
            <w:tcW w:w="978" w:type="dxa"/>
          </w:tcPr>
          <w:p>
            <w:pPr>
              <w:pStyle w:val="TableParagraph"/>
              <w:spacing w:before="45"/>
              <w:ind w:right="58"/>
              <w:jc w:val="right"/>
              <w:rPr>
                <w:sz w:val="13"/>
              </w:rPr>
            </w:pPr>
            <w:r>
              <w:rPr>
                <w:sz w:val="13"/>
              </w:rPr>
              <w:t>414.801</w:t>
            </w:r>
          </w:p>
        </w:tc>
      </w:tr>
      <w:tr>
        <w:trPr>
          <w:trHeight w:val="242" w:hRule="atLeast"/>
        </w:trPr>
        <w:tc>
          <w:tcPr>
            <w:tcW w:w="2033" w:type="dxa"/>
          </w:tcPr>
          <w:p>
            <w:pPr>
              <w:pStyle w:val="TableParagraph"/>
              <w:spacing w:before="45"/>
              <w:ind w:left="72"/>
              <w:rPr>
                <w:sz w:val="13"/>
              </w:rPr>
            </w:pPr>
            <w:r>
              <w:rPr>
                <w:sz w:val="13"/>
              </w:rPr>
              <w:t>CEB Lajeado S.A.</w:t>
            </w:r>
          </w:p>
        </w:tc>
        <w:tc>
          <w:tcPr>
            <w:tcW w:w="1191" w:type="dxa"/>
          </w:tcPr>
          <w:p>
            <w:pPr>
              <w:pStyle w:val="TableParagraph"/>
              <w:spacing w:before="45"/>
              <w:ind w:right="55"/>
              <w:jc w:val="right"/>
              <w:rPr>
                <w:sz w:val="13"/>
              </w:rPr>
            </w:pPr>
            <w:r>
              <w:rPr>
                <w:sz w:val="13"/>
              </w:rPr>
              <w:t>308.565</w:t>
            </w:r>
          </w:p>
        </w:tc>
        <w:tc>
          <w:tcPr>
            <w:tcW w:w="972" w:type="dxa"/>
          </w:tcPr>
          <w:p>
            <w:pPr>
              <w:pStyle w:val="TableParagraph"/>
              <w:spacing w:before="45"/>
              <w:ind w:right="58"/>
              <w:jc w:val="right"/>
              <w:rPr>
                <w:sz w:val="13"/>
              </w:rPr>
            </w:pPr>
            <w:r>
              <w:rPr>
                <w:sz w:val="13"/>
              </w:rPr>
              <w:t>283.004</w:t>
            </w:r>
          </w:p>
        </w:tc>
        <w:tc>
          <w:tcPr>
            <w:tcW w:w="1270" w:type="dxa"/>
          </w:tcPr>
          <w:p>
            <w:pPr>
              <w:pStyle w:val="TableParagraph"/>
              <w:spacing w:before="45"/>
              <w:ind w:right="58"/>
              <w:jc w:val="right"/>
              <w:rPr>
                <w:sz w:val="13"/>
              </w:rPr>
            </w:pPr>
            <w:r>
              <w:rPr>
                <w:w w:val="95"/>
                <w:sz w:val="13"/>
              </w:rPr>
              <w:t>59,93</w:t>
            </w:r>
          </w:p>
        </w:tc>
        <w:tc>
          <w:tcPr>
            <w:tcW w:w="1193" w:type="dxa"/>
          </w:tcPr>
          <w:p>
            <w:pPr>
              <w:pStyle w:val="TableParagraph"/>
              <w:spacing w:before="45"/>
              <w:ind w:right="58"/>
              <w:jc w:val="right"/>
              <w:rPr>
                <w:sz w:val="13"/>
              </w:rPr>
            </w:pPr>
            <w:r>
              <w:rPr>
                <w:w w:val="95"/>
                <w:sz w:val="13"/>
              </w:rPr>
              <w:t>59,93</w:t>
            </w:r>
          </w:p>
        </w:tc>
        <w:tc>
          <w:tcPr>
            <w:tcW w:w="1446" w:type="dxa"/>
          </w:tcPr>
          <w:p>
            <w:pPr>
              <w:pStyle w:val="TableParagraph"/>
              <w:spacing w:before="45"/>
              <w:ind w:right="60"/>
              <w:jc w:val="right"/>
              <w:rPr>
                <w:sz w:val="13"/>
              </w:rPr>
            </w:pPr>
            <w:r>
              <w:rPr>
                <w:w w:val="95"/>
                <w:sz w:val="13"/>
              </w:rPr>
              <w:t>82.013.911</w:t>
            </w:r>
          </w:p>
        </w:tc>
        <w:tc>
          <w:tcPr>
            <w:tcW w:w="889" w:type="dxa"/>
          </w:tcPr>
          <w:p>
            <w:pPr>
              <w:pStyle w:val="TableParagraph"/>
              <w:spacing w:before="45"/>
              <w:ind w:right="57"/>
              <w:jc w:val="right"/>
              <w:rPr>
                <w:sz w:val="13"/>
              </w:rPr>
            </w:pPr>
            <w:r>
              <w:rPr>
                <w:w w:val="95"/>
                <w:sz w:val="13"/>
              </w:rPr>
              <w:t>92.494</w:t>
            </w:r>
          </w:p>
        </w:tc>
        <w:tc>
          <w:tcPr>
            <w:tcW w:w="978" w:type="dxa"/>
          </w:tcPr>
          <w:p>
            <w:pPr>
              <w:pStyle w:val="TableParagraph"/>
              <w:spacing w:before="45"/>
              <w:ind w:right="58"/>
              <w:jc w:val="right"/>
              <w:rPr>
                <w:sz w:val="13"/>
              </w:rPr>
            </w:pPr>
            <w:r>
              <w:rPr>
                <w:w w:val="95"/>
                <w:sz w:val="13"/>
              </w:rPr>
              <w:t>78.199</w:t>
            </w:r>
          </w:p>
        </w:tc>
      </w:tr>
      <w:tr>
        <w:trPr>
          <w:trHeight w:val="304" w:hRule="atLeast"/>
        </w:trPr>
        <w:tc>
          <w:tcPr>
            <w:tcW w:w="2033" w:type="dxa"/>
          </w:tcPr>
          <w:p>
            <w:pPr>
              <w:pStyle w:val="TableParagraph"/>
              <w:spacing w:before="79"/>
              <w:ind w:left="72"/>
              <w:rPr>
                <w:sz w:val="13"/>
              </w:rPr>
            </w:pPr>
            <w:r>
              <w:rPr>
                <w:sz w:val="13"/>
              </w:rPr>
              <w:t>Corumbá Concessões S.A.</w:t>
            </w:r>
          </w:p>
        </w:tc>
        <w:tc>
          <w:tcPr>
            <w:tcW w:w="1191" w:type="dxa"/>
          </w:tcPr>
          <w:p>
            <w:pPr>
              <w:pStyle w:val="TableParagraph"/>
              <w:spacing w:before="79"/>
              <w:ind w:right="55"/>
              <w:jc w:val="right"/>
              <w:rPr>
                <w:sz w:val="13"/>
              </w:rPr>
            </w:pPr>
            <w:r>
              <w:rPr>
                <w:sz w:val="13"/>
              </w:rPr>
              <w:t>280.014</w:t>
            </w:r>
          </w:p>
        </w:tc>
        <w:tc>
          <w:tcPr>
            <w:tcW w:w="972" w:type="dxa"/>
          </w:tcPr>
          <w:p>
            <w:pPr>
              <w:pStyle w:val="TableParagraph"/>
              <w:spacing w:before="79"/>
              <w:ind w:right="58"/>
              <w:jc w:val="right"/>
              <w:rPr>
                <w:sz w:val="13"/>
              </w:rPr>
            </w:pPr>
            <w:r>
              <w:rPr>
                <w:sz w:val="13"/>
              </w:rPr>
              <w:t>320.804</w:t>
            </w:r>
          </w:p>
        </w:tc>
        <w:tc>
          <w:tcPr>
            <w:tcW w:w="1270" w:type="dxa"/>
          </w:tcPr>
          <w:p>
            <w:pPr>
              <w:pStyle w:val="TableParagraph"/>
              <w:spacing w:before="79"/>
              <w:ind w:right="58"/>
              <w:jc w:val="right"/>
              <w:rPr>
                <w:sz w:val="13"/>
              </w:rPr>
            </w:pPr>
            <w:r>
              <w:rPr>
                <w:w w:val="95"/>
                <w:sz w:val="13"/>
              </w:rPr>
              <w:t>32,14</w:t>
            </w:r>
          </w:p>
        </w:tc>
        <w:tc>
          <w:tcPr>
            <w:tcW w:w="1193" w:type="dxa"/>
          </w:tcPr>
          <w:p>
            <w:pPr>
              <w:pStyle w:val="TableParagraph"/>
              <w:spacing w:before="79"/>
              <w:ind w:right="58"/>
              <w:jc w:val="right"/>
              <w:rPr>
                <w:sz w:val="13"/>
              </w:rPr>
            </w:pPr>
            <w:r>
              <w:rPr>
                <w:w w:val="95"/>
                <w:sz w:val="13"/>
              </w:rPr>
              <w:t>21,65</w:t>
            </w:r>
          </w:p>
        </w:tc>
        <w:tc>
          <w:tcPr>
            <w:tcW w:w="1446" w:type="dxa"/>
          </w:tcPr>
          <w:p>
            <w:pPr>
              <w:pStyle w:val="TableParagraph"/>
              <w:spacing w:line="150" w:lineRule="atLeast" w:before="2"/>
              <w:ind w:left="410" w:right="-19" w:firstLine="40"/>
              <w:rPr>
                <w:sz w:val="13"/>
              </w:rPr>
            </w:pPr>
            <w:r>
              <w:rPr>
                <w:w w:val="105"/>
                <w:sz w:val="13"/>
              </w:rPr>
              <w:t>78.199.051 – ON </w:t>
            </w:r>
            <w:r>
              <w:rPr>
                <w:sz w:val="13"/>
              </w:rPr>
              <w:t>203.199.943 - PN</w:t>
            </w:r>
          </w:p>
        </w:tc>
        <w:tc>
          <w:tcPr>
            <w:tcW w:w="889" w:type="dxa"/>
          </w:tcPr>
          <w:p>
            <w:pPr>
              <w:pStyle w:val="TableParagraph"/>
              <w:spacing w:before="79"/>
              <w:ind w:right="57"/>
              <w:jc w:val="right"/>
              <w:rPr>
                <w:sz w:val="13"/>
              </w:rPr>
            </w:pPr>
            <w:r>
              <w:rPr>
                <w:sz w:val="13"/>
              </w:rPr>
              <w:t>102.844</w:t>
            </w:r>
          </w:p>
        </w:tc>
        <w:tc>
          <w:tcPr>
            <w:tcW w:w="978" w:type="dxa"/>
          </w:tcPr>
          <w:p>
            <w:pPr>
              <w:pStyle w:val="TableParagraph"/>
              <w:spacing w:before="79"/>
              <w:ind w:right="58"/>
              <w:jc w:val="right"/>
              <w:rPr>
                <w:sz w:val="13"/>
              </w:rPr>
            </w:pPr>
            <w:r>
              <w:rPr>
                <w:w w:val="95"/>
                <w:sz w:val="13"/>
              </w:rPr>
              <w:t>87.831</w:t>
            </w:r>
          </w:p>
        </w:tc>
      </w:tr>
      <w:tr>
        <w:trPr>
          <w:trHeight w:val="241" w:hRule="atLeast"/>
        </w:trPr>
        <w:tc>
          <w:tcPr>
            <w:tcW w:w="2033" w:type="dxa"/>
          </w:tcPr>
          <w:p>
            <w:pPr>
              <w:pStyle w:val="TableParagraph"/>
              <w:spacing w:before="48"/>
              <w:ind w:left="72"/>
              <w:rPr>
                <w:sz w:val="13"/>
              </w:rPr>
            </w:pPr>
            <w:r>
              <w:rPr>
                <w:sz w:val="13"/>
              </w:rPr>
              <w:t>Energética Corumbá III S.A.</w:t>
            </w:r>
          </w:p>
        </w:tc>
        <w:tc>
          <w:tcPr>
            <w:tcW w:w="1191" w:type="dxa"/>
          </w:tcPr>
          <w:p>
            <w:pPr>
              <w:pStyle w:val="TableParagraph"/>
              <w:spacing w:before="48"/>
              <w:ind w:right="55"/>
              <w:jc w:val="right"/>
              <w:rPr>
                <w:sz w:val="13"/>
              </w:rPr>
            </w:pPr>
            <w:r>
              <w:rPr>
                <w:sz w:val="13"/>
              </w:rPr>
              <w:t>121.586</w:t>
            </w:r>
          </w:p>
        </w:tc>
        <w:tc>
          <w:tcPr>
            <w:tcW w:w="972" w:type="dxa"/>
          </w:tcPr>
          <w:p>
            <w:pPr>
              <w:pStyle w:val="TableParagraph"/>
              <w:spacing w:before="48"/>
              <w:ind w:right="58"/>
              <w:jc w:val="right"/>
              <w:rPr>
                <w:sz w:val="13"/>
              </w:rPr>
            </w:pPr>
            <w:r>
              <w:rPr>
                <w:sz w:val="13"/>
              </w:rPr>
              <w:t>178.056</w:t>
            </w:r>
          </w:p>
        </w:tc>
        <w:tc>
          <w:tcPr>
            <w:tcW w:w="1270" w:type="dxa"/>
          </w:tcPr>
          <w:p>
            <w:pPr>
              <w:pStyle w:val="TableParagraph"/>
              <w:spacing w:before="48"/>
              <w:ind w:right="57"/>
              <w:jc w:val="right"/>
              <w:rPr>
                <w:sz w:val="13"/>
              </w:rPr>
            </w:pPr>
            <w:r>
              <w:rPr>
                <w:w w:val="95"/>
                <w:sz w:val="13"/>
              </w:rPr>
              <w:t>37,50</w:t>
            </w:r>
          </w:p>
        </w:tc>
        <w:tc>
          <w:tcPr>
            <w:tcW w:w="1193" w:type="dxa"/>
          </w:tcPr>
          <w:p>
            <w:pPr>
              <w:pStyle w:val="TableParagraph"/>
              <w:spacing w:before="48"/>
              <w:ind w:right="58"/>
              <w:jc w:val="right"/>
              <w:rPr>
                <w:sz w:val="13"/>
              </w:rPr>
            </w:pPr>
            <w:r>
              <w:rPr>
                <w:w w:val="95"/>
                <w:sz w:val="13"/>
              </w:rPr>
              <w:t>25,00</w:t>
            </w:r>
          </w:p>
        </w:tc>
        <w:tc>
          <w:tcPr>
            <w:tcW w:w="1446" w:type="dxa"/>
          </w:tcPr>
          <w:p>
            <w:pPr>
              <w:pStyle w:val="TableParagraph"/>
              <w:spacing w:before="48"/>
              <w:ind w:right="60"/>
              <w:jc w:val="right"/>
              <w:rPr>
                <w:sz w:val="13"/>
              </w:rPr>
            </w:pPr>
            <w:r>
              <w:rPr>
                <w:w w:val="95"/>
                <w:sz w:val="13"/>
              </w:rPr>
              <w:t>45.594.783</w:t>
            </w:r>
          </w:p>
        </w:tc>
        <w:tc>
          <w:tcPr>
            <w:tcW w:w="889" w:type="dxa"/>
          </w:tcPr>
          <w:p>
            <w:pPr>
              <w:pStyle w:val="TableParagraph"/>
              <w:spacing w:before="48"/>
              <w:ind w:right="57"/>
              <w:jc w:val="right"/>
              <w:rPr>
                <w:sz w:val="13"/>
              </w:rPr>
            </w:pPr>
            <w:r>
              <w:rPr>
                <w:w w:val="95"/>
                <w:sz w:val="13"/>
              </w:rPr>
              <w:t>64.736</w:t>
            </w:r>
          </w:p>
        </w:tc>
        <w:tc>
          <w:tcPr>
            <w:tcW w:w="978" w:type="dxa"/>
          </w:tcPr>
          <w:p>
            <w:pPr>
              <w:pStyle w:val="TableParagraph"/>
              <w:spacing w:before="48"/>
              <w:ind w:right="58"/>
              <w:jc w:val="right"/>
              <w:rPr>
                <w:sz w:val="13"/>
              </w:rPr>
            </w:pPr>
            <w:r>
              <w:rPr>
                <w:w w:val="95"/>
                <w:sz w:val="13"/>
              </w:rPr>
              <w:t>62.593</w:t>
            </w:r>
          </w:p>
        </w:tc>
      </w:tr>
      <w:tr>
        <w:trPr>
          <w:trHeight w:val="242" w:hRule="atLeast"/>
        </w:trPr>
        <w:tc>
          <w:tcPr>
            <w:tcW w:w="2033" w:type="dxa"/>
          </w:tcPr>
          <w:p>
            <w:pPr>
              <w:pStyle w:val="TableParagraph"/>
              <w:spacing w:before="48"/>
              <w:ind w:left="72"/>
              <w:rPr>
                <w:sz w:val="13"/>
              </w:rPr>
            </w:pPr>
            <w:r>
              <w:rPr>
                <w:sz w:val="13"/>
              </w:rPr>
              <w:t>CEB Participações S.A.</w:t>
            </w:r>
          </w:p>
        </w:tc>
        <w:tc>
          <w:tcPr>
            <w:tcW w:w="1191" w:type="dxa"/>
          </w:tcPr>
          <w:p>
            <w:pPr>
              <w:pStyle w:val="TableParagraph"/>
              <w:spacing w:before="48"/>
              <w:ind w:right="55"/>
              <w:jc w:val="right"/>
              <w:rPr>
                <w:sz w:val="13"/>
              </w:rPr>
            </w:pPr>
            <w:r>
              <w:rPr>
                <w:w w:val="95"/>
                <w:sz w:val="13"/>
              </w:rPr>
              <w:t>21.270</w:t>
            </w:r>
          </w:p>
        </w:tc>
        <w:tc>
          <w:tcPr>
            <w:tcW w:w="972" w:type="dxa"/>
          </w:tcPr>
          <w:p>
            <w:pPr>
              <w:pStyle w:val="TableParagraph"/>
              <w:spacing w:before="48"/>
              <w:ind w:right="58"/>
              <w:jc w:val="right"/>
              <w:rPr>
                <w:sz w:val="13"/>
              </w:rPr>
            </w:pPr>
            <w:r>
              <w:rPr>
                <w:w w:val="95"/>
                <w:sz w:val="13"/>
              </w:rPr>
              <w:t>39.194</w:t>
            </w:r>
          </w:p>
        </w:tc>
        <w:tc>
          <w:tcPr>
            <w:tcW w:w="1270" w:type="dxa"/>
          </w:tcPr>
          <w:p>
            <w:pPr>
              <w:pStyle w:val="TableParagraph"/>
              <w:spacing w:before="48"/>
              <w:ind w:right="58"/>
              <w:jc w:val="right"/>
              <w:rPr>
                <w:sz w:val="13"/>
              </w:rPr>
            </w:pPr>
            <w:r>
              <w:rPr>
                <w:w w:val="95"/>
                <w:sz w:val="13"/>
              </w:rPr>
              <w:t>100,00</w:t>
            </w:r>
          </w:p>
        </w:tc>
        <w:tc>
          <w:tcPr>
            <w:tcW w:w="1193" w:type="dxa"/>
          </w:tcPr>
          <w:p>
            <w:pPr>
              <w:pStyle w:val="TableParagraph"/>
              <w:spacing w:before="48"/>
              <w:ind w:right="58"/>
              <w:jc w:val="right"/>
              <w:rPr>
                <w:sz w:val="13"/>
              </w:rPr>
            </w:pPr>
            <w:r>
              <w:rPr>
                <w:w w:val="95"/>
                <w:sz w:val="13"/>
              </w:rPr>
              <w:t>100,00</w:t>
            </w:r>
          </w:p>
        </w:tc>
        <w:tc>
          <w:tcPr>
            <w:tcW w:w="1446" w:type="dxa"/>
          </w:tcPr>
          <w:p>
            <w:pPr>
              <w:pStyle w:val="TableParagraph"/>
              <w:spacing w:before="48"/>
              <w:ind w:right="59"/>
              <w:jc w:val="right"/>
              <w:rPr>
                <w:sz w:val="13"/>
              </w:rPr>
            </w:pPr>
            <w:r>
              <w:rPr>
                <w:w w:val="95"/>
                <w:sz w:val="13"/>
              </w:rPr>
              <w:t>21.270.415</w:t>
            </w:r>
          </w:p>
        </w:tc>
        <w:tc>
          <w:tcPr>
            <w:tcW w:w="889" w:type="dxa"/>
          </w:tcPr>
          <w:p>
            <w:pPr>
              <w:pStyle w:val="TableParagraph"/>
              <w:spacing w:before="48"/>
              <w:ind w:right="57"/>
              <w:jc w:val="right"/>
              <w:rPr>
                <w:sz w:val="13"/>
              </w:rPr>
            </w:pPr>
            <w:r>
              <w:rPr>
                <w:w w:val="95"/>
                <w:sz w:val="13"/>
              </w:rPr>
              <w:t>32.789</w:t>
            </w:r>
          </w:p>
        </w:tc>
        <w:tc>
          <w:tcPr>
            <w:tcW w:w="978" w:type="dxa"/>
          </w:tcPr>
          <w:p>
            <w:pPr>
              <w:pStyle w:val="TableParagraph"/>
              <w:spacing w:before="48"/>
              <w:ind w:right="58"/>
              <w:jc w:val="right"/>
              <w:rPr>
                <w:sz w:val="13"/>
              </w:rPr>
            </w:pPr>
            <w:r>
              <w:rPr>
                <w:w w:val="95"/>
                <w:sz w:val="13"/>
              </w:rPr>
              <w:t>31.592</w:t>
            </w:r>
          </w:p>
        </w:tc>
      </w:tr>
      <w:tr>
        <w:trPr>
          <w:trHeight w:val="242" w:hRule="atLeast"/>
        </w:trPr>
        <w:tc>
          <w:tcPr>
            <w:tcW w:w="2033" w:type="dxa"/>
          </w:tcPr>
          <w:p>
            <w:pPr>
              <w:pStyle w:val="TableParagraph"/>
              <w:spacing w:before="48"/>
              <w:ind w:left="72"/>
              <w:rPr>
                <w:sz w:val="13"/>
              </w:rPr>
            </w:pPr>
            <w:r>
              <w:rPr>
                <w:sz w:val="13"/>
              </w:rPr>
              <w:t>CEB Geração S.A.</w:t>
            </w:r>
          </w:p>
        </w:tc>
        <w:tc>
          <w:tcPr>
            <w:tcW w:w="1191" w:type="dxa"/>
          </w:tcPr>
          <w:p>
            <w:pPr>
              <w:pStyle w:val="TableParagraph"/>
              <w:spacing w:before="48"/>
              <w:ind w:right="55"/>
              <w:jc w:val="right"/>
              <w:rPr>
                <w:sz w:val="13"/>
              </w:rPr>
            </w:pPr>
            <w:r>
              <w:rPr>
                <w:w w:val="95"/>
                <w:sz w:val="13"/>
              </w:rPr>
              <w:t>7.575</w:t>
            </w:r>
          </w:p>
        </w:tc>
        <w:tc>
          <w:tcPr>
            <w:tcW w:w="972" w:type="dxa"/>
          </w:tcPr>
          <w:p>
            <w:pPr>
              <w:pStyle w:val="TableParagraph"/>
              <w:spacing w:before="48"/>
              <w:ind w:right="58"/>
              <w:jc w:val="right"/>
              <w:rPr>
                <w:sz w:val="13"/>
              </w:rPr>
            </w:pPr>
            <w:r>
              <w:rPr>
                <w:w w:val="95"/>
                <w:sz w:val="13"/>
              </w:rPr>
              <w:t>25.558</w:t>
            </w:r>
          </w:p>
        </w:tc>
        <w:tc>
          <w:tcPr>
            <w:tcW w:w="1270" w:type="dxa"/>
          </w:tcPr>
          <w:p>
            <w:pPr>
              <w:pStyle w:val="TableParagraph"/>
              <w:spacing w:before="48"/>
              <w:ind w:right="58"/>
              <w:jc w:val="right"/>
              <w:rPr>
                <w:sz w:val="13"/>
              </w:rPr>
            </w:pPr>
            <w:r>
              <w:rPr>
                <w:w w:val="95"/>
                <w:sz w:val="13"/>
              </w:rPr>
              <w:t>100,00</w:t>
            </w:r>
          </w:p>
        </w:tc>
        <w:tc>
          <w:tcPr>
            <w:tcW w:w="1193" w:type="dxa"/>
          </w:tcPr>
          <w:p>
            <w:pPr>
              <w:pStyle w:val="TableParagraph"/>
              <w:spacing w:before="48"/>
              <w:ind w:right="58"/>
              <w:jc w:val="right"/>
              <w:rPr>
                <w:sz w:val="13"/>
              </w:rPr>
            </w:pPr>
            <w:r>
              <w:rPr>
                <w:w w:val="95"/>
                <w:sz w:val="13"/>
              </w:rPr>
              <w:t>100,00</w:t>
            </w:r>
          </w:p>
        </w:tc>
        <w:tc>
          <w:tcPr>
            <w:tcW w:w="1446" w:type="dxa"/>
          </w:tcPr>
          <w:p>
            <w:pPr>
              <w:pStyle w:val="TableParagraph"/>
              <w:spacing w:before="48"/>
              <w:ind w:right="59"/>
              <w:jc w:val="right"/>
              <w:rPr>
                <w:sz w:val="13"/>
              </w:rPr>
            </w:pPr>
            <w:r>
              <w:rPr>
                <w:w w:val="95"/>
                <w:sz w:val="13"/>
              </w:rPr>
              <w:t>7.575.212</w:t>
            </w:r>
          </w:p>
        </w:tc>
        <w:tc>
          <w:tcPr>
            <w:tcW w:w="889" w:type="dxa"/>
          </w:tcPr>
          <w:p>
            <w:pPr>
              <w:pStyle w:val="TableParagraph"/>
              <w:spacing w:before="48"/>
              <w:ind w:right="57"/>
              <w:jc w:val="right"/>
              <w:rPr>
                <w:sz w:val="13"/>
              </w:rPr>
            </w:pPr>
            <w:r>
              <w:rPr>
                <w:w w:val="95"/>
                <w:sz w:val="13"/>
              </w:rPr>
              <w:t>25.558</w:t>
            </w:r>
          </w:p>
        </w:tc>
        <w:tc>
          <w:tcPr>
            <w:tcW w:w="978" w:type="dxa"/>
          </w:tcPr>
          <w:p>
            <w:pPr>
              <w:pStyle w:val="TableParagraph"/>
              <w:spacing w:before="48"/>
              <w:ind w:right="58"/>
              <w:jc w:val="right"/>
              <w:rPr>
                <w:sz w:val="13"/>
              </w:rPr>
            </w:pPr>
            <w:r>
              <w:rPr>
                <w:w w:val="95"/>
                <w:sz w:val="13"/>
              </w:rPr>
              <w:t>51.880</w:t>
            </w:r>
          </w:p>
        </w:tc>
      </w:tr>
      <w:tr>
        <w:trPr>
          <w:trHeight w:val="241" w:hRule="atLeast"/>
        </w:trPr>
        <w:tc>
          <w:tcPr>
            <w:tcW w:w="2033" w:type="dxa"/>
          </w:tcPr>
          <w:p>
            <w:pPr>
              <w:pStyle w:val="TableParagraph"/>
              <w:spacing w:before="48"/>
              <w:ind w:left="72"/>
              <w:rPr>
                <w:sz w:val="13"/>
              </w:rPr>
            </w:pPr>
            <w:r>
              <w:rPr>
                <w:sz w:val="13"/>
              </w:rPr>
              <w:t>Companhia</w:t>
            </w:r>
            <w:r>
              <w:rPr>
                <w:spacing w:val="-24"/>
                <w:sz w:val="13"/>
              </w:rPr>
              <w:t> </w:t>
            </w:r>
            <w:r>
              <w:rPr>
                <w:sz w:val="13"/>
              </w:rPr>
              <w:t>Brasiliense</w:t>
            </w:r>
            <w:r>
              <w:rPr>
                <w:spacing w:val="-25"/>
                <w:sz w:val="13"/>
              </w:rPr>
              <w:t> </w:t>
            </w:r>
            <w:r>
              <w:rPr>
                <w:sz w:val="13"/>
              </w:rPr>
              <w:t>de</w:t>
            </w:r>
            <w:r>
              <w:rPr>
                <w:spacing w:val="-24"/>
                <w:sz w:val="13"/>
              </w:rPr>
              <w:t> </w:t>
            </w:r>
            <w:r>
              <w:rPr>
                <w:sz w:val="13"/>
              </w:rPr>
              <w:t>Gás</w:t>
            </w:r>
            <w:r>
              <w:rPr>
                <w:spacing w:val="-25"/>
                <w:sz w:val="13"/>
              </w:rPr>
              <w:t> </w:t>
            </w:r>
            <w:r>
              <w:rPr>
                <w:sz w:val="13"/>
              </w:rPr>
              <w:t>S.A.</w:t>
            </w:r>
          </w:p>
        </w:tc>
        <w:tc>
          <w:tcPr>
            <w:tcW w:w="1191" w:type="dxa"/>
          </w:tcPr>
          <w:p>
            <w:pPr>
              <w:pStyle w:val="TableParagraph"/>
              <w:spacing w:before="48"/>
              <w:ind w:right="55"/>
              <w:jc w:val="right"/>
              <w:rPr>
                <w:sz w:val="13"/>
              </w:rPr>
            </w:pPr>
            <w:r>
              <w:rPr>
                <w:w w:val="95"/>
                <w:sz w:val="13"/>
              </w:rPr>
              <w:t>5.721</w:t>
            </w:r>
          </w:p>
        </w:tc>
        <w:tc>
          <w:tcPr>
            <w:tcW w:w="972" w:type="dxa"/>
          </w:tcPr>
          <w:p>
            <w:pPr>
              <w:pStyle w:val="TableParagraph"/>
              <w:spacing w:before="48"/>
              <w:ind w:right="57"/>
              <w:jc w:val="right"/>
              <w:rPr>
                <w:sz w:val="13"/>
              </w:rPr>
            </w:pPr>
            <w:r>
              <w:rPr>
                <w:w w:val="105"/>
                <w:sz w:val="13"/>
              </w:rPr>
              <w:t>749</w:t>
            </w:r>
          </w:p>
        </w:tc>
        <w:tc>
          <w:tcPr>
            <w:tcW w:w="1270" w:type="dxa"/>
          </w:tcPr>
          <w:p>
            <w:pPr>
              <w:pStyle w:val="TableParagraph"/>
              <w:spacing w:before="48"/>
              <w:ind w:right="58"/>
              <w:jc w:val="right"/>
              <w:rPr>
                <w:sz w:val="13"/>
              </w:rPr>
            </w:pPr>
            <w:r>
              <w:rPr>
                <w:w w:val="95"/>
                <w:sz w:val="13"/>
              </w:rPr>
              <w:t>17,00</w:t>
            </w:r>
          </w:p>
        </w:tc>
        <w:tc>
          <w:tcPr>
            <w:tcW w:w="1193" w:type="dxa"/>
          </w:tcPr>
          <w:p>
            <w:pPr>
              <w:pStyle w:val="TableParagraph"/>
              <w:spacing w:before="48"/>
              <w:ind w:right="58"/>
              <w:jc w:val="right"/>
              <w:rPr>
                <w:sz w:val="13"/>
              </w:rPr>
            </w:pPr>
            <w:r>
              <w:rPr>
                <w:w w:val="95"/>
                <w:sz w:val="13"/>
              </w:rPr>
              <w:t>51,00</w:t>
            </w:r>
          </w:p>
        </w:tc>
        <w:tc>
          <w:tcPr>
            <w:tcW w:w="1446" w:type="dxa"/>
          </w:tcPr>
          <w:p>
            <w:pPr>
              <w:pStyle w:val="TableParagraph"/>
              <w:spacing w:before="48"/>
              <w:ind w:right="59"/>
              <w:jc w:val="right"/>
              <w:rPr>
                <w:sz w:val="13"/>
              </w:rPr>
            </w:pPr>
            <w:r>
              <w:rPr>
                <w:w w:val="95"/>
                <w:sz w:val="13"/>
              </w:rPr>
              <w:t>30.600</w:t>
            </w:r>
          </w:p>
        </w:tc>
        <w:tc>
          <w:tcPr>
            <w:tcW w:w="889" w:type="dxa"/>
          </w:tcPr>
          <w:p>
            <w:pPr>
              <w:pStyle w:val="TableParagraph"/>
              <w:spacing w:before="48"/>
              <w:ind w:right="58"/>
              <w:jc w:val="right"/>
              <w:rPr>
                <w:sz w:val="13"/>
              </w:rPr>
            </w:pPr>
            <w:r>
              <w:rPr>
                <w:w w:val="105"/>
                <w:sz w:val="13"/>
              </w:rPr>
              <w:t>13</w:t>
            </w:r>
          </w:p>
        </w:tc>
        <w:tc>
          <w:tcPr>
            <w:tcW w:w="978" w:type="dxa"/>
          </w:tcPr>
          <w:p>
            <w:pPr>
              <w:pStyle w:val="TableParagraph"/>
              <w:spacing w:before="48"/>
              <w:ind w:right="58"/>
              <w:jc w:val="right"/>
              <w:rPr>
                <w:sz w:val="13"/>
              </w:rPr>
            </w:pPr>
            <w:r>
              <w:rPr>
                <w:w w:val="105"/>
                <w:sz w:val="13"/>
              </w:rPr>
              <w:t>59</w:t>
            </w:r>
          </w:p>
        </w:tc>
      </w:tr>
      <w:tr>
        <w:trPr>
          <w:trHeight w:val="242" w:hRule="atLeast"/>
        </w:trPr>
        <w:tc>
          <w:tcPr>
            <w:tcW w:w="2033" w:type="dxa"/>
          </w:tcPr>
          <w:p>
            <w:pPr>
              <w:pStyle w:val="TableParagraph"/>
              <w:spacing w:before="46"/>
              <w:ind w:left="72"/>
              <w:rPr>
                <w:rFonts w:ascii="Caladea"/>
                <w:b/>
                <w:sz w:val="13"/>
              </w:rPr>
            </w:pPr>
            <w:r>
              <w:rPr>
                <w:rFonts w:ascii="Caladea"/>
                <w:b/>
                <w:sz w:val="13"/>
              </w:rPr>
              <w:t>Total</w:t>
            </w:r>
          </w:p>
        </w:tc>
        <w:tc>
          <w:tcPr>
            <w:tcW w:w="1191" w:type="dxa"/>
            <w:shd w:val="clear" w:color="auto" w:fill="D9D9D9"/>
          </w:tcPr>
          <w:p>
            <w:pPr>
              <w:pStyle w:val="TableParagraph"/>
              <w:rPr>
                <w:rFonts w:ascii="Times New Roman"/>
                <w:sz w:val="14"/>
              </w:rPr>
            </w:pPr>
          </w:p>
        </w:tc>
        <w:tc>
          <w:tcPr>
            <w:tcW w:w="972" w:type="dxa"/>
            <w:shd w:val="clear" w:color="auto" w:fill="D9D9D9"/>
          </w:tcPr>
          <w:p>
            <w:pPr>
              <w:pStyle w:val="TableParagraph"/>
              <w:rPr>
                <w:rFonts w:ascii="Times New Roman"/>
                <w:sz w:val="14"/>
              </w:rPr>
            </w:pPr>
          </w:p>
        </w:tc>
        <w:tc>
          <w:tcPr>
            <w:tcW w:w="1270" w:type="dxa"/>
            <w:shd w:val="clear" w:color="auto" w:fill="D9D9D9"/>
          </w:tcPr>
          <w:p>
            <w:pPr>
              <w:pStyle w:val="TableParagraph"/>
              <w:rPr>
                <w:rFonts w:ascii="Times New Roman"/>
                <w:sz w:val="14"/>
              </w:rPr>
            </w:pPr>
          </w:p>
        </w:tc>
        <w:tc>
          <w:tcPr>
            <w:tcW w:w="1193" w:type="dxa"/>
            <w:shd w:val="clear" w:color="auto" w:fill="D9D9D9"/>
          </w:tcPr>
          <w:p>
            <w:pPr>
              <w:pStyle w:val="TableParagraph"/>
              <w:rPr>
                <w:rFonts w:ascii="Times New Roman"/>
                <w:sz w:val="14"/>
              </w:rPr>
            </w:pPr>
          </w:p>
        </w:tc>
        <w:tc>
          <w:tcPr>
            <w:tcW w:w="1446" w:type="dxa"/>
            <w:shd w:val="clear" w:color="auto" w:fill="D9D9D9"/>
          </w:tcPr>
          <w:p>
            <w:pPr>
              <w:pStyle w:val="TableParagraph"/>
              <w:rPr>
                <w:rFonts w:ascii="Times New Roman"/>
                <w:sz w:val="14"/>
              </w:rPr>
            </w:pPr>
          </w:p>
        </w:tc>
        <w:tc>
          <w:tcPr>
            <w:tcW w:w="889" w:type="dxa"/>
          </w:tcPr>
          <w:p>
            <w:pPr>
              <w:pStyle w:val="TableParagraph"/>
              <w:spacing w:before="46"/>
              <w:ind w:right="57"/>
              <w:jc w:val="right"/>
              <w:rPr>
                <w:rFonts w:ascii="Caladea"/>
                <w:b/>
                <w:sz w:val="13"/>
              </w:rPr>
            </w:pPr>
            <w:r>
              <w:rPr>
                <w:rFonts w:ascii="Caladea"/>
                <w:b/>
                <w:sz w:val="13"/>
              </w:rPr>
              <w:t>906.307</w:t>
            </w:r>
          </w:p>
        </w:tc>
        <w:tc>
          <w:tcPr>
            <w:tcW w:w="978" w:type="dxa"/>
          </w:tcPr>
          <w:p>
            <w:pPr>
              <w:pStyle w:val="TableParagraph"/>
              <w:spacing w:before="46"/>
              <w:ind w:right="58"/>
              <w:jc w:val="right"/>
              <w:rPr>
                <w:rFonts w:ascii="Caladea"/>
                <w:b/>
                <w:sz w:val="13"/>
              </w:rPr>
            </w:pPr>
            <w:r>
              <w:rPr>
                <w:rFonts w:ascii="Caladea"/>
                <w:b/>
                <w:sz w:val="13"/>
              </w:rPr>
              <w:t>726.955</w:t>
            </w:r>
          </w:p>
        </w:tc>
      </w:tr>
    </w:tbl>
    <w:p>
      <w:pPr>
        <w:pStyle w:val="BodyText"/>
        <w:spacing w:before="9"/>
        <w:rPr>
          <w:rFonts w:ascii="Caladea"/>
          <w:b/>
        </w:rPr>
      </w:pPr>
    </w:p>
    <w:p>
      <w:pPr>
        <w:pStyle w:val="BodyText"/>
        <w:spacing w:line="242" w:lineRule="auto" w:before="1"/>
        <w:ind w:left="172" w:right="412"/>
        <w:jc w:val="both"/>
      </w:pPr>
      <w:r>
        <w:rPr/>
        <w:t>A</w:t>
      </w:r>
      <w:r>
        <w:rPr>
          <w:spacing w:val="-20"/>
        </w:rPr>
        <w:t> </w:t>
      </w:r>
      <w:r>
        <w:rPr/>
        <w:t>diferença</w:t>
      </w:r>
      <w:r>
        <w:rPr>
          <w:spacing w:val="-19"/>
        </w:rPr>
        <w:t> </w:t>
      </w:r>
      <w:r>
        <w:rPr/>
        <w:t>do</w:t>
      </w:r>
      <w:r>
        <w:rPr>
          <w:spacing w:val="-21"/>
        </w:rPr>
        <w:t> </w:t>
      </w:r>
      <w:r>
        <w:rPr/>
        <w:t>investimento</w:t>
      </w:r>
      <w:r>
        <w:rPr>
          <w:spacing w:val="-18"/>
        </w:rPr>
        <w:t> </w:t>
      </w:r>
      <w:r>
        <w:rPr/>
        <w:t>registrado</w:t>
      </w:r>
      <w:r>
        <w:rPr>
          <w:spacing w:val="-20"/>
        </w:rPr>
        <w:t> </w:t>
      </w:r>
      <w:r>
        <w:rPr/>
        <w:t>na</w:t>
      </w:r>
      <w:r>
        <w:rPr>
          <w:spacing w:val="-19"/>
        </w:rPr>
        <w:t> </w:t>
      </w:r>
      <w:r>
        <w:rPr/>
        <w:t>Companhia</w:t>
      </w:r>
      <w:r>
        <w:rPr>
          <w:spacing w:val="-19"/>
        </w:rPr>
        <w:t> </w:t>
      </w:r>
      <w:r>
        <w:rPr/>
        <w:t>e</w:t>
      </w:r>
      <w:r>
        <w:rPr>
          <w:spacing w:val="-19"/>
        </w:rPr>
        <w:t> </w:t>
      </w:r>
      <w:r>
        <w:rPr/>
        <w:t>o</w:t>
      </w:r>
      <w:r>
        <w:rPr>
          <w:spacing w:val="-20"/>
        </w:rPr>
        <w:t> </w:t>
      </w:r>
      <w:r>
        <w:rPr/>
        <w:t>resultado</w:t>
      </w:r>
      <w:r>
        <w:rPr>
          <w:spacing w:val="-20"/>
        </w:rPr>
        <w:t> </w:t>
      </w:r>
      <w:r>
        <w:rPr/>
        <w:t>da</w:t>
      </w:r>
      <w:r>
        <w:rPr>
          <w:spacing w:val="-20"/>
        </w:rPr>
        <w:t> </w:t>
      </w:r>
      <w:r>
        <w:rPr/>
        <w:t>aplicação</w:t>
      </w:r>
      <w:r>
        <w:rPr>
          <w:spacing w:val="-20"/>
        </w:rPr>
        <w:t> </w:t>
      </w:r>
      <w:r>
        <w:rPr/>
        <w:t>do</w:t>
      </w:r>
      <w:r>
        <w:rPr>
          <w:spacing w:val="-20"/>
        </w:rPr>
        <w:t> </w:t>
      </w:r>
      <w:r>
        <w:rPr/>
        <w:t>percentual</w:t>
      </w:r>
      <w:r>
        <w:rPr>
          <w:spacing w:val="-19"/>
        </w:rPr>
        <w:t> </w:t>
      </w:r>
      <w:r>
        <w:rPr/>
        <w:t>de</w:t>
      </w:r>
      <w:r>
        <w:rPr>
          <w:spacing w:val="-21"/>
        </w:rPr>
        <w:t> </w:t>
      </w:r>
      <w:r>
        <w:rPr/>
        <w:t>59,93%</w:t>
      </w:r>
      <w:r>
        <w:rPr>
          <w:spacing w:val="-20"/>
        </w:rPr>
        <w:t> </w:t>
      </w:r>
      <w:r>
        <w:rPr/>
        <w:t>sobre</w:t>
      </w:r>
      <w:r>
        <w:rPr>
          <w:spacing w:val="-19"/>
        </w:rPr>
        <w:t> </w:t>
      </w:r>
      <w:r>
        <w:rPr/>
        <w:t>o patrimônio</w:t>
      </w:r>
      <w:r>
        <w:rPr>
          <w:spacing w:val="-48"/>
        </w:rPr>
        <w:t> </w:t>
      </w:r>
      <w:r>
        <w:rPr/>
        <w:t>líquido</w:t>
      </w:r>
      <w:r>
        <w:rPr>
          <w:spacing w:val="-48"/>
        </w:rPr>
        <w:t> </w:t>
      </w:r>
      <w:r>
        <w:rPr/>
        <w:t>da</w:t>
      </w:r>
      <w:r>
        <w:rPr>
          <w:spacing w:val="-47"/>
        </w:rPr>
        <w:t> </w:t>
      </w:r>
      <w:r>
        <w:rPr/>
        <w:t>CEB</w:t>
      </w:r>
      <w:r>
        <w:rPr>
          <w:spacing w:val="-47"/>
        </w:rPr>
        <w:t> </w:t>
      </w:r>
      <w:r>
        <w:rPr/>
        <w:t>Lajeado</w:t>
      </w:r>
      <w:r>
        <w:rPr>
          <w:spacing w:val="-48"/>
        </w:rPr>
        <w:t> </w:t>
      </w:r>
      <w:r>
        <w:rPr/>
        <w:t>S.A.</w:t>
      </w:r>
      <w:r>
        <w:rPr>
          <w:spacing w:val="-48"/>
        </w:rPr>
        <w:t> </w:t>
      </w:r>
      <w:r>
        <w:rPr/>
        <w:t>é</w:t>
      </w:r>
      <w:r>
        <w:rPr>
          <w:spacing w:val="-48"/>
        </w:rPr>
        <w:t> </w:t>
      </w:r>
      <w:r>
        <w:rPr/>
        <w:t>devido</w:t>
      </w:r>
      <w:r>
        <w:rPr>
          <w:spacing w:val="-48"/>
        </w:rPr>
        <w:t> </w:t>
      </w:r>
      <w:r>
        <w:rPr/>
        <w:t>ao</w:t>
      </w:r>
      <w:r>
        <w:rPr>
          <w:spacing w:val="-47"/>
        </w:rPr>
        <w:t> </w:t>
      </w:r>
      <w:r>
        <w:rPr/>
        <w:t>registro,</w:t>
      </w:r>
      <w:r>
        <w:rPr>
          <w:spacing w:val="-47"/>
        </w:rPr>
        <w:t> </w:t>
      </w:r>
      <w:r>
        <w:rPr/>
        <w:t>no</w:t>
      </w:r>
      <w:r>
        <w:rPr>
          <w:spacing w:val="-48"/>
        </w:rPr>
        <w:t> </w:t>
      </w:r>
      <w:r>
        <w:rPr/>
        <w:t>patrimônio</w:t>
      </w:r>
      <w:r>
        <w:rPr>
          <w:spacing w:val="-48"/>
        </w:rPr>
        <w:t> </w:t>
      </w:r>
      <w:r>
        <w:rPr/>
        <w:t>líquido</w:t>
      </w:r>
      <w:r>
        <w:rPr>
          <w:spacing w:val="-47"/>
        </w:rPr>
        <w:t> </w:t>
      </w:r>
      <w:r>
        <w:rPr/>
        <w:t>da</w:t>
      </w:r>
      <w:r>
        <w:rPr>
          <w:spacing w:val="-47"/>
        </w:rPr>
        <w:t> </w:t>
      </w:r>
      <w:r>
        <w:rPr/>
        <w:t>Empresa,</w:t>
      </w:r>
      <w:r>
        <w:rPr>
          <w:spacing w:val="-48"/>
        </w:rPr>
        <w:t> </w:t>
      </w:r>
      <w:r>
        <w:rPr/>
        <w:t>de</w:t>
      </w:r>
      <w:r>
        <w:rPr>
          <w:spacing w:val="-48"/>
        </w:rPr>
        <w:t> </w:t>
      </w:r>
      <w:r>
        <w:rPr/>
        <w:t>partes</w:t>
      </w:r>
      <w:r>
        <w:rPr>
          <w:spacing w:val="-47"/>
        </w:rPr>
        <w:t> </w:t>
      </w:r>
      <w:r>
        <w:rPr/>
        <w:t>beneficiárias no</w:t>
      </w:r>
      <w:r>
        <w:rPr>
          <w:spacing w:val="-44"/>
        </w:rPr>
        <w:t> </w:t>
      </w:r>
      <w:r>
        <w:rPr/>
        <w:t>valor</w:t>
      </w:r>
      <w:r>
        <w:rPr>
          <w:spacing w:val="-43"/>
        </w:rPr>
        <w:t> </w:t>
      </w:r>
      <w:r>
        <w:rPr/>
        <w:t>de</w:t>
      </w:r>
      <w:r>
        <w:rPr>
          <w:spacing w:val="-44"/>
        </w:rPr>
        <w:t> </w:t>
      </w:r>
      <w:r>
        <w:rPr/>
        <w:t>R$</w:t>
      </w:r>
      <w:r>
        <w:rPr>
          <w:spacing w:val="-43"/>
        </w:rPr>
        <w:t> </w:t>
      </w:r>
      <w:r>
        <w:rPr/>
        <w:t>151.225,</w:t>
      </w:r>
      <w:r>
        <w:rPr>
          <w:spacing w:val="-43"/>
        </w:rPr>
        <w:t> </w:t>
      </w:r>
      <w:r>
        <w:rPr/>
        <w:t>emitidas</w:t>
      </w:r>
      <w:r>
        <w:rPr>
          <w:spacing w:val="-44"/>
        </w:rPr>
        <w:t> </w:t>
      </w:r>
      <w:r>
        <w:rPr/>
        <w:t>a</w:t>
      </w:r>
      <w:r>
        <w:rPr>
          <w:spacing w:val="-44"/>
        </w:rPr>
        <w:t> </w:t>
      </w:r>
      <w:r>
        <w:rPr/>
        <w:t>favor</w:t>
      </w:r>
      <w:r>
        <w:rPr>
          <w:spacing w:val="-44"/>
        </w:rPr>
        <w:t> </w:t>
      </w:r>
      <w:r>
        <w:rPr/>
        <w:t>da</w:t>
      </w:r>
      <w:r>
        <w:rPr>
          <w:spacing w:val="-43"/>
        </w:rPr>
        <w:t> </w:t>
      </w:r>
      <w:r>
        <w:rPr/>
        <w:t>Eletrobrás</w:t>
      </w:r>
      <w:r>
        <w:rPr>
          <w:spacing w:val="-44"/>
        </w:rPr>
        <w:t> </w:t>
      </w:r>
      <w:r>
        <w:rPr/>
        <w:t>S.A.,</w:t>
      </w:r>
      <w:r>
        <w:rPr>
          <w:spacing w:val="-45"/>
        </w:rPr>
        <w:t> </w:t>
      </w:r>
      <w:r>
        <w:rPr/>
        <w:t>que</w:t>
      </w:r>
      <w:r>
        <w:rPr>
          <w:spacing w:val="-43"/>
        </w:rPr>
        <w:t> </w:t>
      </w:r>
      <w:r>
        <w:rPr/>
        <w:t>integrou</w:t>
      </w:r>
      <w:r>
        <w:rPr>
          <w:spacing w:val="-44"/>
        </w:rPr>
        <w:t> </w:t>
      </w:r>
      <w:r>
        <w:rPr/>
        <w:t>a</w:t>
      </w:r>
      <w:r>
        <w:rPr>
          <w:spacing w:val="-42"/>
        </w:rPr>
        <w:t> </w:t>
      </w:r>
      <w:r>
        <w:rPr/>
        <w:t>negociação</w:t>
      </w:r>
      <w:r>
        <w:rPr>
          <w:spacing w:val="-44"/>
        </w:rPr>
        <w:t> </w:t>
      </w:r>
      <w:r>
        <w:rPr/>
        <w:t>da</w:t>
      </w:r>
      <w:r>
        <w:rPr>
          <w:spacing w:val="-43"/>
        </w:rPr>
        <w:t> </w:t>
      </w:r>
      <w:r>
        <w:rPr/>
        <w:t>reestruturação</w:t>
      </w:r>
      <w:r>
        <w:rPr>
          <w:spacing w:val="-44"/>
        </w:rPr>
        <w:t> </w:t>
      </w:r>
      <w:r>
        <w:rPr/>
        <w:t>societária</w:t>
      </w:r>
      <w:r>
        <w:rPr>
          <w:spacing w:val="-44"/>
        </w:rPr>
        <w:t> </w:t>
      </w:r>
      <w:r>
        <w:rPr/>
        <w:t>da </w:t>
      </w:r>
      <w:r>
        <w:rPr>
          <w:w w:val="95"/>
        </w:rPr>
        <w:t>Investco</w:t>
      </w:r>
      <w:r>
        <w:rPr>
          <w:spacing w:val="-19"/>
          <w:w w:val="95"/>
        </w:rPr>
        <w:t> </w:t>
      </w:r>
      <w:r>
        <w:rPr>
          <w:w w:val="95"/>
        </w:rPr>
        <w:t>S.A..</w:t>
      </w:r>
      <w:r>
        <w:rPr>
          <w:spacing w:val="-20"/>
          <w:w w:val="95"/>
        </w:rPr>
        <w:t> </w:t>
      </w:r>
      <w:r>
        <w:rPr>
          <w:w w:val="95"/>
        </w:rPr>
        <w:t>As</w:t>
      </w:r>
      <w:r>
        <w:rPr>
          <w:spacing w:val="-19"/>
          <w:w w:val="95"/>
        </w:rPr>
        <w:t> </w:t>
      </w:r>
      <w:r>
        <w:rPr>
          <w:w w:val="95"/>
        </w:rPr>
        <w:t>partes</w:t>
      </w:r>
      <w:r>
        <w:rPr>
          <w:spacing w:val="-19"/>
          <w:w w:val="95"/>
        </w:rPr>
        <w:t> </w:t>
      </w:r>
      <w:r>
        <w:rPr>
          <w:w w:val="95"/>
        </w:rPr>
        <w:t>beneficiárias</w:t>
      </w:r>
      <w:r>
        <w:rPr>
          <w:spacing w:val="-21"/>
          <w:w w:val="95"/>
        </w:rPr>
        <w:t> </w:t>
      </w:r>
      <w:r>
        <w:rPr>
          <w:w w:val="95"/>
        </w:rPr>
        <w:t>deverão</w:t>
      </w:r>
      <w:r>
        <w:rPr>
          <w:spacing w:val="-22"/>
          <w:w w:val="95"/>
        </w:rPr>
        <w:t> </w:t>
      </w:r>
      <w:r>
        <w:rPr>
          <w:w w:val="95"/>
        </w:rPr>
        <w:t>ser</w:t>
      </w:r>
      <w:r>
        <w:rPr>
          <w:spacing w:val="-20"/>
          <w:w w:val="95"/>
        </w:rPr>
        <w:t> </w:t>
      </w:r>
      <w:r>
        <w:rPr>
          <w:w w:val="95"/>
        </w:rPr>
        <w:t>convertidas</w:t>
      </w:r>
      <w:r>
        <w:rPr>
          <w:spacing w:val="-21"/>
          <w:w w:val="95"/>
        </w:rPr>
        <w:t> </w:t>
      </w:r>
      <w:r>
        <w:rPr>
          <w:w w:val="95"/>
        </w:rPr>
        <w:t>em</w:t>
      </w:r>
      <w:r>
        <w:rPr>
          <w:spacing w:val="-22"/>
          <w:w w:val="95"/>
        </w:rPr>
        <w:t> </w:t>
      </w:r>
      <w:r>
        <w:rPr>
          <w:w w:val="95"/>
        </w:rPr>
        <w:t>ações</w:t>
      </w:r>
      <w:r>
        <w:rPr>
          <w:spacing w:val="-21"/>
          <w:w w:val="95"/>
        </w:rPr>
        <w:t> </w:t>
      </w:r>
      <w:r>
        <w:rPr>
          <w:w w:val="95"/>
        </w:rPr>
        <w:t>preferenciais</w:t>
      </w:r>
      <w:r>
        <w:rPr>
          <w:spacing w:val="-21"/>
          <w:w w:val="95"/>
        </w:rPr>
        <w:t> </w:t>
      </w:r>
      <w:r>
        <w:rPr>
          <w:w w:val="95"/>
        </w:rPr>
        <w:t>ao</w:t>
      </w:r>
      <w:r>
        <w:rPr>
          <w:spacing w:val="-22"/>
          <w:w w:val="95"/>
        </w:rPr>
        <w:t> </w:t>
      </w:r>
      <w:r>
        <w:rPr>
          <w:w w:val="95"/>
        </w:rPr>
        <w:t>final</w:t>
      </w:r>
      <w:r>
        <w:rPr>
          <w:spacing w:val="-21"/>
          <w:w w:val="95"/>
        </w:rPr>
        <w:t> </w:t>
      </w:r>
      <w:r>
        <w:rPr>
          <w:w w:val="95"/>
        </w:rPr>
        <w:t>do</w:t>
      </w:r>
      <w:r>
        <w:rPr>
          <w:spacing w:val="-22"/>
          <w:w w:val="95"/>
        </w:rPr>
        <w:t> </w:t>
      </w:r>
      <w:r>
        <w:rPr>
          <w:w w:val="95"/>
        </w:rPr>
        <w:t>período</w:t>
      </w:r>
      <w:r>
        <w:rPr>
          <w:spacing w:val="-20"/>
          <w:w w:val="95"/>
        </w:rPr>
        <w:t> </w:t>
      </w:r>
      <w:r>
        <w:rPr>
          <w:w w:val="95"/>
        </w:rPr>
        <w:t>de</w:t>
      </w:r>
      <w:r>
        <w:rPr>
          <w:spacing w:val="-20"/>
          <w:w w:val="95"/>
        </w:rPr>
        <w:t> </w:t>
      </w:r>
      <w:r>
        <w:rPr>
          <w:w w:val="95"/>
        </w:rPr>
        <w:t>concessão.</w:t>
      </w:r>
    </w:p>
    <w:p>
      <w:pPr>
        <w:pStyle w:val="BodyText"/>
        <w:spacing w:before="10"/>
        <w:rPr>
          <w:sz w:val="1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72"/>
        <w:gridCol w:w="1191"/>
        <w:gridCol w:w="986"/>
        <w:gridCol w:w="1231"/>
        <w:gridCol w:w="1291"/>
        <w:gridCol w:w="1608"/>
        <w:gridCol w:w="945"/>
        <w:gridCol w:w="943"/>
      </w:tblGrid>
      <w:tr>
        <w:trPr>
          <w:trHeight w:val="239" w:hRule="atLeast"/>
        </w:trPr>
        <w:tc>
          <w:tcPr>
            <w:tcW w:w="1772" w:type="dxa"/>
            <w:vMerge w:val="restart"/>
            <w:shd w:val="clear" w:color="auto" w:fill="D9D9D9"/>
          </w:tcPr>
          <w:p>
            <w:pPr>
              <w:pStyle w:val="TableParagraph"/>
              <w:rPr>
                <w:sz w:val="16"/>
              </w:rPr>
            </w:pPr>
          </w:p>
          <w:p>
            <w:pPr>
              <w:pStyle w:val="TableParagraph"/>
              <w:spacing w:before="101"/>
              <w:ind w:left="72"/>
              <w:rPr>
                <w:rFonts w:ascii="Caladea"/>
                <w:b/>
                <w:sz w:val="14"/>
              </w:rPr>
            </w:pPr>
            <w:r>
              <w:rPr>
                <w:rFonts w:ascii="Caladea"/>
                <w:b/>
                <w:sz w:val="14"/>
              </w:rPr>
              <w:t>Investidas</w:t>
            </w:r>
          </w:p>
        </w:tc>
        <w:tc>
          <w:tcPr>
            <w:tcW w:w="8195" w:type="dxa"/>
            <w:gridSpan w:val="7"/>
          </w:tcPr>
          <w:p>
            <w:pPr>
              <w:pStyle w:val="TableParagraph"/>
              <w:spacing w:before="37"/>
              <w:ind w:left="3679" w:right="3668"/>
              <w:jc w:val="center"/>
              <w:rPr>
                <w:rFonts w:ascii="Caladea"/>
                <w:b/>
                <w:sz w:val="14"/>
              </w:rPr>
            </w:pPr>
            <w:r>
              <w:rPr>
                <w:rFonts w:ascii="Caladea"/>
                <w:b/>
                <w:sz w:val="14"/>
              </w:rPr>
              <w:t>Consolidado</w:t>
            </w:r>
          </w:p>
        </w:tc>
      </w:tr>
      <w:tr>
        <w:trPr>
          <w:trHeight w:val="237" w:hRule="atLeast"/>
        </w:trPr>
        <w:tc>
          <w:tcPr>
            <w:tcW w:w="1772" w:type="dxa"/>
            <w:vMerge/>
            <w:tcBorders>
              <w:top w:val="nil"/>
            </w:tcBorders>
            <w:shd w:val="clear" w:color="auto" w:fill="D9D9D9"/>
          </w:tcPr>
          <w:p>
            <w:pPr>
              <w:rPr>
                <w:sz w:val="2"/>
                <w:szCs w:val="2"/>
              </w:rPr>
            </w:pPr>
          </w:p>
        </w:tc>
        <w:tc>
          <w:tcPr>
            <w:tcW w:w="1191" w:type="dxa"/>
            <w:vMerge w:val="restart"/>
          </w:tcPr>
          <w:p>
            <w:pPr>
              <w:pStyle w:val="TableParagraph"/>
              <w:spacing w:before="80"/>
              <w:ind w:left="165" w:right="118" w:firstLine="16"/>
              <w:rPr>
                <w:rFonts w:ascii="Caladea"/>
                <w:b/>
                <w:sz w:val="14"/>
              </w:rPr>
            </w:pPr>
            <w:r>
              <w:rPr>
                <w:rFonts w:ascii="Caladea"/>
                <w:b/>
                <w:sz w:val="14"/>
              </w:rPr>
              <w:t>Capital Social Integralizado</w:t>
            </w:r>
          </w:p>
        </w:tc>
        <w:tc>
          <w:tcPr>
            <w:tcW w:w="986" w:type="dxa"/>
            <w:vMerge w:val="restart"/>
          </w:tcPr>
          <w:p>
            <w:pPr>
              <w:pStyle w:val="TableParagraph"/>
              <w:spacing w:before="80"/>
              <w:ind w:left="248" w:hanging="104"/>
              <w:rPr>
                <w:rFonts w:ascii="Caladea" w:hAnsi="Caladea"/>
                <w:b/>
                <w:sz w:val="14"/>
              </w:rPr>
            </w:pPr>
            <w:r>
              <w:rPr>
                <w:rFonts w:ascii="Caladea" w:hAnsi="Caladea"/>
                <w:b/>
                <w:w w:val="95"/>
                <w:sz w:val="14"/>
              </w:rPr>
              <w:t>Patrimônio </w:t>
            </w:r>
            <w:r>
              <w:rPr>
                <w:rFonts w:ascii="Caladea" w:hAnsi="Caladea"/>
                <w:b/>
                <w:sz w:val="14"/>
              </w:rPr>
              <w:t>Líquido</w:t>
            </w:r>
          </w:p>
        </w:tc>
        <w:tc>
          <w:tcPr>
            <w:tcW w:w="1231" w:type="dxa"/>
            <w:vMerge w:val="restart"/>
          </w:tcPr>
          <w:p>
            <w:pPr>
              <w:pStyle w:val="TableParagraph"/>
              <w:ind w:left="108" w:right="68"/>
              <w:jc w:val="center"/>
              <w:rPr>
                <w:rFonts w:ascii="Caladea" w:hAnsi="Caladea"/>
                <w:b/>
                <w:sz w:val="14"/>
              </w:rPr>
            </w:pPr>
            <w:r>
              <w:rPr>
                <w:rFonts w:ascii="Caladea" w:hAnsi="Caladea"/>
                <w:b/>
                <w:sz w:val="14"/>
              </w:rPr>
              <w:t>Participação no Capital Social</w:t>
            </w:r>
          </w:p>
          <w:p>
            <w:pPr>
              <w:pStyle w:val="TableParagraph"/>
              <w:spacing w:line="144" w:lineRule="exact"/>
              <w:ind w:left="77" w:right="68"/>
              <w:jc w:val="center"/>
              <w:rPr>
                <w:rFonts w:ascii="Caladea"/>
                <w:b/>
                <w:sz w:val="14"/>
              </w:rPr>
            </w:pPr>
            <w:r>
              <w:rPr>
                <w:rFonts w:ascii="Caladea"/>
                <w:b/>
                <w:sz w:val="14"/>
              </w:rPr>
              <w:t>(%)</w:t>
            </w:r>
          </w:p>
        </w:tc>
        <w:tc>
          <w:tcPr>
            <w:tcW w:w="1291" w:type="dxa"/>
            <w:vMerge w:val="restart"/>
          </w:tcPr>
          <w:p>
            <w:pPr>
              <w:pStyle w:val="TableParagraph"/>
              <w:ind w:left="93" w:right="85" w:firstLine="31"/>
              <w:jc w:val="center"/>
              <w:rPr>
                <w:rFonts w:ascii="Caladea" w:hAnsi="Caladea"/>
                <w:b/>
                <w:sz w:val="14"/>
              </w:rPr>
            </w:pPr>
            <w:r>
              <w:rPr>
                <w:rFonts w:ascii="Caladea" w:hAnsi="Caladea"/>
                <w:b/>
                <w:sz w:val="14"/>
              </w:rPr>
              <w:t>Participação nas Ações Ordinárias</w:t>
            </w:r>
          </w:p>
          <w:p>
            <w:pPr>
              <w:pStyle w:val="TableParagraph"/>
              <w:spacing w:line="144" w:lineRule="exact"/>
              <w:ind w:left="499" w:right="491"/>
              <w:jc w:val="center"/>
              <w:rPr>
                <w:rFonts w:ascii="Caladea"/>
                <w:b/>
                <w:sz w:val="14"/>
              </w:rPr>
            </w:pPr>
            <w:r>
              <w:rPr>
                <w:rFonts w:ascii="Caladea"/>
                <w:b/>
                <w:sz w:val="14"/>
              </w:rPr>
              <w:t>(%)</w:t>
            </w:r>
          </w:p>
        </w:tc>
        <w:tc>
          <w:tcPr>
            <w:tcW w:w="1608" w:type="dxa"/>
            <w:vMerge w:val="restart"/>
          </w:tcPr>
          <w:p>
            <w:pPr>
              <w:pStyle w:val="TableParagraph"/>
              <w:ind w:left="209" w:right="200" w:firstLine="34"/>
              <w:jc w:val="center"/>
              <w:rPr>
                <w:rFonts w:ascii="Caladea" w:hAnsi="Caladea"/>
                <w:b/>
                <w:sz w:val="14"/>
              </w:rPr>
            </w:pPr>
            <w:r>
              <w:rPr>
                <w:rFonts w:ascii="Caladea" w:hAnsi="Caladea"/>
                <w:b/>
                <w:sz w:val="14"/>
              </w:rPr>
              <w:t>Número de Ações Detidas Pela CEB e</w:t>
            </w:r>
          </w:p>
          <w:p>
            <w:pPr>
              <w:pStyle w:val="TableParagraph"/>
              <w:spacing w:line="144" w:lineRule="exact"/>
              <w:ind w:left="230" w:right="223"/>
              <w:jc w:val="center"/>
              <w:rPr>
                <w:rFonts w:ascii="Caladea"/>
                <w:b/>
                <w:sz w:val="14"/>
              </w:rPr>
            </w:pPr>
            <w:r>
              <w:rPr>
                <w:rFonts w:ascii="Caladea"/>
                <w:b/>
                <w:sz w:val="14"/>
              </w:rPr>
              <w:t>Controladas</w:t>
            </w:r>
          </w:p>
        </w:tc>
        <w:tc>
          <w:tcPr>
            <w:tcW w:w="1888" w:type="dxa"/>
            <w:gridSpan w:val="2"/>
          </w:tcPr>
          <w:p>
            <w:pPr>
              <w:pStyle w:val="TableParagraph"/>
              <w:spacing w:before="34"/>
              <w:ind w:left="485"/>
              <w:rPr>
                <w:rFonts w:ascii="Caladea" w:hAnsi="Caladea"/>
                <w:b/>
                <w:sz w:val="14"/>
              </w:rPr>
            </w:pPr>
            <w:r>
              <w:rPr>
                <w:rFonts w:ascii="Caladea" w:hAnsi="Caladea"/>
                <w:b/>
                <w:sz w:val="14"/>
              </w:rPr>
              <w:t>Valor Contábil</w:t>
            </w:r>
          </w:p>
        </w:tc>
      </w:tr>
      <w:tr>
        <w:trPr>
          <w:trHeight w:val="245" w:hRule="atLeast"/>
        </w:trPr>
        <w:tc>
          <w:tcPr>
            <w:tcW w:w="1772" w:type="dxa"/>
            <w:vMerge/>
            <w:tcBorders>
              <w:top w:val="nil"/>
            </w:tcBorders>
            <w:shd w:val="clear" w:color="auto" w:fill="D9D9D9"/>
          </w:tcPr>
          <w:p>
            <w:pPr>
              <w:rPr>
                <w:sz w:val="2"/>
                <w:szCs w:val="2"/>
              </w:rPr>
            </w:pPr>
          </w:p>
        </w:tc>
        <w:tc>
          <w:tcPr>
            <w:tcW w:w="1191" w:type="dxa"/>
            <w:vMerge/>
            <w:tcBorders>
              <w:top w:val="nil"/>
            </w:tcBorders>
          </w:tcPr>
          <w:p>
            <w:pPr>
              <w:rPr>
                <w:sz w:val="2"/>
                <w:szCs w:val="2"/>
              </w:rPr>
            </w:pPr>
          </w:p>
        </w:tc>
        <w:tc>
          <w:tcPr>
            <w:tcW w:w="986" w:type="dxa"/>
            <w:vMerge/>
            <w:tcBorders>
              <w:top w:val="nil"/>
            </w:tcBorders>
          </w:tcPr>
          <w:p>
            <w:pPr>
              <w:rPr>
                <w:sz w:val="2"/>
                <w:szCs w:val="2"/>
              </w:rPr>
            </w:pPr>
          </w:p>
        </w:tc>
        <w:tc>
          <w:tcPr>
            <w:tcW w:w="1231" w:type="dxa"/>
            <w:vMerge/>
            <w:tcBorders>
              <w:top w:val="nil"/>
            </w:tcBorders>
          </w:tcPr>
          <w:p>
            <w:pPr>
              <w:rPr>
                <w:sz w:val="2"/>
                <w:szCs w:val="2"/>
              </w:rPr>
            </w:pPr>
          </w:p>
        </w:tc>
        <w:tc>
          <w:tcPr>
            <w:tcW w:w="1291" w:type="dxa"/>
            <w:vMerge/>
            <w:tcBorders>
              <w:top w:val="nil"/>
            </w:tcBorders>
          </w:tcPr>
          <w:p>
            <w:pPr>
              <w:rPr>
                <w:sz w:val="2"/>
                <w:szCs w:val="2"/>
              </w:rPr>
            </w:pPr>
          </w:p>
        </w:tc>
        <w:tc>
          <w:tcPr>
            <w:tcW w:w="1608" w:type="dxa"/>
            <w:vMerge/>
            <w:tcBorders>
              <w:top w:val="nil"/>
            </w:tcBorders>
          </w:tcPr>
          <w:p>
            <w:pPr>
              <w:rPr>
                <w:sz w:val="2"/>
                <w:szCs w:val="2"/>
              </w:rPr>
            </w:pPr>
          </w:p>
        </w:tc>
        <w:tc>
          <w:tcPr>
            <w:tcW w:w="945" w:type="dxa"/>
          </w:tcPr>
          <w:p>
            <w:pPr>
              <w:pStyle w:val="TableParagraph"/>
              <w:spacing w:before="40"/>
              <w:ind w:right="58"/>
              <w:jc w:val="right"/>
              <w:rPr>
                <w:rFonts w:ascii="Caladea"/>
                <w:b/>
                <w:sz w:val="14"/>
              </w:rPr>
            </w:pPr>
            <w:r>
              <w:rPr>
                <w:rFonts w:ascii="Caladea"/>
                <w:b/>
                <w:sz w:val="14"/>
              </w:rPr>
              <w:t>31/12/2019</w:t>
            </w:r>
          </w:p>
        </w:tc>
        <w:tc>
          <w:tcPr>
            <w:tcW w:w="943" w:type="dxa"/>
          </w:tcPr>
          <w:p>
            <w:pPr>
              <w:pStyle w:val="TableParagraph"/>
              <w:spacing w:before="40"/>
              <w:ind w:right="58"/>
              <w:jc w:val="right"/>
              <w:rPr>
                <w:rFonts w:ascii="Caladea"/>
                <w:b/>
                <w:sz w:val="14"/>
              </w:rPr>
            </w:pPr>
            <w:r>
              <w:rPr>
                <w:rFonts w:ascii="Caladea"/>
                <w:b/>
                <w:sz w:val="14"/>
              </w:rPr>
              <w:t>31/12/2018</w:t>
            </w:r>
          </w:p>
        </w:tc>
      </w:tr>
      <w:tr>
        <w:trPr>
          <w:trHeight w:val="328" w:hRule="atLeast"/>
        </w:trPr>
        <w:tc>
          <w:tcPr>
            <w:tcW w:w="1772" w:type="dxa"/>
          </w:tcPr>
          <w:p>
            <w:pPr>
              <w:pStyle w:val="TableParagraph"/>
              <w:spacing w:before="82"/>
              <w:ind w:left="72"/>
              <w:rPr>
                <w:sz w:val="14"/>
              </w:rPr>
            </w:pPr>
            <w:r>
              <w:rPr>
                <w:sz w:val="14"/>
              </w:rPr>
              <w:t>Corumbá Concessões S.A.</w:t>
            </w:r>
          </w:p>
        </w:tc>
        <w:tc>
          <w:tcPr>
            <w:tcW w:w="1191" w:type="dxa"/>
          </w:tcPr>
          <w:p>
            <w:pPr>
              <w:pStyle w:val="TableParagraph"/>
              <w:spacing w:before="82"/>
              <w:ind w:right="61"/>
              <w:jc w:val="right"/>
              <w:rPr>
                <w:sz w:val="14"/>
              </w:rPr>
            </w:pPr>
            <w:r>
              <w:rPr>
                <w:w w:val="95"/>
                <w:sz w:val="14"/>
              </w:rPr>
              <w:t>280.014</w:t>
            </w:r>
          </w:p>
        </w:tc>
        <w:tc>
          <w:tcPr>
            <w:tcW w:w="986" w:type="dxa"/>
          </w:tcPr>
          <w:p>
            <w:pPr>
              <w:pStyle w:val="TableParagraph"/>
              <w:spacing w:before="82"/>
              <w:ind w:right="57"/>
              <w:jc w:val="right"/>
              <w:rPr>
                <w:sz w:val="14"/>
              </w:rPr>
            </w:pPr>
            <w:r>
              <w:rPr>
                <w:w w:val="95"/>
                <w:sz w:val="14"/>
              </w:rPr>
              <w:t>320.804</w:t>
            </w:r>
          </w:p>
        </w:tc>
        <w:tc>
          <w:tcPr>
            <w:tcW w:w="1231" w:type="dxa"/>
          </w:tcPr>
          <w:p>
            <w:pPr>
              <w:pStyle w:val="TableParagraph"/>
              <w:spacing w:before="82"/>
              <w:ind w:right="57"/>
              <w:jc w:val="right"/>
              <w:rPr>
                <w:sz w:val="14"/>
              </w:rPr>
            </w:pPr>
            <w:r>
              <w:rPr>
                <w:w w:val="95"/>
                <w:sz w:val="14"/>
              </w:rPr>
              <w:t>33,65</w:t>
            </w:r>
          </w:p>
        </w:tc>
        <w:tc>
          <w:tcPr>
            <w:tcW w:w="1291" w:type="dxa"/>
          </w:tcPr>
          <w:p>
            <w:pPr>
              <w:pStyle w:val="TableParagraph"/>
              <w:spacing w:before="82"/>
              <w:ind w:right="56"/>
              <w:jc w:val="right"/>
              <w:rPr>
                <w:sz w:val="14"/>
              </w:rPr>
            </w:pPr>
            <w:r>
              <w:rPr>
                <w:w w:val="95"/>
                <w:sz w:val="14"/>
              </w:rPr>
              <w:t>29,06</w:t>
            </w:r>
          </w:p>
        </w:tc>
        <w:tc>
          <w:tcPr>
            <w:tcW w:w="1608" w:type="dxa"/>
          </w:tcPr>
          <w:p>
            <w:pPr>
              <w:pStyle w:val="TableParagraph"/>
              <w:ind w:left="542"/>
              <w:rPr>
                <w:sz w:val="14"/>
              </w:rPr>
            </w:pPr>
            <w:r>
              <w:rPr>
                <w:sz w:val="14"/>
              </w:rPr>
              <w:t>78.199.051 –</w:t>
            </w:r>
            <w:r>
              <w:rPr>
                <w:spacing w:val="-19"/>
                <w:sz w:val="14"/>
              </w:rPr>
              <w:t> </w:t>
            </w:r>
            <w:r>
              <w:rPr>
                <w:sz w:val="14"/>
              </w:rPr>
              <w:t>ON</w:t>
            </w:r>
          </w:p>
          <w:p>
            <w:pPr>
              <w:pStyle w:val="TableParagraph"/>
              <w:spacing w:line="142" w:lineRule="exact" w:before="3"/>
              <w:ind w:left="499"/>
              <w:rPr>
                <w:sz w:val="14"/>
              </w:rPr>
            </w:pPr>
            <w:r>
              <w:rPr>
                <w:sz w:val="14"/>
              </w:rPr>
              <w:t>203.199.943 -</w:t>
            </w:r>
            <w:r>
              <w:rPr>
                <w:spacing w:val="-30"/>
                <w:sz w:val="14"/>
              </w:rPr>
              <w:t> </w:t>
            </w:r>
            <w:r>
              <w:rPr>
                <w:sz w:val="14"/>
              </w:rPr>
              <w:t>PN</w:t>
            </w:r>
          </w:p>
        </w:tc>
        <w:tc>
          <w:tcPr>
            <w:tcW w:w="945" w:type="dxa"/>
          </w:tcPr>
          <w:p>
            <w:pPr>
              <w:pStyle w:val="TableParagraph"/>
              <w:spacing w:before="82"/>
              <w:ind w:right="58"/>
              <w:jc w:val="right"/>
              <w:rPr>
                <w:sz w:val="14"/>
              </w:rPr>
            </w:pPr>
            <w:r>
              <w:rPr>
                <w:w w:val="95"/>
                <w:sz w:val="14"/>
              </w:rPr>
              <w:t>107.712</w:t>
            </w:r>
          </w:p>
        </w:tc>
        <w:tc>
          <w:tcPr>
            <w:tcW w:w="943" w:type="dxa"/>
          </w:tcPr>
          <w:p>
            <w:pPr>
              <w:pStyle w:val="TableParagraph"/>
              <w:spacing w:before="82"/>
              <w:ind w:right="57"/>
              <w:jc w:val="right"/>
              <w:rPr>
                <w:sz w:val="14"/>
              </w:rPr>
            </w:pPr>
            <w:r>
              <w:rPr>
                <w:w w:val="95"/>
                <w:sz w:val="14"/>
              </w:rPr>
              <w:t>92.389</w:t>
            </w:r>
          </w:p>
        </w:tc>
      </w:tr>
      <w:tr>
        <w:trPr>
          <w:trHeight w:val="239" w:hRule="atLeast"/>
        </w:trPr>
        <w:tc>
          <w:tcPr>
            <w:tcW w:w="1772" w:type="dxa"/>
          </w:tcPr>
          <w:p>
            <w:pPr>
              <w:pStyle w:val="TableParagraph"/>
              <w:spacing w:before="38"/>
              <w:ind w:left="72"/>
              <w:rPr>
                <w:sz w:val="14"/>
              </w:rPr>
            </w:pPr>
            <w:r>
              <w:rPr>
                <w:sz w:val="14"/>
              </w:rPr>
              <w:t>Investco S.A.</w:t>
            </w:r>
          </w:p>
        </w:tc>
        <w:tc>
          <w:tcPr>
            <w:tcW w:w="1191" w:type="dxa"/>
          </w:tcPr>
          <w:p>
            <w:pPr>
              <w:pStyle w:val="TableParagraph"/>
              <w:spacing w:before="38"/>
              <w:ind w:right="60"/>
              <w:jc w:val="right"/>
              <w:rPr>
                <w:sz w:val="14"/>
              </w:rPr>
            </w:pPr>
            <w:r>
              <w:rPr>
                <w:w w:val="95"/>
                <w:sz w:val="14"/>
              </w:rPr>
              <w:t>6.868</w:t>
            </w:r>
          </w:p>
        </w:tc>
        <w:tc>
          <w:tcPr>
            <w:tcW w:w="986" w:type="dxa"/>
          </w:tcPr>
          <w:p>
            <w:pPr>
              <w:pStyle w:val="TableParagraph"/>
              <w:spacing w:before="38"/>
              <w:ind w:right="57"/>
              <w:jc w:val="right"/>
              <w:rPr>
                <w:sz w:val="14"/>
              </w:rPr>
            </w:pPr>
            <w:r>
              <w:rPr>
                <w:w w:val="95"/>
                <w:sz w:val="14"/>
              </w:rPr>
              <w:t>919.645</w:t>
            </w:r>
          </w:p>
        </w:tc>
        <w:tc>
          <w:tcPr>
            <w:tcW w:w="1231" w:type="dxa"/>
          </w:tcPr>
          <w:p>
            <w:pPr>
              <w:pStyle w:val="TableParagraph"/>
              <w:spacing w:before="38"/>
              <w:ind w:right="57"/>
              <w:jc w:val="right"/>
              <w:rPr>
                <w:sz w:val="14"/>
              </w:rPr>
            </w:pPr>
            <w:r>
              <w:rPr>
                <w:w w:val="95"/>
                <w:sz w:val="14"/>
              </w:rPr>
              <w:t>20,00</w:t>
            </w:r>
          </w:p>
        </w:tc>
        <w:tc>
          <w:tcPr>
            <w:tcW w:w="1291" w:type="dxa"/>
          </w:tcPr>
          <w:p>
            <w:pPr>
              <w:pStyle w:val="TableParagraph"/>
              <w:spacing w:before="38"/>
              <w:ind w:right="56"/>
              <w:jc w:val="right"/>
              <w:rPr>
                <w:sz w:val="14"/>
              </w:rPr>
            </w:pPr>
            <w:r>
              <w:rPr>
                <w:w w:val="95"/>
                <w:sz w:val="14"/>
              </w:rPr>
              <w:t>20,00</w:t>
            </w:r>
          </w:p>
        </w:tc>
        <w:tc>
          <w:tcPr>
            <w:tcW w:w="1608" w:type="dxa"/>
          </w:tcPr>
          <w:p>
            <w:pPr>
              <w:pStyle w:val="TableParagraph"/>
              <w:spacing w:before="38"/>
              <w:ind w:right="59"/>
              <w:jc w:val="right"/>
              <w:rPr>
                <w:sz w:val="14"/>
              </w:rPr>
            </w:pPr>
            <w:r>
              <w:rPr>
                <w:w w:val="95"/>
                <w:sz w:val="14"/>
              </w:rPr>
              <w:t>133.563.595</w:t>
            </w:r>
          </w:p>
        </w:tc>
        <w:tc>
          <w:tcPr>
            <w:tcW w:w="945" w:type="dxa"/>
          </w:tcPr>
          <w:p>
            <w:pPr>
              <w:pStyle w:val="TableParagraph"/>
              <w:spacing w:before="38"/>
              <w:ind w:right="58"/>
              <w:jc w:val="right"/>
              <w:rPr>
                <w:sz w:val="14"/>
              </w:rPr>
            </w:pPr>
            <w:r>
              <w:rPr>
                <w:w w:val="95"/>
                <w:sz w:val="14"/>
              </w:rPr>
              <w:t>183.929</w:t>
            </w:r>
          </w:p>
        </w:tc>
        <w:tc>
          <w:tcPr>
            <w:tcW w:w="943" w:type="dxa"/>
          </w:tcPr>
          <w:p>
            <w:pPr>
              <w:pStyle w:val="TableParagraph"/>
              <w:spacing w:before="38"/>
              <w:ind w:right="57"/>
              <w:jc w:val="right"/>
              <w:rPr>
                <w:sz w:val="14"/>
              </w:rPr>
            </w:pPr>
            <w:r>
              <w:rPr>
                <w:w w:val="95"/>
                <w:sz w:val="14"/>
              </w:rPr>
              <w:t>179.176</w:t>
            </w:r>
          </w:p>
        </w:tc>
      </w:tr>
      <w:tr>
        <w:trPr>
          <w:trHeight w:val="237" w:hRule="atLeast"/>
        </w:trPr>
        <w:tc>
          <w:tcPr>
            <w:tcW w:w="1772" w:type="dxa"/>
          </w:tcPr>
          <w:p>
            <w:pPr>
              <w:pStyle w:val="TableParagraph"/>
              <w:spacing w:before="36"/>
              <w:ind w:left="72"/>
              <w:rPr>
                <w:sz w:val="14"/>
              </w:rPr>
            </w:pPr>
            <w:r>
              <w:rPr>
                <w:sz w:val="14"/>
              </w:rPr>
              <w:t>Energética</w:t>
            </w:r>
            <w:r>
              <w:rPr>
                <w:spacing w:val="-25"/>
                <w:sz w:val="14"/>
              </w:rPr>
              <w:t> </w:t>
            </w:r>
            <w:r>
              <w:rPr>
                <w:sz w:val="14"/>
              </w:rPr>
              <w:t>Corumbá</w:t>
            </w:r>
            <w:r>
              <w:rPr>
                <w:spacing w:val="-25"/>
                <w:sz w:val="14"/>
              </w:rPr>
              <w:t> </w:t>
            </w:r>
            <w:r>
              <w:rPr>
                <w:sz w:val="14"/>
              </w:rPr>
              <w:t>III</w:t>
            </w:r>
            <w:r>
              <w:rPr>
                <w:spacing w:val="-24"/>
                <w:sz w:val="14"/>
              </w:rPr>
              <w:t> </w:t>
            </w:r>
            <w:r>
              <w:rPr>
                <w:sz w:val="14"/>
              </w:rPr>
              <w:t>S.A.</w:t>
            </w:r>
          </w:p>
        </w:tc>
        <w:tc>
          <w:tcPr>
            <w:tcW w:w="1191" w:type="dxa"/>
          </w:tcPr>
          <w:p>
            <w:pPr>
              <w:pStyle w:val="TableParagraph"/>
              <w:spacing w:before="36"/>
              <w:ind w:right="58"/>
              <w:jc w:val="right"/>
              <w:rPr>
                <w:sz w:val="14"/>
              </w:rPr>
            </w:pPr>
            <w:r>
              <w:rPr>
                <w:w w:val="95"/>
                <w:sz w:val="14"/>
              </w:rPr>
              <w:t>121.586</w:t>
            </w:r>
          </w:p>
        </w:tc>
        <w:tc>
          <w:tcPr>
            <w:tcW w:w="986" w:type="dxa"/>
          </w:tcPr>
          <w:p>
            <w:pPr>
              <w:pStyle w:val="TableParagraph"/>
              <w:spacing w:before="36"/>
              <w:ind w:right="57"/>
              <w:jc w:val="right"/>
              <w:rPr>
                <w:sz w:val="14"/>
              </w:rPr>
            </w:pPr>
            <w:r>
              <w:rPr>
                <w:w w:val="95"/>
                <w:sz w:val="14"/>
              </w:rPr>
              <w:t>178.056</w:t>
            </w:r>
          </w:p>
        </w:tc>
        <w:tc>
          <w:tcPr>
            <w:tcW w:w="1231" w:type="dxa"/>
          </w:tcPr>
          <w:p>
            <w:pPr>
              <w:pStyle w:val="TableParagraph"/>
              <w:spacing w:before="36"/>
              <w:ind w:right="57"/>
              <w:jc w:val="right"/>
              <w:rPr>
                <w:sz w:val="14"/>
              </w:rPr>
            </w:pPr>
            <w:r>
              <w:rPr>
                <w:w w:val="95"/>
                <w:sz w:val="14"/>
              </w:rPr>
              <w:t>37,50</w:t>
            </w:r>
          </w:p>
        </w:tc>
        <w:tc>
          <w:tcPr>
            <w:tcW w:w="1291" w:type="dxa"/>
          </w:tcPr>
          <w:p>
            <w:pPr>
              <w:pStyle w:val="TableParagraph"/>
              <w:spacing w:before="36"/>
              <w:ind w:right="56"/>
              <w:jc w:val="right"/>
              <w:rPr>
                <w:sz w:val="14"/>
              </w:rPr>
            </w:pPr>
            <w:r>
              <w:rPr>
                <w:w w:val="95"/>
                <w:sz w:val="14"/>
              </w:rPr>
              <w:t>25,00</w:t>
            </w:r>
          </w:p>
        </w:tc>
        <w:tc>
          <w:tcPr>
            <w:tcW w:w="1608" w:type="dxa"/>
          </w:tcPr>
          <w:p>
            <w:pPr>
              <w:pStyle w:val="TableParagraph"/>
              <w:spacing w:before="36"/>
              <w:ind w:right="59"/>
              <w:jc w:val="right"/>
              <w:rPr>
                <w:sz w:val="14"/>
              </w:rPr>
            </w:pPr>
            <w:r>
              <w:rPr>
                <w:w w:val="95"/>
                <w:sz w:val="14"/>
              </w:rPr>
              <w:t>45.594.783</w:t>
            </w:r>
          </w:p>
        </w:tc>
        <w:tc>
          <w:tcPr>
            <w:tcW w:w="945" w:type="dxa"/>
          </w:tcPr>
          <w:p>
            <w:pPr>
              <w:pStyle w:val="TableParagraph"/>
              <w:spacing w:before="36"/>
              <w:ind w:right="57"/>
              <w:jc w:val="right"/>
              <w:rPr>
                <w:sz w:val="14"/>
              </w:rPr>
            </w:pPr>
            <w:r>
              <w:rPr>
                <w:w w:val="95"/>
                <w:sz w:val="14"/>
              </w:rPr>
              <w:t>64.736</w:t>
            </w:r>
          </w:p>
        </w:tc>
        <w:tc>
          <w:tcPr>
            <w:tcW w:w="943" w:type="dxa"/>
          </w:tcPr>
          <w:p>
            <w:pPr>
              <w:pStyle w:val="TableParagraph"/>
              <w:spacing w:before="36"/>
              <w:ind w:right="57"/>
              <w:jc w:val="right"/>
              <w:rPr>
                <w:sz w:val="14"/>
              </w:rPr>
            </w:pPr>
            <w:r>
              <w:rPr>
                <w:w w:val="95"/>
                <w:sz w:val="14"/>
              </w:rPr>
              <w:t>62.593</w:t>
            </w:r>
          </w:p>
        </w:tc>
      </w:tr>
      <w:tr>
        <w:trPr>
          <w:trHeight w:val="239" w:hRule="atLeast"/>
        </w:trPr>
        <w:tc>
          <w:tcPr>
            <w:tcW w:w="1772" w:type="dxa"/>
          </w:tcPr>
          <w:p>
            <w:pPr>
              <w:pStyle w:val="TableParagraph"/>
              <w:spacing w:before="37"/>
              <w:ind w:left="72"/>
              <w:rPr>
                <w:rFonts w:ascii="Caladea"/>
                <w:b/>
                <w:sz w:val="14"/>
              </w:rPr>
            </w:pPr>
            <w:r>
              <w:rPr>
                <w:rFonts w:ascii="Caladea"/>
                <w:b/>
                <w:sz w:val="14"/>
              </w:rPr>
              <w:t>Total</w:t>
            </w:r>
          </w:p>
        </w:tc>
        <w:tc>
          <w:tcPr>
            <w:tcW w:w="1191" w:type="dxa"/>
            <w:shd w:val="clear" w:color="auto" w:fill="D9D9D9"/>
          </w:tcPr>
          <w:p>
            <w:pPr>
              <w:pStyle w:val="TableParagraph"/>
              <w:rPr>
                <w:rFonts w:ascii="Times New Roman"/>
                <w:sz w:val="14"/>
              </w:rPr>
            </w:pPr>
          </w:p>
        </w:tc>
        <w:tc>
          <w:tcPr>
            <w:tcW w:w="986" w:type="dxa"/>
            <w:shd w:val="clear" w:color="auto" w:fill="D9D9D9"/>
          </w:tcPr>
          <w:p>
            <w:pPr>
              <w:pStyle w:val="TableParagraph"/>
              <w:rPr>
                <w:rFonts w:ascii="Times New Roman"/>
                <w:sz w:val="14"/>
              </w:rPr>
            </w:pPr>
          </w:p>
        </w:tc>
        <w:tc>
          <w:tcPr>
            <w:tcW w:w="1231" w:type="dxa"/>
            <w:shd w:val="clear" w:color="auto" w:fill="D9D9D9"/>
          </w:tcPr>
          <w:p>
            <w:pPr>
              <w:pStyle w:val="TableParagraph"/>
              <w:rPr>
                <w:rFonts w:ascii="Times New Roman"/>
                <w:sz w:val="14"/>
              </w:rPr>
            </w:pPr>
          </w:p>
        </w:tc>
        <w:tc>
          <w:tcPr>
            <w:tcW w:w="1291" w:type="dxa"/>
            <w:shd w:val="clear" w:color="auto" w:fill="D9D9D9"/>
          </w:tcPr>
          <w:p>
            <w:pPr>
              <w:pStyle w:val="TableParagraph"/>
              <w:rPr>
                <w:rFonts w:ascii="Times New Roman"/>
                <w:sz w:val="14"/>
              </w:rPr>
            </w:pPr>
          </w:p>
        </w:tc>
        <w:tc>
          <w:tcPr>
            <w:tcW w:w="1608" w:type="dxa"/>
            <w:shd w:val="clear" w:color="auto" w:fill="D9D9D9"/>
          </w:tcPr>
          <w:p>
            <w:pPr>
              <w:pStyle w:val="TableParagraph"/>
              <w:rPr>
                <w:rFonts w:ascii="Times New Roman"/>
                <w:sz w:val="14"/>
              </w:rPr>
            </w:pPr>
          </w:p>
        </w:tc>
        <w:tc>
          <w:tcPr>
            <w:tcW w:w="945" w:type="dxa"/>
          </w:tcPr>
          <w:p>
            <w:pPr>
              <w:pStyle w:val="TableParagraph"/>
              <w:spacing w:before="37"/>
              <w:ind w:right="58"/>
              <w:jc w:val="right"/>
              <w:rPr>
                <w:rFonts w:ascii="Caladea"/>
                <w:b/>
                <w:sz w:val="14"/>
              </w:rPr>
            </w:pPr>
            <w:r>
              <w:rPr>
                <w:rFonts w:ascii="Caladea"/>
                <w:b/>
                <w:w w:val="95"/>
                <w:sz w:val="14"/>
              </w:rPr>
              <w:t>356.377</w:t>
            </w:r>
          </w:p>
        </w:tc>
        <w:tc>
          <w:tcPr>
            <w:tcW w:w="943" w:type="dxa"/>
          </w:tcPr>
          <w:p>
            <w:pPr>
              <w:pStyle w:val="TableParagraph"/>
              <w:spacing w:before="37"/>
              <w:ind w:right="57"/>
              <w:jc w:val="right"/>
              <w:rPr>
                <w:rFonts w:ascii="Caladea"/>
                <w:b/>
                <w:sz w:val="14"/>
              </w:rPr>
            </w:pPr>
            <w:r>
              <w:rPr>
                <w:rFonts w:ascii="Caladea"/>
                <w:b/>
                <w:w w:val="95"/>
                <w:sz w:val="14"/>
              </w:rPr>
              <w:t>334.158</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24"/>
        </w:numPr>
        <w:tabs>
          <w:tab w:pos="1026" w:val="left" w:leader="none"/>
        </w:tabs>
        <w:spacing w:line="240" w:lineRule="auto" w:before="14" w:after="0"/>
        <w:ind w:left="1025" w:right="0" w:hanging="854"/>
        <w:jc w:val="left"/>
      </w:pPr>
      <w:r>
        <w:rPr/>
        <w:t>Informações financeiras</w:t>
      </w:r>
      <w:r>
        <w:rPr>
          <w:spacing w:val="-3"/>
        </w:rPr>
        <w:t> </w:t>
      </w:r>
      <w:r>
        <w:rPr/>
        <w:t>resumidas</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22"/>
        <w:gridCol w:w="1169"/>
        <w:gridCol w:w="1172"/>
        <w:gridCol w:w="1172"/>
        <w:gridCol w:w="1170"/>
        <w:gridCol w:w="1173"/>
        <w:gridCol w:w="1172"/>
      </w:tblGrid>
      <w:tr>
        <w:trPr>
          <w:trHeight w:val="165" w:hRule="atLeast"/>
        </w:trPr>
        <w:tc>
          <w:tcPr>
            <w:tcW w:w="2922" w:type="dxa"/>
            <w:vMerge w:val="restart"/>
            <w:shd w:val="clear" w:color="auto" w:fill="D9D9D9"/>
          </w:tcPr>
          <w:p>
            <w:pPr>
              <w:pStyle w:val="TableParagraph"/>
              <w:spacing w:before="109"/>
              <w:ind w:left="72"/>
              <w:rPr>
                <w:rFonts w:ascii="Caladea"/>
                <w:b/>
                <w:sz w:val="14"/>
              </w:rPr>
            </w:pPr>
            <w:r>
              <w:rPr>
                <w:rFonts w:ascii="Caladea"/>
                <w:b/>
                <w:sz w:val="14"/>
              </w:rPr>
              <w:t>Investidas</w:t>
            </w:r>
          </w:p>
        </w:tc>
        <w:tc>
          <w:tcPr>
            <w:tcW w:w="3513" w:type="dxa"/>
            <w:gridSpan w:val="3"/>
          </w:tcPr>
          <w:p>
            <w:pPr>
              <w:pStyle w:val="TableParagraph"/>
              <w:spacing w:line="145" w:lineRule="exact"/>
              <w:ind w:left="1331" w:right="1327"/>
              <w:jc w:val="center"/>
              <w:rPr>
                <w:rFonts w:ascii="Caladea"/>
                <w:b/>
                <w:sz w:val="14"/>
              </w:rPr>
            </w:pPr>
            <w:r>
              <w:rPr>
                <w:rFonts w:ascii="Caladea"/>
                <w:b/>
                <w:sz w:val="14"/>
              </w:rPr>
              <w:t>31/12/2019</w:t>
            </w:r>
          </w:p>
        </w:tc>
        <w:tc>
          <w:tcPr>
            <w:tcW w:w="3515" w:type="dxa"/>
            <w:gridSpan w:val="3"/>
          </w:tcPr>
          <w:p>
            <w:pPr>
              <w:pStyle w:val="TableParagraph"/>
              <w:spacing w:line="145" w:lineRule="exact"/>
              <w:ind w:left="1330" w:right="1329"/>
              <w:jc w:val="center"/>
              <w:rPr>
                <w:rFonts w:ascii="Caladea"/>
                <w:b/>
                <w:sz w:val="14"/>
              </w:rPr>
            </w:pPr>
            <w:r>
              <w:rPr>
                <w:rFonts w:ascii="Caladea"/>
                <w:b/>
                <w:sz w:val="14"/>
              </w:rPr>
              <w:t>31/12/2018</w:t>
            </w:r>
          </w:p>
        </w:tc>
      </w:tr>
      <w:tr>
        <w:trPr>
          <w:trHeight w:val="210" w:hRule="atLeast"/>
        </w:trPr>
        <w:tc>
          <w:tcPr>
            <w:tcW w:w="2922" w:type="dxa"/>
            <w:vMerge/>
            <w:tcBorders>
              <w:top w:val="nil"/>
            </w:tcBorders>
            <w:shd w:val="clear" w:color="auto" w:fill="D9D9D9"/>
          </w:tcPr>
          <w:p>
            <w:pPr>
              <w:rPr>
                <w:sz w:val="2"/>
                <w:szCs w:val="2"/>
              </w:rPr>
            </w:pPr>
          </w:p>
        </w:tc>
        <w:tc>
          <w:tcPr>
            <w:tcW w:w="1169" w:type="dxa"/>
          </w:tcPr>
          <w:p>
            <w:pPr>
              <w:pStyle w:val="TableParagraph"/>
              <w:spacing w:before="20"/>
              <w:ind w:left="381"/>
              <w:rPr>
                <w:rFonts w:ascii="Caladea"/>
                <w:b/>
                <w:sz w:val="14"/>
              </w:rPr>
            </w:pPr>
            <w:r>
              <w:rPr>
                <w:rFonts w:ascii="Caladea"/>
                <w:b/>
                <w:sz w:val="14"/>
              </w:rPr>
              <w:t>Ativos</w:t>
            </w:r>
          </w:p>
        </w:tc>
        <w:tc>
          <w:tcPr>
            <w:tcW w:w="1172" w:type="dxa"/>
          </w:tcPr>
          <w:p>
            <w:pPr>
              <w:pStyle w:val="TableParagraph"/>
              <w:spacing w:before="20"/>
              <w:ind w:left="308"/>
              <w:rPr>
                <w:rFonts w:ascii="Caladea"/>
                <w:b/>
                <w:sz w:val="14"/>
              </w:rPr>
            </w:pPr>
            <w:r>
              <w:rPr>
                <w:rFonts w:ascii="Caladea"/>
                <w:b/>
                <w:sz w:val="14"/>
              </w:rPr>
              <w:t>Passivos</w:t>
            </w:r>
          </w:p>
        </w:tc>
        <w:tc>
          <w:tcPr>
            <w:tcW w:w="1172" w:type="dxa"/>
          </w:tcPr>
          <w:p>
            <w:pPr>
              <w:pStyle w:val="TableParagraph"/>
              <w:spacing w:before="20"/>
              <w:ind w:right="79"/>
              <w:jc w:val="right"/>
              <w:rPr>
                <w:rFonts w:ascii="Caladea" w:hAnsi="Caladea"/>
                <w:b/>
                <w:sz w:val="14"/>
              </w:rPr>
            </w:pPr>
            <w:r>
              <w:rPr>
                <w:rFonts w:ascii="Caladea" w:hAnsi="Caladea"/>
                <w:b/>
                <w:sz w:val="14"/>
              </w:rPr>
              <w:t>Receita Líquida</w:t>
            </w:r>
          </w:p>
        </w:tc>
        <w:tc>
          <w:tcPr>
            <w:tcW w:w="1170" w:type="dxa"/>
          </w:tcPr>
          <w:p>
            <w:pPr>
              <w:pStyle w:val="TableParagraph"/>
              <w:spacing w:before="20"/>
              <w:ind w:left="379"/>
              <w:rPr>
                <w:rFonts w:ascii="Caladea"/>
                <w:b/>
                <w:sz w:val="14"/>
              </w:rPr>
            </w:pPr>
            <w:r>
              <w:rPr>
                <w:rFonts w:ascii="Caladea"/>
                <w:b/>
                <w:sz w:val="14"/>
              </w:rPr>
              <w:t>Ativos</w:t>
            </w:r>
          </w:p>
        </w:tc>
        <w:tc>
          <w:tcPr>
            <w:tcW w:w="1173" w:type="dxa"/>
          </w:tcPr>
          <w:p>
            <w:pPr>
              <w:pStyle w:val="TableParagraph"/>
              <w:spacing w:before="20"/>
              <w:ind w:left="307"/>
              <w:rPr>
                <w:rFonts w:ascii="Caladea"/>
                <w:b/>
                <w:sz w:val="14"/>
              </w:rPr>
            </w:pPr>
            <w:r>
              <w:rPr>
                <w:rFonts w:ascii="Caladea"/>
                <w:b/>
                <w:sz w:val="14"/>
              </w:rPr>
              <w:t>Passivos</w:t>
            </w:r>
          </w:p>
        </w:tc>
        <w:tc>
          <w:tcPr>
            <w:tcW w:w="1172" w:type="dxa"/>
          </w:tcPr>
          <w:p>
            <w:pPr>
              <w:pStyle w:val="TableParagraph"/>
              <w:spacing w:before="20"/>
              <w:ind w:right="82"/>
              <w:jc w:val="right"/>
              <w:rPr>
                <w:rFonts w:ascii="Caladea" w:hAnsi="Caladea"/>
                <w:b/>
                <w:sz w:val="14"/>
              </w:rPr>
            </w:pPr>
            <w:r>
              <w:rPr>
                <w:rFonts w:ascii="Caladea" w:hAnsi="Caladea"/>
                <w:b/>
                <w:sz w:val="14"/>
              </w:rPr>
              <w:t>Receita Líquida</w:t>
            </w:r>
          </w:p>
        </w:tc>
      </w:tr>
      <w:tr>
        <w:trPr>
          <w:trHeight w:val="174" w:hRule="atLeast"/>
        </w:trPr>
        <w:tc>
          <w:tcPr>
            <w:tcW w:w="2922" w:type="dxa"/>
          </w:tcPr>
          <w:p>
            <w:pPr>
              <w:pStyle w:val="TableParagraph"/>
              <w:spacing w:line="150" w:lineRule="exact" w:before="5"/>
              <w:ind w:left="72"/>
              <w:rPr>
                <w:sz w:val="14"/>
              </w:rPr>
            </w:pPr>
            <w:r>
              <w:rPr>
                <w:sz w:val="14"/>
              </w:rPr>
              <w:t>CEB Distribuição S.A.</w:t>
            </w:r>
          </w:p>
        </w:tc>
        <w:tc>
          <w:tcPr>
            <w:tcW w:w="1169" w:type="dxa"/>
          </w:tcPr>
          <w:p>
            <w:pPr>
              <w:pStyle w:val="TableParagraph"/>
              <w:spacing w:line="150" w:lineRule="exact" w:before="5"/>
              <w:ind w:right="59"/>
              <w:jc w:val="right"/>
              <w:rPr>
                <w:sz w:val="14"/>
              </w:rPr>
            </w:pPr>
            <w:r>
              <w:rPr>
                <w:w w:val="95"/>
                <w:sz w:val="14"/>
              </w:rPr>
              <w:t>2.966.303</w:t>
            </w:r>
          </w:p>
        </w:tc>
        <w:tc>
          <w:tcPr>
            <w:tcW w:w="1172" w:type="dxa"/>
          </w:tcPr>
          <w:p>
            <w:pPr>
              <w:pStyle w:val="TableParagraph"/>
              <w:spacing w:line="150" w:lineRule="exact" w:before="5"/>
              <w:ind w:right="60"/>
              <w:jc w:val="right"/>
              <w:rPr>
                <w:sz w:val="14"/>
              </w:rPr>
            </w:pPr>
            <w:r>
              <w:rPr>
                <w:w w:val="95"/>
                <w:sz w:val="14"/>
              </w:rPr>
              <w:t>2.378.430</w:t>
            </w:r>
          </w:p>
        </w:tc>
        <w:tc>
          <w:tcPr>
            <w:tcW w:w="1172" w:type="dxa"/>
          </w:tcPr>
          <w:p>
            <w:pPr>
              <w:pStyle w:val="TableParagraph"/>
              <w:spacing w:line="150" w:lineRule="exact" w:before="5"/>
              <w:ind w:right="61"/>
              <w:jc w:val="right"/>
              <w:rPr>
                <w:sz w:val="14"/>
              </w:rPr>
            </w:pPr>
            <w:r>
              <w:rPr>
                <w:w w:val="95"/>
                <w:sz w:val="14"/>
              </w:rPr>
              <w:t>2.585.578</w:t>
            </w:r>
          </w:p>
        </w:tc>
        <w:tc>
          <w:tcPr>
            <w:tcW w:w="1170" w:type="dxa"/>
          </w:tcPr>
          <w:p>
            <w:pPr>
              <w:pStyle w:val="TableParagraph"/>
              <w:spacing w:line="150" w:lineRule="exact" w:before="5"/>
              <w:ind w:right="62"/>
              <w:jc w:val="right"/>
              <w:rPr>
                <w:sz w:val="14"/>
              </w:rPr>
            </w:pPr>
            <w:r>
              <w:rPr>
                <w:w w:val="95"/>
                <w:sz w:val="14"/>
              </w:rPr>
              <w:t>3.041.731</w:t>
            </w:r>
          </w:p>
        </w:tc>
        <w:tc>
          <w:tcPr>
            <w:tcW w:w="1173" w:type="dxa"/>
          </w:tcPr>
          <w:p>
            <w:pPr>
              <w:pStyle w:val="TableParagraph"/>
              <w:spacing w:line="150" w:lineRule="exact" w:before="5"/>
              <w:ind w:right="63"/>
              <w:jc w:val="right"/>
              <w:rPr>
                <w:sz w:val="14"/>
              </w:rPr>
            </w:pPr>
            <w:r>
              <w:rPr>
                <w:w w:val="95"/>
                <w:sz w:val="14"/>
              </w:rPr>
              <w:t>2.716.578</w:t>
            </w:r>
          </w:p>
        </w:tc>
        <w:tc>
          <w:tcPr>
            <w:tcW w:w="1172" w:type="dxa"/>
          </w:tcPr>
          <w:p>
            <w:pPr>
              <w:pStyle w:val="TableParagraph"/>
              <w:spacing w:line="150" w:lineRule="exact" w:before="5"/>
              <w:ind w:right="64"/>
              <w:jc w:val="right"/>
              <w:rPr>
                <w:sz w:val="14"/>
              </w:rPr>
            </w:pPr>
            <w:r>
              <w:rPr>
                <w:w w:val="95"/>
                <w:sz w:val="14"/>
              </w:rPr>
              <w:t>2.651.663</w:t>
            </w:r>
          </w:p>
        </w:tc>
      </w:tr>
      <w:tr>
        <w:trPr>
          <w:trHeight w:val="165" w:hRule="atLeast"/>
        </w:trPr>
        <w:tc>
          <w:tcPr>
            <w:tcW w:w="2922" w:type="dxa"/>
          </w:tcPr>
          <w:p>
            <w:pPr>
              <w:pStyle w:val="TableParagraph"/>
              <w:spacing w:line="145" w:lineRule="exact"/>
              <w:ind w:left="72"/>
              <w:rPr>
                <w:sz w:val="14"/>
              </w:rPr>
            </w:pPr>
            <w:r>
              <w:rPr>
                <w:sz w:val="14"/>
              </w:rPr>
              <w:t>Corumbá Concessões S.A.</w:t>
            </w:r>
          </w:p>
        </w:tc>
        <w:tc>
          <w:tcPr>
            <w:tcW w:w="1169" w:type="dxa"/>
          </w:tcPr>
          <w:p>
            <w:pPr>
              <w:pStyle w:val="TableParagraph"/>
              <w:spacing w:line="145" w:lineRule="exact"/>
              <w:ind w:right="60"/>
              <w:jc w:val="right"/>
              <w:rPr>
                <w:sz w:val="14"/>
              </w:rPr>
            </w:pPr>
            <w:r>
              <w:rPr>
                <w:w w:val="95"/>
                <w:sz w:val="14"/>
              </w:rPr>
              <w:t>649.209</w:t>
            </w:r>
          </w:p>
        </w:tc>
        <w:tc>
          <w:tcPr>
            <w:tcW w:w="1172" w:type="dxa"/>
          </w:tcPr>
          <w:p>
            <w:pPr>
              <w:pStyle w:val="TableParagraph"/>
              <w:spacing w:line="145" w:lineRule="exact"/>
              <w:ind w:right="61"/>
              <w:jc w:val="right"/>
              <w:rPr>
                <w:sz w:val="14"/>
              </w:rPr>
            </w:pPr>
            <w:r>
              <w:rPr>
                <w:w w:val="95"/>
                <w:sz w:val="14"/>
              </w:rPr>
              <w:t>628.933</w:t>
            </w:r>
          </w:p>
        </w:tc>
        <w:tc>
          <w:tcPr>
            <w:tcW w:w="1172" w:type="dxa"/>
          </w:tcPr>
          <w:p>
            <w:pPr>
              <w:pStyle w:val="TableParagraph"/>
              <w:spacing w:line="145" w:lineRule="exact"/>
              <w:ind w:right="61"/>
              <w:jc w:val="right"/>
              <w:rPr>
                <w:sz w:val="14"/>
              </w:rPr>
            </w:pPr>
            <w:r>
              <w:rPr>
                <w:w w:val="95"/>
                <w:sz w:val="14"/>
              </w:rPr>
              <w:t>186.122</w:t>
            </w:r>
          </w:p>
        </w:tc>
        <w:tc>
          <w:tcPr>
            <w:tcW w:w="1170" w:type="dxa"/>
          </w:tcPr>
          <w:p>
            <w:pPr>
              <w:pStyle w:val="TableParagraph"/>
              <w:spacing w:line="145" w:lineRule="exact"/>
              <w:ind w:right="62"/>
              <w:jc w:val="right"/>
              <w:rPr>
                <w:sz w:val="14"/>
              </w:rPr>
            </w:pPr>
            <w:r>
              <w:rPr>
                <w:w w:val="95"/>
                <w:sz w:val="14"/>
              </w:rPr>
              <w:t>645.946</w:t>
            </w:r>
          </w:p>
        </w:tc>
        <w:tc>
          <w:tcPr>
            <w:tcW w:w="1173" w:type="dxa"/>
          </w:tcPr>
          <w:p>
            <w:pPr>
              <w:pStyle w:val="TableParagraph"/>
              <w:spacing w:line="145" w:lineRule="exact"/>
              <w:ind w:right="64"/>
              <w:jc w:val="right"/>
              <w:rPr>
                <w:sz w:val="14"/>
              </w:rPr>
            </w:pPr>
            <w:r>
              <w:rPr>
                <w:w w:val="95"/>
                <w:sz w:val="14"/>
              </w:rPr>
              <w:t>519.360</w:t>
            </w:r>
          </w:p>
        </w:tc>
        <w:tc>
          <w:tcPr>
            <w:tcW w:w="1172" w:type="dxa"/>
          </w:tcPr>
          <w:p>
            <w:pPr>
              <w:pStyle w:val="TableParagraph"/>
              <w:spacing w:line="145" w:lineRule="exact"/>
              <w:ind w:right="64"/>
              <w:jc w:val="right"/>
              <w:rPr>
                <w:sz w:val="14"/>
              </w:rPr>
            </w:pPr>
            <w:r>
              <w:rPr>
                <w:w w:val="95"/>
                <w:sz w:val="14"/>
              </w:rPr>
              <w:t>184.305</w:t>
            </w:r>
          </w:p>
        </w:tc>
      </w:tr>
      <w:tr>
        <w:trPr>
          <w:trHeight w:val="162" w:hRule="atLeast"/>
        </w:trPr>
        <w:tc>
          <w:tcPr>
            <w:tcW w:w="2922" w:type="dxa"/>
          </w:tcPr>
          <w:p>
            <w:pPr>
              <w:pStyle w:val="TableParagraph"/>
              <w:spacing w:line="142" w:lineRule="exact"/>
              <w:ind w:left="72"/>
              <w:rPr>
                <w:sz w:val="14"/>
              </w:rPr>
            </w:pPr>
            <w:r>
              <w:rPr>
                <w:sz w:val="14"/>
              </w:rPr>
              <w:t>CEB Lajeado S.A.</w:t>
            </w:r>
          </w:p>
        </w:tc>
        <w:tc>
          <w:tcPr>
            <w:tcW w:w="1169" w:type="dxa"/>
          </w:tcPr>
          <w:p>
            <w:pPr>
              <w:pStyle w:val="TableParagraph"/>
              <w:spacing w:line="142" w:lineRule="exact"/>
              <w:ind w:right="60"/>
              <w:jc w:val="right"/>
              <w:rPr>
                <w:sz w:val="14"/>
              </w:rPr>
            </w:pPr>
            <w:r>
              <w:rPr>
                <w:w w:val="95"/>
                <w:sz w:val="14"/>
              </w:rPr>
              <w:t>364.521</w:t>
            </w:r>
          </w:p>
        </w:tc>
        <w:tc>
          <w:tcPr>
            <w:tcW w:w="1172" w:type="dxa"/>
          </w:tcPr>
          <w:p>
            <w:pPr>
              <w:pStyle w:val="TableParagraph"/>
              <w:spacing w:line="142" w:lineRule="exact"/>
              <w:ind w:right="60"/>
              <w:jc w:val="right"/>
              <w:rPr>
                <w:sz w:val="14"/>
              </w:rPr>
            </w:pPr>
            <w:r>
              <w:rPr>
                <w:w w:val="95"/>
                <w:sz w:val="14"/>
              </w:rPr>
              <w:t>55.956</w:t>
            </w:r>
          </w:p>
        </w:tc>
        <w:tc>
          <w:tcPr>
            <w:tcW w:w="1172" w:type="dxa"/>
          </w:tcPr>
          <w:p>
            <w:pPr>
              <w:pStyle w:val="TableParagraph"/>
              <w:spacing w:line="142" w:lineRule="exact"/>
              <w:ind w:right="61"/>
              <w:jc w:val="right"/>
              <w:rPr>
                <w:sz w:val="14"/>
              </w:rPr>
            </w:pPr>
            <w:r>
              <w:rPr>
                <w:w w:val="95"/>
                <w:sz w:val="14"/>
              </w:rPr>
              <w:t>190.434</w:t>
            </w:r>
          </w:p>
        </w:tc>
        <w:tc>
          <w:tcPr>
            <w:tcW w:w="1170" w:type="dxa"/>
          </w:tcPr>
          <w:p>
            <w:pPr>
              <w:pStyle w:val="TableParagraph"/>
              <w:spacing w:line="142" w:lineRule="exact"/>
              <w:ind w:right="62"/>
              <w:jc w:val="right"/>
              <w:rPr>
                <w:sz w:val="14"/>
              </w:rPr>
            </w:pPr>
            <w:r>
              <w:rPr>
                <w:w w:val="95"/>
                <w:sz w:val="14"/>
              </w:rPr>
              <w:t>328.364</w:t>
            </w:r>
          </w:p>
        </w:tc>
        <w:tc>
          <w:tcPr>
            <w:tcW w:w="1173" w:type="dxa"/>
          </w:tcPr>
          <w:p>
            <w:pPr>
              <w:pStyle w:val="TableParagraph"/>
              <w:spacing w:line="142" w:lineRule="exact"/>
              <w:ind w:right="63"/>
              <w:jc w:val="right"/>
              <w:rPr>
                <w:sz w:val="14"/>
              </w:rPr>
            </w:pPr>
            <w:r>
              <w:rPr>
                <w:w w:val="95"/>
                <w:sz w:val="14"/>
              </w:rPr>
              <w:t>43.184</w:t>
            </w:r>
          </w:p>
        </w:tc>
        <w:tc>
          <w:tcPr>
            <w:tcW w:w="1172" w:type="dxa"/>
          </w:tcPr>
          <w:p>
            <w:pPr>
              <w:pStyle w:val="TableParagraph"/>
              <w:spacing w:line="142" w:lineRule="exact"/>
              <w:ind w:right="64"/>
              <w:jc w:val="right"/>
              <w:rPr>
                <w:sz w:val="14"/>
              </w:rPr>
            </w:pPr>
            <w:r>
              <w:rPr>
                <w:w w:val="95"/>
                <w:sz w:val="14"/>
              </w:rPr>
              <w:t>126.900</w:t>
            </w:r>
          </w:p>
        </w:tc>
      </w:tr>
      <w:tr>
        <w:trPr>
          <w:trHeight w:val="165" w:hRule="atLeast"/>
        </w:trPr>
        <w:tc>
          <w:tcPr>
            <w:tcW w:w="2922" w:type="dxa"/>
          </w:tcPr>
          <w:p>
            <w:pPr>
              <w:pStyle w:val="TableParagraph"/>
              <w:spacing w:line="145" w:lineRule="exact"/>
              <w:ind w:left="72"/>
              <w:rPr>
                <w:sz w:val="14"/>
              </w:rPr>
            </w:pPr>
            <w:r>
              <w:rPr>
                <w:sz w:val="14"/>
              </w:rPr>
              <w:t>Energética Corumbá III S.A.</w:t>
            </w:r>
          </w:p>
        </w:tc>
        <w:tc>
          <w:tcPr>
            <w:tcW w:w="1169" w:type="dxa"/>
          </w:tcPr>
          <w:p>
            <w:pPr>
              <w:pStyle w:val="TableParagraph"/>
              <w:spacing w:line="145" w:lineRule="exact"/>
              <w:ind w:right="60"/>
              <w:jc w:val="right"/>
              <w:rPr>
                <w:sz w:val="14"/>
              </w:rPr>
            </w:pPr>
            <w:r>
              <w:rPr>
                <w:w w:val="95"/>
                <w:sz w:val="14"/>
              </w:rPr>
              <w:t>234.254</w:t>
            </w:r>
          </w:p>
        </w:tc>
        <w:tc>
          <w:tcPr>
            <w:tcW w:w="1172" w:type="dxa"/>
          </w:tcPr>
          <w:p>
            <w:pPr>
              <w:pStyle w:val="TableParagraph"/>
              <w:spacing w:line="145" w:lineRule="exact"/>
              <w:ind w:right="61"/>
              <w:jc w:val="right"/>
              <w:rPr>
                <w:sz w:val="14"/>
              </w:rPr>
            </w:pPr>
            <w:r>
              <w:rPr>
                <w:w w:val="95"/>
                <w:sz w:val="14"/>
              </w:rPr>
              <w:t>61.138</w:t>
            </w:r>
          </w:p>
        </w:tc>
        <w:tc>
          <w:tcPr>
            <w:tcW w:w="1172" w:type="dxa"/>
          </w:tcPr>
          <w:p>
            <w:pPr>
              <w:pStyle w:val="TableParagraph"/>
              <w:spacing w:line="145" w:lineRule="exact"/>
              <w:ind w:right="61"/>
              <w:jc w:val="right"/>
              <w:rPr>
                <w:sz w:val="14"/>
              </w:rPr>
            </w:pPr>
            <w:r>
              <w:rPr>
                <w:w w:val="95"/>
                <w:sz w:val="14"/>
              </w:rPr>
              <w:t>50.708</w:t>
            </w:r>
          </w:p>
        </w:tc>
        <w:tc>
          <w:tcPr>
            <w:tcW w:w="1170" w:type="dxa"/>
          </w:tcPr>
          <w:p>
            <w:pPr>
              <w:pStyle w:val="TableParagraph"/>
              <w:spacing w:line="145" w:lineRule="exact"/>
              <w:ind w:right="62"/>
              <w:jc w:val="right"/>
              <w:rPr>
                <w:sz w:val="14"/>
              </w:rPr>
            </w:pPr>
            <w:r>
              <w:rPr>
                <w:w w:val="95"/>
                <w:sz w:val="14"/>
              </w:rPr>
              <w:t>227.376</w:t>
            </w:r>
          </w:p>
        </w:tc>
        <w:tc>
          <w:tcPr>
            <w:tcW w:w="1173" w:type="dxa"/>
          </w:tcPr>
          <w:p>
            <w:pPr>
              <w:pStyle w:val="TableParagraph"/>
              <w:spacing w:line="145" w:lineRule="exact"/>
              <w:ind w:right="63"/>
              <w:jc w:val="right"/>
              <w:rPr>
                <w:sz w:val="14"/>
              </w:rPr>
            </w:pPr>
            <w:r>
              <w:rPr>
                <w:w w:val="95"/>
                <w:sz w:val="14"/>
              </w:rPr>
              <w:t>64.815</w:t>
            </w:r>
          </w:p>
        </w:tc>
        <w:tc>
          <w:tcPr>
            <w:tcW w:w="1172" w:type="dxa"/>
          </w:tcPr>
          <w:p>
            <w:pPr>
              <w:pStyle w:val="TableParagraph"/>
              <w:spacing w:line="145" w:lineRule="exact"/>
              <w:ind w:right="64"/>
              <w:jc w:val="right"/>
              <w:rPr>
                <w:sz w:val="14"/>
              </w:rPr>
            </w:pPr>
            <w:r>
              <w:rPr>
                <w:w w:val="95"/>
                <w:sz w:val="14"/>
              </w:rPr>
              <w:t>42.817</w:t>
            </w:r>
          </w:p>
        </w:tc>
      </w:tr>
      <w:tr>
        <w:trPr>
          <w:trHeight w:val="162" w:hRule="atLeast"/>
        </w:trPr>
        <w:tc>
          <w:tcPr>
            <w:tcW w:w="2922" w:type="dxa"/>
          </w:tcPr>
          <w:p>
            <w:pPr>
              <w:pStyle w:val="TableParagraph"/>
              <w:spacing w:line="142" w:lineRule="exact"/>
              <w:ind w:left="72"/>
              <w:rPr>
                <w:sz w:val="14"/>
              </w:rPr>
            </w:pPr>
            <w:r>
              <w:rPr>
                <w:sz w:val="14"/>
              </w:rPr>
              <w:t>CEB Participações S.A.</w:t>
            </w:r>
          </w:p>
        </w:tc>
        <w:tc>
          <w:tcPr>
            <w:tcW w:w="1169" w:type="dxa"/>
          </w:tcPr>
          <w:p>
            <w:pPr>
              <w:pStyle w:val="TableParagraph"/>
              <w:spacing w:line="142" w:lineRule="exact"/>
              <w:ind w:right="60"/>
              <w:jc w:val="right"/>
              <w:rPr>
                <w:sz w:val="14"/>
              </w:rPr>
            </w:pPr>
            <w:r>
              <w:rPr>
                <w:w w:val="95"/>
                <w:sz w:val="14"/>
              </w:rPr>
              <w:t>42.913</w:t>
            </w:r>
          </w:p>
        </w:tc>
        <w:tc>
          <w:tcPr>
            <w:tcW w:w="1172" w:type="dxa"/>
          </w:tcPr>
          <w:p>
            <w:pPr>
              <w:pStyle w:val="TableParagraph"/>
              <w:spacing w:line="142" w:lineRule="exact"/>
              <w:ind w:right="61"/>
              <w:jc w:val="right"/>
              <w:rPr>
                <w:sz w:val="14"/>
              </w:rPr>
            </w:pPr>
            <w:r>
              <w:rPr>
                <w:w w:val="95"/>
                <w:sz w:val="14"/>
              </w:rPr>
              <w:t>3.719</w:t>
            </w:r>
          </w:p>
        </w:tc>
        <w:tc>
          <w:tcPr>
            <w:tcW w:w="1172" w:type="dxa"/>
          </w:tcPr>
          <w:p>
            <w:pPr>
              <w:pStyle w:val="TableParagraph"/>
              <w:spacing w:line="142" w:lineRule="exact"/>
              <w:ind w:right="61"/>
              <w:jc w:val="right"/>
              <w:rPr>
                <w:sz w:val="14"/>
              </w:rPr>
            </w:pPr>
            <w:r>
              <w:rPr>
                <w:w w:val="95"/>
                <w:sz w:val="14"/>
              </w:rPr>
              <w:t>25.195</w:t>
            </w:r>
          </w:p>
        </w:tc>
        <w:tc>
          <w:tcPr>
            <w:tcW w:w="1170" w:type="dxa"/>
          </w:tcPr>
          <w:p>
            <w:pPr>
              <w:pStyle w:val="TableParagraph"/>
              <w:spacing w:line="142" w:lineRule="exact"/>
              <w:ind w:right="62"/>
              <w:jc w:val="right"/>
              <w:rPr>
                <w:sz w:val="14"/>
              </w:rPr>
            </w:pPr>
            <w:r>
              <w:rPr>
                <w:w w:val="95"/>
                <w:sz w:val="14"/>
              </w:rPr>
              <w:t>38.662</w:t>
            </w:r>
          </w:p>
        </w:tc>
        <w:tc>
          <w:tcPr>
            <w:tcW w:w="1173" w:type="dxa"/>
          </w:tcPr>
          <w:p>
            <w:pPr>
              <w:pStyle w:val="TableParagraph"/>
              <w:spacing w:line="142" w:lineRule="exact"/>
              <w:ind w:right="63"/>
              <w:jc w:val="right"/>
              <w:rPr>
                <w:sz w:val="14"/>
              </w:rPr>
            </w:pPr>
            <w:r>
              <w:rPr>
                <w:w w:val="95"/>
                <w:sz w:val="14"/>
              </w:rPr>
              <w:t>3.196</w:t>
            </w:r>
          </w:p>
        </w:tc>
        <w:tc>
          <w:tcPr>
            <w:tcW w:w="1172" w:type="dxa"/>
          </w:tcPr>
          <w:p>
            <w:pPr>
              <w:pStyle w:val="TableParagraph"/>
              <w:spacing w:line="142" w:lineRule="exact"/>
              <w:ind w:right="64"/>
              <w:jc w:val="right"/>
              <w:rPr>
                <w:sz w:val="14"/>
              </w:rPr>
            </w:pPr>
            <w:r>
              <w:rPr>
                <w:w w:val="95"/>
                <w:sz w:val="14"/>
              </w:rPr>
              <w:t>16.209</w:t>
            </w:r>
          </w:p>
        </w:tc>
      </w:tr>
      <w:tr>
        <w:trPr>
          <w:trHeight w:val="165" w:hRule="atLeast"/>
        </w:trPr>
        <w:tc>
          <w:tcPr>
            <w:tcW w:w="2922" w:type="dxa"/>
          </w:tcPr>
          <w:p>
            <w:pPr>
              <w:pStyle w:val="TableParagraph"/>
              <w:spacing w:line="142" w:lineRule="exact" w:before="2"/>
              <w:ind w:left="72"/>
              <w:rPr>
                <w:sz w:val="14"/>
              </w:rPr>
            </w:pPr>
            <w:r>
              <w:rPr>
                <w:sz w:val="14"/>
              </w:rPr>
              <w:t>CEB Geração S.A.</w:t>
            </w:r>
          </w:p>
        </w:tc>
        <w:tc>
          <w:tcPr>
            <w:tcW w:w="1169" w:type="dxa"/>
          </w:tcPr>
          <w:p>
            <w:pPr>
              <w:pStyle w:val="TableParagraph"/>
              <w:spacing w:line="142" w:lineRule="exact" w:before="2"/>
              <w:ind w:right="60"/>
              <w:jc w:val="right"/>
              <w:rPr>
                <w:sz w:val="14"/>
              </w:rPr>
            </w:pPr>
            <w:r>
              <w:rPr>
                <w:w w:val="95"/>
                <w:sz w:val="14"/>
              </w:rPr>
              <w:t>32.783</w:t>
            </w:r>
          </w:p>
        </w:tc>
        <w:tc>
          <w:tcPr>
            <w:tcW w:w="1172" w:type="dxa"/>
          </w:tcPr>
          <w:p>
            <w:pPr>
              <w:pStyle w:val="TableParagraph"/>
              <w:spacing w:line="142" w:lineRule="exact" w:before="2"/>
              <w:ind w:right="61"/>
              <w:jc w:val="right"/>
              <w:rPr>
                <w:sz w:val="14"/>
              </w:rPr>
            </w:pPr>
            <w:r>
              <w:rPr>
                <w:w w:val="95"/>
                <w:sz w:val="14"/>
              </w:rPr>
              <w:t>7.226</w:t>
            </w:r>
          </w:p>
        </w:tc>
        <w:tc>
          <w:tcPr>
            <w:tcW w:w="1172" w:type="dxa"/>
          </w:tcPr>
          <w:p>
            <w:pPr>
              <w:pStyle w:val="TableParagraph"/>
              <w:spacing w:line="142" w:lineRule="exact" w:before="2"/>
              <w:ind w:right="61"/>
              <w:jc w:val="right"/>
              <w:rPr>
                <w:sz w:val="14"/>
              </w:rPr>
            </w:pPr>
            <w:r>
              <w:rPr>
                <w:w w:val="95"/>
                <w:sz w:val="14"/>
              </w:rPr>
              <w:t>23.478</w:t>
            </w:r>
          </w:p>
        </w:tc>
        <w:tc>
          <w:tcPr>
            <w:tcW w:w="1170" w:type="dxa"/>
          </w:tcPr>
          <w:p>
            <w:pPr>
              <w:pStyle w:val="TableParagraph"/>
              <w:spacing w:line="142" w:lineRule="exact" w:before="2"/>
              <w:ind w:right="62"/>
              <w:jc w:val="right"/>
              <w:rPr>
                <w:sz w:val="14"/>
              </w:rPr>
            </w:pPr>
            <w:r>
              <w:rPr>
                <w:w w:val="95"/>
                <w:sz w:val="14"/>
              </w:rPr>
              <w:t>90.563</w:t>
            </w:r>
          </w:p>
        </w:tc>
        <w:tc>
          <w:tcPr>
            <w:tcW w:w="1173" w:type="dxa"/>
          </w:tcPr>
          <w:p>
            <w:pPr>
              <w:pStyle w:val="TableParagraph"/>
              <w:spacing w:line="142" w:lineRule="exact" w:before="2"/>
              <w:ind w:right="63"/>
              <w:jc w:val="right"/>
              <w:rPr>
                <w:sz w:val="14"/>
              </w:rPr>
            </w:pPr>
            <w:r>
              <w:rPr>
                <w:w w:val="95"/>
                <w:sz w:val="14"/>
              </w:rPr>
              <w:t>2.316</w:t>
            </w:r>
          </w:p>
        </w:tc>
        <w:tc>
          <w:tcPr>
            <w:tcW w:w="1172" w:type="dxa"/>
          </w:tcPr>
          <w:p>
            <w:pPr>
              <w:pStyle w:val="TableParagraph"/>
              <w:spacing w:line="142" w:lineRule="exact" w:before="2"/>
              <w:ind w:right="64"/>
              <w:jc w:val="right"/>
              <w:rPr>
                <w:sz w:val="14"/>
              </w:rPr>
            </w:pPr>
            <w:r>
              <w:rPr>
                <w:w w:val="95"/>
                <w:sz w:val="14"/>
              </w:rPr>
              <w:t>14.718</w:t>
            </w:r>
          </w:p>
        </w:tc>
      </w:tr>
      <w:tr>
        <w:trPr>
          <w:trHeight w:val="165" w:hRule="atLeast"/>
        </w:trPr>
        <w:tc>
          <w:tcPr>
            <w:tcW w:w="2922" w:type="dxa"/>
          </w:tcPr>
          <w:p>
            <w:pPr>
              <w:pStyle w:val="TableParagraph"/>
              <w:spacing w:line="145" w:lineRule="exact"/>
              <w:ind w:left="72"/>
              <w:rPr>
                <w:sz w:val="14"/>
              </w:rPr>
            </w:pPr>
            <w:r>
              <w:rPr>
                <w:sz w:val="14"/>
              </w:rPr>
              <w:t>Companhia Brasiliense de Gás S.A.</w:t>
            </w:r>
          </w:p>
        </w:tc>
        <w:tc>
          <w:tcPr>
            <w:tcW w:w="1169" w:type="dxa"/>
          </w:tcPr>
          <w:p>
            <w:pPr>
              <w:pStyle w:val="TableParagraph"/>
              <w:spacing w:line="145" w:lineRule="exact"/>
              <w:ind w:right="60"/>
              <w:jc w:val="right"/>
              <w:rPr>
                <w:sz w:val="14"/>
              </w:rPr>
            </w:pPr>
            <w:r>
              <w:rPr>
                <w:w w:val="95"/>
                <w:sz w:val="14"/>
              </w:rPr>
              <w:t>1.149</w:t>
            </w:r>
          </w:p>
        </w:tc>
        <w:tc>
          <w:tcPr>
            <w:tcW w:w="1172" w:type="dxa"/>
          </w:tcPr>
          <w:p>
            <w:pPr>
              <w:pStyle w:val="TableParagraph"/>
              <w:spacing w:line="145" w:lineRule="exact"/>
              <w:ind w:right="61"/>
              <w:jc w:val="right"/>
              <w:rPr>
                <w:sz w:val="14"/>
              </w:rPr>
            </w:pPr>
            <w:r>
              <w:rPr>
                <w:w w:val="105"/>
                <w:sz w:val="14"/>
              </w:rPr>
              <w:t>400</w:t>
            </w:r>
          </w:p>
        </w:tc>
        <w:tc>
          <w:tcPr>
            <w:tcW w:w="1172" w:type="dxa"/>
          </w:tcPr>
          <w:p>
            <w:pPr>
              <w:pStyle w:val="TableParagraph"/>
              <w:spacing w:line="145" w:lineRule="exact"/>
              <w:ind w:right="61"/>
              <w:jc w:val="right"/>
              <w:rPr>
                <w:sz w:val="14"/>
              </w:rPr>
            </w:pPr>
            <w:r>
              <w:rPr>
                <w:w w:val="95"/>
                <w:sz w:val="14"/>
              </w:rPr>
              <w:t>5.359</w:t>
            </w:r>
          </w:p>
        </w:tc>
        <w:tc>
          <w:tcPr>
            <w:tcW w:w="1170" w:type="dxa"/>
          </w:tcPr>
          <w:p>
            <w:pPr>
              <w:pStyle w:val="TableParagraph"/>
              <w:spacing w:line="145" w:lineRule="exact"/>
              <w:ind w:right="62"/>
              <w:jc w:val="right"/>
              <w:rPr>
                <w:sz w:val="14"/>
              </w:rPr>
            </w:pPr>
            <w:r>
              <w:rPr>
                <w:w w:val="95"/>
                <w:sz w:val="14"/>
              </w:rPr>
              <w:t>1.437</w:t>
            </w:r>
          </w:p>
        </w:tc>
        <w:tc>
          <w:tcPr>
            <w:tcW w:w="1173" w:type="dxa"/>
          </w:tcPr>
          <w:p>
            <w:pPr>
              <w:pStyle w:val="TableParagraph"/>
              <w:spacing w:line="145" w:lineRule="exact"/>
              <w:ind w:right="64"/>
              <w:jc w:val="right"/>
              <w:rPr>
                <w:sz w:val="14"/>
              </w:rPr>
            </w:pPr>
            <w:r>
              <w:rPr>
                <w:w w:val="105"/>
                <w:sz w:val="14"/>
              </w:rPr>
              <w:t>319</w:t>
            </w:r>
          </w:p>
        </w:tc>
        <w:tc>
          <w:tcPr>
            <w:tcW w:w="1172" w:type="dxa"/>
          </w:tcPr>
          <w:p>
            <w:pPr>
              <w:pStyle w:val="TableParagraph"/>
              <w:spacing w:line="145" w:lineRule="exact"/>
              <w:ind w:right="64"/>
              <w:jc w:val="right"/>
              <w:rPr>
                <w:sz w:val="14"/>
              </w:rPr>
            </w:pPr>
            <w:r>
              <w:rPr>
                <w:w w:val="95"/>
                <w:sz w:val="14"/>
              </w:rPr>
              <w:t>2.834</w:t>
            </w:r>
          </w:p>
        </w:tc>
      </w:tr>
    </w:tbl>
    <w:p>
      <w:pPr>
        <w:pStyle w:val="BodyText"/>
        <w:spacing w:before="7"/>
        <w:rPr>
          <w:rFonts w:ascii="Caladea"/>
          <w:b/>
        </w:rPr>
      </w:pPr>
    </w:p>
    <w:p>
      <w:pPr>
        <w:pStyle w:val="ListParagraph"/>
        <w:numPr>
          <w:ilvl w:val="2"/>
          <w:numId w:val="24"/>
        </w:numPr>
        <w:tabs>
          <w:tab w:pos="1026" w:val="left" w:leader="none"/>
        </w:tabs>
        <w:spacing w:line="240" w:lineRule="auto" w:before="0" w:after="0"/>
        <w:ind w:left="1025" w:right="0" w:hanging="854"/>
        <w:jc w:val="left"/>
        <w:rPr>
          <w:rFonts w:ascii="Caladea" w:hAnsi="Caladea"/>
          <w:b/>
          <w:sz w:val="22"/>
        </w:rPr>
      </w:pPr>
      <w:r>
        <w:rPr>
          <w:rFonts w:ascii="Caladea" w:hAnsi="Caladea"/>
          <w:b/>
          <w:sz w:val="22"/>
        </w:rPr>
        <w:t>Resultado dos investimentos avaliados por equivalência</w:t>
      </w:r>
      <w:r>
        <w:rPr>
          <w:rFonts w:ascii="Caladea" w:hAnsi="Caladea"/>
          <w:b/>
          <w:spacing w:val="-8"/>
          <w:sz w:val="22"/>
        </w:rPr>
        <w:t> </w:t>
      </w:r>
      <w:r>
        <w:rPr>
          <w:rFonts w:ascii="Caladea" w:hAnsi="Caladea"/>
          <w:b/>
          <w:sz w:val="22"/>
        </w:rPr>
        <w:t>patrimonial</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11"/>
        <w:gridCol w:w="1880"/>
        <w:gridCol w:w="1995"/>
        <w:gridCol w:w="1880"/>
        <w:gridCol w:w="1951"/>
      </w:tblGrid>
      <w:tr>
        <w:trPr>
          <w:trHeight w:val="239" w:hRule="atLeast"/>
        </w:trPr>
        <w:tc>
          <w:tcPr>
            <w:tcW w:w="2211" w:type="dxa"/>
            <w:vMerge w:val="restart"/>
            <w:shd w:val="clear" w:color="auto" w:fill="D7D7D7"/>
          </w:tcPr>
          <w:p>
            <w:pPr>
              <w:pStyle w:val="TableParagraph"/>
              <w:rPr>
                <w:rFonts w:ascii="Caladea"/>
                <w:b/>
                <w:sz w:val="16"/>
              </w:rPr>
            </w:pPr>
          </w:p>
          <w:p>
            <w:pPr>
              <w:pStyle w:val="TableParagraph"/>
              <w:spacing w:before="142"/>
              <w:ind w:left="72"/>
              <w:rPr>
                <w:rFonts w:ascii="Caladea"/>
                <w:b/>
                <w:sz w:val="14"/>
              </w:rPr>
            </w:pPr>
            <w:r>
              <w:rPr>
                <w:rFonts w:ascii="Caladea"/>
                <w:b/>
                <w:sz w:val="14"/>
              </w:rPr>
              <w:t>Investidas</w:t>
            </w:r>
          </w:p>
        </w:tc>
        <w:tc>
          <w:tcPr>
            <w:tcW w:w="7706" w:type="dxa"/>
            <w:gridSpan w:val="4"/>
          </w:tcPr>
          <w:p>
            <w:pPr>
              <w:pStyle w:val="TableParagraph"/>
              <w:spacing w:before="37"/>
              <w:ind w:left="3401" w:right="3393"/>
              <w:jc w:val="center"/>
              <w:rPr>
                <w:rFonts w:ascii="Caladea"/>
                <w:b/>
                <w:sz w:val="14"/>
              </w:rPr>
            </w:pPr>
            <w:r>
              <w:rPr>
                <w:rFonts w:ascii="Caladea"/>
                <w:b/>
                <w:sz w:val="14"/>
              </w:rPr>
              <w:t>Controladora</w:t>
            </w:r>
          </w:p>
        </w:tc>
      </w:tr>
      <w:tr>
        <w:trPr>
          <w:trHeight w:val="237" w:hRule="atLeast"/>
        </w:trPr>
        <w:tc>
          <w:tcPr>
            <w:tcW w:w="2211" w:type="dxa"/>
            <w:vMerge/>
            <w:tcBorders>
              <w:top w:val="nil"/>
            </w:tcBorders>
            <w:shd w:val="clear" w:color="auto" w:fill="D7D7D7"/>
          </w:tcPr>
          <w:p>
            <w:pPr>
              <w:rPr>
                <w:sz w:val="2"/>
                <w:szCs w:val="2"/>
              </w:rPr>
            </w:pPr>
          </w:p>
        </w:tc>
        <w:tc>
          <w:tcPr>
            <w:tcW w:w="3875" w:type="dxa"/>
            <w:gridSpan w:val="2"/>
          </w:tcPr>
          <w:p>
            <w:pPr>
              <w:pStyle w:val="TableParagraph"/>
              <w:spacing w:before="34"/>
              <w:ind w:left="1514" w:right="1506"/>
              <w:jc w:val="center"/>
              <w:rPr>
                <w:rFonts w:ascii="Caladea"/>
                <w:b/>
                <w:sz w:val="14"/>
              </w:rPr>
            </w:pPr>
            <w:r>
              <w:rPr>
                <w:rFonts w:ascii="Caladea"/>
                <w:b/>
                <w:sz w:val="14"/>
              </w:rPr>
              <w:t>31/12/2019</w:t>
            </w:r>
          </w:p>
        </w:tc>
        <w:tc>
          <w:tcPr>
            <w:tcW w:w="3831" w:type="dxa"/>
            <w:gridSpan w:val="2"/>
          </w:tcPr>
          <w:p>
            <w:pPr>
              <w:pStyle w:val="TableParagraph"/>
              <w:spacing w:before="34"/>
              <w:ind w:left="1491" w:right="1484"/>
              <w:jc w:val="center"/>
              <w:rPr>
                <w:rFonts w:ascii="Caladea"/>
                <w:b/>
                <w:sz w:val="14"/>
              </w:rPr>
            </w:pPr>
            <w:r>
              <w:rPr>
                <w:rFonts w:ascii="Caladea"/>
                <w:b/>
                <w:sz w:val="14"/>
              </w:rPr>
              <w:t>31/12/2018</w:t>
            </w:r>
          </w:p>
        </w:tc>
      </w:tr>
      <w:tr>
        <w:trPr>
          <w:trHeight w:val="328" w:hRule="atLeast"/>
        </w:trPr>
        <w:tc>
          <w:tcPr>
            <w:tcW w:w="2211" w:type="dxa"/>
            <w:vMerge/>
            <w:tcBorders>
              <w:top w:val="nil"/>
            </w:tcBorders>
            <w:shd w:val="clear" w:color="auto" w:fill="D7D7D7"/>
          </w:tcPr>
          <w:p>
            <w:pPr>
              <w:rPr>
                <w:sz w:val="2"/>
                <w:szCs w:val="2"/>
              </w:rPr>
            </w:pPr>
          </w:p>
        </w:tc>
        <w:tc>
          <w:tcPr>
            <w:tcW w:w="1880" w:type="dxa"/>
          </w:tcPr>
          <w:p>
            <w:pPr>
              <w:pStyle w:val="TableParagraph"/>
              <w:spacing w:line="164" w:lineRule="exact"/>
              <w:ind w:left="588" w:right="52" w:hanging="474"/>
              <w:rPr>
                <w:rFonts w:ascii="Caladea" w:hAnsi="Caladea"/>
                <w:b/>
                <w:sz w:val="14"/>
              </w:rPr>
            </w:pPr>
            <w:r>
              <w:rPr>
                <w:rFonts w:ascii="Caladea" w:hAnsi="Caladea"/>
                <w:b/>
                <w:sz w:val="14"/>
              </w:rPr>
              <w:t>Lucro Líquido / (Prejuízo) do Período</w:t>
            </w:r>
          </w:p>
        </w:tc>
        <w:tc>
          <w:tcPr>
            <w:tcW w:w="1995" w:type="dxa"/>
          </w:tcPr>
          <w:p>
            <w:pPr>
              <w:pStyle w:val="TableParagraph"/>
              <w:spacing w:line="164" w:lineRule="exact"/>
              <w:ind w:left="611" w:hanging="444"/>
              <w:rPr>
                <w:rFonts w:ascii="Caladea" w:hAnsi="Caladea"/>
                <w:b/>
                <w:sz w:val="14"/>
              </w:rPr>
            </w:pPr>
            <w:r>
              <w:rPr>
                <w:rFonts w:ascii="Caladea" w:hAnsi="Caladea"/>
                <w:b/>
                <w:sz w:val="14"/>
              </w:rPr>
              <w:t>Resultado de Equivalência Patrimonial</w:t>
            </w:r>
          </w:p>
        </w:tc>
        <w:tc>
          <w:tcPr>
            <w:tcW w:w="1880" w:type="dxa"/>
          </w:tcPr>
          <w:p>
            <w:pPr>
              <w:pStyle w:val="TableParagraph"/>
              <w:spacing w:line="164" w:lineRule="exact"/>
              <w:ind w:left="587" w:right="52" w:hanging="473"/>
              <w:rPr>
                <w:rFonts w:ascii="Caladea" w:hAnsi="Caladea"/>
                <w:b/>
                <w:sz w:val="14"/>
              </w:rPr>
            </w:pPr>
            <w:r>
              <w:rPr>
                <w:rFonts w:ascii="Caladea" w:hAnsi="Caladea"/>
                <w:b/>
                <w:sz w:val="14"/>
              </w:rPr>
              <w:t>Lucro Líquido / (Prejuízo) do Período</w:t>
            </w:r>
          </w:p>
        </w:tc>
        <w:tc>
          <w:tcPr>
            <w:tcW w:w="1951" w:type="dxa"/>
          </w:tcPr>
          <w:p>
            <w:pPr>
              <w:pStyle w:val="TableParagraph"/>
              <w:spacing w:line="164" w:lineRule="exact"/>
              <w:ind w:left="589" w:hanging="444"/>
              <w:rPr>
                <w:rFonts w:ascii="Caladea" w:hAnsi="Caladea"/>
                <w:b/>
                <w:sz w:val="14"/>
              </w:rPr>
            </w:pPr>
            <w:r>
              <w:rPr>
                <w:rFonts w:ascii="Caladea" w:hAnsi="Caladea"/>
                <w:b/>
                <w:sz w:val="14"/>
              </w:rPr>
              <w:t>Resultado de Equivalência Patrimonial</w:t>
            </w:r>
          </w:p>
        </w:tc>
      </w:tr>
      <w:tr>
        <w:trPr>
          <w:trHeight w:val="237" w:hRule="atLeast"/>
        </w:trPr>
        <w:tc>
          <w:tcPr>
            <w:tcW w:w="2211" w:type="dxa"/>
          </w:tcPr>
          <w:p>
            <w:pPr>
              <w:pStyle w:val="TableParagraph"/>
              <w:spacing w:before="37"/>
              <w:ind w:left="103"/>
              <w:rPr>
                <w:sz w:val="14"/>
              </w:rPr>
            </w:pPr>
            <w:r>
              <w:rPr>
                <w:sz w:val="14"/>
              </w:rPr>
              <w:t>CEB Distribuição S.A.</w:t>
            </w:r>
          </w:p>
        </w:tc>
        <w:tc>
          <w:tcPr>
            <w:tcW w:w="1880" w:type="dxa"/>
          </w:tcPr>
          <w:p>
            <w:pPr>
              <w:pStyle w:val="TableParagraph"/>
              <w:spacing w:before="37"/>
              <w:ind w:right="57"/>
              <w:jc w:val="right"/>
              <w:rPr>
                <w:sz w:val="14"/>
              </w:rPr>
            </w:pPr>
            <w:r>
              <w:rPr>
                <w:w w:val="95"/>
                <w:sz w:val="14"/>
              </w:rPr>
              <w:t>41.892</w:t>
            </w:r>
          </w:p>
        </w:tc>
        <w:tc>
          <w:tcPr>
            <w:tcW w:w="1995" w:type="dxa"/>
          </w:tcPr>
          <w:p>
            <w:pPr>
              <w:pStyle w:val="TableParagraph"/>
              <w:spacing w:before="37"/>
              <w:ind w:right="60"/>
              <w:jc w:val="right"/>
              <w:rPr>
                <w:sz w:val="14"/>
              </w:rPr>
            </w:pPr>
            <w:r>
              <w:rPr>
                <w:w w:val="95"/>
                <w:sz w:val="14"/>
              </w:rPr>
              <w:t>41.892</w:t>
            </w:r>
          </w:p>
        </w:tc>
        <w:tc>
          <w:tcPr>
            <w:tcW w:w="1880" w:type="dxa"/>
          </w:tcPr>
          <w:p>
            <w:pPr>
              <w:pStyle w:val="TableParagraph"/>
              <w:spacing w:before="37"/>
              <w:ind w:right="58"/>
              <w:jc w:val="right"/>
              <w:rPr>
                <w:sz w:val="14"/>
              </w:rPr>
            </w:pPr>
            <w:r>
              <w:rPr>
                <w:sz w:val="14"/>
              </w:rPr>
              <w:t>(33.678)</w:t>
            </w:r>
          </w:p>
        </w:tc>
        <w:tc>
          <w:tcPr>
            <w:tcW w:w="1951" w:type="dxa"/>
          </w:tcPr>
          <w:p>
            <w:pPr>
              <w:pStyle w:val="TableParagraph"/>
              <w:spacing w:before="37"/>
              <w:ind w:right="60"/>
              <w:jc w:val="right"/>
              <w:rPr>
                <w:sz w:val="14"/>
              </w:rPr>
            </w:pPr>
            <w:r>
              <w:rPr>
                <w:sz w:val="14"/>
              </w:rPr>
              <w:t>(33.678)</w:t>
            </w:r>
          </w:p>
        </w:tc>
      </w:tr>
      <w:tr>
        <w:trPr>
          <w:trHeight w:val="237" w:hRule="atLeast"/>
        </w:trPr>
        <w:tc>
          <w:tcPr>
            <w:tcW w:w="2211" w:type="dxa"/>
          </w:tcPr>
          <w:p>
            <w:pPr>
              <w:pStyle w:val="TableParagraph"/>
              <w:spacing w:before="38"/>
              <w:ind w:left="103"/>
              <w:rPr>
                <w:sz w:val="14"/>
              </w:rPr>
            </w:pPr>
            <w:r>
              <w:rPr>
                <w:sz w:val="14"/>
              </w:rPr>
              <w:t>CEB Lajeado S.A.</w:t>
            </w:r>
          </w:p>
        </w:tc>
        <w:tc>
          <w:tcPr>
            <w:tcW w:w="1880" w:type="dxa"/>
          </w:tcPr>
          <w:p>
            <w:pPr>
              <w:pStyle w:val="TableParagraph"/>
              <w:spacing w:before="38"/>
              <w:ind w:right="57"/>
              <w:jc w:val="right"/>
              <w:rPr>
                <w:sz w:val="14"/>
              </w:rPr>
            </w:pPr>
            <w:r>
              <w:rPr>
                <w:w w:val="95"/>
                <w:sz w:val="14"/>
              </w:rPr>
              <w:t>68.612</w:t>
            </w:r>
          </w:p>
        </w:tc>
        <w:tc>
          <w:tcPr>
            <w:tcW w:w="1995" w:type="dxa"/>
          </w:tcPr>
          <w:p>
            <w:pPr>
              <w:pStyle w:val="TableParagraph"/>
              <w:spacing w:before="38"/>
              <w:ind w:right="60"/>
              <w:jc w:val="right"/>
              <w:rPr>
                <w:sz w:val="14"/>
              </w:rPr>
            </w:pPr>
            <w:r>
              <w:rPr>
                <w:w w:val="95"/>
                <w:sz w:val="14"/>
              </w:rPr>
              <w:t>38.370</w:t>
            </w:r>
          </w:p>
        </w:tc>
        <w:tc>
          <w:tcPr>
            <w:tcW w:w="1880" w:type="dxa"/>
          </w:tcPr>
          <w:p>
            <w:pPr>
              <w:pStyle w:val="TableParagraph"/>
              <w:spacing w:before="38"/>
              <w:ind w:right="58"/>
              <w:jc w:val="right"/>
              <w:rPr>
                <w:sz w:val="14"/>
              </w:rPr>
            </w:pPr>
            <w:r>
              <w:rPr>
                <w:w w:val="95"/>
                <w:sz w:val="14"/>
              </w:rPr>
              <w:t>47.150</w:t>
            </w:r>
          </w:p>
        </w:tc>
        <w:tc>
          <w:tcPr>
            <w:tcW w:w="1951" w:type="dxa"/>
          </w:tcPr>
          <w:p>
            <w:pPr>
              <w:pStyle w:val="TableParagraph"/>
              <w:spacing w:before="38"/>
              <w:ind w:right="60"/>
              <w:jc w:val="right"/>
              <w:rPr>
                <w:sz w:val="14"/>
              </w:rPr>
            </w:pPr>
            <w:r>
              <w:rPr>
                <w:w w:val="95"/>
                <w:sz w:val="14"/>
              </w:rPr>
              <w:t>26.370</w:t>
            </w:r>
          </w:p>
        </w:tc>
      </w:tr>
      <w:tr>
        <w:trPr>
          <w:trHeight w:val="239" w:hRule="atLeast"/>
        </w:trPr>
        <w:tc>
          <w:tcPr>
            <w:tcW w:w="2211" w:type="dxa"/>
          </w:tcPr>
          <w:p>
            <w:pPr>
              <w:pStyle w:val="TableParagraph"/>
              <w:spacing w:before="38"/>
              <w:ind w:left="103"/>
              <w:rPr>
                <w:sz w:val="14"/>
              </w:rPr>
            </w:pPr>
            <w:r>
              <w:rPr>
                <w:sz w:val="14"/>
              </w:rPr>
              <w:t>Energética Corumbá III S.A.</w:t>
            </w:r>
          </w:p>
        </w:tc>
        <w:tc>
          <w:tcPr>
            <w:tcW w:w="1880" w:type="dxa"/>
          </w:tcPr>
          <w:p>
            <w:pPr>
              <w:pStyle w:val="TableParagraph"/>
              <w:spacing w:before="38"/>
              <w:ind w:right="58"/>
              <w:jc w:val="right"/>
              <w:rPr>
                <w:sz w:val="14"/>
              </w:rPr>
            </w:pPr>
            <w:r>
              <w:rPr>
                <w:w w:val="95"/>
                <w:sz w:val="14"/>
              </w:rPr>
              <w:t>19.761</w:t>
            </w:r>
          </w:p>
        </w:tc>
        <w:tc>
          <w:tcPr>
            <w:tcW w:w="1995" w:type="dxa"/>
          </w:tcPr>
          <w:p>
            <w:pPr>
              <w:pStyle w:val="TableParagraph"/>
              <w:spacing w:before="38"/>
              <w:ind w:right="60"/>
              <w:jc w:val="right"/>
              <w:rPr>
                <w:sz w:val="14"/>
              </w:rPr>
            </w:pPr>
            <w:r>
              <w:rPr>
                <w:w w:val="95"/>
                <w:sz w:val="14"/>
              </w:rPr>
              <w:t>7.592</w:t>
            </w:r>
          </w:p>
        </w:tc>
        <w:tc>
          <w:tcPr>
            <w:tcW w:w="1880" w:type="dxa"/>
          </w:tcPr>
          <w:p>
            <w:pPr>
              <w:pStyle w:val="TableParagraph"/>
              <w:spacing w:before="38"/>
              <w:ind w:right="58"/>
              <w:jc w:val="right"/>
              <w:rPr>
                <w:sz w:val="14"/>
              </w:rPr>
            </w:pPr>
            <w:r>
              <w:rPr>
                <w:w w:val="95"/>
                <w:sz w:val="14"/>
              </w:rPr>
              <w:t>13.901</w:t>
            </w:r>
          </w:p>
        </w:tc>
        <w:tc>
          <w:tcPr>
            <w:tcW w:w="1951" w:type="dxa"/>
          </w:tcPr>
          <w:p>
            <w:pPr>
              <w:pStyle w:val="TableParagraph"/>
              <w:spacing w:before="38"/>
              <w:ind w:right="60"/>
              <w:jc w:val="right"/>
              <w:rPr>
                <w:sz w:val="14"/>
              </w:rPr>
            </w:pPr>
            <w:r>
              <w:rPr>
                <w:w w:val="95"/>
                <w:sz w:val="14"/>
              </w:rPr>
              <w:t>5.212</w:t>
            </w:r>
          </w:p>
        </w:tc>
      </w:tr>
      <w:tr>
        <w:trPr>
          <w:trHeight w:val="237" w:hRule="atLeast"/>
        </w:trPr>
        <w:tc>
          <w:tcPr>
            <w:tcW w:w="2211" w:type="dxa"/>
          </w:tcPr>
          <w:p>
            <w:pPr>
              <w:pStyle w:val="TableParagraph"/>
              <w:spacing w:before="36"/>
              <w:ind w:left="103"/>
              <w:rPr>
                <w:sz w:val="14"/>
              </w:rPr>
            </w:pPr>
            <w:r>
              <w:rPr>
                <w:sz w:val="14"/>
              </w:rPr>
              <w:t>CEB Geração S.A.</w:t>
            </w:r>
          </w:p>
        </w:tc>
        <w:tc>
          <w:tcPr>
            <w:tcW w:w="1880" w:type="dxa"/>
          </w:tcPr>
          <w:p>
            <w:pPr>
              <w:pStyle w:val="TableParagraph"/>
              <w:spacing w:before="36"/>
              <w:ind w:right="57"/>
              <w:jc w:val="right"/>
              <w:rPr>
                <w:sz w:val="14"/>
              </w:rPr>
            </w:pPr>
            <w:r>
              <w:rPr>
                <w:w w:val="95"/>
                <w:sz w:val="14"/>
              </w:rPr>
              <w:t>9.295</w:t>
            </w:r>
          </w:p>
        </w:tc>
        <w:tc>
          <w:tcPr>
            <w:tcW w:w="1995" w:type="dxa"/>
          </w:tcPr>
          <w:p>
            <w:pPr>
              <w:pStyle w:val="TableParagraph"/>
              <w:spacing w:before="36"/>
              <w:ind w:right="60"/>
              <w:jc w:val="right"/>
              <w:rPr>
                <w:sz w:val="14"/>
              </w:rPr>
            </w:pPr>
            <w:r>
              <w:rPr>
                <w:w w:val="95"/>
                <w:sz w:val="14"/>
              </w:rPr>
              <w:t>9.295</w:t>
            </w:r>
          </w:p>
        </w:tc>
        <w:tc>
          <w:tcPr>
            <w:tcW w:w="1880" w:type="dxa"/>
          </w:tcPr>
          <w:p>
            <w:pPr>
              <w:pStyle w:val="TableParagraph"/>
              <w:spacing w:before="36"/>
              <w:ind w:right="58"/>
              <w:jc w:val="right"/>
              <w:rPr>
                <w:sz w:val="14"/>
              </w:rPr>
            </w:pPr>
            <w:r>
              <w:rPr>
                <w:w w:val="95"/>
                <w:sz w:val="14"/>
              </w:rPr>
              <w:t>56.009</w:t>
            </w:r>
          </w:p>
        </w:tc>
        <w:tc>
          <w:tcPr>
            <w:tcW w:w="1951" w:type="dxa"/>
          </w:tcPr>
          <w:p>
            <w:pPr>
              <w:pStyle w:val="TableParagraph"/>
              <w:spacing w:before="36"/>
              <w:ind w:right="60"/>
              <w:jc w:val="right"/>
              <w:rPr>
                <w:sz w:val="14"/>
              </w:rPr>
            </w:pPr>
            <w:r>
              <w:rPr>
                <w:w w:val="95"/>
                <w:sz w:val="14"/>
              </w:rPr>
              <w:t>56.009</w:t>
            </w:r>
          </w:p>
        </w:tc>
      </w:tr>
      <w:tr>
        <w:trPr>
          <w:trHeight w:val="237" w:hRule="atLeast"/>
        </w:trPr>
        <w:tc>
          <w:tcPr>
            <w:tcW w:w="2211" w:type="dxa"/>
          </w:tcPr>
          <w:p>
            <w:pPr>
              <w:pStyle w:val="TableParagraph"/>
              <w:spacing w:before="38"/>
              <w:ind w:left="103"/>
              <w:rPr>
                <w:sz w:val="14"/>
              </w:rPr>
            </w:pPr>
            <w:r>
              <w:rPr>
                <w:sz w:val="14"/>
              </w:rPr>
              <w:t>Corumbá Concessões S.A.</w:t>
            </w:r>
          </w:p>
        </w:tc>
        <w:tc>
          <w:tcPr>
            <w:tcW w:w="1880" w:type="dxa"/>
          </w:tcPr>
          <w:p>
            <w:pPr>
              <w:pStyle w:val="TableParagraph"/>
              <w:spacing w:before="38"/>
              <w:ind w:right="57"/>
              <w:jc w:val="right"/>
              <w:rPr>
                <w:sz w:val="14"/>
              </w:rPr>
            </w:pPr>
            <w:r>
              <w:rPr>
                <w:w w:val="95"/>
                <w:sz w:val="14"/>
              </w:rPr>
              <w:t>20.276</w:t>
            </w:r>
          </w:p>
        </w:tc>
        <w:tc>
          <w:tcPr>
            <w:tcW w:w="1995" w:type="dxa"/>
          </w:tcPr>
          <w:p>
            <w:pPr>
              <w:pStyle w:val="TableParagraph"/>
              <w:spacing w:before="38"/>
              <w:ind w:right="60"/>
              <w:jc w:val="right"/>
              <w:rPr>
                <w:sz w:val="14"/>
              </w:rPr>
            </w:pPr>
            <w:r>
              <w:rPr>
                <w:w w:val="95"/>
                <w:sz w:val="14"/>
              </w:rPr>
              <w:t>6.564</w:t>
            </w:r>
          </w:p>
        </w:tc>
        <w:tc>
          <w:tcPr>
            <w:tcW w:w="1880" w:type="dxa"/>
          </w:tcPr>
          <w:p>
            <w:pPr>
              <w:pStyle w:val="TableParagraph"/>
              <w:spacing w:before="38"/>
              <w:ind w:right="58"/>
              <w:jc w:val="right"/>
              <w:rPr>
                <w:sz w:val="14"/>
              </w:rPr>
            </w:pPr>
            <w:r>
              <w:rPr>
                <w:w w:val="95"/>
                <w:sz w:val="14"/>
              </w:rPr>
              <w:t>40.000</w:t>
            </w:r>
          </w:p>
        </w:tc>
        <w:tc>
          <w:tcPr>
            <w:tcW w:w="1951" w:type="dxa"/>
          </w:tcPr>
          <w:p>
            <w:pPr>
              <w:pStyle w:val="TableParagraph"/>
              <w:spacing w:before="38"/>
              <w:ind w:right="60"/>
              <w:jc w:val="right"/>
              <w:rPr>
                <w:sz w:val="14"/>
              </w:rPr>
            </w:pPr>
            <w:r>
              <w:rPr>
                <w:w w:val="95"/>
                <w:sz w:val="14"/>
              </w:rPr>
              <w:t>18.084</w:t>
            </w:r>
          </w:p>
        </w:tc>
      </w:tr>
      <w:tr>
        <w:trPr>
          <w:trHeight w:val="239" w:hRule="atLeast"/>
        </w:trPr>
        <w:tc>
          <w:tcPr>
            <w:tcW w:w="2211" w:type="dxa"/>
          </w:tcPr>
          <w:p>
            <w:pPr>
              <w:pStyle w:val="TableParagraph"/>
              <w:spacing w:before="38"/>
              <w:ind w:left="103"/>
              <w:rPr>
                <w:sz w:val="14"/>
              </w:rPr>
            </w:pPr>
            <w:r>
              <w:rPr>
                <w:sz w:val="14"/>
              </w:rPr>
              <w:t>CEB Participações S.A.</w:t>
            </w:r>
          </w:p>
        </w:tc>
        <w:tc>
          <w:tcPr>
            <w:tcW w:w="1880" w:type="dxa"/>
          </w:tcPr>
          <w:p>
            <w:pPr>
              <w:pStyle w:val="TableParagraph"/>
              <w:spacing w:before="38"/>
              <w:ind w:right="57"/>
              <w:jc w:val="right"/>
              <w:rPr>
                <w:sz w:val="14"/>
              </w:rPr>
            </w:pPr>
            <w:r>
              <w:rPr>
                <w:w w:val="95"/>
                <w:sz w:val="14"/>
              </w:rPr>
              <w:t>15.601</w:t>
            </w:r>
          </w:p>
        </w:tc>
        <w:tc>
          <w:tcPr>
            <w:tcW w:w="1995" w:type="dxa"/>
          </w:tcPr>
          <w:p>
            <w:pPr>
              <w:pStyle w:val="TableParagraph"/>
              <w:spacing w:before="38"/>
              <w:ind w:right="60"/>
              <w:jc w:val="right"/>
              <w:rPr>
                <w:sz w:val="14"/>
              </w:rPr>
            </w:pPr>
            <w:r>
              <w:rPr>
                <w:w w:val="95"/>
                <w:sz w:val="14"/>
              </w:rPr>
              <w:t>15.601</w:t>
            </w:r>
          </w:p>
        </w:tc>
        <w:tc>
          <w:tcPr>
            <w:tcW w:w="1880" w:type="dxa"/>
          </w:tcPr>
          <w:p>
            <w:pPr>
              <w:pStyle w:val="TableParagraph"/>
              <w:spacing w:before="38"/>
              <w:ind w:right="58"/>
              <w:jc w:val="right"/>
              <w:rPr>
                <w:sz w:val="14"/>
              </w:rPr>
            </w:pPr>
            <w:r>
              <w:rPr>
                <w:w w:val="95"/>
                <w:sz w:val="14"/>
              </w:rPr>
              <w:t>14.621</w:t>
            </w:r>
          </w:p>
        </w:tc>
        <w:tc>
          <w:tcPr>
            <w:tcW w:w="1951" w:type="dxa"/>
          </w:tcPr>
          <w:p>
            <w:pPr>
              <w:pStyle w:val="TableParagraph"/>
              <w:spacing w:before="38"/>
              <w:ind w:right="60"/>
              <w:jc w:val="right"/>
              <w:rPr>
                <w:sz w:val="14"/>
              </w:rPr>
            </w:pPr>
            <w:r>
              <w:rPr>
                <w:w w:val="95"/>
                <w:sz w:val="14"/>
              </w:rPr>
              <w:t>14.621</w:t>
            </w:r>
          </w:p>
        </w:tc>
      </w:tr>
      <w:tr>
        <w:trPr>
          <w:trHeight w:val="237" w:hRule="atLeast"/>
        </w:trPr>
        <w:tc>
          <w:tcPr>
            <w:tcW w:w="2211" w:type="dxa"/>
          </w:tcPr>
          <w:p>
            <w:pPr>
              <w:pStyle w:val="TableParagraph"/>
              <w:spacing w:before="36"/>
              <w:ind w:left="103"/>
              <w:rPr>
                <w:sz w:val="14"/>
              </w:rPr>
            </w:pPr>
            <w:r>
              <w:rPr>
                <w:sz w:val="14"/>
              </w:rPr>
              <w:t>Companhia</w:t>
            </w:r>
            <w:r>
              <w:rPr>
                <w:spacing w:val="-27"/>
                <w:sz w:val="14"/>
              </w:rPr>
              <w:t> </w:t>
            </w:r>
            <w:r>
              <w:rPr>
                <w:sz w:val="14"/>
              </w:rPr>
              <w:t>Brasiliense</w:t>
            </w:r>
            <w:r>
              <w:rPr>
                <w:spacing w:val="-27"/>
                <w:sz w:val="14"/>
              </w:rPr>
              <w:t> </w:t>
            </w:r>
            <w:r>
              <w:rPr>
                <w:sz w:val="14"/>
              </w:rPr>
              <w:t>de</w:t>
            </w:r>
            <w:r>
              <w:rPr>
                <w:spacing w:val="-26"/>
                <w:sz w:val="14"/>
              </w:rPr>
              <w:t> </w:t>
            </w:r>
            <w:r>
              <w:rPr>
                <w:sz w:val="14"/>
              </w:rPr>
              <w:t>Gás</w:t>
            </w:r>
            <w:r>
              <w:rPr>
                <w:spacing w:val="-26"/>
                <w:sz w:val="14"/>
              </w:rPr>
              <w:t> </w:t>
            </w:r>
            <w:r>
              <w:rPr>
                <w:sz w:val="14"/>
              </w:rPr>
              <w:t>S.A.</w:t>
            </w:r>
          </w:p>
        </w:tc>
        <w:tc>
          <w:tcPr>
            <w:tcW w:w="1880" w:type="dxa"/>
          </w:tcPr>
          <w:p>
            <w:pPr>
              <w:pStyle w:val="TableParagraph"/>
              <w:spacing w:before="36"/>
              <w:ind w:right="58"/>
              <w:jc w:val="right"/>
              <w:rPr>
                <w:sz w:val="14"/>
              </w:rPr>
            </w:pPr>
            <w:r>
              <w:rPr>
                <w:sz w:val="14"/>
              </w:rPr>
              <w:t>(342)</w:t>
            </w:r>
          </w:p>
        </w:tc>
        <w:tc>
          <w:tcPr>
            <w:tcW w:w="1995" w:type="dxa"/>
          </w:tcPr>
          <w:p>
            <w:pPr>
              <w:pStyle w:val="TableParagraph"/>
              <w:spacing w:before="36"/>
              <w:ind w:right="60"/>
              <w:jc w:val="right"/>
              <w:rPr>
                <w:sz w:val="14"/>
              </w:rPr>
            </w:pPr>
            <w:r>
              <w:rPr>
                <w:sz w:val="14"/>
              </w:rPr>
              <w:t>(58)</w:t>
            </w:r>
          </w:p>
        </w:tc>
        <w:tc>
          <w:tcPr>
            <w:tcW w:w="1880" w:type="dxa"/>
          </w:tcPr>
          <w:p>
            <w:pPr>
              <w:pStyle w:val="TableParagraph"/>
              <w:spacing w:before="36"/>
              <w:ind w:right="59"/>
              <w:jc w:val="right"/>
              <w:rPr>
                <w:sz w:val="14"/>
              </w:rPr>
            </w:pPr>
            <w:r>
              <w:rPr>
                <w:sz w:val="14"/>
              </w:rPr>
              <w:t>(342)</w:t>
            </w:r>
          </w:p>
        </w:tc>
        <w:tc>
          <w:tcPr>
            <w:tcW w:w="1951" w:type="dxa"/>
          </w:tcPr>
          <w:p>
            <w:pPr>
              <w:pStyle w:val="TableParagraph"/>
              <w:spacing w:before="36"/>
              <w:ind w:right="60"/>
              <w:jc w:val="right"/>
              <w:rPr>
                <w:sz w:val="14"/>
              </w:rPr>
            </w:pPr>
            <w:r>
              <w:rPr>
                <w:sz w:val="14"/>
              </w:rPr>
              <w:t>(58)</w:t>
            </w:r>
          </w:p>
        </w:tc>
      </w:tr>
      <w:tr>
        <w:trPr>
          <w:trHeight w:val="239" w:hRule="atLeast"/>
        </w:trPr>
        <w:tc>
          <w:tcPr>
            <w:tcW w:w="2211" w:type="dxa"/>
          </w:tcPr>
          <w:p>
            <w:pPr>
              <w:pStyle w:val="TableParagraph"/>
              <w:spacing w:before="37"/>
              <w:ind w:left="103"/>
              <w:rPr>
                <w:rFonts w:ascii="Caladea"/>
                <w:b/>
                <w:sz w:val="14"/>
              </w:rPr>
            </w:pPr>
            <w:r>
              <w:rPr>
                <w:rFonts w:ascii="Caladea"/>
                <w:b/>
                <w:sz w:val="14"/>
              </w:rPr>
              <w:t>Total</w:t>
            </w:r>
          </w:p>
        </w:tc>
        <w:tc>
          <w:tcPr>
            <w:tcW w:w="1880" w:type="dxa"/>
          </w:tcPr>
          <w:p>
            <w:pPr>
              <w:pStyle w:val="TableParagraph"/>
              <w:spacing w:before="37"/>
              <w:ind w:right="58"/>
              <w:jc w:val="right"/>
              <w:rPr>
                <w:rFonts w:ascii="Caladea"/>
                <w:b/>
                <w:sz w:val="14"/>
              </w:rPr>
            </w:pPr>
            <w:r>
              <w:rPr>
                <w:rFonts w:ascii="Caladea"/>
                <w:b/>
                <w:w w:val="95"/>
                <w:sz w:val="14"/>
              </w:rPr>
              <w:t>175.095</w:t>
            </w:r>
          </w:p>
        </w:tc>
        <w:tc>
          <w:tcPr>
            <w:tcW w:w="1995" w:type="dxa"/>
          </w:tcPr>
          <w:p>
            <w:pPr>
              <w:pStyle w:val="TableParagraph"/>
              <w:spacing w:before="37"/>
              <w:ind w:right="59"/>
              <w:jc w:val="right"/>
              <w:rPr>
                <w:rFonts w:ascii="Caladea"/>
                <w:b/>
                <w:sz w:val="14"/>
              </w:rPr>
            </w:pPr>
            <w:r>
              <w:rPr>
                <w:rFonts w:ascii="Caladea"/>
                <w:b/>
                <w:w w:val="95"/>
                <w:sz w:val="14"/>
              </w:rPr>
              <w:t>119.256</w:t>
            </w:r>
          </w:p>
        </w:tc>
        <w:tc>
          <w:tcPr>
            <w:tcW w:w="1880" w:type="dxa"/>
          </w:tcPr>
          <w:p>
            <w:pPr>
              <w:pStyle w:val="TableParagraph"/>
              <w:spacing w:before="37"/>
              <w:ind w:right="59"/>
              <w:jc w:val="right"/>
              <w:rPr>
                <w:rFonts w:ascii="Caladea"/>
                <w:b/>
                <w:sz w:val="14"/>
              </w:rPr>
            </w:pPr>
            <w:r>
              <w:rPr>
                <w:rFonts w:ascii="Caladea"/>
                <w:b/>
                <w:w w:val="95"/>
                <w:sz w:val="14"/>
              </w:rPr>
              <w:t>137.661</w:t>
            </w:r>
          </w:p>
        </w:tc>
        <w:tc>
          <w:tcPr>
            <w:tcW w:w="1951" w:type="dxa"/>
          </w:tcPr>
          <w:p>
            <w:pPr>
              <w:pStyle w:val="TableParagraph"/>
              <w:spacing w:before="37"/>
              <w:ind w:right="60"/>
              <w:jc w:val="right"/>
              <w:rPr>
                <w:rFonts w:ascii="Caladea"/>
                <w:b/>
                <w:sz w:val="14"/>
              </w:rPr>
            </w:pPr>
            <w:r>
              <w:rPr>
                <w:rFonts w:ascii="Caladea"/>
                <w:b/>
                <w:sz w:val="14"/>
              </w:rPr>
              <w:t>86.560</w:t>
            </w:r>
          </w:p>
        </w:tc>
      </w:tr>
    </w:tbl>
    <w:p>
      <w:pPr>
        <w:pStyle w:val="BodyText"/>
        <w:spacing w:before="7"/>
        <w:rPr>
          <w:rFonts w:ascii="Caladea"/>
          <w:b/>
        </w:rPr>
      </w:pPr>
    </w:p>
    <w:p>
      <w:pPr>
        <w:pStyle w:val="BodyText"/>
        <w:spacing w:line="242" w:lineRule="auto"/>
        <w:ind w:left="172"/>
      </w:pPr>
      <w:r>
        <w:rPr/>
        <w:t>O</w:t>
      </w:r>
      <w:r>
        <w:rPr>
          <w:spacing w:val="-34"/>
        </w:rPr>
        <w:t> </w:t>
      </w:r>
      <w:r>
        <w:rPr/>
        <w:t>valor</w:t>
      </w:r>
      <w:r>
        <w:rPr>
          <w:spacing w:val="-33"/>
        </w:rPr>
        <w:t> </w:t>
      </w:r>
      <w:r>
        <w:rPr/>
        <w:t>apresentado</w:t>
      </w:r>
      <w:r>
        <w:rPr>
          <w:spacing w:val="-32"/>
        </w:rPr>
        <w:t> </w:t>
      </w:r>
      <w:r>
        <w:rPr/>
        <w:t>nas</w:t>
      </w:r>
      <w:r>
        <w:rPr>
          <w:spacing w:val="-34"/>
        </w:rPr>
        <w:t> </w:t>
      </w:r>
      <w:r>
        <w:rPr/>
        <w:t>demonstrações</w:t>
      </w:r>
      <w:r>
        <w:rPr>
          <w:spacing w:val="-32"/>
        </w:rPr>
        <w:t> </w:t>
      </w:r>
      <w:r>
        <w:rPr/>
        <w:t>do</w:t>
      </w:r>
      <w:r>
        <w:rPr>
          <w:spacing w:val="-32"/>
        </w:rPr>
        <w:t> </w:t>
      </w:r>
      <w:r>
        <w:rPr/>
        <w:t>resultado</w:t>
      </w:r>
      <w:r>
        <w:rPr>
          <w:spacing w:val="-34"/>
        </w:rPr>
        <w:t> </w:t>
      </w:r>
      <w:r>
        <w:rPr/>
        <w:t>consolidado</w:t>
      </w:r>
      <w:r>
        <w:rPr>
          <w:spacing w:val="-33"/>
        </w:rPr>
        <w:t> </w:t>
      </w:r>
      <w:r>
        <w:rPr/>
        <w:t>refere-se</w:t>
      </w:r>
      <w:r>
        <w:rPr>
          <w:spacing w:val="-33"/>
        </w:rPr>
        <w:t> </w:t>
      </w:r>
      <w:r>
        <w:rPr/>
        <w:t>ao</w:t>
      </w:r>
      <w:r>
        <w:rPr>
          <w:spacing w:val="-33"/>
        </w:rPr>
        <w:t> </w:t>
      </w:r>
      <w:r>
        <w:rPr/>
        <w:t>registro</w:t>
      </w:r>
      <w:r>
        <w:rPr>
          <w:spacing w:val="-32"/>
        </w:rPr>
        <w:t> </w:t>
      </w:r>
      <w:r>
        <w:rPr/>
        <w:t>da</w:t>
      </w:r>
      <w:r>
        <w:rPr>
          <w:spacing w:val="-32"/>
        </w:rPr>
        <w:t> </w:t>
      </w:r>
      <w:r>
        <w:rPr/>
        <w:t>equivalência</w:t>
      </w:r>
      <w:r>
        <w:rPr>
          <w:spacing w:val="-31"/>
        </w:rPr>
        <w:t> </w:t>
      </w:r>
      <w:r>
        <w:rPr/>
        <w:t>patrimonial calculada</w:t>
      </w:r>
      <w:r>
        <w:rPr>
          <w:spacing w:val="-19"/>
        </w:rPr>
        <w:t> </w:t>
      </w:r>
      <w:r>
        <w:rPr/>
        <w:t>sobre</w:t>
      </w:r>
      <w:r>
        <w:rPr>
          <w:spacing w:val="-17"/>
        </w:rPr>
        <w:t> </w:t>
      </w:r>
      <w:r>
        <w:rPr/>
        <w:t>os</w:t>
      </w:r>
      <w:r>
        <w:rPr>
          <w:spacing w:val="-18"/>
        </w:rPr>
        <w:t> </w:t>
      </w:r>
      <w:r>
        <w:rPr/>
        <w:t>resultados</w:t>
      </w:r>
      <w:r>
        <w:rPr>
          <w:spacing w:val="-19"/>
        </w:rPr>
        <w:t> </w:t>
      </w:r>
      <w:r>
        <w:rPr/>
        <w:t>apurados</w:t>
      </w:r>
      <w:r>
        <w:rPr>
          <w:spacing w:val="-18"/>
        </w:rPr>
        <w:t> </w:t>
      </w:r>
      <w:r>
        <w:rPr/>
        <w:t>das</w:t>
      </w:r>
      <w:r>
        <w:rPr>
          <w:spacing w:val="-18"/>
        </w:rPr>
        <w:t> </w:t>
      </w:r>
      <w:r>
        <w:rPr/>
        <w:t>coligadas.</w:t>
      </w:r>
    </w:p>
    <w:p>
      <w:pPr>
        <w:pStyle w:val="BodyText"/>
        <w:spacing w:before="7"/>
      </w:pPr>
    </w:p>
    <w:p>
      <w:pPr>
        <w:pStyle w:val="Heading5"/>
        <w:numPr>
          <w:ilvl w:val="2"/>
          <w:numId w:val="24"/>
        </w:numPr>
        <w:tabs>
          <w:tab w:pos="1026" w:val="left" w:leader="none"/>
        </w:tabs>
        <w:spacing w:line="240" w:lineRule="auto" w:before="0" w:after="0"/>
        <w:ind w:left="1025" w:right="0" w:hanging="854"/>
        <w:jc w:val="left"/>
      </w:pPr>
      <w:r>
        <w:rPr/>
        <w:t>Movimentação dos investimentos avaliados por equivalência</w:t>
      </w:r>
      <w:r>
        <w:rPr>
          <w:spacing w:val="-12"/>
        </w:rPr>
        <w:t> </w:t>
      </w:r>
      <w:r>
        <w:rPr/>
        <w:t>patrimonial</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07"/>
        <w:gridCol w:w="832"/>
        <w:gridCol w:w="813"/>
        <w:gridCol w:w="767"/>
        <w:gridCol w:w="729"/>
        <w:gridCol w:w="887"/>
        <w:gridCol w:w="669"/>
        <w:gridCol w:w="764"/>
        <w:gridCol w:w="939"/>
      </w:tblGrid>
      <w:tr>
        <w:trPr>
          <w:trHeight w:val="237" w:hRule="atLeast"/>
        </w:trPr>
        <w:tc>
          <w:tcPr>
            <w:tcW w:w="3507" w:type="dxa"/>
            <w:vMerge w:val="restart"/>
            <w:shd w:val="clear" w:color="auto" w:fill="D9D9D9"/>
          </w:tcPr>
          <w:p>
            <w:pPr>
              <w:pStyle w:val="TableParagraph"/>
              <w:rPr>
                <w:rFonts w:ascii="Caladea"/>
                <w:b/>
                <w:sz w:val="14"/>
              </w:rPr>
            </w:pPr>
          </w:p>
          <w:p>
            <w:pPr>
              <w:pStyle w:val="TableParagraph"/>
              <w:spacing w:before="6"/>
              <w:rPr>
                <w:rFonts w:ascii="Caladea"/>
                <w:b/>
                <w:sz w:val="14"/>
              </w:rPr>
            </w:pPr>
          </w:p>
          <w:p>
            <w:pPr>
              <w:pStyle w:val="TableParagraph"/>
              <w:spacing w:before="1"/>
              <w:ind w:left="72"/>
              <w:rPr>
                <w:rFonts w:ascii="Caladea"/>
                <w:b/>
                <w:sz w:val="12"/>
              </w:rPr>
            </w:pPr>
            <w:r>
              <w:rPr>
                <w:rFonts w:ascii="Caladea"/>
                <w:b/>
                <w:sz w:val="12"/>
              </w:rPr>
              <w:t>Investidas</w:t>
            </w:r>
          </w:p>
        </w:tc>
        <w:tc>
          <w:tcPr>
            <w:tcW w:w="6400" w:type="dxa"/>
            <w:gridSpan w:val="8"/>
          </w:tcPr>
          <w:p>
            <w:pPr>
              <w:pStyle w:val="TableParagraph"/>
              <w:spacing w:before="49"/>
              <w:ind w:left="2813" w:right="2798"/>
              <w:jc w:val="center"/>
              <w:rPr>
                <w:rFonts w:ascii="Caladea"/>
                <w:b/>
                <w:sz w:val="12"/>
              </w:rPr>
            </w:pPr>
            <w:r>
              <w:rPr>
                <w:rFonts w:ascii="Caladea"/>
                <w:b/>
                <w:sz w:val="12"/>
              </w:rPr>
              <w:t>Controladora</w:t>
            </w:r>
          </w:p>
        </w:tc>
      </w:tr>
      <w:tr>
        <w:trPr>
          <w:trHeight w:val="563" w:hRule="atLeast"/>
        </w:trPr>
        <w:tc>
          <w:tcPr>
            <w:tcW w:w="3507" w:type="dxa"/>
            <w:vMerge/>
            <w:tcBorders>
              <w:top w:val="nil"/>
            </w:tcBorders>
            <w:shd w:val="clear" w:color="auto" w:fill="D9D9D9"/>
          </w:tcPr>
          <w:p>
            <w:pPr>
              <w:rPr>
                <w:sz w:val="2"/>
                <w:szCs w:val="2"/>
              </w:rPr>
            </w:pPr>
          </w:p>
        </w:tc>
        <w:tc>
          <w:tcPr>
            <w:tcW w:w="832" w:type="dxa"/>
          </w:tcPr>
          <w:p>
            <w:pPr>
              <w:pStyle w:val="TableParagraph"/>
              <w:spacing w:before="70"/>
              <w:ind w:left="69" w:right="60"/>
              <w:jc w:val="center"/>
              <w:rPr>
                <w:rFonts w:ascii="Caladea"/>
                <w:b/>
                <w:sz w:val="12"/>
              </w:rPr>
            </w:pPr>
            <w:r>
              <w:rPr>
                <w:rFonts w:ascii="Caladea"/>
                <w:b/>
                <w:sz w:val="12"/>
              </w:rPr>
              <w:t>CEB</w:t>
            </w:r>
          </w:p>
          <w:p>
            <w:pPr>
              <w:pStyle w:val="TableParagraph"/>
              <w:spacing w:before="1"/>
              <w:ind w:left="74" w:right="60"/>
              <w:jc w:val="center"/>
              <w:rPr>
                <w:rFonts w:ascii="Caladea" w:hAnsi="Caladea"/>
                <w:b/>
                <w:sz w:val="12"/>
              </w:rPr>
            </w:pPr>
            <w:r>
              <w:rPr>
                <w:rFonts w:ascii="Caladea" w:hAnsi="Caladea"/>
                <w:b/>
                <w:spacing w:val="-1"/>
                <w:sz w:val="12"/>
              </w:rPr>
              <w:t>Distribuição </w:t>
            </w:r>
            <w:r>
              <w:rPr>
                <w:rFonts w:ascii="Caladea" w:hAnsi="Caladea"/>
                <w:b/>
                <w:sz w:val="12"/>
              </w:rPr>
              <w:t>S.A.</w:t>
            </w:r>
          </w:p>
        </w:tc>
        <w:tc>
          <w:tcPr>
            <w:tcW w:w="813" w:type="dxa"/>
          </w:tcPr>
          <w:p>
            <w:pPr>
              <w:pStyle w:val="TableParagraph"/>
              <w:spacing w:before="11"/>
              <w:rPr>
                <w:rFonts w:ascii="Caladea"/>
                <w:b/>
                <w:sz w:val="11"/>
              </w:rPr>
            </w:pPr>
          </w:p>
          <w:p>
            <w:pPr>
              <w:pStyle w:val="TableParagraph"/>
              <w:ind w:left="60" w:right="44"/>
              <w:jc w:val="center"/>
              <w:rPr>
                <w:rFonts w:ascii="Caladea"/>
                <w:b/>
                <w:sz w:val="12"/>
              </w:rPr>
            </w:pPr>
            <w:r>
              <w:rPr>
                <w:rFonts w:ascii="Caladea"/>
                <w:b/>
                <w:sz w:val="12"/>
              </w:rPr>
              <w:t>CEB</w:t>
            </w:r>
          </w:p>
          <w:p>
            <w:pPr>
              <w:pStyle w:val="TableParagraph"/>
              <w:spacing w:before="1"/>
              <w:ind w:left="60" w:right="45"/>
              <w:jc w:val="center"/>
              <w:rPr>
                <w:rFonts w:ascii="Caladea"/>
                <w:b/>
                <w:sz w:val="12"/>
              </w:rPr>
            </w:pPr>
            <w:r>
              <w:rPr>
                <w:rFonts w:ascii="Caladea"/>
                <w:b/>
                <w:sz w:val="12"/>
              </w:rPr>
              <w:t>Lajeado S.A.</w:t>
            </w:r>
          </w:p>
        </w:tc>
        <w:tc>
          <w:tcPr>
            <w:tcW w:w="767" w:type="dxa"/>
          </w:tcPr>
          <w:p>
            <w:pPr>
              <w:pStyle w:val="TableParagraph"/>
              <w:spacing w:before="70"/>
              <w:ind w:left="73" w:right="55" w:hanging="3"/>
              <w:jc w:val="center"/>
              <w:rPr>
                <w:rFonts w:ascii="Caladea" w:hAnsi="Caladea"/>
                <w:b/>
                <w:sz w:val="12"/>
              </w:rPr>
            </w:pPr>
            <w:r>
              <w:rPr>
                <w:rFonts w:ascii="Caladea" w:hAnsi="Caladea"/>
                <w:b/>
                <w:sz w:val="12"/>
              </w:rPr>
              <w:t>Corumbá Concessões S.A.</w:t>
            </w:r>
          </w:p>
        </w:tc>
        <w:tc>
          <w:tcPr>
            <w:tcW w:w="729" w:type="dxa"/>
          </w:tcPr>
          <w:p>
            <w:pPr>
              <w:pStyle w:val="TableParagraph"/>
              <w:spacing w:before="70"/>
              <w:ind w:left="72" w:right="54"/>
              <w:jc w:val="center"/>
              <w:rPr>
                <w:rFonts w:ascii="Caladea" w:hAnsi="Caladea"/>
                <w:b/>
                <w:sz w:val="12"/>
              </w:rPr>
            </w:pPr>
            <w:r>
              <w:rPr>
                <w:rFonts w:ascii="Caladea" w:hAnsi="Caladea"/>
                <w:b/>
                <w:sz w:val="12"/>
              </w:rPr>
              <w:t>Energética Corumbá III S.A.</w:t>
            </w:r>
          </w:p>
        </w:tc>
        <w:tc>
          <w:tcPr>
            <w:tcW w:w="887" w:type="dxa"/>
          </w:tcPr>
          <w:p>
            <w:pPr>
              <w:pStyle w:val="TableParagraph"/>
              <w:spacing w:before="70"/>
              <w:ind w:left="70" w:right="51"/>
              <w:jc w:val="center"/>
              <w:rPr>
                <w:rFonts w:ascii="Caladea"/>
                <w:b/>
                <w:sz w:val="12"/>
              </w:rPr>
            </w:pPr>
            <w:r>
              <w:rPr>
                <w:rFonts w:ascii="Caladea"/>
                <w:b/>
                <w:sz w:val="12"/>
              </w:rPr>
              <w:t>CEB</w:t>
            </w:r>
          </w:p>
          <w:p>
            <w:pPr>
              <w:pStyle w:val="TableParagraph"/>
              <w:spacing w:before="1"/>
              <w:ind w:left="75" w:right="51"/>
              <w:jc w:val="center"/>
              <w:rPr>
                <w:rFonts w:ascii="Caladea" w:hAnsi="Caladea"/>
                <w:b/>
                <w:sz w:val="12"/>
              </w:rPr>
            </w:pPr>
            <w:r>
              <w:rPr>
                <w:rFonts w:ascii="Caladea" w:hAnsi="Caladea"/>
                <w:b/>
                <w:spacing w:val="-1"/>
                <w:sz w:val="12"/>
              </w:rPr>
              <w:t>Participações </w:t>
            </w:r>
            <w:r>
              <w:rPr>
                <w:rFonts w:ascii="Caladea" w:hAnsi="Caladea"/>
                <w:b/>
                <w:sz w:val="12"/>
              </w:rPr>
              <w:t>S.A.</w:t>
            </w:r>
          </w:p>
        </w:tc>
        <w:tc>
          <w:tcPr>
            <w:tcW w:w="669" w:type="dxa"/>
          </w:tcPr>
          <w:p>
            <w:pPr>
              <w:pStyle w:val="TableParagraph"/>
              <w:spacing w:before="70"/>
              <w:ind w:left="111" w:right="92"/>
              <w:jc w:val="center"/>
              <w:rPr>
                <w:rFonts w:ascii="Caladea"/>
                <w:b/>
                <w:sz w:val="12"/>
              </w:rPr>
            </w:pPr>
            <w:r>
              <w:rPr>
                <w:rFonts w:ascii="Caladea"/>
                <w:b/>
                <w:sz w:val="12"/>
              </w:rPr>
              <w:t>CEB</w:t>
            </w:r>
          </w:p>
          <w:p>
            <w:pPr>
              <w:pStyle w:val="TableParagraph"/>
              <w:spacing w:before="1"/>
              <w:ind w:left="114" w:right="92"/>
              <w:jc w:val="center"/>
              <w:rPr>
                <w:rFonts w:ascii="Caladea" w:hAnsi="Caladea"/>
                <w:b/>
                <w:sz w:val="12"/>
              </w:rPr>
            </w:pPr>
            <w:r>
              <w:rPr>
                <w:rFonts w:ascii="Caladea" w:hAnsi="Caladea"/>
                <w:b/>
                <w:spacing w:val="-1"/>
                <w:sz w:val="12"/>
              </w:rPr>
              <w:t>Geração </w:t>
            </w:r>
            <w:r>
              <w:rPr>
                <w:rFonts w:ascii="Caladea" w:hAnsi="Caladea"/>
                <w:b/>
                <w:sz w:val="12"/>
              </w:rPr>
              <w:t>S.A.</w:t>
            </w:r>
          </w:p>
        </w:tc>
        <w:tc>
          <w:tcPr>
            <w:tcW w:w="764" w:type="dxa"/>
          </w:tcPr>
          <w:p>
            <w:pPr>
              <w:pStyle w:val="TableParagraph"/>
              <w:spacing w:before="11"/>
              <w:rPr>
                <w:rFonts w:ascii="Caladea"/>
                <w:b/>
                <w:sz w:val="11"/>
              </w:rPr>
            </w:pPr>
          </w:p>
          <w:p>
            <w:pPr>
              <w:pStyle w:val="TableParagraph"/>
              <w:spacing w:line="140" w:lineRule="atLeast"/>
              <w:ind w:left="77" w:right="49" w:hanging="3"/>
              <w:jc w:val="both"/>
              <w:rPr>
                <w:rFonts w:ascii="Caladea" w:hAnsi="Caladea"/>
                <w:b/>
                <w:sz w:val="12"/>
              </w:rPr>
            </w:pPr>
            <w:r>
              <w:rPr>
                <w:rFonts w:ascii="Caladea" w:hAnsi="Caladea"/>
                <w:b/>
                <w:sz w:val="12"/>
              </w:rPr>
              <w:t>Companhia Brasiliense de Gás S.A.</w:t>
            </w:r>
          </w:p>
        </w:tc>
        <w:tc>
          <w:tcPr>
            <w:tcW w:w="939" w:type="dxa"/>
          </w:tcPr>
          <w:p>
            <w:pPr>
              <w:pStyle w:val="TableParagraph"/>
              <w:spacing w:before="1"/>
              <w:rPr>
                <w:rFonts w:ascii="Caladea"/>
                <w:b/>
                <w:sz w:val="18"/>
              </w:rPr>
            </w:pPr>
          </w:p>
          <w:p>
            <w:pPr>
              <w:pStyle w:val="TableParagraph"/>
              <w:ind w:left="345"/>
              <w:rPr>
                <w:rFonts w:ascii="Caladea"/>
                <w:b/>
                <w:sz w:val="12"/>
              </w:rPr>
            </w:pPr>
            <w:r>
              <w:rPr>
                <w:rFonts w:ascii="Caladea"/>
                <w:b/>
                <w:sz w:val="12"/>
              </w:rPr>
              <w:t>Total</w:t>
            </w:r>
          </w:p>
        </w:tc>
      </w:tr>
      <w:tr>
        <w:trPr>
          <w:trHeight w:val="237" w:hRule="atLeast"/>
        </w:trPr>
        <w:tc>
          <w:tcPr>
            <w:tcW w:w="3507" w:type="dxa"/>
          </w:tcPr>
          <w:p>
            <w:pPr>
              <w:pStyle w:val="TableParagraph"/>
              <w:spacing w:before="49"/>
              <w:ind w:left="98"/>
              <w:rPr>
                <w:rFonts w:ascii="Caladea" w:hAnsi="Caladea"/>
                <w:b/>
                <w:sz w:val="12"/>
              </w:rPr>
            </w:pPr>
            <w:r>
              <w:rPr>
                <w:rFonts w:ascii="Caladea" w:hAnsi="Caladea"/>
                <w:b/>
                <w:sz w:val="12"/>
              </w:rPr>
              <w:t>Saldo em 1º de janeiro de 2018</w:t>
            </w:r>
          </w:p>
        </w:tc>
        <w:tc>
          <w:tcPr>
            <w:tcW w:w="832" w:type="dxa"/>
          </w:tcPr>
          <w:p>
            <w:pPr>
              <w:pStyle w:val="TableParagraph"/>
              <w:spacing w:before="49"/>
              <w:ind w:right="55"/>
              <w:jc w:val="right"/>
              <w:rPr>
                <w:rFonts w:ascii="Caladea"/>
                <w:b/>
                <w:sz w:val="12"/>
              </w:rPr>
            </w:pPr>
            <w:r>
              <w:rPr>
                <w:rFonts w:ascii="Caladea"/>
                <w:b/>
                <w:sz w:val="12"/>
              </w:rPr>
              <w:t>434.646</w:t>
            </w:r>
          </w:p>
        </w:tc>
        <w:tc>
          <w:tcPr>
            <w:tcW w:w="813" w:type="dxa"/>
          </w:tcPr>
          <w:p>
            <w:pPr>
              <w:pStyle w:val="TableParagraph"/>
              <w:spacing w:before="49"/>
              <w:ind w:right="54"/>
              <w:jc w:val="right"/>
              <w:rPr>
                <w:rFonts w:ascii="Caladea"/>
                <w:b/>
                <w:sz w:val="12"/>
              </w:rPr>
            </w:pPr>
            <w:r>
              <w:rPr>
                <w:rFonts w:ascii="Caladea"/>
                <w:b/>
                <w:sz w:val="12"/>
              </w:rPr>
              <w:t>73.095</w:t>
            </w:r>
          </w:p>
        </w:tc>
        <w:tc>
          <w:tcPr>
            <w:tcW w:w="767" w:type="dxa"/>
          </w:tcPr>
          <w:p>
            <w:pPr>
              <w:pStyle w:val="TableParagraph"/>
              <w:spacing w:before="49"/>
              <w:ind w:right="53"/>
              <w:jc w:val="right"/>
              <w:rPr>
                <w:rFonts w:ascii="Caladea"/>
                <w:b/>
                <w:sz w:val="12"/>
              </w:rPr>
            </w:pPr>
            <w:r>
              <w:rPr>
                <w:rFonts w:ascii="Caladea"/>
                <w:b/>
                <w:sz w:val="12"/>
              </w:rPr>
              <w:t>71.472</w:t>
            </w:r>
          </w:p>
        </w:tc>
        <w:tc>
          <w:tcPr>
            <w:tcW w:w="729" w:type="dxa"/>
          </w:tcPr>
          <w:p>
            <w:pPr>
              <w:pStyle w:val="TableParagraph"/>
              <w:spacing w:before="49"/>
              <w:ind w:right="55"/>
              <w:jc w:val="right"/>
              <w:rPr>
                <w:rFonts w:ascii="Caladea"/>
                <w:b/>
                <w:sz w:val="12"/>
              </w:rPr>
            </w:pPr>
            <w:r>
              <w:rPr>
                <w:rFonts w:ascii="Caladea"/>
                <w:b/>
                <w:sz w:val="12"/>
              </w:rPr>
              <w:t>62.309</w:t>
            </w:r>
          </w:p>
        </w:tc>
        <w:tc>
          <w:tcPr>
            <w:tcW w:w="887" w:type="dxa"/>
          </w:tcPr>
          <w:p>
            <w:pPr>
              <w:pStyle w:val="TableParagraph"/>
              <w:spacing w:before="49"/>
              <w:ind w:right="52"/>
              <w:jc w:val="right"/>
              <w:rPr>
                <w:rFonts w:ascii="Caladea"/>
                <w:b/>
                <w:sz w:val="12"/>
              </w:rPr>
            </w:pPr>
            <w:r>
              <w:rPr>
                <w:rFonts w:ascii="Caladea"/>
                <w:b/>
                <w:sz w:val="12"/>
              </w:rPr>
              <w:t>26.795</w:t>
            </w:r>
          </w:p>
        </w:tc>
        <w:tc>
          <w:tcPr>
            <w:tcW w:w="669" w:type="dxa"/>
          </w:tcPr>
          <w:p>
            <w:pPr>
              <w:pStyle w:val="TableParagraph"/>
              <w:spacing w:before="49"/>
              <w:ind w:right="53"/>
              <w:jc w:val="right"/>
              <w:rPr>
                <w:rFonts w:ascii="Caladea"/>
                <w:b/>
                <w:sz w:val="12"/>
              </w:rPr>
            </w:pPr>
            <w:r>
              <w:rPr>
                <w:rFonts w:ascii="Caladea"/>
                <w:b/>
                <w:sz w:val="12"/>
              </w:rPr>
              <w:t>11.445</w:t>
            </w:r>
          </w:p>
        </w:tc>
        <w:tc>
          <w:tcPr>
            <w:tcW w:w="764" w:type="dxa"/>
          </w:tcPr>
          <w:p>
            <w:pPr>
              <w:pStyle w:val="TableParagraph"/>
              <w:spacing w:before="49"/>
              <w:ind w:right="50"/>
              <w:jc w:val="right"/>
              <w:rPr>
                <w:rFonts w:ascii="Caladea"/>
                <w:b/>
                <w:sz w:val="12"/>
              </w:rPr>
            </w:pPr>
            <w:r>
              <w:rPr>
                <w:rFonts w:ascii="Caladea"/>
                <w:b/>
                <w:sz w:val="12"/>
              </w:rPr>
              <w:t>129</w:t>
            </w:r>
          </w:p>
        </w:tc>
        <w:tc>
          <w:tcPr>
            <w:tcW w:w="939" w:type="dxa"/>
          </w:tcPr>
          <w:p>
            <w:pPr>
              <w:pStyle w:val="TableParagraph"/>
              <w:spacing w:before="49"/>
              <w:ind w:right="52"/>
              <w:jc w:val="right"/>
              <w:rPr>
                <w:rFonts w:ascii="Caladea"/>
                <w:b/>
                <w:sz w:val="12"/>
              </w:rPr>
            </w:pPr>
            <w:r>
              <w:rPr>
                <w:rFonts w:ascii="Caladea"/>
                <w:b/>
                <w:sz w:val="12"/>
              </w:rPr>
              <w:t>679.891</w:t>
            </w:r>
          </w:p>
        </w:tc>
      </w:tr>
      <w:tr>
        <w:trPr>
          <w:trHeight w:val="237" w:hRule="atLeast"/>
        </w:trPr>
        <w:tc>
          <w:tcPr>
            <w:tcW w:w="3507" w:type="dxa"/>
          </w:tcPr>
          <w:p>
            <w:pPr>
              <w:pStyle w:val="TableParagraph"/>
              <w:spacing w:before="50"/>
              <w:ind w:left="98"/>
              <w:rPr>
                <w:sz w:val="12"/>
              </w:rPr>
            </w:pPr>
            <w:r>
              <w:rPr>
                <w:sz w:val="12"/>
              </w:rPr>
              <w:t>Resultado de Equivalência Patrimonial</w:t>
            </w:r>
          </w:p>
        </w:tc>
        <w:tc>
          <w:tcPr>
            <w:tcW w:w="832" w:type="dxa"/>
          </w:tcPr>
          <w:p>
            <w:pPr>
              <w:pStyle w:val="TableParagraph"/>
              <w:spacing w:before="50"/>
              <w:ind w:right="54"/>
              <w:jc w:val="right"/>
              <w:rPr>
                <w:sz w:val="12"/>
              </w:rPr>
            </w:pPr>
            <w:r>
              <w:rPr>
                <w:sz w:val="12"/>
              </w:rPr>
              <w:t>(33.678)</w:t>
            </w:r>
          </w:p>
        </w:tc>
        <w:tc>
          <w:tcPr>
            <w:tcW w:w="813" w:type="dxa"/>
          </w:tcPr>
          <w:p>
            <w:pPr>
              <w:pStyle w:val="TableParagraph"/>
              <w:spacing w:before="50"/>
              <w:ind w:right="52"/>
              <w:jc w:val="right"/>
              <w:rPr>
                <w:sz w:val="12"/>
              </w:rPr>
            </w:pPr>
            <w:r>
              <w:rPr>
                <w:w w:val="95"/>
                <w:sz w:val="12"/>
              </w:rPr>
              <w:t>26.370</w:t>
            </w:r>
          </w:p>
        </w:tc>
        <w:tc>
          <w:tcPr>
            <w:tcW w:w="767" w:type="dxa"/>
          </w:tcPr>
          <w:p>
            <w:pPr>
              <w:pStyle w:val="TableParagraph"/>
              <w:spacing w:before="50"/>
              <w:ind w:right="53"/>
              <w:jc w:val="right"/>
              <w:rPr>
                <w:sz w:val="12"/>
              </w:rPr>
            </w:pPr>
            <w:r>
              <w:rPr>
                <w:w w:val="95"/>
                <w:sz w:val="12"/>
              </w:rPr>
              <w:t>18.084</w:t>
            </w:r>
          </w:p>
        </w:tc>
        <w:tc>
          <w:tcPr>
            <w:tcW w:w="729" w:type="dxa"/>
          </w:tcPr>
          <w:p>
            <w:pPr>
              <w:pStyle w:val="TableParagraph"/>
              <w:spacing w:before="50"/>
              <w:ind w:right="52"/>
              <w:jc w:val="right"/>
              <w:rPr>
                <w:sz w:val="12"/>
              </w:rPr>
            </w:pPr>
            <w:r>
              <w:rPr>
                <w:w w:val="95"/>
                <w:sz w:val="12"/>
              </w:rPr>
              <w:t>5.212</w:t>
            </w:r>
          </w:p>
        </w:tc>
        <w:tc>
          <w:tcPr>
            <w:tcW w:w="887" w:type="dxa"/>
          </w:tcPr>
          <w:p>
            <w:pPr>
              <w:pStyle w:val="TableParagraph"/>
              <w:spacing w:before="50"/>
              <w:ind w:right="49"/>
              <w:jc w:val="right"/>
              <w:rPr>
                <w:sz w:val="12"/>
              </w:rPr>
            </w:pPr>
            <w:r>
              <w:rPr>
                <w:w w:val="95"/>
                <w:sz w:val="12"/>
              </w:rPr>
              <w:t>14.621</w:t>
            </w:r>
          </w:p>
        </w:tc>
        <w:tc>
          <w:tcPr>
            <w:tcW w:w="669" w:type="dxa"/>
          </w:tcPr>
          <w:p>
            <w:pPr>
              <w:pStyle w:val="TableParagraph"/>
              <w:spacing w:before="50"/>
              <w:ind w:right="50"/>
              <w:jc w:val="right"/>
              <w:rPr>
                <w:sz w:val="12"/>
              </w:rPr>
            </w:pPr>
            <w:r>
              <w:rPr>
                <w:w w:val="95"/>
                <w:sz w:val="12"/>
              </w:rPr>
              <w:t>56.009</w:t>
            </w:r>
          </w:p>
        </w:tc>
        <w:tc>
          <w:tcPr>
            <w:tcW w:w="764" w:type="dxa"/>
          </w:tcPr>
          <w:p>
            <w:pPr>
              <w:pStyle w:val="TableParagraph"/>
              <w:spacing w:before="50"/>
              <w:ind w:right="50"/>
              <w:jc w:val="right"/>
              <w:rPr>
                <w:sz w:val="12"/>
              </w:rPr>
            </w:pPr>
            <w:r>
              <w:rPr>
                <w:sz w:val="12"/>
              </w:rPr>
              <w:t>(58)</w:t>
            </w:r>
          </w:p>
        </w:tc>
        <w:tc>
          <w:tcPr>
            <w:tcW w:w="939" w:type="dxa"/>
          </w:tcPr>
          <w:p>
            <w:pPr>
              <w:pStyle w:val="TableParagraph"/>
              <w:spacing w:before="49"/>
              <w:ind w:right="49"/>
              <w:jc w:val="right"/>
              <w:rPr>
                <w:rFonts w:ascii="Caladea"/>
                <w:b/>
                <w:sz w:val="12"/>
              </w:rPr>
            </w:pPr>
            <w:r>
              <w:rPr>
                <w:rFonts w:ascii="Caladea"/>
                <w:b/>
                <w:sz w:val="12"/>
              </w:rPr>
              <w:t>86.560</w:t>
            </w:r>
          </w:p>
        </w:tc>
      </w:tr>
      <w:tr>
        <w:trPr>
          <w:trHeight w:val="239" w:hRule="atLeast"/>
        </w:trPr>
        <w:tc>
          <w:tcPr>
            <w:tcW w:w="3507" w:type="dxa"/>
          </w:tcPr>
          <w:p>
            <w:pPr>
              <w:pStyle w:val="TableParagraph"/>
              <w:spacing w:before="50"/>
              <w:ind w:left="98"/>
              <w:rPr>
                <w:sz w:val="12"/>
              </w:rPr>
            </w:pPr>
            <w:r>
              <w:rPr>
                <w:w w:val="105"/>
                <w:sz w:val="12"/>
              </w:rPr>
              <w:t>Aporte/Adiantamento</w:t>
            </w:r>
            <w:r>
              <w:rPr>
                <w:spacing w:val="-28"/>
                <w:w w:val="105"/>
                <w:sz w:val="12"/>
              </w:rPr>
              <w:t> </w:t>
            </w:r>
            <w:r>
              <w:rPr>
                <w:w w:val="105"/>
                <w:sz w:val="12"/>
              </w:rPr>
              <w:t>Para</w:t>
            </w:r>
            <w:r>
              <w:rPr>
                <w:spacing w:val="-27"/>
                <w:w w:val="105"/>
                <w:sz w:val="12"/>
              </w:rPr>
              <w:t> </w:t>
            </w:r>
            <w:r>
              <w:rPr>
                <w:w w:val="105"/>
                <w:sz w:val="12"/>
              </w:rPr>
              <w:t>Futuro</w:t>
            </w:r>
            <w:r>
              <w:rPr>
                <w:spacing w:val="-27"/>
                <w:w w:val="105"/>
                <w:sz w:val="12"/>
              </w:rPr>
              <w:t> </w:t>
            </w:r>
            <w:r>
              <w:rPr>
                <w:w w:val="105"/>
                <w:sz w:val="12"/>
              </w:rPr>
              <w:t>Aumento</w:t>
            </w:r>
            <w:r>
              <w:rPr>
                <w:spacing w:val="-27"/>
                <w:w w:val="105"/>
                <w:sz w:val="12"/>
              </w:rPr>
              <w:t> </w:t>
            </w:r>
            <w:r>
              <w:rPr>
                <w:w w:val="105"/>
                <w:sz w:val="12"/>
              </w:rPr>
              <w:t>de</w:t>
            </w:r>
            <w:r>
              <w:rPr>
                <w:spacing w:val="-30"/>
                <w:w w:val="105"/>
                <w:sz w:val="12"/>
              </w:rPr>
              <w:t> </w:t>
            </w:r>
            <w:r>
              <w:rPr>
                <w:w w:val="105"/>
                <w:sz w:val="12"/>
              </w:rPr>
              <w:t>Capital</w:t>
            </w:r>
            <w:r>
              <w:rPr>
                <w:spacing w:val="-25"/>
                <w:w w:val="105"/>
                <w:sz w:val="12"/>
              </w:rPr>
              <w:t> </w:t>
            </w:r>
            <w:r>
              <w:rPr>
                <w:w w:val="105"/>
                <w:sz w:val="12"/>
              </w:rPr>
              <w:t>–</w:t>
            </w:r>
            <w:r>
              <w:rPr>
                <w:spacing w:val="-28"/>
                <w:w w:val="105"/>
                <w:sz w:val="12"/>
              </w:rPr>
              <w:t> </w:t>
            </w:r>
            <w:r>
              <w:rPr>
                <w:w w:val="105"/>
                <w:sz w:val="12"/>
              </w:rPr>
              <w:t>AFAC</w:t>
            </w:r>
          </w:p>
        </w:tc>
        <w:tc>
          <w:tcPr>
            <w:tcW w:w="832" w:type="dxa"/>
          </w:tcPr>
          <w:p>
            <w:pPr>
              <w:pStyle w:val="TableParagraph"/>
              <w:spacing w:before="50"/>
              <w:ind w:right="55"/>
              <w:jc w:val="right"/>
              <w:rPr>
                <w:sz w:val="12"/>
              </w:rPr>
            </w:pPr>
            <w:r>
              <w:rPr>
                <w:w w:val="95"/>
                <w:sz w:val="12"/>
              </w:rPr>
              <w:t>19.643</w:t>
            </w:r>
          </w:p>
        </w:tc>
        <w:tc>
          <w:tcPr>
            <w:tcW w:w="813" w:type="dxa"/>
          </w:tcPr>
          <w:p>
            <w:pPr>
              <w:pStyle w:val="TableParagraph"/>
              <w:rPr>
                <w:rFonts w:ascii="Times New Roman"/>
                <w:sz w:val="14"/>
              </w:rPr>
            </w:pPr>
          </w:p>
        </w:tc>
        <w:tc>
          <w:tcPr>
            <w:tcW w:w="767" w:type="dxa"/>
          </w:tcPr>
          <w:p>
            <w:pPr>
              <w:pStyle w:val="TableParagraph"/>
              <w:rPr>
                <w:rFonts w:ascii="Times New Roman"/>
                <w:sz w:val="14"/>
              </w:rPr>
            </w:pPr>
          </w:p>
        </w:tc>
        <w:tc>
          <w:tcPr>
            <w:tcW w:w="729" w:type="dxa"/>
          </w:tcPr>
          <w:p>
            <w:pPr>
              <w:pStyle w:val="TableParagraph"/>
              <w:rPr>
                <w:rFonts w:ascii="Times New Roman"/>
                <w:sz w:val="14"/>
              </w:rPr>
            </w:pPr>
          </w:p>
        </w:tc>
        <w:tc>
          <w:tcPr>
            <w:tcW w:w="887" w:type="dxa"/>
          </w:tcPr>
          <w:p>
            <w:pPr>
              <w:pStyle w:val="TableParagraph"/>
              <w:rPr>
                <w:rFonts w:ascii="Times New Roman"/>
                <w:sz w:val="14"/>
              </w:rPr>
            </w:pPr>
          </w:p>
        </w:tc>
        <w:tc>
          <w:tcPr>
            <w:tcW w:w="669" w:type="dxa"/>
          </w:tcPr>
          <w:p>
            <w:pPr>
              <w:pStyle w:val="TableParagraph"/>
              <w:rPr>
                <w:rFonts w:ascii="Times New Roman"/>
                <w:sz w:val="14"/>
              </w:rPr>
            </w:pPr>
          </w:p>
        </w:tc>
        <w:tc>
          <w:tcPr>
            <w:tcW w:w="764" w:type="dxa"/>
          </w:tcPr>
          <w:p>
            <w:pPr>
              <w:pStyle w:val="TableParagraph"/>
              <w:spacing w:before="50"/>
              <w:ind w:right="50"/>
              <w:jc w:val="right"/>
              <w:rPr>
                <w:sz w:val="12"/>
              </w:rPr>
            </w:pPr>
            <w:r>
              <w:rPr>
                <w:sz w:val="12"/>
              </w:rPr>
              <w:t>(12)</w:t>
            </w:r>
          </w:p>
        </w:tc>
        <w:tc>
          <w:tcPr>
            <w:tcW w:w="939" w:type="dxa"/>
          </w:tcPr>
          <w:p>
            <w:pPr>
              <w:pStyle w:val="TableParagraph"/>
              <w:spacing w:before="49"/>
              <w:ind w:right="49"/>
              <w:jc w:val="right"/>
              <w:rPr>
                <w:rFonts w:ascii="Caladea"/>
                <w:b/>
                <w:sz w:val="12"/>
              </w:rPr>
            </w:pPr>
            <w:r>
              <w:rPr>
                <w:rFonts w:ascii="Caladea"/>
                <w:b/>
                <w:sz w:val="12"/>
              </w:rPr>
              <w:t>19.631</w:t>
            </w:r>
          </w:p>
        </w:tc>
      </w:tr>
      <w:tr>
        <w:trPr>
          <w:trHeight w:val="237" w:hRule="atLeast"/>
        </w:trPr>
        <w:tc>
          <w:tcPr>
            <w:tcW w:w="3507" w:type="dxa"/>
          </w:tcPr>
          <w:p>
            <w:pPr>
              <w:pStyle w:val="TableParagraph"/>
              <w:spacing w:before="50"/>
              <w:ind w:left="98"/>
              <w:rPr>
                <w:sz w:val="12"/>
              </w:rPr>
            </w:pPr>
            <w:r>
              <w:rPr>
                <w:sz w:val="12"/>
              </w:rPr>
              <w:t>Equivalência</w:t>
            </w:r>
            <w:r>
              <w:rPr>
                <w:spacing w:val="-21"/>
                <w:sz w:val="12"/>
              </w:rPr>
              <w:t> </w:t>
            </w:r>
            <w:r>
              <w:rPr>
                <w:sz w:val="12"/>
              </w:rPr>
              <w:t>Patrimonial</w:t>
            </w:r>
            <w:r>
              <w:rPr>
                <w:spacing w:val="-20"/>
                <w:sz w:val="12"/>
              </w:rPr>
              <w:t> </w:t>
            </w:r>
            <w:r>
              <w:rPr>
                <w:sz w:val="12"/>
              </w:rPr>
              <w:t>Reflexa</w:t>
            </w:r>
            <w:r>
              <w:rPr>
                <w:spacing w:val="-20"/>
                <w:sz w:val="12"/>
              </w:rPr>
              <w:t> </w:t>
            </w:r>
            <w:r>
              <w:rPr>
                <w:w w:val="105"/>
                <w:sz w:val="12"/>
              </w:rPr>
              <w:t>–</w:t>
            </w:r>
            <w:r>
              <w:rPr>
                <w:spacing w:val="-22"/>
                <w:w w:val="105"/>
                <w:sz w:val="12"/>
              </w:rPr>
              <w:t> </w:t>
            </w:r>
            <w:r>
              <w:rPr>
                <w:sz w:val="12"/>
              </w:rPr>
              <w:t>PL</w:t>
            </w:r>
            <w:r>
              <w:rPr>
                <w:spacing w:val="-20"/>
                <w:sz w:val="12"/>
              </w:rPr>
              <w:t> </w:t>
            </w:r>
            <w:r>
              <w:rPr>
                <w:sz w:val="12"/>
              </w:rPr>
              <w:t>de</w:t>
            </w:r>
            <w:r>
              <w:rPr>
                <w:spacing w:val="-20"/>
                <w:sz w:val="12"/>
              </w:rPr>
              <w:t> </w:t>
            </w:r>
            <w:r>
              <w:rPr>
                <w:sz w:val="12"/>
              </w:rPr>
              <w:t>Controladas</w:t>
            </w:r>
            <w:r>
              <w:rPr>
                <w:spacing w:val="-21"/>
                <w:sz w:val="12"/>
              </w:rPr>
              <w:t> </w:t>
            </w:r>
            <w:r>
              <w:rPr>
                <w:sz w:val="12"/>
              </w:rPr>
              <w:t>e</w:t>
            </w:r>
            <w:r>
              <w:rPr>
                <w:spacing w:val="-21"/>
                <w:sz w:val="12"/>
              </w:rPr>
              <w:t> </w:t>
            </w:r>
            <w:r>
              <w:rPr>
                <w:sz w:val="12"/>
              </w:rPr>
              <w:t>Coligadas</w:t>
            </w:r>
          </w:p>
        </w:tc>
        <w:tc>
          <w:tcPr>
            <w:tcW w:w="832" w:type="dxa"/>
          </w:tcPr>
          <w:p>
            <w:pPr>
              <w:pStyle w:val="TableParagraph"/>
              <w:spacing w:before="50"/>
              <w:ind w:right="53"/>
              <w:jc w:val="right"/>
              <w:rPr>
                <w:sz w:val="12"/>
              </w:rPr>
            </w:pPr>
            <w:r>
              <w:rPr>
                <w:w w:val="95"/>
                <w:sz w:val="12"/>
              </w:rPr>
              <w:t>(5.810)</w:t>
            </w:r>
          </w:p>
        </w:tc>
        <w:tc>
          <w:tcPr>
            <w:tcW w:w="813" w:type="dxa"/>
          </w:tcPr>
          <w:p>
            <w:pPr>
              <w:pStyle w:val="TableParagraph"/>
              <w:spacing w:before="50"/>
              <w:ind w:right="53"/>
              <w:jc w:val="right"/>
              <w:rPr>
                <w:sz w:val="12"/>
              </w:rPr>
            </w:pPr>
            <w:r>
              <w:rPr>
                <w:w w:val="105"/>
                <w:sz w:val="12"/>
              </w:rPr>
              <w:t>(8)</w:t>
            </w:r>
          </w:p>
        </w:tc>
        <w:tc>
          <w:tcPr>
            <w:tcW w:w="767" w:type="dxa"/>
          </w:tcPr>
          <w:p>
            <w:pPr>
              <w:pStyle w:val="TableParagraph"/>
              <w:rPr>
                <w:rFonts w:ascii="Times New Roman"/>
                <w:sz w:val="14"/>
              </w:rPr>
            </w:pPr>
          </w:p>
        </w:tc>
        <w:tc>
          <w:tcPr>
            <w:tcW w:w="729" w:type="dxa"/>
          </w:tcPr>
          <w:p>
            <w:pPr>
              <w:pStyle w:val="TableParagraph"/>
              <w:rPr>
                <w:rFonts w:ascii="Times New Roman"/>
                <w:sz w:val="14"/>
              </w:rPr>
            </w:pPr>
          </w:p>
        </w:tc>
        <w:tc>
          <w:tcPr>
            <w:tcW w:w="887" w:type="dxa"/>
          </w:tcPr>
          <w:p>
            <w:pPr>
              <w:pStyle w:val="TableParagraph"/>
              <w:rPr>
                <w:rFonts w:ascii="Times New Roman"/>
                <w:sz w:val="14"/>
              </w:rPr>
            </w:pPr>
          </w:p>
        </w:tc>
        <w:tc>
          <w:tcPr>
            <w:tcW w:w="669" w:type="dxa"/>
          </w:tcPr>
          <w:p>
            <w:pPr>
              <w:pStyle w:val="TableParagraph"/>
              <w:rPr>
                <w:rFonts w:ascii="Times New Roman"/>
                <w:sz w:val="14"/>
              </w:rPr>
            </w:pPr>
          </w:p>
        </w:tc>
        <w:tc>
          <w:tcPr>
            <w:tcW w:w="764" w:type="dxa"/>
          </w:tcPr>
          <w:p>
            <w:pPr>
              <w:pStyle w:val="TableParagraph"/>
              <w:rPr>
                <w:rFonts w:ascii="Times New Roman"/>
                <w:sz w:val="14"/>
              </w:rPr>
            </w:pPr>
          </w:p>
        </w:tc>
        <w:tc>
          <w:tcPr>
            <w:tcW w:w="939" w:type="dxa"/>
          </w:tcPr>
          <w:p>
            <w:pPr>
              <w:pStyle w:val="TableParagraph"/>
              <w:spacing w:before="49"/>
              <w:ind w:right="49"/>
              <w:jc w:val="right"/>
              <w:rPr>
                <w:rFonts w:ascii="Caladea"/>
                <w:b/>
                <w:sz w:val="12"/>
              </w:rPr>
            </w:pPr>
            <w:r>
              <w:rPr>
                <w:rFonts w:ascii="Caladea"/>
                <w:b/>
                <w:sz w:val="12"/>
              </w:rPr>
              <w:t>(5.818)</w:t>
            </w:r>
          </w:p>
        </w:tc>
      </w:tr>
      <w:tr>
        <w:trPr>
          <w:trHeight w:val="237" w:hRule="atLeast"/>
        </w:trPr>
        <w:tc>
          <w:tcPr>
            <w:tcW w:w="3507" w:type="dxa"/>
          </w:tcPr>
          <w:p>
            <w:pPr>
              <w:pStyle w:val="TableParagraph"/>
              <w:spacing w:before="50"/>
              <w:ind w:left="98"/>
              <w:rPr>
                <w:sz w:val="12"/>
              </w:rPr>
            </w:pPr>
            <w:r>
              <w:rPr>
                <w:sz w:val="12"/>
              </w:rPr>
              <w:t>Dividendos/Juros Sobre Capital Próprio</w:t>
            </w:r>
          </w:p>
        </w:tc>
        <w:tc>
          <w:tcPr>
            <w:tcW w:w="832" w:type="dxa"/>
          </w:tcPr>
          <w:p>
            <w:pPr>
              <w:pStyle w:val="TableParagraph"/>
              <w:rPr>
                <w:rFonts w:ascii="Times New Roman"/>
                <w:sz w:val="14"/>
              </w:rPr>
            </w:pPr>
          </w:p>
        </w:tc>
        <w:tc>
          <w:tcPr>
            <w:tcW w:w="813" w:type="dxa"/>
          </w:tcPr>
          <w:p>
            <w:pPr>
              <w:pStyle w:val="TableParagraph"/>
              <w:spacing w:before="50"/>
              <w:ind w:right="51"/>
              <w:jc w:val="right"/>
              <w:rPr>
                <w:sz w:val="12"/>
              </w:rPr>
            </w:pPr>
            <w:r>
              <w:rPr>
                <w:sz w:val="12"/>
              </w:rPr>
              <w:t>(11.258)</w:t>
            </w:r>
          </w:p>
        </w:tc>
        <w:tc>
          <w:tcPr>
            <w:tcW w:w="767" w:type="dxa"/>
          </w:tcPr>
          <w:p>
            <w:pPr>
              <w:pStyle w:val="TableParagraph"/>
              <w:spacing w:before="50"/>
              <w:ind w:right="52"/>
              <w:jc w:val="right"/>
              <w:rPr>
                <w:sz w:val="12"/>
              </w:rPr>
            </w:pPr>
            <w:r>
              <w:rPr>
                <w:w w:val="95"/>
                <w:sz w:val="12"/>
              </w:rPr>
              <w:t>(1.725)</w:t>
            </w:r>
          </w:p>
        </w:tc>
        <w:tc>
          <w:tcPr>
            <w:tcW w:w="729" w:type="dxa"/>
          </w:tcPr>
          <w:p>
            <w:pPr>
              <w:pStyle w:val="TableParagraph"/>
              <w:spacing w:before="50"/>
              <w:ind w:right="51"/>
              <w:jc w:val="right"/>
              <w:rPr>
                <w:sz w:val="12"/>
              </w:rPr>
            </w:pPr>
            <w:r>
              <w:rPr>
                <w:w w:val="95"/>
                <w:sz w:val="12"/>
              </w:rPr>
              <w:t>(4.928)</w:t>
            </w:r>
          </w:p>
        </w:tc>
        <w:tc>
          <w:tcPr>
            <w:tcW w:w="887" w:type="dxa"/>
          </w:tcPr>
          <w:p>
            <w:pPr>
              <w:pStyle w:val="TableParagraph"/>
              <w:spacing w:before="50"/>
              <w:ind w:right="48"/>
              <w:jc w:val="right"/>
              <w:rPr>
                <w:sz w:val="12"/>
              </w:rPr>
            </w:pPr>
            <w:r>
              <w:rPr>
                <w:w w:val="95"/>
                <w:sz w:val="12"/>
              </w:rPr>
              <w:t>(9.824)</w:t>
            </w:r>
          </w:p>
        </w:tc>
        <w:tc>
          <w:tcPr>
            <w:tcW w:w="669" w:type="dxa"/>
          </w:tcPr>
          <w:p>
            <w:pPr>
              <w:pStyle w:val="TableParagraph"/>
              <w:spacing w:before="50"/>
              <w:ind w:right="49"/>
              <w:jc w:val="right"/>
              <w:rPr>
                <w:sz w:val="12"/>
              </w:rPr>
            </w:pPr>
            <w:r>
              <w:rPr>
                <w:sz w:val="12"/>
              </w:rPr>
              <w:t>(15.574)</w:t>
            </w:r>
          </w:p>
        </w:tc>
        <w:tc>
          <w:tcPr>
            <w:tcW w:w="764" w:type="dxa"/>
          </w:tcPr>
          <w:p>
            <w:pPr>
              <w:pStyle w:val="TableParagraph"/>
              <w:rPr>
                <w:rFonts w:ascii="Times New Roman"/>
                <w:sz w:val="14"/>
              </w:rPr>
            </w:pPr>
          </w:p>
        </w:tc>
        <w:tc>
          <w:tcPr>
            <w:tcW w:w="939" w:type="dxa"/>
          </w:tcPr>
          <w:p>
            <w:pPr>
              <w:pStyle w:val="TableParagraph"/>
              <w:spacing w:before="49"/>
              <w:ind w:right="50"/>
              <w:jc w:val="right"/>
              <w:rPr>
                <w:rFonts w:ascii="Caladea"/>
                <w:b/>
                <w:sz w:val="12"/>
              </w:rPr>
            </w:pPr>
            <w:r>
              <w:rPr>
                <w:rFonts w:ascii="Caladea"/>
                <w:b/>
                <w:sz w:val="12"/>
              </w:rPr>
              <w:t>(43.309)</w:t>
            </w:r>
          </w:p>
        </w:tc>
      </w:tr>
      <w:tr>
        <w:trPr>
          <w:trHeight w:val="239" w:hRule="atLeast"/>
        </w:trPr>
        <w:tc>
          <w:tcPr>
            <w:tcW w:w="3507" w:type="dxa"/>
          </w:tcPr>
          <w:p>
            <w:pPr>
              <w:pStyle w:val="TableParagraph"/>
              <w:spacing w:before="50"/>
              <w:ind w:left="98"/>
              <w:rPr>
                <w:sz w:val="12"/>
              </w:rPr>
            </w:pPr>
            <w:r>
              <w:rPr>
                <w:sz w:val="12"/>
              </w:rPr>
              <w:t>Redução de Capital</w:t>
            </w:r>
          </w:p>
        </w:tc>
        <w:tc>
          <w:tcPr>
            <w:tcW w:w="832" w:type="dxa"/>
          </w:tcPr>
          <w:p>
            <w:pPr>
              <w:pStyle w:val="TableParagraph"/>
              <w:rPr>
                <w:rFonts w:ascii="Times New Roman"/>
                <w:sz w:val="14"/>
              </w:rPr>
            </w:pPr>
          </w:p>
        </w:tc>
        <w:tc>
          <w:tcPr>
            <w:tcW w:w="813" w:type="dxa"/>
          </w:tcPr>
          <w:p>
            <w:pPr>
              <w:pStyle w:val="TableParagraph"/>
              <w:spacing w:before="50"/>
              <w:ind w:right="51"/>
              <w:jc w:val="right"/>
              <w:rPr>
                <w:sz w:val="12"/>
              </w:rPr>
            </w:pPr>
            <w:r>
              <w:rPr>
                <w:sz w:val="12"/>
              </w:rPr>
              <w:t>(10.000)</w:t>
            </w:r>
          </w:p>
        </w:tc>
        <w:tc>
          <w:tcPr>
            <w:tcW w:w="767" w:type="dxa"/>
          </w:tcPr>
          <w:p>
            <w:pPr>
              <w:pStyle w:val="TableParagraph"/>
              <w:rPr>
                <w:rFonts w:ascii="Times New Roman"/>
                <w:sz w:val="14"/>
              </w:rPr>
            </w:pPr>
          </w:p>
        </w:tc>
        <w:tc>
          <w:tcPr>
            <w:tcW w:w="729" w:type="dxa"/>
          </w:tcPr>
          <w:p>
            <w:pPr>
              <w:pStyle w:val="TableParagraph"/>
              <w:rPr>
                <w:rFonts w:ascii="Times New Roman"/>
                <w:sz w:val="14"/>
              </w:rPr>
            </w:pPr>
          </w:p>
        </w:tc>
        <w:tc>
          <w:tcPr>
            <w:tcW w:w="887" w:type="dxa"/>
          </w:tcPr>
          <w:p>
            <w:pPr>
              <w:pStyle w:val="TableParagraph"/>
              <w:rPr>
                <w:rFonts w:ascii="Times New Roman"/>
                <w:sz w:val="14"/>
              </w:rPr>
            </w:pPr>
          </w:p>
        </w:tc>
        <w:tc>
          <w:tcPr>
            <w:tcW w:w="669" w:type="dxa"/>
          </w:tcPr>
          <w:p>
            <w:pPr>
              <w:pStyle w:val="TableParagraph"/>
              <w:rPr>
                <w:rFonts w:ascii="Times New Roman"/>
                <w:sz w:val="14"/>
              </w:rPr>
            </w:pPr>
          </w:p>
        </w:tc>
        <w:tc>
          <w:tcPr>
            <w:tcW w:w="764" w:type="dxa"/>
          </w:tcPr>
          <w:p>
            <w:pPr>
              <w:pStyle w:val="TableParagraph"/>
              <w:rPr>
                <w:rFonts w:ascii="Times New Roman"/>
                <w:sz w:val="14"/>
              </w:rPr>
            </w:pPr>
          </w:p>
        </w:tc>
        <w:tc>
          <w:tcPr>
            <w:tcW w:w="939" w:type="dxa"/>
          </w:tcPr>
          <w:p>
            <w:pPr>
              <w:pStyle w:val="TableParagraph"/>
              <w:spacing w:before="49"/>
              <w:ind w:right="50"/>
              <w:jc w:val="right"/>
              <w:rPr>
                <w:rFonts w:ascii="Caladea"/>
                <w:b/>
                <w:sz w:val="12"/>
              </w:rPr>
            </w:pPr>
            <w:r>
              <w:rPr>
                <w:rFonts w:ascii="Caladea"/>
                <w:b/>
                <w:sz w:val="12"/>
              </w:rPr>
              <w:t>(10.000)</w:t>
            </w:r>
          </w:p>
        </w:tc>
      </w:tr>
      <w:tr>
        <w:trPr>
          <w:trHeight w:val="237" w:hRule="atLeast"/>
        </w:trPr>
        <w:tc>
          <w:tcPr>
            <w:tcW w:w="3507" w:type="dxa"/>
          </w:tcPr>
          <w:p>
            <w:pPr>
              <w:pStyle w:val="TableParagraph"/>
              <w:spacing w:before="49"/>
              <w:ind w:left="98"/>
              <w:rPr>
                <w:rFonts w:ascii="Caladea"/>
                <w:b/>
                <w:sz w:val="12"/>
              </w:rPr>
            </w:pPr>
            <w:r>
              <w:rPr>
                <w:rFonts w:ascii="Caladea"/>
                <w:b/>
                <w:sz w:val="12"/>
              </w:rPr>
              <w:t>Saldo em 31 de dezembro de 2018</w:t>
            </w:r>
          </w:p>
        </w:tc>
        <w:tc>
          <w:tcPr>
            <w:tcW w:w="832" w:type="dxa"/>
          </w:tcPr>
          <w:p>
            <w:pPr>
              <w:pStyle w:val="TableParagraph"/>
              <w:spacing w:before="49"/>
              <w:ind w:right="55"/>
              <w:jc w:val="right"/>
              <w:rPr>
                <w:rFonts w:ascii="Caladea"/>
                <w:b/>
                <w:sz w:val="12"/>
              </w:rPr>
            </w:pPr>
            <w:r>
              <w:rPr>
                <w:rFonts w:ascii="Caladea"/>
                <w:b/>
                <w:sz w:val="12"/>
              </w:rPr>
              <w:t>414.801</w:t>
            </w:r>
          </w:p>
        </w:tc>
        <w:tc>
          <w:tcPr>
            <w:tcW w:w="813" w:type="dxa"/>
          </w:tcPr>
          <w:p>
            <w:pPr>
              <w:pStyle w:val="TableParagraph"/>
              <w:spacing w:before="49"/>
              <w:ind w:right="52"/>
              <w:jc w:val="right"/>
              <w:rPr>
                <w:rFonts w:ascii="Caladea"/>
                <w:b/>
                <w:sz w:val="12"/>
              </w:rPr>
            </w:pPr>
            <w:r>
              <w:rPr>
                <w:rFonts w:ascii="Caladea"/>
                <w:b/>
                <w:sz w:val="12"/>
              </w:rPr>
              <w:t>78.199</w:t>
            </w:r>
          </w:p>
        </w:tc>
        <w:tc>
          <w:tcPr>
            <w:tcW w:w="767" w:type="dxa"/>
          </w:tcPr>
          <w:p>
            <w:pPr>
              <w:pStyle w:val="TableParagraph"/>
              <w:spacing w:before="49"/>
              <w:ind w:right="53"/>
              <w:jc w:val="right"/>
              <w:rPr>
                <w:rFonts w:ascii="Caladea"/>
                <w:b/>
                <w:sz w:val="12"/>
              </w:rPr>
            </w:pPr>
            <w:r>
              <w:rPr>
                <w:rFonts w:ascii="Caladea"/>
                <w:b/>
                <w:sz w:val="12"/>
              </w:rPr>
              <w:t>87.831</w:t>
            </w:r>
          </w:p>
        </w:tc>
        <w:tc>
          <w:tcPr>
            <w:tcW w:w="729" w:type="dxa"/>
          </w:tcPr>
          <w:p>
            <w:pPr>
              <w:pStyle w:val="TableParagraph"/>
              <w:spacing w:before="49"/>
              <w:ind w:right="53"/>
              <w:jc w:val="right"/>
              <w:rPr>
                <w:rFonts w:ascii="Caladea"/>
                <w:b/>
                <w:sz w:val="12"/>
              </w:rPr>
            </w:pPr>
            <w:r>
              <w:rPr>
                <w:rFonts w:ascii="Caladea"/>
                <w:b/>
                <w:sz w:val="12"/>
              </w:rPr>
              <w:t>62.593</w:t>
            </w:r>
          </w:p>
        </w:tc>
        <w:tc>
          <w:tcPr>
            <w:tcW w:w="887" w:type="dxa"/>
          </w:tcPr>
          <w:p>
            <w:pPr>
              <w:pStyle w:val="TableParagraph"/>
              <w:spacing w:before="49"/>
              <w:ind w:right="49"/>
              <w:jc w:val="right"/>
              <w:rPr>
                <w:rFonts w:ascii="Caladea"/>
                <w:b/>
                <w:sz w:val="12"/>
              </w:rPr>
            </w:pPr>
            <w:r>
              <w:rPr>
                <w:rFonts w:ascii="Caladea"/>
                <w:b/>
                <w:sz w:val="12"/>
              </w:rPr>
              <w:t>31.592</w:t>
            </w:r>
          </w:p>
        </w:tc>
        <w:tc>
          <w:tcPr>
            <w:tcW w:w="669" w:type="dxa"/>
          </w:tcPr>
          <w:p>
            <w:pPr>
              <w:pStyle w:val="TableParagraph"/>
              <w:spacing w:before="49"/>
              <w:ind w:right="50"/>
              <w:jc w:val="right"/>
              <w:rPr>
                <w:rFonts w:ascii="Caladea"/>
                <w:b/>
                <w:sz w:val="12"/>
              </w:rPr>
            </w:pPr>
            <w:r>
              <w:rPr>
                <w:rFonts w:ascii="Caladea"/>
                <w:b/>
                <w:sz w:val="12"/>
              </w:rPr>
              <w:t>51.880</w:t>
            </w:r>
          </w:p>
        </w:tc>
        <w:tc>
          <w:tcPr>
            <w:tcW w:w="764" w:type="dxa"/>
          </w:tcPr>
          <w:p>
            <w:pPr>
              <w:pStyle w:val="TableParagraph"/>
              <w:spacing w:before="49"/>
              <w:ind w:right="47"/>
              <w:jc w:val="right"/>
              <w:rPr>
                <w:rFonts w:ascii="Caladea"/>
                <w:b/>
                <w:sz w:val="12"/>
              </w:rPr>
            </w:pPr>
            <w:r>
              <w:rPr>
                <w:rFonts w:ascii="Caladea"/>
                <w:b/>
                <w:sz w:val="12"/>
              </w:rPr>
              <w:t>59</w:t>
            </w:r>
          </w:p>
        </w:tc>
        <w:tc>
          <w:tcPr>
            <w:tcW w:w="939" w:type="dxa"/>
          </w:tcPr>
          <w:p>
            <w:pPr>
              <w:pStyle w:val="TableParagraph"/>
              <w:spacing w:before="49"/>
              <w:ind w:right="49"/>
              <w:jc w:val="right"/>
              <w:rPr>
                <w:rFonts w:ascii="Caladea"/>
                <w:b/>
                <w:sz w:val="12"/>
              </w:rPr>
            </w:pPr>
            <w:r>
              <w:rPr>
                <w:rFonts w:ascii="Caladea"/>
                <w:b/>
                <w:sz w:val="12"/>
              </w:rPr>
              <w:t>726.955</w:t>
            </w:r>
          </w:p>
        </w:tc>
      </w:tr>
      <w:tr>
        <w:trPr>
          <w:trHeight w:val="237" w:hRule="atLeast"/>
        </w:trPr>
        <w:tc>
          <w:tcPr>
            <w:tcW w:w="3507" w:type="dxa"/>
          </w:tcPr>
          <w:p>
            <w:pPr>
              <w:pStyle w:val="TableParagraph"/>
              <w:spacing w:before="50"/>
              <w:ind w:left="98"/>
              <w:rPr>
                <w:sz w:val="12"/>
              </w:rPr>
            </w:pPr>
            <w:r>
              <w:rPr>
                <w:sz w:val="12"/>
              </w:rPr>
              <w:t>Resultado de Equivalência Patrimonial</w:t>
            </w:r>
          </w:p>
        </w:tc>
        <w:tc>
          <w:tcPr>
            <w:tcW w:w="832" w:type="dxa"/>
          </w:tcPr>
          <w:p>
            <w:pPr>
              <w:pStyle w:val="TableParagraph"/>
              <w:spacing w:before="50"/>
              <w:ind w:right="55"/>
              <w:jc w:val="right"/>
              <w:rPr>
                <w:sz w:val="12"/>
              </w:rPr>
            </w:pPr>
            <w:r>
              <w:rPr>
                <w:w w:val="95"/>
                <w:sz w:val="12"/>
              </w:rPr>
              <w:t>41.892</w:t>
            </w:r>
          </w:p>
        </w:tc>
        <w:tc>
          <w:tcPr>
            <w:tcW w:w="813" w:type="dxa"/>
          </w:tcPr>
          <w:p>
            <w:pPr>
              <w:pStyle w:val="TableParagraph"/>
              <w:spacing w:before="50"/>
              <w:ind w:right="52"/>
              <w:jc w:val="right"/>
              <w:rPr>
                <w:sz w:val="12"/>
              </w:rPr>
            </w:pPr>
            <w:r>
              <w:rPr>
                <w:w w:val="95"/>
                <w:sz w:val="12"/>
              </w:rPr>
              <w:t>38.370</w:t>
            </w:r>
          </w:p>
        </w:tc>
        <w:tc>
          <w:tcPr>
            <w:tcW w:w="767" w:type="dxa"/>
          </w:tcPr>
          <w:p>
            <w:pPr>
              <w:pStyle w:val="TableParagraph"/>
              <w:spacing w:before="50"/>
              <w:ind w:right="53"/>
              <w:jc w:val="right"/>
              <w:rPr>
                <w:sz w:val="12"/>
              </w:rPr>
            </w:pPr>
            <w:r>
              <w:rPr>
                <w:w w:val="95"/>
                <w:sz w:val="12"/>
              </w:rPr>
              <w:t>6.564</w:t>
            </w:r>
          </w:p>
        </w:tc>
        <w:tc>
          <w:tcPr>
            <w:tcW w:w="729" w:type="dxa"/>
          </w:tcPr>
          <w:p>
            <w:pPr>
              <w:pStyle w:val="TableParagraph"/>
              <w:spacing w:before="50"/>
              <w:ind w:right="52"/>
              <w:jc w:val="right"/>
              <w:rPr>
                <w:sz w:val="12"/>
              </w:rPr>
            </w:pPr>
            <w:r>
              <w:rPr>
                <w:w w:val="95"/>
                <w:sz w:val="12"/>
              </w:rPr>
              <w:t>7.592</w:t>
            </w:r>
          </w:p>
        </w:tc>
        <w:tc>
          <w:tcPr>
            <w:tcW w:w="887" w:type="dxa"/>
          </w:tcPr>
          <w:p>
            <w:pPr>
              <w:pStyle w:val="TableParagraph"/>
              <w:spacing w:before="50"/>
              <w:ind w:right="49"/>
              <w:jc w:val="right"/>
              <w:rPr>
                <w:sz w:val="12"/>
              </w:rPr>
            </w:pPr>
            <w:r>
              <w:rPr>
                <w:w w:val="95"/>
                <w:sz w:val="12"/>
              </w:rPr>
              <w:t>15.601</w:t>
            </w:r>
          </w:p>
        </w:tc>
        <w:tc>
          <w:tcPr>
            <w:tcW w:w="669" w:type="dxa"/>
          </w:tcPr>
          <w:p>
            <w:pPr>
              <w:pStyle w:val="TableParagraph"/>
              <w:spacing w:before="50"/>
              <w:ind w:right="50"/>
              <w:jc w:val="right"/>
              <w:rPr>
                <w:sz w:val="12"/>
              </w:rPr>
            </w:pPr>
            <w:r>
              <w:rPr>
                <w:w w:val="95"/>
                <w:sz w:val="12"/>
              </w:rPr>
              <w:t>9.295</w:t>
            </w:r>
          </w:p>
        </w:tc>
        <w:tc>
          <w:tcPr>
            <w:tcW w:w="764" w:type="dxa"/>
          </w:tcPr>
          <w:p>
            <w:pPr>
              <w:pStyle w:val="TableParagraph"/>
              <w:spacing w:before="50"/>
              <w:ind w:right="50"/>
              <w:jc w:val="right"/>
              <w:rPr>
                <w:sz w:val="12"/>
              </w:rPr>
            </w:pPr>
            <w:r>
              <w:rPr>
                <w:sz w:val="12"/>
              </w:rPr>
              <w:t>(58)</w:t>
            </w:r>
          </w:p>
        </w:tc>
        <w:tc>
          <w:tcPr>
            <w:tcW w:w="939" w:type="dxa"/>
          </w:tcPr>
          <w:p>
            <w:pPr>
              <w:pStyle w:val="TableParagraph"/>
              <w:spacing w:before="49"/>
              <w:ind w:right="49"/>
              <w:jc w:val="right"/>
              <w:rPr>
                <w:rFonts w:ascii="Caladea"/>
                <w:b/>
                <w:sz w:val="12"/>
              </w:rPr>
            </w:pPr>
            <w:r>
              <w:rPr>
                <w:rFonts w:ascii="Caladea"/>
                <w:b/>
                <w:sz w:val="12"/>
              </w:rPr>
              <w:t>119.256</w:t>
            </w:r>
          </w:p>
        </w:tc>
      </w:tr>
      <w:tr>
        <w:trPr>
          <w:trHeight w:val="239" w:hRule="atLeast"/>
        </w:trPr>
        <w:tc>
          <w:tcPr>
            <w:tcW w:w="3507" w:type="dxa"/>
          </w:tcPr>
          <w:p>
            <w:pPr>
              <w:pStyle w:val="TableParagraph"/>
              <w:spacing w:before="50"/>
              <w:ind w:left="98"/>
              <w:rPr>
                <w:sz w:val="12"/>
              </w:rPr>
            </w:pPr>
            <w:r>
              <w:rPr>
                <w:w w:val="105"/>
                <w:sz w:val="12"/>
              </w:rPr>
              <w:t>Aporte/Adiantamento</w:t>
            </w:r>
            <w:r>
              <w:rPr>
                <w:spacing w:val="-28"/>
                <w:w w:val="105"/>
                <w:sz w:val="12"/>
              </w:rPr>
              <w:t> </w:t>
            </w:r>
            <w:r>
              <w:rPr>
                <w:w w:val="105"/>
                <w:sz w:val="12"/>
              </w:rPr>
              <w:t>Para</w:t>
            </w:r>
            <w:r>
              <w:rPr>
                <w:spacing w:val="-27"/>
                <w:w w:val="105"/>
                <w:sz w:val="12"/>
              </w:rPr>
              <w:t> </w:t>
            </w:r>
            <w:r>
              <w:rPr>
                <w:w w:val="105"/>
                <w:sz w:val="12"/>
              </w:rPr>
              <w:t>Futuro</w:t>
            </w:r>
            <w:r>
              <w:rPr>
                <w:spacing w:val="-27"/>
                <w:w w:val="105"/>
                <w:sz w:val="12"/>
              </w:rPr>
              <w:t> </w:t>
            </w:r>
            <w:r>
              <w:rPr>
                <w:w w:val="105"/>
                <w:sz w:val="12"/>
              </w:rPr>
              <w:t>Aumento</w:t>
            </w:r>
            <w:r>
              <w:rPr>
                <w:spacing w:val="-27"/>
                <w:w w:val="105"/>
                <w:sz w:val="12"/>
              </w:rPr>
              <w:t> </w:t>
            </w:r>
            <w:r>
              <w:rPr>
                <w:w w:val="105"/>
                <w:sz w:val="12"/>
              </w:rPr>
              <w:t>de</w:t>
            </w:r>
            <w:r>
              <w:rPr>
                <w:spacing w:val="-30"/>
                <w:w w:val="105"/>
                <w:sz w:val="12"/>
              </w:rPr>
              <w:t> </w:t>
            </w:r>
            <w:r>
              <w:rPr>
                <w:w w:val="105"/>
                <w:sz w:val="12"/>
              </w:rPr>
              <w:t>Capital</w:t>
            </w:r>
            <w:r>
              <w:rPr>
                <w:spacing w:val="-25"/>
                <w:w w:val="105"/>
                <w:sz w:val="12"/>
              </w:rPr>
              <w:t> </w:t>
            </w:r>
            <w:r>
              <w:rPr>
                <w:w w:val="105"/>
                <w:sz w:val="12"/>
              </w:rPr>
              <w:t>–</w:t>
            </w:r>
            <w:r>
              <w:rPr>
                <w:spacing w:val="-28"/>
                <w:w w:val="105"/>
                <w:sz w:val="12"/>
              </w:rPr>
              <w:t> </w:t>
            </w:r>
            <w:r>
              <w:rPr>
                <w:w w:val="105"/>
                <w:sz w:val="12"/>
              </w:rPr>
              <w:t>AFAC</w:t>
            </w:r>
          </w:p>
        </w:tc>
        <w:tc>
          <w:tcPr>
            <w:tcW w:w="832" w:type="dxa"/>
          </w:tcPr>
          <w:p>
            <w:pPr>
              <w:pStyle w:val="TableParagraph"/>
              <w:spacing w:before="50"/>
              <w:ind w:right="55"/>
              <w:jc w:val="right"/>
              <w:rPr>
                <w:sz w:val="12"/>
              </w:rPr>
            </w:pPr>
            <w:r>
              <w:rPr>
                <w:w w:val="95"/>
                <w:sz w:val="12"/>
              </w:rPr>
              <w:t>173.087</w:t>
            </w:r>
          </w:p>
        </w:tc>
        <w:tc>
          <w:tcPr>
            <w:tcW w:w="813" w:type="dxa"/>
          </w:tcPr>
          <w:p>
            <w:pPr>
              <w:pStyle w:val="TableParagraph"/>
              <w:rPr>
                <w:rFonts w:ascii="Times New Roman"/>
                <w:sz w:val="14"/>
              </w:rPr>
            </w:pPr>
          </w:p>
        </w:tc>
        <w:tc>
          <w:tcPr>
            <w:tcW w:w="767" w:type="dxa"/>
          </w:tcPr>
          <w:p>
            <w:pPr>
              <w:pStyle w:val="TableParagraph"/>
              <w:spacing w:before="50"/>
              <w:ind w:right="53"/>
              <w:jc w:val="right"/>
              <w:rPr>
                <w:sz w:val="12"/>
              </w:rPr>
            </w:pPr>
            <w:r>
              <w:rPr>
                <w:w w:val="95"/>
                <w:sz w:val="12"/>
              </w:rPr>
              <w:t>8.903</w:t>
            </w:r>
          </w:p>
        </w:tc>
        <w:tc>
          <w:tcPr>
            <w:tcW w:w="729" w:type="dxa"/>
          </w:tcPr>
          <w:p>
            <w:pPr>
              <w:pStyle w:val="TableParagraph"/>
              <w:rPr>
                <w:rFonts w:ascii="Times New Roman"/>
                <w:sz w:val="14"/>
              </w:rPr>
            </w:pPr>
          </w:p>
        </w:tc>
        <w:tc>
          <w:tcPr>
            <w:tcW w:w="887" w:type="dxa"/>
          </w:tcPr>
          <w:p>
            <w:pPr>
              <w:pStyle w:val="TableParagraph"/>
              <w:rPr>
                <w:rFonts w:ascii="Times New Roman"/>
                <w:sz w:val="14"/>
              </w:rPr>
            </w:pPr>
          </w:p>
        </w:tc>
        <w:tc>
          <w:tcPr>
            <w:tcW w:w="669" w:type="dxa"/>
          </w:tcPr>
          <w:p>
            <w:pPr>
              <w:pStyle w:val="TableParagraph"/>
              <w:rPr>
                <w:rFonts w:ascii="Times New Roman"/>
                <w:sz w:val="14"/>
              </w:rPr>
            </w:pPr>
          </w:p>
        </w:tc>
        <w:tc>
          <w:tcPr>
            <w:tcW w:w="764" w:type="dxa"/>
          </w:tcPr>
          <w:p>
            <w:pPr>
              <w:pStyle w:val="TableParagraph"/>
              <w:spacing w:before="50"/>
              <w:ind w:right="47"/>
              <w:jc w:val="right"/>
              <w:rPr>
                <w:sz w:val="12"/>
              </w:rPr>
            </w:pPr>
            <w:r>
              <w:rPr>
                <w:w w:val="105"/>
                <w:sz w:val="12"/>
              </w:rPr>
              <w:t>12</w:t>
            </w:r>
          </w:p>
        </w:tc>
        <w:tc>
          <w:tcPr>
            <w:tcW w:w="939" w:type="dxa"/>
          </w:tcPr>
          <w:p>
            <w:pPr>
              <w:pStyle w:val="TableParagraph"/>
              <w:spacing w:before="49"/>
              <w:ind w:right="49"/>
              <w:jc w:val="right"/>
              <w:rPr>
                <w:rFonts w:ascii="Caladea"/>
                <w:b/>
                <w:sz w:val="12"/>
              </w:rPr>
            </w:pPr>
            <w:r>
              <w:rPr>
                <w:rFonts w:ascii="Caladea"/>
                <w:b/>
                <w:sz w:val="12"/>
              </w:rPr>
              <w:t>182.002</w:t>
            </w:r>
          </w:p>
        </w:tc>
      </w:tr>
      <w:tr>
        <w:trPr>
          <w:trHeight w:val="237" w:hRule="atLeast"/>
        </w:trPr>
        <w:tc>
          <w:tcPr>
            <w:tcW w:w="3507" w:type="dxa"/>
          </w:tcPr>
          <w:p>
            <w:pPr>
              <w:pStyle w:val="TableParagraph"/>
              <w:spacing w:before="50"/>
              <w:ind w:left="98"/>
              <w:rPr>
                <w:sz w:val="12"/>
              </w:rPr>
            </w:pPr>
            <w:r>
              <w:rPr>
                <w:sz w:val="12"/>
              </w:rPr>
              <w:t>Equivalência</w:t>
            </w:r>
            <w:r>
              <w:rPr>
                <w:spacing w:val="-21"/>
                <w:sz w:val="12"/>
              </w:rPr>
              <w:t> </w:t>
            </w:r>
            <w:r>
              <w:rPr>
                <w:sz w:val="12"/>
              </w:rPr>
              <w:t>Patrimonial</w:t>
            </w:r>
            <w:r>
              <w:rPr>
                <w:spacing w:val="-20"/>
                <w:sz w:val="12"/>
              </w:rPr>
              <w:t> </w:t>
            </w:r>
            <w:r>
              <w:rPr>
                <w:sz w:val="12"/>
              </w:rPr>
              <w:t>Reflexa</w:t>
            </w:r>
            <w:r>
              <w:rPr>
                <w:spacing w:val="-20"/>
                <w:sz w:val="12"/>
              </w:rPr>
              <w:t> </w:t>
            </w:r>
            <w:r>
              <w:rPr>
                <w:w w:val="105"/>
                <w:sz w:val="12"/>
              </w:rPr>
              <w:t>–</w:t>
            </w:r>
            <w:r>
              <w:rPr>
                <w:spacing w:val="-22"/>
                <w:w w:val="105"/>
                <w:sz w:val="12"/>
              </w:rPr>
              <w:t> </w:t>
            </w:r>
            <w:r>
              <w:rPr>
                <w:sz w:val="12"/>
              </w:rPr>
              <w:t>PL</w:t>
            </w:r>
            <w:r>
              <w:rPr>
                <w:spacing w:val="-20"/>
                <w:sz w:val="12"/>
              </w:rPr>
              <w:t> </w:t>
            </w:r>
            <w:r>
              <w:rPr>
                <w:sz w:val="12"/>
              </w:rPr>
              <w:t>de</w:t>
            </w:r>
            <w:r>
              <w:rPr>
                <w:spacing w:val="-20"/>
                <w:sz w:val="12"/>
              </w:rPr>
              <w:t> </w:t>
            </w:r>
            <w:r>
              <w:rPr>
                <w:sz w:val="12"/>
              </w:rPr>
              <w:t>Controladas</w:t>
            </w:r>
            <w:r>
              <w:rPr>
                <w:spacing w:val="-21"/>
                <w:sz w:val="12"/>
              </w:rPr>
              <w:t> </w:t>
            </w:r>
            <w:r>
              <w:rPr>
                <w:sz w:val="12"/>
              </w:rPr>
              <w:t>e</w:t>
            </w:r>
            <w:r>
              <w:rPr>
                <w:spacing w:val="-21"/>
                <w:sz w:val="12"/>
              </w:rPr>
              <w:t> </w:t>
            </w:r>
            <w:r>
              <w:rPr>
                <w:sz w:val="12"/>
              </w:rPr>
              <w:t>Coligadas</w:t>
            </w:r>
          </w:p>
        </w:tc>
        <w:tc>
          <w:tcPr>
            <w:tcW w:w="832" w:type="dxa"/>
          </w:tcPr>
          <w:p>
            <w:pPr>
              <w:pStyle w:val="TableParagraph"/>
              <w:spacing w:before="50"/>
              <w:ind w:right="53"/>
              <w:jc w:val="right"/>
              <w:rPr>
                <w:sz w:val="12"/>
              </w:rPr>
            </w:pPr>
            <w:r>
              <w:rPr>
                <w:sz w:val="12"/>
              </w:rPr>
              <w:t>(41.907)</w:t>
            </w:r>
          </w:p>
        </w:tc>
        <w:tc>
          <w:tcPr>
            <w:tcW w:w="813" w:type="dxa"/>
          </w:tcPr>
          <w:p>
            <w:pPr>
              <w:pStyle w:val="TableParagraph"/>
              <w:spacing w:before="50"/>
              <w:ind w:right="53"/>
              <w:jc w:val="right"/>
              <w:rPr>
                <w:sz w:val="12"/>
              </w:rPr>
            </w:pPr>
            <w:r>
              <w:rPr>
                <w:w w:val="105"/>
                <w:sz w:val="12"/>
              </w:rPr>
              <w:t>(25)</w:t>
            </w:r>
          </w:p>
        </w:tc>
        <w:tc>
          <w:tcPr>
            <w:tcW w:w="767" w:type="dxa"/>
          </w:tcPr>
          <w:p>
            <w:pPr>
              <w:pStyle w:val="TableParagraph"/>
              <w:spacing w:before="50"/>
              <w:ind w:right="52"/>
              <w:jc w:val="right"/>
              <w:rPr>
                <w:sz w:val="12"/>
              </w:rPr>
            </w:pPr>
            <w:r>
              <w:rPr>
                <w:w w:val="105"/>
                <w:sz w:val="12"/>
              </w:rPr>
              <w:t>544</w:t>
            </w:r>
          </w:p>
        </w:tc>
        <w:tc>
          <w:tcPr>
            <w:tcW w:w="729" w:type="dxa"/>
          </w:tcPr>
          <w:p>
            <w:pPr>
              <w:pStyle w:val="TableParagraph"/>
              <w:rPr>
                <w:rFonts w:ascii="Times New Roman"/>
                <w:sz w:val="14"/>
              </w:rPr>
            </w:pPr>
          </w:p>
        </w:tc>
        <w:tc>
          <w:tcPr>
            <w:tcW w:w="887" w:type="dxa"/>
          </w:tcPr>
          <w:p>
            <w:pPr>
              <w:pStyle w:val="TableParagraph"/>
              <w:rPr>
                <w:rFonts w:ascii="Times New Roman"/>
                <w:sz w:val="14"/>
              </w:rPr>
            </w:pPr>
          </w:p>
        </w:tc>
        <w:tc>
          <w:tcPr>
            <w:tcW w:w="669" w:type="dxa"/>
          </w:tcPr>
          <w:p>
            <w:pPr>
              <w:pStyle w:val="TableParagraph"/>
              <w:rPr>
                <w:rFonts w:ascii="Times New Roman"/>
                <w:sz w:val="14"/>
              </w:rPr>
            </w:pPr>
          </w:p>
        </w:tc>
        <w:tc>
          <w:tcPr>
            <w:tcW w:w="764" w:type="dxa"/>
          </w:tcPr>
          <w:p>
            <w:pPr>
              <w:pStyle w:val="TableParagraph"/>
              <w:rPr>
                <w:rFonts w:ascii="Times New Roman"/>
                <w:sz w:val="14"/>
              </w:rPr>
            </w:pPr>
          </w:p>
        </w:tc>
        <w:tc>
          <w:tcPr>
            <w:tcW w:w="939" w:type="dxa"/>
          </w:tcPr>
          <w:p>
            <w:pPr>
              <w:pStyle w:val="TableParagraph"/>
              <w:spacing w:before="49"/>
              <w:ind w:right="49"/>
              <w:jc w:val="right"/>
              <w:rPr>
                <w:rFonts w:ascii="Caladea"/>
                <w:b/>
                <w:sz w:val="12"/>
              </w:rPr>
            </w:pPr>
            <w:r>
              <w:rPr>
                <w:rFonts w:ascii="Caladea"/>
                <w:b/>
                <w:sz w:val="12"/>
              </w:rPr>
              <w:t>(41.388)</w:t>
            </w:r>
          </w:p>
        </w:tc>
      </w:tr>
      <w:tr>
        <w:trPr>
          <w:trHeight w:val="237" w:hRule="atLeast"/>
        </w:trPr>
        <w:tc>
          <w:tcPr>
            <w:tcW w:w="3507" w:type="dxa"/>
          </w:tcPr>
          <w:p>
            <w:pPr>
              <w:pStyle w:val="TableParagraph"/>
              <w:spacing w:before="50"/>
              <w:ind w:left="98"/>
              <w:rPr>
                <w:sz w:val="12"/>
              </w:rPr>
            </w:pPr>
            <w:r>
              <w:rPr>
                <w:sz w:val="12"/>
              </w:rPr>
              <w:t>Ajuste de Equivalência Patrimonial em Investidas</w:t>
            </w:r>
          </w:p>
        </w:tc>
        <w:tc>
          <w:tcPr>
            <w:tcW w:w="832" w:type="dxa"/>
          </w:tcPr>
          <w:p>
            <w:pPr>
              <w:pStyle w:val="TableParagraph"/>
              <w:rPr>
                <w:rFonts w:ascii="Times New Roman"/>
                <w:sz w:val="14"/>
              </w:rPr>
            </w:pPr>
          </w:p>
        </w:tc>
        <w:tc>
          <w:tcPr>
            <w:tcW w:w="813" w:type="dxa"/>
          </w:tcPr>
          <w:p>
            <w:pPr>
              <w:pStyle w:val="TableParagraph"/>
              <w:rPr>
                <w:rFonts w:ascii="Times New Roman"/>
                <w:sz w:val="14"/>
              </w:rPr>
            </w:pPr>
          </w:p>
        </w:tc>
        <w:tc>
          <w:tcPr>
            <w:tcW w:w="767" w:type="dxa"/>
          </w:tcPr>
          <w:p>
            <w:pPr>
              <w:pStyle w:val="TableParagraph"/>
              <w:spacing w:before="50"/>
              <w:ind w:right="51"/>
              <w:jc w:val="right"/>
              <w:rPr>
                <w:sz w:val="12"/>
              </w:rPr>
            </w:pPr>
            <w:r>
              <w:rPr>
                <w:w w:val="105"/>
                <w:sz w:val="12"/>
              </w:rPr>
              <w:t>(108)</w:t>
            </w:r>
          </w:p>
        </w:tc>
        <w:tc>
          <w:tcPr>
            <w:tcW w:w="729" w:type="dxa"/>
          </w:tcPr>
          <w:p>
            <w:pPr>
              <w:pStyle w:val="TableParagraph"/>
              <w:rPr>
                <w:rFonts w:ascii="Times New Roman"/>
                <w:sz w:val="14"/>
              </w:rPr>
            </w:pPr>
          </w:p>
        </w:tc>
        <w:tc>
          <w:tcPr>
            <w:tcW w:w="887" w:type="dxa"/>
          </w:tcPr>
          <w:p>
            <w:pPr>
              <w:pStyle w:val="TableParagraph"/>
              <w:spacing w:before="50"/>
              <w:ind w:right="50"/>
              <w:jc w:val="right"/>
              <w:rPr>
                <w:sz w:val="12"/>
              </w:rPr>
            </w:pPr>
            <w:r>
              <w:rPr>
                <w:sz w:val="12"/>
              </w:rPr>
              <w:t>(51)</w:t>
            </w:r>
          </w:p>
        </w:tc>
        <w:tc>
          <w:tcPr>
            <w:tcW w:w="669" w:type="dxa"/>
          </w:tcPr>
          <w:p>
            <w:pPr>
              <w:pStyle w:val="TableParagraph"/>
              <w:rPr>
                <w:rFonts w:ascii="Times New Roman"/>
                <w:sz w:val="14"/>
              </w:rPr>
            </w:pPr>
          </w:p>
        </w:tc>
        <w:tc>
          <w:tcPr>
            <w:tcW w:w="764" w:type="dxa"/>
          </w:tcPr>
          <w:p>
            <w:pPr>
              <w:pStyle w:val="TableParagraph"/>
              <w:rPr>
                <w:rFonts w:ascii="Times New Roman"/>
                <w:sz w:val="14"/>
              </w:rPr>
            </w:pPr>
          </w:p>
        </w:tc>
        <w:tc>
          <w:tcPr>
            <w:tcW w:w="939" w:type="dxa"/>
          </w:tcPr>
          <w:p>
            <w:pPr>
              <w:pStyle w:val="TableParagraph"/>
              <w:spacing w:before="49"/>
              <w:ind w:right="50"/>
              <w:jc w:val="right"/>
              <w:rPr>
                <w:rFonts w:ascii="Caladea"/>
                <w:b/>
                <w:sz w:val="12"/>
              </w:rPr>
            </w:pPr>
            <w:r>
              <w:rPr>
                <w:rFonts w:ascii="Caladea"/>
                <w:b/>
                <w:sz w:val="12"/>
              </w:rPr>
              <w:t>(159)</w:t>
            </w:r>
          </w:p>
        </w:tc>
      </w:tr>
      <w:tr>
        <w:trPr>
          <w:trHeight w:val="240" w:hRule="atLeast"/>
        </w:trPr>
        <w:tc>
          <w:tcPr>
            <w:tcW w:w="3507" w:type="dxa"/>
          </w:tcPr>
          <w:p>
            <w:pPr>
              <w:pStyle w:val="TableParagraph"/>
              <w:spacing w:before="51"/>
              <w:ind w:left="98"/>
              <w:rPr>
                <w:sz w:val="12"/>
              </w:rPr>
            </w:pPr>
            <w:r>
              <w:rPr>
                <w:sz w:val="12"/>
              </w:rPr>
              <w:t>Dividendos/Juros Sobre Capital Próprio</w:t>
            </w:r>
          </w:p>
        </w:tc>
        <w:tc>
          <w:tcPr>
            <w:tcW w:w="832" w:type="dxa"/>
          </w:tcPr>
          <w:p>
            <w:pPr>
              <w:pStyle w:val="TableParagraph"/>
              <w:rPr>
                <w:rFonts w:ascii="Times New Roman"/>
                <w:sz w:val="14"/>
              </w:rPr>
            </w:pPr>
          </w:p>
        </w:tc>
        <w:tc>
          <w:tcPr>
            <w:tcW w:w="813" w:type="dxa"/>
          </w:tcPr>
          <w:p>
            <w:pPr>
              <w:pStyle w:val="TableParagraph"/>
              <w:spacing w:before="51"/>
              <w:ind w:right="50"/>
              <w:jc w:val="right"/>
              <w:rPr>
                <w:sz w:val="12"/>
              </w:rPr>
            </w:pPr>
            <w:r>
              <w:rPr>
                <w:sz w:val="12"/>
              </w:rPr>
              <w:t>(24.050)</w:t>
            </w:r>
          </w:p>
        </w:tc>
        <w:tc>
          <w:tcPr>
            <w:tcW w:w="767" w:type="dxa"/>
          </w:tcPr>
          <w:p>
            <w:pPr>
              <w:pStyle w:val="TableParagraph"/>
              <w:spacing w:before="51"/>
              <w:ind w:right="51"/>
              <w:jc w:val="right"/>
              <w:rPr>
                <w:sz w:val="12"/>
              </w:rPr>
            </w:pPr>
            <w:r>
              <w:rPr>
                <w:w w:val="105"/>
                <w:sz w:val="12"/>
              </w:rPr>
              <w:t>(890)</w:t>
            </w:r>
          </w:p>
        </w:tc>
        <w:tc>
          <w:tcPr>
            <w:tcW w:w="729" w:type="dxa"/>
          </w:tcPr>
          <w:p>
            <w:pPr>
              <w:pStyle w:val="TableParagraph"/>
              <w:spacing w:before="51"/>
              <w:ind w:right="51"/>
              <w:jc w:val="right"/>
              <w:rPr>
                <w:sz w:val="12"/>
              </w:rPr>
            </w:pPr>
            <w:r>
              <w:rPr>
                <w:w w:val="95"/>
                <w:sz w:val="12"/>
              </w:rPr>
              <w:t>(5.449)</w:t>
            </w:r>
          </w:p>
        </w:tc>
        <w:tc>
          <w:tcPr>
            <w:tcW w:w="887" w:type="dxa"/>
          </w:tcPr>
          <w:p>
            <w:pPr>
              <w:pStyle w:val="TableParagraph"/>
              <w:spacing w:before="51"/>
              <w:ind w:right="47"/>
              <w:jc w:val="right"/>
              <w:rPr>
                <w:sz w:val="12"/>
              </w:rPr>
            </w:pPr>
            <w:r>
              <w:rPr>
                <w:sz w:val="12"/>
              </w:rPr>
              <w:t>(14.353)</w:t>
            </w:r>
          </w:p>
        </w:tc>
        <w:tc>
          <w:tcPr>
            <w:tcW w:w="669" w:type="dxa"/>
          </w:tcPr>
          <w:p>
            <w:pPr>
              <w:pStyle w:val="TableParagraph"/>
              <w:spacing w:before="51"/>
              <w:ind w:right="49"/>
              <w:jc w:val="right"/>
              <w:rPr>
                <w:sz w:val="12"/>
              </w:rPr>
            </w:pPr>
            <w:r>
              <w:rPr>
                <w:sz w:val="12"/>
              </w:rPr>
              <w:t>(35.617)</w:t>
            </w:r>
          </w:p>
        </w:tc>
        <w:tc>
          <w:tcPr>
            <w:tcW w:w="764" w:type="dxa"/>
          </w:tcPr>
          <w:p>
            <w:pPr>
              <w:pStyle w:val="TableParagraph"/>
              <w:rPr>
                <w:rFonts w:ascii="Times New Roman"/>
                <w:sz w:val="14"/>
              </w:rPr>
            </w:pPr>
          </w:p>
        </w:tc>
        <w:tc>
          <w:tcPr>
            <w:tcW w:w="939" w:type="dxa"/>
          </w:tcPr>
          <w:p>
            <w:pPr>
              <w:pStyle w:val="TableParagraph"/>
              <w:spacing w:before="49"/>
              <w:ind w:right="49"/>
              <w:jc w:val="right"/>
              <w:rPr>
                <w:rFonts w:ascii="Caladea"/>
                <w:b/>
                <w:sz w:val="12"/>
              </w:rPr>
            </w:pPr>
            <w:r>
              <w:rPr>
                <w:rFonts w:ascii="Caladea"/>
                <w:b/>
                <w:sz w:val="12"/>
              </w:rPr>
              <w:t>(80.359)</w:t>
            </w:r>
          </w:p>
        </w:tc>
      </w:tr>
      <w:tr>
        <w:trPr>
          <w:trHeight w:val="237" w:hRule="atLeast"/>
        </w:trPr>
        <w:tc>
          <w:tcPr>
            <w:tcW w:w="3507" w:type="dxa"/>
          </w:tcPr>
          <w:p>
            <w:pPr>
              <w:pStyle w:val="TableParagraph"/>
              <w:spacing w:before="49"/>
              <w:ind w:left="98"/>
              <w:rPr>
                <w:rFonts w:ascii="Caladea"/>
                <w:b/>
                <w:sz w:val="12"/>
              </w:rPr>
            </w:pPr>
            <w:r>
              <w:rPr>
                <w:rFonts w:ascii="Caladea"/>
                <w:b/>
                <w:sz w:val="12"/>
              </w:rPr>
              <w:t>Saldo em 31 de dezembro de 2019</w:t>
            </w:r>
          </w:p>
        </w:tc>
        <w:tc>
          <w:tcPr>
            <w:tcW w:w="832" w:type="dxa"/>
          </w:tcPr>
          <w:p>
            <w:pPr>
              <w:pStyle w:val="TableParagraph"/>
              <w:spacing w:before="42"/>
              <w:ind w:right="56"/>
              <w:jc w:val="right"/>
              <w:rPr>
                <w:rFonts w:ascii="Caladea"/>
                <w:b/>
                <w:sz w:val="13"/>
              </w:rPr>
            </w:pPr>
            <w:r>
              <w:rPr>
                <w:rFonts w:ascii="Caladea"/>
                <w:b/>
                <w:sz w:val="13"/>
              </w:rPr>
              <w:t>587.873</w:t>
            </w:r>
          </w:p>
        </w:tc>
        <w:tc>
          <w:tcPr>
            <w:tcW w:w="813" w:type="dxa"/>
          </w:tcPr>
          <w:p>
            <w:pPr>
              <w:pStyle w:val="TableParagraph"/>
              <w:spacing w:before="42"/>
              <w:ind w:right="55"/>
              <w:jc w:val="right"/>
              <w:rPr>
                <w:rFonts w:ascii="Caladea"/>
                <w:b/>
                <w:sz w:val="13"/>
              </w:rPr>
            </w:pPr>
            <w:r>
              <w:rPr>
                <w:rFonts w:ascii="Caladea"/>
                <w:b/>
                <w:sz w:val="13"/>
              </w:rPr>
              <w:t>92.494</w:t>
            </w:r>
          </w:p>
        </w:tc>
        <w:tc>
          <w:tcPr>
            <w:tcW w:w="767" w:type="dxa"/>
          </w:tcPr>
          <w:p>
            <w:pPr>
              <w:pStyle w:val="TableParagraph"/>
              <w:spacing w:before="42"/>
              <w:ind w:right="54"/>
              <w:jc w:val="right"/>
              <w:rPr>
                <w:rFonts w:ascii="Caladea"/>
                <w:b/>
                <w:sz w:val="13"/>
              </w:rPr>
            </w:pPr>
            <w:r>
              <w:rPr>
                <w:rFonts w:ascii="Caladea"/>
                <w:b/>
                <w:sz w:val="13"/>
              </w:rPr>
              <w:t>102.844</w:t>
            </w:r>
          </w:p>
        </w:tc>
        <w:tc>
          <w:tcPr>
            <w:tcW w:w="729" w:type="dxa"/>
          </w:tcPr>
          <w:p>
            <w:pPr>
              <w:pStyle w:val="TableParagraph"/>
              <w:spacing w:before="42"/>
              <w:ind w:right="54"/>
              <w:jc w:val="right"/>
              <w:rPr>
                <w:rFonts w:ascii="Caladea"/>
                <w:b/>
                <w:sz w:val="13"/>
              </w:rPr>
            </w:pPr>
            <w:r>
              <w:rPr>
                <w:rFonts w:ascii="Caladea"/>
                <w:b/>
                <w:sz w:val="13"/>
              </w:rPr>
              <w:t>64.736</w:t>
            </w:r>
          </w:p>
        </w:tc>
        <w:tc>
          <w:tcPr>
            <w:tcW w:w="887" w:type="dxa"/>
          </w:tcPr>
          <w:p>
            <w:pPr>
              <w:pStyle w:val="TableParagraph"/>
              <w:spacing w:before="42"/>
              <w:ind w:right="52"/>
              <w:jc w:val="right"/>
              <w:rPr>
                <w:rFonts w:ascii="Caladea"/>
                <w:b/>
                <w:sz w:val="13"/>
              </w:rPr>
            </w:pPr>
            <w:r>
              <w:rPr>
                <w:rFonts w:ascii="Caladea"/>
                <w:b/>
                <w:sz w:val="13"/>
              </w:rPr>
              <w:t>32.789</w:t>
            </w:r>
          </w:p>
        </w:tc>
        <w:tc>
          <w:tcPr>
            <w:tcW w:w="669" w:type="dxa"/>
          </w:tcPr>
          <w:p>
            <w:pPr>
              <w:pStyle w:val="TableParagraph"/>
              <w:spacing w:before="49"/>
              <w:ind w:right="50"/>
              <w:jc w:val="right"/>
              <w:rPr>
                <w:rFonts w:ascii="Caladea"/>
                <w:b/>
                <w:sz w:val="12"/>
              </w:rPr>
            </w:pPr>
            <w:r>
              <w:rPr>
                <w:rFonts w:ascii="Caladea"/>
                <w:b/>
                <w:sz w:val="12"/>
              </w:rPr>
              <w:t>25.558</w:t>
            </w:r>
          </w:p>
        </w:tc>
        <w:tc>
          <w:tcPr>
            <w:tcW w:w="764" w:type="dxa"/>
          </w:tcPr>
          <w:p>
            <w:pPr>
              <w:pStyle w:val="TableParagraph"/>
              <w:spacing w:before="49"/>
              <w:ind w:right="47"/>
              <w:jc w:val="right"/>
              <w:rPr>
                <w:rFonts w:ascii="Caladea"/>
                <w:b/>
                <w:sz w:val="12"/>
              </w:rPr>
            </w:pPr>
            <w:r>
              <w:rPr>
                <w:rFonts w:ascii="Caladea"/>
                <w:b/>
                <w:sz w:val="12"/>
              </w:rPr>
              <w:t>13</w:t>
            </w:r>
          </w:p>
        </w:tc>
        <w:tc>
          <w:tcPr>
            <w:tcW w:w="939" w:type="dxa"/>
          </w:tcPr>
          <w:p>
            <w:pPr>
              <w:pStyle w:val="TableParagraph"/>
              <w:spacing w:before="49"/>
              <w:ind w:right="49"/>
              <w:jc w:val="right"/>
              <w:rPr>
                <w:rFonts w:ascii="Caladea"/>
                <w:b/>
                <w:sz w:val="12"/>
              </w:rPr>
            </w:pPr>
            <w:r>
              <w:rPr>
                <w:rFonts w:ascii="Caladea"/>
                <w:b/>
                <w:sz w:val="12"/>
              </w:rPr>
              <w:t>906.307</w:t>
            </w:r>
          </w:p>
        </w:tc>
      </w:tr>
    </w:tbl>
    <w:p>
      <w:pPr>
        <w:spacing w:after="0"/>
        <w:jc w:val="right"/>
        <w:rPr>
          <w:rFonts w:ascii="Caladea"/>
          <w:sz w:val="12"/>
        </w:rPr>
        <w:sectPr>
          <w:pgSz w:w="11910" w:h="16850"/>
          <w:pgMar w:header="792" w:footer="987"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BodyText"/>
        <w:rPr>
          <w:rFonts w:ascii="Caladea"/>
          <w:b/>
          <w:sz w:val="2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9"/>
        <w:gridCol w:w="1438"/>
        <w:gridCol w:w="1438"/>
        <w:gridCol w:w="1338"/>
        <w:gridCol w:w="1275"/>
      </w:tblGrid>
      <w:tr>
        <w:trPr>
          <w:trHeight w:val="237" w:hRule="atLeast"/>
        </w:trPr>
        <w:tc>
          <w:tcPr>
            <w:tcW w:w="4429" w:type="dxa"/>
            <w:vMerge w:val="restart"/>
            <w:shd w:val="clear" w:color="auto" w:fill="D9D9D9"/>
          </w:tcPr>
          <w:p>
            <w:pPr>
              <w:pStyle w:val="TableParagraph"/>
              <w:rPr>
                <w:rFonts w:ascii="Caladea"/>
                <w:b/>
                <w:sz w:val="14"/>
              </w:rPr>
            </w:pPr>
          </w:p>
          <w:p>
            <w:pPr>
              <w:pStyle w:val="TableParagraph"/>
              <w:spacing w:before="10"/>
              <w:rPr>
                <w:rFonts w:ascii="Caladea"/>
                <w:b/>
                <w:sz w:val="10"/>
              </w:rPr>
            </w:pPr>
          </w:p>
          <w:p>
            <w:pPr>
              <w:pStyle w:val="TableParagraph"/>
              <w:ind w:left="72"/>
              <w:rPr>
                <w:rFonts w:ascii="Caladea"/>
                <w:b/>
                <w:sz w:val="13"/>
              </w:rPr>
            </w:pPr>
            <w:r>
              <w:rPr>
                <w:rFonts w:ascii="Caladea"/>
                <w:b/>
                <w:sz w:val="13"/>
              </w:rPr>
              <w:t>Investidas</w:t>
            </w:r>
          </w:p>
        </w:tc>
        <w:tc>
          <w:tcPr>
            <w:tcW w:w="5489" w:type="dxa"/>
            <w:gridSpan w:val="4"/>
          </w:tcPr>
          <w:p>
            <w:pPr>
              <w:pStyle w:val="TableParagraph"/>
              <w:spacing w:before="49"/>
              <w:ind w:left="2381" w:right="2373"/>
              <w:jc w:val="center"/>
              <w:rPr>
                <w:rFonts w:ascii="Caladea"/>
                <w:b/>
                <w:sz w:val="12"/>
              </w:rPr>
            </w:pPr>
            <w:r>
              <w:rPr>
                <w:rFonts w:ascii="Caladea"/>
                <w:b/>
                <w:sz w:val="12"/>
              </w:rPr>
              <w:t>Consolidado</w:t>
            </w:r>
          </w:p>
        </w:tc>
      </w:tr>
      <w:tr>
        <w:trPr>
          <w:trHeight w:val="486" w:hRule="atLeast"/>
        </w:trPr>
        <w:tc>
          <w:tcPr>
            <w:tcW w:w="4429" w:type="dxa"/>
            <w:vMerge/>
            <w:tcBorders>
              <w:top w:val="nil"/>
            </w:tcBorders>
            <w:shd w:val="clear" w:color="auto" w:fill="D9D9D9"/>
          </w:tcPr>
          <w:p>
            <w:pPr>
              <w:rPr>
                <w:sz w:val="2"/>
                <w:szCs w:val="2"/>
              </w:rPr>
            </w:pPr>
          </w:p>
        </w:tc>
        <w:tc>
          <w:tcPr>
            <w:tcW w:w="1438" w:type="dxa"/>
          </w:tcPr>
          <w:p>
            <w:pPr>
              <w:pStyle w:val="TableParagraph"/>
              <w:spacing w:before="9"/>
              <w:rPr>
                <w:rFonts w:ascii="Caladea"/>
                <w:b/>
                <w:sz w:val="14"/>
              </w:rPr>
            </w:pPr>
          </w:p>
          <w:p>
            <w:pPr>
              <w:pStyle w:val="TableParagraph"/>
              <w:ind w:left="388"/>
              <w:rPr>
                <w:rFonts w:ascii="Caladea"/>
                <w:b/>
                <w:sz w:val="12"/>
              </w:rPr>
            </w:pPr>
            <w:r>
              <w:rPr>
                <w:rFonts w:ascii="Caladea"/>
                <w:b/>
                <w:sz w:val="12"/>
              </w:rPr>
              <w:t>Investco S.A.</w:t>
            </w:r>
          </w:p>
        </w:tc>
        <w:tc>
          <w:tcPr>
            <w:tcW w:w="1438" w:type="dxa"/>
          </w:tcPr>
          <w:p>
            <w:pPr>
              <w:pStyle w:val="TableParagraph"/>
              <w:spacing w:before="104"/>
              <w:ind w:left="292" w:right="267" w:firstLine="184"/>
              <w:rPr>
                <w:rFonts w:ascii="Caladea" w:hAnsi="Caladea"/>
                <w:b/>
                <w:sz w:val="12"/>
              </w:rPr>
            </w:pPr>
            <w:r>
              <w:rPr>
                <w:rFonts w:ascii="Caladea" w:hAnsi="Caladea"/>
                <w:b/>
                <w:sz w:val="12"/>
              </w:rPr>
              <w:t>Corumbá Concessões S.A.</w:t>
            </w:r>
          </w:p>
        </w:tc>
        <w:tc>
          <w:tcPr>
            <w:tcW w:w="1338" w:type="dxa"/>
          </w:tcPr>
          <w:p>
            <w:pPr>
              <w:pStyle w:val="TableParagraph"/>
              <w:spacing w:before="104"/>
              <w:ind w:left="494" w:right="67" w:hanging="375"/>
              <w:rPr>
                <w:rFonts w:ascii="Caladea" w:hAnsi="Caladea"/>
                <w:b/>
                <w:sz w:val="12"/>
              </w:rPr>
            </w:pPr>
            <w:r>
              <w:rPr>
                <w:rFonts w:ascii="Caladea" w:hAnsi="Caladea"/>
                <w:b/>
                <w:sz w:val="12"/>
              </w:rPr>
              <w:t>Energética Corumbá III S.A.</w:t>
            </w:r>
          </w:p>
        </w:tc>
        <w:tc>
          <w:tcPr>
            <w:tcW w:w="1275" w:type="dxa"/>
          </w:tcPr>
          <w:p>
            <w:pPr>
              <w:pStyle w:val="TableParagraph"/>
              <w:spacing w:before="9"/>
              <w:rPr>
                <w:rFonts w:ascii="Caladea"/>
                <w:b/>
                <w:sz w:val="14"/>
              </w:rPr>
            </w:pPr>
          </w:p>
          <w:p>
            <w:pPr>
              <w:pStyle w:val="TableParagraph"/>
              <w:ind w:left="484" w:right="450"/>
              <w:jc w:val="center"/>
              <w:rPr>
                <w:rFonts w:ascii="Caladea"/>
                <w:b/>
                <w:sz w:val="12"/>
              </w:rPr>
            </w:pPr>
            <w:r>
              <w:rPr>
                <w:rFonts w:ascii="Caladea"/>
                <w:b/>
                <w:sz w:val="12"/>
              </w:rPr>
              <w:t>Total</w:t>
            </w:r>
          </w:p>
        </w:tc>
      </w:tr>
      <w:tr>
        <w:trPr>
          <w:trHeight w:val="237" w:hRule="atLeast"/>
        </w:trPr>
        <w:tc>
          <w:tcPr>
            <w:tcW w:w="4429" w:type="dxa"/>
          </w:tcPr>
          <w:p>
            <w:pPr>
              <w:pStyle w:val="TableParagraph"/>
              <w:spacing w:before="49"/>
              <w:ind w:left="98"/>
              <w:rPr>
                <w:rFonts w:ascii="Caladea"/>
                <w:b/>
                <w:sz w:val="12"/>
              </w:rPr>
            </w:pPr>
            <w:r>
              <w:rPr>
                <w:rFonts w:ascii="Caladea"/>
                <w:b/>
                <w:sz w:val="12"/>
              </w:rPr>
              <w:t>Saldo em 31 de dezembro de 2017 (Reapresentado)</w:t>
            </w:r>
          </w:p>
        </w:tc>
        <w:tc>
          <w:tcPr>
            <w:tcW w:w="1438" w:type="dxa"/>
          </w:tcPr>
          <w:p>
            <w:pPr>
              <w:pStyle w:val="TableParagraph"/>
              <w:spacing w:before="49"/>
              <w:ind w:right="59"/>
              <w:jc w:val="right"/>
              <w:rPr>
                <w:rFonts w:ascii="Caladea"/>
                <w:b/>
                <w:sz w:val="12"/>
              </w:rPr>
            </w:pPr>
            <w:r>
              <w:rPr>
                <w:rFonts w:ascii="Caladea"/>
                <w:b/>
                <w:sz w:val="12"/>
              </w:rPr>
              <w:t>177.931</w:t>
            </w:r>
          </w:p>
        </w:tc>
        <w:tc>
          <w:tcPr>
            <w:tcW w:w="1438" w:type="dxa"/>
          </w:tcPr>
          <w:p>
            <w:pPr>
              <w:pStyle w:val="TableParagraph"/>
              <w:spacing w:before="49"/>
              <w:ind w:right="59"/>
              <w:jc w:val="right"/>
              <w:rPr>
                <w:rFonts w:ascii="Caladea"/>
                <w:b/>
                <w:sz w:val="12"/>
              </w:rPr>
            </w:pPr>
            <w:r>
              <w:rPr>
                <w:rFonts w:ascii="Caladea"/>
                <w:b/>
                <w:sz w:val="12"/>
              </w:rPr>
              <w:t>75.341</w:t>
            </w:r>
          </w:p>
        </w:tc>
        <w:tc>
          <w:tcPr>
            <w:tcW w:w="1338" w:type="dxa"/>
          </w:tcPr>
          <w:p>
            <w:pPr>
              <w:pStyle w:val="TableParagraph"/>
              <w:spacing w:before="49"/>
              <w:ind w:right="60"/>
              <w:jc w:val="right"/>
              <w:rPr>
                <w:rFonts w:ascii="Caladea"/>
                <w:b/>
                <w:sz w:val="12"/>
              </w:rPr>
            </w:pPr>
            <w:r>
              <w:rPr>
                <w:rFonts w:ascii="Caladea"/>
                <w:b/>
                <w:sz w:val="12"/>
              </w:rPr>
              <w:t>62.309</w:t>
            </w:r>
          </w:p>
        </w:tc>
        <w:tc>
          <w:tcPr>
            <w:tcW w:w="1275" w:type="dxa"/>
          </w:tcPr>
          <w:p>
            <w:pPr>
              <w:pStyle w:val="TableParagraph"/>
              <w:spacing w:before="49"/>
              <w:ind w:right="60"/>
              <w:jc w:val="right"/>
              <w:rPr>
                <w:rFonts w:ascii="Caladea"/>
                <w:b/>
                <w:sz w:val="12"/>
              </w:rPr>
            </w:pPr>
            <w:r>
              <w:rPr>
                <w:rFonts w:ascii="Caladea"/>
                <w:b/>
                <w:sz w:val="12"/>
              </w:rPr>
              <w:t>315.581</w:t>
            </w:r>
          </w:p>
        </w:tc>
      </w:tr>
      <w:tr>
        <w:trPr>
          <w:trHeight w:val="239" w:hRule="atLeast"/>
        </w:trPr>
        <w:tc>
          <w:tcPr>
            <w:tcW w:w="4429" w:type="dxa"/>
          </w:tcPr>
          <w:p>
            <w:pPr>
              <w:pStyle w:val="TableParagraph"/>
              <w:spacing w:before="52"/>
              <w:ind w:left="98"/>
              <w:rPr>
                <w:sz w:val="12"/>
              </w:rPr>
            </w:pPr>
            <w:r>
              <w:rPr>
                <w:sz w:val="12"/>
              </w:rPr>
              <w:t>Dividendos/Juros Sobre Capital Próprio</w:t>
            </w:r>
          </w:p>
        </w:tc>
        <w:tc>
          <w:tcPr>
            <w:tcW w:w="1438" w:type="dxa"/>
          </w:tcPr>
          <w:p>
            <w:pPr>
              <w:pStyle w:val="TableParagraph"/>
              <w:spacing w:before="52"/>
              <w:ind w:right="55"/>
              <w:jc w:val="right"/>
              <w:rPr>
                <w:sz w:val="12"/>
              </w:rPr>
            </w:pPr>
            <w:r>
              <w:rPr>
                <w:w w:val="95"/>
                <w:sz w:val="12"/>
              </w:rPr>
              <w:t>(6.339)</w:t>
            </w:r>
          </w:p>
        </w:tc>
        <w:tc>
          <w:tcPr>
            <w:tcW w:w="1438" w:type="dxa"/>
          </w:tcPr>
          <w:p>
            <w:pPr>
              <w:pStyle w:val="TableParagraph"/>
              <w:spacing w:before="52"/>
              <w:ind w:right="56"/>
              <w:jc w:val="right"/>
              <w:rPr>
                <w:sz w:val="12"/>
              </w:rPr>
            </w:pPr>
            <w:r>
              <w:rPr>
                <w:w w:val="95"/>
                <w:sz w:val="12"/>
              </w:rPr>
              <w:t>(1.830)</w:t>
            </w:r>
          </w:p>
        </w:tc>
        <w:tc>
          <w:tcPr>
            <w:tcW w:w="1338" w:type="dxa"/>
          </w:tcPr>
          <w:p>
            <w:pPr>
              <w:pStyle w:val="TableParagraph"/>
              <w:spacing w:before="52"/>
              <w:ind w:right="56"/>
              <w:jc w:val="right"/>
              <w:rPr>
                <w:sz w:val="12"/>
              </w:rPr>
            </w:pPr>
            <w:r>
              <w:rPr>
                <w:w w:val="95"/>
                <w:sz w:val="12"/>
              </w:rPr>
              <w:t>(4.929)</w:t>
            </w:r>
          </w:p>
        </w:tc>
        <w:tc>
          <w:tcPr>
            <w:tcW w:w="1275" w:type="dxa"/>
          </w:tcPr>
          <w:p>
            <w:pPr>
              <w:pStyle w:val="TableParagraph"/>
              <w:spacing w:before="51"/>
              <w:ind w:right="59"/>
              <w:jc w:val="right"/>
              <w:rPr>
                <w:rFonts w:ascii="Caladea"/>
                <w:b/>
                <w:sz w:val="12"/>
              </w:rPr>
            </w:pPr>
            <w:r>
              <w:rPr>
                <w:rFonts w:ascii="Caladea"/>
                <w:b/>
                <w:sz w:val="12"/>
              </w:rPr>
              <w:t>(13.098)</w:t>
            </w:r>
          </w:p>
        </w:tc>
      </w:tr>
      <w:tr>
        <w:trPr>
          <w:trHeight w:val="237" w:hRule="atLeast"/>
        </w:trPr>
        <w:tc>
          <w:tcPr>
            <w:tcW w:w="4429" w:type="dxa"/>
          </w:tcPr>
          <w:p>
            <w:pPr>
              <w:pStyle w:val="TableParagraph"/>
              <w:spacing w:before="50"/>
              <w:ind w:left="98"/>
              <w:rPr>
                <w:sz w:val="12"/>
              </w:rPr>
            </w:pPr>
            <w:r>
              <w:rPr>
                <w:sz w:val="12"/>
              </w:rPr>
              <w:t>Resultado de Equivalência Patrimonial</w:t>
            </w:r>
          </w:p>
        </w:tc>
        <w:tc>
          <w:tcPr>
            <w:tcW w:w="1438" w:type="dxa"/>
          </w:tcPr>
          <w:p>
            <w:pPr>
              <w:pStyle w:val="TableParagraph"/>
              <w:spacing w:before="50"/>
              <w:ind w:right="56"/>
              <w:jc w:val="right"/>
              <w:rPr>
                <w:sz w:val="12"/>
              </w:rPr>
            </w:pPr>
            <w:r>
              <w:rPr>
                <w:w w:val="95"/>
                <w:sz w:val="12"/>
              </w:rPr>
              <w:t>7.584</w:t>
            </w:r>
          </w:p>
        </w:tc>
        <w:tc>
          <w:tcPr>
            <w:tcW w:w="1438" w:type="dxa"/>
          </w:tcPr>
          <w:p>
            <w:pPr>
              <w:pStyle w:val="TableParagraph"/>
              <w:spacing w:before="50"/>
              <w:ind w:right="57"/>
              <w:jc w:val="right"/>
              <w:rPr>
                <w:sz w:val="12"/>
              </w:rPr>
            </w:pPr>
            <w:r>
              <w:rPr>
                <w:w w:val="95"/>
                <w:sz w:val="12"/>
              </w:rPr>
              <w:t>18.878</w:t>
            </w:r>
          </w:p>
        </w:tc>
        <w:tc>
          <w:tcPr>
            <w:tcW w:w="1338" w:type="dxa"/>
          </w:tcPr>
          <w:p>
            <w:pPr>
              <w:pStyle w:val="TableParagraph"/>
              <w:spacing w:before="50"/>
              <w:ind w:right="57"/>
              <w:jc w:val="right"/>
              <w:rPr>
                <w:sz w:val="12"/>
              </w:rPr>
            </w:pPr>
            <w:r>
              <w:rPr>
                <w:w w:val="95"/>
                <w:sz w:val="12"/>
              </w:rPr>
              <w:t>5.213</w:t>
            </w:r>
          </w:p>
        </w:tc>
        <w:tc>
          <w:tcPr>
            <w:tcW w:w="1275" w:type="dxa"/>
          </w:tcPr>
          <w:p>
            <w:pPr>
              <w:pStyle w:val="TableParagraph"/>
              <w:spacing w:before="49"/>
              <w:ind w:right="60"/>
              <w:jc w:val="right"/>
              <w:rPr>
                <w:rFonts w:ascii="Caladea"/>
                <w:b/>
                <w:sz w:val="12"/>
              </w:rPr>
            </w:pPr>
            <w:r>
              <w:rPr>
                <w:rFonts w:ascii="Caladea"/>
                <w:b/>
                <w:sz w:val="12"/>
              </w:rPr>
              <w:t>31.675</w:t>
            </w:r>
          </w:p>
        </w:tc>
      </w:tr>
      <w:tr>
        <w:trPr>
          <w:trHeight w:val="237" w:hRule="atLeast"/>
        </w:trPr>
        <w:tc>
          <w:tcPr>
            <w:tcW w:w="4429" w:type="dxa"/>
          </w:tcPr>
          <w:p>
            <w:pPr>
              <w:pStyle w:val="TableParagraph"/>
              <w:spacing w:before="49"/>
              <w:ind w:left="98"/>
              <w:rPr>
                <w:rFonts w:ascii="Caladea"/>
                <w:b/>
                <w:sz w:val="12"/>
              </w:rPr>
            </w:pPr>
            <w:r>
              <w:rPr>
                <w:rFonts w:ascii="Caladea"/>
                <w:b/>
                <w:sz w:val="12"/>
              </w:rPr>
              <w:t>Saldo em 31 de dezembro de 2018</w:t>
            </w:r>
          </w:p>
        </w:tc>
        <w:tc>
          <w:tcPr>
            <w:tcW w:w="1438" w:type="dxa"/>
          </w:tcPr>
          <w:p>
            <w:pPr>
              <w:pStyle w:val="TableParagraph"/>
              <w:spacing w:before="49"/>
              <w:ind w:right="59"/>
              <w:jc w:val="right"/>
              <w:rPr>
                <w:rFonts w:ascii="Caladea"/>
                <w:b/>
                <w:sz w:val="12"/>
              </w:rPr>
            </w:pPr>
            <w:r>
              <w:rPr>
                <w:rFonts w:ascii="Caladea"/>
                <w:b/>
                <w:sz w:val="12"/>
              </w:rPr>
              <w:t>179.176</w:t>
            </w:r>
          </w:p>
        </w:tc>
        <w:tc>
          <w:tcPr>
            <w:tcW w:w="1438" w:type="dxa"/>
          </w:tcPr>
          <w:p>
            <w:pPr>
              <w:pStyle w:val="TableParagraph"/>
              <w:spacing w:before="49"/>
              <w:ind w:right="57"/>
              <w:jc w:val="right"/>
              <w:rPr>
                <w:rFonts w:ascii="Caladea"/>
                <w:b/>
                <w:sz w:val="12"/>
              </w:rPr>
            </w:pPr>
            <w:r>
              <w:rPr>
                <w:rFonts w:ascii="Caladea"/>
                <w:b/>
                <w:sz w:val="12"/>
              </w:rPr>
              <w:t>92.389</w:t>
            </w:r>
          </w:p>
        </w:tc>
        <w:tc>
          <w:tcPr>
            <w:tcW w:w="1338" w:type="dxa"/>
          </w:tcPr>
          <w:p>
            <w:pPr>
              <w:pStyle w:val="TableParagraph"/>
              <w:spacing w:before="49"/>
              <w:ind w:right="57"/>
              <w:jc w:val="right"/>
              <w:rPr>
                <w:rFonts w:ascii="Caladea"/>
                <w:b/>
                <w:sz w:val="12"/>
              </w:rPr>
            </w:pPr>
            <w:r>
              <w:rPr>
                <w:rFonts w:ascii="Caladea"/>
                <w:b/>
                <w:sz w:val="12"/>
              </w:rPr>
              <w:t>62.593</w:t>
            </w:r>
          </w:p>
        </w:tc>
        <w:tc>
          <w:tcPr>
            <w:tcW w:w="1275" w:type="dxa"/>
          </w:tcPr>
          <w:p>
            <w:pPr>
              <w:pStyle w:val="TableParagraph"/>
              <w:spacing w:before="49"/>
              <w:ind w:right="60"/>
              <w:jc w:val="right"/>
              <w:rPr>
                <w:rFonts w:ascii="Caladea"/>
                <w:b/>
                <w:sz w:val="12"/>
              </w:rPr>
            </w:pPr>
            <w:r>
              <w:rPr>
                <w:rFonts w:ascii="Caladea"/>
                <w:b/>
                <w:sz w:val="12"/>
              </w:rPr>
              <w:t>334.158</w:t>
            </w:r>
          </w:p>
        </w:tc>
      </w:tr>
      <w:tr>
        <w:trPr>
          <w:trHeight w:val="239" w:hRule="atLeast"/>
        </w:trPr>
        <w:tc>
          <w:tcPr>
            <w:tcW w:w="4429" w:type="dxa"/>
          </w:tcPr>
          <w:p>
            <w:pPr>
              <w:pStyle w:val="TableParagraph"/>
              <w:spacing w:before="50"/>
              <w:ind w:left="98"/>
              <w:rPr>
                <w:sz w:val="12"/>
              </w:rPr>
            </w:pPr>
            <w:r>
              <w:rPr>
                <w:sz w:val="12"/>
              </w:rPr>
              <w:t>Resultado de Equivalência Patrimonial</w:t>
            </w:r>
          </w:p>
        </w:tc>
        <w:tc>
          <w:tcPr>
            <w:tcW w:w="1438" w:type="dxa"/>
          </w:tcPr>
          <w:p>
            <w:pPr>
              <w:pStyle w:val="TableParagraph"/>
              <w:spacing w:before="50"/>
              <w:ind w:right="56"/>
              <w:jc w:val="right"/>
              <w:rPr>
                <w:sz w:val="12"/>
              </w:rPr>
            </w:pPr>
            <w:r>
              <w:rPr>
                <w:w w:val="95"/>
                <w:sz w:val="12"/>
              </w:rPr>
              <w:t>14.415</w:t>
            </w:r>
          </w:p>
        </w:tc>
        <w:tc>
          <w:tcPr>
            <w:tcW w:w="1438" w:type="dxa"/>
          </w:tcPr>
          <w:p>
            <w:pPr>
              <w:pStyle w:val="TableParagraph"/>
              <w:spacing w:before="50"/>
              <w:ind w:right="56"/>
              <w:jc w:val="right"/>
              <w:rPr>
                <w:sz w:val="12"/>
              </w:rPr>
            </w:pPr>
            <w:r>
              <w:rPr>
                <w:w w:val="95"/>
                <w:sz w:val="12"/>
              </w:rPr>
              <w:t>6.952</w:t>
            </w:r>
          </w:p>
        </w:tc>
        <w:tc>
          <w:tcPr>
            <w:tcW w:w="1338" w:type="dxa"/>
          </w:tcPr>
          <w:p>
            <w:pPr>
              <w:pStyle w:val="TableParagraph"/>
              <w:spacing w:before="50"/>
              <w:ind w:right="57"/>
              <w:jc w:val="right"/>
              <w:rPr>
                <w:sz w:val="12"/>
              </w:rPr>
            </w:pPr>
            <w:r>
              <w:rPr>
                <w:w w:val="95"/>
                <w:sz w:val="12"/>
              </w:rPr>
              <w:t>7.592</w:t>
            </w:r>
          </w:p>
        </w:tc>
        <w:tc>
          <w:tcPr>
            <w:tcW w:w="1275" w:type="dxa"/>
          </w:tcPr>
          <w:p>
            <w:pPr>
              <w:pStyle w:val="TableParagraph"/>
              <w:spacing w:before="49"/>
              <w:ind w:right="60"/>
              <w:jc w:val="right"/>
              <w:rPr>
                <w:rFonts w:ascii="Caladea"/>
                <w:b/>
                <w:sz w:val="12"/>
              </w:rPr>
            </w:pPr>
            <w:r>
              <w:rPr>
                <w:rFonts w:ascii="Caladea"/>
                <w:b/>
                <w:sz w:val="12"/>
              </w:rPr>
              <w:t>28.959</w:t>
            </w:r>
          </w:p>
        </w:tc>
      </w:tr>
      <w:tr>
        <w:trPr>
          <w:trHeight w:val="237" w:hRule="atLeast"/>
        </w:trPr>
        <w:tc>
          <w:tcPr>
            <w:tcW w:w="4429" w:type="dxa"/>
          </w:tcPr>
          <w:p>
            <w:pPr>
              <w:pStyle w:val="TableParagraph"/>
              <w:spacing w:before="50"/>
              <w:ind w:left="98"/>
              <w:rPr>
                <w:sz w:val="12"/>
              </w:rPr>
            </w:pPr>
            <w:r>
              <w:rPr>
                <w:w w:val="105"/>
                <w:sz w:val="12"/>
              </w:rPr>
              <w:t>Aporte/Adiantamento Para Futuro Aumento de Capital – AFAC</w:t>
            </w:r>
          </w:p>
        </w:tc>
        <w:tc>
          <w:tcPr>
            <w:tcW w:w="1438" w:type="dxa"/>
          </w:tcPr>
          <w:p>
            <w:pPr>
              <w:pStyle w:val="TableParagraph"/>
              <w:rPr>
                <w:rFonts w:ascii="Times New Roman"/>
                <w:sz w:val="16"/>
              </w:rPr>
            </w:pPr>
          </w:p>
        </w:tc>
        <w:tc>
          <w:tcPr>
            <w:tcW w:w="1438" w:type="dxa"/>
          </w:tcPr>
          <w:p>
            <w:pPr>
              <w:pStyle w:val="TableParagraph"/>
              <w:spacing w:before="50"/>
              <w:ind w:right="56"/>
              <w:jc w:val="right"/>
              <w:rPr>
                <w:sz w:val="12"/>
              </w:rPr>
            </w:pPr>
            <w:r>
              <w:rPr>
                <w:w w:val="95"/>
                <w:sz w:val="12"/>
              </w:rPr>
              <w:t>8.903</w:t>
            </w:r>
          </w:p>
        </w:tc>
        <w:tc>
          <w:tcPr>
            <w:tcW w:w="1338" w:type="dxa"/>
          </w:tcPr>
          <w:p>
            <w:pPr>
              <w:pStyle w:val="TableParagraph"/>
              <w:rPr>
                <w:rFonts w:ascii="Times New Roman"/>
                <w:sz w:val="16"/>
              </w:rPr>
            </w:pPr>
          </w:p>
        </w:tc>
        <w:tc>
          <w:tcPr>
            <w:tcW w:w="1275" w:type="dxa"/>
          </w:tcPr>
          <w:p>
            <w:pPr>
              <w:pStyle w:val="TableParagraph"/>
              <w:spacing w:before="49"/>
              <w:ind w:right="58"/>
              <w:jc w:val="right"/>
              <w:rPr>
                <w:rFonts w:ascii="Caladea"/>
                <w:b/>
                <w:sz w:val="12"/>
              </w:rPr>
            </w:pPr>
            <w:r>
              <w:rPr>
                <w:rFonts w:ascii="Caladea"/>
                <w:b/>
                <w:sz w:val="12"/>
              </w:rPr>
              <w:t>8.903</w:t>
            </w:r>
          </w:p>
        </w:tc>
      </w:tr>
      <w:tr>
        <w:trPr>
          <w:trHeight w:val="237" w:hRule="atLeast"/>
        </w:trPr>
        <w:tc>
          <w:tcPr>
            <w:tcW w:w="4429" w:type="dxa"/>
          </w:tcPr>
          <w:p>
            <w:pPr>
              <w:pStyle w:val="TableParagraph"/>
              <w:spacing w:before="50"/>
              <w:ind w:left="98"/>
              <w:rPr>
                <w:sz w:val="12"/>
              </w:rPr>
            </w:pPr>
            <w:r>
              <w:rPr>
                <w:sz w:val="12"/>
              </w:rPr>
              <w:t>Equivalência Patrimonial Reflexa </w:t>
            </w:r>
            <w:r>
              <w:rPr>
                <w:w w:val="105"/>
                <w:sz w:val="12"/>
              </w:rPr>
              <w:t>– </w:t>
            </w:r>
            <w:r>
              <w:rPr>
                <w:sz w:val="12"/>
              </w:rPr>
              <w:t>PL de Controladas e Coligadas</w:t>
            </w:r>
          </w:p>
        </w:tc>
        <w:tc>
          <w:tcPr>
            <w:tcW w:w="1438" w:type="dxa"/>
          </w:tcPr>
          <w:p>
            <w:pPr>
              <w:pStyle w:val="TableParagraph"/>
              <w:rPr>
                <w:rFonts w:ascii="Times New Roman"/>
                <w:sz w:val="16"/>
              </w:rPr>
            </w:pPr>
          </w:p>
        </w:tc>
        <w:tc>
          <w:tcPr>
            <w:tcW w:w="1438" w:type="dxa"/>
          </w:tcPr>
          <w:p>
            <w:pPr>
              <w:pStyle w:val="TableParagraph"/>
              <w:spacing w:before="50"/>
              <w:ind w:right="55"/>
              <w:jc w:val="right"/>
              <w:rPr>
                <w:sz w:val="12"/>
              </w:rPr>
            </w:pPr>
            <w:r>
              <w:rPr>
                <w:w w:val="105"/>
                <w:sz w:val="12"/>
              </w:rPr>
              <w:t>544</w:t>
            </w:r>
          </w:p>
        </w:tc>
        <w:tc>
          <w:tcPr>
            <w:tcW w:w="1338" w:type="dxa"/>
          </w:tcPr>
          <w:p>
            <w:pPr>
              <w:pStyle w:val="TableParagraph"/>
              <w:rPr>
                <w:rFonts w:ascii="Times New Roman"/>
                <w:sz w:val="16"/>
              </w:rPr>
            </w:pPr>
          </w:p>
        </w:tc>
        <w:tc>
          <w:tcPr>
            <w:tcW w:w="1275" w:type="dxa"/>
          </w:tcPr>
          <w:p>
            <w:pPr>
              <w:pStyle w:val="TableParagraph"/>
              <w:spacing w:before="49"/>
              <w:ind w:right="58"/>
              <w:jc w:val="right"/>
              <w:rPr>
                <w:rFonts w:ascii="Caladea"/>
                <w:b/>
                <w:sz w:val="12"/>
              </w:rPr>
            </w:pPr>
            <w:r>
              <w:rPr>
                <w:rFonts w:ascii="Caladea"/>
                <w:b/>
                <w:sz w:val="12"/>
              </w:rPr>
              <w:t>544</w:t>
            </w:r>
          </w:p>
        </w:tc>
      </w:tr>
      <w:tr>
        <w:trPr>
          <w:trHeight w:val="239" w:hRule="atLeast"/>
        </w:trPr>
        <w:tc>
          <w:tcPr>
            <w:tcW w:w="4429" w:type="dxa"/>
          </w:tcPr>
          <w:p>
            <w:pPr>
              <w:pStyle w:val="TableParagraph"/>
              <w:spacing w:before="50"/>
              <w:ind w:left="98"/>
              <w:rPr>
                <w:sz w:val="12"/>
              </w:rPr>
            </w:pPr>
            <w:r>
              <w:rPr>
                <w:sz w:val="12"/>
              </w:rPr>
              <w:t>Ajuste de Equivalência Patrimonial em Investidas</w:t>
            </w:r>
          </w:p>
        </w:tc>
        <w:tc>
          <w:tcPr>
            <w:tcW w:w="1438" w:type="dxa"/>
          </w:tcPr>
          <w:p>
            <w:pPr>
              <w:pStyle w:val="TableParagraph"/>
              <w:rPr>
                <w:rFonts w:ascii="Times New Roman"/>
                <w:sz w:val="16"/>
              </w:rPr>
            </w:pPr>
          </w:p>
        </w:tc>
        <w:tc>
          <w:tcPr>
            <w:tcW w:w="1438" w:type="dxa"/>
          </w:tcPr>
          <w:p>
            <w:pPr>
              <w:pStyle w:val="TableParagraph"/>
              <w:spacing w:before="50"/>
              <w:ind w:right="54"/>
              <w:jc w:val="right"/>
              <w:rPr>
                <w:sz w:val="12"/>
              </w:rPr>
            </w:pPr>
            <w:r>
              <w:rPr>
                <w:w w:val="105"/>
                <w:sz w:val="12"/>
              </w:rPr>
              <w:t>(138)</w:t>
            </w:r>
          </w:p>
        </w:tc>
        <w:tc>
          <w:tcPr>
            <w:tcW w:w="1338" w:type="dxa"/>
          </w:tcPr>
          <w:p>
            <w:pPr>
              <w:pStyle w:val="TableParagraph"/>
              <w:rPr>
                <w:rFonts w:ascii="Times New Roman"/>
                <w:sz w:val="16"/>
              </w:rPr>
            </w:pPr>
          </w:p>
        </w:tc>
        <w:tc>
          <w:tcPr>
            <w:tcW w:w="1275" w:type="dxa"/>
          </w:tcPr>
          <w:p>
            <w:pPr>
              <w:pStyle w:val="TableParagraph"/>
              <w:spacing w:before="49"/>
              <w:ind w:right="58"/>
              <w:jc w:val="right"/>
              <w:rPr>
                <w:rFonts w:ascii="Caladea"/>
                <w:b/>
                <w:sz w:val="12"/>
              </w:rPr>
            </w:pPr>
            <w:r>
              <w:rPr>
                <w:rFonts w:ascii="Caladea"/>
                <w:b/>
                <w:sz w:val="12"/>
              </w:rPr>
              <w:t>(138)</w:t>
            </w:r>
          </w:p>
        </w:tc>
      </w:tr>
      <w:tr>
        <w:trPr>
          <w:trHeight w:val="237" w:hRule="atLeast"/>
        </w:trPr>
        <w:tc>
          <w:tcPr>
            <w:tcW w:w="4429" w:type="dxa"/>
          </w:tcPr>
          <w:p>
            <w:pPr>
              <w:pStyle w:val="TableParagraph"/>
              <w:spacing w:before="50"/>
              <w:ind w:left="98"/>
              <w:rPr>
                <w:sz w:val="12"/>
              </w:rPr>
            </w:pPr>
            <w:r>
              <w:rPr>
                <w:sz w:val="12"/>
              </w:rPr>
              <w:t>Dividendos/Juros Sobre Capital Próprio</w:t>
            </w:r>
          </w:p>
        </w:tc>
        <w:tc>
          <w:tcPr>
            <w:tcW w:w="1438" w:type="dxa"/>
          </w:tcPr>
          <w:p>
            <w:pPr>
              <w:pStyle w:val="TableParagraph"/>
              <w:spacing w:before="50"/>
              <w:ind w:right="55"/>
              <w:jc w:val="right"/>
              <w:rPr>
                <w:sz w:val="12"/>
              </w:rPr>
            </w:pPr>
            <w:r>
              <w:rPr>
                <w:w w:val="95"/>
                <w:sz w:val="12"/>
              </w:rPr>
              <w:t>(9.662)</w:t>
            </w:r>
          </w:p>
        </w:tc>
        <w:tc>
          <w:tcPr>
            <w:tcW w:w="1438" w:type="dxa"/>
          </w:tcPr>
          <w:p>
            <w:pPr>
              <w:pStyle w:val="TableParagraph"/>
              <w:spacing w:before="50"/>
              <w:ind w:right="55"/>
              <w:jc w:val="right"/>
              <w:rPr>
                <w:sz w:val="12"/>
              </w:rPr>
            </w:pPr>
            <w:r>
              <w:rPr>
                <w:w w:val="105"/>
                <w:sz w:val="12"/>
              </w:rPr>
              <w:t>(938)</w:t>
            </w:r>
          </w:p>
        </w:tc>
        <w:tc>
          <w:tcPr>
            <w:tcW w:w="1338" w:type="dxa"/>
          </w:tcPr>
          <w:p>
            <w:pPr>
              <w:pStyle w:val="TableParagraph"/>
              <w:spacing w:before="50"/>
              <w:ind w:right="56"/>
              <w:jc w:val="right"/>
              <w:rPr>
                <w:sz w:val="12"/>
              </w:rPr>
            </w:pPr>
            <w:r>
              <w:rPr>
                <w:w w:val="95"/>
                <w:sz w:val="12"/>
              </w:rPr>
              <w:t>(5.449)</w:t>
            </w:r>
          </w:p>
        </w:tc>
        <w:tc>
          <w:tcPr>
            <w:tcW w:w="1275" w:type="dxa"/>
          </w:tcPr>
          <w:p>
            <w:pPr>
              <w:pStyle w:val="TableParagraph"/>
              <w:spacing w:before="49"/>
              <w:ind w:right="58"/>
              <w:jc w:val="right"/>
              <w:rPr>
                <w:rFonts w:ascii="Caladea"/>
                <w:b/>
                <w:sz w:val="12"/>
              </w:rPr>
            </w:pPr>
            <w:r>
              <w:rPr>
                <w:rFonts w:ascii="Caladea"/>
                <w:b/>
                <w:sz w:val="12"/>
              </w:rPr>
              <w:t>(16.049)</w:t>
            </w:r>
          </w:p>
        </w:tc>
      </w:tr>
      <w:tr>
        <w:trPr>
          <w:trHeight w:val="239" w:hRule="atLeast"/>
        </w:trPr>
        <w:tc>
          <w:tcPr>
            <w:tcW w:w="4429" w:type="dxa"/>
          </w:tcPr>
          <w:p>
            <w:pPr>
              <w:pStyle w:val="TableParagraph"/>
              <w:spacing w:before="49"/>
              <w:ind w:left="98"/>
              <w:rPr>
                <w:rFonts w:ascii="Caladea"/>
                <w:b/>
                <w:sz w:val="12"/>
              </w:rPr>
            </w:pPr>
            <w:r>
              <w:rPr>
                <w:rFonts w:ascii="Caladea"/>
                <w:b/>
                <w:sz w:val="12"/>
              </w:rPr>
              <w:t>Saldo em 31 de dezembro de 2019</w:t>
            </w:r>
          </w:p>
        </w:tc>
        <w:tc>
          <w:tcPr>
            <w:tcW w:w="1438" w:type="dxa"/>
          </w:tcPr>
          <w:p>
            <w:pPr>
              <w:pStyle w:val="TableParagraph"/>
              <w:spacing w:before="44"/>
              <w:ind w:right="58"/>
              <w:jc w:val="right"/>
              <w:rPr>
                <w:rFonts w:ascii="Caladea"/>
                <w:b/>
                <w:sz w:val="13"/>
              </w:rPr>
            </w:pPr>
            <w:r>
              <w:rPr>
                <w:rFonts w:ascii="Caladea"/>
                <w:b/>
                <w:sz w:val="13"/>
              </w:rPr>
              <w:t>183.929</w:t>
            </w:r>
          </w:p>
        </w:tc>
        <w:tc>
          <w:tcPr>
            <w:tcW w:w="1438" w:type="dxa"/>
          </w:tcPr>
          <w:p>
            <w:pPr>
              <w:pStyle w:val="TableParagraph"/>
              <w:spacing w:before="44"/>
              <w:ind w:right="58"/>
              <w:jc w:val="right"/>
              <w:rPr>
                <w:rFonts w:ascii="Caladea"/>
                <w:b/>
                <w:sz w:val="13"/>
              </w:rPr>
            </w:pPr>
            <w:r>
              <w:rPr>
                <w:rFonts w:ascii="Caladea"/>
                <w:b/>
                <w:sz w:val="13"/>
              </w:rPr>
              <w:t>107.712</w:t>
            </w:r>
          </w:p>
        </w:tc>
        <w:tc>
          <w:tcPr>
            <w:tcW w:w="1338" w:type="dxa"/>
          </w:tcPr>
          <w:p>
            <w:pPr>
              <w:pStyle w:val="TableParagraph"/>
              <w:spacing w:before="44"/>
              <w:ind w:right="59"/>
              <w:jc w:val="right"/>
              <w:rPr>
                <w:rFonts w:ascii="Caladea"/>
                <w:b/>
                <w:sz w:val="13"/>
              </w:rPr>
            </w:pPr>
            <w:r>
              <w:rPr>
                <w:rFonts w:ascii="Caladea"/>
                <w:b/>
                <w:sz w:val="13"/>
              </w:rPr>
              <w:t>64.736</w:t>
            </w:r>
          </w:p>
        </w:tc>
        <w:tc>
          <w:tcPr>
            <w:tcW w:w="1275" w:type="dxa"/>
          </w:tcPr>
          <w:p>
            <w:pPr>
              <w:pStyle w:val="TableParagraph"/>
              <w:spacing w:before="49"/>
              <w:ind w:right="60"/>
              <w:jc w:val="right"/>
              <w:rPr>
                <w:rFonts w:ascii="Caladea"/>
                <w:b/>
                <w:sz w:val="12"/>
              </w:rPr>
            </w:pPr>
            <w:r>
              <w:rPr>
                <w:rFonts w:ascii="Caladea"/>
                <w:b/>
                <w:sz w:val="12"/>
              </w:rPr>
              <w:t>356.377</w:t>
            </w:r>
          </w:p>
        </w:tc>
      </w:tr>
    </w:tbl>
    <w:p>
      <w:pPr>
        <w:pStyle w:val="BodyText"/>
        <w:spacing w:before="1"/>
        <w:rPr>
          <w:rFonts w:ascii="Caladea"/>
          <w:b/>
          <w:sz w:val="12"/>
        </w:rPr>
      </w:pPr>
    </w:p>
    <w:p>
      <w:pPr>
        <w:pStyle w:val="ListParagraph"/>
        <w:numPr>
          <w:ilvl w:val="1"/>
          <w:numId w:val="6"/>
        </w:numPr>
        <w:tabs>
          <w:tab w:pos="1025" w:val="left" w:leader="none"/>
          <w:tab w:pos="1026" w:val="left" w:leader="none"/>
        </w:tabs>
        <w:spacing w:line="240" w:lineRule="auto" w:before="101" w:after="0"/>
        <w:ind w:left="1025" w:right="0" w:hanging="854"/>
        <w:jc w:val="left"/>
        <w:rPr>
          <w:rFonts w:ascii="Caladea"/>
          <w:b/>
          <w:sz w:val="18"/>
        </w:rPr>
      </w:pPr>
      <w:r>
        <w:rPr>
          <w:rFonts w:ascii="Caladea"/>
          <w:b/>
          <w:sz w:val="22"/>
        </w:rPr>
        <w:t>P</w:t>
      </w:r>
      <w:r>
        <w:rPr>
          <w:rFonts w:ascii="Caladea"/>
          <w:b/>
          <w:sz w:val="18"/>
        </w:rPr>
        <w:t>ROPRIEDADE </w:t>
      </w:r>
      <w:r>
        <w:rPr>
          <w:rFonts w:ascii="Caladea"/>
          <w:b/>
          <w:sz w:val="22"/>
        </w:rPr>
        <w:t>P</w:t>
      </w:r>
      <w:r>
        <w:rPr>
          <w:rFonts w:ascii="Caladea"/>
          <w:b/>
          <w:sz w:val="18"/>
        </w:rPr>
        <w:t>ARA</w:t>
      </w:r>
      <w:r>
        <w:rPr>
          <w:rFonts w:ascii="Caladea"/>
          <w:b/>
          <w:spacing w:val="-22"/>
          <w:sz w:val="18"/>
        </w:rPr>
        <w:t> </w:t>
      </w:r>
      <w:r>
        <w:rPr>
          <w:rFonts w:ascii="Caladea"/>
          <w:b/>
          <w:sz w:val="22"/>
        </w:rPr>
        <w:t>I</w:t>
      </w:r>
      <w:r>
        <w:rPr>
          <w:rFonts w:ascii="Caladea"/>
          <w:b/>
          <w:sz w:val="18"/>
        </w:rPr>
        <w:t>NVESTIMENTO</w:t>
      </w:r>
    </w:p>
    <w:p>
      <w:pPr>
        <w:pStyle w:val="BodyText"/>
        <w:spacing w:before="9"/>
        <w:rPr>
          <w:rFonts w:ascii="Caladea"/>
          <w:b/>
          <w:sz w:val="23"/>
        </w:rPr>
      </w:pPr>
    </w:p>
    <w:p>
      <w:pPr>
        <w:pStyle w:val="BodyText"/>
        <w:spacing w:line="242" w:lineRule="auto" w:before="1"/>
        <w:ind w:left="172" w:right="409"/>
        <w:jc w:val="both"/>
      </w:pPr>
      <w:r>
        <w:rPr/>
        <w:t>Em 31 de dezembro de 2012 e 31 de dezembro de 2013, a controlada CEB </w:t>
      </w:r>
      <w:r>
        <w:rPr>
          <w:spacing w:val="4"/>
        </w:rPr>
        <w:t>DIS </w:t>
      </w:r>
      <w:r>
        <w:rPr/>
        <w:t>transferiu os bens que estavam registrados</w:t>
      </w:r>
      <w:r>
        <w:rPr>
          <w:spacing w:val="-43"/>
        </w:rPr>
        <w:t> </w:t>
      </w:r>
      <w:r>
        <w:rPr/>
        <w:t>na</w:t>
      </w:r>
      <w:r>
        <w:rPr>
          <w:spacing w:val="-44"/>
        </w:rPr>
        <w:t> </w:t>
      </w:r>
      <w:r>
        <w:rPr/>
        <w:t>rubrica</w:t>
      </w:r>
      <w:r>
        <w:rPr>
          <w:spacing w:val="-44"/>
        </w:rPr>
        <w:t> </w:t>
      </w:r>
      <w:r>
        <w:rPr/>
        <w:t>de</w:t>
      </w:r>
      <w:r>
        <w:rPr>
          <w:spacing w:val="-43"/>
        </w:rPr>
        <w:t> </w:t>
      </w:r>
      <w:r>
        <w:rPr/>
        <w:t>ativo</w:t>
      </w:r>
      <w:r>
        <w:rPr>
          <w:spacing w:val="-44"/>
        </w:rPr>
        <w:t> </w:t>
      </w:r>
      <w:r>
        <w:rPr/>
        <w:t>não</w:t>
      </w:r>
      <w:r>
        <w:rPr>
          <w:spacing w:val="-44"/>
        </w:rPr>
        <w:t> </w:t>
      </w:r>
      <w:r>
        <w:rPr/>
        <w:t>circulante</w:t>
      </w:r>
      <w:r>
        <w:rPr>
          <w:spacing w:val="-45"/>
        </w:rPr>
        <w:t> </w:t>
      </w:r>
      <w:r>
        <w:rPr/>
        <w:t>mantidos</w:t>
      </w:r>
      <w:r>
        <w:rPr>
          <w:spacing w:val="-44"/>
        </w:rPr>
        <w:t> </w:t>
      </w:r>
      <w:r>
        <w:rPr/>
        <w:t>para</w:t>
      </w:r>
      <w:r>
        <w:rPr>
          <w:spacing w:val="-44"/>
        </w:rPr>
        <w:t> </w:t>
      </w:r>
      <w:r>
        <w:rPr/>
        <w:t>venda,</w:t>
      </w:r>
      <w:r>
        <w:rPr>
          <w:spacing w:val="-43"/>
        </w:rPr>
        <w:t> </w:t>
      </w:r>
      <w:r>
        <w:rPr/>
        <w:t>para</w:t>
      </w:r>
      <w:r>
        <w:rPr>
          <w:spacing w:val="-43"/>
        </w:rPr>
        <w:t> </w:t>
      </w:r>
      <w:r>
        <w:rPr/>
        <w:t>a</w:t>
      </w:r>
      <w:r>
        <w:rPr>
          <w:spacing w:val="-44"/>
        </w:rPr>
        <w:t> </w:t>
      </w:r>
      <w:r>
        <w:rPr/>
        <w:t>rubrica</w:t>
      </w:r>
      <w:r>
        <w:rPr>
          <w:spacing w:val="-44"/>
        </w:rPr>
        <w:t> </w:t>
      </w:r>
      <w:r>
        <w:rPr/>
        <w:t>de</w:t>
      </w:r>
      <w:r>
        <w:rPr>
          <w:spacing w:val="-43"/>
        </w:rPr>
        <w:t> </w:t>
      </w:r>
      <w:r>
        <w:rPr/>
        <w:t>propriedade</w:t>
      </w:r>
      <w:r>
        <w:rPr>
          <w:spacing w:val="-43"/>
        </w:rPr>
        <w:t> </w:t>
      </w:r>
      <w:r>
        <w:rPr/>
        <w:t>para</w:t>
      </w:r>
      <w:r>
        <w:rPr>
          <w:spacing w:val="-44"/>
        </w:rPr>
        <w:t> </w:t>
      </w:r>
      <w:r>
        <w:rPr/>
        <w:t>investimento. No</w:t>
      </w:r>
      <w:r>
        <w:rPr>
          <w:spacing w:val="-33"/>
        </w:rPr>
        <w:t> </w:t>
      </w:r>
      <w:r>
        <w:rPr/>
        <w:t>primeiro</w:t>
      </w:r>
      <w:r>
        <w:rPr>
          <w:spacing w:val="-31"/>
        </w:rPr>
        <w:t> </w:t>
      </w:r>
      <w:r>
        <w:rPr/>
        <w:t>evento,</w:t>
      </w:r>
      <w:r>
        <w:rPr>
          <w:spacing w:val="-31"/>
        </w:rPr>
        <w:t> </w:t>
      </w:r>
      <w:r>
        <w:rPr/>
        <w:t>foi</w:t>
      </w:r>
      <w:r>
        <w:rPr>
          <w:spacing w:val="-32"/>
        </w:rPr>
        <w:t> </w:t>
      </w:r>
      <w:r>
        <w:rPr/>
        <w:t>contemplado</w:t>
      </w:r>
      <w:r>
        <w:rPr>
          <w:spacing w:val="-31"/>
        </w:rPr>
        <w:t> </w:t>
      </w:r>
      <w:r>
        <w:rPr/>
        <w:t>o</w:t>
      </w:r>
      <w:r>
        <w:rPr>
          <w:spacing w:val="-31"/>
        </w:rPr>
        <w:t> </w:t>
      </w:r>
      <w:r>
        <w:rPr/>
        <w:t>imóvel</w:t>
      </w:r>
      <w:r>
        <w:rPr>
          <w:spacing w:val="-32"/>
        </w:rPr>
        <w:t> </w:t>
      </w:r>
      <w:r>
        <w:rPr/>
        <w:t>localizado</w:t>
      </w:r>
      <w:r>
        <w:rPr>
          <w:spacing w:val="-33"/>
        </w:rPr>
        <w:t> </w:t>
      </w:r>
      <w:r>
        <w:rPr/>
        <w:t>no</w:t>
      </w:r>
      <w:r>
        <w:rPr>
          <w:spacing w:val="-31"/>
        </w:rPr>
        <w:t> </w:t>
      </w:r>
      <w:r>
        <w:rPr/>
        <w:t>Setor</w:t>
      </w:r>
      <w:r>
        <w:rPr>
          <w:spacing w:val="-32"/>
        </w:rPr>
        <w:t> </w:t>
      </w:r>
      <w:r>
        <w:rPr/>
        <w:t>Noroeste</w:t>
      </w:r>
      <w:r>
        <w:rPr>
          <w:spacing w:val="-33"/>
        </w:rPr>
        <w:t> </w:t>
      </w:r>
      <w:r>
        <w:rPr/>
        <w:t>SAI</w:t>
      </w:r>
      <w:r>
        <w:rPr>
          <w:spacing w:val="-30"/>
        </w:rPr>
        <w:t> </w:t>
      </w:r>
      <w:r>
        <w:rPr/>
        <w:t>Norte</w:t>
      </w:r>
      <w:r>
        <w:rPr>
          <w:spacing w:val="-32"/>
        </w:rPr>
        <w:t> </w:t>
      </w:r>
      <w:r>
        <w:rPr/>
        <w:t>PR</w:t>
      </w:r>
      <w:r>
        <w:rPr>
          <w:spacing w:val="-32"/>
        </w:rPr>
        <w:t> </w:t>
      </w:r>
      <w:r>
        <w:rPr/>
        <w:t>I55/1/DF</w:t>
      </w:r>
      <w:r>
        <w:rPr>
          <w:spacing w:val="-30"/>
        </w:rPr>
        <w:t> </w:t>
      </w:r>
      <w:r>
        <w:rPr/>
        <w:t>e,</w:t>
      </w:r>
      <w:r>
        <w:rPr>
          <w:spacing w:val="-31"/>
        </w:rPr>
        <w:t> </w:t>
      </w:r>
      <w:r>
        <w:rPr/>
        <w:t>no</w:t>
      </w:r>
      <w:r>
        <w:rPr>
          <w:spacing w:val="-32"/>
        </w:rPr>
        <w:t> </w:t>
      </w:r>
      <w:r>
        <w:rPr/>
        <w:t>segundo,</w:t>
      </w:r>
      <w:r>
        <w:rPr>
          <w:spacing w:val="-32"/>
        </w:rPr>
        <w:t> </w:t>
      </w:r>
      <w:r>
        <w:rPr/>
        <w:t>os demais</w:t>
      </w:r>
      <w:r>
        <w:rPr>
          <w:spacing w:val="-41"/>
        </w:rPr>
        <w:t> </w:t>
      </w:r>
      <w:r>
        <w:rPr/>
        <w:t>bens,</w:t>
      </w:r>
      <w:r>
        <w:rPr>
          <w:spacing w:val="-41"/>
        </w:rPr>
        <w:t> </w:t>
      </w:r>
      <w:r>
        <w:rPr/>
        <w:t>em</w:t>
      </w:r>
      <w:r>
        <w:rPr>
          <w:spacing w:val="-40"/>
        </w:rPr>
        <w:t> </w:t>
      </w:r>
      <w:r>
        <w:rPr/>
        <w:t>atendimento</w:t>
      </w:r>
      <w:r>
        <w:rPr>
          <w:spacing w:val="-42"/>
        </w:rPr>
        <w:t> </w:t>
      </w:r>
      <w:r>
        <w:rPr/>
        <w:t>ao</w:t>
      </w:r>
      <w:r>
        <w:rPr>
          <w:spacing w:val="-42"/>
        </w:rPr>
        <w:t> </w:t>
      </w:r>
      <w:r>
        <w:rPr/>
        <w:t>Pronunciamento</w:t>
      </w:r>
      <w:r>
        <w:rPr>
          <w:spacing w:val="-41"/>
        </w:rPr>
        <w:t> </w:t>
      </w:r>
      <w:r>
        <w:rPr/>
        <w:t>Técnico</w:t>
      </w:r>
      <w:r>
        <w:rPr>
          <w:spacing w:val="-40"/>
        </w:rPr>
        <w:t> </w:t>
      </w:r>
      <w:r>
        <w:rPr/>
        <w:t>que</w:t>
      </w:r>
      <w:r>
        <w:rPr>
          <w:spacing w:val="-41"/>
        </w:rPr>
        <w:t> </w:t>
      </w:r>
      <w:r>
        <w:rPr/>
        <w:t>determina</w:t>
      </w:r>
      <w:r>
        <w:rPr>
          <w:spacing w:val="-41"/>
        </w:rPr>
        <w:t> </w:t>
      </w:r>
      <w:r>
        <w:rPr/>
        <w:t>que</w:t>
      </w:r>
      <w:r>
        <w:rPr>
          <w:spacing w:val="-41"/>
        </w:rPr>
        <w:t> </w:t>
      </w:r>
      <w:r>
        <w:rPr/>
        <w:t>em</w:t>
      </w:r>
      <w:r>
        <w:rPr>
          <w:spacing w:val="-41"/>
        </w:rPr>
        <w:t> </w:t>
      </w:r>
      <w:r>
        <w:rPr/>
        <w:t>caso</w:t>
      </w:r>
      <w:r>
        <w:rPr>
          <w:spacing w:val="-42"/>
        </w:rPr>
        <w:t> </w:t>
      </w:r>
      <w:r>
        <w:rPr/>
        <w:t>de</w:t>
      </w:r>
      <w:r>
        <w:rPr>
          <w:spacing w:val="-41"/>
        </w:rPr>
        <w:t> </w:t>
      </w:r>
      <w:r>
        <w:rPr/>
        <w:t>não</w:t>
      </w:r>
      <w:r>
        <w:rPr>
          <w:spacing w:val="-42"/>
        </w:rPr>
        <w:t> </w:t>
      </w:r>
      <w:r>
        <w:rPr/>
        <w:t>realização</w:t>
      </w:r>
      <w:r>
        <w:rPr>
          <w:spacing w:val="-41"/>
        </w:rPr>
        <w:t> </w:t>
      </w:r>
      <w:r>
        <w:rPr/>
        <w:t>da</w:t>
      </w:r>
      <w:r>
        <w:rPr>
          <w:spacing w:val="-41"/>
        </w:rPr>
        <w:t> </w:t>
      </w:r>
      <w:r>
        <w:rPr/>
        <w:t>venda</w:t>
      </w:r>
      <w:r>
        <w:rPr>
          <w:spacing w:val="-41"/>
        </w:rPr>
        <w:t> </w:t>
      </w:r>
      <w:r>
        <w:rPr/>
        <w:t>do ativo</w:t>
      </w:r>
      <w:r>
        <w:rPr>
          <w:spacing w:val="-12"/>
        </w:rPr>
        <w:t> </w:t>
      </w:r>
      <w:r>
        <w:rPr/>
        <w:t>no</w:t>
      </w:r>
      <w:r>
        <w:rPr>
          <w:spacing w:val="-9"/>
        </w:rPr>
        <w:t> </w:t>
      </w:r>
      <w:r>
        <w:rPr/>
        <w:t>prazo</w:t>
      </w:r>
      <w:r>
        <w:rPr>
          <w:spacing w:val="-11"/>
        </w:rPr>
        <w:t> </w:t>
      </w:r>
      <w:r>
        <w:rPr/>
        <w:t>de</w:t>
      </w:r>
      <w:r>
        <w:rPr>
          <w:spacing w:val="-13"/>
        </w:rPr>
        <w:t> </w:t>
      </w:r>
      <w:r>
        <w:rPr/>
        <w:t>1</w:t>
      </w:r>
      <w:r>
        <w:rPr>
          <w:spacing w:val="-10"/>
        </w:rPr>
        <w:t> </w:t>
      </w:r>
      <w:r>
        <w:rPr/>
        <w:t>ano,</w:t>
      </w:r>
      <w:r>
        <w:rPr>
          <w:spacing w:val="-10"/>
        </w:rPr>
        <w:t> </w:t>
      </w:r>
      <w:r>
        <w:rPr/>
        <w:t>este</w:t>
      </w:r>
      <w:r>
        <w:rPr>
          <w:spacing w:val="-12"/>
        </w:rPr>
        <w:t> </w:t>
      </w:r>
      <w:r>
        <w:rPr/>
        <w:t>deve</w:t>
      </w:r>
      <w:r>
        <w:rPr>
          <w:spacing w:val="-12"/>
        </w:rPr>
        <w:t> </w:t>
      </w:r>
      <w:r>
        <w:rPr/>
        <w:t>ser</w:t>
      </w:r>
      <w:r>
        <w:rPr>
          <w:spacing w:val="-10"/>
        </w:rPr>
        <w:t> </w:t>
      </w:r>
      <w:r>
        <w:rPr/>
        <w:t>reclassificado</w:t>
      </w:r>
      <w:r>
        <w:rPr>
          <w:spacing w:val="-11"/>
        </w:rPr>
        <w:t> </w:t>
      </w:r>
      <w:r>
        <w:rPr/>
        <w:t>para</w:t>
      </w:r>
      <w:r>
        <w:rPr>
          <w:spacing w:val="-10"/>
        </w:rPr>
        <w:t> </w:t>
      </w:r>
      <w:r>
        <w:rPr/>
        <w:t>o</w:t>
      </w:r>
      <w:r>
        <w:rPr>
          <w:spacing w:val="-11"/>
        </w:rPr>
        <w:t> </w:t>
      </w:r>
      <w:r>
        <w:rPr/>
        <w:t>imobilizado</w:t>
      </w:r>
      <w:r>
        <w:rPr>
          <w:spacing w:val="-10"/>
        </w:rPr>
        <w:t> </w:t>
      </w:r>
      <w:r>
        <w:rPr/>
        <w:t>ou</w:t>
      </w:r>
      <w:r>
        <w:rPr>
          <w:spacing w:val="-10"/>
        </w:rPr>
        <w:t> </w:t>
      </w:r>
      <w:r>
        <w:rPr/>
        <w:t>para</w:t>
      </w:r>
      <w:r>
        <w:rPr>
          <w:spacing w:val="-9"/>
        </w:rPr>
        <w:t> </w:t>
      </w:r>
      <w:r>
        <w:rPr/>
        <w:t>o</w:t>
      </w:r>
      <w:r>
        <w:rPr>
          <w:spacing w:val="-11"/>
        </w:rPr>
        <w:t> </w:t>
      </w:r>
      <w:r>
        <w:rPr/>
        <w:t>investimento,</w:t>
      </w:r>
      <w:r>
        <w:rPr>
          <w:spacing w:val="-9"/>
        </w:rPr>
        <w:t> </w:t>
      </w:r>
      <w:r>
        <w:rPr/>
        <w:t>dependendo</w:t>
      </w:r>
      <w:r>
        <w:rPr>
          <w:spacing w:val="-11"/>
        </w:rPr>
        <w:t> </w:t>
      </w:r>
      <w:r>
        <w:rPr/>
        <w:t>da intenção</w:t>
      </w:r>
      <w:r>
        <w:rPr>
          <w:spacing w:val="-20"/>
        </w:rPr>
        <w:t> </w:t>
      </w:r>
      <w:r>
        <w:rPr/>
        <w:t>do</w:t>
      </w:r>
      <w:r>
        <w:rPr>
          <w:spacing w:val="-20"/>
        </w:rPr>
        <w:t> </w:t>
      </w:r>
      <w:r>
        <w:rPr/>
        <w:t>destino</w:t>
      </w:r>
      <w:r>
        <w:rPr>
          <w:spacing w:val="-19"/>
        </w:rPr>
        <w:t> </w:t>
      </w:r>
      <w:r>
        <w:rPr/>
        <w:t>a</w:t>
      </w:r>
      <w:r>
        <w:rPr>
          <w:spacing w:val="-19"/>
        </w:rPr>
        <w:t> </w:t>
      </w:r>
      <w:r>
        <w:rPr/>
        <w:t>ser</w:t>
      </w:r>
      <w:r>
        <w:rPr>
          <w:spacing w:val="-18"/>
        </w:rPr>
        <w:t> </w:t>
      </w:r>
      <w:r>
        <w:rPr/>
        <w:t>dado</w:t>
      </w:r>
      <w:r>
        <w:rPr>
          <w:spacing w:val="-19"/>
        </w:rPr>
        <w:t> </w:t>
      </w:r>
      <w:r>
        <w:rPr/>
        <w:t>ao</w:t>
      </w:r>
      <w:r>
        <w:rPr>
          <w:spacing w:val="-20"/>
        </w:rPr>
        <w:t> </w:t>
      </w:r>
      <w:r>
        <w:rPr/>
        <w:t>ativo</w:t>
      </w:r>
      <w:r>
        <w:rPr>
          <w:spacing w:val="-17"/>
        </w:rPr>
        <w:t> </w:t>
      </w:r>
      <w:r>
        <w:rPr/>
        <w:t>pela</w:t>
      </w:r>
      <w:r>
        <w:rPr>
          <w:spacing w:val="-19"/>
        </w:rPr>
        <w:t> </w:t>
      </w:r>
      <w:r>
        <w:rPr/>
        <w:t>Administração.</w:t>
      </w:r>
    </w:p>
    <w:p>
      <w:pPr>
        <w:pStyle w:val="BodyText"/>
        <w:spacing w:before="6"/>
      </w:pPr>
    </w:p>
    <w:p>
      <w:pPr>
        <w:pStyle w:val="BodyText"/>
        <w:spacing w:before="1"/>
        <w:ind w:left="172"/>
        <w:jc w:val="both"/>
      </w:pPr>
      <w:r>
        <w:rPr/>
        <w:t>Os bens registrados em propriedade para investimento são avaliados pelo custo.</w:t>
      </w:r>
    </w:p>
    <w:p>
      <w:pPr>
        <w:pStyle w:val="BodyText"/>
        <w:spacing w:before="10"/>
      </w:pPr>
    </w:p>
    <w:p>
      <w:pPr>
        <w:pStyle w:val="BodyText"/>
        <w:spacing w:line="242" w:lineRule="auto"/>
        <w:ind w:left="172" w:right="405"/>
        <w:jc w:val="both"/>
      </w:pPr>
      <w:r>
        <w:rPr/>
        <w:t>O</w:t>
      </w:r>
      <w:r>
        <w:rPr>
          <w:spacing w:val="-30"/>
        </w:rPr>
        <w:t> </w:t>
      </w:r>
      <w:r>
        <w:rPr/>
        <w:t>valor</w:t>
      </w:r>
      <w:r>
        <w:rPr>
          <w:spacing w:val="-28"/>
        </w:rPr>
        <w:t> </w:t>
      </w:r>
      <w:r>
        <w:rPr/>
        <w:t>justo</w:t>
      </w:r>
      <w:r>
        <w:rPr>
          <w:spacing w:val="-28"/>
        </w:rPr>
        <w:t> </w:t>
      </w:r>
      <w:r>
        <w:rPr/>
        <w:t>dos</w:t>
      </w:r>
      <w:r>
        <w:rPr>
          <w:spacing w:val="-25"/>
        </w:rPr>
        <w:t> </w:t>
      </w:r>
      <w:r>
        <w:rPr/>
        <w:t>bens</w:t>
      </w:r>
      <w:r>
        <w:rPr>
          <w:spacing w:val="-27"/>
        </w:rPr>
        <w:t> </w:t>
      </w:r>
      <w:r>
        <w:rPr/>
        <w:t>foi</w:t>
      </w:r>
      <w:r>
        <w:rPr>
          <w:spacing w:val="-28"/>
        </w:rPr>
        <w:t> </w:t>
      </w:r>
      <w:r>
        <w:rPr/>
        <w:t>obtido</w:t>
      </w:r>
      <w:r>
        <w:rPr>
          <w:spacing w:val="-28"/>
        </w:rPr>
        <w:t> </w:t>
      </w:r>
      <w:r>
        <w:rPr/>
        <w:t>por</w:t>
      </w:r>
      <w:r>
        <w:rPr>
          <w:spacing w:val="-27"/>
        </w:rPr>
        <w:t> </w:t>
      </w:r>
      <w:r>
        <w:rPr/>
        <w:t>meio</w:t>
      </w:r>
      <w:r>
        <w:rPr>
          <w:spacing w:val="-28"/>
        </w:rPr>
        <w:t> </w:t>
      </w:r>
      <w:r>
        <w:rPr/>
        <w:t>de</w:t>
      </w:r>
      <w:r>
        <w:rPr>
          <w:spacing w:val="-28"/>
        </w:rPr>
        <w:t> </w:t>
      </w:r>
      <w:r>
        <w:rPr/>
        <w:t>laudos</w:t>
      </w:r>
      <w:r>
        <w:rPr>
          <w:spacing w:val="-27"/>
        </w:rPr>
        <w:t> </w:t>
      </w:r>
      <w:r>
        <w:rPr/>
        <w:t>emitidos</w:t>
      </w:r>
      <w:r>
        <w:rPr>
          <w:spacing w:val="-27"/>
        </w:rPr>
        <w:t> </w:t>
      </w:r>
      <w:r>
        <w:rPr/>
        <w:t>por</w:t>
      </w:r>
      <w:r>
        <w:rPr>
          <w:spacing w:val="-29"/>
        </w:rPr>
        <w:t> </w:t>
      </w:r>
      <w:r>
        <w:rPr/>
        <w:t>firmas</w:t>
      </w:r>
      <w:r>
        <w:rPr>
          <w:spacing w:val="-27"/>
        </w:rPr>
        <w:t> </w:t>
      </w:r>
      <w:r>
        <w:rPr/>
        <w:t>especializadas</w:t>
      </w:r>
      <w:r>
        <w:rPr>
          <w:spacing w:val="-28"/>
        </w:rPr>
        <w:t> </w:t>
      </w:r>
      <w:r>
        <w:rPr/>
        <w:t>e</w:t>
      </w:r>
      <w:r>
        <w:rPr>
          <w:spacing w:val="-29"/>
        </w:rPr>
        <w:t> </w:t>
      </w:r>
      <w:r>
        <w:rPr/>
        <w:t>a</w:t>
      </w:r>
      <w:r>
        <w:rPr>
          <w:spacing w:val="-28"/>
        </w:rPr>
        <w:t> </w:t>
      </w:r>
      <w:r>
        <w:rPr/>
        <w:t>Companhia</w:t>
      </w:r>
      <w:r>
        <w:rPr>
          <w:spacing w:val="-26"/>
        </w:rPr>
        <w:t> </w:t>
      </w:r>
      <w:r>
        <w:rPr/>
        <w:t>entende</w:t>
      </w:r>
      <w:r>
        <w:rPr>
          <w:spacing w:val="-27"/>
        </w:rPr>
        <w:t> </w:t>
      </w:r>
      <w:r>
        <w:rPr/>
        <w:t>que estes valores avaliados estão de acordo com as expectativas de mercado. As propriedades registradas como investimento</w:t>
      </w:r>
      <w:r>
        <w:rPr>
          <w:spacing w:val="-19"/>
        </w:rPr>
        <w:t> </w:t>
      </w:r>
      <w:r>
        <w:rPr/>
        <w:t>estão</w:t>
      </w:r>
      <w:r>
        <w:rPr>
          <w:spacing w:val="-18"/>
        </w:rPr>
        <w:t> </w:t>
      </w:r>
      <w:r>
        <w:rPr/>
        <w:t>sendo</w:t>
      </w:r>
      <w:r>
        <w:rPr>
          <w:spacing w:val="-19"/>
        </w:rPr>
        <w:t> </w:t>
      </w:r>
      <w:r>
        <w:rPr/>
        <w:t>mantidas</w:t>
      </w:r>
      <w:r>
        <w:rPr>
          <w:spacing w:val="-20"/>
        </w:rPr>
        <w:t> </w:t>
      </w:r>
      <w:r>
        <w:rPr/>
        <w:t>para</w:t>
      </w:r>
      <w:r>
        <w:rPr>
          <w:spacing w:val="-20"/>
        </w:rPr>
        <w:t> </w:t>
      </w:r>
      <w:r>
        <w:rPr/>
        <w:t>fins</w:t>
      </w:r>
      <w:r>
        <w:rPr>
          <w:spacing w:val="-19"/>
        </w:rPr>
        <w:t> </w:t>
      </w:r>
      <w:r>
        <w:rPr/>
        <w:t>de</w:t>
      </w:r>
      <w:r>
        <w:rPr>
          <w:spacing w:val="-22"/>
        </w:rPr>
        <w:t> </w:t>
      </w:r>
      <w:r>
        <w:rPr/>
        <w:t>valorização</w:t>
      </w:r>
      <w:r>
        <w:rPr>
          <w:spacing w:val="-21"/>
        </w:rPr>
        <w:t> </w:t>
      </w:r>
      <w:r>
        <w:rPr/>
        <w:t>de</w:t>
      </w:r>
      <w:r>
        <w:rPr>
          <w:spacing w:val="-21"/>
        </w:rPr>
        <w:t> </w:t>
      </w:r>
      <w:r>
        <w:rPr/>
        <w:t>capital.</w:t>
      </w:r>
    </w:p>
    <w:p>
      <w:pPr>
        <w:pStyle w:val="BodyText"/>
        <w:spacing w:before="11"/>
        <w:rPr>
          <w:sz w:val="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9"/>
        <w:gridCol w:w="4930"/>
        <w:gridCol w:w="993"/>
        <w:gridCol w:w="993"/>
        <w:gridCol w:w="994"/>
        <w:gridCol w:w="1346"/>
      </w:tblGrid>
      <w:tr>
        <w:trPr>
          <w:trHeight w:val="259" w:hRule="atLeast"/>
        </w:trPr>
        <w:tc>
          <w:tcPr>
            <w:tcW w:w="689" w:type="dxa"/>
            <w:vMerge w:val="restart"/>
            <w:shd w:val="clear" w:color="auto" w:fill="D9D9D9"/>
          </w:tcPr>
          <w:p>
            <w:pPr>
              <w:pStyle w:val="TableParagraph"/>
              <w:rPr>
                <w:sz w:val="14"/>
              </w:rPr>
            </w:pPr>
          </w:p>
          <w:p>
            <w:pPr>
              <w:pStyle w:val="TableParagraph"/>
              <w:rPr>
                <w:sz w:val="14"/>
              </w:rPr>
            </w:pPr>
          </w:p>
          <w:p>
            <w:pPr>
              <w:pStyle w:val="TableParagraph"/>
              <w:ind w:left="110"/>
              <w:rPr>
                <w:rFonts w:ascii="Caladea" w:hAnsi="Caladea"/>
                <w:b/>
                <w:sz w:val="13"/>
              </w:rPr>
            </w:pPr>
            <w:r>
              <w:rPr>
                <w:rFonts w:ascii="Caladea" w:hAnsi="Caladea"/>
                <w:b/>
                <w:sz w:val="13"/>
              </w:rPr>
              <w:t>Imóveis</w:t>
            </w:r>
          </w:p>
        </w:tc>
        <w:tc>
          <w:tcPr>
            <w:tcW w:w="4930" w:type="dxa"/>
            <w:vMerge w:val="restart"/>
            <w:shd w:val="clear" w:color="auto" w:fill="D9D9D9"/>
          </w:tcPr>
          <w:p>
            <w:pPr>
              <w:pStyle w:val="TableParagraph"/>
              <w:rPr>
                <w:sz w:val="14"/>
              </w:rPr>
            </w:pPr>
          </w:p>
          <w:p>
            <w:pPr>
              <w:pStyle w:val="TableParagraph"/>
              <w:spacing w:before="9"/>
              <w:rPr>
                <w:sz w:val="13"/>
              </w:rPr>
            </w:pPr>
          </w:p>
          <w:p>
            <w:pPr>
              <w:pStyle w:val="TableParagraph"/>
              <w:ind w:left="2120" w:right="2108"/>
              <w:jc w:val="center"/>
              <w:rPr>
                <w:rFonts w:ascii="Caladea"/>
                <w:b/>
                <w:sz w:val="13"/>
              </w:rPr>
            </w:pPr>
            <w:r>
              <w:rPr>
                <w:rFonts w:ascii="Caladea"/>
                <w:b/>
                <w:sz w:val="13"/>
              </w:rPr>
              <w:t>Localidade</w:t>
            </w:r>
          </w:p>
        </w:tc>
        <w:tc>
          <w:tcPr>
            <w:tcW w:w="4326" w:type="dxa"/>
            <w:gridSpan w:val="4"/>
          </w:tcPr>
          <w:p>
            <w:pPr>
              <w:pStyle w:val="TableParagraph"/>
              <w:spacing w:before="54"/>
              <w:ind w:left="1775" w:right="1759"/>
              <w:jc w:val="center"/>
              <w:rPr>
                <w:rFonts w:ascii="Caladea"/>
                <w:b/>
                <w:sz w:val="13"/>
              </w:rPr>
            </w:pPr>
            <w:r>
              <w:rPr>
                <w:rFonts w:ascii="Caladea"/>
                <w:b/>
                <w:sz w:val="13"/>
              </w:rPr>
              <w:t>Consolidado</w:t>
            </w:r>
          </w:p>
        </w:tc>
      </w:tr>
      <w:tr>
        <w:trPr>
          <w:trHeight w:val="258" w:hRule="atLeast"/>
        </w:trPr>
        <w:tc>
          <w:tcPr>
            <w:tcW w:w="689" w:type="dxa"/>
            <w:vMerge/>
            <w:tcBorders>
              <w:top w:val="nil"/>
            </w:tcBorders>
            <w:shd w:val="clear" w:color="auto" w:fill="D9D9D9"/>
          </w:tcPr>
          <w:p>
            <w:pPr>
              <w:rPr>
                <w:sz w:val="2"/>
                <w:szCs w:val="2"/>
              </w:rPr>
            </w:pPr>
          </w:p>
        </w:tc>
        <w:tc>
          <w:tcPr>
            <w:tcW w:w="4930" w:type="dxa"/>
            <w:vMerge/>
            <w:tcBorders>
              <w:top w:val="nil"/>
            </w:tcBorders>
            <w:shd w:val="clear" w:color="auto" w:fill="D9D9D9"/>
          </w:tcPr>
          <w:p>
            <w:pPr>
              <w:rPr>
                <w:sz w:val="2"/>
                <w:szCs w:val="2"/>
              </w:rPr>
            </w:pPr>
          </w:p>
        </w:tc>
        <w:tc>
          <w:tcPr>
            <w:tcW w:w="1986" w:type="dxa"/>
            <w:gridSpan w:val="2"/>
          </w:tcPr>
          <w:p>
            <w:pPr>
              <w:pStyle w:val="TableParagraph"/>
              <w:spacing w:before="54"/>
              <w:ind w:left="566"/>
              <w:rPr>
                <w:rFonts w:ascii="Caladea" w:hAnsi="Caladea"/>
                <w:b/>
                <w:sz w:val="13"/>
              </w:rPr>
            </w:pPr>
            <w:r>
              <w:rPr>
                <w:rFonts w:ascii="Caladea" w:hAnsi="Caladea"/>
                <w:b/>
                <w:sz w:val="13"/>
              </w:rPr>
              <w:t>Valor Contábil</w:t>
            </w:r>
          </w:p>
        </w:tc>
        <w:tc>
          <w:tcPr>
            <w:tcW w:w="994" w:type="dxa"/>
          </w:tcPr>
          <w:p>
            <w:pPr>
              <w:pStyle w:val="TableParagraph"/>
              <w:spacing w:before="54"/>
              <w:ind w:right="152"/>
              <w:jc w:val="right"/>
              <w:rPr>
                <w:rFonts w:ascii="Caladea"/>
                <w:b/>
                <w:sz w:val="13"/>
              </w:rPr>
            </w:pPr>
            <w:r>
              <w:rPr>
                <w:rFonts w:ascii="Caladea"/>
                <w:b/>
                <w:sz w:val="13"/>
              </w:rPr>
              <w:t>Valor Justo</w:t>
            </w:r>
          </w:p>
        </w:tc>
        <w:tc>
          <w:tcPr>
            <w:tcW w:w="1346" w:type="dxa"/>
            <w:vMerge w:val="restart"/>
          </w:tcPr>
          <w:p>
            <w:pPr>
              <w:pStyle w:val="TableParagraph"/>
              <w:spacing w:before="2"/>
              <w:rPr>
                <w:sz w:val="16"/>
              </w:rPr>
            </w:pPr>
          </w:p>
          <w:p>
            <w:pPr>
              <w:pStyle w:val="TableParagraph"/>
              <w:ind w:left="146"/>
              <w:rPr>
                <w:rFonts w:ascii="Caladea" w:hAnsi="Caladea"/>
                <w:b/>
                <w:sz w:val="13"/>
              </w:rPr>
            </w:pPr>
            <w:r>
              <w:rPr>
                <w:rFonts w:ascii="Caladea" w:hAnsi="Caladea"/>
                <w:b/>
                <w:sz w:val="13"/>
              </w:rPr>
              <w:t>Data da Avaliação</w:t>
            </w:r>
          </w:p>
        </w:tc>
      </w:tr>
      <w:tr>
        <w:trPr>
          <w:trHeight w:val="258" w:hRule="atLeast"/>
        </w:trPr>
        <w:tc>
          <w:tcPr>
            <w:tcW w:w="689" w:type="dxa"/>
            <w:vMerge/>
            <w:tcBorders>
              <w:top w:val="nil"/>
            </w:tcBorders>
            <w:shd w:val="clear" w:color="auto" w:fill="D9D9D9"/>
          </w:tcPr>
          <w:p>
            <w:pPr>
              <w:rPr>
                <w:sz w:val="2"/>
                <w:szCs w:val="2"/>
              </w:rPr>
            </w:pPr>
          </w:p>
        </w:tc>
        <w:tc>
          <w:tcPr>
            <w:tcW w:w="4930" w:type="dxa"/>
            <w:vMerge/>
            <w:tcBorders>
              <w:top w:val="nil"/>
            </w:tcBorders>
            <w:shd w:val="clear" w:color="auto" w:fill="D9D9D9"/>
          </w:tcPr>
          <w:p>
            <w:pPr>
              <w:rPr>
                <w:sz w:val="2"/>
                <w:szCs w:val="2"/>
              </w:rPr>
            </w:pPr>
          </w:p>
        </w:tc>
        <w:tc>
          <w:tcPr>
            <w:tcW w:w="993" w:type="dxa"/>
          </w:tcPr>
          <w:p>
            <w:pPr>
              <w:pStyle w:val="TableParagraph"/>
              <w:spacing w:before="54"/>
              <w:ind w:left="125"/>
              <w:rPr>
                <w:rFonts w:ascii="Caladea"/>
                <w:b/>
                <w:sz w:val="13"/>
              </w:rPr>
            </w:pPr>
            <w:r>
              <w:rPr>
                <w:rFonts w:ascii="Caladea"/>
                <w:b/>
                <w:sz w:val="13"/>
              </w:rPr>
              <w:t>31/12/2019</w:t>
            </w:r>
          </w:p>
        </w:tc>
        <w:tc>
          <w:tcPr>
            <w:tcW w:w="993" w:type="dxa"/>
          </w:tcPr>
          <w:p>
            <w:pPr>
              <w:pStyle w:val="TableParagraph"/>
              <w:spacing w:before="54"/>
              <w:ind w:right="111"/>
              <w:jc w:val="right"/>
              <w:rPr>
                <w:rFonts w:ascii="Caladea"/>
                <w:b/>
                <w:sz w:val="13"/>
              </w:rPr>
            </w:pPr>
            <w:r>
              <w:rPr>
                <w:rFonts w:ascii="Caladea"/>
                <w:b/>
                <w:w w:val="95"/>
                <w:sz w:val="13"/>
              </w:rPr>
              <w:t>31/12/2018</w:t>
            </w:r>
          </w:p>
        </w:tc>
        <w:tc>
          <w:tcPr>
            <w:tcW w:w="994" w:type="dxa"/>
          </w:tcPr>
          <w:p>
            <w:pPr>
              <w:pStyle w:val="TableParagraph"/>
              <w:spacing w:before="54"/>
              <w:ind w:right="110"/>
              <w:jc w:val="right"/>
              <w:rPr>
                <w:rFonts w:ascii="Caladea"/>
                <w:b/>
                <w:sz w:val="13"/>
              </w:rPr>
            </w:pPr>
            <w:r>
              <w:rPr>
                <w:rFonts w:ascii="Caladea"/>
                <w:b/>
                <w:sz w:val="13"/>
              </w:rPr>
              <w:t>31/12/2019</w:t>
            </w:r>
          </w:p>
        </w:tc>
        <w:tc>
          <w:tcPr>
            <w:tcW w:w="1346" w:type="dxa"/>
            <w:vMerge/>
            <w:tcBorders>
              <w:top w:val="nil"/>
            </w:tcBorders>
          </w:tcPr>
          <w:p>
            <w:pPr>
              <w:rPr>
                <w:sz w:val="2"/>
                <w:szCs w:val="2"/>
              </w:rPr>
            </w:pPr>
          </w:p>
        </w:tc>
      </w:tr>
      <w:tr>
        <w:trPr>
          <w:trHeight w:val="258" w:hRule="atLeast"/>
        </w:trPr>
        <w:tc>
          <w:tcPr>
            <w:tcW w:w="689" w:type="dxa"/>
          </w:tcPr>
          <w:p>
            <w:pPr>
              <w:pStyle w:val="TableParagraph"/>
              <w:spacing w:before="55"/>
              <w:ind w:left="72"/>
              <w:rPr>
                <w:sz w:val="13"/>
              </w:rPr>
            </w:pPr>
            <w:r>
              <w:rPr>
                <w:sz w:val="13"/>
              </w:rPr>
              <w:t>Terreno</w:t>
            </w:r>
          </w:p>
        </w:tc>
        <w:tc>
          <w:tcPr>
            <w:tcW w:w="4930" w:type="dxa"/>
          </w:tcPr>
          <w:p>
            <w:pPr>
              <w:pStyle w:val="TableParagraph"/>
              <w:spacing w:before="55"/>
              <w:ind w:left="72"/>
              <w:rPr>
                <w:sz w:val="13"/>
              </w:rPr>
            </w:pPr>
            <w:r>
              <w:rPr>
                <w:w w:val="105"/>
                <w:sz w:val="13"/>
              </w:rPr>
              <w:t>Setor Noroeste – Plano Piloto</w:t>
            </w:r>
          </w:p>
        </w:tc>
        <w:tc>
          <w:tcPr>
            <w:tcW w:w="993" w:type="dxa"/>
          </w:tcPr>
          <w:p>
            <w:pPr>
              <w:pStyle w:val="TableParagraph"/>
              <w:spacing w:before="55"/>
              <w:ind w:right="54"/>
              <w:jc w:val="right"/>
              <w:rPr>
                <w:sz w:val="13"/>
              </w:rPr>
            </w:pPr>
            <w:r>
              <w:rPr>
                <w:sz w:val="13"/>
              </w:rPr>
              <w:t>274.400</w:t>
            </w:r>
          </w:p>
        </w:tc>
        <w:tc>
          <w:tcPr>
            <w:tcW w:w="993" w:type="dxa"/>
          </w:tcPr>
          <w:p>
            <w:pPr>
              <w:pStyle w:val="TableParagraph"/>
              <w:spacing w:before="55"/>
              <w:ind w:right="53"/>
              <w:jc w:val="right"/>
              <w:rPr>
                <w:sz w:val="13"/>
              </w:rPr>
            </w:pPr>
            <w:r>
              <w:rPr>
                <w:sz w:val="13"/>
              </w:rPr>
              <w:t>274.400</w:t>
            </w:r>
          </w:p>
        </w:tc>
        <w:tc>
          <w:tcPr>
            <w:tcW w:w="994" w:type="dxa"/>
          </w:tcPr>
          <w:p>
            <w:pPr>
              <w:pStyle w:val="TableParagraph"/>
              <w:spacing w:before="55"/>
              <w:ind w:right="53"/>
              <w:jc w:val="right"/>
              <w:rPr>
                <w:sz w:val="13"/>
              </w:rPr>
            </w:pPr>
            <w:r>
              <w:rPr>
                <w:sz w:val="13"/>
              </w:rPr>
              <w:t>369.000</w:t>
            </w:r>
          </w:p>
        </w:tc>
        <w:tc>
          <w:tcPr>
            <w:tcW w:w="1346" w:type="dxa"/>
          </w:tcPr>
          <w:p>
            <w:pPr>
              <w:pStyle w:val="TableParagraph"/>
              <w:spacing w:before="55"/>
              <w:ind w:left="453" w:right="437"/>
              <w:jc w:val="center"/>
              <w:rPr>
                <w:sz w:val="13"/>
              </w:rPr>
            </w:pPr>
            <w:r>
              <w:rPr>
                <w:sz w:val="13"/>
              </w:rPr>
              <w:t>Abr/19</w:t>
            </w:r>
          </w:p>
        </w:tc>
      </w:tr>
      <w:tr>
        <w:trPr>
          <w:trHeight w:val="261" w:hRule="atLeast"/>
        </w:trPr>
        <w:tc>
          <w:tcPr>
            <w:tcW w:w="689" w:type="dxa"/>
          </w:tcPr>
          <w:p>
            <w:pPr>
              <w:pStyle w:val="TableParagraph"/>
              <w:spacing w:before="55"/>
              <w:ind w:left="72"/>
              <w:rPr>
                <w:sz w:val="13"/>
              </w:rPr>
            </w:pPr>
            <w:r>
              <w:rPr>
                <w:sz w:val="13"/>
              </w:rPr>
              <w:t>Terreno</w:t>
            </w:r>
          </w:p>
        </w:tc>
        <w:tc>
          <w:tcPr>
            <w:tcW w:w="4930" w:type="dxa"/>
          </w:tcPr>
          <w:p>
            <w:pPr>
              <w:pStyle w:val="TableParagraph"/>
              <w:spacing w:before="55"/>
              <w:ind w:left="72"/>
              <w:rPr>
                <w:sz w:val="13"/>
              </w:rPr>
            </w:pPr>
            <w:r>
              <w:rPr>
                <w:w w:val="105"/>
                <w:sz w:val="13"/>
              </w:rPr>
              <w:t>Setor Residencial de Indústria e Abastecimento (SRIA) QE 20, Lote M – Guará</w:t>
            </w:r>
          </w:p>
        </w:tc>
        <w:tc>
          <w:tcPr>
            <w:tcW w:w="993" w:type="dxa"/>
          </w:tcPr>
          <w:p>
            <w:pPr>
              <w:pStyle w:val="TableParagraph"/>
              <w:rPr>
                <w:rFonts w:ascii="Times New Roman"/>
                <w:sz w:val="16"/>
              </w:rPr>
            </w:pPr>
          </w:p>
        </w:tc>
        <w:tc>
          <w:tcPr>
            <w:tcW w:w="993" w:type="dxa"/>
          </w:tcPr>
          <w:p>
            <w:pPr>
              <w:pStyle w:val="TableParagraph"/>
              <w:spacing w:before="55"/>
              <w:ind w:right="53"/>
              <w:jc w:val="right"/>
              <w:rPr>
                <w:sz w:val="13"/>
              </w:rPr>
            </w:pPr>
            <w:r>
              <w:rPr>
                <w:w w:val="105"/>
                <w:sz w:val="13"/>
              </w:rPr>
              <w:t>20</w:t>
            </w:r>
          </w:p>
        </w:tc>
        <w:tc>
          <w:tcPr>
            <w:tcW w:w="994" w:type="dxa"/>
          </w:tcPr>
          <w:p>
            <w:pPr>
              <w:pStyle w:val="TableParagraph"/>
              <w:rPr>
                <w:rFonts w:ascii="Times New Roman"/>
                <w:sz w:val="16"/>
              </w:rPr>
            </w:pPr>
          </w:p>
        </w:tc>
        <w:tc>
          <w:tcPr>
            <w:tcW w:w="1346" w:type="dxa"/>
          </w:tcPr>
          <w:p>
            <w:pPr>
              <w:pStyle w:val="TableParagraph"/>
              <w:rPr>
                <w:rFonts w:ascii="Times New Roman"/>
                <w:sz w:val="16"/>
              </w:rPr>
            </w:pPr>
          </w:p>
        </w:tc>
      </w:tr>
      <w:tr>
        <w:trPr>
          <w:trHeight w:val="258" w:hRule="atLeast"/>
        </w:trPr>
        <w:tc>
          <w:tcPr>
            <w:tcW w:w="689" w:type="dxa"/>
            <w:shd w:val="clear" w:color="auto" w:fill="D9D9D9"/>
          </w:tcPr>
          <w:p>
            <w:pPr>
              <w:pStyle w:val="TableParagraph"/>
              <w:spacing w:before="51"/>
              <w:ind w:left="72"/>
              <w:rPr>
                <w:rFonts w:ascii="Caladea"/>
                <w:b/>
                <w:sz w:val="13"/>
              </w:rPr>
            </w:pPr>
            <w:r>
              <w:rPr>
                <w:rFonts w:ascii="Caladea"/>
                <w:b/>
                <w:sz w:val="13"/>
              </w:rPr>
              <w:t>Total</w:t>
            </w:r>
          </w:p>
        </w:tc>
        <w:tc>
          <w:tcPr>
            <w:tcW w:w="4930" w:type="dxa"/>
            <w:shd w:val="clear" w:color="auto" w:fill="D9D9D9"/>
          </w:tcPr>
          <w:p>
            <w:pPr>
              <w:pStyle w:val="TableParagraph"/>
              <w:rPr>
                <w:rFonts w:ascii="Times New Roman"/>
                <w:sz w:val="16"/>
              </w:rPr>
            </w:pPr>
          </w:p>
        </w:tc>
        <w:tc>
          <w:tcPr>
            <w:tcW w:w="993" w:type="dxa"/>
          </w:tcPr>
          <w:p>
            <w:pPr>
              <w:pStyle w:val="TableParagraph"/>
              <w:spacing w:before="51"/>
              <w:ind w:right="54"/>
              <w:jc w:val="right"/>
              <w:rPr>
                <w:rFonts w:ascii="Caladea"/>
                <w:b/>
                <w:sz w:val="13"/>
              </w:rPr>
            </w:pPr>
            <w:r>
              <w:rPr>
                <w:rFonts w:ascii="Caladea"/>
                <w:b/>
                <w:sz w:val="13"/>
              </w:rPr>
              <w:t>274.400</w:t>
            </w:r>
          </w:p>
        </w:tc>
        <w:tc>
          <w:tcPr>
            <w:tcW w:w="993" w:type="dxa"/>
          </w:tcPr>
          <w:p>
            <w:pPr>
              <w:pStyle w:val="TableParagraph"/>
              <w:spacing w:before="51"/>
              <w:ind w:right="53"/>
              <w:jc w:val="right"/>
              <w:rPr>
                <w:rFonts w:ascii="Caladea"/>
                <w:b/>
                <w:sz w:val="13"/>
              </w:rPr>
            </w:pPr>
            <w:r>
              <w:rPr>
                <w:rFonts w:ascii="Caladea"/>
                <w:b/>
                <w:sz w:val="13"/>
              </w:rPr>
              <w:t>274.420</w:t>
            </w:r>
          </w:p>
        </w:tc>
        <w:tc>
          <w:tcPr>
            <w:tcW w:w="994" w:type="dxa"/>
          </w:tcPr>
          <w:p>
            <w:pPr>
              <w:pStyle w:val="TableParagraph"/>
              <w:spacing w:before="51"/>
              <w:ind w:right="53"/>
              <w:jc w:val="right"/>
              <w:rPr>
                <w:rFonts w:ascii="Caladea"/>
                <w:b/>
                <w:sz w:val="13"/>
              </w:rPr>
            </w:pPr>
            <w:r>
              <w:rPr>
                <w:rFonts w:ascii="Caladea"/>
                <w:b/>
                <w:sz w:val="13"/>
              </w:rPr>
              <w:t>369.000</w:t>
            </w:r>
          </w:p>
        </w:tc>
        <w:tc>
          <w:tcPr>
            <w:tcW w:w="1346" w:type="dxa"/>
            <w:shd w:val="clear" w:color="auto" w:fill="D9D9D9"/>
          </w:tcPr>
          <w:p>
            <w:pPr>
              <w:pStyle w:val="TableParagraph"/>
              <w:rPr>
                <w:rFonts w:ascii="Times New Roman"/>
                <w:sz w:val="16"/>
              </w:rPr>
            </w:pPr>
          </w:p>
        </w:tc>
      </w:tr>
    </w:tbl>
    <w:p>
      <w:pPr>
        <w:pStyle w:val="BodyText"/>
        <w:rPr>
          <w:sz w:val="21"/>
        </w:rPr>
      </w:pPr>
    </w:p>
    <w:p>
      <w:pPr>
        <w:pStyle w:val="BodyText"/>
        <w:spacing w:line="242" w:lineRule="auto"/>
        <w:ind w:left="172" w:right="416"/>
        <w:jc w:val="both"/>
      </w:pPr>
      <w:r>
        <w:rPr/>
        <w:t>O</w:t>
      </w:r>
      <w:r>
        <w:rPr>
          <w:spacing w:val="-33"/>
        </w:rPr>
        <w:t> </w:t>
      </w:r>
      <w:r>
        <w:rPr/>
        <w:t>terreno</w:t>
      </w:r>
      <w:r>
        <w:rPr>
          <w:spacing w:val="-31"/>
        </w:rPr>
        <w:t> </w:t>
      </w:r>
      <w:r>
        <w:rPr/>
        <w:t>localizado</w:t>
      </w:r>
      <w:r>
        <w:rPr>
          <w:spacing w:val="-31"/>
        </w:rPr>
        <w:t> </w:t>
      </w:r>
      <w:r>
        <w:rPr/>
        <w:t>no</w:t>
      </w:r>
      <w:r>
        <w:rPr>
          <w:spacing w:val="-32"/>
        </w:rPr>
        <w:t> </w:t>
      </w:r>
      <w:r>
        <w:rPr/>
        <w:t>Setor</w:t>
      </w:r>
      <w:r>
        <w:rPr>
          <w:spacing w:val="-32"/>
        </w:rPr>
        <w:t> </w:t>
      </w:r>
      <w:r>
        <w:rPr/>
        <w:t>Noroeste</w:t>
      </w:r>
      <w:r>
        <w:rPr>
          <w:spacing w:val="-32"/>
        </w:rPr>
        <w:t> </w:t>
      </w:r>
      <w:r>
        <w:rPr/>
        <w:t>SIA</w:t>
      </w:r>
      <w:r>
        <w:rPr>
          <w:spacing w:val="-31"/>
        </w:rPr>
        <w:t> </w:t>
      </w:r>
      <w:r>
        <w:rPr/>
        <w:t>Norte</w:t>
      </w:r>
      <w:r>
        <w:rPr>
          <w:spacing w:val="-31"/>
        </w:rPr>
        <w:t> </w:t>
      </w:r>
      <w:r>
        <w:rPr/>
        <w:t>PR</w:t>
      </w:r>
      <w:r>
        <w:rPr>
          <w:spacing w:val="-30"/>
        </w:rPr>
        <w:t> </w:t>
      </w:r>
      <w:r>
        <w:rPr/>
        <w:t>155/1/DF</w:t>
      </w:r>
      <w:r>
        <w:rPr>
          <w:spacing w:val="-31"/>
        </w:rPr>
        <w:t> </w:t>
      </w:r>
      <w:r>
        <w:rPr/>
        <w:t>integra</w:t>
      </w:r>
      <w:r>
        <w:rPr>
          <w:spacing w:val="-31"/>
        </w:rPr>
        <w:t> </w:t>
      </w:r>
      <w:r>
        <w:rPr/>
        <w:t>o</w:t>
      </w:r>
      <w:r>
        <w:rPr>
          <w:spacing w:val="-30"/>
        </w:rPr>
        <w:t> </w:t>
      </w:r>
      <w:r>
        <w:rPr/>
        <w:t>rol</w:t>
      </w:r>
      <w:r>
        <w:rPr>
          <w:spacing w:val="-30"/>
        </w:rPr>
        <w:t> </w:t>
      </w:r>
      <w:r>
        <w:rPr/>
        <w:t>de</w:t>
      </w:r>
      <w:r>
        <w:rPr>
          <w:spacing w:val="-33"/>
        </w:rPr>
        <w:t> </w:t>
      </w:r>
      <w:r>
        <w:rPr/>
        <w:t>garantias</w:t>
      </w:r>
      <w:r>
        <w:rPr>
          <w:spacing w:val="-30"/>
        </w:rPr>
        <w:t> </w:t>
      </w:r>
      <w:r>
        <w:rPr/>
        <w:t>oferecidas</w:t>
      </w:r>
      <w:r>
        <w:rPr>
          <w:spacing w:val="-30"/>
        </w:rPr>
        <w:t> </w:t>
      </w:r>
      <w:r>
        <w:rPr/>
        <w:t>na</w:t>
      </w:r>
      <w:r>
        <w:rPr>
          <w:spacing w:val="-30"/>
        </w:rPr>
        <w:t> </w:t>
      </w:r>
      <w:r>
        <w:rPr/>
        <w:t>1º</w:t>
      </w:r>
      <w:r>
        <w:rPr>
          <w:spacing w:val="-31"/>
        </w:rPr>
        <w:t> </w:t>
      </w:r>
      <w:r>
        <w:rPr/>
        <w:t>emissão</w:t>
      </w:r>
      <w:r>
        <w:rPr>
          <w:spacing w:val="-30"/>
        </w:rPr>
        <w:t> </w:t>
      </w:r>
      <w:r>
        <w:rPr/>
        <w:t>de debêntures.</w:t>
      </w:r>
    </w:p>
    <w:p>
      <w:pPr>
        <w:pStyle w:val="BodyText"/>
        <w:spacing w:before="5"/>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ARTICIPAÇÃO DOS </w:t>
      </w:r>
      <w:r>
        <w:rPr>
          <w:rFonts w:ascii="Caladea" w:hAnsi="Caladea"/>
          <w:b/>
          <w:sz w:val="22"/>
        </w:rPr>
        <w:t>A</w:t>
      </w:r>
      <w:r>
        <w:rPr>
          <w:rFonts w:ascii="Caladea" w:hAnsi="Caladea"/>
          <w:b/>
          <w:sz w:val="18"/>
        </w:rPr>
        <w:t>CIONISTAS </w:t>
      </w:r>
      <w:r>
        <w:rPr>
          <w:rFonts w:ascii="Caladea" w:hAnsi="Caladea"/>
          <w:b/>
          <w:sz w:val="22"/>
        </w:rPr>
        <w:t>N</w:t>
      </w:r>
      <w:r>
        <w:rPr>
          <w:rFonts w:ascii="Caladea" w:hAnsi="Caladea"/>
          <w:b/>
          <w:sz w:val="18"/>
        </w:rPr>
        <w:t>ÃO</w:t>
      </w:r>
      <w:r>
        <w:rPr>
          <w:rFonts w:ascii="Caladea" w:hAnsi="Caladea"/>
          <w:b/>
          <w:spacing w:val="1"/>
          <w:sz w:val="18"/>
        </w:rPr>
        <w:t> </w:t>
      </w:r>
      <w:r>
        <w:rPr>
          <w:rFonts w:ascii="Caladea" w:hAnsi="Caladea"/>
          <w:b/>
          <w:sz w:val="22"/>
        </w:rPr>
        <w:t>C</w:t>
      </w:r>
      <w:r>
        <w:rPr>
          <w:rFonts w:ascii="Caladea" w:hAnsi="Caladea"/>
          <w:b/>
          <w:sz w:val="18"/>
        </w:rPr>
        <w:t>ONTROLADORES</w:t>
      </w:r>
    </w:p>
    <w:p>
      <w:pPr>
        <w:pStyle w:val="BodyText"/>
        <w:spacing w:before="9"/>
        <w:rPr>
          <w:rFonts w:ascii="Caladea"/>
          <w:b/>
          <w:sz w:val="23"/>
        </w:rPr>
      </w:pPr>
    </w:p>
    <w:p>
      <w:pPr>
        <w:pStyle w:val="BodyText"/>
        <w:spacing w:before="1"/>
        <w:ind w:left="172"/>
        <w:jc w:val="both"/>
      </w:pPr>
      <w:r>
        <w:rPr/>
        <w:t>O total da participação dos acionistas não controladores no patrimônio líquido da Companhia é de R$ 216.689 (R$</w:t>
      </w:r>
    </w:p>
    <w:p>
      <w:pPr>
        <w:pStyle w:val="BodyText"/>
        <w:spacing w:line="244" w:lineRule="auto" w:before="3"/>
        <w:ind w:left="172" w:right="322"/>
      </w:pPr>
      <w:r>
        <w:rPr/>
        <w:t>205.457</w:t>
      </w:r>
      <w:r>
        <w:rPr>
          <w:spacing w:val="-32"/>
        </w:rPr>
        <w:t> </w:t>
      </w:r>
      <w:r>
        <w:rPr>
          <w:w w:val="105"/>
        </w:rPr>
        <w:t>–</w:t>
      </w:r>
      <w:r>
        <w:rPr>
          <w:spacing w:val="-34"/>
          <w:w w:val="105"/>
        </w:rPr>
        <w:t> </w:t>
      </w:r>
      <w:r>
        <w:rPr/>
        <w:t>2018),</w:t>
      </w:r>
      <w:r>
        <w:rPr>
          <w:spacing w:val="-32"/>
        </w:rPr>
        <w:t> </w:t>
      </w:r>
      <w:r>
        <w:rPr/>
        <w:t>dos</w:t>
      </w:r>
      <w:r>
        <w:rPr>
          <w:spacing w:val="-30"/>
        </w:rPr>
        <w:t> </w:t>
      </w:r>
      <w:r>
        <w:rPr/>
        <w:t>quais,</w:t>
      </w:r>
      <w:r>
        <w:rPr>
          <w:spacing w:val="-31"/>
        </w:rPr>
        <w:t> </w:t>
      </w:r>
      <w:r>
        <w:rPr/>
        <w:t>R$</w:t>
      </w:r>
      <w:r>
        <w:rPr>
          <w:spacing w:val="-31"/>
        </w:rPr>
        <w:t> </w:t>
      </w:r>
      <w:r>
        <w:rPr/>
        <w:t>216.072</w:t>
      </w:r>
      <w:r>
        <w:rPr>
          <w:spacing w:val="-32"/>
        </w:rPr>
        <w:t> </w:t>
      </w:r>
      <w:r>
        <w:rPr/>
        <w:t>são</w:t>
      </w:r>
      <w:r>
        <w:rPr>
          <w:spacing w:val="-32"/>
        </w:rPr>
        <w:t> </w:t>
      </w:r>
      <w:r>
        <w:rPr/>
        <w:t>atribuíveis</w:t>
      </w:r>
      <w:r>
        <w:rPr>
          <w:spacing w:val="-31"/>
        </w:rPr>
        <w:t> </w:t>
      </w:r>
      <w:r>
        <w:rPr/>
        <w:t>aos</w:t>
      </w:r>
      <w:r>
        <w:rPr>
          <w:spacing w:val="-31"/>
        </w:rPr>
        <w:t> </w:t>
      </w:r>
      <w:r>
        <w:rPr/>
        <w:t>acionistas</w:t>
      </w:r>
      <w:r>
        <w:rPr>
          <w:spacing w:val="-31"/>
        </w:rPr>
        <w:t> </w:t>
      </w:r>
      <w:r>
        <w:rPr/>
        <w:t>não</w:t>
      </w:r>
      <w:r>
        <w:rPr>
          <w:spacing w:val="-32"/>
        </w:rPr>
        <w:t> </w:t>
      </w:r>
      <w:r>
        <w:rPr/>
        <w:t>controladores</w:t>
      </w:r>
      <w:r>
        <w:rPr>
          <w:spacing w:val="-31"/>
        </w:rPr>
        <w:t> </w:t>
      </w:r>
      <w:r>
        <w:rPr/>
        <w:t>da</w:t>
      </w:r>
      <w:r>
        <w:rPr>
          <w:spacing w:val="-31"/>
        </w:rPr>
        <w:t> </w:t>
      </w:r>
      <w:r>
        <w:rPr/>
        <w:t>CEB</w:t>
      </w:r>
      <w:r>
        <w:rPr>
          <w:spacing w:val="-29"/>
        </w:rPr>
        <w:t> </w:t>
      </w:r>
      <w:r>
        <w:rPr/>
        <w:t>Lajeado</w:t>
      </w:r>
      <w:r>
        <w:rPr>
          <w:spacing w:val="-31"/>
        </w:rPr>
        <w:t> </w:t>
      </w:r>
      <w:r>
        <w:rPr/>
        <w:t>S.A.</w:t>
      </w:r>
      <w:r>
        <w:rPr>
          <w:spacing w:val="-30"/>
        </w:rPr>
        <w:t> </w:t>
      </w:r>
      <w:r>
        <w:rPr/>
        <w:t>e</w:t>
      </w:r>
      <w:r>
        <w:rPr>
          <w:spacing w:val="-33"/>
        </w:rPr>
        <w:t> </w:t>
      </w:r>
      <w:r>
        <w:rPr/>
        <w:t>R$</w:t>
      </w:r>
      <w:r>
        <w:rPr>
          <w:spacing w:val="-31"/>
        </w:rPr>
        <w:t> </w:t>
      </w:r>
      <w:r>
        <w:rPr/>
        <w:t>617 são</w:t>
      </w:r>
      <w:r>
        <w:rPr>
          <w:spacing w:val="-21"/>
        </w:rPr>
        <w:t> </w:t>
      </w:r>
      <w:r>
        <w:rPr/>
        <w:t>atribuíveis</w:t>
      </w:r>
      <w:r>
        <w:rPr>
          <w:spacing w:val="-20"/>
        </w:rPr>
        <w:t> </w:t>
      </w:r>
      <w:r>
        <w:rPr/>
        <w:t>aos</w:t>
      </w:r>
      <w:r>
        <w:rPr>
          <w:spacing w:val="-20"/>
        </w:rPr>
        <w:t> </w:t>
      </w:r>
      <w:r>
        <w:rPr/>
        <w:t>acionistas</w:t>
      </w:r>
      <w:r>
        <w:rPr>
          <w:spacing w:val="-20"/>
        </w:rPr>
        <w:t> </w:t>
      </w:r>
      <w:r>
        <w:rPr/>
        <w:t>não</w:t>
      </w:r>
      <w:r>
        <w:rPr>
          <w:spacing w:val="-21"/>
        </w:rPr>
        <w:t> </w:t>
      </w:r>
      <w:r>
        <w:rPr/>
        <w:t>controladores</w:t>
      </w:r>
      <w:r>
        <w:rPr>
          <w:spacing w:val="-18"/>
        </w:rPr>
        <w:t> </w:t>
      </w:r>
      <w:r>
        <w:rPr/>
        <w:t>da</w:t>
      </w:r>
      <w:r>
        <w:rPr>
          <w:spacing w:val="-20"/>
        </w:rPr>
        <w:t> </w:t>
      </w:r>
      <w:r>
        <w:rPr/>
        <w:t>Companhia</w:t>
      </w:r>
      <w:r>
        <w:rPr>
          <w:spacing w:val="-20"/>
        </w:rPr>
        <w:t> </w:t>
      </w:r>
      <w:r>
        <w:rPr/>
        <w:t>Brasiliense</w:t>
      </w:r>
      <w:r>
        <w:rPr>
          <w:spacing w:val="-19"/>
        </w:rPr>
        <w:t> </w:t>
      </w:r>
      <w:r>
        <w:rPr/>
        <w:t>de</w:t>
      </w:r>
      <w:r>
        <w:rPr>
          <w:spacing w:val="-20"/>
        </w:rPr>
        <w:t> </w:t>
      </w:r>
      <w:r>
        <w:rPr/>
        <w:t>Gás.</w:t>
      </w:r>
    </w:p>
    <w:p>
      <w:pPr>
        <w:spacing w:after="0" w:line="244" w:lineRule="auto"/>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IMOBILIZADO</w:t>
      </w:r>
    </w:p>
    <w:p>
      <w:pPr>
        <w:pStyle w:val="ListParagraph"/>
        <w:numPr>
          <w:ilvl w:val="1"/>
          <w:numId w:val="6"/>
        </w:numPr>
        <w:tabs>
          <w:tab w:pos="1025" w:val="left" w:leader="none"/>
          <w:tab w:pos="1026" w:val="left" w:leader="none"/>
        </w:tabs>
        <w:spacing w:line="240" w:lineRule="auto" w:before="244" w:after="0"/>
        <w:ind w:left="1025" w:right="0" w:hanging="854"/>
        <w:jc w:val="left"/>
        <w:rPr>
          <w:rFonts w:ascii="Caladea" w:hAnsi="Caladea"/>
          <w:b/>
          <w:sz w:val="18"/>
        </w:rPr>
      </w:pPr>
      <w:r>
        <w:rPr>
          <w:rFonts w:ascii="Caladea" w:hAnsi="Caladea"/>
          <w:b/>
          <w:sz w:val="22"/>
        </w:rPr>
        <w:t>M</w:t>
      </w:r>
      <w:r>
        <w:rPr>
          <w:rFonts w:ascii="Caladea" w:hAnsi="Caladea"/>
          <w:b/>
          <w:sz w:val="18"/>
        </w:rPr>
        <w:t>OVIMENTAÇÃO</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5"/>
        <w:gridCol w:w="981"/>
        <w:gridCol w:w="1317"/>
        <w:gridCol w:w="1185"/>
        <w:gridCol w:w="901"/>
        <w:gridCol w:w="904"/>
        <w:gridCol w:w="1007"/>
        <w:gridCol w:w="899"/>
      </w:tblGrid>
      <w:tr>
        <w:trPr>
          <w:trHeight w:val="203" w:hRule="atLeast"/>
        </w:trPr>
        <w:tc>
          <w:tcPr>
            <w:tcW w:w="2715" w:type="dxa"/>
            <w:vMerge w:val="restart"/>
            <w:shd w:val="clear" w:color="auto" w:fill="D7D7D7"/>
          </w:tcPr>
          <w:p>
            <w:pPr>
              <w:pStyle w:val="TableParagraph"/>
              <w:rPr>
                <w:rFonts w:ascii="Caladea"/>
                <w:b/>
                <w:sz w:val="12"/>
              </w:rPr>
            </w:pPr>
          </w:p>
          <w:p>
            <w:pPr>
              <w:pStyle w:val="TableParagraph"/>
              <w:spacing w:before="9"/>
              <w:rPr>
                <w:rFonts w:ascii="Caladea"/>
                <w:b/>
                <w:sz w:val="11"/>
              </w:rPr>
            </w:pPr>
          </w:p>
          <w:p>
            <w:pPr>
              <w:pStyle w:val="TableParagraph"/>
              <w:ind w:left="1139" w:right="1125"/>
              <w:jc w:val="center"/>
              <w:rPr>
                <w:rFonts w:ascii="Caladea"/>
                <w:b/>
                <w:sz w:val="11"/>
              </w:rPr>
            </w:pPr>
            <w:r>
              <w:rPr>
                <w:rFonts w:ascii="Caladea"/>
                <w:b/>
                <w:sz w:val="11"/>
              </w:rPr>
              <w:t>Eventos</w:t>
            </w:r>
          </w:p>
        </w:tc>
        <w:tc>
          <w:tcPr>
            <w:tcW w:w="7194" w:type="dxa"/>
            <w:gridSpan w:val="7"/>
          </w:tcPr>
          <w:p>
            <w:pPr>
              <w:pStyle w:val="TableParagraph"/>
              <w:spacing w:before="39"/>
              <w:ind w:left="3241" w:right="3226"/>
              <w:jc w:val="center"/>
              <w:rPr>
                <w:rFonts w:ascii="Caladea"/>
                <w:b/>
                <w:sz w:val="11"/>
              </w:rPr>
            </w:pPr>
            <w:r>
              <w:rPr>
                <w:rFonts w:ascii="Caladea"/>
                <w:b/>
                <w:sz w:val="11"/>
              </w:rPr>
              <w:t>Controladora</w:t>
            </w:r>
          </w:p>
        </w:tc>
      </w:tr>
      <w:tr>
        <w:trPr>
          <w:trHeight w:val="206" w:hRule="atLeast"/>
        </w:trPr>
        <w:tc>
          <w:tcPr>
            <w:tcW w:w="2715" w:type="dxa"/>
            <w:vMerge/>
            <w:tcBorders>
              <w:top w:val="nil"/>
            </w:tcBorders>
            <w:shd w:val="clear" w:color="auto" w:fill="D7D7D7"/>
          </w:tcPr>
          <w:p>
            <w:pPr>
              <w:rPr>
                <w:sz w:val="2"/>
                <w:szCs w:val="2"/>
              </w:rPr>
            </w:pPr>
          </w:p>
        </w:tc>
        <w:tc>
          <w:tcPr>
            <w:tcW w:w="5288" w:type="dxa"/>
            <w:gridSpan w:val="5"/>
          </w:tcPr>
          <w:p>
            <w:pPr>
              <w:pStyle w:val="TableParagraph"/>
              <w:spacing w:before="39"/>
              <w:ind w:left="2033" w:right="2019"/>
              <w:jc w:val="center"/>
              <w:rPr>
                <w:rFonts w:ascii="Caladea" w:hAnsi="Caladea"/>
                <w:b/>
                <w:sz w:val="11"/>
              </w:rPr>
            </w:pPr>
            <w:r>
              <w:rPr>
                <w:rFonts w:ascii="Caladea" w:hAnsi="Caladea"/>
                <w:b/>
                <w:sz w:val="11"/>
              </w:rPr>
              <w:t>Imobilizado em Serviço</w:t>
            </w:r>
          </w:p>
        </w:tc>
        <w:tc>
          <w:tcPr>
            <w:tcW w:w="1007" w:type="dxa"/>
            <w:vMerge w:val="restart"/>
          </w:tcPr>
          <w:p>
            <w:pPr>
              <w:pStyle w:val="TableParagraph"/>
              <w:spacing w:before="3"/>
              <w:rPr>
                <w:rFonts w:ascii="Caladea"/>
                <w:b/>
                <w:sz w:val="9"/>
              </w:rPr>
            </w:pPr>
          </w:p>
          <w:p>
            <w:pPr>
              <w:pStyle w:val="TableParagraph"/>
              <w:ind w:left="362" w:right="72" w:hanging="245"/>
              <w:rPr>
                <w:rFonts w:ascii="Caladea"/>
                <w:b/>
                <w:sz w:val="11"/>
              </w:rPr>
            </w:pPr>
            <w:r>
              <w:rPr>
                <w:rFonts w:ascii="Caladea"/>
                <w:b/>
                <w:sz w:val="11"/>
              </w:rPr>
              <w:t>Imobilizado em Curso</w:t>
            </w:r>
          </w:p>
        </w:tc>
        <w:tc>
          <w:tcPr>
            <w:tcW w:w="899" w:type="dxa"/>
            <w:vMerge w:val="restart"/>
          </w:tcPr>
          <w:p>
            <w:pPr>
              <w:pStyle w:val="TableParagraph"/>
              <w:spacing w:before="9"/>
              <w:rPr>
                <w:rFonts w:ascii="Caladea"/>
                <w:b/>
                <w:sz w:val="14"/>
              </w:rPr>
            </w:pPr>
          </w:p>
          <w:p>
            <w:pPr>
              <w:pStyle w:val="TableParagraph"/>
              <w:ind w:left="303" w:right="280"/>
              <w:jc w:val="center"/>
              <w:rPr>
                <w:rFonts w:ascii="Caladea"/>
                <w:b/>
                <w:sz w:val="11"/>
              </w:rPr>
            </w:pPr>
            <w:r>
              <w:rPr>
                <w:rFonts w:ascii="Caladea"/>
                <w:b/>
                <w:sz w:val="11"/>
              </w:rPr>
              <w:t>Total</w:t>
            </w:r>
          </w:p>
        </w:tc>
      </w:tr>
      <w:tr>
        <w:trPr>
          <w:trHeight w:val="256" w:hRule="atLeast"/>
        </w:trPr>
        <w:tc>
          <w:tcPr>
            <w:tcW w:w="2715" w:type="dxa"/>
            <w:vMerge/>
            <w:tcBorders>
              <w:top w:val="nil"/>
            </w:tcBorders>
            <w:shd w:val="clear" w:color="auto" w:fill="D7D7D7"/>
          </w:tcPr>
          <w:p>
            <w:pPr>
              <w:rPr>
                <w:sz w:val="2"/>
                <w:szCs w:val="2"/>
              </w:rPr>
            </w:pPr>
          </w:p>
        </w:tc>
        <w:tc>
          <w:tcPr>
            <w:tcW w:w="981" w:type="dxa"/>
          </w:tcPr>
          <w:p>
            <w:pPr>
              <w:pStyle w:val="TableParagraph"/>
              <w:spacing w:before="63"/>
              <w:ind w:left="257"/>
              <w:rPr>
                <w:rFonts w:ascii="Caladea"/>
                <w:b/>
                <w:sz w:val="11"/>
              </w:rPr>
            </w:pPr>
            <w:r>
              <w:rPr>
                <w:rFonts w:ascii="Caladea"/>
                <w:b/>
                <w:sz w:val="11"/>
              </w:rPr>
              <w:t>Terrenos</w:t>
            </w:r>
          </w:p>
        </w:tc>
        <w:tc>
          <w:tcPr>
            <w:tcW w:w="1317" w:type="dxa"/>
          </w:tcPr>
          <w:p>
            <w:pPr>
              <w:pStyle w:val="TableParagraph"/>
              <w:spacing w:line="127" w:lineRule="exact"/>
              <w:ind w:left="200"/>
              <w:rPr>
                <w:rFonts w:ascii="Caladea" w:hAnsi="Caladea"/>
                <w:b/>
                <w:sz w:val="11"/>
              </w:rPr>
            </w:pPr>
            <w:r>
              <w:rPr>
                <w:rFonts w:ascii="Caladea" w:hAnsi="Caladea"/>
                <w:b/>
                <w:sz w:val="11"/>
              </w:rPr>
              <w:t>Edificações,</w:t>
            </w:r>
            <w:r>
              <w:rPr>
                <w:rFonts w:ascii="Caladea" w:hAnsi="Caladea"/>
                <w:b/>
                <w:spacing w:val="-9"/>
                <w:sz w:val="11"/>
              </w:rPr>
              <w:t> </w:t>
            </w:r>
            <w:r>
              <w:rPr>
                <w:rFonts w:ascii="Caladea" w:hAnsi="Caladea"/>
                <w:b/>
                <w:sz w:val="11"/>
              </w:rPr>
              <w:t>Obras</w:t>
            </w:r>
          </w:p>
          <w:p>
            <w:pPr>
              <w:pStyle w:val="TableParagraph"/>
              <w:spacing w:line="108" w:lineRule="exact"/>
              <w:ind w:left="176"/>
              <w:rPr>
                <w:rFonts w:ascii="Caladea"/>
                <w:b/>
                <w:sz w:val="11"/>
              </w:rPr>
            </w:pPr>
            <w:r>
              <w:rPr>
                <w:rFonts w:ascii="Caladea"/>
                <w:b/>
                <w:sz w:val="11"/>
              </w:rPr>
              <w:t>Civis e</w:t>
            </w:r>
            <w:r>
              <w:rPr>
                <w:rFonts w:ascii="Caladea"/>
                <w:b/>
                <w:spacing w:val="-12"/>
                <w:sz w:val="11"/>
              </w:rPr>
              <w:t> </w:t>
            </w:r>
            <w:r>
              <w:rPr>
                <w:rFonts w:ascii="Caladea"/>
                <w:b/>
                <w:sz w:val="11"/>
              </w:rPr>
              <w:t>Benfeitorias</w:t>
            </w:r>
          </w:p>
        </w:tc>
        <w:tc>
          <w:tcPr>
            <w:tcW w:w="1185" w:type="dxa"/>
          </w:tcPr>
          <w:p>
            <w:pPr>
              <w:pStyle w:val="TableParagraph"/>
              <w:spacing w:line="127" w:lineRule="exact"/>
              <w:ind w:left="306"/>
              <w:rPr>
                <w:rFonts w:ascii="Caladea" w:hAnsi="Caladea"/>
                <w:b/>
                <w:sz w:val="11"/>
              </w:rPr>
            </w:pPr>
            <w:r>
              <w:rPr>
                <w:rFonts w:ascii="Caladea" w:hAnsi="Caladea"/>
                <w:b/>
                <w:sz w:val="11"/>
              </w:rPr>
              <w:t>Máquinas e</w:t>
            </w:r>
          </w:p>
          <w:p>
            <w:pPr>
              <w:pStyle w:val="TableParagraph"/>
              <w:spacing w:line="108" w:lineRule="exact"/>
              <w:ind w:left="229"/>
              <w:rPr>
                <w:rFonts w:ascii="Caladea"/>
                <w:b/>
                <w:sz w:val="11"/>
              </w:rPr>
            </w:pPr>
            <w:r>
              <w:rPr>
                <w:rFonts w:ascii="Caladea"/>
                <w:b/>
                <w:sz w:val="11"/>
              </w:rPr>
              <w:t>Equipamentos</w:t>
            </w:r>
          </w:p>
        </w:tc>
        <w:tc>
          <w:tcPr>
            <w:tcW w:w="901" w:type="dxa"/>
          </w:tcPr>
          <w:p>
            <w:pPr>
              <w:pStyle w:val="TableParagraph"/>
              <w:spacing w:line="127" w:lineRule="exact"/>
              <w:ind w:left="88"/>
              <w:rPr>
                <w:rFonts w:ascii="Caladea"/>
                <w:b/>
                <w:sz w:val="11"/>
              </w:rPr>
            </w:pPr>
            <w:r>
              <w:rPr>
                <w:rFonts w:ascii="Caladea"/>
                <w:b/>
                <w:sz w:val="11"/>
              </w:rPr>
              <w:t>Equipamentos</w:t>
            </w:r>
          </w:p>
          <w:p>
            <w:pPr>
              <w:pStyle w:val="TableParagraph"/>
              <w:spacing w:line="108" w:lineRule="exact"/>
              <w:ind w:left="81"/>
              <w:rPr>
                <w:rFonts w:ascii="Caladea" w:hAnsi="Caladea"/>
                <w:b/>
                <w:sz w:val="11"/>
              </w:rPr>
            </w:pPr>
            <w:r>
              <w:rPr>
                <w:rFonts w:ascii="Caladea" w:hAnsi="Caladea"/>
                <w:b/>
                <w:sz w:val="11"/>
              </w:rPr>
              <w:t>de</w:t>
            </w:r>
            <w:r>
              <w:rPr>
                <w:rFonts w:ascii="Caladea" w:hAnsi="Caladea"/>
                <w:b/>
                <w:spacing w:val="-8"/>
                <w:sz w:val="11"/>
              </w:rPr>
              <w:t> </w:t>
            </w:r>
            <w:r>
              <w:rPr>
                <w:rFonts w:ascii="Caladea" w:hAnsi="Caladea"/>
                <w:b/>
                <w:sz w:val="11"/>
              </w:rPr>
              <w:t>Informática</w:t>
            </w:r>
          </w:p>
        </w:tc>
        <w:tc>
          <w:tcPr>
            <w:tcW w:w="904" w:type="dxa"/>
          </w:tcPr>
          <w:p>
            <w:pPr>
              <w:pStyle w:val="TableParagraph"/>
              <w:spacing w:line="127" w:lineRule="exact"/>
              <w:ind w:left="236"/>
              <w:rPr>
                <w:rFonts w:ascii="Caladea" w:hAnsi="Caladea"/>
                <w:b/>
                <w:sz w:val="11"/>
              </w:rPr>
            </w:pPr>
            <w:r>
              <w:rPr>
                <w:rFonts w:ascii="Caladea" w:hAnsi="Caladea"/>
                <w:b/>
                <w:sz w:val="11"/>
              </w:rPr>
              <w:t>Móveis</w:t>
            </w:r>
            <w:r>
              <w:rPr>
                <w:rFonts w:ascii="Caladea" w:hAnsi="Caladea"/>
                <w:b/>
                <w:spacing w:val="-7"/>
                <w:sz w:val="11"/>
              </w:rPr>
              <w:t> </w:t>
            </w:r>
            <w:r>
              <w:rPr>
                <w:rFonts w:ascii="Caladea" w:hAnsi="Caladea"/>
                <w:b/>
                <w:sz w:val="11"/>
              </w:rPr>
              <w:t>e</w:t>
            </w:r>
          </w:p>
          <w:p>
            <w:pPr>
              <w:pStyle w:val="TableParagraph"/>
              <w:spacing w:line="108" w:lineRule="exact"/>
              <w:ind w:left="203"/>
              <w:rPr>
                <w:rFonts w:ascii="Caladea" w:hAnsi="Caladea"/>
                <w:b/>
                <w:sz w:val="11"/>
              </w:rPr>
            </w:pPr>
            <w:r>
              <w:rPr>
                <w:rFonts w:ascii="Caladea" w:hAnsi="Caladea"/>
                <w:b/>
                <w:sz w:val="11"/>
              </w:rPr>
              <w:t>Utensílios</w:t>
            </w:r>
          </w:p>
        </w:tc>
        <w:tc>
          <w:tcPr>
            <w:tcW w:w="1007" w:type="dxa"/>
            <w:vMerge/>
            <w:tcBorders>
              <w:top w:val="nil"/>
            </w:tcBorders>
          </w:tcPr>
          <w:p>
            <w:pPr>
              <w:rPr>
                <w:sz w:val="2"/>
                <w:szCs w:val="2"/>
              </w:rPr>
            </w:pPr>
          </w:p>
        </w:tc>
        <w:tc>
          <w:tcPr>
            <w:tcW w:w="899" w:type="dxa"/>
            <w:vMerge/>
            <w:tcBorders>
              <w:top w:val="nil"/>
            </w:tcBorders>
          </w:tcPr>
          <w:p>
            <w:pPr>
              <w:rPr>
                <w:sz w:val="2"/>
                <w:szCs w:val="2"/>
              </w:rPr>
            </w:pPr>
          </w:p>
        </w:tc>
      </w:tr>
      <w:tr>
        <w:trPr>
          <w:trHeight w:val="203" w:hRule="atLeast"/>
        </w:trPr>
        <w:tc>
          <w:tcPr>
            <w:tcW w:w="2715" w:type="dxa"/>
          </w:tcPr>
          <w:p>
            <w:pPr>
              <w:pStyle w:val="TableParagraph"/>
              <w:spacing w:before="39"/>
              <w:ind w:left="840"/>
              <w:rPr>
                <w:rFonts w:ascii="Caladea"/>
                <w:b/>
                <w:sz w:val="11"/>
              </w:rPr>
            </w:pPr>
            <w:r>
              <w:rPr>
                <w:rFonts w:ascii="Caladea"/>
                <w:b/>
                <w:sz w:val="11"/>
              </w:rPr>
              <w:t>Custo do Imobilizado</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rPr>
                <w:rFonts w:ascii="Times New Roman"/>
                <w:sz w:val="12"/>
              </w:rPr>
            </w:pPr>
          </w:p>
        </w:tc>
        <w:tc>
          <w:tcPr>
            <w:tcW w:w="901" w:type="dxa"/>
          </w:tcPr>
          <w:p>
            <w:pPr>
              <w:pStyle w:val="TableParagraph"/>
              <w:rPr>
                <w:rFonts w:ascii="Times New Roman"/>
                <w:sz w:val="12"/>
              </w:rPr>
            </w:pPr>
          </w:p>
        </w:tc>
        <w:tc>
          <w:tcPr>
            <w:tcW w:w="904" w:type="dxa"/>
          </w:tcPr>
          <w:p>
            <w:pPr>
              <w:pStyle w:val="TableParagraph"/>
              <w:rPr>
                <w:rFonts w:ascii="Times New Roman"/>
                <w:sz w:val="12"/>
              </w:rPr>
            </w:pPr>
          </w:p>
        </w:tc>
        <w:tc>
          <w:tcPr>
            <w:tcW w:w="1007" w:type="dxa"/>
          </w:tcPr>
          <w:p>
            <w:pPr>
              <w:pStyle w:val="TableParagraph"/>
              <w:rPr>
                <w:rFonts w:ascii="Times New Roman"/>
                <w:sz w:val="12"/>
              </w:rPr>
            </w:pPr>
          </w:p>
        </w:tc>
        <w:tc>
          <w:tcPr>
            <w:tcW w:w="899" w:type="dxa"/>
          </w:tcPr>
          <w:p>
            <w:pPr>
              <w:pStyle w:val="TableParagraph"/>
              <w:rPr>
                <w:rFonts w:ascii="Times New Roman"/>
                <w:sz w:val="12"/>
              </w:rPr>
            </w:pPr>
          </w:p>
        </w:tc>
      </w:tr>
      <w:tr>
        <w:trPr>
          <w:trHeight w:val="205" w:hRule="atLeast"/>
        </w:trPr>
        <w:tc>
          <w:tcPr>
            <w:tcW w:w="2715" w:type="dxa"/>
          </w:tcPr>
          <w:p>
            <w:pPr>
              <w:pStyle w:val="TableParagraph"/>
              <w:spacing w:before="39"/>
              <w:ind w:left="72"/>
              <w:rPr>
                <w:rFonts w:ascii="Caladea"/>
                <w:b/>
                <w:sz w:val="11"/>
              </w:rPr>
            </w:pPr>
            <w:r>
              <w:rPr>
                <w:rFonts w:ascii="Caladea"/>
                <w:b/>
                <w:sz w:val="11"/>
              </w:rPr>
              <w:t>Saldo em 31 de dezembro de 2017</w:t>
            </w:r>
          </w:p>
        </w:tc>
        <w:tc>
          <w:tcPr>
            <w:tcW w:w="981" w:type="dxa"/>
          </w:tcPr>
          <w:p>
            <w:pPr>
              <w:pStyle w:val="TableParagraph"/>
              <w:spacing w:before="39"/>
              <w:ind w:right="56"/>
              <w:jc w:val="right"/>
              <w:rPr>
                <w:rFonts w:ascii="Caladea"/>
                <w:b/>
                <w:sz w:val="11"/>
              </w:rPr>
            </w:pPr>
            <w:r>
              <w:rPr>
                <w:rFonts w:ascii="Caladea"/>
                <w:b/>
                <w:sz w:val="11"/>
              </w:rPr>
              <w:t>11.036</w:t>
            </w:r>
          </w:p>
        </w:tc>
        <w:tc>
          <w:tcPr>
            <w:tcW w:w="1317" w:type="dxa"/>
          </w:tcPr>
          <w:p>
            <w:pPr>
              <w:pStyle w:val="TableParagraph"/>
              <w:spacing w:before="39"/>
              <w:ind w:right="53"/>
              <w:jc w:val="right"/>
              <w:rPr>
                <w:rFonts w:ascii="Caladea"/>
                <w:b/>
                <w:sz w:val="11"/>
              </w:rPr>
            </w:pPr>
            <w:r>
              <w:rPr>
                <w:rFonts w:ascii="Caladea"/>
                <w:b/>
                <w:sz w:val="11"/>
              </w:rPr>
              <w:t>2.464</w:t>
            </w:r>
          </w:p>
        </w:tc>
        <w:tc>
          <w:tcPr>
            <w:tcW w:w="1185" w:type="dxa"/>
          </w:tcPr>
          <w:p>
            <w:pPr>
              <w:pStyle w:val="TableParagraph"/>
              <w:spacing w:before="39"/>
              <w:ind w:right="55"/>
              <w:jc w:val="right"/>
              <w:rPr>
                <w:rFonts w:ascii="Caladea"/>
                <w:b/>
                <w:sz w:val="11"/>
              </w:rPr>
            </w:pPr>
            <w:r>
              <w:rPr>
                <w:rFonts w:ascii="Caladea"/>
                <w:b/>
                <w:sz w:val="11"/>
              </w:rPr>
              <w:t>326</w:t>
            </w:r>
          </w:p>
        </w:tc>
        <w:tc>
          <w:tcPr>
            <w:tcW w:w="901" w:type="dxa"/>
          </w:tcPr>
          <w:p>
            <w:pPr>
              <w:pStyle w:val="TableParagraph"/>
              <w:rPr>
                <w:rFonts w:ascii="Times New Roman"/>
                <w:sz w:val="12"/>
              </w:rPr>
            </w:pPr>
          </w:p>
        </w:tc>
        <w:tc>
          <w:tcPr>
            <w:tcW w:w="904" w:type="dxa"/>
          </w:tcPr>
          <w:p>
            <w:pPr>
              <w:pStyle w:val="TableParagraph"/>
              <w:spacing w:before="39"/>
              <w:ind w:right="52"/>
              <w:jc w:val="right"/>
              <w:rPr>
                <w:rFonts w:ascii="Caladea"/>
                <w:b/>
                <w:sz w:val="11"/>
              </w:rPr>
            </w:pPr>
            <w:r>
              <w:rPr>
                <w:rFonts w:ascii="Caladea"/>
                <w:b/>
                <w:sz w:val="11"/>
              </w:rPr>
              <w:t>242</w:t>
            </w:r>
          </w:p>
        </w:tc>
        <w:tc>
          <w:tcPr>
            <w:tcW w:w="1007" w:type="dxa"/>
          </w:tcPr>
          <w:p>
            <w:pPr>
              <w:pStyle w:val="TableParagraph"/>
              <w:rPr>
                <w:rFonts w:ascii="Times New Roman"/>
                <w:sz w:val="12"/>
              </w:rPr>
            </w:pPr>
          </w:p>
        </w:tc>
        <w:tc>
          <w:tcPr>
            <w:tcW w:w="899" w:type="dxa"/>
          </w:tcPr>
          <w:p>
            <w:pPr>
              <w:pStyle w:val="TableParagraph"/>
              <w:spacing w:before="39"/>
              <w:ind w:right="49"/>
              <w:jc w:val="right"/>
              <w:rPr>
                <w:rFonts w:ascii="Caladea"/>
                <w:b/>
                <w:sz w:val="11"/>
              </w:rPr>
            </w:pPr>
            <w:r>
              <w:rPr>
                <w:rFonts w:ascii="Caladea"/>
                <w:b/>
                <w:sz w:val="11"/>
              </w:rPr>
              <w:t>14.068</w:t>
            </w:r>
          </w:p>
        </w:tc>
      </w:tr>
      <w:tr>
        <w:trPr>
          <w:trHeight w:val="203" w:hRule="atLeast"/>
        </w:trPr>
        <w:tc>
          <w:tcPr>
            <w:tcW w:w="2715" w:type="dxa"/>
          </w:tcPr>
          <w:p>
            <w:pPr>
              <w:pStyle w:val="TableParagraph"/>
              <w:spacing w:before="38"/>
              <w:ind w:left="144"/>
              <w:rPr>
                <w:sz w:val="11"/>
              </w:rPr>
            </w:pPr>
            <w:r>
              <w:rPr>
                <w:sz w:val="11"/>
              </w:rPr>
              <w:t>Adições</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spacing w:before="38"/>
              <w:ind w:right="57"/>
              <w:jc w:val="right"/>
              <w:rPr>
                <w:sz w:val="11"/>
              </w:rPr>
            </w:pPr>
            <w:r>
              <w:rPr>
                <w:w w:val="105"/>
                <w:sz w:val="11"/>
              </w:rPr>
              <w:t>18</w:t>
            </w:r>
          </w:p>
        </w:tc>
        <w:tc>
          <w:tcPr>
            <w:tcW w:w="901" w:type="dxa"/>
          </w:tcPr>
          <w:p>
            <w:pPr>
              <w:pStyle w:val="TableParagraph"/>
              <w:spacing w:before="38"/>
              <w:ind w:right="56"/>
              <w:jc w:val="right"/>
              <w:rPr>
                <w:sz w:val="11"/>
              </w:rPr>
            </w:pPr>
            <w:r>
              <w:rPr>
                <w:w w:val="105"/>
                <w:sz w:val="11"/>
              </w:rPr>
              <w:t>127</w:t>
            </w:r>
          </w:p>
        </w:tc>
        <w:tc>
          <w:tcPr>
            <w:tcW w:w="904" w:type="dxa"/>
          </w:tcPr>
          <w:p>
            <w:pPr>
              <w:pStyle w:val="TableParagraph"/>
              <w:spacing w:before="38"/>
              <w:ind w:right="51"/>
              <w:jc w:val="right"/>
              <w:rPr>
                <w:sz w:val="11"/>
              </w:rPr>
            </w:pPr>
            <w:r>
              <w:rPr>
                <w:w w:val="105"/>
                <w:sz w:val="11"/>
              </w:rPr>
              <w:t>1</w:t>
            </w:r>
          </w:p>
        </w:tc>
        <w:tc>
          <w:tcPr>
            <w:tcW w:w="1007" w:type="dxa"/>
          </w:tcPr>
          <w:p>
            <w:pPr>
              <w:pStyle w:val="TableParagraph"/>
              <w:rPr>
                <w:rFonts w:ascii="Times New Roman"/>
                <w:sz w:val="12"/>
              </w:rPr>
            </w:pPr>
          </w:p>
        </w:tc>
        <w:tc>
          <w:tcPr>
            <w:tcW w:w="899" w:type="dxa"/>
          </w:tcPr>
          <w:p>
            <w:pPr>
              <w:pStyle w:val="TableParagraph"/>
              <w:spacing w:before="38"/>
              <w:ind w:right="52"/>
              <w:jc w:val="right"/>
              <w:rPr>
                <w:sz w:val="11"/>
              </w:rPr>
            </w:pPr>
            <w:r>
              <w:rPr>
                <w:w w:val="105"/>
                <w:sz w:val="11"/>
              </w:rPr>
              <w:t>146</w:t>
            </w:r>
          </w:p>
        </w:tc>
      </w:tr>
      <w:tr>
        <w:trPr>
          <w:trHeight w:val="203" w:hRule="atLeast"/>
        </w:trPr>
        <w:tc>
          <w:tcPr>
            <w:tcW w:w="2715" w:type="dxa"/>
          </w:tcPr>
          <w:p>
            <w:pPr>
              <w:pStyle w:val="TableParagraph"/>
              <w:spacing w:before="37"/>
              <w:ind w:left="72"/>
              <w:rPr>
                <w:rFonts w:ascii="Caladea"/>
                <w:b/>
                <w:sz w:val="11"/>
              </w:rPr>
            </w:pPr>
            <w:r>
              <w:rPr>
                <w:rFonts w:ascii="Caladea"/>
                <w:b/>
                <w:sz w:val="11"/>
              </w:rPr>
              <w:t>Saldo em 31 de dezembro de 2018</w:t>
            </w:r>
          </w:p>
        </w:tc>
        <w:tc>
          <w:tcPr>
            <w:tcW w:w="981" w:type="dxa"/>
          </w:tcPr>
          <w:p>
            <w:pPr>
              <w:pStyle w:val="TableParagraph"/>
              <w:spacing w:before="37"/>
              <w:ind w:right="56"/>
              <w:jc w:val="right"/>
              <w:rPr>
                <w:rFonts w:ascii="Caladea"/>
                <w:b/>
                <w:sz w:val="11"/>
              </w:rPr>
            </w:pPr>
            <w:r>
              <w:rPr>
                <w:rFonts w:ascii="Caladea"/>
                <w:b/>
                <w:sz w:val="11"/>
              </w:rPr>
              <w:t>11.036</w:t>
            </w:r>
          </w:p>
        </w:tc>
        <w:tc>
          <w:tcPr>
            <w:tcW w:w="1317" w:type="dxa"/>
          </w:tcPr>
          <w:p>
            <w:pPr>
              <w:pStyle w:val="TableParagraph"/>
              <w:spacing w:before="37"/>
              <w:ind w:right="53"/>
              <w:jc w:val="right"/>
              <w:rPr>
                <w:rFonts w:ascii="Caladea"/>
                <w:b/>
                <w:sz w:val="11"/>
              </w:rPr>
            </w:pPr>
            <w:r>
              <w:rPr>
                <w:rFonts w:ascii="Caladea"/>
                <w:b/>
                <w:sz w:val="11"/>
              </w:rPr>
              <w:t>2.464</w:t>
            </w:r>
          </w:p>
        </w:tc>
        <w:tc>
          <w:tcPr>
            <w:tcW w:w="1185" w:type="dxa"/>
          </w:tcPr>
          <w:p>
            <w:pPr>
              <w:pStyle w:val="TableParagraph"/>
              <w:spacing w:before="37"/>
              <w:ind w:right="55"/>
              <w:jc w:val="right"/>
              <w:rPr>
                <w:rFonts w:ascii="Caladea"/>
                <w:b/>
                <w:sz w:val="11"/>
              </w:rPr>
            </w:pPr>
            <w:r>
              <w:rPr>
                <w:rFonts w:ascii="Caladea"/>
                <w:b/>
                <w:sz w:val="11"/>
              </w:rPr>
              <w:t>344</w:t>
            </w:r>
          </w:p>
        </w:tc>
        <w:tc>
          <w:tcPr>
            <w:tcW w:w="901" w:type="dxa"/>
          </w:tcPr>
          <w:p>
            <w:pPr>
              <w:pStyle w:val="TableParagraph"/>
              <w:spacing w:before="37"/>
              <w:ind w:right="53"/>
              <w:jc w:val="right"/>
              <w:rPr>
                <w:rFonts w:ascii="Caladea"/>
                <w:b/>
                <w:sz w:val="11"/>
              </w:rPr>
            </w:pPr>
            <w:r>
              <w:rPr>
                <w:rFonts w:ascii="Caladea"/>
                <w:b/>
                <w:sz w:val="11"/>
              </w:rPr>
              <w:t>127</w:t>
            </w:r>
          </w:p>
        </w:tc>
        <w:tc>
          <w:tcPr>
            <w:tcW w:w="904" w:type="dxa"/>
          </w:tcPr>
          <w:p>
            <w:pPr>
              <w:pStyle w:val="TableParagraph"/>
              <w:spacing w:before="37"/>
              <w:ind w:right="52"/>
              <w:jc w:val="right"/>
              <w:rPr>
                <w:rFonts w:ascii="Caladea"/>
                <w:b/>
                <w:sz w:val="11"/>
              </w:rPr>
            </w:pPr>
            <w:r>
              <w:rPr>
                <w:rFonts w:ascii="Caladea"/>
                <w:b/>
                <w:sz w:val="11"/>
              </w:rPr>
              <w:t>243</w:t>
            </w:r>
          </w:p>
        </w:tc>
        <w:tc>
          <w:tcPr>
            <w:tcW w:w="1007" w:type="dxa"/>
          </w:tcPr>
          <w:p>
            <w:pPr>
              <w:pStyle w:val="TableParagraph"/>
              <w:rPr>
                <w:rFonts w:ascii="Times New Roman"/>
                <w:sz w:val="12"/>
              </w:rPr>
            </w:pPr>
          </w:p>
        </w:tc>
        <w:tc>
          <w:tcPr>
            <w:tcW w:w="899" w:type="dxa"/>
          </w:tcPr>
          <w:p>
            <w:pPr>
              <w:pStyle w:val="TableParagraph"/>
              <w:spacing w:before="37"/>
              <w:ind w:right="49"/>
              <w:jc w:val="right"/>
              <w:rPr>
                <w:rFonts w:ascii="Caladea"/>
                <w:b/>
                <w:sz w:val="11"/>
              </w:rPr>
            </w:pPr>
            <w:r>
              <w:rPr>
                <w:rFonts w:ascii="Caladea"/>
                <w:b/>
                <w:sz w:val="11"/>
              </w:rPr>
              <w:t>14.214</w:t>
            </w:r>
          </w:p>
        </w:tc>
      </w:tr>
      <w:tr>
        <w:trPr>
          <w:trHeight w:val="203" w:hRule="atLeast"/>
        </w:trPr>
        <w:tc>
          <w:tcPr>
            <w:tcW w:w="2715" w:type="dxa"/>
          </w:tcPr>
          <w:p>
            <w:pPr>
              <w:pStyle w:val="TableParagraph"/>
              <w:spacing w:before="38"/>
              <w:ind w:left="144"/>
              <w:rPr>
                <w:sz w:val="11"/>
              </w:rPr>
            </w:pPr>
            <w:r>
              <w:rPr>
                <w:sz w:val="11"/>
              </w:rPr>
              <w:t>Adições</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spacing w:before="38"/>
              <w:ind w:right="57"/>
              <w:jc w:val="right"/>
              <w:rPr>
                <w:sz w:val="11"/>
              </w:rPr>
            </w:pPr>
            <w:r>
              <w:rPr>
                <w:w w:val="105"/>
                <w:sz w:val="11"/>
              </w:rPr>
              <w:t>68</w:t>
            </w:r>
          </w:p>
        </w:tc>
        <w:tc>
          <w:tcPr>
            <w:tcW w:w="901" w:type="dxa"/>
          </w:tcPr>
          <w:p>
            <w:pPr>
              <w:pStyle w:val="TableParagraph"/>
              <w:rPr>
                <w:rFonts w:ascii="Times New Roman"/>
                <w:sz w:val="12"/>
              </w:rPr>
            </w:pPr>
          </w:p>
        </w:tc>
        <w:tc>
          <w:tcPr>
            <w:tcW w:w="904" w:type="dxa"/>
          </w:tcPr>
          <w:p>
            <w:pPr>
              <w:pStyle w:val="TableParagraph"/>
              <w:spacing w:before="38"/>
              <w:ind w:right="51"/>
              <w:jc w:val="right"/>
              <w:rPr>
                <w:sz w:val="11"/>
              </w:rPr>
            </w:pPr>
            <w:r>
              <w:rPr>
                <w:w w:val="105"/>
                <w:sz w:val="11"/>
              </w:rPr>
              <w:t>2</w:t>
            </w:r>
          </w:p>
        </w:tc>
        <w:tc>
          <w:tcPr>
            <w:tcW w:w="1007" w:type="dxa"/>
          </w:tcPr>
          <w:p>
            <w:pPr>
              <w:pStyle w:val="TableParagraph"/>
              <w:rPr>
                <w:rFonts w:ascii="Times New Roman"/>
                <w:sz w:val="12"/>
              </w:rPr>
            </w:pPr>
          </w:p>
        </w:tc>
        <w:tc>
          <w:tcPr>
            <w:tcW w:w="899" w:type="dxa"/>
          </w:tcPr>
          <w:p>
            <w:pPr>
              <w:pStyle w:val="TableParagraph"/>
              <w:spacing w:before="38"/>
              <w:ind w:right="52"/>
              <w:jc w:val="right"/>
              <w:rPr>
                <w:sz w:val="11"/>
              </w:rPr>
            </w:pPr>
            <w:r>
              <w:rPr>
                <w:w w:val="105"/>
                <w:sz w:val="11"/>
              </w:rPr>
              <w:t>70</w:t>
            </w:r>
          </w:p>
        </w:tc>
      </w:tr>
      <w:tr>
        <w:trPr>
          <w:trHeight w:val="203" w:hRule="atLeast"/>
        </w:trPr>
        <w:tc>
          <w:tcPr>
            <w:tcW w:w="2715" w:type="dxa"/>
          </w:tcPr>
          <w:p>
            <w:pPr>
              <w:pStyle w:val="TableParagraph"/>
              <w:spacing w:before="39"/>
              <w:ind w:left="72"/>
              <w:rPr>
                <w:rFonts w:ascii="Caladea"/>
                <w:b/>
                <w:sz w:val="11"/>
              </w:rPr>
            </w:pPr>
            <w:r>
              <w:rPr>
                <w:rFonts w:ascii="Caladea"/>
                <w:b/>
                <w:sz w:val="11"/>
              </w:rPr>
              <w:t>Saldo em 31 de dezembro de 2019</w:t>
            </w:r>
          </w:p>
        </w:tc>
        <w:tc>
          <w:tcPr>
            <w:tcW w:w="981" w:type="dxa"/>
          </w:tcPr>
          <w:p>
            <w:pPr>
              <w:pStyle w:val="TableParagraph"/>
              <w:spacing w:before="39"/>
              <w:ind w:right="56"/>
              <w:jc w:val="right"/>
              <w:rPr>
                <w:rFonts w:ascii="Caladea"/>
                <w:b/>
                <w:sz w:val="11"/>
              </w:rPr>
            </w:pPr>
            <w:r>
              <w:rPr>
                <w:rFonts w:ascii="Caladea"/>
                <w:b/>
                <w:sz w:val="11"/>
              </w:rPr>
              <w:t>11.036</w:t>
            </w:r>
          </w:p>
        </w:tc>
        <w:tc>
          <w:tcPr>
            <w:tcW w:w="1317" w:type="dxa"/>
          </w:tcPr>
          <w:p>
            <w:pPr>
              <w:pStyle w:val="TableParagraph"/>
              <w:spacing w:before="39"/>
              <w:ind w:right="53"/>
              <w:jc w:val="right"/>
              <w:rPr>
                <w:rFonts w:ascii="Caladea"/>
                <w:b/>
                <w:sz w:val="11"/>
              </w:rPr>
            </w:pPr>
            <w:r>
              <w:rPr>
                <w:rFonts w:ascii="Caladea"/>
                <w:b/>
                <w:sz w:val="11"/>
              </w:rPr>
              <w:t>2.464</w:t>
            </w:r>
          </w:p>
        </w:tc>
        <w:tc>
          <w:tcPr>
            <w:tcW w:w="1185" w:type="dxa"/>
          </w:tcPr>
          <w:p>
            <w:pPr>
              <w:pStyle w:val="TableParagraph"/>
              <w:spacing w:before="39"/>
              <w:ind w:right="55"/>
              <w:jc w:val="right"/>
              <w:rPr>
                <w:rFonts w:ascii="Caladea"/>
                <w:b/>
                <w:sz w:val="11"/>
              </w:rPr>
            </w:pPr>
            <w:r>
              <w:rPr>
                <w:rFonts w:ascii="Caladea"/>
                <w:b/>
                <w:sz w:val="11"/>
              </w:rPr>
              <w:t>412</w:t>
            </w:r>
          </w:p>
        </w:tc>
        <w:tc>
          <w:tcPr>
            <w:tcW w:w="901" w:type="dxa"/>
          </w:tcPr>
          <w:p>
            <w:pPr>
              <w:pStyle w:val="TableParagraph"/>
              <w:spacing w:before="39"/>
              <w:ind w:right="53"/>
              <w:jc w:val="right"/>
              <w:rPr>
                <w:rFonts w:ascii="Caladea"/>
                <w:b/>
                <w:sz w:val="11"/>
              </w:rPr>
            </w:pPr>
            <w:r>
              <w:rPr>
                <w:rFonts w:ascii="Caladea"/>
                <w:b/>
                <w:sz w:val="11"/>
              </w:rPr>
              <w:t>127</w:t>
            </w:r>
          </w:p>
        </w:tc>
        <w:tc>
          <w:tcPr>
            <w:tcW w:w="904" w:type="dxa"/>
          </w:tcPr>
          <w:p>
            <w:pPr>
              <w:pStyle w:val="TableParagraph"/>
              <w:spacing w:before="39"/>
              <w:ind w:right="52"/>
              <w:jc w:val="right"/>
              <w:rPr>
                <w:rFonts w:ascii="Caladea"/>
                <w:b/>
                <w:sz w:val="11"/>
              </w:rPr>
            </w:pPr>
            <w:r>
              <w:rPr>
                <w:rFonts w:ascii="Caladea"/>
                <w:b/>
                <w:sz w:val="11"/>
              </w:rPr>
              <w:t>245</w:t>
            </w:r>
          </w:p>
        </w:tc>
        <w:tc>
          <w:tcPr>
            <w:tcW w:w="1007" w:type="dxa"/>
          </w:tcPr>
          <w:p>
            <w:pPr>
              <w:pStyle w:val="TableParagraph"/>
              <w:rPr>
                <w:rFonts w:ascii="Times New Roman"/>
                <w:sz w:val="12"/>
              </w:rPr>
            </w:pPr>
          </w:p>
        </w:tc>
        <w:tc>
          <w:tcPr>
            <w:tcW w:w="899" w:type="dxa"/>
          </w:tcPr>
          <w:p>
            <w:pPr>
              <w:pStyle w:val="TableParagraph"/>
              <w:spacing w:before="39"/>
              <w:ind w:right="49"/>
              <w:jc w:val="right"/>
              <w:rPr>
                <w:rFonts w:ascii="Caladea"/>
                <w:b/>
                <w:sz w:val="11"/>
              </w:rPr>
            </w:pPr>
            <w:r>
              <w:rPr>
                <w:rFonts w:ascii="Caladea"/>
                <w:b/>
                <w:sz w:val="11"/>
              </w:rPr>
              <w:t>14.284</w:t>
            </w:r>
          </w:p>
        </w:tc>
      </w:tr>
      <w:tr>
        <w:trPr>
          <w:trHeight w:val="203" w:hRule="atLeast"/>
        </w:trPr>
        <w:tc>
          <w:tcPr>
            <w:tcW w:w="2715" w:type="dxa"/>
          </w:tcPr>
          <w:p>
            <w:pPr>
              <w:pStyle w:val="TableParagraph"/>
              <w:spacing w:before="39"/>
              <w:ind w:left="806"/>
              <w:rPr>
                <w:rFonts w:ascii="Caladea" w:hAnsi="Caladea"/>
                <w:b/>
                <w:sz w:val="11"/>
              </w:rPr>
            </w:pPr>
            <w:r>
              <w:rPr>
                <w:rFonts w:ascii="Caladea" w:hAnsi="Caladea"/>
                <w:b/>
                <w:sz w:val="11"/>
              </w:rPr>
              <w:t>Depreciação Acumulada</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rPr>
                <w:rFonts w:ascii="Times New Roman"/>
                <w:sz w:val="12"/>
              </w:rPr>
            </w:pPr>
          </w:p>
        </w:tc>
        <w:tc>
          <w:tcPr>
            <w:tcW w:w="901" w:type="dxa"/>
          </w:tcPr>
          <w:p>
            <w:pPr>
              <w:pStyle w:val="TableParagraph"/>
              <w:rPr>
                <w:rFonts w:ascii="Times New Roman"/>
                <w:sz w:val="12"/>
              </w:rPr>
            </w:pPr>
          </w:p>
        </w:tc>
        <w:tc>
          <w:tcPr>
            <w:tcW w:w="904" w:type="dxa"/>
          </w:tcPr>
          <w:p>
            <w:pPr>
              <w:pStyle w:val="TableParagraph"/>
              <w:rPr>
                <w:rFonts w:ascii="Times New Roman"/>
                <w:sz w:val="12"/>
              </w:rPr>
            </w:pPr>
          </w:p>
        </w:tc>
        <w:tc>
          <w:tcPr>
            <w:tcW w:w="1007" w:type="dxa"/>
          </w:tcPr>
          <w:p>
            <w:pPr>
              <w:pStyle w:val="TableParagraph"/>
              <w:rPr>
                <w:rFonts w:ascii="Times New Roman"/>
                <w:sz w:val="12"/>
              </w:rPr>
            </w:pPr>
          </w:p>
        </w:tc>
        <w:tc>
          <w:tcPr>
            <w:tcW w:w="899" w:type="dxa"/>
          </w:tcPr>
          <w:p>
            <w:pPr>
              <w:pStyle w:val="TableParagraph"/>
              <w:rPr>
                <w:rFonts w:ascii="Times New Roman"/>
                <w:sz w:val="12"/>
              </w:rPr>
            </w:pPr>
          </w:p>
        </w:tc>
      </w:tr>
      <w:tr>
        <w:trPr>
          <w:trHeight w:val="206" w:hRule="atLeast"/>
        </w:trPr>
        <w:tc>
          <w:tcPr>
            <w:tcW w:w="2715" w:type="dxa"/>
          </w:tcPr>
          <w:p>
            <w:pPr>
              <w:pStyle w:val="TableParagraph"/>
              <w:spacing w:before="39"/>
              <w:ind w:left="72"/>
              <w:rPr>
                <w:rFonts w:ascii="Caladea"/>
                <w:b/>
                <w:sz w:val="11"/>
              </w:rPr>
            </w:pPr>
            <w:r>
              <w:rPr>
                <w:rFonts w:ascii="Caladea"/>
                <w:b/>
                <w:sz w:val="11"/>
              </w:rPr>
              <w:t>Saldo em 31 de dezembro de 2017</w:t>
            </w:r>
          </w:p>
        </w:tc>
        <w:tc>
          <w:tcPr>
            <w:tcW w:w="981" w:type="dxa"/>
          </w:tcPr>
          <w:p>
            <w:pPr>
              <w:pStyle w:val="TableParagraph"/>
              <w:rPr>
                <w:rFonts w:ascii="Times New Roman"/>
                <w:sz w:val="12"/>
              </w:rPr>
            </w:pPr>
          </w:p>
        </w:tc>
        <w:tc>
          <w:tcPr>
            <w:tcW w:w="1317" w:type="dxa"/>
          </w:tcPr>
          <w:p>
            <w:pPr>
              <w:pStyle w:val="TableParagraph"/>
              <w:spacing w:before="39"/>
              <w:ind w:right="54"/>
              <w:jc w:val="right"/>
              <w:rPr>
                <w:rFonts w:ascii="Caladea"/>
                <w:b/>
                <w:sz w:val="11"/>
              </w:rPr>
            </w:pPr>
            <w:r>
              <w:rPr>
                <w:rFonts w:ascii="Caladea"/>
                <w:b/>
                <w:sz w:val="11"/>
              </w:rPr>
              <w:t>(542)</w:t>
            </w:r>
          </w:p>
        </w:tc>
        <w:tc>
          <w:tcPr>
            <w:tcW w:w="1185" w:type="dxa"/>
          </w:tcPr>
          <w:p>
            <w:pPr>
              <w:pStyle w:val="TableParagraph"/>
              <w:spacing w:before="39"/>
              <w:ind w:right="55"/>
              <w:jc w:val="right"/>
              <w:rPr>
                <w:rFonts w:ascii="Caladea"/>
                <w:b/>
                <w:sz w:val="11"/>
              </w:rPr>
            </w:pPr>
            <w:r>
              <w:rPr>
                <w:rFonts w:ascii="Caladea"/>
                <w:b/>
                <w:sz w:val="11"/>
              </w:rPr>
              <w:t>(168)</w:t>
            </w:r>
          </w:p>
        </w:tc>
        <w:tc>
          <w:tcPr>
            <w:tcW w:w="901" w:type="dxa"/>
          </w:tcPr>
          <w:p>
            <w:pPr>
              <w:pStyle w:val="TableParagraph"/>
              <w:rPr>
                <w:rFonts w:ascii="Times New Roman"/>
                <w:sz w:val="12"/>
              </w:rPr>
            </w:pPr>
          </w:p>
        </w:tc>
        <w:tc>
          <w:tcPr>
            <w:tcW w:w="904" w:type="dxa"/>
          </w:tcPr>
          <w:p>
            <w:pPr>
              <w:pStyle w:val="TableParagraph"/>
              <w:spacing w:before="39"/>
              <w:ind w:right="53"/>
              <w:jc w:val="right"/>
              <w:rPr>
                <w:rFonts w:ascii="Caladea"/>
                <w:b/>
                <w:sz w:val="11"/>
              </w:rPr>
            </w:pPr>
            <w:r>
              <w:rPr>
                <w:rFonts w:ascii="Caladea"/>
                <w:b/>
                <w:sz w:val="11"/>
              </w:rPr>
              <w:t>(222)</w:t>
            </w:r>
          </w:p>
        </w:tc>
        <w:tc>
          <w:tcPr>
            <w:tcW w:w="1007" w:type="dxa"/>
          </w:tcPr>
          <w:p>
            <w:pPr>
              <w:pStyle w:val="TableParagraph"/>
              <w:rPr>
                <w:rFonts w:ascii="Times New Roman"/>
                <w:sz w:val="12"/>
              </w:rPr>
            </w:pPr>
          </w:p>
        </w:tc>
        <w:tc>
          <w:tcPr>
            <w:tcW w:w="899" w:type="dxa"/>
          </w:tcPr>
          <w:p>
            <w:pPr>
              <w:pStyle w:val="TableParagraph"/>
              <w:spacing w:before="39"/>
              <w:ind w:right="51"/>
              <w:jc w:val="right"/>
              <w:rPr>
                <w:rFonts w:ascii="Caladea"/>
                <w:b/>
                <w:sz w:val="11"/>
              </w:rPr>
            </w:pPr>
            <w:r>
              <w:rPr>
                <w:rFonts w:ascii="Caladea"/>
                <w:b/>
                <w:sz w:val="11"/>
              </w:rPr>
              <w:t>(932)</w:t>
            </w:r>
          </w:p>
        </w:tc>
      </w:tr>
      <w:tr>
        <w:trPr>
          <w:trHeight w:val="203" w:hRule="atLeast"/>
        </w:trPr>
        <w:tc>
          <w:tcPr>
            <w:tcW w:w="2715" w:type="dxa"/>
          </w:tcPr>
          <w:p>
            <w:pPr>
              <w:pStyle w:val="TableParagraph"/>
              <w:spacing w:before="38"/>
              <w:ind w:left="144"/>
              <w:rPr>
                <w:sz w:val="11"/>
              </w:rPr>
            </w:pPr>
            <w:r>
              <w:rPr>
                <w:sz w:val="11"/>
              </w:rPr>
              <w:t>Depreciação</w:t>
            </w:r>
          </w:p>
        </w:tc>
        <w:tc>
          <w:tcPr>
            <w:tcW w:w="981" w:type="dxa"/>
          </w:tcPr>
          <w:p>
            <w:pPr>
              <w:pStyle w:val="TableParagraph"/>
              <w:rPr>
                <w:rFonts w:ascii="Times New Roman"/>
                <w:sz w:val="12"/>
              </w:rPr>
            </w:pPr>
          </w:p>
        </w:tc>
        <w:tc>
          <w:tcPr>
            <w:tcW w:w="1317" w:type="dxa"/>
          </w:tcPr>
          <w:p>
            <w:pPr>
              <w:pStyle w:val="TableParagraph"/>
              <w:spacing w:before="38"/>
              <w:ind w:right="55"/>
              <w:jc w:val="right"/>
              <w:rPr>
                <w:sz w:val="11"/>
              </w:rPr>
            </w:pPr>
            <w:r>
              <w:rPr>
                <w:w w:val="105"/>
                <w:sz w:val="11"/>
              </w:rPr>
              <w:t>(99)</w:t>
            </w:r>
          </w:p>
        </w:tc>
        <w:tc>
          <w:tcPr>
            <w:tcW w:w="1185" w:type="dxa"/>
          </w:tcPr>
          <w:p>
            <w:pPr>
              <w:pStyle w:val="TableParagraph"/>
              <w:spacing w:before="38"/>
              <w:ind w:right="56"/>
              <w:jc w:val="right"/>
              <w:rPr>
                <w:sz w:val="11"/>
              </w:rPr>
            </w:pPr>
            <w:r>
              <w:rPr>
                <w:w w:val="105"/>
                <w:sz w:val="11"/>
              </w:rPr>
              <w:t>(28)</w:t>
            </w:r>
          </w:p>
        </w:tc>
        <w:tc>
          <w:tcPr>
            <w:tcW w:w="901" w:type="dxa"/>
          </w:tcPr>
          <w:p>
            <w:pPr>
              <w:pStyle w:val="TableParagraph"/>
              <w:spacing w:before="38"/>
              <w:ind w:right="52"/>
              <w:jc w:val="right"/>
              <w:rPr>
                <w:sz w:val="11"/>
              </w:rPr>
            </w:pPr>
            <w:r>
              <w:rPr>
                <w:w w:val="105"/>
                <w:sz w:val="11"/>
              </w:rPr>
              <w:t>(4)</w:t>
            </w:r>
          </w:p>
        </w:tc>
        <w:tc>
          <w:tcPr>
            <w:tcW w:w="904" w:type="dxa"/>
          </w:tcPr>
          <w:p>
            <w:pPr>
              <w:pStyle w:val="TableParagraph"/>
              <w:spacing w:before="38"/>
              <w:ind w:right="53"/>
              <w:jc w:val="right"/>
              <w:rPr>
                <w:sz w:val="11"/>
              </w:rPr>
            </w:pPr>
            <w:r>
              <w:rPr>
                <w:w w:val="105"/>
                <w:sz w:val="11"/>
              </w:rPr>
              <w:t>(14)</w:t>
            </w:r>
          </w:p>
        </w:tc>
        <w:tc>
          <w:tcPr>
            <w:tcW w:w="1007" w:type="dxa"/>
          </w:tcPr>
          <w:p>
            <w:pPr>
              <w:pStyle w:val="TableParagraph"/>
              <w:rPr>
                <w:rFonts w:ascii="Times New Roman"/>
                <w:sz w:val="12"/>
              </w:rPr>
            </w:pPr>
          </w:p>
        </w:tc>
        <w:tc>
          <w:tcPr>
            <w:tcW w:w="899" w:type="dxa"/>
          </w:tcPr>
          <w:p>
            <w:pPr>
              <w:pStyle w:val="TableParagraph"/>
              <w:spacing w:before="38"/>
              <w:ind w:right="51"/>
              <w:jc w:val="right"/>
              <w:rPr>
                <w:sz w:val="11"/>
              </w:rPr>
            </w:pPr>
            <w:r>
              <w:rPr>
                <w:w w:val="105"/>
                <w:sz w:val="11"/>
              </w:rPr>
              <w:t>(145)</w:t>
            </w:r>
          </w:p>
        </w:tc>
      </w:tr>
      <w:tr>
        <w:trPr>
          <w:trHeight w:val="204" w:hRule="atLeast"/>
        </w:trPr>
        <w:tc>
          <w:tcPr>
            <w:tcW w:w="2715" w:type="dxa"/>
          </w:tcPr>
          <w:p>
            <w:pPr>
              <w:pStyle w:val="TableParagraph"/>
              <w:spacing w:before="38"/>
              <w:ind w:left="144"/>
              <w:rPr>
                <w:sz w:val="11"/>
              </w:rPr>
            </w:pPr>
            <w:r>
              <w:rPr>
                <w:sz w:val="11"/>
              </w:rPr>
              <w:t>Baixas</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rPr>
                <w:rFonts w:ascii="Times New Roman"/>
                <w:sz w:val="12"/>
              </w:rPr>
            </w:pPr>
          </w:p>
        </w:tc>
        <w:tc>
          <w:tcPr>
            <w:tcW w:w="901" w:type="dxa"/>
          </w:tcPr>
          <w:p>
            <w:pPr>
              <w:pStyle w:val="TableParagraph"/>
              <w:rPr>
                <w:rFonts w:ascii="Times New Roman"/>
                <w:sz w:val="12"/>
              </w:rPr>
            </w:pPr>
          </w:p>
        </w:tc>
        <w:tc>
          <w:tcPr>
            <w:tcW w:w="904" w:type="dxa"/>
          </w:tcPr>
          <w:p>
            <w:pPr>
              <w:pStyle w:val="TableParagraph"/>
              <w:rPr>
                <w:rFonts w:ascii="Times New Roman"/>
                <w:sz w:val="12"/>
              </w:rPr>
            </w:pPr>
          </w:p>
        </w:tc>
        <w:tc>
          <w:tcPr>
            <w:tcW w:w="1007" w:type="dxa"/>
          </w:tcPr>
          <w:p>
            <w:pPr>
              <w:pStyle w:val="TableParagraph"/>
              <w:rPr>
                <w:rFonts w:ascii="Times New Roman"/>
                <w:sz w:val="12"/>
              </w:rPr>
            </w:pPr>
          </w:p>
        </w:tc>
        <w:tc>
          <w:tcPr>
            <w:tcW w:w="899" w:type="dxa"/>
          </w:tcPr>
          <w:p>
            <w:pPr>
              <w:pStyle w:val="TableParagraph"/>
              <w:rPr>
                <w:rFonts w:ascii="Times New Roman"/>
                <w:sz w:val="12"/>
              </w:rPr>
            </w:pPr>
          </w:p>
        </w:tc>
      </w:tr>
      <w:tr>
        <w:trPr>
          <w:trHeight w:val="203" w:hRule="atLeast"/>
        </w:trPr>
        <w:tc>
          <w:tcPr>
            <w:tcW w:w="2715" w:type="dxa"/>
          </w:tcPr>
          <w:p>
            <w:pPr>
              <w:pStyle w:val="TableParagraph"/>
              <w:spacing w:before="37"/>
              <w:ind w:left="72"/>
              <w:rPr>
                <w:rFonts w:ascii="Caladea"/>
                <w:b/>
                <w:sz w:val="11"/>
              </w:rPr>
            </w:pPr>
            <w:r>
              <w:rPr>
                <w:rFonts w:ascii="Caladea"/>
                <w:b/>
                <w:sz w:val="11"/>
              </w:rPr>
              <w:t>Saldo em 31 de dezembro de 2018</w:t>
            </w:r>
          </w:p>
        </w:tc>
        <w:tc>
          <w:tcPr>
            <w:tcW w:w="981" w:type="dxa"/>
          </w:tcPr>
          <w:p>
            <w:pPr>
              <w:pStyle w:val="TableParagraph"/>
              <w:rPr>
                <w:rFonts w:ascii="Times New Roman"/>
                <w:sz w:val="12"/>
              </w:rPr>
            </w:pPr>
          </w:p>
        </w:tc>
        <w:tc>
          <w:tcPr>
            <w:tcW w:w="1317" w:type="dxa"/>
          </w:tcPr>
          <w:p>
            <w:pPr>
              <w:pStyle w:val="TableParagraph"/>
              <w:spacing w:before="37"/>
              <w:ind w:right="54"/>
              <w:jc w:val="right"/>
              <w:rPr>
                <w:rFonts w:ascii="Caladea"/>
                <w:b/>
                <w:sz w:val="11"/>
              </w:rPr>
            </w:pPr>
            <w:r>
              <w:rPr>
                <w:rFonts w:ascii="Caladea"/>
                <w:b/>
                <w:sz w:val="11"/>
              </w:rPr>
              <w:t>(642)</w:t>
            </w:r>
          </w:p>
        </w:tc>
        <w:tc>
          <w:tcPr>
            <w:tcW w:w="1185" w:type="dxa"/>
          </w:tcPr>
          <w:p>
            <w:pPr>
              <w:pStyle w:val="TableParagraph"/>
              <w:spacing w:before="37"/>
              <w:ind w:right="55"/>
              <w:jc w:val="right"/>
              <w:rPr>
                <w:rFonts w:ascii="Caladea"/>
                <w:b/>
                <w:sz w:val="11"/>
              </w:rPr>
            </w:pPr>
            <w:r>
              <w:rPr>
                <w:rFonts w:ascii="Caladea"/>
                <w:b/>
                <w:sz w:val="11"/>
              </w:rPr>
              <w:t>(196)</w:t>
            </w:r>
          </w:p>
        </w:tc>
        <w:tc>
          <w:tcPr>
            <w:tcW w:w="901" w:type="dxa"/>
          </w:tcPr>
          <w:p>
            <w:pPr>
              <w:pStyle w:val="TableParagraph"/>
              <w:spacing w:before="37"/>
              <w:ind w:right="54"/>
              <w:jc w:val="right"/>
              <w:rPr>
                <w:rFonts w:ascii="Caladea"/>
                <w:b/>
                <w:sz w:val="11"/>
              </w:rPr>
            </w:pPr>
            <w:r>
              <w:rPr>
                <w:rFonts w:ascii="Caladea"/>
                <w:b/>
                <w:sz w:val="11"/>
              </w:rPr>
              <w:t>(4)</w:t>
            </w:r>
          </w:p>
        </w:tc>
        <w:tc>
          <w:tcPr>
            <w:tcW w:w="904" w:type="dxa"/>
          </w:tcPr>
          <w:p>
            <w:pPr>
              <w:pStyle w:val="TableParagraph"/>
              <w:spacing w:before="37"/>
              <w:ind w:right="53"/>
              <w:jc w:val="right"/>
              <w:rPr>
                <w:rFonts w:ascii="Caladea"/>
                <w:b/>
                <w:sz w:val="11"/>
              </w:rPr>
            </w:pPr>
            <w:r>
              <w:rPr>
                <w:rFonts w:ascii="Caladea"/>
                <w:b/>
                <w:sz w:val="11"/>
              </w:rPr>
              <w:t>(236)</w:t>
            </w:r>
          </w:p>
        </w:tc>
        <w:tc>
          <w:tcPr>
            <w:tcW w:w="1007" w:type="dxa"/>
          </w:tcPr>
          <w:p>
            <w:pPr>
              <w:pStyle w:val="TableParagraph"/>
              <w:rPr>
                <w:rFonts w:ascii="Times New Roman"/>
                <w:sz w:val="12"/>
              </w:rPr>
            </w:pPr>
          </w:p>
        </w:tc>
        <w:tc>
          <w:tcPr>
            <w:tcW w:w="899" w:type="dxa"/>
          </w:tcPr>
          <w:p>
            <w:pPr>
              <w:pStyle w:val="TableParagraph"/>
              <w:spacing w:before="37"/>
              <w:ind w:right="51"/>
              <w:jc w:val="right"/>
              <w:rPr>
                <w:rFonts w:ascii="Caladea"/>
                <w:b/>
                <w:sz w:val="11"/>
              </w:rPr>
            </w:pPr>
            <w:r>
              <w:rPr>
                <w:rFonts w:ascii="Caladea"/>
                <w:b/>
                <w:sz w:val="11"/>
              </w:rPr>
              <w:t>(1.078)</w:t>
            </w:r>
          </w:p>
        </w:tc>
      </w:tr>
      <w:tr>
        <w:trPr>
          <w:trHeight w:val="203" w:hRule="atLeast"/>
        </w:trPr>
        <w:tc>
          <w:tcPr>
            <w:tcW w:w="2715" w:type="dxa"/>
          </w:tcPr>
          <w:p>
            <w:pPr>
              <w:pStyle w:val="TableParagraph"/>
              <w:spacing w:before="40"/>
              <w:ind w:left="144"/>
              <w:rPr>
                <w:sz w:val="11"/>
              </w:rPr>
            </w:pPr>
            <w:r>
              <w:rPr>
                <w:sz w:val="11"/>
              </w:rPr>
              <w:t>Depreciação</w:t>
            </w:r>
          </w:p>
        </w:tc>
        <w:tc>
          <w:tcPr>
            <w:tcW w:w="981" w:type="dxa"/>
          </w:tcPr>
          <w:p>
            <w:pPr>
              <w:pStyle w:val="TableParagraph"/>
              <w:rPr>
                <w:rFonts w:ascii="Times New Roman"/>
                <w:sz w:val="12"/>
              </w:rPr>
            </w:pPr>
          </w:p>
        </w:tc>
        <w:tc>
          <w:tcPr>
            <w:tcW w:w="1317" w:type="dxa"/>
          </w:tcPr>
          <w:p>
            <w:pPr>
              <w:pStyle w:val="TableParagraph"/>
              <w:spacing w:before="40"/>
              <w:ind w:right="55"/>
              <w:jc w:val="right"/>
              <w:rPr>
                <w:sz w:val="11"/>
              </w:rPr>
            </w:pPr>
            <w:r>
              <w:rPr>
                <w:w w:val="105"/>
                <w:sz w:val="11"/>
              </w:rPr>
              <w:t>(99)</w:t>
            </w:r>
          </w:p>
        </w:tc>
        <w:tc>
          <w:tcPr>
            <w:tcW w:w="1185" w:type="dxa"/>
          </w:tcPr>
          <w:p>
            <w:pPr>
              <w:pStyle w:val="TableParagraph"/>
              <w:spacing w:before="40"/>
              <w:ind w:right="56"/>
              <w:jc w:val="right"/>
              <w:rPr>
                <w:sz w:val="11"/>
              </w:rPr>
            </w:pPr>
            <w:r>
              <w:rPr>
                <w:w w:val="105"/>
                <w:sz w:val="11"/>
              </w:rPr>
              <w:t>(31)</w:t>
            </w:r>
          </w:p>
        </w:tc>
        <w:tc>
          <w:tcPr>
            <w:tcW w:w="901" w:type="dxa"/>
          </w:tcPr>
          <w:p>
            <w:pPr>
              <w:pStyle w:val="TableParagraph"/>
              <w:spacing w:before="40"/>
              <w:ind w:right="54"/>
              <w:jc w:val="right"/>
              <w:rPr>
                <w:sz w:val="11"/>
              </w:rPr>
            </w:pPr>
            <w:r>
              <w:rPr>
                <w:w w:val="105"/>
                <w:sz w:val="11"/>
              </w:rPr>
              <w:t>(26)</w:t>
            </w:r>
          </w:p>
        </w:tc>
        <w:tc>
          <w:tcPr>
            <w:tcW w:w="904" w:type="dxa"/>
          </w:tcPr>
          <w:p>
            <w:pPr>
              <w:pStyle w:val="TableParagraph"/>
              <w:spacing w:before="40"/>
              <w:ind w:right="51"/>
              <w:jc w:val="right"/>
              <w:rPr>
                <w:sz w:val="11"/>
              </w:rPr>
            </w:pPr>
            <w:r>
              <w:rPr>
                <w:w w:val="105"/>
                <w:sz w:val="11"/>
              </w:rPr>
              <w:t>(3)</w:t>
            </w:r>
          </w:p>
        </w:tc>
        <w:tc>
          <w:tcPr>
            <w:tcW w:w="1007" w:type="dxa"/>
          </w:tcPr>
          <w:p>
            <w:pPr>
              <w:pStyle w:val="TableParagraph"/>
              <w:rPr>
                <w:rFonts w:ascii="Times New Roman"/>
                <w:sz w:val="12"/>
              </w:rPr>
            </w:pPr>
          </w:p>
        </w:tc>
        <w:tc>
          <w:tcPr>
            <w:tcW w:w="899" w:type="dxa"/>
          </w:tcPr>
          <w:p>
            <w:pPr>
              <w:pStyle w:val="TableParagraph"/>
              <w:spacing w:before="40"/>
              <w:ind w:right="51"/>
              <w:jc w:val="right"/>
              <w:rPr>
                <w:sz w:val="11"/>
              </w:rPr>
            </w:pPr>
            <w:r>
              <w:rPr>
                <w:w w:val="105"/>
                <w:sz w:val="11"/>
              </w:rPr>
              <w:t>(159)</w:t>
            </w:r>
          </w:p>
        </w:tc>
      </w:tr>
      <w:tr>
        <w:trPr>
          <w:trHeight w:val="203" w:hRule="atLeast"/>
        </w:trPr>
        <w:tc>
          <w:tcPr>
            <w:tcW w:w="2715" w:type="dxa"/>
          </w:tcPr>
          <w:p>
            <w:pPr>
              <w:pStyle w:val="TableParagraph"/>
              <w:spacing w:before="40"/>
              <w:ind w:left="144"/>
              <w:rPr>
                <w:sz w:val="11"/>
              </w:rPr>
            </w:pPr>
            <w:r>
              <w:rPr>
                <w:sz w:val="11"/>
              </w:rPr>
              <w:t>Baixas</w:t>
            </w:r>
          </w:p>
        </w:tc>
        <w:tc>
          <w:tcPr>
            <w:tcW w:w="981" w:type="dxa"/>
          </w:tcPr>
          <w:p>
            <w:pPr>
              <w:pStyle w:val="TableParagraph"/>
              <w:rPr>
                <w:rFonts w:ascii="Times New Roman"/>
                <w:sz w:val="12"/>
              </w:rPr>
            </w:pPr>
          </w:p>
        </w:tc>
        <w:tc>
          <w:tcPr>
            <w:tcW w:w="1317" w:type="dxa"/>
          </w:tcPr>
          <w:p>
            <w:pPr>
              <w:pStyle w:val="TableParagraph"/>
              <w:rPr>
                <w:rFonts w:ascii="Times New Roman"/>
                <w:sz w:val="12"/>
              </w:rPr>
            </w:pPr>
          </w:p>
        </w:tc>
        <w:tc>
          <w:tcPr>
            <w:tcW w:w="1185" w:type="dxa"/>
          </w:tcPr>
          <w:p>
            <w:pPr>
              <w:pStyle w:val="TableParagraph"/>
              <w:rPr>
                <w:rFonts w:ascii="Times New Roman"/>
                <w:sz w:val="12"/>
              </w:rPr>
            </w:pPr>
          </w:p>
        </w:tc>
        <w:tc>
          <w:tcPr>
            <w:tcW w:w="901" w:type="dxa"/>
          </w:tcPr>
          <w:p>
            <w:pPr>
              <w:pStyle w:val="TableParagraph"/>
              <w:rPr>
                <w:rFonts w:ascii="Times New Roman"/>
                <w:sz w:val="12"/>
              </w:rPr>
            </w:pPr>
          </w:p>
        </w:tc>
        <w:tc>
          <w:tcPr>
            <w:tcW w:w="904" w:type="dxa"/>
          </w:tcPr>
          <w:p>
            <w:pPr>
              <w:pStyle w:val="TableParagraph"/>
              <w:rPr>
                <w:rFonts w:ascii="Times New Roman"/>
                <w:sz w:val="12"/>
              </w:rPr>
            </w:pPr>
          </w:p>
        </w:tc>
        <w:tc>
          <w:tcPr>
            <w:tcW w:w="1007" w:type="dxa"/>
          </w:tcPr>
          <w:p>
            <w:pPr>
              <w:pStyle w:val="TableParagraph"/>
              <w:rPr>
                <w:rFonts w:ascii="Times New Roman"/>
                <w:sz w:val="12"/>
              </w:rPr>
            </w:pPr>
          </w:p>
        </w:tc>
        <w:tc>
          <w:tcPr>
            <w:tcW w:w="899" w:type="dxa"/>
          </w:tcPr>
          <w:p>
            <w:pPr>
              <w:pStyle w:val="TableParagraph"/>
              <w:rPr>
                <w:rFonts w:ascii="Times New Roman"/>
                <w:sz w:val="12"/>
              </w:rPr>
            </w:pPr>
          </w:p>
        </w:tc>
      </w:tr>
      <w:tr>
        <w:trPr>
          <w:trHeight w:val="206" w:hRule="atLeast"/>
        </w:trPr>
        <w:tc>
          <w:tcPr>
            <w:tcW w:w="2715" w:type="dxa"/>
          </w:tcPr>
          <w:p>
            <w:pPr>
              <w:pStyle w:val="TableParagraph"/>
              <w:spacing w:before="39"/>
              <w:ind w:left="72"/>
              <w:rPr>
                <w:rFonts w:ascii="Caladea"/>
                <w:b/>
                <w:sz w:val="11"/>
              </w:rPr>
            </w:pPr>
            <w:r>
              <w:rPr>
                <w:rFonts w:ascii="Caladea"/>
                <w:b/>
                <w:sz w:val="11"/>
              </w:rPr>
              <w:t>Saldo em 31 de dezembro de 2019</w:t>
            </w:r>
          </w:p>
        </w:tc>
        <w:tc>
          <w:tcPr>
            <w:tcW w:w="981" w:type="dxa"/>
          </w:tcPr>
          <w:p>
            <w:pPr>
              <w:pStyle w:val="TableParagraph"/>
              <w:rPr>
                <w:rFonts w:ascii="Times New Roman"/>
                <w:sz w:val="12"/>
              </w:rPr>
            </w:pPr>
          </w:p>
        </w:tc>
        <w:tc>
          <w:tcPr>
            <w:tcW w:w="1317" w:type="dxa"/>
          </w:tcPr>
          <w:p>
            <w:pPr>
              <w:pStyle w:val="TableParagraph"/>
              <w:spacing w:before="39"/>
              <w:ind w:right="54"/>
              <w:jc w:val="right"/>
              <w:rPr>
                <w:rFonts w:ascii="Caladea"/>
                <w:b/>
                <w:sz w:val="11"/>
              </w:rPr>
            </w:pPr>
            <w:r>
              <w:rPr>
                <w:rFonts w:ascii="Caladea"/>
                <w:b/>
                <w:sz w:val="11"/>
              </w:rPr>
              <w:t>(741)</w:t>
            </w:r>
          </w:p>
        </w:tc>
        <w:tc>
          <w:tcPr>
            <w:tcW w:w="1185" w:type="dxa"/>
          </w:tcPr>
          <w:p>
            <w:pPr>
              <w:pStyle w:val="TableParagraph"/>
              <w:spacing w:before="39"/>
              <w:ind w:right="55"/>
              <w:jc w:val="right"/>
              <w:rPr>
                <w:rFonts w:ascii="Caladea"/>
                <w:b/>
                <w:sz w:val="11"/>
              </w:rPr>
            </w:pPr>
            <w:r>
              <w:rPr>
                <w:rFonts w:ascii="Caladea"/>
                <w:b/>
                <w:sz w:val="11"/>
              </w:rPr>
              <w:t>(227)</w:t>
            </w:r>
          </w:p>
        </w:tc>
        <w:tc>
          <w:tcPr>
            <w:tcW w:w="901" w:type="dxa"/>
          </w:tcPr>
          <w:p>
            <w:pPr>
              <w:pStyle w:val="TableParagraph"/>
              <w:spacing w:before="39"/>
              <w:ind w:right="54"/>
              <w:jc w:val="right"/>
              <w:rPr>
                <w:rFonts w:ascii="Caladea"/>
                <w:b/>
                <w:sz w:val="11"/>
              </w:rPr>
            </w:pPr>
            <w:r>
              <w:rPr>
                <w:rFonts w:ascii="Caladea"/>
                <w:b/>
                <w:sz w:val="11"/>
              </w:rPr>
              <w:t>(30)</w:t>
            </w:r>
          </w:p>
        </w:tc>
        <w:tc>
          <w:tcPr>
            <w:tcW w:w="904" w:type="dxa"/>
          </w:tcPr>
          <w:p>
            <w:pPr>
              <w:pStyle w:val="TableParagraph"/>
              <w:spacing w:before="39"/>
              <w:ind w:right="52"/>
              <w:jc w:val="right"/>
              <w:rPr>
                <w:rFonts w:ascii="Caladea"/>
                <w:b/>
                <w:sz w:val="11"/>
              </w:rPr>
            </w:pPr>
            <w:r>
              <w:rPr>
                <w:rFonts w:ascii="Caladea"/>
                <w:b/>
                <w:sz w:val="11"/>
              </w:rPr>
              <w:t>(239)</w:t>
            </w:r>
          </w:p>
        </w:tc>
        <w:tc>
          <w:tcPr>
            <w:tcW w:w="1007" w:type="dxa"/>
          </w:tcPr>
          <w:p>
            <w:pPr>
              <w:pStyle w:val="TableParagraph"/>
              <w:rPr>
                <w:rFonts w:ascii="Times New Roman"/>
                <w:sz w:val="12"/>
              </w:rPr>
            </w:pPr>
          </w:p>
        </w:tc>
        <w:tc>
          <w:tcPr>
            <w:tcW w:w="899" w:type="dxa"/>
          </w:tcPr>
          <w:p>
            <w:pPr>
              <w:pStyle w:val="TableParagraph"/>
              <w:spacing w:before="39"/>
              <w:ind w:right="50"/>
              <w:jc w:val="right"/>
              <w:rPr>
                <w:rFonts w:ascii="Caladea"/>
                <w:b/>
                <w:sz w:val="11"/>
              </w:rPr>
            </w:pPr>
            <w:r>
              <w:rPr>
                <w:rFonts w:ascii="Caladea"/>
                <w:b/>
                <w:sz w:val="11"/>
              </w:rPr>
              <w:t>(1.237)</w:t>
            </w:r>
          </w:p>
        </w:tc>
      </w:tr>
      <w:tr>
        <w:trPr>
          <w:trHeight w:val="203" w:hRule="atLeast"/>
        </w:trPr>
        <w:tc>
          <w:tcPr>
            <w:tcW w:w="2715" w:type="dxa"/>
          </w:tcPr>
          <w:p>
            <w:pPr>
              <w:pStyle w:val="TableParagraph"/>
              <w:spacing w:before="37"/>
              <w:ind w:left="96"/>
              <w:rPr>
                <w:rFonts w:ascii="Caladea" w:hAnsi="Caladea"/>
                <w:b/>
                <w:sz w:val="11"/>
              </w:rPr>
            </w:pPr>
            <w:r>
              <w:rPr>
                <w:rFonts w:ascii="Caladea" w:hAnsi="Caladea"/>
                <w:b/>
                <w:w w:val="105"/>
                <w:sz w:val="11"/>
              </w:rPr>
              <w:t>Imobilizado Líquido </w:t>
            </w:r>
            <w:r>
              <w:rPr>
                <w:b/>
                <w:w w:val="105"/>
                <w:sz w:val="11"/>
              </w:rPr>
              <w:t>– </w:t>
            </w:r>
            <w:r>
              <w:rPr>
                <w:rFonts w:ascii="Caladea" w:hAnsi="Caladea"/>
                <w:b/>
                <w:w w:val="105"/>
                <w:sz w:val="11"/>
              </w:rPr>
              <w:t>31/12/2018</w:t>
            </w:r>
          </w:p>
        </w:tc>
        <w:tc>
          <w:tcPr>
            <w:tcW w:w="981" w:type="dxa"/>
          </w:tcPr>
          <w:p>
            <w:pPr>
              <w:pStyle w:val="TableParagraph"/>
              <w:spacing w:before="37"/>
              <w:ind w:right="56"/>
              <w:jc w:val="right"/>
              <w:rPr>
                <w:rFonts w:ascii="Caladea"/>
                <w:b/>
                <w:sz w:val="11"/>
              </w:rPr>
            </w:pPr>
            <w:r>
              <w:rPr>
                <w:rFonts w:ascii="Caladea"/>
                <w:b/>
                <w:sz w:val="11"/>
              </w:rPr>
              <w:t>11.036</w:t>
            </w:r>
          </w:p>
        </w:tc>
        <w:tc>
          <w:tcPr>
            <w:tcW w:w="1317" w:type="dxa"/>
          </w:tcPr>
          <w:p>
            <w:pPr>
              <w:pStyle w:val="TableParagraph"/>
              <w:spacing w:before="37"/>
              <w:ind w:right="53"/>
              <w:jc w:val="right"/>
              <w:rPr>
                <w:rFonts w:ascii="Caladea"/>
                <w:b/>
                <w:sz w:val="11"/>
              </w:rPr>
            </w:pPr>
            <w:r>
              <w:rPr>
                <w:rFonts w:ascii="Caladea"/>
                <w:b/>
                <w:sz w:val="11"/>
              </w:rPr>
              <w:t>1.822</w:t>
            </w:r>
          </w:p>
        </w:tc>
        <w:tc>
          <w:tcPr>
            <w:tcW w:w="1185" w:type="dxa"/>
          </w:tcPr>
          <w:p>
            <w:pPr>
              <w:pStyle w:val="TableParagraph"/>
              <w:spacing w:before="37"/>
              <w:ind w:right="55"/>
              <w:jc w:val="right"/>
              <w:rPr>
                <w:rFonts w:ascii="Caladea"/>
                <w:b/>
                <w:sz w:val="11"/>
              </w:rPr>
            </w:pPr>
            <w:r>
              <w:rPr>
                <w:rFonts w:ascii="Caladea"/>
                <w:b/>
                <w:sz w:val="11"/>
              </w:rPr>
              <w:t>148</w:t>
            </w:r>
          </w:p>
        </w:tc>
        <w:tc>
          <w:tcPr>
            <w:tcW w:w="901" w:type="dxa"/>
          </w:tcPr>
          <w:p>
            <w:pPr>
              <w:pStyle w:val="TableParagraph"/>
              <w:spacing w:before="37"/>
              <w:ind w:right="53"/>
              <w:jc w:val="right"/>
              <w:rPr>
                <w:rFonts w:ascii="Caladea"/>
                <w:b/>
                <w:sz w:val="11"/>
              </w:rPr>
            </w:pPr>
            <w:r>
              <w:rPr>
                <w:rFonts w:ascii="Caladea"/>
                <w:b/>
                <w:sz w:val="11"/>
              </w:rPr>
              <w:t>123</w:t>
            </w:r>
          </w:p>
        </w:tc>
        <w:tc>
          <w:tcPr>
            <w:tcW w:w="904" w:type="dxa"/>
          </w:tcPr>
          <w:p>
            <w:pPr>
              <w:pStyle w:val="TableParagraph"/>
              <w:spacing w:before="37"/>
              <w:ind w:right="51"/>
              <w:jc w:val="right"/>
              <w:rPr>
                <w:rFonts w:ascii="Caladea"/>
                <w:b/>
                <w:sz w:val="11"/>
              </w:rPr>
            </w:pPr>
            <w:r>
              <w:rPr>
                <w:rFonts w:ascii="Caladea"/>
                <w:b/>
                <w:w w:val="100"/>
                <w:sz w:val="11"/>
              </w:rPr>
              <w:t>7</w:t>
            </w:r>
          </w:p>
        </w:tc>
        <w:tc>
          <w:tcPr>
            <w:tcW w:w="1007" w:type="dxa"/>
          </w:tcPr>
          <w:p>
            <w:pPr>
              <w:pStyle w:val="TableParagraph"/>
              <w:rPr>
                <w:rFonts w:ascii="Times New Roman"/>
                <w:sz w:val="12"/>
              </w:rPr>
            </w:pPr>
          </w:p>
        </w:tc>
        <w:tc>
          <w:tcPr>
            <w:tcW w:w="899" w:type="dxa"/>
          </w:tcPr>
          <w:p>
            <w:pPr>
              <w:pStyle w:val="TableParagraph"/>
              <w:spacing w:before="37"/>
              <w:ind w:right="49"/>
              <w:jc w:val="right"/>
              <w:rPr>
                <w:rFonts w:ascii="Caladea"/>
                <w:b/>
                <w:sz w:val="11"/>
              </w:rPr>
            </w:pPr>
            <w:r>
              <w:rPr>
                <w:rFonts w:ascii="Caladea"/>
                <w:b/>
                <w:sz w:val="11"/>
              </w:rPr>
              <w:t>13.136</w:t>
            </w:r>
          </w:p>
        </w:tc>
      </w:tr>
      <w:tr>
        <w:trPr>
          <w:trHeight w:val="203" w:hRule="atLeast"/>
        </w:trPr>
        <w:tc>
          <w:tcPr>
            <w:tcW w:w="2715" w:type="dxa"/>
          </w:tcPr>
          <w:p>
            <w:pPr>
              <w:pStyle w:val="TableParagraph"/>
              <w:spacing w:before="37"/>
              <w:ind w:left="96"/>
              <w:rPr>
                <w:rFonts w:ascii="Caladea" w:hAnsi="Caladea"/>
                <w:b/>
                <w:sz w:val="11"/>
              </w:rPr>
            </w:pPr>
            <w:r>
              <w:rPr>
                <w:rFonts w:ascii="Caladea" w:hAnsi="Caladea"/>
                <w:b/>
                <w:w w:val="105"/>
                <w:sz w:val="11"/>
              </w:rPr>
              <w:t>Imobilizado Líquido </w:t>
            </w:r>
            <w:r>
              <w:rPr>
                <w:b/>
                <w:w w:val="105"/>
                <w:sz w:val="11"/>
              </w:rPr>
              <w:t>– </w:t>
            </w:r>
            <w:r>
              <w:rPr>
                <w:rFonts w:ascii="Caladea" w:hAnsi="Caladea"/>
                <w:b/>
                <w:w w:val="105"/>
                <w:sz w:val="11"/>
              </w:rPr>
              <w:t>31/12/2019</w:t>
            </w:r>
          </w:p>
        </w:tc>
        <w:tc>
          <w:tcPr>
            <w:tcW w:w="981" w:type="dxa"/>
          </w:tcPr>
          <w:p>
            <w:pPr>
              <w:pStyle w:val="TableParagraph"/>
              <w:spacing w:before="37"/>
              <w:ind w:right="56"/>
              <w:jc w:val="right"/>
              <w:rPr>
                <w:rFonts w:ascii="Caladea"/>
                <w:b/>
                <w:sz w:val="11"/>
              </w:rPr>
            </w:pPr>
            <w:r>
              <w:rPr>
                <w:rFonts w:ascii="Caladea"/>
                <w:b/>
                <w:sz w:val="11"/>
              </w:rPr>
              <w:t>11.036</w:t>
            </w:r>
          </w:p>
        </w:tc>
        <w:tc>
          <w:tcPr>
            <w:tcW w:w="1317" w:type="dxa"/>
          </w:tcPr>
          <w:p>
            <w:pPr>
              <w:pStyle w:val="TableParagraph"/>
              <w:spacing w:before="37"/>
              <w:ind w:right="53"/>
              <w:jc w:val="right"/>
              <w:rPr>
                <w:rFonts w:ascii="Caladea"/>
                <w:b/>
                <w:sz w:val="11"/>
              </w:rPr>
            </w:pPr>
            <w:r>
              <w:rPr>
                <w:rFonts w:ascii="Caladea"/>
                <w:b/>
                <w:sz w:val="11"/>
              </w:rPr>
              <w:t>1.723</w:t>
            </w:r>
          </w:p>
        </w:tc>
        <w:tc>
          <w:tcPr>
            <w:tcW w:w="1185" w:type="dxa"/>
          </w:tcPr>
          <w:p>
            <w:pPr>
              <w:pStyle w:val="TableParagraph"/>
              <w:spacing w:before="37"/>
              <w:ind w:right="55"/>
              <w:jc w:val="right"/>
              <w:rPr>
                <w:rFonts w:ascii="Caladea"/>
                <w:b/>
                <w:sz w:val="11"/>
              </w:rPr>
            </w:pPr>
            <w:r>
              <w:rPr>
                <w:rFonts w:ascii="Caladea"/>
                <w:b/>
                <w:sz w:val="11"/>
              </w:rPr>
              <w:t>185</w:t>
            </w:r>
          </w:p>
        </w:tc>
        <w:tc>
          <w:tcPr>
            <w:tcW w:w="901" w:type="dxa"/>
          </w:tcPr>
          <w:p>
            <w:pPr>
              <w:pStyle w:val="TableParagraph"/>
              <w:spacing w:before="37"/>
              <w:ind w:right="53"/>
              <w:jc w:val="right"/>
              <w:rPr>
                <w:rFonts w:ascii="Caladea"/>
                <w:b/>
                <w:sz w:val="11"/>
              </w:rPr>
            </w:pPr>
            <w:r>
              <w:rPr>
                <w:rFonts w:ascii="Caladea"/>
                <w:b/>
                <w:sz w:val="11"/>
              </w:rPr>
              <w:t>97</w:t>
            </w:r>
          </w:p>
        </w:tc>
        <w:tc>
          <w:tcPr>
            <w:tcW w:w="904" w:type="dxa"/>
          </w:tcPr>
          <w:p>
            <w:pPr>
              <w:pStyle w:val="TableParagraph"/>
              <w:spacing w:before="37"/>
              <w:ind w:right="51"/>
              <w:jc w:val="right"/>
              <w:rPr>
                <w:rFonts w:ascii="Caladea"/>
                <w:b/>
                <w:sz w:val="11"/>
              </w:rPr>
            </w:pPr>
            <w:r>
              <w:rPr>
                <w:rFonts w:ascii="Caladea"/>
                <w:b/>
                <w:w w:val="100"/>
                <w:sz w:val="11"/>
              </w:rPr>
              <w:t>6</w:t>
            </w:r>
          </w:p>
        </w:tc>
        <w:tc>
          <w:tcPr>
            <w:tcW w:w="1007" w:type="dxa"/>
          </w:tcPr>
          <w:p>
            <w:pPr>
              <w:pStyle w:val="TableParagraph"/>
              <w:rPr>
                <w:rFonts w:ascii="Times New Roman"/>
                <w:sz w:val="12"/>
              </w:rPr>
            </w:pPr>
          </w:p>
        </w:tc>
        <w:tc>
          <w:tcPr>
            <w:tcW w:w="899" w:type="dxa"/>
          </w:tcPr>
          <w:p>
            <w:pPr>
              <w:pStyle w:val="TableParagraph"/>
              <w:spacing w:before="37"/>
              <w:ind w:right="49"/>
              <w:jc w:val="right"/>
              <w:rPr>
                <w:rFonts w:ascii="Caladea"/>
                <w:b/>
                <w:sz w:val="11"/>
              </w:rPr>
            </w:pPr>
            <w:r>
              <w:rPr>
                <w:rFonts w:ascii="Caladea"/>
                <w:b/>
                <w:sz w:val="11"/>
              </w:rPr>
              <w:t>13.047</w:t>
            </w:r>
          </w:p>
        </w:tc>
      </w:tr>
      <w:tr>
        <w:trPr>
          <w:trHeight w:val="203" w:hRule="atLeast"/>
        </w:trPr>
        <w:tc>
          <w:tcPr>
            <w:tcW w:w="2715" w:type="dxa"/>
          </w:tcPr>
          <w:p>
            <w:pPr>
              <w:pStyle w:val="TableParagraph"/>
              <w:spacing w:before="38"/>
              <w:ind w:left="96"/>
              <w:rPr>
                <w:sz w:val="11"/>
              </w:rPr>
            </w:pPr>
            <w:r>
              <w:rPr>
                <w:sz w:val="11"/>
              </w:rPr>
              <w:t>Taxas Anuais de Depreciação</w:t>
            </w:r>
          </w:p>
        </w:tc>
        <w:tc>
          <w:tcPr>
            <w:tcW w:w="981" w:type="dxa"/>
          </w:tcPr>
          <w:p>
            <w:pPr>
              <w:pStyle w:val="TableParagraph"/>
              <w:rPr>
                <w:rFonts w:ascii="Times New Roman"/>
                <w:sz w:val="12"/>
              </w:rPr>
            </w:pPr>
          </w:p>
        </w:tc>
        <w:tc>
          <w:tcPr>
            <w:tcW w:w="1317" w:type="dxa"/>
          </w:tcPr>
          <w:p>
            <w:pPr>
              <w:pStyle w:val="TableParagraph"/>
              <w:spacing w:before="38"/>
              <w:ind w:left="392"/>
              <w:rPr>
                <w:sz w:val="11"/>
              </w:rPr>
            </w:pPr>
            <w:r>
              <w:rPr>
                <w:spacing w:val="-2"/>
                <w:w w:val="105"/>
                <w:sz w:val="11"/>
              </w:rPr>
              <w:t>2</w:t>
            </w:r>
            <w:r>
              <w:rPr>
                <w:spacing w:val="-1"/>
                <w:w w:val="56"/>
                <w:sz w:val="11"/>
              </w:rPr>
              <w:t>,</w:t>
            </w:r>
            <w:r>
              <w:rPr>
                <w:spacing w:val="-2"/>
                <w:w w:val="105"/>
                <w:sz w:val="11"/>
              </w:rPr>
              <w:t>0</w:t>
            </w:r>
            <w:r>
              <w:rPr>
                <w:w w:val="148"/>
                <w:sz w:val="11"/>
              </w:rPr>
              <w:t>%</w:t>
            </w:r>
            <w:r>
              <w:rPr>
                <w:spacing w:val="-7"/>
                <w:sz w:val="11"/>
              </w:rPr>
              <w:t> </w:t>
            </w:r>
            <w:r>
              <w:rPr>
                <w:w w:val="93"/>
                <w:sz w:val="11"/>
              </w:rPr>
              <w:t>a</w:t>
            </w:r>
            <w:r>
              <w:rPr>
                <w:spacing w:val="-10"/>
                <w:sz w:val="11"/>
              </w:rPr>
              <w:t> </w:t>
            </w:r>
            <w:r>
              <w:rPr>
                <w:spacing w:val="-2"/>
                <w:w w:val="105"/>
                <w:sz w:val="11"/>
              </w:rPr>
              <w:t>4</w:t>
            </w:r>
            <w:r>
              <w:rPr>
                <w:spacing w:val="1"/>
                <w:w w:val="56"/>
                <w:sz w:val="11"/>
              </w:rPr>
              <w:t>,</w:t>
            </w:r>
            <w:r>
              <w:rPr>
                <w:spacing w:val="-2"/>
                <w:w w:val="105"/>
                <w:sz w:val="11"/>
              </w:rPr>
              <w:t>0</w:t>
            </w:r>
            <w:r>
              <w:rPr>
                <w:w w:val="148"/>
                <w:sz w:val="11"/>
              </w:rPr>
              <w:t>%</w:t>
            </w:r>
          </w:p>
        </w:tc>
        <w:tc>
          <w:tcPr>
            <w:tcW w:w="1185" w:type="dxa"/>
          </w:tcPr>
          <w:p>
            <w:pPr>
              <w:pStyle w:val="TableParagraph"/>
              <w:spacing w:before="38"/>
              <w:ind w:left="325"/>
              <w:rPr>
                <w:sz w:val="11"/>
              </w:rPr>
            </w:pPr>
            <w:r>
              <w:rPr>
                <w:spacing w:val="-2"/>
                <w:w w:val="105"/>
                <w:sz w:val="11"/>
              </w:rPr>
              <w:t>3</w:t>
            </w:r>
            <w:r>
              <w:rPr>
                <w:spacing w:val="-1"/>
                <w:w w:val="56"/>
                <w:sz w:val="11"/>
              </w:rPr>
              <w:t>,</w:t>
            </w:r>
            <w:r>
              <w:rPr>
                <w:spacing w:val="-2"/>
                <w:w w:val="105"/>
                <w:sz w:val="11"/>
              </w:rPr>
              <w:t>3</w:t>
            </w:r>
            <w:r>
              <w:rPr>
                <w:w w:val="148"/>
                <w:sz w:val="11"/>
              </w:rPr>
              <w:t>%</w:t>
            </w:r>
            <w:r>
              <w:rPr>
                <w:spacing w:val="-7"/>
                <w:sz w:val="11"/>
              </w:rPr>
              <w:t> </w:t>
            </w:r>
            <w:r>
              <w:rPr>
                <w:w w:val="93"/>
                <w:sz w:val="11"/>
              </w:rPr>
              <w:t>a</w:t>
            </w:r>
            <w:r>
              <w:rPr>
                <w:spacing w:val="-10"/>
                <w:sz w:val="11"/>
              </w:rPr>
              <w:t> </w:t>
            </w:r>
            <w:r>
              <w:rPr>
                <w:spacing w:val="-2"/>
                <w:w w:val="105"/>
                <w:sz w:val="11"/>
              </w:rPr>
              <w:t>6</w:t>
            </w:r>
            <w:r>
              <w:rPr>
                <w:spacing w:val="1"/>
                <w:w w:val="56"/>
                <w:sz w:val="11"/>
              </w:rPr>
              <w:t>,</w:t>
            </w:r>
            <w:r>
              <w:rPr>
                <w:spacing w:val="-2"/>
                <w:w w:val="105"/>
                <w:sz w:val="11"/>
              </w:rPr>
              <w:t>7</w:t>
            </w:r>
            <w:r>
              <w:rPr>
                <w:w w:val="148"/>
                <w:sz w:val="11"/>
              </w:rPr>
              <w:t>%</w:t>
            </w:r>
          </w:p>
        </w:tc>
        <w:tc>
          <w:tcPr>
            <w:tcW w:w="901" w:type="dxa"/>
          </w:tcPr>
          <w:p>
            <w:pPr>
              <w:pStyle w:val="TableParagraph"/>
              <w:spacing w:before="38"/>
              <w:ind w:left="322" w:right="310"/>
              <w:jc w:val="center"/>
              <w:rPr>
                <w:sz w:val="11"/>
              </w:rPr>
            </w:pPr>
            <w:r>
              <w:rPr>
                <w:w w:val="120"/>
                <w:sz w:val="11"/>
              </w:rPr>
              <w:t>20%</w:t>
            </w:r>
          </w:p>
        </w:tc>
        <w:tc>
          <w:tcPr>
            <w:tcW w:w="904" w:type="dxa"/>
          </w:tcPr>
          <w:p>
            <w:pPr>
              <w:pStyle w:val="TableParagraph"/>
              <w:spacing w:before="38"/>
              <w:ind w:left="326" w:right="309"/>
              <w:jc w:val="center"/>
              <w:rPr>
                <w:sz w:val="11"/>
              </w:rPr>
            </w:pPr>
            <w:r>
              <w:rPr>
                <w:w w:val="120"/>
                <w:sz w:val="11"/>
              </w:rPr>
              <w:t>10%</w:t>
            </w:r>
          </w:p>
        </w:tc>
        <w:tc>
          <w:tcPr>
            <w:tcW w:w="1007" w:type="dxa"/>
          </w:tcPr>
          <w:p>
            <w:pPr>
              <w:pStyle w:val="TableParagraph"/>
              <w:rPr>
                <w:rFonts w:ascii="Times New Roman"/>
                <w:sz w:val="12"/>
              </w:rPr>
            </w:pPr>
          </w:p>
        </w:tc>
        <w:tc>
          <w:tcPr>
            <w:tcW w:w="899" w:type="dxa"/>
          </w:tcPr>
          <w:p>
            <w:pPr>
              <w:pStyle w:val="TableParagraph"/>
              <w:rPr>
                <w:rFonts w:ascii="Times New Roman"/>
                <w:sz w:val="12"/>
              </w:rPr>
            </w:pPr>
          </w:p>
        </w:tc>
      </w:tr>
    </w:tbl>
    <w:p>
      <w:pPr>
        <w:pStyle w:val="BodyText"/>
        <w:spacing w:after="1"/>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38"/>
        <w:gridCol w:w="699"/>
        <w:gridCol w:w="1018"/>
        <w:gridCol w:w="879"/>
        <w:gridCol w:w="1014"/>
        <w:gridCol w:w="879"/>
        <w:gridCol w:w="868"/>
        <w:gridCol w:w="642"/>
        <w:gridCol w:w="860"/>
        <w:gridCol w:w="726"/>
      </w:tblGrid>
      <w:tr>
        <w:trPr>
          <w:trHeight w:val="253" w:hRule="atLeast"/>
        </w:trPr>
        <w:tc>
          <w:tcPr>
            <w:tcW w:w="2338" w:type="dxa"/>
            <w:vMerge w:val="restart"/>
            <w:shd w:val="clear" w:color="auto" w:fill="D7D7D7"/>
          </w:tcPr>
          <w:p>
            <w:pPr>
              <w:pStyle w:val="TableParagraph"/>
              <w:rPr>
                <w:rFonts w:ascii="Caladea"/>
                <w:b/>
                <w:sz w:val="12"/>
              </w:rPr>
            </w:pPr>
          </w:p>
          <w:p>
            <w:pPr>
              <w:pStyle w:val="TableParagraph"/>
              <w:rPr>
                <w:rFonts w:ascii="Caladea"/>
                <w:b/>
                <w:sz w:val="12"/>
              </w:rPr>
            </w:pPr>
          </w:p>
          <w:p>
            <w:pPr>
              <w:pStyle w:val="TableParagraph"/>
              <w:spacing w:before="7"/>
              <w:rPr>
                <w:rFonts w:ascii="Caladea"/>
                <w:b/>
                <w:sz w:val="9"/>
              </w:rPr>
            </w:pPr>
          </w:p>
          <w:p>
            <w:pPr>
              <w:pStyle w:val="TableParagraph"/>
              <w:ind w:left="949" w:right="937"/>
              <w:jc w:val="center"/>
              <w:rPr>
                <w:rFonts w:ascii="Caladea"/>
                <w:b/>
                <w:sz w:val="11"/>
              </w:rPr>
            </w:pPr>
            <w:r>
              <w:rPr>
                <w:rFonts w:ascii="Caladea"/>
                <w:b/>
                <w:sz w:val="11"/>
              </w:rPr>
              <w:t>Eventos</w:t>
            </w:r>
          </w:p>
        </w:tc>
        <w:tc>
          <w:tcPr>
            <w:tcW w:w="7585" w:type="dxa"/>
            <w:gridSpan w:val="9"/>
          </w:tcPr>
          <w:p>
            <w:pPr>
              <w:pStyle w:val="TableParagraph"/>
              <w:spacing w:before="63"/>
              <w:ind w:left="3454" w:right="3453"/>
              <w:jc w:val="center"/>
              <w:rPr>
                <w:rFonts w:ascii="Caladea"/>
                <w:b/>
                <w:sz w:val="11"/>
              </w:rPr>
            </w:pPr>
            <w:r>
              <w:rPr>
                <w:rFonts w:ascii="Caladea"/>
                <w:b/>
                <w:sz w:val="11"/>
              </w:rPr>
              <w:t>Consolidado</w:t>
            </w:r>
          </w:p>
        </w:tc>
      </w:tr>
      <w:tr>
        <w:trPr>
          <w:trHeight w:val="256" w:hRule="atLeast"/>
        </w:trPr>
        <w:tc>
          <w:tcPr>
            <w:tcW w:w="2338" w:type="dxa"/>
            <w:vMerge/>
            <w:tcBorders>
              <w:top w:val="nil"/>
            </w:tcBorders>
            <w:shd w:val="clear" w:color="auto" w:fill="D7D7D7"/>
          </w:tcPr>
          <w:p>
            <w:pPr>
              <w:rPr>
                <w:sz w:val="2"/>
                <w:szCs w:val="2"/>
              </w:rPr>
            </w:pPr>
          </w:p>
        </w:tc>
        <w:tc>
          <w:tcPr>
            <w:tcW w:w="5999" w:type="dxa"/>
            <w:gridSpan w:val="7"/>
          </w:tcPr>
          <w:p>
            <w:pPr>
              <w:pStyle w:val="TableParagraph"/>
              <w:spacing w:before="63"/>
              <w:ind w:left="2384" w:right="2380"/>
              <w:jc w:val="center"/>
              <w:rPr>
                <w:rFonts w:ascii="Caladea" w:hAnsi="Caladea"/>
                <w:b/>
                <w:sz w:val="11"/>
              </w:rPr>
            </w:pPr>
            <w:r>
              <w:rPr>
                <w:rFonts w:ascii="Caladea" w:hAnsi="Caladea"/>
                <w:b/>
                <w:sz w:val="11"/>
              </w:rPr>
              <w:t>Imobilizado em Serviço</w:t>
            </w:r>
          </w:p>
        </w:tc>
        <w:tc>
          <w:tcPr>
            <w:tcW w:w="860" w:type="dxa"/>
            <w:vMerge w:val="restart"/>
          </w:tcPr>
          <w:p>
            <w:pPr>
              <w:pStyle w:val="TableParagraph"/>
              <w:spacing w:before="10"/>
              <w:rPr>
                <w:rFonts w:ascii="Caladea"/>
                <w:b/>
                <w:sz w:val="16"/>
              </w:rPr>
            </w:pPr>
          </w:p>
          <w:p>
            <w:pPr>
              <w:pStyle w:val="TableParagraph"/>
              <w:ind w:left="187" w:right="101" w:hanging="65"/>
              <w:rPr>
                <w:rFonts w:ascii="Caladea"/>
                <w:b/>
                <w:sz w:val="11"/>
              </w:rPr>
            </w:pPr>
            <w:r>
              <w:rPr>
                <w:rFonts w:ascii="Caladea"/>
                <w:b/>
                <w:sz w:val="11"/>
              </w:rPr>
              <w:t>Imobilizado em Curso</w:t>
            </w:r>
          </w:p>
        </w:tc>
        <w:tc>
          <w:tcPr>
            <w:tcW w:w="726" w:type="dxa"/>
            <w:vMerge w:val="restart"/>
          </w:tcPr>
          <w:p>
            <w:pPr>
              <w:pStyle w:val="TableParagraph"/>
              <w:rPr>
                <w:rFonts w:ascii="Caladea"/>
                <w:b/>
                <w:sz w:val="12"/>
              </w:rPr>
            </w:pPr>
          </w:p>
          <w:p>
            <w:pPr>
              <w:pStyle w:val="TableParagraph"/>
              <w:spacing w:before="4"/>
              <w:rPr>
                <w:rFonts w:ascii="Caladea"/>
                <w:b/>
                <w:sz w:val="10"/>
              </w:rPr>
            </w:pPr>
          </w:p>
          <w:p>
            <w:pPr>
              <w:pStyle w:val="TableParagraph"/>
              <w:ind w:left="222"/>
              <w:rPr>
                <w:rFonts w:ascii="Caladea"/>
                <w:b/>
                <w:sz w:val="11"/>
              </w:rPr>
            </w:pPr>
            <w:r>
              <w:rPr>
                <w:rFonts w:ascii="Caladea"/>
                <w:b/>
                <w:sz w:val="11"/>
              </w:rPr>
              <w:t>Total</w:t>
            </w:r>
          </w:p>
        </w:tc>
      </w:tr>
      <w:tr>
        <w:trPr>
          <w:trHeight w:val="386" w:hRule="atLeast"/>
        </w:trPr>
        <w:tc>
          <w:tcPr>
            <w:tcW w:w="2338" w:type="dxa"/>
            <w:vMerge/>
            <w:tcBorders>
              <w:top w:val="nil"/>
            </w:tcBorders>
            <w:shd w:val="clear" w:color="auto" w:fill="D7D7D7"/>
          </w:tcPr>
          <w:p>
            <w:pPr>
              <w:rPr>
                <w:sz w:val="2"/>
                <w:szCs w:val="2"/>
              </w:rPr>
            </w:pPr>
          </w:p>
        </w:tc>
        <w:tc>
          <w:tcPr>
            <w:tcW w:w="699" w:type="dxa"/>
          </w:tcPr>
          <w:p>
            <w:pPr>
              <w:pStyle w:val="TableParagraph"/>
              <w:spacing w:before="10"/>
              <w:rPr>
                <w:rFonts w:ascii="Caladea"/>
                <w:b/>
                <w:sz w:val="10"/>
              </w:rPr>
            </w:pPr>
          </w:p>
          <w:p>
            <w:pPr>
              <w:pStyle w:val="TableParagraph"/>
              <w:spacing w:before="1"/>
              <w:ind w:right="106"/>
              <w:jc w:val="right"/>
              <w:rPr>
                <w:rFonts w:ascii="Caladea"/>
                <w:b/>
                <w:sz w:val="11"/>
              </w:rPr>
            </w:pPr>
            <w:r>
              <w:rPr>
                <w:rFonts w:ascii="Caladea"/>
                <w:b/>
                <w:sz w:val="11"/>
              </w:rPr>
              <w:t>Terrenos</w:t>
            </w:r>
          </w:p>
        </w:tc>
        <w:tc>
          <w:tcPr>
            <w:tcW w:w="1018" w:type="dxa"/>
          </w:tcPr>
          <w:p>
            <w:pPr>
              <w:pStyle w:val="TableParagraph"/>
              <w:spacing w:before="1"/>
              <w:ind w:left="203" w:right="113" w:hanging="63"/>
              <w:rPr>
                <w:rFonts w:ascii="Caladea" w:hAnsi="Caladea"/>
                <w:b/>
                <w:sz w:val="11"/>
              </w:rPr>
            </w:pPr>
            <w:r>
              <w:rPr>
                <w:rFonts w:ascii="Caladea" w:hAnsi="Caladea"/>
                <w:b/>
                <w:sz w:val="11"/>
              </w:rPr>
              <w:t>Reservatórios, Barragens e</w:t>
            </w:r>
          </w:p>
          <w:p>
            <w:pPr>
              <w:pStyle w:val="TableParagraph"/>
              <w:spacing w:line="107" w:lineRule="exact"/>
              <w:ind w:left="275"/>
              <w:rPr>
                <w:rFonts w:ascii="Caladea"/>
                <w:b/>
                <w:sz w:val="11"/>
              </w:rPr>
            </w:pPr>
            <w:r>
              <w:rPr>
                <w:rFonts w:ascii="Caladea"/>
                <w:b/>
                <w:sz w:val="11"/>
              </w:rPr>
              <w:t>Adutoras</w:t>
            </w:r>
          </w:p>
        </w:tc>
        <w:tc>
          <w:tcPr>
            <w:tcW w:w="879" w:type="dxa"/>
          </w:tcPr>
          <w:p>
            <w:pPr>
              <w:pStyle w:val="TableParagraph"/>
              <w:spacing w:before="1"/>
              <w:ind w:left="114" w:firstLine="26"/>
              <w:rPr>
                <w:rFonts w:ascii="Caladea" w:hAnsi="Caladea"/>
                <w:b/>
                <w:sz w:val="11"/>
              </w:rPr>
            </w:pPr>
            <w:r>
              <w:rPr>
                <w:rFonts w:ascii="Caladea" w:hAnsi="Caladea"/>
                <w:b/>
                <w:sz w:val="11"/>
              </w:rPr>
              <w:t>Edificações, Obras Civis</w:t>
            </w:r>
            <w:r>
              <w:rPr>
                <w:rFonts w:ascii="Caladea" w:hAnsi="Caladea"/>
                <w:b/>
                <w:spacing w:val="-7"/>
                <w:sz w:val="11"/>
              </w:rPr>
              <w:t> </w:t>
            </w:r>
            <w:r>
              <w:rPr>
                <w:rFonts w:ascii="Caladea" w:hAnsi="Caladea"/>
                <w:b/>
                <w:spacing w:val="-11"/>
                <w:sz w:val="11"/>
              </w:rPr>
              <w:t>e</w:t>
            </w:r>
          </w:p>
          <w:p>
            <w:pPr>
              <w:pStyle w:val="TableParagraph"/>
              <w:spacing w:line="107" w:lineRule="exact"/>
              <w:ind w:left="126"/>
              <w:rPr>
                <w:rFonts w:ascii="Caladea"/>
                <w:b/>
                <w:sz w:val="11"/>
              </w:rPr>
            </w:pPr>
            <w:r>
              <w:rPr>
                <w:rFonts w:ascii="Caladea"/>
                <w:b/>
                <w:sz w:val="11"/>
              </w:rPr>
              <w:t>Benfeitorias</w:t>
            </w:r>
          </w:p>
        </w:tc>
        <w:tc>
          <w:tcPr>
            <w:tcW w:w="1014" w:type="dxa"/>
          </w:tcPr>
          <w:p>
            <w:pPr>
              <w:pStyle w:val="TableParagraph"/>
              <w:spacing w:before="63"/>
              <w:ind w:left="142" w:right="112" w:firstLine="77"/>
              <w:rPr>
                <w:rFonts w:ascii="Caladea" w:hAnsi="Caladea"/>
                <w:b/>
                <w:sz w:val="11"/>
              </w:rPr>
            </w:pPr>
            <w:r>
              <w:rPr>
                <w:rFonts w:ascii="Caladea" w:hAnsi="Caladea"/>
                <w:b/>
                <w:sz w:val="11"/>
              </w:rPr>
              <w:t>Máquinas e Equipamentos</w:t>
            </w:r>
          </w:p>
        </w:tc>
        <w:tc>
          <w:tcPr>
            <w:tcW w:w="879" w:type="dxa"/>
          </w:tcPr>
          <w:p>
            <w:pPr>
              <w:pStyle w:val="TableParagraph"/>
              <w:spacing w:before="10"/>
              <w:rPr>
                <w:rFonts w:ascii="Caladea"/>
                <w:b/>
                <w:sz w:val="10"/>
              </w:rPr>
            </w:pPr>
          </w:p>
          <w:p>
            <w:pPr>
              <w:pStyle w:val="TableParagraph"/>
              <w:spacing w:before="1"/>
              <w:ind w:left="223"/>
              <w:rPr>
                <w:rFonts w:ascii="Caladea" w:hAnsi="Caladea"/>
                <w:b/>
                <w:sz w:val="11"/>
              </w:rPr>
            </w:pPr>
            <w:r>
              <w:rPr>
                <w:rFonts w:ascii="Caladea" w:hAnsi="Caladea"/>
                <w:b/>
                <w:sz w:val="11"/>
              </w:rPr>
              <w:t>Veículos</w:t>
            </w:r>
          </w:p>
        </w:tc>
        <w:tc>
          <w:tcPr>
            <w:tcW w:w="868" w:type="dxa"/>
          </w:tcPr>
          <w:p>
            <w:pPr>
              <w:pStyle w:val="TableParagraph"/>
              <w:spacing w:before="63"/>
              <w:ind w:left="179" w:right="153" w:firstLine="33"/>
              <w:rPr>
                <w:rFonts w:ascii="Caladea" w:hAnsi="Caladea"/>
                <w:b/>
                <w:sz w:val="11"/>
              </w:rPr>
            </w:pPr>
            <w:r>
              <w:rPr>
                <w:rFonts w:ascii="Caladea" w:hAnsi="Caladea"/>
                <w:b/>
                <w:sz w:val="11"/>
              </w:rPr>
              <w:t>Móveis e Utensílios</w:t>
            </w:r>
          </w:p>
        </w:tc>
        <w:tc>
          <w:tcPr>
            <w:tcW w:w="642" w:type="dxa"/>
          </w:tcPr>
          <w:p>
            <w:pPr>
              <w:pStyle w:val="TableParagraph"/>
              <w:spacing w:before="10"/>
              <w:rPr>
                <w:rFonts w:ascii="Caladea"/>
                <w:b/>
                <w:sz w:val="10"/>
              </w:rPr>
            </w:pPr>
          </w:p>
          <w:p>
            <w:pPr>
              <w:pStyle w:val="TableParagraph"/>
              <w:spacing w:before="1"/>
              <w:ind w:right="141"/>
              <w:jc w:val="right"/>
              <w:rPr>
                <w:rFonts w:ascii="Caladea"/>
                <w:b/>
                <w:sz w:val="11"/>
              </w:rPr>
            </w:pPr>
            <w:r>
              <w:rPr>
                <w:rFonts w:ascii="Caladea"/>
                <w:b/>
                <w:sz w:val="11"/>
              </w:rPr>
              <w:t>Outros</w:t>
            </w:r>
          </w:p>
        </w:tc>
        <w:tc>
          <w:tcPr>
            <w:tcW w:w="860" w:type="dxa"/>
            <w:vMerge/>
            <w:tcBorders>
              <w:top w:val="nil"/>
            </w:tcBorders>
          </w:tcPr>
          <w:p>
            <w:pPr>
              <w:rPr>
                <w:sz w:val="2"/>
                <w:szCs w:val="2"/>
              </w:rPr>
            </w:pPr>
          </w:p>
        </w:tc>
        <w:tc>
          <w:tcPr>
            <w:tcW w:w="726" w:type="dxa"/>
            <w:vMerge/>
            <w:tcBorders>
              <w:top w:val="nil"/>
            </w:tcBorders>
          </w:tcPr>
          <w:p>
            <w:pPr>
              <w:rPr>
                <w:sz w:val="2"/>
                <w:szCs w:val="2"/>
              </w:rPr>
            </w:pPr>
          </w:p>
        </w:tc>
      </w:tr>
      <w:tr>
        <w:trPr>
          <w:trHeight w:val="256" w:hRule="atLeast"/>
        </w:trPr>
        <w:tc>
          <w:tcPr>
            <w:tcW w:w="2338" w:type="dxa"/>
          </w:tcPr>
          <w:p>
            <w:pPr>
              <w:pStyle w:val="TableParagraph"/>
              <w:spacing w:before="63"/>
              <w:ind w:left="650"/>
              <w:rPr>
                <w:rFonts w:ascii="Caladea"/>
                <w:b/>
                <w:sz w:val="11"/>
              </w:rPr>
            </w:pPr>
            <w:r>
              <w:rPr>
                <w:rFonts w:ascii="Caladea"/>
                <w:b/>
                <w:sz w:val="11"/>
              </w:rPr>
              <w:t>Custo do Imobilizado</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rPr>
                <w:rFonts w:ascii="Times New Roman"/>
                <w:sz w:val="12"/>
              </w:rPr>
            </w:pPr>
          </w:p>
        </w:tc>
        <w:tc>
          <w:tcPr>
            <w:tcW w:w="1014" w:type="dxa"/>
          </w:tcPr>
          <w:p>
            <w:pPr>
              <w:pStyle w:val="TableParagraph"/>
              <w:rPr>
                <w:rFonts w:ascii="Times New Roman"/>
                <w:sz w:val="12"/>
              </w:rPr>
            </w:pP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rPr>
                <w:rFonts w:ascii="Times New Roman"/>
                <w:sz w:val="12"/>
              </w:rPr>
            </w:pPr>
          </w:p>
        </w:tc>
      </w:tr>
      <w:tr>
        <w:trPr>
          <w:trHeight w:val="254" w:hRule="atLeast"/>
        </w:trPr>
        <w:tc>
          <w:tcPr>
            <w:tcW w:w="2338" w:type="dxa"/>
          </w:tcPr>
          <w:p>
            <w:pPr>
              <w:pStyle w:val="TableParagraph"/>
              <w:spacing w:before="63"/>
              <w:ind w:left="72"/>
              <w:rPr>
                <w:rFonts w:ascii="Caladea"/>
                <w:b/>
                <w:sz w:val="11"/>
              </w:rPr>
            </w:pPr>
            <w:r>
              <w:rPr>
                <w:rFonts w:ascii="Caladea"/>
                <w:b/>
                <w:sz w:val="11"/>
              </w:rPr>
              <w:t>Saldo em 31 de dezembro de 2017</w:t>
            </w:r>
          </w:p>
        </w:tc>
        <w:tc>
          <w:tcPr>
            <w:tcW w:w="699" w:type="dxa"/>
          </w:tcPr>
          <w:p>
            <w:pPr>
              <w:pStyle w:val="TableParagraph"/>
              <w:spacing w:before="63"/>
              <w:ind w:right="57"/>
              <w:jc w:val="right"/>
              <w:rPr>
                <w:rFonts w:ascii="Caladea"/>
                <w:b/>
                <w:sz w:val="11"/>
              </w:rPr>
            </w:pPr>
            <w:r>
              <w:rPr>
                <w:rFonts w:ascii="Caladea"/>
                <w:b/>
                <w:sz w:val="11"/>
              </w:rPr>
              <w:t>13.944</w:t>
            </w:r>
          </w:p>
        </w:tc>
        <w:tc>
          <w:tcPr>
            <w:tcW w:w="1018" w:type="dxa"/>
          </w:tcPr>
          <w:p>
            <w:pPr>
              <w:pStyle w:val="TableParagraph"/>
              <w:spacing w:before="63"/>
              <w:ind w:right="57"/>
              <w:jc w:val="right"/>
              <w:rPr>
                <w:rFonts w:ascii="Caladea"/>
                <w:b/>
                <w:sz w:val="11"/>
              </w:rPr>
            </w:pPr>
            <w:r>
              <w:rPr>
                <w:rFonts w:ascii="Caladea"/>
                <w:b/>
                <w:sz w:val="11"/>
              </w:rPr>
              <w:t>13.527</w:t>
            </w:r>
          </w:p>
        </w:tc>
        <w:tc>
          <w:tcPr>
            <w:tcW w:w="879" w:type="dxa"/>
          </w:tcPr>
          <w:p>
            <w:pPr>
              <w:pStyle w:val="TableParagraph"/>
              <w:spacing w:before="63"/>
              <w:ind w:right="58"/>
              <w:jc w:val="right"/>
              <w:rPr>
                <w:rFonts w:ascii="Caladea"/>
                <w:b/>
                <w:sz w:val="11"/>
              </w:rPr>
            </w:pPr>
            <w:r>
              <w:rPr>
                <w:rFonts w:ascii="Caladea"/>
                <w:b/>
                <w:sz w:val="11"/>
              </w:rPr>
              <w:t>21.098</w:t>
            </w:r>
          </w:p>
        </w:tc>
        <w:tc>
          <w:tcPr>
            <w:tcW w:w="1014" w:type="dxa"/>
          </w:tcPr>
          <w:p>
            <w:pPr>
              <w:pStyle w:val="TableParagraph"/>
              <w:spacing w:before="63"/>
              <w:ind w:right="56"/>
              <w:jc w:val="right"/>
              <w:rPr>
                <w:rFonts w:ascii="Caladea"/>
                <w:b/>
                <w:sz w:val="11"/>
              </w:rPr>
            </w:pPr>
            <w:r>
              <w:rPr>
                <w:rFonts w:ascii="Caladea"/>
                <w:b/>
                <w:sz w:val="11"/>
              </w:rPr>
              <w:t>48.053</w:t>
            </w:r>
          </w:p>
        </w:tc>
        <w:tc>
          <w:tcPr>
            <w:tcW w:w="879" w:type="dxa"/>
          </w:tcPr>
          <w:p>
            <w:pPr>
              <w:pStyle w:val="TableParagraph"/>
              <w:spacing w:before="63"/>
              <w:ind w:right="59"/>
              <w:jc w:val="right"/>
              <w:rPr>
                <w:rFonts w:ascii="Caladea"/>
                <w:b/>
                <w:sz w:val="11"/>
              </w:rPr>
            </w:pPr>
            <w:r>
              <w:rPr>
                <w:rFonts w:ascii="Caladea"/>
                <w:b/>
                <w:sz w:val="11"/>
              </w:rPr>
              <w:t>23.983</w:t>
            </w:r>
          </w:p>
        </w:tc>
        <w:tc>
          <w:tcPr>
            <w:tcW w:w="868" w:type="dxa"/>
          </w:tcPr>
          <w:p>
            <w:pPr>
              <w:pStyle w:val="TableParagraph"/>
              <w:spacing w:before="63"/>
              <w:ind w:right="58"/>
              <w:jc w:val="right"/>
              <w:rPr>
                <w:rFonts w:ascii="Caladea"/>
                <w:b/>
                <w:sz w:val="11"/>
              </w:rPr>
            </w:pPr>
            <w:r>
              <w:rPr>
                <w:rFonts w:ascii="Caladea"/>
                <w:b/>
                <w:sz w:val="11"/>
              </w:rPr>
              <w:t>9.468</w:t>
            </w:r>
          </w:p>
        </w:tc>
        <w:tc>
          <w:tcPr>
            <w:tcW w:w="642" w:type="dxa"/>
          </w:tcPr>
          <w:p>
            <w:pPr>
              <w:pStyle w:val="TableParagraph"/>
              <w:spacing w:before="63"/>
              <w:ind w:right="66"/>
              <w:jc w:val="right"/>
              <w:rPr>
                <w:rFonts w:ascii="Caladea"/>
                <w:b/>
                <w:sz w:val="11"/>
              </w:rPr>
            </w:pPr>
            <w:r>
              <w:rPr>
                <w:rFonts w:ascii="Caladea"/>
                <w:b/>
                <w:sz w:val="11"/>
              </w:rPr>
              <w:t>107</w:t>
            </w:r>
          </w:p>
        </w:tc>
        <w:tc>
          <w:tcPr>
            <w:tcW w:w="860" w:type="dxa"/>
          </w:tcPr>
          <w:p>
            <w:pPr>
              <w:pStyle w:val="TableParagraph"/>
              <w:spacing w:before="63"/>
              <w:ind w:right="62"/>
              <w:jc w:val="right"/>
              <w:rPr>
                <w:rFonts w:ascii="Caladea"/>
                <w:b/>
                <w:sz w:val="11"/>
              </w:rPr>
            </w:pPr>
            <w:r>
              <w:rPr>
                <w:rFonts w:ascii="Caladea"/>
                <w:b/>
                <w:sz w:val="11"/>
              </w:rPr>
              <w:t>43.362</w:t>
            </w:r>
          </w:p>
        </w:tc>
        <w:tc>
          <w:tcPr>
            <w:tcW w:w="726" w:type="dxa"/>
          </w:tcPr>
          <w:p>
            <w:pPr>
              <w:pStyle w:val="TableParagraph"/>
              <w:spacing w:before="63"/>
              <w:ind w:right="66"/>
              <w:jc w:val="right"/>
              <w:rPr>
                <w:rFonts w:ascii="Caladea"/>
                <w:b/>
                <w:sz w:val="11"/>
              </w:rPr>
            </w:pPr>
            <w:r>
              <w:rPr>
                <w:rFonts w:ascii="Caladea"/>
                <w:b/>
                <w:sz w:val="11"/>
              </w:rPr>
              <w:t>173.542</w:t>
            </w:r>
          </w:p>
        </w:tc>
      </w:tr>
      <w:tr>
        <w:trPr>
          <w:trHeight w:val="253" w:hRule="atLeast"/>
        </w:trPr>
        <w:tc>
          <w:tcPr>
            <w:tcW w:w="2338" w:type="dxa"/>
          </w:tcPr>
          <w:p>
            <w:pPr>
              <w:pStyle w:val="TableParagraph"/>
              <w:spacing w:before="64"/>
              <w:ind w:left="144"/>
              <w:rPr>
                <w:sz w:val="11"/>
              </w:rPr>
            </w:pPr>
            <w:r>
              <w:rPr>
                <w:sz w:val="11"/>
              </w:rPr>
              <w:t>Adições</w:t>
            </w:r>
          </w:p>
        </w:tc>
        <w:tc>
          <w:tcPr>
            <w:tcW w:w="699" w:type="dxa"/>
          </w:tcPr>
          <w:p>
            <w:pPr>
              <w:pStyle w:val="TableParagraph"/>
              <w:spacing w:before="64"/>
              <w:ind w:right="60"/>
              <w:jc w:val="right"/>
              <w:rPr>
                <w:sz w:val="11"/>
              </w:rPr>
            </w:pPr>
            <w:r>
              <w:rPr>
                <w:w w:val="105"/>
                <w:sz w:val="11"/>
              </w:rPr>
              <w:t>180</w:t>
            </w:r>
          </w:p>
        </w:tc>
        <w:tc>
          <w:tcPr>
            <w:tcW w:w="1018" w:type="dxa"/>
          </w:tcPr>
          <w:p>
            <w:pPr>
              <w:pStyle w:val="TableParagraph"/>
              <w:spacing w:before="64"/>
              <w:ind w:right="60"/>
              <w:jc w:val="right"/>
              <w:rPr>
                <w:sz w:val="11"/>
              </w:rPr>
            </w:pPr>
            <w:r>
              <w:rPr>
                <w:w w:val="105"/>
                <w:sz w:val="11"/>
              </w:rPr>
              <w:t>775</w:t>
            </w:r>
          </w:p>
        </w:tc>
        <w:tc>
          <w:tcPr>
            <w:tcW w:w="879" w:type="dxa"/>
          </w:tcPr>
          <w:p>
            <w:pPr>
              <w:pStyle w:val="TableParagraph"/>
              <w:spacing w:before="64"/>
              <w:ind w:right="61"/>
              <w:jc w:val="right"/>
              <w:rPr>
                <w:sz w:val="11"/>
              </w:rPr>
            </w:pPr>
            <w:r>
              <w:rPr>
                <w:w w:val="105"/>
                <w:sz w:val="11"/>
              </w:rPr>
              <w:t>954</w:t>
            </w:r>
          </w:p>
        </w:tc>
        <w:tc>
          <w:tcPr>
            <w:tcW w:w="1014" w:type="dxa"/>
          </w:tcPr>
          <w:p>
            <w:pPr>
              <w:pStyle w:val="TableParagraph"/>
              <w:spacing w:before="64"/>
              <w:ind w:right="59"/>
              <w:jc w:val="right"/>
              <w:rPr>
                <w:sz w:val="11"/>
              </w:rPr>
            </w:pPr>
            <w:r>
              <w:rPr>
                <w:w w:val="105"/>
                <w:sz w:val="11"/>
              </w:rPr>
              <w:t>520</w:t>
            </w: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spacing w:before="64"/>
              <w:ind w:right="67"/>
              <w:jc w:val="right"/>
              <w:rPr>
                <w:sz w:val="11"/>
              </w:rPr>
            </w:pPr>
            <w:r>
              <w:rPr>
                <w:w w:val="105"/>
                <w:sz w:val="11"/>
              </w:rPr>
              <w:t>127</w:t>
            </w:r>
          </w:p>
        </w:tc>
        <w:tc>
          <w:tcPr>
            <w:tcW w:w="860" w:type="dxa"/>
          </w:tcPr>
          <w:p>
            <w:pPr>
              <w:pStyle w:val="TableParagraph"/>
              <w:spacing w:before="64"/>
              <w:ind w:right="64"/>
              <w:jc w:val="right"/>
              <w:rPr>
                <w:sz w:val="11"/>
              </w:rPr>
            </w:pPr>
            <w:r>
              <w:rPr>
                <w:w w:val="95"/>
                <w:sz w:val="11"/>
              </w:rPr>
              <w:t>23.317</w:t>
            </w:r>
          </w:p>
        </w:tc>
        <w:tc>
          <w:tcPr>
            <w:tcW w:w="726" w:type="dxa"/>
          </w:tcPr>
          <w:p>
            <w:pPr>
              <w:pStyle w:val="TableParagraph"/>
              <w:spacing w:before="63"/>
              <w:ind w:right="66"/>
              <w:jc w:val="right"/>
              <w:rPr>
                <w:rFonts w:ascii="Caladea"/>
                <w:b/>
                <w:sz w:val="11"/>
              </w:rPr>
            </w:pPr>
            <w:r>
              <w:rPr>
                <w:rFonts w:ascii="Caladea"/>
                <w:b/>
                <w:sz w:val="11"/>
              </w:rPr>
              <w:t>25.873</w:t>
            </w:r>
          </w:p>
        </w:tc>
      </w:tr>
      <w:tr>
        <w:trPr>
          <w:trHeight w:val="256" w:hRule="atLeast"/>
        </w:trPr>
        <w:tc>
          <w:tcPr>
            <w:tcW w:w="2338" w:type="dxa"/>
          </w:tcPr>
          <w:p>
            <w:pPr>
              <w:pStyle w:val="TableParagraph"/>
              <w:spacing w:before="67"/>
              <w:ind w:left="144"/>
              <w:rPr>
                <w:sz w:val="11"/>
              </w:rPr>
            </w:pPr>
            <w:r>
              <w:rPr>
                <w:sz w:val="11"/>
              </w:rPr>
              <w:t>Baixas</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spacing w:before="67"/>
              <w:ind w:right="60"/>
              <w:jc w:val="right"/>
              <w:rPr>
                <w:sz w:val="11"/>
              </w:rPr>
            </w:pPr>
            <w:r>
              <w:rPr>
                <w:w w:val="105"/>
                <w:sz w:val="11"/>
              </w:rPr>
              <w:t>(14)</w:t>
            </w:r>
          </w:p>
        </w:tc>
        <w:tc>
          <w:tcPr>
            <w:tcW w:w="1014" w:type="dxa"/>
          </w:tcPr>
          <w:p>
            <w:pPr>
              <w:pStyle w:val="TableParagraph"/>
              <w:spacing w:before="67"/>
              <w:ind w:right="60"/>
              <w:jc w:val="right"/>
              <w:rPr>
                <w:sz w:val="11"/>
              </w:rPr>
            </w:pPr>
            <w:r>
              <w:rPr>
                <w:w w:val="95"/>
                <w:sz w:val="11"/>
              </w:rPr>
              <w:t>(4.155)</w:t>
            </w:r>
          </w:p>
        </w:tc>
        <w:tc>
          <w:tcPr>
            <w:tcW w:w="879" w:type="dxa"/>
          </w:tcPr>
          <w:p>
            <w:pPr>
              <w:pStyle w:val="TableParagraph"/>
              <w:rPr>
                <w:rFonts w:ascii="Times New Roman"/>
                <w:sz w:val="12"/>
              </w:rPr>
            </w:pPr>
          </w:p>
        </w:tc>
        <w:tc>
          <w:tcPr>
            <w:tcW w:w="868" w:type="dxa"/>
          </w:tcPr>
          <w:p>
            <w:pPr>
              <w:pStyle w:val="TableParagraph"/>
              <w:spacing w:before="67"/>
              <w:ind w:right="60"/>
              <w:jc w:val="right"/>
              <w:rPr>
                <w:sz w:val="11"/>
              </w:rPr>
            </w:pPr>
            <w:r>
              <w:rPr>
                <w:w w:val="105"/>
                <w:sz w:val="11"/>
              </w:rPr>
              <w:t>(26)</w:t>
            </w: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spacing w:before="66"/>
              <w:ind w:right="67"/>
              <w:jc w:val="right"/>
              <w:rPr>
                <w:rFonts w:ascii="Caladea"/>
                <w:b/>
                <w:sz w:val="11"/>
              </w:rPr>
            </w:pPr>
            <w:r>
              <w:rPr>
                <w:rFonts w:ascii="Caladea"/>
                <w:b/>
                <w:sz w:val="11"/>
              </w:rPr>
              <w:t>(4.195)</w:t>
            </w:r>
          </w:p>
        </w:tc>
      </w:tr>
      <w:tr>
        <w:trPr>
          <w:trHeight w:val="253" w:hRule="atLeast"/>
        </w:trPr>
        <w:tc>
          <w:tcPr>
            <w:tcW w:w="2338" w:type="dxa"/>
          </w:tcPr>
          <w:p>
            <w:pPr>
              <w:pStyle w:val="TableParagraph"/>
              <w:spacing w:before="64"/>
              <w:ind w:left="144"/>
              <w:rPr>
                <w:sz w:val="11"/>
              </w:rPr>
            </w:pPr>
            <w:r>
              <w:rPr>
                <w:sz w:val="11"/>
              </w:rPr>
              <w:t>Transferências</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rPr>
                <w:rFonts w:ascii="Times New Roman"/>
                <w:sz w:val="12"/>
              </w:rPr>
            </w:pPr>
          </w:p>
        </w:tc>
        <w:tc>
          <w:tcPr>
            <w:tcW w:w="1014" w:type="dxa"/>
          </w:tcPr>
          <w:p>
            <w:pPr>
              <w:pStyle w:val="TableParagraph"/>
              <w:spacing w:before="64"/>
              <w:ind w:right="58"/>
              <w:jc w:val="right"/>
              <w:rPr>
                <w:sz w:val="11"/>
              </w:rPr>
            </w:pPr>
            <w:r>
              <w:rPr>
                <w:w w:val="95"/>
                <w:sz w:val="11"/>
              </w:rPr>
              <w:t>1.451</w:t>
            </w: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spacing w:before="64"/>
              <w:ind w:right="64"/>
              <w:jc w:val="right"/>
              <w:rPr>
                <w:sz w:val="11"/>
              </w:rPr>
            </w:pPr>
            <w:r>
              <w:rPr>
                <w:sz w:val="11"/>
              </w:rPr>
              <w:t>(22.317)</w:t>
            </w:r>
          </w:p>
        </w:tc>
        <w:tc>
          <w:tcPr>
            <w:tcW w:w="726" w:type="dxa"/>
          </w:tcPr>
          <w:p>
            <w:pPr>
              <w:pStyle w:val="TableParagraph"/>
              <w:spacing w:before="63"/>
              <w:ind w:right="67"/>
              <w:jc w:val="right"/>
              <w:rPr>
                <w:rFonts w:ascii="Caladea"/>
                <w:b/>
                <w:sz w:val="11"/>
              </w:rPr>
            </w:pPr>
            <w:r>
              <w:rPr>
                <w:rFonts w:ascii="Caladea"/>
                <w:b/>
                <w:sz w:val="11"/>
              </w:rPr>
              <w:t>(20.866)</w:t>
            </w:r>
          </w:p>
        </w:tc>
      </w:tr>
      <w:tr>
        <w:trPr>
          <w:trHeight w:val="256" w:hRule="atLeast"/>
        </w:trPr>
        <w:tc>
          <w:tcPr>
            <w:tcW w:w="2338" w:type="dxa"/>
          </w:tcPr>
          <w:p>
            <w:pPr>
              <w:pStyle w:val="TableParagraph"/>
              <w:spacing w:before="63"/>
              <w:ind w:left="72"/>
              <w:rPr>
                <w:rFonts w:ascii="Caladea"/>
                <w:b/>
                <w:sz w:val="11"/>
              </w:rPr>
            </w:pPr>
            <w:r>
              <w:rPr>
                <w:rFonts w:ascii="Caladea"/>
                <w:b/>
                <w:sz w:val="11"/>
              </w:rPr>
              <w:t>Saldo em 31 de dezembro de 2018</w:t>
            </w:r>
          </w:p>
        </w:tc>
        <w:tc>
          <w:tcPr>
            <w:tcW w:w="699" w:type="dxa"/>
          </w:tcPr>
          <w:p>
            <w:pPr>
              <w:pStyle w:val="TableParagraph"/>
              <w:spacing w:before="63"/>
              <w:ind w:right="57"/>
              <w:jc w:val="right"/>
              <w:rPr>
                <w:rFonts w:ascii="Caladea"/>
                <w:b/>
                <w:sz w:val="11"/>
              </w:rPr>
            </w:pPr>
            <w:r>
              <w:rPr>
                <w:rFonts w:ascii="Caladea"/>
                <w:b/>
                <w:sz w:val="11"/>
              </w:rPr>
              <w:t>14.124</w:t>
            </w:r>
          </w:p>
        </w:tc>
        <w:tc>
          <w:tcPr>
            <w:tcW w:w="1018" w:type="dxa"/>
          </w:tcPr>
          <w:p>
            <w:pPr>
              <w:pStyle w:val="TableParagraph"/>
              <w:spacing w:before="63"/>
              <w:ind w:right="57"/>
              <w:jc w:val="right"/>
              <w:rPr>
                <w:rFonts w:ascii="Caladea"/>
                <w:b/>
                <w:sz w:val="11"/>
              </w:rPr>
            </w:pPr>
            <w:r>
              <w:rPr>
                <w:rFonts w:ascii="Caladea"/>
                <w:b/>
                <w:sz w:val="11"/>
              </w:rPr>
              <w:t>14.302</w:t>
            </w:r>
          </w:p>
        </w:tc>
        <w:tc>
          <w:tcPr>
            <w:tcW w:w="879" w:type="dxa"/>
          </w:tcPr>
          <w:p>
            <w:pPr>
              <w:pStyle w:val="TableParagraph"/>
              <w:spacing w:before="63"/>
              <w:ind w:right="58"/>
              <w:jc w:val="right"/>
              <w:rPr>
                <w:rFonts w:ascii="Caladea"/>
                <w:b/>
                <w:sz w:val="11"/>
              </w:rPr>
            </w:pPr>
            <w:r>
              <w:rPr>
                <w:rFonts w:ascii="Caladea"/>
                <w:b/>
                <w:sz w:val="11"/>
              </w:rPr>
              <w:t>22.038</w:t>
            </w:r>
          </w:p>
        </w:tc>
        <w:tc>
          <w:tcPr>
            <w:tcW w:w="1014" w:type="dxa"/>
          </w:tcPr>
          <w:p>
            <w:pPr>
              <w:pStyle w:val="TableParagraph"/>
              <w:spacing w:before="63"/>
              <w:ind w:right="56"/>
              <w:jc w:val="right"/>
              <w:rPr>
                <w:rFonts w:ascii="Caladea"/>
                <w:b/>
                <w:sz w:val="11"/>
              </w:rPr>
            </w:pPr>
            <w:r>
              <w:rPr>
                <w:rFonts w:ascii="Caladea"/>
                <w:b/>
                <w:sz w:val="11"/>
              </w:rPr>
              <w:t>45.869</w:t>
            </w:r>
          </w:p>
        </w:tc>
        <w:tc>
          <w:tcPr>
            <w:tcW w:w="879" w:type="dxa"/>
          </w:tcPr>
          <w:p>
            <w:pPr>
              <w:pStyle w:val="TableParagraph"/>
              <w:spacing w:before="63"/>
              <w:ind w:right="59"/>
              <w:jc w:val="right"/>
              <w:rPr>
                <w:rFonts w:ascii="Caladea"/>
                <w:b/>
                <w:sz w:val="11"/>
              </w:rPr>
            </w:pPr>
            <w:r>
              <w:rPr>
                <w:rFonts w:ascii="Caladea"/>
                <w:b/>
                <w:sz w:val="11"/>
              </w:rPr>
              <w:t>23.983</w:t>
            </w:r>
          </w:p>
        </w:tc>
        <w:tc>
          <w:tcPr>
            <w:tcW w:w="868" w:type="dxa"/>
          </w:tcPr>
          <w:p>
            <w:pPr>
              <w:pStyle w:val="TableParagraph"/>
              <w:spacing w:before="63"/>
              <w:ind w:right="58"/>
              <w:jc w:val="right"/>
              <w:rPr>
                <w:rFonts w:ascii="Caladea"/>
                <w:b/>
                <w:sz w:val="11"/>
              </w:rPr>
            </w:pPr>
            <w:r>
              <w:rPr>
                <w:rFonts w:ascii="Caladea"/>
                <w:b/>
                <w:sz w:val="11"/>
              </w:rPr>
              <w:t>9.442</w:t>
            </w:r>
          </w:p>
        </w:tc>
        <w:tc>
          <w:tcPr>
            <w:tcW w:w="642" w:type="dxa"/>
          </w:tcPr>
          <w:p>
            <w:pPr>
              <w:pStyle w:val="TableParagraph"/>
              <w:spacing w:before="63"/>
              <w:ind w:right="64"/>
              <w:jc w:val="right"/>
              <w:rPr>
                <w:rFonts w:ascii="Caladea"/>
                <w:b/>
                <w:sz w:val="11"/>
              </w:rPr>
            </w:pPr>
            <w:r>
              <w:rPr>
                <w:rFonts w:ascii="Caladea"/>
                <w:b/>
                <w:sz w:val="11"/>
              </w:rPr>
              <w:t>234</w:t>
            </w:r>
          </w:p>
        </w:tc>
        <w:tc>
          <w:tcPr>
            <w:tcW w:w="860" w:type="dxa"/>
          </w:tcPr>
          <w:p>
            <w:pPr>
              <w:pStyle w:val="TableParagraph"/>
              <w:spacing w:before="63"/>
              <w:ind w:right="86"/>
              <w:jc w:val="right"/>
              <w:rPr>
                <w:rFonts w:ascii="Caladea"/>
                <w:b/>
                <w:sz w:val="11"/>
              </w:rPr>
            </w:pPr>
            <w:r>
              <w:rPr>
                <w:rFonts w:ascii="Caladea"/>
                <w:b/>
                <w:sz w:val="11"/>
              </w:rPr>
              <w:t>44.362</w:t>
            </w:r>
          </w:p>
        </w:tc>
        <w:tc>
          <w:tcPr>
            <w:tcW w:w="726" w:type="dxa"/>
          </w:tcPr>
          <w:p>
            <w:pPr>
              <w:pStyle w:val="TableParagraph"/>
              <w:spacing w:before="63"/>
              <w:ind w:right="68"/>
              <w:jc w:val="right"/>
              <w:rPr>
                <w:rFonts w:ascii="Caladea"/>
                <w:b/>
                <w:sz w:val="11"/>
              </w:rPr>
            </w:pPr>
            <w:r>
              <w:rPr>
                <w:rFonts w:ascii="Caladea"/>
                <w:b/>
                <w:sz w:val="11"/>
              </w:rPr>
              <w:t>174.354</w:t>
            </w:r>
          </w:p>
        </w:tc>
      </w:tr>
      <w:tr>
        <w:trPr>
          <w:trHeight w:val="254" w:hRule="atLeast"/>
        </w:trPr>
        <w:tc>
          <w:tcPr>
            <w:tcW w:w="2338" w:type="dxa"/>
          </w:tcPr>
          <w:p>
            <w:pPr>
              <w:pStyle w:val="TableParagraph"/>
              <w:spacing w:before="64"/>
              <w:ind w:left="144"/>
              <w:rPr>
                <w:sz w:val="11"/>
              </w:rPr>
            </w:pPr>
            <w:r>
              <w:rPr>
                <w:sz w:val="11"/>
              </w:rPr>
              <w:t>Adições</w:t>
            </w:r>
          </w:p>
        </w:tc>
        <w:tc>
          <w:tcPr>
            <w:tcW w:w="699" w:type="dxa"/>
          </w:tcPr>
          <w:p>
            <w:pPr>
              <w:pStyle w:val="TableParagraph"/>
              <w:spacing w:before="64"/>
              <w:ind w:right="60"/>
              <w:jc w:val="right"/>
              <w:rPr>
                <w:sz w:val="11"/>
              </w:rPr>
            </w:pPr>
            <w:r>
              <w:rPr>
                <w:w w:val="105"/>
                <w:sz w:val="11"/>
              </w:rPr>
              <w:t>345</w:t>
            </w:r>
          </w:p>
        </w:tc>
        <w:tc>
          <w:tcPr>
            <w:tcW w:w="1018" w:type="dxa"/>
          </w:tcPr>
          <w:p>
            <w:pPr>
              <w:pStyle w:val="TableParagraph"/>
              <w:spacing w:before="64"/>
              <w:ind w:right="60"/>
              <w:jc w:val="right"/>
              <w:rPr>
                <w:sz w:val="11"/>
              </w:rPr>
            </w:pPr>
            <w:r>
              <w:rPr>
                <w:w w:val="105"/>
                <w:sz w:val="11"/>
              </w:rPr>
              <w:t>33</w:t>
            </w:r>
          </w:p>
        </w:tc>
        <w:tc>
          <w:tcPr>
            <w:tcW w:w="879" w:type="dxa"/>
          </w:tcPr>
          <w:p>
            <w:pPr>
              <w:pStyle w:val="TableParagraph"/>
              <w:spacing w:before="64"/>
              <w:ind w:right="57"/>
              <w:jc w:val="right"/>
              <w:rPr>
                <w:sz w:val="11"/>
              </w:rPr>
            </w:pPr>
            <w:r>
              <w:rPr>
                <w:w w:val="105"/>
                <w:sz w:val="11"/>
              </w:rPr>
              <w:t>4</w:t>
            </w:r>
          </w:p>
        </w:tc>
        <w:tc>
          <w:tcPr>
            <w:tcW w:w="1014" w:type="dxa"/>
          </w:tcPr>
          <w:p>
            <w:pPr>
              <w:pStyle w:val="TableParagraph"/>
              <w:spacing w:before="64"/>
              <w:ind w:right="59"/>
              <w:jc w:val="right"/>
              <w:rPr>
                <w:sz w:val="11"/>
              </w:rPr>
            </w:pPr>
            <w:r>
              <w:rPr>
                <w:w w:val="105"/>
                <w:sz w:val="11"/>
              </w:rPr>
              <w:t>290</w:t>
            </w:r>
          </w:p>
        </w:tc>
        <w:tc>
          <w:tcPr>
            <w:tcW w:w="879" w:type="dxa"/>
          </w:tcPr>
          <w:p>
            <w:pPr>
              <w:pStyle w:val="TableParagraph"/>
              <w:spacing w:before="64"/>
              <w:ind w:right="62"/>
              <w:jc w:val="right"/>
              <w:rPr>
                <w:sz w:val="11"/>
              </w:rPr>
            </w:pPr>
            <w:r>
              <w:rPr>
                <w:w w:val="105"/>
                <w:sz w:val="11"/>
              </w:rPr>
              <w:t>778</w:t>
            </w:r>
          </w:p>
        </w:tc>
        <w:tc>
          <w:tcPr>
            <w:tcW w:w="868" w:type="dxa"/>
          </w:tcPr>
          <w:p>
            <w:pPr>
              <w:pStyle w:val="TableParagraph"/>
              <w:spacing w:before="64"/>
              <w:ind w:right="58"/>
              <w:jc w:val="right"/>
              <w:rPr>
                <w:sz w:val="11"/>
              </w:rPr>
            </w:pPr>
            <w:r>
              <w:rPr>
                <w:w w:val="105"/>
                <w:sz w:val="11"/>
              </w:rPr>
              <w:t>2</w:t>
            </w:r>
          </w:p>
        </w:tc>
        <w:tc>
          <w:tcPr>
            <w:tcW w:w="642" w:type="dxa"/>
          </w:tcPr>
          <w:p>
            <w:pPr>
              <w:pStyle w:val="TableParagraph"/>
              <w:rPr>
                <w:rFonts w:ascii="Times New Roman"/>
                <w:sz w:val="12"/>
              </w:rPr>
            </w:pPr>
          </w:p>
        </w:tc>
        <w:tc>
          <w:tcPr>
            <w:tcW w:w="860" w:type="dxa"/>
          </w:tcPr>
          <w:p>
            <w:pPr>
              <w:pStyle w:val="TableParagraph"/>
              <w:spacing w:before="64"/>
              <w:ind w:right="64"/>
              <w:jc w:val="right"/>
              <w:rPr>
                <w:sz w:val="11"/>
              </w:rPr>
            </w:pPr>
            <w:r>
              <w:rPr>
                <w:w w:val="95"/>
                <w:sz w:val="11"/>
              </w:rPr>
              <w:t>20.192</w:t>
            </w:r>
          </w:p>
        </w:tc>
        <w:tc>
          <w:tcPr>
            <w:tcW w:w="726" w:type="dxa"/>
          </w:tcPr>
          <w:p>
            <w:pPr>
              <w:pStyle w:val="TableParagraph"/>
              <w:spacing w:before="63"/>
              <w:ind w:right="66"/>
              <w:jc w:val="right"/>
              <w:rPr>
                <w:rFonts w:ascii="Caladea"/>
                <w:b/>
                <w:sz w:val="11"/>
              </w:rPr>
            </w:pPr>
            <w:r>
              <w:rPr>
                <w:rFonts w:ascii="Caladea"/>
                <w:b/>
                <w:sz w:val="11"/>
              </w:rPr>
              <w:t>21.644</w:t>
            </w:r>
          </w:p>
        </w:tc>
      </w:tr>
      <w:tr>
        <w:trPr>
          <w:trHeight w:val="253" w:hRule="atLeast"/>
        </w:trPr>
        <w:tc>
          <w:tcPr>
            <w:tcW w:w="2338" w:type="dxa"/>
          </w:tcPr>
          <w:p>
            <w:pPr>
              <w:pStyle w:val="TableParagraph"/>
              <w:spacing w:before="64"/>
              <w:ind w:left="144"/>
              <w:rPr>
                <w:sz w:val="11"/>
              </w:rPr>
            </w:pPr>
            <w:r>
              <w:rPr>
                <w:sz w:val="11"/>
              </w:rPr>
              <w:t>Baixas</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spacing w:before="64"/>
              <w:ind w:right="59"/>
              <w:jc w:val="right"/>
              <w:rPr>
                <w:sz w:val="11"/>
              </w:rPr>
            </w:pPr>
            <w:r>
              <w:rPr>
                <w:w w:val="105"/>
                <w:sz w:val="11"/>
              </w:rPr>
              <w:t>(442)</w:t>
            </w:r>
          </w:p>
        </w:tc>
        <w:tc>
          <w:tcPr>
            <w:tcW w:w="1014" w:type="dxa"/>
          </w:tcPr>
          <w:p>
            <w:pPr>
              <w:pStyle w:val="TableParagraph"/>
              <w:spacing w:before="64"/>
              <w:ind w:right="58"/>
              <w:jc w:val="right"/>
              <w:rPr>
                <w:sz w:val="11"/>
              </w:rPr>
            </w:pPr>
            <w:r>
              <w:rPr>
                <w:w w:val="105"/>
                <w:sz w:val="11"/>
              </w:rPr>
              <w:t>(345)</w:t>
            </w: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spacing w:before="63"/>
              <w:ind w:right="67"/>
              <w:jc w:val="right"/>
              <w:rPr>
                <w:rFonts w:ascii="Caladea"/>
                <w:b/>
                <w:sz w:val="11"/>
              </w:rPr>
            </w:pPr>
            <w:r>
              <w:rPr>
                <w:rFonts w:ascii="Caladea"/>
                <w:b/>
                <w:sz w:val="11"/>
              </w:rPr>
              <w:t>(787)</w:t>
            </w:r>
          </w:p>
        </w:tc>
      </w:tr>
      <w:tr>
        <w:trPr>
          <w:trHeight w:val="256" w:hRule="atLeast"/>
        </w:trPr>
        <w:tc>
          <w:tcPr>
            <w:tcW w:w="2338" w:type="dxa"/>
          </w:tcPr>
          <w:p>
            <w:pPr>
              <w:pStyle w:val="TableParagraph"/>
              <w:spacing w:before="67"/>
              <w:ind w:left="144"/>
              <w:rPr>
                <w:sz w:val="11"/>
              </w:rPr>
            </w:pPr>
            <w:r>
              <w:rPr>
                <w:sz w:val="11"/>
              </w:rPr>
              <w:t>Transferências</w:t>
            </w:r>
          </w:p>
        </w:tc>
        <w:tc>
          <w:tcPr>
            <w:tcW w:w="699" w:type="dxa"/>
          </w:tcPr>
          <w:p>
            <w:pPr>
              <w:pStyle w:val="TableParagraph"/>
              <w:rPr>
                <w:rFonts w:ascii="Times New Roman"/>
                <w:sz w:val="12"/>
              </w:rPr>
            </w:pPr>
          </w:p>
        </w:tc>
        <w:tc>
          <w:tcPr>
            <w:tcW w:w="1018" w:type="dxa"/>
          </w:tcPr>
          <w:p>
            <w:pPr>
              <w:pStyle w:val="TableParagraph"/>
              <w:spacing w:before="67"/>
              <w:ind w:right="60"/>
              <w:jc w:val="right"/>
              <w:rPr>
                <w:sz w:val="11"/>
              </w:rPr>
            </w:pPr>
            <w:r>
              <w:rPr>
                <w:w w:val="105"/>
                <w:sz w:val="11"/>
              </w:rPr>
              <w:t>981</w:t>
            </w:r>
          </w:p>
        </w:tc>
        <w:tc>
          <w:tcPr>
            <w:tcW w:w="879" w:type="dxa"/>
          </w:tcPr>
          <w:p>
            <w:pPr>
              <w:pStyle w:val="TableParagraph"/>
              <w:rPr>
                <w:rFonts w:ascii="Times New Roman"/>
                <w:sz w:val="12"/>
              </w:rPr>
            </w:pPr>
          </w:p>
        </w:tc>
        <w:tc>
          <w:tcPr>
            <w:tcW w:w="1014" w:type="dxa"/>
          </w:tcPr>
          <w:p>
            <w:pPr>
              <w:pStyle w:val="TableParagraph"/>
              <w:rPr>
                <w:rFonts w:ascii="Times New Roman"/>
                <w:sz w:val="12"/>
              </w:rPr>
            </w:pPr>
          </w:p>
        </w:tc>
        <w:tc>
          <w:tcPr>
            <w:tcW w:w="879" w:type="dxa"/>
          </w:tcPr>
          <w:p>
            <w:pPr>
              <w:pStyle w:val="TableParagraph"/>
              <w:spacing w:before="67"/>
              <w:ind w:right="61"/>
              <w:jc w:val="right"/>
              <w:rPr>
                <w:sz w:val="11"/>
              </w:rPr>
            </w:pPr>
            <w:r>
              <w:rPr>
                <w:w w:val="95"/>
                <w:sz w:val="11"/>
              </w:rPr>
              <w:t>1.818</w:t>
            </w: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spacing w:before="67"/>
              <w:ind w:right="64"/>
              <w:jc w:val="right"/>
              <w:rPr>
                <w:sz w:val="11"/>
              </w:rPr>
            </w:pPr>
            <w:r>
              <w:rPr>
                <w:sz w:val="11"/>
              </w:rPr>
              <w:t>(11.621)</w:t>
            </w:r>
          </w:p>
        </w:tc>
        <w:tc>
          <w:tcPr>
            <w:tcW w:w="726" w:type="dxa"/>
          </w:tcPr>
          <w:p>
            <w:pPr>
              <w:pStyle w:val="TableParagraph"/>
              <w:spacing w:before="65"/>
              <w:ind w:right="67"/>
              <w:jc w:val="right"/>
              <w:rPr>
                <w:rFonts w:ascii="Caladea"/>
                <w:b/>
                <w:sz w:val="11"/>
              </w:rPr>
            </w:pPr>
            <w:r>
              <w:rPr>
                <w:rFonts w:ascii="Caladea"/>
                <w:b/>
                <w:sz w:val="11"/>
              </w:rPr>
              <w:t>(8.822)</w:t>
            </w:r>
          </w:p>
        </w:tc>
      </w:tr>
      <w:tr>
        <w:trPr>
          <w:trHeight w:val="254" w:hRule="atLeast"/>
        </w:trPr>
        <w:tc>
          <w:tcPr>
            <w:tcW w:w="2338" w:type="dxa"/>
          </w:tcPr>
          <w:p>
            <w:pPr>
              <w:pStyle w:val="TableParagraph"/>
              <w:spacing w:before="63"/>
              <w:ind w:left="72"/>
              <w:rPr>
                <w:rFonts w:ascii="Caladea"/>
                <w:b/>
                <w:sz w:val="11"/>
              </w:rPr>
            </w:pPr>
            <w:r>
              <w:rPr>
                <w:rFonts w:ascii="Caladea"/>
                <w:b/>
                <w:sz w:val="11"/>
              </w:rPr>
              <w:t>Saldo em 31 de dezembro de 2019</w:t>
            </w:r>
          </w:p>
        </w:tc>
        <w:tc>
          <w:tcPr>
            <w:tcW w:w="699" w:type="dxa"/>
          </w:tcPr>
          <w:p>
            <w:pPr>
              <w:pStyle w:val="TableParagraph"/>
              <w:spacing w:before="63"/>
              <w:ind w:right="57"/>
              <w:jc w:val="right"/>
              <w:rPr>
                <w:rFonts w:ascii="Caladea"/>
                <w:b/>
                <w:sz w:val="11"/>
              </w:rPr>
            </w:pPr>
            <w:r>
              <w:rPr>
                <w:rFonts w:ascii="Caladea"/>
                <w:b/>
                <w:sz w:val="11"/>
              </w:rPr>
              <w:t>14.469</w:t>
            </w:r>
          </w:p>
        </w:tc>
        <w:tc>
          <w:tcPr>
            <w:tcW w:w="1018" w:type="dxa"/>
          </w:tcPr>
          <w:p>
            <w:pPr>
              <w:pStyle w:val="TableParagraph"/>
              <w:spacing w:before="63"/>
              <w:ind w:right="57"/>
              <w:jc w:val="right"/>
              <w:rPr>
                <w:rFonts w:ascii="Caladea"/>
                <w:b/>
                <w:sz w:val="11"/>
              </w:rPr>
            </w:pPr>
            <w:r>
              <w:rPr>
                <w:rFonts w:ascii="Caladea"/>
                <w:b/>
                <w:sz w:val="11"/>
              </w:rPr>
              <w:t>15.316</w:t>
            </w:r>
          </w:p>
        </w:tc>
        <w:tc>
          <w:tcPr>
            <w:tcW w:w="879" w:type="dxa"/>
          </w:tcPr>
          <w:p>
            <w:pPr>
              <w:pStyle w:val="TableParagraph"/>
              <w:spacing w:before="63"/>
              <w:ind w:right="58"/>
              <w:jc w:val="right"/>
              <w:rPr>
                <w:rFonts w:ascii="Caladea"/>
                <w:b/>
                <w:sz w:val="11"/>
              </w:rPr>
            </w:pPr>
            <w:r>
              <w:rPr>
                <w:rFonts w:ascii="Caladea"/>
                <w:b/>
                <w:sz w:val="11"/>
              </w:rPr>
              <w:t>21.600</w:t>
            </w:r>
          </w:p>
        </w:tc>
        <w:tc>
          <w:tcPr>
            <w:tcW w:w="1014" w:type="dxa"/>
          </w:tcPr>
          <w:p>
            <w:pPr>
              <w:pStyle w:val="TableParagraph"/>
              <w:spacing w:before="63"/>
              <w:ind w:right="56"/>
              <w:jc w:val="right"/>
              <w:rPr>
                <w:rFonts w:ascii="Caladea"/>
                <w:b/>
                <w:sz w:val="11"/>
              </w:rPr>
            </w:pPr>
            <w:r>
              <w:rPr>
                <w:rFonts w:ascii="Caladea"/>
                <w:b/>
                <w:sz w:val="11"/>
              </w:rPr>
              <w:t>45.814</w:t>
            </w:r>
          </w:p>
        </w:tc>
        <w:tc>
          <w:tcPr>
            <w:tcW w:w="879" w:type="dxa"/>
          </w:tcPr>
          <w:p>
            <w:pPr>
              <w:pStyle w:val="TableParagraph"/>
              <w:spacing w:before="63"/>
              <w:ind w:right="59"/>
              <w:jc w:val="right"/>
              <w:rPr>
                <w:rFonts w:ascii="Caladea"/>
                <w:b/>
                <w:sz w:val="11"/>
              </w:rPr>
            </w:pPr>
            <w:r>
              <w:rPr>
                <w:rFonts w:ascii="Caladea"/>
                <w:b/>
                <w:sz w:val="11"/>
              </w:rPr>
              <w:t>26.579</w:t>
            </w:r>
          </w:p>
        </w:tc>
        <w:tc>
          <w:tcPr>
            <w:tcW w:w="868" w:type="dxa"/>
          </w:tcPr>
          <w:p>
            <w:pPr>
              <w:pStyle w:val="TableParagraph"/>
              <w:spacing w:before="63"/>
              <w:ind w:right="58"/>
              <w:jc w:val="right"/>
              <w:rPr>
                <w:rFonts w:ascii="Caladea"/>
                <w:b/>
                <w:sz w:val="11"/>
              </w:rPr>
            </w:pPr>
            <w:r>
              <w:rPr>
                <w:rFonts w:ascii="Caladea"/>
                <w:b/>
                <w:sz w:val="11"/>
              </w:rPr>
              <w:t>9.444</w:t>
            </w:r>
          </w:p>
        </w:tc>
        <w:tc>
          <w:tcPr>
            <w:tcW w:w="642" w:type="dxa"/>
          </w:tcPr>
          <w:p>
            <w:pPr>
              <w:pStyle w:val="TableParagraph"/>
              <w:spacing w:before="63"/>
              <w:ind w:right="64"/>
              <w:jc w:val="right"/>
              <w:rPr>
                <w:rFonts w:ascii="Caladea"/>
                <w:b/>
                <w:sz w:val="11"/>
              </w:rPr>
            </w:pPr>
            <w:r>
              <w:rPr>
                <w:rFonts w:ascii="Caladea"/>
                <w:b/>
                <w:sz w:val="11"/>
              </w:rPr>
              <w:t>234</w:t>
            </w:r>
          </w:p>
        </w:tc>
        <w:tc>
          <w:tcPr>
            <w:tcW w:w="860" w:type="dxa"/>
          </w:tcPr>
          <w:p>
            <w:pPr>
              <w:pStyle w:val="TableParagraph"/>
              <w:spacing w:before="63"/>
              <w:ind w:right="62"/>
              <w:jc w:val="right"/>
              <w:rPr>
                <w:rFonts w:ascii="Caladea"/>
                <w:b/>
                <w:sz w:val="11"/>
              </w:rPr>
            </w:pPr>
            <w:r>
              <w:rPr>
                <w:rFonts w:ascii="Caladea"/>
                <w:b/>
                <w:sz w:val="11"/>
              </w:rPr>
              <w:t>52.933</w:t>
            </w:r>
          </w:p>
        </w:tc>
        <w:tc>
          <w:tcPr>
            <w:tcW w:w="726" w:type="dxa"/>
          </w:tcPr>
          <w:p>
            <w:pPr>
              <w:pStyle w:val="TableParagraph"/>
              <w:spacing w:before="63"/>
              <w:ind w:right="68"/>
              <w:jc w:val="right"/>
              <w:rPr>
                <w:rFonts w:ascii="Caladea"/>
                <w:b/>
                <w:sz w:val="11"/>
              </w:rPr>
            </w:pPr>
            <w:r>
              <w:rPr>
                <w:rFonts w:ascii="Caladea"/>
                <w:b/>
                <w:sz w:val="11"/>
              </w:rPr>
              <w:t>186.389</w:t>
            </w:r>
          </w:p>
        </w:tc>
      </w:tr>
      <w:tr>
        <w:trPr>
          <w:trHeight w:val="256" w:hRule="atLeast"/>
        </w:trPr>
        <w:tc>
          <w:tcPr>
            <w:tcW w:w="2338" w:type="dxa"/>
          </w:tcPr>
          <w:p>
            <w:pPr>
              <w:pStyle w:val="TableParagraph"/>
              <w:spacing w:before="63"/>
              <w:ind w:left="569"/>
              <w:rPr>
                <w:rFonts w:ascii="Caladea" w:hAnsi="Caladea"/>
                <w:b/>
                <w:sz w:val="11"/>
              </w:rPr>
            </w:pPr>
            <w:r>
              <w:rPr>
                <w:rFonts w:ascii="Caladea" w:hAnsi="Caladea"/>
                <w:b/>
                <w:sz w:val="11"/>
              </w:rPr>
              <w:t>Depreciação Acumulada</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rPr>
                <w:rFonts w:ascii="Times New Roman"/>
                <w:sz w:val="12"/>
              </w:rPr>
            </w:pPr>
          </w:p>
        </w:tc>
        <w:tc>
          <w:tcPr>
            <w:tcW w:w="1014" w:type="dxa"/>
          </w:tcPr>
          <w:p>
            <w:pPr>
              <w:pStyle w:val="TableParagraph"/>
              <w:rPr>
                <w:rFonts w:ascii="Times New Roman"/>
                <w:sz w:val="12"/>
              </w:rPr>
            </w:pP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rPr>
                <w:rFonts w:ascii="Times New Roman"/>
                <w:sz w:val="12"/>
              </w:rPr>
            </w:pPr>
          </w:p>
        </w:tc>
      </w:tr>
      <w:tr>
        <w:trPr>
          <w:trHeight w:val="254" w:hRule="atLeast"/>
        </w:trPr>
        <w:tc>
          <w:tcPr>
            <w:tcW w:w="2338" w:type="dxa"/>
          </w:tcPr>
          <w:p>
            <w:pPr>
              <w:pStyle w:val="TableParagraph"/>
              <w:spacing w:before="63"/>
              <w:ind w:left="72"/>
              <w:rPr>
                <w:rFonts w:ascii="Caladea"/>
                <w:b/>
                <w:sz w:val="11"/>
              </w:rPr>
            </w:pPr>
            <w:r>
              <w:rPr>
                <w:rFonts w:ascii="Caladea"/>
                <w:b/>
                <w:sz w:val="11"/>
              </w:rPr>
              <w:t>Saldo em 31 de dezembro de 2017</w:t>
            </w:r>
          </w:p>
        </w:tc>
        <w:tc>
          <w:tcPr>
            <w:tcW w:w="699" w:type="dxa"/>
          </w:tcPr>
          <w:p>
            <w:pPr>
              <w:pStyle w:val="TableParagraph"/>
              <w:rPr>
                <w:rFonts w:ascii="Times New Roman"/>
                <w:sz w:val="12"/>
              </w:rPr>
            </w:pPr>
          </w:p>
        </w:tc>
        <w:tc>
          <w:tcPr>
            <w:tcW w:w="1018" w:type="dxa"/>
          </w:tcPr>
          <w:p>
            <w:pPr>
              <w:pStyle w:val="TableParagraph"/>
              <w:spacing w:before="63"/>
              <w:ind w:right="58"/>
              <w:jc w:val="right"/>
              <w:rPr>
                <w:rFonts w:ascii="Caladea"/>
                <w:b/>
                <w:sz w:val="11"/>
              </w:rPr>
            </w:pPr>
            <w:r>
              <w:rPr>
                <w:rFonts w:ascii="Caladea"/>
                <w:b/>
                <w:sz w:val="11"/>
              </w:rPr>
              <w:t>(4.480)</w:t>
            </w:r>
          </w:p>
        </w:tc>
        <w:tc>
          <w:tcPr>
            <w:tcW w:w="879" w:type="dxa"/>
          </w:tcPr>
          <w:p>
            <w:pPr>
              <w:pStyle w:val="TableParagraph"/>
              <w:spacing w:before="63"/>
              <w:ind w:right="59"/>
              <w:jc w:val="right"/>
              <w:rPr>
                <w:rFonts w:ascii="Caladea"/>
                <w:b/>
                <w:sz w:val="11"/>
              </w:rPr>
            </w:pPr>
            <w:r>
              <w:rPr>
                <w:rFonts w:ascii="Caladea"/>
                <w:b/>
                <w:sz w:val="11"/>
              </w:rPr>
              <w:t>(9.552)</w:t>
            </w:r>
          </w:p>
        </w:tc>
        <w:tc>
          <w:tcPr>
            <w:tcW w:w="1014" w:type="dxa"/>
          </w:tcPr>
          <w:p>
            <w:pPr>
              <w:pStyle w:val="TableParagraph"/>
              <w:spacing w:before="63"/>
              <w:ind w:right="57"/>
              <w:jc w:val="right"/>
              <w:rPr>
                <w:rFonts w:ascii="Caladea"/>
                <w:b/>
                <w:sz w:val="11"/>
              </w:rPr>
            </w:pPr>
            <w:r>
              <w:rPr>
                <w:rFonts w:ascii="Caladea"/>
                <w:b/>
                <w:sz w:val="11"/>
              </w:rPr>
              <w:t>(34.323)</w:t>
            </w:r>
          </w:p>
        </w:tc>
        <w:tc>
          <w:tcPr>
            <w:tcW w:w="879" w:type="dxa"/>
          </w:tcPr>
          <w:p>
            <w:pPr>
              <w:pStyle w:val="TableParagraph"/>
              <w:spacing w:before="63"/>
              <w:ind w:right="60"/>
              <w:jc w:val="right"/>
              <w:rPr>
                <w:rFonts w:ascii="Caladea"/>
                <w:b/>
                <w:sz w:val="11"/>
              </w:rPr>
            </w:pPr>
            <w:r>
              <w:rPr>
                <w:rFonts w:ascii="Caladea"/>
                <w:b/>
                <w:sz w:val="11"/>
              </w:rPr>
              <w:t>(15.781)</w:t>
            </w:r>
          </w:p>
        </w:tc>
        <w:tc>
          <w:tcPr>
            <w:tcW w:w="868" w:type="dxa"/>
          </w:tcPr>
          <w:p>
            <w:pPr>
              <w:pStyle w:val="TableParagraph"/>
              <w:spacing w:before="63"/>
              <w:ind w:right="60"/>
              <w:jc w:val="right"/>
              <w:rPr>
                <w:rFonts w:ascii="Caladea"/>
                <w:b/>
                <w:sz w:val="11"/>
              </w:rPr>
            </w:pPr>
            <w:r>
              <w:rPr>
                <w:rFonts w:ascii="Caladea"/>
                <w:b/>
                <w:sz w:val="11"/>
              </w:rPr>
              <w:t>(5.243)</w:t>
            </w:r>
          </w:p>
        </w:tc>
        <w:tc>
          <w:tcPr>
            <w:tcW w:w="642" w:type="dxa"/>
          </w:tcPr>
          <w:p>
            <w:pPr>
              <w:pStyle w:val="TableParagraph"/>
              <w:spacing w:before="63"/>
              <w:ind w:right="67"/>
              <w:jc w:val="right"/>
              <w:rPr>
                <w:rFonts w:ascii="Caladea"/>
                <w:b/>
                <w:sz w:val="11"/>
              </w:rPr>
            </w:pPr>
            <w:r>
              <w:rPr>
                <w:rFonts w:ascii="Caladea"/>
                <w:b/>
                <w:sz w:val="11"/>
              </w:rPr>
              <w:t>(97)</w:t>
            </w:r>
          </w:p>
        </w:tc>
        <w:tc>
          <w:tcPr>
            <w:tcW w:w="860" w:type="dxa"/>
          </w:tcPr>
          <w:p>
            <w:pPr>
              <w:pStyle w:val="TableParagraph"/>
              <w:rPr>
                <w:rFonts w:ascii="Times New Roman"/>
                <w:sz w:val="12"/>
              </w:rPr>
            </w:pPr>
          </w:p>
        </w:tc>
        <w:tc>
          <w:tcPr>
            <w:tcW w:w="726" w:type="dxa"/>
          </w:tcPr>
          <w:p>
            <w:pPr>
              <w:pStyle w:val="TableParagraph"/>
              <w:spacing w:before="63"/>
              <w:ind w:right="67"/>
              <w:jc w:val="right"/>
              <w:rPr>
                <w:rFonts w:ascii="Caladea"/>
                <w:b/>
                <w:sz w:val="11"/>
              </w:rPr>
            </w:pPr>
            <w:r>
              <w:rPr>
                <w:rFonts w:ascii="Caladea"/>
                <w:b/>
                <w:sz w:val="11"/>
              </w:rPr>
              <w:t>(69.476)</w:t>
            </w:r>
          </w:p>
        </w:tc>
      </w:tr>
      <w:tr>
        <w:trPr>
          <w:trHeight w:val="256" w:hRule="atLeast"/>
        </w:trPr>
        <w:tc>
          <w:tcPr>
            <w:tcW w:w="2338" w:type="dxa"/>
          </w:tcPr>
          <w:p>
            <w:pPr>
              <w:pStyle w:val="TableParagraph"/>
              <w:spacing w:before="64"/>
              <w:ind w:left="144"/>
              <w:rPr>
                <w:sz w:val="11"/>
              </w:rPr>
            </w:pPr>
            <w:r>
              <w:rPr>
                <w:sz w:val="11"/>
              </w:rPr>
              <w:t>Depreciação</w:t>
            </w:r>
          </w:p>
        </w:tc>
        <w:tc>
          <w:tcPr>
            <w:tcW w:w="699" w:type="dxa"/>
          </w:tcPr>
          <w:p>
            <w:pPr>
              <w:pStyle w:val="TableParagraph"/>
              <w:rPr>
                <w:rFonts w:ascii="Times New Roman"/>
                <w:sz w:val="12"/>
              </w:rPr>
            </w:pPr>
          </w:p>
        </w:tc>
        <w:tc>
          <w:tcPr>
            <w:tcW w:w="1018" w:type="dxa"/>
          </w:tcPr>
          <w:p>
            <w:pPr>
              <w:pStyle w:val="TableParagraph"/>
              <w:spacing w:before="64"/>
              <w:ind w:right="59"/>
              <w:jc w:val="right"/>
              <w:rPr>
                <w:sz w:val="11"/>
              </w:rPr>
            </w:pPr>
            <w:r>
              <w:rPr>
                <w:w w:val="105"/>
                <w:sz w:val="11"/>
              </w:rPr>
              <w:t>(297)</w:t>
            </w:r>
          </w:p>
        </w:tc>
        <w:tc>
          <w:tcPr>
            <w:tcW w:w="879" w:type="dxa"/>
          </w:tcPr>
          <w:p>
            <w:pPr>
              <w:pStyle w:val="TableParagraph"/>
              <w:spacing w:before="64"/>
              <w:ind w:right="60"/>
              <w:jc w:val="right"/>
              <w:rPr>
                <w:sz w:val="11"/>
              </w:rPr>
            </w:pPr>
            <w:r>
              <w:rPr>
                <w:w w:val="105"/>
                <w:sz w:val="11"/>
              </w:rPr>
              <w:t>(548)</w:t>
            </w:r>
          </w:p>
        </w:tc>
        <w:tc>
          <w:tcPr>
            <w:tcW w:w="1014" w:type="dxa"/>
          </w:tcPr>
          <w:p>
            <w:pPr>
              <w:pStyle w:val="TableParagraph"/>
              <w:spacing w:before="64"/>
              <w:ind w:right="60"/>
              <w:jc w:val="right"/>
              <w:rPr>
                <w:sz w:val="11"/>
              </w:rPr>
            </w:pPr>
            <w:r>
              <w:rPr>
                <w:w w:val="95"/>
                <w:sz w:val="11"/>
              </w:rPr>
              <w:t>(1.608)</w:t>
            </w:r>
          </w:p>
        </w:tc>
        <w:tc>
          <w:tcPr>
            <w:tcW w:w="879" w:type="dxa"/>
          </w:tcPr>
          <w:p>
            <w:pPr>
              <w:pStyle w:val="TableParagraph"/>
              <w:spacing w:before="64"/>
              <w:ind w:right="63"/>
              <w:jc w:val="right"/>
              <w:rPr>
                <w:sz w:val="11"/>
              </w:rPr>
            </w:pPr>
            <w:r>
              <w:rPr>
                <w:w w:val="95"/>
                <w:sz w:val="11"/>
              </w:rPr>
              <w:t>(2.459)</w:t>
            </w:r>
          </w:p>
        </w:tc>
        <w:tc>
          <w:tcPr>
            <w:tcW w:w="868" w:type="dxa"/>
          </w:tcPr>
          <w:p>
            <w:pPr>
              <w:pStyle w:val="TableParagraph"/>
              <w:spacing w:before="64"/>
              <w:ind w:right="60"/>
              <w:jc w:val="right"/>
              <w:rPr>
                <w:sz w:val="11"/>
              </w:rPr>
            </w:pPr>
            <w:r>
              <w:rPr>
                <w:w w:val="105"/>
                <w:sz w:val="11"/>
              </w:rPr>
              <w:t>(484)</w:t>
            </w:r>
          </w:p>
        </w:tc>
        <w:tc>
          <w:tcPr>
            <w:tcW w:w="642" w:type="dxa"/>
          </w:tcPr>
          <w:p>
            <w:pPr>
              <w:pStyle w:val="TableParagraph"/>
              <w:spacing w:before="64"/>
              <w:ind w:right="63"/>
              <w:jc w:val="right"/>
              <w:rPr>
                <w:sz w:val="11"/>
              </w:rPr>
            </w:pPr>
            <w:r>
              <w:rPr>
                <w:w w:val="105"/>
                <w:sz w:val="11"/>
              </w:rPr>
              <w:t>(2)</w:t>
            </w:r>
          </w:p>
        </w:tc>
        <w:tc>
          <w:tcPr>
            <w:tcW w:w="860" w:type="dxa"/>
          </w:tcPr>
          <w:p>
            <w:pPr>
              <w:pStyle w:val="TableParagraph"/>
              <w:rPr>
                <w:rFonts w:ascii="Times New Roman"/>
                <w:sz w:val="12"/>
              </w:rPr>
            </w:pPr>
          </w:p>
        </w:tc>
        <w:tc>
          <w:tcPr>
            <w:tcW w:w="726" w:type="dxa"/>
          </w:tcPr>
          <w:p>
            <w:pPr>
              <w:pStyle w:val="TableParagraph"/>
              <w:spacing w:before="63"/>
              <w:ind w:right="67"/>
              <w:jc w:val="right"/>
              <w:rPr>
                <w:rFonts w:ascii="Caladea"/>
                <w:b/>
                <w:sz w:val="11"/>
              </w:rPr>
            </w:pPr>
            <w:r>
              <w:rPr>
                <w:rFonts w:ascii="Caladea"/>
                <w:b/>
                <w:sz w:val="11"/>
              </w:rPr>
              <w:t>(5.398)</w:t>
            </w:r>
          </w:p>
        </w:tc>
      </w:tr>
      <w:tr>
        <w:trPr>
          <w:trHeight w:val="254" w:hRule="atLeast"/>
        </w:trPr>
        <w:tc>
          <w:tcPr>
            <w:tcW w:w="2338" w:type="dxa"/>
          </w:tcPr>
          <w:p>
            <w:pPr>
              <w:pStyle w:val="TableParagraph"/>
              <w:spacing w:before="64"/>
              <w:ind w:left="144"/>
              <w:rPr>
                <w:sz w:val="11"/>
              </w:rPr>
            </w:pPr>
            <w:r>
              <w:rPr>
                <w:sz w:val="11"/>
              </w:rPr>
              <w:t>Baixas</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rPr>
                <w:rFonts w:ascii="Times New Roman"/>
                <w:sz w:val="12"/>
              </w:rPr>
            </w:pPr>
          </w:p>
        </w:tc>
        <w:tc>
          <w:tcPr>
            <w:tcW w:w="1014" w:type="dxa"/>
          </w:tcPr>
          <w:p>
            <w:pPr>
              <w:pStyle w:val="TableParagraph"/>
              <w:spacing w:before="64"/>
              <w:ind w:right="58"/>
              <w:jc w:val="right"/>
              <w:rPr>
                <w:sz w:val="11"/>
              </w:rPr>
            </w:pPr>
            <w:r>
              <w:rPr>
                <w:w w:val="95"/>
                <w:sz w:val="11"/>
              </w:rPr>
              <w:t>3.080</w:t>
            </w: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spacing w:before="63"/>
              <w:ind w:right="66"/>
              <w:jc w:val="right"/>
              <w:rPr>
                <w:rFonts w:ascii="Caladea"/>
                <w:b/>
                <w:sz w:val="11"/>
              </w:rPr>
            </w:pPr>
            <w:r>
              <w:rPr>
                <w:rFonts w:ascii="Caladea"/>
                <w:b/>
                <w:sz w:val="11"/>
              </w:rPr>
              <w:t>3.080</w:t>
            </w:r>
          </w:p>
        </w:tc>
      </w:tr>
      <w:tr>
        <w:trPr>
          <w:trHeight w:val="253" w:hRule="atLeast"/>
        </w:trPr>
        <w:tc>
          <w:tcPr>
            <w:tcW w:w="2338" w:type="dxa"/>
          </w:tcPr>
          <w:p>
            <w:pPr>
              <w:pStyle w:val="TableParagraph"/>
              <w:spacing w:before="63"/>
              <w:ind w:left="72"/>
              <w:rPr>
                <w:rFonts w:ascii="Caladea"/>
                <w:b/>
                <w:sz w:val="11"/>
              </w:rPr>
            </w:pPr>
            <w:r>
              <w:rPr>
                <w:rFonts w:ascii="Caladea"/>
                <w:b/>
                <w:sz w:val="11"/>
              </w:rPr>
              <w:t>Saldo em 31 de dezembro de 2018</w:t>
            </w:r>
          </w:p>
        </w:tc>
        <w:tc>
          <w:tcPr>
            <w:tcW w:w="699" w:type="dxa"/>
          </w:tcPr>
          <w:p>
            <w:pPr>
              <w:pStyle w:val="TableParagraph"/>
              <w:rPr>
                <w:rFonts w:ascii="Times New Roman"/>
                <w:sz w:val="12"/>
              </w:rPr>
            </w:pPr>
          </w:p>
        </w:tc>
        <w:tc>
          <w:tcPr>
            <w:tcW w:w="1018" w:type="dxa"/>
          </w:tcPr>
          <w:p>
            <w:pPr>
              <w:pStyle w:val="TableParagraph"/>
              <w:spacing w:before="63"/>
              <w:ind w:right="58"/>
              <w:jc w:val="right"/>
              <w:rPr>
                <w:rFonts w:ascii="Caladea"/>
                <w:b/>
                <w:sz w:val="11"/>
              </w:rPr>
            </w:pPr>
            <w:r>
              <w:rPr>
                <w:rFonts w:ascii="Caladea"/>
                <w:b/>
                <w:sz w:val="11"/>
              </w:rPr>
              <w:t>(4.777)</w:t>
            </w:r>
          </w:p>
        </w:tc>
        <w:tc>
          <w:tcPr>
            <w:tcW w:w="879" w:type="dxa"/>
          </w:tcPr>
          <w:p>
            <w:pPr>
              <w:pStyle w:val="TableParagraph"/>
              <w:spacing w:before="63"/>
              <w:ind w:right="59"/>
              <w:jc w:val="right"/>
              <w:rPr>
                <w:rFonts w:ascii="Caladea"/>
                <w:b/>
                <w:sz w:val="11"/>
              </w:rPr>
            </w:pPr>
            <w:r>
              <w:rPr>
                <w:rFonts w:ascii="Caladea"/>
                <w:b/>
                <w:sz w:val="11"/>
              </w:rPr>
              <w:t>(10.100)</w:t>
            </w:r>
          </w:p>
        </w:tc>
        <w:tc>
          <w:tcPr>
            <w:tcW w:w="1014" w:type="dxa"/>
          </w:tcPr>
          <w:p>
            <w:pPr>
              <w:pStyle w:val="TableParagraph"/>
              <w:spacing w:before="63"/>
              <w:ind w:right="57"/>
              <w:jc w:val="right"/>
              <w:rPr>
                <w:rFonts w:ascii="Caladea"/>
                <w:b/>
                <w:sz w:val="11"/>
              </w:rPr>
            </w:pPr>
            <w:r>
              <w:rPr>
                <w:rFonts w:ascii="Caladea"/>
                <w:b/>
                <w:sz w:val="11"/>
              </w:rPr>
              <w:t>(32.851)</w:t>
            </w:r>
          </w:p>
        </w:tc>
        <w:tc>
          <w:tcPr>
            <w:tcW w:w="879" w:type="dxa"/>
          </w:tcPr>
          <w:p>
            <w:pPr>
              <w:pStyle w:val="TableParagraph"/>
              <w:spacing w:before="63"/>
              <w:ind w:right="60"/>
              <w:jc w:val="right"/>
              <w:rPr>
                <w:rFonts w:ascii="Caladea"/>
                <w:b/>
                <w:sz w:val="11"/>
              </w:rPr>
            </w:pPr>
            <w:r>
              <w:rPr>
                <w:rFonts w:ascii="Caladea"/>
                <w:b/>
                <w:sz w:val="11"/>
              </w:rPr>
              <w:t>(18.240)</w:t>
            </w:r>
          </w:p>
        </w:tc>
        <w:tc>
          <w:tcPr>
            <w:tcW w:w="868" w:type="dxa"/>
          </w:tcPr>
          <w:p>
            <w:pPr>
              <w:pStyle w:val="TableParagraph"/>
              <w:spacing w:before="63"/>
              <w:ind w:right="60"/>
              <w:jc w:val="right"/>
              <w:rPr>
                <w:rFonts w:ascii="Caladea"/>
                <w:b/>
                <w:sz w:val="11"/>
              </w:rPr>
            </w:pPr>
            <w:r>
              <w:rPr>
                <w:rFonts w:ascii="Caladea"/>
                <w:b/>
                <w:sz w:val="11"/>
              </w:rPr>
              <w:t>(5.727)</w:t>
            </w:r>
          </w:p>
        </w:tc>
        <w:tc>
          <w:tcPr>
            <w:tcW w:w="642" w:type="dxa"/>
          </w:tcPr>
          <w:p>
            <w:pPr>
              <w:pStyle w:val="TableParagraph"/>
              <w:spacing w:before="63"/>
              <w:ind w:right="65"/>
              <w:jc w:val="right"/>
              <w:rPr>
                <w:rFonts w:ascii="Caladea"/>
                <w:b/>
                <w:sz w:val="11"/>
              </w:rPr>
            </w:pPr>
            <w:r>
              <w:rPr>
                <w:rFonts w:ascii="Caladea"/>
                <w:b/>
                <w:sz w:val="11"/>
              </w:rPr>
              <w:t>(99)</w:t>
            </w:r>
          </w:p>
        </w:tc>
        <w:tc>
          <w:tcPr>
            <w:tcW w:w="860" w:type="dxa"/>
          </w:tcPr>
          <w:p>
            <w:pPr>
              <w:pStyle w:val="TableParagraph"/>
              <w:rPr>
                <w:rFonts w:ascii="Times New Roman"/>
                <w:sz w:val="12"/>
              </w:rPr>
            </w:pPr>
          </w:p>
        </w:tc>
        <w:tc>
          <w:tcPr>
            <w:tcW w:w="726" w:type="dxa"/>
          </w:tcPr>
          <w:p>
            <w:pPr>
              <w:pStyle w:val="TableParagraph"/>
              <w:spacing w:before="63"/>
              <w:ind w:right="67"/>
              <w:jc w:val="right"/>
              <w:rPr>
                <w:rFonts w:ascii="Caladea"/>
                <w:b/>
                <w:sz w:val="11"/>
              </w:rPr>
            </w:pPr>
            <w:r>
              <w:rPr>
                <w:rFonts w:ascii="Caladea"/>
                <w:b/>
                <w:sz w:val="11"/>
              </w:rPr>
              <w:t>(71.794)</w:t>
            </w:r>
          </w:p>
        </w:tc>
      </w:tr>
      <w:tr>
        <w:trPr>
          <w:trHeight w:val="256" w:hRule="atLeast"/>
        </w:trPr>
        <w:tc>
          <w:tcPr>
            <w:tcW w:w="2338" w:type="dxa"/>
          </w:tcPr>
          <w:p>
            <w:pPr>
              <w:pStyle w:val="TableParagraph"/>
              <w:spacing w:before="67"/>
              <w:ind w:left="144"/>
              <w:rPr>
                <w:sz w:val="11"/>
              </w:rPr>
            </w:pPr>
            <w:r>
              <w:rPr>
                <w:sz w:val="11"/>
              </w:rPr>
              <w:t>Depreciação</w:t>
            </w:r>
          </w:p>
        </w:tc>
        <w:tc>
          <w:tcPr>
            <w:tcW w:w="699" w:type="dxa"/>
          </w:tcPr>
          <w:p>
            <w:pPr>
              <w:pStyle w:val="TableParagraph"/>
              <w:rPr>
                <w:rFonts w:ascii="Times New Roman"/>
                <w:sz w:val="12"/>
              </w:rPr>
            </w:pPr>
          </w:p>
        </w:tc>
        <w:tc>
          <w:tcPr>
            <w:tcW w:w="1018" w:type="dxa"/>
          </w:tcPr>
          <w:p>
            <w:pPr>
              <w:pStyle w:val="TableParagraph"/>
              <w:spacing w:before="67"/>
              <w:ind w:right="59"/>
              <w:jc w:val="right"/>
              <w:rPr>
                <w:sz w:val="11"/>
              </w:rPr>
            </w:pPr>
            <w:r>
              <w:rPr>
                <w:w w:val="105"/>
                <w:sz w:val="11"/>
              </w:rPr>
              <w:t>(309)</w:t>
            </w:r>
          </w:p>
        </w:tc>
        <w:tc>
          <w:tcPr>
            <w:tcW w:w="879" w:type="dxa"/>
          </w:tcPr>
          <w:p>
            <w:pPr>
              <w:pStyle w:val="TableParagraph"/>
              <w:spacing w:before="67"/>
              <w:ind w:right="59"/>
              <w:jc w:val="right"/>
              <w:rPr>
                <w:sz w:val="11"/>
              </w:rPr>
            </w:pPr>
            <w:r>
              <w:rPr>
                <w:w w:val="105"/>
                <w:sz w:val="11"/>
              </w:rPr>
              <w:t>(560)</w:t>
            </w:r>
          </w:p>
        </w:tc>
        <w:tc>
          <w:tcPr>
            <w:tcW w:w="1014" w:type="dxa"/>
          </w:tcPr>
          <w:p>
            <w:pPr>
              <w:pStyle w:val="TableParagraph"/>
              <w:spacing w:before="67"/>
              <w:ind w:right="58"/>
              <w:jc w:val="right"/>
              <w:rPr>
                <w:sz w:val="11"/>
              </w:rPr>
            </w:pPr>
            <w:r>
              <w:rPr>
                <w:w w:val="105"/>
                <w:sz w:val="11"/>
              </w:rPr>
              <w:t>(923)</w:t>
            </w:r>
          </w:p>
        </w:tc>
        <w:tc>
          <w:tcPr>
            <w:tcW w:w="879" w:type="dxa"/>
          </w:tcPr>
          <w:p>
            <w:pPr>
              <w:pStyle w:val="TableParagraph"/>
              <w:spacing w:before="67"/>
              <w:ind w:right="63"/>
              <w:jc w:val="right"/>
              <w:rPr>
                <w:sz w:val="11"/>
              </w:rPr>
            </w:pPr>
            <w:r>
              <w:rPr>
                <w:sz w:val="11"/>
              </w:rPr>
              <w:t>(2.330)</w:t>
            </w:r>
          </w:p>
        </w:tc>
        <w:tc>
          <w:tcPr>
            <w:tcW w:w="868" w:type="dxa"/>
          </w:tcPr>
          <w:p>
            <w:pPr>
              <w:pStyle w:val="TableParagraph"/>
              <w:spacing w:before="67"/>
              <w:ind w:right="60"/>
              <w:jc w:val="right"/>
              <w:rPr>
                <w:sz w:val="11"/>
              </w:rPr>
            </w:pPr>
            <w:r>
              <w:rPr>
                <w:w w:val="105"/>
                <w:sz w:val="11"/>
              </w:rPr>
              <w:t>(422)</w:t>
            </w:r>
          </w:p>
        </w:tc>
        <w:tc>
          <w:tcPr>
            <w:tcW w:w="642" w:type="dxa"/>
          </w:tcPr>
          <w:p>
            <w:pPr>
              <w:pStyle w:val="TableParagraph"/>
              <w:spacing w:before="67"/>
              <w:ind w:right="65"/>
              <w:jc w:val="right"/>
              <w:rPr>
                <w:sz w:val="11"/>
              </w:rPr>
            </w:pPr>
            <w:r>
              <w:rPr>
                <w:w w:val="105"/>
                <w:sz w:val="11"/>
              </w:rPr>
              <w:t>(26)</w:t>
            </w:r>
          </w:p>
        </w:tc>
        <w:tc>
          <w:tcPr>
            <w:tcW w:w="860" w:type="dxa"/>
          </w:tcPr>
          <w:p>
            <w:pPr>
              <w:pStyle w:val="TableParagraph"/>
              <w:rPr>
                <w:rFonts w:ascii="Times New Roman"/>
                <w:sz w:val="12"/>
              </w:rPr>
            </w:pPr>
          </w:p>
        </w:tc>
        <w:tc>
          <w:tcPr>
            <w:tcW w:w="726" w:type="dxa"/>
          </w:tcPr>
          <w:p>
            <w:pPr>
              <w:pStyle w:val="TableParagraph"/>
              <w:spacing w:before="65"/>
              <w:ind w:right="67"/>
              <w:jc w:val="right"/>
              <w:rPr>
                <w:rFonts w:ascii="Caladea"/>
                <w:b/>
                <w:sz w:val="11"/>
              </w:rPr>
            </w:pPr>
            <w:r>
              <w:rPr>
                <w:rFonts w:ascii="Caladea"/>
                <w:b/>
                <w:sz w:val="11"/>
              </w:rPr>
              <w:t>(4.570)</w:t>
            </w:r>
          </w:p>
        </w:tc>
      </w:tr>
      <w:tr>
        <w:trPr>
          <w:trHeight w:val="254" w:hRule="atLeast"/>
        </w:trPr>
        <w:tc>
          <w:tcPr>
            <w:tcW w:w="2338" w:type="dxa"/>
          </w:tcPr>
          <w:p>
            <w:pPr>
              <w:pStyle w:val="TableParagraph"/>
              <w:spacing w:before="65"/>
              <w:ind w:left="144"/>
              <w:rPr>
                <w:sz w:val="11"/>
              </w:rPr>
            </w:pPr>
            <w:r>
              <w:rPr>
                <w:sz w:val="11"/>
              </w:rPr>
              <w:t>Baixas</w:t>
            </w:r>
          </w:p>
        </w:tc>
        <w:tc>
          <w:tcPr>
            <w:tcW w:w="699" w:type="dxa"/>
          </w:tcPr>
          <w:p>
            <w:pPr>
              <w:pStyle w:val="TableParagraph"/>
              <w:rPr>
                <w:rFonts w:ascii="Times New Roman"/>
                <w:sz w:val="12"/>
              </w:rPr>
            </w:pPr>
          </w:p>
        </w:tc>
        <w:tc>
          <w:tcPr>
            <w:tcW w:w="1018" w:type="dxa"/>
          </w:tcPr>
          <w:p>
            <w:pPr>
              <w:pStyle w:val="TableParagraph"/>
              <w:rPr>
                <w:rFonts w:ascii="Times New Roman"/>
                <w:sz w:val="12"/>
              </w:rPr>
            </w:pPr>
          </w:p>
        </w:tc>
        <w:tc>
          <w:tcPr>
            <w:tcW w:w="879" w:type="dxa"/>
          </w:tcPr>
          <w:p>
            <w:pPr>
              <w:pStyle w:val="TableParagraph"/>
              <w:spacing w:before="65"/>
              <w:ind w:right="61"/>
              <w:jc w:val="right"/>
              <w:rPr>
                <w:sz w:val="11"/>
              </w:rPr>
            </w:pPr>
            <w:r>
              <w:rPr>
                <w:w w:val="105"/>
                <w:sz w:val="11"/>
              </w:rPr>
              <w:t>442</w:t>
            </w:r>
          </w:p>
        </w:tc>
        <w:tc>
          <w:tcPr>
            <w:tcW w:w="1014" w:type="dxa"/>
          </w:tcPr>
          <w:p>
            <w:pPr>
              <w:pStyle w:val="TableParagraph"/>
              <w:spacing w:before="65"/>
              <w:ind w:right="59"/>
              <w:jc w:val="right"/>
              <w:rPr>
                <w:sz w:val="11"/>
              </w:rPr>
            </w:pPr>
            <w:r>
              <w:rPr>
                <w:w w:val="105"/>
                <w:sz w:val="11"/>
              </w:rPr>
              <w:t>277</w:t>
            </w:r>
          </w:p>
        </w:tc>
        <w:tc>
          <w:tcPr>
            <w:tcW w:w="879" w:type="dxa"/>
          </w:tcPr>
          <w:p>
            <w:pPr>
              <w:pStyle w:val="TableParagraph"/>
              <w:rPr>
                <w:rFonts w:ascii="Times New Roman"/>
                <w:sz w:val="12"/>
              </w:rPr>
            </w:pPr>
          </w:p>
        </w:tc>
        <w:tc>
          <w:tcPr>
            <w:tcW w:w="868" w:type="dxa"/>
          </w:tcPr>
          <w:p>
            <w:pPr>
              <w:pStyle w:val="TableParagraph"/>
              <w:rPr>
                <w:rFonts w:ascii="Times New Roman"/>
                <w:sz w:val="12"/>
              </w:rPr>
            </w:pPr>
          </w:p>
        </w:tc>
        <w:tc>
          <w:tcPr>
            <w:tcW w:w="642" w:type="dxa"/>
          </w:tcPr>
          <w:p>
            <w:pPr>
              <w:pStyle w:val="TableParagraph"/>
              <w:rPr>
                <w:rFonts w:ascii="Times New Roman"/>
                <w:sz w:val="12"/>
              </w:rPr>
            </w:pPr>
          </w:p>
        </w:tc>
        <w:tc>
          <w:tcPr>
            <w:tcW w:w="860" w:type="dxa"/>
          </w:tcPr>
          <w:p>
            <w:pPr>
              <w:pStyle w:val="TableParagraph"/>
              <w:rPr>
                <w:rFonts w:ascii="Times New Roman"/>
                <w:sz w:val="12"/>
              </w:rPr>
            </w:pPr>
          </w:p>
        </w:tc>
        <w:tc>
          <w:tcPr>
            <w:tcW w:w="726" w:type="dxa"/>
          </w:tcPr>
          <w:p>
            <w:pPr>
              <w:pStyle w:val="TableParagraph"/>
              <w:spacing w:before="64"/>
              <w:ind w:right="66"/>
              <w:jc w:val="right"/>
              <w:rPr>
                <w:rFonts w:ascii="Caladea"/>
                <w:b/>
                <w:sz w:val="11"/>
              </w:rPr>
            </w:pPr>
            <w:r>
              <w:rPr>
                <w:rFonts w:ascii="Caladea"/>
                <w:b/>
                <w:sz w:val="11"/>
              </w:rPr>
              <w:t>719</w:t>
            </w:r>
          </w:p>
        </w:tc>
      </w:tr>
      <w:tr>
        <w:trPr>
          <w:trHeight w:val="256" w:hRule="atLeast"/>
        </w:trPr>
        <w:tc>
          <w:tcPr>
            <w:tcW w:w="2338" w:type="dxa"/>
          </w:tcPr>
          <w:p>
            <w:pPr>
              <w:pStyle w:val="TableParagraph"/>
              <w:spacing w:before="63"/>
              <w:ind w:left="72"/>
              <w:rPr>
                <w:rFonts w:ascii="Caladea"/>
                <w:b/>
                <w:sz w:val="11"/>
              </w:rPr>
            </w:pPr>
            <w:r>
              <w:rPr>
                <w:rFonts w:ascii="Caladea"/>
                <w:b/>
                <w:sz w:val="11"/>
              </w:rPr>
              <w:t>Saldo em 31 de dezembro de 2019</w:t>
            </w:r>
          </w:p>
        </w:tc>
        <w:tc>
          <w:tcPr>
            <w:tcW w:w="699" w:type="dxa"/>
          </w:tcPr>
          <w:p>
            <w:pPr>
              <w:pStyle w:val="TableParagraph"/>
              <w:rPr>
                <w:rFonts w:ascii="Times New Roman"/>
                <w:sz w:val="12"/>
              </w:rPr>
            </w:pPr>
          </w:p>
        </w:tc>
        <w:tc>
          <w:tcPr>
            <w:tcW w:w="1018" w:type="dxa"/>
          </w:tcPr>
          <w:p>
            <w:pPr>
              <w:pStyle w:val="TableParagraph"/>
              <w:spacing w:before="63"/>
              <w:ind w:right="58"/>
              <w:jc w:val="right"/>
              <w:rPr>
                <w:rFonts w:ascii="Caladea"/>
                <w:b/>
                <w:sz w:val="11"/>
              </w:rPr>
            </w:pPr>
            <w:r>
              <w:rPr>
                <w:rFonts w:ascii="Caladea"/>
                <w:b/>
                <w:sz w:val="11"/>
              </w:rPr>
              <w:t>(5.086)</w:t>
            </w:r>
          </w:p>
        </w:tc>
        <w:tc>
          <w:tcPr>
            <w:tcW w:w="879" w:type="dxa"/>
          </w:tcPr>
          <w:p>
            <w:pPr>
              <w:pStyle w:val="TableParagraph"/>
              <w:spacing w:before="63"/>
              <w:ind w:right="59"/>
              <w:jc w:val="right"/>
              <w:rPr>
                <w:rFonts w:ascii="Caladea"/>
                <w:b/>
                <w:sz w:val="11"/>
              </w:rPr>
            </w:pPr>
            <w:r>
              <w:rPr>
                <w:rFonts w:ascii="Caladea"/>
                <w:b/>
                <w:sz w:val="11"/>
              </w:rPr>
              <w:t>(10.218)</w:t>
            </w:r>
          </w:p>
        </w:tc>
        <w:tc>
          <w:tcPr>
            <w:tcW w:w="1014" w:type="dxa"/>
          </w:tcPr>
          <w:p>
            <w:pPr>
              <w:pStyle w:val="TableParagraph"/>
              <w:spacing w:before="63"/>
              <w:ind w:right="57"/>
              <w:jc w:val="right"/>
              <w:rPr>
                <w:rFonts w:ascii="Caladea"/>
                <w:b/>
                <w:sz w:val="11"/>
              </w:rPr>
            </w:pPr>
            <w:r>
              <w:rPr>
                <w:rFonts w:ascii="Caladea"/>
                <w:b/>
                <w:sz w:val="11"/>
              </w:rPr>
              <w:t>(33.497)</w:t>
            </w:r>
          </w:p>
        </w:tc>
        <w:tc>
          <w:tcPr>
            <w:tcW w:w="879" w:type="dxa"/>
          </w:tcPr>
          <w:p>
            <w:pPr>
              <w:pStyle w:val="TableParagraph"/>
              <w:spacing w:before="63"/>
              <w:ind w:right="60"/>
              <w:jc w:val="right"/>
              <w:rPr>
                <w:rFonts w:ascii="Caladea"/>
                <w:b/>
                <w:sz w:val="11"/>
              </w:rPr>
            </w:pPr>
            <w:r>
              <w:rPr>
                <w:rFonts w:ascii="Caladea"/>
                <w:b/>
                <w:sz w:val="11"/>
              </w:rPr>
              <w:t>(20.570)</w:t>
            </w:r>
          </w:p>
        </w:tc>
        <w:tc>
          <w:tcPr>
            <w:tcW w:w="868" w:type="dxa"/>
          </w:tcPr>
          <w:p>
            <w:pPr>
              <w:pStyle w:val="TableParagraph"/>
              <w:spacing w:before="63"/>
              <w:ind w:right="59"/>
              <w:jc w:val="right"/>
              <w:rPr>
                <w:rFonts w:ascii="Caladea"/>
                <w:b/>
                <w:sz w:val="11"/>
              </w:rPr>
            </w:pPr>
            <w:r>
              <w:rPr>
                <w:rFonts w:ascii="Caladea"/>
                <w:b/>
                <w:sz w:val="11"/>
              </w:rPr>
              <w:t>(6.149)</w:t>
            </w:r>
          </w:p>
        </w:tc>
        <w:tc>
          <w:tcPr>
            <w:tcW w:w="642" w:type="dxa"/>
          </w:tcPr>
          <w:p>
            <w:pPr>
              <w:pStyle w:val="TableParagraph"/>
              <w:spacing w:before="63"/>
              <w:ind w:right="65"/>
              <w:jc w:val="right"/>
              <w:rPr>
                <w:rFonts w:ascii="Caladea"/>
                <w:b/>
                <w:sz w:val="11"/>
              </w:rPr>
            </w:pPr>
            <w:r>
              <w:rPr>
                <w:rFonts w:ascii="Caladea"/>
                <w:b/>
                <w:sz w:val="11"/>
              </w:rPr>
              <w:t>(125)</w:t>
            </w:r>
          </w:p>
        </w:tc>
        <w:tc>
          <w:tcPr>
            <w:tcW w:w="860" w:type="dxa"/>
          </w:tcPr>
          <w:p>
            <w:pPr>
              <w:pStyle w:val="TableParagraph"/>
              <w:rPr>
                <w:rFonts w:ascii="Times New Roman"/>
                <w:sz w:val="12"/>
              </w:rPr>
            </w:pPr>
          </w:p>
        </w:tc>
        <w:tc>
          <w:tcPr>
            <w:tcW w:w="726" w:type="dxa"/>
          </w:tcPr>
          <w:p>
            <w:pPr>
              <w:pStyle w:val="TableParagraph"/>
              <w:spacing w:before="63"/>
              <w:ind w:right="67"/>
              <w:jc w:val="right"/>
              <w:rPr>
                <w:rFonts w:ascii="Caladea"/>
                <w:b/>
                <w:sz w:val="11"/>
              </w:rPr>
            </w:pPr>
            <w:r>
              <w:rPr>
                <w:rFonts w:ascii="Caladea"/>
                <w:b/>
                <w:sz w:val="11"/>
              </w:rPr>
              <w:t>(75.645)</w:t>
            </w:r>
          </w:p>
        </w:tc>
      </w:tr>
      <w:tr>
        <w:trPr>
          <w:trHeight w:val="254" w:hRule="atLeast"/>
        </w:trPr>
        <w:tc>
          <w:tcPr>
            <w:tcW w:w="2338" w:type="dxa"/>
          </w:tcPr>
          <w:p>
            <w:pPr>
              <w:pStyle w:val="TableParagraph"/>
              <w:spacing w:before="63"/>
              <w:ind w:left="72"/>
              <w:rPr>
                <w:rFonts w:ascii="Caladea" w:hAnsi="Caladea"/>
                <w:b/>
                <w:sz w:val="11"/>
              </w:rPr>
            </w:pPr>
            <w:r>
              <w:rPr>
                <w:rFonts w:ascii="Caladea" w:hAnsi="Caladea"/>
                <w:b/>
                <w:w w:val="105"/>
                <w:sz w:val="11"/>
              </w:rPr>
              <w:t>Imobilizado Líquido </w:t>
            </w:r>
            <w:r>
              <w:rPr>
                <w:b/>
                <w:w w:val="105"/>
                <w:sz w:val="11"/>
              </w:rPr>
              <w:t>– </w:t>
            </w:r>
            <w:r>
              <w:rPr>
                <w:rFonts w:ascii="Caladea" w:hAnsi="Caladea"/>
                <w:b/>
                <w:w w:val="105"/>
                <w:sz w:val="11"/>
              </w:rPr>
              <w:t>31/12/2018</w:t>
            </w:r>
          </w:p>
        </w:tc>
        <w:tc>
          <w:tcPr>
            <w:tcW w:w="699" w:type="dxa"/>
          </w:tcPr>
          <w:p>
            <w:pPr>
              <w:pStyle w:val="TableParagraph"/>
              <w:spacing w:before="63"/>
              <w:ind w:right="57"/>
              <w:jc w:val="right"/>
              <w:rPr>
                <w:rFonts w:ascii="Caladea"/>
                <w:b/>
                <w:sz w:val="11"/>
              </w:rPr>
            </w:pPr>
            <w:r>
              <w:rPr>
                <w:rFonts w:ascii="Caladea"/>
                <w:b/>
                <w:sz w:val="11"/>
              </w:rPr>
              <w:t>14.124</w:t>
            </w:r>
          </w:p>
        </w:tc>
        <w:tc>
          <w:tcPr>
            <w:tcW w:w="1018" w:type="dxa"/>
          </w:tcPr>
          <w:p>
            <w:pPr>
              <w:pStyle w:val="TableParagraph"/>
              <w:spacing w:before="63"/>
              <w:ind w:right="57"/>
              <w:jc w:val="right"/>
              <w:rPr>
                <w:rFonts w:ascii="Caladea"/>
                <w:b/>
                <w:sz w:val="11"/>
              </w:rPr>
            </w:pPr>
            <w:r>
              <w:rPr>
                <w:rFonts w:ascii="Caladea"/>
                <w:b/>
                <w:sz w:val="11"/>
              </w:rPr>
              <w:t>9.525</w:t>
            </w:r>
          </w:p>
        </w:tc>
        <w:tc>
          <w:tcPr>
            <w:tcW w:w="879" w:type="dxa"/>
          </w:tcPr>
          <w:p>
            <w:pPr>
              <w:pStyle w:val="TableParagraph"/>
              <w:spacing w:before="63"/>
              <w:ind w:right="58"/>
              <w:jc w:val="right"/>
              <w:rPr>
                <w:rFonts w:ascii="Caladea"/>
                <w:b/>
                <w:sz w:val="11"/>
              </w:rPr>
            </w:pPr>
            <w:r>
              <w:rPr>
                <w:rFonts w:ascii="Caladea"/>
                <w:b/>
                <w:sz w:val="11"/>
              </w:rPr>
              <w:t>11.938</w:t>
            </w:r>
          </w:p>
        </w:tc>
        <w:tc>
          <w:tcPr>
            <w:tcW w:w="1014" w:type="dxa"/>
          </w:tcPr>
          <w:p>
            <w:pPr>
              <w:pStyle w:val="TableParagraph"/>
              <w:spacing w:before="63"/>
              <w:ind w:right="56"/>
              <w:jc w:val="right"/>
              <w:rPr>
                <w:rFonts w:ascii="Caladea"/>
                <w:b/>
                <w:sz w:val="11"/>
              </w:rPr>
            </w:pPr>
            <w:r>
              <w:rPr>
                <w:rFonts w:ascii="Caladea"/>
                <w:b/>
                <w:sz w:val="11"/>
              </w:rPr>
              <w:t>13.018</w:t>
            </w:r>
          </w:p>
        </w:tc>
        <w:tc>
          <w:tcPr>
            <w:tcW w:w="879" w:type="dxa"/>
          </w:tcPr>
          <w:p>
            <w:pPr>
              <w:pStyle w:val="TableParagraph"/>
              <w:spacing w:before="63"/>
              <w:ind w:right="59"/>
              <w:jc w:val="right"/>
              <w:rPr>
                <w:rFonts w:ascii="Caladea"/>
                <w:b/>
                <w:sz w:val="11"/>
              </w:rPr>
            </w:pPr>
            <w:r>
              <w:rPr>
                <w:rFonts w:ascii="Caladea"/>
                <w:b/>
                <w:sz w:val="11"/>
              </w:rPr>
              <w:t>5.743</w:t>
            </w:r>
          </w:p>
        </w:tc>
        <w:tc>
          <w:tcPr>
            <w:tcW w:w="868" w:type="dxa"/>
          </w:tcPr>
          <w:p>
            <w:pPr>
              <w:pStyle w:val="TableParagraph"/>
              <w:spacing w:before="63"/>
              <w:ind w:right="58"/>
              <w:jc w:val="right"/>
              <w:rPr>
                <w:rFonts w:ascii="Caladea"/>
                <w:b/>
                <w:sz w:val="11"/>
              </w:rPr>
            </w:pPr>
            <w:r>
              <w:rPr>
                <w:rFonts w:ascii="Caladea"/>
                <w:b/>
                <w:sz w:val="11"/>
              </w:rPr>
              <w:t>3.715</w:t>
            </w:r>
          </w:p>
        </w:tc>
        <w:tc>
          <w:tcPr>
            <w:tcW w:w="642" w:type="dxa"/>
          </w:tcPr>
          <w:p>
            <w:pPr>
              <w:pStyle w:val="TableParagraph"/>
              <w:spacing w:before="63"/>
              <w:ind w:right="64"/>
              <w:jc w:val="right"/>
              <w:rPr>
                <w:rFonts w:ascii="Caladea"/>
                <w:b/>
                <w:sz w:val="11"/>
              </w:rPr>
            </w:pPr>
            <w:r>
              <w:rPr>
                <w:rFonts w:ascii="Caladea"/>
                <w:b/>
                <w:sz w:val="11"/>
              </w:rPr>
              <w:t>135</w:t>
            </w:r>
          </w:p>
        </w:tc>
        <w:tc>
          <w:tcPr>
            <w:tcW w:w="860" w:type="dxa"/>
          </w:tcPr>
          <w:p>
            <w:pPr>
              <w:pStyle w:val="TableParagraph"/>
              <w:spacing w:before="63"/>
              <w:ind w:right="62"/>
              <w:jc w:val="right"/>
              <w:rPr>
                <w:rFonts w:ascii="Caladea"/>
                <w:b/>
                <w:sz w:val="11"/>
              </w:rPr>
            </w:pPr>
            <w:r>
              <w:rPr>
                <w:rFonts w:ascii="Caladea"/>
                <w:b/>
                <w:sz w:val="11"/>
              </w:rPr>
              <w:t>44.362</w:t>
            </w:r>
          </w:p>
        </w:tc>
        <w:tc>
          <w:tcPr>
            <w:tcW w:w="726" w:type="dxa"/>
          </w:tcPr>
          <w:p>
            <w:pPr>
              <w:pStyle w:val="TableParagraph"/>
              <w:spacing w:before="63"/>
              <w:ind w:right="68"/>
              <w:jc w:val="right"/>
              <w:rPr>
                <w:rFonts w:ascii="Caladea"/>
                <w:b/>
                <w:sz w:val="11"/>
              </w:rPr>
            </w:pPr>
            <w:r>
              <w:rPr>
                <w:rFonts w:ascii="Caladea"/>
                <w:b/>
                <w:sz w:val="11"/>
              </w:rPr>
              <w:t>102.560</w:t>
            </w:r>
          </w:p>
        </w:tc>
      </w:tr>
      <w:tr>
        <w:trPr>
          <w:trHeight w:val="256" w:hRule="atLeast"/>
        </w:trPr>
        <w:tc>
          <w:tcPr>
            <w:tcW w:w="2338" w:type="dxa"/>
          </w:tcPr>
          <w:p>
            <w:pPr>
              <w:pStyle w:val="TableParagraph"/>
              <w:spacing w:before="63"/>
              <w:ind w:left="72"/>
              <w:rPr>
                <w:rFonts w:ascii="Caladea" w:hAnsi="Caladea"/>
                <w:b/>
                <w:sz w:val="11"/>
              </w:rPr>
            </w:pPr>
            <w:r>
              <w:rPr>
                <w:rFonts w:ascii="Caladea" w:hAnsi="Caladea"/>
                <w:b/>
                <w:w w:val="105"/>
                <w:sz w:val="11"/>
              </w:rPr>
              <w:t>Imobilizado Líquido </w:t>
            </w:r>
            <w:r>
              <w:rPr>
                <w:b/>
                <w:w w:val="105"/>
                <w:sz w:val="11"/>
              </w:rPr>
              <w:t>– </w:t>
            </w:r>
            <w:r>
              <w:rPr>
                <w:rFonts w:ascii="Caladea" w:hAnsi="Caladea"/>
                <w:b/>
                <w:w w:val="105"/>
                <w:sz w:val="11"/>
              </w:rPr>
              <w:t>31/12/2019</w:t>
            </w:r>
          </w:p>
        </w:tc>
        <w:tc>
          <w:tcPr>
            <w:tcW w:w="699" w:type="dxa"/>
          </w:tcPr>
          <w:p>
            <w:pPr>
              <w:pStyle w:val="TableParagraph"/>
              <w:spacing w:before="63"/>
              <w:ind w:right="57"/>
              <w:jc w:val="right"/>
              <w:rPr>
                <w:rFonts w:ascii="Caladea"/>
                <w:b/>
                <w:sz w:val="11"/>
              </w:rPr>
            </w:pPr>
            <w:r>
              <w:rPr>
                <w:rFonts w:ascii="Caladea"/>
                <w:b/>
                <w:sz w:val="11"/>
              </w:rPr>
              <w:t>14.469</w:t>
            </w:r>
          </w:p>
        </w:tc>
        <w:tc>
          <w:tcPr>
            <w:tcW w:w="1018" w:type="dxa"/>
          </w:tcPr>
          <w:p>
            <w:pPr>
              <w:pStyle w:val="TableParagraph"/>
              <w:spacing w:before="63"/>
              <w:ind w:right="57"/>
              <w:jc w:val="right"/>
              <w:rPr>
                <w:rFonts w:ascii="Caladea"/>
                <w:b/>
                <w:sz w:val="11"/>
              </w:rPr>
            </w:pPr>
            <w:r>
              <w:rPr>
                <w:rFonts w:ascii="Caladea"/>
                <w:b/>
                <w:sz w:val="11"/>
              </w:rPr>
              <w:t>10.230</w:t>
            </w:r>
          </w:p>
        </w:tc>
        <w:tc>
          <w:tcPr>
            <w:tcW w:w="879" w:type="dxa"/>
          </w:tcPr>
          <w:p>
            <w:pPr>
              <w:pStyle w:val="TableParagraph"/>
              <w:spacing w:before="63"/>
              <w:ind w:right="58"/>
              <w:jc w:val="right"/>
              <w:rPr>
                <w:rFonts w:ascii="Caladea"/>
                <w:b/>
                <w:sz w:val="11"/>
              </w:rPr>
            </w:pPr>
            <w:r>
              <w:rPr>
                <w:rFonts w:ascii="Caladea"/>
                <w:b/>
                <w:sz w:val="11"/>
              </w:rPr>
              <w:t>11.382</w:t>
            </w:r>
          </w:p>
        </w:tc>
        <w:tc>
          <w:tcPr>
            <w:tcW w:w="1014" w:type="dxa"/>
          </w:tcPr>
          <w:p>
            <w:pPr>
              <w:pStyle w:val="TableParagraph"/>
              <w:spacing w:before="63"/>
              <w:ind w:right="56"/>
              <w:jc w:val="right"/>
              <w:rPr>
                <w:rFonts w:ascii="Caladea"/>
                <w:b/>
                <w:sz w:val="11"/>
              </w:rPr>
            </w:pPr>
            <w:r>
              <w:rPr>
                <w:rFonts w:ascii="Caladea"/>
                <w:b/>
                <w:sz w:val="11"/>
              </w:rPr>
              <w:t>12.317</w:t>
            </w:r>
          </w:p>
        </w:tc>
        <w:tc>
          <w:tcPr>
            <w:tcW w:w="879" w:type="dxa"/>
          </w:tcPr>
          <w:p>
            <w:pPr>
              <w:pStyle w:val="TableParagraph"/>
              <w:spacing w:before="63"/>
              <w:ind w:right="60"/>
              <w:jc w:val="right"/>
              <w:rPr>
                <w:rFonts w:ascii="Caladea"/>
                <w:b/>
                <w:sz w:val="11"/>
              </w:rPr>
            </w:pPr>
            <w:r>
              <w:rPr>
                <w:rFonts w:ascii="Caladea"/>
                <w:b/>
                <w:sz w:val="11"/>
              </w:rPr>
              <w:t>6.009</w:t>
            </w:r>
          </w:p>
        </w:tc>
        <w:tc>
          <w:tcPr>
            <w:tcW w:w="868" w:type="dxa"/>
          </w:tcPr>
          <w:p>
            <w:pPr>
              <w:pStyle w:val="TableParagraph"/>
              <w:spacing w:before="63"/>
              <w:ind w:right="58"/>
              <w:jc w:val="right"/>
              <w:rPr>
                <w:rFonts w:ascii="Caladea"/>
                <w:b/>
                <w:sz w:val="11"/>
              </w:rPr>
            </w:pPr>
            <w:r>
              <w:rPr>
                <w:rFonts w:ascii="Caladea"/>
                <w:b/>
                <w:sz w:val="11"/>
              </w:rPr>
              <w:t>3.295</w:t>
            </w:r>
          </w:p>
        </w:tc>
        <w:tc>
          <w:tcPr>
            <w:tcW w:w="642" w:type="dxa"/>
          </w:tcPr>
          <w:p>
            <w:pPr>
              <w:pStyle w:val="TableParagraph"/>
              <w:spacing w:before="63"/>
              <w:ind w:right="64"/>
              <w:jc w:val="right"/>
              <w:rPr>
                <w:rFonts w:ascii="Caladea"/>
                <w:b/>
                <w:sz w:val="11"/>
              </w:rPr>
            </w:pPr>
            <w:r>
              <w:rPr>
                <w:rFonts w:ascii="Caladea"/>
                <w:b/>
                <w:sz w:val="11"/>
              </w:rPr>
              <w:t>109</w:t>
            </w:r>
          </w:p>
        </w:tc>
        <w:tc>
          <w:tcPr>
            <w:tcW w:w="860" w:type="dxa"/>
          </w:tcPr>
          <w:p>
            <w:pPr>
              <w:pStyle w:val="TableParagraph"/>
              <w:spacing w:before="63"/>
              <w:ind w:right="62"/>
              <w:jc w:val="right"/>
              <w:rPr>
                <w:rFonts w:ascii="Caladea"/>
                <w:b/>
                <w:sz w:val="11"/>
              </w:rPr>
            </w:pPr>
            <w:r>
              <w:rPr>
                <w:rFonts w:ascii="Caladea"/>
                <w:b/>
                <w:sz w:val="11"/>
              </w:rPr>
              <w:t>52.933</w:t>
            </w:r>
          </w:p>
        </w:tc>
        <w:tc>
          <w:tcPr>
            <w:tcW w:w="726" w:type="dxa"/>
          </w:tcPr>
          <w:p>
            <w:pPr>
              <w:pStyle w:val="TableParagraph"/>
              <w:spacing w:before="63"/>
              <w:ind w:right="68"/>
              <w:jc w:val="right"/>
              <w:rPr>
                <w:rFonts w:ascii="Caladea"/>
                <w:b/>
                <w:sz w:val="11"/>
              </w:rPr>
            </w:pPr>
            <w:r>
              <w:rPr>
                <w:rFonts w:ascii="Caladea"/>
                <w:b/>
                <w:sz w:val="11"/>
              </w:rPr>
              <w:t>110.744</w:t>
            </w:r>
          </w:p>
        </w:tc>
      </w:tr>
    </w:tbl>
    <w:p>
      <w:pPr>
        <w:pStyle w:val="BodyText"/>
        <w:spacing w:before="9"/>
        <w:rPr>
          <w:rFonts w:ascii="Caladea"/>
          <w:b/>
        </w:rPr>
      </w:pPr>
    </w:p>
    <w:p>
      <w:pPr>
        <w:pStyle w:val="BodyText"/>
        <w:spacing w:before="1"/>
        <w:ind w:left="172"/>
      </w:pPr>
      <w:r>
        <w:rPr/>
        <w:t>Não houve indícios de perdas ao valor recuperável dos ativos do Grupo na data das demonstrações financeiras.</w:t>
      </w:r>
    </w:p>
    <w:p>
      <w:pPr>
        <w:pStyle w:val="BodyText"/>
        <w:spacing w:before="8"/>
      </w:pPr>
    </w:p>
    <w:p>
      <w:pPr>
        <w:pStyle w:val="BodyText"/>
        <w:spacing w:line="242" w:lineRule="auto"/>
        <w:ind w:left="172" w:right="322"/>
      </w:pPr>
      <w:r>
        <w:rPr/>
        <w:t>A</w:t>
      </w:r>
      <w:r>
        <w:rPr>
          <w:spacing w:val="-46"/>
        </w:rPr>
        <w:t> </w:t>
      </w:r>
      <w:r>
        <w:rPr/>
        <w:t>taxa</w:t>
      </w:r>
      <w:r>
        <w:rPr>
          <w:spacing w:val="-45"/>
        </w:rPr>
        <w:t> </w:t>
      </w:r>
      <w:r>
        <w:rPr/>
        <w:t>de</w:t>
      </w:r>
      <w:r>
        <w:rPr>
          <w:spacing w:val="-46"/>
        </w:rPr>
        <w:t> </w:t>
      </w:r>
      <w:r>
        <w:rPr/>
        <w:t>depreciação</w:t>
      </w:r>
      <w:r>
        <w:rPr>
          <w:spacing w:val="-45"/>
        </w:rPr>
        <w:t> </w:t>
      </w:r>
      <w:r>
        <w:rPr/>
        <w:t>aplicada</w:t>
      </w:r>
      <w:r>
        <w:rPr>
          <w:spacing w:val="-45"/>
        </w:rPr>
        <w:t> </w:t>
      </w:r>
      <w:r>
        <w:rPr/>
        <w:t>nos</w:t>
      </w:r>
      <w:r>
        <w:rPr>
          <w:spacing w:val="-44"/>
        </w:rPr>
        <w:t> </w:t>
      </w:r>
      <w:r>
        <w:rPr/>
        <w:t>ativos</w:t>
      </w:r>
      <w:r>
        <w:rPr>
          <w:spacing w:val="-45"/>
        </w:rPr>
        <w:t> </w:t>
      </w:r>
      <w:r>
        <w:rPr/>
        <w:t>da</w:t>
      </w:r>
      <w:r>
        <w:rPr>
          <w:spacing w:val="-45"/>
        </w:rPr>
        <w:t> </w:t>
      </w:r>
      <w:r>
        <w:rPr/>
        <w:t>Companhia</w:t>
      </w:r>
      <w:r>
        <w:rPr>
          <w:spacing w:val="-43"/>
        </w:rPr>
        <w:t> </w:t>
      </w:r>
      <w:r>
        <w:rPr/>
        <w:t>comumente</w:t>
      </w:r>
      <w:r>
        <w:rPr>
          <w:spacing w:val="-46"/>
        </w:rPr>
        <w:t> </w:t>
      </w:r>
      <w:r>
        <w:rPr/>
        <w:t>levam</w:t>
      </w:r>
      <w:r>
        <w:rPr>
          <w:spacing w:val="-45"/>
        </w:rPr>
        <w:t> </w:t>
      </w:r>
      <w:r>
        <w:rPr/>
        <w:t>em</w:t>
      </w:r>
      <w:r>
        <w:rPr>
          <w:spacing w:val="-45"/>
        </w:rPr>
        <w:t> </w:t>
      </w:r>
      <w:r>
        <w:rPr/>
        <w:t>consideração</w:t>
      </w:r>
      <w:r>
        <w:rPr>
          <w:spacing w:val="-45"/>
        </w:rPr>
        <w:t> </w:t>
      </w:r>
      <w:r>
        <w:rPr/>
        <w:t>a</w:t>
      </w:r>
      <w:r>
        <w:rPr>
          <w:spacing w:val="-44"/>
        </w:rPr>
        <w:t> </w:t>
      </w:r>
      <w:r>
        <w:rPr/>
        <w:t>estimativa</w:t>
      </w:r>
      <w:r>
        <w:rPr>
          <w:spacing w:val="-45"/>
        </w:rPr>
        <w:t> </w:t>
      </w:r>
      <w:r>
        <w:rPr/>
        <w:t>razoável</w:t>
      </w:r>
      <w:r>
        <w:rPr>
          <w:spacing w:val="-45"/>
        </w:rPr>
        <w:t> </w:t>
      </w:r>
      <w:r>
        <w:rPr/>
        <w:t>da vida</w:t>
      </w:r>
      <w:r>
        <w:rPr>
          <w:spacing w:val="-19"/>
        </w:rPr>
        <w:t> </w:t>
      </w:r>
      <w:r>
        <w:rPr/>
        <w:t>útil</w:t>
      </w:r>
      <w:r>
        <w:rPr>
          <w:spacing w:val="-17"/>
        </w:rPr>
        <w:t> </w:t>
      </w:r>
      <w:r>
        <w:rPr/>
        <w:t>dos</w:t>
      </w:r>
      <w:r>
        <w:rPr>
          <w:spacing w:val="-19"/>
        </w:rPr>
        <w:t> </w:t>
      </w:r>
      <w:r>
        <w:rPr/>
        <w:t>ativos</w:t>
      </w:r>
      <w:r>
        <w:rPr>
          <w:spacing w:val="-18"/>
        </w:rPr>
        <w:t> </w:t>
      </w:r>
      <w:r>
        <w:rPr/>
        <w:t>da</w:t>
      </w:r>
      <w:r>
        <w:rPr>
          <w:spacing w:val="-18"/>
        </w:rPr>
        <w:t> </w:t>
      </w:r>
      <w:r>
        <w:rPr/>
        <w:t>concessão,</w:t>
      </w:r>
      <w:r>
        <w:rPr>
          <w:spacing w:val="-20"/>
        </w:rPr>
        <w:t> </w:t>
      </w:r>
      <w:r>
        <w:rPr/>
        <w:t>definida</w:t>
      </w:r>
      <w:r>
        <w:rPr>
          <w:spacing w:val="-16"/>
        </w:rPr>
        <w:t> </w:t>
      </w:r>
      <w:r>
        <w:rPr/>
        <w:t>pela</w:t>
      </w:r>
      <w:r>
        <w:rPr>
          <w:spacing w:val="-19"/>
        </w:rPr>
        <w:t> </w:t>
      </w:r>
      <w:r>
        <w:rPr/>
        <w:t>ANEEL.</w:t>
      </w:r>
    </w:p>
    <w:p>
      <w:pPr>
        <w:spacing w:after="0" w:line="242" w:lineRule="auto"/>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INTANGÍVEL</w:t>
      </w:r>
    </w:p>
    <w:p>
      <w:pPr>
        <w:pStyle w:val="BodyText"/>
        <w:spacing w:before="8"/>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91"/>
        <w:gridCol w:w="1608"/>
        <w:gridCol w:w="1608"/>
        <w:gridCol w:w="1607"/>
      </w:tblGrid>
      <w:tr>
        <w:trPr>
          <w:trHeight w:val="253" w:hRule="atLeast"/>
        </w:trPr>
        <w:tc>
          <w:tcPr>
            <w:tcW w:w="5091" w:type="dxa"/>
            <w:vMerge w:val="restart"/>
            <w:shd w:val="clear" w:color="auto" w:fill="D7D7D7"/>
          </w:tcPr>
          <w:p>
            <w:pPr>
              <w:pStyle w:val="TableParagraph"/>
              <w:spacing w:before="1"/>
              <w:rPr>
                <w:rFonts w:ascii="Caladea"/>
                <w:b/>
                <w:sz w:val="18"/>
              </w:rPr>
            </w:pPr>
          </w:p>
          <w:p>
            <w:pPr>
              <w:pStyle w:val="TableParagraph"/>
              <w:ind w:left="1737" w:right="1727"/>
              <w:jc w:val="center"/>
              <w:rPr>
                <w:rFonts w:ascii="Caladea"/>
                <w:b/>
                <w:sz w:val="14"/>
              </w:rPr>
            </w:pPr>
            <w:r>
              <w:rPr>
                <w:rFonts w:ascii="Caladea"/>
                <w:b/>
                <w:sz w:val="14"/>
              </w:rPr>
              <w:t>Eventos</w:t>
            </w:r>
          </w:p>
        </w:tc>
        <w:tc>
          <w:tcPr>
            <w:tcW w:w="4823" w:type="dxa"/>
            <w:gridSpan w:val="3"/>
          </w:tcPr>
          <w:p>
            <w:pPr>
              <w:pStyle w:val="TableParagraph"/>
              <w:spacing w:before="44"/>
              <w:ind w:left="1959" w:right="1953"/>
              <w:jc w:val="center"/>
              <w:rPr>
                <w:rFonts w:ascii="Caladea"/>
                <w:b/>
                <w:sz w:val="14"/>
              </w:rPr>
            </w:pPr>
            <w:r>
              <w:rPr>
                <w:rFonts w:ascii="Caladea"/>
                <w:b/>
                <w:sz w:val="14"/>
              </w:rPr>
              <w:t>Controladora</w:t>
            </w:r>
          </w:p>
        </w:tc>
      </w:tr>
      <w:tr>
        <w:trPr>
          <w:trHeight w:val="328" w:hRule="atLeast"/>
        </w:trPr>
        <w:tc>
          <w:tcPr>
            <w:tcW w:w="5091" w:type="dxa"/>
            <w:vMerge/>
            <w:tcBorders>
              <w:top w:val="nil"/>
            </w:tcBorders>
            <w:shd w:val="clear" w:color="auto" w:fill="D7D7D7"/>
          </w:tcPr>
          <w:p>
            <w:pPr>
              <w:rPr>
                <w:sz w:val="2"/>
                <w:szCs w:val="2"/>
              </w:rPr>
            </w:pPr>
          </w:p>
        </w:tc>
        <w:tc>
          <w:tcPr>
            <w:tcW w:w="1608" w:type="dxa"/>
          </w:tcPr>
          <w:p>
            <w:pPr>
              <w:pStyle w:val="TableParagraph"/>
              <w:spacing w:before="80"/>
              <w:ind w:left="151"/>
              <w:rPr>
                <w:rFonts w:ascii="Caladea"/>
                <w:b/>
                <w:sz w:val="14"/>
              </w:rPr>
            </w:pPr>
            <w:r>
              <w:rPr>
                <w:rFonts w:ascii="Times New Roman"/>
                <w:b/>
                <w:i/>
                <w:w w:val="105"/>
                <w:sz w:val="14"/>
              </w:rPr>
              <w:t>Software </w:t>
            </w:r>
            <w:r>
              <w:rPr>
                <w:rFonts w:ascii="Caladea"/>
                <w:b/>
                <w:w w:val="105"/>
                <w:sz w:val="14"/>
              </w:rPr>
              <w:t>(Em curso)</w:t>
            </w:r>
          </w:p>
        </w:tc>
        <w:tc>
          <w:tcPr>
            <w:tcW w:w="1608" w:type="dxa"/>
          </w:tcPr>
          <w:p>
            <w:pPr>
              <w:pStyle w:val="TableParagraph"/>
              <w:spacing w:line="163" w:lineRule="exact"/>
              <w:ind w:left="230" w:right="223"/>
              <w:jc w:val="center"/>
              <w:rPr>
                <w:rFonts w:ascii="Caladea"/>
                <w:b/>
                <w:sz w:val="14"/>
              </w:rPr>
            </w:pPr>
            <w:r>
              <w:rPr>
                <w:rFonts w:ascii="Caladea"/>
                <w:b/>
                <w:sz w:val="14"/>
              </w:rPr>
              <w:t>Direito de Uso de</w:t>
            </w:r>
          </w:p>
          <w:p>
            <w:pPr>
              <w:pStyle w:val="TableParagraph"/>
              <w:spacing w:line="142" w:lineRule="exact" w:before="4"/>
              <w:ind w:left="228" w:right="223"/>
              <w:jc w:val="center"/>
              <w:rPr>
                <w:rFonts w:ascii="Times New Roman"/>
                <w:b/>
                <w:i/>
                <w:sz w:val="14"/>
              </w:rPr>
            </w:pPr>
            <w:r>
              <w:rPr>
                <w:rFonts w:ascii="Times New Roman"/>
                <w:b/>
                <w:i/>
                <w:w w:val="110"/>
                <w:sz w:val="14"/>
              </w:rPr>
              <w:t>Software</w:t>
            </w:r>
          </w:p>
        </w:tc>
        <w:tc>
          <w:tcPr>
            <w:tcW w:w="1607" w:type="dxa"/>
          </w:tcPr>
          <w:p>
            <w:pPr>
              <w:pStyle w:val="TableParagraph"/>
              <w:spacing w:before="80"/>
              <w:ind w:left="613" w:right="605"/>
              <w:jc w:val="center"/>
              <w:rPr>
                <w:rFonts w:ascii="Caladea"/>
                <w:b/>
                <w:sz w:val="14"/>
              </w:rPr>
            </w:pPr>
            <w:r>
              <w:rPr>
                <w:rFonts w:ascii="Caladea"/>
                <w:b/>
                <w:sz w:val="14"/>
              </w:rPr>
              <w:t>Total</w:t>
            </w:r>
          </w:p>
        </w:tc>
      </w:tr>
      <w:tr>
        <w:trPr>
          <w:trHeight w:val="253" w:hRule="atLeast"/>
        </w:trPr>
        <w:tc>
          <w:tcPr>
            <w:tcW w:w="5091" w:type="dxa"/>
          </w:tcPr>
          <w:p>
            <w:pPr>
              <w:pStyle w:val="TableParagraph"/>
              <w:spacing w:before="44"/>
              <w:ind w:left="1735" w:right="1729"/>
              <w:jc w:val="center"/>
              <w:rPr>
                <w:rFonts w:ascii="Caladea" w:hAnsi="Caladea"/>
                <w:b/>
                <w:sz w:val="14"/>
              </w:rPr>
            </w:pPr>
            <w:r>
              <w:rPr>
                <w:rFonts w:ascii="Caladea" w:hAnsi="Caladea"/>
                <w:b/>
                <w:sz w:val="14"/>
              </w:rPr>
              <w:t>Custo do Intangível</w:t>
            </w:r>
          </w:p>
        </w:tc>
        <w:tc>
          <w:tcPr>
            <w:tcW w:w="1608" w:type="dxa"/>
          </w:tcPr>
          <w:p>
            <w:pPr>
              <w:pStyle w:val="TableParagraph"/>
              <w:rPr>
                <w:rFonts w:ascii="Times New Roman"/>
                <w:sz w:val="16"/>
              </w:rPr>
            </w:pPr>
          </w:p>
        </w:tc>
        <w:tc>
          <w:tcPr>
            <w:tcW w:w="1608" w:type="dxa"/>
          </w:tcPr>
          <w:p>
            <w:pPr>
              <w:pStyle w:val="TableParagraph"/>
              <w:rPr>
                <w:rFonts w:ascii="Times New Roman"/>
                <w:sz w:val="16"/>
              </w:rPr>
            </w:pPr>
          </w:p>
        </w:tc>
        <w:tc>
          <w:tcPr>
            <w:tcW w:w="1607" w:type="dxa"/>
          </w:tcPr>
          <w:p>
            <w:pPr>
              <w:pStyle w:val="TableParagraph"/>
              <w:rPr>
                <w:rFonts w:ascii="Times New Roman"/>
                <w:sz w:val="16"/>
              </w:rPr>
            </w:pPr>
          </w:p>
        </w:tc>
      </w:tr>
      <w:tr>
        <w:trPr>
          <w:trHeight w:val="256" w:hRule="atLeast"/>
        </w:trPr>
        <w:tc>
          <w:tcPr>
            <w:tcW w:w="5091" w:type="dxa"/>
          </w:tcPr>
          <w:p>
            <w:pPr>
              <w:pStyle w:val="TableParagraph"/>
              <w:spacing w:before="46"/>
              <w:ind w:left="103"/>
              <w:rPr>
                <w:rFonts w:ascii="Caladea"/>
                <w:b/>
                <w:sz w:val="14"/>
              </w:rPr>
            </w:pPr>
            <w:r>
              <w:rPr>
                <w:rFonts w:ascii="Caladea"/>
                <w:b/>
                <w:sz w:val="14"/>
              </w:rPr>
              <w:t>Saldo em 31 de dezembro de 2018</w:t>
            </w:r>
          </w:p>
        </w:tc>
        <w:tc>
          <w:tcPr>
            <w:tcW w:w="1608" w:type="dxa"/>
          </w:tcPr>
          <w:p>
            <w:pPr>
              <w:pStyle w:val="TableParagraph"/>
              <w:spacing w:before="46"/>
              <w:ind w:right="59"/>
              <w:jc w:val="right"/>
              <w:rPr>
                <w:rFonts w:ascii="Caladea"/>
                <w:b/>
                <w:sz w:val="14"/>
              </w:rPr>
            </w:pPr>
            <w:r>
              <w:rPr>
                <w:rFonts w:ascii="Caladea"/>
                <w:b/>
                <w:w w:val="95"/>
                <w:sz w:val="14"/>
              </w:rPr>
              <w:t>4.618</w:t>
            </w:r>
          </w:p>
        </w:tc>
        <w:tc>
          <w:tcPr>
            <w:tcW w:w="1608" w:type="dxa"/>
          </w:tcPr>
          <w:p>
            <w:pPr>
              <w:pStyle w:val="TableParagraph"/>
              <w:spacing w:before="46"/>
              <w:ind w:right="58"/>
              <w:jc w:val="right"/>
              <w:rPr>
                <w:rFonts w:ascii="Caladea"/>
                <w:b/>
                <w:sz w:val="14"/>
              </w:rPr>
            </w:pPr>
            <w:r>
              <w:rPr>
                <w:rFonts w:ascii="Caladea"/>
                <w:b/>
                <w:w w:val="95"/>
                <w:sz w:val="14"/>
              </w:rPr>
              <w:t>88</w:t>
            </w:r>
          </w:p>
        </w:tc>
        <w:tc>
          <w:tcPr>
            <w:tcW w:w="1607" w:type="dxa"/>
          </w:tcPr>
          <w:p>
            <w:pPr>
              <w:pStyle w:val="TableParagraph"/>
              <w:spacing w:before="46"/>
              <w:ind w:right="57"/>
              <w:jc w:val="right"/>
              <w:rPr>
                <w:rFonts w:ascii="Caladea"/>
                <w:b/>
                <w:sz w:val="14"/>
              </w:rPr>
            </w:pPr>
            <w:r>
              <w:rPr>
                <w:rFonts w:ascii="Caladea"/>
                <w:b/>
                <w:w w:val="95"/>
                <w:sz w:val="14"/>
              </w:rPr>
              <w:t>4.706</w:t>
            </w:r>
          </w:p>
        </w:tc>
      </w:tr>
      <w:tr>
        <w:trPr>
          <w:trHeight w:val="254" w:hRule="atLeast"/>
        </w:trPr>
        <w:tc>
          <w:tcPr>
            <w:tcW w:w="5091" w:type="dxa"/>
          </w:tcPr>
          <w:p>
            <w:pPr>
              <w:pStyle w:val="TableParagraph"/>
              <w:spacing w:before="44"/>
              <w:ind w:left="103"/>
              <w:rPr>
                <w:rFonts w:ascii="Caladea"/>
                <w:b/>
                <w:sz w:val="14"/>
              </w:rPr>
            </w:pPr>
            <w:r>
              <w:rPr>
                <w:rFonts w:ascii="Caladea"/>
                <w:b/>
                <w:sz w:val="14"/>
              </w:rPr>
              <w:t>Saldo em 31 de dezembro de 2019</w:t>
            </w:r>
          </w:p>
        </w:tc>
        <w:tc>
          <w:tcPr>
            <w:tcW w:w="1608" w:type="dxa"/>
          </w:tcPr>
          <w:p>
            <w:pPr>
              <w:pStyle w:val="TableParagraph"/>
              <w:spacing w:before="44"/>
              <w:ind w:right="59"/>
              <w:jc w:val="right"/>
              <w:rPr>
                <w:rFonts w:ascii="Caladea"/>
                <w:b/>
                <w:sz w:val="14"/>
              </w:rPr>
            </w:pPr>
            <w:r>
              <w:rPr>
                <w:rFonts w:ascii="Caladea"/>
                <w:b/>
                <w:w w:val="95"/>
                <w:sz w:val="14"/>
              </w:rPr>
              <w:t>4.618</w:t>
            </w:r>
          </w:p>
        </w:tc>
        <w:tc>
          <w:tcPr>
            <w:tcW w:w="1608" w:type="dxa"/>
          </w:tcPr>
          <w:p>
            <w:pPr>
              <w:pStyle w:val="TableParagraph"/>
              <w:spacing w:before="44"/>
              <w:ind w:right="58"/>
              <w:jc w:val="right"/>
              <w:rPr>
                <w:rFonts w:ascii="Caladea"/>
                <w:b/>
                <w:sz w:val="14"/>
              </w:rPr>
            </w:pPr>
            <w:r>
              <w:rPr>
                <w:rFonts w:ascii="Caladea"/>
                <w:b/>
                <w:w w:val="95"/>
                <w:sz w:val="14"/>
              </w:rPr>
              <w:t>88</w:t>
            </w:r>
          </w:p>
        </w:tc>
        <w:tc>
          <w:tcPr>
            <w:tcW w:w="1607" w:type="dxa"/>
          </w:tcPr>
          <w:p>
            <w:pPr>
              <w:pStyle w:val="TableParagraph"/>
              <w:spacing w:before="44"/>
              <w:ind w:right="57"/>
              <w:jc w:val="right"/>
              <w:rPr>
                <w:rFonts w:ascii="Caladea"/>
                <w:b/>
                <w:sz w:val="14"/>
              </w:rPr>
            </w:pPr>
            <w:r>
              <w:rPr>
                <w:rFonts w:ascii="Caladea"/>
                <w:b/>
                <w:w w:val="95"/>
                <w:sz w:val="14"/>
              </w:rPr>
              <w:t>4.706</w:t>
            </w:r>
          </w:p>
        </w:tc>
      </w:tr>
      <w:tr>
        <w:trPr>
          <w:trHeight w:val="256" w:hRule="atLeast"/>
        </w:trPr>
        <w:tc>
          <w:tcPr>
            <w:tcW w:w="5091" w:type="dxa"/>
          </w:tcPr>
          <w:p>
            <w:pPr>
              <w:pStyle w:val="TableParagraph"/>
              <w:spacing w:before="44"/>
              <w:ind w:left="1737" w:right="1729"/>
              <w:jc w:val="center"/>
              <w:rPr>
                <w:rFonts w:ascii="Caladea" w:hAnsi="Caladea"/>
                <w:b/>
                <w:sz w:val="14"/>
              </w:rPr>
            </w:pPr>
            <w:r>
              <w:rPr>
                <w:rFonts w:ascii="Caladea" w:hAnsi="Caladea"/>
                <w:b/>
                <w:sz w:val="14"/>
              </w:rPr>
              <w:t>Amortização Acumulada</w:t>
            </w:r>
          </w:p>
        </w:tc>
        <w:tc>
          <w:tcPr>
            <w:tcW w:w="1608" w:type="dxa"/>
          </w:tcPr>
          <w:p>
            <w:pPr>
              <w:pStyle w:val="TableParagraph"/>
              <w:rPr>
                <w:rFonts w:ascii="Times New Roman"/>
                <w:sz w:val="16"/>
              </w:rPr>
            </w:pPr>
          </w:p>
        </w:tc>
        <w:tc>
          <w:tcPr>
            <w:tcW w:w="1608" w:type="dxa"/>
          </w:tcPr>
          <w:p>
            <w:pPr>
              <w:pStyle w:val="TableParagraph"/>
              <w:rPr>
                <w:rFonts w:ascii="Times New Roman"/>
                <w:sz w:val="16"/>
              </w:rPr>
            </w:pPr>
          </w:p>
        </w:tc>
        <w:tc>
          <w:tcPr>
            <w:tcW w:w="1607" w:type="dxa"/>
          </w:tcPr>
          <w:p>
            <w:pPr>
              <w:pStyle w:val="TableParagraph"/>
              <w:rPr>
                <w:rFonts w:ascii="Times New Roman"/>
                <w:sz w:val="16"/>
              </w:rPr>
            </w:pPr>
          </w:p>
        </w:tc>
      </w:tr>
      <w:tr>
        <w:trPr>
          <w:trHeight w:val="253" w:hRule="atLeast"/>
        </w:trPr>
        <w:tc>
          <w:tcPr>
            <w:tcW w:w="5091" w:type="dxa"/>
          </w:tcPr>
          <w:p>
            <w:pPr>
              <w:pStyle w:val="TableParagraph"/>
              <w:spacing w:before="44"/>
              <w:ind w:left="103"/>
              <w:rPr>
                <w:rFonts w:ascii="Caladea"/>
                <w:b/>
                <w:sz w:val="14"/>
              </w:rPr>
            </w:pPr>
            <w:r>
              <w:rPr>
                <w:rFonts w:ascii="Caladea"/>
                <w:b/>
                <w:sz w:val="14"/>
              </w:rPr>
              <w:t>Saldo em 31 de dezembro de 2017</w:t>
            </w:r>
          </w:p>
        </w:tc>
        <w:tc>
          <w:tcPr>
            <w:tcW w:w="1608" w:type="dxa"/>
          </w:tcPr>
          <w:p>
            <w:pPr>
              <w:pStyle w:val="TableParagraph"/>
              <w:rPr>
                <w:rFonts w:ascii="Times New Roman"/>
                <w:sz w:val="16"/>
              </w:rPr>
            </w:pPr>
          </w:p>
        </w:tc>
        <w:tc>
          <w:tcPr>
            <w:tcW w:w="1608" w:type="dxa"/>
          </w:tcPr>
          <w:p>
            <w:pPr>
              <w:pStyle w:val="TableParagraph"/>
              <w:spacing w:before="44"/>
              <w:ind w:right="59"/>
              <w:jc w:val="right"/>
              <w:rPr>
                <w:rFonts w:ascii="Caladea"/>
                <w:b/>
                <w:sz w:val="14"/>
              </w:rPr>
            </w:pPr>
            <w:r>
              <w:rPr>
                <w:rFonts w:ascii="Caladea"/>
                <w:b/>
                <w:sz w:val="14"/>
              </w:rPr>
              <w:t>(53)</w:t>
            </w:r>
          </w:p>
        </w:tc>
        <w:tc>
          <w:tcPr>
            <w:tcW w:w="1607" w:type="dxa"/>
          </w:tcPr>
          <w:p>
            <w:pPr>
              <w:pStyle w:val="TableParagraph"/>
              <w:spacing w:before="44"/>
              <w:ind w:right="58"/>
              <w:jc w:val="right"/>
              <w:rPr>
                <w:rFonts w:ascii="Caladea"/>
                <w:b/>
                <w:sz w:val="14"/>
              </w:rPr>
            </w:pPr>
            <w:r>
              <w:rPr>
                <w:rFonts w:ascii="Caladea"/>
                <w:b/>
                <w:sz w:val="14"/>
              </w:rPr>
              <w:t>(53)</w:t>
            </w:r>
          </w:p>
        </w:tc>
      </w:tr>
      <w:tr>
        <w:trPr>
          <w:trHeight w:val="256" w:hRule="atLeast"/>
        </w:trPr>
        <w:tc>
          <w:tcPr>
            <w:tcW w:w="5091" w:type="dxa"/>
          </w:tcPr>
          <w:p>
            <w:pPr>
              <w:pStyle w:val="TableParagraph"/>
              <w:spacing w:before="46"/>
              <w:ind w:left="197"/>
              <w:rPr>
                <w:sz w:val="14"/>
              </w:rPr>
            </w:pPr>
            <w:r>
              <w:rPr>
                <w:sz w:val="14"/>
              </w:rPr>
              <w:t>Amortizações</w:t>
            </w:r>
          </w:p>
        </w:tc>
        <w:tc>
          <w:tcPr>
            <w:tcW w:w="1608" w:type="dxa"/>
          </w:tcPr>
          <w:p>
            <w:pPr>
              <w:pStyle w:val="TableParagraph"/>
              <w:spacing w:before="46"/>
              <w:ind w:right="59"/>
              <w:jc w:val="right"/>
              <w:rPr>
                <w:sz w:val="14"/>
              </w:rPr>
            </w:pPr>
            <w:r>
              <w:rPr>
                <w:sz w:val="14"/>
              </w:rPr>
              <w:t>(660)</w:t>
            </w:r>
          </w:p>
        </w:tc>
        <w:tc>
          <w:tcPr>
            <w:tcW w:w="1608" w:type="dxa"/>
          </w:tcPr>
          <w:p>
            <w:pPr>
              <w:pStyle w:val="TableParagraph"/>
              <w:spacing w:before="46"/>
              <w:ind w:right="58"/>
              <w:jc w:val="right"/>
              <w:rPr>
                <w:sz w:val="14"/>
              </w:rPr>
            </w:pPr>
            <w:r>
              <w:rPr>
                <w:sz w:val="14"/>
              </w:rPr>
              <w:t>(22)</w:t>
            </w:r>
          </w:p>
        </w:tc>
        <w:tc>
          <w:tcPr>
            <w:tcW w:w="1607" w:type="dxa"/>
          </w:tcPr>
          <w:p>
            <w:pPr>
              <w:pStyle w:val="TableParagraph"/>
              <w:spacing w:before="46"/>
              <w:ind w:right="58"/>
              <w:jc w:val="right"/>
              <w:rPr>
                <w:sz w:val="14"/>
              </w:rPr>
            </w:pPr>
            <w:r>
              <w:rPr>
                <w:sz w:val="14"/>
              </w:rPr>
              <w:t>(682)</w:t>
            </w:r>
          </w:p>
        </w:tc>
      </w:tr>
      <w:tr>
        <w:trPr>
          <w:trHeight w:val="254" w:hRule="atLeast"/>
        </w:trPr>
        <w:tc>
          <w:tcPr>
            <w:tcW w:w="5091" w:type="dxa"/>
          </w:tcPr>
          <w:p>
            <w:pPr>
              <w:pStyle w:val="TableParagraph"/>
              <w:spacing w:before="44"/>
              <w:ind w:left="103"/>
              <w:rPr>
                <w:rFonts w:ascii="Caladea"/>
                <w:b/>
                <w:sz w:val="14"/>
              </w:rPr>
            </w:pPr>
            <w:r>
              <w:rPr>
                <w:rFonts w:ascii="Caladea"/>
                <w:b/>
                <w:sz w:val="14"/>
              </w:rPr>
              <w:t>Saldo em 31 de dezembro de 2018</w:t>
            </w:r>
          </w:p>
        </w:tc>
        <w:tc>
          <w:tcPr>
            <w:tcW w:w="1608" w:type="dxa"/>
          </w:tcPr>
          <w:p>
            <w:pPr>
              <w:pStyle w:val="TableParagraph"/>
              <w:spacing w:before="44"/>
              <w:ind w:right="60"/>
              <w:jc w:val="right"/>
              <w:rPr>
                <w:rFonts w:ascii="Caladea"/>
                <w:b/>
                <w:sz w:val="14"/>
              </w:rPr>
            </w:pPr>
            <w:r>
              <w:rPr>
                <w:rFonts w:ascii="Caladea"/>
                <w:b/>
                <w:sz w:val="14"/>
              </w:rPr>
              <w:t>(660)</w:t>
            </w:r>
          </w:p>
        </w:tc>
        <w:tc>
          <w:tcPr>
            <w:tcW w:w="1608" w:type="dxa"/>
          </w:tcPr>
          <w:p>
            <w:pPr>
              <w:pStyle w:val="TableParagraph"/>
              <w:spacing w:before="44"/>
              <w:ind w:right="59"/>
              <w:jc w:val="right"/>
              <w:rPr>
                <w:rFonts w:ascii="Caladea"/>
                <w:b/>
                <w:sz w:val="14"/>
              </w:rPr>
            </w:pPr>
            <w:r>
              <w:rPr>
                <w:rFonts w:ascii="Caladea"/>
                <w:b/>
                <w:sz w:val="14"/>
              </w:rPr>
              <w:t>(75)</w:t>
            </w:r>
          </w:p>
        </w:tc>
        <w:tc>
          <w:tcPr>
            <w:tcW w:w="1607" w:type="dxa"/>
          </w:tcPr>
          <w:p>
            <w:pPr>
              <w:pStyle w:val="TableParagraph"/>
              <w:spacing w:before="44"/>
              <w:ind w:right="58"/>
              <w:jc w:val="right"/>
              <w:rPr>
                <w:rFonts w:ascii="Caladea"/>
                <w:b/>
                <w:sz w:val="14"/>
              </w:rPr>
            </w:pPr>
            <w:r>
              <w:rPr>
                <w:rFonts w:ascii="Caladea"/>
                <w:b/>
                <w:sz w:val="14"/>
              </w:rPr>
              <w:t>(735)</w:t>
            </w:r>
          </w:p>
        </w:tc>
      </w:tr>
      <w:tr>
        <w:trPr>
          <w:trHeight w:val="253" w:hRule="atLeast"/>
        </w:trPr>
        <w:tc>
          <w:tcPr>
            <w:tcW w:w="5091" w:type="dxa"/>
          </w:tcPr>
          <w:p>
            <w:pPr>
              <w:pStyle w:val="TableParagraph"/>
              <w:spacing w:before="46"/>
              <w:ind w:left="197"/>
              <w:rPr>
                <w:sz w:val="14"/>
              </w:rPr>
            </w:pPr>
            <w:r>
              <w:rPr>
                <w:sz w:val="14"/>
              </w:rPr>
              <w:t>Amortizações</w:t>
            </w:r>
          </w:p>
        </w:tc>
        <w:tc>
          <w:tcPr>
            <w:tcW w:w="1608" w:type="dxa"/>
          </w:tcPr>
          <w:p>
            <w:pPr>
              <w:pStyle w:val="TableParagraph"/>
              <w:spacing w:before="46"/>
              <w:ind w:right="59"/>
              <w:jc w:val="right"/>
              <w:rPr>
                <w:sz w:val="14"/>
              </w:rPr>
            </w:pPr>
            <w:r>
              <w:rPr>
                <w:sz w:val="14"/>
              </w:rPr>
              <w:t>(924)</w:t>
            </w:r>
          </w:p>
        </w:tc>
        <w:tc>
          <w:tcPr>
            <w:tcW w:w="1608" w:type="dxa"/>
          </w:tcPr>
          <w:p>
            <w:pPr>
              <w:pStyle w:val="TableParagraph"/>
              <w:spacing w:before="46"/>
              <w:ind w:right="58"/>
              <w:jc w:val="right"/>
              <w:rPr>
                <w:sz w:val="14"/>
              </w:rPr>
            </w:pPr>
            <w:r>
              <w:rPr>
                <w:sz w:val="14"/>
              </w:rPr>
              <w:t>(13)</w:t>
            </w:r>
          </w:p>
        </w:tc>
        <w:tc>
          <w:tcPr>
            <w:tcW w:w="1607" w:type="dxa"/>
          </w:tcPr>
          <w:p>
            <w:pPr>
              <w:pStyle w:val="TableParagraph"/>
              <w:spacing w:before="46"/>
              <w:ind w:right="57"/>
              <w:jc w:val="right"/>
              <w:rPr>
                <w:sz w:val="14"/>
              </w:rPr>
            </w:pPr>
            <w:r>
              <w:rPr>
                <w:sz w:val="14"/>
              </w:rPr>
              <w:t>(937)</w:t>
            </w:r>
          </w:p>
        </w:tc>
      </w:tr>
      <w:tr>
        <w:trPr>
          <w:trHeight w:val="256" w:hRule="atLeast"/>
        </w:trPr>
        <w:tc>
          <w:tcPr>
            <w:tcW w:w="5091" w:type="dxa"/>
          </w:tcPr>
          <w:p>
            <w:pPr>
              <w:pStyle w:val="TableParagraph"/>
              <w:spacing w:before="44"/>
              <w:ind w:left="103"/>
              <w:rPr>
                <w:rFonts w:ascii="Caladea"/>
                <w:b/>
                <w:sz w:val="14"/>
              </w:rPr>
            </w:pPr>
            <w:r>
              <w:rPr>
                <w:rFonts w:ascii="Caladea"/>
                <w:b/>
                <w:sz w:val="14"/>
              </w:rPr>
              <w:t>Saldo em 31 de dezembro de 2019</w:t>
            </w:r>
          </w:p>
        </w:tc>
        <w:tc>
          <w:tcPr>
            <w:tcW w:w="1608" w:type="dxa"/>
          </w:tcPr>
          <w:p>
            <w:pPr>
              <w:pStyle w:val="TableParagraph"/>
              <w:spacing w:before="44"/>
              <w:ind w:right="57"/>
              <w:jc w:val="right"/>
              <w:rPr>
                <w:rFonts w:ascii="Caladea"/>
                <w:b/>
                <w:sz w:val="14"/>
              </w:rPr>
            </w:pPr>
            <w:r>
              <w:rPr>
                <w:rFonts w:ascii="Caladea"/>
                <w:b/>
                <w:sz w:val="14"/>
              </w:rPr>
              <w:t>(1.584)</w:t>
            </w:r>
          </w:p>
        </w:tc>
        <w:tc>
          <w:tcPr>
            <w:tcW w:w="1608" w:type="dxa"/>
          </w:tcPr>
          <w:p>
            <w:pPr>
              <w:pStyle w:val="TableParagraph"/>
              <w:spacing w:before="44"/>
              <w:ind w:right="59"/>
              <w:jc w:val="right"/>
              <w:rPr>
                <w:rFonts w:ascii="Caladea"/>
                <w:b/>
                <w:sz w:val="14"/>
              </w:rPr>
            </w:pPr>
            <w:r>
              <w:rPr>
                <w:rFonts w:ascii="Caladea"/>
                <w:b/>
                <w:sz w:val="14"/>
              </w:rPr>
              <w:t>(88)</w:t>
            </w:r>
          </w:p>
        </w:tc>
        <w:tc>
          <w:tcPr>
            <w:tcW w:w="1607" w:type="dxa"/>
          </w:tcPr>
          <w:p>
            <w:pPr>
              <w:pStyle w:val="TableParagraph"/>
              <w:spacing w:before="44"/>
              <w:ind w:right="56"/>
              <w:jc w:val="right"/>
              <w:rPr>
                <w:rFonts w:ascii="Caladea"/>
                <w:b/>
                <w:sz w:val="14"/>
              </w:rPr>
            </w:pPr>
            <w:r>
              <w:rPr>
                <w:rFonts w:ascii="Caladea"/>
                <w:b/>
                <w:sz w:val="14"/>
              </w:rPr>
              <w:t>(1.672)</w:t>
            </w:r>
          </w:p>
        </w:tc>
      </w:tr>
      <w:tr>
        <w:trPr>
          <w:trHeight w:val="253" w:hRule="atLeast"/>
        </w:trPr>
        <w:tc>
          <w:tcPr>
            <w:tcW w:w="5091" w:type="dxa"/>
          </w:tcPr>
          <w:p>
            <w:pPr>
              <w:pStyle w:val="TableParagraph"/>
              <w:spacing w:before="44"/>
              <w:ind w:left="103"/>
              <w:rPr>
                <w:rFonts w:ascii="Caladea" w:hAnsi="Caladea"/>
                <w:b/>
                <w:sz w:val="14"/>
              </w:rPr>
            </w:pPr>
            <w:r>
              <w:rPr>
                <w:rFonts w:ascii="Caladea" w:hAnsi="Caladea"/>
                <w:b/>
                <w:w w:val="105"/>
                <w:sz w:val="14"/>
              </w:rPr>
              <w:t>Intangível Líquido </w:t>
            </w:r>
            <w:r>
              <w:rPr>
                <w:b/>
                <w:w w:val="105"/>
                <w:sz w:val="14"/>
              </w:rPr>
              <w:t>– </w:t>
            </w:r>
            <w:r>
              <w:rPr>
                <w:rFonts w:ascii="Caladea" w:hAnsi="Caladea"/>
                <w:b/>
                <w:w w:val="105"/>
                <w:sz w:val="14"/>
              </w:rPr>
              <w:t>31/12/2018</w:t>
            </w:r>
          </w:p>
        </w:tc>
        <w:tc>
          <w:tcPr>
            <w:tcW w:w="1608" w:type="dxa"/>
          </w:tcPr>
          <w:p>
            <w:pPr>
              <w:pStyle w:val="TableParagraph"/>
              <w:spacing w:before="44"/>
              <w:ind w:right="59"/>
              <w:jc w:val="right"/>
              <w:rPr>
                <w:rFonts w:ascii="Caladea"/>
                <w:b/>
                <w:sz w:val="14"/>
              </w:rPr>
            </w:pPr>
            <w:r>
              <w:rPr>
                <w:rFonts w:ascii="Caladea"/>
                <w:b/>
                <w:w w:val="95"/>
                <w:sz w:val="14"/>
              </w:rPr>
              <w:t>3.958</w:t>
            </w:r>
          </w:p>
        </w:tc>
        <w:tc>
          <w:tcPr>
            <w:tcW w:w="1608" w:type="dxa"/>
          </w:tcPr>
          <w:p>
            <w:pPr>
              <w:pStyle w:val="TableParagraph"/>
              <w:spacing w:before="44"/>
              <w:ind w:right="58"/>
              <w:jc w:val="right"/>
              <w:rPr>
                <w:rFonts w:ascii="Caladea"/>
                <w:b/>
                <w:sz w:val="14"/>
              </w:rPr>
            </w:pPr>
            <w:r>
              <w:rPr>
                <w:rFonts w:ascii="Caladea"/>
                <w:b/>
                <w:w w:val="95"/>
                <w:sz w:val="14"/>
              </w:rPr>
              <w:t>13</w:t>
            </w:r>
          </w:p>
        </w:tc>
        <w:tc>
          <w:tcPr>
            <w:tcW w:w="1607" w:type="dxa"/>
          </w:tcPr>
          <w:p>
            <w:pPr>
              <w:pStyle w:val="TableParagraph"/>
              <w:spacing w:before="44"/>
              <w:ind w:right="57"/>
              <w:jc w:val="right"/>
              <w:rPr>
                <w:rFonts w:ascii="Caladea"/>
                <w:b/>
                <w:sz w:val="14"/>
              </w:rPr>
            </w:pPr>
            <w:r>
              <w:rPr>
                <w:rFonts w:ascii="Caladea"/>
                <w:b/>
                <w:w w:val="95"/>
                <w:sz w:val="14"/>
              </w:rPr>
              <w:t>3.971</w:t>
            </w:r>
          </w:p>
        </w:tc>
      </w:tr>
      <w:tr>
        <w:trPr>
          <w:trHeight w:val="256" w:hRule="atLeast"/>
        </w:trPr>
        <w:tc>
          <w:tcPr>
            <w:tcW w:w="5091" w:type="dxa"/>
          </w:tcPr>
          <w:p>
            <w:pPr>
              <w:pStyle w:val="TableParagraph"/>
              <w:spacing w:before="45"/>
              <w:ind w:left="103"/>
              <w:rPr>
                <w:rFonts w:ascii="Caladea" w:hAnsi="Caladea"/>
                <w:b/>
                <w:sz w:val="14"/>
              </w:rPr>
            </w:pPr>
            <w:r>
              <w:rPr>
                <w:rFonts w:ascii="Caladea" w:hAnsi="Caladea"/>
                <w:b/>
                <w:w w:val="105"/>
                <w:sz w:val="14"/>
              </w:rPr>
              <w:t>Intangível Líquido </w:t>
            </w:r>
            <w:r>
              <w:rPr>
                <w:b/>
                <w:w w:val="105"/>
                <w:sz w:val="14"/>
              </w:rPr>
              <w:t>– </w:t>
            </w:r>
            <w:r>
              <w:rPr>
                <w:rFonts w:ascii="Caladea" w:hAnsi="Caladea"/>
                <w:b/>
                <w:w w:val="105"/>
                <w:sz w:val="14"/>
              </w:rPr>
              <w:t>31/12/2019</w:t>
            </w:r>
          </w:p>
        </w:tc>
        <w:tc>
          <w:tcPr>
            <w:tcW w:w="1608" w:type="dxa"/>
          </w:tcPr>
          <w:p>
            <w:pPr>
              <w:pStyle w:val="TableParagraph"/>
              <w:spacing w:before="45"/>
              <w:ind w:right="59"/>
              <w:jc w:val="right"/>
              <w:rPr>
                <w:rFonts w:ascii="Caladea"/>
                <w:b/>
                <w:sz w:val="14"/>
              </w:rPr>
            </w:pPr>
            <w:r>
              <w:rPr>
                <w:rFonts w:ascii="Caladea"/>
                <w:b/>
                <w:w w:val="95"/>
                <w:sz w:val="14"/>
              </w:rPr>
              <w:t>3.034</w:t>
            </w:r>
          </w:p>
        </w:tc>
        <w:tc>
          <w:tcPr>
            <w:tcW w:w="1608" w:type="dxa"/>
          </w:tcPr>
          <w:p>
            <w:pPr>
              <w:pStyle w:val="TableParagraph"/>
              <w:rPr>
                <w:rFonts w:ascii="Times New Roman"/>
                <w:sz w:val="16"/>
              </w:rPr>
            </w:pPr>
          </w:p>
        </w:tc>
        <w:tc>
          <w:tcPr>
            <w:tcW w:w="1607" w:type="dxa"/>
          </w:tcPr>
          <w:p>
            <w:pPr>
              <w:pStyle w:val="TableParagraph"/>
              <w:spacing w:before="45"/>
              <w:ind w:right="57"/>
              <w:jc w:val="right"/>
              <w:rPr>
                <w:rFonts w:ascii="Caladea"/>
                <w:b/>
                <w:sz w:val="14"/>
              </w:rPr>
            </w:pPr>
            <w:r>
              <w:rPr>
                <w:rFonts w:ascii="Caladea"/>
                <w:b/>
                <w:w w:val="95"/>
                <w:sz w:val="14"/>
              </w:rPr>
              <w:t>3.034</w:t>
            </w:r>
          </w:p>
        </w:tc>
      </w:tr>
    </w:tbl>
    <w:p>
      <w:pPr>
        <w:pStyle w:val="BodyText"/>
        <w:spacing w:before="7" w:after="1"/>
        <w:rPr>
          <w:rFonts w:ascii="Caladea"/>
          <w:b/>
          <w:sz w:val="1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428"/>
        <w:gridCol w:w="1087"/>
        <w:gridCol w:w="1063"/>
        <w:gridCol w:w="1072"/>
        <w:gridCol w:w="1010"/>
        <w:gridCol w:w="1077"/>
        <w:gridCol w:w="1175"/>
      </w:tblGrid>
      <w:tr>
        <w:trPr>
          <w:trHeight w:val="256" w:hRule="atLeast"/>
        </w:trPr>
        <w:tc>
          <w:tcPr>
            <w:tcW w:w="3428" w:type="dxa"/>
            <w:vMerge w:val="restart"/>
            <w:shd w:val="clear" w:color="auto" w:fill="D7D7D7"/>
          </w:tcPr>
          <w:p>
            <w:pPr>
              <w:pStyle w:val="TableParagraph"/>
              <w:rPr>
                <w:rFonts w:ascii="Caladea"/>
                <w:b/>
                <w:sz w:val="16"/>
              </w:rPr>
            </w:pPr>
          </w:p>
          <w:p>
            <w:pPr>
              <w:pStyle w:val="TableParagraph"/>
              <w:spacing w:before="6"/>
              <w:rPr>
                <w:rFonts w:ascii="Caladea"/>
                <w:b/>
                <w:sz w:val="20"/>
              </w:rPr>
            </w:pPr>
          </w:p>
          <w:p>
            <w:pPr>
              <w:pStyle w:val="TableParagraph"/>
              <w:ind w:left="1440" w:right="1427"/>
              <w:jc w:val="center"/>
              <w:rPr>
                <w:rFonts w:ascii="Caladea"/>
                <w:b/>
                <w:sz w:val="14"/>
              </w:rPr>
            </w:pPr>
            <w:r>
              <w:rPr>
                <w:rFonts w:ascii="Caladea"/>
                <w:b/>
                <w:sz w:val="14"/>
              </w:rPr>
              <w:t>Eventos</w:t>
            </w:r>
          </w:p>
        </w:tc>
        <w:tc>
          <w:tcPr>
            <w:tcW w:w="6484" w:type="dxa"/>
            <w:gridSpan w:val="6"/>
          </w:tcPr>
          <w:p>
            <w:pPr>
              <w:pStyle w:val="TableParagraph"/>
              <w:spacing w:before="44"/>
              <w:ind w:left="2824" w:right="2811"/>
              <w:jc w:val="center"/>
              <w:rPr>
                <w:rFonts w:ascii="Caladea"/>
                <w:b/>
                <w:sz w:val="14"/>
              </w:rPr>
            </w:pPr>
            <w:r>
              <w:rPr>
                <w:rFonts w:ascii="Caladea"/>
                <w:b/>
                <w:sz w:val="14"/>
              </w:rPr>
              <w:t>Consolidado</w:t>
            </w:r>
          </w:p>
        </w:tc>
      </w:tr>
      <w:tr>
        <w:trPr>
          <w:trHeight w:val="253" w:hRule="atLeast"/>
        </w:trPr>
        <w:tc>
          <w:tcPr>
            <w:tcW w:w="3428" w:type="dxa"/>
            <w:vMerge/>
            <w:tcBorders>
              <w:top w:val="nil"/>
            </w:tcBorders>
            <w:shd w:val="clear" w:color="auto" w:fill="D7D7D7"/>
          </w:tcPr>
          <w:p>
            <w:pPr>
              <w:rPr>
                <w:sz w:val="2"/>
                <w:szCs w:val="2"/>
              </w:rPr>
            </w:pPr>
          </w:p>
        </w:tc>
        <w:tc>
          <w:tcPr>
            <w:tcW w:w="2150" w:type="dxa"/>
            <w:gridSpan w:val="2"/>
          </w:tcPr>
          <w:p>
            <w:pPr>
              <w:pStyle w:val="TableParagraph"/>
              <w:spacing w:before="44"/>
              <w:ind w:left="175"/>
              <w:rPr>
                <w:rFonts w:ascii="Caladea" w:hAnsi="Caladea"/>
                <w:b/>
                <w:sz w:val="14"/>
              </w:rPr>
            </w:pPr>
            <w:r>
              <w:rPr>
                <w:rFonts w:ascii="Caladea" w:hAnsi="Caladea"/>
                <w:b/>
                <w:sz w:val="14"/>
              </w:rPr>
              <w:t>Direito de Uso da Concessão</w:t>
            </w:r>
          </w:p>
        </w:tc>
        <w:tc>
          <w:tcPr>
            <w:tcW w:w="3159" w:type="dxa"/>
            <w:gridSpan w:val="3"/>
          </w:tcPr>
          <w:p>
            <w:pPr>
              <w:pStyle w:val="TableParagraph"/>
              <w:spacing w:before="44"/>
              <w:ind w:left="987"/>
              <w:rPr>
                <w:rFonts w:ascii="Caladea" w:hAnsi="Caladea"/>
                <w:b/>
                <w:sz w:val="14"/>
              </w:rPr>
            </w:pPr>
            <w:r>
              <w:rPr>
                <w:rFonts w:ascii="Caladea" w:hAnsi="Caladea"/>
                <w:b/>
                <w:sz w:val="14"/>
              </w:rPr>
              <w:t>Outros Intangíveis</w:t>
            </w:r>
          </w:p>
        </w:tc>
        <w:tc>
          <w:tcPr>
            <w:tcW w:w="1175" w:type="dxa"/>
            <w:vMerge w:val="restart"/>
          </w:tcPr>
          <w:p>
            <w:pPr>
              <w:pStyle w:val="TableParagraph"/>
              <w:rPr>
                <w:rFonts w:ascii="Caladea"/>
                <w:b/>
                <w:sz w:val="16"/>
              </w:rPr>
            </w:pPr>
          </w:p>
          <w:p>
            <w:pPr>
              <w:pStyle w:val="TableParagraph"/>
              <w:spacing w:before="106"/>
              <w:ind w:left="399" w:right="387"/>
              <w:jc w:val="center"/>
              <w:rPr>
                <w:rFonts w:ascii="Caladea"/>
                <w:b/>
                <w:sz w:val="14"/>
              </w:rPr>
            </w:pPr>
            <w:r>
              <w:rPr>
                <w:rFonts w:ascii="Caladea"/>
                <w:b/>
                <w:sz w:val="14"/>
              </w:rPr>
              <w:t>Total</w:t>
            </w:r>
          </w:p>
        </w:tc>
      </w:tr>
      <w:tr>
        <w:trPr>
          <w:trHeight w:val="491" w:hRule="atLeast"/>
        </w:trPr>
        <w:tc>
          <w:tcPr>
            <w:tcW w:w="3428" w:type="dxa"/>
            <w:vMerge/>
            <w:tcBorders>
              <w:top w:val="nil"/>
            </w:tcBorders>
            <w:shd w:val="clear" w:color="auto" w:fill="D7D7D7"/>
          </w:tcPr>
          <w:p>
            <w:pPr>
              <w:rPr>
                <w:sz w:val="2"/>
                <w:szCs w:val="2"/>
              </w:rPr>
            </w:pPr>
          </w:p>
        </w:tc>
        <w:tc>
          <w:tcPr>
            <w:tcW w:w="1087" w:type="dxa"/>
          </w:tcPr>
          <w:p>
            <w:pPr>
              <w:pStyle w:val="TableParagraph"/>
              <w:rPr>
                <w:rFonts w:ascii="Caladea"/>
                <w:b/>
                <w:sz w:val="14"/>
              </w:rPr>
            </w:pPr>
          </w:p>
          <w:p>
            <w:pPr>
              <w:pStyle w:val="TableParagraph"/>
              <w:ind w:left="189"/>
              <w:rPr>
                <w:rFonts w:ascii="Caladea" w:hAnsi="Caladea"/>
                <w:b/>
                <w:sz w:val="14"/>
              </w:rPr>
            </w:pPr>
            <w:r>
              <w:rPr>
                <w:rFonts w:ascii="Caladea" w:hAnsi="Caladea"/>
                <w:b/>
                <w:sz w:val="14"/>
              </w:rPr>
              <w:t>Em Serviço</w:t>
            </w:r>
          </w:p>
        </w:tc>
        <w:tc>
          <w:tcPr>
            <w:tcW w:w="1063" w:type="dxa"/>
          </w:tcPr>
          <w:p>
            <w:pPr>
              <w:pStyle w:val="TableParagraph"/>
              <w:rPr>
                <w:rFonts w:ascii="Caladea"/>
                <w:b/>
                <w:sz w:val="14"/>
              </w:rPr>
            </w:pPr>
          </w:p>
          <w:p>
            <w:pPr>
              <w:pStyle w:val="TableParagraph"/>
              <w:ind w:left="225"/>
              <w:rPr>
                <w:rFonts w:ascii="Caladea"/>
                <w:b/>
                <w:sz w:val="14"/>
              </w:rPr>
            </w:pPr>
            <w:r>
              <w:rPr>
                <w:rFonts w:ascii="Caladea"/>
                <w:b/>
                <w:sz w:val="14"/>
              </w:rPr>
              <w:t>Em Curso</w:t>
            </w:r>
          </w:p>
        </w:tc>
        <w:tc>
          <w:tcPr>
            <w:tcW w:w="1072" w:type="dxa"/>
          </w:tcPr>
          <w:p>
            <w:pPr>
              <w:pStyle w:val="TableParagraph"/>
              <w:rPr>
                <w:rFonts w:ascii="Caladea"/>
                <w:b/>
                <w:sz w:val="14"/>
              </w:rPr>
            </w:pPr>
          </w:p>
          <w:p>
            <w:pPr>
              <w:pStyle w:val="TableParagraph"/>
              <w:ind w:left="183"/>
              <w:rPr>
                <w:rFonts w:ascii="Caladea" w:hAnsi="Caladea"/>
                <w:b/>
                <w:sz w:val="14"/>
              </w:rPr>
            </w:pPr>
            <w:r>
              <w:rPr>
                <w:rFonts w:ascii="Caladea" w:hAnsi="Caladea"/>
                <w:b/>
                <w:sz w:val="14"/>
              </w:rPr>
              <w:t>Em Serviço</w:t>
            </w:r>
          </w:p>
        </w:tc>
        <w:tc>
          <w:tcPr>
            <w:tcW w:w="1010" w:type="dxa"/>
          </w:tcPr>
          <w:p>
            <w:pPr>
              <w:pStyle w:val="TableParagraph"/>
              <w:rPr>
                <w:rFonts w:ascii="Caladea"/>
                <w:b/>
                <w:sz w:val="14"/>
              </w:rPr>
            </w:pPr>
          </w:p>
          <w:p>
            <w:pPr>
              <w:pStyle w:val="TableParagraph"/>
              <w:ind w:left="200"/>
              <w:rPr>
                <w:rFonts w:ascii="Caladea"/>
                <w:b/>
                <w:sz w:val="14"/>
              </w:rPr>
            </w:pPr>
            <w:r>
              <w:rPr>
                <w:rFonts w:ascii="Caladea"/>
                <w:b/>
                <w:sz w:val="14"/>
              </w:rPr>
              <w:t>Em Curso</w:t>
            </w:r>
          </w:p>
        </w:tc>
        <w:tc>
          <w:tcPr>
            <w:tcW w:w="1077" w:type="dxa"/>
          </w:tcPr>
          <w:p>
            <w:pPr>
              <w:pStyle w:val="TableParagraph"/>
              <w:spacing w:line="163" w:lineRule="exact"/>
              <w:ind w:left="83" w:right="71"/>
              <w:jc w:val="center"/>
              <w:rPr>
                <w:rFonts w:ascii="Caladea"/>
                <w:b/>
                <w:sz w:val="14"/>
              </w:rPr>
            </w:pPr>
            <w:r>
              <w:rPr>
                <w:rFonts w:ascii="Caladea"/>
                <w:b/>
                <w:sz w:val="14"/>
              </w:rPr>
              <w:t>Direito</w:t>
            </w:r>
            <w:r>
              <w:rPr>
                <w:rFonts w:ascii="Caladea"/>
                <w:b/>
                <w:spacing w:val="-7"/>
                <w:sz w:val="14"/>
              </w:rPr>
              <w:t> </w:t>
            </w:r>
            <w:r>
              <w:rPr>
                <w:rFonts w:ascii="Caladea"/>
                <w:b/>
                <w:sz w:val="14"/>
              </w:rPr>
              <w:t>de</w:t>
            </w:r>
          </w:p>
          <w:p>
            <w:pPr>
              <w:pStyle w:val="TableParagraph"/>
              <w:spacing w:line="164" w:lineRule="exact" w:before="3"/>
              <w:ind w:left="86" w:right="71"/>
              <w:jc w:val="center"/>
              <w:rPr>
                <w:rFonts w:ascii="Caladea" w:hAnsi="Caladea"/>
                <w:b/>
                <w:sz w:val="14"/>
              </w:rPr>
            </w:pPr>
            <w:r>
              <w:rPr>
                <w:rFonts w:ascii="Caladea" w:hAnsi="Caladea"/>
                <w:b/>
                <w:sz w:val="14"/>
              </w:rPr>
              <w:t>Exploração</w:t>
            </w:r>
            <w:r>
              <w:rPr>
                <w:rFonts w:ascii="Caladea" w:hAnsi="Caladea"/>
                <w:b/>
                <w:spacing w:val="-10"/>
                <w:sz w:val="14"/>
              </w:rPr>
              <w:t> </w:t>
            </w:r>
            <w:r>
              <w:rPr>
                <w:rFonts w:ascii="Caladea" w:hAnsi="Caladea"/>
                <w:b/>
                <w:sz w:val="14"/>
              </w:rPr>
              <w:t>da Concessão</w:t>
            </w:r>
          </w:p>
        </w:tc>
        <w:tc>
          <w:tcPr>
            <w:tcW w:w="1175" w:type="dxa"/>
            <w:vMerge/>
            <w:tcBorders>
              <w:top w:val="nil"/>
            </w:tcBorders>
          </w:tcPr>
          <w:p>
            <w:pPr>
              <w:rPr>
                <w:sz w:val="2"/>
                <w:szCs w:val="2"/>
              </w:rPr>
            </w:pPr>
          </w:p>
        </w:tc>
      </w:tr>
      <w:tr>
        <w:trPr>
          <w:trHeight w:val="254" w:hRule="atLeast"/>
        </w:trPr>
        <w:tc>
          <w:tcPr>
            <w:tcW w:w="3428" w:type="dxa"/>
          </w:tcPr>
          <w:p>
            <w:pPr>
              <w:pStyle w:val="TableParagraph"/>
              <w:spacing w:before="44"/>
              <w:ind w:left="72"/>
              <w:rPr>
                <w:rFonts w:ascii="Caladea" w:hAnsi="Caladea"/>
                <w:b/>
                <w:sz w:val="14"/>
              </w:rPr>
            </w:pPr>
            <w:r>
              <w:rPr>
                <w:rFonts w:ascii="Caladea" w:hAnsi="Caladea"/>
                <w:b/>
                <w:sz w:val="14"/>
              </w:rPr>
              <w:t>Custo do Intangível</w:t>
            </w:r>
          </w:p>
        </w:tc>
        <w:tc>
          <w:tcPr>
            <w:tcW w:w="1087" w:type="dxa"/>
          </w:tcPr>
          <w:p>
            <w:pPr>
              <w:pStyle w:val="TableParagraph"/>
              <w:rPr>
                <w:rFonts w:ascii="Times New Roman"/>
                <w:sz w:val="16"/>
              </w:rPr>
            </w:pPr>
          </w:p>
        </w:tc>
        <w:tc>
          <w:tcPr>
            <w:tcW w:w="1063" w:type="dxa"/>
          </w:tcPr>
          <w:p>
            <w:pPr>
              <w:pStyle w:val="TableParagraph"/>
              <w:rPr>
                <w:rFonts w:ascii="Times New Roman"/>
                <w:sz w:val="16"/>
              </w:rPr>
            </w:pP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rPr>
                <w:rFonts w:ascii="Times New Roman"/>
                <w:sz w:val="16"/>
              </w:rPr>
            </w:pPr>
          </w:p>
        </w:tc>
      </w:tr>
      <w:tr>
        <w:trPr>
          <w:trHeight w:val="253" w:hRule="atLeast"/>
        </w:trPr>
        <w:tc>
          <w:tcPr>
            <w:tcW w:w="3428" w:type="dxa"/>
          </w:tcPr>
          <w:p>
            <w:pPr>
              <w:pStyle w:val="TableParagraph"/>
              <w:spacing w:before="44"/>
              <w:ind w:left="72"/>
              <w:rPr>
                <w:rFonts w:ascii="Caladea"/>
                <w:b/>
                <w:sz w:val="14"/>
              </w:rPr>
            </w:pPr>
            <w:r>
              <w:rPr>
                <w:rFonts w:ascii="Caladea"/>
                <w:b/>
                <w:sz w:val="14"/>
              </w:rPr>
              <w:t>Saldo em 31 de dezembro de 2017</w:t>
            </w:r>
          </w:p>
        </w:tc>
        <w:tc>
          <w:tcPr>
            <w:tcW w:w="1087" w:type="dxa"/>
          </w:tcPr>
          <w:p>
            <w:pPr>
              <w:pStyle w:val="TableParagraph"/>
              <w:spacing w:before="44"/>
              <w:ind w:right="57"/>
              <w:jc w:val="right"/>
              <w:rPr>
                <w:rFonts w:ascii="Caladea"/>
                <w:b/>
                <w:sz w:val="14"/>
              </w:rPr>
            </w:pPr>
            <w:r>
              <w:rPr>
                <w:rFonts w:ascii="Caladea"/>
                <w:b/>
                <w:sz w:val="14"/>
              </w:rPr>
              <w:t>1.094.238</w:t>
            </w:r>
          </w:p>
        </w:tc>
        <w:tc>
          <w:tcPr>
            <w:tcW w:w="1063" w:type="dxa"/>
          </w:tcPr>
          <w:p>
            <w:pPr>
              <w:pStyle w:val="TableParagraph"/>
              <w:spacing w:before="44"/>
              <w:ind w:right="56"/>
              <w:jc w:val="right"/>
              <w:rPr>
                <w:rFonts w:ascii="Caladea"/>
                <w:b/>
                <w:sz w:val="14"/>
              </w:rPr>
            </w:pPr>
            <w:r>
              <w:rPr>
                <w:rFonts w:ascii="Caladea"/>
                <w:b/>
                <w:sz w:val="14"/>
              </w:rPr>
              <w:t>119.159</w:t>
            </w:r>
          </w:p>
        </w:tc>
        <w:tc>
          <w:tcPr>
            <w:tcW w:w="1072" w:type="dxa"/>
          </w:tcPr>
          <w:p>
            <w:pPr>
              <w:pStyle w:val="TableParagraph"/>
              <w:spacing w:before="44"/>
              <w:ind w:right="55"/>
              <w:jc w:val="right"/>
              <w:rPr>
                <w:rFonts w:ascii="Caladea"/>
                <w:b/>
                <w:sz w:val="14"/>
              </w:rPr>
            </w:pPr>
            <w:r>
              <w:rPr>
                <w:rFonts w:ascii="Caladea"/>
                <w:b/>
                <w:sz w:val="14"/>
              </w:rPr>
              <w:t>104.804</w:t>
            </w:r>
          </w:p>
        </w:tc>
        <w:tc>
          <w:tcPr>
            <w:tcW w:w="1010" w:type="dxa"/>
          </w:tcPr>
          <w:p>
            <w:pPr>
              <w:pStyle w:val="TableParagraph"/>
              <w:rPr>
                <w:rFonts w:ascii="Times New Roman"/>
                <w:sz w:val="16"/>
              </w:rPr>
            </w:pPr>
          </w:p>
        </w:tc>
        <w:tc>
          <w:tcPr>
            <w:tcW w:w="1077" w:type="dxa"/>
          </w:tcPr>
          <w:p>
            <w:pPr>
              <w:pStyle w:val="TableParagraph"/>
              <w:spacing w:before="44"/>
              <w:ind w:right="56"/>
              <w:jc w:val="right"/>
              <w:rPr>
                <w:rFonts w:ascii="Caladea"/>
                <w:b/>
                <w:sz w:val="14"/>
              </w:rPr>
            </w:pPr>
            <w:r>
              <w:rPr>
                <w:rFonts w:ascii="Caladea"/>
                <w:b/>
                <w:sz w:val="14"/>
              </w:rPr>
              <w:t>158.946</w:t>
            </w:r>
          </w:p>
        </w:tc>
        <w:tc>
          <w:tcPr>
            <w:tcW w:w="1175" w:type="dxa"/>
          </w:tcPr>
          <w:p>
            <w:pPr>
              <w:pStyle w:val="TableParagraph"/>
              <w:spacing w:before="44"/>
              <w:ind w:right="53"/>
              <w:jc w:val="right"/>
              <w:rPr>
                <w:rFonts w:ascii="Caladea"/>
                <w:b/>
                <w:sz w:val="14"/>
              </w:rPr>
            </w:pPr>
            <w:r>
              <w:rPr>
                <w:rFonts w:ascii="Caladea"/>
                <w:b/>
                <w:w w:val="95"/>
                <w:sz w:val="14"/>
              </w:rPr>
              <w:t>1.477.147</w:t>
            </w:r>
          </w:p>
        </w:tc>
      </w:tr>
      <w:tr>
        <w:trPr>
          <w:trHeight w:val="256" w:hRule="atLeast"/>
        </w:trPr>
        <w:tc>
          <w:tcPr>
            <w:tcW w:w="3428" w:type="dxa"/>
          </w:tcPr>
          <w:p>
            <w:pPr>
              <w:pStyle w:val="TableParagraph"/>
              <w:spacing w:before="46"/>
              <w:ind w:left="165"/>
              <w:rPr>
                <w:sz w:val="14"/>
              </w:rPr>
            </w:pPr>
            <w:r>
              <w:rPr>
                <w:sz w:val="14"/>
              </w:rPr>
              <w:t>Adições</w:t>
            </w:r>
          </w:p>
        </w:tc>
        <w:tc>
          <w:tcPr>
            <w:tcW w:w="1087" w:type="dxa"/>
          </w:tcPr>
          <w:p>
            <w:pPr>
              <w:pStyle w:val="TableParagraph"/>
              <w:spacing w:before="46"/>
              <w:ind w:right="56"/>
              <w:jc w:val="right"/>
              <w:rPr>
                <w:sz w:val="14"/>
              </w:rPr>
            </w:pPr>
            <w:r>
              <w:rPr>
                <w:w w:val="95"/>
                <w:sz w:val="14"/>
              </w:rPr>
              <w:t>88.655</w:t>
            </w:r>
          </w:p>
        </w:tc>
        <w:tc>
          <w:tcPr>
            <w:tcW w:w="1063" w:type="dxa"/>
          </w:tcPr>
          <w:p>
            <w:pPr>
              <w:pStyle w:val="TableParagraph"/>
              <w:spacing w:before="46"/>
              <w:ind w:right="59"/>
              <w:jc w:val="right"/>
              <w:rPr>
                <w:sz w:val="14"/>
              </w:rPr>
            </w:pPr>
            <w:r>
              <w:rPr>
                <w:w w:val="95"/>
                <w:sz w:val="14"/>
              </w:rPr>
              <w:t>84.031</w:t>
            </w:r>
          </w:p>
        </w:tc>
        <w:tc>
          <w:tcPr>
            <w:tcW w:w="1072" w:type="dxa"/>
          </w:tcPr>
          <w:p>
            <w:pPr>
              <w:pStyle w:val="TableParagraph"/>
              <w:spacing w:before="46"/>
              <w:ind w:right="55"/>
              <w:jc w:val="right"/>
              <w:rPr>
                <w:sz w:val="14"/>
              </w:rPr>
            </w:pPr>
            <w:r>
              <w:rPr>
                <w:w w:val="104"/>
                <w:sz w:val="14"/>
              </w:rPr>
              <w:t>5</w:t>
            </w:r>
          </w:p>
        </w:tc>
        <w:tc>
          <w:tcPr>
            <w:tcW w:w="1010" w:type="dxa"/>
          </w:tcPr>
          <w:p>
            <w:pPr>
              <w:pStyle w:val="TableParagraph"/>
              <w:spacing w:before="46"/>
              <w:ind w:right="59"/>
              <w:jc w:val="right"/>
              <w:rPr>
                <w:sz w:val="14"/>
              </w:rPr>
            </w:pPr>
            <w:r>
              <w:rPr>
                <w:sz w:val="14"/>
              </w:rPr>
              <w:t>920</w:t>
            </w: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w w:val="95"/>
                <w:sz w:val="14"/>
              </w:rPr>
              <w:t>173.611</w:t>
            </w:r>
          </w:p>
        </w:tc>
      </w:tr>
      <w:tr>
        <w:trPr>
          <w:trHeight w:val="253" w:hRule="atLeast"/>
        </w:trPr>
        <w:tc>
          <w:tcPr>
            <w:tcW w:w="3428" w:type="dxa"/>
          </w:tcPr>
          <w:p>
            <w:pPr>
              <w:pStyle w:val="TableParagraph"/>
              <w:spacing w:before="46"/>
              <w:ind w:left="165"/>
              <w:rPr>
                <w:sz w:val="14"/>
              </w:rPr>
            </w:pPr>
            <w:r>
              <w:rPr>
                <w:sz w:val="14"/>
              </w:rPr>
              <w:t>Transferência</w:t>
            </w:r>
          </w:p>
        </w:tc>
        <w:tc>
          <w:tcPr>
            <w:tcW w:w="1087" w:type="dxa"/>
          </w:tcPr>
          <w:p>
            <w:pPr>
              <w:pStyle w:val="TableParagraph"/>
              <w:spacing w:before="46"/>
              <w:ind w:right="59"/>
              <w:jc w:val="right"/>
              <w:rPr>
                <w:sz w:val="14"/>
              </w:rPr>
            </w:pPr>
            <w:r>
              <w:rPr>
                <w:sz w:val="14"/>
              </w:rPr>
              <w:t>(17.269)</w:t>
            </w:r>
          </w:p>
        </w:tc>
        <w:tc>
          <w:tcPr>
            <w:tcW w:w="1063" w:type="dxa"/>
          </w:tcPr>
          <w:p>
            <w:pPr>
              <w:pStyle w:val="TableParagraph"/>
              <w:spacing w:before="46"/>
              <w:ind w:right="59"/>
              <w:jc w:val="right"/>
              <w:rPr>
                <w:sz w:val="14"/>
              </w:rPr>
            </w:pPr>
            <w:r>
              <w:rPr>
                <w:sz w:val="14"/>
              </w:rPr>
              <w:t>(90.281)</w:t>
            </w:r>
          </w:p>
        </w:tc>
        <w:tc>
          <w:tcPr>
            <w:tcW w:w="1072" w:type="dxa"/>
          </w:tcPr>
          <w:p>
            <w:pPr>
              <w:pStyle w:val="TableParagraph"/>
              <w:spacing w:before="46"/>
              <w:ind w:right="58"/>
              <w:jc w:val="right"/>
              <w:rPr>
                <w:sz w:val="14"/>
              </w:rPr>
            </w:pPr>
            <w:r>
              <w:rPr>
                <w:sz w:val="14"/>
              </w:rPr>
              <w:t>866</w:t>
            </w:r>
          </w:p>
        </w:tc>
        <w:tc>
          <w:tcPr>
            <w:tcW w:w="1010" w:type="dxa"/>
          </w:tcPr>
          <w:p>
            <w:pPr>
              <w:pStyle w:val="TableParagraph"/>
              <w:spacing w:before="46"/>
              <w:ind w:right="58"/>
              <w:jc w:val="right"/>
              <w:rPr>
                <w:sz w:val="14"/>
              </w:rPr>
            </w:pPr>
            <w:r>
              <w:rPr>
                <w:sz w:val="14"/>
              </w:rPr>
              <w:t>(866)</w:t>
            </w: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sz w:val="14"/>
              </w:rPr>
              <w:t>(107.550)</w:t>
            </w:r>
          </w:p>
        </w:tc>
      </w:tr>
      <w:tr>
        <w:trPr>
          <w:trHeight w:val="256" w:hRule="atLeast"/>
        </w:trPr>
        <w:tc>
          <w:tcPr>
            <w:tcW w:w="3428" w:type="dxa"/>
          </w:tcPr>
          <w:p>
            <w:pPr>
              <w:pStyle w:val="TableParagraph"/>
              <w:spacing w:before="46"/>
              <w:ind w:left="165"/>
              <w:rPr>
                <w:sz w:val="14"/>
              </w:rPr>
            </w:pPr>
            <w:r>
              <w:rPr>
                <w:sz w:val="14"/>
              </w:rPr>
              <w:t>Baixas</w:t>
            </w:r>
          </w:p>
        </w:tc>
        <w:tc>
          <w:tcPr>
            <w:tcW w:w="1087" w:type="dxa"/>
          </w:tcPr>
          <w:p>
            <w:pPr>
              <w:pStyle w:val="TableParagraph"/>
              <w:rPr>
                <w:rFonts w:ascii="Times New Roman"/>
                <w:sz w:val="16"/>
              </w:rPr>
            </w:pPr>
          </w:p>
        </w:tc>
        <w:tc>
          <w:tcPr>
            <w:tcW w:w="1063" w:type="dxa"/>
          </w:tcPr>
          <w:p>
            <w:pPr>
              <w:pStyle w:val="TableParagraph"/>
              <w:rPr>
                <w:rFonts w:ascii="Times New Roman"/>
                <w:sz w:val="16"/>
              </w:rPr>
            </w:pP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rPr>
                <w:rFonts w:ascii="Times New Roman"/>
                <w:sz w:val="16"/>
              </w:rPr>
            </w:pPr>
          </w:p>
        </w:tc>
      </w:tr>
      <w:tr>
        <w:trPr>
          <w:trHeight w:val="253" w:hRule="atLeast"/>
        </w:trPr>
        <w:tc>
          <w:tcPr>
            <w:tcW w:w="3428" w:type="dxa"/>
          </w:tcPr>
          <w:p>
            <w:pPr>
              <w:pStyle w:val="TableParagraph"/>
              <w:spacing w:before="46"/>
              <w:ind w:left="165"/>
              <w:rPr>
                <w:sz w:val="14"/>
              </w:rPr>
            </w:pPr>
            <w:r>
              <w:rPr>
                <w:sz w:val="14"/>
              </w:rPr>
              <w:t>Obrigações Especiais</w:t>
            </w:r>
          </w:p>
        </w:tc>
        <w:tc>
          <w:tcPr>
            <w:tcW w:w="1087" w:type="dxa"/>
          </w:tcPr>
          <w:p>
            <w:pPr>
              <w:pStyle w:val="TableParagraph"/>
              <w:rPr>
                <w:rFonts w:ascii="Times New Roman"/>
                <w:sz w:val="16"/>
              </w:rPr>
            </w:pPr>
          </w:p>
        </w:tc>
        <w:tc>
          <w:tcPr>
            <w:tcW w:w="1063" w:type="dxa"/>
          </w:tcPr>
          <w:p>
            <w:pPr>
              <w:pStyle w:val="TableParagraph"/>
              <w:spacing w:before="46"/>
              <w:ind w:right="59"/>
              <w:jc w:val="right"/>
              <w:rPr>
                <w:sz w:val="14"/>
              </w:rPr>
            </w:pPr>
            <w:r>
              <w:rPr>
                <w:sz w:val="14"/>
              </w:rPr>
              <w:t>(51.082)</w:t>
            </w: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sz w:val="14"/>
              </w:rPr>
              <w:t>(51.082)</w:t>
            </w:r>
          </w:p>
        </w:tc>
      </w:tr>
      <w:tr>
        <w:trPr>
          <w:trHeight w:val="254" w:hRule="atLeast"/>
        </w:trPr>
        <w:tc>
          <w:tcPr>
            <w:tcW w:w="3428" w:type="dxa"/>
          </w:tcPr>
          <w:p>
            <w:pPr>
              <w:pStyle w:val="TableParagraph"/>
              <w:spacing w:before="44"/>
              <w:ind w:left="72"/>
              <w:rPr>
                <w:rFonts w:ascii="Caladea"/>
                <w:b/>
                <w:sz w:val="14"/>
              </w:rPr>
            </w:pPr>
            <w:r>
              <w:rPr>
                <w:rFonts w:ascii="Caladea"/>
                <w:b/>
                <w:sz w:val="14"/>
              </w:rPr>
              <w:t>Saldo em 31 de dezembro de 2018</w:t>
            </w:r>
          </w:p>
        </w:tc>
        <w:tc>
          <w:tcPr>
            <w:tcW w:w="1087" w:type="dxa"/>
          </w:tcPr>
          <w:p>
            <w:pPr>
              <w:pStyle w:val="TableParagraph"/>
              <w:spacing w:before="44"/>
              <w:ind w:right="59"/>
              <w:jc w:val="right"/>
              <w:rPr>
                <w:rFonts w:ascii="Caladea"/>
                <w:b/>
                <w:sz w:val="14"/>
              </w:rPr>
            </w:pPr>
            <w:r>
              <w:rPr>
                <w:rFonts w:ascii="Caladea"/>
                <w:b/>
                <w:w w:val="95"/>
                <w:sz w:val="14"/>
              </w:rPr>
              <w:t>1.165.624</w:t>
            </w:r>
          </w:p>
        </w:tc>
        <w:tc>
          <w:tcPr>
            <w:tcW w:w="1063" w:type="dxa"/>
          </w:tcPr>
          <w:p>
            <w:pPr>
              <w:pStyle w:val="TableParagraph"/>
              <w:spacing w:before="44"/>
              <w:ind w:right="59"/>
              <w:jc w:val="right"/>
              <w:rPr>
                <w:rFonts w:ascii="Caladea"/>
                <w:b/>
                <w:sz w:val="14"/>
              </w:rPr>
            </w:pPr>
            <w:r>
              <w:rPr>
                <w:rFonts w:ascii="Caladea"/>
                <w:b/>
                <w:sz w:val="14"/>
              </w:rPr>
              <w:t>61.827</w:t>
            </w:r>
          </w:p>
        </w:tc>
        <w:tc>
          <w:tcPr>
            <w:tcW w:w="1072" w:type="dxa"/>
          </w:tcPr>
          <w:p>
            <w:pPr>
              <w:pStyle w:val="TableParagraph"/>
              <w:spacing w:before="44"/>
              <w:ind w:right="58"/>
              <w:jc w:val="right"/>
              <w:rPr>
                <w:rFonts w:ascii="Caladea"/>
                <w:b/>
                <w:sz w:val="14"/>
              </w:rPr>
            </w:pPr>
            <w:r>
              <w:rPr>
                <w:rFonts w:ascii="Caladea"/>
                <w:b/>
                <w:w w:val="95"/>
                <w:sz w:val="14"/>
              </w:rPr>
              <w:t>105.675</w:t>
            </w:r>
          </w:p>
        </w:tc>
        <w:tc>
          <w:tcPr>
            <w:tcW w:w="1010" w:type="dxa"/>
          </w:tcPr>
          <w:p>
            <w:pPr>
              <w:pStyle w:val="TableParagraph"/>
              <w:spacing w:before="44"/>
              <w:ind w:right="59"/>
              <w:jc w:val="right"/>
              <w:rPr>
                <w:rFonts w:ascii="Caladea"/>
                <w:b/>
                <w:sz w:val="14"/>
              </w:rPr>
            </w:pPr>
            <w:r>
              <w:rPr>
                <w:rFonts w:ascii="Caladea"/>
                <w:b/>
                <w:w w:val="95"/>
                <w:sz w:val="14"/>
              </w:rPr>
              <w:t>54</w:t>
            </w:r>
          </w:p>
        </w:tc>
        <w:tc>
          <w:tcPr>
            <w:tcW w:w="1077" w:type="dxa"/>
          </w:tcPr>
          <w:p>
            <w:pPr>
              <w:pStyle w:val="TableParagraph"/>
              <w:spacing w:before="44"/>
              <w:ind w:right="56"/>
              <w:jc w:val="right"/>
              <w:rPr>
                <w:rFonts w:ascii="Caladea"/>
                <w:b/>
                <w:sz w:val="14"/>
              </w:rPr>
            </w:pPr>
            <w:r>
              <w:rPr>
                <w:rFonts w:ascii="Caladea"/>
                <w:b/>
                <w:w w:val="95"/>
                <w:sz w:val="14"/>
              </w:rPr>
              <w:t>158.946</w:t>
            </w:r>
          </w:p>
        </w:tc>
        <w:tc>
          <w:tcPr>
            <w:tcW w:w="1175" w:type="dxa"/>
          </w:tcPr>
          <w:p>
            <w:pPr>
              <w:pStyle w:val="TableParagraph"/>
              <w:spacing w:before="44"/>
              <w:ind w:right="53"/>
              <w:jc w:val="right"/>
              <w:rPr>
                <w:rFonts w:ascii="Caladea"/>
                <w:b/>
                <w:sz w:val="14"/>
              </w:rPr>
            </w:pPr>
            <w:r>
              <w:rPr>
                <w:rFonts w:ascii="Caladea"/>
                <w:b/>
                <w:w w:val="95"/>
                <w:sz w:val="14"/>
              </w:rPr>
              <w:t>1.492.126</w:t>
            </w:r>
          </w:p>
        </w:tc>
      </w:tr>
      <w:tr>
        <w:trPr>
          <w:trHeight w:val="256" w:hRule="atLeast"/>
        </w:trPr>
        <w:tc>
          <w:tcPr>
            <w:tcW w:w="3428" w:type="dxa"/>
          </w:tcPr>
          <w:p>
            <w:pPr>
              <w:pStyle w:val="TableParagraph"/>
              <w:spacing w:before="46"/>
              <w:ind w:left="165"/>
              <w:rPr>
                <w:sz w:val="14"/>
              </w:rPr>
            </w:pPr>
            <w:r>
              <w:rPr>
                <w:sz w:val="14"/>
              </w:rPr>
              <w:t>Adições</w:t>
            </w:r>
          </w:p>
        </w:tc>
        <w:tc>
          <w:tcPr>
            <w:tcW w:w="1087" w:type="dxa"/>
          </w:tcPr>
          <w:p>
            <w:pPr>
              <w:pStyle w:val="TableParagraph"/>
              <w:spacing w:before="46"/>
              <w:ind w:right="57"/>
              <w:jc w:val="right"/>
              <w:rPr>
                <w:sz w:val="14"/>
              </w:rPr>
            </w:pPr>
            <w:r>
              <w:rPr>
                <w:w w:val="95"/>
                <w:sz w:val="14"/>
              </w:rPr>
              <w:t>11.678</w:t>
            </w:r>
          </w:p>
        </w:tc>
        <w:tc>
          <w:tcPr>
            <w:tcW w:w="1063" w:type="dxa"/>
          </w:tcPr>
          <w:p>
            <w:pPr>
              <w:pStyle w:val="TableParagraph"/>
              <w:spacing w:before="46"/>
              <w:ind w:right="59"/>
              <w:jc w:val="right"/>
              <w:rPr>
                <w:sz w:val="14"/>
              </w:rPr>
            </w:pPr>
            <w:r>
              <w:rPr>
                <w:w w:val="95"/>
                <w:sz w:val="14"/>
              </w:rPr>
              <w:t>40.180</w:t>
            </w:r>
          </w:p>
        </w:tc>
        <w:tc>
          <w:tcPr>
            <w:tcW w:w="1072" w:type="dxa"/>
          </w:tcPr>
          <w:p>
            <w:pPr>
              <w:pStyle w:val="TableParagraph"/>
              <w:rPr>
                <w:rFonts w:ascii="Times New Roman"/>
                <w:sz w:val="16"/>
              </w:rPr>
            </w:pPr>
          </w:p>
        </w:tc>
        <w:tc>
          <w:tcPr>
            <w:tcW w:w="1010" w:type="dxa"/>
          </w:tcPr>
          <w:p>
            <w:pPr>
              <w:pStyle w:val="TableParagraph"/>
              <w:spacing w:before="46"/>
              <w:ind w:right="57"/>
              <w:jc w:val="right"/>
              <w:rPr>
                <w:sz w:val="14"/>
              </w:rPr>
            </w:pPr>
            <w:r>
              <w:rPr>
                <w:w w:val="95"/>
                <w:sz w:val="14"/>
              </w:rPr>
              <w:t>1.876</w:t>
            </w: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w w:val="95"/>
                <w:sz w:val="14"/>
              </w:rPr>
              <w:t>53.734</w:t>
            </w:r>
          </w:p>
        </w:tc>
      </w:tr>
      <w:tr>
        <w:trPr>
          <w:trHeight w:val="254" w:hRule="atLeast"/>
        </w:trPr>
        <w:tc>
          <w:tcPr>
            <w:tcW w:w="3428" w:type="dxa"/>
          </w:tcPr>
          <w:p>
            <w:pPr>
              <w:pStyle w:val="TableParagraph"/>
              <w:spacing w:before="46"/>
              <w:ind w:left="165"/>
              <w:rPr>
                <w:sz w:val="14"/>
              </w:rPr>
            </w:pPr>
            <w:r>
              <w:rPr>
                <w:sz w:val="14"/>
              </w:rPr>
              <w:t>Transferência</w:t>
            </w:r>
          </w:p>
        </w:tc>
        <w:tc>
          <w:tcPr>
            <w:tcW w:w="1087" w:type="dxa"/>
          </w:tcPr>
          <w:p>
            <w:pPr>
              <w:pStyle w:val="TableParagraph"/>
              <w:rPr>
                <w:rFonts w:ascii="Times New Roman"/>
                <w:sz w:val="16"/>
              </w:rPr>
            </w:pPr>
          </w:p>
        </w:tc>
        <w:tc>
          <w:tcPr>
            <w:tcW w:w="1063" w:type="dxa"/>
          </w:tcPr>
          <w:p>
            <w:pPr>
              <w:pStyle w:val="TableParagraph"/>
              <w:spacing w:before="46"/>
              <w:ind w:right="58"/>
              <w:jc w:val="right"/>
              <w:rPr>
                <w:sz w:val="14"/>
              </w:rPr>
            </w:pPr>
            <w:r>
              <w:rPr>
                <w:sz w:val="14"/>
              </w:rPr>
              <w:t>(15.191)</w:t>
            </w: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sz w:val="14"/>
              </w:rPr>
              <w:t>(15.191)</w:t>
            </w:r>
          </w:p>
        </w:tc>
      </w:tr>
      <w:tr>
        <w:trPr>
          <w:trHeight w:val="256" w:hRule="atLeast"/>
        </w:trPr>
        <w:tc>
          <w:tcPr>
            <w:tcW w:w="3428" w:type="dxa"/>
          </w:tcPr>
          <w:p>
            <w:pPr>
              <w:pStyle w:val="TableParagraph"/>
              <w:spacing w:before="46"/>
              <w:ind w:left="165"/>
              <w:rPr>
                <w:sz w:val="14"/>
              </w:rPr>
            </w:pPr>
            <w:r>
              <w:rPr>
                <w:sz w:val="14"/>
              </w:rPr>
              <w:t>Baixas</w:t>
            </w:r>
          </w:p>
        </w:tc>
        <w:tc>
          <w:tcPr>
            <w:tcW w:w="1087" w:type="dxa"/>
          </w:tcPr>
          <w:p>
            <w:pPr>
              <w:pStyle w:val="TableParagraph"/>
              <w:rPr>
                <w:rFonts w:ascii="Times New Roman"/>
                <w:sz w:val="16"/>
              </w:rPr>
            </w:pPr>
          </w:p>
        </w:tc>
        <w:tc>
          <w:tcPr>
            <w:tcW w:w="1063" w:type="dxa"/>
          </w:tcPr>
          <w:p>
            <w:pPr>
              <w:pStyle w:val="TableParagraph"/>
              <w:rPr>
                <w:rFonts w:ascii="Times New Roman"/>
                <w:sz w:val="16"/>
              </w:rPr>
            </w:pPr>
          </w:p>
        </w:tc>
        <w:tc>
          <w:tcPr>
            <w:tcW w:w="1072" w:type="dxa"/>
          </w:tcPr>
          <w:p>
            <w:pPr>
              <w:pStyle w:val="TableParagraph"/>
              <w:spacing w:before="46"/>
              <w:ind w:right="58"/>
              <w:jc w:val="right"/>
              <w:rPr>
                <w:sz w:val="14"/>
              </w:rPr>
            </w:pPr>
            <w:r>
              <w:rPr>
                <w:sz w:val="14"/>
              </w:rPr>
              <w:t>(24)</w:t>
            </w: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sz w:val="14"/>
              </w:rPr>
              <w:t>(24)</w:t>
            </w:r>
          </w:p>
        </w:tc>
      </w:tr>
      <w:tr>
        <w:trPr>
          <w:trHeight w:val="254" w:hRule="atLeast"/>
        </w:trPr>
        <w:tc>
          <w:tcPr>
            <w:tcW w:w="3428" w:type="dxa"/>
          </w:tcPr>
          <w:p>
            <w:pPr>
              <w:pStyle w:val="TableParagraph"/>
              <w:spacing w:before="46"/>
              <w:ind w:left="165"/>
              <w:rPr>
                <w:sz w:val="14"/>
              </w:rPr>
            </w:pPr>
            <w:r>
              <w:rPr>
                <w:sz w:val="14"/>
              </w:rPr>
              <w:t>Obrigações Especiais</w:t>
            </w:r>
          </w:p>
        </w:tc>
        <w:tc>
          <w:tcPr>
            <w:tcW w:w="1087" w:type="dxa"/>
          </w:tcPr>
          <w:p>
            <w:pPr>
              <w:pStyle w:val="TableParagraph"/>
              <w:rPr>
                <w:rFonts w:ascii="Times New Roman"/>
                <w:sz w:val="16"/>
              </w:rPr>
            </w:pPr>
          </w:p>
        </w:tc>
        <w:tc>
          <w:tcPr>
            <w:tcW w:w="1063" w:type="dxa"/>
          </w:tcPr>
          <w:p>
            <w:pPr>
              <w:pStyle w:val="TableParagraph"/>
              <w:spacing w:before="46"/>
              <w:ind w:right="58"/>
              <w:jc w:val="right"/>
              <w:rPr>
                <w:sz w:val="14"/>
              </w:rPr>
            </w:pPr>
            <w:r>
              <w:rPr>
                <w:sz w:val="14"/>
              </w:rPr>
              <w:t>(5.583)</w:t>
            </w: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spacing w:before="46"/>
              <w:ind w:right="55"/>
              <w:jc w:val="right"/>
              <w:rPr>
                <w:sz w:val="14"/>
              </w:rPr>
            </w:pPr>
            <w:r>
              <w:rPr>
                <w:w w:val="95"/>
                <w:sz w:val="14"/>
              </w:rPr>
              <w:t>(5.583)</w:t>
            </w:r>
          </w:p>
        </w:tc>
      </w:tr>
      <w:tr>
        <w:trPr>
          <w:trHeight w:val="253" w:hRule="atLeast"/>
        </w:trPr>
        <w:tc>
          <w:tcPr>
            <w:tcW w:w="3428" w:type="dxa"/>
          </w:tcPr>
          <w:p>
            <w:pPr>
              <w:pStyle w:val="TableParagraph"/>
              <w:spacing w:before="44"/>
              <w:ind w:left="72"/>
              <w:rPr>
                <w:rFonts w:ascii="Caladea"/>
                <w:b/>
                <w:sz w:val="14"/>
              </w:rPr>
            </w:pPr>
            <w:r>
              <w:rPr>
                <w:rFonts w:ascii="Caladea"/>
                <w:b/>
                <w:sz w:val="14"/>
              </w:rPr>
              <w:t>Saldo em 31 de dezembro de 2019</w:t>
            </w:r>
          </w:p>
        </w:tc>
        <w:tc>
          <w:tcPr>
            <w:tcW w:w="1087" w:type="dxa"/>
          </w:tcPr>
          <w:p>
            <w:pPr>
              <w:pStyle w:val="TableParagraph"/>
              <w:spacing w:before="44"/>
              <w:ind w:right="58"/>
              <w:jc w:val="right"/>
              <w:rPr>
                <w:rFonts w:ascii="Caladea"/>
                <w:b/>
                <w:sz w:val="14"/>
              </w:rPr>
            </w:pPr>
            <w:r>
              <w:rPr>
                <w:rFonts w:ascii="Caladea"/>
                <w:b/>
                <w:w w:val="95"/>
                <w:sz w:val="14"/>
              </w:rPr>
              <w:t>1.177.302</w:t>
            </w:r>
          </w:p>
        </w:tc>
        <w:tc>
          <w:tcPr>
            <w:tcW w:w="1063" w:type="dxa"/>
          </w:tcPr>
          <w:p>
            <w:pPr>
              <w:pStyle w:val="TableParagraph"/>
              <w:spacing w:before="44"/>
              <w:ind w:right="59"/>
              <w:jc w:val="right"/>
              <w:rPr>
                <w:rFonts w:ascii="Caladea"/>
                <w:b/>
                <w:sz w:val="14"/>
              </w:rPr>
            </w:pPr>
            <w:r>
              <w:rPr>
                <w:rFonts w:ascii="Caladea"/>
                <w:b/>
                <w:sz w:val="14"/>
              </w:rPr>
              <w:t>81.233</w:t>
            </w:r>
          </w:p>
        </w:tc>
        <w:tc>
          <w:tcPr>
            <w:tcW w:w="1072" w:type="dxa"/>
          </w:tcPr>
          <w:p>
            <w:pPr>
              <w:pStyle w:val="TableParagraph"/>
              <w:spacing w:before="44"/>
              <w:ind w:right="57"/>
              <w:jc w:val="right"/>
              <w:rPr>
                <w:rFonts w:ascii="Caladea"/>
                <w:b/>
                <w:sz w:val="14"/>
              </w:rPr>
            </w:pPr>
            <w:r>
              <w:rPr>
                <w:rFonts w:ascii="Caladea"/>
                <w:b/>
                <w:w w:val="95"/>
                <w:sz w:val="14"/>
              </w:rPr>
              <w:t>105.651</w:t>
            </w:r>
          </w:p>
        </w:tc>
        <w:tc>
          <w:tcPr>
            <w:tcW w:w="1010" w:type="dxa"/>
          </w:tcPr>
          <w:p>
            <w:pPr>
              <w:pStyle w:val="TableParagraph"/>
              <w:spacing w:before="44"/>
              <w:ind w:right="57"/>
              <w:jc w:val="right"/>
              <w:rPr>
                <w:rFonts w:ascii="Caladea"/>
                <w:b/>
                <w:sz w:val="14"/>
              </w:rPr>
            </w:pPr>
            <w:r>
              <w:rPr>
                <w:rFonts w:ascii="Caladea"/>
                <w:b/>
                <w:w w:val="95"/>
                <w:sz w:val="14"/>
              </w:rPr>
              <w:t>1.930</w:t>
            </w:r>
          </w:p>
        </w:tc>
        <w:tc>
          <w:tcPr>
            <w:tcW w:w="1077" w:type="dxa"/>
          </w:tcPr>
          <w:p>
            <w:pPr>
              <w:pStyle w:val="TableParagraph"/>
              <w:spacing w:before="44"/>
              <w:ind w:right="56"/>
              <w:jc w:val="right"/>
              <w:rPr>
                <w:rFonts w:ascii="Caladea"/>
                <w:b/>
                <w:sz w:val="14"/>
              </w:rPr>
            </w:pPr>
            <w:r>
              <w:rPr>
                <w:rFonts w:ascii="Caladea"/>
                <w:b/>
                <w:w w:val="95"/>
                <w:sz w:val="14"/>
              </w:rPr>
              <w:t>158.946</w:t>
            </w:r>
          </w:p>
        </w:tc>
        <w:tc>
          <w:tcPr>
            <w:tcW w:w="1175" w:type="dxa"/>
          </w:tcPr>
          <w:p>
            <w:pPr>
              <w:pStyle w:val="TableParagraph"/>
              <w:spacing w:before="44"/>
              <w:ind w:right="52"/>
              <w:jc w:val="right"/>
              <w:rPr>
                <w:rFonts w:ascii="Caladea"/>
                <w:b/>
                <w:sz w:val="14"/>
              </w:rPr>
            </w:pPr>
            <w:r>
              <w:rPr>
                <w:rFonts w:ascii="Caladea"/>
                <w:b/>
                <w:w w:val="95"/>
                <w:sz w:val="14"/>
              </w:rPr>
              <w:t>1.525.062</w:t>
            </w:r>
          </w:p>
        </w:tc>
      </w:tr>
      <w:tr>
        <w:trPr>
          <w:trHeight w:val="256" w:hRule="atLeast"/>
        </w:trPr>
        <w:tc>
          <w:tcPr>
            <w:tcW w:w="3428" w:type="dxa"/>
          </w:tcPr>
          <w:p>
            <w:pPr>
              <w:pStyle w:val="TableParagraph"/>
              <w:spacing w:before="46"/>
              <w:ind w:left="72"/>
              <w:rPr>
                <w:rFonts w:ascii="Caladea" w:hAnsi="Caladea"/>
                <w:b/>
                <w:sz w:val="14"/>
              </w:rPr>
            </w:pPr>
            <w:r>
              <w:rPr>
                <w:rFonts w:ascii="Caladea" w:hAnsi="Caladea"/>
                <w:b/>
                <w:sz w:val="14"/>
              </w:rPr>
              <w:t>Amortização Acumulada</w:t>
            </w:r>
          </w:p>
        </w:tc>
        <w:tc>
          <w:tcPr>
            <w:tcW w:w="1087" w:type="dxa"/>
          </w:tcPr>
          <w:p>
            <w:pPr>
              <w:pStyle w:val="TableParagraph"/>
              <w:rPr>
                <w:rFonts w:ascii="Times New Roman"/>
                <w:sz w:val="16"/>
              </w:rPr>
            </w:pPr>
          </w:p>
        </w:tc>
        <w:tc>
          <w:tcPr>
            <w:tcW w:w="1063" w:type="dxa"/>
          </w:tcPr>
          <w:p>
            <w:pPr>
              <w:pStyle w:val="TableParagraph"/>
              <w:rPr>
                <w:rFonts w:ascii="Times New Roman"/>
                <w:sz w:val="16"/>
              </w:rPr>
            </w:pPr>
          </w:p>
        </w:tc>
        <w:tc>
          <w:tcPr>
            <w:tcW w:w="1072" w:type="dxa"/>
          </w:tcPr>
          <w:p>
            <w:pPr>
              <w:pStyle w:val="TableParagraph"/>
              <w:rPr>
                <w:rFonts w:ascii="Times New Roman"/>
                <w:sz w:val="16"/>
              </w:rPr>
            </w:pPr>
          </w:p>
        </w:tc>
        <w:tc>
          <w:tcPr>
            <w:tcW w:w="1010" w:type="dxa"/>
          </w:tcPr>
          <w:p>
            <w:pPr>
              <w:pStyle w:val="TableParagraph"/>
              <w:rPr>
                <w:rFonts w:ascii="Times New Roman"/>
                <w:sz w:val="16"/>
              </w:rPr>
            </w:pPr>
          </w:p>
        </w:tc>
        <w:tc>
          <w:tcPr>
            <w:tcW w:w="1077" w:type="dxa"/>
          </w:tcPr>
          <w:p>
            <w:pPr>
              <w:pStyle w:val="TableParagraph"/>
              <w:rPr>
                <w:rFonts w:ascii="Times New Roman"/>
                <w:sz w:val="16"/>
              </w:rPr>
            </w:pPr>
          </w:p>
        </w:tc>
        <w:tc>
          <w:tcPr>
            <w:tcW w:w="1175" w:type="dxa"/>
          </w:tcPr>
          <w:p>
            <w:pPr>
              <w:pStyle w:val="TableParagraph"/>
              <w:rPr>
                <w:rFonts w:ascii="Times New Roman"/>
                <w:sz w:val="16"/>
              </w:rPr>
            </w:pPr>
          </w:p>
        </w:tc>
      </w:tr>
      <w:tr>
        <w:trPr>
          <w:trHeight w:val="254" w:hRule="atLeast"/>
        </w:trPr>
        <w:tc>
          <w:tcPr>
            <w:tcW w:w="3428" w:type="dxa"/>
          </w:tcPr>
          <w:p>
            <w:pPr>
              <w:pStyle w:val="TableParagraph"/>
              <w:spacing w:before="44"/>
              <w:ind w:left="72"/>
              <w:rPr>
                <w:rFonts w:ascii="Caladea"/>
                <w:b/>
                <w:sz w:val="14"/>
              </w:rPr>
            </w:pPr>
            <w:r>
              <w:rPr>
                <w:rFonts w:ascii="Caladea"/>
                <w:b/>
                <w:sz w:val="14"/>
              </w:rPr>
              <w:t>Saldo em 31 de dezembro de 2017</w:t>
            </w:r>
          </w:p>
        </w:tc>
        <w:tc>
          <w:tcPr>
            <w:tcW w:w="1087" w:type="dxa"/>
          </w:tcPr>
          <w:p>
            <w:pPr>
              <w:pStyle w:val="TableParagraph"/>
              <w:spacing w:before="44"/>
              <w:ind w:right="61"/>
              <w:jc w:val="right"/>
              <w:rPr>
                <w:rFonts w:ascii="Caladea"/>
                <w:b/>
                <w:sz w:val="14"/>
              </w:rPr>
            </w:pPr>
            <w:r>
              <w:rPr>
                <w:rFonts w:ascii="Caladea"/>
                <w:b/>
                <w:sz w:val="14"/>
              </w:rPr>
              <w:t>(379.763)</w:t>
            </w:r>
          </w:p>
        </w:tc>
        <w:tc>
          <w:tcPr>
            <w:tcW w:w="1063" w:type="dxa"/>
          </w:tcPr>
          <w:p>
            <w:pPr>
              <w:pStyle w:val="TableParagraph"/>
              <w:rPr>
                <w:rFonts w:ascii="Times New Roman"/>
                <w:sz w:val="16"/>
              </w:rPr>
            </w:pPr>
          </w:p>
        </w:tc>
        <w:tc>
          <w:tcPr>
            <w:tcW w:w="1072" w:type="dxa"/>
          </w:tcPr>
          <w:p>
            <w:pPr>
              <w:pStyle w:val="TableParagraph"/>
              <w:spacing w:before="44"/>
              <w:ind w:right="59"/>
              <w:jc w:val="right"/>
              <w:rPr>
                <w:rFonts w:ascii="Caladea"/>
                <w:b/>
                <w:sz w:val="14"/>
              </w:rPr>
            </w:pPr>
            <w:r>
              <w:rPr>
                <w:rFonts w:ascii="Caladea"/>
                <w:b/>
                <w:sz w:val="14"/>
              </w:rPr>
              <w:t>(66.367)</w:t>
            </w:r>
          </w:p>
        </w:tc>
        <w:tc>
          <w:tcPr>
            <w:tcW w:w="1010" w:type="dxa"/>
          </w:tcPr>
          <w:p>
            <w:pPr>
              <w:pStyle w:val="TableParagraph"/>
              <w:rPr>
                <w:rFonts w:ascii="Times New Roman"/>
                <w:sz w:val="16"/>
              </w:rPr>
            </w:pPr>
          </w:p>
        </w:tc>
        <w:tc>
          <w:tcPr>
            <w:tcW w:w="1077" w:type="dxa"/>
          </w:tcPr>
          <w:p>
            <w:pPr>
              <w:pStyle w:val="TableParagraph"/>
              <w:spacing w:before="44"/>
              <w:ind w:right="60"/>
              <w:jc w:val="right"/>
              <w:rPr>
                <w:rFonts w:ascii="Caladea"/>
                <w:b/>
                <w:sz w:val="14"/>
              </w:rPr>
            </w:pPr>
            <w:r>
              <w:rPr>
                <w:rFonts w:ascii="Caladea"/>
                <w:b/>
                <w:sz w:val="14"/>
              </w:rPr>
              <w:t>(70.644)</w:t>
            </w:r>
          </w:p>
        </w:tc>
        <w:tc>
          <w:tcPr>
            <w:tcW w:w="1175" w:type="dxa"/>
          </w:tcPr>
          <w:p>
            <w:pPr>
              <w:pStyle w:val="TableParagraph"/>
              <w:spacing w:before="44"/>
              <w:ind w:right="57"/>
              <w:jc w:val="right"/>
              <w:rPr>
                <w:rFonts w:ascii="Caladea"/>
                <w:b/>
                <w:sz w:val="14"/>
              </w:rPr>
            </w:pPr>
            <w:r>
              <w:rPr>
                <w:rFonts w:ascii="Caladea"/>
                <w:b/>
                <w:sz w:val="14"/>
              </w:rPr>
              <w:t>(516.774)</w:t>
            </w:r>
          </w:p>
        </w:tc>
      </w:tr>
      <w:tr>
        <w:trPr>
          <w:trHeight w:val="256" w:hRule="atLeast"/>
        </w:trPr>
        <w:tc>
          <w:tcPr>
            <w:tcW w:w="3428" w:type="dxa"/>
          </w:tcPr>
          <w:p>
            <w:pPr>
              <w:pStyle w:val="TableParagraph"/>
              <w:spacing w:before="46"/>
              <w:ind w:left="165"/>
              <w:rPr>
                <w:sz w:val="14"/>
              </w:rPr>
            </w:pPr>
            <w:r>
              <w:rPr>
                <w:sz w:val="14"/>
              </w:rPr>
              <w:t>Amortizações</w:t>
            </w:r>
          </w:p>
        </w:tc>
        <w:tc>
          <w:tcPr>
            <w:tcW w:w="1087" w:type="dxa"/>
          </w:tcPr>
          <w:p>
            <w:pPr>
              <w:pStyle w:val="TableParagraph"/>
              <w:spacing w:before="46"/>
              <w:ind w:right="59"/>
              <w:jc w:val="right"/>
              <w:rPr>
                <w:sz w:val="14"/>
              </w:rPr>
            </w:pPr>
            <w:r>
              <w:rPr>
                <w:sz w:val="14"/>
              </w:rPr>
              <w:t>(38.199)</w:t>
            </w:r>
          </w:p>
        </w:tc>
        <w:tc>
          <w:tcPr>
            <w:tcW w:w="1063" w:type="dxa"/>
          </w:tcPr>
          <w:p>
            <w:pPr>
              <w:pStyle w:val="TableParagraph"/>
              <w:rPr>
                <w:rFonts w:ascii="Times New Roman"/>
                <w:sz w:val="16"/>
              </w:rPr>
            </w:pPr>
          </w:p>
        </w:tc>
        <w:tc>
          <w:tcPr>
            <w:tcW w:w="1072" w:type="dxa"/>
          </w:tcPr>
          <w:p>
            <w:pPr>
              <w:pStyle w:val="TableParagraph"/>
              <w:spacing w:before="46"/>
              <w:ind w:right="58"/>
              <w:jc w:val="right"/>
              <w:rPr>
                <w:sz w:val="14"/>
              </w:rPr>
            </w:pPr>
            <w:r>
              <w:rPr>
                <w:w w:val="95"/>
                <w:sz w:val="14"/>
              </w:rPr>
              <w:t>(11.161)</w:t>
            </w:r>
          </w:p>
        </w:tc>
        <w:tc>
          <w:tcPr>
            <w:tcW w:w="1010" w:type="dxa"/>
          </w:tcPr>
          <w:p>
            <w:pPr>
              <w:pStyle w:val="TableParagraph"/>
              <w:rPr>
                <w:rFonts w:ascii="Times New Roman"/>
                <w:sz w:val="16"/>
              </w:rPr>
            </w:pPr>
          </w:p>
        </w:tc>
        <w:tc>
          <w:tcPr>
            <w:tcW w:w="1077" w:type="dxa"/>
          </w:tcPr>
          <w:p>
            <w:pPr>
              <w:pStyle w:val="TableParagraph"/>
              <w:spacing w:before="46"/>
              <w:ind w:right="59"/>
              <w:jc w:val="right"/>
              <w:rPr>
                <w:sz w:val="14"/>
              </w:rPr>
            </w:pPr>
            <w:r>
              <w:rPr>
                <w:w w:val="95"/>
                <w:sz w:val="14"/>
              </w:rPr>
              <w:t>(5.886)</w:t>
            </w:r>
          </w:p>
        </w:tc>
        <w:tc>
          <w:tcPr>
            <w:tcW w:w="1175" w:type="dxa"/>
          </w:tcPr>
          <w:p>
            <w:pPr>
              <w:pStyle w:val="TableParagraph"/>
              <w:spacing w:before="46"/>
              <w:ind w:right="55"/>
              <w:jc w:val="right"/>
              <w:rPr>
                <w:sz w:val="14"/>
              </w:rPr>
            </w:pPr>
            <w:r>
              <w:rPr>
                <w:sz w:val="14"/>
              </w:rPr>
              <w:t>(55.246)</w:t>
            </w:r>
          </w:p>
        </w:tc>
      </w:tr>
      <w:tr>
        <w:trPr>
          <w:trHeight w:val="253" w:hRule="atLeast"/>
        </w:trPr>
        <w:tc>
          <w:tcPr>
            <w:tcW w:w="3428" w:type="dxa"/>
          </w:tcPr>
          <w:p>
            <w:pPr>
              <w:pStyle w:val="TableParagraph"/>
              <w:spacing w:before="44"/>
              <w:ind w:left="72"/>
              <w:rPr>
                <w:rFonts w:ascii="Caladea"/>
                <w:b/>
                <w:sz w:val="14"/>
              </w:rPr>
            </w:pPr>
            <w:r>
              <w:rPr>
                <w:rFonts w:ascii="Caladea"/>
                <w:b/>
                <w:sz w:val="14"/>
              </w:rPr>
              <w:t>Saldo em 31 de dezembro de 2018</w:t>
            </w:r>
          </w:p>
        </w:tc>
        <w:tc>
          <w:tcPr>
            <w:tcW w:w="1087" w:type="dxa"/>
          </w:tcPr>
          <w:p>
            <w:pPr>
              <w:pStyle w:val="TableParagraph"/>
              <w:spacing w:before="44"/>
              <w:ind w:right="61"/>
              <w:jc w:val="right"/>
              <w:rPr>
                <w:rFonts w:ascii="Caladea"/>
                <w:b/>
                <w:sz w:val="14"/>
              </w:rPr>
            </w:pPr>
            <w:r>
              <w:rPr>
                <w:rFonts w:ascii="Caladea"/>
                <w:b/>
                <w:sz w:val="14"/>
              </w:rPr>
              <w:t>(417.962)</w:t>
            </w:r>
          </w:p>
        </w:tc>
        <w:tc>
          <w:tcPr>
            <w:tcW w:w="1063" w:type="dxa"/>
          </w:tcPr>
          <w:p>
            <w:pPr>
              <w:pStyle w:val="TableParagraph"/>
              <w:rPr>
                <w:rFonts w:ascii="Times New Roman"/>
                <w:sz w:val="16"/>
              </w:rPr>
            </w:pPr>
          </w:p>
        </w:tc>
        <w:tc>
          <w:tcPr>
            <w:tcW w:w="1072" w:type="dxa"/>
          </w:tcPr>
          <w:p>
            <w:pPr>
              <w:pStyle w:val="TableParagraph"/>
              <w:spacing w:before="44"/>
              <w:ind w:right="59"/>
              <w:jc w:val="right"/>
              <w:rPr>
                <w:rFonts w:ascii="Caladea"/>
                <w:b/>
                <w:sz w:val="14"/>
              </w:rPr>
            </w:pPr>
            <w:r>
              <w:rPr>
                <w:rFonts w:ascii="Caladea"/>
                <w:b/>
                <w:sz w:val="14"/>
              </w:rPr>
              <w:t>(77.528)</w:t>
            </w:r>
          </w:p>
        </w:tc>
        <w:tc>
          <w:tcPr>
            <w:tcW w:w="1010" w:type="dxa"/>
          </w:tcPr>
          <w:p>
            <w:pPr>
              <w:pStyle w:val="TableParagraph"/>
              <w:rPr>
                <w:rFonts w:ascii="Times New Roman"/>
                <w:sz w:val="16"/>
              </w:rPr>
            </w:pPr>
          </w:p>
        </w:tc>
        <w:tc>
          <w:tcPr>
            <w:tcW w:w="1077" w:type="dxa"/>
          </w:tcPr>
          <w:p>
            <w:pPr>
              <w:pStyle w:val="TableParagraph"/>
              <w:spacing w:before="44"/>
              <w:ind w:right="60"/>
              <w:jc w:val="right"/>
              <w:rPr>
                <w:rFonts w:ascii="Caladea"/>
                <w:b/>
                <w:sz w:val="14"/>
              </w:rPr>
            </w:pPr>
            <w:r>
              <w:rPr>
                <w:rFonts w:ascii="Caladea"/>
                <w:b/>
                <w:sz w:val="14"/>
              </w:rPr>
              <w:t>(76.530)</w:t>
            </w:r>
          </w:p>
        </w:tc>
        <w:tc>
          <w:tcPr>
            <w:tcW w:w="1175" w:type="dxa"/>
          </w:tcPr>
          <w:p>
            <w:pPr>
              <w:pStyle w:val="TableParagraph"/>
              <w:spacing w:before="44"/>
              <w:ind w:right="57"/>
              <w:jc w:val="right"/>
              <w:rPr>
                <w:rFonts w:ascii="Caladea"/>
                <w:b/>
                <w:sz w:val="14"/>
              </w:rPr>
            </w:pPr>
            <w:r>
              <w:rPr>
                <w:rFonts w:ascii="Caladea"/>
                <w:b/>
                <w:sz w:val="14"/>
              </w:rPr>
              <w:t>(572.020)</w:t>
            </w:r>
          </w:p>
        </w:tc>
      </w:tr>
      <w:tr>
        <w:trPr>
          <w:trHeight w:val="256" w:hRule="atLeast"/>
        </w:trPr>
        <w:tc>
          <w:tcPr>
            <w:tcW w:w="3428" w:type="dxa"/>
          </w:tcPr>
          <w:p>
            <w:pPr>
              <w:pStyle w:val="TableParagraph"/>
              <w:spacing w:before="46"/>
              <w:ind w:left="165"/>
              <w:rPr>
                <w:sz w:val="14"/>
              </w:rPr>
            </w:pPr>
            <w:r>
              <w:rPr>
                <w:sz w:val="14"/>
              </w:rPr>
              <w:t>Amortizações</w:t>
            </w:r>
          </w:p>
        </w:tc>
        <w:tc>
          <w:tcPr>
            <w:tcW w:w="1087" w:type="dxa"/>
          </w:tcPr>
          <w:p>
            <w:pPr>
              <w:pStyle w:val="TableParagraph"/>
              <w:spacing w:before="46"/>
              <w:ind w:right="59"/>
              <w:jc w:val="right"/>
              <w:rPr>
                <w:sz w:val="14"/>
              </w:rPr>
            </w:pPr>
            <w:r>
              <w:rPr>
                <w:sz w:val="14"/>
              </w:rPr>
              <w:t>(42.051)</w:t>
            </w:r>
          </w:p>
        </w:tc>
        <w:tc>
          <w:tcPr>
            <w:tcW w:w="1063" w:type="dxa"/>
          </w:tcPr>
          <w:p>
            <w:pPr>
              <w:pStyle w:val="TableParagraph"/>
              <w:rPr>
                <w:rFonts w:ascii="Times New Roman"/>
                <w:sz w:val="16"/>
              </w:rPr>
            </w:pPr>
          </w:p>
        </w:tc>
        <w:tc>
          <w:tcPr>
            <w:tcW w:w="1072" w:type="dxa"/>
          </w:tcPr>
          <w:p>
            <w:pPr>
              <w:pStyle w:val="TableParagraph"/>
              <w:spacing w:before="46"/>
              <w:ind w:right="57"/>
              <w:jc w:val="right"/>
              <w:rPr>
                <w:sz w:val="14"/>
              </w:rPr>
            </w:pPr>
            <w:r>
              <w:rPr>
                <w:sz w:val="14"/>
              </w:rPr>
              <w:t>(11.161)</w:t>
            </w:r>
          </w:p>
        </w:tc>
        <w:tc>
          <w:tcPr>
            <w:tcW w:w="1010" w:type="dxa"/>
          </w:tcPr>
          <w:p>
            <w:pPr>
              <w:pStyle w:val="TableParagraph"/>
              <w:rPr>
                <w:rFonts w:ascii="Times New Roman"/>
                <w:sz w:val="16"/>
              </w:rPr>
            </w:pPr>
          </w:p>
        </w:tc>
        <w:tc>
          <w:tcPr>
            <w:tcW w:w="1077" w:type="dxa"/>
          </w:tcPr>
          <w:p>
            <w:pPr>
              <w:pStyle w:val="TableParagraph"/>
              <w:spacing w:before="46"/>
              <w:ind w:right="58"/>
              <w:jc w:val="right"/>
              <w:rPr>
                <w:sz w:val="14"/>
              </w:rPr>
            </w:pPr>
            <w:r>
              <w:rPr>
                <w:sz w:val="14"/>
              </w:rPr>
              <w:t>(5.887)</w:t>
            </w:r>
          </w:p>
        </w:tc>
        <w:tc>
          <w:tcPr>
            <w:tcW w:w="1175" w:type="dxa"/>
          </w:tcPr>
          <w:p>
            <w:pPr>
              <w:pStyle w:val="TableParagraph"/>
              <w:spacing w:before="46"/>
              <w:ind w:right="55"/>
              <w:jc w:val="right"/>
              <w:rPr>
                <w:sz w:val="14"/>
              </w:rPr>
            </w:pPr>
            <w:r>
              <w:rPr>
                <w:sz w:val="14"/>
              </w:rPr>
              <w:t>(59.099)</w:t>
            </w:r>
          </w:p>
        </w:tc>
      </w:tr>
      <w:tr>
        <w:trPr>
          <w:trHeight w:val="254" w:hRule="atLeast"/>
        </w:trPr>
        <w:tc>
          <w:tcPr>
            <w:tcW w:w="3428" w:type="dxa"/>
          </w:tcPr>
          <w:p>
            <w:pPr>
              <w:pStyle w:val="TableParagraph"/>
              <w:spacing w:before="44"/>
              <w:ind w:left="72"/>
              <w:rPr>
                <w:rFonts w:ascii="Caladea"/>
                <w:b/>
                <w:sz w:val="14"/>
              </w:rPr>
            </w:pPr>
            <w:r>
              <w:rPr>
                <w:rFonts w:ascii="Caladea"/>
                <w:b/>
                <w:sz w:val="14"/>
              </w:rPr>
              <w:t>Saldo em 31 de dezembro de 2019</w:t>
            </w:r>
          </w:p>
        </w:tc>
        <w:tc>
          <w:tcPr>
            <w:tcW w:w="1087" w:type="dxa"/>
          </w:tcPr>
          <w:p>
            <w:pPr>
              <w:pStyle w:val="TableParagraph"/>
              <w:spacing w:before="44"/>
              <w:ind w:right="60"/>
              <w:jc w:val="right"/>
              <w:rPr>
                <w:rFonts w:ascii="Caladea"/>
                <w:b/>
                <w:sz w:val="14"/>
              </w:rPr>
            </w:pPr>
            <w:r>
              <w:rPr>
                <w:rFonts w:ascii="Caladea"/>
                <w:b/>
                <w:sz w:val="14"/>
              </w:rPr>
              <w:t>(460.013)</w:t>
            </w:r>
          </w:p>
        </w:tc>
        <w:tc>
          <w:tcPr>
            <w:tcW w:w="1063" w:type="dxa"/>
          </w:tcPr>
          <w:p>
            <w:pPr>
              <w:pStyle w:val="TableParagraph"/>
              <w:rPr>
                <w:rFonts w:ascii="Times New Roman"/>
                <w:sz w:val="16"/>
              </w:rPr>
            </w:pPr>
          </w:p>
        </w:tc>
        <w:tc>
          <w:tcPr>
            <w:tcW w:w="1072" w:type="dxa"/>
          </w:tcPr>
          <w:p>
            <w:pPr>
              <w:pStyle w:val="TableParagraph"/>
              <w:spacing w:before="44"/>
              <w:ind w:right="59"/>
              <w:jc w:val="right"/>
              <w:rPr>
                <w:rFonts w:ascii="Caladea"/>
                <w:b/>
                <w:sz w:val="14"/>
              </w:rPr>
            </w:pPr>
            <w:r>
              <w:rPr>
                <w:rFonts w:ascii="Caladea"/>
                <w:b/>
                <w:sz w:val="14"/>
              </w:rPr>
              <w:t>(88.689)</w:t>
            </w:r>
          </w:p>
        </w:tc>
        <w:tc>
          <w:tcPr>
            <w:tcW w:w="1010" w:type="dxa"/>
          </w:tcPr>
          <w:p>
            <w:pPr>
              <w:pStyle w:val="TableParagraph"/>
              <w:rPr>
                <w:rFonts w:ascii="Times New Roman"/>
                <w:sz w:val="16"/>
              </w:rPr>
            </w:pPr>
          </w:p>
        </w:tc>
        <w:tc>
          <w:tcPr>
            <w:tcW w:w="1077" w:type="dxa"/>
          </w:tcPr>
          <w:p>
            <w:pPr>
              <w:pStyle w:val="TableParagraph"/>
              <w:spacing w:before="44"/>
              <w:ind w:right="59"/>
              <w:jc w:val="right"/>
              <w:rPr>
                <w:rFonts w:ascii="Caladea"/>
                <w:b/>
                <w:sz w:val="14"/>
              </w:rPr>
            </w:pPr>
            <w:r>
              <w:rPr>
                <w:rFonts w:ascii="Caladea"/>
                <w:b/>
                <w:sz w:val="14"/>
              </w:rPr>
              <w:t>(82.417)</w:t>
            </w:r>
          </w:p>
        </w:tc>
        <w:tc>
          <w:tcPr>
            <w:tcW w:w="1175" w:type="dxa"/>
          </w:tcPr>
          <w:p>
            <w:pPr>
              <w:pStyle w:val="TableParagraph"/>
              <w:spacing w:before="44"/>
              <w:ind w:right="56"/>
              <w:jc w:val="right"/>
              <w:rPr>
                <w:rFonts w:ascii="Caladea"/>
                <w:b/>
                <w:sz w:val="14"/>
              </w:rPr>
            </w:pPr>
            <w:r>
              <w:rPr>
                <w:rFonts w:ascii="Caladea"/>
                <w:b/>
                <w:sz w:val="14"/>
              </w:rPr>
              <w:t>(631.119)</w:t>
            </w:r>
          </w:p>
        </w:tc>
      </w:tr>
      <w:tr>
        <w:trPr>
          <w:trHeight w:val="253" w:hRule="atLeast"/>
        </w:trPr>
        <w:tc>
          <w:tcPr>
            <w:tcW w:w="3428" w:type="dxa"/>
          </w:tcPr>
          <w:p>
            <w:pPr>
              <w:pStyle w:val="TableParagraph"/>
              <w:spacing w:before="44"/>
              <w:ind w:left="103"/>
              <w:rPr>
                <w:rFonts w:ascii="Caladea" w:hAnsi="Caladea"/>
                <w:b/>
                <w:sz w:val="14"/>
              </w:rPr>
            </w:pPr>
            <w:r>
              <w:rPr>
                <w:rFonts w:ascii="Caladea" w:hAnsi="Caladea"/>
                <w:b/>
                <w:w w:val="105"/>
                <w:sz w:val="14"/>
              </w:rPr>
              <w:t>Intangível Líquido </w:t>
            </w:r>
            <w:r>
              <w:rPr>
                <w:b/>
                <w:w w:val="105"/>
                <w:sz w:val="14"/>
              </w:rPr>
              <w:t>– </w:t>
            </w:r>
            <w:r>
              <w:rPr>
                <w:rFonts w:ascii="Caladea" w:hAnsi="Caladea"/>
                <w:b/>
                <w:w w:val="105"/>
                <w:sz w:val="14"/>
              </w:rPr>
              <w:t>31/12/2018</w:t>
            </w:r>
          </w:p>
        </w:tc>
        <w:tc>
          <w:tcPr>
            <w:tcW w:w="1087" w:type="dxa"/>
          </w:tcPr>
          <w:p>
            <w:pPr>
              <w:pStyle w:val="TableParagraph"/>
              <w:spacing w:before="44"/>
              <w:ind w:right="57"/>
              <w:jc w:val="right"/>
              <w:rPr>
                <w:rFonts w:ascii="Caladea"/>
                <w:b/>
                <w:sz w:val="14"/>
              </w:rPr>
            </w:pPr>
            <w:r>
              <w:rPr>
                <w:rFonts w:ascii="Caladea"/>
                <w:b/>
                <w:w w:val="95"/>
                <w:sz w:val="14"/>
              </w:rPr>
              <w:t>747.662</w:t>
            </w:r>
          </w:p>
        </w:tc>
        <w:tc>
          <w:tcPr>
            <w:tcW w:w="1063" w:type="dxa"/>
          </w:tcPr>
          <w:p>
            <w:pPr>
              <w:pStyle w:val="TableParagraph"/>
              <w:spacing w:before="44"/>
              <w:ind w:right="56"/>
              <w:jc w:val="right"/>
              <w:rPr>
                <w:rFonts w:ascii="Caladea"/>
                <w:b/>
                <w:sz w:val="14"/>
              </w:rPr>
            </w:pPr>
            <w:r>
              <w:rPr>
                <w:rFonts w:ascii="Caladea"/>
                <w:b/>
                <w:sz w:val="14"/>
              </w:rPr>
              <w:t>61.827</w:t>
            </w:r>
          </w:p>
        </w:tc>
        <w:tc>
          <w:tcPr>
            <w:tcW w:w="1072" w:type="dxa"/>
          </w:tcPr>
          <w:p>
            <w:pPr>
              <w:pStyle w:val="TableParagraph"/>
              <w:spacing w:before="44"/>
              <w:ind w:right="55"/>
              <w:jc w:val="right"/>
              <w:rPr>
                <w:rFonts w:ascii="Caladea"/>
                <w:b/>
                <w:sz w:val="14"/>
              </w:rPr>
            </w:pPr>
            <w:r>
              <w:rPr>
                <w:rFonts w:ascii="Caladea"/>
                <w:b/>
                <w:sz w:val="14"/>
              </w:rPr>
              <w:t>28.147</w:t>
            </w:r>
          </w:p>
        </w:tc>
        <w:tc>
          <w:tcPr>
            <w:tcW w:w="1010" w:type="dxa"/>
          </w:tcPr>
          <w:p>
            <w:pPr>
              <w:pStyle w:val="TableParagraph"/>
              <w:spacing w:before="44"/>
              <w:ind w:right="59"/>
              <w:jc w:val="right"/>
              <w:rPr>
                <w:rFonts w:ascii="Caladea"/>
                <w:b/>
                <w:sz w:val="14"/>
              </w:rPr>
            </w:pPr>
            <w:r>
              <w:rPr>
                <w:rFonts w:ascii="Caladea"/>
                <w:b/>
                <w:w w:val="95"/>
                <w:sz w:val="14"/>
              </w:rPr>
              <w:t>54</w:t>
            </w:r>
          </w:p>
        </w:tc>
        <w:tc>
          <w:tcPr>
            <w:tcW w:w="1077" w:type="dxa"/>
          </w:tcPr>
          <w:p>
            <w:pPr>
              <w:pStyle w:val="TableParagraph"/>
              <w:spacing w:before="44"/>
              <w:ind w:right="56"/>
              <w:jc w:val="right"/>
              <w:rPr>
                <w:rFonts w:ascii="Caladea"/>
                <w:b/>
                <w:sz w:val="14"/>
              </w:rPr>
            </w:pPr>
            <w:r>
              <w:rPr>
                <w:rFonts w:ascii="Caladea"/>
                <w:b/>
                <w:w w:val="95"/>
                <w:sz w:val="14"/>
              </w:rPr>
              <w:t>82.416</w:t>
            </w:r>
          </w:p>
        </w:tc>
        <w:tc>
          <w:tcPr>
            <w:tcW w:w="1175" w:type="dxa"/>
          </w:tcPr>
          <w:p>
            <w:pPr>
              <w:pStyle w:val="TableParagraph"/>
              <w:spacing w:before="44"/>
              <w:ind w:right="53"/>
              <w:jc w:val="right"/>
              <w:rPr>
                <w:rFonts w:ascii="Caladea"/>
                <w:b/>
                <w:sz w:val="14"/>
              </w:rPr>
            </w:pPr>
            <w:r>
              <w:rPr>
                <w:rFonts w:ascii="Caladea"/>
                <w:b/>
                <w:w w:val="95"/>
                <w:sz w:val="14"/>
              </w:rPr>
              <w:t>920.106</w:t>
            </w:r>
          </w:p>
        </w:tc>
      </w:tr>
      <w:tr>
        <w:trPr>
          <w:trHeight w:val="256" w:hRule="atLeast"/>
        </w:trPr>
        <w:tc>
          <w:tcPr>
            <w:tcW w:w="3428" w:type="dxa"/>
          </w:tcPr>
          <w:p>
            <w:pPr>
              <w:pStyle w:val="TableParagraph"/>
              <w:spacing w:before="44"/>
              <w:ind w:left="103"/>
              <w:rPr>
                <w:rFonts w:ascii="Caladea" w:hAnsi="Caladea"/>
                <w:b/>
                <w:sz w:val="14"/>
              </w:rPr>
            </w:pPr>
            <w:r>
              <w:rPr>
                <w:rFonts w:ascii="Caladea" w:hAnsi="Caladea"/>
                <w:b/>
                <w:w w:val="105"/>
                <w:sz w:val="14"/>
              </w:rPr>
              <w:t>Intangível Líquido </w:t>
            </w:r>
            <w:r>
              <w:rPr>
                <w:b/>
                <w:w w:val="105"/>
                <w:sz w:val="14"/>
              </w:rPr>
              <w:t>– </w:t>
            </w:r>
            <w:r>
              <w:rPr>
                <w:rFonts w:ascii="Caladea" w:hAnsi="Caladea"/>
                <w:b/>
                <w:w w:val="105"/>
                <w:sz w:val="14"/>
              </w:rPr>
              <w:t>31/12/2019</w:t>
            </w:r>
          </w:p>
        </w:tc>
        <w:tc>
          <w:tcPr>
            <w:tcW w:w="1087" w:type="dxa"/>
          </w:tcPr>
          <w:p>
            <w:pPr>
              <w:pStyle w:val="TableParagraph"/>
              <w:spacing w:before="44"/>
              <w:ind w:right="56"/>
              <w:jc w:val="right"/>
              <w:rPr>
                <w:rFonts w:ascii="Caladea"/>
                <w:b/>
                <w:sz w:val="14"/>
              </w:rPr>
            </w:pPr>
            <w:r>
              <w:rPr>
                <w:rFonts w:ascii="Caladea"/>
                <w:b/>
                <w:w w:val="95"/>
                <w:sz w:val="14"/>
              </w:rPr>
              <w:t>717.289</w:t>
            </w:r>
          </w:p>
        </w:tc>
        <w:tc>
          <w:tcPr>
            <w:tcW w:w="1063" w:type="dxa"/>
          </w:tcPr>
          <w:p>
            <w:pPr>
              <w:pStyle w:val="TableParagraph"/>
              <w:spacing w:before="44"/>
              <w:ind w:right="56"/>
              <w:jc w:val="right"/>
              <w:rPr>
                <w:rFonts w:ascii="Caladea"/>
                <w:b/>
                <w:sz w:val="14"/>
              </w:rPr>
            </w:pPr>
            <w:r>
              <w:rPr>
                <w:rFonts w:ascii="Caladea"/>
                <w:b/>
                <w:sz w:val="14"/>
              </w:rPr>
              <w:t>81.233</w:t>
            </w:r>
          </w:p>
        </w:tc>
        <w:tc>
          <w:tcPr>
            <w:tcW w:w="1072" w:type="dxa"/>
          </w:tcPr>
          <w:p>
            <w:pPr>
              <w:pStyle w:val="TableParagraph"/>
              <w:spacing w:before="44"/>
              <w:ind w:right="55"/>
              <w:jc w:val="right"/>
              <w:rPr>
                <w:rFonts w:ascii="Caladea"/>
                <w:b/>
                <w:sz w:val="14"/>
              </w:rPr>
            </w:pPr>
            <w:r>
              <w:rPr>
                <w:rFonts w:ascii="Caladea"/>
                <w:b/>
                <w:sz w:val="14"/>
              </w:rPr>
              <w:t>16.962</w:t>
            </w:r>
          </w:p>
        </w:tc>
        <w:tc>
          <w:tcPr>
            <w:tcW w:w="1010" w:type="dxa"/>
          </w:tcPr>
          <w:p>
            <w:pPr>
              <w:pStyle w:val="TableParagraph"/>
              <w:spacing w:before="44"/>
              <w:ind w:right="57"/>
              <w:jc w:val="right"/>
              <w:rPr>
                <w:rFonts w:ascii="Caladea"/>
                <w:b/>
                <w:sz w:val="14"/>
              </w:rPr>
            </w:pPr>
            <w:r>
              <w:rPr>
                <w:rFonts w:ascii="Caladea"/>
                <w:b/>
                <w:w w:val="95"/>
                <w:sz w:val="14"/>
              </w:rPr>
              <w:t>1.930</w:t>
            </w:r>
          </w:p>
        </w:tc>
        <w:tc>
          <w:tcPr>
            <w:tcW w:w="1077" w:type="dxa"/>
          </w:tcPr>
          <w:p>
            <w:pPr>
              <w:pStyle w:val="TableParagraph"/>
              <w:spacing w:before="44"/>
              <w:ind w:right="56"/>
              <w:jc w:val="right"/>
              <w:rPr>
                <w:rFonts w:ascii="Caladea"/>
                <w:b/>
                <w:sz w:val="14"/>
              </w:rPr>
            </w:pPr>
            <w:r>
              <w:rPr>
                <w:rFonts w:ascii="Caladea"/>
                <w:b/>
                <w:w w:val="95"/>
                <w:sz w:val="14"/>
              </w:rPr>
              <w:t>76.529</w:t>
            </w:r>
          </w:p>
        </w:tc>
        <w:tc>
          <w:tcPr>
            <w:tcW w:w="1175" w:type="dxa"/>
          </w:tcPr>
          <w:p>
            <w:pPr>
              <w:pStyle w:val="TableParagraph"/>
              <w:spacing w:before="44"/>
              <w:ind w:right="52"/>
              <w:jc w:val="right"/>
              <w:rPr>
                <w:rFonts w:ascii="Caladea"/>
                <w:b/>
                <w:sz w:val="14"/>
              </w:rPr>
            </w:pPr>
            <w:r>
              <w:rPr>
                <w:rFonts w:ascii="Caladea"/>
                <w:b/>
                <w:w w:val="95"/>
                <w:sz w:val="14"/>
              </w:rPr>
              <w:t>893.943</w:t>
            </w:r>
          </w:p>
        </w:tc>
      </w:tr>
    </w:tbl>
    <w:p>
      <w:pPr>
        <w:pStyle w:val="BodyText"/>
        <w:spacing w:line="244" w:lineRule="auto" w:before="124"/>
        <w:ind w:left="172" w:right="420"/>
        <w:jc w:val="both"/>
      </w:pPr>
      <w:r>
        <w:rPr/>
        <w:t>Não houve indícios de perdas no valor recuperável desses ativos até a data de emissão destas demonstrações financeiras.</w:t>
      </w:r>
    </w:p>
    <w:p>
      <w:pPr>
        <w:pStyle w:val="BodyText"/>
        <w:spacing w:line="242" w:lineRule="auto" w:before="115"/>
        <w:ind w:left="172" w:right="413"/>
        <w:jc w:val="both"/>
      </w:pPr>
      <w:r>
        <w:rPr/>
        <w:t>A</w:t>
      </w:r>
      <w:r>
        <w:rPr>
          <w:spacing w:val="-31"/>
        </w:rPr>
        <w:t> </w:t>
      </w:r>
      <w:r>
        <w:rPr/>
        <w:t>ANEEL</w:t>
      </w:r>
      <w:r>
        <w:rPr>
          <w:spacing w:val="-31"/>
        </w:rPr>
        <w:t> </w:t>
      </w:r>
      <w:r>
        <w:rPr/>
        <w:t>é</w:t>
      </w:r>
      <w:r>
        <w:rPr>
          <w:spacing w:val="-32"/>
        </w:rPr>
        <w:t> </w:t>
      </w:r>
      <w:r>
        <w:rPr/>
        <w:t>responsável</w:t>
      </w:r>
      <w:r>
        <w:rPr>
          <w:spacing w:val="-31"/>
        </w:rPr>
        <w:t> </w:t>
      </w:r>
      <w:r>
        <w:rPr/>
        <w:t>por</w:t>
      </w:r>
      <w:r>
        <w:rPr>
          <w:spacing w:val="-31"/>
        </w:rPr>
        <w:t> </w:t>
      </w:r>
      <w:r>
        <w:rPr/>
        <w:t>estabelecer</w:t>
      </w:r>
      <w:r>
        <w:rPr>
          <w:spacing w:val="-31"/>
        </w:rPr>
        <w:t> </w:t>
      </w:r>
      <w:r>
        <w:rPr/>
        <w:t>a</w:t>
      </w:r>
      <w:r>
        <w:rPr>
          <w:spacing w:val="-31"/>
        </w:rPr>
        <w:t> </w:t>
      </w:r>
      <w:r>
        <w:rPr/>
        <w:t>vida</w:t>
      </w:r>
      <w:r>
        <w:rPr>
          <w:spacing w:val="-31"/>
        </w:rPr>
        <w:t> </w:t>
      </w:r>
      <w:r>
        <w:rPr/>
        <w:t>útil</w:t>
      </w:r>
      <w:r>
        <w:rPr>
          <w:spacing w:val="-30"/>
        </w:rPr>
        <w:t> </w:t>
      </w:r>
      <w:r>
        <w:rPr/>
        <w:t>econômica</w:t>
      </w:r>
      <w:r>
        <w:rPr>
          <w:spacing w:val="-31"/>
        </w:rPr>
        <w:t> </w:t>
      </w:r>
      <w:r>
        <w:rPr/>
        <w:t>estimada</w:t>
      </w:r>
      <w:r>
        <w:rPr>
          <w:spacing w:val="-31"/>
        </w:rPr>
        <w:t> </w:t>
      </w:r>
      <w:r>
        <w:rPr/>
        <w:t>de</w:t>
      </w:r>
      <w:r>
        <w:rPr>
          <w:spacing w:val="-32"/>
        </w:rPr>
        <w:t> </w:t>
      </w:r>
      <w:r>
        <w:rPr/>
        <w:t>cada</w:t>
      </w:r>
      <w:r>
        <w:rPr>
          <w:spacing w:val="-31"/>
        </w:rPr>
        <w:t> </w:t>
      </w:r>
      <w:r>
        <w:rPr/>
        <w:t>bem</w:t>
      </w:r>
      <w:r>
        <w:rPr>
          <w:spacing w:val="-29"/>
        </w:rPr>
        <w:t> </w:t>
      </w:r>
      <w:r>
        <w:rPr/>
        <w:t>integrante</w:t>
      </w:r>
      <w:r>
        <w:rPr>
          <w:spacing w:val="-32"/>
        </w:rPr>
        <w:t> </w:t>
      </w:r>
      <w:r>
        <w:rPr/>
        <w:t>da</w:t>
      </w:r>
      <w:r>
        <w:rPr>
          <w:spacing w:val="-31"/>
        </w:rPr>
        <w:t> </w:t>
      </w:r>
      <w:r>
        <w:rPr/>
        <w:t>infraestrutura</w:t>
      </w:r>
      <w:r>
        <w:rPr>
          <w:spacing w:val="-29"/>
        </w:rPr>
        <w:t> </w:t>
      </w:r>
      <w:r>
        <w:rPr/>
        <w:t>de distribuição,</w:t>
      </w:r>
      <w:r>
        <w:rPr>
          <w:spacing w:val="-47"/>
        </w:rPr>
        <w:t> </w:t>
      </w:r>
      <w:r>
        <w:rPr/>
        <w:t>para</w:t>
      </w:r>
      <w:r>
        <w:rPr>
          <w:spacing w:val="-45"/>
        </w:rPr>
        <w:t> </w:t>
      </w:r>
      <w:r>
        <w:rPr/>
        <w:t>efeitos</w:t>
      </w:r>
      <w:r>
        <w:rPr>
          <w:spacing w:val="-45"/>
        </w:rPr>
        <w:t> </w:t>
      </w:r>
      <w:r>
        <w:rPr/>
        <w:t>de</w:t>
      </w:r>
      <w:r>
        <w:rPr>
          <w:spacing w:val="-45"/>
        </w:rPr>
        <w:t> </w:t>
      </w:r>
      <w:r>
        <w:rPr/>
        <w:t>determinação</w:t>
      </w:r>
      <w:r>
        <w:rPr>
          <w:spacing w:val="-47"/>
        </w:rPr>
        <w:t> </w:t>
      </w:r>
      <w:r>
        <w:rPr/>
        <w:t>da</w:t>
      </w:r>
      <w:r>
        <w:rPr>
          <w:spacing w:val="-46"/>
        </w:rPr>
        <w:t> </w:t>
      </w:r>
      <w:r>
        <w:rPr/>
        <w:t>tarifa,</w:t>
      </w:r>
      <w:r>
        <w:rPr>
          <w:spacing w:val="-46"/>
        </w:rPr>
        <w:t> </w:t>
      </w:r>
      <w:r>
        <w:rPr/>
        <w:t>bem</w:t>
      </w:r>
      <w:r>
        <w:rPr>
          <w:spacing w:val="-45"/>
        </w:rPr>
        <w:t> </w:t>
      </w:r>
      <w:r>
        <w:rPr/>
        <w:t>como</w:t>
      </w:r>
      <w:r>
        <w:rPr>
          <w:spacing w:val="-46"/>
        </w:rPr>
        <w:t> </w:t>
      </w:r>
      <w:r>
        <w:rPr/>
        <w:t>para</w:t>
      </w:r>
      <w:r>
        <w:rPr>
          <w:spacing w:val="-46"/>
        </w:rPr>
        <w:t> </w:t>
      </w:r>
      <w:r>
        <w:rPr/>
        <w:t>apuração</w:t>
      </w:r>
      <w:r>
        <w:rPr>
          <w:spacing w:val="-47"/>
        </w:rPr>
        <w:t> </w:t>
      </w:r>
      <w:r>
        <w:rPr/>
        <w:t>do</w:t>
      </w:r>
      <w:r>
        <w:rPr>
          <w:spacing w:val="-46"/>
        </w:rPr>
        <w:t> </w:t>
      </w:r>
      <w:r>
        <w:rPr/>
        <w:t>valor</w:t>
      </w:r>
      <w:r>
        <w:rPr>
          <w:spacing w:val="-47"/>
        </w:rPr>
        <w:t> </w:t>
      </w:r>
      <w:r>
        <w:rPr/>
        <w:t>da</w:t>
      </w:r>
      <w:r>
        <w:rPr>
          <w:spacing w:val="-46"/>
        </w:rPr>
        <w:t> </w:t>
      </w:r>
      <w:r>
        <w:rPr/>
        <w:t>indenização</w:t>
      </w:r>
      <w:r>
        <w:rPr>
          <w:spacing w:val="-46"/>
        </w:rPr>
        <w:t> </w:t>
      </w:r>
      <w:r>
        <w:rPr/>
        <w:t>no</w:t>
      </w:r>
      <w:r>
        <w:rPr>
          <w:spacing w:val="-46"/>
        </w:rPr>
        <w:t> </w:t>
      </w:r>
      <w:r>
        <w:rPr/>
        <w:t>vencimento </w:t>
      </w:r>
      <w:r>
        <w:rPr>
          <w:w w:val="95"/>
        </w:rPr>
        <w:t>da</w:t>
      </w:r>
      <w:r>
        <w:rPr>
          <w:spacing w:val="-22"/>
          <w:w w:val="95"/>
        </w:rPr>
        <w:t> </w:t>
      </w:r>
      <w:r>
        <w:rPr>
          <w:w w:val="95"/>
        </w:rPr>
        <w:t>concessão.</w:t>
      </w:r>
      <w:r>
        <w:rPr>
          <w:spacing w:val="-23"/>
          <w:w w:val="95"/>
        </w:rPr>
        <w:t> </w:t>
      </w:r>
      <w:r>
        <w:rPr>
          <w:w w:val="95"/>
        </w:rPr>
        <w:t>Essa</w:t>
      </w:r>
      <w:r>
        <w:rPr>
          <w:spacing w:val="-19"/>
          <w:w w:val="95"/>
        </w:rPr>
        <w:t> </w:t>
      </w:r>
      <w:r>
        <w:rPr>
          <w:w w:val="95"/>
        </w:rPr>
        <w:t>estimativa</w:t>
      </w:r>
      <w:r>
        <w:rPr>
          <w:spacing w:val="-21"/>
          <w:w w:val="95"/>
        </w:rPr>
        <w:t> </w:t>
      </w:r>
      <w:r>
        <w:rPr>
          <w:w w:val="95"/>
        </w:rPr>
        <w:t>é</w:t>
      </w:r>
      <w:r>
        <w:rPr>
          <w:spacing w:val="-21"/>
          <w:w w:val="95"/>
        </w:rPr>
        <w:t> </w:t>
      </w:r>
      <w:r>
        <w:rPr>
          <w:w w:val="95"/>
        </w:rPr>
        <w:t>revisada</w:t>
      </w:r>
      <w:r>
        <w:rPr>
          <w:spacing w:val="-22"/>
          <w:w w:val="95"/>
        </w:rPr>
        <w:t> </w:t>
      </w:r>
      <w:r>
        <w:rPr>
          <w:w w:val="95"/>
        </w:rPr>
        <w:t>periodicamente</w:t>
      </w:r>
      <w:r>
        <w:rPr>
          <w:spacing w:val="-19"/>
          <w:w w:val="95"/>
        </w:rPr>
        <w:t> </w:t>
      </w:r>
      <w:r>
        <w:rPr>
          <w:w w:val="95"/>
        </w:rPr>
        <w:t>e</w:t>
      </w:r>
      <w:r>
        <w:rPr>
          <w:spacing w:val="-24"/>
          <w:w w:val="95"/>
        </w:rPr>
        <w:t> </w:t>
      </w:r>
      <w:r>
        <w:rPr>
          <w:w w:val="95"/>
        </w:rPr>
        <w:t>aceita</w:t>
      </w:r>
      <w:r>
        <w:rPr>
          <w:spacing w:val="-22"/>
          <w:w w:val="95"/>
        </w:rPr>
        <w:t> </w:t>
      </w:r>
      <w:r>
        <w:rPr>
          <w:w w:val="95"/>
        </w:rPr>
        <w:t>pelo</w:t>
      </w:r>
      <w:r>
        <w:rPr>
          <w:spacing w:val="-22"/>
          <w:w w:val="95"/>
        </w:rPr>
        <w:t> </w:t>
      </w:r>
      <w:r>
        <w:rPr>
          <w:w w:val="95"/>
        </w:rPr>
        <w:t>mercado</w:t>
      </w:r>
      <w:r>
        <w:rPr>
          <w:spacing w:val="-21"/>
          <w:w w:val="95"/>
        </w:rPr>
        <w:t> </w:t>
      </w:r>
      <w:r>
        <w:rPr>
          <w:w w:val="95"/>
        </w:rPr>
        <w:t>como</w:t>
      </w:r>
      <w:r>
        <w:rPr>
          <w:spacing w:val="-18"/>
          <w:w w:val="95"/>
        </w:rPr>
        <w:t> </w:t>
      </w:r>
      <w:r>
        <w:rPr>
          <w:w w:val="95"/>
        </w:rPr>
        <w:t>adequada</w:t>
      </w:r>
      <w:r>
        <w:rPr>
          <w:spacing w:val="-19"/>
          <w:w w:val="95"/>
        </w:rPr>
        <w:t> </w:t>
      </w:r>
      <w:r>
        <w:rPr>
          <w:w w:val="95"/>
        </w:rPr>
        <w:t>para</w:t>
      </w:r>
      <w:r>
        <w:rPr>
          <w:spacing w:val="-18"/>
          <w:w w:val="95"/>
        </w:rPr>
        <w:t> </w:t>
      </w:r>
      <w:r>
        <w:rPr>
          <w:w w:val="95"/>
        </w:rPr>
        <w:t>efeitos</w:t>
      </w:r>
      <w:r>
        <w:rPr>
          <w:spacing w:val="-22"/>
          <w:w w:val="95"/>
        </w:rPr>
        <w:t> </w:t>
      </w:r>
      <w:r>
        <w:rPr>
          <w:w w:val="95"/>
        </w:rPr>
        <w:t>contábeis </w:t>
      </w:r>
      <w:r>
        <w:rPr/>
        <w:t>e</w:t>
      </w:r>
      <w:r>
        <w:rPr>
          <w:spacing w:val="-20"/>
        </w:rPr>
        <w:t> </w:t>
      </w:r>
      <w:r>
        <w:rPr/>
        <w:t>regulatórios.</w:t>
      </w:r>
    </w:p>
    <w:p>
      <w:pPr>
        <w:pStyle w:val="BodyText"/>
        <w:spacing w:line="242" w:lineRule="auto" w:before="120"/>
        <w:ind w:left="172" w:right="407"/>
        <w:jc w:val="both"/>
      </w:pPr>
      <w:r>
        <w:rPr/>
        <w:t>As Obrigações Especiais vinculadas à concessão são representadas pelos valores e/ou bens recebidos de consumidores,</w:t>
      </w:r>
      <w:r>
        <w:rPr>
          <w:spacing w:val="-38"/>
        </w:rPr>
        <w:t> </w:t>
      </w:r>
      <w:r>
        <w:rPr/>
        <w:t>relativos</w:t>
      </w:r>
      <w:r>
        <w:rPr>
          <w:spacing w:val="-38"/>
        </w:rPr>
        <w:t> </w:t>
      </w:r>
      <w:r>
        <w:rPr/>
        <w:t>a</w:t>
      </w:r>
      <w:r>
        <w:rPr>
          <w:spacing w:val="-39"/>
        </w:rPr>
        <w:t> </w:t>
      </w:r>
      <w:r>
        <w:rPr/>
        <w:t>doações</w:t>
      </w:r>
      <w:r>
        <w:rPr>
          <w:spacing w:val="-38"/>
        </w:rPr>
        <w:t> </w:t>
      </w:r>
      <w:r>
        <w:rPr/>
        <w:t>e</w:t>
      </w:r>
      <w:r>
        <w:rPr>
          <w:spacing w:val="-38"/>
        </w:rPr>
        <w:t> </w:t>
      </w:r>
      <w:r>
        <w:rPr/>
        <w:t>participações</w:t>
      </w:r>
      <w:r>
        <w:rPr>
          <w:spacing w:val="-38"/>
        </w:rPr>
        <w:t> </w:t>
      </w:r>
      <w:r>
        <w:rPr/>
        <w:t>em</w:t>
      </w:r>
      <w:r>
        <w:rPr>
          <w:spacing w:val="-38"/>
        </w:rPr>
        <w:t> </w:t>
      </w:r>
      <w:r>
        <w:rPr/>
        <w:t>investimentos</w:t>
      </w:r>
      <w:r>
        <w:rPr>
          <w:spacing w:val="-38"/>
        </w:rPr>
        <w:t> </w:t>
      </w:r>
      <w:r>
        <w:rPr/>
        <w:t>realizados</w:t>
      </w:r>
      <w:r>
        <w:rPr>
          <w:spacing w:val="-38"/>
        </w:rPr>
        <w:t> </w:t>
      </w:r>
      <w:r>
        <w:rPr/>
        <w:t>em</w:t>
      </w:r>
      <w:r>
        <w:rPr>
          <w:spacing w:val="-39"/>
        </w:rPr>
        <w:t> </w:t>
      </w:r>
      <w:r>
        <w:rPr/>
        <w:t>parceria</w:t>
      </w:r>
      <w:r>
        <w:rPr>
          <w:spacing w:val="-37"/>
        </w:rPr>
        <w:t> </w:t>
      </w:r>
      <w:r>
        <w:rPr/>
        <w:t>com</w:t>
      </w:r>
      <w:r>
        <w:rPr>
          <w:spacing w:val="-39"/>
        </w:rPr>
        <w:t> </w:t>
      </w:r>
      <w:r>
        <w:rPr/>
        <w:t>a</w:t>
      </w:r>
      <w:r>
        <w:rPr>
          <w:spacing w:val="-39"/>
        </w:rPr>
        <w:t> </w:t>
      </w:r>
      <w:r>
        <w:rPr/>
        <w:t>concessionária.</w:t>
      </w:r>
    </w:p>
    <w:p>
      <w:pPr>
        <w:pStyle w:val="BodyText"/>
        <w:spacing w:line="242" w:lineRule="auto" w:before="119"/>
        <w:ind w:left="172" w:right="407"/>
        <w:jc w:val="both"/>
      </w:pPr>
      <w:r>
        <w:rPr/>
        <w:t>A</w:t>
      </w:r>
      <w:r>
        <w:rPr>
          <w:spacing w:val="-43"/>
        </w:rPr>
        <w:t> </w:t>
      </w:r>
      <w:r>
        <w:rPr/>
        <w:t>Administração</w:t>
      </w:r>
      <w:r>
        <w:rPr>
          <w:spacing w:val="-42"/>
        </w:rPr>
        <w:t> </w:t>
      </w:r>
      <w:r>
        <w:rPr/>
        <w:t>entende</w:t>
      </w:r>
      <w:r>
        <w:rPr>
          <w:spacing w:val="-42"/>
        </w:rPr>
        <w:t> </w:t>
      </w:r>
      <w:r>
        <w:rPr/>
        <w:t>que</w:t>
      </w:r>
      <w:r>
        <w:rPr>
          <w:spacing w:val="-43"/>
        </w:rPr>
        <w:t> </w:t>
      </w:r>
      <w:r>
        <w:rPr/>
        <w:t>a</w:t>
      </w:r>
      <w:r>
        <w:rPr>
          <w:spacing w:val="-42"/>
        </w:rPr>
        <w:t> </w:t>
      </w:r>
      <w:r>
        <w:rPr/>
        <w:t>amortização</w:t>
      </w:r>
      <w:r>
        <w:rPr>
          <w:spacing w:val="-43"/>
        </w:rPr>
        <w:t> </w:t>
      </w:r>
      <w:r>
        <w:rPr/>
        <w:t>do</w:t>
      </w:r>
      <w:r>
        <w:rPr>
          <w:spacing w:val="-41"/>
        </w:rPr>
        <w:t> </w:t>
      </w:r>
      <w:r>
        <w:rPr/>
        <w:t>direito</w:t>
      </w:r>
      <w:r>
        <w:rPr>
          <w:spacing w:val="-43"/>
        </w:rPr>
        <w:t> </w:t>
      </w:r>
      <w:r>
        <w:rPr/>
        <w:t>de</w:t>
      </w:r>
      <w:r>
        <w:rPr>
          <w:spacing w:val="-42"/>
        </w:rPr>
        <w:t> </w:t>
      </w:r>
      <w:r>
        <w:rPr/>
        <w:t>uso</w:t>
      </w:r>
      <w:r>
        <w:rPr>
          <w:spacing w:val="-43"/>
        </w:rPr>
        <w:t> </w:t>
      </w:r>
      <w:r>
        <w:rPr/>
        <w:t>da</w:t>
      </w:r>
      <w:r>
        <w:rPr>
          <w:spacing w:val="-42"/>
        </w:rPr>
        <w:t> </w:t>
      </w:r>
      <w:r>
        <w:rPr/>
        <w:t>concessão</w:t>
      </w:r>
      <w:r>
        <w:rPr>
          <w:spacing w:val="-42"/>
        </w:rPr>
        <w:t> </w:t>
      </w:r>
      <w:r>
        <w:rPr/>
        <w:t>deve</w:t>
      </w:r>
      <w:r>
        <w:rPr>
          <w:spacing w:val="-42"/>
        </w:rPr>
        <w:t> </w:t>
      </w:r>
      <w:r>
        <w:rPr/>
        <w:t>respeitar</w:t>
      </w:r>
      <w:r>
        <w:rPr>
          <w:spacing w:val="-42"/>
        </w:rPr>
        <w:t> </w:t>
      </w:r>
      <w:r>
        <w:rPr/>
        <w:t>o</w:t>
      </w:r>
      <w:r>
        <w:rPr>
          <w:spacing w:val="-41"/>
        </w:rPr>
        <w:t> </w:t>
      </w:r>
      <w:r>
        <w:rPr/>
        <w:t>retorno</w:t>
      </w:r>
      <w:r>
        <w:rPr>
          <w:spacing w:val="-42"/>
        </w:rPr>
        <w:t> </w:t>
      </w:r>
      <w:r>
        <w:rPr/>
        <w:t>esperado</w:t>
      </w:r>
      <w:r>
        <w:rPr>
          <w:spacing w:val="-43"/>
        </w:rPr>
        <w:t> </w:t>
      </w:r>
      <w:r>
        <w:rPr/>
        <w:t>de</w:t>
      </w:r>
      <w:r>
        <w:rPr>
          <w:spacing w:val="-43"/>
        </w:rPr>
        <w:t> </w:t>
      </w:r>
      <w:r>
        <w:rPr/>
        <w:t>cada bem</w:t>
      </w:r>
      <w:r>
        <w:rPr>
          <w:spacing w:val="-23"/>
        </w:rPr>
        <w:t> </w:t>
      </w:r>
      <w:r>
        <w:rPr/>
        <w:t>da</w:t>
      </w:r>
      <w:r>
        <w:rPr>
          <w:spacing w:val="-20"/>
        </w:rPr>
        <w:t> </w:t>
      </w:r>
      <w:r>
        <w:rPr/>
        <w:t>infraestrutura</w:t>
      </w:r>
      <w:r>
        <w:rPr>
          <w:spacing w:val="-22"/>
        </w:rPr>
        <w:t> </w:t>
      </w:r>
      <w:r>
        <w:rPr/>
        <w:t>da</w:t>
      </w:r>
      <w:r>
        <w:rPr>
          <w:spacing w:val="-20"/>
        </w:rPr>
        <w:t> </w:t>
      </w:r>
      <w:r>
        <w:rPr/>
        <w:t>concessão,</w:t>
      </w:r>
      <w:r>
        <w:rPr>
          <w:spacing w:val="-22"/>
        </w:rPr>
        <w:t> </w:t>
      </w:r>
      <w:r>
        <w:rPr/>
        <w:t>via</w:t>
      </w:r>
      <w:r>
        <w:rPr>
          <w:spacing w:val="-20"/>
        </w:rPr>
        <w:t> </w:t>
      </w:r>
      <w:r>
        <w:rPr/>
        <w:t>tarifa.</w:t>
      </w:r>
      <w:r>
        <w:rPr>
          <w:spacing w:val="-21"/>
        </w:rPr>
        <w:t> </w:t>
      </w:r>
      <w:r>
        <w:rPr/>
        <w:t>Assim</w:t>
      </w:r>
      <w:r>
        <w:rPr>
          <w:spacing w:val="-22"/>
        </w:rPr>
        <w:t> </w:t>
      </w:r>
      <w:r>
        <w:rPr/>
        <w:t>sendo,</w:t>
      </w:r>
      <w:r>
        <w:rPr>
          <w:spacing w:val="-21"/>
        </w:rPr>
        <w:t> </w:t>
      </w:r>
      <w:r>
        <w:rPr/>
        <w:t>o</w:t>
      </w:r>
      <w:r>
        <w:rPr>
          <w:spacing w:val="-21"/>
        </w:rPr>
        <w:t> </w:t>
      </w:r>
      <w:r>
        <w:rPr/>
        <w:t>intangível</w:t>
      </w:r>
      <w:r>
        <w:rPr>
          <w:spacing w:val="-20"/>
        </w:rPr>
        <w:t> </w:t>
      </w:r>
      <w:r>
        <w:rPr/>
        <w:t>é</w:t>
      </w:r>
      <w:r>
        <w:rPr>
          <w:spacing w:val="-23"/>
        </w:rPr>
        <w:t> </w:t>
      </w:r>
      <w:r>
        <w:rPr/>
        <w:t>amortizado</w:t>
      </w:r>
      <w:r>
        <w:rPr>
          <w:spacing w:val="-23"/>
        </w:rPr>
        <w:t> </w:t>
      </w:r>
      <w:r>
        <w:rPr/>
        <w:t>pelo</w:t>
      </w:r>
      <w:r>
        <w:rPr>
          <w:spacing w:val="-21"/>
        </w:rPr>
        <w:t> </w:t>
      </w:r>
      <w:r>
        <w:rPr/>
        <w:t>prazo</w:t>
      </w:r>
      <w:r>
        <w:rPr>
          <w:spacing w:val="-20"/>
        </w:rPr>
        <w:t> </w:t>
      </w:r>
      <w:r>
        <w:rPr/>
        <w:t>esperado</w:t>
      </w:r>
      <w:r>
        <w:rPr>
          <w:spacing w:val="-22"/>
        </w:rPr>
        <w:t> </w:t>
      </w:r>
      <w:r>
        <w:rPr/>
        <w:t>desse retorno,</w:t>
      </w:r>
      <w:r>
        <w:rPr>
          <w:spacing w:val="-20"/>
        </w:rPr>
        <w:t> </w:t>
      </w:r>
      <w:r>
        <w:rPr/>
        <w:t>limitado</w:t>
      </w:r>
      <w:r>
        <w:rPr>
          <w:spacing w:val="-20"/>
        </w:rPr>
        <w:t> </w:t>
      </w:r>
      <w:r>
        <w:rPr/>
        <w:t>ao</w:t>
      </w:r>
      <w:r>
        <w:rPr>
          <w:spacing w:val="-17"/>
        </w:rPr>
        <w:t> </w:t>
      </w:r>
      <w:r>
        <w:rPr/>
        <w:t>prazo</w:t>
      </w:r>
      <w:r>
        <w:rPr>
          <w:spacing w:val="-17"/>
        </w:rPr>
        <w:t> </w:t>
      </w:r>
      <w:r>
        <w:rPr/>
        <w:t>de</w:t>
      </w:r>
      <w:r>
        <w:rPr>
          <w:spacing w:val="-21"/>
        </w:rPr>
        <w:t> </w:t>
      </w:r>
      <w:r>
        <w:rPr/>
        <w:t>vencimento</w:t>
      </w:r>
      <w:r>
        <w:rPr>
          <w:spacing w:val="-18"/>
        </w:rPr>
        <w:t> </w:t>
      </w:r>
      <w:r>
        <w:rPr/>
        <w:t>da</w:t>
      </w:r>
      <w:r>
        <w:rPr>
          <w:spacing w:val="-18"/>
        </w:rPr>
        <w:t> </w:t>
      </w:r>
      <w:r>
        <w:rPr/>
        <w:t>concessão.</w:t>
      </w:r>
    </w:p>
    <w:p>
      <w:pPr>
        <w:pStyle w:val="BodyText"/>
        <w:spacing w:line="242" w:lineRule="auto" w:before="119"/>
        <w:ind w:left="172" w:right="406"/>
        <w:jc w:val="both"/>
      </w:pPr>
      <w:r>
        <w:rPr/>
        <w:t>O</w:t>
      </w:r>
      <w:r>
        <w:rPr>
          <w:spacing w:val="-41"/>
        </w:rPr>
        <w:t> </w:t>
      </w:r>
      <w:r>
        <w:rPr/>
        <w:t>valor</w:t>
      </w:r>
      <w:r>
        <w:rPr>
          <w:spacing w:val="-40"/>
        </w:rPr>
        <w:t> </w:t>
      </w:r>
      <w:r>
        <w:rPr/>
        <w:t>contábil</w:t>
      </w:r>
      <w:r>
        <w:rPr>
          <w:spacing w:val="-40"/>
        </w:rPr>
        <w:t> </w:t>
      </w:r>
      <w:r>
        <w:rPr/>
        <w:t>de</w:t>
      </w:r>
      <w:r>
        <w:rPr>
          <w:spacing w:val="-40"/>
        </w:rPr>
        <w:t> </w:t>
      </w:r>
      <w:r>
        <w:rPr/>
        <w:t>cada</w:t>
      </w:r>
      <w:r>
        <w:rPr>
          <w:spacing w:val="-39"/>
        </w:rPr>
        <w:t> </w:t>
      </w:r>
      <w:r>
        <w:rPr/>
        <w:t>bem</w:t>
      </w:r>
      <w:r>
        <w:rPr>
          <w:spacing w:val="-39"/>
        </w:rPr>
        <w:t> </w:t>
      </w:r>
      <w:r>
        <w:rPr/>
        <w:t>que</w:t>
      </w:r>
      <w:r>
        <w:rPr>
          <w:spacing w:val="-40"/>
        </w:rPr>
        <w:t> </w:t>
      </w:r>
      <w:r>
        <w:rPr/>
        <w:t>ultrapassa</w:t>
      </w:r>
      <w:r>
        <w:rPr>
          <w:spacing w:val="-39"/>
        </w:rPr>
        <w:t> </w:t>
      </w:r>
      <w:r>
        <w:rPr/>
        <w:t>o</w:t>
      </w:r>
      <w:r>
        <w:rPr>
          <w:spacing w:val="-40"/>
        </w:rPr>
        <w:t> </w:t>
      </w:r>
      <w:r>
        <w:rPr/>
        <w:t>prazo</w:t>
      </w:r>
      <w:r>
        <w:rPr>
          <w:spacing w:val="-38"/>
        </w:rPr>
        <w:t> </w:t>
      </w:r>
      <w:r>
        <w:rPr/>
        <w:t>do</w:t>
      </w:r>
      <w:r>
        <w:rPr>
          <w:spacing w:val="-39"/>
        </w:rPr>
        <w:t> </w:t>
      </w:r>
      <w:r>
        <w:rPr/>
        <w:t>vencimento</w:t>
      </w:r>
      <w:r>
        <w:rPr>
          <w:spacing w:val="-38"/>
        </w:rPr>
        <w:t> </w:t>
      </w:r>
      <w:r>
        <w:rPr/>
        <w:t>da</w:t>
      </w:r>
      <w:r>
        <w:rPr>
          <w:spacing w:val="-40"/>
        </w:rPr>
        <w:t> </w:t>
      </w:r>
      <w:r>
        <w:rPr/>
        <w:t>concessão</w:t>
      </w:r>
      <w:r>
        <w:rPr>
          <w:spacing w:val="-40"/>
        </w:rPr>
        <w:t> </w:t>
      </w:r>
      <w:r>
        <w:rPr/>
        <w:t>está</w:t>
      </w:r>
      <w:r>
        <w:rPr>
          <w:spacing w:val="-40"/>
        </w:rPr>
        <w:t> </w:t>
      </w:r>
      <w:r>
        <w:rPr/>
        <w:t>alocado</w:t>
      </w:r>
      <w:r>
        <w:rPr>
          <w:spacing w:val="-40"/>
        </w:rPr>
        <w:t> </w:t>
      </w:r>
      <w:r>
        <w:rPr/>
        <w:t>como</w:t>
      </w:r>
      <w:r>
        <w:rPr>
          <w:spacing w:val="-41"/>
        </w:rPr>
        <w:t> </w:t>
      </w:r>
      <w:r>
        <w:rPr/>
        <w:t>ativo</w:t>
      </w:r>
      <w:r>
        <w:rPr>
          <w:spacing w:val="-40"/>
        </w:rPr>
        <w:t> </w:t>
      </w:r>
      <w:r>
        <w:rPr/>
        <w:t>financeiro– ativo indenizável</w:t>
      </w:r>
      <w:r>
        <w:rPr>
          <w:spacing w:val="-37"/>
        </w:rPr>
        <w:t> </w:t>
      </w:r>
      <w:r>
        <w:rPr/>
        <w:t>(concessão).</w:t>
      </w:r>
    </w:p>
    <w:p>
      <w:pPr>
        <w:spacing w:after="0" w:line="242" w:lineRule="auto"/>
        <w:jc w:val="both"/>
        <w:sectPr>
          <w:pgSz w:w="11910" w:h="16850"/>
          <w:pgMar w:header="792" w:footer="987" w:top="1280" w:bottom="118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6" w:val="left" w:leader="none"/>
        </w:tabs>
        <w:spacing w:line="240" w:lineRule="auto" w:before="14" w:after="0"/>
        <w:ind w:left="1025" w:right="0" w:hanging="854"/>
        <w:jc w:val="both"/>
        <w:rPr>
          <w:rFonts w:ascii="Caladea" w:hAnsi="Caladea"/>
          <w:b/>
          <w:sz w:val="18"/>
        </w:rPr>
      </w:pPr>
      <w:r>
        <w:rPr>
          <w:rFonts w:ascii="Caladea" w:hAnsi="Caladea"/>
          <w:b/>
          <w:sz w:val="22"/>
        </w:rPr>
        <w:t>D</w:t>
      </w:r>
      <w:r>
        <w:rPr>
          <w:rFonts w:ascii="Caladea" w:hAnsi="Caladea"/>
          <w:b/>
          <w:sz w:val="18"/>
        </w:rPr>
        <w:t>IREITO DE </w:t>
      </w:r>
      <w:r>
        <w:rPr>
          <w:rFonts w:ascii="Caladea" w:hAnsi="Caladea"/>
          <w:b/>
          <w:sz w:val="22"/>
        </w:rPr>
        <w:t>E</w:t>
      </w:r>
      <w:r>
        <w:rPr>
          <w:rFonts w:ascii="Caladea" w:hAnsi="Caladea"/>
          <w:b/>
          <w:sz w:val="18"/>
        </w:rPr>
        <w:t>XPLORAÇÃO DE </w:t>
      </w:r>
      <w:r>
        <w:rPr>
          <w:rFonts w:ascii="Caladea" w:hAnsi="Caladea"/>
          <w:b/>
          <w:sz w:val="22"/>
        </w:rPr>
        <w:t>C</w:t>
      </w:r>
      <w:r>
        <w:rPr>
          <w:rFonts w:ascii="Caladea" w:hAnsi="Caladea"/>
          <w:b/>
          <w:sz w:val="18"/>
        </w:rPr>
        <w:t>ONCESSÃO DE</w:t>
      </w:r>
      <w:r>
        <w:rPr>
          <w:rFonts w:ascii="Caladea" w:hAnsi="Caladea"/>
          <w:b/>
          <w:spacing w:val="1"/>
          <w:sz w:val="18"/>
        </w:rPr>
        <w:t> </w:t>
      </w:r>
      <w:r>
        <w:rPr>
          <w:rFonts w:ascii="Caladea" w:hAnsi="Caladea"/>
          <w:b/>
          <w:sz w:val="22"/>
        </w:rPr>
        <w:t>G</w:t>
      </w:r>
      <w:r>
        <w:rPr>
          <w:rFonts w:ascii="Caladea" w:hAnsi="Caladea"/>
          <w:b/>
          <w:sz w:val="18"/>
        </w:rPr>
        <w:t>ERAÇÃO</w:t>
      </w:r>
    </w:p>
    <w:p>
      <w:pPr>
        <w:pStyle w:val="BodyText"/>
        <w:spacing w:before="1"/>
        <w:rPr>
          <w:rFonts w:ascii="Caladea"/>
          <w:b/>
          <w:sz w:val="24"/>
        </w:rPr>
      </w:pPr>
    </w:p>
    <w:p>
      <w:pPr>
        <w:pStyle w:val="BodyText"/>
        <w:spacing w:line="242" w:lineRule="auto"/>
        <w:ind w:left="172" w:right="413"/>
        <w:jc w:val="both"/>
      </w:pPr>
      <w:r>
        <w:rPr/>
        <w:t>A</w:t>
      </w:r>
      <w:r>
        <w:rPr>
          <w:spacing w:val="-40"/>
        </w:rPr>
        <w:t> </w:t>
      </w:r>
      <w:r>
        <w:rPr/>
        <w:t>Controladora</w:t>
      </w:r>
      <w:r>
        <w:rPr>
          <w:spacing w:val="-39"/>
        </w:rPr>
        <w:t> </w:t>
      </w:r>
      <w:r>
        <w:rPr/>
        <w:t>consolida</w:t>
      </w:r>
      <w:r>
        <w:rPr>
          <w:spacing w:val="-40"/>
        </w:rPr>
        <w:t> </w:t>
      </w:r>
      <w:r>
        <w:rPr/>
        <w:t>a</w:t>
      </w:r>
      <w:r>
        <w:rPr>
          <w:spacing w:val="-39"/>
        </w:rPr>
        <w:t> </w:t>
      </w:r>
      <w:r>
        <w:rPr/>
        <w:t>empresa</w:t>
      </w:r>
      <w:r>
        <w:rPr>
          <w:spacing w:val="-40"/>
        </w:rPr>
        <w:t> </w:t>
      </w:r>
      <w:r>
        <w:rPr/>
        <w:t>CEB</w:t>
      </w:r>
      <w:r>
        <w:rPr>
          <w:spacing w:val="-39"/>
        </w:rPr>
        <w:t> </w:t>
      </w:r>
      <w:r>
        <w:rPr/>
        <w:t>Lajeado</w:t>
      </w:r>
      <w:r>
        <w:rPr>
          <w:spacing w:val="-40"/>
        </w:rPr>
        <w:t> </w:t>
      </w:r>
      <w:r>
        <w:rPr/>
        <w:t>S.A.,</w:t>
      </w:r>
      <w:r>
        <w:rPr>
          <w:spacing w:val="-39"/>
        </w:rPr>
        <w:t> </w:t>
      </w:r>
      <w:r>
        <w:rPr/>
        <w:t>detentora</w:t>
      </w:r>
      <w:r>
        <w:rPr>
          <w:spacing w:val="-39"/>
        </w:rPr>
        <w:t> </w:t>
      </w:r>
      <w:r>
        <w:rPr/>
        <w:t>do</w:t>
      </w:r>
      <w:r>
        <w:rPr>
          <w:spacing w:val="-40"/>
        </w:rPr>
        <w:t> </w:t>
      </w:r>
      <w:r>
        <w:rPr/>
        <w:t>direito</w:t>
      </w:r>
      <w:r>
        <w:rPr>
          <w:spacing w:val="-40"/>
        </w:rPr>
        <w:t> </w:t>
      </w:r>
      <w:r>
        <w:rPr/>
        <w:t>de</w:t>
      </w:r>
      <w:r>
        <w:rPr>
          <w:spacing w:val="-41"/>
        </w:rPr>
        <w:t> </w:t>
      </w:r>
      <w:r>
        <w:rPr/>
        <w:t>exploração</w:t>
      </w:r>
      <w:r>
        <w:rPr>
          <w:spacing w:val="-40"/>
        </w:rPr>
        <w:t> </w:t>
      </w:r>
      <w:r>
        <w:rPr/>
        <w:t>de</w:t>
      </w:r>
      <w:r>
        <w:rPr>
          <w:spacing w:val="-40"/>
        </w:rPr>
        <w:t> </w:t>
      </w:r>
      <w:r>
        <w:rPr/>
        <w:t>concessão</w:t>
      </w:r>
      <w:r>
        <w:rPr>
          <w:spacing w:val="-40"/>
        </w:rPr>
        <w:t> </w:t>
      </w:r>
      <w:r>
        <w:rPr/>
        <w:t>da</w:t>
      </w:r>
      <w:r>
        <w:rPr>
          <w:spacing w:val="-40"/>
        </w:rPr>
        <w:t> </w:t>
      </w:r>
      <w:r>
        <w:rPr/>
        <w:t>Usina</w:t>
      </w:r>
      <w:r>
        <w:rPr>
          <w:spacing w:val="-39"/>
        </w:rPr>
        <w:t> </w:t>
      </w:r>
      <w:r>
        <w:rPr/>
        <w:t>Luis </w:t>
      </w:r>
      <w:r>
        <w:rPr>
          <w:w w:val="106"/>
        </w:rPr>
        <w:t>E</w:t>
      </w:r>
      <w:r>
        <w:rPr>
          <w:w w:val="97"/>
        </w:rPr>
        <w:t>du</w:t>
      </w:r>
      <w:r>
        <w:rPr>
          <w:spacing w:val="1"/>
          <w:w w:val="97"/>
        </w:rPr>
        <w:t>a</w:t>
      </w:r>
      <w:r>
        <w:rPr>
          <w:spacing w:val="-1"/>
          <w:w w:val="105"/>
        </w:rPr>
        <w:t>r</w:t>
      </w:r>
      <w:r>
        <w:rPr>
          <w:w w:val="98"/>
        </w:rPr>
        <w:t>do</w:t>
      </w:r>
      <w:r>
        <w:rPr>
          <w:spacing w:val="1"/>
        </w:rPr>
        <w:t> </w:t>
      </w:r>
      <w:r>
        <w:rPr>
          <w:w w:val="114"/>
        </w:rPr>
        <w:t>M</w:t>
      </w:r>
      <w:r>
        <w:rPr>
          <w:w w:val="92"/>
        </w:rPr>
        <w:t>a</w:t>
      </w:r>
      <w:r>
        <w:rPr>
          <w:spacing w:val="-1"/>
          <w:w w:val="95"/>
        </w:rPr>
        <w:t>g</w:t>
      </w:r>
      <w:r>
        <w:rPr>
          <w:w w:val="95"/>
        </w:rPr>
        <w:t>a</w:t>
      </w:r>
      <w:r>
        <w:rPr>
          <w:w w:val="91"/>
        </w:rPr>
        <w:t>l</w:t>
      </w:r>
      <w:r>
        <w:rPr>
          <w:w w:val="96"/>
        </w:rPr>
        <w:t>h</w:t>
      </w:r>
      <w:r>
        <w:rPr>
          <w:spacing w:val="1"/>
          <w:w w:val="96"/>
        </w:rPr>
        <w:t>ã</w:t>
      </w:r>
      <w:r>
        <w:rPr>
          <w:spacing w:val="-2"/>
          <w:w w:val="89"/>
        </w:rPr>
        <w:t>e</w:t>
      </w:r>
      <w:r>
        <w:rPr>
          <w:w w:val="105"/>
        </w:rPr>
        <w:t>s</w:t>
      </w:r>
      <w:r>
        <w:rPr>
          <w:w w:val="55"/>
        </w:rPr>
        <w:t>,</w:t>
      </w:r>
      <w:r>
        <w:rPr>
          <w:spacing w:val="4"/>
        </w:rPr>
        <w:t> </w:t>
      </w:r>
      <w:r>
        <w:rPr>
          <w:spacing w:val="-1"/>
          <w:w w:val="97"/>
        </w:rPr>
        <w:t>q</w:t>
      </w:r>
      <w:r>
        <w:rPr>
          <w:spacing w:val="-1"/>
          <w:w w:val="94"/>
        </w:rPr>
        <w:t>u</w:t>
      </w:r>
      <w:r>
        <w:rPr>
          <w:w w:val="94"/>
        </w:rPr>
        <w:t>e</w:t>
      </w:r>
      <w:r>
        <w:rPr>
          <w:spacing w:val="3"/>
        </w:rPr>
        <w:t> </w:t>
      </w:r>
      <w:r>
        <w:rPr>
          <w:w w:val="100"/>
        </w:rPr>
        <w:t>i</w:t>
      </w:r>
      <w:r>
        <w:rPr>
          <w:spacing w:val="-1"/>
          <w:w w:val="100"/>
        </w:rPr>
        <w:t>n</w:t>
      </w:r>
      <w:r>
        <w:rPr>
          <w:spacing w:val="1"/>
          <w:w w:val="85"/>
        </w:rPr>
        <w:t>t</w:t>
      </w:r>
      <w:r>
        <w:rPr>
          <w:spacing w:val="-2"/>
          <w:w w:val="89"/>
        </w:rPr>
        <w:t>e</w:t>
      </w:r>
      <w:r>
        <w:rPr>
          <w:spacing w:val="-1"/>
          <w:w w:val="101"/>
        </w:rPr>
        <w:t>gr</w:t>
      </w:r>
      <w:r>
        <w:rPr>
          <w:w w:val="92"/>
        </w:rPr>
        <w:t>a</w:t>
      </w:r>
      <w:r>
        <w:rPr>
          <w:spacing w:val="2"/>
        </w:rPr>
        <w:t> </w:t>
      </w:r>
      <w:r>
        <w:rPr>
          <w:w w:val="92"/>
        </w:rPr>
        <w:t>a</w:t>
      </w:r>
      <w:r>
        <w:rPr>
          <w:spacing w:val="5"/>
        </w:rPr>
        <w:t> </w:t>
      </w:r>
      <w:r>
        <w:rPr>
          <w:w w:val="98"/>
        </w:rPr>
        <w:t>o</w:t>
      </w:r>
      <w:r>
        <w:rPr>
          <w:spacing w:val="1"/>
          <w:w w:val="98"/>
        </w:rPr>
        <w:t>p</w:t>
      </w:r>
      <w:r>
        <w:rPr>
          <w:spacing w:val="-2"/>
          <w:w w:val="89"/>
        </w:rPr>
        <w:t>e</w:t>
      </w:r>
      <w:r>
        <w:rPr>
          <w:spacing w:val="-1"/>
          <w:w w:val="105"/>
        </w:rPr>
        <w:t>r</w:t>
      </w:r>
      <w:r>
        <w:rPr>
          <w:w w:val="92"/>
        </w:rPr>
        <w:t>a</w:t>
      </w:r>
      <w:r>
        <w:rPr>
          <w:w w:val="88"/>
        </w:rPr>
        <w:t>ç</w:t>
      </w:r>
      <w:r>
        <w:rPr>
          <w:w w:val="92"/>
        </w:rPr>
        <w:t>ã</w:t>
      </w:r>
      <w:r>
        <w:rPr>
          <w:w w:val="98"/>
        </w:rPr>
        <w:t>o</w:t>
      </w:r>
      <w:r>
        <w:rPr>
          <w:spacing w:val="1"/>
        </w:rPr>
        <w:t> </w:t>
      </w:r>
      <w:r>
        <w:rPr>
          <w:spacing w:val="2"/>
          <w:w w:val="99"/>
        </w:rPr>
        <w:t>d</w:t>
      </w:r>
      <w:r>
        <w:rPr>
          <w:w w:val="89"/>
        </w:rPr>
        <w:t>e</w:t>
      </w:r>
      <w:r>
        <w:rPr/>
        <w:t> </w:t>
      </w:r>
      <w:r>
        <w:rPr>
          <w:spacing w:val="2"/>
          <w:w w:val="98"/>
        </w:rPr>
        <w:t>g</w:t>
      </w:r>
      <w:r>
        <w:rPr>
          <w:spacing w:val="-2"/>
          <w:w w:val="89"/>
        </w:rPr>
        <w:t>e</w:t>
      </w:r>
      <w:r>
        <w:rPr>
          <w:spacing w:val="-1"/>
          <w:w w:val="105"/>
        </w:rPr>
        <w:t>r</w:t>
      </w:r>
      <w:r>
        <w:rPr>
          <w:w w:val="92"/>
        </w:rPr>
        <w:t>a</w:t>
      </w:r>
      <w:r>
        <w:rPr>
          <w:w w:val="88"/>
        </w:rPr>
        <w:t>ç</w:t>
      </w:r>
      <w:r>
        <w:rPr>
          <w:w w:val="92"/>
        </w:rPr>
        <w:t>ã</w:t>
      </w:r>
      <w:r>
        <w:rPr>
          <w:w w:val="98"/>
        </w:rPr>
        <w:t>o</w:t>
      </w:r>
      <w:r>
        <w:rPr>
          <w:spacing w:val="4"/>
        </w:rPr>
        <w:t> </w:t>
      </w:r>
      <w:r>
        <w:rPr>
          <w:w w:val="95"/>
        </w:rPr>
        <w:t>da</w:t>
      </w:r>
      <w:r>
        <w:rPr>
          <w:spacing w:val="2"/>
        </w:rPr>
        <w:t> </w:t>
      </w:r>
      <w:r>
        <w:rPr>
          <w:spacing w:val="-1"/>
          <w:w w:val="100"/>
        </w:rPr>
        <w:t>Inv</w:t>
      </w:r>
      <w:r>
        <w:rPr>
          <w:spacing w:val="-2"/>
          <w:w w:val="100"/>
        </w:rPr>
        <w:t>e</w:t>
      </w:r>
      <w:r>
        <w:rPr>
          <w:w w:val="105"/>
        </w:rPr>
        <w:t>s</w:t>
      </w:r>
      <w:r>
        <w:rPr>
          <w:spacing w:val="-1"/>
          <w:w w:val="87"/>
        </w:rPr>
        <w:t>t</w:t>
      </w:r>
      <w:r>
        <w:rPr>
          <w:w w:val="87"/>
        </w:rPr>
        <w:t>c</w:t>
      </w:r>
      <w:r>
        <w:rPr>
          <w:w w:val="98"/>
        </w:rPr>
        <w:t>o</w:t>
      </w:r>
      <w:r>
        <w:rPr>
          <w:spacing w:val="3"/>
        </w:rPr>
        <w:t> </w:t>
      </w:r>
      <w:r>
        <w:rPr>
          <w:spacing w:val="-1"/>
          <w:w w:val="79"/>
        </w:rPr>
        <w:t>S.A.</w:t>
      </w:r>
      <w:r>
        <w:rPr>
          <w:w w:val="79"/>
        </w:rPr>
        <w:t>.</w:t>
      </w:r>
      <w:r>
        <w:rPr>
          <w:spacing w:val="4"/>
        </w:rPr>
        <w:t> </w:t>
      </w:r>
      <w:r>
        <w:rPr>
          <w:w w:val="106"/>
        </w:rPr>
        <w:t>E</w:t>
      </w:r>
      <w:r>
        <w:rPr>
          <w:w w:val="105"/>
        </w:rPr>
        <w:t>ss</w:t>
      </w:r>
      <w:r>
        <w:rPr>
          <w:w w:val="89"/>
        </w:rPr>
        <w:t>e</w:t>
      </w:r>
      <w:r>
        <w:rPr>
          <w:spacing w:val="3"/>
        </w:rPr>
        <w:t> </w:t>
      </w:r>
      <w:r>
        <w:rPr>
          <w:w w:val="100"/>
        </w:rPr>
        <w:t>di</w:t>
      </w:r>
      <w:r>
        <w:rPr>
          <w:spacing w:val="1"/>
          <w:w w:val="100"/>
        </w:rPr>
        <w:t>r</w:t>
      </w:r>
      <w:r>
        <w:rPr>
          <w:spacing w:val="-2"/>
          <w:w w:val="89"/>
        </w:rPr>
        <w:t>e</w:t>
      </w:r>
      <w:r>
        <w:rPr>
          <w:w w:val="90"/>
        </w:rPr>
        <w:t>i</w:t>
      </w:r>
      <w:r>
        <w:rPr>
          <w:spacing w:val="2"/>
          <w:w w:val="90"/>
        </w:rPr>
        <w:t>t</w:t>
      </w:r>
      <w:r>
        <w:rPr>
          <w:w w:val="98"/>
        </w:rPr>
        <w:t>o</w:t>
      </w:r>
      <w:r>
        <w:rPr>
          <w:spacing w:val="1"/>
        </w:rPr>
        <w:t> </w:t>
      </w:r>
      <w:r>
        <w:rPr>
          <w:w w:val="105"/>
        </w:rPr>
        <w:t>s</w:t>
      </w:r>
      <w:r>
        <w:rPr>
          <w:w w:val="89"/>
        </w:rPr>
        <w:t>e</w:t>
      </w:r>
      <w:r>
        <w:rPr>
          <w:spacing w:val="3"/>
        </w:rPr>
        <w:t> </w:t>
      </w:r>
      <w:r>
        <w:rPr>
          <w:spacing w:val="-1"/>
          <w:w w:val="95"/>
        </w:rPr>
        <w:t>t</w:t>
      </w:r>
      <w:r>
        <w:rPr>
          <w:spacing w:val="-2"/>
          <w:w w:val="95"/>
        </w:rPr>
        <w:t>r</w:t>
      </w:r>
      <w:r>
        <w:rPr>
          <w:w w:val="92"/>
        </w:rPr>
        <w:t>a</w:t>
      </w:r>
      <w:r>
        <w:rPr>
          <w:spacing w:val="-1"/>
          <w:w w:val="89"/>
        </w:rPr>
        <w:t>t</w:t>
      </w:r>
      <w:r>
        <w:rPr>
          <w:w w:val="89"/>
        </w:rPr>
        <w:t>a</w:t>
      </w:r>
      <w:r>
        <w:rPr>
          <w:spacing w:val="2"/>
        </w:rPr>
        <w:t> </w:t>
      </w:r>
      <w:r>
        <w:rPr>
          <w:spacing w:val="2"/>
          <w:w w:val="99"/>
        </w:rPr>
        <w:t>d</w:t>
      </w:r>
      <w:r>
        <w:rPr>
          <w:w w:val="89"/>
        </w:rPr>
        <w:t>e</w:t>
      </w:r>
      <w:r>
        <w:rPr/>
        <w:t> </w:t>
      </w:r>
      <w:r>
        <w:rPr>
          <w:spacing w:val="2"/>
          <w:w w:val="100"/>
        </w:rPr>
        <w:t>u</w:t>
      </w:r>
      <w:r>
        <w:rPr>
          <w:w w:val="97"/>
        </w:rPr>
        <w:t>ma</w:t>
      </w:r>
      <w:r>
        <w:rPr>
          <w:spacing w:val="2"/>
        </w:rPr>
        <w:t> </w:t>
      </w:r>
      <w:r>
        <w:rPr>
          <w:w w:val="98"/>
        </w:rPr>
        <w:t>o</w:t>
      </w:r>
      <w:r>
        <w:rPr>
          <w:spacing w:val="1"/>
          <w:w w:val="98"/>
        </w:rPr>
        <w:t>p</w:t>
      </w:r>
      <w:r>
        <w:rPr>
          <w:spacing w:val="-2"/>
          <w:w w:val="89"/>
        </w:rPr>
        <w:t>e</w:t>
      </w:r>
      <w:r>
        <w:rPr>
          <w:spacing w:val="-1"/>
          <w:w w:val="105"/>
        </w:rPr>
        <w:t>r</w:t>
      </w:r>
      <w:r>
        <w:rPr>
          <w:w w:val="92"/>
        </w:rPr>
        <w:t>a</w:t>
      </w:r>
      <w:r>
        <w:rPr>
          <w:w w:val="88"/>
        </w:rPr>
        <w:t>ç</w:t>
      </w:r>
      <w:r>
        <w:rPr>
          <w:w w:val="92"/>
        </w:rPr>
        <w:t>ã</w:t>
      </w:r>
      <w:r>
        <w:rPr>
          <w:w w:val="98"/>
        </w:rPr>
        <w:t>o</w:t>
      </w:r>
      <w:r>
        <w:rPr>
          <w:spacing w:val="4"/>
        </w:rPr>
        <w:t> </w:t>
      </w:r>
      <w:r>
        <w:rPr>
          <w:spacing w:val="2"/>
          <w:w w:val="99"/>
        </w:rPr>
        <w:t>d</w:t>
      </w:r>
      <w:r>
        <w:rPr>
          <w:w w:val="89"/>
        </w:rPr>
        <w:t>e </w:t>
      </w:r>
      <w:r>
        <w:rPr/>
        <w:t>reestruturação</w:t>
      </w:r>
      <w:r>
        <w:rPr>
          <w:spacing w:val="-21"/>
        </w:rPr>
        <w:t> </w:t>
      </w:r>
      <w:r>
        <w:rPr/>
        <w:t>societária</w:t>
      </w:r>
      <w:r>
        <w:rPr>
          <w:spacing w:val="-19"/>
        </w:rPr>
        <w:t> </w:t>
      </w:r>
      <w:r>
        <w:rPr/>
        <w:t>que</w:t>
      </w:r>
      <w:r>
        <w:rPr>
          <w:spacing w:val="-21"/>
        </w:rPr>
        <w:t> </w:t>
      </w:r>
      <w:r>
        <w:rPr/>
        <w:t>foi</w:t>
      </w:r>
      <w:r>
        <w:rPr>
          <w:spacing w:val="-21"/>
        </w:rPr>
        <w:t> </w:t>
      </w:r>
      <w:r>
        <w:rPr/>
        <w:t>decorrente</w:t>
      </w:r>
      <w:r>
        <w:rPr>
          <w:spacing w:val="-22"/>
        </w:rPr>
        <w:t> </w:t>
      </w:r>
      <w:r>
        <w:rPr/>
        <w:t>do</w:t>
      </w:r>
      <w:r>
        <w:rPr>
          <w:spacing w:val="-20"/>
        </w:rPr>
        <w:t> </w:t>
      </w:r>
      <w:r>
        <w:rPr/>
        <w:t>contrato</w:t>
      </w:r>
      <w:r>
        <w:rPr>
          <w:spacing w:val="-22"/>
        </w:rPr>
        <w:t> </w:t>
      </w:r>
      <w:r>
        <w:rPr/>
        <w:t>de</w:t>
      </w:r>
      <w:r>
        <w:rPr>
          <w:spacing w:val="-21"/>
        </w:rPr>
        <w:t> </w:t>
      </w:r>
      <w:r>
        <w:rPr/>
        <w:t>venda</w:t>
      </w:r>
      <w:r>
        <w:rPr>
          <w:spacing w:val="-21"/>
        </w:rPr>
        <w:t> </w:t>
      </w:r>
      <w:r>
        <w:rPr/>
        <w:t>e</w:t>
      </w:r>
      <w:r>
        <w:rPr>
          <w:spacing w:val="-21"/>
        </w:rPr>
        <w:t> </w:t>
      </w:r>
      <w:r>
        <w:rPr/>
        <w:t>compra</w:t>
      </w:r>
      <w:r>
        <w:rPr>
          <w:spacing w:val="-20"/>
        </w:rPr>
        <w:t> </w:t>
      </w:r>
      <w:r>
        <w:rPr/>
        <w:t>de</w:t>
      </w:r>
      <w:r>
        <w:rPr>
          <w:spacing w:val="-21"/>
        </w:rPr>
        <w:t> </w:t>
      </w:r>
      <w:r>
        <w:rPr/>
        <w:t>ações</w:t>
      </w:r>
      <w:r>
        <w:rPr>
          <w:spacing w:val="-21"/>
        </w:rPr>
        <w:t> </w:t>
      </w:r>
      <w:r>
        <w:rPr/>
        <w:t>entre</w:t>
      </w:r>
      <w:r>
        <w:rPr>
          <w:spacing w:val="-21"/>
        </w:rPr>
        <w:t> </w:t>
      </w:r>
      <w:r>
        <w:rPr/>
        <w:t>a</w:t>
      </w:r>
      <w:r>
        <w:rPr>
          <w:spacing w:val="-20"/>
        </w:rPr>
        <w:t> </w:t>
      </w:r>
      <w:r>
        <w:rPr/>
        <w:t>Investco</w:t>
      </w:r>
      <w:r>
        <w:rPr>
          <w:spacing w:val="-21"/>
        </w:rPr>
        <w:t> </w:t>
      </w:r>
      <w:r>
        <w:rPr/>
        <w:t>S.A.</w:t>
      </w:r>
      <w:r>
        <w:rPr>
          <w:spacing w:val="-19"/>
        </w:rPr>
        <w:t> </w:t>
      </w:r>
      <w:r>
        <w:rPr/>
        <w:t>e</w:t>
      </w:r>
      <w:r>
        <w:rPr>
          <w:spacing w:val="-21"/>
        </w:rPr>
        <w:t> </w:t>
      </w:r>
      <w:r>
        <w:rPr/>
        <w:t>seus acionistas.</w:t>
      </w:r>
      <w:r>
        <w:rPr>
          <w:spacing w:val="-45"/>
        </w:rPr>
        <w:t> </w:t>
      </w:r>
      <w:r>
        <w:rPr/>
        <w:t>Este</w:t>
      </w:r>
      <w:r>
        <w:rPr>
          <w:spacing w:val="-45"/>
        </w:rPr>
        <w:t> </w:t>
      </w:r>
      <w:r>
        <w:rPr/>
        <w:t>Instrumento</w:t>
      </w:r>
      <w:r>
        <w:rPr>
          <w:spacing w:val="-44"/>
        </w:rPr>
        <w:t> </w:t>
      </w:r>
      <w:r>
        <w:rPr/>
        <w:t>estabelece</w:t>
      </w:r>
      <w:r>
        <w:rPr>
          <w:spacing w:val="-44"/>
        </w:rPr>
        <w:t> </w:t>
      </w:r>
      <w:r>
        <w:rPr/>
        <w:t>para</w:t>
      </w:r>
      <w:r>
        <w:rPr>
          <w:spacing w:val="-44"/>
        </w:rPr>
        <w:t> </w:t>
      </w:r>
      <w:r>
        <w:rPr/>
        <w:t>a</w:t>
      </w:r>
      <w:r>
        <w:rPr>
          <w:spacing w:val="-44"/>
        </w:rPr>
        <w:t> </w:t>
      </w:r>
      <w:r>
        <w:rPr/>
        <w:t>CEB</w:t>
      </w:r>
      <w:r>
        <w:rPr>
          <w:spacing w:val="-44"/>
        </w:rPr>
        <w:t> </w:t>
      </w:r>
      <w:r>
        <w:rPr/>
        <w:t>Lajeado</w:t>
      </w:r>
      <w:r>
        <w:rPr>
          <w:spacing w:val="-45"/>
        </w:rPr>
        <w:t> </w:t>
      </w:r>
      <w:r>
        <w:rPr/>
        <w:t>S.A.</w:t>
      </w:r>
      <w:r>
        <w:rPr>
          <w:spacing w:val="-45"/>
        </w:rPr>
        <w:t> </w:t>
      </w:r>
      <w:r>
        <w:rPr/>
        <w:t>o</w:t>
      </w:r>
      <w:r>
        <w:rPr>
          <w:spacing w:val="-44"/>
        </w:rPr>
        <w:t> </w:t>
      </w:r>
      <w:r>
        <w:rPr/>
        <w:t>valor</w:t>
      </w:r>
      <w:r>
        <w:rPr>
          <w:spacing w:val="-44"/>
        </w:rPr>
        <w:t> </w:t>
      </w:r>
      <w:r>
        <w:rPr/>
        <w:t>de</w:t>
      </w:r>
      <w:r>
        <w:rPr>
          <w:spacing w:val="-44"/>
        </w:rPr>
        <w:t> </w:t>
      </w:r>
      <w:r>
        <w:rPr/>
        <w:t>compra</w:t>
      </w:r>
      <w:r>
        <w:rPr>
          <w:spacing w:val="-44"/>
        </w:rPr>
        <w:t> </w:t>
      </w:r>
      <w:r>
        <w:rPr/>
        <w:t>de</w:t>
      </w:r>
      <w:r>
        <w:rPr>
          <w:spacing w:val="-45"/>
        </w:rPr>
        <w:t> </w:t>
      </w:r>
      <w:r>
        <w:rPr/>
        <w:t>20%</w:t>
      </w:r>
      <w:r>
        <w:rPr>
          <w:spacing w:val="-45"/>
        </w:rPr>
        <w:t> </w:t>
      </w:r>
      <w:r>
        <w:rPr/>
        <w:t>(conforme</w:t>
      </w:r>
      <w:r>
        <w:rPr>
          <w:spacing w:val="-45"/>
        </w:rPr>
        <w:t> </w:t>
      </w:r>
      <w:r>
        <w:rPr/>
        <w:t>sua</w:t>
      </w:r>
      <w:r>
        <w:rPr>
          <w:spacing w:val="-43"/>
        </w:rPr>
        <w:t> </w:t>
      </w:r>
      <w:r>
        <w:rPr/>
        <w:t>participação ordinária)</w:t>
      </w:r>
      <w:r>
        <w:rPr>
          <w:spacing w:val="-44"/>
        </w:rPr>
        <w:t> </w:t>
      </w:r>
      <w:r>
        <w:rPr/>
        <w:t>das</w:t>
      </w:r>
      <w:r>
        <w:rPr>
          <w:spacing w:val="-44"/>
        </w:rPr>
        <w:t> </w:t>
      </w:r>
      <w:r>
        <w:rPr/>
        <w:t>ações</w:t>
      </w:r>
      <w:r>
        <w:rPr>
          <w:spacing w:val="-42"/>
        </w:rPr>
        <w:t> </w:t>
      </w:r>
      <w:r>
        <w:rPr/>
        <w:t>preferenciais</w:t>
      </w:r>
      <w:r>
        <w:rPr>
          <w:spacing w:val="-44"/>
        </w:rPr>
        <w:t> </w:t>
      </w:r>
      <w:r>
        <w:rPr/>
        <w:t>classe</w:t>
      </w:r>
      <w:r>
        <w:rPr>
          <w:spacing w:val="-44"/>
        </w:rPr>
        <w:t> </w:t>
      </w:r>
      <w:r>
        <w:rPr/>
        <w:t>R,</w:t>
      </w:r>
      <w:r>
        <w:rPr>
          <w:spacing w:val="-44"/>
        </w:rPr>
        <w:t> </w:t>
      </w:r>
      <w:r>
        <w:rPr/>
        <w:t>nominativas,</w:t>
      </w:r>
      <w:r>
        <w:rPr>
          <w:spacing w:val="-43"/>
        </w:rPr>
        <w:t> </w:t>
      </w:r>
      <w:r>
        <w:rPr/>
        <w:t>sem</w:t>
      </w:r>
      <w:r>
        <w:rPr>
          <w:spacing w:val="-44"/>
        </w:rPr>
        <w:t> </w:t>
      </w:r>
      <w:r>
        <w:rPr/>
        <w:t>valor</w:t>
      </w:r>
      <w:r>
        <w:rPr>
          <w:spacing w:val="-43"/>
        </w:rPr>
        <w:t> </w:t>
      </w:r>
      <w:r>
        <w:rPr/>
        <w:t>nominal,</w:t>
      </w:r>
      <w:r>
        <w:rPr>
          <w:spacing w:val="-43"/>
        </w:rPr>
        <w:t> </w:t>
      </w:r>
      <w:r>
        <w:rPr/>
        <w:t>de</w:t>
      </w:r>
      <w:r>
        <w:rPr>
          <w:spacing w:val="-44"/>
        </w:rPr>
        <w:t> </w:t>
      </w:r>
      <w:r>
        <w:rPr/>
        <w:t>emissão</w:t>
      </w:r>
      <w:r>
        <w:rPr>
          <w:spacing w:val="-43"/>
        </w:rPr>
        <w:t> </w:t>
      </w:r>
      <w:r>
        <w:rPr/>
        <w:t>da</w:t>
      </w:r>
      <w:r>
        <w:rPr>
          <w:spacing w:val="-44"/>
        </w:rPr>
        <w:t> </w:t>
      </w:r>
      <w:r>
        <w:rPr/>
        <w:t>Investco</w:t>
      </w:r>
      <w:r>
        <w:rPr>
          <w:spacing w:val="-43"/>
        </w:rPr>
        <w:t> </w:t>
      </w:r>
      <w:r>
        <w:rPr/>
        <w:t>S.A.,</w:t>
      </w:r>
      <w:r>
        <w:rPr>
          <w:spacing w:val="-43"/>
        </w:rPr>
        <w:t> </w:t>
      </w:r>
      <w:r>
        <w:rPr/>
        <w:t>totalizando</w:t>
      </w:r>
    </w:p>
    <w:p>
      <w:pPr>
        <w:pStyle w:val="BodyText"/>
        <w:spacing w:line="242" w:lineRule="auto"/>
        <w:ind w:left="172" w:right="412"/>
        <w:jc w:val="both"/>
      </w:pPr>
      <w:r>
        <w:rPr/>
        <w:t>46.890.423</w:t>
      </w:r>
      <w:r>
        <w:rPr>
          <w:spacing w:val="-33"/>
        </w:rPr>
        <w:t> </w:t>
      </w:r>
      <w:r>
        <w:rPr/>
        <w:t>ações,</w:t>
      </w:r>
      <w:r>
        <w:rPr>
          <w:spacing w:val="-33"/>
        </w:rPr>
        <w:t> </w:t>
      </w:r>
      <w:r>
        <w:rPr/>
        <w:t>por</w:t>
      </w:r>
      <w:r>
        <w:rPr>
          <w:spacing w:val="-34"/>
        </w:rPr>
        <w:t> </w:t>
      </w:r>
      <w:r>
        <w:rPr/>
        <w:t>R$</w:t>
      </w:r>
      <w:r>
        <w:rPr>
          <w:spacing w:val="-35"/>
        </w:rPr>
        <w:t> </w:t>
      </w:r>
      <w:r>
        <w:rPr/>
        <w:t>213.452,</w:t>
      </w:r>
      <w:r>
        <w:rPr>
          <w:spacing w:val="-33"/>
        </w:rPr>
        <w:t> </w:t>
      </w:r>
      <w:r>
        <w:rPr/>
        <w:t>que</w:t>
      </w:r>
      <w:r>
        <w:rPr>
          <w:spacing w:val="-35"/>
        </w:rPr>
        <w:t> </w:t>
      </w:r>
      <w:r>
        <w:rPr/>
        <w:t>também</w:t>
      </w:r>
      <w:r>
        <w:rPr>
          <w:spacing w:val="-33"/>
        </w:rPr>
        <w:t> </w:t>
      </w:r>
      <w:r>
        <w:rPr/>
        <w:t>representa</w:t>
      </w:r>
      <w:r>
        <w:rPr>
          <w:spacing w:val="-34"/>
        </w:rPr>
        <w:t> </w:t>
      </w:r>
      <w:r>
        <w:rPr/>
        <w:t>20%</w:t>
      </w:r>
      <w:r>
        <w:rPr>
          <w:spacing w:val="-33"/>
        </w:rPr>
        <w:t> </w:t>
      </w:r>
      <w:r>
        <w:rPr/>
        <w:t>da</w:t>
      </w:r>
      <w:r>
        <w:rPr>
          <w:spacing w:val="-35"/>
        </w:rPr>
        <w:t> </w:t>
      </w:r>
      <w:r>
        <w:rPr/>
        <w:t>dívida</w:t>
      </w:r>
      <w:r>
        <w:rPr>
          <w:spacing w:val="-34"/>
        </w:rPr>
        <w:t> </w:t>
      </w:r>
      <w:r>
        <w:rPr/>
        <w:t>da</w:t>
      </w:r>
      <w:r>
        <w:rPr>
          <w:spacing w:val="-32"/>
        </w:rPr>
        <w:t> </w:t>
      </w:r>
      <w:r>
        <w:rPr/>
        <w:t>Investco</w:t>
      </w:r>
      <w:r>
        <w:rPr>
          <w:spacing w:val="-35"/>
        </w:rPr>
        <w:t> </w:t>
      </w:r>
      <w:r>
        <w:rPr/>
        <w:t>S.A.</w:t>
      </w:r>
      <w:r>
        <w:rPr>
          <w:spacing w:val="-33"/>
        </w:rPr>
        <w:t> </w:t>
      </w:r>
      <w:r>
        <w:rPr/>
        <w:t>com</w:t>
      </w:r>
      <w:r>
        <w:rPr>
          <w:spacing w:val="-34"/>
        </w:rPr>
        <w:t> </w:t>
      </w:r>
      <w:r>
        <w:rPr/>
        <w:t>a</w:t>
      </w:r>
      <w:r>
        <w:rPr>
          <w:spacing w:val="-34"/>
        </w:rPr>
        <w:t> </w:t>
      </w:r>
      <w:r>
        <w:rPr/>
        <w:t>Eletrobrás.</w:t>
      </w:r>
      <w:r>
        <w:rPr>
          <w:spacing w:val="-33"/>
        </w:rPr>
        <w:t> </w:t>
      </w:r>
      <w:r>
        <w:rPr/>
        <w:t>Do</w:t>
      </w:r>
      <w:r>
        <w:rPr>
          <w:spacing w:val="-33"/>
        </w:rPr>
        <w:t> </w:t>
      </w:r>
      <w:r>
        <w:rPr/>
        <w:t>total de</w:t>
      </w:r>
      <w:r>
        <w:rPr>
          <w:spacing w:val="-27"/>
        </w:rPr>
        <w:t> </w:t>
      </w:r>
      <w:r>
        <w:rPr/>
        <w:t>R$</w:t>
      </w:r>
      <w:r>
        <w:rPr>
          <w:spacing w:val="-23"/>
        </w:rPr>
        <w:t> </w:t>
      </w:r>
      <w:r>
        <w:rPr/>
        <w:t>213.452,</w:t>
      </w:r>
      <w:r>
        <w:rPr>
          <w:spacing w:val="-24"/>
        </w:rPr>
        <w:t> </w:t>
      </w:r>
      <w:r>
        <w:rPr/>
        <w:t>R$</w:t>
      </w:r>
      <w:r>
        <w:rPr>
          <w:spacing w:val="-25"/>
        </w:rPr>
        <w:t> </w:t>
      </w:r>
      <w:r>
        <w:rPr/>
        <w:t>54.506</w:t>
      </w:r>
      <w:r>
        <w:rPr>
          <w:spacing w:val="-23"/>
        </w:rPr>
        <w:t> </w:t>
      </w:r>
      <w:r>
        <w:rPr/>
        <w:t>representam</w:t>
      </w:r>
      <w:r>
        <w:rPr>
          <w:spacing w:val="-26"/>
        </w:rPr>
        <w:t> </w:t>
      </w:r>
      <w:r>
        <w:rPr/>
        <w:t>o</w:t>
      </w:r>
      <w:r>
        <w:rPr>
          <w:spacing w:val="-24"/>
        </w:rPr>
        <w:t> </w:t>
      </w:r>
      <w:r>
        <w:rPr/>
        <w:t>valor</w:t>
      </w:r>
      <w:r>
        <w:rPr>
          <w:spacing w:val="-24"/>
        </w:rPr>
        <w:t> </w:t>
      </w:r>
      <w:r>
        <w:rPr/>
        <w:t>patrimonial</w:t>
      </w:r>
      <w:r>
        <w:rPr>
          <w:spacing w:val="-25"/>
        </w:rPr>
        <w:t> </w:t>
      </w:r>
      <w:r>
        <w:rPr/>
        <w:t>das</w:t>
      </w:r>
      <w:r>
        <w:rPr>
          <w:spacing w:val="-25"/>
        </w:rPr>
        <w:t> </w:t>
      </w:r>
      <w:r>
        <w:rPr/>
        <w:t>ações</w:t>
      </w:r>
      <w:r>
        <w:rPr>
          <w:spacing w:val="-25"/>
        </w:rPr>
        <w:t> </w:t>
      </w:r>
      <w:r>
        <w:rPr/>
        <w:t>detidas</w:t>
      </w:r>
      <w:r>
        <w:rPr>
          <w:spacing w:val="-23"/>
        </w:rPr>
        <w:t> </w:t>
      </w:r>
      <w:r>
        <w:rPr/>
        <w:t>na</w:t>
      </w:r>
      <w:r>
        <w:rPr>
          <w:spacing w:val="-25"/>
        </w:rPr>
        <w:t> </w:t>
      </w:r>
      <w:r>
        <w:rPr/>
        <w:t>Investco</w:t>
      </w:r>
      <w:r>
        <w:rPr>
          <w:spacing w:val="-26"/>
        </w:rPr>
        <w:t> </w:t>
      </w:r>
      <w:r>
        <w:rPr/>
        <w:t>S.A</w:t>
      </w:r>
      <w:r>
        <w:rPr>
          <w:spacing w:val="-23"/>
        </w:rPr>
        <w:t> </w:t>
      </w:r>
      <w:r>
        <w:rPr/>
        <w:t>pela</w:t>
      </w:r>
      <w:r>
        <w:rPr>
          <w:spacing w:val="-25"/>
        </w:rPr>
        <w:t> </w:t>
      </w:r>
      <w:r>
        <w:rPr/>
        <w:t>Eletrobrás</w:t>
      </w:r>
      <w:r>
        <w:rPr>
          <w:spacing w:val="-25"/>
        </w:rPr>
        <w:t> </w:t>
      </w:r>
      <w:r>
        <w:rPr/>
        <w:t>em</w:t>
      </w:r>
      <w:r>
        <w:rPr>
          <w:spacing w:val="-23"/>
        </w:rPr>
        <w:t> </w:t>
      </w:r>
      <w:r>
        <w:rPr/>
        <w:t>30 de</w:t>
      </w:r>
      <w:r>
        <w:rPr>
          <w:spacing w:val="-19"/>
        </w:rPr>
        <w:t> </w:t>
      </w:r>
      <w:r>
        <w:rPr/>
        <w:t>novembro</w:t>
      </w:r>
      <w:r>
        <w:rPr>
          <w:spacing w:val="-17"/>
        </w:rPr>
        <w:t> </w:t>
      </w:r>
      <w:r>
        <w:rPr/>
        <w:t>de</w:t>
      </w:r>
      <w:r>
        <w:rPr>
          <w:spacing w:val="-20"/>
        </w:rPr>
        <w:t> </w:t>
      </w:r>
      <w:r>
        <w:rPr/>
        <w:t>2005,</w:t>
      </w:r>
      <w:r>
        <w:rPr>
          <w:spacing w:val="-20"/>
        </w:rPr>
        <w:t> </w:t>
      </w:r>
      <w:r>
        <w:rPr/>
        <w:t>data</w:t>
      </w:r>
      <w:r>
        <w:rPr>
          <w:spacing w:val="-16"/>
        </w:rPr>
        <w:t> </w:t>
      </w:r>
      <w:r>
        <w:rPr/>
        <w:t>da</w:t>
      </w:r>
      <w:r>
        <w:rPr>
          <w:spacing w:val="-19"/>
        </w:rPr>
        <w:t> </w:t>
      </w:r>
      <w:r>
        <w:rPr/>
        <w:t>última</w:t>
      </w:r>
      <w:r>
        <w:rPr>
          <w:spacing w:val="-18"/>
        </w:rPr>
        <w:t> </w:t>
      </w:r>
      <w:r>
        <w:rPr/>
        <w:t>correção</w:t>
      </w:r>
      <w:r>
        <w:rPr>
          <w:spacing w:val="-20"/>
        </w:rPr>
        <w:t> </w:t>
      </w:r>
      <w:r>
        <w:rPr/>
        <w:t>da</w:t>
      </w:r>
      <w:r>
        <w:rPr>
          <w:spacing w:val="-16"/>
        </w:rPr>
        <w:t> </w:t>
      </w:r>
      <w:r>
        <w:rPr/>
        <w:t>dívida.</w:t>
      </w:r>
    </w:p>
    <w:p>
      <w:pPr>
        <w:pStyle w:val="BodyText"/>
        <w:spacing w:before="6"/>
      </w:pPr>
    </w:p>
    <w:p>
      <w:pPr>
        <w:pStyle w:val="BodyText"/>
        <w:spacing w:line="242" w:lineRule="auto"/>
        <w:ind w:left="172" w:right="411"/>
        <w:jc w:val="both"/>
      </w:pPr>
      <w:r>
        <w:rPr/>
        <w:t>Com</w:t>
      </w:r>
      <w:r>
        <w:rPr>
          <w:spacing w:val="-38"/>
        </w:rPr>
        <w:t> </w:t>
      </w:r>
      <w:r>
        <w:rPr/>
        <w:t>a</w:t>
      </w:r>
      <w:r>
        <w:rPr>
          <w:spacing w:val="-35"/>
        </w:rPr>
        <w:t> </w:t>
      </w:r>
      <w:r>
        <w:rPr/>
        <w:t>efetivação</w:t>
      </w:r>
      <w:r>
        <w:rPr>
          <w:spacing w:val="-38"/>
        </w:rPr>
        <w:t> </w:t>
      </w:r>
      <w:r>
        <w:rPr/>
        <w:t>do</w:t>
      </w:r>
      <w:r>
        <w:rPr>
          <w:spacing w:val="-36"/>
        </w:rPr>
        <w:t> </w:t>
      </w:r>
      <w:r>
        <w:rPr/>
        <w:t>negócio,</w:t>
      </w:r>
      <w:r>
        <w:rPr>
          <w:spacing w:val="-37"/>
        </w:rPr>
        <w:t> </w:t>
      </w:r>
      <w:r>
        <w:rPr/>
        <w:t>foi</w:t>
      </w:r>
      <w:r>
        <w:rPr>
          <w:spacing w:val="-35"/>
        </w:rPr>
        <w:t> </w:t>
      </w:r>
      <w:r>
        <w:rPr/>
        <w:t>reconhecido</w:t>
      </w:r>
      <w:r>
        <w:rPr>
          <w:spacing w:val="-36"/>
        </w:rPr>
        <w:t> </w:t>
      </w:r>
      <w:r>
        <w:rPr/>
        <w:t>um</w:t>
      </w:r>
      <w:r>
        <w:rPr>
          <w:spacing w:val="-36"/>
        </w:rPr>
        <w:t> </w:t>
      </w:r>
      <w:r>
        <w:rPr/>
        <w:t>ágio</w:t>
      </w:r>
      <w:r>
        <w:rPr>
          <w:spacing w:val="-37"/>
        </w:rPr>
        <w:t> </w:t>
      </w:r>
      <w:r>
        <w:rPr/>
        <w:t>no</w:t>
      </w:r>
      <w:r>
        <w:rPr>
          <w:spacing w:val="-36"/>
        </w:rPr>
        <w:t> </w:t>
      </w:r>
      <w:r>
        <w:rPr/>
        <w:t>valor</w:t>
      </w:r>
      <w:r>
        <w:rPr>
          <w:spacing w:val="-37"/>
        </w:rPr>
        <w:t> </w:t>
      </w:r>
      <w:r>
        <w:rPr/>
        <w:t>de</w:t>
      </w:r>
      <w:r>
        <w:rPr>
          <w:spacing w:val="-38"/>
        </w:rPr>
        <w:t> </w:t>
      </w:r>
      <w:r>
        <w:rPr/>
        <w:t>R$</w:t>
      </w:r>
      <w:r>
        <w:rPr>
          <w:spacing w:val="-36"/>
        </w:rPr>
        <w:t> </w:t>
      </w:r>
      <w:r>
        <w:rPr/>
        <w:t>158.946,</w:t>
      </w:r>
      <w:r>
        <w:rPr>
          <w:spacing w:val="-35"/>
        </w:rPr>
        <w:t> </w:t>
      </w:r>
      <w:r>
        <w:rPr/>
        <w:t>que</w:t>
      </w:r>
      <w:r>
        <w:rPr>
          <w:spacing w:val="-36"/>
        </w:rPr>
        <w:t> </w:t>
      </w:r>
      <w:r>
        <w:rPr/>
        <w:t>foi</w:t>
      </w:r>
      <w:r>
        <w:rPr>
          <w:spacing w:val="-36"/>
        </w:rPr>
        <w:t> </w:t>
      </w:r>
      <w:r>
        <w:rPr/>
        <w:t>fundamentado</w:t>
      </w:r>
      <w:r>
        <w:rPr>
          <w:spacing w:val="-38"/>
        </w:rPr>
        <w:t> </w:t>
      </w:r>
      <w:r>
        <w:rPr/>
        <w:t>como</w:t>
      </w:r>
      <w:r>
        <w:rPr>
          <w:spacing w:val="-36"/>
        </w:rPr>
        <w:t> </w:t>
      </w:r>
      <w:r>
        <w:rPr/>
        <w:t>direito</w:t>
      </w:r>
      <w:r>
        <w:rPr>
          <w:spacing w:val="-35"/>
        </w:rPr>
        <w:t> </w:t>
      </w:r>
      <w:r>
        <w:rPr/>
        <w:t>de exploração</w:t>
      </w:r>
      <w:r>
        <w:rPr>
          <w:spacing w:val="-42"/>
        </w:rPr>
        <w:t> </w:t>
      </w:r>
      <w:r>
        <w:rPr/>
        <w:t>de</w:t>
      </w:r>
      <w:r>
        <w:rPr>
          <w:spacing w:val="-43"/>
        </w:rPr>
        <w:t> </w:t>
      </w:r>
      <w:r>
        <w:rPr/>
        <w:t>concessão.</w:t>
      </w:r>
      <w:r>
        <w:rPr>
          <w:spacing w:val="-42"/>
        </w:rPr>
        <w:t> </w:t>
      </w:r>
      <w:r>
        <w:rPr/>
        <w:t>Este</w:t>
      </w:r>
      <w:r>
        <w:rPr>
          <w:spacing w:val="-42"/>
        </w:rPr>
        <w:t> </w:t>
      </w:r>
      <w:r>
        <w:rPr/>
        <w:t>direito</w:t>
      </w:r>
      <w:r>
        <w:rPr>
          <w:spacing w:val="-42"/>
        </w:rPr>
        <w:t> </w:t>
      </w:r>
      <w:r>
        <w:rPr/>
        <w:t>de</w:t>
      </w:r>
      <w:r>
        <w:rPr>
          <w:spacing w:val="-42"/>
        </w:rPr>
        <w:t> </w:t>
      </w:r>
      <w:r>
        <w:rPr/>
        <w:t>exploração</w:t>
      </w:r>
      <w:r>
        <w:rPr>
          <w:spacing w:val="-42"/>
        </w:rPr>
        <w:t> </w:t>
      </w:r>
      <w:r>
        <w:rPr/>
        <w:t>de</w:t>
      </w:r>
      <w:r>
        <w:rPr>
          <w:spacing w:val="-42"/>
        </w:rPr>
        <w:t> </w:t>
      </w:r>
      <w:r>
        <w:rPr/>
        <w:t>concessão</w:t>
      </w:r>
      <w:r>
        <w:rPr>
          <w:spacing w:val="-42"/>
        </w:rPr>
        <w:t> </w:t>
      </w:r>
      <w:r>
        <w:rPr/>
        <w:t>será</w:t>
      </w:r>
      <w:r>
        <w:rPr>
          <w:spacing w:val="-42"/>
        </w:rPr>
        <w:t> </w:t>
      </w:r>
      <w:r>
        <w:rPr/>
        <w:t>amortizado</w:t>
      </w:r>
      <w:r>
        <w:rPr>
          <w:spacing w:val="-42"/>
        </w:rPr>
        <w:t> </w:t>
      </w:r>
      <w:r>
        <w:rPr/>
        <w:t>até</w:t>
      </w:r>
      <w:r>
        <w:rPr>
          <w:spacing w:val="-41"/>
        </w:rPr>
        <w:t> </w:t>
      </w:r>
      <w:r>
        <w:rPr/>
        <w:t>o</w:t>
      </w:r>
      <w:r>
        <w:rPr>
          <w:spacing w:val="-42"/>
        </w:rPr>
        <w:t> </w:t>
      </w:r>
      <w:r>
        <w:rPr/>
        <w:t>ano</w:t>
      </w:r>
      <w:r>
        <w:rPr>
          <w:spacing w:val="-42"/>
        </w:rPr>
        <w:t> </w:t>
      </w:r>
      <w:r>
        <w:rPr/>
        <w:t>de</w:t>
      </w:r>
      <w:r>
        <w:rPr>
          <w:spacing w:val="-42"/>
        </w:rPr>
        <w:t> </w:t>
      </w:r>
      <w:r>
        <w:rPr/>
        <w:t>2032,</w:t>
      </w:r>
      <w:r>
        <w:rPr>
          <w:spacing w:val="-42"/>
        </w:rPr>
        <w:t> </w:t>
      </w:r>
      <w:r>
        <w:rPr/>
        <w:t>que</w:t>
      </w:r>
      <w:r>
        <w:rPr>
          <w:spacing w:val="-42"/>
        </w:rPr>
        <w:t> </w:t>
      </w:r>
      <w:r>
        <w:rPr/>
        <w:t>representa o</w:t>
      </w:r>
      <w:r>
        <w:rPr>
          <w:spacing w:val="-31"/>
        </w:rPr>
        <w:t> </w:t>
      </w:r>
      <w:r>
        <w:rPr/>
        <w:t>fim</w:t>
      </w:r>
      <w:r>
        <w:rPr>
          <w:spacing w:val="-29"/>
        </w:rPr>
        <w:t> </w:t>
      </w:r>
      <w:r>
        <w:rPr/>
        <w:t>da</w:t>
      </w:r>
      <w:r>
        <w:rPr>
          <w:spacing w:val="-30"/>
        </w:rPr>
        <w:t> </w:t>
      </w:r>
      <w:r>
        <w:rPr/>
        <w:t>concessão,</w:t>
      </w:r>
      <w:r>
        <w:rPr>
          <w:spacing w:val="-28"/>
        </w:rPr>
        <w:t> </w:t>
      </w:r>
      <w:r>
        <w:rPr/>
        <w:t>em</w:t>
      </w:r>
      <w:r>
        <w:rPr>
          <w:spacing w:val="-29"/>
        </w:rPr>
        <w:t> </w:t>
      </w:r>
      <w:r>
        <w:rPr/>
        <w:t>conformidade</w:t>
      </w:r>
      <w:r>
        <w:rPr>
          <w:spacing w:val="-29"/>
        </w:rPr>
        <w:t> </w:t>
      </w:r>
      <w:r>
        <w:rPr/>
        <w:t>com</w:t>
      </w:r>
      <w:r>
        <w:rPr>
          <w:spacing w:val="-29"/>
        </w:rPr>
        <w:t> </w:t>
      </w:r>
      <w:r>
        <w:rPr/>
        <w:t>o</w:t>
      </w:r>
      <w:r>
        <w:rPr>
          <w:spacing w:val="-29"/>
        </w:rPr>
        <w:t> </w:t>
      </w:r>
      <w:r>
        <w:rPr/>
        <w:t>disposto</w:t>
      </w:r>
      <w:r>
        <w:rPr>
          <w:spacing w:val="-28"/>
        </w:rPr>
        <w:t> </w:t>
      </w:r>
      <w:r>
        <w:rPr/>
        <w:t>no</w:t>
      </w:r>
      <w:r>
        <w:rPr>
          <w:spacing w:val="-28"/>
        </w:rPr>
        <w:t> </w:t>
      </w:r>
      <w:r>
        <w:rPr/>
        <w:t>art.</w:t>
      </w:r>
      <w:r>
        <w:rPr>
          <w:spacing w:val="-29"/>
        </w:rPr>
        <w:t> </w:t>
      </w:r>
      <w:r>
        <w:rPr/>
        <w:t>1,</w:t>
      </w:r>
      <w:r>
        <w:rPr>
          <w:spacing w:val="-29"/>
        </w:rPr>
        <w:t> </w:t>
      </w:r>
      <w:r>
        <w:rPr/>
        <w:t>§</w:t>
      </w:r>
      <w:r>
        <w:rPr>
          <w:spacing w:val="-29"/>
        </w:rPr>
        <w:t> </w:t>
      </w:r>
      <w:r>
        <w:rPr/>
        <w:t>2º,</w:t>
      </w:r>
      <w:r>
        <w:rPr>
          <w:spacing w:val="-29"/>
        </w:rPr>
        <w:t> </w:t>
      </w:r>
      <w:r>
        <w:rPr/>
        <w:t>alínea</w:t>
      </w:r>
      <w:r>
        <w:rPr>
          <w:spacing w:val="-27"/>
        </w:rPr>
        <w:t> </w:t>
      </w:r>
      <w:r>
        <w:rPr/>
        <w:t>b</w:t>
      </w:r>
      <w:r>
        <w:rPr>
          <w:spacing w:val="-29"/>
        </w:rPr>
        <w:t> </w:t>
      </w:r>
      <w:r>
        <w:rPr/>
        <w:t>da</w:t>
      </w:r>
      <w:r>
        <w:rPr>
          <w:spacing w:val="-30"/>
        </w:rPr>
        <w:t> </w:t>
      </w:r>
      <w:r>
        <w:rPr/>
        <w:t>Instrução</w:t>
      </w:r>
      <w:r>
        <w:rPr>
          <w:spacing w:val="-31"/>
        </w:rPr>
        <w:t> </w:t>
      </w:r>
      <w:r>
        <w:rPr/>
        <w:t>CVM</w:t>
      </w:r>
      <w:r>
        <w:rPr>
          <w:spacing w:val="-28"/>
        </w:rPr>
        <w:t> </w:t>
      </w:r>
      <w:r>
        <w:rPr/>
        <w:t>nº</w:t>
      </w:r>
      <w:r>
        <w:rPr>
          <w:spacing w:val="-29"/>
        </w:rPr>
        <w:t> </w:t>
      </w:r>
      <w:r>
        <w:rPr/>
        <w:t>285,</w:t>
      </w:r>
      <w:r>
        <w:rPr>
          <w:spacing w:val="-28"/>
        </w:rPr>
        <w:t> </w:t>
      </w:r>
      <w:r>
        <w:rPr/>
        <w:t>de</w:t>
      </w:r>
      <w:r>
        <w:rPr>
          <w:spacing w:val="-30"/>
        </w:rPr>
        <w:t> </w:t>
      </w:r>
      <w:r>
        <w:rPr/>
        <w:t>31</w:t>
      </w:r>
      <w:r>
        <w:rPr>
          <w:spacing w:val="-29"/>
        </w:rPr>
        <w:t> </w:t>
      </w:r>
      <w:r>
        <w:rPr/>
        <w:t>de</w:t>
      </w:r>
      <w:r>
        <w:rPr>
          <w:spacing w:val="-29"/>
        </w:rPr>
        <w:t> </w:t>
      </w:r>
      <w:r>
        <w:rPr/>
        <w:t>julho de</w:t>
      </w:r>
      <w:r>
        <w:rPr>
          <w:spacing w:val="-39"/>
        </w:rPr>
        <w:t> </w:t>
      </w:r>
      <w:r>
        <w:rPr/>
        <w:t>1998.</w:t>
      </w:r>
      <w:r>
        <w:rPr>
          <w:spacing w:val="-37"/>
        </w:rPr>
        <w:t> </w:t>
      </w:r>
      <w:r>
        <w:rPr/>
        <w:t>O</w:t>
      </w:r>
      <w:r>
        <w:rPr>
          <w:spacing w:val="-38"/>
        </w:rPr>
        <w:t> </w:t>
      </w:r>
      <w:r>
        <w:rPr/>
        <w:t>total</w:t>
      </w:r>
      <w:r>
        <w:rPr>
          <w:spacing w:val="-38"/>
        </w:rPr>
        <w:t> </w:t>
      </w:r>
      <w:r>
        <w:rPr/>
        <w:t>do</w:t>
      </w:r>
      <w:r>
        <w:rPr>
          <w:spacing w:val="-38"/>
        </w:rPr>
        <w:t> </w:t>
      </w:r>
      <w:r>
        <w:rPr/>
        <w:t>ágio,</w:t>
      </w:r>
      <w:r>
        <w:rPr>
          <w:spacing w:val="-38"/>
        </w:rPr>
        <w:t> </w:t>
      </w:r>
      <w:r>
        <w:rPr/>
        <w:t>R$</w:t>
      </w:r>
      <w:r>
        <w:rPr>
          <w:spacing w:val="-38"/>
        </w:rPr>
        <w:t> </w:t>
      </w:r>
      <w:r>
        <w:rPr/>
        <w:t>158.946,</w:t>
      </w:r>
      <w:r>
        <w:rPr>
          <w:spacing w:val="-39"/>
        </w:rPr>
        <w:t> </w:t>
      </w:r>
      <w:r>
        <w:rPr/>
        <w:t>a</w:t>
      </w:r>
      <w:r>
        <w:rPr>
          <w:spacing w:val="-37"/>
        </w:rPr>
        <w:t> </w:t>
      </w:r>
      <w:r>
        <w:rPr/>
        <w:t>ser</w:t>
      </w:r>
      <w:r>
        <w:rPr>
          <w:spacing w:val="-38"/>
        </w:rPr>
        <w:t> </w:t>
      </w:r>
      <w:r>
        <w:rPr/>
        <w:t>amortizado</w:t>
      </w:r>
      <w:r>
        <w:rPr>
          <w:spacing w:val="-39"/>
        </w:rPr>
        <w:t> </w:t>
      </w:r>
      <w:r>
        <w:rPr/>
        <w:t>por</w:t>
      </w:r>
      <w:r>
        <w:rPr>
          <w:spacing w:val="-37"/>
        </w:rPr>
        <w:t> </w:t>
      </w:r>
      <w:r>
        <w:rPr/>
        <w:t>27</w:t>
      </w:r>
      <w:r>
        <w:rPr>
          <w:spacing w:val="-38"/>
        </w:rPr>
        <w:t> </w:t>
      </w:r>
      <w:r>
        <w:rPr/>
        <w:t>anos</w:t>
      </w:r>
      <w:r>
        <w:rPr>
          <w:spacing w:val="-38"/>
        </w:rPr>
        <w:t> </w:t>
      </w:r>
      <w:r>
        <w:rPr/>
        <w:t>(a</w:t>
      </w:r>
      <w:r>
        <w:rPr>
          <w:spacing w:val="-37"/>
        </w:rPr>
        <w:t> </w:t>
      </w:r>
      <w:r>
        <w:rPr/>
        <w:t>partir</w:t>
      </w:r>
      <w:r>
        <w:rPr>
          <w:spacing w:val="-39"/>
        </w:rPr>
        <w:t> </w:t>
      </w:r>
      <w:r>
        <w:rPr/>
        <w:t>de</w:t>
      </w:r>
      <w:r>
        <w:rPr>
          <w:spacing w:val="-39"/>
        </w:rPr>
        <w:t> </w:t>
      </w:r>
      <w:r>
        <w:rPr/>
        <w:t>janeiro</w:t>
      </w:r>
      <w:r>
        <w:rPr>
          <w:spacing w:val="-36"/>
        </w:rPr>
        <w:t> </w:t>
      </w:r>
      <w:r>
        <w:rPr/>
        <w:t>de</w:t>
      </w:r>
      <w:r>
        <w:rPr>
          <w:spacing w:val="-39"/>
        </w:rPr>
        <w:t> </w:t>
      </w:r>
      <w:r>
        <w:rPr/>
        <w:t>2006</w:t>
      </w:r>
      <w:r>
        <w:rPr>
          <w:spacing w:val="-38"/>
        </w:rPr>
        <w:t> </w:t>
      </w:r>
      <w:r>
        <w:rPr/>
        <w:t>até</w:t>
      </w:r>
      <w:r>
        <w:rPr>
          <w:spacing w:val="-39"/>
        </w:rPr>
        <w:t> </w:t>
      </w:r>
      <w:r>
        <w:rPr/>
        <w:t>dezembro</w:t>
      </w:r>
      <w:r>
        <w:rPr>
          <w:spacing w:val="-38"/>
        </w:rPr>
        <w:t> </w:t>
      </w:r>
      <w:r>
        <w:rPr/>
        <w:t>de</w:t>
      </w:r>
      <w:r>
        <w:rPr>
          <w:spacing w:val="-39"/>
        </w:rPr>
        <w:t> </w:t>
      </w:r>
      <w:r>
        <w:rPr/>
        <w:t>2032), resulta</w:t>
      </w:r>
      <w:r>
        <w:rPr>
          <w:spacing w:val="-19"/>
        </w:rPr>
        <w:t> </w:t>
      </w:r>
      <w:r>
        <w:rPr/>
        <w:t>em</w:t>
      </w:r>
      <w:r>
        <w:rPr>
          <w:spacing w:val="-19"/>
        </w:rPr>
        <w:t> </w:t>
      </w:r>
      <w:r>
        <w:rPr/>
        <w:t>R$</w:t>
      </w:r>
      <w:r>
        <w:rPr>
          <w:spacing w:val="-16"/>
        </w:rPr>
        <w:t> </w:t>
      </w:r>
      <w:r>
        <w:rPr/>
        <w:t>5.887</w:t>
      </w:r>
      <w:r>
        <w:rPr>
          <w:spacing w:val="-16"/>
        </w:rPr>
        <w:t> </w:t>
      </w:r>
      <w:r>
        <w:rPr/>
        <w:t>de</w:t>
      </w:r>
      <w:r>
        <w:rPr>
          <w:spacing w:val="-18"/>
        </w:rPr>
        <w:t> </w:t>
      </w:r>
      <w:r>
        <w:rPr/>
        <w:t>amortização</w:t>
      </w:r>
      <w:r>
        <w:rPr>
          <w:spacing w:val="-19"/>
        </w:rPr>
        <w:t> </w:t>
      </w:r>
      <w:r>
        <w:rPr/>
        <w:t>ao</w:t>
      </w:r>
      <w:r>
        <w:rPr>
          <w:spacing w:val="-19"/>
        </w:rPr>
        <w:t> </w:t>
      </w:r>
      <w:r>
        <w:rPr/>
        <w:t>ano.</w:t>
      </w:r>
    </w:p>
    <w:p>
      <w:pPr>
        <w:pStyle w:val="BodyText"/>
        <w:spacing w:before="9"/>
      </w:pPr>
    </w:p>
    <w:p>
      <w:pPr>
        <w:pStyle w:val="BodyText"/>
        <w:spacing w:line="242" w:lineRule="auto"/>
        <w:ind w:left="172" w:right="405"/>
        <w:jc w:val="both"/>
      </w:pPr>
      <w:r>
        <w:rPr/>
        <w:t>Em</w:t>
      </w:r>
      <w:r>
        <w:rPr>
          <w:spacing w:val="-32"/>
        </w:rPr>
        <w:t> </w:t>
      </w:r>
      <w:r>
        <w:rPr/>
        <w:t>dezembro</w:t>
      </w:r>
      <w:r>
        <w:rPr>
          <w:spacing w:val="-31"/>
        </w:rPr>
        <w:t> </w:t>
      </w:r>
      <w:r>
        <w:rPr/>
        <w:t>de</w:t>
      </w:r>
      <w:r>
        <w:rPr>
          <w:spacing w:val="-32"/>
        </w:rPr>
        <w:t> </w:t>
      </w:r>
      <w:r>
        <w:rPr/>
        <w:t>2019,</w:t>
      </w:r>
      <w:r>
        <w:rPr>
          <w:spacing w:val="-31"/>
        </w:rPr>
        <w:t> </w:t>
      </w:r>
      <w:r>
        <w:rPr/>
        <w:t>a</w:t>
      </w:r>
      <w:r>
        <w:rPr>
          <w:spacing w:val="-31"/>
        </w:rPr>
        <w:t> </w:t>
      </w:r>
      <w:r>
        <w:rPr/>
        <w:t>controlada</w:t>
      </w:r>
      <w:r>
        <w:rPr>
          <w:spacing w:val="-31"/>
        </w:rPr>
        <w:t> </w:t>
      </w:r>
      <w:r>
        <w:rPr/>
        <w:t>CEB</w:t>
      </w:r>
      <w:r>
        <w:rPr>
          <w:spacing w:val="-31"/>
        </w:rPr>
        <w:t> </w:t>
      </w:r>
      <w:r>
        <w:rPr/>
        <w:t>Lajeado</w:t>
      </w:r>
      <w:r>
        <w:rPr>
          <w:spacing w:val="-30"/>
        </w:rPr>
        <w:t> </w:t>
      </w:r>
      <w:r>
        <w:rPr/>
        <w:t>S.A.</w:t>
      </w:r>
      <w:r>
        <w:rPr>
          <w:spacing w:val="-29"/>
        </w:rPr>
        <w:t> </w:t>
      </w:r>
      <w:r>
        <w:rPr/>
        <w:t>realizou</w:t>
      </w:r>
      <w:r>
        <w:rPr>
          <w:spacing w:val="-32"/>
        </w:rPr>
        <w:t> </w:t>
      </w:r>
      <w:r>
        <w:rPr/>
        <w:t>o</w:t>
      </w:r>
      <w:r>
        <w:rPr>
          <w:spacing w:val="-31"/>
        </w:rPr>
        <w:t> </w:t>
      </w:r>
      <w:r>
        <w:rPr/>
        <w:t>teste</w:t>
      </w:r>
      <w:r>
        <w:rPr>
          <w:spacing w:val="-32"/>
        </w:rPr>
        <w:t> </w:t>
      </w:r>
      <w:r>
        <w:rPr/>
        <w:t>de</w:t>
      </w:r>
      <w:r>
        <w:rPr>
          <w:spacing w:val="-31"/>
        </w:rPr>
        <w:t> </w:t>
      </w:r>
      <w:r>
        <w:rPr/>
        <w:t>perda</w:t>
      </w:r>
      <w:r>
        <w:rPr>
          <w:spacing w:val="-30"/>
        </w:rPr>
        <w:t> </w:t>
      </w:r>
      <w:r>
        <w:rPr/>
        <w:t>por</w:t>
      </w:r>
      <w:r>
        <w:rPr>
          <w:spacing w:val="-30"/>
        </w:rPr>
        <w:t> </w:t>
      </w:r>
      <w:r>
        <w:rPr/>
        <w:t>redução</w:t>
      </w:r>
      <w:r>
        <w:rPr>
          <w:spacing w:val="-32"/>
        </w:rPr>
        <w:t> </w:t>
      </w:r>
      <w:r>
        <w:rPr/>
        <w:t>no</w:t>
      </w:r>
      <w:r>
        <w:rPr>
          <w:spacing w:val="-31"/>
        </w:rPr>
        <w:t> </w:t>
      </w:r>
      <w:r>
        <w:rPr/>
        <w:t>valor</w:t>
      </w:r>
      <w:r>
        <w:rPr>
          <w:spacing w:val="-30"/>
        </w:rPr>
        <w:t> </w:t>
      </w:r>
      <w:r>
        <w:rPr/>
        <w:t>recuperável</w:t>
      </w:r>
      <w:r>
        <w:rPr>
          <w:spacing w:val="-31"/>
        </w:rPr>
        <w:t> </w:t>
      </w:r>
      <w:r>
        <w:rPr/>
        <w:t>do direito de exploração da concessão. A base para realização do teste de recuperabilidade foi o fluxo de caixa descontado,</w:t>
      </w:r>
      <w:r>
        <w:rPr>
          <w:spacing w:val="-34"/>
        </w:rPr>
        <w:t> </w:t>
      </w:r>
      <w:r>
        <w:rPr/>
        <w:t>e</w:t>
      </w:r>
      <w:r>
        <w:rPr>
          <w:spacing w:val="-34"/>
        </w:rPr>
        <w:t> </w:t>
      </w:r>
      <w:r>
        <w:rPr/>
        <w:t>não</w:t>
      </w:r>
      <w:r>
        <w:rPr>
          <w:spacing w:val="-35"/>
        </w:rPr>
        <w:t> </w:t>
      </w:r>
      <w:r>
        <w:rPr/>
        <w:t>apresentou</w:t>
      </w:r>
      <w:r>
        <w:rPr>
          <w:spacing w:val="-34"/>
        </w:rPr>
        <w:t> </w:t>
      </w:r>
      <w:r>
        <w:rPr/>
        <w:t>indicação</w:t>
      </w:r>
      <w:r>
        <w:rPr>
          <w:spacing w:val="-35"/>
        </w:rPr>
        <w:t> </w:t>
      </w:r>
      <w:r>
        <w:rPr/>
        <w:t>de</w:t>
      </w:r>
      <w:r>
        <w:rPr>
          <w:spacing w:val="-34"/>
        </w:rPr>
        <w:t> </w:t>
      </w:r>
      <w:r>
        <w:rPr/>
        <w:t>perda</w:t>
      </w:r>
      <w:r>
        <w:rPr>
          <w:spacing w:val="-33"/>
        </w:rPr>
        <w:t> </w:t>
      </w:r>
      <w:r>
        <w:rPr/>
        <w:t>por</w:t>
      </w:r>
      <w:r>
        <w:rPr>
          <w:spacing w:val="-34"/>
        </w:rPr>
        <w:t> </w:t>
      </w:r>
      <w:r>
        <w:rPr/>
        <w:t>redução</w:t>
      </w:r>
      <w:r>
        <w:rPr>
          <w:spacing w:val="-35"/>
        </w:rPr>
        <w:t> </w:t>
      </w:r>
      <w:r>
        <w:rPr/>
        <w:t>no</w:t>
      </w:r>
      <w:r>
        <w:rPr>
          <w:spacing w:val="-29"/>
        </w:rPr>
        <w:t> </w:t>
      </w:r>
      <w:r>
        <w:rPr/>
        <w:t>valor</w:t>
      </w:r>
      <w:r>
        <w:rPr>
          <w:spacing w:val="-35"/>
        </w:rPr>
        <w:t> </w:t>
      </w:r>
      <w:r>
        <w:rPr/>
        <w:t>recuperável.</w:t>
      </w:r>
      <w:r>
        <w:rPr>
          <w:spacing w:val="-34"/>
        </w:rPr>
        <w:t> </w:t>
      </w:r>
      <w:r>
        <w:rPr/>
        <w:t>A</w:t>
      </w:r>
      <w:r>
        <w:rPr>
          <w:spacing w:val="-34"/>
        </w:rPr>
        <w:t> </w:t>
      </w:r>
      <w:r>
        <w:rPr/>
        <w:t>taxa</w:t>
      </w:r>
      <w:r>
        <w:rPr>
          <w:spacing w:val="-34"/>
        </w:rPr>
        <w:t> </w:t>
      </w:r>
      <w:r>
        <w:rPr/>
        <w:t>de</w:t>
      </w:r>
      <w:r>
        <w:rPr>
          <w:spacing w:val="-35"/>
        </w:rPr>
        <w:t> </w:t>
      </w:r>
      <w:r>
        <w:rPr/>
        <w:t>desconto</w:t>
      </w:r>
      <w:r>
        <w:rPr>
          <w:spacing w:val="-35"/>
        </w:rPr>
        <w:t> </w:t>
      </w:r>
      <w:r>
        <w:rPr/>
        <w:t>usada</w:t>
      </w:r>
      <w:r>
        <w:rPr>
          <w:spacing w:val="-34"/>
        </w:rPr>
        <w:t> </w:t>
      </w:r>
      <w:r>
        <w:rPr/>
        <w:t>foi</w:t>
      </w:r>
      <w:r>
        <w:rPr>
          <w:spacing w:val="-33"/>
        </w:rPr>
        <w:t> </w:t>
      </w:r>
      <w:r>
        <w:rPr/>
        <w:t>de 7,16%,</w:t>
      </w:r>
      <w:r>
        <w:rPr>
          <w:spacing w:val="-32"/>
        </w:rPr>
        <w:t> </w:t>
      </w:r>
      <w:r>
        <w:rPr/>
        <w:t>e</w:t>
      </w:r>
      <w:r>
        <w:rPr>
          <w:spacing w:val="-33"/>
        </w:rPr>
        <w:t> </w:t>
      </w:r>
      <w:r>
        <w:rPr/>
        <w:t>tal</w:t>
      </w:r>
      <w:r>
        <w:rPr>
          <w:spacing w:val="-32"/>
        </w:rPr>
        <w:t> </w:t>
      </w:r>
      <w:r>
        <w:rPr/>
        <w:t>utilização</w:t>
      </w:r>
      <w:r>
        <w:rPr>
          <w:spacing w:val="-33"/>
        </w:rPr>
        <w:t> </w:t>
      </w:r>
      <w:r>
        <w:rPr/>
        <w:t>deveu-se</w:t>
      </w:r>
      <w:r>
        <w:rPr>
          <w:spacing w:val="-34"/>
        </w:rPr>
        <w:t> </w:t>
      </w:r>
      <w:r>
        <w:rPr/>
        <w:t>ao</w:t>
      </w:r>
      <w:r>
        <w:rPr>
          <w:spacing w:val="-32"/>
        </w:rPr>
        <w:t> </w:t>
      </w:r>
      <w:r>
        <w:rPr/>
        <w:t>fato</w:t>
      </w:r>
      <w:r>
        <w:rPr>
          <w:spacing w:val="-32"/>
        </w:rPr>
        <w:t> </w:t>
      </w:r>
      <w:r>
        <w:rPr/>
        <w:t>de</w:t>
      </w:r>
      <w:r>
        <w:rPr>
          <w:spacing w:val="-34"/>
        </w:rPr>
        <w:t> </w:t>
      </w:r>
      <w:r>
        <w:rPr/>
        <w:t>a</w:t>
      </w:r>
      <w:r>
        <w:rPr>
          <w:spacing w:val="-31"/>
        </w:rPr>
        <w:t> </w:t>
      </w:r>
      <w:r>
        <w:rPr/>
        <w:t>Empresa</w:t>
      </w:r>
      <w:r>
        <w:rPr>
          <w:spacing w:val="-31"/>
        </w:rPr>
        <w:t> </w:t>
      </w:r>
      <w:r>
        <w:rPr/>
        <w:t>não</w:t>
      </w:r>
      <w:r>
        <w:rPr>
          <w:spacing w:val="-32"/>
        </w:rPr>
        <w:t> </w:t>
      </w:r>
      <w:r>
        <w:rPr/>
        <w:t>possuir</w:t>
      </w:r>
      <w:r>
        <w:rPr>
          <w:spacing w:val="-33"/>
        </w:rPr>
        <w:t> </w:t>
      </w:r>
      <w:r>
        <w:rPr/>
        <w:t>dívida</w:t>
      </w:r>
      <w:r>
        <w:rPr>
          <w:spacing w:val="-31"/>
        </w:rPr>
        <w:t> </w:t>
      </w:r>
      <w:r>
        <w:rPr/>
        <w:t>bancária.</w:t>
      </w:r>
      <w:r>
        <w:rPr>
          <w:spacing w:val="-32"/>
        </w:rPr>
        <w:t> </w:t>
      </w:r>
      <w:r>
        <w:rPr/>
        <w:t>O</w:t>
      </w:r>
      <w:r>
        <w:rPr>
          <w:spacing w:val="-32"/>
        </w:rPr>
        <w:t> </w:t>
      </w:r>
      <w:r>
        <w:rPr/>
        <w:t>fluxo</w:t>
      </w:r>
      <w:r>
        <w:rPr>
          <w:spacing w:val="-32"/>
        </w:rPr>
        <w:t> </w:t>
      </w:r>
      <w:r>
        <w:rPr/>
        <w:t>de</w:t>
      </w:r>
      <w:r>
        <w:rPr>
          <w:spacing w:val="-33"/>
        </w:rPr>
        <w:t> </w:t>
      </w:r>
      <w:r>
        <w:rPr/>
        <w:t>caixa</w:t>
      </w:r>
      <w:r>
        <w:rPr>
          <w:spacing w:val="-33"/>
        </w:rPr>
        <w:t> </w:t>
      </w:r>
      <w:r>
        <w:rPr/>
        <w:t>livre</w:t>
      </w:r>
      <w:r>
        <w:rPr>
          <w:spacing w:val="-32"/>
        </w:rPr>
        <w:t> </w:t>
      </w:r>
      <w:r>
        <w:rPr/>
        <w:t>foi</w:t>
      </w:r>
      <w:r>
        <w:rPr>
          <w:spacing w:val="-31"/>
        </w:rPr>
        <w:t> </w:t>
      </w:r>
      <w:r>
        <w:rPr/>
        <w:t>realizado sob</w:t>
      </w:r>
      <w:r>
        <w:rPr>
          <w:spacing w:val="-18"/>
        </w:rPr>
        <w:t> </w:t>
      </w:r>
      <w:r>
        <w:rPr/>
        <w:t>a</w:t>
      </w:r>
      <w:r>
        <w:rPr>
          <w:spacing w:val="-13"/>
        </w:rPr>
        <w:t> </w:t>
      </w:r>
      <w:r>
        <w:rPr/>
        <w:t>ótica</w:t>
      </w:r>
      <w:r>
        <w:rPr>
          <w:spacing w:val="-16"/>
        </w:rPr>
        <w:t> </w:t>
      </w:r>
      <w:r>
        <w:rPr/>
        <w:t>do</w:t>
      </w:r>
      <w:r>
        <w:rPr>
          <w:spacing w:val="-16"/>
        </w:rPr>
        <w:t> </w:t>
      </w:r>
      <w:r>
        <w:rPr/>
        <w:t>acionista</w:t>
      </w:r>
      <w:r>
        <w:rPr>
          <w:spacing w:val="-14"/>
        </w:rPr>
        <w:t> </w:t>
      </w:r>
      <w:r>
        <w:rPr/>
        <w:t>e</w:t>
      </w:r>
      <w:r>
        <w:rPr>
          <w:spacing w:val="-15"/>
        </w:rPr>
        <w:t> </w:t>
      </w:r>
      <w:r>
        <w:rPr/>
        <w:t>foi</w:t>
      </w:r>
      <w:r>
        <w:rPr>
          <w:spacing w:val="-17"/>
        </w:rPr>
        <w:t> </w:t>
      </w:r>
      <w:r>
        <w:rPr/>
        <w:t>utilizado</w:t>
      </w:r>
      <w:r>
        <w:rPr>
          <w:spacing w:val="-15"/>
        </w:rPr>
        <w:t> </w:t>
      </w:r>
      <w:r>
        <w:rPr/>
        <w:t>o</w:t>
      </w:r>
      <w:r>
        <w:rPr>
          <w:spacing w:val="-16"/>
        </w:rPr>
        <w:t> </w:t>
      </w:r>
      <w:r>
        <w:rPr/>
        <w:t>custo</w:t>
      </w:r>
      <w:r>
        <w:rPr>
          <w:spacing w:val="-15"/>
        </w:rPr>
        <w:t> </w:t>
      </w:r>
      <w:r>
        <w:rPr/>
        <w:t>de</w:t>
      </w:r>
      <w:r>
        <w:rPr>
          <w:spacing w:val="-18"/>
        </w:rPr>
        <w:t> </w:t>
      </w:r>
      <w:r>
        <w:rPr/>
        <w:t>capital</w:t>
      </w:r>
      <w:r>
        <w:rPr>
          <w:spacing w:val="-16"/>
        </w:rPr>
        <w:t> </w:t>
      </w:r>
      <w:r>
        <w:rPr/>
        <w:t>próprio</w:t>
      </w:r>
      <w:r>
        <w:rPr>
          <w:spacing w:val="-13"/>
        </w:rPr>
        <w:t> </w:t>
      </w:r>
      <w:r>
        <w:rPr/>
        <w:t>real</w:t>
      </w:r>
      <w:r>
        <w:rPr>
          <w:spacing w:val="-15"/>
        </w:rPr>
        <w:t> </w:t>
      </w:r>
      <w:r>
        <w:rPr/>
        <w:t>depois</w:t>
      </w:r>
      <w:r>
        <w:rPr>
          <w:spacing w:val="-16"/>
        </w:rPr>
        <w:t> </w:t>
      </w:r>
      <w:r>
        <w:rPr/>
        <w:t>dos</w:t>
      </w:r>
      <w:r>
        <w:rPr>
          <w:spacing w:val="-8"/>
        </w:rPr>
        <w:t> </w:t>
      </w:r>
      <w:r>
        <w:rPr/>
        <w:t>impostos.</w:t>
      </w:r>
      <w:r>
        <w:rPr>
          <w:spacing w:val="-17"/>
        </w:rPr>
        <w:t> </w:t>
      </w:r>
      <w:r>
        <w:rPr/>
        <w:t>A</w:t>
      </w:r>
      <w:r>
        <w:rPr>
          <w:spacing w:val="-14"/>
        </w:rPr>
        <w:t> </w:t>
      </w:r>
      <w:r>
        <w:rPr/>
        <w:t>mencionada</w:t>
      </w:r>
      <w:r>
        <w:rPr>
          <w:spacing w:val="-16"/>
        </w:rPr>
        <w:t> </w:t>
      </w:r>
      <w:r>
        <w:rPr/>
        <w:t>taxa</w:t>
      </w:r>
      <w:r>
        <w:rPr>
          <w:spacing w:val="-14"/>
        </w:rPr>
        <w:t> </w:t>
      </w:r>
      <w:r>
        <w:rPr/>
        <w:t>foi divulgada</w:t>
      </w:r>
      <w:r>
        <w:rPr>
          <w:spacing w:val="-8"/>
        </w:rPr>
        <w:t> </w:t>
      </w:r>
      <w:r>
        <w:rPr/>
        <w:t>pela</w:t>
      </w:r>
      <w:r>
        <w:rPr>
          <w:spacing w:val="-7"/>
        </w:rPr>
        <w:t> </w:t>
      </w:r>
      <w:r>
        <w:rPr/>
        <w:t>ANEEL</w:t>
      </w:r>
      <w:r>
        <w:rPr>
          <w:spacing w:val="-7"/>
        </w:rPr>
        <w:t> </w:t>
      </w:r>
      <w:r>
        <w:rPr/>
        <w:t>nos</w:t>
      </w:r>
      <w:r>
        <w:rPr>
          <w:spacing w:val="-7"/>
        </w:rPr>
        <w:t> </w:t>
      </w:r>
      <w:r>
        <w:rPr/>
        <w:t>Procedimentos</w:t>
      </w:r>
      <w:r>
        <w:rPr>
          <w:spacing w:val="-8"/>
        </w:rPr>
        <w:t> </w:t>
      </w:r>
      <w:r>
        <w:rPr/>
        <w:t>de</w:t>
      </w:r>
      <w:r>
        <w:rPr>
          <w:spacing w:val="-9"/>
        </w:rPr>
        <w:t> </w:t>
      </w:r>
      <w:r>
        <w:rPr/>
        <w:t>Regulação</w:t>
      </w:r>
      <w:r>
        <w:rPr>
          <w:spacing w:val="-8"/>
        </w:rPr>
        <w:t> </w:t>
      </w:r>
      <w:r>
        <w:rPr/>
        <w:t>Tarifária</w:t>
      </w:r>
      <w:r>
        <w:rPr>
          <w:spacing w:val="-1"/>
        </w:rPr>
        <w:t> </w:t>
      </w:r>
      <w:r>
        <w:rPr>
          <w:w w:val="105"/>
        </w:rPr>
        <w:t>–</w:t>
      </w:r>
      <w:r>
        <w:rPr>
          <w:spacing w:val="-9"/>
          <w:w w:val="105"/>
        </w:rPr>
        <w:t> </w:t>
      </w:r>
      <w:r>
        <w:rPr/>
        <w:t>Proret,</w:t>
      </w:r>
      <w:r>
        <w:rPr>
          <w:spacing w:val="-8"/>
        </w:rPr>
        <w:t> </w:t>
      </w:r>
      <w:r>
        <w:rPr/>
        <w:t>submódulo</w:t>
      </w:r>
      <w:r>
        <w:rPr>
          <w:spacing w:val="-8"/>
        </w:rPr>
        <w:t> </w:t>
      </w:r>
      <w:r>
        <w:rPr/>
        <w:t>12.3</w:t>
      </w:r>
      <w:r>
        <w:rPr>
          <w:spacing w:val="-6"/>
        </w:rPr>
        <w:t> </w:t>
      </w:r>
      <w:r>
        <w:rPr>
          <w:w w:val="105"/>
        </w:rPr>
        <w:t>–</w:t>
      </w:r>
      <w:r>
        <w:rPr>
          <w:spacing w:val="-9"/>
          <w:w w:val="105"/>
        </w:rPr>
        <w:t> </w:t>
      </w:r>
      <w:r>
        <w:rPr/>
        <w:t>Custo</w:t>
      </w:r>
      <w:r>
        <w:rPr>
          <w:spacing w:val="-8"/>
        </w:rPr>
        <w:t> </w:t>
      </w:r>
      <w:r>
        <w:rPr/>
        <w:t>de</w:t>
      </w:r>
      <w:r>
        <w:rPr>
          <w:spacing w:val="-9"/>
        </w:rPr>
        <w:t> </w:t>
      </w:r>
      <w:r>
        <w:rPr/>
        <w:t>Capital</w:t>
      </w:r>
      <w:r>
        <w:rPr>
          <w:spacing w:val="-7"/>
        </w:rPr>
        <w:t> </w:t>
      </w:r>
      <w:r>
        <w:rPr/>
        <w:t>da Geração.</w:t>
      </w:r>
      <w:r>
        <w:rPr>
          <w:spacing w:val="-47"/>
        </w:rPr>
        <w:t> </w:t>
      </w:r>
      <w:r>
        <w:rPr/>
        <w:t>O</w:t>
      </w:r>
      <w:r>
        <w:rPr>
          <w:spacing w:val="-47"/>
        </w:rPr>
        <w:t> </w:t>
      </w:r>
      <w:r>
        <w:rPr/>
        <w:t>período</w:t>
      </w:r>
      <w:r>
        <w:rPr>
          <w:spacing w:val="-47"/>
        </w:rPr>
        <w:t> </w:t>
      </w:r>
      <w:r>
        <w:rPr/>
        <w:t>contemplado</w:t>
      </w:r>
      <w:r>
        <w:rPr>
          <w:spacing w:val="-47"/>
        </w:rPr>
        <w:t> </w:t>
      </w:r>
      <w:r>
        <w:rPr/>
        <w:t>para</w:t>
      </w:r>
      <w:r>
        <w:rPr>
          <w:spacing w:val="-46"/>
        </w:rPr>
        <w:t> </w:t>
      </w:r>
      <w:r>
        <w:rPr/>
        <w:t>elaboração</w:t>
      </w:r>
      <w:r>
        <w:rPr>
          <w:spacing w:val="-47"/>
        </w:rPr>
        <w:t> </w:t>
      </w:r>
      <w:r>
        <w:rPr/>
        <w:t>dos</w:t>
      </w:r>
      <w:r>
        <w:rPr>
          <w:spacing w:val="-46"/>
        </w:rPr>
        <w:t> </w:t>
      </w:r>
      <w:r>
        <w:rPr/>
        <w:t>fluxos</w:t>
      </w:r>
      <w:r>
        <w:rPr>
          <w:spacing w:val="-47"/>
        </w:rPr>
        <w:t> </w:t>
      </w:r>
      <w:r>
        <w:rPr/>
        <w:t>de</w:t>
      </w:r>
      <w:r>
        <w:rPr>
          <w:spacing w:val="-48"/>
        </w:rPr>
        <w:t> </w:t>
      </w:r>
      <w:r>
        <w:rPr/>
        <w:t>caixa</w:t>
      </w:r>
      <w:r>
        <w:rPr>
          <w:spacing w:val="-46"/>
        </w:rPr>
        <w:t> </w:t>
      </w:r>
      <w:r>
        <w:rPr/>
        <w:t>foi</w:t>
      </w:r>
      <w:r>
        <w:rPr>
          <w:spacing w:val="-47"/>
        </w:rPr>
        <w:t> </w:t>
      </w:r>
      <w:r>
        <w:rPr/>
        <w:t>até</w:t>
      </w:r>
      <w:r>
        <w:rPr>
          <w:spacing w:val="-47"/>
        </w:rPr>
        <w:t> </w:t>
      </w:r>
      <w:r>
        <w:rPr/>
        <w:t>o</w:t>
      </w:r>
      <w:r>
        <w:rPr>
          <w:spacing w:val="-46"/>
        </w:rPr>
        <w:t> </w:t>
      </w:r>
      <w:r>
        <w:rPr/>
        <w:t>fim</w:t>
      </w:r>
      <w:r>
        <w:rPr>
          <w:spacing w:val="-46"/>
        </w:rPr>
        <w:t> </w:t>
      </w:r>
      <w:r>
        <w:rPr/>
        <w:t>da</w:t>
      </w:r>
      <w:r>
        <w:rPr>
          <w:spacing w:val="-47"/>
        </w:rPr>
        <w:t> </w:t>
      </w:r>
      <w:r>
        <w:rPr/>
        <w:t>concessão,</w:t>
      </w:r>
      <w:r>
        <w:rPr>
          <w:spacing w:val="-48"/>
        </w:rPr>
        <w:t> </w:t>
      </w:r>
      <w:r>
        <w:rPr/>
        <w:t>ou</w:t>
      </w:r>
      <w:r>
        <w:rPr>
          <w:spacing w:val="-46"/>
        </w:rPr>
        <w:t> </w:t>
      </w:r>
      <w:r>
        <w:rPr/>
        <w:t>seja,</w:t>
      </w:r>
      <w:r>
        <w:rPr>
          <w:spacing w:val="-47"/>
        </w:rPr>
        <w:t> </w:t>
      </w:r>
      <w:r>
        <w:rPr/>
        <w:t>o</w:t>
      </w:r>
      <w:r>
        <w:rPr>
          <w:spacing w:val="-47"/>
        </w:rPr>
        <w:t> </w:t>
      </w:r>
      <w:r>
        <w:rPr/>
        <w:t>ano</w:t>
      </w:r>
      <w:r>
        <w:rPr>
          <w:spacing w:val="-46"/>
        </w:rPr>
        <w:t> </w:t>
      </w:r>
      <w:r>
        <w:rPr/>
        <w:t>de</w:t>
      </w:r>
      <w:r>
        <w:rPr>
          <w:spacing w:val="-47"/>
        </w:rPr>
        <w:t> </w:t>
      </w:r>
      <w:r>
        <w:rPr>
          <w:spacing w:val="2"/>
        </w:rPr>
        <w:t>2032.</w:t>
      </w:r>
    </w:p>
    <w:p>
      <w:pPr>
        <w:pStyle w:val="BodyText"/>
        <w:spacing w:before="7"/>
      </w:pPr>
    </w:p>
    <w:p>
      <w:pPr>
        <w:pStyle w:val="BodyText"/>
        <w:spacing w:before="1"/>
        <w:ind w:left="172"/>
        <w:jc w:val="both"/>
      </w:pPr>
      <w:r>
        <w:rPr/>
        <w:t>Os saldos em 31 de dezembro de 2019 e 2018 podem ser assim mostrados:</w:t>
      </w:r>
    </w:p>
    <w:p>
      <w:pPr>
        <w:pStyle w:val="BodyText"/>
        <w:spacing w:before="6"/>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02"/>
        <w:gridCol w:w="2662"/>
        <w:gridCol w:w="2660"/>
      </w:tblGrid>
      <w:tr>
        <w:trPr>
          <w:trHeight w:val="246" w:hRule="atLeast"/>
        </w:trPr>
        <w:tc>
          <w:tcPr>
            <w:tcW w:w="4602" w:type="dxa"/>
            <w:shd w:val="clear" w:color="auto" w:fill="D7D7D7"/>
          </w:tcPr>
          <w:p>
            <w:pPr>
              <w:pStyle w:val="TableParagraph"/>
              <w:rPr>
                <w:rFonts w:ascii="Times New Roman"/>
                <w:sz w:val="16"/>
              </w:rPr>
            </w:pPr>
          </w:p>
        </w:tc>
        <w:tc>
          <w:tcPr>
            <w:tcW w:w="2662" w:type="dxa"/>
          </w:tcPr>
          <w:p>
            <w:pPr>
              <w:pStyle w:val="TableParagraph"/>
              <w:spacing w:before="39"/>
              <w:ind w:left="904" w:right="902"/>
              <w:jc w:val="center"/>
              <w:rPr>
                <w:rFonts w:ascii="Caladea"/>
                <w:b/>
                <w:sz w:val="14"/>
              </w:rPr>
            </w:pPr>
            <w:r>
              <w:rPr>
                <w:rFonts w:ascii="Caladea"/>
                <w:b/>
                <w:sz w:val="14"/>
              </w:rPr>
              <w:t>31/12/2019</w:t>
            </w:r>
          </w:p>
        </w:tc>
        <w:tc>
          <w:tcPr>
            <w:tcW w:w="2660" w:type="dxa"/>
          </w:tcPr>
          <w:p>
            <w:pPr>
              <w:pStyle w:val="TableParagraph"/>
              <w:spacing w:before="39"/>
              <w:ind w:left="904" w:right="900"/>
              <w:jc w:val="center"/>
              <w:rPr>
                <w:rFonts w:ascii="Caladea"/>
                <w:b/>
                <w:sz w:val="14"/>
              </w:rPr>
            </w:pPr>
            <w:r>
              <w:rPr>
                <w:rFonts w:ascii="Caladea"/>
                <w:b/>
                <w:sz w:val="14"/>
              </w:rPr>
              <w:t>31/12/2018</w:t>
            </w:r>
          </w:p>
        </w:tc>
      </w:tr>
      <w:tr>
        <w:trPr>
          <w:trHeight w:val="249" w:hRule="atLeast"/>
        </w:trPr>
        <w:tc>
          <w:tcPr>
            <w:tcW w:w="4602" w:type="dxa"/>
          </w:tcPr>
          <w:p>
            <w:pPr>
              <w:pStyle w:val="TableParagraph"/>
              <w:spacing w:before="43"/>
              <w:ind w:left="103"/>
              <w:rPr>
                <w:sz w:val="14"/>
              </w:rPr>
            </w:pPr>
            <w:r>
              <w:rPr>
                <w:sz w:val="14"/>
              </w:rPr>
              <w:t>Ágio</w:t>
            </w:r>
          </w:p>
        </w:tc>
        <w:tc>
          <w:tcPr>
            <w:tcW w:w="2662" w:type="dxa"/>
          </w:tcPr>
          <w:p>
            <w:pPr>
              <w:pStyle w:val="TableParagraph"/>
              <w:spacing w:before="43"/>
              <w:ind w:right="62"/>
              <w:jc w:val="right"/>
              <w:rPr>
                <w:sz w:val="14"/>
              </w:rPr>
            </w:pPr>
            <w:r>
              <w:rPr>
                <w:w w:val="95"/>
                <w:sz w:val="14"/>
              </w:rPr>
              <w:t>158.946</w:t>
            </w:r>
          </w:p>
        </w:tc>
        <w:tc>
          <w:tcPr>
            <w:tcW w:w="2660" w:type="dxa"/>
          </w:tcPr>
          <w:p>
            <w:pPr>
              <w:pStyle w:val="TableParagraph"/>
              <w:spacing w:before="43"/>
              <w:ind w:right="60"/>
              <w:jc w:val="right"/>
              <w:rPr>
                <w:sz w:val="14"/>
              </w:rPr>
            </w:pPr>
            <w:r>
              <w:rPr>
                <w:w w:val="95"/>
                <w:sz w:val="14"/>
              </w:rPr>
              <w:t>158.946</w:t>
            </w:r>
          </w:p>
        </w:tc>
      </w:tr>
      <w:tr>
        <w:trPr>
          <w:trHeight w:val="246" w:hRule="atLeast"/>
        </w:trPr>
        <w:tc>
          <w:tcPr>
            <w:tcW w:w="4602" w:type="dxa"/>
          </w:tcPr>
          <w:p>
            <w:pPr>
              <w:pStyle w:val="TableParagraph"/>
              <w:spacing w:before="41"/>
              <w:ind w:left="103"/>
              <w:rPr>
                <w:sz w:val="14"/>
              </w:rPr>
            </w:pPr>
            <w:r>
              <w:rPr>
                <w:sz w:val="14"/>
              </w:rPr>
              <w:t>Amortização Acumulada</w:t>
            </w:r>
          </w:p>
        </w:tc>
        <w:tc>
          <w:tcPr>
            <w:tcW w:w="2662" w:type="dxa"/>
          </w:tcPr>
          <w:p>
            <w:pPr>
              <w:pStyle w:val="TableParagraph"/>
              <w:spacing w:before="41"/>
              <w:ind w:right="62"/>
              <w:jc w:val="right"/>
              <w:rPr>
                <w:sz w:val="14"/>
              </w:rPr>
            </w:pPr>
            <w:r>
              <w:rPr>
                <w:sz w:val="14"/>
              </w:rPr>
              <w:t>(82.417)</w:t>
            </w:r>
          </w:p>
        </w:tc>
        <w:tc>
          <w:tcPr>
            <w:tcW w:w="2660" w:type="dxa"/>
          </w:tcPr>
          <w:p>
            <w:pPr>
              <w:pStyle w:val="TableParagraph"/>
              <w:spacing w:before="41"/>
              <w:ind w:right="60"/>
              <w:jc w:val="right"/>
              <w:rPr>
                <w:sz w:val="14"/>
              </w:rPr>
            </w:pPr>
            <w:r>
              <w:rPr>
                <w:sz w:val="14"/>
              </w:rPr>
              <w:t>(76.529)</w:t>
            </w:r>
          </w:p>
        </w:tc>
      </w:tr>
      <w:tr>
        <w:trPr>
          <w:trHeight w:val="249" w:hRule="atLeast"/>
        </w:trPr>
        <w:tc>
          <w:tcPr>
            <w:tcW w:w="4602" w:type="dxa"/>
          </w:tcPr>
          <w:p>
            <w:pPr>
              <w:pStyle w:val="TableParagraph"/>
              <w:spacing w:before="42"/>
              <w:ind w:left="103"/>
              <w:rPr>
                <w:rFonts w:ascii="Caladea" w:hAnsi="Caladea"/>
                <w:b/>
                <w:sz w:val="14"/>
              </w:rPr>
            </w:pPr>
            <w:r>
              <w:rPr>
                <w:rFonts w:ascii="Caladea" w:hAnsi="Caladea"/>
                <w:b/>
                <w:sz w:val="14"/>
              </w:rPr>
              <w:t>Saldo Líquido</w:t>
            </w:r>
          </w:p>
        </w:tc>
        <w:tc>
          <w:tcPr>
            <w:tcW w:w="2662" w:type="dxa"/>
          </w:tcPr>
          <w:p>
            <w:pPr>
              <w:pStyle w:val="TableParagraph"/>
              <w:spacing w:before="42"/>
              <w:ind w:right="62"/>
              <w:jc w:val="right"/>
              <w:rPr>
                <w:rFonts w:ascii="Caladea"/>
                <w:b/>
                <w:sz w:val="14"/>
              </w:rPr>
            </w:pPr>
            <w:r>
              <w:rPr>
                <w:rFonts w:ascii="Caladea"/>
                <w:b/>
                <w:sz w:val="14"/>
              </w:rPr>
              <w:t>76.529</w:t>
            </w:r>
          </w:p>
        </w:tc>
        <w:tc>
          <w:tcPr>
            <w:tcW w:w="2660" w:type="dxa"/>
          </w:tcPr>
          <w:p>
            <w:pPr>
              <w:pStyle w:val="TableParagraph"/>
              <w:spacing w:before="42"/>
              <w:ind w:right="57"/>
              <w:jc w:val="right"/>
              <w:rPr>
                <w:rFonts w:ascii="Caladea"/>
                <w:b/>
                <w:sz w:val="14"/>
              </w:rPr>
            </w:pPr>
            <w:r>
              <w:rPr>
                <w:rFonts w:ascii="Caladea"/>
                <w:b/>
                <w:sz w:val="14"/>
              </w:rPr>
              <w:t>82.417</w:t>
            </w:r>
          </w:p>
        </w:tc>
      </w:tr>
    </w:tbl>
    <w:p>
      <w:pPr>
        <w:pStyle w:val="BodyText"/>
        <w:spacing w:before="7"/>
      </w:pPr>
    </w:p>
    <w:p>
      <w:pPr>
        <w:pStyle w:val="Heading3"/>
        <w:numPr>
          <w:ilvl w:val="0"/>
          <w:numId w:val="6"/>
        </w:numPr>
        <w:tabs>
          <w:tab w:pos="954" w:val="left" w:leader="none"/>
        </w:tabs>
        <w:spacing w:line="240" w:lineRule="auto" w:before="0" w:after="0"/>
        <w:ind w:left="953" w:right="0" w:hanging="782"/>
        <w:jc w:val="both"/>
      </w:pPr>
      <w:r>
        <w:rPr/>
        <w:t>FORNECEDORES</w:t>
      </w:r>
    </w:p>
    <w:p>
      <w:pPr>
        <w:pStyle w:val="BodyText"/>
        <w:spacing w:before="5" w:after="1"/>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14"/>
        <w:gridCol w:w="1561"/>
        <w:gridCol w:w="1561"/>
        <w:gridCol w:w="1562"/>
        <w:gridCol w:w="1561"/>
      </w:tblGrid>
      <w:tr>
        <w:trPr>
          <w:trHeight w:val="251" w:hRule="atLeast"/>
        </w:trPr>
        <w:tc>
          <w:tcPr>
            <w:tcW w:w="3714" w:type="dxa"/>
            <w:vMerge w:val="restart"/>
            <w:shd w:val="clear" w:color="auto" w:fill="D7D7D7"/>
          </w:tcPr>
          <w:p>
            <w:pPr>
              <w:pStyle w:val="TableParagraph"/>
              <w:rPr>
                <w:rFonts w:ascii="Times New Roman"/>
                <w:sz w:val="18"/>
              </w:rPr>
            </w:pPr>
          </w:p>
        </w:tc>
        <w:tc>
          <w:tcPr>
            <w:tcW w:w="3122" w:type="dxa"/>
            <w:gridSpan w:val="2"/>
          </w:tcPr>
          <w:p>
            <w:pPr>
              <w:pStyle w:val="TableParagraph"/>
              <w:spacing w:before="44"/>
              <w:ind w:left="1108" w:right="1102"/>
              <w:jc w:val="center"/>
              <w:rPr>
                <w:rFonts w:ascii="Caladea"/>
                <w:b/>
                <w:sz w:val="14"/>
              </w:rPr>
            </w:pPr>
            <w:r>
              <w:rPr>
                <w:rFonts w:ascii="Caladea"/>
                <w:b/>
                <w:sz w:val="14"/>
              </w:rPr>
              <w:t>Controladora</w:t>
            </w:r>
          </w:p>
        </w:tc>
        <w:tc>
          <w:tcPr>
            <w:tcW w:w="3123" w:type="dxa"/>
            <w:gridSpan w:val="2"/>
          </w:tcPr>
          <w:p>
            <w:pPr>
              <w:pStyle w:val="TableParagraph"/>
              <w:spacing w:before="44"/>
              <w:ind w:left="1140" w:right="1134"/>
              <w:jc w:val="center"/>
              <w:rPr>
                <w:rFonts w:ascii="Caladea"/>
                <w:b/>
                <w:sz w:val="14"/>
              </w:rPr>
            </w:pPr>
            <w:r>
              <w:rPr>
                <w:rFonts w:ascii="Caladea"/>
                <w:b/>
                <w:sz w:val="14"/>
              </w:rPr>
              <w:t>Consolidado</w:t>
            </w:r>
          </w:p>
        </w:tc>
      </w:tr>
      <w:tr>
        <w:trPr>
          <w:trHeight w:val="251" w:hRule="atLeast"/>
        </w:trPr>
        <w:tc>
          <w:tcPr>
            <w:tcW w:w="3714" w:type="dxa"/>
            <w:vMerge/>
            <w:tcBorders>
              <w:top w:val="nil"/>
            </w:tcBorders>
            <w:shd w:val="clear" w:color="auto" w:fill="D7D7D7"/>
          </w:tcPr>
          <w:p>
            <w:pPr>
              <w:rPr>
                <w:sz w:val="2"/>
                <w:szCs w:val="2"/>
              </w:rPr>
            </w:pPr>
          </w:p>
        </w:tc>
        <w:tc>
          <w:tcPr>
            <w:tcW w:w="1561" w:type="dxa"/>
          </w:tcPr>
          <w:p>
            <w:pPr>
              <w:pStyle w:val="TableParagraph"/>
              <w:spacing w:before="44"/>
              <w:ind w:left="378"/>
              <w:rPr>
                <w:rFonts w:ascii="Caladea"/>
                <w:b/>
                <w:sz w:val="14"/>
              </w:rPr>
            </w:pPr>
            <w:r>
              <w:rPr>
                <w:rFonts w:ascii="Caladea"/>
                <w:b/>
                <w:sz w:val="14"/>
              </w:rPr>
              <w:t>31/12/2019</w:t>
            </w:r>
          </w:p>
        </w:tc>
        <w:tc>
          <w:tcPr>
            <w:tcW w:w="1561" w:type="dxa"/>
          </w:tcPr>
          <w:p>
            <w:pPr>
              <w:pStyle w:val="TableParagraph"/>
              <w:spacing w:before="44"/>
              <w:ind w:left="378"/>
              <w:rPr>
                <w:rFonts w:ascii="Caladea"/>
                <w:b/>
                <w:sz w:val="14"/>
              </w:rPr>
            </w:pPr>
            <w:r>
              <w:rPr>
                <w:rFonts w:ascii="Caladea"/>
                <w:b/>
                <w:sz w:val="14"/>
              </w:rPr>
              <w:t>31/12/2018</w:t>
            </w:r>
          </w:p>
        </w:tc>
        <w:tc>
          <w:tcPr>
            <w:tcW w:w="1562" w:type="dxa"/>
          </w:tcPr>
          <w:p>
            <w:pPr>
              <w:pStyle w:val="TableParagraph"/>
              <w:spacing w:before="44"/>
              <w:ind w:left="377"/>
              <w:rPr>
                <w:rFonts w:ascii="Caladea"/>
                <w:b/>
                <w:sz w:val="14"/>
              </w:rPr>
            </w:pPr>
            <w:r>
              <w:rPr>
                <w:rFonts w:ascii="Caladea"/>
                <w:b/>
                <w:sz w:val="14"/>
              </w:rPr>
              <w:t>31/12/2019</w:t>
            </w:r>
          </w:p>
        </w:tc>
        <w:tc>
          <w:tcPr>
            <w:tcW w:w="1561" w:type="dxa"/>
          </w:tcPr>
          <w:p>
            <w:pPr>
              <w:pStyle w:val="TableParagraph"/>
              <w:spacing w:before="44"/>
              <w:ind w:left="375"/>
              <w:rPr>
                <w:rFonts w:ascii="Caladea"/>
                <w:b/>
                <w:sz w:val="14"/>
              </w:rPr>
            </w:pPr>
            <w:r>
              <w:rPr>
                <w:rFonts w:ascii="Caladea"/>
                <w:b/>
                <w:sz w:val="14"/>
              </w:rPr>
              <w:t>31/12/2018</w:t>
            </w:r>
          </w:p>
        </w:tc>
      </w:tr>
      <w:tr>
        <w:trPr>
          <w:trHeight w:val="254" w:hRule="atLeast"/>
        </w:trPr>
        <w:tc>
          <w:tcPr>
            <w:tcW w:w="3714" w:type="dxa"/>
          </w:tcPr>
          <w:p>
            <w:pPr>
              <w:pStyle w:val="TableParagraph"/>
              <w:spacing w:before="46"/>
              <w:ind w:left="197"/>
              <w:rPr>
                <w:sz w:val="14"/>
              </w:rPr>
            </w:pPr>
            <w:r>
              <w:rPr>
                <w:sz w:val="14"/>
              </w:rPr>
              <w:t>Suprimento de Energia Elétrica</w:t>
            </w:r>
          </w:p>
        </w:tc>
        <w:tc>
          <w:tcPr>
            <w:tcW w:w="1561" w:type="dxa"/>
          </w:tcPr>
          <w:p>
            <w:pPr>
              <w:pStyle w:val="TableParagraph"/>
              <w:rPr>
                <w:rFonts w:ascii="Times New Roman"/>
                <w:sz w:val="18"/>
              </w:rPr>
            </w:pPr>
          </w:p>
        </w:tc>
        <w:tc>
          <w:tcPr>
            <w:tcW w:w="1561" w:type="dxa"/>
          </w:tcPr>
          <w:p>
            <w:pPr>
              <w:pStyle w:val="TableParagraph"/>
              <w:rPr>
                <w:rFonts w:ascii="Times New Roman"/>
                <w:sz w:val="18"/>
              </w:rPr>
            </w:pPr>
          </w:p>
        </w:tc>
        <w:tc>
          <w:tcPr>
            <w:tcW w:w="1562" w:type="dxa"/>
          </w:tcPr>
          <w:p>
            <w:pPr>
              <w:pStyle w:val="TableParagraph"/>
              <w:spacing w:before="46"/>
              <w:ind w:right="58"/>
              <w:jc w:val="right"/>
              <w:rPr>
                <w:sz w:val="14"/>
              </w:rPr>
            </w:pPr>
            <w:r>
              <w:rPr>
                <w:w w:val="95"/>
                <w:sz w:val="14"/>
              </w:rPr>
              <w:t>120.676</w:t>
            </w:r>
          </w:p>
        </w:tc>
        <w:tc>
          <w:tcPr>
            <w:tcW w:w="1561" w:type="dxa"/>
          </w:tcPr>
          <w:p>
            <w:pPr>
              <w:pStyle w:val="TableParagraph"/>
              <w:spacing w:before="46"/>
              <w:ind w:right="59"/>
              <w:jc w:val="right"/>
              <w:rPr>
                <w:sz w:val="14"/>
              </w:rPr>
            </w:pPr>
            <w:r>
              <w:rPr>
                <w:w w:val="95"/>
                <w:sz w:val="14"/>
              </w:rPr>
              <w:t>440.475</w:t>
            </w:r>
          </w:p>
        </w:tc>
      </w:tr>
      <w:tr>
        <w:trPr>
          <w:trHeight w:val="251" w:hRule="atLeast"/>
        </w:trPr>
        <w:tc>
          <w:tcPr>
            <w:tcW w:w="3714" w:type="dxa"/>
          </w:tcPr>
          <w:p>
            <w:pPr>
              <w:pStyle w:val="TableParagraph"/>
              <w:spacing w:before="43"/>
              <w:ind w:left="197"/>
              <w:rPr>
                <w:sz w:val="14"/>
              </w:rPr>
            </w:pPr>
            <w:r>
              <w:rPr>
                <w:sz w:val="14"/>
              </w:rPr>
              <w:t>Materiais e Serviços</w:t>
            </w:r>
          </w:p>
        </w:tc>
        <w:tc>
          <w:tcPr>
            <w:tcW w:w="1561" w:type="dxa"/>
          </w:tcPr>
          <w:p>
            <w:pPr>
              <w:pStyle w:val="TableParagraph"/>
              <w:spacing w:before="43"/>
              <w:ind w:right="58"/>
              <w:jc w:val="right"/>
              <w:rPr>
                <w:sz w:val="14"/>
              </w:rPr>
            </w:pPr>
            <w:r>
              <w:rPr>
                <w:w w:val="95"/>
                <w:sz w:val="14"/>
              </w:rPr>
              <w:t>10.660</w:t>
            </w:r>
          </w:p>
        </w:tc>
        <w:tc>
          <w:tcPr>
            <w:tcW w:w="1561" w:type="dxa"/>
          </w:tcPr>
          <w:p>
            <w:pPr>
              <w:pStyle w:val="TableParagraph"/>
              <w:spacing w:before="43"/>
              <w:ind w:right="59"/>
              <w:jc w:val="right"/>
              <w:rPr>
                <w:sz w:val="14"/>
              </w:rPr>
            </w:pPr>
            <w:r>
              <w:rPr>
                <w:w w:val="95"/>
                <w:sz w:val="14"/>
              </w:rPr>
              <w:t>15.237</w:t>
            </w:r>
          </w:p>
        </w:tc>
        <w:tc>
          <w:tcPr>
            <w:tcW w:w="1562" w:type="dxa"/>
          </w:tcPr>
          <w:p>
            <w:pPr>
              <w:pStyle w:val="TableParagraph"/>
              <w:spacing w:before="43"/>
              <w:ind w:right="58"/>
              <w:jc w:val="right"/>
              <w:rPr>
                <w:sz w:val="14"/>
              </w:rPr>
            </w:pPr>
            <w:r>
              <w:rPr>
                <w:w w:val="95"/>
                <w:sz w:val="14"/>
              </w:rPr>
              <w:t>36.242</w:t>
            </w:r>
          </w:p>
        </w:tc>
        <w:tc>
          <w:tcPr>
            <w:tcW w:w="1561" w:type="dxa"/>
          </w:tcPr>
          <w:p>
            <w:pPr>
              <w:pStyle w:val="TableParagraph"/>
              <w:spacing w:before="43"/>
              <w:ind w:right="59"/>
              <w:jc w:val="right"/>
              <w:rPr>
                <w:sz w:val="14"/>
              </w:rPr>
            </w:pPr>
            <w:r>
              <w:rPr>
                <w:w w:val="95"/>
                <w:sz w:val="14"/>
              </w:rPr>
              <w:t>47.224</w:t>
            </w:r>
          </w:p>
        </w:tc>
      </w:tr>
      <w:tr>
        <w:trPr>
          <w:trHeight w:val="251" w:hRule="atLeast"/>
        </w:trPr>
        <w:tc>
          <w:tcPr>
            <w:tcW w:w="3714" w:type="dxa"/>
          </w:tcPr>
          <w:p>
            <w:pPr>
              <w:pStyle w:val="TableParagraph"/>
              <w:spacing w:before="43"/>
              <w:ind w:left="197"/>
              <w:rPr>
                <w:sz w:val="14"/>
              </w:rPr>
            </w:pPr>
            <w:r>
              <w:rPr>
                <w:sz w:val="14"/>
              </w:rPr>
              <w:t>Encargos de Uso de Rede Elétrica</w:t>
            </w:r>
          </w:p>
        </w:tc>
        <w:tc>
          <w:tcPr>
            <w:tcW w:w="1561" w:type="dxa"/>
          </w:tcPr>
          <w:p>
            <w:pPr>
              <w:pStyle w:val="TableParagraph"/>
              <w:rPr>
                <w:rFonts w:ascii="Times New Roman"/>
                <w:sz w:val="18"/>
              </w:rPr>
            </w:pPr>
          </w:p>
        </w:tc>
        <w:tc>
          <w:tcPr>
            <w:tcW w:w="1561" w:type="dxa"/>
          </w:tcPr>
          <w:p>
            <w:pPr>
              <w:pStyle w:val="TableParagraph"/>
              <w:rPr>
                <w:rFonts w:ascii="Times New Roman"/>
                <w:sz w:val="18"/>
              </w:rPr>
            </w:pPr>
          </w:p>
        </w:tc>
        <w:tc>
          <w:tcPr>
            <w:tcW w:w="1562" w:type="dxa"/>
          </w:tcPr>
          <w:p>
            <w:pPr>
              <w:pStyle w:val="TableParagraph"/>
              <w:spacing w:before="43"/>
              <w:ind w:right="58"/>
              <w:jc w:val="right"/>
              <w:rPr>
                <w:sz w:val="14"/>
              </w:rPr>
            </w:pPr>
            <w:r>
              <w:rPr>
                <w:w w:val="95"/>
                <w:sz w:val="14"/>
              </w:rPr>
              <w:t>39.198</w:t>
            </w:r>
          </w:p>
        </w:tc>
        <w:tc>
          <w:tcPr>
            <w:tcW w:w="1561" w:type="dxa"/>
          </w:tcPr>
          <w:p>
            <w:pPr>
              <w:pStyle w:val="TableParagraph"/>
              <w:spacing w:before="43"/>
              <w:ind w:right="59"/>
              <w:jc w:val="right"/>
              <w:rPr>
                <w:sz w:val="14"/>
              </w:rPr>
            </w:pPr>
            <w:r>
              <w:rPr>
                <w:w w:val="95"/>
                <w:sz w:val="14"/>
              </w:rPr>
              <w:t>36.608</w:t>
            </w:r>
          </w:p>
        </w:tc>
      </w:tr>
      <w:tr>
        <w:trPr>
          <w:trHeight w:val="251" w:hRule="atLeast"/>
        </w:trPr>
        <w:tc>
          <w:tcPr>
            <w:tcW w:w="3714" w:type="dxa"/>
          </w:tcPr>
          <w:p>
            <w:pPr>
              <w:pStyle w:val="TableParagraph"/>
              <w:spacing w:before="43"/>
              <w:ind w:left="197"/>
              <w:rPr>
                <w:sz w:val="14"/>
              </w:rPr>
            </w:pPr>
            <w:r>
              <w:rPr>
                <w:sz w:val="14"/>
              </w:rPr>
              <w:t>Fornecedores de Gás</w:t>
            </w:r>
          </w:p>
        </w:tc>
        <w:tc>
          <w:tcPr>
            <w:tcW w:w="1561" w:type="dxa"/>
          </w:tcPr>
          <w:p>
            <w:pPr>
              <w:pStyle w:val="TableParagraph"/>
              <w:rPr>
                <w:rFonts w:ascii="Times New Roman"/>
                <w:sz w:val="18"/>
              </w:rPr>
            </w:pPr>
          </w:p>
        </w:tc>
        <w:tc>
          <w:tcPr>
            <w:tcW w:w="1561" w:type="dxa"/>
          </w:tcPr>
          <w:p>
            <w:pPr>
              <w:pStyle w:val="TableParagraph"/>
              <w:rPr>
                <w:rFonts w:ascii="Times New Roman"/>
                <w:sz w:val="18"/>
              </w:rPr>
            </w:pPr>
          </w:p>
        </w:tc>
        <w:tc>
          <w:tcPr>
            <w:tcW w:w="1562" w:type="dxa"/>
          </w:tcPr>
          <w:p>
            <w:pPr>
              <w:pStyle w:val="TableParagraph"/>
              <w:spacing w:before="43"/>
              <w:ind w:right="58"/>
              <w:jc w:val="right"/>
              <w:rPr>
                <w:sz w:val="14"/>
              </w:rPr>
            </w:pPr>
            <w:r>
              <w:rPr>
                <w:sz w:val="14"/>
              </w:rPr>
              <w:t>338</w:t>
            </w:r>
          </w:p>
        </w:tc>
        <w:tc>
          <w:tcPr>
            <w:tcW w:w="1561" w:type="dxa"/>
          </w:tcPr>
          <w:p>
            <w:pPr>
              <w:pStyle w:val="TableParagraph"/>
              <w:spacing w:before="43"/>
              <w:ind w:right="59"/>
              <w:jc w:val="right"/>
              <w:rPr>
                <w:sz w:val="14"/>
              </w:rPr>
            </w:pPr>
            <w:r>
              <w:rPr>
                <w:sz w:val="14"/>
              </w:rPr>
              <w:t>541</w:t>
            </w:r>
          </w:p>
        </w:tc>
      </w:tr>
      <w:tr>
        <w:trPr>
          <w:trHeight w:val="251" w:hRule="atLeast"/>
        </w:trPr>
        <w:tc>
          <w:tcPr>
            <w:tcW w:w="3714" w:type="dxa"/>
          </w:tcPr>
          <w:p>
            <w:pPr>
              <w:pStyle w:val="TableParagraph"/>
              <w:spacing w:before="44"/>
              <w:ind w:left="103"/>
              <w:rPr>
                <w:rFonts w:ascii="Caladea"/>
                <w:b/>
                <w:sz w:val="14"/>
              </w:rPr>
            </w:pPr>
            <w:r>
              <w:rPr>
                <w:rFonts w:ascii="Caladea"/>
                <w:b/>
                <w:sz w:val="14"/>
              </w:rPr>
              <w:t>Total</w:t>
            </w:r>
          </w:p>
        </w:tc>
        <w:tc>
          <w:tcPr>
            <w:tcW w:w="1561" w:type="dxa"/>
          </w:tcPr>
          <w:p>
            <w:pPr>
              <w:pStyle w:val="TableParagraph"/>
              <w:spacing w:before="44"/>
              <w:ind w:right="60"/>
              <w:jc w:val="right"/>
              <w:rPr>
                <w:rFonts w:ascii="Caladea"/>
                <w:b/>
                <w:sz w:val="14"/>
              </w:rPr>
            </w:pPr>
            <w:r>
              <w:rPr>
                <w:rFonts w:ascii="Caladea"/>
                <w:b/>
                <w:sz w:val="14"/>
              </w:rPr>
              <w:t>10.660</w:t>
            </w:r>
          </w:p>
        </w:tc>
        <w:tc>
          <w:tcPr>
            <w:tcW w:w="1561" w:type="dxa"/>
          </w:tcPr>
          <w:p>
            <w:pPr>
              <w:pStyle w:val="TableParagraph"/>
              <w:spacing w:before="44"/>
              <w:ind w:right="59"/>
              <w:jc w:val="right"/>
              <w:rPr>
                <w:rFonts w:ascii="Caladea"/>
                <w:b/>
                <w:sz w:val="14"/>
              </w:rPr>
            </w:pPr>
            <w:r>
              <w:rPr>
                <w:rFonts w:ascii="Caladea"/>
                <w:b/>
                <w:sz w:val="14"/>
              </w:rPr>
              <w:t>15.237</w:t>
            </w:r>
          </w:p>
        </w:tc>
        <w:tc>
          <w:tcPr>
            <w:tcW w:w="1562" w:type="dxa"/>
          </w:tcPr>
          <w:p>
            <w:pPr>
              <w:pStyle w:val="TableParagraph"/>
              <w:spacing w:before="44"/>
              <w:ind w:right="58"/>
              <w:jc w:val="right"/>
              <w:rPr>
                <w:rFonts w:ascii="Caladea"/>
                <w:b/>
                <w:sz w:val="14"/>
              </w:rPr>
            </w:pPr>
            <w:r>
              <w:rPr>
                <w:rFonts w:ascii="Caladea"/>
                <w:b/>
                <w:w w:val="95"/>
                <w:sz w:val="14"/>
              </w:rPr>
              <w:t>196.454</w:t>
            </w:r>
          </w:p>
        </w:tc>
        <w:tc>
          <w:tcPr>
            <w:tcW w:w="1561" w:type="dxa"/>
          </w:tcPr>
          <w:p>
            <w:pPr>
              <w:pStyle w:val="TableParagraph"/>
              <w:spacing w:before="44"/>
              <w:ind w:right="59"/>
              <w:jc w:val="right"/>
              <w:rPr>
                <w:rFonts w:ascii="Caladea"/>
                <w:b/>
                <w:sz w:val="14"/>
              </w:rPr>
            </w:pPr>
            <w:r>
              <w:rPr>
                <w:rFonts w:ascii="Caladea"/>
                <w:b/>
                <w:w w:val="95"/>
                <w:sz w:val="14"/>
              </w:rPr>
              <w:t>524.848</w:t>
            </w:r>
          </w:p>
        </w:tc>
      </w:tr>
      <w:tr>
        <w:trPr>
          <w:trHeight w:val="251" w:hRule="atLeast"/>
        </w:trPr>
        <w:tc>
          <w:tcPr>
            <w:tcW w:w="3714" w:type="dxa"/>
          </w:tcPr>
          <w:p>
            <w:pPr>
              <w:pStyle w:val="TableParagraph"/>
              <w:spacing w:before="44"/>
              <w:ind w:left="103"/>
              <w:rPr>
                <w:rFonts w:ascii="Caladea"/>
                <w:b/>
                <w:sz w:val="14"/>
              </w:rPr>
            </w:pPr>
            <w:r>
              <w:rPr>
                <w:rFonts w:ascii="Caladea"/>
                <w:b/>
                <w:sz w:val="14"/>
              </w:rPr>
              <w:t>Circulante</w:t>
            </w:r>
          </w:p>
        </w:tc>
        <w:tc>
          <w:tcPr>
            <w:tcW w:w="1561" w:type="dxa"/>
          </w:tcPr>
          <w:p>
            <w:pPr>
              <w:pStyle w:val="TableParagraph"/>
              <w:spacing w:before="44"/>
              <w:ind w:right="58"/>
              <w:jc w:val="right"/>
              <w:rPr>
                <w:rFonts w:ascii="Caladea"/>
                <w:b/>
                <w:sz w:val="14"/>
              </w:rPr>
            </w:pPr>
            <w:r>
              <w:rPr>
                <w:rFonts w:ascii="Caladea"/>
                <w:b/>
                <w:sz w:val="14"/>
              </w:rPr>
              <w:t>10.660</w:t>
            </w:r>
          </w:p>
        </w:tc>
        <w:tc>
          <w:tcPr>
            <w:tcW w:w="1561" w:type="dxa"/>
          </w:tcPr>
          <w:p>
            <w:pPr>
              <w:pStyle w:val="TableParagraph"/>
              <w:spacing w:before="44"/>
              <w:ind w:right="59"/>
              <w:jc w:val="right"/>
              <w:rPr>
                <w:rFonts w:ascii="Caladea"/>
                <w:b/>
                <w:sz w:val="14"/>
              </w:rPr>
            </w:pPr>
            <w:r>
              <w:rPr>
                <w:rFonts w:ascii="Caladea"/>
                <w:b/>
                <w:sz w:val="14"/>
              </w:rPr>
              <w:t>15.237</w:t>
            </w:r>
          </w:p>
        </w:tc>
        <w:tc>
          <w:tcPr>
            <w:tcW w:w="1562" w:type="dxa"/>
          </w:tcPr>
          <w:p>
            <w:pPr>
              <w:pStyle w:val="TableParagraph"/>
              <w:spacing w:before="44"/>
              <w:ind w:right="58"/>
              <w:jc w:val="right"/>
              <w:rPr>
                <w:rFonts w:ascii="Caladea"/>
                <w:b/>
                <w:sz w:val="14"/>
              </w:rPr>
            </w:pPr>
            <w:r>
              <w:rPr>
                <w:rFonts w:ascii="Caladea"/>
                <w:b/>
                <w:w w:val="95"/>
                <w:sz w:val="14"/>
              </w:rPr>
              <w:t>196.454</w:t>
            </w:r>
          </w:p>
        </w:tc>
        <w:tc>
          <w:tcPr>
            <w:tcW w:w="1561" w:type="dxa"/>
          </w:tcPr>
          <w:p>
            <w:pPr>
              <w:pStyle w:val="TableParagraph"/>
              <w:spacing w:before="44"/>
              <w:ind w:right="59"/>
              <w:jc w:val="right"/>
              <w:rPr>
                <w:rFonts w:ascii="Caladea"/>
                <w:b/>
                <w:sz w:val="14"/>
              </w:rPr>
            </w:pPr>
            <w:r>
              <w:rPr>
                <w:rFonts w:ascii="Caladea"/>
                <w:b/>
                <w:w w:val="95"/>
                <w:sz w:val="14"/>
              </w:rPr>
              <w:t>488.018</w:t>
            </w:r>
          </w:p>
        </w:tc>
      </w:tr>
      <w:tr>
        <w:trPr>
          <w:trHeight w:val="254" w:hRule="atLeast"/>
        </w:trPr>
        <w:tc>
          <w:tcPr>
            <w:tcW w:w="3714" w:type="dxa"/>
          </w:tcPr>
          <w:p>
            <w:pPr>
              <w:pStyle w:val="TableParagraph"/>
              <w:spacing w:before="44"/>
              <w:ind w:left="103"/>
              <w:rPr>
                <w:rFonts w:ascii="Caladea" w:hAnsi="Caladea"/>
                <w:b/>
                <w:sz w:val="14"/>
              </w:rPr>
            </w:pPr>
            <w:r>
              <w:rPr>
                <w:rFonts w:ascii="Caladea" w:hAnsi="Caladea"/>
                <w:b/>
                <w:sz w:val="14"/>
              </w:rPr>
              <w:t>Não Circulante</w:t>
            </w:r>
          </w:p>
        </w:tc>
        <w:tc>
          <w:tcPr>
            <w:tcW w:w="1561" w:type="dxa"/>
          </w:tcPr>
          <w:p>
            <w:pPr>
              <w:pStyle w:val="TableParagraph"/>
              <w:rPr>
                <w:rFonts w:ascii="Times New Roman"/>
                <w:sz w:val="18"/>
              </w:rPr>
            </w:pPr>
          </w:p>
        </w:tc>
        <w:tc>
          <w:tcPr>
            <w:tcW w:w="1561" w:type="dxa"/>
          </w:tcPr>
          <w:p>
            <w:pPr>
              <w:pStyle w:val="TableParagraph"/>
              <w:rPr>
                <w:rFonts w:ascii="Times New Roman"/>
                <w:sz w:val="18"/>
              </w:rPr>
            </w:pPr>
          </w:p>
        </w:tc>
        <w:tc>
          <w:tcPr>
            <w:tcW w:w="1562" w:type="dxa"/>
          </w:tcPr>
          <w:p>
            <w:pPr>
              <w:pStyle w:val="TableParagraph"/>
              <w:rPr>
                <w:rFonts w:ascii="Times New Roman"/>
                <w:sz w:val="18"/>
              </w:rPr>
            </w:pPr>
          </w:p>
        </w:tc>
        <w:tc>
          <w:tcPr>
            <w:tcW w:w="1561" w:type="dxa"/>
          </w:tcPr>
          <w:p>
            <w:pPr>
              <w:pStyle w:val="TableParagraph"/>
              <w:spacing w:before="44"/>
              <w:ind w:right="61"/>
              <w:jc w:val="right"/>
              <w:rPr>
                <w:rFonts w:ascii="Caladea"/>
                <w:b/>
                <w:sz w:val="14"/>
              </w:rPr>
            </w:pPr>
            <w:r>
              <w:rPr>
                <w:rFonts w:ascii="Caladea"/>
                <w:b/>
                <w:sz w:val="14"/>
              </w:rPr>
              <w:t>36.830</w:t>
            </w:r>
          </w:p>
        </w:tc>
      </w:tr>
    </w:tbl>
    <w:p>
      <w:pPr>
        <w:pStyle w:val="BodyText"/>
        <w:spacing w:before="6"/>
        <w:rPr>
          <w:rFonts w:ascii="Caladea"/>
          <w:b/>
          <w:sz w:val="30"/>
        </w:rPr>
      </w:pPr>
    </w:p>
    <w:p>
      <w:pPr>
        <w:pStyle w:val="BodyText"/>
        <w:spacing w:line="242" w:lineRule="auto"/>
        <w:ind w:left="172" w:right="410"/>
        <w:jc w:val="both"/>
      </w:pPr>
      <w:r>
        <w:rPr/>
        <w:t>A</w:t>
      </w:r>
      <w:r>
        <w:rPr>
          <w:spacing w:val="-48"/>
        </w:rPr>
        <w:t> </w:t>
      </w:r>
      <w:r>
        <w:rPr/>
        <w:t>rubrica</w:t>
      </w:r>
      <w:r>
        <w:rPr>
          <w:spacing w:val="-47"/>
        </w:rPr>
        <w:t> </w:t>
      </w:r>
      <w:r>
        <w:rPr/>
        <w:t>Suprimento</w:t>
      </w:r>
      <w:r>
        <w:rPr>
          <w:spacing w:val="-48"/>
        </w:rPr>
        <w:t> </w:t>
      </w:r>
      <w:r>
        <w:rPr/>
        <w:t>de</w:t>
      </w:r>
      <w:r>
        <w:rPr>
          <w:spacing w:val="-49"/>
        </w:rPr>
        <w:t> </w:t>
      </w:r>
      <w:r>
        <w:rPr/>
        <w:t>Energia</w:t>
      </w:r>
      <w:r>
        <w:rPr>
          <w:spacing w:val="-47"/>
        </w:rPr>
        <w:t> </w:t>
      </w:r>
      <w:r>
        <w:rPr/>
        <w:t>Elétrica</w:t>
      </w:r>
      <w:r>
        <w:rPr>
          <w:spacing w:val="-47"/>
        </w:rPr>
        <w:t> </w:t>
      </w:r>
      <w:r>
        <w:rPr/>
        <w:t>é</w:t>
      </w:r>
      <w:r>
        <w:rPr>
          <w:spacing w:val="-49"/>
        </w:rPr>
        <w:t> </w:t>
      </w:r>
      <w:r>
        <w:rPr/>
        <w:t>composta</w:t>
      </w:r>
      <w:r>
        <w:rPr>
          <w:spacing w:val="-47"/>
        </w:rPr>
        <w:t> </w:t>
      </w:r>
      <w:r>
        <w:rPr/>
        <w:t>pelas</w:t>
      </w:r>
      <w:r>
        <w:rPr>
          <w:spacing w:val="-48"/>
        </w:rPr>
        <w:t> </w:t>
      </w:r>
      <w:r>
        <w:rPr/>
        <w:t>obrigações</w:t>
      </w:r>
      <w:r>
        <w:rPr>
          <w:spacing w:val="-47"/>
        </w:rPr>
        <w:t> </w:t>
      </w:r>
      <w:r>
        <w:rPr/>
        <w:t>com</w:t>
      </w:r>
      <w:r>
        <w:rPr>
          <w:spacing w:val="-48"/>
        </w:rPr>
        <w:t> </w:t>
      </w:r>
      <w:r>
        <w:rPr/>
        <w:t>fornecedores</w:t>
      </w:r>
      <w:r>
        <w:rPr>
          <w:spacing w:val="-47"/>
        </w:rPr>
        <w:t> </w:t>
      </w:r>
      <w:r>
        <w:rPr/>
        <w:t>relativas</w:t>
      </w:r>
      <w:r>
        <w:rPr>
          <w:spacing w:val="-48"/>
        </w:rPr>
        <w:t> </w:t>
      </w:r>
      <w:r>
        <w:rPr/>
        <w:t>a</w:t>
      </w:r>
      <w:r>
        <w:rPr>
          <w:spacing w:val="-47"/>
        </w:rPr>
        <w:t> </w:t>
      </w:r>
      <w:r>
        <w:rPr/>
        <w:t>contratos</w:t>
      </w:r>
      <w:r>
        <w:rPr>
          <w:spacing w:val="-48"/>
        </w:rPr>
        <w:t> </w:t>
      </w:r>
      <w:r>
        <w:rPr/>
        <w:t>de</w:t>
      </w:r>
      <w:r>
        <w:rPr>
          <w:spacing w:val="-48"/>
        </w:rPr>
        <w:t> </w:t>
      </w:r>
      <w:r>
        <w:rPr/>
        <w:t>cotas (Itaipu,</w:t>
      </w:r>
      <w:r>
        <w:rPr>
          <w:spacing w:val="-6"/>
        </w:rPr>
        <w:t> </w:t>
      </w:r>
      <w:r>
        <w:rPr/>
        <w:t>Angra,</w:t>
      </w:r>
      <w:r>
        <w:rPr>
          <w:spacing w:val="-4"/>
        </w:rPr>
        <w:t> </w:t>
      </w:r>
      <w:r>
        <w:rPr/>
        <w:t>PROINFA</w:t>
      </w:r>
      <w:r>
        <w:rPr>
          <w:spacing w:val="-5"/>
        </w:rPr>
        <w:t> </w:t>
      </w:r>
      <w:r>
        <w:rPr/>
        <w:t>e</w:t>
      </w:r>
      <w:r>
        <w:rPr>
          <w:spacing w:val="-5"/>
        </w:rPr>
        <w:t> </w:t>
      </w:r>
      <w:r>
        <w:rPr/>
        <w:t>Usinas</w:t>
      </w:r>
      <w:r>
        <w:rPr>
          <w:spacing w:val="-5"/>
        </w:rPr>
        <w:t> </w:t>
      </w:r>
      <w:r>
        <w:rPr/>
        <w:t>com</w:t>
      </w:r>
      <w:r>
        <w:rPr>
          <w:spacing w:val="-4"/>
        </w:rPr>
        <w:t> </w:t>
      </w:r>
      <w:r>
        <w:rPr/>
        <w:t>concessão</w:t>
      </w:r>
      <w:r>
        <w:rPr>
          <w:spacing w:val="-5"/>
        </w:rPr>
        <w:t> </w:t>
      </w:r>
      <w:r>
        <w:rPr/>
        <w:t>renovada</w:t>
      </w:r>
      <w:r>
        <w:rPr>
          <w:spacing w:val="-3"/>
        </w:rPr>
        <w:t> </w:t>
      </w:r>
      <w:r>
        <w:rPr/>
        <w:t>-</w:t>
      </w:r>
      <w:r>
        <w:rPr>
          <w:spacing w:val="-5"/>
        </w:rPr>
        <w:t> </w:t>
      </w:r>
      <w:r>
        <w:rPr/>
        <w:t>CCGF),</w:t>
      </w:r>
      <w:r>
        <w:rPr>
          <w:spacing w:val="-6"/>
        </w:rPr>
        <w:t> </w:t>
      </w:r>
      <w:r>
        <w:rPr/>
        <w:t>contratos</w:t>
      </w:r>
      <w:r>
        <w:rPr>
          <w:spacing w:val="-5"/>
        </w:rPr>
        <w:t> </w:t>
      </w:r>
      <w:r>
        <w:rPr/>
        <w:t>de</w:t>
      </w:r>
      <w:r>
        <w:rPr>
          <w:spacing w:val="-5"/>
        </w:rPr>
        <w:t> </w:t>
      </w:r>
      <w:r>
        <w:rPr/>
        <w:t>comercialização</w:t>
      </w:r>
      <w:r>
        <w:rPr>
          <w:spacing w:val="-5"/>
        </w:rPr>
        <w:t> </w:t>
      </w:r>
      <w:r>
        <w:rPr/>
        <w:t>em</w:t>
      </w:r>
      <w:r>
        <w:rPr>
          <w:spacing w:val="-6"/>
        </w:rPr>
        <w:t> </w:t>
      </w:r>
      <w:r>
        <w:rPr/>
        <w:t>ambiente regulado</w:t>
      </w:r>
      <w:r>
        <w:rPr>
          <w:spacing w:val="-16"/>
        </w:rPr>
        <w:t> </w:t>
      </w:r>
      <w:r>
        <w:rPr/>
        <w:t>-</w:t>
      </w:r>
      <w:r>
        <w:rPr>
          <w:spacing w:val="-15"/>
        </w:rPr>
        <w:t> </w:t>
      </w:r>
      <w:r>
        <w:rPr/>
        <w:t>CCEAR</w:t>
      </w:r>
      <w:r>
        <w:rPr>
          <w:spacing w:val="-15"/>
        </w:rPr>
        <w:t> </w:t>
      </w:r>
      <w:r>
        <w:rPr/>
        <w:t>(leilão),</w:t>
      </w:r>
      <w:r>
        <w:rPr>
          <w:spacing w:val="-15"/>
        </w:rPr>
        <w:t> </w:t>
      </w:r>
      <w:r>
        <w:rPr/>
        <w:t>contratos</w:t>
      </w:r>
      <w:r>
        <w:rPr>
          <w:spacing w:val="-16"/>
        </w:rPr>
        <w:t> </w:t>
      </w:r>
      <w:r>
        <w:rPr/>
        <w:t>bilaterais</w:t>
      </w:r>
      <w:r>
        <w:rPr>
          <w:spacing w:val="-15"/>
        </w:rPr>
        <w:t> </w:t>
      </w:r>
      <w:r>
        <w:rPr/>
        <w:t>que</w:t>
      </w:r>
      <w:r>
        <w:rPr>
          <w:spacing w:val="-16"/>
        </w:rPr>
        <w:t> </w:t>
      </w:r>
      <w:r>
        <w:rPr/>
        <w:t>a</w:t>
      </w:r>
      <w:r>
        <w:rPr>
          <w:spacing w:val="-15"/>
        </w:rPr>
        <w:t> </w:t>
      </w:r>
      <w:r>
        <w:rPr/>
        <w:t>Companhia</w:t>
      </w:r>
      <w:r>
        <w:rPr>
          <w:spacing w:val="-16"/>
        </w:rPr>
        <w:t> </w:t>
      </w:r>
      <w:r>
        <w:rPr/>
        <w:t>mantém</w:t>
      </w:r>
      <w:r>
        <w:rPr>
          <w:spacing w:val="-15"/>
        </w:rPr>
        <w:t> </w:t>
      </w:r>
      <w:r>
        <w:rPr/>
        <w:t>com</w:t>
      </w:r>
      <w:r>
        <w:rPr>
          <w:spacing w:val="-15"/>
        </w:rPr>
        <w:t> </w:t>
      </w:r>
      <w:r>
        <w:rPr/>
        <w:t>partes</w:t>
      </w:r>
      <w:r>
        <w:rPr>
          <w:spacing w:val="-15"/>
        </w:rPr>
        <w:t> </w:t>
      </w:r>
      <w:r>
        <w:rPr/>
        <w:t>relacionadas</w:t>
      </w:r>
      <w:r>
        <w:rPr>
          <w:spacing w:val="-15"/>
        </w:rPr>
        <w:t> </w:t>
      </w:r>
      <w:r>
        <w:rPr/>
        <w:t>(CEB</w:t>
      </w:r>
      <w:r>
        <w:rPr>
          <w:spacing w:val="-16"/>
        </w:rPr>
        <w:t> </w:t>
      </w:r>
      <w:r>
        <w:rPr/>
        <w:t>Lajeado, Corumbá</w:t>
      </w:r>
      <w:r>
        <w:rPr>
          <w:spacing w:val="-20"/>
        </w:rPr>
        <w:t> </w:t>
      </w:r>
      <w:r>
        <w:rPr/>
        <w:t>Concessões</w:t>
      </w:r>
      <w:r>
        <w:rPr>
          <w:spacing w:val="-18"/>
        </w:rPr>
        <w:t> </w:t>
      </w:r>
      <w:r>
        <w:rPr/>
        <w:t>e</w:t>
      </w:r>
      <w:r>
        <w:rPr>
          <w:spacing w:val="-22"/>
        </w:rPr>
        <w:t> </w:t>
      </w:r>
      <w:r>
        <w:rPr/>
        <w:t>Energética</w:t>
      </w:r>
      <w:r>
        <w:rPr>
          <w:spacing w:val="-19"/>
        </w:rPr>
        <w:t> </w:t>
      </w:r>
      <w:r>
        <w:rPr/>
        <w:t>Corumbá</w:t>
      </w:r>
      <w:r>
        <w:rPr>
          <w:spacing w:val="-20"/>
        </w:rPr>
        <w:t> </w:t>
      </w:r>
      <w:r>
        <w:rPr/>
        <w:t>III)</w:t>
      </w:r>
      <w:r>
        <w:rPr>
          <w:spacing w:val="-20"/>
        </w:rPr>
        <w:t> </w:t>
      </w:r>
      <w:r>
        <w:rPr/>
        <w:t>e</w:t>
      </w:r>
      <w:r>
        <w:rPr>
          <w:spacing w:val="-19"/>
        </w:rPr>
        <w:t> </w:t>
      </w:r>
      <w:r>
        <w:rPr/>
        <w:t>Energia</w:t>
      </w:r>
      <w:r>
        <w:rPr>
          <w:spacing w:val="-19"/>
        </w:rPr>
        <w:t> </w:t>
      </w:r>
      <w:r>
        <w:rPr/>
        <w:t>Elétrica</w:t>
      </w:r>
      <w:r>
        <w:rPr>
          <w:spacing w:val="-20"/>
        </w:rPr>
        <w:t> </w:t>
      </w:r>
      <w:r>
        <w:rPr/>
        <w:t>de</w:t>
      </w:r>
      <w:r>
        <w:rPr>
          <w:spacing w:val="-22"/>
        </w:rPr>
        <w:t> </w:t>
      </w:r>
      <w:r>
        <w:rPr/>
        <w:t>Curto</w:t>
      </w:r>
      <w:r>
        <w:rPr>
          <w:spacing w:val="-18"/>
        </w:rPr>
        <w:t> </w:t>
      </w:r>
      <w:r>
        <w:rPr/>
        <w:t>Prazo.</w:t>
      </w:r>
    </w:p>
    <w:p>
      <w:pPr>
        <w:pStyle w:val="BodyText"/>
        <w:spacing w:line="242" w:lineRule="auto" w:before="120"/>
        <w:ind w:left="172" w:right="407"/>
        <w:jc w:val="both"/>
      </w:pPr>
      <w:r>
        <w:rPr/>
        <w:t>O</w:t>
      </w:r>
      <w:r>
        <w:rPr>
          <w:spacing w:val="-29"/>
        </w:rPr>
        <w:t> </w:t>
      </w:r>
      <w:r>
        <w:rPr/>
        <w:t>efeito</w:t>
      </w:r>
      <w:r>
        <w:rPr>
          <w:spacing w:val="-28"/>
        </w:rPr>
        <w:t> </w:t>
      </w:r>
      <w:r>
        <w:rPr/>
        <w:t>de</w:t>
      </w:r>
      <w:r>
        <w:rPr>
          <w:spacing w:val="-27"/>
        </w:rPr>
        <w:t> </w:t>
      </w:r>
      <w:r>
        <w:rPr/>
        <w:t>queda</w:t>
      </w:r>
      <w:r>
        <w:rPr>
          <w:spacing w:val="-26"/>
        </w:rPr>
        <w:t> </w:t>
      </w:r>
      <w:r>
        <w:rPr/>
        <w:t>do</w:t>
      </w:r>
      <w:r>
        <w:rPr>
          <w:spacing w:val="-28"/>
        </w:rPr>
        <w:t> </w:t>
      </w:r>
      <w:r>
        <w:rPr/>
        <w:t>saldo</w:t>
      </w:r>
      <w:r>
        <w:rPr>
          <w:spacing w:val="-26"/>
        </w:rPr>
        <w:t> </w:t>
      </w:r>
      <w:r>
        <w:rPr/>
        <w:t>nessa</w:t>
      </w:r>
      <w:r>
        <w:rPr>
          <w:spacing w:val="-27"/>
        </w:rPr>
        <w:t> </w:t>
      </w:r>
      <w:r>
        <w:rPr/>
        <w:t>rubrica</w:t>
      </w:r>
      <w:r>
        <w:rPr>
          <w:spacing w:val="-26"/>
        </w:rPr>
        <w:t> </w:t>
      </w:r>
      <w:r>
        <w:rPr/>
        <w:t>em</w:t>
      </w:r>
      <w:r>
        <w:rPr>
          <w:spacing w:val="-25"/>
        </w:rPr>
        <w:t> </w:t>
      </w:r>
      <w:r>
        <w:rPr/>
        <w:t>relação</w:t>
      </w:r>
      <w:r>
        <w:rPr>
          <w:spacing w:val="-28"/>
        </w:rPr>
        <w:t> </w:t>
      </w:r>
      <w:r>
        <w:rPr/>
        <w:t>ao</w:t>
      </w:r>
      <w:r>
        <w:rPr>
          <w:spacing w:val="-28"/>
        </w:rPr>
        <w:t> </w:t>
      </w:r>
      <w:r>
        <w:rPr/>
        <w:t>do</w:t>
      </w:r>
      <w:r>
        <w:rPr>
          <w:spacing w:val="-28"/>
        </w:rPr>
        <w:t> </w:t>
      </w:r>
      <w:r>
        <w:rPr/>
        <w:t>exercício</w:t>
      </w:r>
      <w:r>
        <w:rPr>
          <w:spacing w:val="-28"/>
        </w:rPr>
        <w:t> </w:t>
      </w:r>
      <w:r>
        <w:rPr/>
        <w:t>de</w:t>
      </w:r>
      <w:r>
        <w:rPr>
          <w:spacing w:val="-27"/>
        </w:rPr>
        <w:t> </w:t>
      </w:r>
      <w:r>
        <w:rPr/>
        <w:t>2018,</w:t>
      </w:r>
      <w:r>
        <w:rPr>
          <w:spacing w:val="-26"/>
        </w:rPr>
        <w:t> </w:t>
      </w:r>
      <w:r>
        <w:rPr/>
        <w:t>é</w:t>
      </w:r>
      <w:r>
        <w:rPr>
          <w:spacing w:val="-28"/>
        </w:rPr>
        <w:t> </w:t>
      </w:r>
      <w:r>
        <w:rPr/>
        <w:t>justificado,</w:t>
      </w:r>
      <w:r>
        <w:rPr>
          <w:spacing w:val="-28"/>
        </w:rPr>
        <w:t> </w:t>
      </w:r>
      <w:r>
        <w:rPr/>
        <w:t>substancialmente,</w:t>
      </w:r>
      <w:r>
        <w:rPr>
          <w:spacing w:val="-26"/>
        </w:rPr>
        <w:t> </w:t>
      </w:r>
      <w:r>
        <w:rPr/>
        <w:t>pela quitação</w:t>
      </w:r>
      <w:r>
        <w:rPr>
          <w:spacing w:val="-31"/>
        </w:rPr>
        <w:t> </w:t>
      </w:r>
      <w:r>
        <w:rPr/>
        <w:t>dos</w:t>
      </w:r>
      <w:r>
        <w:rPr>
          <w:spacing w:val="-31"/>
        </w:rPr>
        <w:t> </w:t>
      </w:r>
      <w:r>
        <w:rPr/>
        <w:t>parcelamentos</w:t>
      </w:r>
      <w:r>
        <w:rPr>
          <w:spacing w:val="-29"/>
        </w:rPr>
        <w:t> </w:t>
      </w:r>
      <w:r>
        <w:rPr/>
        <w:t>ligados</w:t>
      </w:r>
      <w:r>
        <w:rPr>
          <w:spacing w:val="-31"/>
        </w:rPr>
        <w:t> </w:t>
      </w:r>
      <w:r>
        <w:rPr/>
        <w:t>aos</w:t>
      </w:r>
      <w:r>
        <w:rPr>
          <w:spacing w:val="-31"/>
        </w:rPr>
        <w:t> </w:t>
      </w:r>
      <w:r>
        <w:rPr/>
        <w:t>contratos</w:t>
      </w:r>
      <w:r>
        <w:rPr>
          <w:spacing w:val="-31"/>
        </w:rPr>
        <w:t> </w:t>
      </w:r>
      <w:r>
        <w:rPr/>
        <w:t>de</w:t>
      </w:r>
      <w:r>
        <w:rPr>
          <w:spacing w:val="-32"/>
        </w:rPr>
        <w:t> </w:t>
      </w:r>
      <w:r>
        <w:rPr/>
        <w:t>Itaipu</w:t>
      </w:r>
      <w:r>
        <w:rPr>
          <w:spacing w:val="-31"/>
        </w:rPr>
        <w:t> </w:t>
      </w:r>
      <w:r>
        <w:rPr/>
        <w:t>Binacional</w:t>
      </w:r>
      <w:r>
        <w:rPr>
          <w:spacing w:val="-31"/>
        </w:rPr>
        <w:t> </w:t>
      </w:r>
      <w:r>
        <w:rPr/>
        <w:t>e</w:t>
      </w:r>
      <w:r>
        <w:rPr>
          <w:spacing w:val="-31"/>
        </w:rPr>
        <w:t> </w:t>
      </w:r>
      <w:r>
        <w:rPr/>
        <w:t>do</w:t>
      </w:r>
      <w:r>
        <w:rPr>
          <w:spacing w:val="-31"/>
        </w:rPr>
        <w:t> </w:t>
      </w:r>
      <w:r>
        <w:rPr/>
        <w:t>Mercado</w:t>
      </w:r>
      <w:r>
        <w:rPr>
          <w:spacing w:val="-30"/>
        </w:rPr>
        <w:t> </w:t>
      </w:r>
      <w:r>
        <w:rPr/>
        <w:t>de</w:t>
      </w:r>
      <w:r>
        <w:rPr>
          <w:spacing w:val="-32"/>
        </w:rPr>
        <w:t> </w:t>
      </w:r>
      <w:r>
        <w:rPr/>
        <w:t>Curto</w:t>
      </w:r>
      <w:r>
        <w:rPr>
          <w:spacing w:val="-31"/>
        </w:rPr>
        <w:t> </w:t>
      </w:r>
      <w:r>
        <w:rPr/>
        <w:t>Prazo,</w:t>
      </w:r>
      <w:r>
        <w:rPr>
          <w:spacing w:val="-31"/>
        </w:rPr>
        <w:t> </w:t>
      </w:r>
      <w:r>
        <w:rPr/>
        <w:t>conforme</w:t>
      </w:r>
      <w:r>
        <w:rPr>
          <w:spacing w:val="-30"/>
        </w:rPr>
        <w:t> </w:t>
      </w:r>
      <w:r>
        <w:rPr/>
        <w:t>nota abaixo.</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b/>
          <w:sz w:val="22"/>
        </w:rPr>
      </w:pPr>
      <w:r>
        <w:rPr>
          <w:rFonts w:ascii="Caladea"/>
          <w:b/>
          <w:sz w:val="22"/>
        </w:rPr>
        <w:t>P</w:t>
      </w:r>
      <w:r>
        <w:rPr>
          <w:rFonts w:ascii="Caladea"/>
          <w:b/>
          <w:sz w:val="18"/>
        </w:rPr>
        <w:t>ARCELAMENTO </w:t>
      </w:r>
      <w:r>
        <w:rPr>
          <w:rFonts w:ascii="Caladea"/>
          <w:b/>
          <w:sz w:val="22"/>
        </w:rPr>
        <w:t>M</w:t>
      </w:r>
      <w:r>
        <w:rPr>
          <w:rFonts w:ascii="Caladea"/>
          <w:b/>
          <w:sz w:val="18"/>
        </w:rPr>
        <w:t>ERCADO DE </w:t>
      </w:r>
      <w:r>
        <w:rPr>
          <w:rFonts w:ascii="Caladea"/>
          <w:b/>
          <w:sz w:val="22"/>
        </w:rPr>
        <w:t>C</w:t>
      </w:r>
      <w:r>
        <w:rPr>
          <w:rFonts w:ascii="Caladea"/>
          <w:b/>
          <w:sz w:val="18"/>
        </w:rPr>
        <w:t>URTO </w:t>
      </w:r>
      <w:r>
        <w:rPr>
          <w:rFonts w:ascii="Caladea"/>
          <w:b/>
          <w:sz w:val="22"/>
        </w:rPr>
        <w:t>P</w:t>
      </w:r>
      <w:r>
        <w:rPr>
          <w:rFonts w:ascii="Caladea"/>
          <w:b/>
          <w:sz w:val="18"/>
        </w:rPr>
        <w:t>RAZO </w:t>
      </w:r>
      <w:r>
        <w:rPr>
          <w:rFonts w:ascii="Caladea"/>
          <w:b/>
          <w:sz w:val="22"/>
        </w:rPr>
        <w:t>-</w:t>
      </w:r>
      <w:r>
        <w:rPr>
          <w:rFonts w:ascii="Caladea"/>
          <w:b/>
          <w:spacing w:val="-11"/>
          <w:sz w:val="22"/>
        </w:rPr>
        <w:t> </w:t>
      </w:r>
      <w:r>
        <w:rPr>
          <w:rFonts w:ascii="Caladea"/>
          <w:b/>
          <w:sz w:val="22"/>
        </w:rPr>
        <w:t>MCP</w:t>
      </w:r>
    </w:p>
    <w:p>
      <w:pPr>
        <w:pStyle w:val="BodyText"/>
        <w:spacing w:before="1"/>
        <w:rPr>
          <w:rFonts w:ascii="Caladea"/>
          <w:b/>
          <w:sz w:val="24"/>
        </w:rPr>
      </w:pPr>
    </w:p>
    <w:p>
      <w:pPr>
        <w:pStyle w:val="BodyText"/>
        <w:spacing w:line="242" w:lineRule="auto"/>
        <w:ind w:left="172" w:right="415"/>
        <w:jc w:val="both"/>
      </w:pPr>
      <w:r>
        <w:rPr/>
        <w:t>Em</w:t>
      </w:r>
      <w:r>
        <w:rPr>
          <w:spacing w:val="-26"/>
        </w:rPr>
        <w:t> </w:t>
      </w:r>
      <w:r>
        <w:rPr/>
        <w:t>agosto</w:t>
      </w:r>
      <w:r>
        <w:rPr>
          <w:spacing w:val="-26"/>
        </w:rPr>
        <w:t> </w:t>
      </w:r>
      <w:r>
        <w:rPr/>
        <w:t>de</w:t>
      </w:r>
      <w:r>
        <w:rPr>
          <w:spacing w:val="-26"/>
        </w:rPr>
        <w:t> </w:t>
      </w:r>
      <w:r>
        <w:rPr/>
        <w:t>2018,</w:t>
      </w:r>
      <w:r>
        <w:rPr>
          <w:spacing w:val="-24"/>
        </w:rPr>
        <w:t> </w:t>
      </w:r>
      <w:r>
        <w:rPr/>
        <w:t>na</w:t>
      </w:r>
      <w:r>
        <w:rPr>
          <w:spacing w:val="-25"/>
        </w:rPr>
        <w:t> </w:t>
      </w:r>
      <w:r>
        <w:rPr/>
        <w:t>1009ª</w:t>
      </w:r>
      <w:r>
        <w:rPr>
          <w:spacing w:val="-25"/>
        </w:rPr>
        <w:t> </w:t>
      </w:r>
      <w:r>
        <w:rPr/>
        <w:t>Reunião</w:t>
      </w:r>
      <w:r>
        <w:rPr>
          <w:spacing w:val="-26"/>
        </w:rPr>
        <w:t> </w:t>
      </w:r>
      <w:r>
        <w:rPr/>
        <w:t>Extraordinária</w:t>
      </w:r>
      <w:r>
        <w:rPr>
          <w:spacing w:val="-25"/>
        </w:rPr>
        <w:t> </w:t>
      </w:r>
      <w:r>
        <w:rPr/>
        <w:t>do</w:t>
      </w:r>
      <w:r>
        <w:rPr>
          <w:spacing w:val="-25"/>
        </w:rPr>
        <w:t> </w:t>
      </w:r>
      <w:r>
        <w:rPr/>
        <w:t>Conselho</w:t>
      </w:r>
      <w:r>
        <w:rPr>
          <w:spacing w:val="-25"/>
        </w:rPr>
        <w:t> </w:t>
      </w:r>
      <w:r>
        <w:rPr/>
        <w:t>de</w:t>
      </w:r>
      <w:r>
        <w:rPr>
          <w:spacing w:val="-26"/>
        </w:rPr>
        <w:t> </w:t>
      </w:r>
      <w:r>
        <w:rPr/>
        <w:t>Administração</w:t>
      </w:r>
      <w:r>
        <w:rPr>
          <w:spacing w:val="-26"/>
        </w:rPr>
        <w:t> </w:t>
      </w:r>
      <w:r>
        <w:rPr/>
        <w:t>da</w:t>
      </w:r>
      <w:r>
        <w:rPr>
          <w:spacing w:val="-25"/>
        </w:rPr>
        <w:t> </w:t>
      </w:r>
      <w:r>
        <w:rPr/>
        <w:t>Câmara</w:t>
      </w:r>
      <w:r>
        <w:rPr>
          <w:spacing w:val="-25"/>
        </w:rPr>
        <w:t> </w:t>
      </w:r>
      <w:r>
        <w:rPr/>
        <w:t>de</w:t>
      </w:r>
      <w:r>
        <w:rPr>
          <w:spacing w:val="-27"/>
        </w:rPr>
        <w:t> </w:t>
      </w:r>
      <w:r>
        <w:rPr/>
        <w:t>Comercialização de</w:t>
      </w:r>
      <w:r>
        <w:rPr>
          <w:spacing w:val="-31"/>
        </w:rPr>
        <w:t> </w:t>
      </w:r>
      <w:r>
        <w:rPr/>
        <w:t>Energia</w:t>
      </w:r>
      <w:r>
        <w:rPr>
          <w:spacing w:val="-29"/>
        </w:rPr>
        <w:t> </w:t>
      </w:r>
      <w:r>
        <w:rPr/>
        <w:t>Elétrica</w:t>
      </w:r>
      <w:r>
        <w:rPr>
          <w:spacing w:val="-27"/>
        </w:rPr>
        <w:t> </w:t>
      </w:r>
      <w:r>
        <w:rPr/>
        <w:t>–</w:t>
      </w:r>
      <w:r>
        <w:rPr>
          <w:spacing w:val="-29"/>
        </w:rPr>
        <w:t> </w:t>
      </w:r>
      <w:r>
        <w:rPr/>
        <w:t>CCEE,</w:t>
      </w:r>
      <w:r>
        <w:rPr>
          <w:spacing w:val="-29"/>
        </w:rPr>
        <w:t> </w:t>
      </w:r>
      <w:r>
        <w:rPr/>
        <w:t>de</w:t>
      </w:r>
      <w:r>
        <w:rPr>
          <w:spacing w:val="-30"/>
        </w:rPr>
        <w:t> </w:t>
      </w:r>
      <w:r>
        <w:rPr/>
        <w:t>acordo</w:t>
      </w:r>
      <w:r>
        <w:rPr>
          <w:spacing w:val="-30"/>
        </w:rPr>
        <w:t> </w:t>
      </w:r>
      <w:r>
        <w:rPr/>
        <w:t>com</w:t>
      </w:r>
      <w:r>
        <w:rPr>
          <w:spacing w:val="-30"/>
        </w:rPr>
        <w:t> </w:t>
      </w:r>
      <w:r>
        <w:rPr/>
        <w:t>os</w:t>
      </w:r>
      <w:r>
        <w:rPr>
          <w:spacing w:val="-29"/>
        </w:rPr>
        <w:t> </w:t>
      </w:r>
      <w:r>
        <w:rPr/>
        <w:t>termos</w:t>
      </w:r>
      <w:r>
        <w:rPr>
          <w:spacing w:val="-29"/>
        </w:rPr>
        <w:t> </w:t>
      </w:r>
      <w:r>
        <w:rPr/>
        <w:t>dos</w:t>
      </w:r>
      <w:r>
        <w:rPr>
          <w:spacing w:val="-29"/>
        </w:rPr>
        <w:t> </w:t>
      </w:r>
      <w:r>
        <w:rPr/>
        <w:t>incisos</w:t>
      </w:r>
      <w:r>
        <w:rPr>
          <w:spacing w:val="-29"/>
        </w:rPr>
        <w:t> </w:t>
      </w:r>
      <w:r>
        <w:rPr/>
        <w:t>I</w:t>
      </w:r>
      <w:r>
        <w:rPr>
          <w:spacing w:val="-29"/>
        </w:rPr>
        <w:t> </w:t>
      </w:r>
      <w:r>
        <w:rPr/>
        <w:t>e</w:t>
      </w:r>
      <w:r>
        <w:rPr>
          <w:spacing w:val="-30"/>
        </w:rPr>
        <w:t> </w:t>
      </w:r>
      <w:r>
        <w:rPr/>
        <w:t>VIII</w:t>
      </w:r>
      <w:r>
        <w:rPr>
          <w:spacing w:val="-29"/>
        </w:rPr>
        <w:t> </w:t>
      </w:r>
      <w:r>
        <w:rPr/>
        <w:t>do</w:t>
      </w:r>
      <w:r>
        <w:rPr>
          <w:spacing w:val="-29"/>
        </w:rPr>
        <w:t> </w:t>
      </w:r>
      <w:r>
        <w:rPr/>
        <w:t>art.</w:t>
      </w:r>
      <w:r>
        <w:rPr>
          <w:spacing w:val="-30"/>
        </w:rPr>
        <w:t> </w:t>
      </w:r>
      <w:r>
        <w:rPr/>
        <w:t>28</w:t>
      </w:r>
      <w:r>
        <w:rPr>
          <w:spacing w:val="-28"/>
        </w:rPr>
        <w:t> </w:t>
      </w:r>
      <w:r>
        <w:rPr/>
        <w:t>da</w:t>
      </w:r>
      <w:r>
        <w:rPr>
          <w:spacing w:val="-28"/>
        </w:rPr>
        <w:t> </w:t>
      </w:r>
      <w:r>
        <w:rPr/>
        <w:t>Convenção</w:t>
      </w:r>
      <w:r>
        <w:rPr>
          <w:spacing w:val="-29"/>
        </w:rPr>
        <w:t> </w:t>
      </w:r>
      <w:r>
        <w:rPr/>
        <w:t>de</w:t>
      </w:r>
      <w:r>
        <w:rPr>
          <w:spacing w:val="-31"/>
        </w:rPr>
        <w:t> </w:t>
      </w:r>
      <w:r>
        <w:rPr/>
        <w:t>Comercialização, </w:t>
      </w:r>
      <w:r>
        <w:rPr>
          <w:w w:val="105"/>
        </w:rPr>
        <w:t>instituída</w:t>
      </w:r>
      <w:r>
        <w:rPr>
          <w:spacing w:val="-39"/>
          <w:w w:val="105"/>
        </w:rPr>
        <w:t> </w:t>
      </w:r>
      <w:r>
        <w:rPr>
          <w:w w:val="105"/>
        </w:rPr>
        <w:t>pela</w:t>
      </w:r>
      <w:r>
        <w:rPr>
          <w:spacing w:val="-40"/>
          <w:w w:val="105"/>
        </w:rPr>
        <w:t> </w:t>
      </w:r>
      <w:r>
        <w:rPr>
          <w:w w:val="105"/>
        </w:rPr>
        <w:t>Resolução</w:t>
      </w:r>
      <w:r>
        <w:rPr>
          <w:spacing w:val="-40"/>
          <w:w w:val="105"/>
        </w:rPr>
        <w:t> </w:t>
      </w:r>
      <w:r>
        <w:rPr>
          <w:w w:val="105"/>
        </w:rPr>
        <w:t>Normativa</w:t>
      </w:r>
      <w:r>
        <w:rPr>
          <w:spacing w:val="-40"/>
          <w:w w:val="105"/>
        </w:rPr>
        <w:t> </w:t>
      </w:r>
      <w:r>
        <w:rPr>
          <w:w w:val="105"/>
        </w:rPr>
        <w:t>ANEEL</w:t>
      </w:r>
      <w:r>
        <w:rPr>
          <w:spacing w:val="-39"/>
          <w:w w:val="105"/>
        </w:rPr>
        <w:t> </w:t>
      </w:r>
      <w:r>
        <w:rPr>
          <w:w w:val="105"/>
        </w:rPr>
        <w:t>nº</w:t>
      </w:r>
      <w:r>
        <w:rPr>
          <w:spacing w:val="-40"/>
          <w:w w:val="105"/>
        </w:rPr>
        <w:t> </w:t>
      </w:r>
      <w:r>
        <w:rPr>
          <w:w w:val="105"/>
        </w:rPr>
        <w:t>109/2004,</w:t>
      </w:r>
      <w:r>
        <w:rPr>
          <w:spacing w:val="-39"/>
          <w:w w:val="105"/>
        </w:rPr>
        <w:t> </w:t>
      </w:r>
      <w:r>
        <w:rPr>
          <w:w w:val="105"/>
        </w:rPr>
        <w:t>e</w:t>
      </w:r>
      <w:r>
        <w:rPr>
          <w:spacing w:val="-41"/>
          <w:w w:val="105"/>
        </w:rPr>
        <w:t> </w:t>
      </w:r>
      <w:r>
        <w:rPr>
          <w:w w:val="105"/>
        </w:rPr>
        <w:t>dos</w:t>
      </w:r>
      <w:r>
        <w:rPr>
          <w:spacing w:val="-40"/>
          <w:w w:val="105"/>
        </w:rPr>
        <w:t> </w:t>
      </w:r>
      <w:r>
        <w:rPr>
          <w:w w:val="105"/>
        </w:rPr>
        <w:t>incisos</w:t>
      </w:r>
      <w:r>
        <w:rPr>
          <w:spacing w:val="-40"/>
          <w:w w:val="105"/>
        </w:rPr>
        <w:t> </w:t>
      </w:r>
      <w:r>
        <w:rPr>
          <w:w w:val="105"/>
        </w:rPr>
        <w:t>II</w:t>
      </w:r>
      <w:r>
        <w:rPr>
          <w:spacing w:val="-39"/>
          <w:w w:val="105"/>
        </w:rPr>
        <w:t> </w:t>
      </w:r>
      <w:r>
        <w:rPr>
          <w:w w:val="105"/>
        </w:rPr>
        <w:t>do</w:t>
      </w:r>
      <w:r>
        <w:rPr>
          <w:spacing w:val="-40"/>
          <w:w w:val="105"/>
        </w:rPr>
        <w:t> </w:t>
      </w:r>
      <w:r>
        <w:rPr>
          <w:w w:val="105"/>
        </w:rPr>
        <w:t>art.</w:t>
      </w:r>
      <w:r>
        <w:rPr>
          <w:spacing w:val="-40"/>
          <w:w w:val="105"/>
        </w:rPr>
        <w:t> </w:t>
      </w:r>
      <w:r>
        <w:rPr>
          <w:w w:val="105"/>
        </w:rPr>
        <w:t>22</w:t>
      </w:r>
      <w:r>
        <w:rPr>
          <w:spacing w:val="-41"/>
          <w:w w:val="105"/>
        </w:rPr>
        <w:t> </w:t>
      </w:r>
      <w:r>
        <w:rPr>
          <w:w w:val="105"/>
        </w:rPr>
        <w:t>do</w:t>
      </w:r>
      <w:r>
        <w:rPr>
          <w:spacing w:val="-39"/>
          <w:w w:val="105"/>
        </w:rPr>
        <w:t> </w:t>
      </w:r>
      <w:r>
        <w:rPr>
          <w:w w:val="105"/>
        </w:rPr>
        <w:t>Estatuto</w:t>
      </w:r>
      <w:r>
        <w:rPr>
          <w:spacing w:val="-40"/>
          <w:w w:val="105"/>
        </w:rPr>
        <w:t> </w:t>
      </w:r>
      <w:r>
        <w:rPr>
          <w:w w:val="105"/>
        </w:rPr>
        <w:t>Social</w:t>
      </w:r>
      <w:r>
        <w:rPr>
          <w:spacing w:val="-39"/>
          <w:w w:val="105"/>
        </w:rPr>
        <w:t> </w:t>
      </w:r>
      <w:r>
        <w:rPr>
          <w:w w:val="105"/>
        </w:rPr>
        <w:t>da</w:t>
      </w:r>
      <w:r>
        <w:rPr>
          <w:spacing w:val="-40"/>
          <w:w w:val="105"/>
        </w:rPr>
        <w:t> </w:t>
      </w:r>
      <w:r>
        <w:rPr>
          <w:w w:val="105"/>
        </w:rPr>
        <w:t>CCEE,</w:t>
      </w:r>
      <w:r>
        <w:rPr>
          <w:spacing w:val="-41"/>
          <w:w w:val="105"/>
        </w:rPr>
        <w:t> </w:t>
      </w:r>
      <w:r>
        <w:rPr>
          <w:w w:val="105"/>
        </w:rPr>
        <w:t>os </w:t>
      </w:r>
      <w:r>
        <w:rPr/>
        <w:t>conselheiros</w:t>
      </w:r>
      <w:r>
        <w:rPr>
          <w:spacing w:val="-9"/>
        </w:rPr>
        <w:t> </w:t>
      </w:r>
      <w:r>
        <w:rPr/>
        <w:t>da</w:t>
      </w:r>
      <w:r>
        <w:rPr>
          <w:spacing w:val="-9"/>
        </w:rPr>
        <w:t> </w:t>
      </w:r>
      <w:r>
        <w:rPr/>
        <w:t>CCEE</w:t>
      </w:r>
      <w:r>
        <w:rPr>
          <w:spacing w:val="-8"/>
        </w:rPr>
        <w:t> </w:t>
      </w:r>
      <w:r>
        <w:rPr/>
        <w:t>decidiram</w:t>
      </w:r>
      <w:r>
        <w:rPr>
          <w:spacing w:val="-11"/>
        </w:rPr>
        <w:t> </w:t>
      </w:r>
      <w:r>
        <w:rPr/>
        <w:t>acatar</w:t>
      </w:r>
      <w:r>
        <w:rPr>
          <w:spacing w:val="-8"/>
        </w:rPr>
        <w:t> </w:t>
      </w:r>
      <w:r>
        <w:rPr/>
        <w:t>parcialmente</w:t>
      </w:r>
      <w:r>
        <w:rPr>
          <w:spacing w:val="-11"/>
        </w:rPr>
        <w:t> </w:t>
      </w:r>
      <w:r>
        <w:rPr/>
        <w:t>a</w:t>
      </w:r>
      <w:r>
        <w:rPr>
          <w:spacing w:val="-8"/>
        </w:rPr>
        <w:t> </w:t>
      </w:r>
      <w:r>
        <w:rPr/>
        <w:t>proposta</w:t>
      </w:r>
      <w:r>
        <w:rPr>
          <w:spacing w:val="-8"/>
        </w:rPr>
        <w:t> </w:t>
      </w:r>
      <w:r>
        <w:rPr/>
        <w:t>de</w:t>
      </w:r>
      <w:r>
        <w:rPr>
          <w:spacing w:val="-9"/>
        </w:rPr>
        <w:t> </w:t>
      </w:r>
      <w:r>
        <w:rPr/>
        <w:t>parcelamento</w:t>
      </w:r>
      <w:r>
        <w:rPr>
          <w:spacing w:val="-9"/>
        </w:rPr>
        <w:t> </w:t>
      </w:r>
      <w:r>
        <w:rPr/>
        <w:t>apresentada</w:t>
      </w:r>
      <w:r>
        <w:rPr>
          <w:spacing w:val="-7"/>
        </w:rPr>
        <w:t> </w:t>
      </w:r>
      <w:r>
        <w:rPr/>
        <w:t>pelo</w:t>
      </w:r>
      <w:r>
        <w:rPr>
          <w:spacing w:val="-9"/>
        </w:rPr>
        <w:t> </w:t>
      </w:r>
      <w:r>
        <w:rPr/>
        <w:t>agente</w:t>
      </w:r>
      <w:r>
        <w:rPr>
          <w:spacing w:val="-11"/>
        </w:rPr>
        <w:t> </w:t>
      </w:r>
      <w:r>
        <w:rPr/>
        <w:t>CEB </w:t>
      </w:r>
      <w:r>
        <w:rPr>
          <w:w w:val="105"/>
        </w:rPr>
        <w:t>Distribuição</w:t>
      </w:r>
      <w:r>
        <w:rPr>
          <w:spacing w:val="-22"/>
          <w:w w:val="105"/>
        </w:rPr>
        <w:t> </w:t>
      </w:r>
      <w:r>
        <w:rPr>
          <w:w w:val="105"/>
        </w:rPr>
        <w:t>S.A.</w:t>
      </w:r>
    </w:p>
    <w:p>
      <w:pPr>
        <w:pStyle w:val="BodyText"/>
        <w:spacing w:line="242" w:lineRule="auto" w:before="118"/>
        <w:ind w:left="172" w:right="412"/>
        <w:jc w:val="both"/>
      </w:pPr>
      <w:r>
        <w:rPr/>
        <w:t>De</w:t>
      </w:r>
      <w:r>
        <w:rPr>
          <w:spacing w:val="-31"/>
        </w:rPr>
        <w:t> </w:t>
      </w:r>
      <w:r>
        <w:rPr/>
        <w:t>acordo</w:t>
      </w:r>
      <w:r>
        <w:rPr>
          <w:spacing w:val="-31"/>
        </w:rPr>
        <w:t> </w:t>
      </w:r>
      <w:r>
        <w:rPr/>
        <w:t>com</w:t>
      </w:r>
      <w:r>
        <w:rPr>
          <w:spacing w:val="-30"/>
        </w:rPr>
        <w:t> </w:t>
      </w:r>
      <w:r>
        <w:rPr/>
        <w:t>a</w:t>
      </w:r>
      <w:r>
        <w:rPr>
          <w:spacing w:val="-30"/>
        </w:rPr>
        <w:t> </w:t>
      </w:r>
      <w:r>
        <w:rPr/>
        <w:t>decisão,</w:t>
      </w:r>
      <w:r>
        <w:rPr>
          <w:spacing w:val="-31"/>
        </w:rPr>
        <w:t> </w:t>
      </w:r>
      <w:r>
        <w:rPr/>
        <w:t>o</w:t>
      </w:r>
      <w:r>
        <w:rPr>
          <w:spacing w:val="-31"/>
        </w:rPr>
        <w:t> </w:t>
      </w:r>
      <w:r>
        <w:rPr/>
        <w:t>valor</w:t>
      </w:r>
      <w:r>
        <w:rPr>
          <w:spacing w:val="-30"/>
        </w:rPr>
        <w:t> </w:t>
      </w:r>
      <w:r>
        <w:rPr/>
        <w:t>parcelado</w:t>
      </w:r>
      <w:r>
        <w:rPr>
          <w:spacing w:val="-31"/>
        </w:rPr>
        <w:t> </w:t>
      </w:r>
      <w:r>
        <w:rPr/>
        <w:t>foi</w:t>
      </w:r>
      <w:r>
        <w:rPr>
          <w:spacing w:val="-31"/>
        </w:rPr>
        <w:t> </w:t>
      </w:r>
      <w:r>
        <w:rPr/>
        <w:t>de</w:t>
      </w:r>
      <w:r>
        <w:rPr>
          <w:spacing w:val="-31"/>
        </w:rPr>
        <w:t> </w:t>
      </w:r>
      <w:r>
        <w:rPr/>
        <w:t>R$</w:t>
      </w:r>
      <w:r>
        <w:rPr>
          <w:spacing w:val="-30"/>
        </w:rPr>
        <w:t> </w:t>
      </w:r>
      <w:r>
        <w:rPr/>
        <w:t>196.397,</w:t>
      </w:r>
      <w:r>
        <w:rPr>
          <w:spacing w:val="-30"/>
        </w:rPr>
        <w:t> </w:t>
      </w:r>
      <w:r>
        <w:rPr/>
        <w:t>que</w:t>
      </w:r>
      <w:r>
        <w:rPr>
          <w:spacing w:val="-31"/>
        </w:rPr>
        <w:t> </w:t>
      </w:r>
      <w:r>
        <w:rPr/>
        <w:t>deverá</w:t>
      </w:r>
      <w:r>
        <w:rPr>
          <w:spacing w:val="-30"/>
        </w:rPr>
        <w:t> </w:t>
      </w:r>
      <w:r>
        <w:rPr/>
        <w:t>ser</w:t>
      </w:r>
      <w:r>
        <w:rPr>
          <w:spacing w:val="-31"/>
        </w:rPr>
        <w:t> </w:t>
      </w:r>
      <w:r>
        <w:rPr/>
        <w:t>incluído</w:t>
      </w:r>
      <w:r>
        <w:rPr>
          <w:spacing w:val="-29"/>
        </w:rPr>
        <w:t> </w:t>
      </w:r>
      <w:r>
        <w:rPr/>
        <w:t>encargos</w:t>
      </w:r>
      <w:r>
        <w:rPr>
          <w:spacing w:val="-28"/>
        </w:rPr>
        <w:t> </w:t>
      </w:r>
      <w:r>
        <w:rPr/>
        <w:t>moratórios</w:t>
      </w:r>
      <w:r>
        <w:rPr>
          <w:spacing w:val="-30"/>
        </w:rPr>
        <w:t> </w:t>
      </w:r>
      <w:r>
        <w:rPr/>
        <w:t>de</w:t>
      </w:r>
      <w:r>
        <w:rPr>
          <w:spacing w:val="-30"/>
        </w:rPr>
        <w:t> </w:t>
      </w:r>
      <w:r>
        <w:rPr/>
        <w:t>1%</w:t>
      </w:r>
      <w:r>
        <w:rPr>
          <w:spacing w:val="-29"/>
        </w:rPr>
        <w:t> </w:t>
      </w:r>
      <w:r>
        <w:rPr/>
        <w:t>ao mês</w:t>
      </w:r>
      <w:r>
        <w:rPr>
          <w:spacing w:val="-10"/>
        </w:rPr>
        <w:t> </w:t>
      </w:r>
      <w:r>
        <w:rPr/>
        <w:t>e</w:t>
      </w:r>
      <w:r>
        <w:rPr>
          <w:spacing w:val="-11"/>
        </w:rPr>
        <w:t> </w:t>
      </w:r>
      <w:r>
        <w:rPr/>
        <w:t>atualização</w:t>
      </w:r>
      <w:r>
        <w:rPr>
          <w:spacing w:val="-12"/>
        </w:rPr>
        <w:t> </w:t>
      </w:r>
      <w:r>
        <w:rPr/>
        <w:t>monetária</w:t>
      </w:r>
      <w:r>
        <w:rPr>
          <w:spacing w:val="-11"/>
        </w:rPr>
        <w:t> </w:t>
      </w:r>
      <w:r>
        <w:rPr/>
        <w:t>pelo</w:t>
      </w:r>
      <w:r>
        <w:rPr>
          <w:spacing w:val="-10"/>
        </w:rPr>
        <w:t> </w:t>
      </w:r>
      <w:r>
        <w:rPr/>
        <w:t>IGPM/IBGE,</w:t>
      </w:r>
      <w:r>
        <w:rPr>
          <w:spacing w:val="-12"/>
        </w:rPr>
        <w:t> </w:t>
      </w:r>
      <w:r>
        <w:rPr/>
        <w:t>contemplando</w:t>
      </w:r>
      <w:r>
        <w:rPr>
          <w:spacing w:val="-12"/>
        </w:rPr>
        <w:t> </w:t>
      </w:r>
      <w:r>
        <w:rPr/>
        <w:t>o</w:t>
      </w:r>
      <w:r>
        <w:rPr>
          <w:spacing w:val="-10"/>
        </w:rPr>
        <w:t> </w:t>
      </w:r>
      <w:r>
        <w:rPr/>
        <w:t>período</w:t>
      </w:r>
      <w:r>
        <w:rPr>
          <w:spacing w:val="-9"/>
        </w:rPr>
        <w:t> </w:t>
      </w:r>
      <w:r>
        <w:rPr/>
        <w:t>entre</w:t>
      </w:r>
      <w:r>
        <w:rPr>
          <w:spacing w:val="-11"/>
        </w:rPr>
        <w:t> </w:t>
      </w:r>
      <w:r>
        <w:rPr/>
        <w:t>a</w:t>
      </w:r>
      <w:r>
        <w:rPr>
          <w:spacing w:val="-11"/>
        </w:rPr>
        <w:t> </w:t>
      </w:r>
      <w:r>
        <w:rPr/>
        <w:t>data</w:t>
      </w:r>
      <w:r>
        <w:rPr>
          <w:spacing w:val="-11"/>
        </w:rPr>
        <w:t> </w:t>
      </w:r>
      <w:r>
        <w:rPr/>
        <w:t>da</w:t>
      </w:r>
      <w:r>
        <w:rPr>
          <w:spacing w:val="-11"/>
        </w:rPr>
        <w:t> </w:t>
      </w:r>
      <w:r>
        <w:rPr/>
        <w:t>liquidação</w:t>
      </w:r>
      <w:r>
        <w:rPr>
          <w:spacing w:val="-10"/>
        </w:rPr>
        <w:t> </w:t>
      </w:r>
      <w:r>
        <w:rPr/>
        <w:t>financeira</w:t>
      </w:r>
      <w:r>
        <w:rPr>
          <w:spacing w:val="-9"/>
        </w:rPr>
        <w:t> </w:t>
      </w:r>
      <w:r>
        <w:rPr/>
        <w:t>da </w:t>
      </w:r>
      <w:r>
        <w:rPr>
          <w:w w:val="95"/>
        </w:rPr>
        <w:t>contabilização</w:t>
      </w:r>
      <w:r>
        <w:rPr>
          <w:spacing w:val="-23"/>
          <w:w w:val="95"/>
        </w:rPr>
        <w:t> </w:t>
      </w:r>
      <w:r>
        <w:rPr>
          <w:w w:val="95"/>
        </w:rPr>
        <w:t>de</w:t>
      </w:r>
      <w:r>
        <w:rPr>
          <w:spacing w:val="-22"/>
          <w:w w:val="95"/>
        </w:rPr>
        <w:t> </w:t>
      </w:r>
      <w:r>
        <w:rPr>
          <w:w w:val="95"/>
        </w:rPr>
        <w:t>maio</w:t>
      </w:r>
      <w:r>
        <w:rPr>
          <w:spacing w:val="-22"/>
          <w:w w:val="95"/>
        </w:rPr>
        <w:t> </w:t>
      </w:r>
      <w:r>
        <w:rPr>
          <w:w w:val="95"/>
        </w:rPr>
        <w:t>de</w:t>
      </w:r>
      <w:r>
        <w:rPr>
          <w:spacing w:val="-24"/>
          <w:w w:val="95"/>
        </w:rPr>
        <w:t> </w:t>
      </w:r>
      <w:r>
        <w:rPr>
          <w:w w:val="95"/>
        </w:rPr>
        <w:t>2018</w:t>
      </w:r>
      <w:r>
        <w:rPr>
          <w:spacing w:val="-22"/>
          <w:w w:val="95"/>
        </w:rPr>
        <w:t> </w:t>
      </w:r>
      <w:r>
        <w:rPr>
          <w:w w:val="95"/>
        </w:rPr>
        <w:t>até</w:t>
      </w:r>
      <w:r>
        <w:rPr>
          <w:spacing w:val="-24"/>
          <w:w w:val="95"/>
        </w:rPr>
        <w:t> </w:t>
      </w:r>
      <w:r>
        <w:rPr>
          <w:w w:val="95"/>
        </w:rPr>
        <w:t>a</w:t>
      </w:r>
      <w:r>
        <w:rPr>
          <w:spacing w:val="-21"/>
          <w:w w:val="95"/>
        </w:rPr>
        <w:t> </w:t>
      </w:r>
      <w:r>
        <w:rPr>
          <w:w w:val="95"/>
        </w:rPr>
        <w:t>data</w:t>
      </w:r>
      <w:r>
        <w:rPr>
          <w:spacing w:val="-22"/>
          <w:w w:val="95"/>
        </w:rPr>
        <w:t> </w:t>
      </w:r>
      <w:r>
        <w:rPr>
          <w:w w:val="95"/>
        </w:rPr>
        <w:t>da</w:t>
      </w:r>
      <w:r>
        <w:rPr>
          <w:spacing w:val="-21"/>
          <w:w w:val="95"/>
        </w:rPr>
        <w:t> </w:t>
      </w:r>
      <w:r>
        <w:rPr>
          <w:w w:val="95"/>
        </w:rPr>
        <w:t>liquidação</w:t>
      </w:r>
      <w:r>
        <w:rPr>
          <w:spacing w:val="-19"/>
          <w:w w:val="95"/>
        </w:rPr>
        <w:t> </w:t>
      </w:r>
      <w:r>
        <w:rPr>
          <w:w w:val="95"/>
        </w:rPr>
        <w:t>financeira</w:t>
      </w:r>
      <w:r>
        <w:rPr>
          <w:spacing w:val="-21"/>
          <w:w w:val="95"/>
        </w:rPr>
        <w:t> </w:t>
      </w:r>
      <w:r>
        <w:rPr>
          <w:w w:val="95"/>
        </w:rPr>
        <w:t>da</w:t>
      </w:r>
      <w:r>
        <w:rPr>
          <w:spacing w:val="-22"/>
          <w:w w:val="95"/>
        </w:rPr>
        <w:t> </w:t>
      </w:r>
      <w:r>
        <w:rPr>
          <w:w w:val="95"/>
        </w:rPr>
        <w:t>contabilização</w:t>
      </w:r>
      <w:r>
        <w:rPr>
          <w:spacing w:val="-22"/>
          <w:w w:val="95"/>
        </w:rPr>
        <w:t> </w:t>
      </w:r>
      <w:r>
        <w:rPr>
          <w:w w:val="95"/>
        </w:rPr>
        <w:t>em</w:t>
      </w:r>
      <w:r>
        <w:rPr>
          <w:spacing w:val="-23"/>
          <w:w w:val="95"/>
        </w:rPr>
        <w:t> </w:t>
      </w:r>
      <w:r>
        <w:rPr>
          <w:w w:val="95"/>
        </w:rPr>
        <w:t>que</w:t>
      </w:r>
      <w:r>
        <w:rPr>
          <w:spacing w:val="-24"/>
          <w:w w:val="95"/>
        </w:rPr>
        <w:t> </w:t>
      </w:r>
      <w:r>
        <w:rPr>
          <w:w w:val="95"/>
        </w:rPr>
        <w:t>se</w:t>
      </w:r>
      <w:r>
        <w:rPr>
          <w:spacing w:val="-23"/>
          <w:w w:val="95"/>
        </w:rPr>
        <w:t> </w:t>
      </w:r>
      <w:r>
        <w:rPr>
          <w:w w:val="95"/>
        </w:rPr>
        <w:t>iniciar</w:t>
      </w:r>
      <w:r>
        <w:rPr>
          <w:spacing w:val="-23"/>
          <w:w w:val="95"/>
        </w:rPr>
        <w:t> </w:t>
      </w:r>
      <w:r>
        <w:rPr>
          <w:w w:val="95"/>
        </w:rPr>
        <w:t>o</w:t>
      </w:r>
      <w:r>
        <w:rPr>
          <w:spacing w:val="-19"/>
          <w:w w:val="95"/>
        </w:rPr>
        <w:t> </w:t>
      </w:r>
      <w:r>
        <w:rPr>
          <w:w w:val="95"/>
        </w:rPr>
        <w:t>parcelamento. </w:t>
      </w:r>
      <w:r>
        <w:rPr/>
        <w:t>O</w:t>
      </w:r>
      <w:r>
        <w:rPr>
          <w:spacing w:val="-30"/>
        </w:rPr>
        <w:t> </w:t>
      </w:r>
      <w:r>
        <w:rPr/>
        <w:t>referido</w:t>
      </w:r>
      <w:r>
        <w:rPr>
          <w:spacing w:val="-30"/>
        </w:rPr>
        <w:t> </w:t>
      </w:r>
      <w:r>
        <w:rPr/>
        <w:t>Parcelamento</w:t>
      </w:r>
      <w:r>
        <w:rPr>
          <w:spacing w:val="-30"/>
        </w:rPr>
        <w:t> </w:t>
      </w:r>
      <w:r>
        <w:rPr/>
        <w:t>será</w:t>
      </w:r>
      <w:r>
        <w:rPr>
          <w:spacing w:val="-31"/>
        </w:rPr>
        <w:t> </w:t>
      </w:r>
      <w:r>
        <w:rPr/>
        <w:t>amortizados</w:t>
      </w:r>
      <w:r>
        <w:rPr>
          <w:spacing w:val="-29"/>
        </w:rPr>
        <w:t> </w:t>
      </w:r>
      <w:r>
        <w:rPr/>
        <w:t>em</w:t>
      </w:r>
      <w:r>
        <w:rPr>
          <w:spacing w:val="-30"/>
        </w:rPr>
        <w:t> </w:t>
      </w:r>
      <w:r>
        <w:rPr/>
        <w:t>16</w:t>
      </w:r>
      <w:r>
        <w:rPr>
          <w:spacing w:val="-30"/>
        </w:rPr>
        <w:t> </w:t>
      </w:r>
      <w:r>
        <w:rPr/>
        <w:t>parcelas</w:t>
      </w:r>
      <w:r>
        <w:rPr>
          <w:spacing w:val="-31"/>
        </w:rPr>
        <w:t> </w:t>
      </w:r>
      <w:r>
        <w:rPr/>
        <w:t>mensais,</w:t>
      </w:r>
      <w:r>
        <w:rPr>
          <w:spacing w:val="-30"/>
        </w:rPr>
        <w:t> </w:t>
      </w:r>
      <w:r>
        <w:rPr/>
        <w:t>acrescidas</w:t>
      </w:r>
      <w:r>
        <w:rPr>
          <w:spacing w:val="-31"/>
        </w:rPr>
        <w:t> </w:t>
      </w:r>
      <w:r>
        <w:rPr/>
        <w:t>de</w:t>
      </w:r>
      <w:r>
        <w:rPr>
          <w:spacing w:val="-32"/>
        </w:rPr>
        <w:t> </w:t>
      </w:r>
      <w:r>
        <w:rPr/>
        <w:t>juros</w:t>
      </w:r>
      <w:r>
        <w:rPr>
          <w:spacing w:val="-29"/>
        </w:rPr>
        <w:t> </w:t>
      </w:r>
      <w:r>
        <w:rPr/>
        <w:t>e</w:t>
      </w:r>
      <w:r>
        <w:rPr>
          <w:spacing w:val="-31"/>
        </w:rPr>
        <w:t> </w:t>
      </w:r>
      <w:r>
        <w:rPr/>
        <w:t>atualização</w:t>
      </w:r>
      <w:r>
        <w:rPr>
          <w:spacing w:val="-31"/>
        </w:rPr>
        <w:t> </w:t>
      </w:r>
      <w:r>
        <w:rPr/>
        <w:t>monetária</w:t>
      </w:r>
      <w:r>
        <w:rPr>
          <w:spacing w:val="-27"/>
        </w:rPr>
        <w:t> </w:t>
      </w:r>
      <w:r>
        <w:rPr/>
        <w:t>de mesma</w:t>
      </w:r>
      <w:r>
        <w:rPr>
          <w:spacing w:val="-18"/>
        </w:rPr>
        <w:t> </w:t>
      </w:r>
      <w:r>
        <w:rPr/>
        <w:t>grandeza.</w:t>
      </w:r>
    </w:p>
    <w:p>
      <w:pPr>
        <w:pStyle w:val="BodyText"/>
        <w:spacing w:line="242" w:lineRule="auto" w:before="121"/>
        <w:ind w:left="172" w:right="411"/>
        <w:jc w:val="both"/>
      </w:pPr>
      <w:r>
        <w:rPr/>
        <w:t>Em</w:t>
      </w:r>
      <w:r>
        <w:rPr>
          <w:spacing w:val="-14"/>
        </w:rPr>
        <w:t> </w:t>
      </w:r>
      <w:r>
        <w:rPr/>
        <w:t>10</w:t>
      </w:r>
      <w:r>
        <w:rPr>
          <w:spacing w:val="-13"/>
        </w:rPr>
        <w:t> </w:t>
      </w:r>
      <w:r>
        <w:rPr/>
        <w:t>de</w:t>
      </w:r>
      <w:r>
        <w:rPr>
          <w:spacing w:val="-12"/>
        </w:rPr>
        <w:t> </w:t>
      </w:r>
      <w:r>
        <w:rPr/>
        <w:t>julho</w:t>
      </w:r>
      <w:r>
        <w:rPr>
          <w:spacing w:val="-12"/>
        </w:rPr>
        <w:t> </w:t>
      </w:r>
      <w:r>
        <w:rPr/>
        <w:t>de</w:t>
      </w:r>
      <w:r>
        <w:rPr>
          <w:spacing w:val="-15"/>
        </w:rPr>
        <w:t> </w:t>
      </w:r>
      <w:r>
        <w:rPr/>
        <w:t>2019,</w:t>
      </w:r>
      <w:r>
        <w:rPr>
          <w:spacing w:val="-13"/>
        </w:rPr>
        <w:t> </w:t>
      </w:r>
      <w:r>
        <w:rPr/>
        <w:t>a</w:t>
      </w:r>
      <w:r>
        <w:rPr>
          <w:spacing w:val="-10"/>
        </w:rPr>
        <w:t> </w:t>
      </w:r>
      <w:r>
        <w:rPr/>
        <w:t>Distribuidora</w:t>
      </w:r>
      <w:r>
        <w:rPr>
          <w:spacing w:val="-13"/>
        </w:rPr>
        <w:t> </w:t>
      </w:r>
      <w:r>
        <w:rPr/>
        <w:t>liquidou</w:t>
      </w:r>
      <w:r>
        <w:rPr>
          <w:spacing w:val="-12"/>
        </w:rPr>
        <w:t> </w:t>
      </w:r>
      <w:r>
        <w:rPr/>
        <w:t>antecipadamente</w:t>
      </w:r>
      <w:r>
        <w:rPr>
          <w:spacing w:val="-9"/>
        </w:rPr>
        <w:t> </w:t>
      </w:r>
      <w:r>
        <w:rPr/>
        <w:t>o</w:t>
      </w:r>
      <w:r>
        <w:rPr>
          <w:spacing w:val="-14"/>
        </w:rPr>
        <w:t> </w:t>
      </w:r>
      <w:r>
        <w:rPr/>
        <w:t>saldo</w:t>
      </w:r>
      <w:r>
        <w:rPr>
          <w:spacing w:val="-13"/>
        </w:rPr>
        <w:t> </w:t>
      </w:r>
      <w:r>
        <w:rPr/>
        <w:t>devedor</w:t>
      </w:r>
      <w:r>
        <w:rPr>
          <w:spacing w:val="-14"/>
        </w:rPr>
        <w:t> </w:t>
      </w:r>
      <w:r>
        <w:rPr/>
        <w:t>da</w:t>
      </w:r>
      <w:r>
        <w:rPr>
          <w:spacing w:val="-13"/>
        </w:rPr>
        <w:t> </w:t>
      </w:r>
      <w:r>
        <w:rPr/>
        <w:t>operação</w:t>
      </w:r>
      <w:r>
        <w:rPr>
          <w:spacing w:val="-13"/>
        </w:rPr>
        <w:t> </w:t>
      </w:r>
      <w:r>
        <w:rPr/>
        <w:t>pelo</w:t>
      </w:r>
      <w:r>
        <w:rPr>
          <w:spacing w:val="-12"/>
        </w:rPr>
        <w:t> </w:t>
      </w:r>
      <w:r>
        <w:rPr/>
        <w:t>valor</w:t>
      </w:r>
      <w:r>
        <w:rPr>
          <w:spacing w:val="-14"/>
        </w:rPr>
        <w:t> </w:t>
      </w:r>
      <w:r>
        <w:rPr/>
        <w:t>de</w:t>
      </w:r>
      <w:r>
        <w:rPr>
          <w:spacing w:val="-13"/>
        </w:rPr>
        <w:t> </w:t>
      </w:r>
      <w:r>
        <w:rPr/>
        <w:t>R$ 70.819.</w:t>
      </w:r>
    </w:p>
    <w:p>
      <w:pPr>
        <w:pStyle w:val="BodyText"/>
        <w:spacing w:before="5"/>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b/>
          <w:sz w:val="18"/>
        </w:rPr>
      </w:pPr>
      <w:r>
        <w:rPr>
          <w:rFonts w:ascii="Caladea"/>
          <w:b/>
          <w:sz w:val="22"/>
        </w:rPr>
        <w:t>P</w:t>
      </w:r>
      <w:r>
        <w:rPr>
          <w:rFonts w:ascii="Caladea"/>
          <w:b/>
          <w:sz w:val="18"/>
        </w:rPr>
        <w:t>ARCELAMENTO </w:t>
      </w:r>
      <w:r>
        <w:rPr>
          <w:rFonts w:ascii="Caladea"/>
          <w:b/>
          <w:sz w:val="22"/>
        </w:rPr>
        <w:t>I</w:t>
      </w:r>
      <w:r>
        <w:rPr>
          <w:rFonts w:ascii="Caladea"/>
          <w:b/>
          <w:sz w:val="18"/>
        </w:rPr>
        <w:t>TAIPU</w:t>
      </w:r>
      <w:r>
        <w:rPr>
          <w:rFonts w:ascii="Caladea"/>
          <w:b/>
          <w:spacing w:val="2"/>
          <w:sz w:val="18"/>
        </w:rPr>
        <w:t> </w:t>
      </w:r>
      <w:r>
        <w:rPr>
          <w:rFonts w:ascii="Caladea"/>
          <w:b/>
          <w:sz w:val="22"/>
        </w:rPr>
        <w:t>B</w:t>
      </w:r>
      <w:r>
        <w:rPr>
          <w:rFonts w:ascii="Caladea"/>
          <w:b/>
          <w:sz w:val="18"/>
        </w:rPr>
        <w:t>INACIONAL</w:t>
      </w:r>
    </w:p>
    <w:p>
      <w:pPr>
        <w:pStyle w:val="BodyText"/>
        <w:rPr>
          <w:rFonts w:ascii="Caladea"/>
          <w:b/>
          <w:sz w:val="24"/>
        </w:rPr>
      </w:pPr>
    </w:p>
    <w:p>
      <w:pPr>
        <w:pStyle w:val="BodyText"/>
        <w:spacing w:line="242" w:lineRule="auto"/>
        <w:ind w:left="172" w:right="406"/>
        <w:jc w:val="both"/>
      </w:pPr>
      <w:r>
        <w:rPr/>
        <w:t>A</w:t>
      </w:r>
      <w:r>
        <w:rPr>
          <w:spacing w:val="-36"/>
        </w:rPr>
        <w:t> </w:t>
      </w:r>
      <w:r>
        <w:rPr/>
        <w:t>Companhia</w:t>
      </w:r>
      <w:r>
        <w:rPr>
          <w:spacing w:val="-34"/>
        </w:rPr>
        <w:t> </w:t>
      </w:r>
      <w:r>
        <w:rPr/>
        <w:t>renegociou</w:t>
      </w:r>
      <w:r>
        <w:rPr>
          <w:spacing w:val="-35"/>
        </w:rPr>
        <w:t> </w:t>
      </w:r>
      <w:r>
        <w:rPr/>
        <w:t>a</w:t>
      </w:r>
      <w:r>
        <w:rPr>
          <w:spacing w:val="-35"/>
        </w:rPr>
        <w:t> </w:t>
      </w:r>
      <w:r>
        <w:rPr/>
        <w:t>dívida</w:t>
      </w:r>
      <w:r>
        <w:rPr>
          <w:spacing w:val="-35"/>
        </w:rPr>
        <w:t> </w:t>
      </w:r>
      <w:r>
        <w:rPr/>
        <w:t>de</w:t>
      </w:r>
      <w:r>
        <w:rPr>
          <w:spacing w:val="-36"/>
        </w:rPr>
        <w:t> </w:t>
      </w:r>
      <w:r>
        <w:rPr/>
        <w:t>fornecimento</w:t>
      </w:r>
      <w:r>
        <w:rPr>
          <w:spacing w:val="-37"/>
        </w:rPr>
        <w:t> </w:t>
      </w:r>
      <w:r>
        <w:rPr/>
        <w:t>de</w:t>
      </w:r>
      <w:r>
        <w:rPr>
          <w:spacing w:val="-35"/>
        </w:rPr>
        <w:t> </w:t>
      </w:r>
      <w:r>
        <w:rPr/>
        <w:t>energia</w:t>
      </w:r>
      <w:r>
        <w:rPr>
          <w:spacing w:val="-34"/>
        </w:rPr>
        <w:t> </w:t>
      </w:r>
      <w:r>
        <w:rPr/>
        <w:t>elétrica</w:t>
      </w:r>
      <w:r>
        <w:rPr>
          <w:spacing w:val="-35"/>
        </w:rPr>
        <w:t> </w:t>
      </w:r>
      <w:r>
        <w:rPr/>
        <w:t>da</w:t>
      </w:r>
      <w:r>
        <w:rPr>
          <w:spacing w:val="-35"/>
        </w:rPr>
        <w:t> </w:t>
      </w:r>
      <w:r>
        <w:rPr/>
        <w:t>Usina</w:t>
      </w:r>
      <w:r>
        <w:rPr>
          <w:spacing w:val="-35"/>
        </w:rPr>
        <w:t> </w:t>
      </w:r>
      <w:r>
        <w:rPr/>
        <w:t>de</w:t>
      </w:r>
      <w:r>
        <w:rPr>
          <w:spacing w:val="-36"/>
        </w:rPr>
        <w:t> </w:t>
      </w:r>
      <w:r>
        <w:rPr/>
        <w:t>Itaipu</w:t>
      </w:r>
      <w:r>
        <w:rPr>
          <w:spacing w:val="-36"/>
        </w:rPr>
        <w:t> </w:t>
      </w:r>
      <w:r>
        <w:rPr/>
        <w:t>Binacional,</w:t>
      </w:r>
      <w:r>
        <w:rPr>
          <w:spacing w:val="-36"/>
        </w:rPr>
        <w:t> </w:t>
      </w:r>
      <w:r>
        <w:rPr/>
        <w:t>com</w:t>
      </w:r>
      <w:r>
        <w:rPr>
          <w:spacing w:val="-36"/>
        </w:rPr>
        <w:t> </w:t>
      </w:r>
      <w:r>
        <w:rPr/>
        <w:t>as</w:t>
      </w:r>
      <w:r>
        <w:rPr>
          <w:spacing w:val="-36"/>
        </w:rPr>
        <w:t> </w:t>
      </w:r>
      <w:r>
        <w:rPr/>
        <w:t>Centrais Elétricas</w:t>
      </w:r>
      <w:r>
        <w:rPr>
          <w:spacing w:val="-40"/>
        </w:rPr>
        <w:t> </w:t>
      </w:r>
      <w:r>
        <w:rPr/>
        <w:t>Brasileiras,</w:t>
      </w:r>
      <w:r>
        <w:rPr>
          <w:spacing w:val="-39"/>
        </w:rPr>
        <w:t> </w:t>
      </w:r>
      <w:r>
        <w:rPr/>
        <w:t>referente</w:t>
      </w:r>
      <w:r>
        <w:rPr>
          <w:spacing w:val="-40"/>
        </w:rPr>
        <w:t> </w:t>
      </w:r>
      <w:r>
        <w:rPr/>
        <w:t>às</w:t>
      </w:r>
      <w:r>
        <w:rPr>
          <w:spacing w:val="-39"/>
        </w:rPr>
        <w:t> </w:t>
      </w:r>
      <w:r>
        <w:rPr/>
        <w:t>faturas</w:t>
      </w:r>
      <w:r>
        <w:rPr>
          <w:spacing w:val="-39"/>
        </w:rPr>
        <w:t> </w:t>
      </w:r>
      <w:r>
        <w:rPr/>
        <w:t>dos</w:t>
      </w:r>
      <w:r>
        <w:rPr>
          <w:spacing w:val="-40"/>
        </w:rPr>
        <w:t> </w:t>
      </w:r>
      <w:r>
        <w:rPr/>
        <w:t>meses</w:t>
      </w:r>
      <w:r>
        <w:rPr>
          <w:spacing w:val="-38"/>
        </w:rPr>
        <w:t> </w:t>
      </w:r>
      <w:r>
        <w:rPr/>
        <w:t>de</w:t>
      </w:r>
      <w:r>
        <w:rPr>
          <w:spacing w:val="-36"/>
        </w:rPr>
        <w:t> </w:t>
      </w:r>
      <w:r>
        <w:rPr/>
        <w:t>março</w:t>
      </w:r>
      <w:r>
        <w:rPr>
          <w:spacing w:val="-39"/>
        </w:rPr>
        <w:t> </w:t>
      </w:r>
      <w:r>
        <w:rPr/>
        <w:t>a</w:t>
      </w:r>
      <w:r>
        <w:rPr>
          <w:spacing w:val="-39"/>
        </w:rPr>
        <w:t> </w:t>
      </w:r>
      <w:r>
        <w:rPr/>
        <w:t>julho</w:t>
      </w:r>
      <w:r>
        <w:rPr>
          <w:spacing w:val="-40"/>
        </w:rPr>
        <w:t> </w:t>
      </w:r>
      <w:r>
        <w:rPr/>
        <w:t>de</w:t>
      </w:r>
      <w:r>
        <w:rPr>
          <w:spacing w:val="-40"/>
        </w:rPr>
        <w:t> </w:t>
      </w:r>
      <w:r>
        <w:rPr/>
        <w:t>2018,</w:t>
      </w:r>
      <w:r>
        <w:rPr>
          <w:spacing w:val="-40"/>
        </w:rPr>
        <w:t> </w:t>
      </w:r>
      <w:r>
        <w:rPr/>
        <w:t>no</w:t>
      </w:r>
      <w:r>
        <w:rPr>
          <w:spacing w:val="-38"/>
        </w:rPr>
        <w:t> </w:t>
      </w:r>
      <w:r>
        <w:rPr/>
        <w:t>montante</w:t>
      </w:r>
      <w:r>
        <w:rPr>
          <w:spacing w:val="-39"/>
        </w:rPr>
        <w:t> </w:t>
      </w:r>
      <w:r>
        <w:rPr/>
        <w:t>de</w:t>
      </w:r>
      <w:r>
        <w:rPr>
          <w:spacing w:val="-40"/>
        </w:rPr>
        <w:t> </w:t>
      </w:r>
      <w:r>
        <w:rPr/>
        <w:t>US$</w:t>
      </w:r>
      <w:r>
        <w:rPr>
          <w:spacing w:val="-40"/>
        </w:rPr>
        <w:t> </w:t>
      </w:r>
      <w:r>
        <w:rPr/>
        <w:t>31.948,</w:t>
      </w:r>
      <w:r>
        <w:rPr>
          <w:spacing w:val="-39"/>
        </w:rPr>
        <w:t> </w:t>
      </w:r>
      <w:r>
        <w:rPr/>
        <w:t>que</w:t>
      </w:r>
      <w:r>
        <w:rPr>
          <w:spacing w:val="-41"/>
        </w:rPr>
        <w:t> </w:t>
      </w:r>
      <w:r>
        <w:rPr/>
        <w:t>foram atualizados</w:t>
      </w:r>
      <w:r>
        <w:rPr>
          <w:spacing w:val="-31"/>
        </w:rPr>
        <w:t> </w:t>
      </w:r>
      <w:r>
        <w:rPr/>
        <w:t>até</w:t>
      </w:r>
      <w:r>
        <w:rPr>
          <w:spacing w:val="-31"/>
        </w:rPr>
        <w:t> </w:t>
      </w:r>
      <w:r>
        <w:rPr/>
        <w:t>a</w:t>
      </w:r>
      <w:r>
        <w:rPr>
          <w:spacing w:val="-30"/>
        </w:rPr>
        <w:t> </w:t>
      </w:r>
      <w:r>
        <w:rPr/>
        <w:t>realização</w:t>
      </w:r>
      <w:r>
        <w:rPr>
          <w:spacing w:val="-31"/>
        </w:rPr>
        <w:t> </w:t>
      </w:r>
      <w:r>
        <w:rPr/>
        <w:t>do</w:t>
      </w:r>
      <w:r>
        <w:rPr>
          <w:spacing w:val="-31"/>
        </w:rPr>
        <w:t> </w:t>
      </w:r>
      <w:r>
        <w:rPr/>
        <w:t>contrato</w:t>
      </w:r>
      <w:r>
        <w:rPr>
          <w:spacing w:val="-31"/>
        </w:rPr>
        <w:t> </w:t>
      </w:r>
      <w:r>
        <w:rPr/>
        <w:t>a</w:t>
      </w:r>
      <w:r>
        <w:rPr>
          <w:spacing w:val="-30"/>
        </w:rPr>
        <w:t> </w:t>
      </w:r>
      <w:r>
        <w:rPr/>
        <w:t>uma</w:t>
      </w:r>
      <w:r>
        <w:rPr>
          <w:spacing w:val="-30"/>
        </w:rPr>
        <w:t> </w:t>
      </w:r>
      <w:r>
        <w:rPr/>
        <w:t>taxa</w:t>
      </w:r>
      <w:r>
        <w:rPr>
          <w:spacing w:val="-30"/>
        </w:rPr>
        <w:t> </w:t>
      </w:r>
      <w:r>
        <w:rPr/>
        <w:t>de</w:t>
      </w:r>
      <w:r>
        <w:rPr>
          <w:spacing w:val="-32"/>
        </w:rPr>
        <w:t> </w:t>
      </w:r>
      <w:r>
        <w:rPr/>
        <w:t>0,5%,</w:t>
      </w:r>
      <w:r>
        <w:rPr>
          <w:spacing w:val="-30"/>
        </w:rPr>
        <w:t> </w:t>
      </w:r>
      <w:r>
        <w:rPr/>
        <w:t>durante</w:t>
      </w:r>
      <w:r>
        <w:rPr>
          <w:spacing w:val="-31"/>
        </w:rPr>
        <w:t> </w:t>
      </w:r>
      <w:r>
        <w:rPr/>
        <w:t>os</w:t>
      </w:r>
      <w:r>
        <w:rPr>
          <w:spacing w:val="-30"/>
        </w:rPr>
        <w:t> </w:t>
      </w:r>
      <w:r>
        <w:rPr/>
        <w:t>primeiros</w:t>
      </w:r>
      <w:r>
        <w:rPr>
          <w:spacing w:val="-30"/>
        </w:rPr>
        <w:t> </w:t>
      </w:r>
      <w:r>
        <w:rPr/>
        <w:t>15</w:t>
      </w:r>
      <w:r>
        <w:rPr>
          <w:spacing w:val="-29"/>
        </w:rPr>
        <w:t> </w:t>
      </w:r>
      <w:r>
        <w:rPr/>
        <w:t>dias</w:t>
      </w:r>
      <w:r>
        <w:rPr>
          <w:spacing w:val="-30"/>
        </w:rPr>
        <w:t> </w:t>
      </w:r>
      <w:r>
        <w:rPr/>
        <w:t>e</w:t>
      </w:r>
      <w:r>
        <w:rPr>
          <w:spacing w:val="-32"/>
        </w:rPr>
        <w:t> </w:t>
      </w:r>
      <w:r>
        <w:rPr/>
        <w:t>de</w:t>
      </w:r>
      <w:r>
        <w:rPr>
          <w:spacing w:val="-31"/>
        </w:rPr>
        <w:t> </w:t>
      </w:r>
      <w:r>
        <w:rPr/>
        <w:t>1%,</w:t>
      </w:r>
      <w:r>
        <w:rPr>
          <w:spacing w:val="-29"/>
        </w:rPr>
        <w:t> </w:t>
      </w:r>
      <w:r>
        <w:rPr/>
        <w:t>a</w:t>
      </w:r>
      <w:r>
        <w:rPr>
          <w:spacing w:val="-30"/>
        </w:rPr>
        <w:t> </w:t>
      </w:r>
      <w:r>
        <w:rPr/>
        <w:t>partir</w:t>
      </w:r>
      <w:r>
        <w:rPr>
          <w:spacing w:val="-32"/>
        </w:rPr>
        <w:t> </w:t>
      </w:r>
      <w:r>
        <w:rPr/>
        <w:t>do</w:t>
      </w:r>
      <w:r>
        <w:rPr>
          <w:spacing w:val="-29"/>
        </w:rPr>
        <w:t> </w:t>
      </w:r>
      <w:r>
        <w:rPr/>
        <w:t>16º</w:t>
      </w:r>
      <w:r>
        <w:rPr>
          <w:spacing w:val="-30"/>
        </w:rPr>
        <w:t> </w:t>
      </w:r>
      <w:r>
        <w:rPr/>
        <w:t>dia de</w:t>
      </w:r>
      <w:r>
        <w:rPr>
          <w:spacing w:val="-21"/>
        </w:rPr>
        <w:t> </w:t>
      </w:r>
      <w:r>
        <w:rPr/>
        <w:t>cada</w:t>
      </w:r>
      <w:r>
        <w:rPr>
          <w:spacing w:val="-18"/>
        </w:rPr>
        <w:t> </w:t>
      </w:r>
      <w:r>
        <w:rPr/>
        <w:t>mês,</w:t>
      </w:r>
      <w:r>
        <w:rPr>
          <w:spacing w:val="-19"/>
        </w:rPr>
        <w:t> </w:t>
      </w:r>
      <w:r>
        <w:rPr/>
        <w:t>calculados</w:t>
      </w:r>
      <w:r>
        <w:rPr>
          <w:spacing w:val="-18"/>
        </w:rPr>
        <w:t> </w:t>
      </w:r>
      <w:r>
        <w:rPr/>
        <w:t>pro</w:t>
      </w:r>
      <w:r>
        <w:rPr>
          <w:spacing w:val="-17"/>
        </w:rPr>
        <w:t> </w:t>
      </w:r>
      <w:r>
        <w:rPr/>
        <w:t>rata</w:t>
      </w:r>
      <w:r>
        <w:rPr>
          <w:spacing w:val="-18"/>
        </w:rPr>
        <w:t> </w:t>
      </w:r>
      <w:r>
        <w:rPr/>
        <w:t>die.</w:t>
      </w:r>
    </w:p>
    <w:p>
      <w:pPr>
        <w:pStyle w:val="BodyText"/>
        <w:spacing w:line="242" w:lineRule="auto" w:before="118"/>
        <w:ind w:left="172" w:right="405"/>
        <w:jc w:val="both"/>
      </w:pPr>
      <w:r>
        <w:rPr/>
        <w:t>O</w:t>
      </w:r>
      <w:r>
        <w:rPr>
          <w:spacing w:val="-30"/>
        </w:rPr>
        <w:t> </w:t>
      </w:r>
      <w:r>
        <w:rPr/>
        <w:t>valor</w:t>
      </w:r>
      <w:r>
        <w:rPr>
          <w:spacing w:val="-30"/>
        </w:rPr>
        <w:t> </w:t>
      </w:r>
      <w:r>
        <w:rPr/>
        <w:t>total</w:t>
      </w:r>
      <w:r>
        <w:rPr>
          <w:spacing w:val="-28"/>
        </w:rPr>
        <w:t> </w:t>
      </w:r>
      <w:r>
        <w:rPr/>
        <w:t>deveria</w:t>
      </w:r>
      <w:r>
        <w:rPr>
          <w:spacing w:val="-29"/>
        </w:rPr>
        <w:t> </w:t>
      </w:r>
      <w:r>
        <w:rPr/>
        <w:t>ser</w:t>
      </w:r>
      <w:r>
        <w:rPr>
          <w:spacing w:val="-29"/>
        </w:rPr>
        <w:t> </w:t>
      </w:r>
      <w:r>
        <w:rPr/>
        <w:t>amortizado</w:t>
      </w:r>
      <w:r>
        <w:rPr>
          <w:spacing w:val="-28"/>
        </w:rPr>
        <w:t> </w:t>
      </w:r>
      <w:r>
        <w:rPr/>
        <w:t>em</w:t>
      </w:r>
      <w:r>
        <w:rPr>
          <w:spacing w:val="-29"/>
        </w:rPr>
        <w:t> </w:t>
      </w:r>
      <w:r>
        <w:rPr/>
        <w:t>18</w:t>
      </w:r>
      <w:r>
        <w:rPr>
          <w:spacing w:val="-29"/>
        </w:rPr>
        <w:t> </w:t>
      </w:r>
      <w:r>
        <w:rPr/>
        <w:t>parcelas</w:t>
      </w:r>
      <w:r>
        <w:rPr>
          <w:spacing w:val="-29"/>
        </w:rPr>
        <w:t> </w:t>
      </w:r>
      <w:r>
        <w:rPr/>
        <w:t>mensais</w:t>
      </w:r>
      <w:r>
        <w:rPr>
          <w:spacing w:val="-30"/>
        </w:rPr>
        <w:t> </w:t>
      </w:r>
      <w:r>
        <w:rPr/>
        <w:t>e</w:t>
      </w:r>
      <w:r>
        <w:rPr>
          <w:spacing w:val="-30"/>
        </w:rPr>
        <w:t> </w:t>
      </w:r>
      <w:r>
        <w:rPr/>
        <w:t>consecutivas,</w:t>
      </w:r>
      <w:r>
        <w:rPr>
          <w:spacing w:val="-29"/>
        </w:rPr>
        <w:t> </w:t>
      </w:r>
      <w:r>
        <w:rPr/>
        <w:t>com</w:t>
      </w:r>
      <w:r>
        <w:rPr>
          <w:spacing w:val="-30"/>
        </w:rPr>
        <w:t> </w:t>
      </w:r>
      <w:r>
        <w:rPr/>
        <w:t>início</w:t>
      </w:r>
      <w:r>
        <w:rPr>
          <w:spacing w:val="-30"/>
        </w:rPr>
        <w:t> </w:t>
      </w:r>
      <w:r>
        <w:rPr/>
        <w:t>em</w:t>
      </w:r>
      <w:r>
        <w:rPr>
          <w:spacing w:val="-30"/>
        </w:rPr>
        <w:t> </w:t>
      </w:r>
      <w:r>
        <w:rPr/>
        <w:t>30</w:t>
      </w:r>
      <w:r>
        <w:rPr>
          <w:spacing w:val="-25"/>
        </w:rPr>
        <w:t> </w:t>
      </w:r>
      <w:r>
        <w:rPr/>
        <w:t>de</w:t>
      </w:r>
      <w:r>
        <w:rPr>
          <w:spacing w:val="-30"/>
        </w:rPr>
        <w:t> </w:t>
      </w:r>
      <w:r>
        <w:rPr/>
        <w:t>novembro</w:t>
      </w:r>
      <w:r>
        <w:rPr>
          <w:spacing w:val="-30"/>
        </w:rPr>
        <w:t> </w:t>
      </w:r>
      <w:r>
        <w:rPr/>
        <w:t>de</w:t>
      </w:r>
      <w:r>
        <w:rPr>
          <w:spacing w:val="-29"/>
        </w:rPr>
        <w:t> </w:t>
      </w:r>
      <w:r>
        <w:rPr/>
        <w:t>2018 e</w:t>
      </w:r>
      <w:r>
        <w:rPr>
          <w:spacing w:val="-30"/>
        </w:rPr>
        <w:t> </w:t>
      </w:r>
      <w:r>
        <w:rPr/>
        <w:t>com</w:t>
      </w:r>
      <w:r>
        <w:rPr>
          <w:spacing w:val="-27"/>
        </w:rPr>
        <w:t> </w:t>
      </w:r>
      <w:r>
        <w:rPr/>
        <w:t>juros</w:t>
      </w:r>
      <w:r>
        <w:rPr>
          <w:spacing w:val="-28"/>
        </w:rPr>
        <w:t> </w:t>
      </w:r>
      <w:r>
        <w:rPr/>
        <w:t>remuneratórios</w:t>
      </w:r>
      <w:r>
        <w:rPr>
          <w:spacing w:val="-27"/>
        </w:rPr>
        <w:t> </w:t>
      </w:r>
      <w:r>
        <w:rPr/>
        <w:t>da</w:t>
      </w:r>
      <w:r>
        <w:rPr>
          <w:spacing w:val="-27"/>
        </w:rPr>
        <w:t> </w:t>
      </w:r>
      <w:r>
        <w:rPr/>
        <w:t>ordem</w:t>
      </w:r>
      <w:r>
        <w:rPr>
          <w:spacing w:val="-28"/>
        </w:rPr>
        <w:t> </w:t>
      </w:r>
      <w:r>
        <w:rPr/>
        <w:t>de</w:t>
      </w:r>
      <w:r>
        <w:rPr>
          <w:spacing w:val="-28"/>
        </w:rPr>
        <w:t> </w:t>
      </w:r>
      <w:r>
        <w:rPr/>
        <w:t>1%</w:t>
      </w:r>
      <w:r>
        <w:rPr>
          <w:spacing w:val="-28"/>
        </w:rPr>
        <w:t> </w:t>
      </w:r>
      <w:r>
        <w:rPr/>
        <w:t>ao</w:t>
      </w:r>
      <w:r>
        <w:rPr>
          <w:spacing w:val="-26"/>
        </w:rPr>
        <w:t> </w:t>
      </w:r>
      <w:r>
        <w:rPr/>
        <w:t>mês,</w:t>
      </w:r>
      <w:r>
        <w:rPr>
          <w:spacing w:val="-29"/>
        </w:rPr>
        <w:t> </w:t>
      </w:r>
      <w:r>
        <w:rPr/>
        <w:t>calculados</w:t>
      </w:r>
      <w:r>
        <w:rPr>
          <w:spacing w:val="-28"/>
        </w:rPr>
        <w:t> </w:t>
      </w:r>
      <w:r>
        <w:rPr/>
        <w:t>pro</w:t>
      </w:r>
      <w:r>
        <w:rPr>
          <w:spacing w:val="-26"/>
        </w:rPr>
        <w:t> </w:t>
      </w:r>
      <w:r>
        <w:rPr/>
        <w:t>rata</w:t>
      </w:r>
      <w:r>
        <w:rPr>
          <w:spacing w:val="-28"/>
        </w:rPr>
        <w:t> </w:t>
      </w:r>
      <w:r>
        <w:rPr/>
        <w:t>die,</w:t>
      </w:r>
      <w:r>
        <w:rPr>
          <w:spacing w:val="-29"/>
        </w:rPr>
        <w:t> </w:t>
      </w:r>
      <w:r>
        <w:rPr/>
        <w:t>a</w:t>
      </w:r>
      <w:r>
        <w:rPr>
          <w:spacing w:val="-28"/>
        </w:rPr>
        <w:t> </w:t>
      </w:r>
      <w:r>
        <w:rPr/>
        <w:t>partir</w:t>
      </w:r>
      <w:r>
        <w:rPr>
          <w:spacing w:val="-28"/>
        </w:rPr>
        <w:t> </w:t>
      </w:r>
      <w:r>
        <w:rPr/>
        <w:t>da</w:t>
      </w:r>
      <w:r>
        <w:rPr>
          <w:spacing w:val="-28"/>
        </w:rPr>
        <w:t> </w:t>
      </w:r>
      <w:r>
        <w:rPr/>
        <w:t>assinatura</w:t>
      </w:r>
      <w:r>
        <w:rPr>
          <w:spacing w:val="-28"/>
        </w:rPr>
        <w:t> </w:t>
      </w:r>
      <w:r>
        <w:rPr/>
        <w:t>do</w:t>
      </w:r>
      <w:r>
        <w:rPr>
          <w:spacing w:val="-27"/>
        </w:rPr>
        <w:t> </w:t>
      </w:r>
      <w:r>
        <w:rPr/>
        <w:t>contrato.</w:t>
      </w:r>
    </w:p>
    <w:p>
      <w:pPr>
        <w:pStyle w:val="BodyText"/>
        <w:spacing w:before="121"/>
        <w:ind w:left="172"/>
        <w:jc w:val="both"/>
      </w:pPr>
      <w:r>
        <w:rPr/>
        <w:t>Em 9 de julho de 2019, a Companhia liquidou o saldo devedor da operação por R$ 79.113.</w:t>
      </w:r>
    </w:p>
    <w:p>
      <w:pPr>
        <w:pStyle w:val="BodyText"/>
        <w:spacing w:before="6"/>
      </w:pPr>
    </w:p>
    <w:p>
      <w:pPr>
        <w:pStyle w:val="Heading3"/>
        <w:numPr>
          <w:ilvl w:val="0"/>
          <w:numId w:val="6"/>
        </w:numPr>
        <w:tabs>
          <w:tab w:pos="953" w:val="left" w:leader="none"/>
          <w:tab w:pos="954" w:val="left" w:leader="none"/>
        </w:tabs>
        <w:spacing w:line="240" w:lineRule="auto" w:before="1" w:after="0"/>
        <w:ind w:left="953" w:right="0" w:hanging="782"/>
        <w:jc w:val="left"/>
      </w:pPr>
      <w:r>
        <w:rPr/>
        <w:t>OBRIGAÇÕES</w:t>
      </w:r>
      <w:r>
        <w:rPr>
          <w:spacing w:val="-1"/>
        </w:rPr>
        <w:t> </w:t>
      </w:r>
      <w:r>
        <w:rPr/>
        <w:t>TRIBUTÁRIAS</w:t>
      </w:r>
    </w:p>
    <w:p>
      <w:pPr>
        <w:pStyle w:val="ListParagraph"/>
        <w:numPr>
          <w:ilvl w:val="1"/>
          <w:numId w:val="6"/>
        </w:numPr>
        <w:tabs>
          <w:tab w:pos="1025" w:val="left" w:leader="none"/>
          <w:tab w:pos="1026" w:val="left" w:leader="none"/>
        </w:tabs>
        <w:spacing w:line="240" w:lineRule="auto" w:before="241" w:after="0"/>
        <w:ind w:left="1025" w:right="0" w:hanging="854"/>
        <w:jc w:val="left"/>
        <w:rPr>
          <w:rFonts w:ascii="Caladea" w:hAnsi="Caladea"/>
          <w:b/>
          <w:sz w:val="18"/>
        </w:rPr>
      </w:pPr>
      <w:r>
        <w:rPr>
          <w:rFonts w:ascii="Caladea" w:hAnsi="Caladea"/>
          <w:b/>
          <w:sz w:val="22"/>
        </w:rPr>
        <w:t>R</w:t>
      </w:r>
      <w:r>
        <w:rPr>
          <w:rFonts w:ascii="Caladea" w:hAnsi="Caladea"/>
          <w:b/>
          <w:sz w:val="18"/>
        </w:rPr>
        <w:t>ESUMO DAS </w:t>
      </w:r>
      <w:r>
        <w:rPr>
          <w:rFonts w:ascii="Caladea" w:hAnsi="Caladea"/>
          <w:b/>
          <w:sz w:val="22"/>
        </w:rPr>
        <w:t>O</w:t>
      </w:r>
      <w:r>
        <w:rPr>
          <w:rFonts w:ascii="Caladea" w:hAnsi="Caladea"/>
          <w:b/>
          <w:sz w:val="18"/>
        </w:rPr>
        <w:t>BRIGAÇÕES</w:t>
      </w:r>
      <w:r>
        <w:rPr>
          <w:rFonts w:ascii="Caladea" w:hAnsi="Caladea"/>
          <w:b/>
          <w:spacing w:val="-1"/>
          <w:sz w:val="18"/>
        </w:rPr>
        <w:t> </w:t>
      </w:r>
      <w:r>
        <w:rPr>
          <w:rFonts w:ascii="Caladea" w:hAnsi="Caladea"/>
          <w:b/>
          <w:sz w:val="22"/>
        </w:rPr>
        <w:t>T</w:t>
      </w:r>
      <w:r>
        <w:rPr>
          <w:rFonts w:ascii="Caladea" w:hAnsi="Caladea"/>
          <w:b/>
          <w:sz w:val="18"/>
        </w:rPr>
        <w:t>RIBUTÁRIAS</w:t>
      </w:r>
    </w:p>
    <w:p>
      <w:pPr>
        <w:pStyle w:val="BodyText"/>
        <w:spacing w:before="9"/>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38"/>
        <w:gridCol w:w="1173"/>
        <w:gridCol w:w="1175"/>
        <w:gridCol w:w="1176"/>
        <w:gridCol w:w="1175"/>
      </w:tblGrid>
      <w:tr>
        <w:trPr>
          <w:trHeight w:val="239" w:hRule="atLeast"/>
        </w:trPr>
        <w:tc>
          <w:tcPr>
            <w:tcW w:w="5238" w:type="dxa"/>
            <w:vMerge w:val="restart"/>
            <w:shd w:val="clear" w:color="auto" w:fill="D7D7D7"/>
          </w:tcPr>
          <w:p>
            <w:pPr>
              <w:pStyle w:val="TableParagraph"/>
              <w:rPr>
                <w:rFonts w:ascii="Times New Roman"/>
                <w:sz w:val="18"/>
              </w:rPr>
            </w:pPr>
          </w:p>
        </w:tc>
        <w:tc>
          <w:tcPr>
            <w:tcW w:w="2348" w:type="dxa"/>
            <w:gridSpan w:val="2"/>
          </w:tcPr>
          <w:p>
            <w:pPr>
              <w:pStyle w:val="TableParagraph"/>
              <w:spacing w:before="37"/>
              <w:ind w:left="744"/>
              <w:rPr>
                <w:rFonts w:ascii="Caladea"/>
                <w:b/>
                <w:sz w:val="14"/>
              </w:rPr>
            </w:pPr>
            <w:r>
              <w:rPr>
                <w:rFonts w:ascii="Caladea"/>
                <w:b/>
                <w:sz w:val="14"/>
              </w:rPr>
              <w:t>Controladora</w:t>
            </w:r>
          </w:p>
        </w:tc>
        <w:tc>
          <w:tcPr>
            <w:tcW w:w="2351" w:type="dxa"/>
            <w:gridSpan w:val="2"/>
          </w:tcPr>
          <w:p>
            <w:pPr>
              <w:pStyle w:val="TableParagraph"/>
              <w:spacing w:before="37"/>
              <w:ind w:left="779"/>
              <w:rPr>
                <w:rFonts w:ascii="Caladea"/>
                <w:b/>
                <w:sz w:val="14"/>
              </w:rPr>
            </w:pPr>
            <w:r>
              <w:rPr>
                <w:rFonts w:ascii="Caladea"/>
                <w:b/>
                <w:sz w:val="14"/>
              </w:rPr>
              <w:t>Consolidado</w:t>
            </w:r>
          </w:p>
        </w:tc>
      </w:tr>
      <w:tr>
        <w:trPr>
          <w:trHeight w:val="239" w:hRule="atLeast"/>
        </w:trPr>
        <w:tc>
          <w:tcPr>
            <w:tcW w:w="5238" w:type="dxa"/>
            <w:vMerge/>
            <w:tcBorders>
              <w:top w:val="nil"/>
            </w:tcBorders>
            <w:shd w:val="clear" w:color="auto" w:fill="D7D7D7"/>
          </w:tcPr>
          <w:p>
            <w:pPr>
              <w:rPr>
                <w:sz w:val="2"/>
                <w:szCs w:val="2"/>
              </w:rPr>
            </w:pPr>
          </w:p>
        </w:tc>
        <w:tc>
          <w:tcPr>
            <w:tcW w:w="1173" w:type="dxa"/>
          </w:tcPr>
          <w:p>
            <w:pPr>
              <w:pStyle w:val="TableParagraph"/>
              <w:spacing w:before="37"/>
              <w:ind w:left="184"/>
              <w:rPr>
                <w:rFonts w:ascii="Caladea"/>
                <w:b/>
                <w:sz w:val="14"/>
              </w:rPr>
            </w:pPr>
            <w:r>
              <w:rPr>
                <w:rFonts w:ascii="Caladea"/>
                <w:b/>
                <w:sz w:val="14"/>
              </w:rPr>
              <w:t>31/12/2019</w:t>
            </w:r>
          </w:p>
        </w:tc>
        <w:tc>
          <w:tcPr>
            <w:tcW w:w="1175" w:type="dxa"/>
          </w:tcPr>
          <w:p>
            <w:pPr>
              <w:pStyle w:val="TableParagraph"/>
              <w:spacing w:before="37"/>
              <w:ind w:left="187"/>
              <w:rPr>
                <w:rFonts w:ascii="Caladea"/>
                <w:b/>
                <w:sz w:val="14"/>
              </w:rPr>
            </w:pPr>
            <w:r>
              <w:rPr>
                <w:rFonts w:ascii="Caladea"/>
                <w:b/>
                <w:sz w:val="14"/>
              </w:rPr>
              <w:t>31/12/2018</w:t>
            </w:r>
          </w:p>
        </w:tc>
        <w:tc>
          <w:tcPr>
            <w:tcW w:w="1176" w:type="dxa"/>
          </w:tcPr>
          <w:p>
            <w:pPr>
              <w:pStyle w:val="TableParagraph"/>
              <w:spacing w:before="37"/>
              <w:ind w:left="189"/>
              <w:rPr>
                <w:rFonts w:ascii="Caladea"/>
                <w:b/>
                <w:sz w:val="14"/>
              </w:rPr>
            </w:pPr>
            <w:r>
              <w:rPr>
                <w:rFonts w:ascii="Caladea"/>
                <w:b/>
                <w:sz w:val="14"/>
              </w:rPr>
              <w:t>31/12/2019</w:t>
            </w:r>
          </w:p>
        </w:tc>
        <w:tc>
          <w:tcPr>
            <w:tcW w:w="1175" w:type="dxa"/>
          </w:tcPr>
          <w:p>
            <w:pPr>
              <w:pStyle w:val="TableParagraph"/>
              <w:spacing w:before="37"/>
              <w:ind w:left="187"/>
              <w:rPr>
                <w:rFonts w:ascii="Caladea"/>
                <w:b/>
                <w:sz w:val="14"/>
              </w:rPr>
            </w:pPr>
            <w:r>
              <w:rPr>
                <w:rFonts w:ascii="Caladea"/>
                <w:b/>
                <w:sz w:val="14"/>
              </w:rPr>
              <w:t>31/12/2018</w:t>
            </w:r>
          </w:p>
        </w:tc>
      </w:tr>
      <w:tr>
        <w:trPr>
          <w:trHeight w:val="239" w:hRule="atLeast"/>
        </w:trPr>
        <w:tc>
          <w:tcPr>
            <w:tcW w:w="5238" w:type="dxa"/>
          </w:tcPr>
          <w:p>
            <w:pPr>
              <w:pStyle w:val="TableParagraph"/>
              <w:spacing w:before="38"/>
              <w:ind w:left="197"/>
              <w:rPr>
                <w:sz w:val="14"/>
              </w:rPr>
            </w:pPr>
            <w:r>
              <w:rPr>
                <w:sz w:val="14"/>
              </w:rPr>
              <w:t>Imposto de Renda Pessoa Jurídica e Contribuição Social Sobre o Lucro Líquido</w:t>
            </w:r>
          </w:p>
        </w:tc>
        <w:tc>
          <w:tcPr>
            <w:tcW w:w="1173" w:type="dxa"/>
          </w:tcPr>
          <w:p>
            <w:pPr>
              <w:pStyle w:val="TableParagraph"/>
              <w:spacing w:before="38"/>
              <w:ind w:right="56"/>
              <w:jc w:val="right"/>
              <w:rPr>
                <w:sz w:val="14"/>
              </w:rPr>
            </w:pPr>
            <w:r>
              <w:rPr>
                <w:w w:val="95"/>
                <w:sz w:val="14"/>
              </w:rPr>
              <w:t>99.904</w:t>
            </w:r>
          </w:p>
        </w:tc>
        <w:tc>
          <w:tcPr>
            <w:tcW w:w="1175" w:type="dxa"/>
          </w:tcPr>
          <w:p>
            <w:pPr>
              <w:pStyle w:val="TableParagraph"/>
              <w:spacing w:before="38"/>
              <w:ind w:right="53"/>
              <w:jc w:val="right"/>
              <w:rPr>
                <w:sz w:val="14"/>
              </w:rPr>
            </w:pPr>
            <w:r>
              <w:rPr>
                <w:w w:val="95"/>
                <w:sz w:val="14"/>
              </w:rPr>
              <w:t>99.462</w:t>
            </w:r>
          </w:p>
        </w:tc>
        <w:tc>
          <w:tcPr>
            <w:tcW w:w="1176" w:type="dxa"/>
          </w:tcPr>
          <w:p>
            <w:pPr>
              <w:pStyle w:val="TableParagraph"/>
              <w:spacing w:before="38"/>
              <w:ind w:right="55"/>
              <w:jc w:val="right"/>
              <w:rPr>
                <w:sz w:val="14"/>
              </w:rPr>
            </w:pPr>
            <w:r>
              <w:rPr>
                <w:w w:val="95"/>
                <w:sz w:val="14"/>
              </w:rPr>
              <w:t>170.555</w:t>
            </w:r>
          </w:p>
        </w:tc>
        <w:tc>
          <w:tcPr>
            <w:tcW w:w="1175" w:type="dxa"/>
          </w:tcPr>
          <w:p>
            <w:pPr>
              <w:pStyle w:val="TableParagraph"/>
              <w:spacing w:before="38"/>
              <w:ind w:right="54"/>
              <w:jc w:val="right"/>
              <w:rPr>
                <w:sz w:val="14"/>
              </w:rPr>
            </w:pPr>
            <w:r>
              <w:rPr>
                <w:sz w:val="14"/>
              </w:rPr>
              <w:t>281.184</w:t>
            </w:r>
          </w:p>
        </w:tc>
      </w:tr>
      <w:tr>
        <w:trPr>
          <w:trHeight w:val="239" w:hRule="atLeast"/>
        </w:trPr>
        <w:tc>
          <w:tcPr>
            <w:tcW w:w="5238" w:type="dxa"/>
          </w:tcPr>
          <w:p>
            <w:pPr>
              <w:pStyle w:val="TableParagraph"/>
              <w:spacing w:before="38"/>
              <w:ind w:left="197"/>
              <w:rPr>
                <w:sz w:val="14"/>
              </w:rPr>
            </w:pPr>
            <w:r>
              <w:rPr>
                <w:sz w:val="14"/>
              </w:rPr>
              <w:t>Outros Tributos</w:t>
            </w:r>
          </w:p>
        </w:tc>
        <w:tc>
          <w:tcPr>
            <w:tcW w:w="1173" w:type="dxa"/>
          </w:tcPr>
          <w:p>
            <w:pPr>
              <w:pStyle w:val="TableParagraph"/>
              <w:spacing w:before="38"/>
              <w:ind w:right="56"/>
              <w:jc w:val="right"/>
              <w:rPr>
                <w:sz w:val="14"/>
              </w:rPr>
            </w:pPr>
            <w:r>
              <w:rPr>
                <w:w w:val="95"/>
                <w:sz w:val="14"/>
              </w:rPr>
              <w:t>2.435</w:t>
            </w:r>
          </w:p>
        </w:tc>
        <w:tc>
          <w:tcPr>
            <w:tcW w:w="1175" w:type="dxa"/>
          </w:tcPr>
          <w:p>
            <w:pPr>
              <w:pStyle w:val="TableParagraph"/>
              <w:spacing w:before="38"/>
              <w:ind w:right="53"/>
              <w:jc w:val="right"/>
              <w:rPr>
                <w:sz w:val="14"/>
              </w:rPr>
            </w:pPr>
            <w:r>
              <w:rPr>
                <w:w w:val="95"/>
                <w:sz w:val="14"/>
              </w:rPr>
              <w:t>3.025</w:t>
            </w:r>
          </w:p>
        </w:tc>
        <w:tc>
          <w:tcPr>
            <w:tcW w:w="1176" w:type="dxa"/>
          </w:tcPr>
          <w:p>
            <w:pPr>
              <w:pStyle w:val="TableParagraph"/>
              <w:spacing w:before="38"/>
              <w:ind w:right="55"/>
              <w:jc w:val="right"/>
              <w:rPr>
                <w:sz w:val="14"/>
              </w:rPr>
            </w:pPr>
            <w:r>
              <w:rPr>
                <w:w w:val="95"/>
                <w:sz w:val="14"/>
              </w:rPr>
              <w:t>676.792</w:t>
            </w:r>
          </w:p>
        </w:tc>
        <w:tc>
          <w:tcPr>
            <w:tcW w:w="1175" w:type="dxa"/>
          </w:tcPr>
          <w:p>
            <w:pPr>
              <w:pStyle w:val="TableParagraph"/>
              <w:spacing w:before="38"/>
              <w:ind w:right="54"/>
              <w:jc w:val="right"/>
              <w:rPr>
                <w:sz w:val="14"/>
              </w:rPr>
            </w:pPr>
            <w:r>
              <w:rPr>
                <w:w w:val="95"/>
                <w:sz w:val="14"/>
              </w:rPr>
              <w:t>262.142</w:t>
            </w:r>
          </w:p>
        </w:tc>
      </w:tr>
      <w:tr>
        <w:trPr>
          <w:trHeight w:val="239" w:hRule="atLeast"/>
        </w:trPr>
        <w:tc>
          <w:tcPr>
            <w:tcW w:w="5238" w:type="dxa"/>
          </w:tcPr>
          <w:p>
            <w:pPr>
              <w:pStyle w:val="TableParagraph"/>
              <w:spacing w:before="37"/>
              <w:ind w:left="103"/>
              <w:rPr>
                <w:rFonts w:ascii="Caladea"/>
                <w:b/>
                <w:sz w:val="14"/>
              </w:rPr>
            </w:pPr>
            <w:r>
              <w:rPr>
                <w:rFonts w:ascii="Caladea"/>
                <w:b/>
                <w:sz w:val="14"/>
              </w:rPr>
              <w:t>Total</w:t>
            </w:r>
          </w:p>
        </w:tc>
        <w:tc>
          <w:tcPr>
            <w:tcW w:w="1173" w:type="dxa"/>
          </w:tcPr>
          <w:p>
            <w:pPr>
              <w:pStyle w:val="TableParagraph"/>
              <w:spacing w:before="37"/>
              <w:ind w:right="56"/>
              <w:jc w:val="right"/>
              <w:rPr>
                <w:rFonts w:ascii="Caladea"/>
                <w:b/>
                <w:sz w:val="14"/>
              </w:rPr>
            </w:pPr>
            <w:r>
              <w:rPr>
                <w:rFonts w:ascii="Caladea"/>
                <w:b/>
                <w:w w:val="95"/>
                <w:sz w:val="14"/>
              </w:rPr>
              <w:t>102.339</w:t>
            </w:r>
          </w:p>
        </w:tc>
        <w:tc>
          <w:tcPr>
            <w:tcW w:w="1175" w:type="dxa"/>
          </w:tcPr>
          <w:p>
            <w:pPr>
              <w:pStyle w:val="TableParagraph"/>
              <w:spacing w:before="37"/>
              <w:ind w:right="53"/>
              <w:jc w:val="right"/>
              <w:rPr>
                <w:rFonts w:ascii="Caladea"/>
                <w:b/>
                <w:sz w:val="14"/>
              </w:rPr>
            </w:pPr>
            <w:r>
              <w:rPr>
                <w:rFonts w:ascii="Caladea"/>
                <w:b/>
                <w:w w:val="95"/>
                <w:sz w:val="14"/>
              </w:rPr>
              <w:t>102.487</w:t>
            </w:r>
          </w:p>
        </w:tc>
        <w:tc>
          <w:tcPr>
            <w:tcW w:w="1176" w:type="dxa"/>
          </w:tcPr>
          <w:p>
            <w:pPr>
              <w:pStyle w:val="TableParagraph"/>
              <w:spacing w:before="37"/>
              <w:ind w:right="55"/>
              <w:jc w:val="right"/>
              <w:rPr>
                <w:rFonts w:ascii="Caladea"/>
                <w:b/>
                <w:sz w:val="14"/>
              </w:rPr>
            </w:pPr>
            <w:r>
              <w:rPr>
                <w:rFonts w:ascii="Caladea"/>
                <w:b/>
                <w:w w:val="95"/>
                <w:sz w:val="14"/>
              </w:rPr>
              <w:t>847.347</w:t>
            </w:r>
          </w:p>
        </w:tc>
        <w:tc>
          <w:tcPr>
            <w:tcW w:w="1175" w:type="dxa"/>
          </w:tcPr>
          <w:p>
            <w:pPr>
              <w:pStyle w:val="TableParagraph"/>
              <w:spacing w:before="37"/>
              <w:ind w:right="54"/>
              <w:jc w:val="right"/>
              <w:rPr>
                <w:rFonts w:ascii="Caladea"/>
                <w:b/>
                <w:sz w:val="14"/>
              </w:rPr>
            </w:pPr>
            <w:r>
              <w:rPr>
                <w:rFonts w:ascii="Caladea"/>
                <w:b/>
                <w:w w:val="95"/>
                <w:sz w:val="14"/>
              </w:rPr>
              <w:t>543.326</w:t>
            </w:r>
          </w:p>
        </w:tc>
      </w:tr>
      <w:tr>
        <w:trPr>
          <w:trHeight w:val="241" w:hRule="atLeast"/>
        </w:trPr>
        <w:tc>
          <w:tcPr>
            <w:tcW w:w="5238" w:type="dxa"/>
          </w:tcPr>
          <w:p>
            <w:pPr>
              <w:pStyle w:val="TableParagraph"/>
              <w:spacing w:before="37"/>
              <w:ind w:left="103"/>
              <w:rPr>
                <w:rFonts w:ascii="Caladea"/>
                <w:b/>
                <w:sz w:val="14"/>
              </w:rPr>
            </w:pPr>
            <w:r>
              <w:rPr>
                <w:rFonts w:ascii="Caladea"/>
                <w:b/>
                <w:sz w:val="14"/>
              </w:rPr>
              <w:t>Circulante</w:t>
            </w:r>
          </w:p>
        </w:tc>
        <w:tc>
          <w:tcPr>
            <w:tcW w:w="1173" w:type="dxa"/>
          </w:tcPr>
          <w:p>
            <w:pPr>
              <w:pStyle w:val="TableParagraph"/>
              <w:spacing w:before="37"/>
              <w:ind w:right="56"/>
              <w:jc w:val="right"/>
              <w:rPr>
                <w:rFonts w:ascii="Caladea"/>
                <w:b/>
                <w:sz w:val="14"/>
              </w:rPr>
            </w:pPr>
            <w:r>
              <w:rPr>
                <w:rFonts w:ascii="Caladea"/>
                <w:b/>
                <w:w w:val="95"/>
                <w:sz w:val="14"/>
              </w:rPr>
              <w:t>5.557</w:t>
            </w:r>
          </w:p>
        </w:tc>
        <w:tc>
          <w:tcPr>
            <w:tcW w:w="1175" w:type="dxa"/>
          </w:tcPr>
          <w:p>
            <w:pPr>
              <w:pStyle w:val="TableParagraph"/>
              <w:spacing w:before="37"/>
              <w:ind w:right="53"/>
              <w:jc w:val="right"/>
              <w:rPr>
                <w:rFonts w:ascii="Caladea"/>
                <w:b/>
                <w:sz w:val="14"/>
              </w:rPr>
            </w:pPr>
            <w:r>
              <w:rPr>
                <w:rFonts w:ascii="Caladea"/>
                <w:b/>
                <w:w w:val="95"/>
                <w:sz w:val="14"/>
              </w:rPr>
              <w:t>5.706</w:t>
            </w:r>
          </w:p>
        </w:tc>
        <w:tc>
          <w:tcPr>
            <w:tcW w:w="1176" w:type="dxa"/>
          </w:tcPr>
          <w:p>
            <w:pPr>
              <w:pStyle w:val="TableParagraph"/>
              <w:spacing w:before="37"/>
              <w:ind w:right="55"/>
              <w:jc w:val="right"/>
              <w:rPr>
                <w:rFonts w:ascii="Caladea"/>
                <w:b/>
                <w:sz w:val="14"/>
              </w:rPr>
            </w:pPr>
            <w:r>
              <w:rPr>
                <w:rFonts w:ascii="Caladea"/>
                <w:b/>
                <w:w w:val="95"/>
                <w:sz w:val="14"/>
              </w:rPr>
              <w:t>487.606</w:t>
            </w:r>
          </w:p>
        </w:tc>
        <w:tc>
          <w:tcPr>
            <w:tcW w:w="1175" w:type="dxa"/>
          </w:tcPr>
          <w:p>
            <w:pPr>
              <w:pStyle w:val="TableParagraph"/>
              <w:spacing w:before="37"/>
              <w:ind w:right="54"/>
              <w:jc w:val="right"/>
              <w:rPr>
                <w:rFonts w:ascii="Caladea"/>
                <w:b/>
                <w:sz w:val="14"/>
              </w:rPr>
            </w:pPr>
            <w:r>
              <w:rPr>
                <w:rFonts w:ascii="Caladea"/>
                <w:b/>
                <w:w w:val="95"/>
                <w:sz w:val="14"/>
              </w:rPr>
              <w:t>220.970</w:t>
            </w:r>
          </w:p>
        </w:tc>
      </w:tr>
      <w:tr>
        <w:trPr>
          <w:trHeight w:val="239" w:hRule="atLeast"/>
        </w:trPr>
        <w:tc>
          <w:tcPr>
            <w:tcW w:w="5238" w:type="dxa"/>
          </w:tcPr>
          <w:p>
            <w:pPr>
              <w:pStyle w:val="TableParagraph"/>
              <w:spacing w:before="37"/>
              <w:ind w:left="103"/>
              <w:rPr>
                <w:rFonts w:ascii="Caladea" w:hAnsi="Caladea"/>
                <w:b/>
                <w:sz w:val="14"/>
              </w:rPr>
            </w:pPr>
            <w:r>
              <w:rPr>
                <w:rFonts w:ascii="Caladea" w:hAnsi="Caladea"/>
                <w:b/>
                <w:sz w:val="14"/>
              </w:rPr>
              <w:t>Não Circulante</w:t>
            </w:r>
          </w:p>
        </w:tc>
        <w:tc>
          <w:tcPr>
            <w:tcW w:w="1173" w:type="dxa"/>
          </w:tcPr>
          <w:p>
            <w:pPr>
              <w:pStyle w:val="TableParagraph"/>
              <w:spacing w:before="37"/>
              <w:ind w:right="56"/>
              <w:jc w:val="right"/>
              <w:rPr>
                <w:rFonts w:ascii="Caladea"/>
                <w:b/>
                <w:sz w:val="14"/>
              </w:rPr>
            </w:pPr>
            <w:r>
              <w:rPr>
                <w:rFonts w:ascii="Caladea"/>
                <w:b/>
                <w:sz w:val="14"/>
              </w:rPr>
              <w:t>96.782</w:t>
            </w:r>
          </w:p>
        </w:tc>
        <w:tc>
          <w:tcPr>
            <w:tcW w:w="1175" w:type="dxa"/>
          </w:tcPr>
          <w:p>
            <w:pPr>
              <w:pStyle w:val="TableParagraph"/>
              <w:spacing w:before="37"/>
              <w:ind w:right="53"/>
              <w:jc w:val="right"/>
              <w:rPr>
                <w:rFonts w:ascii="Caladea"/>
                <w:b/>
                <w:sz w:val="14"/>
              </w:rPr>
            </w:pPr>
            <w:r>
              <w:rPr>
                <w:rFonts w:ascii="Caladea"/>
                <w:b/>
                <w:sz w:val="14"/>
              </w:rPr>
              <w:t>96.781</w:t>
            </w:r>
          </w:p>
        </w:tc>
        <w:tc>
          <w:tcPr>
            <w:tcW w:w="1176" w:type="dxa"/>
          </w:tcPr>
          <w:p>
            <w:pPr>
              <w:pStyle w:val="TableParagraph"/>
              <w:spacing w:before="37"/>
              <w:ind w:right="55"/>
              <w:jc w:val="right"/>
              <w:rPr>
                <w:rFonts w:ascii="Caladea"/>
                <w:b/>
                <w:sz w:val="14"/>
              </w:rPr>
            </w:pPr>
            <w:r>
              <w:rPr>
                <w:rFonts w:ascii="Caladea"/>
                <w:b/>
                <w:w w:val="95"/>
                <w:sz w:val="14"/>
              </w:rPr>
              <w:t>359.741</w:t>
            </w:r>
          </w:p>
        </w:tc>
        <w:tc>
          <w:tcPr>
            <w:tcW w:w="1175" w:type="dxa"/>
          </w:tcPr>
          <w:p>
            <w:pPr>
              <w:pStyle w:val="TableParagraph"/>
              <w:spacing w:before="37"/>
              <w:ind w:right="54"/>
              <w:jc w:val="right"/>
              <w:rPr>
                <w:rFonts w:ascii="Caladea"/>
                <w:b/>
                <w:sz w:val="14"/>
              </w:rPr>
            </w:pPr>
            <w:r>
              <w:rPr>
                <w:rFonts w:ascii="Caladea"/>
                <w:b/>
                <w:w w:val="95"/>
                <w:sz w:val="14"/>
              </w:rPr>
              <w:t>322.356</w:t>
            </w:r>
          </w:p>
        </w:tc>
      </w:tr>
    </w:tbl>
    <w:p>
      <w:pPr>
        <w:pStyle w:val="BodyText"/>
        <w:spacing w:before="7"/>
        <w:rPr>
          <w:rFonts w:ascii="Caladea"/>
          <w:b/>
        </w:rPr>
      </w:pPr>
    </w:p>
    <w:p>
      <w:pPr>
        <w:pStyle w:val="Heading5"/>
        <w:numPr>
          <w:ilvl w:val="2"/>
          <w:numId w:val="25"/>
        </w:numPr>
        <w:tabs>
          <w:tab w:pos="1026" w:val="left" w:leader="none"/>
        </w:tabs>
        <w:spacing w:line="240" w:lineRule="auto" w:before="0" w:after="0"/>
        <w:ind w:left="1025" w:right="0" w:hanging="854"/>
        <w:jc w:val="left"/>
      </w:pPr>
      <w:r>
        <w:rPr/>
        <w:t>Imposto de renda pessoa jurídica e contribuição social sobre o lucro</w:t>
      </w:r>
      <w:r>
        <w:rPr>
          <w:spacing w:val="-13"/>
        </w:rPr>
        <w:t> </w:t>
      </w:r>
      <w:r>
        <w:rPr/>
        <w:t>líquido</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53"/>
        <w:gridCol w:w="1371"/>
        <w:gridCol w:w="1368"/>
        <w:gridCol w:w="1369"/>
        <w:gridCol w:w="1371"/>
      </w:tblGrid>
      <w:tr>
        <w:trPr>
          <w:trHeight w:val="251" w:hRule="atLeast"/>
        </w:trPr>
        <w:tc>
          <w:tcPr>
            <w:tcW w:w="4453" w:type="dxa"/>
            <w:vMerge w:val="restart"/>
            <w:shd w:val="clear" w:color="auto" w:fill="D9D9D9"/>
          </w:tcPr>
          <w:p>
            <w:pPr>
              <w:pStyle w:val="TableParagraph"/>
              <w:rPr>
                <w:rFonts w:ascii="Times New Roman"/>
                <w:sz w:val="18"/>
              </w:rPr>
            </w:pPr>
          </w:p>
        </w:tc>
        <w:tc>
          <w:tcPr>
            <w:tcW w:w="2739" w:type="dxa"/>
            <w:gridSpan w:val="2"/>
          </w:tcPr>
          <w:p>
            <w:pPr>
              <w:pStyle w:val="TableParagraph"/>
              <w:spacing w:before="42"/>
              <w:ind w:left="917" w:right="911"/>
              <w:jc w:val="center"/>
              <w:rPr>
                <w:rFonts w:ascii="Caladea"/>
                <w:b/>
                <w:sz w:val="14"/>
              </w:rPr>
            </w:pPr>
            <w:r>
              <w:rPr>
                <w:rFonts w:ascii="Caladea"/>
                <w:b/>
                <w:sz w:val="14"/>
              </w:rPr>
              <w:t>Controladora</w:t>
            </w:r>
          </w:p>
        </w:tc>
        <w:tc>
          <w:tcPr>
            <w:tcW w:w="2740" w:type="dxa"/>
            <w:gridSpan w:val="2"/>
          </w:tcPr>
          <w:p>
            <w:pPr>
              <w:pStyle w:val="TableParagraph"/>
              <w:spacing w:before="42"/>
              <w:ind w:left="950" w:right="942"/>
              <w:jc w:val="center"/>
              <w:rPr>
                <w:rFonts w:ascii="Caladea"/>
                <w:b/>
                <w:sz w:val="14"/>
              </w:rPr>
            </w:pPr>
            <w:r>
              <w:rPr>
                <w:rFonts w:ascii="Caladea"/>
                <w:b/>
                <w:sz w:val="14"/>
              </w:rPr>
              <w:t>Consolidado</w:t>
            </w:r>
          </w:p>
        </w:tc>
      </w:tr>
      <w:tr>
        <w:trPr>
          <w:trHeight w:val="253" w:hRule="atLeast"/>
        </w:trPr>
        <w:tc>
          <w:tcPr>
            <w:tcW w:w="4453" w:type="dxa"/>
            <w:vMerge/>
            <w:tcBorders>
              <w:top w:val="nil"/>
            </w:tcBorders>
            <w:shd w:val="clear" w:color="auto" w:fill="D9D9D9"/>
          </w:tcPr>
          <w:p>
            <w:pPr>
              <w:rPr>
                <w:sz w:val="2"/>
                <w:szCs w:val="2"/>
              </w:rPr>
            </w:pPr>
          </w:p>
        </w:tc>
        <w:tc>
          <w:tcPr>
            <w:tcW w:w="1371" w:type="dxa"/>
          </w:tcPr>
          <w:p>
            <w:pPr>
              <w:pStyle w:val="TableParagraph"/>
              <w:spacing w:before="44"/>
              <w:ind w:left="282"/>
              <w:rPr>
                <w:rFonts w:ascii="Caladea"/>
                <w:b/>
                <w:sz w:val="14"/>
              </w:rPr>
            </w:pPr>
            <w:r>
              <w:rPr>
                <w:rFonts w:ascii="Caladea"/>
                <w:b/>
                <w:sz w:val="14"/>
              </w:rPr>
              <w:t>31/12/2019</w:t>
            </w:r>
          </w:p>
        </w:tc>
        <w:tc>
          <w:tcPr>
            <w:tcW w:w="1368" w:type="dxa"/>
          </w:tcPr>
          <w:p>
            <w:pPr>
              <w:pStyle w:val="TableParagraph"/>
              <w:spacing w:before="44"/>
              <w:ind w:left="280"/>
              <w:rPr>
                <w:rFonts w:ascii="Caladea"/>
                <w:b/>
                <w:sz w:val="14"/>
              </w:rPr>
            </w:pPr>
            <w:r>
              <w:rPr>
                <w:rFonts w:ascii="Caladea"/>
                <w:b/>
                <w:sz w:val="14"/>
              </w:rPr>
              <w:t>31/12/2018</w:t>
            </w:r>
          </w:p>
        </w:tc>
        <w:tc>
          <w:tcPr>
            <w:tcW w:w="1369" w:type="dxa"/>
          </w:tcPr>
          <w:p>
            <w:pPr>
              <w:pStyle w:val="TableParagraph"/>
              <w:spacing w:before="44"/>
              <w:ind w:left="282"/>
              <w:rPr>
                <w:rFonts w:ascii="Caladea"/>
                <w:b/>
                <w:sz w:val="14"/>
              </w:rPr>
            </w:pPr>
            <w:r>
              <w:rPr>
                <w:rFonts w:ascii="Caladea"/>
                <w:b/>
                <w:sz w:val="14"/>
              </w:rPr>
              <w:t>31/12/2019</w:t>
            </w:r>
          </w:p>
        </w:tc>
        <w:tc>
          <w:tcPr>
            <w:tcW w:w="1371" w:type="dxa"/>
          </w:tcPr>
          <w:p>
            <w:pPr>
              <w:pStyle w:val="TableParagraph"/>
              <w:spacing w:before="44"/>
              <w:ind w:left="282"/>
              <w:rPr>
                <w:rFonts w:ascii="Caladea"/>
                <w:b/>
                <w:sz w:val="14"/>
              </w:rPr>
            </w:pPr>
            <w:r>
              <w:rPr>
                <w:rFonts w:ascii="Caladea"/>
                <w:b/>
                <w:sz w:val="14"/>
              </w:rPr>
              <w:t>31/12/2018</w:t>
            </w:r>
          </w:p>
        </w:tc>
      </w:tr>
      <w:tr>
        <w:trPr>
          <w:trHeight w:val="251" w:hRule="atLeast"/>
        </w:trPr>
        <w:tc>
          <w:tcPr>
            <w:tcW w:w="4453" w:type="dxa"/>
          </w:tcPr>
          <w:p>
            <w:pPr>
              <w:pStyle w:val="TableParagraph"/>
              <w:spacing w:before="43"/>
              <w:ind w:left="72"/>
              <w:rPr>
                <w:sz w:val="14"/>
              </w:rPr>
            </w:pPr>
            <w:r>
              <w:rPr>
                <w:w w:val="105"/>
                <w:sz w:val="14"/>
              </w:rPr>
              <w:t>Imposto de Renda Pessoa Jurídica – IRPJ</w:t>
            </w:r>
          </w:p>
        </w:tc>
        <w:tc>
          <w:tcPr>
            <w:tcW w:w="1371" w:type="dxa"/>
          </w:tcPr>
          <w:p>
            <w:pPr>
              <w:pStyle w:val="TableParagraph"/>
              <w:spacing w:before="43"/>
              <w:ind w:right="57"/>
              <w:jc w:val="right"/>
              <w:rPr>
                <w:sz w:val="14"/>
              </w:rPr>
            </w:pPr>
            <w:r>
              <w:rPr>
                <w:w w:val="95"/>
                <w:sz w:val="14"/>
              </w:rPr>
              <w:t>73.683</w:t>
            </w:r>
          </w:p>
        </w:tc>
        <w:tc>
          <w:tcPr>
            <w:tcW w:w="1368" w:type="dxa"/>
          </w:tcPr>
          <w:p>
            <w:pPr>
              <w:pStyle w:val="TableParagraph"/>
              <w:spacing w:before="43"/>
              <w:ind w:right="57"/>
              <w:jc w:val="right"/>
              <w:rPr>
                <w:sz w:val="14"/>
              </w:rPr>
            </w:pPr>
            <w:r>
              <w:rPr>
                <w:w w:val="95"/>
                <w:sz w:val="14"/>
              </w:rPr>
              <w:t>73.610</w:t>
            </w:r>
          </w:p>
        </w:tc>
        <w:tc>
          <w:tcPr>
            <w:tcW w:w="1369" w:type="dxa"/>
          </w:tcPr>
          <w:p>
            <w:pPr>
              <w:pStyle w:val="TableParagraph"/>
              <w:spacing w:before="43"/>
              <w:ind w:right="55"/>
              <w:jc w:val="right"/>
              <w:rPr>
                <w:sz w:val="14"/>
              </w:rPr>
            </w:pPr>
            <w:r>
              <w:rPr>
                <w:w w:val="95"/>
                <w:sz w:val="14"/>
              </w:rPr>
              <w:t>126.447</w:t>
            </w:r>
          </w:p>
        </w:tc>
        <w:tc>
          <w:tcPr>
            <w:tcW w:w="1371" w:type="dxa"/>
          </w:tcPr>
          <w:p>
            <w:pPr>
              <w:pStyle w:val="TableParagraph"/>
              <w:spacing w:before="43"/>
              <w:ind w:right="58"/>
              <w:jc w:val="right"/>
              <w:rPr>
                <w:sz w:val="14"/>
              </w:rPr>
            </w:pPr>
            <w:r>
              <w:rPr>
                <w:w w:val="95"/>
                <w:sz w:val="14"/>
              </w:rPr>
              <w:t>208.864</w:t>
            </w:r>
          </w:p>
        </w:tc>
      </w:tr>
      <w:tr>
        <w:trPr>
          <w:trHeight w:val="254" w:hRule="atLeast"/>
        </w:trPr>
        <w:tc>
          <w:tcPr>
            <w:tcW w:w="4453" w:type="dxa"/>
          </w:tcPr>
          <w:p>
            <w:pPr>
              <w:pStyle w:val="TableParagraph"/>
              <w:spacing w:before="46"/>
              <w:ind w:left="72"/>
              <w:rPr>
                <w:sz w:val="14"/>
              </w:rPr>
            </w:pPr>
            <w:r>
              <w:rPr>
                <w:w w:val="105"/>
                <w:sz w:val="14"/>
              </w:rPr>
              <w:t>Contribuição Social Sobre o Lucro Líquido – CSLL</w:t>
            </w:r>
          </w:p>
        </w:tc>
        <w:tc>
          <w:tcPr>
            <w:tcW w:w="1371" w:type="dxa"/>
          </w:tcPr>
          <w:p>
            <w:pPr>
              <w:pStyle w:val="TableParagraph"/>
              <w:spacing w:before="46"/>
              <w:ind w:right="57"/>
              <w:jc w:val="right"/>
              <w:rPr>
                <w:sz w:val="14"/>
              </w:rPr>
            </w:pPr>
            <w:r>
              <w:rPr>
                <w:w w:val="95"/>
                <w:sz w:val="14"/>
              </w:rPr>
              <w:t>26.221</w:t>
            </w:r>
          </w:p>
        </w:tc>
        <w:tc>
          <w:tcPr>
            <w:tcW w:w="1368" w:type="dxa"/>
          </w:tcPr>
          <w:p>
            <w:pPr>
              <w:pStyle w:val="TableParagraph"/>
              <w:spacing w:before="46"/>
              <w:ind w:right="57"/>
              <w:jc w:val="right"/>
              <w:rPr>
                <w:sz w:val="14"/>
              </w:rPr>
            </w:pPr>
            <w:r>
              <w:rPr>
                <w:w w:val="95"/>
                <w:sz w:val="14"/>
              </w:rPr>
              <w:t>25.852</w:t>
            </w:r>
          </w:p>
        </w:tc>
        <w:tc>
          <w:tcPr>
            <w:tcW w:w="1369" w:type="dxa"/>
          </w:tcPr>
          <w:p>
            <w:pPr>
              <w:pStyle w:val="TableParagraph"/>
              <w:spacing w:before="46"/>
              <w:ind w:right="55"/>
              <w:jc w:val="right"/>
              <w:rPr>
                <w:sz w:val="14"/>
              </w:rPr>
            </w:pPr>
            <w:r>
              <w:rPr>
                <w:w w:val="95"/>
                <w:sz w:val="14"/>
              </w:rPr>
              <w:t>44.108</w:t>
            </w:r>
          </w:p>
        </w:tc>
        <w:tc>
          <w:tcPr>
            <w:tcW w:w="1371" w:type="dxa"/>
          </w:tcPr>
          <w:p>
            <w:pPr>
              <w:pStyle w:val="TableParagraph"/>
              <w:spacing w:before="46"/>
              <w:ind w:right="58"/>
              <w:jc w:val="right"/>
              <w:rPr>
                <w:sz w:val="14"/>
              </w:rPr>
            </w:pPr>
            <w:r>
              <w:rPr>
                <w:w w:val="95"/>
                <w:sz w:val="14"/>
              </w:rPr>
              <w:t>72.320</w:t>
            </w:r>
          </w:p>
        </w:tc>
      </w:tr>
      <w:tr>
        <w:trPr>
          <w:trHeight w:val="251" w:hRule="atLeast"/>
        </w:trPr>
        <w:tc>
          <w:tcPr>
            <w:tcW w:w="4453" w:type="dxa"/>
          </w:tcPr>
          <w:p>
            <w:pPr>
              <w:pStyle w:val="TableParagraph"/>
              <w:spacing w:before="44"/>
              <w:ind w:left="72"/>
              <w:rPr>
                <w:rFonts w:ascii="Caladea"/>
                <w:b/>
                <w:sz w:val="14"/>
              </w:rPr>
            </w:pPr>
            <w:r>
              <w:rPr>
                <w:rFonts w:ascii="Caladea"/>
                <w:b/>
                <w:sz w:val="14"/>
              </w:rPr>
              <w:t>Total</w:t>
            </w:r>
          </w:p>
        </w:tc>
        <w:tc>
          <w:tcPr>
            <w:tcW w:w="1371" w:type="dxa"/>
          </w:tcPr>
          <w:p>
            <w:pPr>
              <w:pStyle w:val="TableParagraph"/>
              <w:spacing w:before="44"/>
              <w:ind w:right="57"/>
              <w:jc w:val="right"/>
              <w:rPr>
                <w:rFonts w:ascii="Caladea"/>
                <w:b/>
                <w:sz w:val="14"/>
              </w:rPr>
            </w:pPr>
            <w:r>
              <w:rPr>
                <w:rFonts w:ascii="Caladea"/>
                <w:b/>
                <w:sz w:val="14"/>
              </w:rPr>
              <w:t>99.904</w:t>
            </w:r>
          </w:p>
        </w:tc>
        <w:tc>
          <w:tcPr>
            <w:tcW w:w="1368" w:type="dxa"/>
          </w:tcPr>
          <w:p>
            <w:pPr>
              <w:pStyle w:val="TableParagraph"/>
              <w:spacing w:before="44"/>
              <w:ind w:right="57"/>
              <w:jc w:val="right"/>
              <w:rPr>
                <w:rFonts w:ascii="Caladea"/>
                <w:b/>
                <w:sz w:val="14"/>
              </w:rPr>
            </w:pPr>
            <w:r>
              <w:rPr>
                <w:rFonts w:ascii="Caladea"/>
                <w:b/>
                <w:sz w:val="14"/>
              </w:rPr>
              <w:t>99.462</w:t>
            </w:r>
          </w:p>
        </w:tc>
        <w:tc>
          <w:tcPr>
            <w:tcW w:w="1369" w:type="dxa"/>
          </w:tcPr>
          <w:p>
            <w:pPr>
              <w:pStyle w:val="TableParagraph"/>
              <w:spacing w:before="44"/>
              <w:ind w:right="55"/>
              <w:jc w:val="right"/>
              <w:rPr>
                <w:rFonts w:ascii="Caladea"/>
                <w:b/>
                <w:sz w:val="14"/>
              </w:rPr>
            </w:pPr>
            <w:r>
              <w:rPr>
                <w:rFonts w:ascii="Caladea"/>
                <w:b/>
                <w:w w:val="95"/>
                <w:sz w:val="14"/>
              </w:rPr>
              <w:t>170.555</w:t>
            </w:r>
          </w:p>
        </w:tc>
        <w:tc>
          <w:tcPr>
            <w:tcW w:w="1371" w:type="dxa"/>
          </w:tcPr>
          <w:p>
            <w:pPr>
              <w:pStyle w:val="TableParagraph"/>
              <w:spacing w:before="44"/>
              <w:ind w:right="58"/>
              <w:jc w:val="right"/>
              <w:rPr>
                <w:rFonts w:ascii="Caladea"/>
                <w:b/>
                <w:sz w:val="14"/>
              </w:rPr>
            </w:pPr>
            <w:r>
              <w:rPr>
                <w:rFonts w:ascii="Caladea"/>
                <w:b/>
                <w:w w:val="95"/>
                <w:sz w:val="14"/>
              </w:rPr>
              <w:t>281.184</w:t>
            </w:r>
          </w:p>
        </w:tc>
      </w:tr>
      <w:tr>
        <w:trPr>
          <w:trHeight w:val="254" w:hRule="atLeast"/>
        </w:trPr>
        <w:tc>
          <w:tcPr>
            <w:tcW w:w="4453" w:type="dxa"/>
          </w:tcPr>
          <w:p>
            <w:pPr>
              <w:pStyle w:val="TableParagraph"/>
              <w:spacing w:before="44"/>
              <w:ind w:left="72"/>
              <w:rPr>
                <w:rFonts w:ascii="Caladea"/>
                <w:b/>
                <w:sz w:val="14"/>
              </w:rPr>
            </w:pPr>
            <w:r>
              <w:rPr>
                <w:rFonts w:ascii="Caladea"/>
                <w:b/>
                <w:sz w:val="14"/>
              </w:rPr>
              <w:t>Circulante</w:t>
            </w:r>
          </w:p>
        </w:tc>
        <w:tc>
          <w:tcPr>
            <w:tcW w:w="1371" w:type="dxa"/>
          </w:tcPr>
          <w:p>
            <w:pPr>
              <w:pStyle w:val="TableParagraph"/>
              <w:spacing w:before="44"/>
              <w:ind w:right="57"/>
              <w:jc w:val="right"/>
              <w:rPr>
                <w:rFonts w:ascii="Caladea"/>
                <w:b/>
                <w:sz w:val="14"/>
              </w:rPr>
            </w:pPr>
            <w:r>
              <w:rPr>
                <w:rFonts w:ascii="Caladea"/>
                <w:b/>
                <w:w w:val="95"/>
                <w:sz w:val="14"/>
              </w:rPr>
              <w:t>3.122</w:t>
            </w:r>
          </w:p>
        </w:tc>
        <w:tc>
          <w:tcPr>
            <w:tcW w:w="1368" w:type="dxa"/>
          </w:tcPr>
          <w:p>
            <w:pPr>
              <w:pStyle w:val="TableParagraph"/>
              <w:spacing w:before="44"/>
              <w:ind w:right="57"/>
              <w:jc w:val="right"/>
              <w:rPr>
                <w:rFonts w:ascii="Caladea"/>
                <w:b/>
                <w:sz w:val="14"/>
              </w:rPr>
            </w:pPr>
            <w:r>
              <w:rPr>
                <w:rFonts w:ascii="Caladea"/>
                <w:b/>
                <w:w w:val="95"/>
                <w:sz w:val="14"/>
              </w:rPr>
              <w:t>2.681</w:t>
            </w:r>
          </w:p>
        </w:tc>
        <w:tc>
          <w:tcPr>
            <w:tcW w:w="1369" w:type="dxa"/>
          </w:tcPr>
          <w:p>
            <w:pPr>
              <w:pStyle w:val="TableParagraph"/>
              <w:spacing w:before="44"/>
              <w:ind w:right="55"/>
              <w:jc w:val="right"/>
              <w:rPr>
                <w:rFonts w:ascii="Caladea"/>
                <w:b/>
                <w:sz w:val="14"/>
              </w:rPr>
            </w:pPr>
            <w:r>
              <w:rPr>
                <w:rFonts w:ascii="Caladea"/>
                <w:b/>
                <w:sz w:val="14"/>
              </w:rPr>
              <w:t>32.917</w:t>
            </w:r>
          </w:p>
        </w:tc>
        <w:tc>
          <w:tcPr>
            <w:tcW w:w="1371" w:type="dxa"/>
          </w:tcPr>
          <w:p>
            <w:pPr>
              <w:pStyle w:val="TableParagraph"/>
              <w:spacing w:before="44"/>
              <w:ind w:right="58"/>
              <w:jc w:val="right"/>
              <w:rPr>
                <w:rFonts w:ascii="Caladea"/>
                <w:b/>
                <w:sz w:val="14"/>
              </w:rPr>
            </w:pPr>
            <w:r>
              <w:rPr>
                <w:rFonts w:ascii="Caladea"/>
                <w:b/>
                <w:sz w:val="14"/>
              </w:rPr>
              <w:t>65.699</w:t>
            </w:r>
          </w:p>
        </w:tc>
      </w:tr>
      <w:tr>
        <w:trPr>
          <w:trHeight w:val="253" w:hRule="atLeast"/>
        </w:trPr>
        <w:tc>
          <w:tcPr>
            <w:tcW w:w="4453" w:type="dxa"/>
          </w:tcPr>
          <w:p>
            <w:pPr>
              <w:pStyle w:val="TableParagraph"/>
              <w:spacing w:before="44"/>
              <w:ind w:left="72"/>
              <w:rPr>
                <w:rFonts w:ascii="Caladea" w:hAnsi="Caladea"/>
                <w:b/>
                <w:sz w:val="14"/>
              </w:rPr>
            </w:pPr>
            <w:r>
              <w:rPr>
                <w:rFonts w:ascii="Caladea" w:hAnsi="Caladea"/>
                <w:b/>
                <w:sz w:val="14"/>
              </w:rPr>
              <w:t>Não Circulante</w:t>
            </w:r>
          </w:p>
        </w:tc>
        <w:tc>
          <w:tcPr>
            <w:tcW w:w="1371" w:type="dxa"/>
          </w:tcPr>
          <w:p>
            <w:pPr>
              <w:pStyle w:val="TableParagraph"/>
              <w:spacing w:before="44"/>
              <w:ind w:right="57"/>
              <w:jc w:val="right"/>
              <w:rPr>
                <w:rFonts w:ascii="Caladea"/>
                <w:b/>
                <w:sz w:val="14"/>
              </w:rPr>
            </w:pPr>
            <w:r>
              <w:rPr>
                <w:rFonts w:ascii="Caladea"/>
                <w:b/>
                <w:sz w:val="14"/>
              </w:rPr>
              <w:t>96.782</w:t>
            </w:r>
          </w:p>
        </w:tc>
        <w:tc>
          <w:tcPr>
            <w:tcW w:w="1368" w:type="dxa"/>
          </w:tcPr>
          <w:p>
            <w:pPr>
              <w:pStyle w:val="TableParagraph"/>
              <w:spacing w:before="44"/>
              <w:ind w:right="57"/>
              <w:jc w:val="right"/>
              <w:rPr>
                <w:rFonts w:ascii="Caladea"/>
                <w:b/>
                <w:sz w:val="14"/>
              </w:rPr>
            </w:pPr>
            <w:r>
              <w:rPr>
                <w:rFonts w:ascii="Caladea"/>
                <w:b/>
                <w:sz w:val="14"/>
              </w:rPr>
              <w:t>96.781</w:t>
            </w:r>
          </w:p>
        </w:tc>
        <w:tc>
          <w:tcPr>
            <w:tcW w:w="1369" w:type="dxa"/>
          </w:tcPr>
          <w:p>
            <w:pPr>
              <w:pStyle w:val="TableParagraph"/>
              <w:spacing w:before="44"/>
              <w:ind w:right="55"/>
              <w:jc w:val="right"/>
              <w:rPr>
                <w:rFonts w:ascii="Caladea"/>
                <w:b/>
                <w:sz w:val="14"/>
              </w:rPr>
            </w:pPr>
            <w:r>
              <w:rPr>
                <w:rFonts w:ascii="Caladea"/>
                <w:b/>
                <w:w w:val="95"/>
                <w:sz w:val="14"/>
              </w:rPr>
              <w:t>137.638</w:t>
            </w:r>
          </w:p>
        </w:tc>
        <w:tc>
          <w:tcPr>
            <w:tcW w:w="1371" w:type="dxa"/>
          </w:tcPr>
          <w:p>
            <w:pPr>
              <w:pStyle w:val="TableParagraph"/>
              <w:spacing w:before="44"/>
              <w:ind w:right="58"/>
              <w:jc w:val="right"/>
              <w:rPr>
                <w:rFonts w:ascii="Caladea"/>
                <w:b/>
                <w:sz w:val="14"/>
              </w:rPr>
            </w:pPr>
            <w:r>
              <w:rPr>
                <w:rFonts w:ascii="Caladea"/>
                <w:b/>
                <w:w w:val="95"/>
                <w:sz w:val="14"/>
              </w:rPr>
              <w:t>215.485</w:t>
            </w:r>
          </w:p>
        </w:tc>
      </w:tr>
    </w:tbl>
    <w:p>
      <w:pPr>
        <w:pStyle w:val="BodyText"/>
        <w:spacing w:before="9"/>
        <w:rPr>
          <w:rFonts w:ascii="Caladea"/>
          <w:b/>
        </w:rPr>
      </w:pPr>
    </w:p>
    <w:p>
      <w:pPr>
        <w:pStyle w:val="BodyText"/>
        <w:spacing w:line="242" w:lineRule="auto" w:before="1"/>
        <w:ind w:left="172" w:right="414"/>
        <w:jc w:val="both"/>
      </w:pPr>
      <w:r>
        <w:rPr>
          <w:w w:val="105"/>
        </w:rPr>
        <w:t>O</w:t>
      </w:r>
      <w:r>
        <w:rPr>
          <w:spacing w:val="-37"/>
          <w:w w:val="105"/>
        </w:rPr>
        <w:t> </w:t>
      </w:r>
      <w:r>
        <w:rPr>
          <w:w w:val="105"/>
        </w:rPr>
        <w:t>imposto</w:t>
      </w:r>
      <w:r>
        <w:rPr>
          <w:spacing w:val="-36"/>
          <w:w w:val="105"/>
        </w:rPr>
        <w:t> </w:t>
      </w:r>
      <w:r>
        <w:rPr>
          <w:w w:val="105"/>
        </w:rPr>
        <w:t>de</w:t>
      </w:r>
      <w:r>
        <w:rPr>
          <w:spacing w:val="-36"/>
          <w:w w:val="105"/>
        </w:rPr>
        <w:t> </w:t>
      </w:r>
      <w:r>
        <w:rPr>
          <w:w w:val="105"/>
        </w:rPr>
        <w:t>renda</w:t>
      </w:r>
      <w:r>
        <w:rPr>
          <w:spacing w:val="-36"/>
          <w:w w:val="105"/>
        </w:rPr>
        <w:t> </w:t>
      </w:r>
      <w:r>
        <w:rPr>
          <w:w w:val="105"/>
        </w:rPr>
        <w:t>e</w:t>
      </w:r>
      <w:r>
        <w:rPr>
          <w:spacing w:val="-37"/>
          <w:w w:val="105"/>
        </w:rPr>
        <w:t> </w:t>
      </w:r>
      <w:r>
        <w:rPr>
          <w:w w:val="105"/>
        </w:rPr>
        <w:t>a</w:t>
      </w:r>
      <w:r>
        <w:rPr>
          <w:spacing w:val="-35"/>
          <w:w w:val="105"/>
        </w:rPr>
        <w:t> </w:t>
      </w:r>
      <w:r>
        <w:rPr>
          <w:w w:val="105"/>
        </w:rPr>
        <w:t>contribuição</w:t>
      </w:r>
      <w:r>
        <w:rPr>
          <w:spacing w:val="-36"/>
          <w:w w:val="105"/>
        </w:rPr>
        <w:t> </w:t>
      </w:r>
      <w:r>
        <w:rPr>
          <w:w w:val="105"/>
        </w:rPr>
        <w:t>social</w:t>
      </w:r>
      <w:r>
        <w:rPr>
          <w:spacing w:val="-37"/>
          <w:w w:val="105"/>
        </w:rPr>
        <w:t> </w:t>
      </w:r>
      <w:r>
        <w:rPr>
          <w:w w:val="105"/>
        </w:rPr>
        <w:t>do</w:t>
      </w:r>
      <w:r>
        <w:rPr>
          <w:spacing w:val="-35"/>
          <w:w w:val="105"/>
        </w:rPr>
        <w:t> </w:t>
      </w:r>
      <w:r>
        <w:rPr>
          <w:w w:val="105"/>
        </w:rPr>
        <w:t>exercício</w:t>
      </w:r>
      <w:r>
        <w:rPr>
          <w:spacing w:val="-36"/>
          <w:w w:val="105"/>
        </w:rPr>
        <w:t> </w:t>
      </w:r>
      <w:r>
        <w:rPr>
          <w:w w:val="105"/>
        </w:rPr>
        <w:t>corrente</w:t>
      </w:r>
      <w:r>
        <w:rPr>
          <w:spacing w:val="-37"/>
          <w:w w:val="105"/>
        </w:rPr>
        <w:t> </w:t>
      </w:r>
      <w:r>
        <w:rPr>
          <w:w w:val="105"/>
        </w:rPr>
        <w:t>são</w:t>
      </w:r>
      <w:r>
        <w:rPr>
          <w:spacing w:val="-36"/>
          <w:w w:val="105"/>
        </w:rPr>
        <w:t> </w:t>
      </w:r>
      <w:r>
        <w:rPr>
          <w:w w:val="105"/>
        </w:rPr>
        <w:t>calculados</w:t>
      </w:r>
      <w:r>
        <w:rPr>
          <w:spacing w:val="-36"/>
          <w:w w:val="105"/>
        </w:rPr>
        <w:t> </w:t>
      </w:r>
      <w:r>
        <w:rPr>
          <w:w w:val="105"/>
        </w:rPr>
        <w:t>com</w:t>
      </w:r>
      <w:r>
        <w:rPr>
          <w:spacing w:val="-36"/>
          <w:w w:val="105"/>
        </w:rPr>
        <w:t> </w:t>
      </w:r>
      <w:r>
        <w:rPr>
          <w:w w:val="105"/>
        </w:rPr>
        <w:t>base</w:t>
      </w:r>
      <w:r>
        <w:rPr>
          <w:spacing w:val="-36"/>
          <w:w w:val="105"/>
        </w:rPr>
        <w:t> </w:t>
      </w:r>
      <w:r>
        <w:rPr>
          <w:w w:val="105"/>
        </w:rPr>
        <w:t>nas</w:t>
      </w:r>
      <w:r>
        <w:rPr>
          <w:spacing w:val="-36"/>
          <w:w w:val="105"/>
        </w:rPr>
        <w:t> </w:t>
      </w:r>
      <w:r>
        <w:rPr>
          <w:w w:val="105"/>
        </w:rPr>
        <w:t>alíquotas</w:t>
      </w:r>
      <w:r>
        <w:rPr>
          <w:spacing w:val="-36"/>
          <w:w w:val="105"/>
        </w:rPr>
        <w:t> </w:t>
      </w:r>
      <w:r>
        <w:rPr>
          <w:w w:val="105"/>
        </w:rPr>
        <w:t>de</w:t>
      </w:r>
      <w:r>
        <w:rPr>
          <w:spacing w:val="-37"/>
          <w:w w:val="105"/>
        </w:rPr>
        <w:t> </w:t>
      </w:r>
      <w:r>
        <w:rPr>
          <w:w w:val="105"/>
        </w:rPr>
        <w:t>15%, acrescida</w:t>
      </w:r>
      <w:r>
        <w:rPr>
          <w:spacing w:val="-26"/>
          <w:w w:val="105"/>
        </w:rPr>
        <w:t> </w:t>
      </w:r>
      <w:r>
        <w:rPr>
          <w:w w:val="105"/>
        </w:rPr>
        <w:t>de</w:t>
      </w:r>
      <w:r>
        <w:rPr>
          <w:spacing w:val="-26"/>
          <w:w w:val="105"/>
        </w:rPr>
        <w:t> </w:t>
      </w:r>
      <w:r>
        <w:rPr>
          <w:w w:val="105"/>
        </w:rPr>
        <w:t>10%</w:t>
      </w:r>
      <w:r>
        <w:rPr>
          <w:spacing w:val="-26"/>
          <w:w w:val="105"/>
        </w:rPr>
        <w:t> </w:t>
      </w:r>
      <w:r>
        <w:rPr>
          <w:w w:val="105"/>
        </w:rPr>
        <w:t>sobre</w:t>
      </w:r>
      <w:r>
        <w:rPr>
          <w:spacing w:val="-26"/>
          <w:w w:val="105"/>
        </w:rPr>
        <w:t> </w:t>
      </w:r>
      <w:r>
        <w:rPr>
          <w:w w:val="105"/>
        </w:rPr>
        <w:t>o</w:t>
      </w:r>
      <w:r>
        <w:rPr>
          <w:spacing w:val="-26"/>
          <w:w w:val="105"/>
        </w:rPr>
        <w:t> </w:t>
      </w:r>
      <w:r>
        <w:rPr>
          <w:w w:val="105"/>
        </w:rPr>
        <w:t>lucro</w:t>
      </w:r>
      <w:r>
        <w:rPr>
          <w:spacing w:val="-25"/>
          <w:w w:val="105"/>
        </w:rPr>
        <w:t> </w:t>
      </w:r>
      <w:r>
        <w:rPr>
          <w:w w:val="105"/>
        </w:rPr>
        <w:t>tributável</w:t>
      </w:r>
      <w:r>
        <w:rPr>
          <w:spacing w:val="-24"/>
          <w:w w:val="105"/>
        </w:rPr>
        <w:t> </w:t>
      </w:r>
      <w:r>
        <w:rPr>
          <w:w w:val="105"/>
        </w:rPr>
        <w:t>que</w:t>
      </w:r>
      <w:r>
        <w:rPr>
          <w:spacing w:val="-25"/>
          <w:w w:val="105"/>
        </w:rPr>
        <w:t> </w:t>
      </w:r>
      <w:r>
        <w:rPr>
          <w:w w:val="105"/>
        </w:rPr>
        <w:t>exceder</w:t>
      </w:r>
      <w:r>
        <w:rPr>
          <w:spacing w:val="-26"/>
          <w:w w:val="105"/>
        </w:rPr>
        <w:t> </w:t>
      </w:r>
      <w:r>
        <w:rPr>
          <w:w w:val="105"/>
        </w:rPr>
        <w:t>a</w:t>
      </w:r>
      <w:r>
        <w:rPr>
          <w:spacing w:val="-25"/>
          <w:w w:val="105"/>
        </w:rPr>
        <w:t> </w:t>
      </w:r>
      <w:r>
        <w:rPr>
          <w:w w:val="105"/>
        </w:rPr>
        <w:t>R$</w:t>
      </w:r>
      <w:r>
        <w:rPr>
          <w:spacing w:val="-25"/>
          <w:w w:val="105"/>
        </w:rPr>
        <w:t> </w:t>
      </w:r>
      <w:r>
        <w:rPr>
          <w:w w:val="105"/>
        </w:rPr>
        <w:t>240</w:t>
      </w:r>
      <w:r>
        <w:rPr>
          <w:spacing w:val="-26"/>
          <w:w w:val="105"/>
        </w:rPr>
        <w:t> </w:t>
      </w:r>
      <w:r>
        <w:rPr>
          <w:w w:val="105"/>
        </w:rPr>
        <w:t>para</w:t>
      </w:r>
      <w:r>
        <w:rPr>
          <w:spacing w:val="-25"/>
          <w:w w:val="105"/>
        </w:rPr>
        <w:t> </w:t>
      </w:r>
      <w:r>
        <w:rPr>
          <w:w w:val="105"/>
        </w:rPr>
        <w:t>o</w:t>
      </w:r>
      <w:r>
        <w:rPr>
          <w:spacing w:val="-26"/>
          <w:w w:val="105"/>
        </w:rPr>
        <w:t> </w:t>
      </w:r>
      <w:r>
        <w:rPr>
          <w:w w:val="105"/>
        </w:rPr>
        <w:t>imposto</w:t>
      </w:r>
      <w:r>
        <w:rPr>
          <w:spacing w:val="-26"/>
          <w:w w:val="105"/>
        </w:rPr>
        <w:t> </w:t>
      </w:r>
      <w:r>
        <w:rPr>
          <w:w w:val="105"/>
        </w:rPr>
        <w:t>de</w:t>
      </w:r>
      <w:r>
        <w:rPr>
          <w:spacing w:val="-26"/>
          <w:w w:val="105"/>
        </w:rPr>
        <w:t> </w:t>
      </w:r>
      <w:r>
        <w:rPr>
          <w:w w:val="105"/>
        </w:rPr>
        <w:t>renda,</w:t>
      </w:r>
      <w:r>
        <w:rPr>
          <w:spacing w:val="-24"/>
          <w:w w:val="105"/>
        </w:rPr>
        <w:t> </w:t>
      </w:r>
      <w:r>
        <w:rPr>
          <w:w w:val="105"/>
        </w:rPr>
        <w:t>e</w:t>
      </w:r>
      <w:r>
        <w:rPr>
          <w:spacing w:val="-27"/>
          <w:w w:val="105"/>
        </w:rPr>
        <w:t> </w:t>
      </w:r>
      <w:r>
        <w:rPr>
          <w:w w:val="105"/>
        </w:rPr>
        <w:t>de</w:t>
      </w:r>
      <w:r>
        <w:rPr>
          <w:spacing w:val="-26"/>
          <w:w w:val="105"/>
        </w:rPr>
        <w:t> </w:t>
      </w:r>
      <w:r>
        <w:rPr>
          <w:w w:val="105"/>
        </w:rPr>
        <w:t>9%</w:t>
      </w:r>
      <w:r>
        <w:rPr>
          <w:spacing w:val="-26"/>
          <w:w w:val="105"/>
        </w:rPr>
        <w:t> </w:t>
      </w:r>
      <w:r>
        <w:rPr>
          <w:w w:val="105"/>
        </w:rPr>
        <w:t>sobre</w:t>
      </w:r>
      <w:r>
        <w:rPr>
          <w:spacing w:val="-26"/>
          <w:w w:val="105"/>
        </w:rPr>
        <w:t> </w:t>
      </w:r>
      <w:r>
        <w:rPr>
          <w:w w:val="105"/>
        </w:rPr>
        <w:t>o</w:t>
      </w:r>
      <w:r>
        <w:rPr>
          <w:spacing w:val="-26"/>
          <w:w w:val="105"/>
        </w:rPr>
        <w:t> </w:t>
      </w:r>
      <w:r>
        <w:rPr>
          <w:w w:val="105"/>
        </w:rPr>
        <w:t>lucro </w:t>
      </w:r>
      <w:r>
        <w:rPr/>
        <w:t>tributável</w:t>
      </w:r>
      <w:r>
        <w:rPr>
          <w:spacing w:val="-32"/>
        </w:rPr>
        <w:t> </w:t>
      </w:r>
      <w:r>
        <w:rPr/>
        <w:t>para</w:t>
      </w:r>
      <w:r>
        <w:rPr>
          <w:spacing w:val="-33"/>
        </w:rPr>
        <w:t> </w:t>
      </w:r>
      <w:r>
        <w:rPr/>
        <w:t>a</w:t>
      </w:r>
      <w:r>
        <w:rPr>
          <w:spacing w:val="-32"/>
        </w:rPr>
        <w:t> </w:t>
      </w:r>
      <w:r>
        <w:rPr/>
        <w:t>contribuição</w:t>
      </w:r>
      <w:r>
        <w:rPr>
          <w:spacing w:val="-33"/>
        </w:rPr>
        <w:t> </w:t>
      </w:r>
      <w:r>
        <w:rPr/>
        <w:t>social.</w:t>
      </w:r>
      <w:r>
        <w:rPr>
          <w:spacing w:val="-34"/>
        </w:rPr>
        <w:t> </w:t>
      </w:r>
      <w:r>
        <w:rPr/>
        <w:t>Também</w:t>
      </w:r>
      <w:r>
        <w:rPr>
          <w:spacing w:val="-32"/>
        </w:rPr>
        <w:t> </w:t>
      </w:r>
      <w:r>
        <w:rPr/>
        <w:t>é</w:t>
      </w:r>
      <w:r>
        <w:rPr>
          <w:spacing w:val="-33"/>
        </w:rPr>
        <w:t> </w:t>
      </w:r>
      <w:r>
        <w:rPr/>
        <w:t>considerada</w:t>
      </w:r>
      <w:r>
        <w:rPr>
          <w:spacing w:val="-32"/>
        </w:rPr>
        <w:t> </w:t>
      </w:r>
      <w:r>
        <w:rPr/>
        <w:t>a</w:t>
      </w:r>
      <w:r>
        <w:rPr>
          <w:spacing w:val="-33"/>
        </w:rPr>
        <w:t> </w:t>
      </w:r>
      <w:r>
        <w:rPr/>
        <w:t>compensação</w:t>
      </w:r>
      <w:r>
        <w:rPr>
          <w:spacing w:val="-33"/>
        </w:rPr>
        <w:t> </w:t>
      </w:r>
      <w:r>
        <w:rPr/>
        <w:t>de</w:t>
      </w:r>
      <w:r>
        <w:rPr>
          <w:spacing w:val="-33"/>
        </w:rPr>
        <w:t> </w:t>
      </w:r>
      <w:r>
        <w:rPr/>
        <w:t>prejuízos</w:t>
      </w:r>
      <w:r>
        <w:rPr>
          <w:spacing w:val="-32"/>
        </w:rPr>
        <w:t> </w:t>
      </w:r>
      <w:r>
        <w:rPr/>
        <w:t>fiscais</w:t>
      </w:r>
      <w:r>
        <w:rPr>
          <w:spacing w:val="-31"/>
        </w:rPr>
        <w:t> </w:t>
      </w:r>
      <w:r>
        <w:rPr/>
        <w:t>e</w:t>
      </w:r>
      <w:r>
        <w:rPr>
          <w:spacing w:val="-33"/>
        </w:rPr>
        <w:t> </w:t>
      </w:r>
      <w:r>
        <w:rPr/>
        <w:t>base</w:t>
      </w:r>
      <w:r>
        <w:rPr>
          <w:spacing w:val="-32"/>
        </w:rPr>
        <w:t> </w:t>
      </w:r>
      <w:r>
        <w:rPr/>
        <w:t>negativa</w:t>
      </w:r>
      <w:r>
        <w:rPr>
          <w:spacing w:val="-33"/>
        </w:rPr>
        <w:t> </w:t>
      </w:r>
      <w:r>
        <w:rPr/>
        <w:t>de </w:t>
      </w:r>
      <w:r>
        <w:rPr>
          <w:w w:val="105"/>
        </w:rPr>
        <w:t>contribuição</w:t>
      </w:r>
      <w:r>
        <w:rPr>
          <w:spacing w:val="-28"/>
          <w:w w:val="105"/>
        </w:rPr>
        <w:t> </w:t>
      </w:r>
      <w:r>
        <w:rPr>
          <w:w w:val="105"/>
        </w:rPr>
        <w:t>social,</w:t>
      </w:r>
      <w:r>
        <w:rPr>
          <w:spacing w:val="-28"/>
          <w:w w:val="105"/>
        </w:rPr>
        <w:t> </w:t>
      </w:r>
      <w:r>
        <w:rPr>
          <w:w w:val="105"/>
        </w:rPr>
        <w:t>limitada</w:t>
      </w:r>
      <w:r>
        <w:rPr>
          <w:spacing w:val="-27"/>
          <w:w w:val="105"/>
        </w:rPr>
        <w:t> </w:t>
      </w:r>
      <w:r>
        <w:rPr>
          <w:w w:val="105"/>
        </w:rPr>
        <w:t>a</w:t>
      </w:r>
      <w:r>
        <w:rPr>
          <w:spacing w:val="-28"/>
          <w:w w:val="105"/>
        </w:rPr>
        <w:t> </w:t>
      </w:r>
      <w:r>
        <w:rPr>
          <w:w w:val="105"/>
        </w:rPr>
        <w:t>30%</w:t>
      </w:r>
      <w:r>
        <w:rPr>
          <w:spacing w:val="-27"/>
          <w:w w:val="105"/>
        </w:rPr>
        <w:t> </w:t>
      </w:r>
      <w:r>
        <w:rPr>
          <w:w w:val="105"/>
        </w:rPr>
        <w:t>do</w:t>
      </w:r>
      <w:r>
        <w:rPr>
          <w:spacing w:val="-27"/>
          <w:w w:val="105"/>
        </w:rPr>
        <w:t> </w:t>
      </w:r>
      <w:r>
        <w:rPr>
          <w:w w:val="105"/>
        </w:rPr>
        <w:t>lucro</w:t>
      </w:r>
      <w:r>
        <w:rPr>
          <w:spacing w:val="-24"/>
          <w:w w:val="105"/>
        </w:rPr>
        <w:t> </w:t>
      </w:r>
      <w:r>
        <w:rPr>
          <w:w w:val="105"/>
        </w:rPr>
        <w:t>real.</w:t>
      </w:r>
      <w:r>
        <w:rPr>
          <w:spacing w:val="-28"/>
          <w:w w:val="105"/>
        </w:rPr>
        <w:t> </w:t>
      </w:r>
      <w:r>
        <w:rPr>
          <w:w w:val="105"/>
        </w:rPr>
        <w:t>A</w:t>
      </w:r>
      <w:r>
        <w:rPr>
          <w:spacing w:val="-27"/>
          <w:w w:val="105"/>
        </w:rPr>
        <w:t> </w:t>
      </w:r>
      <w:r>
        <w:rPr>
          <w:w w:val="105"/>
        </w:rPr>
        <w:t>opção</w:t>
      </w:r>
      <w:r>
        <w:rPr>
          <w:spacing w:val="-28"/>
          <w:w w:val="105"/>
        </w:rPr>
        <w:t> </w:t>
      </w:r>
      <w:r>
        <w:rPr>
          <w:w w:val="105"/>
        </w:rPr>
        <w:t>de</w:t>
      </w:r>
      <w:r>
        <w:rPr>
          <w:spacing w:val="-27"/>
          <w:w w:val="105"/>
        </w:rPr>
        <w:t> </w:t>
      </w:r>
      <w:r>
        <w:rPr>
          <w:w w:val="105"/>
        </w:rPr>
        <w:t>tributação</w:t>
      </w:r>
      <w:r>
        <w:rPr>
          <w:spacing w:val="-28"/>
          <w:w w:val="105"/>
        </w:rPr>
        <w:t> </w:t>
      </w:r>
      <w:r>
        <w:rPr>
          <w:w w:val="105"/>
        </w:rPr>
        <w:t>da</w:t>
      </w:r>
      <w:r>
        <w:rPr>
          <w:spacing w:val="-27"/>
          <w:w w:val="105"/>
        </w:rPr>
        <w:t> </w:t>
      </w:r>
      <w:r>
        <w:rPr>
          <w:w w:val="105"/>
        </w:rPr>
        <w:t>Companhia</w:t>
      </w:r>
      <w:r>
        <w:rPr>
          <w:spacing w:val="-26"/>
          <w:w w:val="105"/>
        </w:rPr>
        <w:t> </w:t>
      </w:r>
      <w:r>
        <w:rPr>
          <w:w w:val="105"/>
        </w:rPr>
        <w:t>e</w:t>
      </w:r>
      <w:r>
        <w:rPr>
          <w:spacing w:val="-28"/>
          <w:w w:val="105"/>
        </w:rPr>
        <w:t> </w:t>
      </w:r>
      <w:r>
        <w:rPr>
          <w:w w:val="105"/>
        </w:rPr>
        <w:t>suas</w:t>
      </w:r>
      <w:r>
        <w:rPr>
          <w:spacing w:val="-28"/>
          <w:w w:val="105"/>
        </w:rPr>
        <w:t> </w:t>
      </w:r>
      <w:r>
        <w:rPr>
          <w:w w:val="105"/>
        </w:rPr>
        <w:t>controladas</w:t>
      </w:r>
      <w:r>
        <w:rPr>
          <w:spacing w:val="-26"/>
          <w:w w:val="105"/>
        </w:rPr>
        <w:t> </w:t>
      </w:r>
      <w:r>
        <w:rPr>
          <w:w w:val="105"/>
        </w:rPr>
        <w:t>CEB </w:t>
      </w:r>
      <w:r>
        <w:rPr/>
        <w:t>Distribuição</w:t>
      </w:r>
      <w:r>
        <w:rPr>
          <w:spacing w:val="-33"/>
        </w:rPr>
        <w:t> </w:t>
      </w:r>
      <w:r>
        <w:rPr/>
        <w:t>S.A.</w:t>
      </w:r>
      <w:r>
        <w:rPr>
          <w:spacing w:val="-31"/>
        </w:rPr>
        <w:t> </w:t>
      </w:r>
      <w:r>
        <w:rPr/>
        <w:t>e</w:t>
      </w:r>
      <w:r>
        <w:rPr>
          <w:spacing w:val="-32"/>
        </w:rPr>
        <w:t> </w:t>
      </w:r>
      <w:r>
        <w:rPr/>
        <w:t>CEB</w:t>
      </w:r>
      <w:r>
        <w:rPr>
          <w:spacing w:val="-33"/>
        </w:rPr>
        <w:t> </w:t>
      </w:r>
      <w:r>
        <w:rPr/>
        <w:t>Lajeado</w:t>
      </w:r>
      <w:r>
        <w:rPr>
          <w:spacing w:val="-32"/>
        </w:rPr>
        <w:t> </w:t>
      </w:r>
      <w:r>
        <w:rPr/>
        <w:t>S.A.</w:t>
      </w:r>
      <w:r>
        <w:rPr>
          <w:spacing w:val="-30"/>
        </w:rPr>
        <w:t> </w:t>
      </w:r>
      <w:r>
        <w:rPr/>
        <w:t>é</w:t>
      </w:r>
      <w:r>
        <w:rPr>
          <w:spacing w:val="-32"/>
        </w:rPr>
        <w:t> </w:t>
      </w:r>
      <w:r>
        <w:rPr/>
        <w:t>o</w:t>
      </w:r>
      <w:r>
        <w:rPr>
          <w:spacing w:val="-33"/>
        </w:rPr>
        <w:t> </w:t>
      </w:r>
      <w:r>
        <w:rPr/>
        <w:t>lucro</w:t>
      </w:r>
      <w:r>
        <w:rPr>
          <w:spacing w:val="-30"/>
        </w:rPr>
        <w:t> </w:t>
      </w:r>
      <w:r>
        <w:rPr/>
        <w:t>real</w:t>
      </w:r>
      <w:r>
        <w:rPr>
          <w:spacing w:val="-32"/>
        </w:rPr>
        <w:t> </w:t>
      </w:r>
      <w:r>
        <w:rPr/>
        <w:t>anual</w:t>
      </w:r>
      <w:r>
        <w:rPr>
          <w:spacing w:val="-31"/>
        </w:rPr>
        <w:t> </w:t>
      </w:r>
      <w:r>
        <w:rPr/>
        <w:t>com</w:t>
      </w:r>
      <w:r>
        <w:rPr>
          <w:spacing w:val="-32"/>
        </w:rPr>
        <w:t> </w:t>
      </w:r>
      <w:r>
        <w:rPr/>
        <w:t>antecipações</w:t>
      </w:r>
      <w:r>
        <w:rPr>
          <w:spacing w:val="-31"/>
        </w:rPr>
        <w:t> </w:t>
      </w:r>
      <w:r>
        <w:rPr/>
        <w:t>mensais.</w:t>
      </w:r>
      <w:r>
        <w:rPr>
          <w:spacing w:val="-31"/>
        </w:rPr>
        <w:t> </w:t>
      </w:r>
      <w:r>
        <w:rPr/>
        <w:t>As</w:t>
      </w:r>
      <w:r>
        <w:rPr>
          <w:spacing w:val="-32"/>
        </w:rPr>
        <w:t> </w:t>
      </w:r>
      <w:r>
        <w:rPr/>
        <w:t>demais</w:t>
      </w:r>
      <w:r>
        <w:rPr>
          <w:spacing w:val="-32"/>
        </w:rPr>
        <w:t> </w:t>
      </w:r>
      <w:r>
        <w:rPr/>
        <w:t>controladas</w:t>
      </w:r>
      <w:r>
        <w:rPr>
          <w:spacing w:val="-32"/>
        </w:rPr>
        <w:t> </w:t>
      </w:r>
      <w:r>
        <w:rPr/>
        <w:t>optaram </w:t>
      </w:r>
      <w:r>
        <w:rPr>
          <w:w w:val="105"/>
        </w:rPr>
        <w:t>pelo</w:t>
      </w:r>
      <w:r>
        <w:rPr>
          <w:spacing w:val="-21"/>
          <w:w w:val="105"/>
        </w:rPr>
        <w:t> </w:t>
      </w:r>
      <w:r>
        <w:rPr>
          <w:w w:val="105"/>
        </w:rPr>
        <w:t>regime</w:t>
      </w:r>
      <w:r>
        <w:rPr>
          <w:spacing w:val="-25"/>
          <w:w w:val="105"/>
        </w:rPr>
        <w:t> </w:t>
      </w:r>
      <w:r>
        <w:rPr>
          <w:w w:val="105"/>
        </w:rPr>
        <w:t>de</w:t>
      </w:r>
      <w:r>
        <w:rPr>
          <w:spacing w:val="-25"/>
          <w:w w:val="105"/>
        </w:rPr>
        <w:t> </w:t>
      </w:r>
      <w:r>
        <w:rPr>
          <w:w w:val="105"/>
        </w:rPr>
        <w:t>tributação</w:t>
      </w:r>
      <w:r>
        <w:rPr>
          <w:spacing w:val="-23"/>
          <w:w w:val="105"/>
        </w:rPr>
        <w:t> </w:t>
      </w:r>
      <w:r>
        <w:rPr>
          <w:w w:val="105"/>
        </w:rPr>
        <w:t>pelo</w:t>
      </w:r>
      <w:r>
        <w:rPr>
          <w:spacing w:val="-24"/>
          <w:w w:val="105"/>
        </w:rPr>
        <w:t> </w:t>
      </w:r>
      <w:r>
        <w:rPr>
          <w:w w:val="105"/>
        </w:rPr>
        <w:t>lucro</w:t>
      </w:r>
      <w:r>
        <w:rPr>
          <w:spacing w:val="-23"/>
          <w:w w:val="105"/>
        </w:rPr>
        <w:t> </w:t>
      </w:r>
      <w:r>
        <w:rPr>
          <w:w w:val="105"/>
        </w:rPr>
        <w:t>presumido.</w:t>
      </w:r>
    </w:p>
    <w:p>
      <w:pPr>
        <w:pStyle w:val="BodyText"/>
        <w:spacing w:before="6"/>
      </w:pPr>
    </w:p>
    <w:p>
      <w:pPr>
        <w:pStyle w:val="BodyText"/>
        <w:ind w:left="172"/>
        <w:jc w:val="both"/>
      </w:pPr>
      <w:r>
        <w:rPr/>
        <w:t>O quadro seguinte detalha a apuração do IRPJ e da CSLL:</w:t>
      </w:r>
    </w:p>
    <w:p>
      <w:pPr>
        <w:spacing w:after="0"/>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pPr>
    </w:p>
    <w:p>
      <w:pPr>
        <w:pStyle w:val="BodyText"/>
        <w:rPr>
          <w:sz w:val="22"/>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27"/>
        <w:gridCol w:w="784"/>
        <w:gridCol w:w="789"/>
        <w:gridCol w:w="784"/>
        <w:gridCol w:w="786"/>
        <w:gridCol w:w="784"/>
        <w:gridCol w:w="787"/>
        <w:gridCol w:w="825"/>
        <w:gridCol w:w="899"/>
      </w:tblGrid>
      <w:tr>
        <w:trPr>
          <w:trHeight w:val="210" w:hRule="atLeast"/>
        </w:trPr>
        <w:tc>
          <w:tcPr>
            <w:tcW w:w="3627" w:type="dxa"/>
            <w:vMerge w:val="restart"/>
            <w:shd w:val="clear" w:color="auto" w:fill="D7D7D7"/>
          </w:tcPr>
          <w:p>
            <w:pPr>
              <w:pStyle w:val="TableParagraph"/>
              <w:rPr>
                <w:rFonts w:ascii="Times New Roman"/>
                <w:sz w:val="14"/>
              </w:rPr>
            </w:pPr>
          </w:p>
        </w:tc>
        <w:tc>
          <w:tcPr>
            <w:tcW w:w="3143" w:type="dxa"/>
            <w:gridSpan w:val="4"/>
          </w:tcPr>
          <w:p>
            <w:pPr>
              <w:pStyle w:val="TableParagraph"/>
              <w:spacing w:before="30"/>
              <w:ind w:left="1157" w:right="1137"/>
              <w:jc w:val="center"/>
              <w:rPr>
                <w:rFonts w:ascii="Caladea"/>
                <w:b/>
                <w:sz w:val="13"/>
              </w:rPr>
            </w:pPr>
            <w:r>
              <w:rPr>
                <w:rFonts w:ascii="Caladea"/>
                <w:b/>
                <w:sz w:val="13"/>
              </w:rPr>
              <w:t>Controladora</w:t>
            </w:r>
          </w:p>
        </w:tc>
        <w:tc>
          <w:tcPr>
            <w:tcW w:w="3295" w:type="dxa"/>
            <w:gridSpan w:val="4"/>
          </w:tcPr>
          <w:p>
            <w:pPr>
              <w:pStyle w:val="TableParagraph"/>
              <w:spacing w:before="30"/>
              <w:ind w:left="1261" w:right="1243"/>
              <w:jc w:val="center"/>
              <w:rPr>
                <w:rFonts w:ascii="Caladea"/>
                <w:b/>
                <w:sz w:val="13"/>
              </w:rPr>
            </w:pPr>
            <w:r>
              <w:rPr>
                <w:rFonts w:ascii="Caladea"/>
                <w:b/>
                <w:sz w:val="13"/>
              </w:rPr>
              <w:t>Consolidado</w:t>
            </w:r>
          </w:p>
        </w:tc>
      </w:tr>
      <w:tr>
        <w:trPr>
          <w:trHeight w:val="359" w:hRule="atLeast"/>
        </w:trPr>
        <w:tc>
          <w:tcPr>
            <w:tcW w:w="3627" w:type="dxa"/>
            <w:vMerge/>
            <w:tcBorders>
              <w:top w:val="nil"/>
            </w:tcBorders>
            <w:shd w:val="clear" w:color="auto" w:fill="D7D7D7"/>
          </w:tcPr>
          <w:p>
            <w:pPr>
              <w:rPr>
                <w:sz w:val="2"/>
                <w:szCs w:val="2"/>
              </w:rPr>
            </w:pPr>
          </w:p>
        </w:tc>
        <w:tc>
          <w:tcPr>
            <w:tcW w:w="1573" w:type="dxa"/>
            <w:gridSpan w:val="2"/>
          </w:tcPr>
          <w:p>
            <w:pPr>
              <w:pStyle w:val="TableParagraph"/>
              <w:spacing w:before="102"/>
              <w:ind w:left="640" w:right="627"/>
              <w:jc w:val="center"/>
              <w:rPr>
                <w:rFonts w:ascii="Caladea"/>
                <w:b/>
                <w:sz w:val="13"/>
              </w:rPr>
            </w:pPr>
            <w:r>
              <w:rPr>
                <w:rFonts w:ascii="Caladea"/>
                <w:b/>
                <w:sz w:val="13"/>
              </w:rPr>
              <w:t>IRPJ</w:t>
            </w:r>
          </w:p>
        </w:tc>
        <w:tc>
          <w:tcPr>
            <w:tcW w:w="1570" w:type="dxa"/>
            <w:gridSpan w:val="2"/>
          </w:tcPr>
          <w:p>
            <w:pPr>
              <w:pStyle w:val="TableParagraph"/>
              <w:spacing w:before="102"/>
              <w:ind w:left="597" w:right="582"/>
              <w:jc w:val="center"/>
              <w:rPr>
                <w:rFonts w:ascii="Caladea"/>
                <w:b/>
                <w:sz w:val="13"/>
              </w:rPr>
            </w:pPr>
            <w:r>
              <w:rPr>
                <w:rFonts w:ascii="Caladea"/>
                <w:b/>
                <w:sz w:val="13"/>
              </w:rPr>
              <w:t>CSLL</w:t>
            </w:r>
          </w:p>
        </w:tc>
        <w:tc>
          <w:tcPr>
            <w:tcW w:w="1571" w:type="dxa"/>
            <w:gridSpan w:val="2"/>
          </w:tcPr>
          <w:p>
            <w:pPr>
              <w:pStyle w:val="TableParagraph"/>
              <w:spacing w:before="102"/>
              <w:ind w:left="553" w:right="536"/>
              <w:jc w:val="center"/>
              <w:rPr>
                <w:rFonts w:ascii="Caladea"/>
                <w:b/>
                <w:sz w:val="13"/>
              </w:rPr>
            </w:pPr>
            <w:r>
              <w:rPr>
                <w:rFonts w:ascii="Caladea"/>
                <w:b/>
                <w:sz w:val="13"/>
              </w:rPr>
              <w:t>IRPJ</w:t>
            </w:r>
          </w:p>
        </w:tc>
        <w:tc>
          <w:tcPr>
            <w:tcW w:w="1724" w:type="dxa"/>
            <w:gridSpan w:val="2"/>
          </w:tcPr>
          <w:p>
            <w:pPr>
              <w:pStyle w:val="TableParagraph"/>
              <w:spacing w:before="102"/>
              <w:ind w:left="705" w:right="683"/>
              <w:jc w:val="center"/>
              <w:rPr>
                <w:rFonts w:ascii="Caladea"/>
                <w:b/>
                <w:sz w:val="13"/>
              </w:rPr>
            </w:pPr>
            <w:r>
              <w:rPr>
                <w:rFonts w:ascii="Caladea"/>
                <w:b/>
                <w:sz w:val="13"/>
              </w:rPr>
              <w:t>CSLL</w:t>
            </w:r>
          </w:p>
        </w:tc>
      </w:tr>
      <w:tr>
        <w:trPr>
          <w:trHeight w:val="285" w:hRule="atLeast"/>
        </w:trPr>
        <w:tc>
          <w:tcPr>
            <w:tcW w:w="3627" w:type="dxa"/>
            <w:vMerge/>
            <w:tcBorders>
              <w:top w:val="nil"/>
            </w:tcBorders>
            <w:shd w:val="clear" w:color="auto" w:fill="D7D7D7"/>
          </w:tcPr>
          <w:p>
            <w:pPr>
              <w:rPr>
                <w:sz w:val="2"/>
                <w:szCs w:val="2"/>
              </w:rPr>
            </w:pPr>
          </w:p>
        </w:tc>
        <w:tc>
          <w:tcPr>
            <w:tcW w:w="784" w:type="dxa"/>
          </w:tcPr>
          <w:p>
            <w:pPr>
              <w:pStyle w:val="TableParagraph"/>
              <w:spacing w:before="77"/>
              <w:ind w:right="63"/>
              <w:jc w:val="right"/>
              <w:rPr>
                <w:rFonts w:ascii="Caladea"/>
                <w:b/>
                <w:sz w:val="11"/>
              </w:rPr>
            </w:pPr>
            <w:r>
              <w:rPr>
                <w:rFonts w:ascii="Caladea"/>
                <w:b/>
                <w:sz w:val="11"/>
              </w:rPr>
              <w:t>31/12/2019</w:t>
            </w:r>
          </w:p>
        </w:tc>
        <w:tc>
          <w:tcPr>
            <w:tcW w:w="789" w:type="dxa"/>
          </w:tcPr>
          <w:p>
            <w:pPr>
              <w:pStyle w:val="TableParagraph"/>
              <w:spacing w:before="77"/>
              <w:ind w:right="65"/>
              <w:jc w:val="right"/>
              <w:rPr>
                <w:rFonts w:ascii="Caladea"/>
                <w:b/>
                <w:sz w:val="11"/>
              </w:rPr>
            </w:pPr>
            <w:r>
              <w:rPr>
                <w:rFonts w:ascii="Caladea"/>
                <w:b/>
                <w:sz w:val="11"/>
              </w:rPr>
              <w:t>31/12/2018</w:t>
            </w:r>
          </w:p>
        </w:tc>
        <w:tc>
          <w:tcPr>
            <w:tcW w:w="784" w:type="dxa"/>
          </w:tcPr>
          <w:p>
            <w:pPr>
              <w:pStyle w:val="TableParagraph"/>
              <w:spacing w:before="77"/>
              <w:ind w:right="63"/>
              <w:jc w:val="right"/>
              <w:rPr>
                <w:rFonts w:ascii="Caladea"/>
                <w:b/>
                <w:sz w:val="11"/>
              </w:rPr>
            </w:pPr>
            <w:r>
              <w:rPr>
                <w:rFonts w:ascii="Caladea"/>
                <w:b/>
                <w:sz w:val="11"/>
              </w:rPr>
              <w:t>31/12/2019</w:t>
            </w:r>
          </w:p>
        </w:tc>
        <w:tc>
          <w:tcPr>
            <w:tcW w:w="786" w:type="dxa"/>
          </w:tcPr>
          <w:p>
            <w:pPr>
              <w:pStyle w:val="TableParagraph"/>
              <w:spacing w:before="77"/>
              <w:ind w:right="62"/>
              <w:jc w:val="right"/>
              <w:rPr>
                <w:rFonts w:ascii="Caladea"/>
                <w:b/>
                <w:sz w:val="11"/>
              </w:rPr>
            </w:pPr>
            <w:r>
              <w:rPr>
                <w:rFonts w:ascii="Caladea"/>
                <w:b/>
                <w:sz w:val="11"/>
              </w:rPr>
              <w:t>31/12/2018</w:t>
            </w:r>
          </w:p>
        </w:tc>
        <w:tc>
          <w:tcPr>
            <w:tcW w:w="784" w:type="dxa"/>
          </w:tcPr>
          <w:p>
            <w:pPr>
              <w:pStyle w:val="TableParagraph"/>
              <w:spacing w:before="77"/>
              <w:ind w:right="61"/>
              <w:jc w:val="right"/>
              <w:rPr>
                <w:rFonts w:ascii="Caladea"/>
                <w:b/>
                <w:sz w:val="11"/>
              </w:rPr>
            </w:pPr>
            <w:r>
              <w:rPr>
                <w:rFonts w:ascii="Caladea"/>
                <w:b/>
                <w:sz w:val="11"/>
              </w:rPr>
              <w:t>31/12/2019</w:t>
            </w:r>
          </w:p>
        </w:tc>
        <w:tc>
          <w:tcPr>
            <w:tcW w:w="787" w:type="dxa"/>
          </w:tcPr>
          <w:p>
            <w:pPr>
              <w:pStyle w:val="TableParagraph"/>
              <w:spacing w:before="77"/>
              <w:ind w:right="59"/>
              <w:jc w:val="right"/>
              <w:rPr>
                <w:rFonts w:ascii="Caladea"/>
                <w:b/>
                <w:sz w:val="11"/>
              </w:rPr>
            </w:pPr>
            <w:r>
              <w:rPr>
                <w:rFonts w:ascii="Caladea"/>
                <w:b/>
                <w:sz w:val="11"/>
              </w:rPr>
              <w:t>31/12/2018</w:t>
            </w:r>
          </w:p>
        </w:tc>
        <w:tc>
          <w:tcPr>
            <w:tcW w:w="825" w:type="dxa"/>
          </w:tcPr>
          <w:p>
            <w:pPr>
              <w:pStyle w:val="TableParagraph"/>
              <w:spacing w:before="77"/>
              <w:ind w:right="79"/>
              <w:jc w:val="right"/>
              <w:rPr>
                <w:rFonts w:ascii="Caladea"/>
                <w:b/>
                <w:sz w:val="11"/>
              </w:rPr>
            </w:pPr>
            <w:r>
              <w:rPr>
                <w:rFonts w:ascii="Caladea"/>
                <w:b/>
                <w:sz w:val="11"/>
              </w:rPr>
              <w:t>31/12/2019</w:t>
            </w:r>
          </w:p>
        </w:tc>
        <w:tc>
          <w:tcPr>
            <w:tcW w:w="899" w:type="dxa"/>
          </w:tcPr>
          <w:p>
            <w:pPr>
              <w:pStyle w:val="TableParagraph"/>
              <w:spacing w:before="77"/>
              <w:ind w:left="140"/>
              <w:rPr>
                <w:rFonts w:ascii="Caladea"/>
                <w:b/>
                <w:sz w:val="11"/>
              </w:rPr>
            </w:pPr>
            <w:r>
              <w:rPr>
                <w:rFonts w:ascii="Caladea"/>
                <w:b/>
                <w:sz w:val="11"/>
              </w:rPr>
              <w:t>31/12/2018</w:t>
            </w:r>
          </w:p>
        </w:tc>
      </w:tr>
      <w:tr>
        <w:trPr>
          <w:trHeight w:val="170" w:hRule="atLeast"/>
        </w:trPr>
        <w:tc>
          <w:tcPr>
            <w:tcW w:w="3627" w:type="dxa"/>
          </w:tcPr>
          <w:p>
            <w:pPr>
              <w:pStyle w:val="TableParagraph"/>
              <w:spacing w:line="139" w:lineRule="exact" w:before="10"/>
              <w:ind w:left="101"/>
              <w:rPr>
                <w:rFonts w:ascii="Caladea"/>
                <w:b/>
                <w:sz w:val="13"/>
              </w:rPr>
            </w:pPr>
            <w:r>
              <w:rPr>
                <w:rFonts w:ascii="Caladea"/>
                <w:b/>
                <w:sz w:val="13"/>
              </w:rPr>
              <w:t>Resultado Antes dos Tributos Sobre o Lucro</w:t>
            </w:r>
          </w:p>
        </w:tc>
        <w:tc>
          <w:tcPr>
            <w:tcW w:w="784" w:type="dxa"/>
          </w:tcPr>
          <w:p>
            <w:pPr>
              <w:pStyle w:val="TableParagraph"/>
              <w:spacing w:line="139" w:lineRule="exact" w:before="10"/>
              <w:ind w:right="54"/>
              <w:jc w:val="right"/>
              <w:rPr>
                <w:rFonts w:ascii="Caladea"/>
                <w:b/>
                <w:sz w:val="13"/>
              </w:rPr>
            </w:pPr>
            <w:r>
              <w:rPr>
                <w:rFonts w:ascii="Caladea"/>
                <w:b/>
                <w:sz w:val="13"/>
              </w:rPr>
              <w:t>122.154</w:t>
            </w:r>
          </w:p>
        </w:tc>
        <w:tc>
          <w:tcPr>
            <w:tcW w:w="789" w:type="dxa"/>
          </w:tcPr>
          <w:p>
            <w:pPr>
              <w:pStyle w:val="TableParagraph"/>
              <w:spacing w:line="139" w:lineRule="exact" w:before="10"/>
              <w:ind w:right="56"/>
              <w:jc w:val="right"/>
              <w:rPr>
                <w:rFonts w:ascii="Caladea"/>
                <w:b/>
                <w:sz w:val="13"/>
              </w:rPr>
            </w:pPr>
            <w:r>
              <w:rPr>
                <w:rFonts w:ascii="Caladea"/>
                <w:b/>
                <w:sz w:val="13"/>
              </w:rPr>
              <w:t>87.227</w:t>
            </w:r>
          </w:p>
        </w:tc>
        <w:tc>
          <w:tcPr>
            <w:tcW w:w="784" w:type="dxa"/>
          </w:tcPr>
          <w:p>
            <w:pPr>
              <w:pStyle w:val="TableParagraph"/>
              <w:spacing w:line="139" w:lineRule="exact" w:before="10"/>
              <w:ind w:right="55"/>
              <w:jc w:val="right"/>
              <w:rPr>
                <w:rFonts w:ascii="Caladea"/>
                <w:b/>
                <w:sz w:val="13"/>
              </w:rPr>
            </w:pPr>
            <w:r>
              <w:rPr>
                <w:rFonts w:ascii="Caladea"/>
                <w:b/>
                <w:sz w:val="13"/>
              </w:rPr>
              <w:t>122.154</w:t>
            </w:r>
          </w:p>
        </w:tc>
        <w:tc>
          <w:tcPr>
            <w:tcW w:w="786" w:type="dxa"/>
          </w:tcPr>
          <w:p>
            <w:pPr>
              <w:pStyle w:val="TableParagraph"/>
              <w:spacing w:line="139" w:lineRule="exact" w:before="10"/>
              <w:ind w:right="55"/>
              <w:jc w:val="right"/>
              <w:rPr>
                <w:rFonts w:ascii="Caladea"/>
                <w:b/>
                <w:sz w:val="13"/>
              </w:rPr>
            </w:pPr>
            <w:r>
              <w:rPr>
                <w:rFonts w:ascii="Caladea"/>
                <w:b/>
                <w:sz w:val="13"/>
              </w:rPr>
              <w:t>87.227</w:t>
            </w:r>
          </w:p>
        </w:tc>
        <w:tc>
          <w:tcPr>
            <w:tcW w:w="784" w:type="dxa"/>
          </w:tcPr>
          <w:p>
            <w:pPr>
              <w:pStyle w:val="TableParagraph"/>
              <w:spacing w:line="139" w:lineRule="exact" w:before="10"/>
              <w:ind w:right="53"/>
              <w:jc w:val="right"/>
              <w:rPr>
                <w:rFonts w:ascii="Caladea"/>
                <w:b/>
                <w:sz w:val="13"/>
              </w:rPr>
            </w:pPr>
            <w:r>
              <w:rPr>
                <w:rFonts w:ascii="Caladea"/>
                <w:b/>
                <w:sz w:val="13"/>
              </w:rPr>
              <w:t>283.665</w:t>
            </w:r>
          </w:p>
        </w:tc>
        <w:tc>
          <w:tcPr>
            <w:tcW w:w="787" w:type="dxa"/>
          </w:tcPr>
          <w:p>
            <w:pPr>
              <w:pStyle w:val="TableParagraph"/>
              <w:spacing w:line="139" w:lineRule="exact" w:before="10"/>
              <w:ind w:right="49"/>
              <w:jc w:val="right"/>
              <w:rPr>
                <w:rFonts w:ascii="Caladea"/>
                <w:b/>
                <w:sz w:val="13"/>
              </w:rPr>
            </w:pPr>
            <w:r>
              <w:rPr>
                <w:rFonts w:ascii="Caladea"/>
                <w:b/>
                <w:sz w:val="13"/>
              </w:rPr>
              <w:t>82.005</w:t>
            </w:r>
          </w:p>
        </w:tc>
        <w:tc>
          <w:tcPr>
            <w:tcW w:w="825" w:type="dxa"/>
          </w:tcPr>
          <w:p>
            <w:pPr>
              <w:pStyle w:val="TableParagraph"/>
              <w:spacing w:line="139" w:lineRule="exact" w:before="10"/>
              <w:ind w:right="51"/>
              <w:jc w:val="right"/>
              <w:rPr>
                <w:rFonts w:ascii="Caladea"/>
                <w:b/>
                <w:sz w:val="13"/>
              </w:rPr>
            </w:pPr>
            <w:r>
              <w:rPr>
                <w:rFonts w:ascii="Caladea"/>
                <w:b/>
                <w:sz w:val="13"/>
              </w:rPr>
              <w:t>283.665</w:t>
            </w:r>
          </w:p>
        </w:tc>
        <w:tc>
          <w:tcPr>
            <w:tcW w:w="899" w:type="dxa"/>
          </w:tcPr>
          <w:p>
            <w:pPr>
              <w:pStyle w:val="TableParagraph"/>
              <w:spacing w:line="139" w:lineRule="exact" w:before="10"/>
              <w:ind w:right="48"/>
              <w:jc w:val="right"/>
              <w:rPr>
                <w:rFonts w:ascii="Caladea"/>
                <w:b/>
                <w:sz w:val="13"/>
              </w:rPr>
            </w:pPr>
            <w:r>
              <w:rPr>
                <w:rFonts w:ascii="Caladea"/>
                <w:b/>
                <w:sz w:val="13"/>
              </w:rPr>
              <w:t>82.005</w:t>
            </w:r>
          </w:p>
        </w:tc>
      </w:tr>
      <w:tr>
        <w:trPr>
          <w:trHeight w:val="153" w:hRule="atLeast"/>
        </w:trPr>
        <w:tc>
          <w:tcPr>
            <w:tcW w:w="3627" w:type="dxa"/>
          </w:tcPr>
          <w:p>
            <w:pPr>
              <w:pStyle w:val="TableParagraph"/>
              <w:spacing w:line="131" w:lineRule="exact" w:before="2"/>
              <w:ind w:left="216"/>
              <w:rPr>
                <w:sz w:val="13"/>
              </w:rPr>
            </w:pPr>
            <w:r>
              <w:rPr>
                <w:sz w:val="13"/>
              </w:rPr>
              <w:t>Resultado das Empresas Tributadas Pelo Lucro Presumido</w:t>
            </w:r>
          </w:p>
        </w:tc>
        <w:tc>
          <w:tcPr>
            <w:tcW w:w="784" w:type="dxa"/>
          </w:tcPr>
          <w:p>
            <w:pPr>
              <w:pStyle w:val="TableParagraph"/>
              <w:rPr>
                <w:rFonts w:ascii="Times New Roman"/>
                <w:sz w:val="8"/>
              </w:rPr>
            </w:pPr>
          </w:p>
        </w:tc>
        <w:tc>
          <w:tcPr>
            <w:tcW w:w="789" w:type="dxa"/>
          </w:tcPr>
          <w:p>
            <w:pPr>
              <w:pStyle w:val="TableParagraph"/>
              <w:rPr>
                <w:rFonts w:ascii="Times New Roman"/>
                <w:sz w:val="8"/>
              </w:rPr>
            </w:pPr>
          </w:p>
        </w:tc>
        <w:tc>
          <w:tcPr>
            <w:tcW w:w="784" w:type="dxa"/>
          </w:tcPr>
          <w:p>
            <w:pPr>
              <w:pStyle w:val="TableParagraph"/>
              <w:rPr>
                <w:rFonts w:ascii="Times New Roman"/>
                <w:sz w:val="8"/>
              </w:rPr>
            </w:pPr>
          </w:p>
        </w:tc>
        <w:tc>
          <w:tcPr>
            <w:tcW w:w="786" w:type="dxa"/>
          </w:tcPr>
          <w:p>
            <w:pPr>
              <w:pStyle w:val="TableParagraph"/>
              <w:rPr>
                <w:rFonts w:ascii="Times New Roman"/>
                <w:sz w:val="8"/>
              </w:rPr>
            </w:pPr>
          </w:p>
        </w:tc>
        <w:tc>
          <w:tcPr>
            <w:tcW w:w="784" w:type="dxa"/>
          </w:tcPr>
          <w:p>
            <w:pPr>
              <w:pStyle w:val="TableParagraph"/>
              <w:spacing w:line="131" w:lineRule="exact" w:before="2"/>
              <w:ind w:right="53"/>
              <w:jc w:val="right"/>
              <w:rPr>
                <w:sz w:val="13"/>
              </w:rPr>
            </w:pPr>
            <w:r>
              <w:rPr>
                <w:w w:val="95"/>
                <w:sz w:val="13"/>
              </w:rPr>
              <w:t>27.341</w:t>
            </w:r>
          </w:p>
        </w:tc>
        <w:tc>
          <w:tcPr>
            <w:tcW w:w="787" w:type="dxa"/>
          </w:tcPr>
          <w:p>
            <w:pPr>
              <w:pStyle w:val="TableParagraph"/>
              <w:spacing w:line="131" w:lineRule="exact" w:before="2"/>
              <w:ind w:right="48"/>
              <w:jc w:val="right"/>
              <w:rPr>
                <w:sz w:val="13"/>
              </w:rPr>
            </w:pPr>
            <w:r>
              <w:rPr>
                <w:sz w:val="13"/>
              </w:rPr>
              <w:t>(98.146)</w:t>
            </w:r>
          </w:p>
        </w:tc>
        <w:tc>
          <w:tcPr>
            <w:tcW w:w="825" w:type="dxa"/>
          </w:tcPr>
          <w:p>
            <w:pPr>
              <w:pStyle w:val="TableParagraph"/>
              <w:spacing w:line="131" w:lineRule="exact" w:before="2"/>
              <w:ind w:right="52"/>
              <w:jc w:val="right"/>
              <w:rPr>
                <w:sz w:val="13"/>
              </w:rPr>
            </w:pPr>
            <w:r>
              <w:rPr>
                <w:w w:val="95"/>
                <w:sz w:val="13"/>
              </w:rPr>
              <w:t>27.341</w:t>
            </w:r>
          </w:p>
        </w:tc>
        <w:tc>
          <w:tcPr>
            <w:tcW w:w="899" w:type="dxa"/>
          </w:tcPr>
          <w:p>
            <w:pPr>
              <w:pStyle w:val="TableParagraph"/>
              <w:spacing w:line="131" w:lineRule="exact" w:before="2"/>
              <w:ind w:right="47"/>
              <w:jc w:val="right"/>
              <w:rPr>
                <w:sz w:val="13"/>
              </w:rPr>
            </w:pPr>
            <w:r>
              <w:rPr>
                <w:sz w:val="13"/>
              </w:rPr>
              <w:t>(98.146)</w:t>
            </w:r>
          </w:p>
        </w:tc>
      </w:tr>
      <w:tr>
        <w:trPr>
          <w:trHeight w:val="153" w:hRule="atLeast"/>
        </w:trPr>
        <w:tc>
          <w:tcPr>
            <w:tcW w:w="3627" w:type="dxa"/>
          </w:tcPr>
          <w:p>
            <w:pPr>
              <w:pStyle w:val="TableParagraph"/>
              <w:spacing w:line="132" w:lineRule="exact" w:before="1"/>
              <w:ind w:left="101"/>
              <w:rPr>
                <w:rFonts w:ascii="Caladea" w:hAnsi="Caladea"/>
                <w:b/>
                <w:sz w:val="13"/>
              </w:rPr>
            </w:pPr>
            <w:r>
              <w:rPr>
                <w:rFonts w:ascii="Caladea" w:hAnsi="Caladea"/>
                <w:b/>
                <w:sz w:val="13"/>
              </w:rPr>
              <w:t>Total do Resultado Tributável</w:t>
            </w:r>
          </w:p>
        </w:tc>
        <w:tc>
          <w:tcPr>
            <w:tcW w:w="784" w:type="dxa"/>
          </w:tcPr>
          <w:p>
            <w:pPr>
              <w:pStyle w:val="TableParagraph"/>
              <w:spacing w:line="132" w:lineRule="exact" w:before="1"/>
              <w:ind w:right="54"/>
              <w:jc w:val="right"/>
              <w:rPr>
                <w:rFonts w:ascii="Caladea"/>
                <w:b/>
                <w:sz w:val="13"/>
              </w:rPr>
            </w:pPr>
            <w:r>
              <w:rPr>
                <w:rFonts w:ascii="Caladea"/>
                <w:b/>
                <w:sz w:val="13"/>
              </w:rPr>
              <w:t>122.154</w:t>
            </w:r>
          </w:p>
        </w:tc>
        <w:tc>
          <w:tcPr>
            <w:tcW w:w="789" w:type="dxa"/>
          </w:tcPr>
          <w:p>
            <w:pPr>
              <w:pStyle w:val="TableParagraph"/>
              <w:spacing w:line="132" w:lineRule="exact" w:before="1"/>
              <w:ind w:right="56"/>
              <w:jc w:val="right"/>
              <w:rPr>
                <w:rFonts w:ascii="Caladea"/>
                <w:b/>
                <w:sz w:val="13"/>
              </w:rPr>
            </w:pPr>
            <w:r>
              <w:rPr>
                <w:rFonts w:ascii="Caladea"/>
                <w:b/>
                <w:sz w:val="13"/>
              </w:rPr>
              <w:t>87.227</w:t>
            </w:r>
          </w:p>
        </w:tc>
        <w:tc>
          <w:tcPr>
            <w:tcW w:w="784" w:type="dxa"/>
          </w:tcPr>
          <w:p>
            <w:pPr>
              <w:pStyle w:val="TableParagraph"/>
              <w:spacing w:line="132" w:lineRule="exact" w:before="1"/>
              <w:ind w:right="55"/>
              <w:jc w:val="right"/>
              <w:rPr>
                <w:rFonts w:ascii="Caladea"/>
                <w:b/>
                <w:sz w:val="13"/>
              </w:rPr>
            </w:pPr>
            <w:r>
              <w:rPr>
                <w:rFonts w:ascii="Caladea"/>
                <w:b/>
                <w:sz w:val="13"/>
              </w:rPr>
              <w:t>122.154</w:t>
            </w:r>
          </w:p>
        </w:tc>
        <w:tc>
          <w:tcPr>
            <w:tcW w:w="786" w:type="dxa"/>
          </w:tcPr>
          <w:p>
            <w:pPr>
              <w:pStyle w:val="TableParagraph"/>
              <w:spacing w:line="132" w:lineRule="exact" w:before="1"/>
              <w:ind w:right="55"/>
              <w:jc w:val="right"/>
              <w:rPr>
                <w:rFonts w:ascii="Caladea"/>
                <w:b/>
                <w:sz w:val="13"/>
              </w:rPr>
            </w:pPr>
            <w:r>
              <w:rPr>
                <w:rFonts w:ascii="Caladea"/>
                <w:b/>
                <w:sz w:val="13"/>
              </w:rPr>
              <w:t>87.227</w:t>
            </w:r>
          </w:p>
        </w:tc>
        <w:tc>
          <w:tcPr>
            <w:tcW w:w="784" w:type="dxa"/>
          </w:tcPr>
          <w:p>
            <w:pPr>
              <w:pStyle w:val="TableParagraph"/>
              <w:spacing w:line="132" w:lineRule="exact" w:before="1"/>
              <w:ind w:right="53"/>
              <w:jc w:val="right"/>
              <w:rPr>
                <w:rFonts w:ascii="Caladea"/>
                <w:b/>
                <w:sz w:val="13"/>
              </w:rPr>
            </w:pPr>
            <w:r>
              <w:rPr>
                <w:rFonts w:ascii="Caladea"/>
                <w:b/>
                <w:sz w:val="13"/>
              </w:rPr>
              <w:t>311.006</w:t>
            </w:r>
          </w:p>
        </w:tc>
        <w:tc>
          <w:tcPr>
            <w:tcW w:w="787" w:type="dxa"/>
          </w:tcPr>
          <w:p>
            <w:pPr>
              <w:pStyle w:val="TableParagraph"/>
              <w:spacing w:line="132" w:lineRule="exact" w:before="1"/>
              <w:ind w:right="49"/>
              <w:jc w:val="right"/>
              <w:rPr>
                <w:rFonts w:ascii="Caladea"/>
                <w:b/>
                <w:sz w:val="13"/>
              </w:rPr>
            </w:pPr>
            <w:r>
              <w:rPr>
                <w:rFonts w:ascii="Caladea"/>
                <w:b/>
                <w:sz w:val="13"/>
              </w:rPr>
              <w:t>(16.141)</w:t>
            </w:r>
          </w:p>
        </w:tc>
        <w:tc>
          <w:tcPr>
            <w:tcW w:w="825" w:type="dxa"/>
          </w:tcPr>
          <w:p>
            <w:pPr>
              <w:pStyle w:val="TableParagraph"/>
              <w:spacing w:line="132" w:lineRule="exact" w:before="1"/>
              <w:ind w:right="51"/>
              <w:jc w:val="right"/>
              <w:rPr>
                <w:rFonts w:ascii="Caladea"/>
                <w:b/>
                <w:sz w:val="13"/>
              </w:rPr>
            </w:pPr>
            <w:r>
              <w:rPr>
                <w:rFonts w:ascii="Caladea"/>
                <w:b/>
                <w:sz w:val="13"/>
              </w:rPr>
              <w:t>311.006</w:t>
            </w:r>
          </w:p>
        </w:tc>
        <w:tc>
          <w:tcPr>
            <w:tcW w:w="899" w:type="dxa"/>
          </w:tcPr>
          <w:p>
            <w:pPr>
              <w:pStyle w:val="TableParagraph"/>
              <w:spacing w:line="132" w:lineRule="exact" w:before="1"/>
              <w:ind w:right="48"/>
              <w:jc w:val="right"/>
              <w:rPr>
                <w:rFonts w:ascii="Caladea"/>
                <w:b/>
                <w:sz w:val="13"/>
              </w:rPr>
            </w:pPr>
            <w:r>
              <w:rPr>
                <w:rFonts w:ascii="Caladea"/>
                <w:b/>
                <w:sz w:val="13"/>
              </w:rPr>
              <w:t>(16.141)</w:t>
            </w:r>
          </w:p>
        </w:tc>
      </w:tr>
      <w:tr>
        <w:trPr>
          <w:trHeight w:val="150" w:hRule="atLeast"/>
        </w:trPr>
        <w:tc>
          <w:tcPr>
            <w:tcW w:w="3627" w:type="dxa"/>
          </w:tcPr>
          <w:p>
            <w:pPr>
              <w:pStyle w:val="TableParagraph"/>
              <w:spacing w:line="131" w:lineRule="exact"/>
              <w:ind w:left="216"/>
              <w:rPr>
                <w:sz w:val="13"/>
              </w:rPr>
            </w:pPr>
            <w:r>
              <w:rPr>
                <w:sz w:val="13"/>
              </w:rPr>
              <w:t>Equivalência Patrimonial</w:t>
            </w:r>
          </w:p>
        </w:tc>
        <w:tc>
          <w:tcPr>
            <w:tcW w:w="784" w:type="dxa"/>
          </w:tcPr>
          <w:p>
            <w:pPr>
              <w:pStyle w:val="TableParagraph"/>
              <w:spacing w:line="131" w:lineRule="exact"/>
              <w:ind w:right="53"/>
              <w:jc w:val="right"/>
              <w:rPr>
                <w:sz w:val="13"/>
              </w:rPr>
            </w:pPr>
            <w:r>
              <w:rPr>
                <w:sz w:val="13"/>
              </w:rPr>
              <w:t>(119.074)</w:t>
            </w:r>
          </w:p>
        </w:tc>
        <w:tc>
          <w:tcPr>
            <w:tcW w:w="789" w:type="dxa"/>
          </w:tcPr>
          <w:p>
            <w:pPr>
              <w:pStyle w:val="TableParagraph"/>
              <w:spacing w:line="131" w:lineRule="exact"/>
              <w:ind w:right="55"/>
              <w:jc w:val="right"/>
              <w:rPr>
                <w:sz w:val="13"/>
              </w:rPr>
            </w:pPr>
            <w:r>
              <w:rPr>
                <w:sz w:val="13"/>
              </w:rPr>
              <w:t>(80.144)</w:t>
            </w:r>
          </w:p>
        </w:tc>
        <w:tc>
          <w:tcPr>
            <w:tcW w:w="784" w:type="dxa"/>
          </w:tcPr>
          <w:p>
            <w:pPr>
              <w:pStyle w:val="TableParagraph"/>
              <w:spacing w:line="131" w:lineRule="exact"/>
              <w:ind w:right="53"/>
              <w:jc w:val="right"/>
              <w:rPr>
                <w:sz w:val="13"/>
              </w:rPr>
            </w:pPr>
            <w:r>
              <w:rPr>
                <w:sz w:val="13"/>
              </w:rPr>
              <w:t>(119.074)</w:t>
            </w:r>
          </w:p>
        </w:tc>
        <w:tc>
          <w:tcPr>
            <w:tcW w:w="786" w:type="dxa"/>
          </w:tcPr>
          <w:p>
            <w:pPr>
              <w:pStyle w:val="TableParagraph"/>
              <w:spacing w:line="131" w:lineRule="exact"/>
              <w:ind w:right="52"/>
              <w:jc w:val="right"/>
              <w:rPr>
                <w:sz w:val="13"/>
              </w:rPr>
            </w:pPr>
            <w:r>
              <w:rPr>
                <w:sz w:val="13"/>
              </w:rPr>
              <w:t>(80.144)</w:t>
            </w:r>
          </w:p>
        </w:tc>
        <w:tc>
          <w:tcPr>
            <w:tcW w:w="784" w:type="dxa"/>
          </w:tcPr>
          <w:p>
            <w:pPr>
              <w:pStyle w:val="TableParagraph"/>
              <w:spacing w:line="131" w:lineRule="exact"/>
              <w:ind w:right="51"/>
              <w:jc w:val="right"/>
              <w:rPr>
                <w:sz w:val="13"/>
              </w:rPr>
            </w:pPr>
            <w:r>
              <w:rPr>
                <w:sz w:val="13"/>
              </w:rPr>
              <w:t>(133.489)</w:t>
            </w:r>
          </w:p>
        </w:tc>
        <w:tc>
          <w:tcPr>
            <w:tcW w:w="787" w:type="dxa"/>
          </w:tcPr>
          <w:p>
            <w:pPr>
              <w:pStyle w:val="TableParagraph"/>
              <w:spacing w:line="131" w:lineRule="exact"/>
              <w:ind w:right="48"/>
              <w:jc w:val="right"/>
              <w:rPr>
                <w:sz w:val="13"/>
              </w:rPr>
            </w:pPr>
            <w:r>
              <w:rPr>
                <w:sz w:val="13"/>
              </w:rPr>
              <w:t>(87.728)</w:t>
            </w:r>
          </w:p>
        </w:tc>
        <w:tc>
          <w:tcPr>
            <w:tcW w:w="825" w:type="dxa"/>
          </w:tcPr>
          <w:p>
            <w:pPr>
              <w:pStyle w:val="TableParagraph"/>
              <w:spacing w:line="131" w:lineRule="exact"/>
              <w:ind w:right="50"/>
              <w:jc w:val="right"/>
              <w:rPr>
                <w:sz w:val="13"/>
              </w:rPr>
            </w:pPr>
            <w:r>
              <w:rPr>
                <w:sz w:val="13"/>
              </w:rPr>
              <w:t>(133.489)</w:t>
            </w:r>
          </w:p>
        </w:tc>
        <w:tc>
          <w:tcPr>
            <w:tcW w:w="899" w:type="dxa"/>
          </w:tcPr>
          <w:p>
            <w:pPr>
              <w:pStyle w:val="TableParagraph"/>
              <w:spacing w:line="131" w:lineRule="exact"/>
              <w:ind w:right="47"/>
              <w:jc w:val="right"/>
              <w:rPr>
                <w:sz w:val="13"/>
              </w:rPr>
            </w:pPr>
            <w:r>
              <w:rPr>
                <w:sz w:val="13"/>
              </w:rPr>
              <w:t>(87.728)</w:t>
            </w:r>
          </w:p>
        </w:tc>
      </w:tr>
      <w:tr>
        <w:trPr>
          <w:trHeight w:val="153" w:hRule="atLeast"/>
        </w:trPr>
        <w:tc>
          <w:tcPr>
            <w:tcW w:w="3627" w:type="dxa"/>
          </w:tcPr>
          <w:p>
            <w:pPr>
              <w:pStyle w:val="TableParagraph"/>
              <w:spacing w:line="131" w:lineRule="exact" w:before="2"/>
              <w:ind w:left="216"/>
              <w:rPr>
                <w:sz w:val="13"/>
              </w:rPr>
            </w:pPr>
            <w:r>
              <w:rPr>
                <w:sz w:val="13"/>
              </w:rPr>
              <w:t>Adições/Exclusões Permanentes</w:t>
            </w:r>
          </w:p>
        </w:tc>
        <w:tc>
          <w:tcPr>
            <w:tcW w:w="784" w:type="dxa"/>
          </w:tcPr>
          <w:p>
            <w:pPr>
              <w:pStyle w:val="TableParagraph"/>
              <w:spacing w:line="131" w:lineRule="exact" w:before="2"/>
              <w:ind w:right="54"/>
              <w:jc w:val="right"/>
              <w:rPr>
                <w:sz w:val="13"/>
              </w:rPr>
            </w:pPr>
            <w:r>
              <w:rPr>
                <w:w w:val="95"/>
                <w:sz w:val="13"/>
              </w:rPr>
              <w:t>2.797</w:t>
            </w:r>
          </w:p>
        </w:tc>
        <w:tc>
          <w:tcPr>
            <w:tcW w:w="789" w:type="dxa"/>
          </w:tcPr>
          <w:p>
            <w:pPr>
              <w:pStyle w:val="TableParagraph"/>
              <w:spacing w:line="131" w:lineRule="exact" w:before="2"/>
              <w:ind w:right="56"/>
              <w:jc w:val="right"/>
              <w:rPr>
                <w:sz w:val="13"/>
              </w:rPr>
            </w:pPr>
            <w:r>
              <w:rPr>
                <w:w w:val="95"/>
                <w:sz w:val="13"/>
              </w:rPr>
              <w:t>15.114</w:t>
            </w:r>
          </w:p>
        </w:tc>
        <w:tc>
          <w:tcPr>
            <w:tcW w:w="784" w:type="dxa"/>
          </w:tcPr>
          <w:p>
            <w:pPr>
              <w:pStyle w:val="TableParagraph"/>
              <w:spacing w:line="131" w:lineRule="exact" w:before="2"/>
              <w:ind w:right="55"/>
              <w:jc w:val="right"/>
              <w:rPr>
                <w:sz w:val="13"/>
              </w:rPr>
            </w:pPr>
            <w:r>
              <w:rPr>
                <w:w w:val="95"/>
                <w:sz w:val="13"/>
              </w:rPr>
              <w:t>2.797</w:t>
            </w:r>
          </w:p>
        </w:tc>
        <w:tc>
          <w:tcPr>
            <w:tcW w:w="786" w:type="dxa"/>
          </w:tcPr>
          <w:p>
            <w:pPr>
              <w:pStyle w:val="TableParagraph"/>
              <w:spacing w:line="131" w:lineRule="exact" w:before="2"/>
              <w:ind w:right="54"/>
              <w:jc w:val="right"/>
              <w:rPr>
                <w:sz w:val="13"/>
              </w:rPr>
            </w:pPr>
            <w:r>
              <w:rPr>
                <w:w w:val="95"/>
                <w:sz w:val="13"/>
              </w:rPr>
              <w:t>15.114</w:t>
            </w:r>
          </w:p>
        </w:tc>
        <w:tc>
          <w:tcPr>
            <w:tcW w:w="784" w:type="dxa"/>
          </w:tcPr>
          <w:p>
            <w:pPr>
              <w:pStyle w:val="TableParagraph"/>
              <w:spacing w:line="131" w:lineRule="exact" w:before="2"/>
              <w:ind w:right="53"/>
              <w:jc w:val="right"/>
              <w:rPr>
                <w:sz w:val="13"/>
              </w:rPr>
            </w:pPr>
            <w:r>
              <w:rPr>
                <w:sz w:val="13"/>
              </w:rPr>
              <w:t>101.886</w:t>
            </w:r>
          </w:p>
        </w:tc>
        <w:tc>
          <w:tcPr>
            <w:tcW w:w="787" w:type="dxa"/>
          </w:tcPr>
          <w:p>
            <w:pPr>
              <w:pStyle w:val="TableParagraph"/>
              <w:spacing w:line="131" w:lineRule="exact" w:before="2"/>
              <w:ind w:right="50"/>
              <w:jc w:val="right"/>
              <w:rPr>
                <w:sz w:val="13"/>
              </w:rPr>
            </w:pPr>
            <w:r>
              <w:rPr>
                <w:w w:val="95"/>
                <w:sz w:val="13"/>
              </w:rPr>
              <w:t>37.816</w:t>
            </w:r>
          </w:p>
        </w:tc>
        <w:tc>
          <w:tcPr>
            <w:tcW w:w="825" w:type="dxa"/>
          </w:tcPr>
          <w:p>
            <w:pPr>
              <w:pStyle w:val="TableParagraph"/>
              <w:spacing w:line="131" w:lineRule="exact" w:before="2"/>
              <w:ind w:right="51"/>
              <w:jc w:val="right"/>
              <w:rPr>
                <w:sz w:val="13"/>
              </w:rPr>
            </w:pPr>
            <w:r>
              <w:rPr>
                <w:sz w:val="13"/>
              </w:rPr>
              <w:t>101.886</w:t>
            </w:r>
          </w:p>
        </w:tc>
        <w:tc>
          <w:tcPr>
            <w:tcW w:w="899" w:type="dxa"/>
          </w:tcPr>
          <w:p>
            <w:pPr>
              <w:pStyle w:val="TableParagraph"/>
              <w:spacing w:line="131" w:lineRule="exact" w:before="2"/>
              <w:ind w:right="48"/>
              <w:jc w:val="right"/>
              <w:rPr>
                <w:sz w:val="13"/>
              </w:rPr>
            </w:pPr>
            <w:r>
              <w:rPr>
                <w:w w:val="95"/>
                <w:sz w:val="13"/>
              </w:rPr>
              <w:t>37.816</w:t>
            </w:r>
          </w:p>
        </w:tc>
      </w:tr>
      <w:tr>
        <w:trPr>
          <w:trHeight w:val="153" w:hRule="atLeast"/>
        </w:trPr>
        <w:tc>
          <w:tcPr>
            <w:tcW w:w="3627" w:type="dxa"/>
          </w:tcPr>
          <w:p>
            <w:pPr>
              <w:pStyle w:val="TableParagraph"/>
              <w:spacing w:line="131" w:lineRule="exact" w:before="2"/>
              <w:ind w:left="216"/>
              <w:rPr>
                <w:sz w:val="13"/>
              </w:rPr>
            </w:pPr>
            <w:r>
              <w:rPr>
                <w:sz w:val="13"/>
              </w:rPr>
              <w:t>Adições/Exclusões Temporárias</w:t>
            </w:r>
          </w:p>
        </w:tc>
        <w:tc>
          <w:tcPr>
            <w:tcW w:w="784" w:type="dxa"/>
          </w:tcPr>
          <w:p>
            <w:pPr>
              <w:pStyle w:val="TableParagraph"/>
              <w:spacing w:line="131" w:lineRule="exact" w:before="2"/>
              <w:ind w:right="54"/>
              <w:jc w:val="right"/>
              <w:rPr>
                <w:sz w:val="13"/>
              </w:rPr>
            </w:pPr>
            <w:r>
              <w:rPr>
                <w:w w:val="95"/>
                <w:sz w:val="13"/>
              </w:rPr>
              <w:t>3.864</w:t>
            </w:r>
          </w:p>
        </w:tc>
        <w:tc>
          <w:tcPr>
            <w:tcW w:w="789" w:type="dxa"/>
          </w:tcPr>
          <w:p>
            <w:pPr>
              <w:pStyle w:val="TableParagraph"/>
              <w:spacing w:line="131" w:lineRule="exact" w:before="2"/>
              <w:ind w:right="55"/>
              <w:jc w:val="right"/>
              <w:rPr>
                <w:sz w:val="13"/>
              </w:rPr>
            </w:pPr>
            <w:r>
              <w:rPr>
                <w:sz w:val="13"/>
              </w:rPr>
              <w:t>(12.113)</w:t>
            </w:r>
          </w:p>
        </w:tc>
        <w:tc>
          <w:tcPr>
            <w:tcW w:w="784" w:type="dxa"/>
          </w:tcPr>
          <w:p>
            <w:pPr>
              <w:pStyle w:val="TableParagraph"/>
              <w:spacing w:line="131" w:lineRule="exact" w:before="2"/>
              <w:ind w:right="55"/>
              <w:jc w:val="right"/>
              <w:rPr>
                <w:sz w:val="13"/>
              </w:rPr>
            </w:pPr>
            <w:r>
              <w:rPr>
                <w:w w:val="95"/>
                <w:sz w:val="13"/>
              </w:rPr>
              <w:t>3.864</w:t>
            </w:r>
          </w:p>
        </w:tc>
        <w:tc>
          <w:tcPr>
            <w:tcW w:w="786" w:type="dxa"/>
          </w:tcPr>
          <w:p>
            <w:pPr>
              <w:pStyle w:val="TableParagraph"/>
              <w:spacing w:line="131" w:lineRule="exact" w:before="2"/>
              <w:ind w:right="52"/>
              <w:jc w:val="right"/>
              <w:rPr>
                <w:sz w:val="13"/>
              </w:rPr>
            </w:pPr>
            <w:r>
              <w:rPr>
                <w:sz w:val="13"/>
              </w:rPr>
              <w:t>(12.113)</w:t>
            </w:r>
          </w:p>
        </w:tc>
        <w:tc>
          <w:tcPr>
            <w:tcW w:w="784" w:type="dxa"/>
          </w:tcPr>
          <w:p>
            <w:pPr>
              <w:pStyle w:val="TableParagraph"/>
              <w:spacing w:line="131" w:lineRule="exact" w:before="2"/>
              <w:ind w:right="53"/>
              <w:jc w:val="right"/>
              <w:rPr>
                <w:sz w:val="13"/>
              </w:rPr>
            </w:pPr>
            <w:r>
              <w:rPr>
                <w:sz w:val="13"/>
              </w:rPr>
              <w:t>230.834</w:t>
            </w:r>
          </w:p>
        </w:tc>
        <w:tc>
          <w:tcPr>
            <w:tcW w:w="787" w:type="dxa"/>
          </w:tcPr>
          <w:p>
            <w:pPr>
              <w:pStyle w:val="TableParagraph"/>
              <w:spacing w:line="131" w:lineRule="exact" w:before="2"/>
              <w:ind w:right="50"/>
              <w:jc w:val="right"/>
              <w:rPr>
                <w:sz w:val="13"/>
              </w:rPr>
            </w:pPr>
            <w:r>
              <w:rPr>
                <w:w w:val="95"/>
                <w:sz w:val="13"/>
              </w:rPr>
              <w:t>49.693</w:t>
            </w:r>
          </w:p>
        </w:tc>
        <w:tc>
          <w:tcPr>
            <w:tcW w:w="825" w:type="dxa"/>
          </w:tcPr>
          <w:p>
            <w:pPr>
              <w:pStyle w:val="TableParagraph"/>
              <w:spacing w:line="131" w:lineRule="exact" w:before="2"/>
              <w:ind w:right="51"/>
              <w:jc w:val="right"/>
              <w:rPr>
                <w:sz w:val="13"/>
              </w:rPr>
            </w:pPr>
            <w:r>
              <w:rPr>
                <w:sz w:val="13"/>
              </w:rPr>
              <w:t>230.834</w:t>
            </w:r>
          </w:p>
        </w:tc>
        <w:tc>
          <w:tcPr>
            <w:tcW w:w="899" w:type="dxa"/>
          </w:tcPr>
          <w:p>
            <w:pPr>
              <w:pStyle w:val="TableParagraph"/>
              <w:spacing w:line="131" w:lineRule="exact" w:before="2"/>
              <w:ind w:right="48"/>
              <w:jc w:val="right"/>
              <w:rPr>
                <w:sz w:val="13"/>
              </w:rPr>
            </w:pPr>
            <w:r>
              <w:rPr>
                <w:w w:val="95"/>
                <w:sz w:val="13"/>
              </w:rPr>
              <w:t>49.693</w:t>
            </w:r>
          </w:p>
        </w:tc>
      </w:tr>
      <w:tr>
        <w:trPr>
          <w:trHeight w:val="150" w:hRule="atLeast"/>
        </w:trPr>
        <w:tc>
          <w:tcPr>
            <w:tcW w:w="3627" w:type="dxa"/>
          </w:tcPr>
          <w:p>
            <w:pPr>
              <w:pStyle w:val="TableParagraph"/>
              <w:spacing w:line="131" w:lineRule="exact"/>
              <w:ind w:left="101"/>
              <w:rPr>
                <w:rFonts w:ascii="Caladea" w:hAnsi="Caladea"/>
                <w:b/>
                <w:sz w:val="13"/>
              </w:rPr>
            </w:pPr>
            <w:r>
              <w:rPr>
                <w:rFonts w:ascii="Caladea" w:hAnsi="Caladea"/>
                <w:b/>
                <w:sz w:val="13"/>
              </w:rPr>
              <w:t>Base de Cálculo Antes da Compensação do Prejuízo Fiscal</w:t>
            </w:r>
          </w:p>
        </w:tc>
        <w:tc>
          <w:tcPr>
            <w:tcW w:w="784" w:type="dxa"/>
          </w:tcPr>
          <w:p>
            <w:pPr>
              <w:pStyle w:val="TableParagraph"/>
              <w:spacing w:line="131" w:lineRule="exact"/>
              <w:ind w:right="54"/>
              <w:jc w:val="right"/>
              <w:rPr>
                <w:rFonts w:ascii="Caladea"/>
                <w:b/>
                <w:sz w:val="13"/>
              </w:rPr>
            </w:pPr>
            <w:r>
              <w:rPr>
                <w:rFonts w:ascii="Caladea"/>
                <w:b/>
                <w:sz w:val="13"/>
              </w:rPr>
              <w:t>9.741</w:t>
            </w:r>
          </w:p>
        </w:tc>
        <w:tc>
          <w:tcPr>
            <w:tcW w:w="789" w:type="dxa"/>
          </w:tcPr>
          <w:p>
            <w:pPr>
              <w:pStyle w:val="TableParagraph"/>
              <w:spacing w:line="131" w:lineRule="exact"/>
              <w:ind w:right="56"/>
              <w:jc w:val="right"/>
              <w:rPr>
                <w:rFonts w:ascii="Caladea"/>
                <w:b/>
                <w:sz w:val="13"/>
              </w:rPr>
            </w:pPr>
            <w:r>
              <w:rPr>
                <w:rFonts w:ascii="Caladea"/>
                <w:b/>
                <w:sz w:val="13"/>
              </w:rPr>
              <w:t>10.084</w:t>
            </w:r>
          </w:p>
        </w:tc>
        <w:tc>
          <w:tcPr>
            <w:tcW w:w="784" w:type="dxa"/>
          </w:tcPr>
          <w:p>
            <w:pPr>
              <w:pStyle w:val="TableParagraph"/>
              <w:spacing w:line="131" w:lineRule="exact"/>
              <w:ind w:right="55"/>
              <w:jc w:val="right"/>
              <w:rPr>
                <w:rFonts w:ascii="Caladea"/>
                <w:b/>
                <w:sz w:val="13"/>
              </w:rPr>
            </w:pPr>
            <w:r>
              <w:rPr>
                <w:rFonts w:ascii="Caladea"/>
                <w:b/>
                <w:sz w:val="13"/>
              </w:rPr>
              <w:t>9.741</w:t>
            </w:r>
          </w:p>
        </w:tc>
        <w:tc>
          <w:tcPr>
            <w:tcW w:w="786" w:type="dxa"/>
          </w:tcPr>
          <w:p>
            <w:pPr>
              <w:pStyle w:val="TableParagraph"/>
              <w:spacing w:line="131" w:lineRule="exact"/>
              <w:ind w:right="55"/>
              <w:jc w:val="right"/>
              <w:rPr>
                <w:rFonts w:ascii="Caladea"/>
                <w:b/>
                <w:sz w:val="13"/>
              </w:rPr>
            </w:pPr>
            <w:r>
              <w:rPr>
                <w:rFonts w:ascii="Caladea"/>
                <w:b/>
                <w:sz w:val="13"/>
              </w:rPr>
              <w:t>10.084</w:t>
            </w:r>
          </w:p>
        </w:tc>
        <w:tc>
          <w:tcPr>
            <w:tcW w:w="784" w:type="dxa"/>
          </w:tcPr>
          <w:p>
            <w:pPr>
              <w:pStyle w:val="TableParagraph"/>
              <w:spacing w:line="131" w:lineRule="exact"/>
              <w:ind w:right="53"/>
              <w:jc w:val="right"/>
              <w:rPr>
                <w:rFonts w:ascii="Caladea"/>
                <w:b/>
                <w:sz w:val="13"/>
              </w:rPr>
            </w:pPr>
            <w:r>
              <w:rPr>
                <w:rFonts w:ascii="Caladea"/>
                <w:b/>
                <w:sz w:val="13"/>
              </w:rPr>
              <w:t>510.237</w:t>
            </w:r>
          </w:p>
        </w:tc>
        <w:tc>
          <w:tcPr>
            <w:tcW w:w="787" w:type="dxa"/>
          </w:tcPr>
          <w:p>
            <w:pPr>
              <w:pStyle w:val="TableParagraph"/>
              <w:spacing w:line="131" w:lineRule="exact"/>
              <w:ind w:right="49"/>
              <w:jc w:val="right"/>
              <w:rPr>
                <w:rFonts w:ascii="Caladea"/>
                <w:b/>
                <w:sz w:val="13"/>
              </w:rPr>
            </w:pPr>
            <w:r>
              <w:rPr>
                <w:rFonts w:ascii="Caladea"/>
                <w:b/>
                <w:sz w:val="13"/>
              </w:rPr>
              <w:t>(16.360)</w:t>
            </w:r>
          </w:p>
        </w:tc>
        <w:tc>
          <w:tcPr>
            <w:tcW w:w="825" w:type="dxa"/>
          </w:tcPr>
          <w:p>
            <w:pPr>
              <w:pStyle w:val="TableParagraph"/>
              <w:spacing w:line="131" w:lineRule="exact"/>
              <w:ind w:right="51"/>
              <w:jc w:val="right"/>
              <w:rPr>
                <w:rFonts w:ascii="Caladea"/>
                <w:b/>
                <w:sz w:val="13"/>
              </w:rPr>
            </w:pPr>
            <w:r>
              <w:rPr>
                <w:rFonts w:ascii="Caladea"/>
                <w:b/>
                <w:sz w:val="13"/>
              </w:rPr>
              <w:t>510.237</w:t>
            </w:r>
          </w:p>
        </w:tc>
        <w:tc>
          <w:tcPr>
            <w:tcW w:w="899" w:type="dxa"/>
          </w:tcPr>
          <w:p>
            <w:pPr>
              <w:pStyle w:val="TableParagraph"/>
              <w:spacing w:line="131" w:lineRule="exact"/>
              <w:ind w:right="48"/>
              <w:jc w:val="right"/>
              <w:rPr>
                <w:rFonts w:ascii="Caladea"/>
                <w:b/>
                <w:sz w:val="13"/>
              </w:rPr>
            </w:pPr>
            <w:r>
              <w:rPr>
                <w:rFonts w:ascii="Caladea"/>
                <w:b/>
                <w:sz w:val="13"/>
              </w:rPr>
              <w:t>(16.360)</w:t>
            </w:r>
          </w:p>
        </w:tc>
      </w:tr>
      <w:tr>
        <w:trPr>
          <w:trHeight w:val="153" w:hRule="atLeast"/>
        </w:trPr>
        <w:tc>
          <w:tcPr>
            <w:tcW w:w="3627" w:type="dxa"/>
          </w:tcPr>
          <w:p>
            <w:pPr>
              <w:pStyle w:val="TableParagraph"/>
              <w:spacing w:line="131" w:lineRule="exact" w:before="2"/>
              <w:ind w:left="216"/>
              <w:rPr>
                <w:sz w:val="13"/>
              </w:rPr>
            </w:pPr>
            <w:r>
              <w:rPr>
                <w:sz w:val="13"/>
              </w:rPr>
              <w:t>(-) Compensação Prejuízo Fiscal</w:t>
            </w:r>
          </w:p>
        </w:tc>
        <w:tc>
          <w:tcPr>
            <w:tcW w:w="784" w:type="dxa"/>
          </w:tcPr>
          <w:p>
            <w:pPr>
              <w:pStyle w:val="TableParagraph"/>
              <w:rPr>
                <w:rFonts w:ascii="Times New Roman"/>
                <w:sz w:val="8"/>
              </w:rPr>
            </w:pPr>
          </w:p>
        </w:tc>
        <w:tc>
          <w:tcPr>
            <w:tcW w:w="789" w:type="dxa"/>
          </w:tcPr>
          <w:p>
            <w:pPr>
              <w:pStyle w:val="TableParagraph"/>
              <w:spacing w:line="131" w:lineRule="exact" w:before="2"/>
              <w:ind w:right="54"/>
              <w:jc w:val="right"/>
              <w:rPr>
                <w:sz w:val="13"/>
              </w:rPr>
            </w:pPr>
            <w:r>
              <w:rPr>
                <w:sz w:val="13"/>
              </w:rPr>
              <w:t>(3.025)</w:t>
            </w:r>
          </w:p>
        </w:tc>
        <w:tc>
          <w:tcPr>
            <w:tcW w:w="784" w:type="dxa"/>
          </w:tcPr>
          <w:p>
            <w:pPr>
              <w:pStyle w:val="TableParagraph"/>
              <w:rPr>
                <w:rFonts w:ascii="Times New Roman"/>
                <w:sz w:val="8"/>
              </w:rPr>
            </w:pPr>
          </w:p>
        </w:tc>
        <w:tc>
          <w:tcPr>
            <w:tcW w:w="786" w:type="dxa"/>
          </w:tcPr>
          <w:p>
            <w:pPr>
              <w:pStyle w:val="TableParagraph"/>
              <w:spacing w:line="131" w:lineRule="exact" w:before="2"/>
              <w:ind w:right="52"/>
              <w:jc w:val="right"/>
              <w:rPr>
                <w:sz w:val="13"/>
              </w:rPr>
            </w:pPr>
            <w:r>
              <w:rPr>
                <w:sz w:val="13"/>
              </w:rPr>
              <w:t>(3.025)</w:t>
            </w:r>
          </w:p>
        </w:tc>
        <w:tc>
          <w:tcPr>
            <w:tcW w:w="784" w:type="dxa"/>
          </w:tcPr>
          <w:p>
            <w:pPr>
              <w:pStyle w:val="TableParagraph"/>
              <w:spacing w:line="131" w:lineRule="exact" w:before="2"/>
              <w:ind w:right="51"/>
              <w:jc w:val="right"/>
              <w:rPr>
                <w:sz w:val="13"/>
              </w:rPr>
            </w:pPr>
            <w:r>
              <w:rPr>
                <w:sz w:val="13"/>
              </w:rPr>
              <w:t>(115.957)</w:t>
            </w:r>
          </w:p>
        </w:tc>
        <w:tc>
          <w:tcPr>
            <w:tcW w:w="787" w:type="dxa"/>
          </w:tcPr>
          <w:p>
            <w:pPr>
              <w:pStyle w:val="TableParagraph"/>
              <w:spacing w:line="131" w:lineRule="exact" w:before="2"/>
              <w:ind w:right="48"/>
              <w:jc w:val="right"/>
              <w:rPr>
                <w:sz w:val="13"/>
              </w:rPr>
            </w:pPr>
            <w:r>
              <w:rPr>
                <w:sz w:val="13"/>
              </w:rPr>
              <w:t>(7.407)</w:t>
            </w:r>
          </w:p>
        </w:tc>
        <w:tc>
          <w:tcPr>
            <w:tcW w:w="825" w:type="dxa"/>
          </w:tcPr>
          <w:p>
            <w:pPr>
              <w:pStyle w:val="TableParagraph"/>
              <w:spacing w:line="131" w:lineRule="exact" w:before="2"/>
              <w:ind w:right="50"/>
              <w:jc w:val="right"/>
              <w:rPr>
                <w:sz w:val="13"/>
              </w:rPr>
            </w:pPr>
            <w:r>
              <w:rPr>
                <w:sz w:val="13"/>
              </w:rPr>
              <w:t>(115.957)</w:t>
            </w:r>
          </w:p>
        </w:tc>
        <w:tc>
          <w:tcPr>
            <w:tcW w:w="899" w:type="dxa"/>
          </w:tcPr>
          <w:p>
            <w:pPr>
              <w:pStyle w:val="TableParagraph"/>
              <w:spacing w:line="131" w:lineRule="exact" w:before="2"/>
              <w:ind w:right="46"/>
              <w:jc w:val="right"/>
              <w:rPr>
                <w:sz w:val="13"/>
              </w:rPr>
            </w:pPr>
            <w:r>
              <w:rPr>
                <w:sz w:val="13"/>
              </w:rPr>
              <w:t>(7.407)</w:t>
            </w:r>
          </w:p>
        </w:tc>
      </w:tr>
      <w:tr>
        <w:trPr>
          <w:trHeight w:val="153" w:hRule="atLeast"/>
        </w:trPr>
        <w:tc>
          <w:tcPr>
            <w:tcW w:w="3627" w:type="dxa"/>
          </w:tcPr>
          <w:p>
            <w:pPr>
              <w:pStyle w:val="TableParagraph"/>
              <w:spacing w:line="132" w:lineRule="exact" w:before="1"/>
              <w:ind w:left="101"/>
              <w:rPr>
                <w:rFonts w:ascii="Caladea" w:hAnsi="Caladea"/>
                <w:b/>
                <w:sz w:val="13"/>
              </w:rPr>
            </w:pPr>
            <w:r>
              <w:rPr>
                <w:rFonts w:ascii="Caladea" w:hAnsi="Caladea"/>
                <w:b/>
                <w:sz w:val="13"/>
              </w:rPr>
              <w:t>Base de Cálculo</w:t>
            </w:r>
          </w:p>
        </w:tc>
        <w:tc>
          <w:tcPr>
            <w:tcW w:w="784" w:type="dxa"/>
          </w:tcPr>
          <w:p>
            <w:pPr>
              <w:pStyle w:val="TableParagraph"/>
              <w:spacing w:line="132" w:lineRule="exact" w:before="1"/>
              <w:ind w:right="54"/>
              <w:jc w:val="right"/>
              <w:rPr>
                <w:rFonts w:ascii="Caladea"/>
                <w:b/>
                <w:sz w:val="13"/>
              </w:rPr>
            </w:pPr>
            <w:r>
              <w:rPr>
                <w:rFonts w:ascii="Caladea"/>
                <w:b/>
                <w:sz w:val="13"/>
              </w:rPr>
              <w:t>9.741</w:t>
            </w:r>
          </w:p>
        </w:tc>
        <w:tc>
          <w:tcPr>
            <w:tcW w:w="789" w:type="dxa"/>
          </w:tcPr>
          <w:p>
            <w:pPr>
              <w:pStyle w:val="TableParagraph"/>
              <w:spacing w:line="132" w:lineRule="exact" w:before="1"/>
              <w:ind w:right="56"/>
              <w:jc w:val="right"/>
              <w:rPr>
                <w:rFonts w:ascii="Caladea"/>
                <w:b/>
                <w:sz w:val="13"/>
              </w:rPr>
            </w:pPr>
            <w:r>
              <w:rPr>
                <w:rFonts w:ascii="Caladea"/>
                <w:b/>
                <w:sz w:val="13"/>
              </w:rPr>
              <w:t>7.059</w:t>
            </w:r>
          </w:p>
        </w:tc>
        <w:tc>
          <w:tcPr>
            <w:tcW w:w="784" w:type="dxa"/>
          </w:tcPr>
          <w:p>
            <w:pPr>
              <w:pStyle w:val="TableParagraph"/>
              <w:spacing w:line="132" w:lineRule="exact" w:before="1"/>
              <w:ind w:right="55"/>
              <w:jc w:val="right"/>
              <w:rPr>
                <w:rFonts w:ascii="Caladea"/>
                <w:b/>
                <w:sz w:val="13"/>
              </w:rPr>
            </w:pPr>
            <w:r>
              <w:rPr>
                <w:rFonts w:ascii="Caladea"/>
                <w:b/>
                <w:sz w:val="13"/>
              </w:rPr>
              <w:t>9.741</w:t>
            </w:r>
          </w:p>
        </w:tc>
        <w:tc>
          <w:tcPr>
            <w:tcW w:w="786" w:type="dxa"/>
          </w:tcPr>
          <w:p>
            <w:pPr>
              <w:pStyle w:val="TableParagraph"/>
              <w:spacing w:line="132" w:lineRule="exact" w:before="1"/>
              <w:ind w:right="54"/>
              <w:jc w:val="right"/>
              <w:rPr>
                <w:rFonts w:ascii="Caladea"/>
                <w:b/>
                <w:sz w:val="13"/>
              </w:rPr>
            </w:pPr>
            <w:r>
              <w:rPr>
                <w:rFonts w:ascii="Caladea"/>
                <w:b/>
                <w:sz w:val="13"/>
              </w:rPr>
              <w:t>7.059</w:t>
            </w:r>
          </w:p>
        </w:tc>
        <w:tc>
          <w:tcPr>
            <w:tcW w:w="784" w:type="dxa"/>
          </w:tcPr>
          <w:p>
            <w:pPr>
              <w:pStyle w:val="TableParagraph"/>
              <w:spacing w:line="132" w:lineRule="exact" w:before="1"/>
              <w:ind w:right="53"/>
              <w:jc w:val="right"/>
              <w:rPr>
                <w:rFonts w:ascii="Caladea"/>
                <w:b/>
                <w:sz w:val="13"/>
              </w:rPr>
            </w:pPr>
            <w:r>
              <w:rPr>
                <w:rFonts w:ascii="Caladea"/>
                <w:b/>
                <w:sz w:val="13"/>
              </w:rPr>
              <w:t>394.280</w:t>
            </w:r>
          </w:p>
        </w:tc>
        <w:tc>
          <w:tcPr>
            <w:tcW w:w="787" w:type="dxa"/>
          </w:tcPr>
          <w:p>
            <w:pPr>
              <w:pStyle w:val="TableParagraph"/>
              <w:spacing w:line="132" w:lineRule="exact" w:before="1"/>
              <w:ind w:right="49"/>
              <w:jc w:val="right"/>
              <w:rPr>
                <w:rFonts w:ascii="Caladea"/>
                <w:b/>
                <w:sz w:val="13"/>
              </w:rPr>
            </w:pPr>
            <w:r>
              <w:rPr>
                <w:rFonts w:ascii="Caladea"/>
                <w:b/>
                <w:sz w:val="13"/>
              </w:rPr>
              <w:t>(23.767)</w:t>
            </w:r>
          </w:p>
        </w:tc>
        <w:tc>
          <w:tcPr>
            <w:tcW w:w="825" w:type="dxa"/>
          </w:tcPr>
          <w:p>
            <w:pPr>
              <w:pStyle w:val="TableParagraph"/>
              <w:spacing w:line="132" w:lineRule="exact" w:before="1"/>
              <w:ind w:right="51"/>
              <w:jc w:val="right"/>
              <w:rPr>
                <w:rFonts w:ascii="Caladea"/>
                <w:b/>
                <w:sz w:val="13"/>
              </w:rPr>
            </w:pPr>
            <w:r>
              <w:rPr>
                <w:rFonts w:ascii="Caladea"/>
                <w:b/>
                <w:sz w:val="13"/>
              </w:rPr>
              <w:t>394.280</w:t>
            </w:r>
          </w:p>
        </w:tc>
        <w:tc>
          <w:tcPr>
            <w:tcW w:w="899" w:type="dxa"/>
          </w:tcPr>
          <w:p>
            <w:pPr>
              <w:pStyle w:val="TableParagraph"/>
              <w:spacing w:line="132" w:lineRule="exact" w:before="1"/>
              <w:ind w:right="48"/>
              <w:jc w:val="right"/>
              <w:rPr>
                <w:rFonts w:ascii="Caladea"/>
                <w:b/>
                <w:sz w:val="13"/>
              </w:rPr>
            </w:pPr>
            <w:r>
              <w:rPr>
                <w:rFonts w:ascii="Caladea"/>
                <w:b/>
                <w:sz w:val="13"/>
              </w:rPr>
              <w:t>(23.767)</w:t>
            </w:r>
          </w:p>
        </w:tc>
      </w:tr>
      <w:tr>
        <w:trPr>
          <w:trHeight w:val="150" w:hRule="atLeast"/>
        </w:trPr>
        <w:tc>
          <w:tcPr>
            <w:tcW w:w="3627" w:type="dxa"/>
          </w:tcPr>
          <w:p>
            <w:pPr>
              <w:pStyle w:val="TableParagraph"/>
              <w:spacing w:line="131" w:lineRule="exact"/>
              <w:ind w:left="72"/>
              <w:rPr>
                <w:rFonts w:ascii="Caladea" w:hAnsi="Caladea"/>
                <w:b/>
                <w:sz w:val="13"/>
              </w:rPr>
            </w:pPr>
            <w:r>
              <w:rPr>
                <w:rFonts w:ascii="Caladea" w:hAnsi="Caladea"/>
                <w:b/>
                <w:sz w:val="13"/>
              </w:rPr>
              <w:t>Alíquota Aplicável</w:t>
            </w:r>
          </w:p>
        </w:tc>
        <w:tc>
          <w:tcPr>
            <w:tcW w:w="784" w:type="dxa"/>
          </w:tcPr>
          <w:p>
            <w:pPr>
              <w:pStyle w:val="TableParagraph"/>
              <w:spacing w:line="131" w:lineRule="exact"/>
              <w:ind w:right="54"/>
              <w:jc w:val="right"/>
              <w:rPr>
                <w:rFonts w:ascii="Caladea"/>
                <w:b/>
                <w:sz w:val="13"/>
              </w:rPr>
            </w:pPr>
            <w:r>
              <w:rPr>
                <w:rFonts w:ascii="Caladea"/>
                <w:b/>
                <w:w w:val="95"/>
                <w:sz w:val="13"/>
              </w:rPr>
              <w:t>25%</w:t>
            </w:r>
          </w:p>
        </w:tc>
        <w:tc>
          <w:tcPr>
            <w:tcW w:w="789" w:type="dxa"/>
          </w:tcPr>
          <w:p>
            <w:pPr>
              <w:pStyle w:val="TableParagraph"/>
              <w:spacing w:line="131" w:lineRule="exact"/>
              <w:ind w:right="56"/>
              <w:jc w:val="right"/>
              <w:rPr>
                <w:rFonts w:ascii="Caladea"/>
                <w:b/>
                <w:sz w:val="13"/>
              </w:rPr>
            </w:pPr>
            <w:r>
              <w:rPr>
                <w:rFonts w:ascii="Caladea"/>
                <w:b/>
                <w:w w:val="95"/>
                <w:sz w:val="13"/>
              </w:rPr>
              <w:t>25%</w:t>
            </w:r>
          </w:p>
        </w:tc>
        <w:tc>
          <w:tcPr>
            <w:tcW w:w="784" w:type="dxa"/>
          </w:tcPr>
          <w:p>
            <w:pPr>
              <w:pStyle w:val="TableParagraph"/>
              <w:spacing w:line="131" w:lineRule="exact"/>
              <w:ind w:right="55"/>
              <w:jc w:val="right"/>
              <w:rPr>
                <w:rFonts w:ascii="Caladea"/>
                <w:b/>
                <w:sz w:val="13"/>
              </w:rPr>
            </w:pPr>
            <w:r>
              <w:rPr>
                <w:rFonts w:ascii="Caladea"/>
                <w:b/>
                <w:w w:val="95"/>
                <w:sz w:val="13"/>
              </w:rPr>
              <w:t>9%</w:t>
            </w:r>
          </w:p>
        </w:tc>
        <w:tc>
          <w:tcPr>
            <w:tcW w:w="786" w:type="dxa"/>
          </w:tcPr>
          <w:p>
            <w:pPr>
              <w:pStyle w:val="TableParagraph"/>
              <w:spacing w:line="131" w:lineRule="exact"/>
              <w:ind w:right="54"/>
              <w:jc w:val="right"/>
              <w:rPr>
                <w:rFonts w:ascii="Caladea"/>
                <w:b/>
                <w:sz w:val="13"/>
              </w:rPr>
            </w:pPr>
            <w:r>
              <w:rPr>
                <w:rFonts w:ascii="Caladea"/>
                <w:b/>
                <w:w w:val="95"/>
                <w:sz w:val="13"/>
              </w:rPr>
              <w:t>9%</w:t>
            </w:r>
          </w:p>
        </w:tc>
        <w:tc>
          <w:tcPr>
            <w:tcW w:w="784" w:type="dxa"/>
          </w:tcPr>
          <w:p>
            <w:pPr>
              <w:pStyle w:val="TableParagraph"/>
              <w:spacing w:line="131" w:lineRule="exact"/>
              <w:ind w:right="53"/>
              <w:jc w:val="right"/>
              <w:rPr>
                <w:rFonts w:ascii="Caladea"/>
                <w:b/>
                <w:sz w:val="13"/>
              </w:rPr>
            </w:pPr>
            <w:r>
              <w:rPr>
                <w:rFonts w:ascii="Caladea"/>
                <w:b/>
                <w:w w:val="95"/>
                <w:sz w:val="13"/>
              </w:rPr>
              <w:t>25%</w:t>
            </w:r>
          </w:p>
        </w:tc>
        <w:tc>
          <w:tcPr>
            <w:tcW w:w="787" w:type="dxa"/>
          </w:tcPr>
          <w:p>
            <w:pPr>
              <w:pStyle w:val="TableParagraph"/>
              <w:spacing w:line="131" w:lineRule="exact"/>
              <w:ind w:right="50"/>
              <w:jc w:val="right"/>
              <w:rPr>
                <w:rFonts w:ascii="Caladea"/>
                <w:b/>
                <w:sz w:val="13"/>
              </w:rPr>
            </w:pPr>
            <w:r>
              <w:rPr>
                <w:rFonts w:ascii="Caladea"/>
                <w:b/>
                <w:w w:val="95"/>
                <w:sz w:val="13"/>
              </w:rPr>
              <w:t>25%</w:t>
            </w:r>
          </w:p>
        </w:tc>
        <w:tc>
          <w:tcPr>
            <w:tcW w:w="825" w:type="dxa"/>
          </w:tcPr>
          <w:p>
            <w:pPr>
              <w:pStyle w:val="TableParagraph"/>
              <w:spacing w:line="131" w:lineRule="exact"/>
              <w:ind w:right="52"/>
              <w:jc w:val="right"/>
              <w:rPr>
                <w:rFonts w:ascii="Caladea"/>
                <w:b/>
                <w:sz w:val="13"/>
              </w:rPr>
            </w:pPr>
            <w:r>
              <w:rPr>
                <w:rFonts w:ascii="Caladea"/>
                <w:b/>
                <w:w w:val="95"/>
                <w:sz w:val="13"/>
              </w:rPr>
              <w:t>9%</w:t>
            </w:r>
          </w:p>
        </w:tc>
        <w:tc>
          <w:tcPr>
            <w:tcW w:w="899" w:type="dxa"/>
          </w:tcPr>
          <w:p>
            <w:pPr>
              <w:pStyle w:val="TableParagraph"/>
              <w:spacing w:line="131" w:lineRule="exact"/>
              <w:ind w:right="48"/>
              <w:jc w:val="right"/>
              <w:rPr>
                <w:rFonts w:ascii="Caladea"/>
                <w:b/>
                <w:sz w:val="13"/>
              </w:rPr>
            </w:pPr>
            <w:r>
              <w:rPr>
                <w:rFonts w:ascii="Caladea"/>
                <w:b/>
                <w:w w:val="95"/>
                <w:sz w:val="13"/>
              </w:rPr>
              <w:t>9%</w:t>
            </w:r>
          </w:p>
        </w:tc>
      </w:tr>
      <w:tr>
        <w:trPr>
          <w:trHeight w:val="186" w:hRule="atLeast"/>
        </w:trPr>
        <w:tc>
          <w:tcPr>
            <w:tcW w:w="3627" w:type="dxa"/>
          </w:tcPr>
          <w:p>
            <w:pPr>
              <w:pStyle w:val="TableParagraph"/>
              <w:spacing w:line="147" w:lineRule="exact" w:before="19"/>
              <w:ind w:left="101"/>
              <w:rPr>
                <w:sz w:val="13"/>
              </w:rPr>
            </w:pPr>
            <w:r>
              <w:rPr>
                <w:sz w:val="13"/>
              </w:rPr>
              <w:t>Imposto de Renda e Contribuição Social Corrente:</w:t>
            </w:r>
          </w:p>
        </w:tc>
        <w:tc>
          <w:tcPr>
            <w:tcW w:w="784" w:type="dxa"/>
          </w:tcPr>
          <w:p>
            <w:pPr>
              <w:pStyle w:val="TableParagraph"/>
              <w:rPr>
                <w:rFonts w:ascii="Times New Roman"/>
                <w:sz w:val="12"/>
              </w:rPr>
            </w:pPr>
          </w:p>
        </w:tc>
        <w:tc>
          <w:tcPr>
            <w:tcW w:w="789" w:type="dxa"/>
          </w:tcPr>
          <w:p>
            <w:pPr>
              <w:pStyle w:val="TableParagraph"/>
              <w:rPr>
                <w:rFonts w:ascii="Times New Roman"/>
                <w:sz w:val="12"/>
              </w:rPr>
            </w:pPr>
          </w:p>
        </w:tc>
        <w:tc>
          <w:tcPr>
            <w:tcW w:w="784" w:type="dxa"/>
          </w:tcPr>
          <w:p>
            <w:pPr>
              <w:pStyle w:val="TableParagraph"/>
              <w:rPr>
                <w:rFonts w:ascii="Times New Roman"/>
                <w:sz w:val="12"/>
              </w:rPr>
            </w:pPr>
          </w:p>
        </w:tc>
        <w:tc>
          <w:tcPr>
            <w:tcW w:w="786" w:type="dxa"/>
          </w:tcPr>
          <w:p>
            <w:pPr>
              <w:pStyle w:val="TableParagraph"/>
              <w:rPr>
                <w:rFonts w:ascii="Times New Roman"/>
                <w:sz w:val="12"/>
              </w:rPr>
            </w:pPr>
          </w:p>
        </w:tc>
        <w:tc>
          <w:tcPr>
            <w:tcW w:w="784" w:type="dxa"/>
          </w:tcPr>
          <w:p>
            <w:pPr>
              <w:pStyle w:val="TableParagraph"/>
              <w:rPr>
                <w:rFonts w:ascii="Times New Roman"/>
                <w:sz w:val="12"/>
              </w:rPr>
            </w:pPr>
          </w:p>
        </w:tc>
        <w:tc>
          <w:tcPr>
            <w:tcW w:w="787" w:type="dxa"/>
          </w:tcPr>
          <w:p>
            <w:pPr>
              <w:pStyle w:val="TableParagraph"/>
              <w:rPr>
                <w:rFonts w:ascii="Times New Roman"/>
                <w:sz w:val="12"/>
              </w:rPr>
            </w:pPr>
          </w:p>
        </w:tc>
        <w:tc>
          <w:tcPr>
            <w:tcW w:w="825" w:type="dxa"/>
          </w:tcPr>
          <w:p>
            <w:pPr>
              <w:pStyle w:val="TableParagraph"/>
              <w:rPr>
                <w:rFonts w:ascii="Times New Roman"/>
                <w:sz w:val="12"/>
              </w:rPr>
            </w:pPr>
          </w:p>
        </w:tc>
        <w:tc>
          <w:tcPr>
            <w:tcW w:w="899" w:type="dxa"/>
          </w:tcPr>
          <w:p>
            <w:pPr>
              <w:pStyle w:val="TableParagraph"/>
              <w:rPr>
                <w:rFonts w:ascii="Times New Roman"/>
                <w:sz w:val="12"/>
              </w:rPr>
            </w:pPr>
          </w:p>
        </w:tc>
      </w:tr>
      <w:tr>
        <w:trPr>
          <w:trHeight w:val="193" w:hRule="atLeast"/>
        </w:trPr>
        <w:tc>
          <w:tcPr>
            <w:tcW w:w="3627" w:type="dxa"/>
          </w:tcPr>
          <w:p>
            <w:pPr>
              <w:pStyle w:val="TableParagraph"/>
              <w:spacing w:line="150" w:lineRule="exact" w:before="24"/>
              <w:ind w:left="101"/>
              <w:rPr>
                <w:sz w:val="13"/>
              </w:rPr>
            </w:pPr>
            <w:r>
              <w:rPr>
                <w:w w:val="105"/>
                <w:sz w:val="13"/>
              </w:rPr>
              <w:t>IRPJ/CSLL – Controladora e Controladas</w:t>
            </w:r>
          </w:p>
        </w:tc>
        <w:tc>
          <w:tcPr>
            <w:tcW w:w="784" w:type="dxa"/>
          </w:tcPr>
          <w:p>
            <w:pPr>
              <w:pStyle w:val="TableParagraph"/>
              <w:spacing w:line="150" w:lineRule="exact" w:before="24"/>
              <w:ind w:right="52"/>
              <w:jc w:val="right"/>
              <w:rPr>
                <w:sz w:val="13"/>
              </w:rPr>
            </w:pPr>
            <w:r>
              <w:rPr>
                <w:w w:val="95"/>
                <w:sz w:val="13"/>
              </w:rPr>
              <w:t>(1.649)</w:t>
            </w:r>
          </w:p>
        </w:tc>
        <w:tc>
          <w:tcPr>
            <w:tcW w:w="789" w:type="dxa"/>
          </w:tcPr>
          <w:p>
            <w:pPr>
              <w:pStyle w:val="TableParagraph"/>
              <w:spacing w:line="150" w:lineRule="exact" w:before="24"/>
              <w:ind w:right="54"/>
              <w:jc w:val="right"/>
              <w:rPr>
                <w:sz w:val="13"/>
              </w:rPr>
            </w:pPr>
            <w:r>
              <w:rPr>
                <w:sz w:val="13"/>
              </w:rPr>
              <w:t>(1.741)</w:t>
            </w:r>
          </w:p>
        </w:tc>
        <w:tc>
          <w:tcPr>
            <w:tcW w:w="784" w:type="dxa"/>
          </w:tcPr>
          <w:p>
            <w:pPr>
              <w:pStyle w:val="TableParagraph"/>
              <w:spacing w:line="150" w:lineRule="exact" w:before="24"/>
              <w:ind w:right="53"/>
              <w:jc w:val="right"/>
              <w:rPr>
                <w:sz w:val="13"/>
              </w:rPr>
            </w:pPr>
            <w:r>
              <w:rPr>
                <w:sz w:val="13"/>
              </w:rPr>
              <w:t>(602)</w:t>
            </w:r>
          </w:p>
        </w:tc>
        <w:tc>
          <w:tcPr>
            <w:tcW w:w="786" w:type="dxa"/>
          </w:tcPr>
          <w:p>
            <w:pPr>
              <w:pStyle w:val="TableParagraph"/>
              <w:spacing w:line="150" w:lineRule="exact" w:before="24"/>
              <w:ind w:right="52"/>
              <w:jc w:val="right"/>
              <w:rPr>
                <w:sz w:val="13"/>
              </w:rPr>
            </w:pPr>
            <w:r>
              <w:rPr>
                <w:sz w:val="13"/>
              </w:rPr>
              <w:t>(635)</w:t>
            </w:r>
          </w:p>
        </w:tc>
        <w:tc>
          <w:tcPr>
            <w:tcW w:w="784" w:type="dxa"/>
          </w:tcPr>
          <w:p>
            <w:pPr>
              <w:pStyle w:val="TableParagraph"/>
              <w:spacing w:line="150" w:lineRule="exact" w:before="24"/>
              <w:ind w:right="51"/>
              <w:jc w:val="right"/>
              <w:rPr>
                <w:sz w:val="13"/>
              </w:rPr>
            </w:pPr>
            <w:r>
              <w:rPr>
                <w:sz w:val="13"/>
              </w:rPr>
              <w:t>(90.826)</w:t>
            </w:r>
          </w:p>
        </w:tc>
        <w:tc>
          <w:tcPr>
            <w:tcW w:w="787" w:type="dxa"/>
          </w:tcPr>
          <w:p>
            <w:pPr>
              <w:pStyle w:val="TableParagraph"/>
              <w:spacing w:line="150" w:lineRule="exact" w:before="24"/>
              <w:ind w:right="47"/>
              <w:jc w:val="right"/>
              <w:rPr>
                <w:sz w:val="13"/>
              </w:rPr>
            </w:pPr>
            <w:r>
              <w:rPr>
                <w:w w:val="95"/>
                <w:sz w:val="13"/>
              </w:rPr>
              <w:t>(18.429)</w:t>
            </w:r>
          </w:p>
        </w:tc>
        <w:tc>
          <w:tcPr>
            <w:tcW w:w="825" w:type="dxa"/>
          </w:tcPr>
          <w:p>
            <w:pPr>
              <w:pStyle w:val="TableParagraph"/>
              <w:spacing w:line="150" w:lineRule="exact" w:before="24"/>
              <w:ind w:right="49"/>
              <w:jc w:val="right"/>
              <w:rPr>
                <w:sz w:val="13"/>
              </w:rPr>
            </w:pPr>
            <w:r>
              <w:rPr>
                <w:sz w:val="13"/>
              </w:rPr>
              <w:t>(32.751)</w:t>
            </w:r>
          </w:p>
        </w:tc>
        <w:tc>
          <w:tcPr>
            <w:tcW w:w="899" w:type="dxa"/>
          </w:tcPr>
          <w:p>
            <w:pPr>
              <w:pStyle w:val="TableParagraph"/>
              <w:spacing w:line="150" w:lineRule="exact" w:before="24"/>
              <w:ind w:right="46"/>
              <w:jc w:val="right"/>
              <w:rPr>
                <w:sz w:val="13"/>
              </w:rPr>
            </w:pPr>
            <w:r>
              <w:rPr>
                <w:sz w:val="13"/>
              </w:rPr>
              <w:t>(6.694)</w:t>
            </w:r>
          </w:p>
        </w:tc>
      </w:tr>
      <w:tr>
        <w:trPr>
          <w:trHeight w:val="153" w:hRule="atLeast"/>
        </w:trPr>
        <w:tc>
          <w:tcPr>
            <w:tcW w:w="3627" w:type="dxa"/>
          </w:tcPr>
          <w:p>
            <w:pPr>
              <w:pStyle w:val="TableParagraph"/>
              <w:spacing w:line="131" w:lineRule="exact" w:before="2"/>
              <w:ind w:left="101"/>
              <w:rPr>
                <w:sz w:val="13"/>
              </w:rPr>
            </w:pPr>
            <w:r>
              <w:rPr>
                <w:w w:val="105"/>
                <w:sz w:val="13"/>
              </w:rPr>
              <w:t>IRPJ – Lucro Presumido</w:t>
            </w:r>
          </w:p>
        </w:tc>
        <w:tc>
          <w:tcPr>
            <w:tcW w:w="784" w:type="dxa"/>
          </w:tcPr>
          <w:p>
            <w:pPr>
              <w:pStyle w:val="TableParagraph"/>
              <w:rPr>
                <w:rFonts w:ascii="Times New Roman"/>
                <w:sz w:val="8"/>
              </w:rPr>
            </w:pPr>
          </w:p>
        </w:tc>
        <w:tc>
          <w:tcPr>
            <w:tcW w:w="789" w:type="dxa"/>
          </w:tcPr>
          <w:p>
            <w:pPr>
              <w:pStyle w:val="TableParagraph"/>
              <w:rPr>
                <w:rFonts w:ascii="Times New Roman"/>
                <w:sz w:val="8"/>
              </w:rPr>
            </w:pPr>
          </w:p>
        </w:tc>
        <w:tc>
          <w:tcPr>
            <w:tcW w:w="784" w:type="dxa"/>
          </w:tcPr>
          <w:p>
            <w:pPr>
              <w:pStyle w:val="TableParagraph"/>
              <w:rPr>
                <w:rFonts w:ascii="Times New Roman"/>
                <w:sz w:val="8"/>
              </w:rPr>
            </w:pPr>
          </w:p>
        </w:tc>
        <w:tc>
          <w:tcPr>
            <w:tcW w:w="786" w:type="dxa"/>
          </w:tcPr>
          <w:p>
            <w:pPr>
              <w:pStyle w:val="TableParagraph"/>
              <w:rPr>
                <w:rFonts w:ascii="Times New Roman"/>
                <w:sz w:val="8"/>
              </w:rPr>
            </w:pPr>
          </w:p>
        </w:tc>
        <w:tc>
          <w:tcPr>
            <w:tcW w:w="784" w:type="dxa"/>
          </w:tcPr>
          <w:p>
            <w:pPr>
              <w:pStyle w:val="TableParagraph"/>
              <w:spacing w:line="131" w:lineRule="exact" w:before="2"/>
              <w:ind w:right="51"/>
              <w:jc w:val="right"/>
              <w:rPr>
                <w:sz w:val="13"/>
              </w:rPr>
            </w:pPr>
            <w:r>
              <w:rPr>
                <w:sz w:val="13"/>
              </w:rPr>
              <w:t>(1.791)</w:t>
            </w:r>
          </w:p>
        </w:tc>
        <w:tc>
          <w:tcPr>
            <w:tcW w:w="787" w:type="dxa"/>
          </w:tcPr>
          <w:p>
            <w:pPr>
              <w:pStyle w:val="TableParagraph"/>
              <w:spacing w:line="131" w:lineRule="exact" w:before="2"/>
              <w:ind w:right="48"/>
              <w:jc w:val="right"/>
              <w:rPr>
                <w:sz w:val="13"/>
              </w:rPr>
            </w:pPr>
            <w:r>
              <w:rPr>
                <w:sz w:val="13"/>
              </w:rPr>
              <w:t>(20.365)</w:t>
            </w:r>
          </w:p>
        </w:tc>
        <w:tc>
          <w:tcPr>
            <w:tcW w:w="825" w:type="dxa"/>
          </w:tcPr>
          <w:p>
            <w:pPr>
              <w:pStyle w:val="TableParagraph"/>
              <w:spacing w:line="131" w:lineRule="exact" w:before="2"/>
              <w:ind w:right="49"/>
              <w:jc w:val="right"/>
              <w:rPr>
                <w:sz w:val="13"/>
              </w:rPr>
            </w:pPr>
            <w:r>
              <w:rPr>
                <w:sz w:val="13"/>
              </w:rPr>
              <w:t>(853)</w:t>
            </w:r>
          </w:p>
        </w:tc>
        <w:tc>
          <w:tcPr>
            <w:tcW w:w="899" w:type="dxa"/>
          </w:tcPr>
          <w:p>
            <w:pPr>
              <w:pStyle w:val="TableParagraph"/>
              <w:spacing w:line="131" w:lineRule="exact" w:before="2"/>
              <w:ind w:right="46"/>
              <w:jc w:val="right"/>
              <w:rPr>
                <w:sz w:val="13"/>
              </w:rPr>
            </w:pPr>
            <w:r>
              <w:rPr>
                <w:sz w:val="13"/>
              </w:rPr>
              <w:t>(7.492)</w:t>
            </w:r>
          </w:p>
        </w:tc>
      </w:tr>
      <w:tr>
        <w:trPr>
          <w:trHeight w:val="150" w:hRule="atLeast"/>
        </w:trPr>
        <w:tc>
          <w:tcPr>
            <w:tcW w:w="3627" w:type="dxa"/>
          </w:tcPr>
          <w:p>
            <w:pPr>
              <w:pStyle w:val="TableParagraph"/>
              <w:spacing w:line="131" w:lineRule="exact"/>
              <w:ind w:left="101"/>
              <w:rPr>
                <w:rFonts w:ascii="Caladea" w:hAnsi="Caladea"/>
                <w:b/>
                <w:sz w:val="13"/>
              </w:rPr>
            </w:pPr>
            <w:r>
              <w:rPr>
                <w:rFonts w:ascii="Caladea" w:hAnsi="Caladea"/>
                <w:b/>
                <w:sz w:val="13"/>
              </w:rPr>
              <w:t>Imposto de Renda e Contribuição Social Corrente</w:t>
            </w:r>
          </w:p>
        </w:tc>
        <w:tc>
          <w:tcPr>
            <w:tcW w:w="784" w:type="dxa"/>
          </w:tcPr>
          <w:p>
            <w:pPr>
              <w:pStyle w:val="TableParagraph"/>
              <w:spacing w:line="131" w:lineRule="exact"/>
              <w:ind w:right="54"/>
              <w:jc w:val="right"/>
              <w:rPr>
                <w:rFonts w:ascii="Caladea"/>
                <w:b/>
                <w:sz w:val="13"/>
              </w:rPr>
            </w:pPr>
            <w:r>
              <w:rPr>
                <w:rFonts w:ascii="Caladea"/>
                <w:b/>
                <w:sz w:val="13"/>
              </w:rPr>
              <w:t>(1.649)</w:t>
            </w:r>
          </w:p>
        </w:tc>
        <w:tc>
          <w:tcPr>
            <w:tcW w:w="789" w:type="dxa"/>
          </w:tcPr>
          <w:p>
            <w:pPr>
              <w:pStyle w:val="TableParagraph"/>
              <w:spacing w:line="131" w:lineRule="exact"/>
              <w:ind w:right="56"/>
              <w:jc w:val="right"/>
              <w:rPr>
                <w:rFonts w:ascii="Caladea"/>
                <w:b/>
                <w:sz w:val="13"/>
              </w:rPr>
            </w:pPr>
            <w:r>
              <w:rPr>
                <w:rFonts w:ascii="Caladea"/>
                <w:b/>
                <w:sz w:val="13"/>
              </w:rPr>
              <w:t>(1.741)</w:t>
            </w:r>
          </w:p>
        </w:tc>
        <w:tc>
          <w:tcPr>
            <w:tcW w:w="784" w:type="dxa"/>
          </w:tcPr>
          <w:p>
            <w:pPr>
              <w:pStyle w:val="TableParagraph"/>
              <w:spacing w:line="131" w:lineRule="exact"/>
              <w:ind w:right="54"/>
              <w:jc w:val="right"/>
              <w:rPr>
                <w:rFonts w:ascii="Caladea"/>
                <w:b/>
                <w:sz w:val="13"/>
              </w:rPr>
            </w:pPr>
            <w:r>
              <w:rPr>
                <w:rFonts w:ascii="Caladea"/>
                <w:b/>
                <w:sz w:val="13"/>
              </w:rPr>
              <w:t>(602)</w:t>
            </w:r>
          </w:p>
        </w:tc>
        <w:tc>
          <w:tcPr>
            <w:tcW w:w="786" w:type="dxa"/>
          </w:tcPr>
          <w:p>
            <w:pPr>
              <w:pStyle w:val="TableParagraph"/>
              <w:spacing w:line="131" w:lineRule="exact"/>
              <w:ind w:right="53"/>
              <w:jc w:val="right"/>
              <w:rPr>
                <w:rFonts w:ascii="Caladea"/>
                <w:b/>
                <w:sz w:val="13"/>
              </w:rPr>
            </w:pPr>
            <w:r>
              <w:rPr>
                <w:rFonts w:ascii="Caladea"/>
                <w:b/>
                <w:sz w:val="13"/>
              </w:rPr>
              <w:t>(635)</w:t>
            </w:r>
          </w:p>
        </w:tc>
        <w:tc>
          <w:tcPr>
            <w:tcW w:w="784" w:type="dxa"/>
          </w:tcPr>
          <w:p>
            <w:pPr>
              <w:pStyle w:val="TableParagraph"/>
              <w:spacing w:line="131" w:lineRule="exact"/>
              <w:ind w:right="52"/>
              <w:jc w:val="right"/>
              <w:rPr>
                <w:rFonts w:ascii="Caladea"/>
                <w:b/>
                <w:sz w:val="13"/>
              </w:rPr>
            </w:pPr>
            <w:r>
              <w:rPr>
                <w:rFonts w:ascii="Caladea"/>
                <w:b/>
                <w:sz w:val="13"/>
              </w:rPr>
              <w:t>(92.617)</w:t>
            </w:r>
          </w:p>
        </w:tc>
        <w:tc>
          <w:tcPr>
            <w:tcW w:w="787" w:type="dxa"/>
          </w:tcPr>
          <w:p>
            <w:pPr>
              <w:pStyle w:val="TableParagraph"/>
              <w:spacing w:line="131" w:lineRule="exact"/>
              <w:ind w:right="49"/>
              <w:jc w:val="right"/>
              <w:rPr>
                <w:rFonts w:ascii="Caladea"/>
                <w:b/>
                <w:sz w:val="13"/>
              </w:rPr>
            </w:pPr>
            <w:r>
              <w:rPr>
                <w:rFonts w:ascii="Caladea"/>
                <w:b/>
                <w:sz w:val="13"/>
              </w:rPr>
              <w:t>(38.794)</w:t>
            </w:r>
          </w:p>
        </w:tc>
        <w:tc>
          <w:tcPr>
            <w:tcW w:w="825" w:type="dxa"/>
          </w:tcPr>
          <w:p>
            <w:pPr>
              <w:pStyle w:val="TableParagraph"/>
              <w:spacing w:line="131" w:lineRule="exact"/>
              <w:ind w:right="51"/>
              <w:jc w:val="right"/>
              <w:rPr>
                <w:rFonts w:ascii="Caladea"/>
                <w:b/>
                <w:sz w:val="13"/>
              </w:rPr>
            </w:pPr>
            <w:r>
              <w:rPr>
                <w:rFonts w:ascii="Caladea"/>
                <w:b/>
                <w:sz w:val="13"/>
              </w:rPr>
              <w:t>(33.604)</w:t>
            </w:r>
          </w:p>
        </w:tc>
        <w:tc>
          <w:tcPr>
            <w:tcW w:w="899" w:type="dxa"/>
          </w:tcPr>
          <w:p>
            <w:pPr>
              <w:pStyle w:val="TableParagraph"/>
              <w:spacing w:line="131" w:lineRule="exact"/>
              <w:ind w:right="48"/>
              <w:jc w:val="right"/>
              <w:rPr>
                <w:rFonts w:ascii="Caladea"/>
                <w:b/>
                <w:sz w:val="13"/>
              </w:rPr>
            </w:pPr>
            <w:r>
              <w:rPr>
                <w:rFonts w:ascii="Caladea"/>
                <w:b/>
                <w:sz w:val="13"/>
              </w:rPr>
              <w:t>(14.186)</w:t>
            </w:r>
          </w:p>
        </w:tc>
      </w:tr>
      <w:tr>
        <w:trPr>
          <w:trHeight w:val="153" w:hRule="atLeast"/>
        </w:trPr>
        <w:tc>
          <w:tcPr>
            <w:tcW w:w="3627" w:type="dxa"/>
          </w:tcPr>
          <w:p>
            <w:pPr>
              <w:pStyle w:val="TableParagraph"/>
              <w:spacing w:line="132" w:lineRule="exact" w:before="1"/>
              <w:ind w:left="101"/>
              <w:rPr>
                <w:rFonts w:ascii="Caladea" w:hAnsi="Caladea"/>
                <w:b/>
                <w:sz w:val="13"/>
              </w:rPr>
            </w:pPr>
            <w:r>
              <w:rPr>
                <w:rFonts w:ascii="Caladea" w:hAnsi="Caladea"/>
                <w:b/>
                <w:sz w:val="13"/>
              </w:rPr>
              <w:t>Imposto de Renda e Contribuição Social Diferido</w:t>
            </w:r>
          </w:p>
        </w:tc>
        <w:tc>
          <w:tcPr>
            <w:tcW w:w="784" w:type="dxa"/>
          </w:tcPr>
          <w:p>
            <w:pPr>
              <w:pStyle w:val="TableParagraph"/>
              <w:spacing w:line="131" w:lineRule="exact" w:before="3"/>
              <w:ind w:right="52"/>
              <w:jc w:val="right"/>
              <w:rPr>
                <w:sz w:val="13"/>
              </w:rPr>
            </w:pPr>
            <w:r>
              <w:rPr>
                <w:sz w:val="13"/>
              </w:rPr>
              <w:t>(629)</w:t>
            </w:r>
          </w:p>
        </w:tc>
        <w:tc>
          <w:tcPr>
            <w:tcW w:w="789" w:type="dxa"/>
          </w:tcPr>
          <w:p>
            <w:pPr>
              <w:pStyle w:val="TableParagraph"/>
              <w:spacing w:line="131" w:lineRule="exact" w:before="3"/>
              <w:ind w:right="54"/>
              <w:jc w:val="right"/>
              <w:rPr>
                <w:sz w:val="13"/>
              </w:rPr>
            </w:pPr>
            <w:r>
              <w:rPr>
                <w:sz w:val="13"/>
              </w:rPr>
              <w:t>(952)</w:t>
            </w:r>
          </w:p>
        </w:tc>
        <w:tc>
          <w:tcPr>
            <w:tcW w:w="784" w:type="dxa"/>
          </w:tcPr>
          <w:p>
            <w:pPr>
              <w:pStyle w:val="TableParagraph"/>
              <w:spacing w:line="131" w:lineRule="exact" w:before="3"/>
              <w:ind w:right="53"/>
              <w:jc w:val="right"/>
              <w:rPr>
                <w:sz w:val="13"/>
              </w:rPr>
            </w:pPr>
            <w:r>
              <w:rPr>
                <w:sz w:val="13"/>
              </w:rPr>
              <w:t>(226)</w:t>
            </w:r>
          </w:p>
        </w:tc>
        <w:tc>
          <w:tcPr>
            <w:tcW w:w="786" w:type="dxa"/>
          </w:tcPr>
          <w:p>
            <w:pPr>
              <w:pStyle w:val="TableParagraph"/>
              <w:spacing w:line="131" w:lineRule="exact" w:before="3"/>
              <w:ind w:right="54"/>
              <w:jc w:val="right"/>
              <w:rPr>
                <w:sz w:val="13"/>
              </w:rPr>
            </w:pPr>
            <w:r>
              <w:rPr>
                <w:sz w:val="13"/>
              </w:rPr>
              <w:t>(343)</w:t>
            </w:r>
          </w:p>
        </w:tc>
        <w:tc>
          <w:tcPr>
            <w:tcW w:w="784" w:type="dxa"/>
          </w:tcPr>
          <w:p>
            <w:pPr>
              <w:pStyle w:val="TableParagraph"/>
              <w:spacing w:line="131" w:lineRule="exact" w:before="3"/>
              <w:ind w:right="53"/>
              <w:jc w:val="right"/>
              <w:rPr>
                <w:sz w:val="13"/>
              </w:rPr>
            </w:pPr>
            <w:r>
              <w:rPr>
                <w:w w:val="95"/>
                <w:sz w:val="13"/>
              </w:rPr>
              <w:t>56.567</w:t>
            </w:r>
          </w:p>
        </w:tc>
        <w:tc>
          <w:tcPr>
            <w:tcW w:w="787" w:type="dxa"/>
          </w:tcPr>
          <w:p>
            <w:pPr>
              <w:pStyle w:val="TableParagraph"/>
              <w:spacing w:line="131" w:lineRule="exact" w:before="3"/>
              <w:ind w:right="50"/>
              <w:jc w:val="right"/>
              <w:rPr>
                <w:sz w:val="13"/>
              </w:rPr>
            </w:pPr>
            <w:r>
              <w:rPr>
                <w:w w:val="95"/>
                <w:sz w:val="13"/>
              </w:rPr>
              <w:t>33.371</w:t>
            </w:r>
          </w:p>
        </w:tc>
        <w:tc>
          <w:tcPr>
            <w:tcW w:w="825" w:type="dxa"/>
          </w:tcPr>
          <w:p>
            <w:pPr>
              <w:pStyle w:val="TableParagraph"/>
              <w:spacing w:line="131" w:lineRule="exact" w:before="3"/>
              <w:ind w:right="52"/>
              <w:jc w:val="right"/>
              <w:rPr>
                <w:sz w:val="13"/>
              </w:rPr>
            </w:pPr>
            <w:r>
              <w:rPr>
                <w:w w:val="95"/>
                <w:sz w:val="13"/>
              </w:rPr>
              <w:t>20.374</w:t>
            </w:r>
          </w:p>
        </w:tc>
        <w:tc>
          <w:tcPr>
            <w:tcW w:w="899" w:type="dxa"/>
          </w:tcPr>
          <w:p>
            <w:pPr>
              <w:pStyle w:val="TableParagraph"/>
              <w:spacing w:line="131" w:lineRule="exact" w:before="3"/>
              <w:ind w:right="48"/>
              <w:jc w:val="right"/>
              <w:rPr>
                <w:sz w:val="13"/>
              </w:rPr>
            </w:pPr>
            <w:r>
              <w:rPr>
                <w:w w:val="95"/>
                <w:sz w:val="13"/>
              </w:rPr>
              <w:t>12.014</w:t>
            </w:r>
          </w:p>
        </w:tc>
      </w:tr>
      <w:tr>
        <w:trPr>
          <w:trHeight w:val="153" w:hRule="atLeast"/>
        </w:trPr>
        <w:tc>
          <w:tcPr>
            <w:tcW w:w="3627" w:type="dxa"/>
          </w:tcPr>
          <w:p>
            <w:pPr>
              <w:pStyle w:val="TableParagraph"/>
              <w:spacing w:line="132" w:lineRule="exact" w:before="1"/>
              <w:ind w:left="101"/>
              <w:rPr>
                <w:rFonts w:ascii="Caladea" w:hAnsi="Caladea"/>
                <w:b/>
                <w:sz w:val="13"/>
              </w:rPr>
            </w:pPr>
            <w:r>
              <w:rPr>
                <w:rFonts w:ascii="Caladea" w:hAnsi="Caladea"/>
                <w:b/>
                <w:sz w:val="13"/>
              </w:rPr>
              <w:t>Total do Imposto de Renda e Contribuição Social</w:t>
            </w:r>
          </w:p>
        </w:tc>
        <w:tc>
          <w:tcPr>
            <w:tcW w:w="784" w:type="dxa"/>
          </w:tcPr>
          <w:p>
            <w:pPr>
              <w:pStyle w:val="TableParagraph"/>
              <w:spacing w:line="132" w:lineRule="exact" w:before="1"/>
              <w:ind w:right="54"/>
              <w:jc w:val="right"/>
              <w:rPr>
                <w:rFonts w:ascii="Caladea"/>
                <w:b/>
                <w:sz w:val="13"/>
              </w:rPr>
            </w:pPr>
            <w:r>
              <w:rPr>
                <w:rFonts w:ascii="Caladea"/>
                <w:b/>
                <w:sz w:val="13"/>
              </w:rPr>
              <w:t>(2.278)</w:t>
            </w:r>
          </w:p>
        </w:tc>
        <w:tc>
          <w:tcPr>
            <w:tcW w:w="789" w:type="dxa"/>
          </w:tcPr>
          <w:p>
            <w:pPr>
              <w:pStyle w:val="TableParagraph"/>
              <w:spacing w:line="132" w:lineRule="exact" w:before="1"/>
              <w:ind w:right="56"/>
              <w:jc w:val="right"/>
              <w:rPr>
                <w:rFonts w:ascii="Caladea"/>
                <w:b/>
                <w:sz w:val="13"/>
              </w:rPr>
            </w:pPr>
            <w:r>
              <w:rPr>
                <w:rFonts w:ascii="Caladea"/>
                <w:b/>
                <w:sz w:val="13"/>
              </w:rPr>
              <w:t>(2.693)</w:t>
            </w:r>
          </w:p>
        </w:tc>
        <w:tc>
          <w:tcPr>
            <w:tcW w:w="784" w:type="dxa"/>
          </w:tcPr>
          <w:p>
            <w:pPr>
              <w:pStyle w:val="TableParagraph"/>
              <w:spacing w:line="132" w:lineRule="exact" w:before="1"/>
              <w:ind w:right="54"/>
              <w:jc w:val="right"/>
              <w:rPr>
                <w:rFonts w:ascii="Caladea"/>
                <w:b/>
                <w:sz w:val="13"/>
              </w:rPr>
            </w:pPr>
            <w:r>
              <w:rPr>
                <w:rFonts w:ascii="Caladea"/>
                <w:b/>
                <w:sz w:val="13"/>
              </w:rPr>
              <w:t>(828)</w:t>
            </w:r>
          </w:p>
        </w:tc>
        <w:tc>
          <w:tcPr>
            <w:tcW w:w="786" w:type="dxa"/>
          </w:tcPr>
          <w:p>
            <w:pPr>
              <w:pStyle w:val="TableParagraph"/>
              <w:spacing w:line="132" w:lineRule="exact" w:before="1"/>
              <w:ind w:right="53"/>
              <w:jc w:val="right"/>
              <w:rPr>
                <w:rFonts w:ascii="Caladea"/>
                <w:b/>
                <w:sz w:val="13"/>
              </w:rPr>
            </w:pPr>
            <w:r>
              <w:rPr>
                <w:rFonts w:ascii="Caladea"/>
                <w:b/>
                <w:sz w:val="13"/>
              </w:rPr>
              <w:t>(978)</w:t>
            </w:r>
          </w:p>
        </w:tc>
        <w:tc>
          <w:tcPr>
            <w:tcW w:w="784" w:type="dxa"/>
          </w:tcPr>
          <w:p>
            <w:pPr>
              <w:pStyle w:val="TableParagraph"/>
              <w:spacing w:line="132" w:lineRule="exact" w:before="1"/>
              <w:ind w:right="52"/>
              <w:jc w:val="right"/>
              <w:rPr>
                <w:rFonts w:ascii="Caladea"/>
                <w:b/>
                <w:sz w:val="13"/>
              </w:rPr>
            </w:pPr>
            <w:r>
              <w:rPr>
                <w:rFonts w:ascii="Caladea"/>
                <w:b/>
                <w:sz w:val="13"/>
              </w:rPr>
              <w:t>(36.050)</w:t>
            </w:r>
          </w:p>
        </w:tc>
        <w:tc>
          <w:tcPr>
            <w:tcW w:w="787" w:type="dxa"/>
          </w:tcPr>
          <w:p>
            <w:pPr>
              <w:pStyle w:val="TableParagraph"/>
              <w:spacing w:line="132" w:lineRule="exact" w:before="1"/>
              <w:ind w:right="49"/>
              <w:jc w:val="right"/>
              <w:rPr>
                <w:rFonts w:ascii="Caladea"/>
                <w:b/>
                <w:sz w:val="13"/>
              </w:rPr>
            </w:pPr>
            <w:r>
              <w:rPr>
                <w:rFonts w:ascii="Caladea"/>
                <w:b/>
                <w:sz w:val="13"/>
              </w:rPr>
              <w:t>(5.423)</w:t>
            </w:r>
          </w:p>
        </w:tc>
        <w:tc>
          <w:tcPr>
            <w:tcW w:w="825" w:type="dxa"/>
          </w:tcPr>
          <w:p>
            <w:pPr>
              <w:pStyle w:val="TableParagraph"/>
              <w:spacing w:line="132" w:lineRule="exact" w:before="1"/>
              <w:ind w:right="51"/>
              <w:jc w:val="right"/>
              <w:rPr>
                <w:rFonts w:ascii="Caladea"/>
                <w:b/>
                <w:sz w:val="13"/>
              </w:rPr>
            </w:pPr>
            <w:r>
              <w:rPr>
                <w:rFonts w:ascii="Caladea"/>
                <w:b/>
                <w:sz w:val="13"/>
              </w:rPr>
              <w:t>(13.230)</w:t>
            </w:r>
          </w:p>
        </w:tc>
        <w:tc>
          <w:tcPr>
            <w:tcW w:w="899" w:type="dxa"/>
          </w:tcPr>
          <w:p>
            <w:pPr>
              <w:pStyle w:val="TableParagraph"/>
              <w:spacing w:line="132" w:lineRule="exact" w:before="1"/>
              <w:ind w:right="48"/>
              <w:jc w:val="right"/>
              <w:rPr>
                <w:rFonts w:ascii="Caladea"/>
                <w:b/>
                <w:sz w:val="13"/>
              </w:rPr>
            </w:pPr>
            <w:r>
              <w:rPr>
                <w:rFonts w:ascii="Caladea"/>
                <w:b/>
                <w:sz w:val="13"/>
              </w:rPr>
              <w:t>(2.172)</w:t>
            </w:r>
          </w:p>
        </w:tc>
      </w:tr>
    </w:tbl>
    <w:p>
      <w:pPr>
        <w:pStyle w:val="BodyText"/>
        <w:spacing w:before="4"/>
        <w:rPr>
          <w:sz w:val="11"/>
        </w:rPr>
      </w:pPr>
    </w:p>
    <w:p>
      <w:pPr>
        <w:pStyle w:val="ListParagraph"/>
        <w:numPr>
          <w:ilvl w:val="3"/>
          <w:numId w:val="25"/>
        </w:numPr>
        <w:tabs>
          <w:tab w:pos="1305" w:val="left" w:leader="none"/>
          <w:tab w:pos="1306" w:val="left" w:leader="none"/>
        </w:tabs>
        <w:spacing w:line="240" w:lineRule="auto" w:before="101" w:after="0"/>
        <w:ind w:left="1306" w:right="0" w:hanging="1134"/>
        <w:jc w:val="left"/>
        <w:rPr>
          <w:rFonts w:ascii="Caladea" w:hAnsi="Caladea"/>
          <w:b/>
          <w:sz w:val="18"/>
        </w:rPr>
      </w:pPr>
      <w:r>
        <w:rPr>
          <w:rFonts w:ascii="Caladea" w:hAnsi="Caladea"/>
          <w:b/>
          <w:sz w:val="22"/>
        </w:rPr>
        <w:t>C</w:t>
      </w:r>
      <w:r>
        <w:rPr>
          <w:rFonts w:ascii="Caladea" w:hAnsi="Caladea"/>
          <w:b/>
          <w:sz w:val="18"/>
        </w:rPr>
        <w:t>ONCILIAÇÃO DO </w:t>
      </w:r>
      <w:r>
        <w:rPr>
          <w:rFonts w:ascii="Caladea" w:hAnsi="Caladea"/>
          <w:b/>
          <w:sz w:val="22"/>
        </w:rPr>
        <w:t>I</w:t>
      </w:r>
      <w:r>
        <w:rPr>
          <w:rFonts w:ascii="Caladea" w:hAnsi="Caladea"/>
          <w:b/>
          <w:sz w:val="18"/>
        </w:rPr>
        <w:t>MPOSTO DE </w:t>
      </w:r>
      <w:r>
        <w:rPr>
          <w:rFonts w:ascii="Caladea" w:hAnsi="Caladea"/>
          <w:b/>
          <w:sz w:val="22"/>
        </w:rPr>
        <w:t>R</w:t>
      </w:r>
      <w:r>
        <w:rPr>
          <w:rFonts w:ascii="Caladea" w:hAnsi="Caladea"/>
          <w:b/>
          <w:sz w:val="18"/>
        </w:rPr>
        <w:t>ENDA E </w:t>
      </w:r>
      <w:r>
        <w:rPr>
          <w:rFonts w:ascii="Caladea" w:hAnsi="Caladea"/>
          <w:b/>
          <w:sz w:val="22"/>
        </w:rPr>
        <w:t>C</w:t>
      </w:r>
      <w:r>
        <w:rPr>
          <w:rFonts w:ascii="Caladea" w:hAnsi="Caladea"/>
          <w:b/>
          <w:sz w:val="18"/>
        </w:rPr>
        <w:t>ONTRIBUIÇÃO </w:t>
      </w:r>
      <w:r>
        <w:rPr>
          <w:rFonts w:ascii="Caladea" w:hAnsi="Caladea"/>
          <w:b/>
          <w:sz w:val="22"/>
        </w:rPr>
        <w:t>S</w:t>
      </w:r>
      <w:r>
        <w:rPr>
          <w:rFonts w:ascii="Caladea" w:hAnsi="Caladea"/>
          <w:b/>
          <w:sz w:val="18"/>
        </w:rPr>
        <w:t>OCIAL</w:t>
      </w:r>
      <w:r>
        <w:rPr>
          <w:rFonts w:ascii="Caladea" w:hAnsi="Caladea"/>
          <w:b/>
          <w:spacing w:val="-3"/>
          <w:sz w:val="18"/>
        </w:rPr>
        <w:t> </w:t>
      </w:r>
      <w:r>
        <w:rPr>
          <w:rFonts w:ascii="Caladea" w:hAnsi="Caladea"/>
          <w:b/>
          <w:sz w:val="22"/>
        </w:rPr>
        <w:t>D</w:t>
      </w:r>
      <w:r>
        <w:rPr>
          <w:rFonts w:ascii="Caladea" w:hAnsi="Caladea"/>
          <w:b/>
          <w:sz w:val="18"/>
        </w:rPr>
        <w:t>IFERIDOS</w:t>
      </w:r>
    </w:p>
    <w:p>
      <w:pPr>
        <w:pStyle w:val="BodyText"/>
        <w:spacing w:before="9"/>
        <w:rPr>
          <w:rFonts w:ascii="Caladea"/>
          <w:b/>
          <w:sz w:val="23"/>
        </w:rPr>
      </w:pPr>
    </w:p>
    <w:p>
      <w:pPr>
        <w:pStyle w:val="BodyText"/>
        <w:ind w:left="172"/>
        <w:jc w:val="both"/>
      </w:pPr>
      <w:r>
        <w:rPr/>
        <w:t>Os montantes de IRPJ e de CSLL diferidos estão demonstrados no quadro seguinte:</w:t>
      </w:r>
    </w:p>
    <w:p>
      <w:pPr>
        <w:pStyle w:val="BodyText"/>
        <w:spacing w:before="7"/>
      </w:pPr>
    </w:p>
    <w:tbl>
      <w:tblPr>
        <w:tblW w:w="0" w:type="auto"/>
        <w:jc w:val="lef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810"/>
        <w:gridCol w:w="1659"/>
        <w:gridCol w:w="1429"/>
        <w:gridCol w:w="1121"/>
        <w:gridCol w:w="1119"/>
      </w:tblGrid>
      <w:tr>
        <w:trPr>
          <w:trHeight w:val="786" w:hRule="atLeast"/>
        </w:trPr>
        <w:tc>
          <w:tcPr>
            <w:tcW w:w="4810" w:type="dxa"/>
            <w:shd w:val="clear" w:color="auto" w:fill="D9D9D9"/>
          </w:tcPr>
          <w:p>
            <w:pPr>
              <w:pStyle w:val="TableParagraph"/>
              <w:rPr>
                <w:rFonts w:ascii="Times New Roman"/>
                <w:sz w:val="14"/>
              </w:rPr>
            </w:pPr>
          </w:p>
        </w:tc>
        <w:tc>
          <w:tcPr>
            <w:tcW w:w="1659" w:type="dxa"/>
          </w:tcPr>
          <w:p>
            <w:pPr>
              <w:pStyle w:val="TableParagraph"/>
              <w:rPr>
                <w:sz w:val="16"/>
              </w:rPr>
            </w:pPr>
          </w:p>
          <w:p>
            <w:pPr>
              <w:pStyle w:val="TableParagraph"/>
              <w:spacing w:before="125"/>
              <w:ind w:left="545"/>
              <w:rPr>
                <w:rFonts w:ascii="Caladea"/>
                <w:b/>
                <w:sz w:val="14"/>
              </w:rPr>
            </w:pPr>
            <w:r>
              <w:rPr>
                <w:rFonts w:ascii="Caladea"/>
                <w:b/>
                <w:sz w:val="14"/>
              </w:rPr>
              <w:t>Empresa</w:t>
            </w:r>
          </w:p>
        </w:tc>
        <w:tc>
          <w:tcPr>
            <w:tcW w:w="1429" w:type="dxa"/>
          </w:tcPr>
          <w:p>
            <w:pPr>
              <w:pStyle w:val="TableParagraph"/>
              <w:spacing w:before="8"/>
              <w:rPr>
                <w:sz w:val="19"/>
              </w:rPr>
            </w:pPr>
          </w:p>
          <w:p>
            <w:pPr>
              <w:pStyle w:val="TableParagraph"/>
              <w:ind w:left="422" w:hanging="276"/>
              <w:rPr>
                <w:rFonts w:ascii="Caladea" w:hAnsi="Caladea"/>
                <w:b/>
                <w:sz w:val="14"/>
              </w:rPr>
            </w:pPr>
            <w:r>
              <w:rPr>
                <w:rFonts w:ascii="Caladea" w:hAnsi="Caladea"/>
                <w:b/>
                <w:sz w:val="14"/>
              </w:rPr>
              <w:t>Movimentação do exercício</w:t>
            </w:r>
          </w:p>
        </w:tc>
        <w:tc>
          <w:tcPr>
            <w:tcW w:w="1121" w:type="dxa"/>
          </w:tcPr>
          <w:p>
            <w:pPr>
              <w:pStyle w:val="TableParagraph"/>
              <w:rPr>
                <w:sz w:val="16"/>
              </w:rPr>
            </w:pPr>
          </w:p>
          <w:p>
            <w:pPr>
              <w:pStyle w:val="TableParagraph"/>
              <w:spacing w:before="125"/>
              <w:ind w:left="421"/>
              <w:rPr>
                <w:rFonts w:ascii="Caladea"/>
                <w:b/>
                <w:sz w:val="14"/>
              </w:rPr>
            </w:pPr>
            <w:r>
              <w:rPr>
                <w:rFonts w:ascii="Caladea"/>
                <w:b/>
                <w:sz w:val="14"/>
              </w:rPr>
              <w:t>IRPJ</w:t>
            </w:r>
          </w:p>
        </w:tc>
        <w:tc>
          <w:tcPr>
            <w:tcW w:w="1119" w:type="dxa"/>
          </w:tcPr>
          <w:p>
            <w:pPr>
              <w:pStyle w:val="TableParagraph"/>
              <w:rPr>
                <w:sz w:val="16"/>
              </w:rPr>
            </w:pPr>
          </w:p>
          <w:p>
            <w:pPr>
              <w:pStyle w:val="TableParagraph"/>
              <w:spacing w:before="125"/>
              <w:ind w:left="404"/>
              <w:rPr>
                <w:rFonts w:ascii="Caladea"/>
                <w:b/>
                <w:sz w:val="14"/>
              </w:rPr>
            </w:pPr>
            <w:r>
              <w:rPr>
                <w:rFonts w:ascii="Caladea"/>
                <w:b/>
                <w:sz w:val="14"/>
              </w:rPr>
              <w:t>CSLL</w:t>
            </w:r>
          </w:p>
        </w:tc>
      </w:tr>
      <w:tr>
        <w:trPr>
          <w:trHeight w:val="165" w:hRule="atLeast"/>
        </w:trPr>
        <w:tc>
          <w:tcPr>
            <w:tcW w:w="4810" w:type="dxa"/>
          </w:tcPr>
          <w:p>
            <w:pPr>
              <w:pStyle w:val="TableParagraph"/>
              <w:spacing w:line="144" w:lineRule="exact" w:before="1"/>
              <w:ind w:left="71"/>
              <w:rPr>
                <w:rFonts w:ascii="Caladea" w:hAnsi="Caladea"/>
                <w:b/>
                <w:sz w:val="14"/>
              </w:rPr>
            </w:pPr>
            <w:r>
              <w:rPr>
                <w:rFonts w:ascii="Caladea" w:hAnsi="Caladea"/>
                <w:b/>
                <w:sz w:val="14"/>
              </w:rPr>
              <w:t>Alíquotas</w:t>
            </w:r>
          </w:p>
        </w:tc>
        <w:tc>
          <w:tcPr>
            <w:tcW w:w="1659" w:type="dxa"/>
          </w:tcPr>
          <w:p>
            <w:pPr>
              <w:pStyle w:val="TableParagraph"/>
              <w:rPr>
                <w:rFonts w:ascii="Times New Roman"/>
                <w:sz w:val="10"/>
              </w:rPr>
            </w:pPr>
          </w:p>
        </w:tc>
        <w:tc>
          <w:tcPr>
            <w:tcW w:w="1429" w:type="dxa"/>
          </w:tcPr>
          <w:p>
            <w:pPr>
              <w:pStyle w:val="TableParagraph"/>
              <w:rPr>
                <w:rFonts w:ascii="Times New Roman"/>
                <w:sz w:val="10"/>
              </w:rPr>
            </w:pPr>
          </w:p>
        </w:tc>
        <w:tc>
          <w:tcPr>
            <w:tcW w:w="1121" w:type="dxa"/>
          </w:tcPr>
          <w:p>
            <w:pPr>
              <w:pStyle w:val="TableParagraph"/>
              <w:spacing w:line="144" w:lineRule="exact" w:before="1"/>
              <w:ind w:left="409"/>
              <w:rPr>
                <w:rFonts w:ascii="Caladea"/>
                <w:b/>
                <w:sz w:val="14"/>
              </w:rPr>
            </w:pPr>
            <w:r>
              <w:rPr>
                <w:rFonts w:ascii="Caladea"/>
                <w:b/>
                <w:sz w:val="14"/>
              </w:rPr>
              <w:t>25%</w:t>
            </w:r>
          </w:p>
        </w:tc>
        <w:tc>
          <w:tcPr>
            <w:tcW w:w="1119" w:type="dxa"/>
          </w:tcPr>
          <w:p>
            <w:pPr>
              <w:pStyle w:val="TableParagraph"/>
              <w:spacing w:line="144" w:lineRule="exact" w:before="1"/>
              <w:ind w:left="447"/>
              <w:rPr>
                <w:rFonts w:ascii="Caladea"/>
                <w:b/>
                <w:sz w:val="14"/>
              </w:rPr>
            </w:pPr>
            <w:r>
              <w:rPr>
                <w:rFonts w:ascii="Caladea"/>
                <w:b/>
                <w:sz w:val="14"/>
              </w:rPr>
              <w:t>9%</w:t>
            </w:r>
          </w:p>
        </w:tc>
      </w:tr>
      <w:tr>
        <w:trPr>
          <w:trHeight w:val="165" w:hRule="atLeast"/>
        </w:trPr>
        <w:tc>
          <w:tcPr>
            <w:tcW w:w="4810" w:type="dxa"/>
          </w:tcPr>
          <w:p>
            <w:pPr>
              <w:pStyle w:val="TableParagraph"/>
              <w:spacing w:line="145" w:lineRule="exact"/>
              <w:ind w:left="227"/>
              <w:rPr>
                <w:sz w:val="14"/>
              </w:rPr>
            </w:pPr>
            <w:r>
              <w:rPr>
                <w:sz w:val="14"/>
              </w:rPr>
              <w:t>Controle do Não Faturado e Custos a Faturar Líquido</w:t>
            </w:r>
          </w:p>
        </w:tc>
        <w:tc>
          <w:tcPr>
            <w:tcW w:w="1659" w:type="dxa"/>
          </w:tcPr>
          <w:p>
            <w:pPr>
              <w:pStyle w:val="TableParagraph"/>
              <w:spacing w:line="145" w:lineRule="exact"/>
              <w:ind w:left="69"/>
              <w:rPr>
                <w:sz w:val="14"/>
              </w:rPr>
            </w:pPr>
            <w:r>
              <w:rPr>
                <w:sz w:val="14"/>
              </w:rPr>
              <w:t>Controladora</w:t>
            </w:r>
          </w:p>
        </w:tc>
        <w:tc>
          <w:tcPr>
            <w:tcW w:w="1429" w:type="dxa"/>
          </w:tcPr>
          <w:p>
            <w:pPr>
              <w:pStyle w:val="TableParagraph"/>
              <w:spacing w:line="145" w:lineRule="exact"/>
              <w:ind w:right="58"/>
              <w:jc w:val="right"/>
              <w:rPr>
                <w:sz w:val="14"/>
              </w:rPr>
            </w:pPr>
            <w:r>
              <w:rPr>
                <w:w w:val="95"/>
                <w:sz w:val="14"/>
              </w:rPr>
              <w:t>(2.514)</w:t>
            </w:r>
          </w:p>
        </w:tc>
        <w:tc>
          <w:tcPr>
            <w:tcW w:w="1121" w:type="dxa"/>
          </w:tcPr>
          <w:p>
            <w:pPr>
              <w:pStyle w:val="TableParagraph"/>
              <w:spacing w:line="145" w:lineRule="exact"/>
              <w:ind w:right="61"/>
              <w:jc w:val="right"/>
              <w:rPr>
                <w:sz w:val="14"/>
              </w:rPr>
            </w:pPr>
            <w:r>
              <w:rPr>
                <w:sz w:val="14"/>
              </w:rPr>
              <w:t>(629)</w:t>
            </w:r>
          </w:p>
        </w:tc>
        <w:tc>
          <w:tcPr>
            <w:tcW w:w="1119" w:type="dxa"/>
          </w:tcPr>
          <w:p>
            <w:pPr>
              <w:pStyle w:val="TableParagraph"/>
              <w:spacing w:line="145" w:lineRule="exact"/>
              <w:ind w:right="61"/>
              <w:jc w:val="right"/>
              <w:rPr>
                <w:sz w:val="14"/>
              </w:rPr>
            </w:pPr>
            <w:r>
              <w:rPr>
                <w:sz w:val="14"/>
              </w:rPr>
              <w:t>(226)</w:t>
            </w:r>
          </w:p>
        </w:tc>
      </w:tr>
      <w:tr>
        <w:trPr>
          <w:trHeight w:val="162" w:hRule="atLeast"/>
        </w:trPr>
        <w:tc>
          <w:tcPr>
            <w:tcW w:w="4810" w:type="dxa"/>
          </w:tcPr>
          <w:p>
            <w:pPr>
              <w:pStyle w:val="TableParagraph"/>
              <w:spacing w:line="142" w:lineRule="exact"/>
              <w:ind w:left="227"/>
              <w:rPr>
                <w:sz w:val="14"/>
              </w:rPr>
            </w:pPr>
            <w:r>
              <w:rPr>
                <w:sz w:val="14"/>
              </w:rPr>
              <w:t>Valores a Receber de Parcela “A” - CVA</w:t>
            </w:r>
          </w:p>
        </w:tc>
        <w:tc>
          <w:tcPr>
            <w:tcW w:w="1659" w:type="dxa"/>
          </w:tcPr>
          <w:p>
            <w:pPr>
              <w:pStyle w:val="TableParagraph"/>
              <w:spacing w:line="142" w:lineRule="exact"/>
              <w:ind w:left="69"/>
              <w:rPr>
                <w:sz w:val="14"/>
              </w:rPr>
            </w:pPr>
            <w:r>
              <w:rPr>
                <w:sz w:val="14"/>
              </w:rPr>
              <w:t>CEB Distribuição S.A.</w:t>
            </w:r>
          </w:p>
        </w:tc>
        <w:tc>
          <w:tcPr>
            <w:tcW w:w="1429" w:type="dxa"/>
          </w:tcPr>
          <w:p>
            <w:pPr>
              <w:pStyle w:val="TableParagraph"/>
              <w:spacing w:line="142" w:lineRule="exact"/>
              <w:ind w:right="56"/>
              <w:jc w:val="right"/>
              <w:rPr>
                <w:sz w:val="14"/>
              </w:rPr>
            </w:pPr>
            <w:r>
              <w:rPr>
                <w:w w:val="95"/>
                <w:sz w:val="14"/>
              </w:rPr>
              <w:t>236.697</w:t>
            </w:r>
          </w:p>
        </w:tc>
        <w:tc>
          <w:tcPr>
            <w:tcW w:w="1121" w:type="dxa"/>
          </w:tcPr>
          <w:p>
            <w:pPr>
              <w:pStyle w:val="TableParagraph"/>
              <w:spacing w:line="142" w:lineRule="exact"/>
              <w:ind w:right="58"/>
              <w:jc w:val="right"/>
              <w:rPr>
                <w:sz w:val="14"/>
              </w:rPr>
            </w:pPr>
            <w:r>
              <w:rPr>
                <w:w w:val="95"/>
                <w:sz w:val="14"/>
              </w:rPr>
              <w:t>59.150</w:t>
            </w:r>
          </w:p>
        </w:tc>
        <w:tc>
          <w:tcPr>
            <w:tcW w:w="1119" w:type="dxa"/>
          </w:tcPr>
          <w:p>
            <w:pPr>
              <w:pStyle w:val="TableParagraph"/>
              <w:spacing w:line="142" w:lineRule="exact"/>
              <w:ind w:right="58"/>
              <w:jc w:val="right"/>
              <w:rPr>
                <w:sz w:val="14"/>
              </w:rPr>
            </w:pPr>
            <w:r>
              <w:rPr>
                <w:w w:val="95"/>
                <w:sz w:val="14"/>
              </w:rPr>
              <w:t>21.303</w:t>
            </w:r>
          </w:p>
        </w:tc>
      </w:tr>
      <w:tr>
        <w:trPr>
          <w:trHeight w:val="165" w:hRule="atLeast"/>
        </w:trPr>
        <w:tc>
          <w:tcPr>
            <w:tcW w:w="4810" w:type="dxa"/>
          </w:tcPr>
          <w:p>
            <w:pPr>
              <w:pStyle w:val="TableParagraph"/>
              <w:spacing w:line="145" w:lineRule="exact"/>
              <w:ind w:left="227"/>
              <w:rPr>
                <w:sz w:val="14"/>
              </w:rPr>
            </w:pPr>
            <w:r>
              <w:rPr>
                <w:sz w:val="14"/>
              </w:rPr>
              <w:t>Valor Novo de Reposição - VNR</w:t>
            </w:r>
          </w:p>
        </w:tc>
        <w:tc>
          <w:tcPr>
            <w:tcW w:w="1659" w:type="dxa"/>
          </w:tcPr>
          <w:p>
            <w:pPr>
              <w:pStyle w:val="TableParagraph"/>
              <w:spacing w:line="145" w:lineRule="exact"/>
              <w:ind w:left="69"/>
              <w:rPr>
                <w:sz w:val="14"/>
              </w:rPr>
            </w:pPr>
            <w:r>
              <w:rPr>
                <w:sz w:val="14"/>
              </w:rPr>
              <w:t>CEB Distribuição S.A.</w:t>
            </w:r>
          </w:p>
        </w:tc>
        <w:tc>
          <w:tcPr>
            <w:tcW w:w="1429" w:type="dxa"/>
          </w:tcPr>
          <w:p>
            <w:pPr>
              <w:pStyle w:val="TableParagraph"/>
              <w:spacing w:line="145" w:lineRule="exact"/>
              <w:ind w:right="58"/>
              <w:jc w:val="right"/>
              <w:rPr>
                <w:sz w:val="14"/>
              </w:rPr>
            </w:pPr>
            <w:r>
              <w:rPr>
                <w:w w:val="95"/>
                <w:sz w:val="14"/>
              </w:rPr>
              <w:t>(5.640)</w:t>
            </w:r>
          </w:p>
        </w:tc>
        <w:tc>
          <w:tcPr>
            <w:tcW w:w="1121" w:type="dxa"/>
          </w:tcPr>
          <w:p>
            <w:pPr>
              <w:pStyle w:val="TableParagraph"/>
              <w:spacing w:line="145" w:lineRule="exact"/>
              <w:ind w:right="60"/>
              <w:jc w:val="right"/>
              <w:rPr>
                <w:sz w:val="14"/>
              </w:rPr>
            </w:pPr>
            <w:r>
              <w:rPr>
                <w:w w:val="95"/>
                <w:sz w:val="14"/>
              </w:rPr>
              <w:t>(1.410)</w:t>
            </w:r>
          </w:p>
        </w:tc>
        <w:tc>
          <w:tcPr>
            <w:tcW w:w="1119" w:type="dxa"/>
          </w:tcPr>
          <w:p>
            <w:pPr>
              <w:pStyle w:val="TableParagraph"/>
              <w:spacing w:line="145" w:lineRule="exact"/>
              <w:ind w:right="61"/>
              <w:jc w:val="right"/>
              <w:rPr>
                <w:sz w:val="14"/>
              </w:rPr>
            </w:pPr>
            <w:r>
              <w:rPr>
                <w:sz w:val="14"/>
              </w:rPr>
              <w:t>(508)</w:t>
            </w:r>
          </w:p>
        </w:tc>
      </w:tr>
      <w:tr>
        <w:trPr>
          <w:trHeight w:val="162" w:hRule="atLeast"/>
        </w:trPr>
        <w:tc>
          <w:tcPr>
            <w:tcW w:w="4810" w:type="dxa"/>
          </w:tcPr>
          <w:p>
            <w:pPr>
              <w:pStyle w:val="TableParagraph"/>
              <w:spacing w:line="142" w:lineRule="exact"/>
              <w:ind w:left="227"/>
              <w:rPr>
                <w:sz w:val="14"/>
              </w:rPr>
            </w:pPr>
            <w:r>
              <w:rPr>
                <w:sz w:val="14"/>
              </w:rPr>
              <w:t>Estimativa Mensal - MCP</w:t>
            </w:r>
          </w:p>
        </w:tc>
        <w:tc>
          <w:tcPr>
            <w:tcW w:w="1659" w:type="dxa"/>
          </w:tcPr>
          <w:p>
            <w:pPr>
              <w:pStyle w:val="TableParagraph"/>
              <w:spacing w:line="142" w:lineRule="exact"/>
              <w:ind w:left="69"/>
              <w:rPr>
                <w:sz w:val="14"/>
              </w:rPr>
            </w:pPr>
            <w:r>
              <w:rPr>
                <w:sz w:val="14"/>
              </w:rPr>
              <w:t>CEB Lajeado S.A.</w:t>
            </w:r>
          </w:p>
        </w:tc>
        <w:tc>
          <w:tcPr>
            <w:tcW w:w="1429" w:type="dxa"/>
          </w:tcPr>
          <w:p>
            <w:pPr>
              <w:pStyle w:val="TableParagraph"/>
              <w:spacing w:line="142" w:lineRule="exact"/>
              <w:ind w:right="58"/>
              <w:jc w:val="right"/>
              <w:rPr>
                <w:sz w:val="14"/>
              </w:rPr>
            </w:pPr>
            <w:r>
              <w:rPr>
                <w:w w:val="95"/>
                <w:sz w:val="14"/>
              </w:rPr>
              <w:t>(1.737)</w:t>
            </w:r>
          </w:p>
        </w:tc>
        <w:tc>
          <w:tcPr>
            <w:tcW w:w="1121" w:type="dxa"/>
          </w:tcPr>
          <w:p>
            <w:pPr>
              <w:pStyle w:val="TableParagraph"/>
              <w:spacing w:line="142" w:lineRule="exact"/>
              <w:ind w:right="60"/>
              <w:jc w:val="right"/>
              <w:rPr>
                <w:sz w:val="14"/>
              </w:rPr>
            </w:pPr>
            <w:r>
              <w:rPr>
                <w:sz w:val="14"/>
              </w:rPr>
              <w:t>(436)</w:t>
            </w:r>
          </w:p>
        </w:tc>
        <w:tc>
          <w:tcPr>
            <w:tcW w:w="1119" w:type="dxa"/>
          </w:tcPr>
          <w:p>
            <w:pPr>
              <w:pStyle w:val="TableParagraph"/>
              <w:spacing w:line="142" w:lineRule="exact"/>
              <w:ind w:right="61"/>
              <w:jc w:val="right"/>
              <w:rPr>
                <w:sz w:val="14"/>
              </w:rPr>
            </w:pPr>
            <w:r>
              <w:rPr>
                <w:sz w:val="14"/>
              </w:rPr>
              <w:t>(156)</w:t>
            </w:r>
          </w:p>
        </w:tc>
      </w:tr>
      <w:tr>
        <w:trPr>
          <w:trHeight w:val="165" w:hRule="atLeast"/>
        </w:trPr>
        <w:tc>
          <w:tcPr>
            <w:tcW w:w="4810" w:type="dxa"/>
          </w:tcPr>
          <w:p>
            <w:pPr>
              <w:pStyle w:val="TableParagraph"/>
              <w:spacing w:line="145" w:lineRule="exact"/>
              <w:ind w:left="227"/>
              <w:rPr>
                <w:sz w:val="14"/>
              </w:rPr>
            </w:pPr>
            <w:r>
              <w:rPr>
                <w:sz w:val="14"/>
              </w:rPr>
              <w:t>Rendimentos Financeiros a Resgatar</w:t>
            </w:r>
          </w:p>
        </w:tc>
        <w:tc>
          <w:tcPr>
            <w:tcW w:w="1659" w:type="dxa"/>
          </w:tcPr>
          <w:p>
            <w:pPr>
              <w:pStyle w:val="TableParagraph"/>
              <w:spacing w:line="145" w:lineRule="exact"/>
              <w:ind w:left="69"/>
              <w:rPr>
                <w:sz w:val="14"/>
              </w:rPr>
            </w:pPr>
            <w:r>
              <w:rPr>
                <w:sz w:val="14"/>
              </w:rPr>
              <w:t>CEB Geração S.A.</w:t>
            </w:r>
          </w:p>
        </w:tc>
        <w:tc>
          <w:tcPr>
            <w:tcW w:w="1429" w:type="dxa"/>
          </w:tcPr>
          <w:p>
            <w:pPr>
              <w:pStyle w:val="TableParagraph"/>
              <w:spacing w:line="145" w:lineRule="exact"/>
              <w:ind w:right="59"/>
              <w:jc w:val="right"/>
              <w:rPr>
                <w:sz w:val="14"/>
              </w:rPr>
            </w:pPr>
            <w:r>
              <w:rPr>
                <w:sz w:val="14"/>
              </w:rPr>
              <w:t>(425)</w:t>
            </w:r>
          </w:p>
        </w:tc>
        <w:tc>
          <w:tcPr>
            <w:tcW w:w="1121" w:type="dxa"/>
          </w:tcPr>
          <w:p>
            <w:pPr>
              <w:pStyle w:val="TableParagraph"/>
              <w:spacing w:line="145" w:lineRule="exact"/>
              <w:ind w:right="60"/>
              <w:jc w:val="right"/>
              <w:rPr>
                <w:sz w:val="14"/>
              </w:rPr>
            </w:pPr>
            <w:r>
              <w:rPr>
                <w:sz w:val="14"/>
              </w:rPr>
              <w:t>(108)</w:t>
            </w:r>
          </w:p>
        </w:tc>
        <w:tc>
          <w:tcPr>
            <w:tcW w:w="1119" w:type="dxa"/>
          </w:tcPr>
          <w:p>
            <w:pPr>
              <w:pStyle w:val="TableParagraph"/>
              <w:spacing w:line="145" w:lineRule="exact"/>
              <w:ind w:right="61"/>
              <w:jc w:val="right"/>
              <w:rPr>
                <w:sz w:val="14"/>
              </w:rPr>
            </w:pPr>
            <w:r>
              <w:rPr>
                <w:sz w:val="14"/>
              </w:rPr>
              <w:t>(38)</w:t>
            </w:r>
          </w:p>
        </w:tc>
      </w:tr>
      <w:tr>
        <w:trPr>
          <w:trHeight w:val="162" w:hRule="atLeast"/>
        </w:trPr>
        <w:tc>
          <w:tcPr>
            <w:tcW w:w="4810" w:type="dxa"/>
          </w:tcPr>
          <w:p>
            <w:pPr>
              <w:pStyle w:val="TableParagraph"/>
              <w:spacing w:line="143" w:lineRule="exact"/>
              <w:ind w:left="71"/>
              <w:rPr>
                <w:rFonts w:ascii="Caladea"/>
                <w:b/>
                <w:sz w:val="14"/>
              </w:rPr>
            </w:pPr>
            <w:r>
              <w:rPr>
                <w:rFonts w:ascii="Caladea"/>
                <w:b/>
                <w:sz w:val="14"/>
              </w:rPr>
              <w:t>Total</w:t>
            </w:r>
          </w:p>
        </w:tc>
        <w:tc>
          <w:tcPr>
            <w:tcW w:w="1659" w:type="dxa"/>
          </w:tcPr>
          <w:p>
            <w:pPr>
              <w:pStyle w:val="TableParagraph"/>
              <w:rPr>
                <w:rFonts w:ascii="Times New Roman"/>
                <w:sz w:val="10"/>
              </w:rPr>
            </w:pPr>
          </w:p>
        </w:tc>
        <w:tc>
          <w:tcPr>
            <w:tcW w:w="1429" w:type="dxa"/>
          </w:tcPr>
          <w:p>
            <w:pPr>
              <w:pStyle w:val="TableParagraph"/>
              <w:spacing w:line="143" w:lineRule="exact"/>
              <w:ind w:right="56"/>
              <w:jc w:val="right"/>
              <w:rPr>
                <w:rFonts w:ascii="Caladea"/>
                <w:b/>
                <w:sz w:val="14"/>
              </w:rPr>
            </w:pPr>
            <w:r>
              <w:rPr>
                <w:rFonts w:ascii="Caladea"/>
                <w:b/>
                <w:w w:val="95"/>
                <w:sz w:val="14"/>
              </w:rPr>
              <w:t>226.381</w:t>
            </w:r>
          </w:p>
        </w:tc>
        <w:tc>
          <w:tcPr>
            <w:tcW w:w="1121" w:type="dxa"/>
          </w:tcPr>
          <w:p>
            <w:pPr>
              <w:pStyle w:val="TableParagraph"/>
              <w:spacing w:line="143" w:lineRule="exact"/>
              <w:ind w:right="58"/>
              <w:jc w:val="right"/>
              <w:rPr>
                <w:rFonts w:ascii="Caladea"/>
                <w:b/>
                <w:sz w:val="14"/>
              </w:rPr>
            </w:pPr>
            <w:r>
              <w:rPr>
                <w:rFonts w:ascii="Caladea"/>
                <w:b/>
                <w:sz w:val="14"/>
              </w:rPr>
              <w:t>56.567</w:t>
            </w:r>
          </w:p>
        </w:tc>
        <w:tc>
          <w:tcPr>
            <w:tcW w:w="1119" w:type="dxa"/>
          </w:tcPr>
          <w:p>
            <w:pPr>
              <w:pStyle w:val="TableParagraph"/>
              <w:spacing w:line="143" w:lineRule="exact"/>
              <w:ind w:right="58"/>
              <w:jc w:val="right"/>
              <w:rPr>
                <w:rFonts w:ascii="Caladea"/>
                <w:b/>
                <w:sz w:val="14"/>
              </w:rPr>
            </w:pPr>
            <w:r>
              <w:rPr>
                <w:rFonts w:ascii="Caladea"/>
                <w:b/>
                <w:sz w:val="14"/>
              </w:rPr>
              <w:t>20.374</w:t>
            </w:r>
          </w:p>
        </w:tc>
      </w:tr>
    </w:tbl>
    <w:p>
      <w:pPr>
        <w:pStyle w:val="BodyText"/>
      </w:pPr>
    </w:p>
    <w:p>
      <w:pPr>
        <w:pStyle w:val="Heading5"/>
        <w:tabs>
          <w:tab w:pos="881" w:val="left" w:leader="none"/>
        </w:tabs>
        <w:ind w:left="172" w:firstLine="0"/>
      </w:pPr>
      <w:r>
        <w:rPr/>
        <w:t>(i)</w:t>
        <w:tab/>
        <w:t>Passivo fiscal</w:t>
      </w:r>
      <w:r>
        <w:rPr>
          <w:spacing w:val="-3"/>
        </w:rPr>
        <w:t> </w:t>
      </w:r>
      <w:r>
        <w:rPr/>
        <w:t>diferido</w:t>
      </w:r>
    </w:p>
    <w:p>
      <w:pPr>
        <w:pStyle w:val="BodyText"/>
        <w:spacing w:before="10"/>
        <w:rPr>
          <w:rFonts w:ascii="Caladea"/>
          <w:b/>
          <w:sz w:val="23"/>
        </w:rPr>
      </w:pPr>
    </w:p>
    <w:p>
      <w:pPr>
        <w:pStyle w:val="BodyText"/>
        <w:spacing w:line="242" w:lineRule="auto"/>
        <w:ind w:left="172" w:right="408"/>
        <w:jc w:val="both"/>
      </w:pPr>
      <w:r>
        <w:rPr/>
        <w:t>A</w:t>
      </w:r>
      <w:r>
        <w:rPr>
          <w:spacing w:val="-46"/>
        </w:rPr>
        <w:t> </w:t>
      </w:r>
      <w:r>
        <w:rPr/>
        <w:t>Companhia</w:t>
      </w:r>
      <w:r>
        <w:rPr>
          <w:spacing w:val="-44"/>
        </w:rPr>
        <w:t> </w:t>
      </w:r>
      <w:r>
        <w:rPr/>
        <w:t>reconheceu</w:t>
      </w:r>
      <w:r>
        <w:rPr>
          <w:spacing w:val="-45"/>
        </w:rPr>
        <w:t> </w:t>
      </w:r>
      <w:r>
        <w:rPr/>
        <w:t>passivos</w:t>
      </w:r>
      <w:r>
        <w:rPr>
          <w:spacing w:val="-46"/>
        </w:rPr>
        <w:t> </w:t>
      </w:r>
      <w:r>
        <w:rPr/>
        <w:t>fiscais</w:t>
      </w:r>
      <w:r>
        <w:rPr>
          <w:spacing w:val="-45"/>
        </w:rPr>
        <w:t> </w:t>
      </w:r>
      <w:r>
        <w:rPr/>
        <w:t>diferidos</w:t>
      </w:r>
      <w:r>
        <w:rPr>
          <w:spacing w:val="-45"/>
        </w:rPr>
        <w:t> </w:t>
      </w:r>
      <w:r>
        <w:rPr/>
        <w:t>relativos</w:t>
      </w:r>
      <w:r>
        <w:rPr>
          <w:spacing w:val="-46"/>
        </w:rPr>
        <w:t> </w:t>
      </w:r>
      <w:r>
        <w:rPr/>
        <w:t>ao</w:t>
      </w:r>
      <w:r>
        <w:rPr>
          <w:spacing w:val="-46"/>
        </w:rPr>
        <w:t> </w:t>
      </w:r>
      <w:r>
        <w:rPr/>
        <w:t>reconhecimento</w:t>
      </w:r>
      <w:r>
        <w:rPr>
          <w:spacing w:val="-45"/>
        </w:rPr>
        <w:t> </w:t>
      </w:r>
      <w:r>
        <w:rPr/>
        <w:t>do</w:t>
      </w:r>
      <w:r>
        <w:rPr>
          <w:spacing w:val="-46"/>
        </w:rPr>
        <w:t> </w:t>
      </w:r>
      <w:r>
        <w:rPr/>
        <w:t>custo</w:t>
      </w:r>
      <w:r>
        <w:rPr>
          <w:spacing w:val="-46"/>
        </w:rPr>
        <w:t> </w:t>
      </w:r>
      <w:r>
        <w:rPr/>
        <w:t>atribuído</w:t>
      </w:r>
      <w:r>
        <w:rPr>
          <w:spacing w:val="-45"/>
        </w:rPr>
        <w:t> </w:t>
      </w:r>
      <w:r>
        <w:rPr/>
        <w:t>dos</w:t>
      </w:r>
      <w:r>
        <w:rPr>
          <w:spacing w:val="-45"/>
        </w:rPr>
        <w:t> </w:t>
      </w:r>
      <w:r>
        <w:rPr/>
        <w:t>terrenos</w:t>
      </w:r>
      <w:r>
        <w:rPr>
          <w:spacing w:val="-45"/>
        </w:rPr>
        <w:t> </w:t>
      </w:r>
      <w:r>
        <w:rPr/>
        <w:t>(Nota Explicativa</w:t>
      </w:r>
      <w:r>
        <w:rPr>
          <w:spacing w:val="-22"/>
        </w:rPr>
        <w:t> </w:t>
      </w:r>
      <w:r>
        <w:rPr/>
        <w:t>nº</w:t>
      </w:r>
      <w:r>
        <w:rPr>
          <w:spacing w:val="-21"/>
        </w:rPr>
        <w:t> </w:t>
      </w:r>
      <w:r>
        <w:rPr/>
        <w:t>13).</w:t>
      </w:r>
      <w:r>
        <w:rPr>
          <w:spacing w:val="-22"/>
        </w:rPr>
        <w:t> </w:t>
      </w:r>
      <w:r>
        <w:rPr/>
        <w:t>Um</w:t>
      </w:r>
      <w:r>
        <w:rPr>
          <w:spacing w:val="-19"/>
        </w:rPr>
        <w:t> </w:t>
      </w:r>
      <w:r>
        <w:rPr/>
        <w:t>dos</w:t>
      </w:r>
      <w:r>
        <w:rPr>
          <w:spacing w:val="-22"/>
        </w:rPr>
        <w:t> </w:t>
      </w:r>
      <w:r>
        <w:rPr/>
        <w:t>imóveis</w:t>
      </w:r>
      <w:r>
        <w:rPr>
          <w:spacing w:val="-22"/>
        </w:rPr>
        <w:t> </w:t>
      </w:r>
      <w:r>
        <w:rPr/>
        <w:t>avaliados</w:t>
      </w:r>
      <w:r>
        <w:rPr>
          <w:spacing w:val="-22"/>
        </w:rPr>
        <w:t> </w:t>
      </w:r>
      <w:r>
        <w:rPr/>
        <w:t>foi</w:t>
      </w:r>
      <w:r>
        <w:rPr>
          <w:spacing w:val="-22"/>
        </w:rPr>
        <w:t> </w:t>
      </w:r>
      <w:r>
        <w:rPr/>
        <w:t>capitalizado</w:t>
      </w:r>
      <w:r>
        <w:rPr>
          <w:spacing w:val="-23"/>
        </w:rPr>
        <w:t> </w:t>
      </w:r>
      <w:r>
        <w:rPr/>
        <w:t>na</w:t>
      </w:r>
      <w:r>
        <w:rPr>
          <w:spacing w:val="-21"/>
        </w:rPr>
        <w:t> </w:t>
      </w:r>
      <w:r>
        <w:rPr/>
        <w:t>controlada</w:t>
      </w:r>
      <w:r>
        <w:rPr>
          <w:spacing w:val="-21"/>
        </w:rPr>
        <w:t> </w:t>
      </w:r>
      <w:r>
        <w:rPr/>
        <w:t>CEB</w:t>
      </w:r>
      <w:r>
        <w:rPr>
          <w:spacing w:val="-22"/>
        </w:rPr>
        <w:t> </w:t>
      </w:r>
      <w:r>
        <w:rPr/>
        <w:t>DIS,</w:t>
      </w:r>
      <w:r>
        <w:rPr>
          <w:spacing w:val="-22"/>
        </w:rPr>
        <w:t> </w:t>
      </w:r>
      <w:r>
        <w:rPr/>
        <w:t>como</w:t>
      </w:r>
      <w:r>
        <w:rPr>
          <w:spacing w:val="-23"/>
        </w:rPr>
        <w:t> </w:t>
      </w:r>
      <w:r>
        <w:rPr/>
        <w:t>aporte</w:t>
      </w:r>
      <w:r>
        <w:rPr>
          <w:spacing w:val="-21"/>
        </w:rPr>
        <w:t> </w:t>
      </w:r>
      <w:r>
        <w:rPr/>
        <w:t>de</w:t>
      </w:r>
      <w:r>
        <w:rPr>
          <w:spacing w:val="-23"/>
        </w:rPr>
        <w:t> </w:t>
      </w:r>
      <w:r>
        <w:rPr/>
        <w:t>capital</w:t>
      </w:r>
      <w:r>
        <w:rPr>
          <w:spacing w:val="-22"/>
        </w:rPr>
        <w:t> </w:t>
      </w:r>
      <w:r>
        <w:rPr/>
        <w:t>e</w:t>
      </w:r>
      <w:r>
        <w:rPr>
          <w:spacing w:val="-23"/>
        </w:rPr>
        <w:t> </w:t>
      </w:r>
      <w:r>
        <w:rPr/>
        <w:t>está registrado</w:t>
      </w:r>
      <w:r>
        <w:rPr>
          <w:spacing w:val="-45"/>
        </w:rPr>
        <w:t> </w:t>
      </w:r>
      <w:r>
        <w:rPr/>
        <w:t>como</w:t>
      </w:r>
      <w:r>
        <w:rPr>
          <w:spacing w:val="-44"/>
        </w:rPr>
        <w:t> </w:t>
      </w:r>
      <w:r>
        <w:rPr/>
        <w:t>ativo</w:t>
      </w:r>
      <w:r>
        <w:rPr>
          <w:spacing w:val="-43"/>
        </w:rPr>
        <w:t> </w:t>
      </w:r>
      <w:r>
        <w:rPr/>
        <w:t>não</w:t>
      </w:r>
      <w:r>
        <w:rPr>
          <w:spacing w:val="-44"/>
        </w:rPr>
        <w:t> </w:t>
      </w:r>
      <w:r>
        <w:rPr/>
        <w:t>circulante</w:t>
      </w:r>
      <w:r>
        <w:rPr>
          <w:spacing w:val="-43"/>
        </w:rPr>
        <w:t> </w:t>
      </w:r>
      <w:r>
        <w:rPr/>
        <w:t>mantido</w:t>
      </w:r>
      <w:r>
        <w:rPr>
          <w:spacing w:val="-44"/>
        </w:rPr>
        <w:t> </w:t>
      </w:r>
      <w:r>
        <w:rPr/>
        <w:t>para</w:t>
      </w:r>
      <w:r>
        <w:rPr>
          <w:spacing w:val="-43"/>
        </w:rPr>
        <w:t> </w:t>
      </w:r>
      <w:r>
        <w:rPr/>
        <w:t>venda.</w:t>
      </w:r>
      <w:r>
        <w:rPr>
          <w:spacing w:val="-44"/>
        </w:rPr>
        <w:t> </w:t>
      </w:r>
      <w:r>
        <w:rPr/>
        <w:t>Outros</w:t>
      </w:r>
      <w:r>
        <w:rPr>
          <w:spacing w:val="-44"/>
        </w:rPr>
        <w:t> </w:t>
      </w:r>
      <w:r>
        <w:rPr/>
        <w:t>eventos</w:t>
      </w:r>
      <w:r>
        <w:rPr>
          <w:spacing w:val="-43"/>
        </w:rPr>
        <w:t> </w:t>
      </w:r>
      <w:r>
        <w:rPr/>
        <w:t>que</w:t>
      </w:r>
      <w:r>
        <w:rPr>
          <w:spacing w:val="-43"/>
        </w:rPr>
        <w:t> </w:t>
      </w:r>
      <w:r>
        <w:rPr/>
        <w:t>geraram</w:t>
      </w:r>
      <w:r>
        <w:rPr>
          <w:spacing w:val="-44"/>
        </w:rPr>
        <w:t> </w:t>
      </w:r>
      <w:r>
        <w:rPr/>
        <w:t>o</w:t>
      </w:r>
      <w:r>
        <w:rPr>
          <w:spacing w:val="-43"/>
        </w:rPr>
        <w:t> </w:t>
      </w:r>
      <w:r>
        <w:rPr/>
        <w:t>reconhecimento</w:t>
      </w:r>
      <w:r>
        <w:rPr>
          <w:spacing w:val="-43"/>
        </w:rPr>
        <w:t> </w:t>
      </w:r>
      <w:r>
        <w:rPr/>
        <w:t>de</w:t>
      </w:r>
      <w:r>
        <w:rPr>
          <w:spacing w:val="-43"/>
        </w:rPr>
        <w:t> </w:t>
      </w:r>
      <w:r>
        <w:rPr/>
        <w:t>passivos fiscais diferidos foram: o ganho sobre o reconhecimento do VNR (Valor Novo de Reposição) do ativo financeiro indenizável;</w:t>
      </w:r>
      <w:r>
        <w:rPr>
          <w:spacing w:val="-39"/>
        </w:rPr>
        <w:t> </w:t>
      </w:r>
      <w:r>
        <w:rPr/>
        <w:t>e</w:t>
      </w:r>
      <w:r>
        <w:rPr>
          <w:spacing w:val="-39"/>
        </w:rPr>
        <w:t> </w:t>
      </w:r>
      <w:r>
        <w:rPr/>
        <w:t>sobre</w:t>
      </w:r>
      <w:r>
        <w:rPr>
          <w:spacing w:val="-41"/>
        </w:rPr>
        <w:t> </w:t>
      </w:r>
      <w:r>
        <w:rPr/>
        <w:t>os</w:t>
      </w:r>
      <w:r>
        <w:rPr>
          <w:spacing w:val="-39"/>
        </w:rPr>
        <w:t> </w:t>
      </w:r>
      <w:r>
        <w:rPr/>
        <w:t>ativos</w:t>
      </w:r>
      <w:r>
        <w:rPr>
          <w:spacing w:val="-39"/>
        </w:rPr>
        <w:t> </w:t>
      </w:r>
      <w:r>
        <w:rPr/>
        <w:t>e</w:t>
      </w:r>
      <w:r>
        <w:rPr>
          <w:spacing w:val="-40"/>
        </w:rPr>
        <w:t> </w:t>
      </w:r>
      <w:r>
        <w:rPr/>
        <w:t>passivos</w:t>
      </w:r>
      <w:r>
        <w:rPr>
          <w:spacing w:val="-39"/>
        </w:rPr>
        <w:t> </w:t>
      </w:r>
      <w:r>
        <w:rPr/>
        <w:t>regulatórios,</w:t>
      </w:r>
      <w:r>
        <w:rPr>
          <w:spacing w:val="-39"/>
        </w:rPr>
        <w:t> </w:t>
      </w:r>
      <w:r>
        <w:rPr/>
        <w:t>reconhecidos</w:t>
      </w:r>
      <w:r>
        <w:rPr>
          <w:spacing w:val="-38"/>
        </w:rPr>
        <w:t> </w:t>
      </w:r>
      <w:r>
        <w:rPr/>
        <w:t>na</w:t>
      </w:r>
      <w:r>
        <w:rPr>
          <w:spacing w:val="-40"/>
        </w:rPr>
        <w:t> </w:t>
      </w:r>
      <w:r>
        <w:rPr/>
        <w:t>CEB</w:t>
      </w:r>
      <w:r>
        <w:rPr>
          <w:spacing w:val="-39"/>
        </w:rPr>
        <w:t> </w:t>
      </w:r>
      <w:r>
        <w:rPr>
          <w:spacing w:val="2"/>
        </w:rPr>
        <w:t>DIS</w:t>
      </w:r>
      <w:r>
        <w:rPr>
          <w:spacing w:val="-40"/>
        </w:rPr>
        <w:t> </w:t>
      </w:r>
      <w:r>
        <w:rPr/>
        <w:t>de</w:t>
      </w:r>
      <w:r>
        <w:rPr>
          <w:spacing w:val="-40"/>
        </w:rPr>
        <w:t> </w:t>
      </w:r>
      <w:r>
        <w:rPr/>
        <w:t>acordo</w:t>
      </w:r>
      <w:r>
        <w:rPr>
          <w:spacing w:val="-40"/>
        </w:rPr>
        <w:t> </w:t>
      </w:r>
      <w:r>
        <w:rPr/>
        <w:t>com</w:t>
      </w:r>
      <w:r>
        <w:rPr>
          <w:spacing w:val="-40"/>
        </w:rPr>
        <w:t> </w:t>
      </w:r>
      <w:r>
        <w:rPr/>
        <w:t>a</w:t>
      </w:r>
      <w:r>
        <w:rPr>
          <w:spacing w:val="-38"/>
        </w:rPr>
        <w:t> </w:t>
      </w:r>
      <w:r>
        <w:rPr/>
        <w:t>OCPC</w:t>
      </w:r>
      <w:r>
        <w:rPr>
          <w:spacing w:val="-39"/>
        </w:rPr>
        <w:t> </w:t>
      </w:r>
      <w:r>
        <w:rPr/>
        <w:t>08.</w:t>
      </w:r>
      <w:r>
        <w:rPr>
          <w:spacing w:val="-40"/>
        </w:rPr>
        <w:t> </w:t>
      </w:r>
      <w:r>
        <w:rPr/>
        <w:t>A</w:t>
      </w:r>
      <w:r>
        <w:rPr>
          <w:spacing w:val="-38"/>
        </w:rPr>
        <w:t> </w:t>
      </w:r>
      <w:r>
        <w:rPr/>
        <w:t>realização dos passivos fiscais diferidos ocorrerá por ocasião da venda dos terrenos, pela realização do ativo financeiro indenizável</w:t>
      </w:r>
      <w:r>
        <w:rPr>
          <w:spacing w:val="-17"/>
        </w:rPr>
        <w:t> </w:t>
      </w:r>
      <w:r>
        <w:rPr/>
        <w:t>e</w:t>
      </w:r>
      <w:r>
        <w:rPr>
          <w:spacing w:val="-18"/>
        </w:rPr>
        <w:t> </w:t>
      </w:r>
      <w:r>
        <w:rPr/>
        <w:t>pela</w:t>
      </w:r>
      <w:r>
        <w:rPr>
          <w:spacing w:val="-16"/>
        </w:rPr>
        <w:t> </w:t>
      </w:r>
      <w:r>
        <w:rPr/>
        <w:t>realização</w:t>
      </w:r>
      <w:r>
        <w:rPr>
          <w:spacing w:val="-20"/>
        </w:rPr>
        <w:t> </w:t>
      </w:r>
      <w:r>
        <w:rPr/>
        <w:t>dos</w:t>
      </w:r>
      <w:r>
        <w:rPr>
          <w:spacing w:val="-19"/>
        </w:rPr>
        <w:t> </w:t>
      </w:r>
      <w:r>
        <w:rPr/>
        <w:t>ativos</w:t>
      </w:r>
      <w:r>
        <w:rPr>
          <w:spacing w:val="-17"/>
        </w:rPr>
        <w:t> </w:t>
      </w:r>
      <w:r>
        <w:rPr/>
        <w:t>e</w:t>
      </w:r>
      <w:r>
        <w:rPr>
          <w:spacing w:val="-18"/>
        </w:rPr>
        <w:t> </w:t>
      </w:r>
      <w:r>
        <w:rPr/>
        <w:t>passivos</w:t>
      </w:r>
      <w:r>
        <w:rPr>
          <w:spacing w:val="-19"/>
        </w:rPr>
        <w:t> </w:t>
      </w:r>
      <w:r>
        <w:rPr/>
        <w:t>regulatórios.</w:t>
      </w:r>
    </w:p>
    <w:p>
      <w:pPr>
        <w:pStyle w:val="BodyText"/>
        <w:spacing w:before="6"/>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59"/>
        <w:gridCol w:w="1400"/>
        <w:gridCol w:w="1402"/>
        <w:gridCol w:w="1400"/>
        <w:gridCol w:w="1399"/>
      </w:tblGrid>
      <w:tr>
        <w:trPr>
          <w:trHeight w:val="251" w:hRule="atLeast"/>
        </w:trPr>
        <w:tc>
          <w:tcPr>
            <w:tcW w:w="4559" w:type="dxa"/>
            <w:vMerge w:val="restart"/>
            <w:shd w:val="clear" w:color="auto" w:fill="D9D9D9"/>
          </w:tcPr>
          <w:p>
            <w:pPr>
              <w:pStyle w:val="TableParagraph"/>
              <w:rPr>
                <w:rFonts w:ascii="Times New Roman"/>
                <w:sz w:val="14"/>
              </w:rPr>
            </w:pPr>
          </w:p>
        </w:tc>
        <w:tc>
          <w:tcPr>
            <w:tcW w:w="2802" w:type="dxa"/>
            <w:gridSpan w:val="2"/>
          </w:tcPr>
          <w:p>
            <w:pPr>
              <w:pStyle w:val="TableParagraph"/>
              <w:spacing w:before="42"/>
              <w:ind w:left="948" w:right="943"/>
              <w:jc w:val="center"/>
              <w:rPr>
                <w:rFonts w:ascii="Caladea"/>
                <w:b/>
                <w:sz w:val="14"/>
              </w:rPr>
            </w:pPr>
            <w:r>
              <w:rPr>
                <w:rFonts w:ascii="Caladea"/>
                <w:b/>
                <w:sz w:val="14"/>
              </w:rPr>
              <w:t>Controladora</w:t>
            </w:r>
          </w:p>
        </w:tc>
        <w:tc>
          <w:tcPr>
            <w:tcW w:w="2799" w:type="dxa"/>
            <w:gridSpan w:val="2"/>
          </w:tcPr>
          <w:p>
            <w:pPr>
              <w:pStyle w:val="TableParagraph"/>
              <w:spacing w:before="42"/>
              <w:ind w:left="977" w:right="973"/>
              <w:jc w:val="center"/>
              <w:rPr>
                <w:rFonts w:ascii="Caladea"/>
                <w:b/>
                <w:sz w:val="14"/>
              </w:rPr>
            </w:pPr>
            <w:r>
              <w:rPr>
                <w:rFonts w:ascii="Caladea"/>
                <w:b/>
                <w:sz w:val="14"/>
              </w:rPr>
              <w:t>Consolidado</w:t>
            </w:r>
          </w:p>
        </w:tc>
      </w:tr>
      <w:tr>
        <w:trPr>
          <w:trHeight w:val="253" w:hRule="atLeast"/>
        </w:trPr>
        <w:tc>
          <w:tcPr>
            <w:tcW w:w="4559" w:type="dxa"/>
            <w:vMerge/>
            <w:tcBorders>
              <w:top w:val="nil"/>
            </w:tcBorders>
            <w:shd w:val="clear" w:color="auto" w:fill="D9D9D9"/>
          </w:tcPr>
          <w:p>
            <w:pPr>
              <w:rPr>
                <w:sz w:val="2"/>
                <w:szCs w:val="2"/>
              </w:rPr>
            </w:pPr>
          </w:p>
        </w:tc>
        <w:tc>
          <w:tcPr>
            <w:tcW w:w="1400" w:type="dxa"/>
          </w:tcPr>
          <w:p>
            <w:pPr>
              <w:pStyle w:val="TableParagraph"/>
              <w:spacing w:before="44"/>
              <w:ind w:left="297"/>
              <w:rPr>
                <w:rFonts w:ascii="Caladea"/>
                <w:b/>
                <w:sz w:val="14"/>
              </w:rPr>
            </w:pPr>
            <w:r>
              <w:rPr>
                <w:rFonts w:ascii="Caladea"/>
                <w:b/>
                <w:sz w:val="14"/>
              </w:rPr>
              <w:t>31/12/2019</w:t>
            </w:r>
          </w:p>
        </w:tc>
        <w:tc>
          <w:tcPr>
            <w:tcW w:w="1402" w:type="dxa"/>
          </w:tcPr>
          <w:p>
            <w:pPr>
              <w:pStyle w:val="TableParagraph"/>
              <w:spacing w:before="44"/>
              <w:ind w:left="298"/>
              <w:rPr>
                <w:rFonts w:ascii="Caladea"/>
                <w:b/>
                <w:sz w:val="14"/>
              </w:rPr>
            </w:pPr>
            <w:r>
              <w:rPr>
                <w:rFonts w:ascii="Caladea"/>
                <w:b/>
                <w:sz w:val="14"/>
              </w:rPr>
              <w:t>31/12/2018</w:t>
            </w:r>
          </w:p>
        </w:tc>
        <w:tc>
          <w:tcPr>
            <w:tcW w:w="1400" w:type="dxa"/>
          </w:tcPr>
          <w:p>
            <w:pPr>
              <w:pStyle w:val="TableParagraph"/>
              <w:spacing w:before="44"/>
              <w:ind w:left="296"/>
              <w:rPr>
                <w:rFonts w:ascii="Caladea"/>
                <w:b/>
                <w:sz w:val="14"/>
              </w:rPr>
            </w:pPr>
            <w:r>
              <w:rPr>
                <w:rFonts w:ascii="Caladea"/>
                <w:b/>
                <w:sz w:val="14"/>
              </w:rPr>
              <w:t>31/12/2019</w:t>
            </w:r>
          </w:p>
        </w:tc>
        <w:tc>
          <w:tcPr>
            <w:tcW w:w="1399" w:type="dxa"/>
          </w:tcPr>
          <w:p>
            <w:pPr>
              <w:pStyle w:val="TableParagraph"/>
              <w:spacing w:before="44"/>
              <w:ind w:left="298"/>
              <w:rPr>
                <w:rFonts w:ascii="Caladea"/>
                <w:b/>
                <w:sz w:val="14"/>
              </w:rPr>
            </w:pPr>
            <w:r>
              <w:rPr>
                <w:rFonts w:ascii="Caladea"/>
                <w:b/>
                <w:sz w:val="14"/>
              </w:rPr>
              <w:t>31/12/2018</w:t>
            </w:r>
          </w:p>
        </w:tc>
      </w:tr>
      <w:tr>
        <w:trPr>
          <w:trHeight w:val="254" w:hRule="atLeast"/>
        </w:trPr>
        <w:tc>
          <w:tcPr>
            <w:tcW w:w="4559" w:type="dxa"/>
          </w:tcPr>
          <w:p>
            <w:pPr>
              <w:pStyle w:val="TableParagraph"/>
              <w:spacing w:before="46"/>
              <w:ind w:left="72"/>
              <w:rPr>
                <w:sz w:val="14"/>
              </w:rPr>
            </w:pPr>
            <w:r>
              <w:rPr>
                <w:w w:val="105"/>
                <w:sz w:val="14"/>
              </w:rPr>
              <w:t>Imposto de Renda Pessoa Jurídica – IRPJ</w:t>
            </w:r>
          </w:p>
        </w:tc>
        <w:tc>
          <w:tcPr>
            <w:tcW w:w="1400" w:type="dxa"/>
          </w:tcPr>
          <w:p>
            <w:pPr>
              <w:pStyle w:val="TableParagraph"/>
              <w:spacing w:before="46"/>
              <w:ind w:right="58"/>
              <w:jc w:val="right"/>
              <w:rPr>
                <w:sz w:val="14"/>
              </w:rPr>
            </w:pPr>
            <w:r>
              <w:rPr>
                <w:w w:val="95"/>
                <w:sz w:val="14"/>
              </w:rPr>
              <w:t>71.163</w:t>
            </w:r>
          </w:p>
        </w:tc>
        <w:tc>
          <w:tcPr>
            <w:tcW w:w="1402" w:type="dxa"/>
          </w:tcPr>
          <w:p>
            <w:pPr>
              <w:pStyle w:val="TableParagraph"/>
              <w:spacing w:before="46"/>
              <w:ind w:right="58"/>
              <w:jc w:val="right"/>
              <w:rPr>
                <w:sz w:val="14"/>
              </w:rPr>
            </w:pPr>
            <w:r>
              <w:rPr>
                <w:w w:val="95"/>
                <w:sz w:val="14"/>
              </w:rPr>
              <w:t>71.162</w:t>
            </w:r>
          </w:p>
        </w:tc>
        <w:tc>
          <w:tcPr>
            <w:tcW w:w="1400" w:type="dxa"/>
          </w:tcPr>
          <w:p>
            <w:pPr>
              <w:pStyle w:val="TableParagraph"/>
              <w:spacing w:before="46"/>
              <w:ind w:right="59"/>
              <w:jc w:val="right"/>
              <w:rPr>
                <w:sz w:val="14"/>
              </w:rPr>
            </w:pPr>
            <w:r>
              <w:rPr>
                <w:w w:val="95"/>
                <w:sz w:val="14"/>
              </w:rPr>
              <w:t>101.198</w:t>
            </w:r>
          </w:p>
        </w:tc>
        <w:tc>
          <w:tcPr>
            <w:tcW w:w="1399" w:type="dxa"/>
          </w:tcPr>
          <w:p>
            <w:pPr>
              <w:pStyle w:val="TableParagraph"/>
              <w:spacing w:before="46"/>
              <w:ind w:right="56"/>
              <w:jc w:val="right"/>
              <w:rPr>
                <w:sz w:val="14"/>
              </w:rPr>
            </w:pPr>
            <w:r>
              <w:rPr>
                <w:w w:val="95"/>
                <w:sz w:val="14"/>
              </w:rPr>
              <w:t>158.432</w:t>
            </w:r>
          </w:p>
        </w:tc>
      </w:tr>
      <w:tr>
        <w:trPr>
          <w:trHeight w:val="252" w:hRule="atLeast"/>
        </w:trPr>
        <w:tc>
          <w:tcPr>
            <w:tcW w:w="4559" w:type="dxa"/>
          </w:tcPr>
          <w:p>
            <w:pPr>
              <w:pStyle w:val="TableParagraph"/>
              <w:spacing w:before="44"/>
              <w:ind w:left="72"/>
              <w:rPr>
                <w:sz w:val="14"/>
              </w:rPr>
            </w:pPr>
            <w:r>
              <w:rPr>
                <w:w w:val="105"/>
                <w:sz w:val="14"/>
              </w:rPr>
              <w:t>Contribuição Social Sobre o Lucro Líquido – CSLL</w:t>
            </w:r>
          </w:p>
        </w:tc>
        <w:tc>
          <w:tcPr>
            <w:tcW w:w="1400" w:type="dxa"/>
          </w:tcPr>
          <w:p>
            <w:pPr>
              <w:pStyle w:val="TableParagraph"/>
              <w:spacing w:before="44"/>
              <w:ind w:right="58"/>
              <w:jc w:val="right"/>
              <w:rPr>
                <w:sz w:val="14"/>
              </w:rPr>
            </w:pPr>
            <w:r>
              <w:rPr>
                <w:w w:val="95"/>
                <w:sz w:val="14"/>
              </w:rPr>
              <w:t>25.619</w:t>
            </w:r>
          </w:p>
        </w:tc>
        <w:tc>
          <w:tcPr>
            <w:tcW w:w="1402" w:type="dxa"/>
          </w:tcPr>
          <w:p>
            <w:pPr>
              <w:pStyle w:val="TableParagraph"/>
              <w:spacing w:before="44"/>
              <w:ind w:right="58"/>
              <w:jc w:val="right"/>
              <w:rPr>
                <w:sz w:val="14"/>
              </w:rPr>
            </w:pPr>
            <w:r>
              <w:rPr>
                <w:w w:val="95"/>
                <w:sz w:val="14"/>
              </w:rPr>
              <w:t>25.619</w:t>
            </w:r>
          </w:p>
        </w:tc>
        <w:tc>
          <w:tcPr>
            <w:tcW w:w="1400" w:type="dxa"/>
          </w:tcPr>
          <w:p>
            <w:pPr>
              <w:pStyle w:val="TableParagraph"/>
              <w:spacing w:before="44"/>
              <w:ind w:right="58"/>
              <w:jc w:val="right"/>
              <w:rPr>
                <w:sz w:val="14"/>
              </w:rPr>
            </w:pPr>
            <w:r>
              <w:rPr>
                <w:w w:val="95"/>
                <w:sz w:val="14"/>
              </w:rPr>
              <w:t>36.440</w:t>
            </w:r>
          </w:p>
        </w:tc>
        <w:tc>
          <w:tcPr>
            <w:tcW w:w="1399" w:type="dxa"/>
          </w:tcPr>
          <w:p>
            <w:pPr>
              <w:pStyle w:val="TableParagraph"/>
              <w:spacing w:before="44"/>
              <w:ind w:right="56"/>
              <w:jc w:val="right"/>
              <w:rPr>
                <w:sz w:val="14"/>
              </w:rPr>
            </w:pPr>
            <w:r>
              <w:rPr>
                <w:w w:val="95"/>
                <w:sz w:val="14"/>
              </w:rPr>
              <w:t>57.053</w:t>
            </w:r>
          </w:p>
        </w:tc>
      </w:tr>
      <w:tr>
        <w:trPr>
          <w:trHeight w:val="254" w:hRule="atLeast"/>
        </w:trPr>
        <w:tc>
          <w:tcPr>
            <w:tcW w:w="4559" w:type="dxa"/>
          </w:tcPr>
          <w:p>
            <w:pPr>
              <w:pStyle w:val="TableParagraph"/>
              <w:spacing w:before="44"/>
              <w:ind w:left="72"/>
              <w:rPr>
                <w:rFonts w:ascii="Caladea"/>
                <w:b/>
                <w:sz w:val="14"/>
              </w:rPr>
            </w:pPr>
            <w:r>
              <w:rPr>
                <w:rFonts w:ascii="Caladea"/>
                <w:b/>
                <w:sz w:val="14"/>
              </w:rPr>
              <w:t>Total</w:t>
            </w:r>
          </w:p>
        </w:tc>
        <w:tc>
          <w:tcPr>
            <w:tcW w:w="1400" w:type="dxa"/>
          </w:tcPr>
          <w:p>
            <w:pPr>
              <w:pStyle w:val="TableParagraph"/>
              <w:spacing w:before="44"/>
              <w:ind w:right="58"/>
              <w:jc w:val="right"/>
              <w:rPr>
                <w:rFonts w:ascii="Caladea"/>
                <w:b/>
                <w:sz w:val="14"/>
              </w:rPr>
            </w:pPr>
            <w:r>
              <w:rPr>
                <w:rFonts w:ascii="Caladea"/>
                <w:b/>
                <w:sz w:val="14"/>
              </w:rPr>
              <w:t>96.782</w:t>
            </w:r>
          </w:p>
        </w:tc>
        <w:tc>
          <w:tcPr>
            <w:tcW w:w="1402" w:type="dxa"/>
          </w:tcPr>
          <w:p>
            <w:pPr>
              <w:pStyle w:val="TableParagraph"/>
              <w:spacing w:before="44"/>
              <w:ind w:right="58"/>
              <w:jc w:val="right"/>
              <w:rPr>
                <w:rFonts w:ascii="Caladea"/>
                <w:b/>
                <w:sz w:val="14"/>
              </w:rPr>
            </w:pPr>
            <w:r>
              <w:rPr>
                <w:rFonts w:ascii="Caladea"/>
                <w:b/>
                <w:sz w:val="14"/>
              </w:rPr>
              <w:t>96.781</w:t>
            </w:r>
          </w:p>
        </w:tc>
        <w:tc>
          <w:tcPr>
            <w:tcW w:w="1400" w:type="dxa"/>
          </w:tcPr>
          <w:p>
            <w:pPr>
              <w:pStyle w:val="TableParagraph"/>
              <w:spacing w:before="44"/>
              <w:ind w:right="59"/>
              <w:jc w:val="right"/>
              <w:rPr>
                <w:rFonts w:ascii="Caladea"/>
                <w:b/>
                <w:sz w:val="14"/>
              </w:rPr>
            </w:pPr>
            <w:r>
              <w:rPr>
                <w:rFonts w:ascii="Caladea"/>
                <w:b/>
                <w:w w:val="95"/>
                <w:sz w:val="14"/>
              </w:rPr>
              <w:t>137.638</w:t>
            </w:r>
          </w:p>
        </w:tc>
        <w:tc>
          <w:tcPr>
            <w:tcW w:w="1399" w:type="dxa"/>
          </w:tcPr>
          <w:p>
            <w:pPr>
              <w:pStyle w:val="TableParagraph"/>
              <w:spacing w:before="44"/>
              <w:ind w:right="56"/>
              <w:jc w:val="right"/>
              <w:rPr>
                <w:rFonts w:ascii="Caladea"/>
                <w:b/>
                <w:sz w:val="14"/>
              </w:rPr>
            </w:pPr>
            <w:r>
              <w:rPr>
                <w:rFonts w:ascii="Caladea"/>
                <w:b/>
                <w:w w:val="95"/>
                <w:sz w:val="14"/>
              </w:rPr>
              <w:t>215.485</w:t>
            </w:r>
          </w:p>
        </w:tc>
      </w:tr>
      <w:tr>
        <w:trPr>
          <w:trHeight w:val="251" w:hRule="atLeast"/>
        </w:trPr>
        <w:tc>
          <w:tcPr>
            <w:tcW w:w="4559" w:type="dxa"/>
          </w:tcPr>
          <w:p>
            <w:pPr>
              <w:pStyle w:val="TableParagraph"/>
              <w:spacing w:before="42"/>
              <w:ind w:left="72"/>
              <w:rPr>
                <w:rFonts w:ascii="Caladea" w:hAnsi="Caladea"/>
                <w:b/>
                <w:sz w:val="14"/>
              </w:rPr>
            </w:pPr>
            <w:r>
              <w:rPr>
                <w:rFonts w:ascii="Caladea" w:hAnsi="Caladea"/>
                <w:b/>
                <w:sz w:val="14"/>
              </w:rPr>
              <w:t>Não Circulante</w:t>
            </w:r>
          </w:p>
        </w:tc>
        <w:tc>
          <w:tcPr>
            <w:tcW w:w="1400" w:type="dxa"/>
          </w:tcPr>
          <w:p>
            <w:pPr>
              <w:pStyle w:val="TableParagraph"/>
              <w:spacing w:before="42"/>
              <w:ind w:right="58"/>
              <w:jc w:val="right"/>
              <w:rPr>
                <w:rFonts w:ascii="Caladea"/>
                <w:b/>
                <w:sz w:val="14"/>
              </w:rPr>
            </w:pPr>
            <w:r>
              <w:rPr>
                <w:rFonts w:ascii="Caladea"/>
                <w:b/>
                <w:sz w:val="14"/>
              </w:rPr>
              <w:t>96.782</w:t>
            </w:r>
          </w:p>
        </w:tc>
        <w:tc>
          <w:tcPr>
            <w:tcW w:w="1402" w:type="dxa"/>
          </w:tcPr>
          <w:p>
            <w:pPr>
              <w:pStyle w:val="TableParagraph"/>
              <w:spacing w:before="42"/>
              <w:ind w:right="58"/>
              <w:jc w:val="right"/>
              <w:rPr>
                <w:rFonts w:ascii="Caladea"/>
                <w:b/>
                <w:sz w:val="14"/>
              </w:rPr>
            </w:pPr>
            <w:r>
              <w:rPr>
                <w:rFonts w:ascii="Caladea"/>
                <w:b/>
                <w:sz w:val="14"/>
              </w:rPr>
              <w:t>96.781</w:t>
            </w:r>
          </w:p>
        </w:tc>
        <w:tc>
          <w:tcPr>
            <w:tcW w:w="1400" w:type="dxa"/>
          </w:tcPr>
          <w:p>
            <w:pPr>
              <w:pStyle w:val="TableParagraph"/>
              <w:spacing w:before="42"/>
              <w:ind w:right="59"/>
              <w:jc w:val="right"/>
              <w:rPr>
                <w:rFonts w:ascii="Caladea"/>
                <w:b/>
                <w:sz w:val="14"/>
              </w:rPr>
            </w:pPr>
            <w:r>
              <w:rPr>
                <w:rFonts w:ascii="Caladea"/>
                <w:b/>
                <w:w w:val="95"/>
                <w:sz w:val="14"/>
              </w:rPr>
              <w:t>137.638</w:t>
            </w:r>
          </w:p>
        </w:tc>
        <w:tc>
          <w:tcPr>
            <w:tcW w:w="1399" w:type="dxa"/>
          </w:tcPr>
          <w:p>
            <w:pPr>
              <w:pStyle w:val="TableParagraph"/>
              <w:spacing w:before="42"/>
              <w:ind w:right="56"/>
              <w:jc w:val="right"/>
              <w:rPr>
                <w:rFonts w:ascii="Caladea"/>
                <w:b/>
                <w:sz w:val="14"/>
              </w:rPr>
            </w:pPr>
            <w:r>
              <w:rPr>
                <w:rFonts w:ascii="Caladea"/>
                <w:b/>
                <w:w w:val="95"/>
                <w:sz w:val="14"/>
              </w:rPr>
              <w:t>215.485</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25"/>
        </w:numPr>
        <w:tabs>
          <w:tab w:pos="1026" w:val="left" w:leader="none"/>
        </w:tabs>
        <w:spacing w:line="240" w:lineRule="auto" w:before="14" w:after="0"/>
        <w:ind w:left="1025" w:right="0" w:hanging="854"/>
        <w:jc w:val="left"/>
      </w:pPr>
      <w:r>
        <w:rPr/>
        <w:t>Outros</w:t>
      </w:r>
      <w:r>
        <w:rPr>
          <w:spacing w:val="-2"/>
        </w:rPr>
        <w:t> </w:t>
      </w:r>
      <w:r>
        <w:rPr/>
        <w:t>tributos</w:t>
      </w:r>
    </w:p>
    <w:p>
      <w:pPr>
        <w:pStyle w:val="BodyText"/>
        <w:spacing w:before="5" w:after="1"/>
        <w:rPr>
          <w:rFonts w:ascii="Caladea"/>
          <w:b/>
          <w:sz w:val="1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94"/>
        <w:gridCol w:w="1354"/>
        <w:gridCol w:w="1164"/>
        <w:gridCol w:w="1165"/>
        <w:gridCol w:w="1167"/>
      </w:tblGrid>
      <w:tr>
        <w:trPr>
          <w:trHeight w:val="249" w:hRule="atLeast"/>
        </w:trPr>
        <w:tc>
          <w:tcPr>
            <w:tcW w:w="5094" w:type="dxa"/>
            <w:vMerge w:val="restart"/>
            <w:shd w:val="clear" w:color="auto" w:fill="D9D9D9"/>
          </w:tcPr>
          <w:p>
            <w:pPr>
              <w:pStyle w:val="TableParagraph"/>
              <w:rPr>
                <w:rFonts w:ascii="Times New Roman"/>
                <w:sz w:val="18"/>
              </w:rPr>
            </w:pPr>
          </w:p>
        </w:tc>
        <w:tc>
          <w:tcPr>
            <w:tcW w:w="2518" w:type="dxa"/>
            <w:gridSpan w:val="2"/>
          </w:tcPr>
          <w:p>
            <w:pPr>
              <w:pStyle w:val="TableParagraph"/>
              <w:spacing w:before="42"/>
              <w:ind w:left="828"/>
              <w:rPr>
                <w:rFonts w:ascii="Caladea"/>
                <w:b/>
                <w:sz w:val="14"/>
              </w:rPr>
            </w:pPr>
            <w:r>
              <w:rPr>
                <w:rFonts w:ascii="Caladea"/>
                <w:b/>
                <w:sz w:val="14"/>
              </w:rPr>
              <w:t>Controladora</w:t>
            </w:r>
          </w:p>
        </w:tc>
        <w:tc>
          <w:tcPr>
            <w:tcW w:w="2332" w:type="dxa"/>
            <w:gridSpan w:val="2"/>
          </w:tcPr>
          <w:p>
            <w:pPr>
              <w:pStyle w:val="TableParagraph"/>
              <w:spacing w:before="42"/>
              <w:ind w:left="768"/>
              <w:rPr>
                <w:rFonts w:ascii="Caladea"/>
                <w:b/>
                <w:sz w:val="14"/>
              </w:rPr>
            </w:pPr>
            <w:r>
              <w:rPr>
                <w:rFonts w:ascii="Caladea"/>
                <w:b/>
                <w:sz w:val="14"/>
              </w:rPr>
              <w:t>Consolidado</w:t>
            </w:r>
          </w:p>
        </w:tc>
      </w:tr>
      <w:tr>
        <w:trPr>
          <w:trHeight w:val="249" w:hRule="atLeast"/>
        </w:trPr>
        <w:tc>
          <w:tcPr>
            <w:tcW w:w="5094" w:type="dxa"/>
            <w:vMerge/>
            <w:tcBorders>
              <w:top w:val="nil"/>
            </w:tcBorders>
            <w:shd w:val="clear" w:color="auto" w:fill="D9D9D9"/>
          </w:tcPr>
          <w:p>
            <w:pPr>
              <w:rPr>
                <w:sz w:val="2"/>
                <w:szCs w:val="2"/>
              </w:rPr>
            </w:pPr>
          </w:p>
        </w:tc>
        <w:tc>
          <w:tcPr>
            <w:tcW w:w="1354" w:type="dxa"/>
          </w:tcPr>
          <w:p>
            <w:pPr>
              <w:pStyle w:val="TableParagraph"/>
              <w:spacing w:before="42"/>
              <w:ind w:left="276"/>
              <w:rPr>
                <w:rFonts w:ascii="Caladea"/>
                <w:b/>
                <w:sz w:val="14"/>
              </w:rPr>
            </w:pPr>
            <w:r>
              <w:rPr>
                <w:rFonts w:ascii="Caladea"/>
                <w:b/>
                <w:sz w:val="14"/>
              </w:rPr>
              <w:t>31/12/2019</w:t>
            </w:r>
          </w:p>
        </w:tc>
        <w:tc>
          <w:tcPr>
            <w:tcW w:w="1164" w:type="dxa"/>
          </w:tcPr>
          <w:p>
            <w:pPr>
              <w:pStyle w:val="TableParagraph"/>
              <w:spacing w:before="42"/>
              <w:ind w:left="179"/>
              <w:rPr>
                <w:rFonts w:ascii="Caladea"/>
                <w:b/>
                <w:sz w:val="14"/>
              </w:rPr>
            </w:pPr>
            <w:r>
              <w:rPr>
                <w:rFonts w:ascii="Caladea"/>
                <w:b/>
                <w:sz w:val="14"/>
              </w:rPr>
              <w:t>31/12/2018</w:t>
            </w:r>
          </w:p>
        </w:tc>
        <w:tc>
          <w:tcPr>
            <w:tcW w:w="1165" w:type="dxa"/>
          </w:tcPr>
          <w:p>
            <w:pPr>
              <w:pStyle w:val="TableParagraph"/>
              <w:spacing w:before="42"/>
              <w:ind w:left="182"/>
              <w:rPr>
                <w:rFonts w:ascii="Caladea"/>
                <w:b/>
                <w:sz w:val="14"/>
              </w:rPr>
            </w:pPr>
            <w:r>
              <w:rPr>
                <w:rFonts w:ascii="Caladea"/>
                <w:b/>
                <w:sz w:val="14"/>
              </w:rPr>
              <w:t>31/12/2019</w:t>
            </w:r>
          </w:p>
        </w:tc>
        <w:tc>
          <w:tcPr>
            <w:tcW w:w="1167" w:type="dxa"/>
          </w:tcPr>
          <w:p>
            <w:pPr>
              <w:pStyle w:val="TableParagraph"/>
              <w:spacing w:before="42"/>
              <w:ind w:left="181"/>
              <w:rPr>
                <w:rFonts w:ascii="Caladea"/>
                <w:b/>
                <w:sz w:val="14"/>
              </w:rPr>
            </w:pPr>
            <w:r>
              <w:rPr>
                <w:rFonts w:ascii="Caladea"/>
                <w:b/>
                <w:sz w:val="14"/>
              </w:rPr>
              <w:t>31/12/2018</w:t>
            </w:r>
          </w:p>
        </w:tc>
      </w:tr>
      <w:tr>
        <w:trPr>
          <w:trHeight w:val="328" w:hRule="atLeast"/>
        </w:trPr>
        <w:tc>
          <w:tcPr>
            <w:tcW w:w="5094" w:type="dxa"/>
          </w:tcPr>
          <w:p>
            <w:pPr>
              <w:pStyle w:val="TableParagraph"/>
              <w:spacing w:line="164" w:lineRule="exact"/>
              <w:ind w:left="213" w:right="722"/>
              <w:rPr>
                <w:sz w:val="14"/>
              </w:rPr>
            </w:pPr>
            <w:r>
              <w:rPr>
                <w:sz w:val="14"/>
              </w:rPr>
              <w:t>Imposto</w:t>
            </w:r>
            <w:r>
              <w:rPr>
                <w:spacing w:val="-25"/>
                <w:sz w:val="14"/>
              </w:rPr>
              <w:t> </w:t>
            </w:r>
            <w:r>
              <w:rPr>
                <w:sz w:val="14"/>
              </w:rPr>
              <w:t>Sobre</w:t>
            </w:r>
            <w:r>
              <w:rPr>
                <w:spacing w:val="-26"/>
                <w:sz w:val="14"/>
              </w:rPr>
              <w:t> </w:t>
            </w:r>
            <w:r>
              <w:rPr>
                <w:sz w:val="14"/>
              </w:rPr>
              <w:t>Circulação</w:t>
            </w:r>
            <w:r>
              <w:rPr>
                <w:spacing w:val="-23"/>
                <w:sz w:val="14"/>
              </w:rPr>
              <w:t> </w:t>
            </w:r>
            <w:r>
              <w:rPr>
                <w:sz w:val="14"/>
              </w:rPr>
              <w:t>de</w:t>
            </w:r>
            <w:r>
              <w:rPr>
                <w:spacing w:val="-26"/>
                <w:sz w:val="14"/>
              </w:rPr>
              <w:t> </w:t>
            </w:r>
            <w:r>
              <w:rPr>
                <w:sz w:val="14"/>
              </w:rPr>
              <w:t>Mercadorias</w:t>
            </w:r>
            <w:r>
              <w:rPr>
                <w:spacing w:val="-24"/>
                <w:sz w:val="14"/>
              </w:rPr>
              <w:t> </w:t>
            </w:r>
            <w:r>
              <w:rPr>
                <w:sz w:val="14"/>
              </w:rPr>
              <w:t>e</w:t>
            </w:r>
            <w:r>
              <w:rPr>
                <w:spacing w:val="-26"/>
                <w:sz w:val="14"/>
              </w:rPr>
              <w:t> </w:t>
            </w:r>
            <w:r>
              <w:rPr>
                <w:sz w:val="14"/>
              </w:rPr>
              <w:t>Prestações</w:t>
            </w:r>
            <w:r>
              <w:rPr>
                <w:spacing w:val="-23"/>
                <w:sz w:val="14"/>
              </w:rPr>
              <w:t> </w:t>
            </w:r>
            <w:r>
              <w:rPr>
                <w:sz w:val="14"/>
              </w:rPr>
              <w:t>de</w:t>
            </w:r>
            <w:r>
              <w:rPr>
                <w:spacing w:val="-26"/>
                <w:sz w:val="14"/>
              </w:rPr>
              <w:t> </w:t>
            </w:r>
            <w:r>
              <w:rPr>
                <w:sz w:val="14"/>
              </w:rPr>
              <w:t>Serviços</w:t>
            </w:r>
            <w:r>
              <w:rPr>
                <w:spacing w:val="-25"/>
                <w:sz w:val="14"/>
              </w:rPr>
              <w:t> </w:t>
            </w:r>
            <w:r>
              <w:rPr>
                <w:sz w:val="14"/>
              </w:rPr>
              <w:t>de </w:t>
            </w:r>
            <w:r>
              <w:rPr>
                <w:w w:val="105"/>
                <w:sz w:val="14"/>
              </w:rPr>
              <w:t>Transportes</w:t>
            </w:r>
            <w:r>
              <w:rPr>
                <w:spacing w:val="-12"/>
                <w:w w:val="105"/>
                <w:sz w:val="14"/>
              </w:rPr>
              <w:t> </w:t>
            </w:r>
            <w:r>
              <w:rPr>
                <w:w w:val="105"/>
                <w:sz w:val="14"/>
              </w:rPr>
              <w:t>Estaduais,</w:t>
            </w:r>
            <w:r>
              <w:rPr>
                <w:spacing w:val="-33"/>
                <w:w w:val="105"/>
                <w:sz w:val="14"/>
              </w:rPr>
              <w:t> </w:t>
            </w:r>
            <w:r>
              <w:rPr>
                <w:w w:val="105"/>
                <w:sz w:val="14"/>
              </w:rPr>
              <w:t>Intermunicipais</w:t>
            </w:r>
            <w:r>
              <w:rPr>
                <w:spacing w:val="-34"/>
                <w:w w:val="105"/>
                <w:sz w:val="14"/>
              </w:rPr>
              <w:t> </w:t>
            </w:r>
            <w:r>
              <w:rPr>
                <w:w w:val="105"/>
                <w:sz w:val="14"/>
              </w:rPr>
              <w:t>e</w:t>
            </w:r>
            <w:r>
              <w:rPr>
                <w:spacing w:val="-33"/>
                <w:w w:val="105"/>
                <w:sz w:val="14"/>
              </w:rPr>
              <w:t> </w:t>
            </w:r>
            <w:r>
              <w:rPr>
                <w:w w:val="105"/>
                <w:sz w:val="14"/>
              </w:rPr>
              <w:t>de</w:t>
            </w:r>
            <w:r>
              <w:rPr>
                <w:spacing w:val="-34"/>
                <w:w w:val="105"/>
                <w:sz w:val="14"/>
              </w:rPr>
              <w:t> </w:t>
            </w:r>
            <w:r>
              <w:rPr>
                <w:w w:val="105"/>
                <w:sz w:val="14"/>
              </w:rPr>
              <w:t>Comunicações</w:t>
            </w:r>
            <w:r>
              <w:rPr>
                <w:spacing w:val="-33"/>
                <w:w w:val="105"/>
                <w:sz w:val="14"/>
              </w:rPr>
              <w:t> </w:t>
            </w:r>
            <w:r>
              <w:rPr>
                <w:w w:val="105"/>
                <w:sz w:val="14"/>
              </w:rPr>
              <w:t>–</w:t>
            </w:r>
            <w:r>
              <w:rPr>
                <w:spacing w:val="-33"/>
                <w:w w:val="105"/>
                <w:sz w:val="14"/>
              </w:rPr>
              <w:t> </w:t>
            </w:r>
            <w:r>
              <w:rPr>
                <w:w w:val="105"/>
                <w:sz w:val="14"/>
              </w:rPr>
              <w:t>ICMS</w:t>
            </w:r>
          </w:p>
        </w:tc>
        <w:tc>
          <w:tcPr>
            <w:tcW w:w="1354" w:type="dxa"/>
          </w:tcPr>
          <w:p>
            <w:pPr>
              <w:pStyle w:val="TableParagraph"/>
              <w:rPr>
                <w:rFonts w:ascii="Times New Roman"/>
                <w:sz w:val="18"/>
              </w:rPr>
            </w:pPr>
          </w:p>
        </w:tc>
        <w:tc>
          <w:tcPr>
            <w:tcW w:w="1164" w:type="dxa"/>
          </w:tcPr>
          <w:p>
            <w:pPr>
              <w:pStyle w:val="TableParagraph"/>
              <w:rPr>
                <w:rFonts w:ascii="Times New Roman"/>
                <w:sz w:val="18"/>
              </w:rPr>
            </w:pPr>
          </w:p>
        </w:tc>
        <w:tc>
          <w:tcPr>
            <w:tcW w:w="1165" w:type="dxa"/>
          </w:tcPr>
          <w:p>
            <w:pPr>
              <w:pStyle w:val="TableParagraph"/>
              <w:spacing w:before="82"/>
              <w:ind w:right="55"/>
              <w:jc w:val="right"/>
              <w:rPr>
                <w:sz w:val="14"/>
              </w:rPr>
            </w:pPr>
            <w:r>
              <w:rPr>
                <w:w w:val="95"/>
                <w:sz w:val="14"/>
              </w:rPr>
              <w:t>63.081</w:t>
            </w:r>
          </w:p>
        </w:tc>
        <w:tc>
          <w:tcPr>
            <w:tcW w:w="1167" w:type="dxa"/>
          </w:tcPr>
          <w:p>
            <w:pPr>
              <w:pStyle w:val="TableParagraph"/>
              <w:spacing w:before="82"/>
              <w:ind w:right="58"/>
              <w:jc w:val="right"/>
              <w:rPr>
                <w:sz w:val="14"/>
              </w:rPr>
            </w:pPr>
            <w:r>
              <w:rPr>
                <w:w w:val="95"/>
                <w:sz w:val="14"/>
              </w:rPr>
              <w:t>61.525</w:t>
            </w:r>
          </w:p>
        </w:tc>
      </w:tr>
      <w:tr>
        <w:trPr>
          <w:trHeight w:val="249" w:hRule="atLeast"/>
        </w:trPr>
        <w:tc>
          <w:tcPr>
            <w:tcW w:w="5094" w:type="dxa"/>
          </w:tcPr>
          <w:p>
            <w:pPr>
              <w:pStyle w:val="TableParagraph"/>
              <w:spacing w:before="43"/>
              <w:ind w:left="197"/>
              <w:rPr>
                <w:sz w:val="14"/>
              </w:rPr>
            </w:pPr>
            <w:r>
              <w:rPr>
                <w:sz w:val="14"/>
              </w:rPr>
              <w:t>Contribuição Social Para Financiamento da Seguridade Social </w:t>
            </w:r>
            <w:r>
              <w:rPr>
                <w:w w:val="105"/>
                <w:sz w:val="14"/>
              </w:rPr>
              <w:t>– </w:t>
            </w:r>
            <w:r>
              <w:rPr>
                <w:sz w:val="14"/>
              </w:rPr>
              <w:t>COFINS</w:t>
            </w:r>
          </w:p>
        </w:tc>
        <w:tc>
          <w:tcPr>
            <w:tcW w:w="1354" w:type="dxa"/>
          </w:tcPr>
          <w:p>
            <w:pPr>
              <w:pStyle w:val="TableParagraph"/>
              <w:spacing w:before="43"/>
              <w:ind w:right="57"/>
              <w:jc w:val="right"/>
              <w:rPr>
                <w:sz w:val="14"/>
              </w:rPr>
            </w:pPr>
            <w:r>
              <w:rPr>
                <w:w w:val="95"/>
                <w:sz w:val="14"/>
              </w:rPr>
              <w:t>1.370</w:t>
            </w:r>
          </w:p>
        </w:tc>
        <w:tc>
          <w:tcPr>
            <w:tcW w:w="1164" w:type="dxa"/>
          </w:tcPr>
          <w:p>
            <w:pPr>
              <w:pStyle w:val="TableParagraph"/>
              <w:spacing w:before="43"/>
              <w:ind w:right="57"/>
              <w:jc w:val="right"/>
              <w:rPr>
                <w:sz w:val="14"/>
              </w:rPr>
            </w:pPr>
            <w:r>
              <w:rPr>
                <w:w w:val="95"/>
                <w:sz w:val="14"/>
              </w:rPr>
              <w:t>1.342</w:t>
            </w:r>
          </w:p>
        </w:tc>
        <w:tc>
          <w:tcPr>
            <w:tcW w:w="1165" w:type="dxa"/>
          </w:tcPr>
          <w:p>
            <w:pPr>
              <w:pStyle w:val="TableParagraph"/>
              <w:spacing w:before="43"/>
              <w:ind w:right="55"/>
              <w:jc w:val="right"/>
              <w:rPr>
                <w:sz w:val="14"/>
              </w:rPr>
            </w:pPr>
            <w:r>
              <w:rPr>
                <w:w w:val="95"/>
                <w:sz w:val="14"/>
              </w:rPr>
              <w:t>7.163</w:t>
            </w:r>
          </w:p>
        </w:tc>
        <w:tc>
          <w:tcPr>
            <w:tcW w:w="1167" w:type="dxa"/>
          </w:tcPr>
          <w:p>
            <w:pPr>
              <w:pStyle w:val="TableParagraph"/>
              <w:spacing w:before="43"/>
              <w:ind w:right="58"/>
              <w:jc w:val="right"/>
              <w:rPr>
                <w:sz w:val="14"/>
              </w:rPr>
            </w:pPr>
            <w:r>
              <w:rPr>
                <w:w w:val="95"/>
                <w:sz w:val="14"/>
              </w:rPr>
              <w:t>76.269</w:t>
            </w:r>
          </w:p>
        </w:tc>
      </w:tr>
      <w:tr>
        <w:trPr>
          <w:trHeight w:val="249" w:hRule="atLeast"/>
        </w:trPr>
        <w:tc>
          <w:tcPr>
            <w:tcW w:w="5094" w:type="dxa"/>
          </w:tcPr>
          <w:p>
            <w:pPr>
              <w:pStyle w:val="TableParagraph"/>
              <w:spacing w:before="43"/>
              <w:ind w:left="197"/>
              <w:rPr>
                <w:sz w:val="14"/>
              </w:rPr>
            </w:pPr>
            <w:r>
              <w:rPr>
                <w:w w:val="105"/>
                <w:sz w:val="14"/>
              </w:rPr>
              <w:t>Programa de Integração Social – PIS</w:t>
            </w:r>
          </w:p>
        </w:tc>
        <w:tc>
          <w:tcPr>
            <w:tcW w:w="1354" w:type="dxa"/>
          </w:tcPr>
          <w:p>
            <w:pPr>
              <w:pStyle w:val="TableParagraph"/>
              <w:spacing w:before="43"/>
              <w:ind w:right="57"/>
              <w:jc w:val="right"/>
              <w:rPr>
                <w:sz w:val="14"/>
              </w:rPr>
            </w:pPr>
            <w:r>
              <w:rPr>
                <w:sz w:val="14"/>
              </w:rPr>
              <w:t>283</w:t>
            </w:r>
          </w:p>
        </w:tc>
        <w:tc>
          <w:tcPr>
            <w:tcW w:w="1164" w:type="dxa"/>
          </w:tcPr>
          <w:p>
            <w:pPr>
              <w:pStyle w:val="TableParagraph"/>
              <w:spacing w:before="43"/>
              <w:ind w:right="57"/>
              <w:jc w:val="right"/>
              <w:rPr>
                <w:sz w:val="14"/>
              </w:rPr>
            </w:pPr>
            <w:r>
              <w:rPr>
                <w:w w:val="105"/>
                <w:sz w:val="14"/>
              </w:rPr>
              <w:t>292</w:t>
            </w:r>
          </w:p>
        </w:tc>
        <w:tc>
          <w:tcPr>
            <w:tcW w:w="1165" w:type="dxa"/>
          </w:tcPr>
          <w:p>
            <w:pPr>
              <w:pStyle w:val="TableParagraph"/>
              <w:spacing w:before="43"/>
              <w:ind w:right="55"/>
              <w:jc w:val="right"/>
              <w:rPr>
                <w:sz w:val="14"/>
              </w:rPr>
            </w:pPr>
            <w:r>
              <w:rPr>
                <w:w w:val="95"/>
                <w:sz w:val="14"/>
              </w:rPr>
              <w:t>1.512</w:t>
            </w:r>
          </w:p>
        </w:tc>
        <w:tc>
          <w:tcPr>
            <w:tcW w:w="1167" w:type="dxa"/>
          </w:tcPr>
          <w:p>
            <w:pPr>
              <w:pStyle w:val="TableParagraph"/>
              <w:spacing w:before="43"/>
              <w:ind w:right="58"/>
              <w:jc w:val="right"/>
              <w:rPr>
                <w:sz w:val="14"/>
              </w:rPr>
            </w:pPr>
            <w:r>
              <w:rPr>
                <w:w w:val="95"/>
                <w:sz w:val="14"/>
              </w:rPr>
              <w:t>15.509</w:t>
            </w:r>
          </w:p>
        </w:tc>
      </w:tr>
      <w:tr>
        <w:trPr>
          <w:trHeight w:val="249" w:hRule="atLeast"/>
        </w:trPr>
        <w:tc>
          <w:tcPr>
            <w:tcW w:w="5094" w:type="dxa"/>
          </w:tcPr>
          <w:p>
            <w:pPr>
              <w:pStyle w:val="TableParagraph"/>
              <w:spacing w:before="41"/>
              <w:ind w:left="197"/>
              <w:rPr>
                <w:sz w:val="14"/>
              </w:rPr>
            </w:pPr>
            <w:r>
              <w:rPr>
                <w:sz w:val="14"/>
              </w:rPr>
              <w:t>Imposto Sobre Serviços de Qualquer Natureza </w:t>
            </w:r>
            <w:r>
              <w:rPr>
                <w:w w:val="105"/>
                <w:sz w:val="14"/>
              </w:rPr>
              <w:t>– </w:t>
            </w:r>
            <w:r>
              <w:rPr>
                <w:sz w:val="14"/>
              </w:rPr>
              <w:t>ISS</w:t>
            </w:r>
          </w:p>
        </w:tc>
        <w:tc>
          <w:tcPr>
            <w:tcW w:w="1354" w:type="dxa"/>
          </w:tcPr>
          <w:p>
            <w:pPr>
              <w:pStyle w:val="TableParagraph"/>
              <w:spacing w:before="41"/>
              <w:ind w:right="57"/>
              <w:jc w:val="right"/>
              <w:rPr>
                <w:sz w:val="14"/>
              </w:rPr>
            </w:pPr>
            <w:r>
              <w:rPr>
                <w:sz w:val="14"/>
              </w:rPr>
              <w:t>47</w:t>
            </w:r>
          </w:p>
        </w:tc>
        <w:tc>
          <w:tcPr>
            <w:tcW w:w="1164" w:type="dxa"/>
          </w:tcPr>
          <w:p>
            <w:pPr>
              <w:pStyle w:val="TableParagraph"/>
              <w:spacing w:before="41"/>
              <w:ind w:right="57"/>
              <w:jc w:val="right"/>
              <w:rPr>
                <w:sz w:val="14"/>
              </w:rPr>
            </w:pPr>
            <w:r>
              <w:rPr>
                <w:w w:val="105"/>
                <w:sz w:val="14"/>
              </w:rPr>
              <w:t>151</w:t>
            </w:r>
          </w:p>
        </w:tc>
        <w:tc>
          <w:tcPr>
            <w:tcW w:w="1165" w:type="dxa"/>
          </w:tcPr>
          <w:p>
            <w:pPr>
              <w:pStyle w:val="TableParagraph"/>
              <w:spacing w:before="41"/>
              <w:ind w:right="55"/>
              <w:jc w:val="right"/>
              <w:rPr>
                <w:sz w:val="14"/>
              </w:rPr>
            </w:pPr>
            <w:r>
              <w:rPr>
                <w:sz w:val="14"/>
              </w:rPr>
              <w:t>545</w:t>
            </w:r>
          </w:p>
        </w:tc>
        <w:tc>
          <w:tcPr>
            <w:tcW w:w="1167" w:type="dxa"/>
          </w:tcPr>
          <w:p>
            <w:pPr>
              <w:pStyle w:val="TableParagraph"/>
              <w:spacing w:before="41"/>
              <w:ind w:right="58"/>
              <w:jc w:val="right"/>
              <w:rPr>
                <w:sz w:val="14"/>
              </w:rPr>
            </w:pPr>
            <w:r>
              <w:rPr>
                <w:sz w:val="14"/>
              </w:rPr>
              <w:t>633</w:t>
            </w:r>
          </w:p>
        </w:tc>
      </w:tr>
      <w:tr>
        <w:trPr>
          <w:trHeight w:val="246" w:hRule="atLeast"/>
        </w:trPr>
        <w:tc>
          <w:tcPr>
            <w:tcW w:w="5094" w:type="dxa"/>
          </w:tcPr>
          <w:p>
            <w:pPr>
              <w:pStyle w:val="TableParagraph"/>
              <w:spacing w:before="39"/>
              <w:ind w:left="197"/>
              <w:rPr>
                <w:rFonts w:ascii="Caladea" w:hAnsi="Caladea"/>
                <w:b/>
                <w:sz w:val="14"/>
              </w:rPr>
            </w:pPr>
            <w:r>
              <w:rPr>
                <w:sz w:val="14"/>
              </w:rPr>
              <w:t>Postergação do ICMS </w:t>
            </w:r>
            <w:r>
              <w:rPr>
                <w:rFonts w:ascii="Caladea" w:hAnsi="Caladea"/>
                <w:b/>
                <w:sz w:val="14"/>
              </w:rPr>
              <w:t>(b)</w:t>
            </w:r>
          </w:p>
        </w:tc>
        <w:tc>
          <w:tcPr>
            <w:tcW w:w="1354" w:type="dxa"/>
          </w:tcPr>
          <w:p>
            <w:pPr>
              <w:pStyle w:val="TableParagraph"/>
              <w:rPr>
                <w:rFonts w:ascii="Times New Roman"/>
                <w:sz w:val="16"/>
              </w:rPr>
            </w:pPr>
          </w:p>
        </w:tc>
        <w:tc>
          <w:tcPr>
            <w:tcW w:w="1164" w:type="dxa"/>
          </w:tcPr>
          <w:p>
            <w:pPr>
              <w:pStyle w:val="TableParagraph"/>
              <w:rPr>
                <w:rFonts w:ascii="Times New Roman"/>
                <w:sz w:val="16"/>
              </w:rPr>
            </w:pPr>
          </w:p>
        </w:tc>
        <w:tc>
          <w:tcPr>
            <w:tcW w:w="1165" w:type="dxa"/>
          </w:tcPr>
          <w:p>
            <w:pPr>
              <w:pStyle w:val="TableParagraph"/>
              <w:spacing w:before="41"/>
              <w:ind w:right="58"/>
              <w:jc w:val="right"/>
              <w:rPr>
                <w:sz w:val="14"/>
              </w:rPr>
            </w:pPr>
            <w:r>
              <w:rPr>
                <w:w w:val="95"/>
                <w:sz w:val="14"/>
              </w:rPr>
              <w:t>311.330</w:t>
            </w:r>
          </w:p>
        </w:tc>
        <w:tc>
          <w:tcPr>
            <w:tcW w:w="1167" w:type="dxa"/>
          </w:tcPr>
          <w:p>
            <w:pPr>
              <w:pStyle w:val="TableParagraph"/>
              <w:rPr>
                <w:rFonts w:ascii="Times New Roman"/>
                <w:sz w:val="16"/>
              </w:rPr>
            </w:pPr>
          </w:p>
        </w:tc>
      </w:tr>
      <w:tr>
        <w:trPr>
          <w:trHeight w:val="249" w:hRule="atLeast"/>
        </w:trPr>
        <w:tc>
          <w:tcPr>
            <w:tcW w:w="5094" w:type="dxa"/>
          </w:tcPr>
          <w:p>
            <w:pPr>
              <w:pStyle w:val="TableParagraph"/>
              <w:spacing w:before="42"/>
              <w:ind w:left="197"/>
              <w:rPr>
                <w:rFonts w:ascii="Caladea"/>
                <w:b/>
                <w:sz w:val="14"/>
              </w:rPr>
            </w:pPr>
            <w:r>
              <w:rPr>
                <w:sz w:val="14"/>
              </w:rPr>
              <w:t>Parcelamentos de Tributos </w:t>
            </w:r>
            <w:r>
              <w:rPr>
                <w:rFonts w:ascii="Caladea"/>
                <w:b/>
                <w:sz w:val="14"/>
              </w:rPr>
              <w:t>(a)</w:t>
            </w:r>
          </w:p>
        </w:tc>
        <w:tc>
          <w:tcPr>
            <w:tcW w:w="1354" w:type="dxa"/>
          </w:tcPr>
          <w:p>
            <w:pPr>
              <w:pStyle w:val="TableParagraph"/>
              <w:rPr>
                <w:rFonts w:ascii="Times New Roman"/>
                <w:sz w:val="18"/>
              </w:rPr>
            </w:pPr>
          </w:p>
        </w:tc>
        <w:tc>
          <w:tcPr>
            <w:tcW w:w="1164" w:type="dxa"/>
          </w:tcPr>
          <w:p>
            <w:pPr>
              <w:pStyle w:val="TableParagraph"/>
              <w:rPr>
                <w:rFonts w:ascii="Times New Roman"/>
                <w:sz w:val="18"/>
              </w:rPr>
            </w:pPr>
          </w:p>
        </w:tc>
        <w:tc>
          <w:tcPr>
            <w:tcW w:w="1165" w:type="dxa"/>
          </w:tcPr>
          <w:p>
            <w:pPr>
              <w:pStyle w:val="TableParagraph"/>
              <w:spacing w:before="43"/>
              <w:ind w:right="55"/>
              <w:jc w:val="right"/>
              <w:rPr>
                <w:sz w:val="14"/>
              </w:rPr>
            </w:pPr>
            <w:r>
              <w:rPr>
                <w:w w:val="95"/>
                <w:sz w:val="14"/>
              </w:rPr>
              <w:t>293.067</w:t>
            </w:r>
          </w:p>
        </w:tc>
        <w:tc>
          <w:tcPr>
            <w:tcW w:w="1167" w:type="dxa"/>
          </w:tcPr>
          <w:p>
            <w:pPr>
              <w:pStyle w:val="TableParagraph"/>
              <w:spacing w:before="43"/>
              <w:ind w:right="58"/>
              <w:jc w:val="right"/>
              <w:rPr>
                <w:sz w:val="14"/>
              </w:rPr>
            </w:pPr>
            <w:r>
              <w:rPr>
                <w:w w:val="95"/>
                <w:sz w:val="14"/>
              </w:rPr>
              <w:t>108.152</w:t>
            </w:r>
          </w:p>
        </w:tc>
      </w:tr>
      <w:tr>
        <w:trPr>
          <w:trHeight w:val="249" w:hRule="atLeast"/>
        </w:trPr>
        <w:tc>
          <w:tcPr>
            <w:tcW w:w="5094" w:type="dxa"/>
          </w:tcPr>
          <w:p>
            <w:pPr>
              <w:pStyle w:val="TableParagraph"/>
              <w:spacing w:before="43"/>
              <w:ind w:left="197"/>
              <w:rPr>
                <w:sz w:val="14"/>
              </w:rPr>
            </w:pPr>
            <w:r>
              <w:rPr>
                <w:sz w:val="14"/>
              </w:rPr>
              <w:t>Outros</w:t>
            </w:r>
          </w:p>
        </w:tc>
        <w:tc>
          <w:tcPr>
            <w:tcW w:w="1354" w:type="dxa"/>
          </w:tcPr>
          <w:p>
            <w:pPr>
              <w:pStyle w:val="TableParagraph"/>
              <w:spacing w:before="43"/>
              <w:ind w:right="59"/>
              <w:jc w:val="right"/>
              <w:rPr>
                <w:sz w:val="14"/>
              </w:rPr>
            </w:pPr>
            <w:r>
              <w:rPr>
                <w:sz w:val="14"/>
              </w:rPr>
              <w:t>735</w:t>
            </w:r>
          </w:p>
        </w:tc>
        <w:tc>
          <w:tcPr>
            <w:tcW w:w="1164" w:type="dxa"/>
          </w:tcPr>
          <w:p>
            <w:pPr>
              <w:pStyle w:val="TableParagraph"/>
              <w:spacing w:before="43"/>
              <w:ind w:right="60"/>
              <w:jc w:val="right"/>
              <w:rPr>
                <w:sz w:val="14"/>
              </w:rPr>
            </w:pPr>
            <w:r>
              <w:rPr>
                <w:w w:val="95"/>
                <w:sz w:val="14"/>
              </w:rPr>
              <w:t>1.240</w:t>
            </w:r>
          </w:p>
        </w:tc>
        <w:tc>
          <w:tcPr>
            <w:tcW w:w="1165" w:type="dxa"/>
          </w:tcPr>
          <w:p>
            <w:pPr>
              <w:pStyle w:val="TableParagraph"/>
              <w:spacing w:before="43"/>
              <w:ind w:right="55"/>
              <w:jc w:val="right"/>
              <w:rPr>
                <w:sz w:val="14"/>
              </w:rPr>
            </w:pPr>
            <w:r>
              <w:rPr>
                <w:sz w:val="14"/>
              </w:rPr>
              <w:t>94</w:t>
            </w:r>
          </w:p>
        </w:tc>
        <w:tc>
          <w:tcPr>
            <w:tcW w:w="1167" w:type="dxa"/>
          </w:tcPr>
          <w:p>
            <w:pPr>
              <w:pStyle w:val="TableParagraph"/>
              <w:spacing w:before="43"/>
              <w:ind w:right="60"/>
              <w:jc w:val="right"/>
              <w:rPr>
                <w:sz w:val="14"/>
              </w:rPr>
            </w:pPr>
            <w:r>
              <w:rPr>
                <w:sz w:val="14"/>
              </w:rPr>
              <w:t>54</w:t>
            </w:r>
          </w:p>
        </w:tc>
      </w:tr>
      <w:tr>
        <w:trPr>
          <w:trHeight w:val="249" w:hRule="atLeast"/>
        </w:trPr>
        <w:tc>
          <w:tcPr>
            <w:tcW w:w="5094" w:type="dxa"/>
          </w:tcPr>
          <w:p>
            <w:pPr>
              <w:pStyle w:val="TableParagraph"/>
              <w:spacing w:before="42"/>
              <w:ind w:left="72"/>
              <w:rPr>
                <w:rFonts w:ascii="Caladea"/>
                <w:b/>
                <w:sz w:val="14"/>
              </w:rPr>
            </w:pPr>
            <w:r>
              <w:rPr>
                <w:rFonts w:ascii="Caladea"/>
                <w:b/>
                <w:sz w:val="14"/>
              </w:rPr>
              <w:t>Total</w:t>
            </w:r>
          </w:p>
        </w:tc>
        <w:tc>
          <w:tcPr>
            <w:tcW w:w="1354" w:type="dxa"/>
          </w:tcPr>
          <w:p>
            <w:pPr>
              <w:pStyle w:val="TableParagraph"/>
              <w:spacing w:before="42"/>
              <w:ind w:right="57"/>
              <w:jc w:val="right"/>
              <w:rPr>
                <w:rFonts w:ascii="Caladea"/>
                <w:b/>
                <w:sz w:val="14"/>
              </w:rPr>
            </w:pPr>
            <w:r>
              <w:rPr>
                <w:rFonts w:ascii="Caladea"/>
                <w:b/>
                <w:w w:val="95"/>
                <w:sz w:val="14"/>
              </w:rPr>
              <w:t>2.435</w:t>
            </w:r>
          </w:p>
        </w:tc>
        <w:tc>
          <w:tcPr>
            <w:tcW w:w="1164" w:type="dxa"/>
          </w:tcPr>
          <w:p>
            <w:pPr>
              <w:pStyle w:val="TableParagraph"/>
              <w:spacing w:before="42"/>
              <w:ind w:right="57"/>
              <w:jc w:val="right"/>
              <w:rPr>
                <w:rFonts w:ascii="Caladea"/>
                <w:b/>
                <w:sz w:val="14"/>
              </w:rPr>
            </w:pPr>
            <w:r>
              <w:rPr>
                <w:rFonts w:ascii="Caladea"/>
                <w:b/>
                <w:w w:val="95"/>
                <w:sz w:val="14"/>
              </w:rPr>
              <w:t>3.025</w:t>
            </w:r>
          </w:p>
        </w:tc>
        <w:tc>
          <w:tcPr>
            <w:tcW w:w="1165" w:type="dxa"/>
          </w:tcPr>
          <w:p>
            <w:pPr>
              <w:pStyle w:val="TableParagraph"/>
              <w:spacing w:before="42"/>
              <w:ind w:right="55"/>
              <w:jc w:val="right"/>
              <w:rPr>
                <w:rFonts w:ascii="Caladea"/>
                <w:b/>
                <w:sz w:val="14"/>
              </w:rPr>
            </w:pPr>
            <w:r>
              <w:rPr>
                <w:rFonts w:ascii="Caladea"/>
                <w:b/>
                <w:w w:val="95"/>
                <w:sz w:val="14"/>
              </w:rPr>
              <w:t>676.792</w:t>
            </w:r>
          </w:p>
        </w:tc>
        <w:tc>
          <w:tcPr>
            <w:tcW w:w="1167" w:type="dxa"/>
          </w:tcPr>
          <w:p>
            <w:pPr>
              <w:pStyle w:val="TableParagraph"/>
              <w:spacing w:before="42"/>
              <w:ind w:right="58"/>
              <w:jc w:val="right"/>
              <w:rPr>
                <w:rFonts w:ascii="Caladea"/>
                <w:b/>
                <w:sz w:val="14"/>
              </w:rPr>
            </w:pPr>
            <w:r>
              <w:rPr>
                <w:rFonts w:ascii="Caladea"/>
                <w:b/>
                <w:w w:val="95"/>
                <w:sz w:val="14"/>
              </w:rPr>
              <w:t>262.142</w:t>
            </w:r>
          </w:p>
        </w:tc>
      </w:tr>
      <w:tr>
        <w:trPr>
          <w:trHeight w:val="249" w:hRule="atLeast"/>
        </w:trPr>
        <w:tc>
          <w:tcPr>
            <w:tcW w:w="5094" w:type="dxa"/>
          </w:tcPr>
          <w:p>
            <w:pPr>
              <w:pStyle w:val="TableParagraph"/>
              <w:spacing w:before="42"/>
              <w:ind w:left="72"/>
              <w:rPr>
                <w:rFonts w:ascii="Caladea"/>
                <w:b/>
                <w:sz w:val="14"/>
              </w:rPr>
            </w:pPr>
            <w:r>
              <w:rPr>
                <w:rFonts w:ascii="Caladea"/>
                <w:b/>
                <w:sz w:val="14"/>
              </w:rPr>
              <w:t>Circulante</w:t>
            </w:r>
          </w:p>
        </w:tc>
        <w:tc>
          <w:tcPr>
            <w:tcW w:w="1354" w:type="dxa"/>
          </w:tcPr>
          <w:p>
            <w:pPr>
              <w:pStyle w:val="TableParagraph"/>
              <w:spacing w:before="42"/>
              <w:ind w:right="57"/>
              <w:jc w:val="right"/>
              <w:rPr>
                <w:rFonts w:ascii="Caladea"/>
                <w:b/>
                <w:sz w:val="14"/>
              </w:rPr>
            </w:pPr>
            <w:r>
              <w:rPr>
                <w:rFonts w:ascii="Caladea"/>
                <w:b/>
                <w:w w:val="95"/>
                <w:sz w:val="14"/>
              </w:rPr>
              <w:t>2.435</w:t>
            </w:r>
          </w:p>
        </w:tc>
        <w:tc>
          <w:tcPr>
            <w:tcW w:w="1164" w:type="dxa"/>
          </w:tcPr>
          <w:p>
            <w:pPr>
              <w:pStyle w:val="TableParagraph"/>
              <w:spacing w:before="42"/>
              <w:ind w:right="57"/>
              <w:jc w:val="right"/>
              <w:rPr>
                <w:rFonts w:ascii="Caladea"/>
                <w:b/>
                <w:sz w:val="14"/>
              </w:rPr>
            </w:pPr>
            <w:r>
              <w:rPr>
                <w:rFonts w:ascii="Caladea"/>
                <w:b/>
                <w:w w:val="95"/>
                <w:sz w:val="14"/>
              </w:rPr>
              <w:t>3.025</w:t>
            </w:r>
          </w:p>
        </w:tc>
        <w:tc>
          <w:tcPr>
            <w:tcW w:w="1165" w:type="dxa"/>
          </w:tcPr>
          <w:p>
            <w:pPr>
              <w:pStyle w:val="TableParagraph"/>
              <w:spacing w:before="42"/>
              <w:ind w:right="55"/>
              <w:jc w:val="right"/>
              <w:rPr>
                <w:rFonts w:ascii="Caladea"/>
                <w:b/>
                <w:sz w:val="14"/>
              </w:rPr>
            </w:pPr>
            <w:r>
              <w:rPr>
                <w:rFonts w:ascii="Caladea"/>
                <w:b/>
                <w:w w:val="95"/>
                <w:sz w:val="14"/>
              </w:rPr>
              <w:t>454.689</w:t>
            </w:r>
          </w:p>
        </w:tc>
        <w:tc>
          <w:tcPr>
            <w:tcW w:w="1167" w:type="dxa"/>
          </w:tcPr>
          <w:p>
            <w:pPr>
              <w:pStyle w:val="TableParagraph"/>
              <w:spacing w:before="42"/>
              <w:ind w:right="58"/>
              <w:jc w:val="right"/>
              <w:rPr>
                <w:rFonts w:ascii="Caladea"/>
                <w:b/>
                <w:sz w:val="14"/>
              </w:rPr>
            </w:pPr>
            <w:r>
              <w:rPr>
                <w:rFonts w:ascii="Caladea"/>
                <w:b/>
                <w:w w:val="95"/>
                <w:sz w:val="14"/>
              </w:rPr>
              <w:t>155.271</w:t>
            </w:r>
          </w:p>
        </w:tc>
      </w:tr>
      <w:tr>
        <w:trPr>
          <w:trHeight w:val="249" w:hRule="atLeast"/>
        </w:trPr>
        <w:tc>
          <w:tcPr>
            <w:tcW w:w="5094" w:type="dxa"/>
          </w:tcPr>
          <w:p>
            <w:pPr>
              <w:pStyle w:val="TableParagraph"/>
              <w:spacing w:before="42"/>
              <w:ind w:left="72"/>
              <w:rPr>
                <w:rFonts w:ascii="Caladea" w:hAnsi="Caladea"/>
                <w:b/>
                <w:sz w:val="14"/>
              </w:rPr>
            </w:pPr>
            <w:r>
              <w:rPr>
                <w:rFonts w:ascii="Caladea" w:hAnsi="Caladea"/>
                <w:b/>
                <w:sz w:val="14"/>
              </w:rPr>
              <w:t>Não Circulante</w:t>
            </w:r>
          </w:p>
        </w:tc>
        <w:tc>
          <w:tcPr>
            <w:tcW w:w="1354" w:type="dxa"/>
          </w:tcPr>
          <w:p>
            <w:pPr>
              <w:pStyle w:val="TableParagraph"/>
              <w:rPr>
                <w:rFonts w:ascii="Times New Roman"/>
                <w:sz w:val="18"/>
              </w:rPr>
            </w:pPr>
          </w:p>
        </w:tc>
        <w:tc>
          <w:tcPr>
            <w:tcW w:w="1164" w:type="dxa"/>
          </w:tcPr>
          <w:p>
            <w:pPr>
              <w:pStyle w:val="TableParagraph"/>
              <w:rPr>
                <w:rFonts w:ascii="Times New Roman"/>
                <w:sz w:val="18"/>
              </w:rPr>
            </w:pPr>
          </w:p>
        </w:tc>
        <w:tc>
          <w:tcPr>
            <w:tcW w:w="1165" w:type="dxa"/>
          </w:tcPr>
          <w:p>
            <w:pPr>
              <w:pStyle w:val="TableParagraph"/>
              <w:spacing w:before="42"/>
              <w:ind w:right="55"/>
              <w:jc w:val="right"/>
              <w:rPr>
                <w:rFonts w:ascii="Caladea"/>
                <w:b/>
                <w:sz w:val="14"/>
              </w:rPr>
            </w:pPr>
            <w:r>
              <w:rPr>
                <w:rFonts w:ascii="Caladea"/>
                <w:b/>
                <w:w w:val="95"/>
                <w:sz w:val="14"/>
              </w:rPr>
              <w:t>222.103</w:t>
            </w:r>
          </w:p>
        </w:tc>
        <w:tc>
          <w:tcPr>
            <w:tcW w:w="1167" w:type="dxa"/>
          </w:tcPr>
          <w:p>
            <w:pPr>
              <w:pStyle w:val="TableParagraph"/>
              <w:spacing w:before="42"/>
              <w:ind w:right="61"/>
              <w:jc w:val="right"/>
              <w:rPr>
                <w:rFonts w:ascii="Caladea"/>
                <w:b/>
                <w:sz w:val="14"/>
              </w:rPr>
            </w:pPr>
            <w:r>
              <w:rPr>
                <w:rFonts w:ascii="Caladea"/>
                <w:b/>
                <w:w w:val="95"/>
                <w:sz w:val="14"/>
              </w:rPr>
              <w:t>106.871</w:t>
            </w:r>
          </w:p>
        </w:tc>
      </w:tr>
    </w:tbl>
    <w:p>
      <w:pPr>
        <w:pStyle w:val="ListParagraph"/>
        <w:numPr>
          <w:ilvl w:val="0"/>
          <w:numId w:val="26"/>
        </w:numPr>
        <w:tabs>
          <w:tab w:pos="522" w:val="left" w:leader="none"/>
        </w:tabs>
        <w:spacing w:line="240" w:lineRule="auto" w:before="123" w:after="0"/>
        <w:ind w:left="521" w:right="0" w:hanging="350"/>
        <w:jc w:val="left"/>
        <w:rPr>
          <w:rFonts w:ascii="Caladea"/>
          <w:b/>
          <w:sz w:val="22"/>
        </w:rPr>
      </w:pPr>
      <w:r>
        <w:rPr>
          <w:rFonts w:ascii="Caladea"/>
          <w:b/>
          <w:sz w:val="22"/>
        </w:rPr>
        <w:t>Parcelamento de</w:t>
      </w:r>
      <w:r>
        <w:rPr>
          <w:rFonts w:ascii="Caladea"/>
          <w:b/>
          <w:spacing w:val="-5"/>
          <w:sz w:val="22"/>
        </w:rPr>
        <w:t> </w:t>
      </w:r>
      <w:r>
        <w:rPr>
          <w:rFonts w:ascii="Caladea"/>
          <w:b/>
          <w:sz w:val="22"/>
        </w:rPr>
        <w:t>Tributos</w:t>
      </w:r>
    </w:p>
    <w:p>
      <w:pPr>
        <w:pStyle w:val="BodyText"/>
        <w:spacing w:before="9"/>
        <w:rPr>
          <w:rFonts w:ascii="Caladea"/>
          <w:b/>
          <w:sz w:val="23"/>
        </w:rPr>
      </w:pPr>
    </w:p>
    <w:p>
      <w:pPr>
        <w:spacing w:before="0"/>
        <w:ind w:left="172" w:right="0" w:firstLine="0"/>
        <w:jc w:val="left"/>
        <w:rPr>
          <w:rFonts w:ascii="Caladea"/>
          <w:b/>
          <w:sz w:val="20"/>
        </w:rPr>
      </w:pPr>
      <w:r>
        <w:rPr>
          <w:rFonts w:ascii="Caladea"/>
          <w:b/>
          <w:sz w:val="20"/>
        </w:rPr>
        <w:t>ICMS</w:t>
      </w:r>
    </w:p>
    <w:p>
      <w:pPr>
        <w:pStyle w:val="BodyText"/>
        <w:spacing w:line="242" w:lineRule="auto" w:before="121"/>
        <w:ind w:left="172" w:right="407"/>
        <w:jc w:val="both"/>
      </w:pPr>
      <w:r>
        <w:rPr/>
        <w:t>Em julho de 2018, a Companhia assinou contrato de parcelamento da dívida tributária, relativo ao ICMS sobre faturamento</w:t>
      </w:r>
      <w:r>
        <w:rPr>
          <w:spacing w:val="-39"/>
        </w:rPr>
        <w:t> </w:t>
      </w:r>
      <w:r>
        <w:rPr/>
        <w:t>dos</w:t>
      </w:r>
      <w:r>
        <w:rPr>
          <w:spacing w:val="-37"/>
        </w:rPr>
        <w:t> </w:t>
      </w:r>
      <w:r>
        <w:rPr/>
        <w:t>meses</w:t>
      </w:r>
      <w:r>
        <w:rPr>
          <w:spacing w:val="-38"/>
        </w:rPr>
        <w:t> </w:t>
      </w:r>
      <w:r>
        <w:rPr/>
        <w:t>de</w:t>
      </w:r>
      <w:r>
        <w:rPr>
          <w:spacing w:val="-39"/>
        </w:rPr>
        <w:t> </w:t>
      </w:r>
      <w:r>
        <w:rPr/>
        <w:t>outubro</w:t>
      </w:r>
      <w:r>
        <w:rPr>
          <w:spacing w:val="-38"/>
        </w:rPr>
        <w:t> </w:t>
      </w:r>
      <w:r>
        <w:rPr/>
        <w:t>e</w:t>
      </w:r>
      <w:r>
        <w:rPr>
          <w:spacing w:val="-37"/>
        </w:rPr>
        <w:t> </w:t>
      </w:r>
      <w:r>
        <w:rPr/>
        <w:t>novembro</w:t>
      </w:r>
      <w:r>
        <w:rPr>
          <w:spacing w:val="-38"/>
        </w:rPr>
        <w:t> </w:t>
      </w:r>
      <w:r>
        <w:rPr/>
        <w:t>de</w:t>
      </w:r>
      <w:r>
        <w:rPr>
          <w:spacing w:val="-39"/>
        </w:rPr>
        <w:t> </w:t>
      </w:r>
      <w:r>
        <w:rPr/>
        <w:t>2017,</w:t>
      </w:r>
      <w:r>
        <w:rPr>
          <w:spacing w:val="-36"/>
        </w:rPr>
        <w:t> </w:t>
      </w:r>
      <w:r>
        <w:rPr/>
        <w:t>com</w:t>
      </w:r>
      <w:r>
        <w:rPr>
          <w:spacing w:val="-38"/>
        </w:rPr>
        <w:t> </w:t>
      </w:r>
      <w:r>
        <w:rPr/>
        <w:t>valores</w:t>
      </w:r>
      <w:r>
        <w:rPr>
          <w:spacing w:val="-38"/>
        </w:rPr>
        <w:t> </w:t>
      </w:r>
      <w:r>
        <w:rPr/>
        <w:t>principais</w:t>
      </w:r>
      <w:r>
        <w:rPr>
          <w:spacing w:val="-36"/>
        </w:rPr>
        <w:t> </w:t>
      </w:r>
      <w:r>
        <w:rPr/>
        <w:t>resultantes</w:t>
      </w:r>
      <w:r>
        <w:rPr>
          <w:spacing w:val="-38"/>
        </w:rPr>
        <w:t> </w:t>
      </w:r>
      <w:r>
        <w:rPr/>
        <w:t>em</w:t>
      </w:r>
      <w:r>
        <w:rPr>
          <w:spacing w:val="-38"/>
        </w:rPr>
        <w:t> </w:t>
      </w:r>
      <w:r>
        <w:rPr/>
        <w:t>R$</w:t>
      </w:r>
      <w:r>
        <w:rPr>
          <w:spacing w:val="-38"/>
        </w:rPr>
        <w:t> </w:t>
      </w:r>
      <w:r>
        <w:rPr/>
        <w:t>53.036</w:t>
      </w:r>
      <w:r>
        <w:rPr>
          <w:spacing w:val="-37"/>
        </w:rPr>
        <w:t> </w:t>
      </w:r>
      <w:r>
        <w:rPr/>
        <w:t>e</w:t>
      </w:r>
      <w:r>
        <w:rPr>
          <w:spacing w:val="-39"/>
        </w:rPr>
        <w:t> </w:t>
      </w:r>
      <w:r>
        <w:rPr/>
        <w:t>R$</w:t>
      </w:r>
      <w:r>
        <w:rPr>
          <w:spacing w:val="-38"/>
        </w:rPr>
        <w:t> </w:t>
      </w:r>
      <w:r>
        <w:rPr/>
        <w:t>59.084 respectivamente.</w:t>
      </w:r>
      <w:r>
        <w:rPr>
          <w:spacing w:val="-16"/>
        </w:rPr>
        <w:t> </w:t>
      </w:r>
      <w:r>
        <w:rPr/>
        <w:t>Para</w:t>
      </w:r>
      <w:r>
        <w:rPr>
          <w:spacing w:val="-14"/>
        </w:rPr>
        <w:t> </w:t>
      </w:r>
      <w:r>
        <w:rPr/>
        <w:t>adesão</w:t>
      </w:r>
      <w:r>
        <w:rPr>
          <w:spacing w:val="-17"/>
        </w:rPr>
        <w:t> </w:t>
      </w:r>
      <w:r>
        <w:rPr/>
        <w:t>ao</w:t>
      </w:r>
      <w:r>
        <w:rPr>
          <w:spacing w:val="-14"/>
        </w:rPr>
        <w:t> </w:t>
      </w:r>
      <w:r>
        <w:rPr/>
        <w:t>parcelamento</w:t>
      </w:r>
      <w:r>
        <w:rPr>
          <w:spacing w:val="-16"/>
        </w:rPr>
        <w:t> </w:t>
      </w:r>
      <w:r>
        <w:rPr/>
        <w:t>tributário,</w:t>
      </w:r>
      <w:r>
        <w:rPr>
          <w:spacing w:val="-15"/>
        </w:rPr>
        <w:t> </w:t>
      </w:r>
      <w:r>
        <w:rPr/>
        <w:t>foram</w:t>
      </w:r>
      <w:r>
        <w:rPr>
          <w:spacing w:val="-15"/>
        </w:rPr>
        <w:t> </w:t>
      </w:r>
      <w:r>
        <w:rPr/>
        <w:t>exigidos</w:t>
      </w:r>
      <w:r>
        <w:rPr>
          <w:spacing w:val="-14"/>
        </w:rPr>
        <w:t> </w:t>
      </w:r>
      <w:r>
        <w:rPr/>
        <w:t>multa</w:t>
      </w:r>
      <w:r>
        <w:rPr>
          <w:spacing w:val="-15"/>
        </w:rPr>
        <w:t> </w:t>
      </w:r>
      <w:r>
        <w:rPr/>
        <w:t>de</w:t>
      </w:r>
      <w:r>
        <w:rPr>
          <w:spacing w:val="-16"/>
        </w:rPr>
        <w:t> </w:t>
      </w:r>
      <w:r>
        <w:rPr/>
        <w:t>5%</w:t>
      </w:r>
      <w:r>
        <w:rPr>
          <w:spacing w:val="-15"/>
        </w:rPr>
        <w:t> </w:t>
      </w:r>
      <w:r>
        <w:rPr/>
        <w:t>no</w:t>
      </w:r>
      <w:r>
        <w:rPr>
          <w:spacing w:val="-15"/>
        </w:rPr>
        <w:t> </w:t>
      </w:r>
      <w:r>
        <w:rPr/>
        <w:t>montante</w:t>
      </w:r>
      <w:r>
        <w:rPr>
          <w:spacing w:val="-16"/>
        </w:rPr>
        <w:t> </w:t>
      </w:r>
      <w:r>
        <w:rPr/>
        <w:t>de</w:t>
      </w:r>
      <w:r>
        <w:rPr>
          <w:spacing w:val="-17"/>
        </w:rPr>
        <w:t> </w:t>
      </w:r>
      <w:r>
        <w:rPr/>
        <w:t>R$</w:t>
      </w:r>
      <w:r>
        <w:rPr>
          <w:spacing w:val="-16"/>
        </w:rPr>
        <w:t> </w:t>
      </w:r>
      <w:r>
        <w:rPr/>
        <w:t>5.606 contabilizado</w:t>
      </w:r>
      <w:r>
        <w:rPr>
          <w:spacing w:val="-16"/>
        </w:rPr>
        <w:t> </w:t>
      </w:r>
      <w:r>
        <w:rPr/>
        <w:t>em</w:t>
      </w:r>
      <w:r>
        <w:rPr>
          <w:spacing w:val="-16"/>
        </w:rPr>
        <w:t> </w:t>
      </w:r>
      <w:r>
        <w:rPr/>
        <w:t>julho</w:t>
      </w:r>
      <w:r>
        <w:rPr>
          <w:spacing w:val="-15"/>
        </w:rPr>
        <w:t> </w:t>
      </w:r>
      <w:r>
        <w:rPr/>
        <w:t>de</w:t>
      </w:r>
      <w:r>
        <w:rPr>
          <w:spacing w:val="-17"/>
        </w:rPr>
        <w:t> </w:t>
      </w:r>
      <w:r>
        <w:rPr/>
        <w:t>2018</w:t>
      </w:r>
      <w:r>
        <w:rPr>
          <w:spacing w:val="-15"/>
        </w:rPr>
        <w:t> </w:t>
      </w:r>
      <w:r>
        <w:rPr/>
        <w:t>e</w:t>
      </w:r>
      <w:r>
        <w:rPr>
          <w:spacing w:val="-18"/>
        </w:rPr>
        <w:t> </w:t>
      </w:r>
      <w:r>
        <w:rPr/>
        <w:t>sinal</w:t>
      </w:r>
      <w:r>
        <w:rPr>
          <w:spacing w:val="-17"/>
        </w:rPr>
        <w:t> </w:t>
      </w:r>
      <w:r>
        <w:rPr/>
        <w:t>de</w:t>
      </w:r>
      <w:r>
        <w:rPr>
          <w:spacing w:val="-16"/>
        </w:rPr>
        <w:t> </w:t>
      </w:r>
      <w:r>
        <w:rPr/>
        <w:t>R$</w:t>
      </w:r>
      <w:r>
        <w:rPr>
          <w:spacing w:val="-18"/>
        </w:rPr>
        <w:t> </w:t>
      </w:r>
      <w:r>
        <w:rPr/>
        <w:t>5.886.</w:t>
      </w:r>
      <w:r>
        <w:rPr>
          <w:spacing w:val="-15"/>
        </w:rPr>
        <w:t> </w:t>
      </w:r>
      <w:r>
        <w:rPr/>
        <w:t>O</w:t>
      </w:r>
      <w:r>
        <w:rPr>
          <w:spacing w:val="-17"/>
        </w:rPr>
        <w:t> </w:t>
      </w:r>
      <w:r>
        <w:rPr/>
        <w:t>valor</w:t>
      </w:r>
      <w:r>
        <w:rPr>
          <w:spacing w:val="-18"/>
        </w:rPr>
        <w:t> </w:t>
      </w:r>
      <w:r>
        <w:rPr/>
        <w:t>residual</w:t>
      </w:r>
      <w:r>
        <w:rPr>
          <w:spacing w:val="-17"/>
        </w:rPr>
        <w:t> </w:t>
      </w:r>
      <w:r>
        <w:rPr/>
        <w:t>de</w:t>
      </w:r>
      <w:r>
        <w:rPr>
          <w:spacing w:val="-18"/>
        </w:rPr>
        <w:t> </w:t>
      </w:r>
      <w:r>
        <w:rPr/>
        <w:t>R$</w:t>
      </w:r>
      <w:r>
        <w:rPr>
          <w:spacing w:val="-15"/>
        </w:rPr>
        <w:t> </w:t>
      </w:r>
      <w:r>
        <w:rPr/>
        <w:t>111.840</w:t>
      </w:r>
      <w:r>
        <w:rPr>
          <w:spacing w:val="-15"/>
        </w:rPr>
        <w:t> </w:t>
      </w:r>
      <w:r>
        <w:rPr/>
        <w:t>será</w:t>
      </w:r>
      <w:r>
        <w:rPr>
          <w:spacing w:val="-15"/>
        </w:rPr>
        <w:t> </w:t>
      </w:r>
      <w:r>
        <w:rPr/>
        <w:t>dividido</w:t>
      </w:r>
      <w:r>
        <w:rPr>
          <w:spacing w:val="-15"/>
        </w:rPr>
        <w:t> </w:t>
      </w:r>
      <w:r>
        <w:rPr/>
        <w:t>em</w:t>
      </w:r>
      <w:r>
        <w:rPr>
          <w:spacing w:val="-16"/>
        </w:rPr>
        <w:t> </w:t>
      </w:r>
      <w:r>
        <w:rPr/>
        <w:t>60</w:t>
      </w:r>
      <w:r>
        <w:rPr>
          <w:spacing w:val="-16"/>
        </w:rPr>
        <w:t> </w:t>
      </w:r>
      <w:r>
        <w:rPr/>
        <w:t>parcelas</w:t>
      </w:r>
      <w:r>
        <w:rPr>
          <w:spacing w:val="-17"/>
        </w:rPr>
        <w:t> </w:t>
      </w:r>
      <w:r>
        <w:rPr/>
        <w:t>a serem</w:t>
      </w:r>
      <w:r>
        <w:rPr>
          <w:spacing w:val="-20"/>
        </w:rPr>
        <w:t> </w:t>
      </w:r>
      <w:r>
        <w:rPr/>
        <w:t>recolhidas</w:t>
      </w:r>
      <w:r>
        <w:rPr>
          <w:spacing w:val="-20"/>
        </w:rPr>
        <w:t> </w:t>
      </w:r>
      <w:r>
        <w:rPr/>
        <w:t>a</w:t>
      </w:r>
      <w:r>
        <w:rPr>
          <w:spacing w:val="-18"/>
        </w:rPr>
        <w:t> </w:t>
      </w:r>
      <w:r>
        <w:rPr/>
        <w:t>partir</w:t>
      </w:r>
      <w:r>
        <w:rPr>
          <w:spacing w:val="-21"/>
        </w:rPr>
        <w:t> </w:t>
      </w:r>
      <w:r>
        <w:rPr/>
        <w:t>de</w:t>
      </w:r>
      <w:r>
        <w:rPr>
          <w:spacing w:val="-20"/>
        </w:rPr>
        <w:t> </w:t>
      </w:r>
      <w:r>
        <w:rPr/>
        <w:t>setembro</w:t>
      </w:r>
      <w:r>
        <w:rPr>
          <w:spacing w:val="-18"/>
        </w:rPr>
        <w:t> </w:t>
      </w:r>
      <w:r>
        <w:rPr/>
        <w:t>de</w:t>
      </w:r>
      <w:r>
        <w:rPr>
          <w:spacing w:val="-20"/>
        </w:rPr>
        <w:t> </w:t>
      </w:r>
      <w:r>
        <w:rPr/>
        <w:t>2018</w:t>
      </w:r>
      <w:r>
        <w:rPr>
          <w:spacing w:val="-21"/>
        </w:rPr>
        <w:t> </w:t>
      </w:r>
      <w:r>
        <w:rPr/>
        <w:t>com</w:t>
      </w:r>
      <w:r>
        <w:rPr>
          <w:spacing w:val="-21"/>
        </w:rPr>
        <w:t> </w:t>
      </w:r>
      <w:r>
        <w:rPr/>
        <w:t>atualizações</w:t>
      </w:r>
      <w:r>
        <w:rPr>
          <w:spacing w:val="-20"/>
        </w:rPr>
        <w:t> </w:t>
      </w:r>
      <w:r>
        <w:rPr/>
        <w:t>mensais</w:t>
      </w:r>
      <w:r>
        <w:rPr>
          <w:spacing w:val="-21"/>
        </w:rPr>
        <w:t> </w:t>
      </w:r>
      <w:r>
        <w:rPr/>
        <w:t>por</w:t>
      </w:r>
      <w:r>
        <w:rPr>
          <w:spacing w:val="-21"/>
        </w:rPr>
        <w:t> </w:t>
      </w:r>
      <w:r>
        <w:rPr/>
        <w:t>juros</w:t>
      </w:r>
      <w:r>
        <w:rPr>
          <w:spacing w:val="-19"/>
        </w:rPr>
        <w:t> </w:t>
      </w:r>
      <w:r>
        <w:rPr/>
        <w:t>SELIC.</w:t>
      </w:r>
    </w:p>
    <w:p>
      <w:pPr>
        <w:pStyle w:val="BodyText"/>
        <w:spacing w:line="242" w:lineRule="auto" w:before="121"/>
        <w:ind w:left="172" w:right="405"/>
        <w:jc w:val="both"/>
      </w:pPr>
      <w:r>
        <w:rPr/>
        <w:t>Em</w:t>
      </w:r>
      <w:r>
        <w:rPr>
          <w:spacing w:val="-32"/>
        </w:rPr>
        <w:t> </w:t>
      </w:r>
      <w:r>
        <w:rPr/>
        <w:t>abril</w:t>
      </w:r>
      <w:r>
        <w:rPr>
          <w:spacing w:val="-30"/>
        </w:rPr>
        <w:t> </w:t>
      </w:r>
      <w:r>
        <w:rPr/>
        <w:t>de</w:t>
      </w:r>
      <w:r>
        <w:rPr>
          <w:spacing w:val="-30"/>
        </w:rPr>
        <w:t> </w:t>
      </w:r>
      <w:r>
        <w:rPr/>
        <w:t>2019,</w:t>
      </w:r>
      <w:r>
        <w:rPr>
          <w:spacing w:val="-29"/>
        </w:rPr>
        <w:t> </w:t>
      </w:r>
      <w:r>
        <w:rPr/>
        <w:t>a</w:t>
      </w:r>
      <w:r>
        <w:rPr>
          <w:spacing w:val="-30"/>
        </w:rPr>
        <w:t> </w:t>
      </w:r>
      <w:r>
        <w:rPr/>
        <w:t>Companhia</w:t>
      </w:r>
      <w:r>
        <w:rPr>
          <w:spacing w:val="-30"/>
        </w:rPr>
        <w:t> </w:t>
      </w:r>
      <w:r>
        <w:rPr/>
        <w:t>assinou</w:t>
      </w:r>
      <w:r>
        <w:rPr>
          <w:spacing w:val="-30"/>
        </w:rPr>
        <w:t> </w:t>
      </w:r>
      <w:r>
        <w:rPr/>
        <w:t>um</w:t>
      </w:r>
      <w:r>
        <w:rPr>
          <w:spacing w:val="-32"/>
        </w:rPr>
        <w:t> </w:t>
      </w:r>
      <w:r>
        <w:rPr/>
        <w:t>segundo</w:t>
      </w:r>
      <w:r>
        <w:rPr>
          <w:spacing w:val="-29"/>
        </w:rPr>
        <w:t> </w:t>
      </w:r>
      <w:r>
        <w:rPr/>
        <w:t>contrato</w:t>
      </w:r>
      <w:r>
        <w:rPr>
          <w:spacing w:val="-24"/>
        </w:rPr>
        <w:t> </w:t>
      </w:r>
      <w:r>
        <w:rPr/>
        <w:t>de</w:t>
      </w:r>
      <w:r>
        <w:rPr>
          <w:spacing w:val="-30"/>
        </w:rPr>
        <w:t> </w:t>
      </w:r>
      <w:r>
        <w:rPr/>
        <w:t>parcelamento</w:t>
      </w:r>
      <w:r>
        <w:rPr>
          <w:spacing w:val="-29"/>
        </w:rPr>
        <w:t> </w:t>
      </w:r>
      <w:r>
        <w:rPr/>
        <w:t>da</w:t>
      </w:r>
      <w:r>
        <w:rPr>
          <w:spacing w:val="-29"/>
        </w:rPr>
        <w:t> </w:t>
      </w:r>
      <w:r>
        <w:rPr/>
        <w:t>dívida</w:t>
      </w:r>
      <w:r>
        <w:rPr>
          <w:spacing w:val="-30"/>
        </w:rPr>
        <w:t> </w:t>
      </w:r>
      <w:r>
        <w:rPr/>
        <w:t>tributária,</w:t>
      </w:r>
      <w:r>
        <w:rPr>
          <w:spacing w:val="-29"/>
        </w:rPr>
        <w:t> </w:t>
      </w:r>
      <w:r>
        <w:rPr/>
        <w:t>relativo</w:t>
      </w:r>
      <w:r>
        <w:rPr>
          <w:spacing w:val="-29"/>
        </w:rPr>
        <w:t> </w:t>
      </w:r>
      <w:r>
        <w:rPr/>
        <w:t>ao</w:t>
      </w:r>
      <w:r>
        <w:rPr>
          <w:spacing w:val="-31"/>
        </w:rPr>
        <w:t> </w:t>
      </w:r>
      <w:r>
        <w:rPr/>
        <w:t>ICMS sobre</w:t>
      </w:r>
      <w:r>
        <w:rPr>
          <w:spacing w:val="-40"/>
        </w:rPr>
        <w:t> </w:t>
      </w:r>
      <w:r>
        <w:rPr/>
        <w:t>o</w:t>
      </w:r>
      <w:r>
        <w:rPr>
          <w:spacing w:val="-39"/>
        </w:rPr>
        <w:t> </w:t>
      </w:r>
      <w:r>
        <w:rPr/>
        <w:t>faturamento</w:t>
      </w:r>
      <w:r>
        <w:rPr>
          <w:spacing w:val="-38"/>
        </w:rPr>
        <w:t> </w:t>
      </w:r>
      <w:r>
        <w:rPr/>
        <w:t>dos</w:t>
      </w:r>
      <w:r>
        <w:rPr>
          <w:spacing w:val="-38"/>
        </w:rPr>
        <w:t> </w:t>
      </w:r>
      <w:r>
        <w:rPr/>
        <w:t>meses</w:t>
      </w:r>
      <w:r>
        <w:rPr>
          <w:spacing w:val="-38"/>
        </w:rPr>
        <w:t> </w:t>
      </w:r>
      <w:r>
        <w:rPr/>
        <w:t>de</w:t>
      </w:r>
      <w:r>
        <w:rPr>
          <w:spacing w:val="-40"/>
        </w:rPr>
        <w:t> </w:t>
      </w:r>
      <w:r>
        <w:rPr/>
        <w:t>dezembro</w:t>
      </w:r>
      <w:r>
        <w:rPr>
          <w:spacing w:val="-38"/>
        </w:rPr>
        <w:t> </w:t>
      </w:r>
      <w:r>
        <w:rPr/>
        <w:t>de</w:t>
      </w:r>
      <w:r>
        <w:rPr>
          <w:spacing w:val="-40"/>
        </w:rPr>
        <w:t> </w:t>
      </w:r>
      <w:r>
        <w:rPr/>
        <w:t>2018,</w:t>
      </w:r>
      <w:r>
        <w:rPr>
          <w:spacing w:val="-39"/>
        </w:rPr>
        <w:t> </w:t>
      </w:r>
      <w:r>
        <w:rPr/>
        <w:t>janeiro</w:t>
      </w:r>
      <w:r>
        <w:rPr>
          <w:spacing w:val="-37"/>
        </w:rPr>
        <w:t> </w:t>
      </w:r>
      <w:r>
        <w:rPr/>
        <w:t>e</w:t>
      </w:r>
      <w:r>
        <w:rPr>
          <w:spacing w:val="-40"/>
        </w:rPr>
        <w:t> </w:t>
      </w:r>
      <w:r>
        <w:rPr/>
        <w:t>fevereiro</w:t>
      </w:r>
      <w:r>
        <w:rPr>
          <w:spacing w:val="-39"/>
        </w:rPr>
        <w:t> </w:t>
      </w:r>
      <w:r>
        <w:rPr/>
        <w:t>de</w:t>
      </w:r>
      <w:r>
        <w:rPr>
          <w:spacing w:val="-39"/>
        </w:rPr>
        <w:t> </w:t>
      </w:r>
      <w:r>
        <w:rPr/>
        <w:t>2019,</w:t>
      </w:r>
      <w:r>
        <w:rPr>
          <w:spacing w:val="-39"/>
        </w:rPr>
        <w:t> </w:t>
      </w:r>
      <w:r>
        <w:rPr/>
        <w:t>com</w:t>
      </w:r>
      <w:r>
        <w:rPr>
          <w:spacing w:val="-39"/>
        </w:rPr>
        <w:t> </w:t>
      </w:r>
      <w:r>
        <w:rPr/>
        <w:t>valores</w:t>
      </w:r>
      <w:r>
        <w:rPr>
          <w:spacing w:val="-38"/>
        </w:rPr>
        <w:t> </w:t>
      </w:r>
      <w:r>
        <w:rPr/>
        <w:t>principais</w:t>
      </w:r>
      <w:r>
        <w:rPr>
          <w:spacing w:val="-38"/>
        </w:rPr>
        <w:t> </w:t>
      </w:r>
      <w:r>
        <w:rPr/>
        <w:t>resultantes em</w:t>
      </w:r>
      <w:r>
        <w:rPr>
          <w:spacing w:val="-42"/>
        </w:rPr>
        <w:t> </w:t>
      </w:r>
      <w:r>
        <w:rPr/>
        <w:t>R$</w:t>
      </w:r>
      <w:r>
        <w:rPr>
          <w:spacing w:val="-40"/>
        </w:rPr>
        <w:t> </w:t>
      </w:r>
      <w:r>
        <w:rPr/>
        <w:t>60.220,</w:t>
      </w:r>
      <w:r>
        <w:rPr>
          <w:spacing w:val="-42"/>
        </w:rPr>
        <w:t> </w:t>
      </w:r>
      <w:r>
        <w:rPr/>
        <w:t>R$</w:t>
      </w:r>
      <w:r>
        <w:rPr>
          <w:spacing w:val="-40"/>
        </w:rPr>
        <w:t> </w:t>
      </w:r>
      <w:r>
        <w:rPr/>
        <w:t>60.546</w:t>
      </w:r>
      <w:r>
        <w:rPr>
          <w:spacing w:val="-39"/>
        </w:rPr>
        <w:t> </w:t>
      </w:r>
      <w:r>
        <w:rPr/>
        <w:t>e</w:t>
      </w:r>
      <w:r>
        <w:rPr>
          <w:spacing w:val="-42"/>
        </w:rPr>
        <w:t> </w:t>
      </w:r>
      <w:r>
        <w:rPr/>
        <w:t>R$</w:t>
      </w:r>
      <w:r>
        <w:rPr>
          <w:spacing w:val="-41"/>
        </w:rPr>
        <w:t> </w:t>
      </w:r>
      <w:r>
        <w:rPr/>
        <w:t>33.167</w:t>
      </w:r>
      <w:r>
        <w:rPr>
          <w:spacing w:val="-40"/>
        </w:rPr>
        <w:t> </w:t>
      </w:r>
      <w:r>
        <w:rPr/>
        <w:t>respectivamente.</w:t>
      </w:r>
      <w:r>
        <w:rPr>
          <w:spacing w:val="-41"/>
        </w:rPr>
        <w:t> </w:t>
      </w:r>
      <w:r>
        <w:rPr/>
        <w:t>Para</w:t>
      </w:r>
      <w:r>
        <w:rPr>
          <w:spacing w:val="-40"/>
        </w:rPr>
        <w:t> </w:t>
      </w:r>
      <w:r>
        <w:rPr/>
        <w:t>adesão</w:t>
      </w:r>
      <w:r>
        <w:rPr>
          <w:spacing w:val="-42"/>
        </w:rPr>
        <w:t> </w:t>
      </w:r>
      <w:r>
        <w:rPr/>
        <w:t>ao</w:t>
      </w:r>
      <w:r>
        <w:rPr>
          <w:spacing w:val="-40"/>
        </w:rPr>
        <w:t> </w:t>
      </w:r>
      <w:r>
        <w:rPr/>
        <w:t>parcelamento</w:t>
      </w:r>
      <w:r>
        <w:rPr>
          <w:spacing w:val="-41"/>
        </w:rPr>
        <w:t> </w:t>
      </w:r>
      <w:r>
        <w:rPr/>
        <w:t>tributário</w:t>
      </w:r>
      <w:r>
        <w:rPr>
          <w:spacing w:val="-40"/>
        </w:rPr>
        <w:t> </w:t>
      </w:r>
      <w:r>
        <w:rPr/>
        <w:t>foram</w:t>
      </w:r>
      <w:r>
        <w:rPr>
          <w:spacing w:val="-40"/>
        </w:rPr>
        <w:t> </w:t>
      </w:r>
      <w:r>
        <w:rPr/>
        <w:t>exigidos</w:t>
      </w:r>
      <w:r>
        <w:rPr>
          <w:spacing w:val="-40"/>
        </w:rPr>
        <w:t> </w:t>
      </w:r>
      <w:r>
        <w:rPr/>
        <w:t>multa de</w:t>
      </w:r>
      <w:r>
        <w:rPr>
          <w:spacing w:val="-30"/>
        </w:rPr>
        <w:t> </w:t>
      </w:r>
      <w:r>
        <w:rPr/>
        <w:t>R$</w:t>
      </w:r>
      <w:r>
        <w:rPr>
          <w:spacing w:val="-27"/>
        </w:rPr>
        <w:t> </w:t>
      </w:r>
      <w:r>
        <w:rPr/>
        <w:t>13.735,</w:t>
      </w:r>
      <w:r>
        <w:rPr>
          <w:spacing w:val="-28"/>
        </w:rPr>
        <w:t> </w:t>
      </w:r>
      <w:r>
        <w:rPr/>
        <w:t>juros</w:t>
      </w:r>
      <w:r>
        <w:rPr>
          <w:spacing w:val="-28"/>
        </w:rPr>
        <w:t> </w:t>
      </w:r>
      <w:r>
        <w:rPr/>
        <w:t>de</w:t>
      </w:r>
      <w:r>
        <w:rPr>
          <w:spacing w:val="-29"/>
        </w:rPr>
        <w:t> </w:t>
      </w:r>
      <w:r>
        <w:rPr/>
        <w:t>R$</w:t>
      </w:r>
      <w:r>
        <w:rPr>
          <w:spacing w:val="-26"/>
        </w:rPr>
        <w:t> </w:t>
      </w:r>
      <w:r>
        <w:rPr/>
        <w:t>2.626</w:t>
      </w:r>
      <w:r>
        <w:rPr>
          <w:spacing w:val="-28"/>
        </w:rPr>
        <w:t> </w:t>
      </w:r>
      <w:r>
        <w:rPr/>
        <w:t>e</w:t>
      </w:r>
      <w:r>
        <w:rPr>
          <w:spacing w:val="-29"/>
        </w:rPr>
        <w:t> </w:t>
      </w:r>
      <w:r>
        <w:rPr/>
        <w:t>sinal</w:t>
      </w:r>
      <w:r>
        <w:rPr>
          <w:spacing w:val="-28"/>
        </w:rPr>
        <w:t> </w:t>
      </w:r>
      <w:r>
        <w:rPr/>
        <w:t>de</w:t>
      </w:r>
      <w:r>
        <w:rPr>
          <w:spacing w:val="-29"/>
        </w:rPr>
        <w:t> </w:t>
      </w:r>
      <w:r>
        <w:rPr/>
        <w:t>R$</w:t>
      </w:r>
      <w:r>
        <w:rPr>
          <w:spacing w:val="-28"/>
        </w:rPr>
        <w:t> </w:t>
      </w:r>
      <w:r>
        <w:rPr/>
        <w:t>8.515.</w:t>
      </w:r>
      <w:r>
        <w:rPr>
          <w:spacing w:val="-29"/>
        </w:rPr>
        <w:t> </w:t>
      </w:r>
      <w:r>
        <w:rPr/>
        <w:t>O</w:t>
      </w:r>
      <w:r>
        <w:rPr>
          <w:spacing w:val="-28"/>
        </w:rPr>
        <w:t> </w:t>
      </w:r>
      <w:r>
        <w:rPr/>
        <w:t>valor</w:t>
      </w:r>
      <w:r>
        <w:rPr>
          <w:spacing w:val="-29"/>
        </w:rPr>
        <w:t> </w:t>
      </w:r>
      <w:r>
        <w:rPr/>
        <w:t>residual</w:t>
      </w:r>
      <w:r>
        <w:rPr>
          <w:spacing w:val="-27"/>
        </w:rPr>
        <w:t> </w:t>
      </w:r>
      <w:r>
        <w:rPr/>
        <w:t>de</w:t>
      </w:r>
      <w:r>
        <w:rPr>
          <w:spacing w:val="-30"/>
        </w:rPr>
        <w:t> </w:t>
      </w:r>
      <w:r>
        <w:rPr/>
        <w:t>R$</w:t>
      </w:r>
      <w:r>
        <w:rPr>
          <w:spacing w:val="-27"/>
        </w:rPr>
        <w:t> </w:t>
      </w:r>
      <w:r>
        <w:rPr/>
        <w:t>161.779</w:t>
      </w:r>
      <w:r>
        <w:rPr>
          <w:spacing w:val="-28"/>
        </w:rPr>
        <w:t> </w:t>
      </w:r>
      <w:r>
        <w:rPr/>
        <w:t>foi</w:t>
      </w:r>
      <w:r>
        <w:rPr>
          <w:spacing w:val="-29"/>
        </w:rPr>
        <w:t> </w:t>
      </w:r>
      <w:r>
        <w:rPr/>
        <w:t>divido</w:t>
      </w:r>
      <w:r>
        <w:rPr>
          <w:spacing w:val="-27"/>
        </w:rPr>
        <w:t> </w:t>
      </w:r>
      <w:r>
        <w:rPr/>
        <w:t>em</w:t>
      </w:r>
      <w:r>
        <w:rPr>
          <w:spacing w:val="-27"/>
        </w:rPr>
        <w:t> </w:t>
      </w:r>
      <w:r>
        <w:rPr/>
        <w:t>60</w:t>
      </w:r>
      <w:r>
        <w:rPr>
          <w:spacing w:val="-27"/>
        </w:rPr>
        <w:t> </w:t>
      </w:r>
      <w:r>
        <w:rPr/>
        <w:t>parcelas</w:t>
      </w:r>
      <w:r>
        <w:rPr>
          <w:spacing w:val="-28"/>
        </w:rPr>
        <w:t> </w:t>
      </w:r>
      <w:r>
        <w:rPr/>
        <w:t>a</w:t>
      </w:r>
      <w:r>
        <w:rPr>
          <w:spacing w:val="-28"/>
        </w:rPr>
        <w:t> </w:t>
      </w:r>
      <w:r>
        <w:rPr/>
        <w:t>serem recolhidas</w:t>
      </w:r>
      <w:r>
        <w:rPr>
          <w:spacing w:val="-20"/>
        </w:rPr>
        <w:t> </w:t>
      </w:r>
      <w:r>
        <w:rPr/>
        <w:t>a</w:t>
      </w:r>
      <w:r>
        <w:rPr>
          <w:spacing w:val="-19"/>
        </w:rPr>
        <w:t> </w:t>
      </w:r>
      <w:r>
        <w:rPr/>
        <w:t>partir</w:t>
      </w:r>
      <w:r>
        <w:rPr>
          <w:spacing w:val="-19"/>
        </w:rPr>
        <w:t> </w:t>
      </w:r>
      <w:r>
        <w:rPr/>
        <w:t>de</w:t>
      </w:r>
      <w:r>
        <w:rPr>
          <w:spacing w:val="-21"/>
        </w:rPr>
        <w:t> </w:t>
      </w:r>
      <w:r>
        <w:rPr/>
        <w:t>junho</w:t>
      </w:r>
      <w:r>
        <w:rPr>
          <w:spacing w:val="-18"/>
        </w:rPr>
        <w:t> </w:t>
      </w:r>
      <w:r>
        <w:rPr/>
        <w:t>de</w:t>
      </w:r>
      <w:r>
        <w:rPr>
          <w:spacing w:val="-21"/>
        </w:rPr>
        <w:t> </w:t>
      </w:r>
      <w:r>
        <w:rPr/>
        <w:t>2019</w:t>
      </w:r>
      <w:r>
        <w:rPr>
          <w:spacing w:val="-19"/>
        </w:rPr>
        <w:t> </w:t>
      </w:r>
      <w:r>
        <w:rPr/>
        <w:t>com</w:t>
      </w:r>
      <w:r>
        <w:rPr>
          <w:spacing w:val="-18"/>
        </w:rPr>
        <w:t> </w:t>
      </w:r>
      <w:r>
        <w:rPr/>
        <w:t>atualizações</w:t>
      </w:r>
      <w:r>
        <w:rPr>
          <w:spacing w:val="-19"/>
        </w:rPr>
        <w:t> </w:t>
      </w:r>
      <w:r>
        <w:rPr/>
        <w:t>mensais</w:t>
      </w:r>
      <w:r>
        <w:rPr>
          <w:spacing w:val="-19"/>
        </w:rPr>
        <w:t> </w:t>
      </w:r>
      <w:r>
        <w:rPr/>
        <w:t>por</w:t>
      </w:r>
      <w:r>
        <w:rPr>
          <w:spacing w:val="-19"/>
        </w:rPr>
        <w:t> </w:t>
      </w:r>
      <w:r>
        <w:rPr/>
        <w:t>juros</w:t>
      </w:r>
      <w:r>
        <w:rPr>
          <w:spacing w:val="-17"/>
        </w:rPr>
        <w:t> </w:t>
      </w:r>
      <w:r>
        <w:rPr/>
        <w:t>SELIC.</w:t>
      </w:r>
    </w:p>
    <w:p>
      <w:pPr>
        <w:pStyle w:val="BodyText"/>
        <w:spacing w:before="119"/>
        <w:ind w:left="172"/>
        <w:jc w:val="both"/>
      </w:pPr>
      <w:r>
        <w:rPr/>
        <w:t>Em 31 de dezembro de 2019 o saldo devedor destes parcelamentos é de R$ 236.248.</w:t>
      </w:r>
    </w:p>
    <w:p>
      <w:pPr>
        <w:pStyle w:val="BodyText"/>
        <w:spacing w:before="8"/>
      </w:pPr>
    </w:p>
    <w:p>
      <w:pPr>
        <w:spacing w:before="0"/>
        <w:ind w:left="172" w:right="0" w:firstLine="0"/>
        <w:jc w:val="left"/>
        <w:rPr>
          <w:rFonts w:ascii="Caladea"/>
          <w:b/>
          <w:sz w:val="20"/>
        </w:rPr>
      </w:pPr>
      <w:r>
        <w:rPr>
          <w:rFonts w:ascii="Caladea"/>
          <w:b/>
          <w:sz w:val="20"/>
        </w:rPr>
        <w:t>PIS/COFINS</w:t>
      </w:r>
    </w:p>
    <w:p>
      <w:pPr>
        <w:pStyle w:val="BodyText"/>
        <w:spacing w:before="123"/>
        <w:ind w:left="172" w:right="408"/>
        <w:jc w:val="both"/>
      </w:pPr>
      <w:r>
        <w:rPr/>
        <w:t>Em</w:t>
      </w:r>
      <w:r>
        <w:rPr>
          <w:spacing w:val="-37"/>
        </w:rPr>
        <w:t> </w:t>
      </w:r>
      <w:r>
        <w:rPr/>
        <w:t>agosto</w:t>
      </w:r>
      <w:r>
        <w:rPr>
          <w:spacing w:val="-36"/>
        </w:rPr>
        <w:t> </w:t>
      </w:r>
      <w:r>
        <w:rPr/>
        <w:t>de</w:t>
      </w:r>
      <w:r>
        <w:rPr>
          <w:spacing w:val="-36"/>
        </w:rPr>
        <w:t> </w:t>
      </w:r>
      <w:r>
        <w:rPr/>
        <w:t>2019,</w:t>
      </w:r>
      <w:r>
        <w:rPr>
          <w:spacing w:val="-35"/>
        </w:rPr>
        <w:t> </w:t>
      </w:r>
      <w:r>
        <w:rPr/>
        <w:t>a</w:t>
      </w:r>
      <w:r>
        <w:rPr>
          <w:spacing w:val="-36"/>
        </w:rPr>
        <w:t> </w:t>
      </w:r>
      <w:r>
        <w:rPr/>
        <w:t>Companhia</w:t>
      </w:r>
      <w:r>
        <w:rPr>
          <w:spacing w:val="-36"/>
        </w:rPr>
        <w:t> </w:t>
      </w:r>
      <w:r>
        <w:rPr/>
        <w:t>celebrou</w:t>
      </w:r>
      <w:r>
        <w:rPr>
          <w:spacing w:val="-36"/>
        </w:rPr>
        <w:t> </w:t>
      </w:r>
      <w:r>
        <w:rPr/>
        <w:t>3</w:t>
      </w:r>
      <w:r>
        <w:rPr>
          <w:spacing w:val="-35"/>
        </w:rPr>
        <w:t> </w:t>
      </w:r>
      <w:r>
        <w:rPr/>
        <w:t>(três)</w:t>
      </w:r>
      <w:r>
        <w:rPr>
          <w:spacing w:val="-36"/>
        </w:rPr>
        <w:t> </w:t>
      </w:r>
      <w:r>
        <w:rPr/>
        <w:t>contratos</w:t>
      </w:r>
      <w:r>
        <w:rPr>
          <w:spacing w:val="-37"/>
        </w:rPr>
        <w:t> </w:t>
      </w:r>
      <w:r>
        <w:rPr/>
        <w:t>de</w:t>
      </w:r>
      <w:r>
        <w:rPr>
          <w:spacing w:val="-36"/>
        </w:rPr>
        <w:t> </w:t>
      </w:r>
      <w:r>
        <w:rPr/>
        <w:t>parcelamentos</w:t>
      </w:r>
      <w:r>
        <w:rPr>
          <w:spacing w:val="-36"/>
        </w:rPr>
        <w:t> </w:t>
      </w:r>
      <w:r>
        <w:rPr/>
        <w:t>de</w:t>
      </w:r>
      <w:r>
        <w:rPr>
          <w:spacing w:val="-36"/>
        </w:rPr>
        <w:t> </w:t>
      </w:r>
      <w:r>
        <w:rPr/>
        <w:t>débitos</w:t>
      </w:r>
      <w:r>
        <w:rPr>
          <w:spacing w:val="-36"/>
        </w:rPr>
        <w:t> </w:t>
      </w:r>
      <w:r>
        <w:rPr/>
        <w:t>junto</w:t>
      </w:r>
      <w:r>
        <w:rPr>
          <w:spacing w:val="-36"/>
        </w:rPr>
        <w:t> </w:t>
      </w:r>
      <w:r>
        <w:rPr/>
        <w:t>à</w:t>
      </w:r>
      <w:r>
        <w:rPr>
          <w:spacing w:val="-37"/>
        </w:rPr>
        <w:t> </w:t>
      </w:r>
      <w:r>
        <w:rPr/>
        <w:t>Receita</w:t>
      </w:r>
      <w:r>
        <w:rPr>
          <w:spacing w:val="-34"/>
        </w:rPr>
        <w:t> </w:t>
      </w:r>
      <w:r>
        <w:rPr/>
        <w:t>Federal</w:t>
      </w:r>
      <w:r>
        <w:rPr>
          <w:spacing w:val="-35"/>
        </w:rPr>
        <w:t> </w:t>
      </w:r>
      <w:r>
        <w:rPr/>
        <w:t>do Brasil</w:t>
      </w:r>
      <w:r>
        <w:rPr>
          <w:spacing w:val="-7"/>
        </w:rPr>
        <w:t> </w:t>
      </w:r>
      <w:r>
        <w:rPr/>
        <w:t>(RFB),</w:t>
      </w:r>
      <w:r>
        <w:rPr>
          <w:spacing w:val="-7"/>
        </w:rPr>
        <w:t> </w:t>
      </w:r>
      <w:r>
        <w:rPr/>
        <w:t>sob</w:t>
      </w:r>
      <w:r>
        <w:rPr>
          <w:spacing w:val="-6"/>
        </w:rPr>
        <w:t> </w:t>
      </w:r>
      <w:r>
        <w:rPr/>
        <w:t>nº</w:t>
      </w:r>
      <w:r>
        <w:rPr>
          <w:spacing w:val="-5"/>
        </w:rPr>
        <w:t> </w:t>
      </w:r>
      <w:r>
        <w:rPr/>
        <w:t>10166-7318</w:t>
      </w:r>
      <w:r>
        <w:rPr>
          <w:spacing w:val="-6"/>
        </w:rPr>
        <w:t> </w:t>
      </w:r>
      <w:r>
        <w:rPr/>
        <w:t>(PIS/COFINS),</w:t>
      </w:r>
      <w:r>
        <w:rPr>
          <w:spacing w:val="-7"/>
        </w:rPr>
        <w:t> </w:t>
      </w:r>
      <w:r>
        <w:rPr/>
        <w:t>10166-732180</w:t>
      </w:r>
      <w:r>
        <w:rPr>
          <w:spacing w:val="-6"/>
        </w:rPr>
        <w:t> </w:t>
      </w:r>
      <w:r>
        <w:rPr/>
        <w:t>(PIS/COFINS)</w:t>
      </w:r>
      <w:r>
        <w:rPr>
          <w:spacing w:val="-4"/>
        </w:rPr>
        <w:t> </w:t>
      </w:r>
      <w:r>
        <w:rPr/>
        <w:t>e</w:t>
      </w:r>
      <w:r>
        <w:rPr>
          <w:spacing w:val="-9"/>
        </w:rPr>
        <w:t> </w:t>
      </w:r>
      <w:r>
        <w:rPr/>
        <w:t>14033.720278</w:t>
      </w:r>
      <w:r>
        <w:rPr>
          <w:spacing w:val="-4"/>
        </w:rPr>
        <w:t> </w:t>
      </w:r>
      <w:r>
        <w:rPr/>
        <w:t>(PIS),</w:t>
      </w:r>
      <w:r>
        <w:rPr>
          <w:spacing w:val="-4"/>
        </w:rPr>
        <w:t> </w:t>
      </w:r>
      <w:r>
        <w:rPr/>
        <w:t>cujo</w:t>
      </w:r>
      <w:r>
        <w:rPr>
          <w:spacing w:val="-5"/>
        </w:rPr>
        <w:t> </w:t>
      </w:r>
      <w:r>
        <w:rPr/>
        <w:t>montante</w:t>
      </w:r>
    </w:p>
    <w:p>
      <w:pPr>
        <w:pStyle w:val="BodyText"/>
        <w:spacing w:line="242" w:lineRule="auto" w:before="4"/>
        <w:ind w:left="172" w:right="405"/>
        <w:jc w:val="both"/>
      </w:pPr>
      <w:r>
        <w:rPr/>
        <w:t>total</w:t>
      </w:r>
      <w:r>
        <w:rPr>
          <w:spacing w:val="-34"/>
        </w:rPr>
        <w:t> </w:t>
      </w:r>
      <w:r>
        <w:rPr/>
        <w:t>foi</w:t>
      </w:r>
      <w:r>
        <w:rPr>
          <w:spacing w:val="-32"/>
        </w:rPr>
        <w:t> </w:t>
      </w:r>
      <w:r>
        <w:rPr/>
        <w:t>de</w:t>
      </w:r>
      <w:r>
        <w:rPr>
          <w:spacing w:val="-33"/>
        </w:rPr>
        <w:t> </w:t>
      </w:r>
      <w:r>
        <w:rPr/>
        <w:t>R$</w:t>
      </w:r>
      <w:r>
        <w:rPr>
          <w:spacing w:val="-31"/>
        </w:rPr>
        <w:t> </w:t>
      </w:r>
      <w:r>
        <w:rPr/>
        <w:t>59.058,</w:t>
      </w:r>
      <w:r>
        <w:rPr>
          <w:spacing w:val="-32"/>
        </w:rPr>
        <w:t> </w:t>
      </w:r>
      <w:r>
        <w:rPr/>
        <w:t>divididos</w:t>
      </w:r>
      <w:r>
        <w:rPr>
          <w:spacing w:val="-32"/>
        </w:rPr>
        <w:t> </w:t>
      </w:r>
      <w:r>
        <w:rPr/>
        <w:t>em</w:t>
      </w:r>
      <w:r>
        <w:rPr>
          <w:spacing w:val="-32"/>
        </w:rPr>
        <w:t> </w:t>
      </w:r>
      <w:r>
        <w:rPr/>
        <w:t>60</w:t>
      </w:r>
      <w:r>
        <w:rPr>
          <w:spacing w:val="-31"/>
        </w:rPr>
        <w:t> </w:t>
      </w:r>
      <w:r>
        <w:rPr/>
        <w:t>parcelas</w:t>
      </w:r>
      <w:r>
        <w:rPr>
          <w:spacing w:val="-33"/>
        </w:rPr>
        <w:t> </w:t>
      </w:r>
      <w:r>
        <w:rPr/>
        <w:t>mensais</w:t>
      </w:r>
      <w:r>
        <w:rPr>
          <w:spacing w:val="-30"/>
        </w:rPr>
        <w:t> </w:t>
      </w:r>
      <w:r>
        <w:rPr/>
        <w:t>de</w:t>
      </w:r>
      <w:r>
        <w:rPr>
          <w:spacing w:val="-33"/>
        </w:rPr>
        <w:t> </w:t>
      </w:r>
      <w:r>
        <w:rPr/>
        <w:t>R$</w:t>
      </w:r>
      <w:r>
        <w:rPr>
          <w:spacing w:val="-31"/>
        </w:rPr>
        <w:t> </w:t>
      </w:r>
      <w:r>
        <w:rPr/>
        <w:t>984,</w:t>
      </w:r>
      <w:r>
        <w:rPr>
          <w:spacing w:val="-32"/>
        </w:rPr>
        <w:t> </w:t>
      </w:r>
      <w:r>
        <w:rPr/>
        <w:t>acrescidas</w:t>
      </w:r>
      <w:r>
        <w:rPr>
          <w:spacing w:val="-32"/>
        </w:rPr>
        <w:t> </w:t>
      </w:r>
      <w:r>
        <w:rPr/>
        <w:t>de</w:t>
      </w:r>
      <w:r>
        <w:rPr>
          <w:spacing w:val="-32"/>
        </w:rPr>
        <w:t> </w:t>
      </w:r>
      <w:r>
        <w:rPr/>
        <w:t>juros</w:t>
      </w:r>
      <w:r>
        <w:rPr>
          <w:spacing w:val="-33"/>
        </w:rPr>
        <w:t> </w:t>
      </w:r>
      <w:r>
        <w:rPr/>
        <w:t>de</w:t>
      </w:r>
      <w:r>
        <w:rPr>
          <w:spacing w:val="-32"/>
        </w:rPr>
        <w:t> </w:t>
      </w:r>
      <w:r>
        <w:rPr/>
        <w:t>1%</w:t>
      </w:r>
      <w:r>
        <w:rPr>
          <w:spacing w:val="-32"/>
        </w:rPr>
        <w:t> </w:t>
      </w:r>
      <w:r>
        <w:rPr/>
        <w:t>e</w:t>
      </w:r>
      <w:r>
        <w:rPr>
          <w:spacing w:val="-33"/>
        </w:rPr>
        <w:t> </w:t>
      </w:r>
      <w:r>
        <w:rPr/>
        <w:t>100%</w:t>
      </w:r>
      <w:r>
        <w:rPr>
          <w:spacing w:val="-31"/>
        </w:rPr>
        <w:t> </w:t>
      </w:r>
      <w:r>
        <w:rPr/>
        <w:t>da</w:t>
      </w:r>
      <w:r>
        <w:rPr>
          <w:spacing w:val="-31"/>
        </w:rPr>
        <w:t> </w:t>
      </w:r>
      <w:r>
        <w:rPr/>
        <w:t>Selic</w:t>
      </w:r>
      <w:r>
        <w:rPr>
          <w:spacing w:val="-32"/>
        </w:rPr>
        <w:t> </w:t>
      </w:r>
      <w:r>
        <w:rPr/>
        <w:t>mensal. O</w:t>
      </w:r>
      <w:r>
        <w:rPr>
          <w:spacing w:val="-47"/>
        </w:rPr>
        <w:t> </w:t>
      </w:r>
      <w:r>
        <w:rPr/>
        <w:t>montante</w:t>
      </w:r>
      <w:r>
        <w:rPr>
          <w:spacing w:val="-46"/>
        </w:rPr>
        <w:t> </w:t>
      </w:r>
      <w:r>
        <w:rPr/>
        <w:t>parcelado,</w:t>
      </w:r>
      <w:r>
        <w:rPr>
          <w:spacing w:val="-46"/>
        </w:rPr>
        <w:t> </w:t>
      </w:r>
      <w:r>
        <w:rPr/>
        <w:t>refere-se</w:t>
      </w:r>
      <w:r>
        <w:rPr>
          <w:spacing w:val="-47"/>
        </w:rPr>
        <w:t> </w:t>
      </w:r>
      <w:r>
        <w:rPr/>
        <w:t>à</w:t>
      </w:r>
      <w:r>
        <w:rPr>
          <w:spacing w:val="-47"/>
        </w:rPr>
        <w:t> </w:t>
      </w:r>
      <w:r>
        <w:rPr/>
        <w:t>reavaliação</w:t>
      </w:r>
      <w:r>
        <w:rPr>
          <w:spacing w:val="-47"/>
        </w:rPr>
        <w:t> </w:t>
      </w:r>
      <w:r>
        <w:rPr/>
        <w:t>dos</w:t>
      </w:r>
      <w:r>
        <w:rPr>
          <w:spacing w:val="-46"/>
        </w:rPr>
        <w:t> </w:t>
      </w:r>
      <w:r>
        <w:rPr/>
        <w:t>créditos</w:t>
      </w:r>
      <w:r>
        <w:rPr>
          <w:spacing w:val="-47"/>
        </w:rPr>
        <w:t> </w:t>
      </w:r>
      <w:r>
        <w:rPr/>
        <w:t>apurados</w:t>
      </w:r>
      <w:r>
        <w:rPr>
          <w:spacing w:val="-46"/>
        </w:rPr>
        <w:t> </w:t>
      </w:r>
      <w:r>
        <w:rPr/>
        <w:t>pela</w:t>
      </w:r>
      <w:r>
        <w:rPr>
          <w:spacing w:val="-46"/>
        </w:rPr>
        <w:t> </w:t>
      </w:r>
      <w:r>
        <w:rPr/>
        <w:t>CEB</w:t>
      </w:r>
      <w:r>
        <w:rPr>
          <w:spacing w:val="-46"/>
        </w:rPr>
        <w:t> </w:t>
      </w:r>
      <w:r>
        <w:rPr/>
        <w:t>Distribuição</w:t>
      </w:r>
      <w:r>
        <w:rPr>
          <w:spacing w:val="-47"/>
        </w:rPr>
        <w:t> </w:t>
      </w:r>
      <w:r>
        <w:rPr/>
        <w:t>S/A</w:t>
      </w:r>
      <w:r>
        <w:rPr>
          <w:spacing w:val="-46"/>
        </w:rPr>
        <w:t> </w:t>
      </w:r>
      <w:r>
        <w:rPr/>
        <w:t>dos</w:t>
      </w:r>
      <w:r>
        <w:rPr>
          <w:spacing w:val="-47"/>
        </w:rPr>
        <w:t> </w:t>
      </w:r>
      <w:r>
        <w:rPr/>
        <w:t>valores</w:t>
      </w:r>
      <w:r>
        <w:rPr>
          <w:spacing w:val="-46"/>
        </w:rPr>
        <w:t> </w:t>
      </w:r>
      <w:r>
        <w:rPr/>
        <w:t>recolhidos </w:t>
      </w:r>
      <w:r>
        <w:rPr>
          <w:w w:val="105"/>
        </w:rPr>
        <w:t>a</w:t>
      </w:r>
      <w:r>
        <w:rPr>
          <w:spacing w:val="-36"/>
          <w:w w:val="105"/>
        </w:rPr>
        <w:t> </w:t>
      </w:r>
      <w:r>
        <w:rPr>
          <w:w w:val="105"/>
        </w:rPr>
        <w:t>maior</w:t>
      </w:r>
      <w:r>
        <w:rPr>
          <w:spacing w:val="-36"/>
          <w:w w:val="105"/>
        </w:rPr>
        <w:t> </w:t>
      </w:r>
      <w:r>
        <w:rPr>
          <w:w w:val="105"/>
        </w:rPr>
        <w:t>a</w:t>
      </w:r>
      <w:r>
        <w:rPr>
          <w:spacing w:val="-35"/>
          <w:w w:val="105"/>
        </w:rPr>
        <w:t> </w:t>
      </w:r>
      <w:r>
        <w:rPr>
          <w:w w:val="105"/>
        </w:rPr>
        <w:t>título</w:t>
      </w:r>
      <w:r>
        <w:rPr>
          <w:spacing w:val="-35"/>
          <w:w w:val="105"/>
        </w:rPr>
        <w:t> </w:t>
      </w:r>
      <w:r>
        <w:rPr>
          <w:w w:val="105"/>
        </w:rPr>
        <w:t>de</w:t>
      </w:r>
      <w:r>
        <w:rPr>
          <w:spacing w:val="-35"/>
          <w:w w:val="105"/>
        </w:rPr>
        <w:t> </w:t>
      </w:r>
      <w:r>
        <w:rPr>
          <w:w w:val="105"/>
        </w:rPr>
        <w:t>PIS/PASEP</w:t>
      </w:r>
      <w:r>
        <w:rPr>
          <w:spacing w:val="-36"/>
          <w:w w:val="105"/>
        </w:rPr>
        <w:t> </w:t>
      </w:r>
      <w:r>
        <w:rPr>
          <w:w w:val="105"/>
        </w:rPr>
        <w:t>no</w:t>
      </w:r>
      <w:r>
        <w:rPr>
          <w:spacing w:val="-35"/>
          <w:w w:val="105"/>
        </w:rPr>
        <w:t> </w:t>
      </w:r>
      <w:r>
        <w:rPr>
          <w:w w:val="105"/>
        </w:rPr>
        <w:t>período</w:t>
      </w:r>
      <w:r>
        <w:rPr>
          <w:spacing w:val="-35"/>
          <w:w w:val="105"/>
        </w:rPr>
        <w:t> </w:t>
      </w:r>
      <w:r>
        <w:rPr>
          <w:w w:val="105"/>
        </w:rPr>
        <w:t>de</w:t>
      </w:r>
      <w:r>
        <w:rPr>
          <w:spacing w:val="-37"/>
          <w:w w:val="105"/>
        </w:rPr>
        <w:t> </w:t>
      </w:r>
      <w:r>
        <w:rPr>
          <w:w w:val="105"/>
        </w:rPr>
        <w:t>outubro</w:t>
      </w:r>
      <w:r>
        <w:rPr>
          <w:spacing w:val="-35"/>
          <w:w w:val="105"/>
        </w:rPr>
        <w:t> </w:t>
      </w:r>
      <w:r>
        <w:rPr>
          <w:w w:val="105"/>
        </w:rPr>
        <w:t>de</w:t>
      </w:r>
      <w:r>
        <w:rPr>
          <w:spacing w:val="-37"/>
          <w:w w:val="105"/>
        </w:rPr>
        <w:t> </w:t>
      </w:r>
      <w:r>
        <w:rPr>
          <w:w w:val="105"/>
        </w:rPr>
        <w:t>1991</w:t>
      </w:r>
      <w:r>
        <w:rPr>
          <w:spacing w:val="-34"/>
          <w:w w:val="105"/>
        </w:rPr>
        <w:t> </w:t>
      </w:r>
      <w:r>
        <w:rPr>
          <w:w w:val="105"/>
        </w:rPr>
        <w:t>a</w:t>
      </w:r>
      <w:r>
        <w:rPr>
          <w:spacing w:val="-35"/>
          <w:w w:val="105"/>
        </w:rPr>
        <w:t> </w:t>
      </w:r>
      <w:r>
        <w:rPr>
          <w:w w:val="105"/>
        </w:rPr>
        <w:t>março</w:t>
      </w:r>
      <w:r>
        <w:rPr>
          <w:spacing w:val="-36"/>
          <w:w w:val="105"/>
        </w:rPr>
        <w:t> </w:t>
      </w:r>
      <w:r>
        <w:rPr>
          <w:w w:val="105"/>
        </w:rPr>
        <w:t>de</w:t>
      </w:r>
      <w:r>
        <w:rPr>
          <w:spacing w:val="-36"/>
          <w:w w:val="105"/>
        </w:rPr>
        <w:t> </w:t>
      </w:r>
      <w:r>
        <w:rPr>
          <w:w w:val="105"/>
        </w:rPr>
        <w:t>1996,</w:t>
      </w:r>
      <w:r>
        <w:rPr>
          <w:spacing w:val="-35"/>
          <w:w w:val="105"/>
        </w:rPr>
        <w:t> </w:t>
      </w:r>
      <w:r>
        <w:rPr>
          <w:w w:val="105"/>
        </w:rPr>
        <w:t>que</w:t>
      </w:r>
      <w:r>
        <w:rPr>
          <w:spacing w:val="-36"/>
          <w:w w:val="105"/>
        </w:rPr>
        <w:t> </w:t>
      </w:r>
      <w:r>
        <w:rPr>
          <w:w w:val="105"/>
        </w:rPr>
        <w:t>foi</w:t>
      </w:r>
      <w:r>
        <w:rPr>
          <w:spacing w:val="-35"/>
          <w:w w:val="105"/>
        </w:rPr>
        <w:t> </w:t>
      </w:r>
      <w:r>
        <w:rPr>
          <w:w w:val="105"/>
        </w:rPr>
        <w:t>apurado</w:t>
      </w:r>
      <w:r>
        <w:rPr>
          <w:spacing w:val="-35"/>
          <w:w w:val="105"/>
        </w:rPr>
        <w:t> </w:t>
      </w:r>
      <w:r>
        <w:rPr>
          <w:w w:val="105"/>
        </w:rPr>
        <w:t>em</w:t>
      </w:r>
      <w:r>
        <w:rPr>
          <w:spacing w:val="-36"/>
          <w:w w:val="105"/>
        </w:rPr>
        <w:t> </w:t>
      </w:r>
      <w:r>
        <w:rPr>
          <w:w w:val="105"/>
        </w:rPr>
        <w:t>desacordo</w:t>
      </w:r>
      <w:r>
        <w:rPr>
          <w:spacing w:val="-35"/>
          <w:w w:val="105"/>
        </w:rPr>
        <w:t> </w:t>
      </w:r>
      <w:r>
        <w:rPr>
          <w:w w:val="105"/>
        </w:rPr>
        <w:t>da </w:t>
      </w:r>
      <w:r>
        <w:rPr/>
        <w:t>decisão</w:t>
      </w:r>
      <w:r>
        <w:rPr>
          <w:spacing w:val="-23"/>
        </w:rPr>
        <w:t> </w:t>
      </w:r>
      <w:r>
        <w:rPr/>
        <w:t>judicial</w:t>
      </w:r>
      <w:r>
        <w:rPr>
          <w:spacing w:val="-23"/>
        </w:rPr>
        <w:t> </w:t>
      </w:r>
      <w:r>
        <w:rPr/>
        <w:t>transitada</w:t>
      </w:r>
      <w:r>
        <w:rPr>
          <w:spacing w:val="-23"/>
        </w:rPr>
        <w:t> </w:t>
      </w:r>
      <w:r>
        <w:rPr/>
        <w:t>em</w:t>
      </w:r>
      <w:r>
        <w:rPr>
          <w:spacing w:val="-23"/>
        </w:rPr>
        <w:t> </w:t>
      </w:r>
      <w:r>
        <w:rPr/>
        <w:t>julgado</w:t>
      </w:r>
      <w:r>
        <w:rPr>
          <w:spacing w:val="-23"/>
        </w:rPr>
        <w:t> </w:t>
      </w:r>
      <w:r>
        <w:rPr/>
        <w:t>e</w:t>
      </w:r>
      <w:r>
        <w:rPr>
          <w:spacing w:val="-23"/>
        </w:rPr>
        <w:t> </w:t>
      </w:r>
      <w:r>
        <w:rPr/>
        <w:t>compensados,</w:t>
      </w:r>
      <w:r>
        <w:rPr>
          <w:spacing w:val="-22"/>
        </w:rPr>
        <w:t> </w:t>
      </w:r>
      <w:r>
        <w:rPr/>
        <w:t>equivocadamente,</w:t>
      </w:r>
      <w:r>
        <w:rPr>
          <w:spacing w:val="-22"/>
        </w:rPr>
        <w:t> </w:t>
      </w:r>
      <w:r>
        <w:rPr/>
        <w:t>com</w:t>
      </w:r>
      <w:r>
        <w:rPr>
          <w:spacing w:val="-23"/>
        </w:rPr>
        <w:t> </w:t>
      </w:r>
      <w:r>
        <w:rPr/>
        <w:t>tributos</w:t>
      </w:r>
      <w:r>
        <w:rPr>
          <w:spacing w:val="-23"/>
        </w:rPr>
        <w:t> </w:t>
      </w:r>
      <w:r>
        <w:rPr/>
        <w:t>federais</w:t>
      </w:r>
      <w:r>
        <w:rPr>
          <w:spacing w:val="-23"/>
        </w:rPr>
        <w:t> </w:t>
      </w:r>
      <w:r>
        <w:rPr/>
        <w:t>durante</w:t>
      </w:r>
      <w:r>
        <w:rPr>
          <w:spacing w:val="-23"/>
        </w:rPr>
        <w:t> </w:t>
      </w:r>
      <w:r>
        <w:rPr/>
        <w:t>o</w:t>
      </w:r>
      <w:r>
        <w:rPr>
          <w:spacing w:val="-23"/>
        </w:rPr>
        <w:t> </w:t>
      </w:r>
      <w:r>
        <w:rPr/>
        <w:t>ano</w:t>
      </w:r>
      <w:r>
        <w:rPr>
          <w:spacing w:val="-22"/>
        </w:rPr>
        <w:t> </w:t>
      </w:r>
      <w:r>
        <w:rPr/>
        <w:t>de </w:t>
      </w:r>
      <w:r>
        <w:rPr>
          <w:w w:val="105"/>
        </w:rPr>
        <w:t>2017.</w:t>
      </w:r>
    </w:p>
    <w:p>
      <w:pPr>
        <w:pStyle w:val="BodyText"/>
        <w:spacing w:before="121"/>
        <w:ind w:left="172"/>
        <w:jc w:val="both"/>
      </w:pPr>
      <w:r>
        <w:rPr/>
        <w:t>Em 31 de dezembro de 2019 o saldo devedor destes parcelamentos é de R$ 54.137.</w:t>
      </w:r>
    </w:p>
    <w:p>
      <w:pPr>
        <w:pStyle w:val="BodyText"/>
        <w:spacing w:before="3"/>
      </w:pPr>
    </w:p>
    <w:p>
      <w:pPr>
        <w:pStyle w:val="ListParagraph"/>
        <w:numPr>
          <w:ilvl w:val="0"/>
          <w:numId w:val="26"/>
        </w:numPr>
        <w:tabs>
          <w:tab w:pos="497" w:val="left" w:leader="none"/>
        </w:tabs>
        <w:spacing w:line="240" w:lineRule="auto" w:before="1" w:after="0"/>
        <w:ind w:left="496" w:right="0" w:hanging="325"/>
        <w:jc w:val="left"/>
        <w:rPr>
          <w:rFonts w:ascii="Caladea" w:hAnsi="Caladea"/>
          <w:b/>
          <w:sz w:val="20"/>
        </w:rPr>
      </w:pPr>
      <w:r>
        <w:rPr>
          <w:rFonts w:ascii="Caladea" w:hAnsi="Caladea"/>
          <w:b/>
          <w:sz w:val="20"/>
        </w:rPr>
        <w:t>Postergação</w:t>
      </w:r>
      <w:r>
        <w:rPr>
          <w:rFonts w:ascii="Caladea" w:hAnsi="Caladea"/>
          <w:b/>
          <w:spacing w:val="-3"/>
          <w:sz w:val="20"/>
        </w:rPr>
        <w:t> </w:t>
      </w:r>
      <w:r>
        <w:rPr>
          <w:rFonts w:ascii="Caladea" w:hAnsi="Caladea"/>
          <w:b/>
          <w:sz w:val="20"/>
        </w:rPr>
        <w:t>ICMS</w:t>
      </w:r>
    </w:p>
    <w:p>
      <w:pPr>
        <w:pStyle w:val="BodyText"/>
        <w:spacing w:line="244" w:lineRule="auto" w:before="159"/>
        <w:ind w:left="172" w:right="419"/>
        <w:jc w:val="both"/>
      </w:pPr>
      <w:r>
        <w:rPr/>
        <w:t>Em</w:t>
      </w:r>
      <w:r>
        <w:rPr>
          <w:spacing w:val="-25"/>
        </w:rPr>
        <w:t> </w:t>
      </w:r>
      <w:r>
        <w:rPr/>
        <w:t>2019,</w:t>
      </w:r>
      <w:r>
        <w:rPr>
          <w:spacing w:val="-23"/>
        </w:rPr>
        <w:t> </w:t>
      </w:r>
      <w:r>
        <w:rPr/>
        <w:t>o</w:t>
      </w:r>
      <w:r>
        <w:rPr>
          <w:spacing w:val="-24"/>
        </w:rPr>
        <w:t> </w:t>
      </w:r>
      <w:r>
        <w:rPr/>
        <w:t>Governo</w:t>
      </w:r>
      <w:r>
        <w:rPr>
          <w:spacing w:val="-23"/>
        </w:rPr>
        <w:t> </w:t>
      </w:r>
      <w:r>
        <w:rPr/>
        <w:t>do</w:t>
      </w:r>
      <w:r>
        <w:rPr>
          <w:spacing w:val="-23"/>
        </w:rPr>
        <w:t> </w:t>
      </w:r>
      <w:r>
        <w:rPr/>
        <w:t>Distrito</w:t>
      </w:r>
      <w:r>
        <w:rPr>
          <w:spacing w:val="-23"/>
        </w:rPr>
        <w:t> </w:t>
      </w:r>
      <w:r>
        <w:rPr/>
        <w:t>Federal</w:t>
      </w:r>
      <w:r>
        <w:rPr>
          <w:spacing w:val="-22"/>
        </w:rPr>
        <w:t> </w:t>
      </w:r>
      <w:r>
        <w:rPr/>
        <w:t>publicou</w:t>
      </w:r>
      <w:r>
        <w:rPr>
          <w:spacing w:val="-23"/>
        </w:rPr>
        <w:t> </w:t>
      </w:r>
      <w:r>
        <w:rPr/>
        <w:t>Decretos,</w:t>
      </w:r>
      <w:r>
        <w:rPr>
          <w:spacing w:val="-23"/>
        </w:rPr>
        <w:t> </w:t>
      </w:r>
      <w:r>
        <w:rPr/>
        <w:t>mensalmente,</w:t>
      </w:r>
      <w:r>
        <w:rPr>
          <w:spacing w:val="-23"/>
        </w:rPr>
        <w:t> </w:t>
      </w:r>
      <w:r>
        <w:rPr/>
        <w:t>de</w:t>
      </w:r>
      <w:r>
        <w:rPr>
          <w:spacing w:val="-24"/>
        </w:rPr>
        <w:t> </w:t>
      </w:r>
      <w:r>
        <w:rPr/>
        <w:t>forma</w:t>
      </w:r>
      <w:r>
        <w:rPr>
          <w:spacing w:val="-21"/>
        </w:rPr>
        <w:t> </w:t>
      </w:r>
      <w:r>
        <w:rPr/>
        <w:t>a</w:t>
      </w:r>
      <w:r>
        <w:rPr>
          <w:spacing w:val="-23"/>
        </w:rPr>
        <w:t> </w:t>
      </w:r>
      <w:r>
        <w:rPr/>
        <w:t>prorrogar</w:t>
      </w:r>
      <w:r>
        <w:rPr>
          <w:spacing w:val="-24"/>
        </w:rPr>
        <w:t> </w:t>
      </w:r>
      <w:r>
        <w:rPr/>
        <w:t>a</w:t>
      </w:r>
      <w:r>
        <w:rPr>
          <w:spacing w:val="-23"/>
        </w:rPr>
        <w:t> </w:t>
      </w:r>
      <w:r>
        <w:rPr/>
        <w:t>parcela</w:t>
      </w:r>
      <w:r>
        <w:rPr>
          <w:spacing w:val="-24"/>
        </w:rPr>
        <w:t> </w:t>
      </w:r>
      <w:r>
        <w:rPr/>
        <w:t>dos</w:t>
      </w:r>
      <w:r>
        <w:rPr>
          <w:spacing w:val="-23"/>
        </w:rPr>
        <w:t> </w:t>
      </w:r>
      <w:r>
        <w:rPr/>
        <w:t>ICMS apurado</w:t>
      </w:r>
      <w:r>
        <w:rPr>
          <w:spacing w:val="-20"/>
        </w:rPr>
        <w:t> </w:t>
      </w:r>
      <w:r>
        <w:rPr/>
        <w:t>mensalmente</w:t>
      </w:r>
      <w:r>
        <w:rPr>
          <w:spacing w:val="-20"/>
        </w:rPr>
        <w:t> </w:t>
      </w:r>
      <w:r>
        <w:rPr/>
        <w:t>conforme</w:t>
      </w:r>
      <w:r>
        <w:rPr>
          <w:spacing w:val="-18"/>
        </w:rPr>
        <w:t> </w:t>
      </w:r>
      <w:r>
        <w:rPr/>
        <w:t>demonstrado</w:t>
      </w:r>
      <w:r>
        <w:rPr>
          <w:spacing w:val="-18"/>
        </w:rPr>
        <w:t> </w:t>
      </w:r>
      <w:r>
        <w:rPr/>
        <w:t>a</w:t>
      </w:r>
      <w:r>
        <w:rPr>
          <w:spacing w:val="-18"/>
        </w:rPr>
        <w:t> </w:t>
      </w:r>
      <w:r>
        <w:rPr/>
        <w:t>seguir:</w:t>
      </w:r>
    </w:p>
    <w:p>
      <w:pPr>
        <w:pStyle w:val="BodyText"/>
        <w:spacing w:before="8"/>
        <w:rPr>
          <w:sz w:val="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83"/>
        <w:gridCol w:w="1983"/>
        <w:gridCol w:w="1983"/>
        <w:gridCol w:w="1983"/>
        <w:gridCol w:w="1985"/>
      </w:tblGrid>
      <w:tr>
        <w:trPr>
          <w:trHeight w:val="227" w:hRule="atLeast"/>
        </w:trPr>
        <w:tc>
          <w:tcPr>
            <w:tcW w:w="1983" w:type="dxa"/>
            <w:shd w:val="clear" w:color="auto" w:fill="D9D9D9"/>
          </w:tcPr>
          <w:p>
            <w:pPr>
              <w:pStyle w:val="TableParagraph"/>
              <w:rPr>
                <w:rFonts w:ascii="Times New Roman"/>
                <w:sz w:val="16"/>
              </w:rPr>
            </w:pPr>
          </w:p>
        </w:tc>
        <w:tc>
          <w:tcPr>
            <w:tcW w:w="1983" w:type="dxa"/>
            <w:shd w:val="clear" w:color="auto" w:fill="D9D9D9"/>
          </w:tcPr>
          <w:p>
            <w:pPr>
              <w:pStyle w:val="TableParagraph"/>
              <w:spacing w:line="187" w:lineRule="exact" w:before="20"/>
              <w:ind w:left="472"/>
              <w:rPr>
                <w:rFonts w:ascii="Caladea"/>
                <w:b/>
                <w:sz w:val="16"/>
              </w:rPr>
            </w:pPr>
            <w:r>
              <w:rPr>
                <w:rFonts w:ascii="Caladea"/>
                <w:b/>
                <w:sz w:val="16"/>
              </w:rPr>
              <w:t>ICMS Apurado</w:t>
            </w:r>
          </w:p>
        </w:tc>
        <w:tc>
          <w:tcPr>
            <w:tcW w:w="1983" w:type="dxa"/>
            <w:shd w:val="clear" w:color="auto" w:fill="D9D9D9"/>
          </w:tcPr>
          <w:p>
            <w:pPr>
              <w:pStyle w:val="TableParagraph"/>
              <w:spacing w:line="187" w:lineRule="exact" w:before="20"/>
              <w:ind w:left="611"/>
              <w:rPr>
                <w:rFonts w:ascii="Caladea"/>
                <w:b/>
                <w:sz w:val="16"/>
              </w:rPr>
            </w:pPr>
            <w:r>
              <w:rPr>
                <w:rFonts w:ascii="Caladea"/>
                <w:b/>
                <w:sz w:val="16"/>
              </w:rPr>
              <w:t>ICMS Pago</w:t>
            </w:r>
          </w:p>
        </w:tc>
        <w:tc>
          <w:tcPr>
            <w:tcW w:w="1983" w:type="dxa"/>
            <w:shd w:val="clear" w:color="auto" w:fill="D9D9D9"/>
          </w:tcPr>
          <w:p>
            <w:pPr>
              <w:pStyle w:val="TableParagraph"/>
              <w:spacing w:line="187" w:lineRule="exact" w:before="20"/>
              <w:ind w:left="486"/>
              <w:rPr>
                <w:rFonts w:ascii="Caladea"/>
                <w:b/>
                <w:sz w:val="16"/>
              </w:rPr>
            </w:pPr>
            <w:r>
              <w:rPr>
                <w:rFonts w:ascii="Caladea"/>
                <w:b/>
                <w:sz w:val="16"/>
              </w:rPr>
              <w:t>ICMS Diferido</w:t>
            </w:r>
          </w:p>
        </w:tc>
        <w:tc>
          <w:tcPr>
            <w:tcW w:w="1985" w:type="dxa"/>
            <w:shd w:val="clear" w:color="auto" w:fill="D9D9D9"/>
          </w:tcPr>
          <w:p>
            <w:pPr>
              <w:pStyle w:val="TableParagraph"/>
              <w:spacing w:line="187" w:lineRule="exact" w:before="20"/>
              <w:ind w:left="334" w:right="324"/>
              <w:jc w:val="center"/>
              <w:rPr>
                <w:rFonts w:ascii="Caladea"/>
                <w:b/>
                <w:sz w:val="16"/>
              </w:rPr>
            </w:pPr>
            <w:r>
              <w:rPr>
                <w:rFonts w:ascii="Caladea"/>
                <w:b/>
                <w:sz w:val="16"/>
              </w:rPr>
              <w:t>Novo vencimento</w:t>
            </w:r>
          </w:p>
        </w:tc>
      </w:tr>
      <w:tr>
        <w:trPr>
          <w:trHeight w:val="227" w:hRule="atLeast"/>
        </w:trPr>
        <w:tc>
          <w:tcPr>
            <w:tcW w:w="1983" w:type="dxa"/>
          </w:tcPr>
          <w:p>
            <w:pPr>
              <w:pStyle w:val="TableParagraph"/>
              <w:spacing w:before="30"/>
              <w:ind w:right="659"/>
              <w:jc w:val="right"/>
              <w:rPr>
                <w:rFonts w:ascii="Caladea"/>
                <w:b/>
                <w:sz w:val="14"/>
              </w:rPr>
            </w:pPr>
            <w:r>
              <w:rPr>
                <w:rFonts w:ascii="Caladea"/>
                <w:b/>
                <w:sz w:val="14"/>
              </w:rPr>
              <w:t>mar/19</w:t>
            </w:r>
          </w:p>
        </w:tc>
        <w:tc>
          <w:tcPr>
            <w:tcW w:w="1983" w:type="dxa"/>
          </w:tcPr>
          <w:p>
            <w:pPr>
              <w:pStyle w:val="TableParagraph"/>
              <w:spacing w:before="31"/>
              <w:ind w:right="55"/>
              <w:jc w:val="right"/>
              <w:rPr>
                <w:sz w:val="14"/>
              </w:rPr>
            </w:pPr>
            <w:r>
              <w:rPr>
                <w:w w:val="95"/>
                <w:sz w:val="14"/>
              </w:rPr>
              <w:t>60.840</w:t>
            </w:r>
          </w:p>
        </w:tc>
        <w:tc>
          <w:tcPr>
            <w:tcW w:w="1983" w:type="dxa"/>
          </w:tcPr>
          <w:p>
            <w:pPr>
              <w:pStyle w:val="TableParagraph"/>
              <w:spacing w:before="31"/>
              <w:ind w:right="57"/>
              <w:jc w:val="right"/>
              <w:rPr>
                <w:sz w:val="14"/>
              </w:rPr>
            </w:pPr>
            <w:r>
              <w:rPr>
                <w:w w:val="95"/>
                <w:sz w:val="14"/>
              </w:rPr>
              <w:t>22.840</w:t>
            </w:r>
          </w:p>
        </w:tc>
        <w:tc>
          <w:tcPr>
            <w:tcW w:w="1983" w:type="dxa"/>
          </w:tcPr>
          <w:p>
            <w:pPr>
              <w:pStyle w:val="TableParagraph"/>
              <w:spacing w:before="31"/>
              <w:ind w:right="55"/>
              <w:jc w:val="right"/>
              <w:rPr>
                <w:sz w:val="14"/>
              </w:rPr>
            </w:pPr>
            <w:r>
              <w:rPr>
                <w:w w:val="95"/>
                <w:sz w:val="14"/>
              </w:rPr>
              <w:t>38.000</w:t>
            </w:r>
          </w:p>
        </w:tc>
        <w:tc>
          <w:tcPr>
            <w:tcW w:w="1985" w:type="dxa"/>
          </w:tcPr>
          <w:p>
            <w:pPr>
              <w:pStyle w:val="TableParagraph"/>
              <w:spacing w:before="31"/>
              <w:ind w:left="332" w:right="324"/>
              <w:jc w:val="center"/>
              <w:rPr>
                <w:sz w:val="14"/>
              </w:rPr>
            </w:pPr>
            <w:r>
              <w:rPr>
                <w:w w:val="105"/>
                <w:sz w:val="14"/>
              </w:rPr>
              <w:t>09/01/2020</w:t>
            </w:r>
          </w:p>
        </w:tc>
      </w:tr>
      <w:tr>
        <w:trPr>
          <w:trHeight w:val="225" w:hRule="atLeast"/>
        </w:trPr>
        <w:tc>
          <w:tcPr>
            <w:tcW w:w="1983" w:type="dxa"/>
          </w:tcPr>
          <w:p>
            <w:pPr>
              <w:pStyle w:val="TableParagraph"/>
              <w:spacing w:before="30"/>
              <w:ind w:right="681"/>
              <w:jc w:val="right"/>
              <w:rPr>
                <w:rFonts w:ascii="Caladea"/>
                <w:b/>
                <w:sz w:val="14"/>
              </w:rPr>
            </w:pPr>
            <w:r>
              <w:rPr>
                <w:rFonts w:ascii="Caladea"/>
                <w:b/>
                <w:sz w:val="14"/>
              </w:rPr>
              <w:t>abr/19</w:t>
            </w:r>
          </w:p>
        </w:tc>
        <w:tc>
          <w:tcPr>
            <w:tcW w:w="1983" w:type="dxa"/>
          </w:tcPr>
          <w:p>
            <w:pPr>
              <w:pStyle w:val="TableParagraph"/>
              <w:spacing w:before="31"/>
              <w:ind w:right="55"/>
              <w:jc w:val="right"/>
              <w:rPr>
                <w:sz w:val="14"/>
              </w:rPr>
            </w:pPr>
            <w:r>
              <w:rPr>
                <w:w w:val="95"/>
                <w:sz w:val="14"/>
              </w:rPr>
              <w:t>61.086</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31.086</w:t>
            </w:r>
          </w:p>
        </w:tc>
        <w:tc>
          <w:tcPr>
            <w:tcW w:w="1985" w:type="dxa"/>
          </w:tcPr>
          <w:p>
            <w:pPr>
              <w:pStyle w:val="TableParagraph"/>
              <w:spacing w:before="31"/>
              <w:ind w:left="332" w:right="324"/>
              <w:jc w:val="center"/>
              <w:rPr>
                <w:sz w:val="14"/>
              </w:rPr>
            </w:pPr>
            <w:r>
              <w:rPr>
                <w:w w:val="105"/>
                <w:sz w:val="14"/>
              </w:rPr>
              <w:t>10/02/2020</w:t>
            </w:r>
          </w:p>
        </w:tc>
      </w:tr>
      <w:tr>
        <w:trPr>
          <w:trHeight w:val="227" w:hRule="atLeast"/>
        </w:trPr>
        <w:tc>
          <w:tcPr>
            <w:tcW w:w="1983" w:type="dxa"/>
          </w:tcPr>
          <w:p>
            <w:pPr>
              <w:pStyle w:val="TableParagraph"/>
              <w:spacing w:before="32"/>
              <w:ind w:right="669"/>
              <w:jc w:val="right"/>
              <w:rPr>
                <w:rFonts w:ascii="Caladea"/>
                <w:b/>
                <w:sz w:val="14"/>
              </w:rPr>
            </w:pPr>
            <w:r>
              <w:rPr>
                <w:rFonts w:ascii="Caladea"/>
                <w:b/>
                <w:sz w:val="14"/>
              </w:rPr>
              <w:t>mai/19</w:t>
            </w:r>
          </w:p>
        </w:tc>
        <w:tc>
          <w:tcPr>
            <w:tcW w:w="1983" w:type="dxa"/>
          </w:tcPr>
          <w:p>
            <w:pPr>
              <w:pStyle w:val="TableParagraph"/>
              <w:spacing w:before="34"/>
              <w:ind w:right="55"/>
              <w:jc w:val="right"/>
              <w:rPr>
                <w:sz w:val="14"/>
              </w:rPr>
            </w:pPr>
            <w:r>
              <w:rPr>
                <w:w w:val="95"/>
                <w:sz w:val="14"/>
              </w:rPr>
              <w:t>64.828</w:t>
            </w:r>
          </w:p>
        </w:tc>
        <w:tc>
          <w:tcPr>
            <w:tcW w:w="1983" w:type="dxa"/>
          </w:tcPr>
          <w:p>
            <w:pPr>
              <w:pStyle w:val="TableParagraph"/>
              <w:spacing w:before="34"/>
              <w:ind w:right="57"/>
              <w:jc w:val="right"/>
              <w:rPr>
                <w:sz w:val="14"/>
              </w:rPr>
            </w:pPr>
            <w:r>
              <w:rPr>
                <w:w w:val="95"/>
                <w:sz w:val="14"/>
              </w:rPr>
              <w:t>30.000</w:t>
            </w:r>
          </w:p>
        </w:tc>
        <w:tc>
          <w:tcPr>
            <w:tcW w:w="1983" w:type="dxa"/>
          </w:tcPr>
          <w:p>
            <w:pPr>
              <w:pStyle w:val="TableParagraph"/>
              <w:spacing w:before="34"/>
              <w:ind w:right="55"/>
              <w:jc w:val="right"/>
              <w:rPr>
                <w:sz w:val="14"/>
              </w:rPr>
            </w:pPr>
            <w:r>
              <w:rPr>
                <w:w w:val="95"/>
                <w:sz w:val="14"/>
              </w:rPr>
              <w:t>34.828</w:t>
            </w:r>
          </w:p>
        </w:tc>
        <w:tc>
          <w:tcPr>
            <w:tcW w:w="1985" w:type="dxa"/>
          </w:tcPr>
          <w:p>
            <w:pPr>
              <w:pStyle w:val="TableParagraph"/>
              <w:spacing w:before="34"/>
              <w:ind w:left="332" w:right="324"/>
              <w:jc w:val="center"/>
              <w:rPr>
                <w:sz w:val="14"/>
              </w:rPr>
            </w:pPr>
            <w:r>
              <w:rPr>
                <w:w w:val="105"/>
                <w:sz w:val="14"/>
              </w:rPr>
              <w:t>09/03/2020</w:t>
            </w:r>
          </w:p>
        </w:tc>
      </w:tr>
      <w:tr>
        <w:trPr>
          <w:trHeight w:val="227" w:hRule="atLeast"/>
        </w:trPr>
        <w:tc>
          <w:tcPr>
            <w:tcW w:w="1983" w:type="dxa"/>
          </w:tcPr>
          <w:p>
            <w:pPr>
              <w:pStyle w:val="TableParagraph"/>
              <w:spacing w:before="30"/>
              <w:ind w:right="686"/>
              <w:jc w:val="right"/>
              <w:rPr>
                <w:rFonts w:ascii="Caladea"/>
                <w:b/>
                <w:sz w:val="14"/>
              </w:rPr>
            </w:pPr>
            <w:r>
              <w:rPr>
                <w:rFonts w:ascii="Caladea"/>
                <w:b/>
                <w:sz w:val="14"/>
              </w:rPr>
              <w:t>jun/19</w:t>
            </w:r>
          </w:p>
        </w:tc>
        <w:tc>
          <w:tcPr>
            <w:tcW w:w="1983" w:type="dxa"/>
          </w:tcPr>
          <w:p>
            <w:pPr>
              <w:pStyle w:val="TableParagraph"/>
              <w:spacing w:before="31"/>
              <w:ind w:right="55"/>
              <w:jc w:val="right"/>
              <w:rPr>
                <w:sz w:val="14"/>
              </w:rPr>
            </w:pPr>
            <w:r>
              <w:rPr>
                <w:w w:val="95"/>
                <w:sz w:val="14"/>
              </w:rPr>
              <w:t>62.004</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32.004</w:t>
            </w:r>
          </w:p>
        </w:tc>
        <w:tc>
          <w:tcPr>
            <w:tcW w:w="1985" w:type="dxa"/>
          </w:tcPr>
          <w:p>
            <w:pPr>
              <w:pStyle w:val="TableParagraph"/>
              <w:spacing w:before="31"/>
              <w:ind w:left="332" w:right="324"/>
              <w:jc w:val="center"/>
              <w:rPr>
                <w:sz w:val="14"/>
              </w:rPr>
            </w:pPr>
            <w:r>
              <w:rPr>
                <w:w w:val="105"/>
                <w:sz w:val="14"/>
              </w:rPr>
              <w:t>10/04/2020</w:t>
            </w:r>
          </w:p>
        </w:tc>
      </w:tr>
      <w:tr>
        <w:trPr>
          <w:trHeight w:val="227" w:hRule="atLeast"/>
        </w:trPr>
        <w:tc>
          <w:tcPr>
            <w:tcW w:w="1983" w:type="dxa"/>
          </w:tcPr>
          <w:p>
            <w:pPr>
              <w:pStyle w:val="TableParagraph"/>
              <w:spacing w:before="30"/>
              <w:ind w:right="707"/>
              <w:jc w:val="right"/>
              <w:rPr>
                <w:rFonts w:ascii="Caladea"/>
                <w:b/>
                <w:sz w:val="14"/>
              </w:rPr>
            </w:pPr>
            <w:r>
              <w:rPr>
                <w:rFonts w:ascii="Caladea"/>
                <w:b/>
                <w:w w:val="95"/>
                <w:sz w:val="14"/>
              </w:rPr>
              <w:t>jul/19</w:t>
            </w:r>
          </w:p>
        </w:tc>
        <w:tc>
          <w:tcPr>
            <w:tcW w:w="1983" w:type="dxa"/>
          </w:tcPr>
          <w:p>
            <w:pPr>
              <w:pStyle w:val="TableParagraph"/>
              <w:spacing w:before="31"/>
              <w:ind w:right="55"/>
              <w:jc w:val="right"/>
              <w:rPr>
                <w:sz w:val="14"/>
              </w:rPr>
            </w:pPr>
            <w:r>
              <w:rPr>
                <w:w w:val="95"/>
                <w:sz w:val="14"/>
              </w:rPr>
              <w:t>56.147</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26.147</w:t>
            </w:r>
          </w:p>
        </w:tc>
        <w:tc>
          <w:tcPr>
            <w:tcW w:w="1985" w:type="dxa"/>
          </w:tcPr>
          <w:p>
            <w:pPr>
              <w:pStyle w:val="TableParagraph"/>
              <w:spacing w:before="31"/>
              <w:ind w:left="332" w:right="324"/>
              <w:jc w:val="center"/>
              <w:rPr>
                <w:sz w:val="14"/>
              </w:rPr>
            </w:pPr>
            <w:r>
              <w:rPr>
                <w:w w:val="105"/>
                <w:sz w:val="14"/>
              </w:rPr>
              <w:t>11/05/2020</w:t>
            </w:r>
          </w:p>
        </w:tc>
      </w:tr>
      <w:tr>
        <w:trPr>
          <w:trHeight w:val="225" w:hRule="atLeast"/>
        </w:trPr>
        <w:tc>
          <w:tcPr>
            <w:tcW w:w="1983" w:type="dxa"/>
          </w:tcPr>
          <w:p>
            <w:pPr>
              <w:pStyle w:val="TableParagraph"/>
              <w:spacing w:before="30"/>
              <w:ind w:right="678"/>
              <w:jc w:val="right"/>
              <w:rPr>
                <w:rFonts w:ascii="Caladea"/>
                <w:b/>
                <w:sz w:val="14"/>
              </w:rPr>
            </w:pPr>
            <w:r>
              <w:rPr>
                <w:rFonts w:ascii="Caladea"/>
                <w:b/>
                <w:sz w:val="14"/>
              </w:rPr>
              <w:t>ago/19</w:t>
            </w:r>
          </w:p>
        </w:tc>
        <w:tc>
          <w:tcPr>
            <w:tcW w:w="1983" w:type="dxa"/>
          </w:tcPr>
          <w:p>
            <w:pPr>
              <w:pStyle w:val="TableParagraph"/>
              <w:spacing w:before="31"/>
              <w:ind w:right="55"/>
              <w:jc w:val="right"/>
              <w:rPr>
                <w:sz w:val="14"/>
              </w:rPr>
            </w:pPr>
            <w:r>
              <w:rPr>
                <w:w w:val="95"/>
                <w:sz w:val="14"/>
              </w:rPr>
              <w:t>61.949</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31.949</w:t>
            </w:r>
          </w:p>
        </w:tc>
        <w:tc>
          <w:tcPr>
            <w:tcW w:w="1985" w:type="dxa"/>
          </w:tcPr>
          <w:p>
            <w:pPr>
              <w:pStyle w:val="TableParagraph"/>
              <w:spacing w:before="31"/>
              <w:ind w:left="332" w:right="324"/>
              <w:jc w:val="center"/>
              <w:rPr>
                <w:sz w:val="14"/>
              </w:rPr>
            </w:pPr>
            <w:r>
              <w:rPr>
                <w:w w:val="105"/>
                <w:sz w:val="14"/>
              </w:rPr>
              <w:t>10/06/2020</w:t>
            </w:r>
          </w:p>
        </w:tc>
      </w:tr>
      <w:tr>
        <w:trPr>
          <w:trHeight w:val="227" w:hRule="atLeast"/>
        </w:trPr>
        <w:tc>
          <w:tcPr>
            <w:tcW w:w="1983" w:type="dxa"/>
          </w:tcPr>
          <w:p>
            <w:pPr>
              <w:pStyle w:val="TableParagraph"/>
              <w:spacing w:before="32"/>
              <w:ind w:right="695"/>
              <w:jc w:val="right"/>
              <w:rPr>
                <w:rFonts w:ascii="Caladea"/>
                <w:b/>
                <w:sz w:val="14"/>
              </w:rPr>
            </w:pPr>
            <w:r>
              <w:rPr>
                <w:rFonts w:ascii="Caladea"/>
                <w:b/>
                <w:sz w:val="14"/>
              </w:rPr>
              <w:t>set/19</w:t>
            </w:r>
          </w:p>
        </w:tc>
        <w:tc>
          <w:tcPr>
            <w:tcW w:w="1983" w:type="dxa"/>
          </w:tcPr>
          <w:p>
            <w:pPr>
              <w:pStyle w:val="TableParagraph"/>
              <w:spacing w:before="34"/>
              <w:ind w:right="55"/>
              <w:jc w:val="right"/>
              <w:rPr>
                <w:sz w:val="14"/>
              </w:rPr>
            </w:pPr>
            <w:r>
              <w:rPr>
                <w:w w:val="95"/>
                <w:sz w:val="14"/>
              </w:rPr>
              <w:t>67.924</w:t>
            </w:r>
          </w:p>
        </w:tc>
        <w:tc>
          <w:tcPr>
            <w:tcW w:w="1983" w:type="dxa"/>
          </w:tcPr>
          <w:p>
            <w:pPr>
              <w:pStyle w:val="TableParagraph"/>
              <w:spacing w:before="34"/>
              <w:ind w:right="57"/>
              <w:jc w:val="right"/>
              <w:rPr>
                <w:sz w:val="14"/>
              </w:rPr>
            </w:pPr>
            <w:r>
              <w:rPr>
                <w:w w:val="95"/>
                <w:sz w:val="14"/>
              </w:rPr>
              <w:t>30.000</w:t>
            </w:r>
          </w:p>
        </w:tc>
        <w:tc>
          <w:tcPr>
            <w:tcW w:w="1983" w:type="dxa"/>
          </w:tcPr>
          <w:p>
            <w:pPr>
              <w:pStyle w:val="TableParagraph"/>
              <w:spacing w:before="34"/>
              <w:ind w:right="55"/>
              <w:jc w:val="right"/>
              <w:rPr>
                <w:sz w:val="14"/>
              </w:rPr>
            </w:pPr>
            <w:r>
              <w:rPr>
                <w:w w:val="95"/>
                <w:sz w:val="14"/>
              </w:rPr>
              <w:t>37.924</w:t>
            </w:r>
          </w:p>
        </w:tc>
        <w:tc>
          <w:tcPr>
            <w:tcW w:w="1985" w:type="dxa"/>
          </w:tcPr>
          <w:p>
            <w:pPr>
              <w:pStyle w:val="TableParagraph"/>
              <w:spacing w:before="34"/>
              <w:ind w:left="332" w:right="324"/>
              <w:jc w:val="center"/>
              <w:rPr>
                <w:sz w:val="14"/>
              </w:rPr>
            </w:pPr>
            <w:r>
              <w:rPr>
                <w:w w:val="105"/>
                <w:sz w:val="14"/>
              </w:rPr>
              <w:t>10/07/2020</w:t>
            </w:r>
          </w:p>
        </w:tc>
      </w:tr>
      <w:tr>
        <w:trPr>
          <w:trHeight w:val="227" w:hRule="atLeast"/>
        </w:trPr>
        <w:tc>
          <w:tcPr>
            <w:tcW w:w="1983" w:type="dxa"/>
          </w:tcPr>
          <w:p>
            <w:pPr>
              <w:pStyle w:val="TableParagraph"/>
              <w:spacing w:before="30"/>
              <w:ind w:right="683"/>
              <w:jc w:val="right"/>
              <w:rPr>
                <w:rFonts w:ascii="Caladea"/>
                <w:b/>
                <w:sz w:val="14"/>
              </w:rPr>
            </w:pPr>
            <w:r>
              <w:rPr>
                <w:rFonts w:ascii="Caladea"/>
                <w:b/>
                <w:sz w:val="14"/>
              </w:rPr>
              <w:t>out/19</w:t>
            </w:r>
          </w:p>
        </w:tc>
        <w:tc>
          <w:tcPr>
            <w:tcW w:w="1983" w:type="dxa"/>
          </w:tcPr>
          <w:p>
            <w:pPr>
              <w:pStyle w:val="TableParagraph"/>
              <w:spacing w:before="31"/>
              <w:ind w:right="55"/>
              <w:jc w:val="right"/>
              <w:rPr>
                <w:sz w:val="14"/>
              </w:rPr>
            </w:pPr>
            <w:r>
              <w:rPr>
                <w:w w:val="95"/>
                <w:sz w:val="14"/>
              </w:rPr>
              <w:t>68.235</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38.235</w:t>
            </w:r>
          </w:p>
        </w:tc>
        <w:tc>
          <w:tcPr>
            <w:tcW w:w="1985" w:type="dxa"/>
          </w:tcPr>
          <w:p>
            <w:pPr>
              <w:pStyle w:val="TableParagraph"/>
              <w:spacing w:before="31"/>
              <w:ind w:left="332" w:right="324"/>
              <w:jc w:val="center"/>
              <w:rPr>
                <w:sz w:val="14"/>
              </w:rPr>
            </w:pPr>
            <w:r>
              <w:rPr>
                <w:w w:val="105"/>
                <w:sz w:val="14"/>
              </w:rPr>
              <w:t>10/07/2020</w:t>
            </w:r>
          </w:p>
        </w:tc>
      </w:tr>
      <w:tr>
        <w:trPr>
          <w:trHeight w:val="227" w:hRule="atLeast"/>
        </w:trPr>
        <w:tc>
          <w:tcPr>
            <w:tcW w:w="1983" w:type="dxa"/>
          </w:tcPr>
          <w:p>
            <w:pPr>
              <w:pStyle w:val="TableParagraph"/>
              <w:spacing w:before="30"/>
              <w:ind w:right="671"/>
              <w:jc w:val="right"/>
              <w:rPr>
                <w:rFonts w:ascii="Caladea"/>
                <w:b/>
                <w:sz w:val="14"/>
              </w:rPr>
            </w:pPr>
            <w:r>
              <w:rPr>
                <w:rFonts w:ascii="Caladea"/>
                <w:b/>
                <w:w w:val="95"/>
                <w:sz w:val="14"/>
              </w:rPr>
              <w:t>nov/19</w:t>
            </w:r>
          </w:p>
        </w:tc>
        <w:tc>
          <w:tcPr>
            <w:tcW w:w="1983" w:type="dxa"/>
          </w:tcPr>
          <w:p>
            <w:pPr>
              <w:pStyle w:val="TableParagraph"/>
              <w:spacing w:before="31"/>
              <w:ind w:right="55"/>
              <w:jc w:val="right"/>
              <w:rPr>
                <w:sz w:val="14"/>
              </w:rPr>
            </w:pPr>
            <w:r>
              <w:rPr>
                <w:w w:val="95"/>
                <w:sz w:val="14"/>
              </w:rPr>
              <w:t>71.158</w:t>
            </w:r>
          </w:p>
        </w:tc>
        <w:tc>
          <w:tcPr>
            <w:tcW w:w="1983" w:type="dxa"/>
          </w:tcPr>
          <w:p>
            <w:pPr>
              <w:pStyle w:val="TableParagraph"/>
              <w:spacing w:before="31"/>
              <w:ind w:right="57"/>
              <w:jc w:val="right"/>
              <w:rPr>
                <w:sz w:val="14"/>
              </w:rPr>
            </w:pPr>
            <w:r>
              <w:rPr>
                <w:w w:val="95"/>
                <w:sz w:val="14"/>
              </w:rPr>
              <w:t>30.000</w:t>
            </w:r>
          </w:p>
        </w:tc>
        <w:tc>
          <w:tcPr>
            <w:tcW w:w="1983" w:type="dxa"/>
          </w:tcPr>
          <w:p>
            <w:pPr>
              <w:pStyle w:val="TableParagraph"/>
              <w:spacing w:before="31"/>
              <w:ind w:right="55"/>
              <w:jc w:val="right"/>
              <w:rPr>
                <w:sz w:val="14"/>
              </w:rPr>
            </w:pPr>
            <w:r>
              <w:rPr>
                <w:w w:val="95"/>
                <w:sz w:val="14"/>
              </w:rPr>
              <w:t>41.157</w:t>
            </w:r>
          </w:p>
        </w:tc>
        <w:tc>
          <w:tcPr>
            <w:tcW w:w="1985" w:type="dxa"/>
          </w:tcPr>
          <w:p>
            <w:pPr>
              <w:pStyle w:val="TableParagraph"/>
              <w:spacing w:before="31"/>
              <w:ind w:left="332" w:right="324"/>
              <w:jc w:val="center"/>
              <w:rPr>
                <w:sz w:val="14"/>
              </w:rPr>
            </w:pPr>
            <w:r>
              <w:rPr>
                <w:w w:val="105"/>
                <w:sz w:val="14"/>
              </w:rPr>
              <w:t>10/07/2020</w:t>
            </w:r>
          </w:p>
        </w:tc>
      </w:tr>
      <w:tr>
        <w:trPr>
          <w:trHeight w:val="227" w:hRule="atLeast"/>
        </w:trPr>
        <w:tc>
          <w:tcPr>
            <w:tcW w:w="1983" w:type="dxa"/>
          </w:tcPr>
          <w:p>
            <w:pPr>
              <w:pStyle w:val="TableParagraph"/>
              <w:spacing w:before="30"/>
              <w:ind w:left="211"/>
              <w:rPr>
                <w:rFonts w:ascii="Caladea"/>
                <w:b/>
                <w:sz w:val="14"/>
              </w:rPr>
            </w:pPr>
            <w:r>
              <w:rPr>
                <w:rFonts w:ascii="Caladea"/>
                <w:b/>
                <w:sz w:val="14"/>
              </w:rPr>
              <w:t>Total</w:t>
            </w:r>
          </w:p>
        </w:tc>
        <w:tc>
          <w:tcPr>
            <w:tcW w:w="1983" w:type="dxa"/>
          </w:tcPr>
          <w:p>
            <w:pPr>
              <w:pStyle w:val="TableParagraph"/>
              <w:spacing w:before="30"/>
              <w:ind w:right="55"/>
              <w:jc w:val="right"/>
              <w:rPr>
                <w:rFonts w:ascii="Caladea"/>
                <w:b/>
                <w:sz w:val="14"/>
              </w:rPr>
            </w:pPr>
            <w:r>
              <w:rPr>
                <w:rFonts w:ascii="Caladea"/>
                <w:b/>
                <w:sz w:val="14"/>
              </w:rPr>
              <w:t>574.171</w:t>
            </w:r>
          </w:p>
        </w:tc>
        <w:tc>
          <w:tcPr>
            <w:tcW w:w="1983" w:type="dxa"/>
          </w:tcPr>
          <w:p>
            <w:pPr>
              <w:pStyle w:val="TableParagraph"/>
              <w:spacing w:before="30"/>
              <w:ind w:right="57"/>
              <w:jc w:val="right"/>
              <w:rPr>
                <w:rFonts w:ascii="Caladea"/>
                <w:b/>
                <w:sz w:val="14"/>
              </w:rPr>
            </w:pPr>
            <w:r>
              <w:rPr>
                <w:rFonts w:ascii="Caladea"/>
                <w:b/>
                <w:sz w:val="14"/>
              </w:rPr>
              <w:t>262.840</w:t>
            </w:r>
          </w:p>
        </w:tc>
        <w:tc>
          <w:tcPr>
            <w:tcW w:w="1983" w:type="dxa"/>
          </w:tcPr>
          <w:p>
            <w:pPr>
              <w:pStyle w:val="TableParagraph"/>
              <w:spacing w:before="30"/>
              <w:ind w:right="56"/>
              <w:jc w:val="right"/>
              <w:rPr>
                <w:rFonts w:ascii="Caladea"/>
                <w:b/>
                <w:sz w:val="14"/>
              </w:rPr>
            </w:pPr>
            <w:r>
              <w:rPr>
                <w:rFonts w:ascii="Caladea"/>
                <w:b/>
                <w:sz w:val="14"/>
              </w:rPr>
              <w:t>311.330</w:t>
            </w:r>
          </w:p>
        </w:tc>
        <w:tc>
          <w:tcPr>
            <w:tcW w:w="1985" w:type="dxa"/>
          </w:tcPr>
          <w:p>
            <w:pPr>
              <w:pStyle w:val="TableParagraph"/>
              <w:rPr>
                <w:rFonts w:ascii="Times New Roman"/>
                <w:sz w:val="16"/>
              </w:rPr>
            </w:pPr>
          </w:p>
        </w:tc>
      </w:tr>
    </w:tbl>
    <w:p>
      <w:pPr>
        <w:spacing w:after="0"/>
        <w:rPr>
          <w:rFonts w:ascii="Times New Roman"/>
          <w:sz w:val="16"/>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05"/>
        <w:jc w:val="both"/>
      </w:pPr>
      <w:r>
        <w:rPr/>
        <w:t>Essa</w:t>
      </w:r>
      <w:r>
        <w:rPr>
          <w:spacing w:val="-26"/>
        </w:rPr>
        <w:t> </w:t>
      </w:r>
      <w:r>
        <w:rPr/>
        <w:t>medida</w:t>
      </w:r>
      <w:r>
        <w:rPr>
          <w:spacing w:val="-26"/>
        </w:rPr>
        <w:t> </w:t>
      </w:r>
      <w:r>
        <w:rPr/>
        <w:t>de</w:t>
      </w:r>
      <w:r>
        <w:rPr>
          <w:spacing w:val="-26"/>
        </w:rPr>
        <w:t> </w:t>
      </w:r>
      <w:r>
        <w:rPr/>
        <w:t>flexibilização</w:t>
      </w:r>
      <w:r>
        <w:rPr>
          <w:spacing w:val="-26"/>
        </w:rPr>
        <w:t> </w:t>
      </w:r>
      <w:r>
        <w:rPr/>
        <w:t>tem</w:t>
      </w:r>
      <w:r>
        <w:rPr>
          <w:spacing w:val="-25"/>
        </w:rPr>
        <w:t> </w:t>
      </w:r>
      <w:r>
        <w:rPr/>
        <w:t>sido</w:t>
      </w:r>
      <w:r>
        <w:rPr>
          <w:spacing w:val="-25"/>
        </w:rPr>
        <w:t> </w:t>
      </w:r>
      <w:r>
        <w:rPr/>
        <w:t>utilizada</w:t>
      </w:r>
      <w:r>
        <w:rPr>
          <w:spacing w:val="-25"/>
        </w:rPr>
        <w:t> </w:t>
      </w:r>
      <w:r>
        <w:rPr/>
        <w:t>pela</w:t>
      </w:r>
      <w:r>
        <w:rPr>
          <w:spacing w:val="-26"/>
        </w:rPr>
        <w:t> </w:t>
      </w:r>
      <w:r>
        <w:rPr/>
        <w:t>Administração</w:t>
      </w:r>
      <w:r>
        <w:rPr>
          <w:spacing w:val="-26"/>
        </w:rPr>
        <w:t> </w:t>
      </w:r>
      <w:r>
        <w:rPr/>
        <w:t>para</w:t>
      </w:r>
      <w:r>
        <w:rPr>
          <w:spacing w:val="-24"/>
        </w:rPr>
        <w:t> </w:t>
      </w:r>
      <w:r>
        <w:rPr/>
        <w:t>mitigar</w:t>
      </w:r>
      <w:r>
        <w:rPr>
          <w:spacing w:val="-25"/>
        </w:rPr>
        <w:t> </w:t>
      </w:r>
      <w:r>
        <w:rPr/>
        <w:t>o</w:t>
      </w:r>
      <w:r>
        <w:rPr>
          <w:spacing w:val="-24"/>
        </w:rPr>
        <w:t> </w:t>
      </w:r>
      <w:r>
        <w:rPr/>
        <w:t>desequilíbrio</w:t>
      </w:r>
      <w:r>
        <w:rPr>
          <w:spacing w:val="-25"/>
        </w:rPr>
        <w:t> </w:t>
      </w:r>
      <w:r>
        <w:rPr/>
        <w:t>financeiro</w:t>
      </w:r>
      <w:r>
        <w:rPr>
          <w:spacing w:val="-26"/>
        </w:rPr>
        <w:t> </w:t>
      </w:r>
      <w:r>
        <w:rPr/>
        <w:t>da</w:t>
      </w:r>
      <w:r>
        <w:rPr>
          <w:spacing w:val="-22"/>
        </w:rPr>
        <w:t> </w:t>
      </w:r>
      <w:r>
        <w:rPr/>
        <w:t>CEB </w:t>
      </w:r>
      <w:r>
        <w:rPr>
          <w:w w:val="95"/>
        </w:rPr>
        <w:t>DIS,</w:t>
      </w:r>
      <w:r>
        <w:rPr>
          <w:spacing w:val="-14"/>
          <w:w w:val="95"/>
        </w:rPr>
        <w:t> </w:t>
      </w:r>
      <w:r>
        <w:rPr>
          <w:w w:val="95"/>
        </w:rPr>
        <w:t>que</w:t>
      </w:r>
      <w:r>
        <w:rPr>
          <w:spacing w:val="-18"/>
          <w:w w:val="95"/>
        </w:rPr>
        <w:t> </w:t>
      </w:r>
      <w:r>
        <w:rPr>
          <w:w w:val="95"/>
        </w:rPr>
        <w:t>vem</w:t>
      </w:r>
      <w:r>
        <w:rPr>
          <w:spacing w:val="-13"/>
          <w:w w:val="95"/>
        </w:rPr>
        <w:t> </w:t>
      </w:r>
      <w:r>
        <w:rPr>
          <w:w w:val="95"/>
        </w:rPr>
        <w:t>implantando</w:t>
      </w:r>
      <w:r>
        <w:rPr>
          <w:spacing w:val="-14"/>
          <w:w w:val="95"/>
        </w:rPr>
        <w:t> </w:t>
      </w:r>
      <w:r>
        <w:rPr>
          <w:w w:val="95"/>
        </w:rPr>
        <w:t>alternativas</w:t>
      </w:r>
      <w:r>
        <w:rPr>
          <w:spacing w:val="-13"/>
          <w:w w:val="95"/>
        </w:rPr>
        <w:t> </w:t>
      </w:r>
      <w:r>
        <w:rPr>
          <w:w w:val="95"/>
        </w:rPr>
        <w:t>para</w:t>
      </w:r>
      <w:r>
        <w:rPr>
          <w:spacing w:val="-15"/>
          <w:w w:val="95"/>
        </w:rPr>
        <w:t> </w:t>
      </w:r>
      <w:r>
        <w:rPr>
          <w:w w:val="95"/>
        </w:rPr>
        <w:t>a</w:t>
      </w:r>
      <w:r>
        <w:rPr>
          <w:spacing w:val="-13"/>
          <w:w w:val="95"/>
        </w:rPr>
        <w:t> </w:t>
      </w:r>
      <w:r>
        <w:rPr>
          <w:w w:val="95"/>
        </w:rPr>
        <w:t>sustentabilidade</w:t>
      </w:r>
      <w:r>
        <w:rPr>
          <w:spacing w:val="-15"/>
          <w:w w:val="95"/>
        </w:rPr>
        <w:t> </w:t>
      </w:r>
      <w:r>
        <w:rPr>
          <w:w w:val="95"/>
        </w:rPr>
        <w:t>econômico-financeira</w:t>
      </w:r>
      <w:r>
        <w:rPr>
          <w:spacing w:val="-11"/>
          <w:w w:val="95"/>
        </w:rPr>
        <w:t> </w:t>
      </w:r>
      <w:r>
        <w:rPr>
          <w:w w:val="95"/>
        </w:rPr>
        <w:t>prevista</w:t>
      </w:r>
      <w:r>
        <w:rPr>
          <w:spacing w:val="-13"/>
          <w:w w:val="95"/>
        </w:rPr>
        <w:t> </w:t>
      </w:r>
      <w:r>
        <w:rPr>
          <w:w w:val="95"/>
        </w:rPr>
        <w:t>em</w:t>
      </w:r>
      <w:r>
        <w:rPr>
          <w:spacing w:val="-13"/>
          <w:w w:val="95"/>
        </w:rPr>
        <w:t> </w:t>
      </w:r>
      <w:r>
        <w:rPr>
          <w:w w:val="95"/>
        </w:rPr>
        <w:t>seu</w:t>
      </w:r>
      <w:r>
        <w:rPr>
          <w:spacing w:val="-14"/>
          <w:w w:val="95"/>
        </w:rPr>
        <w:t> </w:t>
      </w:r>
      <w:r>
        <w:rPr>
          <w:w w:val="95"/>
        </w:rPr>
        <w:t>Estatuto</w:t>
      </w:r>
      <w:r>
        <w:rPr>
          <w:spacing w:val="-12"/>
          <w:w w:val="95"/>
        </w:rPr>
        <w:t> </w:t>
      </w:r>
      <w:r>
        <w:rPr>
          <w:w w:val="95"/>
        </w:rPr>
        <w:t>Social, </w:t>
      </w:r>
      <w:r>
        <w:rPr/>
        <w:t>bem</w:t>
      </w:r>
      <w:r>
        <w:rPr>
          <w:spacing w:val="-19"/>
        </w:rPr>
        <w:t> </w:t>
      </w:r>
      <w:r>
        <w:rPr/>
        <w:t>como</w:t>
      </w:r>
      <w:r>
        <w:rPr>
          <w:spacing w:val="-19"/>
        </w:rPr>
        <w:t> </w:t>
      </w:r>
      <w:r>
        <w:rPr/>
        <w:t>no</w:t>
      </w:r>
      <w:r>
        <w:rPr>
          <w:spacing w:val="-18"/>
        </w:rPr>
        <w:t> </w:t>
      </w:r>
      <w:r>
        <w:rPr/>
        <w:t>Contrato</w:t>
      </w:r>
      <w:r>
        <w:rPr>
          <w:spacing w:val="-17"/>
        </w:rPr>
        <w:t> </w:t>
      </w:r>
      <w:r>
        <w:rPr/>
        <w:t>de</w:t>
      </w:r>
      <w:r>
        <w:rPr>
          <w:spacing w:val="-19"/>
        </w:rPr>
        <w:t> </w:t>
      </w:r>
      <w:r>
        <w:rPr/>
        <w:t>Concessão</w:t>
      </w:r>
      <w:r>
        <w:rPr>
          <w:spacing w:val="-16"/>
        </w:rPr>
        <w:t> </w:t>
      </w:r>
      <w:r>
        <w:rPr/>
        <w:t>nº</w:t>
      </w:r>
      <w:r>
        <w:rPr>
          <w:spacing w:val="-16"/>
        </w:rPr>
        <w:t> </w:t>
      </w:r>
      <w:r>
        <w:rPr/>
        <w:t>066/1999</w:t>
      </w:r>
      <w:r>
        <w:rPr>
          <w:spacing w:val="-12"/>
        </w:rPr>
        <w:t> </w:t>
      </w:r>
      <w:r>
        <w:rPr>
          <w:w w:val="105"/>
        </w:rPr>
        <w:t>–</w:t>
      </w:r>
      <w:r>
        <w:rPr>
          <w:spacing w:val="-20"/>
          <w:w w:val="105"/>
        </w:rPr>
        <w:t> </w:t>
      </w:r>
      <w:r>
        <w:rPr/>
        <w:t>ANEEL</w:t>
      </w:r>
      <w:r>
        <w:rPr>
          <w:spacing w:val="-17"/>
        </w:rPr>
        <w:t> </w:t>
      </w:r>
      <w:r>
        <w:rPr/>
        <w:t>e</w:t>
      </w:r>
      <w:r>
        <w:rPr>
          <w:spacing w:val="-20"/>
        </w:rPr>
        <w:t> </w:t>
      </w:r>
      <w:r>
        <w:rPr/>
        <w:t>Resolução</w:t>
      </w:r>
      <w:r>
        <w:rPr>
          <w:spacing w:val="-18"/>
        </w:rPr>
        <w:t> </w:t>
      </w:r>
      <w:r>
        <w:rPr/>
        <w:t>Normativa</w:t>
      </w:r>
      <w:r>
        <w:rPr>
          <w:spacing w:val="-15"/>
        </w:rPr>
        <w:t> </w:t>
      </w:r>
      <w:r>
        <w:rPr/>
        <w:t>nº</w:t>
      </w:r>
      <w:r>
        <w:rPr>
          <w:spacing w:val="-16"/>
        </w:rPr>
        <w:t> </w:t>
      </w:r>
      <w:r>
        <w:rPr/>
        <w:t>787/2017-ANEEL.</w:t>
      </w:r>
    </w:p>
    <w:p>
      <w:pPr>
        <w:pStyle w:val="BodyText"/>
        <w:spacing w:before="10"/>
      </w:pPr>
    </w:p>
    <w:p>
      <w:pPr>
        <w:pStyle w:val="BodyText"/>
        <w:ind w:left="172"/>
      </w:pPr>
      <w:r>
        <w:rPr/>
        <w:t>A CEB DIS está adimplente nas parcelas com vencimentos postergados em janeiro, fevereiro e março de 2020.</w:t>
      </w:r>
    </w:p>
    <w:p>
      <w:pPr>
        <w:pStyle w:val="BodyText"/>
        <w:spacing w:before="4"/>
      </w:pPr>
    </w:p>
    <w:p>
      <w:pPr>
        <w:pStyle w:val="Heading3"/>
        <w:numPr>
          <w:ilvl w:val="0"/>
          <w:numId w:val="6"/>
        </w:numPr>
        <w:tabs>
          <w:tab w:pos="953" w:val="left" w:leader="none"/>
          <w:tab w:pos="954" w:val="left" w:leader="none"/>
        </w:tabs>
        <w:spacing w:line="240" w:lineRule="auto" w:before="0" w:after="0"/>
        <w:ind w:left="953" w:right="0" w:hanging="782"/>
        <w:jc w:val="left"/>
      </w:pPr>
      <w:r>
        <w:rPr/>
        <w:t>CONTRIBUIÇÃO DE ILUMINAÇÃO</w:t>
      </w:r>
      <w:r>
        <w:rPr>
          <w:spacing w:val="-1"/>
        </w:rPr>
        <w:t> </w:t>
      </w:r>
      <w:r>
        <w:rPr/>
        <w:t>PÚBLICA</w:t>
      </w:r>
    </w:p>
    <w:p>
      <w:pPr>
        <w:pStyle w:val="BodyText"/>
        <w:spacing w:line="242" w:lineRule="auto" w:before="244"/>
        <w:ind w:left="172" w:right="414"/>
        <w:jc w:val="both"/>
      </w:pPr>
      <w:r>
        <w:rPr/>
        <w:t>A</w:t>
      </w:r>
      <w:r>
        <w:rPr>
          <w:spacing w:val="-30"/>
        </w:rPr>
        <w:t> </w:t>
      </w:r>
      <w:r>
        <w:rPr/>
        <w:t>Contribuição</w:t>
      </w:r>
      <w:r>
        <w:rPr>
          <w:spacing w:val="-31"/>
        </w:rPr>
        <w:t> </w:t>
      </w:r>
      <w:r>
        <w:rPr/>
        <w:t>de</w:t>
      </w:r>
      <w:r>
        <w:rPr>
          <w:spacing w:val="-29"/>
        </w:rPr>
        <w:t> </w:t>
      </w:r>
      <w:r>
        <w:rPr/>
        <w:t>Iluminação</w:t>
      </w:r>
      <w:r>
        <w:rPr>
          <w:spacing w:val="-31"/>
        </w:rPr>
        <w:t> </w:t>
      </w:r>
      <w:r>
        <w:rPr/>
        <w:t>Pública</w:t>
      </w:r>
      <w:r>
        <w:rPr>
          <w:spacing w:val="-27"/>
        </w:rPr>
        <w:t> </w:t>
      </w:r>
      <w:r>
        <w:rPr>
          <w:w w:val="105"/>
        </w:rPr>
        <w:t>–</w:t>
      </w:r>
      <w:r>
        <w:rPr>
          <w:spacing w:val="-32"/>
          <w:w w:val="105"/>
        </w:rPr>
        <w:t> </w:t>
      </w:r>
      <w:r>
        <w:rPr/>
        <w:t>CIP</w:t>
      </w:r>
      <w:r>
        <w:rPr>
          <w:spacing w:val="-29"/>
        </w:rPr>
        <w:t> </w:t>
      </w:r>
      <w:r>
        <w:rPr/>
        <w:t>foi</w:t>
      </w:r>
      <w:r>
        <w:rPr>
          <w:spacing w:val="-30"/>
        </w:rPr>
        <w:t> </w:t>
      </w:r>
      <w:r>
        <w:rPr/>
        <w:t>instituída</w:t>
      </w:r>
      <w:r>
        <w:rPr>
          <w:spacing w:val="-28"/>
        </w:rPr>
        <w:t> </w:t>
      </w:r>
      <w:r>
        <w:rPr/>
        <w:t>no</w:t>
      </w:r>
      <w:r>
        <w:rPr>
          <w:spacing w:val="-29"/>
        </w:rPr>
        <w:t> </w:t>
      </w:r>
      <w:r>
        <w:rPr/>
        <w:t>Distrito</w:t>
      </w:r>
      <w:r>
        <w:rPr>
          <w:spacing w:val="-30"/>
        </w:rPr>
        <w:t> </w:t>
      </w:r>
      <w:r>
        <w:rPr/>
        <w:t>Federal</w:t>
      </w:r>
      <w:r>
        <w:rPr>
          <w:spacing w:val="-30"/>
        </w:rPr>
        <w:t> </w:t>
      </w:r>
      <w:r>
        <w:rPr/>
        <w:t>pela</w:t>
      </w:r>
      <w:r>
        <w:rPr>
          <w:spacing w:val="-30"/>
        </w:rPr>
        <w:t> </w:t>
      </w:r>
      <w:r>
        <w:rPr/>
        <w:t>Lei</w:t>
      </w:r>
      <w:r>
        <w:rPr>
          <w:spacing w:val="-29"/>
        </w:rPr>
        <w:t> </w:t>
      </w:r>
      <w:r>
        <w:rPr/>
        <w:t>Complementar</w:t>
      </w:r>
      <w:r>
        <w:rPr>
          <w:spacing w:val="-29"/>
        </w:rPr>
        <w:t> </w:t>
      </w:r>
      <w:r>
        <w:rPr/>
        <w:t>nº</w:t>
      </w:r>
      <w:r>
        <w:rPr>
          <w:spacing w:val="-28"/>
        </w:rPr>
        <w:t> </w:t>
      </w:r>
      <w:r>
        <w:rPr/>
        <w:t>673,</w:t>
      </w:r>
      <w:r>
        <w:rPr>
          <w:spacing w:val="-29"/>
        </w:rPr>
        <w:t> </w:t>
      </w:r>
      <w:r>
        <w:rPr/>
        <w:t>de</w:t>
      </w:r>
      <w:r>
        <w:rPr>
          <w:spacing w:val="-31"/>
        </w:rPr>
        <w:t> </w:t>
      </w:r>
      <w:r>
        <w:rPr/>
        <w:t>27</w:t>
      </w:r>
      <w:r>
        <w:rPr>
          <w:spacing w:val="-29"/>
        </w:rPr>
        <w:t> </w:t>
      </w:r>
      <w:r>
        <w:rPr/>
        <w:t>de dezembro de 2002, para custeio dos serviços de iluminação pública prestados aos contribuintes nas vias e logradouros</w:t>
      </w:r>
      <w:r>
        <w:rPr>
          <w:spacing w:val="-16"/>
        </w:rPr>
        <w:t> </w:t>
      </w:r>
      <w:r>
        <w:rPr/>
        <w:t>públicos</w:t>
      </w:r>
      <w:r>
        <w:rPr>
          <w:spacing w:val="-18"/>
        </w:rPr>
        <w:t> </w:t>
      </w:r>
      <w:r>
        <w:rPr/>
        <w:t>do</w:t>
      </w:r>
      <w:r>
        <w:rPr>
          <w:spacing w:val="-18"/>
        </w:rPr>
        <w:t> </w:t>
      </w:r>
      <w:r>
        <w:rPr/>
        <w:t>Distrito</w:t>
      </w:r>
      <w:r>
        <w:rPr>
          <w:spacing w:val="-19"/>
        </w:rPr>
        <w:t> </w:t>
      </w:r>
      <w:r>
        <w:rPr/>
        <w:t>Federal.</w:t>
      </w:r>
    </w:p>
    <w:p>
      <w:pPr>
        <w:pStyle w:val="BodyText"/>
        <w:spacing w:before="122"/>
        <w:ind w:left="172"/>
      </w:pPr>
      <w:r>
        <w:rPr/>
        <w:t>O custeio do serviço de iluminação pública compreende:</w:t>
      </w:r>
    </w:p>
    <w:p>
      <w:pPr>
        <w:pStyle w:val="ListParagraph"/>
        <w:numPr>
          <w:ilvl w:val="0"/>
          <w:numId w:val="27"/>
        </w:numPr>
        <w:tabs>
          <w:tab w:pos="282" w:val="left" w:leader="none"/>
        </w:tabs>
        <w:spacing w:line="240" w:lineRule="auto" w:before="121" w:after="0"/>
        <w:ind w:left="281" w:right="0" w:hanging="110"/>
        <w:jc w:val="left"/>
        <w:rPr>
          <w:sz w:val="20"/>
        </w:rPr>
      </w:pPr>
      <w:r>
        <w:rPr>
          <w:w w:val="105"/>
          <w:sz w:val="20"/>
        </w:rPr>
        <w:t>–</w:t>
      </w:r>
      <w:r>
        <w:rPr>
          <w:spacing w:val="-22"/>
          <w:w w:val="105"/>
          <w:sz w:val="20"/>
        </w:rPr>
        <w:t> </w:t>
      </w:r>
      <w:r>
        <w:rPr>
          <w:sz w:val="20"/>
        </w:rPr>
        <w:t>despesas</w:t>
      </w:r>
      <w:r>
        <w:rPr>
          <w:spacing w:val="-19"/>
          <w:sz w:val="20"/>
        </w:rPr>
        <w:t> </w:t>
      </w:r>
      <w:r>
        <w:rPr>
          <w:sz w:val="20"/>
        </w:rPr>
        <w:t>com</w:t>
      </w:r>
      <w:r>
        <w:rPr>
          <w:spacing w:val="-18"/>
          <w:sz w:val="20"/>
        </w:rPr>
        <w:t> </w:t>
      </w:r>
      <w:r>
        <w:rPr>
          <w:sz w:val="20"/>
        </w:rPr>
        <w:t>energia</w:t>
      </w:r>
      <w:r>
        <w:rPr>
          <w:spacing w:val="-19"/>
          <w:sz w:val="20"/>
        </w:rPr>
        <w:t> </w:t>
      </w:r>
      <w:r>
        <w:rPr>
          <w:sz w:val="20"/>
        </w:rPr>
        <w:t>consumida</w:t>
      </w:r>
      <w:r>
        <w:rPr>
          <w:spacing w:val="-19"/>
          <w:sz w:val="20"/>
        </w:rPr>
        <w:t> </w:t>
      </w:r>
      <w:r>
        <w:rPr>
          <w:sz w:val="20"/>
        </w:rPr>
        <w:t>pelos</w:t>
      </w:r>
      <w:r>
        <w:rPr>
          <w:spacing w:val="-18"/>
          <w:sz w:val="20"/>
        </w:rPr>
        <w:t> </w:t>
      </w:r>
      <w:r>
        <w:rPr>
          <w:sz w:val="20"/>
        </w:rPr>
        <w:t>serviços</w:t>
      </w:r>
      <w:r>
        <w:rPr>
          <w:spacing w:val="-18"/>
          <w:sz w:val="20"/>
        </w:rPr>
        <w:t> </w:t>
      </w:r>
      <w:r>
        <w:rPr>
          <w:sz w:val="20"/>
        </w:rPr>
        <w:t>de</w:t>
      </w:r>
      <w:r>
        <w:rPr>
          <w:spacing w:val="-19"/>
          <w:sz w:val="20"/>
        </w:rPr>
        <w:t> </w:t>
      </w:r>
      <w:r>
        <w:rPr>
          <w:sz w:val="20"/>
        </w:rPr>
        <w:t>iluminação</w:t>
      </w:r>
      <w:r>
        <w:rPr>
          <w:spacing w:val="-19"/>
          <w:sz w:val="20"/>
        </w:rPr>
        <w:t> </w:t>
      </w:r>
      <w:r>
        <w:rPr>
          <w:sz w:val="20"/>
        </w:rPr>
        <w:t>pública;</w:t>
      </w:r>
      <w:r>
        <w:rPr>
          <w:spacing w:val="-19"/>
          <w:sz w:val="20"/>
        </w:rPr>
        <w:t> </w:t>
      </w:r>
      <w:r>
        <w:rPr>
          <w:sz w:val="20"/>
        </w:rPr>
        <w:t>e</w:t>
      </w:r>
    </w:p>
    <w:p>
      <w:pPr>
        <w:pStyle w:val="ListParagraph"/>
        <w:numPr>
          <w:ilvl w:val="0"/>
          <w:numId w:val="27"/>
        </w:numPr>
        <w:tabs>
          <w:tab w:pos="344" w:val="left" w:leader="none"/>
        </w:tabs>
        <w:spacing w:line="244" w:lineRule="auto" w:before="123" w:after="0"/>
        <w:ind w:left="172" w:right="403" w:firstLine="0"/>
        <w:jc w:val="both"/>
        <w:rPr>
          <w:sz w:val="20"/>
        </w:rPr>
      </w:pPr>
      <w:r>
        <w:rPr>
          <w:w w:val="95"/>
          <w:sz w:val="20"/>
        </w:rPr>
        <w:t>–</w:t>
      </w:r>
      <w:r>
        <w:rPr>
          <w:spacing w:val="-17"/>
          <w:w w:val="95"/>
          <w:sz w:val="20"/>
        </w:rPr>
        <w:t> </w:t>
      </w:r>
      <w:r>
        <w:rPr>
          <w:w w:val="95"/>
          <w:sz w:val="20"/>
        </w:rPr>
        <w:t>despesas</w:t>
      </w:r>
      <w:r>
        <w:rPr>
          <w:spacing w:val="-16"/>
          <w:w w:val="95"/>
          <w:sz w:val="20"/>
        </w:rPr>
        <w:t> </w:t>
      </w:r>
      <w:r>
        <w:rPr>
          <w:w w:val="95"/>
          <w:sz w:val="20"/>
        </w:rPr>
        <w:t>com</w:t>
      </w:r>
      <w:r>
        <w:rPr>
          <w:spacing w:val="-15"/>
          <w:w w:val="95"/>
          <w:sz w:val="20"/>
        </w:rPr>
        <w:t> </w:t>
      </w:r>
      <w:r>
        <w:rPr>
          <w:w w:val="95"/>
          <w:sz w:val="20"/>
        </w:rPr>
        <w:t>administração,</w:t>
      </w:r>
      <w:r>
        <w:rPr>
          <w:spacing w:val="-17"/>
          <w:w w:val="95"/>
          <w:sz w:val="20"/>
        </w:rPr>
        <w:t> </w:t>
      </w:r>
      <w:r>
        <w:rPr>
          <w:w w:val="95"/>
          <w:sz w:val="20"/>
        </w:rPr>
        <w:t>operações,</w:t>
      </w:r>
      <w:r>
        <w:rPr>
          <w:spacing w:val="-17"/>
          <w:w w:val="95"/>
          <w:sz w:val="20"/>
        </w:rPr>
        <w:t> </w:t>
      </w:r>
      <w:r>
        <w:rPr>
          <w:w w:val="95"/>
          <w:sz w:val="20"/>
        </w:rPr>
        <w:t>manutenção,</w:t>
      </w:r>
      <w:r>
        <w:rPr>
          <w:spacing w:val="-17"/>
          <w:w w:val="95"/>
          <w:sz w:val="20"/>
        </w:rPr>
        <w:t> </w:t>
      </w:r>
      <w:r>
        <w:rPr>
          <w:w w:val="95"/>
          <w:sz w:val="20"/>
        </w:rPr>
        <w:t>eficiência</w:t>
      </w:r>
      <w:r>
        <w:rPr>
          <w:spacing w:val="-16"/>
          <w:w w:val="95"/>
          <w:sz w:val="20"/>
        </w:rPr>
        <w:t> </w:t>
      </w:r>
      <w:r>
        <w:rPr>
          <w:w w:val="95"/>
          <w:sz w:val="20"/>
        </w:rPr>
        <w:t>energética</w:t>
      </w:r>
      <w:r>
        <w:rPr>
          <w:spacing w:val="-14"/>
          <w:w w:val="95"/>
          <w:sz w:val="20"/>
        </w:rPr>
        <w:t> </w:t>
      </w:r>
      <w:r>
        <w:rPr>
          <w:w w:val="95"/>
          <w:sz w:val="20"/>
        </w:rPr>
        <w:t>e</w:t>
      </w:r>
      <w:r>
        <w:rPr>
          <w:spacing w:val="-18"/>
          <w:w w:val="95"/>
          <w:sz w:val="20"/>
        </w:rPr>
        <w:t> </w:t>
      </w:r>
      <w:r>
        <w:rPr>
          <w:w w:val="95"/>
          <w:sz w:val="20"/>
        </w:rPr>
        <w:t>ampliação</w:t>
      </w:r>
      <w:r>
        <w:rPr>
          <w:spacing w:val="-17"/>
          <w:w w:val="95"/>
          <w:sz w:val="20"/>
        </w:rPr>
        <w:t> </w:t>
      </w:r>
      <w:r>
        <w:rPr>
          <w:w w:val="95"/>
          <w:sz w:val="20"/>
        </w:rPr>
        <w:t>do</w:t>
      </w:r>
      <w:r>
        <w:rPr>
          <w:spacing w:val="-17"/>
          <w:w w:val="95"/>
          <w:sz w:val="20"/>
        </w:rPr>
        <w:t> </w:t>
      </w:r>
      <w:r>
        <w:rPr>
          <w:w w:val="95"/>
          <w:sz w:val="20"/>
        </w:rPr>
        <w:t>sistema</w:t>
      </w:r>
      <w:r>
        <w:rPr>
          <w:spacing w:val="-16"/>
          <w:w w:val="95"/>
          <w:sz w:val="20"/>
        </w:rPr>
        <w:t> </w:t>
      </w:r>
      <w:r>
        <w:rPr>
          <w:w w:val="95"/>
          <w:sz w:val="20"/>
        </w:rPr>
        <w:t>de</w:t>
      </w:r>
      <w:r>
        <w:rPr>
          <w:spacing w:val="-18"/>
          <w:w w:val="95"/>
          <w:sz w:val="20"/>
        </w:rPr>
        <w:t> </w:t>
      </w:r>
      <w:r>
        <w:rPr>
          <w:w w:val="95"/>
          <w:sz w:val="20"/>
        </w:rPr>
        <w:t>iluminação </w:t>
      </w:r>
      <w:r>
        <w:rPr>
          <w:sz w:val="20"/>
        </w:rPr>
        <w:t>pública.</w:t>
      </w:r>
    </w:p>
    <w:p>
      <w:pPr>
        <w:pStyle w:val="BodyText"/>
        <w:spacing w:line="242" w:lineRule="auto" w:before="114"/>
        <w:ind w:left="172" w:right="417"/>
        <w:jc w:val="both"/>
      </w:pPr>
      <w:r>
        <w:rPr/>
        <w:t>A</w:t>
      </w:r>
      <w:r>
        <w:rPr>
          <w:spacing w:val="-41"/>
        </w:rPr>
        <w:t> </w:t>
      </w:r>
      <w:r>
        <w:rPr/>
        <w:t>cobrança</w:t>
      </w:r>
      <w:r>
        <w:rPr>
          <w:spacing w:val="-41"/>
        </w:rPr>
        <w:t> </w:t>
      </w:r>
      <w:r>
        <w:rPr/>
        <w:t>da</w:t>
      </w:r>
      <w:r>
        <w:rPr>
          <w:spacing w:val="-39"/>
        </w:rPr>
        <w:t> </w:t>
      </w:r>
      <w:r>
        <w:rPr/>
        <w:t>CIP</w:t>
      </w:r>
      <w:r>
        <w:rPr>
          <w:spacing w:val="-40"/>
        </w:rPr>
        <w:t> </w:t>
      </w:r>
      <w:r>
        <w:rPr/>
        <w:t>é</w:t>
      </w:r>
      <w:r>
        <w:rPr>
          <w:spacing w:val="-40"/>
        </w:rPr>
        <w:t> </w:t>
      </w:r>
      <w:r>
        <w:rPr/>
        <w:t>efetuada</w:t>
      </w:r>
      <w:r>
        <w:rPr>
          <w:spacing w:val="-40"/>
        </w:rPr>
        <w:t> </w:t>
      </w:r>
      <w:r>
        <w:rPr/>
        <w:t>na</w:t>
      </w:r>
      <w:r>
        <w:rPr>
          <w:spacing w:val="-39"/>
        </w:rPr>
        <w:t> </w:t>
      </w:r>
      <w:r>
        <w:rPr/>
        <w:t>fatura</w:t>
      </w:r>
      <w:r>
        <w:rPr>
          <w:spacing w:val="-40"/>
        </w:rPr>
        <w:t> </w:t>
      </w:r>
      <w:r>
        <w:rPr/>
        <w:t>de</w:t>
      </w:r>
      <w:r>
        <w:rPr>
          <w:spacing w:val="-42"/>
        </w:rPr>
        <w:t> </w:t>
      </w:r>
      <w:r>
        <w:rPr/>
        <w:t>consumo</w:t>
      </w:r>
      <w:r>
        <w:rPr>
          <w:spacing w:val="-40"/>
        </w:rPr>
        <w:t> </w:t>
      </w:r>
      <w:r>
        <w:rPr/>
        <w:t>de</w:t>
      </w:r>
      <w:r>
        <w:rPr>
          <w:spacing w:val="-40"/>
        </w:rPr>
        <w:t> </w:t>
      </w:r>
      <w:r>
        <w:rPr/>
        <w:t>energia</w:t>
      </w:r>
      <w:r>
        <w:rPr>
          <w:spacing w:val="-38"/>
        </w:rPr>
        <w:t> </w:t>
      </w:r>
      <w:r>
        <w:rPr/>
        <w:t>elétrica</w:t>
      </w:r>
      <w:r>
        <w:rPr>
          <w:spacing w:val="-41"/>
        </w:rPr>
        <w:t> </w:t>
      </w:r>
      <w:r>
        <w:rPr/>
        <w:t>e</w:t>
      </w:r>
      <w:r>
        <w:rPr>
          <w:spacing w:val="-40"/>
        </w:rPr>
        <w:t> </w:t>
      </w:r>
      <w:r>
        <w:rPr/>
        <w:t>devida</w:t>
      </w:r>
      <w:r>
        <w:rPr>
          <w:spacing w:val="-40"/>
        </w:rPr>
        <w:t> </w:t>
      </w:r>
      <w:r>
        <w:rPr/>
        <w:t>ao</w:t>
      </w:r>
      <w:r>
        <w:rPr>
          <w:spacing w:val="-39"/>
        </w:rPr>
        <w:t> </w:t>
      </w:r>
      <w:r>
        <w:rPr/>
        <w:t>Governo</w:t>
      </w:r>
      <w:r>
        <w:rPr>
          <w:spacing w:val="-40"/>
        </w:rPr>
        <w:t> </w:t>
      </w:r>
      <w:r>
        <w:rPr/>
        <w:t>do</w:t>
      </w:r>
      <w:r>
        <w:rPr>
          <w:spacing w:val="-40"/>
        </w:rPr>
        <w:t> </w:t>
      </w:r>
      <w:r>
        <w:rPr/>
        <w:t>Distrito</w:t>
      </w:r>
      <w:r>
        <w:rPr>
          <w:spacing w:val="-40"/>
        </w:rPr>
        <w:t> </w:t>
      </w:r>
      <w:r>
        <w:rPr/>
        <w:t>Federal</w:t>
      </w:r>
      <w:r>
        <w:rPr>
          <w:spacing w:val="-41"/>
        </w:rPr>
        <w:t> </w:t>
      </w:r>
      <w:r>
        <w:rPr/>
        <w:t>(GDF), sendo</w:t>
      </w:r>
      <w:r>
        <w:rPr>
          <w:spacing w:val="-18"/>
        </w:rPr>
        <w:t> </w:t>
      </w:r>
      <w:r>
        <w:rPr/>
        <w:t>o</w:t>
      </w:r>
      <w:r>
        <w:rPr>
          <w:spacing w:val="-19"/>
        </w:rPr>
        <w:t> </w:t>
      </w:r>
      <w:r>
        <w:rPr/>
        <w:t>saldo</w:t>
      </w:r>
      <w:r>
        <w:rPr>
          <w:spacing w:val="-17"/>
        </w:rPr>
        <w:t> </w:t>
      </w:r>
      <w:r>
        <w:rPr/>
        <w:t>não</w:t>
      </w:r>
      <w:r>
        <w:rPr>
          <w:spacing w:val="-16"/>
        </w:rPr>
        <w:t> </w:t>
      </w:r>
      <w:r>
        <w:rPr/>
        <w:t>repassado</w:t>
      </w:r>
      <w:r>
        <w:rPr>
          <w:spacing w:val="-19"/>
        </w:rPr>
        <w:t> </w:t>
      </w:r>
      <w:r>
        <w:rPr/>
        <w:t>atualizado</w:t>
      </w:r>
      <w:r>
        <w:rPr>
          <w:spacing w:val="-19"/>
        </w:rPr>
        <w:t> </w:t>
      </w:r>
      <w:r>
        <w:rPr/>
        <w:t>pelo</w:t>
      </w:r>
      <w:r>
        <w:rPr>
          <w:spacing w:val="-19"/>
        </w:rPr>
        <w:t> </w:t>
      </w:r>
      <w:r>
        <w:rPr/>
        <w:t>INPC.</w:t>
      </w:r>
    </w:p>
    <w:p>
      <w:pPr>
        <w:pStyle w:val="BodyText"/>
        <w:spacing w:line="242" w:lineRule="auto" w:before="119"/>
        <w:ind w:left="172" w:right="407"/>
        <w:jc w:val="both"/>
      </w:pPr>
      <w:r>
        <w:rPr/>
        <w:t>Em</w:t>
      </w:r>
      <w:r>
        <w:rPr>
          <w:spacing w:val="-32"/>
        </w:rPr>
        <w:t> </w:t>
      </w:r>
      <w:r>
        <w:rPr/>
        <w:t>23</w:t>
      </w:r>
      <w:r>
        <w:rPr>
          <w:spacing w:val="-31"/>
        </w:rPr>
        <w:t> </w:t>
      </w:r>
      <w:r>
        <w:rPr/>
        <w:t>de</w:t>
      </w:r>
      <w:r>
        <w:rPr>
          <w:spacing w:val="-33"/>
        </w:rPr>
        <w:t> </w:t>
      </w:r>
      <w:r>
        <w:rPr/>
        <w:t>dezembro</w:t>
      </w:r>
      <w:r>
        <w:rPr>
          <w:spacing w:val="-32"/>
        </w:rPr>
        <w:t> </w:t>
      </w:r>
      <w:r>
        <w:rPr/>
        <w:t>de</w:t>
      </w:r>
      <w:r>
        <w:rPr>
          <w:spacing w:val="-32"/>
        </w:rPr>
        <w:t> </w:t>
      </w:r>
      <w:r>
        <w:rPr/>
        <w:t>2014,</w:t>
      </w:r>
      <w:r>
        <w:rPr>
          <w:spacing w:val="-32"/>
        </w:rPr>
        <w:t> </w:t>
      </w:r>
      <w:r>
        <w:rPr/>
        <w:t>foi</w:t>
      </w:r>
      <w:r>
        <w:rPr>
          <w:spacing w:val="-32"/>
        </w:rPr>
        <w:t> </w:t>
      </w:r>
      <w:r>
        <w:rPr/>
        <w:t>publicada</w:t>
      </w:r>
      <w:r>
        <w:rPr>
          <w:spacing w:val="-31"/>
        </w:rPr>
        <w:t> </w:t>
      </w:r>
      <w:r>
        <w:rPr/>
        <w:t>a</w:t>
      </w:r>
      <w:r>
        <w:rPr>
          <w:spacing w:val="-31"/>
        </w:rPr>
        <w:t> </w:t>
      </w:r>
      <w:r>
        <w:rPr/>
        <w:t>Lei</w:t>
      </w:r>
      <w:r>
        <w:rPr>
          <w:spacing w:val="-32"/>
        </w:rPr>
        <w:t> </w:t>
      </w:r>
      <w:r>
        <w:rPr/>
        <w:t>nº</w:t>
      </w:r>
      <w:r>
        <w:rPr>
          <w:spacing w:val="-31"/>
        </w:rPr>
        <w:t> </w:t>
      </w:r>
      <w:r>
        <w:rPr/>
        <w:t>5.434</w:t>
      </w:r>
      <w:r>
        <w:rPr>
          <w:spacing w:val="-29"/>
        </w:rPr>
        <w:t> </w:t>
      </w:r>
      <w:r>
        <w:rPr/>
        <w:t>que</w:t>
      </w:r>
      <w:r>
        <w:rPr>
          <w:spacing w:val="-31"/>
        </w:rPr>
        <w:t> </w:t>
      </w:r>
      <w:r>
        <w:rPr/>
        <w:t>estabeleceu</w:t>
      </w:r>
      <w:r>
        <w:rPr>
          <w:spacing w:val="-31"/>
        </w:rPr>
        <w:t> </w:t>
      </w:r>
      <w:r>
        <w:rPr/>
        <w:t>medidas</w:t>
      </w:r>
      <w:r>
        <w:rPr>
          <w:spacing w:val="-31"/>
        </w:rPr>
        <w:t> </w:t>
      </w:r>
      <w:r>
        <w:rPr/>
        <w:t>de</w:t>
      </w:r>
      <w:r>
        <w:rPr>
          <w:spacing w:val="-31"/>
        </w:rPr>
        <w:t> </w:t>
      </w:r>
      <w:r>
        <w:rPr/>
        <w:t>apoio</w:t>
      </w:r>
      <w:r>
        <w:rPr>
          <w:spacing w:val="-31"/>
        </w:rPr>
        <w:t> </w:t>
      </w:r>
      <w:r>
        <w:rPr/>
        <w:t>à</w:t>
      </w:r>
      <w:r>
        <w:rPr>
          <w:spacing w:val="-32"/>
        </w:rPr>
        <w:t> </w:t>
      </w:r>
      <w:r>
        <w:rPr/>
        <w:t>CEB</w:t>
      </w:r>
      <w:r>
        <w:rPr>
          <w:spacing w:val="-31"/>
        </w:rPr>
        <w:t> </w:t>
      </w:r>
      <w:r>
        <w:rPr/>
        <w:t>DIS,</w:t>
      </w:r>
      <w:r>
        <w:rPr>
          <w:spacing w:val="-32"/>
        </w:rPr>
        <w:t> </w:t>
      </w:r>
      <w:r>
        <w:rPr/>
        <w:t>preparatórias à</w:t>
      </w:r>
      <w:r>
        <w:rPr>
          <w:spacing w:val="-18"/>
        </w:rPr>
        <w:t> </w:t>
      </w:r>
      <w:r>
        <w:rPr/>
        <w:t>prorrogação</w:t>
      </w:r>
      <w:r>
        <w:rPr>
          <w:spacing w:val="-18"/>
        </w:rPr>
        <w:t> </w:t>
      </w:r>
      <w:r>
        <w:rPr/>
        <w:t>do</w:t>
      </w:r>
      <w:r>
        <w:rPr>
          <w:spacing w:val="-18"/>
        </w:rPr>
        <w:t> </w:t>
      </w:r>
      <w:r>
        <w:rPr/>
        <w:t>Contrato</w:t>
      </w:r>
      <w:r>
        <w:rPr>
          <w:spacing w:val="-16"/>
        </w:rPr>
        <w:t> </w:t>
      </w:r>
      <w:r>
        <w:rPr/>
        <w:t>de</w:t>
      </w:r>
      <w:r>
        <w:rPr>
          <w:spacing w:val="-19"/>
        </w:rPr>
        <w:t> </w:t>
      </w:r>
      <w:r>
        <w:rPr/>
        <w:t>Concessão</w:t>
      </w:r>
      <w:r>
        <w:rPr>
          <w:spacing w:val="-18"/>
        </w:rPr>
        <w:t> </w:t>
      </w:r>
      <w:r>
        <w:rPr/>
        <w:t>de</w:t>
      </w:r>
      <w:r>
        <w:rPr>
          <w:spacing w:val="-19"/>
        </w:rPr>
        <w:t> </w:t>
      </w:r>
      <w:r>
        <w:rPr/>
        <w:t>Distribuição</w:t>
      </w:r>
      <w:r>
        <w:rPr>
          <w:spacing w:val="-18"/>
        </w:rPr>
        <w:t> </w:t>
      </w:r>
      <w:r>
        <w:rPr/>
        <w:t>de</w:t>
      </w:r>
      <w:r>
        <w:rPr>
          <w:spacing w:val="-19"/>
        </w:rPr>
        <w:t> </w:t>
      </w:r>
      <w:r>
        <w:rPr/>
        <w:t>Energia.</w:t>
      </w:r>
      <w:r>
        <w:rPr>
          <w:spacing w:val="-18"/>
        </w:rPr>
        <w:t> </w:t>
      </w:r>
      <w:r>
        <w:rPr/>
        <w:t>Dentre</w:t>
      </w:r>
      <w:r>
        <w:rPr>
          <w:spacing w:val="-18"/>
        </w:rPr>
        <w:t> </w:t>
      </w:r>
      <w:r>
        <w:rPr/>
        <w:t>as</w:t>
      </w:r>
      <w:r>
        <w:rPr>
          <w:spacing w:val="-18"/>
        </w:rPr>
        <w:t> </w:t>
      </w:r>
      <w:r>
        <w:rPr/>
        <w:t>medidas</w:t>
      </w:r>
      <w:r>
        <w:rPr>
          <w:spacing w:val="-17"/>
        </w:rPr>
        <w:t> </w:t>
      </w:r>
      <w:r>
        <w:rPr/>
        <w:t>adotadas</w:t>
      </w:r>
      <w:r>
        <w:rPr>
          <w:spacing w:val="-17"/>
        </w:rPr>
        <w:t> </w:t>
      </w:r>
      <w:r>
        <w:rPr/>
        <w:t>foi</w:t>
      </w:r>
      <w:r>
        <w:rPr>
          <w:spacing w:val="-18"/>
        </w:rPr>
        <w:t> </w:t>
      </w:r>
      <w:r>
        <w:rPr/>
        <w:t>autorizado</w:t>
      </w:r>
      <w:r>
        <w:rPr>
          <w:spacing w:val="-18"/>
        </w:rPr>
        <w:t> </w:t>
      </w:r>
      <w:r>
        <w:rPr/>
        <w:t>o parcelamento,</w:t>
      </w:r>
      <w:r>
        <w:rPr>
          <w:spacing w:val="-23"/>
        </w:rPr>
        <w:t> </w:t>
      </w:r>
      <w:r>
        <w:rPr/>
        <w:t>em</w:t>
      </w:r>
      <w:r>
        <w:rPr>
          <w:spacing w:val="-23"/>
        </w:rPr>
        <w:t> </w:t>
      </w:r>
      <w:r>
        <w:rPr/>
        <w:t>60</w:t>
      </w:r>
      <w:r>
        <w:rPr>
          <w:spacing w:val="-23"/>
        </w:rPr>
        <w:t> </w:t>
      </w:r>
      <w:r>
        <w:rPr/>
        <w:t>parcelas</w:t>
      </w:r>
      <w:r>
        <w:rPr>
          <w:spacing w:val="-24"/>
        </w:rPr>
        <w:t> </w:t>
      </w:r>
      <w:r>
        <w:rPr/>
        <w:t>mensais</w:t>
      </w:r>
      <w:r>
        <w:rPr>
          <w:spacing w:val="-23"/>
        </w:rPr>
        <w:t> </w:t>
      </w:r>
      <w:r>
        <w:rPr/>
        <w:t>e</w:t>
      </w:r>
      <w:r>
        <w:rPr>
          <w:spacing w:val="-24"/>
        </w:rPr>
        <w:t> </w:t>
      </w:r>
      <w:r>
        <w:rPr/>
        <w:t>sucessivas,</w:t>
      </w:r>
      <w:r>
        <w:rPr>
          <w:spacing w:val="-24"/>
        </w:rPr>
        <w:t> </w:t>
      </w:r>
      <w:r>
        <w:rPr/>
        <w:t>do</w:t>
      </w:r>
      <w:r>
        <w:rPr>
          <w:spacing w:val="-22"/>
        </w:rPr>
        <w:t> </w:t>
      </w:r>
      <w:r>
        <w:rPr/>
        <w:t>saldo</w:t>
      </w:r>
      <w:r>
        <w:rPr>
          <w:spacing w:val="-25"/>
        </w:rPr>
        <w:t> </w:t>
      </w:r>
      <w:r>
        <w:rPr/>
        <w:t>arrecadado</w:t>
      </w:r>
      <w:r>
        <w:rPr>
          <w:spacing w:val="-23"/>
        </w:rPr>
        <w:t> </w:t>
      </w:r>
      <w:r>
        <w:rPr/>
        <w:t>e</w:t>
      </w:r>
      <w:r>
        <w:rPr>
          <w:spacing w:val="-24"/>
        </w:rPr>
        <w:t> </w:t>
      </w:r>
      <w:r>
        <w:rPr/>
        <w:t>não</w:t>
      </w:r>
      <w:r>
        <w:rPr>
          <w:spacing w:val="-24"/>
        </w:rPr>
        <w:t> </w:t>
      </w:r>
      <w:r>
        <w:rPr/>
        <w:t>repassado</w:t>
      </w:r>
      <w:r>
        <w:rPr>
          <w:spacing w:val="-24"/>
        </w:rPr>
        <w:t> </w:t>
      </w:r>
      <w:r>
        <w:rPr/>
        <w:t>da</w:t>
      </w:r>
      <w:r>
        <w:rPr>
          <w:spacing w:val="-24"/>
        </w:rPr>
        <w:t> </w:t>
      </w:r>
      <w:r>
        <w:rPr/>
        <w:t>CIP</w:t>
      </w:r>
      <w:r>
        <w:rPr>
          <w:spacing w:val="-24"/>
        </w:rPr>
        <w:t> </w:t>
      </w:r>
      <w:r>
        <w:rPr/>
        <w:t>nos</w:t>
      </w:r>
      <w:r>
        <w:rPr>
          <w:spacing w:val="-22"/>
        </w:rPr>
        <w:t> </w:t>
      </w:r>
      <w:r>
        <w:rPr/>
        <w:t>exercícios</w:t>
      </w:r>
      <w:r>
        <w:rPr>
          <w:spacing w:val="-24"/>
        </w:rPr>
        <w:t> </w:t>
      </w:r>
      <w:r>
        <w:rPr/>
        <w:t>de 2013</w:t>
      </w:r>
      <w:r>
        <w:rPr>
          <w:spacing w:val="-30"/>
        </w:rPr>
        <w:t> </w:t>
      </w:r>
      <w:r>
        <w:rPr/>
        <w:t>e</w:t>
      </w:r>
      <w:r>
        <w:rPr>
          <w:spacing w:val="-30"/>
        </w:rPr>
        <w:t> </w:t>
      </w:r>
      <w:r>
        <w:rPr/>
        <w:t>2014,</w:t>
      </w:r>
      <w:r>
        <w:rPr>
          <w:spacing w:val="-28"/>
        </w:rPr>
        <w:t> </w:t>
      </w:r>
      <w:r>
        <w:rPr/>
        <w:t>que</w:t>
      </w:r>
      <w:r>
        <w:rPr>
          <w:spacing w:val="-31"/>
        </w:rPr>
        <w:t> </w:t>
      </w:r>
      <w:r>
        <w:rPr/>
        <w:t>serão</w:t>
      </w:r>
      <w:r>
        <w:rPr>
          <w:spacing w:val="-30"/>
        </w:rPr>
        <w:t> </w:t>
      </w:r>
      <w:r>
        <w:rPr/>
        <w:t>corrigidos</w:t>
      </w:r>
      <w:r>
        <w:rPr>
          <w:spacing w:val="-30"/>
        </w:rPr>
        <w:t> </w:t>
      </w:r>
      <w:r>
        <w:rPr/>
        <w:t>pelo</w:t>
      </w:r>
      <w:r>
        <w:rPr>
          <w:spacing w:val="-30"/>
        </w:rPr>
        <w:t> </w:t>
      </w:r>
      <w:r>
        <w:rPr/>
        <w:t>INPC,</w:t>
      </w:r>
      <w:r>
        <w:rPr>
          <w:spacing w:val="-30"/>
        </w:rPr>
        <w:t> </w:t>
      </w:r>
      <w:r>
        <w:rPr/>
        <w:t>a</w:t>
      </w:r>
      <w:r>
        <w:rPr>
          <w:spacing w:val="-29"/>
        </w:rPr>
        <w:t> </w:t>
      </w:r>
      <w:r>
        <w:rPr/>
        <w:t>partir</w:t>
      </w:r>
      <w:r>
        <w:rPr>
          <w:spacing w:val="-29"/>
        </w:rPr>
        <w:t> </w:t>
      </w:r>
      <w:r>
        <w:rPr/>
        <w:t>do</w:t>
      </w:r>
      <w:r>
        <w:rPr>
          <w:spacing w:val="-29"/>
        </w:rPr>
        <w:t> </w:t>
      </w:r>
      <w:r>
        <w:rPr/>
        <w:t>segundo</w:t>
      </w:r>
      <w:r>
        <w:rPr>
          <w:spacing w:val="-30"/>
        </w:rPr>
        <w:t> </w:t>
      </w:r>
      <w:r>
        <w:rPr/>
        <w:t>mês</w:t>
      </w:r>
      <w:r>
        <w:rPr>
          <w:spacing w:val="-30"/>
        </w:rPr>
        <w:t> </w:t>
      </w:r>
      <w:r>
        <w:rPr/>
        <w:t>subsequente</w:t>
      </w:r>
      <w:r>
        <w:rPr>
          <w:spacing w:val="-29"/>
        </w:rPr>
        <w:t> </w:t>
      </w:r>
      <w:r>
        <w:rPr/>
        <w:t>ao</w:t>
      </w:r>
      <w:r>
        <w:rPr>
          <w:spacing w:val="-30"/>
        </w:rPr>
        <w:t> </w:t>
      </w:r>
      <w:r>
        <w:rPr/>
        <w:t>da</w:t>
      </w:r>
      <w:r>
        <w:rPr>
          <w:spacing w:val="-30"/>
        </w:rPr>
        <w:t> </w:t>
      </w:r>
      <w:r>
        <w:rPr/>
        <w:t>sua</w:t>
      </w:r>
      <w:r>
        <w:rPr>
          <w:spacing w:val="-29"/>
        </w:rPr>
        <w:t> </w:t>
      </w:r>
      <w:r>
        <w:rPr/>
        <w:t>arrecadação,</w:t>
      </w:r>
      <w:r>
        <w:rPr>
          <w:spacing w:val="-30"/>
        </w:rPr>
        <w:t> </w:t>
      </w:r>
      <w:r>
        <w:rPr/>
        <w:t>até</w:t>
      </w:r>
      <w:r>
        <w:rPr>
          <w:spacing w:val="-30"/>
        </w:rPr>
        <w:t> </w:t>
      </w:r>
      <w:r>
        <w:rPr/>
        <w:t>o</w:t>
      </w:r>
      <w:r>
        <w:rPr>
          <w:spacing w:val="-28"/>
        </w:rPr>
        <w:t> </w:t>
      </w:r>
      <w:r>
        <w:rPr/>
        <w:t>mês de</w:t>
      </w:r>
      <w:r>
        <w:rPr>
          <w:spacing w:val="-38"/>
        </w:rPr>
        <w:t> </w:t>
      </w:r>
      <w:r>
        <w:rPr/>
        <w:t>início</w:t>
      </w:r>
      <w:r>
        <w:rPr>
          <w:spacing w:val="-38"/>
        </w:rPr>
        <w:t> </w:t>
      </w:r>
      <w:r>
        <w:rPr/>
        <w:t>do</w:t>
      </w:r>
      <w:r>
        <w:rPr>
          <w:spacing w:val="-37"/>
        </w:rPr>
        <w:t> </w:t>
      </w:r>
      <w:r>
        <w:rPr/>
        <w:t>pagamento</w:t>
      </w:r>
      <w:r>
        <w:rPr>
          <w:spacing w:val="-37"/>
        </w:rPr>
        <w:t> </w:t>
      </w:r>
      <w:r>
        <w:rPr/>
        <w:t>do</w:t>
      </w:r>
      <w:r>
        <w:rPr>
          <w:spacing w:val="-38"/>
        </w:rPr>
        <w:t> </w:t>
      </w:r>
      <w:r>
        <w:rPr/>
        <w:t>parcelamento.</w:t>
      </w:r>
      <w:r>
        <w:rPr>
          <w:spacing w:val="-38"/>
        </w:rPr>
        <w:t> </w:t>
      </w:r>
      <w:r>
        <w:rPr/>
        <w:t>Este</w:t>
      </w:r>
      <w:r>
        <w:rPr>
          <w:spacing w:val="-38"/>
        </w:rPr>
        <w:t> </w:t>
      </w:r>
      <w:r>
        <w:rPr/>
        <w:t>saldo</w:t>
      </w:r>
      <w:r>
        <w:rPr>
          <w:spacing w:val="-38"/>
        </w:rPr>
        <w:t> </w:t>
      </w:r>
      <w:r>
        <w:rPr/>
        <w:t>corresponde</w:t>
      </w:r>
      <w:r>
        <w:rPr>
          <w:spacing w:val="-37"/>
        </w:rPr>
        <w:t> </w:t>
      </w:r>
      <w:r>
        <w:rPr/>
        <w:t>a</w:t>
      </w:r>
      <w:r>
        <w:rPr>
          <w:spacing w:val="-37"/>
        </w:rPr>
        <w:t> </w:t>
      </w:r>
      <w:r>
        <w:rPr/>
        <w:t>R$</w:t>
      </w:r>
      <w:r>
        <w:rPr>
          <w:spacing w:val="-38"/>
        </w:rPr>
        <w:t> </w:t>
      </w:r>
      <w:r>
        <w:rPr/>
        <w:t>161.875</w:t>
      </w:r>
      <w:r>
        <w:rPr>
          <w:spacing w:val="-35"/>
        </w:rPr>
        <w:t> </w:t>
      </w:r>
      <w:r>
        <w:rPr/>
        <w:t>e</w:t>
      </w:r>
      <w:r>
        <w:rPr>
          <w:spacing w:val="-38"/>
        </w:rPr>
        <w:t> </w:t>
      </w:r>
      <w:r>
        <w:rPr/>
        <w:t>as</w:t>
      </w:r>
      <w:r>
        <w:rPr>
          <w:spacing w:val="-39"/>
        </w:rPr>
        <w:t> </w:t>
      </w:r>
      <w:r>
        <w:rPr/>
        <w:t>parcelas</w:t>
      </w:r>
      <w:r>
        <w:rPr>
          <w:spacing w:val="-38"/>
        </w:rPr>
        <w:t> </w:t>
      </w:r>
      <w:r>
        <w:rPr/>
        <w:t>terão</w:t>
      </w:r>
      <w:r>
        <w:rPr>
          <w:spacing w:val="-38"/>
        </w:rPr>
        <w:t> </w:t>
      </w:r>
      <w:r>
        <w:rPr/>
        <w:t>vencimento</w:t>
      </w:r>
      <w:r>
        <w:rPr>
          <w:spacing w:val="-37"/>
        </w:rPr>
        <w:t> </w:t>
      </w:r>
      <w:r>
        <w:rPr/>
        <w:t>no</w:t>
      </w:r>
      <w:r>
        <w:rPr>
          <w:spacing w:val="-36"/>
        </w:rPr>
        <w:t> </w:t>
      </w:r>
      <w:r>
        <w:rPr/>
        <w:t>15º dia</w:t>
      </w:r>
      <w:r>
        <w:rPr>
          <w:spacing w:val="-18"/>
        </w:rPr>
        <w:t> </w:t>
      </w:r>
      <w:r>
        <w:rPr/>
        <w:t>útil</w:t>
      </w:r>
      <w:r>
        <w:rPr>
          <w:spacing w:val="-17"/>
        </w:rPr>
        <w:t> </w:t>
      </w:r>
      <w:r>
        <w:rPr/>
        <w:t>de</w:t>
      </w:r>
      <w:r>
        <w:rPr>
          <w:spacing w:val="-19"/>
        </w:rPr>
        <w:t> </w:t>
      </w:r>
      <w:r>
        <w:rPr/>
        <w:t>cada</w:t>
      </w:r>
      <w:r>
        <w:rPr>
          <w:spacing w:val="-18"/>
        </w:rPr>
        <w:t> </w:t>
      </w:r>
      <w:r>
        <w:rPr/>
        <w:t>mês.</w:t>
      </w:r>
    </w:p>
    <w:p>
      <w:pPr>
        <w:pStyle w:val="BodyText"/>
        <w:spacing w:before="122"/>
        <w:ind w:left="172"/>
      </w:pPr>
      <w:r>
        <w:rPr/>
        <w:t>Em</w:t>
      </w:r>
      <w:r>
        <w:rPr>
          <w:spacing w:val="-35"/>
        </w:rPr>
        <w:t> </w:t>
      </w:r>
      <w:r>
        <w:rPr/>
        <w:t>31</w:t>
      </w:r>
      <w:r>
        <w:rPr>
          <w:spacing w:val="-35"/>
        </w:rPr>
        <w:t> </w:t>
      </w:r>
      <w:r>
        <w:rPr/>
        <w:t>de</w:t>
      </w:r>
      <w:r>
        <w:rPr>
          <w:spacing w:val="-35"/>
        </w:rPr>
        <w:t> </w:t>
      </w:r>
      <w:r>
        <w:rPr/>
        <w:t>dezembro</w:t>
      </w:r>
      <w:r>
        <w:rPr>
          <w:spacing w:val="-32"/>
        </w:rPr>
        <w:t> </w:t>
      </w:r>
      <w:r>
        <w:rPr/>
        <w:t>de</w:t>
      </w:r>
      <w:r>
        <w:rPr>
          <w:spacing w:val="-34"/>
        </w:rPr>
        <w:t> </w:t>
      </w:r>
      <w:r>
        <w:rPr/>
        <w:t>2019,</w:t>
      </w:r>
      <w:r>
        <w:rPr>
          <w:spacing w:val="-33"/>
        </w:rPr>
        <w:t> </w:t>
      </w:r>
      <w:r>
        <w:rPr/>
        <w:t>o</w:t>
      </w:r>
      <w:r>
        <w:rPr>
          <w:spacing w:val="-35"/>
        </w:rPr>
        <w:t> </w:t>
      </w:r>
      <w:r>
        <w:rPr/>
        <w:t>montante</w:t>
      </w:r>
      <w:r>
        <w:rPr>
          <w:spacing w:val="-35"/>
        </w:rPr>
        <w:t> </w:t>
      </w:r>
      <w:r>
        <w:rPr/>
        <w:t>a</w:t>
      </w:r>
      <w:r>
        <w:rPr>
          <w:spacing w:val="-32"/>
        </w:rPr>
        <w:t> </w:t>
      </w:r>
      <w:r>
        <w:rPr/>
        <w:t>repassar</w:t>
      </w:r>
      <w:r>
        <w:rPr>
          <w:spacing w:val="-35"/>
        </w:rPr>
        <w:t> </w:t>
      </w:r>
      <w:r>
        <w:rPr/>
        <w:t>ao</w:t>
      </w:r>
      <w:r>
        <w:rPr>
          <w:spacing w:val="-34"/>
        </w:rPr>
        <w:t> </w:t>
      </w:r>
      <w:r>
        <w:rPr/>
        <w:t>GDF</w:t>
      </w:r>
      <w:r>
        <w:rPr>
          <w:spacing w:val="-34"/>
        </w:rPr>
        <w:t> </w:t>
      </w:r>
      <w:r>
        <w:rPr/>
        <w:t>era</w:t>
      </w:r>
      <w:r>
        <w:rPr>
          <w:spacing w:val="-34"/>
        </w:rPr>
        <w:t> </w:t>
      </w:r>
      <w:r>
        <w:rPr/>
        <w:t>de</w:t>
      </w:r>
      <w:r>
        <w:rPr>
          <w:spacing w:val="-35"/>
        </w:rPr>
        <w:t> </w:t>
      </w:r>
      <w:r>
        <w:rPr/>
        <w:t>R$</w:t>
      </w:r>
      <w:r>
        <w:rPr>
          <w:spacing w:val="-32"/>
        </w:rPr>
        <w:t> </w:t>
      </w:r>
      <w:r>
        <w:rPr/>
        <w:t>44.541</w:t>
      </w:r>
      <w:r>
        <w:rPr>
          <w:spacing w:val="-32"/>
        </w:rPr>
        <w:t> </w:t>
      </w:r>
      <w:r>
        <w:rPr/>
        <w:t>e</w:t>
      </w:r>
      <w:r>
        <w:rPr>
          <w:spacing w:val="-36"/>
        </w:rPr>
        <w:t> </w:t>
      </w:r>
      <w:r>
        <w:rPr/>
        <w:t>apresentava</w:t>
      </w:r>
      <w:r>
        <w:rPr>
          <w:spacing w:val="-33"/>
        </w:rPr>
        <w:t> </w:t>
      </w:r>
      <w:r>
        <w:rPr/>
        <w:t>a</w:t>
      </w:r>
      <w:r>
        <w:rPr>
          <w:spacing w:val="-34"/>
        </w:rPr>
        <w:t> </w:t>
      </w:r>
      <w:r>
        <w:rPr/>
        <w:t>seguinte</w:t>
      </w:r>
      <w:r>
        <w:rPr>
          <w:spacing w:val="-35"/>
        </w:rPr>
        <w:t> </w:t>
      </w:r>
      <w:r>
        <w:rPr/>
        <w:t>movimentação:</w:t>
      </w:r>
    </w:p>
    <w:p>
      <w:pPr>
        <w:pStyle w:val="BodyText"/>
        <w:spacing w:before="2"/>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75"/>
        <w:gridCol w:w="1711"/>
        <w:gridCol w:w="1709"/>
        <w:gridCol w:w="1709"/>
        <w:gridCol w:w="1711"/>
      </w:tblGrid>
      <w:tr>
        <w:trPr>
          <w:trHeight w:val="253" w:hRule="atLeast"/>
        </w:trPr>
        <w:tc>
          <w:tcPr>
            <w:tcW w:w="3075" w:type="dxa"/>
            <w:shd w:val="clear" w:color="auto" w:fill="D9D9D9"/>
          </w:tcPr>
          <w:p>
            <w:pPr>
              <w:pStyle w:val="TableParagraph"/>
              <w:rPr>
                <w:rFonts w:ascii="Times New Roman"/>
                <w:sz w:val="18"/>
              </w:rPr>
            </w:pPr>
          </w:p>
        </w:tc>
        <w:tc>
          <w:tcPr>
            <w:tcW w:w="1711" w:type="dxa"/>
          </w:tcPr>
          <w:p>
            <w:pPr>
              <w:pStyle w:val="TableParagraph"/>
              <w:spacing w:before="44"/>
              <w:ind w:left="492"/>
              <w:rPr>
                <w:rFonts w:ascii="Caladea"/>
                <w:b/>
                <w:sz w:val="14"/>
              </w:rPr>
            </w:pPr>
            <w:r>
              <w:rPr>
                <w:rFonts w:ascii="Caladea"/>
                <w:b/>
                <w:sz w:val="14"/>
              </w:rPr>
              <w:t>FATURADO</w:t>
            </w:r>
          </w:p>
        </w:tc>
        <w:tc>
          <w:tcPr>
            <w:tcW w:w="1709" w:type="dxa"/>
          </w:tcPr>
          <w:p>
            <w:pPr>
              <w:pStyle w:val="TableParagraph"/>
              <w:spacing w:before="44"/>
              <w:ind w:left="399"/>
              <w:rPr>
                <w:rFonts w:ascii="Caladea"/>
                <w:b/>
                <w:sz w:val="14"/>
              </w:rPr>
            </w:pPr>
            <w:r>
              <w:rPr>
                <w:rFonts w:ascii="Caladea"/>
                <w:b/>
                <w:sz w:val="14"/>
              </w:rPr>
              <w:t>ARRECADADO</w:t>
            </w:r>
          </w:p>
        </w:tc>
        <w:tc>
          <w:tcPr>
            <w:tcW w:w="1709" w:type="dxa"/>
          </w:tcPr>
          <w:p>
            <w:pPr>
              <w:pStyle w:val="TableParagraph"/>
              <w:spacing w:before="44"/>
              <w:ind w:left="458"/>
              <w:rPr>
                <w:rFonts w:ascii="Caladea"/>
                <w:b/>
                <w:sz w:val="14"/>
              </w:rPr>
            </w:pPr>
            <w:r>
              <w:rPr>
                <w:rFonts w:ascii="Caladea"/>
                <w:b/>
                <w:sz w:val="14"/>
              </w:rPr>
              <w:t>PARCELADO</w:t>
            </w:r>
          </w:p>
        </w:tc>
        <w:tc>
          <w:tcPr>
            <w:tcW w:w="1711" w:type="dxa"/>
          </w:tcPr>
          <w:p>
            <w:pPr>
              <w:pStyle w:val="TableParagraph"/>
              <w:spacing w:before="44"/>
              <w:ind w:left="612" w:right="603"/>
              <w:jc w:val="center"/>
              <w:rPr>
                <w:rFonts w:ascii="Caladea"/>
                <w:b/>
                <w:sz w:val="14"/>
              </w:rPr>
            </w:pPr>
            <w:r>
              <w:rPr>
                <w:rFonts w:ascii="Caladea"/>
                <w:b/>
                <w:sz w:val="14"/>
              </w:rPr>
              <w:t>TOTAL</w:t>
            </w:r>
          </w:p>
        </w:tc>
      </w:tr>
      <w:tr>
        <w:trPr>
          <w:trHeight w:val="254" w:hRule="atLeast"/>
        </w:trPr>
        <w:tc>
          <w:tcPr>
            <w:tcW w:w="3075" w:type="dxa"/>
          </w:tcPr>
          <w:p>
            <w:pPr>
              <w:pStyle w:val="TableParagraph"/>
              <w:spacing w:before="44"/>
              <w:ind w:left="72"/>
              <w:rPr>
                <w:rFonts w:ascii="Caladea"/>
                <w:b/>
                <w:sz w:val="14"/>
              </w:rPr>
            </w:pPr>
            <w:r>
              <w:rPr>
                <w:rFonts w:ascii="Caladea"/>
                <w:b/>
                <w:sz w:val="14"/>
              </w:rPr>
              <w:t>Saldo em 31 de dezembro de 2017</w:t>
            </w:r>
          </w:p>
        </w:tc>
        <w:tc>
          <w:tcPr>
            <w:tcW w:w="1711" w:type="dxa"/>
          </w:tcPr>
          <w:p>
            <w:pPr>
              <w:pStyle w:val="TableParagraph"/>
              <w:spacing w:before="44"/>
              <w:ind w:right="54"/>
              <w:jc w:val="right"/>
              <w:rPr>
                <w:rFonts w:ascii="Caladea"/>
                <w:b/>
                <w:sz w:val="14"/>
              </w:rPr>
            </w:pPr>
            <w:r>
              <w:rPr>
                <w:rFonts w:ascii="Caladea"/>
                <w:b/>
                <w:sz w:val="14"/>
              </w:rPr>
              <w:t>22.731</w:t>
            </w:r>
          </w:p>
        </w:tc>
        <w:tc>
          <w:tcPr>
            <w:tcW w:w="1709" w:type="dxa"/>
          </w:tcPr>
          <w:p>
            <w:pPr>
              <w:pStyle w:val="TableParagraph"/>
              <w:spacing w:before="44"/>
              <w:ind w:right="54"/>
              <w:jc w:val="right"/>
              <w:rPr>
                <w:rFonts w:ascii="Caladea"/>
                <w:b/>
                <w:sz w:val="14"/>
              </w:rPr>
            </w:pPr>
            <w:r>
              <w:rPr>
                <w:rFonts w:ascii="Caladea"/>
                <w:b/>
                <w:sz w:val="14"/>
              </w:rPr>
              <w:t>17.158</w:t>
            </w:r>
          </w:p>
        </w:tc>
        <w:tc>
          <w:tcPr>
            <w:tcW w:w="1709" w:type="dxa"/>
          </w:tcPr>
          <w:p>
            <w:pPr>
              <w:pStyle w:val="TableParagraph"/>
              <w:spacing w:before="44"/>
              <w:ind w:right="53"/>
              <w:jc w:val="right"/>
              <w:rPr>
                <w:rFonts w:ascii="Caladea"/>
                <w:b/>
                <w:sz w:val="14"/>
              </w:rPr>
            </w:pPr>
            <w:r>
              <w:rPr>
                <w:rFonts w:ascii="Caladea"/>
                <w:b/>
                <w:sz w:val="14"/>
              </w:rPr>
              <w:t>81.735</w:t>
            </w:r>
          </w:p>
        </w:tc>
        <w:tc>
          <w:tcPr>
            <w:tcW w:w="1711" w:type="dxa"/>
          </w:tcPr>
          <w:p>
            <w:pPr>
              <w:pStyle w:val="TableParagraph"/>
              <w:spacing w:before="44"/>
              <w:ind w:right="56"/>
              <w:jc w:val="right"/>
              <w:rPr>
                <w:rFonts w:ascii="Caladea"/>
                <w:b/>
                <w:sz w:val="14"/>
              </w:rPr>
            </w:pPr>
            <w:r>
              <w:rPr>
                <w:rFonts w:ascii="Caladea"/>
                <w:b/>
                <w:sz w:val="14"/>
              </w:rPr>
              <w:t>121.624</w:t>
            </w:r>
          </w:p>
        </w:tc>
      </w:tr>
      <w:tr>
        <w:trPr>
          <w:trHeight w:val="256" w:hRule="atLeast"/>
        </w:trPr>
        <w:tc>
          <w:tcPr>
            <w:tcW w:w="3075" w:type="dxa"/>
          </w:tcPr>
          <w:p>
            <w:pPr>
              <w:pStyle w:val="TableParagraph"/>
              <w:spacing w:before="48"/>
              <w:ind w:left="165"/>
              <w:rPr>
                <w:sz w:val="14"/>
              </w:rPr>
            </w:pPr>
            <w:r>
              <w:rPr>
                <w:sz w:val="14"/>
              </w:rPr>
              <w:t>Faturamento</w:t>
            </w:r>
          </w:p>
        </w:tc>
        <w:tc>
          <w:tcPr>
            <w:tcW w:w="1711" w:type="dxa"/>
          </w:tcPr>
          <w:p>
            <w:pPr>
              <w:pStyle w:val="TableParagraph"/>
              <w:spacing w:before="48"/>
              <w:ind w:right="57"/>
              <w:jc w:val="right"/>
              <w:rPr>
                <w:sz w:val="14"/>
              </w:rPr>
            </w:pPr>
            <w:r>
              <w:rPr>
                <w:w w:val="95"/>
                <w:sz w:val="14"/>
              </w:rPr>
              <w:t>199.736</w:t>
            </w:r>
          </w:p>
        </w:tc>
        <w:tc>
          <w:tcPr>
            <w:tcW w:w="1709" w:type="dxa"/>
          </w:tcPr>
          <w:p>
            <w:pPr>
              <w:pStyle w:val="TableParagraph"/>
              <w:rPr>
                <w:rFonts w:ascii="Times New Roman"/>
                <w:sz w:val="18"/>
              </w:rPr>
            </w:pPr>
          </w:p>
        </w:tc>
        <w:tc>
          <w:tcPr>
            <w:tcW w:w="1709" w:type="dxa"/>
          </w:tcPr>
          <w:p>
            <w:pPr>
              <w:pStyle w:val="TableParagraph"/>
              <w:rPr>
                <w:rFonts w:ascii="Times New Roman"/>
                <w:sz w:val="18"/>
              </w:rPr>
            </w:pPr>
          </w:p>
        </w:tc>
        <w:tc>
          <w:tcPr>
            <w:tcW w:w="1711" w:type="dxa"/>
          </w:tcPr>
          <w:p>
            <w:pPr>
              <w:pStyle w:val="TableParagraph"/>
              <w:spacing w:before="48"/>
              <w:ind w:right="58"/>
              <w:jc w:val="right"/>
              <w:rPr>
                <w:sz w:val="14"/>
              </w:rPr>
            </w:pPr>
            <w:r>
              <w:rPr>
                <w:w w:val="95"/>
                <w:sz w:val="14"/>
              </w:rPr>
              <w:t>199.736</w:t>
            </w:r>
          </w:p>
        </w:tc>
      </w:tr>
      <w:tr>
        <w:trPr>
          <w:trHeight w:val="254" w:hRule="atLeast"/>
        </w:trPr>
        <w:tc>
          <w:tcPr>
            <w:tcW w:w="3075" w:type="dxa"/>
          </w:tcPr>
          <w:p>
            <w:pPr>
              <w:pStyle w:val="TableParagraph"/>
              <w:spacing w:before="46"/>
              <w:ind w:left="165"/>
              <w:rPr>
                <w:sz w:val="14"/>
              </w:rPr>
            </w:pPr>
            <w:r>
              <w:rPr>
                <w:sz w:val="14"/>
              </w:rPr>
              <w:t>Arrecadação</w:t>
            </w:r>
          </w:p>
        </w:tc>
        <w:tc>
          <w:tcPr>
            <w:tcW w:w="1711" w:type="dxa"/>
          </w:tcPr>
          <w:p>
            <w:pPr>
              <w:pStyle w:val="TableParagraph"/>
              <w:spacing w:before="46"/>
              <w:ind w:right="57"/>
              <w:jc w:val="right"/>
              <w:rPr>
                <w:sz w:val="14"/>
              </w:rPr>
            </w:pPr>
            <w:r>
              <w:rPr>
                <w:sz w:val="14"/>
              </w:rPr>
              <w:t>(198.650)</w:t>
            </w:r>
          </w:p>
        </w:tc>
        <w:tc>
          <w:tcPr>
            <w:tcW w:w="1709" w:type="dxa"/>
          </w:tcPr>
          <w:p>
            <w:pPr>
              <w:pStyle w:val="TableParagraph"/>
              <w:spacing w:before="46"/>
              <w:ind w:right="56"/>
              <w:jc w:val="right"/>
              <w:rPr>
                <w:sz w:val="14"/>
              </w:rPr>
            </w:pPr>
            <w:r>
              <w:rPr>
                <w:w w:val="95"/>
                <w:sz w:val="14"/>
              </w:rPr>
              <w:t>198.650</w:t>
            </w:r>
          </w:p>
        </w:tc>
        <w:tc>
          <w:tcPr>
            <w:tcW w:w="1709" w:type="dxa"/>
          </w:tcPr>
          <w:p>
            <w:pPr>
              <w:pStyle w:val="TableParagraph"/>
              <w:rPr>
                <w:rFonts w:ascii="Times New Roman"/>
                <w:sz w:val="18"/>
              </w:rPr>
            </w:pPr>
          </w:p>
        </w:tc>
        <w:tc>
          <w:tcPr>
            <w:tcW w:w="1711" w:type="dxa"/>
          </w:tcPr>
          <w:p>
            <w:pPr>
              <w:pStyle w:val="TableParagraph"/>
              <w:rPr>
                <w:rFonts w:ascii="Times New Roman"/>
                <w:sz w:val="18"/>
              </w:rPr>
            </w:pPr>
          </w:p>
        </w:tc>
      </w:tr>
      <w:tr>
        <w:trPr>
          <w:trHeight w:val="256" w:hRule="atLeast"/>
        </w:trPr>
        <w:tc>
          <w:tcPr>
            <w:tcW w:w="3075" w:type="dxa"/>
          </w:tcPr>
          <w:p>
            <w:pPr>
              <w:pStyle w:val="TableParagraph"/>
              <w:spacing w:before="46"/>
              <w:ind w:left="165"/>
              <w:rPr>
                <w:sz w:val="14"/>
              </w:rPr>
            </w:pPr>
            <w:r>
              <w:rPr>
                <w:sz w:val="14"/>
              </w:rPr>
              <w:t>Atualização</w:t>
            </w:r>
          </w:p>
        </w:tc>
        <w:tc>
          <w:tcPr>
            <w:tcW w:w="1711" w:type="dxa"/>
          </w:tcPr>
          <w:p>
            <w:pPr>
              <w:pStyle w:val="TableParagraph"/>
              <w:rPr>
                <w:rFonts w:ascii="Times New Roman"/>
                <w:sz w:val="18"/>
              </w:rPr>
            </w:pPr>
          </w:p>
        </w:tc>
        <w:tc>
          <w:tcPr>
            <w:tcW w:w="1709" w:type="dxa"/>
          </w:tcPr>
          <w:p>
            <w:pPr>
              <w:pStyle w:val="TableParagraph"/>
              <w:rPr>
                <w:rFonts w:ascii="Times New Roman"/>
                <w:sz w:val="18"/>
              </w:rPr>
            </w:pPr>
          </w:p>
        </w:tc>
        <w:tc>
          <w:tcPr>
            <w:tcW w:w="1709" w:type="dxa"/>
          </w:tcPr>
          <w:p>
            <w:pPr>
              <w:pStyle w:val="TableParagraph"/>
              <w:spacing w:before="46"/>
              <w:ind w:right="56"/>
              <w:jc w:val="right"/>
              <w:rPr>
                <w:sz w:val="14"/>
              </w:rPr>
            </w:pPr>
            <w:r>
              <w:rPr>
                <w:w w:val="95"/>
                <w:sz w:val="14"/>
              </w:rPr>
              <w:t>2.298</w:t>
            </w:r>
          </w:p>
        </w:tc>
        <w:tc>
          <w:tcPr>
            <w:tcW w:w="1711" w:type="dxa"/>
          </w:tcPr>
          <w:p>
            <w:pPr>
              <w:pStyle w:val="TableParagraph"/>
              <w:spacing w:before="46"/>
              <w:ind w:right="58"/>
              <w:jc w:val="right"/>
              <w:rPr>
                <w:sz w:val="14"/>
              </w:rPr>
            </w:pPr>
            <w:r>
              <w:rPr>
                <w:w w:val="95"/>
                <w:sz w:val="14"/>
              </w:rPr>
              <w:t>2.298</w:t>
            </w:r>
          </w:p>
        </w:tc>
      </w:tr>
      <w:tr>
        <w:trPr>
          <w:trHeight w:val="254" w:hRule="atLeast"/>
        </w:trPr>
        <w:tc>
          <w:tcPr>
            <w:tcW w:w="3075" w:type="dxa"/>
          </w:tcPr>
          <w:p>
            <w:pPr>
              <w:pStyle w:val="TableParagraph"/>
              <w:spacing w:before="46"/>
              <w:ind w:left="165"/>
              <w:rPr>
                <w:sz w:val="14"/>
              </w:rPr>
            </w:pPr>
            <w:r>
              <w:rPr>
                <w:sz w:val="14"/>
              </w:rPr>
              <w:t>Repasse</w:t>
            </w:r>
          </w:p>
        </w:tc>
        <w:tc>
          <w:tcPr>
            <w:tcW w:w="1711" w:type="dxa"/>
          </w:tcPr>
          <w:p>
            <w:pPr>
              <w:pStyle w:val="TableParagraph"/>
              <w:rPr>
                <w:rFonts w:ascii="Times New Roman"/>
                <w:sz w:val="18"/>
              </w:rPr>
            </w:pPr>
          </w:p>
        </w:tc>
        <w:tc>
          <w:tcPr>
            <w:tcW w:w="1709" w:type="dxa"/>
          </w:tcPr>
          <w:p>
            <w:pPr>
              <w:pStyle w:val="TableParagraph"/>
              <w:spacing w:before="46"/>
              <w:ind w:right="56"/>
              <w:jc w:val="right"/>
              <w:rPr>
                <w:sz w:val="14"/>
              </w:rPr>
            </w:pPr>
            <w:r>
              <w:rPr>
                <w:sz w:val="14"/>
              </w:rPr>
              <w:t>(183.458)</w:t>
            </w:r>
          </w:p>
        </w:tc>
        <w:tc>
          <w:tcPr>
            <w:tcW w:w="1709" w:type="dxa"/>
          </w:tcPr>
          <w:p>
            <w:pPr>
              <w:pStyle w:val="TableParagraph"/>
              <w:spacing w:before="46"/>
              <w:ind w:right="56"/>
              <w:jc w:val="right"/>
              <w:rPr>
                <w:sz w:val="14"/>
              </w:rPr>
            </w:pPr>
            <w:r>
              <w:rPr>
                <w:sz w:val="14"/>
              </w:rPr>
              <w:t>(39.921)</w:t>
            </w:r>
          </w:p>
        </w:tc>
        <w:tc>
          <w:tcPr>
            <w:tcW w:w="1711" w:type="dxa"/>
          </w:tcPr>
          <w:p>
            <w:pPr>
              <w:pStyle w:val="TableParagraph"/>
              <w:spacing w:before="46"/>
              <w:ind w:right="58"/>
              <w:jc w:val="right"/>
              <w:rPr>
                <w:sz w:val="14"/>
              </w:rPr>
            </w:pPr>
            <w:r>
              <w:rPr>
                <w:sz w:val="14"/>
              </w:rPr>
              <w:t>(223.379)</w:t>
            </w:r>
          </w:p>
        </w:tc>
      </w:tr>
      <w:tr>
        <w:trPr>
          <w:trHeight w:val="256" w:hRule="atLeast"/>
        </w:trPr>
        <w:tc>
          <w:tcPr>
            <w:tcW w:w="3075" w:type="dxa"/>
          </w:tcPr>
          <w:p>
            <w:pPr>
              <w:pStyle w:val="TableParagraph"/>
              <w:spacing w:before="44"/>
              <w:ind w:left="72"/>
              <w:rPr>
                <w:rFonts w:ascii="Caladea"/>
                <w:b/>
                <w:sz w:val="14"/>
              </w:rPr>
            </w:pPr>
            <w:r>
              <w:rPr>
                <w:rFonts w:ascii="Caladea"/>
                <w:b/>
                <w:sz w:val="14"/>
              </w:rPr>
              <w:t>Saldo em 31 de dezembro de 2018</w:t>
            </w:r>
          </w:p>
        </w:tc>
        <w:tc>
          <w:tcPr>
            <w:tcW w:w="1711" w:type="dxa"/>
          </w:tcPr>
          <w:p>
            <w:pPr>
              <w:pStyle w:val="TableParagraph"/>
              <w:spacing w:before="44"/>
              <w:ind w:right="56"/>
              <w:jc w:val="right"/>
              <w:rPr>
                <w:rFonts w:ascii="Caladea"/>
                <w:b/>
                <w:sz w:val="14"/>
              </w:rPr>
            </w:pPr>
            <w:r>
              <w:rPr>
                <w:rFonts w:ascii="Caladea"/>
                <w:b/>
                <w:sz w:val="14"/>
              </w:rPr>
              <w:t>23.817</w:t>
            </w:r>
          </w:p>
        </w:tc>
        <w:tc>
          <w:tcPr>
            <w:tcW w:w="1709" w:type="dxa"/>
          </w:tcPr>
          <w:p>
            <w:pPr>
              <w:pStyle w:val="TableParagraph"/>
              <w:spacing w:before="44"/>
              <w:ind w:right="56"/>
              <w:jc w:val="right"/>
              <w:rPr>
                <w:rFonts w:ascii="Caladea"/>
                <w:b/>
                <w:sz w:val="14"/>
              </w:rPr>
            </w:pPr>
            <w:r>
              <w:rPr>
                <w:rFonts w:ascii="Caladea"/>
                <w:b/>
                <w:sz w:val="14"/>
              </w:rPr>
              <w:t>32.350</w:t>
            </w:r>
          </w:p>
        </w:tc>
        <w:tc>
          <w:tcPr>
            <w:tcW w:w="1709" w:type="dxa"/>
          </w:tcPr>
          <w:p>
            <w:pPr>
              <w:pStyle w:val="TableParagraph"/>
              <w:spacing w:before="44"/>
              <w:ind w:right="56"/>
              <w:jc w:val="right"/>
              <w:rPr>
                <w:rFonts w:ascii="Caladea"/>
                <w:b/>
                <w:sz w:val="14"/>
              </w:rPr>
            </w:pPr>
            <w:r>
              <w:rPr>
                <w:rFonts w:ascii="Caladea"/>
                <w:b/>
                <w:sz w:val="14"/>
              </w:rPr>
              <w:t>44.112</w:t>
            </w:r>
          </w:p>
        </w:tc>
        <w:tc>
          <w:tcPr>
            <w:tcW w:w="1711" w:type="dxa"/>
          </w:tcPr>
          <w:p>
            <w:pPr>
              <w:pStyle w:val="TableParagraph"/>
              <w:spacing w:before="44"/>
              <w:ind w:right="58"/>
              <w:jc w:val="right"/>
              <w:rPr>
                <w:rFonts w:ascii="Caladea"/>
                <w:b/>
                <w:sz w:val="14"/>
              </w:rPr>
            </w:pPr>
            <w:r>
              <w:rPr>
                <w:rFonts w:ascii="Caladea"/>
                <w:b/>
                <w:w w:val="95"/>
                <w:sz w:val="14"/>
              </w:rPr>
              <w:t>100.279</w:t>
            </w:r>
          </w:p>
        </w:tc>
      </w:tr>
      <w:tr>
        <w:trPr>
          <w:trHeight w:val="253" w:hRule="atLeast"/>
        </w:trPr>
        <w:tc>
          <w:tcPr>
            <w:tcW w:w="3075" w:type="dxa"/>
          </w:tcPr>
          <w:p>
            <w:pPr>
              <w:pStyle w:val="TableParagraph"/>
              <w:spacing w:before="46"/>
              <w:ind w:left="165"/>
              <w:rPr>
                <w:sz w:val="14"/>
              </w:rPr>
            </w:pPr>
            <w:r>
              <w:rPr>
                <w:sz w:val="14"/>
              </w:rPr>
              <w:t>Faturamento</w:t>
            </w:r>
          </w:p>
        </w:tc>
        <w:tc>
          <w:tcPr>
            <w:tcW w:w="1711" w:type="dxa"/>
          </w:tcPr>
          <w:p>
            <w:pPr>
              <w:pStyle w:val="TableParagraph"/>
              <w:spacing w:before="46"/>
              <w:ind w:right="57"/>
              <w:jc w:val="right"/>
              <w:rPr>
                <w:sz w:val="14"/>
              </w:rPr>
            </w:pPr>
            <w:r>
              <w:rPr>
                <w:w w:val="95"/>
                <w:sz w:val="14"/>
              </w:rPr>
              <w:t>211.936</w:t>
            </w:r>
          </w:p>
        </w:tc>
        <w:tc>
          <w:tcPr>
            <w:tcW w:w="1709" w:type="dxa"/>
          </w:tcPr>
          <w:p>
            <w:pPr>
              <w:pStyle w:val="TableParagraph"/>
              <w:rPr>
                <w:rFonts w:ascii="Times New Roman"/>
                <w:sz w:val="18"/>
              </w:rPr>
            </w:pPr>
          </w:p>
        </w:tc>
        <w:tc>
          <w:tcPr>
            <w:tcW w:w="1709" w:type="dxa"/>
          </w:tcPr>
          <w:p>
            <w:pPr>
              <w:pStyle w:val="TableParagraph"/>
              <w:rPr>
                <w:rFonts w:ascii="Times New Roman"/>
                <w:sz w:val="18"/>
              </w:rPr>
            </w:pPr>
          </w:p>
        </w:tc>
        <w:tc>
          <w:tcPr>
            <w:tcW w:w="1711" w:type="dxa"/>
          </w:tcPr>
          <w:p>
            <w:pPr>
              <w:pStyle w:val="TableParagraph"/>
              <w:spacing w:before="46"/>
              <w:ind w:right="58"/>
              <w:jc w:val="right"/>
              <w:rPr>
                <w:sz w:val="14"/>
              </w:rPr>
            </w:pPr>
            <w:r>
              <w:rPr>
                <w:w w:val="95"/>
                <w:sz w:val="14"/>
              </w:rPr>
              <w:t>211.936</w:t>
            </w:r>
          </w:p>
        </w:tc>
      </w:tr>
      <w:tr>
        <w:trPr>
          <w:trHeight w:val="253" w:hRule="atLeast"/>
        </w:trPr>
        <w:tc>
          <w:tcPr>
            <w:tcW w:w="3075" w:type="dxa"/>
          </w:tcPr>
          <w:p>
            <w:pPr>
              <w:pStyle w:val="TableParagraph"/>
              <w:spacing w:before="46"/>
              <w:ind w:left="165"/>
              <w:rPr>
                <w:sz w:val="14"/>
              </w:rPr>
            </w:pPr>
            <w:r>
              <w:rPr>
                <w:sz w:val="14"/>
              </w:rPr>
              <w:t>Arrecadação</w:t>
            </w:r>
          </w:p>
        </w:tc>
        <w:tc>
          <w:tcPr>
            <w:tcW w:w="1711" w:type="dxa"/>
          </w:tcPr>
          <w:p>
            <w:pPr>
              <w:pStyle w:val="TableParagraph"/>
              <w:spacing w:before="46"/>
              <w:ind w:right="57"/>
              <w:jc w:val="right"/>
              <w:rPr>
                <w:sz w:val="14"/>
              </w:rPr>
            </w:pPr>
            <w:r>
              <w:rPr>
                <w:sz w:val="14"/>
              </w:rPr>
              <w:t>(212.229)</w:t>
            </w:r>
          </w:p>
        </w:tc>
        <w:tc>
          <w:tcPr>
            <w:tcW w:w="1709" w:type="dxa"/>
          </w:tcPr>
          <w:p>
            <w:pPr>
              <w:pStyle w:val="TableParagraph"/>
              <w:spacing w:before="46"/>
              <w:ind w:right="56"/>
              <w:jc w:val="right"/>
              <w:rPr>
                <w:sz w:val="14"/>
              </w:rPr>
            </w:pPr>
            <w:r>
              <w:rPr>
                <w:w w:val="95"/>
                <w:sz w:val="14"/>
              </w:rPr>
              <w:t>212.229</w:t>
            </w:r>
          </w:p>
        </w:tc>
        <w:tc>
          <w:tcPr>
            <w:tcW w:w="1709" w:type="dxa"/>
          </w:tcPr>
          <w:p>
            <w:pPr>
              <w:pStyle w:val="TableParagraph"/>
              <w:rPr>
                <w:rFonts w:ascii="Times New Roman"/>
                <w:sz w:val="18"/>
              </w:rPr>
            </w:pPr>
          </w:p>
        </w:tc>
        <w:tc>
          <w:tcPr>
            <w:tcW w:w="1711" w:type="dxa"/>
          </w:tcPr>
          <w:p>
            <w:pPr>
              <w:pStyle w:val="TableParagraph"/>
              <w:rPr>
                <w:rFonts w:ascii="Times New Roman"/>
                <w:sz w:val="18"/>
              </w:rPr>
            </w:pPr>
          </w:p>
        </w:tc>
      </w:tr>
      <w:tr>
        <w:trPr>
          <w:trHeight w:val="256" w:hRule="atLeast"/>
        </w:trPr>
        <w:tc>
          <w:tcPr>
            <w:tcW w:w="3075" w:type="dxa"/>
          </w:tcPr>
          <w:p>
            <w:pPr>
              <w:pStyle w:val="TableParagraph"/>
              <w:spacing w:before="46"/>
              <w:ind w:left="165"/>
              <w:rPr>
                <w:sz w:val="14"/>
              </w:rPr>
            </w:pPr>
            <w:r>
              <w:rPr>
                <w:sz w:val="14"/>
              </w:rPr>
              <w:t>Atualização</w:t>
            </w:r>
          </w:p>
        </w:tc>
        <w:tc>
          <w:tcPr>
            <w:tcW w:w="1711" w:type="dxa"/>
          </w:tcPr>
          <w:p>
            <w:pPr>
              <w:pStyle w:val="TableParagraph"/>
              <w:rPr>
                <w:rFonts w:ascii="Times New Roman"/>
                <w:sz w:val="18"/>
              </w:rPr>
            </w:pPr>
          </w:p>
        </w:tc>
        <w:tc>
          <w:tcPr>
            <w:tcW w:w="1709" w:type="dxa"/>
          </w:tcPr>
          <w:p>
            <w:pPr>
              <w:pStyle w:val="TableParagraph"/>
              <w:rPr>
                <w:rFonts w:ascii="Times New Roman"/>
                <w:sz w:val="18"/>
              </w:rPr>
            </w:pPr>
          </w:p>
        </w:tc>
        <w:tc>
          <w:tcPr>
            <w:tcW w:w="1709" w:type="dxa"/>
          </w:tcPr>
          <w:p>
            <w:pPr>
              <w:pStyle w:val="TableParagraph"/>
              <w:spacing w:before="46"/>
              <w:ind w:right="56"/>
              <w:jc w:val="right"/>
              <w:rPr>
                <w:sz w:val="14"/>
              </w:rPr>
            </w:pPr>
            <w:r>
              <w:rPr>
                <w:sz w:val="14"/>
              </w:rPr>
              <w:t>894</w:t>
            </w:r>
          </w:p>
        </w:tc>
        <w:tc>
          <w:tcPr>
            <w:tcW w:w="1711" w:type="dxa"/>
          </w:tcPr>
          <w:p>
            <w:pPr>
              <w:pStyle w:val="TableParagraph"/>
              <w:spacing w:before="46"/>
              <w:ind w:right="58"/>
              <w:jc w:val="right"/>
              <w:rPr>
                <w:sz w:val="14"/>
              </w:rPr>
            </w:pPr>
            <w:r>
              <w:rPr>
                <w:sz w:val="14"/>
              </w:rPr>
              <w:t>894</w:t>
            </w:r>
          </w:p>
        </w:tc>
      </w:tr>
      <w:tr>
        <w:trPr>
          <w:trHeight w:val="254" w:hRule="atLeast"/>
        </w:trPr>
        <w:tc>
          <w:tcPr>
            <w:tcW w:w="3075" w:type="dxa"/>
          </w:tcPr>
          <w:p>
            <w:pPr>
              <w:pStyle w:val="TableParagraph"/>
              <w:spacing w:before="46"/>
              <w:ind w:left="165"/>
              <w:rPr>
                <w:sz w:val="14"/>
              </w:rPr>
            </w:pPr>
            <w:r>
              <w:rPr>
                <w:sz w:val="14"/>
              </w:rPr>
              <w:t>Transferência</w:t>
            </w:r>
          </w:p>
        </w:tc>
        <w:tc>
          <w:tcPr>
            <w:tcW w:w="1711" w:type="dxa"/>
          </w:tcPr>
          <w:p>
            <w:pPr>
              <w:pStyle w:val="TableParagraph"/>
              <w:rPr>
                <w:rFonts w:ascii="Times New Roman"/>
                <w:sz w:val="18"/>
              </w:rPr>
            </w:pPr>
          </w:p>
        </w:tc>
        <w:tc>
          <w:tcPr>
            <w:tcW w:w="1709" w:type="dxa"/>
          </w:tcPr>
          <w:p>
            <w:pPr>
              <w:pStyle w:val="TableParagraph"/>
              <w:rPr>
                <w:rFonts w:ascii="Times New Roman"/>
                <w:sz w:val="18"/>
              </w:rPr>
            </w:pPr>
          </w:p>
        </w:tc>
        <w:tc>
          <w:tcPr>
            <w:tcW w:w="1709" w:type="dxa"/>
          </w:tcPr>
          <w:p>
            <w:pPr>
              <w:pStyle w:val="TableParagraph"/>
              <w:spacing w:before="46"/>
              <w:ind w:right="56"/>
              <w:jc w:val="right"/>
              <w:rPr>
                <w:sz w:val="14"/>
              </w:rPr>
            </w:pPr>
            <w:r>
              <w:rPr>
                <w:w w:val="95"/>
                <w:sz w:val="14"/>
              </w:rPr>
              <w:t>(2.713)</w:t>
            </w:r>
          </w:p>
        </w:tc>
        <w:tc>
          <w:tcPr>
            <w:tcW w:w="1711" w:type="dxa"/>
          </w:tcPr>
          <w:p>
            <w:pPr>
              <w:pStyle w:val="TableParagraph"/>
              <w:spacing w:before="46"/>
              <w:ind w:right="58"/>
              <w:jc w:val="right"/>
              <w:rPr>
                <w:sz w:val="14"/>
              </w:rPr>
            </w:pPr>
            <w:r>
              <w:rPr>
                <w:w w:val="95"/>
                <w:sz w:val="14"/>
              </w:rPr>
              <w:t>(2.713)</w:t>
            </w:r>
          </w:p>
        </w:tc>
      </w:tr>
      <w:tr>
        <w:trPr>
          <w:trHeight w:val="256" w:hRule="atLeast"/>
        </w:trPr>
        <w:tc>
          <w:tcPr>
            <w:tcW w:w="3075" w:type="dxa"/>
          </w:tcPr>
          <w:p>
            <w:pPr>
              <w:pStyle w:val="TableParagraph"/>
              <w:spacing w:before="46"/>
              <w:ind w:left="165"/>
              <w:rPr>
                <w:sz w:val="14"/>
              </w:rPr>
            </w:pPr>
            <w:r>
              <w:rPr>
                <w:sz w:val="14"/>
              </w:rPr>
              <w:t>Repasse</w:t>
            </w:r>
          </w:p>
        </w:tc>
        <w:tc>
          <w:tcPr>
            <w:tcW w:w="1711" w:type="dxa"/>
          </w:tcPr>
          <w:p>
            <w:pPr>
              <w:pStyle w:val="TableParagraph"/>
              <w:rPr>
                <w:rFonts w:ascii="Times New Roman"/>
                <w:sz w:val="18"/>
              </w:rPr>
            </w:pPr>
          </w:p>
        </w:tc>
        <w:tc>
          <w:tcPr>
            <w:tcW w:w="1709" w:type="dxa"/>
          </w:tcPr>
          <w:p>
            <w:pPr>
              <w:pStyle w:val="TableParagraph"/>
              <w:spacing w:before="46"/>
              <w:ind w:right="56"/>
              <w:jc w:val="right"/>
              <w:rPr>
                <w:sz w:val="14"/>
              </w:rPr>
            </w:pPr>
            <w:r>
              <w:rPr>
                <w:sz w:val="14"/>
              </w:rPr>
              <w:t>(226.205)</w:t>
            </w:r>
          </w:p>
        </w:tc>
        <w:tc>
          <w:tcPr>
            <w:tcW w:w="1709" w:type="dxa"/>
          </w:tcPr>
          <w:p>
            <w:pPr>
              <w:pStyle w:val="TableParagraph"/>
              <w:spacing w:before="46"/>
              <w:ind w:right="56"/>
              <w:jc w:val="right"/>
              <w:rPr>
                <w:sz w:val="14"/>
              </w:rPr>
            </w:pPr>
            <w:r>
              <w:rPr>
                <w:sz w:val="14"/>
              </w:rPr>
              <w:t>(42.293)</w:t>
            </w:r>
          </w:p>
        </w:tc>
        <w:tc>
          <w:tcPr>
            <w:tcW w:w="1711" w:type="dxa"/>
          </w:tcPr>
          <w:p>
            <w:pPr>
              <w:pStyle w:val="TableParagraph"/>
              <w:spacing w:before="46"/>
              <w:ind w:right="58"/>
              <w:jc w:val="right"/>
              <w:rPr>
                <w:sz w:val="14"/>
              </w:rPr>
            </w:pPr>
            <w:r>
              <w:rPr>
                <w:sz w:val="14"/>
              </w:rPr>
              <w:t>(268.498)</w:t>
            </w:r>
          </w:p>
        </w:tc>
      </w:tr>
      <w:tr>
        <w:trPr>
          <w:trHeight w:val="254" w:hRule="atLeast"/>
        </w:trPr>
        <w:tc>
          <w:tcPr>
            <w:tcW w:w="3075" w:type="dxa"/>
          </w:tcPr>
          <w:p>
            <w:pPr>
              <w:pStyle w:val="TableParagraph"/>
              <w:spacing w:before="44"/>
              <w:ind w:left="72"/>
              <w:rPr>
                <w:rFonts w:ascii="Caladea"/>
                <w:b/>
                <w:sz w:val="14"/>
              </w:rPr>
            </w:pPr>
            <w:r>
              <w:rPr>
                <w:rFonts w:ascii="Caladea"/>
                <w:b/>
                <w:sz w:val="14"/>
              </w:rPr>
              <w:t>Saldo em 31 de dezembro de 2019</w:t>
            </w:r>
          </w:p>
        </w:tc>
        <w:tc>
          <w:tcPr>
            <w:tcW w:w="1711" w:type="dxa"/>
          </w:tcPr>
          <w:p>
            <w:pPr>
              <w:pStyle w:val="TableParagraph"/>
              <w:spacing w:before="44"/>
              <w:ind w:right="57"/>
              <w:jc w:val="right"/>
              <w:rPr>
                <w:rFonts w:ascii="Caladea"/>
                <w:b/>
                <w:sz w:val="14"/>
              </w:rPr>
            </w:pPr>
            <w:r>
              <w:rPr>
                <w:rFonts w:ascii="Caladea"/>
                <w:b/>
                <w:sz w:val="14"/>
              </w:rPr>
              <w:t>23.524</w:t>
            </w:r>
          </w:p>
        </w:tc>
        <w:tc>
          <w:tcPr>
            <w:tcW w:w="1709" w:type="dxa"/>
          </w:tcPr>
          <w:p>
            <w:pPr>
              <w:pStyle w:val="TableParagraph"/>
              <w:spacing w:before="44"/>
              <w:ind w:right="58"/>
              <w:jc w:val="right"/>
              <w:rPr>
                <w:rFonts w:ascii="Caladea"/>
                <w:b/>
                <w:sz w:val="14"/>
              </w:rPr>
            </w:pPr>
            <w:r>
              <w:rPr>
                <w:rFonts w:ascii="Caladea"/>
                <w:b/>
                <w:sz w:val="14"/>
              </w:rPr>
              <w:t>18.374</w:t>
            </w:r>
          </w:p>
        </w:tc>
        <w:tc>
          <w:tcPr>
            <w:tcW w:w="1709" w:type="dxa"/>
          </w:tcPr>
          <w:p>
            <w:pPr>
              <w:pStyle w:val="TableParagraph"/>
              <w:rPr>
                <w:rFonts w:ascii="Times New Roman"/>
                <w:sz w:val="18"/>
              </w:rPr>
            </w:pPr>
          </w:p>
        </w:tc>
        <w:tc>
          <w:tcPr>
            <w:tcW w:w="1711" w:type="dxa"/>
          </w:tcPr>
          <w:p>
            <w:pPr>
              <w:pStyle w:val="TableParagraph"/>
              <w:spacing w:before="44"/>
              <w:ind w:right="58"/>
              <w:jc w:val="right"/>
              <w:rPr>
                <w:rFonts w:ascii="Caladea"/>
                <w:b/>
                <w:sz w:val="14"/>
              </w:rPr>
            </w:pPr>
            <w:r>
              <w:rPr>
                <w:rFonts w:ascii="Caladea"/>
                <w:b/>
                <w:sz w:val="14"/>
              </w:rPr>
              <w:t>41.898</w:t>
            </w:r>
          </w:p>
        </w:tc>
      </w:tr>
      <w:tr>
        <w:trPr>
          <w:trHeight w:val="256" w:hRule="atLeast"/>
        </w:trPr>
        <w:tc>
          <w:tcPr>
            <w:tcW w:w="3075" w:type="dxa"/>
          </w:tcPr>
          <w:p>
            <w:pPr>
              <w:pStyle w:val="TableParagraph"/>
              <w:spacing w:before="44"/>
              <w:ind w:left="72"/>
              <w:rPr>
                <w:rFonts w:ascii="Caladea"/>
                <w:b/>
                <w:sz w:val="14"/>
              </w:rPr>
            </w:pPr>
            <w:r>
              <w:rPr>
                <w:rFonts w:ascii="Caladea"/>
                <w:b/>
                <w:sz w:val="14"/>
              </w:rPr>
              <w:t>Circulante</w:t>
            </w:r>
          </w:p>
        </w:tc>
        <w:tc>
          <w:tcPr>
            <w:tcW w:w="1711" w:type="dxa"/>
          </w:tcPr>
          <w:p>
            <w:pPr>
              <w:pStyle w:val="TableParagraph"/>
              <w:spacing w:before="44"/>
              <w:ind w:right="56"/>
              <w:jc w:val="right"/>
              <w:rPr>
                <w:rFonts w:ascii="Caladea"/>
                <w:b/>
                <w:sz w:val="14"/>
              </w:rPr>
            </w:pPr>
            <w:r>
              <w:rPr>
                <w:rFonts w:ascii="Caladea"/>
                <w:b/>
                <w:sz w:val="14"/>
              </w:rPr>
              <w:t>23.524</w:t>
            </w:r>
          </w:p>
        </w:tc>
        <w:tc>
          <w:tcPr>
            <w:tcW w:w="1709" w:type="dxa"/>
          </w:tcPr>
          <w:p>
            <w:pPr>
              <w:pStyle w:val="TableParagraph"/>
              <w:spacing w:before="44"/>
              <w:ind w:right="58"/>
              <w:jc w:val="right"/>
              <w:rPr>
                <w:rFonts w:ascii="Caladea"/>
                <w:b/>
                <w:sz w:val="14"/>
              </w:rPr>
            </w:pPr>
            <w:r>
              <w:rPr>
                <w:rFonts w:ascii="Caladea"/>
                <w:b/>
                <w:sz w:val="14"/>
              </w:rPr>
              <w:t>18.374</w:t>
            </w:r>
          </w:p>
        </w:tc>
        <w:tc>
          <w:tcPr>
            <w:tcW w:w="1709" w:type="dxa"/>
          </w:tcPr>
          <w:p>
            <w:pPr>
              <w:pStyle w:val="TableParagraph"/>
              <w:rPr>
                <w:rFonts w:ascii="Times New Roman"/>
                <w:sz w:val="18"/>
              </w:rPr>
            </w:pPr>
          </w:p>
        </w:tc>
        <w:tc>
          <w:tcPr>
            <w:tcW w:w="1711" w:type="dxa"/>
          </w:tcPr>
          <w:p>
            <w:pPr>
              <w:pStyle w:val="TableParagraph"/>
              <w:spacing w:before="44"/>
              <w:ind w:right="58"/>
              <w:jc w:val="right"/>
              <w:rPr>
                <w:rFonts w:ascii="Caladea"/>
                <w:b/>
                <w:sz w:val="14"/>
              </w:rPr>
            </w:pPr>
            <w:r>
              <w:rPr>
                <w:rFonts w:ascii="Caladea"/>
                <w:b/>
                <w:sz w:val="14"/>
              </w:rPr>
              <w:t>41.898</w:t>
            </w:r>
          </w:p>
        </w:tc>
      </w:tr>
    </w:tbl>
    <w:p>
      <w:pPr>
        <w:pStyle w:val="BodyText"/>
        <w:spacing w:before="7"/>
      </w:pPr>
    </w:p>
    <w:p>
      <w:pPr>
        <w:pStyle w:val="Heading3"/>
        <w:numPr>
          <w:ilvl w:val="0"/>
          <w:numId w:val="6"/>
        </w:numPr>
        <w:tabs>
          <w:tab w:pos="953" w:val="left" w:leader="none"/>
          <w:tab w:pos="954" w:val="left" w:leader="none"/>
        </w:tabs>
        <w:spacing w:line="240" w:lineRule="auto" w:before="0" w:after="0"/>
        <w:ind w:left="953" w:right="0" w:hanging="782"/>
        <w:jc w:val="left"/>
      </w:pPr>
      <w:r>
        <w:rPr/>
        <w:t>ENCARGOS</w:t>
      </w:r>
      <w:r>
        <w:rPr>
          <w:spacing w:val="-2"/>
        </w:rPr>
        <w:t> </w:t>
      </w:r>
      <w:r>
        <w:rPr/>
        <w:t>REGULATÓRIOS</w:t>
      </w:r>
    </w:p>
    <w:p>
      <w:pPr>
        <w:pStyle w:val="BodyText"/>
        <w:spacing w:before="6"/>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37"/>
        <w:gridCol w:w="1949"/>
        <w:gridCol w:w="1948"/>
      </w:tblGrid>
      <w:tr>
        <w:trPr>
          <w:trHeight w:val="230" w:hRule="atLeast"/>
        </w:trPr>
        <w:tc>
          <w:tcPr>
            <w:tcW w:w="6037" w:type="dxa"/>
            <w:vMerge w:val="restart"/>
            <w:shd w:val="clear" w:color="auto" w:fill="D9D9D9"/>
          </w:tcPr>
          <w:p>
            <w:pPr>
              <w:pStyle w:val="TableParagraph"/>
              <w:rPr>
                <w:rFonts w:ascii="Times New Roman"/>
                <w:sz w:val="18"/>
              </w:rPr>
            </w:pPr>
          </w:p>
        </w:tc>
        <w:tc>
          <w:tcPr>
            <w:tcW w:w="3897" w:type="dxa"/>
            <w:gridSpan w:val="2"/>
          </w:tcPr>
          <w:p>
            <w:pPr>
              <w:pStyle w:val="TableParagraph"/>
              <w:spacing w:before="32"/>
              <w:ind w:left="1529" w:right="1520"/>
              <w:jc w:val="center"/>
              <w:rPr>
                <w:rFonts w:ascii="Caladea"/>
                <w:b/>
                <w:sz w:val="14"/>
              </w:rPr>
            </w:pPr>
            <w:r>
              <w:rPr>
                <w:rFonts w:ascii="Caladea"/>
                <w:b/>
                <w:sz w:val="14"/>
              </w:rPr>
              <w:t>Consolidado</w:t>
            </w:r>
          </w:p>
        </w:tc>
      </w:tr>
      <w:tr>
        <w:trPr>
          <w:trHeight w:val="402" w:hRule="atLeast"/>
        </w:trPr>
        <w:tc>
          <w:tcPr>
            <w:tcW w:w="6037" w:type="dxa"/>
            <w:vMerge/>
            <w:tcBorders>
              <w:top w:val="nil"/>
            </w:tcBorders>
            <w:shd w:val="clear" w:color="auto" w:fill="D9D9D9"/>
          </w:tcPr>
          <w:p>
            <w:pPr>
              <w:rPr>
                <w:sz w:val="2"/>
                <w:szCs w:val="2"/>
              </w:rPr>
            </w:pPr>
          </w:p>
        </w:tc>
        <w:tc>
          <w:tcPr>
            <w:tcW w:w="1949" w:type="dxa"/>
          </w:tcPr>
          <w:p>
            <w:pPr>
              <w:pStyle w:val="TableParagraph"/>
              <w:spacing w:before="119"/>
              <w:ind w:left="573"/>
              <w:rPr>
                <w:rFonts w:ascii="Caladea"/>
                <w:b/>
                <w:sz w:val="14"/>
              </w:rPr>
            </w:pPr>
            <w:r>
              <w:rPr>
                <w:rFonts w:ascii="Caladea"/>
                <w:b/>
                <w:sz w:val="14"/>
              </w:rPr>
              <w:t>31/12/2019</w:t>
            </w:r>
          </w:p>
        </w:tc>
        <w:tc>
          <w:tcPr>
            <w:tcW w:w="1948" w:type="dxa"/>
          </w:tcPr>
          <w:p>
            <w:pPr>
              <w:pStyle w:val="TableParagraph"/>
              <w:spacing w:before="119"/>
              <w:ind w:left="571"/>
              <w:rPr>
                <w:rFonts w:ascii="Caladea"/>
                <w:b/>
                <w:sz w:val="14"/>
              </w:rPr>
            </w:pPr>
            <w:r>
              <w:rPr>
                <w:rFonts w:ascii="Caladea"/>
                <w:b/>
                <w:sz w:val="14"/>
              </w:rPr>
              <w:t>31/12/2018</w:t>
            </w:r>
          </w:p>
        </w:tc>
      </w:tr>
      <w:tr>
        <w:trPr>
          <w:trHeight w:val="232" w:hRule="atLeast"/>
        </w:trPr>
        <w:tc>
          <w:tcPr>
            <w:tcW w:w="6037" w:type="dxa"/>
          </w:tcPr>
          <w:p>
            <w:pPr>
              <w:pStyle w:val="TableParagraph"/>
              <w:spacing w:before="32"/>
              <w:ind w:left="72"/>
              <w:rPr>
                <w:rFonts w:ascii="Caladea" w:hAnsi="Caladea"/>
                <w:b/>
                <w:sz w:val="14"/>
              </w:rPr>
            </w:pPr>
            <w:r>
              <w:rPr>
                <w:sz w:val="14"/>
              </w:rPr>
              <w:t>Pesquisa &amp; Desenvolvimento e Eficiência Energética </w:t>
            </w:r>
            <w:r>
              <w:rPr>
                <w:rFonts w:ascii="Caladea" w:hAnsi="Caladea"/>
                <w:b/>
                <w:sz w:val="14"/>
              </w:rPr>
              <w:t>(a)</w:t>
            </w:r>
          </w:p>
        </w:tc>
        <w:tc>
          <w:tcPr>
            <w:tcW w:w="1949" w:type="dxa"/>
          </w:tcPr>
          <w:p>
            <w:pPr>
              <w:pStyle w:val="TableParagraph"/>
              <w:spacing w:before="34"/>
              <w:ind w:right="57"/>
              <w:jc w:val="right"/>
              <w:rPr>
                <w:sz w:val="14"/>
              </w:rPr>
            </w:pPr>
            <w:r>
              <w:rPr>
                <w:w w:val="95"/>
                <w:sz w:val="14"/>
              </w:rPr>
              <w:t>137.692</w:t>
            </w:r>
          </w:p>
        </w:tc>
        <w:tc>
          <w:tcPr>
            <w:tcW w:w="1948" w:type="dxa"/>
          </w:tcPr>
          <w:p>
            <w:pPr>
              <w:pStyle w:val="TableParagraph"/>
              <w:spacing w:before="34"/>
              <w:ind w:right="56"/>
              <w:jc w:val="right"/>
              <w:rPr>
                <w:sz w:val="14"/>
              </w:rPr>
            </w:pPr>
            <w:r>
              <w:rPr>
                <w:w w:val="95"/>
                <w:sz w:val="14"/>
              </w:rPr>
              <w:t>139.653</w:t>
            </w:r>
          </w:p>
        </w:tc>
      </w:tr>
      <w:tr>
        <w:trPr>
          <w:trHeight w:val="230" w:hRule="atLeast"/>
        </w:trPr>
        <w:tc>
          <w:tcPr>
            <w:tcW w:w="6037" w:type="dxa"/>
          </w:tcPr>
          <w:p>
            <w:pPr>
              <w:pStyle w:val="TableParagraph"/>
              <w:spacing w:before="32"/>
              <w:ind w:left="72"/>
              <w:rPr>
                <w:rFonts w:ascii="Caladea"/>
                <w:b/>
                <w:sz w:val="14"/>
              </w:rPr>
            </w:pPr>
            <w:r>
              <w:rPr>
                <w:sz w:val="14"/>
              </w:rPr>
              <w:t>Encargos do Consumidor a Recolher </w:t>
            </w:r>
            <w:r>
              <w:rPr>
                <w:rFonts w:ascii="Caladea"/>
                <w:b/>
                <w:sz w:val="14"/>
              </w:rPr>
              <w:t>(b)</w:t>
            </w:r>
          </w:p>
        </w:tc>
        <w:tc>
          <w:tcPr>
            <w:tcW w:w="1949" w:type="dxa"/>
          </w:tcPr>
          <w:p>
            <w:pPr>
              <w:pStyle w:val="TableParagraph"/>
              <w:spacing w:before="34"/>
              <w:ind w:right="57"/>
              <w:jc w:val="right"/>
              <w:rPr>
                <w:sz w:val="14"/>
              </w:rPr>
            </w:pPr>
            <w:r>
              <w:rPr>
                <w:w w:val="95"/>
                <w:sz w:val="14"/>
              </w:rPr>
              <w:t>14.435</w:t>
            </w:r>
          </w:p>
        </w:tc>
        <w:tc>
          <w:tcPr>
            <w:tcW w:w="1948" w:type="dxa"/>
          </w:tcPr>
          <w:p>
            <w:pPr>
              <w:pStyle w:val="TableParagraph"/>
              <w:spacing w:before="34"/>
              <w:ind w:right="55"/>
              <w:jc w:val="right"/>
              <w:rPr>
                <w:sz w:val="14"/>
              </w:rPr>
            </w:pPr>
            <w:r>
              <w:rPr>
                <w:w w:val="95"/>
                <w:sz w:val="14"/>
              </w:rPr>
              <w:t>50.574</w:t>
            </w:r>
          </w:p>
        </w:tc>
      </w:tr>
      <w:tr>
        <w:trPr>
          <w:trHeight w:val="232" w:hRule="atLeast"/>
        </w:trPr>
        <w:tc>
          <w:tcPr>
            <w:tcW w:w="6037" w:type="dxa"/>
          </w:tcPr>
          <w:p>
            <w:pPr>
              <w:pStyle w:val="TableParagraph"/>
              <w:spacing w:before="32"/>
              <w:ind w:left="72"/>
              <w:rPr>
                <w:rFonts w:ascii="Caladea"/>
                <w:b/>
                <w:sz w:val="14"/>
              </w:rPr>
            </w:pPr>
            <w:r>
              <w:rPr>
                <w:rFonts w:ascii="Caladea"/>
                <w:b/>
                <w:sz w:val="14"/>
              </w:rPr>
              <w:t>Total</w:t>
            </w:r>
          </w:p>
        </w:tc>
        <w:tc>
          <w:tcPr>
            <w:tcW w:w="1949" w:type="dxa"/>
          </w:tcPr>
          <w:p>
            <w:pPr>
              <w:pStyle w:val="TableParagraph"/>
              <w:spacing w:before="32"/>
              <w:ind w:right="57"/>
              <w:jc w:val="right"/>
              <w:rPr>
                <w:rFonts w:ascii="Caladea"/>
                <w:b/>
                <w:sz w:val="14"/>
              </w:rPr>
            </w:pPr>
            <w:r>
              <w:rPr>
                <w:rFonts w:ascii="Caladea"/>
                <w:b/>
                <w:w w:val="95"/>
                <w:sz w:val="14"/>
              </w:rPr>
              <w:t>152.127</w:t>
            </w:r>
          </w:p>
        </w:tc>
        <w:tc>
          <w:tcPr>
            <w:tcW w:w="1948" w:type="dxa"/>
          </w:tcPr>
          <w:p>
            <w:pPr>
              <w:pStyle w:val="TableParagraph"/>
              <w:spacing w:before="32"/>
              <w:ind w:right="56"/>
              <w:jc w:val="right"/>
              <w:rPr>
                <w:rFonts w:ascii="Caladea"/>
                <w:b/>
                <w:sz w:val="14"/>
              </w:rPr>
            </w:pPr>
            <w:r>
              <w:rPr>
                <w:rFonts w:ascii="Caladea"/>
                <w:b/>
                <w:w w:val="95"/>
                <w:sz w:val="14"/>
              </w:rPr>
              <w:t>190.227</w:t>
            </w:r>
          </w:p>
        </w:tc>
      </w:tr>
      <w:tr>
        <w:trPr>
          <w:trHeight w:val="230" w:hRule="atLeast"/>
        </w:trPr>
        <w:tc>
          <w:tcPr>
            <w:tcW w:w="6037" w:type="dxa"/>
          </w:tcPr>
          <w:p>
            <w:pPr>
              <w:pStyle w:val="TableParagraph"/>
              <w:spacing w:before="32"/>
              <w:ind w:left="72"/>
              <w:rPr>
                <w:rFonts w:ascii="Caladea"/>
                <w:b/>
                <w:sz w:val="14"/>
              </w:rPr>
            </w:pPr>
            <w:r>
              <w:rPr>
                <w:rFonts w:ascii="Caladea"/>
                <w:b/>
                <w:sz w:val="14"/>
              </w:rPr>
              <w:t>Circulante</w:t>
            </w:r>
          </w:p>
        </w:tc>
        <w:tc>
          <w:tcPr>
            <w:tcW w:w="1949" w:type="dxa"/>
          </w:tcPr>
          <w:p>
            <w:pPr>
              <w:pStyle w:val="TableParagraph"/>
              <w:spacing w:before="32"/>
              <w:ind w:right="57"/>
              <w:jc w:val="right"/>
              <w:rPr>
                <w:rFonts w:ascii="Caladea"/>
                <w:b/>
                <w:sz w:val="14"/>
              </w:rPr>
            </w:pPr>
            <w:r>
              <w:rPr>
                <w:rFonts w:ascii="Caladea"/>
                <w:b/>
                <w:sz w:val="14"/>
              </w:rPr>
              <w:t>81.882</w:t>
            </w:r>
          </w:p>
        </w:tc>
        <w:tc>
          <w:tcPr>
            <w:tcW w:w="1948" w:type="dxa"/>
          </w:tcPr>
          <w:p>
            <w:pPr>
              <w:pStyle w:val="TableParagraph"/>
              <w:spacing w:before="32"/>
              <w:ind w:right="55"/>
              <w:jc w:val="right"/>
              <w:rPr>
                <w:rFonts w:ascii="Caladea"/>
                <w:b/>
                <w:sz w:val="14"/>
              </w:rPr>
            </w:pPr>
            <w:r>
              <w:rPr>
                <w:rFonts w:ascii="Caladea"/>
                <w:b/>
                <w:sz w:val="14"/>
              </w:rPr>
              <w:t>90.107</w:t>
            </w:r>
          </w:p>
        </w:tc>
      </w:tr>
      <w:tr>
        <w:trPr>
          <w:trHeight w:val="232" w:hRule="atLeast"/>
        </w:trPr>
        <w:tc>
          <w:tcPr>
            <w:tcW w:w="6037" w:type="dxa"/>
          </w:tcPr>
          <w:p>
            <w:pPr>
              <w:pStyle w:val="TableParagraph"/>
              <w:spacing w:before="32"/>
              <w:ind w:left="72"/>
              <w:rPr>
                <w:rFonts w:ascii="Caladea" w:hAnsi="Caladea"/>
                <w:b/>
                <w:sz w:val="14"/>
              </w:rPr>
            </w:pPr>
            <w:r>
              <w:rPr>
                <w:rFonts w:ascii="Caladea" w:hAnsi="Caladea"/>
                <w:b/>
                <w:sz w:val="14"/>
              </w:rPr>
              <w:t>Não Circulante</w:t>
            </w:r>
          </w:p>
        </w:tc>
        <w:tc>
          <w:tcPr>
            <w:tcW w:w="1949" w:type="dxa"/>
          </w:tcPr>
          <w:p>
            <w:pPr>
              <w:pStyle w:val="TableParagraph"/>
              <w:spacing w:before="32"/>
              <w:ind w:right="57"/>
              <w:jc w:val="right"/>
              <w:rPr>
                <w:rFonts w:ascii="Caladea"/>
                <w:b/>
                <w:sz w:val="14"/>
              </w:rPr>
            </w:pPr>
            <w:r>
              <w:rPr>
                <w:rFonts w:ascii="Caladea"/>
                <w:b/>
                <w:sz w:val="14"/>
              </w:rPr>
              <w:t>70.245</w:t>
            </w:r>
          </w:p>
        </w:tc>
        <w:tc>
          <w:tcPr>
            <w:tcW w:w="1948" w:type="dxa"/>
          </w:tcPr>
          <w:p>
            <w:pPr>
              <w:pStyle w:val="TableParagraph"/>
              <w:spacing w:before="32"/>
              <w:ind w:right="56"/>
              <w:jc w:val="right"/>
              <w:rPr>
                <w:rFonts w:ascii="Caladea"/>
                <w:b/>
                <w:sz w:val="14"/>
              </w:rPr>
            </w:pPr>
            <w:r>
              <w:rPr>
                <w:rFonts w:ascii="Caladea"/>
                <w:b/>
                <w:w w:val="95"/>
                <w:sz w:val="14"/>
              </w:rPr>
              <w:t>100.120</w:t>
            </w:r>
          </w:p>
        </w:tc>
      </w:tr>
    </w:tbl>
    <w:p>
      <w:pPr>
        <w:spacing w:after="0"/>
        <w:jc w:val="right"/>
        <w:rPr>
          <w:rFonts w:ascii="Caladea"/>
          <w:sz w:val="14"/>
        </w:rPr>
        <w:sectPr>
          <w:pgSz w:w="11910" w:h="16850"/>
          <w:pgMar w:header="792" w:footer="987"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Heading5"/>
        <w:numPr>
          <w:ilvl w:val="0"/>
          <w:numId w:val="28"/>
        </w:numPr>
        <w:tabs>
          <w:tab w:pos="601" w:val="left" w:leader="none"/>
        </w:tabs>
        <w:spacing w:line="240" w:lineRule="auto" w:before="11" w:after="0"/>
        <w:ind w:left="600" w:right="0" w:hanging="429"/>
        <w:jc w:val="both"/>
      </w:pPr>
      <w:r>
        <w:rPr>
          <w:w w:val="105"/>
        </w:rPr>
        <w:t>Obrigações</w:t>
      </w:r>
      <w:r>
        <w:rPr>
          <w:spacing w:val="-19"/>
          <w:w w:val="105"/>
        </w:rPr>
        <w:t> </w:t>
      </w:r>
      <w:r>
        <w:rPr>
          <w:w w:val="105"/>
        </w:rPr>
        <w:t>de</w:t>
      </w:r>
      <w:r>
        <w:rPr>
          <w:spacing w:val="-17"/>
          <w:w w:val="105"/>
        </w:rPr>
        <w:t> </w:t>
      </w:r>
      <w:r>
        <w:rPr>
          <w:w w:val="105"/>
        </w:rPr>
        <w:t>Pesquisa</w:t>
      </w:r>
      <w:r>
        <w:rPr>
          <w:spacing w:val="-18"/>
          <w:w w:val="105"/>
        </w:rPr>
        <w:t> </w:t>
      </w:r>
      <w:r>
        <w:rPr>
          <w:w w:val="105"/>
        </w:rPr>
        <w:t>e</w:t>
      </w:r>
      <w:r>
        <w:rPr>
          <w:spacing w:val="-17"/>
          <w:w w:val="105"/>
        </w:rPr>
        <w:t> </w:t>
      </w:r>
      <w:r>
        <w:rPr>
          <w:w w:val="105"/>
        </w:rPr>
        <w:t>Desenvolvimento</w:t>
      </w:r>
      <w:r>
        <w:rPr>
          <w:spacing w:val="-18"/>
          <w:w w:val="105"/>
        </w:rPr>
        <w:t> </w:t>
      </w:r>
      <w:r>
        <w:rPr>
          <w:rFonts w:ascii="Trebuchet MS" w:hAnsi="Trebuchet MS"/>
          <w:w w:val="105"/>
        </w:rPr>
        <w:t>–</w:t>
      </w:r>
      <w:r>
        <w:rPr>
          <w:rFonts w:ascii="Trebuchet MS" w:hAnsi="Trebuchet MS"/>
          <w:spacing w:val="-37"/>
          <w:w w:val="105"/>
        </w:rPr>
        <w:t> </w:t>
      </w:r>
      <w:r>
        <w:rPr>
          <w:w w:val="105"/>
        </w:rPr>
        <w:t>P&amp;D</w:t>
      </w:r>
      <w:r>
        <w:rPr>
          <w:spacing w:val="-17"/>
          <w:w w:val="105"/>
        </w:rPr>
        <w:t> </w:t>
      </w:r>
      <w:r>
        <w:rPr>
          <w:w w:val="105"/>
        </w:rPr>
        <w:t>e</w:t>
      </w:r>
      <w:r>
        <w:rPr>
          <w:spacing w:val="-18"/>
          <w:w w:val="105"/>
        </w:rPr>
        <w:t> </w:t>
      </w:r>
      <w:r>
        <w:rPr>
          <w:w w:val="105"/>
        </w:rPr>
        <w:t>Programa</w:t>
      </w:r>
      <w:r>
        <w:rPr>
          <w:spacing w:val="-18"/>
          <w:w w:val="105"/>
        </w:rPr>
        <w:t> </w:t>
      </w:r>
      <w:r>
        <w:rPr>
          <w:w w:val="105"/>
        </w:rPr>
        <w:t>de</w:t>
      </w:r>
      <w:r>
        <w:rPr>
          <w:spacing w:val="-17"/>
          <w:w w:val="105"/>
        </w:rPr>
        <w:t> </w:t>
      </w:r>
      <w:r>
        <w:rPr>
          <w:w w:val="105"/>
        </w:rPr>
        <w:t>Eficiência</w:t>
      </w:r>
      <w:r>
        <w:rPr>
          <w:spacing w:val="-18"/>
          <w:w w:val="105"/>
        </w:rPr>
        <w:t> </w:t>
      </w:r>
      <w:r>
        <w:rPr>
          <w:w w:val="105"/>
        </w:rPr>
        <w:t>Energética</w:t>
      </w:r>
      <w:r>
        <w:rPr>
          <w:spacing w:val="-18"/>
          <w:w w:val="105"/>
        </w:rPr>
        <w:t> </w:t>
      </w:r>
      <w:r>
        <w:rPr>
          <w:rFonts w:ascii="Trebuchet MS" w:hAnsi="Trebuchet MS"/>
          <w:w w:val="105"/>
        </w:rPr>
        <w:t>–</w:t>
      </w:r>
      <w:r>
        <w:rPr>
          <w:rFonts w:ascii="Trebuchet MS" w:hAnsi="Trebuchet MS"/>
          <w:spacing w:val="-37"/>
          <w:w w:val="105"/>
        </w:rPr>
        <w:t> </w:t>
      </w:r>
      <w:r>
        <w:rPr>
          <w:w w:val="105"/>
        </w:rPr>
        <w:t>PEE</w:t>
      </w:r>
    </w:p>
    <w:p>
      <w:pPr>
        <w:pStyle w:val="BodyText"/>
        <w:rPr>
          <w:rFonts w:ascii="Caladea"/>
          <w:b/>
          <w:sz w:val="21"/>
        </w:rPr>
      </w:pPr>
    </w:p>
    <w:p>
      <w:pPr>
        <w:pStyle w:val="BodyText"/>
        <w:spacing w:line="242" w:lineRule="auto"/>
        <w:ind w:left="172" w:right="409"/>
        <w:jc w:val="both"/>
      </w:pPr>
      <w:r>
        <w:rPr/>
        <w:t>A</w:t>
      </w:r>
      <w:r>
        <w:rPr>
          <w:spacing w:val="-11"/>
        </w:rPr>
        <w:t> </w:t>
      </w:r>
      <w:r>
        <w:rPr/>
        <w:t>controlada</w:t>
      </w:r>
      <w:r>
        <w:rPr>
          <w:spacing w:val="-11"/>
        </w:rPr>
        <w:t> </w:t>
      </w:r>
      <w:r>
        <w:rPr/>
        <w:t>CEB</w:t>
      </w:r>
      <w:r>
        <w:rPr>
          <w:spacing w:val="-11"/>
        </w:rPr>
        <w:t> </w:t>
      </w:r>
      <w:r>
        <w:rPr/>
        <w:t>DIS,</w:t>
      </w:r>
      <w:r>
        <w:rPr>
          <w:spacing w:val="-9"/>
        </w:rPr>
        <w:t> </w:t>
      </w:r>
      <w:r>
        <w:rPr/>
        <w:t>por</w:t>
      </w:r>
      <w:r>
        <w:rPr>
          <w:spacing w:val="-11"/>
        </w:rPr>
        <w:t> </w:t>
      </w:r>
      <w:r>
        <w:rPr/>
        <w:t>ser</w:t>
      </w:r>
      <w:r>
        <w:rPr>
          <w:spacing w:val="-10"/>
        </w:rPr>
        <w:t> </w:t>
      </w:r>
      <w:r>
        <w:rPr/>
        <w:t>uma</w:t>
      </w:r>
      <w:r>
        <w:rPr>
          <w:spacing w:val="-10"/>
        </w:rPr>
        <w:t> </w:t>
      </w:r>
      <w:r>
        <w:rPr/>
        <w:t>distribuidora</w:t>
      </w:r>
      <w:r>
        <w:rPr>
          <w:spacing w:val="-11"/>
        </w:rPr>
        <w:t> </w:t>
      </w:r>
      <w:r>
        <w:rPr/>
        <w:t>do</w:t>
      </w:r>
      <w:r>
        <w:rPr>
          <w:spacing w:val="-10"/>
        </w:rPr>
        <w:t> </w:t>
      </w:r>
      <w:r>
        <w:rPr/>
        <w:t>segmento</w:t>
      </w:r>
      <w:r>
        <w:rPr>
          <w:spacing w:val="-10"/>
        </w:rPr>
        <w:t> </w:t>
      </w:r>
      <w:r>
        <w:rPr/>
        <w:t>de</w:t>
      </w:r>
      <w:r>
        <w:rPr>
          <w:spacing w:val="-11"/>
        </w:rPr>
        <w:t> </w:t>
      </w:r>
      <w:r>
        <w:rPr/>
        <w:t>energia</w:t>
      </w:r>
      <w:r>
        <w:rPr>
          <w:spacing w:val="-9"/>
        </w:rPr>
        <w:t> </w:t>
      </w:r>
      <w:r>
        <w:rPr/>
        <w:t>elétrica,</w:t>
      </w:r>
      <w:r>
        <w:rPr>
          <w:spacing w:val="-9"/>
        </w:rPr>
        <w:t> </w:t>
      </w:r>
      <w:r>
        <w:rPr/>
        <w:t>é</w:t>
      </w:r>
      <w:r>
        <w:rPr>
          <w:spacing w:val="-11"/>
        </w:rPr>
        <w:t> </w:t>
      </w:r>
      <w:r>
        <w:rPr/>
        <w:t>obrigada</w:t>
      </w:r>
      <w:r>
        <w:rPr>
          <w:spacing w:val="-11"/>
        </w:rPr>
        <w:t> </w:t>
      </w:r>
      <w:r>
        <w:rPr/>
        <w:t>a</w:t>
      </w:r>
      <w:r>
        <w:rPr>
          <w:spacing w:val="-11"/>
        </w:rPr>
        <w:t> </w:t>
      </w:r>
      <w:r>
        <w:rPr/>
        <w:t>aplicar</w:t>
      </w:r>
      <w:r>
        <w:rPr>
          <w:spacing w:val="-11"/>
        </w:rPr>
        <w:t> </w:t>
      </w:r>
      <w:r>
        <w:rPr/>
        <w:t>1%</w:t>
      </w:r>
      <w:r>
        <w:rPr>
          <w:spacing w:val="-10"/>
        </w:rPr>
        <w:t> </w:t>
      </w:r>
      <w:r>
        <w:rPr/>
        <w:t>de</w:t>
      </w:r>
      <w:r>
        <w:rPr>
          <w:spacing w:val="-12"/>
        </w:rPr>
        <w:t> </w:t>
      </w:r>
      <w:r>
        <w:rPr/>
        <w:t>sua receita</w:t>
      </w:r>
      <w:r>
        <w:rPr>
          <w:spacing w:val="-44"/>
        </w:rPr>
        <w:t> </w:t>
      </w:r>
      <w:r>
        <w:rPr/>
        <w:t>operacional</w:t>
      </w:r>
      <w:r>
        <w:rPr>
          <w:spacing w:val="-44"/>
        </w:rPr>
        <w:t> </w:t>
      </w:r>
      <w:r>
        <w:rPr/>
        <w:t>líquida</w:t>
      </w:r>
      <w:r>
        <w:rPr>
          <w:spacing w:val="-43"/>
        </w:rPr>
        <w:t> </w:t>
      </w:r>
      <w:r>
        <w:rPr/>
        <w:t>(ROL)</w:t>
      </w:r>
      <w:r>
        <w:rPr>
          <w:spacing w:val="-44"/>
        </w:rPr>
        <w:t> </w:t>
      </w:r>
      <w:r>
        <w:rPr/>
        <w:t>em</w:t>
      </w:r>
      <w:r>
        <w:rPr>
          <w:spacing w:val="-43"/>
        </w:rPr>
        <w:t> </w:t>
      </w:r>
      <w:r>
        <w:rPr/>
        <w:t>ações</w:t>
      </w:r>
      <w:r>
        <w:rPr>
          <w:spacing w:val="-43"/>
        </w:rPr>
        <w:t> </w:t>
      </w:r>
      <w:r>
        <w:rPr/>
        <w:t>que</w:t>
      </w:r>
      <w:r>
        <w:rPr>
          <w:spacing w:val="-45"/>
        </w:rPr>
        <w:t> </w:t>
      </w:r>
      <w:r>
        <w:rPr/>
        <w:t>tenham</w:t>
      </w:r>
      <w:r>
        <w:rPr>
          <w:spacing w:val="-43"/>
        </w:rPr>
        <w:t> </w:t>
      </w:r>
      <w:r>
        <w:rPr/>
        <w:t>como</w:t>
      </w:r>
      <w:r>
        <w:rPr>
          <w:spacing w:val="-43"/>
        </w:rPr>
        <w:t> </w:t>
      </w:r>
      <w:r>
        <w:rPr/>
        <w:t>objetivo</w:t>
      </w:r>
      <w:r>
        <w:rPr>
          <w:spacing w:val="-44"/>
        </w:rPr>
        <w:t> </w:t>
      </w:r>
      <w:r>
        <w:rPr/>
        <w:t>o</w:t>
      </w:r>
      <w:r>
        <w:rPr>
          <w:spacing w:val="-44"/>
        </w:rPr>
        <w:t> </w:t>
      </w:r>
      <w:r>
        <w:rPr/>
        <w:t>combate</w:t>
      </w:r>
      <w:r>
        <w:rPr>
          <w:spacing w:val="-43"/>
        </w:rPr>
        <w:t> </w:t>
      </w:r>
      <w:r>
        <w:rPr/>
        <w:t>ao</w:t>
      </w:r>
      <w:r>
        <w:rPr>
          <w:spacing w:val="-44"/>
        </w:rPr>
        <w:t> </w:t>
      </w:r>
      <w:r>
        <w:rPr/>
        <w:t>desperdício</w:t>
      </w:r>
      <w:r>
        <w:rPr>
          <w:spacing w:val="-44"/>
        </w:rPr>
        <w:t> </w:t>
      </w:r>
      <w:r>
        <w:rPr/>
        <w:t>de</w:t>
      </w:r>
      <w:r>
        <w:rPr>
          <w:spacing w:val="-43"/>
        </w:rPr>
        <w:t> </w:t>
      </w:r>
      <w:r>
        <w:rPr/>
        <w:t>energia</w:t>
      </w:r>
      <w:r>
        <w:rPr>
          <w:spacing w:val="-43"/>
        </w:rPr>
        <w:t> </w:t>
      </w:r>
      <w:r>
        <w:rPr/>
        <w:t>elétrica</w:t>
      </w:r>
      <w:r>
        <w:rPr>
          <w:spacing w:val="-44"/>
        </w:rPr>
        <w:t> </w:t>
      </w:r>
      <w:r>
        <w:rPr/>
        <w:t>e o</w:t>
      </w:r>
      <w:r>
        <w:rPr>
          <w:spacing w:val="-20"/>
        </w:rPr>
        <w:t> </w:t>
      </w:r>
      <w:r>
        <w:rPr/>
        <w:t>desenvolvimento</w:t>
      </w:r>
      <w:r>
        <w:rPr>
          <w:spacing w:val="-18"/>
        </w:rPr>
        <w:t> </w:t>
      </w:r>
      <w:r>
        <w:rPr/>
        <w:t>tecnológico</w:t>
      </w:r>
      <w:r>
        <w:rPr>
          <w:spacing w:val="-19"/>
        </w:rPr>
        <w:t> </w:t>
      </w:r>
      <w:r>
        <w:rPr/>
        <w:t>do</w:t>
      </w:r>
      <w:r>
        <w:rPr>
          <w:spacing w:val="-19"/>
        </w:rPr>
        <w:t> </w:t>
      </w:r>
      <w:r>
        <w:rPr/>
        <w:t>setor</w:t>
      </w:r>
      <w:r>
        <w:rPr>
          <w:spacing w:val="-18"/>
        </w:rPr>
        <w:t> </w:t>
      </w:r>
      <w:r>
        <w:rPr/>
        <w:t>elétrico.</w:t>
      </w:r>
    </w:p>
    <w:p>
      <w:pPr>
        <w:pStyle w:val="BodyText"/>
        <w:spacing w:before="7"/>
      </w:pPr>
    </w:p>
    <w:p>
      <w:pPr>
        <w:pStyle w:val="BodyText"/>
        <w:spacing w:line="242" w:lineRule="auto"/>
        <w:ind w:left="172" w:right="418"/>
        <w:jc w:val="both"/>
      </w:pPr>
      <w:r>
        <w:rPr/>
        <w:t>A</w:t>
      </w:r>
      <w:r>
        <w:rPr>
          <w:spacing w:val="-21"/>
        </w:rPr>
        <w:t> </w:t>
      </w:r>
      <w:r>
        <w:rPr/>
        <w:t>obrigatoriedade</w:t>
      </w:r>
      <w:r>
        <w:rPr>
          <w:spacing w:val="-22"/>
        </w:rPr>
        <w:t> </w:t>
      </w:r>
      <w:r>
        <w:rPr/>
        <w:t>na</w:t>
      </w:r>
      <w:r>
        <w:rPr>
          <w:spacing w:val="-21"/>
        </w:rPr>
        <w:t> </w:t>
      </w:r>
      <w:r>
        <w:rPr/>
        <w:t>aplicação</w:t>
      </w:r>
      <w:r>
        <w:rPr>
          <w:spacing w:val="-21"/>
        </w:rPr>
        <w:t> </w:t>
      </w:r>
      <w:r>
        <w:rPr/>
        <w:t>desses</w:t>
      </w:r>
      <w:r>
        <w:rPr>
          <w:spacing w:val="-20"/>
        </w:rPr>
        <w:t> </w:t>
      </w:r>
      <w:r>
        <w:rPr/>
        <w:t>recursos</w:t>
      </w:r>
      <w:r>
        <w:rPr>
          <w:spacing w:val="-21"/>
        </w:rPr>
        <w:t> </w:t>
      </w:r>
      <w:r>
        <w:rPr/>
        <w:t>está</w:t>
      </w:r>
      <w:r>
        <w:rPr>
          <w:spacing w:val="-20"/>
        </w:rPr>
        <w:t> </w:t>
      </w:r>
      <w:r>
        <w:rPr/>
        <w:t>prevista</w:t>
      </w:r>
      <w:r>
        <w:rPr>
          <w:spacing w:val="-21"/>
        </w:rPr>
        <w:t> </w:t>
      </w:r>
      <w:r>
        <w:rPr/>
        <w:t>em</w:t>
      </w:r>
      <w:r>
        <w:rPr>
          <w:spacing w:val="-21"/>
        </w:rPr>
        <w:t> </w:t>
      </w:r>
      <w:r>
        <w:rPr/>
        <w:t>lei</w:t>
      </w:r>
      <w:r>
        <w:rPr>
          <w:spacing w:val="-21"/>
        </w:rPr>
        <w:t> </w:t>
      </w:r>
      <w:r>
        <w:rPr/>
        <w:t>e</w:t>
      </w:r>
      <w:r>
        <w:rPr>
          <w:spacing w:val="-21"/>
        </w:rPr>
        <w:t> </w:t>
      </w:r>
      <w:r>
        <w:rPr/>
        <w:t>no</w:t>
      </w:r>
      <w:r>
        <w:rPr>
          <w:spacing w:val="-21"/>
        </w:rPr>
        <w:t> </w:t>
      </w:r>
      <w:r>
        <w:rPr/>
        <w:t>contrato</w:t>
      </w:r>
      <w:r>
        <w:rPr>
          <w:spacing w:val="-20"/>
        </w:rPr>
        <w:t> </w:t>
      </w:r>
      <w:r>
        <w:rPr/>
        <w:t>de</w:t>
      </w:r>
      <w:r>
        <w:rPr>
          <w:spacing w:val="-22"/>
        </w:rPr>
        <w:t> </w:t>
      </w:r>
      <w:r>
        <w:rPr/>
        <w:t>concessão,</w:t>
      </w:r>
      <w:r>
        <w:rPr>
          <w:spacing w:val="-21"/>
        </w:rPr>
        <w:t> </w:t>
      </w:r>
      <w:r>
        <w:rPr/>
        <w:t>cabendo</w:t>
      </w:r>
      <w:r>
        <w:rPr>
          <w:spacing w:val="-22"/>
        </w:rPr>
        <w:t> </w:t>
      </w:r>
      <w:r>
        <w:rPr/>
        <w:t>à</w:t>
      </w:r>
      <w:r>
        <w:rPr>
          <w:spacing w:val="-20"/>
        </w:rPr>
        <w:t> </w:t>
      </w:r>
      <w:r>
        <w:rPr/>
        <w:t>ANEEL regulamentar</w:t>
      </w:r>
      <w:r>
        <w:rPr>
          <w:spacing w:val="-31"/>
        </w:rPr>
        <w:t> </w:t>
      </w:r>
      <w:r>
        <w:rPr/>
        <w:t>os</w:t>
      </w:r>
      <w:r>
        <w:rPr>
          <w:spacing w:val="-31"/>
        </w:rPr>
        <w:t> </w:t>
      </w:r>
      <w:r>
        <w:rPr/>
        <w:t>investimentos</w:t>
      </w:r>
      <w:r>
        <w:rPr>
          <w:spacing w:val="-30"/>
        </w:rPr>
        <w:t> </w:t>
      </w:r>
      <w:r>
        <w:rPr/>
        <w:t>nos</w:t>
      </w:r>
      <w:r>
        <w:rPr>
          <w:spacing w:val="-29"/>
        </w:rPr>
        <w:t> </w:t>
      </w:r>
      <w:r>
        <w:rPr/>
        <w:t>programas,</w:t>
      </w:r>
      <w:r>
        <w:rPr>
          <w:spacing w:val="-31"/>
        </w:rPr>
        <w:t> </w:t>
      </w:r>
      <w:r>
        <w:rPr/>
        <w:t>acompanhar</w:t>
      </w:r>
      <w:r>
        <w:rPr>
          <w:spacing w:val="-31"/>
        </w:rPr>
        <w:t> </w:t>
      </w:r>
      <w:r>
        <w:rPr/>
        <w:t>a</w:t>
      </w:r>
      <w:r>
        <w:rPr>
          <w:spacing w:val="-30"/>
        </w:rPr>
        <w:t> </w:t>
      </w:r>
      <w:r>
        <w:rPr/>
        <w:t>execução</w:t>
      </w:r>
      <w:r>
        <w:rPr>
          <w:spacing w:val="-31"/>
        </w:rPr>
        <w:t> </w:t>
      </w:r>
      <w:r>
        <w:rPr/>
        <w:t>dos</w:t>
      </w:r>
      <w:r>
        <w:rPr>
          <w:spacing w:val="-29"/>
        </w:rPr>
        <w:t> </w:t>
      </w:r>
      <w:r>
        <w:rPr/>
        <w:t>projetos</w:t>
      </w:r>
      <w:r>
        <w:rPr>
          <w:spacing w:val="-29"/>
        </w:rPr>
        <w:t> </w:t>
      </w:r>
      <w:r>
        <w:rPr/>
        <w:t>e</w:t>
      </w:r>
      <w:r>
        <w:rPr>
          <w:spacing w:val="-32"/>
        </w:rPr>
        <w:t> </w:t>
      </w:r>
      <w:r>
        <w:rPr/>
        <w:t>avaliar</w:t>
      </w:r>
      <w:r>
        <w:rPr>
          <w:spacing w:val="-31"/>
        </w:rPr>
        <w:t> </w:t>
      </w:r>
      <w:r>
        <w:rPr/>
        <w:t>seus</w:t>
      </w:r>
      <w:r>
        <w:rPr>
          <w:spacing w:val="-28"/>
        </w:rPr>
        <w:t> </w:t>
      </w:r>
      <w:r>
        <w:rPr/>
        <w:t>resultados.</w:t>
      </w:r>
    </w:p>
    <w:p>
      <w:pPr>
        <w:pStyle w:val="BodyText"/>
        <w:spacing w:before="7"/>
      </w:pPr>
    </w:p>
    <w:p>
      <w:pPr>
        <w:pStyle w:val="BodyText"/>
        <w:spacing w:line="242" w:lineRule="auto"/>
        <w:ind w:left="172" w:right="405"/>
        <w:jc w:val="both"/>
      </w:pPr>
      <w:r>
        <w:rPr/>
        <w:t>O</w:t>
      </w:r>
      <w:r>
        <w:rPr>
          <w:spacing w:val="-28"/>
        </w:rPr>
        <w:t> </w:t>
      </w:r>
      <w:r>
        <w:rPr/>
        <w:t>montante</w:t>
      </w:r>
      <w:r>
        <w:rPr>
          <w:spacing w:val="-29"/>
        </w:rPr>
        <w:t> </w:t>
      </w:r>
      <w:r>
        <w:rPr/>
        <w:t>de</w:t>
      </w:r>
      <w:r>
        <w:rPr>
          <w:spacing w:val="-29"/>
        </w:rPr>
        <w:t> </w:t>
      </w:r>
      <w:r>
        <w:rPr/>
        <w:t>1%</w:t>
      </w:r>
      <w:r>
        <w:rPr>
          <w:spacing w:val="-26"/>
        </w:rPr>
        <w:t> </w:t>
      </w:r>
      <w:r>
        <w:rPr/>
        <w:t>é</w:t>
      </w:r>
      <w:r>
        <w:rPr>
          <w:spacing w:val="-28"/>
        </w:rPr>
        <w:t> </w:t>
      </w:r>
      <w:r>
        <w:rPr/>
        <w:t>destinado</w:t>
      </w:r>
      <w:r>
        <w:rPr>
          <w:spacing w:val="-28"/>
        </w:rPr>
        <w:t> </w:t>
      </w:r>
      <w:r>
        <w:rPr/>
        <w:t>aos</w:t>
      </w:r>
      <w:r>
        <w:rPr>
          <w:spacing w:val="-28"/>
        </w:rPr>
        <w:t> </w:t>
      </w:r>
      <w:r>
        <w:rPr/>
        <w:t>Programas</w:t>
      </w:r>
      <w:r>
        <w:rPr>
          <w:spacing w:val="-27"/>
        </w:rPr>
        <w:t> </w:t>
      </w:r>
      <w:r>
        <w:rPr/>
        <w:t>de</w:t>
      </w:r>
      <w:r>
        <w:rPr>
          <w:spacing w:val="-28"/>
        </w:rPr>
        <w:t> </w:t>
      </w:r>
      <w:r>
        <w:rPr/>
        <w:t>Eficiência</w:t>
      </w:r>
      <w:r>
        <w:rPr>
          <w:spacing w:val="-28"/>
        </w:rPr>
        <w:t> </w:t>
      </w:r>
      <w:r>
        <w:rPr/>
        <w:t>Energética</w:t>
      </w:r>
      <w:r>
        <w:rPr>
          <w:spacing w:val="-22"/>
        </w:rPr>
        <w:t> </w:t>
      </w:r>
      <w:r>
        <w:rPr/>
        <w:t>–</w:t>
      </w:r>
      <w:r>
        <w:rPr>
          <w:spacing w:val="-26"/>
        </w:rPr>
        <w:t> </w:t>
      </w:r>
      <w:r>
        <w:rPr/>
        <w:t>PEE;</w:t>
      </w:r>
      <w:r>
        <w:rPr>
          <w:spacing w:val="-27"/>
        </w:rPr>
        <w:t> </w:t>
      </w:r>
      <w:r>
        <w:rPr/>
        <w:t>Pesquisa</w:t>
      </w:r>
      <w:r>
        <w:rPr>
          <w:spacing w:val="-27"/>
        </w:rPr>
        <w:t> </w:t>
      </w:r>
      <w:r>
        <w:rPr/>
        <w:t>e</w:t>
      </w:r>
      <w:r>
        <w:rPr>
          <w:spacing w:val="-29"/>
        </w:rPr>
        <w:t> </w:t>
      </w:r>
      <w:r>
        <w:rPr/>
        <w:t>Desenvolvimento</w:t>
      </w:r>
      <w:r>
        <w:rPr>
          <w:spacing w:val="-26"/>
        </w:rPr>
        <w:t> </w:t>
      </w:r>
      <w:r>
        <w:rPr/>
        <w:t>–</w:t>
      </w:r>
      <w:r>
        <w:rPr>
          <w:spacing w:val="-26"/>
        </w:rPr>
        <w:t> </w:t>
      </w:r>
      <w:r>
        <w:rPr/>
        <w:t>P&amp;D;</w:t>
      </w:r>
      <w:r>
        <w:rPr>
          <w:spacing w:val="-27"/>
        </w:rPr>
        <w:t> </w:t>
      </w:r>
      <w:r>
        <w:rPr/>
        <w:t>ao </w:t>
      </w:r>
      <w:r>
        <w:rPr>
          <w:w w:val="101"/>
        </w:rPr>
        <w:t>F</w:t>
      </w:r>
      <w:r>
        <w:rPr>
          <w:spacing w:val="-1"/>
          <w:w w:val="100"/>
        </w:rPr>
        <w:t>und</w:t>
      </w:r>
      <w:r>
        <w:rPr>
          <w:w w:val="100"/>
        </w:rPr>
        <w:t>o</w:t>
      </w:r>
      <w:r>
        <w:rPr>
          <w:spacing w:val="-14"/>
        </w:rPr>
        <w:t> </w:t>
      </w:r>
      <w:r>
        <w:rPr>
          <w:spacing w:val="1"/>
          <w:w w:val="106"/>
        </w:rPr>
        <w:t>N</w:t>
      </w:r>
      <w:r>
        <w:rPr>
          <w:w w:val="92"/>
        </w:rPr>
        <w:t>a</w:t>
      </w:r>
      <w:r>
        <w:rPr>
          <w:w w:val="88"/>
        </w:rPr>
        <w:t>c</w:t>
      </w:r>
      <w:r>
        <w:rPr>
          <w:w w:val="99"/>
        </w:rPr>
        <w:t>io</w:t>
      </w:r>
      <w:r>
        <w:rPr>
          <w:spacing w:val="-2"/>
          <w:w w:val="99"/>
        </w:rPr>
        <w:t>n</w:t>
      </w:r>
      <w:r>
        <w:rPr>
          <w:w w:val="92"/>
        </w:rPr>
        <w:t>a</w:t>
      </w:r>
      <w:r>
        <w:rPr>
          <w:w w:val="91"/>
        </w:rPr>
        <w:t>l</w:t>
      </w:r>
      <w:r>
        <w:rPr>
          <w:spacing w:val="-12"/>
        </w:rPr>
        <w:t> </w:t>
      </w:r>
      <w:r>
        <w:rPr>
          <w:w w:val="94"/>
        </w:rPr>
        <w:t>de</w:t>
      </w:r>
      <w:r>
        <w:rPr>
          <w:spacing w:val="-14"/>
        </w:rPr>
        <w:t> </w:t>
      </w:r>
      <w:r>
        <w:rPr>
          <w:spacing w:val="2"/>
          <w:w w:val="107"/>
        </w:rPr>
        <w:t>D</w:t>
      </w:r>
      <w:r>
        <w:rPr>
          <w:spacing w:val="-2"/>
          <w:w w:val="89"/>
        </w:rPr>
        <w:t>e</w:t>
      </w:r>
      <w:r>
        <w:rPr>
          <w:w w:val="105"/>
        </w:rPr>
        <w:t>s</w:t>
      </w:r>
      <w:r>
        <w:rPr>
          <w:spacing w:val="1"/>
          <w:w w:val="89"/>
        </w:rPr>
        <w:t>e</w:t>
      </w:r>
      <w:r>
        <w:rPr>
          <w:spacing w:val="-1"/>
          <w:w w:val="101"/>
        </w:rPr>
        <w:t>n</w:t>
      </w:r>
      <w:r>
        <w:rPr>
          <w:w w:val="98"/>
        </w:rPr>
        <w:t>vo</w:t>
      </w:r>
      <w:r>
        <w:rPr>
          <w:spacing w:val="1"/>
          <w:w w:val="98"/>
        </w:rPr>
        <w:t>l</w:t>
      </w:r>
      <w:r>
        <w:rPr>
          <w:w w:val="97"/>
        </w:rPr>
        <w:t>vim</w:t>
      </w:r>
      <w:r>
        <w:rPr>
          <w:spacing w:val="1"/>
          <w:w w:val="97"/>
        </w:rPr>
        <w:t>e</w:t>
      </w:r>
      <w:r>
        <w:rPr>
          <w:spacing w:val="-1"/>
          <w:w w:val="101"/>
        </w:rPr>
        <w:t>n</w:t>
      </w:r>
      <w:r>
        <w:rPr>
          <w:spacing w:val="-1"/>
          <w:w w:val="92"/>
        </w:rPr>
        <w:t>t</w:t>
      </w:r>
      <w:r>
        <w:rPr>
          <w:w w:val="92"/>
        </w:rPr>
        <w:t>o</w:t>
      </w:r>
      <w:r>
        <w:rPr>
          <w:spacing w:val="-13"/>
        </w:rPr>
        <w:t> </w:t>
      </w:r>
      <w:r>
        <w:rPr>
          <w:w w:val="93"/>
        </w:rPr>
        <w:t>C</w:t>
      </w:r>
      <w:r>
        <w:rPr>
          <w:spacing w:val="2"/>
          <w:w w:val="97"/>
        </w:rPr>
        <w:t>i</w:t>
      </w:r>
      <w:r>
        <w:rPr>
          <w:spacing w:val="-2"/>
          <w:w w:val="89"/>
        </w:rPr>
        <w:t>e</w:t>
      </w:r>
      <w:r>
        <w:rPr>
          <w:spacing w:val="-1"/>
          <w:w w:val="101"/>
        </w:rPr>
        <w:t>n</w:t>
      </w:r>
      <w:r>
        <w:rPr>
          <w:spacing w:val="1"/>
          <w:w w:val="85"/>
        </w:rPr>
        <w:t>t</w:t>
      </w:r>
      <w:r>
        <w:rPr>
          <w:w w:val="90"/>
        </w:rPr>
        <w:t>íf</w:t>
      </w:r>
      <w:r>
        <w:rPr>
          <w:spacing w:val="-1"/>
          <w:w w:val="90"/>
        </w:rPr>
        <w:t>i</w:t>
      </w:r>
      <w:r>
        <w:rPr>
          <w:w w:val="88"/>
        </w:rPr>
        <w:t>c</w:t>
      </w:r>
      <w:r>
        <w:rPr>
          <w:w w:val="98"/>
        </w:rPr>
        <w:t>o</w:t>
      </w:r>
      <w:r>
        <w:rPr>
          <w:spacing w:val="-11"/>
        </w:rPr>
        <w:t> </w:t>
      </w:r>
      <w:r>
        <w:rPr>
          <w:w w:val="89"/>
        </w:rPr>
        <w:t>e</w:t>
      </w:r>
      <w:r>
        <w:rPr>
          <w:spacing w:val="-14"/>
        </w:rPr>
        <w:t> </w:t>
      </w:r>
      <w:r>
        <w:rPr>
          <w:spacing w:val="1"/>
          <w:w w:val="101"/>
        </w:rPr>
        <w:t>T</w:t>
      </w:r>
      <w:r>
        <w:rPr>
          <w:spacing w:val="-2"/>
          <w:w w:val="89"/>
        </w:rPr>
        <w:t>e</w:t>
      </w:r>
      <w:r>
        <w:rPr>
          <w:w w:val="88"/>
        </w:rPr>
        <w:t>c</w:t>
      </w:r>
      <w:r>
        <w:rPr>
          <w:spacing w:val="-1"/>
          <w:w w:val="101"/>
        </w:rPr>
        <w:t>n</w:t>
      </w:r>
      <w:r>
        <w:rPr>
          <w:w w:val="96"/>
        </w:rPr>
        <w:t>ol</w:t>
      </w:r>
      <w:r>
        <w:rPr>
          <w:spacing w:val="2"/>
          <w:w w:val="98"/>
        </w:rPr>
        <w:t>ó</w:t>
      </w:r>
      <w:r>
        <w:rPr>
          <w:spacing w:val="-1"/>
          <w:w w:val="94"/>
        </w:rPr>
        <w:t>gi</w:t>
      </w:r>
      <w:r>
        <w:rPr>
          <w:w w:val="94"/>
        </w:rPr>
        <w:t>c</w:t>
      </w:r>
      <w:r>
        <w:rPr>
          <w:w w:val="98"/>
        </w:rPr>
        <w:t>o</w:t>
      </w:r>
      <w:r>
        <w:rPr>
          <w:spacing w:val="-5"/>
        </w:rPr>
        <w:t> </w:t>
      </w:r>
      <w:r>
        <w:rPr>
          <w:w w:val="135"/>
        </w:rPr>
        <w:t>–</w:t>
      </w:r>
      <w:r>
        <w:rPr>
          <w:spacing w:val="-12"/>
        </w:rPr>
        <w:t> </w:t>
      </w:r>
      <w:r>
        <w:rPr>
          <w:w w:val="101"/>
        </w:rPr>
        <w:t>F</w:t>
      </w:r>
      <w:r>
        <w:rPr>
          <w:spacing w:val="1"/>
          <w:w w:val="106"/>
        </w:rPr>
        <w:t>N</w:t>
      </w:r>
      <w:r>
        <w:rPr>
          <w:w w:val="100"/>
        </w:rPr>
        <w:t>DC</w:t>
      </w:r>
      <w:r>
        <w:rPr>
          <w:w w:val="90"/>
        </w:rPr>
        <w:t>T;</w:t>
      </w:r>
      <w:r>
        <w:rPr>
          <w:spacing w:val="-13"/>
        </w:rPr>
        <w:t> </w:t>
      </w:r>
      <w:r>
        <w:rPr>
          <w:w w:val="89"/>
        </w:rPr>
        <w:t>e</w:t>
      </w:r>
      <w:r>
        <w:rPr>
          <w:spacing w:val="-14"/>
        </w:rPr>
        <w:t> </w:t>
      </w:r>
      <w:r>
        <w:rPr>
          <w:spacing w:val="2"/>
          <w:w w:val="92"/>
        </w:rPr>
        <w:t>a</w:t>
      </w:r>
      <w:r>
        <w:rPr>
          <w:w w:val="98"/>
        </w:rPr>
        <w:t>o</w:t>
      </w:r>
      <w:r>
        <w:rPr>
          <w:spacing w:val="-13"/>
        </w:rPr>
        <w:t> </w:t>
      </w:r>
      <w:r>
        <w:rPr>
          <w:w w:val="114"/>
        </w:rPr>
        <w:t>M</w:t>
      </w:r>
      <w:r>
        <w:rPr>
          <w:w w:val="100"/>
        </w:rPr>
        <w:t>i</w:t>
      </w:r>
      <w:r>
        <w:rPr>
          <w:spacing w:val="-1"/>
          <w:w w:val="100"/>
        </w:rPr>
        <w:t>n</w:t>
      </w:r>
      <w:r>
        <w:rPr>
          <w:w w:val="93"/>
        </w:rPr>
        <w:t>ist</w:t>
      </w:r>
      <w:r>
        <w:rPr>
          <w:spacing w:val="1"/>
          <w:w w:val="93"/>
        </w:rPr>
        <w:t>é</w:t>
      </w:r>
      <w:r>
        <w:rPr>
          <w:spacing w:val="-1"/>
          <w:w w:val="105"/>
        </w:rPr>
        <w:t>r</w:t>
      </w:r>
      <w:r>
        <w:rPr>
          <w:spacing w:val="2"/>
          <w:w w:val="97"/>
        </w:rPr>
        <w:t>i</w:t>
      </w:r>
      <w:r>
        <w:rPr>
          <w:w w:val="98"/>
        </w:rPr>
        <w:t>o</w:t>
      </w:r>
      <w:r>
        <w:rPr>
          <w:spacing w:val="-13"/>
        </w:rPr>
        <w:t> </w:t>
      </w:r>
      <w:r>
        <w:rPr>
          <w:w w:val="94"/>
        </w:rPr>
        <w:t>de</w:t>
      </w:r>
      <w:r>
        <w:rPr>
          <w:spacing w:val="-14"/>
        </w:rPr>
        <w:t> </w:t>
      </w:r>
      <w:r>
        <w:rPr>
          <w:w w:val="114"/>
        </w:rPr>
        <w:t>M</w:t>
      </w:r>
      <w:r>
        <w:rPr>
          <w:spacing w:val="2"/>
          <w:w w:val="97"/>
        </w:rPr>
        <w:t>i</w:t>
      </w:r>
      <w:r>
        <w:rPr>
          <w:spacing w:val="-1"/>
          <w:w w:val="101"/>
        </w:rPr>
        <w:t>n</w:t>
      </w:r>
      <w:r>
        <w:rPr>
          <w:w w:val="92"/>
        </w:rPr>
        <w:t>a</w:t>
      </w:r>
      <w:r>
        <w:rPr>
          <w:w w:val="105"/>
        </w:rPr>
        <w:t>s</w:t>
      </w:r>
      <w:r>
        <w:rPr>
          <w:spacing w:val="-12"/>
        </w:rPr>
        <w:t> </w:t>
      </w:r>
      <w:r>
        <w:rPr>
          <w:w w:val="89"/>
        </w:rPr>
        <w:t>e</w:t>
      </w:r>
      <w:r>
        <w:rPr>
          <w:spacing w:val="-14"/>
        </w:rPr>
        <w:t> </w:t>
      </w:r>
      <w:r>
        <w:rPr>
          <w:w w:val="106"/>
        </w:rPr>
        <w:t>E</w:t>
      </w:r>
      <w:r>
        <w:rPr>
          <w:spacing w:val="1"/>
          <w:w w:val="101"/>
        </w:rPr>
        <w:t>n</w:t>
      </w:r>
      <w:r>
        <w:rPr>
          <w:spacing w:val="-2"/>
          <w:w w:val="89"/>
        </w:rPr>
        <w:t>e</w:t>
      </w:r>
      <w:r>
        <w:rPr>
          <w:spacing w:val="-1"/>
          <w:w w:val="105"/>
        </w:rPr>
        <w:t>r</w:t>
      </w:r>
      <w:r>
        <w:rPr>
          <w:spacing w:val="2"/>
          <w:w w:val="98"/>
        </w:rPr>
        <w:t>g</w:t>
      </w:r>
      <w:r>
        <w:rPr>
          <w:w w:val="94"/>
        </w:rPr>
        <w:t>ia</w:t>
      </w:r>
      <w:r>
        <w:rPr>
          <w:spacing w:val="-8"/>
        </w:rPr>
        <w:t> </w:t>
      </w:r>
      <w:r>
        <w:rPr>
          <w:w w:val="135"/>
        </w:rPr>
        <w:t>–</w:t>
      </w:r>
      <w:r>
        <w:rPr>
          <w:spacing w:val="-12"/>
        </w:rPr>
        <w:t> </w:t>
      </w:r>
      <w:r>
        <w:rPr>
          <w:w w:val="114"/>
        </w:rPr>
        <w:t>MM</w:t>
      </w:r>
      <w:r>
        <w:rPr>
          <w:w w:val="106"/>
        </w:rPr>
        <w:t>E</w:t>
      </w:r>
      <w:r>
        <w:rPr>
          <w:w w:val="55"/>
        </w:rPr>
        <w:t>.</w:t>
      </w:r>
      <w:r>
        <w:rPr>
          <w:spacing w:val="-13"/>
        </w:rPr>
        <w:t> </w:t>
      </w:r>
      <w:r>
        <w:rPr>
          <w:w w:val="105"/>
        </w:rPr>
        <w:t>A </w:t>
      </w:r>
      <w:r>
        <w:rPr>
          <w:w w:val="105"/>
        </w:rPr>
        <w:t>participação</w:t>
      </w:r>
      <w:r>
        <w:rPr>
          <w:spacing w:val="-46"/>
          <w:w w:val="105"/>
        </w:rPr>
        <w:t> </w:t>
      </w:r>
      <w:r>
        <w:rPr>
          <w:w w:val="105"/>
        </w:rPr>
        <w:t>de</w:t>
      </w:r>
      <w:r>
        <w:rPr>
          <w:spacing w:val="-45"/>
          <w:w w:val="105"/>
        </w:rPr>
        <w:t> </w:t>
      </w:r>
      <w:r>
        <w:rPr>
          <w:w w:val="105"/>
        </w:rPr>
        <w:t>cada</w:t>
      </w:r>
      <w:r>
        <w:rPr>
          <w:spacing w:val="-45"/>
          <w:w w:val="105"/>
        </w:rPr>
        <w:t> </w:t>
      </w:r>
      <w:r>
        <w:rPr>
          <w:w w:val="105"/>
        </w:rPr>
        <w:t>um</w:t>
      </w:r>
      <w:r>
        <w:rPr>
          <w:spacing w:val="-44"/>
          <w:w w:val="105"/>
        </w:rPr>
        <w:t> </w:t>
      </w:r>
      <w:r>
        <w:rPr>
          <w:w w:val="105"/>
        </w:rPr>
        <w:t>dos</w:t>
      </w:r>
      <w:r>
        <w:rPr>
          <w:spacing w:val="-44"/>
          <w:w w:val="105"/>
        </w:rPr>
        <w:t> </w:t>
      </w:r>
      <w:r>
        <w:rPr>
          <w:w w:val="105"/>
        </w:rPr>
        <w:t>programas</w:t>
      </w:r>
      <w:r>
        <w:rPr>
          <w:spacing w:val="-44"/>
          <w:w w:val="105"/>
        </w:rPr>
        <w:t> </w:t>
      </w:r>
      <w:r>
        <w:rPr>
          <w:w w:val="105"/>
        </w:rPr>
        <w:t>está</w:t>
      </w:r>
      <w:r>
        <w:rPr>
          <w:spacing w:val="-45"/>
          <w:w w:val="105"/>
        </w:rPr>
        <w:t> </w:t>
      </w:r>
      <w:r>
        <w:rPr>
          <w:w w:val="105"/>
        </w:rPr>
        <w:t>definida</w:t>
      </w:r>
      <w:r>
        <w:rPr>
          <w:spacing w:val="-45"/>
          <w:w w:val="105"/>
        </w:rPr>
        <w:t> </w:t>
      </w:r>
      <w:r>
        <w:rPr>
          <w:w w:val="105"/>
        </w:rPr>
        <w:t>pelas</w:t>
      </w:r>
      <w:r>
        <w:rPr>
          <w:spacing w:val="-45"/>
          <w:w w:val="105"/>
        </w:rPr>
        <w:t> </w:t>
      </w:r>
      <w:r>
        <w:rPr>
          <w:w w:val="105"/>
        </w:rPr>
        <w:t>leis</w:t>
      </w:r>
      <w:r>
        <w:rPr>
          <w:spacing w:val="-44"/>
          <w:w w:val="105"/>
        </w:rPr>
        <w:t> </w:t>
      </w:r>
      <w:r>
        <w:rPr>
          <w:w w:val="105"/>
        </w:rPr>
        <w:t>nº</w:t>
      </w:r>
      <w:r>
        <w:rPr>
          <w:spacing w:val="-45"/>
          <w:w w:val="105"/>
        </w:rPr>
        <w:t> </w:t>
      </w:r>
      <w:r>
        <w:rPr>
          <w:w w:val="105"/>
        </w:rPr>
        <w:t>10.848</w:t>
      </w:r>
      <w:r>
        <w:rPr>
          <w:spacing w:val="-44"/>
          <w:w w:val="105"/>
        </w:rPr>
        <w:t> </w:t>
      </w:r>
      <w:r>
        <w:rPr>
          <w:w w:val="105"/>
        </w:rPr>
        <w:t>e</w:t>
      </w:r>
      <w:r>
        <w:rPr>
          <w:spacing w:val="-45"/>
          <w:w w:val="105"/>
        </w:rPr>
        <w:t> </w:t>
      </w:r>
      <w:r>
        <w:rPr>
          <w:w w:val="105"/>
        </w:rPr>
        <w:t>nº</w:t>
      </w:r>
      <w:r>
        <w:rPr>
          <w:spacing w:val="-44"/>
          <w:w w:val="105"/>
        </w:rPr>
        <w:t> </w:t>
      </w:r>
      <w:r>
        <w:rPr>
          <w:w w:val="105"/>
        </w:rPr>
        <w:t>11.465,</w:t>
      </w:r>
      <w:r>
        <w:rPr>
          <w:spacing w:val="-45"/>
          <w:w w:val="105"/>
        </w:rPr>
        <w:t> </w:t>
      </w:r>
      <w:r>
        <w:rPr>
          <w:w w:val="105"/>
        </w:rPr>
        <w:t>de</w:t>
      </w:r>
      <w:r>
        <w:rPr>
          <w:spacing w:val="-46"/>
          <w:w w:val="105"/>
        </w:rPr>
        <w:t> </w:t>
      </w:r>
      <w:r>
        <w:rPr>
          <w:w w:val="105"/>
        </w:rPr>
        <w:t>15</w:t>
      </w:r>
      <w:r>
        <w:rPr>
          <w:spacing w:val="-45"/>
          <w:w w:val="105"/>
        </w:rPr>
        <w:t> </w:t>
      </w:r>
      <w:r>
        <w:rPr>
          <w:w w:val="105"/>
        </w:rPr>
        <w:t>de</w:t>
      </w:r>
      <w:r>
        <w:rPr>
          <w:spacing w:val="-45"/>
          <w:w w:val="105"/>
        </w:rPr>
        <w:t> </w:t>
      </w:r>
      <w:r>
        <w:rPr>
          <w:w w:val="105"/>
        </w:rPr>
        <w:t>março</w:t>
      </w:r>
      <w:r>
        <w:rPr>
          <w:spacing w:val="-45"/>
          <w:w w:val="105"/>
        </w:rPr>
        <w:t> </w:t>
      </w:r>
      <w:r>
        <w:rPr>
          <w:w w:val="105"/>
        </w:rPr>
        <w:t>de</w:t>
      </w:r>
      <w:r>
        <w:rPr>
          <w:spacing w:val="-45"/>
          <w:w w:val="105"/>
        </w:rPr>
        <w:t> </w:t>
      </w:r>
      <w:r>
        <w:rPr>
          <w:w w:val="105"/>
        </w:rPr>
        <w:t>2004</w:t>
      </w:r>
      <w:r>
        <w:rPr>
          <w:spacing w:val="-45"/>
          <w:w w:val="105"/>
        </w:rPr>
        <w:t> </w:t>
      </w:r>
      <w:r>
        <w:rPr>
          <w:w w:val="105"/>
        </w:rPr>
        <w:t>e</w:t>
      </w:r>
      <w:r>
        <w:rPr>
          <w:spacing w:val="-44"/>
          <w:w w:val="105"/>
        </w:rPr>
        <w:t> </w:t>
      </w:r>
      <w:r>
        <w:rPr>
          <w:w w:val="105"/>
        </w:rPr>
        <w:t>28 março</w:t>
      </w:r>
      <w:r>
        <w:rPr>
          <w:spacing w:val="-23"/>
          <w:w w:val="105"/>
        </w:rPr>
        <w:t> </w:t>
      </w:r>
      <w:r>
        <w:rPr>
          <w:w w:val="105"/>
        </w:rPr>
        <w:t>de</w:t>
      </w:r>
      <w:r>
        <w:rPr>
          <w:spacing w:val="-24"/>
          <w:w w:val="105"/>
        </w:rPr>
        <w:t> </w:t>
      </w:r>
      <w:r>
        <w:rPr>
          <w:w w:val="105"/>
        </w:rPr>
        <w:t>2007,</w:t>
      </w:r>
      <w:r>
        <w:rPr>
          <w:spacing w:val="-20"/>
          <w:w w:val="105"/>
        </w:rPr>
        <w:t> </w:t>
      </w:r>
      <w:r>
        <w:rPr>
          <w:w w:val="105"/>
        </w:rPr>
        <w:t>respectivamente.</w:t>
      </w:r>
    </w:p>
    <w:p>
      <w:pPr>
        <w:pStyle w:val="BodyText"/>
        <w:spacing w:before="8"/>
      </w:pPr>
    </w:p>
    <w:p>
      <w:pPr>
        <w:pStyle w:val="BodyText"/>
        <w:spacing w:line="242" w:lineRule="auto"/>
        <w:ind w:left="172" w:right="408"/>
        <w:jc w:val="both"/>
      </w:pPr>
      <w:r>
        <w:rPr/>
        <w:t>Sobre</w:t>
      </w:r>
      <w:r>
        <w:rPr>
          <w:spacing w:val="-36"/>
        </w:rPr>
        <w:t> </w:t>
      </w:r>
      <w:r>
        <w:rPr/>
        <w:t>o</w:t>
      </w:r>
      <w:r>
        <w:rPr>
          <w:spacing w:val="-34"/>
        </w:rPr>
        <w:t> </w:t>
      </w:r>
      <w:r>
        <w:rPr/>
        <w:t>saldo</w:t>
      </w:r>
      <w:r>
        <w:rPr>
          <w:spacing w:val="-36"/>
        </w:rPr>
        <w:t> </w:t>
      </w:r>
      <w:r>
        <w:rPr/>
        <w:t>do</w:t>
      </w:r>
      <w:r>
        <w:rPr>
          <w:spacing w:val="-34"/>
        </w:rPr>
        <w:t> </w:t>
      </w:r>
      <w:r>
        <w:rPr/>
        <w:t>exigível</w:t>
      </w:r>
      <w:r>
        <w:rPr>
          <w:spacing w:val="-33"/>
        </w:rPr>
        <w:t> </w:t>
      </w:r>
      <w:r>
        <w:rPr/>
        <w:t>na</w:t>
      </w:r>
      <w:r>
        <w:rPr>
          <w:spacing w:val="-35"/>
        </w:rPr>
        <w:t> </w:t>
      </w:r>
      <w:r>
        <w:rPr/>
        <w:t>conta</w:t>
      </w:r>
      <w:r>
        <w:rPr>
          <w:spacing w:val="-33"/>
        </w:rPr>
        <w:t> </w:t>
      </w:r>
      <w:r>
        <w:rPr/>
        <w:t>de</w:t>
      </w:r>
      <w:r>
        <w:rPr>
          <w:spacing w:val="-36"/>
        </w:rPr>
        <w:t> </w:t>
      </w:r>
      <w:r>
        <w:rPr/>
        <w:t>P&amp;D</w:t>
      </w:r>
      <w:r>
        <w:rPr>
          <w:spacing w:val="-33"/>
        </w:rPr>
        <w:t> </w:t>
      </w:r>
      <w:r>
        <w:rPr/>
        <w:t>e</w:t>
      </w:r>
      <w:r>
        <w:rPr>
          <w:spacing w:val="-35"/>
        </w:rPr>
        <w:t> </w:t>
      </w:r>
      <w:r>
        <w:rPr/>
        <w:t>EE</w:t>
      </w:r>
      <w:r>
        <w:rPr>
          <w:spacing w:val="-33"/>
        </w:rPr>
        <w:t> </w:t>
      </w:r>
      <w:r>
        <w:rPr>
          <w:w w:val="105"/>
        </w:rPr>
        <w:t>–</w:t>
      </w:r>
      <w:r>
        <w:rPr>
          <w:spacing w:val="-38"/>
          <w:w w:val="105"/>
        </w:rPr>
        <w:t> </w:t>
      </w:r>
      <w:r>
        <w:rPr/>
        <w:t>Recursos</w:t>
      </w:r>
      <w:r>
        <w:rPr>
          <w:spacing w:val="-32"/>
        </w:rPr>
        <w:t> </w:t>
      </w:r>
      <w:r>
        <w:rPr/>
        <w:t>em</w:t>
      </w:r>
      <w:r>
        <w:rPr>
          <w:spacing w:val="-34"/>
        </w:rPr>
        <w:t> </w:t>
      </w:r>
      <w:r>
        <w:rPr/>
        <w:t>Poder</w:t>
      </w:r>
      <w:r>
        <w:rPr>
          <w:spacing w:val="-36"/>
        </w:rPr>
        <w:t> </w:t>
      </w:r>
      <w:r>
        <w:rPr/>
        <w:t>da</w:t>
      </w:r>
      <w:r>
        <w:rPr>
          <w:spacing w:val="-32"/>
        </w:rPr>
        <w:t> </w:t>
      </w:r>
      <w:r>
        <w:rPr/>
        <w:t>Empresa</w:t>
      </w:r>
      <w:r>
        <w:rPr>
          <w:spacing w:val="-35"/>
        </w:rPr>
        <w:t> </w:t>
      </w:r>
      <w:r>
        <w:rPr/>
        <w:t>(ou</w:t>
      </w:r>
      <w:r>
        <w:rPr>
          <w:spacing w:val="-34"/>
        </w:rPr>
        <w:t> </w:t>
      </w:r>
      <w:r>
        <w:rPr/>
        <w:t>equivalente)</w:t>
      </w:r>
      <w:r>
        <w:rPr>
          <w:spacing w:val="-35"/>
        </w:rPr>
        <w:t> </w:t>
      </w:r>
      <w:r>
        <w:rPr/>
        <w:t>devem</w:t>
      </w:r>
      <w:r>
        <w:rPr>
          <w:spacing w:val="-34"/>
        </w:rPr>
        <w:t> </w:t>
      </w:r>
      <w:r>
        <w:rPr/>
        <w:t>incidir</w:t>
      </w:r>
      <w:r>
        <w:rPr>
          <w:spacing w:val="-35"/>
        </w:rPr>
        <w:t> </w:t>
      </w:r>
      <w:r>
        <w:rPr/>
        <w:t>juros, a</w:t>
      </w:r>
      <w:r>
        <w:rPr>
          <w:spacing w:val="-33"/>
        </w:rPr>
        <w:t> </w:t>
      </w:r>
      <w:r>
        <w:rPr/>
        <w:t>partir</w:t>
      </w:r>
      <w:r>
        <w:rPr>
          <w:spacing w:val="-34"/>
        </w:rPr>
        <w:t> </w:t>
      </w:r>
      <w:r>
        <w:rPr/>
        <w:t>do</w:t>
      </w:r>
      <w:r>
        <w:rPr>
          <w:spacing w:val="-34"/>
        </w:rPr>
        <w:t> </w:t>
      </w:r>
      <w:r>
        <w:rPr/>
        <w:t>segundo</w:t>
      </w:r>
      <w:r>
        <w:rPr>
          <w:spacing w:val="-32"/>
        </w:rPr>
        <w:t> </w:t>
      </w:r>
      <w:r>
        <w:rPr/>
        <w:t>mês</w:t>
      </w:r>
      <w:r>
        <w:rPr>
          <w:spacing w:val="-32"/>
        </w:rPr>
        <w:t> </w:t>
      </w:r>
      <w:r>
        <w:rPr/>
        <w:t>subsequente</w:t>
      </w:r>
      <w:r>
        <w:rPr>
          <w:spacing w:val="-33"/>
        </w:rPr>
        <w:t> </w:t>
      </w:r>
      <w:r>
        <w:rPr/>
        <w:t>ao</w:t>
      </w:r>
      <w:r>
        <w:rPr>
          <w:spacing w:val="-33"/>
        </w:rPr>
        <w:t> </w:t>
      </w:r>
      <w:r>
        <w:rPr/>
        <w:t>faturamento,</w:t>
      </w:r>
      <w:r>
        <w:rPr>
          <w:spacing w:val="-33"/>
        </w:rPr>
        <w:t> </w:t>
      </w:r>
      <w:r>
        <w:rPr/>
        <w:t>até</w:t>
      </w:r>
      <w:r>
        <w:rPr>
          <w:spacing w:val="-34"/>
        </w:rPr>
        <w:t> </w:t>
      </w:r>
      <w:r>
        <w:rPr/>
        <w:t>o</w:t>
      </w:r>
      <w:r>
        <w:rPr>
          <w:spacing w:val="-32"/>
        </w:rPr>
        <w:t> </w:t>
      </w:r>
      <w:r>
        <w:rPr/>
        <w:t>mês</w:t>
      </w:r>
      <w:r>
        <w:rPr>
          <w:spacing w:val="-32"/>
        </w:rPr>
        <w:t> </w:t>
      </w:r>
      <w:r>
        <w:rPr/>
        <w:t>de</w:t>
      </w:r>
      <w:r>
        <w:rPr>
          <w:spacing w:val="-33"/>
        </w:rPr>
        <w:t> </w:t>
      </w:r>
      <w:r>
        <w:rPr/>
        <w:t>lançamento</w:t>
      </w:r>
      <w:r>
        <w:rPr>
          <w:spacing w:val="-32"/>
        </w:rPr>
        <w:t> </w:t>
      </w:r>
      <w:r>
        <w:rPr/>
        <w:t>do</w:t>
      </w:r>
      <w:r>
        <w:rPr>
          <w:spacing w:val="-32"/>
        </w:rPr>
        <w:t> </w:t>
      </w:r>
      <w:r>
        <w:rPr/>
        <w:t>gasto</w:t>
      </w:r>
      <w:r>
        <w:rPr>
          <w:spacing w:val="-34"/>
        </w:rPr>
        <w:t> </w:t>
      </w:r>
      <w:r>
        <w:rPr/>
        <w:t>na</w:t>
      </w:r>
      <w:r>
        <w:rPr>
          <w:spacing w:val="-32"/>
        </w:rPr>
        <w:t> </w:t>
      </w:r>
      <w:r>
        <w:rPr/>
        <w:t>Ordem</w:t>
      </w:r>
      <w:r>
        <w:rPr>
          <w:spacing w:val="-32"/>
        </w:rPr>
        <w:t> </w:t>
      </w:r>
      <w:r>
        <w:rPr/>
        <w:t>de</w:t>
      </w:r>
      <w:r>
        <w:rPr>
          <w:spacing w:val="-33"/>
        </w:rPr>
        <w:t> </w:t>
      </w:r>
      <w:r>
        <w:rPr/>
        <w:t>Serviço</w:t>
      </w:r>
      <w:r>
        <w:rPr>
          <w:spacing w:val="-23"/>
        </w:rPr>
        <w:t> </w:t>
      </w:r>
      <w:r>
        <w:rPr/>
        <w:t>-</w:t>
      </w:r>
      <w:r>
        <w:rPr>
          <w:spacing w:val="-32"/>
        </w:rPr>
        <w:t> </w:t>
      </w:r>
      <w:r>
        <w:rPr/>
        <w:t>ODS, </w:t>
      </w:r>
      <w:r>
        <w:rPr>
          <w:w w:val="95"/>
        </w:rPr>
        <w:t>ou</w:t>
      </w:r>
      <w:r>
        <w:rPr>
          <w:spacing w:val="-21"/>
          <w:w w:val="95"/>
        </w:rPr>
        <w:t> </w:t>
      </w:r>
      <w:r>
        <w:rPr>
          <w:w w:val="95"/>
        </w:rPr>
        <w:t>equivalente,</w:t>
      </w:r>
      <w:r>
        <w:rPr>
          <w:spacing w:val="-22"/>
          <w:w w:val="95"/>
        </w:rPr>
        <w:t> </w:t>
      </w:r>
      <w:r>
        <w:rPr>
          <w:w w:val="95"/>
        </w:rPr>
        <w:t>calculados</w:t>
      </w:r>
      <w:r>
        <w:rPr>
          <w:spacing w:val="-21"/>
          <w:w w:val="95"/>
        </w:rPr>
        <w:t> </w:t>
      </w:r>
      <w:r>
        <w:rPr>
          <w:w w:val="95"/>
        </w:rPr>
        <w:t>mensalmente</w:t>
      </w:r>
      <w:r>
        <w:rPr>
          <w:spacing w:val="-22"/>
          <w:w w:val="95"/>
        </w:rPr>
        <w:t> </w:t>
      </w:r>
      <w:r>
        <w:rPr>
          <w:w w:val="95"/>
        </w:rPr>
        <w:t>com</w:t>
      </w:r>
      <w:r>
        <w:rPr>
          <w:spacing w:val="-20"/>
          <w:w w:val="95"/>
        </w:rPr>
        <w:t> </w:t>
      </w:r>
      <w:r>
        <w:rPr>
          <w:w w:val="95"/>
        </w:rPr>
        <w:t>base</w:t>
      </w:r>
      <w:r>
        <w:rPr>
          <w:spacing w:val="-23"/>
          <w:w w:val="95"/>
        </w:rPr>
        <w:t> </w:t>
      </w:r>
      <w:r>
        <w:rPr>
          <w:w w:val="95"/>
        </w:rPr>
        <w:t>na</w:t>
      </w:r>
      <w:r>
        <w:rPr>
          <w:spacing w:val="-20"/>
          <w:w w:val="95"/>
        </w:rPr>
        <w:t> </w:t>
      </w:r>
      <w:r>
        <w:rPr>
          <w:w w:val="95"/>
        </w:rPr>
        <w:t>taxa</w:t>
      </w:r>
      <w:r>
        <w:rPr>
          <w:spacing w:val="-19"/>
          <w:w w:val="95"/>
        </w:rPr>
        <w:t> </w:t>
      </w:r>
      <w:r>
        <w:rPr>
          <w:w w:val="95"/>
        </w:rPr>
        <w:t>referencial</w:t>
      </w:r>
      <w:r>
        <w:rPr>
          <w:spacing w:val="-21"/>
          <w:w w:val="95"/>
        </w:rPr>
        <w:t> </w:t>
      </w:r>
      <w:r>
        <w:rPr>
          <w:w w:val="95"/>
        </w:rPr>
        <w:t>do</w:t>
      </w:r>
      <w:r>
        <w:rPr>
          <w:spacing w:val="-21"/>
          <w:w w:val="95"/>
        </w:rPr>
        <w:t> </w:t>
      </w:r>
      <w:r>
        <w:rPr>
          <w:w w:val="95"/>
        </w:rPr>
        <w:t>Sistema</w:t>
      </w:r>
      <w:r>
        <w:rPr>
          <w:spacing w:val="-21"/>
          <w:w w:val="95"/>
        </w:rPr>
        <w:t> </w:t>
      </w:r>
      <w:r>
        <w:rPr>
          <w:w w:val="95"/>
        </w:rPr>
        <w:t>Especial</w:t>
      </w:r>
      <w:r>
        <w:rPr>
          <w:spacing w:val="-21"/>
          <w:w w:val="95"/>
        </w:rPr>
        <w:t> </w:t>
      </w:r>
      <w:r>
        <w:rPr>
          <w:w w:val="95"/>
        </w:rPr>
        <w:t>de</w:t>
      </w:r>
      <w:r>
        <w:rPr>
          <w:spacing w:val="-22"/>
          <w:w w:val="95"/>
        </w:rPr>
        <w:t> </w:t>
      </w:r>
      <w:r>
        <w:rPr>
          <w:w w:val="95"/>
        </w:rPr>
        <w:t>Liquidação</w:t>
      </w:r>
      <w:r>
        <w:rPr>
          <w:spacing w:val="-22"/>
          <w:w w:val="95"/>
        </w:rPr>
        <w:t> </w:t>
      </w:r>
      <w:r>
        <w:rPr>
          <w:w w:val="95"/>
        </w:rPr>
        <w:t>e</w:t>
      </w:r>
      <w:r>
        <w:rPr>
          <w:spacing w:val="-20"/>
          <w:w w:val="95"/>
        </w:rPr>
        <w:t> </w:t>
      </w:r>
      <w:r>
        <w:rPr>
          <w:w w:val="95"/>
        </w:rPr>
        <w:t>de</w:t>
      </w:r>
      <w:r>
        <w:rPr>
          <w:spacing w:val="-22"/>
          <w:w w:val="95"/>
        </w:rPr>
        <w:t> </w:t>
      </w:r>
      <w:r>
        <w:rPr>
          <w:w w:val="95"/>
        </w:rPr>
        <w:t>Custódia</w:t>
      </w:r>
    </w:p>
    <w:p>
      <w:pPr>
        <w:pStyle w:val="BodyText"/>
        <w:ind w:left="172"/>
        <w:jc w:val="both"/>
      </w:pPr>
      <w:r>
        <w:rPr>
          <w:w w:val="105"/>
        </w:rPr>
        <w:t>– </w:t>
      </w:r>
      <w:r>
        <w:rPr/>
        <w:t>Selic, de acordo com as Resoluções Normativas ANEEL nº 754, de 13/12/2016 e nº 830, de 05/11/2018.</w:t>
      </w:r>
    </w:p>
    <w:p>
      <w:pPr>
        <w:pStyle w:val="BodyText"/>
        <w:spacing w:before="11"/>
      </w:pPr>
    </w:p>
    <w:p>
      <w:pPr>
        <w:pStyle w:val="BodyText"/>
        <w:spacing w:line="242" w:lineRule="auto"/>
        <w:ind w:left="172" w:right="414"/>
        <w:jc w:val="both"/>
      </w:pPr>
      <w:r>
        <w:rPr/>
        <w:t>A</w:t>
      </w:r>
      <w:r>
        <w:rPr>
          <w:spacing w:val="-25"/>
        </w:rPr>
        <w:t> </w:t>
      </w:r>
      <w:r>
        <w:rPr/>
        <w:t>empresa</w:t>
      </w:r>
      <w:r>
        <w:rPr>
          <w:spacing w:val="-25"/>
        </w:rPr>
        <w:t> </w:t>
      </w:r>
      <w:r>
        <w:rPr/>
        <w:t>regulada</w:t>
      </w:r>
      <w:r>
        <w:rPr>
          <w:spacing w:val="-24"/>
        </w:rPr>
        <w:t> </w:t>
      </w:r>
      <w:r>
        <w:rPr/>
        <w:t>pela</w:t>
      </w:r>
      <w:r>
        <w:rPr>
          <w:spacing w:val="-25"/>
        </w:rPr>
        <w:t> </w:t>
      </w:r>
      <w:r>
        <w:rPr/>
        <w:t>ANEEL</w:t>
      </w:r>
      <w:r>
        <w:rPr>
          <w:spacing w:val="-24"/>
        </w:rPr>
        <w:t> </w:t>
      </w:r>
      <w:r>
        <w:rPr/>
        <w:t>com</w:t>
      </w:r>
      <w:r>
        <w:rPr>
          <w:spacing w:val="-25"/>
        </w:rPr>
        <w:t> </w:t>
      </w:r>
      <w:r>
        <w:rPr/>
        <w:t>obrigatoriedade</w:t>
      </w:r>
      <w:r>
        <w:rPr>
          <w:spacing w:val="-26"/>
        </w:rPr>
        <w:t> </w:t>
      </w:r>
      <w:r>
        <w:rPr/>
        <w:t>de</w:t>
      </w:r>
      <w:r>
        <w:rPr>
          <w:spacing w:val="-25"/>
        </w:rPr>
        <w:t> </w:t>
      </w:r>
      <w:r>
        <w:rPr/>
        <w:t>atendimento</w:t>
      </w:r>
      <w:r>
        <w:rPr>
          <w:spacing w:val="-25"/>
        </w:rPr>
        <w:t> </w:t>
      </w:r>
      <w:r>
        <w:rPr/>
        <w:t>à</w:t>
      </w:r>
      <w:r>
        <w:rPr>
          <w:spacing w:val="-25"/>
        </w:rPr>
        <w:t> </w:t>
      </w:r>
      <w:r>
        <w:rPr/>
        <w:t>Lei</w:t>
      </w:r>
      <w:r>
        <w:rPr>
          <w:spacing w:val="-23"/>
        </w:rPr>
        <w:t> </w:t>
      </w:r>
      <w:r>
        <w:rPr/>
        <w:t>nº</w:t>
      </w:r>
      <w:r>
        <w:rPr>
          <w:spacing w:val="-23"/>
        </w:rPr>
        <w:t> </w:t>
      </w:r>
      <w:r>
        <w:rPr/>
        <w:t>9.991/2000</w:t>
      </w:r>
      <w:r>
        <w:rPr>
          <w:spacing w:val="-25"/>
        </w:rPr>
        <w:t> </w:t>
      </w:r>
      <w:r>
        <w:rPr/>
        <w:t>que</w:t>
      </w:r>
      <w:r>
        <w:rPr>
          <w:spacing w:val="-26"/>
        </w:rPr>
        <w:t> </w:t>
      </w:r>
      <w:r>
        <w:rPr/>
        <w:t>acumular,</w:t>
      </w:r>
      <w:r>
        <w:rPr>
          <w:spacing w:val="-23"/>
        </w:rPr>
        <w:t> </w:t>
      </w:r>
      <w:r>
        <w:rPr/>
        <w:t>em</w:t>
      </w:r>
      <w:r>
        <w:rPr>
          <w:spacing w:val="-25"/>
        </w:rPr>
        <w:t> </w:t>
      </w:r>
      <w:r>
        <w:rPr/>
        <w:t>31</w:t>
      </w:r>
      <w:r>
        <w:rPr>
          <w:spacing w:val="-22"/>
        </w:rPr>
        <w:t> </w:t>
      </w:r>
      <w:r>
        <w:rPr/>
        <w:t>de dezembro</w:t>
      </w:r>
      <w:r>
        <w:rPr>
          <w:spacing w:val="-35"/>
        </w:rPr>
        <w:t> </w:t>
      </w:r>
      <w:r>
        <w:rPr/>
        <w:t>de</w:t>
      </w:r>
      <w:r>
        <w:rPr>
          <w:spacing w:val="-35"/>
        </w:rPr>
        <w:t> </w:t>
      </w:r>
      <w:r>
        <w:rPr/>
        <w:t>cada</w:t>
      </w:r>
      <w:r>
        <w:rPr>
          <w:spacing w:val="-33"/>
        </w:rPr>
        <w:t> </w:t>
      </w:r>
      <w:r>
        <w:rPr/>
        <w:t>ano,</w:t>
      </w:r>
      <w:r>
        <w:rPr>
          <w:spacing w:val="-34"/>
        </w:rPr>
        <w:t> </w:t>
      </w:r>
      <w:r>
        <w:rPr/>
        <w:t>na</w:t>
      </w:r>
      <w:r>
        <w:rPr>
          <w:spacing w:val="-34"/>
        </w:rPr>
        <w:t> </w:t>
      </w:r>
      <w:r>
        <w:rPr/>
        <w:t>Conta</w:t>
      </w:r>
      <w:r>
        <w:rPr>
          <w:spacing w:val="-33"/>
        </w:rPr>
        <w:t> </w:t>
      </w:r>
      <w:r>
        <w:rPr/>
        <w:t>Contábil</w:t>
      </w:r>
      <w:r>
        <w:rPr>
          <w:spacing w:val="-34"/>
        </w:rPr>
        <w:t> </w:t>
      </w:r>
      <w:r>
        <w:rPr/>
        <w:t>de</w:t>
      </w:r>
      <w:r>
        <w:rPr>
          <w:spacing w:val="-34"/>
        </w:rPr>
        <w:t> </w:t>
      </w:r>
      <w:r>
        <w:rPr/>
        <w:t>P&amp;D</w:t>
      </w:r>
      <w:r>
        <w:rPr>
          <w:spacing w:val="-33"/>
        </w:rPr>
        <w:t> </w:t>
      </w:r>
      <w:r>
        <w:rPr/>
        <w:t>e</w:t>
      </w:r>
      <w:r>
        <w:rPr>
          <w:spacing w:val="-34"/>
        </w:rPr>
        <w:t> </w:t>
      </w:r>
      <w:r>
        <w:rPr/>
        <w:t>ou</w:t>
      </w:r>
      <w:r>
        <w:rPr>
          <w:spacing w:val="-35"/>
        </w:rPr>
        <w:t> </w:t>
      </w:r>
      <w:r>
        <w:rPr/>
        <w:t>PEE</w:t>
      </w:r>
      <w:r>
        <w:rPr>
          <w:spacing w:val="-34"/>
        </w:rPr>
        <w:t> </w:t>
      </w:r>
      <w:r>
        <w:rPr/>
        <w:t>um</w:t>
      </w:r>
      <w:r>
        <w:rPr>
          <w:spacing w:val="-34"/>
        </w:rPr>
        <w:t> </w:t>
      </w:r>
      <w:r>
        <w:rPr/>
        <w:t>montante</w:t>
      </w:r>
      <w:r>
        <w:rPr>
          <w:spacing w:val="-35"/>
        </w:rPr>
        <w:t> </w:t>
      </w:r>
      <w:r>
        <w:rPr/>
        <w:t>superior</w:t>
      </w:r>
      <w:r>
        <w:rPr>
          <w:spacing w:val="-35"/>
        </w:rPr>
        <w:t> </w:t>
      </w:r>
      <w:r>
        <w:rPr/>
        <w:t>ao</w:t>
      </w:r>
      <w:r>
        <w:rPr>
          <w:spacing w:val="-34"/>
        </w:rPr>
        <w:t> </w:t>
      </w:r>
      <w:r>
        <w:rPr/>
        <w:t>investimento</w:t>
      </w:r>
      <w:r>
        <w:rPr>
          <w:spacing w:val="-33"/>
        </w:rPr>
        <w:t> </w:t>
      </w:r>
      <w:r>
        <w:rPr/>
        <w:t>obrigatório</w:t>
      </w:r>
      <w:r>
        <w:rPr>
          <w:spacing w:val="-34"/>
        </w:rPr>
        <w:t> </w:t>
      </w:r>
      <w:r>
        <w:rPr/>
        <w:t>dos</w:t>
      </w:r>
      <w:r>
        <w:rPr>
          <w:spacing w:val="-32"/>
        </w:rPr>
        <w:t> </w:t>
      </w:r>
      <w:r>
        <w:rPr/>
        <w:t>24 meses</w:t>
      </w:r>
      <w:r>
        <w:rPr>
          <w:spacing w:val="-4"/>
        </w:rPr>
        <w:t> </w:t>
      </w:r>
      <w:r>
        <w:rPr/>
        <w:t>anteriores,</w:t>
      </w:r>
      <w:r>
        <w:rPr>
          <w:spacing w:val="-7"/>
        </w:rPr>
        <w:t> </w:t>
      </w:r>
      <w:r>
        <w:rPr/>
        <w:t>incluindo</w:t>
      </w:r>
      <w:r>
        <w:rPr>
          <w:spacing w:val="-4"/>
        </w:rPr>
        <w:t> </w:t>
      </w:r>
      <w:r>
        <w:rPr/>
        <w:t>o</w:t>
      </w:r>
      <w:r>
        <w:rPr>
          <w:spacing w:val="-6"/>
        </w:rPr>
        <w:t> </w:t>
      </w:r>
      <w:r>
        <w:rPr/>
        <w:t>mês</w:t>
      </w:r>
      <w:r>
        <w:rPr>
          <w:spacing w:val="-6"/>
        </w:rPr>
        <w:t> </w:t>
      </w:r>
      <w:r>
        <w:rPr/>
        <w:t>de</w:t>
      </w:r>
      <w:r>
        <w:rPr>
          <w:spacing w:val="-6"/>
        </w:rPr>
        <w:t> </w:t>
      </w:r>
      <w:r>
        <w:rPr/>
        <w:t>apuração</w:t>
      </w:r>
      <w:r>
        <w:rPr>
          <w:spacing w:val="-6"/>
        </w:rPr>
        <w:t> </w:t>
      </w:r>
      <w:r>
        <w:rPr/>
        <w:t>(dezembro),</w:t>
      </w:r>
      <w:r>
        <w:rPr>
          <w:spacing w:val="-6"/>
        </w:rPr>
        <w:t> </w:t>
      </w:r>
      <w:r>
        <w:rPr/>
        <w:t>está</w:t>
      </w:r>
      <w:r>
        <w:rPr>
          <w:spacing w:val="-6"/>
        </w:rPr>
        <w:t> </w:t>
      </w:r>
      <w:r>
        <w:rPr/>
        <w:t>sujeita</w:t>
      </w:r>
      <w:r>
        <w:rPr>
          <w:spacing w:val="-6"/>
        </w:rPr>
        <w:t> </w:t>
      </w:r>
      <w:r>
        <w:rPr/>
        <w:t>às</w:t>
      </w:r>
      <w:r>
        <w:rPr>
          <w:spacing w:val="-3"/>
        </w:rPr>
        <w:t> </w:t>
      </w:r>
      <w:r>
        <w:rPr/>
        <w:t>penalidades</w:t>
      </w:r>
      <w:r>
        <w:rPr>
          <w:spacing w:val="-6"/>
        </w:rPr>
        <w:t> </w:t>
      </w:r>
      <w:r>
        <w:rPr/>
        <w:t>previstas</w:t>
      </w:r>
      <w:r>
        <w:rPr>
          <w:spacing w:val="-4"/>
        </w:rPr>
        <w:t> </w:t>
      </w:r>
      <w:r>
        <w:rPr/>
        <w:t>na</w:t>
      </w:r>
      <w:r>
        <w:rPr>
          <w:spacing w:val="-5"/>
        </w:rPr>
        <w:t> </w:t>
      </w:r>
      <w:r>
        <w:rPr/>
        <w:t>Resolução Normativa nº</w:t>
      </w:r>
      <w:r>
        <w:rPr>
          <w:spacing w:val="-32"/>
        </w:rPr>
        <w:t> </w:t>
      </w:r>
      <w:r>
        <w:rPr/>
        <w:t>63/2004.</w:t>
      </w:r>
    </w:p>
    <w:p>
      <w:pPr>
        <w:pStyle w:val="BodyText"/>
        <w:spacing w:before="8"/>
      </w:pPr>
    </w:p>
    <w:p>
      <w:pPr>
        <w:pStyle w:val="BodyText"/>
        <w:ind w:left="172"/>
        <w:jc w:val="both"/>
      </w:pPr>
      <w:r>
        <w:rPr/>
        <w:t>Para proceder a essa verificação específica, deve-se excluir do saldo da Conta Contábil:</w:t>
      </w:r>
    </w:p>
    <w:p>
      <w:pPr>
        <w:pStyle w:val="BodyText"/>
        <w:spacing w:before="6"/>
      </w:pPr>
    </w:p>
    <w:p>
      <w:pPr>
        <w:pStyle w:val="ListParagraph"/>
        <w:numPr>
          <w:ilvl w:val="0"/>
          <w:numId w:val="29"/>
        </w:numPr>
        <w:tabs>
          <w:tab w:pos="534" w:val="left" w:leader="none"/>
        </w:tabs>
        <w:spacing w:line="280" w:lineRule="auto" w:before="0" w:after="0"/>
        <w:ind w:left="533" w:right="417" w:hanging="361"/>
        <w:jc w:val="both"/>
        <w:rPr>
          <w:sz w:val="20"/>
        </w:rPr>
      </w:pPr>
      <w:r>
        <w:rPr>
          <w:sz w:val="20"/>
        </w:rPr>
        <w:t>No</w:t>
      </w:r>
      <w:r>
        <w:rPr>
          <w:spacing w:val="-44"/>
          <w:sz w:val="20"/>
        </w:rPr>
        <w:t> </w:t>
      </w:r>
      <w:r>
        <w:rPr>
          <w:sz w:val="20"/>
        </w:rPr>
        <w:t>caso</w:t>
      </w:r>
      <w:r>
        <w:rPr>
          <w:spacing w:val="-43"/>
          <w:sz w:val="20"/>
        </w:rPr>
        <w:t> </w:t>
      </w:r>
      <w:r>
        <w:rPr>
          <w:sz w:val="20"/>
        </w:rPr>
        <w:t>do</w:t>
      </w:r>
      <w:r>
        <w:rPr>
          <w:spacing w:val="-44"/>
          <w:sz w:val="20"/>
        </w:rPr>
        <w:t> </w:t>
      </w:r>
      <w:r>
        <w:rPr>
          <w:sz w:val="20"/>
        </w:rPr>
        <w:t>P&amp;D</w:t>
      </w:r>
      <w:r>
        <w:rPr>
          <w:spacing w:val="-43"/>
          <w:sz w:val="20"/>
        </w:rPr>
        <w:t> </w:t>
      </w:r>
      <w:r>
        <w:rPr>
          <w:sz w:val="20"/>
        </w:rPr>
        <w:t>os</w:t>
      </w:r>
      <w:r>
        <w:rPr>
          <w:spacing w:val="-42"/>
          <w:sz w:val="20"/>
        </w:rPr>
        <w:t> </w:t>
      </w:r>
      <w:r>
        <w:rPr>
          <w:sz w:val="20"/>
        </w:rPr>
        <w:t>lançamentos</w:t>
      </w:r>
      <w:r>
        <w:rPr>
          <w:spacing w:val="-43"/>
          <w:sz w:val="20"/>
        </w:rPr>
        <w:t> </w:t>
      </w:r>
      <w:r>
        <w:rPr>
          <w:sz w:val="20"/>
        </w:rPr>
        <w:t>relacionados</w:t>
      </w:r>
      <w:r>
        <w:rPr>
          <w:spacing w:val="-43"/>
          <w:sz w:val="20"/>
        </w:rPr>
        <w:t> </w:t>
      </w:r>
      <w:r>
        <w:rPr>
          <w:sz w:val="20"/>
        </w:rPr>
        <w:t>à</w:t>
      </w:r>
      <w:r>
        <w:rPr>
          <w:spacing w:val="-42"/>
          <w:sz w:val="20"/>
        </w:rPr>
        <w:t> </w:t>
      </w:r>
      <w:r>
        <w:rPr>
          <w:sz w:val="20"/>
        </w:rPr>
        <w:t>execução</w:t>
      </w:r>
      <w:r>
        <w:rPr>
          <w:spacing w:val="-43"/>
          <w:sz w:val="20"/>
        </w:rPr>
        <w:t> </w:t>
      </w:r>
      <w:r>
        <w:rPr>
          <w:sz w:val="20"/>
        </w:rPr>
        <w:t>dos</w:t>
      </w:r>
      <w:r>
        <w:rPr>
          <w:spacing w:val="-43"/>
          <w:sz w:val="20"/>
        </w:rPr>
        <w:t> </w:t>
      </w:r>
      <w:r>
        <w:rPr>
          <w:sz w:val="20"/>
        </w:rPr>
        <w:t>projetos</w:t>
      </w:r>
      <w:r>
        <w:rPr>
          <w:spacing w:val="-42"/>
          <w:sz w:val="20"/>
        </w:rPr>
        <w:t> </w:t>
      </w:r>
      <w:r>
        <w:rPr>
          <w:sz w:val="20"/>
        </w:rPr>
        <w:t>em</w:t>
      </w:r>
      <w:r>
        <w:rPr>
          <w:spacing w:val="-42"/>
          <w:sz w:val="20"/>
        </w:rPr>
        <w:t> </w:t>
      </w:r>
      <w:r>
        <w:rPr>
          <w:sz w:val="20"/>
        </w:rPr>
        <w:t>curso,</w:t>
      </w:r>
      <w:r>
        <w:rPr>
          <w:spacing w:val="-44"/>
          <w:sz w:val="20"/>
        </w:rPr>
        <w:t> </w:t>
      </w:r>
      <w:r>
        <w:rPr>
          <w:sz w:val="20"/>
        </w:rPr>
        <w:t>ativo</w:t>
      </w:r>
      <w:r>
        <w:rPr>
          <w:spacing w:val="-42"/>
          <w:sz w:val="20"/>
        </w:rPr>
        <w:t> </w:t>
      </w:r>
      <w:r>
        <w:rPr>
          <w:sz w:val="20"/>
        </w:rPr>
        <w:t>circulante</w:t>
      </w:r>
      <w:r>
        <w:rPr>
          <w:spacing w:val="-43"/>
          <w:sz w:val="20"/>
        </w:rPr>
        <w:t> </w:t>
      </w:r>
      <w:r>
        <w:rPr>
          <w:sz w:val="20"/>
        </w:rPr>
        <w:t>e</w:t>
      </w:r>
      <w:r>
        <w:rPr>
          <w:spacing w:val="-43"/>
          <w:sz w:val="20"/>
        </w:rPr>
        <w:t> </w:t>
      </w:r>
      <w:r>
        <w:rPr>
          <w:sz w:val="20"/>
        </w:rPr>
        <w:t>não</w:t>
      </w:r>
      <w:r>
        <w:rPr>
          <w:spacing w:val="-44"/>
          <w:sz w:val="20"/>
        </w:rPr>
        <w:t> </w:t>
      </w:r>
      <w:r>
        <w:rPr>
          <w:sz w:val="20"/>
        </w:rPr>
        <w:t>circulante, respectivamente.</w:t>
      </w:r>
    </w:p>
    <w:p>
      <w:pPr>
        <w:pStyle w:val="ListParagraph"/>
        <w:numPr>
          <w:ilvl w:val="0"/>
          <w:numId w:val="29"/>
        </w:numPr>
        <w:tabs>
          <w:tab w:pos="534" w:val="left" w:leader="none"/>
        </w:tabs>
        <w:spacing w:line="278" w:lineRule="auto" w:before="0" w:after="0"/>
        <w:ind w:left="533" w:right="413" w:hanging="361"/>
        <w:jc w:val="both"/>
        <w:rPr>
          <w:sz w:val="20"/>
        </w:rPr>
      </w:pPr>
      <w:r>
        <w:rPr>
          <w:sz w:val="20"/>
        </w:rPr>
        <w:t>No</w:t>
      </w:r>
      <w:r>
        <w:rPr>
          <w:spacing w:val="-22"/>
          <w:sz w:val="20"/>
        </w:rPr>
        <w:t> </w:t>
      </w:r>
      <w:r>
        <w:rPr>
          <w:sz w:val="20"/>
        </w:rPr>
        <w:t>caso</w:t>
      </w:r>
      <w:r>
        <w:rPr>
          <w:spacing w:val="-21"/>
          <w:sz w:val="20"/>
        </w:rPr>
        <w:t> </w:t>
      </w:r>
      <w:r>
        <w:rPr>
          <w:sz w:val="20"/>
        </w:rPr>
        <w:t>do</w:t>
      </w:r>
      <w:r>
        <w:rPr>
          <w:spacing w:val="-22"/>
          <w:sz w:val="20"/>
        </w:rPr>
        <w:t> </w:t>
      </w:r>
      <w:r>
        <w:rPr>
          <w:sz w:val="20"/>
        </w:rPr>
        <w:t>PEE</w:t>
      </w:r>
      <w:r>
        <w:rPr>
          <w:spacing w:val="-19"/>
          <w:sz w:val="20"/>
        </w:rPr>
        <w:t> </w:t>
      </w:r>
      <w:r>
        <w:rPr>
          <w:sz w:val="20"/>
        </w:rPr>
        <w:t>os</w:t>
      </w:r>
      <w:r>
        <w:rPr>
          <w:spacing w:val="-21"/>
          <w:sz w:val="20"/>
        </w:rPr>
        <w:t> </w:t>
      </w:r>
      <w:r>
        <w:rPr>
          <w:sz w:val="20"/>
        </w:rPr>
        <w:t>lançamentos</w:t>
      </w:r>
      <w:r>
        <w:rPr>
          <w:spacing w:val="-19"/>
          <w:sz w:val="20"/>
        </w:rPr>
        <w:t> </w:t>
      </w:r>
      <w:r>
        <w:rPr>
          <w:sz w:val="20"/>
        </w:rPr>
        <w:t>relacionados</w:t>
      </w:r>
      <w:r>
        <w:rPr>
          <w:spacing w:val="-20"/>
          <w:sz w:val="20"/>
        </w:rPr>
        <w:t> </w:t>
      </w:r>
      <w:r>
        <w:rPr>
          <w:sz w:val="20"/>
        </w:rPr>
        <w:t>à</w:t>
      </w:r>
      <w:r>
        <w:rPr>
          <w:spacing w:val="-21"/>
          <w:sz w:val="20"/>
        </w:rPr>
        <w:t> </w:t>
      </w:r>
      <w:r>
        <w:rPr>
          <w:sz w:val="20"/>
        </w:rPr>
        <w:t>execução</w:t>
      </w:r>
      <w:r>
        <w:rPr>
          <w:spacing w:val="-21"/>
          <w:sz w:val="20"/>
        </w:rPr>
        <w:t> </w:t>
      </w:r>
      <w:r>
        <w:rPr>
          <w:sz w:val="20"/>
        </w:rPr>
        <w:t>dos</w:t>
      </w:r>
      <w:r>
        <w:rPr>
          <w:spacing w:val="-19"/>
          <w:sz w:val="20"/>
        </w:rPr>
        <w:t> </w:t>
      </w:r>
      <w:r>
        <w:rPr>
          <w:sz w:val="20"/>
        </w:rPr>
        <w:t>projetos</w:t>
      </w:r>
      <w:r>
        <w:rPr>
          <w:spacing w:val="-21"/>
          <w:sz w:val="20"/>
        </w:rPr>
        <w:t> </w:t>
      </w:r>
      <w:r>
        <w:rPr>
          <w:sz w:val="20"/>
        </w:rPr>
        <w:t>em</w:t>
      </w:r>
      <w:r>
        <w:rPr>
          <w:spacing w:val="-22"/>
          <w:sz w:val="20"/>
        </w:rPr>
        <w:t> </w:t>
      </w:r>
      <w:r>
        <w:rPr>
          <w:sz w:val="20"/>
        </w:rPr>
        <w:t>curso</w:t>
      </w:r>
      <w:r>
        <w:rPr>
          <w:spacing w:val="-20"/>
          <w:sz w:val="20"/>
        </w:rPr>
        <w:t> </w:t>
      </w:r>
      <w:r>
        <w:rPr>
          <w:sz w:val="20"/>
        </w:rPr>
        <w:t>circulante</w:t>
      </w:r>
      <w:r>
        <w:rPr>
          <w:spacing w:val="-22"/>
          <w:sz w:val="20"/>
        </w:rPr>
        <w:t> </w:t>
      </w:r>
      <w:r>
        <w:rPr>
          <w:sz w:val="20"/>
        </w:rPr>
        <w:t>e</w:t>
      </w:r>
      <w:r>
        <w:rPr>
          <w:spacing w:val="-20"/>
          <w:sz w:val="20"/>
        </w:rPr>
        <w:t> </w:t>
      </w:r>
      <w:r>
        <w:rPr>
          <w:sz w:val="20"/>
        </w:rPr>
        <w:t>não</w:t>
      </w:r>
      <w:r>
        <w:rPr>
          <w:spacing w:val="-21"/>
          <w:sz w:val="20"/>
        </w:rPr>
        <w:t> </w:t>
      </w:r>
      <w:r>
        <w:rPr>
          <w:sz w:val="20"/>
        </w:rPr>
        <w:t>circulante,</w:t>
      </w:r>
      <w:r>
        <w:rPr>
          <w:spacing w:val="-21"/>
          <w:sz w:val="20"/>
        </w:rPr>
        <w:t> </w:t>
      </w:r>
      <w:r>
        <w:rPr>
          <w:sz w:val="20"/>
        </w:rPr>
        <w:t>as receitas</w:t>
      </w:r>
      <w:r>
        <w:rPr>
          <w:spacing w:val="-18"/>
          <w:sz w:val="20"/>
        </w:rPr>
        <w:t> </w:t>
      </w:r>
      <w:r>
        <w:rPr>
          <w:sz w:val="20"/>
        </w:rPr>
        <w:t>provenientes</w:t>
      </w:r>
      <w:r>
        <w:rPr>
          <w:spacing w:val="-18"/>
          <w:sz w:val="20"/>
        </w:rPr>
        <w:t> </w:t>
      </w:r>
      <w:r>
        <w:rPr>
          <w:sz w:val="20"/>
        </w:rPr>
        <w:t>de</w:t>
      </w:r>
      <w:r>
        <w:rPr>
          <w:spacing w:val="-19"/>
          <w:sz w:val="20"/>
        </w:rPr>
        <w:t> </w:t>
      </w:r>
      <w:r>
        <w:rPr>
          <w:sz w:val="20"/>
        </w:rPr>
        <w:t>contratos</w:t>
      </w:r>
      <w:r>
        <w:rPr>
          <w:spacing w:val="-17"/>
          <w:sz w:val="20"/>
        </w:rPr>
        <w:t> </w:t>
      </w:r>
      <w:r>
        <w:rPr>
          <w:sz w:val="20"/>
        </w:rPr>
        <w:t>de</w:t>
      </w:r>
      <w:r>
        <w:rPr>
          <w:spacing w:val="-19"/>
          <w:sz w:val="20"/>
        </w:rPr>
        <w:t> </w:t>
      </w:r>
      <w:r>
        <w:rPr>
          <w:sz w:val="20"/>
        </w:rPr>
        <w:t>desempenho</w:t>
      </w:r>
      <w:r>
        <w:rPr>
          <w:spacing w:val="-18"/>
          <w:sz w:val="20"/>
        </w:rPr>
        <w:t> </w:t>
      </w:r>
      <w:r>
        <w:rPr>
          <w:sz w:val="20"/>
        </w:rPr>
        <w:t>e</w:t>
      </w:r>
      <w:r>
        <w:rPr>
          <w:spacing w:val="-19"/>
          <w:sz w:val="20"/>
        </w:rPr>
        <w:t> </w:t>
      </w:r>
      <w:r>
        <w:rPr>
          <w:sz w:val="20"/>
        </w:rPr>
        <w:t>a</w:t>
      </w:r>
      <w:r>
        <w:rPr>
          <w:spacing w:val="-16"/>
          <w:sz w:val="20"/>
        </w:rPr>
        <w:t> </w:t>
      </w:r>
      <w:r>
        <w:rPr>
          <w:sz w:val="20"/>
        </w:rPr>
        <w:t>diferença</w:t>
      </w:r>
      <w:r>
        <w:rPr>
          <w:spacing w:val="-17"/>
          <w:sz w:val="20"/>
        </w:rPr>
        <w:t> </w:t>
      </w:r>
      <w:r>
        <w:rPr>
          <w:sz w:val="20"/>
        </w:rPr>
        <w:t>entre</w:t>
      </w:r>
      <w:r>
        <w:rPr>
          <w:spacing w:val="-19"/>
          <w:sz w:val="20"/>
        </w:rPr>
        <w:t> </w:t>
      </w:r>
      <w:r>
        <w:rPr>
          <w:sz w:val="20"/>
        </w:rPr>
        <w:t>o</w:t>
      </w:r>
      <w:r>
        <w:rPr>
          <w:spacing w:val="-19"/>
          <w:sz w:val="20"/>
        </w:rPr>
        <w:t> </w:t>
      </w:r>
      <w:r>
        <w:rPr>
          <w:sz w:val="20"/>
        </w:rPr>
        <w:t>valor</w:t>
      </w:r>
      <w:r>
        <w:rPr>
          <w:spacing w:val="-17"/>
          <w:sz w:val="20"/>
        </w:rPr>
        <w:t> </w:t>
      </w:r>
      <w:r>
        <w:rPr>
          <w:sz w:val="20"/>
        </w:rPr>
        <w:t>provisionado</w:t>
      </w:r>
      <w:r>
        <w:rPr>
          <w:spacing w:val="-18"/>
          <w:sz w:val="20"/>
        </w:rPr>
        <w:t> </w:t>
      </w:r>
      <w:r>
        <w:rPr>
          <w:sz w:val="20"/>
        </w:rPr>
        <w:t>para</w:t>
      </w:r>
      <w:r>
        <w:rPr>
          <w:spacing w:val="-17"/>
          <w:sz w:val="20"/>
        </w:rPr>
        <w:t> </w:t>
      </w:r>
      <w:r>
        <w:rPr>
          <w:sz w:val="20"/>
        </w:rPr>
        <w:t>o</w:t>
      </w:r>
      <w:r>
        <w:rPr>
          <w:spacing w:val="-19"/>
          <w:sz w:val="20"/>
        </w:rPr>
        <w:t> </w:t>
      </w:r>
      <w:r>
        <w:rPr>
          <w:sz w:val="20"/>
        </w:rPr>
        <w:t>Procel</w:t>
      </w:r>
      <w:r>
        <w:rPr>
          <w:spacing w:val="-17"/>
          <w:sz w:val="20"/>
        </w:rPr>
        <w:t> </w:t>
      </w:r>
      <w:r>
        <w:rPr>
          <w:sz w:val="20"/>
        </w:rPr>
        <w:t>e</w:t>
      </w:r>
      <w:r>
        <w:rPr>
          <w:spacing w:val="-18"/>
          <w:sz w:val="20"/>
        </w:rPr>
        <w:t> </w:t>
      </w:r>
      <w:r>
        <w:rPr>
          <w:sz w:val="20"/>
        </w:rPr>
        <w:t>o efetivamente</w:t>
      </w:r>
      <w:r>
        <w:rPr>
          <w:spacing w:val="-17"/>
          <w:sz w:val="20"/>
        </w:rPr>
        <w:t> </w:t>
      </w:r>
      <w:r>
        <w:rPr>
          <w:sz w:val="20"/>
        </w:rPr>
        <w:t>recolhido.</w:t>
      </w:r>
    </w:p>
    <w:p>
      <w:pPr>
        <w:pStyle w:val="BodyText"/>
        <w:spacing w:before="7"/>
      </w:pPr>
    </w:p>
    <w:p>
      <w:pPr>
        <w:pStyle w:val="BodyText"/>
        <w:spacing w:line="242" w:lineRule="auto" w:before="1"/>
        <w:ind w:left="172" w:right="408"/>
        <w:jc w:val="both"/>
      </w:pPr>
      <w:r>
        <w:rPr/>
        <w:t>Para</w:t>
      </w:r>
      <w:r>
        <w:rPr>
          <w:spacing w:val="-35"/>
        </w:rPr>
        <w:t> </w:t>
      </w:r>
      <w:r>
        <w:rPr/>
        <w:t>os</w:t>
      </w:r>
      <w:r>
        <w:rPr>
          <w:spacing w:val="-35"/>
        </w:rPr>
        <w:t> </w:t>
      </w:r>
      <w:r>
        <w:rPr/>
        <w:t>rendimentos</w:t>
      </w:r>
      <w:r>
        <w:rPr>
          <w:spacing w:val="-34"/>
        </w:rPr>
        <w:t> </w:t>
      </w:r>
      <w:r>
        <w:rPr/>
        <w:t>provenientes</w:t>
      </w:r>
      <w:r>
        <w:rPr>
          <w:spacing w:val="-35"/>
        </w:rPr>
        <w:t> </w:t>
      </w:r>
      <w:r>
        <w:rPr/>
        <w:t>da</w:t>
      </w:r>
      <w:r>
        <w:rPr>
          <w:spacing w:val="-34"/>
        </w:rPr>
        <w:t> </w:t>
      </w:r>
      <w:r>
        <w:rPr/>
        <w:t>remuneração</w:t>
      </w:r>
      <w:r>
        <w:rPr>
          <w:spacing w:val="-36"/>
        </w:rPr>
        <w:t> </w:t>
      </w:r>
      <w:r>
        <w:rPr/>
        <w:t>pela</w:t>
      </w:r>
      <w:r>
        <w:rPr>
          <w:spacing w:val="-35"/>
        </w:rPr>
        <w:t> </w:t>
      </w:r>
      <w:r>
        <w:rPr/>
        <w:t>taxa</w:t>
      </w:r>
      <w:r>
        <w:rPr>
          <w:spacing w:val="-35"/>
        </w:rPr>
        <w:t> </w:t>
      </w:r>
      <w:r>
        <w:rPr/>
        <w:t>Selic,</w:t>
      </w:r>
      <w:r>
        <w:rPr>
          <w:spacing w:val="-35"/>
        </w:rPr>
        <w:t> </w:t>
      </w:r>
      <w:r>
        <w:rPr/>
        <w:t>também</w:t>
      </w:r>
      <w:r>
        <w:rPr>
          <w:spacing w:val="-36"/>
        </w:rPr>
        <w:t> </w:t>
      </w:r>
      <w:r>
        <w:rPr/>
        <w:t>acumulados</w:t>
      </w:r>
      <w:r>
        <w:rPr>
          <w:spacing w:val="-35"/>
        </w:rPr>
        <w:t> </w:t>
      </w:r>
      <w:r>
        <w:rPr/>
        <w:t>na</w:t>
      </w:r>
      <w:r>
        <w:rPr>
          <w:spacing w:val="-35"/>
        </w:rPr>
        <w:t> </w:t>
      </w:r>
      <w:r>
        <w:rPr/>
        <w:t>Conta</w:t>
      </w:r>
      <w:r>
        <w:rPr>
          <w:spacing w:val="-35"/>
        </w:rPr>
        <w:t> </w:t>
      </w:r>
      <w:r>
        <w:rPr/>
        <w:t>Contábil</w:t>
      </w:r>
      <w:r>
        <w:rPr>
          <w:spacing w:val="-35"/>
        </w:rPr>
        <w:t> </w:t>
      </w:r>
      <w:r>
        <w:rPr/>
        <w:t>de</w:t>
      </w:r>
      <w:r>
        <w:rPr>
          <w:spacing w:val="-35"/>
        </w:rPr>
        <w:t> </w:t>
      </w:r>
      <w:r>
        <w:rPr/>
        <w:t>P&amp;D</w:t>
      </w:r>
      <w:r>
        <w:rPr>
          <w:spacing w:val="-36"/>
        </w:rPr>
        <w:t> </w:t>
      </w:r>
      <w:r>
        <w:rPr/>
        <w:t>e de</w:t>
      </w:r>
      <w:r>
        <w:rPr>
          <w:spacing w:val="-23"/>
        </w:rPr>
        <w:t> </w:t>
      </w:r>
      <w:r>
        <w:rPr/>
        <w:t>PEE,</w:t>
      </w:r>
      <w:r>
        <w:rPr>
          <w:spacing w:val="-21"/>
        </w:rPr>
        <w:t> </w:t>
      </w:r>
      <w:r>
        <w:rPr/>
        <w:t>fica</w:t>
      </w:r>
      <w:r>
        <w:rPr>
          <w:spacing w:val="-20"/>
        </w:rPr>
        <w:t> </w:t>
      </w:r>
      <w:r>
        <w:rPr/>
        <w:t>estabelecido</w:t>
      </w:r>
      <w:r>
        <w:rPr>
          <w:spacing w:val="-21"/>
        </w:rPr>
        <w:t> </w:t>
      </w:r>
      <w:r>
        <w:rPr/>
        <w:t>o</w:t>
      </w:r>
      <w:r>
        <w:rPr>
          <w:spacing w:val="-21"/>
        </w:rPr>
        <w:t> </w:t>
      </w:r>
      <w:r>
        <w:rPr/>
        <w:t>horizonte</w:t>
      </w:r>
      <w:r>
        <w:rPr>
          <w:spacing w:val="-22"/>
        </w:rPr>
        <w:t> </w:t>
      </w:r>
      <w:r>
        <w:rPr/>
        <w:t>de</w:t>
      </w:r>
      <w:r>
        <w:rPr>
          <w:spacing w:val="-22"/>
        </w:rPr>
        <w:t> </w:t>
      </w:r>
      <w:r>
        <w:rPr/>
        <w:t>até</w:t>
      </w:r>
      <w:r>
        <w:rPr>
          <w:spacing w:val="-22"/>
        </w:rPr>
        <w:t> </w:t>
      </w:r>
      <w:r>
        <w:rPr/>
        <w:t>48</w:t>
      </w:r>
      <w:r>
        <w:rPr>
          <w:spacing w:val="-20"/>
        </w:rPr>
        <w:t> </w:t>
      </w:r>
      <w:r>
        <w:rPr/>
        <w:t>meses,</w:t>
      </w:r>
      <w:r>
        <w:rPr>
          <w:spacing w:val="-21"/>
        </w:rPr>
        <w:t> </w:t>
      </w:r>
      <w:r>
        <w:rPr/>
        <w:t>a</w:t>
      </w:r>
      <w:r>
        <w:rPr>
          <w:spacing w:val="-21"/>
        </w:rPr>
        <w:t> </w:t>
      </w:r>
      <w:r>
        <w:rPr/>
        <w:t>partir</w:t>
      </w:r>
      <w:r>
        <w:rPr>
          <w:spacing w:val="-22"/>
        </w:rPr>
        <w:t> </w:t>
      </w:r>
      <w:r>
        <w:rPr/>
        <w:t>da</w:t>
      </w:r>
      <w:r>
        <w:rPr>
          <w:spacing w:val="-20"/>
        </w:rPr>
        <w:t> </w:t>
      </w:r>
      <w:r>
        <w:rPr/>
        <w:t>entrada</w:t>
      </w:r>
      <w:r>
        <w:rPr>
          <w:spacing w:val="-21"/>
        </w:rPr>
        <w:t> </w:t>
      </w:r>
      <w:r>
        <w:rPr/>
        <w:t>em</w:t>
      </w:r>
      <w:r>
        <w:rPr>
          <w:spacing w:val="-23"/>
        </w:rPr>
        <w:t> </w:t>
      </w:r>
      <w:r>
        <w:rPr/>
        <w:t>vigência</w:t>
      </w:r>
      <w:r>
        <w:rPr>
          <w:spacing w:val="-22"/>
        </w:rPr>
        <w:t> </w:t>
      </w:r>
      <w:r>
        <w:rPr/>
        <w:t>da</w:t>
      </w:r>
      <w:r>
        <w:rPr>
          <w:spacing w:val="-20"/>
        </w:rPr>
        <w:t> </w:t>
      </w:r>
      <w:r>
        <w:rPr/>
        <w:t>Resolução</w:t>
      </w:r>
      <w:r>
        <w:rPr>
          <w:spacing w:val="-23"/>
        </w:rPr>
        <w:t> </w:t>
      </w:r>
      <w:r>
        <w:rPr/>
        <w:t>Normativa</w:t>
      </w:r>
      <w:r>
        <w:rPr>
          <w:spacing w:val="-21"/>
        </w:rPr>
        <w:t> </w:t>
      </w:r>
      <w:r>
        <w:rPr/>
        <w:t>nº 754/2016 e nº 830/2018 referente ao P&amp;D e PEE, respectivamente, para regularização, de forma a atender ao disposto</w:t>
      </w:r>
      <w:r>
        <w:rPr>
          <w:spacing w:val="-19"/>
        </w:rPr>
        <w:t> </w:t>
      </w:r>
      <w:r>
        <w:rPr/>
        <w:t>nos</w:t>
      </w:r>
      <w:r>
        <w:rPr>
          <w:spacing w:val="-17"/>
        </w:rPr>
        <w:t> </w:t>
      </w:r>
      <w:r>
        <w:rPr/>
        <w:t>regulamentos,</w:t>
      </w:r>
      <w:r>
        <w:rPr>
          <w:spacing w:val="-18"/>
        </w:rPr>
        <w:t> </w:t>
      </w:r>
      <w:r>
        <w:rPr/>
        <w:t>relativos</w:t>
      </w:r>
      <w:r>
        <w:rPr>
          <w:spacing w:val="-19"/>
        </w:rPr>
        <w:t> </w:t>
      </w:r>
      <w:r>
        <w:rPr/>
        <w:t>ao</w:t>
      </w:r>
      <w:r>
        <w:rPr>
          <w:spacing w:val="-21"/>
        </w:rPr>
        <w:t> </w:t>
      </w:r>
      <w:r>
        <w:rPr/>
        <w:t>acúmulo</w:t>
      </w:r>
      <w:r>
        <w:rPr>
          <w:spacing w:val="-17"/>
        </w:rPr>
        <w:t> </w:t>
      </w:r>
      <w:r>
        <w:rPr/>
        <w:t>de</w:t>
      </w:r>
      <w:r>
        <w:rPr>
          <w:spacing w:val="-20"/>
        </w:rPr>
        <w:t> </w:t>
      </w:r>
      <w:r>
        <w:rPr/>
        <w:t>valor</w:t>
      </w:r>
      <w:r>
        <w:rPr>
          <w:spacing w:val="-20"/>
        </w:rPr>
        <w:t> </w:t>
      </w:r>
      <w:r>
        <w:rPr/>
        <w:t>nessas</w:t>
      </w:r>
      <w:r>
        <w:rPr>
          <w:spacing w:val="-19"/>
        </w:rPr>
        <w:t> </w:t>
      </w:r>
      <w:r>
        <w:rPr/>
        <w:t>Contas.</w:t>
      </w:r>
    </w:p>
    <w:p>
      <w:pPr>
        <w:pStyle w:val="BodyText"/>
        <w:spacing w:before="7"/>
      </w:pPr>
    </w:p>
    <w:p>
      <w:pPr>
        <w:pStyle w:val="BodyText"/>
        <w:spacing w:line="242" w:lineRule="auto" w:before="1"/>
        <w:ind w:left="172" w:right="410"/>
        <w:jc w:val="both"/>
      </w:pPr>
      <w:r>
        <w:rPr/>
        <w:t>A</w:t>
      </w:r>
      <w:r>
        <w:rPr>
          <w:spacing w:val="-27"/>
        </w:rPr>
        <w:t> </w:t>
      </w:r>
      <w:r>
        <w:rPr/>
        <w:t>partir</w:t>
      </w:r>
      <w:r>
        <w:rPr>
          <w:spacing w:val="-28"/>
        </w:rPr>
        <w:t> </w:t>
      </w:r>
      <w:r>
        <w:rPr/>
        <w:t>desse</w:t>
      </w:r>
      <w:r>
        <w:rPr>
          <w:spacing w:val="-27"/>
        </w:rPr>
        <w:t> </w:t>
      </w:r>
      <w:r>
        <w:rPr/>
        <w:t>horizonte</w:t>
      </w:r>
      <w:r>
        <w:rPr>
          <w:spacing w:val="-28"/>
        </w:rPr>
        <w:t> </w:t>
      </w:r>
      <w:r>
        <w:rPr/>
        <w:t>de</w:t>
      </w:r>
      <w:r>
        <w:rPr>
          <w:spacing w:val="-26"/>
        </w:rPr>
        <w:t> </w:t>
      </w:r>
      <w:r>
        <w:rPr/>
        <w:t>48</w:t>
      </w:r>
      <w:r>
        <w:rPr>
          <w:spacing w:val="-26"/>
        </w:rPr>
        <w:t> </w:t>
      </w:r>
      <w:r>
        <w:rPr/>
        <w:t>meses,</w:t>
      </w:r>
      <w:r>
        <w:rPr>
          <w:spacing w:val="-27"/>
        </w:rPr>
        <w:t> </w:t>
      </w:r>
      <w:r>
        <w:rPr/>
        <w:t>o</w:t>
      </w:r>
      <w:r>
        <w:rPr>
          <w:spacing w:val="-27"/>
        </w:rPr>
        <w:t> </w:t>
      </w:r>
      <w:r>
        <w:rPr/>
        <w:t>saldo</w:t>
      </w:r>
      <w:r>
        <w:rPr>
          <w:spacing w:val="-27"/>
        </w:rPr>
        <w:t> </w:t>
      </w:r>
      <w:r>
        <w:rPr/>
        <w:t>da</w:t>
      </w:r>
      <w:r>
        <w:rPr>
          <w:spacing w:val="-26"/>
        </w:rPr>
        <w:t> </w:t>
      </w:r>
      <w:r>
        <w:rPr/>
        <w:t>Selic</w:t>
      </w:r>
      <w:r>
        <w:rPr>
          <w:spacing w:val="-27"/>
        </w:rPr>
        <w:t> </w:t>
      </w:r>
      <w:r>
        <w:rPr/>
        <w:t>deve</w:t>
      </w:r>
      <w:r>
        <w:rPr>
          <w:spacing w:val="-27"/>
        </w:rPr>
        <w:t> </w:t>
      </w:r>
      <w:r>
        <w:rPr/>
        <w:t>ser</w:t>
      </w:r>
      <w:r>
        <w:rPr>
          <w:spacing w:val="-27"/>
        </w:rPr>
        <w:t> </w:t>
      </w:r>
      <w:r>
        <w:rPr/>
        <w:t>considerado</w:t>
      </w:r>
      <w:r>
        <w:rPr>
          <w:spacing w:val="-25"/>
        </w:rPr>
        <w:t> </w:t>
      </w:r>
      <w:r>
        <w:rPr/>
        <w:t>na</w:t>
      </w:r>
      <w:r>
        <w:rPr>
          <w:spacing w:val="-26"/>
        </w:rPr>
        <w:t> </w:t>
      </w:r>
      <w:r>
        <w:rPr/>
        <w:t>verificação</w:t>
      </w:r>
      <w:r>
        <w:rPr>
          <w:spacing w:val="-27"/>
        </w:rPr>
        <w:t> </w:t>
      </w:r>
      <w:r>
        <w:rPr/>
        <w:t>do</w:t>
      </w:r>
      <w:r>
        <w:rPr>
          <w:spacing w:val="-27"/>
        </w:rPr>
        <w:t> </w:t>
      </w:r>
      <w:r>
        <w:rPr/>
        <w:t>limite</w:t>
      </w:r>
      <w:r>
        <w:rPr>
          <w:spacing w:val="-28"/>
        </w:rPr>
        <w:t> </w:t>
      </w:r>
      <w:r>
        <w:rPr/>
        <w:t>de</w:t>
      </w:r>
      <w:r>
        <w:rPr>
          <w:spacing w:val="-27"/>
        </w:rPr>
        <w:t> </w:t>
      </w:r>
      <w:r>
        <w:rPr/>
        <w:t>acúmulo</w:t>
      </w:r>
      <w:r>
        <w:rPr>
          <w:spacing w:val="-28"/>
        </w:rPr>
        <w:t> </w:t>
      </w:r>
      <w:r>
        <w:rPr/>
        <w:t>nas Contas</w:t>
      </w:r>
      <w:r>
        <w:rPr>
          <w:spacing w:val="-21"/>
        </w:rPr>
        <w:t> </w:t>
      </w:r>
      <w:r>
        <w:rPr/>
        <w:t>Contábeis</w:t>
      </w:r>
      <w:r>
        <w:rPr>
          <w:spacing w:val="-20"/>
        </w:rPr>
        <w:t> </w:t>
      </w:r>
      <w:r>
        <w:rPr/>
        <w:t>de</w:t>
      </w:r>
      <w:r>
        <w:rPr>
          <w:spacing w:val="-21"/>
        </w:rPr>
        <w:t> </w:t>
      </w:r>
      <w:r>
        <w:rPr/>
        <w:t>P&amp;D</w:t>
      </w:r>
      <w:r>
        <w:rPr>
          <w:spacing w:val="-19"/>
        </w:rPr>
        <w:t> </w:t>
      </w:r>
      <w:r>
        <w:rPr/>
        <w:t>e</w:t>
      </w:r>
      <w:r>
        <w:rPr>
          <w:spacing w:val="-19"/>
        </w:rPr>
        <w:t> </w:t>
      </w:r>
      <w:r>
        <w:rPr/>
        <w:t>PEE,</w:t>
      </w:r>
      <w:r>
        <w:rPr>
          <w:spacing w:val="-21"/>
        </w:rPr>
        <w:t> </w:t>
      </w:r>
      <w:r>
        <w:rPr/>
        <w:t>pois</w:t>
      </w:r>
      <w:r>
        <w:rPr>
          <w:spacing w:val="-20"/>
        </w:rPr>
        <w:t> </w:t>
      </w:r>
      <w:r>
        <w:rPr/>
        <w:t>compõe</w:t>
      </w:r>
      <w:r>
        <w:rPr>
          <w:spacing w:val="-20"/>
        </w:rPr>
        <w:t> </w:t>
      </w:r>
      <w:r>
        <w:rPr/>
        <w:t>o</w:t>
      </w:r>
      <w:r>
        <w:rPr>
          <w:spacing w:val="-20"/>
        </w:rPr>
        <w:t> </w:t>
      </w:r>
      <w:r>
        <w:rPr/>
        <w:t>montante</w:t>
      </w:r>
      <w:r>
        <w:rPr>
          <w:spacing w:val="-20"/>
        </w:rPr>
        <w:t> </w:t>
      </w:r>
      <w:r>
        <w:rPr/>
        <w:t>de</w:t>
      </w:r>
      <w:r>
        <w:rPr>
          <w:spacing w:val="-21"/>
        </w:rPr>
        <w:t> </w:t>
      </w:r>
      <w:r>
        <w:rPr/>
        <w:t>investimentos</w:t>
      </w:r>
      <w:r>
        <w:rPr>
          <w:spacing w:val="-19"/>
        </w:rPr>
        <w:t> </w:t>
      </w:r>
      <w:r>
        <w:rPr/>
        <w:t>a</w:t>
      </w:r>
      <w:r>
        <w:rPr>
          <w:spacing w:val="-20"/>
        </w:rPr>
        <w:t> </w:t>
      </w:r>
      <w:r>
        <w:rPr/>
        <w:t>realizar</w:t>
      </w:r>
      <w:r>
        <w:rPr>
          <w:spacing w:val="-21"/>
        </w:rPr>
        <w:t> </w:t>
      </w:r>
      <w:r>
        <w:rPr/>
        <w:t>em</w:t>
      </w:r>
      <w:r>
        <w:rPr>
          <w:spacing w:val="-20"/>
        </w:rPr>
        <w:t> </w:t>
      </w:r>
      <w:r>
        <w:rPr/>
        <w:t>P&amp;D</w:t>
      </w:r>
      <w:r>
        <w:rPr>
          <w:spacing w:val="-10"/>
        </w:rPr>
        <w:t> </w:t>
      </w:r>
      <w:r>
        <w:rPr/>
        <w:t>e</w:t>
      </w:r>
      <w:r>
        <w:rPr>
          <w:spacing w:val="-20"/>
        </w:rPr>
        <w:t> </w:t>
      </w:r>
      <w:r>
        <w:rPr/>
        <w:t>PEE</w:t>
      </w:r>
      <w:r>
        <w:rPr>
          <w:spacing w:val="-19"/>
        </w:rPr>
        <w:t> </w:t>
      </w:r>
      <w:r>
        <w:rPr/>
        <w:t>regulado</w:t>
      </w:r>
      <w:r>
        <w:rPr>
          <w:spacing w:val="-20"/>
        </w:rPr>
        <w:t> </w:t>
      </w:r>
      <w:r>
        <w:rPr/>
        <w:t>pela ANEEL.</w:t>
      </w:r>
    </w:p>
    <w:p>
      <w:pPr>
        <w:pStyle w:val="BodyText"/>
        <w:spacing w:before="7"/>
      </w:pPr>
    </w:p>
    <w:p>
      <w:pPr>
        <w:pStyle w:val="BodyText"/>
        <w:spacing w:line="242" w:lineRule="auto"/>
        <w:ind w:left="172" w:right="419"/>
        <w:jc w:val="both"/>
      </w:pPr>
      <w:r>
        <w:rPr/>
        <w:t>No</w:t>
      </w:r>
      <w:r>
        <w:rPr>
          <w:spacing w:val="-38"/>
        </w:rPr>
        <w:t> </w:t>
      </w:r>
      <w:r>
        <w:rPr/>
        <w:t>exercício</w:t>
      </w:r>
      <w:r>
        <w:rPr>
          <w:spacing w:val="-38"/>
        </w:rPr>
        <w:t> </w:t>
      </w:r>
      <w:r>
        <w:rPr/>
        <w:t>de</w:t>
      </w:r>
      <w:r>
        <w:rPr>
          <w:spacing w:val="-38"/>
        </w:rPr>
        <w:t> </w:t>
      </w:r>
      <w:r>
        <w:rPr/>
        <w:t>2018,</w:t>
      </w:r>
      <w:r>
        <w:rPr>
          <w:spacing w:val="-38"/>
        </w:rPr>
        <w:t> </w:t>
      </w:r>
      <w:r>
        <w:rPr/>
        <w:t>o</w:t>
      </w:r>
      <w:r>
        <w:rPr>
          <w:spacing w:val="-37"/>
        </w:rPr>
        <w:t> </w:t>
      </w:r>
      <w:r>
        <w:rPr/>
        <w:t>cálculo</w:t>
      </w:r>
      <w:r>
        <w:rPr>
          <w:spacing w:val="-38"/>
        </w:rPr>
        <w:t> </w:t>
      </w:r>
      <w:r>
        <w:rPr/>
        <w:t>de</w:t>
      </w:r>
      <w:r>
        <w:rPr>
          <w:spacing w:val="-38"/>
        </w:rPr>
        <w:t> </w:t>
      </w:r>
      <w:r>
        <w:rPr/>
        <w:t>verificação</w:t>
      </w:r>
      <w:r>
        <w:rPr>
          <w:spacing w:val="-38"/>
        </w:rPr>
        <w:t> </w:t>
      </w:r>
      <w:r>
        <w:rPr/>
        <w:t>do</w:t>
      </w:r>
      <w:r>
        <w:rPr>
          <w:spacing w:val="-38"/>
        </w:rPr>
        <w:t> </w:t>
      </w:r>
      <w:r>
        <w:rPr/>
        <w:t>saldo</w:t>
      </w:r>
      <w:r>
        <w:rPr>
          <w:spacing w:val="-38"/>
        </w:rPr>
        <w:t> </w:t>
      </w:r>
      <w:r>
        <w:rPr/>
        <w:t>das</w:t>
      </w:r>
      <w:r>
        <w:rPr>
          <w:spacing w:val="-37"/>
        </w:rPr>
        <w:t> </w:t>
      </w:r>
      <w:r>
        <w:rPr/>
        <w:t>obrigações</w:t>
      </w:r>
      <w:r>
        <w:rPr>
          <w:spacing w:val="-38"/>
        </w:rPr>
        <w:t> </w:t>
      </w:r>
      <w:r>
        <w:rPr/>
        <w:t>com</w:t>
      </w:r>
      <w:r>
        <w:rPr>
          <w:spacing w:val="-38"/>
        </w:rPr>
        <w:t> </w:t>
      </w:r>
      <w:r>
        <w:rPr/>
        <w:t>PEE</w:t>
      </w:r>
      <w:r>
        <w:rPr>
          <w:spacing w:val="-37"/>
        </w:rPr>
        <w:t> </w:t>
      </w:r>
      <w:r>
        <w:rPr/>
        <w:t>ficou</w:t>
      </w:r>
      <w:r>
        <w:rPr>
          <w:spacing w:val="-36"/>
        </w:rPr>
        <w:t> </w:t>
      </w:r>
      <w:r>
        <w:rPr/>
        <w:t>aderente</w:t>
      </w:r>
      <w:r>
        <w:rPr>
          <w:spacing w:val="-38"/>
        </w:rPr>
        <w:t> </w:t>
      </w:r>
      <w:r>
        <w:rPr/>
        <w:t>ao</w:t>
      </w:r>
      <w:r>
        <w:rPr>
          <w:spacing w:val="-38"/>
        </w:rPr>
        <w:t> </w:t>
      </w:r>
      <w:r>
        <w:rPr/>
        <w:t>limite</w:t>
      </w:r>
      <w:r>
        <w:rPr>
          <w:spacing w:val="-37"/>
        </w:rPr>
        <w:t> </w:t>
      </w:r>
      <w:r>
        <w:rPr/>
        <w:t>estabelecido pela</w:t>
      </w:r>
      <w:r>
        <w:rPr>
          <w:spacing w:val="-17"/>
        </w:rPr>
        <w:t> </w:t>
      </w:r>
      <w:r>
        <w:rPr/>
        <w:t>ANEEL,</w:t>
      </w:r>
      <w:r>
        <w:rPr>
          <w:spacing w:val="-16"/>
        </w:rPr>
        <w:t> </w:t>
      </w:r>
      <w:r>
        <w:rPr/>
        <w:t>enquanto</w:t>
      </w:r>
      <w:r>
        <w:rPr>
          <w:spacing w:val="-16"/>
        </w:rPr>
        <w:t> </w:t>
      </w:r>
      <w:r>
        <w:rPr/>
        <w:t>na</w:t>
      </w:r>
      <w:r>
        <w:rPr>
          <w:spacing w:val="-15"/>
        </w:rPr>
        <w:t> </w:t>
      </w:r>
      <w:r>
        <w:rPr/>
        <w:t>análise</w:t>
      </w:r>
      <w:r>
        <w:rPr>
          <w:spacing w:val="-18"/>
        </w:rPr>
        <w:t> </w:t>
      </w:r>
      <w:r>
        <w:rPr/>
        <w:t>do</w:t>
      </w:r>
      <w:r>
        <w:rPr>
          <w:spacing w:val="-17"/>
        </w:rPr>
        <w:t> </w:t>
      </w:r>
      <w:r>
        <w:rPr/>
        <w:t>saldo</w:t>
      </w:r>
      <w:r>
        <w:rPr>
          <w:spacing w:val="-16"/>
        </w:rPr>
        <w:t> </w:t>
      </w:r>
      <w:r>
        <w:rPr/>
        <w:t>de</w:t>
      </w:r>
      <w:r>
        <w:rPr>
          <w:spacing w:val="-18"/>
        </w:rPr>
        <w:t> </w:t>
      </w:r>
      <w:r>
        <w:rPr/>
        <w:t>obrigações</w:t>
      </w:r>
      <w:r>
        <w:rPr>
          <w:spacing w:val="-17"/>
        </w:rPr>
        <w:t> </w:t>
      </w:r>
      <w:r>
        <w:rPr/>
        <w:t>com</w:t>
      </w:r>
      <w:r>
        <w:rPr>
          <w:spacing w:val="-17"/>
        </w:rPr>
        <w:t> </w:t>
      </w:r>
      <w:r>
        <w:rPr/>
        <w:t>P&amp;D</w:t>
      </w:r>
      <w:r>
        <w:rPr>
          <w:spacing w:val="-17"/>
        </w:rPr>
        <w:t> </w:t>
      </w:r>
      <w:r>
        <w:rPr/>
        <w:t>a</w:t>
      </w:r>
      <w:r>
        <w:rPr>
          <w:spacing w:val="-15"/>
        </w:rPr>
        <w:t> </w:t>
      </w:r>
      <w:r>
        <w:rPr/>
        <w:t>variação</w:t>
      </w:r>
      <w:r>
        <w:rPr>
          <w:spacing w:val="-18"/>
        </w:rPr>
        <w:t> </w:t>
      </w:r>
      <w:r>
        <w:rPr/>
        <w:t>foi</w:t>
      </w:r>
      <w:r>
        <w:rPr>
          <w:spacing w:val="-18"/>
        </w:rPr>
        <w:t> </w:t>
      </w:r>
      <w:r>
        <w:rPr/>
        <w:t>superior</w:t>
      </w:r>
      <w:r>
        <w:rPr>
          <w:spacing w:val="-15"/>
        </w:rPr>
        <w:t> </w:t>
      </w:r>
      <w:r>
        <w:rPr/>
        <w:t>em</w:t>
      </w:r>
      <w:r>
        <w:rPr>
          <w:spacing w:val="-16"/>
        </w:rPr>
        <w:t> </w:t>
      </w:r>
      <w:r>
        <w:rPr/>
        <w:t>R$</w:t>
      </w:r>
      <w:r>
        <w:rPr>
          <w:spacing w:val="-17"/>
        </w:rPr>
        <w:t> </w:t>
      </w:r>
      <w:r>
        <w:rPr/>
        <w:t>10.962,</w:t>
      </w:r>
      <w:r>
        <w:rPr>
          <w:spacing w:val="-16"/>
        </w:rPr>
        <w:t> </w:t>
      </w:r>
      <w:r>
        <w:rPr/>
        <w:t>acima</w:t>
      </w:r>
      <w:r>
        <w:rPr>
          <w:spacing w:val="-17"/>
        </w:rPr>
        <w:t> </w:t>
      </w:r>
      <w:r>
        <w:rPr/>
        <w:t>do limite</w:t>
      </w:r>
      <w:r>
        <w:rPr>
          <w:spacing w:val="-17"/>
        </w:rPr>
        <w:t> </w:t>
      </w:r>
      <w:r>
        <w:rPr/>
        <w:t>permitido</w:t>
      </w:r>
      <w:r>
        <w:rPr>
          <w:spacing w:val="-17"/>
        </w:rPr>
        <w:t> </w:t>
      </w:r>
      <w:r>
        <w:rPr/>
        <w:t>pelo</w:t>
      </w:r>
      <w:r>
        <w:rPr>
          <w:spacing w:val="-19"/>
        </w:rPr>
        <w:t> </w:t>
      </w:r>
      <w:r>
        <w:rPr/>
        <w:t>Órgão</w:t>
      </w:r>
      <w:r>
        <w:rPr>
          <w:spacing w:val="-16"/>
        </w:rPr>
        <w:t> </w:t>
      </w:r>
      <w:r>
        <w:rPr/>
        <w:t>Regulador.</w:t>
      </w:r>
    </w:p>
    <w:p>
      <w:pPr>
        <w:pStyle w:val="BodyText"/>
        <w:spacing w:before="8"/>
      </w:pPr>
    </w:p>
    <w:p>
      <w:pPr>
        <w:pStyle w:val="BodyText"/>
        <w:spacing w:line="242" w:lineRule="auto"/>
        <w:ind w:left="172" w:right="418"/>
        <w:jc w:val="both"/>
      </w:pPr>
      <w:r>
        <w:rPr/>
        <w:t>Visando</w:t>
      </w:r>
      <w:r>
        <w:rPr>
          <w:spacing w:val="-27"/>
        </w:rPr>
        <w:t> </w:t>
      </w:r>
      <w:r>
        <w:rPr/>
        <w:t>a</w:t>
      </w:r>
      <w:r>
        <w:rPr>
          <w:spacing w:val="-24"/>
        </w:rPr>
        <w:t> </w:t>
      </w:r>
      <w:r>
        <w:rPr/>
        <w:t>efetiva</w:t>
      </w:r>
      <w:r>
        <w:rPr>
          <w:spacing w:val="-24"/>
        </w:rPr>
        <w:t> </w:t>
      </w:r>
      <w:r>
        <w:rPr/>
        <w:t>aplicação</w:t>
      </w:r>
      <w:r>
        <w:rPr>
          <w:spacing w:val="-27"/>
        </w:rPr>
        <w:t> </w:t>
      </w:r>
      <w:r>
        <w:rPr/>
        <w:t>dos</w:t>
      </w:r>
      <w:r>
        <w:rPr>
          <w:spacing w:val="-26"/>
        </w:rPr>
        <w:t> </w:t>
      </w:r>
      <w:r>
        <w:rPr/>
        <w:t>valores</w:t>
      </w:r>
      <w:r>
        <w:rPr>
          <w:spacing w:val="-24"/>
        </w:rPr>
        <w:t> </w:t>
      </w:r>
      <w:r>
        <w:rPr/>
        <w:t>acumulados</w:t>
      </w:r>
      <w:r>
        <w:rPr>
          <w:spacing w:val="-26"/>
        </w:rPr>
        <w:t> </w:t>
      </w:r>
      <w:r>
        <w:rPr/>
        <w:t>no</w:t>
      </w:r>
      <w:r>
        <w:rPr>
          <w:spacing w:val="-23"/>
        </w:rPr>
        <w:t> </w:t>
      </w:r>
      <w:r>
        <w:rPr/>
        <w:t>passivo</w:t>
      </w:r>
      <w:r>
        <w:rPr>
          <w:spacing w:val="-26"/>
        </w:rPr>
        <w:t> </w:t>
      </w:r>
      <w:r>
        <w:rPr/>
        <w:t>da</w:t>
      </w:r>
      <w:r>
        <w:rPr>
          <w:spacing w:val="-26"/>
        </w:rPr>
        <w:t> </w:t>
      </w:r>
      <w:r>
        <w:rPr/>
        <w:t>Distribuidora,</w:t>
      </w:r>
      <w:r>
        <w:rPr>
          <w:spacing w:val="-27"/>
        </w:rPr>
        <w:t> </w:t>
      </w:r>
      <w:r>
        <w:rPr/>
        <w:t>o</w:t>
      </w:r>
      <w:r>
        <w:rPr>
          <w:spacing w:val="-24"/>
        </w:rPr>
        <w:t> </w:t>
      </w:r>
      <w:r>
        <w:rPr/>
        <w:t>Plano</w:t>
      </w:r>
      <w:r>
        <w:rPr>
          <w:spacing w:val="-27"/>
        </w:rPr>
        <w:t> </w:t>
      </w:r>
      <w:r>
        <w:rPr/>
        <w:t>de</w:t>
      </w:r>
      <w:r>
        <w:rPr>
          <w:spacing w:val="-28"/>
        </w:rPr>
        <w:t> </w:t>
      </w:r>
      <w:r>
        <w:rPr/>
        <w:t>Negócios</w:t>
      </w:r>
      <w:r>
        <w:rPr>
          <w:spacing w:val="-24"/>
        </w:rPr>
        <w:t> </w:t>
      </w:r>
      <w:r>
        <w:rPr/>
        <w:t>do</w:t>
      </w:r>
      <w:r>
        <w:rPr>
          <w:spacing w:val="-25"/>
        </w:rPr>
        <w:t> </w:t>
      </w:r>
      <w:r>
        <w:rPr/>
        <w:t>período</w:t>
      </w:r>
      <w:r>
        <w:rPr>
          <w:spacing w:val="-26"/>
        </w:rPr>
        <w:t> </w:t>
      </w:r>
      <w:r>
        <w:rPr/>
        <w:t>de 2020</w:t>
      </w:r>
      <w:r>
        <w:rPr>
          <w:spacing w:val="-19"/>
        </w:rPr>
        <w:t> </w:t>
      </w:r>
      <w:r>
        <w:rPr/>
        <w:t>a</w:t>
      </w:r>
      <w:r>
        <w:rPr>
          <w:spacing w:val="-19"/>
        </w:rPr>
        <w:t> </w:t>
      </w:r>
      <w:r>
        <w:rPr/>
        <w:t>2024</w:t>
      </w:r>
      <w:r>
        <w:rPr>
          <w:spacing w:val="-19"/>
        </w:rPr>
        <w:t> </w:t>
      </w:r>
      <w:r>
        <w:rPr/>
        <w:t>prevê</w:t>
      </w:r>
      <w:r>
        <w:rPr>
          <w:spacing w:val="-18"/>
        </w:rPr>
        <w:t> </w:t>
      </w:r>
      <w:r>
        <w:rPr/>
        <w:t>metas</w:t>
      </w:r>
      <w:r>
        <w:rPr>
          <w:spacing w:val="-18"/>
        </w:rPr>
        <w:t> </w:t>
      </w:r>
      <w:r>
        <w:rPr/>
        <w:t>para</w:t>
      </w:r>
      <w:r>
        <w:rPr>
          <w:spacing w:val="-19"/>
        </w:rPr>
        <w:t> </w:t>
      </w:r>
      <w:r>
        <w:rPr/>
        <w:t>a</w:t>
      </w:r>
      <w:r>
        <w:rPr>
          <w:spacing w:val="-19"/>
        </w:rPr>
        <w:t> </w:t>
      </w:r>
      <w:r>
        <w:rPr/>
        <w:t>destinação</w:t>
      </w:r>
      <w:r>
        <w:rPr>
          <w:spacing w:val="-20"/>
        </w:rPr>
        <w:t> </w:t>
      </w:r>
      <w:r>
        <w:rPr/>
        <w:t>de</w:t>
      </w:r>
      <w:r>
        <w:rPr>
          <w:spacing w:val="-17"/>
        </w:rPr>
        <w:t> </w:t>
      </w:r>
      <w:r>
        <w:rPr/>
        <w:t>recursos</w:t>
      </w:r>
      <w:r>
        <w:rPr>
          <w:spacing w:val="-14"/>
        </w:rPr>
        <w:t> </w:t>
      </w:r>
      <w:r>
        <w:rPr/>
        <w:t>para</w:t>
      </w:r>
      <w:r>
        <w:rPr>
          <w:spacing w:val="-19"/>
        </w:rPr>
        <w:t> </w:t>
      </w:r>
      <w:r>
        <w:rPr/>
        <w:t>tal</w:t>
      </w:r>
      <w:r>
        <w:rPr>
          <w:spacing w:val="-19"/>
        </w:rPr>
        <w:t> </w:t>
      </w:r>
      <w:r>
        <w:rPr/>
        <w:t>fim.</w:t>
      </w:r>
    </w:p>
    <w:p>
      <w:pPr>
        <w:pStyle w:val="BodyText"/>
        <w:spacing w:before="5"/>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56"/>
        <w:gridCol w:w="1558"/>
        <w:gridCol w:w="1557"/>
      </w:tblGrid>
      <w:tr>
        <w:trPr>
          <w:trHeight w:val="215" w:hRule="atLeast"/>
        </w:trPr>
        <w:tc>
          <w:tcPr>
            <w:tcW w:w="6856" w:type="dxa"/>
            <w:vMerge w:val="restart"/>
            <w:shd w:val="clear" w:color="auto" w:fill="D9D9D9"/>
          </w:tcPr>
          <w:p>
            <w:pPr>
              <w:pStyle w:val="TableParagraph"/>
              <w:rPr>
                <w:rFonts w:ascii="Times New Roman"/>
                <w:sz w:val="18"/>
              </w:rPr>
            </w:pPr>
          </w:p>
        </w:tc>
        <w:tc>
          <w:tcPr>
            <w:tcW w:w="3115" w:type="dxa"/>
            <w:gridSpan w:val="2"/>
          </w:tcPr>
          <w:p>
            <w:pPr>
              <w:pStyle w:val="TableParagraph"/>
              <w:spacing w:before="25"/>
              <w:ind w:left="1139" w:right="1127"/>
              <w:jc w:val="center"/>
              <w:rPr>
                <w:rFonts w:ascii="Caladea"/>
                <w:b/>
                <w:sz w:val="14"/>
              </w:rPr>
            </w:pPr>
            <w:r>
              <w:rPr>
                <w:rFonts w:ascii="Caladea"/>
                <w:b/>
                <w:sz w:val="14"/>
              </w:rPr>
              <w:t>Consolidado</w:t>
            </w:r>
          </w:p>
        </w:tc>
      </w:tr>
      <w:tr>
        <w:trPr>
          <w:trHeight w:val="417" w:hRule="atLeast"/>
        </w:trPr>
        <w:tc>
          <w:tcPr>
            <w:tcW w:w="6856" w:type="dxa"/>
            <w:vMerge/>
            <w:tcBorders>
              <w:top w:val="nil"/>
            </w:tcBorders>
            <w:shd w:val="clear" w:color="auto" w:fill="D9D9D9"/>
          </w:tcPr>
          <w:p>
            <w:pPr>
              <w:rPr>
                <w:sz w:val="2"/>
                <w:szCs w:val="2"/>
              </w:rPr>
            </w:pPr>
          </w:p>
        </w:tc>
        <w:tc>
          <w:tcPr>
            <w:tcW w:w="1558" w:type="dxa"/>
          </w:tcPr>
          <w:p>
            <w:pPr>
              <w:pStyle w:val="TableParagraph"/>
              <w:spacing w:before="126"/>
              <w:ind w:left="378"/>
              <w:rPr>
                <w:rFonts w:ascii="Caladea"/>
                <w:b/>
                <w:sz w:val="14"/>
              </w:rPr>
            </w:pPr>
            <w:r>
              <w:rPr>
                <w:rFonts w:ascii="Caladea"/>
                <w:b/>
                <w:sz w:val="14"/>
              </w:rPr>
              <w:t>31/12/2019</w:t>
            </w:r>
          </w:p>
        </w:tc>
        <w:tc>
          <w:tcPr>
            <w:tcW w:w="1557" w:type="dxa"/>
          </w:tcPr>
          <w:p>
            <w:pPr>
              <w:pStyle w:val="TableParagraph"/>
              <w:spacing w:before="126"/>
              <w:ind w:left="378"/>
              <w:rPr>
                <w:rFonts w:ascii="Caladea"/>
                <w:b/>
                <w:sz w:val="14"/>
              </w:rPr>
            </w:pPr>
            <w:r>
              <w:rPr>
                <w:rFonts w:ascii="Caladea"/>
                <w:b/>
                <w:sz w:val="14"/>
              </w:rPr>
              <w:t>31/12/2018</w:t>
            </w:r>
          </w:p>
        </w:tc>
      </w:tr>
      <w:tr>
        <w:trPr>
          <w:trHeight w:val="218" w:hRule="atLeast"/>
        </w:trPr>
        <w:tc>
          <w:tcPr>
            <w:tcW w:w="6856" w:type="dxa"/>
          </w:tcPr>
          <w:p>
            <w:pPr>
              <w:pStyle w:val="TableParagraph"/>
              <w:spacing w:before="26"/>
              <w:ind w:left="72"/>
              <w:rPr>
                <w:sz w:val="14"/>
              </w:rPr>
            </w:pPr>
            <w:r>
              <w:rPr>
                <w:w w:val="105"/>
                <w:sz w:val="14"/>
              </w:rPr>
              <w:t>Programa de Eficiência Energética – PEE</w:t>
            </w:r>
          </w:p>
        </w:tc>
        <w:tc>
          <w:tcPr>
            <w:tcW w:w="1558" w:type="dxa"/>
          </w:tcPr>
          <w:p>
            <w:pPr>
              <w:pStyle w:val="TableParagraph"/>
              <w:spacing w:before="26"/>
              <w:ind w:right="54"/>
              <w:jc w:val="right"/>
              <w:rPr>
                <w:sz w:val="14"/>
              </w:rPr>
            </w:pPr>
            <w:r>
              <w:rPr>
                <w:w w:val="95"/>
                <w:sz w:val="14"/>
              </w:rPr>
              <w:t>77.971</w:t>
            </w:r>
          </w:p>
        </w:tc>
        <w:tc>
          <w:tcPr>
            <w:tcW w:w="1557" w:type="dxa"/>
          </w:tcPr>
          <w:p>
            <w:pPr>
              <w:pStyle w:val="TableParagraph"/>
              <w:spacing w:before="26"/>
              <w:ind w:right="54"/>
              <w:jc w:val="right"/>
              <w:rPr>
                <w:sz w:val="14"/>
              </w:rPr>
            </w:pPr>
            <w:r>
              <w:rPr>
                <w:w w:val="95"/>
                <w:sz w:val="14"/>
              </w:rPr>
              <w:t>88.114</w:t>
            </w:r>
          </w:p>
        </w:tc>
      </w:tr>
      <w:tr>
        <w:trPr>
          <w:trHeight w:val="215" w:hRule="atLeast"/>
        </w:trPr>
        <w:tc>
          <w:tcPr>
            <w:tcW w:w="6856" w:type="dxa"/>
          </w:tcPr>
          <w:p>
            <w:pPr>
              <w:pStyle w:val="TableParagraph"/>
              <w:spacing w:before="26"/>
              <w:ind w:left="72"/>
              <w:rPr>
                <w:sz w:val="14"/>
              </w:rPr>
            </w:pPr>
            <w:r>
              <w:rPr>
                <w:w w:val="105"/>
                <w:sz w:val="14"/>
              </w:rPr>
              <w:t>Pesquisa e Desenvolvimento – P &amp;D</w:t>
            </w:r>
          </w:p>
        </w:tc>
        <w:tc>
          <w:tcPr>
            <w:tcW w:w="1558" w:type="dxa"/>
          </w:tcPr>
          <w:p>
            <w:pPr>
              <w:pStyle w:val="TableParagraph"/>
              <w:spacing w:before="26"/>
              <w:ind w:right="54"/>
              <w:jc w:val="right"/>
              <w:rPr>
                <w:sz w:val="14"/>
              </w:rPr>
            </w:pPr>
            <w:r>
              <w:rPr>
                <w:w w:val="95"/>
                <w:sz w:val="14"/>
              </w:rPr>
              <w:t>57.962</w:t>
            </w:r>
          </w:p>
        </w:tc>
        <w:tc>
          <w:tcPr>
            <w:tcW w:w="1557" w:type="dxa"/>
          </w:tcPr>
          <w:p>
            <w:pPr>
              <w:pStyle w:val="TableParagraph"/>
              <w:spacing w:before="26"/>
              <w:ind w:right="54"/>
              <w:jc w:val="right"/>
              <w:rPr>
                <w:sz w:val="14"/>
              </w:rPr>
            </w:pPr>
            <w:r>
              <w:rPr>
                <w:w w:val="95"/>
                <w:sz w:val="14"/>
              </w:rPr>
              <w:t>49.723</w:t>
            </w:r>
          </w:p>
        </w:tc>
      </w:tr>
      <w:tr>
        <w:trPr>
          <w:trHeight w:val="218" w:hRule="atLeast"/>
        </w:trPr>
        <w:tc>
          <w:tcPr>
            <w:tcW w:w="6856" w:type="dxa"/>
          </w:tcPr>
          <w:p>
            <w:pPr>
              <w:pStyle w:val="TableParagraph"/>
              <w:spacing w:before="26"/>
              <w:ind w:left="72"/>
              <w:rPr>
                <w:sz w:val="14"/>
              </w:rPr>
            </w:pPr>
            <w:r>
              <w:rPr>
                <w:sz w:val="14"/>
              </w:rPr>
              <w:t>Fundo Nacional Desenvolvimento Científico e Tecnológico </w:t>
            </w:r>
            <w:r>
              <w:rPr>
                <w:w w:val="105"/>
                <w:sz w:val="14"/>
              </w:rPr>
              <w:t>– </w:t>
            </w:r>
            <w:r>
              <w:rPr>
                <w:sz w:val="14"/>
              </w:rPr>
              <w:t>FNDCT</w:t>
            </w:r>
          </w:p>
        </w:tc>
        <w:tc>
          <w:tcPr>
            <w:tcW w:w="1558" w:type="dxa"/>
          </w:tcPr>
          <w:p>
            <w:pPr>
              <w:pStyle w:val="TableParagraph"/>
              <w:spacing w:before="26"/>
              <w:ind w:right="55"/>
              <w:jc w:val="right"/>
              <w:rPr>
                <w:sz w:val="14"/>
              </w:rPr>
            </w:pPr>
            <w:r>
              <w:rPr>
                <w:w w:val="95"/>
                <w:sz w:val="14"/>
              </w:rPr>
              <w:t>1.214</w:t>
            </w:r>
          </w:p>
        </w:tc>
        <w:tc>
          <w:tcPr>
            <w:tcW w:w="1557" w:type="dxa"/>
          </w:tcPr>
          <w:p>
            <w:pPr>
              <w:pStyle w:val="TableParagraph"/>
              <w:spacing w:before="26"/>
              <w:ind w:right="54"/>
              <w:jc w:val="right"/>
              <w:rPr>
                <w:sz w:val="14"/>
              </w:rPr>
            </w:pPr>
            <w:r>
              <w:rPr>
                <w:w w:val="95"/>
                <w:sz w:val="14"/>
              </w:rPr>
              <w:t>1.397</w:t>
            </w:r>
          </w:p>
        </w:tc>
      </w:tr>
      <w:tr>
        <w:trPr>
          <w:trHeight w:val="215" w:hRule="atLeast"/>
        </w:trPr>
        <w:tc>
          <w:tcPr>
            <w:tcW w:w="6856" w:type="dxa"/>
          </w:tcPr>
          <w:p>
            <w:pPr>
              <w:pStyle w:val="TableParagraph"/>
              <w:spacing w:before="26"/>
              <w:ind w:left="72"/>
              <w:rPr>
                <w:sz w:val="14"/>
              </w:rPr>
            </w:pPr>
            <w:r>
              <w:rPr>
                <w:w w:val="105"/>
                <w:sz w:val="14"/>
              </w:rPr>
              <w:t>Ministério de Minas e Energia – MME</w:t>
            </w:r>
          </w:p>
        </w:tc>
        <w:tc>
          <w:tcPr>
            <w:tcW w:w="1558" w:type="dxa"/>
          </w:tcPr>
          <w:p>
            <w:pPr>
              <w:pStyle w:val="TableParagraph"/>
              <w:spacing w:before="26"/>
              <w:ind w:right="55"/>
              <w:jc w:val="right"/>
              <w:rPr>
                <w:sz w:val="14"/>
              </w:rPr>
            </w:pPr>
            <w:r>
              <w:rPr>
                <w:sz w:val="14"/>
              </w:rPr>
              <w:t>545</w:t>
            </w:r>
          </w:p>
        </w:tc>
        <w:tc>
          <w:tcPr>
            <w:tcW w:w="1557" w:type="dxa"/>
          </w:tcPr>
          <w:p>
            <w:pPr>
              <w:pStyle w:val="TableParagraph"/>
              <w:spacing w:before="26"/>
              <w:ind w:right="54"/>
              <w:jc w:val="right"/>
              <w:rPr>
                <w:sz w:val="14"/>
              </w:rPr>
            </w:pPr>
            <w:r>
              <w:rPr>
                <w:sz w:val="14"/>
              </w:rPr>
              <w:t>419</w:t>
            </w:r>
          </w:p>
        </w:tc>
      </w:tr>
      <w:tr>
        <w:trPr>
          <w:trHeight w:val="218" w:hRule="atLeast"/>
        </w:trPr>
        <w:tc>
          <w:tcPr>
            <w:tcW w:w="6856" w:type="dxa"/>
          </w:tcPr>
          <w:p>
            <w:pPr>
              <w:pStyle w:val="TableParagraph"/>
              <w:spacing w:before="27"/>
              <w:ind w:left="72"/>
              <w:rPr>
                <w:rFonts w:ascii="Caladea"/>
                <w:b/>
                <w:sz w:val="14"/>
              </w:rPr>
            </w:pPr>
            <w:r>
              <w:rPr>
                <w:rFonts w:ascii="Caladea"/>
                <w:b/>
                <w:sz w:val="14"/>
              </w:rPr>
              <w:t>Total</w:t>
            </w:r>
          </w:p>
        </w:tc>
        <w:tc>
          <w:tcPr>
            <w:tcW w:w="1558" w:type="dxa"/>
          </w:tcPr>
          <w:p>
            <w:pPr>
              <w:pStyle w:val="TableParagraph"/>
              <w:spacing w:before="27"/>
              <w:ind w:right="55"/>
              <w:jc w:val="right"/>
              <w:rPr>
                <w:rFonts w:ascii="Caladea"/>
                <w:b/>
                <w:sz w:val="14"/>
              </w:rPr>
            </w:pPr>
            <w:r>
              <w:rPr>
                <w:rFonts w:ascii="Caladea"/>
                <w:b/>
                <w:w w:val="95"/>
                <w:sz w:val="14"/>
              </w:rPr>
              <w:t>137.692</w:t>
            </w:r>
          </w:p>
        </w:tc>
        <w:tc>
          <w:tcPr>
            <w:tcW w:w="1557" w:type="dxa"/>
          </w:tcPr>
          <w:p>
            <w:pPr>
              <w:pStyle w:val="TableParagraph"/>
              <w:spacing w:before="27"/>
              <w:ind w:right="54"/>
              <w:jc w:val="right"/>
              <w:rPr>
                <w:rFonts w:ascii="Caladea"/>
                <w:b/>
                <w:sz w:val="14"/>
              </w:rPr>
            </w:pPr>
            <w:r>
              <w:rPr>
                <w:rFonts w:ascii="Caladea"/>
                <w:b/>
                <w:w w:val="95"/>
                <w:sz w:val="14"/>
              </w:rPr>
              <w:t>139.653</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0"/>
          <w:numId w:val="28"/>
        </w:numPr>
        <w:tabs>
          <w:tab w:pos="1353" w:val="left" w:leader="none"/>
          <w:tab w:pos="1354" w:val="left" w:leader="none"/>
        </w:tabs>
        <w:spacing w:line="240" w:lineRule="auto" w:before="12" w:after="0"/>
        <w:ind w:left="1354" w:right="0" w:hanging="1134"/>
        <w:jc w:val="left"/>
      </w:pPr>
      <w:r>
        <w:rPr/>
        <w:t>Encargos do consumidor a</w:t>
      </w:r>
      <w:r>
        <w:rPr>
          <w:spacing w:val="-5"/>
        </w:rPr>
        <w:t> </w:t>
      </w:r>
      <w:r>
        <w:rPr/>
        <w:t>recolher</w:t>
      </w:r>
    </w:p>
    <w:p>
      <w:pPr>
        <w:pStyle w:val="BodyText"/>
        <w:spacing w:before="7"/>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956"/>
        <w:gridCol w:w="2000"/>
        <w:gridCol w:w="1999"/>
      </w:tblGrid>
      <w:tr>
        <w:trPr>
          <w:trHeight w:val="249" w:hRule="atLeast"/>
        </w:trPr>
        <w:tc>
          <w:tcPr>
            <w:tcW w:w="5956" w:type="dxa"/>
            <w:vMerge w:val="restart"/>
            <w:shd w:val="clear" w:color="auto" w:fill="D9D9D9"/>
          </w:tcPr>
          <w:p>
            <w:pPr>
              <w:pStyle w:val="TableParagraph"/>
              <w:rPr>
                <w:rFonts w:ascii="Times New Roman"/>
                <w:sz w:val="18"/>
              </w:rPr>
            </w:pPr>
          </w:p>
        </w:tc>
        <w:tc>
          <w:tcPr>
            <w:tcW w:w="3999" w:type="dxa"/>
            <w:gridSpan w:val="2"/>
          </w:tcPr>
          <w:p>
            <w:pPr>
              <w:pStyle w:val="TableParagraph"/>
              <w:spacing w:before="42"/>
              <w:ind w:left="1578" w:right="1573"/>
              <w:jc w:val="center"/>
              <w:rPr>
                <w:rFonts w:ascii="Caladea"/>
                <w:b/>
                <w:sz w:val="14"/>
              </w:rPr>
            </w:pPr>
            <w:r>
              <w:rPr>
                <w:rFonts w:ascii="Caladea"/>
                <w:b/>
                <w:sz w:val="14"/>
              </w:rPr>
              <w:t>Consolidado</w:t>
            </w:r>
          </w:p>
        </w:tc>
      </w:tr>
      <w:tr>
        <w:trPr>
          <w:trHeight w:val="249" w:hRule="atLeast"/>
        </w:trPr>
        <w:tc>
          <w:tcPr>
            <w:tcW w:w="5956" w:type="dxa"/>
            <w:vMerge/>
            <w:tcBorders>
              <w:top w:val="nil"/>
            </w:tcBorders>
            <w:shd w:val="clear" w:color="auto" w:fill="D9D9D9"/>
          </w:tcPr>
          <w:p>
            <w:pPr>
              <w:rPr>
                <w:sz w:val="2"/>
                <w:szCs w:val="2"/>
              </w:rPr>
            </w:pPr>
          </w:p>
        </w:tc>
        <w:tc>
          <w:tcPr>
            <w:tcW w:w="2000" w:type="dxa"/>
          </w:tcPr>
          <w:p>
            <w:pPr>
              <w:pStyle w:val="TableParagraph"/>
              <w:spacing w:before="42"/>
              <w:ind w:left="599"/>
              <w:rPr>
                <w:rFonts w:ascii="Caladea"/>
                <w:b/>
                <w:sz w:val="14"/>
              </w:rPr>
            </w:pPr>
            <w:r>
              <w:rPr>
                <w:rFonts w:ascii="Caladea"/>
                <w:b/>
                <w:sz w:val="14"/>
              </w:rPr>
              <w:t>31/12/2019</w:t>
            </w:r>
          </w:p>
        </w:tc>
        <w:tc>
          <w:tcPr>
            <w:tcW w:w="1999" w:type="dxa"/>
          </w:tcPr>
          <w:p>
            <w:pPr>
              <w:pStyle w:val="TableParagraph"/>
              <w:spacing w:before="42"/>
              <w:ind w:left="599"/>
              <w:rPr>
                <w:rFonts w:ascii="Caladea"/>
                <w:b/>
                <w:sz w:val="14"/>
              </w:rPr>
            </w:pPr>
            <w:r>
              <w:rPr>
                <w:rFonts w:ascii="Caladea"/>
                <w:b/>
                <w:sz w:val="14"/>
              </w:rPr>
              <w:t>31/12/2018</w:t>
            </w:r>
          </w:p>
        </w:tc>
      </w:tr>
      <w:tr>
        <w:trPr>
          <w:trHeight w:val="249" w:hRule="atLeast"/>
        </w:trPr>
        <w:tc>
          <w:tcPr>
            <w:tcW w:w="5956" w:type="dxa"/>
          </w:tcPr>
          <w:p>
            <w:pPr>
              <w:pStyle w:val="TableParagraph"/>
              <w:spacing w:before="43"/>
              <w:ind w:left="72"/>
              <w:rPr>
                <w:sz w:val="14"/>
              </w:rPr>
            </w:pPr>
            <w:r>
              <w:rPr>
                <w:w w:val="105"/>
                <w:sz w:val="14"/>
              </w:rPr>
              <w:t>Conta de Desenvolvimento Energético – CDE</w:t>
            </w:r>
          </w:p>
        </w:tc>
        <w:tc>
          <w:tcPr>
            <w:tcW w:w="2000" w:type="dxa"/>
          </w:tcPr>
          <w:p>
            <w:pPr>
              <w:pStyle w:val="TableParagraph"/>
              <w:rPr>
                <w:rFonts w:ascii="Times New Roman"/>
                <w:sz w:val="18"/>
              </w:rPr>
            </w:pPr>
          </w:p>
        </w:tc>
        <w:tc>
          <w:tcPr>
            <w:tcW w:w="1999" w:type="dxa"/>
          </w:tcPr>
          <w:p>
            <w:pPr>
              <w:pStyle w:val="TableParagraph"/>
              <w:spacing w:before="43"/>
              <w:ind w:right="57"/>
              <w:jc w:val="right"/>
              <w:rPr>
                <w:sz w:val="14"/>
              </w:rPr>
            </w:pPr>
            <w:r>
              <w:rPr>
                <w:w w:val="95"/>
                <w:sz w:val="14"/>
              </w:rPr>
              <w:t>29.083</w:t>
            </w:r>
          </w:p>
        </w:tc>
      </w:tr>
      <w:tr>
        <w:trPr>
          <w:trHeight w:val="263" w:hRule="atLeast"/>
        </w:trPr>
        <w:tc>
          <w:tcPr>
            <w:tcW w:w="5956" w:type="dxa"/>
          </w:tcPr>
          <w:p>
            <w:pPr>
              <w:pStyle w:val="TableParagraph"/>
              <w:spacing w:before="50"/>
              <w:ind w:left="72"/>
              <w:rPr>
                <w:sz w:val="14"/>
              </w:rPr>
            </w:pPr>
            <w:r>
              <w:rPr>
                <w:sz w:val="14"/>
              </w:rPr>
              <w:t>Bandeira Tarifária</w:t>
            </w:r>
          </w:p>
        </w:tc>
        <w:tc>
          <w:tcPr>
            <w:tcW w:w="2000" w:type="dxa"/>
          </w:tcPr>
          <w:p>
            <w:pPr>
              <w:pStyle w:val="TableParagraph"/>
              <w:spacing w:before="50"/>
              <w:ind w:right="58"/>
              <w:jc w:val="right"/>
              <w:rPr>
                <w:sz w:val="14"/>
              </w:rPr>
            </w:pPr>
            <w:r>
              <w:rPr>
                <w:w w:val="95"/>
                <w:sz w:val="14"/>
              </w:rPr>
              <w:t>13.165</w:t>
            </w:r>
          </w:p>
        </w:tc>
        <w:tc>
          <w:tcPr>
            <w:tcW w:w="1999" w:type="dxa"/>
          </w:tcPr>
          <w:p>
            <w:pPr>
              <w:pStyle w:val="TableParagraph"/>
              <w:spacing w:before="50"/>
              <w:ind w:right="57"/>
              <w:jc w:val="right"/>
              <w:rPr>
                <w:sz w:val="14"/>
              </w:rPr>
            </w:pPr>
            <w:r>
              <w:rPr>
                <w:w w:val="95"/>
                <w:sz w:val="14"/>
              </w:rPr>
              <w:t>2.547</w:t>
            </w:r>
          </w:p>
        </w:tc>
      </w:tr>
      <w:tr>
        <w:trPr>
          <w:trHeight w:val="263" w:hRule="atLeast"/>
        </w:trPr>
        <w:tc>
          <w:tcPr>
            <w:tcW w:w="5956" w:type="dxa"/>
          </w:tcPr>
          <w:p>
            <w:pPr>
              <w:pStyle w:val="TableParagraph"/>
              <w:spacing w:before="50"/>
              <w:ind w:left="72"/>
              <w:rPr>
                <w:sz w:val="14"/>
              </w:rPr>
            </w:pPr>
            <w:r>
              <w:rPr>
                <w:sz w:val="14"/>
              </w:rPr>
              <w:t>Taxa Fiscalização do Serviço Energia Elétrica</w:t>
            </w:r>
          </w:p>
        </w:tc>
        <w:tc>
          <w:tcPr>
            <w:tcW w:w="2000" w:type="dxa"/>
          </w:tcPr>
          <w:p>
            <w:pPr>
              <w:pStyle w:val="TableParagraph"/>
              <w:spacing w:before="50"/>
              <w:ind w:right="58"/>
              <w:jc w:val="right"/>
              <w:rPr>
                <w:sz w:val="14"/>
              </w:rPr>
            </w:pPr>
            <w:r>
              <w:rPr>
                <w:sz w:val="14"/>
              </w:rPr>
              <w:t>414</w:t>
            </w:r>
          </w:p>
        </w:tc>
        <w:tc>
          <w:tcPr>
            <w:tcW w:w="1999" w:type="dxa"/>
          </w:tcPr>
          <w:p>
            <w:pPr>
              <w:pStyle w:val="TableParagraph"/>
              <w:spacing w:before="50"/>
              <w:ind w:right="59"/>
              <w:jc w:val="right"/>
              <w:rPr>
                <w:sz w:val="14"/>
              </w:rPr>
            </w:pPr>
            <w:r>
              <w:rPr>
                <w:sz w:val="14"/>
              </w:rPr>
              <w:t>53</w:t>
            </w:r>
          </w:p>
        </w:tc>
      </w:tr>
      <w:tr>
        <w:trPr>
          <w:trHeight w:val="249" w:hRule="atLeast"/>
        </w:trPr>
        <w:tc>
          <w:tcPr>
            <w:tcW w:w="5956" w:type="dxa"/>
          </w:tcPr>
          <w:p>
            <w:pPr>
              <w:pStyle w:val="TableParagraph"/>
              <w:spacing w:before="43"/>
              <w:ind w:left="72"/>
              <w:rPr>
                <w:sz w:val="14"/>
              </w:rPr>
            </w:pPr>
            <w:r>
              <w:rPr>
                <w:sz w:val="14"/>
              </w:rPr>
              <w:t>Demais Encargos Setoriais</w:t>
            </w:r>
          </w:p>
        </w:tc>
        <w:tc>
          <w:tcPr>
            <w:tcW w:w="2000" w:type="dxa"/>
          </w:tcPr>
          <w:p>
            <w:pPr>
              <w:pStyle w:val="TableParagraph"/>
              <w:spacing w:before="43"/>
              <w:ind w:right="58"/>
              <w:jc w:val="right"/>
              <w:rPr>
                <w:sz w:val="14"/>
              </w:rPr>
            </w:pPr>
            <w:r>
              <w:rPr>
                <w:sz w:val="14"/>
              </w:rPr>
              <w:t>856</w:t>
            </w:r>
          </w:p>
        </w:tc>
        <w:tc>
          <w:tcPr>
            <w:tcW w:w="1999" w:type="dxa"/>
          </w:tcPr>
          <w:p>
            <w:pPr>
              <w:pStyle w:val="TableParagraph"/>
              <w:spacing w:before="43"/>
              <w:ind w:right="57"/>
              <w:jc w:val="right"/>
              <w:rPr>
                <w:sz w:val="14"/>
              </w:rPr>
            </w:pPr>
            <w:r>
              <w:rPr>
                <w:w w:val="95"/>
                <w:sz w:val="14"/>
              </w:rPr>
              <w:t>18.891</w:t>
            </w:r>
          </w:p>
        </w:tc>
      </w:tr>
      <w:tr>
        <w:trPr>
          <w:trHeight w:val="249" w:hRule="atLeast"/>
        </w:trPr>
        <w:tc>
          <w:tcPr>
            <w:tcW w:w="5956" w:type="dxa"/>
          </w:tcPr>
          <w:p>
            <w:pPr>
              <w:pStyle w:val="TableParagraph"/>
              <w:spacing w:before="42"/>
              <w:ind w:left="72"/>
              <w:rPr>
                <w:rFonts w:ascii="Caladea"/>
                <w:b/>
                <w:sz w:val="14"/>
              </w:rPr>
            </w:pPr>
            <w:r>
              <w:rPr>
                <w:rFonts w:ascii="Caladea"/>
                <w:b/>
                <w:sz w:val="14"/>
              </w:rPr>
              <w:t>Total</w:t>
            </w:r>
          </w:p>
        </w:tc>
        <w:tc>
          <w:tcPr>
            <w:tcW w:w="2000" w:type="dxa"/>
          </w:tcPr>
          <w:p>
            <w:pPr>
              <w:pStyle w:val="TableParagraph"/>
              <w:spacing w:before="42"/>
              <w:ind w:right="56"/>
              <w:jc w:val="right"/>
              <w:rPr>
                <w:rFonts w:ascii="Caladea"/>
                <w:b/>
                <w:sz w:val="14"/>
              </w:rPr>
            </w:pPr>
            <w:r>
              <w:rPr>
                <w:rFonts w:ascii="Caladea"/>
                <w:b/>
                <w:sz w:val="14"/>
              </w:rPr>
              <w:t>14.435</w:t>
            </w:r>
          </w:p>
        </w:tc>
        <w:tc>
          <w:tcPr>
            <w:tcW w:w="1999" w:type="dxa"/>
          </w:tcPr>
          <w:p>
            <w:pPr>
              <w:pStyle w:val="TableParagraph"/>
              <w:spacing w:before="42"/>
              <w:ind w:right="55"/>
              <w:jc w:val="right"/>
              <w:rPr>
                <w:rFonts w:ascii="Caladea"/>
                <w:b/>
                <w:sz w:val="14"/>
              </w:rPr>
            </w:pPr>
            <w:r>
              <w:rPr>
                <w:rFonts w:ascii="Caladea"/>
                <w:b/>
                <w:sz w:val="14"/>
              </w:rPr>
              <w:t>50.574</w:t>
            </w:r>
          </w:p>
        </w:tc>
      </w:tr>
    </w:tbl>
    <w:p>
      <w:pPr>
        <w:pStyle w:val="BodyText"/>
        <w:spacing w:before="5"/>
        <w:rPr>
          <w:rFonts w:ascii="Caladea"/>
          <w:b/>
        </w:rPr>
      </w:pPr>
    </w:p>
    <w:p>
      <w:pPr>
        <w:pStyle w:val="ListParagraph"/>
        <w:numPr>
          <w:ilvl w:val="0"/>
          <w:numId w:val="6"/>
        </w:numPr>
        <w:tabs>
          <w:tab w:pos="953" w:val="left" w:leader="none"/>
          <w:tab w:pos="954" w:val="left" w:leader="none"/>
        </w:tabs>
        <w:spacing w:line="240" w:lineRule="auto" w:before="0" w:after="0"/>
        <w:ind w:left="953" w:right="0" w:hanging="782"/>
        <w:jc w:val="left"/>
        <w:rPr>
          <w:rFonts w:ascii="Caladea" w:hAnsi="Caladea"/>
          <w:b/>
          <w:sz w:val="24"/>
        </w:rPr>
      </w:pPr>
      <w:r>
        <w:rPr>
          <w:rFonts w:ascii="Caladea" w:hAnsi="Caladea"/>
          <w:b/>
          <w:sz w:val="24"/>
        </w:rPr>
        <w:t>DEBÊNTURES</w:t>
      </w:r>
    </w:p>
    <w:p>
      <w:pPr>
        <w:pStyle w:val="BodyText"/>
        <w:spacing w:before="244"/>
        <w:ind w:left="172"/>
        <w:jc w:val="both"/>
      </w:pPr>
      <w:r>
        <w:rPr/>
        <w:t>Informações sobre as debêntures:</w:t>
      </w:r>
    </w:p>
    <w:p>
      <w:pPr>
        <w:pStyle w:val="BodyText"/>
        <w:rPr>
          <w:sz w:val="22"/>
        </w:rPr>
      </w:pPr>
    </w:p>
    <w:tbl>
      <w:tblPr>
        <w:tblW w:w="0" w:type="auto"/>
        <w:jc w:val="left"/>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423"/>
        <w:gridCol w:w="1617"/>
        <w:gridCol w:w="1358"/>
        <w:gridCol w:w="2172"/>
        <w:gridCol w:w="1334"/>
      </w:tblGrid>
      <w:tr>
        <w:trPr>
          <w:trHeight w:val="329" w:hRule="atLeast"/>
        </w:trPr>
        <w:tc>
          <w:tcPr>
            <w:tcW w:w="3423" w:type="dxa"/>
            <w:shd w:val="clear" w:color="auto" w:fill="D9D9D9"/>
          </w:tcPr>
          <w:p>
            <w:pPr>
              <w:pStyle w:val="TableParagraph"/>
              <w:rPr>
                <w:rFonts w:ascii="Times New Roman"/>
                <w:sz w:val="18"/>
              </w:rPr>
            </w:pPr>
          </w:p>
        </w:tc>
        <w:tc>
          <w:tcPr>
            <w:tcW w:w="1617" w:type="dxa"/>
          </w:tcPr>
          <w:p>
            <w:pPr>
              <w:pStyle w:val="TableParagraph"/>
              <w:spacing w:line="164" w:lineRule="exact" w:before="3"/>
              <w:ind w:left="472" w:right="287" w:hanging="154"/>
              <w:rPr>
                <w:rFonts w:ascii="Caladea" w:hAnsi="Caladea"/>
                <w:b/>
                <w:sz w:val="14"/>
              </w:rPr>
            </w:pPr>
            <w:r>
              <w:rPr>
                <w:rFonts w:ascii="Caladea" w:hAnsi="Caladea"/>
                <w:b/>
                <w:sz w:val="14"/>
              </w:rPr>
              <w:t>Quantidade em Circulação</w:t>
            </w:r>
          </w:p>
        </w:tc>
        <w:tc>
          <w:tcPr>
            <w:tcW w:w="1358" w:type="dxa"/>
          </w:tcPr>
          <w:p>
            <w:pPr>
              <w:pStyle w:val="TableParagraph"/>
              <w:spacing w:before="82"/>
              <w:ind w:left="142" w:right="130"/>
              <w:jc w:val="center"/>
              <w:rPr>
                <w:rFonts w:ascii="Caladea"/>
                <w:b/>
                <w:sz w:val="14"/>
              </w:rPr>
            </w:pPr>
            <w:r>
              <w:rPr>
                <w:rFonts w:ascii="Caladea"/>
                <w:b/>
                <w:sz w:val="14"/>
              </w:rPr>
              <w:t>Taxa Efetiva a.a.</w:t>
            </w:r>
          </w:p>
        </w:tc>
        <w:tc>
          <w:tcPr>
            <w:tcW w:w="2172" w:type="dxa"/>
          </w:tcPr>
          <w:p>
            <w:pPr>
              <w:pStyle w:val="TableParagraph"/>
              <w:spacing w:before="82"/>
              <w:ind w:left="241"/>
              <w:rPr>
                <w:rFonts w:ascii="Caladea" w:hAnsi="Caladea"/>
                <w:b/>
                <w:sz w:val="14"/>
              </w:rPr>
            </w:pPr>
            <w:r>
              <w:rPr>
                <w:rFonts w:ascii="Caladea" w:hAnsi="Caladea"/>
                <w:b/>
                <w:sz w:val="14"/>
              </w:rPr>
              <w:t>Condições de Amortização</w:t>
            </w:r>
          </w:p>
        </w:tc>
        <w:tc>
          <w:tcPr>
            <w:tcW w:w="1334" w:type="dxa"/>
          </w:tcPr>
          <w:p>
            <w:pPr>
              <w:pStyle w:val="TableParagraph"/>
              <w:spacing w:before="82"/>
              <w:ind w:right="341"/>
              <w:jc w:val="right"/>
              <w:rPr>
                <w:rFonts w:ascii="Caladea"/>
                <w:b/>
                <w:sz w:val="14"/>
              </w:rPr>
            </w:pPr>
            <w:r>
              <w:rPr>
                <w:rFonts w:ascii="Caladea"/>
                <w:b/>
                <w:w w:val="95"/>
                <w:sz w:val="14"/>
              </w:rPr>
              <w:t>Garantias</w:t>
            </w:r>
          </w:p>
        </w:tc>
      </w:tr>
      <w:tr>
        <w:trPr>
          <w:trHeight w:val="491" w:hRule="atLeast"/>
        </w:trPr>
        <w:tc>
          <w:tcPr>
            <w:tcW w:w="3423" w:type="dxa"/>
          </w:tcPr>
          <w:p>
            <w:pPr>
              <w:pStyle w:val="TableParagraph"/>
              <w:spacing w:before="11"/>
              <w:rPr>
                <w:sz w:val="13"/>
              </w:rPr>
            </w:pPr>
          </w:p>
          <w:p>
            <w:pPr>
              <w:pStyle w:val="TableParagraph"/>
              <w:ind w:left="72"/>
              <w:rPr>
                <w:rFonts w:ascii="Caladea" w:hAnsi="Caladea"/>
                <w:b/>
                <w:sz w:val="14"/>
              </w:rPr>
            </w:pPr>
            <w:r>
              <w:rPr>
                <w:rFonts w:ascii="Caladea" w:hAnsi="Caladea"/>
                <w:b/>
                <w:w w:val="105"/>
                <w:sz w:val="14"/>
              </w:rPr>
              <w:t>1ª Emissão </w:t>
            </w:r>
            <w:r>
              <w:rPr>
                <w:b/>
                <w:w w:val="105"/>
                <w:sz w:val="14"/>
              </w:rPr>
              <w:t>– </w:t>
            </w:r>
            <w:r>
              <w:rPr>
                <w:rFonts w:ascii="Caladea" w:hAnsi="Caladea"/>
                <w:b/>
                <w:w w:val="105"/>
                <w:sz w:val="14"/>
              </w:rPr>
              <w:t>Série Única</w:t>
            </w:r>
          </w:p>
        </w:tc>
        <w:tc>
          <w:tcPr>
            <w:tcW w:w="1617" w:type="dxa"/>
          </w:tcPr>
          <w:p>
            <w:pPr>
              <w:pStyle w:val="TableParagraph"/>
              <w:spacing w:before="1"/>
              <w:rPr>
                <w:sz w:val="14"/>
              </w:rPr>
            </w:pPr>
          </w:p>
          <w:p>
            <w:pPr>
              <w:pStyle w:val="TableParagraph"/>
              <w:ind w:left="527" w:right="516"/>
              <w:jc w:val="center"/>
              <w:rPr>
                <w:sz w:val="14"/>
              </w:rPr>
            </w:pPr>
            <w:r>
              <w:rPr>
                <w:sz w:val="14"/>
              </w:rPr>
              <w:t>1.300</w:t>
            </w:r>
          </w:p>
        </w:tc>
        <w:tc>
          <w:tcPr>
            <w:tcW w:w="1358" w:type="dxa"/>
          </w:tcPr>
          <w:p>
            <w:pPr>
              <w:pStyle w:val="TableParagraph"/>
              <w:spacing w:before="1"/>
              <w:rPr>
                <w:sz w:val="14"/>
              </w:rPr>
            </w:pPr>
          </w:p>
          <w:p>
            <w:pPr>
              <w:pStyle w:val="TableParagraph"/>
              <w:ind w:left="141" w:right="130"/>
              <w:jc w:val="center"/>
              <w:rPr>
                <w:sz w:val="14"/>
              </w:rPr>
            </w:pPr>
            <w:r>
              <w:rPr>
                <w:w w:val="105"/>
                <w:sz w:val="14"/>
              </w:rPr>
              <w:t>CDI + 6,8%</w:t>
            </w:r>
          </w:p>
        </w:tc>
        <w:tc>
          <w:tcPr>
            <w:tcW w:w="2172" w:type="dxa"/>
          </w:tcPr>
          <w:p>
            <w:pPr>
              <w:pStyle w:val="TableParagraph"/>
              <w:spacing w:before="82"/>
              <w:ind w:left="642" w:right="220" w:hanging="394"/>
              <w:rPr>
                <w:sz w:val="14"/>
              </w:rPr>
            </w:pPr>
            <w:r>
              <w:rPr>
                <w:sz w:val="14"/>
              </w:rPr>
              <w:t>Parcelas</w:t>
            </w:r>
            <w:r>
              <w:rPr>
                <w:spacing w:val="-24"/>
                <w:sz w:val="14"/>
              </w:rPr>
              <w:t> </w:t>
            </w:r>
            <w:r>
              <w:rPr>
                <w:sz w:val="14"/>
              </w:rPr>
              <w:t>mensais</w:t>
            </w:r>
            <w:r>
              <w:rPr>
                <w:spacing w:val="-24"/>
                <w:sz w:val="14"/>
              </w:rPr>
              <w:t> </w:t>
            </w:r>
            <w:r>
              <w:rPr>
                <w:sz w:val="14"/>
              </w:rPr>
              <w:t>a</w:t>
            </w:r>
            <w:r>
              <w:rPr>
                <w:spacing w:val="-25"/>
                <w:sz w:val="14"/>
              </w:rPr>
              <w:t> </w:t>
            </w:r>
            <w:r>
              <w:rPr>
                <w:sz w:val="14"/>
              </w:rPr>
              <w:t>partir</w:t>
            </w:r>
            <w:r>
              <w:rPr>
                <w:spacing w:val="-25"/>
                <w:sz w:val="14"/>
              </w:rPr>
              <w:t> </w:t>
            </w:r>
            <w:r>
              <w:rPr>
                <w:sz w:val="14"/>
              </w:rPr>
              <w:t>de junho de</w:t>
            </w:r>
            <w:r>
              <w:rPr>
                <w:spacing w:val="-26"/>
                <w:sz w:val="14"/>
              </w:rPr>
              <w:t> </w:t>
            </w:r>
            <w:r>
              <w:rPr>
                <w:sz w:val="14"/>
              </w:rPr>
              <w:t>2016.</w:t>
            </w:r>
          </w:p>
        </w:tc>
        <w:tc>
          <w:tcPr>
            <w:tcW w:w="1334" w:type="dxa"/>
          </w:tcPr>
          <w:p>
            <w:pPr>
              <w:pStyle w:val="TableParagraph"/>
              <w:spacing w:line="161" w:lineRule="exact"/>
              <w:ind w:left="292" w:firstLine="7"/>
              <w:rPr>
                <w:sz w:val="14"/>
              </w:rPr>
            </w:pPr>
            <w:r>
              <w:rPr>
                <w:sz w:val="14"/>
              </w:rPr>
              <w:t>Recebíveis +</w:t>
            </w:r>
          </w:p>
          <w:p>
            <w:pPr>
              <w:pStyle w:val="TableParagraph"/>
              <w:spacing w:line="160" w:lineRule="atLeast" w:before="3"/>
              <w:ind w:left="465" w:hanging="173"/>
              <w:rPr>
                <w:sz w:val="14"/>
              </w:rPr>
            </w:pPr>
            <w:r>
              <w:rPr>
                <w:w w:val="95"/>
                <w:sz w:val="14"/>
              </w:rPr>
              <w:t>Alienação de </w:t>
            </w:r>
            <w:r>
              <w:rPr>
                <w:sz w:val="14"/>
              </w:rPr>
              <w:t>Imóvel</w:t>
            </w:r>
          </w:p>
        </w:tc>
      </w:tr>
      <w:tr>
        <w:trPr>
          <w:trHeight w:val="328" w:hRule="atLeast"/>
        </w:trPr>
        <w:tc>
          <w:tcPr>
            <w:tcW w:w="3423" w:type="dxa"/>
          </w:tcPr>
          <w:p>
            <w:pPr>
              <w:pStyle w:val="TableParagraph"/>
              <w:spacing w:before="80"/>
              <w:ind w:left="72"/>
              <w:rPr>
                <w:rFonts w:ascii="Caladea" w:hAnsi="Caladea"/>
                <w:b/>
                <w:sz w:val="14"/>
              </w:rPr>
            </w:pPr>
            <w:r>
              <w:rPr>
                <w:rFonts w:ascii="Caladea" w:hAnsi="Caladea"/>
                <w:b/>
                <w:w w:val="105"/>
                <w:sz w:val="14"/>
              </w:rPr>
              <w:t>3ª Emissão </w:t>
            </w:r>
            <w:r>
              <w:rPr>
                <w:b/>
                <w:w w:val="105"/>
                <w:sz w:val="14"/>
              </w:rPr>
              <w:t>– </w:t>
            </w:r>
            <w:r>
              <w:rPr>
                <w:rFonts w:ascii="Caladea" w:hAnsi="Caladea"/>
                <w:b/>
                <w:w w:val="105"/>
                <w:sz w:val="14"/>
              </w:rPr>
              <w:t>Série Única</w:t>
            </w:r>
          </w:p>
        </w:tc>
        <w:tc>
          <w:tcPr>
            <w:tcW w:w="1617" w:type="dxa"/>
          </w:tcPr>
          <w:p>
            <w:pPr>
              <w:pStyle w:val="TableParagraph"/>
              <w:spacing w:before="82"/>
              <w:ind w:left="558" w:right="516"/>
              <w:jc w:val="center"/>
              <w:rPr>
                <w:sz w:val="14"/>
              </w:rPr>
            </w:pPr>
            <w:r>
              <w:rPr>
                <w:sz w:val="14"/>
              </w:rPr>
              <w:t>200.000</w:t>
            </w:r>
          </w:p>
        </w:tc>
        <w:tc>
          <w:tcPr>
            <w:tcW w:w="1358" w:type="dxa"/>
          </w:tcPr>
          <w:p>
            <w:pPr>
              <w:pStyle w:val="TableParagraph"/>
              <w:spacing w:before="82"/>
              <w:ind w:left="115" w:right="130"/>
              <w:jc w:val="center"/>
              <w:rPr>
                <w:sz w:val="14"/>
              </w:rPr>
            </w:pPr>
            <w:r>
              <w:rPr>
                <w:w w:val="105"/>
                <w:sz w:val="14"/>
              </w:rPr>
              <w:t>CDI + 4,0%</w:t>
            </w:r>
          </w:p>
        </w:tc>
        <w:tc>
          <w:tcPr>
            <w:tcW w:w="2172" w:type="dxa"/>
          </w:tcPr>
          <w:p>
            <w:pPr>
              <w:pStyle w:val="TableParagraph"/>
              <w:spacing w:line="164" w:lineRule="exact"/>
              <w:ind w:left="515" w:right="220" w:hanging="267"/>
              <w:rPr>
                <w:sz w:val="14"/>
              </w:rPr>
            </w:pPr>
            <w:r>
              <w:rPr>
                <w:sz w:val="14"/>
              </w:rPr>
              <w:t>Parcelas</w:t>
            </w:r>
            <w:r>
              <w:rPr>
                <w:spacing w:val="-24"/>
                <w:sz w:val="14"/>
              </w:rPr>
              <w:t> </w:t>
            </w:r>
            <w:r>
              <w:rPr>
                <w:sz w:val="14"/>
              </w:rPr>
              <w:t>mensais</w:t>
            </w:r>
            <w:r>
              <w:rPr>
                <w:spacing w:val="-24"/>
                <w:sz w:val="14"/>
              </w:rPr>
              <w:t> </w:t>
            </w:r>
            <w:r>
              <w:rPr>
                <w:sz w:val="14"/>
              </w:rPr>
              <w:t>a</w:t>
            </w:r>
            <w:r>
              <w:rPr>
                <w:spacing w:val="-25"/>
                <w:sz w:val="14"/>
              </w:rPr>
              <w:t> </w:t>
            </w:r>
            <w:r>
              <w:rPr>
                <w:sz w:val="14"/>
              </w:rPr>
              <w:t>partir</w:t>
            </w:r>
            <w:r>
              <w:rPr>
                <w:spacing w:val="-25"/>
                <w:sz w:val="14"/>
              </w:rPr>
              <w:t> </w:t>
            </w:r>
            <w:r>
              <w:rPr>
                <w:sz w:val="14"/>
              </w:rPr>
              <w:t>de setembro de</w:t>
            </w:r>
            <w:r>
              <w:rPr>
                <w:spacing w:val="-30"/>
                <w:sz w:val="14"/>
              </w:rPr>
              <w:t> </w:t>
            </w:r>
            <w:r>
              <w:rPr>
                <w:sz w:val="14"/>
              </w:rPr>
              <w:t>2021.</w:t>
            </w:r>
          </w:p>
        </w:tc>
        <w:tc>
          <w:tcPr>
            <w:tcW w:w="1334" w:type="dxa"/>
          </w:tcPr>
          <w:p>
            <w:pPr>
              <w:pStyle w:val="TableParagraph"/>
              <w:spacing w:before="82"/>
              <w:ind w:right="350"/>
              <w:jc w:val="right"/>
              <w:rPr>
                <w:sz w:val="14"/>
              </w:rPr>
            </w:pPr>
            <w:r>
              <w:rPr>
                <w:w w:val="95"/>
                <w:sz w:val="14"/>
              </w:rPr>
              <w:t>Recebíveis</w:t>
            </w:r>
          </w:p>
        </w:tc>
      </w:tr>
    </w:tbl>
    <w:p>
      <w:pPr>
        <w:pStyle w:val="BodyText"/>
        <w:spacing w:before="10"/>
      </w:pPr>
    </w:p>
    <w:p>
      <w:pPr>
        <w:spacing w:before="0"/>
        <w:ind w:left="172" w:right="403" w:firstLine="0"/>
        <w:jc w:val="both"/>
        <w:rPr>
          <w:sz w:val="22"/>
        </w:rPr>
      </w:pPr>
      <w:r>
        <w:rPr>
          <w:sz w:val="22"/>
        </w:rPr>
        <w:t>Em 15 de maio de 2019, a Companhia liquidou a última parcela referente a Segunda Emissão de Debêntures,</w:t>
      </w:r>
      <w:r>
        <w:rPr>
          <w:spacing w:val="-48"/>
          <w:sz w:val="22"/>
        </w:rPr>
        <w:t> </w:t>
      </w:r>
      <w:r>
        <w:rPr>
          <w:sz w:val="22"/>
        </w:rPr>
        <w:t>realizando,</w:t>
      </w:r>
      <w:r>
        <w:rPr>
          <w:spacing w:val="-47"/>
          <w:sz w:val="22"/>
        </w:rPr>
        <w:t> </w:t>
      </w:r>
      <w:r>
        <w:rPr>
          <w:sz w:val="22"/>
        </w:rPr>
        <w:t>assim,</w:t>
      </w:r>
      <w:r>
        <w:rPr>
          <w:spacing w:val="-47"/>
          <w:sz w:val="22"/>
        </w:rPr>
        <w:t> </w:t>
      </w:r>
      <w:r>
        <w:rPr>
          <w:sz w:val="22"/>
        </w:rPr>
        <w:t>a</w:t>
      </w:r>
      <w:r>
        <w:rPr>
          <w:spacing w:val="-48"/>
          <w:sz w:val="22"/>
        </w:rPr>
        <w:t> </w:t>
      </w:r>
      <w:r>
        <w:rPr>
          <w:sz w:val="22"/>
        </w:rPr>
        <w:t>amortização</w:t>
      </w:r>
      <w:r>
        <w:rPr>
          <w:spacing w:val="-47"/>
          <w:sz w:val="22"/>
        </w:rPr>
        <w:t> </w:t>
      </w:r>
      <w:r>
        <w:rPr>
          <w:sz w:val="22"/>
        </w:rPr>
        <w:t>total</w:t>
      </w:r>
      <w:r>
        <w:rPr>
          <w:spacing w:val="-48"/>
          <w:sz w:val="22"/>
        </w:rPr>
        <w:t> </w:t>
      </w:r>
      <w:r>
        <w:rPr>
          <w:sz w:val="22"/>
        </w:rPr>
        <w:t>do</w:t>
      </w:r>
      <w:r>
        <w:rPr>
          <w:spacing w:val="-48"/>
          <w:sz w:val="22"/>
        </w:rPr>
        <w:t> </w:t>
      </w:r>
      <w:r>
        <w:rPr>
          <w:sz w:val="22"/>
        </w:rPr>
        <w:t>saldo</w:t>
      </w:r>
      <w:r>
        <w:rPr>
          <w:spacing w:val="-47"/>
          <w:sz w:val="22"/>
        </w:rPr>
        <w:t> </w:t>
      </w:r>
      <w:r>
        <w:rPr>
          <w:sz w:val="22"/>
        </w:rPr>
        <w:t>de</w:t>
      </w:r>
      <w:r>
        <w:rPr>
          <w:spacing w:val="-47"/>
          <w:sz w:val="22"/>
        </w:rPr>
        <w:t> </w:t>
      </w:r>
      <w:r>
        <w:rPr>
          <w:sz w:val="22"/>
        </w:rPr>
        <w:t>Emissão,</w:t>
      </w:r>
      <w:r>
        <w:rPr>
          <w:spacing w:val="-47"/>
          <w:sz w:val="22"/>
        </w:rPr>
        <w:t> </w:t>
      </w:r>
      <w:r>
        <w:rPr>
          <w:sz w:val="22"/>
        </w:rPr>
        <w:t>captada</w:t>
      </w:r>
      <w:r>
        <w:rPr>
          <w:spacing w:val="-47"/>
          <w:sz w:val="22"/>
        </w:rPr>
        <w:t> </w:t>
      </w:r>
      <w:r>
        <w:rPr>
          <w:sz w:val="22"/>
        </w:rPr>
        <w:t>a</w:t>
      </w:r>
      <w:r>
        <w:rPr>
          <w:spacing w:val="-49"/>
          <w:sz w:val="22"/>
        </w:rPr>
        <w:t> </w:t>
      </w:r>
      <w:r>
        <w:rPr>
          <w:sz w:val="22"/>
        </w:rPr>
        <w:t>época</w:t>
      </w:r>
      <w:r>
        <w:rPr>
          <w:spacing w:val="-47"/>
          <w:sz w:val="22"/>
        </w:rPr>
        <w:t> </w:t>
      </w:r>
      <w:r>
        <w:rPr>
          <w:sz w:val="22"/>
        </w:rPr>
        <w:t>por</w:t>
      </w:r>
      <w:r>
        <w:rPr>
          <w:spacing w:val="-48"/>
          <w:sz w:val="22"/>
        </w:rPr>
        <w:t> </w:t>
      </w:r>
      <w:r>
        <w:rPr>
          <w:sz w:val="22"/>
        </w:rPr>
        <w:t>R$</w:t>
      </w:r>
      <w:r>
        <w:rPr>
          <w:spacing w:val="-48"/>
          <w:sz w:val="22"/>
        </w:rPr>
        <w:t> </w:t>
      </w:r>
      <w:r>
        <w:rPr>
          <w:sz w:val="22"/>
        </w:rPr>
        <w:t>71.000,</w:t>
      </w:r>
      <w:r>
        <w:rPr>
          <w:spacing w:val="-47"/>
          <w:sz w:val="22"/>
        </w:rPr>
        <w:t> </w:t>
      </w:r>
      <w:r>
        <w:rPr>
          <w:sz w:val="22"/>
        </w:rPr>
        <w:t>ao custo</w:t>
      </w:r>
      <w:r>
        <w:rPr>
          <w:spacing w:val="-20"/>
          <w:sz w:val="22"/>
        </w:rPr>
        <w:t> </w:t>
      </w:r>
      <w:r>
        <w:rPr>
          <w:sz w:val="22"/>
        </w:rPr>
        <w:t>anual</w:t>
      </w:r>
      <w:r>
        <w:rPr>
          <w:spacing w:val="-20"/>
          <w:sz w:val="22"/>
        </w:rPr>
        <w:t> </w:t>
      </w:r>
      <w:r>
        <w:rPr>
          <w:sz w:val="22"/>
        </w:rPr>
        <w:t>de</w:t>
      </w:r>
      <w:r>
        <w:rPr>
          <w:spacing w:val="-19"/>
          <w:sz w:val="22"/>
        </w:rPr>
        <w:t> </w:t>
      </w:r>
      <w:r>
        <w:rPr>
          <w:sz w:val="22"/>
        </w:rPr>
        <w:t>100%</w:t>
      </w:r>
      <w:r>
        <w:rPr>
          <w:spacing w:val="-20"/>
          <w:sz w:val="22"/>
        </w:rPr>
        <w:t> </w:t>
      </w:r>
      <w:r>
        <w:rPr>
          <w:sz w:val="22"/>
        </w:rPr>
        <w:t>do</w:t>
      </w:r>
      <w:r>
        <w:rPr>
          <w:spacing w:val="-19"/>
          <w:sz w:val="22"/>
        </w:rPr>
        <w:t> </w:t>
      </w:r>
      <w:r>
        <w:rPr>
          <w:sz w:val="22"/>
        </w:rPr>
        <w:t>CDI,</w:t>
      </w:r>
      <w:r>
        <w:rPr>
          <w:spacing w:val="-20"/>
          <w:sz w:val="22"/>
        </w:rPr>
        <w:t> </w:t>
      </w:r>
      <w:r>
        <w:rPr>
          <w:sz w:val="22"/>
        </w:rPr>
        <w:t>acrescidos</w:t>
      </w:r>
      <w:r>
        <w:rPr>
          <w:spacing w:val="-19"/>
          <w:sz w:val="22"/>
        </w:rPr>
        <w:t> </w:t>
      </w:r>
      <w:r>
        <w:rPr>
          <w:sz w:val="22"/>
        </w:rPr>
        <w:t>de</w:t>
      </w:r>
      <w:r>
        <w:rPr>
          <w:spacing w:val="-17"/>
          <w:sz w:val="22"/>
        </w:rPr>
        <w:t> </w:t>
      </w:r>
      <w:r>
        <w:rPr>
          <w:rFonts w:ascii="Caladea" w:hAnsi="Caladea"/>
          <w:i/>
          <w:sz w:val="22"/>
        </w:rPr>
        <w:t>spread</w:t>
      </w:r>
      <w:r>
        <w:rPr>
          <w:rFonts w:ascii="Caladea" w:hAnsi="Caladea"/>
          <w:i/>
          <w:spacing w:val="-3"/>
          <w:sz w:val="22"/>
        </w:rPr>
        <w:t> </w:t>
      </w:r>
      <w:r>
        <w:rPr>
          <w:sz w:val="22"/>
        </w:rPr>
        <w:t>de</w:t>
      </w:r>
      <w:r>
        <w:rPr>
          <w:spacing w:val="-19"/>
          <w:sz w:val="22"/>
        </w:rPr>
        <w:t> </w:t>
      </w:r>
      <w:r>
        <w:rPr>
          <w:sz w:val="22"/>
        </w:rPr>
        <w:t>6,8%</w:t>
      </w:r>
      <w:r>
        <w:rPr>
          <w:spacing w:val="-20"/>
          <w:sz w:val="22"/>
        </w:rPr>
        <w:t> </w:t>
      </w:r>
      <w:r>
        <w:rPr>
          <w:sz w:val="22"/>
        </w:rPr>
        <w:t>a.a..</w:t>
      </w:r>
    </w:p>
    <w:p>
      <w:pPr>
        <w:pStyle w:val="BodyText"/>
        <w:rPr>
          <w:sz w:val="21"/>
        </w:rPr>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RIMEIRA EMISSÃO</w:t>
      </w:r>
    </w:p>
    <w:p>
      <w:pPr>
        <w:pStyle w:val="BodyText"/>
        <w:spacing w:before="9"/>
        <w:rPr>
          <w:rFonts w:ascii="Caladea"/>
          <w:b/>
          <w:sz w:val="23"/>
        </w:rPr>
      </w:pPr>
    </w:p>
    <w:p>
      <w:pPr>
        <w:pStyle w:val="BodyText"/>
        <w:spacing w:before="1"/>
        <w:ind w:left="172"/>
        <w:jc w:val="both"/>
      </w:pPr>
      <w:r>
        <w:rPr/>
        <w:t>Em 14 de maio de 2015, por meio do Despacho nº 1.500, a ANEEL anuiu à emissão de debêntures no valor de R$</w:t>
      </w:r>
    </w:p>
    <w:p>
      <w:pPr>
        <w:pStyle w:val="BodyText"/>
        <w:spacing w:line="242" w:lineRule="auto" w:before="3"/>
        <w:ind w:left="172" w:right="322"/>
      </w:pPr>
      <w:r>
        <w:rPr/>
        <w:t>130.000 à CEB DIS. A controlada optou por operações simples não conversíveis em ações, com garantia real nos termos da Instrução CVM nº 476, de 16 de janeiro de 2009, e legislação aplicável.</w:t>
      </w:r>
    </w:p>
    <w:p>
      <w:pPr>
        <w:pStyle w:val="BodyText"/>
        <w:spacing w:before="9"/>
      </w:pPr>
    </w:p>
    <w:p>
      <w:pPr>
        <w:pStyle w:val="BodyText"/>
        <w:spacing w:line="242" w:lineRule="auto"/>
        <w:ind w:left="172" w:right="409"/>
        <w:jc w:val="both"/>
      </w:pPr>
      <w:r>
        <w:rPr/>
        <w:t>Tais</w:t>
      </w:r>
      <w:r>
        <w:rPr>
          <w:spacing w:val="-28"/>
        </w:rPr>
        <w:t> </w:t>
      </w:r>
      <w:r>
        <w:rPr/>
        <w:t>debêntures</w:t>
      </w:r>
      <w:r>
        <w:rPr>
          <w:spacing w:val="-27"/>
        </w:rPr>
        <w:t> </w:t>
      </w:r>
      <w:r>
        <w:rPr/>
        <w:t>têm</w:t>
      </w:r>
      <w:r>
        <w:rPr>
          <w:spacing w:val="-27"/>
        </w:rPr>
        <w:t> </w:t>
      </w:r>
      <w:r>
        <w:rPr/>
        <w:t>prazo</w:t>
      </w:r>
      <w:r>
        <w:rPr>
          <w:spacing w:val="-27"/>
        </w:rPr>
        <w:t> </w:t>
      </w:r>
      <w:r>
        <w:rPr/>
        <w:t>de</w:t>
      </w:r>
      <w:r>
        <w:rPr>
          <w:spacing w:val="-30"/>
        </w:rPr>
        <w:t> </w:t>
      </w:r>
      <w:r>
        <w:rPr/>
        <w:t>vencimento</w:t>
      </w:r>
      <w:r>
        <w:rPr>
          <w:spacing w:val="-28"/>
        </w:rPr>
        <w:t> </w:t>
      </w:r>
      <w:r>
        <w:rPr/>
        <w:t>de</w:t>
      </w:r>
      <w:r>
        <w:rPr>
          <w:spacing w:val="-29"/>
        </w:rPr>
        <w:t> </w:t>
      </w:r>
      <w:r>
        <w:rPr/>
        <w:t>60</w:t>
      </w:r>
      <w:r>
        <w:rPr>
          <w:spacing w:val="-27"/>
        </w:rPr>
        <w:t> </w:t>
      </w:r>
      <w:r>
        <w:rPr/>
        <w:t>(sessenta)</w:t>
      </w:r>
      <w:r>
        <w:rPr>
          <w:spacing w:val="-28"/>
        </w:rPr>
        <w:t> </w:t>
      </w:r>
      <w:r>
        <w:rPr/>
        <w:t>meses</w:t>
      </w:r>
      <w:r>
        <w:rPr>
          <w:spacing w:val="-28"/>
        </w:rPr>
        <w:t> </w:t>
      </w:r>
      <w:r>
        <w:rPr/>
        <w:t>contados</w:t>
      </w:r>
      <w:r>
        <w:rPr>
          <w:spacing w:val="-27"/>
        </w:rPr>
        <w:t> </w:t>
      </w:r>
      <w:r>
        <w:rPr/>
        <w:t>a</w:t>
      </w:r>
      <w:r>
        <w:rPr>
          <w:spacing w:val="-28"/>
        </w:rPr>
        <w:t> </w:t>
      </w:r>
      <w:r>
        <w:rPr/>
        <w:t>partir</w:t>
      </w:r>
      <w:r>
        <w:rPr>
          <w:spacing w:val="-28"/>
        </w:rPr>
        <w:t> </w:t>
      </w:r>
      <w:r>
        <w:rPr/>
        <w:t>da</w:t>
      </w:r>
      <w:r>
        <w:rPr>
          <w:spacing w:val="-28"/>
        </w:rPr>
        <w:t> </w:t>
      </w:r>
      <w:r>
        <w:rPr/>
        <w:t>sua</w:t>
      </w:r>
      <w:r>
        <w:rPr>
          <w:spacing w:val="-27"/>
        </w:rPr>
        <w:t> </w:t>
      </w:r>
      <w:r>
        <w:rPr/>
        <w:t>emissão,</w:t>
      </w:r>
      <w:r>
        <w:rPr>
          <w:spacing w:val="-29"/>
        </w:rPr>
        <w:t> </w:t>
      </w:r>
      <w:r>
        <w:rPr/>
        <w:t>em</w:t>
      </w:r>
      <w:r>
        <w:rPr>
          <w:spacing w:val="-28"/>
        </w:rPr>
        <w:t> </w:t>
      </w:r>
      <w:r>
        <w:rPr/>
        <w:t>15</w:t>
      </w:r>
      <w:r>
        <w:rPr>
          <w:spacing w:val="-27"/>
        </w:rPr>
        <w:t> </w:t>
      </w:r>
      <w:r>
        <w:rPr/>
        <w:t>de</w:t>
      </w:r>
      <w:r>
        <w:rPr>
          <w:spacing w:val="-27"/>
        </w:rPr>
        <w:t> </w:t>
      </w:r>
      <w:r>
        <w:rPr/>
        <w:t>junho de</w:t>
      </w:r>
      <w:r>
        <w:rPr>
          <w:spacing w:val="-26"/>
        </w:rPr>
        <w:t> </w:t>
      </w:r>
      <w:r>
        <w:rPr/>
        <w:t>2015,</w:t>
      </w:r>
      <w:r>
        <w:rPr>
          <w:spacing w:val="-23"/>
        </w:rPr>
        <w:t> </w:t>
      </w:r>
      <w:r>
        <w:rPr/>
        <w:t>com</w:t>
      </w:r>
      <w:r>
        <w:rPr>
          <w:spacing w:val="-25"/>
        </w:rPr>
        <w:t> </w:t>
      </w:r>
      <w:r>
        <w:rPr/>
        <w:t>vencimento</w:t>
      </w:r>
      <w:r>
        <w:rPr>
          <w:spacing w:val="-24"/>
        </w:rPr>
        <w:t> </w:t>
      </w:r>
      <w:r>
        <w:rPr/>
        <w:t>em</w:t>
      </w:r>
      <w:r>
        <w:rPr>
          <w:spacing w:val="-26"/>
        </w:rPr>
        <w:t> </w:t>
      </w:r>
      <w:r>
        <w:rPr/>
        <w:t>15</w:t>
      </w:r>
      <w:r>
        <w:rPr>
          <w:spacing w:val="-24"/>
        </w:rPr>
        <w:t> </w:t>
      </w:r>
      <w:r>
        <w:rPr/>
        <w:t>de</w:t>
      </w:r>
      <w:r>
        <w:rPr>
          <w:spacing w:val="-25"/>
        </w:rPr>
        <w:t> </w:t>
      </w:r>
      <w:r>
        <w:rPr/>
        <w:t>junho</w:t>
      </w:r>
      <w:r>
        <w:rPr>
          <w:spacing w:val="-26"/>
        </w:rPr>
        <w:t> </w:t>
      </w:r>
      <w:r>
        <w:rPr/>
        <w:t>de</w:t>
      </w:r>
      <w:r>
        <w:rPr>
          <w:spacing w:val="-25"/>
        </w:rPr>
        <w:t> </w:t>
      </w:r>
      <w:r>
        <w:rPr/>
        <w:t>2020,</w:t>
      </w:r>
      <w:r>
        <w:rPr>
          <w:spacing w:val="-25"/>
        </w:rPr>
        <w:t> </w:t>
      </w:r>
      <w:r>
        <w:rPr/>
        <w:t>observadas</w:t>
      </w:r>
      <w:r>
        <w:rPr>
          <w:spacing w:val="-25"/>
        </w:rPr>
        <w:t> </w:t>
      </w:r>
      <w:r>
        <w:rPr/>
        <w:t>as</w:t>
      </w:r>
      <w:r>
        <w:rPr>
          <w:spacing w:val="-25"/>
        </w:rPr>
        <w:t> </w:t>
      </w:r>
      <w:r>
        <w:rPr/>
        <w:t>hipóteses</w:t>
      </w:r>
      <w:r>
        <w:rPr>
          <w:spacing w:val="-24"/>
        </w:rPr>
        <w:t> </w:t>
      </w:r>
      <w:r>
        <w:rPr/>
        <w:t>de</w:t>
      </w:r>
      <w:r>
        <w:rPr>
          <w:spacing w:val="-25"/>
        </w:rPr>
        <w:t> </w:t>
      </w:r>
      <w:r>
        <w:rPr/>
        <w:t>vencimento</w:t>
      </w:r>
      <w:r>
        <w:rPr>
          <w:spacing w:val="-25"/>
        </w:rPr>
        <w:t> </w:t>
      </w:r>
      <w:r>
        <w:rPr/>
        <w:t>antecipado;</w:t>
      </w:r>
      <w:r>
        <w:rPr>
          <w:spacing w:val="-24"/>
        </w:rPr>
        <w:t> </w:t>
      </w:r>
      <w:r>
        <w:rPr/>
        <w:t>de</w:t>
      </w:r>
      <w:r>
        <w:rPr>
          <w:spacing w:val="-25"/>
        </w:rPr>
        <w:t> </w:t>
      </w:r>
      <w:r>
        <w:rPr/>
        <w:t>resgate antecipado</w:t>
      </w:r>
      <w:r>
        <w:rPr>
          <w:spacing w:val="-30"/>
        </w:rPr>
        <w:t> </w:t>
      </w:r>
      <w:r>
        <w:rPr/>
        <w:t>facultativo;</w:t>
      </w:r>
      <w:r>
        <w:rPr>
          <w:spacing w:val="-29"/>
        </w:rPr>
        <w:t> </w:t>
      </w:r>
      <w:r>
        <w:rPr/>
        <w:t>e</w:t>
      </w:r>
      <w:r>
        <w:rPr>
          <w:spacing w:val="-30"/>
        </w:rPr>
        <w:t> </w:t>
      </w:r>
      <w:r>
        <w:rPr/>
        <w:t>de</w:t>
      </w:r>
      <w:r>
        <w:rPr>
          <w:spacing w:val="-29"/>
        </w:rPr>
        <w:t> </w:t>
      </w:r>
      <w:r>
        <w:rPr/>
        <w:t>amortizações</w:t>
      </w:r>
      <w:r>
        <w:rPr>
          <w:spacing w:val="-29"/>
        </w:rPr>
        <w:t> </w:t>
      </w:r>
      <w:r>
        <w:rPr/>
        <w:t>extraordinárias</w:t>
      </w:r>
      <w:r>
        <w:rPr>
          <w:spacing w:val="-30"/>
        </w:rPr>
        <w:t> </w:t>
      </w:r>
      <w:r>
        <w:rPr/>
        <w:t>facultativas.</w:t>
      </w:r>
      <w:r>
        <w:rPr>
          <w:spacing w:val="-30"/>
        </w:rPr>
        <w:t> </w:t>
      </w:r>
      <w:r>
        <w:rPr/>
        <w:t>Os</w:t>
      </w:r>
      <w:r>
        <w:rPr>
          <w:spacing w:val="-30"/>
        </w:rPr>
        <w:t> </w:t>
      </w:r>
      <w:r>
        <w:rPr/>
        <w:t>montantes</w:t>
      </w:r>
      <w:r>
        <w:rPr>
          <w:spacing w:val="-29"/>
        </w:rPr>
        <w:t> </w:t>
      </w:r>
      <w:r>
        <w:rPr/>
        <w:t>provenientes</w:t>
      </w:r>
      <w:r>
        <w:rPr>
          <w:spacing w:val="-29"/>
        </w:rPr>
        <w:t> </w:t>
      </w:r>
      <w:r>
        <w:rPr>
          <w:spacing w:val="2"/>
        </w:rPr>
        <w:t>desta</w:t>
      </w:r>
      <w:r>
        <w:rPr>
          <w:spacing w:val="-29"/>
        </w:rPr>
        <w:t> </w:t>
      </w:r>
      <w:r>
        <w:rPr/>
        <w:t>emissão foram</w:t>
      </w:r>
      <w:r>
        <w:rPr>
          <w:spacing w:val="-15"/>
        </w:rPr>
        <w:t> </w:t>
      </w:r>
      <w:r>
        <w:rPr/>
        <w:t>destinados,</w:t>
      </w:r>
      <w:r>
        <w:rPr>
          <w:spacing w:val="-13"/>
        </w:rPr>
        <w:t> </w:t>
      </w:r>
      <w:r>
        <w:rPr/>
        <w:t>principalmente,</w:t>
      </w:r>
      <w:r>
        <w:rPr>
          <w:spacing w:val="-13"/>
        </w:rPr>
        <w:t> </w:t>
      </w:r>
      <w:r>
        <w:rPr/>
        <w:t>para:</w:t>
      </w:r>
      <w:r>
        <w:rPr>
          <w:spacing w:val="-15"/>
        </w:rPr>
        <w:t> </w:t>
      </w:r>
      <w:r>
        <w:rPr/>
        <w:t>(a)</w:t>
      </w:r>
      <w:r>
        <w:rPr>
          <w:spacing w:val="-14"/>
        </w:rPr>
        <w:t> </w:t>
      </w:r>
      <w:r>
        <w:rPr/>
        <w:t>investimentos</w:t>
      </w:r>
      <w:r>
        <w:rPr>
          <w:spacing w:val="-14"/>
        </w:rPr>
        <w:t> </w:t>
      </w:r>
      <w:r>
        <w:rPr/>
        <w:t>na</w:t>
      </w:r>
      <w:r>
        <w:rPr>
          <w:spacing w:val="-14"/>
        </w:rPr>
        <w:t> </w:t>
      </w:r>
      <w:r>
        <w:rPr/>
        <w:t>infraestrutura</w:t>
      </w:r>
      <w:r>
        <w:rPr>
          <w:spacing w:val="-14"/>
        </w:rPr>
        <w:t> </w:t>
      </w:r>
      <w:r>
        <w:rPr/>
        <w:t>de</w:t>
      </w:r>
      <w:r>
        <w:rPr>
          <w:spacing w:val="-16"/>
        </w:rPr>
        <w:t> </w:t>
      </w:r>
      <w:r>
        <w:rPr/>
        <w:t>distribuição</w:t>
      </w:r>
      <w:r>
        <w:rPr>
          <w:spacing w:val="-15"/>
        </w:rPr>
        <w:t> </w:t>
      </w:r>
      <w:r>
        <w:rPr/>
        <w:t>de</w:t>
      </w:r>
      <w:r>
        <w:rPr>
          <w:spacing w:val="-14"/>
        </w:rPr>
        <w:t> </w:t>
      </w:r>
      <w:r>
        <w:rPr/>
        <w:t>energia;</w:t>
      </w:r>
      <w:r>
        <w:rPr>
          <w:spacing w:val="-13"/>
        </w:rPr>
        <w:t> </w:t>
      </w:r>
      <w:r>
        <w:rPr/>
        <w:t>e</w:t>
      </w:r>
      <w:r>
        <w:rPr>
          <w:spacing w:val="-15"/>
        </w:rPr>
        <w:t> </w:t>
      </w:r>
      <w:r>
        <w:rPr/>
        <w:t>(b)</w:t>
      </w:r>
      <w:r>
        <w:rPr>
          <w:spacing w:val="-13"/>
        </w:rPr>
        <w:t> </w:t>
      </w:r>
      <w:r>
        <w:rPr/>
        <w:t>no cumprimento</w:t>
      </w:r>
      <w:r>
        <w:rPr>
          <w:spacing w:val="-17"/>
        </w:rPr>
        <w:t> </w:t>
      </w:r>
      <w:r>
        <w:rPr/>
        <w:t>de</w:t>
      </w:r>
      <w:r>
        <w:rPr>
          <w:spacing w:val="-18"/>
        </w:rPr>
        <w:t> </w:t>
      </w:r>
      <w:r>
        <w:rPr/>
        <w:t>obrigações</w:t>
      </w:r>
      <w:r>
        <w:rPr>
          <w:spacing w:val="-16"/>
        </w:rPr>
        <w:t> </w:t>
      </w:r>
      <w:r>
        <w:rPr/>
        <w:t>setoriais.</w:t>
      </w:r>
    </w:p>
    <w:p>
      <w:pPr>
        <w:pStyle w:val="BodyText"/>
        <w:spacing w:before="6"/>
      </w:pPr>
    </w:p>
    <w:p>
      <w:pPr>
        <w:pStyle w:val="BodyText"/>
        <w:spacing w:line="242" w:lineRule="auto"/>
        <w:ind w:left="172" w:right="406"/>
        <w:jc w:val="both"/>
      </w:pPr>
      <w:r>
        <w:rPr/>
        <w:t>A</w:t>
      </w:r>
      <w:r>
        <w:rPr>
          <w:spacing w:val="-23"/>
        </w:rPr>
        <w:t> </w:t>
      </w:r>
      <w:r>
        <w:rPr/>
        <w:t>primeira</w:t>
      </w:r>
      <w:r>
        <w:rPr>
          <w:spacing w:val="-21"/>
        </w:rPr>
        <w:t> </w:t>
      </w:r>
      <w:r>
        <w:rPr/>
        <w:t>emissão</w:t>
      </w:r>
      <w:r>
        <w:rPr>
          <w:spacing w:val="-22"/>
        </w:rPr>
        <w:t> </w:t>
      </w:r>
      <w:r>
        <w:rPr/>
        <w:t>de</w:t>
      </w:r>
      <w:r>
        <w:rPr>
          <w:spacing w:val="-24"/>
        </w:rPr>
        <w:t> </w:t>
      </w:r>
      <w:r>
        <w:rPr/>
        <w:t>debêntures</w:t>
      </w:r>
      <w:r>
        <w:rPr>
          <w:spacing w:val="-23"/>
        </w:rPr>
        <w:t> </w:t>
      </w:r>
      <w:r>
        <w:rPr/>
        <w:t>possui</w:t>
      </w:r>
      <w:r>
        <w:rPr>
          <w:spacing w:val="-23"/>
        </w:rPr>
        <w:t> </w:t>
      </w:r>
      <w:r>
        <w:rPr/>
        <w:t>ainda</w:t>
      </w:r>
      <w:r>
        <w:rPr>
          <w:spacing w:val="-22"/>
        </w:rPr>
        <w:t> </w:t>
      </w:r>
      <w:r>
        <w:rPr/>
        <w:t>como</w:t>
      </w:r>
      <w:r>
        <w:rPr>
          <w:spacing w:val="-23"/>
        </w:rPr>
        <w:t> </w:t>
      </w:r>
      <w:r>
        <w:rPr/>
        <w:t>garantia</w:t>
      </w:r>
      <w:r>
        <w:rPr>
          <w:spacing w:val="-23"/>
        </w:rPr>
        <w:t> </w:t>
      </w:r>
      <w:r>
        <w:rPr/>
        <w:t>a</w:t>
      </w:r>
      <w:r>
        <w:rPr>
          <w:spacing w:val="-22"/>
        </w:rPr>
        <w:t> </w:t>
      </w:r>
      <w:r>
        <w:rPr/>
        <w:t>alienação</w:t>
      </w:r>
      <w:r>
        <w:rPr>
          <w:spacing w:val="-23"/>
        </w:rPr>
        <w:t> </w:t>
      </w:r>
      <w:r>
        <w:rPr/>
        <w:t>fiduciária</w:t>
      </w:r>
      <w:r>
        <w:rPr>
          <w:spacing w:val="-22"/>
        </w:rPr>
        <w:t> </w:t>
      </w:r>
      <w:r>
        <w:rPr/>
        <w:t>do</w:t>
      </w:r>
      <w:r>
        <w:rPr>
          <w:spacing w:val="-23"/>
        </w:rPr>
        <w:t> </w:t>
      </w:r>
      <w:r>
        <w:rPr/>
        <w:t>imóvel</w:t>
      </w:r>
      <w:r>
        <w:rPr>
          <w:spacing w:val="-15"/>
        </w:rPr>
        <w:t> </w:t>
      </w:r>
      <w:r>
        <w:rPr/>
        <w:t>localizado</w:t>
      </w:r>
      <w:r>
        <w:rPr>
          <w:spacing w:val="-23"/>
        </w:rPr>
        <w:t> </w:t>
      </w:r>
      <w:r>
        <w:rPr/>
        <w:t>no</w:t>
      </w:r>
      <w:r>
        <w:rPr>
          <w:spacing w:val="-23"/>
        </w:rPr>
        <w:t> </w:t>
      </w:r>
      <w:r>
        <w:rPr/>
        <w:t>Setor Noroeste</w:t>
      </w:r>
      <w:r>
        <w:rPr>
          <w:spacing w:val="-38"/>
        </w:rPr>
        <w:t> </w:t>
      </w:r>
      <w:r>
        <w:rPr/>
        <w:t>SIA</w:t>
      </w:r>
      <w:r>
        <w:rPr>
          <w:spacing w:val="-38"/>
        </w:rPr>
        <w:t> </w:t>
      </w:r>
      <w:r>
        <w:rPr/>
        <w:t>Norte</w:t>
      </w:r>
      <w:r>
        <w:rPr>
          <w:spacing w:val="-38"/>
        </w:rPr>
        <w:t> </w:t>
      </w:r>
      <w:r>
        <w:rPr/>
        <w:t>PR</w:t>
      </w:r>
      <w:r>
        <w:rPr>
          <w:spacing w:val="-37"/>
        </w:rPr>
        <w:t> </w:t>
      </w:r>
      <w:r>
        <w:rPr/>
        <w:t>155/1/DF,</w:t>
      </w:r>
      <w:r>
        <w:rPr>
          <w:spacing w:val="-37"/>
        </w:rPr>
        <w:t> </w:t>
      </w:r>
      <w:r>
        <w:rPr/>
        <w:t>à</w:t>
      </w:r>
      <w:r>
        <w:rPr>
          <w:spacing w:val="-38"/>
        </w:rPr>
        <w:t> </w:t>
      </w:r>
      <w:r>
        <w:rPr/>
        <w:t>época</w:t>
      </w:r>
      <w:r>
        <w:rPr>
          <w:spacing w:val="-37"/>
        </w:rPr>
        <w:t> </w:t>
      </w:r>
      <w:r>
        <w:rPr/>
        <w:t>classificado</w:t>
      </w:r>
      <w:r>
        <w:rPr>
          <w:spacing w:val="-38"/>
        </w:rPr>
        <w:t> </w:t>
      </w:r>
      <w:r>
        <w:rPr/>
        <w:t>como</w:t>
      </w:r>
      <w:r>
        <w:rPr>
          <w:spacing w:val="-39"/>
        </w:rPr>
        <w:t> </w:t>
      </w:r>
      <w:r>
        <w:rPr/>
        <w:t>ativo</w:t>
      </w:r>
      <w:r>
        <w:rPr>
          <w:spacing w:val="-37"/>
        </w:rPr>
        <w:t> </w:t>
      </w:r>
      <w:r>
        <w:rPr/>
        <w:t>não</w:t>
      </w:r>
      <w:r>
        <w:rPr>
          <w:spacing w:val="-37"/>
        </w:rPr>
        <w:t> </w:t>
      </w:r>
      <w:r>
        <w:rPr/>
        <w:t>circulante</w:t>
      </w:r>
      <w:r>
        <w:rPr>
          <w:spacing w:val="-38"/>
        </w:rPr>
        <w:t> </w:t>
      </w:r>
      <w:r>
        <w:rPr/>
        <w:t>disponível</w:t>
      </w:r>
      <w:r>
        <w:rPr>
          <w:spacing w:val="-37"/>
        </w:rPr>
        <w:t> </w:t>
      </w:r>
      <w:r>
        <w:rPr/>
        <w:t>para</w:t>
      </w:r>
      <w:r>
        <w:rPr>
          <w:spacing w:val="-38"/>
        </w:rPr>
        <w:t> </w:t>
      </w:r>
      <w:r>
        <w:rPr/>
        <w:t>venda,</w:t>
      </w:r>
      <w:r>
        <w:rPr>
          <w:spacing w:val="-38"/>
        </w:rPr>
        <w:t> </w:t>
      </w:r>
      <w:r>
        <w:rPr/>
        <w:t>cujo</w:t>
      </w:r>
      <w:r>
        <w:rPr>
          <w:spacing w:val="-39"/>
        </w:rPr>
        <w:t> </w:t>
      </w:r>
      <w:r>
        <w:rPr/>
        <w:t>valor</w:t>
      </w:r>
      <w:r>
        <w:rPr>
          <w:spacing w:val="-37"/>
        </w:rPr>
        <w:t> </w:t>
      </w:r>
      <w:r>
        <w:rPr/>
        <w:t>de liquidação</w:t>
      </w:r>
      <w:r>
        <w:rPr>
          <w:spacing w:val="-21"/>
        </w:rPr>
        <w:t> </w:t>
      </w:r>
      <w:r>
        <w:rPr/>
        <w:t>forçada</w:t>
      </w:r>
      <w:r>
        <w:rPr>
          <w:spacing w:val="-19"/>
        </w:rPr>
        <w:t> </w:t>
      </w:r>
      <w:r>
        <w:rPr/>
        <w:t>foi</w:t>
      </w:r>
      <w:r>
        <w:rPr>
          <w:spacing w:val="-19"/>
        </w:rPr>
        <w:t> </w:t>
      </w:r>
      <w:r>
        <w:rPr/>
        <w:t>equivalente</w:t>
      </w:r>
      <w:r>
        <w:rPr>
          <w:spacing w:val="-21"/>
        </w:rPr>
        <w:t> </w:t>
      </w:r>
      <w:r>
        <w:rPr/>
        <w:t>a</w:t>
      </w:r>
      <w:r>
        <w:rPr>
          <w:spacing w:val="-19"/>
        </w:rPr>
        <w:t> </w:t>
      </w:r>
      <w:r>
        <w:rPr/>
        <w:t>150%</w:t>
      </w:r>
      <w:r>
        <w:rPr>
          <w:spacing w:val="-19"/>
        </w:rPr>
        <w:t> </w:t>
      </w:r>
      <w:r>
        <w:rPr/>
        <w:t>do</w:t>
      </w:r>
      <w:r>
        <w:rPr>
          <w:spacing w:val="-19"/>
        </w:rPr>
        <w:t> </w:t>
      </w:r>
      <w:r>
        <w:rPr/>
        <w:t>saldo</w:t>
      </w:r>
      <w:r>
        <w:rPr>
          <w:spacing w:val="-20"/>
        </w:rPr>
        <w:t> </w:t>
      </w:r>
      <w:r>
        <w:rPr/>
        <w:t>principal</w:t>
      </w:r>
      <w:r>
        <w:rPr>
          <w:spacing w:val="-19"/>
        </w:rPr>
        <w:t> </w:t>
      </w:r>
      <w:r>
        <w:rPr/>
        <w:t>das</w:t>
      </w:r>
      <w:r>
        <w:rPr>
          <w:spacing w:val="-20"/>
        </w:rPr>
        <w:t> </w:t>
      </w:r>
      <w:r>
        <w:rPr/>
        <w:t>debêntures.</w:t>
      </w:r>
    </w:p>
    <w:p>
      <w:pPr>
        <w:pStyle w:val="BodyText"/>
        <w:spacing w:before="5"/>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hAnsi="Caladea"/>
          <w:b/>
          <w:sz w:val="18"/>
        </w:rPr>
      </w:pPr>
      <w:r>
        <w:rPr>
          <w:rFonts w:ascii="Caladea" w:hAnsi="Caladea"/>
          <w:b/>
          <w:sz w:val="22"/>
        </w:rPr>
        <w:t>T</w:t>
      </w:r>
      <w:r>
        <w:rPr>
          <w:rFonts w:ascii="Caladea" w:hAnsi="Caladea"/>
          <w:b/>
          <w:sz w:val="18"/>
        </w:rPr>
        <w:t>ERCEIRA EMISSÃO</w:t>
      </w:r>
    </w:p>
    <w:p>
      <w:pPr>
        <w:pStyle w:val="BodyText"/>
        <w:rPr>
          <w:rFonts w:ascii="Caladea"/>
          <w:b/>
          <w:sz w:val="24"/>
        </w:rPr>
      </w:pPr>
    </w:p>
    <w:p>
      <w:pPr>
        <w:pStyle w:val="BodyText"/>
        <w:spacing w:line="242" w:lineRule="auto"/>
        <w:ind w:left="172" w:right="410"/>
        <w:jc w:val="both"/>
      </w:pPr>
      <w:r>
        <w:rPr/>
        <w:t>A</w:t>
      </w:r>
      <w:r>
        <w:rPr>
          <w:spacing w:val="-48"/>
        </w:rPr>
        <w:t> </w:t>
      </w:r>
      <w:r>
        <w:rPr/>
        <w:t>CEB</w:t>
      </w:r>
      <w:r>
        <w:rPr>
          <w:spacing w:val="-47"/>
        </w:rPr>
        <w:t> </w:t>
      </w:r>
      <w:r>
        <w:rPr/>
        <w:t>Distribuição</w:t>
      </w:r>
      <w:r>
        <w:rPr>
          <w:spacing w:val="-48"/>
        </w:rPr>
        <w:t> </w:t>
      </w:r>
      <w:r>
        <w:rPr/>
        <w:t>S.A.</w:t>
      </w:r>
      <w:r>
        <w:rPr>
          <w:spacing w:val="-46"/>
        </w:rPr>
        <w:t> </w:t>
      </w:r>
      <w:r>
        <w:rPr/>
        <w:t>estruturou</w:t>
      </w:r>
      <w:r>
        <w:rPr>
          <w:spacing w:val="-48"/>
        </w:rPr>
        <w:t> </w:t>
      </w:r>
      <w:r>
        <w:rPr/>
        <w:t>sua</w:t>
      </w:r>
      <w:r>
        <w:rPr>
          <w:spacing w:val="-47"/>
        </w:rPr>
        <w:t> </w:t>
      </w:r>
      <w:r>
        <w:rPr/>
        <w:t>Terceira</w:t>
      </w:r>
      <w:r>
        <w:rPr>
          <w:spacing w:val="-47"/>
        </w:rPr>
        <w:t> </w:t>
      </w:r>
      <w:r>
        <w:rPr/>
        <w:t>Emissão</w:t>
      </w:r>
      <w:r>
        <w:rPr>
          <w:spacing w:val="-47"/>
        </w:rPr>
        <w:t> </w:t>
      </w:r>
      <w:r>
        <w:rPr/>
        <w:t>de</w:t>
      </w:r>
      <w:r>
        <w:rPr>
          <w:spacing w:val="-48"/>
        </w:rPr>
        <w:t> </w:t>
      </w:r>
      <w:r>
        <w:rPr/>
        <w:t>Debêntures</w:t>
      </w:r>
      <w:r>
        <w:rPr>
          <w:spacing w:val="-47"/>
        </w:rPr>
        <w:t> </w:t>
      </w:r>
      <w:r>
        <w:rPr/>
        <w:t>simples,</w:t>
      </w:r>
      <w:r>
        <w:rPr>
          <w:spacing w:val="-47"/>
        </w:rPr>
        <w:t> </w:t>
      </w:r>
      <w:r>
        <w:rPr/>
        <w:t>não</w:t>
      </w:r>
      <w:r>
        <w:rPr>
          <w:spacing w:val="-48"/>
        </w:rPr>
        <w:t> </w:t>
      </w:r>
      <w:r>
        <w:rPr/>
        <w:t>conversíveis</w:t>
      </w:r>
      <w:r>
        <w:rPr>
          <w:spacing w:val="-46"/>
        </w:rPr>
        <w:t> </w:t>
      </w:r>
      <w:r>
        <w:rPr/>
        <w:t>em</w:t>
      </w:r>
      <w:r>
        <w:rPr>
          <w:spacing w:val="-47"/>
        </w:rPr>
        <w:t> </w:t>
      </w:r>
      <w:r>
        <w:rPr/>
        <w:t>ações,</w:t>
      </w:r>
      <w:r>
        <w:rPr>
          <w:spacing w:val="-48"/>
        </w:rPr>
        <w:t> </w:t>
      </w:r>
      <w:r>
        <w:rPr/>
        <w:t>da</w:t>
      </w:r>
      <w:r>
        <w:rPr>
          <w:spacing w:val="-47"/>
        </w:rPr>
        <w:t> </w:t>
      </w:r>
      <w:r>
        <w:rPr/>
        <w:t>espécie com</w:t>
      </w:r>
      <w:r>
        <w:rPr>
          <w:spacing w:val="-37"/>
        </w:rPr>
        <w:t> </w:t>
      </w:r>
      <w:r>
        <w:rPr/>
        <w:t>garantia</w:t>
      </w:r>
      <w:r>
        <w:rPr>
          <w:spacing w:val="-36"/>
        </w:rPr>
        <w:t> </w:t>
      </w:r>
      <w:r>
        <w:rPr/>
        <w:t>real,</w:t>
      </w:r>
      <w:r>
        <w:rPr>
          <w:spacing w:val="-35"/>
        </w:rPr>
        <w:t> </w:t>
      </w:r>
      <w:r>
        <w:rPr/>
        <w:t>em</w:t>
      </w:r>
      <w:r>
        <w:rPr>
          <w:spacing w:val="-36"/>
        </w:rPr>
        <w:t> </w:t>
      </w:r>
      <w:r>
        <w:rPr/>
        <w:t>série</w:t>
      </w:r>
      <w:r>
        <w:rPr>
          <w:spacing w:val="-35"/>
        </w:rPr>
        <w:t> </w:t>
      </w:r>
      <w:r>
        <w:rPr/>
        <w:t>única,</w:t>
      </w:r>
      <w:r>
        <w:rPr>
          <w:spacing w:val="-37"/>
        </w:rPr>
        <w:t> </w:t>
      </w:r>
      <w:r>
        <w:rPr/>
        <w:t>cujo</w:t>
      </w:r>
      <w:r>
        <w:rPr>
          <w:spacing w:val="-35"/>
        </w:rPr>
        <w:t> </w:t>
      </w:r>
      <w:r>
        <w:rPr/>
        <w:t>valor</w:t>
      </w:r>
      <w:r>
        <w:rPr>
          <w:spacing w:val="-37"/>
        </w:rPr>
        <w:t> </w:t>
      </w:r>
      <w:r>
        <w:rPr/>
        <w:t>total</w:t>
      </w:r>
      <w:r>
        <w:rPr>
          <w:spacing w:val="-36"/>
        </w:rPr>
        <w:t> </w:t>
      </w:r>
      <w:r>
        <w:rPr/>
        <w:t>de</w:t>
      </w:r>
      <w:r>
        <w:rPr>
          <w:spacing w:val="-38"/>
        </w:rPr>
        <w:t> </w:t>
      </w:r>
      <w:r>
        <w:rPr/>
        <w:t>Emissão</w:t>
      </w:r>
      <w:r>
        <w:rPr>
          <w:spacing w:val="-37"/>
        </w:rPr>
        <w:t> </w:t>
      </w:r>
      <w:r>
        <w:rPr/>
        <w:t>foi</w:t>
      </w:r>
      <w:r>
        <w:rPr>
          <w:spacing w:val="-36"/>
        </w:rPr>
        <w:t> </w:t>
      </w:r>
      <w:r>
        <w:rPr/>
        <w:t>de</w:t>
      </w:r>
      <w:r>
        <w:rPr>
          <w:spacing w:val="-36"/>
        </w:rPr>
        <w:t> </w:t>
      </w:r>
      <w:r>
        <w:rPr/>
        <w:t>R$</w:t>
      </w:r>
      <w:r>
        <w:rPr>
          <w:spacing w:val="-35"/>
        </w:rPr>
        <w:t> </w:t>
      </w:r>
      <w:r>
        <w:rPr/>
        <w:t>200.000,</w:t>
      </w:r>
      <w:r>
        <w:rPr>
          <w:spacing w:val="-37"/>
        </w:rPr>
        <w:t> </w:t>
      </w:r>
      <w:r>
        <w:rPr/>
        <w:t>tendo</w:t>
      </w:r>
      <w:r>
        <w:rPr>
          <w:spacing w:val="-37"/>
        </w:rPr>
        <w:t> </w:t>
      </w:r>
      <w:r>
        <w:rPr/>
        <w:t>como</w:t>
      </w:r>
      <w:r>
        <w:rPr>
          <w:spacing w:val="-36"/>
        </w:rPr>
        <w:t> </w:t>
      </w:r>
      <w:r>
        <w:rPr/>
        <w:t>prazo</w:t>
      </w:r>
      <w:r>
        <w:rPr>
          <w:spacing w:val="-36"/>
        </w:rPr>
        <w:t> </w:t>
      </w:r>
      <w:r>
        <w:rPr/>
        <w:t>de</w:t>
      </w:r>
      <w:r>
        <w:rPr>
          <w:spacing w:val="-36"/>
        </w:rPr>
        <w:t> </w:t>
      </w:r>
      <w:r>
        <w:rPr/>
        <w:t>vencimento</w:t>
      </w:r>
      <w:r>
        <w:rPr>
          <w:spacing w:val="-35"/>
        </w:rPr>
        <w:t> </w:t>
      </w:r>
      <w:r>
        <w:rPr/>
        <w:t>60 meses</w:t>
      </w:r>
      <w:r>
        <w:rPr>
          <w:spacing w:val="-38"/>
        </w:rPr>
        <w:t> </w:t>
      </w:r>
      <w:r>
        <w:rPr/>
        <w:t>a</w:t>
      </w:r>
      <w:r>
        <w:rPr>
          <w:spacing w:val="-39"/>
        </w:rPr>
        <w:t> </w:t>
      </w:r>
      <w:r>
        <w:rPr/>
        <w:t>contar</w:t>
      </w:r>
      <w:r>
        <w:rPr>
          <w:spacing w:val="-39"/>
        </w:rPr>
        <w:t> </w:t>
      </w:r>
      <w:r>
        <w:rPr/>
        <w:t>da</w:t>
      </w:r>
      <w:r>
        <w:rPr>
          <w:spacing w:val="-38"/>
        </w:rPr>
        <w:t> </w:t>
      </w:r>
      <w:r>
        <w:rPr/>
        <w:t>sua</w:t>
      </w:r>
      <w:r>
        <w:rPr>
          <w:spacing w:val="-39"/>
        </w:rPr>
        <w:t> </w:t>
      </w:r>
      <w:r>
        <w:rPr/>
        <w:t>data</w:t>
      </w:r>
      <w:r>
        <w:rPr>
          <w:spacing w:val="-38"/>
        </w:rPr>
        <w:t> </w:t>
      </w:r>
      <w:r>
        <w:rPr/>
        <w:t>de</w:t>
      </w:r>
      <w:r>
        <w:rPr>
          <w:spacing w:val="-39"/>
        </w:rPr>
        <w:t> </w:t>
      </w:r>
      <w:r>
        <w:rPr/>
        <w:t>emissão.</w:t>
      </w:r>
      <w:r>
        <w:rPr>
          <w:spacing w:val="-38"/>
        </w:rPr>
        <w:t> </w:t>
      </w:r>
      <w:r>
        <w:rPr/>
        <w:t>O</w:t>
      </w:r>
      <w:r>
        <w:rPr>
          <w:spacing w:val="-39"/>
        </w:rPr>
        <w:t> </w:t>
      </w:r>
      <w:r>
        <w:rPr/>
        <w:t>Valor</w:t>
      </w:r>
      <w:r>
        <w:rPr>
          <w:spacing w:val="-39"/>
        </w:rPr>
        <w:t> </w:t>
      </w:r>
      <w:r>
        <w:rPr/>
        <w:t>Nominal</w:t>
      </w:r>
      <w:r>
        <w:rPr>
          <w:spacing w:val="-39"/>
        </w:rPr>
        <w:t> </w:t>
      </w:r>
      <w:r>
        <w:rPr/>
        <w:t>será</w:t>
      </w:r>
      <w:r>
        <w:rPr>
          <w:spacing w:val="-39"/>
        </w:rPr>
        <w:t> </w:t>
      </w:r>
      <w:r>
        <w:rPr/>
        <w:t>amortizado</w:t>
      </w:r>
      <w:r>
        <w:rPr>
          <w:spacing w:val="-37"/>
        </w:rPr>
        <w:t> </w:t>
      </w:r>
      <w:r>
        <w:rPr/>
        <w:t>em</w:t>
      </w:r>
      <w:r>
        <w:rPr>
          <w:spacing w:val="-38"/>
        </w:rPr>
        <w:t> </w:t>
      </w:r>
      <w:r>
        <w:rPr/>
        <w:t>36</w:t>
      </w:r>
      <w:r>
        <w:rPr>
          <w:spacing w:val="-38"/>
        </w:rPr>
        <w:t> </w:t>
      </w:r>
      <w:r>
        <w:rPr/>
        <w:t>parcelas</w:t>
      </w:r>
      <w:r>
        <w:rPr>
          <w:spacing w:val="-40"/>
        </w:rPr>
        <w:t> </w:t>
      </w:r>
      <w:r>
        <w:rPr/>
        <w:t>mensais</w:t>
      </w:r>
      <w:r>
        <w:rPr>
          <w:spacing w:val="-39"/>
        </w:rPr>
        <w:t> </w:t>
      </w:r>
      <w:r>
        <w:rPr/>
        <w:t>e</w:t>
      </w:r>
      <w:r>
        <w:rPr>
          <w:spacing w:val="-39"/>
        </w:rPr>
        <w:t> </w:t>
      </w:r>
      <w:r>
        <w:rPr/>
        <w:t>consecutivas,</w:t>
      </w:r>
      <w:r>
        <w:rPr>
          <w:spacing w:val="-39"/>
        </w:rPr>
        <w:t> </w:t>
      </w:r>
      <w:r>
        <w:rPr/>
        <w:t>com </w:t>
      </w:r>
      <w:r>
        <w:rPr>
          <w:w w:val="105"/>
        </w:rPr>
        <w:t>carência</w:t>
      </w:r>
      <w:r>
        <w:rPr>
          <w:spacing w:val="-43"/>
          <w:w w:val="105"/>
        </w:rPr>
        <w:t> </w:t>
      </w:r>
      <w:r>
        <w:rPr>
          <w:w w:val="105"/>
        </w:rPr>
        <w:t>de</w:t>
      </w:r>
      <w:r>
        <w:rPr>
          <w:spacing w:val="-43"/>
          <w:w w:val="105"/>
        </w:rPr>
        <w:t> </w:t>
      </w:r>
      <w:r>
        <w:rPr>
          <w:w w:val="105"/>
        </w:rPr>
        <w:t>24</w:t>
      </w:r>
      <w:r>
        <w:rPr>
          <w:spacing w:val="-43"/>
          <w:w w:val="105"/>
        </w:rPr>
        <w:t> </w:t>
      </w:r>
      <w:r>
        <w:rPr>
          <w:w w:val="105"/>
        </w:rPr>
        <w:t>meses,</w:t>
      </w:r>
      <w:r>
        <w:rPr>
          <w:spacing w:val="-43"/>
          <w:w w:val="105"/>
        </w:rPr>
        <w:t> </w:t>
      </w:r>
      <w:r>
        <w:rPr>
          <w:w w:val="105"/>
        </w:rPr>
        <w:t>contados</w:t>
      </w:r>
      <w:r>
        <w:rPr>
          <w:spacing w:val="-42"/>
          <w:w w:val="105"/>
        </w:rPr>
        <w:t> </w:t>
      </w:r>
      <w:r>
        <w:rPr>
          <w:w w:val="105"/>
        </w:rPr>
        <w:t>da</w:t>
      </w:r>
      <w:r>
        <w:rPr>
          <w:spacing w:val="-43"/>
          <w:w w:val="105"/>
        </w:rPr>
        <w:t> </w:t>
      </w:r>
      <w:r>
        <w:rPr>
          <w:w w:val="105"/>
        </w:rPr>
        <w:t>data</w:t>
      </w:r>
      <w:r>
        <w:rPr>
          <w:spacing w:val="-42"/>
          <w:w w:val="105"/>
        </w:rPr>
        <w:t> </w:t>
      </w:r>
      <w:r>
        <w:rPr>
          <w:w w:val="105"/>
        </w:rPr>
        <w:t>de</w:t>
      </w:r>
      <w:r>
        <w:rPr>
          <w:spacing w:val="-43"/>
          <w:w w:val="105"/>
        </w:rPr>
        <w:t> </w:t>
      </w:r>
      <w:r>
        <w:rPr>
          <w:w w:val="105"/>
        </w:rPr>
        <w:t>emissão,</w:t>
      </w:r>
      <w:r>
        <w:rPr>
          <w:spacing w:val="-43"/>
          <w:w w:val="105"/>
        </w:rPr>
        <w:t> </w:t>
      </w:r>
      <w:r>
        <w:rPr>
          <w:w w:val="105"/>
        </w:rPr>
        <w:t>com</w:t>
      </w:r>
      <w:r>
        <w:rPr>
          <w:spacing w:val="-43"/>
          <w:w w:val="105"/>
        </w:rPr>
        <w:t> </w:t>
      </w:r>
      <w:r>
        <w:rPr>
          <w:w w:val="105"/>
        </w:rPr>
        <w:t>remuneração</w:t>
      </w:r>
      <w:r>
        <w:rPr>
          <w:spacing w:val="-43"/>
          <w:w w:val="105"/>
        </w:rPr>
        <w:t> </w:t>
      </w:r>
      <w:r>
        <w:rPr>
          <w:w w:val="105"/>
        </w:rPr>
        <w:t>de</w:t>
      </w:r>
      <w:r>
        <w:rPr>
          <w:spacing w:val="-43"/>
          <w:w w:val="105"/>
        </w:rPr>
        <w:t> </w:t>
      </w:r>
      <w:r>
        <w:rPr>
          <w:w w:val="105"/>
        </w:rPr>
        <w:t>100%</w:t>
      </w:r>
      <w:r>
        <w:rPr>
          <w:spacing w:val="-43"/>
          <w:w w:val="105"/>
        </w:rPr>
        <w:t> </w:t>
      </w:r>
      <w:r>
        <w:rPr>
          <w:w w:val="105"/>
        </w:rPr>
        <w:t>da</w:t>
      </w:r>
      <w:r>
        <w:rPr>
          <w:spacing w:val="-42"/>
          <w:w w:val="105"/>
        </w:rPr>
        <w:t> </w:t>
      </w:r>
      <w:r>
        <w:rPr>
          <w:w w:val="105"/>
        </w:rPr>
        <w:t>taxa</w:t>
      </w:r>
      <w:r>
        <w:rPr>
          <w:spacing w:val="-43"/>
          <w:w w:val="105"/>
        </w:rPr>
        <w:t> </w:t>
      </w:r>
      <w:r>
        <w:rPr>
          <w:w w:val="105"/>
        </w:rPr>
        <w:t>média</w:t>
      </w:r>
      <w:r>
        <w:rPr>
          <w:spacing w:val="-42"/>
          <w:w w:val="105"/>
        </w:rPr>
        <w:t> </w:t>
      </w:r>
      <w:r>
        <w:rPr>
          <w:w w:val="105"/>
        </w:rPr>
        <w:t>diária</w:t>
      </w:r>
      <w:r>
        <w:rPr>
          <w:spacing w:val="-43"/>
          <w:w w:val="105"/>
        </w:rPr>
        <w:t> </w:t>
      </w:r>
      <w:r>
        <w:rPr>
          <w:w w:val="105"/>
        </w:rPr>
        <w:t>de</w:t>
      </w:r>
      <w:r>
        <w:rPr>
          <w:spacing w:val="-43"/>
          <w:w w:val="105"/>
        </w:rPr>
        <w:t> </w:t>
      </w:r>
      <w:r>
        <w:rPr>
          <w:w w:val="105"/>
        </w:rPr>
        <w:t>juros</w:t>
      </w:r>
      <w:r>
        <w:rPr>
          <w:spacing w:val="-42"/>
          <w:w w:val="105"/>
        </w:rPr>
        <w:t> </w:t>
      </w:r>
      <w:r>
        <w:rPr>
          <w:w w:val="105"/>
        </w:rPr>
        <w:t>dos Depósitos</w:t>
      </w:r>
      <w:r>
        <w:rPr>
          <w:spacing w:val="-24"/>
          <w:w w:val="105"/>
        </w:rPr>
        <w:t> </w:t>
      </w:r>
      <w:r>
        <w:rPr>
          <w:w w:val="105"/>
        </w:rPr>
        <w:t>Interfinanceiros</w:t>
      </w:r>
      <w:r>
        <w:rPr>
          <w:spacing w:val="-22"/>
          <w:w w:val="105"/>
        </w:rPr>
        <w:t> </w:t>
      </w:r>
      <w:r>
        <w:rPr>
          <w:w w:val="105"/>
        </w:rPr>
        <w:t>–</w:t>
      </w:r>
      <w:r>
        <w:rPr>
          <w:spacing w:val="-21"/>
          <w:w w:val="105"/>
        </w:rPr>
        <w:t> </w:t>
      </w:r>
      <w:r>
        <w:rPr>
          <w:w w:val="105"/>
        </w:rPr>
        <w:t>DI,</w:t>
      </w:r>
      <w:r>
        <w:rPr>
          <w:spacing w:val="-24"/>
          <w:w w:val="105"/>
        </w:rPr>
        <w:t> </w:t>
      </w:r>
      <w:r>
        <w:rPr>
          <w:w w:val="105"/>
        </w:rPr>
        <w:t>acrescidos</w:t>
      </w:r>
      <w:r>
        <w:rPr>
          <w:spacing w:val="-24"/>
          <w:w w:val="105"/>
        </w:rPr>
        <w:t> </w:t>
      </w:r>
      <w:r>
        <w:rPr>
          <w:w w:val="105"/>
        </w:rPr>
        <w:t>de</w:t>
      </w:r>
      <w:r>
        <w:rPr>
          <w:spacing w:val="-26"/>
          <w:w w:val="105"/>
        </w:rPr>
        <w:t> </w:t>
      </w:r>
      <w:r>
        <w:rPr>
          <w:w w:val="105"/>
        </w:rPr>
        <w:t>um</w:t>
      </w:r>
      <w:r>
        <w:rPr>
          <w:spacing w:val="-22"/>
          <w:w w:val="105"/>
        </w:rPr>
        <w:t> </w:t>
      </w:r>
      <w:r>
        <w:rPr>
          <w:w w:val="105"/>
        </w:rPr>
        <w:t>spread</w:t>
      </w:r>
      <w:r>
        <w:rPr>
          <w:spacing w:val="-22"/>
          <w:w w:val="105"/>
        </w:rPr>
        <w:t> </w:t>
      </w:r>
      <w:r>
        <w:rPr>
          <w:w w:val="105"/>
        </w:rPr>
        <w:t>de</w:t>
      </w:r>
      <w:r>
        <w:rPr>
          <w:spacing w:val="-24"/>
          <w:w w:val="105"/>
        </w:rPr>
        <w:t> </w:t>
      </w:r>
      <w:r>
        <w:rPr>
          <w:w w:val="105"/>
        </w:rPr>
        <w:t>4%</w:t>
      </w:r>
      <w:r>
        <w:rPr>
          <w:spacing w:val="-24"/>
          <w:w w:val="105"/>
        </w:rPr>
        <w:t> </w:t>
      </w:r>
      <w:r>
        <w:rPr>
          <w:w w:val="105"/>
        </w:rPr>
        <w:t>ao</w:t>
      </w:r>
      <w:r>
        <w:rPr>
          <w:spacing w:val="-22"/>
          <w:w w:val="105"/>
        </w:rPr>
        <w:t> </w:t>
      </w:r>
      <w:r>
        <w:rPr>
          <w:w w:val="105"/>
        </w:rPr>
        <w:t>ano.</w:t>
      </w:r>
    </w:p>
    <w:p>
      <w:pPr>
        <w:pStyle w:val="BodyText"/>
        <w:spacing w:before="7"/>
      </w:pPr>
    </w:p>
    <w:p>
      <w:pPr>
        <w:pStyle w:val="BodyText"/>
        <w:spacing w:line="242" w:lineRule="auto"/>
        <w:ind w:left="172" w:right="407"/>
        <w:jc w:val="both"/>
      </w:pPr>
      <w:r>
        <w:rPr/>
        <w:t>Os recursos oriundos da Terceira Emissão de Debêntures foram utilizados para a liquidação integral, incluindo principal,</w:t>
      </w:r>
      <w:r>
        <w:rPr>
          <w:spacing w:val="-32"/>
        </w:rPr>
        <w:t> </w:t>
      </w:r>
      <w:r>
        <w:rPr/>
        <w:t>juros</w:t>
      </w:r>
      <w:r>
        <w:rPr>
          <w:spacing w:val="-29"/>
        </w:rPr>
        <w:t> </w:t>
      </w:r>
      <w:r>
        <w:rPr/>
        <w:t>e</w:t>
      </w:r>
      <w:r>
        <w:rPr>
          <w:spacing w:val="-31"/>
        </w:rPr>
        <w:t> </w:t>
      </w:r>
      <w:r>
        <w:rPr/>
        <w:t>eventuais</w:t>
      </w:r>
      <w:r>
        <w:rPr>
          <w:spacing w:val="-29"/>
        </w:rPr>
        <w:t> </w:t>
      </w:r>
      <w:r>
        <w:rPr/>
        <w:t>encargos,</w:t>
      </w:r>
      <w:r>
        <w:rPr>
          <w:spacing w:val="-32"/>
        </w:rPr>
        <w:t> </w:t>
      </w:r>
      <w:r>
        <w:rPr/>
        <w:t>das</w:t>
      </w:r>
      <w:r>
        <w:rPr>
          <w:spacing w:val="-31"/>
        </w:rPr>
        <w:t> </w:t>
      </w:r>
      <w:r>
        <w:rPr/>
        <w:t>Cédulas</w:t>
      </w:r>
      <w:r>
        <w:rPr>
          <w:spacing w:val="-31"/>
        </w:rPr>
        <w:t> </w:t>
      </w:r>
      <w:r>
        <w:rPr/>
        <w:t>de</w:t>
      </w:r>
      <w:r>
        <w:rPr>
          <w:spacing w:val="-33"/>
        </w:rPr>
        <w:t> </w:t>
      </w:r>
      <w:r>
        <w:rPr/>
        <w:t>Crédito</w:t>
      </w:r>
      <w:r>
        <w:rPr>
          <w:spacing w:val="-32"/>
        </w:rPr>
        <w:t> </w:t>
      </w:r>
      <w:r>
        <w:rPr/>
        <w:t>Bancário</w:t>
      </w:r>
      <w:r>
        <w:rPr>
          <w:spacing w:val="-31"/>
        </w:rPr>
        <w:t> </w:t>
      </w:r>
      <w:r>
        <w:rPr/>
        <w:t>nº</w:t>
      </w:r>
      <w:r>
        <w:rPr>
          <w:spacing w:val="-31"/>
        </w:rPr>
        <w:t> </w:t>
      </w:r>
      <w:r>
        <w:rPr/>
        <w:t>601188-0,</w:t>
      </w:r>
      <w:r>
        <w:rPr>
          <w:spacing w:val="-30"/>
        </w:rPr>
        <w:t> </w:t>
      </w:r>
      <w:r>
        <w:rPr/>
        <w:t>601191-0,</w:t>
      </w:r>
      <w:r>
        <w:rPr>
          <w:spacing w:val="-31"/>
        </w:rPr>
        <w:t> </w:t>
      </w:r>
      <w:r>
        <w:rPr/>
        <w:t>601192-0,</w:t>
      </w:r>
      <w:r>
        <w:rPr>
          <w:spacing w:val="-32"/>
        </w:rPr>
        <w:t> </w:t>
      </w:r>
      <w:r>
        <w:rPr/>
        <w:t>601193-0, 601194-0,</w:t>
      </w:r>
      <w:r>
        <w:rPr>
          <w:spacing w:val="-33"/>
        </w:rPr>
        <w:t> </w:t>
      </w:r>
      <w:r>
        <w:rPr/>
        <w:t>601195-0</w:t>
      </w:r>
      <w:r>
        <w:rPr>
          <w:spacing w:val="-30"/>
        </w:rPr>
        <w:t> </w:t>
      </w:r>
      <w:r>
        <w:rPr/>
        <w:t>e</w:t>
      </w:r>
      <w:r>
        <w:rPr>
          <w:spacing w:val="-34"/>
        </w:rPr>
        <w:t> </w:t>
      </w:r>
      <w:r>
        <w:rPr/>
        <w:t>601372-0,</w:t>
      </w:r>
      <w:r>
        <w:rPr>
          <w:spacing w:val="-32"/>
        </w:rPr>
        <w:t> </w:t>
      </w:r>
      <w:r>
        <w:rPr/>
        <w:t>emitidas</w:t>
      </w:r>
      <w:r>
        <w:rPr>
          <w:spacing w:val="-32"/>
        </w:rPr>
        <w:t> </w:t>
      </w:r>
      <w:r>
        <w:rPr/>
        <w:t>pela</w:t>
      </w:r>
      <w:r>
        <w:rPr>
          <w:spacing w:val="-32"/>
        </w:rPr>
        <w:t> </w:t>
      </w:r>
      <w:r>
        <w:rPr/>
        <w:t>Empresa</w:t>
      </w:r>
      <w:r>
        <w:rPr>
          <w:spacing w:val="-30"/>
        </w:rPr>
        <w:t> </w:t>
      </w:r>
      <w:r>
        <w:rPr/>
        <w:t>em</w:t>
      </w:r>
      <w:r>
        <w:rPr>
          <w:spacing w:val="-31"/>
        </w:rPr>
        <w:t> </w:t>
      </w:r>
      <w:r>
        <w:rPr/>
        <w:t>favor</w:t>
      </w:r>
      <w:r>
        <w:rPr>
          <w:spacing w:val="-32"/>
        </w:rPr>
        <w:t> </w:t>
      </w:r>
      <w:r>
        <w:rPr/>
        <w:t>do</w:t>
      </w:r>
      <w:r>
        <w:rPr>
          <w:spacing w:val="-33"/>
        </w:rPr>
        <w:t> </w:t>
      </w:r>
      <w:r>
        <w:rPr/>
        <w:t>Banco</w:t>
      </w:r>
      <w:r>
        <w:rPr>
          <w:spacing w:val="-32"/>
        </w:rPr>
        <w:t> </w:t>
      </w:r>
      <w:r>
        <w:rPr/>
        <w:t>BBM</w:t>
      </w:r>
      <w:r>
        <w:rPr>
          <w:spacing w:val="-30"/>
        </w:rPr>
        <w:t> </w:t>
      </w:r>
      <w:r>
        <w:rPr/>
        <w:t>S.A.,</w:t>
      </w:r>
      <w:r>
        <w:rPr>
          <w:spacing w:val="-33"/>
        </w:rPr>
        <w:t> </w:t>
      </w:r>
      <w:r>
        <w:rPr/>
        <w:t>para</w:t>
      </w:r>
      <w:r>
        <w:rPr>
          <w:spacing w:val="-31"/>
        </w:rPr>
        <w:t> </w:t>
      </w:r>
      <w:r>
        <w:rPr/>
        <w:t>alongamento</w:t>
      </w:r>
      <w:r>
        <w:rPr>
          <w:spacing w:val="-33"/>
        </w:rPr>
        <w:t> </w:t>
      </w:r>
      <w:r>
        <w:rPr/>
        <w:t>da</w:t>
      </w:r>
      <w:r>
        <w:rPr>
          <w:spacing w:val="-31"/>
        </w:rPr>
        <w:t> </w:t>
      </w:r>
      <w:r>
        <w:rPr/>
        <w:t>dívida</w:t>
      </w:r>
      <w:r>
        <w:rPr>
          <w:spacing w:val="-32"/>
        </w:rPr>
        <w:t> </w:t>
      </w:r>
      <w:r>
        <w:rPr/>
        <w:t>de curto</w:t>
      </w:r>
      <w:r>
        <w:rPr>
          <w:spacing w:val="-27"/>
        </w:rPr>
        <w:t> </w:t>
      </w:r>
      <w:r>
        <w:rPr/>
        <w:t>prazo</w:t>
      </w:r>
      <w:r>
        <w:rPr>
          <w:spacing w:val="-24"/>
        </w:rPr>
        <w:t> </w:t>
      </w:r>
      <w:r>
        <w:rPr/>
        <w:t>e,</w:t>
      </w:r>
      <w:r>
        <w:rPr>
          <w:spacing w:val="-27"/>
        </w:rPr>
        <w:t> </w:t>
      </w:r>
      <w:r>
        <w:rPr/>
        <w:t>também,</w:t>
      </w:r>
      <w:r>
        <w:rPr>
          <w:spacing w:val="-25"/>
        </w:rPr>
        <w:t> </w:t>
      </w:r>
      <w:r>
        <w:rPr/>
        <w:t>para</w:t>
      </w:r>
      <w:r>
        <w:rPr>
          <w:spacing w:val="-23"/>
        </w:rPr>
        <w:t> </w:t>
      </w:r>
      <w:r>
        <w:rPr/>
        <w:t>reforço</w:t>
      </w:r>
      <w:r>
        <w:rPr>
          <w:spacing w:val="-25"/>
        </w:rPr>
        <w:t> </w:t>
      </w:r>
      <w:r>
        <w:rPr/>
        <w:t>do</w:t>
      </w:r>
      <w:r>
        <w:rPr>
          <w:spacing w:val="-26"/>
        </w:rPr>
        <w:t> </w:t>
      </w:r>
      <w:r>
        <w:rPr/>
        <w:t>capital</w:t>
      </w:r>
      <w:r>
        <w:rPr>
          <w:spacing w:val="-26"/>
        </w:rPr>
        <w:t> </w:t>
      </w:r>
      <w:r>
        <w:rPr/>
        <w:t>de</w:t>
      </w:r>
      <w:r>
        <w:rPr>
          <w:spacing w:val="-27"/>
        </w:rPr>
        <w:t> </w:t>
      </w:r>
      <w:r>
        <w:rPr/>
        <w:t>giro</w:t>
      </w:r>
      <w:r>
        <w:rPr>
          <w:spacing w:val="-25"/>
        </w:rPr>
        <w:t> </w:t>
      </w:r>
      <w:r>
        <w:rPr/>
        <w:t>e</w:t>
      </w:r>
      <w:r>
        <w:rPr>
          <w:spacing w:val="-25"/>
        </w:rPr>
        <w:t> </w:t>
      </w:r>
      <w:r>
        <w:rPr/>
        <w:t>gestão</w:t>
      </w:r>
      <w:r>
        <w:rPr>
          <w:spacing w:val="-26"/>
        </w:rPr>
        <w:t> </w:t>
      </w:r>
      <w:r>
        <w:rPr/>
        <w:t>ordinária</w:t>
      </w:r>
      <w:r>
        <w:rPr>
          <w:spacing w:val="-26"/>
        </w:rPr>
        <w:t> </w:t>
      </w:r>
      <w:r>
        <w:rPr/>
        <w:t>dos</w:t>
      </w:r>
      <w:r>
        <w:rPr>
          <w:spacing w:val="-24"/>
        </w:rPr>
        <w:t> </w:t>
      </w:r>
      <w:r>
        <w:rPr/>
        <w:t>negócios</w:t>
      </w:r>
      <w:r>
        <w:rPr>
          <w:spacing w:val="-24"/>
        </w:rPr>
        <w:t> </w:t>
      </w:r>
      <w:r>
        <w:rPr/>
        <w:t>da</w:t>
      </w:r>
      <w:r>
        <w:rPr>
          <w:spacing w:val="-26"/>
        </w:rPr>
        <w:t> </w:t>
      </w:r>
      <w:r>
        <w:rPr/>
        <w:t>Distribuidora.</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C</w:t>
      </w:r>
      <w:r>
        <w:rPr>
          <w:rFonts w:ascii="Caladea" w:hAnsi="Caladea"/>
          <w:b/>
          <w:sz w:val="18"/>
        </w:rPr>
        <w:t>OMPOSIÇÃO E VENCIMENTOS</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92"/>
        <w:gridCol w:w="1340"/>
        <w:gridCol w:w="1337"/>
        <w:gridCol w:w="1342"/>
        <w:gridCol w:w="1337"/>
        <w:gridCol w:w="1342"/>
        <w:gridCol w:w="1339"/>
      </w:tblGrid>
      <w:tr>
        <w:trPr>
          <w:trHeight w:val="347" w:hRule="atLeast"/>
        </w:trPr>
        <w:tc>
          <w:tcPr>
            <w:tcW w:w="1892" w:type="dxa"/>
            <w:vMerge w:val="restart"/>
            <w:shd w:val="clear" w:color="auto" w:fill="D9D9D9"/>
          </w:tcPr>
          <w:p>
            <w:pPr>
              <w:pStyle w:val="TableParagraph"/>
              <w:rPr>
                <w:rFonts w:ascii="Times New Roman"/>
                <w:sz w:val="18"/>
              </w:rPr>
            </w:pPr>
          </w:p>
        </w:tc>
        <w:tc>
          <w:tcPr>
            <w:tcW w:w="4019" w:type="dxa"/>
            <w:gridSpan w:val="3"/>
            <w:shd w:val="clear" w:color="auto" w:fill="D9D9D9"/>
          </w:tcPr>
          <w:p>
            <w:pPr>
              <w:pStyle w:val="TableParagraph"/>
              <w:spacing w:before="90"/>
              <w:ind w:left="1821" w:right="1815"/>
              <w:jc w:val="center"/>
              <w:rPr>
                <w:rFonts w:ascii="Caladea"/>
                <w:b/>
                <w:sz w:val="14"/>
              </w:rPr>
            </w:pPr>
            <w:r>
              <w:rPr>
                <w:rFonts w:ascii="Caladea"/>
                <w:b/>
                <w:sz w:val="14"/>
              </w:rPr>
              <w:t>2019</w:t>
            </w:r>
          </w:p>
        </w:tc>
        <w:tc>
          <w:tcPr>
            <w:tcW w:w="4018" w:type="dxa"/>
            <w:gridSpan w:val="3"/>
            <w:shd w:val="clear" w:color="auto" w:fill="D9D9D9"/>
          </w:tcPr>
          <w:p>
            <w:pPr>
              <w:pStyle w:val="TableParagraph"/>
              <w:spacing w:before="90"/>
              <w:ind w:left="1819" w:right="1817"/>
              <w:jc w:val="center"/>
              <w:rPr>
                <w:rFonts w:ascii="Caladea"/>
                <w:b/>
                <w:sz w:val="14"/>
              </w:rPr>
            </w:pPr>
            <w:r>
              <w:rPr>
                <w:rFonts w:ascii="Caladea"/>
                <w:b/>
                <w:sz w:val="14"/>
              </w:rPr>
              <w:t>2018</w:t>
            </w:r>
          </w:p>
        </w:tc>
      </w:tr>
      <w:tr>
        <w:trPr>
          <w:trHeight w:val="316" w:hRule="atLeast"/>
        </w:trPr>
        <w:tc>
          <w:tcPr>
            <w:tcW w:w="1892" w:type="dxa"/>
            <w:vMerge/>
            <w:tcBorders>
              <w:top w:val="nil"/>
            </w:tcBorders>
            <w:shd w:val="clear" w:color="auto" w:fill="D9D9D9"/>
          </w:tcPr>
          <w:p>
            <w:pPr>
              <w:rPr>
                <w:sz w:val="2"/>
                <w:szCs w:val="2"/>
              </w:rPr>
            </w:pPr>
          </w:p>
        </w:tc>
        <w:tc>
          <w:tcPr>
            <w:tcW w:w="1340" w:type="dxa"/>
            <w:shd w:val="clear" w:color="auto" w:fill="D9D9D9"/>
          </w:tcPr>
          <w:p>
            <w:pPr>
              <w:pStyle w:val="TableParagraph"/>
              <w:spacing w:before="75"/>
              <w:ind w:left="335"/>
              <w:rPr>
                <w:rFonts w:ascii="Caladea"/>
                <w:b/>
                <w:sz w:val="14"/>
              </w:rPr>
            </w:pPr>
            <w:r>
              <w:rPr>
                <w:rFonts w:ascii="Caladea"/>
                <w:b/>
                <w:sz w:val="14"/>
              </w:rPr>
              <w:t>Circulante</w:t>
            </w:r>
          </w:p>
        </w:tc>
        <w:tc>
          <w:tcPr>
            <w:tcW w:w="1337" w:type="dxa"/>
            <w:shd w:val="clear" w:color="auto" w:fill="D9D9D9"/>
          </w:tcPr>
          <w:p>
            <w:pPr>
              <w:pStyle w:val="TableParagraph"/>
              <w:spacing w:before="75"/>
              <w:ind w:left="195"/>
              <w:rPr>
                <w:rFonts w:ascii="Caladea" w:hAnsi="Caladea"/>
                <w:b/>
                <w:sz w:val="14"/>
              </w:rPr>
            </w:pPr>
            <w:r>
              <w:rPr>
                <w:rFonts w:ascii="Caladea" w:hAnsi="Caladea"/>
                <w:b/>
                <w:sz w:val="14"/>
              </w:rPr>
              <w:t>Não Circulante</w:t>
            </w:r>
          </w:p>
        </w:tc>
        <w:tc>
          <w:tcPr>
            <w:tcW w:w="1342" w:type="dxa"/>
            <w:shd w:val="clear" w:color="auto" w:fill="D9D9D9"/>
          </w:tcPr>
          <w:p>
            <w:pPr>
              <w:pStyle w:val="TableParagraph"/>
              <w:spacing w:before="75"/>
              <w:ind w:left="478" w:right="474"/>
              <w:jc w:val="center"/>
              <w:rPr>
                <w:rFonts w:ascii="Caladea"/>
                <w:b/>
                <w:sz w:val="14"/>
              </w:rPr>
            </w:pPr>
            <w:r>
              <w:rPr>
                <w:rFonts w:ascii="Caladea"/>
                <w:b/>
                <w:sz w:val="14"/>
              </w:rPr>
              <w:t>Total</w:t>
            </w:r>
          </w:p>
        </w:tc>
        <w:tc>
          <w:tcPr>
            <w:tcW w:w="1337" w:type="dxa"/>
            <w:shd w:val="clear" w:color="auto" w:fill="D9D9D9"/>
          </w:tcPr>
          <w:p>
            <w:pPr>
              <w:pStyle w:val="TableParagraph"/>
              <w:spacing w:before="75"/>
              <w:ind w:left="332"/>
              <w:rPr>
                <w:rFonts w:ascii="Caladea"/>
                <w:b/>
                <w:sz w:val="14"/>
              </w:rPr>
            </w:pPr>
            <w:r>
              <w:rPr>
                <w:rFonts w:ascii="Caladea"/>
                <w:b/>
                <w:sz w:val="14"/>
              </w:rPr>
              <w:t>Circulante</w:t>
            </w:r>
          </w:p>
        </w:tc>
        <w:tc>
          <w:tcPr>
            <w:tcW w:w="1342" w:type="dxa"/>
            <w:shd w:val="clear" w:color="auto" w:fill="D9D9D9"/>
          </w:tcPr>
          <w:p>
            <w:pPr>
              <w:pStyle w:val="TableParagraph"/>
              <w:spacing w:before="75"/>
              <w:ind w:left="197"/>
              <w:rPr>
                <w:rFonts w:ascii="Caladea" w:hAnsi="Caladea"/>
                <w:b/>
                <w:sz w:val="14"/>
              </w:rPr>
            </w:pPr>
            <w:r>
              <w:rPr>
                <w:rFonts w:ascii="Caladea" w:hAnsi="Caladea"/>
                <w:b/>
                <w:sz w:val="14"/>
              </w:rPr>
              <w:t>Não Circulante</w:t>
            </w:r>
          </w:p>
        </w:tc>
        <w:tc>
          <w:tcPr>
            <w:tcW w:w="1339" w:type="dxa"/>
            <w:shd w:val="clear" w:color="auto" w:fill="D9D9D9"/>
          </w:tcPr>
          <w:p>
            <w:pPr>
              <w:pStyle w:val="TableParagraph"/>
              <w:spacing w:before="75"/>
              <w:ind w:left="476" w:right="473"/>
              <w:jc w:val="center"/>
              <w:rPr>
                <w:rFonts w:ascii="Caladea"/>
                <w:b/>
                <w:sz w:val="14"/>
              </w:rPr>
            </w:pPr>
            <w:r>
              <w:rPr>
                <w:rFonts w:ascii="Caladea"/>
                <w:b/>
                <w:sz w:val="14"/>
              </w:rPr>
              <w:t>Total</w:t>
            </w:r>
          </w:p>
        </w:tc>
      </w:tr>
      <w:tr>
        <w:trPr>
          <w:trHeight w:val="165" w:hRule="atLeast"/>
        </w:trPr>
        <w:tc>
          <w:tcPr>
            <w:tcW w:w="1892" w:type="dxa"/>
          </w:tcPr>
          <w:p>
            <w:pPr>
              <w:pStyle w:val="TableParagraph"/>
              <w:rPr>
                <w:rFonts w:ascii="Times New Roman"/>
                <w:sz w:val="10"/>
              </w:rPr>
            </w:pPr>
          </w:p>
        </w:tc>
        <w:tc>
          <w:tcPr>
            <w:tcW w:w="1340" w:type="dxa"/>
          </w:tcPr>
          <w:p>
            <w:pPr>
              <w:pStyle w:val="TableParagraph"/>
              <w:rPr>
                <w:rFonts w:ascii="Times New Roman"/>
                <w:sz w:val="10"/>
              </w:rPr>
            </w:pPr>
          </w:p>
        </w:tc>
        <w:tc>
          <w:tcPr>
            <w:tcW w:w="1337" w:type="dxa"/>
          </w:tcPr>
          <w:p>
            <w:pPr>
              <w:pStyle w:val="TableParagraph"/>
              <w:rPr>
                <w:rFonts w:ascii="Times New Roman"/>
                <w:sz w:val="10"/>
              </w:rPr>
            </w:pPr>
          </w:p>
        </w:tc>
        <w:tc>
          <w:tcPr>
            <w:tcW w:w="1342" w:type="dxa"/>
          </w:tcPr>
          <w:p>
            <w:pPr>
              <w:pStyle w:val="TableParagraph"/>
              <w:rPr>
                <w:rFonts w:ascii="Times New Roman"/>
                <w:sz w:val="10"/>
              </w:rPr>
            </w:pPr>
          </w:p>
        </w:tc>
        <w:tc>
          <w:tcPr>
            <w:tcW w:w="1337" w:type="dxa"/>
          </w:tcPr>
          <w:p>
            <w:pPr>
              <w:pStyle w:val="TableParagraph"/>
              <w:rPr>
                <w:rFonts w:ascii="Times New Roman"/>
                <w:sz w:val="10"/>
              </w:rPr>
            </w:pPr>
          </w:p>
        </w:tc>
        <w:tc>
          <w:tcPr>
            <w:tcW w:w="1342" w:type="dxa"/>
          </w:tcPr>
          <w:p>
            <w:pPr>
              <w:pStyle w:val="TableParagraph"/>
              <w:rPr>
                <w:rFonts w:ascii="Times New Roman"/>
                <w:sz w:val="10"/>
              </w:rPr>
            </w:pPr>
          </w:p>
        </w:tc>
        <w:tc>
          <w:tcPr>
            <w:tcW w:w="1339" w:type="dxa"/>
          </w:tcPr>
          <w:p>
            <w:pPr>
              <w:pStyle w:val="TableParagraph"/>
              <w:rPr>
                <w:rFonts w:ascii="Times New Roman"/>
                <w:sz w:val="10"/>
              </w:rPr>
            </w:pPr>
          </w:p>
        </w:tc>
      </w:tr>
      <w:tr>
        <w:trPr>
          <w:trHeight w:val="165" w:hRule="atLeast"/>
        </w:trPr>
        <w:tc>
          <w:tcPr>
            <w:tcW w:w="1892" w:type="dxa"/>
          </w:tcPr>
          <w:p>
            <w:pPr>
              <w:pStyle w:val="TableParagraph"/>
              <w:spacing w:line="145" w:lineRule="exact"/>
              <w:ind w:left="72"/>
              <w:rPr>
                <w:rFonts w:ascii="Caladea"/>
                <w:b/>
                <w:sz w:val="14"/>
              </w:rPr>
            </w:pPr>
            <w:r>
              <w:rPr>
                <w:rFonts w:ascii="Caladea"/>
                <w:b/>
                <w:sz w:val="14"/>
              </w:rPr>
              <w:t>Saldo Principal</w:t>
            </w:r>
          </w:p>
        </w:tc>
        <w:tc>
          <w:tcPr>
            <w:tcW w:w="1340" w:type="dxa"/>
          </w:tcPr>
          <w:p>
            <w:pPr>
              <w:pStyle w:val="TableParagraph"/>
              <w:spacing w:line="145" w:lineRule="exact"/>
              <w:ind w:right="57"/>
              <w:jc w:val="right"/>
              <w:rPr>
                <w:sz w:val="14"/>
              </w:rPr>
            </w:pPr>
            <w:r>
              <w:rPr>
                <w:w w:val="95"/>
                <w:sz w:val="14"/>
              </w:rPr>
              <w:t>27.075</w:t>
            </w:r>
          </w:p>
        </w:tc>
        <w:tc>
          <w:tcPr>
            <w:tcW w:w="1337" w:type="dxa"/>
          </w:tcPr>
          <w:p>
            <w:pPr>
              <w:pStyle w:val="TableParagraph"/>
              <w:spacing w:line="145" w:lineRule="exact"/>
              <w:ind w:right="56"/>
              <w:jc w:val="right"/>
              <w:rPr>
                <w:sz w:val="14"/>
              </w:rPr>
            </w:pPr>
            <w:r>
              <w:rPr>
                <w:w w:val="95"/>
                <w:sz w:val="14"/>
              </w:rPr>
              <w:t>188.889</w:t>
            </w:r>
          </w:p>
        </w:tc>
        <w:tc>
          <w:tcPr>
            <w:tcW w:w="1342" w:type="dxa"/>
          </w:tcPr>
          <w:p>
            <w:pPr>
              <w:pStyle w:val="TableParagraph"/>
              <w:spacing w:line="145" w:lineRule="exact"/>
              <w:ind w:right="58"/>
              <w:jc w:val="right"/>
              <w:rPr>
                <w:rFonts w:ascii="Caladea"/>
                <w:b/>
                <w:sz w:val="14"/>
              </w:rPr>
            </w:pPr>
            <w:r>
              <w:rPr>
                <w:rFonts w:ascii="Caladea"/>
                <w:b/>
                <w:w w:val="95"/>
                <w:sz w:val="14"/>
              </w:rPr>
              <w:t>215.964</w:t>
            </w:r>
          </w:p>
        </w:tc>
        <w:tc>
          <w:tcPr>
            <w:tcW w:w="1337" w:type="dxa"/>
          </w:tcPr>
          <w:p>
            <w:pPr>
              <w:pStyle w:val="TableParagraph"/>
              <w:spacing w:line="145" w:lineRule="exact"/>
              <w:ind w:right="58"/>
              <w:jc w:val="right"/>
              <w:rPr>
                <w:sz w:val="14"/>
              </w:rPr>
            </w:pPr>
            <w:r>
              <w:rPr>
                <w:w w:val="95"/>
                <w:sz w:val="14"/>
              </w:rPr>
              <w:t>247.767</w:t>
            </w:r>
          </w:p>
        </w:tc>
        <w:tc>
          <w:tcPr>
            <w:tcW w:w="1342" w:type="dxa"/>
          </w:tcPr>
          <w:p>
            <w:pPr>
              <w:pStyle w:val="TableParagraph"/>
              <w:spacing w:line="145" w:lineRule="exact"/>
              <w:ind w:right="58"/>
              <w:jc w:val="right"/>
              <w:rPr>
                <w:sz w:val="14"/>
              </w:rPr>
            </w:pPr>
            <w:r>
              <w:rPr>
                <w:w w:val="95"/>
                <w:sz w:val="14"/>
              </w:rPr>
              <w:t>15.806</w:t>
            </w:r>
          </w:p>
        </w:tc>
        <w:tc>
          <w:tcPr>
            <w:tcW w:w="1339" w:type="dxa"/>
          </w:tcPr>
          <w:p>
            <w:pPr>
              <w:pStyle w:val="TableParagraph"/>
              <w:spacing w:line="145" w:lineRule="exact"/>
              <w:ind w:right="58"/>
              <w:jc w:val="right"/>
              <w:rPr>
                <w:rFonts w:ascii="Caladea"/>
                <w:b/>
                <w:sz w:val="14"/>
              </w:rPr>
            </w:pPr>
            <w:r>
              <w:rPr>
                <w:rFonts w:ascii="Caladea"/>
                <w:b/>
                <w:w w:val="95"/>
                <w:sz w:val="14"/>
              </w:rPr>
              <w:t>263.573</w:t>
            </w:r>
          </w:p>
        </w:tc>
      </w:tr>
      <w:tr>
        <w:trPr>
          <w:trHeight w:val="162" w:hRule="atLeast"/>
        </w:trPr>
        <w:tc>
          <w:tcPr>
            <w:tcW w:w="1892" w:type="dxa"/>
          </w:tcPr>
          <w:p>
            <w:pPr>
              <w:pStyle w:val="TableParagraph"/>
              <w:spacing w:line="142" w:lineRule="exact"/>
              <w:ind w:left="72"/>
              <w:rPr>
                <w:sz w:val="14"/>
              </w:rPr>
            </w:pPr>
            <w:r>
              <w:rPr>
                <w:sz w:val="14"/>
              </w:rPr>
              <w:t>Encargos</w:t>
            </w:r>
          </w:p>
        </w:tc>
        <w:tc>
          <w:tcPr>
            <w:tcW w:w="1340" w:type="dxa"/>
          </w:tcPr>
          <w:p>
            <w:pPr>
              <w:pStyle w:val="TableParagraph"/>
              <w:spacing w:line="142" w:lineRule="exact"/>
              <w:ind w:right="58"/>
              <w:jc w:val="right"/>
              <w:rPr>
                <w:sz w:val="14"/>
              </w:rPr>
            </w:pPr>
            <w:r>
              <w:rPr>
                <w:w w:val="105"/>
                <w:sz w:val="14"/>
              </w:rPr>
              <w:t>635</w:t>
            </w:r>
          </w:p>
        </w:tc>
        <w:tc>
          <w:tcPr>
            <w:tcW w:w="1337" w:type="dxa"/>
          </w:tcPr>
          <w:p>
            <w:pPr>
              <w:pStyle w:val="TableParagraph"/>
              <w:rPr>
                <w:rFonts w:ascii="Times New Roman"/>
                <w:sz w:val="10"/>
              </w:rPr>
            </w:pPr>
          </w:p>
        </w:tc>
        <w:tc>
          <w:tcPr>
            <w:tcW w:w="1342" w:type="dxa"/>
          </w:tcPr>
          <w:p>
            <w:pPr>
              <w:pStyle w:val="TableParagraph"/>
              <w:spacing w:line="143" w:lineRule="exact"/>
              <w:ind w:right="57"/>
              <w:jc w:val="right"/>
              <w:rPr>
                <w:rFonts w:ascii="Caladea"/>
                <w:b/>
                <w:sz w:val="14"/>
              </w:rPr>
            </w:pPr>
            <w:r>
              <w:rPr>
                <w:rFonts w:ascii="Caladea"/>
                <w:b/>
                <w:sz w:val="14"/>
              </w:rPr>
              <w:t>635</w:t>
            </w:r>
          </w:p>
        </w:tc>
        <w:tc>
          <w:tcPr>
            <w:tcW w:w="1337" w:type="dxa"/>
          </w:tcPr>
          <w:p>
            <w:pPr>
              <w:pStyle w:val="TableParagraph"/>
              <w:spacing w:line="142" w:lineRule="exact"/>
              <w:ind w:right="58"/>
              <w:jc w:val="right"/>
              <w:rPr>
                <w:sz w:val="14"/>
              </w:rPr>
            </w:pPr>
            <w:r>
              <w:rPr>
                <w:w w:val="105"/>
                <w:sz w:val="14"/>
              </w:rPr>
              <w:t>443</w:t>
            </w:r>
          </w:p>
        </w:tc>
        <w:tc>
          <w:tcPr>
            <w:tcW w:w="1342" w:type="dxa"/>
          </w:tcPr>
          <w:p>
            <w:pPr>
              <w:pStyle w:val="TableParagraph"/>
              <w:rPr>
                <w:rFonts w:ascii="Times New Roman"/>
                <w:sz w:val="10"/>
              </w:rPr>
            </w:pPr>
          </w:p>
        </w:tc>
        <w:tc>
          <w:tcPr>
            <w:tcW w:w="1339" w:type="dxa"/>
          </w:tcPr>
          <w:p>
            <w:pPr>
              <w:pStyle w:val="TableParagraph"/>
              <w:spacing w:line="143" w:lineRule="exact"/>
              <w:ind w:right="57"/>
              <w:jc w:val="right"/>
              <w:rPr>
                <w:rFonts w:ascii="Caladea"/>
                <w:b/>
                <w:sz w:val="14"/>
              </w:rPr>
            </w:pPr>
            <w:r>
              <w:rPr>
                <w:rFonts w:ascii="Caladea"/>
                <w:b/>
                <w:sz w:val="14"/>
              </w:rPr>
              <w:t>443</w:t>
            </w:r>
          </w:p>
        </w:tc>
      </w:tr>
      <w:tr>
        <w:trPr>
          <w:trHeight w:val="191" w:hRule="atLeast"/>
        </w:trPr>
        <w:tc>
          <w:tcPr>
            <w:tcW w:w="1892" w:type="dxa"/>
          </w:tcPr>
          <w:p>
            <w:pPr>
              <w:pStyle w:val="TableParagraph"/>
              <w:spacing w:line="145" w:lineRule="exact" w:before="26"/>
              <w:ind w:left="72"/>
              <w:rPr>
                <w:sz w:val="14"/>
              </w:rPr>
            </w:pPr>
            <w:r>
              <w:rPr>
                <w:sz w:val="14"/>
              </w:rPr>
              <w:t>Custos da Emissão</w:t>
            </w:r>
          </w:p>
        </w:tc>
        <w:tc>
          <w:tcPr>
            <w:tcW w:w="1340" w:type="dxa"/>
          </w:tcPr>
          <w:p>
            <w:pPr>
              <w:pStyle w:val="TableParagraph"/>
              <w:spacing w:line="157" w:lineRule="exact" w:before="14"/>
              <w:ind w:right="60"/>
              <w:jc w:val="right"/>
              <w:rPr>
                <w:sz w:val="14"/>
              </w:rPr>
            </w:pPr>
            <w:r>
              <w:rPr>
                <w:sz w:val="14"/>
              </w:rPr>
              <w:t>(896)</w:t>
            </w:r>
          </w:p>
        </w:tc>
        <w:tc>
          <w:tcPr>
            <w:tcW w:w="1337" w:type="dxa"/>
          </w:tcPr>
          <w:p>
            <w:pPr>
              <w:pStyle w:val="TableParagraph"/>
              <w:spacing w:line="157" w:lineRule="exact" w:before="14"/>
              <w:ind w:right="58"/>
              <w:jc w:val="right"/>
              <w:rPr>
                <w:sz w:val="14"/>
              </w:rPr>
            </w:pPr>
            <w:r>
              <w:rPr>
                <w:w w:val="95"/>
                <w:sz w:val="14"/>
              </w:rPr>
              <w:t>(1.893)</w:t>
            </w:r>
          </w:p>
        </w:tc>
        <w:tc>
          <w:tcPr>
            <w:tcW w:w="1342" w:type="dxa"/>
          </w:tcPr>
          <w:p>
            <w:pPr>
              <w:pStyle w:val="TableParagraph"/>
              <w:spacing w:line="158" w:lineRule="exact" w:before="13"/>
              <w:ind w:right="61"/>
              <w:jc w:val="right"/>
              <w:rPr>
                <w:rFonts w:ascii="Caladea"/>
                <w:b/>
                <w:sz w:val="14"/>
              </w:rPr>
            </w:pPr>
            <w:r>
              <w:rPr>
                <w:rFonts w:ascii="Caladea"/>
                <w:b/>
                <w:sz w:val="14"/>
              </w:rPr>
              <w:t>(2.789)</w:t>
            </w:r>
          </w:p>
        </w:tc>
        <w:tc>
          <w:tcPr>
            <w:tcW w:w="1337" w:type="dxa"/>
          </w:tcPr>
          <w:p>
            <w:pPr>
              <w:pStyle w:val="TableParagraph"/>
              <w:spacing w:line="157" w:lineRule="exact" w:before="14"/>
              <w:ind w:right="61"/>
              <w:jc w:val="right"/>
              <w:rPr>
                <w:sz w:val="14"/>
              </w:rPr>
            </w:pPr>
            <w:r>
              <w:rPr>
                <w:sz w:val="14"/>
              </w:rPr>
              <w:t>(432)</w:t>
            </w:r>
          </w:p>
        </w:tc>
        <w:tc>
          <w:tcPr>
            <w:tcW w:w="1342" w:type="dxa"/>
          </w:tcPr>
          <w:p>
            <w:pPr>
              <w:pStyle w:val="TableParagraph"/>
              <w:spacing w:line="157" w:lineRule="exact" w:before="14"/>
              <w:ind w:right="61"/>
              <w:jc w:val="right"/>
              <w:rPr>
                <w:sz w:val="14"/>
              </w:rPr>
            </w:pPr>
            <w:r>
              <w:rPr>
                <w:sz w:val="14"/>
              </w:rPr>
              <w:t>(787)</w:t>
            </w:r>
          </w:p>
        </w:tc>
        <w:tc>
          <w:tcPr>
            <w:tcW w:w="1339" w:type="dxa"/>
          </w:tcPr>
          <w:p>
            <w:pPr>
              <w:pStyle w:val="TableParagraph"/>
              <w:spacing w:line="158" w:lineRule="exact" w:before="13"/>
              <w:ind w:right="63"/>
              <w:jc w:val="right"/>
              <w:rPr>
                <w:rFonts w:ascii="Caladea"/>
                <w:b/>
                <w:sz w:val="14"/>
              </w:rPr>
            </w:pPr>
            <w:r>
              <w:rPr>
                <w:rFonts w:ascii="Caladea"/>
                <w:b/>
                <w:sz w:val="14"/>
              </w:rPr>
              <w:t>(1.219)</w:t>
            </w:r>
          </w:p>
        </w:tc>
      </w:tr>
      <w:tr>
        <w:trPr>
          <w:trHeight w:val="165" w:hRule="atLeast"/>
        </w:trPr>
        <w:tc>
          <w:tcPr>
            <w:tcW w:w="1892" w:type="dxa"/>
          </w:tcPr>
          <w:p>
            <w:pPr>
              <w:pStyle w:val="TableParagraph"/>
              <w:spacing w:line="145" w:lineRule="exact"/>
              <w:ind w:left="72"/>
              <w:rPr>
                <w:rFonts w:ascii="Caladea"/>
                <w:b/>
                <w:sz w:val="14"/>
              </w:rPr>
            </w:pPr>
            <w:r>
              <w:rPr>
                <w:rFonts w:ascii="Caladea"/>
                <w:b/>
                <w:sz w:val="14"/>
              </w:rPr>
              <w:t>Saldo Total</w:t>
            </w:r>
          </w:p>
        </w:tc>
        <w:tc>
          <w:tcPr>
            <w:tcW w:w="1340" w:type="dxa"/>
          </w:tcPr>
          <w:p>
            <w:pPr>
              <w:pStyle w:val="TableParagraph"/>
              <w:spacing w:line="145" w:lineRule="exact"/>
              <w:ind w:right="57"/>
              <w:jc w:val="right"/>
              <w:rPr>
                <w:rFonts w:ascii="Caladea"/>
                <w:b/>
                <w:sz w:val="14"/>
              </w:rPr>
            </w:pPr>
            <w:r>
              <w:rPr>
                <w:rFonts w:ascii="Caladea"/>
                <w:b/>
                <w:sz w:val="14"/>
              </w:rPr>
              <w:t>26.814</w:t>
            </w:r>
          </w:p>
        </w:tc>
        <w:tc>
          <w:tcPr>
            <w:tcW w:w="1337" w:type="dxa"/>
          </w:tcPr>
          <w:p>
            <w:pPr>
              <w:pStyle w:val="TableParagraph"/>
              <w:spacing w:line="145" w:lineRule="exact"/>
              <w:ind w:right="56"/>
              <w:jc w:val="right"/>
              <w:rPr>
                <w:rFonts w:ascii="Caladea"/>
                <w:b/>
                <w:sz w:val="14"/>
              </w:rPr>
            </w:pPr>
            <w:r>
              <w:rPr>
                <w:rFonts w:ascii="Caladea"/>
                <w:b/>
                <w:w w:val="95"/>
                <w:sz w:val="14"/>
              </w:rPr>
              <w:t>186.996</w:t>
            </w:r>
          </w:p>
        </w:tc>
        <w:tc>
          <w:tcPr>
            <w:tcW w:w="1342" w:type="dxa"/>
          </w:tcPr>
          <w:p>
            <w:pPr>
              <w:pStyle w:val="TableParagraph"/>
              <w:spacing w:line="145" w:lineRule="exact"/>
              <w:ind w:right="57"/>
              <w:jc w:val="right"/>
              <w:rPr>
                <w:rFonts w:ascii="Caladea"/>
                <w:b/>
                <w:sz w:val="14"/>
              </w:rPr>
            </w:pPr>
            <w:r>
              <w:rPr>
                <w:rFonts w:ascii="Caladea"/>
                <w:b/>
                <w:w w:val="95"/>
                <w:sz w:val="14"/>
              </w:rPr>
              <w:t>213.810</w:t>
            </w:r>
          </w:p>
        </w:tc>
        <w:tc>
          <w:tcPr>
            <w:tcW w:w="1337" w:type="dxa"/>
          </w:tcPr>
          <w:p>
            <w:pPr>
              <w:pStyle w:val="TableParagraph"/>
              <w:spacing w:line="145" w:lineRule="exact"/>
              <w:ind w:right="58"/>
              <w:jc w:val="right"/>
              <w:rPr>
                <w:rFonts w:ascii="Caladea"/>
                <w:b/>
                <w:sz w:val="14"/>
              </w:rPr>
            </w:pPr>
            <w:r>
              <w:rPr>
                <w:rFonts w:ascii="Caladea"/>
                <w:b/>
                <w:w w:val="95"/>
                <w:sz w:val="14"/>
              </w:rPr>
              <w:t>247.778</w:t>
            </w:r>
          </w:p>
        </w:tc>
        <w:tc>
          <w:tcPr>
            <w:tcW w:w="1342" w:type="dxa"/>
          </w:tcPr>
          <w:p>
            <w:pPr>
              <w:pStyle w:val="TableParagraph"/>
              <w:spacing w:line="145" w:lineRule="exact"/>
              <w:ind w:right="57"/>
              <w:jc w:val="right"/>
              <w:rPr>
                <w:rFonts w:ascii="Caladea"/>
                <w:b/>
                <w:sz w:val="14"/>
              </w:rPr>
            </w:pPr>
            <w:r>
              <w:rPr>
                <w:rFonts w:ascii="Caladea"/>
                <w:b/>
                <w:sz w:val="14"/>
              </w:rPr>
              <w:t>15.019</w:t>
            </w:r>
          </w:p>
        </w:tc>
        <w:tc>
          <w:tcPr>
            <w:tcW w:w="1339" w:type="dxa"/>
          </w:tcPr>
          <w:p>
            <w:pPr>
              <w:pStyle w:val="TableParagraph"/>
              <w:spacing w:line="145" w:lineRule="exact"/>
              <w:ind w:right="58"/>
              <w:jc w:val="right"/>
              <w:rPr>
                <w:rFonts w:ascii="Caladea"/>
                <w:b/>
                <w:sz w:val="14"/>
              </w:rPr>
            </w:pPr>
            <w:r>
              <w:rPr>
                <w:rFonts w:ascii="Caladea"/>
                <w:b/>
                <w:w w:val="95"/>
                <w:sz w:val="14"/>
              </w:rPr>
              <w:t>262.797</w:t>
            </w:r>
          </w:p>
        </w:tc>
      </w:tr>
    </w:tbl>
    <w:p>
      <w:pPr>
        <w:pStyle w:val="BodyText"/>
        <w:spacing w:before="9"/>
        <w:rPr>
          <w:rFonts w:ascii="Caladea"/>
          <w:b/>
        </w:rPr>
      </w:pPr>
    </w:p>
    <w:p>
      <w:pPr>
        <w:pStyle w:val="BodyText"/>
        <w:spacing w:before="1"/>
        <w:ind w:left="172"/>
        <w:jc w:val="both"/>
      </w:pPr>
      <w:r>
        <w:rPr/>
        <w:t>O saldo de debêntures registrado no passivo tem seus vencimentos assim programados:</w:t>
      </w:r>
    </w:p>
    <w:p>
      <w:pPr>
        <w:pStyle w:val="BodyText"/>
        <w:spacing w:before="3" w:after="1"/>
      </w:pPr>
    </w:p>
    <w:tbl>
      <w:tblPr>
        <w:tblW w:w="0" w:type="auto"/>
        <w:jc w:val="left"/>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120"/>
        <w:gridCol w:w="1568"/>
        <w:gridCol w:w="1570"/>
        <w:gridCol w:w="1570"/>
        <w:gridCol w:w="1571"/>
        <w:gridCol w:w="1568"/>
      </w:tblGrid>
      <w:tr>
        <w:trPr>
          <w:trHeight w:val="273" w:hRule="atLeast"/>
        </w:trPr>
        <w:tc>
          <w:tcPr>
            <w:tcW w:w="2120" w:type="dxa"/>
            <w:shd w:val="clear" w:color="auto" w:fill="D9D9D9"/>
          </w:tcPr>
          <w:p>
            <w:pPr>
              <w:pStyle w:val="TableParagraph"/>
              <w:rPr>
                <w:rFonts w:ascii="Times New Roman"/>
                <w:sz w:val="18"/>
              </w:rPr>
            </w:pPr>
          </w:p>
        </w:tc>
        <w:tc>
          <w:tcPr>
            <w:tcW w:w="1568" w:type="dxa"/>
            <w:shd w:val="clear" w:color="auto" w:fill="D9D9D9"/>
          </w:tcPr>
          <w:p>
            <w:pPr>
              <w:pStyle w:val="TableParagraph"/>
              <w:spacing w:before="54"/>
              <w:ind w:left="590" w:right="586"/>
              <w:jc w:val="center"/>
              <w:rPr>
                <w:rFonts w:ascii="Caladea"/>
                <w:b/>
                <w:sz w:val="14"/>
              </w:rPr>
            </w:pPr>
            <w:r>
              <w:rPr>
                <w:rFonts w:ascii="Caladea"/>
                <w:b/>
                <w:sz w:val="14"/>
              </w:rPr>
              <w:t>2020</w:t>
            </w:r>
          </w:p>
        </w:tc>
        <w:tc>
          <w:tcPr>
            <w:tcW w:w="1570" w:type="dxa"/>
            <w:shd w:val="clear" w:color="auto" w:fill="D9D9D9"/>
          </w:tcPr>
          <w:p>
            <w:pPr>
              <w:pStyle w:val="TableParagraph"/>
              <w:spacing w:before="54"/>
              <w:ind w:left="597" w:right="591"/>
              <w:jc w:val="center"/>
              <w:rPr>
                <w:rFonts w:ascii="Caladea"/>
                <w:b/>
                <w:sz w:val="14"/>
              </w:rPr>
            </w:pPr>
            <w:r>
              <w:rPr>
                <w:rFonts w:ascii="Caladea"/>
                <w:b/>
                <w:sz w:val="14"/>
              </w:rPr>
              <w:t>2021</w:t>
            </w:r>
          </w:p>
        </w:tc>
        <w:tc>
          <w:tcPr>
            <w:tcW w:w="1570" w:type="dxa"/>
            <w:shd w:val="clear" w:color="auto" w:fill="D9D9D9"/>
          </w:tcPr>
          <w:p>
            <w:pPr>
              <w:pStyle w:val="TableParagraph"/>
              <w:spacing w:before="54"/>
              <w:ind w:left="597" w:right="591"/>
              <w:jc w:val="center"/>
              <w:rPr>
                <w:rFonts w:ascii="Caladea"/>
                <w:b/>
                <w:sz w:val="14"/>
              </w:rPr>
            </w:pPr>
            <w:r>
              <w:rPr>
                <w:rFonts w:ascii="Caladea"/>
                <w:b/>
                <w:sz w:val="14"/>
              </w:rPr>
              <w:t>2022</w:t>
            </w:r>
          </w:p>
        </w:tc>
        <w:tc>
          <w:tcPr>
            <w:tcW w:w="1571" w:type="dxa"/>
            <w:shd w:val="clear" w:color="auto" w:fill="D9D9D9"/>
          </w:tcPr>
          <w:p>
            <w:pPr>
              <w:pStyle w:val="TableParagraph"/>
              <w:spacing w:before="54"/>
              <w:ind w:left="553" w:right="552"/>
              <w:jc w:val="center"/>
              <w:rPr>
                <w:rFonts w:ascii="Caladea"/>
                <w:b/>
                <w:sz w:val="14"/>
              </w:rPr>
            </w:pPr>
            <w:r>
              <w:rPr>
                <w:rFonts w:ascii="Caladea"/>
                <w:b/>
                <w:sz w:val="14"/>
              </w:rPr>
              <w:t>2023+</w:t>
            </w:r>
          </w:p>
        </w:tc>
        <w:tc>
          <w:tcPr>
            <w:tcW w:w="1568" w:type="dxa"/>
            <w:shd w:val="clear" w:color="auto" w:fill="D9D9D9"/>
          </w:tcPr>
          <w:p>
            <w:pPr>
              <w:pStyle w:val="TableParagraph"/>
              <w:spacing w:before="54"/>
              <w:ind w:left="590" w:right="588"/>
              <w:jc w:val="center"/>
              <w:rPr>
                <w:rFonts w:ascii="Caladea"/>
                <w:b/>
                <w:sz w:val="14"/>
              </w:rPr>
            </w:pPr>
            <w:r>
              <w:rPr>
                <w:rFonts w:ascii="Caladea"/>
                <w:b/>
                <w:sz w:val="14"/>
              </w:rPr>
              <w:t>Total</w:t>
            </w:r>
          </w:p>
        </w:tc>
      </w:tr>
      <w:tr>
        <w:trPr>
          <w:trHeight w:val="232" w:hRule="atLeast"/>
        </w:trPr>
        <w:tc>
          <w:tcPr>
            <w:tcW w:w="2120" w:type="dxa"/>
          </w:tcPr>
          <w:p>
            <w:pPr>
              <w:pStyle w:val="TableParagraph"/>
              <w:spacing w:before="34"/>
              <w:ind w:left="72"/>
              <w:rPr>
                <w:sz w:val="14"/>
              </w:rPr>
            </w:pPr>
            <w:r>
              <w:rPr>
                <w:w w:val="105"/>
                <w:sz w:val="14"/>
              </w:rPr>
              <w:t>CDI + 6,8%</w:t>
            </w:r>
          </w:p>
        </w:tc>
        <w:tc>
          <w:tcPr>
            <w:tcW w:w="1568" w:type="dxa"/>
          </w:tcPr>
          <w:p>
            <w:pPr>
              <w:pStyle w:val="TableParagraph"/>
              <w:spacing w:before="34"/>
              <w:ind w:right="57"/>
              <w:jc w:val="right"/>
              <w:rPr>
                <w:sz w:val="14"/>
              </w:rPr>
            </w:pPr>
            <w:r>
              <w:rPr>
                <w:w w:val="95"/>
                <w:sz w:val="14"/>
              </w:rPr>
              <w:t>26.815</w:t>
            </w:r>
          </w:p>
        </w:tc>
        <w:tc>
          <w:tcPr>
            <w:tcW w:w="1570" w:type="dxa"/>
          </w:tcPr>
          <w:p>
            <w:pPr>
              <w:pStyle w:val="TableParagraph"/>
              <w:spacing w:before="34"/>
              <w:ind w:right="58"/>
              <w:jc w:val="right"/>
              <w:rPr>
                <w:sz w:val="14"/>
              </w:rPr>
            </w:pPr>
            <w:r>
              <w:rPr>
                <w:w w:val="95"/>
                <w:sz w:val="14"/>
              </w:rPr>
              <w:t>66.667</w:t>
            </w:r>
          </w:p>
        </w:tc>
        <w:tc>
          <w:tcPr>
            <w:tcW w:w="1570" w:type="dxa"/>
          </w:tcPr>
          <w:p>
            <w:pPr>
              <w:pStyle w:val="TableParagraph"/>
              <w:spacing w:before="34"/>
              <w:ind w:right="58"/>
              <w:jc w:val="right"/>
              <w:rPr>
                <w:sz w:val="14"/>
              </w:rPr>
            </w:pPr>
            <w:r>
              <w:rPr>
                <w:w w:val="95"/>
                <w:sz w:val="14"/>
              </w:rPr>
              <w:t>66.667</w:t>
            </w:r>
          </w:p>
        </w:tc>
        <w:tc>
          <w:tcPr>
            <w:tcW w:w="1571" w:type="dxa"/>
          </w:tcPr>
          <w:p>
            <w:pPr>
              <w:pStyle w:val="TableParagraph"/>
              <w:spacing w:before="34"/>
              <w:ind w:right="61"/>
              <w:jc w:val="right"/>
              <w:rPr>
                <w:sz w:val="14"/>
              </w:rPr>
            </w:pPr>
            <w:r>
              <w:rPr>
                <w:w w:val="95"/>
                <w:sz w:val="14"/>
              </w:rPr>
              <w:t>53.662</w:t>
            </w:r>
          </w:p>
        </w:tc>
        <w:tc>
          <w:tcPr>
            <w:tcW w:w="1568" w:type="dxa"/>
          </w:tcPr>
          <w:p>
            <w:pPr>
              <w:pStyle w:val="TableParagraph"/>
              <w:spacing w:before="32"/>
              <w:ind w:left="970"/>
              <w:rPr>
                <w:rFonts w:ascii="Caladea"/>
                <w:b/>
                <w:sz w:val="14"/>
              </w:rPr>
            </w:pPr>
            <w:r>
              <w:rPr>
                <w:rFonts w:ascii="Caladea"/>
                <w:b/>
                <w:sz w:val="14"/>
              </w:rPr>
              <w:t>213.811</w:t>
            </w:r>
          </w:p>
        </w:tc>
      </w:tr>
    </w:tbl>
    <w:p>
      <w:pPr>
        <w:pStyle w:val="BodyText"/>
        <w:spacing w:before="9"/>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b/>
          <w:sz w:val="18"/>
        </w:rPr>
      </w:pPr>
      <w:r>
        <w:rPr>
          <w:rFonts w:ascii="Caladea"/>
          <w:b/>
          <w:sz w:val="22"/>
        </w:rPr>
        <w:t>G</w:t>
      </w:r>
      <w:r>
        <w:rPr>
          <w:rFonts w:ascii="Caladea"/>
          <w:b/>
          <w:sz w:val="18"/>
        </w:rPr>
        <w:t>ARANTIAS</w:t>
      </w:r>
    </w:p>
    <w:p>
      <w:pPr>
        <w:pStyle w:val="BodyText"/>
        <w:spacing w:before="10"/>
        <w:rPr>
          <w:rFonts w:ascii="Caladea"/>
          <w:b/>
          <w:sz w:val="23"/>
        </w:rPr>
      </w:pPr>
    </w:p>
    <w:p>
      <w:pPr>
        <w:pStyle w:val="BodyText"/>
        <w:spacing w:line="242" w:lineRule="auto"/>
        <w:ind w:left="172" w:right="417"/>
        <w:jc w:val="both"/>
      </w:pPr>
      <w:r>
        <w:rPr/>
        <w:t>Os</w:t>
      </w:r>
      <w:r>
        <w:rPr>
          <w:spacing w:val="-38"/>
        </w:rPr>
        <w:t> </w:t>
      </w:r>
      <w:r>
        <w:rPr/>
        <w:t>pagamentos</w:t>
      </w:r>
      <w:r>
        <w:rPr>
          <w:spacing w:val="-38"/>
        </w:rPr>
        <w:t> </w:t>
      </w:r>
      <w:r>
        <w:rPr/>
        <w:t>das</w:t>
      </w:r>
      <w:r>
        <w:rPr>
          <w:spacing w:val="-37"/>
        </w:rPr>
        <w:t> </w:t>
      </w:r>
      <w:r>
        <w:rPr/>
        <w:t>obrigações</w:t>
      </w:r>
      <w:r>
        <w:rPr>
          <w:spacing w:val="-38"/>
        </w:rPr>
        <w:t> </w:t>
      </w:r>
      <w:r>
        <w:rPr/>
        <w:t>contratuais</w:t>
      </w:r>
      <w:r>
        <w:rPr>
          <w:spacing w:val="-38"/>
        </w:rPr>
        <w:t> </w:t>
      </w:r>
      <w:r>
        <w:rPr/>
        <w:t>das</w:t>
      </w:r>
      <w:r>
        <w:rPr>
          <w:spacing w:val="-36"/>
        </w:rPr>
        <w:t> </w:t>
      </w:r>
      <w:r>
        <w:rPr/>
        <w:t>debêntures</w:t>
      </w:r>
      <w:r>
        <w:rPr>
          <w:spacing w:val="-36"/>
        </w:rPr>
        <w:t> </w:t>
      </w:r>
      <w:r>
        <w:rPr/>
        <w:t>emitidas</w:t>
      </w:r>
      <w:r>
        <w:rPr>
          <w:spacing w:val="-38"/>
        </w:rPr>
        <w:t> </w:t>
      </w:r>
      <w:r>
        <w:rPr/>
        <w:t>são</w:t>
      </w:r>
      <w:r>
        <w:rPr>
          <w:spacing w:val="-37"/>
        </w:rPr>
        <w:t> </w:t>
      </w:r>
      <w:r>
        <w:rPr/>
        <w:t>garantidos</w:t>
      </w:r>
      <w:r>
        <w:rPr>
          <w:spacing w:val="-37"/>
        </w:rPr>
        <w:t> </w:t>
      </w:r>
      <w:r>
        <w:rPr/>
        <w:t>pela</w:t>
      </w:r>
      <w:r>
        <w:rPr>
          <w:spacing w:val="-37"/>
        </w:rPr>
        <w:t> </w:t>
      </w:r>
      <w:r>
        <w:rPr/>
        <w:t>cessão</w:t>
      </w:r>
      <w:r>
        <w:rPr>
          <w:spacing w:val="-37"/>
        </w:rPr>
        <w:t> </w:t>
      </w:r>
      <w:r>
        <w:rPr/>
        <w:t>fiduciária</w:t>
      </w:r>
      <w:r>
        <w:rPr>
          <w:spacing w:val="-38"/>
        </w:rPr>
        <w:t> </w:t>
      </w:r>
      <w:r>
        <w:rPr/>
        <w:t>de</w:t>
      </w:r>
      <w:r>
        <w:rPr>
          <w:spacing w:val="-37"/>
        </w:rPr>
        <w:t> </w:t>
      </w:r>
      <w:r>
        <w:rPr/>
        <w:t>direitos creditórios, presentes e futuros, vincendos, provenientes de faturas de fornecimento de energia, no período compreendido</w:t>
      </w:r>
      <w:r>
        <w:rPr>
          <w:spacing w:val="-41"/>
        </w:rPr>
        <w:t> </w:t>
      </w:r>
      <w:r>
        <w:rPr/>
        <w:t>entre</w:t>
      </w:r>
      <w:r>
        <w:rPr>
          <w:spacing w:val="-42"/>
        </w:rPr>
        <w:t> </w:t>
      </w:r>
      <w:r>
        <w:rPr/>
        <w:t>a</w:t>
      </w:r>
      <w:r>
        <w:rPr>
          <w:spacing w:val="-41"/>
        </w:rPr>
        <w:t> </w:t>
      </w:r>
      <w:r>
        <w:rPr/>
        <w:t>data</w:t>
      </w:r>
      <w:r>
        <w:rPr>
          <w:spacing w:val="-40"/>
        </w:rPr>
        <w:t> </w:t>
      </w:r>
      <w:r>
        <w:rPr/>
        <w:t>da</w:t>
      </w:r>
      <w:r>
        <w:rPr>
          <w:spacing w:val="-41"/>
        </w:rPr>
        <w:t> </w:t>
      </w:r>
      <w:r>
        <w:rPr/>
        <w:t>primeira</w:t>
      </w:r>
      <w:r>
        <w:rPr>
          <w:spacing w:val="-41"/>
        </w:rPr>
        <w:t> </w:t>
      </w:r>
      <w:r>
        <w:rPr/>
        <w:t>integralização</w:t>
      </w:r>
      <w:r>
        <w:rPr>
          <w:spacing w:val="-42"/>
        </w:rPr>
        <w:t> </w:t>
      </w:r>
      <w:r>
        <w:rPr/>
        <w:t>das</w:t>
      </w:r>
      <w:r>
        <w:rPr>
          <w:spacing w:val="-41"/>
        </w:rPr>
        <w:t> </w:t>
      </w:r>
      <w:r>
        <w:rPr/>
        <w:t>debêntures</w:t>
      </w:r>
      <w:r>
        <w:rPr>
          <w:spacing w:val="-41"/>
        </w:rPr>
        <w:t> </w:t>
      </w:r>
      <w:r>
        <w:rPr/>
        <w:t>até</w:t>
      </w:r>
      <w:r>
        <w:rPr>
          <w:spacing w:val="-41"/>
        </w:rPr>
        <w:t> </w:t>
      </w:r>
      <w:r>
        <w:rPr/>
        <w:t>sua</w:t>
      </w:r>
      <w:r>
        <w:rPr>
          <w:spacing w:val="-40"/>
        </w:rPr>
        <w:t> </w:t>
      </w:r>
      <w:r>
        <w:rPr/>
        <w:t>liquidação</w:t>
      </w:r>
      <w:r>
        <w:rPr>
          <w:spacing w:val="-42"/>
        </w:rPr>
        <w:t> </w:t>
      </w:r>
      <w:r>
        <w:rPr/>
        <w:t>total</w:t>
      </w:r>
      <w:r>
        <w:rPr>
          <w:spacing w:val="-41"/>
        </w:rPr>
        <w:t> </w:t>
      </w:r>
      <w:r>
        <w:rPr/>
        <w:t>e</w:t>
      </w:r>
      <w:r>
        <w:rPr>
          <w:spacing w:val="-42"/>
        </w:rPr>
        <w:t> </w:t>
      </w:r>
      <w:r>
        <w:rPr/>
        <w:t>dos</w:t>
      </w:r>
      <w:r>
        <w:rPr>
          <w:spacing w:val="-41"/>
        </w:rPr>
        <w:t> </w:t>
      </w:r>
      <w:r>
        <w:rPr/>
        <w:t>vencimentos</w:t>
      </w:r>
      <w:r>
        <w:rPr>
          <w:spacing w:val="-40"/>
        </w:rPr>
        <w:t> </w:t>
      </w:r>
      <w:r>
        <w:rPr/>
        <w:t>das demais obrigações</w:t>
      </w:r>
      <w:r>
        <w:rPr>
          <w:spacing w:val="-36"/>
        </w:rPr>
        <w:t> </w:t>
      </w:r>
      <w:r>
        <w:rPr/>
        <w:t>acessórias.</w:t>
      </w:r>
    </w:p>
    <w:p>
      <w:pPr>
        <w:pStyle w:val="BodyText"/>
        <w:spacing w:line="242" w:lineRule="auto" w:before="120"/>
        <w:ind w:left="172" w:right="404"/>
        <w:jc w:val="both"/>
      </w:pPr>
      <w:r>
        <w:rPr/>
        <w:t>A</w:t>
      </w:r>
      <w:r>
        <w:rPr>
          <w:spacing w:val="-23"/>
        </w:rPr>
        <w:t> </w:t>
      </w:r>
      <w:r>
        <w:rPr/>
        <w:t>primeira</w:t>
      </w:r>
      <w:r>
        <w:rPr>
          <w:spacing w:val="-21"/>
        </w:rPr>
        <w:t> </w:t>
      </w:r>
      <w:r>
        <w:rPr/>
        <w:t>emissão</w:t>
      </w:r>
      <w:r>
        <w:rPr>
          <w:spacing w:val="-22"/>
        </w:rPr>
        <w:t> </w:t>
      </w:r>
      <w:r>
        <w:rPr/>
        <w:t>de</w:t>
      </w:r>
      <w:r>
        <w:rPr>
          <w:spacing w:val="-24"/>
        </w:rPr>
        <w:t> </w:t>
      </w:r>
      <w:r>
        <w:rPr/>
        <w:t>debêntures</w:t>
      </w:r>
      <w:r>
        <w:rPr>
          <w:spacing w:val="-23"/>
        </w:rPr>
        <w:t> </w:t>
      </w:r>
      <w:r>
        <w:rPr/>
        <w:t>possui</w:t>
      </w:r>
      <w:r>
        <w:rPr>
          <w:spacing w:val="-23"/>
        </w:rPr>
        <w:t> </w:t>
      </w:r>
      <w:r>
        <w:rPr/>
        <w:t>ainda</w:t>
      </w:r>
      <w:r>
        <w:rPr>
          <w:spacing w:val="-22"/>
        </w:rPr>
        <w:t> </w:t>
      </w:r>
      <w:r>
        <w:rPr/>
        <w:t>como</w:t>
      </w:r>
      <w:r>
        <w:rPr>
          <w:spacing w:val="-24"/>
        </w:rPr>
        <w:t> </w:t>
      </w:r>
      <w:r>
        <w:rPr/>
        <w:t>garantia</w:t>
      </w:r>
      <w:r>
        <w:rPr>
          <w:spacing w:val="-22"/>
        </w:rPr>
        <w:t> </w:t>
      </w:r>
      <w:r>
        <w:rPr/>
        <w:t>a</w:t>
      </w:r>
      <w:r>
        <w:rPr>
          <w:spacing w:val="-22"/>
        </w:rPr>
        <w:t> </w:t>
      </w:r>
      <w:r>
        <w:rPr/>
        <w:t>alienação</w:t>
      </w:r>
      <w:r>
        <w:rPr>
          <w:spacing w:val="-23"/>
        </w:rPr>
        <w:t> </w:t>
      </w:r>
      <w:r>
        <w:rPr/>
        <w:t>fiduciária</w:t>
      </w:r>
      <w:r>
        <w:rPr>
          <w:spacing w:val="-22"/>
        </w:rPr>
        <w:t> </w:t>
      </w:r>
      <w:r>
        <w:rPr/>
        <w:t>do</w:t>
      </w:r>
      <w:r>
        <w:rPr>
          <w:spacing w:val="-23"/>
        </w:rPr>
        <w:t> </w:t>
      </w:r>
      <w:r>
        <w:rPr/>
        <w:t>imóvel</w:t>
      </w:r>
      <w:r>
        <w:rPr>
          <w:spacing w:val="-22"/>
        </w:rPr>
        <w:t> </w:t>
      </w:r>
      <w:r>
        <w:rPr/>
        <w:t>localizado</w:t>
      </w:r>
      <w:r>
        <w:rPr>
          <w:spacing w:val="-23"/>
        </w:rPr>
        <w:t> </w:t>
      </w:r>
      <w:r>
        <w:rPr/>
        <w:t>no</w:t>
      </w:r>
      <w:r>
        <w:rPr>
          <w:spacing w:val="-23"/>
        </w:rPr>
        <w:t> </w:t>
      </w:r>
      <w:r>
        <w:rPr>
          <w:spacing w:val="2"/>
        </w:rPr>
        <w:t>Setor </w:t>
      </w:r>
      <w:r>
        <w:rPr/>
        <w:t>Noroeste SAI Norte PR 155/1/DF, atualmente classificado como ativo não circulante </w:t>
      </w:r>
      <w:r>
        <w:rPr>
          <w:w w:val="105"/>
        </w:rPr>
        <w:t>– </w:t>
      </w:r>
      <w:r>
        <w:rPr/>
        <w:t>Propriedade para Investimento,</w:t>
      </w:r>
      <w:r>
        <w:rPr>
          <w:spacing w:val="-25"/>
        </w:rPr>
        <w:t> </w:t>
      </w:r>
      <w:r>
        <w:rPr/>
        <w:t>cujo</w:t>
      </w:r>
      <w:r>
        <w:rPr>
          <w:spacing w:val="-26"/>
        </w:rPr>
        <w:t> </w:t>
      </w:r>
      <w:r>
        <w:rPr/>
        <w:t>valor</w:t>
      </w:r>
      <w:r>
        <w:rPr>
          <w:spacing w:val="-25"/>
        </w:rPr>
        <w:t> </w:t>
      </w:r>
      <w:r>
        <w:rPr/>
        <w:t>de</w:t>
      </w:r>
      <w:r>
        <w:rPr>
          <w:spacing w:val="-27"/>
        </w:rPr>
        <w:t> </w:t>
      </w:r>
      <w:r>
        <w:rPr/>
        <w:t>liquidação</w:t>
      </w:r>
      <w:r>
        <w:rPr>
          <w:spacing w:val="-26"/>
        </w:rPr>
        <w:t> </w:t>
      </w:r>
      <w:r>
        <w:rPr/>
        <w:t>forçada</w:t>
      </w:r>
      <w:r>
        <w:rPr>
          <w:spacing w:val="-26"/>
        </w:rPr>
        <w:t> </w:t>
      </w:r>
      <w:r>
        <w:rPr/>
        <w:t>foi</w:t>
      </w:r>
      <w:r>
        <w:rPr>
          <w:spacing w:val="-24"/>
        </w:rPr>
        <w:t> </w:t>
      </w:r>
      <w:r>
        <w:rPr/>
        <w:t>equivalente</w:t>
      </w:r>
      <w:r>
        <w:rPr>
          <w:spacing w:val="-28"/>
        </w:rPr>
        <w:t> </w:t>
      </w:r>
      <w:r>
        <w:rPr/>
        <w:t>a</w:t>
      </w:r>
      <w:r>
        <w:rPr>
          <w:spacing w:val="-23"/>
        </w:rPr>
        <w:t> </w:t>
      </w:r>
      <w:r>
        <w:rPr/>
        <w:t>150%</w:t>
      </w:r>
      <w:r>
        <w:rPr>
          <w:spacing w:val="-24"/>
        </w:rPr>
        <w:t> </w:t>
      </w:r>
      <w:r>
        <w:rPr/>
        <w:t>do</w:t>
      </w:r>
      <w:r>
        <w:rPr>
          <w:spacing w:val="-26"/>
        </w:rPr>
        <w:t> </w:t>
      </w:r>
      <w:r>
        <w:rPr/>
        <w:t>saldo</w:t>
      </w:r>
      <w:r>
        <w:rPr>
          <w:spacing w:val="-26"/>
        </w:rPr>
        <w:t> </w:t>
      </w:r>
      <w:r>
        <w:rPr/>
        <w:t>principal</w:t>
      </w:r>
      <w:r>
        <w:rPr>
          <w:spacing w:val="-26"/>
        </w:rPr>
        <w:t> </w:t>
      </w:r>
      <w:r>
        <w:rPr/>
        <w:t>das</w:t>
      </w:r>
      <w:r>
        <w:rPr>
          <w:spacing w:val="-25"/>
        </w:rPr>
        <w:t> </w:t>
      </w:r>
      <w:r>
        <w:rPr/>
        <w:t>debêntures.</w:t>
      </w:r>
    </w:p>
    <w:p>
      <w:pPr>
        <w:pStyle w:val="BodyText"/>
        <w:spacing w:before="8"/>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22"/>
        </w:rPr>
      </w:pPr>
      <w:r>
        <w:rPr>
          <w:rFonts w:ascii="Caladea" w:hAnsi="Caladea"/>
          <w:b/>
          <w:sz w:val="22"/>
        </w:rPr>
        <w:t>C</w:t>
      </w:r>
      <w:r>
        <w:rPr>
          <w:rFonts w:ascii="Caladea" w:hAnsi="Caladea"/>
          <w:b/>
          <w:sz w:val="18"/>
        </w:rPr>
        <w:t>ONDIÇÕES RESTRITIVAS</w:t>
      </w:r>
      <w:r>
        <w:rPr>
          <w:rFonts w:ascii="Caladea" w:hAnsi="Caladea"/>
          <w:b/>
          <w:spacing w:val="-2"/>
          <w:sz w:val="18"/>
        </w:rPr>
        <w:t> </w:t>
      </w:r>
      <w:r>
        <w:rPr>
          <w:rFonts w:ascii="Caladea" w:hAnsi="Caladea"/>
          <w:b/>
          <w:sz w:val="22"/>
        </w:rPr>
        <w:t>(</w:t>
      </w:r>
      <w:r>
        <w:rPr>
          <w:rFonts w:ascii="Times New Roman" w:hAnsi="Times New Roman"/>
          <w:b/>
          <w:i/>
          <w:sz w:val="22"/>
        </w:rPr>
        <w:t>C</w:t>
      </w:r>
      <w:r>
        <w:rPr>
          <w:rFonts w:ascii="Times New Roman" w:hAnsi="Times New Roman"/>
          <w:b/>
          <w:i/>
          <w:sz w:val="18"/>
        </w:rPr>
        <w:t>OVENANTS</w:t>
      </w:r>
      <w:r>
        <w:rPr>
          <w:rFonts w:ascii="Caladea" w:hAnsi="Caladea"/>
          <w:b/>
          <w:sz w:val="22"/>
        </w:rPr>
        <w:t>)</w:t>
      </w:r>
    </w:p>
    <w:p>
      <w:pPr>
        <w:pStyle w:val="BodyText"/>
        <w:spacing w:before="10"/>
        <w:rPr>
          <w:rFonts w:ascii="Caladea"/>
          <w:b/>
          <w:sz w:val="23"/>
        </w:rPr>
      </w:pPr>
    </w:p>
    <w:p>
      <w:pPr>
        <w:pStyle w:val="BodyText"/>
        <w:spacing w:line="242" w:lineRule="auto"/>
        <w:ind w:left="172" w:right="415"/>
        <w:jc w:val="both"/>
      </w:pPr>
      <w:r>
        <w:rPr/>
        <w:t>Os</w:t>
      </w:r>
      <w:r>
        <w:rPr>
          <w:spacing w:val="-38"/>
        </w:rPr>
        <w:t> </w:t>
      </w:r>
      <w:r>
        <w:rPr/>
        <w:t>pagamentos</w:t>
      </w:r>
      <w:r>
        <w:rPr>
          <w:spacing w:val="-37"/>
        </w:rPr>
        <w:t> </w:t>
      </w:r>
      <w:r>
        <w:rPr/>
        <w:t>das</w:t>
      </w:r>
      <w:r>
        <w:rPr>
          <w:spacing w:val="-37"/>
        </w:rPr>
        <w:t> </w:t>
      </w:r>
      <w:r>
        <w:rPr/>
        <w:t>obrigações</w:t>
      </w:r>
      <w:r>
        <w:rPr>
          <w:spacing w:val="-38"/>
        </w:rPr>
        <w:t> </w:t>
      </w:r>
      <w:r>
        <w:rPr/>
        <w:t>contratuais</w:t>
      </w:r>
      <w:r>
        <w:rPr>
          <w:spacing w:val="-37"/>
        </w:rPr>
        <w:t> </w:t>
      </w:r>
      <w:r>
        <w:rPr/>
        <w:t>das</w:t>
      </w:r>
      <w:r>
        <w:rPr>
          <w:spacing w:val="-37"/>
        </w:rPr>
        <w:t> </w:t>
      </w:r>
      <w:r>
        <w:rPr/>
        <w:t>debêntures</w:t>
      </w:r>
      <w:r>
        <w:rPr>
          <w:spacing w:val="-36"/>
        </w:rPr>
        <w:t> </w:t>
      </w:r>
      <w:r>
        <w:rPr/>
        <w:t>emitidas</w:t>
      </w:r>
      <w:r>
        <w:rPr>
          <w:spacing w:val="-37"/>
        </w:rPr>
        <w:t> </w:t>
      </w:r>
      <w:r>
        <w:rPr/>
        <w:t>são</w:t>
      </w:r>
      <w:r>
        <w:rPr>
          <w:spacing w:val="-38"/>
        </w:rPr>
        <w:t> </w:t>
      </w:r>
      <w:r>
        <w:rPr/>
        <w:t>garantidos</w:t>
      </w:r>
      <w:r>
        <w:rPr>
          <w:spacing w:val="-36"/>
        </w:rPr>
        <w:t> </w:t>
      </w:r>
      <w:r>
        <w:rPr/>
        <w:t>pela</w:t>
      </w:r>
      <w:r>
        <w:rPr>
          <w:spacing w:val="-37"/>
        </w:rPr>
        <w:t> </w:t>
      </w:r>
      <w:r>
        <w:rPr/>
        <w:t>cessão</w:t>
      </w:r>
      <w:r>
        <w:rPr>
          <w:spacing w:val="-38"/>
        </w:rPr>
        <w:t> </w:t>
      </w:r>
      <w:r>
        <w:rPr/>
        <w:t>fiduciária</w:t>
      </w:r>
      <w:r>
        <w:rPr>
          <w:spacing w:val="-37"/>
        </w:rPr>
        <w:t> </w:t>
      </w:r>
      <w:r>
        <w:rPr/>
        <w:t>de</w:t>
      </w:r>
      <w:r>
        <w:rPr>
          <w:spacing w:val="-37"/>
        </w:rPr>
        <w:t> </w:t>
      </w:r>
      <w:r>
        <w:rPr/>
        <w:t>direitos creditórios, presentes e futuros, vincendos, provenientes de faturas de fornecimento de energia, no período compreendido</w:t>
      </w:r>
      <w:r>
        <w:rPr>
          <w:spacing w:val="-41"/>
        </w:rPr>
        <w:t> </w:t>
      </w:r>
      <w:r>
        <w:rPr/>
        <w:t>entre</w:t>
      </w:r>
      <w:r>
        <w:rPr>
          <w:spacing w:val="-42"/>
        </w:rPr>
        <w:t> </w:t>
      </w:r>
      <w:r>
        <w:rPr/>
        <w:t>a</w:t>
      </w:r>
      <w:r>
        <w:rPr>
          <w:spacing w:val="-41"/>
        </w:rPr>
        <w:t> </w:t>
      </w:r>
      <w:r>
        <w:rPr/>
        <w:t>data</w:t>
      </w:r>
      <w:r>
        <w:rPr>
          <w:spacing w:val="-40"/>
        </w:rPr>
        <w:t> </w:t>
      </w:r>
      <w:r>
        <w:rPr/>
        <w:t>da</w:t>
      </w:r>
      <w:r>
        <w:rPr>
          <w:spacing w:val="-40"/>
        </w:rPr>
        <w:t> </w:t>
      </w:r>
      <w:r>
        <w:rPr/>
        <w:t>primeira</w:t>
      </w:r>
      <w:r>
        <w:rPr>
          <w:spacing w:val="-41"/>
        </w:rPr>
        <w:t> </w:t>
      </w:r>
      <w:r>
        <w:rPr/>
        <w:t>integralização</w:t>
      </w:r>
      <w:r>
        <w:rPr>
          <w:spacing w:val="-42"/>
        </w:rPr>
        <w:t> </w:t>
      </w:r>
      <w:r>
        <w:rPr/>
        <w:t>das</w:t>
      </w:r>
      <w:r>
        <w:rPr>
          <w:spacing w:val="-41"/>
        </w:rPr>
        <w:t> </w:t>
      </w:r>
      <w:r>
        <w:rPr/>
        <w:t>debêntures</w:t>
      </w:r>
      <w:r>
        <w:rPr>
          <w:spacing w:val="-40"/>
        </w:rPr>
        <w:t> </w:t>
      </w:r>
      <w:r>
        <w:rPr/>
        <w:t>até</w:t>
      </w:r>
      <w:r>
        <w:rPr>
          <w:spacing w:val="-41"/>
        </w:rPr>
        <w:t> </w:t>
      </w:r>
      <w:r>
        <w:rPr/>
        <w:t>sua</w:t>
      </w:r>
      <w:r>
        <w:rPr>
          <w:spacing w:val="-41"/>
        </w:rPr>
        <w:t> </w:t>
      </w:r>
      <w:r>
        <w:rPr/>
        <w:t>liquidação</w:t>
      </w:r>
      <w:r>
        <w:rPr>
          <w:spacing w:val="-41"/>
        </w:rPr>
        <w:t> </w:t>
      </w:r>
      <w:r>
        <w:rPr/>
        <w:t>total</w:t>
      </w:r>
      <w:r>
        <w:rPr>
          <w:spacing w:val="-41"/>
        </w:rPr>
        <w:t> </w:t>
      </w:r>
      <w:r>
        <w:rPr/>
        <w:t>e</w:t>
      </w:r>
      <w:r>
        <w:rPr>
          <w:spacing w:val="-42"/>
        </w:rPr>
        <w:t> </w:t>
      </w:r>
      <w:r>
        <w:rPr/>
        <w:t>dos</w:t>
      </w:r>
      <w:r>
        <w:rPr>
          <w:spacing w:val="-41"/>
        </w:rPr>
        <w:t> </w:t>
      </w:r>
      <w:r>
        <w:rPr/>
        <w:t>vencimentos</w:t>
      </w:r>
      <w:r>
        <w:rPr>
          <w:spacing w:val="-40"/>
        </w:rPr>
        <w:t> </w:t>
      </w:r>
      <w:r>
        <w:rPr/>
        <w:t>das demais obrigações acessórias, tais como: circulação de valores para garantia mínima mensal; e aditamento obrigatório,</w:t>
      </w:r>
      <w:r>
        <w:rPr>
          <w:spacing w:val="-32"/>
        </w:rPr>
        <w:t> </w:t>
      </w:r>
      <w:r>
        <w:rPr/>
        <w:t>para</w:t>
      </w:r>
      <w:r>
        <w:rPr>
          <w:spacing w:val="-31"/>
        </w:rPr>
        <w:t> </w:t>
      </w:r>
      <w:r>
        <w:rPr/>
        <w:t>a</w:t>
      </w:r>
      <w:r>
        <w:rPr>
          <w:spacing w:val="-32"/>
        </w:rPr>
        <w:t> </w:t>
      </w:r>
      <w:r>
        <w:rPr/>
        <w:t>3ª</w:t>
      </w:r>
      <w:r>
        <w:rPr>
          <w:spacing w:val="-29"/>
        </w:rPr>
        <w:t> </w:t>
      </w:r>
      <w:r>
        <w:rPr/>
        <w:t>emissão</w:t>
      </w:r>
      <w:r>
        <w:rPr>
          <w:spacing w:val="-31"/>
        </w:rPr>
        <w:t> </w:t>
      </w:r>
      <w:r>
        <w:rPr/>
        <w:t>de</w:t>
      </w:r>
      <w:r>
        <w:rPr>
          <w:spacing w:val="-32"/>
        </w:rPr>
        <w:t> </w:t>
      </w:r>
      <w:r>
        <w:rPr/>
        <w:t>Debêntures,</w:t>
      </w:r>
      <w:r>
        <w:rPr>
          <w:spacing w:val="-31"/>
        </w:rPr>
        <w:t> </w:t>
      </w:r>
      <w:r>
        <w:rPr/>
        <w:t>para</w:t>
      </w:r>
      <w:r>
        <w:rPr>
          <w:spacing w:val="-31"/>
        </w:rPr>
        <w:t> </w:t>
      </w:r>
      <w:r>
        <w:rPr/>
        <w:t>atualização</w:t>
      </w:r>
      <w:r>
        <w:rPr>
          <w:spacing w:val="-32"/>
        </w:rPr>
        <w:t> </w:t>
      </w:r>
      <w:r>
        <w:rPr/>
        <w:t>das</w:t>
      </w:r>
      <w:r>
        <w:rPr>
          <w:spacing w:val="-31"/>
        </w:rPr>
        <w:t> </w:t>
      </w:r>
      <w:r>
        <w:rPr/>
        <w:t>Unidades</w:t>
      </w:r>
      <w:r>
        <w:rPr>
          <w:spacing w:val="-31"/>
        </w:rPr>
        <w:t> </w:t>
      </w:r>
      <w:r>
        <w:rPr/>
        <w:t>Consumidoras</w:t>
      </w:r>
      <w:r>
        <w:rPr>
          <w:spacing w:val="-32"/>
        </w:rPr>
        <w:t> </w:t>
      </w:r>
      <w:r>
        <w:rPr/>
        <w:t>dadas</w:t>
      </w:r>
      <w:r>
        <w:rPr>
          <w:spacing w:val="-31"/>
        </w:rPr>
        <w:t> </w:t>
      </w:r>
      <w:r>
        <w:rPr/>
        <w:t>em</w:t>
      </w:r>
      <w:r>
        <w:rPr>
          <w:spacing w:val="-32"/>
        </w:rPr>
        <w:t> </w:t>
      </w:r>
      <w:r>
        <w:rPr/>
        <w:t>garantias.</w:t>
      </w:r>
    </w:p>
    <w:p>
      <w:pPr>
        <w:pStyle w:val="BodyText"/>
        <w:spacing w:line="242" w:lineRule="auto" w:before="119"/>
        <w:ind w:left="172" w:right="412"/>
        <w:jc w:val="both"/>
      </w:pPr>
      <w:r>
        <w:rPr/>
        <w:t>Em março de 2019, a CEB DIS recebeu correspondência da Oliveira Trust, Agente Fiduciário da 3º emissão de debêntures,</w:t>
      </w:r>
      <w:r>
        <w:rPr>
          <w:spacing w:val="-32"/>
        </w:rPr>
        <w:t> </w:t>
      </w:r>
      <w:r>
        <w:rPr/>
        <w:t>notificando</w:t>
      </w:r>
      <w:r>
        <w:rPr>
          <w:spacing w:val="-33"/>
        </w:rPr>
        <w:t> </w:t>
      </w:r>
      <w:r>
        <w:rPr/>
        <w:t>a</w:t>
      </w:r>
      <w:r>
        <w:rPr>
          <w:spacing w:val="-33"/>
        </w:rPr>
        <w:t> </w:t>
      </w:r>
      <w:r>
        <w:rPr/>
        <w:t>CEB</w:t>
      </w:r>
      <w:r>
        <w:rPr>
          <w:spacing w:val="-33"/>
        </w:rPr>
        <w:t> </w:t>
      </w:r>
      <w:r>
        <w:rPr/>
        <w:t>DIS</w:t>
      </w:r>
      <w:r>
        <w:rPr>
          <w:spacing w:val="-33"/>
        </w:rPr>
        <w:t> </w:t>
      </w:r>
      <w:r>
        <w:rPr/>
        <w:t>por</w:t>
      </w:r>
      <w:r>
        <w:rPr>
          <w:spacing w:val="-32"/>
        </w:rPr>
        <w:t> </w:t>
      </w:r>
      <w:r>
        <w:rPr/>
        <w:t>descumprimento</w:t>
      </w:r>
      <w:r>
        <w:rPr>
          <w:spacing w:val="-32"/>
        </w:rPr>
        <w:t> </w:t>
      </w:r>
      <w:r>
        <w:rPr/>
        <w:t>das</w:t>
      </w:r>
      <w:r>
        <w:rPr>
          <w:spacing w:val="-33"/>
        </w:rPr>
        <w:t> </w:t>
      </w:r>
      <w:r>
        <w:rPr/>
        <w:t>obrigações</w:t>
      </w:r>
      <w:r>
        <w:rPr>
          <w:spacing w:val="-31"/>
        </w:rPr>
        <w:t> </w:t>
      </w:r>
      <w:r>
        <w:rPr/>
        <w:t>não</w:t>
      </w:r>
      <w:r>
        <w:rPr>
          <w:spacing w:val="-31"/>
        </w:rPr>
        <w:t> </w:t>
      </w:r>
      <w:r>
        <w:rPr/>
        <w:t>pecuniárias,</w:t>
      </w:r>
      <w:r>
        <w:rPr>
          <w:spacing w:val="-33"/>
        </w:rPr>
        <w:t> </w:t>
      </w:r>
      <w:r>
        <w:rPr/>
        <w:t>e</w:t>
      </w:r>
      <w:r>
        <w:rPr>
          <w:spacing w:val="-33"/>
        </w:rPr>
        <w:t> </w:t>
      </w:r>
      <w:r>
        <w:rPr/>
        <w:t>solicitando</w:t>
      </w:r>
      <w:r>
        <w:rPr>
          <w:spacing w:val="-31"/>
        </w:rPr>
        <w:t> </w:t>
      </w:r>
      <w:r>
        <w:rPr/>
        <w:t>o</w:t>
      </w:r>
      <w:r>
        <w:rPr>
          <w:spacing w:val="-34"/>
        </w:rPr>
        <w:t> </w:t>
      </w:r>
      <w:r>
        <w:rPr/>
        <w:t>vencimento antecipado da</w:t>
      </w:r>
      <w:r>
        <w:rPr>
          <w:spacing w:val="-35"/>
        </w:rPr>
        <w:t> </w:t>
      </w:r>
      <w:r>
        <w:rPr/>
        <w:t>operação.</w:t>
      </w:r>
    </w:p>
    <w:p>
      <w:pPr>
        <w:pStyle w:val="BodyText"/>
        <w:spacing w:line="242" w:lineRule="auto" w:before="119"/>
        <w:ind w:left="172" w:right="417"/>
        <w:jc w:val="both"/>
      </w:pPr>
      <w:r>
        <w:rPr/>
        <w:t>No</w:t>
      </w:r>
      <w:r>
        <w:rPr>
          <w:spacing w:val="-18"/>
        </w:rPr>
        <w:t> </w:t>
      </w:r>
      <w:r>
        <w:rPr/>
        <w:t>entanto,</w:t>
      </w:r>
      <w:r>
        <w:rPr>
          <w:spacing w:val="-16"/>
        </w:rPr>
        <w:t> </w:t>
      </w:r>
      <w:r>
        <w:rPr/>
        <w:t>no</w:t>
      </w:r>
      <w:r>
        <w:rPr>
          <w:spacing w:val="-17"/>
        </w:rPr>
        <w:t> </w:t>
      </w:r>
      <w:r>
        <w:rPr/>
        <w:t>segundo</w:t>
      </w:r>
      <w:r>
        <w:rPr>
          <w:spacing w:val="-18"/>
        </w:rPr>
        <w:t> </w:t>
      </w:r>
      <w:r>
        <w:rPr/>
        <w:t>trimestre</w:t>
      </w:r>
      <w:r>
        <w:rPr>
          <w:spacing w:val="-16"/>
        </w:rPr>
        <w:t> </w:t>
      </w:r>
      <w:r>
        <w:rPr/>
        <w:t>de</w:t>
      </w:r>
      <w:r>
        <w:rPr>
          <w:spacing w:val="-17"/>
        </w:rPr>
        <w:t> </w:t>
      </w:r>
      <w:r>
        <w:rPr/>
        <w:t>2019,</w:t>
      </w:r>
      <w:r>
        <w:rPr>
          <w:spacing w:val="-18"/>
        </w:rPr>
        <w:t> </w:t>
      </w:r>
      <w:r>
        <w:rPr/>
        <w:t>foi</w:t>
      </w:r>
      <w:r>
        <w:rPr>
          <w:spacing w:val="-17"/>
        </w:rPr>
        <w:t> </w:t>
      </w:r>
      <w:r>
        <w:rPr/>
        <w:t>realizada</w:t>
      </w:r>
      <w:r>
        <w:rPr>
          <w:spacing w:val="-17"/>
        </w:rPr>
        <w:t> </w:t>
      </w:r>
      <w:r>
        <w:rPr/>
        <w:t>Assembleia</w:t>
      </w:r>
      <w:r>
        <w:rPr>
          <w:spacing w:val="-16"/>
        </w:rPr>
        <w:t> </w:t>
      </w:r>
      <w:r>
        <w:rPr/>
        <w:t>Geral</w:t>
      </w:r>
      <w:r>
        <w:rPr>
          <w:spacing w:val="-17"/>
        </w:rPr>
        <w:t> </w:t>
      </w:r>
      <w:r>
        <w:rPr/>
        <w:t>de</w:t>
      </w:r>
      <w:r>
        <w:rPr>
          <w:spacing w:val="-18"/>
        </w:rPr>
        <w:t> </w:t>
      </w:r>
      <w:r>
        <w:rPr/>
        <w:t>Debenturistas</w:t>
      </w:r>
      <w:r>
        <w:rPr>
          <w:spacing w:val="-18"/>
        </w:rPr>
        <w:t> </w:t>
      </w:r>
      <w:r>
        <w:rPr/>
        <w:t>(AGD)</w:t>
      </w:r>
      <w:r>
        <w:rPr>
          <w:spacing w:val="-17"/>
        </w:rPr>
        <w:t> </w:t>
      </w:r>
      <w:r>
        <w:rPr/>
        <w:t>para</w:t>
      </w:r>
      <w:r>
        <w:rPr>
          <w:spacing w:val="-17"/>
        </w:rPr>
        <w:t> </w:t>
      </w:r>
      <w:r>
        <w:rPr/>
        <w:t>deliberar </w:t>
      </w:r>
      <w:r>
        <w:rPr>
          <w:w w:val="105"/>
        </w:rPr>
        <w:t>s</w:t>
      </w:r>
      <w:r>
        <w:rPr>
          <w:w w:val="98"/>
        </w:rPr>
        <w:t>o</w:t>
      </w:r>
      <w:r>
        <w:rPr>
          <w:spacing w:val="-2"/>
          <w:w w:val="98"/>
        </w:rPr>
        <w:t>b</w:t>
      </w:r>
      <w:r>
        <w:rPr>
          <w:spacing w:val="1"/>
          <w:w w:val="105"/>
        </w:rPr>
        <w:t>r</w:t>
      </w:r>
      <w:r>
        <w:rPr>
          <w:w w:val="89"/>
        </w:rPr>
        <w:t>e</w:t>
      </w:r>
      <w:r>
        <w:rPr>
          <w:spacing w:val="-2"/>
        </w:rPr>
        <w:t> </w:t>
      </w:r>
      <w:r>
        <w:rPr>
          <w:w w:val="92"/>
        </w:rPr>
        <w:t>a</w:t>
      </w:r>
      <w:r>
        <w:rPr>
          <w:spacing w:val="2"/>
        </w:rPr>
        <w:t> </w:t>
      </w:r>
      <w:r>
        <w:rPr>
          <w:spacing w:val="-1"/>
          <w:w w:val="101"/>
        </w:rPr>
        <w:t>n</w:t>
      </w:r>
      <w:r>
        <w:rPr>
          <w:w w:val="93"/>
        </w:rPr>
        <w:t>ot</w:t>
      </w:r>
      <w:r>
        <w:rPr>
          <w:spacing w:val="1"/>
          <w:w w:val="93"/>
        </w:rPr>
        <w:t>i</w:t>
      </w:r>
      <w:r>
        <w:rPr>
          <w:w w:val="89"/>
        </w:rPr>
        <w:t>fic</w:t>
      </w:r>
      <w:r>
        <w:rPr>
          <w:spacing w:val="1"/>
          <w:w w:val="89"/>
        </w:rPr>
        <w:t>a</w:t>
      </w:r>
      <w:r>
        <w:rPr>
          <w:w w:val="88"/>
        </w:rPr>
        <w:t>ç</w:t>
      </w:r>
      <w:r>
        <w:rPr>
          <w:w w:val="92"/>
        </w:rPr>
        <w:t>ã</w:t>
      </w:r>
      <w:r>
        <w:rPr>
          <w:w w:val="98"/>
        </w:rPr>
        <w:t>o</w:t>
      </w:r>
      <w:r>
        <w:rPr>
          <w:spacing w:val="-1"/>
        </w:rPr>
        <w:t> </w:t>
      </w:r>
      <w:r>
        <w:rPr>
          <w:w w:val="98"/>
        </w:rPr>
        <w:t>do</w:t>
      </w:r>
      <w:r>
        <w:rPr>
          <w:spacing w:val="-1"/>
        </w:rPr>
        <w:t> </w:t>
      </w:r>
      <w:r>
        <w:rPr>
          <w:w w:val="105"/>
        </w:rPr>
        <w:t>A</w:t>
      </w:r>
      <w:r>
        <w:rPr>
          <w:spacing w:val="2"/>
          <w:w w:val="98"/>
        </w:rPr>
        <w:t>g</w:t>
      </w:r>
      <w:r>
        <w:rPr>
          <w:spacing w:val="-2"/>
          <w:w w:val="89"/>
        </w:rPr>
        <w:t>e</w:t>
      </w:r>
      <w:r>
        <w:rPr>
          <w:spacing w:val="1"/>
          <w:w w:val="101"/>
        </w:rPr>
        <w:t>n</w:t>
      </w:r>
      <w:r>
        <w:rPr>
          <w:spacing w:val="-1"/>
          <w:w w:val="87"/>
        </w:rPr>
        <w:t>t</w:t>
      </w:r>
      <w:r>
        <w:rPr>
          <w:w w:val="87"/>
        </w:rPr>
        <w:t>e</w:t>
      </w:r>
      <w:r>
        <w:rPr>
          <w:spacing w:val="-2"/>
        </w:rPr>
        <w:t> </w:t>
      </w:r>
      <w:r>
        <w:rPr>
          <w:w w:val="101"/>
        </w:rPr>
        <w:t>F</w:t>
      </w:r>
      <w:r>
        <w:rPr>
          <w:w w:val="96"/>
        </w:rPr>
        <w:t>iduc</w:t>
      </w:r>
      <w:r>
        <w:rPr>
          <w:w w:val="94"/>
        </w:rPr>
        <w:t>iá</w:t>
      </w:r>
      <w:r>
        <w:rPr>
          <w:spacing w:val="1"/>
          <w:w w:val="105"/>
        </w:rPr>
        <w:t>r</w:t>
      </w:r>
      <w:r>
        <w:rPr>
          <w:w w:val="84"/>
        </w:rPr>
        <w:t>io,</w:t>
      </w:r>
      <w:r>
        <w:rPr>
          <w:spacing w:val="-1"/>
        </w:rPr>
        <w:t> </w:t>
      </w:r>
      <w:r>
        <w:rPr>
          <w:spacing w:val="2"/>
          <w:w w:val="98"/>
        </w:rPr>
        <w:t>o</w:t>
      </w:r>
      <w:r>
        <w:rPr>
          <w:spacing w:val="-1"/>
          <w:w w:val="101"/>
        </w:rPr>
        <w:t>n</w:t>
      </w:r>
      <w:r>
        <w:rPr>
          <w:spacing w:val="2"/>
          <w:w w:val="99"/>
        </w:rPr>
        <w:t>d</w:t>
      </w:r>
      <w:r>
        <w:rPr>
          <w:w w:val="89"/>
        </w:rPr>
        <w:t>e</w:t>
      </w:r>
      <w:r>
        <w:rPr>
          <w:spacing w:val="-2"/>
        </w:rPr>
        <w:t> </w:t>
      </w:r>
      <w:r>
        <w:rPr>
          <w:spacing w:val="1"/>
          <w:w w:val="81"/>
        </w:rPr>
        <w:t>f</w:t>
      </w:r>
      <w:r>
        <w:rPr>
          <w:w w:val="98"/>
        </w:rPr>
        <w:t>oi</w:t>
      </w:r>
      <w:r>
        <w:rPr>
          <w:spacing w:val="1"/>
        </w:rPr>
        <w:t> </w:t>
      </w:r>
      <w:r>
        <w:rPr>
          <w:spacing w:val="-1"/>
          <w:w w:val="101"/>
        </w:rPr>
        <w:t>n</w:t>
      </w:r>
      <w:r>
        <w:rPr>
          <w:spacing w:val="1"/>
          <w:w w:val="89"/>
        </w:rPr>
        <w:t>e</w:t>
      </w:r>
      <w:r>
        <w:rPr>
          <w:spacing w:val="-1"/>
          <w:w w:val="98"/>
        </w:rPr>
        <w:t>g</w:t>
      </w:r>
      <w:r>
        <w:rPr>
          <w:spacing w:val="1"/>
          <w:w w:val="98"/>
        </w:rPr>
        <w:t>o</w:t>
      </w:r>
      <w:r>
        <w:rPr>
          <w:w w:val="88"/>
        </w:rPr>
        <w:t>c</w:t>
      </w:r>
      <w:r>
        <w:rPr>
          <w:w w:val="94"/>
        </w:rPr>
        <w:t>ia</w:t>
      </w:r>
      <w:r>
        <w:rPr>
          <w:w w:val="98"/>
        </w:rPr>
        <w:t>do</w:t>
      </w:r>
      <w:r>
        <w:rPr>
          <w:spacing w:val="-1"/>
        </w:rPr>
        <w:t> </w:t>
      </w:r>
      <w:r>
        <w:rPr>
          <w:spacing w:val="-1"/>
          <w:w w:val="100"/>
        </w:rPr>
        <w:t>u</w:t>
      </w:r>
      <w:r>
        <w:rPr>
          <w:w w:val="100"/>
        </w:rPr>
        <w:t>m</w:t>
      </w:r>
      <w:r>
        <w:rPr>
          <w:spacing w:val="2"/>
        </w:rPr>
        <w:t> </w:t>
      </w:r>
      <w:r>
        <w:rPr>
          <w:spacing w:val="-1"/>
          <w:w w:val="99"/>
        </w:rPr>
        <w:t>w</w:t>
      </w:r>
      <w:r>
        <w:rPr>
          <w:w w:val="99"/>
        </w:rPr>
        <w:t>a</w:t>
      </w:r>
      <w:r>
        <w:rPr>
          <w:w w:val="95"/>
        </w:rPr>
        <w:t>iv</w:t>
      </w:r>
      <w:r>
        <w:rPr>
          <w:spacing w:val="1"/>
          <w:w w:val="95"/>
        </w:rPr>
        <w:t>e</w:t>
      </w:r>
      <w:r>
        <w:rPr>
          <w:w w:val="105"/>
        </w:rPr>
        <w:t>r</w:t>
      </w:r>
      <w:r>
        <w:rPr>
          <w:spacing w:val="-2"/>
        </w:rPr>
        <w:t> </w:t>
      </w:r>
      <w:r>
        <w:rPr>
          <w:spacing w:val="1"/>
          <w:w w:val="99"/>
        </w:rPr>
        <w:t>m</w:t>
      </w:r>
      <w:r>
        <w:rPr>
          <w:spacing w:val="-2"/>
          <w:w w:val="89"/>
        </w:rPr>
        <w:t>e</w:t>
      </w:r>
      <w:r>
        <w:rPr>
          <w:w w:val="96"/>
        </w:rPr>
        <w:t>di</w:t>
      </w:r>
      <w:r>
        <w:rPr>
          <w:spacing w:val="3"/>
          <w:w w:val="96"/>
        </w:rPr>
        <w:t>a</w:t>
      </w:r>
      <w:r>
        <w:rPr>
          <w:spacing w:val="-1"/>
          <w:w w:val="101"/>
        </w:rPr>
        <w:t>n</w:t>
      </w:r>
      <w:r>
        <w:rPr>
          <w:spacing w:val="-1"/>
          <w:w w:val="87"/>
        </w:rPr>
        <w:t>t</w:t>
      </w:r>
      <w:r>
        <w:rPr>
          <w:w w:val="87"/>
        </w:rPr>
        <w:t>e</w:t>
      </w:r>
      <w:r>
        <w:rPr>
          <w:spacing w:val="2"/>
        </w:rPr>
        <w:t> </w:t>
      </w:r>
      <w:r>
        <w:rPr>
          <w:spacing w:val="-1"/>
          <w:w w:val="96"/>
        </w:rPr>
        <w:t>p</w:t>
      </w:r>
      <w:r>
        <w:rPr>
          <w:w w:val="96"/>
        </w:rPr>
        <w:t>a</w:t>
      </w:r>
      <w:r>
        <w:rPr>
          <w:spacing w:val="-1"/>
          <w:w w:val="95"/>
        </w:rPr>
        <w:t>g</w:t>
      </w:r>
      <w:r>
        <w:rPr>
          <w:w w:val="95"/>
        </w:rPr>
        <w:t>a</w:t>
      </w:r>
      <w:r>
        <w:rPr>
          <w:w w:val="95"/>
        </w:rPr>
        <w:t>m</w:t>
      </w:r>
      <w:r>
        <w:rPr>
          <w:spacing w:val="-2"/>
          <w:w w:val="95"/>
        </w:rPr>
        <w:t>e</w:t>
      </w:r>
      <w:r>
        <w:rPr>
          <w:spacing w:val="1"/>
          <w:w w:val="101"/>
        </w:rPr>
        <w:t>n</w:t>
      </w:r>
      <w:r>
        <w:rPr>
          <w:spacing w:val="-1"/>
          <w:w w:val="92"/>
        </w:rPr>
        <w:t>t</w:t>
      </w:r>
      <w:r>
        <w:rPr>
          <w:w w:val="92"/>
        </w:rPr>
        <w:t>o</w:t>
      </w:r>
      <w:r>
        <w:rPr>
          <w:spacing w:val="-1"/>
        </w:rPr>
        <w:t> </w:t>
      </w:r>
      <w:r>
        <w:rPr>
          <w:spacing w:val="2"/>
          <w:w w:val="99"/>
        </w:rPr>
        <w:t>d</w:t>
      </w:r>
      <w:r>
        <w:rPr>
          <w:w w:val="89"/>
        </w:rPr>
        <w:t>e</w:t>
      </w:r>
      <w:r>
        <w:rPr>
          <w:spacing w:val="-2"/>
        </w:rPr>
        <w:t> </w:t>
      </w:r>
      <w:r>
        <w:rPr>
          <w:spacing w:val="2"/>
          <w:w w:val="100"/>
        </w:rPr>
        <w:t>u</w:t>
      </w:r>
      <w:r>
        <w:rPr>
          <w:w w:val="99"/>
        </w:rPr>
        <w:t>m</w:t>
      </w:r>
      <w:r>
        <w:rPr>
          <w:spacing w:val="-1"/>
        </w:rPr>
        <w:t> </w:t>
      </w:r>
      <w:r>
        <w:rPr>
          <w:spacing w:val="1"/>
          <w:w w:val="81"/>
        </w:rPr>
        <w:t>f</w:t>
      </w:r>
      <w:r>
        <w:rPr>
          <w:spacing w:val="1"/>
          <w:w w:val="89"/>
        </w:rPr>
        <w:t>e</w:t>
      </w:r>
      <w:r>
        <w:rPr>
          <w:w w:val="89"/>
        </w:rPr>
        <w:t>e</w:t>
      </w:r>
      <w:r>
        <w:rPr>
          <w:spacing w:val="-2"/>
        </w:rPr>
        <w:t> </w:t>
      </w:r>
      <w:r>
        <w:rPr>
          <w:spacing w:val="2"/>
          <w:w w:val="99"/>
        </w:rPr>
        <w:t>d</w:t>
      </w:r>
      <w:r>
        <w:rPr>
          <w:w w:val="89"/>
        </w:rPr>
        <w:t>e</w:t>
      </w:r>
      <w:r>
        <w:rPr>
          <w:spacing w:val="-2"/>
        </w:rPr>
        <w:t> </w:t>
      </w:r>
      <w:r>
        <w:rPr>
          <w:spacing w:val="2"/>
          <w:w w:val="105"/>
        </w:rPr>
        <w:t>1</w:t>
      </w:r>
      <w:r>
        <w:rPr>
          <w:spacing w:val="2"/>
          <w:w w:val="55"/>
        </w:rPr>
        <w:t>,</w:t>
      </w:r>
      <w:r>
        <w:rPr>
          <w:w w:val="120"/>
        </w:rPr>
        <w:t>00% </w:t>
      </w:r>
      <w:r>
        <w:rPr/>
        <w:t>sobre</w:t>
      </w:r>
      <w:r>
        <w:rPr>
          <w:spacing w:val="-32"/>
        </w:rPr>
        <w:t> </w:t>
      </w:r>
      <w:r>
        <w:rPr/>
        <w:t>o</w:t>
      </w:r>
      <w:r>
        <w:rPr>
          <w:spacing w:val="-30"/>
        </w:rPr>
        <w:t> </w:t>
      </w:r>
      <w:r>
        <w:rPr/>
        <w:t>saldo</w:t>
      </w:r>
      <w:r>
        <w:rPr>
          <w:spacing w:val="-31"/>
        </w:rPr>
        <w:t> </w:t>
      </w:r>
      <w:r>
        <w:rPr/>
        <w:t>devedor</w:t>
      </w:r>
      <w:r>
        <w:rPr>
          <w:spacing w:val="-31"/>
        </w:rPr>
        <w:t> </w:t>
      </w:r>
      <w:r>
        <w:rPr/>
        <w:t>das</w:t>
      </w:r>
      <w:r>
        <w:rPr>
          <w:spacing w:val="-31"/>
        </w:rPr>
        <w:t> </w:t>
      </w:r>
      <w:r>
        <w:rPr/>
        <w:t>debêntures,</w:t>
      </w:r>
      <w:r>
        <w:rPr>
          <w:spacing w:val="-30"/>
        </w:rPr>
        <w:t> </w:t>
      </w:r>
      <w:r>
        <w:rPr/>
        <w:t>ou</w:t>
      </w:r>
      <w:r>
        <w:rPr>
          <w:spacing w:val="-31"/>
        </w:rPr>
        <w:t> </w:t>
      </w:r>
      <w:r>
        <w:rPr/>
        <w:t>seja,</w:t>
      </w:r>
      <w:r>
        <w:rPr>
          <w:spacing w:val="-31"/>
        </w:rPr>
        <w:t> </w:t>
      </w:r>
      <w:r>
        <w:rPr/>
        <w:t>um</w:t>
      </w:r>
      <w:r>
        <w:rPr>
          <w:spacing w:val="-29"/>
        </w:rPr>
        <w:t> </w:t>
      </w:r>
      <w:r>
        <w:rPr/>
        <w:t>montante</w:t>
      </w:r>
      <w:r>
        <w:rPr>
          <w:spacing w:val="-32"/>
        </w:rPr>
        <w:t> </w:t>
      </w:r>
      <w:r>
        <w:rPr/>
        <w:t>de</w:t>
      </w:r>
      <w:r>
        <w:rPr>
          <w:spacing w:val="-31"/>
        </w:rPr>
        <w:t> </w:t>
      </w:r>
      <w:r>
        <w:rPr/>
        <w:t>R$</w:t>
      </w:r>
      <w:r>
        <w:rPr>
          <w:spacing w:val="-30"/>
        </w:rPr>
        <w:t> </w:t>
      </w:r>
      <w:r>
        <w:rPr/>
        <w:t>2.000,</w:t>
      </w:r>
      <w:r>
        <w:rPr>
          <w:spacing w:val="-31"/>
        </w:rPr>
        <w:t> </w:t>
      </w:r>
      <w:r>
        <w:rPr/>
        <w:t>o</w:t>
      </w:r>
      <w:r>
        <w:rPr>
          <w:spacing w:val="-30"/>
        </w:rPr>
        <w:t> </w:t>
      </w:r>
      <w:r>
        <w:rPr/>
        <w:t>que</w:t>
      </w:r>
      <w:r>
        <w:rPr>
          <w:spacing w:val="-31"/>
        </w:rPr>
        <w:t> </w:t>
      </w:r>
      <w:r>
        <w:rPr/>
        <w:t>evitou</w:t>
      </w:r>
      <w:r>
        <w:rPr>
          <w:spacing w:val="-31"/>
        </w:rPr>
        <w:t> </w:t>
      </w:r>
      <w:r>
        <w:rPr/>
        <w:t>a</w:t>
      </w:r>
      <w:r>
        <w:rPr>
          <w:spacing w:val="-30"/>
        </w:rPr>
        <w:t> </w:t>
      </w:r>
      <w:r>
        <w:rPr/>
        <w:t>decretação</w:t>
      </w:r>
      <w:r>
        <w:rPr>
          <w:spacing w:val="-31"/>
        </w:rPr>
        <w:t> </w:t>
      </w:r>
      <w:r>
        <w:rPr/>
        <w:t>do</w:t>
      </w:r>
      <w:r>
        <w:rPr>
          <w:spacing w:val="-30"/>
        </w:rPr>
        <w:t> </w:t>
      </w:r>
      <w:r>
        <w:rPr/>
        <w:t>vencimento antecipado</w:t>
      </w:r>
      <w:r>
        <w:rPr>
          <w:spacing w:val="-36"/>
        </w:rPr>
        <w:t> </w:t>
      </w:r>
      <w:r>
        <w:rPr/>
        <w:t>da</w:t>
      </w:r>
      <w:r>
        <w:rPr>
          <w:spacing w:val="-36"/>
        </w:rPr>
        <w:t> </w:t>
      </w:r>
      <w:r>
        <w:rPr/>
        <w:t>operação.</w:t>
      </w:r>
      <w:r>
        <w:rPr>
          <w:spacing w:val="-37"/>
        </w:rPr>
        <w:t> </w:t>
      </w:r>
      <w:r>
        <w:rPr/>
        <w:t>Ainda</w:t>
      </w:r>
      <w:r>
        <w:rPr>
          <w:spacing w:val="-37"/>
        </w:rPr>
        <w:t> </w:t>
      </w:r>
      <w:r>
        <w:rPr/>
        <w:t>ficou</w:t>
      </w:r>
      <w:r>
        <w:rPr>
          <w:spacing w:val="-36"/>
        </w:rPr>
        <w:t> </w:t>
      </w:r>
      <w:r>
        <w:rPr/>
        <w:t>acordado</w:t>
      </w:r>
      <w:r>
        <w:rPr>
          <w:spacing w:val="-35"/>
        </w:rPr>
        <w:t> </w:t>
      </w:r>
      <w:r>
        <w:rPr/>
        <w:t>entre</w:t>
      </w:r>
      <w:r>
        <w:rPr>
          <w:spacing w:val="-36"/>
        </w:rPr>
        <w:t> </w:t>
      </w:r>
      <w:r>
        <w:rPr/>
        <w:t>as</w:t>
      </w:r>
      <w:r>
        <w:rPr>
          <w:spacing w:val="-38"/>
        </w:rPr>
        <w:t> </w:t>
      </w:r>
      <w:r>
        <w:rPr/>
        <w:t>partes</w:t>
      </w:r>
      <w:r>
        <w:rPr>
          <w:spacing w:val="-35"/>
        </w:rPr>
        <w:t> </w:t>
      </w:r>
      <w:r>
        <w:rPr/>
        <w:t>a</w:t>
      </w:r>
      <w:r>
        <w:rPr>
          <w:spacing w:val="-36"/>
        </w:rPr>
        <w:t> </w:t>
      </w:r>
      <w:r>
        <w:rPr/>
        <w:t>renegociação</w:t>
      </w:r>
      <w:r>
        <w:rPr>
          <w:spacing w:val="-37"/>
        </w:rPr>
        <w:t> </w:t>
      </w:r>
      <w:r>
        <w:rPr/>
        <w:t>dos</w:t>
      </w:r>
      <w:r>
        <w:rPr>
          <w:spacing w:val="-36"/>
        </w:rPr>
        <w:t> </w:t>
      </w:r>
      <w:r>
        <w:rPr/>
        <w:t>índices</w:t>
      </w:r>
      <w:r>
        <w:rPr>
          <w:spacing w:val="-37"/>
        </w:rPr>
        <w:t> </w:t>
      </w:r>
      <w:r>
        <w:rPr/>
        <w:t>de</w:t>
      </w:r>
      <w:r>
        <w:rPr>
          <w:spacing w:val="-37"/>
        </w:rPr>
        <w:t> </w:t>
      </w:r>
      <w:r>
        <w:rPr/>
        <w:t>cobertura</w:t>
      </w:r>
      <w:r>
        <w:rPr>
          <w:spacing w:val="-36"/>
        </w:rPr>
        <w:t> </w:t>
      </w:r>
      <w:r>
        <w:rPr/>
        <w:t>do</w:t>
      </w:r>
      <w:r>
        <w:rPr>
          <w:spacing w:val="-36"/>
        </w:rPr>
        <w:t> </w:t>
      </w:r>
      <w:r>
        <w:rPr/>
        <w:t>serviço</w:t>
      </w:r>
      <w:r>
        <w:rPr>
          <w:spacing w:val="-35"/>
        </w:rPr>
        <w:t> </w:t>
      </w:r>
      <w:r>
        <w:rPr/>
        <w:t>da dívida</w:t>
      </w:r>
      <w:r>
        <w:rPr>
          <w:spacing w:val="-18"/>
        </w:rPr>
        <w:t> </w:t>
      </w:r>
      <w:r>
        <w:rPr/>
        <w:t>(ICSD),</w:t>
      </w:r>
      <w:r>
        <w:rPr>
          <w:spacing w:val="-18"/>
        </w:rPr>
        <w:t> </w:t>
      </w:r>
      <w:r>
        <w:rPr/>
        <w:t>conforme</w:t>
      </w:r>
      <w:r>
        <w:rPr>
          <w:spacing w:val="-20"/>
        </w:rPr>
        <w:t> </w:t>
      </w:r>
      <w:r>
        <w:rPr/>
        <w:t>demonstrado</w:t>
      </w:r>
      <w:r>
        <w:rPr>
          <w:spacing w:val="-19"/>
        </w:rPr>
        <w:t> </w:t>
      </w:r>
      <w:r>
        <w:rPr/>
        <w:t>a</w:t>
      </w:r>
      <w:r>
        <w:rPr>
          <w:spacing w:val="-18"/>
        </w:rPr>
        <w:t> </w:t>
      </w:r>
      <w:r>
        <w:rPr/>
        <w:t>seguir:</w:t>
      </w:r>
    </w:p>
    <w:p>
      <w:pPr>
        <w:pStyle w:val="BodyText"/>
        <w:spacing w:before="1"/>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120"/>
        <w:gridCol w:w="2479"/>
        <w:gridCol w:w="2316"/>
      </w:tblGrid>
      <w:tr>
        <w:trPr>
          <w:trHeight w:val="227" w:hRule="atLeast"/>
        </w:trPr>
        <w:tc>
          <w:tcPr>
            <w:tcW w:w="5120" w:type="dxa"/>
            <w:tcBorders>
              <w:right w:val="single" w:sz="6" w:space="0" w:color="000000"/>
            </w:tcBorders>
            <w:shd w:val="clear" w:color="auto" w:fill="D9D9D9"/>
          </w:tcPr>
          <w:p>
            <w:pPr>
              <w:pStyle w:val="TableParagraph"/>
              <w:rPr>
                <w:rFonts w:ascii="Times New Roman"/>
                <w:sz w:val="16"/>
              </w:rPr>
            </w:pPr>
          </w:p>
        </w:tc>
        <w:tc>
          <w:tcPr>
            <w:tcW w:w="2479" w:type="dxa"/>
            <w:tcBorders>
              <w:left w:val="single" w:sz="6" w:space="0" w:color="000000"/>
            </w:tcBorders>
            <w:shd w:val="clear" w:color="auto" w:fill="D9D9D9"/>
          </w:tcPr>
          <w:p>
            <w:pPr>
              <w:pStyle w:val="TableParagraph"/>
              <w:spacing w:line="168" w:lineRule="exact" w:before="39"/>
              <w:ind w:left="525" w:right="515"/>
              <w:jc w:val="center"/>
              <w:rPr>
                <w:rFonts w:ascii="Caladea" w:hAnsi="Caladea"/>
                <w:b/>
                <w:sz w:val="16"/>
              </w:rPr>
            </w:pPr>
            <w:r>
              <w:rPr>
                <w:rFonts w:ascii="Caladea" w:hAnsi="Caladea"/>
                <w:b/>
                <w:sz w:val="16"/>
              </w:rPr>
              <w:t>Parâmetros</w:t>
            </w:r>
          </w:p>
        </w:tc>
        <w:tc>
          <w:tcPr>
            <w:tcW w:w="2316" w:type="dxa"/>
            <w:shd w:val="clear" w:color="auto" w:fill="D9D9D9"/>
          </w:tcPr>
          <w:p>
            <w:pPr>
              <w:pStyle w:val="TableParagraph"/>
              <w:spacing w:line="187" w:lineRule="exact" w:before="20"/>
              <w:ind w:left="699"/>
              <w:rPr>
                <w:rFonts w:ascii="Caladea"/>
                <w:b/>
                <w:sz w:val="16"/>
              </w:rPr>
            </w:pPr>
            <w:r>
              <w:rPr>
                <w:rFonts w:ascii="Caladea"/>
                <w:b/>
                <w:sz w:val="16"/>
              </w:rPr>
              <w:t>31/12/2019</w:t>
            </w:r>
          </w:p>
        </w:tc>
      </w:tr>
      <w:tr>
        <w:trPr>
          <w:trHeight w:val="227" w:hRule="atLeast"/>
        </w:trPr>
        <w:tc>
          <w:tcPr>
            <w:tcW w:w="5120" w:type="dxa"/>
            <w:tcBorders>
              <w:right w:val="single" w:sz="6" w:space="0" w:color="000000"/>
            </w:tcBorders>
          </w:tcPr>
          <w:p>
            <w:pPr>
              <w:pStyle w:val="TableParagraph"/>
              <w:spacing w:line="166" w:lineRule="exact" w:before="41"/>
              <w:ind w:left="72"/>
              <w:rPr>
                <w:sz w:val="16"/>
              </w:rPr>
            </w:pPr>
            <w:r>
              <w:rPr>
                <w:sz w:val="16"/>
              </w:rPr>
              <w:t>Dívida Líquida/EBTIDA</w:t>
            </w:r>
          </w:p>
        </w:tc>
        <w:tc>
          <w:tcPr>
            <w:tcW w:w="2479" w:type="dxa"/>
            <w:tcBorders>
              <w:left w:val="single" w:sz="6" w:space="0" w:color="000000"/>
            </w:tcBorders>
          </w:tcPr>
          <w:p>
            <w:pPr>
              <w:pStyle w:val="TableParagraph"/>
              <w:spacing w:line="166" w:lineRule="exact" w:before="41"/>
              <w:ind w:left="525" w:right="515"/>
              <w:jc w:val="center"/>
              <w:rPr>
                <w:sz w:val="16"/>
              </w:rPr>
            </w:pPr>
            <w:r>
              <w:rPr>
                <w:sz w:val="16"/>
              </w:rPr>
              <w:t>≤ 4,5</w:t>
            </w:r>
          </w:p>
        </w:tc>
        <w:tc>
          <w:tcPr>
            <w:tcW w:w="2316" w:type="dxa"/>
          </w:tcPr>
          <w:p>
            <w:pPr>
              <w:pStyle w:val="TableParagraph"/>
              <w:spacing w:before="20"/>
              <w:ind w:right="53"/>
              <w:jc w:val="right"/>
              <w:rPr>
                <w:sz w:val="16"/>
              </w:rPr>
            </w:pPr>
            <w:r>
              <w:rPr>
                <w:w w:val="95"/>
                <w:sz w:val="16"/>
              </w:rPr>
              <w:t>0,00</w:t>
            </w:r>
          </w:p>
        </w:tc>
      </w:tr>
      <w:tr>
        <w:trPr>
          <w:trHeight w:val="227" w:hRule="atLeast"/>
        </w:trPr>
        <w:tc>
          <w:tcPr>
            <w:tcW w:w="5120" w:type="dxa"/>
            <w:tcBorders>
              <w:right w:val="single" w:sz="6" w:space="0" w:color="000000"/>
            </w:tcBorders>
          </w:tcPr>
          <w:p>
            <w:pPr>
              <w:pStyle w:val="TableParagraph"/>
              <w:spacing w:line="168" w:lineRule="exact" w:before="39"/>
              <w:ind w:left="72"/>
              <w:rPr>
                <w:sz w:val="16"/>
              </w:rPr>
            </w:pPr>
            <w:r>
              <w:rPr>
                <w:sz w:val="16"/>
              </w:rPr>
              <w:t>Índice de Cobertura de Serviço de Dívida (ICSD)</w:t>
            </w:r>
          </w:p>
        </w:tc>
        <w:tc>
          <w:tcPr>
            <w:tcW w:w="2479" w:type="dxa"/>
            <w:tcBorders>
              <w:left w:val="single" w:sz="6" w:space="0" w:color="000000"/>
            </w:tcBorders>
          </w:tcPr>
          <w:p>
            <w:pPr>
              <w:pStyle w:val="TableParagraph"/>
              <w:spacing w:before="20"/>
              <w:ind w:left="555" w:right="515"/>
              <w:jc w:val="center"/>
              <w:rPr>
                <w:sz w:val="16"/>
              </w:rPr>
            </w:pPr>
            <w:r>
              <w:rPr>
                <w:sz w:val="16"/>
              </w:rPr>
              <w:t>≥ 1,18 (4º trim/19)</w:t>
            </w:r>
          </w:p>
        </w:tc>
        <w:tc>
          <w:tcPr>
            <w:tcW w:w="2316" w:type="dxa"/>
          </w:tcPr>
          <w:p>
            <w:pPr>
              <w:pStyle w:val="TableParagraph"/>
              <w:spacing w:before="20"/>
              <w:ind w:right="53"/>
              <w:jc w:val="right"/>
              <w:rPr>
                <w:sz w:val="16"/>
              </w:rPr>
            </w:pPr>
            <w:r>
              <w:rPr>
                <w:sz w:val="16"/>
              </w:rPr>
              <w:t>5,4920</w:t>
            </w:r>
          </w:p>
        </w:tc>
      </w:tr>
    </w:tbl>
    <w:p>
      <w:pPr>
        <w:spacing w:after="0"/>
        <w:jc w:val="right"/>
        <w:rPr>
          <w:sz w:val="16"/>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M</w:t>
      </w:r>
      <w:r>
        <w:rPr>
          <w:rFonts w:ascii="Caladea" w:hAnsi="Caladea"/>
          <w:b/>
          <w:sz w:val="18"/>
        </w:rPr>
        <w:t>OVIMENTAÇÃO DAS</w:t>
      </w:r>
      <w:r>
        <w:rPr>
          <w:rFonts w:ascii="Caladea" w:hAnsi="Caladea"/>
          <w:b/>
          <w:spacing w:val="1"/>
          <w:sz w:val="18"/>
        </w:rPr>
        <w:t> </w:t>
      </w:r>
      <w:r>
        <w:rPr>
          <w:rFonts w:ascii="Caladea" w:hAnsi="Caladea"/>
          <w:b/>
          <w:sz w:val="22"/>
        </w:rPr>
        <w:t>D</w:t>
      </w:r>
      <w:r>
        <w:rPr>
          <w:rFonts w:ascii="Caladea" w:hAnsi="Caladea"/>
          <w:b/>
          <w:sz w:val="18"/>
        </w:rPr>
        <w:t>EBÊNTURES</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293"/>
        <w:gridCol w:w="2624"/>
      </w:tblGrid>
      <w:tr>
        <w:trPr>
          <w:trHeight w:val="227" w:hRule="atLeast"/>
        </w:trPr>
        <w:tc>
          <w:tcPr>
            <w:tcW w:w="7293" w:type="dxa"/>
            <w:shd w:val="clear" w:color="auto" w:fill="D9D9D9"/>
          </w:tcPr>
          <w:p>
            <w:pPr>
              <w:pStyle w:val="TableParagraph"/>
              <w:rPr>
                <w:rFonts w:ascii="Times New Roman"/>
                <w:sz w:val="16"/>
              </w:rPr>
            </w:pPr>
          </w:p>
        </w:tc>
        <w:tc>
          <w:tcPr>
            <w:tcW w:w="2624" w:type="dxa"/>
          </w:tcPr>
          <w:p>
            <w:pPr>
              <w:pStyle w:val="TableParagraph"/>
              <w:spacing w:before="30"/>
              <w:ind w:left="892" w:right="884"/>
              <w:jc w:val="center"/>
              <w:rPr>
                <w:rFonts w:ascii="Caladea"/>
                <w:b/>
                <w:sz w:val="14"/>
              </w:rPr>
            </w:pPr>
            <w:r>
              <w:rPr>
                <w:rFonts w:ascii="Caladea"/>
                <w:b/>
                <w:sz w:val="14"/>
              </w:rPr>
              <w:t>Consolidado</w:t>
            </w:r>
          </w:p>
        </w:tc>
      </w:tr>
      <w:tr>
        <w:trPr>
          <w:trHeight w:val="227" w:hRule="atLeast"/>
        </w:trPr>
        <w:tc>
          <w:tcPr>
            <w:tcW w:w="7293" w:type="dxa"/>
          </w:tcPr>
          <w:p>
            <w:pPr>
              <w:pStyle w:val="TableParagraph"/>
              <w:spacing w:before="30"/>
              <w:ind w:left="72"/>
              <w:rPr>
                <w:rFonts w:ascii="Caladea"/>
                <w:b/>
                <w:sz w:val="14"/>
              </w:rPr>
            </w:pPr>
            <w:r>
              <w:rPr>
                <w:rFonts w:ascii="Caladea"/>
                <w:b/>
                <w:sz w:val="14"/>
              </w:rPr>
              <w:t>Saldo em 31 de dezembro de 2017</w:t>
            </w:r>
          </w:p>
        </w:tc>
        <w:tc>
          <w:tcPr>
            <w:tcW w:w="2624" w:type="dxa"/>
          </w:tcPr>
          <w:p>
            <w:pPr>
              <w:pStyle w:val="TableParagraph"/>
              <w:spacing w:before="30"/>
              <w:ind w:right="60"/>
              <w:jc w:val="right"/>
              <w:rPr>
                <w:rFonts w:ascii="Caladea"/>
                <w:b/>
                <w:sz w:val="14"/>
              </w:rPr>
            </w:pPr>
            <w:r>
              <w:rPr>
                <w:rFonts w:ascii="Caladea"/>
                <w:b/>
                <w:w w:val="95"/>
                <w:sz w:val="14"/>
              </w:rPr>
              <w:t>126.628</w:t>
            </w:r>
          </w:p>
        </w:tc>
      </w:tr>
      <w:tr>
        <w:trPr>
          <w:trHeight w:val="225" w:hRule="atLeast"/>
        </w:trPr>
        <w:tc>
          <w:tcPr>
            <w:tcW w:w="7293" w:type="dxa"/>
          </w:tcPr>
          <w:p>
            <w:pPr>
              <w:pStyle w:val="TableParagraph"/>
              <w:spacing w:before="31"/>
              <w:ind w:left="165"/>
              <w:rPr>
                <w:sz w:val="14"/>
              </w:rPr>
            </w:pPr>
            <w:r>
              <w:rPr>
                <w:sz w:val="14"/>
              </w:rPr>
              <w:t>Captações</w:t>
            </w:r>
          </w:p>
        </w:tc>
        <w:tc>
          <w:tcPr>
            <w:tcW w:w="2624" w:type="dxa"/>
          </w:tcPr>
          <w:p>
            <w:pPr>
              <w:pStyle w:val="TableParagraph"/>
              <w:spacing w:before="31"/>
              <w:ind w:right="60"/>
              <w:jc w:val="right"/>
              <w:rPr>
                <w:sz w:val="14"/>
              </w:rPr>
            </w:pPr>
            <w:r>
              <w:rPr>
                <w:w w:val="95"/>
                <w:sz w:val="14"/>
              </w:rPr>
              <w:t>200.000</w:t>
            </w:r>
          </w:p>
        </w:tc>
      </w:tr>
      <w:tr>
        <w:trPr>
          <w:trHeight w:val="227" w:hRule="atLeast"/>
        </w:trPr>
        <w:tc>
          <w:tcPr>
            <w:tcW w:w="7293" w:type="dxa"/>
          </w:tcPr>
          <w:p>
            <w:pPr>
              <w:pStyle w:val="TableParagraph"/>
              <w:spacing w:before="34"/>
              <w:ind w:left="165"/>
              <w:rPr>
                <w:sz w:val="14"/>
              </w:rPr>
            </w:pPr>
            <w:r>
              <w:rPr>
                <w:sz w:val="14"/>
              </w:rPr>
              <w:t>Encargos Incorridos</w:t>
            </w:r>
          </w:p>
        </w:tc>
        <w:tc>
          <w:tcPr>
            <w:tcW w:w="2624" w:type="dxa"/>
          </w:tcPr>
          <w:p>
            <w:pPr>
              <w:pStyle w:val="TableParagraph"/>
              <w:spacing w:before="34"/>
              <w:ind w:right="57"/>
              <w:jc w:val="right"/>
              <w:rPr>
                <w:sz w:val="14"/>
              </w:rPr>
            </w:pPr>
            <w:r>
              <w:rPr>
                <w:w w:val="95"/>
                <w:sz w:val="14"/>
              </w:rPr>
              <w:t>17.211</w:t>
            </w:r>
          </w:p>
        </w:tc>
      </w:tr>
      <w:tr>
        <w:trPr>
          <w:trHeight w:val="227" w:hRule="atLeast"/>
        </w:trPr>
        <w:tc>
          <w:tcPr>
            <w:tcW w:w="7293" w:type="dxa"/>
          </w:tcPr>
          <w:p>
            <w:pPr>
              <w:pStyle w:val="TableParagraph"/>
              <w:spacing w:before="31"/>
              <w:ind w:left="165"/>
              <w:rPr>
                <w:sz w:val="14"/>
              </w:rPr>
            </w:pPr>
            <w:r>
              <w:rPr>
                <w:sz w:val="14"/>
              </w:rPr>
              <w:t>Custo de Transação</w:t>
            </w:r>
          </w:p>
        </w:tc>
        <w:tc>
          <w:tcPr>
            <w:tcW w:w="2624" w:type="dxa"/>
          </w:tcPr>
          <w:p>
            <w:pPr>
              <w:pStyle w:val="TableParagraph"/>
              <w:spacing w:before="31"/>
              <w:ind w:right="58"/>
              <w:jc w:val="right"/>
              <w:rPr>
                <w:sz w:val="14"/>
              </w:rPr>
            </w:pPr>
            <w:r>
              <w:rPr>
                <w:sz w:val="14"/>
              </w:rPr>
              <w:t>(471)</w:t>
            </w:r>
          </w:p>
        </w:tc>
      </w:tr>
      <w:tr>
        <w:trPr>
          <w:trHeight w:val="227" w:hRule="atLeast"/>
        </w:trPr>
        <w:tc>
          <w:tcPr>
            <w:tcW w:w="7293" w:type="dxa"/>
          </w:tcPr>
          <w:p>
            <w:pPr>
              <w:pStyle w:val="TableParagraph"/>
              <w:spacing w:before="31"/>
              <w:ind w:left="165"/>
              <w:rPr>
                <w:sz w:val="14"/>
              </w:rPr>
            </w:pPr>
            <w:r>
              <w:rPr>
                <w:sz w:val="14"/>
              </w:rPr>
              <w:t>Encargos Pagos</w:t>
            </w:r>
          </w:p>
        </w:tc>
        <w:tc>
          <w:tcPr>
            <w:tcW w:w="2624" w:type="dxa"/>
          </w:tcPr>
          <w:p>
            <w:pPr>
              <w:pStyle w:val="TableParagraph"/>
              <w:spacing w:before="31"/>
              <w:ind w:right="60"/>
              <w:jc w:val="right"/>
              <w:rPr>
                <w:sz w:val="14"/>
              </w:rPr>
            </w:pPr>
            <w:r>
              <w:rPr>
                <w:sz w:val="14"/>
              </w:rPr>
              <w:t>(14.384)</w:t>
            </w:r>
          </w:p>
        </w:tc>
      </w:tr>
      <w:tr>
        <w:trPr>
          <w:trHeight w:val="225" w:hRule="atLeast"/>
        </w:trPr>
        <w:tc>
          <w:tcPr>
            <w:tcW w:w="7293" w:type="dxa"/>
          </w:tcPr>
          <w:p>
            <w:pPr>
              <w:pStyle w:val="TableParagraph"/>
              <w:spacing w:before="31"/>
              <w:ind w:left="165"/>
              <w:rPr>
                <w:sz w:val="14"/>
              </w:rPr>
            </w:pPr>
            <w:r>
              <w:rPr>
                <w:sz w:val="14"/>
              </w:rPr>
              <w:t>Amortização Principal</w:t>
            </w:r>
          </w:p>
        </w:tc>
        <w:tc>
          <w:tcPr>
            <w:tcW w:w="2624" w:type="dxa"/>
          </w:tcPr>
          <w:p>
            <w:pPr>
              <w:pStyle w:val="TableParagraph"/>
              <w:spacing w:before="31"/>
              <w:ind w:right="60"/>
              <w:jc w:val="right"/>
              <w:rPr>
                <w:sz w:val="14"/>
              </w:rPr>
            </w:pPr>
            <w:r>
              <w:rPr>
                <w:sz w:val="14"/>
              </w:rPr>
              <w:t>(65.905)</w:t>
            </w:r>
          </w:p>
        </w:tc>
      </w:tr>
      <w:tr>
        <w:trPr>
          <w:trHeight w:val="227" w:hRule="atLeast"/>
        </w:trPr>
        <w:tc>
          <w:tcPr>
            <w:tcW w:w="7293" w:type="dxa"/>
          </w:tcPr>
          <w:p>
            <w:pPr>
              <w:pStyle w:val="TableParagraph"/>
              <w:spacing w:before="34"/>
              <w:ind w:left="165"/>
              <w:rPr>
                <w:sz w:val="14"/>
              </w:rPr>
            </w:pPr>
            <w:r>
              <w:rPr>
                <w:sz w:val="14"/>
              </w:rPr>
              <w:t>Deságio</w:t>
            </w:r>
          </w:p>
        </w:tc>
        <w:tc>
          <w:tcPr>
            <w:tcW w:w="2624" w:type="dxa"/>
          </w:tcPr>
          <w:p>
            <w:pPr>
              <w:pStyle w:val="TableParagraph"/>
              <w:spacing w:before="34"/>
              <w:ind w:right="58"/>
              <w:jc w:val="right"/>
              <w:rPr>
                <w:sz w:val="14"/>
              </w:rPr>
            </w:pPr>
            <w:r>
              <w:rPr>
                <w:sz w:val="14"/>
              </w:rPr>
              <w:t>(282)</w:t>
            </w:r>
          </w:p>
        </w:tc>
      </w:tr>
      <w:tr>
        <w:trPr>
          <w:trHeight w:val="227" w:hRule="atLeast"/>
        </w:trPr>
        <w:tc>
          <w:tcPr>
            <w:tcW w:w="7293" w:type="dxa"/>
          </w:tcPr>
          <w:p>
            <w:pPr>
              <w:pStyle w:val="TableParagraph"/>
              <w:spacing w:before="30"/>
              <w:ind w:left="72"/>
              <w:rPr>
                <w:rFonts w:ascii="Caladea"/>
                <w:b/>
                <w:sz w:val="14"/>
              </w:rPr>
            </w:pPr>
            <w:r>
              <w:rPr>
                <w:rFonts w:ascii="Caladea"/>
                <w:b/>
                <w:sz w:val="14"/>
              </w:rPr>
              <w:t>Saldo em 31 de dezembro de 2018</w:t>
            </w:r>
          </w:p>
        </w:tc>
        <w:tc>
          <w:tcPr>
            <w:tcW w:w="2624" w:type="dxa"/>
          </w:tcPr>
          <w:p>
            <w:pPr>
              <w:pStyle w:val="TableParagraph"/>
              <w:spacing w:before="30"/>
              <w:ind w:right="60"/>
              <w:jc w:val="right"/>
              <w:rPr>
                <w:rFonts w:ascii="Caladea"/>
                <w:b/>
                <w:sz w:val="14"/>
              </w:rPr>
            </w:pPr>
            <w:r>
              <w:rPr>
                <w:rFonts w:ascii="Caladea"/>
                <w:b/>
                <w:w w:val="95"/>
                <w:sz w:val="14"/>
              </w:rPr>
              <w:t>262.797</w:t>
            </w:r>
          </w:p>
        </w:tc>
      </w:tr>
      <w:tr>
        <w:trPr>
          <w:trHeight w:val="227" w:hRule="atLeast"/>
        </w:trPr>
        <w:tc>
          <w:tcPr>
            <w:tcW w:w="7293" w:type="dxa"/>
          </w:tcPr>
          <w:p>
            <w:pPr>
              <w:pStyle w:val="TableParagraph"/>
              <w:spacing w:before="31"/>
              <w:ind w:left="165"/>
              <w:rPr>
                <w:sz w:val="14"/>
              </w:rPr>
            </w:pPr>
            <w:r>
              <w:rPr>
                <w:sz w:val="14"/>
              </w:rPr>
              <w:t>Encargos Incorridos</w:t>
            </w:r>
          </w:p>
        </w:tc>
        <w:tc>
          <w:tcPr>
            <w:tcW w:w="2624" w:type="dxa"/>
          </w:tcPr>
          <w:p>
            <w:pPr>
              <w:pStyle w:val="TableParagraph"/>
              <w:spacing w:before="31"/>
              <w:ind w:right="57"/>
              <w:jc w:val="right"/>
              <w:rPr>
                <w:sz w:val="14"/>
              </w:rPr>
            </w:pPr>
            <w:r>
              <w:rPr>
                <w:w w:val="95"/>
                <w:sz w:val="14"/>
              </w:rPr>
              <w:t>23.120</w:t>
            </w:r>
          </w:p>
        </w:tc>
      </w:tr>
      <w:tr>
        <w:trPr>
          <w:trHeight w:val="225" w:hRule="atLeast"/>
        </w:trPr>
        <w:tc>
          <w:tcPr>
            <w:tcW w:w="7293" w:type="dxa"/>
          </w:tcPr>
          <w:p>
            <w:pPr>
              <w:pStyle w:val="TableParagraph"/>
              <w:spacing w:before="31"/>
              <w:ind w:left="165"/>
              <w:rPr>
                <w:sz w:val="14"/>
              </w:rPr>
            </w:pPr>
            <w:r>
              <w:rPr>
                <w:sz w:val="14"/>
              </w:rPr>
              <w:t>Custo de Transação</w:t>
            </w:r>
          </w:p>
        </w:tc>
        <w:tc>
          <w:tcPr>
            <w:tcW w:w="2624" w:type="dxa"/>
          </w:tcPr>
          <w:p>
            <w:pPr>
              <w:pStyle w:val="TableParagraph"/>
              <w:spacing w:before="31"/>
              <w:ind w:right="58"/>
              <w:jc w:val="right"/>
              <w:rPr>
                <w:sz w:val="14"/>
              </w:rPr>
            </w:pPr>
            <w:r>
              <w:rPr>
                <w:w w:val="95"/>
                <w:sz w:val="14"/>
              </w:rPr>
              <w:t>2.490</w:t>
            </w:r>
          </w:p>
        </w:tc>
      </w:tr>
      <w:tr>
        <w:trPr>
          <w:trHeight w:val="227" w:hRule="atLeast"/>
        </w:trPr>
        <w:tc>
          <w:tcPr>
            <w:tcW w:w="7293" w:type="dxa"/>
          </w:tcPr>
          <w:p>
            <w:pPr>
              <w:pStyle w:val="TableParagraph"/>
              <w:spacing w:before="34"/>
              <w:ind w:left="165"/>
              <w:rPr>
                <w:sz w:val="14"/>
              </w:rPr>
            </w:pPr>
            <w:r>
              <w:rPr>
                <w:sz w:val="14"/>
              </w:rPr>
              <w:t>Encargos Pagos</w:t>
            </w:r>
          </w:p>
        </w:tc>
        <w:tc>
          <w:tcPr>
            <w:tcW w:w="2624" w:type="dxa"/>
          </w:tcPr>
          <w:p>
            <w:pPr>
              <w:pStyle w:val="TableParagraph"/>
              <w:spacing w:before="34"/>
              <w:ind w:right="60"/>
              <w:jc w:val="right"/>
              <w:rPr>
                <w:sz w:val="14"/>
              </w:rPr>
            </w:pPr>
            <w:r>
              <w:rPr>
                <w:sz w:val="14"/>
              </w:rPr>
              <w:t>(27.468)</w:t>
            </w:r>
          </w:p>
        </w:tc>
      </w:tr>
      <w:tr>
        <w:trPr>
          <w:trHeight w:val="227" w:hRule="atLeast"/>
        </w:trPr>
        <w:tc>
          <w:tcPr>
            <w:tcW w:w="7293" w:type="dxa"/>
          </w:tcPr>
          <w:p>
            <w:pPr>
              <w:pStyle w:val="TableParagraph"/>
              <w:spacing w:before="31"/>
              <w:ind w:left="165"/>
              <w:rPr>
                <w:sz w:val="14"/>
              </w:rPr>
            </w:pPr>
            <w:r>
              <w:rPr>
                <w:sz w:val="14"/>
              </w:rPr>
              <w:t>Amortização Principal</w:t>
            </w:r>
          </w:p>
        </w:tc>
        <w:tc>
          <w:tcPr>
            <w:tcW w:w="2624" w:type="dxa"/>
          </w:tcPr>
          <w:p>
            <w:pPr>
              <w:pStyle w:val="TableParagraph"/>
              <w:spacing w:before="31"/>
              <w:ind w:right="60"/>
              <w:jc w:val="right"/>
              <w:rPr>
                <w:sz w:val="14"/>
              </w:rPr>
            </w:pPr>
            <w:r>
              <w:rPr>
                <w:sz w:val="14"/>
              </w:rPr>
              <w:t>(47.129)</w:t>
            </w:r>
          </w:p>
        </w:tc>
      </w:tr>
      <w:tr>
        <w:trPr>
          <w:trHeight w:val="228" w:hRule="atLeast"/>
        </w:trPr>
        <w:tc>
          <w:tcPr>
            <w:tcW w:w="7293" w:type="dxa"/>
          </w:tcPr>
          <w:p>
            <w:pPr>
              <w:pStyle w:val="TableParagraph"/>
              <w:spacing w:before="30"/>
              <w:ind w:left="72"/>
              <w:rPr>
                <w:rFonts w:ascii="Caladea"/>
                <w:b/>
                <w:sz w:val="14"/>
              </w:rPr>
            </w:pPr>
            <w:r>
              <w:rPr>
                <w:rFonts w:ascii="Caladea"/>
                <w:b/>
                <w:sz w:val="14"/>
              </w:rPr>
              <w:t>Saldo em 31 de dezembro de 2019</w:t>
            </w:r>
          </w:p>
        </w:tc>
        <w:tc>
          <w:tcPr>
            <w:tcW w:w="2624" w:type="dxa"/>
          </w:tcPr>
          <w:p>
            <w:pPr>
              <w:pStyle w:val="TableParagraph"/>
              <w:spacing w:before="30"/>
              <w:ind w:right="58"/>
              <w:jc w:val="right"/>
              <w:rPr>
                <w:rFonts w:ascii="Caladea"/>
                <w:b/>
                <w:sz w:val="14"/>
              </w:rPr>
            </w:pPr>
            <w:r>
              <w:rPr>
                <w:rFonts w:ascii="Caladea"/>
                <w:b/>
                <w:sz w:val="14"/>
              </w:rPr>
              <w:t>213.810</w:t>
            </w:r>
          </w:p>
        </w:tc>
      </w:tr>
      <w:tr>
        <w:trPr>
          <w:trHeight w:val="225" w:hRule="atLeast"/>
        </w:trPr>
        <w:tc>
          <w:tcPr>
            <w:tcW w:w="7293" w:type="dxa"/>
          </w:tcPr>
          <w:p>
            <w:pPr>
              <w:pStyle w:val="TableParagraph"/>
              <w:spacing w:before="30"/>
              <w:ind w:left="72"/>
              <w:rPr>
                <w:rFonts w:ascii="Caladea"/>
                <w:b/>
                <w:sz w:val="14"/>
              </w:rPr>
            </w:pPr>
            <w:r>
              <w:rPr>
                <w:rFonts w:ascii="Caladea"/>
                <w:b/>
                <w:sz w:val="14"/>
              </w:rPr>
              <w:t>Circulante</w:t>
            </w:r>
          </w:p>
        </w:tc>
        <w:tc>
          <w:tcPr>
            <w:tcW w:w="2624" w:type="dxa"/>
          </w:tcPr>
          <w:p>
            <w:pPr>
              <w:pStyle w:val="TableParagraph"/>
              <w:spacing w:before="30"/>
              <w:ind w:right="59"/>
              <w:jc w:val="right"/>
              <w:rPr>
                <w:rFonts w:ascii="Caladea"/>
                <w:b/>
                <w:sz w:val="14"/>
              </w:rPr>
            </w:pPr>
            <w:r>
              <w:rPr>
                <w:rFonts w:ascii="Caladea"/>
                <w:b/>
                <w:w w:val="95"/>
                <w:sz w:val="14"/>
              </w:rPr>
              <w:t>26.814</w:t>
            </w:r>
          </w:p>
        </w:tc>
      </w:tr>
      <w:tr>
        <w:trPr>
          <w:trHeight w:val="227" w:hRule="atLeast"/>
        </w:trPr>
        <w:tc>
          <w:tcPr>
            <w:tcW w:w="7293" w:type="dxa"/>
          </w:tcPr>
          <w:p>
            <w:pPr>
              <w:pStyle w:val="TableParagraph"/>
              <w:spacing w:before="32"/>
              <w:ind w:left="72"/>
              <w:rPr>
                <w:rFonts w:ascii="Caladea" w:hAnsi="Caladea"/>
                <w:b/>
                <w:sz w:val="14"/>
              </w:rPr>
            </w:pPr>
            <w:r>
              <w:rPr>
                <w:rFonts w:ascii="Caladea" w:hAnsi="Caladea"/>
                <w:b/>
                <w:sz w:val="14"/>
              </w:rPr>
              <w:t>Não Circulante</w:t>
            </w:r>
          </w:p>
        </w:tc>
        <w:tc>
          <w:tcPr>
            <w:tcW w:w="2624" w:type="dxa"/>
          </w:tcPr>
          <w:p>
            <w:pPr>
              <w:pStyle w:val="TableParagraph"/>
              <w:spacing w:before="32"/>
              <w:ind w:right="58"/>
              <w:jc w:val="right"/>
              <w:rPr>
                <w:rFonts w:ascii="Caladea"/>
                <w:b/>
                <w:sz w:val="14"/>
              </w:rPr>
            </w:pPr>
            <w:r>
              <w:rPr>
                <w:rFonts w:ascii="Caladea"/>
                <w:b/>
                <w:sz w:val="14"/>
              </w:rPr>
              <w:t>186.996</w:t>
            </w:r>
          </w:p>
        </w:tc>
      </w:tr>
    </w:tbl>
    <w:p>
      <w:pPr>
        <w:pStyle w:val="BodyText"/>
        <w:spacing w:before="5"/>
        <w:rPr>
          <w:rFonts w:ascii="Caladea"/>
          <w:b/>
        </w:rPr>
      </w:pPr>
    </w:p>
    <w:p>
      <w:pPr>
        <w:pStyle w:val="Heading3"/>
        <w:numPr>
          <w:ilvl w:val="0"/>
          <w:numId w:val="6"/>
        </w:numPr>
        <w:tabs>
          <w:tab w:pos="953" w:val="left" w:leader="none"/>
          <w:tab w:pos="954" w:val="left" w:leader="none"/>
        </w:tabs>
        <w:spacing w:line="240" w:lineRule="auto" w:before="0" w:after="0"/>
        <w:ind w:left="953" w:right="0" w:hanging="782"/>
        <w:jc w:val="left"/>
      </w:pPr>
      <w:r>
        <w:rPr/>
        <w:t>EMPRÉSTIMOS E</w:t>
      </w:r>
      <w:r>
        <w:rPr>
          <w:spacing w:val="-2"/>
        </w:rPr>
        <w:t> </w:t>
      </w:r>
      <w:r>
        <w:rPr/>
        <w:t>FINANCIAMENTOS</w:t>
      </w:r>
    </w:p>
    <w:p>
      <w:pPr>
        <w:pStyle w:val="BodyText"/>
        <w:spacing w:before="5"/>
        <w:rPr>
          <w:rFonts w:ascii="Caladea"/>
          <w:b/>
        </w:rPr>
      </w:pPr>
    </w:p>
    <w:tbl>
      <w:tblPr>
        <w:tblW w:w="0" w:type="auto"/>
        <w:jc w:val="left"/>
        <w:tblInd w:w="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7"/>
        <w:gridCol w:w="1196"/>
        <w:gridCol w:w="946"/>
        <w:gridCol w:w="944"/>
        <w:gridCol w:w="4830"/>
      </w:tblGrid>
      <w:tr>
        <w:trPr>
          <w:trHeight w:val="239" w:hRule="atLeast"/>
        </w:trPr>
        <w:tc>
          <w:tcPr>
            <w:tcW w:w="2067" w:type="dxa"/>
            <w:vMerge w:val="restart"/>
            <w:shd w:val="clear" w:color="auto" w:fill="D9D9D9"/>
          </w:tcPr>
          <w:p>
            <w:pPr>
              <w:pStyle w:val="TableParagraph"/>
              <w:rPr>
                <w:rFonts w:ascii="Times New Roman"/>
                <w:sz w:val="16"/>
              </w:rPr>
            </w:pPr>
          </w:p>
        </w:tc>
        <w:tc>
          <w:tcPr>
            <w:tcW w:w="1196" w:type="dxa"/>
          </w:tcPr>
          <w:p>
            <w:pPr>
              <w:pStyle w:val="TableParagraph"/>
              <w:spacing w:before="37"/>
              <w:ind w:left="167"/>
              <w:rPr>
                <w:rFonts w:ascii="Caladea"/>
                <w:b/>
                <w:sz w:val="14"/>
              </w:rPr>
            </w:pPr>
            <w:r>
              <w:rPr>
                <w:rFonts w:ascii="Caladea"/>
                <w:b/>
                <w:sz w:val="14"/>
              </w:rPr>
              <w:t>Controladora</w:t>
            </w:r>
          </w:p>
        </w:tc>
        <w:tc>
          <w:tcPr>
            <w:tcW w:w="1890" w:type="dxa"/>
            <w:gridSpan w:val="2"/>
          </w:tcPr>
          <w:p>
            <w:pPr>
              <w:pStyle w:val="TableParagraph"/>
              <w:spacing w:before="37"/>
              <w:ind w:left="544"/>
              <w:rPr>
                <w:rFonts w:ascii="Caladea"/>
                <w:b/>
                <w:sz w:val="14"/>
              </w:rPr>
            </w:pPr>
            <w:r>
              <w:rPr>
                <w:rFonts w:ascii="Caladea"/>
                <w:b/>
                <w:sz w:val="14"/>
              </w:rPr>
              <w:t>Consolidado</w:t>
            </w:r>
          </w:p>
        </w:tc>
        <w:tc>
          <w:tcPr>
            <w:tcW w:w="4830" w:type="dxa"/>
            <w:vMerge w:val="restart"/>
            <w:shd w:val="clear" w:color="auto" w:fill="D9D9D9"/>
          </w:tcPr>
          <w:p>
            <w:pPr>
              <w:pStyle w:val="TableParagraph"/>
              <w:spacing w:before="9"/>
              <w:rPr>
                <w:rFonts w:ascii="Caladea"/>
                <w:b/>
                <w:sz w:val="13"/>
              </w:rPr>
            </w:pPr>
          </w:p>
          <w:p>
            <w:pPr>
              <w:pStyle w:val="TableParagraph"/>
              <w:ind w:left="2098" w:right="2093"/>
              <w:jc w:val="center"/>
              <w:rPr>
                <w:rFonts w:ascii="Caladea"/>
                <w:b/>
                <w:sz w:val="14"/>
              </w:rPr>
            </w:pPr>
            <w:r>
              <w:rPr>
                <w:rFonts w:ascii="Caladea"/>
                <w:b/>
                <w:sz w:val="14"/>
              </w:rPr>
              <w:t>Encargos</w:t>
            </w:r>
          </w:p>
        </w:tc>
      </w:tr>
      <w:tr>
        <w:trPr>
          <w:trHeight w:val="239" w:hRule="atLeast"/>
        </w:trPr>
        <w:tc>
          <w:tcPr>
            <w:tcW w:w="2067" w:type="dxa"/>
            <w:vMerge/>
            <w:tcBorders>
              <w:top w:val="nil"/>
            </w:tcBorders>
            <w:shd w:val="clear" w:color="auto" w:fill="D9D9D9"/>
          </w:tcPr>
          <w:p>
            <w:pPr>
              <w:rPr>
                <w:sz w:val="2"/>
                <w:szCs w:val="2"/>
              </w:rPr>
            </w:pPr>
          </w:p>
        </w:tc>
        <w:tc>
          <w:tcPr>
            <w:tcW w:w="1196" w:type="dxa"/>
          </w:tcPr>
          <w:p>
            <w:pPr>
              <w:pStyle w:val="TableParagraph"/>
              <w:spacing w:before="37"/>
              <w:ind w:left="196"/>
              <w:rPr>
                <w:rFonts w:ascii="Caladea"/>
                <w:b/>
                <w:sz w:val="14"/>
              </w:rPr>
            </w:pPr>
            <w:r>
              <w:rPr>
                <w:rFonts w:ascii="Caladea"/>
                <w:b/>
                <w:sz w:val="14"/>
              </w:rPr>
              <w:t>31/12/2019</w:t>
            </w:r>
          </w:p>
        </w:tc>
        <w:tc>
          <w:tcPr>
            <w:tcW w:w="946" w:type="dxa"/>
          </w:tcPr>
          <w:p>
            <w:pPr>
              <w:pStyle w:val="TableParagraph"/>
              <w:spacing w:before="37"/>
              <w:ind w:right="63"/>
              <w:jc w:val="right"/>
              <w:rPr>
                <w:rFonts w:ascii="Caladea"/>
                <w:b/>
                <w:sz w:val="14"/>
              </w:rPr>
            </w:pPr>
            <w:r>
              <w:rPr>
                <w:rFonts w:ascii="Caladea"/>
                <w:b/>
                <w:sz w:val="14"/>
              </w:rPr>
              <w:t>31/12/2019</w:t>
            </w:r>
          </w:p>
        </w:tc>
        <w:tc>
          <w:tcPr>
            <w:tcW w:w="944" w:type="dxa"/>
          </w:tcPr>
          <w:p>
            <w:pPr>
              <w:pStyle w:val="TableParagraph"/>
              <w:spacing w:before="37"/>
              <w:ind w:right="61"/>
              <w:jc w:val="right"/>
              <w:rPr>
                <w:rFonts w:ascii="Caladea"/>
                <w:b/>
                <w:sz w:val="14"/>
              </w:rPr>
            </w:pPr>
            <w:r>
              <w:rPr>
                <w:rFonts w:ascii="Caladea"/>
                <w:b/>
                <w:sz w:val="14"/>
              </w:rPr>
              <w:t>31/12/2018</w:t>
            </w:r>
          </w:p>
        </w:tc>
        <w:tc>
          <w:tcPr>
            <w:tcW w:w="4830" w:type="dxa"/>
            <w:vMerge/>
            <w:tcBorders>
              <w:top w:val="nil"/>
            </w:tcBorders>
            <w:shd w:val="clear" w:color="auto" w:fill="D9D9D9"/>
          </w:tcPr>
          <w:p>
            <w:pPr>
              <w:rPr>
                <w:sz w:val="2"/>
                <w:szCs w:val="2"/>
              </w:rPr>
            </w:pPr>
          </w:p>
        </w:tc>
      </w:tr>
      <w:tr>
        <w:trPr>
          <w:trHeight w:val="239" w:hRule="atLeast"/>
        </w:trPr>
        <w:tc>
          <w:tcPr>
            <w:tcW w:w="2067" w:type="dxa"/>
          </w:tcPr>
          <w:p>
            <w:pPr>
              <w:pStyle w:val="TableParagraph"/>
              <w:spacing w:before="38"/>
              <w:ind w:left="72"/>
              <w:rPr>
                <w:sz w:val="14"/>
              </w:rPr>
            </w:pPr>
            <w:r>
              <w:rPr>
                <w:sz w:val="14"/>
              </w:rPr>
              <w:t>Eletrobrás</w:t>
            </w:r>
          </w:p>
        </w:tc>
        <w:tc>
          <w:tcPr>
            <w:tcW w:w="1196" w:type="dxa"/>
          </w:tcPr>
          <w:p>
            <w:pPr>
              <w:pStyle w:val="TableParagraph"/>
              <w:rPr>
                <w:rFonts w:ascii="Times New Roman"/>
                <w:sz w:val="16"/>
              </w:rPr>
            </w:pPr>
          </w:p>
        </w:tc>
        <w:tc>
          <w:tcPr>
            <w:tcW w:w="946" w:type="dxa"/>
          </w:tcPr>
          <w:p>
            <w:pPr>
              <w:pStyle w:val="TableParagraph"/>
              <w:spacing w:before="38"/>
              <w:ind w:right="63"/>
              <w:jc w:val="right"/>
              <w:rPr>
                <w:sz w:val="14"/>
              </w:rPr>
            </w:pPr>
            <w:r>
              <w:rPr>
                <w:w w:val="105"/>
                <w:sz w:val="14"/>
              </w:rPr>
              <w:t>200</w:t>
            </w:r>
          </w:p>
        </w:tc>
        <w:tc>
          <w:tcPr>
            <w:tcW w:w="944" w:type="dxa"/>
          </w:tcPr>
          <w:p>
            <w:pPr>
              <w:pStyle w:val="TableParagraph"/>
              <w:spacing w:before="38"/>
              <w:ind w:right="61"/>
              <w:jc w:val="right"/>
              <w:rPr>
                <w:sz w:val="14"/>
              </w:rPr>
            </w:pPr>
            <w:r>
              <w:rPr>
                <w:sz w:val="14"/>
              </w:rPr>
              <w:t>327</w:t>
            </w:r>
          </w:p>
        </w:tc>
        <w:tc>
          <w:tcPr>
            <w:tcW w:w="4830" w:type="dxa"/>
          </w:tcPr>
          <w:p>
            <w:pPr>
              <w:pStyle w:val="TableParagraph"/>
              <w:spacing w:before="38"/>
              <w:ind w:left="70"/>
              <w:rPr>
                <w:sz w:val="14"/>
              </w:rPr>
            </w:pPr>
            <w:r>
              <w:rPr>
                <w:sz w:val="14"/>
              </w:rPr>
              <w:t>Juros entre 5% a 8% a.a. 1% a 2% de Tx. Adm. + Variação da UFIR/IGPM</w:t>
            </w:r>
          </w:p>
        </w:tc>
      </w:tr>
      <w:tr>
        <w:trPr>
          <w:trHeight w:val="237" w:hRule="atLeast"/>
        </w:trPr>
        <w:tc>
          <w:tcPr>
            <w:tcW w:w="2067" w:type="dxa"/>
          </w:tcPr>
          <w:p>
            <w:pPr>
              <w:pStyle w:val="TableParagraph"/>
              <w:spacing w:before="36"/>
              <w:ind w:left="72"/>
              <w:rPr>
                <w:sz w:val="14"/>
              </w:rPr>
            </w:pPr>
            <w:r>
              <w:rPr>
                <w:sz w:val="14"/>
              </w:rPr>
              <w:t>Banco do Brasil S.A (Finame)</w:t>
            </w:r>
          </w:p>
        </w:tc>
        <w:tc>
          <w:tcPr>
            <w:tcW w:w="1196" w:type="dxa"/>
          </w:tcPr>
          <w:p>
            <w:pPr>
              <w:pStyle w:val="TableParagraph"/>
              <w:rPr>
                <w:rFonts w:ascii="Times New Roman"/>
                <w:sz w:val="16"/>
              </w:rPr>
            </w:pPr>
          </w:p>
        </w:tc>
        <w:tc>
          <w:tcPr>
            <w:tcW w:w="946" w:type="dxa"/>
          </w:tcPr>
          <w:p>
            <w:pPr>
              <w:pStyle w:val="TableParagraph"/>
              <w:rPr>
                <w:rFonts w:ascii="Times New Roman"/>
                <w:sz w:val="16"/>
              </w:rPr>
            </w:pPr>
          </w:p>
        </w:tc>
        <w:tc>
          <w:tcPr>
            <w:tcW w:w="944" w:type="dxa"/>
          </w:tcPr>
          <w:p>
            <w:pPr>
              <w:pStyle w:val="TableParagraph"/>
              <w:spacing w:before="36"/>
              <w:ind w:right="61"/>
              <w:jc w:val="right"/>
              <w:rPr>
                <w:sz w:val="14"/>
              </w:rPr>
            </w:pPr>
            <w:r>
              <w:rPr>
                <w:w w:val="95"/>
                <w:sz w:val="14"/>
              </w:rPr>
              <w:t>1.017</w:t>
            </w:r>
          </w:p>
        </w:tc>
        <w:tc>
          <w:tcPr>
            <w:tcW w:w="4830" w:type="dxa"/>
          </w:tcPr>
          <w:p>
            <w:pPr>
              <w:pStyle w:val="TableParagraph"/>
              <w:spacing w:before="36"/>
              <w:ind w:left="70"/>
              <w:rPr>
                <w:sz w:val="14"/>
              </w:rPr>
            </w:pPr>
            <w:r>
              <w:rPr>
                <w:sz w:val="14"/>
              </w:rPr>
              <w:t>4,5% a.a. + TLP</w:t>
            </w:r>
          </w:p>
        </w:tc>
      </w:tr>
      <w:tr>
        <w:trPr>
          <w:trHeight w:val="328" w:hRule="atLeast"/>
        </w:trPr>
        <w:tc>
          <w:tcPr>
            <w:tcW w:w="2067" w:type="dxa"/>
          </w:tcPr>
          <w:p>
            <w:pPr>
              <w:pStyle w:val="TableParagraph"/>
              <w:spacing w:before="84"/>
              <w:ind w:left="72"/>
              <w:rPr>
                <w:sz w:val="14"/>
              </w:rPr>
            </w:pPr>
            <w:r>
              <w:rPr>
                <w:sz w:val="14"/>
              </w:rPr>
              <w:t>Banco do Brasil S.A (FCO I a IV)</w:t>
            </w:r>
          </w:p>
        </w:tc>
        <w:tc>
          <w:tcPr>
            <w:tcW w:w="1196" w:type="dxa"/>
          </w:tcPr>
          <w:p>
            <w:pPr>
              <w:pStyle w:val="TableParagraph"/>
              <w:rPr>
                <w:rFonts w:ascii="Times New Roman"/>
                <w:sz w:val="16"/>
              </w:rPr>
            </w:pPr>
          </w:p>
        </w:tc>
        <w:tc>
          <w:tcPr>
            <w:tcW w:w="946" w:type="dxa"/>
          </w:tcPr>
          <w:p>
            <w:pPr>
              <w:pStyle w:val="TableParagraph"/>
              <w:spacing w:before="84"/>
              <w:ind w:right="63"/>
              <w:jc w:val="right"/>
              <w:rPr>
                <w:sz w:val="14"/>
              </w:rPr>
            </w:pPr>
            <w:r>
              <w:rPr>
                <w:w w:val="95"/>
                <w:sz w:val="14"/>
              </w:rPr>
              <w:t>6.695</w:t>
            </w:r>
          </w:p>
        </w:tc>
        <w:tc>
          <w:tcPr>
            <w:tcW w:w="944" w:type="dxa"/>
          </w:tcPr>
          <w:p>
            <w:pPr>
              <w:pStyle w:val="TableParagraph"/>
              <w:spacing w:before="84"/>
              <w:ind w:right="61"/>
              <w:jc w:val="right"/>
              <w:rPr>
                <w:sz w:val="14"/>
              </w:rPr>
            </w:pPr>
            <w:r>
              <w:rPr>
                <w:w w:val="95"/>
                <w:sz w:val="14"/>
              </w:rPr>
              <w:t>13.529</w:t>
            </w:r>
          </w:p>
        </w:tc>
        <w:tc>
          <w:tcPr>
            <w:tcW w:w="4830" w:type="dxa"/>
          </w:tcPr>
          <w:p>
            <w:pPr>
              <w:pStyle w:val="TableParagraph"/>
              <w:spacing w:line="160" w:lineRule="atLeast" w:before="2"/>
              <w:ind w:left="70" w:right="364"/>
              <w:rPr>
                <w:sz w:val="14"/>
              </w:rPr>
            </w:pPr>
            <w:r>
              <w:rPr>
                <w:sz w:val="14"/>
              </w:rPr>
              <w:t>Juros</w:t>
            </w:r>
            <w:r>
              <w:rPr>
                <w:spacing w:val="-24"/>
                <w:sz w:val="14"/>
              </w:rPr>
              <w:t> </w:t>
            </w:r>
            <w:r>
              <w:rPr>
                <w:sz w:val="14"/>
              </w:rPr>
              <w:t>de</w:t>
            </w:r>
            <w:r>
              <w:rPr>
                <w:spacing w:val="-24"/>
                <w:sz w:val="14"/>
              </w:rPr>
              <w:t> </w:t>
            </w:r>
            <w:r>
              <w:rPr>
                <w:sz w:val="14"/>
              </w:rPr>
              <w:t>10%</w:t>
            </w:r>
            <w:r>
              <w:rPr>
                <w:spacing w:val="-21"/>
                <w:sz w:val="14"/>
              </w:rPr>
              <w:t> </w:t>
            </w:r>
            <w:r>
              <w:rPr>
                <w:sz w:val="14"/>
              </w:rPr>
              <w:t>a.a.</w:t>
            </w:r>
            <w:r>
              <w:rPr>
                <w:spacing w:val="-23"/>
                <w:sz w:val="14"/>
              </w:rPr>
              <w:t> </w:t>
            </w:r>
            <w:r>
              <w:rPr>
                <w:sz w:val="14"/>
              </w:rPr>
              <w:t>de</w:t>
            </w:r>
            <w:r>
              <w:rPr>
                <w:spacing w:val="-24"/>
                <w:sz w:val="14"/>
              </w:rPr>
              <w:t> </w:t>
            </w:r>
            <w:r>
              <w:rPr>
                <w:sz w:val="14"/>
              </w:rPr>
              <w:t>atualização</w:t>
            </w:r>
            <w:r>
              <w:rPr>
                <w:spacing w:val="-23"/>
                <w:sz w:val="14"/>
              </w:rPr>
              <w:t> </w:t>
            </w:r>
            <w:r>
              <w:rPr>
                <w:sz w:val="14"/>
              </w:rPr>
              <w:t>pela</w:t>
            </w:r>
            <w:r>
              <w:rPr>
                <w:spacing w:val="-24"/>
                <w:sz w:val="14"/>
              </w:rPr>
              <w:t> </w:t>
            </w:r>
            <w:r>
              <w:rPr>
                <w:sz w:val="14"/>
              </w:rPr>
              <w:t>TLP</w:t>
            </w:r>
            <w:r>
              <w:rPr>
                <w:spacing w:val="-23"/>
                <w:sz w:val="14"/>
              </w:rPr>
              <w:t> </w:t>
            </w:r>
            <w:r>
              <w:rPr>
                <w:sz w:val="14"/>
              </w:rPr>
              <w:t>e</w:t>
            </w:r>
            <w:r>
              <w:rPr>
                <w:spacing w:val="-22"/>
                <w:sz w:val="14"/>
              </w:rPr>
              <w:t> </w:t>
            </w:r>
            <w:r>
              <w:rPr>
                <w:sz w:val="14"/>
              </w:rPr>
              <w:t>com</w:t>
            </w:r>
            <w:r>
              <w:rPr>
                <w:spacing w:val="-24"/>
                <w:sz w:val="14"/>
              </w:rPr>
              <w:t> </w:t>
            </w:r>
            <w:r>
              <w:rPr>
                <w:sz w:val="14"/>
              </w:rPr>
              <w:t>Bônus</w:t>
            </w:r>
            <w:r>
              <w:rPr>
                <w:spacing w:val="-24"/>
                <w:sz w:val="14"/>
              </w:rPr>
              <w:t> </w:t>
            </w:r>
            <w:r>
              <w:rPr>
                <w:sz w:val="14"/>
              </w:rPr>
              <w:t>de</w:t>
            </w:r>
            <w:r>
              <w:rPr>
                <w:spacing w:val="-23"/>
                <w:sz w:val="14"/>
              </w:rPr>
              <w:t> </w:t>
            </w:r>
            <w:r>
              <w:rPr>
                <w:sz w:val="14"/>
              </w:rPr>
              <w:t>Adimplência</w:t>
            </w:r>
            <w:r>
              <w:rPr>
                <w:spacing w:val="-22"/>
                <w:sz w:val="14"/>
              </w:rPr>
              <w:t> </w:t>
            </w:r>
            <w:r>
              <w:rPr>
                <w:sz w:val="14"/>
              </w:rPr>
              <w:t>de </w:t>
            </w:r>
            <w:r>
              <w:rPr>
                <w:w w:val="104"/>
                <w:sz w:val="14"/>
              </w:rPr>
              <w:t>1</w:t>
            </w:r>
            <w:r>
              <w:rPr>
                <w:spacing w:val="-1"/>
                <w:w w:val="104"/>
                <w:sz w:val="14"/>
              </w:rPr>
              <w:t>5</w:t>
            </w:r>
            <w:r>
              <w:rPr>
                <w:w w:val="147"/>
                <w:sz w:val="14"/>
              </w:rPr>
              <w:t>%</w:t>
            </w:r>
            <w:r>
              <w:rPr>
                <w:w w:val="55"/>
                <w:sz w:val="14"/>
              </w:rPr>
              <w:t>,</w:t>
            </w:r>
            <w:r>
              <w:rPr>
                <w:spacing w:val="-11"/>
                <w:sz w:val="14"/>
              </w:rPr>
              <w:t> </w:t>
            </w:r>
            <w:r>
              <w:rPr>
                <w:spacing w:val="-1"/>
                <w:w w:val="99"/>
                <w:sz w:val="14"/>
              </w:rPr>
              <w:t>p</w:t>
            </w:r>
            <w:r>
              <w:rPr>
                <w:spacing w:val="-1"/>
                <w:w w:val="88"/>
                <w:sz w:val="14"/>
              </w:rPr>
              <w:t>e</w:t>
            </w:r>
            <w:r>
              <w:rPr>
                <w:w w:val="93"/>
                <w:sz w:val="14"/>
              </w:rPr>
              <w:t>rf</w:t>
            </w:r>
            <w:r>
              <w:rPr>
                <w:spacing w:val="1"/>
                <w:w w:val="92"/>
                <w:sz w:val="14"/>
              </w:rPr>
              <w:t>a</w:t>
            </w:r>
            <w:r>
              <w:rPr>
                <w:spacing w:val="-1"/>
                <w:w w:val="95"/>
                <w:sz w:val="14"/>
              </w:rPr>
              <w:t>z</w:t>
            </w:r>
            <w:r>
              <w:rPr>
                <w:spacing w:val="1"/>
                <w:w w:val="88"/>
                <w:sz w:val="14"/>
              </w:rPr>
              <w:t>e</w:t>
            </w:r>
            <w:r>
              <w:rPr>
                <w:spacing w:val="-1"/>
                <w:w w:val="101"/>
                <w:sz w:val="14"/>
              </w:rPr>
              <w:t>n</w:t>
            </w:r>
            <w:r>
              <w:rPr>
                <w:spacing w:val="-1"/>
                <w:w w:val="98"/>
                <w:sz w:val="14"/>
              </w:rPr>
              <w:t>d</w:t>
            </w:r>
            <w:r>
              <w:rPr>
                <w:w w:val="98"/>
                <w:sz w:val="14"/>
              </w:rPr>
              <w:t>o</w:t>
            </w:r>
            <w:r>
              <w:rPr>
                <w:spacing w:val="-11"/>
                <w:sz w:val="14"/>
              </w:rPr>
              <w:t> </w:t>
            </w:r>
            <w:r>
              <w:rPr>
                <w:w w:val="84"/>
                <w:sz w:val="14"/>
              </w:rPr>
              <w:t>8</w:t>
            </w:r>
            <w:r>
              <w:rPr>
                <w:spacing w:val="2"/>
                <w:w w:val="84"/>
                <w:sz w:val="14"/>
              </w:rPr>
              <w:t>,</w:t>
            </w:r>
            <w:r>
              <w:rPr>
                <w:w w:val="127"/>
                <w:sz w:val="14"/>
              </w:rPr>
              <w:t>5%</w:t>
            </w:r>
            <w:r>
              <w:rPr>
                <w:spacing w:val="-11"/>
                <w:sz w:val="14"/>
              </w:rPr>
              <w:t> </w:t>
            </w:r>
            <w:r>
              <w:rPr>
                <w:spacing w:val="-1"/>
                <w:w w:val="88"/>
                <w:sz w:val="14"/>
              </w:rPr>
              <w:t>e</w:t>
            </w:r>
            <w:r>
              <w:rPr>
                <w:w w:val="81"/>
                <w:sz w:val="14"/>
              </w:rPr>
              <w:t>f</w:t>
            </w:r>
            <w:r>
              <w:rPr>
                <w:spacing w:val="-1"/>
                <w:w w:val="88"/>
                <w:sz w:val="14"/>
              </w:rPr>
              <w:t>e</w:t>
            </w:r>
            <w:r>
              <w:rPr>
                <w:w w:val="84"/>
                <w:sz w:val="14"/>
              </w:rPr>
              <w:t>t</w:t>
            </w:r>
            <w:r>
              <w:rPr>
                <w:w w:val="100"/>
                <w:sz w:val="14"/>
              </w:rPr>
              <w:t>i</w:t>
            </w:r>
            <w:r>
              <w:rPr>
                <w:spacing w:val="-1"/>
                <w:w w:val="100"/>
                <w:sz w:val="14"/>
              </w:rPr>
              <w:t>v</w:t>
            </w:r>
            <w:r>
              <w:rPr>
                <w:w w:val="98"/>
                <w:sz w:val="14"/>
              </w:rPr>
              <w:t>o</w:t>
            </w:r>
            <w:r>
              <w:rPr>
                <w:spacing w:val="-9"/>
                <w:sz w:val="14"/>
              </w:rPr>
              <w:t> </w:t>
            </w:r>
            <w:r>
              <w:rPr>
                <w:spacing w:val="-1"/>
                <w:w w:val="92"/>
                <w:sz w:val="14"/>
              </w:rPr>
              <w:t>a</w:t>
            </w:r>
            <w:r>
              <w:rPr>
                <w:spacing w:val="-1"/>
                <w:w w:val="77"/>
                <w:sz w:val="14"/>
              </w:rPr>
              <w:t>.a</w:t>
            </w:r>
            <w:r>
              <w:rPr>
                <w:w w:val="55"/>
                <w:sz w:val="14"/>
              </w:rPr>
              <w:t>.</w:t>
            </w:r>
          </w:p>
        </w:tc>
      </w:tr>
      <w:tr>
        <w:trPr>
          <w:trHeight w:val="239" w:hRule="atLeast"/>
        </w:trPr>
        <w:tc>
          <w:tcPr>
            <w:tcW w:w="2067" w:type="dxa"/>
          </w:tcPr>
          <w:p>
            <w:pPr>
              <w:pStyle w:val="TableParagraph"/>
              <w:spacing w:before="37"/>
              <w:ind w:left="72"/>
              <w:rPr>
                <w:rFonts w:ascii="Caladea" w:hAnsi="Caladea"/>
                <w:b/>
                <w:sz w:val="14"/>
              </w:rPr>
            </w:pPr>
            <w:r>
              <w:rPr>
                <w:sz w:val="14"/>
              </w:rPr>
              <w:t>Caixa Econômica Federal </w:t>
            </w:r>
            <w:r>
              <w:rPr>
                <w:rFonts w:ascii="Caladea" w:hAnsi="Caladea"/>
                <w:b/>
                <w:sz w:val="14"/>
              </w:rPr>
              <w:t>(a)</w:t>
            </w:r>
          </w:p>
        </w:tc>
        <w:tc>
          <w:tcPr>
            <w:tcW w:w="1196" w:type="dxa"/>
          </w:tcPr>
          <w:p>
            <w:pPr>
              <w:pStyle w:val="TableParagraph"/>
              <w:rPr>
                <w:rFonts w:ascii="Times New Roman"/>
                <w:sz w:val="16"/>
              </w:rPr>
            </w:pPr>
          </w:p>
        </w:tc>
        <w:tc>
          <w:tcPr>
            <w:tcW w:w="946" w:type="dxa"/>
          </w:tcPr>
          <w:p>
            <w:pPr>
              <w:pStyle w:val="TableParagraph"/>
              <w:spacing w:before="38"/>
              <w:ind w:right="62"/>
              <w:jc w:val="right"/>
              <w:rPr>
                <w:sz w:val="14"/>
              </w:rPr>
            </w:pPr>
            <w:r>
              <w:rPr>
                <w:w w:val="95"/>
                <w:sz w:val="14"/>
              </w:rPr>
              <w:t>17.271</w:t>
            </w:r>
          </w:p>
        </w:tc>
        <w:tc>
          <w:tcPr>
            <w:tcW w:w="944" w:type="dxa"/>
          </w:tcPr>
          <w:p>
            <w:pPr>
              <w:pStyle w:val="TableParagraph"/>
              <w:spacing w:before="38"/>
              <w:ind w:right="61"/>
              <w:jc w:val="right"/>
              <w:rPr>
                <w:sz w:val="14"/>
              </w:rPr>
            </w:pPr>
            <w:r>
              <w:rPr>
                <w:w w:val="95"/>
                <w:sz w:val="14"/>
              </w:rPr>
              <w:t>43.626</w:t>
            </w:r>
          </w:p>
        </w:tc>
        <w:tc>
          <w:tcPr>
            <w:tcW w:w="4830" w:type="dxa"/>
          </w:tcPr>
          <w:p>
            <w:pPr>
              <w:pStyle w:val="TableParagraph"/>
              <w:spacing w:before="38"/>
              <w:ind w:left="70"/>
              <w:rPr>
                <w:sz w:val="14"/>
              </w:rPr>
            </w:pPr>
            <w:r>
              <w:rPr>
                <w:sz w:val="14"/>
              </w:rPr>
              <w:t>140% do CDI CETIP (durante o período de utilização).</w:t>
            </w:r>
          </w:p>
        </w:tc>
      </w:tr>
      <w:tr>
        <w:trPr>
          <w:trHeight w:val="328" w:hRule="atLeast"/>
        </w:trPr>
        <w:tc>
          <w:tcPr>
            <w:tcW w:w="2067" w:type="dxa"/>
          </w:tcPr>
          <w:p>
            <w:pPr>
              <w:pStyle w:val="TableParagraph"/>
              <w:ind w:left="72"/>
              <w:rPr>
                <w:sz w:val="14"/>
              </w:rPr>
            </w:pPr>
            <w:r>
              <w:rPr>
                <w:sz w:val="14"/>
              </w:rPr>
              <w:t>Caixa Econômica</w:t>
            </w:r>
          </w:p>
          <w:p>
            <w:pPr>
              <w:pStyle w:val="TableParagraph"/>
              <w:spacing w:line="144" w:lineRule="exact" w:before="2"/>
              <w:ind w:left="72"/>
              <w:rPr>
                <w:rFonts w:ascii="Caladea"/>
                <w:b/>
                <w:sz w:val="14"/>
              </w:rPr>
            </w:pPr>
            <w:r>
              <w:rPr>
                <w:sz w:val="14"/>
              </w:rPr>
              <w:t>Federal/BNDES </w:t>
            </w:r>
            <w:r>
              <w:rPr>
                <w:rFonts w:ascii="Caladea"/>
                <w:b/>
                <w:sz w:val="14"/>
              </w:rPr>
              <w:t>(a)</w:t>
            </w:r>
          </w:p>
        </w:tc>
        <w:tc>
          <w:tcPr>
            <w:tcW w:w="1196" w:type="dxa"/>
          </w:tcPr>
          <w:p>
            <w:pPr>
              <w:pStyle w:val="TableParagraph"/>
              <w:rPr>
                <w:rFonts w:ascii="Times New Roman"/>
                <w:sz w:val="16"/>
              </w:rPr>
            </w:pPr>
          </w:p>
        </w:tc>
        <w:tc>
          <w:tcPr>
            <w:tcW w:w="946" w:type="dxa"/>
          </w:tcPr>
          <w:p>
            <w:pPr>
              <w:pStyle w:val="TableParagraph"/>
              <w:spacing w:before="82"/>
              <w:ind w:right="62"/>
              <w:jc w:val="right"/>
              <w:rPr>
                <w:sz w:val="14"/>
              </w:rPr>
            </w:pPr>
            <w:r>
              <w:rPr>
                <w:w w:val="95"/>
                <w:sz w:val="14"/>
              </w:rPr>
              <w:t>22.419</w:t>
            </w:r>
          </w:p>
        </w:tc>
        <w:tc>
          <w:tcPr>
            <w:tcW w:w="944" w:type="dxa"/>
          </w:tcPr>
          <w:p>
            <w:pPr>
              <w:pStyle w:val="TableParagraph"/>
              <w:spacing w:before="82"/>
              <w:ind w:right="61"/>
              <w:jc w:val="right"/>
              <w:rPr>
                <w:sz w:val="14"/>
              </w:rPr>
            </w:pPr>
            <w:r>
              <w:rPr>
                <w:w w:val="95"/>
                <w:sz w:val="14"/>
              </w:rPr>
              <w:t>25.965</w:t>
            </w:r>
          </w:p>
        </w:tc>
        <w:tc>
          <w:tcPr>
            <w:tcW w:w="4830" w:type="dxa"/>
          </w:tcPr>
          <w:p>
            <w:pPr>
              <w:pStyle w:val="TableParagraph"/>
              <w:spacing w:before="82"/>
              <w:ind w:left="70"/>
              <w:rPr>
                <w:sz w:val="14"/>
              </w:rPr>
            </w:pPr>
            <w:r>
              <w:rPr>
                <w:sz w:val="14"/>
              </w:rPr>
              <w:t>4,5% a.a + TLP</w:t>
            </w:r>
          </w:p>
        </w:tc>
      </w:tr>
      <w:tr>
        <w:trPr>
          <w:trHeight w:val="328" w:hRule="atLeast"/>
        </w:trPr>
        <w:tc>
          <w:tcPr>
            <w:tcW w:w="2067" w:type="dxa"/>
          </w:tcPr>
          <w:p>
            <w:pPr>
              <w:pStyle w:val="TableParagraph"/>
              <w:ind w:left="72"/>
              <w:rPr>
                <w:sz w:val="14"/>
              </w:rPr>
            </w:pPr>
            <w:r>
              <w:rPr>
                <w:sz w:val="14"/>
              </w:rPr>
              <w:t>Caixa Econômica</w:t>
            </w:r>
          </w:p>
          <w:p>
            <w:pPr>
              <w:pStyle w:val="TableParagraph"/>
              <w:spacing w:line="144" w:lineRule="exact" w:before="2"/>
              <w:ind w:left="72"/>
              <w:rPr>
                <w:rFonts w:ascii="Caladea"/>
                <w:b/>
                <w:sz w:val="14"/>
              </w:rPr>
            </w:pPr>
            <w:r>
              <w:rPr>
                <w:sz w:val="14"/>
              </w:rPr>
              <w:t>Federal/BNDES </w:t>
            </w:r>
            <w:r>
              <w:rPr>
                <w:rFonts w:ascii="Caladea"/>
                <w:b/>
                <w:sz w:val="14"/>
              </w:rPr>
              <w:t>(a)</w:t>
            </w:r>
          </w:p>
        </w:tc>
        <w:tc>
          <w:tcPr>
            <w:tcW w:w="1196" w:type="dxa"/>
          </w:tcPr>
          <w:p>
            <w:pPr>
              <w:pStyle w:val="TableParagraph"/>
              <w:rPr>
                <w:rFonts w:ascii="Times New Roman"/>
                <w:sz w:val="16"/>
              </w:rPr>
            </w:pPr>
          </w:p>
        </w:tc>
        <w:tc>
          <w:tcPr>
            <w:tcW w:w="946" w:type="dxa"/>
          </w:tcPr>
          <w:p>
            <w:pPr>
              <w:pStyle w:val="TableParagraph"/>
              <w:spacing w:before="82"/>
              <w:ind w:right="63"/>
              <w:jc w:val="right"/>
              <w:rPr>
                <w:sz w:val="14"/>
              </w:rPr>
            </w:pPr>
            <w:r>
              <w:rPr>
                <w:w w:val="95"/>
                <w:sz w:val="14"/>
              </w:rPr>
              <w:t>3.870</w:t>
            </w:r>
          </w:p>
        </w:tc>
        <w:tc>
          <w:tcPr>
            <w:tcW w:w="944" w:type="dxa"/>
          </w:tcPr>
          <w:p>
            <w:pPr>
              <w:pStyle w:val="TableParagraph"/>
              <w:spacing w:before="82"/>
              <w:ind w:right="61"/>
              <w:jc w:val="right"/>
              <w:rPr>
                <w:sz w:val="14"/>
              </w:rPr>
            </w:pPr>
            <w:r>
              <w:rPr>
                <w:w w:val="95"/>
                <w:sz w:val="14"/>
              </w:rPr>
              <w:t>9.094</w:t>
            </w:r>
          </w:p>
        </w:tc>
        <w:tc>
          <w:tcPr>
            <w:tcW w:w="4830" w:type="dxa"/>
          </w:tcPr>
          <w:p>
            <w:pPr>
              <w:pStyle w:val="TableParagraph"/>
              <w:spacing w:before="82"/>
              <w:ind w:left="70"/>
              <w:rPr>
                <w:sz w:val="14"/>
              </w:rPr>
            </w:pPr>
            <w:r>
              <w:rPr>
                <w:sz w:val="14"/>
              </w:rPr>
              <w:t>4,5% a.a + UMBNDES</w:t>
            </w:r>
          </w:p>
        </w:tc>
      </w:tr>
      <w:tr>
        <w:trPr>
          <w:trHeight w:val="328" w:hRule="atLeast"/>
        </w:trPr>
        <w:tc>
          <w:tcPr>
            <w:tcW w:w="2067" w:type="dxa"/>
          </w:tcPr>
          <w:p>
            <w:pPr>
              <w:pStyle w:val="TableParagraph"/>
              <w:ind w:left="72"/>
              <w:rPr>
                <w:sz w:val="14"/>
              </w:rPr>
            </w:pPr>
            <w:r>
              <w:rPr>
                <w:sz w:val="14"/>
              </w:rPr>
              <w:t>Caixa Econômica</w:t>
            </w:r>
          </w:p>
          <w:p>
            <w:pPr>
              <w:pStyle w:val="TableParagraph"/>
              <w:spacing w:line="144" w:lineRule="exact" w:before="2"/>
              <w:ind w:left="72"/>
              <w:rPr>
                <w:rFonts w:ascii="Caladea"/>
                <w:b/>
                <w:sz w:val="14"/>
              </w:rPr>
            </w:pPr>
            <w:r>
              <w:rPr>
                <w:sz w:val="14"/>
              </w:rPr>
              <w:t>Federal/BNDES </w:t>
            </w:r>
            <w:r>
              <w:rPr>
                <w:rFonts w:ascii="Caladea"/>
                <w:b/>
                <w:sz w:val="14"/>
              </w:rPr>
              <w:t>(a)</w:t>
            </w:r>
          </w:p>
        </w:tc>
        <w:tc>
          <w:tcPr>
            <w:tcW w:w="1196" w:type="dxa"/>
          </w:tcPr>
          <w:p>
            <w:pPr>
              <w:pStyle w:val="TableParagraph"/>
              <w:rPr>
                <w:rFonts w:ascii="Times New Roman"/>
                <w:sz w:val="16"/>
              </w:rPr>
            </w:pPr>
          </w:p>
        </w:tc>
        <w:tc>
          <w:tcPr>
            <w:tcW w:w="946" w:type="dxa"/>
          </w:tcPr>
          <w:p>
            <w:pPr>
              <w:pStyle w:val="TableParagraph"/>
              <w:spacing w:before="82"/>
              <w:ind w:right="63"/>
              <w:jc w:val="right"/>
              <w:rPr>
                <w:sz w:val="14"/>
              </w:rPr>
            </w:pPr>
            <w:r>
              <w:rPr>
                <w:w w:val="95"/>
                <w:sz w:val="14"/>
              </w:rPr>
              <w:t>5.852</w:t>
            </w:r>
          </w:p>
        </w:tc>
        <w:tc>
          <w:tcPr>
            <w:tcW w:w="944" w:type="dxa"/>
          </w:tcPr>
          <w:p>
            <w:pPr>
              <w:pStyle w:val="TableParagraph"/>
              <w:spacing w:before="82"/>
              <w:ind w:right="61"/>
              <w:jc w:val="right"/>
              <w:rPr>
                <w:sz w:val="14"/>
              </w:rPr>
            </w:pPr>
            <w:r>
              <w:rPr>
                <w:w w:val="95"/>
                <w:sz w:val="14"/>
              </w:rPr>
              <w:t>11.192</w:t>
            </w:r>
          </w:p>
        </w:tc>
        <w:tc>
          <w:tcPr>
            <w:tcW w:w="4830" w:type="dxa"/>
          </w:tcPr>
          <w:p>
            <w:pPr>
              <w:pStyle w:val="TableParagraph"/>
              <w:spacing w:before="82"/>
              <w:ind w:left="70"/>
              <w:rPr>
                <w:sz w:val="14"/>
              </w:rPr>
            </w:pPr>
            <w:r>
              <w:rPr>
                <w:w w:val="110"/>
                <w:sz w:val="14"/>
              </w:rPr>
              <w:t>6% </w:t>
            </w:r>
            <w:r>
              <w:rPr>
                <w:sz w:val="14"/>
              </w:rPr>
              <w:t>a.a</w:t>
            </w:r>
          </w:p>
        </w:tc>
      </w:tr>
      <w:tr>
        <w:trPr>
          <w:trHeight w:val="239" w:hRule="atLeast"/>
        </w:trPr>
        <w:tc>
          <w:tcPr>
            <w:tcW w:w="2067" w:type="dxa"/>
          </w:tcPr>
          <w:p>
            <w:pPr>
              <w:pStyle w:val="TableParagraph"/>
              <w:spacing w:before="38"/>
              <w:ind w:left="72"/>
              <w:rPr>
                <w:sz w:val="14"/>
              </w:rPr>
            </w:pPr>
            <w:r>
              <w:rPr>
                <w:sz w:val="14"/>
              </w:rPr>
              <w:t>Banco BCV</w:t>
            </w:r>
          </w:p>
        </w:tc>
        <w:tc>
          <w:tcPr>
            <w:tcW w:w="1196" w:type="dxa"/>
          </w:tcPr>
          <w:p>
            <w:pPr>
              <w:pStyle w:val="TableParagraph"/>
              <w:rPr>
                <w:rFonts w:ascii="Times New Roman"/>
                <w:sz w:val="16"/>
              </w:rPr>
            </w:pPr>
          </w:p>
        </w:tc>
        <w:tc>
          <w:tcPr>
            <w:tcW w:w="946" w:type="dxa"/>
          </w:tcPr>
          <w:p>
            <w:pPr>
              <w:pStyle w:val="TableParagraph"/>
              <w:rPr>
                <w:rFonts w:ascii="Times New Roman"/>
                <w:sz w:val="16"/>
              </w:rPr>
            </w:pPr>
          </w:p>
        </w:tc>
        <w:tc>
          <w:tcPr>
            <w:tcW w:w="944" w:type="dxa"/>
          </w:tcPr>
          <w:p>
            <w:pPr>
              <w:pStyle w:val="TableParagraph"/>
              <w:spacing w:before="38"/>
              <w:ind w:right="61"/>
              <w:jc w:val="right"/>
              <w:rPr>
                <w:sz w:val="14"/>
              </w:rPr>
            </w:pPr>
            <w:r>
              <w:rPr>
                <w:sz w:val="14"/>
              </w:rPr>
              <w:t>991</w:t>
            </w:r>
          </w:p>
        </w:tc>
        <w:tc>
          <w:tcPr>
            <w:tcW w:w="4830" w:type="dxa"/>
          </w:tcPr>
          <w:p>
            <w:pPr>
              <w:pStyle w:val="TableParagraph"/>
              <w:spacing w:before="38"/>
              <w:ind w:left="70"/>
              <w:rPr>
                <w:sz w:val="14"/>
              </w:rPr>
            </w:pPr>
            <w:r>
              <w:rPr>
                <w:sz w:val="14"/>
              </w:rPr>
              <w:t>6,5% a.a + CDI CETIP</w:t>
            </w:r>
          </w:p>
        </w:tc>
      </w:tr>
      <w:tr>
        <w:trPr>
          <w:trHeight w:val="237" w:hRule="atLeast"/>
        </w:trPr>
        <w:tc>
          <w:tcPr>
            <w:tcW w:w="2067" w:type="dxa"/>
          </w:tcPr>
          <w:p>
            <w:pPr>
              <w:pStyle w:val="TableParagraph"/>
              <w:spacing w:before="35"/>
              <w:ind w:left="72"/>
              <w:rPr>
                <w:rFonts w:ascii="Caladea"/>
                <w:b/>
                <w:sz w:val="14"/>
              </w:rPr>
            </w:pPr>
            <w:r>
              <w:rPr>
                <w:sz w:val="14"/>
              </w:rPr>
              <w:t>Banco FIBRA </w:t>
            </w:r>
            <w:r>
              <w:rPr>
                <w:rFonts w:ascii="Caladea"/>
                <w:b/>
                <w:sz w:val="14"/>
              </w:rPr>
              <w:t>(b)</w:t>
            </w:r>
          </w:p>
        </w:tc>
        <w:tc>
          <w:tcPr>
            <w:tcW w:w="1196" w:type="dxa"/>
          </w:tcPr>
          <w:p>
            <w:pPr>
              <w:pStyle w:val="TableParagraph"/>
              <w:rPr>
                <w:rFonts w:ascii="Times New Roman"/>
                <w:sz w:val="16"/>
              </w:rPr>
            </w:pPr>
          </w:p>
        </w:tc>
        <w:tc>
          <w:tcPr>
            <w:tcW w:w="946" w:type="dxa"/>
          </w:tcPr>
          <w:p>
            <w:pPr>
              <w:pStyle w:val="TableParagraph"/>
              <w:spacing w:before="36"/>
              <w:ind w:right="62"/>
              <w:jc w:val="right"/>
              <w:rPr>
                <w:sz w:val="14"/>
              </w:rPr>
            </w:pPr>
            <w:r>
              <w:rPr>
                <w:w w:val="95"/>
                <w:sz w:val="14"/>
              </w:rPr>
              <w:t>49.443</w:t>
            </w:r>
          </w:p>
        </w:tc>
        <w:tc>
          <w:tcPr>
            <w:tcW w:w="944" w:type="dxa"/>
          </w:tcPr>
          <w:p>
            <w:pPr>
              <w:pStyle w:val="TableParagraph"/>
              <w:spacing w:before="36"/>
              <w:ind w:right="61"/>
              <w:jc w:val="right"/>
              <w:rPr>
                <w:sz w:val="14"/>
              </w:rPr>
            </w:pPr>
            <w:r>
              <w:rPr>
                <w:w w:val="95"/>
                <w:sz w:val="14"/>
              </w:rPr>
              <w:t>61.514</w:t>
            </w:r>
          </w:p>
        </w:tc>
        <w:tc>
          <w:tcPr>
            <w:tcW w:w="4830" w:type="dxa"/>
          </w:tcPr>
          <w:p>
            <w:pPr>
              <w:pStyle w:val="TableParagraph"/>
              <w:spacing w:before="36"/>
              <w:ind w:left="70"/>
              <w:rPr>
                <w:sz w:val="14"/>
              </w:rPr>
            </w:pPr>
            <w:r>
              <w:rPr>
                <w:sz w:val="14"/>
              </w:rPr>
              <w:t>4,5% a.a. + CDI</w:t>
            </w:r>
          </w:p>
        </w:tc>
      </w:tr>
      <w:tr>
        <w:trPr>
          <w:trHeight w:val="239" w:hRule="atLeast"/>
        </w:trPr>
        <w:tc>
          <w:tcPr>
            <w:tcW w:w="2067" w:type="dxa"/>
          </w:tcPr>
          <w:p>
            <w:pPr>
              <w:pStyle w:val="TableParagraph"/>
              <w:spacing w:before="38"/>
              <w:ind w:left="72"/>
              <w:rPr>
                <w:sz w:val="14"/>
              </w:rPr>
            </w:pPr>
            <w:r>
              <w:rPr>
                <w:sz w:val="14"/>
              </w:rPr>
              <w:t>Banco SOFISA</w:t>
            </w:r>
          </w:p>
        </w:tc>
        <w:tc>
          <w:tcPr>
            <w:tcW w:w="1196" w:type="dxa"/>
          </w:tcPr>
          <w:p>
            <w:pPr>
              <w:pStyle w:val="TableParagraph"/>
              <w:rPr>
                <w:rFonts w:ascii="Times New Roman"/>
                <w:sz w:val="16"/>
              </w:rPr>
            </w:pPr>
          </w:p>
        </w:tc>
        <w:tc>
          <w:tcPr>
            <w:tcW w:w="946" w:type="dxa"/>
          </w:tcPr>
          <w:p>
            <w:pPr>
              <w:pStyle w:val="TableParagraph"/>
              <w:spacing w:before="38"/>
              <w:ind w:right="62"/>
              <w:jc w:val="right"/>
              <w:rPr>
                <w:sz w:val="14"/>
              </w:rPr>
            </w:pPr>
            <w:r>
              <w:rPr>
                <w:w w:val="95"/>
                <w:sz w:val="14"/>
              </w:rPr>
              <w:t>10.072</w:t>
            </w:r>
          </w:p>
        </w:tc>
        <w:tc>
          <w:tcPr>
            <w:tcW w:w="944" w:type="dxa"/>
          </w:tcPr>
          <w:p>
            <w:pPr>
              <w:pStyle w:val="TableParagraph"/>
              <w:spacing w:before="38"/>
              <w:ind w:right="61"/>
              <w:jc w:val="right"/>
              <w:rPr>
                <w:sz w:val="14"/>
              </w:rPr>
            </w:pPr>
            <w:r>
              <w:rPr>
                <w:w w:val="95"/>
                <w:sz w:val="14"/>
              </w:rPr>
              <w:t>16.760</w:t>
            </w:r>
          </w:p>
        </w:tc>
        <w:tc>
          <w:tcPr>
            <w:tcW w:w="4830" w:type="dxa"/>
          </w:tcPr>
          <w:p>
            <w:pPr>
              <w:pStyle w:val="TableParagraph"/>
              <w:spacing w:before="38"/>
              <w:ind w:left="70"/>
              <w:rPr>
                <w:sz w:val="14"/>
              </w:rPr>
            </w:pPr>
            <w:r>
              <w:rPr>
                <w:sz w:val="14"/>
              </w:rPr>
              <w:t>4,5% a.a. + CDI</w:t>
            </w:r>
          </w:p>
        </w:tc>
      </w:tr>
      <w:tr>
        <w:trPr>
          <w:trHeight w:val="239" w:hRule="atLeast"/>
        </w:trPr>
        <w:tc>
          <w:tcPr>
            <w:tcW w:w="2067" w:type="dxa"/>
          </w:tcPr>
          <w:p>
            <w:pPr>
              <w:pStyle w:val="TableParagraph"/>
              <w:spacing w:before="37"/>
              <w:ind w:left="72"/>
              <w:rPr>
                <w:rFonts w:ascii="Caladea"/>
                <w:b/>
                <w:sz w:val="14"/>
              </w:rPr>
            </w:pPr>
            <w:r>
              <w:rPr>
                <w:sz w:val="14"/>
              </w:rPr>
              <w:t>Banco Daycoval </w:t>
            </w:r>
            <w:r>
              <w:rPr>
                <w:rFonts w:ascii="Caladea"/>
                <w:b/>
                <w:sz w:val="14"/>
              </w:rPr>
              <w:t>(c)</w:t>
            </w:r>
          </w:p>
        </w:tc>
        <w:tc>
          <w:tcPr>
            <w:tcW w:w="1196" w:type="dxa"/>
          </w:tcPr>
          <w:p>
            <w:pPr>
              <w:pStyle w:val="TableParagraph"/>
              <w:rPr>
                <w:rFonts w:ascii="Times New Roman"/>
                <w:sz w:val="16"/>
              </w:rPr>
            </w:pPr>
          </w:p>
        </w:tc>
        <w:tc>
          <w:tcPr>
            <w:tcW w:w="946" w:type="dxa"/>
          </w:tcPr>
          <w:p>
            <w:pPr>
              <w:pStyle w:val="TableParagraph"/>
              <w:spacing w:before="38"/>
              <w:ind w:right="62"/>
              <w:jc w:val="right"/>
              <w:rPr>
                <w:sz w:val="14"/>
              </w:rPr>
            </w:pPr>
            <w:r>
              <w:rPr>
                <w:w w:val="95"/>
                <w:sz w:val="14"/>
              </w:rPr>
              <w:t>40.722</w:t>
            </w:r>
          </w:p>
        </w:tc>
        <w:tc>
          <w:tcPr>
            <w:tcW w:w="944" w:type="dxa"/>
          </w:tcPr>
          <w:p>
            <w:pPr>
              <w:pStyle w:val="TableParagraph"/>
              <w:spacing w:before="38"/>
              <w:ind w:right="61"/>
              <w:jc w:val="right"/>
              <w:rPr>
                <w:sz w:val="14"/>
              </w:rPr>
            </w:pPr>
            <w:r>
              <w:rPr>
                <w:w w:val="95"/>
                <w:sz w:val="14"/>
              </w:rPr>
              <w:t>59.748</w:t>
            </w:r>
          </w:p>
        </w:tc>
        <w:tc>
          <w:tcPr>
            <w:tcW w:w="4830" w:type="dxa"/>
          </w:tcPr>
          <w:p>
            <w:pPr>
              <w:pStyle w:val="TableParagraph"/>
              <w:spacing w:before="38"/>
              <w:ind w:left="70"/>
              <w:rPr>
                <w:sz w:val="14"/>
              </w:rPr>
            </w:pPr>
            <w:r>
              <w:rPr>
                <w:sz w:val="14"/>
              </w:rPr>
              <w:t>4,0 a.a. + CDI</w:t>
            </w:r>
          </w:p>
        </w:tc>
      </w:tr>
      <w:tr>
        <w:trPr>
          <w:trHeight w:val="239" w:hRule="atLeast"/>
        </w:trPr>
        <w:tc>
          <w:tcPr>
            <w:tcW w:w="2067" w:type="dxa"/>
          </w:tcPr>
          <w:p>
            <w:pPr>
              <w:pStyle w:val="TableParagraph"/>
              <w:spacing w:before="38"/>
              <w:ind w:left="72"/>
              <w:rPr>
                <w:sz w:val="14"/>
              </w:rPr>
            </w:pPr>
            <w:r>
              <w:rPr>
                <w:sz w:val="14"/>
              </w:rPr>
              <w:t>Banco ABC</w:t>
            </w:r>
          </w:p>
        </w:tc>
        <w:tc>
          <w:tcPr>
            <w:tcW w:w="1196" w:type="dxa"/>
          </w:tcPr>
          <w:p>
            <w:pPr>
              <w:pStyle w:val="TableParagraph"/>
              <w:rPr>
                <w:rFonts w:ascii="Times New Roman"/>
                <w:sz w:val="16"/>
              </w:rPr>
            </w:pPr>
          </w:p>
        </w:tc>
        <w:tc>
          <w:tcPr>
            <w:tcW w:w="946" w:type="dxa"/>
          </w:tcPr>
          <w:p>
            <w:pPr>
              <w:pStyle w:val="TableParagraph"/>
              <w:spacing w:before="38"/>
              <w:ind w:right="62"/>
              <w:jc w:val="right"/>
              <w:rPr>
                <w:sz w:val="14"/>
              </w:rPr>
            </w:pPr>
            <w:r>
              <w:rPr>
                <w:w w:val="95"/>
                <w:sz w:val="14"/>
              </w:rPr>
              <w:t>12.242</w:t>
            </w:r>
          </w:p>
        </w:tc>
        <w:tc>
          <w:tcPr>
            <w:tcW w:w="944" w:type="dxa"/>
          </w:tcPr>
          <w:p>
            <w:pPr>
              <w:pStyle w:val="TableParagraph"/>
              <w:spacing w:before="38"/>
              <w:ind w:right="61"/>
              <w:jc w:val="right"/>
              <w:rPr>
                <w:sz w:val="14"/>
              </w:rPr>
            </w:pPr>
            <w:r>
              <w:rPr>
                <w:w w:val="95"/>
                <w:sz w:val="14"/>
              </w:rPr>
              <w:t>20.488</w:t>
            </w:r>
          </w:p>
        </w:tc>
        <w:tc>
          <w:tcPr>
            <w:tcW w:w="4830" w:type="dxa"/>
          </w:tcPr>
          <w:p>
            <w:pPr>
              <w:pStyle w:val="TableParagraph"/>
              <w:spacing w:before="38"/>
              <w:ind w:left="70"/>
              <w:rPr>
                <w:sz w:val="14"/>
              </w:rPr>
            </w:pPr>
            <w:r>
              <w:rPr>
                <w:sz w:val="14"/>
              </w:rPr>
              <w:t>CDI + 5,03% a.a.</w:t>
            </w:r>
          </w:p>
        </w:tc>
      </w:tr>
      <w:tr>
        <w:trPr>
          <w:trHeight w:val="237" w:hRule="atLeast"/>
        </w:trPr>
        <w:tc>
          <w:tcPr>
            <w:tcW w:w="2067" w:type="dxa"/>
          </w:tcPr>
          <w:p>
            <w:pPr>
              <w:pStyle w:val="TableParagraph"/>
              <w:spacing w:before="36"/>
              <w:ind w:left="72"/>
              <w:rPr>
                <w:sz w:val="14"/>
              </w:rPr>
            </w:pPr>
            <w:r>
              <w:rPr>
                <w:sz w:val="14"/>
              </w:rPr>
              <w:t>Banco Original</w:t>
            </w:r>
          </w:p>
        </w:tc>
        <w:tc>
          <w:tcPr>
            <w:tcW w:w="1196" w:type="dxa"/>
          </w:tcPr>
          <w:p>
            <w:pPr>
              <w:pStyle w:val="TableParagraph"/>
              <w:rPr>
                <w:rFonts w:ascii="Times New Roman"/>
                <w:sz w:val="16"/>
              </w:rPr>
            </w:pPr>
          </w:p>
        </w:tc>
        <w:tc>
          <w:tcPr>
            <w:tcW w:w="946" w:type="dxa"/>
          </w:tcPr>
          <w:p>
            <w:pPr>
              <w:pStyle w:val="TableParagraph"/>
              <w:spacing w:before="36"/>
              <w:ind w:right="63"/>
              <w:jc w:val="right"/>
              <w:rPr>
                <w:sz w:val="14"/>
              </w:rPr>
            </w:pPr>
            <w:r>
              <w:rPr>
                <w:w w:val="95"/>
                <w:sz w:val="14"/>
              </w:rPr>
              <w:t>5.042</w:t>
            </w:r>
          </w:p>
        </w:tc>
        <w:tc>
          <w:tcPr>
            <w:tcW w:w="944" w:type="dxa"/>
          </w:tcPr>
          <w:p>
            <w:pPr>
              <w:pStyle w:val="TableParagraph"/>
              <w:spacing w:before="36"/>
              <w:ind w:right="61"/>
              <w:jc w:val="right"/>
              <w:rPr>
                <w:sz w:val="14"/>
              </w:rPr>
            </w:pPr>
            <w:r>
              <w:rPr>
                <w:w w:val="95"/>
                <w:sz w:val="14"/>
              </w:rPr>
              <w:t>13.682</w:t>
            </w:r>
          </w:p>
        </w:tc>
        <w:tc>
          <w:tcPr>
            <w:tcW w:w="4830" w:type="dxa"/>
          </w:tcPr>
          <w:p>
            <w:pPr>
              <w:pStyle w:val="TableParagraph"/>
              <w:spacing w:before="36"/>
              <w:ind w:left="70"/>
              <w:rPr>
                <w:sz w:val="14"/>
              </w:rPr>
            </w:pPr>
            <w:r>
              <w:rPr>
                <w:sz w:val="14"/>
              </w:rPr>
              <w:t>CDI + 5,04% a.a.</w:t>
            </w:r>
          </w:p>
        </w:tc>
      </w:tr>
      <w:tr>
        <w:trPr>
          <w:trHeight w:val="239" w:hRule="atLeast"/>
        </w:trPr>
        <w:tc>
          <w:tcPr>
            <w:tcW w:w="2067" w:type="dxa"/>
          </w:tcPr>
          <w:p>
            <w:pPr>
              <w:pStyle w:val="TableParagraph"/>
              <w:spacing w:before="37"/>
              <w:ind w:left="72"/>
              <w:rPr>
                <w:rFonts w:ascii="Caladea" w:hAnsi="Caladea"/>
                <w:b/>
                <w:sz w:val="14"/>
              </w:rPr>
            </w:pPr>
            <w:r>
              <w:rPr>
                <w:sz w:val="14"/>
              </w:rPr>
              <w:t>Banco de Brasília </w:t>
            </w:r>
            <w:r>
              <w:rPr>
                <w:rFonts w:ascii="Caladea" w:hAnsi="Caladea"/>
                <w:b/>
                <w:sz w:val="14"/>
              </w:rPr>
              <w:t>(d)</w:t>
            </w:r>
          </w:p>
        </w:tc>
        <w:tc>
          <w:tcPr>
            <w:tcW w:w="1196" w:type="dxa"/>
          </w:tcPr>
          <w:p>
            <w:pPr>
              <w:pStyle w:val="TableParagraph"/>
              <w:spacing w:before="38"/>
              <w:ind w:right="60"/>
              <w:jc w:val="right"/>
              <w:rPr>
                <w:sz w:val="14"/>
              </w:rPr>
            </w:pPr>
            <w:r>
              <w:rPr>
                <w:w w:val="95"/>
                <w:sz w:val="14"/>
              </w:rPr>
              <w:t>21.633</w:t>
            </w:r>
          </w:p>
        </w:tc>
        <w:tc>
          <w:tcPr>
            <w:tcW w:w="946" w:type="dxa"/>
          </w:tcPr>
          <w:p>
            <w:pPr>
              <w:pStyle w:val="TableParagraph"/>
              <w:spacing w:before="38"/>
              <w:ind w:right="62"/>
              <w:jc w:val="right"/>
              <w:rPr>
                <w:sz w:val="14"/>
              </w:rPr>
            </w:pPr>
            <w:r>
              <w:rPr>
                <w:w w:val="95"/>
                <w:sz w:val="14"/>
              </w:rPr>
              <w:t>21.633</w:t>
            </w:r>
          </w:p>
        </w:tc>
        <w:tc>
          <w:tcPr>
            <w:tcW w:w="944" w:type="dxa"/>
          </w:tcPr>
          <w:p>
            <w:pPr>
              <w:pStyle w:val="TableParagraph"/>
              <w:rPr>
                <w:rFonts w:ascii="Times New Roman"/>
                <w:sz w:val="16"/>
              </w:rPr>
            </w:pPr>
          </w:p>
        </w:tc>
        <w:tc>
          <w:tcPr>
            <w:tcW w:w="4830" w:type="dxa"/>
          </w:tcPr>
          <w:p>
            <w:pPr>
              <w:pStyle w:val="TableParagraph"/>
              <w:spacing w:before="38"/>
              <w:ind w:left="70"/>
              <w:rPr>
                <w:sz w:val="14"/>
              </w:rPr>
            </w:pPr>
            <w:r>
              <w:rPr>
                <w:sz w:val="14"/>
              </w:rPr>
              <w:t>CDI + 2,35% a.a.</w:t>
            </w:r>
          </w:p>
        </w:tc>
      </w:tr>
      <w:tr>
        <w:trPr>
          <w:trHeight w:val="239" w:hRule="atLeast"/>
        </w:trPr>
        <w:tc>
          <w:tcPr>
            <w:tcW w:w="2067" w:type="dxa"/>
          </w:tcPr>
          <w:p>
            <w:pPr>
              <w:pStyle w:val="TableParagraph"/>
              <w:spacing w:before="37"/>
              <w:ind w:left="72"/>
              <w:rPr>
                <w:rFonts w:ascii="Caladea" w:hAnsi="Caladea"/>
                <w:b/>
                <w:sz w:val="14"/>
              </w:rPr>
            </w:pPr>
            <w:r>
              <w:rPr>
                <w:sz w:val="14"/>
              </w:rPr>
              <w:t>Banco de Brasília </w:t>
            </w:r>
            <w:r>
              <w:rPr>
                <w:rFonts w:ascii="Caladea" w:hAnsi="Caladea"/>
                <w:b/>
                <w:sz w:val="14"/>
              </w:rPr>
              <w:t>(e)</w:t>
            </w:r>
          </w:p>
        </w:tc>
        <w:tc>
          <w:tcPr>
            <w:tcW w:w="1196" w:type="dxa"/>
          </w:tcPr>
          <w:p>
            <w:pPr>
              <w:pStyle w:val="TableParagraph"/>
              <w:spacing w:before="38"/>
              <w:ind w:right="60"/>
              <w:jc w:val="right"/>
              <w:rPr>
                <w:sz w:val="14"/>
              </w:rPr>
            </w:pPr>
            <w:r>
              <w:rPr>
                <w:w w:val="95"/>
                <w:sz w:val="14"/>
              </w:rPr>
              <w:t>24.000</w:t>
            </w:r>
          </w:p>
        </w:tc>
        <w:tc>
          <w:tcPr>
            <w:tcW w:w="946" w:type="dxa"/>
          </w:tcPr>
          <w:p>
            <w:pPr>
              <w:pStyle w:val="TableParagraph"/>
              <w:spacing w:before="38"/>
              <w:ind w:right="62"/>
              <w:jc w:val="right"/>
              <w:rPr>
                <w:sz w:val="14"/>
              </w:rPr>
            </w:pPr>
            <w:r>
              <w:rPr>
                <w:w w:val="95"/>
                <w:sz w:val="14"/>
              </w:rPr>
              <w:t>24.000</w:t>
            </w:r>
          </w:p>
        </w:tc>
        <w:tc>
          <w:tcPr>
            <w:tcW w:w="944" w:type="dxa"/>
          </w:tcPr>
          <w:p>
            <w:pPr>
              <w:pStyle w:val="TableParagraph"/>
              <w:rPr>
                <w:rFonts w:ascii="Times New Roman"/>
                <w:sz w:val="16"/>
              </w:rPr>
            </w:pPr>
          </w:p>
        </w:tc>
        <w:tc>
          <w:tcPr>
            <w:tcW w:w="4830" w:type="dxa"/>
          </w:tcPr>
          <w:p>
            <w:pPr>
              <w:pStyle w:val="TableParagraph"/>
              <w:spacing w:before="38"/>
              <w:ind w:left="70"/>
              <w:rPr>
                <w:sz w:val="14"/>
              </w:rPr>
            </w:pPr>
            <w:r>
              <w:rPr>
                <w:sz w:val="14"/>
              </w:rPr>
              <w:t>CDI + 4,0% a.a.</w:t>
            </w:r>
          </w:p>
        </w:tc>
      </w:tr>
      <w:tr>
        <w:trPr>
          <w:trHeight w:val="239" w:hRule="atLeast"/>
        </w:trPr>
        <w:tc>
          <w:tcPr>
            <w:tcW w:w="2067" w:type="dxa"/>
          </w:tcPr>
          <w:p>
            <w:pPr>
              <w:pStyle w:val="TableParagraph"/>
              <w:spacing w:before="37"/>
              <w:ind w:left="72"/>
              <w:rPr>
                <w:rFonts w:ascii="Caladea"/>
                <w:b/>
                <w:sz w:val="14"/>
              </w:rPr>
            </w:pPr>
            <w:r>
              <w:rPr>
                <w:sz w:val="14"/>
              </w:rPr>
              <w:t>Banco CCB </w:t>
            </w:r>
            <w:r>
              <w:rPr>
                <w:rFonts w:ascii="Caladea"/>
                <w:b/>
                <w:sz w:val="14"/>
              </w:rPr>
              <w:t>(e)</w:t>
            </w:r>
          </w:p>
        </w:tc>
        <w:tc>
          <w:tcPr>
            <w:tcW w:w="1196" w:type="dxa"/>
          </w:tcPr>
          <w:p>
            <w:pPr>
              <w:pStyle w:val="TableParagraph"/>
              <w:spacing w:before="38"/>
              <w:ind w:right="60"/>
              <w:jc w:val="right"/>
              <w:rPr>
                <w:sz w:val="14"/>
              </w:rPr>
            </w:pPr>
            <w:r>
              <w:rPr>
                <w:w w:val="95"/>
                <w:sz w:val="14"/>
              </w:rPr>
              <w:t>70.000</w:t>
            </w:r>
          </w:p>
        </w:tc>
        <w:tc>
          <w:tcPr>
            <w:tcW w:w="946" w:type="dxa"/>
          </w:tcPr>
          <w:p>
            <w:pPr>
              <w:pStyle w:val="TableParagraph"/>
              <w:spacing w:before="38"/>
              <w:ind w:right="62"/>
              <w:jc w:val="right"/>
              <w:rPr>
                <w:sz w:val="14"/>
              </w:rPr>
            </w:pPr>
            <w:r>
              <w:rPr>
                <w:w w:val="95"/>
                <w:sz w:val="14"/>
              </w:rPr>
              <w:t>70.000</w:t>
            </w:r>
          </w:p>
        </w:tc>
        <w:tc>
          <w:tcPr>
            <w:tcW w:w="944" w:type="dxa"/>
          </w:tcPr>
          <w:p>
            <w:pPr>
              <w:pStyle w:val="TableParagraph"/>
              <w:rPr>
                <w:rFonts w:ascii="Times New Roman"/>
                <w:sz w:val="16"/>
              </w:rPr>
            </w:pPr>
          </w:p>
        </w:tc>
        <w:tc>
          <w:tcPr>
            <w:tcW w:w="4830" w:type="dxa"/>
          </w:tcPr>
          <w:p>
            <w:pPr>
              <w:pStyle w:val="TableParagraph"/>
              <w:spacing w:before="38"/>
              <w:ind w:left="70"/>
              <w:rPr>
                <w:sz w:val="14"/>
              </w:rPr>
            </w:pPr>
            <w:r>
              <w:rPr>
                <w:sz w:val="14"/>
              </w:rPr>
              <w:t>CDI + 3,9% a.a.</w:t>
            </w:r>
          </w:p>
        </w:tc>
      </w:tr>
      <w:tr>
        <w:trPr>
          <w:trHeight w:val="237" w:hRule="atLeast"/>
        </w:trPr>
        <w:tc>
          <w:tcPr>
            <w:tcW w:w="2067" w:type="dxa"/>
          </w:tcPr>
          <w:p>
            <w:pPr>
              <w:pStyle w:val="TableParagraph"/>
              <w:spacing w:before="36"/>
              <w:ind w:left="72"/>
              <w:rPr>
                <w:sz w:val="14"/>
              </w:rPr>
            </w:pPr>
            <w:r>
              <w:rPr>
                <w:sz w:val="14"/>
              </w:rPr>
              <w:t>Custo de Transação</w:t>
            </w:r>
          </w:p>
        </w:tc>
        <w:tc>
          <w:tcPr>
            <w:tcW w:w="1196" w:type="dxa"/>
          </w:tcPr>
          <w:p>
            <w:pPr>
              <w:pStyle w:val="TableParagraph"/>
              <w:rPr>
                <w:rFonts w:ascii="Times New Roman"/>
                <w:sz w:val="16"/>
              </w:rPr>
            </w:pPr>
          </w:p>
        </w:tc>
        <w:tc>
          <w:tcPr>
            <w:tcW w:w="946" w:type="dxa"/>
          </w:tcPr>
          <w:p>
            <w:pPr>
              <w:pStyle w:val="TableParagraph"/>
              <w:spacing w:before="36"/>
              <w:ind w:right="63"/>
              <w:jc w:val="right"/>
              <w:rPr>
                <w:sz w:val="14"/>
              </w:rPr>
            </w:pPr>
            <w:r>
              <w:rPr>
                <w:w w:val="95"/>
                <w:sz w:val="14"/>
              </w:rPr>
              <w:t>(1.096)</w:t>
            </w:r>
          </w:p>
        </w:tc>
        <w:tc>
          <w:tcPr>
            <w:tcW w:w="944" w:type="dxa"/>
          </w:tcPr>
          <w:p>
            <w:pPr>
              <w:pStyle w:val="TableParagraph"/>
              <w:spacing w:before="36"/>
              <w:ind w:right="61"/>
              <w:jc w:val="right"/>
              <w:rPr>
                <w:sz w:val="14"/>
              </w:rPr>
            </w:pPr>
            <w:r>
              <w:rPr>
                <w:w w:val="95"/>
                <w:sz w:val="14"/>
              </w:rPr>
              <w:t>(3.670)</w:t>
            </w:r>
          </w:p>
        </w:tc>
        <w:tc>
          <w:tcPr>
            <w:tcW w:w="4830" w:type="dxa"/>
            <w:shd w:val="clear" w:color="auto" w:fill="D9D9D9"/>
          </w:tcPr>
          <w:p>
            <w:pPr>
              <w:pStyle w:val="TableParagraph"/>
              <w:rPr>
                <w:rFonts w:ascii="Times New Roman"/>
                <w:sz w:val="16"/>
              </w:rPr>
            </w:pPr>
          </w:p>
        </w:tc>
      </w:tr>
      <w:tr>
        <w:trPr>
          <w:trHeight w:val="239" w:hRule="atLeast"/>
        </w:trPr>
        <w:tc>
          <w:tcPr>
            <w:tcW w:w="2067" w:type="dxa"/>
          </w:tcPr>
          <w:p>
            <w:pPr>
              <w:pStyle w:val="TableParagraph"/>
              <w:spacing w:before="37"/>
              <w:ind w:left="72"/>
              <w:rPr>
                <w:rFonts w:ascii="Caladea"/>
                <w:b/>
                <w:sz w:val="14"/>
              </w:rPr>
            </w:pPr>
            <w:r>
              <w:rPr>
                <w:rFonts w:ascii="Caladea"/>
                <w:b/>
                <w:sz w:val="14"/>
              </w:rPr>
              <w:t>Total</w:t>
            </w:r>
          </w:p>
        </w:tc>
        <w:tc>
          <w:tcPr>
            <w:tcW w:w="1196" w:type="dxa"/>
          </w:tcPr>
          <w:p>
            <w:pPr>
              <w:pStyle w:val="TableParagraph"/>
              <w:spacing w:before="37"/>
              <w:ind w:right="60"/>
              <w:jc w:val="right"/>
              <w:rPr>
                <w:rFonts w:ascii="Caladea"/>
                <w:b/>
                <w:sz w:val="14"/>
              </w:rPr>
            </w:pPr>
            <w:r>
              <w:rPr>
                <w:rFonts w:ascii="Caladea"/>
                <w:b/>
                <w:w w:val="95"/>
                <w:sz w:val="14"/>
              </w:rPr>
              <w:t>115.633</w:t>
            </w:r>
          </w:p>
        </w:tc>
        <w:tc>
          <w:tcPr>
            <w:tcW w:w="946" w:type="dxa"/>
          </w:tcPr>
          <w:p>
            <w:pPr>
              <w:pStyle w:val="TableParagraph"/>
              <w:spacing w:before="37"/>
              <w:ind w:right="63"/>
              <w:jc w:val="right"/>
              <w:rPr>
                <w:rFonts w:ascii="Caladea"/>
                <w:b/>
                <w:sz w:val="14"/>
              </w:rPr>
            </w:pPr>
            <w:r>
              <w:rPr>
                <w:rFonts w:ascii="Caladea"/>
                <w:b/>
                <w:w w:val="95"/>
                <w:sz w:val="14"/>
              </w:rPr>
              <w:t>288.365</w:t>
            </w:r>
          </w:p>
        </w:tc>
        <w:tc>
          <w:tcPr>
            <w:tcW w:w="944" w:type="dxa"/>
          </w:tcPr>
          <w:p>
            <w:pPr>
              <w:pStyle w:val="TableParagraph"/>
              <w:spacing w:before="37"/>
              <w:ind w:right="61"/>
              <w:jc w:val="right"/>
              <w:rPr>
                <w:rFonts w:ascii="Caladea"/>
                <w:b/>
                <w:sz w:val="14"/>
              </w:rPr>
            </w:pPr>
            <w:r>
              <w:rPr>
                <w:rFonts w:ascii="Caladea"/>
                <w:b/>
                <w:w w:val="95"/>
                <w:sz w:val="14"/>
              </w:rPr>
              <w:t>274.263</w:t>
            </w:r>
          </w:p>
        </w:tc>
        <w:tc>
          <w:tcPr>
            <w:tcW w:w="4830" w:type="dxa"/>
            <w:shd w:val="clear" w:color="auto" w:fill="D9D9D9"/>
          </w:tcPr>
          <w:p>
            <w:pPr>
              <w:pStyle w:val="TableParagraph"/>
              <w:rPr>
                <w:rFonts w:ascii="Times New Roman"/>
                <w:sz w:val="16"/>
              </w:rPr>
            </w:pPr>
          </w:p>
        </w:tc>
      </w:tr>
      <w:tr>
        <w:trPr>
          <w:trHeight w:val="239" w:hRule="atLeast"/>
        </w:trPr>
        <w:tc>
          <w:tcPr>
            <w:tcW w:w="2067" w:type="dxa"/>
          </w:tcPr>
          <w:p>
            <w:pPr>
              <w:pStyle w:val="TableParagraph"/>
              <w:spacing w:before="37"/>
              <w:ind w:left="72"/>
              <w:rPr>
                <w:rFonts w:ascii="Caladea"/>
                <w:b/>
                <w:sz w:val="14"/>
              </w:rPr>
            </w:pPr>
            <w:r>
              <w:rPr>
                <w:rFonts w:ascii="Caladea"/>
                <w:b/>
                <w:sz w:val="14"/>
              </w:rPr>
              <w:t>Circulante</w:t>
            </w:r>
          </w:p>
        </w:tc>
        <w:tc>
          <w:tcPr>
            <w:tcW w:w="1196" w:type="dxa"/>
          </w:tcPr>
          <w:p>
            <w:pPr>
              <w:pStyle w:val="TableParagraph"/>
              <w:spacing w:before="37"/>
              <w:ind w:right="60"/>
              <w:jc w:val="right"/>
              <w:rPr>
                <w:rFonts w:ascii="Caladea"/>
                <w:b/>
                <w:sz w:val="14"/>
              </w:rPr>
            </w:pPr>
            <w:r>
              <w:rPr>
                <w:rFonts w:ascii="Caladea"/>
                <w:b/>
                <w:sz w:val="14"/>
              </w:rPr>
              <w:t>21.633</w:t>
            </w:r>
          </w:p>
        </w:tc>
        <w:tc>
          <w:tcPr>
            <w:tcW w:w="946" w:type="dxa"/>
          </w:tcPr>
          <w:p>
            <w:pPr>
              <w:pStyle w:val="TableParagraph"/>
              <w:spacing w:before="37"/>
              <w:ind w:right="63"/>
              <w:jc w:val="right"/>
              <w:rPr>
                <w:rFonts w:ascii="Caladea"/>
                <w:b/>
                <w:sz w:val="14"/>
              </w:rPr>
            </w:pPr>
            <w:r>
              <w:rPr>
                <w:rFonts w:ascii="Caladea"/>
                <w:b/>
                <w:w w:val="95"/>
                <w:sz w:val="14"/>
              </w:rPr>
              <w:t>120.833</w:t>
            </w:r>
          </w:p>
        </w:tc>
        <w:tc>
          <w:tcPr>
            <w:tcW w:w="944" w:type="dxa"/>
          </w:tcPr>
          <w:p>
            <w:pPr>
              <w:pStyle w:val="TableParagraph"/>
              <w:spacing w:before="37"/>
              <w:ind w:right="61"/>
              <w:jc w:val="right"/>
              <w:rPr>
                <w:rFonts w:ascii="Caladea"/>
                <w:b/>
                <w:sz w:val="14"/>
              </w:rPr>
            </w:pPr>
            <w:r>
              <w:rPr>
                <w:rFonts w:ascii="Caladea"/>
                <w:b/>
                <w:sz w:val="14"/>
              </w:rPr>
              <w:t>86.069</w:t>
            </w:r>
          </w:p>
        </w:tc>
        <w:tc>
          <w:tcPr>
            <w:tcW w:w="4830" w:type="dxa"/>
            <w:shd w:val="clear" w:color="auto" w:fill="D9D9D9"/>
          </w:tcPr>
          <w:p>
            <w:pPr>
              <w:pStyle w:val="TableParagraph"/>
              <w:rPr>
                <w:rFonts w:ascii="Times New Roman"/>
                <w:sz w:val="16"/>
              </w:rPr>
            </w:pPr>
          </w:p>
        </w:tc>
      </w:tr>
      <w:tr>
        <w:trPr>
          <w:trHeight w:val="237" w:hRule="atLeast"/>
        </w:trPr>
        <w:tc>
          <w:tcPr>
            <w:tcW w:w="2067" w:type="dxa"/>
            <w:tcBorders>
              <w:bottom w:val="single" w:sz="6" w:space="0" w:color="000000"/>
            </w:tcBorders>
          </w:tcPr>
          <w:p>
            <w:pPr>
              <w:pStyle w:val="TableParagraph"/>
              <w:spacing w:before="37"/>
              <w:ind w:left="72"/>
              <w:rPr>
                <w:rFonts w:ascii="Caladea" w:hAnsi="Caladea"/>
                <w:b/>
                <w:sz w:val="14"/>
              </w:rPr>
            </w:pPr>
            <w:r>
              <w:rPr>
                <w:rFonts w:ascii="Caladea" w:hAnsi="Caladea"/>
                <w:b/>
                <w:sz w:val="14"/>
              </w:rPr>
              <w:t>Não Circulante</w:t>
            </w:r>
          </w:p>
        </w:tc>
        <w:tc>
          <w:tcPr>
            <w:tcW w:w="1196" w:type="dxa"/>
            <w:tcBorders>
              <w:bottom w:val="single" w:sz="6" w:space="0" w:color="000000"/>
            </w:tcBorders>
          </w:tcPr>
          <w:p>
            <w:pPr>
              <w:pStyle w:val="TableParagraph"/>
              <w:spacing w:before="37"/>
              <w:ind w:right="60"/>
              <w:jc w:val="right"/>
              <w:rPr>
                <w:rFonts w:ascii="Caladea"/>
                <w:b/>
                <w:sz w:val="14"/>
              </w:rPr>
            </w:pPr>
            <w:r>
              <w:rPr>
                <w:rFonts w:ascii="Caladea"/>
                <w:b/>
                <w:sz w:val="14"/>
              </w:rPr>
              <w:t>94.000</w:t>
            </w:r>
          </w:p>
        </w:tc>
        <w:tc>
          <w:tcPr>
            <w:tcW w:w="946" w:type="dxa"/>
            <w:tcBorders>
              <w:bottom w:val="single" w:sz="6" w:space="0" w:color="000000"/>
            </w:tcBorders>
          </w:tcPr>
          <w:p>
            <w:pPr>
              <w:pStyle w:val="TableParagraph"/>
              <w:spacing w:before="37"/>
              <w:ind w:right="63"/>
              <w:jc w:val="right"/>
              <w:rPr>
                <w:rFonts w:ascii="Caladea"/>
                <w:b/>
                <w:sz w:val="14"/>
              </w:rPr>
            </w:pPr>
            <w:r>
              <w:rPr>
                <w:rFonts w:ascii="Caladea"/>
                <w:b/>
                <w:w w:val="95"/>
                <w:sz w:val="14"/>
              </w:rPr>
              <w:t>167.532</w:t>
            </w:r>
          </w:p>
        </w:tc>
        <w:tc>
          <w:tcPr>
            <w:tcW w:w="944" w:type="dxa"/>
            <w:tcBorders>
              <w:bottom w:val="single" w:sz="6" w:space="0" w:color="000000"/>
            </w:tcBorders>
          </w:tcPr>
          <w:p>
            <w:pPr>
              <w:pStyle w:val="TableParagraph"/>
              <w:spacing w:before="37"/>
              <w:ind w:right="61"/>
              <w:jc w:val="right"/>
              <w:rPr>
                <w:rFonts w:ascii="Caladea"/>
                <w:b/>
                <w:sz w:val="14"/>
              </w:rPr>
            </w:pPr>
            <w:r>
              <w:rPr>
                <w:rFonts w:ascii="Caladea"/>
                <w:b/>
                <w:w w:val="95"/>
                <w:sz w:val="14"/>
              </w:rPr>
              <w:t>188.194</w:t>
            </w:r>
          </w:p>
        </w:tc>
        <w:tc>
          <w:tcPr>
            <w:tcW w:w="4830" w:type="dxa"/>
            <w:tcBorders>
              <w:bottom w:val="single" w:sz="6" w:space="0" w:color="000000"/>
            </w:tcBorders>
            <w:shd w:val="clear" w:color="auto" w:fill="D9D9D9"/>
          </w:tcPr>
          <w:p>
            <w:pPr>
              <w:pStyle w:val="TableParagraph"/>
              <w:rPr>
                <w:rFonts w:ascii="Times New Roman"/>
                <w:sz w:val="16"/>
              </w:rPr>
            </w:pPr>
          </w:p>
        </w:tc>
      </w:tr>
    </w:tbl>
    <w:p>
      <w:pPr>
        <w:pStyle w:val="ListParagraph"/>
        <w:numPr>
          <w:ilvl w:val="0"/>
          <w:numId w:val="30"/>
        </w:numPr>
        <w:tabs>
          <w:tab w:pos="531" w:val="left" w:leader="none"/>
        </w:tabs>
        <w:spacing w:line="242" w:lineRule="auto" w:before="242" w:after="0"/>
        <w:ind w:left="172" w:right="414" w:firstLine="0"/>
        <w:jc w:val="both"/>
        <w:rPr>
          <w:sz w:val="20"/>
        </w:rPr>
      </w:pPr>
      <w:r>
        <w:rPr>
          <w:w w:val="105"/>
          <w:sz w:val="20"/>
        </w:rPr>
        <w:t>Financiamento</w:t>
      </w:r>
      <w:r>
        <w:rPr>
          <w:spacing w:val="-24"/>
          <w:w w:val="105"/>
          <w:sz w:val="20"/>
        </w:rPr>
        <w:t> </w:t>
      </w:r>
      <w:r>
        <w:rPr>
          <w:w w:val="105"/>
          <w:sz w:val="20"/>
        </w:rPr>
        <w:t>junto</w:t>
      </w:r>
      <w:r>
        <w:rPr>
          <w:spacing w:val="-24"/>
          <w:w w:val="105"/>
          <w:sz w:val="20"/>
        </w:rPr>
        <w:t> </w:t>
      </w:r>
      <w:r>
        <w:rPr>
          <w:w w:val="105"/>
          <w:sz w:val="20"/>
        </w:rPr>
        <w:t>à</w:t>
      </w:r>
      <w:r>
        <w:rPr>
          <w:spacing w:val="-22"/>
          <w:w w:val="105"/>
          <w:sz w:val="20"/>
        </w:rPr>
        <w:t> </w:t>
      </w:r>
      <w:r>
        <w:rPr>
          <w:w w:val="105"/>
          <w:sz w:val="20"/>
        </w:rPr>
        <w:t>Caixa</w:t>
      </w:r>
      <w:r>
        <w:rPr>
          <w:spacing w:val="-23"/>
          <w:w w:val="105"/>
          <w:sz w:val="20"/>
        </w:rPr>
        <w:t> </w:t>
      </w:r>
      <w:r>
        <w:rPr>
          <w:w w:val="105"/>
          <w:sz w:val="20"/>
        </w:rPr>
        <w:t>Econômica</w:t>
      </w:r>
      <w:r>
        <w:rPr>
          <w:spacing w:val="-22"/>
          <w:w w:val="105"/>
          <w:sz w:val="20"/>
        </w:rPr>
        <w:t> </w:t>
      </w:r>
      <w:r>
        <w:rPr>
          <w:w w:val="105"/>
          <w:sz w:val="20"/>
        </w:rPr>
        <w:t>Federal,</w:t>
      </w:r>
      <w:r>
        <w:rPr>
          <w:spacing w:val="-23"/>
          <w:w w:val="105"/>
          <w:sz w:val="20"/>
        </w:rPr>
        <w:t> </w:t>
      </w:r>
      <w:r>
        <w:rPr>
          <w:w w:val="105"/>
          <w:sz w:val="20"/>
        </w:rPr>
        <w:t>por</w:t>
      </w:r>
      <w:r>
        <w:rPr>
          <w:spacing w:val="-24"/>
          <w:w w:val="105"/>
          <w:sz w:val="20"/>
        </w:rPr>
        <w:t> </w:t>
      </w:r>
      <w:r>
        <w:rPr>
          <w:w w:val="105"/>
          <w:sz w:val="20"/>
        </w:rPr>
        <w:t>meio</w:t>
      </w:r>
      <w:r>
        <w:rPr>
          <w:spacing w:val="-22"/>
          <w:w w:val="105"/>
          <w:sz w:val="20"/>
        </w:rPr>
        <w:t> </w:t>
      </w:r>
      <w:r>
        <w:rPr>
          <w:w w:val="105"/>
          <w:sz w:val="20"/>
        </w:rPr>
        <w:t>de</w:t>
      </w:r>
      <w:r>
        <w:rPr>
          <w:spacing w:val="-23"/>
          <w:w w:val="105"/>
          <w:sz w:val="20"/>
        </w:rPr>
        <w:t> </w:t>
      </w:r>
      <w:r>
        <w:rPr>
          <w:w w:val="105"/>
          <w:sz w:val="20"/>
        </w:rPr>
        <w:t>repasses</w:t>
      </w:r>
      <w:r>
        <w:rPr>
          <w:spacing w:val="-23"/>
          <w:w w:val="105"/>
          <w:sz w:val="20"/>
        </w:rPr>
        <w:t> </w:t>
      </w:r>
      <w:r>
        <w:rPr>
          <w:w w:val="105"/>
          <w:sz w:val="20"/>
        </w:rPr>
        <w:t>de</w:t>
      </w:r>
      <w:r>
        <w:rPr>
          <w:spacing w:val="-23"/>
          <w:w w:val="105"/>
          <w:sz w:val="20"/>
        </w:rPr>
        <w:t> </w:t>
      </w:r>
      <w:r>
        <w:rPr>
          <w:w w:val="105"/>
          <w:sz w:val="20"/>
        </w:rPr>
        <w:t>recursos</w:t>
      </w:r>
      <w:r>
        <w:rPr>
          <w:spacing w:val="-24"/>
          <w:w w:val="105"/>
          <w:sz w:val="20"/>
        </w:rPr>
        <w:t> </w:t>
      </w:r>
      <w:r>
        <w:rPr>
          <w:w w:val="105"/>
          <w:sz w:val="20"/>
        </w:rPr>
        <w:t>do</w:t>
      </w:r>
      <w:r>
        <w:rPr>
          <w:spacing w:val="-23"/>
          <w:w w:val="105"/>
          <w:sz w:val="20"/>
        </w:rPr>
        <w:t> </w:t>
      </w:r>
      <w:r>
        <w:rPr>
          <w:w w:val="105"/>
          <w:sz w:val="20"/>
        </w:rPr>
        <w:t>Banco</w:t>
      </w:r>
      <w:r>
        <w:rPr>
          <w:spacing w:val="-23"/>
          <w:w w:val="105"/>
          <w:sz w:val="20"/>
        </w:rPr>
        <w:t> </w:t>
      </w:r>
      <w:r>
        <w:rPr>
          <w:w w:val="105"/>
          <w:sz w:val="20"/>
        </w:rPr>
        <w:t>Nacional</w:t>
      </w:r>
      <w:r>
        <w:rPr>
          <w:spacing w:val="-22"/>
          <w:w w:val="105"/>
          <w:sz w:val="20"/>
        </w:rPr>
        <w:t> </w:t>
      </w:r>
      <w:r>
        <w:rPr>
          <w:w w:val="105"/>
          <w:sz w:val="20"/>
        </w:rPr>
        <w:t>de Desenvolvimento</w:t>
      </w:r>
      <w:r>
        <w:rPr>
          <w:spacing w:val="-20"/>
          <w:w w:val="105"/>
          <w:sz w:val="20"/>
        </w:rPr>
        <w:t> </w:t>
      </w:r>
      <w:r>
        <w:rPr>
          <w:w w:val="105"/>
          <w:sz w:val="20"/>
        </w:rPr>
        <w:t>Econômico</w:t>
      </w:r>
      <w:r>
        <w:rPr>
          <w:spacing w:val="-20"/>
          <w:w w:val="105"/>
          <w:sz w:val="20"/>
        </w:rPr>
        <w:t> </w:t>
      </w:r>
      <w:r>
        <w:rPr>
          <w:w w:val="105"/>
          <w:sz w:val="20"/>
        </w:rPr>
        <w:t>e</w:t>
      </w:r>
      <w:r>
        <w:rPr>
          <w:spacing w:val="-18"/>
          <w:w w:val="105"/>
          <w:sz w:val="20"/>
        </w:rPr>
        <w:t> </w:t>
      </w:r>
      <w:r>
        <w:rPr>
          <w:w w:val="105"/>
          <w:sz w:val="20"/>
        </w:rPr>
        <w:t>Social</w:t>
      </w:r>
      <w:r>
        <w:rPr>
          <w:spacing w:val="-17"/>
          <w:w w:val="105"/>
          <w:sz w:val="20"/>
        </w:rPr>
        <w:t> </w:t>
      </w:r>
      <w:r>
        <w:rPr>
          <w:w w:val="105"/>
          <w:sz w:val="20"/>
        </w:rPr>
        <w:t>–</w:t>
      </w:r>
      <w:r>
        <w:rPr>
          <w:spacing w:val="-19"/>
          <w:w w:val="105"/>
          <w:sz w:val="20"/>
        </w:rPr>
        <w:t> </w:t>
      </w:r>
      <w:r>
        <w:rPr>
          <w:w w:val="105"/>
          <w:sz w:val="20"/>
        </w:rPr>
        <w:t>BNDES,</w:t>
      </w:r>
      <w:r>
        <w:rPr>
          <w:spacing w:val="-20"/>
          <w:w w:val="105"/>
          <w:sz w:val="20"/>
        </w:rPr>
        <w:t> </w:t>
      </w:r>
      <w:r>
        <w:rPr>
          <w:w w:val="105"/>
          <w:sz w:val="20"/>
        </w:rPr>
        <w:t>objetivando</w:t>
      </w:r>
      <w:r>
        <w:rPr>
          <w:spacing w:val="-19"/>
          <w:w w:val="105"/>
          <w:sz w:val="20"/>
        </w:rPr>
        <w:t> </w:t>
      </w:r>
      <w:r>
        <w:rPr>
          <w:w w:val="105"/>
          <w:sz w:val="20"/>
        </w:rPr>
        <w:t>investimentos</w:t>
      </w:r>
      <w:r>
        <w:rPr>
          <w:spacing w:val="-20"/>
          <w:w w:val="105"/>
          <w:sz w:val="20"/>
        </w:rPr>
        <w:t> </w:t>
      </w:r>
      <w:r>
        <w:rPr>
          <w:w w:val="105"/>
          <w:sz w:val="20"/>
        </w:rPr>
        <w:t>realizados</w:t>
      </w:r>
      <w:r>
        <w:rPr>
          <w:spacing w:val="-19"/>
          <w:w w:val="105"/>
          <w:sz w:val="20"/>
        </w:rPr>
        <w:t> </w:t>
      </w:r>
      <w:r>
        <w:rPr>
          <w:w w:val="105"/>
          <w:sz w:val="20"/>
        </w:rPr>
        <w:t>em</w:t>
      </w:r>
      <w:r>
        <w:rPr>
          <w:spacing w:val="-17"/>
          <w:w w:val="105"/>
          <w:sz w:val="20"/>
        </w:rPr>
        <w:t> </w:t>
      </w:r>
      <w:r>
        <w:rPr>
          <w:w w:val="105"/>
          <w:sz w:val="20"/>
        </w:rPr>
        <w:t>novas</w:t>
      </w:r>
      <w:r>
        <w:rPr>
          <w:spacing w:val="-19"/>
          <w:w w:val="105"/>
          <w:sz w:val="20"/>
        </w:rPr>
        <w:t> </w:t>
      </w:r>
      <w:r>
        <w:rPr>
          <w:w w:val="105"/>
          <w:sz w:val="20"/>
        </w:rPr>
        <w:t>instalações</w:t>
      </w:r>
      <w:r>
        <w:rPr>
          <w:spacing w:val="-18"/>
          <w:w w:val="105"/>
          <w:sz w:val="20"/>
        </w:rPr>
        <w:t> </w:t>
      </w:r>
      <w:r>
        <w:rPr>
          <w:w w:val="105"/>
          <w:sz w:val="20"/>
        </w:rPr>
        <w:t>e </w:t>
      </w:r>
      <w:r>
        <w:rPr>
          <w:sz w:val="20"/>
        </w:rPr>
        <w:t>melhorias</w:t>
      </w:r>
      <w:r>
        <w:rPr>
          <w:spacing w:val="-18"/>
          <w:sz w:val="20"/>
        </w:rPr>
        <w:t> </w:t>
      </w:r>
      <w:r>
        <w:rPr>
          <w:sz w:val="20"/>
        </w:rPr>
        <w:t>na</w:t>
      </w:r>
      <w:r>
        <w:rPr>
          <w:spacing w:val="-18"/>
          <w:sz w:val="20"/>
        </w:rPr>
        <w:t> </w:t>
      </w:r>
      <w:r>
        <w:rPr>
          <w:sz w:val="20"/>
        </w:rPr>
        <w:t>rede</w:t>
      </w:r>
      <w:r>
        <w:rPr>
          <w:spacing w:val="-21"/>
          <w:sz w:val="20"/>
        </w:rPr>
        <w:t> </w:t>
      </w:r>
      <w:r>
        <w:rPr>
          <w:sz w:val="20"/>
        </w:rPr>
        <w:t>de</w:t>
      </w:r>
      <w:r>
        <w:rPr>
          <w:spacing w:val="-19"/>
          <w:sz w:val="20"/>
        </w:rPr>
        <w:t> </w:t>
      </w:r>
      <w:r>
        <w:rPr>
          <w:sz w:val="20"/>
        </w:rPr>
        <w:t>distribuição</w:t>
      </w:r>
      <w:r>
        <w:rPr>
          <w:spacing w:val="-19"/>
          <w:sz w:val="20"/>
        </w:rPr>
        <w:t> </w:t>
      </w:r>
      <w:r>
        <w:rPr>
          <w:sz w:val="20"/>
        </w:rPr>
        <w:t>da</w:t>
      </w:r>
      <w:r>
        <w:rPr>
          <w:spacing w:val="-19"/>
          <w:sz w:val="20"/>
        </w:rPr>
        <w:t> </w:t>
      </w:r>
      <w:r>
        <w:rPr>
          <w:sz w:val="20"/>
        </w:rPr>
        <w:t>Companhia,</w:t>
      </w:r>
      <w:r>
        <w:rPr>
          <w:spacing w:val="-18"/>
          <w:sz w:val="20"/>
        </w:rPr>
        <w:t> </w:t>
      </w:r>
      <w:r>
        <w:rPr>
          <w:sz w:val="20"/>
        </w:rPr>
        <w:t>em</w:t>
      </w:r>
      <w:r>
        <w:rPr>
          <w:spacing w:val="-18"/>
          <w:sz w:val="20"/>
        </w:rPr>
        <w:t> </w:t>
      </w:r>
      <w:r>
        <w:rPr>
          <w:sz w:val="20"/>
        </w:rPr>
        <w:t>compasso</w:t>
      </w:r>
      <w:r>
        <w:rPr>
          <w:spacing w:val="-20"/>
          <w:sz w:val="20"/>
        </w:rPr>
        <w:t> </w:t>
      </w:r>
      <w:r>
        <w:rPr>
          <w:spacing w:val="2"/>
          <w:sz w:val="20"/>
        </w:rPr>
        <w:t>com</w:t>
      </w:r>
      <w:r>
        <w:rPr>
          <w:spacing w:val="-18"/>
          <w:sz w:val="20"/>
        </w:rPr>
        <w:t> </w:t>
      </w:r>
      <w:r>
        <w:rPr>
          <w:sz w:val="20"/>
        </w:rPr>
        <w:t>os</w:t>
      </w:r>
      <w:r>
        <w:rPr>
          <w:spacing w:val="-19"/>
          <w:sz w:val="20"/>
        </w:rPr>
        <w:t> </w:t>
      </w:r>
      <w:r>
        <w:rPr>
          <w:sz w:val="20"/>
        </w:rPr>
        <w:t>projetos</w:t>
      </w:r>
      <w:r>
        <w:rPr>
          <w:spacing w:val="-18"/>
          <w:sz w:val="20"/>
        </w:rPr>
        <w:t> </w:t>
      </w:r>
      <w:r>
        <w:rPr>
          <w:sz w:val="20"/>
        </w:rPr>
        <w:t>relacionados</w:t>
      </w:r>
      <w:r>
        <w:rPr>
          <w:spacing w:val="-19"/>
          <w:sz w:val="20"/>
        </w:rPr>
        <w:t> </w:t>
      </w:r>
      <w:r>
        <w:rPr>
          <w:sz w:val="20"/>
        </w:rPr>
        <w:t>à</w:t>
      </w:r>
      <w:r>
        <w:rPr>
          <w:spacing w:val="-19"/>
          <w:sz w:val="20"/>
        </w:rPr>
        <w:t> </w:t>
      </w:r>
      <w:r>
        <w:rPr>
          <w:sz w:val="20"/>
        </w:rPr>
        <w:t>Copa</w:t>
      </w:r>
      <w:r>
        <w:rPr>
          <w:spacing w:val="-19"/>
          <w:sz w:val="20"/>
        </w:rPr>
        <w:t> </w:t>
      </w:r>
      <w:r>
        <w:rPr>
          <w:sz w:val="20"/>
        </w:rPr>
        <w:t>do</w:t>
      </w:r>
      <w:r>
        <w:rPr>
          <w:spacing w:val="-19"/>
          <w:sz w:val="20"/>
        </w:rPr>
        <w:t> </w:t>
      </w:r>
      <w:r>
        <w:rPr>
          <w:sz w:val="20"/>
        </w:rPr>
        <w:t>Mundo</w:t>
      </w:r>
      <w:r>
        <w:rPr>
          <w:spacing w:val="-19"/>
          <w:sz w:val="20"/>
        </w:rPr>
        <w:t> </w:t>
      </w:r>
      <w:r>
        <w:rPr>
          <w:sz w:val="20"/>
        </w:rPr>
        <w:t>de </w:t>
      </w:r>
      <w:r>
        <w:rPr>
          <w:w w:val="105"/>
          <w:sz w:val="20"/>
        </w:rPr>
        <w:t>2014.</w:t>
      </w:r>
    </w:p>
    <w:p>
      <w:pPr>
        <w:pStyle w:val="BodyText"/>
        <w:spacing w:before="3"/>
      </w:pPr>
    </w:p>
    <w:p>
      <w:pPr>
        <w:pStyle w:val="ListParagraph"/>
        <w:numPr>
          <w:ilvl w:val="0"/>
          <w:numId w:val="30"/>
        </w:numPr>
        <w:tabs>
          <w:tab w:pos="500" w:val="left" w:leader="none"/>
        </w:tabs>
        <w:spacing w:line="242" w:lineRule="auto" w:before="0" w:after="0"/>
        <w:ind w:left="172" w:right="406" w:firstLine="0"/>
        <w:jc w:val="both"/>
        <w:rPr>
          <w:sz w:val="20"/>
        </w:rPr>
      </w:pPr>
      <w:r>
        <w:rPr>
          <w:sz w:val="20"/>
        </w:rPr>
        <w:t>Em</w:t>
      </w:r>
      <w:r>
        <w:rPr>
          <w:spacing w:val="-31"/>
          <w:sz w:val="20"/>
        </w:rPr>
        <w:t> </w:t>
      </w:r>
      <w:r>
        <w:rPr>
          <w:sz w:val="20"/>
        </w:rPr>
        <w:t>outubro</w:t>
      </w:r>
      <w:r>
        <w:rPr>
          <w:spacing w:val="-33"/>
          <w:sz w:val="20"/>
        </w:rPr>
        <w:t> </w:t>
      </w:r>
      <w:r>
        <w:rPr>
          <w:sz w:val="20"/>
        </w:rPr>
        <w:t>de</w:t>
      </w:r>
      <w:r>
        <w:rPr>
          <w:spacing w:val="-31"/>
          <w:sz w:val="20"/>
        </w:rPr>
        <w:t> </w:t>
      </w:r>
      <w:r>
        <w:rPr>
          <w:sz w:val="20"/>
        </w:rPr>
        <w:t>2017,</w:t>
      </w:r>
      <w:r>
        <w:rPr>
          <w:spacing w:val="-31"/>
          <w:sz w:val="20"/>
        </w:rPr>
        <w:t> </w:t>
      </w:r>
      <w:r>
        <w:rPr>
          <w:sz w:val="20"/>
        </w:rPr>
        <w:t>a</w:t>
      </w:r>
      <w:r>
        <w:rPr>
          <w:spacing w:val="-32"/>
          <w:sz w:val="20"/>
        </w:rPr>
        <w:t> </w:t>
      </w:r>
      <w:r>
        <w:rPr>
          <w:sz w:val="20"/>
        </w:rPr>
        <w:t>Companhia</w:t>
      </w:r>
      <w:r>
        <w:rPr>
          <w:spacing w:val="-30"/>
          <w:sz w:val="20"/>
        </w:rPr>
        <w:t> </w:t>
      </w:r>
      <w:r>
        <w:rPr>
          <w:sz w:val="20"/>
        </w:rPr>
        <w:t>realizou</w:t>
      </w:r>
      <w:r>
        <w:rPr>
          <w:spacing w:val="-33"/>
          <w:sz w:val="20"/>
        </w:rPr>
        <w:t> </w:t>
      </w:r>
      <w:r>
        <w:rPr>
          <w:sz w:val="20"/>
        </w:rPr>
        <w:t>operação</w:t>
      </w:r>
      <w:r>
        <w:rPr>
          <w:spacing w:val="-32"/>
          <w:sz w:val="20"/>
        </w:rPr>
        <w:t> </w:t>
      </w:r>
      <w:r>
        <w:rPr>
          <w:sz w:val="20"/>
        </w:rPr>
        <w:t>de</w:t>
      </w:r>
      <w:r>
        <w:rPr>
          <w:spacing w:val="-32"/>
          <w:sz w:val="20"/>
        </w:rPr>
        <w:t> </w:t>
      </w:r>
      <w:r>
        <w:rPr>
          <w:sz w:val="20"/>
        </w:rPr>
        <w:t>captação</w:t>
      </w:r>
      <w:r>
        <w:rPr>
          <w:spacing w:val="-32"/>
          <w:sz w:val="20"/>
        </w:rPr>
        <w:t> </w:t>
      </w:r>
      <w:r>
        <w:rPr>
          <w:sz w:val="20"/>
        </w:rPr>
        <w:t>de</w:t>
      </w:r>
      <w:r>
        <w:rPr>
          <w:spacing w:val="-33"/>
          <w:sz w:val="20"/>
        </w:rPr>
        <w:t> </w:t>
      </w:r>
      <w:r>
        <w:rPr>
          <w:sz w:val="20"/>
        </w:rPr>
        <w:t>Capital</w:t>
      </w:r>
      <w:r>
        <w:rPr>
          <w:spacing w:val="-31"/>
          <w:sz w:val="20"/>
        </w:rPr>
        <w:t> </w:t>
      </w:r>
      <w:r>
        <w:rPr>
          <w:sz w:val="20"/>
        </w:rPr>
        <w:t>de</w:t>
      </w:r>
      <w:r>
        <w:rPr>
          <w:spacing w:val="-32"/>
          <w:sz w:val="20"/>
        </w:rPr>
        <w:t> </w:t>
      </w:r>
      <w:r>
        <w:rPr>
          <w:sz w:val="20"/>
        </w:rPr>
        <w:t>Giro</w:t>
      </w:r>
      <w:r>
        <w:rPr>
          <w:spacing w:val="-32"/>
          <w:sz w:val="20"/>
        </w:rPr>
        <w:t> </w:t>
      </w:r>
      <w:r>
        <w:rPr>
          <w:sz w:val="20"/>
        </w:rPr>
        <w:t>junto</w:t>
      </w:r>
      <w:r>
        <w:rPr>
          <w:spacing w:val="-31"/>
          <w:sz w:val="20"/>
        </w:rPr>
        <w:t> </w:t>
      </w:r>
      <w:r>
        <w:rPr>
          <w:sz w:val="20"/>
        </w:rPr>
        <w:t>ao</w:t>
      </w:r>
      <w:r>
        <w:rPr>
          <w:spacing w:val="-31"/>
          <w:sz w:val="20"/>
        </w:rPr>
        <w:t> </w:t>
      </w:r>
      <w:r>
        <w:rPr>
          <w:sz w:val="20"/>
        </w:rPr>
        <w:t>Banco</w:t>
      </w:r>
      <w:r>
        <w:rPr>
          <w:spacing w:val="-32"/>
          <w:sz w:val="20"/>
        </w:rPr>
        <w:t> </w:t>
      </w:r>
      <w:r>
        <w:rPr>
          <w:sz w:val="20"/>
        </w:rPr>
        <w:t>FIBRA,</w:t>
      </w:r>
      <w:r>
        <w:rPr>
          <w:spacing w:val="-33"/>
          <w:sz w:val="20"/>
        </w:rPr>
        <w:t> </w:t>
      </w:r>
      <w:r>
        <w:rPr>
          <w:sz w:val="20"/>
        </w:rPr>
        <w:t>onde foi</w:t>
      </w:r>
      <w:r>
        <w:rPr>
          <w:spacing w:val="-20"/>
          <w:sz w:val="20"/>
        </w:rPr>
        <w:t> </w:t>
      </w:r>
      <w:r>
        <w:rPr>
          <w:sz w:val="20"/>
        </w:rPr>
        <w:t>contratado</w:t>
      </w:r>
      <w:r>
        <w:rPr>
          <w:spacing w:val="-19"/>
          <w:sz w:val="20"/>
        </w:rPr>
        <w:t> </w:t>
      </w:r>
      <w:r>
        <w:rPr>
          <w:sz w:val="20"/>
        </w:rPr>
        <w:t>o</w:t>
      </w:r>
      <w:r>
        <w:rPr>
          <w:spacing w:val="-19"/>
          <w:sz w:val="20"/>
        </w:rPr>
        <w:t> </w:t>
      </w:r>
      <w:r>
        <w:rPr>
          <w:sz w:val="20"/>
        </w:rPr>
        <w:t>valor</w:t>
      </w:r>
      <w:r>
        <w:rPr>
          <w:spacing w:val="-18"/>
          <w:sz w:val="20"/>
        </w:rPr>
        <w:t> </w:t>
      </w:r>
      <w:r>
        <w:rPr>
          <w:sz w:val="20"/>
        </w:rPr>
        <w:t>de</w:t>
      </w:r>
      <w:r>
        <w:rPr>
          <w:spacing w:val="-19"/>
          <w:sz w:val="20"/>
        </w:rPr>
        <w:t> </w:t>
      </w:r>
      <w:r>
        <w:rPr>
          <w:sz w:val="20"/>
        </w:rPr>
        <w:t>R$</w:t>
      </w:r>
      <w:r>
        <w:rPr>
          <w:spacing w:val="-17"/>
          <w:sz w:val="20"/>
        </w:rPr>
        <w:t> </w:t>
      </w:r>
      <w:r>
        <w:rPr>
          <w:sz w:val="20"/>
        </w:rPr>
        <w:t>60.000.</w:t>
      </w:r>
      <w:r>
        <w:rPr>
          <w:spacing w:val="-19"/>
          <w:sz w:val="20"/>
        </w:rPr>
        <w:t> </w:t>
      </w:r>
      <w:r>
        <w:rPr>
          <w:sz w:val="20"/>
        </w:rPr>
        <w:t>Após</w:t>
      </w:r>
      <w:r>
        <w:rPr>
          <w:spacing w:val="-18"/>
          <w:sz w:val="20"/>
        </w:rPr>
        <w:t> </w:t>
      </w:r>
      <w:r>
        <w:rPr>
          <w:sz w:val="20"/>
        </w:rPr>
        <w:t>amortização</w:t>
      </w:r>
      <w:r>
        <w:rPr>
          <w:spacing w:val="-19"/>
          <w:sz w:val="20"/>
        </w:rPr>
        <w:t> </w:t>
      </w:r>
      <w:r>
        <w:rPr>
          <w:sz w:val="20"/>
        </w:rPr>
        <w:t>de</w:t>
      </w:r>
      <w:r>
        <w:rPr>
          <w:spacing w:val="-20"/>
          <w:sz w:val="20"/>
        </w:rPr>
        <w:t> </w:t>
      </w:r>
      <w:r>
        <w:rPr>
          <w:sz w:val="20"/>
        </w:rPr>
        <w:t>R$</w:t>
      </w:r>
      <w:r>
        <w:rPr>
          <w:spacing w:val="-19"/>
          <w:sz w:val="20"/>
        </w:rPr>
        <w:t> </w:t>
      </w:r>
      <w:r>
        <w:rPr>
          <w:sz w:val="20"/>
        </w:rPr>
        <w:t>30.000,</w:t>
      </w:r>
      <w:r>
        <w:rPr>
          <w:spacing w:val="-19"/>
          <w:sz w:val="20"/>
        </w:rPr>
        <w:t> </w:t>
      </w:r>
      <w:r>
        <w:rPr>
          <w:sz w:val="20"/>
        </w:rPr>
        <w:t>o</w:t>
      </w:r>
      <w:r>
        <w:rPr>
          <w:spacing w:val="-18"/>
          <w:sz w:val="20"/>
        </w:rPr>
        <w:t> </w:t>
      </w:r>
      <w:r>
        <w:rPr>
          <w:sz w:val="20"/>
        </w:rPr>
        <w:t>contrato</w:t>
      </w:r>
      <w:r>
        <w:rPr>
          <w:spacing w:val="-20"/>
          <w:sz w:val="20"/>
        </w:rPr>
        <w:t> </w:t>
      </w:r>
      <w:r>
        <w:rPr>
          <w:sz w:val="20"/>
        </w:rPr>
        <w:t>foi</w:t>
      </w:r>
      <w:r>
        <w:rPr>
          <w:spacing w:val="-18"/>
          <w:sz w:val="20"/>
        </w:rPr>
        <w:t> </w:t>
      </w:r>
      <w:r>
        <w:rPr>
          <w:sz w:val="20"/>
        </w:rPr>
        <w:t>aditivado</w:t>
      </w:r>
      <w:r>
        <w:rPr>
          <w:spacing w:val="-19"/>
          <w:sz w:val="20"/>
        </w:rPr>
        <w:t> </w:t>
      </w:r>
      <w:r>
        <w:rPr>
          <w:sz w:val="20"/>
        </w:rPr>
        <w:t>em</w:t>
      </w:r>
      <w:r>
        <w:rPr>
          <w:spacing w:val="-20"/>
          <w:sz w:val="20"/>
        </w:rPr>
        <w:t> </w:t>
      </w:r>
      <w:r>
        <w:rPr>
          <w:sz w:val="20"/>
        </w:rPr>
        <w:t>agosto</w:t>
      </w:r>
      <w:r>
        <w:rPr>
          <w:spacing w:val="-17"/>
          <w:sz w:val="20"/>
        </w:rPr>
        <w:t> </w:t>
      </w:r>
      <w:r>
        <w:rPr>
          <w:sz w:val="20"/>
        </w:rPr>
        <w:t>de</w:t>
      </w:r>
      <w:r>
        <w:rPr>
          <w:spacing w:val="-18"/>
          <w:sz w:val="20"/>
        </w:rPr>
        <w:t> </w:t>
      </w:r>
      <w:r>
        <w:rPr>
          <w:sz w:val="20"/>
        </w:rPr>
        <w:t>2018</w:t>
      </w:r>
      <w:r>
        <w:rPr>
          <w:spacing w:val="-18"/>
          <w:sz w:val="20"/>
        </w:rPr>
        <w:t> </w:t>
      </w:r>
      <w:r>
        <w:rPr>
          <w:sz w:val="20"/>
        </w:rPr>
        <w:t>e adquiridos novos R$ 30.000, transformando-se em dois contratos de R$ 30.000, com prazo total de 36 meses e vencimento</w:t>
      </w:r>
      <w:r>
        <w:rPr>
          <w:spacing w:val="-17"/>
          <w:sz w:val="20"/>
        </w:rPr>
        <w:t> </w:t>
      </w:r>
      <w:r>
        <w:rPr>
          <w:sz w:val="20"/>
        </w:rPr>
        <w:t>final</w:t>
      </w:r>
      <w:r>
        <w:rPr>
          <w:spacing w:val="-15"/>
          <w:sz w:val="20"/>
        </w:rPr>
        <w:t> </w:t>
      </w:r>
      <w:r>
        <w:rPr>
          <w:sz w:val="20"/>
        </w:rPr>
        <w:t>em</w:t>
      </w:r>
      <w:r>
        <w:rPr>
          <w:spacing w:val="-19"/>
          <w:sz w:val="20"/>
        </w:rPr>
        <w:t> </w:t>
      </w:r>
      <w:r>
        <w:rPr>
          <w:sz w:val="20"/>
        </w:rPr>
        <w:t>18</w:t>
      </w:r>
      <w:r>
        <w:rPr>
          <w:spacing w:val="-18"/>
          <w:sz w:val="20"/>
        </w:rPr>
        <w:t> </w:t>
      </w:r>
      <w:r>
        <w:rPr>
          <w:sz w:val="20"/>
        </w:rPr>
        <w:t>de</w:t>
      </w:r>
      <w:r>
        <w:rPr>
          <w:spacing w:val="-20"/>
          <w:sz w:val="20"/>
        </w:rPr>
        <w:t> </w:t>
      </w:r>
      <w:r>
        <w:rPr>
          <w:sz w:val="20"/>
        </w:rPr>
        <w:t>agosto</w:t>
      </w:r>
      <w:r>
        <w:rPr>
          <w:spacing w:val="-18"/>
          <w:sz w:val="20"/>
        </w:rPr>
        <w:t> </w:t>
      </w:r>
      <w:r>
        <w:rPr>
          <w:sz w:val="20"/>
        </w:rPr>
        <w:t>de</w:t>
      </w:r>
      <w:r>
        <w:rPr>
          <w:spacing w:val="-19"/>
          <w:sz w:val="20"/>
        </w:rPr>
        <w:t> </w:t>
      </w:r>
      <w:r>
        <w:rPr>
          <w:sz w:val="20"/>
        </w:rPr>
        <w:t>2021.</w:t>
      </w:r>
    </w:p>
    <w:p>
      <w:pPr>
        <w:pStyle w:val="BodyText"/>
        <w:spacing w:before="6"/>
      </w:pPr>
    </w:p>
    <w:p>
      <w:pPr>
        <w:pStyle w:val="ListParagraph"/>
        <w:numPr>
          <w:ilvl w:val="0"/>
          <w:numId w:val="30"/>
        </w:numPr>
        <w:tabs>
          <w:tab w:pos="469" w:val="left" w:leader="none"/>
        </w:tabs>
        <w:spacing w:line="242" w:lineRule="auto" w:before="0" w:after="0"/>
        <w:ind w:left="172" w:right="408" w:firstLine="0"/>
        <w:jc w:val="both"/>
        <w:rPr>
          <w:sz w:val="20"/>
        </w:rPr>
      </w:pPr>
      <w:r>
        <w:rPr>
          <w:sz w:val="20"/>
        </w:rPr>
        <w:t>Empréstimo</w:t>
      </w:r>
      <w:r>
        <w:rPr>
          <w:spacing w:val="-43"/>
          <w:sz w:val="20"/>
        </w:rPr>
        <w:t> </w:t>
      </w:r>
      <w:r>
        <w:rPr>
          <w:sz w:val="20"/>
        </w:rPr>
        <w:t>na</w:t>
      </w:r>
      <w:r>
        <w:rPr>
          <w:spacing w:val="-43"/>
          <w:sz w:val="20"/>
        </w:rPr>
        <w:t> </w:t>
      </w:r>
      <w:r>
        <w:rPr>
          <w:sz w:val="20"/>
        </w:rPr>
        <w:t>modalidade</w:t>
      </w:r>
      <w:r>
        <w:rPr>
          <w:spacing w:val="-44"/>
          <w:sz w:val="20"/>
        </w:rPr>
        <w:t> </w:t>
      </w:r>
      <w:r>
        <w:rPr>
          <w:sz w:val="20"/>
        </w:rPr>
        <w:t>de</w:t>
      </w:r>
      <w:r>
        <w:rPr>
          <w:spacing w:val="-43"/>
          <w:sz w:val="20"/>
        </w:rPr>
        <w:t> </w:t>
      </w:r>
      <w:r>
        <w:rPr>
          <w:sz w:val="20"/>
        </w:rPr>
        <w:t>Capital</w:t>
      </w:r>
      <w:r>
        <w:rPr>
          <w:spacing w:val="-43"/>
          <w:sz w:val="20"/>
        </w:rPr>
        <w:t> </w:t>
      </w:r>
      <w:r>
        <w:rPr>
          <w:sz w:val="20"/>
        </w:rPr>
        <w:t>de</w:t>
      </w:r>
      <w:r>
        <w:rPr>
          <w:spacing w:val="-43"/>
          <w:sz w:val="20"/>
        </w:rPr>
        <w:t> </w:t>
      </w:r>
      <w:r>
        <w:rPr>
          <w:sz w:val="20"/>
        </w:rPr>
        <w:t>Giro,</w:t>
      </w:r>
      <w:r>
        <w:rPr>
          <w:spacing w:val="-43"/>
          <w:sz w:val="20"/>
        </w:rPr>
        <w:t> </w:t>
      </w:r>
      <w:r>
        <w:rPr>
          <w:sz w:val="20"/>
        </w:rPr>
        <w:t>junto</w:t>
      </w:r>
      <w:r>
        <w:rPr>
          <w:spacing w:val="-43"/>
          <w:sz w:val="20"/>
        </w:rPr>
        <w:t> </w:t>
      </w:r>
      <w:r>
        <w:rPr>
          <w:sz w:val="20"/>
        </w:rPr>
        <w:t>ao</w:t>
      </w:r>
      <w:r>
        <w:rPr>
          <w:spacing w:val="-43"/>
          <w:sz w:val="20"/>
        </w:rPr>
        <w:t> </w:t>
      </w:r>
      <w:r>
        <w:rPr>
          <w:sz w:val="20"/>
        </w:rPr>
        <w:t>Banco</w:t>
      </w:r>
      <w:r>
        <w:rPr>
          <w:spacing w:val="-44"/>
          <w:sz w:val="20"/>
        </w:rPr>
        <w:t> </w:t>
      </w:r>
      <w:r>
        <w:rPr>
          <w:sz w:val="20"/>
        </w:rPr>
        <w:t>Daycoval,</w:t>
      </w:r>
      <w:r>
        <w:rPr>
          <w:spacing w:val="-43"/>
          <w:sz w:val="20"/>
        </w:rPr>
        <w:t> </w:t>
      </w:r>
      <w:r>
        <w:rPr>
          <w:sz w:val="20"/>
        </w:rPr>
        <w:t>com</w:t>
      </w:r>
      <w:r>
        <w:rPr>
          <w:spacing w:val="-43"/>
          <w:sz w:val="20"/>
        </w:rPr>
        <w:t> </w:t>
      </w:r>
      <w:r>
        <w:rPr>
          <w:sz w:val="20"/>
        </w:rPr>
        <w:t>duração</w:t>
      </w:r>
      <w:r>
        <w:rPr>
          <w:spacing w:val="-43"/>
          <w:sz w:val="20"/>
        </w:rPr>
        <w:t> </w:t>
      </w:r>
      <w:r>
        <w:rPr>
          <w:sz w:val="20"/>
        </w:rPr>
        <w:t>total</w:t>
      </w:r>
      <w:r>
        <w:rPr>
          <w:spacing w:val="-43"/>
          <w:sz w:val="20"/>
        </w:rPr>
        <w:t> </w:t>
      </w:r>
      <w:r>
        <w:rPr>
          <w:sz w:val="20"/>
        </w:rPr>
        <w:t>de</w:t>
      </w:r>
      <w:r>
        <w:rPr>
          <w:spacing w:val="-43"/>
          <w:sz w:val="20"/>
        </w:rPr>
        <w:t> </w:t>
      </w:r>
      <w:r>
        <w:rPr>
          <w:sz w:val="20"/>
        </w:rPr>
        <w:t>36</w:t>
      </w:r>
      <w:r>
        <w:rPr>
          <w:spacing w:val="-42"/>
          <w:sz w:val="20"/>
        </w:rPr>
        <w:t> </w:t>
      </w:r>
      <w:r>
        <w:rPr>
          <w:sz w:val="20"/>
        </w:rPr>
        <w:t>meses</w:t>
      </w:r>
      <w:r>
        <w:rPr>
          <w:spacing w:val="-42"/>
          <w:sz w:val="20"/>
        </w:rPr>
        <w:t> </w:t>
      </w:r>
      <w:r>
        <w:rPr>
          <w:sz w:val="20"/>
        </w:rPr>
        <w:t>e</w:t>
      </w:r>
      <w:r>
        <w:rPr>
          <w:spacing w:val="-44"/>
          <w:sz w:val="20"/>
        </w:rPr>
        <w:t> </w:t>
      </w:r>
      <w:r>
        <w:rPr>
          <w:sz w:val="20"/>
        </w:rPr>
        <w:t>carência de</w:t>
      </w:r>
      <w:r>
        <w:rPr>
          <w:spacing w:val="-20"/>
          <w:sz w:val="20"/>
        </w:rPr>
        <w:t> </w:t>
      </w:r>
      <w:r>
        <w:rPr>
          <w:sz w:val="20"/>
        </w:rPr>
        <w:t>12</w:t>
      </w:r>
      <w:r>
        <w:rPr>
          <w:spacing w:val="-18"/>
          <w:sz w:val="20"/>
        </w:rPr>
        <w:t> </w:t>
      </w:r>
      <w:r>
        <w:rPr>
          <w:sz w:val="20"/>
        </w:rPr>
        <w:t>meses</w:t>
      </w:r>
      <w:r>
        <w:rPr>
          <w:spacing w:val="-16"/>
          <w:sz w:val="20"/>
        </w:rPr>
        <w:t> </w:t>
      </w:r>
      <w:r>
        <w:rPr>
          <w:sz w:val="20"/>
        </w:rPr>
        <w:t>para</w:t>
      </w:r>
      <w:r>
        <w:rPr>
          <w:spacing w:val="-18"/>
          <w:sz w:val="20"/>
        </w:rPr>
        <w:t> </w:t>
      </w:r>
      <w:r>
        <w:rPr>
          <w:sz w:val="20"/>
        </w:rPr>
        <w:t>início</w:t>
      </w:r>
      <w:r>
        <w:rPr>
          <w:spacing w:val="-17"/>
          <w:sz w:val="20"/>
        </w:rPr>
        <w:t> </w:t>
      </w:r>
      <w:r>
        <w:rPr>
          <w:sz w:val="20"/>
        </w:rPr>
        <w:t>das</w:t>
      </w:r>
      <w:r>
        <w:rPr>
          <w:spacing w:val="-18"/>
          <w:sz w:val="20"/>
        </w:rPr>
        <w:t> </w:t>
      </w:r>
      <w:r>
        <w:rPr>
          <w:sz w:val="20"/>
        </w:rPr>
        <w:t>amortizações.</w:t>
      </w:r>
    </w:p>
    <w:p>
      <w:pPr>
        <w:spacing w:after="0" w:line="242" w:lineRule="auto"/>
        <w:jc w:val="both"/>
        <w:rPr>
          <w:sz w:val="20"/>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0"/>
          <w:numId w:val="30"/>
        </w:numPr>
        <w:tabs>
          <w:tab w:pos="515" w:val="left" w:leader="none"/>
        </w:tabs>
        <w:spacing w:line="242" w:lineRule="auto" w:before="14" w:after="0"/>
        <w:ind w:left="172" w:right="403" w:firstLine="0"/>
        <w:jc w:val="both"/>
        <w:rPr>
          <w:sz w:val="20"/>
        </w:rPr>
      </w:pPr>
      <w:r>
        <w:rPr>
          <w:sz w:val="20"/>
        </w:rPr>
        <w:t>Em</w:t>
      </w:r>
      <w:r>
        <w:rPr>
          <w:spacing w:val="-23"/>
          <w:sz w:val="20"/>
        </w:rPr>
        <w:t> </w:t>
      </w:r>
      <w:r>
        <w:rPr>
          <w:sz w:val="20"/>
        </w:rPr>
        <w:t>30</w:t>
      </w:r>
      <w:r>
        <w:rPr>
          <w:spacing w:val="-22"/>
          <w:sz w:val="20"/>
        </w:rPr>
        <w:t> </w:t>
      </w:r>
      <w:r>
        <w:rPr>
          <w:sz w:val="20"/>
        </w:rPr>
        <w:t>de</w:t>
      </w:r>
      <w:r>
        <w:rPr>
          <w:spacing w:val="-21"/>
          <w:sz w:val="20"/>
        </w:rPr>
        <w:t> </w:t>
      </w:r>
      <w:r>
        <w:rPr>
          <w:sz w:val="20"/>
        </w:rPr>
        <w:t>junho</w:t>
      </w:r>
      <w:r>
        <w:rPr>
          <w:spacing w:val="-20"/>
          <w:sz w:val="20"/>
        </w:rPr>
        <w:t> </w:t>
      </w:r>
      <w:r>
        <w:rPr>
          <w:sz w:val="20"/>
        </w:rPr>
        <w:t>de</w:t>
      </w:r>
      <w:r>
        <w:rPr>
          <w:spacing w:val="-23"/>
          <w:sz w:val="20"/>
        </w:rPr>
        <w:t> </w:t>
      </w:r>
      <w:r>
        <w:rPr>
          <w:sz w:val="20"/>
        </w:rPr>
        <w:t>2019,</w:t>
      </w:r>
      <w:r>
        <w:rPr>
          <w:spacing w:val="-22"/>
          <w:sz w:val="20"/>
        </w:rPr>
        <w:t> </w:t>
      </w:r>
      <w:r>
        <w:rPr>
          <w:sz w:val="20"/>
        </w:rPr>
        <w:t>a</w:t>
      </w:r>
      <w:r>
        <w:rPr>
          <w:spacing w:val="-21"/>
          <w:sz w:val="20"/>
        </w:rPr>
        <w:t> </w:t>
      </w:r>
      <w:r>
        <w:rPr>
          <w:sz w:val="20"/>
        </w:rPr>
        <w:t>Companhia</w:t>
      </w:r>
      <w:r>
        <w:rPr>
          <w:spacing w:val="-21"/>
          <w:sz w:val="20"/>
        </w:rPr>
        <w:t> </w:t>
      </w:r>
      <w:r>
        <w:rPr>
          <w:sz w:val="20"/>
        </w:rPr>
        <w:t>Energética</w:t>
      </w:r>
      <w:r>
        <w:rPr>
          <w:spacing w:val="-21"/>
          <w:sz w:val="20"/>
        </w:rPr>
        <w:t> </w:t>
      </w:r>
      <w:r>
        <w:rPr>
          <w:sz w:val="20"/>
        </w:rPr>
        <w:t>de</w:t>
      </w:r>
      <w:r>
        <w:rPr>
          <w:spacing w:val="-23"/>
          <w:sz w:val="20"/>
        </w:rPr>
        <w:t> </w:t>
      </w:r>
      <w:r>
        <w:rPr>
          <w:sz w:val="20"/>
        </w:rPr>
        <w:t>Brasília</w:t>
      </w:r>
      <w:r>
        <w:rPr>
          <w:spacing w:val="-21"/>
          <w:sz w:val="20"/>
        </w:rPr>
        <w:t> </w:t>
      </w:r>
      <w:r>
        <w:rPr>
          <w:sz w:val="20"/>
        </w:rPr>
        <w:t>realizou</w:t>
      </w:r>
      <w:r>
        <w:rPr>
          <w:spacing w:val="-22"/>
          <w:sz w:val="20"/>
        </w:rPr>
        <w:t> </w:t>
      </w:r>
      <w:r>
        <w:rPr>
          <w:sz w:val="20"/>
        </w:rPr>
        <w:t>captações</w:t>
      </w:r>
      <w:r>
        <w:rPr>
          <w:spacing w:val="-22"/>
          <w:sz w:val="20"/>
        </w:rPr>
        <w:t> </w:t>
      </w:r>
      <w:r>
        <w:rPr>
          <w:sz w:val="20"/>
        </w:rPr>
        <w:t>financeiras</w:t>
      </w:r>
      <w:r>
        <w:rPr>
          <w:spacing w:val="-21"/>
          <w:sz w:val="20"/>
        </w:rPr>
        <w:t> </w:t>
      </w:r>
      <w:r>
        <w:rPr>
          <w:sz w:val="20"/>
        </w:rPr>
        <w:t>junto</w:t>
      </w:r>
      <w:r>
        <w:rPr>
          <w:spacing w:val="-22"/>
          <w:sz w:val="20"/>
        </w:rPr>
        <w:t> </w:t>
      </w:r>
      <w:r>
        <w:rPr>
          <w:sz w:val="20"/>
        </w:rPr>
        <w:t>ao</w:t>
      </w:r>
      <w:r>
        <w:rPr>
          <w:spacing w:val="-22"/>
          <w:sz w:val="20"/>
        </w:rPr>
        <w:t> </w:t>
      </w:r>
      <w:r>
        <w:rPr>
          <w:sz w:val="20"/>
        </w:rPr>
        <w:t>Banco</w:t>
      </w:r>
      <w:r>
        <w:rPr>
          <w:spacing w:val="-21"/>
          <w:sz w:val="20"/>
        </w:rPr>
        <w:t> </w:t>
      </w:r>
      <w:r>
        <w:rPr>
          <w:sz w:val="20"/>
        </w:rPr>
        <w:t>de Brasília</w:t>
      </w:r>
      <w:r>
        <w:rPr>
          <w:spacing w:val="-15"/>
          <w:sz w:val="20"/>
        </w:rPr>
        <w:t> </w:t>
      </w:r>
      <w:r>
        <w:rPr>
          <w:w w:val="105"/>
          <w:sz w:val="20"/>
        </w:rPr>
        <w:t>–</w:t>
      </w:r>
      <w:r>
        <w:rPr>
          <w:spacing w:val="-18"/>
          <w:w w:val="105"/>
          <w:sz w:val="20"/>
        </w:rPr>
        <w:t> </w:t>
      </w:r>
      <w:r>
        <w:rPr>
          <w:sz w:val="20"/>
        </w:rPr>
        <w:t>BRB,</w:t>
      </w:r>
      <w:r>
        <w:rPr>
          <w:spacing w:val="-14"/>
          <w:sz w:val="20"/>
        </w:rPr>
        <w:t> </w:t>
      </w:r>
      <w:r>
        <w:rPr>
          <w:sz w:val="20"/>
        </w:rPr>
        <w:t>nos</w:t>
      </w:r>
      <w:r>
        <w:rPr>
          <w:spacing w:val="-16"/>
          <w:sz w:val="20"/>
        </w:rPr>
        <w:t> </w:t>
      </w:r>
      <w:r>
        <w:rPr>
          <w:sz w:val="20"/>
        </w:rPr>
        <w:t>valores</w:t>
      </w:r>
      <w:r>
        <w:rPr>
          <w:spacing w:val="-11"/>
          <w:sz w:val="20"/>
        </w:rPr>
        <w:t> </w:t>
      </w:r>
      <w:r>
        <w:rPr>
          <w:sz w:val="20"/>
        </w:rPr>
        <w:t>de</w:t>
      </w:r>
      <w:r>
        <w:rPr>
          <w:spacing w:val="-16"/>
          <w:sz w:val="20"/>
        </w:rPr>
        <w:t> </w:t>
      </w:r>
      <w:r>
        <w:rPr>
          <w:sz w:val="20"/>
        </w:rPr>
        <w:t>R$</w:t>
      </w:r>
      <w:r>
        <w:rPr>
          <w:spacing w:val="-16"/>
          <w:sz w:val="20"/>
        </w:rPr>
        <w:t> </w:t>
      </w:r>
      <w:r>
        <w:rPr>
          <w:sz w:val="20"/>
        </w:rPr>
        <w:t>7.600</w:t>
      </w:r>
      <w:r>
        <w:rPr>
          <w:spacing w:val="-14"/>
          <w:sz w:val="20"/>
        </w:rPr>
        <w:t> </w:t>
      </w:r>
      <w:r>
        <w:rPr>
          <w:sz w:val="20"/>
        </w:rPr>
        <w:t>e</w:t>
      </w:r>
      <w:r>
        <w:rPr>
          <w:spacing w:val="-15"/>
          <w:sz w:val="20"/>
        </w:rPr>
        <w:t> </w:t>
      </w:r>
      <w:r>
        <w:rPr>
          <w:sz w:val="20"/>
        </w:rPr>
        <w:t>R$</w:t>
      </w:r>
      <w:r>
        <w:rPr>
          <w:spacing w:val="-14"/>
          <w:sz w:val="20"/>
        </w:rPr>
        <w:t> </w:t>
      </w:r>
      <w:r>
        <w:rPr>
          <w:sz w:val="20"/>
        </w:rPr>
        <w:t>24.600</w:t>
      </w:r>
      <w:r>
        <w:rPr>
          <w:spacing w:val="-15"/>
          <w:sz w:val="20"/>
        </w:rPr>
        <w:t> </w:t>
      </w:r>
      <w:r>
        <w:rPr>
          <w:sz w:val="20"/>
        </w:rPr>
        <w:t>a</w:t>
      </w:r>
      <w:r>
        <w:rPr>
          <w:spacing w:val="-13"/>
          <w:sz w:val="20"/>
        </w:rPr>
        <w:t> </w:t>
      </w:r>
      <w:r>
        <w:rPr>
          <w:sz w:val="20"/>
        </w:rPr>
        <w:t>serem</w:t>
      </w:r>
      <w:r>
        <w:rPr>
          <w:spacing w:val="-15"/>
          <w:sz w:val="20"/>
        </w:rPr>
        <w:t> </w:t>
      </w:r>
      <w:r>
        <w:rPr>
          <w:sz w:val="20"/>
        </w:rPr>
        <w:t>amortizadas</w:t>
      </w:r>
      <w:r>
        <w:rPr>
          <w:spacing w:val="-6"/>
          <w:sz w:val="20"/>
        </w:rPr>
        <w:t> </w:t>
      </w:r>
      <w:r>
        <w:rPr>
          <w:sz w:val="20"/>
        </w:rPr>
        <w:t>em</w:t>
      </w:r>
      <w:r>
        <w:rPr>
          <w:spacing w:val="-15"/>
          <w:sz w:val="20"/>
        </w:rPr>
        <w:t> </w:t>
      </w:r>
      <w:r>
        <w:rPr>
          <w:sz w:val="20"/>
        </w:rPr>
        <w:t>15</w:t>
      </w:r>
      <w:r>
        <w:rPr>
          <w:spacing w:val="-14"/>
          <w:sz w:val="20"/>
        </w:rPr>
        <w:t> </w:t>
      </w:r>
      <w:r>
        <w:rPr>
          <w:sz w:val="20"/>
        </w:rPr>
        <w:t>prestações,</w:t>
      </w:r>
      <w:r>
        <w:rPr>
          <w:spacing w:val="-14"/>
          <w:sz w:val="20"/>
        </w:rPr>
        <w:t> </w:t>
      </w:r>
      <w:r>
        <w:rPr>
          <w:sz w:val="20"/>
        </w:rPr>
        <w:t>por</w:t>
      </w:r>
      <w:r>
        <w:rPr>
          <w:spacing w:val="-17"/>
          <w:sz w:val="20"/>
        </w:rPr>
        <w:t> </w:t>
      </w:r>
      <w:r>
        <w:rPr>
          <w:sz w:val="20"/>
        </w:rPr>
        <w:t>um</w:t>
      </w:r>
      <w:r>
        <w:rPr>
          <w:spacing w:val="-16"/>
          <w:sz w:val="20"/>
        </w:rPr>
        <w:t> </w:t>
      </w:r>
      <w:r>
        <w:rPr>
          <w:sz w:val="20"/>
        </w:rPr>
        <w:t>custo</w:t>
      </w:r>
      <w:r>
        <w:rPr>
          <w:spacing w:val="-15"/>
          <w:sz w:val="20"/>
        </w:rPr>
        <w:t> </w:t>
      </w:r>
      <w:r>
        <w:rPr>
          <w:sz w:val="20"/>
        </w:rPr>
        <w:t>de</w:t>
      </w:r>
      <w:r>
        <w:rPr>
          <w:spacing w:val="-15"/>
          <w:sz w:val="20"/>
        </w:rPr>
        <w:t> </w:t>
      </w:r>
      <w:r>
        <w:rPr>
          <w:sz w:val="20"/>
        </w:rPr>
        <w:t>CDI</w:t>
      </w:r>
      <w:r>
        <w:rPr>
          <w:spacing w:val="-16"/>
          <w:sz w:val="20"/>
        </w:rPr>
        <w:t> </w:t>
      </w:r>
      <w:r>
        <w:rPr>
          <w:sz w:val="20"/>
        </w:rPr>
        <w:t>+ 2,35%</w:t>
      </w:r>
      <w:r>
        <w:rPr>
          <w:spacing w:val="-29"/>
          <w:sz w:val="20"/>
        </w:rPr>
        <w:t> </w:t>
      </w:r>
      <w:r>
        <w:rPr>
          <w:sz w:val="20"/>
        </w:rPr>
        <w:t>a.a.</w:t>
      </w:r>
      <w:r>
        <w:rPr>
          <w:spacing w:val="-25"/>
          <w:sz w:val="20"/>
        </w:rPr>
        <w:t> </w:t>
      </w:r>
      <w:r>
        <w:rPr>
          <w:sz w:val="20"/>
        </w:rPr>
        <w:t>e</w:t>
      </w:r>
      <w:r>
        <w:rPr>
          <w:spacing w:val="-30"/>
          <w:sz w:val="20"/>
        </w:rPr>
        <w:t> </w:t>
      </w:r>
      <w:r>
        <w:rPr>
          <w:w w:val="105"/>
          <w:sz w:val="20"/>
        </w:rPr>
        <w:t>1%</w:t>
      </w:r>
      <w:r>
        <w:rPr>
          <w:spacing w:val="-30"/>
          <w:w w:val="105"/>
          <w:sz w:val="20"/>
        </w:rPr>
        <w:t> </w:t>
      </w:r>
      <w:r>
        <w:rPr>
          <w:sz w:val="20"/>
        </w:rPr>
        <w:t>de</w:t>
      </w:r>
      <w:r>
        <w:rPr>
          <w:spacing w:val="-28"/>
          <w:sz w:val="20"/>
        </w:rPr>
        <w:t> </w:t>
      </w:r>
      <w:r>
        <w:rPr>
          <w:sz w:val="20"/>
        </w:rPr>
        <w:t>tarifa</w:t>
      </w:r>
      <w:r>
        <w:rPr>
          <w:spacing w:val="-27"/>
          <w:sz w:val="20"/>
        </w:rPr>
        <w:t> </w:t>
      </w:r>
      <w:r>
        <w:rPr>
          <w:sz w:val="20"/>
        </w:rPr>
        <w:t>de</w:t>
      </w:r>
      <w:r>
        <w:rPr>
          <w:spacing w:val="-28"/>
          <w:sz w:val="20"/>
        </w:rPr>
        <w:t> </w:t>
      </w:r>
      <w:r>
        <w:rPr>
          <w:sz w:val="20"/>
        </w:rPr>
        <w:t>estruturação.</w:t>
      </w:r>
      <w:r>
        <w:rPr>
          <w:spacing w:val="-29"/>
          <w:sz w:val="20"/>
        </w:rPr>
        <w:t> </w:t>
      </w:r>
      <w:r>
        <w:rPr>
          <w:sz w:val="20"/>
        </w:rPr>
        <w:t>As</w:t>
      </w:r>
      <w:r>
        <w:rPr>
          <w:spacing w:val="-26"/>
          <w:sz w:val="20"/>
        </w:rPr>
        <w:t> </w:t>
      </w:r>
      <w:r>
        <w:rPr>
          <w:sz w:val="20"/>
        </w:rPr>
        <w:t>fontes</w:t>
      </w:r>
      <w:r>
        <w:rPr>
          <w:spacing w:val="-26"/>
          <w:sz w:val="20"/>
        </w:rPr>
        <w:t> </w:t>
      </w:r>
      <w:r>
        <w:rPr>
          <w:sz w:val="20"/>
        </w:rPr>
        <w:t>de</w:t>
      </w:r>
      <w:r>
        <w:rPr>
          <w:spacing w:val="-28"/>
          <w:sz w:val="20"/>
        </w:rPr>
        <w:t> </w:t>
      </w:r>
      <w:r>
        <w:rPr>
          <w:sz w:val="20"/>
        </w:rPr>
        <w:t>recursos</w:t>
      </w:r>
      <w:r>
        <w:rPr>
          <w:spacing w:val="-27"/>
          <w:sz w:val="20"/>
        </w:rPr>
        <w:t> </w:t>
      </w:r>
      <w:r>
        <w:rPr>
          <w:sz w:val="20"/>
        </w:rPr>
        <w:t>para</w:t>
      </w:r>
      <w:r>
        <w:rPr>
          <w:spacing w:val="-27"/>
          <w:sz w:val="20"/>
        </w:rPr>
        <w:t> </w:t>
      </w:r>
      <w:r>
        <w:rPr>
          <w:sz w:val="20"/>
        </w:rPr>
        <w:t>a</w:t>
      </w:r>
      <w:r>
        <w:rPr>
          <w:spacing w:val="-26"/>
          <w:sz w:val="20"/>
        </w:rPr>
        <w:t> </w:t>
      </w:r>
      <w:r>
        <w:rPr>
          <w:sz w:val="20"/>
        </w:rPr>
        <w:t>quitação</w:t>
      </w:r>
      <w:r>
        <w:rPr>
          <w:spacing w:val="-29"/>
          <w:sz w:val="20"/>
        </w:rPr>
        <w:t> </w:t>
      </w:r>
      <w:r>
        <w:rPr>
          <w:sz w:val="20"/>
        </w:rPr>
        <w:t>dessa</w:t>
      </w:r>
      <w:r>
        <w:rPr>
          <w:spacing w:val="-28"/>
          <w:sz w:val="20"/>
        </w:rPr>
        <w:t> </w:t>
      </w:r>
      <w:r>
        <w:rPr>
          <w:sz w:val="20"/>
        </w:rPr>
        <w:t>captação</w:t>
      </w:r>
      <w:r>
        <w:rPr>
          <w:spacing w:val="-29"/>
          <w:sz w:val="20"/>
        </w:rPr>
        <w:t> </w:t>
      </w:r>
      <w:r>
        <w:rPr>
          <w:sz w:val="20"/>
        </w:rPr>
        <w:t>serão</w:t>
      </w:r>
      <w:r>
        <w:rPr>
          <w:spacing w:val="-27"/>
          <w:sz w:val="20"/>
        </w:rPr>
        <w:t> </w:t>
      </w:r>
      <w:r>
        <w:rPr>
          <w:sz w:val="20"/>
        </w:rPr>
        <w:t>obtidas</w:t>
      </w:r>
      <w:r>
        <w:rPr>
          <w:spacing w:val="-28"/>
          <w:sz w:val="20"/>
        </w:rPr>
        <w:t> </w:t>
      </w:r>
      <w:r>
        <w:rPr>
          <w:sz w:val="20"/>
        </w:rPr>
        <w:t>pelos recebíveis</w:t>
      </w:r>
      <w:r>
        <w:rPr>
          <w:spacing w:val="-43"/>
          <w:sz w:val="20"/>
        </w:rPr>
        <w:t> </w:t>
      </w:r>
      <w:r>
        <w:rPr>
          <w:sz w:val="20"/>
        </w:rPr>
        <w:t>da</w:t>
      </w:r>
      <w:r>
        <w:rPr>
          <w:spacing w:val="-43"/>
          <w:sz w:val="20"/>
        </w:rPr>
        <w:t> </w:t>
      </w:r>
      <w:r>
        <w:rPr>
          <w:sz w:val="20"/>
        </w:rPr>
        <w:t>sub-rogação</w:t>
      </w:r>
      <w:r>
        <w:rPr>
          <w:spacing w:val="-43"/>
          <w:sz w:val="20"/>
        </w:rPr>
        <w:t> </w:t>
      </w:r>
      <w:r>
        <w:rPr>
          <w:sz w:val="20"/>
        </w:rPr>
        <w:t>do</w:t>
      </w:r>
      <w:r>
        <w:rPr>
          <w:spacing w:val="-43"/>
          <w:sz w:val="20"/>
        </w:rPr>
        <w:t> </w:t>
      </w:r>
      <w:r>
        <w:rPr>
          <w:sz w:val="20"/>
        </w:rPr>
        <w:t>contrato</w:t>
      </w:r>
      <w:r>
        <w:rPr>
          <w:spacing w:val="-43"/>
          <w:sz w:val="20"/>
        </w:rPr>
        <w:t> </w:t>
      </w:r>
      <w:r>
        <w:rPr>
          <w:sz w:val="20"/>
        </w:rPr>
        <w:t>dos</w:t>
      </w:r>
      <w:r>
        <w:rPr>
          <w:spacing w:val="-42"/>
          <w:sz w:val="20"/>
        </w:rPr>
        <w:t> </w:t>
      </w:r>
      <w:r>
        <w:rPr>
          <w:sz w:val="20"/>
        </w:rPr>
        <w:t>direitos</w:t>
      </w:r>
      <w:r>
        <w:rPr>
          <w:spacing w:val="-43"/>
          <w:sz w:val="20"/>
        </w:rPr>
        <w:t> </w:t>
      </w:r>
      <w:r>
        <w:rPr>
          <w:sz w:val="20"/>
        </w:rPr>
        <w:t>creditórios</w:t>
      </w:r>
      <w:r>
        <w:rPr>
          <w:spacing w:val="-43"/>
          <w:sz w:val="20"/>
        </w:rPr>
        <w:t> </w:t>
      </w:r>
      <w:r>
        <w:rPr>
          <w:sz w:val="20"/>
        </w:rPr>
        <w:t>cedidos</w:t>
      </w:r>
      <w:r>
        <w:rPr>
          <w:spacing w:val="-42"/>
          <w:sz w:val="20"/>
        </w:rPr>
        <w:t> </w:t>
      </w:r>
      <w:r>
        <w:rPr>
          <w:sz w:val="20"/>
        </w:rPr>
        <w:t>pela</w:t>
      </w:r>
      <w:r>
        <w:rPr>
          <w:spacing w:val="-43"/>
          <w:sz w:val="20"/>
        </w:rPr>
        <w:t> </w:t>
      </w:r>
      <w:r>
        <w:rPr>
          <w:sz w:val="20"/>
        </w:rPr>
        <w:t>CEB</w:t>
      </w:r>
      <w:r>
        <w:rPr>
          <w:spacing w:val="-43"/>
          <w:sz w:val="20"/>
        </w:rPr>
        <w:t> </w:t>
      </w:r>
      <w:r>
        <w:rPr>
          <w:sz w:val="20"/>
        </w:rPr>
        <w:t>Geração</w:t>
      </w:r>
      <w:r>
        <w:rPr>
          <w:spacing w:val="-43"/>
          <w:sz w:val="20"/>
        </w:rPr>
        <w:t> </w:t>
      </w:r>
      <w:r>
        <w:rPr>
          <w:sz w:val="20"/>
        </w:rPr>
        <w:t>S.A.</w:t>
      </w:r>
      <w:r>
        <w:rPr>
          <w:spacing w:val="-43"/>
          <w:sz w:val="20"/>
        </w:rPr>
        <w:t> </w:t>
      </w:r>
      <w:r>
        <w:rPr>
          <w:sz w:val="20"/>
        </w:rPr>
        <w:t>como</w:t>
      </w:r>
      <w:r>
        <w:rPr>
          <w:spacing w:val="-43"/>
          <w:sz w:val="20"/>
        </w:rPr>
        <w:t> </w:t>
      </w:r>
      <w:r>
        <w:rPr>
          <w:sz w:val="20"/>
        </w:rPr>
        <w:t>forma</w:t>
      </w:r>
      <w:r>
        <w:rPr>
          <w:spacing w:val="-42"/>
          <w:sz w:val="20"/>
        </w:rPr>
        <w:t> </w:t>
      </w:r>
      <w:r>
        <w:rPr>
          <w:sz w:val="20"/>
        </w:rPr>
        <w:t>de</w:t>
      </w:r>
      <w:r>
        <w:rPr>
          <w:spacing w:val="-43"/>
          <w:sz w:val="20"/>
        </w:rPr>
        <w:t> </w:t>
      </w:r>
      <w:r>
        <w:rPr>
          <w:sz w:val="20"/>
        </w:rPr>
        <w:t>quitação dos</w:t>
      </w:r>
      <w:r>
        <w:rPr>
          <w:spacing w:val="-19"/>
          <w:sz w:val="20"/>
        </w:rPr>
        <w:t> </w:t>
      </w:r>
      <w:r>
        <w:rPr>
          <w:sz w:val="20"/>
        </w:rPr>
        <w:t>dividendos</w:t>
      </w:r>
      <w:r>
        <w:rPr>
          <w:spacing w:val="-16"/>
          <w:sz w:val="20"/>
        </w:rPr>
        <w:t> </w:t>
      </w:r>
      <w:r>
        <w:rPr>
          <w:sz w:val="20"/>
        </w:rPr>
        <w:t>referente</w:t>
      </w:r>
      <w:r>
        <w:rPr>
          <w:spacing w:val="-20"/>
          <w:sz w:val="20"/>
        </w:rPr>
        <w:t> </w:t>
      </w:r>
      <w:r>
        <w:rPr>
          <w:sz w:val="20"/>
        </w:rPr>
        <w:t>ao</w:t>
      </w:r>
      <w:r>
        <w:rPr>
          <w:spacing w:val="-16"/>
          <w:sz w:val="20"/>
        </w:rPr>
        <w:t> </w:t>
      </w:r>
      <w:r>
        <w:rPr>
          <w:sz w:val="20"/>
        </w:rPr>
        <w:t>exercício</w:t>
      </w:r>
      <w:r>
        <w:rPr>
          <w:spacing w:val="-17"/>
          <w:sz w:val="20"/>
        </w:rPr>
        <w:t> </w:t>
      </w:r>
      <w:r>
        <w:rPr>
          <w:sz w:val="20"/>
        </w:rPr>
        <w:t>de</w:t>
      </w:r>
      <w:r>
        <w:rPr>
          <w:spacing w:val="-18"/>
          <w:sz w:val="20"/>
        </w:rPr>
        <w:t> </w:t>
      </w:r>
      <w:r>
        <w:rPr>
          <w:sz w:val="20"/>
        </w:rPr>
        <w:t>2018.</w:t>
      </w:r>
    </w:p>
    <w:p>
      <w:pPr>
        <w:pStyle w:val="BodyText"/>
        <w:spacing w:before="9"/>
      </w:pPr>
    </w:p>
    <w:p>
      <w:pPr>
        <w:pStyle w:val="BodyText"/>
        <w:spacing w:line="242" w:lineRule="auto"/>
        <w:ind w:left="172" w:right="421"/>
        <w:jc w:val="both"/>
      </w:pPr>
      <w:r>
        <w:rPr/>
        <w:t>Para</w:t>
      </w:r>
      <w:r>
        <w:rPr>
          <w:spacing w:val="-27"/>
        </w:rPr>
        <w:t> </w:t>
      </w:r>
      <w:r>
        <w:rPr/>
        <w:t>a</w:t>
      </w:r>
      <w:r>
        <w:rPr>
          <w:spacing w:val="-25"/>
        </w:rPr>
        <w:t> </w:t>
      </w:r>
      <w:r>
        <w:rPr/>
        <w:t>realização</w:t>
      </w:r>
      <w:r>
        <w:rPr>
          <w:spacing w:val="-28"/>
        </w:rPr>
        <w:t> </w:t>
      </w:r>
      <w:r>
        <w:rPr/>
        <w:t>dessa</w:t>
      </w:r>
      <w:r>
        <w:rPr>
          <w:spacing w:val="-26"/>
        </w:rPr>
        <w:t> </w:t>
      </w:r>
      <w:r>
        <w:rPr/>
        <w:t>captação,</w:t>
      </w:r>
      <w:r>
        <w:rPr>
          <w:spacing w:val="-28"/>
        </w:rPr>
        <w:t> </w:t>
      </w:r>
      <w:r>
        <w:rPr/>
        <w:t>a</w:t>
      </w:r>
      <w:r>
        <w:rPr>
          <w:spacing w:val="-26"/>
        </w:rPr>
        <w:t> </w:t>
      </w:r>
      <w:r>
        <w:rPr/>
        <w:t>Companhia</w:t>
      </w:r>
      <w:r>
        <w:rPr>
          <w:spacing w:val="-26"/>
        </w:rPr>
        <w:t> </w:t>
      </w:r>
      <w:r>
        <w:rPr/>
        <w:t>concedeu</w:t>
      </w:r>
      <w:r>
        <w:rPr>
          <w:spacing w:val="-27"/>
        </w:rPr>
        <w:t> </w:t>
      </w:r>
      <w:r>
        <w:rPr/>
        <w:t>como</w:t>
      </w:r>
      <w:r>
        <w:rPr>
          <w:spacing w:val="-26"/>
        </w:rPr>
        <w:t> </w:t>
      </w:r>
      <w:r>
        <w:rPr/>
        <w:t>garantias</w:t>
      </w:r>
      <w:r>
        <w:rPr>
          <w:spacing w:val="-27"/>
        </w:rPr>
        <w:t> </w:t>
      </w:r>
      <w:r>
        <w:rPr/>
        <w:t>a</w:t>
      </w:r>
      <w:r>
        <w:rPr>
          <w:spacing w:val="-27"/>
        </w:rPr>
        <w:t> </w:t>
      </w:r>
      <w:r>
        <w:rPr/>
        <w:t>cessão</w:t>
      </w:r>
      <w:r>
        <w:rPr>
          <w:spacing w:val="-26"/>
        </w:rPr>
        <w:t> </w:t>
      </w:r>
      <w:r>
        <w:rPr/>
        <w:t>fiduciária</w:t>
      </w:r>
      <w:r>
        <w:rPr>
          <w:spacing w:val="-26"/>
        </w:rPr>
        <w:t> </w:t>
      </w:r>
      <w:r>
        <w:rPr/>
        <w:t>de</w:t>
      </w:r>
      <w:r>
        <w:rPr>
          <w:spacing w:val="-27"/>
        </w:rPr>
        <w:t> </w:t>
      </w:r>
      <w:r>
        <w:rPr/>
        <w:t>receita</w:t>
      </w:r>
      <w:r>
        <w:rPr>
          <w:spacing w:val="-25"/>
        </w:rPr>
        <w:t> </w:t>
      </w:r>
      <w:r>
        <w:rPr/>
        <w:t>relativa</w:t>
      </w:r>
      <w:r>
        <w:rPr>
          <w:spacing w:val="-27"/>
        </w:rPr>
        <w:t> </w:t>
      </w:r>
      <w:r>
        <w:rPr/>
        <w:t>ao contrato</w:t>
      </w:r>
      <w:r>
        <w:rPr>
          <w:spacing w:val="-22"/>
        </w:rPr>
        <w:t> </w:t>
      </w:r>
      <w:r>
        <w:rPr/>
        <w:t>de</w:t>
      </w:r>
      <w:r>
        <w:rPr>
          <w:spacing w:val="-23"/>
        </w:rPr>
        <w:t> </w:t>
      </w:r>
      <w:r>
        <w:rPr/>
        <w:t>prestação</w:t>
      </w:r>
      <w:r>
        <w:rPr>
          <w:spacing w:val="-23"/>
        </w:rPr>
        <w:t> </w:t>
      </w:r>
      <w:r>
        <w:rPr/>
        <w:t>de</w:t>
      </w:r>
      <w:r>
        <w:rPr>
          <w:spacing w:val="-24"/>
        </w:rPr>
        <w:t> </w:t>
      </w:r>
      <w:r>
        <w:rPr/>
        <w:t>serviço</w:t>
      </w:r>
      <w:r>
        <w:rPr>
          <w:spacing w:val="-23"/>
        </w:rPr>
        <w:t> </w:t>
      </w:r>
      <w:r>
        <w:rPr/>
        <w:t>de</w:t>
      </w:r>
      <w:r>
        <w:rPr>
          <w:spacing w:val="-22"/>
        </w:rPr>
        <w:t> </w:t>
      </w:r>
      <w:r>
        <w:rPr/>
        <w:t>iluminação</w:t>
      </w:r>
      <w:r>
        <w:rPr>
          <w:spacing w:val="-23"/>
        </w:rPr>
        <w:t> </w:t>
      </w:r>
      <w:r>
        <w:rPr/>
        <w:t>pública</w:t>
      </w:r>
      <w:r>
        <w:rPr>
          <w:spacing w:val="-22"/>
        </w:rPr>
        <w:t> </w:t>
      </w:r>
      <w:r>
        <w:rPr/>
        <w:t>e</w:t>
      </w:r>
      <w:r>
        <w:rPr>
          <w:spacing w:val="-19"/>
        </w:rPr>
        <w:t> </w:t>
      </w:r>
      <w:r>
        <w:rPr/>
        <w:t>a</w:t>
      </w:r>
      <w:r>
        <w:rPr>
          <w:spacing w:val="-22"/>
        </w:rPr>
        <w:t> </w:t>
      </w:r>
      <w:r>
        <w:rPr/>
        <w:t>cessão</w:t>
      </w:r>
      <w:r>
        <w:rPr>
          <w:spacing w:val="-23"/>
        </w:rPr>
        <w:t> </w:t>
      </w:r>
      <w:r>
        <w:rPr/>
        <w:t>de</w:t>
      </w:r>
      <w:r>
        <w:rPr>
          <w:spacing w:val="-22"/>
        </w:rPr>
        <w:t> </w:t>
      </w:r>
      <w:r>
        <w:rPr/>
        <w:t>direitos</w:t>
      </w:r>
      <w:r>
        <w:rPr>
          <w:spacing w:val="-15"/>
        </w:rPr>
        <w:t> </w:t>
      </w:r>
      <w:r>
        <w:rPr/>
        <w:t>creditórios.</w:t>
      </w:r>
    </w:p>
    <w:p>
      <w:pPr>
        <w:pStyle w:val="BodyText"/>
        <w:spacing w:before="4"/>
      </w:pPr>
    </w:p>
    <w:p>
      <w:pPr>
        <w:pStyle w:val="ListParagraph"/>
        <w:numPr>
          <w:ilvl w:val="0"/>
          <w:numId w:val="30"/>
        </w:numPr>
        <w:tabs>
          <w:tab w:pos="493" w:val="left" w:leader="none"/>
        </w:tabs>
        <w:spacing w:line="242" w:lineRule="auto" w:before="0" w:after="0"/>
        <w:ind w:left="172" w:right="416" w:firstLine="0"/>
        <w:jc w:val="both"/>
        <w:rPr>
          <w:sz w:val="20"/>
        </w:rPr>
      </w:pPr>
      <w:r>
        <w:rPr>
          <w:sz w:val="20"/>
        </w:rPr>
        <w:t>Em</w:t>
      </w:r>
      <w:r>
        <w:rPr>
          <w:spacing w:val="-28"/>
          <w:sz w:val="20"/>
        </w:rPr>
        <w:t> </w:t>
      </w:r>
      <w:r>
        <w:rPr>
          <w:sz w:val="20"/>
        </w:rPr>
        <w:t>27</w:t>
      </w:r>
      <w:r>
        <w:rPr>
          <w:spacing w:val="-28"/>
          <w:sz w:val="20"/>
        </w:rPr>
        <w:t> </w:t>
      </w:r>
      <w:r>
        <w:rPr>
          <w:sz w:val="20"/>
        </w:rPr>
        <w:t>de</w:t>
      </w:r>
      <w:r>
        <w:rPr>
          <w:spacing w:val="-28"/>
          <w:sz w:val="20"/>
        </w:rPr>
        <w:t> </w:t>
      </w:r>
      <w:r>
        <w:rPr>
          <w:sz w:val="20"/>
        </w:rPr>
        <w:t>dezembro</w:t>
      </w:r>
      <w:r>
        <w:rPr>
          <w:spacing w:val="-27"/>
          <w:sz w:val="20"/>
        </w:rPr>
        <w:t> </w:t>
      </w:r>
      <w:r>
        <w:rPr>
          <w:sz w:val="20"/>
        </w:rPr>
        <w:t>de</w:t>
      </w:r>
      <w:r>
        <w:rPr>
          <w:spacing w:val="-27"/>
          <w:sz w:val="20"/>
        </w:rPr>
        <w:t> </w:t>
      </w:r>
      <w:r>
        <w:rPr>
          <w:sz w:val="20"/>
        </w:rPr>
        <w:t>2019,</w:t>
      </w:r>
      <w:r>
        <w:rPr>
          <w:spacing w:val="-29"/>
          <w:sz w:val="20"/>
        </w:rPr>
        <w:t> </w:t>
      </w:r>
      <w:r>
        <w:rPr>
          <w:sz w:val="20"/>
        </w:rPr>
        <w:t>a</w:t>
      </w:r>
      <w:r>
        <w:rPr>
          <w:spacing w:val="-27"/>
          <w:sz w:val="20"/>
        </w:rPr>
        <w:t> </w:t>
      </w:r>
      <w:r>
        <w:rPr>
          <w:sz w:val="20"/>
        </w:rPr>
        <w:t>Companhia</w:t>
      </w:r>
      <w:r>
        <w:rPr>
          <w:spacing w:val="-27"/>
          <w:sz w:val="20"/>
        </w:rPr>
        <w:t> </w:t>
      </w:r>
      <w:r>
        <w:rPr>
          <w:sz w:val="20"/>
        </w:rPr>
        <w:t>Energética</w:t>
      </w:r>
      <w:r>
        <w:rPr>
          <w:spacing w:val="-28"/>
          <w:sz w:val="20"/>
        </w:rPr>
        <w:t> </w:t>
      </w:r>
      <w:r>
        <w:rPr>
          <w:sz w:val="20"/>
        </w:rPr>
        <w:t>de</w:t>
      </w:r>
      <w:r>
        <w:rPr>
          <w:spacing w:val="-29"/>
          <w:sz w:val="20"/>
        </w:rPr>
        <w:t> </w:t>
      </w:r>
      <w:r>
        <w:rPr>
          <w:sz w:val="20"/>
        </w:rPr>
        <w:t>Brasília</w:t>
      </w:r>
      <w:r>
        <w:rPr>
          <w:spacing w:val="-27"/>
          <w:sz w:val="20"/>
        </w:rPr>
        <w:t> </w:t>
      </w:r>
      <w:r>
        <w:rPr>
          <w:sz w:val="20"/>
        </w:rPr>
        <w:t>realizou</w:t>
      </w:r>
      <w:r>
        <w:rPr>
          <w:spacing w:val="-28"/>
          <w:sz w:val="20"/>
        </w:rPr>
        <w:t> </w:t>
      </w:r>
      <w:r>
        <w:rPr>
          <w:sz w:val="20"/>
        </w:rPr>
        <w:t>captações</w:t>
      </w:r>
      <w:r>
        <w:rPr>
          <w:spacing w:val="-28"/>
          <w:sz w:val="20"/>
        </w:rPr>
        <w:t> </w:t>
      </w:r>
      <w:r>
        <w:rPr>
          <w:sz w:val="20"/>
        </w:rPr>
        <w:t>financeiras</w:t>
      </w:r>
      <w:r>
        <w:rPr>
          <w:spacing w:val="-27"/>
          <w:sz w:val="20"/>
        </w:rPr>
        <w:t> </w:t>
      </w:r>
      <w:r>
        <w:rPr>
          <w:sz w:val="20"/>
        </w:rPr>
        <w:t>junto</w:t>
      </w:r>
      <w:r>
        <w:rPr>
          <w:spacing w:val="-28"/>
          <w:sz w:val="20"/>
        </w:rPr>
        <w:t> </w:t>
      </w:r>
      <w:r>
        <w:rPr>
          <w:sz w:val="20"/>
        </w:rPr>
        <w:t>ao</w:t>
      </w:r>
      <w:r>
        <w:rPr>
          <w:spacing w:val="-30"/>
          <w:sz w:val="20"/>
        </w:rPr>
        <w:t> </w:t>
      </w:r>
      <w:r>
        <w:rPr>
          <w:sz w:val="20"/>
        </w:rPr>
        <w:t>Banco </w:t>
      </w:r>
      <w:r>
        <w:rPr>
          <w:w w:val="105"/>
          <w:sz w:val="20"/>
        </w:rPr>
        <w:t>de</w:t>
      </w:r>
      <w:r>
        <w:rPr>
          <w:spacing w:val="-39"/>
          <w:w w:val="105"/>
          <w:sz w:val="20"/>
        </w:rPr>
        <w:t> </w:t>
      </w:r>
      <w:r>
        <w:rPr>
          <w:w w:val="105"/>
          <w:sz w:val="20"/>
        </w:rPr>
        <w:t>Brasília</w:t>
      </w:r>
      <w:r>
        <w:rPr>
          <w:spacing w:val="-38"/>
          <w:w w:val="105"/>
          <w:sz w:val="20"/>
        </w:rPr>
        <w:t> </w:t>
      </w:r>
      <w:r>
        <w:rPr>
          <w:w w:val="105"/>
          <w:sz w:val="20"/>
        </w:rPr>
        <w:t>–</w:t>
      </w:r>
      <w:r>
        <w:rPr>
          <w:spacing w:val="-37"/>
          <w:w w:val="105"/>
          <w:sz w:val="20"/>
        </w:rPr>
        <w:t> </w:t>
      </w:r>
      <w:r>
        <w:rPr>
          <w:w w:val="105"/>
          <w:sz w:val="20"/>
        </w:rPr>
        <w:t>BRB</w:t>
      </w:r>
      <w:r>
        <w:rPr>
          <w:spacing w:val="-38"/>
          <w:w w:val="105"/>
          <w:sz w:val="20"/>
        </w:rPr>
        <w:t> </w:t>
      </w:r>
      <w:r>
        <w:rPr>
          <w:w w:val="105"/>
          <w:sz w:val="20"/>
        </w:rPr>
        <w:t>e</w:t>
      </w:r>
      <w:r>
        <w:rPr>
          <w:spacing w:val="-39"/>
          <w:w w:val="105"/>
          <w:sz w:val="20"/>
        </w:rPr>
        <w:t> </w:t>
      </w:r>
      <w:r>
        <w:rPr>
          <w:w w:val="105"/>
          <w:sz w:val="20"/>
        </w:rPr>
        <w:t>China</w:t>
      </w:r>
      <w:r>
        <w:rPr>
          <w:spacing w:val="-37"/>
          <w:w w:val="105"/>
          <w:sz w:val="20"/>
        </w:rPr>
        <w:t> </w:t>
      </w:r>
      <w:r>
        <w:rPr>
          <w:w w:val="105"/>
          <w:sz w:val="20"/>
        </w:rPr>
        <w:t>Construction</w:t>
      </w:r>
      <w:r>
        <w:rPr>
          <w:spacing w:val="-39"/>
          <w:w w:val="105"/>
          <w:sz w:val="20"/>
        </w:rPr>
        <w:t> </w:t>
      </w:r>
      <w:r>
        <w:rPr>
          <w:w w:val="105"/>
          <w:sz w:val="20"/>
        </w:rPr>
        <w:t>Bank</w:t>
      </w:r>
      <w:r>
        <w:rPr>
          <w:spacing w:val="-35"/>
          <w:w w:val="105"/>
          <w:sz w:val="20"/>
        </w:rPr>
        <w:t> </w:t>
      </w:r>
      <w:r>
        <w:rPr>
          <w:w w:val="105"/>
          <w:sz w:val="20"/>
        </w:rPr>
        <w:t>-</w:t>
      </w:r>
      <w:r>
        <w:rPr>
          <w:spacing w:val="-37"/>
          <w:w w:val="105"/>
          <w:sz w:val="20"/>
        </w:rPr>
        <w:t> </w:t>
      </w:r>
      <w:r>
        <w:rPr>
          <w:w w:val="105"/>
          <w:sz w:val="20"/>
        </w:rPr>
        <w:t>CCB,</w:t>
      </w:r>
      <w:r>
        <w:rPr>
          <w:spacing w:val="-37"/>
          <w:w w:val="105"/>
          <w:sz w:val="20"/>
        </w:rPr>
        <w:t> </w:t>
      </w:r>
      <w:r>
        <w:rPr>
          <w:w w:val="105"/>
          <w:sz w:val="20"/>
        </w:rPr>
        <w:t>nos</w:t>
      </w:r>
      <w:r>
        <w:rPr>
          <w:spacing w:val="-36"/>
          <w:w w:val="105"/>
          <w:sz w:val="20"/>
        </w:rPr>
        <w:t> </w:t>
      </w:r>
      <w:r>
        <w:rPr>
          <w:w w:val="105"/>
          <w:sz w:val="20"/>
        </w:rPr>
        <w:t>valores</w:t>
      </w:r>
      <w:r>
        <w:rPr>
          <w:spacing w:val="-38"/>
          <w:w w:val="105"/>
          <w:sz w:val="20"/>
        </w:rPr>
        <w:t> </w:t>
      </w:r>
      <w:r>
        <w:rPr>
          <w:w w:val="105"/>
          <w:sz w:val="20"/>
        </w:rPr>
        <w:t>de</w:t>
      </w:r>
      <w:r>
        <w:rPr>
          <w:spacing w:val="-39"/>
          <w:w w:val="105"/>
          <w:sz w:val="20"/>
        </w:rPr>
        <w:t> </w:t>
      </w:r>
      <w:r>
        <w:rPr>
          <w:w w:val="105"/>
          <w:sz w:val="20"/>
        </w:rPr>
        <w:t>R$</w:t>
      </w:r>
      <w:r>
        <w:rPr>
          <w:spacing w:val="-37"/>
          <w:w w:val="105"/>
          <w:sz w:val="20"/>
        </w:rPr>
        <w:t> </w:t>
      </w:r>
      <w:r>
        <w:rPr>
          <w:w w:val="105"/>
          <w:sz w:val="20"/>
        </w:rPr>
        <w:t>24.000</w:t>
      </w:r>
      <w:r>
        <w:rPr>
          <w:spacing w:val="-37"/>
          <w:w w:val="105"/>
          <w:sz w:val="20"/>
        </w:rPr>
        <w:t> </w:t>
      </w:r>
      <w:r>
        <w:rPr>
          <w:w w:val="105"/>
          <w:sz w:val="20"/>
        </w:rPr>
        <w:t>e</w:t>
      </w:r>
      <w:r>
        <w:rPr>
          <w:spacing w:val="-37"/>
          <w:w w:val="105"/>
          <w:sz w:val="20"/>
        </w:rPr>
        <w:t> </w:t>
      </w:r>
      <w:r>
        <w:rPr>
          <w:w w:val="105"/>
          <w:sz w:val="20"/>
        </w:rPr>
        <w:t>R$</w:t>
      </w:r>
      <w:r>
        <w:rPr>
          <w:spacing w:val="-38"/>
          <w:w w:val="105"/>
          <w:sz w:val="20"/>
        </w:rPr>
        <w:t> </w:t>
      </w:r>
      <w:r>
        <w:rPr>
          <w:w w:val="105"/>
          <w:sz w:val="20"/>
        </w:rPr>
        <w:t>70.000,</w:t>
      </w:r>
      <w:r>
        <w:rPr>
          <w:spacing w:val="-38"/>
          <w:w w:val="105"/>
          <w:sz w:val="20"/>
        </w:rPr>
        <w:t> </w:t>
      </w:r>
      <w:r>
        <w:rPr>
          <w:w w:val="105"/>
          <w:sz w:val="20"/>
        </w:rPr>
        <w:t>respectivamente.</w:t>
      </w:r>
    </w:p>
    <w:p>
      <w:pPr>
        <w:pStyle w:val="BodyText"/>
        <w:spacing w:before="7"/>
      </w:pPr>
    </w:p>
    <w:p>
      <w:pPr>
        <w:pStyle w:val="BodyText"/>
        <w:spacing w:line="242" w:lineRule="auto"/>
        <w:ind w:left="172" w:right="408"/>
        <w:jc w:val="both"/>
      </w:pPr>
      <w:r>
        <w:rPr/>
        <w:t>Os</w:t>
      </w:r>
      <w:r>
        <w:rPr>
          <w:spacing w:val="-29"/>
        </w:rPr>
        <w:t> </w:t>
      </w:r>
      <w:r>
        <w:rPr/>
        <w:t>prazos</w:t>
      </w:r>
      <w:r>
        <w:rPr>
          <w:spacing w:val="-28"/>
        </w:rPr>
        <w:t> </w:t>
      </w:r>
      <w:r>
        <w:rPr/>
        <w:t>serão</w:t>
      </w:r>
      <w:r>
        <w:rPr>
          <w:spacing w:val="-27"/>
        </w:rPr>
        <w:t> </w:t>
      </w:r>
      <w:r>
        <w:rPr/>
        <w:t>de</w:t>
      </w:r>
      <w:r>
        <w:rPr>
          <w:spacing w:val="-27"/>
        </w:rPr>
        <w:t> </w:t>
      </w:r>
      <w:r>
        <w:rPr/>
        <w:t>18</w:t>
      </w:r>
      <w:r>
        <w:rPr>
          <w:spacing w:val="-26"/>
        </w:rPr>
        <w:t> </w:t>
      </w:r>
      <w:r>
        <w:rPr/>
        <w:t>meses</w:t>
      </w:r>
      <w:r>
        <w:rPr>
          <w:spacing w:val="-27"/>
        </w:rPr>
        <w:t> </w:t>
      </w:r>
      <w:r>
        <w:rPr/>
        <w:t>de</w:t>
      </w:r>
      <w:r>
        <w:rPr>
          <w:spacing w:val="-28"/>
        </w:rPr>
        <w:t> </w:t>
      </w:r>
      <w:r>
        <w:rPr/>
        <w:t>carência</w:t>
      </w:r>
      <w:r>
        <w:rPr>
          <w:spacing w:val="-25"/>
        </w:rPr>
        <w:t> </w:t>
      </w:r>
      <w:r>
        <w:rPr/>
        <w:t>e</w:t>
      </w:r>
      <w:r>
        <w:rPr>
          <w:spacing w:val="-30"/>
        </w:rPr>
        <w:t> </w:t>
      </w:r>
      <w:r>
        <w:rPr/>
        <w:t>42</w:t>
      </w:r>
      <w:r>
        <w:rPr>
          <w:spacing w:val="-26"/>
        </w:rPr>
        <w:t> </w:t>
      </w:r>
      <w:r>
        <w:rPr/>
        <w:t>meses</w:t>
      </w:r>
      <w:r>
        <w:rPr>
          <w:spacing w:val="-28"/>
        </w:rPr>
        <w:t> </w:t>
      </w:r>
      <w:r>
        <w:rPr/>
        <w:t>de</w:t>
      </w:r>
      <w:r>
        <w:rPr>
          <w:spacing w:val="-28"/>
        </w:rPr>
        <w:t> </w:t>
      </w:r>
      <w:r>
        <w:rPr/>
        <w:t>amortização</w:t>
      </w:r>
      <w:r>
        <w:rPr>
          <w:spacing w:val="-27"/>
        </w:rPr>
        <w:t> </w:t>
      </w:r>
      <w:r>
        <w:rPr/>
        <w:t>e</w:t>
      </w:r>
      <w:r>
        <w:rPr>
          <w:spacing w:val="-28"/>
        </w:rPr>
        <w:t> </w:t>
      </w:r>
      <w:r>
        <w:rPr/>
        <w:t>com</w:t>
      </w:r>
      <w:r>
        <w:rPr>
          <w:spacing w:val="-27"/>
        </w:rPr>
        <w:t> </w:t>
      </w:r>
      <w:r>
        <w:rPr/>
        <w:t>remuneração</w:t>
      </w:r>
      <w:r>
        <w:rPr>
          <w:spacing w:val="-29"/>
        </w:rPr>
        <w:t> </w:t>
      </w:r>
      <w:r>
        <w:rPr/>
        <w:t>de</w:t>
      </w:r>
      <w:r>
        <w:rPr>
          <w:spacing w:val="-28"/>
        </w:rPr>
        <w:t> </w:t>
      </w:r>
      <w:r>
        <w:rPr/>
        <w:t>100%</w:t>
      </w:r>
      <w:r>
        <w:rPr>
          <w:spacing w:val="-26"/>
        </w:rPr>
        <w:t> </w:t>
      </w:r>
      <w:r>
        <w:rPr/>
        <w:t>CDI</w:t>
      </w:r>
      <w:r>
        <w:rPr>
          <w:spacing w:val="-26"/>
        </w:rPr>
        <w:t> </w:t>
      </w:r>
      <w:r>
        <w:rPr/>
        <w:t>+</w:t>
      </w:r>
      <w:r>
        <w:rPr>
          <w:spacing w:val="-27"/>
        </w:rPr>
        <w:t> </w:t>
      </w:r>
      <w:r>
        <w:rPr/>
        <w:t>4,00%</w:t>
      </w:r>
      <w:r>
        <w:rPr>
          <w:spacing w:val="-18"/>
        </w:rPr>
        <w:t> </w:t>
      </w:r>
      <w:r>
        <w:rPr/>
        <w:t>e</w:t>
      </w:r>
      <w:r>
        <w:rPr>
          <w:spacing w:val="-27"/>
        </w:rPr>
        <w:t> </w:t>
      </w:r>
      <w:r>
        <w:rPr/>
        <w:t>0,5% de</w:t>
      </w:r>
      <w:r>
        <w:rPr>
          <w:spacing w:val="-34"/>
        </w:rPr>
        <w:t> </w:t>
      </w:r>
      <w:r>
        <w:rPr/>
        <w:t>tarifa</w:t>
      </w:r>
      <w:r>
        <w:rPr>
          <w:spacing w:val="-32"/>
        </w:rPr>
        <w:t> </w:t>
      </w:r>
      <w:r>
        <w:rPr/>
        <w:t>de</w:t>
      </w:r>
      <w:r>
        <w:rPr>
          <w:spacing w:val="-31"/>
        </w:rPr>
        <w:t> </w:t>
      </w:r>
      <w:r>
        <w:rPr/>
        <w:t>estruturação</w:t>
      </w:r>
      <w:r>
        <w:rPr>
          <w:spacing w:val="-30"/>
        </w:rPr>
        <w:t> </w:t>
      </w:r>
      <w:r>
        <w:rPr/>
        <w:t>e</w:t>
      </w:r>
      <w:r>
        <w:rPr>
          <w:spacing w:val="-31"/>
        </w:rPr>
        <w:t> </w:t>
      </w:r>
      <w:r>
        <w:rPr/>
        <w:t>de</w:t>
      </w:r>
      <w:r>
        <w:rPr>
          <w:spacing w:val="-34"/>
        </w:rPr>
        <w:t> </w:t>
      </w:r>
      <w:r>
        <w:rPr/>
        <w:t>CDI</w:t>
      </w:r>
      <w:r>
        <w:rPr>
          <w:spacing w:val="-30"/>
        </w:rPr>
        <w:t> </w:t>
      </w:r>
      <w:r>
        <w:rPr/>
        <w:t>+</w:t>
      </w:r>
      <w:r>
        <w:rPr>
          <w:spacing w:val="-32"/>
        </w:rPr>
        <w:t> </w:t>
      </w:r>
      <w:r>
        <w:rPr/>
        <w:t>3,9%</w:t>
      </w:r>
      <w:r>
        <w:rPr>
          <w:spacing w:val="-31"/>
        </w:rPr>
        <w:t> </w:t>
      </w:r>
      <w:r>
        <w:rPr/>
        <w:t>a.a.</w:t>
      </w:r>
      <w:r>
        <w:rPr>
          <w:spacing w:val="-32"/>
        </w:rPr>
        <w:t> </w:t>
      </w:r>
      <w:r>
        <w:rPr/>
        <w:t>e</w:t>
      </w:r>
      <w:r>
        <w:rPr>
          <w:spacing w:val="-31"/>
        </w:rPr>
        <w:t> </w:t>
      </w:r>
      <w:r>
        <w:rPr/>
        <w:t>0,6%</w:t>
      </w:r>
      <w:r>
        <w:rPr>
          <w:spacing w:val="-31"/>
        </w:rPr>
        <w:t> </w:t>
      </w:r>
      <w:r>
        <w:rPr/>
        <w:t>de</w:t>
      </w:r>
      <w:r>
        <w:rPr>
          <w:spacing w:val="-32"/>
        </w:rPr>
        <w:t> </w:t>
      </w:r>
      <w:r>
        <w:rPr/>
        <w:t>tarifa</w:t>
      </w:r>
      <w:r>
        <w:rPr>
          <w:spacing w:val="-32"/>
        </w:rPr>
        <w:t> </w:t>
      </w:r>
      <w:r>
        <w:rPr/>
        <w:t>de</w:t>
      </w:r>
      <w:r>
        <w:rPr>
          <w:spacing w:val="-31"/>
        </w:rPr>
        <w:t> </w:t>
      </w:r>
      <w:r>
        <w:rPr/>
        <w:t>estruturação</w:t>
      </w:r>
      <w:r>
        <w:rPr>
          <w:spacing w:val="-31"/>
        </w:rPr>
        <w:t> </w:t>
      </w:r>
      <w:r>
        <w:rPr/>
        <w:t>para</w:t>
      </w:r>
      <w:r>
        <w:rPr>
          <w:spacing w:val="-32"/>
        </w:rPr>
        <w:t> </w:t>
      </w:r>
      <w:r>
        <w:rPr/>
        <w:t>o</w:t>
      </w:r>
      <w:r>
        <w:rPr>
          <w:spacing w:val="-29"/>
        </w:rPr>
        <w:t> </w:t>
      </w:r>
      <w:r>
        <w:rPr/>
        <w:t>BRB</w:t>
      </w:r>
      <w:r>
        <w:rPr>
          <w:spacing w:val="-32"/>
        </w:rPr>
        <w:t> </w:t>
      </w:r>
      <w:r>
        <w:rPr/>
        <w:t>e</w:t>
      </w:r>
      <w:r>
        <w:rPr>
          <w:spacing w:val="-33"/>
        </w:rPr>
        <w:t> </w:t>
      </w:r>
      <w:r>
        <w:rPr/>
        <w:t>CCB,</w:t>
      </w:r>
      <w:r>
        <w:rPr>
          <w:spacing w:val="-31"/>
        </w:rPr>
        <w:t> </w:t>
      </w:r>
      <w:r>
        <w:rPr/>
        <w:t>respectivamente.</w:t>
      </w:r>
    </w:p>
    <w:p>
      <w:pPr>
        <w:pStyle w:val="BodyText"/>
        <w:spacing w:before="9"/>
      </w:pPr>
    </w:p>
    <w:p>
      <w:pPr>
        <w:pStyle w:val="BodyText"/>
        <w:ind w:left="172"/>
        <w:jc w:val="both"/>
      </w:pPr>
      <w:r>
        <w:rPr/>
        <w:t>As fontes de recursos para a quitação dessa captação serão obtidas pelos dividendos das Geradoras do Grupo.</w:t>
      </w:r>
    </w:p>
    <w:p>
      <w:pPr>
        <w:pStyle w:val="BodyText"/>
        <w:spacing w:before="9"/>
      </w:pPr>
    </w:p>
    <w:p>
      <w:pPr>
        <w:pStyle w:val="BodyText"/>
        <w:spacing w:line="242" w:lineRule="auto"/>
        <w:ind w:left="172" w:right="406"/>
        <w:jc w:val="both"/>
      </w:pPr>
      <w:r>
        <w:rPr/>
        <w:t>As</w:t>
      </w:r>
      <w:r>
        <w:rPr>
          <w:spacing w:val="-44"/>
        </w:rPr>
        <w:t> </w:t>
      </w:r>
      <w:r>
        <w:rPr/>
        <w:t>garantias</w:t>
      </w:r>
      <w:r>
        <w:rPr>
          <w:spacing w:val="-43"/>
        </w:rPr>
        <w:t> </w:t>
      </w:r>
      <w:r>
        <w:rPr/>
        <w:t>da</w:t>
      </w:r>
      <w:r>
        <w:rPr>
          <w:spacing w:val="-42"/>
        </w:rPr>
        <w:t> </w:t>
      </w:r>
      <w:r>
        <w:rPr/>
        <w:t>operação</w:t>
      </w:r>
      <w:r>
        <w:rPr>
          <w:spacing w:val="-44"/>
        </w:rPr>
        <w:t> </w:t>
      </w:r>
      <w:r>
        <w:rPr/>
        <w:t>pactuadas</w:t>
      </w:r>
      <w:r>
        <w:rPr>
          <w:spacing w:val="-43"/>
        </w:rPr>
        <w:t> </w:t>
      </w:r>
      <w:r>
        <w:rPr/>
        <w:t>até</w:t>
      </w:r>
      <w:r>
        <w:rPr>
          <w:spacing w:val="-44"/>
        </w:rPr>
        <w:t> </w:t>
      </w:r>
      <w:r>
        <w:rPr/>
        <w:t>o</w:t>
      </w:r>
      <w:r>
        <w:rPr>
          <w:spacing w:val="-43"/>
        </w:rPr>
        <w:t> </w:t>
      </w:r>
      <w:r>
        <w:rPr/>
        <w:t>momento</w:t>
      </w:r>
      <w:r>
        <w:rPr>
          <w:spacing w:val="-43"/>
        </w:rPr>
        <w:t> </w:t>
      </w:r>
      <w:r>
        <w:rPr/>
        <w:t>são:</w:t>
      </w:r>
      <w:r>
        <w:rPr>
          <w:spacing w:val="-44"/>
        </w:rPr>
        <w:t> </w:t>
      </w:r>
      <w:r>
        <w:rPr/>
        <w:t>a)</w:t>
      </w:r>
      <w:r>
        <w:rPr>
          <w:spacing w:val="-43"/>
        </w:rPr>
        <w:t> </w:t>
      </w:r>
      <w:r>
        <w:rPr/>
        <w:t>Penhor</w:t>
      </w:r>
      <w:r>
        <w:rPr>
          <w:spacing w:val="-43"/>
        </w:rPr>
        <w:t> </w:t>
      </w:r>
      <w:r>
        <w:rPr/>
        <w:t>das</w:t>
      </w:r>
      <w:r>
        <w:rPr>
          <w:spacing w:val="-43"/>
        </w:rPr>
        <w:t> </w:t>
      </w:r>
      <w:r>
        <w:rPr/>
        <w:t>ações</w:t>
      </w:r>
      <w:r>
        <w:rPr>
          <w:spacing w:val="-44"/>
        </w:rPr>
        <w:t> </w:t>
      </w:r>
      <w:r>
        <w:rPr/>
        <w:t>das</w:t>
      </w:r>
      <w:r>
        <w:rPr>
          <w:spacing w:val="-43"/>
        </w:rPr>
        <w:t> </w:t>
      </w:r>
      <w:r>
        <w:rPr/>
        <w:t>empresas</w:t>
      </w:r>
      <w:r>
        <w:rPr>
          <w:spacing w:val="-43"/>
        </w:rPr>
        <w:t> </w:t>
      </w:r>
      <w:r>
        <w:rPr/>
        <w:t>CEB</w:t>
      </w:r>
      <w:r>
        <w:rPr>
          <w:spacing w:val="-43"/>
        </w:rPr>
        <w:t> </w:t>
      </w:r>
      <w:r>
        <w:rPr/>
        <w:t>Lajeado,</w:t>
      </w:r>
      <w:r>
        <w:rPr>
          <w:spacing w:val="-43"/>
        </w:rPr>
        <w:t> </w:t>
      </w:r>
      <w:r>
        <w:rPr/>
        <w:t>CEB</w:t>
      </w:r>
      <w:r>
        <w:rPr>
          <w:spacing w:val="-44"/>
        </w:rPr>
        <w:t> </w:t>
      </w:r>
      <w:r>
        <w:rPr/>
        <w:t>Geração, CEB</w:t>
      </w:r>
      <w:r>
        <w:rPr>
          <w:spacing w:val="-9"/>
        </w:rPr>
        <w:t> </w:t>
      </w:r>
      <w:r>
        <w:rPr/>
        <w:t>Participações,</w:t>
      </w:r>
      <w:r>
        <w:rPr>
          <w:spacing w:val="-7"/>
        </w:rPr>
        <w:t> </w:t>
      </w:r>
      <w:r>
        <w:rPr/>
        <w:t>e</w:t>
      </w:r>
      <w:r>
        <w:rPr>
          <w:spacing w:val="-8"/>
        </w:rPr>
        <w:t> </w:t>
      </w:r>
      <w:r>
        <w:rPr/>
        <w:t>Energética</w:t>
      </w:r>
      <w:r>
        <w:rPr>
          <w:spacing w:val="-7"/>
        </w:rPr>
        <w:t> </w:t>
      </w:r>
      <w:r>
        <w:rPr/>
        <w:t>Corumbá</w:t>
      </w:r>
      <w:r>
        <w:rPr>
          <w:spacing w:val="-7"/>
        </w:rPr>
        <w:t> </w:t>
      </w:r>
      <w:r>
        <w:rPr/>
        <w:t>III;</w:t>
      </w:r>
      <w:r>
        <w:rPr>
          <w:spacing w:val="-7"/>
        </w:rPr>
        <w:t> </w:t>
      </w:r>
      <w:r>
        <w:rPr/>
        <w:t>b)</w:t>
      </w:r>
      <w:r>
        <w:rPr>
          <w:spacing w:val="-6"/>
        </w:rPr>
        <w:t> </w:t>
      </w:r>
      <w:r>
        <w:rPr/>
        <w:t>Cessão</w:t>
      </w:r>
      <w:r>
        <w:rPr>
          <w:spacing w:val="-7"/>
        </w:rPr>
        <w:t> </w:t>
      </w:r>
      <w:r>
        <w:rPr/>
        <w:t>do</w:t>
      </w:r>
      <w:r>
        <w:rPr>
          <w:spacing w:val="-8"/>
        </w:rPr>
        <w:t> </w:t>
      </w:r>
      <w:r>
        <w:rPr/>
        <w:t>fluxo</w:t>
      </w:r>
      <w:r>
        <w:rPr>
          <w:spacing w:val="-7"/>
        </w:rPr>
        <w:t> </w:t>
      </w:r>
      <w:r>
        <w:rPr/>
        <w:t>de</w:t>
      </w:r>
      <w:r>
        <w:rPr>
          <w:spacing w:val="-8"/>
        </w:rPr>
        <w:t> </w:t>
      </w:r>
      <w:r>
        <w:rPr/>
        <w:t>dividendos</w:t>
      </w:r>
      <w:r>
        <w:rPr>
          <w:spacing w:val="-7"/>
        </w:rPr>
        <w:t> </w:t>
      </w:r>
      <w:r>
        <w:rPr/>
        <w:t>da</w:t>
      </w:r>
      <w:r>
        <w:rPr>
          <w:spacing w:val="-5"/>
        </w:rPr>
        <w:t> </w:t>
      </w:r>
      <w:r>
        <w:rPr/>
        <w:t>CEB;</w:t>
      </w:r>
      <w:r>
        <w:rPr>
          <w:spacing w:val="-8"/>
        </w:rPr>
        <w:t> </w:t>
      </w:r>
      <w:r>
        <w:rPr/>
        <w:t>e</w:t>
      </w:r>
      <w:r>
        <w:rPr>
          <w:spacing w:val="3"/>
        </w:rPr>
        <w:t> </w:t>
      </w:r>
      <w:r>
        <w:rPr/>
        <w:t>c)</w:t>
      </w:r>
      <w:r>
        <w:rPr>
          <w:spacing w:val="-9"/>
        </w:rPr>
        <w:t> </w:t>
      </w:r>
      <w:r>
        <w:rPr/>
        <w:t>Cessão</w:t>
      </w:r>
      <w:r>
        <w:rPr>
          <w:spacing w:val="-7"/>
        </w:rPr>
        <w:t> </w:t>
      </w:r>
      <w:r>
        <w:rPr/>
        <w:t>fiduciária</w:t>
      </w:r>
      <w:r>
        <w:rPr>
          <w:spacing w:val="-5"/>
        </w:rPr>
        <w:t> </w:t>
      </w:r>
      <w:r>
        <w:rPr/>
        <w:t>de recebíveis</w:t>
      </w:r>
      <w:r>
        <w:rPr>
          <w:spacing w:val="-20"/>
        </w:rPr>
        <w:t> </w:t>
      </w:r>
      <w:r>
        <w:rPr/>
        <w:t>da</w:t>
      </w:r>
      <w:r>
        <w:rPr>
          <w:spacing w:val="-16"/>
        </w:rPr>
        <w:t> </w:t>
      </w:r>
      <w:r>
        <w:rPr/>
        <w:t>CEB</w:t>
      </w:r>
      <w:r>
        <w:rPr>
          <w:spacing w:val="-19"/>
        </w:rPr>
        <w:t> </w:t>
      </w:r>
      <w:r>
        <w:rPr/>
        <w:t>Distribuição</w:t>
      </w:r>
      <w:r>
        <w:rPr>
          <w:spacing w:val="-20"/>
        </w:rPr>
        <w:t> </w:t>
      </w:r>
      <w:r>
        <w:rPr/>
        <w:t>S.A.</w:t>
      </w:r>
      <w:r>
        <w:rPr>
          <w:spacing w:val="-17"/>
        </w:rPr>
        <w:t> </w:t>
      </w:r>
      <w:r>
        <w:rPr/>
        <w:t>no</w:t>
      </w:r>
      <w:r>
        <w:rPr>
          <w:spacing w:val="-20"/>
        </w:rPr>
        <w:t> </w:t>
      </w:r>
      <w:r>
        <w:rPr/>
        <w:t>valor</w:t>
      </w:r>
      <w:r>
        <w:rPr>
          <w:spacing w:val="-18"/>
        </w:rPr>
        <w:t> </w:t>
      </w:r>
      <w:r>
        <w:rPr/>
        <w:t>aproximado</w:t>
      </w:r>
      <w:r>
        <w:rPr>
          <w:spacing w:val="-16"/>
        </w:rPr>
        <w:t> </w:t>
      </w:r>
      <w:r>
        <w:rPr/>
        <w:t>de</w:t>
      </w:r>
      <w:r>
        <w:rPr>
          <w:spacing w:val="-21"/>
        </w:rPr>
        <w:t> </w:t>
      </w:r>
      <w:r>
        <w:rPr/>
        <w:t>R$</w:t>
      </w:r>
      <w:r>
        <w:rPr>
          <w:spacing w:val="-17"/>
        </w:rPr>
        <w:t> </w:t>
      </w:r>
      <w:r>
        <w:rPr/>
        <w:t>16</w:t>
      </w:r>
      <w:r>
        <w:rPr>
          <w:spacing w:val="-16"/>
        </w:rPr>
        <w:t> </w:t>
      </w:r>
      <w:r>
        <w:rPr/>
        <w:t>milhões.</w:t>
      </w:r>
    </w:p>
    <w:p>
      <w:pPr>
        <w:pStyle w:val="BodyText"/>
        <w:spacing w:before="8"/>
      </w:pPr>
    </w:p>
    <w:p>
      <w:pPr>
        <w:pStyle w:val="ListParagraph"/>
        <w:numPr>
          <w:ilvl w:val="1"/>
          <w:numId w:val="6"/>
        </w:numPr>
        <w:tabs>
          <w:tab w:pos="1026" w:val="left" w:leader="none"/>
        </w:tabs>
        <w:spacing w:line="240" w:lineRule="auto" w:before="0" w:after="0"/>
        <w:ind w:left="1025" w:right="0" w:hanging="854"/>
        <w:jc w:val="both"/>
        <w:rPr>
          <w:rFonts w:ascii="Caladea" w:hAnsi="Caladea"/>
          <w:b/>
          <w:sz w:val="18"/>
        </w:rPr>
      </w:pPr>
      <w:r>
        <w:rPr>
          <w:rFonts w:ascii="Caladea" w:hAnsi="Caladea"/>
          <w:b/>
          <w:sz w:val="22"/>
        </w:rPr>
        <w:t>P</w:t>
      </w:r>
      <w:r>
        <w:rPr>
          <w:rFonts w:ascii="Caladea" w:hAnsi="Caladea"/>
          <w:b/>
          <w:sz w:val="18"/>
        </w:rPr>
        <w:t>ERSPECTIVAS DE </w:t>
      </w:r>
      <w:r>
        <w:rPr>
          <w:rFonts w:ascii="Caladea" w:hAnsi="Caladea"/>
          <w:b/>
          <w:sz w:val="22"/>
        </w:rPr>
        <w:t>A</w:t>
      </w:r>
      <w:r>
        <w:rPr>
          <w:rFonts w:ascii="Caladea" w:hAnsi="Caladea"/>
          <w:b/>
          <w:sz w:val="18"/>
        </w:rPr>
        <w:t>MORTIZAÇÕES</w:t>
      </w:r>
    </w:p>
    <w:p>
      <w:pPr>
        <w:pStyle w:val="BodyText"/>
        <w:spacing w:before="9"/>
        <w:rPr>
          <w:rFonts w:ascii="Caladea"/>
          <w:b/>
          <w:sz w:val="23"/>
        </w:rPr>
      </w:pPr>
    </w:p>
    <w:p>
      <w:pPr>
        <w:pStyle w:val="BodyText"/>
        <w:spacing w:before="1"/>
        <w:ind w:left="172"/>
        <w:jc w:val="both"/>
      </w:pPr>
      <w:r>
        <w:rPr/>
        <w:t>As composições dos empréstimos, com as perspectivas de amortizações, estão resumidas a seguir:</w:t>
      </w:r>
    </w:p>
    <w:p>
      <w:pPr>
        <w:pStyle w:val="BodyText"/>
        <w:spacing w:before="6"/>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6"/>
        <w:gridCol w:w="1234"/>
        <w:gridCol w:w="1123"/>
        <w:gridCol w:w="1128"/>
        <w:gridCol w:w="1109"/>
        <w:gridCol w:w="1310"/>
      </w:tblGrid>
      <w:tr>
        <w:trPr>
          <w:trHeight w:val="328" w:hRule="atLeast"/>
        </w:trPr>
        <w:tc>
          <w:tcPr>
            <w:tcW w:w="3966" w:type="dxa"/>
            <w:shd w:val="clear" w:color="auto" w:fill="D9D9D9"/>
          </w:tcPr>
          <w:p>
            <w:pPr>
              <w:pStyle w:val="TableParagraph"/>
              <w:spacing w:before="82"/>
              <w:ind w:left="72"/>
              <w:rPr>
                <w:rFonts w:ascii="Caladea"/>
                <w:b/>
                <w:sz w:val="14"/>
              </w:rPr>
            </w:pPr>
            <w:r>
              <w:rPr>
                <w:rFonts w:ascii="Caladea"/>
                <w:b/>
                <w:sz w:val="14"/>
              </w:rPr>
              <w:t>Consolidado</w:t>
            </w:r>
          </w:p>
        </w:tc>
        <w:tc>
          <w:tcPr>
            <w:tcW w:w="1234" w:type="dxa"/>
          </w:tcPr>
          <w:p>
            <w:pPr>
              <w:pStyle w:val="TableParagraph"/>
              <w:spacing w:before="82"/>
              <w:ind w:left="402" w:right="396"/>
              <w:jc w:val="center"/>
              <w:rPr>
                <w:rFonts w:ascii="Caladea"/>
                <w:b/>
                <w:sz w:val="14"/>
              </w:rPr>
            </w:pPr>
            <w:r>
              <w:rPr>
                <w:rFonts w:ascii="Caladea"/>
                <w:b/>
                <w:sz w:val="14"/>
              </w:rPr>
              <w:t>2020</w:t>
            </w:r>
          </w:p>
        </w:tc>
        <w:tc>
          <w:tcPr>
            <w:tcW w:w="1123" w:type="dxa"/>
          </w:tcPr>
          <w:p>
            <w:pPr>
              <w:pStyle w:val="TableParagraph"/>
              <w:spacing w:before="82"/>
              <w:ind w:left="374" w:right="367"/>
              <w:jc w:val="center"/>
              <w:rPr>
                <w:rFonts w:ascii="Caladea"/>
                <w:b/>
                <w:sz w:val="14"/>
              </w:rPr>
            </w:pPr>
            <w:r>
              <w:rPr>
                <w:rFonts w:ascii="Caladea"/>
                <w:b/>
                <w:sz w:val="14"/>
              </w:rPr>
              <w:t>2021</w:t>
            </w:r>
          </w:p>
        </w:tc>
        <w:tc>
          <w:tcPr>
            <w:tcW w:w="1128" w:type="dxa"/>
          </w:tcPr>
          <w:p>
            <w:pPr>
              <w:pStyle w:val="TableParagraph"/>
              <w:spacing w:before="82"/>
              <w:ind w:left="376" w:right="369"/>
              <w:jc w:val="center"/>
              <w:rPr>
                <w:rFonts w:ascii="Caladea"/>
                <w:b/>
                <w:sz w:val="14"/>
              </w:rPr>
            </w:pPr>
            <w:r>
              <w:rPr>
                <w:rFonts w:ascii="Caladea"/>
                <w:b/>
                <w:sz w:val="14"/>
              </w:rPr>
              <w:t>2022</w:t>
            </w:r>
          </w:p>
        </w:tc>
        <w:tc>
          <w:tcPr>
            <w:tcW w:w="1109" w:type="dxa"/>
          </w:tcPr>
          <w:p>
            <w:pPr>
              <w:pStyle w:val="TableParagraph"/>
              <w:spacing w:line="163" w:lineRule="exact"/>
              <w:ind w:left="274"/>
              <w:rPr>
                <w:rFonts w:ascii="Caladea"/>
                <w:b/>
                <w:sz w:val="14"/>
              </w:rPr>
            </w:pPr>
            <w:r>
              <w:rPr>
                <w:rFonts w:ascii="Caladea"/>
                <w:b/>
                <w:sz w:val="14"/>
              </w:rPr>
              <w:t>2023 em</w:t>
            </w:r>
          </w:p>
          <w:p>
            <w:pPr>
              <w:pStyle w:val="TableParagraph"/>
              <w:spacing w:line="144" w:lineRule="exact" w:before="1"/>
              <w:ind w:left="348"/>
              <w:rPr>
                <w:rFonts w:ascii="Caladea"/>
                <w:b/>
                <w:sz w:val="14"/>
              </w:rPr>
            </w:pPr>
            <w:r>
              <w:rPr>
                <w:rFonts w:ascii="Caladea"/>
                <w:b/>
                <w:sz w:val="14"/>
              </w:rPr>
              <w:t>diante</w:t>
            </w:r>
          </w:p>
        </w:tc>
        <w:tc>
          <w:tcPr>
            <w:tcW w:w="1310" w:type="dxa"/>
          </w:tcPr>
          <w:p>
            <w:pPr>
              <w:pStyle w:val="TableParagraph"/>
              <w:spacing w:before="82"/>
              <w:ind w:left="429" w:right="419"/>
              <w:jc w:val="center"/>
              <w:rPr>
                <w:rFonts w:ascii="Caladea"/>
                <w:b/>
                <w:sz w:val="14"/>
              </w:rPr>
            </w:pPr>
            <w:r>
              <w:rPr>
                <w:rFonts w:ascii="Caladea"/>
                <w:b/>
                <w:sz w:val="14"/>
              </w:rPr>
              <w:t>Total</w:t>
            </w:r>
          </w:p>
        </w:tc>
      </w:tr>
      <w:tr>
        <w:trPr>
          <w:trHeight w:val="246" w:hRule="atLeast"/>
        </w:trPr>
        <w:tc>
          <w:tcPr>
            <w:tcW w:w="3966" w:type="dxa"/>
          </w:tcPr>
          <w:p>
            <w:pPr>
              <w:pStyle w:val="TableParagraph"/>
              <w:spacing w:before="41"/>
              <w:ind w:left="211"/>
              <w:rPr>
                <w:sz w:val="14"/>
              </w:rPr>
            </w:pPr>
            <w:r>
              <w:rPr>
                <w:w w:val="105"/>
                <w:sz w:val="14"/>
              </w:rPr>
              <w:t>ELETROBRÁS</w:t>
            </w:r>
          </w:p>
        </w:tc>
        <w:tc>
          <w:tcPr>
            <w:tcW w:w="1234" w:type="dxa"/>
          </w:tcPr>
          <w:p>
            <w:pPr>
              <w:pStyle w:val="TableParagraph"/>
              <w:spacing w:before="41"/>
              <w:ind w:right="58"/>
              <w:jc w:val="right"/>
              <w:rPr>
                <w:sz w:val="14"/>
              </w:rPr>
            </w:pPr>
            <w:r>
              <w:rPr>
                <w:w w:val="105"/>
                <w:sz w:val="14"/>
              </w:rPr>
              <w:t>141</w:t>
            </w:r>
          </w:p>
        </w:tc>
        <w:tc>
          <w:tcPr>
            <w:tcW w:w="1123" w:type="dxa"/>
          </w:tcPr>
          <w:p>
            <w:pPr>
              <w:pStyle w:val="TableParagraph"/>
              <w:spacing w:before="41"/>
              <w:ind w:right="57"/>
              <w:jc w:val="right"/>
              <w:rPr>
                <w:sz w:val="14"/>
              </w:rPr>
            </w:pPr>
            <w:r>
              <w:rPr>
                <w:sz w:val="14"/>
              </w:rPr>
              <w:t>43</w:t>
            </w:r>
          </w:p>
        </w:tc>
        <w:tc>
          <w:tcPr>
            <w:tcW w:w="1128" w:type="dxa"/>
          </w:tcPr>
          <w:p>
            <w:pPr>
              <w:pStyle w:val="TableParagraph"/>
              <w:spacing w:before="41"/>
              <w:ind w:right="57"/>
              <w:jc w:val="right"/>
              <w:rPr>
                <w:sz w:val="14"/>
              </w:rPr>
            </w:pPr>
            <w:r>
              <w:rPr>
                <w:sz w:val="14"/>
              </w:rPr>
              <w:t>16</w:t>
            </w:r>
          </w:p>
        </w:tc>
        <w:tc>
          <w:tcPr>
            <w:tcW w:w="1109" w:type="dxa"/>
          </w:tcPr>
          <w:p>
            <w:pPr>
              <w:pStyle w:val="TableParagraph"/>
              <w:rPr>
                <w:rFonts w:ascii="Times New Roman"/>
                <w:sz w:val="16"/>
              </w:rPr>
            </w:pPr>
          </w:p>
        </w:tc>
        <w:tc>
          <w:tcPr>
            <w:tcW w:w="1310" w:type="dxa"/>
          </w:tcPr>
          <w:p>
            <w:pPr>
              <w:pStyle w:val="TableParagraph"/>
              <w:spacing w:before="39"/>
              <w:ind w:right="53"/>
              <w:jc w:val="right"/>
              <w:rPr>
                <w:rFonts w:ascii="Caladea"/>
                <w:b/>
                <w:sz w:val="14"/>
              </w:rPr>
            </w:pPr>
            <w:r>
              <w:rPr>
                <w:rFonts w:ascii="Caladea"/>
                <w:b/>
                <w:sz w:val="14"/>
              </w:rPr>
              <w:t>200</w:t>
            </w:r>
          </w:p>
        </w:tc>
      </w:tr>
      <w:tr>
        <w:trPr>
          <w:trHeight w:val="244" w:hRule="atLeast"/>
        </w:trPr>
        <w:tc>
          <w:tcPr>
            <w:tcW w:w="3966" w:type="dxa"/>
          </w:tcPr>
          <w:p>
            <w:pPr>
              <w:pStyle w:val="TableParagraph"/>
              <w:spacing w:before="41"/>
              <w:ind w:left="211"/>
              <w:rPr>
                <w:sz w:val="14"/>
              </w:rPr>
            </w:pPr>
            <w:r>
              <w:rPr>
                <w:sz w:val="14"/>
              </w:rPr>
              <w:t>Banco do Brasil S.A.(FCO II a IV)</w:t>
            </w:r>
          </w:p>
        </w:tc>
        <w:tc>
          <w:tcPr>
            <w:tcW w:w="1234" w:type="dxa"/>
          </w:tcPr>
          <w:p>
            <w:pPr>
              <w:pStyle w:val="TableParagraph"/>
              <w:spacing w:before="41"/>
              <w:ind w:right="58"/>
              <w:jc w:val="right"/>
              <w:rPr>
                <w:sz w:val="14"/>
              </w:rPr>
            </w:pPr>
            <w:r>
              <w:rPr>
                <w:w w:val="95"/>
                <w:sz w:val="14"/>
              </w:rPr>
              <w:t>3.866</w:t>
            </w:r>
          </w:p>
        </w:tc>
        <w:tc>
          <w:tcPr>
            <w:tcW w:w="1123" w:type="dxa"/>
          </w:tcPr>
          <w:p>
            <w:pPr>
              <w:pStyle w:val="TableParagraph"/>
              <w:spacing w:before="41"/>
              <w:ind w:right="57"/>
              <w:jc w:val="right"/>
              <w:rPr>
                <w:sz w:val="14"/>
              </w:rPr>
            </w:pPr>
            <w:r>
              <w:rPr>
                <w:w w:val="95"/>
                <w:sz w:val="14"/>
              </w:rPr>
              <w:t>2.829</w:t>
            </w: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4"/>
              <w:jc w:val="right"/>
              <w:rPr>
                <w:rFonts w:ascii="Caladea"/>
                <w:b/>
                <w:sz w:val="14"/>
              </w:rPr>
            </w:pPr>
            <w:r>
              <w:rPr>
                <w:rFonts w:ascii="Caladea"/>
                <w:b/>
                <w:w w:val="95"/>
                <w:sz w:val="14"/>
              </w:rPr>
              <w:t>6.695</w:t>
            </w:r>
          </w:p>
        </w:tc>
      </w:tr>
      <w:tr>
        <w:trPr>
          <w:trHeight w:val="246" w:hRule="atLeast"/>
        </w:trPr>
        <w:tc>
          <w:tcPr>
            <w:tcW w:w="3966" w:type="dxa"/>
          </w:tcPr>
          <w:p>
            <w:pPr>
              <w:pStyle w:val="TableParagraph"/>
              <w:spacing w:before="43"/>
              <w:ind w:left="211"/>
              <w:rPr>
                <w:sz w:val="14"/>
              </w:rPr>
            </w:pPr>
            <w:r>
              <w:rPr>
                <w:sz w:val="14"/>
              </w:rPr>
              <w:t>Caixa Econômica Federal</w:t>
            </w:r>
          </w:p>
        </w:tc>
        <w:tc>
          <w:tcPr>
            <w:tcW w:w="1234" w:type="dxa"/>
          </w:tcPr>
          <w:p>
            <w:pPr>
              <w:pStyle w:val="TableParagraph"/>
              <w:spacing w:before="43"/>
              <w:ind w:right="57"/>
              <w:jc w:val="right"/>
              <w:rPr>
                <w:sz w:val="14"/>
              </w:rPr>
            </w:pPr>
            <w:r>
              <w:rPr>
                <w:w w:val="95"/>
                <w:sz w:val="14"/>
              </w:rPr>
              <w:t>17.271</w:t>
            </w: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2"/>
              <w:ind w:right="54"/>
              <w:jc w:val="right"/>
              <w:rPr>
                <w:rFonts w:ascii="Caladea"/>
                <w:b/>
                <w:sz w:val="14"/>
              </w:rPr>
            </w:pPr>
            <w:r>
              <w:rPr>
                <w:rFonts w:ascii="Caladea"/>
                <w:b/>
                <w:sz w:val="14"/>
              </w:rPr>
              <w:t>17.271</w:t>
            </w:r>
          </w:p>
        </w:tc>
      </w:tr>
      <w:tr>
        <w:trPr>
          <w:trHeight w:val="246" w:hRule="atLeast"/>
        </w:trPr>
        <w:tc>
          <w:tcPr>
            <w:tcW w:w="3966" w:type="dxa"/>
          </w:tcPr>
          <w:p>
            <w:pPr>
              <w:pStyle w:val="TableParagraph"/>
              <w:spacing w:before="41"/>
              <w:ind w:right="1762"/>
              <w:jc w:val="right"/>
              <w:rPr>
                <w:sz w:val="14"/>
              </w:rPr>
            </w:pPr>
            <w:r>
              <w:rPr>
                <w:w w:val="95"/>
                <w:sz w:val="14"/>
              </w:rPr>
              <w:t>Caixa Econômica Federal/BNDES</w:t>
            </w:r>
          </w:p>
        </w:tc>
        <w:tc>
          <w:tcPr>
            <w:tcW w:w="1234" w:type="dxa"/>
          </w:tcPr>
          <w:p>
            <w:pPr>
              <w:pStyle w:val="TableParagraph"/>
              <w:spacing w:before="41"/>
              <w:ind w:right="58"/>
              <w:jc w:val="right"/>
              <w:rPr>
                <w:sz w:val="14"/>
              </w:rPr>
            </w:pPr>
            <w:r>
              <w:rPr>
                <w:w w:val="95"/>
                <w:sz w:val="14"/>
              </w:rPr>
              <w:t>3.836</w:t>
            </w:r>
          </w:p>
        </w:tc>
        <w:tc>
          <w:tcPr>
            <w:tcW w:w="1123" w:type="dxa"/>
          </w:tcPr>
          <w:p>
            <w:pPr>
              <w:pStyle w:val="TableParagraph"/>
              <w:spacing w:before="41"/>
              <w:ind w:right="57"/>
              <w:jc w:val="right"/>
              <w:rPr>
                <w:sz w:val="14"/>
              </w:rPr>
            </w:pPr>
            <w:r>
              <w:rPr>
                <w:w w:val="95"/>
                <w:sz w:val="14"/>
              </w:rPr>
              <w:t>5.152</w:t>
            </w:r>
          </w:p>
        </w:tc>
        <w:tc>
          <w:tcPr>
            <w:tcW w:w="1128" w:type="dxa"/>
          </w:tcPr>
          <w:p>
            <w:pPr>
              <w:pStyle w:val="TableParagraph"/>
              <w:spacing w:before="41"/>
              <w:ind w:right="57"/>
              <w:jc w:val="right"/>
              <w:rPr>
                <w:sz w:val="14"/>
              </w:rPr>
            </w:pPr>
            <w:r>
              <w:rPr>
                <w:w w:val="95"/>
                <w:sz w:val="14"/>
              </w:rPr>
              <w:t>4.678</w:t>
            </w:r>
          </w:p>
        </w:tc>
        <w:tc>
          <w:tcPr>
            <w:tcW w:w="1109" w:type="dxa"/>
          </w:tcPr>
          <w:p>
            <w:pPr>
              <w:pStyle w:val="TableParagraph"/>
              <w:spacing w:before="41"/>
              <w:ind w:right="57"/>
              <w:jc w:val="right"/>
              <w:rPr>
                <w:sz w:val="14"/>
              </w:rPr>
            </w:pPr>
            <w:r>
              <w:rPr>
                <w:w w:val="95"/>
                <w:sz w:val="14"/>
              </w:rPr>
              <w:t>8.753</w:t>
            </w:r>
          </w:p>
        </w:tc>
        <w:tc>
          <w:tcPr>
            <w:tcW w:w="1310" w:type="dxa"/>
          </w:tcPr>
          <w:p>
            <w:pPr>
              <w:pStyle w:val="TableParagraph"/>
              <w:spacing w:before="39"/>
              <w:ind w:right="54"/>
              <w:jc w:val="right"/>
              <w:rPr>
                <w:rFonts w:ascii="Caladea"/>
                <w:b/>
                <w:sz w:val="14"/>
              </w:rPr>
            </w:pPr>
            <w:r>
              <w:rPr>
                <w:rFonts w:ascii="Caladea"/>
                <w:b/>
                <w:sz w:val="14"/>
              </w:rPr>
              <w:t>22.419</w:t>
            </w:r>
          </w:p>
        </w:tc>
      </w:tr>
      <w:tr>
        <w:trPr>
          <w:trHeight w:val="244" w:hRule="atLeast"/>
        </w:trPr>
        <w:tc>
          <w:tcPr>
            <w:tcW w:w="3966" w:type="dxa"/>
          </w:tcPr>
          <w:p>
            <w:pPr>
              <w:pStyle w:val="TableParagraph"/>
              <w:spacing w:before="41"/>
              <w:ind w:right="1762"/>
              <w:jc w:val="right"/>
              <w:rPr>
                <w:sz w:val="14"/>
              </w:rPr>
            </w:pPr>
            <w:r>
              <w:rPr>
                <w:w w:val="95"/>
                <w:sz w:val="14"/>
              </w:rPr>
              <w:t>Caixa Econômica Federal/BNDES</w:t>
            </w:r>
          </w:p>
        </w:tc>
        <w:tc>
          <w:tcPr>
            <w:tcW w:w="1234" w:type="dxa"/>
          </w:tcPr>
          <w:p>
            <w:pPr>
              <w:pStyle w:val="TableParagraph"/>
              <w:spacing w:before="41"/>
              <w:ind w:right="58"/>
              <w:jc w:val="right"/>
              <w:rPr>
                <w:sz w:val="14"/>
              </w:rPr>
            </w:pPr>
            <w:r>
              <w:rPr>
                <w:w w:val="95"/>
                <w:sz w:val="14"/>
              </w:rPr>
              <w:t>3.870</w:t>
            </w: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0"/>
              <w:ind w:right="54"/>
              <w:jc w:val="right"/>
              <w:rPr>
                <w:rFonts w:ascii="Caladea"/>
                <w:b/>
                <w:sz w:val="14"/>
              </w:rPr>
            </w:pPr>
            <w:r>
              <w:rPr>
                <w:rFonts w:ascii="Caladea"/>
                <w:b/>
                <w:w w:val="95"/>
                <w:sz w:val="14"/>
              </w:rPr>
              <w:t>3.870</w:t>
            </w:r>
          </w:p>
        </w:tc>
      </w:tr>
      <w:tr>
        <w:trPr>
          <w:trHeight w:val="246" w:hRule="atLeast"/>
        </w:trPr>
        <w:tc>
          <w:tcPr>
            <w:tcW w:w="3966" w:type="dxa"/>
          </w:tcPr>
          <w:p>
            <w:pPr>
              <w:pStyle w:val="TableParagraph"/>
              <w:spacing w:before="43"/>
              <w:ind w:right="1762"/>
              <w:jc w:val="right"/>
              <w:rPr>
                <w:sz w:val="14"/>
              </w:rPr>
            </w:pPr>
            <w:r>
              <w:rPr>
                <w:w w:val="95"/>
                <w:sz w:val="14"/>
              </w:rPr>
              <w:t>Caixa Econômica Federal/BNDES</w:t>
            </w:r>
          </w:p>
        </w:tc>
        <w:tc>
          <w:tcPr>
            <w:tcW w:w="1234" w:type="dxa"/>
          </w:tcPr>
          <w:p>
            <w:pPr>
              <w:pStyle w:val="TableParagraph"/>
              <w:spacing w:before="43"/>
              <w:ind w:right="58"/>
              <w:jc w:val="right"/>
              <w:rPr>
                <w:sz w:val="14"/>
              </w:rPr>
            </w:pPr>
            <w:r>
              <w:rPr>
                <w:w w:val="95"/>
                <w:sz w:val="14"/>
              </w:rPr>
              <w:t>5.852</w:t>
            </w: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2"/>
              <w:ind w:right="54"/>
              <w:jc w:val="right"/>
              <w:rPr>
                <w:rFonts w:ascii="Caladea"/>
                <w:b/>
                <w:sz w:val="14"/>
              </w:rPr>
            </w:pPr>
            <w:r>
              <w:rPr>
                <w:rFonts w:ascii="Caladea"/>
                <w:b/>
                <w:w w:val="95"/>
                <w:sz w:val="14"/>
              </w:rPr>
              <w:t>5.852</w:t>
            </w:r>
          </w:p>
        </w:tc>
      </w:tr>
      <w:tr>
        <w:trPr>
          <w:trHeight w:val="246" w:hRule="atLeast"/>
        </w:trPr>
        <w:tc>
          <w:tcPr>
            <w:tcW w:w="3966" w:type="dxa"/>
          </w:tcPr>
          <w:p>
            <w:pPr>
              <w:pStyle w:val="TableParagraph"/>
              <w:spacing w:before="41"/>
              <w:ind w:left="211"/>
              <w:rPr>
                <w:sz w:val="14"/>
              </w:rPr>
            </w:pPr>
            <w:r>
              <w:rPr>
                <w:sz w:val="14"/>
              </w:rPr>
              <w:t>ABC</w:t>
            </w:r>
          </w:p>
        </w:tc>
        <w:tc>
          <w:tcPr>
            <w:tcW w:w="1234" w:type="dxa"/>
          </w:tcPr>
          <w:p>
            <w:pPr>
              <w:pStyle w:val="TableParagraph"/>
              <w:spacing w:before="41"/>
              <w:ind w:right="58"/>
              <w:jc w:val="right"/>
              <w:rPr>
                <w:sz w:val="14"/>
              </w:rPr>
            </w:pPr>
            <w:r>
              <w:rPr>
                <w:w w:val="95"/>
                <w:sz w:val="14"/>
              </w:rPr>
              <w:t>7.639</w:t>
            </w:r>
          </w:p>
        </w:tc>
        <w:tc>
          <w:tcPr>
            <w:tcW w:w="1123" w:type="dxa"/>
          </w:tcPr>
          <w:p>
            <w:pPr>
              <w:pStyle w:val="TableParagraph"/>
              <w:spacing w:before="41"/>
              <w:ind w:right="57"/>
              <w:jc w:val="right"/>
              <w:rPr>
                <w:sz w:val="14"/>
              </w:rPr>
            </w:pPr>
            <w:r>
              <w:rPr>
                <w:w w:val="95"/>
                <w:sz w:val="14"/>
              </w:rPr>
              <w:t>4.603</w:t>
            </w: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4"/>
              <w:jc w:val="right"/>
              <w:rPr>
                <w:rFonts w:ascii="Caladea"/>
                <w:b/>
                <w:sz w:val="14"/>
              </w:rPr>
            </w:pPr>
            <w:r>
              <w:rPr>
                <w:rFonts w:ascii="Caladea"/>
                <w:b/>
                <w:sz w:val="14"/>
              </w:rPr>
              <w:t>12.242</w:t>
            </w:r>
          </w:p>
        </w:tc>
      </w:tr>
      <w:tr>
        <w:trPr>
          <w:trHeight w:val="244" w:hRule="atLeast"/>
        </w:trPr>
        <w:tc>
          <w:tcPr>
            <w:tcW w:w="3966" w:type="dxa"/>
          </w:tcPr>
          <w:p>
            <w:pPr>
              <w:pStyle w:val="TableParagraph"/>
              <w:spacing w:before="41"/>
              <w:ind w:left="211"/>
              <w:rPr>
                <w:sz w:val="14"/>
              </w:rPr>
            </w:pPr>
            <w:r>
              <w:rPr>
                <w:w w:val="105"/>
                <w:sz w:val="14"/>
              </w:rPr>
              <w:t>ORIGINAL</w:t>
            </w:r>
          </w:p>
        </w:tc>
        <w:tc>
          <w:tcPr>
            <w:tcW w:w="1234" w:type="dxa"/>
          </w:tcPr>
          <w:p>
            <w:pPr>
              <w:pStyle w:val="TableParagraph"/>
              <w:spacing w:before="41"/>
              <w:ind w:right="58"/>
              <w:jc w:val="right"/>
              <w:rPr>
                <w:sz w:val="14"/>
              </w:rPr>
            </w:pPr>
            <w:r>
              <w:rPr>
                <w:w w:val="95"/>
                <w:sz w:val="14"/>
              </w:rPr>
              <w:t>5.042</w:t>
            </w: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3"/>
              <w:jc w:val="right"/>
              <w:rPr>
                <w:rFonts w:ascii="Caladea"/>
                <w:b/>
                <w:sz w:val="14"/>
              </w:rPr>
            </w:pPr>
            <w:r>
              <w:rPr>
                <w:rFonts w:ascii="Caladea"/>
                <w:b/>
                <w:w w:val="95"/>
                <w:sz w:val="14"/>
              </w:rPr>
              <w:t>5.042</w:t>
            </w:r>
          </w:p>
        </w:tc>
      </w:tr>
      <w:tr>
        <w:trPr>
          <w:trHeight w:val="246" w:hRule="atLeast"/>
        </w:trPr>
        <w:tc>
          <w:tcPr>
            <w:tcW w:w="3966" w:type="dxa"/>
          </w:tcPr>
          <w:p>
            <w:pPr>
              <w:pStyle w:val="TableParagraph"/>
              <w:spacing w:before="43"/>
              <w:ind w:left="211"/>
              <w:rPr>
                <w:sz w:val="14"/>
              </w:rPr>
            </w:pPr>
            <w:r>
              <w:rPr>
                <w:w w:val="105"/>
                <w:sz w:val="14"/>
              </w:rPr>
              <w:t>FIBRA</w:t>
            </w:r>
          </w:p>
        </w:tc>
        <w:tc>
          <w:tcPr>
            <w:tcW w:w="1234" w:type="dxa"/>
          </w:tcPr>
          <w:p>
            <w:pPr>
              <w:pStyle w:val="TableParagraph"/>
              <w:spacing w:before="43"/>
              <w:ind w:right="57"/>
              <w:jc w:val="right"/>
              <w:rPr>
                <w:sz w:val="14"/>
              </w:rPr>
            </w:pPr>
            <w:r>
              <w:rPr>
                <w:w w:val="95"/>
                <w:sz w:val="14"/>
              </w:rPr>
              <w:t>27.499</w:t>
            </w:r>
          </w:p>
        </w:tc>
        <w:tc>
          <w:tcPr>
            <w:tcW w:w="1123" w:type="dxa"/>
          </w:tcPr>
          <w:p>
            <w:pPr>
              <w:pStyle w:val="TableParagraph"/>
              <w:spacing w:before="43"/>
              <w:ind w:right="57"/>
              <w:jc w:val="right"/>
              <w:rPr>
                <w:sz w:val="14"/>
              </w:rPr>
            </w:pPr>
            <w:r>
              <w:rPr>
                <w:w w:val="95"/>
                <w:sz w:val="14"/>
              </w:rPr>
              <w:t>21.944</w:t>
            </w: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2"/>
              <w:ind w:right="54"/>
              <w:jc w:val="right"/>
              <w:rPr>
                <w:rFonts w:ascii="Caladea"/>
                <w:b/>
                <w:sz w:val="14"/>
              </w:rPr>
            </w:pPr>
            <w:r>
              <w:rPr>
                <w:rFonts w:ascii="Caladea"/>
                <w:b/>
                <w:sz w:val="14"/>
              </w:rPr>
              <w:t>49.443</w:t>
            </w:r>
          </w:p>
        </w:tc>
      </w:tr>
      <w:tr>
        <w:trPr>
          <w:trHeight w:val="246" w:hRule="atLeast"/>
        </w:trPr>
        <w:tc>
          <w:tcPr>
            <w:tcW w:w="3966" w:type="dxa"/>
          </w:tcPr>
          <w:p>
            <w:pPr>
              <w:pStyle w:val="TableParagraph"/>
              <w:spacing w:before="41"/>
              <w:ind w:left="211"/>
              <w:rPr>
                <w:sz w:val="14"/>
              </w:rPr>
            </w:pPr>
            <w:r>
              <w:rPr>
                <w:w w:val="105"/>
                <w:sz w:val="14"/>
              </w:rPr>
              <w:t>SOFISA</w:t>
            </w:r>
          </w:p>
        </w:tc>
        <w:tc>
          <w:tcPr>
            <w:tcW w:w="1234" w:type="dxa"/>
          </w:tcPr>
          <w:p>
            <w:pPr>
              <w:pStyle w:val="TableParagraph"/>
              <w:spacing w:before="41"/>
              <w:ind w:right="58"/>
              <w:jc w:val="right"/>
              <w:rPr>
                <w:sz w:val="14"/>
              </w:rPr>
            </w:pPr>
            <w:r>
              <w:rPr>
                <w:w w:val="95"/>
                <w:sz w:val="14"/>
              </w:rPr>
              <w:t>6.111</w:t>
            </w:r>
          </w:p>
        </w:tc>
        <w:tc>
          <w:tcPr>
            <w:tcW w:w="1123" w:type="dxa"/>
          </w:tcPr>
          <w:p>
            <w:pPr>
              <w:pStyle w:val="TableParagraph"/>
              <w:spacing w:before="41"/>
              <w:ind w:right="57"/>
              <w:jc w:val="right"/>
              <w:rPr>
                <w:sz w:val="14"/>
              </w:rPr>
            </w:pPr>
            <w:r>
              <w:rPr>
                <w:w w:val="95"/>
                <w:sz w:val="14"/>
              </w:rPr>
              <w:t>3.961</w:t>
            </w: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4"/>
              <w:jc w:val="right"/>
              <w:rPr>
                <w:rFonts w:ascii="Caladea"/>
                <w:b/>
                <w:sz w:val="14"/>
              </w:rPr>
            </w:pPr>
            <w:r>
              <w:rPr>
                <w:rFonts w:ascii="Caladea"/>
                <w:b/>
                <w:sz w:val="14"/>
              </w:rPr>
              <w:t>10.072</w:t>
            </w:r>
          </w:p>
        </w:tc>
      </w:tr>
      <w:tr>
        <w:trPr>
          <w:trHeight w:val="244" w:hRule="atLeast"/>
        </w:trPr>
        <w:tc>
          <w:tcPr>
            <w:tcW w:w="3966" w:type="dxa"/>
          </w:tcPr>
          <w:p>
            <w:pPr>
              <w:pStyle w:val="TableParagraph"/>
              <w:spacing w:before="41"/>
              <w:ind w:left="211"/>
              <w:rPr>
                <w:sz w:val="14"/>
              </w:rPr>
            </w:pPr>
            <w:r>
              <w:rPr>
                <w:sz w:val="14"/>
              </w:rPr>
              <w:t>DAYCOVAL</w:t>
            </w:r>
          </w:p>
        </w:tc>
        <w:tc>
          <w:tcPr>
            <w:tcW w:w="1234" w:type="dxa"/>
          </w:tcPr>
          <w:p>
            <w:pPr>
              <w:pStyle w:val="TableParagraph"/>
              <w:spacing w:before="41"/>
              <w:ind w:right="57"/>
              <w:jc w:val="right"/>
              <w:rPr>
                <w:sz w:val="14"/>
              </w:rPr>
            </w:pPr>
            <w:r>
              <w:rPr>
                <w:w w:val="95"/>
                <w:sz w:val="14"/>
              </w:rPr>
              <w:t>18.685</w:t>
            </w:r>
          </w:p>
        </w:tc>
        <w:tc>
          <w:tcPr>
            <w:tcW w:w="1123" w:type="dxa"/>
          </w:tcPr>
          <w:p>
            <w:pPr>
              <w:pStyle w:val="TableParagraph"/>
              <w:spacing w:before="41"/>
              <w:ind w:right="57"/>
              <w:jc w:val="right"/>
              <w:rPr>
                <w:sz w:val="14"/>
              </w:rPr>
            </w:pPr>
            <w:r>
              <w:rPr>
                <w:w w:val="95"/>
                <w:sz w:val="14"/>
              </w:rPr>
              <w:t>22.037</w:t>
            </w: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4"/>
              <w:jc w:val="right"/>
              <w:rPr>
                <w:rFonts w:ascii="Caladea"/>
                <w:b/>
                <w:sz w:val="14"/>
              </w:rPr>
            </w:pPr>
            <w:r>
              <w:rPr>
                <w:rFonts w:ascii="Caladea"/>
                <w:b/>
                <w:sz w:val="14"/>
              </w:rPr>
              <w:t>40.722</w:t>
            </w:r>
          </w:p>
        </w:tc>
      </w:tr>
      <w:tr>
        <w:trPr>
          <w:trHeight w:val="246" w:hRule="atLeast"/>
        </w:trPr>
        <w:tc>
          <w:tcPr>
            <w:tcW w:w="3966" w:type="dxa"/>
          </w:tcPr>
          <w:p>
            <w:pPr>
              <w:pStyle w:val="TableParagraph"/>
              <w:spacing w:before="43"/>
              <w:ind w:left="197"/>
              <w:rPr>
                <w:sz w:val="14"/>
              </w:rPr>
            </w:pPr>
            <w:r>
              <w:rPr>
                <w:sz w:val="14"/>
              </w:rPr>
              <w:t>Banco de Brasília</w:t>
            </w:r>
          </w:p>
        </w:tc>
        <w:tc>
          <w:tcPr>
            <w:tcW w:w="1234" w:type="dxa"/>
          </w:tcPr>
          <w:p>
            <w:pPr>
              <w:pStyle w:val="TableParagraph"/>
              <w:spacing w:before="43"/>
              <w:ind w:right="60"/>
              <w:jc w:val="right"/>
              <w:rPr>
                <w:sz w:val="14"/>
              </w:rPr>
            </w:pPr>
            <w:r>
              <w:rPr>
                <w:w w:val="95"/>
                <w:sz w:val="14"/>
              </w:rPr>
              <w:t>21.633</w:t>
            </w: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2"/>
              <w:ind w:right="56"/>
              <w:jc w:val="right"/>
              <w:rPr>
                <w:rFonts w:ascii="Caladea"/>
                <w:b/>
                <w:sz w:val="14"/>
              </w:rPr>
            </w:pPr>
            <w:r>
              <w:rPr>
                <w:rFonts w:ascii="Caladea"/>
                <w:b/>
                <w:sz w:val="14"/>
              </w:rPr>
              <w:t>21.633</w:t>
            </w:r>
          </w:p>
        </w:tc>
      </w:tr>
      <w:tr>
        <w:trPr>
          <w:trHeight w:val="246" w:hRule="atLeast"/>
        </w:trPr>
        <w:tc>
          <w:tcPr>
            <w:tcW w:w="3966" w:type="dxa"/>
          </w:tcPr>
          <w:p>
            <w:pPr>
              <w:pStyle w:val="TableParagraph"/>
              <w:spacing w:before="41"/>
              <w:ind w:left="197"/>
              <w:rPr>
                <w:sz w:val="14"/>
              </w:rPr>
            </w:pPr>
            <w:r>
              <w:rPr>
                <w:sz w:val="14"/>
              </w:rPr>
              <w:t>Banco de Brasília</w:t>
            </w:r>
          </w:p>
        </w:tc>
        <w:tc>
          <w:tcPr>
            <w:tcW w:w="1234" w:type="dxa"/>
          </w:tcPr>
          <w:p>
            <w:pPr>
              <w:pStyle w:val="TableParagraph"/>
              <w:rPr>
                <w:rFonts w:ascii="Times New Roman"/>
                <w:sz w:val="16"/>
              </w:rPr>
            </w:pPr>
          </w:p>
        </w:tc>
        <w:tc>
          <w:tcPr>
            <w:tcW w:w="1123" w:type="dxa"/>
          </w:tcPr>
          <w:p>
            <w:pPr>
              <w:pStyle w:val="TableParagraph"/>
              <w:spacing w:before="41"/>
              <w:ind w:right="59"/>
              <w:jc w:val="right"/>
              <w:rPr>
                <w:sz w:val="14"/>
              </w:rPr>
            </w:pPr>
            <w:r>
              <w:rPr>
                <w:w w:val="95"/>
                <w:sz w:val="14"/>
              </w:rPr>
              <w:t>3.429</w:t>
            </w:r>
          </w:p>
        </w:tc>
        <w:tc>
          <w:tcPr>
            <w:tcW w:w="1128" w:type="dxa"/>
          </w:tcPr>
          <w:p>
            <w:pPr>
              <w:pStyle w:val="TableParagraph"/>
              <w:spacing w:before="41"/>
              <w:ind w:right="59"/>
              <w:jc w:val="right"/>
              <w:rPr>
                <w:sz w:val="14"/>
              </w:rPr>
            </w:pPr>
            <w:r>
              <w:rPr>
                <w:w w:val="95"/>
                <w:sz w:val="14"/>
              </w:rPr>
              <w:t>6.857</w:t>
            </w:r>
          </w:p>
        </w:tc>
        <w:tc>
          <w:tcPr>
            <w:tcW w:w="1109" w:type="dxa"/>
          </w:tcPr>
          <w:p>
            <w:pPr>
              <w:pStyle w:val="TableParagraph"/>
              <w:spacing w:before="41"/>
              <w:ind w:right="59"/>
              <w:jc w:val="right"/>
              <w:rPr>
                <w:sz w:val="14"/>
              </w:rPr>
            </w:pPr>
            <w:r>
              <w:rPr>
                <w:w w:val="95"/>
                <w:sz w:val="14"/>
              </w:rPr>
              <w:t>13.714</w:t>
            </w:r>
          </w:p>
        </w:tc>
        <w:tc>
          <w:tcPr>
            <w:tcW w:w="1310" w:type="dxa"/>
          </w:tcPr>
          <w:p>
            <w:pPr>
              <w:pStyle w:val="TableParagraph"/>
              <w:spacing w:before="39"/>
              <w:ind w:right="56"/>
              <w:jc w:val="right"/>
              <w:rPr>
                <w:rFonts w:ascii="Caladea"/>
                <w:b/>
                <w:sz w:val="14"/>
              </w:rPr>
            </w:pPr>
            <w:r>
              <w:rPr>
                <w:rFonts w:ascii="Caladea"/>
                <w:b/>
                <w:sz w:val="14"/>
              </w:rPr>
              <w:t>24.000</w:t>
            </w:r>
          </w:p>
        </w:tc>
      </w:tr>
      <w:tr>
        <w:trPr>
          <w:trHeight w:val="244" w:hRule="atLeast"/>
        </w:trPr>
        <w:tc>
          <w:tcPr>
            <w:tcW w:w="3966" w:type="dxa"/>
          </w:tcPr>
          <w:p>
            <w:pPr>
              <w:pStyle w:val="TableParagraph"/>
              <w:spacing w:before="41"/>
              <w:ind w:left="197"/>
              <w:rPr>
                <w:sz w:val="14"/>
              </w:rPr>
            </w:pPr>
            <w:r>
              <w:rPr>
                <w:sz w:val="14"/>
              </w:rPr>
              <w:t>Banco CCB</w:t>
            </w:r>
          </w:p>
        </w:tc>
        <w:tc>
          <w:tcPr>
            <w:tcW w:w="1234" w:type="dxa"/>
          </w:tcPr>
          <w:p>
            <w:pPr>
              <w:pStyle w:val="TableParagraph"/>
              <w:rPr>
                <w:rFonts w:ascii="Times New Roman"/>
                <w:sz w:val="16"/>
              </w:rPr>
            </w:pPr>
          </w:p>
        </w:tc>
        <w:tc>
          <w:tcPr>
            <w:tcW w:w="1123" w:type="dxa"/>
          </w:tcPr>
          <w:p>
            <w:pPr>
              <w:pStyle w:val="TableParagraph"/>
              <w:spacing w:before="41"/>
              <w:ind w:right="59"/>
              <w:jc w:val="right"/>
              <w:rPr>
                <w:sz w:val="14"/>
              </w:rPr>
            </w:pPr>
            <w:r>
              <w:rPr>
                <w:w w:val="95"/>
                <w:sz w:val="14"/>
              </w:rPr>
              <w:t>8.333</w:t>
            </w:r>
          </w:p>
        </w:tc>
        <w:tc>
          <w:tcPr>
            <w:tcW w:w="1128" w:type="dxa"/>
          </w:tcPr>
          <w:p>
            <w:pPr>
              <w:pStyle w:val="TableParagraph"/>
              <w:spacing w:before="41"/>
              <w:ind w:right="59"/>
              <w:jc w:val="right"/>
              <w:rPr>
                <w:sz w:val="14"/>
              </w:rPr>
            </w:pPr>
            <w:r>
              <w:rPr>
                <w:w w:val="95"/>
                <w:sz w:val="14"/>
              </w:rPr>
              <w:t>20.000</w:t>
            </w:r>
          </w:p>
        </w:tc>
        <w:tc>
          <w:tcPr>
            <w:tcW w:w="1109" w:type="dxa"/>
          </w:tcPr>
          <w:p>
            <w:pPr>
              <w:pStyle w:val="TableParagraph"/>
              <w:spacing w:before="41"/>
              <w:ind w:right="59"/>
              <w:jc w:val="right"/>
              <w:rPr>
                <w:sz w:val="14"/>
              </w:rPr>
            </w:pPr>
            <w:r>
              <w:rPr>
                <w:w w:val="95"/>
                <w:sz w:val="14"/>
              </w:rPr>
              <w:t>41.667</w:t>
            </w:r>
          </w:p>
        </w:tc>
        <w:tc>
          <w:tcPr>
            <w:tcW w:w="1310" w:type="dxa"/>
          </w:tcPr>
          <w:p>
            <w:pPr>
              <w:pStyle w:val="TableParagraph"/>
              <w:spacing w:before="39"/>
              <w:ind w:right="56"/>
              <w:jc w:val="right"/>
              <w:rPr>
                <w:rFonts w:ascii="Caladea"/>
                <w:b/>
                <w:sz w:val="14"/>
              </w:rPr>
            </w:pPr>
            <w:r>
              <w:rPr>
                <w:rFonts w:ascii="Caladea"/>
                <w:b/>
                <w:sz w:val="14"/>
              </w:rPr>
              <w:t>70.000</w:t>
            </w:r>
          </w:p>
        </w:tc>
      </w:tr>
      <w:tr>
        <w:trPr>
          <w:trHeight w:val="246" w:hRule="atLeast"/>
        </w:trPr>
        <w:tc>
          <w:tcPr>
            <w:tcW w:w="3966" w:type="dxa"/>
          </w:tcPr>
          <w:p>
            <w:pPr>
              <w:pStyle w:val="TableParagraph"/>
              <w:spacing w:before="42"/>
              <w:ind w:left="72"/>
              <w:rPr>
                <w:rFonts w:ascii="Caladea"/>
                <w:b/>
                <w:sz w:val="14"/>
              </w:rPr>
            </w:pPr>
            <w:r>
              <w:rPr>
                <w:rFonts w:ascii="Caladea"/>
                <w:b/>
                <w:sz w:val="14"/>
              </w:rPr>
              <w:t>Total</w:t>
            </w:r>
          </w:p>
        </w:tc>
        <w:tc>
          <w:tcPr>
            <w:tcW w:w="1234" w:type="dxa"/>
          </w:tcPr>
          <w:p>
            <w:pPr>
              <w:pStyle w:val="TableParagraph"/>
              <w:spacing w:before="42"/>
              <w:ind w:right="58"/>
              <w:jc w:val="right"/>
              <w:rPr>
                <w:rFonts w:ascii="Caladea"/>
                <w:b/>
                <w:sz w:val="14"/>
              </w:rPr>
            </w:pPr>
            <w:r>
              <w:rPr>
                <w:rFonts w:ascii="Caladea"/>
                <w:b/>
                <w:w w:val="95"/>
                <w:sz w:val="14"/>
              </w:rPr>
              <w:t>121.445</w:t>
            </w:r>
          </w:p>
        </w:tc>
        <w:tc>
          <w:tcPr>
            <w:tcW w:w="1123" w:type="dxa"/>
          </w:tcPr>
          <w:p>
            <w:pPr>
              <w:pStyle w:val="TableParagraph"/>
              <w:spacing w:before="42"/>
              <w:ind w:right="59"/>
              <w:jc w:val="right"/>
              <w:rPr>
                <w:rFonts w:ascii="Caladea"/>
                <w:b/>
                <w:sz w:val="14"/>
              </w:rPr>
            </w:pPr>
            <w:r>
              <w:rPr>
                <w:rFonts w:ascii="Caladea"/>
                <w:b/>
                <w:sz w:val="14"/>
              </w:rPr>
              <w:t>72.331</w:t>
            </w:r>
          </w:p>
        </w:tc>
        <w:tc>
          <w:tcPr>
            <w:tcW w:w="1128" w:type="dxa"/>
          </w:tcPr>
          <w:p>
            <w:pPr>
              <w:pStyle w:val="TableParagraph"/>
              <w:spacing w:before="42"/>
              <w:ind w:right="59"/>
              <w:jc w:val="right"/>
              <w:rPr>
                <w:rFonts w:ascii="Caladea"/>
                <w:b/>
                <w:sz w:val="14"/>
              </w:rPr>
            </w:pPr>
            <w:r>
              <w:rPr>
                <w:rFonts w:ascii="Caladea"/>
                <w:b/>
                <w:sz w:val="14"/>
              </w:rPr>
              <w:t>31.551</w:t>
            </w:r>
          </w:p>
        </w:tc>
        <w:tc>
          <w:tcPr>
            <w:tcW w:w="1109" w:type="dxa"/>
          </w:tcPr>
          <w:p>
            <w:pPr>
              <w:pStyle w:val="TableParagraph"/>
              <w:spacing w:before="42"/>
              <w:ind w:right="59"/>
              <w:jc w:val="right"/>
              <w:rPr>
                <w:rFonts w:ascii="Caladea"/>
                <w:b/>
                <w:sz w:val="14"/>
              </w:rPr>
            </w:pPr>
            <w:r>
              <w:rPr>
                <w:rFonts w:ascii="Caladea"/>
                <w:b/>
                <w:sz w:val="14"/>
              </w:rPr>
              <w:t>64.134</w:t>
            </w:r>
          </w:p>
        </w:tc>
        <w:tc>
          <w:tcPr>
            <w:tcW w:w="1310" w:type="dxa"/>
          </w:tcPr>
          <w:p>
            <w:pPr>
              <w:pStyle w:val="TableParagraph"/>
              <w:spacing w:before="42"/>
              <w:ind w:right="56"/>
              <w:jc w:val="right"/>
              <w:rPr>
                <w:rFonts w:ascii="Caladea"/>
                <w:b/>
                <w:sz w:val="14"/>
              </w:rPr>
            </w:pPr>
            <w:r>
              <w:rPr>
                <w:rFonts w:ascii="Caladea"/>
                <w:b/>
                <w:w w:val="95"/>
                <w:sz w:val="14"/>
              </w:rPr>
              <w:t>289.461</w:t>
            </w:r>
          </w:p>
        </w:tc>
      </w:tr>
      <w:tr>
        <w:trPr>
          <w:trHeight w:val="246" w:hRule="atLeast"/>
        </w:trPr>
        <w:tc>
          <w:tcPr>
            <w:tcW w:w="3966" w:type="dxa"/>
          </w:tcPr>
          <w:p>
            <w:pPr>
              <w:pStyle w:val="TableParagraph"/>
              <w:spacing w:before="41"/>
              <w:ind w:left="211"/>
              <w:rPr>
                <w:sz w:val="14"/>
              </w:rPr>
            </w:pPr>
            <w:r>
              <w:rPr>
                <w:sz w:val="14"/>
              </w:rPr>
              <w:t>Custo de Transação</w:t>
            </w:r>
          </w:p>
        </w:tc>
        <w:tc>
          <w:tcPr>
            <w:tcW w:w="1234" w:type="dxa"/>
          </w:tcPr>
          <w:p>
            <w:pPr>
              <w:pStyle w:val="TableParagraph"/>
              <w:rPr>
                <w:rFonts w:ascii="Times New Roman"/>
                <w:sz w:val="16"/>
              </w:rPr>
            </w:pP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41"/>
              <w:ind w:right="56"/>
              <w:jc w:val="right"/>
              <w:rPr>
                <w:sz w:val="14"/>
              </w:rPr>
            </w:pPr>
            <w:r>
              <w:rPr>
                <w:sz w:val="14"/>
              </w:rPr>
              <w:t>(1.096)</w:t>
            </w:r>
          </w:p>
        </w:tc>
      </w:tr>
      <w:tr>
        <w:trPr>
          <w:trHeight w:val="246" w:hRule="atLeast"/>
        </w:trPr>
        <w:tc>
          <w:tcPr>
            <w:tcW w:w="3966" w:type="dxa"/>
          </w:tcPr>
          <w:p>
            <w:pPr>
              <w:pStyle w:val="TableParagraph"/>
              <w:spacing w:before="39"/>
              <w:ind w:left="72"/>
              <w:rPr>
                <w:rFonts w:ascii="Caladea" w:hAnsi="Caladea"/>
                <w:b/>
                <w:sz w:val="14"/>
              </w:rPr>
            </w:pPr>
            <w:r>
              <w:rPr>
                <w:rFonts w:ascii="Caladea" w:hAnsi="Caladea"/>
                <w:b/>
                <w:sz w:val="14"/>
              </w:rPr>
              <w:t>Total Líquido</w:t>
            </w:r>
          </w:p>
        </w:tc>
        <w:tc>
          <w:tcPr>
            <w:tcW w:w="1234" w:type="dxa"/>
          </w:tcPr>
          <w:p>
            <w:pPr>
              <w:pStyle w:val="TableParagraph"/>
              <w:rPr>
                <w:rFonts w:ascii="Times New Roman"/>
                <w:sz w:val="16"/>
              </w:rPr>
            </w:pPr>
          </w:p>
        </w:tc>
        <w:tc>
          <w:tcPr>
            <w:tcW w:w="1123" w:type="dxa"/>
          </w:tcPr>
          <w:p>
            <w:pPr>
              <w:pStyle w:val="TableParagraph"/>
              <w:rPr>
                <w:rFonts w:ascii="Times New Roman"/>
                <w:sz w:val="16"/>
              </w:rPr>
            </w:pPr>
          </w:p>
        </w:tc>
        <w:tc>
          <w:tcPr>
            <w:tcW w:w="1128" w:type="dxa"/>
          </w:tcPr>
          <w:p>
            <w:pPr>
              <w:pStyle w:val="TableParagraph"/>
              <w:rPr>
                <w:rFonts w:ascii="Times New Roman"/>
                <w:sz w:val="16"/>
              </w:rPr>
            </w:pPr>
          </w:p>
        </w:tc>
        <w:tc>
          <w:tcPr>
            <w:tcW w:w="1109" w:type="dxa"/>
          </w:tcPr>
          <w:p>
            <w:pPr>
              <w:pStyle w:val="TableParagraph"/>
              <w:rPr>
                <w:rFonts w:ascii="Times New Roman"/>
                <w:sz w:val="16"/>
              </w:rPr>
            </w:pPr>
          </w:p>
        </w:tc>
        <w:tc>
          <w:tcPr>
            <w:tcW w:w="1310" w:type="dxa"/>
          </w:tcPr>
          <w:p>
            <w:pPr>
              <w:pStyle w:val="TableParagraph"/>
              <w:spacing w:before="39"/>
              <w:ind w:right="56"/>
              <w:jc w:val="right"/>
              <w:rPr>
                <w:rFonts w:ascii="Caladea"/>
                <w:b/>
                <w:sz w:val="14"/>
              </w:rPr>
            </w:pPr>
            <w:r>
              <w:rPr>
                <w:rFonts w:ascii="Caladea"/>
                <w:b/>
                <w:w w:val="95"/>
                <w:sz w:val="14"/>
              </w:rPr>
              <w:t>288.365</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M</w:t>
      </w:r>
      <w:r>
        <w:rPr>
          <w:rFonts w:ascii="Caladea" w:hAnsi="Caladea"/>
          <w:b/>
          <w:sz w:val="18"/>
        </w:rPr>
        <w:t>OVIMENTAÇÃO DOS </w:t>
      </w:r>
      <w:r>
        <w:rPr>
          <w:rFonts w:ascii="Caladea" w:hAnsi="Caladea"/>
          <w:b/>
          <w:sz w:val="22"/>
        </w:rPr>
        <w:t>E</w:t>
      </w:r>
      <w:r>
        <w:rPr>
          <w:rFonts w:ascii="Caladea" w:hAnsi="Caladea"/>
          <w:b/>
          <w:sz w:val="18"/>
        </w:rPr>
        <w:t>MPRÉSTIMOS E</w:t>
      </w:r>
      <w:r>
        <w:rPr>
          <w:rFonts w:ascii="Caladea" w:hAnsi="Caladea"/>
          <w:b/>
          <w:spacing w:val="1"/>
          <w:sz w:val="18"/>
        </w:rPr>
        <w:t> </w:t>
      </w:r>
      <w:r>
        <w:rPr>
          <w:rFonts w:ascii="Caladea" w:hAnsi="Caladea"/>
          <w:b/>
          <w:sz w:val="22"/>
        </w:rPr>
        <w:t>F</w:t>
      </w:r>
      <w:r>
        <w:rPr>
          <w:rFonts w:ascii="Caladea" w:hAnsi="Caladea"/>
          <w:b/>
          <w:sz w:val="18"/>
        </w:rPr>
        <w:t>INANCIAMENTOS</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41"/>
        <w:gridCol w:w="2338"/>
        <w:gridCol w:w="2339"/>
      </w:tblGrid>
      <w:tr>
        <w:trPr>
          <w:trHeight w:val="227" w:hRule="atLeast"/>
        </w:trPr>
        <w:tc>
          <w:tcPr>
            <w:tcW w:w="5241" w:type="dxa"/>
            <w:vMerge w:val="restart"/>
            <w:shd w:val="clear" w:color="auto" w:fill="D9D9D9"/>
          </w:tcPr>
          <w:p>
            <w:pPr>
              <w:pStyle w:val="TableParagraph"/>
              <w:rPr>
                <w:rFonts w:ascii="Times New Roman"/>
                <w:sz w:val="16"/>
              </w:rPr>
            </w:pPr>
          </w:p>
        </w:tc>
        <w:tc>
          <w:tcPr>
            <w:tcW w:w="4677" w:type="dxa"/>
            <w:gridSpan w:val="2"/>
          </w:tcPr>
          <w:p>
            <w:pPr>
              <w:pStyle w:val="TableParagraph"/>
              <w:spacing w:before="30"/>
              <w:ind w:left="1031"/>
              <w:rPr>
                <w:rFonts w:ascii="Caladea" w:hAnsi="Caladea"/>
                <w:b/>
                <w:sz w:val="14"/>
              </w:rPr>
            </w:pPr>
            <w:r>
              <w:rPr>
                <w:rFonts w:ascii="Caladea" w:hAnsi="Caladea"/>
                <w:b/>
                <w:sz w:val="14"/>
              </w:rPr>
              <w:t>Empréstimos e Financiamentos Líquidos</w:t>
            </w:r>
          </w:p>
        </w:tc>
      </w:tr>
      <w:tr>
        <w:trPr>
          <w:trHeight w:val="407" w:hRule="atLeast"/>
        </w:trPr>
        <w:tc>
          <w:tcPr>
            <w:tcW w:w="5241" w:type="dxa"/>
            <w:vMerge/>
            <w:tcBorders>
              <w:top w:val="nil"/>
            </w:tcBorders>
            <w:shd w:val="clear" w:color="auto" w:fill="D9D9D9"/>
          </w:tcPr>
          <w:p>
            <w:pPr>
              <w:rPr>
                <w:sz w:val="2"/>
                <w:szCs w:val="2"/>
              </w:rPr>
            </w:pPr>
          </w:p>
        </w:tc>
        <w:tc>
          <w:tcPr>
            <w:tcW w:w="2338" w:type="dxa"/>
          </w:tcPr>
          <w:p>
            <w:pPr>
              <w:pStyle w:val="TableParagraph"/>
              <w:spacing w:before="121"/>
              <w:ind w:left="738"/>
              <w:rPr>
                <w:rFonts w:ascii="Caladea"/>
                <w:b/>
                <w:sz w:val="14"/>
              </w:rPr>
            </w:pPr>
            <w:r>
              <w:rPr>
                <w:rFonts w:ascii="Caladea"/>
                <w:b/>
                <w:sz w:val="14"/>
              </w:rPr>
              <w:t>Controladora</w:t>
            </w:r>
          </w:p>
        </w:tc>
        <w:tc>
          <w:tcPr>
            <w:tcW w:w="2339" w:type="dxa"/>
          </w:tcPr>
          <w:p>
            <w:pPr>
              <w:pStyle w:val="TableParagraph"/>
              <w:spacing w:before="121"/>
              <w:ind w:left="767"/>
              <w:rPr>
                <w:rFonts w:ascii="Caladea"/>
                <w:b/>
                <w:sz w:val="14"/>
              </w:rPr>
            </w:pPr>
            <w:r>
              <w:rPr>
                <w:rFonts w:ascii="Caladea"/>
                <w:b/>
                <w:sz w:val="14"/>
              </w:rPr>
              <w:t>Consolidado</w:t>
            </w:r>
          </w:p>
        </w:tc>
      </w:tr>
      <w:tr>
        <w:trPr>
          <w:trHeight w:val="227" w:hRule="atLeast"/>
        </w:trPr>
        <w:tc>
          <w:tcPr>
            <w:tcW w:w="5241" w:type="dxa"/>
          </w:tcPr>
          <w:p>
            <w:pPr>
              <w:pStyle w:val="TableParagraph"/>
              <w:spacing w:before="30"/>
              <w:ind w:left="134"/>
              <w:rPr>
                <w:rFonts w:ascii="Caladea"/>
                <w:b/>
                <w:sz w:val="14"/>
              </w:rPr>
            </w:pPr>
            <w:r>
              <w:rPr>
                <w:rFonts w:ascii="Caladea"/>
                <w:b/>
                <w:sz w:val="14"/>
              </w:rPr>
              <w:t>Saldo em 31 de dezembro de 2017</w:t>
            </w:r>
          </w:p>
        </w:tc>
        <w:tc>
          <w:tcPr>
            <w:tcW w:w="2338" w:type="dxa"/>
          </w:tcPr>
          <w:p>
            <w:pPr>
              <w:pStyle w:val="TableParagraph"/>
              <w:rPr>
                <w:rFonts w:ascii="Times New Roman"/>
                <w:sz w:val="16"/>
              </w:rPr>
            </w:pPr>
          </w:p>
        </w:tc>
        <w:tc>
          <w:tcPr>
            <w:tcW w:w="2339" w:type="dxa"/>
          </w:tcPr>
          <w:p>
            <w:pPr>
              <w:pStyle w:val="TableParagraph"/>
              <w:spacing w:before="30"/>
              <w:ind w:right="64"/>
              <w:jc w:val="right"/>
              <w:rPr>
                <w:rFonts w:ascii="Caladea"/>
                <w:b/>
                <w:sz w:val="14"/>
              </w:rPr>
            </w:pPr>
            <w:r>
              <w:rPr>
                <w:rFonts w:ascii="Caladea"/>
                <w:b/>
                <w:w w:val="95"/>
                <w:sz w:val="14"/>
              </w:rPr>
              <w:t>380.342</w:t>
            </w:r>
          </w:p>
        </w:tc>
      </w:tr>
      <w:tr>
        <w:trPr>
          <w:trHeight w:val="227" w:hRule="atLeast"/>
        </w:trPr>
        <w:tc>
          <w:tcPr>
            <w:tcW w:w="5241" w:type="dxa"/>
          </w:tcPr>
          <w:p>
            <w:pPr>
              <w:pStyle w:val="TableParagraph"/>
              <w:spacing w:before="31"/>
              <w:ind w:left="134"/>
              <w:rPr>
                <w:sz w:val="14"/>
              </w:rPr>
            </w:pPr>
            <w:r>
              <w:rPr>
                <w:sz w:val="14"/>
              </w:rPr>
              <w:t>Captação de empréstimos</w:t>
            </w:r>
          </w:p>
        </w:tc>
        <w:tc>
          <w:tcPr>
            <w:tcW w:w="2338" w:type="dxa"/>
          </w:tcPr>
          <w:p>
            <w:pPr>
              <w:pStyle w:val="TableParagraph"/>
              <w:rPr>
                <w:rFonts w:ascii="Times New Roman"/>
                <w:sz w:val="16"/>
              </w:rPr>
            </w:pPr>
          </w:p>
        </w:tc>
        <w:tc>
          <w:tcPr>
            <w:tcW w:w="2339" w:type="dxa"/>
          </w:tcPr>
          <w:p>
            <w:pPr>
              <w:pStyle w:val="TableParagraph"/>
              <w:spacing w:before="31"/>
              <w:ind w:right="64"/>
              <w:jc w:val="right"/>
              <w:rPr>
                <w:sz w:val="14"/>
              </w:rPr>
            </w:pPr>
            <w:r>
              <w:rPr>
                <w:w w:val="95"/>
                <w:sz w:val="14"/>
              </w:rPr>
              <w:t>115.001</w:t>
            </w:r>
          </w:p>
        </w:tc>
      </w:tr>
      <w:tr>
        <w:trPr>
          <w:trHeight w:val="227" w:hRule="atLeast"/>
        </w:trPr>
        <w:tc>
          <w:tcPr>
            <w:tcW w:w="5241" w:type="dxa"/>
          </w:tcPr>
          <w:p>
            <w:pPr>
              <w:pStyle w:val="TableParagraph"/>
              <w:spacing w:before="31"/>
              <w:ind w:left="134"/>
              <w:rPr>
                <w:sz w:val="14"/>
              </w:rPr>
            </w:pPr>
            <w:r>
              <w:rPr>
                <w:sz w:val="14"/>
              </w:rPr>
              <w:t>Variação Monetária</w:t>
            </w:r>
          </w:p>
        </w:tc>
        <w:tc>
          <w:tcPr>
            <w:tcW w:w="2338" w:type="dxa"/>
          </w:tcPr>
          <w:p>
            <w:pPr>
              <w:pStyle w:val="TableParagraph"/>
              <w:rPr>
                <w:rFonts w:ascii="Times New Roman"/>
                <w:sz w:val="16"/>
              </w:rPr>
            </w:pPr>
          </w:p>
        </w:tc>
        <w:tc>
          <w:tcPr>
            <w:tcW w:w="2339" w:type="dxa"/>
          </w:tcPr>
          <w:p>
            <w:pPr>
              <w:pStyle w:val="TableParagraph"/>
              <w:spacing w:before="31"/>
              <w:ind w:right="64"/>
              <w:jc w:val="right"/>
              <w:rPr>
                <w:sz w:val="14"/>
              </w:rPr>
            </w:pPr>
            <w:r>
              <w:rPr>
                <w:sz w:val="14"/>
              </w:rPr>
              <w:t>553</w:t>
            </w:r>
          </w:p>
        </w:tc>
      </w:tr>
      <w:tr>
        <w:trPr>
          <w:trHeight w:val="227" w:hRule="atLeast"/>
        </w:trPr>
        <w:tc>
          <w:tcPr>
            <w:tcW w:w="5241" w:type="dxa"/>
          </w:tcPr>
          <w:p>
            <w:pPr>
              <w:pStyle w:val="TableParagraph"/>
              <w:spacing w:before="34"/>
              <w:ind w:left="134"/>
              <w:rPr>
                <w:sz w:val="14"/>
              </w:rPr>
            </w:pPr>
            <w:r>
              <w:rPr>
                <w:sz w:val="14"/>
              </w:rPr>
              <w:t>Encargos Incorridos no Período</w:t>
            </w:r>
          </w:p>
        </w:tc>
        <w:tc>
          <w:tcPr>
            <w:tcW w:w="2338" w:type="dxa"/>
          </w:tcPr>
          <w:p>
            <w:pPr>
              <w:pStyle w:val="TableParagraph"/>
              <w:rPr>
                <w:rFonts w:ascii="Times New Roman"/>
                <w:sz w:val="16"/>
              </w:rPr>
            </w:pPr>
          </w:p>
        </w:tc>
        <w:tc>
          <w:tcPr>
            <w:tcW w:w="2339" w:type="dxa"/>
          </w:tcPr>
          <w:p>
            <w:pPr>
              <w:pStyle w:val="TableParagraph"/>
              <w:spacing w:before="34"/>
              <w:ind w:right="63"/>
              <w:jc w:val="right"/>
              <w:rPr>
                <w:sz w:val="14"/>
              </w:rPr>
            </w:pPr>
            <w:r>
              <w:rPr>
                <w:w w:val="95"/>
                <w:sz w:val="14"/>
              </w:rPr>
              <w:t>30.971</w:t>
            </w:r>
          </w:p>
        </w:tc>
      </w:tr>
      <w:tr>
        <w:trPr>
          <w:trHeight w:val="227" w:hRule="atLeast"/>
        </w:trPr>
        <w:tc>
          <w:tcPr>
            <w:tcW w:w="5241" w:type="dxa"/>
          </w:tcPr>
          <w:p>
            <w:pPr>
              <w:pStyle w:val="TableParagraph"/>
              <w:spacing w:before="34"/>
              <w:ind w:left="134"/>
              <w:rPr>
                <w:sz w:val="14"/>
              </w:rPr>
            </w:pPr>
            <w:r>
              <w:rPr>
                <w:sz w:val="14"/>
              </w:rPr>
              <w:t>Custo de Transação</w:t>
            </w:r>
          </w:p>
        </w:tc>
        <w:tc>
          <w:tcPr>
            <w:tcW w:w="2338" w:type="dxa"/>
          </w:tcPr>
          <w:p>
            <w:pPr>
              <w:pStyle w:val="TableParagraph"/>
              <w:rPr>
                <w:rFonts w:ascii="Times New Roman"/>
                <w:sz w:val="16"/>
              </w:rPr>
            </w:pPr>
          </w:p>
        </w:tc>
        <w:tc>
          <w:tcPr>
            <w:tcW w:w="2339" w:type="dxa"/>
          </w:tcPr>
          <w:p>
            <w:pPr>
              <w:pStyle w:val="TableParagraph"/>
              <w:spacing w:before="34"/>
              <w:ind w:right="64"/>
              <w:jc w:val="right"/>
              <w:rPr>
                <w:sz w:val="14"/>
              </w:rPr>
            </w:pPr>
            <w:r>
              <w:rPr>
                <w:sz w:val="14"/>
              </w:rPr>
              <w:t>941</w:t>
            </w:r>
          </w:p>
        </w:tc>
      </w:tr>
      <w:tr>
        <w:trPr>
          <w:trHeight w:val="230" w:hRule="atLeast"/>
        </w:trPr>
        <w:tc>
          <w:tcPr>
            <w:tcW w:w="5241" w:type="dxa"/>
          </w:tcPr>
          <w:p>
            <w:pPr>
              <w:pStyle w:val="TableParagraph"/>
              <w:spacing w:before="34"/>
              <w:ind w:left="134"/>
              <w:rPr>
                <w:sz w:val="14"/>
              </w:rPr>
            </w:pPr>
            <w:r>
              <w:rPr>
                <w:sz w:val="14"/>
              </w:rPr>
              <w:t>Encargos Financeiros Pagos</w:t>
            </w:r>
          </w:p>
        </w:tc>
        <w:tc>
          <w:tcPr>
            <w:tcW w:w="2338" w:type="dxa"/>
          </w:tcPr>
          <w:p>
            <w:pPr>
              <w:pStyle w:val="TableParagraph"/>
              <w:rPr>
                <w:rFonts w:ascii="Times New Roman"/>
                <w:sz w:val="16"/>
              </w:rPr>
            </w:pPr>
          </w:p>
        </w:tc>
        <w:tc>
          <w:tcPr>
            <w:tcW w:w="2339" w:type="dxa"/>
          </w:tcPr>
          <w:p>
            <w:pPr>
              <w:pStyle w:val="TableParagraph"/>
              <w:spacing w:before="34"/>
              <w:ind w:right="63"/>
              <w:jc w:val="right"/>
              <w:rPr>
                <w:sz w:val="14"/>
              </w:rPr>
            </w:pPr>
            <w:r>
              <w:rPr>
                <w:sz w:val="14"/>
              </w:rPr>
              <w:t>(34.867)</w:t>
            </w:r>
          </w:p>
        </w:tc>
      </w:tr>
      <w:tr>
        <w:trPr>
          <w:trHeight w:val="227" w:hRule="atLeast"/>
        </w:trPr>
        <w:tc>
          <w:tcPr>
            <w:tcW w:w="5241" w:type="dxa"/>
          </w:tcPr>
          <w:p>
            <w:pPr>
              <w:pStyle w:val="TableParagraph"/>
              <w:spacing w:before="31"/>
              <w:ind w:left="134"/>
              <w:rPr>
                <w:sz w:val="14"/>
              </w:rPr>
            </w:pPr>
            <w:r>
              <w:rPr>
                <w:sz w:val="14"/>
              </w:rPr>
              <w:t>Amortizações de Principal</w:t>
            </w:r>
          </w:p>
        </w:tc>
        <w:tc>
          <w:tcPr>
            <w:tcW w:w="2338" w:type="dxa"/>
          </w:tcPr>
          <w:p>
            <w:pPr>
              <w:pStyle w:val="TableParagraph"/>
              <w:rPr>
                <w:rFonts w:ascii="Times New Roman"/>
                <w:sz w:val="16"/>
              </w:rPr>
            </w:pPr>
          </w:p>
        </w:tc>
        <w:tc>
          <w:tcPr>
            <w:tcW w:w="2339" w:type="dxa"/>
          </w:tcPr>
          <w:p>
            <w:pPr>
              <w:pStyle w:val="TableParagraph"/>
              <w:spacing w:before="31"/>
              <w:ind w:right="64"/>
              <w:jc w:val="right"/>
              <w:rPr>
                <w:sz w:val="14"/>
              </w:rPr>
            </w:pPr>
            <w:r>
              <w:rPr>
                <w:sz w:val="14"/>
              </w:rPr>
              <w:t>(218.678)</w:t>
            </w:r>
          </w:p>
        </w:tc>
      </w:tr>
      <w:tr>
        <w:trPr>
          <w:trHeight w:val="227" w:hRule="atLeast"/>
        </w:trPr>
        <w:tc>
          <w:tcPr>
            <w:tcW w:w="5241" w:type="dxa"/>
          </w:tcPr>
          <w:p>
            <w:pPr>
              <w:pStyle w:val="TableParagraph"/>
              <w:spacing w:before="30"/>
              <w:ind w:left="134"/>
              <w:rPr>
                <w:rFonts w:ascii="Caladea"/>
                <w:b/>
                <w:sz w:val="14"/>
              </w:rPr>
            </w:pPr>
            <w:r>
              <w:rPr>
                <w:rFonts w:ascii="Caladea"/>
                <w:b/>
                <w:sz w:val="14"/>
              </w:rPr>
              <w:t>Saldo em 31 de dezembro de 2018</w:t>
            </w:r>
          </w:p>
        </w:tc>
        <w:tc>
          <w:tcPr>
            <w:tcW w:w="2338" w:type="dxa"/>
          </w:tcPr>
          <w:p>
            <w:pPr>
              <w:pStyle w:val="TableParagraph"/>
              <w:rPr>
                <w:rFonts w:ascii="Times New Roman"/>
                <w:sz w:val="16"/>
              </w:rPr>
            </w:pPr>
          </w:p>
        </w:tc>
        <w:tc>
          <w:tcPr>
            <w:tcW w:w="2339" w:type="dxa"/>
          </w:tcPr>
          <w:p>
            <w:pPr>
              <w:pStyle w:val="TableParagraph"/>
              <w:spacing w:before="30"/>
              <w:ind w:right="64"/>
              <w:jc w:val="right"/>
              <w:rPr>
                <w:rFonts w:ascii="Caladea"/>
                <w:b/>
                <w:sz w:val="14"/>
              </w:rPr>
            </w:pPr>
            <w:r>
              <w:rPr>
                <w:rFonts w:ascii="Caladea"/>
                <w:b/>
                <w:w w:val="95"/>
                <w:sz w:val="14"/>
              </w:rPr>
              <w:t>274.263</w:t>
            </w:r>
          </w:p>
        </w:tc>
      </w:tr>
      <w:tr>
        <w:trPr>
          <w:trHeight w:val="227" w:hRule="atLeast"/>
        </w:trPr>
        <w:tc>
          <w:tcPr>
            <w:tcW w:w="5241" w:type="dxa"/>
          </w:tcPr>
          <w:p>
            <w:pPr>
              <w:pStyle w:val="TableParagraph"/>
              <w:spacing w:before="31"/>
              <w:ind w:left="134"/>
              <w:rPr>
                <w:sz w:val="14"/>
              </w:rPr>
            </w:pPr>
            <w:r>
              <w:rPr>
                <w:sz w:val="14"/>
              </w:rPr>
              <w:t>Captação de empréstimos</w:t>
            </w:r>
          </w:p>
        </w:tc>
        <w:tc>
          <w:tcPr>
            <w:tcW w:w="2338" w:type="dxa"/>
          </w:tcPr>
          <w:p>
            <w:pPr>
              <w:pStyle w:val="TableParagraph"/>
              <w:spacing w:before="31"/>
              <w:ind w:right="60"/>
              <w:jc w:val="right"/>
              <w:rPr>
                <w:sz w:val="14"/>
              </w:rPr>
            </w:pPr>
            <w:r>
              <w:rPr>
                <w:w w:val="95"/>
                <w:sz w:val="14"/>
              </w:rPr>
              <w:t>126.200</w:t>
            </w:r>
          </w:p>
        </w:tc>
        <w:tc>
          <w:tcPr>
            <w:tcW w:w="2339" w:type="dxa"/>
          </w:tcPr>
          <w:p>
            <w:pPr>
              <w:pStyle w:val="TableParagraph"/>
              <w:spacing w:before="31"/>
              <w:ind w:right="64"/>
              <w:jc w:val="right"/>
              <w:rPr>
                <w:sz w:val="14"/>
              </w:rPr>
            </w:pPr>
            <w:r>
              <w:rPr>
                <w:w w:val="95"/>
                <w:sz w:val="14"/>
              </w:rPr>
              <w:t>126.200</w:t>
            </w:r>
          </w:p>
        </w:tc>
      </w:tr>
      <w:tr>
        <w:trPr>
          <w:trHeight w:val="227" w:hRule="atLeast"/>
        </w:trPr>
        <w:tc>
          <w:tcPr>
            <w:tcW w:w="5241" w:type="dxa"/>
          </w:tcPr>
          <w:p>
            <w:pPr>
              <w:pStyle w:val="TableParagraph"/>
              <w:spacing w:before="34"/>
              <w:ind w:left="134"/>
              <w:rPr>
                <w:sz w:val="14"/>
              </w:rPr>
            </w:pPr>
            <w:r>
              <w:rPr>
                <w:sz w:val="14"/>
              </w:rPr>
              <w:t>Encargos Incorridos no Exercício</w:t>
            </w:r>
          </w:p>
        </w:tc>
        <w:tc>
          <w:tcPr>
            <w:tcW w:w="2338" w:type="dxa"/>
          </w:tcPr>
          <w:p>
            <w:pPr>
              <w:pStyle w:val="TableParagraph"/>
              <w:spacing w:before="34"/>
              <w:ind w:right="62"/>
              <w:jc w:val="right"/>
              <w:rPr>
                <w:sz w:val="14"/>
              </w:rPr>
            </w:pPr>
            <w:r>
              <w:rPr>
                <w:sz w:val="14"/>
              </w:rPr>
              <w:t>571</w:t>
            </w:r>
          </w:p>
        </w:tc>
        <w:tc>
          <w:tcPr>
            <w:tcW w:w="2339" w:type="dxa"/>
          </w:tcPr>
          <w:p>
            <w:pPr>
              <w:pStyle w:val="TableParagraph"/>
              <w:spacing w:before="34"/>
              <w:ind w:right="63"/>
              <w:jc w:val="right"/>
              <w:rPr>
                <w:sz w:val="14"/>
              </w:rPr>
            </w:pPr>
            <w:r>
              <w:rPr>
                <w:w w:val="95"/>
                <w:sz w:val="14"/>
              </w:rPr>
              <w:t>19.406</w:t>
            </w:r>
          </w:p>
        </w:tc>
      </w:tr>
      <w:tr>
        <w:trPr>
          <w:trHeight w:val="227" w:hRule="atLeast"/>
        </w:trPr>
        <w:tc>
          <w:tcPr>
            <w:tcW w:w="5241" w:type="dxa"/>
          </w:tcPr>
          <w:p>
            <w:pPr>
              <w:pStyle w:val="TableParagraph"/>
              <w:spacing w:before="34"/>
              <w:ind w:left="134"/>
              <w:rPr>
                <w:sz w:val="14"/>
              </w:rPr>
            </w:pPr>
            <w:r>
              <w:rPr>
                <w:sz w:val="14"/>
              </w:rPr>
              <w:t>Custo de Transação</w:t>
            </w:r>
          </w:p>
        </w:tc>
        <w:tc>
          <w:tcPr>
            <w:tcW w:w="2338" w:type="dxa"/>
          </w:tcPr>
          <w:p>
            <w:pPr>
              <w:pStyle w:val="TableParagraph"/>
              <w:rPr>
                <w:rFonts w:ascii="Times New Roman"/>
                <w:sz w:val="16"/>
              </w:rPr>
            </w:pPr>
          </w:p>
        </w:tc>
        <w:tc>
          <w:tcPr>
            <w:tcW w:w="2339" w:type="dxa"/>
          </w:tcPr>
          <w:p>
            <w:pPr>
              <w:pStyle w:val="TableParagraph"/>
              <w:spacing w:before="34"/>
              <w:ind w:right="63"/>
              <w:jc w:val="right"/>
              <w:rPr>
                <w:sz w:val="14"/>
              </w:rPr>
            </w:pPr>
            <w:r>
              <w:rPr>
                <w:w w:val="95"/>
                <w:sz w:val="14"/>
              </w:rPr>
              <w:t>2.574</w:t>
            </w:r>
          </w:p>
        </w:tc>
      </w:tr>
      <w:tr>
        <w:trPr>
          <w:trHeight w:val="230" w:hRule="atLeast"/>
        </w:trPr>
        <w:tc>
          <w:tcPr>
            <w:tcW w:w="5241" w:type="dxa"/>
          </w:tcPr>
          <w:p>
            <w:pPr>
              <w:pStyle w:val="TableParagraph"/>
              <w:spacing w:before="34"/>
              <w:ind w:left="134"/>
              <w:rPr>
                <w:sz w:val="14"/>
              </w:rPr>
            </w:pPr>
            <w:r>
              <w:rPr>
                <w:sz w:val="14"/>
              </w:rPr>
              <w:t>Encargos Financeiros Pagos</w:t>
            </w:r>
          </w:p>
        </w:tc>
        <w:tc>
          <w:tcPr>
            <w:tcW w:w="2338" w:type="dxa"/>
          </w:tcPr>
          <w:p>
            <w:pPr>
              <w:pStyle w:val="TableParagraph"/>
              <w:spacing w:before="34"/>
              <w:ind w:right="61"/>
              <w:jc w:val="right"/>
              <w:rPr>
                <w:sz w:val="14"/>
              </w:rPr>
            </w:pPr>
            <w:r>
              <w:rPr>
                <w:sz w:val="14"/>
              </w:rPr>
              <w:t>(511)</w:t>
            </w:r>
          </w:p>
        </w:tc>
        <w:tc>
          <w:tcPr>
            <w:tcW w:w="2339" w:type="dxa"/>
          </w:tcPr>
          <w:p>
            <w:pPr>
              <w:pStyle w:val="TableParagraph"/>
              <w:spacing w:before="34"/>
              <w:ind w:right="63"/>
              <w:jc w:val="right"/>
              <w:rPr>
                <w:sz w:val="14"/>
              </w:rPr>
            </w:pPr>
            <w:r>
              <w:rPr>
                <w:sz w:val="14"/>
              </w:rPr>
              <w:t>(21.919)</w:t>
            </w:r>
          </w:p>
        </w:tc>
      </w:tr>
      <w:tr>
        <w:trPr>
          <w:trHeight w:val="227" w:hRule="atLeast"/>
        </w:trPr>
        <w:tc>
          <w:tcPr>
            <w:tcW w:w="5241" w:type="dxa"/>
          </w:tcPr>
          <w:p>
            <w:pPr>
              <w:pStyle w:val="TableParagraph"/>
              <w:spacing w:before="31"/>
              <w:ind w:left="134"/>
              <w:rPr>
                <w:sz w:val="14"/>
              </w:rPr>
            </w:pPr>
            <w:r>
              <w:rPr>
                <w:sz w:val="14"/>
              </w:rPr>
              <w:t>Amortizações de Principal</w:t>
            </w:r>
          </w:p>
        </w:tc>
        <w:tc>
          <w:tcPr>
            <w:tcW w:w="2338" w:type="dxa"/>
          </w:tcPr>
          <w:p>
            <w:pPr>
              <w:pStyle w:val="TableParagraph"/>
              <w:spacing w:before="31"/>
              <w:ind w:right="60"/>
              <w:jc w:val="right"/>
              <w:rPr>
                <w:sz w:val="14"/>
              </w:rPr>
            </w:pPr>
            <w:r>
              <w:rPr>
                <w:sz w:val="14"/>
              </w:rPr>
              <w:t>(10.627)</w:t>
            </w:r>
          </w:p>
        </w:tc>
        <w:tc>
          <w:tcPr>
            <w:tcW w:w="2339" w:type="dxa"/>
          </w:tcPr>
          <w:p>
            <w:pPr>
              <w:pStyle w:val="TableParagraph"/>
              <w:spacing w:before="31"/>
              <w:ind w:right="63"/>
              <w:jc w:val="right"/>
              <w:rPr>
                <w:sz w:val="14"/>
              </w:rPr>
            </w:pPr>
            <w:r>
              <w:rPr>
                <w:sz w:val="14"/>
              </w:rPr>
              <w:t>(112.159)</w:t>
            </w:r>
          </w:p>
        </w:tc>
      </w:tr>
      <w:tr>
        <w:trPr>
          <w:trHeight w:val="227" w:hRule="atLeast"/>
        </w:trPr>
        <w:tc>
          <w:tcPr>
            <w:tcW w:w="5241" w:type="dxa"/>
          </w:tcPr>
          <w:p>
            <w:pPr>
              <w:pStyle w:val="TableParagraph"/>
              <w:spacing w:before="30"/>
              <w:ind w:left="134"/>
              <w:rPr>
                <w:rFonts w:ascii="Caladea"/>
                <w:b/>
                <w:sz w:val="14"/>
              </w:rPr>
            </w:pPr>
            <w:r>
              <w:rPr>
                <w:rFonts w:ascii="Caladea"/>
                <w:b/>
                <w:sz w:val="14"/>
              </w:rPr>
              <w:t>Saldo em 31 de dezembro de 2019</w:t>
            </w:r>
          </w:p>
        </w:tc>
        <w:tc>
          <w:tcPr>
            <w:tcW w:w="2338" w:type="dxa"/>
          </w:tcPr>
          <w:p>
            <w:pPr>
              <w:pStyle w:val="TableParagraph"/>
              <w:spacing w:before="30"/>
              <w:ind w:right="60"/>
              <w:jc w:val="right"/>
              <w:rPr>
                <w:rFonts w:ascii="Caladea"/>
                <w:b/>
                <w:sz w:val="14"/>
              </w:rPr>
            </w:pPr>
            <w:r>
              <w:rPr>
                <w:rFonts w:ascii="Caladea"/>
                <w:b/>
                <w:w w:val="95"/>
                <w:sz w:val="14"/>
              </w:rPr>
              <w:t>115.633</w:t>
            </w:r>
          </w:p>
        </w:tc>
        <w:tc>
          <w:tcPr>
            <w:tcW w:w="2339" w:type="dxa"/>
          </w:tcPr>
          <w:p>
            <w:pPr>
              <w:pStyle w:val="TableParagraph"/>
              <w:spacing w:before="30"/>
              <w:ind w:right="64"/>
              <w:jc w:val="right"/>
              <w:rPr>
                <w:rFonts w:ascii="Caladea"/>
                <w:b/>
                <w:sz w:val="14"/>
              </w:rPr>
            </w:pPr>
            <w:r>
              <w:rPr>
                <w:rFonts w:ascii="Caladea"/>
                <w:b/>
                <w:w w:val="95"/>
                <w:sz w:val="14"/>
              </w:rPr>
              <w:t>288.365</w:t>
            </w:r>
          </w:p>
        </w:tc>
      </w:tr>
    </w:tbl>
    <w:p>
      <w:pPr>
        <w:pStyle w:val="BodyText"/>
        <w:spacing w:before="7"/>
        <w:rPr>
          <w:rFonts w:ascii="Caladea"/>
          <w:b/>
        </w:rPr>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Times New Roman"/>
          <w:b/>
          <w:i/>
          <w:sz w:val="18"/>
        </w:rPr>
      </w:pPr>
      <w:r>
        <w:rPr>
          <w:rFonts w:ascii="Times New Roman"/>
          <w:b/>
          <w:i/>
          <w:sz w:val="22"/>
        </w:rPr>
        <w:t>C</w:t>
      </w:r>
      <w:r>
        <w:rPr>
          <w:rFonts w:ascii="Times New Roman"/>
          <w:b/>
          <w:i/>
          <w:sz w:val="18"/>
        </w:rPr>
        <w:t>OVENANTS</w:t>
      </w:r>
    </w:p>
    <w:p>
      <w:pPr>
        <w:pStyle w:val="BodyText"/>
        <w:spacing w:before="4"/>
        <w:rPr>
          <w:rFonts w:ascii="Times New Roman"/>
          <w:b/>
          <w:i/>
          <w:sz w:val="24"/>
        </w:rPr>
      </w:pPr>
    </w:p>
    <w:p>
      <w:pPr>
        <w:pStyle w:val="BodyText"/>
        <w:spacing w:line="242" w:lineRule="auto"/>
        <w:ind w:left="172" w:right="416"/>
        <w:jc w:val="both"/>
      </w:pPr>
      <w:r>
        <w:rPr>
          <w:w w:val="95"/>
        </w:rPr>
        <w:t>Os</w:t>
      </w:r>
      <w:r>
        <w:rPr>
          <w:spacing w:val="-16"/>
          <w:w w:val="95"/>
        </w:rPr>
        <w:t> </w:t>
      </w:r>
      <w:r>
        <w:rPr>
          <w:w w:val="95"/>
        </w:rPr>
        <w:t>contratos</w:t>
      </w:r>
      <w:r>
        <w:rPr>
          <w:spacing w:val="-15"/>
          <w:w w:val="95"/>
        </w:rPr>
        <w:t> </w:t>
      </w:r>
      <w:r>
        <w:rPr>
          <w:w w:val="95"/>
        </w:rPr>
        <w:t>de</w:t>
      </w:r>
      <w:r>
        <w:rPr>
          <w:spacing w:val="-14"/>
          <w:w w:val="95"/>
        </w:rPr>
        <w:t> </w:t>
      </w:r>
      <w:r>
        <w:rPr>
          <w:w w:val="95"/>
        </w:rPr>
        <w:t>empréstimos</w:t>
      </w:r>
      <w:r>
        <w:rPr>
          <w:spacing w:val="-15"/>
          <w:w w:val="95"/>
        </w:rPr>
        <w:t> </w:t>
      </w:r>
      <w:r>
        <w:rPr>
          <w:w w:val="95"/>
        </w:rPr>
        <w:t>e</w:t>
      </w:r>
      <w:r>
        <w:rPr>
          <w:spacing w:val="-16"/>
          <w:w w:val="95"/>
        </w:rPr>
        <w:t> </w:t>
      </w:r>
      <w:r>
        <w:rPr>
          <w:w w:val="95"/>
        </w:rPr>
        <w:t>financiamentos</w:t>
      </w:r>
      <w:r>
        <w:rPr>
          <w:spacing w:val="-15"/>
          <w:w w:val="95"/>
        </w:rPr>
        <w:t> </w:t>
      </w:r>
      <w:r>
        <w:rPr>
          <w:w w:val="95"/>
        </w:rPr>
        <w:t>da</w:t>
      </w:r>
      <w:r>
        <w:rPr>
          <w:spacing w:val="-14"/>
          <w:w w:val="95"/>
        </w:rPr>
        <w:t> </w:t>
      </w:r>
      <w:r>
        <w:rPr>
          <w:w w:val="95"/>
        </w:rPr>
        <w:t>Companhia,</w:t>
      </w:r>
      <w:r>
        <w:rPr>
          <w:spacing w:val="-15"/>
          <w:w w:val="95"/>
        </w:rPr>
        <w:t> </w:t>
      </w:r>
      <w:r>
        <w:rPr>
          <w:w w:val="95"/>
        </w:rPr>
        <w:t>com</w:t>
      </w:r>
      <w:r>
        <w:rPr>
          <w:spacing w:val="-13"/>
          <w:w w:val="95"/>
        </w:rPr>
        <w:t> </w:t>
      </w:r>
      <w:r>
        <w:rPr>
          <w:w w:val="95"/>
        </w:rPr>
        <w:t>exceção</w:t>
      </w:r>
      <w:r>
        <w:rPr>
          <w:spacing w:val="-15"/>
          <w:w w:val="95"/>
        </w:rPr>
        <w:t> </w:t>
      </w:r>
      <w:r>
        <w:rPr>
          <w:w w:val="95"/>
        </w:rPr>
        <w:t>do</w:t>
      </w:r>
      <w:r>
        <w:rPr>
          <w:spacing w:val="-15"/>
          <w:w w:val="95"/>
        </w:rPr>
        <w:t> </w:t>
      </w:r>
      <w:r>
        <w:rPr>
          <w:w w:val="95"/>
        </w:rPr>
        <w:t>financiamento</w:t>
      </w:r>
      <w:r>
        <w:rPr>
          <w:spacing w:val="-15"/>
          <w:w w:val="95"/>
        </w:rPr>
        <w:t> </w:t>
      </w:r>
      <w:r>
        <w:rPr>
          <w:w w:val="95"/>
        </w:rPr>
        <w:t>da</w:t>
      </w:r>
      <w:r>
        <w:rPr>
          <w:spacing w:val="-14"/>
          <w:w w:val="95"/>
        </w:rPr>
        <w:t> </w:t>
      </w:r>
      <w:r>
        <w:rPr>
          <w:w w:val="95"/>
        </w:rPr>
        <w:t>Eletrobrás,</w:t>
      </w:r>
      <w:r>
        <w:rPr>
          <w:spacing w:val="-15"/>
          <w:w w:val="95"/>
        </w:rPr>
        <w:t> </w:t>
      </w:r>
      <w:r>
        <w:rPr>
          <w:w w:val="95"/>
        </w:rPr>
        <w:t>possuem </w:t>
      </w:r>
      <w:r>
        <w:rPr/>
        <w:t>cláusulas</w:t>
      </w:r>
      <w:r>
        <w:rPr>
          <w:spacing w:val="-24"/>
        </w:rPr>
        <w:t> </w:t>
      </w:r>
      <w:r>
        <w:rPr/>
        <w:t>restritivas,</w:t>
      </w:r>
      <w:r>
        <w:rPr>
          <w:spacing w:val="-23"/>
        </w:rPr>
        <w:t> </w:t>
      </w:r>
      <w:r>
        <w:rPr/>
        <w:t>financeiras</w:t>
      </w:r>
      <w:r>
        <w:rPr>
          <w:spacing w:val="-23"/>
        </w:rPr>
        <w:t> </w:t>
      </w:r>
      <w:r>
        <w:rPr/>
        <w:t>e</w:t>
      </w:r>
      <w:r>
        <w:rPr>
          <w:spacing w:val="-23"/>
        </w:rPr>
        <w:t> </w:t>
      </w:r>
      <w:r>
        <w:rPr/>
        <w:t>não</w:t>
      </w:r>
      <w:r>
        <w:rPr>
          <w:spacing w:val="-24"/>
        </w:rPr>
        <w:t> </w:t>
      </w:r>
      <w:r>
        <w:rPr/>
        <w:t>financeiras</w:t>
      </w:r>
      <w:r>
        <w:rPr>
          <w:spacing w:val="-23"/>
        </w:rPr>
        <w:t> </w:t>
      </w:r>
      <w:r>
        <w:rPr/>
        <w:t>de</w:t>
      </w:r>
      <w:r>
        <w:rPr>
          <w:spacing w:val="-24"/>
        </w:rPr>
        <w:t> </w:t>
      </w:r>
      <w:r>
        <w:rPr/>
        <w:t>vencimento</w:t>
      </w:r>
      <w:r>
        <w:rPr>
          <w:spacing w:val="-23"/>
        </w:rPr>
        <w:t> </w:t>
      </w:r>
      <w:r>
        <w:rPr/>
        <w:t>antecipado</w:t>
      </w:r>
      <w:r>
        <w:rPr>
          <w:spacing w:val="-23"/>
        </w:rPr>
        <w:t> </w:t>
      </w:r>
      <w:r>
        <w:rPr/>
        <w:t>e</w:t>
      </w:r>
      <w:r>
        <w:rPr>
          <w:spacing w:val="-23"/>
        </w:rPr>
        <w:t> </w:t>
      </w:r>
      <w:r>
        <w:rPr/>
        <w:t>execução</w:t>
      </w:r>
      <w:r>
        <w:rPr>
          <w:spacing w:val="-23"/>
        </w:rPr>
        <w:t> </w:t>
      </w:r>
      <w:r>
        <w:rPr/>
        <w:t>de</w:t>
      </w:r>
      <w:r>
        <w:rPr>
          <w:spacing w:val="-24"/>
        </w:rPr>
        <w:t> </w:t>
      </w:r>
      <w:r>
        <w:rPr/>
        <w:t>garantias,</w:t>
      </w:r>
      <w:r>
        <w:rPr>
          <w:spacing w:val="-24"/>
        </w:rPr>
        <w:t> </w:t>
      </w:r>
      <w:r>
        <w:rPr/>
        <w:t>tais</w:t>
      </w:r>
      <w:r>
        <w:rPr>
          <w:spacing w:val="-23"/>
        </w:rPr>
        <w:t> </w:t>
      </w:r>
      <w:r>
        <w:rPr/>
        <w:t>como: </w:t>
      </w:r>
      <w:r>
        <w:rPr>
          <w:w w:val="95"/>
        </w:rPr>
        <w:t>inadimplemento;</w:t>
      </w:r>
      <w:r>
        <w:rPr>
          <w:spacing w:val="-23"/>
          <w:w w:val="95"/>
        </w:rPr>
        <w:t> </w:t>
      </w:r>
      <w:r>
        <w:rPr>
          <w:w w:val="95"/>
        </w:rPr>
        <w:t>pedido</w:t>
      </w:r>
      <w:r>
        <w:rPr>
          <w:spacing w:val="-24"/>
          <w:w w:val="95"/>
        </w:rPr>
        <w:t> </w:t>
      </w:r>
      <w:r>
        <w:rPr>
          <w:w w:val="95"/>
        </w:rPr>
        <w:t>ou</w:t>
      </w:r>
      <w:r>
        <w:rPr>
          <w:spacing w:val="-21"/>
          <w:w w:val="95"/>
        </w:rPr>
        <w:t> </w:t>
      </w:r>
      <w:r>
        <w:rPr>
          <w:w w:val="95"/>
        </w:rPr>
        <w:t>decretação</w:t>
      </w:r>
      <w:r>
        <w:rPr>
          <w:spacing w:val="-24"/>
          <w:w w:val="95"/>
        </w:rPr>
        <w:t> </w:t>
      </w:r>
      <w:r>
        <w:rPr>
          <w:w w:val="95"/>
        </w:rPr>
        <w:t>de</w:t>
      </w:r>
      <w:r>
        <w:rPr>
          <w:spacing w:val="-22"/>
          <w:w w:val="95"/>
        </w:rPr>
        <w:t> </w:t>
      </w:r>
      <w:r>
        <w:rPr>
          <w:w w:val="95"/>
        </w:rPr>
        <w:t>falência;</w:t>
      </w:r>
      <w:r>
        <w:rPr>
          <w:spacing w:val="-23"/>
          <w:w w:val="95"/>
        </w:rPr>
        <w:t> </w:t>
      </w:r>
      <w:r>
        <w:rPr>
          <w:w w:val="95"/>
        </w:rPr>
        <w:t>protesto</w:t>
      </w:r>
      <w:r>
        <w:rPr>
          <w:spacing w:val="-24"/>
          <w:w w:val="95"/>
        </w:rPr>
        <w:t> </w:t>
      </w:r>
      <w:r>
        <w:rPr>
          <w:w w:val="95"/>
        </w:rPr>
        <w:t>de</w:t>
      </w:r>
      <w:r>
        <w:rPr>
          <w:spacing w:val="-24"/>
          <w:w w:val="95"/>
        </w:rPr>
        <w:t> </w:t>
      </w:r>
      <w:r>
        <w:rPr>
          <w:w w:val="95"/>
        </w:rPr>
        <w:t>títulos;</w:t>
      </w:r>
      <w:r>
        <w:rPr>
          <w:spacing w:val="-23"/>
          <w:w w:val="95"/>
        </w:rPr>
        <w:t> </w:t>
      </w:r>
      <w:r>
        <w:rPr>
          <w:w w:val="95"/>
        </w:rPr>
        <w:t>liquidação</w:t>
      </w:r>
      <w:r>
        <w:rPr>
          <w:spacing w:val="-24"/>
          <w:w w:val="95"/>
        </w:rPr>
        <w:t> </w:t>
      </w:r>
      <w:r>
        <w:rPr>
          <w:w w:val="95"/>
        </w:rPr>
        <w:t>extrajudicial;</w:t>
      </w:r>
      <w:r>
        <w:rPr>
          <w:spacing w:val="-22"/>
          <w:w w:val="95"/>
        </w:rPr>
        <w:t> </w:t>
      </w:r>
      <w:r>
        <w:rPr>
          <w:w w:val="95"/>
        </w:rPr>
        <w:t>e</w:t>
      </w:r>
      <w:r>
        <w:rPr>
          <w:spacing w:val="-25"/>
          <w:w w:val="95"/>
        </w:rPr>
        <w:t> </w:t>
      </w:r>
      <w:r>
        <w:rPr>
          <w:w w:val="95"/>
        </w:rPr>
        <w:t>alteração</w:t>
      </w:r>
      <w:r>
        <w:rPr>
          <w:spacing w:val="-23"/>
          <w:w w:val="95"/>
        </w:rPr>
        <w:t> </w:t>
      </w:r>
      <w:r>
        <w:rPr>
          <w:w w:val="95"/>
        </w:rPr>
        <w:t>do</w:t>
      </w:r>
      <w:r>
        <w:rPr>
          <w:spacing w:val="-22"/>
          <w:w w:val="95"/>
        </w:rPr>
        <w:t> </w:t>
      </w:r>
      <w:r>
        <w:rPr>
          <w:w w:val="95"/>
        </w:rPr>
        <w:t>objeto </w:t>
      </w:r>
      <w:r>
        <w:rPr/>
        <w:t>social</w:t>
      </w:r>
      <w:r>
        <w:rPr>
          <w:spacing w:val="-19"/>
        </w:rPr>
        <w:t> </w:t>
      </w:r>
      <w:r>
        <w:rPr/>
        <w:t>e/ou</w:t>
      </w:r>
      <w:r>
        <w:rPr>
          <w:spacing w:val="-18"/>
        </w:rPr>
        <w:t> </w:t>
      </w:r>
      <w:r>
        <w:rPr/>
        <w:t>composição</w:t>
      </w:r>
      <w:r>
        <w:rPr>
          <w:spacing w:val="-19"/>
        </w:rPr>
        <w:t> </w:t>
      </w:r>
      <w:r>
        <w:rPr/>
        <w:t>do</w:t>
      </w:r>
      <w:r>
        <w:rPr>
          <w:spacing w:val="-19"/>
        </w:rPr>
        <w:t> </w:t>
      </w:r>
      <w:r>
        <w:rPr/>
        <w:t>seu</w:t>
      </w:r>
      <w:r>
        <w:rPr>
          <w:spacing w:val="-19"/>
        </w:rPr>
        <w:t> </w:t>
      </w:r>
      <w:r>
        <w:rPr/>
        <w:t>capital</w:t>
      </w:r>
      <w:r>
        <w:rPr>
          <w:spacing w:val="-15"/>
        </w:rPr>
        <w:t> </w:t>
      </w:r>
      <w:r>
        <w:rPr/>
        <w:t>social.</w:t>
      </w:r>
    </w:p>
    <w:p>
      <w:pPr>
        <w:pStyle w:val="BodyText"/>
        <w:spacing w:before="8"/>
      </w:pPr>
    </w:p>
    <w:p>
      <w:pPr>
        <w:pStyle w:val="BodyText"/>
        <w:ind w:left="172"/>
        <w:jc w:val="both"/>
      </w:pPr>
      <w:r>
        <w:rPr/>
        <w:t>Abaixo temos a discriminação das garantias cedidas por contrato:</w:t>
      </w:r>
    </w:p>
    <w:p>
      <w:pPr>
        <w:pStyle w:val="BodyText"/>
        <w:spacing w:before="6"/>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59"/>
        <w:gridCol w:w="7158"/>
      </w:tblGrid>
      <w:tr>
        <w:trPr>
          <w:trHeight w:val="186" w:hRule="atLeast"/>
        </w:trPr>
        <w:tc>
          <w:tcPr>
            <w:tcW w:w="2759" w:type="dxa"/>
            <w:shd w:val="clear" w:color="auto" w:fill="D9D9D9"/>
          </w:tcPr>
          <w:p>
            <w:pPr>
              <w:pStyle w:val="TableParagraph"/>
              <w:spacing w:line="167" w:lineRule="exact"/>
              <w:ind w:left="462" w:right="452"/>
              <w:jc w:val="center"/>
              <w:rPr>
                <w:rFonts w:ascii="Caladea" w:hAnsi="Caladea"/>
                <w:b/>
                <w:sz w:val="16"/>
              </w:rPr>
            </w:pPr>
            <w:r>
              <w:rPr>
                <w:rFonts w:ascii="Caladea" w:hAnsi="Caladea"/>
                <w:b/>
                <w:sz w:val="16"/>
              </w:rPr>
              <w:t>Instituições</w:t>
            </w:r>
          </w:p>
        </w:tc>
        <w:tc>
          <w:tcPr>
            <w:tcW w:w="7158" w:type="dxa"/>
            <w:shd w:val="clear" w:color="auto" w:fill="D9D9D9"/>
          </w:tcPr>
          <w:p>
            <w:pPr>
              <w:pStyle w:val="TableParagraph"/>
              <w:spacing w:line="167" w:lineRule="exact"/>
              <w:ind w:left="57" w:right="46"/>
              <w:jc w:val="center"/>
              <w:rPr>
                <w:rFonts w:ascii="Caladea"/>
                <w:b/>
                <w:sz w:val="16"/>
              </w:rPr>
            </w:pPr>
            <w:r>
              <w:rPr>
                <w:rFonts w:ascii="Caladea"/>
                <w:b/>
                <w:sz w:val="16"/>
              </w:rPr>
              <w:t>Garantias</w:t>
            </w:r>
          </w:p>
        </w:tc>
      </w:tr>
      <w:tr>
        <w:trPr>
          <w:trHeight w:val="189" w:hRule="atLeast"/>
        </w:trPr>
        <w:tc>
          <w:tcPr>
            <w:tcW w:w="2759" w:type="dxa"/>
          </w:tcPr>
          <w:p>
            <w:pPr>
              <w:pStyle w:val="TableParagraph"/>
              <w:spacing w:line="166" w:lineRule="exact" w:before="3"/>
              <w:ind w:left="464" w:right="449"/>
              <w:jc w:val="center"/>
              <w:rPr>
                <w:sz w:val="16"/>
              </w:rPr>
            </w:pPr>
            <w:r>
              <w:rPr>
                <w:sz w:val="16"/>
              </w:rPr>
              <w:t>Banco do Brasil</w:t>
            </w:r>
          </w:p>
        </w:tc>
        <w:tc>
          <w:tcPr>
            <w:tcW w:w="7158" w:type="dxa"/>
          </w:tcPr>
          <w:p>
            <w:pPr>
              <w:pStyle w:val="TableParagraph"/>
              <w:spacing w:line="166" w:lineRule="exact" w:before="3"/>
              <w:ind w:left="57" w:right="46"/>
              <w:jc w:val="center"/>
              <w:rPr>
                <w:sz w:val="16"/>
              </w:rPr>
            </w:pPr>
            <w:r>
              <w:rPr>
                <w:w w:val="105"/>
                <w:sz w:val="16"/>
              </w:rPr>
              <w:t>Duplicatas - 100% Recebíveis</w:t>
            </w:r>
          </w:p>
        </w:tc>
      </w:tr>
      <w:tr>
        <w:trPr>
          <w:trHeight w:val="187" w:hRule="atLeast"/>
        </w:trPr>
        <w:tc>
          <w:tcPr>
            <w:tcW w:w="2759" w:type="dxa"/>
          </w:tcPr>
          <w:p>
            <w:pPr>
              <w:pStyle w:val="TableParagraph"/>
              <w:spacing w:line="166" w:lineRule="exact" w:before="1"/>
              <w:ind w:left="464" w:right="449"/>
              <w:jc w:val="center"/>
              <w:rPr>
                <w:sz w:val="16"/>
              </w:rPr>
            </w:pPr>
            <w:r>
              <w:rPr>
                <w:sz w:val="16"/>
              </w:rPr>
              <w:t>Banco do Brasil</w:t>
            </w:r>
          </w:p>
        </w:tc>
        <w:tc>
          <w:tcPr>
            <w:tcW w:w="7158" w:type="dxa"/>
          </w:tcPr>
          <w:p>
            <w:pPr>
              <w:pStyle w:val="TableParagraph"/>
              <w:spacing w:line="166" w:lineRule="exact" w:before="1"/>
              <w:ind w:left="57" w:right="46"/>
              <w:jc w:val="center"/>
              <w:rPr>
                <w:sz w:val="16"/>
              </w:rPr>
            </w:pPr>
            <w:r>
              <w:rPr>
                <w:w w:val="105"/>
                <w:sz w:val="16"/>
              </w:rPr>
              <w:t>Duplicatas - 100% Recebíveis</w:t>
            </w:r>
          </w:p>
        </w:tc>
      </w:tr>
      <w:tr>
        <w:trPr>
          <w:trHeight w:val="186" w:hRule="atLeast"/>
        </w:trPr>
        <w:tc>
          <w:tcPr>
            <w:tcW w:w="2759" w:type="dxa"/>
          </w:tcPr>
          <w:p>
            <w:pPr>
              <w:pStyle w:val="TableParagraph"/>
              <w:spacing w:line="166" w:lineRule="exact"/>
              <w:ind w:left="464" w:right="449"/>
              <w:jc w:val="center"/>
              <w:rPr>
                <w:sz w:val="16"/>
              </w:rPr>
            </w:pPr>
            <w:r>
              <w:rPr>
                <w:sz w:val="16"/>
              </w:rPr>
              <w:t>Banco do Brasil</w:t>
            </w:r>
          </w:p>
        </w:tc>
        <w:tc>
          <w:tcPr>
            <w:tcW w:w="7158" w:type="dxa"/>
          </w:tcPr>
          <w:p>
            <w:pPr>
              <w:pStyle w:val="TableParagraph"/>
              <w:spacing w:line="166" w:lineRule="exact"/>
              <w:ind w:left="57" w:right="46"/>
              <w:jc w:val="center"/>
              <w:rPr>
                <w:sz w:val="16"/>
              </w:rPr>
            </w:pPr>
            <w:r>
              <w:rPr>
                <w:w w:val="105"/>
                <w:sz w:val="16"/>
              </w:rPr>
              <w:t>Duplicatas - 100% Recebíveis</w:t>
            </w:r>
          </w:p>
        </w:tc>
      </w:tr>
      <w:tr>
        <w:trPr>
          <w:trHeight w:val="189" w:hRule="atLeast"/>
        </w:trPr>
        <w:tc>
          <w:tcPr>
            <w:tcW w:w="2759" w:type="dxa"/>
          </w:tcPr>
          <w:p>
            <w:pPr>
              <w:pStyle w:val="TableParagraph"/>
              <w:spacing w:line="166" w:lineRule="exact" w:before="3"/>
              <w:ind w:left="464" w:right="449"/>
              <w:jc w:val="center"/>
              <w:rPr>
                <w:sz w:val="16"/>
              </w:rPr>
            </w:pPr>
            <w:r>
              <w:rPr>
                <w:sz w:val="16"/>
              </w:rPr>
              <w:t>Banco do Brasil</w:t>
            </w:r>
          </w:p>
        </w:tc>
        <w:tc>
          <w:tcPr>
            <w:tcW w:w="7158" w:type="dxa"/>
          </w:tcPr>
          <w:p>
            <w:pPr>
              <w:pStyle w:val="TableParagraph"/>
              <w:spacing w:line="166" w:lineRule="exact" w:before="3"/>
              <w:ind w:left="57" w:right="46"/>
              <w:jc w:val="center"/>
              <w:rPr>
                <w:sz w:val="16"/>
              </w:rPr>
            </w:pPr>
            <w:r>
              <w:rPr>
                <w:w w:val="105"/>
                <w:sz w:val="16"/>
              </w:rPr>
              <w:t>Duplicatas - 100% Recebíveis</w:t>
            </w:r>
          </w:p>
        </w:tc>
      </w:tr>
      <w:tr>
        <w:trPr>
          <w:trHeight w:val="186" w:hRule="atLeast"/>
        </w:trPr>
        <w:tc>
          <w:tcPr>
            <w:tcW w:w="2759" w:type="dxa"/>
          </w:tcPr>
          <w:p>
            <w:pPr>
              <w:pStyle w:val="TableParagraph"/>
              <w:spacing w:line="166" w:lineRule="exact"/>
              <w:ind w:left="464" w:right="449"/>
              <w:jc w:val="center"/>
              <w:rPr>
                <w:sz w:val="16"/>
              </w:rPr>
            </w:pPr>
            <w:r>
              <w:rPr>
                <w:sz w:val="16"/>
              </w:rPr>
              <w:t>Banco do Brasil</w:t>
            </w:r>
          </w:p>
        </w:tc>
        <w:tc>
          <w:tcPr>
            <w:tcW w:w="7158" w:type="dxa"/>
          </w:tcPr>
          <w:p>
            <w:pPr>
              <w:pStyle w:val="TableParagraph"/>
              <w:spacing w:line="166" w:lineRule="exact"/>
              <w:ind w:left="57" w:right="46"/>
              <w:jc w:val="center"/>
              <w:rPr>
                <w:sz w:val="16"/>
              </w:rPr>
            </w:pPr>
            <w:r>
              <w:rPr>
                <w:w w:val="105"/>
                <w:sz w:val="16"/>
              </w:rPr>
              <w:t>Duplicatas - 100% Recebíveis</w:t>
            </w:r>
          </w:p>
        </w:tc>
      </w:tr>
      <w:tr>
        <w:trPr>
          <w:trHeight w:val="186" w:hRule="atLeast"/>
        </w:trPr>
        <w:tc>
          <w:tcPr>
            <w:tcW w:w="2759" w:type="dxa"/>
          </w:tcPr>
          <w:p>
            <w:pPr>
              <w:pStyle w:val="TableParagraph"/>
              <w:spacing w:line="166" w:lineRule="exact"/>
              <w:ind w:left="464" w:right="452"/>
              <w:jc w:val="center"/>
              <w:rPr>
                <w:sz w:val="16"/>
              </w:rPr>
            </w:pPr>
            <w:r>
              <w:rPr>
                <w:sz w:val="16"/>
              </w:rPr>
              <w:t>Caixa Econômica Federal</w:t>
            </w:r>
          </w:p>
        </w:tc>
        <w:tc>
          <w:tcPr>
            <w:tcW w:w="7158" w:type="dxa"/>
          </w:tcPr>
          <w:p>
            <w:pPr>
              <w:pStyle w:val="TableParagraph"/>
              <w:spacing w:line="166" w:lineRule="exact"/>
              <w:ind w:left="57" w:right="49"/>
              <w:jc w:val="center"/>
              <w:rPr>
                <w:sz w:val="16"/>
              </w:rPr>
            </w:pPr>
            <w:r>
              <w:rPr>
                <w:sz w:val="16"/>
              </w:rPr>
              <w:t>GDF (ICMS) - CEB Cessão Fiduciária de Receitas</w:t>
            </w:r>
          </w:p>
        </w:tc>
      </w:tr>
      <w:tr>
        <w:trPr>
          <w:trHeight w:val="189" w:hRule="atLeast"/>
        </w:trPr>
        <w:tc>
          <w:tcPr>
            <w:tcW w:w="2759" w:type="dxa"/>
          </w:tcPr>
          <w:p>
            <w:pPr>
              <w:pStyle w:val="TableParagraph"/>
              <w:spacing w:line="166" w:lineRule="exact" w:before="3"/>
              <w:ind w:left="464" w:right="452"/>
              <w:jc w:val="center"/>
              <w:rPr>
                <w:sz w:val="16"/>
              </w:rPr>
            </w:pPr>
            <w:r>
              <w:rPr>
                <w:sz w:val="16"/>
              </w:rPr>
              <w:t>Caixa Econômica Federal</w:t>
            </w:r>
          </w:p>
        </w:tc>
        <w:tc>
          <w:tcPr>
            <w:tcW w:w="7158" w:type="dxa"/>
          </w:tcPr>
          <w:p>
            <w:pPr>
              <w:pStyle w:val="TableParagraph"/>
              <w:spacing w:line="166" w:lineRule="exact" w:before="3"/>
              <w:ind w:left="57" w:right="46"/>
              <w:jc w:val="center"/>
              <w:rPr>
                <w:sz w:val="16"/>
              </w:rPr>
            </w:pPr>
            <w:r>
              <w:rPr>
                <w:w w:val="105"/>
                <w:sz w:val="16"/>
              </w:rPr>
              <w:t>Duplicatas - 100% Recebíveis</w:t>
            </w:r>
          </w:p>
        </w:tc>
      </w:tr>
      <w:tr>
        <w:trPr>
          <w:trHeight w:val="186" w:hRule="atLeast"/>
        </w:trPr>
        <w:tc>
          <w:tcPr>
            <w:tcW w:w="2759" w:type="dxa"/>
          </w:tcPr>
          <w:p>
            <w:pPr>
              <w:pStyle w:val="TableParagraph"/>
              <w:spacing w:line="166" w:lineRule="exact"/>
              <w:ind w:left="464" w:right="450"/>
              <w:jc w:val="center"/>
              <w:rPr>
                <w:sz w:val="16"/>
              </w:rPr>
            </w:pPr>
            <w:r>
              <w:rPr>
                <w:sz w:val="16"/>
              </w:rPr>
              <w:t>BCV</w:t>
            </w:r>
          </w:p>
        </w:tc>
        <w:tc>
          <w:tcPr>
            <w:tcW w:w="7158" w:type="dxa"/>
          </w:tcPr>
          <w:p>
            <w:pPr>
              <w:pStyle w:val="TableParagraph"/>
              <w:spacing w:line="166" w:lineRule="exact"/>
              <w:ind w:left="57" w:right="46"/>
              <w:jc w:val="center"/>
              <w:rPr>
                <w:sz w:val="16"/>
              </w:rPr>
            </w:pPr>
            <w:r>
              <w:rPr>
                <w:w w:val="105"/>
                <w:sz w:val="16"/>
              </w:rPr>
              <w:t>Duplicatas - 150% Recebíveis</w:t>
            </w:r>
          </w:p>
        </w:tc>
      </w:tr>
      <w:tr>
        <w:trPr>
          <w:trHeight w:val="186" w:hRule="atLeast"/>
        </w:trPr>
        <w:tc>
          <w:tcPr>
            <w:tcW w:w="2759" w:type="dxa"/>
          </w:tcPr>
          <w:p>
            <w:pPr>
              <w:pStyle w:val="TableParagraph"/>
              <w:spacing w:line="166" w:lineRule="exact"/>
              <w:ind w:left="464" w:right="449"/>
              <w:jc w:val="center"/>
              <w:rPr>
                <w:sz w:val="16"/>
              </w:rPr>
            </w:pPr>
            <w:r>
              <w:rPr>
                <w:w w:val="105"/>
                <w:sz w:val="16"/>
              </w:rPr>
              <w:t>FIBRA</w:t>
            </w:r>
          </w:p>
        </w:tc>
        <w:tc>
          <w:tcPr>
            <w:tcW w:w="7158" w:type="dxa"/>
          </w:tcPr>
          <w:p>
            <w:pPr>
              <w:pStyle w:val="TableParagraph"/>
              <w:spacing w:line="166" w:lineRule="exact"/>
              <w:ind w:left="57" w:right="48"/>
              <w:jc w:val="center"/>
              <w:rPr>
                <w:sz w:val="16"/>
              </w:rPr>
            </w:pPr>
            <w:r>
              <w:rPr>
                <w:sz w:val="16"/>
              </w:rPr>
              <w:t>Cessão Fiduciária de Receita</w:t>
            </w:r>
          </w:p>
        </w:tc>
      </w:tr>
      <w:tr>
        <w:trPr>
          <w:trHeight w:val="189" w:hRule="atLeast"/>
        </w:trPr>
        <w:tc>
          <w:tcPr>
            <w:tcW w:w="2759" w:type="dxa"/>
          </w:tcPr>
          <w:p>
            <w:pPr>
              <w:pStyle w:val="TableParagraph"/>
              <w:spacing w:line="166" w:lineRule="exact" w:before="3"/>
              <w:ind w:left="464" w:right="449"/>
              <w:jc w:val="center"/>
              <w:rPr>
                <w:sz w:val="16"/>
              </w:rPr>
            </w:pPr>
            <w:r>
              <w:rPr>
                <w:w w:val="105"/>
                <w:sz w:val="16"/>
              </w:rPr>
              <w:t>FIBRA</w:t>
            </w:r>
          </w:p>
        </w:tc>
        <w:tc>
          <w:tcPr>
            <w:tcW w:w="7158" w:type="dxa"/>
          </w:tcPr>
          <w:p>
            <w:pPr>
              <w:pStyle w:val="TableParagraph"/>
              <w:spacing w:line="166" w:lineRule="exact" w:before="3"/>
              <w:ind w:left="57" w:right="49"/>
              <w:jc w:val="center"/>
              <w:rPr>
                <w:sz w:val="16"/>
              </w:rPr>
            </w:pPr>
            <w:r>
              <w:rPr>
                <w:sz w:val="16"/>
              </w:rPr>
              <w:t>Cessão Fiduciária de Receita</w:t>
            </w:r>
          </w:p>
        </w:tc>
      </w:tr>
      <w:tr>
        <w:trPr>
          <w:trHeight w:val="186" w:hRule="atLeast"/>
        </w:trPr>
        <w:tc>
          <w:tcPr>
            <w:tcW w:w="2759" w:type="dxa"/>
          </w:tcPr>
          <w:p>
            <w:pPr>
              <w:pStyle w:val="TableParagraph"/>
              <w:spacing w:line="166" w:lineRule="exact"/>
              <w:ind w:left="464" w:right="451"/>
              <w:jc w:val="center"/>
              <w:rPr>
                <w:sz w:val="16"/>
              </w:rPr>
            </w:pPr>
            <w:r>
              <w:rPr>
                <w:w w:val="105"/>
                <w:sz w:val="16"/>
              </w:rPr>
              <w:t>DAYCOVAL</w:t>
            </w:r>
          </w:p>
        </w:tc>
        <w:tc>
          <w:tcPr>
            <w:tcW w:w="7158" w:type="dxa"/>
          </w:tcPr>
          <w:p>
            <w:pPr>
              <w:pStyle w:val="TableParagraph"/>
              <w:spacing w:line="166" w:lineRule="exact"/>
              <w:ind w:left="57" w:right="49"/>
              <w:jc w:val="center"/>
              <w:rPr>
                <w:sz w:val="16"/>
              </w:rPr>
            </w:pPr>
            <w:r>
              <w:rPr>
                <w:sz w:val="16"/>
              </w:rPr>
              <w:t>Cessão Fiduciária de Receita</w:t>
            </w:r>
          </w:p>
        </w:tc>
      </w:tr>
      <w:tr>
        <w:trPr>
          <w:trHeight w:val="186" w:hRule="atLeast"/>
        </w:trPr>
        <w:tc>
          <w:tcPr>
            <w:tcW w:w="2759" w:type="dxa"/>
          </w:tcPr>
          <w:p>
            <w:pPr>
              <w:pStyle w:val="TableParagraph"/>
              <w:spacing w:line="166" w:lineRule="exact"/>
              <w:ind w:left="464" w:right="449"/>
              <w:jc w:val="center"/>
              <w:rPr>
                <w:sz w:val="16"/>
              </w:rPr>
            </w:pPr>
            <w:r>
              <w:rPr>
                <w:w w:val="105"/>
                <w:sz w:val="16"/>
              </w:rPr>
              <w:t>SOFISA</w:t>
            </w:r>
          </w:p>
        </w:tc>
        <w:tc>
          <w:tcPr>
            <w:tcW w:w="7158" w:type="dxa"/>
          </w:tcPr>
          <w:p>
            <w:pPr>
              <w:pStyle w:val="TableParagraph"/>
              <w:spacing w:line="166" w:lineRule="exact"/>
              <w:ind w:left="57" w:right="49"/>
              <w:jc w:val="center"/>
              <w:rPr>
                <w:sz w:val="16"/>
              </w:rPr>
            </w:pPr>
            <w:r>
              <w:rPr>
                <w:sz w:val="16"/>
              </w:rPr>
              <w:t>Cessão Fiduciária de Receita</w:t>
            </w:r>
          </w:p>
        </w:tc>
      </w:tr>
      <w:tr>
        <w:trPr>
          <w:trHeight w:val="189" w:hRule="atLeast"/>
        </w:trPr>
        <w:tc>
          <w:tcPr>
            <w:tcW w:w="2759" w:type="dxa"/>
          </w:tcPr>
          <w:p>
            <w:pPr>
              <w:pStyle w:val="TableParagraph"/>
              <w:spacing w:line="168" w:lineRule="exact"/>
              <w:ind w:left="462" w:right="452"/>
              <w:jc w:val="center"/>
              <w:rPr>
                <w:sz w:val="16"/>
              </w:rPr>
            </w:pPr>
            <w:r>
              <w:rPr>
                <w:w w:val="105"/>
                <w:sz w:val="16"/>
              </w:rPr>
              <w:t>BBM-BC</w:t>
            </w:r>
          </w:p>
        </w:tc>
        <w:tc>
          <w:tcPr>
            <w:tcW w:w="7158" w:type="dxa"/>
          </w:tcPr>
          <w:p>
            <w:pPr>
              <w:pStyle w:val="TableParagraph"/>
              <w:spacing w:line="168" w:lineRule="exact"/>
              <w:ind w:left="57" w:right="49"/>
              <w:jc w:val="center"/>
              <w:rPr>
                <w:sz w:val="16"/>
              </w:rPr>
            </w:pPr>
            <w:r>
              <w:rPr>
                <w:sz w:val="16"/>
              </w:rPr>
              <w:t>Cessão Fiduciária de Receita</w:t>
            </w:r>
          </w:p>
        </w:tc>
      </w:tr>
      <w:tr>
        <w:trPr>
          <w:trHeight w:val="186" w:hRule="atLeast"/>
        </w:trPr>
        <w:tc>
          <w:tcPr>
            <w:tcW w:w="2759" w:type="dxa"/>
          </w:tcPr>
          <w:p>
            <w:pPr>
              <w:pStyle w:val="TableParagraph"/>
              <w:spacing w:line="166" w:lineRule="exact"/>
              <w:ind w:left="464" w:right="451"/>
              <w:jc w:val="center"/>
              <w:rPr>
                <w:sz w:val="16"/>
              </w:rPr>
            </w:pPr>
            <w:r>
              <w:rPr>
                <w:w w:val="105"/>
                <w:sz w:val="16"/>
              </w:rPr>
              <w:t>ORIGINAL</w:t>
            </w:r>
          </w:p>
        </w:tc>
        <w:tc>
          <w:tcPr>
            <w:tcW w:w="7158" w:type="dxa"/>
          </w:tcPr>
          <w:p>
            <w:pPr>
              <w:pStyle w:val="TableParagraph"/>
              <w:spacing w:line="166" w:lineRule="exact"/>
              <w:ind w:left="57" w:right="49"/>
              <w:jc w:val="center"/>
              <w:rPr>
                <w:sz w:val="16"/>
              </w:rPr>
            </w:pPr>
            <w:r>
              <w:rPr>
                <w:sz w:val="16"/>
              </w:rPr>
              <w:t>Cessão Fiduciária de Receita</w:t>
            </w:r>
          </w:p>
        </w:tc>
      </w:tr>
      <w:tr>
        <w:trPr>
          <w:trHeight w:val="186" w:hRule="atLeast"/>
        </w:trPr>
        <w:tc>
          <w:tcPr>
            <w:tcW w:w="2759" w:type="dxa"/>
          </w:tcPr>
          <w:p>
            <w:pPr>
              <w:pStyle w:val="TableParagraph"/>
              <w:spacing w:line="166" w:lineRule="exact"/>
              <w:ind w:left="464" w:right="452"/>
              <w:jc w:val="center"/>
              <w:rPr>
                <w:sz w:val="16"/>
              </w:rPr>
            </w:pPr>
            <w:r>
              <w:rPr>
                <w:w w:val="105"/>
                <w:sz w:val="16"/>
              </w:rPr>
              <w:t>ABC</w:t>
            </w:r>
          </w:p>
        </w:tc>
        <w:tc>
          <w:tcPr>
            <w:tcW w:w="7158" w:type="dxa"/>
          </w:tcPr>
          <w:p>
            <w:pPr>
              <w:pStyle w:val="TableParagraph"/>
              <w:spacing w:line="166" w:lineRule="exact"/>
              <w:ind w:left="57" w:right="49"/>
              <w:jc w:val="center"/>
              <w:rPr>
                <w:sz w:val="16"/>
              </w:rPr>
            </w:pPr>
            <w:r>
              <w:rPr>
                <w:sz w:val="16"/>
              </w:rPr>
              <w:t>Cessão Fiduciária de Receita</w:t>
            </w:r>
          </w:p>
        </w:tc>
      </w:tr>
      <w:tr>
        <w:trPr>
          <w:trHeight w:val="189" w:hRule="atLeast"/>
        </w:trPr>
        <w:tc>
          <w:tcPr>
            <w:tcW w:w="2759" w:type="dxa"/>
          </w:tcPr>
          <w:p>
            <w:pPr>
              <w:pStyle w:val="TableParagraph"/>
              <w:spacing w:line="168" w:lineRule="exact"/>
              <w:ind w:left="464" w:right="448"/>
              <w:jc w:val="center"/>
              <w:rPr>
                <w:sz w:val="16"/>
              </w:rPr>
            </w:pPr>
            <w:r>
              <w:rPr>
                <w:sz w:val="16"/>
              </w:rPr>
              <w:t>ABC-2</w:t>
            </w:r>
          </w:p>
        </w:tc>
        <w:tc>
          <w:tcPr>
            <w:tcW w:w="7158" w:type="dxa"/>
          </w:tcPr>
          <w:p>
            <w:pPr>
              <w:pStyle w:val="TableParagraph"/>
              <w:spacing w:line="168" w:lineRule="exact"/>
              <w:ind w:left="57" w:right="48"/>
              <w:jc w:val="center"/>
              <w:rPr>
                <w:sz w:val="16"/>
              </w:rPr>
            </w:pPr>
            <w:r>
              <w:rPr>
                <w:sz w:val="16"/>
              </w:rPr>
              <w:t>Cessão Fiduciária de Receita</w:t>
            </w:r>
          </w:p>
        </w:tc>
      </w:tr>
      <w:tr>
        <w:trPr>
          <w:trHeight w:val="186" w:hRule="atLeast"/>
        </w:trPr>
        <w:tc>
          <w:tcPr>
            <w:tcW w:w="2759" w:type="dxa"/>
          </w:tcPr>
          <w:p>
            <w:pPr>
              <w:pStyle w:val="TableParagraph"/>
              <w:spacing w:line="166" w:lineRule="exact"/>
              <w:ind w:left="464" w:right="450"/>
              <w:jc w:val="center"/>
              <w:rPr>
                <w:sz w:val="16"/>
              </w:rPr>
            </w:pPr>
            <w:r>
              <w:rPr>
                <w:sz w:val="16"/>
              </w:rPr>
              <w:t>Banco de Brasília</w:t>
            </w:r>
          </w:p>
        </w:tc>
        <w:tc>
          <w:tcPr>
            <w:tcW w:w="7158" w:type="dxa"/>
          </w:tcPr>
          <w:p>
            <w:pPr>
              <w:pStyle w:val="TableParagraph"/>
              <w:spacing w:line="166" w:lineRule="exact"/>
              <w:ind w:left="57" w:right="46"/>
              <w:jc w:val="center"/>
              <w:rPr>
                <w:sz w:val="16"/>
              </w:rPr>
            </w:pPr>
            <w:r>
              <w:rPr>
                <w:sz w:val="16"/>
              </w:rPr>
              <w:t>Cessão Fiduciária de Contrato de Cessão de Direitos / Cessão Fiduciária de Receita</w:t>
            </w:r>
          </w:p>
        </w:tc>
      </w:tr>
      <w:tr>
        <w:trPr>
          <w:trHeight w:val="186" w:hRule="atLeast"/>
        </w:trPr>
        <w:tc>
          <w:tcPr>
            <w:tcW w:w="2759" w:type="dxa"/>
          </w:tcPr>
          <w:p>
            <w:pPr>
              <w:pStyle w:val="TableParagraph"/>
              <w:spacing w:line="166" w:lineRule="exact"/>
              <w:ind w:left="464" w:right="450"/>
              <w:jc w:val="center"/>
              <w:rPr>
                <w:sz w:val="16"/>
              </w:rPr>
            </w:pPr>
            <w:r>
              <w:rPr>
                <w:sz w:val="16"/>
              </w:rPr>
              <w:t>Banco de Brasília</w:t>
            </w:r>
          </w:p>
        </w:tc>
        <w:tc>
          <w:tcPr>
            <w:tcW w:w="7158" w:type="dxa"/>
          </w:tcPr>
          <w:p>
            <w:pPr>
              <w:pStyle w:val="TableParagraph"/>
              <w:spacing w:line="166" w:lineRule="exact"/>
              <w:ind w:left="57" w:right="51"/>
              <w:jc w:val="center"/>
              <w:rPr>
                <w:sz w:val="16"/>
              </w:rPr>
            </w:pPr>
            <w:r>
              <w:rPr>
                <w:sz w:val="16"/>
              </w:rPr>
              <w:t>Penhor</w:t>
            </w:r>
            <w:r>
              <w:rPr>
                <w:spacing w:val="-24"/>
                <w:sz w:val="16"/>
              </w:rPr>
              <w:t> </w:t>
            </w:r>
            <w:r>
              <w:rPr>
                <w:sz w:val="16"/>
              </w:rPr>
              <w:t>das</w:t>
            </w:r>
            <w:r>
              <w:rPr>
                <w:spacing w:val="-25"/>
                <w:sz w:val="16"/>
              </w:rPr>
              <w:t> </w:t>
            </w:r>
            <w:r>
              <w:rPr>
                <w:sz w:val="16"/>
              </w:rPr>
              <w:t>ações</w:t>
            </w:r>
            <w:r>
              <w:rPr>
                <w:spacing w:val="-24"/>
                <w:sz w:val="16"/>
              </w:rPr>
              <w:t> </w:t>
            </w:r>
            <w:r>
              <w:rPr>
                <w:sz w:val="16"/>
              </w:rPr>
              <w:t>das</w:t>
            </w:r>
            <w:r>
              <w:rPr>
                <w:spacing w:val="-25"/>
                <w:sz w:val="16"/>
              </w:rPr>
              <w:t> </w:t>
            </w:r>
            <w:r>
              <w:rPr>
                <w:sz w:val="16"/>
              </w:rPr>
              <w:t>empresas</w:t>
            </w:r>
            <w:r>
              <w:rPr>
                <w:spacing w:val="-26"/>
                <w:sz w:val="16"/>
              </w:rPr>
              <w:t> </w:t>
            </w:r>
            <w:r>
              <w:rPr>
                <w:sz w:val="16"/>
              </w:rPr>
              <w:t>Geradoras</w:t>
            </w:r>
            <w:r>
              <w:rPr>
                <w:spacing w:val="-26"/>
                <w:sz w:val="16"/>
              </w:rPr>
              <w:t> </w:t>
            </w:r>
            <w:r>
              <w:rPr>
                <w:sz w:val="16"/>
              </w:rPr>
              <w:t>/</w:t>
            </w:r>
            <w:r>
              <w:rPr>
                <w:spacing w:val="-22"/>
                <w:sz w:val="16"/>
              </w:rPr>
              <w:t> </w:t>
            </w:r>
            <w:r>
              <w:rPr>
                <w:sz w:val="16"/>
              </w:rPr>
              <w:t>Fluxo</w:t>
            </w:r>
            <w:r>
              <w:rPr>
                <w:spacing w:val="-24"/>
                <w:sz w:val="16"/>
              </w:rPr>
              <w:t> </w:t>
            </w:r>
            <w:r>
              <w:rPr>
                <w:sz w:val="16"/>
              </w:rPr>
              <w:t>de</w:t>
            </w:r>
            <w:r>
              <w:rPr>
                <w:spacing w:val="-23"/>
                <w:sz w:val="16"/>
              </w:rPr>
              <w:t> </w:t>
            </w:r>
            <w:r>
              <w:rPr>
                <w:sz w:val="16"/>
              </w:rPr>
              <w:t>dividendos</w:t>
            </w:r>
            <w:r>
              <w:rPr>
                <w:spacing w:val="-24"/>
                <w:sz w:val="16"/>
              </w:rPr>
              <w:t> </w:t>
            </w:r>
            <w:r>
              <w:rPr>
                <w:sz w:val="16"/>
              </w:rPr>
              <w:t>da</w:t>
            </w:r>
            <w:r>
              <w:rPr>
                <w:spacing w:val="-25"/>
                <w:sz w:val="16"/>
              </w:rPr>
              <w:t> </w:t>
            </w:r>
            <w:r>
              <w:rPr>
                <w:sz w:val="16"/>
              </w:rPr>
              <w:t>CEB</w:t>
            </w:r>
            <w:r>
              <w:rPr>
                <w:spacing w:val="-24"/>
                <w:sz w:val="16"/>
              </w:rPr>
              <w:t> </w:t>
            </w:r>
            <w:r>
              <w:rPr>
                <w:sz w:val="16"/>
              </w:rPr>
              <w:t>/</w:t>
            </w:r>
            <w:r>
              <w:rPr>
                <w:spacing w:val="-26"/>
                <w:sz w:val="16"/>
              </w:rPr>
              <w:t> </w:t>
            </w:r>
            <w:r>
              <w:rPr>
                <w:sz w:val="16"/>
              </w:rPr>
              <w:t>Cessão</w:t>
            </w:r>
            <w:r>
              <w:rPr>
                <w:spacing w:val="-23"/>
                <w:sz w:val="16"/>
              </w:rPr>
              <w:t> </w:t>
            </w:r>
            <w:r>
              <w:rPr>
                <w:sz w:val="16"/>
              </w:rPr>
              <w:t>Fiduciária</w:t>
            </w:r>
            <w:r>
              <w:rPr>
                <w:spacing w:val="-24"/>
                <w:sz w:val="16"/>
              </w:rPr>
              <w:t> </w:t>
            </w:r>
            <w:r>
              <w:rPr>
                <w:sz w:val="16"/>
              </w:rPr>
              <w:t>de</w:t>
            </w:r>
            <w:r>
              <w:rPr>
                <w:spacing w:val="-25"/>
                <w:sz w:val="16"/>
              </w:rPr>
              <w:t> </w:t>
            </w:r>
            <w:r>
              <w:rPr>
                <w:sz w:val="16"/>
              </w:rPr>
              <w:t>Receita</w:t>
            </w:r>
          </w:p>
        </w:tc>
      </w:tr>
      <w:tr>
        <w:trPr>
          <w:trHeight w:val="189" w:hRule="atLeast"/>
        </w:trPr>
        <w:tc>
          <w:tcPr>
            <w:tcW w:w="2759" w:type="dxa"/>
          </w:tcPr>
          <w:p>
            <w:pPr>
              <w:pStyle w:val="TableParagraph"/>
              <w:spacing w:line="168" w:lineRule="exact"/>
              <w:ind w:left="464" w:right="451"/>
              <w:jc w:val="center"/>
              <w:rPr>
                <w:sz w:val="16"/>
              </w:rPr>
            </w:pPr>
            <w:r>
              <w:rPr>
                <w:sz w:val="16"/>
              </w:rPr>
              <w:t>China Construction Bank</w:t>
            </w:r>
          </w:p>
        </w:tc>
        <w:tc>
          <w:tcPr>
            <w:tcW w:w="7158" w:type="dxa"/>
          </w:tcPr>
          <w:p>
            <w:pPr>
              <w:pStyle w:val="TableParagraph"/>
              <w:spacing w:line="168" w:lineRule="exact"/>
              <w:ind w:left="57" w:right="51"/>
              <w:jc w:val="center"/>
              <w:rPr>
                <w:sz w:val="16"/>
              </w:rPr>
            </w:pPr>
            <w:r>
              <w:rPr>
                <w:sz w:val="16"/>
              </w:rPr>
              <w:t>Penhor</w:t>
            </w:r>
            <w:r>
              <w:rPr>
                <w:spacing w:val="-24"/>
                <w:sz w:val="16"/>
              </w:rPr>
              <w:t> </w:t>
            </w:r>
            <w:r>
              <w:rPr>
                <w:sz w:val="16"/>
              </w:rPr>
              <w:t>das</w:t>
            </w:r>
            <w:r>
              <w:rPr>
                <w:spacing w:val="-25"/>
                <w:sz w:val="16"/>
              </w:rPr>
              <w:t> </w:t>
            </w:r>
            <w:r>
              <w:rPr>
                <w:sz w:val="16"/>
              </w:rPr>
              <w:t>ações</w:t>
            </w:r>
            <w:r>
              <w:rPr>
                <w:spacing w:val="-24"/>
                <w:sz w:val="16"/>
              </w:rPr>
              <w:t> </w:t>
            </w:r>
            <w:r>
              <w:rPr>
                <w:sz w:val="16"/>
              </w:rPr>
              <w:t>das</w:t>
            </w:r>
            <w:r>
              <w:rPr>
                <w:spacing w:val="-25"/>
                <w:sz w:val="16"/>
              </w:rPr>
              <w:t> </w:t>
            </w:r>
            <w:r>
              <w:rPr>
                <w:sz w:val="16"/>
              </w:rPr>
              <w:t>empresas</w:t>
            </w:r>
            <w:r>
              <w:rPr>
                <w:spacing w:val="-26"/>
                <w:sz w:val="16"/>
              </w:rPr>
              <w:t> </w:t>
            </w:r>
            <w:r>
              <w:rPr>
                <w:sz w:val="16"/>
              </w:rPr>
              <w:t>Geradoras</w:t>
            </w:r>
            <w:r>
              <w:rPr>
                <w:spacing w:val="-26"/>
                <w:sz w:val="16"/>
              </w:rPr>
              <w:t> </w:t>
            </w:r>
            <w:r>
              <w:rPr>
                <w:sz w:val="16"/>
              </w:rPr>
              <w:t>/</w:t>
            </w:r>
            <w:r>
              <w:rPr>
                <w:spacing w:val="-22"/>
                <w:sz w:val="16"/>
              </w:rPr>
              <w:t> </w:t>
            </w:r>
            <w:r>
              <w:rPr>
                <w:sz w:val="16"/>
              </w:rPr>
              <w:t>Fluxo</w:t>
            </w:r>
            <w:r>
              <w:rPr>
                <w:spacing w:val="-24"/>
                <w:sz w:val="16"/>
              </w:rPr>
              <w:t> </w:t>
            </w:r>
            <w:r>
              <w:rPr>
                <w:sz w:val="16"/>
              </w:rPr>
              <w:t>de</w:t>
            </w:r>
            <w:r>
              <w:rPr>
                <w:spacing w:val="-23"/>
                <w:sz w:val="16"/>
              </w:rPr>
              <w:t> </w:t>
            </w:r>
            <w:r>
              <w:rPr>
                <w:sz w:val="16"/>
              </w:rPr>
              <w:t>dividendos</w:t>
            </w:r>
            <w:r>
              <w:rPr>
                <w:spacing w:val="-24"/>
                <w:sz w:val="16"/>
              </w:rPr>
              <w:t> </w:t>
            </w:r>
            <w:r>
              <w:rPr>
                <w:sz w:val="16"/>
              </w:rPr>
              <w:t>da</w:t>
            </w:r>
            <w:r>
              <w:rPr>
                <w:spacing w:val="-25"/>
                <w:sz w:val="16"/>
              </w:rPr>
              <w:t> </w:t>
            </w:r>
            <w:r>
              <w:rPr>
                <w:sz w:val="16"/>
              </w:rPr>
              <w:t>CEB</w:t>
            </w:r>
            <w:r>
              <w:rPr>
                <w:spacing w:val="-24"/>
                <w:sz w:val="16"/>
              </w:rPr>
              <w:t> </w:t>
            </w:r>
            <w:r>
              <w:rPr>
                <w:sz w:val="16"/>
              </w:rPr>
              <w:t>/</w:t>
            </w:r>
            <w:r>
              <w:rPr>
                <w:spacing w:val="-26"/>
                <w:sz w:val="16"/>
              </w:rPr>
              <w:t> </w:t>
            </w:r>
            <w:r>
              <w:rPr>
                <w:sz w:val="16"/>
              </w:rPr>
              <w:t>Cessão</w:t>
            </w:r>
            <w:r>
              <w:rPr>
                <w:spacing w:val="-23"/>
                <w:sz w:val="16"/>
              </w:rPr>
              <w:t> </w:t>
            </w:r>
            <w:r>
              <w:rPr>
                <w:sz w:val="16"/>
              </w:rPr>
              <w:t>Fiduciária</w:t>
            </w:r>
            <w:r>
              <w:rPr>
                <w:spacing w:val="-24"/>
                <w:sz w:val="16"/>
              </w:rPr>
              <w:t> </w:t>
            </w:r>
            <w:r>
              <w:rPr>
                <w:sz w:val="16"/>
              </w:rPr>
              <w:t>de</w:t>
            </w:r>
            <w:r>
              <w:rPr>
                <w:spacing w:val="-25"/>
                <w:sz w:val="16"/>
              </w:rPr>
              <w:t> </w:t>
            </w:r>
            <w:r>
              <w:rPr>
                <w:sz w:val="16"/>
              </w:rPr>
              <w:t>Receita</w:t>
            </w:r>
          </w:p>
        </w:tc>
      </w:tr>
    </w:tbl>
    <w:p>
      <w:pPr>
        <w:spacing w:after="0" w:line="168" w:lineRule="exact"/>
        <w:jc w:val="center"/>
        <w:rPr>
          <w:sz w:val="16"/>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OBRIGAÇÕES</w:t>
      </w:r>
      <w:r>
        <w:rPr>
          <w:spacing w:val="-1"/>
        </w:rPr>
        <w:t> </w:t>
      </w:r>
      <w:r>
        <w:rPr/>
        <w:t>SOCIETÁRIAS</w:t>
      </w:r>
    </w:p>
    <w:p>
      <w:pPr>
        <w:pStyle w:val="BodyText"/>
        <w:spacing w:line="242" w:lineRule="auto" w:before="244"/>
        <w:ind w:left="172" w:right="417"/>
        <w:jc w:val="both"/>
      </w:pPr>
      <w:r>
        <w:rPr/>
        <w:t>As</w:t>
      </w:r>
      <w:r>
        <w:rPr>
          <w:spacing w:val="-27"/>
        </w:rPr>
        <w:t> </w:t>
      </w:r>
      <w:r>
        <w:rPr/>
        <w:t>obrigações</w:t>
      </w:r>
      <w:r>
        <w:rPr>
          <w:spacing w:val="-26"/>
        </w:rPr>
        <w:t> </w:t>
      </w:r>
      <w:r>
        <w:rPr/>
        <w:t>societárias</w:t>
      </w:r>
      <w:r>
        <w:rPr>
          <w:spacing w:val="-26"/>
        </w:rPr>
        <w:t> </w:t>
      </w:r>
      <w:r>
        <w:rPr/>
        <w:t>representam</w:t>
      </w:r>
      <w:r>
        <w:rPr>
          <w:spacing w:val="-27"/>
        </w:rPr>
        <w:t> </w:t>
      </w:r>
      <w:r>
        <w:rPr/>
        <w:t>valores</w:t>
      </w:r>
      <w:r>
        <w:rPr>
          <w:spacing w:val="-26"/>
        </w:rPr>
        <w:t> </w:t>
      </w:r>
      <w:r>
        <w:rPr/>
        <w:t>a</w:t>
      </w:r>
      <w:r>
        <w:rPr>
          <w:spacing w:val="-26"/>
        </w:rPr>
        <w:t> </w:t>
      </w:r>
      <w:r>
        <w:rPr/>
        <w:t>pagar</w:t>
      </w:r>
      <w:r>
        <w:rPr>
          <w:spacing w:val="-26"/>
        </w:rPr>
        <w:t> </w:t>
      </w:r>
      <w:r>
        <w:rPr/>
        <w:t>aos</w:t>
      </w:r>
      <w:r>
        <w:rPr>
          <w:spacing w:val="-27"/>
        </w:rPr>
        <w:t> </w:t>
      </w:r>
      <w:r>
        <w:rPr/>
        <w:t>acionistas</w:t>
      </w:r>
      <w:r>
        <w:rPr>
          <w:spacing w:val="-26"/>
        </w:rPr>
        <w:t> </w:t>
      </w:r>
      <w:r>
        <w:rPr/>
        <w:t>controladores</w:t>
      </w:r>
      <w:r>
        <w:rPr>
          <w:spacing w:val="-25"/>
        </w:rPr>
        <w:t> </w:t>
      </w:r>
      <w:r>
        <w:rPr/>
        <w:t>e</w:t>
      </w:r>
      <w:r>
        <w:rPr>
          <w:spacing w:val="-27"/>
        </w:rPr>
        <w:t> </w:t>
      </w:r>
      <w:r>
        <w:rPr/>
        <w:t>não</w:t>
      </w:r>
      <w:r>
        <w:rPr>
          <w:spacing w:val="-25"/>
        </w:rPr>
        <w:t> </w:t>
      </w:r>
      <w:r>
        <w:rPr/>
        <w:t>controladores</w:t>
      </w:r>
      <w:r>
        <w:rPr>
          <w:spacing w:val="-27"/>
        </w:rPr>
        <w:t> </w:t>
      </w:r>
      <w:r>
        <w:rPr/>
        <w:t>a</w:t>
      </w:r>
      <w:r>
        <w:rPr>
          <w:spacing w:val="-26"/>
        </w:rPr>
        <w:t> </w:t>
      </w:r>
      <w:r>
        <w:rPr/>
        <w:t>título</w:t>
      </w:r>
      <w:r>
        <w:rPr>
          <w:spacing w:val="-25"/>
        </w:rPr>
        <w:t> </w:t>
      </w:r>
      <w:r>
        <w:rPr/>
        <w:t>de dividendos,</w:t>
      </w:r>
      <w:r>
        <w:rPr>
          <w:spacing w:val="-14"/>
        </w:rPr>
        <w:t> </w:t>
      </w:r>
      <w:r>
        <w:rPr/>
        <w:t>juros</w:t>
      </w:r>
      <w:r>
        <w:rPr>
          <w:spacing w:val="-14"/>
        </w:rPr>
        <w:t> </w:t>
      </w:r>
      <w:r>
        <w:rPr/>
        <w:t>sobre</w:t>
      </w:r>
      <w:r>
        <w:rPr>
          <w:spacing w:val="-16"/>
        </w:rPr>
        <w:t> </w:t>
      </w:r>
      <w:r>
        <w:rPr/>
        <w:t>capital</w:t>
      </w:r>
      <w:r>
        <w:rPr>
          <w:spacing w:val="-15"/>
        </w:rPr>
        <w:t> </w:t>
      </w:r>
      <w:r>
        <w:rPr/>
        <w:t>próprio</w:t>
      </w:r>
      <w:r>
        <w:rPr>
          <w:spacing w:val="-14"/>
        </w:rPr>
        <w:t> </w:t>
      </w:r>
      <w:r>
        <w:rPr/>
        <w:t>e</w:t>
      </w:r>
      <w:r>
        <w:rPr>
          <w:spacing w:val="-15"/>
        </w:rPr>
        <w:t> </w:t>
      </w:r>
      <w:r>
        <w:rPr/>
        <w:t>partes</w:t>
      </w:r>
      <w:r>
        <w:rPr>
          <w:spacing w:val="-14"/>
        </w:rPr>
        <w:t> </w:t>
      </w:r>
      <w:r>
        <w:rPr/>
        <w:t>beneficiárias,</w:t>
      </w:r>
      <w:r>
        <w:rPr>
          <w:spacing w:val="-15"/>
        </w:rPr>
        <w:t> </w:t>
      </w:r>
      <w:r>
        <w:rPr/>
        <w:t>sobre</w:t>
      </w:r>
      <w:r>
        <w:rPr>
          <w:spacing w:val="-16"/>
        </w:rPr>
        <w:t> </w:t>
      </w:r>
      <w:r>
        <w:rPr/>
        <w:t>resultados</w:t>
      </w:r>
      <w:r>
        <w:rPr>
          <w:spacing w:val="-14"/>
        </w:rPr>
        <w:t> </w:t>
      </w:r>
      <w:r>
        <w:rPr/>
        <w:t>apurados</w:t>
      </w:r>
      <w:r>
        <w:rPr>
          <w:spacing w:val="-15"/>
        </w:rPr>
        <w:t> </w:t>
      </w:r>
      <w:r>
        <w:rPr/>
        <w:t>no</w:t>
      </w:r>
      <w:r>
        <w:rPr>
          <w:spacing w:val="-14"/>
        </w:rPr>
        <w:t> </w:t>
      </w:r>
      <w:r>
        <w:rPr/>
        <w:t>exercício</w:t>
      </w:r>
      <w:r>
        <w:rPr>
          <w:spacing w:val="-15"/>
        </w:rPr>
        <w:t> </w:t>
      </w:r>
      <w:r>
        <w:rPr/>
        <w:t>corrente</w:t>
      </w:r>
      <w:r>
        <w:rPr>
          <w:spacing w:val="-16"/>
        </w:rPr>
        <w:t> </w:t>
      </w:r>
      <w:r>
        <w:rPr/>
        <w:t>e exercícios</w:t>
      </w:r>
      <w:r>
        <w:rPr>
          <w:spacing w:val="-18"/>
        </w:rPr>
        <w:t> </w:t>
      </w:r>
      <w:r>
        <w:rPr/>
        <w:t>anteriores.</w:t>
      </w:r>
    </w:p>
    <w:p>
      <w:pPr>
        <w:pStyle w:val="BodyText"/>
        <w:spacing w:before="5" w:after="1"/>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77"/>
        <w:gridCol w:w="1299"/>
        <w:gridCol w:w="1296"/>
        <w:gridCol w:w="1378"/>
        <w:gridCol w:w="1166"/>
      </w:tblGrid>
      <w:tr>
        <w:trPr>
          <w:trHeight w:val="294" w:hRule="atLeast"/>
        </w:trPr>
        <w:tc>
          <w:tcPr>
            <w:tcW w:w="4777" w:type="dxa"/>
            <w:vMerge w:val="restart"/>
            <w:shd w:val="clear" w:color="auto" w:fill="D9D9D9"/>
          </w:tcPr>
          <w:p>
            <w:pPr>
              <w:pStyle w:val="TableParagraph"/>
              <w:rPr>
                <w:rFonts w:ascii="Times New Roman"/>
                <w:sz w:val="16"/>
              </w:rPr>
            </w:pPr>
          </w:p>
        </w:tc>
        <w:tc>
          <w:tcPr>
            <w:tcW w:w="2595" w:type="dxa"/>
            <w:gridSpan w:val="2"/>
          </w:tcPr>
          <w:p>
            <w:pPr>
              <w:pStyle w:val="TableParagraph"/>
              <w:spacing w:before="63"/>
              <w:ind w:left="866"/>
              <w:rPr>
                <w:rFonts w:ascii="Caladea"/>
                <w:b/>
                <w:sz w:val="14"/>
              </w:rPr>
            </w:pPr>
            <w:r>
              <w:rPr>
                <w:rFonts w:ascii="Caladea"/>
                <w:b/>
                <w:sz w:val="14"/>
              </w:rPr>
              <w:t>Controladora</w:t>
            </w:r>
          </w:p>
        </w:tc>
        <w:tc>
          <w:tcPr>
            <w:tcW w:w="2544" w:type="dxa"/>
            <w:gridSpan w:val="2"/>
          </w:tcPr>
          <w:p>
            <w:pPr>
              <w:pStyle w:val="TableParagraph"/>
              <w:spacing w:before="63"/>
              <w:ind w:left="851" w:right="844"/>
              <w:jc w:val="center"/>
              <w:rPr>
                <w:rFonts w:ascii="Caladea"/>
                <w:b/>
                <w:sz w:val="14"/>
              </w:rPr>
            </w:pPr>
            <w:r>
              <w:rPr>
                <w:rFonts w:ascii="Caladea"/>
                <w:b/>
                <w:sz w:val="14"/>
              </w:rPr>
              <w:t>Consolidado</w:t>
            </w:r>
          </w:p>
        </w:tc>
      </w:tr>
      <w:tr>
        <w:trPr>
          <w:trHeight w:val="354" w:hRule="atLeast"/>
        </w:trPr>
        <w:tc>
          <w:tcPr>
            <w:tcW w:w="4777" w:type="dxa"/>
            <w:vMerge/>
            <w:tcBorders>
              <w:top w:val="nil"/>
            </w:tcBorders>
            <w:shd w:val="clear" w:color="auto" w:fill="D9D9D9"/>
          </w:tcPr>
          <w:p>
            <w:pPr>
              <w:rPr>
                <w:sz w:val="2"/>
                <w:szCs w:val="2"/>
              </w:rPr>
            </w:pPr>
          </w:p>
        </w:tc>
        <w:tc>
          <w:tcPr>
            <w:tcW w:w="1299" w:type="dxa"/>
          </w:tcPr>
          <w:p>
            <w:pPr>
              <w:pStyle w:val="TableParagraph"/>
              <w:spacing w:before="95"/>
              <w:ind w:left="246"/>
              <w:rPr>
                <w:rFonts w:ascii="Caladea"/>
                <w:b/>
                <w:sz w:val="14"/>
              </w:rPr>
            </w:pPr>
            <w:r>
              <w:rPr>
                <w:rFonts w:ascii="Caladea"/>
                <w:b/>
                <w:sz w:val="14"/>
              </w:rPr>
              <w:t>31/12/2019</w:t>
            </w:r>
          </w:p>
        </w:tc>
        <w:tc>
          <w:tcPr>
            <w:tcW w:w="1296" w:type="dxa"/>
          </w:tcPr>
          <w:p>
            <w:pPr>
              <w:pStyle w:val="TableParagraph"/>
              <w:spacing w:before="95"/>
              <w:ind w:left="246"/>
              <w:rPr>
                <w:rFonts w:ascii="Caladea"/>
                <w:b/>
                <w:sz w:val="14"/>
              </w:rPr>
            </w:pPr>
            <w:r>
              <w:rPr>
                <w:rFonts w:ascii="Caladea"/>
                <w:b/>
                <w:sz w:val="14"/>
              </w:rPr>
              <w:t>31/12/2018</w:t>
            </w:r>
          </w:p>
        </w:tc>
        <w:tc>
          <w:tcPr>
            <w:tcW w:w="1378" w:type="dxa"/>
          </w:tcPr>
          <w:p>
            <w:pPr>
              <w:pStyle w:val="TableParagraph"/>
              <w:spacing w:before="95"/>
              <w:ind w:left="288"/>
              <w:rPr>
                <w:rFonts w:ascii="Caladea"/>
                <w:b/>
                <w:sz w:val="14"/>
              </w:rPr>
            </w:pPr>
            <w:r>
              <w:rPr>
                <w:rFonts w:ascii="Caladea"/>
                <w:b/>
                <w:sz w:val="14"/>
              </w:rPr>
              <w:t>31/12/2019</w:t>
            </w:r>
          </w:p>
        </w:tc>
        <w:tc>
          <w:tcPr>
            <w:tcW w:w="1166" w:type="dxa"/>
          </w:tcPr>
          <w:p>
            <w:pPr>
              <w:pStyle w:val="TableParagraph"/>
              <w:spacing w:before="95"/>
              <w:ind w:left="179"/>
              <w:rPr>
                <w:rFonts w:ascii="Caladea"/>
                <w:b/>
                <w:sz w:val="14"/>
              </w:rPr>
            </w:pPr>
            <w:r>
              <w:rPr>
                <w:rFonts w:ascii="Caladea"/>
                <w:b/>
                <w:sz w:val="14"/>
              </w:rPr>
              <w:t>31/12/2018</w:t>
            </w:r>
          </w:p>
        </w:tc>
      </w:tr>
      <w:tr>
        <w:trPr>
          <w:trHeight w:val="225" w:hRule="atLeast"/>
        </w:trPr>
        <w:tc>
          <w:tcPr>
            <w:tcW w:w="4777" w:type="dxa"/>
          </w:tcPr>
          <w:p>
            <w:pPr>
              <w:pStyle w:val="TableParagraph"/>
              <w:spacing w:before="31"/>
              <w:ind w:left="103"/>
              <w:rPr>
                <w:sz w:val="14"/>
              </w:rPr>
            </w:pPr>
            <w:r>
              <w:rPr>
                <w:sz w:val="14"/>
              </w:rPr>
              <w:t>Governo do Distrito Federal</w:t>
            </w:r>
          </w:p>
        </w:tc>
        <w:tc>
          <w:tcPr>
            <w:tcW w:w="1299" w:type="dxa"/>
          </w:tcPr>
          <w:p>
            <w:pPr>
              <w:pStyle w:val="TableParagraph"/>
              <w:spacing w:before="31"/>
              <w:ind w:right="59"/>
              <w:jc w:val="right"/>
              <w:rPr>
                <w:sz w:val="14"/>
              </w:rPr>
            </w:pPr>
            <w:r>
              <w:rPr>
                <w:w w:val="95"/>
                <w:sz w:val="14"/>
              </w:rPr>
              <w:t>20.670</w:t>
            </w:r>
          </w:p>
        </w:tc>
        <w:tc>
          <w:tcPr>
            <w:tcW w:w="1296" w:type="dxa"/>
          </w:tcPr>
          <w:p>
            <w:pPr>
              <w:pStyle w:val="TableParagraph"/>
              <w:spacing w:before="31"/>
              <w:ind w:right="59"/>
              <w:jc w:val="right"/>
              <w:rPr>
                <w:sz w:val="14"/>
              </w:rPr>
            </w:pPr>
            <w:r>
              <w:rPr>
                <w:sz w:val="14"/>
              </w:rPr>
              <w:t>583</w:t>
            </w:r>
          </w:p>
        </w:tc>
        <w:tc>
          <w:tcPr>
            <w:tcW w:w="1378" w:type="dxa"/>
          </w:tcPr>
          <w:p>
            <w:pPr>
              <w:pStyle w:val="TableParagraph"/>
              <w:spacing w:before="31"/>
              <w:ind w:right="59"/>
              <w:jc w:val="right"/>
              <w:rPr>
                <w:sz w:val="14"/>
              </w:rPr>
            </w:pPr>
            <w:r>
              <w:rPr>
                <w:w w:val="95"/>
                <w:sz w:val="14"/>
              </w:rPr>
              <w:t>20.670</w:t>
            </w:r>
          </w:p>
        </w:tc>
        <w:tc>
          <w:tcPr>
            <w:tcW w:w="1166" w:type="dxa"/>
          </w:tcPr>
          <w:p>
            <w:pPr>
              <w:pStyle w:val="TableParagraph"/>
              <w:spacing w:before="31"/>
              <w:ind w:right="59"/>
              <w:jc w:val="right"/>
              <w:rPr>
                <w:sz w:val="14"/>
              </w:rPr>
            </w:pPr>
            <w:r>
              <w:rPr>
                <w:sz w:val="14"/>
              </w:rPr>
              <w:t>583</w:t>
            </w:r>
          </w:p>
        </w:tc>
      </w:tr>
      <w:tr>
        <w:trPr>
          <w:trHeight w:val="225" w:hRule="atLeast"/>
        </w:trPr>
        <w:tc>
          <w:tcPr>
            <w:tcW w:w="4777" w:type="dxa"/>
          </w:tcPr>
          <w:p>
            <w:pPr>
              <w:pStyle w:val="TableParagraph"/>
              <w:spacing w:before="31"/>
              <w:ind w:left="103"/>
              <w:rPr>
                <w:sz w:val="14"/>
              </w:rPr>
            </w:pPr>
            <w:r>
              <w:rPr>
                <w:sz w:val="14"/>
              </w:rPr>
              <w:t>Eletrobrás</w:t>
            </w:r>
          </w:p>
        </w:tc>
        <w:tc>
          <w:tcPr>
            <w:tcW w:w="1299" w:type="dxa"/>
          </w:tcPr>
          <w:p>
            <w:pPr>
              <w:pStyle w:val="TableParagraph"/>
              <w:rPr>
                <w:rFonts w:ascii="Times New Roman"/>
                <w:sz w:val="16"/>
              </w:rPr>
            </w:pPr>
          </w:p>
        </w:tc>
        <w:tc>
          <w:tcPr>
            <w:tcW w:w="1296" w:type="dxa"/>
          </w:tcPr>
          <w:p>
            <w:pPr>
              <w:pStyle w:val="TableParagraph"/>
              <w:rPr>
                <w:rFonts w:ascii="Times New Roman"/>
                <w:sz w:val="16"/>
              </w:rPr>
            </w:pPr>
          </w:p>
        </w:tc>
        <w:tc>
          <w:tcPr>
            <w:tcW w:w="1378" w:type="dxa"/>
          </w:tcPr>
          <w:p>
            <w:pPr>
              <w:pStyle w:val="TableParagraph"/>
              <w:spacing w:before="31"/>
              <w:ind w:right="59"/>
              <w:jc w:val="right"/>
              <w:rPr>
                <w:sz w:val="14"/>
              </w:rPr>
            </w:pPr>
            <w:r>
              <w:rPr>
                <w:w w:val="95"/>
                <w:sz w:val="14"/>
              </w:rPr>
              <w:t>5.619</w:t>
            </w:r>
          </w:p>
        </w:tc>
        <w:tc>
          <w:tcPr>
            <w:tcW w:w="1166" w:type="dxa"/>
          </w:tcPr>
          <w:p>
            <w:pPr>
              <w:pStyle w:val="TableParagraph"/>
              <w:spacing w:before="31"/>
              <w:ind w:right="59"/>
              <w:jc w:val="right"/>
              <w:rPr>
                <w:sz w:val="14"/>
              </w:rPr>
            </w:pPr>
            <w:r>
              <w:rPr>
                <w:w w:val="95"/>
                <w:sz w:val="14"/>
              </w:rPr>
              <w:t>5.620</w:t>
            </w:r>
          </w:p>
        </w:tc>
      </w:tr>
      <w:tr>
        <w:trPr>
          <w:trHeight w:val="225" w:hRule="atLeast"/>
        </w:trPr>
        <w:tc>
          <w:tcPr>
            <w:tcW w:w="4777" w:type="dxa"/>
          </w:tcPr>
          <w:p>
            <w:pPr>
              <w:pStyle w:val="TableParagraph"/>
              <w:spacing w:before="31"/>
              <w:ind w:left="103"/>
              <w:rPr>
                <w:sz w:val="14"/>
              </w:rPr>
            </w:pPr>
            <w:r>
              <w:rPr>
                <w:sz w:val="14"/>
              </w:rPr>
              <w:t>Partes Beneficiárias (Eletrobrás)</w:t>
            </w:r>
          </w:p>
        </w:tc>
        <w:tc>
          <w:tcPr>
            <w:tcW w:w="1299" w:type="dxa"/>
          </w:tcPr>
          <w:p>
            <w:pPr>
              <w:pStyle w:val="TableParagraph"/>
              <w:rPr>
                <w:rFonts w:ascii="Times New Roman"/>
                <w:sz w:val="16"/>
              </w:rPr>
            </w:pPr>
          </w:p>
        </w:tc>
        <w:tc>
          <w:tcPr>
            <w:tcW w:w="1296" w:type="dxa"/>
          </w:tcPr>
          <w:p>
            <w:pPr>
              <w:pStyle w:val="TableParagraph"/>
              <w:rPr>
                <w:rFonts w:ascii="Times New Roman"/>
                <w:sz w:val="16"/>
              </w:rPr>
            </w:pPr>
          </w:p>
        </w:tc>
        <w:tc>
          <w:tcPr>
            <w:tcW w:w="1378" w:type="dxa"/>
          </w:tcPr>
          <w:p>
            <w:pPr>
              <w:pStyle w:val="TableParagraph"/>
              <w:spacing w:before="31"/>
              <w:ind w:right="59"/>
              <w:jc w:val="right"/>
              <w:rPr>
                <w:sz w:val="14"/>
              </w:rPr>
            </w:pPr>
            <w:r>
              <w:rPr>
                <w:w w:val="95"/>
                <w:sz w:val="14"/>
              </w:rPr>
              <w:t>7.625</w:t>
            </w:r>
          </w:p>
        </w:tc>
        <w:tc>
          <w:tcPr>
            <w:tcW w:w="1166" w:type="dxa"/>
          </w:tcPr>
          <w:p>
            <w:pPr>
              <w:pStyle w:val="TableParagraph"/>
              <w:spacing w:before="31"/>
              <w:ind w:right="57"/>
              <w:jc w:val="right"/>
              <w:rPr>
                <w:sz w:val="14"/>
              </w:rPr>
            </w:pPr>
            <w:r>
              <w:rPr>
                <w:w w:val="95"/>
                <w:sz w:val="14"/>
              </w:rPr>
              <w:t>5.239</w:t>
            </w:r>
          </w:p>
        </w:tc>
      </w:tr>
      <w:tr>
        <w:trPr>
          <w:trHeight w:val="225" w:hRule="atLeast"/>
        </w:trPr>
        <w:tc>
          <w:tcPr>
            <w:tcW w:w="4777" w:type="dxa"/>
          </w:tcPr>
          <w:p>
            <w:pPr>
              <w:pStyle w:val="TableParagraph"/>
              <w:spacing w:before="31"/>
              <w:ind w:left="103"/>
              <w:rPr>
                <w:sz w:val="14"/>
              </w:rPr>
            </w:pPr>
            <w:r>
              <w:rPr>
                <w:sz w:val="14"/>
              </w:rPr>
              <w:t>Outros Acionistas</w:t>
            </w:r>
          </w:p>
        </w:tc>
        <w:tc>
          <w:tcPr>
            <w:tcW w:w="1299" w:type="dxa"/>
          </w:tcPr>
          <w:p>
            <w:pPr>
              <w:pStyle w:val="TableParagraph"/>
              <w:spacing w:before="31"/>
              <w:ind w:right="59"/>
              <w:jc w:val="right"/>
              <w:rPr>
                <w:sz w:val="14"/>
              </w:rPr>
            </w:pPr>
            <w:r>
              <w:rPr>
                <w:w w:val="95"/>
                <w:sz w:val="14"/>
              </w:rPr>
              <w:t>13.148</w:t>
            </w:r>
          </w:p>
        </w:tc>
        <w:tc>
          <w:tcPr>
            <w:tcW w:w="1296" w:type="dxa"/>
          </w:tcPr>
          <w:p>
            <w:pPr>
              <w:pStyle w:val="TableParagraph"/>
              <w:spacing w:before="31"/>
              <w:ind w:right="57"/>
              <w:jc w:val="right"/>
              <w:rPr>
                <w:sz w:val="14"/>
              </w:rPr>
            </w:pPr>
            <w:r>
              <w:rPr>
                <w:w w:val="95"/>
                <w:sz w:val="14"/>
              </w:rPr>
              <w:t>5.302</w:t>
            </w:r>
          </w:p>
        </w:tc>
        <w:tc>
          <w:tcPr>
            <w:tcW w:w="1378" w:type="dxa"/>
          </w:tcPr>
          <w:p>
            <w:pPr>
              <w:pStyle w:val="TableParagraph"/>
              <w:spacing w:before="31"/>
              <w:ind w:right="57"/>
              <w:jc w:val="right"/>
              <w:rPr>
                <w:sz w:val="14"/>
              </w:rPr>
            </w:pPr>
            <w:r>
              <w:rPr>
                <w:w w:val="95"/>
                <w:sz w:val="14"/>
              </w:rPr>
              <w:t>13.148</w:t>
            </w:r>
          </w:p>
        </w:tc>
        <w:tc>
          <w:tcPr>
            <w:tcW w:w="1166" w:type="dxa"/>
          </w:tcPr>
          <w:p>
            <w:pPr>
              <w:pStyle w:val="TableParagraph"/>
              <w:spacing w:before="31"/>
              <w:ind w:right="57"/>
              <w:jc w:val="right"/>
              <w:rPr>
                <w:sz w:val="14"/>
              </w:rPr>
            </w:pPr>
            <w:r>
              <w:rPr>
                <w:w w:val="95"/>
                <w:sz w:val="14"/>
              </w:rPr>
              <w:t>5.302</w:t>
            </w:r>
          </w:p>
        </w:tc>
      </w:tr>
      <w:tr>
        <w:trPr>
          <w:trHeight w:val="222" w:hRule="atLeast"/>
        </w:trPr>
        <w:tc>
          <w:tcPr>
            <w:tcW w:w="4777" w:type="dxa"/>
          </w:tcPr>
          <w:p>
            <w:pPr>
              <w:pStyle w:val="TableParagraph"/>
              <w:spacing w:before="27"/>
              <w:ind w:left="72"/>
              <w:rPr>
                <w:rFonts w:ascii="Caladea"/>
                <w:b/>
                <w:sz w:val="14"/>
              </w:rPr>
            </w:pPr>
            <w:r>
              <w:rPr>
                <w:rFonts w:ascii="Caladea"/>
                <w:b/>
                <w:sz w:val="14"/>
              </w:rPr>
              <w:t>Total</w:t>
            </w:r>
          </w:p>
        </w:tc>
        <w:tc>
          <w:tcPr>
            <w:tcW w:w="1299" w:type="dxa"/>
          </w:tcPr>
          <w:p>
            <w:pPr>
              <w:pStyle w:val="TableParagraph"/>
              <w:spacing w:before="27"/>
              <w:ind w:right="60"/>
              <w:jc w:val="right"/>
              <w:rPr>
                <w:rFonts w:ascii="Caladea"/>
                <w:b/>
                <w:sz w:val="14"/>
              </w:rPr>
            </w:pPr>
            <w:r>
              <w:rPr>
                <w:rFonts w:ascii="Caladea"/>
                <w:b/>
                <w:sz w:val="14"/>
              </w:rPr>
              <w:t>33.818</w:t>
            </w:r>
          </w:p>
        </w:tc>
        <w:tc>
          <w:tcPr>
            <w:tcW w:w="1296" w:type="dxa"/>
          </w:tcPr>
          <w:p>
            <w:pPr>
              <w:pStyle w:val="TableParagraph"/>
              <w:spacing w:before="27"/>
              <w:ind w:right="57"/>
              <w:jc w:val="right"/>
              <w:rPr>
                <w:rFonts w:ascii="Caladea"/>
                <w:b/>
                <w:sz w:val="14"/>
              </w:rPr>
            </w:pPr>
            <w:r>
              <w:rPr>
                <w:rFonts w:ascii="Caladea"/>
                <w:b/>
                <w:w w:val="95"/>
                <w:sz w:val="14"/>
              </w:rPr>
              <w:t>5.885</w:t>
            </w:r>
          </w:p>
        </w:tc>
        <w:tc>
          <w:tcPr>
            <w:tcW w:w="1378" w:type="dxa"/>
          </w:tcPr>
          <w:p>
            <w:pPr>
              <w:pStyle w:val="TableParagraph"/>
              <w:spacing w:before="27"/>
              <w:ind w:right="57"/>
              <w:jc w:val="right"/>
              <w:rPr>
                <w:rFonts w:ascii="Caladea"/>
                <w:b/>
                <w:sz w:val="14"/>
              </w:rPr>
            </w:pPr>
            <w:r>
              <w:rPr>
                <w:rFonts w:ascii="Caladea"/>
                <w:b/>
                <w:sz w:val="14"/>
              </w:rPr>
              <w:t>47.062</w:t>
            </w:r>
          </w:p>
        </w:tc>
        <w:tc>
          <w:tcPr>
            <w:tcW w:w="1166" w:type="dxa"/>
          </w:tcPr>
          <w:p>
            <w:pPr>
              <w:pStyle w:val="TableParagraph"/>
              <w:spacing w:before="27"/>
              <w:ind w:right="57"/>
              <w:jc w:val="right"/>
              <w:rPr>
                <w:rFonts w:ascii="Caladea"/>
                <w:b/>
                <w:sz w:val="14"/>
              </w:rPr>
            </w:pPr>
            <w:r>
              <w:rPr>
                <w:rFonts w:ascii="Caladea"/>
                <w:b/>
                <w:sz w:val="14"/>
              </w:rPr>
              <w:t>16.744</w:t>
            </w:r>
          </w:p>
        </w:tc>
      </w:tr>
      <w:tr>
        <w:trPr>
          <w:trHeight w:val="227" w:hRule="atLeast"/>
        </w:trPr>
        <w:tc>
          <w:tcPr>
            <w:tcW w:w="4777" w:type="dxa"/>
          </w:tcPr>
          <w:p>
            <w:pPr>
              <w:pStyle w:val="TableParagraph"/>
              <w:spacing w:before="30"/>
              <w:ind w:left="72"/>
              <w:rPr>
                <w:rFonts w:ascii="Caladea"/>
                <w:b/>
                <w:sz w:val="14"/>
              </w:rPr>
            </w:pPr>
            <w:r>
              <w:rPr>
                <w:rFonts w:ascii="Caladea"/>
                <w:b/>
                <w:sz w:val="14"/>
              </w:rPr>
              <w:t>Circulante</w:t>
            </w:r>
          </w:p>
        </w:tc>
        <w:tc>
          <w:tcPr>
            <w:tcW w:w="1299" w:type="dxa"/>
          </w:tcPr>
          <w:p>
            <w:pPr>
              <w:pStyle w:val="TableParagraph"/>
              <w:spacing w:before="30"/>
              <w:ind w:right="60"/>
              <w:jc w:val="right"/>
              <w:rPr>
                <w:rFonts w:ascii="Caladea"/>
                <w:b/>
                <w:sz w:val="14"/>
              </w:rPr>
            </w:pPr>
            <w:r>
              <w:rPr>
                <w:rFonts w:ascii="Caladea"/>
                <w:b/>
                <w:sz w:val="14"/>
              </w:rPr>
              <w:t>33.818</w:t>
            </w:r>
          </w:p>
        </w:tc>
        <w:tc>
          <w:tcPr>
            <w:tcW w:w="1296" w:type="dxa"/>
          </w:tcPr>
          <w:p>
            <w:pPr>
              <w:pStyle w:val="TableParagraph"/>
              <w:spacing w:before="30"/>
              <w:ind w:right="57"/>
              <w:jc w:val="right"/>
              <w:rPr>
                <w:rFonts w:ascii="Caladea"/>
                <w:b/>
                <w:sz w:val="14"/>
              </w:rPr>
            </w:pPr>
            <w:r>
              <w:rPr>
                <w:rFonts w:ascii="Caladea"/>
                <w:b/>
                <w:w w:val="95"/>
                <w:sz w:val="14"/>
              </w:rPr>
              <w:t>5.885</w:t>
            </w:r>
          </w:p>
        </w:tc>
        <w:tc>
          <w:tcPr>
            <w:tcW w:w="1378" w:type="dxa"/>
          </w:tcPr>
          <w:p>
            <w:pPr>
              <w:pStyle w:val="TableParagraph"/>
              <w:spacing w:before="30"/>
              <w:ind w:right="57"/>
              <w:jc w:val="right"/>
              <w:rPr>
                <w:rFonts w:ascii="Caladea"/>
                <w:b/>
                <w:sz w:val="14"/>
              </w:rPr>
            </w:pPr>
            <w:r>
              <w:rPr>
                <w:rFonts w:ascii="Caladea"/>
                <w:b/>
                <w:w w:val="95"/>
                <w:sz w:val="14"/>
              </w:rPr>
              <w:t>47.062</w:t>
            </w:r>
          </w:p>
        </w:tc>
        <w:tc>
          <w:tcPr>
            <w:tcW w:w="1166" w:type="dxa"/>
          </w:tcPr>
          <w:p>
            <w:pPr>
              <w:pStyle w:val="TableParagraph"/>
              <w:spacing w:before="30"/>
              <w:ind w:right="57"/>
              <w:jc w:val="right"/>
              <w:rPr>
                <w:rFonts w:ascii="Caladea"/>
                <w:b/>
                <w:sz w:val="14"/>
              </w:rPr>
            </w:pPr>
            <w:r>
              <w:rPr>
                <w:rFonts w:ascii="Caladea"/>
                <w:b/>
                <w:sz w:val="14"/>
              </w:rPr>
              <w:t>16.744</w:t>
            </w:r>
          </w:p>
        </w:tc>
      </w:tr>
    </w:tbl>
    <w:p>
      <w:pPr>
        <w:pStyle w:val="BodyText"/>
        <w:spacing w:before="10"/>
      </w:pPr>
    </w:p>
    <w:p>
      <w:pPr>
        <w:pStyle w:val="BodyText"/>
        <w:spacing w:line="242" w:lineRule="auto"/>
        <w:ind w:left="172" w:right="409"/>
        <w:jc w:val="both"/>
      </w:pPr>
      <w:r>
        <w:rPr/>
        <w:t>A Companhia recebeu Mandado de Penhora determinando o bloqueio da quantia de R$ 5.817 (cinco milhões, oitocentos</w:t>
      </w:r>
      <w:r>
        <w:rPr>
          <w:spacing w:val="-33"/>
        </w:rPr>
        <w:t> </w:t>
      </w:r>
      <w:r>
        <w:rPr/>
        <w:t>e</w:t>
      </w:r>
      <w:r>
        <w:rPr>
          <w:spacing w:val="-33"/>
        </w:rPr>
        <w:t> </w:t>
      </w:r>
      <w:r>
        <w:rPr/>
        <w:t>dezessete</w:t>
      </w:r>
      <w:r>
        <w:rPr>
          <w:spacing w:val="-33"/>
        </w:rPr>
        <w:t> </w:t>
      </w:r>
      <w:r>
        <w:rPr/>
        <w:t>mil,</w:t>
      </w:r>
      <w:r>
        <w:rPr>
          <w:spacing w:val="-33"/>
        </w:rPr>
        <w:t> </w:t>
      </w:r>
      <w:r>
        <w:rPr/>
        <w:t>trezentos</w:t>
      </w:r>
      <w:r>
        <w:rPr>
          <w:spacing w:val="-33"/>
        </w:rPr>
        <w:t> </w:t>
      </w:r>
      <w:r>
        <w:rPr/>
        <w:t>e</w:t>
      </w:r>
      <w:r>
        <w:rPr>
          <w:spacing w:val="-33"/>
        </w:rPr>
        <w:t> </w:t>
      </w:r>
      <w:r>
        <w:rPr/>
        <w:t>vinte</w:t>
      </w:r>
      <w:r>
        <w:rPr>
          <w:spacing w:val="-33"/>
        </w:rPr>
        <w:t> </w:t>
      </w:r>
      <w:r>
        <w:rPr/>
        <w:t>e</w:t>
      </w:r>
      <w:r>
        <w:rPr>
          <w:spacing w:val="-32"/>
        </w:rPr>
        <w:t> </w:t>
      </w:r>
      <w:r>
        <w:rPr/>
        <w:t>dois</w:t>
      </w:r>
      <w:r>
        <w:rPr>
          <w:spacing w:val="-33"/>
        </w:rPr>
        <w:t> </w:t>
      </w:r>
      <w:r>
        <w:rPr/>
        <w:t>reais</w:t>
      </w:r>
      <w:r>
        <w:rPr>
          <w:spacing w:val="-33"/>
        </w:rPr>
        <w:t> </w:t>
      </w:r>
      <w:r>
        <w:rPr/>
        <w:t>e</w:t>
      </w:r>
      <w:r>
        <w:rPr>
          <w:spacing w:val="-34"/>
        </w:rPr>
        <w:t> </w:t>
      </w:r>
      <w:r>
        <w:rPr/>
        <w:t>vinte</w:t>
      </w:r>
      <w:r>
        <w:rPr>
          <w:spacing w:val="-33"/>
        </w:rPr>
        <w:t> </w:t>
      </w:r>
      <w:r>
        <w:rPr/>
        <w:t>centavos),</w:t>
      </w:r>
      <w:r>
        <w:rPr>
          <w:spacing w:val="-33"/>
        </w:rPr>
        <w:t> </w:t>
      </w:r>
      <w:r>
        <w:rPr/>
        <w:t>que</w:t>
      </w:r>
      <w:r>
        <w:rPr>
          <w:spacing w:val="-33"/>
        </w:rPr>
        <w:t> </w:t>
      </w:r>
      <w:r>
        <w:rPr/>
        <w:t>estaria</w:t>
      </w:r>
      <w:r>
        <w:rPr>
          <w:spacing w:val="-32"/>
        </w:rPr>
        <w:t> </w:t>
      </w:r>
      <w:r>
        <w:rPr/>
        <w:t>destinada</w:t>
      </w:r>
      <w:r>
        <w:rPr>
          <w:spacing w:val="-33"/>
        </w:rPr>
        <w:t> </w:t>
      </w:r>
      <w:r>
        <w:rPr/>
        <w:t>ao</w:t>
      </w:r>
      <w:r>
        <w:rPr>
          <w:spacing w:val="-34"/>
        </w:rPr>
        <w:t> </w:t>
      </w:r>
      <w:r>
        <w:rPr/>
        <w:t>pagamento</w:t>
      </w:r>
      <w:r>
        <w:rPr>
          <w:spacing w:val="-32"/>
        </w:rPr>
        <w:t> </w:t>
      </w:r>
      <w:r>
        <w:rPr/>
        <w:t>dos dividendos</w:t>
      </w:r>
      <w:r>
        <w:rPr>
          <w:spacing w:val="-17"/>
        </w:rPr>
        <w:t> </w:t>
      </w:r>
      <w:r>
        <w:rPr/>
        <w:t>aos</w:t>
      </w:r>
      <w:r>
        <w:rPr>
          <w:spacing w:val="-19"/>
        </w:rPr>
        <w:t> </w:t>
      </w:r>
      <w:r>
        <w:rPr/>
        <w:t>acionistas</w:t>
      </w:r>
      <w:r>
        <w:rPr>
          <w:spacing w:val="-18"/>
        </w:rPr>
        <w:t> </w:t>
      </w:r>
      <w:r>
        <w:rPr/>
        <w:t>referente</w:t>
      </w:r>
      <w:r>
        <w:rPr>
          <w:spacing w:val="-19"/>
        </w:rPr>
        <w:t> </w:t>
      </w:r>
      <w:r>
        <w:rPr/>
        <w:t>ao</w:t>
      </w:r>
      <w:r>
        <w:rPr>
          <w:spacing w:val="-17"/>
        </w:rPr>
        <w:t> </w:t>
      </w:r>
      <w:r>
        <w:rPr/>
        <w:t>exercício</w:t>
      </w:r>
      <w:r>
        <w:rPr>
          <w:spacing w:val="-17"/>
        </w:rPr>
        <w:t> </w:t>
      </w:r>
      <w:r>
        <w:rPr/>
        <w:t>de</w:t>
      </w:r>
      <w:r>
        <w:rPr>
          <w:spacing w:val="-19"/>
        </w:rPr>
        <w:t> </w:t>
      </w:r>
      <w:r>
        <w:rPr/>
        <w:t>2018.</w:t>
      </w:r>
    </w:p>
    <w:p>
      <w:pPr>
        <w:pStyle w:val="BodyText"/>
        <w:spacing w:before="5"/>
      </w:pPr>
    </w:p>
    <w:p>
      <w:pPr>
        <w:pStyle w:val="Heading3"/>
        <w:numPr>
          <w:ilvl w:val="0"/>
          <w:numId w:val="6"/>
        </w:numPr>
        <w:tabs>
          <w:tab w:pos="953" w:val="left" w:leader="none"/>
          <w:tab w:pos="954" w:val="left" w:leader="none"/>
        </w:tabs>
        <w:spacing w:line="240" w:lineRule="auto" w:before="0" w:after="0"/>
        <w:ind w:left="953" w:right="0" w:hanging="782"/>
        <w:jc w:val="left"/>
      </w:pPr>
      <w:r>
        <w:rPr/>
        <w:t>OBRIGAÇÕES SOCIAIS E</w:t>
      </w:r>
      <w:r>
        <w:rPr>
          <w:spacing w:val="-1"/>
        </w:rPr>
        <w:t> </w:t>
      </w:r>
      <w:r>
        <w:rPr/>
        <w:t>TRABALHISTAS</w:t>
      </w:r>
    </w:p>
    <w:p>
      <w:pPr>
        <w:pStyle w:val="BodyText"/>
        <w:spacing w:before="5" w:after="1"/>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88"/>
        <w:gridCol w:w="1687"/>
        <w:gridCol w:w="1687"/>
        <w:gridCol w:w="1690"/>
        <w:gridCol w:w="1687"/>
      </w:tblGrid>
      <w:tr>
        <w:trPr>
          <w:trHeight w:val="642" w:hRule="atLeast"/>
        </w:trPr>
        <w:tc>
          <w:tcPr>
            <w:tcW w:w="3188" w:type="dxa"/>
            <w:vMerge w:val="restart"/>
            <w:shd w:val="clear" w:color="auto" w:fill="D9D9D9"/>
          </w:tcPr>
          <w:p>
            <w:pPr>
              <w:pStyle w:val="TableParagraph"/>
              <w:rPr>
                <w:rFonts w:ascii="Times New Roman"/>
                <w:sz w:val="16"/>
              </w:rPr>
            </w:pPr>
          </w:p>
        </w:tc>
        <w:tc>
          <w:tcPr>
            <w:tcW w:w="3374" w:type="dxa"/>
            <w:gridSpan w:val="2"/>
          </w:tcPr>
          <w:p>
            <w:pPr>
              <w:pStyle w:val="TableParagraph"/>
              <w:spacing w:before="4"/>
              <w:rPr>
                <w:rFonts w:ascii="Caladea"/>
                <w:b/>
                <w:sz w:val="20"/>
              </w:rPr>
            </w:pPr>
          </w:p>
          <w:p>
            <w:pPr>
              <w:pStyle w:val="TableParagraph"/>
              <w:ind w:left="1236" w:right="1227"/>
              <w:jc w:val="center"/>
              <w:rPr>
                <w:rFonts w:ascii="Caladea"/>
                <w:b/>
                <w:sz w:val="14"/>
              </w:rPr>
            </w:pPr>
            <w:r>
              <w:rPr>
                <w:rFonts w:ascii="Caladea"/>
                <w:b/>
                <w:sz w:val="14"/>
              </w:rPr>
              <w:t>Controladora</w:t>
            </w:r>
          </w:p>
        </w:tc>
        <w:tc>
          <w:tcPr>
            <w:tcW w:w="3377" w:type="dxa"/>
            <w:gridSpan w:val="2"/>
          </w:tcPr>
          <w:p>
            <w:pPr>
              <w:pStyle w:val="TableParagraph"/>
              <w:spacing w:before="4"/>
              <w:rPr>
                <w:rFonts w:ascii="Caladea"/>
                <w:b/>
                <w:sz w:val="20"/>
              </w:rPr>
            </w:pPr>
          </w:p>
          <w:p>
            <w:pPr>
              <w:pStyle w:val="TableParagraph"/>
              <w:ind w:left="1270" w:right="1258"/>
              <w:jc w:val="center"/>
              <w:rPr>
                <w:rFonts w:ascii="Caladea"/>
                <w:b/>
                <w:sz w:val="14"/>
              </w:rPr>
            </w:pPr>
            <w:r>
              <w:rPr>
                <w:rFonts w:ascii="Caladea"/>
                <w:b/>
                <w:sz w:val="14"/>
              </w:rPr>
              <w:t>Consolidado</w:t>
            </w:r>
          </w:p>
        </w:tc>
      </w:tr>
      <w:tr>
        <w:trPr>
          <w:trHeight w:val="222" w:hRule="atLeast"/>
        </w:trPr>
        <w:tc>
          <w:tcPr>
            <w:tcW w:w="3188" w:type="dxa"/>
            <w:vMerge/>
            <w:tcBorders>
              <w:top w:val="nil"/>
            </w:tcBorders>
            <w:shd w:val="clear" w:color="auto" w:fill="D9D9D9"/>
          </w:tcPr>
          <w:p>
            <w:pPr>
              <w:rPr>
                <w:sz w:val="2"/>
                <w:szCs w:val="2"/>
              </w:rPr>
            </w:pPr>
          </w:p>
        </w:tc>
        <w:tc>
          <w:tcPr>
            <w:tcW w:w="1687" w:type="dxa"/>
          </w:tcPr>
          <w:p>
            <w:pPr>
              <w:pStyle w:val="TableParagraph"/>
              <w:spacing w:before="27"/>
              <w:ind w:left="443"/>
              <w:rPr>
                <w:rFonts w:ascii="Caladea"/>
                <w:b/>
                <w:sz w:val="14"/>
              </w:rPr>
            </w:pPr>
            <w:r>
              <w:rPr>
                <w:rFonts w:ascii="Caladea"/>
                <w:b/>
                <w:sz w:val="14"/>
              </w:rPr>
              <w:t>31/12/2019</w:t>
            </w:r>
          </w:p>
        </w:tc>
        <w:tc>
          <w:tcPr>
            <w:tcW w:w="1687" w:type="dxa"/>
          </w:tcPr>
          <w:p>
            <w:pPr>
              <w:pStyle w:val="TableParagraph"/>
              <w:spacing w:before="27"/>
              <w:ind w:left="444"/>
              <w:rPr>
                <w:rFonts w:ascii="Caladea"/>
                <w:b/>
                <w:sz w:val="14"/>
              </w:rPr>
            </w:pPr>
            <w:r>
              <w:rPr>
                <w:rFonts w:ascii="Caladea"/>
                <w:b/>
                <w:sz w:val="14"/>
              </w:rPr>
              <w:t>31/12/2018</w:t>
            </w:r>
          </w:p>
        </w:tc>
        <w:tc>
          <w:tcPr>
            <w:tcW w:w="1690" w:type="dxa"/>
          </w:tcPr>
          <w:p>
            <w:pPr>
              <w:pStyle w:val="TableParagraph"/>
              <w:spacing w:before="27"/>
              <w:ind w:left="444"/>
              <w:rPr>
                <w:rFonts w:ascii="Caladea"/>
                <w:b/>
                <w:sz w:val="14"/>
              </w:rPr>
            </w:pPr>
            <w:r>
              <w:rPr>
                <w:rFonts w:ascii="Caladea"/>
                <w:b/>
                <w:sz w:val="14"/>
              </w:rPr>
              <w:t>31/12/2019</w:t>
            </w:r>
          </w:p>
        </w:tc>
        <w:tc>
          <w:tcPr>
            <w:tcW w:w="1687" w:type="dxa"/>
          </w:tcPr>
          <w:p>
            <w:pPr>
              <w:pStyle w:val="TableParagraph"/>
              <w:spacing w:before="27"/>
              <w:ind w:left="442"/>
              <w:rPr>
                <w:rFonts w:ascii="Caladea"/>
                <w:b/>
                <w:sz w:val="14"/>
              </w:rPr>
            </w:pPr>
            <w:r>
              <w:rPr>
                <w:rFonts w:ascii="Caladea"/>
                <w:b/>
                <w:sz w:val="14"/>
              </w:rPr>
              <w:t>31/12/2018</w:t>
            </w:r>
          </w:p>
        </w:tc>
      </w:tr>
      <w:tr>
        <w:trPr>
          <w:trHeight w:val="220" w:hRule="atLeast"/>
        </w:trPr>
        <w:tc>
          <w:tcPr>
            <w:tcW w:w="3188" w:type="dxa"/>
          </w:tcPr>
          <w:p>
            <w:pPr>
              <w:pStyle w:val="TableParagraph"/>
              <w:spacing w:before="29"/>
              <w:ind w:left="72"/>
              <w:rPr>
                <w:sz w:val="14"/>
              </w:rPr>
            </w:pPr>
            <w:r>
              <w:rPr>
                <w:sz w:val="14"/>
              </w:rPr>
              <w:t>Provisão de Férias</w:t>
            </w:r>
          </w:p>
        </w:tc>
        <w:tc>
          <w:tcPr>
            <w:tcW w:w="1687" w:type="dxa"/>
          </w:tcPr>
          <w:p>
            <w:pPr>
              <w:pStyle w:val="TableParagraph"/>
              <w:spacing w:before="29"/>
              <w:ind w:right="57"/>
              <w:jc w:val="right"/>
              <w:rPr>
                <w:sz w:val="14"/>
              </w:rPr>
            </w:pPr>
            <w:r>
              <w:rPr>
                <w:sz w:val="14"/>
              </w:rPr>
              <w:t>294</w:t>
            </w:r>
          </w:p>
        </w:tc>
        <w:tc>
          <w:tcPr>
            <w:tcW w:w="1687" w:type="dxa"/>
          </w:tcPr>
          <w:p>
            <w:pPr>
              <w:pStyle w:val="TableParagraph"/>
              <w:spacing w:before="29"/>
              <w:ind w:right="56"/>
              <w:jc w:val="right"/>
              <w:rPr>
                <w:sz w:val="14"/>
              </w:rPr>
            </w:pPr>
            <w:r>
              <w:rPr>
                <w:sz w:val="14"/>
              </w:rPr>
              <w:t>201</w:t>
            </w:r>
          </w:p>
        </w:tc>
        <w:tc>
          <w:tcPr>
            <w:tcW w:w="1690" w:type="dxa"/>
          </w:tcPr>
          <w:p>
            <w:pPr>
              <w:pStyle w:val="TableParagraph"/>
              <w:spacing w:before="29"/>
              <w:ind w:right="56"/>
              <w:jc w:val="right"/>
              <w:rPr>
                <w:sz w:val="14"/>
              </w:rPr>
            </w:pPr>
            <w:r>
              <w:rPr>
                <w:w w:val="95"/>
                <w:sz w:val="14"/>
              </w:rPr>
              <w:t>12.304</w:t>
            </w:r>
          </w:p>
        </w:tc>
        <w:tc>
          <w:tcPr>
            <w:tcW w:w="1687" w:type="dxa"/>
          </w:tcPr>
          <w:p>
            <w:pPr>
              <w:pStyle w:val="TableParagraph"/>
              <w:spacing w:before="29"/>
              <w:ind w:right="58"/>
              <w:jc w:val="right"/>
              <w:rPr>
                <w:sz w:val="14"/>
              </w:rPr>
            </w:pPr>
            <w:r>
              <w:rPr>
                <w:w w:val="95"/>
                <w:sz w:val="14"/>
              </w:rPr>
              <w:t>12.317</w:t>
            </w:r>
          </w:p>
        </w:tc>
      </w:tr>
      <w:tr>
        <w:trPr>
          <w:trHeight w:val="220" w:hRule="atLeast"/>
        </w:trPr>
        <w:tc>
          <w:tcPr>
            <w:tcW w:w="3188" w:type="dxa"/>
          </w:tcPr>
          <w:p>
            <w:pPr>
              <w:pStyle w:val="TableParagraph"/>
              <w:spacing w:before="29"/>
              <w:ind w:left="72"/>
              <w:rPr>
                <w:sz w:val="14"/>
              </w:rPr>
            </w:pPr>
            <w:r>
              <w:rPr>
                <w:sz w:val="14"/>
              </w:rPr>
              <w:t>Encargos Sobre Provisões</w:t>
            </w:r>
          </w:p>
        </w:tc>
        <w:tc>
          <w:tcPr>
            <w:tcW w:w="1687" w:type="dxa"/>
          </w:tcPr>
          <w:p>
            <w:pPr>
              <w:pStyle w:val="TableParagraph"/>
              <w:rPr>
                <w:rFonts w:ascii="Times New Roman"/>
                <w:sz w:val="14"/>
              </w:rPr>
            </w:pPr>
          </w:p>
        </w:tc>
        <w:tc>
          <w:tcPr>
            <w:tcW w:w="1687" w:type="dxa"/>
          </w:tcPr>
          <w:p>
            <w:pPr>
              <w:pStyle w:val="TableParagraph"/>
              <w:rPr>
                <w:rFonts w:ascii="Times New Roman"/>
                <w:sz w:val="14"/>
              </w:rPr>
            </w:pPr>
          </w:p>
        </w:tc>
        <w:tc>
          <w:tcPr>
            <w:tcW w:w="1690" w:type="dxa"/>
          </w:tcPr>
          <w:p>
            <w:pPr>
              <w:pStyle w:val="TableParagraph"/>
              <w:spacing w:before="29"/>
              <w:ind w:right="56"/>
              <w:jc w:val="right"/>
              <w:rPr>
                <w:sz w:val="14"/>
              </w:rPr>
            </w:pPr>
            <w:r>
              <w:rPr>
                <w:w w:val="95"/>
                <w:sz w:val="14"/>
              </w:rPr>
              <w:t>4.416</w:t>
            </w:r>
          </w:p>
        </w:tc>
        <w:tc>
          <w:tcPr>
            <w:tcW w:w="1687" w:type="dxa"/>
          </w:tcPr>
          <w:p>
            <w:pPr>
              <w:pStyle w:val="TableParagraph"/>
              <w:spacing w:before="29"/>
              <w:ind w:right="58"/>
              <w:jc w:val="right"/>
              <w:rPr>
                <w:sz w:val="14"/>
              </w:rPr>
            </w:pPr>
            <w:r>
              <w:rPr>
                <w:w w:val="95"/>
                <w:sz w:val="14"/>
              </w:rPr>
              <w:t>4.475</w:t>
            </w:r>
          </w:p>
        </w:tc>
      </w:tr>
      <w:tr>
        <w:trPr>
          <w:trHeight w:val="220" w:hRule="atLeast"/>
        </w:trPr>
        <w:tc>
          <w:tcPr>
            <w:tcW w:w="3188" w:type="dxa"/>
          </w:tcPr>
          <w:p>
            <w:pPr>
              <w:pStyle w:val="TableParagraph"/>
              <w:spacing w:before="29"/>
              <w:ind w:left="72"/>
              <w:rPr>
                <w:sz w:val="14"/>
              </w:rPr>
            </w:pPr>
            <w:r>
              <w:rPr>
                <w:sz w:val="14"/>
              </w:rPr>
              <w:t>Abono Assiduidade</w:t>
            </w:r>
          </w:p>
        </w:tc>
        <w:tc>
          <w:tcPr>
            <w:tcW w:w="1687" w:type="dxa"/>
          </w:tcPr>
          <w:p>
            <w:pPr>
              <w:pStyle w:val="TableParagraph"/>
              <w:rPr>
                <w:rFonts w:ascii="Times New Roman"/>
                <w:sz w:val="14"/>
              </w:rPr>
            </w:pPr>
          </w:p>
        </w:tc>
        <w:tc>
          <w:tcPr>
            <w:tcW w:w="1687" w:type="dxa"/>
          </w:tcPr>
          <w:p>
            <w:pPr>
              <w:pStyle w:val="TableParagraph"/>
              <w:rPr>
                <w:rFonts w:ascii="Times New Roman"/>
                <w:sz w:val="14"/>
              </w:rPr>
            </w:pPr>
          </w:p>
        </w:tc>
        <w:tc>
          <w:tcPr>
            <w:tcW w:w="1690" w:type="dxa"/>
          </w:tcPr>
          <w:p>
            <w:pPr>
              <w:pStyle w:val="TableParagraph"/>
              <w:spacing w:before="29"/>
              <w:ind w:right="56"/>
              <w:jc w:val="right"/>
              <w:rPr>
                <w:sz w:val="14"/>
              </w:rPr>
            </w:pPr>
            <w:r>
              <w:rPr>
                <w:w w:val="95"/>
                <w:sz w:val="14"/>
              </w:rPr>
              <w:t>3.035</w:t>
            </w:r>
          </w:p>
        </w:tc>
        <w:tc>
          <w:tcPr>
            <w:tcW w:w="1687" w:type="dxa"/>
          </w:tcPr>
          <w:p>
            <w:pPr>
              <w:pStyle w:val="TableParagraph"/>
              <w:spacing w:before="29"/>
              <w:ind w:right="58"/>
              <w:jc w:val="right"/>
              <w:rPr>
                <w:sz w:val="14"/>
              </w:rPr>
            </w:pPr>
            <w:r>
              <w:rPr>
                <w:w w:val="95"/>
                <w:sz w:val="14"/>
              </w:rPr>
              <w:t>3.451</w:t>
            </w:r>
          </w:p>
        </w:tc>
      </w:tr>
      <w:tr>
        <w:trPr>
          <w:trHeight w:val="222" w:hRule="atLeast"/>
        </w:trPr>
        <w:tc>
          <w:tcPr>
            <w:tcW w:w="3188" w:type="dxa"/>
          </w:tcPr>
          <w:p>
            <w:pPr>
              <w:pStyle w:val="TableParagraph"/>
              <w:spacing w:before="27"/>
              <w:ind w:left="72"/>
              <w:rPr>
                <w:rFonts w:ascii="Caladea" w:hAnsi="Caladea"/>
                <w:b/>
                <w:sz w:val="14"/>
              </w:rPr>
            </w:pPr>
            <w:r>
              <w:rPr>
                <w:sz w:val="14"/>
              </w:rPr>
              <w:t>Participação nos Lucros </w:t>
            </w:r>
            <w:r>
              <w:rPr>
                <w:rFonts w:ascii="Caladea" w:hAnsi="Caladea"/>
                <w:b/>
                <w:sz w:val="14"/>
              </w:rPr>
              <w:t>(a)</w:t>
            </w:r>
          </w:p>
        </w:tc>
        <w:tc>
          <w:tcPr>
            <w:tcW w:w="1687" w:type="dxa"/>
          </w:tcPr>
          <w:p>
            <w:pPr>
              <w:pStyle w:val="TableParagraph"/>
              <w:rPr>
                <w:rFonts w:ascii="Times New Roman"/>
                <w:sz w:val="14"/>
              </w:rPr>
            </w:pPr>
          </w:p>
        </w:tc>
        <w:tc>
          <w:tcPr>
            <w:tcW w:w="1687" w:type="dxa"/>
          </w:tcPr>
          <w:p>
            <w:pPr>
              <w:pStyle w:val="TableParagraph"/>
              <w:rPr>
                <w:rFonts w:ascii="Times New Roman"/>
                <w:sz w:val="14"/>
              </w:rPr>
            </w:pPr>
          </w:p>
        </w:tc>
        <w:tc>
          <w:tcPr>
            <w:tcW w:w="1690" w:type="dxa"/>
          </w:tcPr>
          <w:p>
            <w:pPr>
              <w:pStyle w:val="TableParagraph"/>
              <w:spacing w:before="29"/>
              <w:ind w:right="56"/>
              <w:jc w:val="right"/>
              <w:rPr>
                <w:sz w:val="14"/>
              </w:rPr>
            </w:pPr>
            <w:r>
              <w:rPr>
                <w:w w:val="95"/>
                <w:sz w:val="14"/>
              </w:rPr>
              <w:t>1.621</w:t>
            </w:r>
          </w:p>
        </w:tc>
        <w:tc>
          <w:tcPr>
            <w:tcW w:w="1687" w:type="dxa"/>
          </w:tcPr>
          <w:p>
            <w:pPr>
              <w:pStyle w:val="TableParagraph"/>
              <w:spacing w:before="29"/>
              <w:ind w:right="58"/>
              <w:jc w:val="right"/>
              <w:rPr>
                <w:sz w:val="14"/>
              </w:rPr>
            </w:pPr>
            <w:r>
              <w:rPr>
                <w:w w:val="95"/>
                <w:sz w:val="14"/>
              </w:rPr>
              <w:t>4.064</w:t>
            </w:r>
          </w:p>
        </w:tc>
      </w:tr>
      <w:tr>
        <w:trPr>
          <w:trHeight w:val="220" w:hRule="atLeast"/>
        </w:trPr>
        <w:tc>
          <w:tcPr>
            <w:tcW w:w="3188" w:type="dxa"/>
          </w:tcPr>
          <w:p>
            <w:pPr>
              <w:pStyle w:val="TableParagraph"/>
              <w:spacing w:before="29"/>
              <w:ind w:left="72"/>
              <w:rPr>
                <w:sz w:val="14"/>
              </w:rPr>
            </w:pPr>
            <w:r>
              <w:rPr>
                <w:sz w:val="14"/>
              </w:rPr>
              <w:t>Outros</w:t>
            </w:r>
          </w:p>
        </w:tc>
        <w:tc>
          <w:tcPr>
            <w:tcW w:w="1687" w:type="dxa"/>
          </w:tcPr>
          <w:p>
            <w:pPr>
              <w:pStyle w:val="TableParagraph"/>
              <w:spacing w:before="29"/>
              <w:ind w:right="54"/>
              <w:jc w:val="right"/>
              <w:rPr>
                <w:sz w:val="14"/>
              </w:rPr>
            </w:pPr>
            <w:r>
              <w:rPr>
                <w:w w:val="104"/>
                <w:sz w:val="14"/>
              </w:rPr>
              <w:t>3</w:t>
            </w:r>
          </w:p>
        </w:tc>
        <w:tc>
          <w:tcPr>
            <w:tcW w:w="1687" w:type="dxa"/>
          </w:tcPr>
          <w:p>
            <w:pPr>
              <w:pStyle w:val="TableParagraph"/>
              <w:rPr>
                <w:rFonts w:ascii="Times New Roman"/>
                <w:sz w:val="14"/>
              </w:rPr>
            </w:pPr>
          </w:p>
        </w:tc>
        <w:tc>
          <w:tcPr>
            <w:tcW w:w="1690" w:type="dxa"/>
          </w:tcPr>
          <w:p>
            <w:pPr>
              <w:pStyle w:val="TableParagraph"/>
              <w:spacing w:before="29"/>
              <w:ind w:right="56"/>
              <w:jc w:val="right"/>
              <w:rPr>
                <w:sz w:val="14"/>
              </w:rPr>
            </w:pPr>
            <w:r>
              <w:rPr>
                <w:w w:val="95"/>
                <w:sz w:val="14"/>
              </w:rPr>
              <w:t>2.057</w:t>
            </w:r>
          </w:p>
        </w:tc>
        <w:tc>
          <w:tcPr>
            <w:tcW w:w="1687" w:type="dxa"/>
          </w:tcPr>
          <w:p>
            <w:pPr>
              <w:pStyle w:val="TableParagraph"/>
              <w:spacing w:before="29"/>
              <w:ind w:right="58"/>
              <w:jc w:val="right"/>
              <w:rPr>
                <w:sz w:val="14"/>
              </w:rPr>
            </w:pPr>
            <w:r>
              <w:rPr>
                <w:w w:val="95"/>
                <w:sz w:val="14"/>
              </w:rPr>
              <w:t>1.676</w:t>
            </w:r>
          </w:p>
        </w:tc>
      </w:tr>
      <w:tr>
        <w:trPr>
          <w:trHeight w:val="220" w:hRule="atLeast"/>
        </w:trPr>
        <w:tc>
          <w:tcPr>
            <w:tcW w:w="3188" w:type="dxa"/>
          </w:tcPr>
          <w:p>
            <w:pPr>
              <w:pStyle w:val="TableParagraph"/>
              <w:spacing w:before="28"/>
              <w:ind w:left="72"/>
              <w:rPr>
                <w:rFonts w:ascii="Caladea"/>
                <w:b/>
                <w:sz w:val="14"/>
              </w:rPr>
            </w:pPr>
            <w:r>
              <w:rPr>
                <w:rFonts w:ascii="Caladea"/>
                <w:b/>
                <w:sz w:val="14"/>
              </w:rPr>
              <w:t>Total</w:t>
            </w:r>
          </w:p>
        </w:tc>
        <w:tc>
          <w:tcPr>
            <w:tcW w:w="1687" w:type="dxa"/>
          </w:tcPr>
          <w:p>
            <w:pPr>
              <w:pStyle w:val="TableParagraph"/>
              <w:spacing w:before="28"/>
              <w:ind w:right="56"/>
              <w:jc w:val="right"/>
              <w:rPr>
                <w:rFonts w:ascii="Caladea"/>
                <w:b/>
                <w:sz w:val="14"/>
              </w:rPr>
            </w:pPr>
            <w:r>
              <w:rPr>
                <w:rFonts w:ascii="Caladea"/>
                <w:b/>
                <w:w w:val="95"/>
                <w:sz w:val="14"/>
              </w:rPr>
              <w:t>297</w:t>
            </w:r>
          </w:p>
        </w:tc>
        <w:tc>
          <w:tcPr>
            <w:tcW w:w="1687" w:type="dxa"/>
          </w:tcPr>
          <w:p>
            <w:pPr>
              <w:pStyle w:val="TableParagraph"/>
              <w:spacing w:before="28"/>
              <w:ind w:right="56"/>
              <w:jc w:val="right"/>
              <w:rPr>
                <w:rFonts w:ascii="Caladea"/>
                <w:b/>
                <w:sz w:val="14"/>
              </w:rPr>
            </w:pPr>
            <w:r>
              <w:rPr>
                <w:rFonts w:ascii="Caladea"/>
                <w:b/>
                <w:w w:val="95"/>
                <w:sz w:val="14"/>
              </w:rPr>
              <w:t>201</w:t>
            </w:r>
          </w:p>
        </w:tc>
        <w:tc>
          <w:tcPr>
            <w:tcW w:w="1690" w:type="dxa"/>
          </w:tcPr>
          <w:p>
            <w:pPr>
              <w:pStyle w:val="TableParagraph"/>
              <w:spacing w:before="28"/>
              <w:ind w:right="56"/>
              <w:jc w:val="right"/>
              <w:rPr>
                <w:rFonts w:ascii="Caladea"/>
                <w:b/>
                <w:sz w:val="14"/>
              </w:rPr>
            </w:pPr>
            <w:r>
              <w:rPr>
                <w:rFonts w:ascii="Caladea"/>
                <w:b/>
                <w:sz w:val="14"/>
              </w:rPr>
              <w:t>23.433</w:t>
            </w:r>
          </w:p>
        </w:tc>
        <w:tc>
          <w:tcPr>
            <w:tcW w:w="1687" w:type="dxa"/>
          </w:tcPr>
          <w:p>
            <w:pPr>
              <w:pStyle w:val="TableParagraph"/>
              <w:spacing w:before="28"/>
              <w:ind w:right="58"/>
              <w:jc w:val="right"/>
              <w:rPr>
                <w:rFonts w:ascii="Caladea"/>
                <w:b/>
                <w:sz w:val="14"/>
              </w:rPr>
            </w:pPr>
            <w:r>
              <w:rPr>
                <w:rFonts w:ascii="Caladea"/>
                <w:b/>
                <w:sz w:val="14"/>
              </w:rPr>
              <w:t>25.983</w:t>
            </w:r>
          </w:p>
        </w:tc>
      </w:tr>
      <w:tr>
        <w:trPr>
          <w:trHeight w:val="222" w:hRule="atLeast"/>
        </w:trPr>
        <w:tc>
          <w:tcPr>
            <w:tcW w:w="3188" w:type="dxa"/>
          </w:tcPr>
          <w:p>
            <w:pPr>
              <w:pStyle w:val="TableParagraph"/>
              <w:spacing w:before="27"/>
              <w:ind w:left="72"/>
              <w:rPr>
                <w:rFonts w:ascii="Caladea"/>
                <w:b/>
                <w:sz w:val="14"/>
              </w:rPr>
            </w:pPr>
            <w:r>
              <w:rPr>
                <w:rFonts w:ascii="Caladea"/>
                <w:b/>
                <w:sz w:val="14"/>
              </w:rPr>
              <w:t>Circulante</w:t>
            </w:r>
          </w:p>
        </w:tc>
        <w:tc>
          <w:tcPr>
            <w:tcW w:w="1687" w:type="dxa"/>
          </w:tcPr>
          <w:p>
            <w:pPr>
              <w:pStyle w:val="TableParagraph"/>
              <w:spacing w:before="27"/>
              <w:ind w:right="56"/>
              <w:jc w:val="right"/>
              <w:rPr>
                <w:rFonts w:ascii="Caladea"/>
                <w:b/>
                <w:sz w:val="14"/>
              </w:rPr>
            </w:pPr>
            <w:r>
              <w:rPr>
                <w:rFonts w:ascii="Caladea"/>
                <w:b/>
                <w:w w:val="95"/>
                <w:sz w:val="14"/>
              </w:rPr>
              <w:t>297</w:t>
            </w:r>
          </w:p>
        </w:tc>
        <w:tc>
          <w:tcPr>
            <w:tcW w:w="1687" w:type="dxa"/>
          </w:tcPr>
          <w:p>
            <w:pPr>
              <w:pStyle w:val="TableParagraph"/>
              <w:spacing w:before="27"/>
              <w:ind w:right="56"/>
              <w:jc w:val="right"/>
              <w:rPr>
                <w:rFonts w:ascii="Caladea"/>
                <w:b/>
                <w:sz w:val="14"/>
              </w:rPr>
            </w:pPr>
            <w:r>
              <w:rPr>
                <w:rFonts w:ascii="Caladea"/>
                <w:b/>
                <w:w w:val="95"/>
                <w:sz w:val="14"/>
              </w:rPr>
              <w:t>201</w:t>
            </w:r>
          </w:p>
        </w:tc>
        <w:tc>
          <w:tcPr>
            <w:tcW w:w="1690" w:type="dxa"/>
          </w:tcPr>
          <w:p>
            <w:pPr>
              <w:pStyle w:val="TableParagraph"/>
              <w:spacing w:before="27"/>
              <w:ind w:right="58"/>
              <w:jc w:val="right"/>
              <w:rPr>
                <w:rFonts w:ascii="Caladea"/>
                <w:b/>
                <w:sz w:val="14"/>
              </w:rPr>
            </w:pPr>
            <w:r>
              <w:rPr>
                <w:rFonts w:ascii="Caladea"/>
                <w:b/>
                <w:sz w:val="14"/>
              </w:rPr>
              <w:t>23.433</w:t>
            </w:r>
          </w:p>
        </w:tc>
        <w:tc>
          <w:tcPr>
            <w:tcW w:w="1687" w:type="dxa"/>
          </w:tcPr>
          <w:p>
            <w:pPr>
              <w:pStyle w:val="TableParagraph"/>
              <w:spacing w:before="27"/>
              <w:ind w:right="58"/>
              <w:jc w:val="right"/>
              <w:rPr>
                <w:rFonts w:ascii="Caladea"/>
                <w:b/>
                <w:sz w:val="14"/>
              </w:rPr>
            </w:pPr>
            <w:r>
              <w:rPr>
                <w:rFonts w:ascii="Caladea"/>
                <w:b/>
                <w:sz w:val="14"/>
              </w:rPr>
              <w:t>25.983</w:t>
            </w:r>
          </w:p>
        </w:tc>
      </w:tr>
    </w:tbl>
    <w:p>
      <w:pPr>
        <w:pStyle w:val="BodyText"/>
        <w:spacing w:before="239"/>
        <w:ind w:left="172"/>
      </w:pPr>
      <w:r>
        <w:rPr>
          <w:rFonts w:ascii="Caladea" w:hAnsi="Caladea"/>
          <w:b/>
        </w:rPr>
        <w:t>(a)</w:t>
      </w:r>
      <w:r>
        <w:rPr>
          <w:rFonts w:ascii="Caladea" w:hAnsi="Caladea"/>
          <w:b/>
          <w:spacing w:val="-17"/>
        </w:rPr>
        <w:t> </w:t>
      </w:r>
      <w:r>
        <w:rPr/>
        <w:t>A</w:t>
      </w:r>
      <w:r>
        <w:rPr>
          <w:spacing w:val="-32"/>
        </w:rPr>
        <w:t> </w:t>
      </w:r>
      <w:r>
        <w:rPr/>
        <w:t>provisão</w:t>
      </w:r>
      <w:r>
        <w:rPr>
          <w:spacing w:val="-34"/>
        </w:rPr>
        <w:t> </w:t>
      </w:r>
      <w:r>
        <w:rPr/>
        <w:t>para</w:t>
      </w:r>
      <w:r>
        <w:rPr>
          <w:spacing w:val="-31"/>
        </w:rPr>
        <w:t> </w:t>
      </w:r>
      <w:r>
        <w:rPr/>
        <w:t>a</w:t>
      </w:r>
      <w:r>
        <w:rPr>
          <w:spacing w:val="-33"/>
        </w:rPr>
        <w:t> </w:t>
      </w:r>
      <w:r>
        <w:rPr/>
        <w:t>Participação</w:t>
      </w:r>
      <w:r>
        <w:rPr>
          <w:spacing w:val="-34"/>
        </w:rPr>
        <w:t> </w:t>
      </w:r>
      <w:r>
        <w:rPr/>
        <w:t>nos</w:t>
      </w:r>
      <w:r>
        <w:rPr>
          <w:spacing w:val="-33"/>
        </w:rPr>
        <w:t> </w:t>
      </w:r>
      <w:r>
        <w:rPr/>
        <w:t>Lucros</w:t>
      </w:r>
      <w:r>
        <w:rPr>
          <w:spacing w:val="-31"/>
        </w:rPr>
        <w:t> </w:t>
      </w:r>
      <w:r>
        <w:rPr/>
        <w:t>e</w:t>
      </w:r>
      <w:r>
        <w:rPr>
          <w:spacing w:val="-33"/>
        </w:rPr>
        <w:t> </w:t>
      </w:r>
      <w:r>
        <w:rPr/>
        <w:t>Resultados</w:t>
      </w:r>
      <w:r>
        <w:rPr>
          <w:spacing w:val="-31"/>
        </w:rPr>
        <w:t> </w:t>
      </w:r>
      <w:r>
        <w:rPr/>
        <w:t>-</w:t>
      </w:r>
      <w:r>
        <w:rPr>
          <w:spacing w:val="-33"/>
        </w:rPr>
        <w:t> </w:t>
      </w:r>
      <w:r>
        <w:rPr/>
        <w:t>PLR</w:t>
      </w:r>
      <w:r>
        <w:rPr>
          <w:spacing w:val="-33"/>
        </w:rPr>
        <w:t> </w:t>
      </w:r>
      <w:r>
        <w:rPr/>
        <w:t>foi</w:t>
      </w:r>
      <w:r>
        <w:rPr>
          <w:spacing w:val="-34"/>
        </w:rPr>
        <w:t> </w:t>
      </w:r>
      <w:r>
        <w:rPr/>
        <w:t>apurada</w:t>
      </w:r>
      <w:r>
        <w:rPr>
          <w:spacing w:val="-33"/>
        </w:rPr>
        <w:t> </w:t>
      </w:r>
      <w:r>
        <w:rPr/>
        <w:t>com</w:t>
      </w:r>
      <w:r>
        <w:rPr>
          <w:spacing w:val="-32"/>
        </w:rPr>
        <w:t> </w:t>
      </w:r>
      <w:r>
        <w:rPr/>
        <w:t>base</w:t>
      </w:r>
      <w:r>
        <w:rPr>
          <w:spacing w:val="-33"/>
        </w:rPr>
        <w:t> </w:t>
      </w:r>
      <w:r>
        <w:rPr/>
        <w:t>no</w:t>
      </w:r>
      <w:r>
        <w:rPr>
          <w:spacing w:val="-34"/>
        </w:rPr>
        <w:t> </w:t>
      </w:r>
      <w:r>
        <w:rPr/>
        <w:t>Acordo</w:t>
      </w:r>
      <w:r>
        <w:rPr>
          <w:spacing w:val="-32"/>
        </w:rPr>
        <w:t> </w:t>
      </w:r>
      <w:r>
        <w:rPr/>
        <w:t>Coletivo</w:t>
      </w:r>
      <w:r>
        <w:rPr>
          <w:spacing w:val="-34"/>
        </w:rPr>
        <w:t> </w:t>
      </w:r>
      <w:r>
        <w:rPr/>
        <w:t>de</w:t>
      </w:r>
      <w:r>
        <w:rPr>
          <w:spacing w:val="-33"/>
        </w:rPr>
        <w:t> </w:t>
      </w:r>
      <w:r>
        <w:rPr/>
        <w:t>Trabalho</w:t>
      </w:r>
    </w:p>
    <w:p>
      <w:pPr>
        <w:pStyle w:val="BodyText"/>
        <w:spacing w:before="3"/>
        <w:ind w:left="172"/>
        <w:jc w:val="both"/>
      </w:pPr>
      <w:r>
        <w:rPr>
          <w:w w:val="110"/>
        </w:rPr>
        <w:t>– ACT (2019/2020) vigente.</w:t>
      </w:r>
    </w:p>
    <w:p>
      <w:pPr>
        <w:pStyle w:val="BodyText"/>
        <w:spacing w:before="7"/>
      </w:pPr>
    </w:p>
    <w:p>
      <w:pPr>
        <w:pStyle w:val="Heading3"/>
        <w:numPr>
          <w:ilvl w:val="0"/>
          <w:numId w:val="6"/>
        </w:numPr>
        <w:tabs>
          <w:tab w:pos="953" w:val="left" w:leader="none"/>
          <w:tab w:pos="954" w:val="left" w:leader="none"/>
        </w:tabs>
        <w:spacing w:line="240" w:lineRule="auto" w:before="0" w:after="0"/>
        <w:ind w:left="953" w:right="0" w:hanging="782"/>
        <w:jc w:val="left"/>
      </w:pPr>
      <w:r>
        <w:rPr/>
        <w:t>BENEFÍCIOS</w:t>
      </w:r>
      <w:r>
        <w:rPr>
          <w:spacing w:val="-2"/>
        </w:rPr>
        <w:t> </w:t>
      </w:r>
      <w:r>
        <w:rPr/>
        <w:t>PÓS-EMPREGO</w:t>
      </w:r>
    </w:p>
    <w:p>
      <w:pPr>
        <w:pStyle w:val="ListParagraph"/>
        <w:numPr>
          <w:ilvl w:val="1"/>
          <w:numId w:val="6"/>
        </w:numPr>
        <w:tabs>
          <w:tab w:pos="1025" w:val="left" w:leader="none"/>
          <w:tab w:pos="1026" w:val="left" w:leader="none"/>
        </w:tabs>
        <w:spacing w:line="240" w:lineRule="auto" w:before="242" w:after="0"/>
        <w:ind w:left="1025" w:right="0" w:hanging="854"/>
        <w:jc w:val="left"/>
        <w:rPr>
          <w:rFonts w:ascii="Caladea" w:hAnsi="Caladea"/>
          <w:b/>
          <w:sz w:val="18"/>
        </w:rPr>
      </w:pPr>
      <w:r>
        <w:rPr>
          <w:rFonts w:ascii="Caladea" w:hAnsi="Caladea"/>
          <w:b/>
          <w:sz w:val="22"/>
        </w:rPr>
        <w:t>P</w:t>
      </w:r>
      <w:r>
        <w:rPr>
          <w:rFonts w:ascii="Caladea" w:hAnsi="Caladea"/>
          <w:b/>
          <w:sz w:val="18"/>
        </w:rPr>
        <w:t>LANOS DE</w:t>
      </w:r>
      <w:r>
        <w:rPr>
          <w:rFonts w:ascii="Caladea" w:hAnsi="Caladea"/>
          <w:b/>
          <w:spacing w:val="-2"/>
          <w:sz w:val="18"/>
        </w:rPr>
        <w:t> </w:t>
      </w:r>
      <w:r>
        <w:rPr>
          <w:rFonts w:ascii="Caladea" w:hAnsi="Caladea"/>
          <w:b/>
          <w:sz w:val="22"/>
        </w:rPr>
        <w:t>B</w:t>
      </w:r>
      <w:r>
        <w:rPr>
          <w:rFonts w:ascii="Caladea" w:hAnsi="Caladea"/>
          <w:b/>
          <w:sz w:val="18"/>
        </w:rPr>
        <w:t>ENEFÍCIOS</w:t>
      </w:r>
    </w:p>
    <w:p>
      <w:pPr>
        <w:pStyle w:val="BodyText"/>
        <w:rPr>
          <w:rFonts w:ascii="Caladea"/>
          <w:b/>
          <w:sz w:val="24"/>
        </w:rPr>
      </w:pPr>
    </w:p>
    <w:p>
      <w:pPr>
        <w:pStyle w:val="BodyText"/>
        <w:spacing w:line="242" w:lineRule="auto"/>
        <w:ind w:left="172" w:right="406"/>
        <w:jc w:val="both"/>
      </w:pPr>
      <w:r>
        <w:rPr/>
        <w:t>A</w:t>
      </w:r>
      <w:r>
        <w:rPr>
          <w:spacing w:val="-22"/>
        </w:rPr>
        <w:t> </w:t>
      </w:r>
      <w:r>
        <w:rPr/>
        <w:t>Companhia</w:t>
      </w:r>
      <w:r>
        <w:rPr>
          <w:spacing w:val="-18"/>
        </w:rPr>
        <w:t> </w:t>
      </w:r>
      <w:r>
        <w:rPr/>
        <w:t>e</w:t>
      </w:r>
      <w:r>
        <w:rPr>
          <w:spacing w:val="-21"/>
        </w:rPr>
        <w:t> </w:t>
      </w:r>
      <w:r>
        <w:rPr/>
        <w:t>suas</w:t>
      </w:r>
      <w:r>
        <w:rPr>
          <w:spacing w:val="-21"/>
        </w:rPr>
        <w:t> </w:t>
      </w:r>
      <w:r>
        <w:rPr/>
        <w:t>controladas</w:t>
      </w:r>
      <w:r>
        <w:rPr>
          <w:spacing w:val="-21"/>
        </w:rPr>
        <w:t> </w:t>
      </w:r>
      <w:r>
        <w:rPr/>
        <w:t>são</w:t>
      </w:r>
      <w:r>
        <w:rPr>
          <w:spacing w:val="-22"/>
        </w:rPr>
        <w:t> </w:t>
      </w:r>
      <w:r>
        <w:rPr/>
        <w:t>patrocinadoras</w:t>
      </w:r>
      <w:r>
        <w:rPr>
          <w:spacing w:val="-21"/>
        </w:rPr>
        <w:t> </w:t>
      </w:r>
      <w:r>
        <w:rPr/>
        <w:t>da</w:t>
      </w:r>
      <w:r>
        <w:rPr>
          <w:spacing w:val="-17"/>
        </w:rPr>
        <w:t> </w:t>
      </w:r>
      <w:r>
        <w:rPr/>
        <w:t>Fundação</w:t>
      </w:r>
      <w:r>
        <w:rPr>
          <w:spacing w:val="-22"/>
        </w:rPr>
        <w:t> </w:t>
      </w:r>
      <w:r>
        <w:rPr/>
        <w:t>de</w:t>
      </w:r>
      <w:r>
        <w:rPr>
          <w:spacing w:val="-19"/>
        </w:rPr>
        <w:t> </w:t>
      </w:r>
      <w:r>
        <w:rPr/>
        <w:t>Previdência</w:t>
      </w:r>
      <w:r>
        <w:rPr>
          <w:spacing w:val="-18"/>
        </w:rPr>
        <w:t> </w:t>
      </w:r>
      <w:r>
        <w:rPr/>
        <w:t>dos</w:t>
      </w:r>
      <w:r>
        <w:rPr>
          <w:spacing w:val="-21"/>
        </w:rPr>
        <w:t> </w:t>
      </w:r>
      <w:r>
        <w:rPr/>
        <w:t>Empregados</w:t>
      </w:r>
      <w:r>
        <w:rPr>
          <w:spacing w:val="-21"/>
        </w:rPr>
        <w:t> </w:t>
      </w:r>
      <w:r>
        <w:rPr/>
        <w:t>da</w:t>
      </w:r>
      <w:r>
        <w:rPr>
          <w:spacing w:val="-19"/>
        </w:rPr>
        <w:t> </w:t>
      </w:r>
      <w:r>
        <w:rPr/>
        <w:t>CEB</w:t>
      </w:r>
      <w:r>
        <w:rPr>
          <w:spacing w:val="-11"/>
        </w:rPr>
        <w:t> </w:t>
      </w:r>
      <w:r>
        <w:rPr>
          <w:w w:val="105"/>
        </w:rPr>
        <w:t>–</w:t>
      </w:r>
      <w:r>
        <w:rPr>
          <w:spacing w:val="-22"/>
          <w:w w:val="105"/>
        </w:rPr>
        <w:t> </w:t>
      </w:r>
      <w:r>
        <w:rPr/>
        <w:t>FACEB, uma</w:t>
      </w:r>
      <w:r>
        <w:rPr>
          <w:spacing w:val="-29"/>
        </w:rPr>
        <w:t> </w:t>
      </w:r>
      <w:r>
        <w:rPr/>
        <w:t>Entidade</w:t>
      </w:r>
      <w:r>
        <w:rPr>
          <w:spacing w:val="-29"/>
        </w:rPr>
        <w:t> </w:t>
      </w:r>
      <w:r>
        <w:rPr/>
        <w:t>Fechada</w:t>
      </w:r>
      <w:r>
        <w:rPr>
          <w:spacing w:val="-28"/>
        </w:rPr>
        <w:t> </w:t>
      </w:r>
      <w:r>
        <w:rPr/>
        <w:t>de</w:t>
      </w:r>
      <w:r>
        <w:rPr>
          <w:spacing w:val="-30"/>
        </w:rPr>
        <w:t> </w:t>
      </w:r>
      <w:r>
        <w:rPr/>
        <w:t>Previdência</w:t>
      </w:r>
      <w:r>
        <w:rPr>
          <w:spacing w:val="-28"/>
        </w:rPr>
        <w:t> </w:t>
      </w:r>
      <w:r>
        <w:rPr/>
        <w:t>Complementar</w:t>
      </w:r>
      <w:r>
        <w:rPr>
          <w:spacing w:val="-26"/>
        </w:rPr>
        <w:t> </w:t>
      </w:r>
      <w:r>
        <w:rPr>
          <w:w w:val="105"/>
        </w:rPr>
        <w:t>–</w:t>
      </w:r>
      <w:r>
        <w:rPr>
          <w:spacing w:val="-29"/>
          <w:w w:val="105"/>
        </w:rPr>
        <w:t> </w:t>
      </w:r>
      <w:r>
        <w:rPr/>
        <w:t>EFPC</w:t>
      </w:r>
      <w:r>
        <w:rPr>
          <w:spacing w:val="-29"/>
        </w:rPr>
        <w:t> </w:t>
      </w:r>
      <w:r>
        <w:rPr/>
        <w:t>criada</w:t>
      </w:r>
      <w:r>
        <w:rPr>
          <w:spacing w:val="-28"/>
        </w:rPr>
        <w:t> </w:t>
      </w:r>
      <w:r>
        <w:rPr/>
        <w:t>em</w:t>
      </w:r>
      <w:r>
        <w:rPr>
          <w:spacing w:val="-29"/>
        </w:rPr>
        <w:t> </w:t>
      </w:r>
      <w:r>
        <w:rPr/>
        <w:t>1976,</w:t>
      </w:r>
      <w:r>
        <w:rPr>
          <w:spacing w:val="-27"/>
        </w:rPr>
        <w:t> </w:t>
      </w:r>
      <w:r>
        <w:rPr/>
        <w:t>que</w:t>
      </w:r>
      <w:r>
        <w:rPr>
          <w:spacing w:val="-28"/>
        </w:rPr>
        <w:t> </w:t>
      </w:r>
      <w:r>
        <w:rPr/>
        <w:t>têm</w:t>
      </w:r>
      <w:r>
        <w:rPr>
          <w:spacing w:val="-29"/>
        </w:rPr>
        <w:t> </w:t>
      </w:r>
      <w:r>
        <w:rPr/>
        <w:t>como</w:t>
      </w:r>
      <w:r>
        <w:rPr>
          <w:spacing w:val="-29"/>
        </w:rPr>
        <w:t> </w:t>
      </w:r>
      <w:r>
        <w:rPr/>
        <w:t>objetivos</w:t>
      </w:r>
      <w:r>
        <w:rPr>
          <w:spacing w:val="-28"/>
        </w:rPr>
        <w:t> </w:t>
      </w:r>
      <w:r>
        <w:rPr/>
        <w:t>oferecer</w:t>
      </w:r>
      <w:r>
        <w:rPr>
          <w:spacing w:val="-28"/>
        </w:rPr>
        <w:t> </w:t>
      </w:r>
      <w:r>
        <w:rPr/>
        <w:t>aos seus</w:t>
      </w:r>
      <w:r>
        <w:rPr>
          <w:spacing w:val="-36"/>
        </w:rPr>
        <w:t> </w:t>
      </w:r>
      <w:r>
        <w:rPr/>
        <w:t>empregados</w:t>
      </w:r>
      <w:r>
        <w:rPr>
          <w:spacing w:val="-33"/>
        </w:rPr>
        <w:t> </w:t>
      </w:r>
      <w:r>
        <w:rPr/>
        <w:t>planos</w:t>
      </w:r>
      <w:r>
        <w:rPr>
          <w:spacing w:val="-36"/>
        </w:rPr>
        <w:t> </w:t>
      </w:r>
      <w:r>
        <w:rPr/>
        <w:t>de</w:t>
      </w:r>
      <w:r>
        <w:rPr>
          <w:spacing w:val="-34"/>
        </w:rPr>
        <w:t> </w:t>
      </w:r>
      <w:r>
        <w:rPr/>
        <w:t>benefícios</w:t>
      </w:r>
      <w:r>
        <w:rPr>
          <w:spacing w:val="-35"/>
        </w:rPr>
        <w:t> </w:t>
      </w:r>
      <w:r>
        <w:rPr/>
        <w:t>de</w:t>
      </w:r>
      <w:r>
        <w:rPr>
          <w:spacing w:val="-35"/>
        </w:rPr>
        <w:t> </w:t>
      </w:r>
      <w:r>
        <w:rPr/>
        <w:t>natureza</w:t>
      </w:r>
      <w:r>
        <w:rPr>
          <w:spacing w:val="-34"/>
        </w:rPr>
        <w:t> </w:t>
      </w:r>
      <w:r>
        <w:rPr/>
        <w:t>previdenciária</w:t>
      </w:r>
      <w:r>
        <w:rPr>
          <w:spacing w:val="-35"/>
        </w:rPr>
        <w:t> </w:t>
      </w:r>
      <w:r>
        <w:rPr/>
        <w:t>e</w:t>
      </w:r>
      <w:r>
        <w:rPr>
          <w:spacing w:val="-35"/>
        </w:rPr>
        <w:t> </w:t>
      </w:r>
      <w:r>
        <w:rPr/>
        <w:t>assistencial,</w:t>
      </w:r>
      <w:r>
        <w:rPr>
          <w:spacing w:val="-35"/>
        </w:rPr>
        <w:t> </w:t>
      </w:r>
      <w:r>
        <w:rPr/>
        <w:t>conforme</w:t>
      </w:r>
      <w:r>
        <w:rPr>
          <w:spacing w:val="-37"/>
        </w:rPr>
        <w:t> </w:t>
      </w:r>
      <w:r>
        <w:rPr/>
        <w:t>demonstrado</w:t>
      </w:r>
      <w:r>
        <w:rPr>
          <w:spacing w:val="-35"/>
        </w:rPr>
        <w:t> </w:t>
      </w:r>
      <w:r>
        <w:rPr/>
        <w:t>a</w:t>
      </w:r>
      <w:r>
        <w:rPr>
          <w:spacing w:val="-35"/>
        </w:rPr>
        <w:t> </w:t>
      </w:r>
      <w:r>
        <w:rPr/>
        <w:t>seguir:</w:t>
      </w:r>
    </w:p>
    <w:p>
      <w:pPr>
        <w:pStyle w:val="BodyText"/>
        <w:spacing w:before="3"/>
      </w:pPr>
    </w:p>
    <w:tbl>
      <w:tblPr>
        <w:tblW w:w="0" w:type="auto"/>
        <w:jc w:val="left"/>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13"/>
        <w:gridCol w:w="1741"/>
        <w:gridCol w:w="2116"/>
        <w:gridCol w:w="2096"/>
      </w:tblGrid>
      <w:tr>
        <w:trPr>
          <w:trHeight w:val="254" w:hRule="atLeast"/>
        </w:trPr>
        <w:tc>
          <w:tcPr>
            <w:tcW w:w="3913" w:type="dxa"/>
            <w:shd w:val="clear" w:color="auto" w:fill="D9D9D9"/>
          </w:tcPr>
          <w:p>
            <w:pPr>
              <w:pStyle w:val="TableParagraph"/>
              <w:spacing w:before="44"/>
              <w:ind w:left="1721" w:right="1709"/>
              <w:jc w:val="center"/>
              <w:rPr>
                <w:rFonts w:ascii="Caladea"/>
                <w:b/>
                <w:sz w:val="14"/>
              </w:rPr>
            </w:pPr>
            <w:r>
              <w:rPr>
                <w:rFonts w:ascii="Caladea"/>
                <w:b/>
                <w:sz w:val="14"/>
              </w:rPr>
              <w:t>Planos</w:t>
            </w:r>
          </w:p>
        </w:tc>
        <w:tc>
          <w:tcPr>
            <w:tcW w:w="1741" w:type="dxa"/>
            <w:shd w:val="clear" w:color="auto" w:fill="D9D9D9"/>
          </w:tcPr>
          <w:p>
            <w:pPr>
              <w:pStyle w:val="TableParagraph"/>
              <w:spacing w:before="44"/>
              <w:ind w:left="536"/>
              <w:rPr>
                <w:rFonts w:ascii="Caladea" w:hAnsi="Caladea"/>
                <w:b/>
                <w:sz w:val="14"/>
              </w:rPr>
            </w:pPr>
            <w:r>
              <w:rPr>
                <w:rFonts w:ascii="Caladea" w:hAnsi="Caladea"/>
                <w:b/>
                <w:sz w:val="14"/>
              </w:rPr>
              <w:t>Benefícios</w:t>
            </w:r>
          </w:p>
        </w:tc>
        <w:tc>
          <w:tcPr>
            <w:tcW w:w="2116" w:type="dxa"/>
            <w:shd w:val="clear" w:color="auto" w:fill="D9D9D9"/>
          </w:tcPr>
          <w:p>
            <w:pPr>
              <w:pStyle w:val="TableParagraph"/>
              <w:spacing w:before="44"/>
              <w:ind w:left="644"/>
              <w:rPr>
                <w:rFonts w:ascii="Caladea" w:hAnsi="Caladea"/>
                <w:b/>
                <w:sz w:val="14"/>
              </w:rPr>
            </w:pPr>
            <w:r>
              <w:rPr>
                <w:rFonts w:ascii="Caladea" w:hAnsi="Caladea"/>
                <w:b/>
                <w:sz w:val="14"/>
              </w:rPr>
              <w:t>Classificação</w:t>
            </w:r>
          </w:p>
        </w:tc>
        <w:tc>
          <w:tcPr>
            <w:tcW w:w="2096" w:type="dxa"/>
            <w:shd w:val="clear" w:color="auto" w:fill="D9D9D9"/>
          </w:tcPr>
          <w:p>
            <w:pPr>
              <w:pStyle w:val="TableParagraph"/>
              <w:spacing w:before="44"/>
              <w:ind w:left="580"/>
              <w:rPr>
                <w:rFonts w:ascii="Caladea"/>
                <w:b/>
                <w:sz w:val="14"/>
              </w:rPr>
            </w:pPr>
            <w:r>
              <w:rPr>
                <w:rFonts w:ascii="Caladea"/>
                <w:b/>
                <w:sz w:val="14"/>
              </w:rPr>
              <w:t>Patrocinadora</w:t>
            </w:r>
          </w:p>
        </w:tc>
      </w:tr>
      <w:tr>
        <w:trPr>
          <w:trHeight w:val="256" w:hRule="atLeast"/>
        </w:trPr>
        <w:tc>
          <w:tcPr>
            <w:tcW w:w="3913" w:type="dxa"/>
          </w:tcPr>
          <w:p>
            <w:pPr>
              <w:pStyle w:val="TableParagraph"/>
              <w:spacing w:before="46"/>
              <w:ind w:left="71"/>
              <w:rPr>
                <w:sz w:val="14"/>
              </w:rPr>
            </w:pPr>
            <w:r>
              <w:rPr>
                <w:sz w:val="14"/>
              </w:rPr>
              <w:t>Plano Complementar de Benefícios Previdenciários</w:t>
            </w:r>
          </w:p>
        </w:tc>
        <w:tc>
          <w:tcPr>
            <w:tcW w:w="1741" w:type="dxa"/>
          </w:tcPr>
          <w:p>
            <w:pPr>
              <w:pStyle w:val="TableParagraph"/>
              <w:spacing w:before="46"/>
              <w:ind w:left="71"/>
              <w:rPr>
                <w:sz w:val="14"/>
              </w:rPr>
            </w:pPr>
            <w:r>
              <w:rPr>
                <w:sz w:val="14"/>
              </w:rPr>
              <w:t>Aposentadoria e pensão</w:t>
            </w:r>
          </w:p>
        </w:tc>
        <w:tc>
          <w:tcPr>
            <w:tcW w:w="2116" w:type="dxa"/>
          </w:tcPr>
          <w:p>
            <w:pPr>
              <w:pStyle w:val="TableParagraph"/>
              <w:spacing w:before="46"/>
              <w:ind w:left="68"/>
              <w:rPr>
                <w:sz w:val="14"/>
              </w:rPr>
            </w:pPr>
            <w:r>
              <w:rPr>
                <w:sz w:val="14"/>
              </w:rPr>
              <w:t>Benefício definido</w:t>
            </w:r>
          </w:p>
        </w:tc>
        <w:tc>
          <w:tcPr>
            <w:tcW w:w="2096" w:type="dxa"/>
          </w:tcPr>
          <w:p>
            <w:pPr>
              <w:pStyle w:val="TableParagraph"/>
              <w:spacing w:before="46"/>
              <w:ind w:left="69"/>
              <w:rPr>
                <w:sz w:val="14"/>
              </w:rPr>
            </w:pPr>
            <w:r>
              <w:rPr>
                <w:w w:val="105"/>
                <w:sz w:val="14"/>
              </w:rPr>
              <w:t>CEB DIS</w:t>
            </w:r>
          </w:p>
        </w:tc>
      </w:tr>
      <w:tr>
        <w:trPr>
          <w:trHeight w:val="254" w:hRule="atLeast"/>
        </w:trPr>
        <w:tc>
          <w:tcPr>
            <w:tcW w:w="3913" w:type="dxa"/>
          </w:tcPr>
          <w:p>
            <w:pPr>
              <w:pStyle w:val="TableParagraph"/>
              <w:spacing w:before="46"/>
              <w:ind w:left="71"/>
              <w:rPr>
                <w:sz w:val="14"/>
              </w:rPr>
            </w:pPr>
            <w:r>
              <w:rPr>
                <w:sz w:val="14"/>
              </w:rPr>
              <w:t>Plano de Benefícios CEBPREV</w:t>
            </w:r>
          </w:p>
        </w:tc>
        <w:tc>
          <w:tcPr>
            <w:tcW w:w="1741" w:type="dxa"/>
          </w:tcPr>
          <w:p>
            <w:pPr>
              <w:pStyle w:val="TableParagraph"/>
              <w:spacing w:before="46"/>
              <w:ind w:left="71"/>
              <w:rPr>
                <w:sz w:val="14"/>
              </w:rPr>
            </w:pPr>
            <w:r>
              <w:rPr>
                <w:sz w:val="14"/>
              </w:rPr>
              <w:t>Aposentadoria e pensão</w:t>
            </w:r>
          </w:p>
        </w:tc>
        <w:tc>
          <w:tcPr>
            <w:tcW w:w="2116" w:type="dxa"/>
          </w:tcPr>
          <w:p>
            <w:pPr>
              <w:pStyle w:val="TableParagraph"/>
              <w:spacing w:before="46"/>
              <w:ind w:left="68"/>
              <w:rPr>
                <w:sz w:val="14"/>
              </w:rPr>
            </w:pPr>
            <w:r>
              <w:rPr>
                <w:sz w:val="14"/>
              </w:rPr>
              <w:t>Contribuição definida</w:t>
            </w:r>
          </w:p>
        </w:tc>
        <w:tc>
          <w:tcPr>
            <w:tcW w:w="2096" w:type="dxa"/>
          </w:tcPr>
          <w:p>
            <w:pPr>
              <w:pStyle w:val="TableParagraph"/>
              <w:spacing w:before="46"/>
              <w:ind w:left="69"/>
              <w:rPr>
                <w:sz w:val="14"/>
              </w:rPr>
            </w:pPr>
            <w:r>
              <w:rPr>
                <w:sz w:val="14"/>
              </w:rPr>
              <w:t>Multipatrocinado</w:t>
            </w:r>
          </w:p>
        </w:tc>
      </w:tr>
      <w:tr>
        <w:trPr>
          <w:trHeight w:val="316" w:hRule="atLeast"/>
        </w:trPr>
        <w:tc>
          <w:tcPr>
            <w:tcW w:w="3913" w:type="dxa"/>
          </w:tcPr>
          <w:p>
            <w:pPr>
              <w:pStyle w:val="TableParagraph"/>
              <w:spacing w:before="77"/>
              <w:ind w:left="71"/>
              <w:rPr>
                <w:sz w:val="14"/>
              </w:rPr>
            </w:pPr>
            <w:r>
              <w:rPr>
                <w:sz w:val="14"/>
              </w:rPr>
              <w:t>Plano CEB Saúde Vida (vigência 24/03/2017)</w:t>
            </w:r>
          </w:p>
        </w:tc>
        <w:tc>
          <w:tcPr>
            <w:tcW w:w="1741" w:type="dxa"/>
          </w:tcPr>
          <w:p>
            <w:pPr>
              <w:pStyle w:val="TableParagraph"/>
              <w:spacing w:before="77"/>
              <w:ind w:left="71"/>
              <w:rPr>
                <w:sz w:val="14"/>
              </w:rPr>
            </w:pPr>
            <w:r>
              <w:rPr>
                <w:sz w:val="14"/>
              </w:rPr>
              <w:t>Assistência médica</w:t>
            </w:r>
          </w:p>
        </w:tc>
        <w:tc>
          <w:tcPr>
            <w:tcW w:w="2116" w:type="dxa"/>
          </w:tcPr>
          <w:p>
            <w:pPr>
              <w:pStyle w:val="TableParagraph"/>
              <w:spacing w:before="77"/>
              <w:ind w:left="68"/>
              <w:rPr>
                <w:sz w:val="14"/>
              </w:rPr>
            </w:pPr>
            <w:r>
              <w:rPr>
                <w:sz w:val="14"/>
              </w:rPr>
              <w:t>Contribuição definida</w:t>
            </w:r>
          </w:p>
        </w:tc>
        <w:tc>
          <w:tcPr>
            <w:tcW w:w="2096" w:type="dxa"/>
          </w:tcPr>
          <w:p>
            <w:pPr>
              <w:pStyle w:val="TableParagraph"/>
              <w:spacing w:before="77"/>
              <w:ind w:left="69"/>
              <w:rPr>
                <w:sz w:val="14"/>
              </w:rPr>
            </w:pPr>
            <w:r>
              <w:rPr>
                <w:sz w:val="14"/>
              </w:rPr>
              <w:t>Multipatrocinado</w:t>
            </w:r>
          </w:p>
        </w:tc>
      </w:tr>
      <w:tr>
        <w:trPr>
          <w:trHeight w:val="256" w:hRule="atLeast"/>
        </w:trPr>
        <w:tc>
          <w:tcPr>
            <w:tcW w:w="3913" w:type="dxa"/>
          </w:tcPr>
          <w:p>
            <w:pPr>
              <w:pStyle w:val="TableParagraph"/>
              <w:spacing w:before="48"/>
              <w:ind w:left="71"/>
              <w:rPr>
                <w:sz w:val="14"/>
              </w:rPr>
            </w:pPr>
            <w:r>
              <w:rPr>
                <w:sz w:val="14"/>
              </w:rPr>
              <w:t>Plano FACEB Saúde Vida (vigência 24/03/2017)</w:t>
            </w:r>
          </w:p>
        </w:tc>
        <w:tc>
          <w:tcPr>
            <w:tcW w:w="1741" w:type="dxa"/>
          </w:tcPr>
          <w:p>
            <w:pPr>
              <w:pStyle w:val="TableParagraph"/>
              <w:spacing w:before="48"/>
              <w:ind w:left="71"/>
              <w:rPr>
                <w:sz w:val="14"/>
              </w:rPr>
            </w:pPr>
            <w:r>
              <w:rPr>
                <w:sz w:val="14"/>
              </w:rPr>
              <w:t>Assistência médica</w:t>
            </w:r>
          </w:p>
        </w:tc>
        <w:tc>
          <w:tcPr>
            <w:tcW w:w="2116" w:type="dxa"/>
          </w:tcPr>
          <w:p>
            <w:pPr>
              <w:pStyle w:val="TableParagraph"/>
              <w:spacing w:before="48"/>
              <w:ind w:left="68"/>
              <w:rPr>
                <w:sz w:val="14"/>
              </w:rPr>
            </w:pPr>
            <w:r>
              <w:rPr>
                <w:sz w:val="14"/>
              </w:rPr>
              <w:t>Contribuição definida</w:t>
            </w:r>
          </w:p>
        </w:tc>
        <w:tc>
          <w:tcPr>
            <w:tcW w:w="2096" w:type="dxa"/>
          </w:tcPr>
          <w:p>
            <w:pPr>
              <w:pStyle w:val="TableParagraph"/>
              <w:spacing w:before="48"/>
              <w:ind w:left="69"/>
              <w:rPr>
                <w:sz w:val="14"/>
              </w:rPr>
            </w:pPr>
            <w:r>
              <w:rPr>
                <w:sz w:val="14"/>
              </w:rPr>
              <w:t>Multipatrocinado</w:t>
            </w:r>
          </w:p>
        </w:tc>
      </w:tr>
      <w:tr>
        <w:trPr>
          <w:trHeight w:val="254" w:hRule="atLeast"/>
        </w:trPr>
        <w:tc>
          <w:tcPr>
            <w:tcW w:w="3913" w:type="dxa"/>
          </w:tcPr>
          <w:p>
            <w:pPr>
              <w:pStyle w:val="TableParagraph"/>
              <w:spacing w:before="46"/>
              <w:ind w:left="71"/>
              <w:rPr>
                <w:sz w:val="14"/>
              </w:rPr>
            </w:pPr>
            <w:r>
              <w:rPr>
                <w:sz w:val="14"/>
              </w:rPr>
              <w:t>Plano FACEB Família (vigência 24/03/2017)</w:t>
            </w:r>
          </w:p>
        </w:tc>
        <w:tc>
          <w:tcPr>
            <w:tcW w:w="1741" w:type="dxa"/>
          </w:tcPr>
          <w:p>
            <w:pPr>
              <w:pStyle w:val="TableParagraph"/>
              <w:spacing w:before="46"/>
              <w:ind w:left="71"/>
              <w:rPr>
                <w:sz w:val="14"/>
              </w:rPr>
            </w:pPr>
            <w:r>
              <w:rPr>
                <w:sz w:val="14"/>
              </w:rPr>
              <w:t>Assistência médica</w:t>
            </w:r>
          </w:p>
        </w:tc>
        <w:tc>
          <w:tcPr>
            <w:tcW w:w="2116" w:type="dxa"/>
          </w:tcPr>
          <w:p>
            <w:pPr>
              <w:pStyle w:val="TableParagraph"/>
              <w:spacing w:before="46"/>
              <w:ind w:left="68"/>
              <w:rPr>
                <w:sz w:val="14"/>
              </w:rPr>
            </w:pPr>
            <w:r>
              <w:rPr>
                <w:sz w:val="14"/>
              </w:rPr>
              <w:t>Contribuição definida</w:t>
            </w:r>
          </w:p>
        </w:tc>
        <w:tc>
          <w:tcPr>
            <w:tcW w:w="2096" w:type="dxa"/>
          </w:tcPr>
          <w:p>
            <w:pPr>
              <w:pStyle w:val="TableParagraph"/>
              <w:spacing w:before="46"/>
              <w:ind w:left="69"/>
              <w:rPr>
                <w:sz w:val="14"/>
              </w:rPr>
            </w:pPr>
            <w:r>
              <w:rPr>
                <w:sz w:val="14"/>
              </w:rPr>
              <w:t>Multipatrocinado</w:t>
            </w:r>
          </w:p>
        </w:tc>
      </w:tr>
    </w:tbl>
    <w:p>
      <w:pPr>
        <w:pStyle w:val="BodyText"/>
        <w:rPr>
          <w:sz w:val="21"/>
        </w:rPr>
      </w:pPr>
    </w:p>
    <w:p>
      <w:pPr>
        <w:pStyle w:val="BodyText"/>
        <w:spacing w:line="242" w:lineRule="auto"/>
        <w:ind w:left="172" w:right="405"/>
        <w:jc w:val="both"/>
      </w:pPr>
      <w:r>
        <w:rPr/>
        <w:t>A</w:t>
      </w:r>
      <w:r>
        <w:rPr>
          <w:spacing w:val="-33"/>
        </w:rPr>
        <w:t> </w:t>
      </w:r>
      <w:r>
        <w:rPr/>
        <w:t>Fundação</w:t>
      </w:r>
      <w:r>
        <w:rPr>
          <w:spacing w:val="-32"/>
        </w:rPr>
        <w:t> </w:t>
      </w:r>
      <w:r>
        <w:rPr/>
        <w:t>administra</w:t>
      </w:r>
      <w:r>
        <w:rPr>
          <w:spacing w:val="-31"/>
        </w:rPr>
        <w:t> </w:t>
      </w:r>
      <w:r>
        <w:rPr/>
        <w:t>dois</w:t>
      </w:r>
      <w:r>
        <w:rPr>
          <w:spacing w:val="-31"/>
        </w:rPr>
        <w:t> </w:t>
      </w:r>
      <w:r>
        <w:rPr/>
        <w:t>Planos</w:t>
      </w:r>
      <w:r>
        <w:rPr>
          <w:spacing w:val="-32"/>
        </w:rPr>
        <w:t> </w:t>
      </w:r>
      <w:r>
        <w:rPr/>
        <w:t>de</w:t>
      </w:r>
      <w:r>
        <w:rPr>
          <w:spacing w:val="-31"/>
        </w:rPr>
        <w:t> </w:t>
      </w:r>
      <w:r>
        <w:rPr/>
        <w:t>Previdência,</w:t>
      </w:r>
      <w:r>
        <w:rPr>
          <w:spacing w:val="-32"/>
        </w:rPr>
        <w:t> </w:t>
      </w:r>
      <w:r>
        <w:rPr/>
        <w:t>o</w:t>
      </w:r>
      <w:r>
        <w:rPr>
          <w:spacing w:val="-31"/>
        </w:rPr>
        <w:t> </w:t>
      </w:r>
      <w:r>
        <w:rPr/>
        <w:t>plano</w:t>
      </w:r>
      <w:r>
        <w:rPr>
          <w:spacing w:val="-32"/>
        </w:rPr>
        <w:t> </w:t>
      </w:r>
      <w:r>
        <w:rPr/>
        <w:t>Complementar</w:t>
      </w:r>
      <w:r>
        <w:rPr>
          <w:spacing w:val="-32"/>
        </w:rPr>
        <w:t> </w:t>
      </w:r>
      <w:r>
        <w:rPr/>
        <w:t>de</w:t>
      </w:r>
      <w:r>
        <w:rPr>
          <w:spacing w:val="-31"/>
        </w:rPr>
        <w:t> </w:t>
      </w:r>
      <w:r>
        <w:rPr/>
        <w:t>Benefícios</w:t>
      </w:r>
      <w:r>
        <w:rPr>
          <w:spacing w:val="-32"/>
        </w:rPr>
        <w:t> </w:t>
      </w:r>
      <w:r>
        <w:rPr/>
        <w:t>Previdenciários,</w:t>
      </w:r>
      <w:r>
        <w:rPr>
          <w:spacing w:val="-32"/>
        </w:rPr>
        <w:t> </w:t>
      </w:r>
      <w:r>
        <w:rPr/>
        <w:t>instituído na modalidade de Benefício Definido (BD), fechado para novas adesões; e o plano denominado CEBPREV, na modalidade</w:t>
      </w:r>
      <w:r>
        <w:rPr>
          <w:spacing w:val="-29"/>
        </w:rPr>
        <w:t> </w:t>
      </w:r>
      <w:r>
        <w:rPr/>
        <w:t>Contribuição</w:t>
      </w:r>
      <w:r>
        <w:rPr>
          <w:spacing w:val="-28"/>
        </w:rPr>
        <w:t> </w:t>
      </w:r>
      <w:r>
        <w:rPr/>
        <w:t>Definida</w:t>
      </w:r>
      <w:r>
        <w:rPr>
          <w:spacing w:val="-28"/>
        </w:rPr>
        <w:t> </w:t>
      </w:r>
      <w:r>
        <w:rPr/>
        <w:t>(CD).</w:t>
      </w:r>
      <w:r>
        <w:rPr>
          <w:spacing w:val="-28"/>
        </w:rPr>
        <w:t> </w:t>
      </w:r>
      <w:r>
        <w:rPr/>
        <w:t>Este</w:t>
      </w:r>
      <w:r>
        <w:rPr>
          <w:spacing w:val="-28"/>
        </w:rPr>
        <w:t> </w:t>
      </w:r>
      <w:r>
        <w:rPr/>
        <w:t>último,</w:t>
      </w:r>
      <w:r>
        <w:rPr>
          <w:spacing w:val="-27"/>
        </w:rPr>
        <w:t> </w:t>
      </w:r>
      <w:r>
        <w:rPr/>
        <w:t>por</w:t>
      </w:r>
      <w:r>
        <w:rPr>
          <w:spacing w:val="-29"/>
        </w:rPr>
        <w:t> </w:t>
      </w:r>
      <w:r>
        <w:rPr/>
        <w:t>sua</w:t>
      </w:r>
      <w:r>
        <w:rPr>
          <w:spacing w:val="-27"/>
        </w:rPr>
        <w:t> </w:t>
      </w:r>
      <w:r>
        <w:rPr/>
        <w:t>vez,</w:t>
      </w:r>
      <w:r>
        <w:rPr>
          <w:spacing w:val="-27"/>
        </w:rPr>
        <w:t> </w:t>
      </w:r>
      <w:r>
        <w:rPr/>
        <w:t>não</w:t>
      </w:r>
      <w:r>
        <w:rPr>
          <w:spacing w:val="-27"/>
        </w:rPr>
        <w:t> </w:t>
      </w:r>
      <w:r>
        <w:rPr/>
        <w:t>é</w:t>
      </w:r>
      <w:r>
        <w:rPr>
          <w:spacing w:val="-28"/>
        </w:rPr>
        <w:t> </w:t>
      </w:r>
      <w:r>
        <w:rPr/>
        <w:t>reconhecido</w:t>
      </w:r>
      <w:r>
        <w:rPr>
          <w:spacing w:val="-29"/>
        </w:rPr>
        <w:t> </w:t>
      </w:r>
      <w:r>
        <w:rPr/>
        <w:t>como</w:t>
      </w:r>
      <w:r>
        <w:rPr>
          <w:spacing w:val="-28"/>
        </w:rPr>
        <w:t> </w:t>
      </w:r>
      <w:r>
        <w:rPr/>
        <w:t>benefício</w:t>
      </w:r>
      <w:r>
        <w:rPr>
          <w:spacing w:val="-28"/>
        </w:rPr>
        <w:t> </w:t>
      </w:r>
      <w:r>
        <w:rPr/>
        <w:t>pós-emprego, uma</w:t>
      </w:r>
      <w:r>
        <w:rPr>
          <w:spacing w:val="-21"/>
        </w:rPr>
        <w:t> </w:t>
      </w:r>
      <w:r>
        <w:rPr/>
        <w:t>vez</w:t>
      </w:r>
      <w:r>
        <w:rPr>
          <w:spacing w:val="-19"/>
        </w:rPr>
        <w:t> </w:t>
      </w:r>
      <w:r>
        <w:rPr/>
        <w:t>que</w:t>
      </w:r>
      <w:r>
        <w:rPr>
          <w:spacing w:val="-23"/>
        </w:rPr>
        <w:t> </w:t>
      </w:r>
      <w:r>
        <w:rPr/>
        <w:t>não</w:t>
      </w:r>
      <w:r>
        <w:rPr>
          <w:spacing w:val="-19"/>
        </w:rPr>
        <w:t> </w:t>
      </w:r>
      <w:r>
        <w:rPr/>
        <w:t>são</w:t>
      </w:r>
      <w:r>
        <w:rPr>
          <w:spacing w:val="-22"/>
        </w:rPr>
        <w:t> </w:t>
      </w:r>
      <w:r>
        <w:rPr/>
        <w:t>necessárias</w:t>
      </w:r>
      <w:r>
        <w:rPr>
          <w:spacing w:val="-22"/>
        </w:rPr>
        <w:t> </w:t>
      </w:r>
      <w:r>
        <w:rPr/>
        <w:t>premissas</w:t>
      </w:r>
      <w:r>
        <w:rPr>
          <w:spacing w:val="-21"/>
        </w:rPr>
        <w:t> </w:t>
      </w:r>
      <w:r>
        <w:rPr/>
        <w:t>atuariais</w:t>
      </w:r>
      <w:r>
        <w:rPr>
          <w:spacing w:val="-21"/>
        </w:rPr>
        <w:t> </w:t>
      </w:r>
      <w:r>
        <w:rPr/>
        <w:t>para</w:t>
      </w:r>
      <w:r>
        <w:rPr>
          <w:spacing w:val="-21"/>
        </w:rPr>
        <w:t> </w:t>
      </w:r>
      <w:r>
        <w:rPr/>
        <w:t>mensurar</w:t>
      </w:r>
      <w:r>
        <w:rPr>
          <w:spacing w:val="-15"/>
        </w:rPr>
        <w:t> </w:t>
      </w:r>
      <w:r>
        <w:rPr/>
        <w:t>a</w:t>
      </w:r>
      <w:r>
        <w:rPr>
          <w:spacing w:val="-21"/>
        </w:rPr>
        <w:t> </w:t>
      </w:r>
      <w:r>
        <w:rPr/>
        <w:t>obrigação</w:t>
      </w:r>
      <w:r>
        <w:rPr>
          <w:spacing w:val="-22"/>
        </w:rPr>
        <w:t> </w:t>
      </w:r>
      <w:r>
        <w:rPr/>
        <w:t>ou</w:t>
      </w:r>
      <w:r>
        <w:rPr>
          <w:spacing w:val="-19"/>
        </w:rPr>
        <w:t> </w:t>
      </w:r>
      <w:r>
        <w:rPr/>
        <w:t>a</w:t>
      </w:r>
      <w:r>
        <w:rPr>
          <w:spacing w:val="-21"/>
        </w:rPr>
        <w:t> </w:t>
      </w:r>
      <w:r>
        <w:rPr/>
        <w:t>despesa.</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10"/>
        <w:jc w:val="both"/>
      </w:pPr>
      <w:r>
        <w:rPr/>
        <w:t>Adicionalmente, a FACEB é uma Operadora de Plano de Saúde, com registro definitivo concedido pela Agência Nacional</w:t>
      </w:r>
      <w:r>
        <w:rPr>
          <w:spacing w:val="-24"/>
        </w:rPr>
        <w:t> </w:t>
      </w:r>
      <w:r>
        <w:rPr/>
        <w:t>de</w:t>
      </w:r>
      <w:r>
        <w:rPr>
          <w:spacing w:val="-24"/>
        </w:rPr>
        <w:t> </w:t>
      </w:r>
      <w:r>
        <w:rPr/>
        <w:t>Saúde</w:t>
      </w:r>
      <w:r>
        <w:rPr>
          <w:spacing w:val="-23"/>
        </w:rPr>
        <w:t> </w:t>
      </w:r>
      <w:r>
        <w:rPr/>
        <w:t>Suplementar</w:t>
      </w:r>
      <w:r>
        <w:rPr>
          <w:spacing w:val="-19"/>
        </w:rPr>
        <w:t> </w:t>
      </w:r>
      <w:r>
        <w:rPr>
          <w:w w:val="105"/>
        </w:rPr>
        <w:t>–</w:t>
      </w:r>
      <w:r>
        <w:rPr>
          <w:spacing w:val="-26"/>
          <w:w w:val="105"/>
        </w:rPr>
        <w:t> </w:t>
      </w:r>
      <w:r>
        <w:rPr/>
        <w:t>ANS,</w:t>
      </w:r>
      <w:r>
        <w:rPr>
          <w:spacing w:val="-23"/>
        </w:rPr>
        <w:t> </w:t>
      </w:r>
      <w:r>
        <w:rPr/>
        <w:t>desde</w:t>
      </w:r>
      <w:r>
        <w:rPr>
          <w:spacing w:val="-22"/>
        </w:rPr>
        <w:t> </w:t>
      </w:r>
      <w:r>
        <w:rPr/>
        <w:t>fevereiro</w:t>
      </w:r>
      <w:r>
        <w:rPr>
          <w:spacing w:val="-21"/>
        </w:rPr>
        <w:t> </w:t>
      </w:r>
      <w:r>
        <w:rPr/>
        <w:t>de</w:t>
      </w:r>
      <w:r>
        <w:rPr>
          <w:spacing w:val="-24"/>
        </w:rPr>
        <w:t> </w:t>
      </w:r>
      <w:r>
        <w:rPr/>
        <w:t>2014.</w:t>
      </w:r>
      <w:r>
        <w:rPr>
          <w:spacing w:val="-19"/>
        </w:rPr>
        <w:t> </w:t>
      </w:r>
      <w:r>
        <w:rPr/>
        <w:t>Desde</w:t>
      </w:r>
      <w:r>
        <w:rPr>
          <w:spacing w:val="-23"/>
        </w:rPr>
        <w:t> </w:t>
      </w:r>
      <w:r>
        <w:rPr/>
        <w:t>2017,</w:t>
      </w:r>
      <w:r>
        <w:rPr>
          <w:spacing w:val="-22"/>
        </w:rPr>
        <w:t> </w:t>
      </w:r>
      <w:r>
        <w:rPr/>
        <w:t>os</w:t>
      </w:r>
      <w:r>
        <w:rPr>
          <w:spacing w:val="-22"/>
        </w:rPr>
        <w:t> </w:t>
      </w:r>
      <w:r>
        <w:rPr/>
        <w:t>planos</w:t>
      </w:r>
      <w:r>
        <w:rPr>
          <w:spacing w:val="-22"/>
        </w:rPr>
        <w:t> </w:t>
      </w:r>
      <w:r>
        <w:rPr/>
        <w:t>de</w:t>
      </w:r>
      <w:r>
        <w:rPr>
          <w:spacing w:val="-23"/>
        </w:rPr>
        <w:t> </w:t>
      </w:r>
      <w:r>
        <w:rPr/>
        <w:t>saúde</w:t>
      </w:r>
      <w:r>
        <w:rPr>
          <w:spacing w:val="-23"/>
        </w:rPr>
        <w:t> </w:t>
      </w:r>
      <w:r>
        <w:rPr/>
        <w:t>CEB</w:t>
      </w:r>
      <w:r>
        <w:rPr>
          <w:spacing w:val="-22"/>
        </w:rPr>
        <w:t> </w:t>
      </w:r>
      <w:r>
        <w:rPr/>
        <w:t>Assistencial</w:t>
      </w:r>
      <w:r>
        <w:rPr>
          <w:spacing w:val="-23"/>
        </w:rPr>
        <w:t> </w:t>
      </w:r>
      <w:r>
        <w:rPr/>
        <w:t>e CEB</w:t>
      </w:r>
      <w:r>
        <w:rPr>
          <w:spacing w:val="-28"/>
        </w:rPr>
        <w:t> </w:t>
      </w:r>
      <w:r>
        <w:rPr/>
        <w:t>Saúde</w:t>
      </w:r>
      <w:r>
        <w:rPr>
          <w:spacing w:val="-29"/>
        </w:rPr>
        <w:t> </w:t>
      </w:r>
      <w:r>
        <w:rPr/>
        <w:t>foram</w:t>
      </w:r>
      <w:r>
        <w:rPr>
          <w:spacing w:val="-28"/>
        </w:rPr>
        <w:t> </w:t>
      </w:r>
      <w:r>
        <w:rPr/>
        <w:t>substituídos</w:t>
      </w:r>
      <w:r>
        <w:rPr>
          <w:spacing w:val="-27"/>
        </w:rPr>
        <w:t> </w:t>
      </w:r>
      <w:r>
        <w:rPr/>
        <w:t>pelos</w:t>
      </w:r>
      <w:r>
        <w:rPr>
          <w:spacing w:val="-27"/>
        </w:rPr>
        <w:t> </w:t>
      </w:r>
      <w:r>
        <w:rPr/>
        <w:t>Planos</w:t>
      </w:r>
      <w:r>
        <w:rPr>
          <w:spacing w:val="-27"/>
        </w:rPr>
        <w:t> </w:t>
      </w:r>
      <w:r>
        <w:rPr/>
        <w:t>CEB</w:t>
      </w:r>
      <w:r>
        <w:rPr>
          <w:spacing w:val="-28"/>
        </w:rPr>
        <w:t> </w:t>
      </w:r>
      <w:r>
        <w:rPr/>
        <w:t>Saúde</w:t>
      </w:r>
      <w:r>
        <w:rPr>
          <w:spacing w:val="-27"/>
        </w:rPr>
        <w:t> </w:t>
      </w:r>
      <w:r>
        <w:rPr/>
        <w:t>Vida,</w:t>
      </w:r>
      <w:r>
        <w:rPr>
          <w:spacing w:val="-28"/>
        </w:rPr>
        <w:t> </w:t>
      </w:r>
      <w:r>
        <w:rPr/>
        <w:t>FACEB</w:t>
      </w:r>
      <w:r>
        <w:rPr>
          <w:spacing w:val="-28"/>
        </w:rPr>
        <w:t> </w:t>
      </w:r>
      <w:r>
        <w:rPr/>
        <w:t>Saúde</w:t>
      </w:r>
      <w:r>
        <w:rPr>
          <w:spacing w:val="-28"/>
        </w:rPr>
        <w:t> </w:t>
      </w:r>
      <w:r>
        <w:rPr/>
        <w:t>Vida</w:t>
      </w:r>
      <w:r>
        <w:rPr>
          <w:spacing w:val="-27"/>
        </w:rPr>
        <w:t> </w:t>
      </w:r>
      <w:r>
        <w:rPr/>
        <w:t>e</w:t>
      </w:r>
      <w:r>
        <w:rPr>
          <w:spacing w:val="-29"/>
        </w:rPr>
        <w:t> </w:t>
      </w:r>
      <w:r>
        <w:rPr/>
        <w:t>FACEB</w:t>
      </w:r>
      <w:r>
        <w:rPr>
          <w:spacing w:val="-28"/>
        </w:rPr>
        <w:t> </w:t>
      </w:r>
      <w:r>
        <w:rPr/>
        <w:t>Família,</w:t>
      </w:r>
      <w:r>
        <w:rPr>
          <w:spacing w:val="-27"/>
        </w:rPr>
        <w:t> </w:t>
      </w:r>
      <w:r>
        <w:rPr/>
        <w:t>principalmente</w:t>
      </w:r>
      <w:r>
        <w:rPr>
          <w:spacing w:val="-27"/>
        </w:rPr>
        <w:t> </w:t>
      </w:r>
      <w:r>
        <w:rPr/>
        <w:t>em decorrência da extinção do Plano CEB Assistencial, por força de Acórdão relativo à Ação Direta de Inconstitucionalidade</w:t>
      </w:r>
      <w:r>
        <w:rPr>
          <w:spacing w:val="-15"/>
        </w:rPr>
        <w:t> </w:t>
      </w:r>
      <w:r>
        <w:rPr>
          <w:w w:val="105"/>
        </w:rPr>
        <w:t>–</w:t>
      </w:r>
      <w:r>
        <w:rPr>
          <w:spacing w:val="-19"/>
          <w:w w:val="105"/>
        </w:rPr>
        <w:t> </w:t>
      </w:r>
      <w:r>
        <w:rPr/>
        <w:t>ADI</w:t>
      </w:r>
      <w:r>
        <w:rPr>
          <w:spacing w:val="-15"/>
        </w:rPr>
        <w:t> </w:t>
      </w:r>
      <w:r>
        <w:rPr/>
        <w:t>nº</w:t>
      </w:r>
      <w:r>
        <w:rPr>
          <w:spacing w:val="-16"/>
        </w:rPr>
        <w:t> </w:t>
      </w:r>
      <w:r>
        <w:rPr/>
        <w:t>2014002032055-2.</w:t>
      </w:r>
    </w:p>
    <w:p>
      <w:pPr>
        <w:pStyle w:val="BodyText"/>
        <w:spacing w:line="242" w:lineRule="auto" w:before="121"/>
        <w:ind w:left="172" w:right="416"/>
        <w:jc w:val="both"/>
      </w:pPr>
      <w:r>
        <w:rPr/>
        <w:t>A modalidade dos novos planos de saúde é de autogestão, estando registrado na Agência Nacional de Saúde Suplementar (ANS), com as seguintes características:</w:t>
      </w:r>
    </w:p>
    <w:p>
      <w:pPr>
        <w:pStyle w:val="ListParagraph"/>
        <w:numPr>
          <w:ilvl w:val="0"/>
          <w:numId w:val="31"/>
        </w:numPr>
        <w:tabs>
          <w:tab w:pos="887" w:val="left" w:leader="none"/>
        </w:tabs>
        <w:spacing w:line="278" w:lineRule="auto" w:before="116" w:after="0"/>
        <w:ind w:left="886" w:right="417" w:hanging="356"/>
        <w:jc w:val="both"/>
        <w:rPr>
          <w:sz w:val="20"/>
        </w:rPr>
      </w:pPr>
      <w:r>
        <w:rPr>
          <w:sz w:val="20"/>
        </w:rPr>
        <w:t>Plano</w:t>
      </w:r>
      <w:r>
        <w:rPr>
          <w:spacing w:val="-39"/>
          <w:sz w:val="20"/>
        </w:rPr>
        <w:t> </w:t>
      </w:r>
      <w:r>
        <w:rPr>
          <w:sz w:val="20"/>
        </w:rPr>
        <w:t>CEB</w:t>
      </w:r>
      <w:r>
        <w:rPr>
          <w:spacing w:val="-39"/>
          <w:sz w:val="20"/>
        </w:rPr>
        <w:t> </w:t>
      </w:r>
      <w:r>
        <w:rPr>
          <w:sz w:val="20"/>
        </w:rPr>
        <w:t>Saúde</w:t>
      </w:r>
      <w:r>
        <w:rPr>
          <w:spacing w:val="-39"/>
          <w:sz w:val="20"/>
        </w:rPr>
        <w:t> </w:t>
      </w:r>
      <w:r>
        <w:rPr>
          <w:sz w:val="20"/>
        </w:rPr>
        <w:t>Vida:</w:t>
      </w:r>
      <w:r>
        <w:rPr>
          <w:spacing w:val="-39"/>
          <w:sz w:val="20"/>
        </w:rPr>
        <w:t> </w:t>
      </w:r>
      <w:r>
        <w:rPr>
          <w:sz w:val="20"/>
        </w:rPr>
        <w:t>Destinado</w:t>
      </w:r>
      <w:r>
        <w:rPr>
          <w:spacing w:val="-39"/>
          <w:sz w:val="20"/>
        </w:rPr>
        <w:t> </w:t>
      </w:r>
      <w:r>
        <w:rPr>
          <w:sz w:val="20"/>
        </w:rPr>
        <w:t>aos</w:t>
      </w:r>
      <w:r>
        <w:rPr>
          <w:spacing w:val="-37"/>
          <w:sz w:val="20"/>
        </w:rPr>
        <w:t> </w:t>
      </w:r>
      <w:r>
        <w:rPr>
          <w:sz w:val="20"/>
        </w:rPr>
        <w:t>empregados</w:t>
      </w:r>
      <w:r>
        <w:rPr>
          <w:spacing w:val="-38"/>
          <w:sz w:val="20"/>
        </w:rPr>
        <w:t> </w:t>
      </w:r>
      <w:r>
        <w:rPr>
          <w:sz w:val="20"/>
        </w:rPr>
        <w:t>ativos</w:t>
      </w:r>
      <w:r>
        <w:rPr>
          <w:spacing w:val="-37"/>
          <w:sz w:val="20"/>
        </w:rPr>
        <w:t> </w:t>
      </w:r>
      <w:r>
        <w:rPr>
          <w:sz w:val="20"/>
        </w:rPr>
        <w:t>e</w:t>
      </w:r>
      <w:r>
        <w:rPr>
          <w:spacing w:val="-39"/>
          <w:sz w:val="20"/>
        </w:rPr>
        <w:t> </w:t>
      </w:r>
      <w:r>
        <w:rPr>
          <w:sz w:val="20"/>
        </w:rPr>
        <w:t>dependentes</w:t>
      </w:r>
      <w:r>
        <w:rPr>
          <w:spacing w:val="-38"/>
          <w:sz w:val="20"/>
        </w:rPr>
        <w:t> </w:t>
      </w:r>
      <w:r>
        <w:rPr>
          <w:sz w:val="20"/>
        </w:rPr>
        <w:t>e</w:t>
      </w:r>
      <w:r>
        <w:rPr>
          <w:spacing w:val="-39"/>
          <w:sz w:val="20"/>
        </w:rPr>
        <w:t> </w:t>
      </w:r>
      <w:r>
        <w:rPr>
          <w:sz w:val="20"/>
        </w:rPr>
        <w:t>atenderá</w:t>
      </w:r>
      <w:r>
        <w:rPr>
          <w:spacing w:val="-38"/>
          <w:sz w:val="20"/>
        </w:rPr>
        <w:t> </w:t>
      </w:r>
      <w:r>
        <w:rPr>
          <w:sz w:val="20"/>
        </w:rPr>
        <w:t>a</w:t>
      </w:r>
      <w:r>
        <w:rPr>
          <w:spacing w:val="-37"/>
          <w:sz w:val="20"/>
        </w:rPr>
        <w:t> </w:t>
      </w:r>
      <w:r>
        <w:rPr>
          <w:sz w:val="20"/>
        </w:rPr>
        <w:t>CEB</w:t>
      </w:r>
      <w:r>
        <w:rPr>
          <w:spacing w:val="-39"/>
          <w:sz w:val="20"/>
        </w:rPr>
        <w:t> </w:t>
      </w:r>
      <w:r>
        <w:rPr>
          <w:sz w:val="20"/>
        </w:rPr>
        <w:t>e</w:t>
      </w:r>
      <w:r>
        <w:rPr>
          <w:spacing w:val="-39"/>
          <w:sz w:val="20"/>
        </w:rPr>
        <w:t> </w:t>
      </w:r>
      <w:r>
        <w:rPr>
          <w:sz w:val="20"/>
        </w:rPr>
        <w:t>suas</w:t>
      </w:r>
      <w:r>
        <w:rPr>
          <w:spacing w:val="-38"/>
          <w:sz w:val="20"/>
        </w:rPr>
        <w:t> </w:t>
      </w:r>
      <w:r>
        <w:rPr>
          <w:sz w:val="20"/>
        </w:rPr>
        <w:t>controladas. A</w:t>
      </w:r>
      <w:r>
        <w:rPr>
          <w:spacing w:val="-46"/>
          <w:sz w:val="20"/>
        </w:rPr>
        <w:t> </w:t>
      </w:r>
      <w:r>
        <w:rPr>
          <w:sz w:val="20"/>
        </w:rPr>
        <w:t>contribuição</w:t>
      </w:r>
      <w:r>
        <w:rPr>
          <w:spacing w:val="-46"/>
          <w:sz w:val="20"/>
        </w:rPr>
        <w:t> </w:t>
      </w:r>
      <w:r>
        <w:rPr>
          <w:sz w:val="20"/>
        </w:rPr>
        <w:t>mensal</w:t>
      </w:r>
      <w:r>
        <w:rPr>
          <w:spacing w:val="-45"/>
          <w:sz w:val="20"/>
        </w:rPr>
        <w:t> </w:t>
      </w:r>
      <w:r>
        <w:rPr>
          <w:sz w:val="20"/>
        </w:rPr>
        <w:t>levará</w:t>
      </w:r>
      <w:r>
        <w:rPr>
          <w:spacing w:val="-45"/>
          <w:sz w:val="20"/>
        </w:rPr>
        <w:t> </w:t>
      </w:r>
      <w:r>
        <w:rPr>
          <w:sz w:val="20"/>
        </w:rPr>
        <w:t>em</w:t>
      </w:r>
      <w:r>
        <w:rPr>
          <w:spacing w:val="-46"/>
          <w:sz w:val="20"/>
        </w:rPr>
        <w:t> </w:t>
      </w:r>
      <w:r>
        <w:rPr>
          <w:sz w:val="20"/>
        </w:rPr>
        <w:t>consideração</w:t>
      </w:r>
      <w:r>
        <w:rPr>
          <w:spacing w:val="-46"/>
          <w:sz w:val="20"/>
        </w:rPr>
        <w:t> </w:t>
      </w:r>
      <w:r>
        <w:rPr>
          <w:sz w:val="20"/>
        </w:rPr>
        <w:t>a</w:t>
      </w:r>
      <w:r>
        <w:rPr>
          <w:spacing w:val="-45"/>
          <w:sz w:val="20"/>
        </w:rPr>
        <w:t> </w:t>
      </w:r>
      <w:r>
        <w:rPr>
          <w:sz w:val="20"/>
        </w:rPr>
        <w:t>remuneração</w:t>
      </w:r>
      <w:r>
        <w:rPr>
          <w:spacing w:val="-46"/>
          <w:sz w:val="20"/>
        </w:rPr>
        <w:t> </w:t>
      </w:r>
      <w:r>
        <w:rPr>
          <w:sz w:val="20"/>
        </w:rPr>
        <w:t>e</w:t>
      </w:r>
      <w:r>
        <w:rPr>
          <w:spacing w:val="-46"/>
          <w:sz w:val="20"/>
        </w:rPr>
        <w:t> </w:t>
      </w:r>
      <w:r>
        <w:rPr>
          <w:sz w:val="20"/>
        </w:rPr>
        <w:t>a</w:t>
      </w:r>
      <w:r>
        <w:rPr>
          <w:spacing w:val="-45"/>
          <w:sz w:val="20"/>
        </w:rPr>
        <w:t> </w:t>
      </w:r>
      <w:r>
        <w:rPr>
          <w:sz w:val="20"/>
        </w:rPr>
        <w:t>faixa</w:t>
      </w:r>
      <w:r>
        <w:rPr>
          <w:spacing w:val="-46"/>
          <w:sz w:val="20"/>
        </w:rPr>
        <w:t> </w:t>
      </w:r>
      <w:r>
        <w:rPr>
          <w:sz w:val="20"/>
        </w:rPr>
        <w:t>etária.</w:t>
      </w:r>
      <w:r>
        <w:rPr>
          <w:spacing w:val="-46"/>
          <w:sz w:val="20"/>
        </w:rPr>
        <w:t> </w:t>
      </w:r>
      <w:r>
        <w:rPr>
          <w:sz w:val="20"/>
        </w:rPr>
        <w:t>O</w:t>
      </w:r>
      <w:r>
        <w:rPr>
          <w:spacing w:val="-46"/>
          <w:sz w:val="20"/>
        </w:rPr>
        <w:t> </w:t>
      </w:r>
      <w:r>
        <w:rPr>
          <w:sz w:val="20"/>
        </w:rPr>
        <w:t>valor</w:t>
      </w:r>
      <w:r>
        <w:rPr>
          <w:spacing w:val="-45"/>
          <w:sz w:val="20"/>
        </w:rPr>
        <w:t> </w:t>
      </w:r>
      <w:r>
        <w:rPr>
          <w:sz w:val="20"/>
        </w:rPr>
        <w:t>da</w:t>
      </w:r>
      <w:r>
        <w:rPr>
          <w:spacing w:val="-45"/>
          <w:sz w:val="20"/>
        </w:rPr>
        <w:t> </w:t>
      </w:r>
      <w:r>
        <w:rPr>
          <w:sz w:val="20"/>
        </w:rPr>
        <w:t>contribuição</w:t>
      </w:r>
      <w:r>
        <w:rPr>
          <w:spacing w:val="-46"/>
          <w:sz w:val="20"/>
        </w:rPr>
        <w:t> </w:t>
      </w:r>
      <w:r>
        <w:rPr>
          <w:sz w:val="20"/>
        </w:rPr>
        <w:t>mensal </w:t>
      </w:r>
      <w:r>
        <w:rPr>
          <w:w w:val="105"/>
          <w:sz w:val="20"/>
        </w:rPr>
        <w:t>devida</w:t>
      </w:r>
      <w:r>
        <w:rPr>
          <w:spacing w:val="-36"/>
          <w:w w:val="105"/>
          <w:sz w:val="20"/>
        </w:rPr>
        <w:t> </w:t>
      </w:r>
      <w:r>
        <w:rPr>
          <w:w w:val="105"/>
          <w:sz w:val="20"/>
        </w:rPr>
        <w:t>pelo</w:t>
      </w:r>
      <w:r>
        <w:rPr>
          <w:spacing w:val="-36"/>
          <w:w w:val="105"/>
          <w:sz w:val="20"/>
        </w:rPr>
        <w:t> </w:t>
      </w:r>
      <w:r>
        <w:rPr>
          <w:w w:val="105"/>
          <w:sz w:val="20"/>
        </w:rPr>
        <w:t>beneficiário</w:t>
      </w:r>
      <w:r>
        <w:rPr>
          <w:spacing w:val="-38"/>
          <w:w w:val="105"/>
          <w:sz w:val="20"/>
        </w:rPr>
        <w:t> </w:t>
      </w:r>
      <w:r>
        <w:rPr>
          <w:w w:val="105"/>
          <w:sz w:val="20"/>
        </w:rPr>
        <w:t>titular</w:t>
      </w:r>
      <w:r>
        <w:rPr>
          <w:spacing w:val="-38"/>
          <w:w w:val="105"/>
          <w:sz w:val="20"/>
        </w:rPr>
        <w:t> </w:t>
      </w:r>
      <w:r>
        <w:rPr>
          <w:w w:val="105"/>
          <w:sz w:val="20"/>
        </w:rPr>
        <w:t>não</w:t>
      </w:r>
      <w:r>
        <w:rPr>
          <w:spacing w:val="-36"/>
          <w:w w:val="105"/>
          <w:sz w:val="20"/>
        </w:rPr>
        <w:t> </w:t>
      </w:r>
      <w:r>
        <w:rPr>
          <w:w w:val="105"/>
          <w:sz w:val="20"/>
        </w:rPr>
        <w:t>poderá</w:t>
      </w:r>
      <w:r>
        <w:rPr>
          <w:spacing w:val="-37"/>
          <w:w w:val="105"/>
          <w:sz w:val="20"/>
        </w:rPr>
        <w:t> </w:t>
      </w:r>
      <w:r>
        <w:rPr>
          <w:w w:val="105"/>
          <w:sz w:val="20"/>
        </w:rPr>
        <w:t>ser</w:t>
      </w:r>
      <w:r>
        <w:rPr>
          <w:spacing w:val="-37"/>
          <w:w w:val="105"/>
          <w:sz w:val="20"/>
        </w:rPr>
        <w:t> </w:t>
      </w:r>
      <w:r>
        <w:rPr>
          <w:w w:val="105"/>
          <w:sz w:val="20"/>
        </w:rPr>
        <w:t>inferior</w:t>
      </w:r>
      <w:r>
        <w:rPr>
          <w:spacing w:val="-37"/>
          <w:w w:val="105"/>
          <w:sz w:val="20"/>
        </w:rPr>
        <w:t> </w:t>
      </w:r>
      <w:r>
        <w:rPr>
          <w:w w:val="105"/>
          <w:sz w:val="20"/>
        </w:rPr>
        <w:t>a</w:t>
      </w:r>
      <w:r>
        <w:rPr>
          <w:spacing w:val="-35"/>
          <w:w w:val="105"/>
          <w:sz w:val="20"/>
        </w:rPr>
        <w:t> </w:t>
      </w:r>
      <w:r>
        <w:rPr>
          <w:w w:val="105"/>
          <w:sz w:val="20"/>
        </w:rPr>
        <w:t>2%</w:t>
      </w:r>
      <w:r>
        <w:rPr>
          <w:spacing w:val="-38"/>
          <w:w w:val="105"/>
          <w:sz w:val="20"/>
        </w:rPr>
        <w:t> </w:t>
      </w:r>
      <w:r>
        <w:rPr>
          <w:w w:val="105"/>
          <w:sz w:val="20"/>
        </w:rPr>
        <w:t>ou</w:t>
      </w:r>
      <w:r>
        <w:rPr>
          <w:spacing w:val="-37"/>
          <w:w w:val="105"/>
          <w:sz w:val="20"/>
        </w:rPr>
        <w:t> </w:t>
      </w:r>
      <w:r>
        <w:rPr>
          <w:w w:val="105"/>
          <w:sz w:val="20"/>
        </w:rPr>
        <w:t>superior</w:t>
      </w:r>
      <w:r>
        <w:rPr>
          <w:spacing w:val="-37"/>
          <w:w w:val="105"/>
          <w:sz w:val="20"/>
        </w:rPr>
        <w:t> </w:t>
      </w:r>
      <w:r>
        <w:rPr>
          <w:w w:val="105"/>
          <w:sz w:val="20"/>
        </w:rPr>
        <w:t>a</w:t>
      </w:r>
      <w:r>
        <w:rPr>
          <w:spacing w:val="-37"/>
          <w:w w:val="105"/>
          <w:sz w:val="20"/>
        </w:rPr>
        <w:t> </w:t>
      </w:r>
      <w:r>
        <w:rPr>
          <w:w w:val="105"/>
          <w:sz w:val="20"/>
        </w:rPr>
        <w:t>10%</w:t>
      </w:r>
      <w:r>
        <w:rPr>
          <w:spacing w:val="-36"/>
          <w:w w:val="105"/>
          <w:sz w:val="20"/>
        </w:rPr>
        <w:t> </w:t>
      </w:r>
      <w:r>
        <w:rPr>
          <w:w w:val="105"/>
          <w:sz w:val="20"/>
        </w:rPr>
        <w:t>da</w:t>
      </w:r>
      <w:r>
        <w:rPr>
          <w:spacing w:val="-37"/>
          <w:w w:val="105"/>
          <w:sz w:val="20"/>
        </w:rPr>
        <w:t> </w:t>
      </w:r>
      <w:r>
        <w:rPr>
          <w:w w:val="105"/>
          <w:sz w:val="20"/>
        </w:rPr>
        <w:t>sua</w:t>
      </w:r>
      <w:r>
        <w:rPr>
          <w:spacing w:val="-38"/>
          <w:w w:val="105"/>
          <w:sz w:val="20"/>
        </w:rPr>
        <w:t> </w:t>
      </w:r>
      <w:r>
        <w:rPr>
          <w:w w:val="105"/>
          <w:sz w:val="20"/>
        </w:rPr>
        <w:t>remuneração.</w:t>
      </w:r>
    </w:p>
    <w:p>
      <w:pPr>
        <w:pStyle w:val="ListParagraph"/>
        <w:numPr>
          <w:ilvl w:val="0"/>
          <w:numId w:val="31"/>
        </w:numPr>
        <w:tabs>
          <w:tab w:pos="887" w:val="left" w:leader="none"/>
        </w:tabs>
        <w:spacing w:line="276" w:lineRule="auto" w:before="117" w:after="0"/>
        <w:ind w:left="886" w:right="410" w:hanging="356"/>
        <w:jc w:val="both"/>
        <w:rPr>
          <w:sz w:val="20"/>
        </w:rPr>
      </w:pPr>
      <w:r>
        <w:rPr>
          <w:sz w:val="20"/>
        </w:rPr>
        <w:t>Plano</w:t>
      </w:r>
      <w:r>
        <w:rPr>
          <w:spacing w:val="-45"/>
          <w:sz w:val="20"/>
        </w:rPr>
        <w:t> </w:t>
      </w:r>
      <w:r>
        <w:rPr>
          <w:sz w:val="20"/>
        </w:rPr>
        <w:t>FACEB</w:t>
      </w:r>
      <w:r>
        <w:rPr>
          <w:spacing w:val="-44"/>
          <w:sz w:val="20"/>
        </w:rPr>
        <w:t> </w:t>
      </w:r>
      <w:r>
        <w:rPr>
          <w:sz w:val="20"/>
        </w:rPr>
        <w:t>Saúde</w:t>
      </w:r>
      <w:r>
        <w:rPr>
          <w:spacing w:val="-45"/>
          <w:sz w:val="20"/>
        </w:rPr>
        <w:t> </w:t>
      </w:r>
      <w:r>
        <w:rPr>
          <w:sz w:val="20"/>
        </w:rPr>
        <w:t>Vida:</w:t>
      </w:r>
      <w:r>
        <w:rPr>
          <w:spacing w:val="-44"/>
          <w:sz w:val="20"/>
        </w:rPr>
        <w:t> </w:t>
      </w:r>
      <w:r>
        <w:rPr>
          <w:sz w:val="20"/>
        </w:rPr>
        <w:t>Destinado</w:t>
      </w:r>
      <w:r>
        <w:rPr>
          <w:spacing w:val="-45"/>
          <w:sz w:val="20"/>
        </w:rPr>
        <w:t> </w:t>
      </w:r>
      <w:r>
        <w:rPr>
          <w:sz w:val="20"/>
        </w:rPr>
        <w:t>aos</w:t>
      </w:r>
      <w:r>
        <w:rPr>
          <w:spacing w:val="-43"/>
          <w:sz w:val="20"/>
        </w:rPr>
        <w:t> </w:t>
      </w:r>
      <w:r>
        <w:rPr>
          <w:sz w:val="20"/>
        </w:rPr>
        <w:t>beneficiários,</w:t>
      </w:r>
      <w:r>
        <w:rPr>
          <w:spacing w:val="-41"/>
          <w:sz w:val="20"/>
        </w:rPr>
        <w:t> </w:t>
      </w:r>
      <w:r>
        <w:rPr>
          <w:sz w:val="20"/>
        </w:rPr>
        <w:t>ex-empregados</w:t>
      </w:r>
      <w:r>
        <w:rPr>
          <w:spacing w:val="-43"/>
          <w:sz w:val="20"/>
        </w:rPr>
        <w:t> </w:t>
      </w:r>
      <w:r>
        <w:rPr>
          <w:sz w:val="20"/>
        </w:rPr>
        <w:t>demitidos</w:t>
      </w:r>
      <w:r>
        <w:rPr>
          <w:spacing w:val="-44"/>
          <w:sz w:val="20"/>
        </w:rPr>
        <w:t> </w:t>
      </w:r>
      <w:r>
        <w:rPr>
          <w:sz w:val="20"/>
        </w:rPr>
        <w:t>sem</w:t>
      </w:r>
      <w:r>
        <w:rPr>
          <w:spacing w:val="-43"/>
          <w:sz w:val="20"/>
        </w:rPr>
        <w:t> </w:t>
      </w:r>
      <w:r>
        <w:rPr>
          <w:sz w:val="20"/>
        </w:rPr>
        <w:t>justa</w:t>
      </w:r>
      <w:r>
        <w:rPr>
          <w:spacing w:val="-44"/>
          <w:sz w:val="20"/>
        </w:rPr>
        <w:t> </w:t>
      </w:r>
      <w:r>
        <w:rPr>
          <w:sz w:val="20"/>
        </w:rPr>
        <w:t>causa,</w:t>
      </w:r>
      <w:r>
        <w:rPr>
          <w:spacing w:val="-44"/>
          <w:sz w:val="20"/>
        </w:rPr>
        <w:t> </w:t>
      </w:r>
      <w:r>
        <w:rPr>
          <w:sz w:val="20"/>
        </w:rPr>
        <w:t>pedidos</w:t>
      </w:r>
      <w:r>
        <w:rPr>
          <w:spacing w:val="-44"/>
          <w:sz w:val="20"/>
        </w:rPr>
        <w:t> </w:t>
      </w:r>
      <w:r>
        <w:rPr>
          <w:sz w:val="20"/>
        </w:rPr>
        <w:t>de demissão</w:t>
      </w:r>
      <w:r>
        <w:rPr>
          <w:spacing w:val="-28"/>
          <w:sz w:val="20"/>
        </w:rPr>
        <w:t> </w:t>
      </w:r>
      <w:r>
        <w:rPr>
          <w:sz w:val="20"/>
        </w:rPr>
        <w:t>ou</w:t>
      </w:r>
      <w:r>
        <w:rPr>
          <w:spacing w:val="-27"/>
          <w:sz w:val="20"/>
        </w:rPr>
        <w:t> </w:t>
      </w:r>
      <w:r>
        <w:rPr>
          <w:sz w:val="20"/>
        </w:rPr>
        <w:t>aposentados,</w:t>
      </w:r>
      <w:r>
        <w:rPr>
          <w:spacing w:val="-25"/>
          <w:sz w:val="20"/>
        </w:rPr>
        <w:t> </w:t>
      </w:r>
      <w:r>
        <w:rPr>
          <w:sz w:val="20"/>
        </w:rPr>
        <w:t>extensivo</w:t>
      </w:r>
      <w:r>
        <w:rPr>
          <w:spacing w:val="-27"/>
          <w:sz w:val="20"/>
        </w:rPr>
        <w:t> </w:t>
      </w:r>
      <w:r>
        <w:rPr>
          <w:sz w:val="20"/>
        </w:rPr>
        <w:t>a</w:t>
      </w:r>
      <w:r>
        <w:rPr>
          <w:spacing w:val="-27"/>
          <w:sz w:val="20"/>
        </w:rPr>
        <w:t> </w:t>
      </w:r>
      <w:r>
        <w:rPr>
          <w:sz w:val="20"/>
        </w:rPr>
        <w:t>seus</w:t>
      </w:r>
      <w:r>
        <w:rPr>
          <w:spacing w:val="-27"/>
          <w:sz w:val="20"/>
        </w:rPr>
        <w:t> </w:t>
      </w:r>
      <w:r>
        <w:rPr>
          <w:sz w:val="20"/>
        </w:rPr>
        <w:t>dependentes.</w:t>
      </w:r>
      <w:r>
        <w:rPr>
          <w:spacing w:val="-27"/>
          <w:sz w:val="20"/>
        </w:rPr>
        <w:t> </w:t>
      </w:r>
      <w:r>
        <w:rPr>
          <w:sz w:val="20"/>
        </w:rPr>
        <w:t>A</w:t>
      </w:r>
      <w:r>
        <w:rPr>
          <w:spacing w:val="-27"/>
          <w:sz w:val="20"/>
        </w:rPr>
        <w:t> </w:t>
      </w:r>
      <w:r>
        <w:rPr>
          <w:sz w:val="20"/>
        </w:rPr>
        <w:t>contribuição</w:t>
      </w:r>
      <w:r>
        <w:rPr>
          <w:spacing w:val="-27"/>
          <w:sz w:val="20"/>
        </w:rPr>
        <w:t> </w:t>
      </w:r>
      <w:r>
        <w:rPr>
          <w:sz w:val="20"/>
        </w:rPr>
        <w:t>mensal</w:t>
      </w:r>
      <w:r>
        <w:rPr>
          <w:spacing w:val="-26"/>
          <w:sz w:val="20"/>
        </w:rPr>
        <w:t> </w:t>
      </w:r>
      <w:r>
        <w:rPr>
          <w:sz w:val="20"/>
        </w:rPr>
        <w:t>levará</w:t>
      </w:r>
      <w:r>
        <w:rPr>
          <w:spacing w:val="-27"/>
          <w:sz w:val="20"/>
        </w:rPr>
        <w:t> </w:t>
      </w:r>
      <w:r>
        <w:rPr>
          <w:sz w:val="20"/>
        </w:rPr>
        <w:t>em</w:t>
      </w:r>
      <w:r>
        <w:rPr>
          <w:spacing w:val="-26"/>
          <w:sz w:val="20"/>
        </w:rPr>
        <w:t> </w:t>
      </w:r>
      <w:r>
        <w:rPr>
          <w:sz w:val="20"/>
        </w:rPr>
        <w:t>consideração</w:t>
      </w:r>
      <w:r>
        <w:rPr>
          <w:spacing w:val="-26"/>
          <w:sz w:val="20"/>
        </w:rPr>
        <w:t> </w:t>
      </w:r>
      <w:r>
        <w:rPr>
          <w:sz w:val="20"/>
        </w:rPr>
        <w:t>a faixa</w:t>
      </w:r>
      <w:r>
        <w:rPr>
          <w:spacing w:val="-21"/>
          <w:sz w:val="20"/>
        </w:rPr>
        <w:t> </w:t>
      </w:r>
      <w:r>
        <w:rPr>
          <w:sz w:val="20"/>
        </w:rPr>
        <w:t>etária</w:t>
      </w:r>
      <w:r>
        <w:rPr>
          <w:spacing w:val="-21"/>
          <w:sz w:val="20"/>
        </w:rPr>
        <w:t> </w:t>
      </w:r>
      <w:r>
        <w:rPr>
          <w:sz w:val="20"/>
        </w:rPr>
        <w:t>em</w:t>
      </w:r>
      <w:r>
        <w:rPr>
          <w:spacing w:val="-20"/>
          <w:sz w:val="20"/>
        </w:rPr>
        <w:t> </w:t>
      </w:r>
      <w:r>
        <w:rPr>
          <w:sz w:val="20"/>
        </w:rPr>
        <w:t>que</w:t>
      </w:r>
      <w:r>
        <w:rPr>
          <w:spacing w:val="-20"/>
          <w:sz w:val="20"/>
        </w:rPr>
        <w:t> </w:t>
      </w:r>
      <w:r>
        <w:rPr>
          <w:sz w:val="20"/>
        </w:rPr>
        <w:t>o</w:t>
      </w:r>
      <w:r>
        <w:rPr>
          <w:spacing w:val="-19"/>
          <w:sz w:val="20"/>
        </w:rPr>
        <w:t> </w:t>
      </w:r>
      <w:r>
        <w:rPr>
          <w:sz w:val="20"/>
        </w:rPr>
        <w:t>beneficiário</w:t>
      </w:r>
      <w:r>
        <w:rPr>
          <w:spacing w:val="-22"/>
          <w:sz w:val="20"/>
        </w:rPr>
        <w:t> </w:t>
      </w:r>
      <w:r>
        <w:rPr>
          <w:sz w:val="20"/>
        </w:rPr>
        <w:t>(titular</w:t>
      </w:r>
      <w:r>
        <w:rPr>
          <w:spacing w:val="-20"/>
          <w:sz w:val="20"/>
        </w:rPr>
        <w:t> </w:t>
      </w:r>
      <w:r>
        <w:rPr>
          <w:sz w:val="20"/>
        </w:rPr>
        <w:t>e</w:t>
      </w:r>
      <w:r>
        <w:rPr>
          <w:spacing w:val="-19"/>
          <w:sz w:val="20"/>
        </w:rPr>
        <w:t> </w:t>
      </w:r>
      <w:r>
        <w:rPr>
          <w:sz w:val="20"/>
        </w:rPr>
        <w:t>dependente)</w:t>
      </w:r>
      <w:r>
        <w:rPr>
          <w:spacing w:val="-19"/>
          <w:sz w:val="20"/>
        </w:rPr>
        <w:t> </w:t>
      </w:r>
      <w:r>
        <w:rPr>
          <w:sz w:val="20"/>
        </w:rPr>
        <w:t>se</w:t>
      </w:r>
      <w:r>
        <w:rPr>
          <w:spacing w:val="-23"/>
          <w:sz w:val="20"/>
        </w:rPr>
        <w:t> </w:t>
      </w:r>
      <w:r>
        <w:rPr>
          <w:sz w:val="20"/>
        </w:rPr>
        <w:t>enquadrar.</w:t>
      </w:r>
    </w:p>
    <w:p>
      <w:pPr>
        <w:pStyle w:val="ListParagraph"/>
        <w:numPr>
          <w:ilvl w:val="0"/>
          <w:numId w:val="31"/>
        </w:numPr>
        <w:tabs>
          <w:tab w:pos="887" w:val="left" w:leader="none"/>
        </w:tabs>
        <w:spacing w:line="278" w:lineRule="auto" w:before="125" w:after="0"/>
        <w:ind w:left="886" w:right="411" w:hanging="356"/>
        <w:jc w:val="both"/>
        <w:rPr>
          <w:sz w:val="20"/>
        </w:rPr>
      </w:pPr>
      <w:r>
        <w:rPr>
          <w:sz w:val="20"/>
        </w:rPr>
        <w:t>Plano</w:t>
      </w:r>
      <w:r>
        <w:rPr>
          <w:spacing w:val="-17"/>
          <w:sz w:val="20"/>
        </w:rPr>
        <w:t> </w:t>
      </w:r>
      <w:r>
        <w:rPr>
          <w:sz w:val="20"/>
        </w:rPr>
        <w:t>FACEB</w:t>
      </w:r>
      <w:r>
        <w:rPr>
          <w:spacing w:val="-16"/>
          <w:sz w:val="20"/>
        </w:rPr>
        <w:t> </w:t>
      </w:r>
      <w:r>
        <w:rPr>
          <w:sz w:val="20"/>
        </w:rPr>
        <w:t>Família:</w:t>
      </w:r>
      <w:r>
        <w:rPr>
          <w:spacing w:val="-16"/>
          <w:sz w:val="20"/>
        </w:rPr>
        <w:t> </w:t>
      </w:r>
      <w:r>
        <w:rPr>
          <w:sz w:val="20"/>
        </w:rPr>
        <w:t>Destinado,</w:t>
      </w:r>
      <w:r>
        <w:rPr>
          <w:spacing w:val="-16"/>
          <w:sz w:val="20"/>
        </w:rPr>
        <w:t> </w:t>
      </w:r>
      <w:r>
        <w:rPr>
          <w:sz w:val="20"/>
        </w:rPr>
        <w:t>exclusivamente,</w:t>
      </w:r>
      <w:r>
        <w:rPr>
          <w:spacing w:val="-17"/>
          <w:sz w:val="20"/>
        </w:rPr>
        <w:t> </w:t>
      </w:r>
      <w:r>
        <w:rPr>
          <w:sz w:val="20"/>
        </w:rPr>
        <w:t>aos</w:t>
      </w:r>
      <w:r>
        <w:rPr>
          <w:spacing w:val="-15"/>
          <w:sz w:val="20"/>
        </w:rPr>
        <w:t> </w:t>
      </w:r>
      <w:r>
        <w:rPr>
          <w:sz w:val="20"/>
        </w:rPr>
        <w:t>familiares</w:t>
      </w:r>
      <w:r>
        <w:rPr>
          <w:spacing w:val="-16"/>
          <w:sz w:val="20"/>
        </w:rPr>
        <w:t> </w:t>
      </w:r>
      <w:r>
        <w:rPr>
          <w:sz w:val="20"/>
        </w:rPr>
        <w:t>dos</w:t>
      </w:r>
      <w:r>
        <w:rPr>
          <w:spacing w:val="-16"/>
          <w:sz w:val="20"/>
        </w:rPr>
        <w:t> </w:t>
      </w:r>
      <w:r>
        <w:rPr>
          <w:sz w:val="20"/>
        </w:rPr>
        <w:t>beneficiários</w:t>
      </w:r>
      <w:r>
        <w:rPr>
          <w:spacing w:val="-14"/>
          <w:sz w:val="20"/>
        </w:rPr>
        <w:t> </w:t>
      </w:r>
      <w:r>
        <w:rPr>
          <w:sz w:val="20"/>
        </w:rPr>
        <w:t>titulares</w:t>
      </w:r>
      <w:r>
        <w:rPr>
          <w:spacing w:val="-16"/>
          <w:sz w:val="20"/>
        </w:rPr>
        <w:t> </w:t>
      </w:r>
      <w:r>
        <w:rPr>
          <w:sz w:val="20"/>
        </w:rPr>
        <w:t>do</w:t>
      </w:r>
      <w:r>
        <w:rPr>
          <w:spacing w:val="-16"/>
          <w:sz w:val="20"/>
        </w:rPr>
        <w:t> </w:t>
      </w:r>
      <w:r>
        <w:rPr>
          <w:sz w:val="20"/>
        </w:rPr>
        <w:t>Plano</w:t>
      </w:r>
      <w:r>
        <w:rPr>
          <w:spacing w:val="-16"/>
          <w:sz w:val="20"/>
        </w:rPr>
        <w:t> </w:t>
      </w:r>
      <w:r>
        <w:rPr>
          <w:sz w:val="20"/>
        </w:rPr>
        <w:t>CEB Saúde</w:t>
      </w:r>
      <w:r>
        <w:rPr>
          <w:spacing w:val="-30"/>
          <w:sz w:val="20"/>
        </w:rPr>
        <w:t> </w:t>
      </w:r>
      <w:r>
        <w:rPr>
          <w:sz w:val="20"/>
        </w:rPr>
        <w:t>Vida</w:t>
      </w:r>
      <w:r>
        <w:rPr>
          <w:spacing w:val="-28"/>
          <w:sz w:val="20"/>
        </w:rPr>
        <w:t> </w:t>
      </w:r>
      <w:r>
        <w:rPr>
          <w:sz w:val="20"/>
        </w:rPr>
        <w:t>e</w:t>
      </w:r>
      <w:r>
        <w:rPr>
          <w:spacing w:val="-29"/>
          <w:sz w:val="20"/>
        </w:rPr>
        <w:t> </w:t>
      </w:r>
      <w:r>
        <w:rPr>
          <w:sz w:val="20"/>
        </w:rPr>
        <w:t>do</w:t>
      </w:r>
      <w:r>
        <w:rPr>
          <w:spacing w:val="-29"/>
          <w:sz w:val="20"/>
        </w:rPr>
        <w:t> </w:t>
      </w:r>
      <w:r>
        <w:rPr>
          <w:sz w:val="20"/>
        </w:rPr>
        <w:t>Plano</w:t>
      </w:r>
      <w:r>
        <w:rPr>
          <w:spacing w:val="-28"/>
          <w:sz w:val="20"/>
        </w:rPr>
        <w:t> </w:t>
      </w:r>
      <w:r>
        <w:rPr>
          <w:sz w:val="20"/>
        </w:rPr>
        <w:t>FACEB</w:t>
      </w:r>
      <w:r>
        <w:rPr>
          <w:spacing w:val="-29"/>
          <w:sz w:val="20"/>
        </w:rPr>
        <w:t> </w:t>
      </w:r>
      <w:r>
        <w:rPr>
          <w:sz w:val="20"/>
        </w:rPr>
        <w:t>Saúde</w:t>
      </w:r>
      <w:r>
        <w:rPr>
          <w:spacing w:val="-29"/>
          <w:sz w:val="20"/>
        </w:rPr>
        <w:t> </w:t>
      </w:r>
      <w:r>
        <w:rPr>
          <w:sz w:val="20"/>
        </w:rPr>
        <w:t>Vida,</w:t>
      </w:r>
      <w:r>
        <w:rPr>
          <w:spacing w:val="-29"/>
          <w:sz w:val="20"/>
        </w:rPr>
        <w:t> </w:t>
      </w:r>
      <w:r>
        <w:rPr>
          <w:sz w:val="20"/>
        </w:rPr>
        <w:t>denominados</w:t>
      </w:r>
      <w:r>
        <w:rPr>
          <w:spacing w:val="-26"/>
          <w:sz w:val="20"/>
        </w:rPr>
        <w:t> </w:t>
      </w:r>
      <w:r>
        <w:rPr>
          <w:sz w:val="20"/>
        </w:rPr>
        <w:t>beneficiários</w:t>
      </w:r>
      <w:r>
        <w:rPr>
          <w:spacing w:val="-28"/>
          <w:sz w:val="20"/>
        </w:rPr>
        <w:t> </w:t>
      </w:r>
      <w:r>
        <w:rPr>
          <w:sz w:val="20"/>
        </w:rPr>
        <w:t>agregados</w:t>
      </w:r>
      <w:r>
        <w:rPr>
          <w:spacing w:val="-28"/>
          <w:sz w:val="20"/>
        </w:rPr>
        <w:t> </w:t>
      </w:r>
      <w:r>
        <w:rPr>
          <w:sz w:val="20"/>
        </w:rPr>
        <w:t>(filhos</w:t>
      </w:r>
      <w:r>
        <w:rPr>
          <w:spacing w:val="-28"/>
          <w:sz w:val="20"/>
        </w:rPr>
        <w:t> </w:t>
      </w:r>
      <w:r>
        <w:rPr>
          <w:sz w:val="20"/>
        </w:rPr>
        <w:t>adotivos</w:t>
      </w:r>
      <w:r>
        <w:rPr>
          <w:spacing w:val="-28"/>
          <w:sz w:val="20"/>
        </w:rPr>
        <w:t> </w:t>
      </w:r>
      <w:r>
        <w:rPr>
          <w:sz w:val="20"/>
        </w:rPr>
        <w:t>ou</w:t>
      </w:r>
      <w:r>
        <w:rPr>
          <w:spacing w:val="-29"/>
          <w:sz w:val="20"/>
        </w:rPr>
        <w:t> </w:t>
      </w:r>
      <w:r>
        <w:rPr>
          <w:sz w:val="20"/>
        </w:rPr>
        <w:t>não</w:t>
      </w:r>
      <w:r>
        <w:rPr>
          <w:spacing w:val="-28"/>
          <w:sz w:val="20"/>
        </w:rPr>
        <w:t> </w:t>
      </w:r>
      <w:r>
        <w:rPr>
          <w:sz w:val="20"/>
        </w:rPr>
        <w:t>que tenham</w:t>
      </w:r>
      <w:r>
        <w:rPr>
          <w:spacing w:val="-25"/>
          <w:sz w:val="20"/>
        </w:rPr>
        <w:t> </w:t>
      </w:r>
      <w:r>
        <w:rPr>
          <w:sz w:val="20"/>
        </w:rPr>
        <w:t>perdido</w:t>
      </w:r>
      <w:r>
        <w:rPr>
          <w:spacing w:val="-27"/>
          <w:sz w:val="20"/>
        </w:rPr>
        <w:t> </w:t>
      </w:r>
      <w:r>
        <w:rPr>
          <w:sz w:val="20"/>
        </w:rPr>
        <w:t>as</w:t>
      </w:r>
      <w:r>
        <w:rPr>
          <w:spacing w:val="-26"/>
          <w:sz w:val="20"/>
        </w:rPr>
        <w:t> </w:t>
      </w:r>
      <w:r>
        <w:rPr>
          <w:sz w:val="20"/>
        </w:rPr>
        <w:t>condições</w:t>
      </w:r>
      <w:r>
        <w:rPr>
          <w:spacing w:val="-26"/>
          <w:sz w:val="20"/>
        </w:rPr>
        <w:t> </w:t>
      </w:r>
      <w:r>
        <w:rPr>
          <w:sz w:val="20"/>
        </w:rPr>
        <w:t>de</w:t>
      </w:r>
      <w:r>
        <w:rPr>
          <w:spacing w:val="-27"/>
          <w:sz w:val="20"/>
        </w:rPr>
        <w:t> </w:t>
      </w:r>
      <w:r>
        <w:rPr>
          <w:sz w:val="20"/>
        </w:rPr>
        <w:t>manutenção</w:t>
      </w:r>
      <w:r>
        <w:rPr>
          <w:spacing w:val="-26"/>
          <w:sz w:val="20"/>
        </w:rPr>
        <w:t> </w:t>
      </w:r>
      <w:r>
        <w:rPr>
          <w:sz w:val="20"/>
        </w:rPr>
        <w:t>nos</w:t>
      </w:r>
      <w:r>
        <w:rPr>
          <w:spacing w:val="-26"/>
          <w:sz w:val="20"/>
        </w:rPr>
        <w:t> </w:t>
      </w:r>
      <w:r>
        <w:rPr>
          <w:sz w:val="20"/>
        </w:rPr>
        <w:t>planos</w:t>
      </w:r>
      <w:r>
        <w:rPr>
          <w:spacing w:val="-24"/>
          <w:sz w:val="20"/>
        </w:rPr>
        <w:t> </w:t>
      </w:r>
      <w:r>
        <w:rPr>
          <w:sz w:val="20"/>
        </w:rPr>
        <w:t>CEB</w:t>
      </w:r>
      <w:r>
        <w:rPr>
          <w:spacing w:val="-26"/>
          <w:sz w:val="20"/>
        </w:rPr>
        <w:t> </w:t>
      </w:r>
      <w:r>
        <w:rPr>
          <w:sz w:val="20"/>
        </w:rPr>
        <w:t>Saúde</w:t>
      </w:r>
      <w:r>
        <w:rPr>
          <w:spacing w:val="-26"/>
          <w:sz w:val="20"/>
        </w:rPr>
        <w:t> </w:t>
      </w:r>
      <w:r>
        <w:rPr>
          <w:sz w:val="20"/>
        </w:rPr>
        <w:t>Vida</w:t>
      </w:r>
      <w:r>
        <w:rPr>
          <w:spacing w:val="-24"/>
          <w:sz w:val="20"/>
        </w:rPr>
        <w:t> </w:t>
      </w:r>
      <w:r>
        <w:rPr>
          <w:sz w:val="20"/>
        </w:rPr>
        <w:t>e</w:t>
      </w:r>
      <w:r>
        <w:rPr>
          <w:spacing w:val="-27"/>
          <w:sz w:val="20"/>
        </w:rPr>
        <w:t> </w:t>
      </w:r>
      <w:r>
        <w:rPr>
          <w:sz w:val="20"/>
        </w:rPr>
        <w:t>FACEB</w:t>
      </w:r>
      <w:r>
        <w:rPr>
          <w:spacing w:val="-26"/>
          <w:sz w:val="20"/>
        </w:rPr>
        <w:t> </w:t>
      </w:r>
      <w:r>
        <w:rPr>
          <w:sz w:val="20"/>
        </w:rPr>
        <w:t>Saúde</w:t>
      </w:r>
      <w:r>
        <w:rPr>
          <w:spacing w:val="-26"/>
          <w:sz w:val="20"/>
        </w:rPr>
        <w:t> </w:t>
      </w:r>
      <w:r>
        <w:rPr>
          <w:sz w:val="20"/>
        </w:rPr>
        <w:t>Vida</w:t>
      </w:r>
      <w:r>
        <w:rPr>
          <w:spacing w:val="-26"/>
          <w:sz w:val="20"/>
        </w:rPr>
        <w:t> </w:t>
      </w:r>
      <w:r>
        <w:rPr>
          <w:sz w:val="20"/>
        </w:rPr>
        <w:t>e</w:t>
      </w:r>
      <w:r>
        <w:rPr>
          <w:spacing w:val="-26"/>
          <w:sz w:val="20"/>
        </w:rPr>
        <w:t> </w:t>
      </w:r>
      <w:r>
        <w:rPr>
          <w:sz w:val="20"/>
        </w:rPr>
        <w:t>os</w:t>
      </w:r>
      <w:r>
        <w:rPr>
          <w:spacing w:val="-24"/>
          <w:sz w:val="20"/>
        </w:rPr>
        <w:t> </w:t>
      </w:r>
      <w:r>
        <w:rPr>
          <w:sz w:val="20"/>
        </w:rPr>
        <w:t>netos</w:t>
      </w:r>
      <w:r>
        <w:rPr>
          <w:spacing w:val="-26"/>
          <w:sz w:val="20"/>
        </w:rPr>
        <w:t> </w:t>
      </w:r>
      <w:r>
        <w:rPr>
          <w:sz w:val="20"/>
        </w:rPr>
        <w:t>dos titulares</w:t>
      </w:r>
      <w:r>
        <w:rPr>
          <w:spacing w:val="-23"/>
          <w:sz w:val="20"/>
        </w:rPr>
        <w:t> </w:t>
      </w:r>
      <w:r>
        <w:rPr>
          <w:sz w:val="20"/>
        </w:rPr>
        <w:t>do</w:t>
      </w:r>
      <w:r>
        <w:rPr>
          <w:spacing w:val="-23"/>
          <w:sz w:val="20"/>
        </w:rPr>
        <w:t> </w:t>
      </w:r>
      <w:r>
        <w:rPr>
          <w:sz w:val="20"/>
        </w:rPr>
        <w:t>Plano</w:t>
      </w:r>
      <w:r>
        <w:rPr>
          <w:spacing w:val="-23"/>
          <w:sz w:val="20"/>
        </w:rPr>
        <w:t> </w:t>
      </w:r>
      <w:r>
        <w:rPr>
          <w:sz w:val="20"/>
        </w:rPr>
        <w:t>CEB</w:t>
      </w:r>
      <w:r>
        <w:rPr>
          <w:spacing w:val="-21"/>
          <w:sz w:val="20"/>
        </w:rPr>
        <w:t> </w:t>
      </w:r>
      <w:r>
        <w:rPr>
          <w:sz w:val="20"/>
        </w:rPr>
        <w:t>Saúde</w:t>
      </w:r>
      <w:r>
        <w:rPr>
          <w:spacing w:val="-25"/>
          <w:sz w:val="20"/>
        </w:rPr>
        <w:t> </w:t>
      </w:r>
      <w:r>
        <w:rPr>
          <w:sz w:val="20"/>
        </w:rPr>
        <w:t>Vida).</w:t>
      </w:r>
      <w:r>
        <w:rPr>
          <w:spacing w:val="-22"/>
          <w:sz w:val="20"/>
        </w:rPr>
        <w:t> </w:t>
      </w:r>
      <w:r>
        <w:rPr>
          <w:sz w:val="20"/>
        </w:rPr>
        <w:t>A</w:t>
      </w:r>
      <w:r>
        <w:rPr>
          <w:spacing w:val="-23"/>
          <w:sz w:val="20"/>
        </w:rPr>
        <w:t> </w:t>
      </w:r>
      <w:r>
        <w:rPr>
          <w:sz w:val="20"/>
        </w:rPr>
        <w:t>contribuição</w:t>
      </w:r>
      <w:r>
        <w:rPr>
          <w:spacing w:val="-23"/>
          <w:sz w:val="20"/>
        </w:rPr>
        <w:t> </w:t>
      </w:r>
      <w:r>
        <w:rPr>
          <w:sz w:val="20"/>
        </w:rPr>
        <w:t>mensal</w:t>
      </w:r>
      <w:r>
        <w:rPr>
          <w:spacing w:val="-22"/>
          <w:sz w:val="20"/>
        </w:rPr>
        <w:t> </w:t>
      </w:r>
      <w:r>
        <w:rPr>
          <w:sz w:val="20"/>
        </w:rPr>
        <w:t>levará</w:t>
      </w:r>
      <w:r>
        <w:rPr>
          <w:spacing w:val="-22"/>
          <w:sz w:val="20"/>
        </w:rPr>
        <w:t> </w:t>
      </w:r>
      <w:r>
        <w:rPr>
          <w:sz w:val="20"/>
        </w:rPr>
        <w:t>em</w:t>
      </w:r>
      <w:r>
        <w:rPr>
          <w:spacing w:val="-24"/>
          <w:sz w:val="20"/>
        </w:rPr>
        <w:t> </w:t>
      </w:r>
      <w:r>
        <w:rPr>
          <w:sz w:val="20"/>
        </w:rPr>
        <w:t>consideração</w:t>
      </w:r>
      <w:r>
        <w:rPr>
          <w:spacing w:val="-23"/>
          <w:sz w:val="20"/>
        </w:rPr>
        <w:t> </w:t>
      </w:r>
      <w:r>
        <w:rPr>
          <w:sz w:val="20"/>
        </w:rPr>
        <w:t>a</w:t>
      </w:r>
      <w:r>
        <w:rPr>
          <w:spacing w:val="-22"/>
          <w:sz w:val="20"/>
        </w:rPr>
        <w:t> </w:t>
      </w:r>
      <w:r>
        <w:rPr>
          <w:sz w:val="20"/>
        </w:rPr>
        <w:t>faixa</w:t>
      </w:r>
      <w:r>
        <w:rPr>
          <w:spacing w:val="-23"/>
          <w:sz w:val="20"/>
        </w:rPr>
        <w:t> </w:t>
      </w:r>
      <w:r>
        <w:rPr>
          <w:sz w:val="20"/>
        </w:rPr>
        <w:t>etária</w:t>
      </w:r>
      <w:r>
        <w:rPr>
          <w:spacing w:val="-21"/>
          <w:sz w:val="20"/>
        </w:rPr>
        <w:t> </w:t>
      </w:r>
      <w:r>
        <w:rPr>
          <w:sz w:val="20"/>
        </w:rPr>
        <w:t>em</w:t>
      </w:r>
      <w:r>
        <w:rPr>
          <w:spacing w:val="-21"/>
          <w:sz w:val="20"/>
        </w:rPr>
        <w:t> </w:t>
      </w:r>
      <w:r>
        <w:rPr>
          <w:sz w:val="20"/>
        </w:rPr>
        <w:t>que</w:t>
      </w:r>
      <w:r>
        <w:rPr>
          <w:spacing w:val="-24"/>
          <w:sz w:val="20"/>
        </w:rPr>
        <w:t> </w:t>
      </w:r>
      <w:r>
        <w:rPr>
          <w:sz w:val="20"/>
        </w:rPr>
        <w:t>o beneficiário se</w:t>
      </w:r>
      <w:r>
        <w:rPr>
          <w:spacing w:val="-34"/>
          <w:sz w:val="20"/>
        </w:rPr>
        <w:t> </w:t>
      </w:r>
      <w:r>
        <w:rPr>
          <w:sz w:val="20"/>
        </w:rPr>
        <w:t>enquadrar.</w:t>
      </w:r>
    </w:p>
    <w:p>
      <w:pPr>
        <w:pStyle w:val="BodyText"/>
        <w:spacing w:before="7"/>
      </w:pPr>
    </w:p>
    <w:p>
      <w:pPr>
        <w:pStyle w:val="BodyText"/>
        <w:spacing w:line="242" w:lineRule="auto" w:before="1"/>
        <w:ind w:left="172" w:right="408"/>
        <w:jc w:val="both"/>
      </w:pPr>
      <w:r>
        <w:rPr/>
        <w:t>Para</w:t>
      </w:r>
      <w:r>
        <w:rPr>
          <w:spacing w:val="-39"/>
        </w:rPr>
        <w:t> </w:t>
      </w:r>
      <w:r>
        <w:rPr/>
        <w:t>o</w:t>
      </w:r>
      <w:r>
        <w:rPr>
          <w:spacing w:val="-38"/>
        </w:rPr>
        <w:t> </w:t>
      </w:r>
      <w:r>
        <w:rPr/>
        <w:t>início</w:t>
      </w:r>
      <w:r>
        <w:rPr>
          <w:spacing w:val="-38"/>
        </w:rPr>
        <w:t> </w:t>
      </w:r>
      <w:r>
        <w:rPr/>
        <w:t>da</w:t>
      </w:r>
      <w:r>
        <w:rPr>
          <w:spacing w:val="-38"/>
        </w:rPr>
        <w:t> </w:t>
      </w:r>
      <w:r>
        <w:rPr/>
        <w:t>operacionalização</w:t>
      </w:r>
      <w:r>
        <w:rPr>
          <w:spacing w:val="-39"/>
        </w:rPr>
        <w:t> </w:t>
      </w:r>
      <w:r>
        <w:rPr/>
        <w:t>dos</w:t>
      </w:r>
      <w:r>
        <w:rPr>
          <w:spacing w:val="-39"/>
        </w:rPr>
        <w:t> </w:t>
      </w:r>
      <w:r>
        <w:rPr/>
        <w:t>novos</w:t>
      </w:r>
      <w:r>
        <w:rPr>
          <w:spacing w:val="-37"/>
        </w:rPr>
        <w:t> </w:t>
      </w:r>
      <w:r>
        <w:rPr/>
        <w:t>planos</w:t>
      </w:r>
      <w:r>
        <w:rPr>
          <w:spacing w:val="-38"/>
        </w:rPr>
        <w:t> </w:t>
      </w:r>
      <w:r>
        <w:rPr/>
        <w:t>de</w:t>
      </w:r>
      <w:r>
        <w:rPr>
          <w:spacing w:val="-38"/>
        </w:rPr>
        <w:t> </w:t>
      </w:r>
      <w:r>
        <w:rPr/>
        <w:t>saúde</w:t>
      </w:r>
      <w:r>
        <w:rPr>
          <w:spacing w:val="-39"/>
        </w:rPr>
        <w:t> </w:t>
      </w:r>
      <w:r>
        <w:rPr/>
        <w:t>foi</w:t>
      </w:r>
      <w:r>
        <w:rPr>
          <w:spacing w:val="-38"/>
        </w:rPr>
        <w:t> </w:t>
      </w:r>
      <w:r>
        <w:rPr/>
        <w:t>necessário</w:t>
      </w:r>
      <w:r>
        <w:rPr>
          <w:spacing w:val="-37"/>
        </w:rPr>
        <w:t> </w:t>
      </w:r>
      <w:r>
        <w:rPr/>
        <w:t>o</w:t>
      </w:r>
      <w:r>
        <w:rPr>
          <w:spacing w:val="-40"/>
        </w:rPr>
        <w:t> </w:t>
      </w:r>
      <w:r>
        <w:rPr/>
        <w:t>aporte</w:t>
      </w:r>
      <w:r>
        <w:rPr>
          <w:spacing w:val="-38"/>
        </w:rPr>
        <w:t> </w:t>
      </w:r>
      <w:r>
        <w:rPr/>
        <w:t>prévio</w:t>
      </w:r>
      <w:r>
        <w:rPr>
          <w:spacing w:val="-39"/>
        </w:rPr>
        <w:t> </w:t>
      </w:r>
      <w:r>
        <w:rPr/>
        <w:t>de</w:t>
      </w:r>
      <w:r>
        <w:rPr>
          <w:spacing w:val="-39"/>
        </w:rPr>
        <w:t> </w:t>
      </w:r>
      <w:r>
        <w:rPr/>
        <w:t>R$</w:t>
      </w:r>
      <w:r>
        <w:rPr>
          <w:spacing w:val="-37"/>
        </w:rPr>
        <w:t> </w:t>
      </w:r>
      <w:r>
        <w:rPr/>
        <w:t>23,8</w:t>
      </w:r>
      <w:r>
        <w:rPr>
          <w:spacing w:val="-38"/>
        </w:rPr>
        <w:t> </w:t>
      </w:r>
      <w:r>
        <w:rPr/>
        <w:t>milhões,</w:t>
      </w:r>
      <w:r>
        <w:rPr>
          <w:spacing w:val="-39"/>
        </w:rPr>
        <w:t> </w:t>
      </w:r>
      <w:r>
        <w:rPr/>
        <w:t>sendo R$</w:t>
      </w:r>
      <w:r>
        <w:rPr>
          <w:spacing w:val="-7"/>
        </w:rPr>
        <w:t> </w:t>
      </w:r>
      <w:r>
        <w:rPr/>
        <w:t>21,7</w:t>
      </w:r>
      <w:r>
        <w:rPr>
          <w:spacing w:val="-6"/>
        </w:rPr>
        <w:t> </w:t>
      </w:r>
      <w:r>
        <w:rPr/>
        <w:t>milhões</w:t>
      </w:r>
      <w:r>
        <w:rPr>
          <w:spacing w:val="-4"/>
        </w:rPr>
        <w:t> </w:t>
      </w:r>
      <w:r>
        <w:rPr/>
        <w:t>para</w:t>
      </w:r>
      <w:r>
        <w:rPr>
          <w:spacing w:val="-6"/>
        </w:rPr>
        <w:t> </w:t>
      </w:r>
      <w:r>
        <w:rPr/>
        <w:t>o</w:t>
      </w:r>
      <w:r>
        <w:rPr>
          <w:spacing w:val="-6"/>
        </w:rPr>
        <w:t> </w:t>
      </w:r>
      <w:r>
        <w:rPr/>
        <w:t>Plano</w:t>
      </w:r>
      <w:r>
        <w:rPr>
          <w:spacing w:val="-5"/>
        </w:rPr>
        <w:t> </w:t>
      </w:r>
      <w:r>
        <w:rPr/>
        <w:t>que</w:t>
      </w:r>
      <w:r>
        <w:rPr>
          <w:spacing w:val="-6"/>
        </w:rPr>
        <w:t> </w:t>
      </w:r>
      <w:r>
        <w:rPr/>
        <w:t>atenderá</w:t>
      </w:r>
      <w:r>
        <w:rPr>
          <w:spacing w:val="-5"/>
        </w:rPr>
        <w:t> </w:t>
      </w:r>
      <w:r>
        <w:rPr/>
        <w:t>os</w:t>
      </w:r>
      <w:r>
        <w:rPr>
          <w:spacing w:val="-6"/>
        </w:rPr>
        <w:t> </w:t>
      </w:r>
      <w:r>
        <w:rPr/>
        <w:t>ex-empregados</w:t>
      </w:r>
      <w:r>
        <w:rPr>
          <w:spacing w:val="-6"/>
        </w:rPr>
        <w:t> </w:t>
      </w:r>
      <w:r>
        <w:rPr/>
        <w:t>e</w:t>
      </w:r>
      <w:r>
        <w:rPr>
          <w:spacing w:val="-6"/>
        </w:rPr>
        <w:t> </w:t>
      </w:r>
      <w:r>
        <w:rPr/>
        <w:t>R$</w:t>
      </w:r>
      <w:r>
        <w:rPr>
          <w:spacing w:val="-7"/>
        </w:rPr>
        <w:t> </w:t>
      </w:r>
      <w:r>
        <w:rPr/>
        <w:t>2,2</w:t>
      </w:r>
      <w:r>
        <w:rPr>
          <w:spacing w:val="-5"/>
        </w:rPr>
        <w:t> </w:t>
      </w:r>
      <w:r>
        <w:rPr/>
        <w:t>milhões</w:t>
      </w:r>
      <w:r>
        <w:rPr>
          <w:spacing w:val="-7"/>
        </w:rPr>
        <w:t> </w:t>
      </w:r>
      <w:r>
        <w:rPr/>
        <w:t>para</w:t>
      </w:r>
      <w:r>
        <w:rPr>
          <w:spacing w:val="-6"/>
        </w:rPr>
        <w:t> </w:t>
      </w:r>
      <w:r>
        <w:rPr/>
        <w:t>os</w:t>
      </w:r>
      <w:r>
        <w:rPr>
          <w:spacing w:val="-7"/>
        </w:rPr>
        <w:t> </w:t>
      </w:r>
      <w:r>
        <w:rPr/>
        <w:t>empregados</w:t>
      </w:r>
      <w:r>
        <w:rPr>
          <w:spacing w:val="-7"/>
        </w:rPr>
        <w:t> </w:t>
      </w:r>
      <w:r>
        <w:rPr/>
        <w:t>ativos.</w:t>
      </w:r>
      <w:r>
        <w:rPr>
          <w:spacing w:val="-5"/>
        </w:rPr>
        <w:t> </w:t>
      </w:r>
      <w:r>
        <w:rPr/>
        <w:t>Tais aportes</w:t>
      </w:r>
      <w:r>
        <w:rPr>
          <w:spacing w:val="-14"/>
        </w:rPr>
        <w:t> </w:t>
      </w:r>
      <w:r>
        <w:rPr/>
        <w:t>visavam</w:t>
      </w:r>
      <w:r>
        <w:rPr>
          <w:spacing w:val="-14"/>
        </w:rPr>
        <w:t> </w:t>
      </w:r>
      <w:r>
        <w:rPr/>
        <w:t>atender</w:t>
      </w:r>
      <w:r>
        <w:rPr>
          <w:spacing w:val="-13"/>
        </w:rPr>
        <w:t> </w:t>
      </w:r>
      <w:r>
        <w:rPr/>
        <w:t>às</w:t>
      </w:r>
      <w:r>
        <w:rPr>
          <w:spacing w:val="-13"/>
        </w:rPr>
        <w:t> </w:t>
      </w:r>
      <w:r>
        <w:rPr/>
        <w:t>garantias</w:t>
      </w:r>
      <w:r>
        <w:rPr>
          <w:spacing w:val="-12"/>
        </w:rPr>
        <w:t> </w:t>
      </w:r>
      <w:r>
        <w:rPr/>
        <w:t>financeiras</w:t>
      </w:r>
      <w:r>
        <w:rPr>
          <w:spacing w:val="-11"/>
        </w:rPr>
        <w:t> </w:t>
      </w:r>
      <w:r>
        <w:rPr/>
        <w:t>exigidas</w:t>
      </w:r>
      <w:r>
        <w:rPr>
          <w:spacing w:val="-14"/>
        </w:rPr>
        <w:t> </w:t>
      </w:r>
      <w:r>
        <w:rPr/>
        <w:t>pela</w:t>
      </w:r>
      <w:r>
        <w:rPr>
          <w:spacing w:val="-13"/>
        </w:rPr>
        <w:t> </w:t>
      </w:r>
      <w:r>
        <w:rPr/>
        <w:t>Agência</w:t>
      </w:r>
      <w:r>
        <w:rPr>
          <w:spacing w:val="-13"/>
        </w:rPr>
        <w:t> </w:t>
      </w:r>
      <w:r>
        <w:rPr/>
        <w:t>Nacional</w:t>
      </w:r>
      <w:r>
        <w:rPr>
          <w:spacing w:val="-13"/>
        </w:rPr>
        <w:t> </w:t>
      </w:r>
      <w:r>
        <w:rPr/>
        <w:t>de</w:t>
      </w:r>
      <w:r>
        <w:rPr>
          <w:spacing w:val="-13"/>
        </w:rPr>
        <w:t> </w:t>
      </w:r>
      <w:r>
        <w:rPr/>
        <w:t>Saúde</w:t>
      </w:r>
      <w:r>
        <w:rPr>
          <w:spacing w:val="-5"/>
        </w:rPr>
        <w:t> </w:t>
      </w:r>
      <w:r>
        <w:rPr>
          <w:w w:val="105"/>
        </w:rPr>
        <w:t>–</w:t>
      </w:r>
      <w:r>
        <w:rPr>
          <w:spacing w:val="-16"/>
          <w:w w:val="105"/>
        </w:rPr>
        <w:t> </w:t>
      </w:r>
      <w:r>
        <w:rPr/>
        <w:t>ANS</w:t>
      </w:r>
      <w:r>
        <w:rPr>
          <w:spacing w:val="-12"/>
        </w:rPr>
        <w:t> </w:t>
      </w:r>
      <w:r>
        <w:rPr/>
        <w:t>na</w:t>
      </w:r>
      <w:r>
        <w:rPr>
          <w:spacing w:val="-13"/>
        </w:rPr>
        <w:t> </w:t>
      </w:r>
      <w:r>
        <w:rPr/>
        <w:t>cobertura</w:t>
      </w:r>
      <w:r>
        <w:rPr>
          <w:spacing w:val="-12"/>
        </w:rPr>
        <w:t> </w:t>
      </w:r>
      <w:r>
        <w:rPr/>
        <w:t>da Margem</w:t>
      </w:r>
      <w:r>
        <w:rPr>
          <w:spacing w:val="-18"/>
        </w:rPr>
        <w:t> </w:t>
      </w:r>
      <w:r>
        <w:rPr/>
        <w:t>de</w:t>
      </w:r>
      <w:r>
        <w:rPr>
          <w:spacing w:val="-21"/>
        </w:rPr>
        <w:t> </w:t>
      </w:r>
      <w:r>
        <w:rPr/>
        <w:t>Solvência</w:t>
      </w:r>
      <w:r>
        <w:rPr>
          <w:spacing w:val="-17"/>
        </w:rPr>
        <w:t> </w:t>
      </w:r>
      <w:r>
        <w:rPr/>
        <w:t>dos</w:t>
      </w:r>
      <w:r>
        <w:rPr>
          <w:spacing w:val="-19"/>
        </w:rPr>
        <w:t> </w:t>
      </w:r>
      <w:r>
        <w:rPr/>
        <w:t>planos,</w:t>
      </w:r>
      <w:r>
        <w:rPr>
          <w:spacing w:val="-19"/>
        </w:rPr>
        <w:t> </w:t>
      </w:r>
      <w:r>
        <w:rPr/>
        <w:t>conforme</w:t>
      </w:r>
      <w:r>
        <w:rPr>
          <w:spacing w:val="-21"/>
        </w:rPr>
        <w:t> </w:t>
      </w:r>
      <w:r>
        <w:rPr/>
        <w:t>Resolução</w:t>
      </w:r>
      <w:r>
        <w:rPr>
          <w:spacing w:val="-20"/>
        </w:rPr>
        <w:t> </w:t>
      </w:r>
      <w:r>
        <w:rPr/>
        <w:t>Normativa</w:t>
      </w:r>
      <w:r>
        <w:rPr>
          <w:spacing w:val="-16"/>
        </w:rPr>
        <w:t> </w:t>
      </w:r>
      <w:r>
        <w:rPr/>
        <w:t>nº</w:t>
      </w:r>
      <w:r>
        <w:rPr>
          <w:spacing w:val="-18"/>
        </w:rPr>
        <w:t> </w:t>
      </w:r>
      <w:r>
        <w:rPr/>
        <w:t>209/2009/ANS.</w:t>
      </w:r>
    </w:p>
    <w:p>
      <w:pPr>
        <w:pStyle w:val="BodyText"/>
        <w:spacing w:before="5"/>
      </w:pPr>
    </w:p>
    <w:p>
      <w:pPr>
        <w:pStyle w:val="BodyText"/>
        <w:spacing w:line="242" w:lineRule="auto"/>
        <w:ind w:left="172" w:right="407"/>
        <w:jc w:val="both"/>
      </w:pPr>
      <w:r>
        <w:rPr/>
        <w:t>Os</w:t>
      </w:r>
      <w:r>
        <w:rPr>
          <w:spacing w:val="-37"/>
        </w:rPr>
        <w:t> </w:t>
      </w:r>
      <w:r>
        <w:rPr/>
        <w:t>resultados</w:t>
      </w:r>
      <w:r>
        <w:rPr>
          <w:spacing w:val="-36"/>
        </w:rPr>
        <w:t> </w:t>
      </w:r>
      <w:r>
        <w:rPr/>
        <w:t>da</w:t>
      </w:r>
      <w:r>
        <w:rPr>
          <w:spacing w:val="-36"/>
        </w:rPr>
        <w:t> </w:t>
      </w:r>
      <w:r>
        <w:rPr/>
        <w:t>reavaliação</w:t>
      </w:r>
      <w:r>
        <w:rPr>
          <w:spacing w:val="-38"/>
        </w:rPr>
        <w:t> </w:t>
      </w:r>
      <w:r>
        <w:rPr/>
        <w:t>atuarial</w:t>
      </w:r>
      <w:r>
        <w:rPr>
          <w:spacing w:val="-36"/>
        </w:rPr>
        <w:t> </w:t>
      </w:r>
      <w:r>
        <w:rPr/>
        <w:t>das</w:t>
      </w:r>
      <w:r>
        <w:rPr>
          <w:spacing w:val="-36"/>
        </w:rPr>
        <w:t> </w:t>
      </w:r>
      <w:r>
        <w:rPr/>
        <w:t>obrigações</w:t>
      </w:r>
      <w:r>
        <w:rPr>
          <w:spacing w:val="-36"/>
        </w:rPr>
        <w:t> </w:t>
      </w:r>
      <w:r>
        <w:rPr/>
        <w:t>com</w:t>
      </w:r>
      <w:r>
        <w:rPr>
          <w:spacing w:val="-35"/>
        </w:rPr>
        <w:t> </w:t>
      </w:r>
      <w:r>
        <w:rPr/>
        <w:t>benefícios</w:t>
      </w:r>
      <w:r>
        <w:rPr>
          <w:spacing w:val="-37"/>
        </w:rPr>
        <w:t> </w:t>
      </w:r>
      <w:r>
        <w:rPr/>
        <w:t>a</w:t>
      </w:r>
      <w:r>
        <w:rPr>
          <w:spacing w:val="-34"/>
        </w:rPr>
        <w:t> </w:t>
      </w:r>
      <w:r>
        <w:rPr/>
        <w:t>empregados</w:t>
      </w:r>
      <w:r>
        <w:rPr>
          <w:spacing w:val="-37"/>
        </w:rPr>
        <w:t> </w:t>
      </w:r>
      <w:r>
        <w:rPr/>
        <w:t>da</w:t>
      </w:r>
      <w:r>
        <w:rPr>
          <w:spacing w:val="-34"/>
        </w:rPr>
        <w:t> </w:t>
      </w:r>
      <w:r>
        <w:rPr/>
        <w:t>Companhia</w:t>
      </w:r>
      <w:r>
        <w:rPr>
          <w:spacing w:val="-35"/>
        </w:rPr>
        <w:t> </w:t>
      </w:r>
      <w:r>
        <w:rPr/>
        <w:t>e</w:t>
      </w:r>
      <w:r>
        <w:rPr>
          <w:spacing w:val="-37"/>
        </w:rPr>
        <w:t> </w:t>
      </w:r>
      <w:r>
        <w:rPr/>
        <w:t>suas</w:t>
      </w:r>
      <w:r>
        <w:rPr>
          <w:spacing w:val="-36"/>
        </w:rPr>
        <w:t> </w:t>
      </w:r>
      <w:r>
        <w:rPr/>
        <w:t>controladas estão</w:t>
      </w:r>
      <w:r>
        <w:rPr>
          <w:spacing w:val="-22"/>
        </w:rPr>
        <w:t> </w:t>
      </w:r>
      <w:r>
        <w:rPr/>
        <w:t>demonstrados</w:t>
      </w:r>
      <w:r>
        <w:rPr>
          <w:spacing w:val="-22"/>
        </w:rPr>
        <w:t> </w:t>
      </w:r>
      <w:r>
        <w:rPr/>
        <w:t>nos</w:t>
      </w:r>
      <w:r>
        <w:rPr>
          <w:spacing w:val="-21"/>
        </w:rPr>
        <w:t> </w:t>
      </w:r>
      <w:r>
        <w:rPr/>
        <w:t>quadros</w:t>
      </w:r>
      <w:r>
        <w:rPr>
          <w:spacing w:val="-21"/>
        </w:rPr>
        <w:t> </w:t>
      </w:r>
      <w:r>
        <w:rPr/>
        <w:t>seguintes,</w:t>
      </w:r>
      <w:r>
        <w:rPr>
          <w:spacing w:val="-22"/>
        </w:rPr>
        <w:t> </w:t>
      </w:r>
      <w:r>
        <w:rPr/>
        <w:t>divididas</w:t>
      </w:r>
      <w:r>
        <w:rPr>
          <w:spacing w:val="-22"/>
        </w:rPr>
        <w:t> </w:t>
      </w:r>
      <w:r>
        <w:rPr/>
        <w:t>em</w:t>
      </w:r>
      <w:r>
        <w:rPr>
          <w:spacing w:val="-22"/>
        </w:rPr>
        <w:t> </w:t>
      </w:r>
      <w:r>
        <w:rPr/>
        <w:t>função</w:t>
      </w:r>
      <w:r>
        <w:rPr>
          <w:spacing w:val="-22"/>
        </w:rPr>
        <w:t> </w:t>
      </w:r>
      <w:r>
        <w:rPr/>
        <w:t>de</w:t>
      </w:r>
      <w:r>
        <w:rPr>
          <w:spacing w:val="-22"/>
        </w:rPr>
        <w:t> </w:t>
      </w:r>
      <w:r>
        <w:rPr/>
        <w:t>cada</w:t>
      </w:r>
      <w:r>
        <w:rPr>
          <w:spacing w:val="-22"/>
        </w:rPr>
        <w:t> </w:t>
      </w:r>
      <w:r>
        <w:rPr/>
        <w:t>plano</w:t>
      </w:r>
      <w:r>
        <w:rPr>
          <w:spacing w:val="-22"/>
        </w:rPr>
        <w:t> </w:t>
      </w:r>
      <w:r>
        <w:rPr/>
        <w:t>previdenciário</w:t>
      </w:r>
      <w:r>
        <w:rPr>
          <w:spacing w:val="-20"/>
        </w:rPr>
        <w:t> </w:t>
      </w:r>
      <w:r>
        <w:rPr/>
        <w:t>e</w:t>
      </w:r>
      <w:r>
        <w:rPr>
          <w:spacing w:val="-23"/>
        </w:rPr>
        <w:t> </w:t>
      </w:r>
      <w:r>
        <w:rPr/>
        <w:t>de</w:t>
      </w:r>
      <w:r>
        <w:rPr>
          <w:spacing w:val="-23"/>
        </w:rPr>
        <w:t> </w:t>
      </w:r>
      <w:r>
        <w:rPr/>
        <w:t>saúde,</w:t>
      </w:r>
      <w:r>
        <w:rPr>
          <w:spacing w:val="-20"/>
        </w:rPr>
        <w:t> </w:t>
      </w:r>
      <w:r>
        <w:rPr/>
        <w:t>e</w:t>
      </w:r>
      <w:r>
        <w:rPr>
          <w:spacing w:val="-23"/>
        </w:rPr>
        <w:t> </w:t>
      </w:r>
      <w:r>
        <w:rPr/>
        <w:t>foram calculadas</w:t>
      </w:r>
      <w:r>
        <w:rPr>
          <w:spacing w:val="-46"/>
        </w:rPr>
        <w:t> </w:t>
      </w:r>
      <w:r>
        <w:rPr/>
        <w:t>com</w:t>
      </w:r>
      <w:r>
        <w:rPr>
          <w:spacing w:val="-45"/>
        </w:rPr>
        <w:t> </w:t>
      </w:r>
      <w:r>
        <w:rPr/>
        <w:t>base</w:t>
      </w:r>
      <w:r>
        <w:rPr>
          <w:spacing w:val="-44"/>
        </w:rPr>
        <w:t> </w:t>
      </w:r>
      <w:r>
        <w:rPr/>
        <w:t>nas</w:t>
      </w:r>
      <w:r>
        <w:rPr>
          <w:spacing w:val="-45"/>
        </w:rPr>
        <w:t> </w:t>
      </w:r>
      <w:r>
        <w:rPr/>
        <w:t>informações</w:t>
      </w:r>
      <w:r>
        <w:rPr>
          <w:spacing w:val="-44"/>
        </w:rPr>
        <w:t> </w:t>
      </w:r>
      <w:r>
        <w:rPr/>
        <w:t>prestadas</w:t>
      </w:r>
      <w:r>
        <w:rPr>
          <w:spacing w:val="-44"/>
        </w:rPr>
        <w:t> </w:t>
      </w:r>
      <w:r>
        <w:rPr/>
        <w:t>pela</w:t>
      </w:r>
      <w:r>
        <w:rPr>
          <w:spacing w:val="-44"/>
        </w:rPr>
        <w:t> </w:t>
      </w:r>
      <w:r>
        <w:rPr/>
        <w:t>Companhia,</w:t>
      </w:r>
      <w:r>
        <w:rPr>
          <w:spacing w:val="-45"/>
        </w:rPr>
        <w:t> </w:t>
      </w:r>
      <w:r>
        <w:rPr/>
        <w:t>suas</w:t>
      </w:r>
      <w:r>
        <w:rPr>
          <w:spacing w:val="-45"/>
        </w:rPr>
        <w:t> </w:t>
      </w:r>
      <w:r>
        <w:rPr/>
        <w:t>controladas</w:t>
      </w:r>
      <w:r>
        <w:rPr>
          <w:spacing w:val="-45"/>
        </w:rPr>
        <w:t> </w:t>
      </w:r>
      <w:r>
        <w:rPr/>
        <w:t>e</w:t>
      </w:r>
      <w:r>
        <w:rPr>
          <w:spacing w:val="-45"/>
        </w:rPr>
        <w:t> </w:t>
      </w:r>
      <w:r>
        <w:rPr/>
        <w:t>pela</w:t>
      </w:r>
      <w:r>
        <w:rPr>
          <w:spacing w:val="-45"/>
        </w:rPr>
        <w:t> </w:t>
      </w:r>
      <w:r>
        <w:rPr/>
        <w:t>FACEB.</w:t>
      </w:r>
      <w:r>
        <w:rPr>
          <w:spacing w:val="-45"/>
        </w:rPr>
        <w:t> </w:t>
      </w:r>
      <w:r>
        <w:rPr/>
        <w:t>Os</w:t>
      </w:r>
      <w:r>
        <w:rPr>
          <w:spacing w:val="-44"/>
        </w:rPr>
        <w:t> </w:t>
      </w:r>
      <w:r>
        <w:rPr/>
        <w:t>cálculos</w:t>
      </w:r>
      <w:r>
        <w:rPr>
          <w:spacing w:val="-45"/>
        </w:rPr>
        <w:t> </w:t>
      </w:r>
      <w:r>
        <w:rPr/>
        <w:t>atuariais foram</w:t>
      </w:r>
      <w:r>
        <w:rPr>
          <w:spacing w:val="-18"/>
        </w:rPr>
        <w:t> </w:t>
      </w:r>
      <w:r>
        <w:rPr/>
        <w:t>realizados</w:t>
      </w:r>
      <w:r>
        <w:rPr>
          <w:spacing w:val="-17"/>
        </w:rPr>
        <w:t> </w:t>
      </w:r>
      <w:r>
        <w:rPr/>
        <w:t>em</w:t>
      </w:r>
      <w:r>
        <w:rPr>
          <w:spacing w:val="-20"/>
        </w:rPr>
        <w:t> </w:t>
      </w:r>
      <w:r>
        <w:rPr/>
        <w:t>conformidade</w:t>
      </w:r>
      <w:r>
        <w:rPr>
          <w:spacing w:val="-19"/>
        </w:rPr>
        <w:t> </w:t>
      </w:r>
      <w:r>
        <w:rPr/>
        <w:t>com</w:t>
      </w:r>
      <w:r>
        <w:rPr>
          <w:spacing w:val="-18"/>
        </w:rPr>
        <w:t> </w:t>
      </w:r>
      <w:r>
        <w:rPr/>
        <w:t>o</w:t>
      </w:r>
      <w:r>
        <w:rPr>
          <w:spacing w:val="-19"/>
        </w:rPr>
        <w:t> </w:t>
      </w:r>
      <w:r>
        <w:rPr/>
        <w:t>Pronunciamento</w:t>
      </w:r>
      <w:r>
        <w:rPr>
          <w:spacing w:val="-20"/>
        </w:rPr>
        <w:t> </w:t>
      </w:r>
      <w:r>
        <w:rPr/>
        <w:t>CPC</w:t>
      </w:r>
      <w:r>
        <w:rPr>
          <w:spacing w:val="-19"/>
        </w:rPr>
        <w:t> </w:t>
      </w:r>
      <w:r>
        <w:rPr/>
        <w:t>33(R1).</w:t>
      </w:r>
    </w:p>
    <w:p>
      <w:pPr>
        <w:pStyle w:val="BodyText"/>
        <w:spacing w:before="8"/>
      </w:pPr>
    </w:p>
    <w:p>
      <w:pPr>
        <w:pStyle w:val="BodyText"/>
        <w:spacing w:line="242" w:lineRule="auto"/>
        <w:ind w:left="172" w:right="406"/>
        <w:jc w:val="both"/>
      </w:pPr>
      <w:r>
        <w:rPr/>
        <w:t>As</w:t>
      </w:r>
      <w:r>
        <w:rPr>
          <w:spacing w:val="-13"/>
        </w:rPr>
        <w:t> </w:t>
      </w:r>
      <w:r>
        <w:rPr/>
        <w:t>informações</w:t>
      </w:r>
      <w:r>
        <w:rPr>
          <w:spacing w:val="-12"/>
        </w:rPr>
        <w:t> </w:t>
      </w:r>
      <w:r>
        <w:rPr/>
        <w:t>que</w:t>
      </w:r>
      <w:r>
        <w:rPr>
          <w:spacing w:val="-14"/>
        </w:rPr>
        <w:t> </w:t>
      </w:r>
      <w:r>
        <w:rPr/>
        <w:t>fundamentaram</w:t>
      </w:r>
      <w:r>
        <w:rPr>
          <w:spacing w:val="-13"/>
        </w:rPr>
        <w:t> </w:t>
      </w:r>
      <w:r>
        <w:rPr/>
        <w:t>o</w:t>
      </w:r>
      <w:r>
        <w:rPr>
          <w:spacing w:val="-13"/>
        </w:rPr>
        <w:t> </w:t>
      </w:r>
      <w:r>
        <w:rPr/>
        <w:t>trabalho</w:t>
      </w:r>
      <w:r>
        <w:rPr>
          <w:spacing w:val="-13"/>
        </w:rPr>
        <w:t> </w:t>
      </w:r>
      <w:r>
        <w:rPr/>
        <w:t>atuarial</w:t>
      </w:r>
      <w:r>
        <w:rPr>
          <w:spacing w:val="-13"/>
        </w:rPr>
        <w:t> </w:t>
      </w:r>
      <w:r>
        <w:rPr/>
        <w:t>são</w:t>
      </w:r>
      <w:r>
        <w:rPr>
          <w:spacing w:val="-13"/>
        </w:rPr>
        <w:t> </w:t>
      </w:r>
      <w:r>
        <w:rPr/>
        <w:t>constituídas</w:t>
      </w:r>
      <w:r>
        <w:rPr>
          <w:spacing w:val="-12"/>
        </w:rPr>
        <w:t> </w:t>
      </w:r>
      <w:r>
        <w:rPr/>
        <w:t>de</w:t>
      </w:r>
      <w:r>
        <w:rPr>
          <w:spacing w:val="-12"/>
        </w:rPr>
        <w:t> </w:t>
      </w:r>
      <w:r>
        <w:rPr/>
        <w:t>bases</w:t>
      </w:r>
      <w:r>
        <w:rPr>
          <w:spacing w:val="-12"/>
        </w:rPr>
        <w:t> </w:t>
      </w:r>
      <w:r>
        <w:rPr/>
        <w:t>cadastrais</w:t>
      </w:r>
      <w:r>
        <w:rPr>
          <w:spacing w:val="-13"/>
        </w:rPr>
        <w:t> </w:t>
      </w:r>
      <w:r>
        <w:rPr/>
        <w:t>referentes</w:t>
      </w:r>
      <w:r>
        <w:rPr>
          <w:spacing w:val="-12"/>
        </w:rPr>
        <w:t> </w:t>
      </w:r>
      <w:r>
        <w:rPr/>
        <w:t>ao</w:t>
      </w:r>
      <w:r>
        <w:rPr>
          <w:spacing w:val="-10"/>
        </w:rPr>
        <w:t> </w:t>
      </w:r>
      <w:r>
        <w:rPr/>
        <w:t>plano previdencial;</w:t>
      </w:r>
      <w:r>
        <w:rPr>
          <w:spacing w:val="-35"/>
        </w:rPr>
        <w:t> </w:t>
      </w:r>
      <w:r>
        <w:rPr/>
        <w:t>informações</w:t>
      </w:r>
      <w:r>
        <w:rPr>
          <w:spacing w:val="-34"/>
        </w:rPr>
        <w:t> </w:t>
      </w:r>
      <w:r>
        <w:rPr/>
        <w:t>contábeis</w:t>
      </w:r>
      <w:r>
        <w:rPr>
          <w:spacing w:val="-35"/>
        </w:rPr>
        <w:t> </w:t>
      </w:r>
      <w:r>
        <w:rPr/>
        <w:t>posicionadas</w:t>
      </w:r>
      <w:r>
        <w:rPr>
          <w:spacing w:val="-34"/>
        </w:rPr>
        <w:t> </w:t>
      </w:r>
      <w:r>
        <w:rPr/>
        <w:t>em</w:t>
      </w:r>
      <w:r>
        <w:rPr>
          <w:spacing w:val="-35"/>
        </w:rPr>
        <w:t> </w:t>
      </w:r>
      <w:r>
        <w:rPr/>
        <w:t>31</w:t>
      </w:r>
      <w:r>
        <w:rPr>
          <w:spacing w:val="-35"/>
        </w:rPr>
        <w:t> </w:t>
      </w:r>
      <w:r>
        <w:rPr/>
        <w:t>de</w:t>
      </w:r>
      <w:r>
        <w:rPr>
          <w:spacing w:val="-33"/>
        </w:rPr>
        <w:t> </w:t>
      </w:r>
      <w:r>
        <w:rPr/>
        <w:t>dezembro</w:t>
      </w:r>
      <w:r>
        <w:rPr>
          <w:spacing w:val="-34"/>
        </w:rPr>
        <w:t> </w:t>
      </w:r>
      <w:r>
        <w:rPr/>
        <w:t>de</w:t>
      </w:r>
      <w:r>
        <w:rPr>
          <w:spacing w:val="-34"/>
        </w:rPr>
        <w:t> </w:t>
      </w:r>
      <w:r>
        <w:rPr/>
        <w:t>2019;</w:t>
      </w:r>
      <w:r>
        <w:rPr>
          <w:spacing w:val="-33"/>
        </w:rPr>
        <w:t> </w:t>
      </w:r>
      <w:r>
        <w:rPr/>
        <w:t>e</w:t>
      </w:r>
      <w:r>
        <w:rPr>
          <w:spacing w:val="-36"/>
        </w:rPr>
        <w:t> </w:t>
      </w:r>
      <w:r>
        <w:rPr/>
        <w:t>dados</w:t>
      </w:r>
      <w:r>
        <w:rPr>
          <w:spacing w:val="-34"/>
        </w:rPr>
        <w:t> </w:t>
      </w:r>
      <w:r>
        <w:rPr/>
        <w:t>sobre</w:t>
      </w:r>
      <w:r>
        <w:rPr>
          <w:spacing w:val="-36"/>
        </w:rPr>
        <w:t> </w:t>
      </w:r>
      <w:r>
        <w:rPr/>
        <w:t>a</w:t>
      </w:r>
      <w:r>
        <w:rPr>
          <w:spacing w:val="-34"/>
        </w:rPr>
        <w:t> </w:t>
      </w:r>
      <w:r>
        <w:rPr/>
        <w:t>composição</w:t>
      </w:r>
      <w:r>
        <w:rPr>
          <w:spacing w:val="-35"/>
        </w:rPr>
        <w:t> </w:t>
      </w:r>
      <w:r>
        <w:rPr/>
        <w:t>do</w:t>
      </w:r>
      <w:r>
        <w:rPr>
          <w:spacing w:val="-35"/>
        </w:rPr>
        <w:t> </w:t>
      </w:r>
      <w:r>
        <w:rPr/>
        <w:t>valor justo</w:t>
      </w:r>
      <w:r>
        <w:rPr>
          <w:spacing w:val="-21"/>
        </w:rPr>
        <w:t> </w:t>
      </w:r>
      <w:r>
        <w:rPr/>
        <w:t>dos</w:t>
      </w:r>
      <w:r>
        <w:rPr>
          <w:spacing w:val="-19"/>
        </w:rPr>
        <w:t> </w:t>
      </w:r>
      <w:r>
        <w:rPr/>
        <w:t>ativos</w:t>
      </w:r>
      <w:r>
        <w:rPr>
          <w:spacing w:val="-19"/>
        </w:rPr>
        <w:t> </w:t>
      </w:r>
      <w:r>
        <w:rPr/>
        <w:t>do</w:t>
      </w:r>
      <w:r>
        <w:rPr>
          <w:spacing w:val="-18"/>
        </w:rPr>
        <w:t> </w:t>
      </w:r>
      <w:r>
        <w:rPr/>
        <w:t>plano</w:t>
      </w:r>
      <w:r>
        <w:rPr>
          <w:spacing w:val="-17"/>
        </w:rPr>
        <w:t> </w:t>
      </w:r>
      <w:r>
        <w:rPr/>
        <w:t>de</w:t>
      </w:r>
      <w:r>
        <w:rPr>
          <w:spacing w:val="-17"/>
        </w:rPr>
        <w:t> </w:t>
      </w:r>
      <w:r>
        <w:rPr/>
        <w:t>benefício</w:t>
      </w:r>
      <w:r>
        <w:rPr>
          <w:spacing w:val="-17"/>
        </w:rPr>
        <w:t> </w:t>
      </w:r>
      <w:r>
        <w:rPr/>
        <w:t>posicionado</w:t>
      </w:r>
      <w:r>
        <w:rPr>
          <w:spacing w:val="-18"/>
        </w:rPr>
        <w:t> </w:t>
      </w:r>
      <w:r>
        <w:rPr/>
        <w:t>na</w:t>
      </w:r>
      <w:r>
        <w:rPr>
          <w:spacing w:val="-19"/>
        </w:rPr>
        <w:t> </w:t>
      </w:r>
      <w:r>
        <w:rPr/>
        <w:t>mesma</w:t>
      </w:r>
      <w:r>
        <w:rPr>
          <w:spacing w:val="-20"/>
        </w:rPr>
        <w:t> </w:t>
      </w:r>
      <w:r>
        <w:rPr/>
        <w:t>data.</w:t>
      </w:r>
    </w:p>
    <w:p>
      <w:pPr>
        <w:pStyle w:val="BodyText"/>
        <w:spacing w:before="8"/>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OLÍTICA DE </w:t>
      </w:r>
      <w:r>
        <w:rPr>
          <w:rFonts w:ascii="Caladea" w:hAnsi="Caladea"/>
          <w:b/>
          <w:sz w:val="22"/>
        </w:rPr>
        <w:t>R</w:t>
      </w:r>
      <w:r>
        <w:rPr>
          <w:rFonts w:ascii="Caladea" w:hAnsi="Caladea"/>
          <w:b/>
          <w:sz w:val="18"/>
        </w:rPr>
        <w:t>ECONHECIMENTO DOS </w:t>
      </w:r>
      <w:r>
        <w:rPr>
          <w:rFonts w:ascii="Caladea" w:hAnsi="Caladea"/>
          <w:b/>
          <w:sz w:val="22"/>
        </w:rPr>
        <w:t>G</w:t>
      </w:r>
      <w:r>
        <w:rPr>
          <w:rFonts w:ascii="Caladea" w:hAnsi="Caladea"/>
          <w:b/>
          <w:sz w:val="18"/>
        </w:rPr>
        <w:t>ANHOS E </w:t>
      </w:r>
      <w:r>
        <w:rPr>
          <w:rFonts w:ascii="Caladea" w:hAnsi="Caladea"/>
          <w:b/>
          <w:sz w:val="22"/>
        </w:rPr>
        <w:t>P</w:t>
      </w:r>
      <w:r>
        <w:rPr>
          <w:rFonts w:ascii="Caladea" w:hAnsi="Caladea"/>
          <w:b/>
          <w:sz w:val="18"/>
        </w:rPr>
        <w:t>ERDAS</w:t>
      </w:r>
      <w:r>
        <w:rPr>
          <w:rFonts w:ascii="Caladea" w:hAnsi="Caladea"/>
          <w:b/>
          <w:spacing w:val="1"/>
          <w:sz w:val="18"/>
        </w:rPr>
        <w:t> </w:t>
      </w:r>
      <w:r>
        <w:rPr>
          <w:rFonts w:ascii="Caladea" w:hAnsi="Caladea"/>
          <w:b/>
          <w:sz w:val="22"/>
        </w:rPr>
        <w:t>A</w:t>
      </w:r>
      <w:r>
        <w:rPr>
          <w:rFonts w:ascii="Caladea" w:hAnsi="Caladea"/>
          <w:b/>
          <w:sz w:val="18"/>
        </w:rPr>
        <w:t>TUARIAIS</w:t>
      </w:r>
    </w:p>
    <w:p>
      <w:pPr>
        <w:pStyle w:val="BodyText"/>
        <w:spacing w:before="10"/>
        <w:rPr>
          <w:rFonts w:ascii="Caladea"/>
          <w:b/>
          <w:sz w:val="23"/>
        </w:rPr>
      </w:pPr>
    </w:p>
    <w:p>
      <w:pPr>
        <w:pStyle w:val="BodyText"/>
        <w:spacing w:line="242" w:lineRule="auto"/>
        <w:ind w:left="172" w:right="419"/>
        <w:jc w:val="both"/>
      </w:pPr>
      <w:r>
        <w:rPr/>
        <w:t>Em</w:t>
      </w:r>
      <w:r>
        <w:rPr>
          <w:spacing w:val="-20"/>
        </w:rPr>
        <w:t> </w:t>
      </w:r>
      <w:r>
        <w:rPr/>
        <w:t>atendimento</w:t>
      </w:r>
      <w:r>
        <w:rPr>
          <w:spacing w:val="-19"/>
        </w:rPr>
        <w:t> </w:t>
      </w:r>
      <w:r>
        <w:rPr/>
        <w:t>ao</w:t>
      </w:r>
      <w:r>
        <w:rPr>
          <w:spacing w:val="-18"/>
        </w:rPr>
        <w:t> </w:t>
      </w:r>
      <w:r>
        <w:rPr/>
        <w:t>disposto</w:t>
      </w:r>
      <w:r>
        <w:rPr>
          <w:spacing w:val="-19"/>
        </w:rPr>
        <w:t> </w:t>
      </w:r>
      <w:r>
        <w:rPr/>
        <w:t>na</w:t>
      </w:r>
      <w:r>
        <w:rPr>
          <w:spacing w:val="-18"/>
        </w:rPr>
        <w:t> </w:t>
      </w:r>
      <w:r>
        <w:rPr/>
        <w:t>Deliberação</w:t>
      </w:r>
      <w:r>
        <w:rPr>
          <w:spacing w:val="-19"/>
        </w:rPr>
        <w:t> </w:t>
      </w:r>
      <w:r>
        <w:rPr/>
        <w:t>CVM</w:t>
      </w:r>
      <w:r>
        <w:rPr>
          <w:spacing w:val="-19"/>
        </w:rPr>
        <w:t> </w:t>
      </w:r>
      <w:r>
        <w:rPr/>
        <w:t>695,</w:t>
      </w:r>
      <w:r>
        <w:rPr>
          <w:spacing w:val="-18"/>
        </w:rPr>
        <w:t> </w:t>
      </w:r>
      <w:r>
        <w:rPr/>
        <w:t>todos</w:t>
      </w:r>
      <w:r>
        <w:rPr>
          <w:spacing w:val="-19"/>
        </w:rPr>
        <w:t> </w:t>
      </w:r>
      <w:r>
        <w:rPr/>
        <w:t>os</w:t>
      </w:r>
      <w:r>
        <w:rPr>
          <w:spacing w:val="-19"/>
        </w:rPr>
        <w:t> </w:t>
      </w:r>
      <w:r>
        <w:rPr/>
        <w:t>ganhos</w:t>
      </w:r>
      <w:r>
        <w:rPr>
          <w:spacing w:val="-16"/>
        </w:rPr>
        <w:t> </w:t>
      </w:r>
      <w:r>
        <w:rPr/>
        <w:t>e</w:t>
      </w:r>
      <w:r>
        <w:rPr>
          <w:spacing w:val="-20"/>
        </w:rPr>
        <w:t> </w:t>
      </w:r>
      <w:r>
        <w:rPr/>
        <w:t>perdas</w:t>
      </w:r>
      <w:r>
        <w:rPr>
          <w:spacing w:val="-19"/>
        </w:rPr>
        <w:t> </w:t>
      </w:r>
      <w:r>
        <w:rPr/>
        <w:t>são</w:t>
      </w:r>
      <w:r>
        <w:rPr>
          <w:spacing w:val="-19"/>
        </w:rPr>
        <w:t> </w:t>
      </w:r>
      <w:r>
        <w:rPr/>
        <w:t>reconhecidos</w:t>
      </w:r>
      <w:r>
        <w:rPr>
          <w:spacing w:val="-19"/>
        </w:rPr>
        <w:t> </w:t>
      </w:r>
      <w:r>
        <w:rPr/>
        <w:t>no</w:t>
      </w:r>
      <w:r>
        <w:rPr>
          <w:spacing w:val="-17"/>
        </w:rPr>
        <w:t> </w:t>
      </w:r>
      <w:r>
        <w:rPr/>
        <w:t>exercício</w:t>
      </w:r>
      <w:r>
        <w:rPr>
          <w:spacing w:val="-18"/>
        </w:rPr>
        <w:t> </w:t>
      </w:r>
      <w:r>
        <w:rPr/>
        <w:t>em que</w:t>
      </w:r>
      <w:r>
        <w:rPr>
          <w:spacing w:val="-18"/>
        </w:rPr>
        <w:t> </w:t>
      </w:r>
      <w:r>
        <w:rPr/>
        <w:t>foram</w:t>
      </w:r>
      <w:r>
        <w:rPr>
          <w:spacing w:val="-20"/>
        </w:rPr>
        <w:t> </w:t>
      </w:r>
      <w:r>
        <w:rPr/>
        <w:t>originados,</w:t>
      </w:r>
      <w:r>
        <w:rPr>
          <w:spacing w:val="-17"/>
        </w:rPr>
        <w:t> </w:t>
      </w:r>
      <w:r>
        <w:rPr/>
        <w:t>não</w:t>
      </w:r>
      <w:r>
        <w:rPr>
          <w:spacing w:val="-19"/>
        </w:rPr>
        <w:t> </w:t>
      </w:r>
      <w:r>
        <w:rPr/>
        <w:t>restando</w:t>
      </w:r>
      <w:r>
        <w:rPr>
          <w:spacing w:val="-20"/>
        </w:rPr>
        <w:t> </w:t>
      </w:r>
      <w:r>
        <w:rPr/>
        <w:t>perdas</w:t>
      </w:r>
      <w:r>
        <w:rPr>
          <w:spacing w:val="-19"/>
        </w:rPr>
        <w:t> </w:t>
      </w:r>
      <w:r>
        <w:rPr/>
        <w:t>ou</w:t>
      </w:r>
      <w:r>
        <w:rPr>
          <w:spacing w:val="-19"/>
        </w:rPr>
        <w:t> </w:t>
      </w:r>
      <w:r>
        <w:rPr/>
        <w:t>ganhos</w:t>
      </w:r>
      <w:r>
        <w:rPr>
          <w:spacing w:val="-18"/>
        </w:rPr>
        <w:t> </w:t>
      </w:r>
      <w:r>
        <w:rPr/>
        <w:t>acumulados.</w:t>
      </w:r>
    </w:p>
    <w:p>
      <w:pPr>
        <w:pStyle w:val="BodyText"/>
        <w:spacing w:before="7"/>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D</w:t>
      </w:r>
      <w:r>
        <w:rPr>
          <w:rFonts w:ascii="Caladea" w:hAnsi="Caladea"/>
          <w:b/>
          <w:sz w:val="18"/>
        </w:rPr>
        <w:t>ESCRIÇÃO </w:t>
      </w:r>
      <w:r>
        <w:rPr>
          <w:rFonts w:ascii="Caladea" w:hAnsi="Caladea"/>
          <w:b/>
          <w:sz w:val="22"/>
        </w:rPr>
        <w:t>G</w:t>
      </w:r>
      <w:r>
        <w:rPr>
          <w:rFonts w:ascii="Caladea" w:hAnsi="Caladea"/>
          <w:b/>
          <w:sz w:val="18"/>
        </w:rPr>
        <w:t>ERAL DAS </w:t>
      </w:r>
      <w:r>
        <w:rPr>
          <w:rFonts w:ascii="Caladea" w:hAnsi="Caladea"/>
          <w:b/>
          <w:sz w:val="22"/>
        </w:rPr>
        <w:t>C</w:t>
      </w:r>
      <w:r>
        <w:rPr>
          <w:rFonts w:ascii="Caladea" w:hAnsi="Caladea"/>
          <w:b/>
          <w:sz w:val="18"/>
        </w:rPr>
        <w:t>ARACTERÍSTICAS DOS </w:t>
      </w:r>
      <w:r>
        <w:rPr>
          <w:rFonts w:ascii="Caladea" w:hAnsi="Caladea"/>
          <w:b/>
          <w:sz w:val="22"/>
        </w:rPr>
        <w:t>P</w:t>
      </w:r>
      <w:r>
        <w:rPr>
          <w:rFonts w:ascii="Caladea" w:hAnsi="Caladea"/>
          <w:b/>
          <w:sz w:val="18"/>
        </w:rPr>
        <w:t>LANOS</w:t>
      </w:r>
    </w:p>
    <w:p>
      <w:pPr>
        <w:pStyle w:val="BodyText"/>
        <w:spacing w:before="8"/>
        <w:rPr>
          <w:rFonts w:ascii="Caladea"/>
          <w:b/>
          <w:sz w:val="23"/>
        </w:rPr>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REVIDENCIAIS E DE </w:t>
      </w:r>
      <w:r>
        <w:rPr>
          <w:rFonts w:ascii="Caladea" w:hAnsi="Caladea"/>
          <w:b/>
          <w:sz w:val="22"/>
        </w:rPr>
        <w:t>S</w:t>
      </w:r>
      <w:r>
        <w:rPr>
          <w:rFonts w:ascii="Caladea" w:hAnsi="Caladea"/>
          <w:b/>
          <w:sz w:val="18"/>
        </w:rPr>
        <w:t>AÚDE</w:t>
      </w:r>
    </w:p>
    <w:p>
      <w:pPr>
        <w:pStyle w:val="BodyText"/>
        <w:spacing w:before="10"/>
        <w:rPr>
          <w:rFonts w:ascii="Caladea"/>
          <w:b/>
          <w:sz w:val="23"/>
        </w:rPr>
      </w:pPr>
    </w:p>
    <w:p>
      <w:pPr>
        <w:pStyle w:val="Heading5"/>
        <w:numPr>
          <w:ilvl w:val="2"/>
          <w:numId w:val="32"/>
        </w:numPr>
        <w:tabs>
          <w:tab w:pos="1026" w:val="left" w:leader="none"/>
        </w:tabs>
        <w:spacing w:line="240" w:lineRule="auto" w:before="1" w:after="0"/>
        <w:ind w:left="1025" w:right="0" w:hanging="854"/>
        <w:jc w:val="left"/>
      </w:pPr>
      <w:r>
        <w:rPr/>
        <w:t>Plano Complementar de Benefícios</w:t>
      </w:r>
      <w:r>
        <w:rPr>
          <w:spacing w:val="-8"/>
        </w:rPr>
        <w:t> </w:t>
      </w:r>
      <w:r>
        <w:rPr/>
        <w:t>Previdenciais</w:t>
      </w:r>
    </w:p>
    <w:p>
      <w:pPr>
        <w:pStyle w:val="BodyText"/>
        <w:spacing w:before="9"/>
        <w:rPr>
          <w:rFonts w:ascii="Caladea"/>
          <w:b/>
          <w:sz w:val="23"/>
        </w:rPr>
      </w:pPr>
    </w:p>
    <w:p>
      <w:pPr>
        <w:pStyle w:val="BodyText"/>
        <w:spacing w:line="242" w:lineRule="auto"/>
        <w:ind w:left="172" w:right="418"/>
        <w:jc w:val="both"/>
      </w:pPr>
      <w:r>
        <w:rPr/>
        <w:t>O Plano Complementar de Benefícios Previdenciais é constituído na modalidade de benefício definido (BD), oferecendo aos seus participantes e dependentes os seguintes benefícios:</w:t>
      </w:r>
    </w:p>
    <w:p>
      <w:pPr>
        <w:pStyle w:val="BodyText"/>
        <w:spacing w:before="7"/>
      </w:pPr>
    </w:p>
    <w:p>
      <w:pPr>
        <w:pStyle w:val="ListParagraph"/>
        <w:numPr>
          <w:ilvl w:val="0"/>
          <w:numId w:val="33"/>
        </w:numPr>
        <w:tabs>
          <w:tab w:pos="740" w:val="left" w:leader="none"/>
        </w:tabs>
        <w:spacing w:line="240" w:lineRule="auto" w:before="0" w:after="0"/>
        <w:ind w:left="739" w:right="0" w:hanging="140"/>
        <w:jc w:val="left"/>
        <w:rPr>
          <w:sz w:val="20"/>
        </w:rPr>
      </w:pPr>
      <w:r>
        <w:rPr>
          <w:sz w:val="20"/>
        </w:rPr>
        <w:t>Para os</w:t>
      </w:r>
      <w:r>
        <w:rPr>
          <w:spacing w:val="-33"/>
          <w:sz w:val="20"/>
        </w:rPr>
        <w:t> </w:t>
      </w:r>
      <w:r>
        <w:rPr>
          <w:sz w:val="20"/>
        </w:rPr>
        <w:t>participantes:</w:t>
      </w:r>
    </w:p>
    <w:p>
      <w:pPr>
        <w:pStyle w:val="ListParagraph"/>
        <w:numPr>
          <w:ilvl w:val="1"/>
          <w:numId w:val="33"/>
        </w:numPr>
        <w:tabs>
          <w:tab w:pos="1489" w:val="left" w:leader="none"/>
        </w:tabs>
        <w:spacing w:line="240" w:lineRule="auto" w:before="3" w:after="0"/>
        <w:ind w:left="1488" w:right="0" w:hanging="183"/>
        <w:jc w:val="left"/>
        <w:rPr>
          <w:sz w:val="20"/>
        </w:rPr>
      </w:pPr>
      <w:r>
        <w:rPr>
          <w:sz w:val="20"/>
        </w:rPr>
        <w:t>suplementação</w:t>
      </w:r>
      <w:r>
        <w:rPr>
          <w:spacing w:val="-20"/>
          <w:sz w:val="20"/>
        </w:rPr>
        <w:t> </w:t>
      </w:r>
      <w:r>
        <w:rPr>
          <w:sz w:val="20"/>
        </w:rPr>
        <w:t>de</w:t>
      </w:r>
      <w:r>
        <w:rPr>
          <w:spacing w:val="-20"/>
          <w:sz w:val="20"/>
        </w:rPr>
        <w:t> </w:t>
      </w:r>
      <w:r>
        <w:rPr>
          <w:sz w:val="20"/>
        </w:rPr>
        <w:t>aposentadoria</w:t>
      </w:r>
      <w:r>
        <w:rPr>
          <w:spacing w:val="-19"/>
          <w:sz w:val="20"/>
        </w:rPr>
        <w:t> </w:t>
      </w:r>
      <w:r>
        <w:rPr>
          <w:sz w:val="20"/>
        </w:rPr>
        <w:t>por</w:t>
      </w:r>
      <w:r>
        <w:rPr>
          <w:spacing w:val="-19"/>
          <w:sz w:val="20"/>
        </w:rPr>
        <w:t> </w:t>
      </w:r>
      <w:r>
        <w:rPr>
          <w:sz w:val="20"/>
        </w:rPr>
        <w:t>invalidez;</w:t>
      </w:r>
    </w:p>
    <w:p>
      <w:pPr>
        <w:pStyle w:val="ListParagraph"/>
        <w:numPr>
          <w:ilvl w:val="1"/>
          <w:numId w:val="33"/>
        </w:numPr>
        <w:tabs>
          <w:tab w:pos="1499" w:val="left" w:leader="none"/>
        </w:tabs>
        <w:spacing w:line="240" w:lineRule="auto" w:before="3" w:after="0"/>
        <w:ind w:left="1498" w:right="0" w:hanging="193"/>
        <w:jc w:val="left"/>
        <w:rPr>
          <w:sz w:val="20"/>
        </w:rPr>
      </w:pPr>
      <w:r>
        <w:rPr>
          <w:sz w:val="20"/>
        </w:rPr>
        <w:t>suplementação</w:t>
      </w:r>
      <w:r>
        <w:rPr>
          <w:spacing w:val="-20"/>
          <w:sz w:val="20"/>
        </w:rPr>
        <w:t> </w:t>
      </w:r>
      <w:r>
        <w:rPr>
          <w:sz w:val="20"/>
        </w:rPr>
        <w:t>de</w:t>
      </w:r>
      <w:r>
        <w:rPr>
          <w:spacing w:val="-20"/>
          <w:sz w:val="20"/>
        </w:rPr>
        <w:t> </w:t>
      </w:r>
      <w:r>
        <w:rPr>
          <w:sz w:val="20"/>
        </w:rPr>
        <w:t>aposentadoria</w:t>
      </w:r>
      <w:r>
        <w:rPr>
          <w:spacing w:val="-18"/>
          <w:sz w:val="20"/>
        </w:rPr>
        <w:t> </w:t>
      </w:r>
      <w:r>
        <w:rPr>
          <w:sz w:val="20"/>
        </w:rPr>
        <w:t>por</w:t>
      </w:r>
      <w:r>
        <w:rPr>
          <w:spacing w:val="-18"/>
          <w:sz w:val="20"/>
        </w:rPr>
        <w:t> </w:t>
      </w:r>
      <w:r>
        <w:rPr>
          <w:sz w:val="20"/>
        </w:rPr>
        <w:t>idade;</w:t>
      </w:r>
    </w:p>
    <w:p>
      <w:pPr>
        <w:pStyle w:val="ListParagraph"/>
        <w:numPr>
          <w:ilvl w:val="1"/>
          <w:numId w:val="33"/>
        </w:numPr>
        <w:tabs>
          <w:tab w:pos="1479" w:val="left" w:leader="none"/>
        </w:tabs>
        <w:spacing w:line="240" w:lineRule="auto" w:before="3" w:after="0"/>
        <w:ind w:left="1478" w:right="0" w:hanging="173"/>
        <w:jc w:val="left"/>
        <w:rPr>
          <w:sz w:val="20"/>
        </w:rPr>
      </w:pPr>
      <w:r>
        <w:rPr>
          <w:sz w:val="20"/>
        </w:rPr>
        <w:t>suplementação</w:t>
      </w:r>
      <w:r>
        <w:rPr>
          <w:spacing w:val="-21"/>
          <w:sz w:val="20"/>
        </w:rPr>
        <w:t> </w:t>
      </w:r>
      <w:r>
        <w:rPr>
          <w:sz w:val="20"/>
        </w:rPr>
        <w:t>de</w:t>
      </w:r>
      <w:r>
        <w:rPr>
          <w:spacing w:val="-21"/>
          <w:sz w:val="20"/>
        </w:rPr>
        <w:t> </w:t>
      </w:r>
      <w:r>
        <w:rPr>
          <w:sz w:val="20"/>
        </w:rPr>
        <w:t>aposentadoria</w:t>
      </w:r>
      <w:r>
        <w:rPr>
          <w:spacing w:val="-19"/>
          <w:sz w:val="20"/>
        </w:rPr>
        <w:t> </w:t>
      </w:r>
      <w:r>
        <w:rPr>
          <w:sz w:val="20"/>
        </w:rPr>
        <w:t>por</w:t>
      </w:r>
      <w:r>
        <w:rPr>
          <w:spacing w:val="-21"/>
          <w:sz w:val="20"/>
        </w:rPr>
        <w:t> </w:t>
      </w:r>
      <w:r>
        <w:rPr>
          <w:sz w:val="20"/>
        </w:rPr>
        <w:t>tempo</w:t>
      </w:r>
      <w:r>
        <w:rPr>
          <w:spacing w:val="-18"/>
          <w:sz w:val="20"/>
        </w:rPr>
        <w:t> </w:t>
      </w:r>
      <w:r>
        <w:rPr>
          <w:sz w:val="20"/>
        </w:rPr>
        <w:t>de</w:t>
      </w:r>
      <w:r>
        <w:rPr>
          <w:spacing w:val="-19"/>
          <w:sz w:val="20"/>
        </w:rPr>
        <w:t> </w:t>
      </w:r>
      <w:r>
        <w:rPr>
          <w:sz w:val="20"/>
        </w:rPr>
        <w:t>contribuição;</w:t>
      </w:r>
    </w:p>
    <w:p>
      <w:pPr>
        <w:pStyle w:val="ListParagraph"/>
        <w:numPr>
          <w:ilvl w:val="1"/>
          <w:numId w:val="33"/>
        </w:numPr>
        <w:tabs>
          <w:tab w:pos="1501" w:val="left" w:leader="none"/>
        </w:tabs>
        <w:spacing w:line="240" w:lineRule="auto" w:before="1" w:after="0"/>
        <w:ind w:left="1500" w:right="0" w:hanging="195"/>
        <w:jc w:val="left"/>
        <w:rPr>
          <w:sz w:val="20"/>
        </w:rPr>
      </w:pPr>
      <w:r>
        <w:rPr>
          <w:sz w:val="20"/>
        </w:rPr>
        <w:t>suplementação</w:t>
      </w:r>
      <w:r>
        <w:rPr>
          <w:spacing w:val="-20"/>
          <w:sz w:val="20"/>
        </w:rPr>
        <w:t> </w:t>
      </w:r>
      <w:r>
        <w:rPr>
          <w:sz w:val="20"/>
        </w:rPr>
        <w:t>de</w:t>
      </w:r>
      <w:r>
        <w:rPr>
          <w:spacing w:val="-19"/>
          <w:sz w:val="20"/>
        </w:rPr>
        <w:t> </w:t>
      </w:r>
      <w:r>
        <w:rPr>
          <w:sz w:val="20"/>
        </w:rPr>
        <w:t>aposentadoria</w:t>
      </w:r>
      <w:r>
        <w:rPr>
          <w:spacing w:val="-15"/>
          <w:sz w:val="20"/>
        </w:rPr>
        <w:t> </w:t>
      </w:r>
      <w:r>
        <w:rPr>
          <w:sz w:val="20"/>
        </w:rPr>
        <w:t>especial;</w:t>
      </w:r>
    </w:p>
    <w:p>
      <w:pPr>
        <w:pStyle w:val="ListParagraph"/>
        <w:numPr>
          <w:ilvl w:val="1"/>
          <w:numId w:val="33"/>
        </w:numPr>
        <w:tabs>
          <w:tab w:pos="1487" w:val="left" w:leader="none"/>
        </w:tabs>
        <w:spacing w:line="240" w:lineRule="auto" w:before="3" w:after="0"/>
        <w:ind w:left="1486" w:right="0" w:hanging="181"/>
        <w:jc w:val="left"/>
        <w:rPr>
          <w:sz w:val="20"/>
        </w:rPr>
      </w:pPr>
      <w:r>
        <w:rPr>
          <w:sz w:val="20"/>
        </w:rPr>
        <w:t>suplementação de</w:t>
      </w:r>
      <w:r>
        <w:rPr>
          <w:spacing w:val="-40"/>
          <w:sz w:val="20"/>
        </w:rPr>
        <w:t> </w:t>
      </w:r>
      <w:r>
        <w:rPr>
          <w:sz w:val="20"/>
        </w:rPr>
        <w:t>auxílio-doença;</w:t>
      </w:r>
    </w:p>
    <w:p>
      <w:pPr>
        <w:pStyle w:val="ListParagraph"/>
        <w:numPr>
          <w:ilvl w:val="1"/>
          <w:numId w:val="33"/>
        </w:numPr>
        <w:tabs>
          <w:tab w:pos="1451" w:val="left" w:leader="none"/>
        </w:tabs>
        <w:spacing w:line="240" w:lineRule="auto" w:before="3" w:after="0"/>
        <w:ind w:left="1450" w:right="0" w:hanging="145"/>
        <w:jc w:val="left"/>
        <w:rPr>
          <w:sz w:val="20"/>
        </w:rPr>
      </w:pPr>
      <w:r>
        <w:rPr>
          <w:sz w:val="20"/>
        </w:rPr>
        <w:t>abono anual;</w:t>
      </w:r>
      <w:r>
        <w:rPr>
          <w:spacing w:val="-36"/>
          <w:sz w:val="20"/>
        </w:rPr>
        <w:t> </w:t>
      </w:r>
      <w:r>
        <w:rPr>
          <w:sz w:val="20"/>
        </w:rPr>
        <w:t>e</w:t>
      </w:r>
    </w:p>
    <w:p>
      <w:pPr>
        <w:pStyle w:val="ListParagraph"/>
        <w:numPr>
          <w:ilvl w:val="1"/>
          <w:numId w:val="33"/>
        </w:numPr>
        <w:tabs>
          <w:tab w:pos="1489" w:val="left" w:leader="none"/>
        </w:tabs>
        <w:spacing w:line="240" w:lineRule="auto" w:before="0" w:after="0"/>
        <w:ind w:left="1488" w:right="0" w:hanging="183"/>
        <w:jc w:val="left"/>
        <w:rPr>
          <w:sz w:val="20"/>
        </w:rPr>
      </w:pPr>
      <w:r>
        <w:rPr>
          <w:sz w:val="20"/>
        </w:rPr>
        <w:t>auxílio-funeral.</w:t>
      </w:r>
    </w:p>
    <w:p>
      <w:pPr>
        <w:spacing w:after="0" w:line="240" w:lineRule="auto"/>
        <w:jc w:val="left"/>
        <w:rPr>
          <w:sz w:val="20"/>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0"/>
          <w:numId w:val="33"/>
        </w:numPr>
        <w:tabs>
          <w:tab w:pos="796" w:val="left" w:leader="none"/>
        </w:tabs>
        <w:spacing w:line="240" w:lineRule="auto" w:before="16" w:after="0"/>
        <w:ind w:left="795" w:right="0" w:hanging="196"/>
        <w:jc w:val="left"/>
        <w:rPr>
          <w:sz w:val="20"/>
        </w:rPr>
      </w:pPr>
      <w:r>
        <w:rPr>
          <w:sz w:val="20"/>
        </w:rPr>
        <w:t>Para</w:t>
      </w:r>
      <w:r>
        <w:rPr>
          <w:spacing w:val="-16"/>
          <w:sz w:val="20"/>
        </w:rPr>
        <w:t> </w:t>
      </w:r>
      <w:r>
        <w:rPr>
          <w:sz w:val="20"/>
        </w:rPr>
        <w:t>os</w:t>
      </w:r>
      <w:r>
        <w:rPr>
          <w:spacing w:val="-18"/>
          <w:sz w:val="20"/>
        </w:rPr>
        <w:t> </w:t>
      </w:r>
      <w:r>
        <w:rPr>
          <w:sz w:val="20"/>
        </w:rPr>
        <w:t>participantes</w:t>
      </w:r>
      <w:r>
        <w:rPr>
          <w:spacing w:val="-18"/>
          <w:sz w:val="20"/>
        </w:rPr>
        <w:t> </w:t>
      </w:r>
      <w:r>
        <w:rPr>
          <w:sz w:val="20"/>
        </w:rPr>
        <w:t>de</w:t>
      </w:r>
      <w:r>
        <w:rPr>
          <w:spacing w:val="-17"/>
          <w:sz w:val="20"/>
        </w:rPr>
        <w:t> </w:t>
      </w:r>
      <w:r>
        <w:rPr>
          <w:sz w:val="20"/>
        </w:rPr>
        <w:t>pecúlio</w:t>
      </w:r>
      <w:r>
        <w:rPr>
          <w:spacing w:val="-20"/>
          <w:sz w:val="20"/>
        </w:rPr>
        <w:t> </w:t>
      </w:r>
      <w:r>
        <w:rPr>
          <w:sz w:val="20"/>
        </w:rPr>
        <w:t>especial:</w:t>
      </w:r>
    </w:p>
    <w:p>
      <w:pPr>
        <w:pStyle w:val="ListParagraph"/>
        <w:numPr>
          <w:ilvl w:val="1"/>
          <w:numId w:val="33"/>
        </w:numPr>
        <w:tabs>
          <w:tab w:pos="1489" w:val="left" w:leader="none"/>
        </w:tabs>
        <w:spacing w:line="240" w:lineRule="auto" w:before="3" w:after="0"/>
        <w:ind w:left="1488" w:right="0" w:hanging="183"/>
        <w:jc w:val="left"/>
        <w:rPr>
          <w:sz w:val="20"/>
        </w:rPr>
      </w:pPr>
      <w:r>
        <w:rPr>
          <w:sz w:val="20"/>
        </w:rPr>
        <w:t>Auxílio-funeral;</w:t>
      </w:r>
      <w:r>
        <w:rPr>
          <w:spacing w:val="-18"/>
          <w:sz w:val="20"/>
        </w:rPr>
        <w:t> </w:t>
      </w:r>
      <w:r>
        <w:rPr>
          <w:sz w:val="20"/>
        </w:rPr>
        <w:t>e</w:t>
      </w:r>
    </w:p>
    <w:p>
      <w:pPr>
        <w:pStyle w:val="ListParagraph"/>
        <w:numPr>
          <w:ilvl w:val="1"/>
          <w:numId w:val="33"/>
        </w:numPr>
        <w:tabs>
          <w:tab w:pos="1499" w:val="left" w:leader="none"/>
        </w:tabs>
        <w:spacing w:line="240" w:lineRule="auto" w:before="3" w:after="0"/>
        <w:ind w:left="1498" w:right="0" w:hanging="193"/>
        <w:jc w:val="left"/>
        <w:rPr>
          <w:sz w:val="20"/>
        </w:rPr>
      </w:pPr>
      <w:r>
        <w:rPr>
          <w:sz w:val="20"/>
        </w:rPr>
        <w:t>Pecúlio</w:t>
      </w:r>
      <w:r>
        <w:rPr>
          <w:spacing w:val="-17"/>
          <w:sz w:val="20"/>
        </w:rPr>
        <w:t> </w:t>
      </w:r>
      <w:r>
        <w:rPr>
          <w:sz w:val="20"/>
        </w:rPr>
        <w:t>especial.</w:t>
      </w:r>
    </w:p>
    <w:p>
      <w:pPr>
        <w:pStyle w:val="BodyText"/>
        <w:spacing w:before="4"/>
      </w:pPr>
    </w:p>
    <w:p>
      <w:pPr>
        <w:pStyle w:val="ListParagraph"/>
        <w:numPr>
          <w:ilvl w:val="0"/>
          <w:numId w:val="33"/>
        </w:numPr>
        <w:tabs>
          <w:tab w:pos="851" w:val="left" w:leader="none"/>
        </w:tabs>
        <w:spacing w:line="240" w:lineRule="auto" w:before="0" w:after="0"/>
        <w:ind w:left="850" w:right="0" w:hanging="251"/>
        <w:jc w:val="left"/>
        <w:rPr>
          <w:sz w:val="20"/>
        </w:rPr>
      </w:pPr>
      <w:r>
        <w:rPr>
          <w:sz w:val="20"/>
        </w:rPr>
        <w:t>Para os</w:t>
      </w:r>
      <w:r>
        <w:rPr>
          <w:spacing w:val="-32"/>
          <w:sz w:val="20"/>
        </w:rPr>
        <w:t> </w:t>
      </w:r>
      <w:r>
        <w:rPr>
          <w:sz w:val="20"/>
        </w:rPr>
        <w:t>dependentes</w:t>
      </w:r>
    </w:p>
    <w:p>
      <w:pPr>
        <w:pStyle w:val="ListParagraph"/>
        <w:numPr>
          <w:ilvl w:val="1"/>
          <w:numId w:val="33"/>
        </w:numPr>
        <w:tabs>
          <w:tab w:pos="1489" w:val="left" w:leader="none"/>
        </w:tabs>
        <w:spacing w:line="240" w:lineRule="auto" w:before="3" w:after="0"/>
        <w:ind w:left="1488" w:right="0" w:hanging="183"/>
        <w:jc w:val="left"/>
        <w:rPr>
          <w:sz w:val="20"/>
        </w:rPr>
      </w:pPr>
      <w:r>
        <w:rPr>
          <w:sz w:val="20"/>
        </w:rPr>
        <w:t>suplementação de</w:t>
      </w:r>
      <w:r>
        <w:rPr>
          <w:spacing w:val="-36"/>
          <w:sz w:val="20"/>
        </w:rPr>
        <w:t> </w:t>
      </w:r>
      <w:r>
        <w:rPr>
          <w:sz w:val="20"/>
        </w:rPr>
        <w:t>pensão;</w:t>
      </w:r>
    </w:p>
    <w:p>
      <w:pPr>
        <w:pStyle w:val="ListParagraph"/>
        <w:numPr>
          <w:ilvl w:val="1"/>
          <w:numId w:val="33"/>
        </w:numPr>
        <w:tabs>
          <w:tab w:pos="1499" w:val="left" w:leader="none"/>
        </w:tabs>
        <w:spacing w:line="240" w:lineRule="auto" w:before="1" w:after="0"/>
        <w:ind w:left="1498" w:right="0" w:hanging="193"/>
        <w:jc w:val="left"/>
        <w:rPr>
          <w:sz w:val="20"/>
        </w:rPr>
      </w:pPr>
      <w:r>
        <w:rPr>
          <w:sz w:val="20"/>
        </w:rPr>
        <w:t>suplementação de</w:t>
      </w:r>
      <w:r>
        <w:rPr>
          <w:spacing w:val="-40"/>
          <w:sz w:val="20"/>
        </w:rPr>
        <w:t> </w:t>
      </w:r>
      <w:r>
        <w:rPr>
          <w:sz w:val="20"/>
        </w:rPr>
        <w:t>auxílio-reclusão;</w:t>
      </w:r>
    </w:p>
    <w:p>
      <w:pPr>
        <w:pStyle w:val="ListParagraph"/>
        <w:numPr>
          <w:ilvl w:val="1"/>
          <w:numId w:val="33"/>
        </w:numPr>
        <w:tabs>
          <w:tab w:pos="1479" w:val="left" w:leader="none"/>
        </w:tabs>
        <w:spacing w:line="240" w:lineRule="auto" w:before="2" w:after="0"/>
        <w:ind w:left="1478" w:right="0" w:hanging="173"/>
        <w:jc w:val="left"/>
        <w:rPr>
          <w:sz w:val="20"/>
        </w:rPr>
      </w:pPr>
      <w:r>
        <w:rPr>
          <w:sz w:val="20"/>
        </w:rPr>
        <w:t>pecúlio</w:t>
      </w:r>
      <w:r>
        <w:rPr>
          <w:spacing w:val="-17"/>
          <w:sz w:val="20"/>
        </w:rPr>
        <w:t> </w:t>
      </w:r>
      <w:r>
        <w:rPr>
          <w:sz w:val="20"/>
        </w:rPr>
        <w:t>por</w:t>
      </w:r>
      <w:r>
        <w:rPr>
          <w:spacing w:val="-18"/>
          <w:sz w:val="20"/>
        </w:rPr>
        <w:t> </w:t>
      </w:r>
      <w:r>
        <w:rPr>
          <w:sz w:val="20"/>
        </w:rPr>
        <w:t>morte;</w:t>
      </w:r>
      <w:r>
        <w:rPr>
          <w:spacing w:val="-15"/>
          <w:sz w:val="20"/>
        </w:rPr>
        <w:t> </w:t>
      </w:r>
      <w:r>
        <w:rPr>
          <w:sz w:val="20"/>
        </w:rPr>
        <w:t>e</w:t>
      </w:r>
    </w:p>
    <w:p>
      <w:pPr>
        <w:pStyle w:val="ListParagraph"/>
        <w:numPr>
          <w:ilvl w:val="1"/>
          <w:numId w:val="33"/>
        </w:numPr>
        <w:tabs>
          <w:tab w:pos="1501" w:val="left" w:leader="none"/>
        </w:tabs>
        <w:spacing w:line="240" w:lineRule="auto" w:before="3" w:after="0"/>
        <w:ind w:left="1500" w:right="0" w:hanging="195"/>
        <w:jc w:val="left"/>
        <w:rPr>
          <w:sz w:val="20"/>
        </w:rPr>
      </w:pPr>
      <w:r>
        <w:rPr>
          <w:sz w:val="20"/>
        </w:rPr>
        <w:t>abono</w:t>
      </w:r>
      <w:r>
        <w:rPr>
          <w:spacing w:val="-19"/>
          <w:sz w:val="20"/>
        </w:rPr>
        <w:t> </w:t>
      </w:r>
      <w:r>
        <w:rPr>
          <w:sz w:val="20"/>
        </w:rPr>
        <w:t>anual.</w:t>
      </w:r>
    </w:p>
    <w:p>
      <w:pPr>
        <w:pStyle w:val="BodyText"/>
        <w:spacing w:before="9"/>
      </w:pPr>
    </w:p>
    <w:p>
      <w:pPr>
        <w:pStyle w:val="BodyText"/>
        <w:spacing w:line="242" w:lineRule="auto"/>
        <w:ind w:left="172" w:right="420"/>
        <w:jc w:val="both"/>
      </w:pPr>
      <w:r>
        <w:rPr/>
        <w:t>As</w:t>
      </w:r>
      <w:r>
        <w:rPr>
          <w:spacing w:val="-35"/>
        </w:rPr>
        <w:t> </w:t>
      </w:r>
      <w:r>
        <w:rPr/>
        <w:t>características,</w:t>
      </w:r>
      <w:r>
        <w:rPr>
          <w:spacing w:val="-34"/>
        </w:rPr>
        <w:t> </w:t>
      </w:r>
      <w:r>
        <w:rPr/>
        <w:t>regras</w:t>
      </w:r>
      <w:r>
        <w:rPr>
          <w:spacing w:val="-34"/>
        </w:rPr>
        <w:t> </w:t>
      </w:r>
      <w:r>
        <w:rPr/>
        <w:t>de</w:t>
      </w:r>
      <w:r>
        <w:rPr>
          <w:spacing w:val="-34"/>
        </w:rPr>
        <w:t> </w:t>
      </w:r>
      <w:r>
        <w:rPr/>
        <w:t>elegibilidade,</w:t>
      </w:r>
      <w:r>
        <w:rPr>
          <w:spacing w:val="-35"/>
        </w:rPr>
        <w:t> </w:t>
      </w:r>
      <w:r>
        <w:rPr/>
        <w:t>cálculo</w:t>
      </w:r>
      <w:r>
        <w:rPr>
          <w:spacing w:val="-34"/>
        </w:rPr>
        <w:t> </w:t>
      </w:r>
      <w:r>
        <w:rPr/>
        <w:t>e</w:t>
      </w:r>
      <w:r>
        <w:rPr>
          <w:spacing w:val="-35"/>
        </w:rPr>
        <w:t> </w:t>
      </w:r>
      <w:r>
        <w:rPr/>
        <w:t>reajuste</w:t>
      </w:r>
      <w:r>
        <w:rPr>
          <w:spacing w:val="-35"/>
        </w:rPr>
        <w:t> </w:t>
      </w:r>
      <w:r>
        <w:rPr/>
        <w:t>dos</w:t>
      </w:r>
      <w:r>
        <w:rPr>
          <w:spacing w:val="-33"/>
        </w:rPr>
        <w:t> </w:t>
      </w:r>
      <w:r>
        <w:rPr/>
        <w:t>benefícios</w:t>
      </w:r>
      <w:r>
        <w:rPr>
          <w:spacing w:val="-33"/>
        </w:rPr>
        <w:t> </w:t>
      </w:r>
      <w:r>
        <w:rPr/>
        <w:t>estão</w:t>
      </w:r>
      <w:r>
        <w:rPr>
          <w:spacing w:val="-35"/>
        </w:rPr>
        <w:t> </w:t>
      </w:r>
      <w:r>
        <w:rPr/>
        <w:t>apresentados</w:t>
      </w:r>
      <w:r>
        <w:rPr>
          <w:spacing w:val="-33"/>
        </w:rPr>
        <w:t> </w:t>
      </w:r>
      <w:r>
        <w:rPr/>
        <w:t>no</w:t>
      </w:r>
      <w:r>
        <w:rPr>
          <w:spacing w:val="-34"/>
        </w:rPr>
        <w:t> </w:t>
      </w:r>
      <w:r>
        <w:rPr/>
        <w:t>regulamento</w:t>
      </w:r>
      <w:r>
        <w:rPr>
          <w:spacing w:val="-33"/>
        </w:rPr>
        <w:t> </w:t>
      </w:r>
      <w:r>
        <w:rPr/>
        <w:t>do plano de</w:t>
      </w:r>
      <w:r>
        <w:rPr>
          <w:spacing w:val="-36"/>
        </w:rPr>
        <w:t> </w:t>
      </w:r>
      <w:r>
        <w:rPr/>
        <w:t>benefícios.</w:t>
      </w:r>
    </w:p>
    <w:p>
      <w:pPr>
        <w:pStyle w:val="BodyText"/>
        <w:spacing w:before="9"/>
      </w:pPr>
    </w:p>
    <w:p>
      <w:pPr>
        <w:pStyle w:val="BodyText"/>
        <w:spacing w:line="242" w:lineRule="auto"/>
        <w:ind w:left="172" w:right="409"/>
        <w:jc w:val="both"/>
      </w:pPr>
      <w:r>
        <w:rPr/>
        <w:t>O</w:t>
      </w:r>
      <w:r>
        <w:rPr>
          <w:spacing w:val="-44"/>
        </w:rPr>
        <w:t> </w:t>
      </w:r>
      <w:r>
        <w:rPr/>
        <w:t>custeio</w:t>
      </w:r>
      <w:r>
        <w:rPr>
          <w:spacing w:val="-43"/>
        </w:rPr>
        <w:t> </w:t>
      </w:r>
      <w:r>
        <w:rPr/>
        <w:t>dos</w:t>
      </w:r>
      <w:r>
        <w:rPr>
          <w:spacing w:val="-41"/>
        </w:rPr>
        <w:t> </w:t>
      </w:r>
      <w:r>
        <w:rPr/>
        <w:t>benefícios</w:t>
      </w:r>
      <w:r>
        <w:rPr>
          <w:spacing w:val="-42"/>
        </w:rPr>
        <w:t> </w:t>
      </w:r>
      <w:r>
        <w:rPr/>
        <w:t>é</w:t>
      </w:r>
      <w:r>
        <w:rPr>
          <w:spacing w:val="-42"/>
        </w:rPr>
        <w:t> </w:t>
      </w:r>
      <w:r>
        <w:rPr/>
        <w:t>feito</w:t>
      </w:r>
      <w:r>
        <w:rPr>
          <w:spacing w:val="-43"/>
        </w:rPr>
        <w:t> </w:t>
      </w:r>
      <w:r>
        <w:rPr/>
        <w:t>mediante</w:t>
      </w:r>
      <w:r>
        <w:rPr>
          <w:spacing w:val="-43"/>
        </w:rPr>
        <w:t> </w:t>
      </w:r>
      <w:r>
        <w:rPr/>
        <w:t>contribuições</w:t>
      </w:r>
      <w:r>
        <w:rPr>
          <w:spacing w:val="-42"/>
        </w:rPr>
        <w:t> </w:t>
      </w:r>
      <w:r>
        <w:rPr/>
        <w:t>dos</w:t>
      </w:r>
      <w:r>
        <w:rPr>
          <w:spacing w:val="-42"/>
        </w:rPr>
        <w:t> </w:t>
      </w:r>
      <w:r>
        <w:rPr/>
        <w:t>participantes,</w:t>
      </w:r>
      <w:r>
        <w:rPr>
          <w:spacing w:val="-43"/>
        </w:rPr>
        <w:t> </w:t>
      </w:r>
      <w:r>
        <w:rPr/>
        <w:t>assistidos</w:t>
      </w:r>
      <w:r>
        <w:rPr>
          <w:spacing w:val="-38"/>
        </w:rPr>
        <w:t> </w:t>
      </w:r>
      <w:r>
        <w:rPr/>
        <w:t>e</w:t>
      </w:r>
      <w:r>
        <w:rPr>
          <w:spacing w:val="-43"/>
        </w:rPr>
        <w:t> </w:t>
      </w:r>
      <w:r>
        <w:rPr/>
        <w:t>das</w:t>
      </w:r>
      <w:r>
        <w:rPr>
          <w:spacing w:val="-42"/>
        </w:rPr>
        <w:t> </w:t>
      </w:r>
      <w:r>
        <w:rPr/>
        <w:t>patrocinadoras</w:t>
      </w:r>
      <w:r>
        <w:rPr>
          <w:spacing w:val="-42"/>
        </w:rPr>
        <w:t> </w:t>
      </w:r>
      <w:r>
        <w:rPr/>
        <w:t>do</w:t>
      </w:r>
      <w:r>
        <w:rPr>
          <w:spacing w:val="-42"/>
        </w:rPr>
        <w:t> </w:t>
      </w:r>
      <w:r>
        <w:rPr/>
        <w:t>plano.</w:t>
      </w:r>
      <w:r>
        <w:rPr>
          <w:spacing w:val="-42"/>
        </w:rPr>
        <w:t> </w:t>
      </w:r>
      <w:r>
        <w:rPr/>
        <w:t>A entidade</w:t>
      </w:r>
      <w:r>
        <w:rPr>
          <w:spacing w:val="-26"/>
        </w:rPr>
        <w:t> </w:t>
      </w:r>
      <w:r>
        <w:rPr/>
        <w:t>possui</w:t>
      </w:r>
      <w:r>
        <w:rPr>
          <w:spacing w:val="-26"/>
        </w:rPr>
        <w:t> </w:t>
      </w:r>
      <w:r>
        <w:rPr/>
        <w:t>atualmente</w:t>
      </w:r>
      <w:r>
        <w:rPr>
          <w:spacing w:val="-25"/>
        </w:rPr>
        <w:t> </w:t>
      </w:r>
      <w:r>
        <w:rPr/>
        <w:t>dois</w:t>
      </w:r>
      <w:r>
        <w:rPr>
          <w:spacing w:val="-26"/>
        </w:rPr>
        <w:t> </w:t>
      </w:r>
      <w:r>
        <w:rPr/>
        <w:t>planos</w:t>
      </w:r>
      <w:r>
        <w:rPr>
          <w:spacing w:val="-26"/>
        </w:rPr>
        <w:t> </w:t>
      </w:r>
      <w:r>
        <w:rPr/>
        <w:t>de</w:t>
      </w:r>
      <w:r>
        <w:rPr>
          <w:spacing w:val="-26"/>
        </w:rPr>
        <w:t> </w:t>
      </w:r>
      <w:r>
        <w:rPr/>
        <w:t>amortização</w:t>
      </w:r>
      <w:r>
        <w:rPr>
          <w:spacing w:val="-25"/>
        </w:rPr>
        <w:t> </w:t>
      </w:r>
      <w:r>
        <w:rPr/>
        <w:t>de</w:t>
      </w:r>
      <w:r>
        <w:rPr>
          <w:spacing w:val="-23"/>
        </w:rPr>
        <w:t> </w:t>
      </w:r>
      <w:r>
        <w:rPr/>
        <w:t>déficit</w:t>
      </w:r>
      <w:r>
        <w:rPr>
          <w:spacing w:val="-26"/>
        </w:rPr>
        <w:t> </w:t>
      </w:r>
      <w:r>
        <w:rPr/>
        <w:t>atuarial</w:t>
      </w:r>
      <w:r>
        <w:rPr>
          <w:spacing w:val="-25"/>
        </w:rPr>
        <w:t> </w:t>
      </w:r>
      <w:r>
        <w:rPr/>
        <w:t>em</w:t>
      </w:r>
      <w:r>
        <w:rPr>
          <w:spacing w:val="-26"/>
        </w:rPr>
        <w:t> </w:t>
      </w:r>
      <w:r>
        <w:rPr/>
        <w:t>execução</w:t>
      </w:r>
      <w:r>
        <w:rPr>
          <w:spacing w:val="-26"/>
        </w:rPr>
        <w:t> </w:t>
      </w:r>
      <w:r>
        <w:rPr/>
        <w:t>e</w:t>
      </w:r>
      <w:r>
        <w:rPr>
          <w:spacing w:val="-27"/>
        </w:rPr>
        <w:t> </w:t>
      </w:r>
      <w:r>
        <w:rPr/>
        <w:t>os</w:t>
      </w:r>
      <w:r>
        <w:rPr>
          <w:spacing w:val="-25"/>
        </w:rPr>
        <w:t> </w:t>
      </w:r>
      <w:r>
        <w:rPr/>
        <w:t>valores</w:t>
      </w:r>
      <w:r>
        <w:rPr>
          <w:spacing w:val="-25"/>
        </w:rPr>
        <w:t> </w:t>
      </w:r>
      <w:r>
        <w:rPr/>
        <w:t>presentes</w:t>
      </w:r>
      <w:r>
        <w:rPr>
          <w:spacing w:val="-26"/>
        </w:rPr>
        <w:t> </w:t>
      </w:r>
      <w:r>
        <w:rPr/>
        <w:t>das contribuições</w:t>
      </w:r>
      <w:r>
        <w:rPr>
          <w:spacing w:val="-39"/>
        </w:rPr>
        <w:t> </w:t>
      </w:r>
      <w:r>
        <w:rPr/>
        <w:t>extraordinárias</w:t>
      </w:r>
      <w:r>
        <w:rPr>
          <w:spacing w:val="-38"/>
        </w:rPr>
        <w:t> </w:t>
      </w:r>
      <w:r>
        <w:rPr/>
        <w:t>futuras</w:t>
      </w:r>
      <w:r>
        <w:rPr>
          <w:spacing w:val="-39"/>
        </w:rPr>
        <w:t> </w:t>
      </w:r>
      <w:r>
        <w:rPr/>
        <w:t>de</w:t>
      </w:r>
      <w:r>
        <w:rPr>
          <w:spacing w:val="-39"/>
        </w:rPr>
        <w:t> </w:t>
      </w:r>
      <w:r>
        <w:rPr/>
        <w:t>participantes</w:t>
      </w:r>
      <w:r>
        <w:rPr>
          <w:spacing w:val="-38"/>
        </w:rPr>
        <w:t> </w:t>
      </w:r>
      <w:r>
        <w:rPr/>
        <w:t>ativos</w:t>
      </w:r>
      <w:r>
        <w:rPr>
          <w:spacing w:val="-39"/>
        </w:rPr>
        <w:t> </w:t>
      </w:r>
      <w:r>
        <w:rPr/>
        <w:t>e</w:t>
      </w:r>
      <w:r>
        <w:rPr>
          <w:spacing w:val="-39"/>
        </w:rPr>
        <w:t> </w:t>
      </w:r>
      <w:r>
        <w:rPr/>
        <w:t>de</w:t>
      </w:r>
      <w:r>
        <w:rPr>
          <w:spacing w:val="-39"/>
        </w:rPr>
        <w:t> </w:t>
      </w:r>
      <w:r>
        <w:rPr/>
        <w:t>assistidos</w:t>
      </w:r>
      <w:r>
        <w:rPr>
          <w:spacing w:val="-39"/>
        </w:rPr>
        <w:t> </w:t>
      </w:r>
      <w:r>
        <w:rPr/>
        <w:t>foram</w:t>
      </w:r>
      <w:r>
        <w:rPr>
          <w:spacing w:val="-40"/>
        </w:rPr>
        <w:t> </w:t>
      </w:r>
      <w:r>
        <w:rPr/>
        <w:t>deduzidos</w:t>
      </w:r>
      <w:r>
        <w:rPr>
          <w:spacing w:val="-40"/>
        </w:rPr>
        <w:t> </w:t>
      </w:r>
      <w:r>
        <w:rPr/>
        <w:t>da</w:t>
      </w:r>
      <w:r>
        <w:rPr>
          <w:spacing w:val="-39"/>
        </w:rPr>
        <w:t> </w:t>
      </w:r>
      <w:r>
        <w:rPr/>
        <w:t>obrigação</w:t>
      </w:r>
      <w:r>
        <w:rPr>
          <w:spacing w:val="-40"/>
        </w:rPr>
        <w:t> </w:t>
      </w:r>
      <w:r>
        <w:rPr/>
        <w:t>atuarial.</w:t>
      </w:r>
    </w:p>
    <w:p>
      <w:pPr>
        <w:pStyle w:val="BodyText"/>
        <w:spacing w:before="8"/>
      </w:pPr>
    </w:p>
    <w:p>
      <w:pPr>
        <w:pStyle w:val="BodyText"/>
        <w:spacing w:line="242" w:lineRule="auto"/>
        <w:ind w:left="172" w:right="412"/>
        <w:jc w:val="both"/>
      </w:pPr>
      <w:r>
        <w:rPr/>
        <w:t>As contribuições do plano de equacionamento foram calculadas com o uso do sistema Price de amortização, considerando-se</w:t>
      </w:r>
      <w:r>
        <w:rPr>
          <w:spacing w:val="-21"/>
        </w:rPr>
        <w:t> </w:t>
      </w:r>
      <w:r>
        <w:rPr/>
        <w:t>um</w:t>
      </w:r>
      <w:r>
        <w:rPr>
          <w:spacing w:val="-17"/>
        </w:rPr>
        <w:t> </w:t>
      </w:r>
      <w:r>
        <w:rPr/>
        <w:t>prazo</w:t>
      </w:r>
      <w:r>
        <w:rPr>
          <w:spacing w:val="-18"/>
        </w:rPr>
        <w:t> </w:t>
      </w:r>
      <w:r>
        <w:rPr/>
        <w:t>máximo</w:t>
      </w:r>
      <w:r>
        <w:rPr>
          <w:spacing w:val="-18"/>
        </w:rPr>
        <w:t> </w:t>
      </w:r>
      <w:r>
        <w:rPr/>
        <w:t>de</w:t>
      </w:r>
      <w:r>
        <w:rPr>
          <w:spacing w:val="-19"/>
        </w:rPr>
        <w:t> </w:t>
      </w:r>
      <w:r>
        <w:rPr/>
        <w:t>amortização</w:t>
      </w:r>
      <w:r>
        <w:rPr>
          <w:spacing w:val="-20"/>
        </w:rPr>
        <w:t> </w:t>
      </w:r>
      <w:r>
        <w:rPr/>
        <w:t>de</w:t>
      </w:r>
      <w:r>
        <w:rPr>
          <w:spacing w:val="-19"/>
        </w:rPr>
        <w:t> </w:t>
      </w:r>
      <w:r>
        <w:rPr/>
        <w:t>217</w:t>
      </w:r>
      <w:r>
        <w:rPr>
          <w:spacing w:val="-19"/>
        </w:rPr>
        <w:t> </w:t>
      </w:r>
      <w:r>
        <w:rPr/>
        <w:t>meses</w:t>
      </w:r>
      <w:r>
        <w:rPr>
          <w:spacing w:val="-18"/>
        </w:rPr>
        <w:t> </w:t>
      </w:r>
      <w:r>
        <w:rPr/>
        <w:t>e,</w:t>
      </w:r>
      <w:r>
        <w:rPr>
          <w:spacing w:val="-17"/>
        </w:rPr>
        <w:t> </w:t>
      </w:r>
      <w:r>
        <w:rPr/>
        <w:t>nesta</w:t>
      </w:r>
      <w:r>
        <w:rPr>
          <w:spacing w:val="-19"/>
        </w:rPr>
        <w:t> </w:t>
      </w:r>
      <w:r>
        <w:rPr/>
        <w:t>avaliação,</w:t>
      </w:r>
      <w:r>
        <w:rPr>
          <w:spacing w:val="-20"/>
        </w:rPr>
        <w:t> </w:t>
      </w:r>
      <w:r>
        <w:rPr/>
        <w:t>o</w:t>
      </w:r>
      <w:r>
        <w:rPr>
          <w:spacing w:val="-20"/>
        </w:rPr>
        <w:t> </w:t>
      </w:r>
      <w:r>
        <w:rPr/>
        <w:t>valor</w:t>
      </w:r>
      <w:r>
        <w:rPr>
          <w:spacing w:val="-18"/>
        </w:rPr>
        <w:t> </w:t>
      </w:r>
      <w:r>
        <w:rPr/>
        <w:t>presente</w:t>
      </w:r>
      <w:r>
        <w:rPr>
          <w:spacing w:val="-20"/>
        </w:rPr>
        <w:t> </w:t>
      </w:r>
      <w:r>
        <w:rPr/>
        <w:t>do</w:t>
      </w:r>
      <w:r>
        <w:rPr>
          <w:spacing w:val="-18"/>
        </w:rPr>
        <w:t> </w:t>
      </w:r>
      <w:r>
        <w:rPr/>
        <w:t>plano</w:t>
      </w:r>
      <w:r>
        <w:rPr>
          <w:spacing w:val="-20"/>
        </w:rPr>
        <w:t> </w:t>
      </w:r>
      <w:r>
        <w:rPr/>
        <w:t>de equacionamento</w:t>
      </w:r>
      <w:r>
        <w:rPr>
          <w:spacing w:val="-31"/>
        </w:rPr>
        <w:t> </w:t>
      </w:r>
      <w:r>
        <w:rPr/>
        <w:t>foi</w:t>
      </w:r>
      <w:r>
        <w:rPr>
          <w:spacing w:val="-33"/>
        </w:rPr>
        <w:t> </w:t>
      </w:r>
      <w:r>
        <w:rPr/>
        <w:t>obtido</w:t>
      </w:r>
      <w:r>
        <w:rPr>
          <w:spacing w:val="-31"/>
        </w:rPr>
        <w:t> </w:t>
      </w:r>
      <w:r>
        <w:rPr/>
        <w:t>considerando-se</w:t>
      </w:r>
      <w:r>
        <w:rPr>
          <w:spacing w:val="-33"/>
        </w:rPr>
        <w:t> </w:t>
      </w:r>
      <w:r>
        <w:rPr/>
        <w:t>os</w:t>
      </w:r>
      <w:r>
        <w:rPr>
          <w:spacing w:val="-31"/>
        </w:rPr>
        <w:t> </w:t>
      </w:r>
      <w:r>
        <w:rPr/>
        <w:t>valores</w:t>
      </w:r>
      <w:r>
        <w:rPr>
          <w:spacing w:val="-31"/>
        </w:rPr>
        <w:t> </w:t>
      </w:r>
      <w:r>
        <w:rPr/>
        <w:t>de</w:t>
      </w:r>
      <w:r>
        <w:rPr>
          <w:spacing w:val="-32"/>
        </w:rPr>
        <w:t> </w:t>
      </w:r>
      <w:r>
        <w:rPr/>
        <w:t>contribuições</w:t>
      </w:r>
      <w:r>
        <w:rPr>
          <w:spacing w:val="-32"/>
        </w:rPr>
        <w:t> </w:t>
      </w:r>
      <w:r>
        <w:rPr/>
        <w:t>extraordinárias</w:t>
      </w:r>
      <w:r>
        <w:rPr>
          <w:spacing w:val="-31"/>
        </w:rPr>
        <w:t> </w:t>
      </w:r>
      <w:r>
        <w:rPr/>
        <w:t>informados</w:t>
      </w:r>
      <w:r>
        <w:rPr>
          <w:spacing w:val="-30"/>
        </w:rPr>
        <w:t> </w:t>
      </w:r>
      <w:r>
        <w:rPr/>
        <w:t>no</w:t>
      </w:r>
      <w:r>
        <w:rPr>
          <w:spacing w:val="-32"/>
        </w:rPr>
        <w:t> </w:t>
      </w:r>
      <w:r>
        <w:rPr/>
        <w:t>cadastro</w:t>
      </w:r>
      <w:r>
        <w:rPr>
          <w:spacing w:val="-31"/>
        </w:rPr>
        <w:t> </w:t>
      </w:r>
      <w:r>
        <w:rPr/>
        <w:t>de </w:t>
      </w:r>
      <w:r>
        <w:rPr>
          <w:w w:val="95"/>
        </w:rPr>
        <w:t>cada</w:t>
      </w:r>
      <w:r>
        <w:rPr>
          <w:spacing w:val="-19"/>
          <w:w w:val="95"/>
        </w:rPr>
        <w:t> </w:t>
      </w:r>
      <w:r>
        <w:rPr>
          <w:w w:val="95"/>
        </w:rPr>
        <w:t>participante</w:t>
      </w:r>
      <w:r>
        <w:rPr>
          <w:spacing w:val="-18"/>
          <w:w w:val="95"/>
        </w:rPr>
        <w:t> </w:t>
      </w:r>
      <w:r>
        <w:rPr>
          <w:w w:val="95"/>
        </w:rPr>
        <w:t>e</w:t>
      </w:r>
      <w:r>
        <w:rPr>
          <w:spacing w:val="-20"/>
          <w:w w:val="95"/>
        </w:rPr>
        <w:t> </w:t>
      </w:r>
      <w:r>
        <w:rPr>
          <w:w w:val="95"/>
        </w:rPr>
        <w:t>assistido,</w:t>
      </w:r>
      <w:r>
        <w:rPr>
          <w:spacing w:val="-18"/>
          <w:w w:val="95"/>
        </w:rPr>
        <w:t> </w:t>
      </w:r>
      <w:r>
        <w:rPr>
          <w:w w:val="95"/>
        </w:rPr>
        <w:t>a</w:t>
      </w:r>
      <w:r>
        <w:rPr>
          <w:spacing w:val="-18"/>
          <w:w w:val="95"/>
        </w:rPr>
        <w:t> </w:t>
      </w:r>
      <w:r>
        <w:rPr>
          <w:w w:val="95"/>
        </w:rPr>
        <w:t>metodologia</w:t>
      </w:r>
      <w:r>
        <w:rPr>
          <w:spacing w:val="-18"/>
          <w:w w:val="95"/>
        </w:rPr>
        <w:t> </w:t>
      </w:r>
      <w:r>
        <w:rPr>
          <w:w w:val="95"/>
        </w:rPr>
        <w:t>de</w:t>
      </w:r>
      <w:r>
        <w:rPr>
          <w:spacing w:val="-20"/>
          <w:w w:val="95"/>
        </w:rPr>
        <w:t> </w:t>
      </w:r>
      <w:r>
        <w:rPr>
          <w:w w:val="95"/>
        </w:rPr>
        <w:t>amortização</w:t>
      </w:r>
      <w:r>
        <w:rPr>
          <w:spacing w:val="-20"/>
          <w:w w:val="95"/>
        </w:rPr>
        <w:t> </w:t>
      </w:r>
      <w:r>
        <w:rPr>
          <w:w w:val="95"/>
        </w:rPr>
        <w:t>do</w:t>
      </w:r>
      <w:r>
        <w:rPr>
          <w:spacing w:val="-19"/>
          <w:w w:val="95"/>
        </w:rPr>
        <w:t> </w:t>
      </w:r>
      <w:r>
        <w:rPr>
          <w:w w:val="95"/>
        </w:rPr>
        <w:t>sistema</w:t>
      </w:r>
      <w:r>
        <w:rPr>
          <w:spacing w:val="-16"/>
          <w:w w:val="95"/>
        </w:rPr>
        <w:t> </w:t>
      </w:r>
      <w:r>
        <w:rPr>
          <w:w w:val="95"/>
        </w:rPr>
        <w:t>Price,</w:t>
      </w:r>
      <w:r>
        <w:rPr>
          <w:spacing w:val="-20"/>
          <w:w w:val="95"/>
        </w:rPr>
        <w:t> </w:t>
      </w:r>
      <w:r>
        <w:rPr>
          <w:w w:val="95"/>
        </w:rPr>
        <w:t>a</w:t>
      </w:r>
      <w:r>
        <w:rPr>
          <w:spacing w:val="-18"/>
          <w:w w:val="95"/>
        </w:rPr>
        <w:t> </w:t>
      </w:r>
      <w:r>
        <w:rPr>
          <w:w w:val="95"/>
        </w:rPr>
        <w:t>taxa</w:t>
      </w:r>
      <w:r>
        <w:rPr>
          <w:spacing w:val="-16"/>
          <w:w w:val="95"/>
        </w:rPr>
        <w:t> </w:t>
      </w:r>
      <w:r>
        <w:rPr>
          <w:w w:val="95"/>
        </w:rPr>
        <w:t>de</w:t>
      </w:r>
      <w:r>
        <w:rPr>
          <w:spacing w:val="-21"/>
          <w:w w:val="95"/>
        </w:rPr>
        <w:t> </w:t>
      </w:r>
      <w:r>
        <w:rPr>
          <w:w w:val="95"/>
        </w:rPr>
        <w:t>juros</w:t>
      </w:r>
      <w:r>
        <w:rPr>
          <w:spacing w:val="-18"/>
          <w:w w:val="95"/>
        </w:rPr>
        <w:t> </w:t>
      </w:r>
      <w:r>
        <w:rPr>
          <w:w w:val="95"/>
        </w:rPr>
        <w:t>utilizada</w:t>
      </w:r>
      <w:r>
        <w:rPr>
          <w:spacing w:val="-18"/>
          <w:w w:val="95"/>
        </w:rPr>
        <w:t> </w:t>
      </w:r>
      <w:r>
        <w:rPr>
          <w:w w:val="95"/>
        </w:rPr>
        <w:t>nesta</w:t>
      </w:r>
      <w:r>
        <w:rPr>
          <w:spacing w:val="-17"/>
          <w:w w:val="95"/>
        </w:rPr>
        <w:t> </w:t>
      </w:r>
      <w:r>
        <w:rPr>
          <w:w w:val="95"/>
        </w:rPr>
        <w:t>avaliação </w:t>
      </w:r>
      <w:r>
        <w:rPr/>
        <w:t>e</w:t>
      </w:r>
      <w:r>
        <w:rPr>
          <w:spacing w:val="-20"/>
        </w:rPr>
        <w:t> </w:t>
      </w:r>
      <w:r>
        <w:rPr/>
        <w:t>o</w:t>
      </w:r>
      <w:r>
        <w:rPr>
          <w:spacing w:val="-16"/>
        </w:rPr>
        <w:t> </w:t>
      </w:r>
      <w:r>
        <w:rPr/>
        <w:t>prazo</w:t>
      </w:r>
      <w:r>
        <w:rPr>
          <w:spacing w:val="-16"/>
        </w:rPr>
        <w:t> </w:t>
      </w:r>
      <w:r>
        <w:rPr/>
        <w:t>remanescente.</w:t>
      </w:r>
    </w:p>
    <w:p>
      <w:pPr>
        <w:pStyle w:val="BodyText"/>
        <w:spacing w:before="6"/>
      </w:pPr>
    </w:p>
    <w:p>
      <w:pPr>
        <w:pStyle w:val="Heading5"/>
        <w:numPr>
          <w:ilvl w:val="2"/>
          <w:numId w:val="32"/>
        </w:numPr>
        <w:tabs>
          <w:tab w:pos="1026" w:val="left" w:leader="none"/>
        </w:tabs>
        <w:spacing w:line="240" w:lineRule="auto" w:before="0" w:after="0"/>
        <w:ind w:left="1025" w:right="0" w:hanging="854"/>
        <w:jc w:val="left"/>
      </w:pPr>
      <w:r>
        <w:rPr/>
        <w:t>Plano de Benefícios</w:t>
      </w:r>
      <w:r>
        <w:rPr>
          <w:spacing w:val="-3"/>
        </w:rPr>
        <w:t> </w:t>
      </w:r>
      <w:r>
        <w:rPr/>
        <w:t>CEBPREV</w:t>
      </w:r>
    </w:p>
    <w:p>
      <w:pPr>
        <w:pStyle w:val="BodyText"/>
        <w:spacing w:before="10"/>
        <w:rPr>
          <w:rFonts w:ascii="Caladea"/>
          <w:b/>
          <w:sz w:val="23"/>
        </w:rPr>
      </w:pPr>
    </w:p>
    <w:p>
      <w:pPr>
        <w:pStyle w:val="BodyText"/>
        <w:spacing w:line="242" w:lineRule="auto"/>
        <w:ind w:left="172" w:right="417"/>
        <w:jc w:val="both"/>
      </w:pPr>
      <w:r>
        <w:rPr/>
        <w:t>O</w:t>
      </w:r>
      <w:r>
        <w:rPr>
          <w:spacing w:val="-23"/>
        </w:rPr>
        <w:t> </w:t>
      </w:r>
      <w:r>
        <w:rPr/>
        <w:t>Plano</w:t>
      </w:r>
      <w:r>
        <w:rPr>
          <w:spacing w:val="-20"/>
        </w:rPr>
        <w:t> </w:t>
      </w:r>
      <w:r>
        <w:rPr/>
        <w:t>CEBPREV</w:t>
      </w:r>
      <w:r>
        <w:rPr>
          <w:spacing w:val="-21"/>
        </w:rPr>
        <w:t> </w:t>
      </w:r>
      <w:r>
        <w:rPr/>
        <w:t>é</w:t>
      </w:r>
      <w:r>
        <w:rPr>
          <w:spacing w:val="-21"/>
        </w:rPr>
        <w:t> </w:t>
      </w:r>
      <w:r>
        <w:rPr/>
        <w:t>constituído</w:t>
      </w:r>
      <w:r>
        <w:rPr>
          <w:spacing w:val="-21"/>
        </w:rPr>
        <w:t> </w:t>
      </w:r>
      <w:r>
        <w:rPr/>
        <w:t>na</w:t>
      </w:r>
      <w:r>
        <w:rPr>
          <w:spacing w:val="-21"/>
        </w:rPr>
        <w:t> </w:t>
      </w:r>
      <w:r>
        <w:rPr/>
        <w:t>modalidade</w:t>
      </w:r>
      <w:r>
        <w:rPr>
          <w:spacing w:val="-21"/>
        </w:rPr>
        <w:t> </w:t>
      </w:r>
      <w:r>
        <w:rPr/>
        <w:t>de</w:t>
      </w:r>
      <w:r>
        <w:rPr>
          <w:spacing w:val="-22"/>
        </w:rPr>
        <w:t> </w:t>
      </w:r>
      <w:r>
        <w:rPr/>
        <w:t>contribuição</w:t>
      </w:r>
      <w:r>
        <w:rPr>
          <w:spacing w:val="-21"/>
        </w:rPr>
        <w:t> </w:t>
      </w:r>
      <w:r>
        <w:rPr/>
        <w:t>definida</w:t>
      </w:r>
      <w:r>
        <w:rPr>
          <w:spacing w:val="-21"/>
        </w:rPr>
        <w:t> </w:t>
      </w:r>
      <w:r>
        <w:rPr/>
        <w:t>(CD),</w:t>
      </w:r>
      <w:r>
        <w:rPr>
          <w:spacing w:val="-20"/>
        </w:rPr>
        <w:t> </w:t>
      </w:r>
      <w:r>
        <w:rPr/>
        <w:t>oferecendo</w:t>
      </w:r>
      <w:r>
        <w:rPr>
          <w:spacing w:val="-21"/>
        </w:rPr>
        <w:t> </w:t>
      </w:r>
      <w:r>
        <w:rPr/>
        <w:t>aos</w:t>
      </w:r>
      <w:r>
        <w:rPr>
          <w:spacing w:val="-21"/>
        </w:rPr>
        <w:t> </w:t>
      </w:r>
      <w:r>
        <w:rPr/>
        <w:t>seus</w:t>
      </w:r>
      <w:r>
        <w:rPr>
          <w:spacing w:val="-20"/>
        </w:rPr>
        <w:t> </w:t>
      </w:r>
      <w:r>
        <w:rPr/>
        <w:t>participantes</w:t>
      </w:r>
      <w:r>
        <w:rPr>
          <w:spacing w:val="-20"/>
        </w:rPr>
        <w:t> </w:t>
      </w:r>
      <w:r>
        <w:rPr/>
        <w:t>e dependentes</w:t>
      </w:r>
      <w:r>
        <w:rPr>
          <w:spacing w:val="-18"/>
        </w:rPr>
        <w:t> </w:t>
      </w:r>
      <w:r>
        <w:rPr/>
        <w:t>os</w:t>
      </w:r>
      <w:r>
        <w:rPr>
          <w:spacing w:val="-18"/>
        </w:rPr>
        <w:t> </w:t>
      </w:r>
      <w:r>
        <w:rPr/>
        <w:t>seguintes</w:t>
      </w:r>
      <w:r>
        <w:rPr>
          <w:spacing w:val="-15"/>
        </w:rPr>
        <w:t> </w:t>
      </w:r>
      <w:r>
        <w:rPr/>
        <w:t>benefícios:</w:t>
      </w:r>
    </w:p>
    <w:p>
      <w:pPr>
        <w:pStyle w:val="BodyText"/>
        <w:spacing w:before="7"/>
      </w:pPr>
    </w:p>
    <w:p>
      <w:pPr>
        <w:pStyle w:val="ListParagraph"/>
        <w:numPr>
          <w:ilvl w:val="3"/>
          <w:numId w:val="32"/>
        </w:numPr>
        <w:tabs>
          <w:tab w:pos="740" w:val="left" w:leader="none"/>
        </w:tabs>
        <w:spacing w:line="240" w:lineRule="auto" w:before="0" w:after="0"/>
        <w:ind w:left="739" w:right="0" w:hanging="140"/>
        <w:jc w:val="left"/>
        <w:rPr>
          <w:sz w:val="20"/>
        </w:rPr>
      </w:pPr>
      <w:r>
        <w:rPr>
          <w:sz w:val="20"/>
        </w:rPr>
        <w:t>Para os</w:t>
      </w:r>
      <w:r>
        <w:rPr>
          <w:spacing w:val="-33"/>
          <w:sz w:val="20"/>
        </w:rPr>
        <w:t> </w:t>
      </w:r>
      <w:r>
        <w:rPr>
          <w:sz w:val="20"/>
        </w:rPr>
        <w:t>participantes</w:t>
      </w:r>
    </w:p>
    <w:p>
      <w:pPr>
        <w:pStyle w:val="ListParagraph"/>
        <w:numPr>
          <w:ilvl w:val="4"/>
          <w:numId w:val="32"/>
        </w:numPr>
        <w:tabs>
          <w:tab w:pos="1489" w:val="left" w:leader="none"/>
        </w:tabs>
        <w:spacing w:line="240" w:lineRule="auto" w:before="3" w:after="0"/>
        <w:ind w:left="1488" w:right="0" w:hanging="183"/>
        <w:jc w:val="left"/>
        <w:rPr>
          <w:sz w:val="20"/>
        </w:rPr>
      </w:pPr>
      <w:r>
        <w:rPr>
          <w:sz w:val="20"/>
        </w:rPr>
        <w:t>suplementação de</w:t>
      </w:r>
      <w:r>
        <w:rPr>
          <w:spacing w:val="-39"/>
          <w:sz w:val="20"/>
        </w:rPr>
        <w:t> </w:t>
      </w:r>
      <w:r>
        <w:rPr>
          <w:sz w:val="20"/>
        </w:rPr>
        <w:t>aposentadoria;</w:t>
      </w:r>
    </w:p>
    <w:p>
      <w:pPr>
        <w:pStyle w:val="ListParagraph"/>
        <w:numPr>
          <w:ilvl w:val="4"/>
          <w:numId w:val="32"/>
        </w:numPr>
        <w:tabs>
          <w:tab w:pos="1499" w:val="left" w:leader="none"/>
        </w:tabs>
        <w:spacing w:line="240" w:lineRule="auto" w:before="3" w:after="0"/>
        <w:ind w:left="1498" w:right="0" w:hanging="193"/>
        <w:jc w:val="left"/>
        <w:rPr>
          <w:sz w:val="20"/>
        </w:rPr>
      </w:pPr>
      <w:r>
        <w:rPr>
          <w:sz w:val="20"/>
        </w:rPr>
        <w:t>suplementação</w:t>
      </w:r>
      <w:r>
        <w:rPr>
          <w:spacing w:val="-20"/>
          <w:sz w:val="20"/>
        </w:rPr>
        <w:t> </w:t>
      </w:r>
      <w:r>
        <w:rPr>
          <w:sz w:val="20"/>
        </w:rPr>
        <w:t>de</w:t>
      </w:r>
      <w:r>
        <w:rPr>
          <w:spacing w:val="-21"/>
          <w:sz w:val="20"/>
        </w:rPr>
        <w:t> </w:t>
      </w:r>
      <w:r>
        <w:rPr>
          <w:sz w:val="20"/>
        </w:rPr>
        <w:t>aposentadoria</w:t>
      </w:r>
      <w:r>
        <w:rPr>
          <w:spacing w:val="-18"/>
          <w:sz w:val="20"/>
        </w:rPr>
        <w:t> </w:t>
      </w:r>
      <w:r>
        <w:rPr>
          <w:sz w:val="20"/>
        </w:rPr>
        <w:t>antecipada;</w:t>
      </w:r>
    </w:p>
    <w:p>
      <w:pPr>
        <w:pStyle w:val="ListParagraph"/>
        <w:numPr>
          <w:ilvl w:val="4"/>
          <w:numId w:val="32"/>
        </w:numPr>
        <w:tabs>
          <w:tab w:pos="1479" w:val="left" w:leader="none"/>
        </w:tabs>
        <w:spacing w:line="240" w:lineRule="auto" w:before="1" w:after="0"/>
        <w:ind w:left="1478" w:right="0" w:hanging="173"/>
        <w:jc w:val="left"/>
        <w:rPr>
          <w:sz w:val="20"/>
        </w:rPr>
      </w:pPr>
      <w:r>
        <w:rPr>
          <w:sz w:val="20"/>
        </w:rPr>
        <w:t>pecúlio por</w:t>
      </w:r>
      <w:r>
        <w:rPr>
          <w:spacing w:val="-35"/>
          <w:sz w:val="20"/>
        </w:rPr>
        <w:t> </w:t>
      </w:r>
      <w:r>
        <w:rPr>
          <w:sz w:val="20"/>
        </w:rPr>
        <w:t>invalidez;</w:t>
      </w:r>
    </w:p>
    <w:p>
      <w:pPr>
        <w:pStyle w:val="ListParagraph"/>
        <w:numPr>
          <w:ilvl w:val="4"/>
          <w:numId w:val="32"/>
        </w:numPr>
        <w:tabs>
          <w:tab w:pos="1501" w:val="left" w:leader="none"/>
        </w:tabs>
        <w:spacing w:line="240" w:lineRule="auto" w:before="3" w:after="0"/>
        <w:ind w:left="1500" w:right="0" w:hanging="195"/>
        <w:jc w:val="left"/>
        <w:rPr>
          <w:sz w:val="20"/>
        </w:rPr>
      </w:pPr>
      <w:r>
        <w:rPr>
          <w:sz w:val="20"/>
        </w:rPr>
        <w:t>abono</w:t>
      </w:r>
      <w:r>
        <w:rPr>
          <w:spacing w:val="-19"/>
          <w:sz w:val="20"/>
        </w:rPr>
        <w:t> </w:t>
      </w:r>
      <w:r>
        <w:rPr>
          <w:sz w:val="20"/>
        </w:rPr>
        <w:t>anual.</w:t>
      </w:r>
    </w:p>
    <w:p>
      <w:pPr>
        <w:pStyle w:val="ListParagraph"/>
        <w:numPr>
          <w:ilvl w:val="3"/>
          <w:numId w:val="32"/>
        </w:numPr>
        <w:tabs>
          <w:tab w:pos="796" w:val="left" w:leader="none"/>
        </w:tabs>
        <w:spacing w:line="240" w:lineRule="auto" w:before="3" w:after="0"/>
        <w:ind w:left="795" w:right="0" w:hanging="196"/>
        <w:jc w:val="left"/>
        <w:rPr>
          <w:sz w:val="20"/>
        </w:rPr>
      </w:pPr>
      <w:r>
        <w:rPr>
          <w:sz w:val="20"/>
        </w:rPr>
        <w:t>Para os</w:t>
      </w:r>
      <w:r>
        <w:rPr>
          <w:spacing w:val="-32"/>
          <w:sz w:val="20"/>
        </w:rPr>
        <w:t> </w:t>
      </w:r>
      <w:r>
        <w:rPr>
          <w:sz w:val="20"/>
        </w:rPr>
        <w:t>dependentes</w:t>
      </w:r>
    </w:p>
    <w:p>
      <w:pPr>
        <w:pStyle w:val="ListParagraph"/>
        <w:numPr>
          <w:ilvl w:val="4"/>
          <w:numId w:val="32"/>
        </w:numPr>
        <w:tabs>
          <w:tab w:pos="1489" w:val="left" w:leader="none"/>
        </w:tabs>
        <w:spacing w:line="240" w:lineRule="auto" w:before="3" w:after="0"/>
        <w:ind w:left="1488" w:right="0" w:hanging="183"/>
        <w:jc w:val="left"/>
        <w:rPr>
          <w:sz w:val="20"/>
        </w:rPr>
      </w:pPr>
      <w:r>
        <w:rPr>
          <w:sz w:val="20"/>
        </w:rPr>
        <w:t>pecúlio por</w:t>
      </w:r>
      <w:r>
        <w:rPr>
          <w:spacing w:val="-35"/>
          <w:sz w:val="20"/>
        </w:rPr>
        <w:t> </w:t>
      </w:r>
      <w:r>
        <w:rPr>
          <w:sz w:val="20"/>
        </w:rPr>
        <w:t>morte.</w:t>
      </w:r>
    </w:p>
    <w:p>
      <w:pPr>
        <w:pStyle w:val="BodyText"/>
        <w:spacing w:before="8"/>
      </w:pPr>
    </w:p>
    <w:p>
      <w:pPr>
        <w:pStyle w:val="BodyText"/>
        <w:spacing w:line="242" w:lineRule="auto"/>
        <w:ind w:left="172" w:right="420"/>
        <w:jc w:val="both"/>
      </w:pPr>
      <w:r>
        <w:rPr/>
        <w:t>As</w:t>
      </w:r>
      <w:r>
        <w:rPr>
          <w:spacing w:val="-35"/>
        </w:rPr>
        <w:t> </w:t>
      </w:r>
      <w:r>
        <w:rPr/>
        <w:t>características,</w:t>
      </w:r>
      <w:r>
        <w:rPr>
          <w:spacing w:val="-34"/>
        </w:rPr>
        <w:t> </w:t>
      </w:r>
      <w:r>
        <w:rPr/>
        <w:t>regras</w:t>
      </w:r>
      <w:r>
        <w:rPr>
          <w:spacing w:val="-34"/>
        </w:rPr>
        <w:t> </w:t>
      </w:r>
      <w:r>
        <w:rPr/>
        <w:t>de</w:t>
      </w:r>
      <w:r>
        <w:rPr>
          <w:spacing w:val="-34"/>
        </w:rPr>
        <w:t> </w:t>
      </w:r>
      <w:r>
        <w:rPr/>
        <w:t>elegibilidade,</w:t>
      </w:r>
      <w:r>
        <w:rPr>
          <w:spacing w:val="-35"/>
        </w:rPr>
        <w:t> </w:t>
      </w:r>
      <w:r>
        <w:rPr/>
        <w:t>cálculo</w:t>
      </w:r>
      <w:r>
        <w:rPr>
          <w:spacing w:val="-34"/>
        </w:rPr>
        <w:t> </w:t>
      </w:r>
      <w:r>
        <w:rPr/>
        <w:t>e</w:t>
      </w:r>
      <w:r>
        <w:rPr>
          <w:spacing w:val="-35"/>
        </w:rPr>
        <w:t> </w:t>
      </w:r>
      <w:r>
        <w:rPr/>
        <w:t>reajuste</w:t>
      </w:r>
      <w:r>
        <w:rPr>
          <w:spacing w:val="-35"/>
        </w:rPr>
        <w:t> </w:t>
      </w:r>
      <w:r>
        <w:rPr/>
        <w:t>dos</w:t>
      </w:r>
      <w:r>
        <w:rPr>
          <w:spacing w:val="-33"/>
        </w:rPr>
        <w:t> </w:t>
      </w:r>
      <w:r>
        <w:rPr/>
        <w:t>benefícios</w:t>
      </w:r>
      <w:r>
        <w:rPr>
          <w:spacing w:val="-33"/>
        </w:rPr>
        <w:t> </w:t>
      </w:r>
      <w:r>
        <w:rPr/>
        <w:t>estão</w:t>
      </w:r>
      <w:r>
        <w:rPr>
          <w:spacing w:val="-35"/>
        </w:rPr>
        <w:t> </w:t>
      </w:r>
      <w:r>
        <w:rPr/>
        <w:t>apresentados</w:t>
      </w:r>
      <w:r>
        <w:rPr>
          <w:spacing w:val="-33"/>
        </w:rPr>
        <w:t> </w:t>
      </w:r>
      <w:r>
        <w:rPr/>
        <w:t>no</w:t>
      </w:r>
      <w:r>
        <w:rPr>
          <w:spacing w:val="-34"/>
        </w:rPr>
        <w:t> </w:t>
      </w:r>
      <w:r>
        <w:rPr/>
        <w:t>regulamento</w:t>
      </w:r>
      <w:r>
        <w:rPr>
          <w:spacing w:val="-33"/>
        </w:rPr>
        <w:t> </w:t>
      </w:r>
      <w:r>
        <w:rPr/>
        <w:t>do plano de</w:t>
      </w:r>
      <w:r>
        <w:rPr>
          <w:spacing w:val="-36"/>
        </w:rPr>
        <w:t> </w:t>
      </w:r>
      <w:r>
        <w:rPr/>
        <w:t>benefícios.</w:t>
      </w:r>
    </w:p>
    <w:p>
      <w:pPr>
        <w:pStyle w:val="BodyText"/>
        <w:spacing w:before="9"/>
      </w:pPr>
    </w:p>
    <w:p>
      <w:pPr>
        <w:pStyle w:val="BodyText"/>
        <w:spacing w:line="242" w:lineRule="auto"/>
        <w:ind w:left="172" w:right="408"/>
        <w:jc w:val="both"/>
      </w:pPr>
      <w:r>
        <w:rPr/>
        <w:t>O</w:t>
      </w:r>
      <w:r>
        <w:rPr>
          <w:spacing w:val="-28"/>
        </w:rPr>
        <w:t> </w:t>
      </w:r>
      <w:r>
        <w:rPr/>
        <w:t>plano</w:t>
      </w:r>
      <w:r>
        <w:rPr>
          <w:spacing w:val="-24"/>
        </w:rPr>
        <w:t> </w:t>
      </w:r>
      <w:r>
        <w:rPr/>
        <w:t>é</w:t>
      </w:r>
      <w:r>
        <w:rPr>
          <w:spacing w:val="-26"/>
        </w:rPr>
        <w:t> </w:t>
      </w:r>
      <w:r>
        <w:rPr/>
        <w:t>baseado</w:t>
      </w:r>
      <w:r>
        <w:rPr>
          <w:spacing w:val="-26"/>
        </w:rPr>
        <w:t> </w:t>
      </w:r>
      <w:r>
        <w:rPr/>
        <w:t>na</w:t>
      </w:r>
      <w:r>
        <w:rPr>
          <w:spacing w:val="-26"/>
        </w:rPr>
        <w:t> </w:t>
      </w:r>
      <w:r>
        <w:rPr/>
        <w:t>capitalização</w:t>
      </w:r>
      <w:r>
        <w:rPr>
          <w:spacing w:val="-26"/>
        </w:rPr>
        <w:t> </w:t>
      </w:r>
      <w:r>
        <w:rPr/>
        <w:t>individual</w:t>
      </w:r>
      <w:r>
        <w:rPr>
          <w:spacing w:val="-27"/>
        </w:rPr>
        <w:t> </w:t>
      </w:r>
      <w:r>
        <w:rPr/>
        <w:t>e</w:t>
      </w:r>
      <w:r>
        <w:rPr>
          <w:spacing w:val="-26"/>
        </w:rPr>
        <w:t> </w:t>
      </w:r>
      <w:r>
        <w:rPr/>
        <w:t>os</w:t>
      </w:r>
      <w:r>
        <w:rPr>
          <w:spacing w:val="-24"/>
        </w:rPr>
        <w:t> </w:t>
      </w:r>
      <w:r>
        <w:rPr/>
        <w:t>benefícios</w:t>
      </w:r>
      <w:r>
        <w:rPr>
          <w:spacing w:val="-27"/>
        </w:rPr>
        <w:t> </w:t>
      </w:r>
      <w:r>
        <w:rPr>
          <w:spacing w:val="2"/>
        </w:rPr>
        <w:t>são</w:t>
      </w:r>
      <w:r>
        <w:rPr>
          <w:spacing w:val="-27"/>
        </w:rPr>
        <w:t> </w:t>
      </w:r>
      <w:r>
        <w:rPr/>
        <w:t>calculados</w:t>
      </w:r>
      <w:r>
        <w:rPr>
          <w:spacing w:val="-27"/>
        </w:rPr>
        <w:t> </w:t>
      </w:r>
      <w:r>
        <w:rPr/>
        <w:t>em</w:t>
      </w:r>
      <w:r>
        <w:rPr>
          <w:spacing w:val="-25"/>
        </w:rPr>
        <w:t> </w:t>
      </w:r>
      <w:r>
        <w:rPr/>
        <w:t>função</w:t>
      </w:r>
      <w:r>
        <w:rPr>
          <w:spacing w:val="-27"/>
        </w:rPr>
        <w:t> </w:t>
      </w:r>
      <w:r>
        <w:rPr/>
        <w:t>dos</w:t>
      </w:r>
      <w:r>
        <w:rPr>
          <w:spacing w:val="-27"/>
        </w:rPr>
        <w:t> </w:t>
      </w:r>
      <w:r>
        <w:rPr/>
        <w:t>saldos</w:t>
      </w:r>
      <w:r>
        <w:rPr>
          <w:spacing w:val="-26"/>
        </w:rPr>
        <w:t> </w:t>
      </w:r>
      <w:r>
        <w:rPr/>
        <w:t>de</w:t>
      </w:r>
      <w:r>
        <w:rPr>
          <w:spacing w:val="-27"/>
        </w:rPr>
        <w:t> </w:t>
      </w:r>
      <w:r>
        <w:rPr/>
        <w:t>conta</w:t>
      </w:r>
      <w:r>
        <w:rPr>
          <w:spacing w:val="-24"/>
        </w:rPr>
        <w:t> </w:t>
      </w:r>
      <w:r>
        <w:rPr/>
        <w:t>e</w:t>
      </w:r>
      <w:r>
        <w:rPr>
          <w:spacing w:val="-26"/>
        </w:rPr>
        <w:t> </w:t>
      </w:r>
      <w:r>
        <w:rPr/>
        <w:t>pagos por</w:t>
      </w:r>
      <w:r>
        <w:rPr>
          <w:spacing w:val="-32"/>
        </w:rPr>
        <w:t> </w:t>
      </w:r>
      <w:r>
        <w:rPr/>
        <w:t>prazo</w:t>
      </w:r>
      <w:r>
        <w:rPr>
          <w:spacing w:val="-30"/>
        </w:rPr>
        <w:t> </w:t>
      </w:r>
      <w:r>
        <w:rPr/>
        <w:t>indeterminado</w:t>
      </w:r>
      <w:r>
        <w:rPr>
          <w:spacing w:val="-31"/>
        </w:rPr>
        <w:t> </w:t>
      </w:r>
      <w:r>
        <w:rPr/>
        <w:t>e</w:t>
      </w:r>
      <w:r>
        <w:rPr>
          <w:spacing w:val="-30"/>
        </w:rPr>
        <w:t> </w:t>
      </w:r>
      <w:r>
        <w:rPr/>
        <w:t>os</w:t>
      </w:r>
      <w:r>
        <w:rPr>
          <w:spacing w:val="-30"/>
        </w:rPr>
        <w:t> </w:t>
      </w:r>
      <w:r>
        <w:rPr/>
        <w:t>valores</w:t>
      </w:r>
      <w:r>
        <w:rPr>
          <w:spacing w:val="-30"/>
        </w:rPr>
        <w:t> </w:t>
      </w:r>
      <w:r>
        <w:rPr/>
        <w:t>são</w:t>
      </w:r>
      <w:r>
        <w:rPr>
          <w:spacing w:val="-31"/>
        </w:rPr>
        <w:t> </w:t>
      </w:r>
      <w:r>
        <w:rPr/>
        <w:t>definidos</w:t>
      </w:r>
      <w:r>
        <w:rPr>
          <w:spacing w:val="-30"/>
        </w:rPr>
        <w:t> </w:t>
      </w:r>
      <w:r>
        <w:rPr/>
        <w:t>em</w:t>
      </w:r>
      <w:r>
        <w:rPr>
          <w:spacing w:val="-30"/>
        </w:rPr>
        <w:t> </w:t>
      </w:r>
      <w:r>
        <w:rPr/>
        <w:t>quantidades</w:t>
      </w:r>
      <w:r>
        <w:rPr>
          <w:spacing w:val="-30"/>
        </w:rPr>
        <w:t> </w:t>
      </w:r>
      <w:r>
        <w:rPr/>
        <w:t>de</w:t>
      </w:r>
      <w:r>
        <w:rPr>
          <w:spacing w:val="-32"/>
        </w:rPr>
        <w:t> </w:t>
      </w:r>
      <w:r>
        <w:rPr/>
        <w:t>cotas,</w:t>
      </w:r>
      <w:r>
        <w:rPr>
          <w:spacing w:val="-30"/>
        </w:rPr>
        <w:t> </w:t>
      </w:r>
      <w:r>
        <w:rPr/>
        <w:t>os</w:t>
      </w:r>
      <w:r>
        <w:rPr>
          <w:spacing w:val="-31"/>
        </w:rPr>
        <w:t> </w:t>
      </w:r>
      <w:r>
        <w:rPr/>
        <w:t>quais</w:t>
      </w:r>
      <w:r>
        <w:rPr>
          <w:spacing w:val="-30"/>
        </w:rPr>
        <w:t> </w:t>
      </w:r>
      <w:r>
        <w:rPr/>
        <w:t>são</w:t>
      </w:r>
      <w:r>
        <w:rPr>
          <w:spacing w:val="-31"/>
        </w:rPr>
        <w:t> </w:t>
      </w:r>
      <w:r>
        <w:rPr/>
        <w:t>reajustados</w:t>
      </w:r>
      <w:r>
        <w:rPr>
          <w:spacing w:val="-30"/>
        </w:rPr>
        <w:t> </w:t>
      </w:r>
      <w:r>
        <w:rPr/>
        <w:t>em</w:t>
      </w:r>
      <w:r>
        <w:rPr>
          <w:spacing w:val="-30"/>
        </w:rPr>
        <w:t> </w:t>
      </w:r>
      <w:r>
        <w:rPr/>
        <w:t>função</w:t>
      </w:r>
      <w:r>
        <w:rPr>
          <w:spacing w:val="-31"/>
        </w:rPr>
        <w:t> </w:t>
      </w:r>
      <w:r>
        <w:rPr/>
        <w:t>da variação</w:t>
      </w:r>
      <w:r>
        <w:rPr>
          <w:spacing w:val="-48"/>
        </w:rPr>
        <w:t> </w:t>
      </w:r>
      <w:r>
        <w:rPr/>
        <w:t>no</w:t>
      </w:r>
      <w:r>
        <w:rPr>
          <w:spacing w:val="-47"/>
        </w:rPr>
        <w:t> </w:t>
      </w:r>
      <w:r>
        <w:rPr/>
        <w:t>valor</w:t>
      </w:r>
      <w:r>
        <w:rPr>
          <w:spacing w:val="-47"/>
        </w:rPr>
        <w:t> </w:t>
      </w:r>
      <w:r>
        <w:rPr/>
        <w:t>da</w:t>
      </w:r>
      <w:r>
        <w:rPr>
          <w:spacing w:val="-47"/>
        </w:rPr>
        <w:t> </w:t>
      </w:r>
      <w:r>
        <w:rPr/>
        <w:t>cota.</w:t>
      </w:r>
      <w:r>
        <w:rPr>
          <w:spacing w:val="-47"/>
        </w:rPr>
        <w:t> </w:t>
      </w:r>
      <w:r>
        <w:rPr/>
        <w:t>Os</w:t>
      </w:r>
      <w:r>
        <w:rPr>
          <w:spacing w:val="-47"/>
        </w:rPr>
        <w:t> </w:t>
      </w:r>
      <w:r>
        <w:rPr/>
        <w:t>benefícios</w:t>
      </w:r>
      <w:r>
        <w:rPr>
          <w:spacing w:val="-47"/>
        </w:rPr>
        <w:t> </w:t>
      </w:r>
      <w:r>
        <w:rPr/>
        <w:t>de</w:t>
      </w:r>
      <w:r>
        <w:rPr>
          <w:spacing w:val="-47"/>
        </w:rPr>
        <w:t> </w:t>
      </w:r>
      <w:r>
        <w:rPr/>
        <w:t>risco,</w:t>
      </w:r>
      <w:r>
        <w:rPr>
          <w:spacing w:val="-47"/>
        </w:rPr>
        <w:t> </w:t>
      </w:r>
      <w:r>
        <w:rPr/>
        <w:t>originados</w:t>
      </w:r>
      <w:r>
        <w:rPr>
          <w:spacing w:val="-47"/>
        </w:rPr>
        <w:t> </w:t>
      </w:r>
      <w:r>
        <w:rPr/>
        <w:t>de</w:t>
      </w:r>
      <w:r>
        <w:rPr>
          <w:spacing w:val="-47"/>
        </w:rPr>
        <w:t> </w:t>
      </w:r>
      <w:r>
        <w:rPr/>
        <w:t>eventos</w:t>
      </w:r>
      <w:r>
        <w:rPr>
          <w:spacing w:val="-47"/>
        </w:rPr>
        <w:t> </w:t>
      </w:r>
      <w:r>
        <w:rPr/>
        <w:t>de</w:t>
      </w:r>
      <w:r>
        <w:rPr>
          <w:spacing w:val="-47"/>
        </w:rPr>
        <w:t> </w:t>
      </w:r>
      <w:r>
        <w:rPr/>
        <w:t>invalidez</w:t>
      </w:r>
      <w:r>
        <w:rPr>
          <w:spacing w:val="-47"/>
        </w:rPr>
        <w:t> </w:t>
      </w:r>
      <w:r>
        <w:rPr/>
        <w:t>e</w:t>
      </w:r>
      <w:r>
        <w:rPr>
          <w:spacing w:val="-46"/>
        </w:rPr>
        <w:t> </w:t>
      </w:r>
      <w:r>
        <w:rPr/>
        <w:t>morte,</w:t>
      </w:r>
      <w:r>
        <w:rPr>
          <w:spacing w:val="-47"/>
        </w:rPr>
        <w:t> </w:t>
      </w:r>
      <w:r>
        <w:rPr/>
        <w:t>também</w:t>
      </w:r>
      <w:r>
        <w:rPr>
          <w:spacing w:val="-47"/>
        </w:rPr>
        <w:t> </w:t>
      </w:r>
      <w:r>
        <w:rPr/>
        <w:t>são</w:t>
      </w:r>
      <w:r>
        <w:rPr>
          <w:spacing w:val="-48"/>
        </w:rPr>
        <w:t> </w:t>
      </w:r>
      <w:r>
        <w:rPr/>
        <w:t>estruturados como</w:t>
      </w:r>
      <w:r>
        <w:rPr>
          <w:spacing w:val="-22"/>
        </w:rPr>
        <w:t> </w:t>
      </w:r>
      <w:r>
        <w:rPr/>
        <w:t>contribuição</w:t>
      </w:r>
      <w:r>
        <w:rPr>
          <w:spacing w:val="-22"/>
        </w:rPr>
        <w:t> </w:t>
      </w:r>
      <w:r>
        <w:rPr/>
        <w:t>definida,</w:t>
      </w:r>
      <w:r>
        <w:rPr>
          <w:spacing w:val="-18"/>
        </w:rPr>
        <w:t> </w:t>
      </w:r>
      <w:r>
        <w:rPr/>
        <w:t>não</w:t>
      </w:r>
      <w:r>
        <w:rPr>
          <w:spacing w:val="-22"/>
        </w:rPr>
        <w:t> </w:t>
      </w:r>
      <w:r>
        <w:rPr/>
        <w:t>existindo</w:t>
      </w:r>
      <w:r>
        <w:rPr>
          <w:spacing w:val="-19"/>
        </w:rPr>
        <w:t> </w:t>
      </w:r>
      <w:r>
        <w:rPr/>
        <w:t>qualquer</w:t>
      </w:r>
      <w:r>
        <w:rPr>
          <w:spacing w:val="-20"/>
        </w:rPr>
        <w:t> </w:t>
      </w:r>
      <w:r>
        <w:rPr/>
        <w:t>risco</w:t>
      </w:r>
      <w:r>
        <w:rPr>
          <w:spacing w:val="-19"/>
        </w:rPr>
        <w:t> </w:t>
      </w:r>
      <w:r>
        <w:rPr/>
        <w:t>para</w:t>
      </w:r>
      <w:r>
        <w:rPr>
          <w:spacing w:val="-20"/>
        </w:rPr>
        <w:t> </w:t>
      </w:r>
      <w:r>
        <w:rPr/>
        <w:t>as</w:t>
      </w:r>
      <w:r>
        <w:rPr>
          <w:spacing w:val="-21"/>
        </w:rPr>
        <w:t> </w:t>
      </w:r>
      <w:r>
        <w:rPr/>
        <w:t>patrocinadoras.</w:t>
      </w:r>
    </w:p>
    <w:p>
      <w:pPr>
        <w:pStyle w:val="BodyText"/>
        <w:spacing w:before="8"/>
      </w:pPr>
    </w:p>
    <w:p>
      <w:pPr>
        <w:pStyle w:val="BodyText"/>
        <w:ind w:left="172"/>
        <w:jc w:val="both"/>
      </w:pPr>
      <w:r>
        <w:rPr/>
        <w:t>O</w:t>
      </w:r>
      <w:r>
        <w:rPr>
          <w:spacing w:val="-33"/>
        </w:rPr>
        <w:t> </w:t>
      </w:r>
      <w:r>
        <w:rPr/>
        <w:t>custeio</w:t>
      </w:r>
      <w:r>
        <w:rPr>
          <w:spacing w:val="-32"/>
        </w:rPr>
        <w:t> </w:t>
      </w:r>
      <w:r>
        <w:rPr/>
        <w:t>dos</w:t>
      </w:r>
      <w:r>
        <w:rPr>
          <w:spacing w:val="-31"/>
        </w:rPr>
        <w:t> </w:t>
      </w:r>
      <w:r>
        <w:rPr/>
        <w:t>benefícios</w:t>
      </w:r>
      <w:r>
        <w:rPr>
          <w:spacing w:val="-31"/>
        </w:rPr>
        <w:t> </w:t>
      </w:r>
      <w:r>
        <w:rPr/>
        <w:t>é</w:t>
      </w:r>
      <w:r>
        <w:rPr>
          <w:spacing w:val="-31"/>
        </w:rPr>
        <w:t> </w:t>
      </w:r>
      <w:r>
        <w:rPr/>
        <w:t>feito</w:t>
      </w:r>
      <w:r>
        <w:rPr>
          <w:spacing w:val="-33"/>
        </w:rPr>
        <w:t> </w:t>
      </w:r>
      <w:r>
        <w:rPr/>
        <w:t>mediante</w:t>
      </w:r>
      <w:r>
        <w:rPr>
          <w:spacing w:val="-32"/>
        </w:rPr>
        <w:t> </w:t>
      </w:r>
      <w:r>
        <w:rPr/>
        <w:t>contribuições</w:t>
      </w:r>
      <w:r>
        <w:rPr>
          <w:spacing w:val="-30"/>
        </w:rPr>
        <w:t> </w:t>
      </w:r>
      <w:r>
        <w:rPr/>
        <w:t>dos</w:t>
      </w:r>
      <w:r>
        <w:rPr>
          <w:spacing w:val="-32"/>
        </w:rPr>
        <w:t> </w:t>
      </w:r>
      <w:r>
        <w:rPr/>
        <w:t>participantes,</w:t>
      </w:r>
      <w:r>
        <w:rPr>
          <w:spacing w:val="-32"/>
        </w:rPr>
        <w:t> </w:t>
      </w:r>
      <w:r>
        <w:rPr/>
        <w:t>assistidos</w:t>
      </w:r>
      <w:r>
        <w:rPr>
          <w:spacing w:val="-31"/>
        </w:rPr>
        <w:t> </w:t>
      </w:r>
      <w:r>
        <w:rPr/>
        <w:t>e</w:t>
      </w:r>
      <w:r>
        <w:rPr>
          <w:spacing w:val="-31"/>
        </w:rPr>
        <w:t> </w:t>
      </w:r>
      <w:r>
        <w:rPr/>
        <w:t>das</w:t>
      </w:r>
      <w:r>
        <w:rPr>
          <w:spacing w:val="-31"/>
        </w:rPr>
        <w:t> </w:t>
      </w:r>
      <w:r>
        <w:rPr/>
        <w:t>patrocinadoras</w:t>
      </w:r>
      <w:r>
        <w:rPr>
          <w:spacing w:val="-32"/>
        </w:rPr>
        <w:t> </w:t>
      </w:r>
      <w:r>
        <w:rPr/>
        <w:t>do</w:t>
      </w:r>
      <w:r>
        <w:rPr>
          <w:spacing w:val="-32"/>
        </w:rPr>
        <w:t> </w:t>
      </w:r>
      <w:r>
        <w:rPr/>
        <w:t>plano.</w:t>
      </w:r>
    </w:p>
    <w:p>
      <w:pPr>
        <w:pStyle w:val="BodyText"/>
        <w:spacing w:before="7"/>
      </w:pPr>
    </w:p>
    <w:p>
      <w:pPr>
        <w:pStyle w:val="Heading5"/>
        <w:numPr>
          <w:ilvl w:val="2"/>
          <w:numId w:val="32"/>
        </w:numPr>
        <w:tabs>
          <w:tab w:pos="1026" w:val="left" w:leader="none"/>
        </w:tabs>
        <w:spacing w:line="240" w:lineRule="auto" w:before="0" w:after="0"/>
        <w:ind w:left="1025" w:right="0" w:hanging="854"/>
        <w:jc w:val="left"/>
      </w:pPr>
      <w:r>
        <w:rPr/>
        <w:t>Plano de Saúde</w:t>
      </w:r>
      <w:r>
        <w:rPr>
          <w:spacing w:val="-2"/>
        </w:rPr>
        <w:t> </w:t>
      </w:r>
      <w:r>
        <w:rPr/>
        <w:t>CEB-Assistencial</w:t>
      </w:r>
    </w:p>
    <w:p>
      <w:pPr>
        <w:pStyle w:val="BodyText"/>
        <w:rPr>
          <w:rFonts w:ascii="Caladea"/>
          <w:b/>
          <w:sz w:val="24"/>
        </w:rPr>
      </w:pPr>
    </w:p>
    <w:p>
      <w:pPr>
        <w:pStyle w:val="BodyText"/>
        <w:spacing w:line="242" w:lineRule="auto" w:before="1"/>
        <w:ind w:left="172" w:right="413"/>
        <w:jc w:val="both"/>
      </w:pPr>
      <w:r>
        <w:rPr/>
        <w:t>Este</w:t>
      </w:r>
      <w:r>
        <w:rPr>
          <w:spacing w:val="-7"/>
        </w:rPr>
        <w:t> </w:t>
      </w:r>
      <w:r>
        <w:rPr/>
        <w:t>plano</w:t>
      </w:r>
      <w:r>
        <w:rPr>
          <w:spacing w:val="-4"/>
        </w:rPr>
        <w:t> </w:t>
      </w:r>
      <w:r>
        <w:rPr/>
        <w:t>é</w:t>
      </w:r>
      <w:r>
        <w:rPr>
          <w:spacing w:val="-7"/>
        </w:rPr>
        <w:t> </w:t>
      </w:r>
      <w:r>
        <w:rPr/>
        <w:t>administrado</w:t>
      </w:r>
      <w:r>
        <w:rPr>
          <w:spacing w:val="-4"/>
        </w:rPr>
        <w:t> </w:t>
      </w:r>
      <w:r>
        <w:rPr/>
        <w:t>pela</w:t>
      </w:r>
      <w:r>
        <w:rPr>
          <w:spacing w:val="-4"/>
        </w:rPr>
        <w:t> </w:t>
      </w:r>
      <w:r>
        <w:rPr/>
        <w:t>FACEB</w:t>
      </w:r>
      <w:r>
        <w:rPr>
          <w:spacing w:val="-6"/>
        </w:rPr>
        <w:t> </w:t>
      </w:r>
      <w:r>
        <w:rPr/>
        <w:t>como</w:t>
      </w:r>
      <w:r>
        <w:rPr>
          <w:spacing w:val="-6"/>
        </w:rPr>
        <w:t> </w:t>
      </w:r>
      <w:r>
        <w:rPr/>
        <w:t>uma</w:t>
      </w:r>
      <w:r>
        <w:rPr>
          <w:spacing w:val="-5"/>
        </w:rPr>
        <w:t> </w:t>
      </w:r>
      <w:r>
        <w:rPr/>
        <w:t>autogestão,</w:t>
      </w:r>
      <w:r>
        <w:rPr>
          <w:spacing w:val="-4"/>
        </w:rPr>
        <w:t> </w:t>
      </w:r>
      <w:r>
        <w:rPr/>
        <w:t>estando</w:t>
      </w:r>
      <w:r>
        <w:rPr>
          <w:spacing w:val="-4"/>
        </w:rPr>
        <w:t> </w:t>
      </w:r>
      <w:r>
        <w:rPr/>
        <w:t>registrado</w:t>
      </w:r>
      <w:r>
        <w:rPr>
          <w:spacing w:val="-4"/>
        </w:rPr>
        <w:t> </w:t>
      </w:r>
      <w:r>
        <w:rPr/>
        <w:t>na</w:t>
      </w:r>
      <w:r>
        <w:rPr>
          <w:spacing w:val="-5"/>
        </w:rPr>
        <w:t> </w:t>
      </w:r>
      <w:r>
        <w:rPr/>
        <w:t>Agência</w:t>
      </w:r>
      <w:r>
        <w:rPr>
          <w:spacing w:val="-5"/>
        </w:rPr>
        <w:t> </w:t>
      </w:r>
      <w:r>
        <w:rPr/>
        <w:t>Nacional</w:t>
      </w:r>
      <w:r>
        <w:rPr>
          <w:spacing w:val="-4"/>
        </w:rPr>
        <w:t> </w:t>
      </w:r>
      <w:r>
        <w:rPr/>
        <w:t>de</w:t>
      </w:r>
      <w:r>
        <w:rPr>
          <w:spacing w:val="-5"/>
        </w:rPr>
        <w:t> </w:t>
      </w:r>
      <w:r>
        <w:rPr/>
        <w:t>Saúde Suplementar (ANS). Participam do plano os empregados ativos e aqueles vinculados ao programa de demissão voluntária</w:t>
      </w:r>
      <w:r>
        <w:rPr>
          <w:spacing w:val="-46"/>
        </w:rPr>
        <w:t> </w:t>
      </w:r>
      <w:r>
        <w:rPr/>
        <w:t>da</w:t>
      </w:r>
      <w:r>
        <w:rPr>
          <w:spacing w:val="-46"/>
        </w:rPr>
        <w:t> </w:t>
      </w:r>
      <w:r>
        <w:rPr/>
        <w:t>CEB,</w:t>
      </w:r>
      <w:r>
        <w:rPr>
          <w:spacing w:val="-45"/>
        </w:rPr>
        <w:t> </w:t>
      </w:r>
      <w:r>
        <w:rPr/>
        <w:t>bem</w:t>
      </w:r>
      <w:r>
        <w:rPr>
          <w:spacing w:val="-47"/>
        </w:rPr>
        <w:t> </w:t>
      </w:r>
      <w:r>
        <w:rPr/>
        <w:t>como</w:t>
      </w:r>
      <w:r>
        <w:rPr>
          <w:spacing w:val="-47"/>
        </w:rPr>
        <w:t> </w:t>
      </w:r>
      <w:r>
        <w:rPr/>
        <w:t>os</w:t>
      </w:r>
      <w:r>
        <w:rPr>
          <w:spacing w:val="-45"/>
        </w:rPr>
        <w:t> </w:t>
      </w:r>
      <w:r>
        <w:rPr/>
        <w:t>dependentes</w:t>
      </w:r>
      <w:r>
        <w:rPr>
          <w:spacing w:val="-45"/>
        </w:rPr>
        <w:t> </w:t>
      </w:r>
      <w:r>
        <w:rPr/>
        <w:t>desses</w:t>
      </w:r>
      <w:r>
        <w:rPr>
          <w:spacing w:val="-45"/>
        </w:rPr>
        <w:t> </w:t>
      </w:r>
      <w:r>
        <w:rPr/>
        <w:t>grupos,</w:t>
      </w:r>
      <w:r>
        <w:rPr>
          <w:spacing w:val="-45"/>
        </w:rPr>
        <w:t> </w:t>
      </w:r>
      <w:r>
        <w:rPr/>
        <w:t>tendo</w:t>
      </w:r>
      <w:r>
        <w:rPr>
          <w:spacing w:val="-46"/>
        </w:rPr>
        <w:t> </w:t>
      </w:r>
      <w:r>
        <w:rPr/>
        <w:t>ainda</w:t>
      </w:r>
      <w:r>
        <w:rPr>
          <w:spacing w:val="-47"/>
        </w:rPr>
        <w:t> </w:t>
      </w:r>
      <w:r>
        <w:rPr/>
        <w:t>direito</w:t>
      </w:r>
      <w:r>
        <w:rPr>
          <w:spacing w:val="-46"/>
        </w:rPr>
        <w:t> </w:t>
      </w:r>
      <w:r>
        <w:rPr/>
        <w:t>à</w:t>
      </w:r>
      <w:r>
        <w:rPr>
          <w:spacing w:val="-45"/>
        </w:rPr>
        <w:t> </w:t>
      </w:r>
      <w:r>
        <w:rPr/>
        <w:t>remissão</w:t>
      </w:r>
      <w:r>
        <w:rPr>
          <w:spacing w:val="-47"/>
        </w:rPr>
        <w:t> </w:t>
      </w:r>
      <w:r>
        <w:rPr/>
        <w:t>o</w:t>
      </w:r>
      <w:r>
        <w:rPr>
          <w:spacing w:val="-46"/>
        </w:rPr>
        <w:t> </w:t>
      </w:r>
      <w:r>
        <w:rPr/>
        <w:t>cônjuge</w:t>
      </w:r>
      <w:r>
        <w:rPr>
          <w:spacing w:val="-45"/>
        </w:rPr>
        <w:t> </w:t>
      </w:r>
      <w:r>
        <w:rPr/>
        <w:t>ou</w:t>
      </w:r>
      <w:r>
        <w:rPr>
          <w:spacing w:val="-46"/>
        </w:rPr>
        <w:t> </w:t>
      </w:r>
      <w:r>
        <w:rPr/>
        <w:t>companheiro após</w:t>
      </w:r>
      <w:r>
        <w:rPr>
          <w:spacing w:val="-18"/>
        </w:rPr>
        <w:t> </w:t>
      </w:r>
      <w:r>
        <w:rPr/>
        <w:t>o</w:t>
      </w:r>
      <w:r>
        <w:rPr>
          <w:spacing w:val="-19"/>
        </w:rPr>
        <w:t> </w:t>
      </w:r>
      <w:r>
        <w:rPr/>
        <w:t>falecimento</w:t>
      </w:r>
      <w:r>
        <w:rPr>
          <w:spacing w:val="-17"/>
        </w:rPr>
        <w:t> </w:t>
      </w:r>
      <w:r>
        <w:rPr/>
        <w:t>do</w:t>
      </w:r>
      <w:r>
        <w:rPr>
          <w:spacing w:val="-19"/>
        </w:rPr>
        <w:t> </w:t>
      </w:r>
      <w:r>
        <w:rPr/>
        <w:t>titular.</w:t>
      </w:r>
    </w:p>
    <w:p>
      <w:pPr>
        <w:pStyle w:val="BodyText"/>
        <w:spacing w:before="7"/>
      </w:pPr>
    </w:p>
    <w:p>
      <w:pPr>
        <w:pStyle w:val="BodyText"/>
        <w:spacing w:before="1"/>
        <w:ind w:left="172"/>
        <w:jc w:val="both"/>
      </w:pPr>
      <w:r>
        <w:rPr/>
        <w:t>As</w:t>
      </w:r>
      <w:r>
        <w:rPr>
          <w:spacing w:val="-34"/>
        </w:rPr>
        <w:t> </w:t>
      </w:r>
      <w:r>
        <w:rPr/>
        <w:t>coberturas</w:t>
      </w:r>
      <w:r>
        <w:rPr>
          <w:spacing w:val="-32"/>
        </w:rPr>
        <w:t> </w:t>
      </w:r>
      <w:r>
        <w:rPr/>
        <w:t>do</w:t>
      </w:r>
      <w:r>
        <w:rPr>
          <w:spacing w:val="-33"/>
        </w:rPr>
        <w:t> </w:t>
      </w:r>
      <w:r>
        <w:rPr/>
        <w:t>plano</w:t>
      </w:r>
      <w:r>
        <w:rPr>
          <w:spacing w:val="-34"/>
        </w:rPr>
        <w:t> </w:t>
      </w:r>
      <w:r>
        <w:rPr/>
        <w:t>permitem</w:t>
      </w:r>
      <w:r>
        <w:rPr>
          <w:spacing w:val="-33"/>
        </w:rPr>
        <w:t> </w:t>
      </w:r>
      <w:r>
        <w:rPr/>
        <w:t>enquadrá-lo</w:t>
      </w:r>
      <w:r>
        <w:rPr>
          <w:spacing w:val="-34"/>
        </w:rPr>
        <w:t> </w:t>
      </w:r>
      <w:r>
        <w:rPr/>
        <w:t>na</w:t>
      </w:r>
      <w:r>
        <w:rPr>
          <w:spacing w:val="-34"/>
        </w:rPr>
        <w:t> </w:t>
      </w:r>
      <w:r>
        <w:rPr/>
        <w:t>segmentação</w:t>
      </w:r>
      <w:r>
        <w:rPr>
          <w:spacing w:val="-34"/>
        </w:rPr>
        <w:t> </w:t>
      </w:r>
      <w:r>
        <w:rPr/>
        <w:t>assistencial</w:t>
      </w:r>
      <w:r>
        <w:rPr>
          <w:spacing w:val="-33"/>
        </w:rPr>
        <w:t> </w:t>
      </w:r>
      <w:r>
        <w:rPr/>
        <w:t>hospitalar</w:t>
      </w:r>
      <w:r>
        <w:rPr>
          <w:spacing w:val="-34"/>
        </w:rPr>
        <w:t> </w:t>
      </w:r>
      <w:r>
        <w:rPr/>
        <w:t>com</w:t>
      </w:r>
      <w:r>
        <w:rPr>
          <w:spacing w:val="-34"/>
        </w:rPr>
        <w:t> </w:t>
      </w:r>
      <w:r>
        <w:rPr/>
        <w:t>obstetrícia</w:t>
      </w:r>
      <w:r>
        <w:rPr>
          <w:spacing w:val="-34"/>
        </w:rPr>
        <w:t> </w:t>
      </w:r>
      <w:r>
        <w:rPr/>
        <w:t>e</w:t>
      </w:r>
      <w:r>
        <w:rPr>
          <w:spacing w:val="-33"/>
        </w:rPr>
        <w:t> </w:t>
      </w:r>
      <w:r>
        <w:rPr/>
        <w:t>odontologia.</w:t>
      </w:r>
    </w:p>
    <w:p>
      <w:pPr>
        <w:pStyle w:val="BodyText"/>
        <w:spacing w:before="8"/>
      </w:pPr>
    </w:p>
    <w:p>
      <w:pPr>
        <w:pStyle w:val="BodyText"/>
        <w:spacing w:line="242" w:lineRule="auto"/>
        <w:ind w:left="172" w:right="415"/>
        <w:jc w:val="both"/>
      </w:pPr>
      <w:r>
        <w:rPr/>
        <w:t>O</w:t>
      </w:r>
      <w:r>
        <w:rPr>
          <w:spacing w:val="-28"/>
        </w:rPr>
        <w:t> </w:t>
      </w:r>
      <w:r>
        <w:rPr/>
        <w:t>custeio</w:t>
      </w:r>
      <w:r>
        <w:rPr>
          <w:spacing w:val="-27"/>
        </w:rPr>
        <w:t> </w:t>
      </w:r>
      <w:r>
        <w:rPr/>
        <w:t>do</w:t>
      </w:r>
      <w:r>
        <w:rPr>
          <w:spacing w:val="-27"/>
        </w:rPr>
        <w:t> </w:t>
      </w:r>
      <w:r>
        <w:rPr/>
        <w:t>plano</w:t>
      </w:r>
      <w:r>
        <w:rPr>
          <w:spacing w:val="-25"/>
        </w:rPr>
        <w:t> </w:t>
      </w:r>
      <w:r>
        <w:rPr/>
        <w:t>é</w:t>
      </w:r>
      <w:r>
        <w:rPr>
          <w:spacing w:val="-28"/>
        </w:rPr>
        <w:t> </w:t>
      </w:r>
      <w:r>
        <w:rPr/>
        <w:t>feito</w:t>
      </w:r>
      <w:r>
        <w:rPr>
          <w:spacing w:val="-26"/>
        </w:rPr>
        <w:t> </w:t>
      </w:r>
      <w:r>
        <w:rPr/>
        <w:t>mediante</w:t>
      </w:r>
      <w:r>
        <w:rPr>
          <w:spacing w:val="-26"/>
        </w:rPr>
        <w:t> </w:t>
      </w:r>
      <w:r>
        <w:rPr/>
        <w:t>o</w:t>
      </w:r>
      <w:r>
        <w:rPr>
          <w:spacing w:val="-26"/>
        </w:rPr>
        <w:t> </w:t>
      </w:r>
      <w:r>
        <w:rPr/>
        <w:t>pagamento</w:t>
      </w:r>
      <w:r>
        <w:rPr>
          <w:spacing w:val="-26"/>
        </w:rPr>
        <w:t> </w:t>
      </w:r>
      <w:r>
        <w:rPr/>
        <w:t>de</w:t>
      </w:r>
      <w:r>
        <w:rPr>
          <w:spacing w:val="-27"/>
        </w:rPr>
        <w:t> </w:t>
      </w:r>
      <w:r>
        <w:rPr/>
        <w:t>coparticipação</w:t>
      </w:r>
      <w:r>
        <w:rPr>
          <w:spacing w:val="-27"/>
        </w:rPr>
        <w:t> </w:t>
      </w:r>
      <w:r>
        <w:rPr/>
        <w:t>pelos</w:t>
      </w:r>
      <w:r>
        <w:rPr>
          <w:spacing w:val="-27"/>
        </w:rPr>
        <w:t> </w:t>
      </w:r>
      <w:r>
        <w:rPr/>
        <w:t>usuários,</w:t>
      </w:r>
      <w:r>
        <w:rPr>
          <w:spacing w:val="-25"/>
        </w:rPr>
        <w:t> </w:t>
      </w:r>
      <w:r>
        <w:rPr/>
        <w:t>no</w:t>
      </w:r>
      <w:r>
        <w:rPr>
          <w:spacing w:val="-26"/>
        </w:rPr>
        <w:t> </w:t>
      </w:r>
      <w:r>
        <w:rPr/>
        <w:t>momento</w:t>
      </w:r>
      <w:r>
        <w:rPr>
          <w:spacing w:val="-25"/>
        </w:rPr>
        <w:t> </w:t>
      </w:r>
      <w:r>
        <w:rPr/>
        <w:t>em</w:t>
      </w:r>
      <w:r>
        <w:rPr>
          <w:spacing w:val="-26"/>
        </w:rPr>
        <w:t> </w:t>
      </w:r>
      <w:r>
        <w:rPr/>
        <w:t>que</w:t>
      </w:r>
      <w:r>
        <w:rPr>
          <w:spacing w:val="-28"/>
        </w:rPr>
        <w:t> </w:t>
      </w:r>
      <w:r>
        <w:rPr/>
        <w:t>utilizam</w:t>
      </w:r>
      <w:r>
        <w:rPr>
          <w:spacing w:val="-26"/>
        </w:rPr>
        <w:t> </w:t>
      </w:r>
      <w:r>
        <w:rPr/>
        <w:t>o plano,</w:t>
      </w:r>
      <w:r>
        <w:rPr>
          <w:spacing w:val="-34"/>
        </w:rPr>
        <w:t> </w:t>
      </w:r>
      <w:r>
        <w:rPr/>
        <w:t>cujos</w:t>
      </w:r>
      <w:r>
        <w:rPr>
          <w:spacing w:val="-34"/>
        </w:rPr>
        <w:t> </w:t>
      </w:r>
      <w:r>
        <w:rPr/>
        <w:t>percentuais</w:t>
      </w:r>
      <w:r>
        <w:rPr>
          <w:spacing w:val="-34"/>
        </w:rPr>
        <w:t> </w:t>
      </w:r>
      <w:r>
        <w:rPr/>
        <w:t>são</w:t>
      </w:r>
      <w:r>
        <w:rPr>
          <w:spacing w:val="-32"/>
        </w:rPr>
        <w:t> </w:t>
      </w:r>
      <w:r>
        <w:rPr/>
        <w:t>definidos</w:t>
      </w:r>
      <w:r>
        <w:rPr>
          <w:spacing w:val="-33"/>
        </w:rPr>
        <w:t> </w:t>
      </w:r>
      <w:r>
        <w:rPr/>
        <w:t>no</w:t>
      </w:r>
      <w:r>
        <w:rPr>
          <w:spacing w:val="-33"/>
        </w:rPr>
        <w:t> </w:t>
      </w:r>
      <w:r>
        <w:rPr/>
        <w:t>respectivo</w:t>
      </w:r>
      <w:r>
        <w:rPr>
          <w:spacing w:val="-33"/>
        </w:rPr>
        <w:t> </w:t>
      </w:r>
      <w:r>
        <w:rPr/>
        <w:t>regulamento,</w:t>
      </w:r>
      <w:r>
        <w:rPr>
          <w:spacing w:val="-33"/>
        </w:rPr>
        <w:t> </w:t>
      </w:r>
      <w:r>
        <w:rPr/>
        <w:t>ficando</w:t>
      </w:r>
      <w:r>
        <w:rPr>
          <w:spacing w:val="-34"/>
        </w:rPr>
        <w:t> </w:t>
      </w:r>
      <w:r>
        <w:rPr/>
        <w:t>a</w:t>
      </w:r>
      <w:r>
        <w:rPr>
          <w:spacing w:val="-33"/>
        </w:rPr>
        <w:t> </w:t>
      </w:r>
      <w:r>
        <w:rPr/>
        <w:t>patrocinadora</w:t>
      </w:r>
      <w:r>
        <w:rPr>
          <w:spacing w:val="-33"/>
        </w:rPr>
        <w:t> </w:t>
      </w:r>
      <w:r>
        <w:rPr/>
        <w:t>com</w:t>
      </w:r>
      <w:r>
        <w:rPr>
          <w:spacing w:val="-34"/>
        </w:rPr>
        <w:t> </w:t>
      </w:r>
      <w:r>
        <w:rPr/>
        <w:t>a</w:t>
      </w:r>
      <w:r>
        <w:rPr>
          <w:spacing w:val="-33"/>
        </w:rPr>
        <w:t> </w:t>
      </w:r>
      <w:r>
        <w:rPr/>
        <w:t>responsabilidade por</w:t>
      </w:r>
      <w:r>
        <w:rPr>
          <w:spacing w:val="-23"/>
        </w:rPr>
        <w:t> </w:t>
      </w:r>
      <w:r>
        <w:rPr/>
        <w:t>complementar</w:t>
      </w:r>
      <w:r>
        <w:rPr>
          <w:spacing w:val="-19"/>
        </w:rPr>
        <w:t> </w:t>
      </w:r>
      <w:r>
        <w:rPr/>
        <w:t>os</w:t>
      </w:r>
      <w:r>
        <w:rPr>
          <w:spacing w:val="-20"/>
        </w:rPr>
        <w:t> </w:t>
      </w:r>
      <w:r>
        <w:rPr/>
        <w:t>pagamentos</w:t>
      </w:r>
      <w:r>
        <w:rPr>
          <w:spacing w:val="-20"/>
        </w:rPr>
        <w:t> </w:t>
      </w:r>
      <w:r>
        <w:rPr/>
        <w:t>dos</w:t>
      </w:r>
      <w:r>
        <w:rPr>
          <w:spacing w:val="-21"/>
        </w:rPr>
        <w:t> </w:t>
      </w:r>
      <w:r>
        <w:rPr/>
        <w:t>usuários</w:t>
      </w:r>
      <w:r>
        <w:rPr>
          <w:spacing w:val="-20"/>
        </w:rPr>
        <w:t> </w:t>
      </w:r>
      <w:r>
        <w:rPr/>
        <w:t>de</w:t>
      </w:r>
      <w:r>
        <w:rPr>
          <w:spacing w:val="-22"/>
        </w:rPr>
        <w:t> </w:t>
      </w:r>
      <w:r>
        <w:rPr/>
        <w:t>forma</w:t>
      </w:r>
      <w:r>
        <w:rPr>
          <w:spacing w:val="-16"/>
        </w:rPr>
        <w:t> </w:t>
      </w:r>
      <w:r>
        <w:rPr/>
        <w:t>a</w:t>
      </w:r>
      <w:r>
        <w:rPr>
          <w:spacing w:val="-20"/>
        </w:rPr>
        <w:t> </w:t>
      </w:r>
      <w:r>
        <w:rPr/>
        <w:t>custear</w:t>
      </w:r>
      <w:r>
        <w:rPr>
          <w:spacing w:val="-21"/>
        </w:rPr>
        <w:t> </w:t>
      </w:r>
      <w:r>
        <w:rPr/>
        <w:t>as</w:t>
      </w:r>
      <w:r>
        <w:rPr>
          <w:spacing w:val="-20"/>
        </w:rPr>
        <w:t> </w:t>
      </w:r>
      <w:r>
        <w:rPr/>
        <w:t>despesas</w:t>
      </w:r>
      <w:r>
        <w:rPr>
          <w:spacing w:val="-21"/>
        </w:rPr>
        <w:t> </w:t>
      </w:r>
      <w:r>
        <w:rPr/>
        <w:t>do</w:t>
      </w:r>
      <w:r>
        <w:rPr>
          <w:spacing w:val="-21"/>
        </w:rPr>
        <w:t> </w:t>
      </w:r>
      <w:r>
        <w:rPr/>
        <w:t>plano.</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2"/>
          <w:numId w:val="32"/>
        </w:numPr>
        <w:tabs>
          <w:tab w:pos="1026" w:val="left" w:leader="none"/>
        </w:tabs>
        <w:spacing w:line="240" w:lineRule="auto" w:before="14" w:after="0"/>
        <w:ind w:left="1025" w:right="0" w:hanging="854"/>
        <w:jc w:val="left"/>
      </w:pPr>
      <w:r>
        <w:rPr/>
        <w:t>Plano de Saúde</w:t>
      </w:r>
      <w:r>
        <w:rPr>
          <w:spacing w:val="-2"/>
        </w:rPr>
        <w:t> </w:t>
      </w:r>
      <w:r>
        <w:rPr/>
        <w:t>CEB-Saúde</w:t>
      </w:r>
    </w:p>
    <w:p>
      <w:pPr>
        <w:pStyle w:val="BodyText"/>
        <w:spacing w:before="1"/>
        <w:rPr>
          <w:rFonts w:ascii="Caladea"/>
          <w:b/>
          <w:sz w:val="24"/>
        </w:rPr>
      </w:pPr>
    </w:p>
    <w:p>
      <w:pPr>
        <w:pStyle w:val="BodyText"/>
        <w:spacing w:line="242" w:lineRule="auto"/>
        <w:ind w:left="172" w:right="406"/>
        <w:jc w:val="both"/>
      </w:pPr>
      <w:r>
        <w:rPr/>
        <w:t>O</w:t>
      </w:r>
      <w:r>
        <w:rPr>
          <w:spacing w:val="-8"/>
        </w:rPr>
        <w:t> </w:t>
      </w:r>
      <w:r>
        <w:rPr/>
        <w:t>plano</w:t>
      </w:r>
      <w:r>
        <w:rPr>
          <w:spacing w:val="-5"/>
        </w:rPr>
        <w:t> </w:t>
      </w:r>
      <w:r>
        <w:rPr/>
        <w:t>CEB-Saúde</w:t>
      </w:r>
      <w:r>
        <w:rPr>
          <w:spacing w:val="-6"/>
        </w:rPr>
        <w:t> </w:t>
      </w:r>
      <w:r>
        <w:rPr/>
        <w:t>também</w:t>
      </w:r>
      <w:r>
        <w:rPr>
          <w:spacing w:val="-7"/>
        </w:rPr>
        <w:t> </w:t>
      </w:r>
      <w:r>
        <w:rPr/>
        <w:t>é</w:t>
      </w:r>
      <w:r>
        <w:rPr>
          <w:spacing w:val="-6"/>
        </w:rPr>
        <w:t> </w:t>
      </w:r>
      <w:r>
        <w:rPr/>
        <w:t>administrado</w:t>
      </w:r>
      <w:r>
        <w:rPr>
          <w:spacing w:val="-8"/>
        </w:rPr>
        <w:t> </w:t>
      </w:r>
      <w:r>
        <w:rPr/>
        <w:t>pela</w:t>
      </w:r>
      <w:r>
        <w:rPr>
          <w:spacing w:val="-6"/>
        </w:rPr>
        <w:t> </w:t>
      </w:r>
      <w:r>
        <w:rPr/>
        <w:t>FACEB</w:t>
      </w:r>
      <w:r>
        <w:rPr>
          <w:spacing w:val="-6"/>
        </w:rPr>
        <w:t> </w:t>
      </w:r>
      <w:r>
        <w:rPr/>
        <w:t>na</w:t>
      </w:r>
      <w:r>
        <w:rPr>
          <w:spacing w:val="-7"/>
        </w:rPr>
        <w:t> </w:t>
      </w:r>
      <w:r>
        <w:rPr/>
        <w:t>forma</w:t>
      </w:r>
      <w:r>
        <w:rPr>
          <w:spacing w:val="-4"/>
        </w:rPr>
        <w:t> </w:t>
      </w:r>
      <w:r>
        <w:rPr/>
        <w:t>de</w:t>
      </w:r>
      <w:r>
        <w:rPr>
          <w:spacing w:val="-6"/>
        </w:rPr>
        <w:t> </w:t>
      </w:r>
      <w:r>
        <w:rPr/>
        <w:t>autogestão,</w:t>
      </w:r>
      <w:r>
        <w:rPr>
          <w:spacing w:val="-6"/>
        </w:rPr>
        <w:t> </w:t>
      </w:r>
      <w:r>
        <w:rPr/>
        <w:t>estando</w:t>
      </w:r>
      <w:r>
        <w:rPr>
          <w:spacing w:val="-5"/>
        </w:rPr>
        <w:t> </w:t>
      </w:r>
      <w:r>
        <w:rPr/>
        <w:t>registrado</w:t>
      </w:r>
      <w:r>
        <w:rPr>
          <w:spacing w:val="-6"/>
        </w:rPr>
        <w:t> </w:t>
      </w:r>
      <w:r>
        <w:rPr/>
        <w:t>na</w:t>
      </w:r>
      <w:r>
        <w:rPr>
          <w:spacing w:val="-6"/>
        </w:rPr>
        <w:t> </w:t>
      </w:r>
      <w:r>
        <w:rPr/>
        <w:t>Agência Nacional</w:t>
      </w:r>
      <w:r>
        <w:rPr>
          <w:spacing w:val="-36"/>
        </w:rPr>
        <w:t> </w:t>
      </w:r>
      <w:r>
        <w:rPr/>
        <w:t>de</w:t>
      </w:r>
      <w:r>
        <w:rPr>
          <w:spacing w:val="-35"/>
        </w:rPr>
        <w:t> </w:t>
      </w:r>
      <w:r>
        <w:rPr/>
        <w:t>Saúde</w:t>
      </w:r>
      <w:r>
        <w:rPr>
          <w:spacing w:val="-36"/>
        </w:rPr>
        <w:t> </w:t>
      </w:r>
      <w:r>
        <w:rPr/>
        <w:t>Suplementar</w:t>
      </w:r>
      <w:r>
        <w:rPr>
          <w:spacing w:val="-36"/>
        </w:rPr>
        <w:t> </w:t>
      </w:r>
      <w:r>
        <w:rPr/>
        <w:t>(ANS).</w:t>
      </w:r>
      <w:r>
        <w:rPr>
          <w:spacing w:val="-35"/>
        </w:rPr>
        <w:t> </w:t>
      </w:r>
      <w:r>
        <w:rPr/>
        <w:t>Participam</w:t>
      </w:r>
      <w:r>
        <w:rPr>
          <w:spacing w:val="-34"/>
        </w:rPr>
        <w:t> </w:t>
      </w:r>
      <w:r>
        <w:rPr/>
        <w:t>do</w:t>
      </w:r>
      <w:r>
        <w:rPr>
          <w:spacing w:val="-35"/>
        </w:rPr>
        <w:t> </w:t>
      </w:r>
      <w:r>
        <w:rPr/>
        <w:t>plano</w:t>
      </w:r>
      <w:r>
        <w:rPr>
          <w:spacing w:val="-35"/>
        </w:rPr>
        <w:t> </w:t>
      </w:r>
      <w:r>
        <w:rPr/>
        <w:t>os</w:t>
      </w:r>
      <w:r>
        <w:rPr>
          <w:spacing w:val="-34"/>
        </w:rPr>
        <w:t> </w:t>
      </w:r>
      <w:r>
        <w:rPr/>
        <w:t>empregados</w:t>
      </w:r>
      <w:r>
        <w:rPr>
          <w:spacing w:val="-36"/>
        </w:rPr>
        <w:t> </w:t>
      </w:r>
      <w:r>
        <w:rPr/>
        <w:t>vinculados</w:t>
      </w:r>
      <w:r>
        <w:rPr>
          <w:spacing w:val="-35"/>
        </w:rPr>
        <w:t> </w:t>
      </w:r>
      <w:r>
        <w:rPr/>
        <w:t>a</w:t>
      </w:r>
      <w:r>
        <w:rPr>
          <w:spacing w:val="-36"/>
        </w:rPr>
        <w:t> </w:t>
      </w:r>
      <w:r>
        <w:rPr/>
        <w:t>qualquer</w:t>
      </w:r>
      <w:r>
        <w:rPr>
          <w:spacing w:val="-35"/>
        </w:rPr>
        <w:t> </w:t>
      </w:r>
      <w:r>
        <w:rPr/>
        <w:t>uma</w:t>
      </w:r>
      <w:r>
        <w:rPr>
          <w:spacing w:val="-33"/>
        </w:rPr>
        <w:t> </w:t>
      </w:r>
      <w:r>
        <w:rPr/>
        <w:t>das</w:t>
      </w:r>
      <w:r>
        <w:rPr>
          <w:spacing w:val="-34"/>
        </w:rPr>
        <w:t> </w:t>
      </w:r>
      <w:r>
        <w:rPr/>
        <w:t>empresas do</w:t>
      </w:r>
      <w:r>
        <w:rPr>
          <w:spacing w:val="-45"/>
        </w:rPr>
        <w:t> </w:t>
      </w:r>
      <w:r>
        <w:rPr/>
        <w:t>grupo</w:t>
      </w:r>
      <w:r>
        <w:rPr>
          <w:spacing w:val="-43"/>
        </w:rPr>
        <w:t> </w:t>
      </w:r>
      <w:r>
        <w:rPr/>
        <w:t>CEB,</w:t>
      </w:r>
      <w:r>
        <w:rPr>
          <w:spacing w:val="-44"/>
        </w:rPr>
        <w:t> </w:t>
      </w:r>
      <w:r>
        <w:rPr/>
        <w:t>denominadas</w:t>
      </w:r>
      <w:r>
        <w:rPr>
          <w:spacing w:val="-45"/>
        </w:rPr>
        <w:t> </w:t>
      </w:r>
      <w:r>
        <w:rPr/>
        <w:t>Associadas,</w:t>
      </w:r>
      <w:r>
        <w:rPr>
          <w:spacing w:val="-44"/>
        </w:rPr>
        <w:t> </w:t>
      </w:r>
      <w:r>
        <w:rPr/>
        <w:t>por</w:t>
      </w:r>
      <w:r>
        <w:rPr>
          <w:spacing w:val="-45"/>
        </w:rPr>
        <w:t> </w:t>
      </w:r>
      <w:r>
        <w:rPr/>
        <w:t>força</w:t>
      </w:r>
      <w:r>
        <w:rPr>
          <w:spacing w:val="-44"/>
        </w:rPr>
        <w:t> </w:t>
      </w:r>
      <w:r>
        <w:rPr/>
        <w:t>de</w:t>
      </w:r>
      <w:r>
        <w:rPr>
          <w:spacing w:val="-44"/>
        </w:rPr>
        <w:t> </w:t>
      </w:r>
      <w:r>
        <w:rPr/>
        <w:t>relação</w:t>
      </w:r>
      <w:r>
        <w:rPr>
          <w:spacing w:val="-44"/>
        </w:rPr>
        <w:t> </w:t>
      </w:r>
      <w:r>
        <w:rPr/>
        <w:t>contratual</w:t>
      </w:r>
      <w:r>
        <w:rPr>
          <w:spacing w:val="-44"/>
        </w:rPr>
        <w:t> </w:t>
      </w:r>
      <w:r>
        <w:rPr/>
        <w:t>ou</w:t>
      </w:r>
      <w:r>
        <w:rPr>
          <w:spacing w:val="-43"/>
        </w:rPr>
        <w:t> </w:t>
      </w:r>
      <w:r>
        <w:rPr/>
        <w:t>estatutária,</w:t>
      </w:r>
      <w:r>
        <w:rPr>
          <w:spacing w:val="-45"/>
        </w:rPr>
        <w:t> </w:t>
      </w:r>
      <w:r>
        <w:rPr/>
        <w:t>pensionistas,</w:t>
      </w:r>
      <w:r>
        <w:rPr>
          <w:spacing w:val="-44"/>
        </w:rPr>
        <w:t> </w:t>
      </w:r>
      <w:r>
        <w:rPr/>
        <w:t>ex-empregados ou</w:t>
      </w:r>
      <w:r>
        <w:rPr>
          <w:spacing w:val="-32"/>
        </w:rPr>
        <w:t> </w:t>
      </w:r>
      <w:r>
        <w:rPr/>
        <w:t>aposentados</w:t>
      </w:r>
      <w:r>
        <w:rPr>
          <w:spacing w:val="-29"/>
        </w:rPr>
        <w:t> </w:t>
      </w:r>
      <w:r>
        <w:rPr/>
        <w:t>que</w:t>
      </w:r>
      <w:r>
        <w:rPr>
          <w:spacing w:val="-31"/>
        </w:rPr>
        <w:t> </w:t>
      </w:r>
      <w:r>
        <w:rPr/>
        <w:t>tenham</w:t>
      </w:r>
      <w:r>
        <w:rPr>
          <w:spacing w:val="-28"/>
        </w:rPr>
        <w:t> </w:t>
      </w:r>
      <w:r>
        <w:rPr/>
        <w:t>sido</w:t>
      </w:r>
      <w:r>
        <w:rPr>
          <w:spacing w:val="-32"/>
        </w:rPr>
        <w:t> </w:t>
      </w:r>
      <w:r>
        <w:rPr/>
        <w:t>vinculados</w:t>
      </w:r>
      <w:r>
        <w:rPr>
          <w:spacing w:val="-30"/>
        </w:rPr>
        <w:t> </w:t>
      </w:r>
      <w:r>
        <w:rPr/>
        <w:t>às</w:t>
      </w:r>
      <w:r>
        <w:rPr>
          <w:spacing w:val="-31"/>
        </w:rPr>
        <w:t> </w:t>
      </w:r>
      <w:r>
        <w:rPr/>
        <w:t>Associadas,</w:t>
      </w:r>
      <w:r>
        <w:rPr>
          <w:spacing w:val="-31"/>
        </w:rPr>
        <w:t> </w:t>
      </w:r>
      <w:r>
        <w:rPr/>
        <w:t>ressalvando-se</w:t>
      </w:r>
      <w:r>
        <w:rPr>
          <w:spacing w:val="-32"/>
        </w:rPr>
        <w:t> </w:t>
      </w:r>
      <w:r>
        <w:rPr/>
        <w:t>o</w:t>
      </w:r>
      <w:r>
        <w:rPr>
          <w:spacing w:val="-30"/>
        </w:rPr>
        <w:t> </w:t>
      </w:r>
      <w:r>
        <w:rPr/>
        <w:t>disposto</w:t>
      </w:r>
      <w:r>
        <w:rPr>
          <w:spacing w:val="-30"/>
        </w:rPr>
        <w:t> </w:t>
      </w:r>
      <w:r>
        <w:rPr/>
        <w:t>no</w:t>
      </w:r>
      <w:r>
        <w:rPr>
          <w:spacing w:val="-32"/>
        </w:rPr>
        <w:t> </w:t>
      </w:r>
      <w:r>
        <w:rPr/>
        <w:t>caput</w:t>
      </w:r>
      <w:r>
        <w:rPr>
          <w:spacing w:val="-30"/>
        </w:rPr>
        <w:t> </w:t>
      </w:r>
      <w:r>
        <w:rPr/>
        <w:t>dos</w:t>
      </w:r>
      <w:r>
        <w:rPr>
          <w:spacing w:val="-29"/>
        </w:rPr>
        <w:t> </w:t>
      </w:r>
      <w:r>
        <w:rPr/>
        <w:t>artigos</w:t>
      </w:r>
      <w:r>
        <w:rPr>
          <w:spacing w:val="-30"/>
        </w:rPr>
        <w:t> </w:t>
      </w:r>
      <w:r>
        <w:rPr/>
        <w:t>30</w:t>
      </w:r>
      <w:r>
        <w:rPr>
          <w:spacing w:val="-28"/>
        </w:rPr>
        <w:t> </w:t>
      </w:r>
      <w:r>
        <w:rPr/>
        <w:t>e</w:t>
      </w:r>
      <w:r>
        <w:rPr>
          <w:spacing w:val="-32"/>
        </w:rPr>
        <w:t> </w:t>
      </w:r>
      <w:r>
        <w:rPr/>
        <w:t>31</w:t>
      </w:r>
      <w:r>
        <w:rPr>
          <w:spacing w:val="-28"/>
        </w:rPr>
        <w:t> </w:t>
      </w:r>
      <w:r>
        <w:rPr/>
        <w:t>da Lei</w:t>
      </w:r>
      <w:r>
        <w:rPr>
          <w:spacing w:val="-20"/>
        </w:rPr>
        <w:t> </w:t>
      </w:r>
      <w:r>
        <w:rPr/>
        <w:t>nº</w:t>
      </w:r>
      <w:r>
        <w:rPr>
          <w:spacing w:val="-15"/>
        </w:rPr>
        <w:t> </w:t>
      </w:r>
      <w:r>
        <w:rPr/>
        <w:t>9.656/98,</w:t>
      </w:r>
      <w:r>
        <w:rPr>
          <w:spacing w:val="-17"/>
        </w:rPr>
        <w:t> </w:t>
      </w:r>
      <w:r>
        <w:rPr/>
        <w:t>bem</w:t>
      </w:r>
      <w:r>
        <w:rPr>
          <w:spacing w:val="-17"/>
        </w:rPr>
        <w:t> </w:t>
      </w:r>
      <w:r>
        <w:rPr/>
        <w:t>como</w:t>
      </w:r>
      <w:r>
        <w:rPr>
          <w:spacing w:val="-15"/>
        </w:rPr>
        <w:t> </w:t>
      </w:r>
      <w:r>
        <w:rPr/>
        <w:t>os</w:t>
      </w:r>
      <w:r>
        <w:rPr>
          <w:spacing w:val="-18"/>
        </w:rPr>
        <w:t> </w:t>
      </w:r>
      <w:r>
        <w:rPr/>
        <w:t>respectivos</w:t>
      </w:r>
      <w:r>
        <w:rPr>
          <w:spacing w:val="-19"/>
        </w:rPr>
        <w:t> </w:t>
      </w:r>
      <w:r>
        <w:rPr/>
        <w:t>grupos</w:t>
      </w:r>
      <w:r>
        <w:rPr>
          <w:spacing w:val="-18"/>
        </w:rPr>
        <w:t> </w:t>
      </w:r>
      <w:r>
        <w:rPr/>
        <w:t>familiares.</w:t>
      </w:r>
    </w:p>
    <w:p>
      <w:pPr>
        <w:pStyle w:val="BodyText"/>
        <w:spacing w:before="6"/>
      </w:pPr>
    </w:p>
    <w:p>
      <w:pPr>
        <w:pStyle w:val="BodyText"/>
        <w:spacing w:line="242" w:lineRule="auto"/>
        <w:ind w:left="172" w:right="414"/>
        <w:jc w:val="both"/>
      </w:pPr>
      <w:r>
        <w:rPr/>
        <w:t>As coberturas do plano permitem enquadrá-lo na segmentação assistencial hospitalar com obstetrícia. Não há cobertura de odontologia.</w:t>
      </w:r>
    </w:p>
    <w:p>
      <w:pPr>
        <w:pStyle w:val="BodyText"/>
        <w:spacing w:before="9"/>
      </w:pPr>
    </w:p>
    <w:p>
      <w:pPr>
        <w:pStyle w:val="BodyText"/>
        <w:spacing w:line="242" w:lineRule="auto"/>
        <w:ind w:left="172" w:right="405"/>
        <w:jc w:val="both"/>
      </w:pPr>
      <w:r>
        <w:rPr/>
        <w:t>O</w:t>
      </w:r>
      <w:r>
        <w:rPr>
          <w:spacing w:val="-35"/>
        </w:rPr>
        <w:t> </w:t>
      </w:r>
      <w:r>
        <w:rPr/>
        <w:t>custeio</w:t>
      </w:r>
      <w:r>
        <w:rPr>
          <w:spacing w:val="-33"/>
        </w:rPr>
        <w:t> </w:t>
      </w:r>
      <w:r>
        <w:rPr/>
        <w:t>do</w:t>
      </w:r>
      <w:r>
        <w:rPr>
          <w:spacing w:val="-33"/>
        </w:rPr>
        <w:t> </w:t>
      </w:r>
      <w:r>
        <w:rPr/>
        <w:t>plano</w:t>
      </w:r>
      <w:r>
        <w:rPr>
          <w:spacing w:val="-32"/>
        </w:rPr>
        <w:t> </w:t>
      </w:r>
      <w:r>
        <w:rPr/>
        <w:t>é</w:t>
      </w:r>
      <w:r>
        <w:rPr>
          <w:spacing w:val="-34"/>
        </w:rPr>
        <w:t> </w:t>
      </w:r>
      <w:r>
        <w:rPr/>
        <w:t>feito</w:t>
      </w:r>
      <w:r>
        <w:rPr>
          <w:spacing w:val="-33"/>
        </w:rPr>
        <w:t> </w:t>
      </w:r>
      <w:r>
        <w:rPr/>
        <w:t>por</w:t>
      </w:r>
      <w:r>
        <w:rPr>
          <w:spacing w:val="-34"/>
        </w:rPr>
        <w:t> </w:t>
      </w:r>
      <w:r>
        <w:rPr/>
        <w:t>contribuições</w:t>
      </w:r>
      <w:r>
        <w:rPr>
          <w:spacing w:val="-33"/>
        </w:rPr>
        <w:t> </w:t>
      </w:r>
      <w:r>
        <w:rPr/>
        <w:t>e</w:t>
      </w:r>
      <w:r>
        <w:rPr>
          <w:spacing w:val="-34"/>
        </w:rPr>
        <w:t> </w:t>
      </w:r>
      <w:r>
        <w:rPr/>
        <w:t>coparticipações</w:t>
      </w:r>
      <w:r>
        <w:rPr>
          <w:spacing w:val="-33"/>
        </w:rPr>
        <w:t> </w:t>
      </w:r>
      <w:r>
        <w:rPr/>
        <w:t>dos</w:t>
      </w:r>
      <w:r>
        <w:rPr>
          <w:spacing w:val="-33"/>
        </w:rPr>
        <w:t> </w:t>
      </w:r>
      <w:r>
        <w:rPr/>
        <w:t>participantes</w:t>
      </w:r>
      <w:r>
        <w:rPr>
          <w:spacing w:val="-32"/>
        </w:rPr>
        <w:t> </w:t>
      </w:r>
      <w:r>
        <w:rPr/>
        <w:t>ativos,</w:t>
      </w:r>
      <w:r>
        <w:rPr>
          <w:spacing w:val="-34"/>
        </w:rPr>
        <w:t> </w:t>
      </w:r>
      <w:r>
        <w:rPr/>
        <w:t>aposentados</w:t>
      </w:r>
      <w:r>
        <w:rPr>
          <w:spacing w:val="-32"/>
        </w:rPr>
        <w:t> </w:t>
      </w:r>
      <w:r>
        <w:rPr/>
        <w:t>e</w:t>
      </w:r>
      <w:r>
        <w:rPr>
          <w:spacing w:val="-33"/>
        </w:rPr>
        <w:t> </w:t>
      </w:r>
      <w:r>
        <w:rPr/>
        <w:t>pensionistas, bem</w:t>
      </w:r>
      <w:r>
        <w:rPr>
          <w:spacing w:val="-28"/>
        </w:rPr>
        <w:t> </w:t>
      </w:r>
      <w:r>
        <w:rPr/>
        <w:t>como</w:t>
      </w:r>
      <w:r>
        <w:rPr>
          <w:spacing w:val="-27"/>
        </w:rPr>
        <w:t> </w:t>
      </w:r>
      <w:r>
        <w:rPr/>
        <w:t>dos</w:t>
      </w:r>
      <w:r>
        <w:rPr>
          <w:spacing w:val="-25"/>
        </w:rPr>
        <w:t> </w:t>
      </w:r>
      <w:r>
        <w:rPr/>
        <w:t>respectivos</w:t>
      </w:r>
      <w:r>
        <w:rPr>
          <w:spacing w:val="-26"/>
        </w:rPr>
        <w:t> </w:t>
      </w:r>
      <w:r>
        <w:rPr/>
        <w:t>dependentes,</w:t>
      </w:r>
      <w:r>
        <w:rPr>
          <w:spacing w:val="-27"/>
        </w:rPr>
        <w:t> </w:t>
      </w:r>
      <w:r>
        <w:rPr/>
        <w:t>e</w:t>
      </w:r>
      <w:r>
        <w:rPr>
          <w:spacing w:val="-26"/>
        </w:rPr>
        <w:t> </w:t>
      </w:r>
      <w:r>
        <w:rPr/>
        <w:t>de</w:t>
      </w:r>
      <w:r>
        <w:rPr>
          <w:spacing w:val="-28"/>
        </w:rPr>
        <w:t> </w:t>
      </w:r>
      <w:r>
        <w:rPr/>
        <w:t>aportes</w:t>
      </w:r>
      <w:r>
        <w:rPr>
          <w:spacing w:val="-26"/>
        </w:rPr>
        <w:t> </w:t>
      </w:r>
      <w:r>
        <w:rPr/>
        <w:t>efetuados</w:t>
      </w:r>
      <w:r>
        <w:rPr>
          <w:spacing w:val="-25"/>
        </w:rPr>
        <w:t> </w:t>
      </w:r>
      <w:r>
        <w:rPr/>
        <w:t>pelas</w:t>
      </w:r>
      <w:r>
        <w:rPr>
          <w:spacing w:val="-27"/>
        </w:rPr>
        <w:t> </w:t>
      </w:r>
      <w:r>
        <w:rPr/>
        <w:t>Associadas</w:t>
      </w:r>
      <w:r>
        <w:rPr>
          <w:spacing w:val="-27"/>
        </w:rPr>
        <w:t> </w:t>
      </w:r>
      <w:r>
        <w:rPr/>
        <w:t>em</w:t>
      </w:r>
      <w:r>
        <w:rPr>
          <w:spacing w:val="-28"/>
        </w:rPr>
        <w:t> </w:t>
      </w:r>
      <w:r>
        <w:rPr/>
        <w:t>relação</w:t>
      </w:r>
      <w:r>
        <w:rPr>
          <w:spacing w:val="-27"/>
        </w:rPr>
        <w:t> </w:t>
      </w:r>
      <w:r>
        <w:rPr/>
        <w:t>aos</w:t>
      </w:r>
      <w:r>
        <w:rPr>
          <w:spacing w:val="-27"/>
        </w:rPr>
        <w:t> </w:t>
      </w:r>
      <w:r>
        <w:rPr/>
        <w:t>seus</w:t>
      </w:r>
      <w:r>
        <w:rPr>
          <w:spacing w:val="-26"/>
        </w:rPr>
        <w:t> </w:t>
      </w:r>
      <w:r>
        <w:rPr/>
        <w:t>empregados ativos</w:t>
      </w:r>
      <w:r>
        <w:rPr>
          <w:spacing w:val="-18"/>
        </w:rPr>
        <w:t> </w:t>
      </w:r>
      <w:r>
        <w:rPr/>
        <w:t>e</w:t>
      </w:r>
      <w:r>
        <w:rPr>
          <w:spacing w:val="-17"/>
        </w:rPr>
        <w:t> </w:t>
      </w:r>
      <w:r>
        <w:rPr/>
        <w:t>respectivos</w:t>
      </w:r>
      <w:r>
        <w:rPr>
          <w:spacing w:val="-18"/>
        </w:rPr>
        <w:t> </w:t>
      </w:r>
      <w:r>
        <w:rPr/>
        <w:t>dependentes.</w:t>
      </w:r>
    </w:p>
    <w:p>
      <w:pPr>
        <w:pStyle w:val="BodyText"/>
        <w:spacing w:before="7"/>
      </w:pPr>
    </w:p>
    <w:p>
      <w:pPr>
        <w:pStyle w:val="BodyText"/>
        <w:spacing w:line="242" w:lineRule="auto" w:before="1"/>
        <w:ind w:left="172" w:right="407"/>
        <w:jc w:val="both"/>
      </w:pPr>
      <w:r>
        <w:rPr/>
        <w:t>Conforme</w:t>
      </w:r>
      <w:r>
        <w:rPr>
          <w:spacing w:val="-17"/>
        </w:rPr>
        <w:t> </w:t>
      </w:r>
      <w:r>
        <w:rPr/>
        <w:t>o</w:t>
      </w:r>
      <w:r>
        <w:rPr>
          <w:spacing w:val="-14"/>
        </w:rPr>
        <w:t> </w:t>
      </w:r>
      <w:r>
        <w:rPr/>
        <w:t>regulamento</w:t>
      </w:r>
      <w:r>
        <w:rPr>
          <w:spacing w:val="-16"/>
        </w:rPr>
        <w:t> </w:t>
      </w:r>
      <w:r>
        <w:rPr/>
        <w:t>do</w:t>
      </w:r>
      <w:r>
        <w:rPr>
          <w:spacing w:val="-14"/>
        </w:rPr>
        <w:t> </w:t>
      </w:r>
      <w:r>
        <w:rPr/>
        <w:t>plano,</w:t>
      </w:r>
      <w:r>
        <w:rPr>
          <w:spacing w:val="-14"/>
        </w:rPr>
        <w:t> </w:t>
      </w:r>
      <w:r>
        <w:rPr/>
        <w:t>não</w:t>
      </w:r>
      <w:r>
        <w:rPr>
          <w:spacing w:val="-16"/>
        </w:rPr>
        <w:t> </w:t>
      </w:r>
      <w:r>
        <w:rPr/>
        <w:t>há</w:t>
      </w:r>
      <w:r>
        <w:rPr>
          <w:spacing w:val="-14"/>
        </w:rPr>
        <w:t> </w:t>
      </w:r>
      <w:r>
        <w:rPr/>
        <w:t>responsabilidades</w:t>
      </w:r>
      <w:r>
        <w:rPr>
          <w:spacing w:val="-16"/>
        </w:rPr>
        <w:t> </w:t>
      </w:r>
      <w:r>
        <w:rPr/>
        <w:t>das</w:t>
      </w:r>
      <w:r>
        <w:rPr>
          <w:spacing w:val="-15"/>
        </w:rPr>
        <w:t> </w:t>
      </w:r>
      <w:r>
        <w:rPr/>
        <w:t>Associadas</w:t>
      </w:r>
      <w:r>
        <w:rPr>
          <w:spacing w:val="-15"/>
        </w:rPr>
        <w:t> </w:t>
      </w:r>
      <w:r>
        <w:rPr/>
        <w:t>e</w:t>
      </w:r>
      <w:r>
        <w:rPr>
          <w:spacing w:val="-15"/>
        </w:rPr>
        <w:t> </w:t>
      </w:r>
      <w:r>
        <w:rPr/>
        <w:t>relação</w:t>
      </w:r>
      <w:r>
        <w:rPr>
          <w:spacing w:val="-15"/>
        </w:rPr>
        <w:t> </w:t>
      </w:r>
      <w:r>
        <w:rPr/>
        <w:t>às</w:t>
      </w:r>
      <w:r>
        <w:rPr>
          <w:spacing w:val="-16"/>
        </w:rPr>
        <w:t> </w:t>
      </w:r>
      <w:r>
        <w:rPr/>
        <w:t>despesas</w:t>
      </w:r>
      <w:r>
        <w:rPr>
          <w:spacing w:val="-15"/>
        </w:rPr>
        <w:t> </w:t>
      </w:r>
      <w:r>
        <w:rPr/>
        <w:t>originadas</w:t>
      </w:r>
      <w:r>
        <w:rPr>
          <w:spacing w:val="-15"/>
        </w:rPr>
        <w:t> </w:t>
      </w:r>
      <w:r>
        <w:rPr/>
        <w:t>dos aposentados</w:t>
      </w:r>
      <w:r>
        <w:rPr>
          <w:spacing w:val="-42"/>
        </w:rPr>
        <w:t> </w:t>
      </w:r>
      <w:r>
        <w:rPr/>
        <w:t>e</w:t>
      </w:r>
      <w:r>
        <w:rPr>
          <w:spacing w:val="-43"/>
        </w:rPr>
        <w:t> </w:t>
      </w:r>
      <w:r>
        <w:rPr/>
        <w:t>pensionistas</w:t>
      </w:r>
      <w:r>
        <w:rPr>
          <w:spacing w:val="-42"/>
        </w:rPr>
        <w:t> </w:t>
      </w:r>
      <w:r>
        <w:rPr/>
        <w:t>e,</w:t>
      </w:r>
      <w:r>
        <w:rPr>
          <w:spacing w:val="-42"/>
        </w:rPr>
        <w:t> </w:t>
      </w:r>
      <w:r>
        <w:rPr/>
        <w:t>portanto,</w:t>
      </w:r>
      <w:r>
        <w:rPr>
          <w:spacing w:val="-41"/>
        </w:rPr>
        <w:t> </w:t>
      </w:r>
      <w:r>
        <w:rPr/>
        <w:t>não</w:t>
      </w:r>
      <w:r>
        <w:rPr>
          <w:spacing w:val="-43"/>
        </w:rPr>
        <w:t> </w:t>
      </w:r>
      <w:r>
        <w:rPr/>
        <w:t>há</w:t>
      </w:r>
      <w:r>
        <w:rPr>
          <w:spacing w:val="-42"/>
        </w:rPr>
        <w:t> </w:t>
      </w:r>
      <w:r>
        <w:rPr/>
        <w:t>passivo</w:t>
      </w:r>
      <w:r>
        <w:rPr>
          <w:spacing w:val="-42"/>
        </w:rPr>
        <w:t> </w:t>
      </w:r>
      <w:r>
        <w:rPr/>
        <w:t>relativo</w:t>
      </w:r>
      <w:r>
        <w:rPr>
          <w:spacing w:val="-43"/>
        </w:rPr>
        <w:t> </w:t>
      </w:r>
      <w:r>
        <w:rPr/>
        <w:t>a</w:t>
      </w:r>
      <w:r>
        <w:rPr>
          <w:spacing w:val="-42"/>
        </w:rPr>
        <w:t> </w:t>
      </w:r>
      <w:r>
        <w:rPr/>
        <w:t>benefícios</w:t>
      </w:r>
      <w:r>
        <w:rPr>
          <w:spacing w:val="-43"/>
        </w:rPr>
        <w:t> </w:t>
      </w:r>
      <w:r>
        <w:rPr/>
        <w:t>pós-emprego</w:t>
      </w:r>
      <w:r>
        <w:rPr>
          <w:spacing w:val="-43"/>
        </w:rPr>
        <w:t> </w:t>
      </w:r>
      <w:r>
        <w:rPr/>
        <w:t>gerado</w:t>
      </w:r>
      <w:r>
        <w:rPr>
          <w:spacing w:val="-42"/>
        </w:rPr>
        <w:t> </w:t>
      </w:r>
      <w:r>
        <w:rPr/>
        <w:t>por</w:t>
      </w:r>
      <w:r>
        <w:rPr>
          <w:spacing w:val="-42"/>
        </w:rPr>
        <w:t> </w:t>
      </w:r>
      <w:r>
        <w:rPr/>
        <w:t>este</w:t>
      </w:r>
      <w:r>
        <w:rPr>
          <w:spacing w:val="-43"/>
        </w:rPr>
        <w:t> </w:t>
      </w:r>
      <w:r>
        <w:rPr/>
        <w:t>plano</w:t>
      </w:r>
      <w:r>
        <w:rPr>
          <w:spacing w:val="-42"/>
        </w:rPr>
        <w:t> </w:t>
      </w:r>
      <w:r>
        <w:rPr/>
        <w:t>e</w:t>
      </w:r>
      <w:r>
        <w:rPr>
          <w:spacing w:val="-42"/>
        </w:rPr>
        <w:t> </w:t>
      </w:r>
      <w:r>
        <w:rPr/>
        <w:t>que deva</w:t>
      </w:r>
      <w:r>
        <w:rPr>
          <w:spacing w:val="-18"/>
        </w:rPr>
        <w:t> </w:t>
      </w:r>
      <w:r>
        <w:rPr/>
        <w:t>ser</w:t>
      </w:r>
      <w:r>
        <w:rPr>
          <w:spacing w:val="-17"/>
        </w:rPr>
        <w:t> </w:t>
      </w:r>
      <w:r>
        <w:rPr/>
        <w:t>reconhecido</w:t>
      </w:r>
      <w:r>
        <w:rPr>
          <w:spacing w:val="-18"/>
        </w:rPr>
        <w:t> </w:t>
      </w:r>
      <w:r>
        <w:rPr/>
        <w:t>pela</w:t>
      </w:r>
      <w:r>
        <w:rPr>
          <w:spacing w:val="-18"/>
        </w:rPr>
        <w:t> </w:t>
      </w:r>
      <w:r>
        <w:rPr/>
        <w:t>CEB</w:t>
      </w:r>
      <w:r>
        <w:rPr>
          <w:spacing w:val="-18"/>
        </w:rPr>
        <w:t> </w:t>
      </w:r>
      <w:r>
        <w:rPr/>
        <w:t>Distribuição</w:t>
      </w:r>
      <w:r>
        <w:rPr>
          <w:spacing w:val="-20"/>
        </w:rPr>
        <w:t> </w:t>
      </w:r>
      <w:r>
        <w:rPr/>
        <w:t>S.A..</w:t>
      </w:r>
    </w:p>
    <w:p>
      <w:pPr>
        <w:pStyle w:val="BodyText"/>
        <w:spacing w:before="5"/>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hAnsi="Caladea"/>
          <w:b/>
          <w:sz w:val="18"/>
        </w:rPr>
      </w:pPr>
      <w:r>
        <w:rPr>
          <w:rFonts w:ascii="Caladea" w:hAnsi="Caladea"/>
          <w:b/>
          <w:sz w:val="22"/>
        </w:rPr>
        <w:t>R</w:t>
      </w:r>
      <w:r>
        <w:rPr>
          <w:rFonts w:ascii="Caladea" w:hAnsi="Caladea"/>
          <w:b/>
          <w:sz w:val="18"/>
        </w:rPr>
        <w:t>ESULTADOS DA </w:t>
      </w:r>
      <w:r>
        <w:rPr>
          <w:rFonts w:ascii="Caladea" w:hAnsi="Caladea"/>
          <w:b/>
          <w:sz w:val="22"/>
        </w:rPr>
        <w:t>A</w:t>
      </w:r>
      <w:r>
        <w:rPr>
          <w:rFonts w:ascii="Caladea" w:hAnsi="Caladea"/>
          <w:b/>
          <w:sz w:val="18"/>
        </w:rPr>
        <w:t>VALIAÇÃO</w:t>
      </w:r>
      <w:r>
        <w:rPr>
          <w:rFonts w:ascii="Caladea" w:hAnsi="Caladea"/>
          <w:b/>
          <w:spacing w:val="1"/>
          <w:sz w:val="18"/>
        </w:rPr>
        <w:t> </w:t>
      </w:r>
      <w:r>
        <w:rPr>
          <w:rFonts w:ascii="Caladea" w:hAnsi="Caladea"/>
          <w:b/>
          <w:sz w:val="22"/>
        </w:rPr>
        <w:t>A</w:t>
      </w:r>
      <w:r>
        <w:rPr>
          <w:rFonts w:ascii="Caladea" w:hAnsi="Caladea"/>
          <w:b/>
          <w:sz w:val="18"/>
        </w:rPr>
        <w:t>TUARIAL</w:t>
      </w:r>
    </w:p>
    <w:p>
      <w:pPr>
        <w:pStyle w:val="BodyText"/>
        <w:spacing w:before="9"/>
        <w:rPr>
          <w:rFonts w:ascii="Caladea"/>
          <w:b/>
          <w:sz w:val="23"/>
        </w:rPr>
      </w:pPr>
    </w:p>
    <w:p>
      <w:pPr>
        <w:pStyle w:val="BodyText"/>
        <w:spacing w:line="242" w:lineRule="auto"/>
        <w:ind w:left="172" w:right="405"/>
        <w:jc w:val="both"/>
      </w:pPr>
      <w:r>
        <w:rPr/>
        <w:t>Os</w:t>
      </w:r>
      <w:r>
        <w:rPr>
          <w:spacing w:val="-8"/>
        </w:rPr>
        <w:t> </w:t>
      </w:r>
      <w:r>
        <w:rPr/>
        <w:t>resultados</w:t>
      </w:r>
      <w:r>
        <w:rPr>
          <w:spacing w:val="-7"/>
        </w:rPr>
        <w:t> </w:t>
      </w:r>
      <w:r>
        <w:rPr/>
        <w:t>da</w:t>
      </w:r>
      <w:r>
        <w:rPr>
          <w:spacing w:val="-5"/>
        </w:rPr>
        <w:t> </w:t>
      </w:r>
      <w:r>
        <w:rPr/>
        <w:t>avaliação</w:t>
      </w:r>
      <w:r>
        <w:rPr>
          <w:spacing w:val="-7"/>
        </w:rPr>
        <w:t> </w:t>
      </w:r>
      <w:r>
        <w:rPr/>
        <w:t>atuarial</w:t>
      </w:r>
      <w:r>
        <w:rPr>
          <w:spacing w:val="-5"/>
        </w:rPr>
        <w:t> </w:t>
      </w:r>
      <w:r>
        <w:rPr/>
        <w:t>das</w:t>
      </w:r>
      <w:r>
        <w:rPr>
          <w:spacing w:val="-6"/>
        </w:rPr>
        <w:t> </w:t>
      </w:r>
      <w:r>
        <w:rPr/>
        <w:t>obrigações</w:t>
      </w:r>
      <w:r>
        <w:rPr>
          <w:spacing w:val="-6"/>
        </w:rPr>
        <w:t> </w:t>
      </w:r>
      <w:r>
        <w:rPr/>
        <w:t>com</w:t>
      </w:r>
      <w:r>
        <w:rPr>
          <w:spacing w:val="-7"/>
        </w:rPr>
        <w:t> </w:t>
      </w:r>
      <w:r>
        <w:rPr/>
        <w:t>benefícios</w:t>
      </w:r>
      <w:r>
        <w:rPr>
          <w:spacing w:val="-7"/>
        </w:rPr>
        <w:t> </w:t>
      </w:r>
      <w:r>
        <w:rPr/>
        <w:t>a</w:t>
      </w:r>
      <w:r>
        <w:rPr>
          <w:spacing w:val="-5"/>
        </w:rPr>
        <w:t> </w:t>
      </w:r>
      <w:r>
        <w:rPr/>
        <w:t>empregados</w:t>
      </w:r>
      <w:r>
        <w:rPr>
          <w:spacing w:val="-5"/>
        </w:rPr>
        <w:t> </w:t>
      </w:r>
      <w:r>
        <w:rPr/>
        <w:t>da</w:t>
      </w:r>
      <w:r>
        <w:rPr>
          <w:spacing w:val="-7"/>
        </w:rPr>
        <w:t> </w:t>
      </w:r>
      <w:r>
        <w:rPr/>
        <w:t>CEB</w:t>
      </w:r>
      <w:r>
        <w:rPr>
          <w:spacing w:val="-7"/>
        </w:rPr>
        <w:t> </w:t>
      </w:r>
      <w:r>
        <w:rPr/>
        <w:t>Distribuição</w:t>
      </w:r>
      <w:r>
        <w:rPr>
          <w:spacing w:val="-7"/>
        </w:rPr>
        <w:t> </w:t>
      </w:r>
      <w:r>
        <w:rPr/>
        <w:t>S.A.</w:t>
      </w:r>
      <w:r>
        <w:rPr>
          <w:spacing w:val="-5"/>
        </w:rPr>
        <w:t> </w:t>
      </w:r>
      <w:r>
        <w:rPr/>
        <w:t>estão demonstrados nos quadros desta nota 25 e foram calculados com base nas informações prestadas pela CEB Distribuição S.A. e pela FACEB, bem como nos cálculos atuariais realizados por atuário independente em conformidade</w:t>
      </w:r>
      <w:r>
        <w:rPr>
          <w:spacing w:val="-20"/>
        </w:rPr>
        <w:t> </w:t>
      </w:r>
      <w:r>
        <w:rPr/>
        <w:t>com</w:t>
      </w:r>
      <w:r>
        <w:rPr>
          <w:spacing w:val="-17"/>
        </w:rPr>
        <w:t> </w:t>
      </w:r>
      <w:r>
        <w:rPr/>
        <w:t>o</w:t>
      </w:r>
      <w:r>
        <w:rPr>
          <w:spacing w:val="-16"/>
        </w:rPr>
        <w:t> </w:t>
      </w:r>
      <w:r>
        <w:rPr/>
        <w:t>Pronunciamento</w:t>
      </w:r>
      <w:r>
        <w:rPr>
          <w:spacing w:val="-19"/>
        </w:rPr>
        <w:t> </w:t>
      </w:r>
      <w:r>
        <w:rPr/>
        <w:t>CPC</w:t>
      </w:r>
      <w:r>
        <w:rPr>
          <w:spacing w:val="-18"/>
        </w:rPr>
        <w:t> </w:t>
      </w:r>
      <w:r>
        <w:rPr/>
        <w:t>33(R1).</w:t>
      </w:r>
    </w:p>
    <w:p>
      <w:pPr>
        <w:pStyle w:val="BodyText"/>
        <w:spacing w:before="8"/>
      </w:pPr>
    </w:p>
    <w:p>
      <w:pPr>
        <w:pStyle w:val="BodyText"/>
        <w:spacing w:line="242" w:lineRule="auto"/>
        <w:ind w:left="172" w:right="411"/>
        <w:jc w:val="both"/>
      </w:pPr>
      <w:r>
        <w:rPr/>
        <w:t>As</w:t>
      </w:r>
      <w:r>
        <w:rPr>
          <w:spacing w:val="-21"/>
        </w:rPr>
        <w:t> </w:t>
      </w:r>
      <w:r>
        <w:rPr/>
        <w:t>informações</w:t>
      </w:r>
      <w:r>
        <w:rPr>
          <w:spacing w:val="-18"/>
        </w:rPr>
        <w:t> </w:t>
      </w:r>
      <w:r>
        <w:rPr/>
        <w:t>que</w:t>
      </w:r>
      <w:r>
        <w:rPr>
          <w:spacing w:val="-21"/>
        </w:rPr>
        <w:t> </w:t>
      </w:r>
      <w:r>
        <w:rPr/>
        <w:t>fundamentaram</w:t>
      </w:r>
      <w:r>
        <w:rPr>
          <w:spacing w:val="-20"/>
        </w:rPr>
        <w:t> </w:t>
      </w:r>
      <w:r>
        <w:rPr/>
        <w:t>o</w:t>
      </w:r>
      <w:r>
        <w:rPr>
          <w:spacing w:val="-19"/>
        </w:rPr>
        <w:t> </w:t>
      </w:r>
      <w:r>
        <w:rPr/>
        <w:t>presente</w:t>
      </w:r>
      <w:r>
        <w:rPr>
          <w:spacing w:val="-21"/>
        </w:rPr>
        <w:t> </w:t>
      </w:r>
      <w:r>
        <w:rPr/>
        <w:t>trabalho</w:t>
      </w:r>
      <w:r>
        <w:rPr>
          <w:spacing w:val="-20"/>
        </w:rPr>
        <w:t> </w:t>
      </w:r>
      <w:r>
        <w:rPr/>
        <w:t>são</w:t>
      </w:r>
      <w:r>
        <w:rPr>
          <w:spacing w:val="-20"/>
        </w:rPr>
        <w:t> </w:t>
      </w:r>
      <w:r>
        <w:rPr/>
        <w:t>constituídas</w:t>
      </w:r>
      <w:r>
        <w:rPr>
          <w:spacing w:val="-20"/>
        </w:rPr>
        <w:t> </w:t>
      </w:r>
      <w:r>
        <w:rPr/>
        <w:t>de</w:t>
      </w:r>
      <w:r>
        <w:rPr>
          <w:spacing w:val="-20"/>
        </w:rPr>
        <w:t> </w:t>
      </w:r>
      <w:r>
        <w:rPr/>
        <w:t>bases</w:t>
      </w:r>
      <w:r>
        <w:rPr>
          <w:spacing w:val="-18"/>
        </w:rPr>
        <w:t> </w:t>
      </w:r>
      <w:r>
        <w:rPr/>
        <w:t>cadastrais</w:t>
      </w:r>
      <w:r>
        <w:rPr>
          <w:spacing w:val="-20"/>
        </w:rPr>
        <w:t> </w:t>
      </w:r>
      <w:r>
        <w:rPr/>
        <w:t>referentes</w:t>
      </w:r>
      <w:r>
        <w:rPr>
          <w:spacing w:val="-19"/>
        </w:rPr>
        <w:t> </w:t>
      </w:r>
      <w:r>
        <w:rPr/>
        <w:t>ao</w:t>
      </w:r>
      <w:r>
        <w:rPr>
          <w:spacing w:val="-20"/>
        </w:rPr>
        <w:t> </w:t>
      </w:r>
      <w:r>
        <w:rPr/>
        <w:t>plano previdencial,</w:t>
      </w:r>
      <w:r>
        <w:rPr>
          <w:spacing w:val="-32"/>
        </w:rPr>
        <w:t> </w:t>
      </w:r>
      <w:r>
        <w:rPr/>
        <w:t>informações</w:t>
      </w:r>
      <w:r>
        <w:rPr>
          <w:spacing w:val="-30"/>
        </w:rPr>
        <w:t> </w:t>
      </w:r>
      <w:r>
        <w:rPr/>
        <w:t>contábeis</w:t>
      </w:r>
      <w:r>
        <w:rPr>
          <w:spacing w:val="-29"/>
        </w:rPr>
        <w:t> </w:t>
      </w:r>
      <w:r>
        <w:rPr/>
        <w:t>posicionadas</w:t>
      </w:r>
      <w:r>
        <w:rPr>
          <w:spacing w:val="-30"/>
        </w:rPr>
        <w:t> </w:t>
      </w:r>
      <w:r>
        <w:rPr/>
        <w:t>em</w:t>
      </w:r>
      <w:r>
        <w:rPr>
          <w:spacing w:val="-30"/>
        </w:rPr>
        <w:t> </w:t>
      </w:r>
      <w:r>
        <w:rPr/>
        <w:t>31</w:t>
      </w:r>
      <w:r>
        <w:rPr>
          <w:spacing w:val="-29"/>
        </w:rPr>
        <w:t> </w:t>
      </w:r>
      <w:r>
        <w:rPr/>
        <w:t>de</w:t>
      </w:r>
      <w:r>
        <w:rPr>
          <w:spacing w:val="-31"/>
        </w:rPr>
        <w:t> </w:t>
      </w:r>
      <w:r>
        <w:rPr/>
        <w:t>dezembro</w:t>
      </w:r>
      <w:r>
        <w:rPr>
          <w:spacing w:val="-30"/>
        </w:rPr>
        <w:t> </w:t>
      </w:r>
      <w:r>
        <w:rPr/>
        <w:t>de</w:t>
      </w:r>
      <w:r>
        <w:rPr>
          <w:spacing w:val="-31"/>
        </w:rPr>
        <w:t> </w:t>
      </w:r>
      <w:r>
        <w:rPr/>
        <w:t>2019</w:t>
      </w:r>
      <w:r>
        <w:rPr>
          <w:spacing w:val="-27"/>
        </w:rPr>
        <w:t> </w:t>
      </w:r>
      <w:r>
        <w:rPr/>
        <w:t>e</w:t>
      </w:r>
      <w:r>
        <w:rPr>
          <w:spacing w:val="-31"/>
        </w:rPr>
        <w:t> </w:t>
      </w:r>
      <w:r>
        <w:rPr/>
        <w:t>dados</w:t>
      </w:r>
      <w:r>
        <w:rPr>
          <w:spacing w:val="-32"/>
        </w:rPr>
        <w:t> </w:t>
      </w:r>
      <w:r>
        <w:rPr/>
        <w:t>sobre</w:t>
      </w:r>
      <w:r>
        <w:rPr>
          <w:spacing w:val="-32"/>
        </w:rPr>
        <w:t> </w:t>
      </w:r>
      <w:r>
        <w:rPr/>
        <w:t>a</w:t>
      </w:r>
      <w:r>
        <w:rPr>
          <w:spacing w:val="-29"/>
        </w:rPr>
        <w:t> </w:t>
      </w:r>
      <w:r>
        <w:rPr/>
        <w:t>composição</w:t>
      </w:r>
      <w:r>
        <w:rPr>
          <w:spacing w:val="-31"/>
        </w:rPr>
        <w:t> </w:t>
      </w:r>
      <w:r>
        <w:rPr/>
        <w:t>do</w:t>
      </w:r>
      <w:r>
        <w:rPr>
          <w:spacing w:val="-30"/>
        </w:rPr>
        <w:t> </w:t>
      </w:r>
      <w:r>
        <w:rPr/>
        <w:t>valor justo</w:t>
      </w:r>
      <w:r>
        <w:rPr>
          <w:spacing w:val="-21"/>
        </w:rPr>
        <w:t> </w:t>
      </w:r>
      <w:r>
        <w:rPr/>
        <w:t>dos</w:t>
      </w:r>
      <w:r>
        <w:rPr>
          <w:spacing w:val="-19"/>
        </w:rPr>
        <w:t> </w:t>
      </w:r>
      <w:r>
        <w:rPr/>
        <w:t>ativos</w:t>
      </w:r>
      <w:r>
        <w:rPr>
          <w:spacing w:val="-19"/>
        </w:rPr>
        <w:t> </w:t>
      </w:r>
      <w:r>
        <w:rPr/>
        <w:t>do</w:t>
      </w:r>
      <w:r>
        <w:rPr>
          <w:spacing w:val="-19"/>
        </w:rPr>
        <w:t> </w:t>
      </w:r>
      <w:r>
        <w:rPr/>
        <w:t>plano</w:t>
      </w:r>
      <w:r>
        <w:rPr>
          <w:spacing w:val="-17"/>
        </w:rPr>
        <w:t> </w:t>
      </w:r>
      <w:r>
        <w:rPr/>
        <w:t>de</w:t>
      </w:r>
      <w:r>
        <w:rPr>
          <w:spacing w:val="-17"/>
        </w:rPr>
        <w:t> </w:t>
      </w:r>
      <w:r>
        <w:rPr/>
        <w:t>benefício</w:t>
      </w:r>
      <w:r>
        <w:rPr>
          <w:spacing w:val="-14"/>
        </w:rPr>
        <w:t> </w:t>
      </w:r>
      <w:r>
        <w:rPr/>
        <w:t>posicionado</w:t>
      </w:r>
      <w:r>
        <w:rPr>
          <w:spacing w:val="-19"/>
        </w:rPr>
        <w:t> </w:t>
      </w:r>
      <w:r>
        <w:rPr/>
        <w:t>em</w:t>
      </w:r>
      <w:r>
        <w:rPr>
          <w:spacing w:val="-18"/>
        </w:rPr>
        <w:t> </w:t>
      </w:r>
      <w:r>
        <w:rPr/>
        <w:t>dezembro</w:t>
      </w:r>
      <w:r>
        <w:rPr>
          <w:spacing w:val="-17"/>
        </w:rPr>
        <w:t> </w:t>
      </w:r>
      <w:r>
        <w:rPr/>
        <w:t>de</w:t>
      </w:r>
      <w:r>
        <w:rPr>
          <w:spacing w:val="-20"/>
        </w:rPr>
        <w:t> </w:t>
      </w:r>
      <w:r>
        <w:rPr/>
        <w:t>2019.</w:t>
      </w:r>
    </w:p>
    <w:p>
      <w:pPr>
        <w:pStyle w:val="BodyText"/>
        <w:spacing w:before="8"/>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M</w:t>
      </w:r>
      <w:r>
        <w:rPr>
          <w:rFonts w:ascii="Caladea" w:hAnsi="Caladea"/>
          <w:b/>
          <w:sz w:val="18"/>
        </w:rPr>
        <w:t>ÉTODO </w:t>
      </w:r>
      <w:r>
        <w:rPr>
          <w:rFonts w:ascii="Caladea" w:hAnsi="Caladea"/>
          <w:b/>
          <w:sz w:val="22"/>
        </w:rPr>
        <w:t>A</w:t>
      </w:r>
      <w:r>
        <w:rPr>
          <w:rFonts w:ascii="Caladea" w:hAnsi="Caladea"/>
          <w:b/>
          <w:sz w:val="18"/>
        </w:rPr>
        <w:t>TUARIAL</w:t>
      </w:r>
    </w:p>
    <w:p>
      <w:pPr>
        <w:pStyle w:val="BodyText"/>
        <w:spacing w:before="10"/>
        <w:rPr>
          <w:rFonts w:ascii="Caladea"/>
          <w:b/>
          <w:sz w:val="23"/>
        </w:rPr>
      </w:pPr>
    </w:p>
    <w:p>
      <w:pPr>
        <w:pStyle w:val="BodyText"/>
        <w:spacing w:line="242" w:lineRule="auto"/>
        <w:ind w:left="172" w:right="415"/>
        <w:jc w:val="both"/>
      </w:pPr>
      <w:r>
        <w:rPr/>
        <w:t>Conforme</w:t>
      </w:r>
      <w:r>
        <w:rPr>
          <w:spacing w:val="-28"/>
        </w:rPr>
        <w:t> </w:t>
      </w:r>
      <w:r>
        <w:rPr/>
        <w:t>estabelece</w:t>
      </w:r>
      <w:r>
        <w:rPr>
          <w:spacing w:val="-30"/>
        </w:rPr>
        <w:t> </w:t>
      </w:r>
      <w:r>
        <w:rPr/>
        <w:t>o</w:t>
      </w:r>
      <w:r>
        <w:rPr>
          <w:spacing w:val="-28"/>
        </w:rPr>
        <w:t> </w:t>
      </w:r>
      <w:r>
        <w:rPr/>
        <w:t>item</w:t>
      </w:r>
      <w:r>
        <w:rPr>
          <w:spacing w:val="-25"/>
        </w:rPr>
        <w:t> </w:t>
      </w:r>
      <w:r>
        <w:rPr/>
        <w:t>67</w:t>
      </w:r>
      <w:r>
        <w:rPr>
          <w:spacing w:val="-29"/>
        </w:rPr>
        <w:t> </w:t>
      </w:r>
      <w:r>
        <w:rPr/>
        <w:t>do</w:t>
      </w:r>
      <w:r>
        <w:rPr>
          <w:spacing w:val="-27"/>
        </w:rPr>
        <w:t> </w:t>
      </w:r>
      <w:r>
        <w:rPr/>
        <w:t>Pronunciamento</w:t>
      </w:r>
      <w:r>
        <w:rPr>
          <w:spacing w:val="-29"/>
        </w:rPr>
        <w:t> </w:t>
      </w:r>
      <w:r>
        <w:rPr/>
        <w:t>CPC</w:t>
      </w:r>
      <w:r>
        <w:rPr>
          <w:spacing w:val="-27"/>
        </w:rPr>
        <w:t> </w:t>
      </w:r>
      <w:r>
        <w:rPr/>
        <w:t>33(R1),</w:t>
      </w:r>
      <w:r>
        <w:rPr>
          <w:spacing w:val="-29"/>
        </w:rPr>
        <w:t> </w:t>
      </w:r>
      <w:r>
        <w:rPr/>
        <w:t>o</w:t>
      </w:r>
      <w:r>
        <w:rPr>
          <w:spacing w:val="-29"/>
        </w:rPr>
        <w:t> </w:t>
      </w:r>
      <w:r>
        <w:rPr/>
        <w:t>Método</w:t>
      </w:r>
      <w:r>
        <w:rPr>
          <w:spacing w:val="-28"/>
        </w:rPr>
        <w:t> </w:t>
      </w:r>
      <w:r>
        <w:rPr/>
        <w:t>da</w:t>
      </w:r>
      <w:r>
        <w:rPr>
          <w:spacing w:val="-29"/>
        </w:rPr>
        <w:t> </w:t>
      </w:r>
      <w:r>
        <w:rPr/>
        <w:t>Unidade</w:t>
      </w:r>
      <w:r>
        <w:rPr>
          <w:spacing w:val="-27"/>
        </w:rPr>
        <w:t> </w:t>
      </w:r>
      <w:r>
        <w:rPr/>
        <w:t>de</w:t>
      </w:r>
      <w:r>
        <w:rPr>
          <w:spacing w:val="-29"/>
        </w:rPr>
        <w:t> </w:t>
      </w:r>
      <w:r>
        <w:rPr/>
        <w:t>Crédito</w:t>
      </w:r>
      <w:r>
        <w:rPr>
          <w:spacing w:val="-27"/>
        </w:rPr>
        <w:t> </w:t>
      </w:r>
      <w:r>
        <w:rPr/>
        <w:t>Projetada</w:t>
      </w:r>
      <w:r>
        <w:rPr>
          <w:spacing w:val="-26"/>
        </w:rPr>
        <w:t> </w:t>
      </w:r>
      <w:r>
        <w:rPr/>
        <w:t>(PUC)</w:t>
      </w:r>
      <w:r>
        <w:rPr>
          <w:spacing w:val="-28"/>
        </w:rPr>
        <w:t> </w:t>
      </w:r>
      <w:r>
        <w:rPr/>
        <w:t>é aquele que deve ser utilizado na avaliação das reservas e custos dos benefícios estruturados em regime de capitalização,</w:t>
      </w:r>
      <w:r>
        <w:rPr>
          <w:spacing w:val="-36"/>
        </w:rPr>
        <w:t> </w:t>
      </w:r>
      <w:r>
        <w:rPr/>
        <w:t>não</w:t>
      </w:r>
      <w:r>
        <w:rPr>
          <w:spacing w:val="-35"/>
        </w:rPr>
        <w:t> </w:t>
      </w:r>
      <w:r>
        <w:rPr/>
        <w:t>podendo</w:t>
      </w:r>
      <w:r>
        <w:rPr>
          <w:spacing w:val="-34"/>
        </w:rPr>
        <w:t> </w:t>
      </w:r>
      <w:r>
        <w:rPr/>
        <w:t>ser</w:t>
      </w:r>
      <w:r>
        <w:rPr>
          <w:spacing w:val="-36"/>
        </w:rPr>
        <w:t> </w:t>
      </w:r>
      <w:r>
        <w:rPr/>
        <w:t>aplicado</w:t>
      </w:r>
      <w:r>
        <w:rPr>
          <w:spacing w:val="-36"/>
        </w:rPr>
        <w:t> </w:t>
      </w:r>
      <w:r>
        <w:rPr/>
        <w:t>outro</w:t>
      </w:r>
      <w:r>
        <w:rPr>
          <w:spacing w:val="-35"/>
        </w:rPr>
        <w:t> </w:t>
      </w:r>
      <w:r>
        <w:rPr/>
        <w:t>método,</w:t>
      </w:r>
      <w:r>
        <w:rPr>
          <w:spacing w:val="-34"/>
        </w:rPr>
        <w:t> </w:t>
      </w:r>
      <w:r>
        <w:rPr/>
        <w:t>seja</w:t>
      </w:r>
      <w:r>
        <w:rPr>
          <w:spacing w:val="-35"/>
        </w:rPr>
        <w:t> </w:t>
      </w:r>
      <w:r>
        <w:rPr/>
        <w:t>substitutivo</w:t>
      </w:r>
      <w:r>
        <w:rPr>
          <w:spacing w:val="-36"/>
        </w:rPr>
        <w:t> </w:t>
      </w:r>
      <w:r>
        <w:rPr/>
        <w:t>ao</w:t>
      </w:r>
      <w:r>
        <w:rPr>
          <w:spacing w:val="-35"/>
        </w:rPr>
        <w:t> </w:t>
      </w:r>
      <w:r>
        <w:rPr/>
        <w:t>PUC,</w:t>
      </w:r>
      <w:r>
        <w:rPr>
          <w:spacing w:val="-35"/>
        </w:rPr>
        <w:t> </w:t>
      </w:r>
      <w:r>
        <w:rPr/>
        <w:t>seja</w:t>
      </w:r>
      <w:r>
        <w:rPr>
          <w:spacing w:val="-35"/>
        </w:rPr>
        <w:t> </w:t>
      </w:r>
      <w:r>
        <w:rPr/>
        <w:t>para</w:t>
      </w:r>
      <w:r>
        <w:rPr>
          <w:spacing w:val="-35"/>
        </w:rPr>
        <w:t> </w:t>
      </w:r>
      <w:r>
        <w:rPr/>
        <w:t>efeito</w:t>
      </w:r>
      <w:r>
        <w:rPr>
          <w:spacing w:val="-35"/>
        </w:rPr>
        <w:t> </w:t>
      </w:r>
      <w:r>
        <w:rPr/>
        <w:t>de</w:t>
      </w:r>
      <w:r>
        <w:rPr>
          <w:spacing w:val="-36"/>
        </w:rPr>
        <w:t> </w:t>
      </w:r>
      <w:r>
        <w:rPr/>
        <w:t>comparação</w:t>
      </w:r>
      <w:r>
        <w:rPr>
          <w:spacing w:val="-35"/>
        </w:rPr>
        <w:t> </w:t>
      </w:r>
      <w:r>
        <w:rPr/>
        <w:t>de resultados.</w:t>
      </w:r>
    </w:p>
    <w:p>
      <w:pPr>
        <w:pStyle w:val="BodyText"/>
        <w:spacing w:before="6"/>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REMISSAS E</w:t>
      </w:r>
      <w:r>
        <w:rPr>
          <w:rFonts w:ascii="Caladea" w:hAnsi="Caladea"/>
          <w:b/>
          <w:spacing w:val="-1"/>
          <w:sz w:val="18"/>
        </w:rPr>
        <w:t> </w:t>
      </w:r>
      <w:r>
        <w:rPr>
          <w:rFonts w:ascii="Caladea" w:hAnsi="Caladea"/>
          <w:b/>
          <w:sz w:val="22"/>
        </w:rPr>
        <w:t>H</w:t>
      </w:r>
      <w:r>
        <w:rPr>
          <w:rFonts w:ascii="Caladea" w:hAnsi="Caladea"/>
          <w:b/>
          <w:sz w:val="18"/>
        </w:rPr>
        <w:t>IPÓTESES</w:t>
      </w:r>
    </w:p>
    <w:p>
      <w:pPr>
        <w:pStyle w:val="BodyText"/>
        <w:spacing w:before="10"/>
        <w:rPr>
          <w:rFonts w:ascii="Caladea"/>
          <w:b/>
          <w:sz w:val="23"/>
        </w:rPr>
      </w:pPr>
    </w:p>
    <w:p>
      <w:pPr>
        <w:pStyle w:val="BodyText"/>
        <w:spacing w:line="242" w:lineRule="auto"/>
        <w:ind w:left="172" w:right="408"/>
        <w:jc w:val="both"/>
      </w:pPr>
      <w:r>
        <w:rPr/>
        <w:t>As</w:t>
      </w:r>
      <w:r>
        <w:rPr>
          <w:spacing w:val="-34"/>
        </w:rPr>
        <w:t> </w:t>
      </w:r>
      <w:r>
        <w:rPr/>
        <w:t>premissas</w:t>
      </w:r>
      <w:r>
        <w:rPr>
          <w:spacing w:val="-34"/>
        </w:rPr>
        <w:t> </w:t>
      </w:r>
      <w:r>
        <w:rPr/>
        <w:t>e</w:t>
      </w:r>
      <w:r>
        <w:rPr>
          <w:spacing w:val="-34"/>
        </w:rPr>
        <w:t> </w:t>
      </w:r>
      <w:r>
        <w:rPr/>
        <w:t>hipóteses</w:t>
      </w:r>
      <w:r>
        <w:rPr>
          <w:spacing w:val="-34"/>
        </w:rPr>
        <w:t> </w:t>
      </w:r>
      <w:r>
        <w:rPr/>
        <w:t>utilizadas</w:t>
      </w:r>
      <w:r>
        <w:rPr>
          <w:spacing w:val="-34"/>
        </w:rPr>
        <w:t> </w:t>
      </w:r>
      <w:r>
        <w:rPr/>
        <w:t>na</w:t>
      </w:r>
      <w:r>
        <w:rPr>
          <w:spacing w:val="-33"/>
        </w:rPr>
        <w:t> </w:t>
      </w:r>
      <w:r>
        <w:rPr/>
        <w:t>presente</w:t>
      </w:r>
      <w:r>
        <w:rPr>
          <w:spacing w:val="-35"/>
        </w:rPr>
        <w:t> </w:t>
      </w:r>
      <w:r>
        <w:rPr/>
        <w:t>avaliação</w:t>
      </w:r>
      <w:r>
        <w:rPr>
          <w:spacing w:val="-34"/>
        </w:rPr>
        <w:t> </w:t>
      </w:r>
      <w:r>
        <w:rPr/>
        <w:t>foram</w:t>
      </w:r>
      <w:r>
        <w:rPr>
          <w:spacing w:val="-33"/>
        </w:rPr>
        <w:t> </w:t>
      </w:r>
      <w:r>
        <w:rPr/>
        <w:t>sugeridas</w:t>
      </w:r>
      <w:r>
        <w:rPr>
          <w:spacing w:val="-34"/>
        </w:rPr>
        <w:t> </w:t>
      </w:r>
      <w:r>
        <w:rPr/>
        <w:t>à</w:t>
      </w:r>
      <w:r>
        <w:rPr>
          <w:spacing w:val="-34"/>
        </w:rPr>
        <w:t> </w:t>
      </w:r>
      <w:r>
        <w:rPr/>
        <w:t>CEB</w:t>
      </w:r>
      <w:r>
        <w:rPr>
          <w:spacing w:val="-34"/>
        </w:rPr>
        <w:t> </w:t>
      </w:r>
      <w:r>
        <w:rPr/>
        <w:t>Distribuição</w:t>
      </w:r>
      <w:r>
        <w:rPr>
          <w:spacing w:val="-34"/>
        </w:rPr>
        <w:t> </w:t>
      </w:r>
      <w:r>
        <w:rPr/>
        <w:t>S.A.</w:t>
      </w:r>
      <w:r>
        <w:rPr>
          <w:spacing w:val="-33"/>
        </w:rPr>
        <w:t> </w:t>
      </w:r>
      <w:r>
        <w:rPr/>
        <w:t>e</w:t>
      </w:r>
      <w:r>
        <w:rPr>
          <w:spacing w:val="-34"/>
        </w:rPr>
        <w:t> </w:t>
      </w:r>
      <w:r>
        <w:rPr/>
        <w:t>aceitas</w:t>
      </w:r>
      <w:r>
        <w:rPr>
          <w:spacing w:val="-34"/>
        </w:rPr>
        <w:t> </w:t>
      </w:r>
      <w:r>
        <w:rPr/>
        <w:t>por</w:t>
      </w:r>
      <w:r>
        <w:rPr>
          <w:spacing w:val="-34"/>
        </w:rPr>
        <w:t> </w:t>
      </w:r>
      <w:r>
        <w:rPr/>
        <w:t>esta. Sempre</w:t>
      </w:r>
      <w:r>
        <w:rPr>
          <w:spacing w:val="-34"/>
        </w:rPr>
        <w:t> </w:t>
      </w:r>
      <w:r>
        <w:rPr/>
        <w:t>que</w:t>
      </w:r>
      <w:r>
        <w:rPr>
          <w:spacing w:val="-33"/>
        </w:rPr>
        <w:t> </w:t>
      </w:r>
      <w:r>
        <w:rPr/>
        <w:t>possível,</w:t>
      </w:r>
      <w:r>
        <w:rPr>
          <w:spacing w:val="-34"/>
        </w:rPr>
        <w:t> </w:t>
      </w:r>
      <w:r>
        <w:rPr/>
        <w:t>adotou-se</w:t>
      </w:r>
      <w:r>
        <w:rPr>
          <w:spacing w:val="-35"/>
        </w:rPr>
        <w:t> </w:t>
      </w:r>
      <w:r>
        <w:rPr/>
        <w:t>as</w:t>
      </w:r>
      <w:r>
        <w:rPr>
          <w:spacing w:val="-32"/>
        </w:rPr>
        <w:t> </w:t>
      </w:r>
      <w:r>
        <w:rPr/>
        <w:t>mesmas</w:t>
      </w:r>
      <w:r>
        <w:rPr>
          <w:spacing w:val="-32"/>
        </w:rPr>
        <w:t> </w:t>
      </w:r>
      <w:r>
        <w:rPr/>
        <w:t>premissas</w:t>
      </w:r>
      <w:r>
        <w:rPr>
          <w:spacing w:val="-34"/>
        </w:rPr>
        <w:t> </w:t>
      </w:r>
      <w:r>
        <w:rPr/>
        <w:t>já</w:t>
      </w:r>
      <w:r>
        <w:rPr>
          <w:spacing w:val="-32"/>
        </w:rPr>
        <w:t> </w:t>
      </w:r>
      <w:r>
        <w:rPr/>
        <w:t>em</w:t>
      </w:r>
      <w:r>
        <w:rPr>
          <w:spacing w:val="-33"/>
        </w:rPr>
        <w:t> </w:t>
      </w:r>
      <w:r>
        <w:rPr/>
        <w:t>uso</w:t>
      </w:r>
      <w:r>
        <w:rPr>
          <w:spacing w:val="-32"/>
        </w:rPr>
        <w:t> </w:t>
      </w:r>
      <w:r>
        <w:rPr/>
        <w:t>nas</w:t>
      </w:r>
      <w:r>
        <w:rPr>
          <w:spacing w:val="-34"/>
        </w:rPr>
        <w:t> </w:t>
      </w:r>
      <w:r>
        <w:rPr/>
        <w:t>avaliações</w:t>
      </w:r>
      <w:r>
        <w:rPr>
          <w:spacing w:val="-34"/>
        </w:rPr>
        <w:t> </w:t>
      </w:r>
      <w:r>
        <w:rPr/>
        <w:t>atuariais</w:t>
      </w:r>
      <w:r>
        <w:rPr>
          <w:spacing w:val="-34"/>
        </w:rPr>
        <w:t> </w:t>
      </w:r>
      <w:r>
        <w:rPr/>
        <w:t>da</w:t>
      </w:r>
      <w:r>
        <w:rPr>
          <w:spacing w:val="-32"/>
        </w:rPr>
        <w:t> </w:t>
      </w:r>
      <w:r>
        <w:rPr/>
        <w:t>entidade</w:t>
      </w:r>
      <w:r>
        <w:rPr>
          <w:spacing w:val="-32"/>
        </w:rPr>
        <w:t> </w:t>
      </w:r>
      <w:r>
        <w:rPr/>
        <w:t>que</w:t>
      </w:r>
      <w:r>
        <w:rPr>
          <w:spacing w:val="-34"/>
        </w:rPr>
        <w:t> </w:t>
      </w:r>
      <w:r>
        <w:rPr/>
        <w:t>administra os</w:t>
      </w:r>
      <w:r>
        <w:rPr>
          <w:spacing w:val="-18"/>
        </w:rPr>
        <w:t> </w:t>
      </w:r>
      <w:r>
        <w:rPr/>
        <w:t>planos</w:t>
      </w:r>
      <w:r>
        <w:rPr>
          <w:spacing w:val="-18"/>
        </w:rPr>
        <w:t> </w:t>
      </w:r>
      <w:r>
        <w:rPr/>
        <w:t>de</w:t>
      </w:r>
      <w:r>
        <w:rPr>
          <w:spacing w:val="-17"/>
        </w:rPr>
        <w:t> </w:t>
      </w:r>
      <w:r>
        <w:rPr/>
        <w:t>benefícios</w:t>
      </w:r>
      <w:r>
        <w:rPr>
          <w:spacing w:val="-18"/>
        </w:rPr>
        <w:t> </w:t>
      </w:r>
      <w:r>
        <w:rPr/>
        <w:t>previdenciais</w:t>
      </w:r>
      <w:r>
        <w:rPr>
          <w:spacing w:val="-18"/>
        </w:rPr>
        <w:t> </w:t>
      </w:r>
      <w:r>
        <w:rPr/>
        <w:t>e</w:t>
      </w:r>
      <w:r>
        <w:rPr>
          <w:spacing w:val="-17"/>
        </w:rPr>
        <w:t> </w:t>
      </w:r>
      <w:r>
        <w:rPr/>
        <w:t>de</w:t>
      </w:r>
      <w:r>
        <w:rPr>
          <w:spacing w:val="-19"/>
        </w:rPr>
        <w:t> </w:t>
      </w:r>
      <w:r>
        <w:rPr/>
        <w:t>saúde,</w:t>
      </w:r>
      <w:r>
        <w:rPr>
          <w:spacing w:val="-18"/>
        </w:rPr>
        <w:t> </w:t>
      </w:r>
      <w:r>
        <w:rPr>
          <w:spacing w:val="4"/>
        </w:rPr>
        <w:t>de</w:t>
      </w:r>
      <w:r>
        <w:rPr>
          <w:spacing w:val="-17"/>
        </w:rPr>
        <w:t> </w:t>
      </w:r>
      <w:r>
        <w:rPr/>
        <w:t>forma</w:t>
      </w:r>
      <w:r>
        <w:rPr>
          <w:spacing w:val="-17"/>
        </w:rPr>
        <w:t> </w:t>
      </w:r>
      <w:r>
        <w:rPr/>
        <w:t>a</w:t>
      </w:r>
      <w:r>
        <w:rPr>
          <w:spacing w:val="-16"/>
        </w:rPr>
        <w:t> </w:t>
      </w:r>
      <w:r>
        <w:rPr/>
        <w:t>manter</w:t>
      </w:r>
      <w:r>
        <w:rPr>
          <w:spacing w:val="-17"/>
        </w:rPr>
        <w:t> </w:t>
      </w:r>
      <w:r>
        <w:rPr/>
        <w:t>compatibilidade</w:t>
      </w:r>
      <w:r>
        <w:rPr>
          <w:spacing w:val="-20"/>
        </w:rPr>
        <w:t> </w:t>
      </w:r>
      <w:r>
        <w:rPr/>
        <w:t>com</w:t>
      </w:r>
      <w:r>
        <w:rPr>
          <w:spacing w:val="-18"/>
        </w:rPr>
        <w:t> </w:t>
      </w:r>
      <w:r>
        <w:rPr/>
        <w:t>os</w:t>
      </w:r>
      <w:r>
        <w:rPr>
          <w:spacing w:val="-15"/>
        </w:rPr>
        <w:t> </w:t>
      </w:r>
      <w:r>
        <w:rPr/>
        <w:t>resultados</w:t>
      </w:r>
      <w:r>
        <w:rPr>
          <w:spacing w:val="-18"/>
        </w:rPr>
        <w:t> </w:t>
      </w:r>
      <w:r>
        <w:rPr/>
        <w:t>atuariais obtidos</w:t>
      </w:r>
      <w:r>
        <w:rPr>
          <w:spacing w:val="-36"/>
        </w:rPr>
        <w:t> </w:t>
      </w:r>
      <w:r>
        <w:rPr/>
        <w:t>por</w:t>
      </w:r>
      <w:r>
        <w:rPr>
          <w:spacing w:val="-36"/>
        </w:rPr>
        <w:t> </w:t>
      </w:r>
      <w:r>
        <w:rPr/>
        <w:t>aquela</w:t>
      </w:r>
      <w:r>
        <w:rPr>
          <w:spacing w:val="-34"/>
        </w:rPr>
        <w:t> </w:t>
      </w:r>
      <w:r>
        <w:rPr/>
        <w:t>entidade,</w:t>
      </w:r>
      <w:r>
        <w:rPr>
          <w:spacing w:val="-34"/>
        </w:rPr>
        <w:t> </w:t>
      </w:r>
      <w:r>
        <w:rPr/>
        <w:t>uma</w:t>
      </w:r>
      <w:r>
        <w:rPr>
          <w:spacing w:val="-35"/>
        </w:rPr>
        <w:t> </w:t>
      </w:r>
      <w:r>
        <w:rPr/>
        <w:t>vez</w:t>
      </w:r>
      <w:r>
        <w:rPr>
          <w:spacing w:val="-35"/>
        </w:rPr>
        <w:t> </w:t>
      </w:r>
      <w:r>
        <w:rPr/>
        <w:t>que</w:t>
      </w:r>
      <w:r>
        <w:rPr>
          <w:spacing w:val="-35"/>
        </w:rPr>
        <w:t> </w:t>
      </w:r>
      <w:r>
        <w:rPr/>
        <w:t>as</w:t>
      </w:r>
      <w:r>
        <w:rPr>
          <w:spacing w:val="-35"/>
        </w:rPr>
        <w:t> </w:t>
      </w:r>
      <w:r>
        <w:rPr/>
        <w:t>premissas</w:t>
      </w:r>
      <w:r>
        <w:rPr>
          <w:spacing w:val="-35"/>
        </w:rPr>
        <w:t> </w:t>
      </w:r>
      <w:r>
        <w:rPr/>
        <w:t>e</w:t>
      </w:r>
      <w:r>
        <w:rPr>
          <w:spacing w:val="-36"/>
        </w:rPr>
        <w:t> </w:t>
      </w:r>
      <w:r>
        <w:rPr/>
        <w:t>hipóteses</w:t>
      </w:r>
      <w:r>
        <w:rPr>
          <w:spacing w:val="-35"/>
        </w:rPr>
        <w:t> </w:t>
      </w:r>
      <w:r>
        <w:rPr/>
        <w:t>por</w:t>
      </w:r>
      <w:r>
        <w:rPr>
          <w:spacing w:val="-36"/>
        </w:rPr>
        <w:t> </w:t>
      </w:r>
      <w:r>
        <w:rPr/>
        <w:t>ela</w:t>
      </w:r>
      <w:r>
        <w:rPr>
          <w:spacing w:val="-34"/>
        </w:rPr>
        <w:t> </w:t>
      </w:r>
      <w:r>
        <w:rPr/>
        <w:t>utilizadas</w:t>
      </w:r>
      <w:r>
        <w:rPr>
          <w:spacing w:val="-35"/>
        </w:rPr>
        <w:t> </w:t>
      </w:r>
      <w:r>
        <w:rPr/>
        <w:t>atendem</w:t>
      </w:r>
      <w:r>
        <w:rPr>
          <w:spacing w:val="-36"/>
        </w:rPr>
        <w:t> </w:t>
      </w:r>
      <w:r>
        <w:rPr/>
        <w:t>aos</w:t>
      </w:r>
      <w:r>
        <w:rPr>
          <w:spacing w:val="-35"/>
        </w:rPr>
        <w:t> </w:t>
      </w:r>
      <w:r>
        <w:rPr/>
        <w:t>requisitos</w:t>
      </w:r>
      <w:r>
        <w:rPr>
          <w:spacing w:val="-35"/>
        </w:rPr>
        <w:t> </w:t>
      </w:r>
      <w:r>
        <w:rPr/>
        <w:t>legais</w:t>
      </w:r>
      <w:r>
        <w:rPr>
          <w:spacing w:val="-35"/>
        </w:rPr>
        <w:t> </w:t>
      </w:r>
      <w:r>
        <w:rPr/>
        <w:t>e são</w:t>
      </w:r>
      <w:r>
        <w:rPr>
          <w:spacing w:val="-33"/>
        </w:rPr>
        <w:t> </w:t>
      </w:r>
      <w:r>
        <w:rPr/>
        <w:t>adequadas</w:t>
      </w:r>
      <w:r>
        <w:rPr>
          <w:spacing w:val="-32"/>
        </w:rPr>
        <w:t> </w:t>
      </w:r>
      <w:r>
        <w:rPr/>
        <w:t>às</w:t>
      </w:r>
      <w:r>
        <w:rPr>
          <w:spacing w:val="-32"/>
        </w:rPr>
        <w:t> </w:t>
      </w:r>
      <w:r>
        <w:rPr/>
        <w:t>características</w:t>
      </w:r>
      <w:r>
        <w:rPr>
          <w:spacing w:val="-32"/>
        </w:rPr>
        <w:t> </w:t>
      </w:r>
      <w:r>
        <w:rPr/>
        <w:t>dos</w:t>
      </w:r>
      <w:r>
        <w:rPr>
          <w:spacing w:val="-32"/>
        </w:rPr>
        <w:t> </w:t>
      </w:r>
      <w:r>
        <w:rPr/>
        <w:t>planos</w:t>
      </w:r>
      <w:r>
        <w:rPr>
          <w:spacing w:val="-31"/>
        </w:rPr>
        <w:t> </w:t>
      </w:r>
      <w:r>
        <w:rPr/>
        <w:t>de</w:t>
      </w:r>
      <w:r>
        <w:rPr>
          <w:spacing w:val="-33"/>
        </w:rPr>
        <w:t> </w:t>
      </w:r>
      <w:r>
        <w:rPr/>
        <w:t>benefícios</w:t>
      </w:r>
      <w:r>
        <w:rPr>
          <w:spacing w:val="-32"/>
        </w:rPr>
        <w:t> </w:t>
      </w:r>
      <w:r>
        <w:rPr/>
        <w:t>por</w:t>
      </w:r>
      <w:r>
        <w:rPr>
          <w:spacing w:val="-31"/>
        </w:rPr>
        <w:t> </w:t>
      </w:r>
      <w:r>
        <w:rPr/>
        <w:t>ela</w:t>
      </w:r>
      <w:r>
        <w:rPr>
          <w:spacing w:val="-32"/>
        </w:rPr>
        <w:t> </w:t>
      </w:r>
      <w:r>
        <w:rPr/>
        <w:t>geridos.</w:t>
      </w:r>
      <w:r>
        <w:rPr>
          <w:spacing w:val="-31"/>
        </w:rPr>
        <w:t> </w:t>
      </w:r>
      <w:r>
        <w:rPr/>
        <w:t>A</w:t>
      </w:r>
      <w:r>
        <w:rPr>
          <w:spacing w:val="-32"/>
        </w:rPr>
        <w:t> </w:t>
      </w:r>
      <w:r>
        <w:rPr/>
        <w:t>tábuas</w:t>
      </w:r>
      <w:r>
        <w:rPr>
          <w:spacing w:val="-31"/>
        </w:rPr>
        <w:t> </w:t>
      </w:r>
      <w:r>
        <w:rPr/>
        <w:t>de</w:t>
      </w:r>
      <w:r>
        <w:rPr>
          <w:spacing w:val="-31"/>
        </w:rPr>
        <w:t> </w:t>
      </w:r>
      <w:r>
        <w:rPr/>
        <w:t>mortalidades</w:t>
      </w:r>
      <w:r>
        <w:rPr>
          <w:spacing w:val="-32"/>
        </w:rPr>
        <w:t> </w:t>
      </w:r>
      <w:r>
        <w:rPr/>
        <w:t>geral</w:t>
      </w:r>
      <w:r>
        <w:rPr>
          <w:spacing w:val="-32"/>
        </w:rPr>
        <w:t> </w:t>
      </w:r>
      <w:r>
        <w:rPr/>
        <w:t>utilizadas nesta</w:t>
      </w:r>
      <w:r>
        <w:rPr>
          <w:spacing w:val="-25"/>
        </w:rPr>
        <w:t> </w:t>
      </w:r>
      <w:r>
        <w:rPr/>
        <w:t>avaliação</w:t>
      </w:r>
      <w:r>
        <w:rPr>
          <w:spacing w:val="-26"/>
        </w:rPr>
        <w:t> </w:t>
      </w:r>
      <w:r>
        <w:rPr/>
        <w:t>atuarial</w:t>
      </w:r>
      <w:r>
        <w:rPr>
          <w:spacing w:val="-25"/>
        </w:rPr>
        <w:t> </w:t>
      </w:r>
      <w:r>
        <w:rPr/>
        <w:t>produzem</w:t>
      </w:r>
      <w:r>
        <w:rPr>
          <w:spacing w:val="-23"/>
        </w:rPr>
        <w:t> </w:t>
      </w:r>
      <w:r>
        <w:rPr/>
        <w:t>expectativas</w:t>
      </w:r>
      <w:r>
        <w:rPr>
          <w:spacing w:val="-26"/>
        </w:rPr>
        <w:t> </w:t>
      </w:r>
      <w:r>
        <w:rPr/>
        <w:t>de</w:t>
      </w:r>
      <w:r>
        <w:rPr>
          <w:spacing w:val="-25"/>
        </w:rPr>
        <w:t> </w:t>
      </w:r>
      <w:r>
        <w:rPr/>
        <w:t>vida</w:t>
      </w:r>
      <w:r>
        <w:rPr>
          <w:spacing w:val="-23"/>
        </w:rPr>
        <w:t> </w:t>
      </w:r>
      <w:r>
        <w:rPr/>
        <w:t>ao</w:t>
      </w:r>
      <w:r>
        <w:rPr>
          <w:spacing w:val="-26"/>
        </w:rPr>
        <w:t> </w:t>
      </w:r>
      <w:r>
        <w:rPr/>
        <w:t>nascer</w:t>
      </w:r>
      <w:r>
        <w:rPr>
          <w:spacing w:val="-25"/>
        </w:rPr>
        <w:t> </w:t>
      </w:r>
      <w:r>
        <w:rPr/>
        <w:t>iguais</w:t>
      </w:r>
      <w:r>
        <w:rPr>
          <w:spacing w:val="-25"/>
        </w:rPr>
        <w:t> </w:t>
      </w:r>
      <w:r>
        <w:rPr/>
        <w:t>a</w:t>
      </w:r>
      <w:r>
        <w:rPr>
          <w:spacing w:val="-24"/>
        </w:rPr>
        <w:t> </w:t>
      </w:r>
      <w:r>
        <w:rPr/>
        <w:t>80,1</w:t>
      </w:r>
      <w:r>
        <w:rPr>
          <w:spacing w:val="-24"/>
        </w:rPr>
        <w:t> </w:t>
      </w:r>
      <w:r>
        <w:rPr/>
        <w:t>anos</w:t>
      </w:r>
      <w:r>
        <w:rPr>
          <w:spacing w:val="-24"/>
        </w:rPr>
        <w:t> </w:t>
      </w:r>
      <w:r>
        <w:rPr/>
        <w:t>(tábua</w:t>
      </w:r>
      <w:r>
        <w:rPr>
          <w:spacing w:val="-24"/>
        </w:rPr>
        <w:t> </w:t>
      </w:r>
      <w:r>
        <w:rPr/>
        <w:t>masculina)</w:t>
      </w:r>
      <w:r>
        <w:rPr>
          <w:spacing w:val="-25"/>
        </w:rPr>
        <w:t> </w:t>
      </w:r>
      <w:r>
        <w:rPr/>
        <w:t>e</w:t>
      </w:r>
      <w:r>
        <w:rPr>
          <w:spacing w:val="-26"/>
        </w:rPr>
        <w:t> </w:t>
      </w:r>
      <w:r>
        <w:rPr/>
        <w:t>84,3</w:t>
      </w:r>
      <w:r>
        <w:rPr>
          <w:spacing w:val="-24"/>
        </w:rPr>
        <w:t> </w:t>
      </w:r>
      <w:r>
        <w:rPr/>
        <w:t>anos (tábua</w:t>
      </w:r>
      <w:r>
        <w:rPr>
          <w:spacing w:val="-17"/>
        </w:rPr>
        <w:t> </w:t>
      </w:r>
      <w:r>
        <w:rPr/>
        <w:t>feminina).</w:t>
      </w:r>
    </w:p>
    <w:p>
      <w:pPr>
        <w:pStyle w:val="BodyText"/>
        <w:spacing w:before="8"/>
      </w:pPr>
    </w:p>
    <w:p>
      <w:pPr>
        <w:pStyle w:val="BodyText"/>
        <w:spacing w:line="242" w:lineRule="auto"/>
        <w:ind w:left="172" w:right="406"/>
        <w:jc w:val="both"/>
      </w:pPr>
      <w:r>
        <w:rPr/>
        <w:t>Nos</w:t>
      </w:r>
      <w:r>
        <w:rPr>
          <w:spacing w:val="-30"/>
        </w:rPr>
        <w:t> </w:t>
      </w:r>
      <w:r>
        <w:rPr/>
        <w:t>quadros</w:t>
      </w:r>
      <w:r>
        <w:rPr>
          <w:spacing w:val="-29"/>
        </w:rPr>
        <w:t> </w:t>
      </w:r>
      <w:r>
        <w:rPr/>
        <w:t>seguintes</w:t>
      </w:r>
      <w:r>
        <w:rPr>
          <w:spacing w:val="-29"/>
        </w:rPr>
        <w:t> </w:t>
      </w:r>
      <w:r>
        <w:rPr/>
        <w:t>serão</w:t>
      </w:r>
      <w:r>
        <w:rPr>
          <w:spacing w:val="-30"/>
        </w:rPr>
        <w:t> </w:t>
      </w:r>
      <w:r>
        <w:rPr/>
        <w:t>apresentadas</w:t>
      </w:r>
      <w:r>
        <w:rPr>
          <w:spacing w:val="-27"/>
        </w:rPr>
        <w:t> </w:t>
      </w:r>
      <w:r>
        <w:rPr/>
        <w:t>as</w:t>
      </w:r>
      <w:r>
        <w:rPr>
          <w:spacing w:val="-29"/>
        </w:rPr>
        <w:t> </w:t>
      </w:r>
      <w:r>
        <w:rPr/>
        <w:t>premissas</w:t>
      </w:r>
      <w:r>
        <w:rPr>
          <w:spacing w:val="-30"/>
        </w:rPr>
        <w:t> </w:t>
      </w:r>
      <w:r>
        <w:rPr/>
        <w:t>e</w:t>
      </w:r>
      <w:r>
        <w:rPr>
          <w:spacing w:val="-29"/>
        </w:rPr>
        <w:t> </w:t>
      </w:r>
      <w:r>
        <w:rPr/>
        <w:t>hipóteses</w:t>
      </w:r>
      <w:r>
        <w:rPr>
          <w:spacing w:val="-27"/>
        </w:rPr>
        <w:t> </w:t>
      </w:r>
      <w:r>
        <w:rPr/>
        <w:t>utilizadas</w:t>
      </w:r>
      <w:r>
        <w:rPr>
          <w:spacing w:val="-29"/>
        </w:rPr>
        <w:t> </w:t>
      </w:r>
      <w:r>
        <w:rPr/>
        <w:t>nos</w:t>
      </w:r>
      <w:r>
        <w:rPr>
          <w:spacing w:val="-22"/>
        </w:rPr>
        <w:t> </w:t>
      </w:r>
      <w:r>
        <w:rPr/>
        <w:t>cálculos</w:t>
      </w:r>
      <w:r>
        <w:rPr>
          <w:spacing w:val="-29"/>
        </w:rPr>
        <w:t> </w:t>
      </w:r>
      <w:r>
        <w:rPr/>
        <w:t>atuariais.</w:t>
      </w:r>
      <w:r>
        <w:rPr>
          <w:spacing w:val="-29"/>
        </w:rPr>
        <w:t> </w:t>
      </w:r>
      <w:r>
        <w:rPr/>
        <w:t>Com</w:t>
      </w:r>
      <w:r>
        <w:rPr>
          <w:spacing w:val="-27"/>
        </w:rPr>
        <w:t> </w:t>
      </w:r>
      <w:r>
        <w:rPr/>
        <w:t>relação</w:t>
      </w:r>
      <w:r>
        <w:rPr>
          <w:spacing w:val="-30"/>
        </w:rPr>
        <w:t> </w:t>
      </w:r>
      <w:r>
        <w:rPr/>
        <w:t>à avaliação</w:t>
      </w:r>
      <w:r>
        <w:rPr>
          <w:spacing w:val="-44"/>
        </w:rPr>
        <w:t> </w:t>
      </w:r>
      <w:r>
        <w:rPr/>
        <w:t>de</w:t>
      </w:r>
      <w:r>
        <w:rPr>
          <w:spacing w:val="-43"/>
        </w:rPr>
        <w:t> </w:t>
      </w:r>
      <w:r>
        <w:rPr/>
        <w:t>dezembro</w:t>
      </w:r>
      <w:r>
        <w:rPr>
          <w:spacing w:val="-43"/>
        </w:rPr>
        <w:t> </w:t>
      </w:r>
      <w:r>
        <w:rPr/>
        <w:t>de</w:t>
      </w:r>
      <w:r>
        <w:rPr>
          <w:spacing w:val="-43"/>
        </w:rPr>
        <w:t> </w:t>
      </w:r>
      <w:r>
        <w:rPr/>
        <w:t>2018</w:t>
      </w:r>
      <w:r>
        <w:rPr>
          <w:spacing w:val="-44"/>
        </w:rPr>
        <w:t> </w:t>
      </w:r>
      <w:r>
        <w:rPr/>
        <w:t>foi</w:t>
      </w:r>
      <w:r>
        <w:rPr>
          <w:spacing w:val="-43"/>
        </w:rPr>
        <w:t> </w:t>
      </w:r>
      <w:r>
        <w:rPr/>
        <w:t>alterada</w:t>
      </w:r>
      <w:r>
        <w:rPr>
          <w:spacing w:val="-43"/>
        </w:rPr>
        <w:t> </w:t>
      </w:r>
      <w:r>
        <w:rPr/>
        <w:t>a</w:t>
      </w:r>
      <w:r>
        <w:rPr>
          <w:spacing w:val="-43"/>
        </w:rPr>
        <w:t> </w:t>
      </w:r>
      <w:r>
        <w:rPr/>
        <w:t>premissa</w:t>
      </w:r>
      <w:r>
        <w:rPr>
          <w:spacing w:val="-43"/>
        </w:rPr>
        <w:t> </w:t>
      </w:r>
      <w:r>
        <w:rPr/>
        <w:t>de</w:t>
      </w:r>
      <w:r>
        <w:rPr>
          <w:spacing w:val="-42"/>
        </w:rPr>
        <w:t> </w:t>
      </w:r>
      <w:r>
        <w:rPr/>
        <w:t>taxa</w:t>
      </w:r>
      <w:r>
        <w:rPr>
          <w:spacing w:val="-43"/>
        </w:rPr>
        <w:t> </w:t>
      </w:r>
      <w:r>
        <w:rPr/>
        <w:t>de</w:t>
      </w:r>
      <w:r>
        <w:rPr>
          <w:spacing w:val="-43"/>
        </w:rPr>
        <w:t> </w:t>
      </w:r>
      <w:r>
        <w:rPr/>
        <w:t>desconto</w:t>
      </w:r>
      <w:r>
        <w:rPr>
          <w:spacing w:val="-43"/>
        </w:rPr>
        <w:t> </w:t>
      </w:r>
      <w:r>
        <w:rPr/>
        <w:t>utilizada</w:t>
      </w:r>
      <w:r>
        <w:rPr>
          <w:spacing w:val="-43"/>
        </w:rPr>
        <w:t> </w:t>
      </w:r>
      <w:r>
        <w:rPr/>
        <w:t>no</w:t>
      </w:r>
      <w:r>
        <w:rPr>
          <w:spacing w:val="-44"/>
        </w:rPr>
        <w:t> </w:t>
      </w:r>
      <w:r>
        <w:rPr/>
        <w:t>cálculo</w:t>
      </w:r>
      <w:r>
        <w:rPr>
          <w:spacing w:val="-43"/>
        </w:rPr>
        <w:t> </w:t>
      </w:r>
      <w:r>
        <w:rPr/>
        <w:t>da</w:t>
      </w:r>
      <w:r>
        <w:rPr>
          <w:spacing w:val="-43"/>
        </w:rPr>
        <w:t> </w:t>
      </w:r>
      <w:r>
        <w:rPr/>
        <w:t>obrigação</w:t>
      </w:r>
      <w:r>
        <w:rPr>
          <w:spacing w:val="-43"/>
        </w:rPr>
        <w:t> </w:t>
      </w:r>
      <w:r>
        <w:rPr/>
        <w:t>atuarial, que</w:t>
      </w:r>
      <w:r>
        <w:rPr>
          <w:spacing w:val="-34"/>
        </w:rPr>
        <w:t> </w:t>
      </w:r>
      <w:r>
        <w:rPr/>
        <w:t>foi</w:t>
      </w:r>
      <w:r>
        <w:rPr>
          <w:spacing w:val="-36"/>
        </w:rPr>
        <w:t> </w:t>
      </w:r>
      <w:r>
        <w:rPr/>
        <w:t>modificada</w:t>
      </w:r>
      <w:r>
        <w:rPr>
          <w:spacing w:val="-34"/>
        </w:rPr>
        <w:t> </w:t>
      </w:r>
      <w:r>
        <w:rPr/>
        <w:t>de</w:t>
      </w:r>
      <w:r>
        <w:rPr>
          <w:spacing w:val="-34"/>
        </w:rPr>
        <w:t> </w:t>
      </w:r>
      <w:r>
        <w:rPr/>
        <w:t>4,91%a.a.</w:t>
      </w:r>
      <w:r>
        <w:rPr>
          <w:spacing w:val="-35"/>
        </w:rPr>
        <w:t> </w:t>
      </w:r>
      <w:r>
        <w:rPr/>
        <w:t>para</w:t>
      </w:r>
      <w:r>
        <w:rPr>
          <w:spacing w:val="-34"/>
        </w:rPr>
        <w:t> </w:t>
      </w:r>
      <w:r>
        <w:rPr/>
        <w:t>2,67%</w:t>
      </w:r>
      <w:r>
        <w:rPr>
          <w:spacing w:val="-35"/>
        </w:rPr>
        <w:t> </w:t>
      </w:r>
      <w:r>
        <w:rPr/>
        <w:t>a.a,</w:t>
      </w:r>
      <w:r>
        <w:rPr>
          <w:spacing w:val="-34"/>
        </w:rPr>
        <w:t> </w:t>
      </w:r>
      <w:r>
        <w:rPr/>
        <w:t>compatibilizando-a</w:t>
      </w:r>
      <w:r>
        <w:rPr>
          <w:spacing w:val="-35"/>
        </w:rPr>
        <w:t> </w:t>
      </w:r>
      <w:r>
        <w:rPr/>
        <w:t>com</w:t>
      </w:r>
      <w:r>
        <w:rPr>
          <w:spacing w:val="-34"/>
        </w:rPr>
        <w:t> </w:t>
      </w:r>
      <w:r>
        <w:rPr/>
        <w:t>os</w:t>
      </w:r>
      <w:r>
        <w:rPr>
          <w:spacing w:val="-35"/>
        </w:rPr>
        <w:t> </w:t>
      </w:r>
      <w:r>
        <w:rPr/>
        <w:t>rendimentos</w:t>
      </w:r>
      <w:r>
        <w:rPr>
          <w:spacing w:val="-35"/>
        </w:rPr>
        <w:t> </w:t>
      </w:r>
      <w:r>
        <w:rPr/>
        <w:t>proporcionados</w:t>
      </w:r>
      <w:r>
        <w:rPr>
          <w:spacing w:val="-34"/>
        </w:rPr>
        <w:t> </w:t>
      </w:r>
      <w:r>
        <w:rPr/>
        <w:t>por</w:t>
      </w:r>
      <w:r>
        <w:rPr>
          <w:spacing w:val="-33"/>
        </w:rPr>
        <w:t> </w:t>
      </w:r>
      <w:r>
        <w:rPr/>
        <w:t>títulos públicos</w:t>
      </w:r>
      <w:r>
        <w:rPr>
          <w:spacing w:val="-6"/>
        </w:rPr>
        <w:t> </w:t>
      </w:r>
      <w:r>
        <w:rPr/>
        <w:t>de</w:t>
      </w:r>
      <w:r>
        <w:rPr>
          <w:spacing w:val="-8"/>
        </w:rPr>
        <w:t> </w:t>
      </w:r>
      <w:r>
        <w:rPr/>
        <w:t>mercado</w:t>
      </w:r>
      <w:r>
        <w:rPr>
          <w:spacing w:val="-8"/>
        </w:rPr>
        <w:t> </w:t>
      </w:r>
      <w:r>
        <w:rPr/>
        <w:t>(NTN-B</w:t>
      </w:r>
      <w:r>
        <w:rPr>
          <w:spacing w:val="-7"/>
        </w:rPr>
        <w:t> </w:t>
      </w:r>
      <w:r>
        <w:rPr/>
        <w:t>com</w:t>
      </w:r>
      <w:r>
        <w:rPr>
          <w:spacing w:val="-6"/>
        </w:rPr>
        <w:t> </w:t>
      </w:r>
      <w:r>
        <w:rPr/>
        <w:t>vencimento</w:t>
      </w:r>
      <w:r>
        <w:rPr>
          <w:spacing w:val="-7"/>
        </w:rPr>
        <w:t> </w:t>
      </w:r>
      <w:r>
        <w:rPr/>
        <w:t>em</w:t>
      </w:r>
      <w:r>
        <w:rPr>
          <w:spacing w:val="-7"/>
        </w:rPr>
        <w:t> </w:t>
      </w:r>
      <w:r>
        <w:rPr/>
        <w:t>15</w:t>
      </w:r>
      <w:r>
        <w:rPr>
          <w:spacing w:val="-2"/>
        </w:rPr>
        <w:t> </w:t>
      </w:r>
      <w:r>
        <w:rPr/>
        <w:t>de</w:t>
      </w:r>
      <w:r>
        <w:rPr>
          <w:spacing w:val="-9"/>
        </w:rPr>
        <w:t> </w:t>
      </w:r>
      <w:r>
        <w:rPr/>
        <w:t>agosto</w:t>
      </w:r>
      <w:r>
        <w:rPr>
          <w:spacing w:val="-6"/>
        </w:rPr>
        <w:t> </w:t>
      </w:r>
      <w:r>
        <w:rPr/>
        <w:t>de</w:t>
      </w:r>
      <w:r>
        <w:rPr>
          <w:spacing w:val="-7"/>
        </w:rPr>
        <w:t> </w:t>
      </w:r>
      <w:r>
        <w:rPr/>
        <w:t>2026,</w:t>
      </w:r>
      <w:r>
        <w:rPr>
          <w:spacing w:val="-6"/>
        </w:rPr>
        <w:t> </w:t>
      </w:r>
      <w:r>
        <w:rPr/>
        <w:t>conforme</w:t>
      </w:r>
      <w:r>
        <w:rPr>
          <w:spacing w:val="-7"/>
        </w:rPr>
        <w:t> </w:t>
      </w:r>
      <w:r>
        <w:rPr/>
        <w:t>pesquisa</w:t>
      </w:r>
      <w:r>
        <w:rPr>
          <w:spacing w:val="-3"/>
        </w:rPr>
        <w:t> </w:t>
      </w:r>
      <w:r>
        <w:rPr/>
        <w:t>realizada</w:t>
      </w:r>
      <w:r>
        <w:rPr>
          <w:spacing w:val="-7"/>
        </w:rPr>
        <w:t> </w:t>
      </w:r>
      <w:r>
        <w:rPr/>
        <w:t>no</w:t>
      </w:r>
      <w:r>
        <w:rPr>
          <w:spacing w:val="-6"/>
        </w:rPr>
        <w:t> </w:t>
      </w:r>
      <w:r>
        <w:rPr/>
        <w:t>site</w:t>
      </w:r>
      <w:r>
        <w:rPr>
          <w:spacing w:val="-5"/>
        </w:rPr>
        <w:t> </w:t>
      </w:r>
      <w:r>
        <w:rPr/>
        <w:t>do Tesouro</w:t>
      </w:r>
      <w:r>
        <w:rPr>
          <w:spacing w:val="-19"/>
        </w:rPr>
        <w:t> </w:t>
      </w:r>
      <w:r>
        <w:rPr/>
        <w:t>Direto</w:t>
      </w:r>
      <w:r>
        <w:rPr>
          <w:spacing w:val="-17"/>
        </w:rPr>
        <w:t> </w:t>
      </w:r>
      <w:r>
        <w:rPr/>
        <w:t>em</w:t>
      </w:r>
      <w:r>
        <w:rPr>
          <w:spacing w:val="-16"/>
        </w:rPr>
        <w:t> </w:t>
      </w:r>
      <w:r>
        <w:rPr/>
        <w:t>31de</w:t>
      </w:r>
      <w:r>
        <w:rPr>
          <w:spacing w:val="-20"/>
        </w:rPr>
        <w:t> </w:t>
      </w:r>
      <w:r>
        <w:rPr/>
        <w:t>dezembro</w:t>
      </w:r>
      <w:r>
        <w:rPr>
          <w:spacing w:val="-15"/>
        </w:rPr>
        <w:t> </w:t>
      </w:r>
      <w:r>
        <w:rPr/>
        <w:t>de</w:t>
      </w:r>
      <w:r>
        <w:rPr>
          <w:spacing w:val="-18"/>
        </w:rPr>
        <w:t> </w:t>
      </w:r>
      <w:r>
        <w:rPr/>
        <w:t>2019.</w:t>
      </w:r>
    </w:p>
    <w:p>
      <w:pPr>
        <w:pStyle w:val="BodyText"/>
        <w:spacing w:before="9"/>
      </w:pPr>
    </w:p>
    <w:p>
      <w:pPr>
        <w:pStyle w:val="BodyText"/>
        <w:spacing w:line="242" w:lineRule="auto"/>
        <w:ind w:left="172" w:right="409"/>
        <w:jc w:val="both"/>
      </w:pPr>
      <w:r>
        <w:rPr/>
        <w:t>Os montantes no passivo e no resultado, vinculados aos planos de contribuições e benefícios definidos, são os seguintes:</w:t>
      </w:r>
    </w:p>
    <w:p>
      <w:pPr>
        <w:spacing w:after="0" w:line="242" w:lineRule="auto"/>
        <w:jc w:val="both"/>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68"/>
        <w:gridCol w:w="1371"/>
        <w:gridCol w:w="1363"/>
      </w:tblGrid>
      <w:tr>
        <w:trPr>
          <w:trHeight w:val="645" w:hRule="atLeast"/>
        </w:trPr>
        <w:tc>
          <w:tcPr>
            <w:tcW w:w="7168" w:type="dxa"/>
            <w:shd w:val="clear" w:color="auto" w:fill="D9D9D9"/>
          </w:tcPr>
          <w:p>
            <w:pPr>
              <w:pStyle w:val="TableParagraph"/>
              <w:rPr>
                <w:rFonts w:ascii="Times New Roman"/>
                <w:sz w:val="14"/>
              </w:rPr>
            </w:pPr>
          </w:p>
        </w:tc>
        <w:tc>
          <w:tcPr>
            <w:tcW w:w="1371" w:type="dxa"/>
          </w:tcPr>
          <w:p>
            <w:pPr>
              <w:pStyle w:val="TableParagraph"/>
              <w:spacing w:before="9"/>
              <w:rPr>
                <w:sz w:val="20"/>
              </w:rPr>
            </w:pPr>
          </w:p>
          <w:p>
            <w:pPr>
              <w:pStyle w:val="TableParagraph"/>
              <w:ind w:left="285"/>
              <w:rPr>
                <w:rFonts w:ascii="Caladea"/>
                <w:b/>
                <w:sz w:val="14"/>
              </w:rPr>
            </w:pPr>
            <w:r>
              <w:rPr>
                <w:rFonts w:ascii="Caladea"/>
                <w:b/>
                <w:sz w:val="14"/>
              </w:rPr>
              <w:t>31/12/2019</w:t>
            </w:r>
          </w:p>
        </w:tc>
        <w:tc>
          <w:tcPr>
            <w:tcW w:w="1363" w:type="dxa"/>
          </w:tcPr>
          <w:p>
            <w:pPr>
              <w:pStyle w:val="TableParagraph"/>
              <w:spacing w:before="6"/>
              <w:rPr>
                <w:sz w:val="13"/>
              </w:rPr>
            </w:pPr>
          </w:p>
          <w:p>
            <w:pPr>
              <w:pStyle w:val="TableParagraph"/>
              <w:ind w:left="280"/>
              <w:rPr>
                <w:rFonts w:ascii="Caladea"/>
                <w:b/>
                <w:sz w:val="14"/>
              </w:rPr>
            </w:pPr>
            <w:r>
              <w:rPr>
                <w:rFonts w:ascii="Caladea"/>
                <w:b/>
                <w:sz w:val="14"/>
              </w:rPr>
              <w:t>31/12/2018</w:t>
            </w:r>
          </w:p>
          <w:p>
            <w:pPr>
              <w:pStyle w:val="TableParagraph"/>
              <w:spacing w:before="3"/>
              <w:ind w:left="230"/>
              <w:rPr>
                <w:sz w:val="14"/>
              </w:rPr>
            </w:pPr>
            <w:r>
              <w:rPr>
                <w:sz w:val="14"/>
              </w:rPr>
              <w:t>Reapresentado</w:t>
            </w:r>
          </w:p>
        </w:tc>
      </w:tr>
      <w:tr>
        <w:trPr>
          <w:trHeight w:val="239" w:hRule="atLeast"/>
        </w:trPr>
        <w:tc>
          <w:tcPr>
            <w:tcW w:w="7168" w:type="dxa"/>
          </w:tcPr>
          <w:p>
            <w:pPr>
              <w:pStyle w:val="TableParagraph"/>
              <w:spacing w:before="37"/>
              <w:ind w:left="72"/>
              <w:rPr>
                <w:rFonts w:ascii="Caladea" w:hAnsi="Caladea"/>
                <w:b/>
                <w:sz w:val="14"/>
              </w:rPr>
            </w:pPr>
            <w:r>
              <w:rPr>
                <w:rFonts w:ascii="Caladea" w:hAnsi="Caladea"/>
                <w:b/>
                <w:sz w:val="14"/>
              </w:rPr>
              <w:t>Previdenciário</w:t>
            </w:r>
          </w:p>
        </w:tc>
        <w:tc>
          <w:tcPr>
            <w:tcW w:w="1371" w:type="dxa"/>
          </w:tcPr>
          <w:p>
            <w:pPr>
              <w:pStyle w:val="TableParagraph"/>
              <w:rPr>
                <w:rFonts w:ascii="Times New Roman"/>
                <w:sz w:val="14"/>
              </w:rPr>
            </w:pPr>
          </w:p>
        </w:tc>
        <w:tc>
          <w:tcPr>
            <w:tcW w:w="1363" w:type="dxa"/>
          </w:tcPr>
          <w:p>
            <w:pPr>
              <w:pStyle w:val="TableParagraph"/>
              <w:rPr>
                <w:rFonts w:ascii="Times New Roman"/>
                <w:sz w:val="14"/>
              </w:rPr>
            </w:pPr>
          </w:p>
        </w:tc>
      </w:tr>
      <w:tr>
        <w:trPr>
          <w:trHeight w:val="239" w:hRule="atLeast"/>
        </w:trPr>
        <w:tc>
          <w:tcPr>
            <w:tcW w:w="7168" w:type="dxa"/>
          </w:tcPr>
          <w:p>
            <w:pPr>
              <w:pStyle w:val="TableParagraph"/>
              <w:spacing w:before="38"/>
              <w:ind w:left="72"/>
              <w:rPr>
                <w:sz w:val="14"/>
              </w:rPr>
            </w:pPr>
            <w:r>
              <w:rPr>
                <w:sz w:val="14"/>
              </w:rPr>
              <w:t>Contribuições Para o Plano e Outras Obrigações</w:t>
            </w:r>
          </w:p>
        </w:tc>
        <w:tc>
          <w:tcPr>
            <w:tcW w:w="1371" w:type="dxa"/>
          </w:tcPr>
          <w:p>
            <w:pPr>
              <w:pStyle w:val="TableParagraph"/>
              <w:rPr>
                <w:rFonts w:ascii="Times New Roman"/>
                <w:sz w:val="14"/>
              </w:rPr>
            </w:pPr>
          </w:p>
        </w:tc>
        <w:tc>
          <w:tcPr>
            <w:tcW w:w="1363" w:type="dxa"/>
          </w:tcPr>
          <w:p>
            <w:pPr>
              <w:pStyle w:val="TableParagraph"/>
              <w:spacing w:before="38"/>
              <w:ind w:right="59"/>
              <w:jc w:val="right"/>
              <w:rPr>
                <w:sz w:val="14"/>
              </w:rPr>
            </w:pPr>
            <w:r>
              <w:rPr>
                <w:w w:val="95"/>
                <w:sz w:val="14"/>
              </w:rPr>
              <w:t>2.814</w:t>
            </w:r>
          </w:p>
        </w:tc>
      </w:tr>
      <w:tr>
        <w:trPr>
          <w:trHeight w:val="239" w:hRule="atLeast"/>
        </w:trPr>
        <w:tc>
          <w:tcPr>
            <w:tcW w:w="7168" w:type="dxa"/>
          </w:tcPr>
          <w:p>
            <w:pPr>
              <w:pStyle w:val="TableParagraph"/>
              <w:spacing w:before="38"/>
              <w:ind w:left="72"/>
              <w:rPr>
                <w:sz w:val="14"/>
              </w:rPr>
            </w:pPr>
            <w:r>
              <w:rPr>
                <w:sz w:val="14"/>
              </w:rPr>
              <w:t>Provisão Atuarial Previdenciária</w:t>
            </w:r>
          </w:p>
        </w:tc>
        <w:tc>
          <w:tcPr>
            <w:tcW w:w="1371" w:type="dxa"/>
          </w:tcPr>
          <w:p>
            <w:pPr>
              <w:pStyle w:val="TableParagraph"/>
              <w:spacing w:before="38"/>
              <w:ind w:right="57"/>
              <w:jc w:val="right"/>
              <w:rPr>
                <w:sz w:val="14"/>
              </w:rPr>
            </w:pPr>
            <w:r>
              <w:rPr>
                <w:w w:val="95"/>
                <w:sz w:val="14"/>
              </w:rPr>
              <w:t>100.581</w:t>
            </w:r>
          </w:p>
        </w:tc>
        <w:tc>
          <w:tcPr>
            <w:tcW w:w="1363" w:type="dxa"/>
          </w:tcPr>
          <w:p>
            <w:pPr>
              <w:pStyle w:val="TableParagraph"/>
              <w:spacing w:before="38"/>
              <w:ind w:right="59"/>
              <w:jc w:val="right"/>
              <w:rPr>
                <w:sz w:val="14"/>
              </w:rPr>
            </w:pPr>
            <w:r>
              <w:rPr>
                <w:w w:val="95"/>
                <w:sz w:val="14"/>
              </w:rPr>
              <w:t>57.007</w:t>
            </w:r>
          </w:p>
        </w:tc>
      </w:tr>
      <w:tr>
        <w:trPr>
          <w:trHeight w:val="241" w:hRule="atLeast"/>
        </w:trPr>
        <w:tc>
          <w:tcPr>
            <w:tcW w:w="7168" w:type="dxa"/>
          </w:tcPr>
          <w:p>
            <w:pPr>
              <w:pStyle w:val="TableParagraph"/>
              <w:spacing w:before="37"/>
              <w:ind w:left="72"/>
              <w:rPr>
                <w:rFonts w:ascii="Caladea"/>
                <w:b/>
                <w:sz w:val="14"/>
              </w:rPr>
            </w:pPr>
            <w:r>
              <w:rPr>
                <w:rFonts w:ascii="Caladea"/>
                <w:b/>
                <w:sz w:val="14"/>
              </w:rPr>
              <w:t>Total</w:t>
            </w:r>
          </w:p>
        </w:tc>
        <w:tc>
          <w:tcPr>
            <w:tcW w:w="1371" w:type="dxa"/>
          </w:tcPr>
          <w:p>
            <w:pPr>
              <w:pStyle w:val="TableParagraph"/>
              <w:spacing w:before="37"/>
              <w:ind w:right="57"/>
              <w:jc w:val="right"/>
              <w:rPr>
                <w:rFonts w:ascii="Caladea"/>
                <w:b/>
                <w:sz w:val="14"/>
              </w:rPr>
            </w:pPr>
            <w:r>
              <w:rPr>
                <w:rFonts w:ascii="Caladea"/>
                <w:b/>
                <w:w w:val="95"/>
                <w:sz w:val="14"/>
              </w:rPr>
              <w:t>100.581</w:t>
            </w:r>
          </w:p>
        </w:tc>
        <w:tc>
          <w:tcPr>
            <w:tcW w:w="1363" w:type="dxa"/>
          </w:tcPr>
          <w:p>
            <w:pPr>
              <w:pStyle w:val="TableParagraph"/>
              <w:spacing w:before="37"/>
              <w:ind w:right="59"/>
              <w:jc w:val="right"/>
              <w:rPr>
                <w:rFonts w:ascii="Caladea"/>
                <w:b/>
                <w:sz w:val="14"/>
              </w:rPr>
            </w:pPr>
            <w:r>
              <w:rPr>
                <w:rFonts w:ascii="Caladea"/>
                <w:b/>
                <w:sz w:val="14"/>
              </w:rPr>
              <w:t>59.821</w:t>
            </w:r>
          </w:p>
        </w:tc>
      </w:tr>
      <w:tr>
        <w:trPr>
          <w:trHeight w:val="239" w:hRule="atLeast"/>
        </w:trPr>
        <w:tc>
          <w:tcPr>
            <w:tcW w:w="7168" w:type="dxa"/>
          </w:tcPr>
          <w:p>
            <w:pPr>
              <w:pStyle w:val="TableParagraph"/>
              <w:spacing w:before="37"/>
              <w:ind w:left="72"/>
              <w:rPr>
                <w:rFonts w:ascii="Caladea"/>
                <w:b/>
                <w:sz w:val="14"/>
              </w:rPr>
            </w:pPr>
            <w:r>
              <w:rPr>
                <w:rFonts w:ascii="Caladea"/>
                <w:b/>
                <w:sz w:val="14"/>
              </w:rPr>
              <w:t>Circulante</w:t>
            </w:r>
          </w:p>
        </w:tc>
        <w:tc>
          <w:tcPr>
            <w:tcW w:w="1371" w:type="dxa"/>
          </w:tcPr>
          <w:p>
            <w:pPr>
              <w:pStyle w:val="TableParagraph"/>
              <w:spacing w:before="37"/>
              <w:ind w:right="57"/>
              <w:jc w:val="right"/>
              <w:rPr>
                <w:rFonts w:ascii="Caladea"/>
                <w:b/>
                <w:sz w:val="14"/>
              </w:rPr>
            </w:pPr>
            <w:r>
              <w:rPr>
                <w:rFonts w:ascii="Caladea"/>
                <w:b/>
                <w:w w:val="95"/>
                <w:sz w:val="14"/>
              </w:rPr>
              <w:t>2.568</w:t>
            </w:r>
          </w:p>
        </w:tc>
        <w:tc>
          <w:tcPr>
            <w:tcW w:w="1363" w:type="dxa"/>
          </w:tcPr>
          <w:p>
            <w:pPr>
              <w:pStyle w:val="TableParagraph"/>
              <w:spacing w:before="37"/>
              <w:ind w:right="59"/>
              <w:jc w:val="right"/>
              <w:rPr>
                <w:rFonts w:ascii="Caladea"/>
                <w:b/>
                <w:sz w:val="14"/>
              </w:rPr>
            </w:pPr>
            <w:r>
              <w:rPr>
                <w:rFonts w:ascii="Caladea"/>
                <w:b/>
                <w:w w:val="95"/>
                <w:sz w:val="14"/>
              </w:rPr>
              <w:t>2.814</w:t>
            </w:r>
          </w:p>
        </w:tc>
      </w:tr>
      <w:tr>
        <w:trPr>
          <w:trHeight w:val="239" w:hRule="atLeast"/>
        </w:trPr>
        <w:tc>
          <w:tcPr>
            <w:tcW w:w="7168" w:type="dxa"/>
          </w:tcPr>
          <w:p>
            <w:pPr>
              <w:pStyle w:val="TableParagraph"/>
              <w:spacing w:before="37"/>
              <w:ind w:left="72"/>
              <w:rPr>
                <w:rFonts w:ascii="Caladea" w:hAnsi="Caladea"/>
                <w:b/>
                <w:sz w:val="14"/>
              </w:rPr>
            </w:pPr>
            <w:r>
              <w:rPr>
                <w:rFonts w:ascii="Caladea" w:hAnsi="Caladea"/>
                <w:b/>
                <w:sz w:val="14"/>
              </w:rPr>
              <w:t>Não Circulante</w:t>
            </w:r>
          </w:p>
        </w:tc>
        <w:tc>
          <w:tcPr>
            <w:tcW w:w="1371" w:type="dxa"/>
          </w:tcPr>
          <w:p>
            <w:pPr>
              <w:pStyle w:val="TableParagraph"/>
              <w:spacing w:before="37"/>
              <w:ind w:right="57"/>
              <w:jc w:val="right"/>
              <w:rPr>
                <w:rFonts w:ascii="Caladea"/>
                <w:b/>
                <w:sz w:val="14"/>
              </w:rPr>
            </w:pPr>
            <w:r>
              <w:rPr>
                <w:rFonts w:ascii="Caladea"/>
                <w:b/>
                <w:sz w:val="14"/>
              </w:rPr>
              <w:t>98.013</w:t>
            </w:r>
          </w:p>
        </w:tc>
        <w:tc>
          <w:tcPr>
            <w:tcW w:w="1363" w:type="dxa"/>
          </w:tcPr>
          <w:p>
            <w:pPr>
              <w:pStyle w:val="TableParagraph"/>
              <w:spacing w:before="37"/>
              <w:ind w:right="59"/>
              <w:jc w:val="right"/>
              <w:rPr>
                <w:rFonts w:ascii="Caladea"/>
                <w:b/>
                <w:sz w:val="14"/>
              </w:rPr>
            </w:pPr>
            <w:r>
              <w:rPr>
                <w:rFonts w:ascii="Caladea"/>
                <w:b/>
                <w:sz w:val="14"/>
              </w:rPr>
              <w:t>57.007</w:t>
            </w:r>
          </w:p>
        </w:tc>
      </w:tr>
    </w:tbl>
    <w:p>
      <w:pPr>
        <w:pStyle w:val="BodyText"/>
        <w:spacing w:before="2"/>
        <w:rPr>
          <w:sz w:val="13"/>
        </w:rPr>
      </w:pPr>
    </w:p>
    <w:p>
      <w:pPr>
        <w:pStyle w:val="ListParagraph"/>
        <w:numPr>
          <w:ilvl w:val="1"/>
          <w:numId w:val="6"/>
        </w:numPr>
        <w:tabs>
          <w:tab w:pos="1025" w:val="left" w:leader="none"/>
          <w:tab w:pos="1026" w:val="left" w:leader="none"/>
        </w:tabs>
        <w:spacing w:line="240" w:lineRule="auto" w:before="101" w:after="0"/>
        <w:ind w:left="1025" w:right="0" w:hanging="854"/>
        <w:jc w:val="left"/>
        <w:rPr>
          <w:rFonts w:ascii="Caladea" w:hAnsi="Caladea"/>
          <w:b/>
          <w:sz w:val="18"/>
        </w:rPr>
      </w:pPr>
      <w:r>
        <w:rPr>
          <w:rFonts w:ascii="Caladea" w:hAnsi="Caladea"/>
          <w:b/>
          <w:sz w:val="22"/>
        </w:rPr>
        <w:t>P</w:t>
      </w:r>
      <w:r>
        <w:rPr>
          <w:rFonts w:ascii="Caladea" w:hAnsi="Caladea"/>
          <w:b/>
          <w:sz w:val="18"/>
        </w:rPr>
        <w:t>LANOS </w:t>
      </w:r>
      <w:r>
        <w:rPr>
          <w:rFonts w:ascii="Caladea" w:hAnsi="Caladea"/>
          <w:b/>
          <w:sz w:val="22"/>
        </w:rPr>
        <w:t>P</w:t>
      </w:r>
      <w:r>
        <w:rPr>
          <w:rFonts w:ascii="Caladea" w:hAnsi="Caladea"/>
          <w:b/>
          <w:sz w:val="18"/>
        </w:rPr>
        <w:t>REVIDENCIÁRIO E </w:t>
      </w:r>
      <w:r>
        <w:rPr>
          <w:rFonts w:ascii="Caladea" w:hAnsi="Caladea"/>
          <w:b/>
          <w:sz w:val="22"/>
        </w:rPr>
        <w:t>A</w:t>
      </w:r>
      <w:r>
        <w:rPr>
          <w:rFonts w:ascii="Caladea" w:hAnsi="Caladea"/>
          <w:b/>
          <w:sz w:val="18"/>
        </w:rPr>
        <w:t>SSISTENCIAL</w:t>
      </w:r>
    </w:p>
    <w:p>
      <w:pPr>
        <w:pStyle w:val="BodyText"/>
        <w:rPr>
          <w:rFonts w:ascii="Caladea"/>
          <w:b/>
          <w:sz w:val="24"/>
        </w:rPr>
      </w:pPr>
    </w:p>
    <w:p>
      <w:pPr>
        <w:pStyle w:val="BodyText"/>
        <w:spacing w:before="1"/>
        <w:ind w:left="172"/>
      </w:pPr>
      <w:r>
        <w:rPr/>
        <w:t>As movimentações a valor presente da obrigação com benefício definido são:</w:t>
      </w:r>
    </w:p>
    <w:p>
      <w:pPr>
        <w:pStyle w:val="BodyText"/>
        <w:spacing w:before="4"/>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34"/>
        <w:gridCol w:w="1536"/>
        <w:gridCol w:w="1543"/>
      </w:tblGrid>
      <w:tr>
        <w:trPr>
          <w:trHeight w:val="251" w:hRule="atLeast"/>
        </w:trPr>
        <w:tc>
          <w:tcPr>
            <w:tcW w:w="6834" w:type="dxa"/>
            <w:shd w:val="clear" w:color="auto" w:fill="D9D9D9"/>
          </w:tcPr>
          <w:p>
            <w:pPr>
              <w:pStyle w:val="TableParagraph"/>
              <w:rPr>
                <w:rFonts w:ascii="Times New Roman"/>
                <w:sz w:val="14"/>
              </w:rPr>
            </w:pPr>
          </w:p>
        </w:tc>
        <w:tc>
          <w:tcPr>
            <w:tcW w:w="3079" w:type="dxa"/>
            <w:gridSpan w:val="2"/>
          </w:tcPr>
          <w:p>
            <w:pPr>
              <w:pStyle w:val="TableParagraph"/>
              <w:spacing w:before="44"/>
              <w:ind w:left="862"/>
              <w:rPr>
                <w:rFonts w:ascii="Caladea" w:hAnsi="Caladea"/>
                <w:b/>
                <w:sz w:val="14"/>
              </w:rPr>
            </w:pPr>
            <w:r>
              <w:rPr>
                <w:rFonts w:ascii="Caladea" w:hAnsi="Caladea"/>
                <w:b/>
                <w:sz w:val="14"/>
              </w:rPr>
              <w:t>Plano Previdenciário</w:t>
            </w:r>
          </w:p>
        </w:tc>
      </w:tr>
      <w:tr>
        <w:trPr>
          <w:trHeight w:val="252" w:hRule="atLeast"/>
        </w:trPr>
        <w:tc>
          <w:tcPr>
            <w:tcW w:w="6834" w:type="dxa"/>
          </w:tcPr>
          <w:p>
            <w:pPr>
              <w:pStyle w:val="TableParagraph"/>
              <w:spacing w:before="42"/>
              <w:ind w:left="72"/>
              <w:rPr>
                <w:rFonts w:ascii="Caladea" w:hAnsi="Caladea"/>
                <w:b/>
                <w:sz w:val="14"/>
              </w:rPr>
            </w:pPr>
            <w:r>
              <w:rPr>
                <w:rFonts w:ascii="Caladea" w:hAnsi="Caladea"/>
                <w:b/>
                <w:sz w:val="14"/>
              </w:rPr>
              <w:t>Valor Presente das Obrigações Atuariais</w:t>
            </w:r>
          </w:p>
        </w:tc>
        <w:tc>
          <w:tcPr>
            <w:tcW w:w="1536" w:type="dxa"/>
          </w:tcPr>
          <w:p>
            <w:pPr>
              <w:pStyle w:val="TableParagraph"/>
              <w:spacing w:before="42"/>
              <w:ind w:left="367"/>
              <w:rPr>
                <w:rFonts w:ascii="Caladea"/>
                <w:b/>
                <w:sz w:val="14"/>
              </w:rPr>
            </w:pPr>
            <w:r>
              <w:rPr>
                <w:rFonts w:ascii="Caladea"/>
                <w:b/>
                <w:sz w:val="14"/>
              </w:rPr>
              <w:t>31/12/2019</w:t>
            </w:r>
          </w:p>
        </w:tc>
        <w:tc>
          <w:tcPr>
            <w:tcW w:w="1543" w:type="dxa"/>
          </w:tcPr>
          <w:p>
            <w:pPr>
              <w:pStyle w:val="TableParagraph"/>
              <w:spacing w:before="42"/>
              <w:ind w:left="370"/>
              <w:rPr>
                <w:rFonts w:ascii="Caladea"/>
                <w:b/>
                <w:sz w:val="14"/>
              </w:rPr>
            </w:pPr>
            <w:r>
              <w:rPr>
                <w:rFonts w:ascii="Caladea"/>
                <w:b/>
                <w:sz w:val="14"/>
              </w:rPr>
              <w:t>31/12/2018</w:t>
            </w:r>
          </w:p>
        </w:tc>
      </w:tr>
      <w:tr>
        <w:trPr>
          <w:trHeight w:val="251" w:hRule="atLeast"/>
        </w:trPr>
        <w:tc>
          <w:tcPr>
            <w:tcW w:w="6834" w:type="dxa"/>
          </w:tcPr>
          <w:p>
            <w:pPr>
              <w:pStyle w:val="TableParagraph"/>
              <w:spacing w:before="43"/>
              <w:ind w:left="72"/>
              <w:rPr>
                <w:sz w:val="14"/>
              </w:rPr>
            </w:pPr>
            <w:r>
              <w:rPr>
                <w:sz w:val="14"/>
              </w:rPr>
              <w:t>Valor Presente da Obrigação Atuarial no Início do Exercício</w:t>
            </w:r>
          </w:p>
        </w:tc>
        <w:tc>
          <w:tcPr>
            <w:tcW w:w="1536" w:type="dxa"/>
          </w:tcPr>
          <w:p>
            <w:pPr>
              <w:pStyle w:val="TableParagraph"/>
              <w:spacing w:before="43"/>
              <w:ind w:right="56"/>
              <w:jc w:val="right"/>
              <w:rPr>
                <w:sz w:val="14"/>
              </w:rPr>
            </w:pPr>
            <w:r>
              <w:rPr>
                <w:w w:val="95"/>
                <w:sz w:val="14"/>
              </w:rPr>
              <w:t>(1.673.823)</w:t>
            </w:r>
          </w:p>
        </w:tc>
        <w:tc>
          <w:tcPr>
            <w:tcW w:w="1543" w:type="dxa"/>
          </w:tcPr>
          <w:p>
            <w:pPr>
              <w:pStyle w:val="TableParagraph"/>
              <w:spacing w:before="43"/>
              <w:ind w:right="59"/>
              <w:jc w:val="right"/>
              <w:rPr>
                <w:sz w:val="14"/>
              </w:rPr>
            </w:pPr>
            <w:r>
              <w:rPr>
                <w:w w:val="95"/>
                <w:sz w:val="14"/>
              </w:rPr>
              <w:t>(1.571.007)</w:t>
            </w:r>
          </w:p>
        </w:tc>
      </w:tr>
      <w:tr>
        <w:trPr>
          <w:trHeight w:val="249" w:hRule="atLeast"/>
        </w:trPr>
        <w:tc>
          <w:tcPr>
            <w:tcW w:w="6834" w:type="dxa"/>
          </w:tcPr>
          <w:p>
            <w:pPr>
              <w:pStyle w:val="TableParagraph"/>
              <w:spacing w:before="43"/>
              <w:ind w:left="72"/>
              <w:rPr>
                <w:sz w:val="14"/>
              </w:rPr>
            </w:pPr>
            <w:r>
              <w:rPr>
                <w:sz w:val="14"/>
              </w:rPr>
              <w:t>Custo do Serviço Corrente</w:t>
            </w:r>
          </w:p>
        </w:tc>
        <w:tc>
          <w:tcPr>
            <w:tcW w:w="1536" w:type="dxa"/>
          </w:tcPr>
          <w:p>
            <w:pPr>
              <w:pStyle w:val="TableParagraph"/>
              <w:spacing w:before="43"/>
              <w:ind w:right="56"/>
              <w:jc w:val="right"/>
              <w:rPr>
                <w:sz w:val="14"/>
              </w:rPr>
            </w:pPr>
            <w:r>
              <w:rPr>
                <w:sz w:val="14"/>
              </w:rPr>
              <w:t>(12.929)</w:t>
            </w:r>
          </w:p>
        </w:tc>
        <w:tc>
          <w:tcPr>
            <w:tcW w:w="1543" w:type="dxa"/>
          </w:tcPr>
          <w:p>
            <w:pPr>
              <w:pStyle w:val="TableParagraph"/>
              <w:spacing w:before="43"/>
              <w:ind w:right="58"/>
              <w:jc w:val="right"/>
              <w:rPr>
                <w:sz w:val="14"/>
              </w:rPr>
            </w:pPr>
            <w:r>
              <w:rPr>
                <w:sz w:val="14"/>
              </w:rPr>
              <w:t>(10.602)</w:t>
            </w:r>
          </w:p>
        </w:tc>
      </w:tr>
      <w:tr>
        <w:trPr>
          <w:trHeight w:val="251" w:hRule="atLeast"/>
        </w:trPr>
        <w:tc>
          <w:tcPr>
            <w:tcW w:w="6834" w:type="dxa"/>
          </w:tcPr>
          <w:p>
            <w:pPr>
              <w:pStyle w:val="TableParagraph"/>
              <w:spacing w:before="46"/>
              <w:ind w:left="72"/>
              <w:rPr>
                <w:sz w:val="14"/>
              </w:rPr>
            </w:pPr>
            <w:r>
              <w:rPr>
                <w:sz w:val="14"/>
              </w:rPr>
              <w:t>Custo de Juros</w:t>
            </w:r>
          </w:p>
        </w:tc>
        <w:tc>
          <w:tcPr>
            <w:tcW w:w="1536" w:type="dxa"/>
          </w:tcPr>
          <w:p>
            <w:pPr>
              <w:pStyle w:val="TableParagraph"/>
              <w:spacing w:before="46"/>
              <w:ind w:right="56"/>
              <w:jc w:val="right"/>
              <w:rPr>
                <w:sz w:val="14"/>
              </w:rPr>
            </w:pPr>
            <w:r>
              <w:rPr>
                <w:sz w:val="14"/>
              </w:rPr>
              <w:t>(150.811)</w:t>
            </w:r>
          </w:p>
        </w:tc>
        <w:tc>
          <w:tcPr>
            <w:tcW w:w="1543" w:type="dxa"/>
          </w:tcPr>
          <w:p>
            <w:pPr>
              <w:pStyle w:val="TableParagraph"/>
              <w:spacing w:before="46"/>
              <w:ind w:right="58"/>
              <w:jc w:val="right"/>
              <w:rPr>
                <w:sz w:val="14"/>
              </w:rPr>
            </w:pPr>
            <w:r>
              <w:rPr>
                <w:sz w:val="14"/>
              </w:rPr>
              <w:t>(149.089)</w:t>
            </w:r>
          </w:p>
        </w:tc>
      </w:tr>
      <w:tr>
        <w:trPr>
          <w:trHeight w:val="251" w:hRule="atLeast"/>
        </w:trPr>
        <w:tc>
          <w:tcPr>
            <w:tcW w:w="6834" w:type="dxa"/>
          </w:tcPr>
          <w:p>
            <w:pPr>
              <w:pStyle w:val="TableParagraph"/>
              <w:spacing w:before="43"/>
              <w:ind w:left="72"/>
              <w:rPr>
                <w:sz w:val="14"/>
              </w:rPr>
            </w:pPr>
            <w:r>
              <w:rPr>
                <w:sz w:val="14"/>
              </w:rPr>
              <w:t>Ganhos/(Perda) Atuariais</w:t>
            </w:r>
          </w:p>
        </w:tc>
        <w:tc>
          <w:tcPr>
            <w:tcW w:w="1536" w:type="dxa"/>
          </w:tcPr>
          <w:p>
            <w:pPr>
              <w:pStyle w:val="TableParagraph"/>
              <w:spacing w:before="43"/>
              <w:ind w:right="56"/>
              <w:jc w:val="right"/>
              <w:rPr>
                <w:sz w:val="14"/>
              </w:rPr>
            </w:pPr>
            <w:r>
              <w:rPr>
                <w:sz w:val="14"/>
              </w:rPr>
              <w:t>(427.932)</w:t>
            </w:r>
          </w:p>
        </w:tc>
        <w:tc>
          <w:tcPr>
            <w:tcW w:w="1543" w:type="dxa"/>
          </w:tcPr>
          <w:p>
            <w:pPr>
              <w:pStyle w:val="TableParagraph"/>
              <w:spacing w:before="43"/>
              <w:ind w:right="58"/>
              <w:jc w:val="right"/>
              <w:rPr>
                <w:sz w:val="14"/>
              </w:rPr>
            </w:pPr>
            <w:r>
              <w:rPr>
                <w:sz w:val="14"/>
              </w:rPr>
              <w:t>(44.578)</w:t>
            </w:r>
          </w:p>
        </w:tc>
      </w:tr>
      <w:tr>
        <w:trPr>
          <w:trHeight w:val="251" w:hRule="atLeast"/>
        </w:trPr>
        <w:tc>
          <w:tcPr>
            <w:tcW w:w="6834" w:type="dxa"/>
          </w:tcPr>
          <w:p>
            <w:pPr>
              <w:pStyle w:val="TableParagraph"/>
              <w:spacing w:before="43"/>
              <w:ind w:left="72"/>
              <w:rPr>
                <w:sz w:val="14"/>
              </w:rPr>
            </w:pPr>
            <w:r>
              <w:rPr>
                <w:sz w:val="14"/>
              </w:rPr>
              <w:t>Benefícios Pagos Pelo Plano</w:t>
            </w:r>
          </w:p>
        </w:tc>
        <w:tc>
          <w:tcPr>
            <w:tcW w:w="1536" w:type="dxa"/>
          </w:tcPr>
          <w:p>
            <w:pPr>
              <w:pStyle w:val="TableParagraph"/>
              <w:spacing w:before="43"/>
              <w:ind w:right="56"/>
              <w:jc w:val="right"/>
              <w:rPr>
                <w:sz w:val="14"/>
              </w:rPr>
            </w:pPr>
            <w:r>
              <w:rPr>
                <w:w w:val="95"/>
                <w:sz w:val="14"/>
              </w:rPr>
              <w:t>113.397</w:t>
            </w:r>
          </w:p>
        </w:tc>
        <w:tc>
          <w:tcPr>
            <w:tcW w:w="1543" w:type="dxa"/>
          </w:tcPr>
          <w:p>
            <w:pPr>
              <w:pStyle w:val="TableParagraph"/>
              <w:spacing w:before="43"/>
              <w:ind w:right="59"/>
              <w:jc w:val="right"/>
              <w:rPr>
                <w:sz w:val="14"/>
              </w:rPr>
            </w:pPr>
            <w:r>
              <w:rPr>
                <w:w w:val="95"/>
                <w:sz w:val="14"/>
              </w:rPr>
              <w:t>101.453</w:t>
            </w:r>
          </w:p>
        </w:tc>
      </w:tr>
      <w:tr>
        <w:trPr>
          <w:trHeight w:val="249" w:hRule="atLeast"/>
        </w:trPr>
        <w:tc>
          <w:tcPr>
            <w:tcW w:w="6834" w:type="dxa"/>
          </w:tcPr>
          <w:p>
            <w:pPr>
              <w:pStyle w:val="TableParagraph"/>
              <w:spacing w:before="43"/>
              <w:ind w:left="72"/>
              <w:rPr>
                <w:sz w:val="14"/>
              </w:rPr>
            </w:pPr>
            <w:r>
              <w:rPr>
                <w:sz w:val="14"/>
              </w:rPr>
              <w:t>Reversão da Obrigação Atuarial</w:t>
            </w:r>
          </w:p>
        </w:tc>
        <w:tc>
          <w:tcPr>
            <w:tcW w:w="1536" w:type="dxa"/>
          </w:tcPr>
          <w:p>
            <w:pPr>
              <w:pStyle w:val="TableParagraph"/>
              <w:rPr>
                <w:rFonts w:ascii="Times New Roman"/>
                <w:sz w:val="14"/>
              </w:rPr>
            </w:pPr>
          </w:p>
        </w:tc>
        <w:tc>
          <w:tcPr>
            <w:tcW w:w="1543" w:type="dxa"/>
          </w:tcPr>
          <w:p>
            <w:pPr>
              <w:pStyle w:val="TableParagraph"/>
              <w:rPr>
                <w:rFonts w:ascii="Times New Roman"/>
                <w:sz w:val="14"/>
              </w:rPr>
            </w:pPr>
          </w:p>
        </w:tc>
      </w:tr>
      <w:tr>
        <w:trPr>
          <w:trHeight w:val="251" w:hRule="atLeast"/>
        </w:trPr>
        <w:tc>
          <w:tcPr>
            <w:tcW w:w="6834" w:type="dxa"/>
          </w:tcPr>
          <w:p>
            <w:pPr>
              <w:pStyle w:val="TableParagraph"/>
              <w:spacing w:before="44"/>
              <w:ind w:left="72"/>
              <w:rPr>
                <w:rFonts w:ascii="Caladea" w:hAnsi="Caladea"/>
                <w:b/>
                <w:sz w:val="14"/>
              </w:rPr>
            </w:pPr>
            <w:r>
              <w:rPr>
                <w:rFonts w:ascii="Caladea" w:hAnsi="Caladea"/>
                <w:b/>
                <w:sz w:val="14"/>
              </w:rPr>
              <w:t>Valor Presente da Obrigação Atuarial no Final do Período</w:t>
            </w:r>
          </w:p>
        </w:tc>
        <w:tc>
          <w:tcPr>
            <w:tcW w:w="1536" w:type="dxa"/>
          </w:tcPr>
          <w:p>
            <w:pPr>
              <w:pStyle w:val="TableParagraph"/>
              <w:spacing w:before="44"/>
              <w:ind w:right="57"/>
              <w:jc w:val="right"/>
              <w:rPr>
                <w:rFonts w:ascii="Caladea"/>
                <w:b/>
                <w:sz w:val="14"/>
              </w:rPr>
            </w:pPr>
            <w:r>
              <w:rPr>
                <w:rFonts w:ascii="Caladea"/>
                <w:b/>
                <w:sz w:val="14"/>
              </w:rPr>
              <w:t>(2.152.098)</w:t>
            </w:r>
          </w:p>
        </w:tc>
        <w:tc>
          <w:tcPr>
            <w:tcW w:w="1543" w:type="dxa"/>
          </w:tcPr>
          <w:p>
            <w:pPr>
              <w:pStyle w:val="TableParagraph"/>
              <w:spacing w:before="44"/>
              <w:ind w:right="61"/>
              <w:jc w:val="right"/>
              <w:rPr>
                <w:rFonts w:ascii="Caladea"/>
                <w:b/>
                <w:sz w:val="14"/>
              </w:rPr>
            </w:pPr>
            <w:r>
              <w:rPr>
                <w:rFonts w:ascii="Caladea"/>
                <w:b/>
                <w:sz w:val="14"/>
              </w:rPr>
              <w:t>(1.673.822)</w:t>
            </w:r>
          </w:p>
        </w:tc>
      </w:tr>
    </w:tbl>
    <w:p>
      <w:pPr>
        <w:pStyle w:val="BodyText"/>
        <w:rPr>
          <w:sz w:val="22"/>
        </w:rPr>
      </w:pPr>
    </w:p>
    <w:p>
      <w:pPr>
        <w:pStyle w:val="BodyText"/>
        <w:spacing w:before="7"/>
        <w:rPr>
          <w:sz w:val="29"/>
        </w:rPr>
      </w:pPr>
    </w:p>
    <w:p>
      <w:pPr>
        <w:pStyle w:val="BodyText"/>
        <w:ind w:left="172"/>
      </w:pPr>
      <w:r>
        <w:rPr/>
        <w:t>Análise da obrigação atuarial dos planos:</w:t>
      </w:r>
    </w:p>
    <w:p>
      <w:pPr>
        <w:pStyle w:val="BodyText"/>
        <w:spacing w:before="6"/>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98"/>
        <w:gridCol w:w="1558"/>
        <w:gridCol w:w="1560"/>
      </w:tblGrid>
      <w:tr>
        <w:trPr>
          <w:trHeight w:val="196" w:hRule="atLeast"/>
        </w:trPr>
        <w:tc>
          <w:tcPr>
            <w:tcW w:w="6798" w:type="dxa"/>
            <w:vMerge w:val="restart"/>
            <w:shd w:val="clear" w:color="auto" w:fill="D9D9D9"/>
          </w:tcPr>
          <w:p>
            <w:pPr>
              <w:pStyle w:val="TableParagraph"/>
              <w:rPr>
                <w:rFonts w:ascii="Times New Roman"/>
                <w:sz w:val="14"/>
              </w:rPr>
            </w:pPr>
          </w:p>
        </w:tc>
        <w:tc>
          <w:tcPr>
            <w:tcW w:w="3118" w:type="dxa"/>
            <w:gridSpan w:val="2"/>
          </w:tcPr>
          <w:p>
            <w:pPr>
              <w:pStyle w:val="TableParagraph"/>
              <w:spacing w:line="161" w:lineRule="exact" w:before="15"/>
              <w:ind w:left="881"/>
              <w:rPr>
                <w:rFonts w:ascii="Caladea" w:hAnsi="Caladea"/>
                <w:b/>
                <w:sz w:val="14"/>
              </w:rPr>
            </w:pPr>
            <w:r>
              <w:rPr>
                <w:rFonts w:ascii="Caladea" w:hAnsi="Caladea"/>
                <w:b/>
                <w:sz w:val="14"/>
              </w:rPr>
              <w:t>Plano Previdenciário</w:t>
            </w:r>
          </w:p>
        </w:tc>
      </w:tr>
      <w:tr>
        <w:trPr>
          <w:trHeight w:val="436" w:hRule="atLeast"/>
        </w:trPr>
        <w:tc>
          <w:tcPr>
            <w:tcW w:w="6798" w:type="dxa"/>
            <w:vMerge/>
            <w:tcBorders>
              <w:top w:val="nil"/>
            </w:tcBorders>
            <w:shd w:val="clear" w:color="auto" w:fill="D9D9D9"/>
          </w:tcPr>
          <w:p>
            <w:pPr>
              <w:rPr>
                <w:sz w:val="2"/>
                <w:szCs w:val="2"/>
              </w:rPr>
            </w:pPr>
          </w:p>
        </w:tc>
        <w:tc>
          <w:tcPr>
            <w:tcW w:w="1558" w:type="dxa"/>
          </w:tcPr>
          <w:p>
            <w:pPr>
              <w:pStyle w:val="TableParagraph"/>
              <w:spacing w:before="135"/>
              <w:ind w:left="379"/>
              <w:rPr>
                <w:rFonts w:ascii="Caladea"/>
                <w:b/>
                <w:sz w:val="14"/>
              </w:rPr>
            </w:pPr>
            <w:r>
              <w:rPr>
                <w:rFonts w:ascii="Caladea"/>
                <w:b/>
                <w:sz w:val="14"/>
              </w:rPr>
              <w:t>31/12/2019</w:t>
            </w:r>
          </w:p>
        </w:tc>
        <w:tc>
          <w:tcPr>
            <w:tcW w:w="1560" w:type="dxa"/>
          </w:tcPr>
          <w:p>
            <w:pPr>
              <w:pStyle w:val="TableParagraph"/>
              <w:spacing w:before="54"/>
              <w:ind w:left="379"/>
              <w:rPr>
                <w:rFonts w:ascii="Caladea"/>
                <w:b/>
                <w:sz w:val="14"/>
              </w:rPr>
            </w:pPr>
            <w:r>
              <w:rPr>
                <w:rFonts w:ascii="Caladea"/>
                <w:b/>
                <w:sz w:val="14"/>
              </w:rPr>
              <w:t>31/12/2018</w:t>
            </w:r>
          </w:p>
          <w:p>
            <w:pPr>
              <w:pStyle w:val="TableParagraph"/>
              <w:spacing w:before="1"/>
              <w:ind w:left="329"/>
              <w:rPr>
                <w:sz w:val="14"/>
              </w:rPr>
            </w:pPr>
            <w:r>
              <w:rPr>
                <w:sz w:val="14"/>
              </w:rPr>
              <w:t>Reapresentado</w:t>
            </w:r>
          </w:p>
        </w:tc>
      </w:tr>
      <w:tr>
        <w:trPr>
          <w:trHeight w:val="196" w:hRule="atLeast"/>
        </w:trPr>
        <w:tc>
          <w:tcPr>
            <w:tcW w:w="6798" w:type="dxa"/>
          </w:tcPr>
          <w:p>
            <w:pPr>
              <w:pStyle w:val="TableParagraph"/>
              <w:spacing w:line="159" w:lineRule="exact" w:before="17"/>
              <w:ind w:left="72"/>
              <w:rPr>
                <w:sz w:val="14"/>
              </w:rPr>
            </w:pPr>
            <w:r>
              <w:rPr>
                <w:sz w:val="14"/>
              </w:rPr>
              <w:t>Valor Presente da Obrigação Atuarial</w:t>
            </w:r>
          </w:p>
        </w:tc>
        <w:tc>
          <w:tcPr>
            <w:tcW w:w="1558" w:type="dxa"/>
          </w:tcPr>
          <w:p>
            <w:pPr>
              <w:pStyle w:val="TableParagraph"/>
              <w:spacing w:line="159" w:lineRule="exact" w:before="17"/>
              <w:ind w:right="56"/>
              <w:jc w:val="right"/>
              <w:rPr>
                <w:sz w:val="14"/>
              </w:rPr>
            </w:pPr>
            <w:r>
              <w:rPr>
                <w:w w:val="95"/>
                <w:sz w:val="14"/>
              </w:rPr>
              <w:t>2.152.098</w:t>
            </w:r>
          </w:p>
        </w:tc>
        <w:tc>
          <w:tcPr>
            <w:tcW w:w="1560" w:type="dxa"/>
          </w:tcPr>
          <w:p>
            <w:pPr>
              <w:pStyle w:val="TableParagraph"/>
              <w:spacing w:line="159" w:lineRule="exact" w:before="17"/>
              <w:ind w:right="59"/>
              <w:jc w:val="right"/>
              <w:rPr>
                <w:sz w:val="14"/>
              </w:rPr>
            </w:pPr>
            <w:r>
              <w:rPr>
                <w:w w:val="95"/>
                <w:sz w:val="14"/>
              </w:rPr>
              <w:t>1.673.823</w:t>
            </w:r>
          </w:p>
        </w:tc>
      </w:tr>
      <w:tr>
        <w:trPr>
          <w:trHeight w:val="196" w:hRule="atLeast"/>
        </w:trPr>
        <w:tc>
          <w:tcPr>
            <w:tcW w:w="6798" w:type="dxa"/>
          </w:tcPr>
          <w:p>
            <w:pPr>
              <w:pStyle w:val="TableParagraph"/>
              <w:spacing w:line="159" w:lineRule="exact" w:before="17"/>
              <w:ind w:left="72"/>
              <w:rPr>
                <w:sz w:val="14"/>
              </w:rPr>
            </w:pPr>
            <w:r>
              <w:rPr>
                <w:sz w:val="14"/>
              </w:rPr>
              <w:t>Valor Justo dos Ativos do Plano</w:t>
            </w:r>
          </w:p>
        </w:tc>
        <w:tc>
          <w:tcPr>
            <w:tcW w:w="1558" w:type="dxa"/>
          </w:tcPr>
          <w:p>
            <w:pPr>
              <w:pStyle w:val="TableParagraph"/>
              <w:spacing w:line="159" w:lineRule="exact" w:before="17"/>
              <w:ind w:right="57"/>
              <w:jc w:val="right"/>
              <w:rPr>
                <w:sz w:val="14"/>
              </w:rPr>
            </w:pPr>
            <w:r>
              <w:rPr>
                <w:w w:val="95"/>
                <w:sz w:val="14"/>
              </w:rPr>
              <w:t>(1.765.989)</w:t>
            </w:r>
          </w:p>
        </w:tc>
        <w:tc>
          <w:tcPr>
            <w:tcW w:w="1560" w:type="dxa"/>
          </w:tcPr>
          <w:p>
            <w:pPr>
              <w:pStyle w:val="TableParagraph"/>
              <w:spacing w:line="159" w:lineRule="exact" w:before="17"/>
              <w:ind w:right="59"/>
              <w:jc w:val="right"/>
              <w:rPr>
                <w:sz w:val="14"/>
              </w:rPr>
            </w:pPr>
            <w:r>
              <w:rPr>
                <w:w w:val="95"/>
                <w:sz w:val="14"/>
              </w:rPr>
              <w:t>(1.466.683)</w:t>
            </w:r>
          </w:p>
        </w:tc>
      </w:tr>
      <w:tr>
        <w:trPr>
          <w:trHeight w:val="196" w:hRule="atLeast"/>
        </w:trPr>
        <w:tc>
          <w:tcPr>
            <w:tcW w:w="6798" w:type="dxa"/>
          </w:tcPr>
          <w:p>
            <w:pPr>
              <w:pStyle w:val="TableParagraph"/>
              <w:spacing w:line="159" w:lineRule="exact" w:before="17"/>
              <w:ind w:left="72"/>
              <w:rPr>
                <w:sz w:val="14"/>
              </w:rPr>
            </w:pPr>
            <w:r>
              <w:rPr>
                <w:sz w:val="14"/>
              </w:rPr>
              <w:t>Valor Presente da Obrigação Coberta</w:t>
            </w:r>
          </w:p>
        </w:tc>
        <w:tc>
          <w:tcPr>
            <w:tcW w:w="1558" w:type="dxa"/>
          </w:tcPr>
          <w:p>
            <w:pPr>
              <w:pStyle w:val="TableParagraph"/>
              <w:spacing w:line="159" w:lineRule="exact" w:before="17"/>
              <w:ind w:right="56"/>
              <w:jc w:val="right"/>
              <w:rPr>
                <w:sz w:val="14"/>
              </w:rPr>
            </w:pPr>
            <w:r>
              <w:rPr>
                <w:w w:val="95"/>
                <w:sz w:val="14"/>
              </w:rPr>
              <w:t>1.765.989</w:t>
            </w:r>
          </w:p>
        </w:tc>
        <w:tc>
          <w:tcPr>
            <w:tcW w:w="1560" w:type="dxa"/>
          </w:tcPr>
          <w:p>
            <w:pPr>
              <w:pStyle w:val="TableParagraph"/>
              <w:spacing w:line="159" w:lineRule="exact" w:before="17"/>
              <w:ind w:right="59"/>
              <w:jc w:val="right"/>
              <w:rPr>
                <w:sz w:val="14"/>
              </w:rPr>
            </w:pPr>
            <w:r>
              <w:rPr>
                <w:w w:val="95"/>
                <w:sz w:val="14"/>
              </w:rPr>
              <w:t>1.466.683</w:t>
            </w:r>
          </w:p>
        </w:tc>
      </w:tr>
      <w:tr>
        <w:trPr>
          <w:trHeight w:val="196" w:hRule="atLeast"/>
        </w:trPr>
        <w:tc>
          <w:tcPr>
            <w:tcW w:w="6798" w:type="dxa"/>
          </w:tcPr>
          <w:p>
            <w:pPr>
              <w:pStyle w:val="TableParagraph"/>
              <w:spacing w:line="159" w:lineRule="exact" w:before="17"/>
              <w:ind w:left="72"/>
              <w:rPr>
                <w:sz w:val="14"/>
              </w:rPr>
            </w:pPr>
            <w:r>
              <w:rPr>
                <w:sz w:val="14"/>
              </w:rPr>
              <w:t>Valor Presente da Obrigação Sem Cobertura</w:t>
            </w:r>
          </w:p>
        </w:tc>
        <w:tc>
          <w:tcPr>
            <w:tcW w:w="1558" w:type="dxa"/>
          </w:tcPr>
          <w:p>
            <w:pPr>
              <w:pStyle w:val="TableParagraph"/>
              <w:spacing w:line="159" w:lineRule="exact" w:before="17"/>
              <w:ind w:right="57"/>
              <w:jc w:val="right"/>
              <w:rPr>
                <w:sz w:val="14"/>
              </w:rPr>
            </w:pPr>
            <w:r>
              <w:rPr>
                <w:w w:val="95"/>
                <w:sz w:val="14"/>
              </w:rPr>
              <w:t>386.110</w:t>
            </w:r>
          </w:p>
        </w:tc>
        <w:tc>
          <w:tcPr>
            <w:tcW w:w="1560" w:type="dxa"/>
          </w:tcPr>
          <w:p>
            <w:pPr>
              <w:pStyle w:val="TableParagraph"/>
              <w:spacing w:line="159" w:lineRule="exact" w:before="17"/>
              <w:ind w:right="59"/>
              <w:jc w:val="right"/>
              <w:rPr>
                <w:sz w:val="14"/>
              </w:rPr>
            </w:pPr>
            <w:r>
              <w:rPr>
                <w:w w:val="95"/>
                <w:sz w:val="14"/>
              </w:rPr>
              <w:t>207.140</w:t>
            </w:r>
          </w:p>
        </w:tc>
      </w:tr>
      <w:tr>
        <w:trPr>
          <w:trHeight w:val="194" w:hRule="atLeast"/>
        </w:trPr>
        <w:tc>
          <w:tcPr>
            <w:tcW w:w="6798" w:type="dxa"/>
          </w:tcPr>
          <w:p>
            <w:pPr>
              <w:pStyle w:val="TableParagraph"/>
              <w:spacing w:line="161" w:lineRule="exact" w:before="13"/>
              <w:ind w:left="72"/>
              <w:rPr>
                <w:rFonts w:ascii="Caladea" w:hAnsi="Caladea"/>
                <w:i/>
                <w:sz w:val="14"/>
              </w:rPr>
            </w:pPr>
            <w:r>
              <w:rPr>
                <w:rFonts w:ascii="Caladea" w:hAnsi="Caladea"/>
                <w:i/>
                <w:sz w:val="14"/>
              </w:rPr>
              <w:t>Parcela (%) da Obrigação Atuarial de Responsabilidade da Empresa</w:t>
            </w:r>
          </w:p>
        </w:tc>
        <w:tc>
          <w:tcPr>
            <w:tcW w:w="1558" w:type="dxa"/>
          </w:tcPr>
          <w:p>
            <w:pPr>
              <w:pStyle w:val="TableParagraph"/>
              <w:spacing w:line="159" w:lineRule="exact" w:before="14"/>
              <w:ind w:right="58"/>
              <w:jc w:val="right"/>
              <w:rPr>
                <w:sz w:val="14"/>
              </w:rPr>
            </w:pPr>
            <w:r>
              <w:rPr>
                <w:w w:val="105"/>
                <w:sz w:val="14"/>
              </w:rPr>
              <w:t>26,05%</w:t>
            </w:r>
          </w:p>
        </w:tc>
        <w:tc>
          <w:tcPr>
            <w:tcW w:w="1560" w:type="dxa"/>
          </w:tcPr>
          <w:p>
            <w:pPr>
              <w:pStyle w:val="TableParagraph"/>
              <w:spacing w:line="159" w:lineRule="exact" w:before="14"/>
              <w:ind w:right="60"/>
              <w:jc w:val="right"/>
              <w:rPr>
                <w:sz w:val="14"/>
              </w:rPr>
            </w:pPr>
            <w:r>
              <w:rPr>
                <w:w w:val="105"/>
                <w:sz w:val="14"/>
              </w:rPr>
              <w:t>27,52%</w:t>
            </w:r>
          </w:p>
        </w:tc>
      </w:tr>
      <w:tr>
        <w:trPr>
          <w:trHeight w:val="196" w:hRule="atLeast"/>
        </w:trPr>
        <w:tc>
          <w:tcPr>
            <w:tcW w:w="6798" w:type="dxa"/>
          </w:tcPr>
          <w:p>
            <w:pPr>
              <w:pStyle w:val="TableParagraph"/>
              <w:spacing w:line="159" w:lineRule="exact" w:before="17"/>
              <w:ind w:left="72"/>
              <w:rPr>
                <w:sz w:val="14"/>
              </w:rPr>
            </w:pPr>
            <w:r>
              <w:rPr>
                <w:sz w:val="14"/>
              </w:rPr>
              <w:t>Valor Presente da Obrigação Sem Cobertura de Responsabilidade da Companhia</w:t>
            </w:r>
          </w:p>
        </w:tc>
        <w:tc>
          <w:tcPr>
            <w:tcW w:w="1558" w:type="dxa"/>
          </w:tcPr>
          <w:p>
            <w:pPr>
              <w:pStyle w:val="TableParagraph"/>
              <w:spacing w:line="159" w:lineRule="exact" w:before="17"/>
              <w:ind w:right="57"/>
              <w:jc w:val="right"/>
              <w:rPr>
                <w:sz w:val="14"/>
              </w:rPr>
            </w:pPr>
            <w:r>
              <w:rPr>
                <w:w w:val="95"/>
                <w:sz w:val="14"/>
              </w:rPr>
              <w:t>100.582</w:t>
            </w:r>
          </w:p>
        </w:tc>
        <w:tc>
          <w:tcPr>
            <w:tcW w:w="1560" w:type="dxa"/>
          </w:tcPr>
          <w:p>
            <w:pPr>
              <w:pStyle w:val="TableParagraph"/>
              <w:spacing w:line="159" w:lineRule="exact" w:before="17"/>
              <w:ind w:right="59"/>
              <w:jc w:val="right"/>
              <w:rPr>
                <w:sz w:val="14"/>
              </w:rPr>
            </w:pPr>
            <w:r>
              <w:rPr>
                <w:w w:val="95"/>
                <w:sz w:val="14"/>
              </w:rPr>
              <w:t>57.007</w:t>
            </w:r>
          </w:p>
        </w:tc>
      </w:tr>
      <w:tr>
        <w:trPr>
          <w:trHeight w:val="196" w:hRule="atLeast"/>
        </w:trPr>
        <w:tc>
          <w:tcPr>
            <w:tcW w:w="6798" w:type="dxa"/>
          </w:tcPr>
          <w:p>
            <w:pPr>
              <w:pStyle w:val="TableParagraph"/>
              <w:spacing w:line="161" w:lineRule="exact" w:before="15"/>
              <w:ind w:left="72"/>
              <w:rPr>
                <w:sz w:val="14"/>
              </w:rPr>
            </w:pPr>
            <w:r>
              <w:rPr>
                <w:rFonts w:ascii="Caladea"/>
                <w:i/>
                <w:sz w:val="14"/>
              </w:rPr>
              <w:t>Status </w:t>
            </w:r>
            <w:r>
              <w:rPr>
                <w:sz w:val="14"/>
              </w:rPr>
              <w:t>dos Planos</w:t>
            </w:r>
          </w:p>
        </w:tc>
        <w:tc>
          <w:tcPr>
            <w:tcW w:w="1558" w:type="dxa"/>
          </w:tcPr>
          <w:p>
            <w:pPr>
              <w:pStyle w:val="TableParagraph"/>
              <w:spacing w:line="159" w:lineRule="exact" w:before="17"/>
              <w:ind w:right="92"/>
              <w:jc w:val="right"/>
              <w:rPr>
                <w:sz w:val="14"/>
              </w:rPr>
            </w:pPr>
            <w:r>
              <w:rPr>
                <w:w w:val="95"/>
                <w:sz w:val="14"/>
              </w:rPr>
              <w:t>Parcialmente Fundado</w:t>
            </w:r>
          </w:p>
        </w:tc>
        <w:tc>
          <w:tcPr>
            <w:tcW w:w="1560" w:type="dxa"/>
          </w:tcPr>
          <w:p>
            <w:pPr>
              <w:pStyle w:val="TableParagraph"/>
              <w:spacing w:line="159" w:lineRule="exact" w:before="17"/>
              <w:ind w:right="94"/>
              <w:jc w:val="right"/>
              <w:rPr>
                <w:sz w:val="14"/>
              </w:rPr>
            </w:pPr>
            <w:r>
              <w:rPr>
                <w:w w:val="95"/>
                <w:sz w:val="14"/>
              </w:rPr>
              <w:t>Parcialmente Fundado</w:t>
            </w:r>
          </w:p>
        </w:tc>
      </w:tr>
    </w:tbl>
    <w:p>
      <w:pPr>
        <w:pStyle w:val="BodyText"/>
        <w:spacing w:before="124"/>
        <w:ind w:left="172"/>
      </w:pPr>
      <w:r>
        <w:rPr/>
        <w:t>As movimentações no valor justo dos ativos dos planos são as seguintes:</w:t>
      </w:r>
    </w:p>
    <w:p>
      <w:pPr>
        <w:pStyle w:val="BodyText"/>
        <w:spacing w:before="6"/>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32"/>
        <w:gridCol w:w="1544"/>
        <w:gridCol w:w="1541"/>
      </w:tblGrid>
      <w:tr>
        <w:trPr>
          <w:trHeight w:val="246" w:hRule="atLeast"/>
        </w:trPr>
        <w:tc>
          <w:tcPr>
            <w:tcW w:w="6832" w:type="dxa"/>
            <w:shd w:val="clear" w:color="auto" w:fill="D9D9D9"/>
          </w:tcPr>
          <w:p>
            <w:pPr>
              <w:pStyle w:val="TableParagraph"/>
              <w:rPr>
                <w:rFonts w:ascii="Times New Roman"/>
                <w:sz w:val="14"/>
              </w:rPr>
            </w:pPr>
          </w:p>
        </w:tc>
        <w:tc>
          <w:tcPr>
            <w:tcW w:w="3085" w:type="dxa"/>
            <w:gridSpan w:val="2"/>
          </w:tcPr>
          <w:p>
            <w:pPr>
              <w:pStyle w:val="TableParagraph"/>
              <w:spacing w:before="39"/>
              <w:ind w:left="864"/>
              <w:rPr>
                <w:rFonts w:ascii="Caladea" w:hAnsi="Caladea"/>
                <w:b/>
                <w:sz w:val="14"/>
              </w:rPr>
            </w:pPr>
            <w:r>
              <w:rPr>
                <w:rFonts w:ascii="Caladea" w:hAnsi="Caladea"/>
                <w:b/>
                <w:sz w:val="14"/>
              </w:rPr>
              <w:t>Plano Previdenciário</w:t>
            </w:r>
          </w:p>
        </w:tc>
      </w:tr>
      <w:tr>
        <w:trPr>
          <w:trHeight w:val="244" w:hRule="atLeast"/>
        </w:trPr>
        <w:tc>
          <w:tcPr>
            <w:tcW w:w="6832" w:type="dxa"/>
          </w:tcPr>
          <w:p>
            <w:pPr>
              <w:pStyle w:val="TableParagraph"/>
              <w:spacing w:before="39"/>
              <w:ind w:left="72"/>
              <w:rPr>
                <w:rFonts w:ascii="Caladea"/>
                <w:b/>
                <w:sz w:val="14"/>
              </w:rPr>
            </w:pPr>
            <w:r>
              <w:rPr>
                <w:rFonts w:ascii="Caladea"/>
                <w:b/>
                <w:sz w:val="14"/>
              </w:rPr>
              <w:t>Valor Justo dos Ativos dos Planos</w:t>
            </w:r>
          </w:p>
        </w:tc>
        <w:tc>
          <w:tcPr>
            <w:tcW w:w="1544" w:type="dxa"/>
          </w:tcPr>
          <w:p>
            <w:pPr>
              <w:pStyle w:val="TableParagraph"/>
              <w:spacing w:before="39"/>
              <w:ind w:left="369"/>
              <w:rPr>
                <w:rFonts w:ascii="Caladea"/>
                <w:b/>
                <w:sz w:val="14"/>
              </w:rPr>
            </w:pPr>
            <w:r>
              <w:rPr>
                <w:rFonts w:ascii="Caladea"/>
                <w:b/>
                <w:sz w:val="14"/>
              </w:rPr>
              <w:t>31/12/2019</w:t>
            </w:r>
          </w:p>
        </w:tc>
        <w:tc>
          <w:tcPr>
            <w:tcW w:w="1541" w:type="dxa"/>
          </w:tcPr>
          <w:p>
            <w:pPr>
              <w:pStyle w:val="TableParagraph"/>
              <w:spacing w:before="39"/>
              <w:ind w:left="366"/>
              <w:rPr>
                <w:rFonts w:ascii="Caladea"/>
                <w:b/>
                <w:sz w:val="14"/>
              </w:rPr>
            </w:pPr>
            <w:r>
              <w:rPr>
                <w:rFonts w:ascii="Caladea"/>
                <w:b/>
                <w:sz w:val="14"/>
              </w:rPr>
              <w:t>31/12/2018</w:t>
            </w:r>
          </w:p>
        </w:tc>
      </w:tr>
      <w:tr>
        <w:trPr>
          <w:trHeight w:val="246" w:hRule="atLeast"/>
        </w:trPr>
        <w:tc>
          <w:tcPr>
            <w:tcW w:w="6832" w:type="dxa"/>
          </w:tcPr>
          <w:p>
            <w:pPr>
              <w:pStyle w:val="TableParagraph"/>
              <w:spacing w:before="43"/>
              <w:ind w:left="72"/>
              <w:rPr>
                <w:sz w:val="14"/>
              </w:rPr>
            </w:pPr>
            <w:r>
              <w:rPr>
                <w:sz w:val="14"/>
              </w:rPr>
              <w:t>Valor Justo dos Ativos do Plano no Início do Exercício</w:t>
            </w:r>
          </w:p>
        </w:tc>
        <w:tc>
          <w:tcPr>
            <w:tcW w:w="1544" w:type="dxa"/>
          </w:tcPr>
          <w:p>
            <w:pPr>
              <w:pStyle w:val="TableParagraph"/>
              <w:spacing w:before="43"/>
              <w:ind w:right="59"/>
              <w:jc w:val="right"/>
              <w:rPr>
                <w:sz w:val="14"/>
              </w:rPr>
            </w:pPr>
            <w:r>
              <w:rPr>
                <w:w w:val="95"/>
                <w:sz w:val="14"/>
              </w:rPr>
              <w:t>1.466.683</w:t>
            </w:r>
          </w:p>
        </w:tc>
        <w:tc>
          <w:tcPr>
            <w:tcW w:w="1541" w:type="dxa"/>
          </w:tcPr>
          <w:p>
            <w:pPr>
              <w:pStyle w:val="TableParagraph"/>
              <w:spacing w:before="43"/>
              <w:ind w:right="62"/>
              <w:jc w:val="right"/>
              <w:rPr>
                <w:sz w:val="14"/>
              </w:rPr>
            </w:pPr>
            <w:r>
              <w:rPr>
                <w:w w:val="95"/>
                <w:sz w:val="14"/>
              </w:rPr>
              <w:t>1.404.580</w:t>
            </w:r>
          </w:p>
        </w:tc>
      </w:tr>
      <w:tr>
        <w:trPr>
          <w:trHeight w:val="246" w:hRule="atLeast"/>
        </w:trPr>
        <w:tc>
          <w:tcPr>
            <w:tcW w:w="6832" w:type="dxa"/>
          </w:tcPr>
          <w:p>
            <w:pPr>
              <w:pStyle w:val="TableParagraph"/>
              <w:spacing w:before="41"/>
              <w:ind w:left="72"/>
              <w:rPr>
                <w:sz w:val="14"/>
              </w:rPr>
            </w:pPr>
            <w:r>
              <w:rPr>
                <w:sz w:val="14"/>
              </w:rPr>
              <w:t>Rendimento Esperado dos Ativos do Plano</w:t>
            </w:r>
          </w:p>
        </w:tc>
        <w:tc>
          <w:tcPr>
            <w:tcW w:w="1544" w:type="dxa"/>
          </w:tcPr>
          <w:p>
            <w:pPr>
              <w:pStyle w:val="TableParagraph"/>
              <w:spacing w:before="41"/>
              <w:ind w:right="60"/>
              <w:jc w:val="right"/>
              <w:rPr>
                <w:sz w:val="14"/>
              </w:rPr>
            </w:pPr>
            <w:r>
              <w:rPr>
                <w:w w:val="95"/>
                <w:sz w:val="14"/>
              </w:rPr>
              <w:t>132.148</w:t>
            </w:r>
          </w:p>
        </w:tc>
        <w:tc>
          <w:tcPr>
            <w:tcW w:w="1541" w:type="dxa"/>
          </w:tcPr>
          <w:p>
            <w:pPr>
              <w:pStyle w:val="TableParagraph"/>
              <w:spacing w:before="41"/>
              <w:ind w:right="63"/>
              <w:jc w:val="right"/>
              <w:rPr>
                <w:sz w:val="14"/>
              </w:rPr>
            </w:pPr>
            <w:r>
              <w:rPr>
                <w:w w:val="95"/>
                <w:sz w:val="14"/>
              </w:rPr>
              <w:t>133.295</w:t>
            </w:r>
          </w:p>
        </w:tc>
      </w:tr>
      <w:tr>
        <w:trPr>
          <w:trHeight w:val="244" w:hRule="atLeast"/>
        </w:trPr>
        <w:tc>
          <w:tcPr>
            <w:tcW w:w="6832" w:type="dxa"/>
          </w:tcPr>
          <w:p>
            <w:pPr>
              <w:pStyle w:val="TableParagraph"/>
              <w:spacing w:before="41"/>
              <w:ind w:left="72"/>
              <w:rPr>
                <w:sz w:val="14"/>
              </w:rPr>
            </w:pPr>
            <w:r>
              <w:rPr>
                <w:w w:val="105"/>
                <w:sz w:val="14"/>
              </w:rPr>
              <w:t>Contribuições Recebidas Pelo Fundo – Patrocinador</w:t>
            </w:r>
          </w:p>
        </w:tc>
        <w:tc>
          <w:tcPr>
            <w:tcW w:w="1544" w:type="dxa"/>
          </w:tcPr>
          <w:p>
            <w:pPr>
              <w:pStyle w:val="TableParagraph"/>
              <w:spacing w:before="41"/>
              <w:ind w:right="60"/>
              <w:jc w:val="right"/>
              <w:rPr>
                <w:sz w:val="14"/>
              </w:rPr>
            </w:pPr>
            <w:r>
              <w:rPr>
                <w:w w:val="95"/>
                <w:sz w:val="14"/>
              </w:rPr>
              <w:t>6.158</w:t>
            </w:r>
          </w:p>
        </w:tc>
        <w:tc>
          <w:tcPr>
            <w:tcW w:w="1541" w:type="dxa"/>
          </w:tcPr>
          <w:p>
            <w:pPr>
              <w:pStyle w:val="TableParagraph"/>
              <w:spacing w:before="41"/>
              <w:ind w:right="62"/>
              <w:jc w:val="right"/>
              <w:rPr>
                <w:sz w:val="14"/>
              </w:rPr>
            </w:pPr>
            <w:r>
              <w:rPr>
                <w:w w:val="95"/>
                <w:sz w:val="14"/>
              </w:rPr>
              <w:t>5.868</w:t>
            </w:r>
          </w:p>
        </w:tc>
      </w:tr>
      <w:tr>
        <w:trPr>
          <w:trHeight w:val="247" w:hRule="atLeast"/>
        </w:trPr>
        <w:tc>
          <w:tcPr>
            <w:tcW w:w="6832" w:type="dxa"/>
          </w:tcPr>
          <w:p>
            <w:pPr>
              <w:pStyle w:val="TableParagraph"/>
              <w:spacing w:before="44"/>
              <w:ind w:left="72"/>
              <w:rPr>
                <w:sz w:val="14"/>
              </w:rPr>
            </w:pPr>
            <w:r>
              <w:rPr>
                <w:w w:val="105"/>
                <w:sz w:val="14"/>
              </w:rPr>
              <w:t>Contribuições Recebidas Pelo Fundo – Participantes</w:t>
            </w:r>
          </w:p>
        </w:tc>
        <w:tc>
          <w:tcPr>
            <w:tcW w:w="1544" w:type="dxa"/>
          </w:tcPr>
          <w:p>
            <w:pPr>
              <w:pStyle w:val="TableParagraph"/>
              <w:spacing w:before="44"/>
              <w:ind w:right="60"/>
              <w:jc w:val="right"/>
              <w:rPr>
                <w:sz w:val="14"/>
              </w:rPr>
            </w:pPr>
            <w:r>
              <w:rPr>
                <w:w w:val="95"/>
                <w:sz w:val="14"/>
              </w:rPr>
              <w:t>4.720</w:t>
            </w:r>
          </w:p>
        </w:tc>
        <w:tc>
          <w:tcPr>
            <w:tcW w:w="1541" w:type="dxa"/>
          </w:tcPr>
          <w:p>
            <w:pPr>
              <w:pStyle w:val="TableParagraph"/>
              <w:spacing w:before="44"/>
              <w:ind w:right="62"/>
              <w:jc w:val="right"/>
              <w:rPr>
                <w:sz w:val="14"/>
              </w:rPr>
            </w:pPr>
            <w:r>
              <w:rPr>
                <w:w w:val="95"/>
                <w:sz w:val="14"/>
              </w:rPr>
              <w:t>5.344</w:t>
            </w:r>
          </w:p>
        </w:tc>
      </w:tr>
      <w:tr>
        <w:trPr>
          <w:trHeight w:val="246" w:hRule="atLeast"/>
        </w:trPr>
        <w:tc>
          <w:tcPr>
            <w:tcW w:w="6832" w:type="dxa"/>
          </w:tcPr>
          <w:p>
            <w:pPr>
              <w:pStyle w:val="TableParagraph"/>
              <w:spacing w:before="41"/>
              <w:ind w:left="72"/>
              <w:rPr>
                <w:sz w:val="14"/>
              </w:rPr>
            </w:pPr>
            <w:r>
              <w:rPr>
                <w:sz w:val="14"/>
              </w:rPr>
              <w:t>Benefícios Pagos Pelo Fundo</w:t>
            </w:r>
          </w:p>
        </w:tc>
        <w:tc>
          <w:tcPr>
            <w:tcW w:w="1544" w:type="dxa"/>
          </w:tcPr>
          <w:p>
            <w:pPr>
              <w:pStyle w:val="TableParagraph"/>
              <w:spacing w:before="41"/>
              <w:ind w:right="60"/>
              <w:jc w:val="right"/>
              <w:rPr>
                <w:sz w:val="14"/>
              </w:rPr>
            </w:pPr>
            <w:r>
              <w:rPr>
                <w:sz w:val="14"/>
              </w:rPr>
              <w:t>(113.397)</w:t>
            </w:r>
          </w:p>
        </w:tc>
        <w:tc>
          <w:tcPr>
            <w:tcW w:w="1541" w:type="dxa"/>
          </w:tcPr>
          <w:p>
            <w:pPr>
              <w:pStyle w:val="TableParagraph"/>
              <w:spacing w:before="41"/>
              <w:ind w:right="63"/>
              <w:jc w:val="right"/>
              <w:rPr>
                <w:sz w:val="14"/>
              </w:rPr>
            </w:pPr>
            <w:r>
              <w:rPr>
                <w:sz w:val="14"/>
              </w:rPr>
              <w:t>(101.453)</w:t>
            </w:r>
          </w:p>
        </w:tc>
      </w:tr>
      <w:tr>
        <w:trPr>
          <w:trHeight w:val="244" w:hRule="atLeast"/>
        </w:trPr>
        <w:tc>
          <w:tcPr>
            <w:tcW w:w="6832" w:type="dxa"/>
          </w:tcPr>
          <w:p>
            <w:pPr>
              <w:pStyle w:val="TableParagraph"/>
              <w:spacing w:before="41"/>
              <w:ind w:left="72"/>
              <w:rPr>
                <w:sz w:val="14"/>
              </w:rPr>
            </w:pPr>
            <w:r>
              <w:rPr>
                <w:sz w:val="14"/>
              </w:rPr>
              <w:t>Ganhos/(Perda) Atuariais</w:t>
            </w:r>
          </w:p>
        </w:tc>
        <w:tc>
          <w:tcPr>
            <w:tcW w:w="1544" w:type="dxa"/>
          </w:tcPr>
          <w:p>
            <w:pPr>
              <w:pStyle w:val="TableParagraph"/>
              <w:spacing w:before="41"/>
              <w:ind w:right="60"/>
              <w:jc w:val="right"/>
              <w:rPr>
                <w:sz w:val="14"/>
              </w:rPr>
            </w:pPr>
            <w:r>
              <w:rPr>
                <w:w w:val="95"/>
                <w:sz w:val="14"/>
              </w:rPr>
              <w:t>269.677</w:t>
            </w:r>
          </w:p>
        </w:tc>
        <w:tc>
          <w:tcPr>
            <w:tcW w:w="1541" w:type="dxa"/>
          </w:tcPr>
          <w:p>
            <w:pPr>
              <w:pStyle w:val="TableParagraph"/>
              <w:spacing w:before="41"/>
              <w:ind w:right="62"/>
              <w:jc w:val="right"/>
              <w:rPr>
                <w:sz w:val="14"/>
              </w:rPr>
            </w:pPr>
            <w:r>
              <w:rPr>
                <w:w w:val="95"/>
                <w:sz w:val="14"/>
              </w:rPr>
              <w:t>19.049</w:t>
            </w:r>
          </w:p>
        </w:tc>
      </w:tr>
      <w:tr>
        <w:trPr>
          <w:trHeight w:val="246" w:hRule="atLeast"/>
        </w:trPr>
        <w:tc>
          <w:tcPr>
            <w:tcW w:w="6832" w:type="dxa"/>
          </w:tcPr>
          <w:p>
            <w:pPr>
              <w:pStyle w:val="TableParagraph"/>
              <w:spacing w:before="42"/>
              <w:ind w:left="72"/>
              <w:rPr>
                <w:rFonts w:ascii="Caladea" w:hAnsi="Caladea"/>
                <w:b/>
                <w:sz w:val="14"/>
              </w:rPr>
            </w:pPr>
            <w:r>
              <w:rPr>
                <w:rFonts w:ascii="Caladea" w:hAnsi="Caladea"/>
                <w:b/>
                <w:sz w:val="14"/>
              </w:rPr>
              <w:t>Valor Justo dos Ativos dos Planos no Final do Período</w:t>
            </w:r>
          </w:p>
        </w:tc>
        <w:tc>
          <w:tcPr>
            <w:tcW w:w="1544" w:type="dxa"/>
          </w:tcPr>
          <w:p>
            <w:pPr>
              <w:pStyle w:val="TableParagraph"/>
              <w:spacing w:before="42"/>
              <w:ind w:right="60"/>
              <w:jc w:val="right"/>
              <w:rPr>
                <w:rFonts w:ascii="Caladea"/>
                <w:b/>
                <w:sz w:val="14"/>
              </w:rPr>
            </w:pPr>
            <w:r>
              <w:rPr>
                <w:rFonts w:ascii="Caladea"/>
                <w:b/>
                <w:w w:val="95"/>
                <w:sz w:val="14"/>
              </w:rPr>
              <w:t>1.765.989</w:t>
            </w:r>
          </w:p>
        </w:tc>
        <w:tc>
          <w:tcPr>
            <w:tcW w:w="1541" w:type="dxa"/>
          </w:tcPr>
          <w:p>
            <w:pPr>
              <w:pStyle w:val="TableParagraph"/>
              <w:spacing w:before="42"/>
              <w:ind w:right="62"/>
              <w:jc w:val="right"/>
              <w:rPr>
                <w:rFonts w:ascii="Caladea"/>
                <w:b/>
                <w:sz w:val="14"/>
              </w:rPr>
            </w:pPr>
            <w:r>
              <w:rPr>
                <w:rFonts w:ascii="Caladea"/>
                <w:b/>
                <w:w w:val="95"/>
                <w:sz w:val="14"/>
              </w:rPr>
              <w:t>1.466.683</w:t>
            </w:r>
          </w:p>
        </w:tc>
      </w:tr>
    </w:tbl>
    <w:p>
      <w:pPr>
        <w:spacing w:after="0"/>
        <w:jc w:val="right"/>
        <w:rPr>
          <w:rFonts w:ascii="Caladea"/>
          <w:sz w:val="14"/>
        </w:rPr>
        <w:sectPr>
          <w:pgSz w:w="11910" w:h="16850"/>
          <w:pgMar w:header="792" w:footer="987"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before="16"/>
        <w:ind w:left="172"/>
      </w:pPr>
      <w:r>
        <w:rPr/>
        <w:t>Conciliação dos valores reconhecidos no balanço:</w:t>
      </w:r>
    </w:p>
    <w:p>
      <w:pPr>
        <w:pStyle w:val="BodyText"/>
        <w:spacing w:before="7"/>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77"/>
        <w:gridCol w:w="1371"/>
        <w:gridCol w:w="1368"/>
      </w:tblGrid>
      <w:tr>
        <w:trPr>
          <w:trHeight w:val="198" w:hRule="atLeast"/>
        </w:trPr>
        <w:tc>
          <w:tcPr>
            <w:tcW w:w="7177" w:type="dxa"/>
            <w:shd w:val="clear" w:color="auto" w:fill="D9D9D9"/>
          </w:tcPr>
          <w:p>
            <w:pPr>
              <w:pStyle w:val="TableParagraph"/>
              <w:rPr>
                <w:rFonts w:ascii="Times New Roman"/>
                <w:sz w:val="12"/>
              </w:rPr>
            </w:pPr>
          </w:p>
        </w:tc>
        <w:tc>
          <w:tcPr>
            <w:tcW w:w="2739" w:type="dxa"/>
            <w:gridSpan w:val="2"/>
          </w:tcPr>
          <w:p>
            <w:pPr>
              <w:pStyle w:val="TableParagraph"/>
              <w:spacing w:line="163" w:lineRule="exact" w:before="15"/>
              <w:ind w:left="689"/>
              <w:rPr>
                <w:rFonts w:ascii="Caladea" w:hAnsi="Caladea"/>
                <w:b/>
                <w:sz w:val="14"/>
              </w:rPr>
            </w:pPr>
            <w:r>
              <w:rPr>
                <w:rFonts w:ascii="Caladea" w:hAnsi="Caladea"/>
                <w:b/>
                <w:sz w:val="14"/>
              </w:rPr>
              <w:t>Plano Previdenciário</w:t>
            </w:r>
          </w:p>
        </w:tc>
      </w:tr>
      <w:tr>
        <w:trPr>
          <w:trHeight w:val="328" w:hRule="atLeast"/>
        </w:trPr>
        <w:tc>
          <w:tcPr>
            <w:tcW w:w="7177" w:type="dxa"/>
          </w:tcPr>
          <w:p>
            <w:pPr>
              <w:pStyle w:val="TableParagraph"/>
              <w:spacing w:before="80"/>
              <w:ind w:left="72"/>
              <w:rPr>
                <w:rFonts w:ascii="Caladea" w:hAnsi="Caladea"/>
                <w:b/>
                <w:sz w:val="14"/>
              </w:rPr>
            </w:pPr>
            <w:r>
              <w:rPr>
                <w:rFonts w:ascii="Caladea" w:hAnsi="Caladea"/>
                <w:b/>
                <w:sz w:val="14"/>
              </w:rPr>
              <w:t>Valores Reconhecidos no Balanço Patrimonial</w:t>
            </w:r>
          </w:p>
        </w:tc>
        <w:tc>
          <w:tcPr>
            <w:tcW w:w="1371" w:type="dxa"/>
          </w:tcPr>
          <w:p>
            <w:pPr>
              <w:pStyle w:val="TableParagraph"/>
              <w:spacing w:before="80"/>
              <w:ind w:left="283"/>
              <w:rPr>
                <w:rFonts w:ascii="Caladea"/>
                <w:b/>
                <w:sz w:val="14"/>
              </w:rPr>
            </w:pPr>
            <w:r>
              <w:rPr>
                <w:rFonts w:ascii="Caladea"/>
                <w:b/>
                <w:sz w:val="14"/>
              </w:rPr>
              <w:t>31/12/2019</w:t>
            </w:r>
          </w:p>
        </w:tc>
        <w:tc>
          <w:tcPr>
            <w:tcW w:w="1368" w:type="dxa"/>
          </w:tcPr>
          <w:p>
            <w:pPr>
              <w:pStyle w:val="TableParagraph"/>
              <w:spacing w:line="163" w:lineRule="exact"/>
              <w:ind w:left="280"/>
              <w:rPr>
                <w:rFonts w:ascii="Caladea"/>
                <w:b/>
                <w:sz w:val="14"/>
              </w:rPr>
            </w:pPr>
            <w:r>
              <w:rPr>
                <w:rFonts w:ascii="Caladea"/>
                <w:b/>
                <w:sz w:val="14"/>
              </w:rPr>
              <w:t>31/12/2018</w:t>
            </w:r>
          </w:p>
          <w:p>
            <w:pPr>
              <w:pStyle w:val="TableParagraph"/>
              <w:spacing w:line="145" w:lineRule="exact"/>
              <w:ind w:left="232"/>
              <w:rPr>
                <w:sz w:val="14"/>
              </w:rPr>
            </w:pPr>
            <w:r>
              <w:rPr>
                <w:sz w:val="14"/>
              </w:rPr>
              <w:t>Reapresentado</w:t>
            </w:r>
          </w:p>
        </w:tc>
      </w:tr>
      <w:tr>
        <w:trPr>
          <w:trHeight w:val="196" w:hRule="atLeast"/>
        </w:trPr>
        <w:tc>
          <w:tcPr>
            <w:tcW w:w="7177" w:type="dxa"/>
          </w:tcPr>
          <w:p>
            <w:pPr>
              <w:pStyle w:val="TableParagraph"/>
              <w:spacing w:line="159" w:lineRule="exact" w:before="17"/>
              <w:ind w:left="72"/>
              <w:rPr>
                <w:sz w:val="14"/>
              </w:rPr>
            </w:pPr>
            <w:r>
              <w:rPr>
                <w:sz w:val="14"/>
              </w:rPr>
              <w:t>Valor Presente da Obrigação Atuarial</w:t>
            </w:r>
          </w:p>
        </w:tc>
        <w:tc>
          <w:tcPr>
            <w:tcW w:w="1371" w:type="dxa"/>
          </w:tcPr>
          <w:p>
            <w:pPr>
              <w:pStyle w:val="TableParagraph"/>
              <w:spacing w:line="159" w:lineRule="exact" w:before="17"/>
              <w:ind w:right="59"/>
              <w:jc w:val="right"/>
              <w:rPr>
                <w:sz w:val="14"/>
              </w:rPr>
            </w:pPr>
            <w:r>
              <w:rPr>
                <w:w w:val="95"/>
                <w:sz w:val="14"/>
              </w:rPr>
              <w:t>386.110</w:t>
            </w:r>
          </w:p>
        </w:tc>
        <w:tc>
          <w:tcPr>
            <w:tcW w:w="1368" w:type="dxa"/>
          </w:tcPr>
          <w:p>
            <w:pPr>
              <w:pStyle w:val="TableParagraph"/>
              <w:spacing w:line="159" w:lineRule="exact" w:before="17"/>
              <w:ind w:right="59"/>
              <w:jc w:val="right"/>
              <w:rPr>
                <w:sz w:val="14"/>
              </w:rPr>
            </w:pPr>
            <w:r>
              <w:rPr>
                <w:w w:val="95"/>
                <w:sz w:val="14"/>
              </w:rPr>
              <w:t>207.140</w:t>
            </w:r>
          </w:p>
        </w:tc>
      </w:tr>
      <w:tr>
        <w:trPr>
          <w:trHeight w:val="198" w:hRule="atLeast"/>
        </w:trPr>
        <w:tc>
          <w:tcPr>
            <w:tcW w:w="7177" w:type="dxa"/>
          </w:tcPr>
          <w:p>
            <w:pPr>
              <w:pStyle w:val="TableParagraph"/>
              <w:spacing w:line="159" w:lineRule="exact" w:before="19"/>
              <w:ind w:left="72"/>
              <w:rPr>
                <w:sz w:val="14"/>
              </w:rPr>
            </w:pPr>
            <w:r>
              <w:rPr>
                <w:sz w:val="14"/>
              </w:rPr>
              <w:t>Passivo/(Ativo) Líquido Reconhecido no Final do Período (Saldo da Dívida com a FACEB)</w:t>
            </w:r>
          </w:p>
        </w:tc>
        <w:tc>
          <w:tcPr>
            <w:tcW w:w="1371" w:type="dxa"/>
          </w:tcPr>
          <w:p>
            <w:pPr>
              <w:pStyle w:val="TableParagraph"/>
              <w:spacing w:line="159" w:lineRule="exact" w:before="19"/>
              <w:ind w:right="59"/>
              <w:jc w:val="right"/>
              <w:rPr>
                <w:sz w:val="14"/>
              </w:rPr>
            </w:pPr>
            <w:r>
              <w:rPr>
                <w:w w:val="95"/>
                <w:sz w:val="14"/>
              </w:rPr>
              <w:t>414.455</w:t>
            </w:r>
          </w:p>
        </w:tc>
        <w:tc>
          <w:tcPr>
            <w:tcW w:w="1368" w:type="dxa"/>
          </w:tcPr>
          <w:p>
            <w:pPr>
              <w:pStyle w:val="TableParagraph"/>
              <w:spacing w:line="159" w:lineRule="exact" w:before="19"/>
              <w:ind w:right="59"/>
              <w:jc w:val="right"/>
              <w:rPr>
                <w:sz w:val="14"/>
              </w:rPr>
            </w:pPr>
            <w:r>
              <w:rPr>
                <w:w w:val="95"/>
                <w:sz w:val="14"/>
              </w:rPr>
              <w:t>140.026</w:t>
            </w:r>
          </w:p>
        </w:tc>
      </w:tr>
      <w:tr>
        <w:trPr>
          <w:trHeight w:val="198" w:hRule="atLeast"/>
        </w:trPr>
        <w:tc>
          <w:tcPr>
            <w:tcW w:w="7177" w:type="dxa"/>
            <w:shd w:val="clear" w:color="auto" w:fill="D9D9D9"/>
          </w:tcPr>
          <w:p>
            <w:pPr>
              <w:pStyle w:val="TableParagraph"/>
              <w:rPr>
                <w:rFonts w:ascii="Times New Roman"/>
                <w:sz w:val="12"/>
              </w:rPr>
            </w:pPr>
          </w:p>
        </w:tc>
        <w:tc>
          <w:tcPr>
            <w:tcW w:w="1371" w:type="dxa"/>
            <w:shd w:val="clear" w:color="auto" w:fill="D9D9D9"/>
          </w:tcPr>
          <w:p>
            <w:pPr>
              <w:pStyle w:val="TableParagraph"/>
              <w:rPr>
                <w:rFonts w:ascii="Times New Roman"/>
                <w:sz w:val="12"/>
              </w:rPr>
            </w:pPr>
          </w:p>
        </w:tc>
        <w:tc>
          <w:tcPr>
            <w:tcW w:w="1368" w:type="dxa"/>
            <w:shd w:val="clear" w:color="auto" w:fill="D9D9D9"/>
          </w:tcPr>
          <w:p>
            <w:pPr>
              <w:pStyle w:val="TableParagraph"/>
              <w:rPr>
                <w:rFonts w:ascii="Times New Roman"/>
                <w:sz w:val="12"/>
              </w:rPr>
            </w:pPr>
          </w:p>
        </w:tc>
      </w:tr>
      <w:tr>
        <w:trPr>
          <w:trHeight w:val="196" w:hRule="atLeast"/>
        </w:trPr>
        <w:tc>
          <w:tcPr>
            <w:tcW w:w="7177" w:type="dxa"/>
          </w:tcPr>
          <w:p>
            <w:pPr>
              <w:pStyle w:val="TableParagraph"/>
              <w:spacing w:line="161" w:lineRule="exact" w:before="15"/>
              <w:ind w:left="72"/>
              <w:rPr>
                <w:rFonts w:ascii="Caladea" w:hAnsi="Caladea"/>
                <w:b/>
                <w:sz w:val="14"/>
              </w:rPr>
            </w:pPr>
            <w:r>
              <w:rPr>
                <w:rFonts w:ascii="Caladea" w:hAnsi="Caladea"/>
                <w:b/>
                <w:sz w:val="14"/>
              </w:rPr>
              <w:t>Movimentação do Passivo (Ativo) Líquido Reconhecido no Balanço</w:t>
            </w:r>
          </w:p>
        </w:tc>
        <w:tc>
          <w:tcPr>
            <w:tcW w:w="1371" w:type="dxa"/>
          </w:tcPr>
          <w:p>
            <w:pPr>
              <w:pStyle w:val="TableParagraph"/>
              <w:rPr>
                <w:rFonts w:ascii="Times New Roman"/>
                <w:sz w:val="12"/>
              </w:rPr>
            </w:pPr>
          </w:p>
        </w:tc>
        <w:tc>
          <w:tcPr>
            <w:tcW w:w="1368" w:type="dxa"/>
          </w:tcPr>
          <w:p>
            <w:pPr>
              <w:pStyle w:val="TableParagraph"/>
              <w:rPr>
                <w:rFonts w:ascii="Times New Roman"/>
                <w:sz w:val="12"/>
              </w:rPr>
            </w:pPr>
          </w:p>
        </w:tc>
      </w:tr>
      <w:tr>
        <w:trPr>
          <w:trHeight w:val="198" w:hRule="atLeast"/>
        </w:trPr>
        <w:tc>
          <w:tcPr>
            <w:tcW w:w="7177" w:type="dxa"/>
          </w:tcPr>
          <w:p>
            <w:pPr>
              <w:pStyle w:val="TableParagraph"/>
              <w:spacing w:line="159" w:lineRule="exact" w:before="19"/>
              <w:ind w:left="72"/>
              <w:rPr>
                <w:sz w:val="14"/>
              </w:rPr>
            </w:pPr>
            <w:r>
              <w:rPr>
                <w:sz w:val="14"/>
              </w:rPr>
              <w:t>Passivo (Ativo) Reconhecido no Início do Exercício</w:t>
            </w:r>
          </w:p>
        </w:tc>
        <w:tc>
          <w:tcPr>
            <w:tcW w:w="1371" w:type="dxa"/>
          </w:tcPr>
          <w:p>
            <w:pPr>
              <w:pStyle w:val="TableParagraph"/>
              <w:spacing w:line="159" w:lineRule="exact" w:before="19"/>
              <w:ind w:right="59"/>
              <w:jc w:val="right"/>
              <w:rPr>
                <w:sz w:val="14"/>
              </w:rPr>
            </w:pPr>
            <w:r>
              <w:rPr>
                <w:w w:val="95"/>
                <w:sz w:val="14"/>
              </w:rPr>
              <w:t>207.140</w:t>
            </w:r>
          </w:p>
        </w:tc>
        <w:tc>
          <w:tcPr>
            <w:tcW w:w="1368" w:type="dxa"/>
          </w:tcPr>
          <w:p>
            <w:pPr>
              <w:pStyle w:val="TableParagraph"/>
              <w:spacing w:line="159" w:lineRule="exact" w:before="19"/>
              <w:ind w:right="59"/>
              <w:jc w:val="right"/>
              <w:rPr>
                <w:sz w:val="14"/>
              </w:rPr>
            </w:pPr>
            <w:r>
              <w:rPr>
                <w:w w:val="95"/>
                <w:sz w:val="14"/>
              </w:rPr>
              <w:t>166.427</w:t>
            </w:r>
          </w:p>
        </w:tc>
      </w:tr>
      <w:tr>
        <w:trPr>
          <w:trHeight w:val="198" w:hRule="atLeast"/>
        </w:trPr>
        <w:tc>
          <w:tcPr>
            <w:tcW w:w="7177" w:type="dxa"/>
          </w:tcPr>
          <w:p>
            <w:pPr>
              <w:pStyle w:val="TableParagraph"/>
              <w:spacing w:line="162" w:lineRule="exact" w:before="17"/>
              <w:ind w:left="72"/>
              <w:rPr>
                <w:sz w:val="14"/>
              </w:rPr>
            </w:pPr>
            <w:r>
              <w:rPr>
                <w:sz w:val="14"/>
              </w:rPr>
              <w:t>Contribuições Aportadas no Plano</w:t>
            </w:r>
          </w:p>
        </w:tc>
        <w:tc>
          <w:tcPr>
            <w:tcW w:w="1371" w:type="dxa"/>
          </w:tcPr>
          <w:p>
            <w:pPr>
              <w:pStyle w:val="TableParagraph"/>
              <w:spacing w:line="162" w:lineRule="exact" w:before="17"/>
              <w:ind w:right="59"/>
              <w:jc w:val="right"/>
              <w:rPr>
                <w:sz w:val="14"/>
              </w:rPr>
            </w:pPr>
            <w:r>
              <w:rPr>
                <w:sz w:val="14"/>
              </w:rPr>
              <w:t>(6.158)</w:t>
            </w:r>
          </w:p>
        </w:tc>
        <w:tc>
          <w:tcPr>
            <w:tcW w:w="1368" w:type="dxa"/>
          </w:tcPr>
          <w:p>
            <w:pPr>
              <w:pStyle w:val="TableParagraph"/>
              <w:spacing w:line="162" w:lineRule="exact" w:before="17"/>
              <w:ind w:right="59"/>
              <w:jc w:val="right"/>
              <w:rPr>
                <w:sz w:val="14"/>
              </w:rPr>
            </w:pPr>
            <w:r>
              <w:rPr>
                <w:w w:val="95"/>
                <w:sz w:val="14"/>
              </w:rPr>
              <w:t>(5.867)</w:t>
            </w:r>
          </w:p>
        </w:tc>
      </w:tr>
      <w:tr>
        <w:trPr>
          <w:trHeight w:val="196" w:hRule="atLeast"/>
        </w:trPr>
        <w:tc>
          <w:tcPr>
            <w:tcW w:w="7177" w:type="dxa"/>
          </w:tcPr>
          <w:p>
            <w:pPr>
              <w:pStyle w:val="TableParagraph"/>
              <w:spacing w:line="159" w:lineRule="exact" w:before="17"/>
              <w:ind w:left="72"/>
              <w:rPr>
                <w:sz w:val="14"/>
              </w:rPr>
            </w:pPr>
            <w:r>
              <w:rPr>
                <w:sz w:val="14"/>
              </w:rPr>
              <w:t>Amortização de (Ganhos)/Perdas Atuariais</w:t>
            </w:r>
          </w:p>
        </w:tc>
        <w:tc>
          <w:tcPr>
            <w:tcW w:w="1371" w:type="dxa"/>
          </w:tcPr>
          <w:p>
            <w:pPr>
              <w:pStyle w:val="TableParagraph"/>
              <w:spacing w:line="159" w:lineRule="exact" w:before="17"/>
              <w:ind w:right="59"/>
              <w:jc w:val="right"/>
              <w:rPr>
                <w:sz w:val="14"/>
              </w:rPr>
            </w:pPr>
            <w:r>
              <w:rPr>
                <w:w w:val="95"/>
                <w:sz w:val="14"/>
              </w:rPr>
              <w:t>158.226</w:t>
            </w:r>
          </w:p>
        </w:tc>
        <w:tc>
          <w:tcPr>
            <w:tcW w:w="1368" w:type="dxa"/>
          </w:tcPr>
          <w:p>
            <w:pPr>
              <w:pStyle w:val="TableParagraph"/>
              <w:spacing w:line="159" w:lineRule="exact" w:before="17"/>
              <w:ind w:right="59"/>
              <w:jc w:val="right"/>
              <w:rPr>
                <w:sz w:val="14"/>
              </w:rPr>
            </w:pPr>
            <w:r>
              <w:rPr>
                <w:w w:val="95"/>
                <w:sz w:val="14"/>
              </w:rPr>
              <w:t>25.529</w:t>
            </w:r>
          </w:p>
        </w:tc>
      </w:tr>
      <w:tr>
        <w:trPr>
          <w:trHeight w:val="198" w:hRule="atLeast"/>
        </w:trPr>
        <w:tc>
          <w:tcPr>
            <w:tcW w:w="7177" w:type="dxa"/>
          </w:tcPr>
          <w:p>
            <w:pPr>
              <w:pStyle w:val="TableParagraph"/>
              <w:spacing w:line="159" w:lineRule="exact" w:before="19"/>
              <w:ind w:left="72"/>
              <w:rPr>
                <w:sz w:val="14"/>
              </w:rPr>
            </w:pPr>
            <w:r>
              <w:rPr>
                <w:sz w:val="14"/>
              </w:rPr>
              <w:t>Despesas do Exercício</w:t>
            </w:r>
          </w:p>
        </w:tc>
        <w:tc>
          <w:tcPr>
            <w:tcW w:w="1371" w:type="dxa"/>
          </w:tcPr>
          <w:p>
            <w:pPr>
              <w:pStyle w:val="TableParagraph"/>
              <w:spacing w:line="159" w:lineRule="exact" w:before="19"/>
              <w:ind w:right="59"/>
              <w:jc w:val="right"/>
              <w:rPr>
                <w:sz w:val="14"/>
              </w:rPr>
            </w:pPr>
            <w:r>
              <w:rPr>
                <w:w w:val="95"/>
                <w:sz w:val="14"/>
              </w:rPr>
              <w:t>26.872</w:t>
            </w:r>
          </w:p>
        </w:tc>
        <w:tc>
          <w:tcPr>
            <w:tcW w:w="1368" w:type="dxa"/>
          </w:tcPr>
          <w:p>
            <w:pPr>
              <w:pStyle w:val="TableParagraph"/>
              <w:spacing w:line="159" w:lineRule="exact" w:before="19"/>
              <w:ind w:right="59"/>
              <w:jc w:val="right"/>
              <w:rPr>
                <w:sz w:val="14"/>
              </w:rPr>
            </w:pPr>
            <w:r>
              <w:rPr>
                <w:w w:val="95"/>
                <w:sz w:val="14"/>
              </w:rPr>
              <w:t>21.052</w:t>
            </w:r>
          </w:p>
        </w:tc>
      </w:tr>
      <w:tr>
        <w:trPr>
          <w:trHeight w:val="198" w:hRule="atLeast"/>
        </w:trPr>
        <w:tc>
          <w:tcPr>
            <w:tcW w:w="7177" w:type="dxa"/>
          </w:tcPr>
          <w:p>
            <w:pPr>
              <w:pStyle w:val="TableParagraph"/>
              <w:spacing w:line="162" w:lineRule="exact" w:before="17"/>
              <w:ind w:left="72"/>
              <w:rPr>
                <w:sz w:val="14"/>
              </w:rPr>
            </w:pPr>
            <w:r>
              <w:rPr>
                <w:sz w:val="14"/>
              </w:rPr>
              <w:t>Aplicação da restrição do passivo (parcela de responsabilidade dos empregados)</w:t>
            </w:r>
          </w:p>
        </w:tc>
        <w:tc>
          <w:tcPr>
            <w:tcW w:w="1371" w:type="dxa"/>
          </w:tcPr>
          <w:p>
            <w:pPr>
              <w:pStyle w:val="TableParagraph"/>
              <w:spacing w:line="162" w:lineRule="exact" w:before="17"/>
              <w:ind w:right="59"/>
              <w:jc w:val="right"/>
              <w:rPr>
                <w:sz w:val="14"/>
              </w:rPr>
            </w:pPr>
            <w:r>
              <w:rPr>
                <w:sz w:val="14"/>
              </w:rPr>
              <w:t>(285.528)</w:t>
            </w:r>
          </w:p>
        </w:tc>
        <w:tc>
          <w:tcPr>
            <w:tcW w:w="1368" w:type="dxa"/>
          </w:tcPr>
          <w:p>
            <w:pPr>
              <w:pStyle w:val="TableParagraph"/>
              <w:spacing w:line="162" w:lineRule="exact" w:before="17"/>
              <w:ind w:right="59"/>
              <w:jc w:val="right"/>
              <w:rPr>
                <w:sz w:val="14"/>
              </w:rPr>
            </w:pPr>
            <w:r>
              <w:rPr>
                <w:sz w:val="14"/>
              </w:rPr>
              <w:t>(150.133)</w:t>
            </w:r>
          </w:p>
        </w:tc>
      </w:tr>
      <w:tr>
        <w:trPr>
          <w:trHeight w:val="198" w:hRule="atLeast"/>
        </w:trPr>
        <w:tc>
          <w:tcPr>
            <w:tcW w:w="7177" w:type="dxa"/>
          </w:tcPr>
          <w:p>
            <w:pPr>
              <w:pStyle w:val="TableParagraph"/>
              <w:spacing w:line="163" w:lineRule="exact" w:before="15"/>
              <w:ind w:left="72"/>
              <w:rPr>
                <w:rFonts w:ascii="Caladea" w:hAnsi="Caladea"/>
                <w:b/>
                <w:sz w:val="14"/>
              </w:rPr>
            </w:pPr>
            <w:r>
              <w:rPr>
                <w:rFonts w:ascii="Caladea" w:hAnsi="Caladea"/>
                <w:b/>
                <w:sz w:val="14"/>
              </w:rPr>
              <w:t>Passivo/(Ativo) Reconhecido no Final do Período</w:t>
            </w:r>
          </w:p>
        </w:tc>
        <w:tc>
          <w:tcPr>
            <w:tcW w:w="1371" w:type="dxa"/>
          </w:tcPr>
          <w:p>
            <w:pPr>
              <w:pStyle w:val="TableParagraph"/>
              <w:spacing w:line="163" w:lineRule="exact" w:before="15"/>
              <w:ind w:right="59"/>
              <w:jc w:val="right"/>
              <w:rPr>
                <w:rFonts w:ascii="Caladea"/>
                <w:b/>
                <w:sz w:val="14"/>
              </w:rPr>
            </w:pPr>
            <w:r>
              <w:rPr>
                <w:rFonts w:ascii="Caladea"/>
                <w:b/>
                <w:w w:val="95"/>
                <w:sz w:val="14"/>
              </w:rPr>
              <w:t>100.582</w:t>
            </w:r>
          </w:p>
        </w:tc>
        <w:tc>
          <w:tcPr>
            <w:tcW w:w="1368" w:type="dxa"/>
          </w:tcPr>
          <w:p>
            <w:pPr>
              <w:pStyle w:val="TableParagraph"/>
              <w:spacing w:line="163" w:lineRule="exact" w:before="15"/>
              <w:ind w:right="59"/>
              <w:jc w:val="right"/>
              <w:rPr>
                <w:rFonts w:ascii="Caladea"/>
                <w:b/>
                <w:sz w:val="14"/>
              </w:rPr>
            </w:pPr>
            <w:r>
              <w:rPr>
                <w:rFonts w:ascii="Caladea"/>
                <w:b/>
                <w:sz w:val="14"/>
              </w:rPr>
              <w:t>57.007</w:t>
            </w:r>
          </w:p>
        </w:tc>
      </w:tr>
    </w:tbl>
    <w:p>
      <w:pPr>
        <w:pStyle w:val="BodyText"/>
        <w:spacing w:before="9"/>
      </w:pPr>
    </w:p>
    <w:p>
      <w:pPr>
        <w:pStyle w:val="Heading5"/>
        <w:numPr>
          <w:ilvl w:val="2"/>
          <w:numId w:val="34"/>
        </w:numPr>
        <w:tabs>
          <w:tab w:pos="1026" w:val="left" w:leader="none"/>
        </w:tabs>
        <w:spacing w:line="240" w:lineRule="auto" w:before="1" w:after="0"/>
        <w:ind w:left="1025" w:right="0" w:hanging="854"/>
        <w:jc w:val="left"/>
      </w:pPr>
      <w:r>
        <w:rPr/>
        <w:t>Plano</w:t>
      </w:r>
      <w:r>
        <w:rPr>
          <w:spacing w:val="-2"/>
        </w:rPr>
        <w:t> </w:t>
      </w:r>
      <w:r>
        <w:rPr/>
        <w:t>previdenciário</w:t>
      </w:r>
    </w:p>
    <w:p>
      <w:pPr>
        <w:pStyle w:val="BodyText"/>
        <w:spacing w:before="10"/>
        <w:rPr>
          <w:rFonts w:ascii="Caladea"/>
          <w:b/>
          <w:sz w:val="23"/>
        </w:rPr>
      </w:pPr>
    </w:p>
    <w:p>
      <w:pPr>
        <w:pStyle w:val="BodyText"/>
        <w:spacing w:line="242" w:lineRule="auto"/>
        <w:ind w:left="172" w:right="407"/>
        <w:jc w:val="both"/>
      </w:pPr>
      <w:r>
        <w:rPr/>
        <w:t>O Plano Complementar de Benefícios Previdenciais apresentou um valor presente de obrigação atuarial de R$ 2.152.098,</w:t>
      </w:r>
      <w:r>
        <w:rPr>
          <w:spacing w:val="-24"/>
        </w:rPr>
        <w:t> </w:t>
      </w:r>
      <w:r>
        <w:rPr/>
        <w:t>que</w:t>
      </w:r>
      <w:r>
        <w:rPr>
          <w:spacing w:val="-25"/>
        </w:rPr>
        <w:t> </w:t>
      </w:r>
      <w:r>
        <w:rPr/>
        <w:t>ao</w:t>
      </w:r>
      <w:r>
        <w:rPr>
          <w:spacing w:val="-25"/>
        </w:rPr>
        <w:t> </w:t>
      </w:r>
      <w:r>
        <w:rPr/>
        <w:t>ser</w:t>
      </w:r>
      <w:r>
        <w:rPr>
          <w:spacing w:val="-25"/>
        </w:rPr>
        <w:t> </w:t>
      </w:r>
      <w:r>
        <w:rPr/>
        <w:t>confrontado</w:t>
      </w:r>
      <w:r>
        <w:rPr>
          <w:spacing w:val="-25"/>
        </w:rPr>
        <w:t> </w:t>
      </w:r>
      <w:r>
        <w:rPr/>
        <w:t>com</w:t>
      </w:r>
      <w:r>
        <w:rPr>
          <w:spacing w:val="-25"/>
        </w:rPr>
        <w:t> </w:t>
      </w:r>
      <w:r>
        <w:rPr/>
        <w:t>o</w:t>
      </w:r>
      <w:r>
        <w:rPr>
          <w:spacing w:val="-25"/>
        </w:rPr>
        <w:t> </w:t>
      </w:r>
      <w:r>
        <w:rPr/>
        <w:t>valor</w:t>
      </w:r>
      <w:r>
        <w:rPr>
          <w:spacing w:val="-25"/>
        </w:rPr>
        <w:t> </w:t>
      </w:r>
      <w:r>
        <w:rPr/>
        <w:t>justo</w:t>
      </w:r>
      <w:r>
        <w:rPr>
          <w:spacing w:val="-22"/>
        </w:rPr>
        <w:t> </w:t>
      </w:r>
      <w:r>
        <w:rPr/>
        <w:t>dos</w:t>
      </w:r>
      <w:r>
        <w:rPr>
          <w:spacing w:val="-24"/>
        </w:rPr>
        <w:t> </w:t>
      </w:r>
      <w:r>
        <w:rPr/>
        <w:t>ativos</w:t>
      </w:r>
      <w:r>
        <w:rPr>
          <w:spacing w:val="-25"/>
        </w:rPr>
        <w:t> </w:t>
      </w:r>
      <w:r>
        <w:rPr/>
        <w:t>do</w:t>
      </w:r>
      <w:r>
        <w:rPr>
          <w:spacing w:val="-25"/>
        </w:rPr>
        <w:t> </w:t>
      </w:r>
      <w:r>
        <w:rPr/>
        <w:t>plano</w:t>
      </w:r>
      <w:r>
        <w:rPr>
          <w:spacing w:val="-24"/>
        </w:rPr>
        <w:t> </w:t>
      </w:r>
      <w:r>
        <w:rPr/>
        <w:t>de</w:t>
      </w:r>
      <w:r>
        <w:rPr>
          <w:spacing w:val="-26"/>
        </w:rPr>
        <w:t> </w:t>
      </w:r>
      <w:r>
        <w:rPr/>
        <w:t>R$</w:t>
      </w:r>
      <w:r>
        <w:rPr>
          <w:spacing w:val="-24"/>
        </w:rPr>
        <w:t> </w:t>
      </w:r>
      <w:r>
        <w:rPr/>
        <w:t>1.765.989</w:t>
      </w:r>
      <w:r>
        <w:rPr>
          <w:spacing w:val="-22"/>
        </w:rPr>
        <w:t> </w:t>
      </w:r>
      <w:r>
        <w:rPr/>
        <w:t>resultou</w:t>
      </w:r>
      <w:r>
        <w:rPr>
          <w:spacing w:val="-24"/>
        </w:rPr>
        <w:t> </w:t>
      </w:r>
      <w:r>
        <w:rPr/>
        <w:t>em</w:t>
      </w:r>
      <w:r>
        <w:rPr>
          <w:spacing w:val="-24"/>
        </w:rPr>
        <w:t> </w:t>
      </w:r>
      <w:r>
        <w:rPr/>
        <w:t>um</w:t>
      </w:r>
      <w:r>
        <w:rPr>
          <w:spacing w:val="-23"/>
        </w:rPr>
        <w:t> </w:t>
      </w:r>
      <w:r>
        <w:rPr/>
        <w:t>déficit</w:t>
      </w:r>
      <w:r>
        <w:rPr>
          <w:spacing w:val="-24"/>
        </w:rPr>
        <w:t> </w:t>
      </w:r>
      <w:r>
        <w:rPr/>
        <w:t>de R$</w:t>
      </w:r>
      <w:r>
        <w:rPr>
          <w:spacing w:val="-20"/>
        </w:rPr>
        <w:t> </w:t>
      </w:r>
      <w:r>
        <w:rPr/>
        <w:t>386.110,</w:t>
      </w:r>
      <w:r>
        <w:rPr>
          <w:spacing w:val="-18"/>
        </w:rPr>
        <w:t> </w:t>
      </w:r>
      <w:r>
        <w:rPr/>
        <w:t>constituindo-se,</w:t>
      </w:r>
      <w:r>
        <w:rPr>
          <w:spacing w:val="-18"/>
        </w:rPr>
        <w:t> </w:t>
      </w:r>
      <w:r>
        <w:rPr/>
        <w:t>portanto,</w:t>
      </w:r>
      <w:r>
        <w:rPr>
          <w:spacing w:val="-19"/>
        </w:rPr>
        <w:t> </w:t>
      </w:r>
      <w:r>
        <w:rPr/>
        <w:t>em</w:t>
      </w:r>
      <w:r>
        <w:rPr>
          <w:spacing w:val="-21"/>
        </w:rPr>
        <w:t> </w:t>
      </w:r>
      <w:r>
        <w:rPr/>
        <w:t>um</w:t>
      </w:r>
      <w:r>
        <w:rPr>
          <w:spacing w:val="-17"/>
        </w:rPr>
        <w:t> </w:t>
      </w:r>
      <w:r>
        <w:rPr/>
        <w:t>passivo</w:t>
      </w:r>
      <w:r>
        <w:rPr>
          <w:spacing w:val="-20"/>
        </w:rPr>
        <w:t> </w:t>
      </w:r>
      <w:r>
        <w:rPr/>
        <w:t>líquido</w:t>
      </w:r>
      <w:r>
        <w:rPr>
          <w:spacing w:val="-21"/>
        </w:rPr>
        <w:t> </w:t>
      </w:r>
      <w:r>
        <w:rPr/>
        <w:t>atuarial.</w:t>
      </w:r>
    </w:p>
    <w:p>
      <w:pPr>
        <w:pStyle w:val="BodyText"/>
        <w:spacing w:before="7"/>
      </w:pPr>
    </w:p>
    <w:p>
      <w:pPr>
        <w:pStyle w:val="BodyText"/>
        <w:spacing w:line="242" w:lineRule="auto"/>
        <w:ind w:left="172" w:right="411"/>
        <w:jc w:val="both"/>
      </w:pPr>
      <w:r>
        <w:rPr/>
        <w:t>De</w:t>
      </w:r>
      <w:r>
        <w:rPr>
          <w:spacing w:val="-32"/>
        </w:rPr>
        <w:t> </w:t>
      </w:r>
      <w:r>
        <w:rPr/>
        <w:t>acordo</w:t>
      </w:r>
      <w:r>
        <w:rPr>
          <w:spacing w:val="-32"/>
        </w:rPr>
        <w:t> </w:t>
      </w:r>
      <w:r>
        <w:rPr/>
        <w:t>com</w:t>
      </w:r>
      <w:r>
        <w:rPr>
          <w:spacing w:val="-30"/>
        </w:rPr>
        <w:t> </w:t>
      </w:r>
      <w:r>
        <w:rPr/>
        <w:t>a</w:t>
      </w:r>
      <w:r>
        <w:rPr>
          <w:spacing w:val="-30"/>
        </w:rPr>
        <w:t> </w:t>
      </w:r>
      <w:r>
        <w:rPr/>
        <w:t>legislação</w:t>
      </w:r>
      <w:r>
        <w:rPr>
          <w:spacing w:val="-29"/>
        </w:rPr>
        <w:t> </w:t>
      </w:r>
      <w:r>
        <w:rPr/>
        <w:t>em</w:t>
      </w:r>
      <w:r>
        <w:rPr>
          <w:spacing w:val="-31"/>
        </w:rPr>
        <w:t> </w:t>
      </w:r>
      <w:r>
        <w:rPr/>
        <w:t>vigor</w:t>
      </w:r>
      <w:r>
        <w:rPr>
          <w:spacing w:val="-30"/>
        </w:rPr>
        <w:t> </w:t>
      </w:r>
      <w:r>
        <w:rPr/>
        <w:t>e</w:t>
      </w:r>
      <w:r>
        <w:rPr>
          <w:spacing w:val="-32"/>
        </w:rPr>
        <w:t> </w:t>
      </w:r>
      <w:r>
        <w:rPr/>
        <w:t>conforme</w:t>
      </w:r>
      <w:r>
        <w:rPr>
          <w:spacing w:val="-32"/>
        </w:rPr>
        <w:t> </w:t>
      </w:r>
      <w:r>
        <w:rPr/>
        <w:t>decisão</w:t>
      </w:r>
      <w:r>
        <w:rPr>
          <w:spacing w:val="-29"/>
        </w:rPr>
        <w:t> </w:t>
      </w:r>
      <w:r>
        <w:rPr/>
        <w:t>da</w:t>
      </w:r>
      <w:r>
        <w:rPr>
          <w:spacing w:val="-31"/>
        </w:rPr>
        <w:t> </w:t>
      </w:r>
      <w:r>
        <w:rPr/>
        <w:t>empresa,</w:t>
      </w:r>
      <w:r>
        <w:rPr>
          <w:spacing w:val="-31"/>
        </w:rPr>
        <w:t> </w:t>
      </w:r>
      <w:r>
        <w:rPr/>
        <w:t>a</w:t>
      </w:r>
      <w:r>
        <w:rPr>
          <w:spacing w:val="-30"/>
        </w:rPr>
        <w:t> </w:t>
      </w:r>
      <w:r>
        <w:rPr/>
        <w:t>partir</w:t>
      </w:r>
      <w:r>
        <w:rPr>
          <w:spacing w:val="-30"/>
        </w:rPr>
        <w:t> </w:t>
      </w:r>
      <w:r>
        <w:rPr/>
        <w:t>de</w:t>
      </w:r>
      <w:r>
        <w:rPr>
          <w:spacing w:val="-31"/>
        </w:rPr>
        <w:t> </w:t>
      </w:r>
      <w:r>
        <w:rPr/>
        <w:t>dezembro</w:t>
      </w:r>
      <w:r>
        <w:rPr>
          <w:spacing w:val="-31"/>
        </w:rPr>
        <w:t> </w:t>
      </w:r>
      <w:r>
        <w:rPr/>
        <w:t>de</w:t>
      </w:r>
      <w:r>
        <w:rPr>
          <w:spacing w:val="-31"/>
        </w:rPr>
        <w:t> </w:t>
      </w:r>
      <w:r>
        <w:rPr/>
        <w:t>2019</w:t>
      </w:r>
      <w:r>
        <w:rPr>
          <w:spacing w:val="-32"/>
        </w:rPr>
        <w:t> </w:t>
      </w:r>
      <w:r>
        <w:rPr/>
        <w:t>a</w:t>
      </w:r>
      <w:r>
        <w:rPr>
          <w:spacing w:val="-29"/>
        </w:rPr>
        <w:t> </w:t>
      </w:r>
      <w:r>
        <w:rPr/>
        <w:t>obrigação</w:t>
      </w:r>
      <w:r>
        <w:rPr>
          <w:spacing w:val="-31"/>
        </w:rPr>
        <w:t> </w:t>
      </w:r>
      <w:r>
        <w:rPr/>
        <w:t>será reconhecida</w:t>
      </w:r>
      <w:r>
        <w:rPr>
          <w:spacing w:val="-42"/>
        </w:rPr>
        <w:t> </w:t>
      </w:r>
      <w:r>
        <w:rPr/>
        <w:t>de</w:t>
      </w:r>
      <w:r>
        <w:rPr>
          <w:spacing w:val="-42"/>
        </w:rPr>
        <w:t> </w:t>
      </w:r>
      <w:r>
        <w:rPr/>
        <w:t>forma</w:t>
      </w:r>
      <w:r>
        <w:rPr>
          <w:spacing w:val="-42"/>
        </w:rPr>
        <w:t> </w:t>
      </w:r>
      <w:r>
        <w:rPr/>
        <w:t>proporcional</w:t>
      </w:r>
      <w:r>
        <w:rPr>
          <w:spacing w:val="-42"/>
        </w:rPr>
        <w:t> </w:t>
      </w:r>
      <w:r>
        <w:rPr/>
        <w:t>às</w:t>
      </w:r>
      <w:r>
        <w:rPr>
          <w:spacing w:val="-41"/>
        </w:rPr>
        <w:t> </w:t>
      </w:r>
      <w:r>
        <w:rPr/>
        <w:t>contribuições</w:t>
      </w:r>
      <w:r>
        <w:rPr>
          <w:spacing w:val="-41"/>
        </w:rPr>
        <w:t> </w:t>
      </w:r>
      <w:r>
        <w:rPr/>
        <w:t>normais</w:t>
      </w:r>
      <w:r>
        <w:rPr>
          <w:spacing w:val="-42"/>
        </w:rPr>
        <w:t> </w:t>
      </w:r>
      <w:r>
        <w:rPr/>
        <w:t>para</w:t>
      </w:r>
      <w:r>
        <w:rPr>
          <w:spacing w:val="-42"/>
        </w:rPr>
        <w:t> </w:t>
      </w:r>
      <w:r>
        <w:rPr/>
        <w:t>o</w:t>
      </w:r>
      <w:r>
        <w:rPr>
          <w:spacing w:val="-42"/>
        </w:rPr>
        <w:t> </w:t>
      </w:r>
      <w:r>
        <w:rPr/>
        <w:t>plano</w:t>
      </w:r>
      <w:r>
        <w:rPr>
          <w:spacing w:val="-41"/>
        </w:rPr>
        <w:t> </w:t>
      </w:r>
      <w:r>
        <w:rPr/>
        <w:t>de</w:t>
      </w:r>
      <w:r>
        <w:rPr>
          <w:spacing w:val="-42"/>
        </w:rPr>
        <w:t> </w:t>
      </w:r>
      <w:r>
        <w:rPr/>
        <w:t>benefícios,</w:t>
      </w:r>
      <w:r>
        <w:rPr>
          <w:spacing w:val="-42"/>
        </w:rPr>
        <w:t> </w:t>
      </w:r>
      <w:r>
        <w:rPr/>
        <w:t>nos</w:t>
      </w:r>
      <w:r>
        <w:rPr>
          <w:spacing w:val="-42"/>
        </w:rPr>
        <w:t> </w:t>
      </w:r>
      <w:r>
        <w:rPr/>
        <w:t>termos</w:t>
      </w:r>
      <w:r>
        <w:rPr>
          <w:spacing w:val="-41"/>
        </w:rPr>
        <w:t> </w:t>
      </w:r>
      <w:r>
        <w:rPr/>
        <w:t>estabelecidos</w:t>
      </w:r>
      <w:r>
        <w:rPr>
          <w:spacing w:val="-42"/>
        </w:rPr>
        <w:t> </w:t>
      </w:r>
      <w:r>
        <w:rPr/>
        <w:t>na legislação</w:t>
      </w:r>
      <w:r>
        <w:rPr>
          <w:spacing w:val="-21"/>
        </w:rPr>
        <w:t> </w:t>
      </w:r>
      <w:r>
        <w:rPr/>
        <w:t>do</w:t>
      </w:r>
      <w:r>
        <w:rPr>
          <w:spacing w:val="-20"/>
        </w:rPr>
        <w:t> </w:t>
      </w:r>
      <w:r>
        <w:rPr/>
        <w:t>regime</w:t>
      </w:r>
      <w:r>
        <w:rPr>
          <w:spacing w:val="-18"/>
        </w:rPr>
        <w:t> </w:t>
      </w:r>
      <w:r>
        <w:rPr/>
        <w:t>de</w:t>
      </w:r>
      <w:r>
        <w:rPr>
          <w:spacing w:val="-19"/>
        </w:rPr>
        <w:t> </w:t>
      </w:r>
      <w:r>
        <w:rPr/>
        <w:t>previdência</w:t>
      </w:r>
      <w:r>
        <w:rPr>
          <w:spacing w:val="-19"/>
        </w:rPr>
        <w:t> </w:t>
      </w:r>
      <w:r>
        <w:rPr/>
        <w:t>complementar</w:t>
      </w:r>
      <w:r>
        <w:rPr>
          <w:spacing w:val="-18"/>
        </w:rPr>
        <w:t> </w:t>
      </w:r>
      <w:r>
        <w:rPr/>
        <w:t>brasileiro.</w:t>
      </w:r>
    </w:p>
    <w:p>
      <w:pPr>
        <w:pStyle w:val="BodyText"/>
        <w:spacing w:before="8"/>
      </w:pPr>
    </w:p>
    <w:p>
      <w:pPr>
        <w:pStyle w:val="BodyText"/>
        <w:ind w:left="172"/>
      </w:pPr>
      <w:r>
        <w:rPr/>
        <w:t>A</w:t>
      </w:r>
      <w:r>
        <w:rPr>
          <w:spacing w:val="-20"/>
        </w:rPr>
        <w:t> </w:t>
      </w:r>
      <w:r>
        <w:rPr/>
        <w:t>proporção</w:t>
      </w:r>
      <w:r>
        <w:rPr>
          <w:spacing w:val="-21"/>
        </w:rPr>
        <w:t> </w:t>
      </w:r>
      <w:r>
        <w:rPr/>
        <w:t>de</w:t>
      </w:r>
      <w:r>
        <w:rPr>
          <w:spacing w:val="-19"/>
        </w:rPr>
        <w:t> </w:t>
      </w:r>
      <w:r>
        <w:rPr/>
        <w:t>contribuições</w:t>
      </w:r>
      <w:r>
        <w:rPr>
          <w:spacing w:val="-19"/>
        </w:rPr>
        <w:t> </w:t>
      </w:r>
      <w:r>
        <w:rPr/>
        <w:t>normais</w:t>
      </w:r>
      <w:r>
        <w:rPr>
          <w:spacing w:val="-20"/>
        </w:rPr>
        <w:t> </w:t>
      </w:r>
      <w:r>
        <w:rPr/>
        <w:t>aportada</w:t>
      </w:r>
      <w:r>
        <w:rPr>
          <w:spacing w:val="-18"/>
        </w:rPr>
        <w:t> </w:t>
      </w:r>
      <w:r>
        <w:rPr/>
        <w:t>pela</w:t>
      </w:r>
      <w:r>
        <w:rPr>
          <w:spacing w:val="-20"/>
        </w:rPr>
        <w:t> </w:t>
      </w:r>
      <w:r>
        <w:rPr/>
        <w:t>CEB</w:t>
      </w:r>
      <w:r>
        <w:rPr>
          <w:spacing w:val="-20"/>
        </w:rPr>
        <w:t> </w:t>
      </w:r>
      <w:r>
        <w:rPr/>
        <w:t>em</w:t>
      </w:r>
      <w:r>
        <w:rPr>
          <w:spacing w:val="-19"/>
        </w:rPr>
        <w:t> </w:t>
      </w:r>
      <w:r>
        <w:rPr/>
        <w:t>2019</w:t>
      </w:r>
      <w:r>
        <w:rPr>
          <w:spacing w:val="-19"/>
        </w:rPr>
        <w:t> </w:t>
      </w:r>
      <w:r>
        <w:rPr/>
        <w:t>foi</w:t>
      </w:r>
      <w:r>
        <w:rPr>
          <w:spacing w:val="-20"/>
        </w:rPr>
        <w:t> </w:t>
      </w:r>
      <w:r>
        <w:rPr/>
        <w:t>de</w:t>
      </w:r>
      <w:r>
        <w:rPr>
          <w:spacing w:val="-20"/>
        </w:rPr>
        <w:t> </w:t>
      </w:r>
      <w:r>
        <w:rPr/>
        <w:t>26,05%,</w:t>
      </w:r>
      <w:r>
        <w:rPr>
          <w:spacing w:val="-11"/>
        </w:rPr>
        <w:t> </w:t>
      </w:r>
      <w:r>
        <w:rPr/>
        <w:t>cabendo-lhe,</w:t>
      </w:r>
      <w:r>
        <w:rPr>
          <w:spacing w:val="-19"/>
        </w:rPr>
        <w:t> </w:t>
      </w:r>
      <w:r>
        <w:rPr/>
        <w:t>portanto,</w:t>
      </w:r>
      <w:r>
        <w:rPr>
          <w:spacing w:val="-19"/>
        </w:rPr>
        <w:t> </w:t>
      </w:r>
      <w:r>
        <w:rPr/>
        <w:t>idêntico percentual</w:t>
      </w:r>
      <w:r>
        <w:rPr>
          <w:spacing w:val="-24"/>
        </w:rPr>
        <w:t> </w:t>
      </w:r>
      <w:r>
        <w:rPr/>
        <w:t>de</w:t>
      </w:r>
      <w:r>
        <w:rPr>
          <w:spacing w:val="-24"/>
        </w:rPr>
        <w:t> </w:t>
      </w:r>
      <w:r>
        <w:rPr/>
        <w:t>responsabilidade</w:t>
      </w:r>
      <w:r>
        <w:rPr>
          <w:spacing w:val="-26"/>
        </w:rPr>
        <w:t> </w:t>
      </w:r>
      <w:r>
        <w:rPr/>
        <w:t>sobre</w:t>
      </w:r>
      <w:r>
        <w:rPr>
          <w:spacing w:val="-26"/>
        </w:rPr>
        <w:t> </w:t>
      </w:r>
      <w:r>
        <w:rPr/>
        <w:t>o</w:t>
      </w:r>
      <w:r>
        <w:rPr>
          <w:spacing w:val="-22"/>
        </w:rPr>
        <w:t> </w:t>
      </w:r>
      <w:r>
        <w:rPr/>
        <w:t>passivo</w:t>
      </w:r>
      <w:r>
        <w:rPr>
          <w:spacing w:val="-24"/>
        </w:rPr>
        <w:t> </w:t>
      </w:r>
      <w:r>
        <w:rPr/>
        <w:t>líquido,</w:t>
      </w:r>
      <w:r>
        <w:rPr>
          <w:spacing w:val="-18"/>
        </w:rPr>
        <w:t> </w:t>
      </w:r>
      <w:r>
        <w:rPr/>
        <w:t>resultando</w:t>
      </w:r>
      <w:r>
        <w:rPr>
          <w:spacing w:val="-23"/>
        </w:rPr>
        <w:t> </w:t>
      </w:r>
      <w:r>
        <w:rPr/>
        <w:t>em</w:t>
      </w:r>
      <w:r>
        <w:rPr>
          <w:spacing w:val="-23"/>
        </w:rPr>
        <w:t> </w:t>
      </w:r>
      <w:r>
        <w:rPr/>
        <w:t>um</w:t>
      </w:r>
      <w:r>
        <w:rPr>
          <w:spacing w:val="-25"/>
        </w:rPr>
        <w:t> </w:t>
      </w:r>
      <w:r>
        <w:rPr/>
        <w:t>passivo</w:t>
      </w:r>
      <w:r>
        <w:rPr>
          <w:spacing w:val="-24"/>
        </w:rPr>
        <w:t> </w:t>
      </w:r>
      <w:r>
        <w:rPr/>
        <w:t>líquido</w:t>
      </w:r>
      <w:r>
        <w:rPr>
          <w:spacing w:val="-22"/>
        </w:rPr>
        <w:t> </w:t>
      </w:r>
      <w:r>
        <w:rPr/>
        <w:t>de</w:t>
      </w:r>
      <w:r>
        <w:rPr>
          <w:spacing w:val="-24"/>
        </w:rPr>
        <w:t> </w:t>
      </w:r>
      <w:r>
        <w:rPr/>
        <w:t>R$</w:t>
      </w:r>
      <w:r>
        <w:rPr>
          <w:spacing w:val="-24"/>
        </w:rPr>
        <w:t> </w:t>
      </w:r>
      <w:r>
        <w:rPr/>
        <w:t>100.582.</w:t>
      </w:r>
    </w:p>
    <w:p>
      <w:pPr>
        <w:pStyle w:val="BodyText"/>
        <w:spacing w:before="11"/>
      </w:pPr>
    </w:p>
    <w:p>
      <w:pPr>
        <w:pStyle w:val="BodyText"/>
        <w:spacing w:line="242" w:lineRule="auto"/>
        <w:ind w:left="172" w:right="409"/>
        <w:jc w:val="both"/>
      </w:pPr>
      <w:r>
        <w:rPr/>
        <w:t>O</w:t>
      </w:r>
      <w:r>
        <w:rPr>
          <w:spacing w:val="-17"/>
        </w:rPr>
        <w:t> </w:t>
      </w:r>
      <w:r>
        <w:rPr/>
        <w:t>valor</w:t>
      </w:r>
      <w:r>
        <w:rPr>
          <w:spacing w:val="-16"/>
        </w:rPr>
        <w:t> </w:t>
      </w:r>
      <w:r>
        <w:rPr/>
        <w:t>justo</w:t>
      </w:r>
      <w:r>
        <w:rPr>
          <w:spacing w:val="-15"/>
        </w:rPr>
        <w:t> </w:t>
      </w:r>
      <w:r>
        <w:rPr/>
        <w:t>dos</w:t>
      </w:r>
      <w:r>
        <w:rPr>
          <w:spacing w:val="-16"/>
        </w:rPr>
        <w:t> </w:t>
      </w:r>
      <w:r>
        <w:rPr/>
        <w:t>ativos</w:t>
      </w:r>
      <w:r>
        <w:rPr>
          <w:spacing w:val="-13"/>
        </w:rPr>
        <w:t> </w:t>
      </w:r>
      <w:r>
        <w:rPr/>
        <w:t>do</w:t>
      </w:r>
      <w:r>
        <w:rPr>
          <w:spacing w:val="-15"/>
        </w:rPr>
        <w:t> </w:t>
      </w:r>
      <w:r>
        <w:rPr/>
        <w:t>plano</w:t>
      </w:r>
      <w:r>
        <w:rPr>
          <w:spacing w:val="-16"/>
        </w:rPr>
        <w:t> </w:t>
      </w:r>
      <w:r>
        <w:rPr/>
        <w:t>foi</w:t>
      </w:r>
      <w:r>
        <w:rPr>
          <w:spacing w:val="-14"/>
        </w:rPr>
        <w:t> </w:t>
      </w:r>
      <w:r>
        <w:rPr/>
        <w:t>informado</w:t>
      </w:r>
      <w:r>
        <w:rPr>
          <w:spacing w:val="-16"/>
        </w:rPr>
        <w:t> </w:t>
      </w:r>
      <w:r>
        <w:rPr/>
        <w:t>pela</w:t>
      </w:r>
      <w:r>
        <w:rPr>
          <w:spacing w:val="-15"/>
        </w:rPr>
        <w:t> </w:t>
      </w:r>
      <w:r>
        <w:rPr/>
        <w:t>FACEB</w:t>
      </w:r>
      <w:r>
        <w:rPr>
          <w:spacing w:val="-16"/>
        </w:rPr>
        <w:t> </w:t>
      </w:r>
      <w:r>
        <w:rPr/>
        <w:t>e,</w:t>
      </w:r>
      <w:r>
        <w:rPr>
          <w:spacing w:val="-16"/>
        </w:rPr>
        <w:t> </w:t>
      </w:r>
      <w:r>
        <w:rPr/>
        <w:t>segundo</w:t>
      </w:r>
      <w:r>
        <w:rPr>
          <w:spacing w:val="-15"/>
        </w:rPr>
        <w:t> </w:t>
      </w:r>
      <w:r>
        <w:rPr/>
        <w:t>a</w:t>
      </w:r>
      <w:r>
        <w:rPr>
          <w:spacing w:val="-16"/>
        </w:rPr>
        <w:t> </w:t>
      </w:r>
      <w:r>
        <w:rPr/>
        <w:t>entidade,</w:t>
      </w:r>
      <w:r>
        <w:rPr>
          <w:spacing w:val="-9"/>
        </w:rPr>
        <w:t> </w:t>
      </w:r>
      <w:r>
        <w:rPr/>
        <w:t>está</w:t>
      </w:r>
      <w:r>
        <w:rPr>
          <w:spacing w:val="-15"/>
        </w:rPr>
        <w:t> </w:t>
      </w:r>
      <w:r>
        <w:rPr/>
        <w:t>precificado</w:t>
      </w:r>
      <w:r>
        <w:rPr>
          <w:spacing w:val="-16"/>
        </w:rPr>
        <w:t> </w:t>
      </w:r>
      <w:r>
        <w:rPr/>
        <w:t>a</w:t>
      </w:r>
      <w:r>
        <w:rPr>
          <w:spacing w:val="-14"/>
        </w:rPr>
        <w:t> </w:t>
      </w:r>
      <w:r>
        <w:rPr/>
        <w:t>mercado</w:t>
      </w:r>
      <w:r>
        <w:rPr>
          <w:spacing w:val="-14"/>
        </w:rPr>
        <w:t> </w:t>
      </w:r>
      <w:r>
        <w:rPr/>
        <w:t>na posição</w:t>
      </w:r>
      <w:r>
        <w:rPr>
          <w:spacing w:val="-33"/>
        </w:rPr>
        <w:t> </w:t>
      </w:r>
      <w:r>
        <w:rPr/>
        <w:t>de</w:t>
      </w:r>
      <w:r>
        <w:rPr>
          <w:spacing w:val="-33"/>
        </w:rPr>
        <w:t> </w:t>
      </w:r>
      <w:r>
        <w:rPr/>
        <w:t>31</w:t>
      </w:r>
      <w:r>
        <w:rPr>
          <w:spacing w:val="-30"/>
        </w:rPr>
        <w:t> </w:t>
      </w:r>
      <w:r>
        <w:rPr/>
        <w:t>de</w:t>
      </w:r>
      <w:r>
        <w:rPr>
          <w:spacing w:val="-33"/>
        </w:rPr>
        <w:t> </w:t>
      </w:r>
      <w:r>
        <w:rPr/>
        <w:t>dezembro</w:t>
      </w:r>
      <w:r>
        <w:rPr>
          <w:spacing w:val="-31"/>
        </w:rPr>
        <w:t> </w:t>
      </w:r>
      <w:r>
        <w:rPr/>
        <w:t>de</w:t>
      </w:r>
      <w:r>
        <w:rPr>
          <w:spacing w:val="-32"/>
        </w:rPr>
        <w:t> </w:t>
      </w:r>
      <w:r>
        <w:rPr/>
        <w:t>2019.</w:t>
      </w:r>
      <w:r>
        <w:rPr>
          <w:spacing w:val="-32"/>
        </w:rPr>
        <w:t> </w:t>
      </w:r>
      <w:r>
        <w:rPr/>
        <w:t>Do</w:t>
      </w:r>
      <w:r>
        <w:rPr>
          <w:spacing w:val="-33"/>
        </w:rPr>
        <w:t> </w:t>
      </w:r>
      <w:r>
        <w:rPr/>
        <w:t>ativo</w:t>
      </w:r>
      <w:r>
        <w:rPr>
          <w:spacing w:val="-32"/>
        </w:rPr>
        <w:t> </w:t>
      </w:r>
      <w:r>
        <w:rPr/>
        <w:t>total</w:t>
      </w:r>
      <w:r>
        <w:rPr>
          <w:spacing w:val="-32"/>
        </w:rPr>
        <w:t> </w:t>
      </w:r>
      <w:r>
        <w:rPr/>
        <w:t>informado</w:t>
      </w:r>
      <w:r>
        <w:rPr>
          <w:spacing w:val="-32"/>
        </w:rPr>
        <w:t> </w:t>
      </w:r>
      <w:r>
        <w:rPr/>
        <w:t>pela</w:t>
      </w:r>
      <w:r>
        <w:rPr>
          <w:spacing w:val="-30"/>
        </w:rPr>
        <w:t> </w:t>
      </w:r>
      <w:r>
        <w:rPr/>
        <w:t>FACEB</w:t>
      </w:r>
      <w:r>
        <w:rPr>
          <w:spacing w:val="-32"/>
        </w:rPr>
        <w:t> </w:t>
      </w:r>
      <w:r>
        <w:rPr/>
        <w:t>(R$</w:t>
      </w:r>
      <w:r>
        <w:rPr>
          <w:spacing w:val="-33"/>
        </w:rPr>
        <w:t> </w:t>
      </w:r>
      <w:r>
        <w:rPr/>
        <w:t>1.787.367)</w:t>
      </w:r>
      <w:r>
        <w:rPr>
          <w:spacing w:val="-31"/>
        </w:rPr>
        <w:t> </w:t>
      </w:r>
      <w:r>
        <w:rPr/>
        <w:t>foram</w:t>
      </w:r>
      <w:r>
        <w:rPr>
          <w:spacing w:val="-33"/>
        </w:rPr>
        <w:t> </w:t>
      </w:r>
      <w:r>
        <w:rPr/>
        <w:t>deduzidos</w:t>
      </w:r>
      <w:r>
        <w:rPr>
          <w:spacing w:val="-31"/>
        </w:rPr>
        <w:t> </w:t>
      </w:r>
      <w:r>
        <w:rPr/>
        <w:t>os</w:t>
      </w:r>
      <w:r>
        <w:rPr>
          <w:spacing w:val="-32"/>
        </w:rPr>
        <w:t> </w:t>
      </w:r>
      <w:r>
        <w:rPr/>
        <w:t>valores registrados</w:t>
      </w:r>
      <w:r>
        <w:rPr>
          <w:spacing w:val="-30"/>
        </w:rPr>
        <w:t> </w:t>
      </w:r>
      <w:r>
        <w:rPr/>
        <w:t>no</w:t>
      </w:r>
      <w:r>
        <w:rPr>
          <w:spacing w:val="-31"/>
        </w:rPr>
        <w:t> </w:t>
      </w:r>
      <w:r>
        <w:rPr/>
        <w:t>balancete</w:t>
      </w:r>
      <w:r>
        <w:rPr>
          <w:spacing w:val="-31"/>
        </w:rPr>
        <w:t> </w:t>
      </w:r>
      <w:r>
        <w:rPr/>
        <w:t>nas</w:t>
      </w:r>
      <w:r>
        <w:rPr>
          <w:spacing w:val="-29"/>
        </w:rPr>
        <w:t> </w:t>
      </w:r>
      <w:r>
        <w:rPr/>
        <w:t>rubricas</w:t>
      </w:r>
      <w:r>
        <w:rPr>
          <w:spacing w:val="-31"/>
        </w:rPr>
        <w:t> </w:t>
      </w:r>
      <w:r>
        <w:rPr/>
        <w:t>do</w:t>
      </w:r>
      <w:r>
        <w:rPr>
          <w:spacing w:val="-31"/>
        </w:rPr>
        <w:t> </w:t>
      </w:r>
      <w:r>
        <w:rPr/>
        <w:t>exigível</w:t>
      </w:r>
      <w:r>
        <w:rPr>
          <w:spacing w:val="-31"/>
        </w:rPr>
        <w:t> </w:t>
      </w:r>
      <w:r>
        <w:rPr/>
        <w:t>operacional</w:t>
      </w:r>
      <w:r>
        <w:rPr>
          <w:spacing w:val="-31"/>
        </w:rPr>
        <w:t> </w:t>
      </w:r>
      <w:r>
        <w:rPr/>
        <w:t>(R$</w:t>
      </w:r>
      <w:r>
        <w:rPr>
          <w:spacing w:val="-31"/>
        </w:rPr>
        <w:t> </w:t>
      </w:r>
      <w:r>
        <w:rPr/>
        <w:t>8.446),</w:t>
      </w:r>
      <w:r>
        <w:rPr>
          <w:spacing w:val="-30"/>
        </w:rPr>
        <w:t> </w:t>
      </w:r>
      <w:r>
        <w:rPr/>
        <w:t>exigível</w:t>
      </w:r>
      <w:r>
        <w:rPr>
          <w:spacing w:val="-31"/>
        </w:rPr>
        <w:t> </w:t>
      </w:r>
      <w:r>
        <w:rPr/>
        <w:t>contingencial</w:t>
      </w:r>
      <w:r>
        <w:rPr>
          <w:spacing w:val="-31"/>
        </w:rPr>
        <w:t> </w:t>
      </w:r>
      <w:r>
        <w:rPr/>
        <w:t>(R$</w:t>
      </w:r>
      <w:r>
        <w:rPr>
          <w:spacing w:val="-29"/>
        </w:rPr>
        <w:t> </w:t>
      </w:r>
      <w:r>
        <w:rPr/>
        <w:t>1.512)</w:t>
      </w:r>
      <w:r>
        <w:rPr>
          <w:spacing w:val="-29"/>
        </w:rPr>
        <w:t> </w:t>
      </w:r>
      <w:r>
        <w:rPr/>
        <w:t>e</w:t>
      </w:r>
      <w:r>
        <w:rPr>
          <w:spacing w:val="-32"/>
        </w:rPr>
        <w:t> </w:t>
      </w:r>
      <w:r>
        <w:rPr/>
        <w:t>fundos (R$</w:t>
      </w:r>
      <w:r>
        <w:rPr>
          <w:spacing w:val="-5"/>
        </w:rPr>
        <w:t> </w:t>
      </w:r>
      <w:r>
        <w:rPr/>
        <w:t>11.419),</w:t>
      </w:r>
      <w:r>
        <w:rPr>
          <w:spacing w:val="-4"/>
        </w:rPr>
        <w:t> </w:t>
      </w:r>
      <w:r>
        <w:rPr/>
        <w:t>resultando</w:t>
      </w:r>
      <w:r>
        <w:rPr>
          <w:spacing w:val="-3"/>
        </w:rPr>
        <w:t> </w:t>
      </w:r>
      <w:r>
        <w:rPr/>
        <w:t>no</w:t>
      </w:r>
      <w:r>
        <w:rPr>
          <w:spacing w:val="-3"/>
        </w:rPr>
        <w:t> </w:t>
      </w:r>
      <w:r>
        <w:rPr/>
        <w:t>valor</w:t>
      </w:r>
      <w:r>
        <w:rPr>
          <w:spacing w:val="-6"/>
        </w:rPr>
        <w:t> </w:t>
      </w:r>
      <w:r>
        <w:rPr/>
        <w:t>justo</w:t>
      </w:r>
      <w:r>
        <w:rPr>
          <w:spacing w:val="-5"/>
        </w:rPr>
        <w:t> </w:t>
      </w:r>
      <w:r>
        <w:rPr/>
        <w:t>de</w:t>
      </w:r>
      <w:r>
        <w:rPr>
          <w:spacing w:val="-5"/>
        </w:rPr>
        <w:t> </w:t>
      </w:r>
      <w:r>
        <w:rPr/>
        <w:t>R$</w:t>
      </w:r>
      <w:r>
        <w:rPr>
          <w:spacing w:val="1"/>
        </w:rPr>
        <w:t> </w:t>
      </w:r>
      <w:r>
        <w:rPr/>
        <w:t>1.765.989,</w:t>
      </w:r>
      <w:r>
        <w:rPr>
          <w:spacing w:val="-5"/>
        </w:rPr>
        <w:t> </w:t>
      </w:r>
      <w:r>
        <w:rPr/>
        <w:t>uma</w:t>
      </w:r>
      <w:r>
        <w:rPr>
          <w:spacing w:val="-4"/>
        </w:rPr>
        <w:t> </w:t>
      </w:r>
      <w:r>
        <w:rPr/>
        <w:t>vez</w:t>
      </w:r>
      <w:r>
        <w:rPr>
          <w:spacing w:val="-4"/>
        </w:rPr>
        <w:t> </w:t>
      </w:r>
      <w:r>
        <w:rPr/>
        <w:t>que</w:t>
      </w:r>
      <w:r>
        <w:rPr>
          <w:spacing w:val="-4"/>
        </w:rPr>
        <w:t> </w:t>
      </w:r>
      <w:r>
        <w:rPr/>
        <w:t>essas</w:t>
      </w:r>
      <w:r>
        <w:rPr>
          <w:spacing w:val="-4"/>
        </w:rPr>
        <w:t> </w:t>
      </w:r>
      <w:r>
        <w:rPr/>
        <w:t>parcelas</w:t>
      </w:r>
      <w:r>
        <w:rPr>
          <w:spacing w:val="-4"/>
        </w:rPr>
        <w:t> </w:t>
      </w:r>
      <w:r>
        <w:rPr/>
        <w:t>do</w:t>
      </w:r>
      <w:r>
        <w:rPr>
          <w:spacing w:val="-5"/>
        </w:rPr>
        <w:t> </w:t>
      </w:r>
      <w:r>
        <w:rPr/>
        <w:t>ativo</w:t>
      </w:r>
      <w:r>
        <w:rPr>
          <w:spacing w:val="-4"/>
        </w:rPr>
        <w:t> </w:t>
      </w:r>
      <w:r>
        <w:rPr/>
        <w:t>não</w:t>
      </w:r>
      <w:r>
        <w:rPr>
          <w:spacing w:val="-4"/>
        </w:rPr>
        <w:t> </w:t>
      </w:r>
      <w:r>
        <w:rPr/>
        <w:t>se</w:t>
      </w:r>
      <w:r>
        <w:rPr>
          <w:spacing w:val="-6"/>
        </w:rPr>
        <w:t> </w:t>
      </w:r>
      <w:r>
        <w:rPr/>
        <w:t>destinam</w:t>
      </w:r>
      <w:r>
        <w:rPr>
          <w:spacing w:val="-5"/>
        </w:rPr>
        <w:t> </w:t>
      </w:r>
      <w:r>
        <w:rPr/>
        <w:t>à cobertura</w:t>
      </w:r>
      <w:r>
        <w:rPr>
          <w:spacing w:val="-17"/>
        </w:rPr>
        <w:t> </w:t>
      </w:r>
      <w:r>
        <w:rPr/>
        <w:t>das</w:t>
      </w:r>
      <w:r>
        <w:rPr>
          <w:spacing w:val="-16"/>
        </w:rPr>
        <w:t> </w:t>
      </w:r>
      <w:r>
        <w:rPr/>
        <w:t>provisões</w:t>
      </w:r>
      <w:r>
        <w:rPr>
          <w:spacing w:val="-15"/>
        </w:rPr>
        <w:t> </w:t>
      </w:r>
      <w:r>
        <w:rPr/>
        <w:t>matemáticas.</w:t>
      </w:r>
    </w:p>
    <w:p>
      <w:pPr>
        <w:pStyle w:val="BodyText"/>
        <w:spacing w:before="9"/>
      </w:pPr>
    </w:p>
    <w:p>
      <w:pPr>
        <w:pStyle w:val="BodyText"/>
        <w:spacing w:line="242" w:lineRule="auto"/>
        <w:ind w:left="172" w:right="404"/>
        <w:jc w:val="both"/>
      </w:pPr>
      <w:r>
        <w:rPr/>
        <w:t>O</w:t>
      </w:r>
      <w:r>
        <w:rPr>
          <w:spacing w:val="-45"/>
        </w:rPr>
        <w:t> </w:t>
      </w:r>
      <w:r>
        <w:rPr/>
        <w:t>Plano</w:t>
      </w:r>
      <w:r>
        <w:rPr>
          <w:spacing w:val="-44"/>
        </w:rPr>
        <w:t> </w:t>
      </w:r>
      <w:r>
        <w:rPr/>
        <w:t>Complementar</w:t>
      </w:r>
      <w:r>
        <w:rPr>
          <w:spacing w:val="-44"/>
        </w:rPr>
        <w:t> </w:t>
      </w:r>
      <w:r>
        <w:rPr/>
        <w:t>de</w:t>
      </w:r>
      <w:r>
        <w:rPr>
          <w:spacing w:val="-45"/>
        </w:rPr>
        <w:t> </w:t>
      </w:r>
      <w:r>
        <w:rPr/>
        <w:t>Benefícios</w:t>
      </w:r>
      <w:r>
        <w:rPr>
          <w:spacing w:val="-42"/>
        </w:rPr>
        <w:t> </w:t>
      </w:r>
      <w:r>
        <w:rPr/>
        <w:t>Previdenciais</w:t>
      </w:r>
      <w:r>
        <w:rPr>
          <w:spacing w:val="-44"/>
        </w:rPr>
        <w:t> </w:t>
      </w:r>
      <w:r>
        <w:rPr/>
        <w:t>se</w:t>
      </w:r>
      <w:r>
        <w:rPr>
          <w:spacing w:val="-44"/>
        </w:rPr>
        <w:t> </w:t>
      </w:r>
      <w:r>
        <w:rPr/>
        <w:t>encontra</w:t>
      </w:r>
      <w:r>
        <w:rPr>
          <w:spacing w:val="-43"/>
        </w:rPr>
        <w:t> </w:t>
      </w:r>
      <w:r>
        <w:rPr/>
        <w:t>em</w:t>
      </w:r>
      <w:r>
        <w:rPr>
          <w:spacing w:val="-44"/>
        </w:rPr>
        <w:t> </w:t>
      </w:r>
      <w:r>
        <w:rPr/>
        <w:t>situação</w:t>
      </w:r>
      <w:r>
        <w:rPr>
          <w:spacing w:val="-44"/>
        </w:rPr>
        <w:t> </w:t>
      </w:r>
      <w:r>
        <w:rPr/>
        <w:t>de</w:t>
      </w:r>
      <w:r>
        <w:rPr>
          <w:spacing w:val="-44"/>
        </w:rPr>
        <w:t> </w:t>
      </w:r>
      <w:r>
        <w:rPr/>
        <w:t>cobertura</w:t>
      </w:r>
      <w:r>
        <w:rPr>
          <w:spacing w:val="-44"/>
        </w:rPr>
        <w:t> </w:t>
      </w:r>
      <w:r>
        <w:rPr/>
        <w:t>parcial</w:t>
      </w:r>
      <w:r>
        <w:rPr>
          <w:spacing w:val="-43"/>
        </w:rPr>
        <w:t> </w:t>
      </w:r>
      <w:r>
        <w:rPr/>
        <w:t>do</w:t>
      </w:r>
      <w:r>
        <w:rPr>
          <w:spacing w:val="-44"/>
        </w:rPr>
        <w:t> </w:t>
      </w:r>
      <w:r>
        <w:rPr/>
        <w:t>valor</w:t>
      </w:r>
      <w:r>
        <w:rPr>
          <w:spacing w:val="-45"/>
        </w:rPr>
        <w:t> </w:t>
      </w:r>
      <w:r>
        <w:rPr/>
        <w:t>presente</w:t>
      </w:r>
      <w:r>
        <w:rPr>
          <w:spacing w:val="-43"/>
        </w:rPr>
        <w:t> </w:t>
      </w:r>
      <w:r>
        <w:rPr/>
        <w:t>da obrigação</w:t>
      </w:r>
      <w:r>
        <w:rPr>
          <w:spacing w:val="-43"/>
        </w:rPr>
        <w:t> </w:t>
      </w:r>
      <w:r>
        <w:rPr/>
        <w:t>atuarial,</w:t>
      </w:r>
      <w:r>
        <w:rPr>
          <w:spacing w:val="-42"/>
        </w:rPr>
        <w:t> </w:t>
      </w:r>
      <w:r>
        <w:rPr/>
        <w:t>conforme</w:t>
      </w:r>
      <w:r>
        <w:rPr>
          <w:spacing w:val="-42"/>
        </w:rPr>
        <w:t> </w:t>
      </w:r>
      <w:r>
        <w:rPr/>
        <w:t>demonstrado</w:t>
      </w:r>
      <w:r>
        <w:rPr>
          <w:spacing w:val="-42"/>
        </w:rPr>
        <w:t> </w:t>
      </w:r>
      <w:r>
        <w:rPr/>
        <w:t>nos</w:t>
      </w:r>
      <w:r>
        <w:rPr>
          <w:spacing w:val="-38"/>
        </w:rPr>
        <w:t> </w:t>
      </w:r>
      <w:r>
        <w:rPr/>
        <w:t>quadros</w:t>
      </w:r>
      <w:r>
        <w:rPr>
          <w:spacing w:val="-40"/>
        </w:rPr>
        <w:t> </w:t>
      </w:r>
      <w:r>
        <w:rPr/>
        <w:t>anteriores,</w:t>
      </w:r>
      <w:r>
        <w:rPr>
          <w:spacing w:val="-41"/>
        </w:rPr>
        <w:t> </w:t>
      </w:r>
      <w:r>
        <w:rPr/>
        <w:t>tendo</w:t>
      </w:r>
      <w:r>
        <w:rPr>
          <w:spacing w:val="-42"/>
        </w:rPr>
        <w:t> </w:t>
      </w:r>
      <w:r>
        <w:rPr/>
        <w:t>apresentado,</w:t>
      </w:r>
      <w:r>
        <w:rPr>
          <w:spacing w:val="-42"/>
        </w:rPr>
        <w:t> </w:t>
      </w:r>
      <w:r>
        <w:rPr/>
        <w:t>em</w:t>
      </w:r>
      <w:r>
        <w:rPr>
          <w:spacing w:val="-42"/>
        </w:rPr>
        <w:t> </w:t>
      </w:r>
      <w:r>
        <w:rPr/>
        <w:t>31</w:t>
      </w:r>
      <w:r>
        <w:rPr>
          <w:spacing w:val="-39"/>
        </w:rPr>
        <w:t> </w:t>
      </w:r>
      <w:r>
        <w:rPr/>
        <w:t>de</w:t>
      </w:r>
      <w:r>
        <w:rPr>
          <w:spacing w:val="-42"/>
        </w:rPr>
        <w:t> </w:t>
      </w:r>
      <w:r>
        <w:rPr/>
        <w:t>dezembro</w:t>
      </w:r>
      <w:r>
        <w:rPr>
          <w:spacing w:val="-41"/>
        </w:rPr>
        <w:t> </w:t>
      </w:r>
      <w:r>
        <w:rPr/>
        <w:t>de</w:t>
      </w:r>
      <w:r>
        <w:rPr>
          <w:spacing w:val="-41"/>
        </w:rPr>
        <w:t> </w:t>
      </w:r>
      <w:r>
        <w:rPr/>
        <w:t>2019, um</w:t>
      </w:r>
      <w:r>
        <w:rPr>
          <w:spacing w:val="-35"/>
        </w:rPr>
        <w:t> </w:t>
      </w:r>
      <w:r>
        <w:rPr/>
        <w:t>déficit</w:t>
      </w:r>
      <w:r>
        <w:rPr>
          <w:spacing w:val="-34"/>
        </w:rPr>
        <w:t> </w:t>
      </w:r>
      <w:r>
        <w:rPr/>
        <w:t>atuarial.</w:t>
      </w:r>
      <w:r>
        <w:rPr>
          <w:spacing w:val="-35"/>
        </w:rPr>
        <w:t> </w:t>
      </w:r>
      <w:r>
        <w:rPr/>
        <w:t>A</w:t>
      </w:r>
      <w:r>
        <w:rPr>
          <w:spacing w:val="-34"/>
        </w:rPr>
        <w:t> </w:t>
      </w:r>
      <w:r>
        <w:rPr/>
        <w:t>variação</w:t>
      </w:r>
      <w:r>
        <w:rPr>
          <w:spacing w:val="-35"/>
        </w:rPr>
        <w:t> </w:t>
      </w:r>
      <w:r>
        <w:rPr/>
        <w:t>no</w:t>
      </w:r>
      <w:r>
        <w:rPr>
          <w:spacing w:val="-31"/>
        </w:rPr>
        <w:t> </w:t>
      </w:r>
      <w:r>
        <w:rPr/>
        <w:t>resultado</w:t>
      </w:r>
      <w:r>
        <w:rPr>
          <w:spacing w:val="-35"/>
        </w:rPr>
        <w:t> </w:t>
      </w:r>
      <w:r>
        <w:rPr/>
        <w:t>atuarial,</w:t>
      </w:r>
      <w:r>
        <w:rPr>
          <w:spacing w:val="-34"/>
        </w:rPr>
        <w:t> </w:t>
      </w:r>
      <w:r>
        <w:rPr/>
        <w:t>quando</w:t>
      </w:r>
      <w:r>
        <w:rPr>
          <w:spacing w:val="-35"/>
        </w:rPr>
        <w:t> </w:t>
      </w:r>
      <w:r>
        <w:rPr/>
        <w:t>comparado</w:t>
      </w:r>
      <w:r>
        <w:rPr>
          <w:spacing w:val="-35"/>
        </w:rPr>
        <w:t> </w:t>
      </w:r>
      <w:r>
        <w:rPr/>
        <w:t>com</w:t>
      </w:r>
      <w:r>
        <w:rPr>
          <w:spacing w:val="-35"/>
        </w:rPr>
        <w:t> </w:t>
      </w:r>
      <w:r>
        <w:rPr/>
        <w:t>a</w:t>
      </w:r>
      <w:r>
        <w:rPr>
          <w:spacing w:val="-34"/>
        </w:rPr>
        <w:t> </w:t>
      </w:r>
      <w:r>
        <w:rPr/>
        <w:t>situação</w:t>
      </w:r>
      <w:r>
        <w:rPr>
          <w:spacing w:val="-34"/>
        </w:rPr>
        <w:t> </w:t>
      </w:r>
      <w:r>
        <w:rPr/>
        <w:t>em</w:t>
      </w:r>
      <w:r>
        <w:rPr>
          <w:spacing w:val="-31"/>
        </w:rPr>
        <w:t> </w:t>
      </w:r>
      <w:r>
        <w:rPr/>
        <w:t>31</w:t>
      </w:r>
      <w:r>
        <w:rPr>
          <w:spacing w:val="-34"/>
        </w:rPr>
        <w:t> </w:t>
      </w:r>
      <w:r>
        <w:rPr/>
        <w:t>de</w:t>
      </w:r>
      <w:r>
        <w:rPr>
          <w:spacing w:val="-34"/>
        </w:rPr>
        <w:t> </w:t>
      </w:r>
      <w:r>
        <w:rPr/>
        <w:t>dezembro</w:t>
      </w:r>
      <w:r>
        <w:rPr>
          <w:spacing w:val="-33"/>
        </w:rPr>
        <w:t> </w:t>
      </w:r>
      <w:r>
        <w:rPr/>
        <w:t>de</w:t>
      </w:r>
      <w:r>
        <w:rPr>
          <w:spacing w:val="-33"/>
        </w:rPr>
        <w:t> </w:t>
      </w:r>
      <w:r>
        <w:rPr/>
        <w:t>2018 se</w:t>
      </w:r>
      <w:r>
        <w:rPr>
          <w:spacing w:val="-38"/>
        </w:rPr>
        <w:t> </w:t>
      </w:r>
      <w:r>
        <w:rPr/>
        <w:t>deve,</w:t>
      </w:r>
      <w:r>
        <w:rPr>
          <w:spacing w:val="-36"/>
        </w:rPr>
        <w:t> </w:t>
      </w:r>
      <w:r>
        <w:rPr/>
        <w:t>principalmente,</w:t>
      </w:r>
      <w:r>
        <w:rPr>
          <w:spacing w:val="-37"/>
        </w:rPr>
        <w:t> </w:t>
      </w:r>
      <w:r>
        <w:rPr/>
        <w:t>à</w:t>
      </w:r>
      <w:r>
        <w:rPr>
          <w:spacing w:val="-37"/>
        </w:rPr>
        <w:t> </w:t>
      </w:r>
      <w:r>
        <w:rPr/>
        <w:t>alteração</w:t>
      </w:r>
      <w:r>
        <w:rPr>
          <w:spacing w:val="-37"/>
        </w:rPr>
        <w:t> </w:t>
      </w:r>
      <w:r>
        <w:rPr/>
        <w:t>da</w:t>
      </w:r>
      <w:r>
        <w:rPr>
          <w:spacing w:val="-37"/>
        </w:rPr>
        <w:t> </w:t>
      </w:r>
      <w:r>
        <w:rPr/>
        <w:t>hipótese</w:t>
      </w:r>
      <w:r>
        <w:rPr>
          <w:spacing w:val="-38"/>
        </w:rPr>
        <w:t> </w:t>
      </w:r>
      <w:r>
        <w:rPr/>
        <w:t>de</w:t>
      </w:r>
      <w:r>
        <w:rPr>
          <w:spacing w:val="-37"/>
        </w:rPr>
        <w:t> </w:t>
      </w:r>
      <w:r>
        <w:rPr/>
        <w:t>taxa</w:t>
      </w:r>
      <w:r>
        <w:rPr>
          <w:spacing w:val="-36"/>
        </w:rPr>
        <w:t> </w:t>
      </w:r>
      <w:r>
        <w:rPr/>
        <w:t>de</w:t>
      </w:r>
      <w:r>
        <w:rPr>
          <w:spacing w:val="-38"/>
        </w:rPr>
        <w:t> </w:t>
      </w:r>
      <w:r>
        <w:rPr/>
        <w:t>juros</w:t>
      </w:r>
      <w:r>
        <w:rPr>
          <w:spacing w:val="-36"/>
        </w:rPr>
        <w:t> </w:t>
      </w:r>
      <w:r>
        <w:rPr/>
        <w:t>atuarial,</w:t>
      </w:r>
      <w:r>
        <w:rPr>
          <w:spacing w:val="-38"/>
        </w:rPr>
        <w:t> </w:t>
      </w:r>
      <w:r>
        <w:rPr/>
        <w:t>que</w:t>
      </w:r>
      <w:r>
        <w:rPr>
          <w:spacing w:val="-37"/>
        </w:rPr>
        <w:t> </w:t>
      </w:r>
      <w:r>
        <w:rPr/>
        <w:t>provocou</w:t>
      </w:r>
      <w:r>
        <w:rPr>
          <w:spacing w:val="-37"/>
        </w:rPr>
        <w:t> </w:t>
      </w:r>
      <w:r>
        <w:rPr/>
        <w:t>uma</w:t>
      </w:r>
      <w:r>
        <w:rPr>
          <w:spacing w:val="-33"/>
        </w:rPr>
        <w:t> </w:t>
      </w:r>
      <w:r>
        <w:rPr/>
        <w:t>elevação</w:t>
      </w:r>
      <w:r>
        <w:rPr>
          <w:spacing w:val="-37"/>
        </w:rPr>
        <w:t> </w:t>
      </w:r>
      <w:r>
        <w:rPr/>
        <w:t>da</w:t>
      </w:r>
      <w:r>
        <w:rPr>
          <w:spacing w:val="-37"/>
        </w:rPr>
        <w:t> </w:t>
      </w:r>
      <w:r>
        <w:rPr/>
        <w:t>obrigação atuarial em R$ 508.051, que representa 23,61% da referida obrigação atuarial em 31 de dezembro de 2019. Adicionalmente,</w:t>
      </w:r>
      <w:r>
        <w:rPr>
          <w:spacing w:val="-29"/>
        </w:rPr>
        <w:t> </w:t>
      </w:r>
      <w:r>
        <w:rPr/>
        <w:t>observou-se</w:t>
      </w:r>
      <w:r>
        <w:rPr>
          <w:spacing w:val="-29"/>
        </w:rPr>
        <w:t> </w:t>
      </w:r>
      <w:r>
        <w:rPr/>
        <w:t>uma</w:t>
      </w:r>
      <w:r>
        <w:rPr>
          <w:spacing w:val="-26"/>
        </w:rPr>
        <w:t> </w:t>
      </w:r>
      <w:r>
        <w:rPr/>
        <w:t>elevação</w:t>
      </w:r>
      <w:r>
        <w:rPr>
          <w:spacing w:val="-28"/>
        </w:rPr>
        <w:t> </w:t>
      </w:r>
      <w:r>
        <w:rPr/>
        <w:t>no</w:t>
      </w:r>
      <w:r>
        <w:rPr>
          <w:spacing w:val="-27"/>
        </w:rPr>
        <w:t> </w:t>
      </w:r>
      <w:r>
        <w:rPr/>
        <w:t>valor</w:t>
      </w:r>
      <w:r>
        <w:rPr>
          <w:spacing w:val="-27"/>
        </w:rPr>
        <w:t> </w:t>
      </w:r>
      <w:r>
        <w:rPr/>
        <w:t>justo</w:t>
      </w:r>
      <w:r>
        <w:rPr>
          <w:spacing w:val="-28"/>
        </w:rPr>
        <w:t> </w:t>
      </w:r>
      <w:r>
        <w:rPr/>
        <w:t>dos</w:t>
      </w:r>
      <w:r>
        <w:rPr>
          <w:spacing w:val="-28"/>
        </w:rPr>
        <w:t> </w:t>
      </w:r>
      <w:r>
        <w:rPr/>
        <w:t>ativos</w:t>
      </w:r>
      <w:r>
        <w:rPr>
          <w:spacing w:val="-28"/>
        </w:rPr>
        <w:t> </w:t>
      </w:r>
      <w:r>
        <w:rPr/>
        <w:t>de</w:t>
      </w:r>
      <w:r>
        <w:rPr>
          <w:spacing w:val="-29"/>
        </w:rPr>
        <w:t> </w:t>
      </w:r>
      <w:r>
        <w:rPr/>
        <w:t>R$</w:t>
      </w:r>
      <w:r>
        <w:rPr>
          <w:spacing w:val="-27"/>
        </w:rPr>
        <w:t> </w:t>
      </w:r>
      <w:r>
        <w:rPr/>
        <w:t>299.306</w:t>
      </w:r>
      <w:r>
        <w:rPr>
          <w:spacing w:val="-26"/>
        </w:rPr>
        <w:t> </w:t>
      </w:r>
      <w:r>
        <w:rPr/>
        <w:t>(20,41%),</w:t>
      </w:r>
      <w:r>
        <w:rPr>
          <w:spacing w:val="-27"/>
        </w:rPr>
        <w:t> </w:t>
      </w:r>
      <w:r>
        <w:rPr/>
        <w:t>que</w:t>
      </w:r>
      <w:r>
        <w:rPr>
          <w:spacing w:val="-29"/>
        </w:rPr>
        <w:t> </w:t>
      </w:r>
      <w:r>
        <w:rPr/>
        <w:t>contribuiu</w:t>
      </w:r>
      <w:r>
        <w:rPr>
          <w:spacing w:val="-28"/>
        </w:rPr>
        <w:t> </w:t>
      </w:r>
      <w:r>
        <w:rPr/>
        <w:t>para</w:t>
      </w:r>
      <w:r>
        <w:rPr>
          <w:spacing w:val="-28"/>
        </w:rPr>
        <w:t> </w:t>
      </w:r>
      <w:r>
        <w:rPr/>
        <w:t>a redução</w:t>
      </w:r>
      <w:r>
        <w:rPr>
          <w:spacing w:val="-16"/>
        </w:rPr>
        <w:t> </w:t>
      </w:r>
      <w:r>
        <w:rPr/>
        <w:t>do</w:t>
      </w:r>
      <w:r>
        <w:rPr>
          <w:spacing w:val="-19"/>
        </w:rPr>
        <w:t> </w:t>
      </w:r>
      <w:r>
        <w:rPr/>
        <w:t>déficit</w:t>
      </w:r>
      <w:r>
        <w:rPr>
          <w:spacing w:val="-18"/>
        </w:rPr>
        <w:t> </w:t>
      </w:r>
      <w:r>
        <w:rPr/>
        <w:t>atuarial.</w:t>
      </w:r>
    </w:p>
    <w:p>
      <w:pPr>
        <w:pStyle w:val="BodyText"/>
        <w:spacing w:before="7"/>
      </w:pPr>
    </w:p>
    <w:p>
      <w:pPr>
        <w:pStyle w:val="BodyText"/>
        <w:spacing w:before="1"/>
        <w:ind w:left="172"/>
      </w:pPr>
      <w:r>
        <w:rPr/>
        <w:t>Os resultados apresentados pelo plano ao longo dos períodos estão listados no quadro seguinte:</w:t>
      </w:r>
    </w:p>
    <w:p>
      <w:pPr>
        <w:pStyle w:val="BodyText"/>
        <w:spacing w:before="8"/>
        <w:rPr>
          <w:sz w:val="18"/>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18"/>
        <w:gridCol w:w="1652"/>
        <w:gridCol w:w="1647"/>
      </w:tblGrid>
      <w:tr>
        <w:trPr>
          <w:trHeight w:val="549" w:hRule="atLeast"/>
        </w:trPr>
        <w:tc>
          <w:tcPr>
            <w:tcW w:w="6618" w:type="dxa"/>
            <w:shd w:val="clear" w:color="auto" w:fill="D9D9D9"/>
          </w:tcPr>
          <w:p>
            <w:pPr>
              <w:pStyle w:val="TableParagraph"/>
              <w:rPr>
                <w:rFonts w:ascii="Times New Roman"/>
                <w:sz w:val="18"/>
              </w:rPr>
            </w:pPr>
          </w:p>
        </w:tc>
        <w:tc>
          <w:tcPr>
            <w:tcW w:w="1652" w:type="dxa"/>
          </w:tcPr>
          <w:p>
            <w:pPr>
              <w:pStyle w:val="TableParagraph"/>
              <w:spacing w:before="7"/>
              <w:rPr>
                <w:sz w:val="16"/>
              </w:rPr>
            </w:pPr>
          </w:p>
          <w:p>
            <w:pPr>
              <w:pStyle w:val="TableParagraph"/>
              <w:ind w:left="424"/>
              <w:rPr>
                <w:rFonts w:ascii="Caladea"/>
                <w:b/>
                <w:sz w:val="14"/>
              </w:rPr>
            </w:pPr>
            <w:r>
              <w:rPr>
                <w:rFonts w:ascii="Caladea"/>
                <w:b/>
                <w:sz w:val="14"/>
              </w:rPr>
              <w:t>31/12/2019</w:t>
            </w:r>
          </w:p>
        </w:tc>
        <w:tc>
          <w:tcPr>
            <w:tcW w:w="1647" w:type="dxa"/>
          </w:tcPr>
          <w:p>
            <w:pPr>
              <w:pStyle w:val="TableParagraph"/>
              <w:spacing w:before="111"/>
              <w:ind w:left="419"/>
              <w:rPr>
                <w:rFonts w:ascii="Caladea"/>
                <w:b/>
                <w:sz w:val="14"/>
              </w:rPr>
            </w:pPr>
            <w:r>
              <w:rPr>
                <w:rFonts w:ascii="Caladea"/>
                <w:b/>
                <w:sz w:val="14"/>
              </w:rPr>
              <w:t>31/12/2018</w:t>
            </w:r>
          </w:p>
          <w:p>
            <w:pPr>
              <w:pStyle w:val="TableParagraph"/>
              <w:spacing w:before="1"/>
              <w:ind w:left="371"/>
              <w:rPr>
                <w:sz w:val="14"/>
              </w:rPr>
            </w:pPr>
            <w:r>
              <w:rPr>
                <w:sz w:val="14"/>
              </w:rPr>
              <w:t>Reapresentado</w:t>
            </w:r>
          </w:p>
        </w:tc>
      </w:tr>
      <w:tr>
        <w:trPr>
          <w:trHeight w:val="240" w:hRule="atLeast"/>
        </w:trPr>
        <w:tc>
          <w:tcPr>
            <w:tcW w:w="6618" w:type="dxa"/>
          </w:tcPr>
          <w:p>
            <w:pPr>
              <w:pStyle w:val="TableParagraph"/>
              <w:spacing w:before="39"/>
              <w:ind w:left="72"/>
              <w:rPr>
                <w:sz w:val="14"/>
              </w:rPr>
            </w:pPr>
            <w:r>
              <w:rPr>
                <w:sz w:val="14"/>
              </w:rPr>
              <w:t>Valor Presente da Obrigação Atuarial</w:t>
            </w:r>
          </w:p>
        </w:tc>
        <w:tc>
          <w:tcPr>
            <w:tcW w:w="1652" w:type="dxa"/>
          </w:tcPr>
          <w:p>
            <w:pPr>
              <w:pStyle w:val="TableParagraph"/>
              <w:spacing w:before="39"/>
              <w:ind w:right="60"/>
              <w:jc w:val="right"/>
              <w:rPr>
                <w:sz w:val="14"/>
              </w:rPr>
            </w:pPr>
            <w:r>
              <w:rPr>
                <w:w w:val="95"/>
                <w:sz w:val="14"/>
              </w:rPr>
              <w:t>2.152.098</w:t>
            </w:r>
          </w:p>
        </w:tc>
        <w:tc>
          <w:tcPr>
            <w:tcW w:w="1647" w:type="dxa"/>
          </w:tcPr>
          <w:p>
            <w:pPr>
              <w:pStyle w:val="TableParagraph"/>
              <w:spacing w:before="39"/>
              <w:ind w:right="60"/>
              <w:jc w:val="right"/>
              <w:rPr>
                <w:sz w:val="14"/>
              </w:rPr>
            </w:pPr>
            <w:r>
              <w:rPr>
                <w:w w:val="95"/>
                <w:sz w:val="14"/>
              </w:rPr>
              <w:t>1.673.823</w:t>
            </w:r>
          </w:p>
        </w:tc>
      </w:tr>
      <w:tr>
        <w:trPr>
          <w:trHeight w:val="237" w:hRule="atLeast"/>
        </w:trPr>
        <w:tc>
          <w:tcPr>
            <w:tcW w:w="6618" w:type="dxa"/>
          </w:tcPr>
          <w:p>
            <w:pPr>
              <w:pStyle w:val="TableParagraph"/>
              <w:spacing w:before="36"/>
              <w:ind w:left="72"/>
              <w:rPr>
                <w:sz w:val="14"/>
              </w:rPr>
            </w:pPr>
            <w:r>
              <w:rPr>
                <w:sz w:val="14"/>
              </w:rPr>
              <w:t>Valor Justo dos Ativos do Plano</w:t>
            </w:r>
          </w:p>
        </w:tc>
        <w:tc>
          <w:tcPr>
            <w:tcW w:w="1652" w:type="dxa"/>
          </w:tcPr>
          <w:p>
            <w:pPr>
              <w:pStyle w:val="TableParagraph"/>
              <w:spacing w:before="36"/>
              <w:ind w:right="59"/>
              <w:jc w:val="right"/>
              <w:rPr>
                <w:sz w:val="14"/>
              </w:rPr>
            </w:pPr>
            <w:r>
              <w:rPr>
                <w:w w:val="95"/>
                <w:sz w:val="14"/>
              </w:rPr>
              <w:t>(1.765.989)</w:t>
            </w:r>
          </w:p>
        </w:tc>
        <w:tc>
          <w:tcPr>
            <w:tcW w:w="1647" w:type="dxa"/>
          </w:tcPr>
          <w:p>
            <w:pPr>
              <w:pStyle w:val="TableParagraph"/>
              <w:spacing w:before="36"/>
              <w:ind w:right="60"/>
              <w:jc w:val="right"/>
              <w:rPr>
                <w:sz w:val="14"/>
              </w:rPr>
            </w:pPr>
            <w:r>
              <w:rPr>
                <w:w w:val="95"/>
                <w:sz w:val="14"/>
              </w:rPr>
              <w:t>(1.466.683)</w:t>
            </w:r>
          </w:p>
        </w:tc>
      </w:tr>
      <w:tr>
        <w:trPr>
          <w:trHeight w:val="237" w:hRule="atLeast"/>
        </w:trPr>
        <w:tc>
          <w:tcPr>
            <w:tcW w:w="6618" w:type="dxa"/>
          </w:tcPr>
          <w:p>
            <w:pPr>
              <w:pStyle w:val="TableParagraph"/>
              <w:spacing w:before="38"/>
              <w:ind w:left="72"/>
              <w:rPr>
                <w:sz w:val="14"/>
              </w:rPr>
            </w:pPr>
            <w:r>
              <w:rPr>
                <w:sz w:val="14"/>
              </w:rPr>
              <w:t>Aplicação da restrição do passivo (parcela de responsabilidade dos empregados)</w:t>
            </w:r>
          </w:p>
        </w:tc>
        <w:tc>
          <w:tcPr>
            <w:tcW w:w="1652" w:type="dxa"/>
          </w:tcPr>
          <w:p>
            <w:pPr>
              <w:pStyle w:val="TableParagraph"/>
              <w:spacing w:before="38"/>
              <w:ind w:right="59"/>
              <w:jc w:val="right"/>
              <w:rPr>
                <w:sz w:val="14"/>
              </w:rPr>
            </w:pPr>
            <w:r>
              <w:rPr>
                <w:sz w:val="14"/>
              </w:rPr>
              <w:t>(285.527)</w:t>
            </w:r>
          </w:p>
        </w:tc>
        <w:tc>
          <w:tcPr>
            <w:tcW w:w="1647" w:type="dxa"/>
          </w:tcPr>
          <w:p>
            <w:pPr>
              <w:pStyle w:val="TableParagraph"/>
              <w:spacing w:before="38"/>
              <w:ind w:right="60"/>
              <w:jc w:val="right"/>
              <w:rPr>
                <w:sz w:val="14"/>
              </w:rPr>
            </w:pPr>
            <w:r>
              <w:rPr>
                <w:sz w:val="14"/>
              </w:rPr>
              <w:t>(150.133)</w:t>
            </w:r>
          </w:p>
        </w:tc>
      </w:tr>
      <w:tr>
        <w:trPr>
          <w:trHeight w:val="239" w:hRule="atLeast"/>
        </w:trPr>
        <w:tc>
          <w:tcPr>
            <w:tcW w:w="6618" w:type="dxa"/>
          </w:tcPr>
          <w:p>
            <w:pPr>
              <w:pStyle w:val="TableParagraph"/>
              <w:spacing w:before="37"/>
              <w:ind w:left="72"/>
              <w:rPr>
                <w:rFonts w:ascii="Caladea"/>
                <w:b/>
                <w:sz w:val="14"/>
              </w:rPr>
            </w:pPr>
            <w:r>
              <w:rPr>
                <w:rFonts w:ascii="Caladea"/>
                <w:b/>
                <w:sz w:val="14"/>
              </w:rPr>
              <w:t>Resultado</w:t>
            </w:r>
          </w:p>
        </w:tc>
        <w:tc>
          <w:tcPr>
            <w:tcW w:w="1652" w:type="dxa"/>
          </w:tcPr>
          <w:p>
            <w:pPr>
              <w:pStyle w:val="TableParagraph"/>
              <w:spacing w:before="37"/>
              <w:ind w:right="60"/>
              <w:jc w:val="right"/>
              <w:rPr>
                <w:rFonts w:ascii="Caladea"/>
                <w:b/>
                <w:sz w:val="14"/>
              </w:rPr>
            </w:pPr>
            <w:r>
              <w:rPr>
                <w:rFonts w:ascii="Caladea"/>
                <w:b/>
                <w:w w:val="95"/>
                <w:sz w:val="14"/>
              </w:rPr>
              <w:t>100.582</w:t>
            </w:r>
          </w:p>
        </w:tc>
        <w:tc>
          <w:tcPr>
            <w:tcW w:w="1647" w:type="dxa"/>
          </w:tcPr>
          <w:p>
            <w:pPr>
              <w:pStyle w:val="TableParagraph"/>
              <w:spacing w:before="37"/>
              <w:ind w:right="60"/>
              <w:jc w:val="right"/>
              <w:rPr>
                <w:rFonts w:ascii="Caladea"/>
                <w:b/>
                <w:sz w:val="14"/>
              </w:rPr>
            </w:pPr>
            <w:r>
              <w:rPr>
                <w:rFonts w:ascii="Caladea"/>
                <w:b/>
                <w:sz w:val="14"/>
              </w:rPr>
              <w:t>57.007</w:t>
            </w:r>
          </w:p>
        </w:tc>
      </w:tr>
    </w:tbl>
    <w:p>
      <w:pPr>
        <w:pStyle w:val="BodyText"/>
        <w:rPr>
          <w:sz w:val="21"/>
        </w:rPr>
      </w:pPr>
    </w:p>
    <w:p>
      <w:pPr>
        <w:pStyle w:val="BodyText"/>
        <w:spacing w:line="242" w:lineRule="auto"/>
        <w:ind w:left="172" w:right="413"/>
        <w:jc w:val="both"/>
      </w:pPr>
      <w:r>
        <w:rPr/>
        <w:t>O</w:t>
      </w:r>
      <w:r>
        <w:rPr>
          <w:spacing w:val="-23"/>
        </w:rPr>
        <w:t> </w:t>
      </w:r>
      <w:r>
        <w:rPr/>
        <w:t>quadro</w:t>
      </w:r>
      <w:r>
        <w:rPr>
          <w:spacing w:val="-20"/>
        </w:rPr>
        <w:t> </w:t>
      </w:r>
      <w:r>
        <w:rPr/>
        <w:t>a</w:t>
      </w:r>
      <w:r>
        <w:rPr>
          <w:spacing w:val="-21"/>
        </w:rPr>
        <w:t> </w:t>
      </w:r>
      <w:r>
        <w:rPr/>
        <w:t>seguir</w:t>
      </w:r>
      <w:r>
        <w:rPr>
          <w:spacing w:val="-20"/>
        </w:rPr>
        <w:t> </w:t>
      </w:r>
      <w:r>
        <w:rPr/>
        <w:t>contém</w:t>
      </w:r>
      <w:r>
        <w:rPr>
          <w:spacing w:val="-21"/>
        </w:rPr>
        <w:t> </w:t>
      </w:r>
      <w:r>
        <w:rPr/>
        <w:t>a</w:t>
      </w:r>
      <w:r>
        <w:rPr>
          <w:spacing w:val="-20"/>
        </w:rPr>
        <w:t> </w:t>
      </w:r>
      <w:r>
        <w:rPr/>
        <w:t>despesa</w:t>
      </w:r>
      <w:r>
        <w:rPr>
          <w:spacing w:val="-21"/>
        </w:rPr>
        <w:t> </w:t>
      </w:r>
      <w:r>
        <w:rPr/>
        <w:t>do</w:t>
      </w:r>
      <w:r>
        <w:rPr>
          <w:spacing w:val="-20"/>
        </w:rPr>
        <w:t> </w:t>
      </w:r>
      <w:r>
        <w:rPr/>
        <w:t>plano</w:t>
      </w:r>
      <w:r>
        <w:rPr>
          <w:spacing w:val="-22"/>
        </w:rPr>
        <w:t> </w:t>
      </w:r>
      <w:r>
        <w:rPr/>
        <w:t>de</w:t>
      </w:r>
      <w:r>
        <w:rPr>
          <w:spacing w:val="-21"/>
        </w:rPr>
        <w:t> </w:t>
      </w:r>
      <w:r>
        <w:rPr/>
        <w:t>responsabilidade</w:t>
      </w:r>
      <w:r>
        <w:rPr>
          <w:spacing w:val="-20"/>
        </w:rPr>
        <w:t> </w:t>
      </w:r>
      <w:r>
        <w:rPr/>
        <w:t>da</w:t>
      </w:r>
      <w:r>
        <w:rPr>
          <w:spacing w:val="-21"/>
        </w:rPr>
        <w:t> </w:t>
      </w:r>
      <w:r>
        <w:rPr/>
        <w:t>patrocinadora,</w:t>
      </w:r>
      <w:r>
        <w:rPr>
          <w:spacing w:val="-22"/>
        </w:rPr>
        <w:t> </w:t>
      </w:r>
      <w:r>
        <w:rPr/>
        <w:t>estimada</w:t>
      </w:r>
      <w:r>
        <w:rPr>
          <w:spacing w:val="-21"/>
        </w:rPr>
        <w:t> </w:t>
      </w:r>
      <w:r>
        <w:rPr/>
        <w:t>para</w:t>
      </w:r>
      <w:r>
        <w:rPr>
          <w:spacing w:val="-20"/>
        </w:rPr>
        <w:t> </w:t>
      </w:r>
      <w:r>
        <w:rPr/>
        <w:t>o</w:t>
      </w:r>
      <w:r>
        <w:rPr>
          <w:spacing w:val="-20"/>
        </w:rPr>
        <w:t> </w:t>
      </w:r>
      <w:r>
        <w:rPr/>
        <w:t>exercício</w:t>
      </w:r>
      <w:r>
        <w:rPr>
          <w:spacing w:val="-21"/>
        </w:rPr>
        <w:t> </w:t>
      </w:r>
      <w:r>
        <w:rPr/>
        <w:t>de 2020, calculada com base nos custos normais; no custo dos juros incidentes sobre a obrigação atuarial; nos rendimentos esperados do valor justo dos ativos do plano; e nas contribuições estimadas dos participantes e assistidos.</w:t>
      </w:r>
    </w:p>
    <w:p>
      <w:pPr>
        <w:spacing w:after="0" w:line="242" w:lineRule="auto"/>
        <w:jc w:val="both"/>
        <w:sectPr>
          <w:pgSz w:w="11910" w:h="16850"/>
          <w:pgMar w:header="792" w:footer="987" w:top="1280" w:bottom="1220" w:left="960" w:right="440"/>
        </w:sectPr>
      </w:pPr>
    </w:p>
    <w:p>
      <w:pPr>
        <w:pStyle w:val="BodyText"/>
      </w:pPr>
    </w:p>
    <w:p>
      <w:pPr>
        <w:pStyle w:val="BodyText"/>
        <w:spacing w:before="1" w:after="1"/>
        <w:rPr>
          <w:sz w:val="2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728"/>
        <w:gridCol w:w="1188"/>
      </w:tblGrid>
      <w:tr>
        <w:trPr>
          <w:trHeight w:val="237" w:hRule="atLeast"/>
        </w:trPr>
        <w:tc>
          <w:tcPr>
            <w:tcW w:w="8728" w:type="dxa"/>
            <w:shd w:val="clear" w:color="auto" w:fill="D9D9D9"/>
          </w:tcPr>
          <w:p>
            <w:pPr>
              <w:pStyle w:val="TableParagraph"/>
              <w:rPr>
                <w:rFonts w:ascii="Times New Roman"/>
                <w:sz w:val="16"/>
              </w:rPr>
            </w:pPr>
          </w:p>
        </w:tc>
        <w:tc>
          <w:tcPr>
            <w:tcW w:w="1188" w:type="dxa"/>
          </w:tcPr>
          <w:p>
            <w:pPr>
              <w:pStyle w:val="TableParagraph"/>
              <w:spacing w:before="35"/>
              <w:ind w:left="408" w:right="398"/>
              <w:jc w:val="center"/>
              <w:rPr>
                <w:rFonts w:ascii="Caladea"/>
                <w:b/>
                <w:sz w:val="14"/>
              </w:rPr>
            </w:pPr>
            <w:r>
              <w:rPr>
                <w:rFonts w:ascii="Caladea"/>
                <w:b/>
                <w:sz w:val="14"/>
              </w:rPr>
              <w:t>2020</w:t>
            </w:r>
          </w:p>
        </w:tc>
      </w:tr>
      <w:tr>
        <w:trPr>
          <w:trHeight w:val="237" w:hRule="atLeast"/>
        </w:trPr>
        <w:tc>
          <w:tcPr>
            <w:tcW w:w="8728" w:type="dxa"/>
          </w:tcPr>
          <w:p>
            <w:pPr>
              <w:pStyle w:val="TableParagraph"/>
              <w:spacing w:before="38"/>
              <w:ind w:left="72"/>
              <w:rPr>
                <w:sz w:val="14"/>
              </w:rPr>
            </w:pPr>
            <w:r>
              <w:rPr>
                <w:sz w:val="14"/>
              </w:rPr>
              <w:t>Custo do Serviço Corrente</w:t>
            </w:r>
          </w:p>
        </w:tc>
        <w:tc>
          <w:tcPr>
            <w:tcW w:w="1188" w:type="dxa"/>
          </w:tcPr>
          <w:p>
            <w:pPr>
              <w:pStyle w:val="TableParagraph"/>
              <w:spacing w:before="38"/>
              <w:ind w:right="59"/>
              <w:jc w:val="right"/>
              <w:rPr>
                <w:sz w:val="14"/>
              </w:rPr>
            </w:pPr>
            <w:r>
              <w:rPr>
                <w:w w:val="95"/>
                <w:sz w:val="14"/>
              </w:rPr>
              <w:t>11.718</w:t>
            </w:r>
          </w:p>
        </w:tc>
      </w:tr>
      <w:tr>
        <w:trPr>
          <w:trHeight w:val="239" w:hRule="atLeast"/>
        </w:trPr>
        <w:tc>
          <w:tcPr>
            <w:tcW w:w="8728" w:type="dxa"/>
          </w:tcPr>
          <w:p>
            <w:pPr>
              <w:pStyle w:val="TableParagraph"/>
              <w:spacing w:before="38"/>
              <w:ind w:left="72"/>
              <w:rPr>
                <w:sz w:val="14"/>
              </w:rPr>
            </w:pPr>
            <w:r>
              <w:rPr>
                <w:sz w:val="14"/>
              </w:rPr>
              <w:t>Custo dos Juros</w:t>
            </w:r>
          </w:p>
        </w:tc>
        <w:tc>
          <w:tcPr>
            <w:tcW w:w="1188" w:type="dxa"/>
          </w:tcPr>
          <w:p>
            <w:pPr>
              <w:pStyle w:val="TableParagraph"/>
              <w:spacing w:before="38"/>
              <w:ind w:right="59"/>
              <w:jc w:val="right"/>
              <w:rPr>
                <w:sz w:val="14"/>
              </w:rPr>
            </w:pPr>
            <w:r>
              <w:rPr>
                <w:w w:val="95"/>
                <w:sz w:val="14"/>
              </w:rPr>
              <w:t>111.116</w:t>
            </w:r>
          </w:p>
        </w:tc>
      </w:tr>
      <w:tr>
        <w:trPr>
          <w:trHeight w:val="237" w:hRule="atLeast"/>
        </w:trPr>
        <w:tc>
          <w:tcPr>
            <w:tcW w:w="8728" w:type="dxa"/>
          </w:tcPr>
          <w:p>
            <w:pPr>
              <w:pStyle w:val="TableParagraph"/>
              <w:spacing w:before="36"/>
              <w:ind w:left="72"/>
              <w:rPr>
                <w:sz w:val="14"/>
              </w:rPr>
            </w:pPr>
            <w:r>
              <w:rPr>
                <w:sz w:val="14"/>
              </w:rPr>
              <w:t>Rendimento Esperado dos Ativos do Plano</w:t>
            </w:r>
          </w:p>
        </w:tc>
        <w:tc>
          <w:tcPr>
            <w:tcW w:w="1188" w:type="dxa"/>
          </w:tcPr>
          <w:p>
            <w:pPr>
              <w:pStyle w:val="TableParagraph"/>
              <w:spacing w:before="36"/>
              <w:ind w:right="59"/>
              <w:jc w:val="right"/>
              <w:rPr>
                <w:sz w:val="14"/>
              </w:rPr>
            </w:pPr>
            <w:r>
              <w:rPr>
                <w:sz w:val="14"/>
              </w:rPr>
              <w:t>(105.128)</w:t>
            </w:r>
          </w:p>
        </w:tc>
      </w:tr>
      <w:tr>
        <w:trPr>
          <w:trHeight w:val="237" w:hRule="atLeast"/>
        </w:trPr>
        <w:tc>
          <w:tcPr>
            <w:tcW w:w="8728" w:type="dxa"/>
          </w:tcPr>
          <w:p>
            <w:pPr>
              <w:pStyle w:val="TableParagraph"/>
              <w:spacing w:before="38"/>
              <w:ind w:left="72"/>
              <w:rPr>
                <w:sz w:val="14"/>
              </w:rPr>
            </w:pPr>
            <w:r>
              <w:rPr>
                <w:sz w:val="14"/>
              </w:rPr>
              <w:t>Contribuições dos Participantes</w:t>
            </w:r>
          </w:p>
        </w:tc>
        <w:tc>
          <w:tcPr>
            <w:tcW w:w="1188" w:type="dxa"/>
          </w:tcPr>
          <w:p>
            <w:pPr>
              <w:pStyle w:val="TableParagraph"/>
              <w:spacing w:before="38"/>
              <w:ind w:right="59"/>
              <w:jc w:val="right"/>
              <w:rPr>
                <w:sz w:val="14"/>
              </w:rPr>
            </w:pPr>
            <w:r>
              <w:rPr>
                <w:w w:val="95"/>
                <w:sz w:val="14"/>
              </w:rPr>
              <w:t>(5.030)</w:t>
            </w:r>
          </w:p>
        </w:tc>
      </w:tr>
      <w:tr>
        <w:trPr>
          <w:trHeight w:val="239" w:hRule="atLeast"/>
        </w:trPr>
        <w:tc>
          <w:tcPr>
            <w:tcW w:w="8728" w:type="dxa"/>
          </w:tcPr>
          <w:p>
            <w:pPr>
              <w:pStyle w:val="TableParagraph"/>
              <w:spacing w:before="37"/>
              <w:ind w:left="72"/>
              <w:rPr>
                <w:rFonts w:ascii="Caladea"/>
                <w:b/>
                <w:sz w:val="14"/>
              </w:rPr>
            </w:pPr>
            <w:r>
              <w:rPr>
                <w:rFonts w:ascii="Caladea"/>
                <w:b/>
                <w:sz w:val="14"/>
              </w:rPr>
              <w:t>Total da Despesa Estimada</w:t>
            </w:r>
          </w:p>
        </w:tc>
        <w:tc>
          <w:tcPr>
            <w:tcW w:w="1188" w:type="dxa"/>
          </w:tcPr>
          <w:p>
            <w:pPr>
              <w:pStyle w:val="TableParagraph"/>
              <w:spacing w:before="37"/>
              <w:ind w:right="59"/>
              <w:jc w:val="right"/>
              <w:rPr>
                <w:rFonts w:ascii="Caladea"/>
                <w:b/>
                <w:sz w:val="14"/>
              </w:rPr>
            </w:pPr>
            <w:r>
              <w:rPr>
                <w:rFonts w:ascii="Caladea"/>
                <w:b/>
                <w:sz w:val="14"/>
              </w:rPr>
              <w:t>12.676</w:t>
            </w:r>
          </w:p>
        </w:tc>
      </w:tr>
    </w:tbl>
    <w:p>
      <w:pPr>
        <w:pStyle w:val="BodyText"/>
        <w:spacing w:before="2"/>
        <w:rPr>
          <w:sz w:val="12"/>
        </w:rPr>
      </w:pPr>
    </w:p>
    <w:p>
      <w:pPr>
        <w:pStyle w:val="Heading5"/>
        <w:numPr>
          <w:ilvl w:val="2"/>
          <w:numId w:val="34"/>
        </w:numPr>
        <w:tabs>
          <w:tab w:pos="1026" w:val="left" w:leader="none"/>
        </w:tabs>
        <w:spacing w:line="240" w:lineRule="auto" w:before="101" w:after="0"/>
        <w:ind w:left="1025" w:right="0" w:hanging="854"/>
        <w:jc w:val="left"/>
      </w:pPr>
      <w:r>
        <w:rPr/>
        <w:t>Plano de Benefícios</w:t>
      </w:r>
      <w:r>
        <w:rPr>
          <w:spacing w:val="-3"/>
        </w:rPr>
        <w:t> </w:t>
      </w:r>
      <w:r>
        <w:rPr/>
        <w:t>CEBPREV</w:t>
      </w:r>
    </w:p>
    <w:p>
      <w:pPr>
        <w:pStyle w:val="BodyText"/>
        <w:spacing w:before="9"/>
        <w:rPr>
          <w:rFonts w:ascii="Caladea"/>
          <w:b/>
          <w:sz w:val="23"/>
        </w:rPr>
      </w:pPr>
    </w:p>
    <w:p>
      <w:pPr>
        <w:pStyle w:val="BodyText"/>
        <w:spacing w:line="242" w:lineRule="auto"/>
        <w:ind w:left="172" w:right="410"/>
        <w:jc w:val="both"/>
      </w:pPr>
      <w:r>
        <w:rPr/>
        <w:t>O Plano CEBPREV, por ser constituído na modalidade de contribuição definida, não imputa riscos às suas patrocinadoras e, por conseguinte, não gera a necessidade de provisão de benefícios pós-emprego para a CEB Distribuição S.A..</w:t>
      </w:r>
    </w:p>
    <w:p>
      <w:pPr>
        <w:pStyle w:val="BodyText"/>
        <w:spacing w:before="8"/>
      </w:pPr>
    </w:p>
    <w:p>
      <w:pPr>
        <w:pStyle w:val="BodyText"/>
        <w:spacing w:line="242" w:lineRule="auto"/>
        <w:ind w:left="172" w:right="409"/>
        <w:jc w:val="both"/>
      </w:pPr>
      <w:r>
        <w:rPr/>
        <w:t>Conforme</w:t>
      </w:r>
      <w:r>
        <w:rPr>
          <w:spacing w:val="-45"/>
        </w:rPr>
        <w:t> </w:t>
      </w:r>
      <w:r>
        <w:rPr/>
        <w:t>o</w:t>
      </w:r>
      <w:r>
        <w:rPr>
          <w:spacing w:val="-44"/>
        </w:rPr>
        <w:t> </w:t>
      </w:r>
      <w:r>
        <w:rPr/>
        <w:t>balancete</w:t>
      </w:r>
      <w:r>
        <w:rPr>
          <w:spacing w:val="-45"/>
        </w:rPr>
        <w:t> </w:t>
      </w:r>
      <w:r>
        <w:rPr/>
        <w:t>desse</w:t>
      </w:r>
      <w:r>
        <w:rPr>
          <w:spacing w:val="-44"/>
        </w:rPr>
        <w:t> </w:t>
      </w:r>
      <w:r>
        <w:rPr/>
        <w:t>plano</w:t>
      </w:r>
      <w:r>
        <w:rPr>
          <w:spacing w:val="-44"/>
        </w:rPr>
        <w:t> </w:t>
      </w:r>
      <w:r>
        <w:rPr/>
        <w:t>na</w:t>
      </w:r>
      <w:r>
        <w:rPr>
          <w:spacing w:val="-44"/>
        </w:rPr>
        <w:t> </w:t>
      </w:r>
      <w:r>
        <w:rPr/>
        <w:t>data</w:t>
      </w:r>
      <w:r>
        <w:rPr>
          <w:spacing w:val="-44"/>
        </w:rPr>
        <w:t> </w:t>
      </w:r>
      <w:r>
        <w:rPr/>
        <w:t>base</w:t>
      </w:r>
      <w:r>
        <w:rPr>
          <w:spacing w:val="-44"/>
        </w:rPr>
        <w:t> </w:t>
      </w:r>
      <w:r>
        <w:rPr/>
        <w:t>de</w:t>
      </w:r>
      <w:r>
        <w:rPr>
          <w:spacing w:val="-45"/>
        </w:rPr>
        <w:t> </w:t>
      </w:r>
      <w:r>
        <w:rPr/>
        <w:t>31</w:t>
      </w:r>
      <w:r>
        <w:rPr>
          <w:spacing w:val="-44"/>
        </w:rPr>
        <w:t> </w:t>
      </w:r>
      <w:r>
        <w:rPr/>
        <w:t>de</w:t>
      </w:r>
      <w:r>
        <w:rPr>
          <w:spacing w:val="-44"/>
        </w:rPr>
        <w:t> </w:t>
      </w:r>
      <w:r>
        <w:rPr/>
        <w:t>dezembro</w:t>
      </w:r>
      <w:r>
        <w:rPr>
          <w:spacing w:val="-44"/>
        </w:rPr>
        <w:t> </w:t>
      </w:r>
      <w:r>
        <w:rPr/>
        <w:t>de</w:t>
      </w:r>
      <w:r>
        <w:rPr>
          <w:spacing w:val="-45"/>
        </w:rPr>
        <w:t> </w:t>
      </w:r>
      <w:r>
        <w:rPr/>
        <w:t>2019,</w:t>
      </w:r>
      <w:r>
        <w:rPr>
          <w:spacing w:val="-45"/>
        </w:rPr>
        <w:t> </w:t>
      </w:r>
      <w:r>
        <w:rPr/>
        <w:t>as</w:t>
      </w:r>
      <w:r>
        <w:rPr>
          <w:spacing w:val="-44"/>
        </w:rPr>
        <w:t> </w:t>
      </w:r>
      <w:r>
        <w:rPr/>
        <w:t>provisões</w:t>
      </w:r>
      <w:r>
        <w:rPr>
          <w:spacing w:val="-44"/>
        </w:rPr>
        <w:t> </w:t>
      </w:r>
      <w:r>
        <w:rPr/>
        <w:t>matemáticas</w:t>
      </w:r>
      <w:r>
        <w:rPr>
          <w:spacing w:val="-44"/>
        </w:rPr>
        <w:t> </w:t>
      </w:r>
      <w:r>
        <w:rPr/>
        <w:t>totais</w:t>
      </w:r>
      <w:r>
        <w:rPr>
          <w:spacing w:val="-44"/>
        </w:rPr>
        <w:t> </w:t>
      </w:r>
      <w:r>
        <w:rPr/>
        <w:t>são</w:t>
      </w:r>
      <w:r>
        <w:rPr>
          <w:spacing w:val="-44"/>
        </w:rPr>
        <w:t> </w:t>
      </w:r>
      <w:r>
        <w:rPr/>
        <w:t>iguais a</w:t>
      </w:r>
      <w:r>
        <w:rPr>
          <w:spacing w:val="-34"/>
        </w:rPr>
        <w:t> </w:t>
      </w:r>
      <w:r>
        <w:rPr/>
        <w:t>R$</w:t>
      </w:r>
      <w:r>
        <w:rPr>
          <w:spacing w:val="-34"/>
        </w:rPr>
        <w:t> </w:t>
      </w:r>
      <w:r>
        <w:rPr/>
        <w:t>68.209,</w:t>
      </w:r>
      <w:r>
        <w:rPr>
          <w:spacing w:val="-33"/>
        </w:rPr>
        <w:t> </w:t>
      </w:r>
      <w:r>
        <w:rPr/>
        <w:t>mesmo</w:t>
      </w:r>
      <w:r>
        <w:rPr>
          <w:spacing w:val="-34"/>
        </w:rPr>
        <w:t> </w:t>
      </w:r>
      <w:r>
        <w:rPr/>
        <w:t>valor</w:t>
      </w:r>
      <w:r>
        <w:rPr>
          <w:spacing w:val="-34"/>
        </w:rPr>
        <w:t> </w:t>
      </w:r>
      <w:r>
        <w:rPr/>
        <w:t>do</w:t>
      </w:r>
      <w:r>
        <w:rPr>
          <w:spacing w:val="-34"/>
        </w:rPr>
        <w:t> </w:t>
      </w:r>
      <w:r>
        <w:rPr/>
        <w:t>patrimônio</w:t>
      </w:r>
      <w:r>
        <w:rPr>
          <w:spacing w:val="-34"/>
        </w:rPr>
        <w:t> </w:t>
      </w:r>
      <w:r>
        <w:rPr/>
        <w:t>de</w:t>
      </w:r>
      <w:r>
        <w:rPr>
          <w:spacing w:val="-36"/>
        </w:rPr>
        <w:t> </w:t>
      </w:r>
      <w:r>
        <w:rPr/>
        <w:t>cobertura</w:t>
      </w:r>
      <w:r>
        <w:rPr>
          <w:spacing w:val="-33"/>
        </w:rPr>
        <w:t> </w:t>
      </w:r>
      <w:r>
        <w:rPr/>
        <w:t>do</w:t>
      </w:r>
      <w:r>
        <w:rPr>
          <w:spacing w:val="-35"/>
        </w:rPr>
        <w:t> </w:t>
      </w:r>
      <w:r>
        <w:rPr/>
        <w:t>plano,</w:t>
      </w:r>
      <w:r>
        <w:rPr>
          <w:spacing w:val="-34"/>
        </w:rPr>
        <w:t> </w:t>
      </w:r>
      <w:r>
        <w:rPr/>
        <w:t>comprovando</w:t>
      </w:r>
      <w:r>
        <w:rPr>
          <w:spacing w:val="-34"/>
        </w:rPr>
        <w:t> </w:t>
      </w:r>
      <w:r>
        <w:rPr/>
        <w:t>o</w:t>
      </w:r>
      <w:r>
        <w:rPr>
          <w:spacing w:val="-32"/>
        </w:rPr>
        <w:t> </w:t>
      </w:r>
      <w:r>
        <w:rPr/>
        <w:t>equilíbrio</w:t>
      </w:r>
      <w:r>
        <w:rPr>
          <w:spacing w:val="-33"/>
        </w:rPr>
        <w:t> </w:t>
      </w:r>
      <w:r>
        <w:rPr/>
        <w:t>atuarial</w:t>
      </w:r>
      <w:r>
        <w:rPr>
          <w:spacing w:val="-34"/>
        </w:rPr>
        <w:t> </w:t>
      </w:r>
      <w:r>
        <w:rPr/>
        <w:t>do</w:t>
      </w:r>
      <w:r>
        <w:rPr>
          <w:spacing w:val="-34"/>
        </w:rPr>
        <w:t> </w:t>
      </w:r>
      <w:r>
        <w:rPr/>
        <w:t>referido</w:t>
      </w:r>
      <w:r>
        <w:rPr>
          <w:spacing w:val="-33"/>
        </w:rPr>
        <w:t> </w:t>
      </w:r>
      <w:r>
        <w:rPr/>
        <w:t>plano de</w:t>
      </w:r>
      <w:r>
        <w:rPr>
          <w:spacing w:val="-25"/>
        </w:rPr>
        <w:t> </w:t>
      </w:r>
      <w:r>
        <w:rPr/>
        <w:t>benefícios.</w:t>
      </w:r>
      <w:r>
        <w:rPr>
          <w:spacing w:val="-25"/>
        </w:rPr>
        <w:t> </w:t>
      </w:r>
      <w:r>
        <w:rPr/>
        <w:t>As</w:t>
      </w:r>
      <w:r>
        <w:rPr>
          <w:spacing w:val="-23"/>
        </w:rPr>
        <w:t> </w:t>
      </w:r>
      <w:r>
        <w:rPr/>
        <w:t>provisões</w:t>
      </w:r>
      <w:r>
        <w:rPr>
          <w:spacing w:val="-23"/>
        </w:rPr>
        <w:t> </w:t>
      </w:r>
      <w:r>
        <w:rPr/>
        <w:t>estão</w:t>
      </w:r>
      <w:r>
        <w:rPr>
          <w:spacing w:val="-25"/>
        </w:rPr>
        <w:t> </w:t>
      </w:r>
      <w:r>
        <w:rPr/>
        <w:t>segregadas</w:t>
      </w:r>
      <w:r>
        <w:rPr>
          <w:spacing w:val="-24"/>
        </w:rPr>
        <w:t> </w:t>
      </w:r>
      <w:r>
        <w:rPr/>
        <w:t>em</w:t>
      </w:r>
      <w:r>
        <w:rPr>
          <w:spacing w:val="-23"/>
        </w:rPr>
        <w:t> </w:t>
      </w:r>
      <w:r>
        <w:rPr/>
        <w:t>Benefícios</w:t>
      </w:r>
      <w:r>
        <w:rPr>
          <w:spacing w:val="-25"/>
        </w:rPr>
        <w:t> </w:t>
      </w:r>
      <w:r>
        <w:rPr/>
        <w:t>Concedidos</w:t>
      </w:r>
      <w:r>
        <w:rPr>
          <w:spacing w:val="-24"/>
        </w:rPr>
        <w:t> </w:t>
      </w:r>
      <w:r>
        <w:rPr/>
        <w:t>(R$</w:t>
      </w:r>
      <w:r>
        <w:rPr>
          <w:spacing w:val="-20"/>
        </w:rPr>
        <w:t> </w:t>
      </w:r>
      <w:r>
        <w:rPr/>
        <w:t>4.983)</w:t>
      </w:r>
      <w:r>
        <w:rPr>
          <w:spacing w:val="-21"/>
        </w:rPr>
        <w:t> </w:t>
      </w:r>
      <w:r>
        <w:rPr/>
        <w:t>e</w:t>
      </w:r>
      <w:r>
        <w:rPr>
          <w:spacing w:val="-24"/>
        </w:rPr>
        <w:t> </w:t>
      </w:r>
      <w:r>
        <w:rPr/>
        <w:t>em</w:t>
      </w:r>
      <w:r>
        <w:rPr>
          <w:spacing w:val="-24"/>
        </w:rPr>
        <w:t> </w:t>
      </w:r>
      <w:r>
        <w:rPr/>
        <w:t>Benefícios</w:t>
      </w:r>
      <w:r>
        <w:rPr>
          <w:spacing w:val="-23"/>
        </w:rPr>
        <w:t> </w:t>
      </w:r>
      <w:r>
        <w:rPr/>
        <w:t>a</w:t>
      </w:r>
      <w:r>
        <w:rPr>
          <w:spacing w:val="-25"/>
        </w:rPr>
        <w:t> </w:t>
      </w:r>
      <w:r>
        <w:rPr/>
        <w:t>Conceder</w:t>
      </w:r>
      <w:r>
        <w:rPr>
          <w:spacing w:val="-22"/>
        </w:rPr>
        <w:t> </w:t>
      </w:r>
      <w:r>
        <w:rPr/>
        <w:t>(R$ 63.226).</w:t>
      </w:r>
      <w:r>
        <w:rPr>
          <w:spacing w:val="-7"/>
        </w:rPr>
        <w:t> </w:t>
      </w:r>
      <w:r>
        <w:rPr/>
        <w:t>Existem</w:t>
      </w:r>
      <w:r>
        <w:rPr>
          <w:spacing w:val="-6"/>
        </w:rPr>
        <w:t> </w:t>
      </w:r>
      <w:r>
        <w:rPr/>
        <w:t>ainda</w:t>
      </w:r>
      <w:r>
        <w:rPr>
          <w:spacing w:val="-3"/>
        </w:rPr>
        <w:t> </w:t>
      </w:r>
      <w:r>
        <w:rPr/>
        <w:t>fundos</w:t>
      </w:r>
      <w:r>
        <w:rPr>
          <w:spacing w:val="-7"/>
        </w:rPr>
        <w:t> </w:t>
      </w:r>
      <w:r>
        <w:rPr/>
        <w:t>previdenciais</w:t>
      </w:r>
      <w:r>
        <w:rPr>
          <w:spacing w:val="-3"/>
        </w:rPr>
        <w:t> </w:t>
      </w:r>
      <w:r>
        <w:rPr/>
        <w:t>no</w:t>
      </w:r>
      <w:r>
        <w:rPr>
          <w:spacing w:val="-5"/>
        </w:rPr>
        <w:t> </w:t>
      </w:r>
      <w:r>
        <w:rPr/>
        <w:t>montante</w:t>
      </w:r>
      <w:r>
        <w:rPr>
          <w:spacing w:val="-6"/>
        </w:rPr>
        <w:t> </w:t>
      </w:r>
      <w:r>
        <w:rPr/>
        <w:t>de</w:t>
      </w:r>
      <w:r>
        <w:rPr>
          <w:spacing w:val="-5"/>
        </w:rPr>
        <w:t> </w:t>
      </w:r>
      <w:r>
        <w:rPr/>
        <w:t>R$</w:t>
      </w:r>
      <w:r>
        <w:rPr>
          <w:spacing w:val="-1"/>
        </w:rPr>
        <w:t> </w:t>
      </w:r>
      <w:r>
        <w:rPr/>
        <w:t>2.118</w:t>
      </w:r>
      <w:r>
        <w:rPr>
          <w:spacing w:val="-4"/>
        </w:rPr>
        <w:t> </w:t>
      </w:r>
      <w:r>
        <w:rPr/>
        <w:t>para</w:t>
      </w:r>
      <w:r>
        <w:rPr>
          <w:spacing w:val="-3"/>
        </w:rPr>
        <w:t> </w:t>
      </w:r>
      <w:r>
        <w:rPr/>
        <w:t>dar</w:t>
      </w:r>
      <w:r>
        <w:rPr>
          <w:spacing w:val="-7"/>
        </w:rPr>
        <w:t> </w:t>
      </w:r>
      <w:r>
        <w:rPr/>
        <w:t>suporte</w:t>
      </w:r>
      <w:r>
        <w:rPr>
          <w:spacing w:val="-5"/>
        </w:rPr>
        <w:t> </w:t>
      </w:r>
      <w:r>
        <w:rPr/>
        <w:t>à</w:t>
      </w:r>
      <w:r>
        <w:rPr>
          <w:spacing w:val="-6"/>
        </w:rPr>
        <w:t> </w:t>
      </w:r>
      <w:r>
        <w:rPr/>
        <w:t>solvência</w:t>
      </w:r>
      <w:r>
        <w:rPr>
          <w:spacing w:val="-6"/>
        </w:rPr>
        <w:t> </w:t>
      </w:r>
      <w:r>
        <w:rPr/>
        <w:t>do</w:t>
      </w:r>
      <w:r>
        <w:rPr>
          <w:spacing w:val="-5"/>
        </w:rPr>
        <w:t> </w:t>
      </w:r>
      <w:r>
        <w:rPr/>
        <w:t>plano</w:t>
      </w:r>
      <w:r>
        <w:rPr>
          <w:spacing w:val="-5"/>
        </w:rPr>
        <w:t> </w:t>
      </w:r>
      <w:r>
        <w:rPr/>
        <w:t>de benefícios.</w:t>
      </w:r>
    </w:p>
    <w:p>
      <w:pPr>
        <w:pStyle w:val="BodyText"/>
        <w:spacing w:before="7"/>
      </w:pPr>
    </w:p>
    <w:p>
      <w:pPr>
        <w:pStyle w:val="Heading5"/>
        <w:numPr>
          <w:ilvl w:val="2"/>
          <w:numId w:val="34"/>
        </w:numPr>
        <w:tabs>
          <w:tab w:pos="1026" w:val="left" w:leader="none"/>
        </w:tabs>
        <w:spacing w:line="240" w:lineRule="auto" w:before="0" w:after="0"/>
        <w:ind w:left="1025" w:right="0" w:hanging="854"/>
        <w:jc w:val="left"/>
      </w:pPr>
      <w:r>
        <w:rPr/>
        <w:t>Plano</w:t>
      </w:r>
      <w:r>
        <w:rPr>
          <w:spacing w:val="-2"/>
        </w:rPr>
        <w:t> </w:t>
      </w:r>
      <w:r>
        <w:rPr/>
        <w:t>CEB-Saúde</w:t>
      </w:r>
    </w:p>
    <w:p>
      <w:pPr>
        <w:pStyle w:val="BodyText"/>
        <w:spacing w:before="10"/>
        <w:rPr>
          <w:rFonts w:ascii="Caladea"/>
          <w:b/>
          <w:sz w:val="23"/>
        </w:rPr>
      </w:pPr>
    </w:p>
    <w:p>
      <w:pPr>
        <w:pStyle w:val="BodyText"/>
        <w:spacing w:line="242" w:lineRule="auto"/>
        <w:ind w:left="172" w:right="412"/>
        <w:jc w:val="both"/>
      </w:pPr>
      <w:r>
        <w:rPr/>
        <w:t>O Plano CEB-Saúde Vida não gerou provisão de benefícios pós-emprego em função das disposições de seu regulamento</w:t>
      </w:r>
      <w:r>
        <w:rPr>
          <w:spacing w:val="-16"/>
        </w:rPr>
        <w:t> </w:t>
      </w:r>
      <w:r>
        <w:rPr/>
        <w:t>que</w:t>
      </w:r>
      <w:r>
        <w:rPr>
          <w:spacing w:val="-17"/>
        </w:rPr>
        <w:t> </w:t>
      </w:r>
      <w:r>
        <w:rPr/>
        <w:t>preveem</w:t>
      </w:r>
      <w:r>
        <w:rPr>
          <w:spacing w:val="-15"/>
        </w:rPr>
        <w:t> </w:t>
      </w:r>
      <w:r>
        <w:rPr/>
        <w:t>a</w:t>
      </w:r>
      <w:r>
        <w:rPr>
          <w:spacing w:val="-15"/>
        </w:rPr>
        <w:t> </w:t>
      </w:r>
      <w:r>
        <w:rPr/>
        <w:t>participação</w:t>
      </w:r>
      <w:r>
        <w:rPr>
          <w:spacing w:val="-16"/>
        </w:rPr>
        <w:t> </w:t>
      </w:r>
      <w:r>
        <w:rPr/>
        <w:t>da</w:t>
      </w:r>
      <w:r>
        <w:rPr>
          <w:spacing w:val="-15"/>
        </w:rPr>
        <w:t> </w:t>
      </w:r>
      <w:r>
        <w:rPr/>
        <w:t>CEB</w:t>
      </w:r>
      <w:r>
        <w:rPr>
          <w:spacing w:val="-16"/>
        </w:rPr>
        <w:t> </w:t>
      </w:r>
      <w:r>
        <w:rPr/>
        <w:t>Distribuição</w:t>
      </w:r>
      <w:r>
        <w:rPr>
          <w:spacing w:val="-16"/>
        </w:rPr>
        <w:t> </w:t>
      </w:r>
      <w:r>
        <w:rPr/>
        <w:t>S.A.,</w:t>
      </w:r>
      <w:r>
        <w:rPr>
          <w:spacing w:val="-14"/>
        </w:rPr>
        <w:t> </w:t>
      </w:r>
      <w:r>
        <w:rPr/>
        <w:t>bem</w:t>
      </w:r>
      <w:r>
        <w:rPr>
          <w:spacing w:val="-16"/>
        </w:rPr>
        <w:t> </w:t>
      </w:r>
      <w:r>
        <w:rPr/>
        <w:t>como</w:t>
      </w:r>
      <w:r>
        <w:rPr>
          <w:spacing w:val="-16"/>
        </w:rPr>
        <w:t> </w:t>
      </w:r>
      <w:r>
        <w:rPr/>
        <w:t>das</w:t>
      </w:r>
      <w:r>
        <w:rPr>
          <w:spacing w:val="-14"/>
        </w:rPr>
        <w:t> </w:t>
      </w:r>
      <w:r>
        <w:rPr/>
        <w:t>demais</w:t>
      </w:r>
      <w:r>
        <w:rPr>
          <w:spacing w:val="-15"/>
        </w:rPr>
        <w:t> </w:t>
      </w:r>
      <w:r>
        <w:rPr/>
        <w:t>associadas,</w:t>
      </w:r>
      <w:r>
        <w:rPr>
          <w:spacing w:val="-16"/>
        </w:rPr>
        <w:t> </w:t>
      </w:r>
      <w:r>
        <w:rPr/>
        <w:t>apenas</w:t>
      </w:r>
      <w:r>
        <w:rPr>
          <w:spacing w:val="-14"/>
        </w:rPr>
        <w:t> </w:t>
      </w:r>
      <w:r>
        <w:rPr/>
        <w:t>em relação aos participantes ativos e seus dependentes, não lhes imputando responsabilidades em relação aos aposentados e</w:t>
      </w:r>
      <w:r>
        <w:rPr>
          <w:spacing w:val="-35"/>
        </w:rPr>
        <w:t> </w:t>
      </w:r>
      <w:r>
        <w:rPr/>
        <w:t>pensionistas.</w:t>
      </w:r>
    </w:p>
    <w:p>
      <w:pPr>
        <w:pStyle w:val="BodyText"/>
        <w:spacing w:before="8"/>
      </w:pPr>
    </w:p>
    <w:p>
      <w:pPr>
        <w:pStyle w:val="BodyText"/>
        <w:ind w:left="172"/>
        <w:jc w:val="both"/>
      </w:pPr>
      <w:r>
        <w:rPr/>
        <w:t>Dessa forma, não há qualquer provisão de benefícios pós-emprego a contabilizar em função desse plano de saúde.</w:t>
      </w:r>
    </w:p>
    <w:p>
      <w:pPr>
        <w:pStyle w:val="BodyText"/>
        <w:spacing w:before="9"/>
      </w:pPr>
    </w:p>
    <w:p>
      <w:pPr>
        <w:pStyle w:val="Heading5"/>
        <w:numPr>
          <w:ilvl w:val="2"/>
          <w:numId w:val="34"/>
        </w:numPr>
        <w:tabs>
          <w:tab w:pos="1026" w:val="left" w:leader="none"/>
        </w:tabs>
        <w:spacing w:line="240" w:lineRule="auto" w:before="0" w:after="0"/>
        <w:ind w:left="1025" w:right="0" w:hanging="854"/>
        <w:jc w:val="left"/>
      </w:pPr>
      <w:r>
        <w:rPr/>
        <w:t>Categoria de ativo e dados</w:t>
      </w:r>
      <w:r>
        <w:rPr>
          <w:spacing w:val="-4"/>
        </w:rPr>
        <w:t> </w:t>
      </w:r>
      <w:r>
        <w:rPr/>
        <w:t>cadastrais</w:t>
      </w:r>
    </w:p>
    <w:p>
      <w:pPr>
        <w:pStyle w:val="BodyText"/>
        <w:rPr>
          <w:rFonts w:ascii="Caladea"/>
          <w:b/>
          <w:sz w:val="24"/>
        </w:rPr>
      </w:pPr>
    </w:p>
    <w:p>
      <w:pPr>
        <w:pStyle w:val="BodyText"/>
        <w:ind w:left="172"/>
        <w:jc w:val="both"/>
      </w:pPr>
      <w:r>
        <w:rPr/>
        <w:t>O quadro a seguir mostra as estatísticas dos planos de benefícios conforme dados cadastrais:</w:t>
      </w:r>
    </w:p>
    <w:p>
      <w:pPr>
        <w:pStyle w:val="BodyText"/>
        <w:spacing w:before="4"/>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67"/>
        <w:gridCol w:w="1570"/>
        <w:gridCol w:w="1567"/>
      </w:tblGrid>
      <w:tr>
        <w:trPr>
          <w:trHeight w:val="645" w:hRule="atLeast"/>
        </w:trPr>
        <w:tc>
          <w:tcPr>
            <w:tcW w:w="6767" w:type="dxa"/>
            <w:shd w:val="clear" w:color="auto" w:fill="D9D9D9"/>
          </w:tcPr>
          <w:p>
            <w:pPr>
              <w:pStyle w:val="TableParagraph"/>
              <w:spacing w:before="8"/>
              <w:rPr>
                <w:sz w:val="20"/>
              </w:rPr>
            </w:pPr>
          </w:p>
          <w:p>
            <w:pPr>
              <w:pStyle w:val="TableParagraph"/>
              <w:spacing w:before="1"/>
              <w:ind w:left="2868" w:right="2889"/>
              <w:jc w:val="center"/>
              <w:rPr>
                <w:rFonts w:ascii="Caladea" w:hAnsi="Caladea"/>
                <w:b/>
                <w:sz w:val="14"/>
              </w:rPr>
            </w:pPr>
            <w:r>
              <w:rPr>
                <w:rFonts w:ascii="Caladea" w:hAnsi="Caladea"/>
                <w:b/>
                <w:sz w:val="14"/>
              </w:rPr>
              <w:t>Previdenciário</w:t>
            </w:r>
          </w:p>
        </w:tc>
        <w:tc>
          <w:tcPr>
            <w:tcW w:w="1570" w:type="dxa"/>
          </w:tcPr>
          <w:p>
            <w:pPr>
              <w:pStyle w:val="TableParagraph"/>
              <w:spacing w:before="8"/>
              <w:rPr>
                <w:sz w:val="20"/>
              </w:rPr>
            </w:pPr>
          </w:p>
          <w:p>
            <w:pPr>
              <w:pStyle w:val="TableParagraph"/>
              <w:spacing w:before="1"/>
              <w:ind w:left="381"/>
              <w:rPr>
                <w:rFonts w:ascii="Caladea"/>
                <w:b/>
                <w:sz w:val="14"/>
              </w:rPr>
            </w:pPr>
            <w:r>
              <w:rPr>
                <w:rFonts w:ascii="Caladea"/>
                <w:b/>
                <w:sz w:val="14"/>
              </w:rPr>
              <w:t>31/12/2019</w:t>
            </w:r>
          </w:p>
        </w:tc>
        <w:tc>
          <w:tcPr>
            <w:tcW w:w="1567" w:type="dxa"/>
          </w:tcPr>
          <w:p>
            <w:pPr>
              <w:pStyle w:val="TableParagraph"/>
              <w:spacing w:before="8"/>
              <w:rPr>
                <w:sz w:val="20"/>
              </w:rPr>
            </w:pPr>
          </w:p>
          <w:p>
            <w:pPr>
              <w:pStyle w:val="TableParagraph"/>
              <w:spacing w:before="1"/>
              <w:ind w:left="381"/>
              <w:rPr>
                <w:rFonts w:ascii="Caladea"/>
                <w:b/>
                <w:sz w:val="14"/>
              </w:rPr>
            </w:pPr>
            <w:r>
              <w:rPr>
                <w:rFonts w:ascii="Caladea"/>
                <w:b/>
                <w:sz w:val="14"/>
              </w:rPr>
              <w:t>31/12/2018</w:t>
            </w:r>
          </w:p>
        </w:tc>
      </w:tr>
      <w:tr>
        <w:trPr>
          <w:trHeight w:val="237" w:hRule="atLeast"/>
        </w:trPr>
        <w:tc>
          <w:tcPr>
            <w:tcW w:w="6767" w:type="dxa"/>
          </w:tcPr>
          <w:p>
            <w:pPr>
              <w:pStyle w:val="TableParagraph"/>
              <w:spacing w:before="37"/>
              <w:ind w:left="72"/>
              <w:rPr>
                <w:rFonts w:ascii="Caladea"/>
                <w:b/>
                <w:sz w:val="14"/>
              </w:rPr>
            </w:pPr>
            <w:r>
              <w:rPr>
                <w:rFonts w:ascii="Caladea"/>
                <w:b/>
                <w:sz w:val="14"/>
              </w:rPr>
              <w:t>Ativos</w:t>
            </w:r>
          </w:p>
        </w:tc>
        <w:tc>
          <w:tcPr>
            <w:tcW w:w="1570" w:type="dxa"/>
          </w:tcPr>
          <w:p>
            <w:pPr>
              <w:pStyle w:val="TableParagraph"/>
              <w:rPr>
                <w:rFonts w:ascii="Times New Roman"/>
                <w:sz w:val="16"/>
              </w:rPr>
            </w:pPr>
          </w:p>
        </w:tc>
        <w:tc>
          <w:tcPr>
            <w:tcW w:w="1567" w:type="dxa"/>
          </w:tcPr>
          <w:p>
            <w:pPr>
              <w:pStyle w:val="TableParagraph"/>
              <w:rPr>
                <w:rFonts w:ascii="Times New Roman"/>
                <w:sz w:val="16"/>
              </w:rPr>
            </w:pPr>
          </w:p>
        </w:tc>
      </w:tr>
      <w:tr>
        <w:trPr>
          <w:trHeight w:val="239" w:hRule="atLeast"/>
        </w:trPr>
        <w:tc>
          <w:tcPr>
            <w:tcW w:w="6767" w:type="dxa"/>
          </w:tcPr>
          <w:p>
            <w:pPr>
              <w:pStyle w:val="TableParagraph"/>
              <w:spacing w:before="38"/>
              <w:ind w:left="165"/>
              <w:rPr>
                <w:sz w:val="14"/>
              </w:rPr>
            </w:pPr>
            <w:r>
              <w:rPr>
                <w:sz w:val="14"/>
              </w:rPr>
              <w:t>Quantidade</w:t>
            </w:r>
          </w:p>
        </w:tc>
        <w:tc>
          <w:tcPr>
            <w:tcW w:w="1570" w:type="dxa"/>
          </w:tcPr>
          <w:p>
            <w:pPr>
              <w:pStyle w:val="TableParagraph"/>
              <w:spacing w:before="38"/>
              <w:ind w:right="62"/>
              <w:jc w:val="right"/>
              <w:rPr>
                <w:sz w:val="14"/>
              </w:rPr>
            </w:pPr>
            <w:r>
              <w:rPr>
                <w:sz w:val="14"/>
              </w:rPr>
              <w:t>296</w:t>
            </w:r>
          </w:p>
        </w:tc>
        <w:tc>
          <w:tcPr>
            <w:tcW w:w="1567" w:type="dxa"/>
          </w:tcPr>
          <w:p>
            <w:pPr>
              <w:pStyle w:val="TableParagraph"/>
              <w:spacing w:before="38"/>
              <w:ind w:right="59"/>
              <w:jc w:val="right"/>
              <w:rPr>
                <w:sz w:val="14"/>
              </w:rPr>
            </w:pPr>
            <w:r>
              <w:rPr>
                <w:sz w:val="14"/>
              </w:rPr>
              <w:t>345</w:t>
            </w:r>
          </w:p>
        </w:tc>
      </w:tr>
      <w:tr>
        <w:trPr>
          <w:trHeight w:val="237" w:hRule="atLeast"/>
        </w:trPr>
        <w:tc>
          <w:tcPr>
            <w:tcW w:w="6767" w:type="dxa"/>
          </w:tcPr>
          <w:p>
            <w:pPr>
              <w:pStyle w:val="TableParagraph"/>
              <w:spacing w:before="36"/>
              <w:ind w:left="165"/>
              <w:rPr>
                <w:sz w:val="14"/>
              </w:rPr>
            </w:pPr>
            <w:r>
              <w:rPr>
                <w:sz w:val="14"/>
              </w:rPr>
              <w:t>Idade Média</w:t>
            </w:r>
          </w:p>
        </w:tc>
        <w:tc>
          <w:tcPr>
            <w:tcW w:w="1570" w:type="dxa"/>
          </w:tcPr>
          <w:p>
            <w:pPr>
              <w:pStyle w:val="TableParagraph"/>
              <w:spacing w:before="36"/>
              <w:ind w:right="62"/>
              <w:jc w:val="right"/>
              <w:rPr>
                <w:sz w:val="14"/>
              </w:rPr>
            </w:pPr>
            <w:r>
              <w:rPr>
                <w:w w:val="95"/>
                <w:sz w:val="14"/>
              </w:rPr>
              <w:t>51,81</w:t>
            </w:r>
          </w:p>
        </w:tc>
        <w:tc>
          <w:tcPr>
            <w:tcW w:w="1567" w:type="dxa"/>
          </w:tcPr>
          <w:p>
            <w:pPr>
              <w:pStyle w:val="TableParagraph"/>
              <w:spacing w:before="36"/>
              <w:ind w:right="59"/>
              <w:jc w:val="right"/>
              <w:rPr>
                <w:sz w:val="14"/>
              </w:rPr>
            </w:pPr>
            <w:r>
              <w:rPr>
                <w:w w:val="95"/>
                <w:sz w:val="14"/>
              </w:rPr>
              <w:t>51,35</w:t>
            </w:r>
          </w:p>
        </w:tc>
      </w:tr>
      <w:tr>
        <w:trPr>
          <w:trHeight w:val="237" w:hRule="atLeast"/>
        </w:trPr>
        <w:tc>
          <w:tcPr>
            <w:tcW w:w="6767" w:type="dxa"/>
          </w:tcPr>
          <w:p>
            <w:pPr>
              <w:pStyle w:val="TableParagraph"/>
              <w:spacing w:before="38"/>
              <w:ind w:left="165"/>
              <w:rPr>
                <w:sz w:val="14"/>
              </w:rPr>
            </w:pPr>
            <w:r>
              <w:rPr>
                <w:sz w:val="14"/>
              </w:rPr>
              <w:t>Tempo Médio de Serviço (anos)</w:t>
            </w:r>
          </w:p>
        </w:tc>
        <w:tc>
          <w:tcPr>
            <w:tcW w:w="1570" w:type="dxa"/>
          </w:tcPr>
          <w:p>
            <w:pPr>
              <w:pStyle w:val="TableParagraph"/>
              <w:spacing w:before="38"/>
              <w:ind w:right="62"/>
              <w:jc w:val="right"/>
              <w:rPr>
                <w:sz w:val="14"/>
              </w:rPr>
            </w:pPr>
            <w:r>
              <w:rPr>
                <w:w w:val="95"/>
                <w:sz w:val="14"/>
              </w:rPr>
              <w:t>27,29</w:t>
            </w:r>
          </w:p>
        </w:tc>
        <w:tc>
          <w:tcPr>
            <w:tcW w:w="1567" w:type="dxa"/>
          </w:tcPr>
          <w:p>
            <w:pPr>
              <w:pStyle w:val="TableParagraph"/>
              <w:spacing w:before="38"/>
              <w:ind w:right="59"/>
              <w:jc w:val="right"/>
              <w:rPr>
                <w:sz w:val="14"/>
              </w:rPr>
            </w:pPr>
            <w:r>
              <w:rPr>
                <w:w w:val="95"/>
                <w:sz w:val="14"/>
              </w:rPr>
              <w:t>26,49</w:t>
            </w:r>
          </w:p>
        </w:tc>
      </w:tr>
      <w:tr>
        <w:trPr>
          <w:trHeight w:val="239" w:hRule="atLeast"/>
        </w:trPr>
        <w:tc>
          <w:tcPr>
            <w:tcW w:w="6767" w:type="dxa"/>
          </w:tcPr>
          <w:p>
            <w:pPr>
              <w:pStyle w:val="TableParagraph"/>
              <w:spacing w:before="38"/>
              <w:ind w:left="165"/>
              <w:rPr>
                <w:sz w:val="14"/>
              </w:rPr>
            </w:pPr>
            <w:r>
              <w:rPr>
                <w:sz w:val="14"/>
              </w:rPr>
              <w:t>Tempo Médio Esperado de Serviço Futuro (anos)</w:t>
            </w:r>
          </w:p>
        </w:tc>
        <w:tc>
          <w:tcPr>
            <w:tcW w:w="1570" w:type="dxa"/>
          </w:tcPr>
          <w:p>
            <w:pPr>
              <w:pStyle w:val="TableParagraph"/>
              <w:spacing w:before="38"/>
              <w:ind w:right="61"/>
              <w:jc w:val="right"/>
              <w:rPr>
                <w:sz w:val="14"/>
              </w:rPr>
            </w:pPr>
            <w:r>
              <w:rPr>
                <w:w w:val="95"/>
                <w:sz w:val="14"/>
              </w:rPr>
              <w:t>4,29</w:t>
            </w:r>
          </w:p>
        </w:tc>
        <w:tc>
          <w:tcPr>
            <w:tcW w:w="1567" w:type="dxa"/>
          </w:tcPr>
          <w:p>
            <w:pPr>
              <w:pStyle w:val="TableParagraph"/>
              <w:spacing w:before="38"/>
              <w:ind w:right="59"/>
              <w:jc w:val="right"/>
              <w:rPr>
                <w:sz w:val="14"/>
              </w:rPr>
            </w:pPr>
            <w:r>
              <w:rPr>
                <w:w w:val="95"/>
                <w:sz w:val="14"/>
              </w:rPr>
              <w:t>5,09</w:t>
            </w:r>
          </w:p>
        </w:tc>
      </w:tr>
      <w:tr>
        <w:trPr>
          <w:trHeight w:val="237" w:hRule="atLeast"/>
        </w:trPr>
        <w:tc>
          <w:tcPr>
            <w:tcW w:w="6767" w:type="dxa"/>
          </w:tcPr>
          <w:p>
            <w:pPr>
              <w:pStyle w:val="TableParagraph"/>
              <w:spacing w:before="36"/>
              <w:ind w:left="165"/>
              <w:rPr>
                <w:sz w:val="14"/>
              </w:rPr>
            </w:pPr>
            <w:r>
              <w:rPr>
                <w:sz w:val="14"/>
              </w:rPr>
              <w:t>Valor do Salário Médio (R$)</w:t>
            </w:r>
          </w:p>
        </w:tc>
        <w:tc>
          <w:tcPr>
            <w:tcW w:w="1570" w:type="dxa"/>
          </w:tcPr>
          <w:p>
            <w:pPr>
              <w:pStyle w:val="TableParagraph"/>
              <w:spacing w:before="36"/>
              <w:ind w:right="62"/>
              <w:jc w:val="right"/>
              <w:rPr>
                <w:sz w:val="14"/>
              </w:rPr>
            </w:pPr>
            <w:r>
              <w:rPr>
                <w:w w:val="95"/>
                <w:sz w:val="14"/>
              </w:rPr>
              <w:t>13.455,95</w:t>
            </w:r>
          </w:p>
        </w:tc>
        <w:tc>
          <w:tcPr>
            <w:tcW w:w="1567" w:type="dxa"/>
          </w:tcPr>
          <w:p>
            <w:pPr>
              <w:pStyle w:val="TableParagraph"/>
              <w:spacing w:before="36"/>
              <w:ind w:right="59"/>
              <w:jc w:val="right"/>
              <w:rPr>
                <w:sz w:val="14"/>
              </w:rPr>
            </w:pPr>
            <w:r>
              <w:rPr>
                <w:w w:val="95"/>
                <w:sz w:val="14"/>
              </w:rPr>
              <w:t>13.001,56</w:t>
            </w:r>
          </w:p>
        </w:tc>
      </w:tr>
      <w:tr>
        <w:trPr>
          <w:trHeight w:val="237" w:hRule="atLeast"/>
        </w:trPr>
        <w:tc>
          <w:tcPr>
            <w:tcW w:w="6767" w:type="dxa"/>
          </w:tcPr>
          <w:p>
            <w:pPr>
              <w:pStyle w:val="TableParagraph"/>
              <w:spacing w:before="37"/>
              <w:ind w:left="72"/>
              <w:rPr>
                <w:rFonts w:ascii="Caladea"/>
                <w:b/>
                <w:sz w:val="14"/>
              </w:rPr>
            </w:pPr>
            <w:r>
              <w:rPr>
                <w:rFonts w:ascii="Caladea"/>
                <w:b/>
                <w:sz w:val="14"/>
              </w:rPr>
              <w:t>Aposentados</w:t>
            </w:r>
          </w:p>
        </w:tc>
        <w:tc>
          <w:tcPr>
            <w:tcW w:w="1570" w:type="dxa"/>
          </w:tcPr>
          <w:p>
            <w:pPr>
              <w:pStyle w:val="TableParagraph"/>
              <w:rPr>
                <w:rFonts w:ascii="Times New Roman"/>
                <w:sz w:val="16"/>
              </w:rPr>
            </w:pPr>
          </w:p>
        </w:tc>
        <w:tc>
          <w:tcPr>
            <w:tcW w:w="1567" w:type="dxa"/>
          </w:tcPr>
          <w:p>
            <w:pPr>
              <w:pStyle w:val="TableParagraph"/>
              <w:rPr>
                <w:rFonts w:ascii="Times New Roman"/>
                <w:sz w:val="16"/>
              </w:rPr>
            </w:pPr>
          </w:p>
        </w:tc>
      </w:tr>
      <w:tr>
        <w:trPr>
          <w:trHeight w:val="239" w:hRule="atLeast"/>
        </w:trPr>
        <w:tc>
          <w:tcPr>
            <w:tcW w:w="6767" w:type="dxa"/>
          </w:tcPr>
          <w:p>
            <w:pPr>
              <w:pStyle w:val="TableParagraph"/>
              <w:spacing w:before="38"/>
              <w:ind w:left="165"/>
              <w:rPr>
                <w:sz w:val="14"/>
              </w:rPr>
            </w:pPr>
            <w:r>
              <w:rPr>
                <w:sz w:val="14"/>
              </w:rPr>
              <w:t>Quantidade</w:t>
            </w:r>
          </w:p>
        </w:tc>
        <w:tc>
          <w:tcPr>
            <w:tcW w:w="1570" w:type="dxa"/>
          </w:tcPr>
          <w:p>
            <w:pPr>
              <w:pStyle w:val="TableParagraph"/>
              <w:spacing w:before="38"/>
              <w:ind w:right="62"/>
              <w:jc w:val="right"/>
              <w:rPr>
                <w:sz w:val="14"/>
              </w:rPr>
            </w:pPr>
            <w:r>
              <w:rPr>
                <w:w w:val="95"/>
                <w:sz w:val="14"/>
              </w:rPr>
              <w:t>1.163</w:t>
            </w:r>
          </w:p>
        </w:tc>
        <w:tc>
          <w:tcPr>
            <w:tcW w:w="1567" w:type="dxa"/>
          </w:tcPr>
          <w:p>
            <w:pPr>
              <w:pStyle w:val="TableParagraph"/>
              <w:spacing w:before="38"/>
              <w:ind w:right="59"/>
              <w:jc w:val="right"/>
              <w:rPr>
                <w:sz w:val="14"/>
              </w:rPr>
            </w:pPr>
            <w:r>
              <w:rPr>
                <w:w w:val="95"/>
                <w:sz w:val="14"/>
              </w:rPr>
              <w:t>1.152</w:t>
            </w:r>
          </w:p>
        </w:tc>
      </w:tr>
      <w:tr>
        <w:trPr>
          <w:trHeight w:val="237" w:hRule="atLeast"/>
        </w:trPr>
        <w:tc>
          <w:tcPr>
            <w:tcW w:w="6767" w:type="dxa"/>
          </w:tcPr>
          <w:p>
            <w:pPr>
              <w:pStyle w:val="TableParagraph"/>
              <w:spacing w:before="37"/>
              <w:ind w:left="165"/>
              <w:rPr>
                <w:sz w:val="14"/>
              </w:rPr>
            </w:pPr>
            <w:r>
              <w:rPr>
                <w:sz w:val="14"/>
              </w:rPr>
              <w:t>Idade Média</w:t>
            </w:r>
          </w:p>
        </w:tc>
        <w:tc>
          <w:tcPr>
            <w:tcW w:w="1570" w:type="dxa"/>
          </w:tcPr>
          <w:p>
            <w:pPr>
              <w:pStyle w:val="TableParagraph"/>
              <w:spacing w:before="37"/>
              <w:ind w:right="62"/>
              <w:jc w:val="right"/>
              <w:rPr>
                <w:sz w:val="14"/>
              </w:rPr>
            </w:pPr>
            <w:r>
              <w:rPr>
                <w:w w:val="95"/>
                <w:sz w:val="14"/>
              </w:rPr>
              <w:t>68,21</w:t>
            </w:r>
          </w:p>
        </w:tc>
        <w:tc>
          <w:tcPr>
            <w:tcW w:w="1567" w:type="dxa"/>
          </w:tcPr>
          <w:p>
            <w:pPr>
              <w:pStyle w:val="TableParagraph"/>
              <w:spacing w:before="37"/>
              <w:ind w:right="59"/>
              <w:jc w:val="right"/>
              <w:rPr>
                <w:sz w:val="14"/>
              </w:rPr>
            </w:pPr>
            <w:r>
              <w:rPr>
                <w:w w:val="95"/>
                <w:sz w:val="14"/>
              </w:rPr>
              <w:t>67,72</w:t>
            </w:r>
          </w:p>
        </w:tc>
      </w:tr>
      <w:tr>
        <w:trPr>
          <w:trHeight w:val="237" w:hRule="atLeast"/>
        </w:trPr>
        <w:tc>
          <w:tcPr>
            <w:tcW w:w="6767" w:type="dxa"/>
          </w:tcPr>
          <w:p>
            <w:pPr>
              <w:pStyle w:val="TableParagraph"/>
              <w:spacing w:before="38"/>
              <w:ind w:left="165"/>
              <w:rPr>
                <w:sz w:val="14"/>
              </w:rPr>
            </w:pPr>
            <w:r>
              <w:rPr>
                <w:sz w:val="14"/>
              </w:rPr>
              <w:t>Benefício Médio (R$)</w:t>
            </w:r>
          </w:p>
        </w:tc>
        <w:tc>
          <w:tcPr>
            <w:tcW w:w="1570" w:type="dxa"/>
          </w:tcPr>
          <w:p>
            <w:pPr>
              <w:pStyle w:val="TableParagraph"/>
              <w:spacing w:before="38"/>
              <w:ind w:right="62"/>
              <w:jc w:val="right"/>
              <w:rPr>
                <w:sz w:val="14"/>
              </w:rPr>
            </w:pPr>
            <w:r>
              <w:rPr>
                <w:w w:val="95"/>
                <w:sz w:val="14"/>
              </w:rPr>
              <w:t>7.120,95</w:t>
            </w:r>
          </w:p>
        </w:tc>
        <w:tc>
          <w:tcPr>
            <w:tcW w:w="1567" w:type="dxa"/>
          </w:tcPr>
          <w:p>
            <w:pPr>
              <w:pStyle w:val="TableParagraph"/>
              <w:spacing w:before="38"/>
              <w:ind w:right="59"/>
              <w:jc w:val="right"/>
              <w:rPr>
                <w:sz w:val="14"/>
              </w:rPr>
            </w:pPr>
            <w:r>
              <w:rPr>
                <w:w w:val="95"/>
                <w:sz w:val="14"/>
              </w:rPr>
              <w:t>6.854,77</w:t>
            </w:r>
          </w:p>
        </w:tc>
      </w:tr>
      <w:tr>
        <w:trPr>
          <w:trHeight w:val="239" w:hRule="atLeast"/>
        </w:trPr>
        <w:tc>
          <w:tcPr>
            <w:tcW w:w="6767" w:type="dxa"/>
          </w:tcPr>
          <w:p>
            <w:pPr>
              <w:pStyle w:val="TableParagraph"/>
              <w:spacing w:before="37"/>
              <w:ind w:left="72"/>
              <w:rPr>
                <w:rFonts w:ascii="Caladea"/>
                <w:b/>
                <w:sz w:val="14"/>
              </w:rPr>
            </w:pPr>
            <w:r>
              <w:rPr>
                <w:rFonts w:ascii="Caladea"/>
                <w:b/>
                <w:sz w:val="14"/>
              </w:rPr>
              <w:t>Pensionistas</w:t>
            </w:r>
          </w:p>
        </w:tc>
        <w:tc>
          <w:tcPr>
            <w:tcW w:w="1570" w:type="dxa"/>
          </w:tcPr>
          <w:p>
            <w:pPr>
              <w:pStyle w:val="TableParagraph"/>
              <w:rPr>
                <w:rFonts w:ascii="Times New Roman"/>
                <w:sz w:val="16"/>
              </w:rPr>
            </w:pPr>
          </w:p>
        </w:tc>
        <w:tc>
          <w:tcPr>
            <w:tcW w:w="1567" w:type="dxa"/>
          </w:tcPr>
          <w:p>
            <w:pPr>
              <w:pStyle w:val="TableParagraph"/>
              <w:rPr>
                <w:rFonts w:ascii="Times New Roman"/>
                <w:sz w:val="16"/>
              </w:rPr>
            </w:pPr>
          </w:p>
        </w:tc>
      </w:tr>
      <w:tr>
        <w:trPr>
          <w:trHeight w:val="237" w:hRule="atLeast"/>
        </w:trPr>
        <w:tc>
          <w:tcPr>
            <w:tcW w:w="6767" w:type="dxa"/>
          </w:tcPr>
          <w:p>
            <w:pPr>
              <w:pStyle w:val="TableParagraph"/>
              <w:spacing w:before="36"/>
              <w:ind w:left="165"/>
              <w:rPr>
                <w:sz w:val="14"/>
              </w:rPr>
            </w:pPr>
            <w:r>
              <w:rPr>
                <w:sz w:val="14"/>
              </w:rPr>
              <w:t>Quantidade</w:t>
            </w:r>
          </w:p>
        </w:tc>
        <w:tc>
          <w:tcPr>
            <w:tcW w:w="1570" w:type="dxa"/>
          </w:tcPr>
          <w:p>
            <w:pPr>
              <w:pStyle w:val="TableParagraph"/>
              <w:spacing w:before="36"/>
              <w:ind w:right="62"/>
              <w:jc w:val="right"/>
              <w:rPr>
                <w:sz w:val="14"/>
              </w:rPr>
            </w:pPr>
            <w:r>
              <w:rPr>
                <w:sz w:val="14"/>
              </w:rPr>
              <w:t>372</w:t>
            </w:r>
          </w:p>
        </w:tc>
        <w:tc>
          <w:tcPr>
            <w:tcW w:w="1567" w:type="dxa"/>
          </w:tcPr>
          <w:p>
            <w:pPr>
              <w:pStyle w:val="TableParagraph"/>
              <w:spacing w:before="36"/>
              <w:ind w:right="59"/>
              <w:jc w:val="right"/>
              <w:rPr>
                <w:sz w:val="14"/>
              </w:rPr>
            </w:pPr>
            <w:r>
              <w:rPr>
                <w:sz w:val="14"/>
              </w:rPr>
              <w:t>364</w:t>
            </w:r>
          </w:p>
        </w:tc>
      </w:tr>
      <w:tr>
        <w:trPr>
          <w:trHeight w:val="237" w:hRule="atLeast"/>
        </w:trPr>
        <w:tc>
          <w:tcPr>
            <w:tcW w:w="6767" w:type="dxa"/>
          </w:tcPr>
          <w:p>
            <w:pPr>
              <w:pStyle w:val="TableParagraph"/>
              <w:spacing w:before="38"/>
              <w:ind w:left="165"/>
              <w:rPr>
                <w:sz w:val="14"/>
              </w:rPr>
            </w:pPr>
            <w:r>
              <w:rPr>
                <w:sz w:val="14"/>
              </w:rPr>
              <w:t>Idade Média</w:t>
            </w:r>
          </w:p>
        </w:tc>
        <w:tc>
          <w:tcPr>
            <w:tcW w:w="1570" w:type="dxa"/>
          </w:tcPr>
          <w:p>
            <w:pPr>
              <w:pStyle w:val="TableParagraph"/>
              <w:spacing w:before="38"/>
              <w:ind w:right="62"/>
              <w:jc w:val="right"/>
              <w:rPr>
                <w:sz w:val="14"/>
              </w:rPr>
            </w:pPr>
            <w:r>
              <w:rPr>
                <w:w w:val="95"/>
                <w:sz w:val="14"/>
              </w:rPr>
              <w:t>67,49</w:t>
            </w:r>
          </w:p>
        </w:tc>
        <w:tc>
          <w:tcPr>
            <w:tcW w:w="1567" w:type="dxa"/>
          </w:tcPr>
          <w:p>
            <w:pPr>
              <w:pStyle w:val="TableParagraph"/>
              <w:spacing w:before="38"/>
              <w:ind w:right="59"/>
              <w:jc w:val="right"/>
              <w:rPr>
                <w:sz w:val="14"/>
              </w:rPr>
            </w:pPr>
            <w:r>
              <w:rPr>
                <w:w w:val="95"/>
                <w:sz w:val="14"/>
              </w:rPr>
              <w:t>66,59</w:t>
            </w:r>
          </w:p>
        </w:tc>
      </w:tr>
      <w:tr>
        <w:trPr>
          <w:trHeight w:val="239" w:hRule="atLeast"/>
        </w:trPr>
        <w:tc>
          <w:tcPr>
            <w:tcW w:w="6767" w:type="dxa"/>
          </w:tcPr>
          <w:p>
            <w:pPr>
              <w:pStyle w:val="TableParagraph"/>
              <w:spacing w:before="38"/>
              <w:ind w:left="165"/>
              <w:rPr>
                <w:sz w:val="14"/>
              </w:rPr>
            </w:pPr>
            <w:r>
              <w:rPr>
                <w:sz w:val="14"/>
              </w:rPr>
              <w:t>Benefício Médio (R$)</w:t>
            </w:r>
          </w:p>
        </w:tc>
        <w:tc>
          <w:tcPr>
            <w:tcW w:w="1570" w:type="dxa"/>
          </w:tcPr>
          <w:p>
            <w:pPr>
              <w:pStyle w:val="TableParagraph"/>
              <w:spacing w:before="38"/>
              <w:ind w:right="62"/>
              <w:jc w:val="right"/>
              <w:rPr>
                <w:sz w:val="14"/>
              </w:rPr>
            </w:pPr>
            <w:r>
              <w:rPr>
                <w:w w:val="95"/>
                <w:sz w:val="14"/>
              </w:rPr>
              <w:t>2.088,24</w:t>
            </w:r>
          </w:p>
        </w:tc>
        <w:tc>
          <w:tcPr>
            <w:tcW w:w="1567" w:type="dxa"/>
          </w:tcPr>
          <w:p>
            <w:pPr>
              <w:pStyle w:val="TableParagraph"/>
              <w:spacing w:before="38"/>
              <w:ind w:right="59"/>
              <w:jc w:val="right"/>
              <w:rPr>
                <w:sz w:val="14"/>
              </w:rPr>
            </w:pPr>
            <w:r>
              <w:rPr>
                <w:w w:val="95"/>
                <w:sz w:val="14"/>
              </w:rPr>
              <w:t>2.007,33</w:t>
            </w:r>
          </w:p>
        </w:tc>
      </w:tr>
    </w:tbl>
    <w:p>
      <w:pPr>
        <w:pStyle w:val="BodyText"/>
        <w:spacing w:before="9"/>
      </w:pPr>
    </w:p>
    <w:p>
      <w:pPr>
        <w:pStyle w:val="BodyText"/>
        <w:spacing w:line="278" w:lineRule="auto"/>
        <w:ind w:left="172" w:right="423"/>
        <w:jc w:val="both"/>
      </w:pPr>
      <w:r>
        <w:rPr/>
        <w:t>O</w:t>
      </w:r>
      <w:r>
        <w:rPr>
          <w:spacing w:val="-26"/>
        </w:rPr>
        <w:t> </w:t>
      </w:r>
      <w:r>
        <w:rPr/>
        <w:t>quadro</w:t>
      </w:r>
      <w:r>
        <w:rPr>
          <w:spacing w:val="-26"/>
        </w:rPr>
        <w:t> </w:t>
      </w:r>
      <w:r>
        <w:rPr/>
        <w:t>seguinte</w:t>
      </w:r>
      <w:r>
        <w:rPr>
          <w:spacing w:val="-26"/>
        </w:rPr>
        <w:t> </w:t>
      </w:r>
      <w:r>
        <w:rPr/>
        <w:t>mostra</w:t>
      </w:r>
      <w:r>
        <w:rPr>
          <w:spacing w:val="-25"/>
        </w:rPr>
        <w:t> </w:t>
      </w:r>
      <w:r>
        <w:rPr/>
        <w:t>a</w:t>
      </w:r>
      <w:r>
        <w:rPr>
          <w:spacing w:val="-25"/>
        </w:rPr>
        <w:t> </w:t>
      </w:r>
      <w:r>
        <w:rPr/>
        <w:t>abertura</w:t>
      </w:r>
      <w:r>
        <w:rPr>
          <w:spacing w:val="-25"/>
        </w:rPr>
        <w:t> </w:t>
      </w:r>
      <w:r>
        <w:rPr/>
        <w:t>do</w:t>
      </w:r>
      <w:r>
        <w:rPr>
          <w:spacing w:val="-26"/>
        </w:rPr>
        <w:t> </w:t>
      </w:r>
      <w:r>
        <w:rPr/>
        <w:t>valor</w:t>
      </w:r>
      <w:r>
        <w:rPr>
          <w:spacing w:val="-26"/>
        </w:rPr>
        <w:t> </w:t>
      </w:r>
      <w:r>
        <w:rPr/>
        <w:t>justo</w:t>
      </w:r>
      <w:r>
        <w:rPr>
          <w:spacing w:val="-26"/>
        </w:rPr>
        <w:t> </w:t>
      </w:r>
      <w:r>
        <w:rPr/>
        <w:t>dos</w:t>
      </w:r>
      <w:r>
        <w:rPr>
          <w:spacing w:val="-24"/>
        </w:rPr>
        <w:t> </w:t>
      </w:r>
      <w:r>
        <w:rPr/>
        <w:t>ativos</w:t>
      </w:r>
      <w:r>
        <w:rPr>
          <w:spacing w:val="-27"/>
        </w:rPr>
        <w:t> </w:t>
      </w:r>
      <w:r>
        <w:rPr/>
        <w:t>do</w:t>
      </w:r>
      <w:r>
        <w:rPr>
          <w:spacing w:val="-25"/>
        </w:rPr>
        <w:t> </w:t>
      </w:r>
      <w:r>
        <w:rPr/>
        <w:t>plano</w:t>
      </w:r>
      <w:r>
        <w:rPr>
          <w:spacing w:val="-25"/>
        </w:rPr>
        <w:t> </w:t>
      </w:r>
      <w:r>
        <w:rPr/>
        <w:t>por</w:t>
      </w:r>
      <w:r>
        <w:rPr>
          <w:spacing w:val="-26"/>
        </w:rPr>
        <w:t> </w:t>
      </w:r>
      <w:r>
        <w:rPr/>
        <w:t>tipo</w:t>
      </w:r>
      <w:r>
        <w:rPr>
          <w:spacing w:val="-26"/>
        </w:rPr>
        <w:t> </w:t>
      </w:r>
      <w:r>
        <w:rPr/>
        <w:t>de</w:t>
      </w:r>
      <w:r>
        <w:rPr>
          <w:spacing w:val="-28"/>
        </w:rPr>
        <w:t> </w:t>
      </w:r>
      <w:r>
        <w:rPr/>
        <w:t>investimento.</w:t>
      </w:r>
      <w:r>
        <w:rPr>
          <w:spacing w:val="-25"/>
        </w:rPr>
        <w:t> </w:t>
      </w:r>
      <w:r>
        <w:rPr/>
        <w:t>A</w:t>
      </w:r>
      <w:r>
        <w:rPr>
          <w:spacing w:val="-25"/>
        </w:rPr>
        <w:t> </w:t>
      </w:r>
      <w:r>
        <w:rPr/>
        <w:t>maior</w:t>
      </w:r>
      <w:r>
        <w:rPr>
          <w:spacing w:val="-26"/>
        </w:rPr>
        <w:t> </w:t>
      </w:r>
      <w:r>
        <w:rPr/>
        <w:t>parte</w:t>
      </w:r>
      <w:r>
        <w:rPr>
          <w:spacing w:val="-26"/>
        </w:rPr>
        <w:t> </w:t>
      </w:r>
      <w:r>
        <w:rPr/>
        <w:t>dos ativos</w:t>
      </w:r>
      <w:r>
        <w:rPr>
          <w:spacing w:val="-19"/>
        </w:rPr>
        <w:t> </w:t>
      </w:r>
      <w:r>
        <w:rPr/>
        <w:t>está</w:t>
      </w:r>
      <w:r>
        <w:rPr>
          <w:spacing w:val="-19"/>
        </w:rPr>
        <w:t> </w:t>
      </w:r>
      <w:r>
        <w:rPr/>
        <w:t>concentrada</w:t>
      </w:r>
      <w:r>
        <w:rPr>
          <w:spacing w:val="-16"/>
        </w:rPr>
        <w:t> </w:t>
      </w:r>
      <w:r>
        <w:rPr/>
        <w:t>em</w:t>
      </w:r>
      <w:r>
        <w:rPr>
          <w:spacing w:val="-18"/>
        </w:rPr>
        <w:t> </w:t>
      </w:r>
      <w:r>
        <w:rPr/>
        <w:t>investimentos</w:t>
      </w:r>
      <w:r>
        <w:rPr>
          <w:spacing w:val="-17"/>
        </w:rPr>
        <w:t> </w:t>
      </w:r>
      <w:r>
        <w:rPr/>
        <w:t>de</w:t>
      </w:r>
      <w:r>
        <w:rPr>
          <w:spacing w:val="-19"/>
        </w:rPr>
        <w:t> </w:t>
      </w:r>
      <w:r>
        <w:rPr/>
        <w:t>renda</w:t>
      </w:r>
      <w:r>
        <w:rPr>
          <w:spacing w:val="-19"/>
        </w:rPr>
        <w:t> </w:t>
      </w:r>
      <w:r>
        <w:rPr/>
        <w:t>fixa:</w:t>
      </w:r>
    </w:p>
    <w:p>
      <w:pPr>
        <w:spacing w:after="0" w:line="278" w:lineRule="auto"/>
        <w:jc w:val="both"/>
        <w:sectPr>
          <w:headerReference w:type="default" r:id="rId80"/>
          <w:footerReference w:type="default" r:id="rId81"/>
          <w:pgSz w:w="11910" w:h="16850"/>
          <w:pgMar w:header="792" w:footer="1029" w:top="1360" w:bottom="1220" w:left="960" w:right="440"/>
          <w:pgNumType w:start="78"/>
        </w:sect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59"/>
        <w:gridCol w:w="1745"/>
        <w:gridCol w:w="1512"/>
      </w:tblGrid>
      <w:tr>
        <w:trPr>
          <w:trHeight w:val="249" w:hRule="atLeast"/>
        </w:trPr>
        <w:tc>
          <w:tcPr>
            <w:tcW w:w="6659" w:type="dxa"/>
            <w:shd w:val="clear" w:color="auto" w:fill="D9D9D9"/>
          </w:tcPr>
          <w:p>
            <w:pPr>
              <w:pStyle w:val="TableParagraph"/>
              <w:rPr>
                <w:rFonts w:ascii="Times New Roman"/>
                <w:sz w:val="16"/>
              </w:rPr>
            </w:pPr>
          </w:p>
        </w:tc>
        <w:tc>
          <w:tcPr>
            <w:tcW w:w="3257" w:type="dxa"/>
            <w:gridSpan w:val="2"/>
          </w:tcPr>
          <w:p>
            <w:pPr>
              <w:pStyle w:val="TableParagraph"/>
              <w:spacing w:before="42"/>
              <w:ind w:left="950"/>
              <w:rPr>
                <w:rFonts w:ascii="Caladea"/>
                <w:b/>
                <w:sz w:val="14"/>
              </w:rPr>
            </w:pPr>
            <w:r>
              <w:rPr>
                <w:rFonts w:ascii="Caladea"/>
                <w:b/>
                <w:sz w:val="14"/>
              </w:rPr>
              <w:t>Plano Complementar</w:t>
            </w:r>
          </w:p>
        </w:tc>
      </w:tr>
      <w:tr>
        <w:trPr>
          <w:trHeight w:val="247" w:hRule="atLeast"/>
        </w:trPr>
        <w:tc>
          <w:tcPr>
            <w:tcW w:w="6659" w:type="dxa"/>
          </w:tcPr>
          <w:p>
            <w:pPr>
              <w:pStyle w:val="TableParagraph"/>
              <w:spacing w:before="42"/>
              <w:ind w:left="72"/>
              <w:rPr>
                <w:rFonts w:ascii="Caladea" w:hAnsi="Caladea"/>
                <w:b/>
                <w:sz w:val="14"/>
              </w:rPr>
            </w:pPr>
            <w:r>
              <w:rPr>
                <w:rFonts w:ascii="Caladea" w:hAnsi="Caladea"/>
                <w:b/>
                <w:sz w:val="14"/>
              </w:rPr>
              <w:t>Composição dos Ativos</w:t>
            </w:r>
          </w:p>
        </w:tc>
        <w:tc>
          <w:tcPr>
            <w:tcW w:w="1745" w:type="dxa"/>
          </w:tcPr>
          <w:p>
            <w:pPr>
              <w:pStyle w:val="TableParagraph"/>
              <w:spacing w:before="42"/>
              <w:ind w:left="472"/>
              <w:rPr>
                <w:rFonts w:ascii="Caladea"/>
                <w:b/>
                <w:sz w:val="14"/>
              </w:rPr>
            </w:pPr>
            <w:r>
              <w:rPr>
                <w:rFonts w:ascii="Caladea"/>
                <w:b/>
                <w:sz w:val="14"/>
              </w:rPr>
              <w:t>31/12/2019</w:t>
            </w:r>
          </w:p>
        </w:tc>
        <w:tc>
          <w:tcPr>
            <w:tcW w:w="1512" w:type="dxa"/>
          </w:tcPr>
          <w:p>
            <w:pPr>
              <w:pStyle w:val="TableParagraph"/>
              <w:spacing w:before="42"/>
              <w:ind w:left="355"/>
              <w:rPr>
                <w:rFonts w:ascii="Caladea"/>
                <w:b/>
                <w:sz w:val="14"/>
              </w:rPr>
            </w:pPr>
            <w:r>
              <w:rPr>
                <w:rFonts w:ascii="Caladea"/>
                <w:b/>
                <w:sz w:val="14"/>
              </w:rPr>
              <w:t>31/12/2018</w:t>
            </w:r>
          </w:p>
        </w:tc>
      </w:tr>
      <w:tr>
        <w:trPr>
          <w:trHeight w:val="249" w:hRule="atLeast"/>
        </w:trPr>
        <w:tc>
          <w:tcPr>
            <w:tcW w:w="6659" w:type="dxa"/>
          </w:tcPr>
          <w:p>
            <w:pPr>
              <w:pStyle w:val="TableParagraph"/>
              <w:spacing w:before="43"/>
              <w:ind w:left="72"/>
              <w:rPr>
                <w:sz w:val="14"/>
              </w:rPr>
            </w:pPr>
            <w:r>
              <w:rPr>
                <w:sz w:val="14"/>
              </w:rPr>
              <w:t>Disponível</w:t>
            </w:r>
          </w:p>
        </w:tc>
        <w:tc>
          <w:tcPr>
            <w:tcW w:w="1745" w:type="dxa"/>
          </w:tcPr>
          <w:p>
            <w:pPr>
              <w:pStyle w:val="TableParagraph"/>
              <w:spacing w:before="43"/>
              <w:ind w:right="58"/>
              <w:jc w:val="right"/>
              <w:rPr>
                <w:sz w:val="14"/>
              </w:rPr>
            </w:pPr>
            <w:r>
              <w:rPr>
                <w:w w:val="105"/>
                <w:sz w:val="14"/>
              </w:rPr>
              <w:t>0,00%</w:t>
            </w:r>
          </w:p>
        </w:tc>
        <w:tc>
          <w:tcPr>
            <w:tcW w:w="1512" w:type="dxa"/>
          </w:tcPr>
          <w:p>
            <w:pPr>
              <w:pStyle w:val="TableParagraph"/>
              <w:spacing w:before="43"/>
              <w:ind w:right="60"/>
              <w:jc w:val="right"/>
              <w:rPr>
                <w:sz w:val="14"/>
              </w:rPr>
            </w:pPr>
            <w:r>
              <w:rPr>
                <w:w w:val="105"/>
                <w:sz w:val="14"/>
              </w:rPr>
              <w:t>0,01%</w:t>
            </w:r>
          </w:p>
        </w:tc>
      </w:tr>
      <w:tr>
        <w:trPr>
          <w:trHeight w:val="246" w:hRule="atLeast"/>
        </w:trPr>
        <w:tc>
          <w:tcPr>
            <w:tcW w:w="6659" w:type="dxa"/>
          </w:tcPr>
          <w:p>
            <w:pPr>
              <w:pStyle w:val="TableParagraph"/>
              <w:spacing w:before="43"/>
              <w:ind w:left="72"/>
              <w:rPr>
                <w:sz w:val="14"/>
              </w:rPr>
            </w:pPr>
            <w:r>
              <w:rPr>
                <w:sz w:val="14"/>
              </w:rPr>
              <w:t>Renda Fixa</w:t>
            </w:r>
          </w:p>
        </w:tc>
        <w:tc>
          <w:tcPr>
            <w:tcW w:w="1745" w:type="dxa"/>
          </w:tcPr>
          <w:p>
            <w:pPr>
              <w:pStyle w:val="TableParagraph"/>
              <w:spacing w:before="43"/>
              <w:ind w:right="58"/>
              <w:jc w:val="right"/>
              <w:rPr>
                <w:sz w:val="14"/>
              </w:rPr>
            </w:pPr>
            <w:r>
              <w:rPr>
                <w:w w:val="105"/>
                <w:sz w:val="14"/>
              </w:rPr>
              <w:t>95,33%</w:t>
            </w:r>
          </w:p>
        </w:tc>
        <w:tc>
          <w:tcPr>
            <w:tcW w:w="1512" w:type="dxa"/>
          </w:tcPr>
          <w:p>
            <w:pPr>
              <w:pStyle w:val="TableParagraph"/>
              <w:spacing w:before="43"/>
              <w:ind w:right="60"/>
              <w:jc w:val="right"/>
              <w:rPr>
                <w:sz w:val="14"/>
              </w:rPr>
            </w:pPr>
            <w:r>
              <w:rPr>
                <w:w w:val="105"/>
                <w:sz w:val="14"/>
              </w:rPr>
              <w:t>95,09%</w:t>
            </w:r>
          </w:p>
        </w:tc>
      </w:tr>
      <w:tr>
        <w:trPr>
          <w:trHeight w:val="249" w:hRule="atLeast"/>
        </w:trPr>
        <w:tc>
          <w:tcPr>
            <w:tcW w:w="6659" w:type="dxa"/>
          </w:tcPr>
          <w:p>
            <w:pPr>
              <w:pStyle w:val="TableParagraph"/>
              <w:spacing w:before="43"/>
              <w:ind w:left="72"/>
              <w:rPr>
                <w:sz w:val="14"/>
              </w:rPr>
            </w:pPr>
            <w:r>
              <w:rPr>
                <w:sz w:val="14"/>
              </w:rPr>
              <w:t>Renda Variável</w:t>
            </w:r>
          </w:p>
        </w:tc>
        <w:tc>
          <w:tcPr>
            <w:tcW w:w="1745" w:type="dxa"/>
          </w:tcPr>
          <w:p>
            <w:pPr>
              <w:pStyle w:val="TableParagraph"/>
              <w:spacing w:before="43"/>
              <w:ind w:right="58"/>
              <w:jc w:val="right"/>
              <w:rPr>
                <w:sz w:val="14"/>
              </w:rPr>
            </w:pPr>
            <w:r>
              <w:rPr>
                <w:w w:val="105"/>
                <w:sz w:val="14"/>
              </w:rPr>
              <w:t>1,03%</w:t>
            </w:r>
          </w:p>
        </w:tc>
        <w:tc>
          <w:tcPr>
            <w:tcW w:w="1512" w:type="dxa"/>
          </w:tcPr>
          <w:p>
            <w:pPr>
              <w:pStyle w:val="TableParagraph"/>
              <w:spacing w:before="43"/>
              <w:ind w:right="60"/>
              <w:jc w:val="right"/>
              <w:rPr>
                <w:sz w:val="14"/>
              </w:rPr>
            </w:pPr>
            <w:r>
              <w:rPr>
                <w:w w:val="105"/>
                <w:sz w:val="14"/>
              </w:rPr>
              <w:t>0,73%</w:t>
            </w:r>
          </w:p>
        </w:tc>
      </w:tr>
      <w:tr>
        <w:trPr>
          <w:trHeight w:val="246" w:hRule="atLeast"/>
        </w:trPr>
        <w:tc>
          <w:tcPr>
            <w:tcW w:w="6659" w:type="dxa"/>
          </w:tcPr>
          <w:p>
            <w:pPr>
              <w:pStyle w:val="TableParagraph"/>
              <w:spacing w:before="43"/>
              <w:ind w:left="72"/>
              <w:rPr>
                <w:sz w:val="14"/>
              </w:rPr>
            </w:pPr>
            <w:r>
              <w:rPr>
                <w:sz w:val="14"/>
              </w:rPr>
              <w:t>Investimentos Estruturados</w:t>
            </w:r>
          </w:p>
        </w:tc>
        <w:tc>
          <w:tcPr>
            <w:tcW w:w="1745" w:type="dxa"/>
          </w:tcPr>
          <w:p>
            <w:pPr>
              <w:pStyle w:val="TableParagraph"/>
              <w:spacing w:before="43"/>
              <w:ind w:right="58"/>
              <w:jc w:val="right"/>
              <w:rPr>
                <w:sz w:val="14"/>
              </w:rPr>
            </w:pPr>
            <w:r>
              <w:rPr>
                <w:w w:val="105"/>
                <w:sz w:val="14"/>
              </w:rPr>
              <w:t>0,79%</w:t>
            </w:r>
          </w:p>
        </w:tc>
        <w:tc>
          <w:tcPr>
            <w:tcW w:w="1512" w:type="dxa"/>
          </w:tcPr>
          <w:p>
            <w:pPr>
              <w:pStyle w:val="TableParagraph"/>
              <w:spacing w:before="43"/>
              <w:ind w:right="60"/>
              <w:jc w:val="right"/>
              <w:rPr>
                <w:sz w:val="14"/>
              </w:rPr>
            </w:pPr>
            <w:r>
              <w:rPr>
                <w:w w:val="105"/>
                <w:sz w:val="14"/>
              </w:rPr>
              <w:t>0,81%</w:t>
            </w:r>
          </w:p>
        </w:tc>
      </w:tr>
      <w:tr>
        <w:trPr>
          <w:trHeight w:val="249" w:hRule="atLeast"/>
        </w:trPr>
        <w:tc>
          <w:tcPr>
            <w:tcW w:w="6659" w:type="dxa"/>
          </w:tcPr>
          <w:p>
            <w:pPr>
              <w:pStyle w:val="TableParagraph"/>
              <w:spacing w:before="43"/>
              <w:ind w:left="72"/>
              <w:rPr>
                <w:sz w:val="14"/>
              </w:rPr>
            </w:pPr>
            <w:r>
              <w:rPr>
                <w:sz w:val="14"/>
              </w:rPr>
              <w:t>Investimentos Imobiliários</w:t>
            </w:r>
          </w:p>
        </w:tc>
        <w:tc>
          <w:tcPr>
            <w:tcW w:w="1745" w:type="dxa"/>
          </w:tcPr>
          <w:p>
            <w:pPr>
              <w:pStyle w:val="TableParagraph"/>
              <w:spacing w:before="43"/>
              <w:ind w:right="58"/>
              <w:jc w:val="right"/>
              <w:rPr>
                <w:sz w:val="14"/>
              </w:rPr>
            </w:pPr>
            <w:r>
              <w:rPr>
                <w:w w:val="105"/>
                <w:sz w:val="14"/>
              </w:rPr>
              <w:t>1,00%</w:t>
            </w:r>
          </w:p>
        </w:tc>
        <w:tc>
          <w:tcPr>
            <w:tcW w:w="1512" w:type="dxa"/>
          </w:tcPr>
          <w:p>
            <w:pPr>
              <w:pStyle w:val="TableParagraph"/>
              <w:spacing w:before="43"/>
              <w:ind w:right="60"/>
              <w:jc w:val="right"/>
              <w:rPr>
                <w:sz w:val="14"/>
              </w:rPr>
            </w:pPr>
            <w:r>
              <w:rPr>
                <w:w w:val="105"/>
                <w:sz w:val="14"/>
              </w:rPr>
              <w:t>1,14%</w:t>
            </w:r>
          </w:p>
        </w:tc>
      </w:tr>
      <w:tr>
        <w:trPr>
          <w:trHeight w:val="246" w:hRule="atLeast"/>
        </w:trPr>
        <w:tc>
          <w:tcPr>
            <w:tcW w:w="6659" w:type="dxa"/>
          </w:tcPr>
          <w:p>
            <w:pPr>
              <w:pStyle w:val="TableParagraph"/>
              <w:spacing w:before="43"/>
              <w:ind w:left="72"/>
              <w:rPr>
                <w:sz w:val="14"/>
              </w:rPr>
            </w:pPr>
            <w:r>
              <w:rPr>
                <w:sz w:val="14"/>
              </w:rPr>
              <w:t>Empréstimos com Participantes</w:t>
            </w:r>
          </w:p>
        </w:tc>
        <w:tc>
          <w:tcPr>
            <w:tcW w:w="1745" w:type="dxa"/>
          </w:tcPr>
          <w:p>
            <w:pPr>
              <w:pStyle w:val="TableParagraph"/>
              <w:spacing w:before="43"/>
              <w:ind w:right="58"/>
              <w:jc w:val="right"/>
              <w:rPr>
                <w:sz w:val="14"/>
              </w:rPr>
            </w:pPr>
            <w:r>
              <w:rPr>
                <w:w w:val="105"/>
                <w:sz w:val="14"/>
              </w:rPr>
              <w:t>1,86%</w:t>
            </w:r>
          </w:p>
        </w:tc>
        <w:tc>
          <w:tcPr>
            <w:tcW w:w="1512" w:type="dxa"/>
          </w:tcPr>
          <w:p>
            <w:pPr>
              <w:pStyle w:val="TableParagraph"/>
              <w:spacing w:before="43"/>
              <w:ind w:right="60"/>
              <w:jc w:val="right"/>
              <w:rPr>
                <w:sz w:val="14"/>
              </w:rPr>
            </w:pPr>
            <w:r>
              <w:rPr>
                <w:w w:val="105"/>
                <w:sz w:val="14"/>
              </w:rPr>
              <w:t>2,23%</w:t>
            </w:r>
          </w:p>
        </w:tc>
      </w:tr>
      <w:tr>
        <w:trPr>
          <w:trHeight w:val="249" w:hRule="atLeast"/>
        </w:trPr>
        <w:tc>
          <w:tcPr>
            <w:tcW w:w="6659" w:type="dxa"/>
          </w:tcPr>
          <w:p>
            <w:pPr>
              <w:pStyle w:val="TableParagraph"/>
              <w:spacing w:before="43"/>
              <w:ind w:left="72"/>
              <w:rPr>
                <w:sz w:val="14"/>
              </w:rPr>
            </w:pPr>
            <w:r>
              <w:rPr>
                <w:sz w:val="14"/>
              </w:rPr>
              <w:t>Outras Exigibilidades e Depósitos Judiciais</w:t>
            </w:r>
          </w:p>
        </w:tc>
        <w:tc>
          <w:tcPr>
            <w:tcW w:w="1745" w:type="dxa"/>
          </w:tcPr>
          <w:p>
            <w:pPr>
              <w:pStyle w:val="TableParagraph"/>
              <w:spacing w:before="43"/>
              <w:ind w:right="58"/>
              <w:jc w:val="right"/>
              <w:rPr>
                <w:sz w:val="14"/>
              </w:rPr>
            </w:pPr>
            <w:r>
              <w:rPr>
                <w:w w:val="105"/>
                <w:sz w:val="14"/>
              </w:rPr>
              <w:t>0,00%</w:t>
            </w:r>
          </w:p>
        </w:tc>
        <w:tc>
          <w:tcPr>
            <w:tcW w:w="1512" w:type="dxa"/>
          </w:tcPr>
          <w:p>
            <w:pPr>
              <w:pStyle w:val="TableParagraph"/>
              <w:spacing w:before="43"/>
              <w:ind w:right="60"/>
              <w:jc w:val="right"/>
              <w:rPr>
                <w:sz w:val="14"/>
              </w:rPr>
            </w:pPr>
            <w:r>
              <w:rPr>
                <w:w w:val="105"/>
                <w:sz w:val="14"/>
              </w:rPr>
              <w:t>-0,01%</w:t>
            </w:r>
          </w:p>
        </w:tc>
      </w:tr>
      <w:tr>
        <w:trPr>
          <w:trHeight w:val="249" w:hRule="atLeast"/>
        </w:trPr>
        <w:tc>
          <w:tcPr>
            <w:tcW w:w="6659" w:type="dxa"/>
          </w:tcPr>
          <w:p>
            <w:pPr>
              <w:pStyle w:val="TableParagraph"/>
              <w:spacing w:before="43"/>
              <w:ind w:left="72"/>
              <w:rPr>
                <w:sz w:val="14"/>
              </w:rPr>
            </w:pPr>
            <w:r>
              <w:rPr>
                <w:sz w:val="14"/>
              </w:rPr>
              <w:t>Total Percentual dos Ativos do Plano</w:t>
            </w:r>
          </w:p>
        </w:tc>
        <w:tc>
          <w:tcPr>
            <w:tcW w:w="1745" w:type="dxa"/>
          </w:tcPr>
          <w:p>
            <w:pPr>
              <w:pStyle w:val="TableParagraph"/>
              <w:spacing w:before="42"/>
              <w:ind w:right="58"/>
              <w:jc w:val="right"/>
              <w:rPr>
                <w:rFonts w:ascii="Caladea"/>
                <w:b/>
                <w:sz w:val="14"/>
              </w:rPr>
            </w:pPr>
            <w:r>
              <w:rPr>
                <w:rFonts w:ascii="Caladea"/>
                <w:b/>
                <w:sz w:val="14"/>
              </w:rPr>
              <w:t>100,00%</w:t>
            </w:r>
          </w:p>
        </w:tc>
        <w:tc>
          <w:tcPr>
            <w:tcW w:w="1512" w:type="dxa"/>
          </w:tcPr>
          <w:p>
            <w:pPr>
              <w:pStyle w:val="TableParagraph"/>
              <w:spacing w:before="42"/>
              <w:ind w:right="61"/>
              <w:jc w:val="right"/>
              <w:rPr>
                <w:rFonts w:ascii="Caladea"/>
                <w:b/>
                <w:sz w:val="14"/>
              </w:rPr>
            </w:pPr>
            <w:r>
              <w:rPr>
                <w:rFonts w:ascii="Caladea"/>
                <w:b/>
                <w:sz w:val="14"/>
              </w:rPr>
              <w:t>100,00%</w:t>
            </w:r>
          </w:p>
        </w:tc>
      </w:tr>
    </w:tbl>
    <w:p>
      <w:pPr>
        <w:pStyle w:val="BodyText"/>
        <w:rPr>
          <w:sz w:val="14"/>
        </w:rPr>
      </w:pPr>
    </w:p>
    <w:p>
      <w:pPr>
        <w:pStyle w:val="Heading5"/>
        <w:numPr>
          <w:ilvl w:val="2"/>
          <w:numId w:val="34"/>
        </w:numPr>
        <w:tabs>
          <w:tab w:pos="1026" w:val="left" w:leader="none"/>
        </w:tabs>
        <w:spacing w:line="240" w:lineRule="auto" w:before="101" w:after="0"/>
        <w:ind w:left="1025" w:right="0" w:hanging="854"/>
        <w:jc w:val="left"/>
      </w:pPr>
      <w:r>
        <w:rPr/>
        <w:t>Premissas</w:t>
      </w:r>
      <w:r>
        <w:rPr>
          <w:spacing w:val="-10"/>
        </w:rPr>
        <w:t> </w:t>
      </w:r>
      <w:r>
        <w:rPr/>
        <w:t>atuariais</w:t>
      </w:r>
    </w:p>
    <w:p>
      <w:pPr>
        <w:pStyle w:val="BodyText"/>
        <w:spacing w:before="5" w:after="1"/>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64"/>
        <w:gridCol w:w="1628"/>
        <w:gridCol w:w="1625"/>
      </w:tblGrid>
      <w:tr>
        <w:trPr>
          <w:trHeight w:val="232" w:hRule="atLeast"/>
        </w:trPr>
        <w:tc>
          <w:tcPr>
            <w:tcW w:w="6664" w:type="dxa"/>
            <w:shd w:val="clear" w:color="auto" w:fill="D9D9D9"/>
          </w:tcPr>
          <w:p>
            <w:pPr>
              <w:pStyle w:val="TableParagraph"/>
              <w:rPr>
                <w:rFonts w:ascii="Times New Roman"/>
                <w:sz w:val="16"/>
              </w:rPr>
            </w:pPr>
          </w:p>
        </w:tc>
        <w:tc>
          <w:tcPr>
            <w:tcW w:w="3253" w:type="dxa"/>
            <w:gridSpan w:val="2"/>
          </w:tcPr>
          <w:p>
            <w:pPr>
              <w:pStyle w:val="TableParagraph"/>
              <w:spacing w:before="32"/>
              <w:ind w:left="947"/>
              <w:rPr>
                <w:rFonts w:ascii="Caladea"/>
                <w:b/>
                <w:sz w:val="14"/>
              </w:rPr>
            </w:pPr>
            <w:r>
              <w:rPr>
                <w:rFonts w:ascii="Caladea"/>
                <w:b/>
                <w:sz w:val="14"/>
              </w:rPr>
              <w:t>Plano Complementar</w:t>
            </w:r>
          </w:p>
        </w:tc>
      </w:tr>
      <w:tr>
        <w:trPr>
          <w:trHeight w:val="233" w:hRule="atLeast"/>
        </w:trPr>
        <w:tc>
          <w:tcPr>
            <w:tcW w:w="6664" w:type="dxa"/>
          </w:tcPr>
          <w:p>
            <w:pPr>
              <w:pStyle w:val="TableParagraph"/>
              <w:spacing w:before="32"/>
              <w:ind w:left="72"/>
              <w:rPr>
                <w:rFonts w:ascii="Caladea"/>
                <w:b/>
                <w:sz w:val="14"/>
              </w:rPr>
            </w:pPr>
            <w:r>
              <w:rPr>
                <w:rFonts w:ascii="Caladea"/>
                <w:b/>
                <w:sz w:val="14"/>
              </w:rPr>
              <w:t>Premissas Atuariais Adotadas</w:t>
            </w:r>
          </w:p>
        </w:tc>
        <w:tc>
          <w:tcPr>
            <w:tcW w:w="1628" w:type="dxa"/>
          </w:tcPr>
          <w:p>
            <w:pPr>
              <w:pStyle w:val="TableParagraph"/>
              <w:spacing w:before="32"/>
              <w:ind w:left="412"/>
              <w:rPr>
                <w:rFonts w:ascii="Caladea"/>
                <w:b/>
                <w:sz w:val="14"/>
              </w:rPr>
            </w:pPr>
            <w:r>
              <w:rPr>
                <w:rFonts w:ascii="Caladea"/>
                <w:b/>
                <w:sz w:val="14"/>
              </w:rPr>
              <w:t>31/12/2019</w:t>
            </w:r>
          </w:p>
        </w:tc>
        <w:tc>
          <w:tcPr>
            <w:tcW w:w="1625" w:type="dxa"/>
          </w:tcPr>
          <w:p>
            <w:pPr>
              <w:pStyle w:val="TableParagraph"/>
              <w:spacing w:before="32"/>
              <w:ind w:left="407"/>
              <w:rPr>
                <w:rFonts w:ascii="Caladea"/>
                <w:b/>
                <w:sz w:val="14"/>
              </w:rPr>
            </w:pPr>
            <w:r>
              <w:rPr>
                <w:rFonts w:ascii="Caladea"/>
                <w:b/>
                <w:sz w:val="14"/>
              </w:rPr>
              <w:t>31/12/2018</w:t>
            </w:r>
          </w:p>
        </w:tc>
      </w:tr>
      <w:tr>
        <w:trPr>
          <w:trHeight w:val="232" w:hRule="atLeast"/>
        </w:trPr>
        <w:tc>
          <w:tcPr>
            <w:tcW w:w="6664" w:type="dxa"/>
          </w:tcPr>
          <w:p>
            <w:pPr>
              <w:pStyle w:val="TableParagraph"/>
              <w:spacing w:before="32"/>
              <w:ind w:left="72"/>
              <w:rPr>
                <w:rFonts w:ascii="Caladea"/>
                <w:b/>
                <w:sz w:val="14"/>
              </w:rPr>
            </w:pPr>
            <w:r>
              <w:rPr>
                <w:rFonts w:ascii="Caladea"/>
                <w:b/>
                <w:sz w:val="14"/>
              </w:rPr>
              <w:t>Financeira</w:t>
            </w:r>
          </w:p>
        </w:tc>
        <w:tc>
          <w:tcPr>
            <w:tcW w:w="1628" w:type="dxa"/>
          </w:tcPr>
          <w:p>
            <w:pPr>
              <w:pStyle w:val="TableParagraph"/>
              <w:rPr>
                <w:rFonts w:ascii="Times New Roman"/>
                <w:sz w:val="16"/>
              </w:rPr>
            </w:pPr>
          </w:p>
        </w:tc>
        <w:tc>
          <w:tcPr>
            <w:tcW w:w="1625" w:type="dxa"/>
          </w:tcPr>
          <w:p>
            <w:pPr>
              <w:pStyle w:val="TableParagraph"/>
              <w:rPr>
                <w:rFonts w:ascii="Times New Roman"/>
                <w:sz w:val="16"/>
              </w:rPr>
            </w:pPr>
          </w:p>
        </w:tc>
      </w:tr>
      <w:tr>
        <w:trPr>
          <w:trHeight w:val="230" w:hRule="atLeast"/>
        </w:trPr>
        <w:tc>
          <w:tcPr>
            <w:tcW w:w="6664" w:type="dxa"/>
          </w:tcPr>
          <w:p>
            <w:pPr>
              <w:pStyle w:val="TableParagraph"/>
              <w:spacing w:before="34"/>
              <w:ind w:left="72"/>
              <w:rPr>
                <w:sz w:val="14"/>
              </w:rPr>
            </w:pPr>
            <w:r>
              <w:rPr>
                <w:sz w:val="14"/>
              </w:rPr>
              <w:t>Taxa de Juros Anual Para Cálculo do Valor Presente da Obrigação</w:t>
            </w:r>
          </w:p>
        </w:tc>
        <w:tc>
          <w:tcPr>
            <w:tcW w:w="1628" w:type="dxa"/>
          </w:tcPr>
          <w:p>
            <w:pPr>
              <w:pStyle w:val="TableParagraph"/>
              <w:spacing w:before="34"/>
              <w:ind w:right="61"/>
              <w:jc w:val="right"/>
              <w:rPr>
                <w:sz w:val="14"/>
              </w:rPr>
            </w:pPr>
            <w:r>
              <w:rPr>
                <w:w w:val="105"/>
                <w:sz w:val="14"/>
              </w:rPr>
              <w:t>2,67%</w:t>
            </w:r>
          </w:p>
        </w:tc>
        <w:tc>
          <w:tcPr>
            <w:tcW w:w="1625" w:type="dxa"/>
          </w:tcPr>
          <w:p>
            <w:pPr>
              <w:pStyle w:val="TableParagraph"/>
              <w:spacing w:before="34"/>
              <w:ind w:right="64"/>
              <w:jc w:val="right"/>
              <w:rPr>
                <w:sz w:val="14"/>
              </w:rPr>
            </w:pPr>
            <w:r>
              <w:rPr>
                <w:w w:val="105"/>
                <w:sz w:val="14"/>
              </w:rPr>
              <w:t>4,91%</w:t>
            </w:r>
          </w:p>
        </w:tc>
      </w:tr>
      <w:tr>
        <w:trPr>
          <w:trHeight w:val="232" w:hRule="atLeast"/>
        </w:trPr>
        <w:tc>
          <w:tcPr>
            <w:tcW w:w="6664" w:type="dxa"/>
          </w:tcPr>
          <w:p>
            <w:pPr>
              <w:pStyle w:val="TableParagraph"/>
              <w:spacing w:before="36"/>
              <w:ind w:left="72"/>
              <w:rPr>
                <w:sz w:val="14"/>
              </w:rPr>
            </w:pPr>
            <w:r>
              <w:rPr>
                <w:sz w:val="14"/>
              </w:rPr>
              <w:t>Expectativa de Retorno do Valor Justo dos Ativos do Plano</w:t>
            </w:r>
          </w:p>
        </w:tc>
        <w:tc>
          <w:tcPr>
            <w:tcW w:w="1628" w:type="dxa"/>
          </w:tcPr>
          <w:p>
            <w:pPr>
              <w:pStyle w:val="TableParagraph"/>
              <w:spacing w:before="36"/>
              <w:ind w:right="61"/>
              <w:jc w:val="right"/>
              <w:rPr>
                <w:sz w:val="14"/>
              </w:rPr>
            </w:pPr>
            <w:r>
              <w:rPr>
                <w:w w:val="105"/>
                <w:sz w:val="14"/>
              </w:rPr>
              <w:t>6,26%</w:t>
            </w:r>
          </w:p>
        </w:tc>
        <w:tc>
          <w:tcPr>
            <w:tcW w:w="1625" w:type="dxa"/>
          </w:tcPr>
          <w:p>
            <w:pPr>
              <w:pStyle w:val="TableParagraph"/>
              <w:spacing w:before="36"/>
              <w:ind w:right="64"/>
              <w:jc w:val="right"/>
              <w:rPr>
                <w:sz w:val="14"/>
              </w:rPr>
            </w:pPr>
            <w:r>
              <w:rPr>
                <w:w w:val="105"/>
                <w:sz w:val="14"/>
              </w:rPr>
              <w:t>9,01%</w:t>
            </w:r>
          </w:p>
        </w:tc>
      </w:tr>
      <w:tr>
        <w:trPr>
          <w:trHeight w:val="232" w:hRule="atLeast"/>
        </w:trPr>
        <w:tc>
          <w:tcPr>
            <w:tcW w:w="6664" w:type="dxa"/>
          </w:tcPr>
          <w:p>
            <w:pPr>
              <w:pStyle w:val="TableParagraph"/>
              <w:spacing w:before="36"/>
              <w:ind w:left="72"/>
              <w:rPr>
                <w:sz w:val="14"/>
              </w:rPr>
            </w:pPr>
            <w:r>
              <w:rPr>
                <w:sz w:val="14"/>
              </w:rPr>
              <w:t>Taxa Anual de Inflação</w:t>
            </w:r>
          </w:p>
        </w:tc>
        <w:tc>
          <w:tcPr>
            <w:tcW w:w="1628" w:type="dxa"/>
          </w:tcPr>
          <w:p>
            <w:pPr>
              <w:pStyle w:val="TableParagraph"/>
              <w:spacing w:before="36"/>
              <w:ind w:right="61"/>
              <w:jc w:val="right"/>
              <w:rPr>
                <w:sz w:val="14"/>
              </w:rPr>
            </w:pPr>
            <w:r>
              <w:rPr>
                <w:w w:val="105"/>
                <w:sz w:val="14"/>
              </w:rPr>
              <w:t>3,50%</w:t>
            </w:r>
          </w:p>
        </w:tc>
        <w:tc>
          <w:tcPr>
            <w:tcW w:w="1625" w:type="dxa"/>
          </w:tcPr>
          <w:p>
            <w:pPr>
              <w:pStyle w:val="TableParagraph"/>
              <w:spacing w:before="36"/>
              <w:ind w:right="64"/>
              <w:jc w:val="right"/>
              <w:rPr>
                <w:sz w:val="14"/>
              </w:rPr>
            </w:pPr>
            <w:r>
              <w:rPr>
                <w:w w:val="105"/>
                <w:sz w:val="14"/>
              </w:rPr>
              <w:t>3,91%</w:t>
            </w:r>
          </w:p>
        </w:tc>
      </w:tr>
      <w:tr>
        <w:trPr>
          <w:trHeight w:val="232" w:hRule="atLeast"/>
        </w:trPr>
        <w:tc>
          <w:tcPr>
            <w:tcW w:w="6664" w:type="dxa"/>
          </w:tcPr>
          <w:p>
            <w:pPr>
              <w:pStyle w:val="TableParagraph"/>
              <w:spacing w:before="34"/>
              <w:ind w:left="72"/>
              <w:rPr>
                <w:sz w:val="14"/>
              </w:rPr>
            </w:pPr>
            <w:r>
              <w:rPr>
                <w:sz w:val="14"/>
              </w:rPr>
              <w:t>Taxa Nominal de Crescimento Anual dos Salários</w:t>
            </w:r>
          </w:p>
        </w:tc>
        <w:tc>
          <w:tcPr>
            <w:tcW w:w="1628" w:type="dxa"/>
          </w:tcPr>
          <w:p>
            <w:pPr>
              <w:pStyle w:val="TableParagraph"/>
              <w:spacing w:before="34"/>
              <w:ind w:right="61"/>
              <w:jc w:val="right"/>
              <w:rPr>
                <w:sz w:val="14"/>
              </w:rPr>
            </w:pPr>
            <w:r>
              <w:rPr>
                <w:w w:val="105"/>
                <w:sz w:val="14"/>
              </w:rPr>
              <w:t>3,50%</w:t>
            </w:r>
          </w:p>
        </w:tc>
        <w:tc>
          <w:tcPr>
            <w:tcW w:w="1625" w:type="dxa"/>
          </w:tcPr>
          <w:p>
            <w:pPr>
              <w:pStyle w:val="TableParagraph"/>
              <w:spacing w:before="34"/>
              <w:ind w:right="64"/>
              <w:jc w:val="right"/>
              <w:rPr>
                <w:sz w:val="14"/>
              </w:rPr>
            </w:pPr>
            <w:r>
              <w:rPr>
                <w:w w:val="105"/>
                <w:sz w:val="14"/>
              </w:rPr>
              <w:t>3,91%</w:t>
            </w:r>
          </w:p>
        </w:tc>
      </w:tr>
      <w:tr>
        <w:trPr>
          <w:trHeight w:val="232" w:hRule="atLeast"/>
        </w:trPr>
        <w:tc>
          <w:tcPr>
            <w:tcW w:w="6664" w:type="dxa"/>
          </w:tcPr>
          <w:p>
            <w:pPr>
              <w:pStyle w:val="TableParagraph"/>
              <w:spacing w:before="34"/>
              <w:ind w:left="72"/>
              <w:rPr>
                <w:sz w:val="14"/>
              </w:rPr>
            </w:pPr>
            <w:r>
              <w:rPr>
                <w:sz w:val="14"/>
              </w:rPr>
              <w:t>Taxa Nominal de Crescimento dos Benefícios do Plano</w:t>
            </w:r>
          </w:p>
        </w:tc>
        <w:tc>
          <w:tcPr>
            <w:tcW w:w="1628" w:type="dxa"/>
          </w:tcPr>
          <w:p>
            <w:pPr>
              <w:pStyle w:val="TableParagraph"/>
              <w:spacing w:before="34"/>
              <w:ind w:right="61"/>
              <w:jc w:val="right"/>
              <w:rPr>
                <w:sz w:val="14"/>
              </w:rPr>
            </w:pPr>
            <w:r>
              <w:rPr>
                <w:w w:val="105"/>
                <w:sz w:val="14"/>
              </w:rPr>
              <w:t>3,50%</w:t>
            </w:r>
          </w:p>
        </w:tc>
        <w:tc>
          <w:tcPr>
            <w:tcW w:w="1625" w:type="dxa"/>
          </w:tcPr>
          <w:p>
            <w:pPr>
              <w:pStyle w:val="TableParagraph"/>
              <w:spacing w:before="34"/>
              <w:ind w:right="64"/>
              <w:jc w:val="right"/>
              <w:rPr>
                <w:sz w:val="14"/>
              </w:rPr>
            </w:pPr>
            <w:r>
              <w:rPr>
                <w:w w:val="105"/>
                <w:sz w:val="14"/>
              </w:rPr>
              <w:t>3,91%</w:t>
            </w:r>
          </w:p>
        </w:tc>
      </w:tr>
      <w:tr>
        <w:trPr>
          <w:trHeight w:val="232" w:hRule="atLeast"/>
        </w:trPr>
        <w:tc>
          <w:tcPr>
            <w:tcW w:w="6664" w:type="dxa"/>
          </w:tcPr>
          <w:p>
            <w:pPr>
              <w:pStyle w:val="TableParagraph"/>
              <w:spacing w:before="34"/>
              <w:ind w:left="72"/>
              <w:rPr>
                <w:sz w:val="14"/>
              </w:rPr>
            </w:pPr>
            <w:r>
              <w:rPr>
                <w:sz w:val="14"/>
              </w:rPr>
              <w:t>Taxa de Crescimento Nominal Anual dos Custos de Saúde</w:t>
            </w:r>
          </w:p>
        </w:tc>
        <w:tc>
          <w:tcPr>
            <w:tcW w:w="1628" w:type="dxa"/>
          </w:tcPr>
          <w:p>
            <w:pPr>
              <w:pStyle w:val="TableParagraph"/>
              <w:spacing w:before="34"/>
              <w:ind w:right="61"/>
              <w:jc w:val="right"/>
              <w:rPr>
                <w:sz w:val="14"/>
              </w:rPr>
            </w:pPr>
            <w:r>
              <w:rPr>
                <w:w w:val="105"/>
                <w:sz w:val="14"/>
              </w:rPr>
              <w:t>0,00%</w:t>
            </w:r>
          </w:p>
        </w:tc>
        <w:tc>
          <w:tcPr>
            <w:tcW w:w="1625" w:type="dxa"/>
          </w:tcPr>
          <w:p>
            <w:pPr>
              <w:pStyle w:val="TableParagraph"/>
              <w:spacing w:before="34"/>
              <w:ind w:right="64"/>
              <w:jc w:val="right"/>
              <w:rPr>
                <w:sz w:val="14"/>
              </w:rPr>
            </w:pPr>
            <w:r>
              <w:rPr>
                <w:w w:val="105"/>
                <w:sz w:val="14"/>
              </w:rPr>
              <w:t>0,00%</w:t>
            </w:r>
          </w:p>
        </w:tc>
      </w:tr>
      <w:tr>
        <w:trPr>
          <w:trHeight w:val="232" w:hRule="atLeast"/>
        </w:trPr>
        <w:tc>
          <w:tcPr>
            <w:tcW w:w="6664" w:type="dxa"/>
          </w:tcPr>
          <w:p>
            <w:pPr>
              <w:pStyle w:val="TableParagraph"/>
              <w:spacing w:before="32"/>
              <w:ind w:left="72"/>
              <w:rPr>
                <w:rFonts w:ascii="Caladea" w:hAnsi="Caladea"/>
                <w:b/>
                <w:sz w:val="14"/>
              </w:rPr>
            </w:pPr>
            <w:r>
              <w:rPr>
                <w:rFonts w:ascii="Caladea" w:hAnsi="Caladea"/>
                <w:b/>
                <w:sz w:val="14"/>
              </w:rPr>
              <w:t>Demográficas</w:t>
            </w:r>
          </w:p>
        </w:tc>
        <w:tc>
          <w:tcPr>
            <w:tcW w:w="1628" w:type="dxa"/>
          </w:tcPr>
          <w:p>
            <w:pPr>
              <w:pStyle w:val="TableParagraph"/>
              <w:rPr>
                <w:rFonts w:ascii="Times New Roman"/>
                <w:sz w:val="16"/>
              </w:rPr>
            </w:pPr>
          </w:p>
        </w:tc>
        <w:tc>
          <w:tcPr>
            <w:tcW w:w="1625" w:type="dxa"/>
          </w:tcPr>
          <w:p>
            <w:pPr>
              <w:pStyle w:val="TableParagraph"/>
              <w:rPr>
                <w:rFonts w:ascii="Times New Roman"/>
                <w:sz w:val="16"/>
              </w:rPr>
            </w:pPr>
          </w:p>
        </w:tc>
      </w:tr>
      <w:tr>
        <w:trPr>
          <w:trHeight w:val="230" w:hRule="atLeast"/>
        </w:trPr>
        <w:tc>
          <w:tcPr>
            <w:tcW w:w="6664" w:type="dxa"/>
          </w:tcPr>
          <w:p>
            <w:pPr>
              <w:pStyle w:val="TableParagraph"/>
              <w:spacing w:before="34"/>
              <w:ind w:left="72"/>
              <w:rPr>
                <w:sz w:val="14"/>
              </w:rPr>
            </w:pPr>
            <w:r>
              <w:rPr>
                <w:sz w:val="14"/>
              </w:rPr>
              <w:t>Taxa de Rotatividade</w:t>
            </w:r>
          </w:p>
        </w:tc>
        <w:tc>
          <w:tcPr>
            <w:tcW w:w="1628" w:type="dxa"/>
          </w:tcPr>
          <w:p>
            <w:pPr>
              <w:pStyle w:val="TableParagraph"/>
              <w:spacing w:before="34"/>
              <w:ind w:right="61"/>
              <w:jc w:val="right"/>
              <w:rPr>
                <w:sz w:val="14"/>
              </w:rPr>
            </w:pPr>
            <w:r>
              <w:rPr>
                <w:w w:val="105"/>
                <w:sz w:val="14"/>
              </w:rPr>
              <w:t>0,00%</w:t>
            </w:r>
          </w:p>
        </w:tc>
        <w:tc>
          <w:tcPr>
            <w:tcW w:w="1625" w:type="dxa"/>
          </w:tcPr>
          <w:p>
            <w:pPr>
              <w:pStyle w:val="TableParagraph"/>
              <w:spacing w:before="34"/>
              <w:ind w:right="64"/>
              <w:jc w:val="right"/>
              <w:rPr>
                <w:sz w:val="14"/>
              </w:rPr>
            </w:pPr>
            <w:r>
              <w:rPr>
                <w:w w:val="105"/>
                <w:sz w:val="14"/>
              </w:rPr>
              <w:t>0,00%</w:t>
            </w:r>
          </w:p>
        </w:tc>
      </w:tr>
      <w:tr>
        <w:trPr>
          <w:trHeight w:val="232" w:hRule="atLeast"/>
        </w:trPr>
        <w:tc>
          <w:tcPr>
            <w:tcW w:w="6664" w:type="dxa"/>
          </w:tcPr>
          <w:p>
            <w:pPr>
              <w:pStyle w:val="TableParagraph"/>
              <w:spacing w:before="36"/>
              <w:ind w:left="72"/>
              <w:rPr>
                <w:sz w:val="14"/>
              </w:rPr>
            </w:pPr>
            <w:r>
              <w:rPr>
                <w:sz w:val="14"/>
              </w:rPr>
              <w:t>Tábua de Mortalidade/Sobrevivência de Ativos</w:t>
            </w:r>
          </w:p>
        </w:tc>
        <w:tc>
          <w:tcPr>
            <w:tcW w:w="1628" w:type="dxa"/>
          </w:tcPr>
          <w:p>
            <w:pPr>
              <w:pStyle w:val="TableParagraph"/>
              <w:spacing w:before="36"/>
              <w:ind w:left="393"/>
              <w:rPr>
                <w:sz w:val="14"/>
              </w:rPr>
            </w:pPr>
            <w:r>
              <w:rPr>
                <w:w w:val="105"/>
                <w:sz w:val="14"/>
              </w:rPr>
              <w:t>AT-2000 M&amp;F</w:t>
            </w:r>
          </w:p>
        </w:tc>
        <w:tc>
          <w:tcPr>
            <w:tcW w:w="1625" w:type="dxa"/>
          </w:tcPr>
          <w:p>
            <w:pPr>
              <w:pStyle w:val="TableParagraph"/>
              <w:spacing w:before="36"/>
              <w:ind w:left="227"/>
              <w:rPr>
                <w:sz w:val="14"/>
              </w:rPr>
            </w:pPr>
            <w:r>
              <w:rPr>
                <w:sz w:val="14"/>
              </w:rPr>
              <w:t>AT-2000 masculina</w:t>
            </w:r>
          </w:p>
        </w:tc>
      </w:tr>
      <w:tr>
        <w:trPr>
          <w:trHeight w:val="232" w:hRule="atLeast"/>
        </w:trPr>
        <w:tc>
          <w:tcPr>
            <w:tcW w:w="6664" w:type="dxa"/>
          </w:tcPr>
          <w:p>
            <w:pPr>
              <w:pStyle w:val="TableParagraph"/>
              <w:spacing w:before="34"/>
              <w:ind w:left="72"/>
              <w:rPr>
                <w:sz w:val="14"/>
              </w:rPr>
            </w:pPr>
            <w:r>
              <w:rPr>
                <w:sz w:val="14"/>
              </w:rPr>
              <w:t>Tábua de Mortalidade/Sobrevivência de Assistidos</w:t>
            </w:r>
          </w:p>
        </w:tc>
        <w:tc>
          <w:tcPr>
            <w:tcW w:w="1628" w:type="dxa"/>
          </w:tcPr>
          <w:p>
            <w:pPr>
              <w:pStyle w:val="TableParagraph"/>
              <w:spacing w:before="34"/>
              <w:ind w:left="393"/>
              <w:rPr>
                <w:sz w:val="14"/>
              </w:rPr>
            </w:pPr>
            <w:r>
              <w:rPr>
                <w:w w:val="105"/>
                <w:sz w:val="14"/>
              </w:rPr>
              <w:t>AT-2000 M&amp;F</w:t>
            </w:r>
          </w:p>
        </w:tc>
        <w:tc>
          <w:tcPr>
            <w:tcW w:w="1625" w:type="dxa"/>
          </w:tcPr>
          <w:p>
            <w:pPr>
              <w:pStyle w:val="TableParagraph"/>
              <w:spacing w:before="34"/>
              <w:ind w:left="227"/>
              <w:rPr>
                <w:sz w:val="14"/>
              </w:rPr>
            </w:pPr>
            <w:r>
              <w:rPr>
                <w:sz w:val="14"/>
              </w:rPr>
              <w:t>AT-2000 masculina</w:t>
            </w:r>
          </w:p>
        </w:tc>
      </w:tr>
      <w:tr>
        <w:trPr>
          <w:trHeight w:val="232" w:hRule="atLeast"/>
        </w:trPr>
        <w:tc>
          <w:tcPr>
            <w:tcW w:w="6664" w:type="dxa"/>
          </w:tcPr>
          <w:p>
            <w:pPr>
              <w:pStyle w:val="TableParagraph"/>
              <w:spacing w:before="34"/>
              <w:ind w:left="72"/>
              <w:rPr>
                <w:sz w:val="14"/>
              </w:rPr>
            </w:pPr>
            <w:r>
              <w:rPr>
                <w:sz w:val="14"/>
              </w:rPr>
              <w:t>Tábua de Mortalidade/Sobrevivência de Inválidos</w:t>
            </w:r>
          </w:p>
        </w:tc>
        <w:tc>
          <w:tcPr>
            <w:tcW w:w="3253" w:type="dxa"/>
            <w:gridSpan w:val="2"/>
          </w:tcPr>
          <w:p>
            <w:pPr>
              <w:pStyle w:val="TableParagraph"/>
              <w:spacing w:before="32"/>
              <w:ind w:left="1259" w:right="1252"/>
              <w:jc w:val="center"/>
              <w:rPr>
                <w:rFonts w:ascii="Caladea"/>
                <w:i/>
                <w:sz w:val="14"/>
              </w:rPr>
            </w:pPr>
            <w:r>
              <w:rPr>
                <w:rFonts w:ascii="Caladea"/>
                <w:i/>
                <w:sz w:val="14"/>
              </w:rPr>
              <w:t>Winklevoss</w:t>
            </w:r>
          </w:p>
        </w:tc>
      </w:tr>
      <w:tr>
        <w:trPr>
          <w:trHeight w:val="232" w:hRule="atLeast"/>
        </w:trPr>
        <w:tc>
          <w:tcPr>
            <w:tcW w:w="6664" w:type="dxa"/>
          </w:tcPr>
          <w:p>
            <w:pPr>
              <w:pStyle w:val="TableParagraph"/>
              <w:spacing w:before="34"/>
              <w:ind w:left="72"/>
              <w:rPr>
                <w:sz w:val="14"/>
              </w:rPr>
            </w:pPr>
            <w:r>
              <w:rPr>
                <w:sz w:val="14"/>
              </w:rPr>
              <w:t>Tábua de Entrada em Invalidez</w:t>
            </w:r>
          </w:p>
        </w:tc>
        <w:tc>
          <w:tcPr>
            <w:tcW w:w="3253" w:type="dxa"/>
            <w:gridSpan w:val="2"/>
          </w:tcPr>
          <w:p>
            <w:pPr>
              <w:pStyle w:val="TableParagraph"/>
              <w:spacing w:before="34"/>
              <w:ind w:left="1259" w:right="1252"/>
              <w:jc w:val="center"/>
              <w:rPr>
                <w:sz w:val="14"/>
              </w:rPr>
            </w:pPr>
            <w:r>
              <w:rPr>
                <w:w w:val="105"/>
                <w:sz w:val="14"/>
              </w:rPr>
              <w:t>TASA-1927</w:t>
            </w:r>
          </w:p>
        </w:tc>
      </w:tr>
      <w:tr>
        <w:trPr>
          <w:trHeight w:val="232" w:hRule="atLeast"/>
        </w:trPr>
        <w:tc>
          <w:tcPr>
            <w:tcW w:w="6664" w:type="dxa"/>
          </w:tcPr>
          <w:p>
            <w:pPr>
              <w:pStyle w:val="TableParagraph"/>
              <w:spacing w:before="34"/>
              <w:ind w:left="72"/>
              <w:rPr>
                <w:sz w:val="14"/>
              </w:rPr>
            </w:pPr>
            <w:r>
              <w:rPr>
                <w:sz w:val="14"/>
              </w:rPr>
              <w:t>Tábua de Morbidez</w:t>
            </w:r>
          </w:p>
        </w:tc>
        <w:tc>
          <w:tcPr>
            <w:tcW w:w="3253" w:type="dxa"/>
            <w:gridSpan w:val="2"/>
          </w:tcPr>
          <w:p>
            <w:pPr>
              <w:pStyle w:val="TableParagraph"/>
              <w:spacing w:before="34"/>
              <w:ind w:left="1259" w:right="1250"/>
              <w:jc w:val="center"/>
              <w:rPr>
                <w:sz w:val="14"/>
              </w:rPr>
            </w:pPr>
            <w:r>
              <w:rPr>
                <w:sz w:val="14"/>
              </w:rPr>
              <w:t>Não Usada</w:t>
            </w:r>
          </w:p>
        </w:tc>
      </w:tr>
      <w:tr>
        <w:trPr>
          <w:trHeight w:val="326" w:hRule="atLeast"/>
        </w:trPr>
        <w:tc>
          <w:tcPr>
            <w:tcW w:w="6664" w:type="dxa"/>
          </w:tcPr>
          <w:p>
            <w:pPr>
              <w:pStyle w:val="TableParagraph"/>
              <w:spacing w:before="82"/>
              <w:ind w:left="72"/>
              <w:rPr>
                <w:sz w:val="14"/>
              </w:rPr>
            </w:pPr>
            <w:r>
              <w:rPr>
                <w:sz w:val="14"/>
              </w:rPr>
              <w:t>Idade de Aposentadoria</w:t>
            </w:r>
          </w:p>
        </w:tc>
        <w:tc>
          <w:tcPr>
            <w:tcW w:w="3253" w:type="dxa"/>
            <w:gridSpan w:val="2"/>
          </w:tcPr>
          <w:p>
            <w:pPr>
              <w:pStyle w:val="TableParagraph"/>
              <w:spacing w:line="164" w:lineRule="exact"/>
              <w:ind w:left="71"/>
              <w:rPr>
                <w:sz w:val="14"/>
              </w:rPr>
            </w:pPr>
            <w:r>
              <w:rPr>
                <w:w w:val="95"/>
                <w:sz w:val="14"/>
              </w:rPr>
              <w:t>Primeira aposentadoria, considerando-se as </w:t>
            </w:r>
            <w:r>
              <w:rPr>
                <w:sz w:val="14"/>
              </w:rPr>
              <w:t>elegibilidades do regulamento do plano.</w:t>
            </w:r>
          </w:p>
        </w:tc>
      </w:tr>
      <w:tr>
        <w:trPr>
          <w:trHeight w:val="230" w:hRule="atLeast"/>
        </w:trPr>
        <w:tc>
          <w:tcPr>
            <w:tcW w:w="9917" w:type="dxa"/>
            <w:gridSpan w:val="3"/>
          </w:tcPr>
          <w:p>
            <w:pPr>
              <w:pStyle w:val="TableParagraph"/>
              <w:spacing w:before="33"/>
              <w:ind w:left="72"/>
              <w:rPr>
                <w:rFonts w:ascii="Caladea" w:hAnsi="Caladea"/>
                <w:b/>
                <w:sz w:val="14"/>
              </w:rPr>
            </w:pPr>
            <w:r>
              <w:rPr>
                <w:rFonts w:ascii="Caladea" w:hAnsi="Caladea"/>
                <w:b/>
                <w:sz w:val="14"/>
              </w:rPr>
              <w:t>Composição Familiar para Cálculo de Pensão e Reversão</w:t>
            </w:r>
          </w:p>
        </w:tc>
      </w:tr>
      <w:tr>
        <w:trPr>
          <w:trHeight w:val="328" w:hRule="atLeast"/>
        </w:trPr>
        <w:tc>
          <w:tcPr>
            <w:tcW w:w="6664" w:type="dxa"/>
          </w:tcPr>
          <w:p>
            <w:pPr>
              <w:pStyle w:val="TableParagraph"/>
              <w:spacing w:before="84"/>
              <w:ind w:left="72"/>
              <w:rPr>
                <w:sz w:val="14"/>
              </w:rPr>
            </w:pPr>
            <w:r>
              <w:rPr>
                <w:sz w:val="14"/>
              </w:rPr>
              <w:t>Ativos</w:t>
            </w:r>
          </w:p>
        </w:tc>
        <w:tc>
          <w:tcPr>
            <w:tcW w:w="3253" w:type="dxa"/>
            <w:gridSpan w:val="2"/>
          </w:tcPr>
          <w:p>
            <w:pPr>
              <w:pStyle w:val="TableParagraph"/>
              <w:ind w:left="71"/>
              <w:rPr>
                <w:sz w:val="14"/>
              </w:rPr>
            </w:pPr>
            <w:r>
              <w:rPr>
                <w:sz w:val="14"/>
              </w:rPr>
              <w:t>90% casados com cônjuge feminino 4 anos mais</w:t>
            </w:r>
          </w:p>
          <w:p>
            <w:pPr>
              <w:pStyle w:val="TableParagraph"/>
              <w:spacing w:line="142" w:lineRule="exact" w:before="3"/>
              <w:ind w:left="71"/>
              <w:rPr>
                <w:sz w:val="14"/>
              </w:rPr>
            </w:pPr>
            <w:r>
              <w:rPr>
                <w:w w:val="95"/>
                <w:sz w:val="14"/>
              </w:rPr>
              <w:t>jovem.</w:t>
            </w:r>
          </w:p>
        </w:tc>
      </w:tr>
      <w:tr>
        <w:trPr>
          <w:trHeight w:val="232" w:hRule="atLeast"/>
        </w:trPr>
        <w:tc>
          <w:tcPr>
            <w:tcW w:w="6664" w:type="dxa"/>
          </w:tcPr>
          <w:p>
            <w:pPr>
              <w:pStyle w:val="TableParagraph"/>
              <w:spacing w:before="36"/>
              <w:ind w:left="72"/>
              <w:rPr>
                <w:sz w:val="14"/>
              </w:rPr>
            </w:pPr>
            <w:r>
              <w:rPr>
                <w:sz w:val="14"/>
              </w:rPr>
              <w:t>Assistidos</w:t>
            </w:r>
          </w:p>
        </w:tc>
        <w:tc>
          <w:tcPr>
            <w:tcW w:w="3253" w:type="dxa"/>
            <w:gridSpan w:val="2"/>
          </w:tcPr>
          <w:p>
            <w:pPr>
              <w:pStyle w:val="TableParagraph"/>
              <w:spacing w:before="36"/>
              <w:ind w:left="71"/>
              <w:rPr>
                <w:sz w:val="14"/>
              </w:rPr>
            </w:pPr>
            <w:r>
              <w:rPr>
                <w:sz w:val="14"/>
              </w:rPr>
              <w:t>Família informada no cadastro.</w:t>
            </w:r>
          </w:p>
        </w:tc>
      </w:tr>
    </w:tbl>
    <w:p>
      <w:pPr>
        <w:pStyle w:val="BodyText"/>
        <w:spacing w:before="7"/>
        <w:rPr>
          <w:rFonts w:ascii="Caladea"/>
          <w:b/>
        </w:rPr>
      </w:pPr>
    </w:p>
    <w:p>
      <w:pPr>
        <w:pStyle w:val="BodyText"/>
        <w:spacing w:line="278" w:lineRule="auto"/>
        <w:ind w:left="172" w:right="411"/>
        <w:jc w:val="both"/>
      </w:pPr>
      <w:r>
        <w:rPr/>
        <w:t>Para</w:t>
      </w:r>
      <w:r>
        <w:rPr>
          <w:spacing w:val="-42"/>
        </w:rPr>
        <w:t> </w:t>
      </w:r>
      <w:r>
        <w:rPr/>
        <w:t>o</w:t>
      </w:r>
      <w:r>
        <w:rPr>
          <w:spacing w:val="-42"/>
        </w:rPr>
        <w:t> </w:t>
      </w:r>
      <w:r>
        <w:rPr/>
        <w:t>cálculo</w:t>
      </w:r>
      <w:r>
        <w:rPr>
          <w:spacing w:val="-42"/>
        </w:rPr>
        <w:t> </w:t>
      </w:r>
      <w:r>
        <w:rPr/>
        <w:t>da</w:t>
      </w:r>
      <w:r>
        <w:rPr>
          <w:spacing w:val="-41"/>
        </w:rPr>
        <w:t> </w:t>
      </w:r>
      <w:r>
        <w:rPr/>
        <w:t>obrigação</w:t>
      </w:r>
      <w:r>
        <w:rPr>
          <w:spacing w:val="-42"/>
        </w:rPr>
        <w:t> </w:t>
      </w:r>
      <w:r>
        <w:rPr/>
        <w:t>atuarial</w:t>
      </w:r>
      <w:r>
        <w:rPr>
          <w:spacing w:val="-41"/>
        </w:rPr>
        <w:t> </w:t>
      </w:r>
      <w:r>
        <w:rPr/>
        <w:t>do</w:t>
      </w:r>
      <w:r>
        <w:rPr>
          <w:spacing w:val="-42"/>
        </w:rPr>
        <w:t> </w:t>
      </w:r>
      <w:r>
        <w:rPr/>
        <w:t>plano</w:t>
      </w:r>
      <w:r>
        <w:rPr>
          <w:spacing w:val="-42"/>
        </w:rPr>
        <w:t> </w:t>
      </w:r>
      <w:r>
        <w:rPr/>
        <w:t>de</w:t>
      </w:r>
      <w:r>
        <w:rPr>
          <w:spacing w:val="-41"/>
        </w:rPr>
        <w:t> </w:t>
      </w:r>
      <w:r>
        <w:rPr/>
        <w:t>benefícios</w:t>
      </w:r>
      <w:r>
        <w:rPr>
          <w:spacing w:val="-42"/>
        </w:rPr>
        <w:t> </w:t>
      </w:r>
      <w:r>
        <w:rPr/>
        <w:t>definido</w:t>
      </w:r>
      <w:r>
        <w:rPr>
          <w:spacing w:val="-41"/>
        </w:rPr>
        <w:t> </w:t>
      </w:r>
      <w:r>
        <w:rPr/>
        <w:t>foram</w:t>
      </w:r>
      <w:r>
        <w:rPr>
          <w:spacing w:val="-40"/>
        </w:rPr>
        <w:t> </w:t>
      </w:r>
      <w:r>
        <w:rPr/>
        <w:t>mantidas,</w:t>
      </w:r>
      <w:r>
        <w:rPr>
          <w:spacing w:val="-42"/>
        </w:rPr>
        <w:t> </w:t>
      </w:r>
      <w:r>
        <w:rPr/>
        <w:t>sempre</w:t>
      </w:r>
      <w:r>
        <w:rPr>
          <w:spacing w:val="-42"/>
        </w:rPr>
        <w:t> </w:t>
      </w:r>
      <w:r>
        <w:rPr/>
        <w:t>que</w:t>
      </w:r>
      <w:r>
        <w:rPr>
          <w:spacing w:val="-42"/>
        </w:rPr>
        <w:t> </w:t>
      </w:r>
      <w:r>
        <w:rPr/>
        <w:t>possível,</w:t>
      </w:r>
      <w:r>
        <w:rPr>
          <w:spacing w:val="-42"/>
        </w:rPr>
        <w:t> </w:t>
      </w:r>
      <w:r>
        <w:rPr/>
        <w:t>as</w:t>
      </w:r>
      <w:r>
        <w:rPr>
          <w:spacing w:val="-41"/>
        </w:rPr>
        <w:t> </w:t>
      </w:r>
      <w:r>
        <w:rPr/>
        <w:t>mesmas hipóteses</w:t>
      </w:r>
      <w:r>
        <w:rPr>
          <w:spacing w:val="-9"/>
        </w:rPr>
        <w:t> </w:t>
      </w:r>
      <w:r>
        <w:rPr/>
        <w:t>adotadas</w:t>
      </w:r>
      <w:r>
        <w:rPr>
          <w:spacing w:val="-8"/>
        </w:rPr>
        <w:t> </w:t>
      </w:r>
      <w:r>
        <w:rPr/>
        <w:t>nas</w:t>
      </w:r>
      <w:r>
        <w:rPr>
          <w:spacing w:val="-8"/>
        </w:rPr>
        <w:t> </w:t>
      </w:r>
      <w:r>
        <w:rPr/>
        <w:t>avaliações</w:t>
      </w:r>
      <w:r>
        <w:rPr>
          <w:spacing w:val="-8"/>
        </w:rPr>
        <w:t> </w:t>
      </w:r>
      <w:r>
        <w:rPr/>
        <w:t>atuariais</w:t>
      </w:r>
      <w:r>
        <w:rPr>
          <w:spacing w:val="-8"/>
        </w:rPr>
        <w:t> </w:t>
      </w:r>
      <w:r>
        <w:rPr/>
        <w:t>do</w:t>
      </w:r>
      <w:r>
        <w:rPr>
          <w:spacing w:val="-9"/>
        </w:rPr>
        <w:t> </w:t>
      </w:r>
      <w:r>
        <w:rPr/>
        <w:t>mencionado</w:t>
      </w:r>
      <w:r>
        <w:rPr>
          <w:spacing w:val="-9"/>
        </w:rPr>
        <w:t> </w:t>
      </w:r>
      <w:r>
        <w:rPr/>
        <w:t>plano</w:t>
      </w:r>
      <w:r>
        <w:rPr>
          <w:spacing w:val="-7"/>
        </w:rPr>
        <w:t> </w:t>
      </w:r>
      <w:r>
        <w:rPr/>
        <w:t>que</w:t>
      </w:r>
      <w:r>
        <w:rPr>
          <w:spacing w:val="-10"/>
        </w:rPr>
        <w:t> </w:t>
      </w:r>
      <w:r>
        <w:rPr/>
        <w:t>são</w:t>
      </w:r>
      <w:r>
        <w:rPr>
          <w:spacing w:val="-8"/>
        </w:rPr>
        <w:t> </w:t>
      </w:r>
      <w:r>
        <w:rPr/>
        <w:t>encaminhadas</w:t>
      </w:r>
      <w:r>
        <w:rPr>
          <w:spacing w:val="-9"/>
        </w:rPr>
        <w:t> </w:t>
      </w:r>
      <w:r>
        <w:rPr/>
        <w:t>à</w:t>
      </w:r>
      <w:r>
        <w:rPr>
          <w:spacing w:val="-8"/>
        </w:rPr>
        <w:t> </w:t>
      </w:r>
      <w:r>
        <w:rPr/>
        <w:t>Superintendência</w:t>
      </w:r>
      <w:r>
        <w:rPr>
          <w:spacing w:val="-6"/>
        </w:rPr>
        <w:t> </w:t>
      </w:r>
      <w:r>
        <w:rPr/>
        <w:t>de Previdência</w:t>
      </w:r>
      <w:r>
        <w:rPr>
          <w:spacing w:val="-19"/>
        </w:rPr>
        <w:t> </w:t>
      </w:r>
      <w:r>
        <w:rPr/>
        <w:t>Complementar</w:t>
      </w:r>
      <w:r>
        <w:rPr>
          <w:spacing w:val="-19"/>
        </w:rPr>
        <w:t> </w:t>
      </w:r>
      <w:r>
        <w:rPr/>
        <w:t>(PREVIC).</w:t>
      </w:r>
      <w:r>
        <w:rPr>
          <w:spacing w:val="-19"/>
        </w:rPr>
        <w:t> </w:t>
      </w:r>
      <w:r>
        <w:rPr/>
        <w:t>A</w:t>
      </w:r>
      <w:r>
        <w:rPr>
          <w:spacing w:val="-19"/>
        </w:rPr>
        <w:t> </w:t>
      </w:r>
      <w:r>
        <w:rPr/>
        <w:t>adoção</w:t>
      </w:r>
      <w:r>
        <w:rPr>
          <w:spacing w:val="-19"/>
        </w:rPr>
        <w:t> </w:t>
      </w:r>
      <w:r>
        <w:rPr/>
        <w:t>de</w:t>
      </w:r>
      <w:r>
        <w:rPr>
          <w:spacing w:val="-21"/>
        </w:rPr>
        <w:t> </w:t>
      </w:r>
      <w:r>
        <w:rPr/>
        <w:t>tais</w:t>
      </w:r>
      <w:r>
        <w:rPr>
          <w:spacing w:val="-19"/>
        </w:rPr>
        <w:t> </w:t>
      </w:r>
      <w:r>
        <w:rPr/>
        <w:t>hipóteses</w:t>
      </w:r>
      <w:r>
        <w:rPr>
          <w:spacing w:val="-19"/>
        </w:rPr>
        <w:t> </w:t>
      </w:r>
      <w:r>
        <w:rPr/>
        <w:t>se</w:t>
      </w:r>
      <w:r>
        <w:rPr>
          <w:spacing w:val="-20"/>
        </w:rPr>
        <w:t> </w:t>
      </w:r>
      <w:r>
        <w:rPr/>
        <w:t>justifica,</w:t>
      </w:r>
      <w:r>
        <w:rPr>
          <w:spacing w:val="-19"/>
        </w:rPr>
        <w:t> </w:t>
      </w:r>
      <w:r>
        <w:rPr/>
        <w:t>uma</w:t>
      </w:r>
      <w:r>
        <w:rPr>
          <w:spacing w:val="-19"/>
        </w:rPr>
        <w:t> </w:t>
      </w:r>
      <w:r>
        <w:rPr/>
        <w:t>vez</w:t>
      </w:r>
      <w:r>
        <w:rPr>
          <w:spacing w:val="-19"/>
        </w:rPr>
        <w:t> </w:t>
      </w:r>
      <w:r>
        <w:rPr/>
        <w:t>que</w:t>
      </w:r>
      <w:r>
        <w:rPr>
          <w:spacing w:val="-19"/>
        </w:rPr>
        <w:t> </w:t>
      </w:r>
      <w:r>
        <w:rPr/>
        <w:t>as</w:t>
      </w:r>
      <w:r>
        <w:rPr>
          <w:spacing w:val="-20"/>
        </w:rPr>
        <w:t> </w:t>
      </w:r>
      <w:r>
        <w:rPr/>
        <w:t>mesmas</w:t>
      </w:r>
      <w:r>
        <w:rPr>
          <w:spacing w:val="-19"/>
        </w:rPr>
        <w:t> </w:t>
      </w:r>
      <w:r>
        <w:rPr/>
        <w:t>atendem</w:t>
      </w:r>
      <w:r>
        <w:rPr>
          <w:spacing w:val="-18"/>
        </w:rPr>
        <w:t> </w:t>
      </w:r>
      <w:r>
        <w:rPr/>
        <w:t>às determinações</w:t>
      </w:r>
      <w:r>
        <w:rPr>
          <w:spacing w:val="-22"/>
        </w:rPr>
        <w:t> </w:t>
      </w:r>
      <w:r>
        <w:rPr/>
        <w:t>legais</w:t>
      </w:r>
      <w:r>
        <w:rPr>
          <w:spacing w:val="-22"/>
        </w:rPr>
        <w:t> </w:t>
      </w:r>
      <w:r>
        <w:rPr/>
        <w:t>contidas</w:t>
      </w:r>
      <w:r>
        <w:rPr>
          <w:spacing w:val="-22"/>
        </w:rPr>
        <w:t> </w:t>
      </w:r>
      <w:r>
        <w:rPr/>
        <w:t>na</w:t>
      </w:r>
      <w:r>
        <w:rPr>
          <w:spacing w:val="-22"/>
        </w:rPr>
        <w:t> </w:t>
      </w:r>
      <w:r>
        <w:rPr/>
        <w:t>Resolução</w:t>
      </w:r>
      <w:r>
        <w:rPr>
          <w:spacing w:val="-23"/>
        </w:rPr>
        <w:t> </w:t>
      </w:r>
      <w:r>
        <w:rPr/>
        <w:t>CGPC</w:t>
      </w:r>
      <w:r>
        <w:rPr>
          <w:spacing w:val="-22"/>
        </w:rPr>
        <w:t> </w:t>
      </w:r>
      <w:r>
        <w:rPr>
          <w:spacing w:val="2"/>
        </w:rPr>
        <w:t>n°</w:t>
      </w:r>
      <w:r>
        <w:rPr>
          <w:spacing w:val="-23"/>
        </w:rPr>
        <w:t> </w:t>
      </w:r>
      <w:r>
        <w:rPr/>
        <w:t>18,</w:t>
      </w:r>
      <w:r>
        <w:rPr>
          <w:spacing w:val="-22"/>
        </w:rPr>
        <w:t> </w:t>
      </w:r>
      <w:r>
        <w:rPr/>
        <w:t>de</w:t>
      </w:r>
      <w:r>
        <w:rPr>
          <w:spacing w:val="-24"/>
        </w:rPr>
        <w:t> </w:t>
      </w:r>
      <w:r>
        <w:rPr/>
        <w:t>28</w:t>
      </w:r>
      <w:r>
        <w:rPr>
          <w:spacing w:val="-21"/>
        </w:rPr>
        <w:t> </w:t>
      </w:r>
      <w:r>
        <w:rPr/>
        <w:t>de</w:t>
      </w:r>
      <w:r>
        <w:rPr>
          <w:spacing w:val="-22"/>
        </w:rPr>
        <w:t> </w:t>
      </w:r>
      <w:r>
        <w:rPr/>
        <w:t>março</w:t>
      </w:r>
      <w:r>
        <w:rPr>
          <w:spacing w:val="-22"/>
        </w:rPr>
        <w:t> </w:t>
      </w:r>
      <w:r>
        <w:rPr/>
        <w:t>de</w:t>
      </w:r>
      <w:r>
        <w:rPr>
          <w:spacing w:val="-24"/>
        </w:rPr>
        <w:t> </w:t>
      </w:r>
      <w:r>
        <w:rPr/>
        <w:t>2006</w:t>
      </w:r>
      <w:r>
        <w:rPr>
          <w:spacing w:val="-22"/>
        </w:rPr>
        <w:t> </w:t>
      </w:r>
      <w:r>
        <w:rPr/>
        <w:t>e</w:t>
      </w:r>
      <w:r>
        <w:rPr>
          <w:spacing w:val="-21"/>
        </w:rPr>
        <w:t> </w:t>
      </w:r>
      <w:r>
        <w:rPr/>
        <w:t>refletem</w:t>
      </w:r>
      <w:r>
        <w:rPr>
          <w:spacing w:val="-22"/>
        </w:rPr>
        <w:t> </w:t>
      </w:r>
      <w:r>
        <w:rPr/>
        <w:t>as</w:t>
      </w:r>
      <w:r>
        <w:rPr>
          <w:spacing w:val="-22"/>
        </w:rPr>
        <w:t> </w:t>
      </w:r>
      <w:r>
        <w:rPr/>
        <w:t>características</w:t>
      </w:r>
      <w:r>
        <w:rPr>
          <w:spacing w:val="-22"/>
        </w:rPr>
        <w:t> </w:t>
      </w:r>
      <w:r>
        <w:rPr/>
        <w:t>das massas</w:t>
      </w:r>
      <w:r>
        <w:rPr>
          <w:spacing w:val="-18"/>
        </w:rPr>
        <w:t> </w:t>
      </w:r>
      <w:r>
        <w:rPr/>
        <w:t>de</w:t>
      </w:r>
      <w:r>
        <w:rPr>
          <w:spacing w:val="-20"/>
        </w:rPr>
        <w:t> </w:t>
      </w:r>
      <w:r>
        <w:rPr/>
        <w:t>participantes</w:t>
      </w:r>
      <w:r>
        <w:rPr>
          <w:spacing w:val="-16"/>
        </w:rPr>
        <w:t> </w:t>
      </w:r>
      <w:r>
        <w:rPr/>
        <w:t>e</w:t>
      </w:r>
      <w:r>
        <w:rPr>
          <w:spacing w:val="-20"/>
        </w:rPr>
        <w:t> </w:t>
      </w:r>
      <w:r>
        <w:rPr/>
        <w:t>assistidos</w:t>
      </w:r>
      <w:r>
        <w:rPr>
          <w:spacing w:val="-18"/>
        </w:rPr>
        <w:t> </w:t>
      </w:r>
      <w:r>
        <w:rPr/>
        <w:t>do</w:t>
      </w:r>
      <w:r>
        <w:rPr>
          <w:spacing w:val="-17"/>
        </w:rPr>
        <w:t> </w:t>
      </w:r>
      <w:r>
        <w:rPr/>
        <w:t>plano.</w:t>
      </w:r>
    </w:p>
    <w:p>
      <w:pPr>
        <w:pStyle w:val="BodyText"/>
        <w:spacing w:before="10"/>
      </w:pPr>
    </w:p>
    <w:p>
      <w:pPr>
        <w:pStyle w:val="BodyText"/>
        <w:spacing w:line="276" w:lineRule="auto"/>
        <w:ind w:left="172" w:right="406"/>
        <w:jc w:val="both"/>
      </w:pPr>
      <w:r>
        <w:rPr/>
        <w:t>A</w:t>
      </w:r>
      <w:r>
        <w:rPr>
          <w:spacing w:val="-20"/>
        </w:rPr>
        <w:t> </w:t>
      </w:r>
      <w:r>
        <w:rPr/>
        <w:t>taxa</w:t>
      </w:r>
      <w:r>
        <w:rPr>
          <w:spacing w:val="-19"/>
        </w:rPr>
        <w:t> </w:t>
      </w:r>
      <w:r>
        <w:rPr/>
        <w:t>de</w:t>
      </w:r>
      <w:r>
        <w:rPr>
          <w:spacing w:val="-21"/>
        </w:rPr>
        <w:t> </w:t>
      </w:r>
      <w:r>
        <w:rPr/>
        <w:t>juros</w:t>
      </w:r>
      <w:r>
        <w:rPr>
          <w:spacing w:val="-19"/>
        </w:rPr>
        <w:t> </w:t>
      </w:r>
      <w:r>
        <w:rPr/>
        <w:t>anual</w:t>
      </w:r>
      <w:r>
        <w:rPr>
          <w:spacing w:val="-19"/>
        </w:rPr>
        <w:t> </w:t>
      </w:r>
      <w:r>
        <w:rPr/>
        <w:t>foi</w:t>
      </w:r>
      <w:r>
        <w:rPr>
          <w:spacing w:val="-19"/>
        </w:rPr>
        <w:t> </w:t>
      </w:r>
      <w:r>
        <w:rPr/>
        <w:t>definida</w:t>
      </w:r>
      <w:r>
        <w:rPr>
          <w:spacing w:val="-20"/>
        </w:rPr>
        <w:t> </w:t>
      </w:r>
      <w:r>
        <w:rPr/>
        <w:t>em</w:t>
      </w:r>
      <w:r>
        <w:rPr>
          <w:spacing w:val="-20"/>
        </w:rPr>
        <w:t> </w:t>
      </w:r>
      <w:r>
        <w:rPr/>
        <w:t>função</w:t>
      </w:r>
      <w:r>
        <w:rPr>
          <w:spacing w:val="-19"/>
        </w:rPr>
        <w:t> </w:t>
      </w:r>
      <w:r>
        <w:rPr/>
        <w:t>da</w:t>
      </w:r>
      <w:r>
        <w:rPr>
          <w:spacing w:val="-14"/>
        </w:rPr>
        <w:t> </w:t>
      </w:r>
      <w:r>
        <w:rPr>
          <w:rFonts w:ascii="Caladea" w:hAnsi="Caladea"/>
          <w:i/>
        </w:rPr>
        <w:t>duration</w:t>
      </w:r>
      <w:r>
        <w:rPr>
          <w:rFonts w:ascii="Caladea" w:hAnsi="Caladea"/>
          <w:i/>
          <w:spacing w:val="-2"/>
        </w:rPr>
        <w:t> </w:t>
      </w:r>
      <w:r>
        <w:rPr/>
        <w:t>do</w:t>
      </w:r>
      <w:r>
        <w:rPr>
          <w:spacing w:val="-20"/>
        </w:rPr>
        <w:t> </w:t>
      </w:r>
      <w:r>
        <w:rPr/>
        <w:t>plano</w:t>
      </w:r>
      <w:r>
        <w:rPr>
          <w:spacing w:val="-19"/>
        </w:rPr>
        <w:t> </w:t>
      </w:r>
      <w:r>
        <w:rPr/>
        <w:t>de</w:t>
      </w:r>
      <w:r>
        <w:rPr>
          <w:spacing w:val="-19"/>
        </w:rPr>
        <w:t> </w:t>
      </w:r>
      <w:r>
        <w:rPr/>
        <w:t>benefícios</w:t>
      </w:r>
      <w:r>
        <w:rPr>
          <w:spacing w:val="-19"/>
        </w:rPr>
        <w:t> </w:t>
      </w:r>
      <w:r>
        <w:rPr/>
        <w:t>(12,33</w:t>
      </w:r>
      <w:r>
        <w:rPr>
          <w:spacing w:val="-19"/>
        </w:rPr>
        <w:t> </w:t>
      </w:r>
      <w:r>
        <w:rPr/>
        <w:t>anos)</w:t>
      </w:r>
      <w:r>
        <w:rPr>
          <w:spacing w:val="-19"/>
        </w:rPr>
        <w:t> </w:t>
      </w:r>
      <w:r>
        <w:rPr/>
        <w:t>e</w:t>
      </w:r>
      <w:r>
        <w:rPr>
          <w:spacing w:val="-21"/>
        </w:rPr>
        <w:t> </w:t>
      </w:r>
      <w:r>
        <w:rPr/>
        <w:t>da</w:t>
      </w:r>
      <w:r>
        <w:rPr>
          <w:spacing w:val="-17"/>
        </w:rPr>
        <w:t> </w:t>
      </w:r>
      <w:r>
        <w:rPr/>
        <w:t>remuneração</w:t>
      </w:r>
      <w:r>
        <w:rPr>
          <w:spacing w:val="-17"/>
        </w:rPr>
        <w:t> </w:t>
      </w:r>
      <w:r>
        <w:rPr/>
        <w:t>de títulos</w:t>
      </w:r>
      <w:r>
        <w:rPr>
          <w:spacing w:val="-28"/>
        </w:rPr>
        <w:t> </w:t>
      </w:r>
      <w:r>
        <w:rPr/>
        <w:t>federais</w:t>
      </w:r>
      <w:r>
        <w:rPr>
          <w:spacing w:val="-27"/>
        </w:rPr>
        <w:t> </w:t>
      </w:r>
      <w:r>
        <w:rPr/>
        <w:t>(NTN-B)</w:t>
      </w:r>
      <w:r>
        <w:rPr>
          <w:spacing w:val="-28"/>
        </w:rPr>
        <w:t> </w:t>
      </w:r>
      <w:r>
        <w:rPr/>
        <w:t>com</w:t>
      </w:r>
      <w:r>
        <w:rPr>
          <w:spacing w:val="-27"/>
        </w:rPr>
        <w:t> </w:t>
      </w:r>
      <w:r>
        <w:rPr/>
        <w:t>vencimento</w:t>
      </w:r>
      <w:r>
        <w:rPr>
          <w:spacing w:val="-28"/>
        </w:rPr>
        <w:t> </w:t>
      </w:r>
      <w:r>
        <w:rPr/>
        <w:t>próxima</w:t>
      </w:r>
      <w:r>
        <w:rPr>
          <w:spacing w:val="-27"/>
        </w:rPr>
        <w:t> </w:t>
      </w:r>
      <w:r>
        <w:rPr/>
        <w:t>da</w:t>
      </w:r>
      <w:r>
        <w:rPr>
          <w:spacing w:val="-26"/>
        </w:rPr>
        <w:t> </w:t>
      </w:r>
      <w:r>
        <w:rPr>
          <w:rFonts w:ascii="Caladea" w:hAnsi="Caladea"/>
          <w:i/>
        </w:rPr>
        <w:t>duration</w:t>
      </w:r>
      <w:r>
        <w:rPr>
          <w:rFonts w:ascii="Caladea" w:hAnsi="Caladea"/>
          <w:i/>
          <w:spacing w:val="-11"/>
        </w:rPr>
        <w:t> </w:t>
      </w:r>
      <w:r>
        <w:rPr/>
        <w:t>do</w:t>
      </w:r>
      <w:r>
        <w:rPr>
          <w:spacing w:val="-27"/>
        </w:rPr>
        <w:t> </w:t>
      </w:r>
      <w:r>
        <w:rPr/>
        <w:t>passivo</w:t>
      </w:r>
      <w:r>
        <w:rPr>
          <w:spacing w:val="-27"/>
        </w:rPr>
        <w:t> </w:t>
      </w:r>
      <w:r>
        <w:rPr/>
        <w:t>(NTN-B</w:t>
      </w:r>
      <w:r>
        <w:rPr>
          <w:spacing w:val="-28"/>
        </w:rPr>
        <w:t> </w:t>
      </w:r>
      <w:r>
        <w:rPr/>
        <w:t>de</w:t>
      </w:r>
      <w:r>
        <w:rPr>
          <w:spacing w:val="-29"/>
        </w:rPr>
        <w:t> </w:t>
      </w:r>
      <w:r>
        <w:rPr/>
        <w:t>15</w:t>
      </w:r>
      <w:r>
        <w:rPr>
          <w:spacing w:val="-26"/>
        </w:rPr>
        <w:t> </w:t>
      </w:r>
      <w:r>
        <w:rPr/>
        <w:t>de</w:t>
      </w:r>
      <w:r>
        <w:rPr>
          <w:spacing w:val="-27"/>
        </w:rPr>
        <w:t> </w:t>
      </w:r>
      <w:r>
        <w:rPr/>
        <w:t>agosto</w:t>
      </w:r>
      <w:r>
        <w:rPr>
          <w:spacing w:val="-26"/>
        </w:rPr>
        <w:t> </w:t>
      </w:r>
      <w:r>
        <w:rPr/>
        <w:t>de</w:t>
      </w:r>
      <w:r>
        <w:rPr>
          <w:spacing w:val="-28"/>
        </w:rPr>
        <w:t> </w:t>
      </w:r>
      <w:r>
        <w:rPr/>
        <w:t>2026,</w:t>
      </w:r>
      <w:r>
        <w:rPr>
          <w:spacing w:val="-26"/>
        </w:rPr>
        <w:t> </w:t>
      </w:r>
      <w:r>
        <w:rPr/>
        <w:t>indexada ao</w:t>
      </w:r>
      <w:r>
        <w:rPr>
          <w:spacing w:val="-20"/>
        </w:rPr>
        <w:t> </w:t>
      </w:r>
      <w:r>
        <w:rPr/>
        <w:t>IPCA,</w:t>
      </w:r>
      <w:r>
        <w:rPr>
          <w:spacing w:val="-19"/>
        </w:rPr>
        <w:t> </w:t>
      </w:r>
      <w:r>
        <w:rPr/>
        <w:t>conforme</w:t>
      </w:r>
      <w:r>
        <w:rPr>
          <w:spacing w:val="-18"/>
        </w:rPr>
        <w:t> </w:t>
      </w:r>
      <w:r>
        <w:rPr/>
        <w:t>pesquisa</w:t>
      </w:r>
      <w:r>
        <w:rPr>
          <w:spacing w:val="-15"/>
        </w:rPr>
        <w:t> </w:t>
      </w:r>
      <w:r>
        <w:rPr/>
        <w:t>de</w:t>
      </w:r>
      <w:r>
        <w:rPr>
          <w:spacing w:val="-20"/>
        </w:rPr>
        <w:t> </w:t>
      </w:r>
      <w:r>
        <w:rPr/>
        <w:t>31</w:t>
      </w:r>
      <w:r>
        <w:rPr>
          <w:spacing w:val="-18"/>
        </w:rPr>
        <w:t> </w:t>
      </w:r>
      <w:r>
        <w:rPr/>
        <w:t>de</w:t>
      </w:r>
      <w:r>
        <w:rPr>
          <w:spacing w:val="-20"/>
        </w:rPr>
        <w:t> </w:t>
      </w:r>
      <w:r>
        <w:rPr/>
        <w:t>dezembro</w:t>
      </w:r>
      <w:r>
        <w:rPr>
          <w:spacing w:val="-16"/>
        </w:rPr>
        <w:t> </w:t>
      </w:r>
      <w:r>
        <w:rPr/>
        <w:t>de</w:t>
      </w:r>
      <w:r>
        <w:rPr>
          <w:spacing w:val="-18"/>
        </w:rPr>
        <w:t> </w:t>
      </w:r>
      <w:r>
        <w:rPr/>
        <w:t>2019).</w:t>
      </w:r>
    </w:p>
    <w:p>
      <w:pPr>
        <w:pStyle w:val="BodyText"/>
        <w:spacing w:before="1"/>
        <w:rPr>
          <w:sz w:val="21"/>
        </w:rPr>
      </w:pPr>
    </w:p>
    <w:p>
      <w:pPr>
        <w:pStyle w:val="BodyText"/>
        <w:spacing w:line="276" w:lineRule="auto"/>
        <w:ind w:left="172" w:right="413"/>
        <w:jc w:val="both"/>
      </w:pPr>
      <w:r>
        <w:rPr/>
        <w:t>Usou-se</w:t>
      </w:r>
      <w:r>
        <w:rPr>
          <w:spacing w:val="-44"/>
        </w:rPr>
        <w:t> </w:t>
      </w:r>
      <w:r>
        <w:rPr/>
        <w:t>a</w:t>
      </w:r>
      <w:r>
        <w:rPr>
          <w:spacing w:val="-42"/>
        </w:rPr>
        <w:t> </w:t>
      </w:r>
      <w:r>
        <w:rPr/>
        <w:t>taxa</w:t>
      </w:r>
      <w:r>
        <w:rPr>
          <w:spacing w:val="-42"/>
        </w:rPr>
        <w:t> </w:t>
      </w:r>
      <w:r>
        <w:rPr/>
        <w:t>de</w:t>
      </w:r>
      <w:r>
        <w:rPr>
          <w:spacing w:val="-42"/>
        </w:rPr>
        <w:t> </w:t>
      </w:r>
      <w:r>
        <w:rPr/>
        <w:t>inflação</w:t>
      </w:r>
      <w:r>
        <w:rPr>
          <w:spacing w:val="-42"/>
        </w:rPr>
        <w:t> </w:t>
      </w:r>
      <w:r>
        <w:rPr/>
        <w:t>futura</w:t>
      </w:r>
      <w:r>
        <w:rPr>
          <w:spacing w:val="-43"/>
        </w:rPr>
        <w:t> </w:t>
      </w:r>
      <w:r>
        <w:rPr/>
        <w:t>de</w:t>
      </w:r>
      <w:r>
        <w:rPr>
          <w:spacing w:val="-42"/>
        </w:rPr>
        <w:t> </w:t>
      </w:r>
      <w:r>
        <w:rPr/>
        <w:t>3,50%</w:t>
      </w:r>
      <w:r>
        <w:rPr>
          <w:spacing w:val="-41"/>
        </w:rPr>
        <w:t> </w:t>
      </w:r>
      <w:r>
        <w:rPr/>
        <w:t>que</w:t>
      </w:r>
      <w:r>
        <w:rPr>
          <w:spacing w:val="-43"/>
        </w:rPr>
        <w:t> </w:t>
      </w:r>
      <w:r>
        <w:rPr/>
        <w:t>representa</w:t>
      </w:r>
      <w:r>
        <w:rPr>
          <w:spacing w:val="-42"/>
        </w:rPr>
        <w:t> </w:t>
      </w:r>
      <w:r>
        <w:rPr/>
        <w:t>a</w:t>
      </w:r>
      <w:r>
        <w:rPr>
          <w:spacing w:val="-42"/>
        </w:rPr>
        <w:t> </w:t>
      </w:r>
      <w:r>
        <w:rPr/>
        <w:t>média</w:t>
      </w:r>
      <w:r>
        <w:rPr>
          <w:spacing w:val="-42"/>
        </w:rPr>
        <w:t> </w:t>
      </w:r>
      <w:r>
        <w:rPr/>
        <w:t>das</w:t>
      </w:r>
      <w:r>
        <w:rPr>
          <w:spacing w:val="-42"/>
        </w:rPr>
        <w:t> </w:t>
      </w:r>
      <w:r>
        <w:rPr/>
        <w:t>taxas</w:t>
      </w:r>
      <w:r>
        <w:rPr>
          <w:spacing w:val="-42"/>
        </w:rPr>
        <w:t> </w:t>
      </w:r>
      <w:r>
        <w:rPr/>
        <w:t>de</w:t>
      </w:r>
      <w:r>
        <w:rPr>
          <w:spacing w:val="-42"/>
        </w:rPr>
        <w:t> </w:t>
      </w:r>
      <w:r>
        <w:rPr/>
        <w:t>inflação</w:t>
      </w:r>
      <w:r>
        <w:rPr>
          <w:spacing w:val="-42"/>
        </w:rPr>
        <w:t> </w:t>
      </w:r>
      <w:r>
        <w:rPr/>
        <w:t>(INPC)</w:t>
      </w:r>
      <w:r>
        <w:rPr>
          <w:spacing w:val="-42"/>
        </w:rPr>
        <w:t> </w:t>
      </w:r>
      <w:r>
        <w:rPr/>
        <w:t>projetadas</w:t>
      </w:r>
      <w:r>
        <w:rPr>
          <w:spacing w:val="-42"/>
        </w:rPr>
        <w:t> </w:t>
      </w:r>
      <w:r>
        <w:rPr/>
        <w:t>pelo</w:t>
      </w:r>
      <w:r>
        <w:rPr>
          <w:spacing w:val="-43"/>
        </w:rPr>
        <w:t> </w:t>
      </w:r>
      <w:r>
        <w:rPr/>
        <w:t>BACEN para</w:t>
      </w:r>
      <w:r>
        <w:rPr>
          <w:spacing w:val="-17"/>
        </w:rPr>
        <w:t> </w:t>
      </w:r>
      <w:r>
        <w:rPr/>
        <w:t>2020</w:t>
      </w:r>
      <w:r>
        <w:rPr>
          <w:spacing w:val="-17"/>
        </w:rPr>
        <w:t> </w:t>
      </w:r>
      <w:r>
        <w:rPr/>
        <w:t>a</w:t>
      </w:r>
      <w:r>
        <w:rPr>
          <w:spacing w:val="-15"/>
        </w:rPr>
        <w:t> </w:t>
      </w:r>
      <w:r>
        <w:rPr/>
        <w:t>2024.</w:t>
      </w:r>
    </w:p>
    <w:p>
      <w:pPr>
        <w:pStyle w:val="BodyText"/>
        <w:rPr>
          <w:sz w:val="21"/>
        </w:rPr>
      </w:pPr>
    </w:p>
    <w:p>
      <w:pPr>
        <w:pStyle w:val="BodyText"/>
        <w:spacing w:line="278" w:lineRule="auto"/>
        <w:ind w:left="172" w:right="408"/>
        <w:jc w:val="both"/>
      </w:pPr>
      <w:r>
        <w:rPr/>
        <w:t>A</w:t>
      </w:r>
      <w:r>
        <w:rPr>
          <w:spacing w:val="-37"/>
        </w:rPr>
        <w:t> </w:t>
      </w:r>
      <w:r>
        <w:rPr/>
        <w:t>expectativa,</w:t>
      </w:r>
      <w:r>
        <w:rPr>
          <w:spacing w:val="-35"/>
        </w:rPr>
        <w:t> </w:t>
      </w:r>
      <w:r>
        <w:rPr/>
        <w:t>em</w:t>
      </w:r>
      <w:r>
        <w:rPr>
          <w:spacing w:val="-34"/>
        </w:rPr>
        <w:t> </w:t>
      </w:r>
      <w:r>
        <w:rPr/>
        <w:t>31</w:t>
      </w:r>
      <w:r>
        <w:rPr>
          <w:spacing w:val="-37"/>
        </w:rPr>
        <w:t> </w:t>
      </w:r>
      <w:r>
        <w:rPr/>
        <w:t>de</w:t>
      </w:r>
      <w:r>
        <w:rPr>
          <w:spacing w:val="-35"/>
        </w:rPr>
        <w:t> </w:t>
      </w:r>
      <w:r>
        <w:rPr/>
        <w:t>dezembro</w:t>
      </w:r>
      <w:r>
        <w:rPr>
          <w:spacing w:val="-36"/>
        </w:rPr>
        <w:t> </w:t>
      </w:r>
      <w:r>
        <w:rPr/>
        <w:t>de</w:t>
      </w:r>
      <w:r>
        <w:rPr>
          <w:spacing w:val="-37"/>
        </w:rPr>
        <w:t> </w:t>
      </w:r>
      <w:r>
        <w:rPr/>
        <w:t>2018,</w:t>
      </w:r>
      <w:r>
        <w:rPr>
          <w:spacing w:val="-36"/>
        </w:rPr>
        <w:t> </w:t>
      </w:r>
      <w:r>
        <w:rPr/>
        <w:t>de</w:t>
      </w:r>
      <w:r>
        <w:rPr>
          <w:spacing w:val="-36"/>
        </w:rPr>
        <w:t> </w:t>
      </w:r>
      <w:r>
        <w:rPr/>
        <w:t>retorno</w:t>
      </w:r>
      <w:r>
        <w:rPr>
          <w:spacing w:val="-35"/>
        </w:rPr>
        <w:t> </w:t>
      </w:r>
      <w:r>
        <w:rPr/>
        <w:t>nominal</w:t>
      </w:r>
      <w:r>
        <w:rPr>
          <w:spacing w:val="-35"/>
        </w:rPr>
        <w:t> </w:t>
      </w:r>
      <w:r>
        <w:rPr/>
        <w:t>de</w:t>
      </w:r>
      <w:r>
        <w:rPr>
          <w:spacing w:val="-37"/>
        </w:rPr>
        <w:t> </w:t>
      </w:r>
      <w:r>
        <w:rPr/>
        <w:t>valor</w:t>
      </w:r>
      <w:r>
        <w:rPr>
          <w:spacing w:val="-37"/>
        </w:rPr>
        <w:t> </w:t>
      </w:r>
      <w:r>
        <w:rPr/>
        <w:t>justo</w:t>
      </w:r>
      <w:r>
        <w:rPr>
          <w:spacing w:val="-36"/>
        </w:rPr>
        <w:t> </w:t>
      </w:r>
      <w:r>
        <w:rPr/>
        <w:t>dos</w:t>
      </w:r>
      <w:r>
        <w:rPr>
          <w:spacing w:val="-35"/>
        </w:rPr>
        <w:t> </w:t>
      </w:r>
      <w:r>
        <w:rPr/>
        <w:t>ativos</w:t>
      </w:r>
      <w:r>
        <w:rPr>
          <w:spacing w:val="-36"/>
        </w:rPr>
        <w:t> </w:t>
      </w:r>
      <w:r>
        <w:rPr/>
        <w:t>do</w:t>
      </w:r>
      <w:r>
        <w:rPr>
          <w:spacing w:val="-37"/>
        </w:rPr>
        <w:t> </w:t>
      </w:r>
      <w:r>
        <w:rPr/>
        <w:t>plano</w:t>
      </w:r>
      <w:r>
        <w:rPr>
          <w:spacing w:val="-35"/>
        </w:rPr>
        <w:t> </w:t>
      </w:r>
      <w:r>
        <w:rPr/>
        <w:t>e</w:t>
      </w:r>
      <w:r>
        <w:rPr>
          <w:spacing w:val="-37"/>
        </w:rPr>
        <w:t> </w:t>
      </w:r>
      <w:r>
        <w:rPr/>
        <w:t>do</w:t>
      </w:r>
      <w:r>
        <w:rPr>
          <w:spacing w:val="-35"/>
        </w:rPr>
        <w:t> </w:t>
      </w:r>
      <w:r>
        <w:rPr/>
        <w:t>custo</w:t>
      </w:r>
      <w:r>
        <w:rPr>
          <w:spacing w:val="-36"/>
        </w:rPr>
        <w:t> </w:t>
      </w:r>
      <w:r>
        <w:rPr/>
        <w:t>dos</w:t>
      </w:r>
      <w:r>
        <w:rPr>
          <w:spacing w:val="-35"/>
        </w:rPr>
        <w:t> </w:t>
      </w:r>
      <w:r>
        <w:rPr/>
        <w:t>juros foi</w:t>
      </w:r>
      <w:r>
        <w:rPr>
          <w:spacing w:val="-47"/>
        </w:rPr>
        <w:t> </w:t>
      </w:r>
      <w:r>
        <w:rPr/>
        <w:t>obtida</w:t>
      </w:r>
      <w:r>
        <w:rPr>
          <w:spacing w:val="-46"/>
        </w:rPr>
        <w:t> </w:t>
      </w:r>
      <w:r>
        <w:rPr/>
        <w:t>pelo</w:t>
      </w:r>
      <w:r>
        <w:rPr>
          <w:spacing w:val="-47"/>
        </w:rPr>
        <w:t> </w:t>
      </w:r>
      <w:r>
        <w:rPr/>
        <w:t>produto</w:t>
      </w:r>
      <w:r>
        <w:rPr>
          <w:spacing w:val="-45"/>
        </w:rPr>
        <w:t> </w:t>
      </w:r>
      <w:r>
        <w:rPr/>
        <w:t>da</w:t>
      </w:r>
      <w:r>
        <w:rPr>
          <w:spacing w:val="-46"/>
        </w:rPr>
        <w:t> </w:t>
      </w:r>
      <w:r>
        <w:rPr/>
        <w:t>taxa</w:t>
      </w:r>
      <w:r>
        <w:rPr>
          <w:spacing w:val="-47"/>
        </w:rPr>
        <w:t> </w:t>
      </w:r>
      <w:r>
        <w:rPr/>
        <w:t>esperada</w:t>
      </w:r>
      <w:r>
        <w:rPr>
          <w:spacing w:val="-45"/>
        </w:rPr>
        <w:t> </w:t>
      </w:r>
      <w:r>
        <w:rPr/>
        <w:t>da</w:t>
      </w:r>
      <w:r>
        <w:rPr>
          <w:spacing w:val="-46"/>
        </w:rPr>
        <w:t> </w:t>
      </w:r>
      <w:r>
        <w:rPr/>
        <w:t>inflação</w:t>
      </w:r>
      <w:r>
        <w:rPr>
          <w:spacing w:val="-47"/>
        </w:rPr>
        <w:t> </w:t>
      </w:r>
      <w:r>
        <w:rPr/>
        <w:t>(3,91%</w:t>
      </w:r>
      <w:r>
        <w:rPr>
          <w:spacing w:val="-46"/>
        </w:rPr>
        <w:t> </w:t>
      </w:r>
      <w:r>
        <w:rPr/>
        <w:t>a.a.)</w:t>
      </w:r>
      <w:r>
        <w:rPr>
          <w:spacing w:val="-46"/>
        </w:rPr>
        <w:t> </w:t>
      </w:r>
      <w:r>
        <w:rPr/>
        <w:t>pela</w:t>
      </w:r>
      <w:r>
        <w:rPr>
          <w:spacing w:val="-46"/>
        </w:rPr>
        <w:t> </w:t>
      </w:r>
      <w:r>
        <w:rPr/>
        <w:t>taxa</w:t>
      </w:r>
      <w:r>
        <w:rPr>
          <w:spacing w:val="-47"/>
        </w:rPr>
        <w:t> </w:t>
      </w:r>
      <w:r>
        <w:rPr/>
        <w:t>real</w:t>
      </w:r>
      <w:r>
        <w:rPr>
          <w:spacing w:val="-45"/>
        </w:rPr>
        <w:t> </w:t>
      </w:r>
      <w:r>
        <w:rPr/>
        <w:t>de</w:t>
      </w:r>
      <w:r>
        <w:rPr>
          <w:spacing w:val="-46"/>
        </w:rPr>
        <w:t> </w:t>
      </w:r>
      <w:r>
        <w:rPr/>
        <w:t>juros</w:t>
      </w:r>
      <w:r>
        <w:rPr>
          <w:spacing w:val="-47"/>
        </w:rPr>
        <w:t> </w:t>
      </w:r>
      <w:r>
        <w:rPr/>
        <w:t>(4,91</w:t>
      </w:r>
      <w:r>
        <w:rPr>
          <w:spacing w:val="-46"/>
        </w:rPr>
        <w:t> </w:t>
      </w:r>
      <w:r>
        <w:rPr/>
        <w:t>a.a.),</w:t>
      </w:r>
      <w:r>
        <w:rPr>
          <w:spacing w:val="-46"/>
        </w:rPr>
        <w:t> </w:t>
      </w:r>
      <w:r>
        <w:rPr/>
        <w:t>resultando</w:t>
      </w:r>
      <w:r>
        <w:rPr>
          <w:spacing w:val="-45"/>
        </w:rPr>
        <w:t> </w:t>
      </w:r>
      <w:r>
        <w:rPr/>
        <w:t>em</w:t>
      </w:r>
      <w:r>
        <w:rPr>
          <w:spacing w:val="-46"/>
        </w:rPr>
        <w:t> </w:t>
      </w:r>
      <w:r>
        <w:rPr/>
        <w:t>uma taxa</w:t>
      </w:r>
      <w:r>
        <w:rPr>
          <w:spacing w:val="-23"/>
        </w:rPr>
        <w:t> </w:t>
      </w:r>
      <w:r>
        <w:rPr/>
        <w:t>de</w:t>
      </w:r>
      <w:r>
        <w:rPr>
          <w:spacing w:val="-24"/>
        </w:rPr>
        <w:t> </w:t>
      </w:r>
      <w:r>
        <w:rPr/>
        <w:t>9,01%</w:t>
      </w:r>
      <w:r>
        <w:rPr>
          <w:spacing w:val="-24"/>
        </w:rPr>
        <w:t> </w:t>
      </w:r>
      <w:r>
        <w:rPr/>
        <w:t>a.a..</w:t>
      </w:r>
      <w:r>
        <w:rPr>
          <w:spacing w:val="-25"/>
        </w:rPr>
        <w:t> </w:t>
      </w:r>
      <w:r>
        <w:rPr/>
        <w:t>Essa</w:t>
      </w:r>
      <w:r>
        <w:rPr>
          <w:spacing w:val="-24"/>
        </w:rPr>
        <w:t> </w:t>
      </w:r>
      <w:r>
        <w:rPr/>
        <w:t>taxa</w:t>
      </w:r>
      <w:r>
        <w:rPr>
          <w:spacing w:val="-22"/>
        </w:rPr>
        <w:t> </w:t>
      </w:r>
      <w:r>
        <w:rPr/>
        <w:t>é</w:t>
      </w:r>
      <w:r>
        <w:rPr>
          <w:spacing w:val="-25"/>
        </w:rPr>
        <w:t> </w:t>
      </w:r>
      <w:r>
        <w:rPr/>
        <w:t>usada</w:t>
      </w:r>
      <w:r>
        <w:rPr>
          <w:spacing w:val="-24"/>
        </w:rPr>
        <w:t> </w:t>
      </w:r>
      <w:r>
        <w:rPr/>
        <w:t>para</w:t>
      </w:r>
      <w:r>
        <w:rPr>
          <w:spacing w:val="-24"/>
        </w:rPr>
        <w:t> </w:t>
      </w:r>
      <w:r>
        <w:rPr/>
        <w:t>cálculo</w:t>
      </w:r>
      <w:r>
        <w:rPr>
          <w:spacing w:val="-24"/>
        </w:rPr>
        <w:t> </w:t>
      </w:r>
      <w:r>
        <w:rPr/>
        <w:t>das</w:t>
      </w:r>
      <w:r>
        <w:rPr>
          <w:spacing w:val="-24"/>
        </w:rPr>
        <w:t> </w:t>
      </w:r>
      <w:r>
        <w:rPr/>
        <w:t>perdas</w:t>
      </w:r>
      <w:r>
        <w:rPr>
          <w:spacing w:val="-24"/>
        </w:rPr>
        <w:t> </w:t>
      </w:r>
      <w:r>
        <w:rPr/>
        <w:t>e</w:t>
      </w:r>
      <w:r>
        <w:rPr>
          <w:spacing w:val="-26"/>
        </w:rPr>
        <w:t> </w:t>
      </w:r>
      <w:r>
        <w:rPr/>
        <w:t>ganhos</w:t>
      </w:r>
      <w:r>
        <w:rPr>
          <w:spacing w:val="-23"/>
        </w:rPr>
        <w:t> </w:t>
      </w:r>
      <w:r>
        <w:rPr/>
        <w:t>atuarias</w:t>
      </w:r>
      <w:r>
        <w:rPr>
          <w:spacing w:val="-24"/>
        </w:rPr>
        <w:t> </w:t>
      </w:r>
      <w:r>
        <w:rPr/>
        <w:t>do</w:t>
      </w:r>
      <w:r>
        <w:rPr>
          <w:spacing w:val="-23"/>
        </w:rPr>
        <w:t> </w:t>
      </w:r>
      <w:r>
        <w:rPr/>
        <w:t>exercício</w:t>
      </w:r>
      <w:r>
        <w:rPr>
          <w:spacing w:val="-25"/>
        </w:rPr>
        <w:t> </w:t>
      </w:r>
      <w:r>
        <w:rPr/>
        <w:t>de</w:t>
      </w:r>
      <w:r>
        <w:rPr>
          <w:spacing w:val="-25"/>
        </w:rPr>
        <w:t> </w:t>
      </w:r>
      <w:r>
        <w:rPr/>
        <w:t>2019.</w:t>
      </w:r>
    </w:p>
    <w:p>
      <w:pPr>
        <w:pStyle w:val="BodyText"/>
        <w:spacing w:before="8"/>
      </w:pPr>
    </w:p>
    <w:p>
      <w:pPr>
        <w:pStyle w:val="BodyText"/>
        <w:spacing w:line="278" w:lineRule="auto" w:before="1"/>
        <w:ind w:left="172" w:right="422"/>
        <w:jc w:val="both"/>
      </w:pPr>
      <w:r>
        <w:rPr/>
        <w:t>A</w:t>
      </w:r>
      <w:r>
        <w:rPr>
          <w:spacing w:val="-31"/>
        </w:rPr>
        <w:t> </w:t>
      </w:r>
      <w:r>
        <w:rPr/>
        <w:t>hipótese</w:t>
      </w:r>
      <w:r>
        <w:rPr>
          <w:spacing w:val="-30"/>
        </w:rPr>
        <w:t> </w:t>
      </w:r>
      <w:r>
        <w:rPr/>
        <w:t>de</w:t>
      </w:r>
      <w:r>
        <w:rPr>
          <w:spacing w:val="-30"/>
        </w:rPr>
        <w:t> </w:t>
      </w:r>
      <w:r>
        <w:rPr/>
        <w:t>que</w:t>
      </w:r>
      <w:r>
        <w:rPr>
          <w:spacing w:val="-31"/>
        </w:rPr>
        <w:t> </w:t>
      </w:r>
      <w:r>
        <w:rPr/>
        <w:t>os</w:t>
      </w:r>
      <w:r>
        <w:rPr>
          <w:spacing w:val="-29"/>
        </w:rPr>
        <w:t> </w:t>
      </w:r>
      <w:r>
        <w:rPr/>
        <w:t>salários</w:t>
      </w:r>
      <w:r>
        <w:rPr>
          <w:spacing w:val="-31"/>
        </w:rPr>
        <w:t> </w:t>
      </w:r>
      <w:r>
        <w:rPr/>
        <w:t>crescem</w:t>
      </w:r>
      <w:r>
        <w:rPr>
          <w:spacing w:val="-30"/>
        </w:rPr>
        <w:t> </w:t>
      </w:r>
      <w:r>
        <w:rPr/>
        <w:t>apenas</w:t>
      </w:r>
      <w:r>
        <w:rPr>
          <w:spacing w:val="-29"/>
        </w:rPr>
        <w:t> </w:t>
      </w:r>
      <w:r>
        <w:rPr/>
        <w:t>pela</w:t>
      </w:r>
      <w:r>
        <w:rPr>
          <w:spacing w:val="-30"/>
        </w:rPr>
        <w:t> </w:t>
      </w:r>
      <w:r>
        <w:rPr/>
        <w:t>inflação</w:t>
      </w:r>
      <w:r>
        <w:rPr>
          <w:spacing w:val="-31"/>
        </w:rPr>
        <w:t> </w:t>
      </w:r>
      <w:r>
        <w:rPr/>
        <w:t>traduz</w:t>
      </w:r>
      <w:r>
        <w:rPr>
          <w:spacing w:val="-30"/>
        </w:rPr>
        <w:t> </w:t>
      </w:r>
      <w:r>
        <w:rPr/>
        <w:t>as</w:t>
      </w:r>
      <w:r>
        <w:rPr>
          <w:spacing w:val="-29"/>
        </w:rPr>
        <w:t> </w:t>
      </w:r>
      <w:r>
        <w:rPr/>
        <w:t>regras</w:t>
      </w:r>
      <w:r>
        <w:rPr>
          <w:spacing w:val="-30"/>
        </w:rPr>
        <w:t> </w:t>
      </w:r>
      <w:r>
        <w:rPr/>
        <w:t>do</w:t>
      </w:r>
      <w:r>
        <w:rPr>
          <w:spacing w:val="-29"/>
        </w:rPr>
        <w:t> </w:t>
      </w:r>
      <w:r>
        <w:rPr/>
        <w:t>regulamento</w:t>
      </w:r>
      <w:r>
        <w:rPr>
          <w:spacing w:val="-31"/>
        </w:rPr>
        <w:t> </w:t>
      </w:r>
      <w:r>
        <w:rPr/>
        <w:t>do</w:t>
      </w:r>
      <w:r>
        <w:rPr>
          <w:spacing w:val="-31"/>
        </w:rPr>
        <w:t> </w:t>
      </w:r>
      <w:r>
        <w:rPr/>
        <w:t>plano</w:t>
      </w:r>
      <w:r>
        <w:rPr>
          <w:spacing w:val="-31"/>
        </w:rPr>
        <w:t> </w:t>
      </w:r>
      <w:r>
        <w:rPr/>
        <w:t>de</w:t>
      </w:r>
      <w:r>
        <w:rPr>
          <w:spacing w:val="-29"/>
        </w:rPr>
        <w:t> </w:t>
      </w:r>
      <w:r>
        <w:rPr/>
        <w:t>benefícios, que</w:t>
      </w:r>
      <w:r>
        <w:rPr>
          <w:spacing w:val="-18"/>
        </w:rPr>
        <w:t> </w:t>
      </w:r>
      <w:r>
        <w:rPr/>
        <w:t>não</w:t>
      </w:r>
      <w:r>
        <w:rPr>
          <w:spacing w:val="-16"/>
        </w:rPr>
        <w:t> </w:t>
      </w:r>
      <w:r>
        <w:rPr/>
        <w:t>preveem</w:t>
      </w:r>
      <w:r>
        <w:rPr>
          <w:spacing w:val="-19"/>
        </w:rPr>
        <w:t> </w:t>
      </w:r>
      <w:r>
        <w:rPr/>
        <w:t>crescimentos</w:t>
      </w:r>
      <w:r>
        <w:rPr>
          <w:spacing w:val="-18"/>
        </w:rPr>
        <w:t> </w:t>
      </w:r>
      <w:r>
        <w:rPr/>
        <w:t>reais</w:t>
      </w:r>
      <w:r>
        <w:rPr>
          <w:spacing w:val="-18"/>
        </w:rPr>
        <w:t> </w:t>
      </w:r>
      <w:r>
        <w:rPr/>
        <w:t>de</w:t>
      </w:r>
      <w:r>
        <w:rPr>
          <w:spacing w:val="-21"/>
        </w:rPr>
        <w:t> </w:t>
      </w:r>
      <w:r>
        <w:rPr/>
        <w:t>salários.</w:t>
      </w:r>
    </w:p>
    <w:p>
      <w:pPr>
        <w:spacing w:after="0" w:line="278" w:lineRule="auto"/>
        <w:jc w:val="both"/>
        <w:sectPr>
          <w:pgSz w:w="11910" w:h="16850"/>
          <w:pgMar w:header="792" w:footer="1029" w:top="136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78" w:lineRule="auto" w:before="14"/>
        <w:ind w:left="172" w:right="410"/>
        <w:jc w:val="both"/>
      </w:pPr>
      <w:r>
        <w:rPr/>
        <w:t>Os resultados desta avaliação atuarial demostraram que o Plano Complementar de Benefícios Previdenciais apresentou um passivo líquido atuarial de R$ 386.110, sendo de responsabilidade da empresa o montante de R$100.582, que corresponde a 26,05% do passivo líquido total.</w:t>
      </w:r>
    </w:p>
    <w:p>
      <w:pPr>
        <w:pStyle w:val="BodyText"/>
        <w:spacing w:before="11"/>
      </w:pPr>
    </w:p>
    <w:p>
      <w:pPr>
        <w:pStyle w:val="BodyText"/>
        <w:spacing w:line="278" w:lineRule="auto"/>
        <w:ind w:left="172" w:right="408"/>
        <w:jc w:val="both"/>
      </w:pPr>
      <w:r>
        <w:rPr/>
        <w:t>O</w:t>
      </w:r>
      <w:r>
        <w:rPr>
          <w:spacing w:val="-39"/>
        </w:rPr>
        <w:t> </w:t>
      </w:r>
      <w:r>
        <w:rPr/>
        <w:t>plano</w:t>
      </w:r>
      <w:r>
        <w:rPr>
          <w:spacing w:val="-36"/>
        </w:rPr>
        <w:t> </w:t>
      </w:r>
      <w:r>
        <w:rPr/>
        <w:t>que</w:t>
      </w:r>
      <w:r>
        <w:rPr>
          <w:spacing w:val="-37"/>
        </w:rPr>
        <w:t> </w:t>
      </w:r>
      <w:r>
        <w:rPr/>
        <w:t>gera</w:t>
      </w:r>
      <w:r>
        <w:rPr>
          <w:spacing w:val="-38"/>
        </w:rPr>
        <w:t> </w:t>
      </w:r>
      <w:r>
        <w:rPr/>
        <w:t>passivo</w:t>
      </w:r>
      <w:r>
        <w:rPr>
          <w:spacing w:val="-38"/>
        </w:rPr>
        <w:t> </w:t>
      </w:r>
      <w:r>
        <w:rPr/>
        <w:t>com</w:t>
      </w:r>
      <w:r>
        <w:rPr>
          <w:spacing w:val="-38"/>
        </w:rPr>
        <w:t> </w:t>
      </w:r>
      <w:r>
        <w:rPr/>
        <w:t>benefícios</w:t>
      </w:r>
      <w:r>
        <w:rPr>
          <w:spacing w:val="-36"/>
        </w:rPr>
        <w:t> </w:t>
      </w:r>
      <w:r>
        <w:rPr/>
        <w:t>pós-emprego</w:t>
      </w:r>
      <w:r>
        <w:rPr>
          <w:spacing w:val="-37"/>
        </w:rPr>
        <w:t> </w:t>
      </w:r>
      <w:r>
        <w:rPr/>
        <w:t>é</w:t>
      </w:r>
      <w:r>
        <w:rPr>
          <w:spacing w:val="-36"/>
        </w:rPr>
        <w:t> </w:t>
      </w:r>
      <w:r>
        <w:rPr/>
        <w:t>o</w:t>
      </w:r>
      <w:r>
        <w:rPr>
          <w:spacing w:val="-38"/>
        </w:rPr>
        <w:t> </w:t>
      </w:r>
      <w:r>
        <w:rPr/>
        <w:t>Plano</w:t>
      </w:r>
      <w:r>
        <w:rPr>
          <w:spacing w:val="-37"/>
        </w:rPr>
        <w:t> </w:t>
      </w:r>
      <w:r>
        <w:rPr/>
        <w:t>Complementar</w:t>
      </w:r>
      <w:r>
        <w:rPr>
          <w:spacing w:val="-37"/>
        </w:rPr>
        <w:t> </w:t>
      </w:r>
      <w:r>
        <w:rPr/>
        <w:t>de</w:t>
      </w:r>
      <w:r>
        <w:rPr>
          <w:spacing w:val="-39"/>
        </w:rPr>
        <w:t> </w:t>
      </w:r>
      <w:r>
        <w:rPr/>
        <w:t>Benefícios</w:t>
      </w:r>
      <w:r>
        <w:rPr>
          <w:spacing w:val="-36"/>
        </w:rPr>
        <w:t> </w:t>
      </w:r>
      <w:r>
        <w:rPr/>
        <w:t>Previdenciais,</w:t>
      </w:r>
      <w:r>
        <w:rPr>
          <w:spacing w:val="-37"/>
        </w:rPr>
        <w:t> </w:t>
      </w:r>
      <w:r>
        <w:rPr/>
        <w:t>uma</w:t>
      </w:r>
      <w:r>
        <w:rPr>
          <w:spacing w:val="-36"/>
        </w:rPr>
        <w:t> </w:t>
      </w:r>
      <w:r>
        <w:rPr/>
        <w:t>vez plano CEBPREV é um plano de contribuição definida e os planos CEB-ASSISTENCIAL e CEBSAÚDE não têm responsabilidade</w:t>
      </w:r>
      <w:r>
        <w:rPr>
          <w:spacing w:val="-25"/>
        </w:rPr>
        <w:t> </w:t>
      </w:r>
      <w:r>
        <w:rPr/>
        <w:t>das</w:t>
      </w:r>
      <w:r>
        <w:rPr>
          <w:spacing w:val="-22"/>
        </w:rPr>
        <w:t> </w:t>
      </w:r>
      <w:r>
        <w:rPr/>
        <w:t>patrocinadoras</w:t>
      </w:r>
      <w:r>
        <w:rPr>
          <w:spacing w:val="-23"/>
        </w:rPr>
        <w:t> </w:t>
      </w:r>
      <w:r>
        <w:rPr/>
        <w:t>sobre</w:t>
      </w:r>
      <w:r>
        <w:rPr>
          <w:spacing w:val="-23"/>
        </w:rPr>
        <w:t> </w:t>
      </w:r>
      <w:r>
        <w:rPr/>
        <w:t>benefícios</w:t>
      </w:r>
      <w:r>
        <w:rPr>
          <w:spacing w:val="-21"/>
        </w:rPr>
        <w:t> </w:t>
      </w:r>
      <w:r>
        <w:rPr/>
        <w:t>mantidos</w:t>
      </w:r>
      <w:r>
        <w:rPr>
          <w:spacing w:val="-22"/>
        </w:rPr>
        <w:t> </w:t>
      </w:r>
      <w:r>
        <w:rPr/>
        <w:t>para</w:t>
      </w:r>
      <w:r>
        <w:rPr>
          <w:spacing w:val="-23"/>
        </w:rPr>
        <w:t> </w:t>
      </w:r>
      <w:r>
        <w:rPr/>
        <w:t>os</w:t>
      </w:r>
      <w:r>
        <w:rPr>
          <w:spacing w:val="-19"/>
        </w:rPr>
        <w:t> </w:t>
      </w:r>
      <w:r>
        <w:rPr/>
        <w:t>aposentados</w:t>
      </w:r>
      <w:r>
        <w:rPr>
          <w:spacing w:val="-22"/>
        </w:rPr>
        <w:t> </w:t>
      </w:r>
      <w:r>
        <w:rPr/>
        <w:t>e</w:t>
      </w:r>
      <w:r>
        <w:rPr>
          <w:spacing w:val="-22"/>
        </w:rPr>
        <w:t> </w:t>
      </w:r>
      <w:r>
        <w:rPr/>
        <w:t>pensionistas.</w:t>
      </w:r>
    </w:p>
    <w:p>
      <w:pPr>
        <w:pStyle w:val="BodyText"/>
        <w:spacing w:before="6"/>
      </w:pPr>
    </w:p>
    <w:p>
      <w:pPr>
        <w:pStyle w:val="Heading5"/>
        <w:numPr>
          <w:ilvl w:val="2"/>
          <w:numId w:val="34"/>
        </w:numPr>
        <w:tabs>
          <w:tab w:pos="1026" w:val="left" w:leader="none"/>
        </w:tabs>
        <w:spacing w:line="240" w:lineRule="auto" w:before="0" w:after="0"/>
        <w:ind w:left="1025" w:right="0" w:hanging="854"/>
        <w:jc w:val="left"/>
      </w:pPr>
      <w:r>
        <w:rPr/>
        <w:t>Equacionamentos</w:t>
      </w:r>
    </w:p>
    <w:p>
      <w:pPr>
        <w:pStyle w:val="BodyText"/>
        <w:spacing w:before="10"/>
        <w:rPr>
          <w:rFonts w:ascii="Caladea"/>
          <w:b/>
          <w:sz w:val="23"/>
        </w:rPr>
      </w:pPr>
    </w:p>
    <w:p>
      <w:pPr>
        <w:pStyle w:val="BodyText"/>
        <w:spacing w:line="278" w:lineRule="auto"/>
        <w:ind w:left="172" w:right="412"/>
        <w:jc w:val="both"/>
      </w:pPr>
      <w:r>
        <w:rPr/>
        <w:t>De</w:t>
      </w:r>
      <w:r>
        <w:rPr>
          <w:spacing w:val="-26"/>
        </w:rPr>
        <w:t> </w:t>
      </w:r>
      <w:r>
        <w:rPr/>
        <w:t>acordo</w:t>
      </w:r>
      <w:r>
        <w:rPr>
          <w:spacing w:val="-26"/>
        </w:rPr>
        <w:t> </w:t>
      </w:r>
      <w:r>
        <w:rPr/>
        <w:t>com</w:t>
      </w:r>
      <w:r>
        <w:rPr>
          <w:spacing w:val="-23"/>
        </w:rPr>
        <w:t> </w:t>
      </w:r>
      <w:r>
        <w:rPr/>
        <w:t>os</w:t>
      </w:r>
      <w:r>
        <w:rPr>
          <w:spacing w:val="-25"/>
        </w:rPr>
        <w:t> </w:t>
      </w:r>
      <w:r>
        <w:rPr/>
        <w:t>estudos</w:t>
      </w:r>
      <w:r>
        <w:rPr>
          <w:spacing w:val="-25"/>
        </w:rPr>
        <w:t> </w:t>
      </w:r>
      <w:r>
        <w:rPr/>
        <w:t>atuariais</w:t>
      </w:r>
      <w:r>
        <w:rPr>
          <w:spacing w:val="-25"/>
        </w:rPr>
        <w:t> </w:t>
      </w:r>
      <w:r>
        <w:rPr/>
        <w:t>preparados</w:t>
      </w:r>
      <w:r>
        <w:rPr>
          <w:spacing w:val="-25"/>
        </w:rPr>
        <w:t> </w:t>
      </w:r>
      <w:r>
        <w:rPr/>
        <w:t>pela</w:t>
      </w:r>
      <w:r>
        <w:rPr>
          <w:spacing w:val="-25"/>
        </w:rPr>
        <w:t> </w:t>
      </w:r>
      <w:r>
        <w:rPr/>
        <w:t>FACEB,</w:t>
      </w:r>
      <w:r>
        <w:rPr>
          <w:spacing w:val="-26"/>
        </w:rPr>
        <w:t> </w:t>
      </w:r>
      <w:r>
        <w:rPr/>
        <w:t>referente</w:t>
      </w:r>
      <w:r>
        <w:rPr>
          <w:spacing w:val="-26"/>
        </w:rPr>
        <w:t> </w:t>
      </w:r>
      <w:r>
        <w:rPr/>
        <w:t>ao</w:t>
      </w:r>
      <w:r>
        <w:rPr>
          <w:spacing w:val="-24"/>
        </w:rPr>
        <w:t> </w:t>
      </w:r>
      <w:r>
        <w:rPr/>
        <w:t>exercício</w:t>
      </w:r>
      <w:r>
        <w:rPr>
          <w:spacing w:val="-23"/>
        </w:rPr>
        <w:t> </w:t>
      </w:r>
      <w:r>
        <w:rPr/>
        <w:t>de</w:t>
      </w:r>
      <w:r>
        <w:rPr>
          <w:spacing w:val="-27"/>
        </w:rPr>
        <w:t> </w:t>
      </w:r>
      <w:r>
        <w:rPr/>
        <w:t>2016</w:t>
      </w:r>
      <w:r>
        <w:rPr>
          <w:spacing w:val="-23"/>
        </w:rPr>
        <w:t> </w:t>
      </w:r>
      <w:r>
        <w:rPr/>
        <w:t>e</w:t>
      </w:r>
      <w:r>
        <w:rPr>
          <w:spacing w:val="-26"/>
        </w:rPr>
        <w:t> </w:t>
      </w:r>
      <w:r>
        <w:rPr/>
        <w:t>2017</w:t>
      </w:r>
      <w:r>
        <w:rPr>
          <w:spacing w:val="-24"/>
        </w:rPr>
        <w:t> </w:t>
      </w:r>
      <w:r>
        <w:rPr/>
        <w:t>respaldados</w:t>
      </w:r>
      <w:r>
        <w:rPr>
          <w:spacing w:val="-25"/>
        </w:rPr>
        <w:t> </w:t>
      </w:r>
      <w:r>
        <w:rPr/>
        <w:t>por </w:t>
      </w:r>
      <w:r>
        <w:rPr>
          <w:w w:val="97"/>
        </w:rPr>
        <w:t>Pa</w:t>
      </w:r>
      <w:r>
        <w:rPr>
          <w:spacing w:val="-1"/>
          <w:w w:val="105"/>
        </w:rPr>
        <w:t>r</w:t>
      </w:r>
      <w:r>
        <w:rPr>
          <w:spacing w:val="-2"/>
          <w:w w:val="89"/>
        </w:rPr>
        <w:t>e</w:t>
      </w:r>
      <w:r>
        <w:rPr>
          <w:spacing w:val="3"/>
          <w:w w:val="88"/>
        </w:rPr>
        <w:t>c</w:t>
      </w:r>
      <w:r>
        <w:rPr>
          <w:spacing w:val="-2"/>
          <w:w w:val="89"/>
        </w:rPr>
        <w:t>e</w:t>
      </w:r>
      <w:r>
        <w:rPr>
          <w:spacing w:val="1"/>
          <w:w w:val="105"/>
        </w:rPr>
        <w:t>r</w:t>
      </w:r>
      <w:r>
        <w:rPr>
          <w:spacing w:val="-2"/>
          <w:w w:val="89"/>
        </w:rPr>
        <w:t>e</w:t>
      </w:r>
      <w:r>
        <w:rPr>
          <w:w w:val="105"/>
        </w:rPr>
        <w:t>s</w:t>
      </w:r>
      <w:r>
        <w:rPr>
          <w:spacing w:val="-10"/>
        </w:rPr>
        <w:t> </w:t>
      </w:r>
      <w:r>
        <w:rPr>
          <w:w w:val="105"/>
        </w:rPr>
        <w:t>A</w:t>
      </w:r>
      <w:r>
        <w:rPr>
          <w:spacing w:val="-1"/>
          <w:w w:val="93"/>
        </w:rPr>
        <w:t>tu</w:t>
      </w:r>
      <w:r>
        <w:rPr>
          <w:spacing w:val="1"/>
          <w:w w:val="93"/>
        </w:rPr>
        <w:t>a</w:t>
      </w:r>
      <w:r>
        <w:rPr>
          <w:spacing w:val="-1"/>
          <w:w w:val="105"/>
        </w:rPr>
        <w:t>r</w:t>
      </w:r>
      <w:r>
        <w:rPr>
          <w:w w:val="94"/>
        </w:rPr>
        <w:t>ia</w:t>
      </w:r>
      <w:r>
        <w:rPr>
          <w:w w:val="102"/>
        </w:rPr>
        <w:t>is</w:t>
      </w:r>
      <w:r>
        <w:rPr>
          <w:spacing w:val="-8"/>
        </w:rPr>
        <w:t> </w:t>
      </w:r>
      <w:r>
        <w:rPr>
          <w:w w:val="95"/>
        </w:rPr>
        <w:t>da</w:t>
      </w:r>
      <w:r>
        <w:rPr>
          <w:spacing w:val="-10"/>
        </w:rPr>
        <w:t> </w:t>
      </w:r>
      <w:r>
        <w:rPr>
          <w:w w:val="114"/>
        </w:rPr>
        <w:t>M</w:t>
      </w:r>
      <w:r>
        <w:rPr>
          <w:w w:val="106"/>
        </w:rPr>
        <w:t>E</w:t>
      </w:r>
      <w:r>
        <w:rPr>
          <w:spacing w:val="3"/>
          <w:w w:val="106"/>
        </w:rPr>
        <w:t>R</w:t>
      </w:r>
      <w:r>
        <w:rPr>
          <w:w w:val="93"/>
        </w:rPr>
        <w:t>C</w:t>
      </w:r>
      <w:r>
        <w:rPr>
          <w:w w:val="106"/>
        </w:rPr>
        <w:t>E</w:t>
      </w:r>
      <w:r>
        <w:rPr>
          <w:w w:val="106"/>
        </w:rPr>
        <w:t>R</w:t>
      </w:r>
      <w:r>
        <w:rPr>
          <w:spacing w:val="-10"/>
        </w:rPr>
        <w:t> </w:t>
      </w:r>
      <w:r>
        <w:rPr>
          <w:w w:val="89"/>
        </w:rPr>
        <w:t>G</w:t>
      </w:r>
      <w:r>
        <w:rPr>
          <w:w w:val="105"/>
        </w:rPr>
        <w:t>A</w:t>
      </w:r>
      <w:r>
        <w:rPr>
          <w:w w:val="114"/>
        </w:rPr>
        <w:t>M</w:t>
      </w:r>
      <w:r>
        <w:rPr>
          <w:w w:val="105"/>
        </w:rPr>
        <w:t>A</w:t>
      </w:r>
      <w:r>
        <w:rPr>
          <w:w w:val="55"/>
        </w:rPr>
        <w:t>,</w:t>
      </w:r>
      <w:r>
        <w:rPr>
          <w:spacing w:val="-11"/>
        </w:rPr>
        <w:t> </w:t>
      </w:r>
      <w:r>
        <w:rPr>
          <w:w w:val="98"/>
        </w:rPr>
        <w:t>o</w:t>
      </w:r>
      <w:r>
        <w:rPr>
          <w:spacing w:val="-11"/>
        </w:rPr>
        <w:t> </w:t>
      </w:r>
      <w:r>
        <w:rPr>
          <w:spacing w:val="2"/>
          <w:w w:val="99"/>
        </w:rPr>
        <w:t>d</w:t>
      </w:r>
      <w:r>
        <w:rPr>
          <w:spacing w:val="-2"/>
          <w:w w:val="89"/>
        </w:rPr>
        <w:t>e</w:t>
      </w:r>
      <w:r>
        <w:rPr>
          <w:w w:val="89"/>
        </w:rPr>
        <w:t>ficit</w:t>
      </w:r>
      <w:r>
        <w:rPr>
          <w:spacing w:val="-8"/>
        </w:rPr>
        <w:t> </w:t>
      </w:r>
      <w:r>
        <w:rPr>
          <w:w w:val="99"/>
        </w:rPr>
        <w:t>m</w:t>
      </w:r>
      <w:r>
        <w:rPr>
          <w:spacing w:val="1"/>
          <w:w w:val="99"/>
        </w:rPr>
        <w:t>í</w:t>
      </w:r>
      <w:r>
        <w:rPr>
          <w:spacing w:val="-1"/>
          <w:w w:val="101"/>
        </w:rPr>
        <w:t>n</w:t>
      </w:r>
      <w:r>
        <w:rPr>
          <w:w w:val="99"/>
        </w:rPr>
        <w:t>i</w:t>
      </w:r>
      <w:r>
        <w:rPr>
          <w:spacing w:val="1"/>
          <w:w w:val="99"/>
        </w:rPr>
        <w:t>m</w:t>
      </w:r>
      <w:r>
        <w:rPr>
          <w:w w:val="98"/>
        </w:rPr>
        <w:t>o</w:t>
      </w:r>
      <w:r>
        <w:rPr>
          <w:spacing w:val="-9"/>
        </w:rPr>
        <w:t> </w:t>
      </w:r>
      <w:r>
        <w:rPr>
          <w:w w:val="92"/>
        </w:rPr>
        <w:t>a</w:t>
      </w:r>
      <w:r>
        <w:rPr>
          <w:spacing w:val="-10"/>
        </w:rPr>
        <w:t> </w:t>
      </w:r>
      <w:r>
        <w:rPr>
          <w:spacing w:val="1"/>
          <w:w w:val="89"/>
        </w:rPr>
        <w:t>e</w:t>
      </w:r>
      <w:r>
        <w:rPr>
          <w:spacing w:val="6"/>
          <w:w w:val="97"/>
        </w:rPr>
        <w:t>q</w:t>
      </w:r>
      <w:r>
        <w:rPr>
          <w:spacing w:val="-1"/>
          <w:w w:val="96"/>
        </w:rPr>
        <w:t>u</w:t>
      </w:r>
      <w:r>
        <w:rPr>
          <w:spacing w:val="1"/>
          <w:w w:val="96"/>
        </w:rPr>
        <w:t>a</w:t>
      </w:r>
      <w:r>
        <w:rPr>
          <w:w w:val="88"/>
        </w:rPr>
        <w:t>c</w:t>
      </w:r>
      <w:r>
        <w:rPr>
          <w:w w:val="99"/>
        </w:rPr>
        <w:t>io</w:t>
      </w:r>
      <w:r>
        <w:rPr>
          <w:spacing w:val="-2"/>
          <w:w w:val="99"/>
        </w:rPr>
        <w:t>n</w:t>
      </w:r>
      <w:r>
        <w:rPr>
          <w:w w:val="92"/>
        </w:rPr>
        <w:t>a</w:t>
      </w:r>
      <w:r>
        <w:rPr>
          <w:w w:val="105"/>
        </w:rPr>
        <w:t>r</w:t>
      </w:r>
      <w:r>
        <w:rPr>
          <w:spacing w:val="-9"/>
        </w:rPr>
        <w:t> </w:t>
      </w:r>
      <w:r>
        <w:rPr>
          <w:spacing w:val="1"/>
          <w:w w:val="99"/>
        </w:rPr>
        <w:t>p</w:t>
      </w:r>
      <w:r>
        <w:rPr>
          <w:spacing w:val="-2"/>
          <w:w w:val="89"/>
        </w:rPr>
        <w:t>e</w:t>
      </w:r>
      <w:r>
        <w:rPr>
          <w:w w:val="91"/>
        </w:rPr>
        <w:t>l</w:t>
      </w:r>
      <w:r>
        <w:rPr>
          <w:w w:val="92"/>
        </w:rPr>
        <w:t>a</w:t>
      </w:r>
      <w:r>
        <w:rPr>
          <w:spacing w:val="-10"/>
        </w:rPr>
        <w:t> </w:t>
      </w:r>
      <w:r>
        <w:rPr>
          <w:spacing w:val="-1"/>
          <w:w w:val="96"/>
        </w:rPr>
        <w:t>p</w:t>
      </w:r>
      <w:r>
        <w:rPr>
          <w:w w:val="96"/>
        </w:rPr>
        <w:t>a</w:t>
      </w:r>
      <w:r>
        <w:rPr>
          <w:spacing w:val="-1"/>
          <w:w w:val="95"/>
        </w:rPr>
        <w:t>t</w:t>
      </w:r>
      <w:r>
        <w:rPr>
          <w:spacing w:val="1"/>
          <w:w w:val="95"/>
        </w:rPr>
        <w:t>r</w:t>
      </w:r>
      <w:r>
        <w:rPr>
          <w:w w:val="93"/>
        </w:rPr>
        <w:t>oc</w:t>
      </w:r>
      <w:r>
        <w:rPr>
          <w:w w:val="100"/>
        </w:rPr>
        <w:t>i</w:t>
      </w:r>
      <w:r>
        <w:rPr>
          <w:spacing w:val="-1"/>
          <w:w w:val="100"/>
        </w:rPr>
        <w:t>n</w:t>
      </w:r>
      <w:r>
        <w:rPr>
          <w:spacing w:val="3"/>
          <w:w w:val="92"/>
        </w:rPr>
        <w:t>a</w:t>
      </w:r>
      <w:r>
        <w:rPr>
          <w:w w:val="100"/>
        </w:rPr>
        <w:t>do</w:t>
      </w:r>
      <w:r>
        <w:rPr>
          <w:spacing w:val="-2"/>
          <w:w w:val="100"/>
        </w:rPr>
        <w:t>r</w:t>
      </w:r>
      <w:r>
        <w:rPr>
          <w:w w:val="92"/>
        </w:rPr>
        <w:t>a</w:t>
      </w:r>
      <w:r>
        <w:rPr>
          <w:w w:val="55"/>
        </w:rPr>
        <w:t>,</w:t>
      </w:r>
      <w:r>
        <w:rPr>
          <w:spacing w:val="-8"/>
        </w:rPr>
        <w:t> </w:t>
      </w:r>
      <w:r>
        <w:rPr>
          <w:spacing w:val="-1"/>
          <w:w w:val="96"/>
        </w:rPr>
        <w:t>p</w:t>
      </w:r>
      <w:r>
        <w:rPr>
          <w:w w:val="96"/>
        </w:rPr>
        <w:t>a</w:t>
      </w:r>
      <w:r>
        <w:rPr>
          <w:spacing w:val="-1"/>
          <w:w w:val="105"/>
        </w:rPr>
        <w:t>r</w:t>
      </w:r>
      <w:r>
        <w:rPr>
          <w:spacing w:val="-1"/>
          <w:w w:val="89"/>
        </w:rPr>
        <w:t>ti</w:t>
      </w:r>
      <w:r>
        <w:rPr>
          <w:w w:val="89"/>
        </w:rPr>
        <w:t>c</w:t>
      </w:r>
      <w:r>
        <w:rPr>
          <w:w w:val="96"/>
        </w:rPr>
        <w:t>ip</w:t>
      </w:r>
      <w:r>
        <w:rPr>
          <w:spacing w:val="2"/>
          <w:w w:val="96"/>
        </w:rPr>
        <w:t>a</w:t>
      </w:r>
      <w:r>
        <w:rPr>
          <w:spacing w:val="-1"/>
          <w:w w:val="101"/>
        </w:rPr>
        <w:t>n</w:t>
      </w:r>
      <w:r>
        <w:rPr>
          <w:spacing w:val="-1"/>
          <w:w w:val="87"/>
        </w:rPr>
        <w:t>t</w:t>
      </w:r>
      <w:r>
        <w:rPr>
          <w:spacing w:val="-2"/>
          <w:w w:val="87"/>
        </w:rPr>
        <w:t>e</w:t>
      </w:r>
      <w:r>
        <w:rPr>
          <w:w w:val="105"/>
        </w:rPr>
        <w:t>s</w:t>
      </w:r>
      <w:r>
        <w:rPr>
          <w:spacing w:val="-7"/>
        </w:rPr>
        <w:t> </w:t>
      </w:r>
      <w:r>
        <w:rPr>
          <w:w w:val="89"/>
        </w:rPr>
        <w:t>e</w:t>
      </w:r>
      <w:r>
        <w:rPr>
          <w:spacing w:val="-10"/>
        </w:rPr>
        <w:t> </w:t>
      </w:r>
      <w:r>
        <w:rPr>
          <w:w w:val="92"/>
        </w:rPr>
        <w:t>a</w:t>
      </w:r>
      <w:r>
        <w:rPr>
          <w:w w:val="105"/>
        </w:rPr>
        <w:t>ss</w:t>
      </w:r>
      <w:r>
        <w:rPr>
          <w:w w:val="98"/>
        </w:rPr>
        <w:t>istidos </w:t>
      </w:r>
      <w:r>
        <w:rPr/>
        <w:t>foi</w:t>
      </w:r>
      <w:r>
        <w:rPr>
          <w:spacing w:val="-21"/>
        </w:rPr>
        <w:t> </w:t>
      </w:r>
      <w:r>
        <w:rPr/>
        <w:t>de</w:t>
      </w:r>
      <w:r>
        <w:rPr>
          <w:spacing w:val="-21"/>
        </w:rPr>
        <w:t> </w:t>
      </w:r>
      <w:r>
        <w:rPr/>
        <w:t>R$</w:t>
      </w:r>
      <w:r>
        <w:rPr>
          <w:spacing w:val="-17"/>
        </w:rPr>
        <w:t> </w:t>
      </w:r>
      <w:r>
        <w:rPr/>
        <w:t>33,2</w:t>
      </w:r>
      <w:r>
        <w:rPr>
          <w:spacing w:val="-17"/>
        </w:rPr>
        <w:t> </w:t>
      </w:r>
      <w:r>
        <w:rPr/>
        <w:t>milhões,</w:t>
      </w:r>
      <w:r>
        <w:rPr>
          <w:spacing w:val="-17"/>
        </w:rPr>
        <w:t> </w:t>
      </w:r>
      <w:r>
        <w:rPr/>
        <w:t>R$</w:t>
      </w:r>
      <w:r>
        <w:rPr>
          <w:spacing w:val="-20"/>
        </w:rPr>
        <w:t> </w:t>
      </w:r>
      <w:r>
        <w:rPr/>
        <w:t>25,6</w:t>
      </w:r>
      <w:r>
        <w:rPr>
          <w:spacing w:val="-19"/>
        </w:rPr>
        <w:t> </w:t>
      </w:r>
      <w:r>
        <w:rPr/>
        <w:t>milhões,</w:t>
      </w:r>
      <w:r>
        <w:rPr>
          <w:spacing w:val="-20"/>
        </w:rPr>
        <w:t> </w:t>
      </w:r>
      <w:r>
        <w:rPr/>
        <w:t>respectivamente.</w:t>
      </w:r>
    </w:p>
    <w:p>
      <w:pPr>
        <w:pStyle w:val="BodyText"/>
        <w:spacing w:line="280" w:lineRule="auto" w:before="121"/>
        <w:ind w:left="172" w:right="418"/>
        <w:jc w:val="both"/>
      </w:pPr>
      <w:r>
        <w:rPr/>
        <w:t>O</w:t>
      </w:r>
      <w:r>
        <w:rPr>
          <w:spacing w:val="-29"/>
        </w:rPr>
        <w:t> </w:t>
      </w:r>
      <w:r>
        <w:rPr/>
        <w:t>referido</w:t>
      </w:r>
      <w:r>
        <w:rPr>
          <w:spacing w:val="-27"/>
        </w:rPr>
        <w:t> </w:t>
      </w:r>
      <w:r>
        <w:rPr/>
        <w:t>resultado</w:t>
      </w:r>
      <w:r>
        <w:rPr>
          <w:spacing w:val="-28"/>
        </w:rPr>
        <w:t> </w:t>
      </w:r>
      <w:r>
        <w:rPr/>
        <w:t>motivou</w:t>
      </w:r>
      <w:r>
        <w:rPr>
          <w:spacing w:val="-27"/>
        </w:rPr>
        <w:t> </w:t>
      </w:r>
      <w:r>
        <w:rPr/>
        <w:t>a</w:t>
      </w:r>
      <w:r>
        <w:rPr>
          <w:spacing w:val="-27"/>
        </w:rPr>
        <w:t> </w:t>
      </w:r>
      <w:r>
        <w:rPr/>
        <w:t>realização</w:t>
      </w:r>
      <w:r>
        <w:rPr>
          <w:spacing w:val="-28"/>
        </w:rPr>
        <w:t> </w:t>
      </w:r>
      <w:r>
        <w:rPr/>
        <w:t>dos</w:t>
      </w:r>
      <w:r>
        <w:rPr>
          <w:spacing w:val="-27"/>
        </w:rPr>
        <w:t> </w:t>
      </w:r>
      <w:r>
        <w:rPr/>
        <w:t>contratos</w:t>
      </w:r>
      <w:r>
        <w:rPr>
          <w:spacing w:val="-27"/>
        </w:rPr>
        <w:t> </w:t>
      </w:r>
      <w:r>
        <w:rPr/>
        <w:t>de</w:t>
      </w:r>
      <w:r>
        <w:rPr>
          <w:spacing w:val="-29"/>
        </w:rPr>
        <w:t> </w:t>
      </w:r>
      <w:r>
        <w:rPr/>
        <w:t>Equacionamentos</w:t>
      </w:r>
      <w:r>
        <w:rPr>
          <w:spacing w:val="-27"/>
        </w:rPr>
        <w:t> </w:t>
      </w:r>
      <w:r>
        <w:rPr/>
        <w:t>de</w:t>
      </w:r>
      <w:r>
        <w:rPr>
          <w:spacing w:val="-27"/>
        </w:rPr>
        <w:t> </w:t>
      </w:r>
      <w:r>
        <w:rPr/>
        <w:t>Déficits</w:t>
      </w:r>
      <w:r>
        <w:rPr>
          <w:spacing w:val="-27"/>
        </w:rPr>
        <w:t> </w:t>
      </w:r>
      <w:r>
        <w:rPr/>
        <w:t>de</w:t>
      </w:r>
      <w:r>
        <w:rPr>
          <w:spacing w:val="-28"/>
        </w:rPr>
        <w:t> </w:t>
      </w:r>
      <w:r>
        <w:rPr/>
        <w:t>2016</w:t>
      </w:r>
      <w:r>
        <w:rPr>
          <w:spacing w:val="-26"/>
        </w:rPr>
        <w:t> </w:t>
      </w:r>
      <w:r>
        <w:rPr/>
        <w:t>e</w:t>
      </w:r>
      <w:r>
        <w:rPr>
          <w:spacing w:val="-28"/>
        </w:rPr>
        <w:t> </w:t>
      </w:r>
      <w:r>
        <w:rPr/>
        <w:t>2017,</w:t>
      </w:r>
      <w:r>
        <w:rPr>
          <w:spacing w:val="-28"/>
        </w:rPr>
        <w:t> </w:t>
      </w:r>
      <w:r>
        <w:rPr/>
        <w:t>conforme demonstrado a</w:t>
      </w:r>
      <w:r>
        <w:rPr>
          <w:spacing w:val="-36"/>
        </w:rPr>
        <w:t> </w:t>
      </w:r>
      <w:r>
        <w:rPr/>
        <w:t>seguir:</w:t>
      </w:r>
    </w:p>
    <w:p>
      <w:pPr>
        <w:pStyle w:val="BodyText"/>
        <w:spacing w:before="10" w:after="1"/>
        <w:rPr>
          <w:sz w:val="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9"/>
        <w:gridCol w:w="1417"/>
        <w:gridCol w:w="1416"/>
        <w:gridCol w:w="1416"/>
        <w:gridCol w:w="1416"/>
        <w:gridCol w:w="1417"/>
        <w:gridCol w:w="1416"/>
      </w:tblGrid>
      <w:tr>
        <w:trPr>
          <w:trHeight w:val="422" w:hRule="atLeast"/>
        </w:trPr>
        <w:tc>
          <w:tcPr>
            <w:tcW w:w="1419" w:type="dxa"/>
            <w:shd w:val="clear" w:color="auto" w:fill="D9D9D9"/>
          </w:tcPr>
          <w:p>
            <w:pPr>
              <w:pStyle w:val="TableParagraph"/>
              <w:spacing w:before="105"/>
              <w:ind w:left="381"/>
              <w:rPr>
                <w:rFonts w:ascii="Caladea" w:hAnsi="Caladea"/>
                <w:b/>
                <w:sz w:val="18"/>
              </w:rPr>
            </w:pPr>
            <w:r>
              <w:rPr>
                <w:rFonts w:ascii="Caladea" w:hAnsi="Caladea"/>
                <w:b/>
                <w:sz w:val="18"/>
              </w:rPr>
              <w:t>Período</w:t>
            </w:r>
          </w:p>
        </w:tc>
        <w:tc>
          <w:tcPr>
            <w:tcW w:w="1417" w:type="dxa"/>
            <w:shd w:val="clear" w:color="auto" w:fill="D9D9D9"/>
          </w:tcPr>
          <w:p>
            <w:pPr>
              <w:pStyle w:val="TableParagraph"/>
              <w:spacing w:line="212" w:lineRule="exact"/>
              <w:ind w:left="110" w:right="83" w:firstLine="369"/>
              <w:rPr>
                <w:rFonts w:ascii="Caladea"/>
                <w:b/>
                <w:sz w:val="18"/>
              </w:rPr>
            </w:pPr>
            <w:r>
              <w:rPr>
                <w:rFonts w:ascii="Caladea"/>
                <w:b/>
                <w:sz w:val="18"/>
              </w:rPr>
              <w:t>Valor Patrocinadora</w:t>
            </w:r>
          </w:p>
        </w:tc>
        <w:tc>
          <w:tcPr>
            <w:tcW w:w="1416" w:type="dxa"/>
            <w:shd w:val="clear" w:color="auto" w:fill="D9D9D9"/>
          </w:tcPr>
          <w:p>
            <w:pPr>
              <w:pStyle w:val="TableParagraph"/>
              <w:spacing w:line="212" w:lineRule="exact"/>
              <w:ind w:left="191" w:right="165" w:firstLine="153"/>
              <w:rPr>
                <w:rFonts w:ascii="Caladea" w:hAnsi="Caladea"/>
                <w:b/>
                <w:sz w:val="18"/>
              </w:rPr>
            </w:pPr>
            <w:r>
              <w:rPr>
                <w:rFonts w:ascii="Caladea" w:hAnsi="Caladea"/>
                <w:b/>
                <w:sz w:val="18"/>
              </w:rPr>
              <w:t>Prazo de amortização</w:t>
            </w:r>
          </w:p>
        </w:tc>
        <w:tc>
          <w:tcPr>
            <w:tcW w:w="1416" w:type="dxa"/>
            <w:shd w:val="clear" w:color="auto" w:fill="D9D9D9"/>
          </w:tcPr>
          <w:p>
            <w:pPr>
              <w:pStyle w:val="TableParagraph"/>
              <w:spacing w:line="212" w:lineRule="exact"/>
              <w:ind w:left="243" w:right="216" w:firstLine="100"/>
              <w:rPr>
                <w:rFonts w:ascii="Caladea" w:hAnsi="Caladea"/>
                <w:b/>
                <w:sz w:val="18"/>
              </w:rPr>
            </w:pPr>
            <w:r>
              <w:rPr>
                <w:rFonts w:ascii="Caladea" w:hAnsi="Caladea"/>
                <w:b/>
                <w:sz w:val="18"/>
              </w:rPr>
              <w:t>Início do pagamento</w:t>
            </w:r>
          </w:p>
        </w:tc>
        <w:tc>
          <w:tcPr>
            <w:tcW w:w="1416" w:type="dxa"/>
            <w:shd w:val="clear" w:color="auto" w:fill="D9D9D9"/>
          </w:tcPr>
          <w:p>
            <w:pPr>
              <w:pStyle w:val="TableParagraph"/>
              <w:spacing w:before="105"/>
              <w:ind w:left="325"/>
              <w:rPr>
                <w:rFonts w:ascii="Caladea"/>
                <w:b/>
                <w:sz w:val="18"/>
              </w:rPr>
            </w:pPr>
            <w:r>
              <w:rPr>
                <w:rFonts w:ascii="Caladea"/>
                <w:b/>
                <w:sz w:val="18"/>
              </w:rPr>
              <w:t>Juros(%)</w:t>
            </w:r>
          </w:p>
        </w:tc>
        <w:tc>
          <w:tcPr>
            <w:tcW w:w="1417" w:type="dxa"/>
            <w:shd w:val="clear" w:color="auto" w:fill="D9D9D9"/>
          </w:tcPr>
          <w:p>
            <w:pPr>
              <w:pStyle w:val="TableParagraph"/>
              <w:spacing w:line="212" w:lineRule="exact"/>
              <w:ind w:left="275" w:right="247" w:firstLine="55"/>
              <w:rPr>
                <w:rFonts w:ascii="Caladea" w:hAnsi="Caladea"/>
                <w:b/>
                <w:sz w:val="18"/>
              </w:rPr>
            </w:pPr>
            <w:r>
              <w:rPr>
                <w:rFonts w:ascii="Caladea" w:hAnsi="Caladea"/>
                <w:b/>
                <w:sz w:val="18"/>
              </w:rPr>
              <w:t>Correção monetária</w:t>
            </w:r>
          </w:p>
        </w:tc>
        <w:tc>
          <w:tcPr>
            <w:tcW w:w="1416" w:type="dxa"/>
            <w:shd w:val="clear" w:color="auto" w:fill="D9D9D9"/>
          </w:tcPr>
          <w:p>
            <w:pPr>
              <w:pStyle w:val="TableParagraph"/>
              <w:spacing w:line="212" w:lineRule="exact"/>
              <w:ind w:left="191" w:right="165" w:firstLine="69"/>
              <w:rPr>
                <w:rFonts w:ascii="Caladea" w:hAnsi="Caladea"/>
                <w:b/>
                <w:sz w:val="18"/>
              </w:rPr>
            </w:pPr>
            <w:r>
              <w:rPr>
                <w:rFonts w:ascii="Caladea" w:hAnsi="Caladea"/>
                <w:b/>
                <w:sz w:val="18"/>
              </w:rPr>
              <w:t>Sistema de amortização</w:t>
            </w:r>
          </w:p>
        </w:tc>
      </w:tr>
      <w:tr>
        <w:trPr>
          <w:trHeight w:val="225" w:hRule="atLeast"/>
        </w:trPr>
        <w:tc>
          <w:tcPr>
            <w:tcW w:w="1419" w:type="dxa"/>
          </w:tcPr>
          <w:p>
            <w:pPr>
              <w:pStyle w:val="TableParagraph"/>
              <w:spacing w:line="199" w:lineRule="exact" w:before="6"/>
              <w:ind w:right="57"/>
              <w:jc w:val="right"/>
              <w:rPr>
                <w:sz w:val="18"/>
              </w:rPr>
            </w:pPr>
            <w:r>
              <w:rPr>
                <w:w w:val="105"/>
                <w:sz w:val="18"/>
              </w:rPr>
              <w:t>2016</w:t>
            </w:r>
          </w:p>
        </w:tc>
        <w:tc>
          <w:tcPr>
            <w:tcW w:w="1417" w:type="dxa"/>
          </w:tcPr>
          <w:p>
            <w:pPr>
              <w:pStyle w:val="TableParagraph"/>
              <w:spacing w:line="199" w:lineRule="exact" w:before="6"/>
              <w:ind w:right="58"/>
              <w:jc w:val="right"/>
              <w:rPr>
                <w:sz w:val="18"/>
              </w:rPr>
            </w:pPr>
            <w:r>
              <w:rPr>
                <w:w w:val="95"/>
                <w:sz w:val="18"/>
              </w:rPr>
              <w:t>11.423</w:t>
            </w:r>
          </w:p>
        </w:tc>
        <w:tc>
          <w:tcPr>
            <w:tcW w:w="1416" w:type="dxa"/>
          </w:tcPr>
          <w:p>
            <w:pPr>
              <w:pStyle w:val="TableParagraph"/>
              <w:spacing w:line="199" w:lineRule="exact" w:before="6"/>
              <w:ind w:right="56"/>
              <w:jc w:val="right"/>
              <w:rPr>
                <w:sz w:val="18"/>
              </w:rPr>
            </w:pPr>
            <w:r>
              <w:rPr>
                <w:sz w:val="18"/>
              </w:rPr>
              <w:t>216,9 meses</w:t>
            </w:r>
          </w:p>
        </w:tc>
        <w:tc>
          <w:tcPr>
            <w:tcW w:w="1416" w:type="dxa"/>
          </w:tcPr>
          <w:p>
            <w:pPr>
              <w:pStyle w:val="TableParagraph"/>
              <w:spacing w:line="199" w:lineRule="exact" w:before="6"/>
              <w:ind w:right="57"/>
              <w:jc w:val="right"/>
              <w:rPr>
                <w:sz w:val="18"/>
              </w:rPr>
            </w:pPr>
            <w:r>
              <w:rPr>
                <w:w w:val="95"/>
                <w:sz w:val="18"/>
              </w:rPr>
              <w:t>fev/18</w:t>
            </w:r>
          </w:p>
        </w:tc>
        <w:tc>
          <w:tcPr>
            <w:tcW w:w="1416" w:type="dxa"/>
          </w:tcPr>
          <w:p>
            <w:pPr>
              <w:pStyle w:val="TableParagraph"/>
              <w:spacing w:line="199" w:lineRule="exact" w:before="6"/>
              <w:ind w:right="56"/>
              <w:jc w:val="right"/>
              <w:rPr>
                <w:sz w:val="18"/>
              </w:rPr>
            </w:pPr>
            <w:r>
              <w:rPr>
                <w:w w:val="90"/>
                <w:sz w:val="18"/>
              </w:rPr>
              <w:t>5,7</w:t>
            </w:r>
          </w:p>
        </w:tc>
        <w:tc>
          <w:tcPr>
            <w:tcW w:w="1417" w:type="dxa"/>
          </w:tcPr>
          <w:p>
            <w:pPr>
              <w:pStyle w:val="TableParagraph"/>
              <w:spacing w:line="199" w:lineRule="exact" w:before="6"/>
              <w:ind w:right="59"/>
              <w:jc w:val="right"/>
              <w:rPr>
                <w:sz w:val="18"/>
              </w:rPr>
            </w:pPr>
            <w:r>
              <w:rPr>
                <w:sz w:val="18"/>
              </w:rPr>
              <w:t>INPC/IBGE</w:t>
            </w:r>
          </w:p>
        </w:tc>
        <w:tc>
          <w:tcPr>
            <w:tcW w:w="1416" w:type="dxa"/>
          </w:tcPr>
          <w:p>
            <w:pPr>
              <w:pStyle w:val="TableParagraph"/>
              <w:spacing w:line="199" w:lineRule="exact" w:before="6"/>
              <w:ind w:right="57"/>
              <w:jc w:val="right"/>
              <w:rPr>
                <w:sz w:val="18"/>
              </w:rPr>
            </w:pPr>
            <w:r>
              <w:rPr>
                <w:w w:val="95"/>
                <w:sz w:val="18"/>
              </w:rPr>
              <w:t>Price</w:t>
            </w:r>
          </w:p>
        </w:tc>
      </w:tr>
      <w:tr>
        <w:trPr>
          <w:trHeight w:val="227" w:hRule="atLeast"/>
        </w:trPr>
        <w:tc>
          <w:tcPr>
            <w:tcW w:w="1419" w:type="dxa"/>
          </w:tcPr>
          <w:p>
            <w:pPr>
              <w:pStyle w:val="TableParagraph"/>
              <w:spacing w:line="199" w:lineRule="exact" w:before="8"/>
              <w:ind w:right="57"/>
              <w:jc w:val="right"/>
              <w:rPr>
                <w:sz w:val="18"/>
              </w:rPr>
            </w:pPr>
            <w:r>
              <w:rPr>
                <w:w w:val="105"/>
                <w:sz w:val="18"/>
              </w:rPr>
              <w:t>2017</w:t>
            </w:r>
          </w:p>
        </w:tc>
        <w:tc>
          <w:tcPr>
            <w:tcW w:w="1417" w:type="dxa"/>
          </w:tcPr>
          <w:p>
            <w:pPr>
              <w:pStyle w:val="TableParagraph"/>
              <w:spacing w:line="199" w:lineRule="exact" w:before="8"/>
              <w:ind w:right="58"/>
              <w:jc w:val="right"/>
              <w:rPr>
                <w:sz w:val="18"/>
              </w:rPr>
            </w:pPr>
            <w:r>
              <w:rPr>
                <w:w w:val="95"/>
                <w:sz w:val="18"/>
              </w:rPr>
              <w:t>8.194</w:t>
            </w:r>
          </w:p>
        </w:tc>
        <w:tc>
          <w:tcPr>
            <w:tcW w:w="1416" w:type="dxa"/>
          </w:tcPr>
          <w:p>
            <w:pPr>
              <w:pStyle w:val="TableParagraph"/>
              <w:spacing w:line="199" w:lineRule="exact" w:before="8"/>
              <w:ind w:right="56"/>
              <w:jc w:val="right"/>
              <w:rPr>
                <w:sz w:val="18"/>
              </w:rPr>
            </w:pPr>
            <w:r>
              <w:rPr>
                <w:sz w:val="18"/>
              </w:rPr>
              <w:t>209 meses</w:t>
            </w:r>
          </w:p>
        </w:tc>
        <w:tc>
          <w:tcPr>
            <w:tcW w:w="1416" w:type="dxa"/>
          </w:tcPr>
          <w:p>
            <w:pPr>
              <w:pStyle w:val="TableParagraph"/>
              <w:spacing w:line="199" w:lineRule="exact" w:before="8"/>
              <w:ind w:right="57"/>
              <w:jc w:val="right"/>
              <w:rPr>
                <w:sz w:val="18"/>
              </w:rPr>
            </w:pPr>
            <w:r>
              <w:rPr>
                <w:w w:val="95"/>
                <w:sz w:val="18"/>
              </w:rPr>
              <w:t>fev/19</w:t>
            </w:r>
          </w:p>
        </w:tc>
        <w:tc>
          <w:tcPr>
            <w:tcW w:w="1416" w:type="dxa"/>
          </w:tcPr>
          <w:p>
            <w:pPr>
              <w:pStyle w:val="TableParagraph"/>
              <w:spacing w:line="199" w:lineRule="exact" w:before="8"/>
              <w:ind w:right="56"/>
              <w:jc w:val="right"/>
              <w:rPr>
                <w:sz w:val="18"/>
              </w:rPr>
            </w:pPr>
            <w:r>
              <w:rPr>
                <w:w w:val="90"/>
                <w:sz w:val="18"/>
              </w:rPr>
              <w:t>5,7</w:t>
            </w:r>
          </w:p>
        </w:tc>
        <w:tc>
          <w:tcPr>
            <w:tcW w:w="1417" w:type="dxa"/>
          </w:tcPr>
          <w:p>
            <w:pPr>
              <w:pStyle w:val="TableParagraph"/>
              <w:spacing w:line="199" w:lineRule="exact" w:before="8"/>
              <w:ind w:right="59"/>
              <w:jc w:val="right"/>
              <w:rPr>
                <w:sz w:val="18"/>
              </w:rPr>
            </w:pPr>
            <w:r>
              <w:rPr>
                <w:sz w:val="18"/>
              </w:rPr>
              <w:t>INPC/IBGE</w:t>
            </w:r>
          </w:p>
        </w:tc>
        <w:tc>
          <w:tcPr>
            <w:tcW w:w="1416" w:type="dxa"/>
          </w:tcPr>
          <w:p>
            <w:pPr>
              <w:pStyle w:val="TableParagraph"/>
              <w:spacing w:line="199" w:lineRule="exact" w:before="8"/>
              <w:ind w:right="57"/>
              <w:jc w:val="right"/>
              <w:rPr>
                <w:sz w:val="18"/>
              </w:rPr>
            </w:pPr>
            <w:r>
              <w:rPr>
                <w:w w:val="95"/>
                <w:sz w:val="18"/>
              </w:rPr>
              <w:t>Price</w:t>
            </w:r>
          </w:p>
        </w:tc>
      </w:tr>
    </w:tbl>
    <w:p>
      <w:pPr>
        <w:pStyle w:val="BodyText"/>
        <w:spacing w:before="122"/>
        <w:ind w:left="172"/>
        <w:jc w:val="both"/>
      </w:pPr>
      <w:r>
        <w:rPr/>
        <w:t>Tais passivos estão sendo rigorosamente amortizados nos prazos contratuais.</w:t>
      </w:r>
    </w:p>
    <w:p>
      <w:pPr>
        <w:pStyle w:val="BodyText"/>
        <w:spacing w:line="278" w:lineRule="auto" w:before="156"/>
        <w:ind w:left="172" w:right="421"/>
        <w:jc w:val="both"/>
      </w:pPr>
      <w:r>
        <w:rPr/>
        <w:t>Em</w:t>
      </w:r>
      <w:r>
        <w:rPr>
          <w:spacing w:val="-27"/>
        </w:rPr>
        <w:t> </w:t>
      </w:r>
      <w:r>
        <w:rPr/>
        <w:t>31</w:t>
      </w:r>
      <w:r>
        <w:rPr>
          <w:spacing w:val="-23"/>
        </w:rPr>
        <w:t> </w:t>
      </w:r>
      <w:r>
        <w:rPr/>
        <w:t>de</w:t>
      </w:r>
      <w:r>
        <w:rPr>
          <w:spacing w:val="-25"/>
        </w:rPr>
        <w:t> </w:t>
      </w:r>
      <w:r>
        <w:rPr/>
        <w:t>dezembro</w:t>
      </w:r>
      <w:r>
        <w:rPr>
          <w:spacing w:val="-25"/>
        </w:rPr>
        <w:t> </w:t>
      </w:r>
      <w:r>
        <w:rPr/>
        <w:t>de</w:t>
      </w:r>
      <w:r>
        <w:rPr>
          <w:spacing w:val="-25"/>
        </w:rPr>
        <w:t> </w:t>
      </w:r>
      <w:r>
        <w:rPr/>
        <w:t>2019</w:t>
      </w:r>
      <w:r>
        <w:rPr>
          <w:spacing w:val="-25"/>
        </w:rPr>
        <w:t> </w:t>
      </w:r>
      <w:r>
        <w:rPr/>
        <w:t>o</w:t>
      </w:r>
      <w:r>
        <w:rPr>
          <w:spacing w:val="-24"/>
        </w:rPr>
        <w:t> </w:t>
      </w:r>
      <w:r>
        <w:rPr/>
        <w:t>saldo</w:t>
      </w:r>
      <w:r>
        <w:rPr>
          <w:spacing w:val="-26"/>
        </w:rPr>
        <w:t> </w:t>
      </w:r>
      <w:r>
        <w:rPr/>
        <w:t>devedor</w:t>
      </w:r>
      <w:r>
        <w:rPr>
          <w:spacing w:val="-24"/>
        </w:rPr>
        <w:t> </w:t>
      </w:r>
      <w:r>
        <w:rPr/>
        <w:t>dos</w:t>
      </w:r>
      <w:r>
        <w:rPr>
          <w:spacing w:val="-23"/>
        </w:rPr>
        <w:t> </w:t>
      </w:r>
      <w:r>
        <w:rPr/>
        <w:t>equacionamentos</w:t>
      </w:r>
      <w:r>
        <w:rPr>
          <w:spacing w:val="-26"/>
        </w:rPr>
        <w:t> </w:t>
      </w:r>
      <w:r>
        <w:rPr/>
        <w:t>de</w:t>
      </w:r>
      <w:r>
        <w:rPr>
          <w:spacing w:val="-24"/>
        </w:rPr>
        <w:t> </w:t>
      </w:r>
      <w:r>
        <w:rPr/>
        <w:t>2016</w:t>
      </w:r>
      <w:r>
        <w:rPr>
          <w:spacing w:val="-24"/>
        </w:rPr>
        <w:t> </w:t>
      </w:r>
      <w:r>
        <w:rPr/>
        <w:t>e</w:t>
      </w:r>
      <w:r>
        <w:rPr>
          <w:spacing w:val="-25"/>
        </w:rPr>
        <w:t> </w:t>
      </w:r>
      <w:r>
        <w:rPr/>
        <w:t>2017</w:t>
      </w:r>
      <w:r>
        <w:rPr>
          <w:spacing w:val="-23"/>
        </w:rPr>
        <w:t> </w:t>
      </w:r>
      <w:r>
        <w:rPr/>
        <w:t>são,</w:t>
      </w:r>
      <w:r>
        <w:rPr>
          <w:spacing w:val="-26"/>
        </w:rPr>
        <w:t> </w:t>
      </w:r>
      <w:r>
        <w:rPr/>
        <w:t>respectivamente</w:t>
      </w:r>
      <w:r>
        <w:rPr>
          <w:spacing w:val="-26"/>
        </w:rPr>
        <w:t> </w:t>
      </w:r>
      <w:r>
        <w:rPr/>
        <w:t>R$</w:t>
      </w:r>
      <w:r>
        <w:rPr>
          <w:spacing w:val="-23"/>
        </w:rPr>
        <w:t> </w:t>
      </w:r>
      <w:r>
        <w:rPr/>
        <w:t>11.423 e R$</w:t>
      </w:r>
      <w:r>
        <w:rPr>
          <w:spacing w:val="-37"/>
        </w:rPr>
        <w:t> </w:t>
      </w:r>
      <w:r>
        <w:rPr/>
        <w:t>8.194.</w:t>
      </w:r>
    </w:p>
    <w:p>
      <w:pPr>
        <w:pStyle w:val="BodyText"/>
        <w:spacing w:before="9"/>
      </w:pPr>
    </w:p>
    <w:p>
      <w:pPr>
        <w:pStyle w:val="Heading5"/>
        <w:numPr>
          <w:ilvl w:val="2"/>
          <w:numId w:val="34"/>
        </w:numPr>
        <w:tabs>
          <w:tab w:pos="1026" w:val="left" w:leader="none"/>
        </w:tabs>
        <w:spacing w:line="240" w:lineRule="auto" w:before="0" w:after="0"/>
        <w:ind w:left="1025" w:right="0" w:hanging="854"/>
        <w:jc w:val="left"/>
      </w:pPr>
      <w:r>
        <w:rPr/>
        <w:t>Estratégias</w:t>
      </w:r>
      <w:r>
        <w:rPr>
          <w:spacing w:val="-2"/>
        </w:rPr>
        <w:t> </w:t>
      </w:r>
      <w:r>
        <w:rPr/>
        <w:t>Previdenciais</w:t>
      </w:r>
    </w:p>
    <w:p>
      <w:pPr>
        <w:pStyle w:val="BodyText"/>
        <w:spacing w:before="8"/>
        <w:rPr>
          <w:rFonts w:ascii="Caladea"/>
          <w:b/>
          <w:sz w:val="23"/>
        </w:rPr>
      </w:pPr>
    </w:p>
    <w:p>
      <w:pPr>
        <w:pStyle w:val="BodyText"/>
        <w:spacing w:line="278" w:lineRule="auto"/>
        <w:ind w:left="172" w:right="407"/>
        <w:jc w:val="both"/>
      </w:pPr>
      <w:r>
        <w:rPr/>
        <w:t>As Estratégias Previdenciais, referente aos planos administrados pela FACEB, consistem na apresentação de propostas</w:t>
      </w:r>
      <w:r>
        <w:rPr>
          <w:spacing w:val="-36"/>
        </w:rPr>
        <w:t> </w:t>
      </w:r>
      <w:r>
        <w:rPr/>
        <w:t>de</w:t>
      </w:r>
      <w:r>
        <w:rPr>
          <w:spacing w:val="-36"/>
        </w:rPr>
        <w:t> </w:t>
      </w:r>
      <w:r>
        <w:rPr/>
        <w:t>alterações</w:t>
      </w:r>
      <w:r>
        <w:rPr>
          <w:spacing w:val="-35"/>
        </w:rPr>
        <w:t> </w:t>
      </w:r>
      <w:r>
        <w:rPr/>
        <w:t>para</w:t>
      </w:r>
      <w:r>
        <w:rPr>
          <w:spacing w:val="-34"/>
        </w:rPr>
        <w:t> </w:t>
      </w:r>
      <w:r>
        <w:rPr/>
        <w:t>os</w:t>
      </w:r>
      <w:r>
        <w:rPr>
          <w:spacing w:val="-34"/>
        </w:rPr>
        <w:t> </w:t>
      </w:r>
      <w:r>
        <w:rPr/>
        <w:t>regulamentos</w:t>
      </w:r>
      <w:r>
        <w:rPr>
          <w:spacing w:val="-34"/>
        </w:rPr>
        <w:t> </w:t>
      </w:r>
      <w:r>
        <w:rPr/>
        <w:t>do</w:t>
      </w:r>
      <w:r>
        <w:rPr>
          <w:spacing w:val="-35"/>
        </w:rPr>
        <w:t> </w:t>
      </w:r>
      <w:r>
        <w:rPr/>
        <w:t>Plano</w:t>
      </w:r>
      <w:r>
        <w:rPr>
          <w:spacing w:val="-35"/>
        </w:rPr>
        <w:t> </w:t>
      </w:r>
      <w:r>
        <w:rPr/>
        <w:t>Complementar</w:t>
      </w:r>
      <w:r>
        <w:rPr>
          <w:spacing w:val="-34"/>
        </w:rPr>
        <w:t> </w:t>
      </w:r>
      <w:r>
        <w:rPr/>
        <w:t>de</w:t>
      </w:r>
      <w:r>
        <w:rPr>
          <w:spacing w:val="-37"/>
        </w:rPr>
        <w:t> </w:t>
      </w:r>
      <w:r>
        <w:rPr/>
        <w:t>Benefícios</w:t>
      </w:r>
      <w:r>
        <w:rPr>
          <w:spacing w:val="-34"/>
        </w:rPr>
        <w:t> </w:t>
      </w:r>
      <w:r>
        <w:rPr/>
        <w:t>Previdenciais</w:t>
      </w:r>
      <w:r>
        <w:rPr>
          <w:spacing w:val="-35"/>
        </w:rPr>
        <w:t> </w:t>
      </w:r>
      <w:r>
        <w:rPr/>
        <w:t>da</w:t>
      </w:r>
      <w:r>
        <w:rPr>
          <w:spacing w:val="-34"/>
        </w:rPr>
        <w:t> </w:t>
      </w:r>
      <w:r>
        <w:rPr/>
        <w:t>FACEB</w:t>
      </w:r>
      <w:r>
        <w:rPr>
          <w:spacing w:val="-30"/>
        </w:rPr>
        <w:t> </w:t>
      </w:r>
      <w:r>
        <w:rPr>
          <w:w w:val="105"/>
        </w:rPr>
        <w:t>–</w:t>
      </w:r>
      <w:r>
        <w:rPr>
          <w:spacing w:val="-36"/>
          <w:w w:val="105"/>
        </w:rPr>
        <w:t> </w:t>
      </w:r>
      <w:r>
        <w:rPr/>
        <w:t>Plano BD</w:t>
      </w:r>
      <w:r>
        <w:rPr>
          <w:spacing w:val="-26"/>
        </w:rPr>
        <w:t> </w:t>
      </w:r>
      <w:r>
        <w:rPr/>
        <w:t>e</w:t>
      </w:r>
      <w:r>
        <w:rPr>
          <w:spacing w:val="-28"/>
        </w:rPr>
        <w:t> </w:t>
      </w:r>
      <w:r>
        <w:rPr/>
        <w:t>do</w:t>
      </w:r>
      <w:r>
        <w:rPr>
          <w:spacing w:val="-24"/>
        </w:rPr>
        <w:t> </w:t>
      </w:r>
      <w:r>
        <w:rPr/>
        <w:t>Plano</w:t>
      </w:r>
      <w:r>
        <w:rPr>
          <w:spacing w:val="-27"/>
        </w:rPr>
        <w:t> </w:t>
      </w:r>
      <w:r>
        <w:rPr/>
        <w:t>de</w:t>
      </w:r>
      <w:r>
        <w:rPr>
          <w:spacing w:val="-27"/>
        </w:rPr>
        <w:t> </w:t>
      </w:r>
      <w:r>
        <w:rPr/>
        <w:t>Benefícios</w:t>
      </w:r>
      <w:r>
        <w:rPr>
          <w:spacing w:val="-25"/>
        </w:rPr>
        <w:t> </w:t>
      </w:r>
      <w:r>
        <w:rPr/>
        <w:t>CEBPREV,</w:t>
      </w:r>
      <w:r>
        <w:rPr>
          <w:spacing w:val="-27"/>
        </w:rPr>
        <w:t> </w:t>
      </w:r>
      <w:r>
        <w:rPr/>
        <w:t>envolvendo</w:t>
      </w:r>
      <w:r>
        <w:rPr>
          <w:spacing w:val="-26"/>
        </w:rPr>
        <w:t> </w:t>
      </w:r>
      <w:r>
        <w:rPr/>
        <w:t>operação</w:t>
      </w:r>
      <w:r>
        <w:rPr>
          <w:spacing w:val="-27"/>
        </w:rPr>
        <w:t> </w:t>
      </w:r>
      <w:r>
        <w:rPr/>
        <w:t>de</w:t>
      </w:r>
      <w:r>
        <w:rPr>
          <w:spacing w:val="-27"/>
        </w:rPr>
        <w:t> </w:t>
      </w:r>
      <w:r>
        <w:rPr/>
        <w:t>migração</w:t>
      </w:r>
      <w:r>
        <w:rPr>
          <w:spacing w:val="-27"/>
        </w:rPr>
        <w:t> </w:t>
      </w:r>
      <w:r>
        <w:rPr/>
        <w:t>voluntária</w:t>
      </w:r>
      <w:r>
        <w:rPr>
          <w:spacing w:val="-26"/>
        </w:rPr>
        <w:t> </w:t>
      </w:r>
      <w:r>
        <w:rPr/>
        <w:t>e</w:t>
      </w:r>
      <w:r>
        <w:rPr>
          <w:spacing w:val="-27"/>
        </w:rPr>
        <w:t> </w:t>
      </w:r>
      <w:r>
        <w:rPr/>
        <w:t>proposta</w:t>
      </w:r>
      <w:r>
        <w:rPr>
          <w:spacing w:val="-26"/>
        </w:rPr>
        <w:t> </w:t>
      </w:r>
      <w:r>
        <w:rPr/>
        <w:t>de</w:t>
      </w:r>
      <w:r>
        <w:rPr>
          <w:spacing w:val="-28"/>
        </w:rPr>
        <w:t> </w:t>
      </w:r>
      <w:r>
        <w:rPr/>
        <w:t>criação</w:t>
      </w:r>
      <w:r>
        <w:rPr>
          <w:spacing w:val="-26"/>
        </w:rPr>
        <w:t> </w:t>
      </w:r>
      <w:r>
        <w:rPr/>
        <w:t>do</w:t>
      </w:r>
      <w:r>
        <w:rPr>
          <w:spacing w:val="-27"/>
        </w:rPr>
        <w:t> </w:t>
      </w:r>
      <w:r>
        <w:rPr/>
        <w:t>plano de</w:t>
      </w:r>
      <w:r>
        <w:rPr>
          <w:spacing w:val="-32"/>
        </w:rPr>
        <w:t> </w:t>
      </w:r>
      <w:r>
        <w:rPr/>
        <w:t>benefícios,</w:t>
      </w:r>
      <w:r>
        <w:rPr>
          <w:spacing w:val="-31"/>
        </w:rPr>
        <w:t> </w:t>
      </w:r>
      <w:r>
        <w:rPr/>
        <w:t>estruturado</w:t>
      </w:r>
      <w:r>
        <w:rPr>
          <w:spacing w:val="-32"/>
        </w:rPr>
        <w:t> </w:t>
      </w:r>
      <w:r>
        <w:rPr/>
        <w:t>na</w:t>
      </w:r>
      <w:r>
        <w:rPr>
          <w:spacing w:val="-32"/>
        </w:rPr>
        <w:t> </w:t>
      </w:r>
      <w:r>
        <w:rPr/>
        <w:t>modalidade</w:t>
      </w:r>
      <w:r>
        <w:rPr>
          <w:spacing w:val="-32"/>
        </w:rPr>
        <w:t> </w:t>
      </w:r>
      <w:r>
        <w:rPr/>
        <w:t>de</w:t>
      </w:r>
      <w:r>
        <w:rPr>
          <w:spacing w:val="-32"/>
        </w:rPr>
        <w:t> </w:t>
      </w:r>
      <w:r>
        <w:rPr/>
        <w:t>Benefício</w:t>
      </w:r>
      <w:r>
        <w:rPr>
          <w:spacing w:val="-30"/>
        </w:rPr>
        <w:t> </w:t>
      </w:r>
      <w:r>
        <w:rPr/>
        <w:t>Definido,</w:t>
      </w:r>
      <w:r>
        <w:rPr>
          <w:spacing w:val="-32"/>
        </w:rPr>
        <w:t> </w:t>
      </w:r>
      <w:r>
        <w:rPr/>
        <w:t>saldado</w:t>
      </w:r>
      <w:r>
        <w:rPr>
          <w:spacing w:val="-33"/>
        </w:rPr>
        <w:t> </w:t>
      </w:r>
      <w:r>
        <w:rPr/>
        <w:t>e</w:t>
      </w:r>
      <w:r>
        <w:rPr>
          <w:spacing w:val="-32"/>
        </w:rPr>
        <w:t> </w:t>
      </w:r>
      <w:r>
        <w:rPr/>
        <w:t>fechado</w:t>
      </w:r>
      <w:r>
        <w:rPr>
          <w:spacing w:val="-31"/>
        </w:rPr>
        <w:t> </w:t>
      </w:r>
      <w:r>
        <w:rPr/>
        <w:t>à</w:t>
      </w:r>
      <w:r>
        <w:rPr>
          <w:spacing w:val="-31"/>
        </w:rPr>
        <w:t> </w:t>
      </w:r>
      <w:r>
        <w:rPr/>
        <w:t>novas</w:t>
      </w:r>
      <w:r>
        <w:rPr>
          <w:spacing w:val="-33"/>
        </w:rPr>
        <w:t> </w:t>
      </w:r>
      <w:r>
        <w:rPr/>
        <w:t>adesões,</w:t>
      </w:r>
      <w:r>
        <w:rPr>
          <w:spacing w:val="-31"/>
        </w:rPr>
        <w:t> </w:t>
      </w:r>
      <w:r>
        <w:rPr/>
        <w:t>onde</w:t>
      </w:r>
      <w:r>
        <w:rPr>
          <w:spacing w:val="-33"/>
        </w:rPr>
        <w:t> </w:t>
      </w:r>
      <w:r>
        <w:rPr/>
        <w:t>somente admitirá</w:t>
      </w:r>
      <w:r>
        <w:rPr>
          <w:spacing w:val="-17"/>
        </w:rPr>
        <w:t> </w:t>
      </w:r>
      <w:r>
        <w:rPr/>
        <w:t>o</w:t>
      </w:r>
      <w:r>
        <w:rPr>
          <w:spacing w:val="-20"/>
        </w:rPr>
        <w:t> </w:t>
      </w:r>
      <w:r>
        <w:rPr/>
        <w:t>ingresso</w:t>
      </w:r>
      <w:r>
        <w:rPr>
          <w:spacing w:val="-20"/>
        </w:rPr>
        <w:t> </w:t>
      </w:r>
      <w:r>
        <w:rPr/>
        <w:t>por</w:t>
      </w:r>
      <w:r>
        <w:rPr>
          <w:spacing w:val="-19"/>
        </w:rPr>
        <w:t> </w:t>
      </w:r>
      <w:r>
        <w:rPr/>
        <w:t>meio</w:t>
      </w:r>
      <w:r>
        <w:rPr>
          <w:spacing w:val="-20"/>
        </w:rPr>
        <w:t> </w:t>
      </w:r>
      <w:r>
        <w:rPr/>
        <w:t>de</w:t>
      </w:r>
      <w:r>
        <w:rPr>
          <w:spacing w:val="-19"/>
        </w:rPr>
        <w:t> </w:t>
      </w:r>
      <w:r>
        <w:rPr/>
        <w:t>migrações,</w:t>
      </w:r>
      <w:r>
        <w:rPr>
          <w:spacing w:val="-18"/>
        </w:rPr>
        <w:t> </w:t>
      </w:r>
      <w:r>
        <w:rPr/>
        <w:t>denominado</w:t>
      </w:r>
      <w:r>
        <w:rPr>
          <w:spacing w:val="-18"/>
        </w:rPr>
        <w:t> </w:t>
      </w:r>
      <w:r>
        <w:rPr/>
        <w:t>Plano</w:t>
      </w:r>
      <w:r>
        <w:rPr>
          <w:spacing w:val="-20"/>
        </w:rPr>
        <w:t> </w:t>
      </w:r>
      <w:r>
        <w:rPr/>
        <w:t>FACEB-Saldado.</w:t>
      </w:r>
    </w:p>
    <w:p>
      <w:pPr>
        <w:pStyle w:val="BodyText"/>
        <w:spacing w:line="278" w:lineRule="auto" w:before="122"/>
        <w:ind w:left="172" w:right="406"/>
        <w:jc w:val="both"/>
      </w:pPr>
      <w:r>
        <w:rPr/>
        <w:t>As</w:t>
      </w:r>
      <w:r>
        <w:rPr>
          <w:spacing w:val="-34"/>
        </w:rPr>
        <w:t> </w:t>
      </w:r>
      <w:r>
        <w:rPr/>
        <w:t>referidas</w:t>
      </w:r>
      <w:r>
        <w:rPr>
          <w:spacing w:val="-33"/>
        </w:rPr>
        <w:t> </w:t>
      </w:r>
      <w:r>
        <w:rPr/>
        <w:t>Estratégias</w:t>
      </w:r>
      <w:r>
        <w:rPr>
          <w:spacing w:val="-33"/>
        </w:rPr>
        <w:t> </w:t>
      </w:r>
      <w:r>
        <w:rPr/>
        <w:t>foram</w:t>
      </w:r>
      <w:r>
        <w:rPr>
          <w:spacing w:val="-33"/>
        </w:rPr>
        <w:t> </w:t>
      </w:r>
      <w:r>
        <w:rPr/>
        <w:t>apreciadas</w:t>
      </w:r>
      <w:r>
        <w:rPr>
          <w:spacing w:val="-33"/>
        </w:rPr>
        <w:t> </w:t>
      </w:r>
      <w:r>
        <w:rPr/>
        <w:t>e</w:t>
      </w:r>
      <w:r>
        <w:rPr>
          <w:spacing w:val="-35"/>
        </w:rPr>
        <w:t> </w:t>
      </w:r>
      <w:r>
        <w:rPr/>
        <w:t>aprovadas</w:t>
      </w:r>
      <w:r>
        <w:rPr>
          <w:spacing w:val="-33"/>
        </w:rPr>
        <w:t> </w:t>
      </w:r>
      <w:r>
        <w:rPr/>
        <w:t>pelos</w:t>
      </w:r>
      <w:r>
        <w:rPr>
          <w:spacing w:val="-33"/>
        </w:rPr>
        <w:t> </w:t>
      </w:r>
      <w:r>
        <w:rPr/>
        <w:t>órgãos</w:t>
      </w:r>
      <w:r>
        <w:rPr>
          <w:spacing w:val="-33"/>
        </w:rPr>
        <w:t> </w:t>
      </w:r>
      <w:r>
        <w:rPr/>
        <w:t>estatutários</w:t>
      </w:r>
      <w:r>
        <w:rPr>
          <w:spacing w:val="-33"/>
        </w:rPr>
        <w:t> </w:t>
      </w:r>
      <w:r>
        <w:rPr/>
        <w:t>da</w:t>
      </w:r>
      <w:r>
        <w:rPr>
          <w:spacing w:val="-33"/>
        </w:rPr>
        <w:t> </w:t>
      </w:r>
      <w:r>
        <w:rPr/>
        <w:t>FACEB,</w:t>
      </w:r>
      <w:r>
        <w:rPr>
          <w:spacing w:val="-34"/>
        </w:rPr>
        <w:t> </w:t>
      </w:r>
      <w:r>
        <w:rPr/>
        <w:t>bem</w:t>
      </w:r>
      <w:r>
        <w:rPr>
          <w:spacing w:val="-33"/>
        </w:rPr>
        <w:t> </w:t>
      </w:r>
      <w:r>
        <w:rPr/>
        <w:t>como</w:t>
      </w:r>
      <w:r>
        <w:rPr>
          <w:spacing w:val="-34"/>
        </w:rPr>
        <w:t> </w:t>
      </w:r>
      <w:r>
        <w:rPr/>
        <w:t>pela</w:t>
      </w:r>
      <w:r>
        <w:rPr>
          <w:spacing w:val="-33"/>
        </w:rPr>
        <w:t> </w:t>
      </w:r>
      <w:r>
        <w:rPr/>
        <w:t>CEB</w:t>
      </w:r>
      <w:r>
        <w:rPr>
          <w:spacing w:val="-33"/>
        </w:rPr>
        <w:t> </w:t>
      </w:r>
      <w:r>
        <w:rPr/>
        <w:t>DIS</w:t>
      </w:r>
      <w:r>
        <w:rPr>
          <w:spacing w:val="-33"/>
        </w:rPr>
        <w:t> </w:t>
      </w:r>
      <w:r>
        <w:rPr/>
        <w:t>e pelo</w:t>
      </w:r>
      <w:r>
        <w:rPr>
          <w:spacing w:val="-24"/>
        </w:rPr>
        <w:t> </w:t>
      </w:r>
      <w:r>
        <w:rPr/>
        <w:t>Governo</w:t>
      </w:r>
      <w:r>
        <w:rPr>
          <w:spacing w:val="-23"/>
        </w:rPr>
        <w:t> </w:t>
      </w:r>
      <w:r>
        <w:rPr/>
        <w:t>do</w:t>
      </w:r>
      <w:r>
        <w:rPr>
          <w:spacing w:val="-24"/>
        </w:rPr>
        <w:t> </w:t>
      </w:r>
      <w:r>
        <w:rPr/>
        <w:t>Distrito</w:t>
      </w:r>
      <w:r>
        <w:rPr>
          <w:spacing w:val="-24"/>
        </w:rPr>
        <w:t> </w:t>
      </w:r>
      <w:r>
        <w:rPr/>
        <w:t>Federal.</w:t>
      </w:r>
      <w:r>
        <w:rPr>
          <w:spacing w:val="-23"/>
        </w:rPr>
        <w:t> </w:t>
      </w:r>
      <w:r>
        <w:rPr/>
        <w:t>O</w:t>
      </w:r>
      <w:r>
        <w:rPr>
          <w:spacing w:val="-23"/>
        </w:rPr>
        <w:t> </w:t>
      </w:r>
      <w:r>
        <w:rPr/>
        <w:t>dossiê</w:t>
      </w:r>
      <w:r>
        <w:rPr>
          <w:spacing w:val="-23"/>
        </w:rPr>
        <w:t> </w:t>
      </w:r>
      <w:r>
        <w:rPr/>
        <w:t>da</w:t>
      </w:r>
      <w:r>
        <w:rPr>
          <w:spacing w:val="-23"/>
        </w:rPr>
        <w:t> </w:t>
      </w:r>
      <w:r>
        <w:rPr/>
        <w:t>referida</w:t>
      </w:r>
      <w:r>
        <w:rPr>
          <w:spacing w:val="-22"/>
        </w:rPr>
        <w:t> </w:t>
      </w:r>
      <w:r>
        <w:rPr/>
        <w:t>estratégia</w:t>
      </w:r>
      <w:r>
        <w:rPr>
          <w:spacing w:val="-23"/>
        </w:rPr>
        <w:t> </w:t>
      </w:r>
      <w:r>
        <w:rPr/>
        <w:t>foi</w:t>
      </w:r>
      <w:r>
        <w:rPr>
          <w:spacing w:val="-24"/>
        </w:rPr>
        <w:t> </w:t>
      </w:r>
      <w:r>
        <w:rPr/>
        <w:t>protocolado</w:t>
      </w:r>
      <w:r>
        <w:rPr>
          <w:spacing w:val="-22"/>
        </w:rPr>
        <w:t> </w:t>
      </w:r>
      <w:r>
        <w:rPr/>
        <w:t>em</w:t>
      </w:r>
      <w:r>
        <w:rPr>
          <w:spacing w:val="-22"/>
        </w:rPr>
        <w:t> </w:t>
      </w:r>
      <w:r>
        <w:rPr/>
        <w:t>dezembro/2018</w:t>
      </w:r>
      <w:r>
        <w:rPr>
          <w:spacing w:val="-24"/>
        </w:rPr>
        <w:t> </w:t>
      </w:r>
      <w:r>
        <w:rPr/>
        <w:t>na</w:t>
      </w:r>
      <w:r>
        <w:rPr>
          <w:spacing w:val="-23"/>
        </w:rPr>
        <w:t> </w:t>
      </w:r>
      <w:r>
        <w:rPr/>
        <w:t>PREVIC,</w:t>
      </w:r>
      <w:r>
        <w:rPr>
          <w:spacing w:val="-23"/>
        </w:rPr>
        <w:t> </w:t>
      </w:r>
      <w:r>
        <w:rPr/>
        <w:t>a qual,</w:t>
      </w:r>
      <w:r>
        <w:rPr>
          <w:spacing w:val="-11"/>
        </w:rPr>
        <w:t> </w:t>
      </w:r>
      <w:r>
        <w:rPr/>
        <w:t>em</w:t>
      </w:r>
      <w:r>
        <w:rPr>
          <w:spacing w:val="-9"/>
        </w:rPr>
        <w:t> </w:t>
      </w:r>
      <w:r>
        <w:rPr/>
        <w:t>março/2019,</w:t>
      </w:r>
      <w:r>
        <w:rPr>
          <w:spacing w:val="-10"/>
        </w:rPr>
        <w:t> </w:t>
      </w:r>
      <w:r>
        <w:rPr/>
        <w:t>encaminhou</w:t>
      </w:r>
      <w:r>
        <w:rPr>
          <w:spacing w:val="-10"/>
        </w:rPr>
        <w:t> </w:t>
      </w:r>
      <w:r>
        <w:rPr/>
        <w:t>à</w:t>
      </w:r>
      <w:r>
        <w:rPr>
          <w:spacing w:val="-10"/>
        </w:rPr>
        <w:t> </w:t>
      </w:r>
      <w:r>
        <w:rPr/>
        <w:t>Fundação</w:t>
      </w:r>
      <w:r>
        <w:rPr>
          <w:spacing w:val="-10"/>
        </w:rPr>
        <w:t> </w:t>
      </w:r>
      <w:r>
        <w:rPr/>
        <w:t>o</w:t>
      </w:r>
      <w:r>
        <w:rPr>
          <w:spacing w:val="-11"/>
        </w:rPr>
        <w:t> </w:t>
      </w:r>
      <w:r>
        <w:rPr/>
        <w:t>Parecer</w:t>
      </w:r>
      <w:r>
        <w:rPr>
          <w:spacing w:val="-9"/>
        </w:rPr>
        <w:t> </w:t>
      </w:r>
      <w:r>
        <w:rPr/>
        <w:t>nº</w:t>
      </w:r>
      <w:r>
        <w:rPr>
          <w:spacing w:val="-10"/>
        </w:rPr>
        <w:t> </w:t>
      </w:r>
      <w:r>
        <w:rPr/>
        <w:t>123/2019/CTR/CGTR/DILIC,</w:t>
      </w:r>
      <w:r>
        <w:rPr>
          <w:spacing w:val="-10"/>
        </w:rPr>
        <w:t> </w:t>
      </w:r>
      <w:r>
        <w:rPr/>
        <w:t>contendo</w:t>
      </w:r>
      <w:r>
        <w:rPr>
          <w:spacing w:val="-9"/>
        </w:rPr>
        <w:t> </w:t>
      </w:r>
      <w:r>
        <w:rPr/>
        <w:t>exigências</w:t>
      </w:r>
      <w:r>
        <w:rPr>
          <w:spacing w:val="-2"/>
        </w:rPr>
        <w:t> </w:t>
      </w:r>
      <w:r>
        <w:rPr/>
        <w:t>a serem</w:t>
      </w:r>
      <w:r>
        <w:rPr>
          <w:spacing w:val="-17"/>
        </w:rPr>
        <w:t> </w:t>
      </w:r>
      <w:r>
        <w:rPr/>
        <w:t>observadas</w:t>
      </w:r>
      <w:r>
        <w:rPr>
          <w:spacing w:val="-18"/>
        </w:rPr>
        <w:t> </w:t>
      </w:r>
      <w:r>
        <w:rPr/>
        <w:t>pela</w:t>
      </w:r>
      <w:r>
        <w:rPr>
          <w:spacing w:val="-18"/>
        </w:rPr>
        <w:t> </w:t>
      </w:r>
      <w:r>
        <w:rPr/>
        <w:t>Fundação.</w:t>
      </w:r>
    </w:p>
    <w:p>
      <w:pPr>
        <w:pStyle w:val="BodyText"/>
        <w:spacing w:line="278" w:lineRule="auto" w:before="120"/>
        <w:ind w:left="172" w:right="408"/>
        <w:jc w:val="both"/>
      </w:pPr>
      <w:r>
        <w:rPr/>
        <w:t>Por</w:t>
      </w:r>
      <w:r>
        <w:rPr>
          <w:spacing w:val="-28"/>
        </w:rPr>
        <w:t> </w:t>
      </w:r>
      <w:r>
        <w:rPr/>
        <w:t>fim,</w:t>
      </w:r>
      <w:r>
        <w:rPr>
          <w:spacing w:val="-25"/>
        </w:rPr>
        <w:t> </w:t>
      </w:r>
      <w:r>
        <w:rPr/>
        <w:t>restando</w:t>
      </w:r>
      <w:r>
        <w:rPr>
          <w:spacing w:val="-26"/>
        </w:rPr>
        <w:t> </w:t>
      </w:r>
      <w:r>
        <w:rPr/>
        <w:t>cumprida</w:t>
      </w:r>
      <w:r>
        <w:rPr>
          <w:spacing w:val="-24"/>
        </w:rPr>
        <w:t> </w:t>
      </w:r>
      <w:r>
        <w:rPr/>
        <w:t>as</w:t>
      </w:r>
      <w:r>
        <w:rPr>
          <w:spacing w:val="-25"/>
        </w:rPr>
        <w:t> </w:t>
      </w:r>
      <w:r>
        <w:rPr/>
        <w:t>exigências</w:t>
      </w:r>
      <w:r>
        <w:rPr>
          <w:spacing w:val="-26"/>
        </w:rPr>
        <w:t> </w:t>
      </w:r>
      <w:r>
        <w:rPr/>
        <w:t>expedidas</w:t>
      </w:r>
      <w:r>
        <w:rPr>
          <w:spacing w:val="-25"/>
        </w:rPr>
        <w:t> </w:t>
      </w:r>
      <w:r>
        <w:rPr/>
        <w:t>pelo</w:t>
      </w:r>
      <w:r>
        <w:rPr>
          <w:spacing w:val="-26"/>
        </w:rPr>
        <w:t> </w:t>
      </w:r>
      <w:r>
        <w:rPr/>
        <w:t>Órgão</w:t>
      </w:r>
      <w:r>
        <w:rPr>
          <w:spacing w:val="-27"/>
        </w:rPr>
        <w:t> </w:t>
      </w:r>
      <w:r>
        <w:rPr/>
        <w:t>Regulador,</w:t>
      </w:r>
      <w:r>
        <w:rPr>
          <w:spacing w:val="-24"/>
        </w:rPr>
        <w:t> </w:t>
      </w:r>
      <w:r>
        <w:rPr/>
        <w:t>em</w:t>
      </w:r>
      <w:r>
        <w:rPr>
          <w:spacing w:val="-27"/>
        </w:rPr>
        <w:t> </w:t>
      </w:r>
      <w:r>
        <w:rPr/>
        <w:t>17</w:t>
      </w:r>
      <w:r>
        <w:rPr>
          <w:spacing w:val="-24"/>
        </w:rPr>
        <w:t> </w:t>
      </w:r>
      <w:r>
        <w:rPr/>
        <w:t>de</w:t>
      </w:r>
      <w:r>
        <w:rPr>
          <w:spacing w:val="-27"/>
        </w:rPr>
        <w:t> </w:t>
      </w:r>
      <w:r>
        <w:rPr/>
        <w:t>março</w:t>
      </w:r>
      <w:r>
        <w:rPr>
          <w:spacing w:val="-25"/>
        </w:rPr>
        <w:t> </w:t>
      </w:r>
      <w:r>
        <w:rPr/>
        <w:t>de</w:t>
      </w:r>
      <w:r>
        <w:rPr>
          <w:spacing w:val="-25"/>
        </w:rPr>
        <w:t> </w:t>
      </w:r>
      <w:r>
        <w:rPr/>
        <w:t>2020,</w:t>
      </w:r>
      <w:r>
        <w:rPr>
          <w:spacing w:val="-25"/>
        </w:rPr>
        <w:t> </w:t>
      </w:r>
      <w:r>
        <w:rPr/>
        <w:t>a</w:t>
      </w:r>
      <w:r>
        <w:rPr>
          <w:spacing w:val="-26"/>
        </w:rPr>
        <w:t> </w:t>
      </w:r>
      <w:r>
        <w:rPr/>
        <w:t>Diretoria</w:t>
      </w:r>
      <w:r>
        <w:rPr>
          <w:spacing w:val="-25"/>
        </w:rPr>
        <w:t> </w:t>
      </w:r>
      <w:r>
        <w:rPr/>
        <w:t>de Licenciamento</w:t>
      </w:r>
      <w:r>
        <w:rPr>
          <w:spacing w:val="-41"/>
        </w:rPr>
        <w:t> </w:t>
      </w:r>
      <w:r>
        <w:rPr/>
        <w:t>da</w:t>
      </w:r>
      <w:r>
        <w:rPr>
          <w:spacing w:val="-41"/>
        </w:rPr>
        <w:t> </w:t>
      </w:r>
      <w:r>
        <w:rPr/>
        <w:t>Superintendência</w:t>
      </w:r>
      <w:r>
        <w:rPr>
          <w:spacing w:val="-42"/>
        </w:rPr>
        <w:t> </w:t>
      </w:r>
      <w:r>
        <w:rPr/>
        <w:t>Nacional</w:t>
      </w:r>
      <w:r>
        <w:rPr>
          <w:spacing w:val="-41"/>
        </w:rPr>
        <w:t> </w:t>
      </w:r>
      <w:r>
        <w:rPr/>
        <w:t>de</w:t>
      </w:r>
      <w:r>
        <w:rPr>
          <w:spacing w:val="-42"/>
        </w:rPr>
        <w:t> </w:t>
      </w:r>
      <w:r>
        <w:rPr/>
        <w:t>Previdência</w:t>
      </w:r>
      <w:r>
        <w:rPr>
          <w:spacing w:val="-41"/>
        </w:rPr>
        <w:t> </w:t>
      </w:r>
      <w:r>
        <w:rPr/>
        <w:t>Complementar</w:t>
      </w:r>
      <w:r>
        <w:rPr>
          <w:spacing w:val="-41"/>
        </w:rPr>
        <w:t> </w:t>
      </w:r>
      <w:r>
        <w:rPr/>
        <w:t>emitiu</w:t>
      </w:r>
      <w:r>
        <w:rPr>
          <w:spacing w:val="-42"/>
        </w:rPr>
        <w:t> </w:t>
      </w:r>
      <w:r>
        <w:rPr/>
        <w:t>a</w:t>
      </w:r>
      <w:r>
        <w:rPr>
          <w:spacing w:val="-41"/>
        </w:rPr>
        <w:t> </w:t>
      </w:r>
      <w:r>
        <w:rPr/>
        <w:t>Portaria</w:t>
      </w:r>
      <w:r>
        <w:rPr>
          <w:spacing w:val="-41"/>
        </w:rPr>
        <w:t> </w:t>
      </w:r>
      <w:r>
        <w:rPr/>
        <w:t>nº</w:t>
      </w:r>
      <w:r>
        <w:rPr>
          <w:spacing w:val="-41"/>
        </w:rPr>
        <w:t> </w:t>
      </w:r>
      <w:r>
        <w:rPr/>
        <w:t>196,</w:t>
      </w:r>
      <w:r>
        <w:rPr>
          <w:spacing w:val="-42"/>
        </w:rPr>
        <w:t> </w:t>
      </w:r>
      <w:r>
        <w:rPr/>
        <w:t>de</w:t>
      </w:r>
      <w:r>
        <w:rPr>
          <w:spacing w:val="-42"/>
        </w:rPr>
        <w:t> </w:t>
      </w:r>
      <w:r>
        <w:rPr/>
        <w:t>13</w:t>
      </w:r>
      <w:r>
        <w:rPr>
          <w:spacing w:val="-42"/>
        </w:rPr>
        <w:t> </w:t>
      </w:r>
      <w:r>
        <w:rPr/>
        <w:t>de</w:t>
      </w:r>
      <w:r>
        <w:rPr>
          <w:spacing w:val="-42"/>
        </w:rPr>
        <w:t> </w:t>
      </w:r>
      <w:r>
        <w:rPr>
          <w:spacing w:val="2"/>
        </w:rPr>
        <w:t>março </w:t>
      </w:r>
      <w:r>
        <w:rPr/>
        <w:t>de 2020,</w:t>
      </w:r>
      <w:r>
        <w:rPr>
          <w:spacing w:val="-35"/>
        </w:rPr>
        <w:t> </w:t>
      </w:r>
      <w:r>
        <w:rPr/>
        <w:t>resolvendo:</w:t>
      </w:r>
    </w:p>
    <w:p>
      <w:pPr>
        <w:pStyle w:val="ListParagraph"/>
        <w:numPr>
          <w:ilvl w:val="3"/>
          <w:numId w:val="34"/>
        </w:numPr>
        <w:tabs>
          <w:tab w:pos="1806" w:val="left" w:leader="none"/>
        </w:tabs>
        <w:spacing w:line="278" w:lineRule="auto" w:before="121" w:after="0"/>
        <w:ind w:left="1805" w:right="413" w:hanging="555"/>
        <w:jc w:val="both"/>
        <w:rPr>
          <w:sz w:val="20"/>
        </w:rPr>
      </w:pPr>
      <w:r>
        <w:rPr>
          <w:w w:val="105"/>
          <w:sz w:val="20"/>
        </w:rPr>
        <w:t>Autorizar</w:t>
      </w:r>
      <w:r>
        <w:rPr>
          <w:spacing w:val="-6"/>
          <w:w w:val="105"/>
          <w:sz w:val="20"/>
        </w:rPr>
        <w:t> </w:t>
      </w:r>
      <w:r>
        <w:rPr>
          <w:w w:val="105"/>
          <w:sz w:val="20"/>
        </w:rPr>
        <w:t>as</w:t>
      </w:r>
      <w:r>
        <w:rPr>
          <w:spacing w:val="-5"/>
          <w:w w:val="105"/>
          <w:sz w:val="20"/>
        </w:rPr>
        <w:t> </w:t>
      </w:r>
      <w:r>
        <w:rPr>
          <w:w w:val="105"/>
          <w:sz w:val="20"/>
        </w:rPr>
        <w:t>alterações</w:t>
      </w:r>
      <w:r>
        <w:rPr>
          <w:spacing w:val="-5"/>
          <w:w w:val="105"/>
          <w:sz w:val="20"/>
        </w:rPr>
        <w:t> </w:t>
      </w:r>
      <w:r>
        <w:rPr>
          <w:w w:val="105"/>
          <w:sz w:val="20"/>
        </w:rPr>
        <w:t>propostas</w:t>
      </w:r>
      <w:r>
        <w:rPr>
          <w:spacing w:val="-4"/>
          <w:w w:val="105"/>
          <w:sz w:val="20"/>
        </w:rPr>
        <w:t> </w:t>
      </w:r>
      <w:r>
        <w:rPr>
          <w:w w:val="105"/>
          <w:sz w:val="20"/>
        </w:rPr>
        <w:t>ao</w:t>
      </w:r>
      <w:r>
        <w:rPr>
          <w:spacing w:val="-5"/>
          <w:w w:val="105"/>
          <w:sz w:val="20"/>
        </w:rPr>
        <w:t> </w:t>
      </w:r>
      <w:r>
        <w:rPr>
          <w:w w:val="105"/>
          <w:sz w:val="20"/>
        </w:rPr>
        <w:t>regulamento</w:t>
      </w:r>
      <w:r>
        <w:rPr>
          <w:spacing w:val="-6"/>
          <w:w w:val="105"/>
          <w:sz w:val="20"/>
        </w:rPr>
        <w:t> </w:t>
      </w:r>
      <w:r>
        <w:rPr>
          <w:w w:val="105"/>
          <w:sz w:val="20"/>
        </w:rPr>
        <w:t>do</w:t>
      </w:r>
      <w:r>
        <w:rPr>
          <w:spacing w:val="-4"/>
          <w:w w:val="105"/>
          <w:sz w:val="20"/>
        </w:rPr>
        <w:t> </w:t>
      </w:r>
      <w:r>
        <w:rPr>
          <w:w w:val="105"/>
          <w:sz w:val="20"/>
        </w:rPr>
        <w:t>Plano</w:t>
      </w:r>
      <w:r>
        <w:rPr>
          <w:spacing w:val="-5"/>
          <w:w w:val="105"/>
          <w:sz w:val="20"/>
        </w:rPr>
        <w:t> </w:t>
      </w:r>
      <w:r>
        <w:rPr>
          <w:w w:val="105"/>
          <w:sz w:val="20"/>
        </w:rPr>
        <w:t>Complementar</w:t>
      </w:r>
      <w:r>
        <w:rPr>
          <w:spacing w:val="-6"/>
          <w:w w:val="105"/>
          <w:sz w:val="20"/>
        </w:rPr>
        <w:t> </w:t>
      </w:r>
      <w:r>
        <w:rPr>
          <w:w w:val="105"/>
          <w:sz w:val="20"/>
        </w:rPr>
        <w:t>de</w:t>
      </w:r>
      <w:r>
        <w:rPr>
          <w:spacing w:val="-4"/>
          <w:w w:val="105"/>
          <w:sz w:val="20"/>
        </w:rPr>
        <w:t> </w:t>
      </w:r>
      <w:r>
        <w:rPr>
          <w:w w:val="105"/>
          <w:sz w:val="20"/>
        </w:rPr>
        <w:t>Benefícios </w:t>
      </w:r>
      <w:r>
        <w:rPr>
          <w:sz w:val="20"/>
        </w:rPr>
        <w:t>Previdenciais</w:t>
      </w:r>
      <w:r>
        <w:rPr>
          <w:spacing w:val="-30"/>
          <w:sz w:val="20"/>
        </w:rPr>
        <w:t> </w:t>
      </w:r>
      <w:r>
        <w:rPr>
          <w:sz w:val="20"/>
        </w:rPr>
        <w:t>da</w:t>
      </w:r>
      <w:r>
        <w:rPr>
          <w:spacing w:val="-29"/>
          <w:sz w:val="20"/>
        </w:rPr>
        <w:t> </w:t>
      </w:r>
      <w:r>
        <w:rPr>
          <w:sz w:val="20"/>
        </w:rPr>
        <w:t>FACEB,</w:t>
      </w:r>
      <w:r>
        <w:rPr>
          <w:spacing w:val="-29"/>
          <w:sz w:val="20"/>
        </w:rPr>
        <w:t> </w:t>
      </w:r>
      <w:r>
        <w:rPr>
          <w:sz w:val="20"/>
        </w:rPr>
        <w:t>CNPB</w:t>
      </w:r>
      <w:r>
        <w:rPr>
          <w:spacing w:val="-30"/>
          <w:sz w:val="20"/>
        </w:rPr>
        <w:t> </w:t>
      </w:r>
      <w:r>
        <w:rPr>
          <w:sz w:val="20"/>
        </w:rPr>
        <w:t>nº</w:t>
      </w:r>
      <w:r>
        <w:rPr>
          <w:spacing w:val="-28"/>
          <w:sz w:val="20"/>
        </w:rPr>
        <w:t> </w:t>
      </w:r>
      <w:r>
        <w:rPr>
          <w:sz w:val="20"/>
        </w:rPr>
        <w:t>1993.0004-29,</w:t>
      </w:r>
      <w:r>
        <w:rPr>
          <w:spacing w:val="-30"/>
          <w:sz w:val="20"/>
        </w:rPr>
        <w:t> </w:t>
      </w:r>
      <w:r>
        <w:rPr>
          <w:sz w:val="20"/>
        </w:rPr>
        <w:t>administrado</w:t>
      </w:r>
      <w:r>
        <w:rPr>
          <w:spacing w:val="-30"/>
          <w:sz w:val="20"/>
        </w:rPr>
        <w:t> </w:t>
      </w:r>
      <w:r>
        <w:rPr>
          <w:sz w:val="20"/>
        </w:rPr>
        <w:t>pela</w:t>
      </w:r>
      <w:r>
        <w:rPr>
          <w:spacing w:val="-29"/>
          <w:sz w:val="20"/>
        </w:rPr>
        <w:t> </w:t>
      </w:r>
      <w:r>
        <w:rPr>
          <w:sz w:val="20"/>
        </w:rPr>
        <w:t>Fundação</w:t>
      </w:r>
      <w:r>
        <w:rPr>
          <w:spacing w:val="-29"/>
          <w:sz w:val="20"/>
        </w:rPr>
        <w:t> </w:t>
      </w:r>
      <w:r>
        <w:rPr>
          <w:sz w:val="20"/>
        </w:rPr>
        <w:t>de</w:t>
      </w:r>
      <w:r>
        <w:rPr>
          <w:spacing w:val="-29"/>
          <w:sz w:val="20"/>
        </w:rPr>
        <w:t> </w:t>
      </w:r>
      <w:r>
        <w:rPr>
          <w:sz w:val="20"/>
        </w:rPr>
        <w:t>Previdência</w:t>
      </w:r>
      <w:r>
        <w:rPr>
          <w:spacing w:val="-29"/>
          <w:sz w:val="20"/>
        </w:rPr>
        <w:t> </w:t>
      </w:r>
      <w:r>
        <w:rPr>
          <w:sz w:val="20"/>
        </w:rPr>
        <w:t>dos </w:t>
      </w:r>
      <w:r>
        <w:rPr>
          <w:w w:val="105"/>
          <w:sz w:val="20"/>
        </w:rPr>
        <w:t>Empregados</w:t>
      </w:r>
      <w:r>
        <w:rPr>
          <w:spacing w:val="-21"/>
          <w:w w:val="105"/>
          <w:sz w:val="20"/>
        </w:rPr>
        <w:t> </w:t>
      </w:r>
      <w:r>
        <w:rPr>
          <w:w w:val="105"/>
          <w:sz w:val="20"/>
        </w:rPr>
        <w:t>da</w:t>
      </w:r>
      <w:r>
        <w:rPr>
          <w:spacing w:val="-18"/>
          <w:w w:val="105"/>
          <w:sz w:val="20"/>
        </w:rPr>
        <w:t> </w:t>
      </w:r>
      <w:r>
        <w:rPr>
          <w:w w:val="105"/>
          <w:sz w:val="20"/>
        </w:rPr>
        <w:t>CEB</w:t>
      </w:r>
      <w:r>
        <w:rPr>
          <w:spacing w:val="-19"/>
          <w:w w:val="105"/>
          <w:sz w:val="20"/>
        </w:rPr>
        <w:t> </w:t>
      </w:r>
      <w:r>
        <w:rPr>
          <w:w w:val="105"/>
          <w:sz w:val="20"/>
        </w:rPr>
        <w:t>–</w:t>
      </w:r>
      <w:r>
        <w:rPr>
          <w:spacing w:val="-20"/>
          <w:w w:val="105"/>
          <w:sz w:val="20"/>
        </w:rPr>
        <w:t> </w:t>
      </w:r>
      <w:r>
        <w:rPr>
          <w:w w:val="105"/>
          <w:sz w:val="20"/>
        </w:rPr>
        <w:t>FACEB;</w:t>
      </w:r>
    </w:p>
    <w:p>
      <w:pPr>
        <w:pStyle w:val="ListParagraph"/>
        <w:numPr>
          <w:ilvl w:val="3"/>
          <w:numId w:val="34"/>
        </w:numPr>
        <w:tabs>
          <w:tab w:pos="1806" w:val="left" w:leader="none"/>
        </w:tabs>
        <w:spacing w:line="280" w:lineRule="auto" w:before="121" w:after="0"/>
        <w:ind w:left="1805" w:right="415" w:hanging="555"/>
        <w:jc w:val="both"/>
        <w:rPr>
          <w:sz w:val="20"/>
        </w:rPr>
      </w:pPr>
      <w:r>
        <w:rPr>
          <w:w w:val="105"/>
          <w:sz w:val="20"/>
        </w:rPr>
        <w:t>Autorizar</w:t>
      </w:r>
      <w:r>
        <w:rPr>
          <w:spacing w:val="-33"/>
          <w:w w:val="105"/>
          <w:sz w:val="20"/>
        </w:rPr>
        <w:t> </w:t>
      </w:r>
      <w:r>
        <w:rPr>
          <w:w w:val="105"/>
          <w:sz w:val="20"/>
        </w:rPr>
        <w:t>as</w:t>
      </w:r>
      <w:r>
        <w:rPr>
          <w:spacing w:val="-31"/>
          <w:w w:val="105"/>
          <w:sz w:val="20"/>
        </w:rPr>
        <w:t> </w:t>
      </w:r>
      <w:r>
        <w:rPr>
          <w:w w:val="105"/>
          <w:sz w:val="20"/>
        </w:rPr>
        <w:t>alterações</w:t>
      </w:r>
      <w:r>
        <w:rPr>
          <w:spacing w:val="-31"/>
          <w:w w:val="105"/>
          <w:sz w:val="20"/>
        </w:rPr>
        <w:t> </w:t>
      </w:r>
      <w:r>
        <w:rPr>
          <w:w w:val="105"/>
          <w:sz w:val="20"/>
        </w:rPr>
        <w:t>propostas</w:t>
      </w:r>
      <w:r>
        <w:rPr>
          <w:spacing w:val="-31"/>
          <w:w w:val="105"/>
          <w:sz w:val="20"/>
        </w:rPr>
        <w:t> </w:t>
      </w:r>
      <w:r>
        <w:rPr>
          <w:w w:val="105"/>
          <w:sz w:val="20"/>
        </w:rPr>
        <w:t>ao</w:t>
      </w:r>
      <w:r>
        <w:rPr>
          <w:spacing w:val="-32"/>
          <w:w w:val="105"/>
          <w:sz w:val="20"/>
        </w:rPr>
        <w:t> </w:t>
      </w:r>
      <w:r>
        <w:rPr>
          <w:w w:val="105"/>
          <w:sz w:val="20"/>
        </w:rPr>
        <w:t>regulamento</w:t>
      </w:r>
      <w:r>
        <w:rPr>
          <w:spacing w:val="-32"/>
          <w:w w:val="105"/>
          <w:sz w:val="20"/>
        </w:rPr>
        <w:t> </w:t>
      </w:r>
      <w:r>
        <w:rPr>
          <w:w w:val="105"/>
          <w:sz w:val="20"/>
        </w:rPr>
        <w:t>do</w:t>
      </w:r>
      <w:r>
        <w:rPr>
          <w:spacing w:val="-31"/>
          <w:w w:val="105"/>
          <w:sz w:val="20"/>
        </w:rPr>
        <w:t> </w:t>
      </w:r>
      <w:r>
        <w:rPr>
          <w:w w:val="105"/>
          <w:sz w:val="20"/>
        </w:rPr>
        <w:t>Plano</w:t>
      </w:r>
      <w:r>
        <w:rPr>
          <w:spacing w:val="-32"/>
          <w:w w:val="105"/>
          <w:sz w:val="20"/>
        </w:rPr>
        <w:t> </w:t>
      </w:r>
      <w:r>
        <w:rPr>
          <w:w w:val="105"/>
          <w:sz w:val="20"/>
        </w:rPr>
        <w:t>de</w:t>
      </w:r>
      <w:r>
        <w:rPr>
          <w:spacing w:val="-31"/>
          <w:w w:val="105"/>
          <w:sz w:val="20"/>
        </w:rPr>
        <w:t> </w:t>
      </w:r>
      <w:r>
        <w:rPr>
          <w:w w:val="105"/>
          <w:sz w:val="20"/>
        </w:rPr>
        <w:t>Benefícios</w:t>
      </w:r>
      <w:r>
        <w:rPr>
          <w:spacing w:val="-31"/>
          <w:w w:val="105"/>
          <w:sz w:val="20"/>
        </w:rPr>
        <w:t> </w:t>
      </w:r>
      <w:r>
        <w:rPr>
          <w:w w:val="105"/>
          <w:sz w:val="20"/>
        </w:rPr>
        <w:t>CEBPREV,</w:t>
      </w:r>
      <w:r>
        <w:rPr>
          <w:spacing w:val="-32"/>
          <w:w w:val="105"/>
          <w:sz w:val="20"/>
        </w:rPr>
        <w:t> </w:t>
      </w:r>
      <w:r>
        <w:rPr>
          <w:w w:val="105"/>
          <w:sz w:val="20"/>
        </w:rPr>
        <w:t>CNPB</w:t>
      </w:r>
      <w:r>
        <w:rPr>
          <w:spacing w:val="-32"/>
          <w:w w:val="105"/>
          <w:sz w:val="20"/>
        </w:rPr>
        <w:t> </w:t>
      </w:r>
      <w:r>
        <w:rPr>
          <w:w w:val="105"/>
          <w:sz w:val="20"/>
        </w:rPr>
        <w:t>nº 2006.0068-11,</w:t>
      </w:r>
      <w:r>
        <w:rPr>
          <w:spacing w:val="-46"/>
          <w:w w:val="105"/>
          <w:sz w:val="20"/>
        </w:rPr>
        <w:t> </w:t>
      </w:r>
      <w:r>
        <w:rPr>
          <w:w w:val="105"/>
          <w:sz w:val="20"/>
        </w:rPr>
        <w:t>administrado</w:t>
      </w:r>
      <w:r>
        <w:rPr>
          <w:spacing w:val="-46"/>
          <w:w w:val="105"/>
          <w:sz w:val="20"/>
        </w:rPr>
        <w:t> </w:t>
      </w:r>
      <w:r>
        <w:rPr>
          <w:w w:val="105"/>
          <w:sz w:val="20"/>
        </w:rPr>
        <w:t>pela</w:t>
      </w:r>
      <w:r>
        <w:rPr>
          <w:spacing w:val="-46"/>
          <w:w w:val="105"/>
          <w:sz w:val="20"/>
        </w:rPr>
        <w:t> </w:t>
      </w:r>
      <w:r>
        <w:rPr>
          <w:w w:val="105"/>
          <w:sz w:val="20"/>
        </w:rPr>
        <w:t>Fundação</w:t>
      </w:r>
      <w:r>
        <w:rPr>
          <w:spacing w:val="-47"/>
          <w:w w:val="105"/>
          <w:sz w:val="20"/>
        </w:rPr>
        <w:t> </w:t>
      </w:r>
      <w:r>
        <w:rPr>
          <w:w w:val="105"/>
          <w:sz w:val="20"/>
        </w:rPr>
        <w:t>de</w:t>
      </w:r>
      <w:r>
        <w:rPr>
          <w:spacing w:val="-46"/>
          <w:w w:val="105"/>
          <w:sz w:val="20"/>
        </w:rPr>
        <w:t> </w:t>
      </w:r>
      <w:r>
        <w:rPr>
          <w:w w:val="105"/>
          <w:sz w:val="20"/>
        </w:rPr>
        <w:t>Previdência</w:t>
      </w:r>
      <w:r>
        <w:rPr>
          <w:spacing w:val="-46"/>
          <w:w w:val="105"/>
          <w:sz w:val="20"/>
        </w:rPr>
        <w:t> </w:t>
      </w:r>
      <w:r>
        <w:rPr>
          <w:w w:val="105"/>
          <w:sz w:val="20"/>
        </w:rPr>
        <w:t>dos</w:t>
      </w:r>
      <w:r>
        <w:rPr>
          <w:spacing w:val="-46"/>
          <w:w w:val="105"/>
          <w:sz w:val="20"/>
        </w:rPr>
        <w:t> </w:t>
      </w:r>
      <w:r>
        <w:rPr>
          <w:w w:val="105"/>
          <w:sz w:val="20"/>
        </w:rPr>
        <w:t>Empregados</w:t>
      </w:r>
      <w:r>
        <w:rPr>
          <w:spacing w:val="-47"/>
          <w:w w:val="105"/>
          <w:sz w:val="20"/>
        </w:rPr>
        <w:t> </w:t>
      </w:r>
      <w:r>
        <w:rPr>
          <w:w w:val="105"/>
          <w:sz w:val="20"/>
        </w:rPr>
        <w:t>da</w:t>
      </w:r>
      <w:r>
        <w:rPr>
          <w:spacing w:val="-46"/>
          <w:w w:val="105"/>
          <w:sz w:val="20"/>
        </w:rPr>
        <w:t> </w:t>
      </w:r>
      <w:r>
        <w:rPr>
          <w:w w:val="105"/>
          <w:sz w:val="20"/>
        </w:rPr>
        <w:t>CEB</w:t>
      </w:r>
      <w:r>
        <w:rPr>
          <w:spacing w:val="-44"/>
          <w:w w:val="105"/>
          <w:sz w:val="20"/>
        </w:rPr>
        <w:t> </w:t>
      </w:r>
      <w:r>
        <w:rPr>
          <w:w w:val="105"/>
          <w:sz w:val="20"/>
        </w:rPr>
        <w:t>–</w:t>
      </w:r>
      <w:r>
        <w:rPr>
          <w:spacing w:val="-45"/>
          <w:w w:val="105"/>
          <w:sz w:val="20"/>
        </w:rPr>
        <w:t> </w:t>
      </w:r>
      <w:r>
        <w:rPr>
          <w:w w:val="105"/>
          <w:sz w:val="20"/>
        </w:rPr>
        <w:t>FACEB;</w:t>
      </w:r>
    </w:p>
    <w:p>
      <w:pPr>
        <w:pStyle w:val="ListParagraph"/>
        <w:numPr>
          <w:ilvl w:val="3"/>
          <w:numId w:val="34"/>
        </w:numPr>
        <w:tabs>
          <w:tab w:pos="1806" w:val="left" w:leader="none"/>
        </w:tabs>
        <w:spacing w:line="278" w:lineRule="auto" w:before="117" w:after="0"/>
        <w:ind w:left="1805" w:right="409" w:hanging="555"/>
        <w:jc w:val="both"/>
        <w:rPr>
          <w:sz w:val="20"/>
        </w:rPr>
      </w:pPr>
      <w:r>
        <w:rPr>
          <w:w w:val="105"/>
          <w:sz w:val="20"/>
        </w:rPr>
        <w:t>Autorizar</w:t>
      </w:r>
      <w:r>
        <w:rPr>
          <w:spacing w:val="-33"/>
          <w:w w:val="105"/>
          <w:sz w:val="20"/>
        </w:rPr>
        <w:t> </w:t>
      </w:r>
      <w:r>
        <w:rPr>
          <w:w w:val="105"/>
          <w:sz w:val="20"/>
        </w:rPr>
        <w:t>a</w:t>
      </w:r>
      <w:r>
        <w:rPr>
          <w:spacing w:val="-31"/>
          <w:w w:val="105"/>
          <w:sz w:val="20"/>
        </w:rPr>
        <w:t> </w:t>
      </w:r>
      <w:r>
        <w:rPr>
          <w:w w:val="105"/>
          <w:sz w:val="20"/>
        </w:rPr>
        <w:t>aplicação</w:t>
      </w:r>
      <w:r>
        <w:rPr>
          <w:spacing w:val="-32"/>
          <w:w w:val="105"/>
          <w:sz w:val="20"/>
        </w:rPr>
        <w:t> </w:t>
      </w:r>
      <w:r>
        <w:rPr>
          <w:w w:val="105"/>
          <w:sz w:val="20"/>
        </w:rPr>
        <w:t>do</w:t>
      </w:r>
      <w:r>
        <w:rPr>
          <w:spacing w:val="-31"/>
          <w:w w:val="105"/>
          <w:sz w:val="20"/>
        </w:rPr>
        <w:t> </w:t>
      </w:r>
      <w:r>
        <w:rPr>
          <w:w w:val="105"/>
          <w:sz w:val="20"/>
        </w:rPr>
        <w:t>regulamento</w:t>
      </w:r>
      <w:r>
        <w:rPr>
          <w:spacing w:val="-32"/>
          <w:w w:val="105"/>
          <w:sz w:val="20"/>
        </w:rPr>
        <w:t> </w:t>
      </w:r>
      <w:r>
        <w:rPr>
          <w:w w:val="105"/>
          <w:sz w:val="20"/>
        </w:rPr>
        <w:t>do</w:t>
      </w:r>
      <w:r>
        <w:rPr>
          <w:spacing w:val="-31"/>
          <w:w w:val="105"/>
          <w:sz w:val="20"/>
        </w:rPr>
        <w:t> </w:t>
      </w:r>
      <w:r>
        <w:rPr>
          <w:w w:val="105"/>
          <w:sz w:val="20"/>
        </w:rPr>
        <w:t>Plano</w:t>
      </w:r>
      <w:r>
        <w:rPr>
          <w:spacing w:val="-32"/>
          <w:w w:val="105"/>
          <w:sz w:val="20"/>
        </w:rPr>
        <w:t> </w:t>
      </w:r>
      <w:r>
        <w:rPr>
          <w:w w:val="105"/>
          <w:sz w:val="20"/>
        </w:rPr>
        <w:t>Complementar</w:t>
      </w:r>
      <w:r>
        <w:rPr>
          <w:spacing w:val="-31"/>
          <w:w w:val="105"/>
          <w:sz w:val="20"/>
        </w:rPr>
        <w:t> </w:t>
      </w:r>
      <w:r>
        <w:rPr>
          <w:w w:val="105"/>
          <w:sz w:val="20"/>
        </w:rPr>
        <w:t>de</w:t>
      </w:r>
      <w:r>
        <w:rPr>
          <w:spacing w:val="-33"/>
          <w:w w:val="105"/>
          <w:sz w:val="20"/>
        </w:rPr>
        <w:t> </w:t>
      </w:r>
      <w:r>
        <w:rPr>
          <w:w w:val="105"/>
          <w:sz w:val="20"/>
        </w:rPr>
        <w:t>Benefícios</w:t>
      </w:r>
      <w:r>
        <w:rPr>
          <w:spacing w:val="-31"/>
          <w:w w:val="105"/>
          <w:sz w:val="20"/>
        </w:rPr>
        <w:t> </w:t>
      </w:r>
      <w:r>
        <w:rPr>
          <w:w w:val="105"/>
          <w:sz w:val="20"/>
        </w:rPr>
        <w:t>Previdenciais</w:t>
      </w:r>
      <w:r>
        <w:rPr>
          <w:spacing w:val="-29"/>
          <w:w w:val="105"/>
          <w:sz w:val="20"/>
        </w:rPr>
        <w:t> </w:t>
      </w:r>
      <w:r>
        <w:rPr>
          <w:w w:val="105"/>
          <w:sz w:val="20"/>
        </w:rPr>
        <w:t>- FACEB-SALDADO,</w:t>
      </w:r>
      <w:r>
        <w:rPr>
          <w:spacing w:val="-37"/>
          <w:w w:val="105"/>
          <w:sz w:val="20"/>
        </w:rPr>
        <w:t> </w:t>
      </w:r>
      <w:r>
        <w:rPr>
          <w:w w:val="105"/>
          <w:sz w:val="20"/>
        </w:rPr>
        <w:t>a</w:t>
      </w:r>
      <w:r>
        <w:rPr>
          <w:spacing w:val="-36"/>
          <w:w w:val="105"/>
          <w:sz w:val="20"/>
        </w:rPr>
        <w:t> </w:t>
      </w:r>
      <w:r>
        <w:rPr>
          <w:w w:val="105"/>
          <w:sz w:val="20"/>
        </w:rPr>
        <w:t>ser</w:t>
      </w:r>
      <w:r>
        <w:rPr>
          <w:spacing w:val="-35"/>
          <w:w w:val="105"/>
          <w:sz w:val="20"/>
        </w:rPr>
        <w:t> </w:t>
      </w:r>
      <w:r>
        <w:rPr>
          <w:w w:val="105"/>
          <w:sz w:val="20"/>
        </w:rPr>
        <w:t>administrado</w:t>
      </w:r>
      <w:r>
        <w:rPr>
          <w:spacing w:val="-36"/>
          <w:w w:val="105"/>
          <w:sz w:val="20"/>
        </w:rPr>
        <w:t> </w:t>
      </w:r>
      <w:r>
        <w:rPr>
          <w:w w:val="105"/>
          <w:sz w:val="20"/>
        </w:rPr>
        <w:t>pela</w:t>
      </w:r>
      <w:r>
        <w:rPr>
          <w:spacing w:val="-36"/>
          <w:w w:val="105"/>
          <w:sz w:val="20"/>
        </w:rPr>
        <w:t> </w:t>
      </w:r>
      <w:r>
        <w:rPr>
          <w:w w:val="105"/>
          <w:sz w:val="20"/>
        </w:rPr>
        <w:t>Fundação</w:t>
      </w:r>
      <w:r>
        <w:rPr>
          <w:spacing w:val="-36"/>
          <w:w w:val="105"/>
          <w:sz w:val="20"/>
        </w:rPr>
        <w:t> </w:t>
      </w:r>
      <w:r>
        <w:rPr>
          <w:w w:val="105"/>
          <w:sz w:val="20"/>
        </w:rPr>
        <w:t>de</w:t>
      </w:r>
      <w:r>
        <w:rPr>
          <w:spacing w:val="-37"/>
          <w:w w:val="105"/>
          <w:sz w:val="20"/>
        </w:rPr>
        <w:t> </w:t>
      </w:r>
      <w:r>
        <w:rPr>
          <w:w w:val="105"/>
          <w:sz w:val="20"/>
        </w:rPr>
        <w:t>Previdência</w:t>
      </w:r>
      <w:r>
        <w:rPr>
          <w:spacing w:val="-36"/>
          <w:w w:val="105"/>
          <w:sz w:val="20"/>
        </w:rPr>
        <w:t> </w:t>
      </w:r>
      <w:r>
        <w:rPr>
          <w:w w:val="105"/>
          <w:sz w:val="20"/>
        </w:rPr>
        <w:t>dos</w:t>
      </w:r>
      <w:r>
        <w:rPr>
          <w:spacing w:val="-36"/>
          <w:w w:val="105"/>
          <w:sz w:val="20"/>
        </w:rPr>
        <w:t> </w:t>
      </w:r>
      <w:r>
        <w:rPr>
          <w:w w:val="105"/>
          <w:sz w:val="20"/>
        </w:rPr>
        <w:t>Empregados</w:t>
      </w:r>
      <w:r>
        <w:rPr>
          <w:spacing w:val="-36"/>
          <w:w w:val="105"/>
          <w:sz w:val="20"/>
        </w:rPr>
        <w:t> </w:t>
      </w:r>
      <w:r>
        <w:rPr>
          <w:w w:val="105"/>
          <w:sz w:val="20"/>
        </w:rPr>
        <w:t>da</w:t>
      </w:r>
      <w:r>
        <w:rPr>
          <w:spacing w:val="-36"/>
          <w:w w:val="105"/>
          <w:sz w:val="20"/>
        </w:rPr>
        <w:t> </w:t>
      </w:r>
      <w:r>
        <w:rPr>
          <w:w w:val="105"/>
          <w:sz w:val="20"/>
        </w:rPr>
        <w:t>CEB</w:t>
      </w:r>
      <w:r>
        <w:rPr>
          <w:spacing w:val="-32"/>
          <w:w w:val="105"/>
          <w:sz w:val="20"/>
        </w:rPr>
        <w:t> </w:t>
      </w:r>
      <w:r>
        <w:rPr>
          <w:w w:val="105"/>
          <w:sz w:val="20"/>
        </w:rPr>
        <w:t>– FACEB;</w:t>
      </w:r>
    </w:p>
    <w:p>
      <w:pPr>
        <w:pStyle w:val="ListParagraph"/>
        <w:numPr>
          <w:ilvl w:val="3"/>
          <w:numId w:val="34"/>
        </w:numPr>
        <w:tabs>
          <w:tab w:pos="1806" w:val="left" w:leader="none"/>
        </w:tabs>
        <w:spacing w:line="280" w:lineRule="auto" w:before="120" w:after="0"/>
        <w:ind w:left="1805" w:right="410" w:hanging="555"/>
        <w:jc w:val="both"/>
        <w:rPr>
          <w:sz w:val="20"/>
        </w:rPr>
      </w:pPr>
      <w:r>
        <w:rPr>
          <w:sz w:val="20"/>
        </w:rPr>
        <w:t>Inscrever no Cadastro Nacional de Planos de Benefícios - CNPB o Plano Complementar de Benefícios</w:t>
      </w:r>
      <w:r>
        <w:rPr>
          <w:spacing w:val="-16"/>
          <w:sz w:val="20"/>
        </w:rPr>
        <w:t> </w:t>
      </w:r>
      <w:r>
        <w:rPr>
          <w:sz w:val="20"/>
        </w:rPr>
        <w:t>Previdenciais</w:t>
      </w:r>
      <w:r>
        <w:rPr>
          <w:spacing w:val="-16"/>
          <w:sz w:val="20"/>
        </w:rPr>
        <w:t> </w:t>
      </w:r>
      <w:r>
        <w:rPr>
          <w:sz w:val="20"/>
        </w:rPr>
        <w:t>-</w:t>
      </w:r>
      <w:r>
        <w:rPr>
          <w:spacing w:val="-17"/>
          <w:sz w:val="20"/>
        </w:rPr>
        <w:t> </w:t>
      </w:r>
      <w:r>
        <w:rPr>
          <w:sz w:val="20"/>
        </w:rPr>
        <w:t>FACEB-SALDADO,</w:t>
      </w:r>
      <w:r>
        <w:rPr>
          <w:spacing w:val="-19"/>
          <w:sz w:val="20"/>
        </w:rPr>
        <w:t> </w:t>
      </w:r>
      <w:r>
        <w:rPr>
          <w:sz w:val="20"/>
        </w:rPr>
        <w:t>sob</w:t>
      </w:r>
      <w:r>
        <w:rPr>
          <w:spacing w:val="-17"/>
          <w:sz w:val="20"/>
        </w:rPr>
        <w:t> </w:t>
      </w:r>
      <w:r>
        <w:rPr>
          <w:sz w:val="20"/>
        </w:rPr>
        <w:t>o</w:t>
      </w:r>
      <w:r>
        <w:rPr>
          <w:spacing w:val="-16"/>
          <w:sz w:val="20"/>
        </w:rPr>
        <w:t> </w:t>
      </w:r>
      <w:r>
        <w:rPr>
          <w:sz w:val="20"/>
        </w:rPr>
        <w:t>nº</w:t>
      </w:r>
      <w:r>
        <w:rPr>
          <w:spacing w:val="-17"/>
          <w:sz w:val="20"/>
        </w:rPr>
        <w:t> </w:t>
      </w:r>
      <w:r>
        <w:rPr>
          <w:sz w:val="20"/>
        </w:rPr>
        <w:t>2020.0006-11;</w:t>
      </w:r>
    </w:p>
    <w:p>
      <w:pPr>
        <w:spacing w:after="0" w:line="280" w:lineRule="auto"/>
        <w:jc w:val="both"/>
        <w:rPr>
          <w:sz w:val="20"/>
        </w:rPr>
        <w:sectPr>
          <w:headerReference w:type="default" r:id="rId82"/>
          <w:footerReference w:type="default" r:id="rId83"/>
          <w:pgSz w:w="11910" w:h="16850"/>
          <w:pgMar w:header="792" w:footer="1029" w:top="1280" w:bottom="1220" w:left="960" w:right="440"/>
          <w:pgNumType w:start="8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3"/>
          <w:numId w:val="34"/>
        </w:numPr>
        <w:tabs>
          <w:tab w:pos="1806" w:val="left" w:leader="none"/>
        </w:tabs>
        <w:spacing w:line="278" w:lineRule="auto" w:before="14" w:after="0"/>
        <w:ind w:left="1805" w:right="408" w:hanging="555"/>
        <w:jc w:val="both"/>
        <w:rPr>
          <w:sz w:val="20"/>
        </w:rPr>
      </w:pPr>
      <w:r>
        <w:rPr>
          <w:sz w:val="20"/>
        </w:rPr>
        <w:t>Autorizar</w:t>
      </w:r>
      <w:r>
        <w:rPr>
          <w:spacing w:val="-29"/>
          <w:sz w:val="20"/>
        </w:rPr>
        <w:t> </w:t>
      </w:r>
      <w:r>
        <w:rPr>
          <w:sz w:val="20"/>
        </w:rPr>
        <w:t>o</w:t>
      </w:r>
      <w:r>
        <w:rPr>
          <w:spacing w:val="-27"/>
          <w:sz w:val="20"/>
        </w:rPr>
        <w:t> </w:t>
      </w:r>
      <w:r>
        <w:rPr>
          <w:sz w:val="20"/>
        </w:rPr>
        <w:t>convênio</w:t>
      </w:r>
      <w:r>
        <w:rPr>
          <w:spacing w:val="-28"/>
          <w:sz w:val="20"/>
        </w:rPr>
        <w:t> </w:t>
      </w:r>
      <w:r>
        <w:rPr>
          <w:sz w:val="20"/>
        </w:rPr>
        <w:t>de</w:t>
      </w:r>
      <w:r>
        <w:rPr>
          <w:spacing w:val="-28"/>
          <w:sz w:val="20"/>
        </w:rPr>
        <w:t> </w:t>
      </w:r>
      <w:r>
        <w:rPr>
          <w:sz w:val="20"/>
        </w:rPr>
        <w:t>adesão</w:t>
      </w:r>
      <w:r>
        <w:rPr>
          <w:spacing w:val="-26"/>
          <w:sz w:val="20"/>
        </w:rPr>
        <w:t> </w:t>
      </w:r>
      <w:r>
        <w:rPr>
          <w:sz w:val="20"/>
        </w:rPr>
        <w:t>celebrado</w:t>
      </w:r>
      <w:r>
        <w:rPr>
          <w:spacing w:val="-26"/>
          <w:sz w:val="20"/>
        </w:rPr>
        <w:t> </w:t>
      </w:r>
      <w:r>
        <w:rPr>
          <w:sz w:val="20"/>
        </w:rPr>
        <w:t>entre</w:t>
      </w:r>
      <w:r>
        <w:rPr>
          <w:spacing w:val="-28"/>
          <w:sz w:val="20"/>
        </w:rPr>
        <w:t> </w:t>
      </w:r>
      <w:r>
        <w:rPr>
          <w:sz w:val="20"/>
        </w:rPr>
        <w:t>a</w:t>
      </w:r>
      <w:r>
        <w:rPr>
          <w:spacing w:val="-27"/>
          <w:sz w:val="20"/>
        </w:rPr>
        <w:t> </w:t>
      </w:r>
      <w:r>
        <w:rPr>
          <w:sz w:val="20"/>
        </w:rPr>
        <w:t>Companhia</w:t>
      </w:r>
      <w:r>
        <w:rPr>
          <w:spacing w:val="-28"/>
          <w:sz w:val="20"/>
        </w:rPr>
        <w:t> </w:t>
      </w:r>
      <w:r>
        <w:rPr>
          <w:sz w:val="20"/>
        </w:rPr>
        <w:t>Energética</w:t>
      </w:r>
      <w:r>
        <w:rPr>
          <w:spacing w:val="-27"/>
          <w:sz w:val="20"/>
        </w:rPr>
        <w:t> </w:t>
      </w:r>
      <w:r>
        <w:rPr>
          <w:sz w:val="20"/>
        </w:rPr>
        <w:t>de</w:t>
      </w:r>
      <w:r>
        <w:rPr>
          <w:spacing w:val="-28"/>
          <w:sz w:val="20"/>
        </w:rPr>
        <w:t> </w:t>
      </w:r>
      <w:r>
        <w:rPr>
          <w:sz w:val="20"/>
        </w:rPr>
        <w:t>Brasília</w:t>
      </w:r>
      <w:r>
        <w:rPr>
          <w:spacing w:val="-24"/>
          <w:sz w:val="20"/>
        </w:rPr>
        <w:t> </w:t>
      </w:r>
      <w:r>
        <w:rPr>
          <w:sz w:val="20"/>
        </w:rPr>
        <w:t>-</w:t>
      </w:r>
      <w:r>
        <w:rPr>
          <w:spacing w:val="-28"/>
          <w:sz w:val="20"/>
        </w:rPr>
        <w:t> </w:t>
      </w:r>
      <w:r>
        <w:rPr>
          <w:sz w:val="20"/>
        </w:rPr>
        <w:t>CEB,</w:t>
      </w:r>
      <w:r>
        <w:rPr>
          <w:spacing w:val="-28"/>
          <w:sz w:val="20"/>
        </w:rPr>
        <w:t> </w:t>
      </w:r>
      <w:r>
        <w:rPr>
          <w:sz w:val="20"/>
        </w:rPr>
        <w:t>CNPJ nº</w:t>
      </w:r>
      <w:r>
        <w:rPr>
          <w:spacing w:val="-25"/>
          <w:sz w:val="20"/>
        </w:rPr>
        <w:t> </w:t>
      </w:r>
      <w:r>
        <w:rPr>
          <w:sz w:val="20"/>
        </w:rPr>
        <w:t>00.070.698/0001-11,</w:t>
      </w:r>
      <w:r>
        <w:rPr>
          <w:spacing w:val="-22"/>
          <w:sz w:val="20"/>
        </w:rPr>
        <w:t> </w:t>
      </w:r>
      <w:r>
        <w:rPr>
          <w:sz w:val="20"/>
        </w:rPr>
        <w:t>e</w:t>
      </w:r>
      <w:r>
        <w:rPr>
          <w:spacing w:val="-26"/>
          <w:sz w:val="20"/>
        </w:rPr>
        <w:t> </w:t>
      </w:r>
      <w:r>
        <w:rPr>
          <w:sz w:val="20"/>
        </w:rPr>
        <w:t>a</w:t>
      </w:r>
      <w:r>
        <w:rPr>
          <w:spacing w:val="-22"/>
          <w:sz w:val="20"/>
        </w:rPr>
        <w:t> </w:t>
      </w:r>
      <w:r>
        <w:rPr>
          <w:sz w:val="20"/>
        </w:rPr>
        <w:t>CEB</w:t>
      </w:r>
      <w:r>
        <w:rPr>
          <w:spacing w:val="-25"/>
          <w:sz w:val="20"/>
        </w:rPr>
        <w:t> </w:t>
      </w:r>
      <w:r>
        <w:rPr>
          <w:sz w:val="20"/>
        </w:rPr>
        <w:t>Distribuição</w:t>
      </w:r>
      <w:r>
        <w:rPr>
          <w:spacing w:val="-25"/>
          <w:sz w:val="20"/>
        </w:rPr>
        <w:t> </w:t>
      </w:r>
      <w:r>
        <w:rPr>
          <w:sz w:val="20"/>
        </w:rPr>
        <w:t>S.A.,</w:t>
      </w:r>
      <w:r>
        <w:rPr>
          <w:spacing w:val="-25"/>
          <w:sz w:val="20"/>
        </w:rPr>
        <w:t> </w:t>
      </w:r>
      <w:r>
        <w:rPr>
          <w:sz w:val="20"/>
        </w:rPr>
        <w:t>CNPJ</w:t>
      </w:r>
      <w:r>
        <w:rPr>
          <w:spacing w:val="-24"/>
          <w:sz w:val="20"/>
        </w:rPr>
        <w:t> </w:t>
      </w:r>
      <w:r>
        <w:rPr>
          <w:sz w:val="20"/>
        </w:rPr>
        <w:t>nº</w:t>
      </w:r>
      <w:r>
        <w:rPr>
          <w:spacing w:val="-25"/>
          <w:sz w:val="20"/>
        </w:rPr>
        <w:t> </w:t>
      </w:r>
      <w:r>
        <w:rPr>
          <w:sz w:val="20"/>
        </w:rPr>
        <w:t>07.522.669/0001-92,</w:t>
      </w:r>
      <w:r>
        <w:rPr>
          <w:spacing w:val="-24"/>
          <w:sz w:val="20"/>
        </w:rPr>
        <w:t> </w:t>
      </w:r>
      <w:r>
        <w:rPr>
          <w:sz w:val="20"/>
        </w:rPr>
        <w:t>na</w:t>
      </w:r>
      <w:r>
        <w:rPr>
          <w:spacing w:val="-21"/>
          <w:sz w:val="20"/>
        </w:rPr>
        <w:t> </w:t>
      </w:r>
      <w:r>
        <w:rPr>
          <w:sz w:val="20"/>
        </w:rPr>
        <w:t>condição</w:t>
      </w:r>
      <w:r>
        <w:rPr>
          <w:spacing w:val="-25"/>
          <w:sz w:val="20"/>
        </w:rPr>
        <w:t> </w:t>
      </w:r>
      <w:r>
        <w:rPr>
          <w:sz w:val="20"/>
        </w:rPr>
        <w:t>de patrocinadoras</w:t>
      </w:r>
      <w:r>
        <w:rPr>
          <w:spacing w:val="-27"/>
          <w:sz w:val="20"/>
        </w:rPr>
        <w:t> </w:t>
      </w:r>
      <w:r>
        <w:rPr>
          <w:sz w:val="20"/>
        </w:rPr>
        <w:t>do</w:t>
      </w:r>
      <w:r>
        <w:rPr>
          <w:spacing w:val="-27"/>
          <w:sz w:val="20"/>
        </w:rPr>
        <w:t> </w:t>
      </w:r>
      <w:r>
        <w:rPr>
          <w:sz w:val="20"/>
        </w:rPr>
        <w:t>Plano</w:t>
      </w:r>
      <w:r>
        <w:rPr>
          <w:spacing w:val="-27"/>
          <w:sz w:val="20"/>
        </w:rPr>
        <w:t> </w:t>
      </w:r>
      <w:r>
        <w:rPr>
          <w:sz w:val="20"/>
        </w:rPr>
        <w:t>Complementar</w:t>
      </w:r>
      <w:r>
        <w:rPr>
          <w:spacing w:val="-29"/>
          <w:sz w:val="20"/>
        </w:rPr>
        <w:t> </w:t>
      </w:r>
      <w:r>
        <w:rPr>
          <w:sz w:val="20"/>
        </w:rPr>
        <w:t>de</w:t>
      </w:r>
      <w:r>
        <w:rPr>
          <w:spacing w:val="-28"/>
          <w:sz w:val="20"/>
        </w:rPr>
        <w:t> </w:t>
      </w:r>
      <w:r>
        <w:rPr>
          <w:sz w:val="20"/>
        </w:rPr>
        <w:t>Benefícios</w:t>
      </w:r>
      <w:r>
        <w:rPr>
          <w:spacing w:val="-26"/>
          <w:sz w:val="20"/>
        </w:rPr>
        <w:t> </w:t>
      </w:r>
      <w:r>
        <w:rPr>
          <w:sz w:val="20"/>
        </w:rPr>
        <w:t>Previdenciais</w:t>
      </w:r>
      <w:r>
        <w:rPr>
          <w:spacing w:val="-22"/>
          <w:sz w:val="20"/>
        </w:rPr>
        <w:t> </w:t>
      </w:r>
      <w:r>
        <w:rPr>
          <w:sz w:val="20"/>
        </w:rPr>
        <w:t>-</w:t>
      </w:r>
      <w:r>
        <w:rPr>
          <w:spacing w:val="-27"/>
          <w:sz w:val="20"/>
        </w:rPr>
        <w:t> </w:t>
      </w:r>
      <w:r>
        <w:rPr>
          <w:sz w:val="20"/>
        </w:rPr>
        <w:t>FACEB-SALDADO,</w:t>
      </w:r>
      <w:r>
        <w:rPr>
          <w:spacing w:val="-27"/>
          <w:sz w:val="20"/>
        </w:rPr>
        <w:t> </w:t>
      </w:r>
      <w:r>
        <w:rPr>
          <w:sz w:val="20"/>
        </w:rPr>
        <w:t>CNPB</w:t>
      </w:r>
      <w:r>
        <w:rPr>
          <w:spacing w:val="-27"/>
          <w:sz w:val="20"/>
        </w:rPr>
        <w:t> </w:t>
      </w:r>
      <w:r>
        <w:rPr>
          <w:sz w:val="20"/>
        </w:rPr>
        <w:t>nº 2020.0006-11,</w:t>
      </w:r>
      <w:r>
        <w:rPr>
          <w:spacing w:val="-18"/>
          <w:sz w:val="20"/>
        </w:rPr>
        <w:t> </w:t>
      </w:r>
      <w:r>
        <w:rPr>
          <w:sz w:val="20"/>
        </w:rPr>
        <w:t>e</w:t>
      </w:r>
      <w:r>
        <w:rPr>
          <w:spacing w:val="-18"/>
          <w:sz w:val="20"/>
        </w:rPr>
        <w:t> </w:t>
      </w:r>
      <w:r>
        <w:rPr>
          <w:sz w:val="20"/>
        </w:rPr>
        <w:t>a</w:t>
      </w:r>
      <w:r>
        <w:rPr>
          <w:spacing w:val="-19"/>
          <w:sz w:val="20"/>
        </w:rPr>
        <w:t> </w:t>
      </w:r>
      <w:r>
        <w:rPr>
          <w:sz w:val="20"/>
        </w:rPr>
        <w:t>Fundação</w:t>
      </w:r>
      <w:r>
        <w:rPr>
          <w:spacing w:val="-17"/>
          <w:sz w:val="20"/>
        </w:rPr>
        <w:t> </w:t>
      </w:r>
      <w:r>
        <w:rPr>
          <w:sz w:val="20"/>
        </w:rPr>
        <w:t>de</w:t>
      </w:r>
      <w:r>
        <w:rPr>
          <w:spacing w:val="-19"/>
          <w:sz w:val="20"/>
        </w:rPr>
        <w:t> </w:t>
      </w:r>
      <w:r>
        <w:rPr>
          <w:sz w:val="20"/>
        </w:rPr>
        <w:t>Previdência</w:t>
      </w:r>
      <w:r>
        <w:rPr>
          <w:spacing w:val="-19"/>
          <w:sz w:val="20"/>
        </w:rPr>
        <w:t> </w:t>
      </w:r>
      <w:r>
        <w:rPr>
          <w:sz w:val="20"/>
        </w:rPr>
        <w:t>dos</w:t>
      </w:r>
      <w:r>
        <w:rPr>
          <w:spacing w:val="-19"/>
          <w:sz w:val="20"/>
        </w:rPr>
        <w:t> </w:t>
      </w:r>
      <w:r>
        <w:rPr>
          <w:sz w:val="20"/>
        </w:rPr>
        <w:t>Empregados</w:t>
      </w:r>
      <w:r>
        <w:rPr>
          <w:spacing w:val="-19"/>
          <w:sz w:val="20"/>
        </w:rPr>
        <w:t> </w:t>
      </w:r>
      <w:r>
        <w:rPr>
          <w:sz w:val="20"/>
        </w:rPr>
        <w:t>da</w:t>
      </w:r>
      <w:r>
        <w:rPr>
          <w:spacing w:val="-19"/>
          <w:sz w:val="20"/>
        </w:rPr>
        <w:t> </w:t>
      </w:r>
      <w:r>
        <w:rPr>
          <w:sz w:val="20"/>
        </w:rPr>
        <w:t>CEB</w:t>
      </w:r>
      <w:r>
        <w:rPr>
          <w:spacing w:val="-16"/>
          <w:sz w:val="20"/>
        </w:rPr>
        <w:t> </w:t>
      </w:r>
      <w:r>
        <w:rPr>
          <w:w w:val="105"/>
          <w:sz w:val="20"/>
        </w:rPr>
        <w:t>–</w:t>
      </w:r>
      <w:r>
        <w:rPr>
          <w:spacing w:val="-21"/>
          <w:w w:val="105"/>
          <w:sz w:val="20"/>
        </w:rPr>
        <w:t> </w:t>
      </w:r>
      <w:r>
        <w:rPr>
          <w:sz w:val="20"/>
        </w:rPr>
        <w:t>FACEB;</w:t>
      </w:r>
    </w:p>
    <w:p>
      <w:pPr>
        <w:pStyle w:val="ListParagraph"/>
        <w:numPr>
          <w:ilvl w:val="3"/>
          <w:numId w:val="34"/>
        </w:numPr>
        <w:tabs>
          <w:tab w:pos="1806" w:val="left" w:leader="none"/>
        </w:tabs>
        <w:spacing w:line="278" w:lineRule="auto" w:before="123" w:after="0"/>
        <w:ind w:left="1805" w:right="412" w:hanging="555"/>
        <w:jc w:val="both"/>
        <w:rPr>
          <w:sz w:val="20"/>
        </w:rPr>
      </w:pPr>
      <w:r>
        <w:rPr>
          <w:sz w:val="20"/>
        </w:rPr>
        <w:t>Autorizar</w:t>
      </w:r>
      <w:r>
        <w:rPr>
          <w:spacing w:val="-37"/>
          <w:sz w:val="20"/>
        </w:rPr>
        <w:t> </w:t>
      </w:r>
      <w:r>
        <w:rPr>
          <w:sz w:val="20"/>
        </w:rPr>
        <w:t>o</w:t>
      </w:r>
      <w:r>
        <w:rPr>
          <w:spacing w:val="-37"/>
          <w:sz w:val="20"/>
        </w:rPr>
        <w:t> </w:t>
      </w:r>
      <w:r>
        <w:rPr>
          <w:sz w:val="20"/>
        </w:rPr>
        <w:t>termo</w:t>
      </w:r>
      <w:r>
        <w:rPr>
          <w:spacing w:val="-37"/>
          <w:sz w:val="20"/>
        </w:rPr>
        <w:t> </w:t>
      </w:r>
      <w:r>
        <w:rPr>
          <w:sz w:val="20"/>
        </w:rPr>
        <w:t>de</w:t>
      </w:r>
      <w:r>
        <w:rPr>
          <w:spacing w:val="-36"/>
          <w:sz w:val="20"/>
        </w:rPr>
        <w:t> </w:t>
      </w:r>
      <w:r>
        <w:rPr>
          <w:sz w:val="20"/>
        </w:rPr>
        <w:t>adesão</w:t>
      </w:r>
      <w:r>
        <w:rPr>
          <w:spacing w:val="-35"/>
          <w:sz w:val="20"/>
        </w:rPr>
        <w:t> </w:t>
      </w:r>
      <w:r>
        <w:rPr>
          <w:sz w:val="20"/>
        </w:rPr>
        <w:t>celebrado</w:t>
      </w:r>
      <w:r>
        <w:rPr>
          <w:spacing w:val="-36"/>
          <w:sz w:val="20"/>
        </w:rPr>
        <w:t> </w:t>
      </w:r>
      <w:r>
        <w:rPr>
          <w:sz w:val="20"/>
        </w:rPr>
        <w:t>pela</w:t>
      </w:r>
      <w:r>
        <w:rPr>
          <w:spacing w:val="-36"/>
          <w:sz w:val="20"/>
        </w:rPr>
        <w:t> </w:t>
      </w:r>
      <w:r>
        <w:rPr>
          <w:sz w:val="20"/>
        </w:rPr>
        <w:t>FACEB</w:t>
      </w:r>
      <w:r>
        <w:rPr>
          <w:spacing w:val="-34"/>
          <w:sz w:val="20"/>
        </w:rPr>
        <w:t> </w:t>
      </w:r>
      <w:r>
        <w:rPr>
          <w:sz w:val="20"/>
        </w:rPr>
        <w:t>-</w:t>
      </w:r>
      <w:r>
        <w:rPr>
          <w:spacing w:val="-37"/>
          <w:sz w:val="20"/>
        </w:rPr>
        <w:t> </w:t>
      </w:r>
      <w:r>
        <w:rPr>
          <w:sz w:val="20"/>
        </w:rPr>
        <w:t>Fundação</w:t>
      </w:r>
      <w:r>
        <w:rPr>
          <w:spacing w:val="-37"/>
          <w:sz w:val="20"/>
        </w:rPr>
        <w:t> </w:t>
      </w:r>
      <w:r>
        <w:rPr>
          <w:sz w:val="20"/>
        </w:rPr>
        <w:t>de</w:t>
      </w:r>
      <w:r>
        <w:rPr>
          <w:spacing w:val="-38"/>
          <w:sz w:val="20"/>
        </w:rPr>
        <w:t> </w:t>
      </w:r>
      <w:r>
        <w:rPr>
          <w:sz w:val="20"/>
        </w:rPr>
        <w:t>Previdência</w:t>
      </w:r>
      <w:r>
        <w:rPr>
          <w:spacing w:val="-36"/>
          <w:sz w:val="20"/>
        </w:rPr>
        <w:t> </w:t>
      </w:r>
      <w:r>
        <w:rPr>
          <w:sz w:val="20"/>
        </w:rPr>
        <w:t>dos</w:t>
      </w:r>
      <w:r>
        <w:rPr>
          <w:spacing w:val="-38"/>
          <w:sz w:val="20"/>
        </w:rPr>
        <w:t> </w:t>
      </w:r>
      <w:r>
        <w:rPr>
          <w:sz w:val="20"/>
        </w:rPr>
        <w:t>Empregados</w:t>
      </w:r>
      <w:r>
        <w:rPr>
          <w:spacing w:val="-37"/>
          <w:sz w:val="20"/>
        </w:rPr>
        <w:t> </w:t>
      </w:r>
      <w:r>
        <w:rPr>
          <w:sz w:val="20"/>
        </w:rPr>
        <w:t>da CEB,</w:t>
      </w:r>
      <w:r>
        <w:rPr>
          <w:spacing w:val="-5"/>
          <w:sz w:val="20"/>
        </w:rPr>
        <w:t> </w:t>
      </w:r>
      <w:r>
        <w:rPr>
          <w:sz w:val="20"/>
        </w:rPr>
        <w:t>CNPJ</w:t>
      </w:r>
      <w:r>
        <w:rPr>
          <w:spacing w:val="-4"/>
          <w:sz w:val="20"/>
        </w:rPr>
        <w:t> </w:t>
      </w:r>
      <w:r>
        <w:rPr>
          <w:sz w:val="20"/>
        </w:rPr>
        <w:t>nº</w:t>
      </w:r>
      <w:r>
        <w:rPr>
          <w:spacing w:val="-3"/>
          <w:sz w:val="20"/>
        </w:rPr>
        <w:t> </w:t>
      </w:r>
      <w:r>
        <w:rPr>
          <w:sz w:val="20"/>
        </w:rPr>
        <w:t>00.469.585/0001-93,</w:t>
      </w:r>
      <w:r>
        <w:rPr>
          <w:spacing w:val="-3"/>
          <w:sz w:val="20"/>
        </w:rPr>
        <w:t> </w:t>
      </w:r>
      <w:r>
        <w:rPr>
          <w:sz w:val="20"/>
        </w:rPr>
        <w:t>na</w:t>
      </w:r>
      <w:r>
        <w:rPr>
          <w:spacing w:val="-4"/>
          <w:sz w:val="20"/>
        </w:rPr>
        <w:t> </w:t>
      </w:r>
      <w:r>
        <w:rPr>
          <w:sz w:val="20"/>
        </w:rPr>
        <w:t>condição</w:t>
      </w:r>
      <w:r>
        <w:rPr>
          <w:spacing w:val="-5"/>
          <w:sz w:val="20"/>
        </w:rPr>
        <w:t> </w:t>
      </w:r>
      <w:r>
        <w:rPr>
          <w:sz w:val="20"/>
        </w:rPr>
        <w:t>de</w:t>
      </w:r>
      <w:r>
        <w:rPr>
          <w:spacing w:val="-4"/>
          <w:sz w:val="20"/>
        </w:rPr>
        <w:t> </w:t>
      </w:r>
      <w:r>
        <w:rPr>
          <w:sz w:val="20"/>
        </w:rPr>
        <w:t>patrocinadora</w:t>
      </w:r>
      <w:r>
        <w:rPr>
          <w:spacing w:val="-4"/>
          <w:sz w:val="20"/>
        </w:rPr>
        <w:t> </w:t>
      </w:r>
      <w:r>
        <w:rPr>
          <w:sz w:val="20"/>
        </w:rPr>
        <w:t>do</w:t>
      </w:r>
      <w:r>
        <w:rPr>
          <w:spacing w:val="-3"/>
          <w:sz w:val="20"/>
        </w:rPr>
        <w:t> </w:t>
      </w:r>
      <w:r>
        <w:rPr>
          <w:sz w:val="20"/>
        </w:rPr>
        <w:t>Plano</w:t>
      </w:r>
      <w:r>
        <w:rPr>
          <w:spacing w:val="-4"/>
          <w:sz w:val="20"/>
        </w:rPr>
        <w:t> </w:t>
      </w:r>
      <w:r>
        <w:rPr>
          <w:sz w:val="20"/>
        </w:rPr>
        <w:t>Complementar</w:t>
      </w:r>
      <w:r>
        <w:rPr>
          <w:spacing w:val="-6"/>
          <w:sz w:val="20"/>
        </w:rPr>
        <w:t> </w:t>
      </w:r>
      <w:r>
        <w:rPr>
          <w:sz w:val="20"/>
        </w:rPr>
        <w:t>de Benefícios</w:t>
      </w:r>
      <w:r>
        <w:rPr>
          <w:spacing w:val="-16"/>
          <w:sz w:val="20"/>
        </w:rPr>
        <w:t> </w:t>
      </w:r>
      <w:r>
        <w:rPr>
          <w:sz w:val="20"/>
        </w:rPr>
        <w:t>Previdenciais</w:t>
      </w:r>
      <w:r>
        <w:rPr>
          <w:spacing w:val="-17"/>
          <w:sz w:val="20"/>
        </w:rPr>
        <w:t> </w:t>
      </w:r>
      <w:r>
        <w:rPr>
          <w:sz w:val="20"/>
        </w:rPr>
        <w:t>-</w:t>
      </w:r>
      <w:r>
        <w:rPr>
          <w:spacing w:val="-17"/>
          <w:sz w:val="20"/>
        </w:rPr>
        <w:t> </w:t>
      </w:r>
      <w:r>
        <w:rPr>
          <w:sz w:val="20"/>
        </w:rPr>
        <w:t>FACEB-SALDADO,</w:t>
      </w:r>
      <w:r>
        <w:rPr>
          <w:spacing w:val="-19"/>
          <w:sz w:val="20"/>
        </w:rPr>
        <w:t> </w:t>
      </w:r>
      <w:r>
        <w:rPr>
          <w:sz w:val="20"/>
        </w:rPr>
        <w:t>CNPB</w:t>
      </w:r>
      <w:r>
        <w:rPr>
          <w:spacing w:val="-18"/>
          <w:sz w:val="20"/>
        </w:rPr>
        <w:t> </w:t>
      </w:r>
      <w:r>
        <w:rPr>
          <w:sz w:val="20"/>
        </w:rPr>
        <w:t>nº</w:t>
      </w:r>
      <w:r>
        <w:rPr>
          <w:spacing w:val="-17"/>
          <w:sz w:val="20"/>
        </w:rPr>
        <w:t> </w:t>
      </w:r>
      <w:r>
        <w:rPr>
          <w:sz w:val="20"/>
        </w:rPr>
        <w:t>2020.0006-11.</w:t>
      </w:r>
    </w:p>
    <w:p>
      <w:pPr>
        <w:pStyle w:val="BodyText"/>
        <w:spacing w:before="8"/>
      </w:pPr>
    </w:p>
    <w:p>
      <w:pPr>
        <w:pStyle w:val="BodyText"/>
        <w:spacing w:line="278" w:lineRule="auto"/>
        <w:ind w:left="172" w:right="419"/>
        <w:jc w:val="both"/>
      </w:pPr>
      <w:r>
        <w:rPr/>
        <w:t>Ante</w:t>
      </w:r>
      <w:r>
        <w:rPr>
          <w:spacing w:val="-38"/>
        </w:rPr>
        <w:t> </w:t>
      </w:r>
      <w:r>
        <w:rPr/>
        <w:t>o</w:t>
      </w:r>
      <w:r>
        <w:rPr>
          <w:spacing w:val="-36"/>
        </w:rPr>
        <w:t> </w:t>
      </w:r>
      <w:r>
        <w:rPr/>
        <w:t>exposto,</w:t>
      </w:r>
      <w:r>
        <w:rPr>
          <w:spacing w:val="-38"/>
        </w:rPr>
        <w:t> </w:t>
      </w:r>
      <w:r>
        <w:rPr/>
        <w:t>a</w:t>
      </w:r>
      <w:r>
        <w:rPr>
          <w:spacing w:val="-36"/>
        </w:rPr>
        <w:t> </w:t>
      </w:r>
      <w:r>
        <w:rPr/>
        <w:t>Fundação,</w:t>
      </w:r>
      <w:r>
        <w:rPr>
          <w:spacing w:val="-36"/>
        </w:rPr>
        <w:t> </w:t>
      </w:r>
      <w:r>
        <w:rPr/>
        <w:t>em</w:t>
      </w:r>
      <w:r>
        <w:rPr>
          <w:spacing w:val="-38"/>
        </w:rPr>
        <w:t> </w:t>
      </w:r>
      <w:r>
        <w:rPr/>
        <w:t>consonância</w:t>
      </w:r>
      <w:r>
        <w:rPr>
          <w:spacing w:val="-37"/>
        </w:rPr>
        <w:t> </w:t>
      </w:r>
      <w:r>
        <w:rPr/>
        <w:t>com</w:t>
      </w:r>
      <w:r>
        <w:rPr>
          <w:spacing w:val="-37"/>
        </w:rPr>
        <w:t> </w:t>
      </w:r>
      <w:r>
        <w:rPr/>
        <w:t>a</w:t>
      </w:r>
      <w:r>
        <w:rPr>
          <w:spacing w:val="-37"/>
        </w:rPr>
        <w:t> </w:t>
      </w:r>
      <w:r>
        <w:rPr/>
        <w:t>legislação</w:t>
      </w:r>
      <w:r>
        <w:rPr>
          <w:spacing w:val="-37"/>
        </w:rPr>
        <w:t> </w:t>
      </w:r>
      <w:r>
        <w:rPr/>
        <w:t>em</w:t>
      </w:r>
      <w:r>
        <w:rPr>
          <w:spacing w:val="-38"/>
        </w:rPr>
        <w:t> </w:t>
      </w:r>
      <w:r>
        <w:rPr/>
        <w:t>vigor,</w:t>
      </w:r>
      <w:r>
        <w:rPr>
          <w:spacing w:val="-37"/>
        </w:rPr>
        <w:t> </w:t>
      </w:r>
      <w:r>
        <w:rPr/>
        <w:t>terá</w:t>
      </w:r>
      <w:r>
        <w:rPr>
          <w:spacing w:val="-36"/>
        </w:rPr>
        <w:t> </w:t>
      </w:r>
      <w:r>
        <w:rPr/>
        <w:t>o</w:t>
      </w:r>
      <w:r>
        <w:rPr>
          <w:spacing w:val="-37"/>
        </w:rPr>
        <w:t> </w:t>
      </w:r>
      <w:r>
        <w:rPr/>
        <w:t>prazo</w:t>
      </w:r>
      <w:r>
        <w:rPr>
          <w:spacing w:val="-36"/>
        </w:rPr>
        <w:t> </w:t>
      </w:r>
      <w:r>
        <w:rPr/>
        <w:t>de</w:t>
      </w:r>
      <w:r>
        <w:rPr>
          <w:spacing w:val="-38"/>
        </w:rPr>
        <w:t> </w:t>
      </w:r>
      <w:r>
        <w:rPr/>
        <w:t>até</w:t>
      </w:r>
      <w:r>
        <w:rPr>
          <w:spacing w:val="-37"/>
        </w:rPr>
        <w:t> </w:t>
      </w:r>
      <w:r>
        <w:rPr/>
        <w:t>180</w:t>
      </w:r>
      <w:r>
        <w:rPr>
          <w:spacing w:val="-37"/>
        </w:rPr>
        <w:t> </w:t>
      </w:r>
      <w:r>
        <w:rPr/>
        <w:t>dias,</w:t>
      </w:r>
      <w:r>
        <w:rPr>
          <w:spacing w:val="-37"/>
        </w:rPr>
        <w:t> </w:t>
      </w:r>
      <w:r>
        <w:rPr/>
        <w:t>contada</w:t>
      </w:r>
      <w:r>
        <w:rPr>
          <w:spacing w:val="-35"/>
        </w:rPr>
        <w:t> </w:t>
      </w:r>
      <w:r>
        <w:rPr/>
        <w:t>da</w:t>
      </w:r>
      <w:r>
        <w:rPr>
          <w:spacing w:val="-37"/>
        </w:rPr>
        <w:t> </w:t>
      </w:r>
      <w:r>
        <w:rPr/>
        <w:t>data de</w:t>
      </w:r>
      <w:r>
        <w:rPr>
          <w:spacing w:val="-32"/>
        </w:rPr>
        <w:t> </w:t>
      </w:r>
      <w:r>
        <w:rPr/>
        <w:t>publicação</w:t>
      </w:r>
      <w:r>
        <w:rPr>
          <w:spacing w:val="-32"/>
        </w:rPr>
        <w:t> </w:t>
      </w:r>
      <w:r>
        <w:rPr/>
        <w:t>da</w:t>
      </w:r>
      <w:r>
        <w:rPr>
          <w:spacing w:val="-31"/>
        </w:rPr>
        <w:t> </w:t>
      </w:r>
      <w:r>
        <w:rPr/>
        <w:t>referida</w:t>
      </w:r>
      <w:r>
        <w:rPr>
          <w:spacing w:val="-32"/>
        </w:rPr>
        <w:t> </w:t>
      </w:r>
      <w:r>
        <w:rPr/>
        <w:t>Portaria,</w:t>
      </w:r>
      <w:r>
        <w:rPr>
          <w:spacing w:val="-32"/>
        </w:rPr>
        <w:t> </w:t>
      </w:r>
      <w:r>
        <w:rPr/>
        <w:t>para</w:t>
      </w:r>
      <w:r>
        <w:rPr>
          <w:spacing w:val="-31"/>
        </w:rPr>
        <w:t> </w:t>
      </w:r>
      <w:r>
        <w:rPr/>
        <w:t>a</w:t>
      </w:r>
      <w:r>
        <w:rPr>
          <w:spacing w:val="-31"/>
        </w:rPr>
        <w:t> </w:t>
      </w:r>
      <w:r>
        <w:rPr/>
        <w:t>conclusão</w:t>
      </w:r>
      <w:r>
        <w:rPr>
          <w:spacing w:val="-32"/>
        </w:rPr>
        <w:t> </w:t>
      </w:r>
      <w:r>
        <w:rPr/>
        <w:t>do</w:t>
      </w:r>
      <w:r>
        <w:rPr>
          <w:spacing w:val="-31"/>
        </w:rPr>
        <w:t> </w:t>
      </w:r>
      <w:r>
        <w:rPr/>
        <w:t>processo</w:t>
      </w:r>
      <w:r>
        <w:rPr>
          <w:spacing w:val="-30"/>
        </w:rPr>
        <w:t> </w:t>
      </w:r>
      <w:r>
        <w:rPr/>
        <w:t>previsto</w:t>
      </w:r>
      <w:r>
        <w:rPr>
          <w:spacing w:val="-31"/>
        </w:rPr>
        <w:t> </w:t>
      </w:r>
      <w:r>
        <w:rPr/>
        <w:t>nas</w:t>
      </w:r>
      <w:r>
        <w:rPr>
          <w:spacing w:val="-31"/>
        </w:rPr>
        <w:t> </w:t>
      </w:r>
      <w:r>
        <w:rPr/>
        <w:t>citadas</w:t>
      </w:r>
      <w:r>
        <w:rPr>
          <w:spacing w:val="-30"/>
        </w:rPr>
        <w:t> </w:t>
      </w:r>
      <w:r>
        <w:rPr/>
        <w:t>Estratégias</w:t>
      </w:r>
      <w:r>
        <w:rPr>
          <w:spacing w:val="-32"/>
        </w:rPr>
        <w:t> </w:t>
      </w:r>
      <w:r>
        <w:rPr/>
        <w:t>Previdências.</w:t>
      </w:r>
    </w:p>
    <w:p>
      <w:pPr>
        <w:pStyle w:val="BodyText"/>
        <w:spacing w:before="7"/>
      </w:pPr>
    </w:p>
    <w:p>
      <w:pPr>
        <w:pStyle w:val="Heading3"/>
        <w:numPr>
          <w:ilvl w:val="0"/>
          <w:numId w:val="6"/>
        </w:numPr>
        <w:tabs>
          <w:tab w:pos="953" w:val="left" w:leader="none"/>
          <w:tab w:pos="954" w:val="left" w:leader="none"/>
        </w:tabs>
        <w:spacing w:line="240" w:lineRule="auto" w:before="0" w:after="0"/>
        <w:ind w:left="953" w:right="0" w:hanging="782"/>
        <w:jc w:val="left"/>
      </w:pPr>
      <w:r>
        <w:rPr/>
        <w:t>PROVISÕES PARA RISCOS TRIBUTÁRIOS, CÍVEIS, TRABALHISTAS E</w:t>
      </w:r>
      <w:r>
        <w:rPr>
          <w:spacing w:val="-10"/>
        </w:rPr>
        <w:t> </w:t>
      </w:r>
      <w:r>
        <w:rPr/>
        <w:t>REGULATÓRIOS</w:t>
      </w:r>
    </w:p>
    <w:p>
      <w:pPr>
        <w:pStyle w:val="BodyText"/>
        <w:spacing w:before="244"/>
        <w:ind w:left="172"/>
        <w:jc w:val="both"/>
      </w:pPr>
      <w:r>
        <w:rPr/>
        <w:t>Os processos judiciais provisionados e não provisionados, são apresentados a seguir:</w:t>
      </w:r>
    </w:p>
    <w:p>
      <w:pPr>
        <w:pStyle w:val="BodyText"/>
        <w:spacing w:before="9"/>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P</w:t>
      </w:r>
      <w:r>
        <w:rPr>
          <w:rFonts w:ascii="Caladea" w:hAnsi="Caladea"/>
          <w:b/>
          <w:sz w:val="18"/>
        </w:rPr>
        <w:t>ROVISÕES </w:t>
      </w:r>
      <w:r>
        <w:rPr>
          <w:rFonts w:ascii="Caladea" w:hAnsi="Caladea"/>
          <w:b/>
          <w:sz w:val="22"/>
        </w:rPr>
        <w:t>P</w:t>
      </w:r>
      <w:r>
        <w:rPr>
          <w:rFonts w:ascii="Caladea" w:hAnsi="Caladea"/>
          <w:b/>
          <w:sz w:val="18"/>
        </w:rPr>
        <w:t>ARA </w:t>
      </w:r>
      <w:r>
        <w:rPr>
          <w:rFonts w:ascii="Caladea" w:hAnsi="Caladea"/>
          <w:b/>
          <w:sz w:val="22"/>
        </w:rPr>
        <w:t>R</w:t>
      </w:r>
      <w:r>
        <w:rPr>
          <w:rFonts w:ascii="Caladea" w:hAnsi="Caladea"/>
          <w:b/>
          <w:sz w:val="18"/>
        </w:rPr>
        <w:t>ISCOS </w:t>
      </w:r>
      <w:r>
        <w:rPr>
          <w:rFonts w:ascii="Caladea" w:hAnsi="Caladea"/>
          <w:b/>
          <w:sz w:val="22"/>
        </w:rPr>
        <w:t>T</w:t>
      </w:r>
      <w:r>
        <w:rPr>
          <w:rFonts w:ascii="Caladea" w:hAnsi="Caladea"/>
          <w:b/>
          <w:sz w:val="18"/>
        </w:rPr>
        <w:t>RIBUTÁRIOS</w:t>
      </w:r>
      <w:r>
        <w:rPr>
          <w:rFonts w:ascii="Caladea" w:hAnsi="Caladea"/>
          <w:b/>
          <w:sz w:val="22"/>
        </w:rPr>
        <w:t>, C</w:t>
      </w:r>
      <w:r>
        <w:rPr>
          <w:rFonts w:ascii="Caladea" w:hAnsi="Caladea"/>
          <w:b/>
          <w:sz w:val="18"/>
        </w:rPr>
        <w:t>ÍVEIS</w:t>
      </w:r>
      <w:r>
        <w:rPr>
          <w:rFonts w:ascii="Caladea" w:hAnsi="Caladea"/>
          <w:b/>
          <w:sz w:val="22"/>
        </w:rPr>
        <w:t>, T</w:t>
      </w:r>
      <w:r>
        <w:rPr>
          <w:rFonts w:ascii="Caladea" w:hAnsi="Caladea"/>
          <w:b/>
          <w:sz w:val="18"/>
        </w:rPr>
        <w:t>RABALHISTAS E </w:t>
      </w:r>
      <w:r>
        <w:rPr>
          <w:rFonts w:ascii="Caladea" w:hAnsi="Caladea"/>
          <w:b/>
          <w:sz w:val="22"/>
        </w:rPr>
        <w:t>R</w:t>
      </w:r>
      <w:r>
        <w:rPr>
          <w:rFonts w:ascii="Caladea" w:hAnsi="Caladea"/>
          <w:b/>
          <w:sz w:val="18"/>
        </w:rPr>
        <w:t>EGULATÓRIOS</w:t>
      </w:r>
      <w:r>
        <w:rPr>
          <w:rFonts w:ascii="Caladea" w:hAnsi="Caladea"/>
          <w:b/>
          <w:spacing w:val="-27"/>
          <w:sz w:val="18"/>
        </w:rPr>
        <w:t> </w:t>
      </w:r>
      <w:r>
        <w:rPr>
          <w:rFonts w:ascii="Caladea" w:hAnsi="Caladea"/>
          <w:b/>
          <w:sz w:val="22"/>
        </w:rPr>
        <w:t>P</w:t>
      </w:r>
      <w:r>
        <w:rPr>
          <w:rFonts w:ascii="Caladea" w:hAnsi="Caladea"/>
          <w:b/>
          <w:sz w:val="18"/>
        </w:rPr>
        <w:t>ROVISIONADOS</w:t>
      </w:r>
    </w:p>
    <w:p>
      <w:pPr>
        <w:pStyle w:val="BodyText"/>
        <w:spacing w:before="10"/>
        <w:rPr>
          <w:rFonts w:ascii="Caladea"/>
          <w:b/>
          <w:sz w:val="23"/>
        </w:rPr>
      </w:pPr>
    </w:p>
    <w:p>
      <w:pPr>
        <w:pStyle w:val="BodyText"/>
        <w:spacing w:line="242" w:lineRule="auto"/>
        <w:ind w:left="172" w:right="414"/>
        <w:jc w:val="both"/>
      </w:pPr>
      <w:r>
        <w:rPr/>
        <w:t>A</w:t>
      </w:r>
      <w:r>
        <w:rPr>
          <w:spacing w:val="-42"/>
        </w:rPr>
        <w:t> </w:t>
      </w:r>
      <w:r>
        <w:rPr/>
        <w:t>Companhia</w:t>
      </w:r>
      <w:r>
        <w:rPr>
          <w:spacing w:val="-41"/>
        </w:rPr>
        <w:t> </w:t>
      </w:r>
      <w:r>
        <w:rPr/>
        <w:t>e</w:t>
      </w:r>
      <w:r>
        <w:rPr>
          <w:spacing w:val="-41"/>
        </w:rPr>
        <w:t> </w:t>
      </w:r>
      <w:r>
        <w:rPr/>
        <w:t>suas</w:t>
      </w:r>
      <w:r>
        <w:rPr>
          <w:spacing w:val="-42"/>
        </w:rPr>
        <w:t> </w:t>
      </w:r>
      <w:r>
        <w:rPr/>
        <w:t>controladas</w:t>
      </w:r>
      <w:r>
        <w:rPr>
          <w:spacing w:val="-42"/>
        </w:rPr>
        <w:t> </w:t>
      </w:r>
      <w:r>
        <w:rPr/>
        <w:t>possuem</w:t>
      </w:r>
      <w:r>
        <w:rPr>
          <w:spacing w:val="-41"/>
        </w:rPr>
        <w:t> </w:t>
      </w:r>
      <w:r>
        <w:rPr/>
        <w:t>processos</w:t>
      </w:r>
      <w:r>
        <w:rPr>
          <w:spacing w:val="-42"/>
        </w:rPr>
        <w:t> </w:t>
      </w:r>
      <w:r>
        <w:rPr/>
        <w:t>judiciais</w:t>
      </w:r>
      <w:r>
        <w:rPr>
          <w:spacing w:val="-41"/>
        </w:rPr>
        <w:t> </w:t>
      </w:r>
      <w:r>
        <w:rPr/>
        <w:t>e</w:t>
      </w:r>
      <w:r>
        <w:rPr>
          <w:spacing w:val="-43"/>
        </w:rPr>
        <w:t> </w:t>
      </w:r>
      <w:r>
        <w:rPr/>
        <w:t>administrativos</w:t>
      </w:r>
      <w:r>
        <w:rPr>
          <w:spacing w:val="-42"/>
        </w:rPr>
        <w:t> </w:t>
      </w:r>
      <w:r>
        <w:rPr/>
        <w:t>de</w:t>
      </w:r>
      <w:r>
        <w:rPr>
          <w:spacing w:val="-41"/>
        </w:rPr>
        <w:t> </w:t>
      </w:r>
      <w:r>
        <w:rPr/>
        <w:t>natureza</w:t>
      </w:r>
      <w:r>
        <w:rPr>
          <w:spacing w:val="-41"/>
        </w:rPr>
        <w:t> </w:t>
      </w:r>
      <w:r>
        <w:rPr/>
        <w:t>trabalhista,</w:t>
      </w:r>
      <w:r>
        <w:rPr>
          <w:spacing w:val="-43"/>
        </w:rPr>
        <w:t> </w:t>
      </w:r>
      <w:r>
        <w:rPr/>
        <w:t>cível,</w:t>
      </w:r>
      <w:r>
        <w:rPr>
          <w:spacing w:val="-42"/>
        </w:rPr>
        <w:t> </w:t>
      </w:r>
      <w:r>
        <w:rPr/>
        <w:t>fiscal</w:t>
      </w:r>
      <w:r>
        <w:rPr>
          <w:spacing w:val="-41"/>
        </w:rPr>
        <w:t> </w:t>
      </w:r>
      <w:r>
        <w:rPr/>
        <w:t>e regulatório.</w:t>
      </w:r>
      <w:r>
        <w:rPr>
          <w:spacing w:val="-43"/>
        </w:rPr>
        <w:t> </w:t>
      </w:r>
      <w:r>
        <w:rPr/>
        <w:t>A</w:t>
      </w:r>
      <w:r>
        <w:rPr>
          <w:spacing w:val="-43"/>
        </w:rPr>
        <w:t> </w:t>
      </w:r>
      <w:r>
        <w:rPr/>
        <w:t>Administração</w:t>
      </w:r>
      <w:r>
        <w:rPr>
          <w:spacing w:val="-43"/>
        </w:rPr>
        <w:t> </w:t>
      </w:r>
      <w:r>
        <w:rPr/>
        <w:t>reavalia</w:t>
      </w:r>
      <w:r>
        <w:rPr>
          <w:spacing w:val="-42"/>
        </w:rPr>
        <w:t> </w:t>
      </w:r>
      <w:r>
        <w:rPr/>
        <w:t>os</w:t>
      </w:r>
      <w:r>
        <w:rPr>
          <w:spacing w:val="-43"/>
        </w:rPr>
        <w:t> </w:t>
      </w:r>
      <w:r>
        <w:rPr/>
        <w:t>riscos</w:t>
      </w:r>
      <w:r>
        <w:rPr>
          <w:spacing w:val="-44"/>
        </w:rPr>
        <w:t> </w:t>
      </w:r>
      <w:r>
        <w:rPr/>
        <w:t>de</w:t>
      </w:r>
      <w:r>
        <w:rPr>
          <w:spacing w:val="-43"/>
        </w:rPr>
        <w:t> </w:t>
      </w:r>
      <w:r>
        <w:rPr/>
        <w:t>contingências</w:t>
      </w:r>
      <w:r>
        <w:rPr>
          <w:spacing w:val="-42"/>
        </w:rPr>
        <w:t> </w:t>
      </w:r>
      <w:r>
        <w:rPr/>
        <w:t>relacionados</w:t>
      </w:r>
      <w:r>
        <w:rPr>
          <w:spacing w:val="-42"/>
        </w:rPr>
        <w:t> </w:t>
      </w:r>
      <w:r>
        <w:rPr/>
        <w:t>a</w:t>
      </w:r>
      <w:r>
        <w:rPr>
          <w:spacing w:val="-42"/>
        </w:rPr>
        <w:t> </w:t>
      </w:r>
      <w:r>
        <w:rPr/>
        <w:t>esses</w:t>
      </w:r>
      <w:r>
        <w:rPr>
          <w:spacing w:val="-41"/>
        </w:rPr>
        <w:t> </w:t>
      </w:r>
      <w:r>
        <w:rPr/>
        <w:t>processos</w:t>
      </w:r>
      <w:r>
        <w:rPr>
          <w:spacing w:val="-42"/>
        </w:rPr>
        <w:t> </w:t>
      </w:r>
      <w:r>
        <w:rPr/>
        <w:t>e,</w:t>
      </w:r>
      <w:r>
        <w:rPr>
          <w:spacing w:val="-42"/>
        </w:rPr>
        <w:t> </w:t>
      </w:r>
      <w:r>
        <w:rPr/>
        <w:t>baseada</w:t>
      </w:r>
      <w:r>
        <w:rPr>
          <w:spacing w:val="-43"/>
        </w:rPr>
        <w:t> </w:t>
      </w:r>
      <w:r>
        <w:rPr/>
        <w:t>na</w:t>
      </w:r>
      <w:r>
        <w:rPr>
          <w:spacing w:val="-42"/>
        </w:rPr>
        <w:t> </w:t>
      </w:r>
      <w:r>
        <w:rPr/>
        <w:t>opinião de</w:t>
      </w:r>
      <w:r>
        <w:rPr>
          <w:spacing w:val="-6"/>
        </w:rPr>
        <w:t> </w:t>
      </w:r>
      <w:r>
        <w:rPr/>
        <w:t>seus</w:t>
      </w:r>
      <w:r>
        <w:rPr>
          <w:spacing w:val="-4"/>
        </w:rPr>
        <w:t> </w:t>
      </w:r>
      <w:r>
        <w:rPr/>
        <w:t>procuradores</w:t>
      </w:r>
      <w:r>
        <w:rPr>
          <w:spacing w:val="-3"/>
        </w:rPr>
        <w:t> </w:t>
      </w:r>
      <w:r>
        <w:rPr/>
        <w:t>jurídicos,</w:t>
      </w:r>
      <w:r>
        <w:rPr>
          <w:spacing w:val="-4"/>
        </w:rPr>
        <w:t> </w:t>
      </w:r>
      <w:r>
        <w:rPr/>
        <w:t>constitui</w:t>
      </w:r>
      <w:r>
        <w:rPr>
          <w:spacing w:val="-3"/>
        </w:rPr>
        <w:t> </w:t>
      </w:r>
      <w:r>
        <w:rPr/>
        <w:t>provisão</w:t>
      </w:r>
      <w:r>
        <w:rPr>
          <w:spacing w:val="-5"/>
        </w:rPr>
        <w:t> </w:t>
      </w:r>
      <w:r>
        <w:rPr/>
        <w:t>para</w:t>
      </w:r>
      <w:r>
        <w:rPr>
          <w:spacing w:val="-4"/>
        </w:rPr>
        <w:t> </w:t>
      </w:r>
      <w:r>
        <w:rPr/>
        <w:t>as</w:t>
      </w:r>
      <w:r>
        <w:rPr>
          <w:spacing w:val="-4"/>
        </w:rPr>
        <w:t> </w:t>
      </w:r>
      <w:r>
        <w:rPr/>
        <w:t>causas</w:t>
      </w:r>
      <w:r>
        <w:rPr>
          <w:spacing w:val="-4"/>
        </w:rPr>
        <w:t> </w:t>
      </w:r>
      <w:r>
        <w:rPr/>
        <w:t>cujas</w:t>
      </w:r>
      <w:r>
        <w:rPr>
          <w:spacing w:val="-4"/>
        </w:rPr>
        <w:t> </w:t>
      </w:r>
      <w:r>
        <w:rPr/>
        <w:t>expectativas</w:t>
      </w:r>
      <w:r>
        <w:rPr>
          <w:spacing w:val="-4"/>
        </w:rPr>
        <w:t> </w:t>
      </w:r>
      <w:r>
        <w:rPr/>
        <w:t>de</w:t>
      </w:r>
      <w:r>
        <w:rPr>
          <w:spacing w:val="-5"/>
        </w:rPr>
        <w:t> </w:t>
      </w:r>
      <w:r>
        <w:rPr/>
        <w:t>perda</w:t>
      </w:r>
      <w:r>
        <w:rPr>
          <w:spacing w:val="-4"/>
        </w:rPr>
        <w:t> </w:t>
      </w:r>
      <w:r>
        <w:rPr/>
        <w:t>são</w:t>
      </w:r>
      <w:r>
        <w:rPr>
          <w:spacing w:val="-5"/>
        </w:rPr>
        <w:t> </w:t>
      </w:r>
      <w:r>
        <w:rPr/>
        <w:t>consideradas prováveis.</w:t>
      </w:r>
    </w:p>
    <w:p>
      <w:pPr>
        <w:pStyle w:val="BodyText"/>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20"/>
        <w:gridCol w:w="1932"/>
        <w:gridCol w:w="1929"/>
        <w:gridCol w:w="1932"/>
        <w:gridCol w:w="1929"/>
      </w:tblGrid>
      <w:tr>
        <w:trPr>
          <w:trHeight w:val="230" w:hRule="atLeast"/>
        </w:trPr>
        <w:tc>
          <w:tcPr>
            <w:tcW w:w="2220" w:type="dxa"/>
            <w:vMerge w:val="restart"/>
            <w:shd w:val="clear" w:color="auto" w:fill="D9D9D9"/>
          </w:tcPr>
          <w:p>
            <w:pPr>
              <w:pStyle w:val="TableParagraph"/>
              <w:rPr>
                <w:rFonts w:ascii="Times New Roman"/>
                <w:sz w:val="16"/>
              </w:rPr>
            </w:pPr>
          </w:p>
        </w:tc>
        <w:tc>
          <w:tcPr>
            <w:tcW w:w="3861" w:type="dxa"/>
            <w:gridSpan w:val="2"/>
          </w:tcPr>
          <w:p>
            <w:pPr>
              <w:pStyle w:val="TableParagraph"/>
              <w:spacing w:before="32"/>
              <w:ind w:left="1481" w:right="1468"/>
              <w:jc w:val="center"/>
              <w:rPr>
                <w:rFonts w:ascii="Caladea"/>
                <w:b/>
                <w:sz w:val="14"/>
              </w:rPr>
            </w:pPr>
            <w:r>
              <w:rPr>
                <w:rFonts w:ascii="Caladea"/>
                <w:b/>
                <w:sz w:val="14"/>
              </w:rPr>
              <w:t>Controladora</w:t>
            </w:r>
          </w:p>
        </w:tc>
        <w:tc>
          <w:tcPr>
            <w:tcW w:w="3861" w:type="dxa"/>
            <w:gridSpan w:val="2"/>
          </w:tcPr>
          <w:p>
            <w:pPr>
              <w:pStyle w:val="TableParagraph"/>
              <w:spacing w:before="32"/>
              <w:ind w:left="1481" w:right="1468"/>
              <w:jc w:val="center"/>
              <w:rPr>
                <w:rFonts w:ascii="Caladea"/>
                <w:b/>
                <w:sz w:val="14"/>
              </w:rPr>
            </w:pPr>
            <w:r>
              <w:rPr>
                <w:rFonts w:ascii="Caladea"/>
                <w:b/>
                <w:sz w:val="14"/>
              </w:rPr>
              <w:t>Consolidado</w:t>
            </w:r>
          </w:p>
        </w:tc>
      </w:tr>
      <w:tr>
        <w:trPr>
          <w:trHeight w:val="402" w:hRule="atLeast"/>
        </w:trPr>
        <w:tc>
          <w:tcPr>
            <w:tcW w:w="2220" w:type="dxa"/>
            <w:vMerge/>
            <w:tcBorders>
              <w:top w:val="nil"/>
            </w:tcBorders>
            <w:shd w:val="clear" w:color="auto" w:fill="D9D9D9"/>
          </w:tcPr>
          <w:p>
            <w:pPr>
              <w:rPr>
                <w:sz w:val="2"/>
                <w:szCs w:val="2"/>
              </w:rPr>
            </w:pPr>
          </w:p>
        </w:tc>
        <w:tc>
          <w:tcPr>
            <w:tcW w:w="1932" w:type="dxa"/>
          </w:tcPr>
          <w:p>
            <w:pPr>
              <w:pStyle w:val="TableParagraph"/>
              <w:spacing w:before="118"/>
              <w:ind w:left="564"/>
              <w:rPr>
                <w:rFonts w:ascii="Caladea"/>
                <w:b/>
                <w:sz w:val="14"/>
              </w:rPr>
            </w:pPr>
            <w:r>
              <w:rPr>
                <w:rFonts w:ascii="Caladea"/>
                <w:b/>
                <w:sz w:val="14"/>
              </w:rPr>
              <w:t>31/12/2019</w:t>
            </w:r>
          </w:p>
        </w:tc>
        <w:tc>
          <w:tcPr>
            <w:tcW w:w="1929" w:type="dxa"/>
          </w:tcPr>
          <w:p>
            <w:pPr>
              <w:pStyle w:val="TableParagraph"/>
              <w:spacing w:before="118"/>
              <w:ind w:left="562"/>
              <w:rPr>
                <w:rFonts w:ascii="Caladea"/>
                <w:b/>
                <w:sz w:val="14"/>
              </w:rPr>
            </w:pPr>
            <w:r>
              <w:rPr>
                <w:rFonts w:ascii="Caladea"/>
                <w:b/>
                <w:sz w:val="14"/>
              </w:rPr>
              <w:t>31/12/2018</w:t>
            </w:r>
          </w:p>
        </w:tc>
        <w:tc>
          <w:tcPr>
            <w:tcW w:w="1932" w:type="dxa"/>
          </w:tcPr>
          <w:p>
            <w:pPr>
              <w:pStyle w:val="TableParagraph"/>
              <w:spacing w:before="118"/>
              <w:ind w:left="565"/>
              <w:rPr>
                <w:rFonts w:ascii="Caladea"/>
                <w:b/>
                <w:sz w:val="14"/>
              </w:rPr>
            </w:pPr>
            <w:r>
              <w:rPr>
                <w:rFonts w:ascii="Caladea"/>
                <w:b/>
                <w:sz w:val="14"/>
              </w:rPr>
              <w:t>31/12/2019</w:t>
            </w:r>
          </w:p>
        </w:tc>
        <w:tc>
          <w:tcPr>
            <w:tcW w:w="1929" w:type="dxa"/>
          </w:tcPr>
          <w:p>
            <w:pPr>
              <w:pStyle w:val="TableParagraph"/>
              <w:spacing w:before="118"/>
              <w:ind w:left="564"/>
              <w:rPr>
                <w:rFonts w:ascii="Caladea"/>
                <w:b/>
                <w:sz w:val="14"/>
              </w:rPr>
            </w:pPr>
            <w:r>
              <w:rPr>
                <w:rFonts w:ascii="Caladea"/>
                <w:b/>
                <w:sz w:val="14"/>
              </w:rPr>
              <w:t>31/12/2018</w:t>
            </w:r>
          </w:p>
        </w:tc>
      </w:tr>
      <w:tr>
        <w:trPr>
          <w:trHeight w:val="230" w:hRule="atLeast"/>
        </w:trPr>
        <w:tc>
          <w:tcPr>
            <w:tcW w:w="2220" w:type="dxa"/>
          </w:tcPr>
          <w:p>
            <w:pPr>
              <w:pStyle w:val="TableParagraph"/>
              <w:spacing w:before="34"/>
              <w:ind w:left="72"/>
              <w:rPr>
                <w:sz w:val="14"/>
              </w:rPr>
            </w:pPr>
            <w:r>
              <w:rPr>
                <w:sz w:val="14"/>
              </w:rPr>
              <w:t>Regulatórias</w:t>
            </w:r>
          </w:p>
        </w:tc>
        <w:tc>
          <w:tcPr>
            <w:tcW w:w="1932" w:type="dxa"/>
          </w:tcPr>
          <w:p>
            <w:pPr>
              <w:pStyle w:val="TableParagraph"/>
              <w:rPr>
                <w:rFonts w:ascii="Times New Roman"/>
                <w:sz w:val="16"/>
              </w:rPr>
            </w:pPr>
          </w:p>
        </w:tc>
        <w:tc>
          <w:tcPr>
            <w:tcW w:w="1929" w:type="dxa"/>
          </w:tcPr>
          <w:p>
            <w:pPr>
              <w:pStyle w:val="TableParagraph"/>
              <w:rPr>
                <w:rFonts w:ascii="Times New Roman"/>
                <w:sz w:val="16"/>
              </w:rPr>
            </w:pPr>
          </w:p>
        </w:tc>
        <w:tc>
          <w:tcPr>
            <w:tcW w:w="1932" w:type="dxa"/>
          </w:tcPr>
          <w:p>
            <w:pPr>
              <w:pStyle w:val="TableParagraph"/>
              <w:spacing w:before="34"/>
              <w:ind w:right="55"/>
              <w:jc w:val="right"/>
              <w:rPr>
                <w:sz w:val="14"/>
              </w:rPr>
            </w:pPr>
            <w:r>
              <w:rPr>
                <w:w w:val="95"/>
                <w:sz w:val="14"/>
              </w:rPr>
              <w:t>37.705</w:t>
            </w:r>
          </w:p>
        </w:tc>
        <w:tc>
          <w:tcPr>
            <w:tcW w:w="1929" w:type="dxa"/>
          </w:tcPr>
          <w:p>
            <w:pPr>
              <w:pStyle w:val="TableParagraph"/>
              <w:spacing w:before="34"/>
              <w:ind w:right="54"/>
              <w:jc w:val="right"/>
              <w:rPr>
                <w:sz w:val="14"/>
              </w:rPr>
            </w:pPr>
            <w:r>
              <w:rPr>
                <w:w w:val="95"/>
                <w:sz w:val="14"/>
              </w:rPr>
              <w:t>34.168</w:t>
            </w:r>
          </w:p>
        </w:tc>
      </w:tr>
      <w:tr>
        <w:trPr>
          <w:trHeight w:val="229" w:hRule="atLeast"/>
        </w:trPr>
        <w:tc>
          <w:tcPr>
            <w:tcW w:w="2220" w:type="dxa"/>
          </w:tcPr>
          <w:p>
            <w:pPr>
              <w:pStyle w:val="TableParagraph"/>
              <w:spacing w:before="34"/>
              <w:ind w:left="72"/>
              <w:rPr>
                <w:sz w:val="14"/>
              </w:rPr>
            </w:pPr>
            <w:r>
              <w:rPr>
                <w:sz w:val="14"/>
              </w:rPr>
              <w:t>Trabalhistas</w:t>
            </w:r>
          </w:p>
        </w:tc>
        <w:tc>
          <w:tcPr>
            <w:tcW w:w="1932" w:type="dxa"/>
          </w:tcPr>
          <w:p>
            <w:pPr>
              <w:pStyle w:val="TableParagraph"/>
              <w:rPr>
                <w:rFonts w:ascii="Times New Roman"/>
                <w:sz w:val="16"/>
              </w:rPr>
            </w:pPr>
          </w:p>
        </w:tc>
        <w:tc>
          <w:tcPr>
            <w:tcW w:w="1929" w:type="dxa"/>
          </w:tcPr>
          <w:p>
            <w:pPr>
              <w:pStyle w:val="TableParagraph"/>
              <w:rPr>
                <w:rFonts w:ascii="Times New Roman"/>
                <w:sz w:val="16"/>
              </w:rPr>
            </w:pPr>
          </w:p>
        </w:tc>
        <w:tc>
          <w:tcPr>
            <w:tcW w:w="1932" w:type="dxa"/>
          </w:tcPr>
          <w:p>
            <w:pPr>
              <w:pStyle w:val="TableParagraph"/>
              <w:spacing w:before="34"/>
              <w:ind w:right="55"/>
              <w:jc w:val="right"/>
              <w:rPr>
                <w:sz w:val="14"/>
              </w:rPr>
            </w:pPr>
            <w:r>
              <w:rPr>
                <w:w w:val="95"/>
                <w:sz w:val="14"/>
              </w:rPr>
              <w:t>17.530</w:t>
            </w:r>
          </w:p>
        </w:tc>
        <w:tc>
          <w:tcPr>
            <w:tcW w:w="1929" w:type="dxa"/>
          </w:tcPr>
          <w:p>
            <w:pPr>
              <w:pStyle w:val="TableParagraph"/>
              <w:spacing w:before="34"/>
              <w:ind w:right="54"/>
              <w:jc w:val="right"/>
              <w:rPr>
                <w:sz w:val="14"/>
              </w:rPr>
            </w:pPr>
            <w:r>
              <w:rPr>
                <w:w w:val="95"/>
                <w:sz w:val="14"/>
              </w:rPr>
              <w:t>11.936</w:t>
            </w:r>
          </w:p>
        </w:tc>
      </w:tr>
      <w:tr>
        <w:trPr>
          <w:trHeight w:val="230" w:hRule="atLeast"/>
        </w:trPr>
        <w:tc>
          <w:tcPr>
            <w:tcW w:w="2220" w:type="dxa"/>
          </w:tcPr>
          <w:p>
            <w:pPr>
              <w:pStyle w:val="TableParagraph"/>
              <w:spacing w:before="34"/>
              <w:ind w:left="72"/>
              <w:rPr>
                <w:sz w:val="14"/>
              </w:rPr>
            </w:pPr>
            <w:r>
              <w:rPr>
                <w:sz w:val="14"/>
              </w:rPr>
              <w:t>Fiscais</w:t>
            </w:r>
          </w:p>
        </w:tc>
        <w:tc>
          <w:tcPr>
            <w:tcW w:w="1932" w:type="dxa"/>
          </w:tcPr>
          <w:p>
            <w:pPr>
              <w:pStyle w:val="TableParagraph"/>
              <w:rPr>
                <w:rFonts w:ascii="Times New Roman"/>
                <w:sz w:val="16"/>
              </w:rPr>
            </w:pPr>
          </w:p>
        </w:tc>
        <w:tc>
          <w:tcPr>
            <w:tcW w:w="1929" w:type="dxa"/>
          </w:tcPr>
          <w:p>
            <w:pPr>
              <w:pStyle w:val="TableParagraph"/>
              <w:spacing w:before="34"/>
              <w:ind w:right="55"/>
              <w:jc w:val="right"/>
              <w:rPr>
                <w:sz w:val="14"/>
              </w:rPr>
            </w:pPr>
            <w:r>
              <w:rPr>
                <w:w w:val="104"/>
                <w:sz w:val="14"/>
              </w:rPr>
              <w:t>1</w:t>
            </w:r>
          </w:p>
        </w:tc>
        <w:tc>
          <w:tcPr>
            <w:tcW w:w="1932" w:type="dxa"/>
          </w:tcPr>
          <w:p>
            <w:pPr>
              <w:pStyle w:val="TableParagraph"/>
              <w:spacing w:before="34"/>
              <w:ind w:right="55"/>
              <w:jc w:val="right"/>
              <w:rPr>
                <w:sz w:val="14"/>
              </w:rPr>
            </w:pPr>
            <w:r>
              <w:rPr>
                <w:sz w:val="14"/>
              </w:rPr>
              <w:t>276</w:t>
            </w:r>
          </w:p>
        </w:tc>
        <w:tc>
          <w:tcPr>
            <w:tcW w:w="1929" w:type="dxa"/>
          </w:tcPr>
          <w:p>
            <w:pPr>
              <w:pStyle w:val="TableParagraph"/>
              <w:spacing w:before="34"/>
              <w:ind w:right="54"/>
              <w:jc w:val="right"/>
              <w:rPr>
                <w:sz w:val="14"/>
              </w:rPr>
            </w:pPr>
            <w:r>
              <w:rPr>
                <w:w w:val="104"/>
                <w:sz w:val="14"/>
              </w:rPr>
              <w:t>1</w:t>
            </w:r>
          </w:p>
        </w:tc>
      </w:tr>
      <w:tr>
        <w:trPr>
          <w:trHeight w:val="230" w:hRule="atLeast"/>
        </w:trPr>
        <w:tc>
          <w:tcPr>
            <w:tcW w:w="2220" w:type="dxa"/>
          </w:tcPr>
          <w:p>
            <w:pPr>
              <w:pStyle w:val="TableParagraph"/>
              <w:spacing w:before="34"/>
              <w:ind w:left="72"/>
              <w:rPr>
                <w:sz w:val="14"/>
              </w:rPr>
            </w:pPr>
            <w:r>
              <w:rPr>
                <w:sz w:val="14"/>
              </w:rPr>
              <w:t>Cíveis</w:t>
            </w:r>
          </w:p>
        </w:tc>
        <w:tc>
          <w:tcPr>
            <w:tcW w:w="1932" w:type="dxa"/>
          </w:tcPr>
          <w:p>
            <w:pPr>
              <w:pStyle w:val="TableParagraph"/>
              <w:spacing w:before="34"/>
              <w:ind w:right="59"/>
              <w:jc w:val="right"/>
              <w:rPr>
                <w:sz w:val="14"/>
              </w:rPr>
            </w:pPr>
            <w:r>
              <w:rPr>
                <w:sz w:val="14"/>
              </w:rPr>
              <w:t>100</w:t>
            </w:r>
          </w:p>
        </w:tc>
        <w:tc>
          <w:tcPr>
            <w:tcW w:w="1929" w:type="dxa"/>
          </w:tcPr>
          <w:p>
            <w:pPr>
              <w:pStyle w:val="TableParagraph"/>
              <w:rPr>
                <w:rFonts w:ascii="Times New Roman"/>
                <w:sz w:val="16"/>
              </w:rPr>
            </w:pPr>
          </w:p>
        </w:tc>
        <w:tc>
          <w:tcPr>
            <w:tcW w:w="1932" w:type="dxa"/>
          </w:tcPr>
          <w:p>
            <w:pPr>
              <w:pStyle w:val="TableParagraph"/>
              <w:spacing w:before="34"/>
              <w:ind w:right="55"/>
              <w:jc w:val="right"/>
              <w:rPr>
                <w:sz w:val="14"/>
              </w:rPr>
            </w:pPr>
            <w:r>
              <w:rPr>
                <w:w w:val="95"/>
                <w:sz w:val="14"/>
              </w:rPr>
              <w:t>15.936</w:t>
            </w:r>
          </w:p>
        </w:tc>
        <w:tc>
          <w:tcPr>
            <w:tcW w:w="1929" w:type="dxa"/>
          </w:tcPr>
          <w:p>
            <w:pPr>
              <w:pStyle w:val="TableParagraph"/>
              <w:spacing w:before="34"/>
              <w:ind w:right="54"/>
              <w:jc w:val="right"/>
              <w:rPr>
                <w:sz w:val="14"/>
              </w:rPr>
            </w:pPr>
            <w:r>
              <w:rPr>
                <w:w w:val="95"/>
                <w:sz w:val="14"/>
              </w:rPr>
              <w:t>4.667</w:t>
            </w:r>
          </w:p>
        </w:tc>
      </w:tr>
      <w:tr>
        <w:trPr>
          <w:trHeight w:val="230" w:hRule="atLeast"/>
        </w:trPr>
        <w:tc>
          <w:tcPr>
            <w:tcW w:w="2220" w:type="dxa"/>
          </w:tcPr>
          <w:p>
            <w:pPr>
              <w:pStyle w:val="TableParagraph"/>
              <w:spacing w:before="33"/>
              <w:ind w:left="72"/>
              <w:rPr>
                <w:rFonts w:ascii="Caladea"/>
                <w:b/>
                <w:sz w:val="14"/>
              </w:rPr>
            </w:pPr>
            <w:r>
              <w:rPr>
                <w:rFonts w:ascii="Caladea"/>
                <w:b/>
                <w:sz w:val="14"/>
              </w:rPr>
              <w:t>Total</w:t>
            </w:r>
          </w:p>
        </w:tc>
        <w:tc>
          <w:tcPr>
            <w:tcW w:w="1932" w:type="dxa"/>
          </w:tcPr>
          <w:p>
            <w:pPr>
              <w:pStyle w:val="TableParagraph"/>
              <w:spacing w:before="33"/>
              <w:ind w:right="58"/>
              <w:jc w:val="right"/>
              <w:rPr>
                <w:rFonts w:ascii="Caladea"/>
                <w:b/>
                <w:sz w:val="14"/>
              </w:rPr>
            </w:pPr>
            <w:r>
              <w:rPr>
                <w:rFonts w:ascii="Caladea"/>
                <w:b/>
                <w:w w:val="95"/>
                <w:sz w:val="14"/>
              </w:rPr>
              <w:t>100</w:t>
            </w:r>
          </w:p>
        </w:tc>
        <w:tc>
          <w:tcPr>
            <w:tcW w:w="1929" w:type="dxa"/>
          </w:tcPr>
          <w:p>
            <w:pPr>
              <w:pStyle w:val="TableParagraph"/>
              <w:spacing w:before="33"/>
              <w:ind w:right="57"/>
              <w:jc w:val="right"/>
              <w:rPr>
                <w:rFonts w:ascii="Caladea"/>
                <w:b/>
                <w:sz w:val="14"/>
              </w:rPr>
            </w:pPr>
            <w:r>
              <w:rPr>
                <w:rFonts w:ascii="Caladea"/>
                <w:b/>
                <w:w w:val="99"/>
                <w:sz w:val="14"/>
              </w:rPr>
              <w:t>1</w:t>
            </w:r>
          </w:p>
        </w:tc>
        <w:tc>
          <w:tcPr>
            <w:tcW w:w="1932" w:type="dxa"/>
          </w:tcPr>
          <w:p>
            <w:pPr>
              <w:pStyle w:val="TableParagraph"/>
              <w:spacing w:before="33"/>
              <w:ind w:right="54"/>
              <w:jc w:val="right"/>
              <w:rPr>
                <w:rFonts w:ascii="Caladea"/>
                <w:b/>
                <w:sz w:val="14"/>
              </w:rPr>
            </w:pPr>
            <w:r>
              <w:rPr>
                <w:rFonts w:ascii="Caladea"/>
                <w:b/>
                <w:sz w:val="14"/>
              </w:rPr>
              <w:t>71.447</w:t>
            </w:r>
          </w:p>
        </w:tc>
        <w:tc>
          <w:tcPr>
            <w:tcW w:w="1929" w:type="dxa"/>
          </w:tcPr>
          <w:p>
            <w:pPr>
              <w:pStyle w:val="TableParagraph"/>
              <w:spacing w:before="33"/>
              <w:ind w:right="54"/>
              <w:jc w:val="right"/>
              <w:rPr>
                <w:rFonts w:ascii="Caladea"/>
                <w:b/>
                <w:sz w:val="14"/>
              </w:rPr>
            </w:pPr>
            <w:r>
              <w:rPr>
                <w:rFonts w:ascii="Caladea"/>
                <w:b/>
                <w:sz w:val="14"/>
              </w:rPr>
              <w:t>50.772</w:t>
            </w:r>
          </w:p>
        </w:tc>
      </w:tr>
      <w:tr>
        <w:trPr>
          <w:trHeight w:val="230" w:hRule="atLeast"/>
        </w:trPr>
        <w:tc>
          <w:tcPr>
            <w:tcW w:w="2220" w:type="dxa"/>
          </w:tcPr>
          <w:p>
            <w:pPr>
              <w:pStyle w:val="TableParagraph"/>
              <w:spacing w:before="32"/>
              <w:ind w:left="72"/>
              <w:rPr>
                <w:rFonts w:ascii="Caladea"/>
                <w:b/>
                <w:sz w:val="14"/>
              </w:rPr>
            </w:pPr>
            <w:r>
              <w:rPr>
                <w:rFonts w:ascii="Caladea"/>
                <w:b/>
                <w:sz w:val="14"/>
              </w:rPr>
              <w:t>Circulante</w:t>
            </w:r>
          </w:p>
        </w:tc>
        <w:tc>
          <w:tcPr>
            <w:tcW w:w="1932" w:type="dxa"/>
          </w:tcPr>
          <w:p>
            <w:pPr>
              <w:pStyle w:val="TableParagraph"/>
              <w:spacing w:before="32"/>
              <w:ind w:right="58"/>
              <w:jc w:val="right"/>
              <w:rPr>
                <w:rFonts w:ascii="Caladea"/>
                <w:b/>
                <w:sz w:val="14"/>
              </w:rPr>
            </w:pPr>
            <w:r>
              <w:rPr>
                <w:rFonts w:ascii="Caladea"/>
                <w:b/>
                <w:w w:val="95"/>
                <w:sz w:val="14"/>
              </w:rPr>
              <w:t>100</w:t>
            </w:r>
          </w:p>
        </w:tc>
        <w:tc>
          <w:tcPr>
            <w:tcW w:w="1929" w:type="dxa"/>
          </w:tcPr>
          <w:p>
            <w:pPr>
              <w:pStyle w:val="TableParagraph"/>
              <w:rPr>
                <w:rFonts w:ascii="Times New Roman"/>
                <w:sz w:val="16"/>
              </w:rPr>
            </w:pPr>
          </w:p>
        </w:tc>
        <w:tc>
          <w:tcPr>
            <w:tcW w:w="1932" w:type="dxa"/>
          </w:tcPr>
          <w:p>
            <w:pPr>
              <w:pStyle w:val="TableParagraph"/>
              <w:spacing w:before="32"/>
              <w:ind w:right="55"/>
              <w:jc w:val="right"/>
              <w:rPr>
                <w:rFonts w:ascii="Caladea"/>
                <w:b/>
                <w:sz w:val="14"/>
              </w:rPr>
            </w:pPr>
            <w:r>
              <w:rPr>
                <w:rFonts w:ascii="Caladea"/>
                <w:b/>
                <w:sz w:val="14"/>
              </w:rPr>
              <w:t>10.309</w:t>
            </w:r>
          </w:p>
        </w:tc>
        <w:tc>
          <w:tcPr>
            <w:tcW w:w="1929" w:type="dxa"/>
          </w:tcPr>
          <w:p>
            <w:pPr>
              <w:pStyle w:val="TableParagraph"/>
              <w:spacing w:before="32"/>
              <w:ind w:right="54"/>
              <w:jc w:val="right"/>
              <w:rPr>
                <w:rFonts w:ascii="Caladea"/>
                <w:b/>
                <w:sz w:val="14"/>
              </w:rPr>
            </w:pPr>
            <w:r>
              <w:rPr>
                <w:rFonts w:ascii="Caladea"/>
                <w:b/>
                <w:w w:val="95"/>
                <w:sz w:val="14"/>
              </w:rPr>
              <w:t>6.478</w:t>
            </w:r>
          </w:p>
        </w:tc>
      </w:tr>
      <w:tr>
        <w:trPr>
          <w:trHeight w:val="232" w:hRule="atLeast"/>
        </w:trPr>
        <w:tc>
          <w:tcPr>
            <w:tcW w:w="2220" w:type="dxa"/>
          </w:tcPr>
          <w:p>
            <w:pPr>
              <w:pStyle w:val="TableParagraph"/>
              <w:spacing w:before="32"/>
              <w:ind w:left="72"/>
              <w:rPr>
                <w:rFonts w:ascii="Caladea" w:hAnsi="Caladea"/>
                <w:b/>
                <w:sz w:val="14"/>
              </w:rPr>
            </w:pPr>
            <w:r>
              <w:rPr>
                <w:rFonts w:ascii="Caladea" w:hAnsi="Caladea"/>
                <w:b/>
                <w:sz w:val="14"/>
              </w:rPr>
              <w:t>Não Circulante</w:t>
            </w:r>
          </w:p>
        </w:tc>
        <w:tc>
          <w:tcPr>
            <w:tcW w:w="1932" w:type="dxa"/>
          </w:tcPr>
          <w:p>
            <w:pPr>
              <w:pStyle w:val="TableParagraph"/>
              <w:rPr>
                <w:rFonts w:ascii="Times New Roman"/>
                <w:sz w:val="16"/>
              </w:rPr>
            </w:pPr>
          </w:p>
        </w:tc>
        <w:tc>
          <w:tcPr>
            <w:tcW w:w="1929" w:type="dxa"/>
          </w:tcPr>
          <w:p>
            <w:pPr>
              <w:pStyle w:val="TableParagraph"/>
              <w:spacing w:before="32"/>
              <w:ind w:right="57"/>
              <w:jc w:val="right"/>
              <w:rPr>
                <w:rFonts w:ascii="Caladea"/>
                <w:b/>
                <w:sz w:val="14"/>
              </w:rPr>
            </w:pPr>
            <w:r>
              <w:rPr>
                <w:rFonts w:ascii="Caladea"/>
                <w:b/>
                <w:w w:val="99"/>
                <w:sz w:val="14"/>
              </w:rPr>
              <w:t>1</w:t>
            </w:r>
          </w:p>
        </w:tc>
        <w:tc>
          <w:tcPr>
            <w:tcW w:w="1932" w:type="dxa"/>
          </w:tcPr>
          <w:p>
            <w:pPr>
              <w:pStyle w:val="TableParagraph"/>
              <w:spacing w:before="32"/>
              <w:ind w:right="55"/>
              <w:jc w:val="right"/>
              <w:rPr>
                <w:rFonts w:ascii="Caladea"/>
                <w:b/>
                <w:sz w:val="14"/>
              </w:rPr>
            </w:pPr>
            <w:r>
              <w:rPr>
                <w:rFonts w:ascii="Caladea"/>
                <w:b/>
                <w:sz w:val="14"/>
              </w:rPr>
              <w:t>61.138</w:t>
            </w:r>
          </w:p>
        </w:tc>
        <w:tc>
          <w:tcPr>
            <w:tcW w:w="1929" w:type="dxa"/>
          </w:tcPr>
          <w:p>
            <w:pPr>
              <w:pStyle w:val="TableParagraph"/>
              <w:spacing w:before="32"/>
              <w:ind w:right="54"/>
              <w:jc w:val="right"/>
              <w:rPr>
                <w:rFonts w:ascii="Caladea"/>
                <w:b/>
                <w:sz w:val="14"/>
              </w:rPr>
            </w:pPr>
            <w:r>
              <w:rPr>
                <w:rFonts w:ascii="Caladea"/>
                <w:b/>
                <w:sz w:val="14"/>
              </w:rPr>
              <w:t>44.294</w:t>
            </w:r>
          </w:p>
        </w:tc>
      </w:tr>
    </w:tbl>
    <w:p>
      <w:pPr>
        <w:pStyle w:val="BodyText"/>
        <w:spacing w:before="9"/>
      </w:pPr>
    </w:p>
    <w:p>
      <w:pPr>
        <w:pStyle w:val="Heading5"/>
        <w:spacing w:before="1"/>
        <w:ind w:left="172" w:firstLine="0"/>
      </w:pPr>
      <w:r>
        <w:rPr/>
        <w:t>26.1.1. Movimentação das provisões para riscos tributários, cíveis, trabalhistas e regulatórios</w:t>
      </w:r>
    </w:p>
    <w:p>
      <w:pPr>
        <w:pStyle w:val="BodyText"/>
        <w:spacing w:before="5"/>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53"/>
        <w:gridCol w:w="1378"/>
        <w:gridCol w:w="1139"/>
        <w:gridCol w:w="1249"/>
      </w:tblGrid>
      <w:tr>
        <w:trPr>
          <w:trHeight w:val="239" w:hRule="atLeast"/>
        </w:trPr>
        <w:tc>
          <w:tcPr>
            <w:tcW w:w="6153" w:type="dxa"/>
            <w:vMerge w:val="restart"/>
            <w:shd w:val="clear" w:color="auto" w:fill="D9D9D9"/>
          </w:tcPr>
          <w:p>
            <w:pPr>
              <w:pStyle w:val="TableParagraph"/>
              <w:rPr>
                <w:rFonts w:ascii="Times New Roman"/>
                <w:sz w:val="16"/>
              </w:rPr>
            </w:pPr>
          </w:p>
        </w:tc>
        <w:tc>
          <w:tcPr>
            <w:tcW w:w="3766" w:type="dxa"/>
            <w:gridSpan w:val="3"/>
          </w:tcPr>
          <w:p>
            <w:pPr>
              <w:pStyle w:val="TableParagraph"/>
              <w:spacing w:before="37"/>
              <w:ind w:left="1430" w:right="1425"/>
              <w:jc w:val="center"/>
              <w:rPr>
                <w:rFonts w:ascii="Caladea"/>
                <w:b/>
                <w:sz w:val="14"/>
              </w:rPr>
            </w:pPr>
            <w:r>
              <w:rPr>
                <w:rFonts w:ascii="Caladea"/>
                <w:b/>
                <w:sz w:val="14"/>
              </w:rPr>
              <w:t>Controladora</w:t>
            </w:r>
          </w:p>
        </w:tc>
      </w:tr>
      <w:tr>
        <w:trPr>
          <w:trHeight w:val="395" w:hRule="atLeast"/>
        </w:trPr>
        <w:tc>
          <w:tcPr>
            <w:tcW w:w="6153" w:type="dxa"/>
            <w:vMerge/>
            <w:tcBorders>
              <w:top w:val="nil"/>
            </w:tcBorders>
            <w:shd w:val="clear" w:color="auto" w:fill="D9D9D9"/>
          </w:tcPr>
          <w:p>
            <w:pPr>
              <w:rPr>
                <w:sz w:val="2"/>
                <w:szCs w:val="2"/>
              </w:rPr>
            </w:pPr>
          </w:p>
        </w:tc>
        <w:tc>
          <w:tcPr>
            <w:tcW w:w="1378" w:type="dxa"/>
          </w:tcPr>
          <w:p>
            <w:pPr>
              <w:pStyle w:val="TableParagraph"/>
              <w:spacing w:before="114"/>
              <w:ind w:left="508" w:right="503"/>
              <w:jc w:val="center"/>
              <w:rPr>
                <w:rFonts w:ascii="Caladea" w:hAnsi="Caladea"/>
                <w:b/>
                <w:sz w:val="14"/>
              </w:rPr>
            </w:pPr>
            <w:r>
              <w:rPr>
                <w:rFonts w:ascii="Caladea" w:hAnsi="Caladea"/>
                <w:b/>
                <w:sz w:val="14"/>
              </w:rPr>
              <w:t>Cível</w:t>
            </w:r>
          </w:p>
        </w:tc>
        <w:tc>
          <w:tcPr>
            <w:tcW w:w="1139" w:type="dxa"/>
          </w:tcPr>
          <w:p>
            <w:pPr>
              <w:pStyle w:val="TableParagraph"/>
              <w:spacing w:before="114"/>
              <w:ind w:left="350"/>
              <w:rPr>
                <w:rFonts w:ascii="Caladea"/>
                <w:b/>
                <w:sz w:val="14"/>
              </w:rPr>
            </w:pPr>
            <w:r>
              <w:rPr>
                <w:rFonts w:ascii="Caladea"/>
                <w:b/>
                <w:sz w:val="14"/>
              </w:rPr>
              <w:t>Fiscais</w:t>
            </w:r>
          </w:p>
        </w:tc>
        <w:tc>
          <w:tcPr>
            <w:tcW w:w="1249" w:type="dxa"/>
          </w:tcPr>
          <w:p>
            <w:pPr>
              <w:pStyle w:val="TableParagraph"/>
              <w:spacing w:before="114"/>
              <w:ind w:left="432" w:right="427"/>
              <w:jc w:val="center"/>
              <w:rPr>
                <w:rFonts w:ascii="Caladea"/>
                <w:b/>
                <w:sz w:val="14"/>
              </w:rPr>
            </w:pPr>
            <w:r>
              <w:rPr>
                <w:rFonts w:ascii="Caladea"/>
                <w:b/>
                <w:sz w:val="14"/>
              </w:rPr>
              <w:t>Total</w:t>
            </w:r>
          </w:p>
        </w:tc>
      </w:tr>
      <w:tr>
        <w:trPr>
          <w:trHeight w:val="237" w:hRule="atLeast"/>
        </w:trPr>
        <w:tc>
          <w:tcPr>
            <w:tcW w:w="6153" w:type="dxa"/>
          </w:tcPr>
          <w:p>
            <w:pPr>
              <w:pStyle w:val="TableParagraph"/>
              <w:spacing w:before="35"/>
              <w:ind w:left="72"/>
              <w:rPr>
                <w:rFonts w:ascii="Caladea"/>
                <w:b/>
                <w:sz w:val="14"/>
              </w:rPr>
            </w:pPr>
            <w:r>
              <w:rPr>
                <w:rFonts w:ascii="Caladea"/>
                <w:b/>
                <w:sz w:val="14"/>
              </w:rPr>
              <w:t>Saldo em 31 de dezembro de 2017</w:t>
            </w:r>
          </w:p>
        </w:tc>
        <w:tc>
          <w:tcPr>
            <w:tcW w:w="1378" w:type="dxa"/>
          </w:tcPr>
          <w:p>
            <w:pPr>
              <w:pStyle w:val="TableParagraph"/>
              <w:spacing w:before="35"/>
              <w:ind w:right="62"/>
              <w:jc w:val="right"/>
              <w:rPr>
                <w:rFonts w:ascii="Caladea"/>
                <w:b/>
                <w:sz w:val="14"/>
              </w:rPr>
            </w:pPr>
            <w:r>
              <w:rPr>
                <w:rFonts w:ascii="Caladea"/>
                <w:b/>
                <w:w w:val="95"/>
                <w:sz w:val="14"/>
              </w:rPr>
              <w:t>95</w:t>
            </w:r>
          </w:p>
        </w:tc>
        <w:tc>
          <w:tcPr>
            <w:tcW w:w="1139" w:type="dxa"/>
          </w:tcPr>
          <w:p>
            <w:pPr>
              <w:pStyle w:val="TableParagraph"/>
              <w:spacing w:before="35"/>
              <w:ind w:right="60"/>
              <w:jc w:val="right"/>
              <w:rPr>
                <w:rFonts w:ascii="Caladea"/>
                <w:b/>
                <w:sz w:val="14"/>
              </w:rPr>
            </w:pPr>
            <w:r>
              <w:rPr>
                <w:rFonts w:ascii="Caladea"/>
                <w:b/>
                <w:w w:val="99"/>
                <w:sz w:val="14"/>
              </w:rPr>
              <w:t>1</w:t>
            </w:r>
          </w:p>
        </w:tc>
        <w:tc>
          <w:tcPr>
            <w:tcW w:w="1249" w:type="dxa"/>
          </w:tcPr>
          <w:p>
            <w:pPr>
              <w:pStyle w:val="TableParagraph"/>
              <w:spacing w:before="35"/>
              <w:ind w:right="62"/>
              <w:jc w:val="right"/>
              <w:rPr>
                <w:rFonts w:ascii="Caladea"/>
                <w:b/>
                <w:sz w:val="14"/>
              </w:rPr>
            </w:pPr>
            <w:r>
              <w:rPr>
                <w:rFonts w:ascii="Caladea"/>
                <w:b/>
                <w:w w:val="95"/>
                <w:sz w:val="14"/>
              </w:rPr>
              <w:t>96</w:t>
            </w:r>
          </w:p>
        </w:tc>
      </w:tr>
      <w:tr>
        <w:trPr>
          <w:trHeight w:val="237" w:hRule="atLeast"/>
        </w:trPr>
        <w:tc>
          <w:tcPr>
            <w:tcW w:w="6153" w:type="dxa"/>
          </w:tcPr>
          <w:p>
            <w:pPr>
              <w:pStyle w:val="TableParagraph"/>
              <w:spacing w:before="38"/>
              <w:ind w:left="72"/>
              <w:rPr>
                <w:sz w:val="14"/>
              </w:rPr>
            </w:pPr>
            <w:r>
              <w:rPr>
                <w:sz w:val="14"/>
              </w:rPr>
              <w:t>Reversão de Provisão</w:t>
            </w:r>
          </w:p>
        </w:tc>
        <w:tc>
          <w:tcPr>
            <w:tcW w:w="1378" w:type="dxa"/>
          </w:tcPr>
          <w:p>
            <w:pPr>
              <w:pStyle w:val="TableParagraph"/>
              <w:spacing w:before="38"/>
              <w:ind w:right="61"/>
              <w:jc w:val="right"/>
              <w:rPr>
                <w:sz w:val="14"/>
              </w:rPr>
            </w:pPr>
            <w:r>
              <w:rPr>
                <w:sz w:val="14"/>
              </w:rPr>
              <w:t>(95)</w:t>
            </w:r>
          </w:p>
        </w:tc>
        <w:tc>
          <w:tcPr>
            <w:tcW w:w="1139" w:type="dxa"/>
          </w:tcPr>
          <w:p>
            <w:pPr>
              <w:pStyle w:val="TableParagraph"/>
              <w:rPr>
                <w:rFonts w:ascii="Times New Roman"/>
                <w:sz w:val="16"/>
              </w:rPr>
            </w:pPr>
          </w:p>
        </w:tc>
        <w:tc>
          <w:tcPr>
            <w:tcW w:w="1249" w:type="dxa"/>
          </w:tcPr>
          <w:p>
            <w:pPr>
              <w:pStyle w:val="TableParagraph"/>
              <w:spacing w:before="38"/>
              <w:ind w:right="62"/>
              <w:jc w:val="right"/>
              <w:rPr>
                <w:sz w:val="14"/>
              </w:rPr>
            </w:pPr>
            <w:r>
              <w:rPr>
                <w:w w:val="105"/>
                <w:sz w:val="14"/>
              </w:rPr>
              <w:t>(95)</w:t>
            </w:r>
          </w:p>
        </w:tc>
      </w:tr>
      <w:tr>
        <w:trPr>
          <w:trHeight w:val="239" w:hRule="atLeast"/>
        </w:trPr>
        <w:tc>
          <w:tcPr>
            <w:tcW w:w="6153" w:type="dxa"/>
          </w:tcPr>
          <w:p>
            <w:pPr>
              <w:pStyle w:val="TableParagraph"/>
              <w:spacing w:before="37"/>
              <w:ind w:left="72"/>
              <w:rPr>
                <w:rFonts w:ascii="Caladea"/>
                <w:b/>
                <w:sz w:val="14"/>
              </w:rPr>
            </w:pPr>
            <w:r>
              <w:rPr>
                <w:rFonts w:ascii="Caladea"/>
                <w:b/>
                <w:sz w:val="14"/>
              </w:rPr>
              <w:t>Saldo em 31 de dezembro de 2018</w:t>
            </w:r>
          </w:p>
        </w:tc>
        <w:tc>
          <w:tcPr>
            <w:tcW w:w="1378" w:type="dxa"/>
          </w:tcPr>
          <w:p>
            <w:pPr>
              <w:pStyle w:val="TableParagraph"/>
              <w:rPr>
                <w:rFonts w:ascii="Times New Roman"/>
                <w:sz w:val="16"/>
              </w:rPr>
            </w:pPr>
          </w:p>
        </w:tc>
        <w:tc>
          <w:tcPr>
            <w:tcW w:w="1139" w:type="dxa"/>
          </w:tcPr>
          <w:p>
            <w:pPr>
              <w:pStyle w:val="TableParagraph"/>
              <w:spacing w:before="37"/>
              <w:ind w:right="60"/>
              <w:jc w:val="right"/>
              <w:rPr>
                <w:rFonts w:ascii="Caladea"/>
                <w:b/>
                <w:sz w:val="14"/>
              </w:rPr>
            </w:pPr>
            <w:r>
              <w:rPr>
                <w:rFonts w:ascii="Caladea"/>
                <w:b/>
                <w:w w:val="99"/>
                <w:sz w:val="14"/>
              </w:rPr>
              <w:t>1</w:t>
            </w:r>
          </w:p>
        </w:tc>
        <w:tc>
          <w:tcPr>
            <w:tcW w:w="1249" w:type="dxa"/>
          </w:tcPr>
          <w:p>
            <w:pPr>
              <w:pStyle w:val="TableParagraph"/>
              <w:spacing w:before="37"/>
              <w:ind w:right="61"/>
              <w:jc w:val="right"/>
              <w:rPr>
                <w:rFonts w:ascii="Caladea"/>
                <w:b/>
                <w:sz w:val="14"/>
              </w:rPr>
            </w:pPr>
            <w:r>
              <w:rPr>
                <w:rFonts w:ascii="Caladea"/>
                <w:b/>
                <w:w w:val="99"/>
                <w:sz w:val="14"/>
              </w:rPr>
              <w:t>1</w:t>
            </w:r>
          </w:p>
        </w:tc>
      </w:tr>
      <w:tr>
        <w:trPr>
          <w:trHeight w:val="237" w:hRule="atLeast"/>
        </w:trPr>
        <w:tc>
          <w:tcPr>
            <w:tcW w:w="6153" w:type="dxa"/>
          </w:tcPr>
          <w:p>
            <w:pPr>
              <w:pStyle w:val="TableParagraph"/>
              <w:spacing w:before="36"/>
              <w:ind w:left="72"/>
              <w:rPr>
                <w:sz w:val="14"/>
              </w:rPr>
            </w:pPr>
            <w:r>
              <w:rPr>
                <w:sz w:val="14"/>
              </w:rPr>
              <w:t>Constituíção de Provisão</w:t>
            </w:r>
          </w:p>
        </w:tc>
        <w:tc>
          <w:tcPr>
            <w:tcW w:w="1378" w:type="dxa"/>
          </w:tcPr>
          <w:p>
            <w:pPr>
              <w:pStyle w:val="TableParagraph"/>
              <w:spacing w:before="36"/>
              <w:ind w:right="62"/>
              <w:jc w:val="right"/>
              <w:rPr>
                <w:sz w:val="14"/>
              </w:rPr>
            </w:pPr>
            <w:r>
              <w:rPr>
                <w:sz w:val="14"/>
              </w:rPr>
              <w:t>100</w:t>
            </w:r>
          </w:p>
        </w:tc>
        <w:tc>
          <w:tcPr>
            <w:tcW w:w="1139" w:type="dxa"/>
          </w:tcPr>
          <w:p>
            <w:pPr>
              <w:pStyle w:val="TableParagraph"/>
              <w:rPr>
                <w:rFonts w:ascii="Times New Roman"/>
                <w:sz w:val="16"/>
              </w:rPr>
            </w:pPr>
          </w:p>
        </w:tc>
        <w:tc>
          <w:tcPr>
            <w:tcW w:w="1249" w:type="dxa"/>
          </w:tcPr>
          <w:p>
            <w:pPr>
              <w:pStyle w:val="TableParagraph"/>
              <w:spacing w:before="36"/>
              <w:ind w:right="62"/>
              <w:jc w:val="right"/>
              <w:rPr>
                <w:sz w:val="14"/>
              </w:rPr>
            </w:pPr>
            <w:r>
              <w:rPr>
                <w:w w:val="105"/>
                <w:sz w:val="14"/>
              </w:rPr>
              <w:t>100</w:t>
            </w:r>
          </w:p>
        </w:tc>
      </w:tr>
      <w:tr>
        <w:trPr>
          <w:trHeight w:val="237" w:hRule="atLeast"/>
        </w:trPr>
        <w:tc>
          <w:tcPr>
            <w:tcW w:w="6153" w:type="dxa"/>
          </w:tcPr>
          <w:p>
            <w:pPr>
              <w:pStyle w:val="TableParagraph"/>
              <w:spacing w:before="38"/>
              <w:ind w:left="72"/>
              <w:rPr>
                <w:sz w:val="14"/>
              </w:rPr>
            </w:pPr>
            <w:r>
              <w:rPr>
                <w:sz w:val="14"/>
              </w:rPr>
              <w:t>Reversão de Provisão</w:t>
            </w:r>
          </w:p>
        </w:tc>
        <w:tc>
          <w:tcPr>
            <w:tcW w:w="1378" w:type="dxa"/>
          </w:tcPr>
          <w:p>
            <w:pPr>
              <w:pStyle w:val="TableParagraph"/>
              <w:rPr>
                <w:rFonts w:ascii="Times New Roman"/>
                <w:sz w:val="16"/>
              </w:rPr>
            </w:pPr>
          </w:p>
        </w:tc>
        <w:tc>
          <w:tcPr>
            <w:tcW w:w="1139" w:type="dxa"/>
          </w:tcPr>
          <w:p>
            <w:pPr>
              <w:pStyle w:val="TableParagraph"/>
              <w:spacing w:before="38"/>
              <w:ind w:right="61"/>
              <w:jc w:val="right"/>
              <w:rPr>
                <w:sz w:val="14"/>
              </w:rPr>
            </w:pPr>
            <w:r>
              <w:rPr>
                <w:sz w:val="14"/>
              </w:rPr>
              <w:t>(1)</w:t>
            </w:r>
          </w:p>
        </w:tc>
        <w:tc>
          <w:tcPr>
            <w:tcW w:w="1249" w:type="dxa"/>
          </w:tcPr>
          <w:p>
            <w:pPr>
              <w:pStyle w:val="TableParagraph"/>
              <w:spacing w:before="38"/>
              <w:ind w:right="62"/>
              <w:jc w:val="right"/>
              <w:rPr>
                <w:sz w:val="14"/>
              </w:rPr>
            </w:pPr>
            <w:r>
              <w:rPr>
                <w:sz w:val="14"/>
              </w:rPr>
              <w:t>(1)</w:t>
            </w:r>
          </w:p>
        </w:tc>
      </w:tr>
      <w:tr>
        <w:trPr>
          <w:trHeight w:val="239" w:hRule="atLeast"/>
        </w:trPr>
        <w:tc>
          <w:tcPr>
            <w:tcW w:w="6153" w:type="dxa"/>
          </w:tcPr>
          <w:p>
            <w:pPr>
              <w:pStyle w:val="TableParagraph"/>
              <w:spacing w:before="37"/>
              <w:ind w:left="72"/>
              <w:rPr>
                <w:rFonts w:ascii="Caladea"/>
                <w:b/>
                <w:sz w:val="14"/>
              </w:rPr>
            </w:pPr>
            <w:r>
              <w:rPr>
                <w:rFonts w:ascii="Caladea"/>
                <w:b/>
                <w:sz w:val="14"/>
              </w:rPr>
              <w:t>Saldo em 31 de dezembro de 2019</w:t>
            </w:r>
          </w:p>
        </w:tc>
        <w:tc>
          <w:tcPr>
            <w:tcW w:w="1378" w:type="dxa"/>
          </w:tcPr>
          <w:p>
            <w:pPr>
              <w:pStyle w:val="TableParagraph"/>
              <w:spacing w:before="37"/>
              <w:ind w:right="60"/>
              <w:jc w:val="right"/>
              <w:rPr>
                <w:rFonts w:ascii="Caladea"/>
                <w:b/>
                <w:sz w:val="14"/>
              </w:rPr>
            </w:pPr>
            <w:r>
              <w:rPr>
                <w:rFonts w:ascii="Caladea"/>
                <w:b/>
                <w:w w:val="95"/>
                <w:sz w:val="14"/>
              </w:rPr>
              <w:t>100</w:t>
            </w:r>
          </w:p>
        </w:tc>
        <w:tc>
          <w:tcPr>
            <w:tcW w:w="1139" w:type="dxa"/>
          </w:tcPr>
          <w:p>
            <w:pPr>
              <w:pStyle w:val="TableParagraph"/>
              <w:rPr>
                <w:rFonts w:ascii="Times New Roman"/>
                <w:sz w:val="16"/>
              </w:rPr>
            </w:pPr>
          </w:p>
        </w:tc>
        <w:tc>
          <w:tcPr>
            <w:tcW w:w="1249" w:type="dxa"/>
          </w:tcPr>
          <w:p>
            <w:pPr>
              <w:pStyle w:val="TableParagraph"/>
              <w:spacing w:before="37"/>
              <w:ind w:right="60"/>
              <w:jc w:val="right"/>
              <w:rPr>
                <w:rFonts w:ascii="Caladea"/>
                <w:b/>
                <w:sz w:val="14"/>
              </w:rPr>
            </w:pPr>
            <w:r>
              <w:rPr>
                <w:rFonts w:ascii="Caladea"/>
                <w:b/>
                <w:w w:val="95"/>
                <w:sz w:val="14"/>
              </w:rPr>
              <w:t>100</w:t>
            </w:r>
          </w:p>
        </w:tc>
      </w:tr>
    </w:tbl>
    <w:p>
      <w:pPr>
        <w:pStyle w:val="BodyText"/>
        <w:spacing w:before="11"/>
        <w:rPr>
          <w:rFonts w:ascii="Caladea"/>
          <w:b/>
          <w:sz w:val="21"/>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96"/>
        <w:gridCol w:w="1310"/>
        <w:gridCol w:w="1310"/>
        <w:gridCol w:w="1094"/>
        <w:gridCol w:w="1409"/>
        <w:gridCol w:w="1195"/>
      </w:tblGrid>
      <w:tr>
        <w:trPr>
          <w:trHeight w:val="239" w:hRule="atLeast"/>
        </w:trPr>
        <w:tc>
          <w:tcPr>
            <w:tcW w:w="3596" w:type="dxa"/>
            <w:vMerge w:val="restart"/>
            <w:shd w:val="clear" w:color="auto" w:fill="D9D9D9"/>
          </w:tcPr>
          <w:p>
            <w:pPr>
              <w:pStyle w:val="TableParagraph"/>
              <w:rPr>
                <w:rFonts w:ascii="Times New Roman"/>
                <w:sz w:val="16"/>
              </w:rPr>
            </w:pPr>
          </w:p>
        </w:tc>
        <w:tc>
          <w:tcPr>
            <w:tcW w:w="6318" w:type="dxa"/>
            <w:gridSpan w:val="5"/>
          </w:tcPr>
          <w:p>
            <w:pPr>
              <w:pStyle w:val="TableParagraph"/>
              <w:spacing w:before="37"/>
              <w:ind w:left="2757" w:right="2712"/>
              <w:jc w:val="center"/>
              <w:rPr>
                <w:rFonts w:ascii="Caladea"/>
                <w:b/>
                <w:sz w:val="14"/>
              </w:rPr>
            </w:pPr>
            <w:r>
              <w:rPr>
                <w:rFonts w:ascii="Caladea"/>
                <w:b/>
                <w:sz w:val="14"/>
              </w:rPr>
              <w:t>Consolidado</w:t>
            </w:r>
          </w:p>
        </w:tc>
      </w:tr>
      <w:tr>
        <w:trPr>
          <w:trHeight w:val="237" w:hRule="atLeast"/>
        </w:trPr>
        <w:tc>
          <w:tcPr>
            <w:tcW w:w="3596" w:type="dxa"/>
            <w:vMerge/>
            <w:tcBorders>
              <w:top w:val="nil"/>
            </w:tcBorders>
            <w:shd w:val="clear" w:color="auto" w:fill="D9D9D9"/>
          </w:tcPr>
          <w:p>
            <w:pPr>
              <w:rPr>
                <w:sz w:val="2"/>
                <w:szCs w:val="2"/>
              </w:rPr>
            </w:pPr>
          </w:p>
        </w:tc>
        <w:tc>
          <w:tcPr>
            <w:tcW w:w="1310" w:type="dxa"/>
          </w:tcPr>
          <w:p>
            <w:pPr>
              <w:pStyle w:val="TableParagraph"/>
              <w:spacing w:before="35"/>
              <w:ind w:left="300"/>
              <w:rPr>
                <w:rFonts w:ascii="Caladea"/>
                <w:b/>
                <w:sz w:val="14"/>
              </w:rPr>
            </w:pPr>
            <w:r>
              <w:rPr>
                <w:rFonts w:ascii="Caladea"/>
                <w:b/>
                <w:sz w:val="14"/>
              </w:rPr>
              <w:t>Trabalhista</w:t>
            </w:r>
          </w:p>
        </w:tc>
        <w:tc>
          <w:tcPr>
            <w:tcW w:w="1310" w:type="dxa"/>
          </w:tcPr>
          <w:p>
            <w:pPr>
              <w:pStyle w:val="TableParagraph"/>
              <w:spacing w:before="35"/>
              <w:ind w:left="458" w:right="419"/>
              <w:jc w:val="center"/>
              <w:rPr>
                <w:rFonts w:ascii="Caladea" w:hAnsi="Caladea"/>
                <w:b/>
                <w:sz w:val="14"/>
              </w:rPr>
            </w:pPr>
            <w:r>
              <w:rPr>
                <w:rFonts w:ascii="Caladea" w:hAnsi="Caladea"/>
                <w:b/>
                <w:sz w:val="14"/>
              </w:rPr>
              <w:t>Cíveis</w:t>
            </w:r>
          </w:p>
        </w:tc>
        <w:tc>
          <w:tcPr>
            <w:tcW w:w="1094" w:type="dxa"/>
          </w:tcPr>
          <w:p>
            <w:pPr>
              <w:pStyle w:val="TableParagraph"/>
              <w:spacing w:before="35"/>
              <w:ind w:left="346"/>
              <w:rPr>
                <w:rFonts w:ascii="Caladea"/>
                <w:b/>
                <w:sz w:val="14"/>
              </w:rPr>
            </w:pPr>
            <w:r>
              <w:rPr>
                <w:rFonts w:ascii="Caladea"/>
                <w:b/>
                <w:sz w:val="14"/>
              </w:rPr>
              <w:t>Fiscais</w:t>
            </w:r>
          </w:p>
        </w:tc>
        <w:tc>
          <w:tcPr>
            <w:tcW w:w="1409" w:type="dxa"/>
          </w:tcPr>
          <w:p>
            <w:pPr>
              <w:pStyle w:val="TableParagraph"/>
              <w:spacing w:before="35"/>
              <w:ind w:left="311"/>
              <w:rPr>
                <w:rFonts w:ascii="Caladea" w:hAnsi="Caladea"/>
                <w:b/>
                <w:sz w:val="14"/>
              </w:rPr>
            </w:pPr>
            <w:r>
              <w:rPr>
                <w:rFonts w:ascii="Caladea" w:hAnsi="Caladea"/>
                <w:b/>
                <w:sz w:val="14"/>
              </w:rPr>
              <w:t>Regulatórias</w:t>
            </w:r>
          </w:p>
        </w:tc>
        <w:tc>
          <w:tcPr>
            <w:tcW w:w="1195" w:type="dxa"/>
          </w:tcPr>
          <w:p>
            <w:pPr>
              <w:pStyle w:val="TableParagraph"/>
              <w:spacing w:before="35"/>
              <w:ind w:left="426" w:right="379"/>
              <w:jc w:val="center"/>
              <w:rPr>
                <w:rFonts w:ascii="Caladea"/>
                <w:b/>
                <w:sz w:val="14"/>
              </w:rPr>
            </w:pPr>
            <w:r>
              <w:rPr>
                <w:rFonts w:ascii="Caladea"/>
                <w:b/>
                <w:sz w:val="14"/>
              </w:rPr>
              <w:t>Total</w:t>
            </w:r>
          </w:p>
        </w:tc>
      </w:tr>
      <w:tr>
        <w:trPr>
          <w:trHeight w:val="237" w:hRule="atLeast"/>
        </w:trPr>
        <w:tc>
          <w:tcPr>
            <w:tcW w:w="3596" w:type="dxa"/>
          </w:tcPr>
          <w:p>
            <w:pPr>
              <w:pStyle w:val="TableParagraph"/>
              <w:spacing w:before="37"/>
              <w:ind w:left="103"/>
              <w:rPr>
                <w:rFonts w:ascii="Caladea"/>
                <w:b/>
                <w:sz w:val="14"/>
              </w:rPr>
            </w:pPr>
            <w:r>
              <w:rPr>
                <w:rFonts w:ascii="Caladea"/>
                <w:b/>
                <w:sz w:val="14"/>
              </w:rPr>
              <w:t>Saldo em 31 de dezembro de 2017</w:t>
            </w:r>
          </w:p>
        </w:tc>
        <w:tc>
          <w:tcPr>
            <w:tcW w:w="1310" w:type="dxa"/>
          </w:tcPr>
          <w:p>
            <w:pPr>
              <w:pStyle w:val="TableParagraph"/>
              <w:spacing w:before="37"/>
              <w:ind w:right="54"/>
              <w:jc w:val="right"/>
              <w:rPr>
                <w:rFonts w:ascii="Caladea"/>
                <w:b/>
                <w:sz w:val="14"/>
              </w:rPr>
            </w:pPr>
            <w:r>
              <w:rPr>
                <w:rFonts w:ascii="Caladea"/>
                <w:b/>
                <w:w w:val="95"/>
                <w:sz w:val="14"/>
              </w:rPr>
              <w:t>5.220</w:t>
            </w:r>
          </w:p>
        </w:tc>
        <w:tc>
          <w:tcPr>
            <w:tcW w:w="1310" w:type="dxa"/>
          </w:tcPr>
          <w:p>
            <w:pPr>
              <w:pStyle w:val="TableParagraph"/>
              <w:spacing w:before="37"/>
              <w:ind w:right="55"/>
              <w:jc w:val="right"/>
              <w:rPr>
                <w:rFonts w:ascii="Caladea"/>
                <w:b/>
                <w:sz w:val="14"/>
              </w:rPr>
            </w:pPr>
            <w:r>
              <w:rPr>
                <w:rFonts w:ascii="Caladea"/>
                <w:b/>
                <w:sz w:val="14"/>
              </w:rPr>
              <w:t>4.419</w:t>
            </w:r>
          </w:p>
        </w:tc>
        <w:tc>
          <w:tcPr>
            <w:tcW w:w="1094" w:type="dxa"/>
          </w:tcPr>
          <w:p>
            <w:pPr>
              <w:pStyle w:val="TableParagraph"/>
              <w:spacing w:before="37"/>
              <w:ind w:right="57"/>
              <w:jc w:val="right"/>
              <w:rPr>
                <w:rFonts w:ascii="Caladea"/>
                <w:b/>
                <w:sz w:val="14"/>
              </w:rPr>
            </w:pPr>
            <w:r>
              <w:rPr>
                <w:rFonts w:ascii="Caladea"/>
                <w:b/>
                <w:w w:val="99"/>
                <w:sz w:val="14"/>
              </w:rPr>
              <w:t>1</w:t>
            </w:r>
          </w:p>
        </w:tc>
        <w:tc>
          <w:tcPr>
            <w:tcW w:w="1409" w:type="dxa"/>
          </w:tcPr>
          <w:p>
            <w:pPr>
              <w:pStyle w:val="TableParagraph"/>
              <w:spacing w:before="37"/>
              <w:ind w:right="55"/>
              <w:jc w:val="right"/>
              <w:rPr>
                <w:rFonts w:ascii="Caladea"/>
                <w:b/>
                <w:sz w:val="14"/>
              </w:rPr>
            </w:pPr>
            <w:r>
              <w:rPr>
                <w:rFonts w:ascii="Caladea"/>
                <w:b/>
                <w:w w:val="95"/>
                <w:sz w:val="14"/>
              </w:rPr>
              <w:t>69.539</w:t>
            </w:r>
          </w:p>
        </w:tc>
        <w:tc>
          <w:tcPr>
            <w:tcW w:w="1195" w:type="dxa"/>
          </w:tcPr>
          <w:p>
            <w:pPr>
              <w:pStyle w:val="TableParagraph"/>
              <w:spacing w:before="37"/>
              <w:ind w:right="54"/>
              <w:jc w:val="right"/>
              <w:rPr>
                <w:rFonts w:ascii="Caladea"/>
                <w:b/>
                <w:sz w:val="14"/>
              </w:rPr>
            </w:pPr>
            <w:r>
              <w:rPr>
                <w:rFonts w:ascii="Caladea"/>
                <w:b/>
                <w:w w:val="95"/>
                <w:sz w:val="14"/>
              </w:rPr>
              <w:t>79.179</w:t>
            </w:r>
          </w:p>
        </w:tc>
      </w:tr>
      <w:tr>
        <w:trPr>
          <w:trHeight w:val="239" w:hRule="atLeast"/>
        </w:trPr>
        <w:tc>
          <w:tcPr>
            <w:tcW w:w="3596" w:type="dxa"/>
          </w:tcPr>
          <w:p>
            <w:pPr>
              <w:pStyle w:val="TableParagraph"/>
              <w:spacing w:before="38"/>
              <w:ind w:left="103"/>
              <w:rPr>
                <w:sz w:val="14"/>
              </w:rPr>
            </w:pPr>
            <w:r>
              <w:rPr>
                <w:sz w:val="14"/>
              </w:rPr>
              <w:t>Constituições de Provisão</w:t>
            </w:r>
          </w:p>
        </w:tc>
        <w:tc>
          <w:tcPr>
            <w:tcW w:w="1310" w:type="dxa"/>
          </w:tcPr>
          <w:p>
            <w:pPr>
              <w:pStyle w:val="TableParagraph"/>
              <w:spacing w:before="38"/>
              <w:ind w:right="56"/>
              <w:jc w:val="right"/>
              <w:rPr>
                <w:sz w:val="14"/>
              </w:rPr>
            </w:pPr>
            <w:r>
              <w:rPr>
                <w:w w:val="95"/>
                <w:sz w:val="14"/>
              </w:rPr>
              <w:t>6.395</w:t>
            </w:r>
          </w:p>
        </w:tc>
        <w:tc>
          <w:tcPr>
            <w:tcW w:w="1310" w:type="dxa"/>
          </w:tcPr>
          <w:p>
            <w:pPr>
              <w:pStyle w:val="TableParagraph"/>
              <w:spacing w:before="38"/>
              <w:ind w:right="58"/>
              <w:jc w:val="right"/>
              <w:rPr>
                <w:sz w:val="14"/>
              </w:rPr>
            </w:pPr>
            <w:r>
              <w:rPr>
                <w:w w:val="95"/>
                <w:sz w:val="14"/>
              </w:rPr>
              <w:t>1.973</w:t>
            </w:r>
          </w:p>
        </w:tc>
        <w:tc>
          <w:tcPr>
            <w:tcW w:w="1094" w:type="dxa"/>
          </w:tcPr>
          <w:p>
            <w:pPr>
              <w:pStyle w:val="TableParagraph"/>
              <w:rPr>
                <w:rFonts w:ascii="Times New Roman"/>
                <w:sz w:val="16"/>
              </w:rPr>
            </w:pPr>
          </w:p>
        </w:tc>
        <w:tc>
          <w:tcPr>
            <w:tcW w:w="1409" w:type="dxa"/>
          </w:tcPr>
          <w:p>
            <w:pPr>
              <w:pStyle w:val="TableParagraph"/>
              <w:spacing w:before="38"/>
              <w:ind w:right="57"/>
              <w:jc w:val="right"/>
              <w:rPr>
                <w:sz w:val="14"/>
              </w:rPr>
            </w:pPr>
            <w:r>
              <w:rPr>
                <w:w w:val="95"/>
                <w:sz w:val="14"/>
              </w:rPr>
              <w:t>5.242</w:t>
            </w:r>
          </w:p>
        </w:tc>
        <w:tc>
          <w:tcPr>
            <w:tcW w:w="1195" w:type="dxa"/>
          </w:tcPr>
          <w:p>
            <w:pPr>
              <w:pStyle w:val="TableParagraph"/>
              <w:spacing w:before="38"/>
              <w:ind w:right="57"/>
              <w:jc w:val="right"/>
              <w:rPr>
                <w:sz w:val="14"/>
              </w:rPr>
            </w:pPr>
            <w:r>
              <w:rPr>
                <w:w w:val="95"/>
                <w:sz w:val="14"/>
              </w:rPr>
              <w:t>13.610</w:t>
            </w:r>
          </w:p>
        </w:tc>
      </w:tr>
      <w:tr>
        <w:trPr>
          <w:trHeight w:val="237" w:hRule="atLeast"/>
        </w:trPr>
        <w:tc>
          <w:tcPr>
            <w:tcW w:w="3596" w:type="dxa"/>
          </w:tcPr>
          <w:p>
            <w:pPr>
              <w:pStyle w:val="TableParagraph"/>
              <w:spacing w:before="36"/>
              <w:ind w:left="103"/>
              <w:rPr>
                <w:sz w:val="14"/>
              </w:rPr>
            </w:pPr>
            <w:r>
              <w:rPr>
                <w:sz w:val="14"/>
              </w:rPr>
              <w:t>Baixa/Reversão de Provisão</w:t>
            </w:r>
          </w:p>
        </w:tc>
        <w:tc>
          <w:tcPr>
            <w:tcW w:w="1310" w:type="dxa"/>
          </w:tcPr>
          <w:p>
            <w:pPr>
              <w:pStyle w:val="TableParagraph"/>
              <w:spacing w:before="36"/>
              <w:ind w:right="57"/>
              <w:jc w:val="right"/>
              <w:rPr>
                <w:sz w:val="14"/>
              </w:rPr>
            </w:pPr>
            <w:r>
              <w:rPr>
                <w:w w:val="105"/>
                <w:sz w:val="14"/>
              </w:rPr>
              <w:t>(388)</w:t>
            </w:r>
          </w:p>
        </w:tc>
        <w:tc>
          <w:tcPr>
            <w:tcW w:w="1310" w:type="dxa"/>
          </w:tcPr>
          <w:p>
            <w:pPr>
              <w:pStyle w:val="TableParagraph"/>
              <w:spacing w:before="36"/>
              <w:ind w:right="58"/>
              <w:jc w:val="right"/>
              <w:rPr>
                <w:sz w:val="14"/>
              </w:rPr>
            </w:pPr>
            <w:r>
              <w:rPr>
                <w:w w:val="95"/>
                <w:sz w:val="14"/>
              </w:rPr>
              <w:t>(2.158)</w:t>
            </w:r>
          </w:p>
        </w:tc>
        <w:tc>
          <w:tcPr>
            <w:tcW w:w="1094" w:type="dxa"/>
          </w:tcPr>
          <w:p>
            <w:pPr>
              <w:pStyle w:val="TableParagraph"/>
              <w:rPr>
                <w:rFonts w:ascii="Times New Roman"/>
                <w:sz w:val="16"/>
              </w:rPr>
            </w:pPr>
          </w:p>
        </w:tc>
        <w:tc>
          <w:tcPr>
            <w:tcW w:w="1409" w:type="dxa"/>
          </w:tcPr>
          <w:p>
            <w:pPr>
              <w:pStyle w:val="TableParagraph"/>
              <w:spacing w:before="36"/>
              <w:ind w:right="57"/>
              <w:jc w:val="right"/>
              <w:rPr>
                <w:sz w:val="14"/>
              </w:rPr>
            </w:pPr>
            <w:r>
              <w:rPr>
                <w:sz w:val="14"/>
              </w:rPr>
              <w:t>(43.327)</w:t>
            </w:r>
          </w:p>
        </w:tc>
        <w:tc>
          <w:tcPr>
            <w:tcW w:w="1195" w:type="dxa"/>
          </w:tcPr>
          <w:p>
            <w:pPr>
              <w:pStyle w:val="TableParagraph"/>
              <w:spacing w:before="36"/>
              <w:ind w:right="57"/>
              <w:jc w:val="right"/>
              <w:rPr>
                <w:sz w:val="14"/>
              </w:rPr>
            </w:pPr>
            <w:r>
              <w:rPr>
                <w:sz w:val="14"/>
              </w:rPr>
              <w:t>(45.873)</w:t>
            </w:r>
          </w:p>
        </w:tc>
      </w:tr>
      <w:tr>
        <w:trPr>
          <w:trHeight w:val="237" w:hRule="atLeast"/>
        </w:trPr>
        <w:tc>
          <w:tcPr>
            <w:tcW w:w="3596" w:type="dxa"/>
          </w:tcPr>
          <w:p>
            <w:pPr>
              <w:pStyle w:val="TableParagraph"/>
              <w:spacing w:before="38"/>
              <w:ind w:left="103"/>
              <w:rPr>
                <w:sz w:val="14"/>
              </w:rPr>
            </w:pPr>
            <w:r>
              <w:rPr>
                <w:sz w:val="14"/>
              </w:rPr>
              <w:t>Atualização Monetária</w:t>
            </w:r>
          </w:p>
        </w:tc>
        <w:tc>
          <w:tcPr>
            <w:tcW w:w="1310" w:type="dxa"/>
          </w:tcPr>
          <w:p>
            <w:pPr>
              <w:pStyle w:val="TableParagraph"/>
              <w:spacing w:before="38"/>
              <w:ind w:right="57"/>
              <w:jc w:val="right"/>
              <w:rPr>
                <w:sz w:val="14"/>
              </w:rPr>
            </w:pPr>
            <w:r>
              <w:rPr>
                <w:w w:val="105"/>
                <w:sz w:val="14"/>
              </w:rPr>
              <w:t>709</w:t>
            </w:r>
          </w:p>
        </w:tc>
        <w:tc>
          <w:tcPr>
            <w:tcW w:w="1310" w:type="dxa"/>
          </w:tcPr>
          <w:p>
            <w:pPr>
              <w:pStyle w:val="TableParagraph"/>
              <w:spacing w:before="38"/>
              <w:ind w:right="58"/>
              <w:jc w:val="right"/>
              <w:rPr>
                <w:sz w:val="14"/>
              </w:rPr>
            </w:pPr>
            <w:r>
              <w:rPr>
                <w:w w:val="105"/>
                <w:sz w:val="14"/>
              </w:rPr>
              <w:t>433</w:t>
            </w:r>
          </w:p>
        </w:tc>
        <w:tc>
          <w:tcPr>
            <w:tcW w:w="1094" w:type="dxa"/>
          </w:tcPr>
          <w:p>
            <w:pPr>
              <w:pStyle w:val="TableParagraph"/>
              <w:rPr>
                <w:rFonts w:ascii="Times New Roman"/>
                <w:sz w:val="16"/>
              </w:rPr>
            </w:pPr>
          </w:p>
        </w:tc>
        <w:tc>
          <w:tcPr>
            <w:tcW w:w="1409" w:type="dxa"/>
          </w:tcPr>
          <w:p>
            <w:pPr>
              <w:pStyle w:val="TableParagraph"/>
              <w:spacing w:before="38"/>
              <w:ind w:right="57"/>
              <w:jc w:val="right"/>
              <w:rPr>
                <w:sz w:val="14"/>
              </w:rPr>
            </w:pPr>
            <w:r>
              <w:rPr>
                <w:w w:val="95"/>
                <w:sz w:val="14"/>
              </w:rPr>
              <w:t>2.714</w:t>
            </w:r>
          </w:p>
        </w:tc>
        <w:tc>
          <w:tcPr>
            <w:tcW w:w="1195" w:type="dxa"/>
          </w:tcPr>
          <w:p>
            <w:pPr>
              <w:pStyle w:val="TableParagraph"/>
              <w:spacing w:before="38"/>
              <w:ind w:right="57"/>
              <w:jc w:val="right"/>
              <w:rPr>
                <w:sz w:val="14"/>
              </w:rPr>
            </w:pPr>
            <w:r>
              <w:rPr>
                <w:w w:val="95"/>
                <w:sz w:val="14"/>
              </w:rPr>
              <w:t>3.856</w:t>
            </w:r>
          </w:p>
        </w:tc>
      </w:tr>
      <w:tr>
        <w:trPr>
          <w:trHeight w:val="239" w:hRule="atLeast"/>
        </w:trPr>
        <w:tc>
          <w:tcPr>
            <w:tcW w:w="3596" w:type="dxa"/>
          </w:tcPr>
          <w:p>
            <w:pPr>
              <w:pStyle w:val="TableParagraph"/>
              <w:spacing w:before="37"/>
              <w:ind w:left="103"/>
              <w:rPr>
                <w:rFonts w:ascii="Caladea"/>
                <w:b/>
                <w:sz w:val="14"/>
              </w:rPr>
            </w:pPr>
            <w:r>
              <w:rPr>
                <w:rFonts w:ascii="Caladea"/>
                <w:b/>
                <w:sz w:val="14"/>
              </w:rPr>
              <w:t>Saldo em 31 de dezembro de 2018</w:t>
            </w:r>
          </w:p>
        </w:tc>
        <w:tc>
          <w:tcPr>
            <w:tcW w:w="1310" w:type="dxa"/>
          </w:tcPr>
          <w:p>
            <w:pPr>
              <w:pStyle w:val="TableParagraph"/>
              <w:spacing w:before="37"/>
              <w:ind w:right="56"/>
              <w:jc w:val="right"/>
              <w:rPr>
                <w:rFonts w:ascii="Caladea"/>
                <w:b/>
                <w:sz w:val="14"/>
              </w:rPr>
            </w:pPr>
            <w:r>
              <w:rPr>
                <w:rFonts w:ascii="Caladea"/>
                <w:b/>
                <w:sz w:val="14"/>
              </w:rPr>
              <w:t>11.936</w:t>
            </w:r>
          </w:p>
        </w:tc>
        <w:tc>
          <w:tcPr>
            <w:tcW w:w="1310" w:type="dxa"/>
          </w:tcPr>
          <w:p>
            <w:pPr>
              <w:pStyle w:val="TableParagraph"/>
              <w:spacing w:before="37"/>
              <w:ind w:right="58"/>
              <w:jc w:val="right"/>
              <w:rPr>
                <w:rFonts w:ascii="Caladea"/>
                <w:b/>
                <w:sz w:val="14"/>
              </w:rPr>
            </w:pPr>
            <w:r>
              <w:rPr>
                <w:rFonts w:ascii="Caladea"/>
                <w:b/>
                <w:w w:val="95"/>
                <w:sz w:val="14"/>
              </w:rPr>
              <w:t>4.667</w:t>
            </w:r>
          </w:p>
        </w:tc>
        <w:tc>
          <w:tcPr>
            <w:tcW w:w="1094" w:type="dxa"/>
          </w:tcPr>
          <w:p>
            <w:pPr>
              <w:pStyle w:val="TableParagraph"/>
              <w:spacing w:before="37"/>
              <w:ind w:right="59"/>
              <w:jc w:val="right"/>
              <w:rPr>
                <w:rFonts w:ascii="Caladea"/>
                <w:b/>
                <w:sz w:val="14"/>
              </w:rPr>
            </w:pPr>
            <w:r>
              <w:rPr>
                <w:rFonts w:ascii="Caladea"/>
                <w:b/>
                <w:w w:val="99"/>
                <w:sz w:val="14"/>
              </w:rPr>
              <w:t>1</w:t>
            </w:r>
          </w:p>
        </w:tc>
        <w:tc>
          <w:tcPr>
            <w:tcW w:w="1409" w:type="dxa"/>
          </w:tcPr>
          <w:p>
            <w:pPr>
              <w:pStyle w:val="TableParagraph"/>
              <w:spacing w:before="37"/>
              <w:ind w:right="57"/>
              <w:jc w:val="right"/>
              <w:rPr>
                <w:rFonts w:ascii="Caladea"/>
                <w:b/>
                <w:sz w:val="14"/>
              </w:rPr>
            </w:pPr>
            <w:r>
              <w:rPr>
                <w:rFonts w:ascii="Caladea"/>
                <w:b/>
                <w:sz w:val="14"/>
              </w:rPr>
              <w:t>34.168</w:t>
            </w:r>
          </w:p>
        </w:tc>
        <w:tc>
          <w:tcPr>
            <w:tcW w:w="1195" w:type="dxa"/>
          </w:tcPr>
          <w:p>
            <w:pPr>
              <w:pStyle w:val="TableParagraph"/>
              <w:spacing w:before="37"/>
              <w:ind w:right="57"/>
              <w:jc w:val="right"/>
              <w:rPr>
                <w:rFonts w:ascii="Caladea"/>
                <w:b/>
                <w:sz w:val="14"/>
              </w:rPr>
            </w:pPr>
            <w:r>
              <w:rPr>
                <w:rFonts w:ascii="Caladea"/>
                <w:b/>
                <w:sz w:val="14"/>
              </w:rPr>
              <w:t>50.772</w:t>
            </w:r>
          </w:p>
        </w:tc>
      </w:tr>
      <w:tr>
        <w:trPr>
          <w:trHeight w:val="237" w:hRule="atLeast"/>
        </w:trPr>
        <w:tc>
          <w:tcPr>
            <w:tcW w:w="3596" w:type="dxa"/>
          </w:tcPr>
          <w:p>
            <w:pPr>
              <w:pStyle w:val="TableParagraph"/>
              <w:spacing w:before="36"/>
              <w:ind w:left="103"/>
              <w:rPr>
                <w:sz w:val="14"/>
              </w:rPr>
            </w:pPr>
            <w:r>
              <w:rPr>
                <w:sz w:val="14"/>
              </w:rPr>
              <w:t>Constituições de Provisão</w:t>
            </w:r>
          </w:p>
        </w:tc>
        <w:tc>
          <w:tcPr>
            <w:tcW w:w="1310" w:type="dxa"/>
          </w:tcPr>
          <w:p>
            <w:pPr>
              <w:pStyle w:val="TableParagraph"/>
              <w:spacing w:before="36"/>
              <w:ind w:right="56"/>
              <w:jc w:val="right"/>
              <w:rPr>
                <w:sz w:val="14"/>
              </w:rPr>
            </w:pPr>
            <w:r>
              <w:rPr>
                <w:w w:val="95"/>
                <w:sz w:val="14"/>
              </w:rPr>
              <w:t>7.101</w:t>
            </w:r>
          </w:p>
        </w:tc>
        <w:tc>
          <w:tcPr>
            <w:tcW w:w="1310" w:type="dxa"/>
          </w:tcPr>
          <w:p>
            <w:pPr>
              <w:pStyle w:val="TableParagraph"/>
              <w:spacing w:before="36"/>
              <w:ind w:right="58"/>
              <w:jc w:val="right"/>
              <w:rPr>
                <w:sz w:val="14"/>
              </w:rPr>
            </w:pPr>
            <w:r>
              <w:rPr>
                <w:w w:val="95"/>
                <w:sz w:val="14"/>
              </w:rPr>
              <w:t>12.803</w:t>
            </w:r>
          </w:p>
        </w:tc>
        <w:tc>
          <w:tcPr>
            <w:tcW w:w="1094" w:type="dxa"/>
          </w:tcPr>
          <w:p>
            <w:pPr>
              <w:pStyle w:val="TableParagraph"/>
              <w:spacing w:before="36"/>
              <w:ind w:right="60"/>
              <w:jc w:val="right"/>
              <w:rPr>
                <w:sz w:val="14"/>
              </w:rPr>
            </w:pPr>
            <w:r>
              <w:rPr>
                <w:sz w:val="14"/>
              </w:rPr>
              <w:t>276</w:t>
            </w:r>
          </w:p>
        </w:tc>
        <w:tc>
          <w:tcPr>
            <w:tcW w:w="1409" w:type="dxa"/>
          </w:tcPr>
          <w:p>
            <w:pPr>
              <w:pStyle w:val="TableParagraph"/>
              <w:spacing w:before="36"/>
              <w:ind w:right="59"/>
              <w:jc w:val="right"/>
              <w:rPr>
                <w:sz w:val="14"/>
              </w:rPr>
            </w:pPr>
            <w:r>
              <w:rPr>
                <w:w w:val="95"/>
                <w:sz w:val="14"/>
              </w:rPr>
              <w:t>1.597</w:t>
            </w:r>
          </w:p>
        </w:tc>
        <w:tc>
          <w:tcPr>
            <w:tcW w:w="1195" w:type="dxa"/>
          </w:tcPr>
          <w:p>
            <w:pPr>
              <w:pStyle w:val="TableParagraph"/>
              <w:spacing w:before="36"/>
              <w:ind w:right="57"/>
              <w:jc w:val="right"/>
              <w:rPr>
                <w:sz w:val="14"/>
              </w:rPr>
            </w:pPr>
            <w:r>
              <w:rPr>
                <w:w w:val="95"/>
                <w:sz w:val="14"/>
              </w:rPr>
              <w:t>21.777</w:t>
            </w:r>
          </w:p>
        </w:tc>
      </w:tr>
      <w:tr>
        <w:trPr>
          <w:trHeight w:val="237" w:hRule="atLeast"/>
        </w:trPr>
        <w:tc>
          <w:tcPr>
            <w:tcW w:w="3596" w:type="dxa"/>
          </w:tcPr>
          <w:p>
            <w:pPr>
              <w:pStyle w:val="TableParagraph"/>
              <w:spacing w:before="38"/>
              <w:ind w:left="103"/>
              <w:rPr>
                <w:sz w:val="14"/>
              </w:rPr>
            </w:pPr>
            <w:r>
              <w:rPr>
                <w:sz w:val="14"/>
              </w:rPr>
              <w:t>Baixa/Reversão de Provisão</w:t>
            </w:r>
          </w:p>
        </w:tc>
        <w:tc>
          <w:tcPr>
            <w:tcW w:w="1310" w:type="dxa"/>
          </w:tcPr>
          <w:p>
            <w:pPr>
              <w:pStyle w:val="TableParagraph"/>
              <w:spacing w:before="38"/>
              <w:ind w:right="57"/>
              <w:jc w:val="right"/>
              <w:rPr>
                <w:sz w:val="14"/>
              </w:rPr>
            </w:pPr>
            <w:r>
              <w:rPr>
                <w:w w:val="95"/>
                <w:sz w:val="14"/>
              </w:rPr>
              <w:t>(1.969)</w:t>
            </w:r>
          </w:p>
        </w:tc>
        <w:tc>
          <w:tcPr>
            <w:tcW w:w="1310" w:type="dxa"/>
          </w:tcPr>
          <w:p>
            <w:pPr>
              <w:pStyle w:val="TableParagraph"/>
              <w:spacing w:before="38"/>
              <w:ind w:right="58"/>
              <w:jc w:val="right"/>
              <w:rPr>
                <w:sz w:val="14"/>
              </w:rPr>
            </w:pPr>
            <w:r>
              <w:rPr>
                <w:w w:val="95"/>
                <w:sz w:val="14"/>
              </w:rPr>
              <w:t>(1.839)</w:t>
            </w:r>
          </w:p>
        </w:tc>
        <w:tc>
          <w:tcPr>
            <w:tcW w:w="1094" w:type="dxa"/>
          </w:tcPr>
          <w:p>
            <w:pPr>
              <w:pStyle w:val="TableParagraph"/>
              <w:spacing w:before="38"/>
              <w:ind w:right="60"/>
              <w:jc w:val="right"/>
              <w:rPr>
                <w:sz w:val="14"/>
              </w:rPr>
            </w:pPr>
            <w:r>
              <w:rPr>
                <w:sz w:val="14"/>
              </w:rPr>
              <w:t>(1)</w:t>
            </w:r>
          </w:p>
        </w:tc>
        <w:tc>
          <w:tcPr>
            <w:tcW w:w="1409" w:type="dxa"/>
          </w:tcPr>
          <w:p>
            <w:pPr>
              <w:pStyle w:val="TableParagraph"/>
              <w:rPr>
                <w:rFonts w:ascii="Times New Roman"/>
                <w:sz w:val="16"/>
              </w:rPr>
            </w:pPr>
          </w:p>
        </w:tc>
        <w:tc>
          <w:tcPr>
            <w:tcW w:w="1195" w:type="dxa"/>
          </w:tcPr>
          <w:p>
            <w:pPr>
              <w:pStyle w:val="TableParagraph"/>
              <w:spacing w:before="38"/>
              <w:ind w:right="57"/>
              <w:jc w:val="right"/>
              <w:rPr>
                <w:sz w:val="14"/>
              </w:rPr>
            </w:pPr>
            <w:r>
              <w:rPr>
                <w:w w:val="95"/>
                <w:sz w:val="14"/>
              </w:rPr>
              <w:t>(3.809)</w:t>
            </w:r>
          </w:p>
        </w:tc>
      </w:tr>
      <w:tr>
        <w:trPr>
          <w:trHeight w:val="239" w:hRule="atLeast"/>
        </w:trPr>
        <w:tc>
          <w:tcPr>
            <w:tcW w:w="3596" w:type="dxa"/>
          </w:tcPr>
          <w:p>
            <w:pPr>
              <w:pStyle w:val="TableParagraph"/>
              <w:spacing w:before="38"/>
              <w:ind w:left="103"/>
              <w:rPr>
                <w:sz w:val="14"/>
              </w:rPr>
            </w:pPr>
            <w:r>
              <w:rPr>
                <w:sz w:val="14"/>
              </w:rPr>
              <w:t>Atualização Monetária</w:t>
            </w:r>
          </w:p>
        </w:tc>
        <w:tc>
          <w:tcPr>
            <w:tcW w:w="1310" w:type="dxa"/>
          </w:tcPr>
          <w:p>
            <w:pPr>
              <w:pStyle w:val="TableParagraph"/>
              <w:spacing w:before="38"/>
              <w:ind w:right="56"/>
              <w:jc w:val="right"/>
              <w:rPr>
                <w:sz w:val="14"/>
              </w:rPr>
            </w:pPr>
            <w:r>
              <w:rPr>
                <w:w w:val="105"/>
                <w:sz w:val="14"/>
              </w:rPr>
              <w:t>462</w:t>
            </w:r>
          </w:p>
        </w:tc>
        <w:tc>
          <w:tcPr>
            <w:tcW w:w="1310" w:type="dxa"/>
          </w:tcPr>
          <w:p>
            <w:pPr>
              <w:pStyle w:val="TableParagraph"/>
              <w:spacing w:before="38"/>
              <w:ind w:right="58"/>
              <w:jc w:val="right"/>
              <w:rPr>
                <w:sz w:val="14"/>
              </w:rPr>
            </w:pPr>
            <w:r>
              <w:rPr>
                <w:w w:val="105"/>
                <w:sz w:val="14"/>
              </w:rPr>
              <w:t>305</w:t>
            </w:r>
          </w:p>
        </w:tc>
        <w:tc>
          <w:tcPr>
            <w:tcW w:w="1094" w:type="dxa"/>
          </w:tcPr>
          <w:p>
            <w:pPr>
              <w:pStyle w:val="TableParagraph"/>
              <w:rPr>
                <w:rFonts w:ascii="Times New Roman"/>
                <w:sz w:val="16"/>
              </w:rPr>
            </w:pPr>
          </w:p>
        </w:tc>
        <w:tc>
          <w:tcPr>
            <w:tcW w:w="1409" w:type="dxa"/>
          </w:tcPr>
          <w:p>
            <w:pPr>
              <w:pStyle w:val="TableParagraph"/>
              <w:spacing w:before="38"/>
              <w:ind w:right="57"/>
              <w:jc w:val="right"/>
              <w:rPr>
                <w:sz w:val="14"/>
              </w:rPr>
            </w:pPr>
            <w:r>
              <w:rPr>
                <w:w w:val="95"/>
                <w:sz w:val="14"/>
              </w:rPr>
              <w:t>1.940</w:t>
            </w:r>
          </w:p>
        </w:tc>
        <w:tc>
          <w:tcPr>
            <w:tcW w:w="1195" w:type="dxa"/>
          </w:tcPr>
          <w:p>
            <w:pPr>
              <w:pStyle w:val="TableParagraph"/>
              <w:spacing w:before="38"/>
              <w:ind w:right="57"/>
              <w:jc w:val="right"/>
              <w:rPr>
                <w:sz w:val="14"/>
              </w:rPr>
            </w:pPr>
            <w:r>
              <w:rPr>
                <w:w w:val="95"/>
                <w:sz w:val="14"/>
              </w:rPr>
              <w:t>2.707</w:t>
            </w:r>
          </w:p>
        </w:tc>
      </w:tr>
      <w:tr>
        <w:trPr>
          <w:trHeight w:val="237" w:hRule="atLeast"/>
        </w:trPr>
        <w:tc>
          <w:tcPr>
            <w:tcW w:w="3596" w:type="dxa"/>
          </w:tcPr>
          <w:p>
            <w:pPr>
              <w:pStyle w:val="TableParagraph"/>
              <w:spacing w:before="34"/>
              <w:ind w:left="103"/>
              <w:rPr>
                <w:rFonts w:ascii="Caladea"/>
                <w:b/>
                <w:sz w:val="14"/>
              </w:rPr>
            </w:pPr>
            <w:r>
              <w:rPr>
                <w:rFonts w:ascii="Caladea"/>
                <w:b/>
                <w:sz w:val="14"/>
              </w:rPr>
              <w:t>Saldo em 31 de dezembro de 2019</w:t>
            </w:r>
          </w:p>
        </w:tc>
        <w:tc>
          <w:tcPr>
            <w:tcW w:w="1310" w:type="dxa"/>
          </w:tcPr>
          <w:p>
            <w:pPr>
              <w:pStyle w:val="TableParagraph"/>
              <w:spacing w:before="34"/>
              <w:ind w:right="56"/>
              <w:jc w:val="right"/>
              <w:rPr>
                <w:rFonts w:ascii="Caladea"/>
                <w:b/>
                <w:sz w:val="14"/>
              </w:rPr>
            </w:pPr>
            <w:r>
              <w:rPr>
                <w:rFonts w:ascii="Caladea"/>
                <w:b/>
                <w:sz w:val="14"/>
              </w:rPr>
              <w:t>17.530</w:t>
            </w:r>
          </w:p>
        </w:tc>
        <w:tc>
          <w:tcPr>
            <w:tcW w:w="1310" w:type="dxa"/>
          </w:tcPr>
          <w:p>
            <w:pPr>
              <w:pStyle w:val="TableParagraph"/>
              <w:spacing w:before="34"/>
              <w:ind w:right="58"/>
              <w:jc w:val="right"/>
              <w:rPr>
                <w:rFonts w:ascii="Caladea"/>
                <w:b/>
                <w:sz w:val="14"/>
              </w:rPr>
            </w:pPr>
            <w:r>
              <w:rPr>
                <w:rFonts w:ascii="Caladea"/>
                <w:b/>
                <w:sz w:val="14"/>
              </w:rPr>
              <w:t>15.936</w:t>
            </w:r>
          </w:p>
        </w:tc>
        <w:tc>
          <w:tcPr>
            <w:tcW w:w="1094" w:type="dxa"/>
          </w:tcPr>
          <w:p>
            <w:pPr>
              <w:pStyle w:val="TableParagraph"/>
              <w:spacing w:before="34"/>
              <w:ind w:right="60"/>
              <w:jc w:val="right"/>
              <w:rPr>
                <w:rFonts w:ascii="Caladea"/>
                <w:b/>
                <w:sz w:val="14"/>
              </w:rPr>
            </w:pPr>
            <w:r>
              <w:rPr>
                <w:rFonts w:ascii="Caladea"/>
                <w:b/>
                <w:w w:val="95"/>
                <w:sz w:val="14"/>
              </w:rPr>
              <w:t>276</w:t>
            </w:r>
          </w:p>
        </w:tc>
        <w:tc>
          <w:tcPr>
            <w:tcW w:w="1409" w:type="dxa"/>
          </w:tcPr>
          <w:p>
            <w:pPr>
              <w:pStyle w:val="TableParagraph"/>
              <w:spacing w:before="34"/>
              <w:ind w:right="57"/>
              <w:jc w:val="right"/>
              <w:rPr>
                <w:rFonts w:ascii="Caladea"/>
                <w:b/>
                <w:sz w:val="14"/>
              </w:rPr>
            </w:pPr>
            <w:r>
              <w:rPr>
                <w:rFonts w:ascii="Caladea"/>
                <w:b/>
                <w:sz w:val="14"/>
              </w:rPr>
              <w:t>37.705</w:t>
            </w:r>
          </w:p>
        </w:tc>
        <w:tc>
          <w:tcPr>
            <w:tcW w:w="1195" w:type="dxa"/>
          </w:tcPr>
          <w:p>
            <w:pPr>
              <w:pStyle w:val="TableParagraph"/>
              <w:spacing w:before="34"/>
              <w:ind w:right="57"/>
              <w:jc w:val="right"/>
              <w:rPr>
                <w:rFonts w:ascii="Caladea"/>
                <w:b/>
                <w:sz w:val="14"/>
              </w:rPr>
            </w:pPr>
            <w:r>
              <w:rPr>
                <w:rFonts w:ascii="Caladea"/>
                <w:b/>
                <w:sz w:val="14"/>
              </w:rPr>
              <w:t>71.447</w:t>
            </w:r>
          </w:p>
        </w:tc>
      </w:tr>
    </w:tbl>
    <w:p>
      <w:pPr>
        <w:spacing w:after="0"/>
        <w:jc w:val="right"/>
        <w:rPr>
          <w:rFonts w:ascii="Caladea"/>
          <w:sz w:val="14"/>
        </w:rPr>
        <w:sectPr>
          <w:pgSz w:w="11910" w:h="16850"/>
          <w:pgMar w:header="792" w:footer="1029"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ListParagraph"/>
        <w:numPr>
          <w:ilvl w:val="0"/>
          <w:numId w:val="35"/>
        </w:numPr>
        <w:tabs>
          <w:tab w:pos="407" w:val="left" w:leader="none"/>
        </w:tabs>
        <w:spacing w:line="240" w:lineRule="auto" w:before="13" w:after="0"/>
        <w:ind w:left="406" w:right="0" w:hanging="235"/>
        <w:jc w:val="left"/>
        <w:rPr>
          <w:rFonts w:ascii="Caladea"/>
          <w:b/>
          <w:sz w:val="20"/>
        </w:rPr>
      </w:pPr>
      <w:r>
        <w:rPr>
          <w:rFonts w:ascii="Caladea"/>
          <w:b/>
          <w:sz w:val="20"/>
        </w:rPr>
        <w:t>Demandas</w:t>
      </w:r>
      <w:r>
        <w:rPr>
          <w:rFonts w:ascii="Caladea"/>
          <w:b/>
          <w:spacing w:val="-2"/>
          <w:sz w:val="20"/>
        </w:rPr>
        <w:t> </w:t>
      </w:r>
      <w:r>
        <w:rPr>
          <w:rFonts w:ascii="Caladea"/>
          <w:b/>
          <w:sz w:val="20"/>
        </w:rPr>
        <w:t>trabalhistas</w:t>
      </w:r>
    </w:p>
    <w:p>
      <w:pPr>
        <w:pStyle w:val="BodyText"/>
        <w:spacing w:before="9"/>
        <w:rPr>
          <w:rFonts w:ascii="Caladea"/>
          <w:b/>
        </w:rPr>
      </w:pPr>
    </w:p>
    <w:p>
      <w:pPr>
        <w:pStyle w:val="BodyText"/>
        <w:spacing w:line="242" w:lineRule="auto"/>
        <w:ind w:left="172" w:right="412"/>
        <w:jc w:val="both"/>
      </w:pPr>
      <w:r>
        <w:rPr/>
        <w:t>Ações</w:t>
      </w:r>
      <w:r>
        <w:rPr>
          <w:spacing w:val="-26"/>
        </w:rPr>
        <w:t> </w:t>
      </w:r>
      <w:r>
        <w:rPr/>
        <w:t>movidas</w:t>
      </w:r>
      <w:r>
        <w:rPr>
          <w:spacing w:val="-26"/>
        </w:rPr>
        <w:t> </w:t>
      </w:r>
      <w:r>
        <w:rPr/>
        <w:t>por</w:t>
      </w:r>
      <w:r>
        <w:rPr>
          <w:spacing w:val="-26"/>
        </w:rPr>
        <w:t> </w:t>
      </w:r>
      <w:r>
        <w:rPr/>
        <w:t>empregados</w:t>
      </w:r>
      <w:r>
        <w:rPr>
          <w:spacing w:val="-25"/>
        </w:rPr>
        <w:t> </w:t>
      </w:r>
      <w:r>
        <w:rPr/>
        <w:t>e</w:t>
      </w:r>
      <w:r>
        <w:rPr>
          <w:spacing w:val="-26"/>
        </w:rPr>
        <w:t> </w:t>
      </w:r>
      <w:r>
        <w:rPr/>
        <w:t>ex-empregados</w:t>
      </w:r>
      <w:r>
        <w:rPr>
          <w:spacing w:val="-26"/>
        </w:rPr>
        <w:t> </w:t>
      </w:r>
      <w:r>
        <w:rPr/>
        <w:t>contra</w:t>
      </w:r>
      <w:r>
        <w:rPr>
          <w:spacing w:val="-24"/>
        </w:rPr>
        <w:t> </w:t>
      </w:r>
      <w:r>
        <w:rPr/>
        <w:t>a</w:t>
      </w:r>
      <w:r>
        <w:rPr>
          <w:spacing w:val="-26"/>
        </w:rPr>
        <w:t> </w:t>
      </w:r>
      <w:r>
        <w:rPr/>
        <w:t>Companhia</w:t>
      </w:r>
      <w:r>
        <w:rPr>
          <w:spacing w:val="-24"/>
        </w:rPr>
        <w:t> </w:t>
      </w:r>
      <w:r>
        <w:rPr/>
        <w:t>e</w:t>
      </w:r>
      <w:r>
        <w:rPr>
          <w:spacing w:val="-26"/>
        </w:rPr>
        <w:t> </w:t>
      </w:r>
      <w:r>
        <w:rPr/>
        <w:t>suas</w:t>
      </w:r>
      <w:r>
        <w:rPr>
          <w:spacing w:val="-26"/>
        </w:rPr>
        <w:t> </w:t>
      </w:r>
      <w:r>
        <w:rPr/>
        <w:t>controladas,</w:t>
      </w:r>
      <w:r>
        <w:rPr>
          <w:spacing w:val="-27"/>
        </w:rPr>
        <w:t> </w:t>
      </w:r>
      <w:r>
        <w:rPr/>
        <w:t>envolvendo</w:t>
      </w:r>
      <w:r>
        <w:rPr>
          <w:spacing w:val="-26"/>
        </w:rPr>
        <w:t> </w:t>
      </w:r>
      <w:r>
        <w:rPr/>
        <w:t>cobrança</w:t>
      </w:r>
      <w:r>
        <w:rPr>
          <w:spacing w:val="-25"/>
        </w:rPr>
        <w:t> </w:t>
      </w:r>
      <w:r>
        <w:rPr/>
        <w:t>de horas</w:t>
      </w:r>
      <w:r>
        <w:rPr>
          <w:spacing w:val="-33"/>
        </w:rPr>
        <w:t> </w:t>
      </w:r>
      <w:r>
        <w:rPr/>
        <w:t>extras;</w:t>
      </w:r>
      <w:r>
        <w:rPr>
          <w:spacing w:val="-33"/>
        </w:rPr>
        <w:t> </w:t>
      </w:r>
      <w:r>
        <w:rPr/>
        <w:t>adicionais</w:t>
      </w:r>
      <w:r>
        <w:rPr>
          <w:spacing w:val="-32"/>
        </w:rPr>
        <w:t> </w:t>
      </w:r>
      <w:r>
        <w:rPr/>
        <w:t>de</w:t>
      </w:r>
      <w:r>
        <w:rPr>
          <w:spacing w:val="-32"/>
        </w:rPr>
        <w:t> </w:t>
      </w:r>
      <w:r>
        <w:rPr/>
        <w:t>periculosidade;</w:t>
      </w:r>
      <w:r>
        <w:rPr>
          <w:spacing w:val="-32"/>
        </w:rPr>
        <w:t> </w:t>
      </w:r>
      <w:r>
        <w:rPr/>
        <w:t>dano</w:t>
      </w:r>
      <w:r>
        <w:rPr>
          <w:spacing w:val="-33"/>
        </w:rPr>
        <w:t> </w:t>
      </w:r>
      <w:r>
        <w:rPr/>
        <w:t>moral;</w:t>
      </w:r>
      <w:r>
        <w:rPr>
          <w:spacing w:val="-33"/>
        </w:rPr>
        <w:t> </w:t>
      </w:r>
      <w:r>
        <w:rPr/>
        <w:t>e</w:t>
      </w:r>
      <w:r>
        <w:rPr>
          <w:spacing w:val="-33"/>
        </w:rPr>
        <w:t> </w:t>
      </w:r>
      <w:r>
        <w:rPr/>
        <w:t>responsabilidade</w:t>
      </w:r>
      <w:r>
        <w:rPr>
          <w:spacing w:val="-34"/>
        </w:rPr>
        <w:t> </w:t>
      </w:r>
      <w:r>
        <w:rPr/>
        <w:t>subsidiária/solidária</w:t>
      </w:r>
      <w:r>
        <w:rPr>
          <w:spacing w:val="-33"/>
        </w:rPr>
        <w:t> </w:t>
      </w:r>
      <w:r>
        <w:rPr/>
        <w:t>de</w:t>
      </w:r>
      <w:r>
        <w:rPr>
          <w:spacing w:val="-33"/>
        </w:rPr>
        <w:t> </w:t>
      </w:r>
      <w:r>
        <w:rPr/>
        <w:t>empregados</w:t>
      </w:r>
      <w:r>
        <w:rPr>
          <w:spacing w:val="-33"/>
        </w:rPr>
        <w:t> </w:t>
      </w:r>
      <w:r>
        <w:rPr/>
        <w:t>de empresas</w:t>
      </w:r>
      <w:r>
        <w:rPr>
          <w:spacing w:val="-34"/>
        </w:rPr>
        <w:t> </w:t>
      </w:r>
      <w:r>
        <w:rPr/>
        <w:t>contratadas</w:t>
      </w:r>
      <w:r>
        <w:rPr>
          <w:spacing w:val="-33"/>
        </w:rPr>
        <w:t> </w:t>
      </w:r>
      <w:r>
        <w:rPr/>
        <w:t>para</w:t>
      </w:r>
      <w:r>
        <w:rPr>
          <w:spacing w:val="-32"/>
        </w:rPr>
        <w:t> </w:t>
      </w:r>
      <w:r>
        <w:rPr/>
        <w:t>prestação</w:t>
      </w:r>
      <w:r>
        <w:rPr>
          <w:spacing w:val="-33"/>
        </w:rPr>
        <w:t> </w:t>
      </w:r>
      <w:r>
        <w:rPr/>
        <w:t>de</w:t>
      </w:r>
      <w:r>
        <w:rPr>
          <w:spacing w:val="-34"/>
        </w:rPr>
        <w:t> </w:t>
      </w:r>
      <w:r>
        <w:rPr/>
        <w:t>serviços</w:t>
      </w:r>
      <w:r>
        <w:rPr>
          <w:spacing w:val="-32"/>
        </w:rPr>
        <w:t> </w:t>
      </w:r>
      <w:r>
        <w:rPr/>
        <w:t>terceirizados.</w:t>
      </w:r>
      <w:r>
        <w:rPr>
          <w:spacing w:val="-34"/>
        </w:rPr>
        <w:t> </w:t>
      </w:r>
      <w:r>
        <w:rPr/>
        <w:t>A</w:t>
      </w:r>
      <w:r>
        <w:rPr>
          <w:spacing w:val="-33"/>
        </w:rPr>
        <w:t> </w:t>
      </w:r>
      <w:r>
        <w:rPr/>
        <w:t>atualização</w:t>
      </w:r>
      <w:r>
        <w:rPr>
          <w:spacing w:val="-33"/>
        </w:rPr>
        <w:t> </w:t>
      </w:r>
      <w:r>
        <w:rPr/>
        <w:t>das</w:t>
      </w:r>
      <w:r>
        <w:rPr>
          <w:spacing w:val="-33"/>
        </w:rPr>
        <w:t> </w:t>
      </w:r>
      <w:r>
        <w:rPr/>
        <w:t>contingências</w:t>
      </w:r>
      <w:r>
        <w:rPr>
          <w:spacing w:val="-34"/>
        </w:rPr>
        <w:t> </w:t>
      </w:r>
      <w:r>
        <w:rPr/>
        <w:t>trabalhistas</w:t>
      </w:r>
      <w:r>
        <w:rPr>
          <w:spacing w:val="-33"/>
        </w:rPr>
        <w:t> </w:t>
      </w:r>
      <w:r>
        <w:rPr/>
        <w:t>é</w:t>
      </w:r>
      <w:r>
        <w:rPr>
          <w:spacing w:val="-33"/>
        </w:rPr>
        <w:t> </w:t>
      </w:r>
      <w:r>
        <w:rPr/>
        <w:t>com base</w:t>
      </w:r>
      <w:r>
        <w:rPr>
          <w:spacing w:val="-17"/>
        </w:rPr>
        <w:t> </w:t>
      </w:r>
      <w:r>
        <w:rPr/>
        <w:t>na</w:t>
      </w:r>
      <w:r>
        <w:rPr>
          <w:spacing w:val="-18"/>
        </w:rPr>
        <w:t> </w:t>
      </w:r>
      <w:r>
        <w:rPr/>
        <w:t>Taxa</w:t>
      </w:r>
      <w:r>
        <w:rPr>
          <w:spacing w:val="-18"/>
        </w:rPr>
        <w:t> </w:t>
      </w:r>
      <w:r>
        <w:rPr/>
        <w:t>Referencial</w:t>
      </w:r>
      <w:r>
        <w:rPr>
          <w:spacing w:val="-17"/>
        </w:rPr>
        <w:t> </w:t>
      </w:r>
      <w:r>
        <w:rPr/>
        <w:t>(TR).</w:t>
      </w:r>
    </w:p>
    <w:p>
      <w:pPr>
        <w:pStyle w:val="BodyText"/>
        <w:spacing w:before="6"/>
      </w:pPr>
    </w:p>
    <w:p>
      <w:pPr>
        <w:pStyle w:val="ListParagraph"/>
        <w:numPr>
          <w:ilvl w:val="0"/>
          <w:numId w:val="35"/>
        </w:numPr>
        <w:tabs>
          <w:tab w:pos="416" w:val="left" w:leader="none"/>
        </w:tabs>
        <w:spacing w:line="240" w:lineRule="auto" w:before="0" w:after="0"/>
        <w:ind w:left="415" w:right="0" w:hanging="244"/>
        <w:jc w:val="left"/>
        <w:rPr>
          <w:rFonts w:ascii="Caladea" w:hAnsi="Caladea"/>
          <w:b/>
          <w:sz w:val="20"/>
        </w:rPr>
      </w:pPr>
      <w:r>
        <w:rPr>
          <w:rFonts w:ascii="Caladea" w:hAnsi="Caladea"/>
          <w:b/>
          <w:sz w:val="20"/>
        </w:rPr>
        <w:t>Demandas cíveis</w:t>
      </w:r>
    </w:p>
    <w:p>
      <w:pPr>
        <w:pStyle w:val="BodyText"/>
        <w:spacing w:before="6"/>
        <w:rPr>
          <w:rFonts w:ascii="Caladea"/>
          <w:b/>
        </w:rPr>
      </w:pPr>
    </w:p>
    <w:p>
      <w:pPr>
        <w:pStyle w:val="BodyText"/>
        <w:spacing w:line="242" w:lineRule="auto"/>
        <w:ind w:left="172" w:right="415"/>
        <w:jc w:val="both"/>
      </w:pPr>
      <w:r>
        <w:rPr/>
        <w:t>Ações</w:t>
      </w:r>
      <w:r>
        <w:rPr>
          <w:spacing w:val="-27"/>
        </w:rPr>
        <w:t> </w:t>
      </w:r>
      <w:r>
        <w:rPr/>
        <w:t>pleiteando</w:t>
      </w:r>
      <w:r>
        <w:rPr>
          <w:spacing w:val="-27"/>
        </w:rPr>
        <w:t> </w:t>
      </w:r>
      <w:r>
        <w:rPr/>
        <w:t>indenização</w:t>
      </w:r>
      <w:r>
        <w:rPr>
          <w:spacing w:val="-27"/>
        </w:rPr>
        <w:t> </w:t>
      </w:r>
      <w:r>
        <w:rPr/>
        <w:t>por</w:t>
      </w:r>
      <w:r>
        <w:rPr>
          <w:spacing w:val="-26"/>
        </w:rPr>
        <w:t> </w:t>
      </w:r>
      <w:r>
        <w:rPr/>
        <w:t>acidentes</w:t>
      </w:r>
      <w:r>
        <w:rPr>
          <w:spacing w:val="-26"/>
        </w:rPr>
        <w:t> </w:t>
      </w:r>
      <w:r>
        <w:rPr/>
        <w:t>com</w:t>
      </w:r>
      <w:r>
        <w:rPr>
          <w:spacing w:val="-27"/>
        </w:rPr>
        <w:t> </w:t>
      </w:r>
      <w:r>
        <w:rPr/>
        <w:t>a</w:t>
      </w:r>
      <w:r>
        <w:rPr>
          <w:spacing w:val="-27"/>
        </w:rPr>
        <w:t> </w:t>
      </w:r>
      <w:r>
        <w:rPr/>
        <w:t>rede</w:t>
      </w:r>
      <w:r>
        <w:rPr>
          <w:spacing w:val="-26"/>
        </w:rPr>
        <w:t> </w:t>
      </w:r>
      <w:r>
        <w:rPr/>
        <w:t>de</w:t>
      </w:r>
      <w:r>
        <w:rPr>
          <w:spacing w:val="-27"/>
        </w:rPr>
        <w:t> </w:t>
      </w:r>
      <w:r>
        <w:rPr/>
        <w:t>distribuição</w:t>
      </w:r>
      <w:r>
        <w:rPr>
          <w:spacing w:val="-27"/>
        </w:rPr>
        <w:t> </w:t>
      </w:r>
      <w:r>
        <w:rPr/>
        <w:t>de</w:t>
      </w:r>
      <w:r>
        <w:rPr>
          <w:spacing w:val="-27"/>
        </w:rPr>
        <w:t> </w:t>
      </w:r>
      <w:r>
        <w:rPr/>
        <w:t>energia</w:t>
      </w:r>
      <w:r>
        <w:rPr>
          <w:spacing w:val="-25"/>
        </w:rPr>
        <w:t> </w:t>
      </w:r>
      <w:r>
        <w:rPr/>
        <w:t>elétrica;</w:t>
      </w:r>
      <w:r>
        <w:rPr>
          <w:spacing w:val="-27"/>
        </w:rPr>
        <w:t> </w:t>
      </w:r>
      <w:r>
        <w:rPr/>
        <w:t>danos</w:t>
      </w:r>
      <w:r>
        <w:rPr>
          <w:spacing w:val="-25"/>
        </w:rPr>
        <w:t> </w:t>
      </w:r>
      <w:r>
        <w:rPr/>
        <w:t>morais;</w:t>
      </w:r>
      <w:r>
        <w:rPr>
          <w:spacing w:val="-26"/>
        </w:rPr>
        <w:t> </w:t>
      </w:r>
      <w:r>
        <w:rPr/>
        <w:t>além</w:t>
      </w:r>
      <w:r>
        <w:rPr>
          <w:spacing w:val="-26"/>
        </w:rPr>
        <w:t> </w:t>
      </w:r>
      <w:r>
        <w:rPr/>
        <w:t>de discussões</w:t>
      </w:r>
      <w:r>
        <w:rPr>
          <w:spacing w:val="-35"/>
        </w:rPr>
        <w:t> </w:t>
      </w:r>
      <w:r>
        <w:rPr/>
        <w:t>quanto</w:t>
      </w:r>
      <w:r>
        <w:rPr>
          <w:spacing w:val="-35"/>
        </w:rPr>
        <w:t> </w:t>
      </w:r>
      <w:r>
        <w:rPr/>
        <w:t>à</w:t>
      </w:r>
      <w:r>
        <w:rPr>
          <w:spacing w:val="-35"/>
        </w:rPr>
        <w:t> </w:t>
      </w:r>
      <w:r>
        <w:rPr/>
        <w:t>relação</w:t>
      </w:r>
      <w:r>
        <w:rPr>
          <w:spacing w:val="-34"/>
        </w:rPr>
        <w:t> </w:t>
      </w:r>
      <w:r>
        <w:rPr/>
        <w:t>de</w:t>
      </w:r>
      <w:r>
        <w:rPr>
          <w:spacing w:val="-36"/>
        </w:rPr>
        <w:t> </w:t>
      </w:r>
      <w:r>
        <w:rPr/>
        <w:t>consumo,</w:t>
      </w:r>
      <w:r>
        <w:rPr>
          <w:spacing w:val="-35"/>
        </w:rPr>
        <w:t> </w:t>
      </w:r>
      <w:r>
        <w:rPr/>
        <w:t>tais</w:t>
      </w:r>
      <w:r>
        <w:rPr>
          <w:spacing w:val="-35"/>
        </w:rPr>
        <w:t> </w:t>
      </w:r>
      <w:r>
        <w:rPr/>
        <w:t>como</w:t>
      </w:r>
      <w:r>
        <w:rPr>
          <w:spacing w:val="-35"/>
        </w:rPr>
        <w:t> </w:t>
      </w:r>
      <w:r>
        <w:rPr/>
        <w:t>cobrança</w:t>
      </w:r>
      <w:r>
        <w:rPr>
          <w:spacing w:val="-35"/>
        </w:rPr>
        <w:t> </w:t>
      </w:r>
      <w:r>
        <w:rPr/>
        <w:t>e</w:t>
      </w:r>
      <w:r>
        <w:rPr>
          <w:spacing w:val="-35"/>
        </w:rPr>
        <w:t> </w:t>
      </w:r>
      <w:r>
        <w:rPr/>
        <w:t>corte</w:t>
      </w:r>
      <w:r>
        <w:rPr>
          <w:spacing w:val="-36"/>
        </w:rPr>
        <w:t> </w:t>
      </w:r>
      <w:r>
        <w:rPr/>
        <w:t>indevidos;</w:t>
      </w:r>
      <w:r>
        <w:rPr>
          <w:spacing w:val="-35"/>
        </w:rPr>
        <w:t> </w:t>
      </w:r>
      <w:r>
        <w:rPr/>
        <w:t>corte</w:t>
      </w:r>
      <w:r>
        <w:rPr>
          <w:spacing w:val="-35"/>
        </w:rPr>
        <w:t> </w:t>
      </w:r>
      <w:r>
        <w:rPr/>
        <w:t>por</w:t>
      </w:r>
      <w:r>
        <w:rPr>
          <w:spacing w:val="-36"/>
        </w:rPr>
        <w:t> </w:t>
      </w:r>
      <w:r>
        <w:rPr/>
        <w:t>inadimplência;</w:t>
      </w:r>
      <w:r>
        <w:rPr>
          <w:spacing w:val="-34"/>
        </w:rPr>
        <w:t> </w:t>
      </w:r>
      <w:r>
        <w:rPr/>
        <w:t>problemas na</w:t>
      </w:r>
      <w:r>
        <w:rPr>
          <w:spacing w:val="-40"/>
        </w:rPr>
        <w:t> </w:t>
      </w:r>
      <w:r>
        <w:rPr/>
        <w:t>rede;</w:t>
      </w:r>
      <w:r>
        <w:rPr>
          <w:spacing w:val="-40"/>
        </w:rPr>
        <w:t> </w:t>
      </w:r>
      <w:r>
        <w:rPr/>
        <w:t>e</w:t>
      </w:r>
      <w:r>
        <w:rPr>
          <w:spacing w:val="-39"/>
        </w:rPr>
        <w:t> </w:t>
      </w:r>
      <w:r>
        <w:rPr/>
        <w:t>questionamentos</w:t>
      </w:r>
      <w:r>
        <w:rPr>
          <w:spacing w:val="-39"/>
        </w:rPr>
        <w:t> </w:t>
      </w:r>
      <w:r>
        <w:rPr/>
        <w:t>de</w:t>
      </w:r>
      <w:r>
        <w:rPr>
          <w:spacing w:val="-40"/>
        </w:rPr>
        <w:t> </w:t>
      </w:r>
      <w:r>
        <w:rPr/>
        <w:t>valores</w:t>
      </w:r>
      <w:r>
        <w:rPr>
          <w:spacing w:val="-40"/>
        </w:rPr>
        <w:t> </w:t>
      </w:r>
      <w:r>
        <w:rPr/>
        <w:t>pagos</w:t>
      </w:r>
      <w:r>
        <w:rPr>
          <w:spacing w:val="-38"/>
        </w:rPr>
        <w:t> </w:t>
      </w:r>
      <w:r>
        <w:rPr/>
        <w:t>por</w:t>
      </w:r>
      <w:r>
        <w:rPr>
          <w:spacing w:val="-40"/>
        </w:rPr>
        <w:t> </w:t>
      </w:r>
      <w:r>
        <w:rPr/>
        <w:t>consumidores.</w:t>
      </w:r>
      <w:r>
        <w:rPr>
          <w:spacing w:val="-40"/>
        </w:rPr>
        <w:t> </w:t>
      </w:r>
      <w:r>
        <w:rPr/>
        <w:t>A</w:t>
      </w:r>
      <w:r>
        <w:rPr>
          <w:spacing w:val="-40"/>
        </w:rPr>
        <w:t> </w:t>
      </w:r>
      <w:r>
        <w:rPr/>
        <w:t>atualização</w:t>
      </w:r>
      <w:r>
        <w:rPr>
          <w:spacing w:val="-40"/>
        </w:rPr>
        <w:t> </w:t>
      </w:r>
      <w:r>
        <w:rPr/>
        <w:t>das</w:t>
      </w:r>
      <w:r>
        <w:rPr>
          <w:spacing w:val="-39"/>
        </w:rPr>
        <w:t> </w:t>
      </w:r>
      <w:r>
        <w:rPr/>
        <w:t>contingências</w:t>
      </w:r>
      <w:r>
        <w:rPr>
          <w:spacing w:val="-39"/>
        </w:rPr>
        <w:t> </w:t>
      </w:r>
      <w:r>
        <w:rPr/>
        <w:t>cíveis</w:t>
      </w:r>
      <w:r>
        <w:rPr>
          <w:spacing w:val="-39"/>
        </w:rPr>
        <w:t> </w:t>
      </w:r>
      <w:r>
        <w:rPr/>
        <w:t>é</w:t>
      </w:r>
      <w:r>
        <w:rPr>
          <w:spacing w:val="-40"/>
        </w:rPr>
        <w:t> </w:t>
      </w:r>
      <w:r>
        <w:rPr/>
        <w:t>com</w:t>
      </w:r>
      <w:r>
        <w:rPr>
          <w:spacing w:val="-39"/>
        </w:rPr>
        <w:t> </w:t>
      </w:r>
      <w:r>
        <w:rPr/>
        <w:t>base</w:t>
      </w:r>
      <w:r>
        <w:rPr>
          <w:spacing w:val="-41"/>
        </w:rPr>
        <w:t> </w:t>
      </w:r>
      <w:r>
        <w:rPr/>
        <w:t>no INPC.</w:t>
      </w:r>
    </w:p>
    <w:p>
      <w:pPr>
        <w:pStyle w:val="BodyText"/>
        <w:spacing w:before="6"/>
      </w:pPr>
    </w:p>
    <w:p>
      <w:pPr>
        <w:pStyle w:val="ListParagraph"/>
        <w:numPr>
          <w:ilvl w:val="0"/>
          <w:numId w:val="35"/>
        </w:numPr>
        <w:tabs>
          <w:tab w:pos="392" w:val="left" w:leader="none"/>
        </w:tabs>
        <w:spacing w:line="240" w:lineRule="auto" w:before="0" w:after="0"/>
        <w:ind w:left="391" w:right="0" w:hanging="220"/>
        <w:jc w:val="left"/>
        <w:rPr>
          <w:rFonts w:ascii="Caladea" w:hAnsi="Caladea"/>
          <w:b/>
          <w:sz w:val="20"/>
        </w:rPr>
      </w:pPr>
      <w:r>
        <w:rPr>
          <w:rFonts w:ascii="Caladea" w:hAnsi="Caladea"/>
          <w:b/>
          <w:sz w:val="20"/>
        </w:rPr>
        <w:t>Demandas regulatórias</w:t>
      </w:r>
    </w:p>
    <w:p>
      <w:pPr>
        <w:pStyle w:val="BodyText"/>
        <w:spacing w:before="9"/>
        <w:rPr>
          <w:rFonts w:ascii="Caladea"/>
          <w:b/>
        </w:rPr>
      </w:pPr>
    </w:p>
    <w:p>
      <w:pPr>
        <w:pStyle w:val="BodyText"/>
        <w:spacing w:line="242" w:lineRule="auto"/>
        <w:ind w:left="172" w:right="411"/>
        <w:jc w:val="both"/>
      </w:pPr>
      <w:r>
        <w:rPr/>
        <w:t>A CEB DIS discute, nas esferas administrativa e judicial, autuações do Órgão Regulador sobre eventuais descumprimentos</w:t>
      </w:r>
      <w:r>
        <w:rPr>
          <w:spacing w:val="-48"/>
        </w:rPr>
        <w:t> </w:t>
      </w:r>
      <w:r>
        <w:rPr/>
        <w:t>de</w:t>
      </w:r>
      <w:r>
        <w:rPr>
          <w:spacing w:val="-48"/>
        </w:rPr>
        <w:t> </w:t>
      </w:r>
      <w:r>
        <w:rPr/>
        <w:t>normas</w:t>
      </w:r>
      <w:r>
        <w:rPr>
          <w:spacing w:val="-47"/>
        </w:rPr>
        <w:t> </w:t>
      </w:r>
      <w:r>
        <w:rPr/>
        <w:t>regulatórias.</w:t>
      </w:r>
      <w:r>
        <w:rPr>
          <w:spacing w:val="-48"/>
        </w:rPr>
        <w:t> </w:t>
      </w:r>
      <w:r>
        <w:rPr/>
        <w:t>As</w:t>
      </w:r>
      <w:r>
        <w:rPr>
          <w:spacing w:val="-47"/>
        </w:rPr>
        <w:t> </w:t>
      </w:r>
      <w:r>
        <w:rPr/>
        <w:t>principais</w:t>
      </w:r>
      <w:r>
        <w:rPr>
          <w:spacing w:val="-46"/>
        </w:rPr>
        <w:t> </w:t>
      </w:r>
      <w:r>
        <w:rPr/>
        <w:t>contingências</w:t>
      </w:r>
      <w:r>
        <w:rPr>
          <w:spacing w:val="-48"/>
        </w:rPr>
        <w:t> </w:t>
      </w:r>
      <w:r>
        <w:rPr/>
        <w:t>regulatórias</w:t>
      </w:r>
      <w:r>
        <w:rPr>
          <w:spacing w:val="-47"/>
        </w:rPr>
        <w:t> </w:t>
      </w:r>
      <w:r>
        <w:rPr/>
        <w:t>envolvem</w:t>
      </w:r>
      <w:r>
        <w:rPr>
          <w:spacing w:val="-47"/>
        </w:rPr>
        <w:t> </w:t>
      </w:r>
      <w:r>
        <w:rPr/>
        <w:t>a</w:t>
      </w:r>
      <w:r>
        <w:rPr>
          <w:spacing w:val="-47"/>
        </w:rPr>
        <w:t> </w:t>
      </w:r>
      <w:r>
        <w:rPr/>
        <w:t>não</w:t>
      </w:r>
      <w:r>
        <w:rPr>
          <w:spacing w:val="-48"/>
        </w:rPr>
        <w:t> </w:t>
      </w:r>
      <w:r>
        <w:rPr/>
        <w:t>conformidade</w:t>
      </w:r>
      <w:r>
        <w:rPr>
          <w:spacing w:val="-47"/>
        </w:rPr>
        <w:t> </w:t>
      </w:r>
      <w:r>
        <w:rPr/>
        <w:t>nos </w:t>
      </w:r>
      <w:r>
        <w:rPr>
          <w:w w:val="95"/>
        </w:rPr>
        <w:t>processos</w:t>
      </w:r>
      <w:r>
        <w:rPr>
          <w:spacing w:val="-14"/>
          <w:w w:val="95"/>
        </w:rPr>
        <w:t> </w:t>
      </w:r>
      <w:r>
        <w:rPr>
          <w:w w:val="95"/>
        </w:rPr>
        <w:t>de</w:t>
      </w:r>
      <w:r>
        <w:rPr>
          <w:spacing w:val="-15"/>
          <w:w w:val="95"/>
        </w:rPr>
        <w:t> </w:t>
      </w:r>
      <w:r>
        <w:rPr>
          <w:w w:val="95"/>
        </w:rPr>
        <w:t>fiscalização,</w:t>
      </w:r>
      <w:r>
        <w:rPr>
          <w:spacing w:val="-17"/>
          <w:w w:val="95"/>
        </w:rPr>
        <w:t> </w:t>
      </w:r>
      <w:r>
        <w:rPr>
          <w:w w:val="95"/>
        </w:rPr>
        <w:t>tais</w:t>
      </w:r>
      <w:r>
        <w:rPr>
          <w:spacing w:val="-17"/>
          <w:w w:val="95"/>
        </w:rPr>
        <w:t> </w:t>
      </w:r>
      <w:r>
        <w:rPr>
          <w:w w:val="95"/>
        </w:rPr>
        <w:t>como:</w:t>
      </w:r>
      <w:r>
        <w:rPr>
          <w:spacing w:val="-17"/>
          <w:w w:val="95"/>
        </w:rPr>
        <w:t> </w:t>
      </w:r>
      <w:r>
        <w:rPr>
          <w:w w:val="95"/>
        </w:rPr>
        <w:t>ausência</w:t>
      </w:r>
      <w:r>
        <w:rPr>
          <w:spacing w:val="-16"/>
          <w:w w:val="95"/>
        </w:rPr>
        <w:t> </w:t>
      </w:r>
      <w:r>
        <w:rPr>
          <w:w w:val="95"/>
        </w:rPr>
        <w:t>de</w:t>
      </w:r>
      <w:r>
        <w:rPr>
          <w:spacing w:val="-16"/>
          <w:w w:val="95"/>
        </w:rPr>
        <w:t> </w:t>
      </w:r>
      <w:r>
        <w:rPr>
          <w:w w:val="95"/>
        </w:rPr>
        <w:t>anuência</w:t>
      </w:r>
      <w:r>
        <w:rPr>
          <w:spacing w:val="-15"/>
          <w:w w:val="95"/>
        </w:rPr>
        <w:t> </w:t>
      </w:r>
      <w:r>
        <w:rPr>
          <w:w w:val="95"/>
        </w:rPr>
        <w:t>prévia</w:t>
      </w:r>
      <w:r>
        <w:rPr>
          <w:spacing w:val="-16"/>
          <w:w w:val="95"/>
        </w:rPr>
        <w:t> </w:t>
      </w:r>
      <w:r>
        <w:rPr>
          <w:w w:val="95"/>
        </w:rPr>
        <w:t>para</w:t>
      </w:r>
      <w:r>
        <w:rPr>
          <w:spacing w:val="-15"/>
          <w:w w:val="95"/>
        </w:rPr>
        <w:t> </w:t>
      </w:r>
      <w:r>
        <w:rPr>
          <w:w w:val="95"/>
        </w:rPr>
        <w:t>dação</w:t>
      </w:r>
      <w:r>
        <w:rPr>
          <w:spacing w:val="-15"/>
          <w:w w:val="95"/>
        </w:rPr>
        <w:t> </w:t>
      </w:r>
      <w:r>
        <w:rPr>
          <w:w w:val="95"/>
        </w:rPr>
        <w:t>em</w:t>
      </w:r>
      <w:r>
        <w:rPr>
          <w:spacing w:val="-14"/>
          <w:w w:val="95"/>
        </w:rPr>
        <w:t> </w:t>
      </w:r>
      <w:r>
        <w:rPr>
          <w:w w:val="95"/>
        </w:rPr>
        <w:t>garantia</w:t>
      </w:r>
      <w:r>
        <w:rPr>
          <w:spacing w:val="-14"/>
          <w:w w:val="95"/>
        </w:rPr>
        <w:t> </w:t>
      </w:r>
      <w:r>
        <w:rPr>
          <w:w w:val="95"/>
        </w:rPr>
        <w:t>em</w:t>
      </w:r>
      <w:r>
        <w:rPr>
          <w:spacing w:val="-14"/>
          <w:w w:val="95"/>
        </w:rPr>
        <w:t> </w:t>
      </w:r>
      <w:r>
        <w:rPr>
          <w:w w:val="95"/>
        </w:rPr>
        <w:t>empréstimos</w:t>
      </w:r>
      <w:r>
        <w:rPr>
          <w:spacing w:val="-17"/>
          <w:w w:val="95"/>
        </w:rPr>
        <w:t> </w:t>
      </w:r>
      <w:r>
        <w:rPr>
          <w:w w:val="95"/>
        </w:rPr>
        <w:t>contraídos pela</w:t>
      </w:r>
      <w:r>
        <w:rPr>
          <w:spacing w:val="-15"/>
          <w:w w:val="95"/>
        </w:rPr>
        <w:t> </w:t>
      </w:r>
      <w:r>
        <w:rPr>
          <w:w w:val="95"/>
        </w:rPr>
        <w:t>Companhia;</w:t>
      </w:r>
      <w:r>
        <w:rPr>
          <w:spacing w:val="-15"/>
          <w:w w:val="95"/>
        </w:rPr>
        <w:t> </w:t>
      </w:r>
      <w:r>
        <w:rPr>
          <w:w w:val="95"/>
        </w:rPr>
        <w:t>investimentos</w:t>
      </w:r>
      <w:r>
        <w:rPr>
          <w:spacing w:val="-15"/>
          <w:w w:val="95"/>
        </w:rPr>
        <w:t> </w:t>
      </w:r>
      <w:r>
        <w:rPr>
          <w:w w:val="95"/>
        </w:rPr>
        <w:t>em</w:t>
      </w:r>
      <w:r>
        <w:rPr>
          <w:spacing w:val="-16"/>
          <w:w w:val="95"/>
        </w:rPr>
        <w:t> </w:t>
      </w:r>
      <w:r>
        <w:rPr>
          <w:w w:val="95"/>
        </w:rPr>
        <w:t>consórcio;</w:t>
      </w:r>
      <w:r>
        <w:rPr>
          <w:spacing w:val="-13"/>
          <w:w w:val="95"/>
        </w:rPr>
        <w:t> </w:t>
      </w:r>
      <w:r>
        <w:rPr>
          <w:w w:val="95"/>
        </w:rPr>
        <w:t>extrapolação</w:t>
      </w:r>
      <w:r>
        <w:rPr>
          <w:spacing w:val="-10"/>
          <w:w w:val="95"/>
        </w:rPr>
        <w:t> </w:t>
      </w:r>
      <w:r>
        <w:rPr>
          <w:w w:val="95"/>
        </w:rPr>
        <w:t>dos</w:t>
      </w:r>
      <w:r>
        <w:rPr>
          <w:spacing w:val="-15"/>
          <w:w w:val="95"/>
        </w:rPr>
        <w:t> </w:t>
      </w:r>
      <w:r>
        <w:rPr>
          <w:w w:val="95"/>
        </w:rPr>
        <w:t>limites</w:t>
      </w:r>
      <w:r>
        <w:rPr>
          <w:spacing w:val="-15"/>
          <w:w w:val="95"/>
        </w:rPr>
        <w:t> </w:t>
      </w:r>
      <w:r>
        <w:rPr>
          <w:w w:val="95"/>
        </w:rPr>
        <w:t>dos</w:t>
      </w:r>
      <w:r>
        <w:rPr>
          <w:spacing w:val="-15"/>
          <w:w w:val="95"/>
        </w:rPr>
        <w:t> </w:t>
      </w:r>
      <w:r>
        <w:rPr>
          <w:w w:val="95"/>
        </w:rPr>
        <w:t>indicadores</w:t>
      </w:r>
      <w:r>
        <w:rPr>
          <w:spacing w:val="-14"/>
          <w:w w:val="95"/>
        </w:rPr>
        <w:t> </w:t>
      </w:r>
      <w:r>
        <w:rPr>
          <w:w w:val="95"/>
        </w:rPr>
        <w:t>de</w:t>
      </w:r>
      <w:r>
        <w:rPr>
          <w:spacing w:val="-18"/>
          <w:w w:val="95"/>
        </w:rPr>
        <w:t> </w:t>
      </w:r>
      <w:r>
        <w:rPr>
          <w:w w:val="95"/>
        </w:rPr>
        <w:t>qualidade</w:t>
      </w:r>
      <w:r>
        <w:rPr>
          <w:spacing w:val="-15"/>
          <w:w w:val="95"/>
        </w:rPr>
        <w:t> </w:t>
      </w:r>
      <w:r>
        <w:rPr>
          <w:w w:val="95"/>
        </w:rPr>
        <w:t>do</w:t>
      </w:r>
      <w:r>
        <w:rPr>
          <w:spacing w:val="-16"/>
          <w:w w:val="95"/>
        </w:rPr>
        <w:t> </w:t>
      </w:r>
      <w:r>
        <w:rPr>
          <w:w w:val="95"/>
        </w:rPr>
        <w:t>fornecimento </w:t>
      </w:r>
      <w:r>
        <w:rPr/>
        <w:t>de</w:t>
      </w:r>
      <w:r>
        <w:rPr>
          <w:spacing w:val="-36"/>
        </w:rPr>
        <w:t> </w:t>
      </w:r>
      <w:r>
        <w:rPr/>
        <w:t>energia;</w:t>
      </w:r>
      <w:r>
        <w:rPr>
          <w:spacing w:val="-36"/>
        </w:rPr>
        <w:t> </w:t>
      </w:r>
      <w:r>
        <w:rPr/>
        <w:t>falta</w:t>
      </w:r>
      <w:r>
        <w:rPr>
          <w:spacing w:val="-36"/>
        </w:rPr>
        <w:t> </w:t>
      </w:r>
      <w:r>
        <w:rPr/>
        <w:t>de</w:t>
      </w:r>
      <w:r>
        <w:rPr>
          <w:spacing w:val="-36"/>
        </w:rPr>
        <w:t> </w:t>
      </w:r>
      <w:r>
        <w:rPr/>
        <w:t>investimentos</w:t>
      </w:r>
      <w:r>
        <w:rPr>
          <w:spacing w:val="-36"/>
        </w:rPr>
        <w:t> </w:t>
      </w:r>
      <w:r>
        <w:rPr/>
        <w:t>no</w:t>
      </w:r>
      <w:r>
        <w:rPr>
          <w:spacing w:val="-36"/>
        </w:rPr>
        <w:t> </w:t>
      </w:r>
      <w:r>
        <w:rPr/>
        <w:t>sistema</w:t>
      </w:r>
      <w:r>
        <w:rPr>
          <w:spacing w:val="-35"/>
        </w:rPr>
        <w:t> </w:t>
      </w:r>
      <w:r>
        <w:rPr/>
        <w:t>elétrico</w:t>
      </w:r>
      <w:r>
        <w:rPr>
          <w:spacing w:val="-36"/>
        </w:rPr>
        <w:t> </w:t>
      </w:r>
      <w:r>
        <w:rPr/>
        <w:t>de</w:t>
      </w:r>
      <w:r>
        <w:rPr>
          <w:spacing w:val="-36"/>
        </w:rPr>
        <w:t> </w:t>
      </w:r>
      <w:r>
        <w:rPr/>
        <w:t>distribuição;</w:t>
      </w:r>
      <w:r>
        <w:rPr>
          <w:spacing w:val="-35"/>
        </w:rPr>
        <w:t> </w:t>
      </w:r>
      <w:r>
        <w:rPr/>
        <w:t>e</w:t>
      </w:r>
      <w:r>
        <w:rPr>
          <w:spacing w:val="-37"/>
        </w:rPr>
        <w:t> </w:t>
      </w:r>
      <w:r>
        <w:rPr/>
        <w:t>fiscalização</w:t>
      </w:r>
      <w:r>
        <w:rPr>
          <w:spacing w:val="-36"/>
        </w:rPr>
        <w:t> </w:t>
      </w:r>
      <w:r>
        <w:rPr/>
        <w:t>de</w:t>
      </w:r>
      <w:r>
        <w:rPr>
          <w:spacing w:val="-37"/>
        </w:rPr>
        <w:t> </w:t>
      </w:r>
      <w:r>
        <w:rPr/>
        <w:t>procedimentos</w:t>
      </w:r>
      <w:r>
        <w:rPr>
          <w:spacing w:val="-36"/>
        </w:rPr>
        <w:t> </w:t>
      </w:r>
      <w:r>
        <w:rPr/>
        <w:t>da</w:t>
      </w:r>
      <w:r>
        <w:rPr>
          <w:spacing w:val="-36"/>
        </w:rPr>
        <w:t> </w:t>
      </w:r>
      <w:r>
        <w:rPr/>
        <w:t>atividade comercial.</w:t>
      </w:r>
      <w:r>
        <w:rPr>
          <w:spacing w:val="-22"/>
        </w:rPr>
        <w:t> </w:t>
      </w:r>
      <w:r>
        <w:rPr/>
        <w:t>A</w:t>
      </w:r>
      <w:r>
        <w:rPr>
          <w:spacing w:val="-21"/>
        </w:rPr>
        <w:t> </w:t>
      </w:r>
      <w:r>
        <w:rPr/>
        <w:t>atualização</w:t>
      </w:r>
      <w:r>
        <w:rPr>
          <w:spacing w:val="-21"/>
        </w:rPr>
        <w:t> </w:t>
      </w:r>
      <w:r>
        <w:rPr/>
        <w:t>das</w:t>
      </w:r>
      <w:r>
        <w:rPr>
          <w:spacing w:val="-21"/>
        </w:rPr>
        <w:t> </w:t>
      </w:r>
      <w:r>
        <w:rPr/>
        <w:t>provisões</w:t>
      </w:r>
      <w:r>
        <w:rPr>
          <w:spacing w:val="-19"/>
        </w:rPr>
        <w:t> </w:t>
      </w:r>
      <w:r>
        <w:rPr/>
        <w:t>regulatórias</w:t>
      </w:r>
      <w:r>
        <w:rPr>
          <w:spacing w:val="-20"/>
        </w:rPr>
        <w:t> </w:t>
      </w:r>
      <w:r>
        <w:rPr/>
        <w:t>é</w:t>
      </w:r>
      <w:r>
        <w:rPr>
          <w:spacing w:val="-20"/>
        </w:rPr>
        <w:t> </w:t>
      </w:r>
      <w:r>
        <w:rPr/>
        <w:t>com</w:t>
      </w:r>
      <w:r>
        <w:rPr>
          <w:spacing w:val="-21"/>
        </w:rPr>
        <w:t> </w:t>
      </w:r>
      <w:r>
        <w:rPr/>
        <w:t>base</w:t>
      </w:r>
      <w:r>
        <w:rPr>
          <w:spacing w:val="-20"/>
        </w:rPr>
        <w:t> </w:t>
      </w:r>
      <w:r>
        <w:rPr/>
        <w:t>na</w:t>
      </w:r>
      <w:r>
        <w:rPr>
          <w:spacing w:val="-18"/>
        </w:rPr>
        <w:t> </w:t>
      </w:r>
      <w:r>
        <w:rPr/>
        <w:t>taxa</w:t>
      </w:r>
      <w:r>
        <w:rPr>
          <w:spacing w:val="-21"/>
        </w:rPr>
        <w:t> </w:t>
      </w:r>
      <w:r>
        <w:rPr/>
        <w:t>Selic.</w:t>
      </w:r>
    </w:p>
    <w:p>
      <w:pPr>
        <w:pStyle w:val="BodyText"/>
        <w:spacing w:line="242" w:lineRule="auto" w:before="119"/>
        <w:ind w:left="172" w:right="415"/>
        <w:jc w:val="both"/>
      </w:pPr>
      <w:r>
        <w:rPr/>
        <w:t>A</w:t>
      </w:r>
      <w:r>
        <w:rPr>
          <w:spacing w:val="-26"/>
        </w:rPr>
        <w:t> </w:t>
      </w:r>
      <w:r>
        <w:rPr/>
        <w:t>Administração</w:t>
      </w:r>
      <w:r>
        <w:rPr>
          <w:spacing w:val="-24"/>
        </w:rPr>
        <w:t> </w:t>
      </w:r>
      <w:r>
        <w:rPr/>
        <w:t>da</w:t>
      </w:r>
      <w:r>
        <w:rPr>
          <w:spacing w:val="-25"/>
        </w:rPr>
        <w:t> </w:t>
      </w:r>
      <w:r>
        <w:rPr/>
        <w:t>CEB</w:t>
      </w:r>
      <w:r>
        <w:rPr>
          <w:spacing w:val="-26"/>
        </w:rPr>
        <w:t> </w:t>
      </w:r>
      <w:r>
        <w:rPr/>
        <w:t>DIS,</w:t>
      </w:r>
      <w:r>
        <w:rPr>
          <w:spacing w:val="-26"/>
        </w:rPr>
        <w:t> </w:t>
      </w:r>
      <w:r>
        <w:rPr/>
        <w:t>consubstanciada</w:t>
      </w:r>
      <w:r>
        <w:rPr>
          <w:spacing w:val="-26"/>
        </w:rPr>
        <w:t> </w:t>
      </w:r>
      <w:r>
        <w:rPr/>
        <w:t>na</w:t>
      </w:r>
      <w:r>
        <w:rPr>
          <w:spacing w:val="-23"/>
        </w:rPr>
        <w:t> </w:t>
      </w:r>
      <w:r>
        <w:rPr/>
        <w:t>opinião</w:t>
      </w:r>
      <w:r>
        <w:rPr>
          <w:spacing w:val="-26"/>
        </w:rPr>
        <w:t> </w:t>
      </w:r>
      <w:r>
        <w:rPr/>
        <w:t>de</w:t>
      </w:r>
      <w:r>
        <w:rPr>
          <w:spacing w:val="-27"/>
        </w:rPr>
        <w:t> </w:t>
      </w:r>
      <w:r>
        <w:rPr/>
        <w:t>seus</w:t>
      </w:r>
      <w:r>
        <w:rPr>
          <w:spacing w:val="-25"/>
        </w:rPr>
        <w:t> </w:t>
      </w:r>
      <w:r>
        <w:rPr/>
        <w:t>consultores</w:t>
      </w:r>
      <w:r>
        <w:rPr>
          <w:spacing w:val="-26"/>
        </w:rPr>
        <w:t> </w:t>
      </w:r>
      <w:r>
        <w:rPr/>
        <w:t>legais</w:t>
      </w:r>
      <w:r>
        <w:rPr>
          <w:spacing w:val="-23"/>
        </w:rPr>
        <w:t> </w:t>
      </w:r>
      <w:r>
        <w:rPr/>
        <w:t>quanto</w:t>
      </w:r>
      <w:r>
        <w:rPr>
          <w:spacing w:val="-25"/>
        </w:rPr>
        <w:t> </w:t>
      </w:r>
      <w:r>
        <w:rPr/>
        <w:t>à</w:t>
      </w:r>
      <w:r>
        <w:rPr>
          <w:spacing w:val="-26"/>
        </w:rPr>
        <w:t> </w:t>
      </w:r>
      <w:r>
        <w:rPr/>
        <w:t>possibilidade</w:t>
      </w:r>
      <w:r>
        <w:rPr>
          <w:spacing w:val="-24"/>
        </w:rPr>
        <w:t> </w:t>
      </w:r>
      <w:r>
        <w:rPr/>
        <w:t>de</w:t>
      </w:r>
      <w:r>
        <w:rPr>
          <w:spacing w:val="-24"/>
        </w:rPr>
        <w:t> </w:t>
      </w:r>
      <w:r>
        <w:rPr/>
        <w:t>êxito nas</w:t>
      </w:r>
      <w:r>
        <w:rPr>
          <w:spacing w:val="-30"/>
        </w:rPr>
        <w:t> </w:t>
      </w:r>
      <w:r>
        <w:rPr/>
        <w:t>diversas</w:t>
      </w:r>
      <w:r>
        <w:rPr>
          <w:spacing w:val="-28"/>
        </w:rPr>
        <w:t> </w:t>
      </w:r>
      <w:r>
        <w:rPr/>
        <w:t>demandas</w:t>
      </w:r>
      <w:r>
        <w:rPr>
          <w:spacing w:val="-28"/>
        </w:rPr>
        <w:t> </w:t>
      </w:r>
      <w:r>
        <w:rPr/>
        <w:t>judiciais,</w:t>
      </w:r>
      <w:r>
        <w:rPr>
          <w:spacing w:val="-30"/>
        </w:rPr>
        <w:t> </w:t>
      </w:r>
      <w:r>
        <w:rPr/>
        <w:t>entende</w:t>
      </w:r>
      <w:r>
        <w:rPr>
          <w:spacing w:val="-29"/>
        </w:rPr>
        <w:t> </w:t>
      </w:r>
      <w:r>
        <w:rPr/>
        <w:t>que</w:t>
      </w:r>
      <w:r>
        <w:rPr>
          <w:spacing w:val="-30"/>
        </w:rPr>
        <w:t> </w:t>
      </w:r>
      <w:r>
        <w:rPr/>
        <w:t>as</w:t>
      </w:r>
      <w:r>
        <w:rPr>
          <w:spacing w:val="-29"/>
        </w:rPr>
        <w:t> </w:t>
      </w:r>
      <w:r>
        <w:rPr/>
        <w:t>provisões</w:t>
      </w:r>
      <w:r>
        <w:rPr>
          <w:spacing w:val="-30"/>
        </w:rPr>
        <w:t> </w:t>
      </w:r>
      <w:r>
        <w:rPr/>
        <w:t>constituídas</w:t>
      </w:r>
      <w:r>
        <w:rPr>
          <w:spacing w:val="-29"/>
        </w:rPr>
        <w:t> </w:t>
      </w:r>
      <w:r>
        <w:rPr/>
        <w:t>registradas</w:t>
      </w:r>
      <w:r>
        <w:rPr>
          <w:spacing w:val="-30"/>
        </w:rPr>
        <w:t> </w:t>
      </w:r>
      <w:r>
        <w:rPr/>
        <w:t>no</w:t>
      </w:r>
      <w:r>
        <w:rPr>
          <w:spacing w:val="-28"/>
        </w:rPr>
        <w:t> </w:t>
      </w:r>
      <w:r>
        <w:rPr/>
        <w:t>balanço</w:t>
      </w:r>
      <w:r>
        <w:rPr>
          <w:spacing w:val="-30"/>
        </w:rPr>
        <w:t> </w:t>
      </w:r>
      <w:r>
        <w:rPr/>
        <w:t>são</w:t>
      </w:r>
      <w:r>
        <w:rPr>
          <w:spacing w:val="-29"/>
        </w:rPr>
        <w:t> </w:t>
      </w:r>
      <w:r>
        <w:rPr/>
        <w:t>suficientes</w:t>
      </w:r>
      <w:r>
        <w:rPr>
          <w:spacing w:val="-29"/>
        </w:rPr>
        <w:t> </w:t>
      </w:r>
      <w:r>
        <w:rPr/>
        <w:t>para cobrir</w:t>
      </w:r>
      <w:r>
        <w:rPr>
          <w:spacing w:val="-19"/>
        </w:rPr>
        <w:t> </w:t>
      </w:r>
      <w:r>
        <w:rPr/>
        <w:t>prováveis</w:t>
      </w:r>
      <w:r>
        <w:rPr>
          <w:spacing w:val="-18"/>
        </w:rPr>
        <w:t> </w:t>
      </w:r>
      <w:r>
        <w:rPr/>
        <w:t>perdas</w:t>
      </w:r>
      <w:r>
        <w:rPr>
          <w:spacing w:val="-18"/>
        </w:rPr>
        <w:t> </w:t>
      </w:r>
      <w:r>
        <w:rPr/>
        <w:t>com</w:t>
      </w:r>
      <w:r>
        <w:rPr>
          <w:spacing w:val="-16"/>
        </w:rPr>
        <w:t> </w:t>
      </w:r>
      <w:r>
        <w:rPr/>
        <w:t>tais</w:t>
      </w:r>
      <w:r>
        <w:rPr>
          <w:spacing w:val="-18"/>
        </w:rPr>
        <w:t> </w:t>
      </w:r>
      <w:r>
        <w:rPr/>
        <w:t>causas.</w:t>
      </w:r>
    </w:p>
    <w:p>
      <w:pPr>
        <w:pStyle w:val="BodyText"/>
        <w:spacing w:before="5"/>
      </w:pPr>
    </w:p>
    <w:p>
      <w:pPr>
        <w:pStyle w:val="ListParagraph"/>
        <w:numPr>
          <w:ilvl w:val="0"/>
          <w:numId w:val="35"/>
        </w:numPr>
        <w:tabs>
          <w:tab w:pos="419" w:val="left" w:leader="none"/>
        </w:tabs>
        <w:spacing w:line="240" w:lineRule="auto" w:before="0" w:after="0"/>
        <w:ind w:left="418" w:right="0" w:hanging="247"/>
        <w:jc w:val="left"/>
        <w:rPr>
          <w:rFonts w:ascii="Caladea"/>
          <w:b/>
          <w:sz w:val="20"/>
        </w:rPr>
      </w:pPr>
      <w:r>
        <w:rPr>
          <w:rFonts w:ascii="Caladea"/>
          <w:b/>
          <w:sz w:val="20"/>
        </w:rPr>
        <w:t>Demandas</w:t>
      </w:r>
      <w:r>
        <w:rPr>
          <w:rFonts w:ascii="Caladea"/>
          <w:b/>
          <w:spacing w:val="-2"/>
          <w:sz w:val="20"/>
        </w:rPr>
        <w:t> </w:t>
      </w:r>
      <w:r>
        <w:rPr>
          <w:rFonts w:ascii="Caladea"/>
          <w:b/>
          <w:sz w:val="20"/>
        </w:rPr>
        <w:t>fiscais</w:t>
      </w:r>
    </w:p>
    <w:p>
      <w:pPr>
        <w:pStyle w:val="BodyText"/>
        <w:spacing w:before="9"/>
        <w:rPr>
          <w:rFonts w:ascii="Caladea"/>
          <w:b/>
        </w:rPr>
      </w:pPr>
    </w:p>
    <w:p>
      <w:pPr>
        <w:pStyle w:val="BodyText"/>
        <w:spacing w:line="242" w:lineRule="auto"/>
        <w:ind w:left="172" w:right="412"/>
        <w:jc w:val="both"/>
      </w:pPr>
      <w:r>
        <w:rPr/>
        <w:t>A Companhia é parte em processos administrativos e judiciais referentes às declarações de compensação não homologadas</w:t>
      </w:r>
      <w:r>
        <w:rPr>
          <w:spacing w:val="-42"/>
        </w:rPr>
        <w:t> </w:t>
      </w:r>
      <w:r>
        <w:rPr/>
        <w:t>de</w:t>
      </w:r>
      <w:r>
        <w:rPr>
          <w:spacing w:val="-42"/>
        </w:rPr>
        <w:t> </w:t>
      </w:r>
      <w:r>
        <w:rPr/>
        <w:t>tributos</w:t>
      </w:r>
      <w:r>
        <w:rPr>
          <w:spacing w:val="-42"/>
        </w:rPr>
        <w:t> </w:t>
      </w:r>
      <w:r>
        <w:rPr/>
        <w:t>(PIS,</w:t>
      </w:r>
      <w:r>
        <w:rPr>
          <w:spacing w:val="-42"/>
        </w:rPr>
        <w:t> </w:t>
      </w:r>
      <w:r>
        <w:rPr/>
        <w:t>COFINS,</w:t>
      </w:r>
      <w:r>
        <w:rPr>
          <w:spacing w:val="-42"/>
        </w:rPr>
        <w:t> </w:t>
      </w:r>
      <w:r>
        <w:rPr/>
        <w:t>IRPJ,</w:t>
      </w:r>
      <w:r>
        <w:rPr>
          <w:spacing w:val="-42"/>
        </w:rPr>
        <w:t> </w:t>
      </w:r>
      <w:r>
        <w:rPr/>
        <w:t>CSLL).</w:t>
      </w:r>
      <w:r>
        <w:rPr>
          <w:spacing w:val="-43"/>
        </w:rPr>
        <w:t> </w:t>
      </w:r>
      <w:r>
        <w:rPr/>
        <w:t>A</w:t>
      </w:r>
      <w:r>
        <w:rPr>
          <w:spacing w:val="-41"/>
        </w:rPr>
        <w:t> </w:t>
      </w:r>
      <w:r>
        <w:rPr/>
        <w:t>Companhia</w:t>
      </w:r>
      <w:r>
        <w:rPr>
          <w:spacing w:val="-42"/>
        </w:rPr>
        <w:t> </w:t>
      </w:r>
      <w:r>
        <w:rPr/>
        <w:t>busca</w:t>
      </w:r>
      <w:r>
        <w:rPr>
          <w:spacing w:val="-42"/>
        </w:rPr>
        <w:t> </w:t>
      </w:r>
      <w:r>
        <w:rPr/>
        <w:t>o</w:t>
      </w:r>
      <w:r>
        <w:rPr>
          <w:spacing w:val="-41"/>
        </w:rPr>
        <w:t> </w:t>
      </w:r>
      <w:r>
        <w:rPr/>
        <w:t>reconhecimento</w:t>
      </w:r>
      <w:r>
        <w:rPr>
          <w:spacing w:val="-42"/>
        </w:rPr>
        <w:t> </w:t>
      </w:r>
      <w:r>
        <w:rPr/>
        <w:t>do</w:t>
      </w:r>
      <w:r>
        <w:rPr>
          <w:spacing w:val="-42"/>
        </w:rPr>
        <w:t> </w:t>
      </w:r>
      <w:r>
        <w:rPr/>
        <w:t>direito</w:t>
      </w:r>
      <w:r>
        <w:rPr>
          <w:spacing w:val="-42"/>
        </w:rPr>
        <w:t> </w:t>
      </w:r>
      <w:r>
        <w:rPr/>
        <w:t>de</w:t>
      </w:r>
      <w:r>
        <w:rPr>
          <w:spacing w:val="-43"/>
        </w:rPr>
        <w:t> </w:t>
      </w:r>
      <w:r>
        <w:rPr/>
        <w:t>compensação nas</w:t>
      </w:r>
      <w:r>
        <w:rPr>
          <w:spacing w:val="-19"/>
        </w:rPr>
        <w:t> </w:t>
      </w:r>
      <w:r>
        <w:rPr/>
        <w:t>esferas</w:t>
      </w:r>
      <w:r>
        <w:rPr>
          <w:spacing w:val="-18"/>
        </w:rPr>
        <w:t> </w:t>
      </w:r>
      <w:r>
        <w:rPr/>
        <w:t>administrativa</w:t>
      </w:r>
      <w:r>
        <w:rPr>
          <w:spacing w:val="-18"/>
        </w:rPr>
        <w:t> </w:t>
      </w:r>
      <w:r>
        <w:rPr/>
        <w:t>e</w:t>
      </w:r>
      <w:r>
        <w:rPr>
          <w:spacing w:val="-15"/>
        </w:rPr>
        <w:t> </w:t>
      </w:r>
      <w:r>
        <w:rPr/>
        <w:t>judicial.</w:t>
      </w:r>
    </w:p>
    <w:p>
      <w:pPr>
        <w:pStyle w:val="BodyText"/>
        <w:spacing w:before="6"/>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w w:val="105"/>
          <w:sz w:val="22"/>
        </w:rPr>
        <w:t>P</w:t>
      </w:r>
      <w:r>
        <w:rPr>
          <w:rFonts w:ascii="Caladea" w:hAnsi="Caladea"/>
          <w:b/>
          <w:w w:val="105"/>
          <w:sz w:val="18"/>
        </w:rPr>
        <w:t>ASSIVO </w:t>
      </w:r>
      <w:r>
        <w:rPr>
          <w:rFonts w:ascii="Caladea" w:hAnsi="Caladea"/>
          <w:b/>
          <w:w w:val="105"/>
          <w:sz w:val="22"/>
        </w:rPr>
        <w:t>C</w:t>
      </w:r>
      <w:r>
        <w:rPr>
          <w:rFonts w:ascii="Caladea" w:hAnsi="Caladea"/>
          <w:b/>
          <w:w w:val="105"/>
          <w:sz w:val="18"/>
        </w:rPr>
        <w:t>ONTINGENTE </w:t>
      </w:r>
      <w:r>
        <w:rPr>
          <w:b/>
          <w:w w:val="105"/>
          <w:sz w:val="22"/>
        </w:rPr>
        <w:t>–</w:t>
      </w:r>
      <w:r>
        <w:rPr>
          <w:b/>
          <w:spacing w:val="-39"/>
          <w:w w:val="105"/>
          <w:sz w:val="22"/>
        </w:rPr>
        <w:t> </w:t>
      </w:r>
      <w:r>
        <w:rPr>
          <w:rFonts w:ascii="Caladea" w:hAnsi="Caladea"/>
          <w:b/>
          <w:w w:val="105"/>
          <w:sz w:val="22"/>
        </w:rPr>
        <w:t>R</w:t>
      </w:r>
      <w:r>
        <w:rPr>
          <w:rFonts w:ascii="Caladea" w:hAnsi="Caladea"/>
          <w:b/>
          <w:w w:val="105"/>
          <w:sz w:val="18"/>
        </w:rPr>
        <w:t>ISCO </w:t>
      </w:r>
      <w:r>
        <w:rPr>
          <w:rFonts w:ascii="Caladea" w:hAnsi="Caladea"/>
          <w:b/>
          <w:w w:val="105"/>
          <w:sz w:val="22"/>
        </w:rPr>
        <w:t>P</w:t>
      </w:r>
      <w:r>
        <w:rPr>
          <w:rFonts w:ascii="Caladea" w:hAnsi="Caladea"/>
          <w:b/>
          <w:w w:val="105"/>
          <w:sz w:val="18"/>
        </w:rPr>
        <w:t>OSSÍVEL</w:t>
      </w:r>
    </w:p>
    <w:p>
      <w:pPr>
        <w:pStyle w:val="BodyText"/>
        <w:spacing w:before="9"/>
        <w:rPr>
          <w:rFonts w:ascii="Caladea"/>
          <w:b/>
          <w:sz w:val="23"/>
        </w:rPr>
      </w:pPr>
    </w:p>
    <w:p>
      <w:pPr>
        <w:pStyle w:val="BodyText"/>
        <w:spacing w:line="242" w:lineRule="auto" w:before="1"/>
        <w:ind w:left="172" w:right="409"/>
        <w:jc w:val="both"/>
      </w:pPr>
      <w:r>
        <w:rPr/>
        <w:t>A</w:t>
      </w:r>
      <w:r>
        <w:rPr>
          <w:spacing w:val="-22"/>
        </w:rPr>
        <w:t> </w:t>
      </w:r>
      <w:r>
        <w:rPr/>
        <w:t>Companhia</w:t>
      </w:r>
      <w:r>
        <w:rPr>
          <w:spacing w:val="-19"/>
        </w:rPr>
        <w:t> </w:t>
      </w:r>
      <w:r>
        <w:rPr/>
        <w:t>e</w:t>
      </w:r>
      <w:r>
        <w:rPr>
          <w:spacing w:val="-21"/>
        </w:rPr>
        <w:t> </w:t>
      </w:r>
      <w:r>
        <w:rPr/>
        <w:t>suas</w:t>
      </w:r>
      <w:r>
        <w:rPr>
          <w:spacing w:val="-22"/>
        </w:rPr>
        <w:t> </w:t>
      </w:r>
      <w:r>
        <w:rPr/>
        <w:t>controladas</w:t>
      </w:r>
      <w:r>
        <w:rPr>
          <w:spacing w:val="-21"/>
        </w:rPr>
        <w:t> </w:t>
      </w:r>
      <w:r>
        <w:rPr/>
        <w:t>possuem</w:t>
      </w:r>
      <w:r>
        <w:rPr>
          <w:spacing w:val="-20"/>
        </w:rPr>
        <w:t> </w:t>
      </w:r>
      <w:r>
        <w:rPr/>
        <w:t>processos</w:t>
      </w:r>
      <w:r>
        <w:rPr>
          <w:spacing w:val="-22"/>
        </w:rPr>
        <w:t> </w:t>
      </w:r>
      <w:r>
        <w:rPr/>
        <w:t>de</w:t>
      </w:r>
      <w:r>
        <w:rPr>
          <w:spacing w:val="-19"/>
        </w:rPr>
        <w:t> </w:t>
      </w:r>
      <w:r>
        <w:rPr/>
        <w:t>natureza</w:t>
      </w:r>
      <w:r>
        <w:rPr>
          <w:spacing w:val="-21"/>
        </w:rPr>
        <w:t> </w:t>
      </w:r>
      <w:r>
        <w:rPr/>
        <w:t>trabalhistas,</w:t>
      </w:r>
      <w:r>
        <w:rPr>
          <w:spacing w:val="-21"/>
        </w:rPr>
        <w:t> </w:t>
      </w:r>
      <w:r>
        <w:rPr/>
        <w:t>cíveis</w:t>
      </w:r>
      <w:r>
        <w:rPr>
          <w:spacing w:val="-20"/>
        </w:rPr>
        <w:t> </w:t>
      </w:r>
      <w:r>
        <w:rPr/>
        <w:t>e</w:t>
      </w:r>
      <w:r>
        <w:rPr>
          <w:spacing w:val="-21"/>
        </w:rPr>
        <w:t> </w:t>
      </w:r>
      <w:r>
        <w:rPr/>
        <w:t>fiscais</w:t>
      </w:r>
      <w:r>
        <w:rPr>
          <w:spacing w:val="-20"/>
        </w:rPr>
        <w:t> </w:t>
      </w:r>
      <w:r>
        <w:rPr/>
        <w:t>envolvendo</w:t>
      </w:r>
      <w:r>
        <w:rPr>
          <w:spacing w:val="-20"/>
        </w:rPr>
        <w:t> </w:t>
      </w:r>
      <w:r>
        <w:rPr/>
        <w:t>riscos</w:t>
      </w:r>
      <w:r>
        <w:rPr>
          <w:spacing w:val="-18"/>
        </w:rPr>
        <w:t> </w:t>
      </w:r>
      <w:r>
        <w:rPr/>
        <w:t>de perda</w:t>
      </w:r>
      <w:r>
        <w:rPr>
          <w:spacing w:val="-42"/>
        </w:rPr>
        <w:t> </w:t>
      </w:r>
      <w:r>
        <w:rPr/>
        <w:t>classificados</w:t>
      </w:r>
      <w:r>
        <w:rPr>
          <w:spacing w:val="-42"/>
        </w:rPr>
        <w:t> </w:t>
      </w:r>
      <w:r>
        <w:rPr/>
        <w:t>pela</w:t>
      </w:r>
      <w:r>
        <w:rPr>
          <w:spacing w:val="-42"/>
        </w:rPr>
        <w:t> </w:t>
      </w:r>
      <w:r>
        <w:rPr/>
        <w:t>Administração</w:t>
      </w:r>
      <w:r>
        <w:rPr>
          <w:spacing w:val="-42"/>
        </w:rPr>
        <w:t> </w:t>
      </w:r>
      <w:r>
        <w:rPr/>
        <w:t>como</w:t>
      </w:r>
      <w:r>
        <w:rPr>
          <w:spacing w:val="-42"/>
        </w:rPr>
        <w:t> </w:t>
      </w:r>
      <w:r>
        <w:rPr/>
        <w:t>possíveis,</w:t>
      </w:r>
      <w:r>
        <w:rPr>
          <w:spacing w:val="-42"/>
        </w:rPr>
        <w:t> </w:t>
      </w:r>
      <w:r>
        <w:rPr/>
        <w:t>com</w:t>
      </w:r>
      <w:r>
        <w:rPr>
          <w:spacing w:val="-42"/>
        </w:rPr>
        <w:t> </w:t>
      </w:r>
      <w:r>
        <w:rPr/>
        <w:t>base</w:t>
      </w:r>
      <w:r>
        <w:rPr>
          <w:spacing w:val="-42"/>
        </w:rPr>
        <w:t> </w:t>
      </w:r>
      <w:r>
        <w:rPr/>
        <w:t>na</w:t>
      </w:r>
      <w:r>
        <w:rPr>
          <w:spacing w:val="-42"/>
        </w:rPr>
        <w:t> </w:t>
      </w:r>
      <w:r>
        <w:rPr/>
        <w:t>avaliação</w:t>
      </w:r>
      <w:r>
        <w:rPr>
          <w:spacing w:val="-42"/>
        </w:rPr>
        <w:t> </w:t>
      </w:r>
      <w:r>
        <w:rPr/>
        <w:t>de</w:t>
      </w:r>
      <w:r>
        <w:rPr>
          <w:spacing w:val="-43"/>
        </w:rPr>
        <w:t> </w:t>
      </w:r>
      <w:r>
        <w:rPr/>
        <w:t>seus</w:t>
      </w:r>
      <w:r>
        <w:rPr>
          <w:spacing w:val="-40"/>
        </w:rPr>
        <w:t> </w:t>
      </w:r>
      <w:r>
        <w:rPr/>
        <w:t>assessores</w:t>
      </w:r>
      <w:r>
        <w:rPr>
          <w:spacing w:val="-42"/>
        </w:rPr>
        <w:t> </w:t>
      </w:r>
      <w:r>
        <w:rPr/>
        <w:t>legais,</w:t>
      </w:r>
      <w:r>
        <w:rPr>
          <w:spacing w:val="-42"/>
        </w:rPr>
        <w:t> </w:t>
      </w:r>
      <w:r>
        <w:rPr/>
        <w:t>para</w:t>
      </w:r>
      <w:r>
        <w:rPr>
          <w:spacing w:val="-42"/>
        </w:rPr>
        <w:t> </w:t>
      </w:r>
      <w:r>
        <w:rPr/>
        <w:t>as</w:t>
      </w:r>
      <w:r>
        <w:rPr>
          <w:spacing w:val="-41"/>
        </w:rPr>
        <w:t> </w:t>
      </w:r>
      <w:r>
        <w:rPr/>
        <w:t>quais não</w:t>
      </w:r>
      <w:r>
        <w:rPr>
          <w:spacing w:val="-24"/>
        </w:rPr>
        <w:t> </w:t>
      </w:r>
      <w:r>
        <w:rPr/>
        <w:t>há</w:t>
      </w:r>
      <w:r>
        <w:rPr>
          <w:spacing w:val="-22"/>
        </w:rPr>
        <w:t> </w:t>
      </w:r>
      <w:r>
        <w:rPr/>
        <w:t>provisão</w:t>
      </w:r>
      <w:r>
        <w:rPr>
          <w:spacing w:val="-24"/>
        </w:rPr>
        <w:t> </w:t>
      </w:r>
      <w:r>
        <w:rPr/>
        <w:t>constituída.</w:t>
      </w:r>
      <w:r>
        <w:rPr>
          <w:spacing w:val="-19"/>
        </w:rPr>
        <w:t> </w:t>
      </w:r>
      <w:r>
        <w:rPr/>
        <w:t>Os</w:t>
      </w:r>
      <w:r>
        <w:rPr>
          <w:spacing w:val="-23"/>
        </w:rPr>
        <w:t> </w:t>
      </w:r>
      <w:r>
        <w:rPr/>
        <w:t>montantes</w:t>
      </w:r>
      <w:r>
        <w:rPr>
          <w:spacing w:val="-23"/>
        </w:rPr>
        <w:t> </w:t>
      </w:r>
      <w:r>
        <w:rPr/>
        <w:t>desses</w:t>
      </w:r>
      <w:r>
        <w:rPr>
          <w:spacing w:val="-21"/>
        </w:rPr>
        <w:t> </w:t>
      </w:r>
      <w:r>
        <w:rPr/>
        <w:t>processos</w:t>
      </w:r>
      <w:r>
        <w:rPr>
          <w:spacing w:val="-23"/>
        </w:rPr>
        <w:t> </w:t>
      </w:r>
      <w:r>
        <w:rPr/>
        <w:t>estão</w:t>
      </w:r>
      <w:r>
        <w:rPr>
          <w:spacing w:val="-21"/>
        </w:rPr>
        <w:t> </w:t>
      </w:r>
      <w:r>
        <w:rPr/>
        <w:t>reproduzidos</w:t>
      </w:r>
      <w:r>
        <w:rPr>
          <w:spacing w:val="-21"/>
        </w:rPr>
        <w:t> </w:t>
      </w:r>
      <w:r>
        <w:rPr/>
        <w:t>no</w:t>
      </w:r>
      <w:r>
        <w:rPr>
          <w:spacing w:val="-21"/>
        </w:rPr>
        <w:t> </w:t>
      </w:r>
      <w:r>
        <w:rPr/>
        <w:t>quadro</w:t>
      </w:r>
      <w:r>
        <w:rPr>
          <w:spacing w:val="-24"/>
        </w:rPr>
        <w:t> </w:t>
      </w:r>
      <w:r>
        <w:rPr/>
        <w:t>seguinte:</w:t>
      </w:r>
    </w:p>
    <w:p>
      <w:pPr>
        <w:pStyle w:val="BodyText"/>
        <w:spacing w:before="5"/>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884"/>
        <w:gridCol w:w="2011"/>
        <w:gridCol w:w="2011"/>
        <w:gridCol w:w="2014"/>
        <w:gridCol w:w="2011"/>
      </w:tblGrid>
      <w:tr>
        <w:trPr>
          <w:trHeight w:val="217" w:hRule="atLeast"/>
        </w:trPr>
        <w:tc>
          <w:tcPr>
            <w:tcW w:w="1884" w:type="dxa"/>
            <w:vMerge w:val="restart"/>
            <w:shd w:val="clear" w:color="auto" w:fill="D9D9D9"/>
          </w:tcPr>
          <w:p>
            <w:pPr>
              <w:pStyle w:val="TableParagraph"/>
              <w:rPr>
                <w:rFonts w:ascii="Times New Roman"/>
                <w:sz w:val="18"/>
              </w:rPr>
            </w:pPr>
          </w:p>
        </w:tc>
        <w:tc>
          <w:tcPr>
            <w:tcW w:w="4022" w:type="dxa"/>
            <w:gridSpan w:val="2"/>
          </w:tcPr>
          <w:p>
            <w:pPr>
              <w:pStyle w:val="TableParagraph"/>
              <w:spacing w:before="25"/>
              <w:ind w:left="1558" w:right="1552"/>
              <w:jc w:val="center"/>
              <w:rPr>
                <w:rFonts w:ascii="Caladea"/>
                <w:b/>
                <w:sz w:val="14"/>
              </w:rPr>
            </w:pPr>
            <w:r>
              <w:rPr>
                <w:rFonts w:ascii="Caladea"/>
                <w:b/>
                <w:sz w:val="14"/>
              </w:rPr>
              <w:t>Controladora</w:t>
            </w:r>
          </w:p>
        </w:tc>
        <w:tc>
          <w:tcPr>
            <w:tcW w:w="4025" w:type="dxa"/>
            <w:gridSpan w:val="2"/>
          </w:tcPr>
          <w:p>
            <w:pPr>
              <w:pStyle w:val="TableParagraph"/>
              <w:spacing w:before="25"/>
              <w:ind w:left="1594" w:right="1582"/>
              <w:jc w:val="center"/>
              <w:rPr>
                <w:rFonts w:ascii="Caladea"/>
                <w:b/>
                <w:sz w:val="14"/>
              </w:rPr>
            </w:pPr>
            <w:r>
              <w:rPr>
                <w:rFonts w:ascii="Caladea"/>
                <w:b/>
                <w:sz w:val="14"/>
              </w:rPr>
              <w:t>Consolidado</w:t>
            </w:r>
          </w:p>
        </w:tc>
      </w:tr>
      <w:tr>
        <w:trPr>
          <w:trHeight w:val="414" w:hRule="atLeast"/>
        </w:trPr>
        <w:tc>
          <w:tcPr>
            <w:tcW w:w="1884" w:type="dxa"/>
            <w:vMerge/>
            <w:tcBorders>
              <w:top w:val="nil"/>
            </w:tcBorders>
            <w:shd w:val="clear" w:color="auto" w:fill="D9D9D9"/>
          </w:tcPr>
          <w:p>
            <w:pPr>
              <w:rPr>
                <w:sz w:val="2"/>
                <w:szCs w:val="2"/>
              </w:rPr>
            </w:pPr>
          </w:p>
        </w:tc>
        <w:tc>
          <w:tcPr>
            <w:tcW w:w="2011" w:type="dxa"/>
          </w:tcPr>
          <w:p>
            <w:pPr>
              <w:pStyle w:val="TableParagraph"/>
              <w:spacing w:before="123"/>
              <w:ind w:left="602"/>
              <w:rPr>
                <w:rFonts w:ascii="Caladea"/>
                <w:b/>
                <w:sz w:val="14"/>
              </w:rPr>
            </w:pPr>
            <w:r>
              <w:rPr>
                <w:rFonts w:ascii="Caladea"/>
                <w:b/>
                <w:sz w:val="14"/>
              </w:rPr>
              <w:t>31/12/2019</w:t>
            </w:r>
          </w:p>
        </w:tc>
        <w:tc>
          <w:tcPr>
            <w:tcW w:w="2011" w:type="dxa"/>
          </w:tcPr>
          <w:p>
            <w:pPr>
              <w:pStyle w:val="TableParagraph"/>
              <w:spacing w:before="123"/>
              <w:ind w:left="605"/>
              <w:rPr>
                <w:rFonts w:ascii="Caladea"/>
                <w:b/>
                <w:sz w:val="14"/>
              </w:rPr>
            </w:pPr>
            <w:r>
              <w:rPr>
                <w:rFonts w:ascii="Caladea"/>
                <w:b/>
                <w:sz w:val="14"/>
              </w:rPr>
              <w:t>31/12/2018</w:t>
            </w:r>
          </w:p>
        </w:tc>
        <w:tc>
          <w:tcPr>
            <w:tcW w:w="2014" w:type="dxa"/>
          </w:tcPr>
          <w:p>
            <w:pPr>
              <w:pStyle w:val="TableParagraph"/>
              <w:spacing w:before="123"/>
              <w:ind w:left="606"/>
              <w:rPr>
                <w:rFonts w:ascii="Caladea"/>
                <w:b/>
                <w:sz w:val="14"/>
              </w:rPr>
            </w:pPr>
            <w:r>
              <w:rPr>
                <w:rFonts w:ascii="Caladea"/>
                <w:b/>
                <w:sz w:val="14"/>
              </w:rPr>
              <w:t>31/12/2019</w:t>
            </w:r>
          </w:p>
        </w:tc>
        <w:tc>
          <w:tcPr>
            <w:tcW w:w="2011" w:type="dxa"/>
          </w:tcPr>
          <w:p>
            <w:pPr>
              <w:pStyle w:val="TableParagraph"/>
              <w:spacing w:before="123"/>
              <w:ind w:left="604"/>
              <w:rPr>
                <w:rFonts w:ascii="Caladea"/>
                <w:b/>
                <w:sz w:val="14"/>
              </w:rPr>
            </w:pPr>
            <w:r>
              <w:rPr>
                <w:rFonts w:ascii="Caladea"/>
                <w:b/>
                <w:sz w:val="14"/>
              </w:rPr>
              <w:t>31/12/2018</w:t>
            </w:r>
          </w:p>
        </w:tc>
      </w:tr>
      <w:tr>
        <w:trPr>
          <w:trHeight w:val="217" w:hRule="atLeast"/>
        </w:trPr>
        <w:tc>
          <w:tcPr>
            <w:tcW w:w="1884" w:type="dxa"/>
          </w:tcPr>
          <w:p>
            <w:pPr>
              <w:pStyle w:val="TableParagraph"/>
              <w:spacing w:before="29"/>
              <w:ind w:left="72"/>
              <w:rPr>
                <w:sz w:val="14"/>
              </w:rPr>
            </w:pPr>
            <w:r>
              <w:rPr>
                <w:sz w:val="14"/>
              </w:rPr>
              <w:t>Fiscais</w:t>
            </w:r>
          </w:p>
        </w:tc>
        <w:tc>
          <w:tcPr>
            <w:tcW w:w="2011" w:type="dxa"/>
          </w:tcPr>
          <w:p>
            <w:pPr>
              <w:pStyle w:val="TableParagraph"/>
              <w:spacing w:before="29"/>
              <w:ind w:right="58"/>
              <w:jc w:val="right"/>
              <w:rPr>
                <w:sz w:val="14"/>
              </w:rPr>
            </w:pPr>
            <w:r>
              <w:rPr>
                <w:w w:val="95"/>
                <w:sz w:val="14"/>
              </w:rPr>
              <w:t>126.749</w:t>
            </w:r>
          </w:p>
        </w:tc>
        <w:tc>
          <w:tcPr>
            <w:tcW w:w="2011" w:type="dxa"/>
          </w:tcPr>
          <w:p>
            <w:pPr>
              <w:pStyle w:val="TableParagraph"/>
              <w:spacing w:before="29"/>
              <w:ind w:right="55"/>
              <w:jc w:val="right"/>
              <w:rPr>
                <w:sz w:val="14"/>
              </w:rPr>
            </w:pPr>
            <w:r>
              <w:rPr>
                <w:w w:val="95"/>
                <w:sz w:val="14"/>
              </w:rPr>
              <w:t>124.593</w:t>
            </w:r>
          </w:p>
        </w:tc>
        <w:tc>
          <w:tcPr>
            <w:tcW w:w="2014" w:type="dxa"/>
          </w:tcPr>
          <w:p>
            <w:pPr>
              <w:pStyle w:val="TableParagraph"/>
              <w:spacing w:before="29"/>
              <w:ind w:right="58"/>
              <w:jc w:val="right"/>
              <w:rPr>
                <w:sz w:val="14"/>
              </w:rPr>
            </w:pPr>
            <w:r>
              <w:rPr>
                <w:w w:val="95"/>
                <w:sz w:val="14"/>
              </w:rPr>
              <w:t>140.244</w:t>
            </w:r>
          </w:p>
        </w:tc>
        <w:tc>
          <w:tcPr>
            <w:tcW w:w="2011" w:type="dxa"/>
          </w:tcPr>
          <w:p>
            <w:pPr>
              <w:pStyle w:val="TableParagraph"/>
              <w:spacing w:before="29"/>
              <w:ind w:right="57"/>
              <w:jc w:val="right"/>
              <w:rPr>
                <w:sz w:val="14"/>
              </w:rPr>
            </w:pPr>
            <w:r>
              <w:rPr>
                <w:w w:val="95"/>
                <w:sz w:val="14"/>
              </w:rPr>
              <w:t>124.593</w:t>
            </w:r>
          </w:p>
        </w:tc>
      </w:tr>
      <w:tr>
        <w:trPr>
          <w:trHeight w:val="218" w:hRule="atLeast"/>
        </w:trPr>
        <w:tc>
          <w:tcPr>
            <w:tcW w:w="1884" w:type="dxa"/>
          </w:tcPr>
          <w:p>
            <w:pPr>
              <w:pStyle w:val="TableParagraph"/>
              <w:spacing w:before="29"/>
              <w:ind w:left="72"/>
              <w:rPr>
                <w:sz w:val="14"/>
              </w:rPr>
            </w:pPr>
            <w:r>
              <w:rPr>
                <w:sz w:val="14"/>
              </w:rPr>
              <w:t>Cíveis</w:t>
            </w:r>
          </w:p>
        </w:tc>
        <w:tc>
          <w:tcPr>
            <w:tcW w:w="2011" w:type="dxa"/>
          </w:tcPr>
          <w:p>
            <w:pPr>
              <w:pStyle w:val="TableParagraph"/>
              <w:rPr>
                <w:rFonts w:ascii="Times New Roman"/>
                <w:sz w:val="14"/>
              </w:rPr>
            </w:pPr>
          </w:p>
        </w:tc>
        <w:tc>
          <w:tcPr>
            <w:tcW w:w="2011" w:type="dxa"/>
          </w:tcPr>
          <w:p>
            <w:pPr>
              <w:pStyle w:val="TableParagraph"/>
              <w:rPr>
                <w:rFonts w:ascii="Times New Roman"/>
                <w:sz w:val="14"/>
              </w:rPr>
            </w:pPr>
          </w:p>
        </w:tc>
        <w:tc>
          <w:tcPr>
            <w:tcW w:w="2014" w:type="dxa"/>
          </w:tcPr>
          <w:p>
            <w:pPr>
              <w:pStyle w:val="TableParagraph"/>
              <w:spacing w:before="29"/>
              <w:ind w:right="58"/>
              <w:jc w:val="right"/>
              <w:rPr>
                <w:sz w:val="14"/>
              </w:rPr>
            </w:pPr>
            <w:r>
              <w:rPr>
                <w:w w:val="95"/>
                <w:sz w:val="14"/>
              </w:rPr>
              <w:t>2.601</w:t>
            </w:r>
          </w:p>
        </w:tc>
        <w:tc>
          <w:tcPr>
            <w:tcW w:w="2011" w:type="dxa"/>
          </w:tcPr>
          <w:p>
            <w:pPr>
              <w:pStyle w:val="TableParagraph"/>
              <w:spacing w:before="29"/>
              <w:ind w:right="57"/>
              <w:jc w:val="right"/>
              <w:rPr>
                <w:sz w:val="14"/>
              </w:rPr>
            </w:pPr>
            <w:r>
              <w:rPr>
                <w:w w:val="95"/>
                <w:sz w:val="14"/>
              </w:rPr>
              <w:t>2.373</w:t>
            </w:r>
          </w:p>
        </w:tc>
      </w:tr>
      <w:tr>
        <w:trPr>
          <w:trHeight w:val="218" w:hRule="atLeast"/>
        </w:trPr>
        <w:tc>
          <w:tcPr>
            <w:tcW w:w="1884" w:type="dxa"/>
          </w:tcPr>
          <w:p>
            <w:pPr>
              <w:pStyle w:val="TableParagraph"/>
              <w:spacing w:before="29"/>
              <w:ind w:left="72"/>
              <w:rPr>
                <w:sz w:val="14"/>
              </w:rPr>
            </w:pPr>
            <w:r>
              <w:rPr>
                <w:sz w:val="14"/>
              </w:rPr>
              <w:t>Trabalhistas</w:t>
            </w:r>
          </w:p>
        </w:tc>
        <w:tc>
          <w:tcPr>
            <w:tcW w:w="2011" w:type="dxa"/>
          </w:tcPr>
          <w:p>
            <w:pPr>
              <w:pStyle w:val="TableParagraph"/>
              <w:rPr>
                <w:rFonts w:ascii="Times New Roman"/>
                <w:sz w:val="14"/>
              </w:rPr>
            </w:pPr>
          </w:p>
        </w:tc>
        <w:tc>
          <w:tcPr>
            <w:tcW w:w="2011" w:type="dxa"/>
          </w:tcPr>
          <w:p>
            <w:pPr>
              <w:pStyle w:val="TableParagraph"/>
              <w:rPr>
                <w:rFonts w:ascii="Times New Roman"/>
                <w:sz w:val="14"/>
              </w:rPr>
            </w:pPr>
          </w:p>
        </w:tc>
        <w:tc>
          <w:tcPr>
            <w:tcW w:w="2014" w:type="dxa"/>
          </w:tcPr>
          <w:p>
            <w:pPr>
              <w:pStyle w:val="TableParagraph"/>
              <w:spacing w:before="29"/>
              <w:ind w:right="58"/>
              <w:jc w:val="right"/>
              <w:rPr>
                <w:sz w:val="14"/>
              </w:rPr>
            </w:pPr>
            <w:r>
              <w:rPr>
                <w:w w:val="95"/>
                <w:sz w:val="14"/>
              </w:rPr>
              <w:t>1.126</w:t>
            </w:r>
          </w:p>
        </w:tc>
        <w:tc>
          <w:tcPr>
            <w:tcW w:w="2011" w:type="dxa"/>
          </w:tcPr>
          <w:p>
            <w:pPr>
              <w:pStyle w:val="TableParagraph"/>
              <w:spacing w:before="29"/>
              <w:ind w:right="57"/>
              <w:jc w:val="right"/>
              <w:rPr>
                <w:sz w:val="14"/>
              </w:rPr>
            </w:pPr>
            <w:r>
              <w:rPr>
                <w:w w:val="95"/>
                <w:sz w:val="14"/>
              </w:rPr>
              <w:t>1.227</w:t>
            </w:r>
          </w:p>
        </w:tc>
      </w:tr>
      <w:tr>
        <w:trPr>
          <w:trHeight w:val="220" w:hRule="atLeast"/>
        </w:trPr>
        <w:tc>
          <w:tcPr>
            <w:tcW w:w="1884" w:type="dxa"/>
          </w:tcPr>
          <w:p>
            <w:pPr>
              <w:pStyle w:val="TableParagraph"/>
              <w:spacing w:before="27"/>
              <w:ind w:left="72"/>
              <w:rPr>
                <w:rFonts w:ascii="Caladea"/>
                <w:b/>
                <w:sz w:val="14"/>
              </w:rPr>
            </w:pPr>
            <w:r>
              <w:rPr>
                <w:rFonts w:ascii="Caladea"/>
                <w:b/>
                <w:sz w:val="14"/>
              </w:rPr>
              <w:t>Total</w:t>
            </w:r>
          </w:p>
        </w:tc>
        <w:tc>
          <w:tcPr>
            <w:tcW w:w="2011" w:type="dxa"/>
          </w:tcPr>
          <w:p>
            <w:pPr>
              <w:pStyle w:val="TableParagraph"/>
              <w:spacing w:before="27"/>
              <w:ind w:right="58"/>
              <w:jc w:val="right"/>
              <w:rPr>
                <w:rFonts w:ascii="Caladea"/>
                <w:b/>
                <w:sz w:val="14"/>
              </w:rPr>
            </w:pPr>
            <w:r>
              <w:rPr>
                <w:rFonts w:ascii="Caladea"/>
                <w:b/>
                <w:w w:val="95"/>
                <w:sz w:val="14"/>
              </w:rPr>
              <w:t>126.749</w:t>
            </w:r>
          </w:p>
        </w:tc>
        <w:tc>
          <w:tcPr>
            <w:tcW w:w="2011" w:type="dxa"/>
          </w:tcPr>
          <w:p>
            <w:pPr>
              <w:pStyle w:val="TableParagraph"/>
              <w:spacing w:before="27"/>
              <w:ind w:right="55"/>
              <w:jc w:val="right"/>
              <w:rPr>
                <w:rFonts w:ascii="Caladea"/>
                <w:b/>
                <w:sz w:val="14"/>
              </w:rPr>
            </w:pPr>
            <w:r>
              <w:rPr>
                <w:rFonts w:ascii="Caladea"/>
                <w:b/>
                <w:w w:val="95"/>
                <w:sz w:val="14"/>
              </w:rPr>
              <w:t>124.593</w:t>
            </w:r>
          </w:p>
        </w:tc>
        <w:tc>
          <w:tcPr>
            <w:tcW w:w="2014" w:type="dxa"/>
          </w:tcPr>
          <w:p>
            <w:pPr>
              <w:pStyle w:val="TableParagraph"/>
              <w:spacing w:before="27"/>
              <w:ind w:right="58"/>
              <w:jc w:val="right"/>
              <w:rPr>
                <w:rFonts w:ascii="Caladea"/>
                <w:b/>
                <w:sz w:val="14"/>
              </w:rPr>
            </w:pPr>
            <w:r>
              <w:rPr>
                <w:rFonts w:ascii="Caladea"/>
                <w:b/>
                <w:w w:val="95"/>
                <w:sz w:val="14"/>
              </w:rPr>
              <w:t>143.971</w:t>
            </w:r>
          </w:p>
        </w:tc>
        <w:tc>
          <w:tcPr>
            <w:tcW w:w="2011" w:type="dxa"/>
          </w:tcPr>
          <w:p>
            <w:pPr>
              <w:pStyle w:val="TableParagraph"/>
              <w:spacing w:before="27"/>
              <w:ind w:right="57"/>
              <w:jc w:val="right"/>
              <w:rPr>
                <w:rFonts w:ascii="Caladea"/>
                <w:b/>
                <w:sz w:val="14"/>
              </w:rPr>
            </w:pPr>
            <w:r>
              <w:rPr>
                <w:rFonts w:ascii="Caladea"/>
                <w:b/>
                <w:w w:val="95"/>
                <w:sz w:val="14"/>
              </w:rPr>
              <w:t>128.193</w:t>
            </w:r>
          </w:p>
        </w:tc>
      </w:tr>
    </w:tbl>
    <w:p>
      <w:pPr>
        <w:pStyle w:val="BodyText"/>
        <w:spacing w:before="10"/>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w w:val="105"/>
          <w:sz w:val="22"/>
        </w:rPr>
        <w:t>A</w:t>
      </w:r>
      <w:r>
        <w:rPr>
          <w:rFonts w:ascii="Caladea" w:hAnsi="Caladea"/>
          <w:b/>
          <w:w w:val="105"/>
          <w:sz w:val="18"/>
        </w:rPr>
        <w:t>TIVO </w:t>
      </w:r>
      <w:r>
        <w:rPr>
          <w:rFonts w:ascii="Caladea" w:hAnsi="Caladea"/>
          <w:b/>
          <w:w w:val="105"/>
          <w:sz w:val="22"/>
        </w:rPr>
        <w:t>C</w:t>
      </w:r>
      <w:r>
        <w:rPr>
          <w:rFonts w:ascii="Caladea" w:hAnsi="Caladea"/>
          <w:b/>
          <w:w w:val="105"/>
          <w:sz w:val="18"/>
        </w:rPr>
        <w:t>ONTINGENTE </w:t>
      </w:r>
      <w:r>
        <w:rPr>
          <w:b/>
          <w:w w:val="105"/>
          <w:sz w:val="22"/>
        </w:rPr>
        <w:t>–</w:t>
      </w:r>
      <w:r>
        <w:rPr>
          <w:b/>
          <w:spacing w:val="-40"/>
          <w:w w:val="105"/>
          <w:sz w:val="22"/>
        </w:rPr>
        <w:t> </w:t>
      </w:r>
      <w:r>
        <w:rPr>
          <w:rFonts w:ascii="Caladea" w:hAnsi="Caladea"/>
          <w:b/>
          <w:w w:val="105"/>
          <w:sz w:val="22"/>
        </w:rPr>
        <w:t>R</w:t>
      </w:r>
      <w:r>
        <w:rPr>
          <w:rFonts w:ascii="Caladea" w:hAnsi="Caladea"/>
          <w:b/>
          <w:w w:val="105"/>
          <w:sz w:val="18"/>
        </w:rPr>
        <w:t>ISCO </w:t>
      </w:r>
      <w:r>
        <w:rPr>
          <w:rFonts w:ascii="Caladea" w:hAnsi="Caladea"/>
          <w:b/>
          <w:w w:val="105"/>
          <w:sz w:val="22"/>
        </w:rPr>
        <w:t>P</w:t>
      </w:r>
      <w:r>
        <w:rPr>
          <w:rFonts w:ascii="Caladea" w:hAnsi="Caladea"/>
          <w:b/>
          <w:w w:val="105"/>
          <w:sz w:val="18"/>
        </w:rPr>
        <w:t>ROVÁVEL</w:t>
      </w:r>
    </w:p>
    <w:p>
      <w:pPr>
        <w:pStyle w:val="BodyText"/>
        <w:spacing w:before="10"/>
        <w:rPr>
          <w:rFonts w:ascii="Caladea"/>
          <w:b/>
          <w:sz w:val="23"/>
        </w:rPr>
      </w:pPr>
    </w:p>
    <w:p>
      <w:pPr>
        <w:pStyle w:val="BodyText"/>
        <w:spacing w:line="242" w:lineRule="auto"/>
        <w:ind w:left="172" w:right="410"/>
        <w:jc w:val="both"/>
      </w:pPr>
      <w:r>
        <w:rPr/>
        <w:t>A Companhia e suas controladas possuem processos de natureza cíveis e fiscais envolvendo riscos de ganho classificados</w:t>
      </w:r>
      <w:r>
        <w:rPr>
          <w:spacing w:val="-35"/>
        </w:rPr>
        <w:t> </w:t>
      </w:r>
      <w:r>
        <w:rPr/>
        <w:t>pela</w:t>
      </w:r>
      <w:r>
        <w:rPr>
          <w:spacing w:val="-35"/>
        </w:rPr>
        <w:t> </w:t>
      </w:r>
      <w:r>
        <w:rPr/>
        <w:t>Administração</w:t>
      </w:r>
      <w:r>
        <w:rPr>
          <w:spacing w:val="-35"/>
        </w:rPr>
        <w:t> </w:t>
      </w:r>
      <w:r>
        <w:rPr/>
        <w:t>como</w:t>
      </w:r>
      <w:r>
        <w:rPr>
          <w:spacing w:val="-34"/>
        </w:rPr>
        <w:t> </w:t>
      </w:r>
      <w:r>
        <w:rPr/>
        <w:t>prováveis,</w:t>
      </w:r>
      <w:r>
        <w:rPr>
          <w:spacing w:val="-34"/>
        </w:rPr>
        <w:t> </w:t>
      </w:r>
      <w:r>
        <w:rPr/>
        <w:t>com</w:t>
      </w:r>
      <w:r>
        <w:rPr>
          <w:spacing w:val="-34"/>
        </w:rPr>
        <w:t> </w:t>
      </w:r>
      <w:r>
        <w:rPr/>
        <w:t>base</w:t>
      </w:r>
      <w:r>
        <w:rPr>
          <w:spacing w:val="-35"/>
        </w:rPr>
        <w:t> </w:t>
      </w:r>
      <w:r>
        <w:rPr/>
        <w:t>na</w:t>
      </w:r>
      <w:r>
        <w:rPr>
          <w:spacing w:val="-33"/>
        </w:rPr>
        <w:t> </w:t>
      </w:r>
      <w:r>
        <w:rPr/>
        <w:t>avaliação</w:t>
      </w:r>
      <w:r>
        <w:rPr>
          <w:spacing w:val="-35"/>
        </w:rPr>
        <w:t> </w:t>
      </w:r>
      <w:r>
        <w:rPr/>
        <w:t>de</w:t>
      </w:r>
      <w:r>
        <w:rPr>
          <w:spacing w:val="-35"/>
        </w:rPr>
        <w:t> </w:t>
      </w:r>
      <w:r>
        <w:rPr/>
        <w:t>seus</w:t>
      </w:r>
      <w:r>
        <w:rPr>
          <w:spacing w:val="-33"/>
        </w:rPr>
        <w:t> </w:t>
      </w:r>
      <w:r>
        <w:rPr/>
        <w:t>assessores</w:t>
      </w:r>
      <w:r>
        <w:rPr>
          <w:spacing w:val="-35"/>
        </w:rPr>
        <w:t> </w:t>
      </w:r>
      <w:r>
        <w:rPr/>
        <w:t>legais,</w:t>
      </w:r>
      <w:r>
        <w:rPr>
          <w:spacing w:val="-34"/>
        </w:rPr>
        <w:t> </w:t>
      </w:r>
      <w:r>
        <w:rPr/>
        <w:t>para</w:t>
      </w:r>
      <w:r>
        <w:rPr>
          <w:spacing w:val="-34"/>
        </w:rPr>
        <w:t> </w:t>
      </w:r>
      <w:r>
        <w:rPr/>
        <w:t>as</w:t>
      </w:r>
      <w:r>
        <w:rPr>
          <w:spacing w:val="-33"/>
        </w:rPr>
        <w:t> </w:t>
      </w:r>
      <w:r>
        <w:rPr/>
        <w:t>quais</w:t>
      </w:r>
      <w:r>
        <w:rPr>
          <w:spacing w:val="-34"/>
        </w:rPr>
        <w:t> </w:t>
      </w:r>
      <w:r>
        <w:rPr/>
        <w:t>não há</w:t>
      </w:r>
      <w:r>
        <w:rPr>
          <w:spacing w:val="-16"/>
        </w:rPr>
        <w:t> </w:t>
      </w:r>
      <w:r>
        <w:rPr/>
        <w:t>ativo</w:t>
      </w:r>
      <w:r>
        <w:rPr>
          <w:spacing w:val="-17"/>
        </w:rPr>
        <w:t> </w:t>
      </w:r>
      <w:r>
        <w:rPr/>
        <w:t>constituído.</w:t>
      </w:r>
      <w:r>
        <w:rPr>
          <w:spacing w:val="-16"/>
        </w:rPr>
        <w:t> </w:t>
      </w:r>
      <w:r>
        <w:rPr/>
        <w:t>Os</w:t>
      </w:r>
      <w:r>
        <w:rPr>
          <w:spacing w:val="-16"/>
        </w:rPr>
        <w:t> </w:t>
      </w:r>
      <w:r>
        <w:rPr/>
        <w:t>montantes</w:t>
      </w:r>
      <w:r>
        <w:rPr>
          <w:spacing w:val="-17"/>
        </w:rPr>
        <w:t> </w:t>
      </w:r>
      <w:r>
        <w:rPr/>
        <w:t>desses</w:t>
      </w:r>
      <w:r>
        <w:rPr>
          <w:spacing w:val="-16"/>
        </w:rPr>
        <w:t> </w:t>
      </w:r>
      <w:r>
        <w:rPr/>
        <w:t>processos,</w:t>
      </w:r>
      <w:r>
        <w:rPr>
          <w:spacing w:val="-15"/>
        </w:rPr>
        <w:t> </w:t>
      </w:r>
      <w:r>
        <w:rPr/>
        <w:t>em</w:t>
      </w:r>
      <w:r>
        <w:rPr>
          <w:spacing w:val="-17"/>
        </w:rPr>
        <w:t> </w:t>
      </w:r>
      <w:r>
        <w:rPr/>
        <w:t>31</w:t>
      </w:r>
      <w:r>
        <w:rPr>
          <w:spacing w:val="-17"/>
        </w:rPr>
        <w:t> </w:t>
      </w:r>
      <w:r>
        <w:rPr/>
        <w:t>de</w:t>
      </w:r>
      <w:r>
        <w:rPr>
          <w:spacing w:val="-18"/>
        </w:rPr>
        <w:t> </w:t>
      </w:r>
      <w:r>
        <w:rPr/>
        <w:t>dezembro</w:t>
      </w:r>
      <w:r>
        <w:rPr>
          <w:spacing w:val="-16"/>
        </w:rPr>
        <w:t> </w:t>
      </w:r>
      <w:r>
        <w:rPr/>
        <w:t>de</w:t>
      </w:r>
      <w:r>
        <w:rPr>
          <w:spacing w:val="-16"/>
        </w:rPr>
        <w:t> </w:t>
      </w:r>
      <w:r>
        <w:rPr>
          <w:spacing w:val="2"/>
        </w:rPr>
        <w:t>2019,</w:t>
      </w:r>
      <w:r>
        <w:rPr>
          <w:spacing w:val="-17"/>
        </w:rPr>
        <w:t> </w:t>
      </w:r>
      <w:r>
        <w:rPr/>
        <w:t>estão</w:t>
      </w:r>
      <w:r>
        <w:rPr>
          <w:spacing w:val="-15"/>
        </w:rPr>
        <w:t> </w:t>
      </w:r>
      <w:r>
        <w:rPr/>
        <w:t>reproduzidos</w:t>
      </w:r>
      <w:r>
        <w:rPr>
          <w:spacing w:val="-15"/>
        </w:rPr>
        <w:t> </w:t>
      </w:r>
      <w:r>
        <w:rPr/>
        <w:t>no</w:t>
      </w:r>
      <w:r>
        <w:rPr>
          <w:spacing w:val="-16"/>
        </w:rPr>
        <w:t> </w:t>
      </w:r>
      <w:r>
        <w:rPr/>
        <w:t>quadro seguinte:</w:t>
      </w:r>
    </w:p>
    <w:p>
      <w:pPr>
        <w:pStyle w:val="BodyText"/>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53"/>
        <w:gridCol w:w="2175"/>
        <w:gridCol w:w="2175"/>
        <w:gridCol w:w="2175"/>
        <w:gridCol w:w="2174"/>
      </w:tblGrid>
      <w:tr>
        <w:trPr>
          <w:trHeight w:val="215" w:hRule="atLeast"/>
        </w:trPr>
        <w:tc>
          <w:tcPr>
            <w:tcW w:w="1253" w:type="dxa"/>
            <w:vMerge w:val="restart"/>
            <w:shd w:val="clear" w:color="auto" w:fill="D9D9D9"/>
          </w:tcPr>
          <w:p>
            <w:pPr>
              <w:pStyle w:val="TableParagraph"/>
              <w:rPr>
                <w:rFonts w:ascii="Times New Roman"/>
                <w:sz w:val="18"/>
              </w:rPr>
            </w:pPr>
          </w:p>
        </w:tc>
        <w:tc>
          <w:tcPr>
            <w:tcW w:w="4350" w:type="dxa"/>
            <w:gridSpan w:val="2"/>
          </w:tcPr>
          <w:p>
            <w:pPr>
              <w:pStyle w:val="TableParagraph"/>
              <w:spacing w:before="25"/>
              <w:ind w:left="1724" w:right="1715"/>
              <w:jc w:val="center"/>
              <w:rPr>
                <w:rFonts w:ascii="Caladea"/>
                <w:b/>
                <w:sz w:val="14"/>
              </w:rPr>
            </w:pPr>
            <w:r>
              <w:rPr>
                <w:rFonts w:ascii="Caladea"/>
                <w:b/>
                <w:sz w:val="14"/>
              </w:rPr>
              <w:t>Controladora</w:t>
            </w:r>
          </w:p>
        </w:tc>
        <w:tc>
          <w:tcPr>
            <w:tcW w:w="4349" w:type="dxa"/>
            <w:gridSpan w:val="2"/>
          </w:tcPr>
          <w:p>
            <w:pPr>
              <w:pStyle w:val="TableParagraph"/>
              <w:spacing w:before="25"/>
              <w:ind w:left="1753" w:right="1747"/>
              <w:jc w:val="center"/>
              <w:rPr>
                <w:rFonts w:ascii="Caladea"/>
                <w:b/>
                <w:sz w:val="14"/>
              </w:rPr>
            </w:pPr>
            <w:r>
              <w:rPr>
                <w:rFonts w:ascii="Caladea"/>
                <w:b/>
                <w:sz w:val="14"/>
              </w:rPr>
              <w:t>Consolidado</w:t>
            </w:r>
          </w:p>
        </w:tc>
      </w:tr>
      <w:tr>
        <w:trPr>
          <w:trHeight w:val="417" w:hRule="atLeast"/>
        </w:trPr>
        <w:tc>
          <w:tcPr>
            <w:tcW w:w="1253" w:type="dxa"/>
            <w:vMerge/>
            <w:tcBorders>
              <w:top w:val="nil"/>
            </w:tcBorders>
            <w:shd w:val="clear" w:color="auto" w:fill="D9D9D9"/>
          </w:tcPr>
          <w:p>
            <w:pPr>
              <w:rPr>
                <w:sz w:val="2"/>
                <w:szCs w:val="2"/>
              </w:rPr>
            </w:pPr>
          </w:p>
        </w:tc>
        <w:tc>
          <w:tcPr>
            <w:tcW w:w="2175" w:type="dxa"/>
          </w:tcPr>
          <w:p>
            <w:pPr>
              <w:pStyle w:val="TableParagraph"/>
              <w:spacing w:before="126"/>
              <w:ind w:left="686"/>
              <w:rPr>
                <w:rFonts w:ascii="Caladea"/>
                <w:b/>
                <w:sz w:val="14"/>
              </w:rPr>
            </w:pPr>
            <w:r>
              <w:rPr>
                <w:rFonts w:ascii="Caladea"/>
                <w:b/>
                <w:sz w:val="14"/>
              </w:rPr>
              <w:t>31/12/2019</w:t>
            </w:r>
          </w:p>
        </w:tc>
        <w:tc>
          <w:tcPr>
            <w:tcW w:w="2175" w:type="dxa"/>
          </w:tcPr>
          <w:p>
            <w:pPr>
              <w:pStyle w:val="TableParagraph"/>
              <w:spacing w:before="126"/>
              <w:ind w:left="686"/>
              <w:rPr>
                <w:rFonts w:ascii="Caladea"/>
                <w:b/>
                <w:sz w:val="14"/>
              </w:rPr>
            </w:pPr>
            <w:r>
              <w:rPr>
                <w:rFonts w:ascii="Caladea"/>
                <w:b/>
                <w:sz w:val="14"/>
              </w:rPr>
              <w:t>31/12/2018</w:t>
            </w:r>
          </w:p>
        </w:tc>
        <w:tc>
          <w:tcPr>
            <w:tcW w:w="2175" w:type="dxa"/>
          </w:tcPr>
          <w:p>
            <w:pPr>
              <w:pStyle w:val="TableParagraph"/>
              <w:spacing w:before="126"/>
              <w:ind w:left="686"/>
              <w:rPr>
                <w:rFonts w:ascii="Caladea"/>
                <w:b/>
                <w:sz w:val="14"/>
              </w:rPr>
            </w:pPr>
            <w:r>
              <w:rPr>
                <w:rFonts w:ascii="Caladea"/>
                <w:b/>
                <w:sz w:val="14"/>
              </w:rPr>
              <w:t>31/12/2019</w:t>
            </w:r>
          </w:p>
        </w:tc>
        <w:tc>
          <w:tcPr>
            <w:tcW w:w="2174" w:type="dxa"/>
          </w:tcPr>
          <w:p>
            <w:pPr>
              <w:pStyle w:val="TableParagraph"/>
              <w:spacing w:before="126"/>
              <w:ind w:left="683"/>
              <w:rPr>
                <w:rFonts w:ascii="Caladea"/>
                <w:b/>
                <w:sz w:val="14"/>
              </w:rPr>
            </w:pPr>
            <w:r>
              <w:rPr>
                <w:rFonts w:ascii="Caladea"/>
                <w:b/>
                <w:sz w:val="14"/>
              </w:rPr>
              <w:t>31/12/2018</w:t>
            </w:r>
          </w:p>
        </w:tc>
      </w:tr>
      <w:tr>
        <w:trPr>
          <w:trHeight w:val="217" w:hRule="atLeast"/>
        </w:trPr>
        <w:tc>
          <w:tcPr>
            <w:tcW w:w="1253" w:type="dxa"/>
          </w:tcPr>
          <w:p>
            <w:pPr>
              <w:pStyle w:val="TableParagraph"/>
              <w:spacing w:before="29"/>
              <w:ind w:left="72"/>
              <w:rPr>
                <w:sz w:val="14"/>
              </w:rPr>
            </w:pPr>
            <w:r>
              <w:rPr>
                <w:sz w:val="14"/>
              </w:rPr>
              <w:t>Fiscais</w:t>
            </w:r>
          </w:p>
        </w:tc>
        <w:tc>
          <w:tcPr>
            <w:tcW w:w="2175" w:type="dxa"/>
          </w:tcPr>
          <w:p>
            <w:pPr>
              <w:pStyle w:val="TableParagraph"/>
              <w:spacing w:before="29"/>
              <w:ind w:right="61"/>
              <w:jc w:val="right"/>
              <w:rPr>
                <w:sz w:val="14"/>
              </w:rPr>
            </w:pPr>
            <w:r>
              <w:rPr>
                <w:sz w:val="14"/>
              </w:rPr>
              <w:t>200</w:t>
            </w:r>
          </w:p>
        </w:tc>
        <w:tc>
          <w:tcPr>
            <w:tcW w:w="2175" w:type="dxa"/>
          </w:tcPr>
          <w:p>
            <w:pPr>
              <w:pStyle w:val="TableParagraph"/>
              <w:spacing w:before="29"/>
              <w:ind w:right="60"/>
              <w:jc w:val="right"/>
              <w:rPr>
                <w:sz w:val="14"/>
              </w:rPr>
            </w:pPr>
            <w:r>
              <w:rPr>
                <w:sz w:val="14"/>
              </w:rPr>
              <w:t>200</w:t>
            </w:r>
          </w:p>
        </w:tc>
        <w:tc>
          <w:tcPr>
            <w:tcW w:w="2175" w:type="dxa"/>
          </w:tcPr>
          <w:p>
            <w:pPr>
              <w:pStyle w:val="TableParagraph"/>
              <w:spacing w:before="29"/>
              <w:ind w:right="60"/>
              <w:jc w:val="right"/>
              <w:rPr>
                <w:sz w:val="14"/>
              </w:rPr>
            </w:pPr>
            <w:r>
              <w:rPr>
                <w:sz w:val="14"/>
              </w:rPr>
              <w:t>200</w:t>
            </w:r>
          </w:p>
        </w:tc>
        <w:tc>
          <w:tcPr>
            <w:tcW w:w="2174" w:type="dxa"/>
          </w:tcPr>
          <w:p>
            <w:pPr>
              <w:pStyle w:val="TableParagraph"/>
              <w:spacing w:before="29"/>
              <w:ind w:right="62"/>
              <w:jc w:val="right"/>
              <w:rPr>
                <w:sz w:val="14"/>
              </w:rPr>
            </w:pPr>
            <w:r>
              <w:rPr>
                <w:sz w:val="14"/>
              </w:rPr>
              <w:t>200</w:t>
            </w:r>
          </w:p>
        </w:tc>
      </w:tr>
      <w:tr>
        <w:trPr>
          <w:trHeight w:val="218" w:hRule="atLeast"/>
        </w:trPr>
        <w:tc>
          <w:tcPr>
            <w:tcW w:w="1253" w:type="dxa"/>
          </w:tcPr>
          <w:p>
            <w:pPr>
              <w:pStyle w:val="TableParagraph"/>
              <w:spacing w:before="26"/>
              <w:ind w:left="72"/>
              <w:rPr>
                <w:sz w:val="14"/>
              </w:rPr>
            </w:pPr>
            <w:r>
              <w:rPr>
                <w:sz w:val="14"/>
              </w:rPr>
              <w:t>Cíveis</w:t>
            </w:r>
          </w:p>
        </w:tc>
        <w:tc>
          <w:tcPr>
            <w:tcW w:w="2175" w:type="dxa"/>
          </w:tcPr>
          <w:p>
            <w:pPr>
              <w:pStyle w:val="TableParagraph"/>
              <w:spacing w:before="26"/>
              <w:ind w:right="61"/>
              <w:jc w:val="right"/>
              <w:rPr>
                <w:sz w:val="14"/>
              </w:rPr>
            </w:pPr>
            <w:r>
              <w:rPr>
                <w:sz w:val="14"/>
              </w:rPr>
              <w:t>150</w:t>
            </w:r>
          </w:p>
        </w:tc>
        <w:tc>
          <w:tcPr>
            <w:tcW w:w="2175" w:type="dxa"/>
          </w:tcPr>
          <w:p>
            <w:pPr>
              <w:pStyle w:val="TableParagraph"/>
              <w:spacing w:before="26"/>
              <w:ind w:right="59"/>
              <w:jc w:val="right"/>
              <w:rPr>
                <w:sz w:val="14"/>
              </w:rPr>
            </w:pPr>
            <w:r>
              <w:rPr>
                <w:w w:val="95"/>
                <w:sz w:val="14"/>
              </w:rPr>
              <w:t>1.931</w:t>
            </w:r>
          </w:p>
        </w:tc>
        <w:tc>
          <w:tcPr>
            <w:tcW w:w="2175" w:type="dxa"/>
          </w:tcPr>
          <w:p>
            <w:pPr>
              <w:pStyle w:val="TableParagraph"/>
              <w:spacing w:before="26"/>
              <w:ind w:right="60"/>
              <w:jc w:val="right"/>
              <w:rPr>
                <w:sz w:val="14"/>
              </w:rPr>
            </w:pPr>
            <w:r>
              <w:rPr>
                <w:w w:val="95"/>
                <w:sz w:val="14"/>
              </w:rPr>
              <w:t>25.472</w:t>
            </w:r>
          </w:p>
        </w:tc>
        <w:tc>
          <w:tcPr>
            <w:tcW w:w="2174" w:type="dxa"/>
          </w:tcPr>
          <w:p>
            <w:pPr>
              <w:pStyle w:val="TableParagraph"/>
              <w:spacing w:before="26"/>
              <w:ind w:right="61"/>
              <w:jc w:val="right"/>
              <w:rPr>
                <w:sz w:val="14"/>
              </w:rPr>
            </w:pPr>
            <w:r>
              <w:rPr>
                <w:w w:val="95"/>
                <w:sz w:val="14"/>
              </w:rPr>
              <w:t>25.811</w:t>
            </w:r>
          </w:p>
        </w:tc>
      </w:tr>
      <w:tr>
        <w:trPr>
          <w:trHeight w:val="215" w:hRule="atLeast"/>
        </w:trPr>
        <w:tc>
          <w:tcPr>
            <w:tcW w:w="1253" w:type="dxa"/>
          </w:tcPr>
          <w:p>
            <w:pPr>
              <w:pStyle w:val="TableParagraph"/>
              <w:spacing w:before="25"/>
              <w:ind w:left="72"/>
              <w:rPr>
                <w:rFonts w:ascii="Caladea"/>
                <w:b/>
                <w:sz w:val="14"/>
              </w:rPr>
            </w:pPr>
            <w:r>
              <w:rPr>
                <w:rFonts w:ascii="Caladea"/>
                <w:b/>
                <w:sz w:val="14"/>
              </w:rPr>
              <w:t>Total</w:t>
            </w:r>
          </w:p>
        </w:tc>
        <w:tc>
          <w:tcPr>
            <w:tcW w:w="2175" w:type="dxa"/>
          </w:tcPr>
          <w:p>
            <w:pPr>
              <w:pStyle w:val="TableParagraph"/>
              <w:spacing w:before="25"/>
              <w:ind w:right="59"/>
              <w:jc w:val="right"/>
              <w:rPr>
                <w:rFonts w:ascii="Caladea"/>
                <w:b/>
                <w:sz w:val="14"/>
              </w:rPr>
            </w:pPr>
            <w:r>
              <w:rPr>
                <w:rFonts w:ascii="Caladea"/>
                <w:b/>
                <w:w w:val="95"/>
                <w:sz w:val="14"/>
              </w:rPr>
              <w:t>350</w:t>
            </w:r>
          </w:p>
        </w:tc>
        <w:tc>
          <w:tcPr>
            <w:tcW w:w="2175" w:type="dxa"/>
          </w:tcPr>
          <w:p>
            <w:pPr>
              <w:pStyle w:val="TableParagraph"/>
              <w:spacing w:before="25"/>
              <w:ind w:right="59"/>
              <w:jc w:val="right"/>
              <w:rPr>
                <w:rFonts w:ascii="Caladea"/>
                <w:b/>
                <w:sz w:val="14"/>
              </w:rPr>
            </w:pPr>
            <w:r>
              <w:rPr>
                <w:rFonts w:ascii="Caladea"/>
                <w:b/>
                <w:w w:val="95"/>
                <w:sz w:val="14"/>
              </w:rPr>
              <w:t>2.131</w:t>
            </w:r>
          </w:p>
        </w:tc>
        <w:tc>
          <w:tcPr>
            <w:tcW w:w="2175" w:type="dxa"/>
          </w:tcPr>
          <w:p>
            <w:pPr>
              <w:pStyle w:val="TableParagraph"/>
              <w:spacing w:before="25"/>
              <w:ind w:right="60"/>
              <w:jc w:val="right"/>
              <w:rPr>
                <w:rFonts w:ascii="Caladea"/>
                <w:b/>
                <w:sz w:val="14"/>
              </w:rPr>
            </w:pPr>
            <w:r>
              <w:rPr>
                <w:rFonts w:ascii="Caladea"/>
                <w:b/>
                <w:sz w:val="14"/>
              </w:rPr>
              <w:t>25.672</w:t>
            </w:r>
          </w:p>
        </w:tc>
        <w:tc>
          <w:tcPr>
            <w:tcW w:w="2174" w:type="dxa"/>
          </w:tcPr>
          <w:p>
            <w:pPr>
              <w:pStyle w:val="TableParagraph"/>
              <w:spacing w:before="25"/>
              <w:ind w:right="61"/>
              <w:jc w:val="right"/>
              <w:rPr>
                <w:rFonts w:ascii="Caladea"/>
                <w:b/>
                <w:sz w:val="14"/>
              </w:rPr>
            </w:pPr>
            <w:r>
              <w:rPr>
                <w:rFonts w:ascii="Caladea"/>
                <w:b/>
                <w:sz w:val="14"/>
              </w:rPr>
              <w:t>26.011</w:t>
            </w:r>
          </w:p>
        </w:tc>
      </w:tr>
    </w:tbl>
    <w:p>
      <w:pPr>
        <w:spacing w:after="0"/>
        <w:jc w:val="right"/>
        <w:rPr>
          <w:rFonts w:ascii="Caladea"/>
          <w:sz w:val="14"/>
        </w:rPr>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DEMAIS</w:t>
      </w:r>
      <w:r>
        <w:rPr>
          <w:spacing w:val="-3"/>
        </w:rPr>
        <w:t> </w:t>
      </w:r>
      <w:r>
        <w:rPr/>
        <w:t>OBRIGAÇÕES</w:t>
      </w:r>
    </w:p>
    <w:p>
      <w:pPr>
        <w:pStyle w:val="BodyText"/>
        <w:spacing w:before="8"/>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87"/>
        <w:gridCol w:w="1570"/>
        <w:gridCol w:w="1570"/>
        <w:gridCol w:w="1571"/>
        <w:gridCol w:w="1573"/>
      </w:tblGrid>
      <w:tr>
        <w:trPr>
          <w:trHeight w:val="234" w:hRule="atLeast"/>
        </w:trPr>
        <w:tc>
          <w:tcPr>
            <w:tcW w:w="3687" w:type="dxa"/>
            <w:vMerge w:val="restart"/>
            <w:shd w:val="clear" w:color="auto" w:fill="D9D9D9"/>
          </w:tcPr>
          <w:p>
            <w:pPr>
              <w:pStyle w:val="TableParagraph"/>
              <w:rPr>
                <w:rFonts w:ascii="Times New Roman"/>
                <w:sz w:val="18"/>
              </w:rPr>
            </w:pPr>
          </w:p>
        </w:tc>
        <w:tc>
          <w:tcPr>
            <w:tcW w:w="3140" w:type="dxa"/>
            <w:gridSpan w:val="2"/>
          </w:tcPr>
          <w:p>
            <w:pPr>
              <w:pStyle w:val="TableParagraph"/>
              <w:spacing w:before="34"/>
              <w:ind w:left="1116" w:right="1112"/>
              <w:jc w:val="center"/>
              <w:rPr>
                <w:rFonts w:ascii="Caladea"/>
                <w:b/>
                <w:sz w:val="14"/>
              </w:rPr>
            </w:pPr>
            <w:r>
              <w:rPr>
                <w:rFonts w:ascii="Caladea"/>
                <w:b/>
                <w:sz w:val="14"/>
              </w:rPr>
              <w:t>Controladora</w:t>
            </w:r>
          </w:p>
        </w:tc>
        <w:tc>
          <w:tcPr>
            <w:tcW w:w="3144" w:type="dxa"/>
            <w:gridSpan w:val="2"/>
          </w:tcPr>
          <w:p>
            <w:pPr>
              <w:pStyle w:val="TableParagraph"/>
              <w:spacing w:before="34"/>
              <w:ind w:left="1151" w:right="1144"/>
              <w:jc w:val="center"/>
              <w:rPr>
                <w:rFonts w:ascii="Caladea"/>
                <w:b/>
                <w:sz w:val="14"/>
              </w:rPr>
            </w:pPr>
            <w:r>
              <w:rPr>
                <w:rFonts w:ascii="Caladea"/>
                <w:b/>
                <w:sz w:val="14"/>
              </w:rPr>
              <w:t>Consolidado</w:t>
            </w:r>
          </w:p>
        </w:tc>
      </w:tr>
      <w:tr>
        <w:trPr>
          <w:trHeight w:val="397" w:hRule="atLeast"/>
        </w:trPr>
        <w:tc>
          <w:tcPr>
            <w:tcW w:w="3687" w:type="dxa"/>
            <w:vMerge/>
            <w:tcBorders>
              <w:top w:val="nil"/>
            </w:tcBorders>
            <w:shd w:val="clear" w:color="auto" w:fill="D9D9D9"/>
          </w:tcPr>
          <w:p>
            <w:pPr>
              <w:rPr>
                <w:sz w:val="2"/>
                <w:szCs w:val="2"/>
              </w:rPr>
            </w:pPr>
          </w:p>
        </w:tc>
        <w:tc>
          <w:tcPr>
            <w:tcW w:w="1570" w:type="dxa"/>
          </w:tcPr>
          <w:p>
            <w:pPr>
              <w:pStyle w:val="TableParagraph"/>
              <w:spacing w:before="116"/>
              <w:ind w:left="381"/>
              <w:rPr>
                <w:rFonts w:ascii="Caladea"/>
                <w:b/>
                <w:sz w:val="14"/>
              </w:rPr>
            </w:pPr>
            <w:r>
              <w:rPr>
                <w:rFonts w:ascii="Caladea"/>
                <w:b/>
                <w:sz w:val="14"/>
              </w:rPr>
              <w:t>31/12/2019</w:t>
            </w:r>
          </w:p>
        </w:tc>
        <w:tc>
          <w:tcPr>
            <w:tcW w:w="1570" w:type="dxa"/>
          </w:tcPr>
          <w:p>
            <w:pPr>
              <w:pStyle w:val="TableParagraph"/>
              <w:spacing w:before="116"/>
              <w:ind w:left="384"/>
              <w:rPr>
                <w:rFonts w:ascii="Caladea"/>
                <w:b/>
                <w:sz w:val="14"/>
              </w:rPr>
            </w:pPr>
            <w:r>
              <w:rPr>
                <w:rFonts w:ascii="Caladea"/>
                <w:b/>
                <w:sz w:val="14"/>
              </w:rPr>
              <w:t>31/12/2018</w:t>
            </w:r>
          </w:p>
        </w:tc>
        <w:tc>
          <w:tcPr>
            <w:tcW w:w="1571" w:type="dxa"/>
          </w:tcPr>
          <w:p>
            <w:pPr>
              <w:pStyle w:val="TableParagraph"/>
              <w:spacing w:before="116"/>
              <w:ind w:left="383"/>
              <w:rPr>
                <w:rFonts w:ascii="Caladea"/>
                <w:b/>
                <w:sz w:val="14"/>
              </w:rPr>
            </w:pPr>
            <w:r>
              <w:rPr>
                <w:rFonts w:ascii="Caladea"/>
                <w:b/>
                <w:sz w:val="14"/>
              </w:rPr>
              <w:t>31/12/2019</w:t>
            </w:r>
          </w:p>
        </w:tc>
        <w:tc>
          <w:tcPr>
            <w:tcW w:w="1573" w:type="dxa"/>
          </w:tcPr>
          <w:p>
            <w:pPr>
              <w:pStyle w:val="TableParagraph"/>
              <w:spacing w:before="116"/>
              <w:ind w:left="382"/>
              <w:rPr>
                <w:rFonts w:ascii="Caladea"/>
                <w:b/>
                <w:sz w:val="14"/>
              </w:rPr>
            </w:pPr>
            <w:r>
              <w:rPr>
                <w:rFonts w:ascii="Caladea"/>
                <w:b/>
                <w:sz w:val="14"/>
              </w:rPr>
              <w:t>31/12/2018</w:t>
            </w:r>
          </w:p>
        </w:tc>
      </w:tr>
      <w:tr>
        <w:trPr>
          <w:trHeight w:val="237" w:hRule="atLeast"/>
        </w:trPr>
        <w:tc>
          <w:tcPr>
            <w:tcW w:w="3687" w:type="dxa"/>
          </w:tcPr>
          <w:p>
            <w:pPr>
              <w:pStyle w:val="TableParagraph"/>
              <w:spacing w:before="36"/>
              <w:ind w:left="72"/>
              <w:rPr>
                <w:sz w:val="14"/>
              </w:rPr>
            </w:pPr>
            <w:r>
              <w:rPr>
                <w:sz w:val="14"/>
              </w:rPr>
              <w:t>Parcelamento de Multa ANEEL</w:t>
            </w:r>
          </w:p>
        </w:tc>
        <w:tc>
          <w:tcPr>
            <w:tcW w:w="1570" w:type="dxa"/>
          </w:tcPr>
          <w:p>
            <w:pPr>
              <w:pStyle w:val="TableParagraph"/>
              <w:rPr>
                <w:rFonts w:ascii="Times New Roman"/>
                <w:sz w:val="16"/>
              </w:rPr>
            </w:pPr>
          </w:p>
        </w:tc>
        <w:tc>
          <w:tcPr>
            <w:tcW w:w="1570" w:type="dxa"/>
          </w:tcPr>
          <w:p>
            <w:pPr>
              <w:pStyle w:val="TableParagraph"/>
              <w:rPr>
                <w:rFonts w:ascii="Times New Roman"/>
                <w:sz w:val="16"/>
              </w:rPr>
            </w:pPr>
          </w:p>
        </w:tc>
        <w:tc>
          <w:tcPr>
            <w:tcW w:w="1571" w:type="dxa"/>
          </w:tcPr>
          <w:p>
            <w:pPr>
              <w:pStyle w:val="TableParagraph"/>
              <w:spacing w:before="36"/>
              <w:ind w:right="58"/>
              <w:jc w:val="right"/>
              <w:rPr>
                <w:sz w:val="14"/>
              </w:rPr>
            </w:pPr>
            <w:r>
              <w:rPr>
                <w:w w:val="95"/>
                <w:sz w:val="14"/>
              </w:rPr>
              <w:t>4.127</w:t>
            </w:r>
          </w:p>
        </w:tc>
        <w:tc>
          <w:tcPr>
            <w:tcW w:w="1573" w:type="dxa"/>
          </w:tcPr>
          <w:p>
            <w:pPr>
              <w:pStyle w:val="TableParagraph"/>
              <w:spacing w:before="36"/>
              <w:ind w:right="59"/>
              <w:jc w:val="right"/>
              <w:rPr>
                <w:sz w:val="14"/>
              </w:rPr>
            </w:pPr>
            <w:r>
              <w:rPr>
                <w:w w:val="95"/>
                <w:sz w:val="14"/>
              </w:rPr>
              <w:t>10.909</w:t>
            </w:r>
          </w:p>
        </w:tc>
      </w:tr>
      <w:tr>
        <w:trPr>
          <w:trHeight w:val="234" w:hRule="atLeast"/>
        </w:trPr>
        <w:tc>
          <w:tcPr>
            <w:tcW w:w="3687" w:type="dxa"/>
          </w:tcPr>
          <w:p>
            <w:pPr>
              <w:pStyle w:val="TableParagraph"/>
              <w:spacing w:before="35"/>
              <w:ind w:left="72"/>
              <w:rPr>
                <w:rFonts w:ascii="Caladea"/>
                <w:b/>
                <w:sz w:val="14"/>
              </w:rPr>
            </w:pPr>
            <w:r>
              <w:rPr>
                <w:sz w:val="14"/>
              </w:rPr>
              <w:t>Consumidores </w:t>
            </w:r>
            <w:r>
              <w:rPr>
                <w:rFonts w:ascii="Caladea"/>
                <w:b/>
                <w:sz w:val="14"/>
              </w:rPr>
              <w:t>(a)</w:t>
            </w:r>
          </w:p>
        </w:tc>
        <w:tc>
          <w:tcPr>
            <w:tcW w:w="1570" w:type="dxa"/>
          </w:tcPr>
          <w:p>
            <w:pPr>
              <w:pStyle w:val="TableParagraph"/>
              <w:spacing w:before="36"/>
              <w:ind w:right="60"/>
              <w:jc w:val="right"/>
              <w:rPr>
                <w:sz w:val="14"/>
              </w:rPr>
            </w:pPr>
            <w:r>
              <w:rPr>
                <w:sz w:val="14"/>
              </w:rPr>
              <w:t>192</w:t>
            </w:r>
          </w:p>
        </w:tc>
        <w:tc>
          <w:tcPr>
            <w:tcW w:w="1570" w:type="dxa"/>
          </w:tcPr>
          <w:p>
            <w:pPr>
              <w:pStyle w:val="TableParagraph"/>
              <w:spacing w:before="36"/>
              <w:ind w:right="57"/>
              <w:jc w:val="right"/>
              <w:rPr>
                <w:sz w:val="14"/>
              </w:rPr>
            </w:pPr>
            <w:r>
              <w:rPr>
                <w:sz w:val="14"/>
              </w:rPr>
              <w:t>192</w:t>
            </w:r>
          </w:p>
        </w:tc>
        <w:tc>
          <w:tcPr>
            <w:tcW w:w="1571" w:type="dxa"/>
          </w:tcPr>
          <w:p>
            <w:pPr>
              <w:pStyle w:val="TableParagraph"/>
              <w:spacing w:before="36"/>
              <w:ind w:right="58"/>
              <w:jc w:val="right"/>
              <w:rPr>
                <w:sz w:val="14"/>
              </w:rPr>
            </w:pPr>
            <w:r>
              <w:rPr>
                <w:w w:val="95"/>
                <w:sz w:val="14"/>
              </w:rPr>
              <w:t>80.968</w:t>
            </w:r>
          </w:p>
        </w:tc>
        <w:tc>
          <w:tcPr>
            <w:tcW w:w="1573" w:type="dxa"/>
          </w:tcPr>
          <w:p>
            <w:pPr>
              <w:pStyle w:val="TableParagraph"/>
              <w:spacing w:before="36"/>
              <w:ind w:right="59"/>
              <w:jc w:val="right"/>
              <w:rPr>
                <w:sz w:val="14"/>
              </w:rPr>
            </w:pPr>
            <w:r>
              <w:rPr>
                <w:w w:val="95"/>
                <w:sz w:val="14"/>
              </w:rPr>
              <w:t>17.750</w:t>
            </w:r>
          </w:p>
        </w:tc>
      </w:tr>
      <w:tr>
        <w:trPr>
          <w:trHeight w:val="237" w:hRule="atLeast"/>
        </w:trPr>
        <w:tc>
          <w:tcPr>
            <w:tcW w:w="3687" w:type="dxa"/>
          </w:tcPr>
          <w:p>
            <w:pPr>
              <w:pStyle w:val="TableParagraph"/>
              <w:spacing w:before="36"/>
              <w:ind w:left="72"/>
              <w:rPr>
                <w:sz w:val="14"/>
              </w:rPr>
            </w:pPr>
            <w:r>
              <w:rPr>
                <w:sz w:val="14"/>
              </w:rPr>
              <w:t>Consignações a Favor de Terceiros</w:t>
            </w:r>
          </w:p>
        </w:tc>
        <w:tc>
          <w:tcPr>
            <w:tcW w:w="1570" w:type="dxa"/>
          </w:tcPr>
          <w:p>
            <w:pPr>
              <w:pStyle w:val="TableParagraph"/>
              <w:rPr>
                <w:rFonts w:ascii="Times New Roman"/>
                <w:sz w:val="16"/>
              </w:rPr>
            </w:pPr>
          </w:p>
        </w:tc>
        <w:tc>
          <w:tcPr>
            <w:tcW w:w="1570" w:type="dxa"/>
          </w:tcPr>
          <w:p>
            <w:pPr>
              <w:pStyle w:val="TableParagraph"/>
              <w:rPr>
                <w:rFonts w:ascii="Times New Roman"/>
                <w:sz w:val="16"/>
              </w:rPr>
            </w:pPr>
          </w:p>
        </w:tc>
        <w:tc>
          <w:tcPr>
            <w:tcW w:w="1571" w:type="dxa"/>
          </w:tcPr>
          <w:p>
            <w:pPr>
              <w:pStyle w:val="TableParagraph"/>
              <w:spacing w:before="36"/>
              <w:ind w:right="58"/>
              <w:jc w:val="right"/>
              <w:rPr>
                <w:sz w:val="14"/>
              </w:rPr>
            </w:pPr>
            <w:r>
              <w:rPr>
                <w:w w:val="95"/>
                <w:sz w:val="14"/>
              </w:rPr>
              <w:t>7.913</w:t>
            </w:r>
          </w:p>
        </w:tc>
        <w:tc>
          <w:tcPr>
            <w:tcW w:w="1573" w:type="dxa"/>
          </w:tcPr>
          <w:p>
            <w:pPr>
              <w:pStyle w:val="TableParagraph"/>
              <w:spacing w:before="36"/>
              <w:ind w:right="59"/>
              <w:jc w:val="right"/>
              <w:rPr>
                <w:sz w:val="14"/>
              </w:rPr>
            </w:pPr>
            <w:r>
              <w:rPr>
                <w:w w:val="95"/>
                <w:sz w:val="14"/>
              </w:rPr>
              <w:t>9.228</w:t>
            </w:r>
          </w:p>
        </w:tc>
      </w:tr>
      <w:tr>
        <w:trPr>
          <w:trHeight w:val="234" w:hRule="atLeast"/>
        </w:trPr>
        <w:tc>
          <w:tcPr>
            <w:tcW w:w="3687" w:type="dxa"/>
          </w:tcPr>
          <w:p>
            <w:pPr>
              <w:pStyle w:val="TableParagraph"/>
              <w:spacing w:before="36"/>
              <w:ind w:left="72"/>
              <w:rPr>
                <w:sz w:val="14"/>
              </w:rPr>
            </w:pPr>
            <w:r>
              <w:rPr>
                <w:sz w:val="14"/>
              </w:rPr>
              <w:t>Arrendamento</w:t>
            </w:r>
          </w:p>
        </w:tc>
        <w:tc>
          <w:tcPr>
            <w:tcW w:w="1570" w:type="dxa"/>
          </w:tcPr>
          <w:p>
            <w:pPr>
              <w:pStyle w:val="TableParagraph"/>
              <w:rPr>
                <w:rFonts w:ascii="Times New Roman"/>
                <w:sz w:val="16"/>
              </w:rPr>
            </w:pPr>
          </w:p>
        </w:tc>
        <w:tc>
          <w:tcPr>
            <w:tcW w:w="1570" w:type="dxa"/>
          </w:tcPr>
          <w:p>
            <w:pPr>
              <w:pStyle w:val="TableParagraph"/>
              <w:rPr>
                <w:rFonts w:ascii="Times New Roman"/>
                <w:sz w:val="16"/>
              </w:rPr>
            </w:pPr>
          </w:p>
        </w:tc>
        <w:tc>
          <w:tcPr>
            <w:tcW w:w="1571" w:type="dxa"/>
          </w:tcPr>
          <w:p>
            <w:pPr>
              <w:pStyle w:val="TableParagraph"/>
              <w:spacing w:before="36"/>
              <w:ind w:right="58"/>
              <w:jc w:val="right"/>
              <w:rPr>
                <w:sz w:val="14"/>
              </w:rPr>
            </w:pPr>
            <w:r>
              <w:rPr>
                <w:w w:val="95"/>
                <w:sz w:val="14"/>
              </w:rPr>
              <w:t>3.315</w:t>
            </w:r>
          </w:p>
        </w:tc>
        <w:tc>
          <w:tcPr>
            <w:tcW w:w="1573" w:type="dxa"/>
          </w:tcPr>
          <w:p>
            <w:pPr>
              <w:pStyle w:val="TableParagraph"/>
              <w:spacing w:before="36"/>
              <w:ind w:right="59"/>
              <w:jc w:val="right"/>
              <w:rPr>
                <w:sz w:val="14"/>
              </w:rPr>
            </w:pPr>
            <w:r>
              <w:rPr>
                <w:w w:val="95"/>
                <w:sz w:val="14"/>
              </w:rPr>
              <w:t>2.536</w:t>
            </w:r>
          </w:p>
        </w:tc>
      </w:tr>
      <w:tr>
        <w:trPr>
          <w:trHeight w:val="237" w:hRule="atLeast"/>
        </w:trPr>
        <w:tc>
          <w:tcPr>
            <w:tcW w:w="3687" w:type="dxa"/>
          </w:tcPr>
          <w:p>
            <w:pPr>
              <w:pStyle w:val="TableParagraph"/>
              <w:spacing w:before="36"/>
              <w:ind w:left="72"/>
              <w:rPr>
                <w:sz w:val="14"/>
              </w:rPr>
            </w:pPr>
            <w:r>
              <w:rPr>
                <w:w w:val="105"/>
                <w:sz w:val="14"/>
              </w:rPr>
              <w:t>Retenção de Quotas – RGR</w:t>
            </w:r>
          </w:p>
        </w:tc>
        <w:tc>
          <w:tcPr>
            <w:tcW w:w="1570" w:type="dxa"/>
          </w:tcPr>
          <w:p>
            <w:pPr>
              <w:pStyle w:val="TableParagraph"/>
              <w:rPr>
                <w:rFonts w:ascii="Times New Roman"/>
                <w:sz w:val="16"/>
              </w:rPr>
            </w:pPr>
          </w:p>
        </w:tc>
        <w:tc>
          <w:tcPr>
            <w:tcW w:w="1570" w:type="dxa"/>
          </w:tcPr>
          <w:p>
            <w:pPr>
              <w:pStyle w:val="TableParagraph"/>
              <w:rPr>
                <w:rFonts w:ascii="Times New Roman"/>
                <w:sz w:val="16"/>
              </w:rPr>
            </w:pPr>
          </w:p>
        </w:tc>
        <w:tc>
          <w:tcPr>
            <w:tcW w:w="1571" w:type="dxa"/>
          </w:tcPr>
          <w:p>
            <w:pPr>
              <w:pStyle w:val="TableParagraph"/>
              <w:spacing w:before="36"/>
              <w:ind w:right="58"/>
              <w:jc w:val="right"/>
              <w:rPr>
                <w:sz w:val="14"/>
              </w:rPr>
            </w:pPr>
            <w:r>
              <w:rPr>
                <w:sz w:val="14"/>
              </w:rPr>
              <w:t>724</w:t>
            </w:r>
          </w:p>
        </w:tc>
        <w:tc>
          <w:tcPr>
            <w:tcW w:w="1573" w:type="dxa"/>
          </w:tcPr>
          <w:p>
            <w:pPr>
              <w:pStyle w:val="TableParagraph"/>
              <w:spacing w:before="36"/>
              <w:ind w:right="63"/>
              <w:jc w:val="right"/>
              <w:rPr>
                <w:sz w:val="14"/>
              </w:rPr>
            </w:pPr>
            <w:r>
              <w:rPr>
                <w:sz w:val="14"/>
              </w:rPr>
              <w:t>724</w:t>
            </w:r>
          </w:p>
        </w:tc>
      </w:tr>
      <w:tr>
        <w:trPr>
          <w:trHeight w:val="234" w:hRule="atLeast"/>
        </w:trPr>
        <w:tc>
          <w:tcPr>
            <w:tcW w:w="3687" w:type="dxa"/>
          </w:tcPr>
          <w:p>
            <w:pPr>
              <w:pStyle w:val="TableParagraph"/>
              <w:spacing w:before="36"/>
              <w:ind w:left="72"/>
              <w:rPr>
                <w:sz w:val="14"/>
              </w:rPr>
            </w:pPr>
            <w:r>
              <w:rPr>
                <w:sz w:val="14"/>
              </w:rPr>
              <w:t>Cauções e Garantia</w:t>
            </w:r>
          </w:p>
        </w:tc>
        <w:tc>
          <w:tcPr>
            <w:tcW w:w="1570" w:type="dxa"/>
          </w:tcPr>
          <w:p>
            <w:pPr>
              <w:pStyle w:val="TableParagraph"/>
              <w:spacing w:before="36"/>
              <w:ind w:right="60"/>
              <w:jc w:val="right"/>
              <w:rPr>
                <w:sz w:val="14"/>
              </w:rPr>
            </w:pPr>
            <w:r>
              <w:rPr>
                <w:sz w:val="14"/>
              </w:rPr>
              <w:t>66</w:t>
            </w:r>
          </w:p>
        </w:tc>
        <w:tc>
          <w:tcPr>
            <w:tcW w:w="1570" w:type="dxa"/>
          </w:tcPr>
          <w:p>
            <w:pPr>
              <w:pStyle w:val="TableParagraph"/>
              <w:spacing w:before="36"/>
              <w:ind w:right="57"/>
              <w:jc w:val="right"/>
              <w:rPr>
                <w:sz w:val="14"/>
              </w:rPr>
            </w:pPr>
            <w:r>
              <w:rPr>
                <w:sz w:val="14"/>
              </w:rPr>
              <w:t>72</w:t>
            </w:r>
          </w:p>
        </w:tc>
        <w:tc>
          <w:tcPr>
            <w:tcW w:w="1571" w:type="dxa"/>
          </w:tcPr>
          <w:p>
            <w:pPr>
              <w:pStyle w:val="TableParagraph"/>
              <w:spacing w:before="36"/>
              <w:ind w:right="58"/>
              <w:jc w:val="right"/>
              <w:rPr>
                <w:sz w:val="14"/>
              </w:rPr>
            </w:pPr>
            <w:r>
              <w:rPr>
                <w:sz w:val="14"/>
              </w:rPr>
              <w:t>962</w:t>
            </w:r>
          </w:p>
        </w:tc>
        <w:tc>
          <w:tcPr>
            <w:tcW w:w="1573" w:type="dxa"/>
          </w:tcPr>
          <w:p>
            <w:pPr>
              <w:pStyle w:val="TableParagraph"/>
              <w:spacing w:before="36"/>
              <w:ind w:right="63"/>
              <w:jc w:val="right"/>
              <w:rPr>
                <w:sz w:val="14"/>
              </w:rPr>
            </w:pPr>
            <w:r>
              <w:rPr>
                <w:sz w:val="14"/>
              </w:rPr>
              <w:t>537</w:t>
            </w:r>
          </w:p>
        </w:tc>
      </w:tr>
      <w:tr>
        <w:trPr>
          <w:trHeight w:val="237" w:hRule="atLeast"/>
        </w:trPr>
        <w:tc>
          <w:tcPr>
            <w:tcW w:w="3687" w:type="dxa"/>
          </w:tcPr>
          <w:p>
            <w:pPr>
              <w:pStyle w:val="TableParagraph"/>
              <w:spacing w:before="36"/>
              <w:ind w:left="72"/>
              <w:rPr>
                <w:sz w:val="14"/>
              </w:rPr>
            </w:pPr>
            <w:r>
              <w:rPr>
                <w:sz w:val="14"/>
              </w:rPr>
              <w:t>Obrigações Com Empresas Ligadas</w:t>
            </w:r>
          </w:p>
        </w:tc>
        <w:tc>
          <w:tcPr>
            <w:tcW w:w="1570" w:type="dxa"/>
          </w:tcPr>
          <w:p>
            <w:pPr>
              <w:pStyle w:val="TableParagraph"/>
              <w:spacing w:before="36"/>
              <w:ind w:right="60"/>
              <w:jc w:val="right"/>
              <w:rPr>
                <w:sz w:val="14"/>
              </w:rPr>
            </w:pPr>
            <w:r>
              <w:rPr>
                <w:sz w:val="14"/>
              </w:rPr>
              <w:t>64</w:t>
            </w:r>
          </w:p>
        </w:tc>
        <w:tc>
          <w:tcPr>
            <w:tcW w:w="1570" w:type="dxa"/>
          </w:tcPr>
          <w:p>
            <w:pPr>
              <w:pStyle w:val="TableParagraph"/>
              <w:spacing w:before="36"/>
              <w:ind w:right="57"/>
              <w:jc w:val="right"/>
              <w:rPr>
                <w:sz w:val="14"/>
              </w:rPr>
            </w:pPr>
            <w:r>
              <w:rPr>
                <w:sz w:val="14"/>
              </w:rPr>
              <w:t>63</w:t>
            </w:r>
          </w:p>
        </w:tc>
        <w:tc>
          <w:tcPr>
            <w:tcW w:w="1571" w:type="dxa"/>
          </w:tcPr>
          <w:p>
            <w:pPr>
              <w:pStyle w:val="TableParagraph"/>
              <w:spacing w:before="36"/>
              <w:ind w:right="58"/>
              <w:jc w:val="right"/>
              <w:rPr>
                <w:sz w:val="14"/>
              </w:rPr>
            </w:pPr>
            <w:r>
              <w:rPr>
                <w:sz w:val="14"/>
              </w:rPr>
              <w:t>137</w:t>
            </w:r>
          </w:p>
        </w:tc>
        <w:tc>
          <w:tcPr>
            <w:tcW w:w="1573" w:type="dxa"/>
          </w:tcPr>
          <w:p>
            <w:pPr>
              <w:pStyle w:val="TableParagraph"/>
              <w:spacing w:before="36"/>
              <w:ind w:right="63"/>
              <w:jc w:val="right"/>
              <w:rPr>
                <w:sz w:val="14"/>
              </w:rPr>
            </w:pPr>
            <w:r>
              <w:rPr>
                <w:sz w:val="14"/>
              </w:rPr>
              <w:t>266</w:t>
            </w:r>
          </w:p>
        </w:tc>
      </w:tr>
      <w:tr>
        <w:trPr>
          <w:trHeight w:val="234" w:hRule="atLeast"/>
        </w:trPr>
        <w:tc>
          <w:tcPr>
            <w:tcW w:w="3687" w:type="dxa"/>
          </w:tcPr>
          <w:p>
            <w:pPr>
              <w:pStyle w:val="TableParagraph"/>
              <w:spacing w:before="36"/>
              <w:ind w:left="72"/>
              <w:rPr>
                <w:sz w:val="14"/>
              </w:rPr>
            </w:pPr>
            <w:r>
              <w:rPr>
                <w:sz w:val="14"/>
              </w:rPr>
              <w:t>Outras Obrigações</w:t>
            </w:r>
          </w:p>
        </w:tc>
        <w:tc>
          <w:tcPr>
            <w:tcW w:w="1570" w:type="dxa"/>
          </w:tcPr>
          <w:p>
            <w:pPr>
              <w:pStyle w:val="TableParagraph"/>
              <w:spacing w:before="36"/>
              <w:ind w:right="60"/>
              <w:jc w:val="right"/>
              <w:rPr>
                <w:sz w:val="14"/>
              </w:rPr>
            </w:pPr>
            <w:r>
              <w:rPr>
                <w:sz w:val="14"/>
              </w:rPr>
              <w:t>850</w:t>
            </w:r>
          </w:p>
        </w:tc>
        <w:tc>
          <w:tcPr>
            <w:tcW w:w="1570" w:type="dxa"/>
          </w:tcPr>
          <w:p>
            <w:pPr>
              <w:pStyle w:val="TableParagraph"/>
              <w:spacing w:before="36"/>
              <w:ind w:right="57"/>
              <w:jc w:val="right"/>
              <w:rPr>
                <w:sz w:val="14"/>
              </w:rPr>
            </w:pPr>
            <w:r>
              <w:rPr>
                <w:w w:val="105"/>
                <w:sz w:val="14"/>
              </w:rPr>
              <w:t>87</w:t>
            </w:r>
          </w:p>
        </w:tc>
        <w:tc>
          <w:tcPr>
            <w:tcW w:w="1571" w:type="dxa"/>
          </w:tcPr>
          <w:p>
            <w:pPr>
              <w:pStyle w:val="TableParagraph"/>
              <w:spacing w:before="36"/>
              <w:ind w:right="58"/>
              <w:jc w:val="right"/>
              <w:rPr>
                <w:sz w:val="14"/>
              </w:rPr>
            </w:pPr>
            <w:r>
              <w:rPr>
                <w:w w:val="95"/>
                <w:sz w:val="14"/>
              </w:rPr>
              <w:t>3.600</w:t>
            </w:r>
          </w:p>
        </w:tc>
        <w:tc>
          <w:tcPr>
            <w:tcW w:w="1573" w:type="dxa"/>
          </w:tcPr>
          <w:p>
            <w:pPr>
              <w:pStyle w:val="TableParagraph"/>
              <w:spacing w:before="36"/>
              <w:ind w:right="61"/>
              <w:jc w:val="right"/>
              <w:rPr>
                <w:sz w:val="14"/>
              </w:rPr>
            </w:pPr>
            <w:r>
              <w:rPr>
                <w:w w:val="95"/>
                <w:sz w:val="14"/>
              </w:rPr>
              <w:t>2.574</w:t>
            </w:r>
          </w:p>
        </w:tc>
      </w:tr>
      <w:tr>
        <w:trPr>
          <w:trHeight w:val="237" w:hRule="atLeast"/>
        </w:trPr>
        <w:tc>
          <w:tcPr>
            <w:tcW w:w="3687" w:type="dxa"/>
          </w:tcPr>
          <w:p>
            <w:pPr>
              <w:pStyle w:val="TableParagraph"/>
              <w:spacing w:before="34"/>
              <w:ind w:left="72"/>
              <w:rPr>
                <w:rFonts w:ascii="Caladea"/>
                <w:b/>
                <w:sz w:val="14"/>
              </w:rPr>
            </w:pPr>
            <w:r>
              <w:rPr>
                <w:rFonts w:ascii="Caladea"/>
                <w:b/>
                <w:sz w:val="14"/>
              </w:rPr>
              <w:t>Total</w:t>
            </w:r>
          </w:p>
        </w:tc>
        <w:tc>
          <w:tcPr>
            <w:tcW w:w="1570" w:type="dxa"/>
          </w:tcPr>
          <w:p>
            <w:pPr>
              <w:pStyle w:val="TableParagraph"/>
              <w:spacing w:before="34"/>
              <w:ind w:right="59"/>
              <w:jc w:val="right"/>
              <w:rPr>
                <w:rFonts w:ascii="Caladea"/>
                <w:b/>
                <w:sz w:val="14"/>
              </w:rPr>
            </w:pPr>
            <w:r>
              <w:rPr>
                <w:rFonts w:ascii="Caladea"/>
                <w:b/>
                <w:w w:val="95"/>
                <w:sz w:val="14"/>
              </w:rPr>
              <w:t>1.172</w:t>
            </w:r>
          </w:p>
        </w:tc>
        <w:tc>
          <w:tcPr>
            <w:tcW w:w="1570" w:type="dxa"/>
          </w:tcPr>
          <w:p>
            <w:pPr>
              <w:pStyle w:val="TableParagraph"/>
              <w:spacing w:before="34"/>
              <w:ind w:right="57"/>
              <w:jc w:val="right"/>
              <w:rPr>
                <w:rFonts w:ascii="Caladea"/>
                <w:b/>
                <w:sz w:val="14"/>
              </w:rPr>
            </w:pPr>
            <w:r>
              <w:rPr>
                <w:rFonts w:ascii="Caladea"/>
                <w:b/>
                <w:w w:val="95"/>
                <w:sz w:val="14"/>
              </w:rPr>
              <w:t>414</w:t>
            </w:r>
          </w:p>
        </w:tc>
        <w:tc>
          <w:tcPr>
            <w:tcW w:w="1571" w:type="dxa"/>
          </w:tcPr>
          <w:p>
            <w:pPr>
              <w:pStyle w:val="TableParagraph"/>
              <w:spacing w:before="34"/>
              <w:ind w:right="58"/>
              <w:jc w:val="right"/>
              <w:rPr>
                <w:rFonts w:ascii="Caladea"/>
                <w:b/>
                <w:sz w:val="14"/>
              </w:rPr>
            </w:pPr>
            <w:r>
              <w:rPr>
                <w:rFonts w:ascii="Caladea"/>
                <w:b/>
                <w:w w:val="95"/>
                <w:sz w:val="14"/>
              </w:rPr>
              <w:t>101.756</w:t>
            </w:r>
          </w:p>
        </w:tc>
        <w:tc>
          <w:tcPr>
            <w:tcW w:w="1573" w:type="dxa"/>
          </w:tcPr>
          <w:p>
            <w:pPr>
              <w:pStyle w:val="TableParagraph"/>
              <w:spacing w:before="34"/>
              <w:ind w:right="61"/>
              <w:jc w:val="right"/>
              <w:rPr>
                <w:rFonts w:ascii="Caladea"/>
                <w:b/>
                <w:sz w:val="14"/>
              </w:rPr>
            </w:pPr>
            <w:r>
              <w:rPr>
                <w:rFonts w:ascii="Caladea"/>
                <w:b/>
                <w:sz w:val="14"/>
              </w:rPr>
              <w:t>44.524</w:t>
            </w:r>
          </w:p>
        </w:tc>
      </w:tr>
      <w:tr>
        <w:trPr>
          <w:trHeight w:val="234" w:hRule="atLeast"/>
        </w:trPr>
        <w:tc>
          <w:tcPr>
            <w:tcW w:w="3687" w:type="dxa"/>
          </w:tcPr>
          <w:p>
            <w:pPr>
              <w:pStyle w:val="TableParagraph"/>
              <w:spacing w:before="35"/>
              <w:ind w:left="72"/>
              <w:rPr>
                <w:rFonts w:ascii="Caladea"/>
                <w:b/>
                <w:sz w:val="14"/>
              </w:rPr>
            </w:pPr>
            <w:r>
              <w:rPr>
                <w:rFonts w:ascii="Caladea"/>
                <w:b/>
                <w:sz w:val="14"/>
              </w:rPr>
              <w:t>Circulante</w:t>
            </w:r>
          </w:p>
        </w:tc>
        <w:tc>
          <w:tcPr>
            <w:tcW w:w="1570" w:type="dxa"/>
          </w:tcPr>
          <w:p>
            <w:pPr>
              <w:pStyle w:val="TableParagraph"/>
              <w:spacing w:before="35"/>
              <w:ind w:right="59"/>
              <w:jc w:val="right"/>
              <w:rPr>
                <w:rFonts w:ascii="Caladea"/>
                <w:b/>
                <w:sz w:val="14"/>
              </w:rPr>
            </w:pPr>
            <w:r>
              <w:rPr>
                <w:rFonts w:ascii="Caladea"/>
                <w:b/>
                <w:w w:val="95"/>
                <w:sz w:val="14"/>
              </w:rPr>
              <w:t>1.172</w:t>
            </w:r>
          </w:p>
        </w:tc>
        <w:tc>
          <w:tcPr>
            <w:tcW w:w="1570" w:type="dxa"/>
          </w:tcPr>
          <w:p>
            <w:pPr>
              <w:pStyle w:val="TableParagraph"/>
              <w:spacing w:before="35"/>
              <w:ind w:right="57"/>
              <w:jc w:val="right"/>
              <w:rPr>
                <w:rFonts w:ascii="Caladea"/>
                <w:b/>
                <w:sz w:val="14"/>
              </w:rPr>
            </w:pPr>
            <w:r>
              <w:rPr>
                <w:rFonts w:ascii="Caladea"/>
                <w:b/>
                <w:w w:val="95"/>
                <w:sz w:val="14"/>
              </w:rPr>
              <w:t>414</w:t>
            </w:r>
          </w:p>
        </w:tc>
        <w:tc>
          <w:tcPr>
            <w:tcW w:w="1571" w:type="dxa"/>
          </w:tcPr>
          <w:p>
            <w:pPr>
              <w:pStyle w:val="TableParagraph"/>
              <w:spacing w:before="35"/>
              <w:ind w:right="58"/>
              <w:jc w:val="right"/>
              <w:rPr>
                <w:rFonts w:ascii="Caladea"/>
                <w:b/>
                <w:sz w:val="14"/>
              </w:rPr>
            </w:pPr>
            <w:r>
              <w:rPr>
                <w:rFonts w:ascii="Caladea"/>
                <w:b/>
                <w:sz w:val="14"/>
              </w:rPr>
              <w:t>30.124</w:t>
            </w:r>
          </w:p>
        </w:tc>
        <w:tc>
          <w:tcPr>
            <w:tcW w:w="1573" w:type="dxa"/>
          </w:tcPr>
          <w:p>
            <w:pPr>
              <w:pStyle w:val="TableParagraph"/>
              <w:spacing w:before="35"/>
              <w:ind w:right="61"/>
              <w:jc w:val="right"/>
              <w:rPr>
                <w:rFonts w:ascii="Caladea"/>
                <w:b/>
                <w:sz w:val="14"/>
              </w:rPr>
            </w:pPr>
            <w:r>
              <w:rPr>
                <w:rFonts w:ascii="Caladea"/>
                <w:b/>
                <w:sz w:val="14"/>
              </w:rPr>
              <w:t>38.655</w:t>
            </w:r>
          </w:p>
        </w:tc>
      </w:tr>
      <w:tr>
        <w:trPr>
          <w:trHeight w:val="237" w:hRule="atLeast"/>
        </w:trPr>
        <w:tc>
          <w:tcPr>
            <w:tcW w:w="3687" w:type="dxa"/>
          </w:tcPr>
          <w:p>
            <w:pPr>
              <w:pStyle w:val="TableParagraph"/>
              <w:spacing w:before="35"/>
              <w:ind w:left="72"/>
              <w:rPr>
                <w:rFonts w:ascii="Caladea" w:hAnsi="Caladea"/>
                <w:b/>
                <w:sz w:val="14"/>
              </w:rPr>
            </w:pPr>
            <w:r>
              <w:rPr>
                <w:rFonts w:ascii="Caladea" w:hAnsi="Caladea"/>
                <w:b/>
                <w:sz w:val="14"/>
              </w:rPr>
              <w:t>Não Circulante</w:t>
            </w:r>
          </w:p>
        </w:tc>
        <w:tc>
          <w:tcPr>
            <w:tcW w:w="1570" w:type="dxa"/>
          </w:tcPr>
          <w:p>
            <w:pPr>
              <w:pStyle w:val="TableParagraph"/>
              <w:rPr>
                <w:rFonts w:ascii="Times New Roman"/>
                <w:sz w:val="16"/>
              </w:rPr>
            </w:pPr>
          </w:p>
        </w:tc>
        <w:tc>
          <w:tcPr>
            <w:tcW w:w="1570" w:type="dxa"/>
          </w:tcPr>
          <w:p>
            <w:pPr>
              <w:pStyle w:val="TableParagraph"/>
              <w:rPr>
                <w:rFonts w:ascii="Times New Roman"/>
                <w:sz w:val="16"/>
              </w:rPr>
            </w:pPr>
          </w:p>
        </w:tc>
        <w:tc>
          <w:tcPr>
            <w:tcW w:w="1571" w:type="dxa"/>
          </w:tcPr>
          <w:p>
            <w:pPr>
              <w:pStyle w:val="TableParagraph"/>
              <w:spacing w:before="35"/>
              <w:ind w:right="58"/>
              <w:jc w:val="right"/>
              <w:rPr>
                <w:rFonts w:ascii="Caladea"/>
                <w:b/>
                <w:sz w:val="14"/>
              </w:rPr>
            </w:pPr>
            <w:r>
              <w:rPr>
                <w:rFonts w:ascii="Caladea"/>
                <w:b/>
                <w:sz w:val="14"/>
              </w:rPr>
              <w:t>71.632</w:t>
            </w:r>
          </w:p>
        </w:tc>
        <w:tc>
          <w:tcPr>
            <w:tcW w:w="1573" w:type="dxa"/>
          </w:tcPr>
          <w:p>
            <w:pPr>
              <w:pStyle w:val="TableParagraph"/>
              <w:spacing w:before="35"/>
              <w:ind w:right="61"/>
              <w:jc w:val="right"/>
              <w:rPr>
                <w:rFonts w:ascii="Caladea"/>
                <w:b/>
                <w:sz w:val="14"/>
              </w:rPr>
            </w:pPr>
            <w:r>
              <w:rPr>
                <w:rFonts w:ascii="Caladea"/>
                <w:b/>
                <w:w w:val="95"/>
                <w:sz w:val="14"/>
              </w:rPr>
              <w:t>5.869</w:t>
            </w:r>
          </w:p>
        </w:tc>
      </w:tr>
    </w:tbl>
    <w:p>
      <w:pPr>
        <w:spacing w:before="242"/>
        <w:ind w:left="533" w:right="0" w:firstLine="0"/>
        <w:jc w:val="left"/>
        <w:rPr>
          <w:rFonts w:ascii="Caladea" w:hAnsi="Caladea"/>
          <w:b/>
          <w:sz w:val="20"/>
        </w:rPr>
      </w:pPr>
      <w:r>
        <w:rPr>
          <w:rFonts w:ascii="Caladea" w:hAnsi="Caladea"/>
          <w:b/>
          <w:sz w:val="20"/>
        </w:rPr>
        <w:t>(a) PIS/COFINS derivada da exclusão do ICMS das respectivas bases de cálculos</w:t>
      </w:r>
    </w:p>
    <w:p>
      <w:pPr>
        <w:pStyle w:val="BodyText"/>
        <w:spacing w:before="6"/>
        <w:rPr>
          <w:rFonts w:ascii="Caladea"/>
          <w:b/>
        </w:rPr>
      </w:pPr>
    </w:p>
    <w:p>
      <w:pPr>
        <w:pStyle w:val="BodyText"/>
        <w:spacing w:line="242" w:lineRule="auto"/>
        <w:ind w:left="172" w:right="406"/>
        <w:jc w:val="both"/>
      </w:pPr>
      <w:r>
        <w:rPr/>
        <w:t>Por</w:t>
      </w:r>
      <w:r>
        <w:rPr>
          <w:spacing w:val="-24"/>
        </w:rPr>
        <w:t> </w:t>
      </w:r>
      <w:r>
        <w:rPr/>
        <w:t>maioria</w:t>
      </w:r>
      <w:r>
        <w:rPr>
          <w:spacing w:val="-23"/>
        </w:rPr>
        <w:t> </w:t>
      </w:r>
      <w:r>
        <w:rPr/>
        <w:t>de</w:t>
      </w:r>
      <w:r>
        <w:rPr>
          <w:spacing w:val="-24"/>
        </w:rPr>
        <w:t> </w:t>
      </w:r>
      <w:r>
        <w:rPr/>
        <w:t>votos,</w:t>
      </w:r>
      <w:r>
        <w:rPr>
          <w:spacing w:val="-22"/>
        </w:rPr>
        <w:t> </w:t>
      </w:r>
      <w:r>
        <w:rPr/>
        <w:t>o</w:t>
      </w:r>
      <w:r>
        <w:rPr>
          <w:spacing w:val="-21"/>
        </w:rPr>
        <w:t> </w:t>
      </w:r>
      <w:r>
        <w:rPr/>
        <w:t>Plenário</w:t>
      </w:r>
      <w:r>
        <w:rPr>
          <w:spacing w:val="-24"/>
        </w:rPr>
        <w:t> </w:t>
      </w:r>
      <w:r>
        <w:rPr/>
        <w:t>do</w:t>
      </w:r>
      <w:r>
        <w:rPr>
          <w:spacing w:val="-24"/>
        </w:rPr>
        <w:t> </w:t>
      </w:r>
      <w:r>
        <w:rPr/>
        <w:t>Supremo</w:t>
      </w:r>
      <w:r>
        <w:rPr>
          <w:spacing w:val="-22"/>
        </w:rPr>
        <w:t> </w:t>
      </w:r>
      <w:r>
        <w:rPr/>
        <w:t>Tribunal</w:t>
      </w:r>
      <w:r>
        <w:rPr>
          <w:spacing w:val="-23"/>
        </w:rPr>
        <w:t> </w:t>
      </w:r>
      <w:r>
        <w:rPr/>
        <w:t>Federal</w:t>
      </w:r>
      <w:r>
        <w:rPr>
          <w:spacing w:val="-23"/>
        </w:rPr>
        <w:t> </w:t>
      </w:r>
      <w:r>
        <w:rPr/>
        <w:t>(STF),</w:t>
      </w:r>
      <w:r>
        <w:rPr>
          <w:spacing w:val="-15"/>
        </w:rPr>
        <w:t> </w:t>
      </w:r>
      <w:r>
        <w:rPr/>
        <w:t>em</w:t>
      </w:r>
      <w:r>
        <w:rPr>
          <w:spacing w:val="-24"/>
        </w:rPr>
        <w:t> </w:t>
      </w:r>
      <w:r>
        <w:rPr/>
        <w:t>sessão</w:t>
      </w:r>
      <w:r>
        <w:rPr>
          <w:spacing w:val="-24"/>
        </w:rPr>
        <w:t> </w:t>
      </w:r>
      <w:r>
        <w:rPr/>
        <w:t>realizada</w:t>
      </w:r>
      <w:r>
        <w:rPr>
          <w:spacing w:val="-23"/>
        </w:rPr>
        <w:t> </w:t>
      </w:r>
      <w:r>
        <w:rPr/>
        <w:t>em</w:t>
      </w:r>
      <w:r>
        <w:rPr>
          <w:spacing w:val="-22"/>
        </w:rPr>
        <w:t> </w:t>
      </w:r>
      <w:r>
        <w:rPr/>
        <w:t>15</w:t>
      </w:r>
      <w:r>
        <w:rPr>
          <w:spacing w:val="-19"/>
        </w:rPr>
        <w:t> </w:t>
      </w:r>
      <w:r>
        <w:rPr/>
        <w:t>de</w:t>
      </w:r>
      <w:r>
        <w:rPr>
          <w:spacing w:val="-24"/>
        </w:rPr>
        <w:t> </w:t>
      </w:r>
      <w:r>
        <w:rPr/>
        <w:t>março</w:t>
      </w:r>
      <w:r>
        <w:rPr>
          <w:spacing w:val="-24"/>
        </w:rPr>
        <w:t> </w:t>
      </w:r>
      <w:r>
        <w:rPr/>
        <w:t>de</w:t>
      </w:r>
      <w:r>
        <w:rPr>
          <w:spacing w:val="-22"/>
        </w:rPr>
        <w:t> </w:t>
      </w:r>
      <w:r>
        <w:rPr/>
        <w:t>2017, decidiu que o Imposto Sobre Circulação de Mercadorias e Serviços (ICMS) não integra a base de cálculo das contribuições</w:t>
      </w:r>
      <w:r>
        <w:rPr>
          <w:spacing w:val="-12"/>
        </w:rPr>
        <w:t> </w:t>
      </w:r>
      <w:r>
        <w:rPr/>
        <w:t>para</w:t>
      </w:r>
      <w:r>
        <w:rPr>
          <w:spacing w:val="-11"/>
        </w:rPr>
        <w:t> </w:t>
      </w:r>
      <w:r>
        <w:rPr/>
        <w:t>o</w:t>
      </w:r>
      <w:r>
        <w:rPr>
          <w:spacing w:val="-10"/>
        </w:rPr>
        <w:t> </w:t>
      </w:r>
      <w:r>
        <w:rPr/>
        <w:t>Programa</w:t>
      </w:r>
      <w:r>
        <w:rPr>
          <w:spacing w:val="-11"/>
        </w:rPr>
        <w:t> </w:t>
      </w:r>
      <w:r>
        <w:rPr/>
        <w:t>de</w:t>
      </w:r>
      <w:r>
        <w:rPr>
          <w:spacing w:val="-13"/>
        </w:rPr>
        <w:t> </w:t>
      </w:r>
      <w:r>
        <w:rPr/>
        <w:t>Integração</w:t>
      </w:r>
      <w:r>
        <w:rPr>
          <w:spacing w:val="-12"/>
        </w:rPr>
        <w:t> </w:t>
      </w:r>
      <w:r>
        <w:rPr/>
        <w:t>Social</w:t>
      </w:r>
      <w:r>
        <w:rPr>
          <w:spacing w:val="-11"/>
        </w:rPr>
        <w:t> </w:t>
      </w:r>
      <w:r>
        <w:rPr/>
        <w:t>(PIS)</w:t>
      </w:r>
      <w:r>
        <w:rPr>
          <w:spacing w:val="-12"/>
        </w:rPr>
        <w:t> </w:t>
      </w:r>
      <w:r>
        <w:rPr/>
        <w:t>e</w:t>
      </w:r>
      <w:r>
        <w:rPr>
          <w:spacing w:val="-12"/>
        </w:rPr>
        <w:t> </w:t>
      </w:r>
      <w:r>
        <w:rPr/>
        <w:t>da</w:t>
      </w:r>
      <w:r>
        <w:rPr>
          <w:spacing w:val="-12"/>
        </w:rPr>
        <w:t> </w:t>
      </w:r>
      <w:r>
        <w:rPr/>
        <w:t>Contribuição</w:t>
      </w:r>
      <w:r>
        <w:rPr>
          <w:spacing w:val="-9"/>
        </w:rPr>
        <w:t> </w:t>
      </w:r>
      <w:r>
        <w:rPr/>
        <w:t>para</w:t>
      </w:r>
      <w:r>
        <w:rPr>
          <w:spacing w:val="-12"/>
        </w:rPr>
        <w:t> </w:t>
      </w:r>
      <w:r>
        <w:rPr/>
        <w:t>o</w:t>
      </w:r>
      <w:r>
        <w:rPr>
          <w:spacing w:val="-10"/>
        </w:rPr>
        <w:t> </w:t>
      </w:r>
      <w:r>
        <w:rPr/>
        <w:t>Financiamento</w:t>
      </w:r>
      <w:r>
        <w:rPr>
          <w:spacing w:val="-11"/>
        </w:rPr>
        <w:t> </w:t>
      </w:r>
      <w:r>
        <w:rPr/>
        <w:t>da</w:t>
      </w:r>
      <w:r>
        <w:rPr>
          <w:spacing w:val="-11"/>
        </w:rPr>
        <w:t> </w:t>
      </w:r>
      <w:r>
        <w:rPr/>
        <w:t>Seguridade Social</w:t>
      </w:r>
      <w:r>
        <w:rPr>
          <w:spacing w:val="-18"/>
        </w:rPr>
        <w:t> </w:t>
      </w:r>
      <w:r>
        <w:rPr/>
        <w:t>(COFINS).</w:t>
      </w:r>
    </w:p>
    <w:p>
      <w:pPr>
        <w:pStyle w:val="BodyText"/>
        <w:spacing w:line="242" w:lineRule="auto" w:before="120"/>
        <w:ind w:left="172" w:right="410"/>
        <w:jc w:val="both"/>
      </w:pPr>
      <w:r>
        <w:rPr/>
        <w:t>Ao</w:t>
      </w:r>
      <w:r>
        <w:rPr>
          <w:spacing w:val="-41"/>
        </w:rPr>
        <w:t> </w:t>
      </w:r>
      <w:r>
        <w:rPr/>
        <w:t>finalizar</w:t>
      </w:r>
      <w:r>
        <w:rPr>
          <w:spacing w:val="-40"/>
        </w:rPr>
        <w:t> </w:t>
      </w:r>
      <w:r>
        <w:rPr/>
        <w:t>o</w:t>
      </w:r>
      <w:r>
        <w:rPr>
          <w:spacing w:val="-39"/>
        </w:rPr>
        <w:t> </w:t>
      </w:r>
      <w:r>
        <w:rPr/>
        <w:t>julgamento</w:t>
      </w:r>
      <w:r>
        <w:rPr>
          <w:spacing w:val="-39"/>
        </w:rPr>
        <w:t> </w:t>
      </w:r>
      <w:r>
        <w:rPr/>
        <w:t>do</w:t>
      </w:r>
      <w:r>
        <w:rPr>
          <w:spacing w:val="-37"/>
        </w:rPr>
        <w:t> </w:t>
      </w:r>
      <w:r>
        <w:rPr/>
        <w:t>Recurso</w:t>
      </w:r>
      <w:r>
        <w:rPr>
          <w:spacing w:val="-40"/>
        </w:rPr>
        <w:t> </w:t>
      </w:r>
      <w:r>
        <w:rPr/>
        <w:t>Extraordinário</w:t>
      </w:r>
      <w:r>
        <w:rPr>
          <w:spacing w:val="-39"/>
        </w:rPr>
        <w:t> </w:t>
      </w:r>
      <w:r>
        <w:rPr/>
        <w:t>(RE)</w:t>
      </w:r>
      <w:r>
        <w:rPr>
          <w:spacing w:val="-40"/>
        </w:rPr>
        <w:t> </w:t>
      </w:r>
      <w:r>
        <w:rPr/>
        <w:t>574706-9,</w:t>
      </w:r>
      <w:r>
        <w:rPr>
          <w:spacing w:val="-38"/>
        </w:rPr>
        <w:t> </w:t>
      </w:r>
      <w:r>
        <w:rPr/>
        <w:t>com</w:t>
      </w:r>
      <w:r>
        <w:rPr>
          <w:spacing w:val="-39"/>
        </w:rPr>
        <w:t> </w:t>
      </w:r>
      <w:r>
        <w:rPr/>
        <w:t>repercussão</w:t>
      </w:r>
      <w:r>
        <w:rPr>
          <w:spacing w:val="-39"/>
        </w:rPr>
        <w:t> </w:t>
      </w:r>
      <w:r>
        <w:rPr/>
        <w:t>geral</w:t>
      </w:r>
      <w:r>
        <w:rPr>
          <w:spacing w:val="-38"/>
        </w:rPr>
        <w:t> </w:t>
      </w:r>
      <w:r>
        <w:rPr/>
        <w:t>reconhecida,</w:t>
      </w:r>
      <w:r>
        <w:rPr>
          <w:spacing w:val="-40"/>
        </w:rPr>
        <w:t> </w:t>
      </w:r>
      <w:r>
        <w:rPr/>
        <w:t>os</w:t>
      </w:r>
      <w:r>
        <w:rPr>
          <w:spacing w:val="-38"/>
        </w:rPr>
        <w:t> </w:t>
      </w:r>
      <w:r>
        <w:rPr/>
        <w:t>ministros entenderam</w:t>
      </w:r>
      <w:r>
        <w:rPr>
          <w:spacing w:val="-31"/>
        </w:rPr>
        <w:t> </w:t>
      </w:r>
      <w:r>
        <w:rPr/>
        <w:t>que</w:t>
      </w:r>
      <w:r>
        <w:rPr>
          <w:spacing w:val="-32"/>
        </w:rPr>
        <w:t> </w:t>
      </w:r>
      <w:r>
        <w:rPr/>
        <w:t>o</w:t>
      </w:r>
      <w:r>
        <w:rPr>
          <w:spacing w:val="-31"/>
        </w:rPr>
        <w:t> </w:t>
      </w:r>
      <w:r>
        <w:rPr/>
        <w:t>valor</w:t>
      </w:r>
      <w:r>
        <w:rPr>
          <w:spacing w:val="-31"/>
        </w:rPr>
        <w:t> </w:t>
      </w:r>
      <w:r>
        <w:rPr/>
        <w:t>arrecadado</w:t>
      </w:r>
      <w:r>
        <w:rPr>
          <w:spacing w:val="-31"/>
        </w:rPr>
        <w:t> </w:t>
      </w:r>
      <w:r>
        <w:rPr/>
        <w:t>a</w:t>
      </w:r>
      <w:r>
        <w:rPr>
          <w:spacing w:val="-31"/>
        </w:rPr>
        <w:t> </w:t>
      </w:r>
      <w:r>
        <w:rPr/>
        <w:t>título</w:t>
      </w:r>
      <w:r>
        <w:rPr>
          <w:spacing w:val="-30"/>
        </w:rPr>
        <w:t> </w:t>
      </w:r>
      <w:r>
        <w:rPr/>
        <w:t>de</w:t>
      </w:r>
      <w:r>
        <w:rPr>
          <w:spacing w:val="-32"/>
        </w:rPr>
        <w:t> </w:t>
      </w:r>
      <w:r>
        <w:rPr/>
        <w:t>ICMS</w:t>
      </w:r>
      <w:r>
        <w:rPr>
          <w:spacing w:val="-30"/>
        </w:rPr>
        <w:t> </w:t>
      </w:r>
      <w:r>
        <w:rPr/>
        <w:t>não</w:t>
      </w:r>
      <w:r>
        <w:rPr>
          <w:spacing w:val="-31"/>
        </w:rPr>
        <w:t> </w:t>
      </w:r>
      <w:r>
        <w:rPr/>
        <w:t>se</w:t>
      </w:r>
      <w:r>
        <w:rPr>
          <w:spacing w:val="-31"/>
        </w:rPr>
        <w:t> </w:t>
      </w:r>
      <w:r>
        <w:rPr/>
        <w:t>incorpora</w:t>
      </w:r>
      <w:r>
        <w:rPr>
          <w:spacing w:val="-30"/>
        </w:rPr>
        <w:t> </w:t>
      </w:r>
      <w:r>
        <w:rPr/>
        <w:t>ao</w:t>
      </w:r>
      <w:r>
        <w:rPr>
          <w:spacing w:val="-32"/>
        </w:rPr>
        <w:t> </w:t>
      </w:r>
      <w:r>
        <w:rPr/>
        <w:t>patrimônio</w:t>
      </w:r>
      <w:r>
        <w:rPr>
          <w:spacing w:val="-31"/>
        </w:rPr>
        <w:t> </w:t>
      </w:r>
      <w:r>
        <w:rPr/>
        <w:t>do</w:t>
      </w:r>
      <w:r>
        <w:rPr>
          <w:spacing w:val="-31"/>
        </w:rPr>
        <w:t> </w:t>
      </w:r>
      <w:r>
        <w:rPr/>
        <w:t>contribuinte</w:t>
      </w:r>
      <w:r>
        <w:rPr>
          <w:spacing w:val="-31"/>
        </w:rPr>
        <w:t> </w:t>
      </w:r>
      <w:r>
        <w:rPr/>
        <w:t>e,</w:t>
      </w:r>
      <w:r>
        <w:rPr>
          <w:spacing w:val="-30"/>
        </w:rPr>
        <w:t> </w:t>
      </w:r>
      <w:r>
        <w:rPr/>
        <w:t>dessa</w:t>
      </w:r>
      <w:r>
        <w:rPr>
          <w:spacing w:val="-31"/>
        </w:rPr>
        <w:t> </w:t>
      </w:r>
      <w:r>
        <w:rPr/>
        <w:t>forma, não</w:t>
      </w:r>
      <w:r>
        <w:rPr>
          <w:spacing w:val="-40"/>
        </w:rPr>
        <w:t> </w:t>
      </w:r>
      <w:r>
        <w:rPr/>
        <w:t>pode</w:t>
      </w:r>
      <w:r>
        <w:rPr>
          <w:spacing w:val="-40"/>
        </w:rPr>
        <w:t> </w:t>
      </w:r>
      <w:r>
        <w:rPr/>
        <w:t>integrar</w:t>
      </w:r>
      <w:r>
        <w:rPr>
          <w:spacing w:val="-40"/>
        </w:rPr>
        <w:t> </w:t>
      </w:r>
      <w:r>
        <w:rPr/>
        <w:t>a</w:t>
      </w:r>
      <w:r>
        <w:rPr>
          <w:spacing w:val="-38"/>
        </w:rPr>
        <w:t> </w:t>
      </w:r>
      <w:r>
        <w:rPr/>
        <w:t>base</w:t>
      </w:r>
      <w:r>
        <w:rPr>
          <w:spacing w:val="-39"/>
        </w:rPr>
        <w:t> </w:t>
      </w:r>
      <w:r>
        <w:rPr/>
        <w:t>de</w:t>
      </w:r>
      <w:r>
        <w:rPr>
          <w:spacing w:val="-38"/>
        </w:rPr>
        <w:t> </w:t>
      </w:r>
      <w:r>
        <w:rPr/>
        <w:t>cálculo</w:t>
      </w:r>
      <w:r>
        <w:rPr>
          <w:spacing w:val="-40"/>
        </w:rPr>
        <w:t> </w:t>
      </w:r>
      <w:r>
        <w:rPr/>
        <w:t>dessas</w:t>
      </w:r>
      <w:r>
        <w:rPr>
          <w:spacing w:val="-40"/>
        </w:rPr>
        <w:t> </w:t>
      </w:r>
      <w:r>
        <w:rPr/>
        <w:t>contribuições,</w:t>
      </w:r>
      <w:r>
        <w:rPr>
          <w:spacing w:val="-40"/>
        </w:rPr>
        <w:t> </w:t>
      </w:r>
      <w:r>
        <w:rPr/>
        <w:t>que</w:t>
      </w:r>
      <w:r>
        <w:rPr>
          <w:spacing w:val="-41"/>
        </w:rPr>
        <w:t> </w:t>
      </w:r>
      <w:r>
        <w:rPr/>
        <w:t>são</w:t>
      </w:r>
      <w:r>
        <w:rPr>
          <w:spacing w:val="-40"/>
        </w:rPr>
        <w:t> </w:t>
      </w:r>
      <w:r>
        <w:rPr/>
        <w:t>destinadas</w:t>
      </w:r>
      <w:r>
        <w:rPr>
          <w:spacing w:val="-39"/>
        </w:rPr>
        <w:t> </w:t>
      </w:r>
      <w:r>
        <w:rPr/>
        <w:t>ao</w:t>
      </w:r>
      <w:r>
        <w:rPr>
          <w:spacing w:val="-40"/>
        </w:rPr>
        <w:t> </w:t>
      </w:r>
      <w:r>
        <w:rPr/>
        <w:t>financiamento</w:t>
      </w:r>
      <w:r>
        <w:rPr>
          <w:spacing w:val="-41"/>
        </w:rPr>
        <w:t> </w:t>
      </w:r>
      <w:r>
        <w:rPr/>
        <w:t>da</w:t>
      </w:r>
      <w:r>
        <w:rPr>
          <w:spacing w:val="-39"/>
        </w:rPr>
        <w:t> </w:t>
      </w:r>
      <w:r>
        <w:rPr/>
        <w:t>seguridade</w:t>
      </w:r>
      <w:r>
        <w:rPr>
          <w:spacing w:val="-40"/>
        </w:rPr>
        <w:t> </w:t>
      </w:r>
      <w:r>
        <w:rPr/>
        <w:t>social.</w:t>
      </w:r>
    </w:p>
    <w:p>
      <w:pPr>
        <w:pStyle w:val="BodyText"/>
        <w:spacing w:line="242" w:lineRule="auto" w:before="120"/>
        <w:ind w:left="172" w:right="412"/>
        <w:jc w:val="both"/>
      </w:pPr>
      <w:r>
        <w:rPr/>
        <w:t>Prevaleceu</w:t>
      </w:r>
      <w:r>
        <w:rPr>
          <w:spacing w:val="-42"/>
        </w:rPr>
        <w:t> </w:t>
      </w:r>
      <w:r>
        <w:rPr/>
        <w:t>o</w:t>
      </w:r>
      <w:r>
        <w:rPr>
          <w:spacing w:val="-44"/>
        </w:rPr>
        <w:t> </w:t>
      </w:r>
      <w:r>
        <w:rPr/>
        <w:t>voto</w:t>
      </w:r>
      <w:r>
        <w:rPr>
          <w:spacing w:val="-42"/>
        </w:rPr>
        <w:t> </w:t>
      </w:r>
      <w:r>
        <w:rPr/>
        <w:t>da</w:t>
      </w:r>
      <w:r>
        <w:rPr>
          <w:spacing w:val="-41"/>
        </w:rPr>
        <w:t> </w:t>
      </w:r>
      <w:r>
        <w:rPr/>
        <w:t>relatora,</w:t>
      </w:r>
      <w:r>
        <w:rPr>
          <w:spacing w:val="-43"/>
        </w:rPr>
        <w:t> </w:t>
      </w:r>
      <w:r>
        <w:rPr/>
        <w:t>ministra</w:t>
      </w:r>
      <w:r>
        <w:rPr>
          <w:spacing w:val="-43"/>
        </w:rPr>
        <w:t> </w:t>
      </w:r>
      <w:r>
        <w:rPr/>
        <w:t>Cármen</w:t>
      </w:r>
      <w:r>
        <w:rPr>
          <w:spacing w:val="-42"/>
        </w:rPr>
        <w:t> </w:t>
      </w:r>
      <w:r>
        <w:rPr/>
        <w:t>Lúcia,</w:t>
      </w:r>
      <w:r>
        <w:rPr>
          <w:spacing w:val="-44"/>
        </w:rPr>
        <w:t> </w:t>
      </w:r>
      <w:r>
        <w:rPr/>
        <w:t>no</w:t>
      </w:r>
      <w:r>
        <w:rPr>
          <w:spacing w:val="-40"/>
        </w:rPr>
        <w:t> </w:t>
      </w:r>
      <w:r>
        <w:rPr/>
        <w:t>sentido</w:t>
      </w:r>
      <w:r>
        <w:rPr>
          <w:spacing w:val="-43"/>
        </w:rPr>
        <w:t> </w:t>
      </w:r>
      <w:r>
        <w:rPr/>
        <w:t>de</w:t>
      </w:r>
      <w:r>
        <w:rPr>
          <w:spacing w:val="-41"/>
        </w:rPr>
        <w:t> </w:t>
      </w:r>
      <w:r>
        <w:rPr/>
        <w:t>que</w:t>
      </w:r>
      <w:r>
        <w:rPr>
          <w:spacing w:val="-42"/>
        </w:rPr>
        <w:t> </w:t>
      </w:r>
      <w:r>
        <w:rPr/>
        <w:t>a</w:t>
      </w:r>
      <w:r>
        <w:rPr>
          <w:spacing w:val="-43"/>
        </w:rPr>
        <w:t> </w:t>
      </w:r>
      <w:r>
        <w:rPr/>
        <w:t>arrecadação</w:t>
      </w:r>
      <w:r>
        <w:rPr>
          <w:spacing w:val="-43"/>
        </w:rPr>
        <w:t> </w:t>
      </w:r>
      <w:r>
        <w:rPr/>
        <w:t>do</w:t>
      </w:r>
      <w:r>
        <w:rPr>
          <w:spacing w:val="-43"/>
        </w:rPr>
        <w:t> </w:t>
      </w:r>
      <w:r>
        <w:rPr/>
        <w:t>ICMS</w:t>
      </w:r>
      <w:r>
        <w:rPr>
          <w:spacing w:val="-42"/>
        </w:rPr>
        <w:t> </w:t>
      </w:r>
      <w:r>
        <w:rPr/>
        <w:t>não</w:t>
      </w:r>
      <w:r>
        <w:rPr>
          <w:spacing w:val="-42"/>
        </w:rPr>
        <w:t> </w:t>
      </w:r>
      <w:r>
        <w:rPr/>
        <w:t>se</w:t>
      </w:r>
      <w:r>
        <w:rPr>
          <w:spacing w:val="-42"/>
        </w:rPr>
        <w:t> </w:t>
      </w:r>
      <w:r>
        <w:rPr/>
        <w:t>enquadra</w:t>
      </w:r>
      <w:r>
        <w:rPr>
          <w:spacing w:val="-41"/>
        </w:rPr>
        <w:t> </w:t>
      </w:r>
      <w:r>
        <w:rPr/>
        <w:t>entre </w:t>
      </w:r>
      <w:r>
        <w:rPr>
          <w:w w:val="95"/>
        </w:rPr>
        <w:t>as</w:t>
      </w:r>
      <w:r>
        <w:rPr>
          <w:spacing w:val="-23"/>
          <w:w w:val="95"/>
        </w:rPr>
        <w:t> </w:t>
      </w:r>
      <w:r>
        <w:rPr>
          <w:w w:val="95"/>
        </w:rPr>
        <w:t>fontes</w:t>
      </w:r>
      <w:r>
        <w:rPr>
          <w:spacing w:val="-23"/>
          <w:w w:val="95"/>
        </w:rPr>
        <w:t> </w:t>
      </w:r>
      <w:r>
        <w:rPr>
          <w:w w:val="95"/>
        </w:rPr>
        <w:t>de</w:t>
      </w:r>
      <w:r>
        <w:rPr>
          <w:spacing w:val="-23"/>
          <w:w w:val="95"/>
        </w:rPr>
        <w:t> </w:t>
      </w:r>
      <w:r>
        <w:rPr>
          <w:w w:val="95"/>
        </w:rPr>
        <w:t>financiamento</w:t>
      </w:r>
      <w:r>
        <w:rPr>
          <w:spacing w:val="-22"/>
          <w:w w:val="95"/>
        </w:rPr>
        <w:t> </w:t>
      </w:r>
      <w:r>
        <w:rPr>
          <w:w w:val="95"/>
        </w:rPr>
        <w:t>da</w:t>
      </w:r>
      <w:r>
        <w:rPr>
          <w:spacing w:val="-23"/>
          <w:w w:val="95"/>
        </w:rPr>
        <w:t> </w:t>
      </w:r>
      <w:r>
        <w:rPr>
          <w:w w:val="95"/>
        </w:rPr>
        <w:t>seguridade</w:t>
      </w:r>
      <w:r>
        <w:rPr>
          <w:spacing w:val="-25"/>
          <w:w w:val="95"/>
        </w:rPr>
        <w:t> </w:t>
      </w:r>
      <w:r>
        <w:rPr>
          <w:w w:val="95"/>
        </w:rPr>
        <w:t>social</w:t>
      </w:r>
      <w:r>
        <w:rPr>
          <w:spacing w:val="-23"/>
          <w:w w:val="95"/>
        </w:rPr>
        <w:t> </w:t>
      </w:r>
      <w:r>
        <w:rPr>
          <w:w w:val="95"/>
        </w:rPr>
        <w:t>previstas</w:t>
      </w:r>
      <w:r>
        <w:rPr>
          <w:spacing w:val="-21"/>
          <w:w w:val="95"/>
        </w:rPr>
        <w:t> </w:t>
      </w:r>
      <w:r>
        <w:rPr>
          <w:w w:val="95"/>
        </w:rPr>
        <w:t>na</w:t>
      </w:r>
      <w:r>
        <w:rPr>
          <w:spacing w:val="-23"/>
          <w:w w:val="95"/>
        </w:rPr>
        <w:t> </w:t>
      </w:r>
      <w:r>
        <w:rPr>
          <w:w w:val="95"/>
        </w:rPr>
        <w:t>Constituição,</w:t>
      </w:r>
      <w:r>
        <w:rPr>
          <w:spacing w:val="-24"/>
          <w:w w:val="95"/>
        </w:rPr>
        <w:t> </w:t>
      </w:r>
      <w:r>
        <w:rPr>
          <w:w w:val="95"/>
        </w:rPr>
        <w:t>pois</w:t>
      </w:r>
      <w:r>
        <w:rPr>
          <w:spacing w:val="-21"/>
          <w:w w:val="95"/>
        </w:rPr>
        <w:t> </w:t>
      </w:r>
      <w:r>
        <w:rPr>
          <w:w w:val="95"/>
        </w:rPr>
        <w:t>não</w:t>
      </w:r>
      <w:r>
        <w:rPr>
          <w:spacing w:val="-24"/>
          <w:w w:val="95"/>
        </w:rPr>
        <w:t> </w:t>
      </w:r>
      <w:r>
        <w:rPr>
          <w:w w:val="95"/>
        </w:rPr>
        <w:t>representa</w:t>
      </w:r>
      <w:r>
        <w:rPr>
          <w:spacing w:val="-23"/>
          <w:w w:val="95"/>
        </w:rPr>
        <w:t> </w:t>
      </w:r>
      <w:r>
        <w:rPr>
          <w:w w:val="95"/>
        </w:rPr>
        <w:t>faturamento</w:t>
      </w:r>
      <w:r>
        <w:rPr>
          <w:spacing w:val="-22"/>
          <w:w w:val="95"/>
        </w:rPr>
        <w:t> </w:t>
      </w:r>
      <w:r>
        <w:rPr>
          <w:w w:val="95"/>
        </w:rPr>
        <w:t>ou</w:t>
      </w:r>
      <w:r>
        <w:rPr>
          <w:spacing w:val="-21"/>
          <w:w w:val="95"/>
        </w:rPr>
        <w:t> </w:t>
      </w:r>
      <w:r>
        <w:rPr>
          <w:w w:val="95"/>
        </w:rPr>
        <w:t>receita, </w:t>
      </w:r>
      <w:r>
        <w:rPr/>
        <w:t>representando</w:t>
      </w:r>
      <w:r>
        <w:rPr>
          <w:spacing w:val="-27"/>
        </w:rPr>
        <w:t> </w:t>
      </w:r>
      <w:r>
        <w:rPr/>
        <w:t>apenas</w:t>
      </w:r>
      <w:r>
        <w:rPr>
          <w:spacing w:val="-28"/>
        </w:rPr>
        <w:t> </w:t>
      </w:r>
      <w:r>
        <w:rPr/>
        <w:t>ingresso</w:t>
      </w:r>
      <w:r>
        <w:rPr>
          <w:spacing w:val="-28"/>
        </w:rPr>
        <w:t> </w:t>
      </w:r>
      <w:r>
        <w:rPr/>
        <w:t>de</w:t>
      </w:r>
      <w:r>
        <w:rPr>
          <w:spacing w:val="-29"/>
        </w:rPr>
        <w:t> </w:t>
      </w:r>
      <w:r>
        <w:rPr/>
        <w:t>caixa</w:t>
      </w:r>
      <w:r>
        <w:rPr>
          <w:spacing w:val="-26"/>
        </w:rPr>
        <w:t> </w:t>
      </w:r>
      <w:r>
        <w:rPr/>
        <w:t>ou</w:t>
      </w:r>
      <w:r>
        <w:rPr>
          <w:spacing w:val="-28"/>
        </w:rPr>
        <w:t> </w:t>
      </w:r>
      <w:r>
        <w:rPr/>
        <w:t>trânsito</w:t>
      </w:r>
      <w:r>
        <w:rPr>
          <w:spacing w:val="-26"/>
        </w:rPr>
        <w:t> </w:t>
      </w:r>
      <w:r>
        <w:rPr/>
        <w:t>contábil</w:t>
      </w:r>
      <w:r>
        <w:rPr>
          <w:spacing w:val="-28"/>
        </w:rPr>
        <w:t> </w:t>
      </w:r>
      <w:r>
        <w:rPr/>
        <w:t>a</w:t>
      </w:r>
      <w:r>
        <w:rPr>
          <w:spacing w:val="-27"/>
        </w:rPr>
        <w:t> </w:t>
      </w:r>
      <w:r>
        <w:rPr/>
        <w:t>ser</w:t>
      </w:r>
      <w:r>
        <w:rPr>
          <w:spacing w:val="-27"/>
        </w:rPr>
        <w:t> </w:t>
      </w:r>
      <w:r>
        <w:rPr/>
        <w:t>totalmente</w:t>
      </w:r>
      <w:r>
        <w:rPr>
          <w:spacing w:val="-27"/>
        </w:rPr>
        <w:t> </w:t>
      </w:r>
      <w:r>
        <w:rPr/>
        <w:t>repassado</w:t>
      </w:r>
      <w:r>
        <w:rPr>
          <w:spacing w:val="-28"/>
        </w:rPr>
        <w:t> </w:t>
      </w:r>
      <w:r>
        <w:rPr/>
        <w:t>ao</w:t>
      </w:r>
      <w:r>
        <w:rPr>
          <w:spacing w:val="-28"/>
        </w:rPr>
        <w:t> </w:t>
      </w:r>
      <w:r>
        <w:rPr/>
        <w:t>fisco</w:t>
      </w:r>
      <w:r>
        <w:rPr>
          <w:spacing w:val="-26"/>
        </w:rPr>
        <w:t> </w:t>
      </w:r>
      <w:r>
        <w:rPr/>
        <w:t>estadual.</w:t>
      </w:r>
    </w:p>
    <w:p>
      <w:pPr>
        <w:pStyle w:val="BodyText"/>
        <w:spacing w:line="242" w:lineRule="auto" w:before="120"/>
        <w:ind w:left="172" w:right="411"/>
        <w:jc w:val="both"/>
      </w:pPr>
      <w:r>
        <w:rPr/>
        <w:t>Em</w:t>
      </w:r>
      <w:r>
        <w:rPr>
          <w:spacing w:val="-17"/>
        </w:rPr>
        <w:t> </w:t>
      </w:r>
      <w:r>
        <w:rPr/>
        <w:t>12</w:t>
      </w:r>
      <w:r>
        <w:rPr>
          <w:spacing w:val="-14"/>
        </w:rPr>
        <w:t> </w:t>
      </w:r>
      <w:r>
        <w:rPr/>
        <w:t>de</w:t>
      </w:r>
      <w:r>
        <w:rPr>
          <w:spacing w:val="-16"/>
        </w:rPr>
        <w:t> </w:t>
      </w:r>
      <w:r>
        <w:rPr/>
        <w:t>junho</w:t>
      </w:r>
      <w:r>
        <w:rPr>
          <w:spacing w:val="-15"/>
        </w:rPr>
        <w:t> </w:t>
      </w:r>
      <w:r>
        <w:rPr/>
        <w:t>de</w:t>
      </w:r>
      <w:r>
        <w:rPr>
          <w:spacing w:val="-15"/>
        </w:rPr>
        <w:t> </w:t>
      </w:r>
      <w:r>
        <w:rPr/>
        <w:t>2017,</w:t>
      </w:r>
      <w:r>
        <w:rPr>
          <w:spacing w:val="-15"/>
        </w:rPr>
        <w:t> </w:t>
      </w:r>
      <w:r>
        <w:rPr/>
        <w:t>a</w:t>
      </w:r>
      <w:r>
        <w:rPr>
          <w:spacing w:val="-14"/>
        </w:rPr>
        <w:t> </w:t>
      </w:r>
      <w:r>
        <w:rPr/>
        <w:t>CEB</w:t>
      </w:r>
      <w:r>
        <w:rPr>
          <w:spacing w:val="-15"/>
        </w:rPr>
        <w:t> </w:t>
      </w:r>
      <w:r>
        <w:rPr/>
        <w:t>Distribuição</w:t>
      </w:r>
      <w:r>
        <w:rPr>
          <w:spacing w:val="-15"/>
        </w:rPr>
        <w:t> </w:t>
      </w:r>
      <w:r>
        <w:rPr/>
        <w:t>S.A,</w:t>
      </w:r>
      <w:r>
        <w:rPr>
          <w:spacing w:val="-16"/>
        </w:rPr>
        <w:t> </w:t>
      </w:r>
      <w:r>
        <w:rPr/>
        <w:t>motivada</w:t>
      </w:r>
      <w:r>
        <w:rPr>
          <w:spacing w:val="-15"/>
        </w:rPr>
        <w:t> </w:t>
      </w:r>
      <w:r>
        <w:rPr/>
        <w:t>pela</w:t>
      </w:r>
      <w:r>
        <w:rPr>
          <w:spacing w:val="-16"/>
        </w:rPr>
        <w:t> </w:t>
      </w:r>
      <w:r>
        <w:rPr/>
        <w:t>decisão</w:t>
      </w:r>
      <w:r>
        <w:rPr>
          <w:spacing w:val="-17"/>
        </w:rPr>
        <w:t> </w:t>
      </w:r>
      <w:r>
        <w:rPr/>
        <w:t>do</w:t>
      </w:r>
      <w:r>
        <w:rPr>
          <w:spacing w:val="-15"/>
        </w:rPr>
        <w:t> </w:t>
      </w:r>
      <w:r>
        <w:rPr/>
        <w:t>STF,</w:t>
      </w:r>
      <w:r>
        <w:rPr>
          <w:spacing w:val="-16"/>
        </w:rPr>
        <w:t> </w:t>
      </w:r>
      <w:r>
        <w:rPr/>
        <w:t>iniciou</w:t>
      </w:r>
      <w:r>
        <w:rPr>
          <w:spacing w:val="-16"/>
        </w:rPr>
        <w:t> </w:t>
      </w:r>
      <w:r>
        <w:rPr/>
        <w:t>ação</w:t>
      </w:r>
      <w:r>
        <w:rPr>
          <w:spacing w:val="-16"/>
        </w:rPr>
        <w:t> </w:t>
      </w:r>
      <w:r>
        <w:rPr/>
        <w:t>judicial</w:t>
      </w:r>
      <w:r>
        <w:rPr>
          <w:spacing w:val="-16"/>
        </w:rPr>
        <w:t> </w:t>
      </w:r>
      <w:r>
        <w:rPr/>
        <w:t>vinculada</w:t>
      </w:r>
      <w:r>
        <w:rPr>
          <w:spacing w:val="-14"/>
        </w:rPr>
        <w:t> </w:t>
      </w:r>
      <w:r>
        <w:rPr/>
        <w:t>ao processo nº 1004984-34.2017.4.01.3400, com petição abordando o pleito de reconhecimento do direito de compensação por tributo, com tributos recolhidos indevidamente com débitos vencidos e vincendos das contribuições</w:t>
      </w:r>
      <w:r>
        <w:rPr>
          <w:spacing w:val="-29"/>
        </w:rPr>
        <w:t> </w:t>
      </w:r>
      <w:r>
        <w:rPr/>
        <w:t>para</w:t>
      </w:r>
      <w:r>
        <w:rPr>
          <w:spacing w:val="-25"/>
        </w:rPr>
        <w:t> </w:t>
      </w:r>
      <w:r>
        <w:rPr/>
        <w:t>o</w:t>
      </w:r>
      <w:r>
        <w:rPr>
          <w:spacing w:val="-29"/>
        </w:rPr>
        <w:t> </w:t>
      </w:r>
      <w:r>
        <w:rPr/>
        <w:t>PIS</w:t>
      </w:r>
      <w:r>
        <w:rPr>
          <w:spacing w:val="-28"/>
        </w:rPr>
        <w:t> </w:t>
      </w:r>
      <w:r>
        <w:rPr/>
        <w:t>e</w:t>
      </w:r>
      <w:r>
        <w:rPr>
          <w:spacing w:val="-29"/>
        </w:rPr>
        <w:t> </w:t>
      </w:r>
      <w:r>
        <w:rPr/>
        <w:t>para</w:t>
      </w:r>
      <w:r>
        <w:rPr>
          <w:spacing w:val="-28"/>
        </w:rPr>
        <w:t> </w:t>
      </w:r>
      <w:r>
        <w:rPr/>
        <w:t>a</w:t>
      </w:r>
      <w:r>
        <w:rPr>
          <w:spacing w:val="-28"/>
        </w:rPr>
        <w:t> </w:t>
      </w:r>
      <w:r>
        <w:rPr/>
        <w:t>COFINS,</w:t>
      </w:r>
      <w:r>
        <w:rPr>
          <w:spacing w:val="-29"/>
        </w:rPr>
        <w:t> </w:t>
      </w:r>
      <w:r>
        <w:rPr/>
        <w:t>ou</w:t>
      </w:r>
      <w:r>
        <w:rPr>
          <w:spacing w:val="-28"/>
        </w:rPr>
        <w:t> </w:t>
      </w:r>
      <w:r>
        <w:rPr/>
        <w:t>com</w:t>
      </w:r>
      <w:r>
        <w:rPr>
          <w:spacing w:val="-29"/>
        </w:rPr>
        <w:t> </w:t>
      </w:r>
      <w:r>
        <w:rPr/>
        <w:t>débitos</w:t>
      </w:r>
      <w:r>
        <w:rPr>
          <w:spacing w:val="-28"/>
        </w:rPr>
        <w:t> </w:t>
      </w:r>
      <w:r>
        <w:rPr/>
        <w:t>próprios</w:t>
      </w:r>
      <w:r>
        <w:rPr>
          <w:spacing w:val="-27"/>
        </w:rPr>
        <w:t> </w:t>
      </w:r>
      <w:r>
        <w:rPr/>
        <w:t>de</w:t>
      </w:r>
      <w:r>
        <w:rPr>
          <w:spacing w:val="-28"/>
        </w:rPr>
        <w:t> </w:t>
      </w:r>
      <w:r>
        <w:rPr/>
        <w:t>quaisquer</w:t>
      </w:r>
      <w:r>
        <w:rPr>
          <w:spacing w:val="-29"/>
        </w:rPr>
        <w:t> </w:t>
      </w:r>
      <w:r>
        <w:rPr/>
        <w:t>outros</w:t>
      </w:r>
      <w:r>
        <w:rPr>
          <w:spacing w:val="-28"/>
        </w:rPr>
        <w:t> </w:t>
      </w:r>
      <w:r>
        <w:rPr/>
        <w:t>tributos</w:t>
      </w:r>
      <w:r>
        <w:rPr>
          <w:spacing w:val="-26"/>
        </w:rPr>
        <w:t> </w:t>
      </w:r>
      <w:r>
        <w:rPr/>
        <w:t>ou</w:t>
      </w:r>
      <w:r>
        <w:rPr>
          <w:spacing w:val="-28"/>
        </w:rPr>
        <w:t> </w:t>
      </w:r>
      <w:r>
        <w:rPr/>
        <w:t>contribuições.</w:t>
      </w:r>
    </w:p>
    <w:p>
      <w:pPr>
        <w:pStyle w:val="BodyText"/>
        <w:spacing w:line="242" w:lineRule="auto" w:before="120"/>
        <w:ind w:left="172" w:right="410"/>
        <w:jc w:val="both"/>
      </w:pPr>
      <w:r>
        <w:rPr/>
        <w:t>Com</w:t>
      </w:r>
      <w:r>
        <w:rPr>
          <w:spacing w:val="-30"/>
        </w:rPr>
        <w:t> </w:t>
      </w:r>
      <w:r>
        <w:rPr/>
        <w:t>liminar</w:t>
      </w:r>
      <w:r>
        <w:rPr>
          <w:spacing w:val="-29"/>
        </w:rPr>
        <w:t> </w:t>
      </w:r>
      <w:r>
        <w:rPr/>
        <w:t>de</w:t>
      </w:r>
      <w:r>
        <w:rPr>
          <w:spacing w:val="-28"/>
        </w:rPr>
        <w:t> </w:t>
      </w:r>
      <w:r>
        <w:rPr/>
        <w:t>tutela</w:t>
      </w:r>
      <w:r>
        <w:rPr>
          <w:spacing w:val="-28"/>
        </w:rPr>
        <w:t> </w:t>
      </w:r>
      <w:r>
        <w:rPr/>
        <w:t>de</w:t>
      </w:r>
      <w:r>
        <w:rPr>
          <w:spacing w:val="-30"/>
        </w:rPr>
        <w:t> </w:t>
      </w:r>
      <w:r>
        <w:rPr/>
        <w:t>urgência</w:t>
      </w:r>
      <w:r>
        <w:rPr>
          <w:spacing w:val="-29"/>
        </w:rPr>
        <w:t> </w:t>
      </w:r>
      <w:r>
        <w:rPr/>
        <w:t>deferida</w:t>
      </w:r>
      <w:r>
        <w:rPr>
          <w:spacing w:val="-27"/>
        </w:rPr>
        <w:t> </w:t>
      </w:r>
      <w:r>
        <w:rPr/>
        <w:t>em</w:t>
      </w:r>
      <w:r>
        <w:rPr>
          <w:spacing w:val="-29"/>
        </w:rPr>
        <w:t> </w:t>
      </w:r>
      <w:r>
        <w:rPr/>
        <w:t>22</w:t>
      </w:r>
      <w:r>
        <w:rPr>
          <w:spacing w:val="-28"/>
        </w:rPr>
        <w:t> </w:t>
      </w:r>
      <w:r>
        <w:rPr/>
        <w:t>de</w:t>
      </w:r>
      <w:r>
        <w:rPr>
          <w:spacing w:val="-30"/>
        </w:rPr>
        <w:t> </w:t>
      </w:r>
      <w:r>
        <w:rPr/>
        <w:t>setembro</w:t>
      </w:r>
      <w:r>
        <w:rPr>
          <w:spacing w:val="-29"/>
        </w:rPr>
        <w:t> </w:t>
      </w:r>
      <w:r>
        <w:rPr/>
        <w:t>de</w:t>
      </w:r>
      <w:r>
        <w:rPr>
          <w:spacing w:val="-30"/>
        </w:rPr>
        <w:t> </w:t>
      </w:r>
      <w:r>
        <w:rPr/>
        <w:t>2017,</w:t>
      </w:r>
      <w:r>
        <w:rPr>
          <w:spacing w:val="-29"/>
        </w:rPr>
        <w:t> </w:t>
      </w:r>
      <w:r>
        <w:rPr/>
        <w:t>a</w:t>
      </w:r>
      <w:r>
        <w:rPr>
          <w:spacing w:val="-29"/>
        </w:rPr>
        <w:t> </w:t>
      </w:r>
      <w:r>
        <w:rPr/>
        <w:t>CEB</w:t>
      </w:r>
      <w:r>
        <w:rPr>
          <w:spacing w:val="-29"/>
        </w:rPr>
        <w:t> </w:t>
      </w:r>
      <w:r>
        <w:rPr/>
        <w:t>DIS</w:t>
      </w:r>
      <w:r>
        <w:rPr>
          <w:spacing w:val="-29"/>
        </w:rPr>
        <w:t> </w:t>
      </w:r>
      <w:r>
        <w:rPr/>
        <w:t>adquiriu</w:t>
      </w:r>
      <w:r>
        <w:rPr>
          <w:spacing w:val="-27"/>
        </w:rPr>
        <w:t> </w:t>
      </w:r>
      <w:r>
        <w:rPr/>
        <w:t>também</w:t>
      </w:r>
      <w:r>
        <w:rPr>
          <w:spacing w:val="-30"/>
        </w:rPr>
        <w:t> </w:t>
      </w:r>
      <w:r>
        <w:rPr/>
        <w:t>o</w:t>
      </w:r>
      <w:r>
        <w:rPr>
          <w:spacing w:val="-28"/>
        </w:rPr>
        <w:t> </w:t>
      </w:r>
      <w:r>
        <w:rPr/>
        <w:t>direito</w:t>
      </w:r>
      <w:r>
        <w:rPr>
          <w:spacing w:val="-29"/>
        </w:rPr>
        <w:t> </w:t>
      </w:r>
      <w:r>
        <w:rPr/>
        <w:t>de</w:t>
      </w:r>
      <w:r>
        <w:rPr>
          <w:spacing w:val="-28"/>
        </w:rPr>
        <w:t> </w:t>
      </w:r>
      <w:r>
        <w:rPr/>
        <w:t>não mais</w:t>
      </w:r>
      <w:r>
        <w:rPr>
          <w:spacing w:val="-30"/>
        </w:rPr>
        <w:t> </w:t>
      </w:r>
      <w:r>
        <w:rPr/>
        <w:t>incluir</w:t>
      </w:r>
      <w:r>
        <w:rPr>
          <w:spacing w:val="-29"/>
        </w:rPr>
        <w:t> </w:t>
      </w:r>
      <w:r>
        <w:rPr/>
        <w:t>o</w:t>
      </w:r>
      <w:r>
        <w:rPr>
          <w:spacing w:val="-28"/>
        </w:rPr>
        <w:t> </w:t>
      </w:r>
      <w:r>
        <w:rPr/>
        <w:t>ICMS</w:t>
      </w:r>
      <w:r>
        <w:rPr>
          <w:spacing w:val="-29"/>
        </w:rPr>
        <w:t> </w:t>
      </w:r>
      <w:r>
        <w:rPr/>
        <w:t>nas</w:t>
      </w:r>
      <w:r>
        <w:rPr>
          <w:spacing w:val="-28"/>
        </w:rPr>
        <w:t> </w:t>
      </w:r>
      <w:r>
        <w:rPr/>
        <w:t>bases</w:t>
      </w:r>
      <w:r>
        <w:rPr>
          <w:spacing w:val="-30"/>
        </w:rPr>
        <w:t> </w:t>
      </w:r>
      <w:r>
        <w:rPr/>
        <w:t>de</w:t>
      </w:r>
      <w:r>
        <w:rPr>
          <w:spacing w:val="-30"/>
        </w:rPr>
        <w:t> </w:t>
      </w:r>
      <w:r>
        <w:rPr/>
        <w:t>cálculo</w:t>
      </w:r>
      <w:r>
        <w:rPr>
          <w:spacing w:val="-30"/>
        </w:rPr>
        <w:t> </w:t>
      </w:r>
      <w:r>
        <w:rPr/>
        <w:t>do</w:t>
      </w:r>
      <w:r>
        <w:rPr>
          <w:spacing w:val="-29"/>
        </w:rPr>
        <w:t> </w:t>
      </w:r>
      <w:r>
        <w:rPr/>
        <w:t>PIS/COFINS,</w:t>
      </w:r>
      <w:r>
        <w:rPr>
          <w:spacing w:val="-27"/>
        </w:rPr>
        <w:t> </w:t>
      </w:r>
      <w:r>
        <w:rPr/>
        <w:t>com</w:t>
      </w:r>
      <w:r>
        <w:rPr>
          <w:spacing w:val="-31"/>
        </w:rPr>
        <w:t> </w:t>
      </w:r>
      <w:r>
        <w:rPr/>
        <w:t>adoção</w:t>
      </w:r>
      <w:r>
        <w:rPr>
          <w:spacing w:val="-28"/>
        </w:rPr>
        <w:t> </w:t>
      </w:r>
      <w:r>
        <w:rPr/>
        <w:t>de</w:t>
      </w:r>
      <w:r>
        <w:rPr>
          <w:spacing w:val="-29"/>
        </w:rPr>
        <w:t> </w:t>
      </w:r>
      <w:r>
        <w:rPr/>
        <w:t>prática</w:t>
      </w:r>
      <w:r>
        <w:rPr>
          <w:spacing w:val="-30"/>
        </w:rPr>
        <w:t> </w:t>
      </w:r>
      <w:r>
        <w:rPr/>
        <w:t>a</w:t>
      </w:r>
      <w:r>
        <w:rPr>
          <w:spacing w:val="-28"/>
        </w:rPr>
        <w:t> </w:t>
      </w:r>
      <w:r>
        <w:rPr/>
        <w:t>partir</w:t>
      </w:r>
      <w:r>
        <w:rPr>
          <w:spacing w:val="-29"/>
        </w:rPr>
        <w:t> </w:t>
      </w:r>
      <w:r>
        <w:rPr/>
        <w:t>das</w:t>
      </w:r>
      <w:r>
        <w:rPr>
          <w:spacing w:val="-30"/>
        </w:rPr>
        <w:t> </w:t>
      </w:r>
      <w:r>
        <w:rPr/>
        <w:t>apurações</w:t>
      </w:r>
      <w:r>
        <w:rPr>
          <w:spacing w:val="-29"/>
        </w:rPr>
        <w:t> </w:t>
      </w:r>
      <w:r>
        <w:rPr/>
        <w:t>de</w:t>
      </w:r>
      <w:r>
        <w:rPr>
          <w:spacing w:val="-29"/>
        </w:rPr>
        <w:t> </w:t>
      </w:r>
      <w:r>
        <w:rPr/>
        <w:t>outubro</w:t>
      </w:r>
      <w:r>
        <w:rPr>
          <w:spacing w:val="-31"/>
        </w:rPr>
        <w:t> </w:t>
      </w:r>
      <w:r>
        <w:rPr/>
        <w:t>de 2017. Em janeiro de 2019, com fulcro na Nota Técnica Conjunta - 001/2019 </w:t>
      </w:r>
      <w:r>
        <w:rPr>
          <w:w w:val="105"/>
        </w:rPr>
        <w:t>– </w:t>
      </w:r>
      <w:r>
        <w:rPr/>
        <w:t>SCT/SRG, a CEB DIS, conforme Resolução</w:t>
      </w:r>
      <w:r>
        <w:rPr>
          <w:spacing w:val="-25"/>
        </w:rPr>
        <w:t> </w:t>
      </w:r>
      <w:r>
        <w:rPr/>
        <w:t>de</w:t>
      </w:r>
      <w:r>
        <w:rPr>
          <w:spacing w:val="-26"/>
        </w:rPr>
        <w:t> </w:t>
      </w:r>
      <w:r>
        <w:rPr/>
        <w:t>Diretoria</w:t>
      </w:r>
      <w:r>
        <w:rPr>
          <w:spacing w:val="-24"/>
        </w:rPr>
        <w:t> </w:t>
      </w:r>
      <w:r>
        <w:rPr/>
        <w:t>nº</w:t>
      </w:r>
      <w:r>
        <w:rPr>
          <w:spacing w:val="-24"/>
        </w:rPr>
        <w:t> </w:t>
      </w:r>
      <w:r>
        <w:rPr/>
        <w:t>005/2019,</w:t>
      </w:r>
      <w:r>
        <w:rPr>
          <w:spacing w:val="-25"/>
        </w:rPr>
        <w:t> </w:t>
      </w:r>
      <w:r>
        <w:rPr/>
        <w:t>concluiu</w:t>
      </w:r>
      <w:r>
        <w:rPr>
          <w:spacing w:val="-25"/>
        </w:rPr>
        <w:t> </w:t>
      </w:r>
      <w:r>
        <w:rPr/>
        <w:t>por</w:t>
      </w:r>
      <w:r>
        <w:rPr>
          <w:spacing w:val="-25"/>
        </w:rPr>
        <w:t> </w:t>
      </w:r>
      <w:r>
        <w:rPr/>
        <w:t>aguardar</w:t>
      </w:r>
      <w:r>
        <w:rPr>
          <w:spacing w:val="-26"/>
        </w:rPr>
        <w:t> </w:t>
      </w:r>
      <w:r>
        <w:rPr/>
        <w:t>o</w:t>
      </w:r>
      <w:r>
        <w:rPr>
          <w:spacing w:val="-25"/>
        </w:rPr>
        <w:t> </w:t>
      </w:r>
      <w:r>
        <w:rPr/>
        <w:t>julgamento</w:t>
      </w:r>
      <w:r>
        <w:rPr>
          <w:spacing w:val="-25"/>
        </w:rPr>
        <w:t> </w:t>
      </w:r>
      <w:r>
        <w:rPr/>
        <w:t>definitivo</w:t>
      </w:r>
      <w:r>
        <w:rPr>
          <w:spacing w:val="-24"/>
        </w:rPr>
        <w:t> </w:t>
      </w:r>
      <w:r>
        <w:rPr/>
        <w:t>da</w:t>
      </w:r>
      <w:r>
        <w:rPr>
          <w:spacing w:val="-24"/>
        </w:rPr>
        <w:t> </w:t>
      </w:r>
      <w:r>
        <w:rPr/>
        <w:t>ação,</w:t>
      </w:r>
      <w:r>
        <w:rPr>
          <w:spacing w:val="-25"/>
        </w:rPr>
        <w:t> </w:t>
      </w:r>
      <w:r>
        <w:rPr/>
        <w:t>que</w:t>
      </w:r>
      <w:r>
        <w:rPr>
          <w:spacing w:val="-25"/>
        </w:rPr>
        <w:t> </w:t>
      </w:r>
      <w:r>
        <w:rPr/>
        <w:t>só</w:t>
      </w:r>
      <w:r>
        <w:rPr>
          <w:spacing w:val="-25"/>
        </w:rPr>
        <w:t> </w:t>
      </w:r>
      <w:r>
        <w:rPr/>
        <w:t>ocorrerá</w:t>
      </w:r>
      <w:r>
        <w:rPr>
          <w:spacing w:val="-24"/>
        </w:rPr>
        <w:t> </w:t>
      </w:r>
      <w:r>
        <w:rPr/>
        <w:t>com</w:t>
      </w:r>
      <w:r>
        <w:rPr>
          <w:spacing w:val="-25"/>
        </w:rPr>
        <w:t> </w:t>
      </w:r>
      <w:r>
        <w:rPr/>
        <w:t>o trânsito</w:t>
      </w:r>
      <w:r>
        <w:rPr>
          <w:spacing w:val="-40"/>
        </w:rPr>
        <w:t> </w:t>
      </w:r>
      <w:r>
        <w:rPr/>
        <w:t>em</w:t>
      </w:r>
      <w:r>
        <w:rPr>
          <w:spacing w:val="-40"/>
        </w:rPr>
        <w:t> </w:t>
      </w:r>
      <w:r>
        <w:rPr/>
        <w:t>julgado</w:t>
      </w:r>
      <w:r>
        <w:rPr>
          <w:spacing w:val="-40"/>
        </w:rPr>
        <w:t> </w:t>
      </w:r>
      <w:r>
        <w:rPr/>
        <w:t>da</w:t>
      </w:r>
      <w:r>
        <w:rPr>
          <w:spacing w:val="-40"/>
        </w:rPr>
        <w:t> </w:t>
      </w:r>
      <w:r>
        <w:rPr/>
        <w:t>sentença,</w:t>
      </w:r>
      <w:r>
        <w:rPr>
          <w:spacing w:val="-40"/>
        </w:rPr>
        <w:t> </w:t>
      </w:r>
      <w:r>
        <w:rPr/>
        <w:t>para</w:t>
      </w:r>
      <w:r>
        <w:rPr>
          <w:spacing w:val="-40"/>
        </w:rPr>
        <w:t> </w:t>
      </w:r>
      <w:r>
        <w:rPr/>
        <w:t>então</w:t>
      </w:r>
      <w:r>
        <w:rPr>
          <w:spacing w:val="-39"/>
        </w:rPr>
        <w:t> </w:t>
      </w:r>
      <w:r>
        <w:rPr/>
        <w:t>repassar</w:t>
      </w:r>
      <w:r>
        <w:rPr>
          <w:spacing w:val="-40"/>
        </w:rPr>
        <w:t> </w:t>
      </w:r>
      <w:r>
        <w:rPr/>
        <w:t>a</w:t>
      </w:r>
      <w:r>
        <w:rPr>
          <w:spacing w:val="-40"/>
        </w:rPr>
        <w:t> </w:t>
      </w:r>
      <w:r>
        <w:rPr/>
        <w:t>redução</w:t>
      </w:r>
      <w:r>
        <w:rPr>
          <w:spacing w:val="-40"/>
        </w:rPr>
        <w:t> </w:t>
      </w:r>
      <w:r>
        <w:rPr/>
        <w:t>das</w:t>
      </w:r>
      <w:r>
        <w:rPr>
          <w:spacing w:val="-40"/>
        </w:rPr>
        <w:t> </w:t>
      </w:r>
      <w:r>
        <w:rPr/>
        <w:t>alíquotas</w:t>
      </w:r>
      <w:r>
        <w:rPr>
          <w:spacing w:val="-40"/>
        </w:rPr>
        <w:t> </w:t>
      </w:r>
      <w:r>
        <w:rPr/>
        <w:t>efetivas</w:t>
      </w:r>
      <w:r>
        <w:rPr>
          <w:spacing w:val="-39"/>
        </w:rPr>
        <w:t> </w:t>
      </w:r>
      <w:r>
        <w:rPr/>
        <w:t>do</w:t>
      </w:r>
      <w:r>
        <w:rPr>
          <w:spacing w:val="-40"/>
        </w:rPr>
        <w:t> </w:t>
      </w:r>
      <w:r>
        <w:rPr/>
        <w:t>PIS/COFINS</w:t>
      </w:r>
      <w:r>
        <w:rPr>
          <w:spacing w:val="-40"/>
        </w:rPr>
        <w:t> </w:t>
      </w:r>
      <w:r>
        <w:rPr/>
        <w:t>ao</w:t>
      </w:r>
      <w:r>
        <w:rPr>
          <w:spacing w:val="-40"/>
        </w:rPr>
        <w:t> </w:t>
      </w:r>
      <w:r>
        <w:rPr/>
        <w:t>consumidor.</w:t>
      </w:r>
    </w:p>
    <w:p>
      <w:pPr>
        <w:pStyle w:val="BodyText"/>
        <w:spacing w:line="242" w:lineRule="auto" w:before="121"/>
        <w:ind w:left="172" w:right="409"/>
        <w:jc w:val="both"/>
      </w:pPr>
      <w:r>
        <w:rPr/>
        <w:t>Em</w:t>
      </w:r>
      <w:r>
        <w:rPr>
          <w:spacing w:val="-18"/>
        </w:rPr>
        <w:t> </w:t>
      </w:r>
      <w:r>
        <w:rPr/>
        <w:t>2017,</w:t>
      </w:r>
      <w:r>
        <w:rPr>
          <w:spacing w:val="-17"/>
        </w:rPr>
        <w:t> </w:t>
      </w:r>
      <w:r>
        <w:rPr/>
        <w:t>o</w:t>
      </w:r>
      <w:r>
        <w:rPr>
          <w:spacing w:val="-16"/>
        </w:rPr>
        <w:t> </w:t>
      </w:r>
      <w:r>
        <w:rPr/>
        <w:t>Plenário</w:t>
      </w:r>
      <w:r>
        <w:rPr>
          <w:spacing w:val="-16"/>
        </w:rPr>
        <w:t> </w:t>
      </w:r>
      <w:r>
        <w:rPr/>
        <w:t>do</w:t>
      </w:r>
      <w:r>
        <w:rPr>
          <w:spacing w:val="-18"/>
        </w:rPr>
        <w:t> </w:t>
      </w:r>
      <w:r>
        <w:rPr/>
        <w:t>STF</w:t>
      </w:r>
      <w:r>
        <w:rPr>
          <w:spacing w:val="-17"/>
        </w:rPr>
        <w:t> </w:t>
      </w:r>
      <w:r>
        <w:rPr/>
        <w:t>decidiu,</w:t>
      </w:r>
      <w:r>
        <w:rPr>
          <w:spacing w:val="-15"/>
        </w:rPr>
        <w:t> </w:t>
      </w:r>
      <w:r>
        <w:rPr/>
        <w:t>por</w:t>
      </w:r>
      <w:r>
        <w:rPr>
          <w:spacing w:val="-18"/>
        </w:rPr>
        <w:t> </w:t>
      </w:r>
      <w:r>
        <w:rPr/>
        <w:t>maioria,</w:t>
      </w:r>
      <w:r>
        <w:rPr>
          <w:spacing w:val="-17"/>
        </w:rPr>
        <w:t> </w:t>
      </w:r>
      <w:r>
        <w:rPr/>
        <w:t>que</w:t>
      </w:r>
      <w:r>
        <w:rPr>
          <w:spacing w:val="-19"/>
        </w:rPr>
        <w:t> </w:t>
      </w:r>
      <w:r>
        <w:rPr/>
        <w:t>o</w:t>
      </w:r>
      <w:r>
        <w:rPr>
          <w:spacing w:val="-15"/>
        </w:rPr>
        <w:t> </w:t>
      </w:r>
      <w:r>
        <w:rPr/>
        <w:t>ICMS</w:t>
      </w:r>
      <w:r>
        <w:rPr>
          <w:spacing w:val="-17"/>
        </w:rPr>
        <w:t> </w:t>
      </w:r>
      <w:r>
        <w:rPr/>
        <w:t>não</w:t>
      </w:r>
      <w:r>
        <w:rPr>
          <w:spacing w:val="-18"/>
        </w:rPr>
        <w:t> </w:t>
      </w:r>
      <w:r>
        <w:rPr/>
        <w:t>deve</w:t>
      </w:r>
      <w:r>
        <w:rPr>
          <w:spacing w:val="-16"/>
        </w:rPr>
        <w:t> </w:t>
      </w:r>
      <w:r>
        <w:rPr/>
        <w:t>compor</w:t>
      </w:r>
      <w:r>
        <w:rPr>
          <w:spacing w:val="-17"/>
        </w:rPr>
        <w:t> </w:t>
      </w:r>
      <w:r>
        <w:rPr/>
        <w:t>a</w:t>
      </w:r>
      <w:r>
        <w:rPr>
          <w:spacing w:val="-15"/>
        </w:rPr>
        <w:t> </w:t>
      </w:r>
      <w:r>
        <w:rPr/>
        <w:t>base</w:t>
      </w:r>
      <w:r>
        <w:rPr>
          <w:spacing w:val="-18"/>
        </w:rPr>
        <w:t> </w:t>
      </w:r>
      <w:r>
        <w:rPr/>
        <w:t>de</w:t>
      </w:r>
      <w:r>
        <w:rPr>
          <w:spacing w:val="-17"/>
        </w:rPr>
        <w:t> </w:t>
      </w:r>
      <w:r>
        <w:rPr/>
        <w:t>cálculo</w:t>
      </w:r>
      <w:r>
        <w:rPr>
          <w:spacing w:val="-8"/>
        </w:rPr>
        <w:t> </w:t>
      </w:r>
      <w:r>
        <w:rPr/>
        <w:t>do</w:t>
      </w:r>
      <w:r>
        <w:rPr>
          <w:spacing w:val="-18"/>
        </w:rPr>
        <w:t> </w:t>
      </w:r>
      <w:r>
        <w:rPr/>
        <w:t>PIS/COFINS.</w:t>
      </w:r>
      <w:r>
        <w:rPr>
          <w:spacing w:val="-16"/>
        </w:rPr>
        <w:t> </w:t>
      </w:r>
      <w:r>
        <w:rPr/>
        <w:t>A Fazenda</w:t>
      </w:r>
      <w:r>
        <w:rPr>
          <w:spacing w:val="-30"/>
        </w:rPr>
        <w:t> </w:t>
      </w:r>
      <w:r>
        <w:rPr/>
        <w:t>interpôs</w:t>
      </w:r>
      <w:r>
        <w:rPr>
          <w:spacing w:val="-31"/>
        </w:rPr>
        <w:t> </w:t>
      </w:r>
      <w:r>
        <w:rPr/>
        <w:t>embargos</w:t>
      </w:r>
      <w:r>
        <w:rPr>
          <w:spacing w:val="-29"/>
        </w:rPr>
        <w:t> </w:t>
      </w:r>
      <w:r>
        <w:rPr/>
        <w:t>de</w:t>
      </w:r>
      <w:r>
        <w:rPr>
          <w:spacing w:val="-31"/>
        </w:rPr>
        <w:t> </w:t>
      </w:r>
      <w:r>
        <w:rPr/>
        <w:t>Declaração</w:t>
      </w:r>
      <w:r>
        <w:rPr>
          <w:spacing w:val="-31"/>
        </w:rPr>
        <w:t> </w:t>
      </w:r>
      <w:r>
        <w:rPr/>
        <w:t>com</w:t>
      </w:r>
      <w:r>
        <w:rPr>
          <w:spacing w:val="-30"/>
        </w:rPr>
        <w:t> </w:t>
      </w:r>
      <w:r>
        <w:rPr/>
        <w:t>efeitos</w:t>
      </w:r>
      <w:r>
        <w:rPr>
          <w:spacing w:val="-30"/>
        </w:rPr>
        <w:t> </w:t>
      </w:r>
      <w:r>
        <w:rPr/>
        <w:t>modificativos</w:t>
      </w:r>
      <w:r>
        <w:rPr>
          <w:spacing w:val="-30"/>
        </w:rPr>
        <w:t> </w:t>
      </w:r>
      <w:r>
        <w:rPr/>
        <w:t>para</w:t>
      </w:r>
      <w:r>
        <w:rPr>
          <w:spacing w:val="-30"/>
        </w:rPr>
        <w:t> </w:t>
      </w:r>
      <w:r>
        <w:rPr/>
        <w:t>modular</w:t>
      </w:r>
      <w:r>
        <w:rPr>
          <w:spacing w:val="-29"/>
        </w:rPr>
        <w:t> </w:t>
      </w:r>
      <w:r>
        <w:rPr/>
        <w:t>os</w:t>
      </w:r>
      <w:r>
        <w:rPr>
          <w:spacing w:val="-30"/>
        </w:rPr>
        <w:t> </w:t>
      </w:r>
      <w:r>
        <w:rPr/>
        <w:t>efeitos</w:t>
      </w:r>
      <w:r>
        <w:rPr>
          <w:spacing w:val="-29"/>
        </w:rPr>
        <w:t> </w:t>
      </w:r>
      <w:r>
        <w:rPr/>
        <w:t>decisão</w:t>
      </w:r>
      <w:r>
        <w:rPr>
          <w:spacing w:val="-31"/>
        </w:rPr>
        <w:t> </w:t>
      </w:r>
      <w:r>
        <w:rPr/>
        <w:t>nos</w:t>
      </w:r>
      <w:r>
        <w:rPr>
          <w:spacing w:val="-30"/>
        </w:rPr>
        <w:t> </w:t>
      </w:r>
      <w:r>
        <w:rPr/>
        <w:t>seguintes aspectos:</w:t>
      </w:r>
      <w:r>
        <w:rPr>
          <w:spacing w:val="-35"/>
        </w:rPr>
        <w:t> </w:t>
      </w:r>
      <w:r>
        <w:rPr/>
        <w:t>que</w:t>
      </w:r>
      <w:r>
        <w:rPr>
          <w:spacing w:val="-35"/>
        </w:rPr>
        <w:t> </w:t>
      </w:r>
      <w:r>
        <w:rPr/>
        <w:t>somente</w:t>
      </w:r>
      <w:r>
        <w:rPr>
          <w:spacing w:val="-33"/>
        </w:rPr>
        <w:t> </w:t>
      </w:r>
      <w:r>
        <w:rPr/>
        <w:t>o</w:t>
      </w:r>
      <w:r>
        <w:rPr>
          <w:spacing w:val="-35"/>
        </w:rPr>
        <w:t> </w:t>
      </w:r>
      <w:r>
        <w:rPr/>
        <w:t>ICMS</w:t>
      </w:r>
      <w:r>
        <w:rPr>
          <w:spacing w:val="-35"/>
        </w:rPr>
        <w:t> </w:t>
      </w:r>
      <w:r>
        <w:rPr/>
        <w:t>efetivamente</w:t>
      </w:r>
      <w:r>
        <w:rPr>
          <w:spacing w:val="-33"/>
        </w:rPr>
        <w:t> </w:t>
      </w:r>
      <w:r>
        <w:rPr/>
        <w:t>pago,</w:t>
      </w:r>
      <w:r>
        <w:rPr>
          <w:spacing w:val="-34"/>
        </w:rPr>
        <w:t> </w:t>
      </w:r>
      <w:r>
        <w:rPr/>
        <w:t>e</w:t>
      </w:r>
      <w:r>
        <w:rPr>
          <w:spacing w:val="-34"/>
        </w:rPr>
        <w:t> </w:t>
      </w:r>
      <w:r>
        <w:rPr/>
        <w:t>não</w:t>
      </w:r>
      <w:r>
        <w:rPr>
          <w:spacing w:val="-34"/>
        </w:rPr>
        <w:t> </w:t>
      </w:r>
      <w:r>
        <w:rPr/>
        <w:t>o</w:t>
      </w:r>
      <w:r>
        <w:rPr>
          <w:spacing w:val="-34"/>
        </w:rPr>
        <w:t> </w:t>
      </w:r>
      <w:r>
        <w:rPr/>
        <w:t>faturado,</w:t>
      </w:r>
      <w:r>
        <w:rPr>
          <w:spacing w:val="-34"/>
        </w:rPr>
        <w:t> </w:t>
      </w:r>
      <w:r>
        <w:rPr/>
        <w:t>seja</w:t>
      </w:r>
      <w:r>
        <w:rPr>
          <w:spacing w:val="-33"/>
        </w:rPr>
        <w:t> </w:t>
      </w:r>
      <w:r>
        <w:rPr/>
        <w:t>excluído</w:t>
      </w:r>
      <w:r>
        <w:rPr>
          <w:spacing w:val="-34"/>
        </w:rPr>
        <w:t> </w:t>
      </w:r>
      <w:r>
        <w:rPr/>
        <w:t>da</w:t>
      </w:r>
      <w:r>
        <w:rPr>
          <w:spacing w:val="-33"/>
        </w:rPr>
        <w:t> </w:t>
      </w:r>
      <w:r>
        <w:rPr/>
        <w:t>base</w:t>
      </w:r>
      <w:r>
        <w:rPr>
          <w:spacing w:val="-35"/>
        </w:rPr>
        <w:t> </w:t>
      </w:r>
      <w:r>
        <w:rPr/>
        <w:t>de</w:t>
      </w:r>
      <w:r>
        <w:rPr>
          <w:spacing w:val="-35"/>
        </w:rPr>
        <w:t> </w:t>
      </w:r>
      <w:r>
        <w:rPr/>
        <w:t>cálculo;</w:t>
      </w:r>
      <w:r>
        <w:rPr>
          <w:spacing w:val="-34"/>
        </w:rPr>
        <w:t> </w:t>
      </w:r>
      <w:r>
        <w:rPr/>
        <w:t>e</w:t>
      </w:r>
      <w:r>
        <w:rPr>
          <w:spacing w:val="-35"/>
        </w:rPr>
        <w:t> </w:t>
      </w:r>
      <w:r>
        <w:rPr/>
        <w:t>que</w:t>
      </w:r>
      <w:r>
        <w:rPr>
          <w:spacing w:val="-35"/>
        </w:rPr>
        <w:t> </w:t>
      </w:r>
      <w:r>
        <w:rPr/>
        <w:t>não</w:t>
      </w:r>
      <w:r>
        <w:rPr>
          <w:spacing w:val="-33"/>
        </w:rPr>
        <w:t> </w:t>
      </w:r>
      <w:r>
        <w:rPr/>
        <w:t>haja efeito</w:t>
      </w:r>
      <w:r>
        <w:rPr>
          <w:spacing w:val="-42"/>
        </w:rPr>
        <w:t> </w:t>
      </w:r>
      <w:r>
        <w:rPr/>
        <w:t>retroativo</w:t>
      </w:r>
      <w:r>
        <w:rPr>
          <w:spacing w:val="-42"/>
        </w:rPr>
        <w:t> </w:t>
      </w:r>
      <w:r>
        <w:rPr/>
        <w:t>da</w:t>
      </w:r>
      <w:r>
        <w:rPr>
          <w:spacing w:val="-40"/>
        </w:rPr>
        <w:t> </w:t>
      </w:r>
      <w:r>
        <w:rPr/>
        <w:t>decisão,</w:t>
      </w:r>
      <w:r>
        <w:rPr>
          <w:spacing w:val="-41"/>
        </w:rPr>
        <w:t> </w:t>
      </w:r>
      <w:r>
        <w:rPr/>
        <w:t>situação</w:t>
      </w:r>
      <w:r>
        <w:rPr>
          <w:spacing w:val="-43"/>
        </w:rPr>
        <w:t> </w:t>
      </w:r>
      <w:r>
        <w:rPr/>
        <w:t>em</w:t>
      </w:r>
      <w:r>
        <w:rPr>
          <w:spacing w:val="-41"/>
        </w:rPr>
        <w:t> </w:t>
      </w:r>
      <w:r>
        <w:rPr/>
        <w:t>que</w:t>
      </w:r>
      <w:r>
        <w:rPr>
          <w:spacing w:val="-43"/>
        </w:rPr>
        <w:t> </w:t>
      </w:r>
      <w:r>
        <w:rPr/>
        <w:t>a</w:t>
      </w:r>
      <w:r>
        <w:rPr>
          <w:spacing w:val="-42"/>
        </w:rPr>
        <w:t> </w:t>
      </w:r>
      <w:r>
        <w:rPr/>
        <w:t>decisão</w:t>
      </w:r>
      <w:r>
        <w:rPr>
          <w:spacing w:val="-42"/>
        </w:rPr>
        <w:t> </w:t>
      </w:r>
      <w:r>
        <w:rPr/>
        <w:t>teria</w:t>
      </w:r>
      <w:r>
        <w:rPr>
          <w:spacing w:val="-42"/>
        </w:rPr>
        <w:t> </w:t>
      </w:r>
      <w:r>
        <w:rPr/>
        <w:t>seus</w:t>
      </w:r>
      <w:r>
        <w:rPr>
          <w:spacing w:val="-40"/>
        </w:rPr>
        <w:t> </w:t>
      </w:r>
      <w:r>
        <w:rPr/>
        <w:t>efeitos</w:t>
      </w:r>
      <w:r>
        <w:rPr>
          <w:spacing w:val="-41"/>
        </w:rPr>
        <w:t> </w:t>
      </w:r>
      <w:r>
        <w:rPr/>
        <w:t>válidos</w:t>
      </w:r>
      <w:r>
        <w:rPr>
          <w:spacing w:val="-42"/>
        </w:rPr>
        <w:t> </w:t>
      </w:r>
      <w:r>
        <w:rPr/>
        <w:t>tão</w:t>
      </w:r>
      <w:r>
        <w:rPr>
          <w:spacing w:val="-42"/>
        </w:rPr>
        <w:t> </w:t>
      </w:r>
      <w:r>
        <w:rPr/>
        <w:t>somente</w:t>
      </w:r>
      <w:r>
        <w:rPr>
          <w:spacing w:val="-43"/>
        </w:rPr>
        <w:t> </w:t>
      </w:r>
      <w:r>
        <w:rPr/>
        <w:t>do</w:t>
      </w:r>
      <w:r>
        <w:rPr>
          <w:spacing w:val="-42"/>
        </w:rPr>
        <w:t> </w:t>
      </w:r>
      <w:r>
        <w:rPr/>
        <w:t>trânsito</w:t>
      </w:r>
      <w:r>
        <w:rPr>
          <w:spacing w:val="-41"/>
        </w:rPr>
        <w:t> </w:t>
      </w:r>
      <w:r>
        <w:rPr/>
        <w:t>em</w:t>
      </w:r>
      <w:r>
        <w:rPr>
          <w:spacing w:val="-41"/>
        </w:rPr>
        <w:t> </w:t>
      </w:r>
      <w:r>
        <w:rPr/>
        <w:t>julgado.</w:t>
      </w:r>
    </w:p>
    <w:p>
      <w:pPr>
        <w:pStyle w:val="BodyText"/>
        <w:spacing w:line="242" w:lineRule="auto" w:before="117"/>
        <w:ind w:left="172" w:right="413"/>
        <w:jc w:val="both"/>
      </w:pPr>
      <w:r>
        <w:rPr/>
        <w:t>A</w:t>
      </w:r>
      <w:r>
        <w:rPr>
          <w:spacing w:val="-29"/>
        </w:rPr>
        <w:t> </w:t>
      </w:r>
      <w:r>
        <w:rPr/>
        <w:t>Aneel,</w:t>
      </w:r>
      <w:r>
        <w:rPr>
          <w:spacing w:val="-28"/>
        </w:rPr>
        <w:t> </w:t>
      </w:r>
      <w:r>
        <w:rPr/>
        <w:t>no</w:t>
      </w:r>
      <w:r>
        <w:rPr>
          <w:spacing w:val="-27"/>
        </w:rPr>
        <w:t> </w:t>
      </w:r>
      <w:r>
        <w:rPr/>
        <w:t>dia</w:t>
      </w:r>
      <w:r>
        <w:rPr>
          <w:spacing w:val="-28"/>
        </w:rPr>
        <w:t> </w:t>
      </w:r>
      <w:r>
        <w:rPr/>
        <w:t>17</w:t>
      </w:r>
      <w:r>
        <w:rPr>
          <w:spacing w:val="-28"/>
        </w:rPr>
        <w:t> </w:t>
      </w:r>
      <w:r>
        <w:rPr/>
        <w:t>de</w:t>
      </w:r>
      <w:r>
        <w:rPr>
          <w:spacing w:val="-28"/>
        </w:rPr>
        <w:t> </w:t>
      </w:r>
      <w:r>
        <w:rPr/>
        <w:t>março</w:t>
      </w:r>
      <w:r>
        <w:rPr>
          <w:spacing w:val="-27"/>
        </w:rPr>
        <w:t> </w:t>
      </w:r>
      <w:r>
        <w:rPr/>
        <w:t>de</w:t>
      </w:r>
      <w:r>
        <w:rPr>
          <w:spacing w:val="-29"/>
        </w:rPr>
        <w:t> </w:t>
      </w:r>
      <w:r>
        <w:rPr/>
        <w:t>2020,</w:t>
      </w:r>
      <w:r>
        <w:rPr>
          <w:spacing w:val="-29"/>
        </w:rPr>
        <w:t> </w:t>
      </w:r>
      <w:r>
        <w:rPr/>
        <w:t>abriu</w:t>
      </w:r>
      <w:r>
        <w:rPr>
          <w:spacing w:val="-28"/>
        </w:rPr>
        <w:t> </w:t>
      </w:r>
      <w:r>
        <w:rPr/>
        <w:t>discussão</w:t>
      </w:r>
      <w:r>
        <w:rPr>
          <w:spacing w:val="-28"/>
        </w:rPr>
        <w:t> </w:t>
      </w:r>
      <w:r>
        <w:rPr/>
        <w:t>para</w:t>
      </w:r>
      <w:r>
        <w:rPr>
          <w:spacing w:val="-28"/>
        </w:rPr>
        <w:t> </w:t>
      </w:r>
      <w:r>
        <w:rPr/>
        <w:t>tomada</w:t>
      </w:r>
      <w:r>
        <w:rPr>
          <w:spacing w:val="-27"/>
        </w:rPr>
        <w:t> </w:t>
      </w:r>
      <w:r>
        <w:rPr/>
        <w:t>de</w:t>
      </w:r>
      <w:r>
        <w:rPr>
          <w:spacing w:val="-30"/>
        </w:rPr>
        <w:t> </w:t>
      </w:r>
      <w:r>
        <w:rPr/>
        <w:t>subsídios</w:t>
      </w:r>
      <w:r>
        <w:rPr>
          <w:spacing w:val="-28"/>
        </w:rPr>
        <w:t> </w:t>
      </w:r>
      <w:r>
        <w:rPr/>
        <w:t>sobre</w:t>
      </w:r>
      <w:r>
        <w:rPr>
          <w:spacing w:val="-28"/>
        </w:rPr>
        <w:t> </w:t>
      </w:r>
      <w:r>
        <w:rPr/>
        <w:t>o</w:t>
      </w:r>
      <w:r>
        <w:rPr>
          <w:spacing w:val="-28"/>
        </w:rPr>
        <w:t> </w:t>
      </w:r>
      <w:r>
        <w:rPr/>
        <w:t>tratamento</w:t>
      </w:r>
      <w:r>
        <w:rPr>
          <w:spacing w:val="-28"/>
        </w:rPr>
        <w:t> </w:t>
      </w:r>
      <w:r>
        <w:rPr/>
        <w:t>regulatório</w:t>
      </w:r>
      <w:r>
        <w:rPr>
          <w:spacing w:val="-29"/>
        </w:rPr>
        <w:t> </w:t>
      </w:r>
      <w:r>
        <w:rPr/>
        <w:t>a</w:t>
      </w:r>
      <w:r>
        <w:rPr>
          <w:spacing w:val="-28"/>
        </w:rPr>
        <w:t> </w:t>
      </w:r>
      <w:r>
        <w:rPr/>
        <w:t>ser dado a decisões judiciais sobre a exclusão do ICMS da base de cálculo do PIS/COFINS nas contas de energia do consumidor.</w:t>
      </w:r>
      <w:r>
        <w:rPr>
          <w:spacing w:val="-42"/>
        </w:rPr>
        <w:t> </w:t>
      </w:r>
      <w:r>
        <w:rPr/>
        <w:t>Após</w:t>
      </w:r>
      <w:r>
        <w:rPr>
          <w:spacing w:val="-42"/>
        </w:rPr>
        <w:t> </w:t>
      </w:r>
      <w:r>
        <w:rPr/>
        <w:t>essa</w:t>
      </w:r>
      <w:r>
        <w:rPr>
          <w:spacing w:val="-41"/>
        </w:rPr>
        <w:t> </w:t>
      </w:r>
      <w:r>
        <w:rPr/>
        <w:t>fase,</w:t>
      </w:r>
      <w:r>
        <w:rPr>
          <w:spacing w:val="-40"/>
        </w:rPr>
        <w:t> </w:t>
      </w:r>
      <w:r>
        <w:rPr/>
        <w:t>a</w:t>
      </w:r>
      <w:r>
        <w:rPr>
          <w:spacing w:val="-42"/>
        </w:rPr>
        <w:t> </w:t>
      </w:r>
      <w:r>
        <w:rPr/>
        <w:t>Agência</w:t>
      </w:r>
      <w:r>
        <w:rPr>
          <w:spacing w:val="-42"/>
        </w:rPr>
        <w:t> </w:t>
      </w:r>
      <w:r>
        <w:rPr/>
        <w:t>Reguladora</w:t>
      </w:r>
      <w:r>
        <w:rPr>
          <w:spacing w:val="-42"/>
        </w:rPr>
        <w:t> </w:t>
      </w:r>
      <w:r>
        <w:rPr/>
        <w:t>abrirá</w:t>
      </w:r>
      <w:r>
        <w:rPr>
          <w:spacing w:val="-41"/>
        </w:rPr>
        <w:t> </w:t>
      </w:r>
      <w:r>
        <w:rPr/>
        <w:t>consulta</w:t>
      </w:r>
      <w:r>
        <w:rPr>
          <w:spacing w:val="-42"/>
        </w:rPr>
        <w:t> </w:t>
      </w:r>
      <w:r>
        <w:rPr/>
        <w:t>pública</w:t>
      </w:r>
      <w:r>
        <w:rPr>
          <w:spacing w:val="-42"/>
        </w:rPr>
        <w:t> </w:t>
      </w:r>
      <w:r>
        <w:rPr/>
        <w:t>com</w:t>
      </w:r>
      <w:r>
        <w:rPr>
          <w:spacing w:val="-41"/>
        </w:rPr>
        <w:t> </w:t>
      </w:r>
      <w:r>
        <w:rPr/>
        <w:t>a</w:t>
      </w:r>
      <w:r>
        <w:rPr>
          <w:spacing w:val="-42"/>
        </w:rPr>
        <w:t> </w:t>
      </w:r>
      <w:r>
        <w:rPr/>
        <w:t>proposta</w:t>
      </w:r>
      <w:r>
        <w:rPr>
          <w:spacing w:val="-41"/>
        </w:rPr>
        <w:t> </w:t>
      </w:r>
      <w:r>
        <w:rPr/>
        <w:t>de</w:t>
      </w:r>
      <w:r>
        <w:rPr>
          <w:spacing w:val="-42"/>
        </w:rPr>
        <w:t> </w:t>
      </w:r>
      <w:r>
        <w:rPr/>
        <w:t>regulamento</w:t>
      </w:r>
      <w:r>
        <w:rPr>
          <w:spacing w:val="-42"/>
        </w:rPr>
        <w:t> </w:t>
      </w:r>
      <w:r>
        <w:rPr/>
        <w:t>a</w:t>
      </w:r>
      <w:r>
        <w:rPr>
          <w:spacing w:val="-41"/>
        </w:rPr>
        <w:t> </w:t>
      </w:r>
      <w:r>
        <w:rPr/>
        <w:t>respeito.</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OBRIGAÇÕES VINCULADAS À</w:t>
      </w:r>
      <w:r>
        <w:rPr>
          <w:spacing w:val="-1"/>
        </w:rPr>
        <w:t> </w:t>
      </w:r>
      <w:r>
        <w:rPr/>
        <w:t>CONCESSÃO</w:t>
      </w:r>
    </w:p>
    <w:p>
      <w:pPr>
        <w:pStyle w:val="BodyText"/>
        <w:spacing w:before="8"/>
        <w:rPr>
          <w:rFonts w:ascii="Caladea"/>
          <w:b/>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61"/>
        <w:gridCol w:w="1549"/>
        <w:gridCol w:w="1548"/>
      </w:tblGrid>
      <w:tr>
        <w:trPr>
          <w:trHeight w:val="237" w:hRule="atLeast"/>
        </w:trPr>
        <w:tc>
          <w:tcPr>
            <w:tcW w:w="6861" w:type="dxa"/>
            <w:vMerge w:val="restart"/>
            <w:shd w:val="clear" w:color="auto" w:fill="D9D9D9"/>
          </w:tcPr>
          <w:p>
            <w:pPr>
              <w:pStyle w:val="TableParagraph"/>
              <w:rPr>
                <w:rFonts w:ascii="Times New Roman"/>
                <w:sz w:val="16"/>
              </w:rPr>
            </w:pPr>
          </w:p>
        </w:tc>
        <w:tc>
          <w:tcPr>
            <w:tcW w:w="3097" w:type="dxa"/>
            <w:gridSpan w:val="2"/>
          </w:tcPr>
          <w:p>
            <w:pPr>
              <w:pStyle w:val="TableParagraph"/>
              <w:spacing w:before="34"/>
              <w:ind w:left="1127" w:right="1121"/>
              <w:jc w:val="center"/>
              <w:rPr>
                <w:rFonts w:ascii="Caladea"/>
                <w:b/>
                <w:sz w:val="14"/>
              </w:rPr>
            </w:pPr>
            <w:r>
              <w:rPr>
                <w:rFonts w:ascii="Caladea"/>
                <w:b/>
                <w:sz w:val="14"/>
              </w:rPr>
              <w:t>Consolidado</w:t>
            </w:r>
          </w:p>
        </w:tc>
      </w:tr>
      <w:tr>
        <w:trPr>
          <w:trHeight w:val="395" w:hRule="atLeast"/>
        </w:trPr>
        <w:tc>
          <w:tcPr>
            <w:tcW w:w="6861" w:type="dxa"/>
            <w:vMerge/>
            <w:tcBorders>
              <w:top w:val="nil"/>
            </w:tcBorders>
            <w:shd w:val="clear" w:color="auto" w:fill="D9D9D9"/>
          </w:tcPr>
          <w:p>
            <w:pPr>
              <w:rPr>
                <w:sz w:val="2"/>
                <w:szCs w:val="2"/>
              </w:rPr>
            </w:pPr>
          </w:p>
        </w:tc>
        <w:tc>
          <w:tcPr>
            <w:tcW w:w="1549" w:type="dxa"/>
          </w:tcPr>
          <w:p>
            <w:pPr>
              <w:pStyle w:val="TableParagraph"/>
              <w:spacing w:before="114"/>
              <w:ind w:left="371"/>
              <w:rPr>
                <w:rFonts w:ascii="Caladea"/>
                <w:b/>
                <w:sz w:val="14"/>
              </w:rPr>
            </w:pPr>
            <w:r>
              <w:rPr>
                <w:rFonts w:ascii="Caladea"/>
                <w:b/>
                <w:sz w:val="14"/>
              </w:rPr>
              <w:t>31/12/2019</w:t>
            </w:r>
          </w:p>
        </w:tc>
        <w:tc>
          <w:tcPr>
            <w:tcW w:w="1548" w:type="dxa"/>
          </w:tcPr>
          <w:p>
            <w:pPr>
              <w:pStyle w:val="TableParagraph"/>
              <w:spacing w:before="114"/>
              <w:ind w:left="373"/>
              <w:rPr>
                <w:rFonts w:ascii="Caladea"/>
                <w:b/>
                <w:sz w:val="14"/>
              </w:rPr>
            </w:pPr>
            <w:r>
              <w:rPr>
                <w:rFonts w:ascii="Caladea"/>
                <w:b/>
                <w:sz w:val="14"/>
              </w:rPr>
              <w:t>31/12/2018</w:t>
            </w:r>
          </w:p>
        </w:tc>
      </w:tr>
      <w:tr>
        <w:trPr>
          <w:trHeight w:val="237" w:hRule="atLeast"/>
        </w:trPr>
        <w:tc>
          <w:tcPr>
            <w:tcW w:w="6861" w:type="dxa"/>
          </w:tcPr>
          <w:p>
            <w:pPr>
              <w:pStyle w:val="TableParagraph"/>
              <w:spacing w:before="38"/>
              <w:ind w:left="72"/>
              <w:rPr>
                <w:sz w:val="14"/>
              </w:rPr>
            </w:pPr>
            <w:r>
              <w:rPr>
                <w:sz w:val="14"/>
              </w:rPr>
              <w:t>Uso do Bem Público</w:t>
            </w:r>
          </w:p>
        </w:tc>
        <w:tc>
          <w:tcPr>
            <w:tcW w:w="1549" w:type="dxa"/>
          </w:tcPr>
          <w:p>
            <w:pPr>
              <w:pStyle w:val="TableParagraph"/>
              <w:rPr>
                <w:rFonts w:ascii="Times New Roman"/>
                <w:sz w:val="16"/>
              </w:rPr>
            </w:pPr>
          </w:p>
        </w:tc>
        <w:tc>
          <w:tcPr>
            <w:tcW w:w="1548" w:type="dxa"/>
          </w:tcPr>
          <w:p>
            <w:pPr>
              <w:pStyle w:val="TableParagraph"/>
              <w:spacing w:before="38"/>
              <w:ind w:right="58"/>
              <w:jc w:val="right"/>
              <w:rPr>
                <w:sz w:val="14"/>
              </w:rPr>
            </w:pPr>
            <w:r>
              <w:rPr>
                <w:sz w:val="14"/>
              </w:rPr>
              <w:t>150</w:t>
            </w:r>
          </w:p>
        </w:tc>
      </w:tr>
      <w:tr>
        <w:trPr>
          <w:trHeight w:val="237" w:hRule="atLeast"/>
        </w:trPr>
        <w:tc>
          <w:tcPr>
            <w:tcW w:w="6861" w:type="dxa"/>
          </w:tcPr>
          <w:p>
            <w:pPr>
              <w:pStyle w:val="TableParagraph"/>
              <w:spacing w:before="35"/>
              <w:ind w:left="72"/>
              <w:rPr>
                <w:rFonts w:ascii="Caladea" w:hAnsi="Caladea"/>
                <w:b/>
                <w:sz w:val="14"/>
              </w:rPr>
            </w:pPr>
            <w:r>
              <w:rPr>
                <w:w w:val="105"/>
                <w:sz w:val="14"/>
              </w:rPr>
              <w:t>Participação Financeira do Consumidor – Valores Não Aplicados </w:t>
            </w:r>
            <w:r>
              <w:rPr>
                <w:rFonts w:ascii="Caladea" w:hAnsi="Caladea"/>
                <w:b/>
                <w:w w:val="105"/>
                <w:sz w:val="14"/>
              </w:rPr>
              <w:t>(a)</w:t>
            </w:r>
          </w:p>
        </w:tc>
        <w:tc>
          <w:tcPr>
            <w:tcW w:w="1549" w:type="dxa"/>
          </w:tcPr>
          <w:p>
            <w:pPr>
              <w:pStyle w:val="TableParagraph"/>
              <w:spacing w:before="36"/>
              <w:ind w:right="60"/>
              <w:jc w:val="right"/>
              <w:rPr>
                <w:sz w:val="14"/>
              </w:rPr>
            </w:pPr>
            <w:r>
              <w:rPr>
                <w:w w:val="95"/>
                <w:sz w:val="14"/>
              </w:rPr>
              <w:t>1.103</w:t>
            </w:r>
          </w:p>
        </w:tc>
        <w:tc>
          <w:tcPr>
            <w:tcW w:w="1548" w:type="dxa"/>
          </w:tcPr>
          <w:p>
            <w:pPr>
              <w:pStyle w:val="TableParagraph"/>
              <w:spacing w:before="36"/>
              <w:ind w:right="58"/>
              <w:jc w:val="right"/>
              <w:rPr>
                <w:sz w:val="14"/>
              </w:rPr>
            </w:pPr>
            <w:r>
              <w:rPr>
                <w:w w:val="95"/>
                <w:sz w:val="14"/>
              </w:rPr>
              <w:t>3.250</w:t>
            </w:r>
          </w:p>
        </w:tc>
      </w:tr>
      <w:tr>
        <w:trPr>
          <w:trHeight w:val="237" w:hRule="atLeast"/>
        </w:trPr>
        <w:tc>
          <w:tcPr>
            <w:tcW w:w="6861" w:type="dxa"/>
          </w:tcPr>
          <w:p>
            <w:pPr>
              <w:pStyle w:val="TableParagraph"/>
              <w:spacing w:before="34"/>
              <w:ind w:left="72"/>
              <w:rPr>
                <w:rFonts w:ascii="Caladea"/>
                <w:b/>
                <w:sz w:val="14"/>
              </w:rPr>
            </w:pPr>
            <w:r>
              <w:rPr>
                <w:rFonts w:ascii="Caladea"/>
                <w:b/>
                <w:sz w:val="14"/>
              </w:rPr>
              <w:t>Total</w:t>
            </w:r>
          </w:p>
        </w:tc>
        <w:tc>
          <w:tcPr>
            <w:tcW w:w="1549" w:type="dxa"/>
          </w:tcPr>
          <w:p>
            <w:pPr>
              <w:pStyle w:val="TableParagraph"/>
              <w:spacing w:before="34"/>
              <w:ind w:right="60"/>
              <w:jc w:val="right"/>
              <w:rPr>
                <w:rFonts w:ascii="Caladea"/>
                <w:b/>
                <w:sz w:val="14"/>
              </w:rPr>
            </w:pPr>
            <w:r>
              <w:rPr>
                <w:rFonts w:ascii="Caladea"/>
                <w:b/>
                <w:w w:val="95"/>
                <w:sz w:val="14"/>
              </w:rPr>
              <w:t>1.103</w:t>
            </w:r>
          </w:p>
        </w:tc>
        <w:tc>
          <w:tcPr>
            <w:tcW w:w="1548" w:type="dxa"/>
          </w:tcPr>
          <w:p>
            <w:pPr>
              <w:pStyle w:val="TableParagraph"/>
              <w:spacing w:before="34"/>
              <w:ind w:right="58"/>
              <w:jc w:val="right"/>
              <w:rPr>
                <w:rFonts w:ascii="Caladea"/>
                <w:b/>
                <w:sz w:val="14"/>
              </w:rPr>
            </w:pPr>
            <w:r>
              <w:rPr>
                <w:rFonts w:ascii="Caladea"/>
                <w:b/>
                <w:w w:val="95"/>
                <w:sz w:val="14"/>
              </w:rPr>
              <w:t>3.400</w:t>
            </w:r>
          </w:p>
        </w:tc>
      </w:tr>
      <w:tr>
        <w:trPr>
          <w:trHeight w:val="237" w:hRule="atLeast"/>
        </w:trPr>
        <w:tc>
          <w:tcPr>
            <w:tcW w:w="6861" w:type="dxa"/>
          </w:tcPr>
          <w:p>
            <w:pPr>
              <w:pStyle w:val="TableParagraph"/>
              <w:spacing w:before="35"/>
              <w:ind w:left="72"/>
              <w:rPr>
                <w:rFonts w:ascii="Caladea" w:hAnsi="Caladea"/>
                <w:b/>
                <w:sz w:val="14"/>
              </w:rPr>
            </w:pPr>
            <w:r>
              <w:rPr>
                <w:rFonts w:ascii="Caladea" w:hAnsi="Caladea"/>
                <w:b/>
                <w:sz w:val="14"/>
              </w:rPr>
              <w:t>Não Circulante</w:t>
            </w:r>
          </w:p>
        </w:tc>
        <w:tc>
          <w:tcPr>
            <w:tcW w:w="1549" w:type="dxa"/>
          </w:tcPr>
          <w:p>
            <w:pPr>
              <w:pStyle w:val="TableParagraph"/>
              <w:spacing w:before="35"/>
              <w:ind w:right="60"/>
              <w:jc w:val="right"/>
              <w:rPr>
                <w:rFonts w:ascii="Caladea"/>
                <w:b/>
                <w:sz w:val="14"/>
              </w:rPr>
            </w:pPr>
            <w:r>
              <w:rPr>
                <w:rFonts w:ascii="Caladea"/>
                <w:b/>
                <w:w w:val="95"/>
                <w:sz w:val="14"/>
              </w:rPr>
              <w:t>1.103</w:t>
            </w:r>
          </w:p>
        </w:tc>
        <w:tc>
          <w:tcPr>
            <w:tcW w:w="1548" w:type="dxa"/>
          </w:tcPr>
          <w:p>
            <w:pPr>
              <w:pStyle w:val="TableParagraph"/>
              <w:spacing w:before="35"/>
              <w:ind w:right="58"/>
              <w:jc w:val="right"/>
              <w:rPr>
                <w:rFonts w:ascii="Caladea"/>
                <w:b/>
                <w:sz w:val="14"/>
              </w:rPr>
            </w:pPr>
            <w:r>
              <w:rPr>
                <w:rFonts w:ascii="Caladea"/>
                <w:b/>
                <w:w w:val="95"/>
                <w:sz w:val="14"/>
              </w:rPr>
              <w:t>3.400</w:t>
            </w:r>
          </w:p>
        </w:tc>
      </w:tr>
    </w:tbl>
    <w:p>
      <w:pPr>
        <w:spacing w:before="1"/>
        <w:ind w:left="172" w:right="0" w:firstLine="0"/>
        <w:jc w:val="left"/>
        <w:rPr>
          <w:sz w:val="16"/>
        </w:rPr>
      </w:pPr>
      <w:r>
        <w:rPr>
          <w:sz w:val="16"/>
        </w:rPr>
        <w:t>(a) Valores recebidos antes do início do empreendimento e não aplicados.</w:t>
      </w:r>
    </w:p>
    <w:p>
      <w:pPr>
        <w:pStyle w:val="BodyText"/>
        <w:rPr>
          <w:sz w:val="21"/>
        </w:rPr>
      </w:pPr>
    </w:p>
    <w:p>
      <w:pPr>
        <w:pStyle w:val="BodyText"/>
        <w:spacing w:line="242" w:lineRule="auto"/>
        <w:ind w:left="172" w:right="418"/>
        <w:jc w:val="both"/>
      </w:pPr>
      <w:r>
        <w:rPr/>
        <w:t>A</w:t>
      </w:r>
      <w:r>
        <w:rPr>
          <w:spacing w:val="-23"/>
        </w:rPr>
        <w:t> </w:t>
      </w:r>
      <w:r>
        <w:rPr/>
        <w:t>variação</w:t>
      </w:r>
      <w:r>
        <w:rPr>
          <w:spacing w:val="-23"/>
        </w:rPr>
        <w:t> </w:t>
      </w:r>
      <w:r>
        <w:rPr/>
        <w:t>na</w:t>
      </w:r>
      <w:r>
        <w:rPr>
          <w:spacing w:val="-21"/>
        </w:rPr>
        <w:t> </w:t>
      </w:r>
      <w:r>
        <w:rPr/>
        <w:t>conta</w:t>
      </w:r>
      <w:r>
        <w:rPr>
          <w:spacing w:val="-21"/>
        </w:rPr>
        <w:t> </w:t>
      </w:r>
      <w:r>
        <w:rPr/>
        <w:t>de</w:t>
      </w:r>
      <w:r>
        <w:rPr>
          <w:spacing w:val="-20"/>
        </w:rPr>
        <w:t> </w:t>
      </w:r>
      <w:r>
        <w:rPr/>
        <w:t>Participação</w:t>
      </w:r>
      <w:r>
        <w:rPr>
          <w:spacing w:val="-23"/>
        </w:rPr>
        <w:t> </w:t>
      </w:r>
      <w:r>
        <w:rPr/>
        <w:t>Financeira</w:t>
      </w:r>
      <w:r>
        <w:rPr>
          <w:spacing w:val="-22"/>
        </w:rPr>
        <w:t> </w:t>
      </w:r>
      <w:r>
        <w:rPr/>
        <w:t>do</w:t>
      </w:r>
      <w:r>
        <w:rPr>
          <w:spacing w:val="-23"/>
        </w:rPr>
        <w:t> </w:t>
      </w:r>
      <w:r>
        <w:rPr/>
        <w:t>Consumidor</w:t>
      </w:r>
      <w:r>
        <w:rPr>
          <w:spacing w:val="-22"/>
        </w:rPr>
        <w:t> </w:t>
      </w:r>
      <w:r>
        <w:rPr/>
        <w:t>se</w:t>
      </w:r>
      <w:r>
        <w:rPr>
          <w:spacing w:val="-22"/>
        </w:rPr>
        <w:t> </w:t>
      </w:r>
      <w:r>
        <w:rPr/>
        <w:t>refere</w:t>
      </w:r>
      <w:r>
        <w:rPr>
          <w:spacing w:val="-22"/>
        </w:rPr>
        <w:t> </w:t>
      </w:r>
      <w:r>
        <w:rPr/>
        <w:t>a</w:t>
      </w:r>
      <w:r>
        <w:rPr>
          <w:spacing w:val="-22"/>
        </w:rPr>
        <w:t> </w:t>
      </w:r>
      <w:r>
        <w:rPr/>
        <w:t>transferência</w:t>
      </w:r>
      <w:r>
        <w:rPr>
          <w:spacing w:val="-23"/>
        </w:rPr>
        <w:t> </w:t>
      </w:r>
      <w:r>
        <w:rPr/>
        <w:t>de</w:t>
      </w:r>
      <w:r>
        <w:rPr>
          <w:spacing w:val="-24"/>
        </w:rPr>
        <w:t> </w:t>
      </w:r>
      <w:r>
        <w:rPr/>
        <w:t>saldo</w:t>
      </w:r>
      <w:r>
        <w:rPr>
          <w:spacing w:val="-21"/>
        </w:rPr>
        <w:t> </w:t>
      </w:r>
      <w:r>
        <w:rPr/>
        <w:t>para</w:t>
      </w:r>
      <w:r>
        <w:rPr>
          <w:spacing w:val="-23"/>
        </w:rPr>
        <w:t> </w:t>
      </w:r>
      <w:r>
        <w:rPr/>
        <w:t>o</w:t>
      </w:r>
      <w:r>
        <w:rPr>
          <w:spacing w:val="-21"/>
        </w:rPr>
        <w:t> </w:t>
      </w:r>
      <w:r>
        <w:rPr/>
        <w:t>intangível quando</w:t>
      </w:r>
      <w:r>
        <w:rPr>
          <w:spacing w:val="-17"/>
        </w:rPr>
        <w:t> </w:t>
      </w:r>
      <w:r>
        <w:rPr/>
        <w:t>da</w:t>
      </w:r>
      <w:r>
        <w:rPr>
          <w:spacing w:val="-18"/>
        </w:rPr>
        <w:t> </w:t>
      </w:r>
      <w:r>
        <w:rPr/>
        <w:t>conclusão</w:t>
      </w:r>
      <w:r>
        <w:rPr>
          <w:spacing w:val="-19"/>
        </w:rPr>
        <w:t> </w:t>
      </w:r>
      <w:r>
        <w:rPr/>
        <w:t>das</w:t>
      </w:r>
      <w:r>
        <w:rPr>
          <w:spacing w:val="-18"/>
        </w:rPr>
        <w:t> </w:t>
      </w:r>
      <w:r>
        <w:rPr/>
        <w:t>obrigações.</w:t>
      </w:r>
    </w:p>
    <w:p>
      <w:pPr>
        <w:pStyle w:val="BodyText"/>
        <w:spacing w:before="5"/>
      </w:pPr>
    </w:p>
    <w:p>
      <w:pPr>
        <w:pStyle w:val="Heading3"/>
        <w:numPr>
          <w:ilvl w:val="0"/>
          <w:numId w:val="6"/>
        </w:numPr>
        <w:tabs>
          <w:tab w:pos="953" w:val="left" w:leader="none"/>
          <w:tab w:pos="954" w:val="left" w:leader="none"/>
        </w:tabs>
        <w:spacing w:line="240" w:lineRule="auto" w:before="0" w:after="0"/>
        <w:ind w:left="953" w:right="0" w:hanging="782"/>
        <w:jc w:val="left"/>
      </w:pPr>
      <w:r>
        <w:rPr/>
        <w:t>PATRIMÔNIO LÍQUIDO</w:t>
      </w:r>
    </w:p>
    <w:p>
      <w:pPr>
        <w:pStyle w:val="ListParagraph"/>
        <w:numPr>
          <w:ilvl w:val="1"/>
          <w:numId w:val="6"/>
        </w:numPr>
        <w:tabs>
          <w:tab w:pos="1025" w:val="left" w:leader="none"/>
          <w:tab w:pos="1026" w:val="left" w:leader="none"/>
        </w:tabs>
        <w:spacing w:line="240" w:lineRule="auto" w:before="243" w:after="0"/>
        <w:ind w:left="1025" w:right="0" w:hanging="854"/>
        <w:jc w:val="left"/>
        <w:rPr>
          <w:rFonts w:ascii="Caladea"/>
          <w:b/>
          <w:sz w:val="18"/>
        </w:rPr>
      </w:pPr>
      <w:r>
        <w:rPr>
          <w:rFonts w:ascii="Caladea"/>
          <w:b/>
          <w:sz w:val="22"/>
        </w:rPr>
        <w:t>C</w:t>
      </w:r>
      <w:r>
        <w:rPr>
          <w:rFonts w:ascii="Caladea"/>
          <w:b/>
          <w:sz w:val="18"/>
        </w:rPr>
        <w:t>APITAL</w:t>
      </w:r>
      <w:r>
        <w:rPr>
          <w:rFonts w:ascii="Caladea"/>
          <w:b/>
          <w:spacing w:val="-1"/>
          <w:sz w:val="18"/>
        </w:rPr>
        <w:t> </w:t>
      </w:r>
      <w:r>
        <w:rPr>
          <w:rFonts w:ascii="Caladea"/>
          <w:b/>
          <w:sz w:val="22"/>
        </w:rPr>
        <w:t>S</w:t>
      </w:r>
      <w:r>
        <w:rPr>
          <w:rFonts w:ascii="Caladea"/>
          <w:b/>
          <w:sz w:val="18"/>
        </w:rPr>
        <w:t>OCIAL</w:t>
      </w:r>
    </w:p>
    <w:p>
      <w:pPr>
        <w:pStyle w:val="BodyText"/>
        <w:spacing w:before="9"/>
        <w:rPr>
          <w:rFonts w:ascii="Caladea"/>
          <w:b/>
          <w:sz w:val="23"/>
        </w:rPr>
      </w:pPr>
    </w:p>
    <w:p>
      <w:pPr>
        <w:pStyle w:val="BodyText"/>
        <w:spacing w:line="242" w:lineRule="auto"/>
        <w:ind w:left="172" w:right="407"/>
        <w:jc w:val="both"/>
      </w:pPr>
      <w:r>
        <w:rPr/>
        <w:t>O</w:t>
      </w:r>
      <w:r>
        <w:rPr>
          <w:spacing w:val="-24"/>
        </w:rPr>
        <w:t> </w:t>
      </w:r>
      <w:r>
        <w:rPr/>
        <w:t>Capital</w:t>
      </w:r>
      <w:r>
        <w:rPr>
          <w:spacing w:val="-22"/>
        </w:rPr>
        <w:t> </w:t>
      </w:r>
      <w:r>
        <w:rPr/>
        <w:t>Social</w:t>
      </w:r>
      <w:r>
        <w:rPr>
          <w:spacing w:val="-22"/>
        </w:rPr>
        <w:t> </w:t>
      </w:r>
      <w:r>
        <w:rPr/>
        <w:t>subscrito</w:t>
      </w:r>
      <w:r>
        <w:rPr>
          <w:spacing w:val="-20"/>
        </w:rPr>
        <w:t> </w:t>
      </w:r>
      <w:r>
        <w:rPr/>
        <w:t>e</w:t>
      </w:r>
      <w:r>
        <w:rPr>
          <w:spacing w:val="-23"/>
        </w:rPr>
        <w:t> </w:t>
      </w:r>
      <w:r>
        <w:rPr/>
        <w:t>integralizado</w:t>
      </w:r>
      <w:r>
        <w:rPr>
          <w:spacing w:val="-21"/>
        </w:rPr>
        <w:t> </w:t>
      </w:r>
      <w:r>
        <w:rPr/>
        <w:t>é</w:t>
      </w:r>
      <w:r>
        <w:rPr>
          <w:spacing w:val="-17"/>
        </w:rPr>
        <w:t> </w:t>
      </w:r>
      <w:r>
        <w:rPr/>
        <w:t>de</w:t>
      </w:r>
      <w:r>
        <w:rPr>
          <w:spacing w:val="-24"/>
        </w:rPr>
        <w:t> </w:t>
      </w:r>
      <w:r>
        <w:rPr/>
        <w:t>R$</w:t>
      </w:r>
      <w:r>
        <w:rPr>
          <w:spacing w:val="-21"/>
        </w:rPr>
        <w:t> </w:t>
      </w:r>
      <w:r>
        <w:rPr/>
        <w:t>566.025</w:t>
      </w:r>
      <w:r>
        <w:rPr>
          <w:spacing w:val="-24"/>
        </w:rPr>
        <w:t> </w:t>
      </w:r>
      <w:r>
        <w:rPr/>
        <w:t>(R$</w:t>
      </w:r>
      <w:r>
        <w:rPr>
          <w:spacing w:val="-20"/>
        </w:rPr>
        <w:t> </w:t>
      </w:r>
      <w:r>
        <w:rPr/>
        <w:t>566.025</w:t>
      </w:r>
      <w:r>
        <w:rPr>
          <w:spacing w:val="-19"/>
        </w:rPr>
        <w:t> </w:t>
      </w:r>
      <w:r>
        <w:rPr>
          <w:w w:val="105"/>
        </w:rPr>
        <w:t>–</w:t>
      </w:r>
      <w:r>
        <w:rPr>
          <w:spacing w:val="-23"/>
          <w:w w:val="105"/>
        </w:rPr>
        <w:t> </w:t>
      </w:r>
      <w:r>
        <w:rPr/>
        <w:t>2018).</w:t>
      </w:r>
      <w:r>
        <w:rPr>
          <w:spacing w:val="-22"/>
        </w:rPr>
        <w:t> </w:t>
      </w:r>
      <w:r>
        <w:rPr/>
        <w:t>As</w:t>
      </w:r>
      <w:r>
        <w:rPr>
          <w:spacing w:val="-21"/>
        </w:rPr>
        <w:t> </w:t>
      </w:r>
      <w:r>
        <w:rPr/>
        <w:t>ações</w:t>
      </w:r>
      <w:r>
        <w:rPr>
          <w:spacing w:val="-22"/>
        </w:rPr>
        <w:t> </w:t>
      </w:r>
      <w:r>
        <w:rPr/>
        <w:t>são</w:t>
      </w:r>
      <w:r>
        <w:rPr>
          <w:spacing w:val="-22"/>
        </w:rPr>
        <w:t> </w:t>
      </w:r>
      <w:r>
        <w:rPr/>
        <w:t>escriturais</w:t>
      </w:r>
      <w:r>
        <w:rPr>
          <w:spacing w:val="-20"/>
        </w:rPr>
        <w:t> </w:t>
      </w:r>
      <w:r>
        <w:rPr/>
        <w:t>e</w:t>
      </w:r>
      <w:r>
        <w:rPr>
          <w:spacing w:val="-23"/>
        </w:rPr>
        <w:t> </w:t>
      </w:r>
      <w:r>
        <w:rPr/>
        <w:t>sem</w:t>
      </w:r>
      <w:r>
        <w:rPr>
          <w:spacing w:val="-21"/>
        </w:rPr>
        <w:t> </w:t>
      </w:r>
      <w:r>
        <w:rPr/>
        <w:t>valor nominal,</w:t>
      </w:r>
      <w:r>
        <w:rPr>
          <w:spacing w:val="-23"/>
        </w:rPr>
        <w:t> </w:t>
      </w:r>
      <w:r>
        <w:rPr/>
        <w:t>sendo</w:t>
      </w:r>
      <w:r>
        <w:rPr>
          <w:spacing w:val="-20"/>
        </w:rPr>
        <w:t> </w:t>
      </w:r>
      <w:r>
        <w:rPr/>
        <w:t>que</w:t>
      </w:r>
      <w:r>
        <w:rPr>
          <w:spacing w:val="-23"/>
        </w:rPr>
        <w:t> </w:t>
      </w:r>
      <w:r>
        <w:rPr/>
        <w:t>as</w:t>
      </w:r>
      <w:r>
        <w:rPr>
          <w:spacing w:val="-21"/>
        </w:rPr>
        <w:t> </w:t>
      </w:r>
      <w:r>
        <w:rPr/>
        <w:t>ações</w:t>
      </w:r>
      <w:r>
        <w:rPr>
          <w:spacing w:val="-19"/>
        </w:rPr>
        <w:t> </w:t>
      </w:r>
      <w:r>
        <w:rPr/>
        <w:t>preferenciais</w:t>
      </w:r>
      <w:r>
        <w:rPr>
          <w:spacing w:val="-22"/>
        </w:rPr>
        <w:t> </w:t>
      </w:r>
      <w:r>
        <w:rPr/>
        <w:t>de</w:t>
      </w:r>
      <w:r>
        <w:rPr>
          <w:spacing w:val="-23"/>
        </w:rPr>
        <w:t> </w:t>
      </w:r>
      <w:r>
        <w:rPr/>
        <w:t>ambas</w:t>
      </w:r>
      <w:r>
        <w:rPr>
          <w:spacing w:val="-21"/>
        </w:rPr>
        <w:t> </w:t>
      </w:r>
      <w:r>
        <w:rPr/>
        <w:t>as</w:t>
      </w:r>
      <w:r>
        <w:rPr>
          <w:spacing w:val="-21"/>
        </w:rPr>
        <w:t> </w:t>
      </w:r>
      <w:r>
        <w:rPr/>
        <w:t>classes</w:t>
      </w:r>
      <w:r>
        <w:rPr>
          <w:spacing w:val="-21"/>
        </w:rPr>
        <w:t> </w:t>
      </w:r>
      <w:r>
        <w:rPr/>
        <w:t>não</w:t>
      </w:r>
      <w:r>
        <w:rPr>
          <w:spacing w:val="-22"/>
        </w:rPr>
        <w:t> </w:t>
      </w:r>
      <w:r>
        <w:rPr/>
        <w:t>têm</w:t>
      </w:r>
      <w:r>
        <w:rPr>
          <w:spacing w:val="-21"/>
        </w:rPr>
        <w:t> </w:t>
      </w:r>
      <w:r>
        <w:rPr/>
        <w:t>direito</w:t>
      </w:r>
      <w:r>
        <w:rPr>
          <w:spacing w:val="-22"/>
        </w:rPr>
        <w:t> </w:t>
      </w:r>
      <w:r>
        <w:rPr/>
        <w:t>a</w:t>
      </w:r>
      <w:r>
        <w:rPr>
          <w:spacing w:val="-21"/>
        </w:rPr>
        <w:t> </w:t>
      </w:r>
      <w:r>
        <w:rPr/>
        <w:t>voto.</w:t>
      </w:r>
    </w:p>
    <w:p>
      <w:pPr>
        <w:pStyle w:val="BodyText"/>
        <w:spacing w:before="122"/>
        <w:ind w:left="172"/>
      </w:pPr>
      <w:r>
        <w:rPr/>
        <w:t>A composição do Capital Social subscrito e integralizado, por classe de ações, é a seguinte:</w:t>
      </w:r>
    </w:p>
    <w:p>
      <w:pPr>
        <w:pStyle w:val="BodyText"/>
        <w:spacing w:before="2"/>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49"/>
        <w:gridCol w:w="1537"/>
        <w:gridCol w:w="1532"/>
      </w:tblGrid>
      <w:tr>
        <w:trPr>
          <w:trHeight w:val="642" w:hRule="atLeast"/>
        </w:trPr>
        <w:tc>
          <w:tcPr>
            <w:tcW w:w="6849" w:type="dxa"/>
            <w:shd w:val="clear" w:color="auto" w:fill="D9D9D9"/>
          </w:tcPr>
          <w:p>
            <w:pPr>
              <w:pStyle w:val="TableParagraph"/>
              <w:spacing w:before="6"/>
              <w:rPr>
                <w:sz w:val="20"/>
              </w:rPr>
            </w:pPr>
          </w:p>
          <w:p>
            <w:pPr>
              <w:pStyle w:val="TableParagraph"/>
              <w:ind w:left="72"/>
              <w:rPr>
                <w:rFonts w:ascii="Caladea" w:hAnsi="Caladea"/>
                <w:b/>
                <w:sz w:val="14"/>
              </w:rPr>
            </w:pPr>
            <w:r>
              <w:rPr>
                <w:rFonts w:ascii="Caladea" w:hAnsi="Caladea"/>
                <w:b/>
                <w:sz w:val="14"/>
              </w:rPr>
              <w:t>Capital Total em Ações</w:t>
            </w:r>
          </w:p>
        </w:tc>
        <w:tc>
          <w:tcPr>
            <w:tcW w:w="1537" w:type="dxa"/>
          </w:tcPr>
          <w:p>
            <w:pPr>
              <w:pStyle w:val="TableParagraph"/>
              <w:spacing w:before="6"/>
              <w:rPr>
                <w:sz w:val="20"/>
              </w:rPr>
            </w:pPr>
          </w:p>
          <w:p>
            <w:pPr>
              <w:pStyle w:val="TableParagraph"/>
              <w:ind w:left="366"/>
              <w:rPr>
                <w:rFonts w:ascii="Caladea"/>
                <w:b/>
                <w:sz w:val="14"/>
              </w:rPr>
            </w:pPr>
            <w:r>
              <w:rPr>
                <w:rFonts w:ascii="Caladea"/>
                <w:b/>
                <w:sz w:val="14"/>
              </w:rPr>
              <w:t>31/12/2019</w:t>
            </w:r>
          </w:p>
        </w:tc>
        <w:tc>
          <w:tcPr>
            <w:tcW w:w="1532" w:type="dxa"/>
          </w:tcPr>
          <w:p>
            <w:pPr>
              <w:pStyle w:val="TableParagraph"/>
              <w:spacing w:before="3"/>
              <w:rPr>
                <w:sz w:val="13"/>
              </w:rPr>
            </w:pPr>
          </w:p>
          <w:p>
            <w:pPr>
              <w:pStyle w:val="TableParagraph"/>
              <w:spacing w:before="1"/>
              <w:ind w:left="361"/>
              <w:rPr>
                <w:rFonts w:ascii="Caladea"/>
                <w:b/>
                <w:sz w:val="14"/>
              </w:rPr>
            </w:pPr>
            <w:r>
              <w:rPr>
                <w:rFonts w:ascii="Caladea"/>
                <w:b/>
                <w:sz w:val="14"/>
              </w:rPr>
              <w:t>31/12/2018</w:t>
            </w:r>
          </w:p>
          <w:p>
            <w:pPr>
              <w:pStyle w:val="TableParagraph"/>
              <w:spacing w:before="3"/>
              <w:ind w:left="313"/>
              <w:rPr>
                <w:sz w:val="14"/>
              </w:rPr>
            </w:pPr>
            <w:r>
              <w:rPr>
                <w:sz w:val="14"/>
              </w:rPr>
              <w:t>Reapresentado</w:t>
            </w:r>
          </w:p>
        </w:tc>
      </w:tr>
      <w:tr>
        <w:trPr>
          <w:trHeight w:val="217" w:hRule="atLeast"/>
        </w:trPr>
        <w:tc>
          <w:tcPr>
            <w:tcW w:w="6849" w:type="dxa"/>
          </w:tcPr>
          <w:p>
            <w:pPr>
              <w:pStyle w:val="TableParagraph"/>
              <w:spacing w:before="25"/>
              <w:ind w:left="72"/>
              <w:rPr>
                <w:rFonts w:ascii="Caladea" w:hAnsi="Caladea"/>
                <w:b/>
                <w:sz w:val="14"/>
              </w:rPr>
            </w:pPr>
            <w:r>
              <w:rPr>
                <w:rFonts w:ascii="Caladea" w:hAnsi="Caladea"/>
                <w:b/>
                <w:sz w:val="14"/>
              </w:rPr>
              <w:t>Ações Ordinárias</w:t>
            </w:r>
          </w:p>
        </w:tc>
        <w:tc>
          <w:tcPr>
            <w:tcW w:w="1537" w:type="dxa"/>
          </w:tcPr>
          <w:p>
            <w:pPr>
              <w:pStyle w:val="TableParagraph"/>
              <w:spacing w:before="25"/>
              <w:ind w:right="61"/>
              <w:jc w:val="right"/>
              <w:rPr>
                <w:rFonts w:ascii="Caladea"/>
                <w:b/>
                <w:sz w:val="14"/>
              </w:rPr>
            </w:pPr>
            <w:r>
              <w:rPr>
                <w:rFonts w:ascii="Caladea"/>
                <w:b/>
                <w:w w:val="95"/>
                <w:sz w:val="14"/>
              </w:rPr>
              <w:t>7.184.178</w:t>
            </w:r>
          </w:p>
        </w:tc>
        <w:tc>
          <w:tcPr>
            <w:tcW w:w="1532" w:type="dxa"/>
          </w:tcPr>
          <w:p>
            <w:pPr>
              <w:pStyle w:val="TableParagraph"/>
              <w:spacing w:before="25"/>
              <w:ind w:right="61"/>
              <w:jc w:val="right"/>
              <w:rPr>
                <w:rFonts w:ascii="Caladea"/>
                <w:b/>
                <w:sz w:val="14"/>
              </w:rPr>
            </w:pPr>
            <w:r>
              <w:rPr>
                <w:rFonts w:ascii="Caladea"/>
                <w:b/>
                <w:w w:val="95"/>
                <w:sz w:val="14"/>
              </w:rPr>
              <w:t>7.184.178</w:t>
            </w:r>
          </w:p>
        </w:tc>
      </w:tr>
      <w:tr>
        <w:trPr>
          <w:trHeight w:val="217" w:hRule="atLeast"/>
        </w:trPr>
        <w:tc>
          <w:tcPr>
            <w:tcW w:w="6849" w:type="dxa"/>
          </w:tcPr>
          <w:p>
            <w:pPr>
              <w:pStyle w:val="TableParagraph"/>
              <w:spacing w:before="25"/>
              <w:ind w:left="72"/>
              <w:rPr>
                <w:rFonts w:ascii="Caladea" w:hAnsi="Caladea"/>
                <w:b/>
                <w:sz w:val="14"/>
              </w:rPr>
            </w:pPr>
            <w:r>
              <w:rPr>
                <w:rFonts w:ascii="Caladea" w:hAnsi="Caladea"/>
                <w:b/>
                <w:sz w:val="14"/>
              </w:rPr>
              <w:t>Ações Preferenciais</w:t>
            </w:r>
          </w:p>
        </w:tc>
        <w:tc>
          <w:tcPr>
            <w:tcW w:w="1537" w:type="dxa"/>
          </w:tcPr>
          <w:p>
            <w:pPr>
              <w:pStyle w:val="TableParagraph"/>
              <w:spacing w:before="25"/>
              <w:ind w:right="58"/>
              <w:jc w:val="right"/>
              <w:rPr>
                <w:rFonts w:ascii="Caladea"/>
                <w:b/>
                <w:sz w:val="14"/>
              </w:rPr>
            </w:pPr>
            <w:r>
              <w:rPr>
                <w:rFonts w:ascii="Caladea"/>
                <w:b/>
                <w:w w:val="95"/>
                <w:sz w:val="14"/>
              </w:rPr>
              <w:t>7.232.205</w:t>
            </w:r>
          </w:p>
        </w:tc>
        <w:tc>
          <w:tcPr>
            <w:tcW w:w="1532" w:type="dxa"/>
          </w:tcPr>
          <w:p>
            <w:pPr>
              <w:pStyle w:val="TableParagraph"/>
              <w:spacing w:before="25"/>
              <w:ind w:right="59"/>
              <w:jc w:val="right"/>
              <w:rPr>
                <w:rFonts w:ascii="Caladea"/>
                <w:b/>
                <w:sz w:val="14"/>
              </w:rPr>
            </w:pPr>
            <w:r>
              <w:rPr>
                <w:rFonts w:ascii="Caladea"/>
                <w:b/>
                <w:w w:val="95"/>
                <w:sz w:val="14"/>
              </w:rPr>
              <w:t>7.232.205</w:t>
            </w:r>
          </w:p>
        </w:tc>
      </w:tr>
      <w:tr>
        <w:trPr>
          <w:trHeight w:val="218" w:hRule="atLeast"/>
        </w:trPr>
        <w:tc>
          <w:tcPr>
            <w:tcW w:w="6849" w:type="dxa"/>
          </w:tcPr>
          <w:p>
            <w:pPr>
              <w:pStyle w:val="TableParagraph"/>
              <w:spacing w:before="26"/>
              <w:ind w:left="103"/>
              <w:rPr>
                <w:sz w:val="14"/>
              </w:rPr>
            </w:pPr>
            <w:r>
              <w:rPr>
                <w:sz w:val="14"/>
              </w:rPr>
              <w:t>Classe A</w:t>
            </w:r>
          </w:p>
        </w:tc>
        <w:tc>
          <w:tcPr>
            <w:tcW w:w="1537" w:type="dxa"/>
          </w:tcPr>
          <w:p>
            <w:pPr>
              <w:pStyle w:val="TableParagraph"/>
              <w:spacing w:before="26"/>
              <w:ind w:right="57"/>
              <w:jc w:val="right"/>
              <w:rPr>
                <w:sz w:val="14"/>
              </w:rPr>
            </w:pPr>
            <w:r>
              <w:rPr>
                <w:w w:val="95"/>
                <w:sz w:val="14"/>
              </w:rPr>
              <w:t>1.313.002</w:t>
            </w:r>
          </w:p>
        </w:tc>
        <w:tc>
          <w:tcPr>
            <w:tcW w:w="1532" w:type="dxa"/>
          </w:tcPr>
          <w:p>
            <w:pPr>
              <w:pStyle w:val="TableParagraph"/>
              <w:spacing w:before="26"/>
              <w:ind w:right="58"/>
              <w:jc w:val="right"/>
              <w:rPr>
                <w:sz w:val="14"/>
              </w:rPr>
            </w:pPr>
            <w:r>
              <w:rPr>
                <w:w w:val="95"/>
                <w:sz w:val="14"/>
              </w:rPr>
              <w:t>1.313.002</w:t>
            </w:r>
          </w:p>
        </w:tc>
      </w:tr>
      <w:tr>
        <w:trPr>
          <w:trHeight w:val="217" w:hRule="atLeast"/>
        </w:trPr>
        <w:tc>
          <w:tcPr>
            <w:tcW w:w="6849" w:type="dxa"/>
          </w:tcPr>
          <w:p>
            <w:pPr>
              <w:pStyle w:val="TableParagraph"/>
              <w:spacing w:before="26"/>
              <w:ind w:left="103"/>
              <w:rPr>
                <w:sz w:val="14"/>
              </w:rPr>
            </w:pPr>
            <w:r>
              <w:rPr>
                <w:sz w:val="14"/>
              </w:rPr>
              <w:t>Classe B</w:t>
            </w:r>
          </w:p>
        </w:tc>
        <w:tc>
          <w:tcPr>
            <w:tcW w:w="1537" w:type="dxa"/>
          </w:tcPr>
          <w:p>
            <w:pPr>
              <w:pStyle w:val="TableParagraph"/>
              <w:spacing w:before="26"/>
              <w:ind w:right="57"/>
              <w:jc w:val="right"/>
              <w:rPr>
                <w:sz w:val="14"/>
              </w:rPr>
            </w:pPr>
            <w:r>
              <w:rPr>
                <w:w w:val="95"/>
                <w:sz w:val="14"/>
              </w:rPr>
              <w:t>5.919.203</w:t>
            </w:r>
          </w:p>
        </w:tc>
        <w:tc>
          <w:tcPr>
            <w:tcW w:w="1532" w:type="dxa"/>
          </w:tcPr>
          <w:p>
            <w:pPr>
              <w:pStyle w:val="TableParagraph"/>
              <w:spacing w:before="26"/>
              <w:ind w:right="58"/>
              <w:jc w:val="right"/>
              <w:rPr>
                <w:sz w:val="14"/>
              </w:rPr>
            </w:pPr>
            <w:r>
              <w:rPr>
                <w:w w:val="95"/>
                <w:sz w:val="14"/>
              </w:rPr>
              <w:t>5.919.203</w:t>
            </w:r>
          </w:p>
        </w:tc>
      </w:tr>
      <w:tr>
        <w:trPr>
          <w:trHeight w:val="218" w:hRule="atLeast"/>
        </w:trPr>
        <w:tc>
          <w:tcPr>
            <w:tcW w:w="6849" w:type="dxa"/>
          </w:tcPr>
          <w:p>
            <w:pPr>
              <w:pStyle w:val="TableParagraph"/>
              <w:spacing w:before="25"/>
              <w:ind w:left="72"/>
              <w:rPr>
                <w:rFonts w:ascii="Caladea"/>
                <w:b/>
                <w:sz w:val="14"/>
              </w:rPr>
            </w:pPr>
            <w:r>
              <w:rPr>
                <w:rFonts w:ascii="Caladea"/>
                <w:b/>
                <w:sz w:val="14"/>
              </w:rPr>
              <w:t>Total</w:t>
            </w:r>
          </w:p>
        </w:tc>
        <w:tc>
          <w:tcPr>
            <w:tcW w:w="1537" w:type="dxa"/>
          </w:tcPr>
          <w:p>
            <w:pPr>
              <w:pStyle w:val="TableParagraph"/>
              <w:spacing w:before="25"/>
              <w:ind w:right="59"/>
              <w:jc w:val="right"/>
              <w:rPr>
                <w:rFonts w:ascii="Caladea"/>
                <w:b/>
                <w:sz w:val="14"/>
              </w:rPr>
            </w:pPr>
            <w:r>
              <w:rPr>
                <w:rFonts w:ascii="Caladea"/>
                <w:b/>
                <w:sz w:val="14"/>
              </w:rPr>
              <w:t>14.416.383</w:t>
            </w:r>
          </w:p>
        </w:tc>
        <w:tc>
          <w:tcPr>
            <w:tcW w:w="1532" w:type="dxa"/>
          </w:tcPr>
          <w:p>
            <w:pPr>
              <w:pStyle w:val="TableParagraph"/>
              <w:spacing w:before="25"/>
              <w:ind w:right="59"/>
              <w:jc w:val="right"/>
              <w:rPr>
                <w:rFonts w:ascii="Caladea"/>
                <w:b/>
                <w:sz w:val="14"/>
              </w:rPr>
            </w:pPr>
            <w:r>
              <w:rPr>
                <w:rFonts w:ascii="Caladea"/>
                <w:b/>
                <w:sz w:val="14"/>
              </w:rPr>
              <w:t>14.416.383</w:t>
            </w:r>
          </w:p>
        </w:tc>
      </w:tr>
      <w:tr>
        <w:trPr>
          <w:trHeight w:val="217" w:hRule="atLeast"/>
        </w:trPr>
        <w:tc>
          <w:tcPr>
            <w:tcW w:w="6849" w:type="dxa"/>
          </w:tcPr>
          <w:p>
            <w:pPr>
              <w:pStyle w:val="TableParagraph"/>
              <w:spacing w:before="25"/>
              <w:ind w:left="72"/>
              <w:rPr>
                <w:rFonts w:ascii="Caladea" w:hAnsi="Caladea"/>
                <w:b/>
                <w:sz w:val="14"/>
              </w:rPr>
            </w:pPr>
            <w:r>
              <w:rPr>
                <w:rFonts w:ascii="Caladea" w:hAnsi="Caladea"/>
                <w:b/>
                <w:sz w:val="14"/>
              </w:rPr>
              <w:t>Valor Patrimonial por Ação:</w:t>
            </w:r>
          </w:p>
        </w:tc>
        <w:tc>
          <w:tcPr>
            <w:tcW w:w="1537" w:type="dxa"/>
          </w:tcPr>
          <w:p>
            <w:pPr>
              <w:pStyle w:val="TableParagraph"/>
              <w:rPr>
                <w:rFonts w:ascii="Times New Roman"/>
                <w:sz w:val="14"/>
              </w:rPr>
            </w:pPr>
          </w:p>
        </w:tc>
        <w:tc>
          <w:tcPr>
            <w:tcW w:w="1532" w:type="dxa"/>
          </w:tcPr>
          <w:p>
            <w:pPr>
              <w:pStyle w:val="TableParagraph"/>
              <w:rPr>
                <w:rFonts w:ascii="Times New Roman"/>
                <w:sz w:val="14"/>
              </w:rPr>
            </w:pPr>
          </w:p>
        </w:tc>
      </w:tr>
      <w:tr>
        <w:trPr>
          <w:trHeight w:val="218" w:hRule="atLeast"/>
        </w:trPr>
        <w:tc>
          <w:tcPr>
            <w:tcW w:w="6849" w:type="dxa"/>
          </w:tcPr>
          <w:p>
            <w:pPr>
              <w:pStyle w:val="TableParagraph"/>
              <w:spacing w:before="27"/>
              <w:ind w:left="72"/>
              <w:rPr>
                <w:sz w:val="14"/>
              </w:rPr>
            </w:pPr>
            <w:r>
              <w:rPr>
                <w:sz w:val="14"/>
              </w:rPr>
              <w:t>Patrimônio Líquido</w:t>
            </w:r>
          </w:p>
        </w:tc>
        <w:tc>
          <w:tcPr>
            <w:tcW w:w="1537" w:type="dxa"/>
          </w:tcPr>
          <w:p>
            <w:pPr>
              <w:pStyle w:val="TableParagraph"/>
              <w:spacing w:before="27"/>
              <w:ind w:right="58"/>
              <w:jc w:val="right"/>
              <w:rPr>
                <w:sz w:val="14"/>
              </w:rPr>
            </w:pPr>
            <w:r>
              <w:rPr>
                <w:w w:val="95"/>
                <w:sz w:val="14"/>
              </w:rPr>
              <w:t>783.986</w:t>
            </w:r>
          </w:p>
        </w:tc>
        <w:tc>
          <w:tcPr>
            <w:tcW w:w="1532" w:type="dxa"/>
          </w:tcPr>
          <w:p>
            <w:pPr>
              <w:pStyle w:val="TableParagraph"/>
              <w:spacing w:before="27"/>
              <w:ind w:right="59"/>
              <w:jc w:val="right"/>
              <w:rPr>
                <w:sz w:val="14"/>
              </w:rPr>
            </w:pPr>
            <w:r>
              <w:rPr>
                <w:w w:val="95"/>
                <w:sz w:val="14"/>
              </w:rPr>
              <w:t>734.451</w:t>
            </w:r>
          </w:p>
        </w:tc>
      </w:tr>
      <w:tr>
        <w:trPr>
          <w:trHeight w:val="218" w:hRule="atLeast"/>
        </w:trPr>
        <w:tc>
          <w:tcPr>
            <w:tcW w:w="6849" w:type="dxa"/>
          </w:tcPr>
          <w:p>
            <w:pPr>
              <w:pStyle w:val="TableParagraph"/>
              <w:spacing w:before="26"/>
              <w:ind w:left="72"/>
              <w:rPr>
                <w:sz w:val="14"/>
              </w:rPr>
            </w:pPr>
            <w:r>
              <w:rPr>
                <w:sz w:val="14"/>
              </w:rPr>
              <w:t>Quantidade de Ações</w:t>
            </w:r>
          </w:p>
        </w:tc>
        <w:tc>
          <w:tcPr>
            <w:tcW w:w="1537" w:type="dxa"/>
          </w:tcPr>
          <w:p>
            <w:pPr>
              <w:pStyle w:val="TableParagraph"/>
              <w:spacing w:before="26"/>
              <w:ind w:right="59"/>
              <w:jc w:val="right"/>
              <w:rPr>
                <w:sz w:val="14"/>
              </w:rPr>
            </w:pPr>
            <w:r>
              <w:rPr>
                <w:w w:val="95"/>
                <w:sz w:val="14"/>
              </w:rPr>
              <w:t>14.416.383</w:t>
            </w:r>
          </w:p>
        </w:tc>
        <w:tc>
          <w:tcPr>
            <w:tcW w:w="1532" w:type="dxa"/>
          </w:tcPr>
          <w:p>
            <w:pPr>
              <w:pStyle w:val="TableParagraph"/>
              <w:spacing w:before="26"/>
              <w:ind w:right="59"/>
              <w:jc w:val="right"/>
              <w:rPr>
                <w:sz w:val="14"/>
              </w:rPr>
            </w:pPr>
            <w:r>
              <w:rPr>
                <w:w w:val="95"/>
                <w:sz w:val="14"/>
              </w:rPr>
              <w:t>14.416.383</w:t>
            </w:r>
          </w:p>
        </w:tc>
      </w:tr>
      <w:tr>
        <w:trPr>
          <w:trHeight w:val="217" w:hRule="atLeast"/>
        </w:trPr>
        <w:tc>
          <w:tcPr>
            <w:tcW w:w="6849" w:type="dxa"/>
          </w:tcPr>
          <w:p>
            <w:pPr>
              <w:pStyle w:val="TableParagraph"/>
              <w:spacing w:before="25"/>
              <w:ind w:left="72"/>
              <w:rPr>
                <w:rFonts w:ascii="Caladea" w:hAnsi="Caladea"/>
                <w:b/>
                <w:sz w:val="14"/>
              </w:rPr>
            </w:pPr>
            <w:r>
              <w:rPr>
                <w:rFonts w:ascii="Caladea" w:hAnsi="Caladea"/>
                <w:b/>
                <w:w w:val="105"/>
                <w:sz w:val="14"/>
              </w:rPr>
              <w:t>Valor Patrimonial por Ação </w:t>
            </w:r>
            <w:r>
              <w:rPr>
                <w:b/>
                <w:w w:val="105"/>
                <w:sz w:val="14"/>
              </w:rPr>
              <w:t>– </w:t>
            </w:r>
            <w:r>
              <w:rPr>
                <w:rFonts w:ascii="Caladea" w:hAnsi="Caladea"/>
                <w:b/>
                <w:w w:val="105"/>
                <w:sz w:val="14"/>
              </w:rPr>
              <w:t>Em (R$)</w:t>
            </w:r>
          </w:p>
        </w:tc>
        <w:tc>
          <w:tcPr>
            <w:tcW w:w="1537" w:type="dxa"/>
          </w:tcPr>
          <w:p>
            <w:pPr>
              <w:pStyle w:val="TableParagraph"/>
              <w:spacing w:before="25"/>
              <w:ind w:right="60"/>
              <w:jc w:val="right"/>
              <w:rPr>
                <w:rFonts w:ascii="Caladea"/>
                <w:b/>
                <w:sz w:val="14"/>
              </w:rPr>
            </w:pPr>
            <w:r>
              <w:rPr>
                <w:rFonts w:ascii="Caladea"/>
                <w:b/>
                <w:sz w:val="14"/>
              </w:rPr>
              <w:t>54,38</w:t>
            </w:r>
          </w:p>
        </w:tc>
        <w:tc>
          <w:tcPr>
            <w:tcW w:w="1532" w:type="dxa"/>
          </w:tcPr>
          <w:p>
            <w:pPr>
              <w:pStyle w:val="TableParagraph"/>
              <w:spacing w:before="25"/>
              <w:ind w:right="61"/>
              <w:jc w:val="right"/>
              <w:rPr>
                <w:rFonts w:ascii="Caladea"/>
                <w:b/>
                <w:sz w:val="14"/>
              </w:rPr>
            </w:pPr>
            <w:r>
              <w:rPr>
                <w:rFonts w:ascii="Caladea"/>
                <w:b/>
                <w:sz w:val="14"/>
              </w:rPr>
              <w:t>50,95</w:t>
            </w:r>
          </w:p>
        </w:tc>
      </w:tr>
    </w:tbl>
    <w:p>
      <w:pPr>
        <w:pStyle w:val="BodyText"/>
        <w:spacing w:before="9"/>
      </w:pPr>
    </w:p>
    <w:p>
      <w:pPr>
        <w:pStyle w:val="ListParagraph"/>
        <w:numPr>
          <w:ilvl w:val="1"/>
          <w:numId w:val="6"/>
        </w:numPr>
        <w:tabs>
          <w:tab w:pos="1025" w:val="left" w:leader="none"/>
          <w:tab w:pos="1026" w:val="left" w:leader="none"/>
        </w:tabs>
        <w:spacing w:line="240" w:lineRule="auto" w:before="1" w:after="0"/>
        <w:ind w:left="1025" w:right="0" w:hanging="854"/>
        <w:jc w:val="left"/>
        <w:rPr>
          <w:rFonts w:ascii="Caladea" w:hAnsi="Caladea"/>
          <w:b/>
          <w:sz w:val="18"/>
        </w:rPr>
      </w:pPr>
      <w:r>
        <w:rPr>
          <w:rFonts w:ascii="Caladea" w:hAnsi="Caladea"/>
          <w:b/>
          <w:sz w:val="22"/>
        </w:rPr>
        <w:t>A</w:t>
      </w:r>
      <w:r>
        <w:rPr>
          <w:rFonts w:ascii="Caladea" w:hAnsi="Caladea"/>
          <w:b/>
          <w:sz w:val="18"/>
        </w:rPr>
        <w:t>JUSTE DE </w:t>
      </w:r>
      <w:r>
        <w:rPr>
          <w:rFonts w:ascii="Caladea" w:hAnsi="Caladea"/>
          <w:b/>
          <w:sz w:val="22"/>
        </w:rPr>
        <w:t>A</w:t>
      </w:r>
      <w:r>
        <w:rPr>
          <w:rFonts w:ascii="Caladea" w:hAnsi="Caladea"/>
          <w:b/>
          <w:sz w:val="18"/>
        </w:rPr>
        <w:t>VALIAÇÃO</w:t>
      </w:r>
      <w:r>
        <w:rPr>
          <w:rFonts w:ascii="Caladea" w:hAnsi="Caladea"/>
          <w:b/>
          <w:spacing w:val="1"/>
          <w:sz w:val="18"/>
        </w:rPr>
        <w:t> </w:t>
      </w:r>
      <w:r>
        <w:rPr>
          <w:rFonts w:ascii="Caladea" w:hAnsi="Caladea"/>
          <w:b/>
          <w:sz w:val="22"/>
        </w:rPr>
        <w:t>P</w:t>
      </w:r>
      <w:r>
        <w:rPr>
          <w:rFonts w:ascii="Caladea" w:hAnsi="Caladea"/>
          <w:b/>
          <w:sz w:val="18"/>
        </w:rPr>
        <w:t>ATRIMONIAL</w:t>
      </w:r>
    </w:p>
    <w:p>
      <w:pPr>
        <w:pStyle w:val="BodyText"/>
        <w:rPr>
          <w:rFonts w:ascii="Caladea"/>
          <w:b/>
          <w:sz w:val="24"/>
        </w:rPr>
      </w:pPr>
    </w:p>
    <w:p>
      <w:pPr>
        <w:pStyle w:val="BodyText"/>
        <w:ind w:left="172"/>
      </w:pPr>
      <w:r>
        <w:rPr/>
        <w:t>A composição do saldo da rubrica Ajustes de Avaliação Patrimonial é a seguinte:</w:t>
      </w:r>
    </w:p>
    <w:p>
      <w:pPr>
        <w:pStyle w:val="BodyText"/>
        <w:spacing w:before="7"/>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873"/>
        <w:gridCol w:w="1520"/>
        <w:gridCol w:w="1519"/>
      </w:tblGrid>
      <w:tr>
        <w:trPr>
          <w:trHeight w:val="642" w:hRule="atLeast"/>
        </w:trPr>
        <w:tc>
          <w:tcPr>
            <w:tcW w:w="6873" w:type="dxa"/>
            <w:shd w:val="clear" w:color="auto" w:fill="D9D9D9"/>
          </w:tcPr>
          <w:p>
            <w:pPr>
              <w:pStyle w:val="TableParagraph"/>
              <w:rPr>
                <w:rFonts w:ascii="Times New Roman"/>
                <w:sz w:val="16"/>
              </w:rPr>
            </w:pPr>
          </w:p>
        </w:tc>
        <w:tc>
          <w:tcPr>
            <w:tcW w:w="1520" w:type="dxa"/>
          </w:tcPr>
          <w:p>
            <w:pPr>
              <w:pStyle w:val="TableParagraph"/>
              <w:spacing w:before="6"/>
              <w:rPr>
                <w:sz w:val="20"/>
              </w:rPr>
            </w:pPr>
          </w:p>
          <w:p>
            <w:pPr>
              <w:pStyle w:val="TableParagraph"/>
              <w:ind w:left="359"/>
              <w:rPr>
                <w:rFonts w:ascii="Caladea"/>
                <w:b/>
                <w:sz w:val="14"/>
              </w:rPr>
            </w:pPr>
            <w:r>
              <w:rPr>
                <w:rFonts w:ascii="Caladea"/>
                <w:b/>
                <w:sz w:val="14"/>
              </w:rPr>
              <w:t>31/12/2019</w:t>
            </w:r>
          </w:p>
        </w:tc>
        <w:tc>
          <w:tcPr>
            <w:tcW w:w="1519" w:type="dxa"/>
          </w:tcPr>
          <w:p>
            <w:pPr>
              <w:pStyle w:val="TableParagraph"/>
              <w:spacing w:before="3"/>
              <w:rPr>
                <w:sz w:val="13"/>
              </w:rPr>
            </w:pPr>
          </w:p>
          <w:p>
            <w:pPr>
              <w:pStyle w:val="TableParagraph"/>
              <w:spacing w:before="1"/>
              <w:ind w:left="356"/>
              <w:rPr>
                <w:rFonts w:ascii="Caladea"/>
                <w:b/>
                <w:sz w:val="14"/>
              </w:rPr>
            </w:pPr>
            <w:r>
              <w:rPr>
                <w:rFonts w:ascii="Caladea"/>
                <w:b/>
                <w:sz w:val="14"/>
              </w:rPr>
              <w:t>31/12/2018</w:t>
            </w:r>
          </w:p>
          <w:p>
            <w:pPr>
              <w:pStyle w:val="TableParagraph"/>
              <w:spacing w:before="3"/>
              <w:ind w:left="308"/>
              <w:rPr>
                <w:sz w:val="14"/>
              </w:rPr>
            </w:pPr>
            <w:r>
              <w:rPr>
                <w:sz w:val="14"/>
              </w:rPr>
              <w:t>Reapresentado</w:t>
            </w:r>
          </w:p>
        </w:tc>
      </w:tr>
      <w:tr>
        <w:trPr>
          <w:trHeight w:val="232" w:hRule="atLeast"/>
        </w:trPr>
        <w:tc>
          <w:tcPr>
            <w:tcW w:w="6873" w:type="dxa"/>
          </w:tcPr>
          <w:p>
            <w:pPr>
              <w:pStyle w:val="TableParagraph"/>
              <w:spacing w:before="36"/>
              <w:ind w:left="72"/>
              <w:rPr>
                <w:sz w:val="14"/>
              </w:rPr>
            </w:pPr>
            <w:r>
              <w:rPr>
                <w:sz w:val="14"/>
              </w:rPr>
              <w:t>Custo Atribuído do Ativo Imobilizado (Nota 29.2.1)</w:t>
            </w:r>
          </w:p>
        </w:tc>
        <w:tc>
          <w:tcPr>
            <w:tcW w:w="1520" w:type="dxa"/>
          </w:tcPr>
          <w:p>
            <w:pPr>
              <w:pStyle w:val="TableParagraph"/>
              <w:spacing w:before="36"/>
              <w:ind w:right="58"/>
              <w:jc w:val="right"/>
              <w:rPr>
                <w:sz w:val="14"/>
              </w:rPr>
            </w:pPr>
            <w:r>
              <w:rPr>
                <w:w w:val="95"/>
                <w:sz w:val="14"/>
              </w:rPr>
              <w:t>187.869</w:t>
            </w:r>
          </w:p>
        </w:tc>
        <w:tc>
          <w:tcPr>
            <w:tcW w:w="1519" w:type="dxa"/>
          </w:tcPr>
          <w:p>
            <w:pPr>
              <w:pStyle w:val="TableParagraph"/>
              <w:spacing w:before="36"/>
              <w:ind w:right="60"/>
              <w:jc w:val="right"/>
              <w:rPr>
                <w:sz w:val="14"/>
              </w:rPr>
            </w:pPr>
            <w:r>
              <w:rPr>
                <w:w w:val="95"/>
                <w:sz w:val="14"/>
              </w:rPr>
              <w:t>187.869</w:t>
            </w:r>
          </w:p>
        </w:tc>
      </w:tr>
      <w:tr>
        <w:trPr>
          <w:trHeight w:val="234" w:hRule="atLeast"/>
        </w:trPr>
        <w:tc>
          <w:tcPr>
            <w:tcW w:w="6873" w:type="dxa"/>
          </w:tcPr>
          <w:p>
            <w:pPr>
              <w:pStyle w:val="TableParagraph"/>
              <w:spacing w:before="36"/>
              <w:ind w:left="72"/>
              <w:rPr>
                <w:sz w:val="14"/>
              </w:rPr>
            </w:pPr>
            <w:r>
              <w:rPr>
                <w:sz w:val="14"/>
              </w:rPr>
              <w:t>Ganho na Variação de Percentual </w:t>
            </w:r>
            <w:r>
              <w:rPr>
                <w:w w:val="105"/>
                <w:sz w:val="14"/>
              </w:rPr>
              <w:t>– </w:t>
            </w:r>
            <w:r>
              <w:rPr>
                <w:sz w:val="14"/>
              </w:rPr>
              <w:t>Corumbá Concessões S.A.</w:t>
            </w:r>
          </w:p>
        </w:tc>
        <w:tc>
          <w:tcPr>
            <w:tcW w:w="1520" w:type="dxa"/>
          </w:tcPr>
          <w:p>
            <w:pPr>
              <w:pStyle w:val="TableParagraph"/>
              <w:spacing w:before="36"/>
              <w:ind w:right="57"/>
              <w:jc w:val="right"/>
              <w:rPr>
                <w:sz w:val="14"/>
              </w:rPr>
            </w:pPr>
            <w:r>
              <w:rPr>
                <w:w w:val="95"/>
                <w:sz w:val="14"/>
              </w:rPr>
              <w:t>20.421</w:t>
            </w:r>
          </w:p>
        </w:tc>
        <w:tc>
          <w:tcPr>
            <w:tcW w:w="1519" w:type="dxa"/>
          </w:tcPr>
          <w:p>
            <w:pPr>
              <w:pStyle w:val="TableParagraph"/>
              <w:spacing w:before="36"/>
              <w:ind w:right="60"/>
              <w:jc w:val="right"/>
              <w:rPr>
                <w:sz w:val="14"/>
              </w:rPr>
            </w:pPr>
            <w:r>
              <w:rPr>
                <w:w w:val="95"/>
                <w:sz w:val="14"/>
              </w:rPr>
              <w:t>18.887</w:t>
            </w:r>
          </w:p>
        </w:tc>
      </w:tr>
      <w:tr>
        <w:trPr>
          <w:trHeight w:val="232" w:hRule="atLeast"/>
        </w:trPr>
        <w:tc>
          <w:tcPr>
            <w:tcW w:w="6873" w:type="dxa"/>
          </w:tcPr>
          <w:p>
            <w:pPr>
              <w:pStyle w:val="TableParagraph"/>
              <w:spacing w:before="34"/>
              <w:ind w:left="72"/>
              <w:rPr>
                <w:sz w:val="14"/>
              </w:rPr>
            </w:pPr>
            <w:r>
              <w:rPr>
                <w:w w:val="105"/>
                <w:sz w:val="14"/>
              </w:rPr>
              <w:t>Perda Atuarial – Plano de Previdência</w:t>
            </w:r>
          </w:p>
        </w:tc>
        <w:tc>
          <w:tcPr>
            <w:tcW w:w="1520" w:type="dxa"/>
          </w:tcPr>
          <w:p>
            <w:pPr>
              <w:pStyle w:val="TableParagraph"/>
              <w:spacing w:before="34"/>
              <w:ind w:right="58"/>
              <w:jc w:val="right"/>
              <w:rPr>
                <w:sz w:val="14"/>
              </w:rPr>
            </w:pPr>
            <w:r>
              <w:rPr>
                <w:sz w:val="14"/>
              </w:rPr>
              <w:t>(98.904)</w:t>
            </w:r>
          </w:p>
        </w:tc>
        <w:tc>
          <w:tcPr>
            <w:tcW w:w="1519" w:type="dxa"/>
          </w:tcPr>
          <w:p>
            <w:pPr>
              <w:pStyle w:val="TableParagraph"/>
              <w:spacing w:before="34"/>
              <w:ind w:right="60"/>
              <w:jc w:val="right"/>
              <w:rPr>
                <w:sz w:val="14"/>
              </w:rPr>
            </w:pPr>
            <w:r>
              <w:rPr>
                <w:sz w:val="14"/>
              </w:rPr>
              <w:t>(57.007)</w:t>
            </w:r>
          </w:p>
        </w:tc>
      </w:tr>
      <w:tr>
        <w:trPr>
          <w:trHeight w:val="232" w:hRule="atLeast"/>
        </w:trPr>
        <w:tc>
          <w:tcPr>
            <w:tcW w:w="6873" w:type="dxa"/>
          </w:tcPr>
          <w:p>
            <w:pPr>
              <w:pStyle w:val="TableParagraph"/>
              <w:spacing w:before="32"/>
              <w:ind w:left="72"/>
              <w:rPr>
                <w:rFonts w:ascii="Caladea"/>
                <w:b/>
                <w:sz w:val="14"/>
              </w:rPr>
            </w:pPr>
            <w:r>
              <w:rPr>
                <w:rFonts w:ascii="Caladea"/>
                <w:b/>
                <w:sz w:val="14"/>
              </w:rPr>
              <w:t>Total</w:t>
            </w:r>
          </w:p>
        </w:tc>
        <w:tc>
          <w:tcPr>
            <w:tcW w:w="1520" w:type="dxa"/>
          </w:tcPr>
          <w:p>
            <w:pPr>
              <w:pStyle w:val="TableParagraph"/>
              <w:spacing w:before="32"/>
              <w:ind w:right="58"/>
              <w:jc w:val="right"/>
              <w:rPr>
                <w:rFonts w:ascii="Caladea"/>
                <w:b/>
                <w:sz w:val="14"/>
              </w:rPr>
            </w:pPr>
            <w:r>
              <w:rPr>
                <w:rFonts w:ascii="Caladea"/>
                <w:b/>
                <w:w w:val="95"/>
                <w:sz w:val="14"/>
              </w:rPr>
              <w:t>109.386</w:t>
            </w:r>
          </w:p>
        </w:tc>
        <w:tc>
          <w:tcPr>
            <w:tcW w:w="1519" w:type="dxa"/>
          </w:tcPr>
          <w:p>
            <w:pPr>
              <w:pStyle w:val="TableParagraph"/>
              <w:spacing w:before="32"/>
              <w:ind w:right="60"/>
              <w:jc w:val="right"/>
              <w:rPr>
                <w:rFonts w:ascii="Caladea"/>
                <w:b/>
                <w:sz w:val="14"/>
              </w:rPr>
            </w:pPr>
            <w:r>
              <w:rPr>
                <w:rFonts w:ascii="Caladea"/>
                <w:b/>
                <w:w w:val="95"/>
                <w:sz w:val="14"/>
              </w:rPr>
              <w:t>149.749</w:t>
            </w:r>
          </w:p>
        </w:tc>
      </w:tr>
    </w:tbl>
    <w:p>
      <w:pPr>
        <w:pStyle w:val="BodyText"/>
        <w:rPr>
          <w:sz w:val="21"/>
        </w:rPr>
      </w:pPr>
    </w:p>
    <w:p>
      <w:pPr>
        <w:pStyle w:val="BodyText"/>
        <w:spacing w:before="1"/>
        <w:ind w:left="172"/>
      </w:pPr>
      <w:r>
        <w:rPr/>
        <w:t>Neste grupo estão contabilizados os seguintes eventos:</w:t>
      </w:r>
    </w:p>
    <w:p>
      <w:pPr>
        <w:pStyle w:val="BodyText"/>
        <w:spacing w:before="8"/>
      </w:pPr>
    </w:p>
    <w:p>
      <w:pPr>
        <w:spacing w:before="0"/>
        <w:ind w:left="172" w:right="0" w:firstLine="0"/>
        <w:jc w:val="left"/>
        <w:rPr>
          <w:rFonts w:ascii="Caladea" w:hAnsi="Caladea"/>
          <w:b/>
          <w:sz w:val="22"/>
        </w:rPr>
      </w:pPr>
      <w:r>
        <w:rPr>
          <w:rFonts w:ascii="Caladea" w:hAnsi="Caladea"/>
          <w:b/>
          <w:sz w:val="22"/>
        </w:rPr>
        <w:t>29.2.1. Custo atribuído (</w:t>
      </w:r>
      <w:r>
        <w:rPr>
          <w:rFonts w:ascii="Times New Roman" w:hAnsi="Times New Roman"/>
          <w:b/>
          <w:i/>
          <w:sz w:val="22"/>
        </w:rPr>
        <w:t>Deemed Cost</w:t>
      </w:r>
      <w:r>
        <w:rPr>
          <w:rFonts w:ascii="Caladea" w:hAnsi="Caladea"/>
          <w:b/>
          <w:sz w:val="22"/>
        </w:rPr>
        <w:t>)</w:t>
      </w:r>
    </w:p>
    <w:p>
      <w:pPr>
        <w:pStyle w:val="BodyText"/>
        <w:spacing w:before="10"/>
        <w:rPr>
          <w:rFonts w:ascii="Caladea"/>
          <w:b/>
          <w:sz w:val="23"/>
        </w:rPr>
      </w:pPr>
    </w:p>
    <w:p>
      <w:pPr>
        <w:pStyle w:val="BodyText"/>
        <w:spacing w:line="242" w:lineRule="auto"/>
        <w:ind w:left="172" w:right="420"/>
        <w:jc w:val="both"/>
      </w:pPr>
      <w:r>
        <w:rPr/>
        <w:t>A</w:t>
      </w:r>
      <w:r>
        <w:rPr>
          <w:spacing w:val="-13"/>
        </w:rPr>
        <w:t> </w:t>
      </w:r>
      <w:r>
        <w:rPr/>
        <w:t>Reserva</w:t>
      </w:r>
      <w:r>
        <w:rPr>
          <w:spacing w:val="-11"/>
        </w:rPr>
        <w:t> </w:t>
      </w:r>
      <w:r>
        <w:rPr/>
        <w:t>Para</w:t>
      </w:r>
      <w:r>
        <w:rPr>
          <w:spacing w:val="-12"/>
        </w:rPr>
        <w:t> </w:t>
      </w:r>
      <w:r>
        <w:rPr/>
        <w:t>Ajustes</w:t>
      </w:r>
      <w:r>
        <w:rPr>
          <w:spacing w:val="-12"/>
        </w:rPr>
        <w:t> </w:t>
      </w:r>
      <w:r>
        <w:rPr/>
        <w:t>de</w:t>
      </w:r>
      <w:r>
        <w:rPr>
          <w:spacing w:val="-11"/>
        </w:rPr>
        <w:t> </w:t>
      </w:r>
      <w:r>
        <w:rPr/>
        <w:t>Avaliação</w:t>
      </w:r>
      <w:r>
        <w:rPr>
          <w:spacing w:val="-12"/>
        </w:rPr>
        <w:t> </w:t>
      </w:r>
      <w:r>
        <w:rPr/>
        <w:t>Patrimonial</w:t>
      </w:r>
      <w:r>
        <w:rPr>
          <w:spacing w:val="-13"/>
        </w:rPr>
        <w:t> </w:t>
      </w:r>
      <w:r>
        <w:rPr/>
        <w:t>foi</w:t>
      </w:r>
      <w:r>
        <w:rPr>
          <w:spacing w:val="-13"/>
        </w:rPr>
        <w:t> </w:t>
      </w:r>
      <w:r>
        <w:rPr/>
        <w:t>constituída</w:t>
      </w:r>
      <w:r>
        <w:rPr>
          <w:spacing w:val="-10"/>
        </w:rPr>
        <w:t> </w:t>
      </w:r>
      <w:r>
        <w:rPr/>
        <w:t>em</w:t>
      </w:r>
      <w:r>
        <w:rPr>
          <w:spacing w:val="-13"/>
        </w:rPr>
        <w:t> </w:t>
      </w:r>
      <w:r>
        <w:rPr/>
        <w:t>decorrência</w:t>
      </w:r>
      <w:r>
        <w:rPr>
          <w:spacing w:val="-12"/>
        </w:rPr>
        <w:t> </w:t>
      </w:r>
      <w:r>
        <w:rPr/>
        <w:t>dos</w:t>
      </w:r>
      <w:r>
        <w:rPr>
          <w:spacing w:val="-12"/>
        </w:rPr>
        <w:t> </w:t>
      </w:r>
      <w:r>
        <w:rPr/>
        <w:t>ajustes</w:t>
      </w:r>
      <w:r>
        <w:rPr>
          <w:spacing w:val="-12"/>
        </w:rPr>
        <w:t> </w:t>
      </w:r>
      <w:r>
        <w:rPr/>
        <w:t>por</w:t>
      </w:r>
      <w:r>
        <w:rPr>
          <w:spacing w:val="-14"/>
        </w:rPr>
        <w:t> </w:t>
      </w:r>
      <w:r>
        <w:rPr/>
        <w:t>adoção</w:t>
      </w:r>
      <w:r>
        <w:rPr>
          <w:spacing w:val="-12"/>
        </w:rPr>
        <w:t> </w:t>
      </w:r>
      <w:r>
        <w:rPr/>
        <w:t>do</w:t>
      </w:r>
      <w:r>
        <w:rPr>
          <w:spacing w:val="-12"/>
        </w:rPr>
        <w:t> </w:t>
      </w:r>
      <w:r>
        <w:rPr/>
        <w:t>custo atribuído</w:t>
      </w:r>
      <w:r>
        <w:rPr>
          <w:spacing w:val="-32"/>
        </w:rPr>
        <w:t> </w:t>
      </w:r>
      <w:r>
        <w:rPr/>
        <w:t>do</w:t>
      </w:r>
      <w:r>
        <w:rPr>
          <w:spacing w:val="-31"/>
        </w:rPr>
        <w:t> </w:t>
      </w:r>
      <w:r>
        <w:rPr/>
        <w:t>ativo</w:t>
      </w:r>
      <w:r>
        <w:rPr>
          <w:spacing w:val="-29"/>
        </w:rPr>
        <w:t> </w:t>
      </w:r>
      <w:r>
        <w:rPr/>
        <w:t>imobilizado</w:t>
      </w:r>
      <w:r>
        <w:rPr>
          <w:spacing w:val="-31"/>
        </w:rPr>
        <w:t> </w:t>
      </w:r>
      <w:r>
        <w:rPr/>
        <w:t>na</w:t>
      </w:r>
      <w:r>
        <w:rPr>
          <w:spacing w:val="-29"/>
        </w:rPr>
        <w:t> </w:t>
      </w:r>
      <w:r>
        <w:rPr/>
        <w:t>data</w:t>
      </w:r>
      <w:r>
        <w:rPr>
          <w:spacing w:val="-30"/>
        </w:rPr>
        <w:t> </w:t>
      </w:r>
      <w:r>
        <w:rPr/>
        <w:t>de</w:t>
      </w:r>
      <w:r>
        <w:rPr>
          <w:spacing w:val="-31"/>
        </w:rPr>
        <w:t> </w:t>
      </w:r>
      <w:r>
        <w:rPr/>
        <w:t>transição,</w:t>
      </w:r>
      <w:r>
        <w:rPr>
          <w:spacing w:val="-31"/>
        </w:rPr>
        <w:t> </w:t>
      </w:r>
      <w:r>
        <w:rPr/>
        <w:t>no</w:t>
      </w:r>
      <w:r>
        <w:rPr>
          <w:spacing w:val="-28"/>
        </w:rPr>
        <w:t> </w:t>
      </w:r>
      <w:r>
        <w:rPr/>
        <w:t>montante</w:t>
      </w:r>
      <w:r>
        <w:rPr>
          <w:spacing w:val="-30"/>
        </w:rPr>
        <w:t> </w:t>
      </w:r>
      <w:r>
        <w:rPr/>
        <w:t>de</w:t>
      </w:r>
      <w:r>
        <w:rPr>
          <w:spacing w:val="-32"/>
        </w:rPr>
        <w:t> </w:t>
      </w:r>
      <w:r>
        <w:rPr/>
        <w:t>R$</w:t>
      </w:r>
      <w:r>
        <w:rPr>
          <w:spacing w:val="-30"/>
        </w:rPr>
        <w:t> </w:t>
      </w:r>
      <w:r>
        <w:rPr/>
        <w:t>195.191,</w:t>
      </w:r>
      <w:r>
        <w:rPr>
          <w:spacing w:val="-29"/>
        </w:rPr>
        <w:t> </w:t>
      </w:r>
      <w:r>
        <w:rPr/>
        <w:t>líquido</w:t>
      </w:r>
      <w:r>
        <w:rPr>
          <w:spacing w:val="-32"/>
        </w:rPr>
        <w:t> </w:t>
      </w:r>
      <w:r>
        <w:rPr/>
        <w:t>de</w:t>
      </w:r>
      <w:r>
        <w:rPr>
          <w:spacing w:val="-29"/>
        </w:rPr>
        <w:t> </w:t>
      </w:r>
      <w:r>
        <w:rPr/>
        <w:t>efeitos</w:t>
      </w:r>
      <w:r>
        <w:rPr>
          <w:spacing w:val="-23"/>
        </w:rPr>
        <w:t> </w:t>
      </w:r>
      <w:r>
        <w:rPr/>
        <w:t>tributários.</w:t>
      </w:r>
    </w:p>
    <w:p>
      <w:pPr>
        <w:pStyle w:val="BodyText"/>
        <w:spacing w:line="242" w:lineRule="auto" w:before="122"/>
        <w:ind w:left="172" w:right="420"/>
        <w:jc w:val="both"/>
      </w:pPr>
      <w:r>
        <w:rPr/>
        <w:t>Os</w:t>
      </w:r>
      <w:r>
        <w:rPr>
          <w:spacing w:val="-37"/>
        </w:rPr>
        <w:t> </w:t>
      </w:r>
      <w:r>
        <w:rPr/>
        <w:t>valores</w:t>
      </w:r>
      <w:r>
        <w:rPr>
          <w:spacing w:val="-35"/>
        </w:rPr>
        <w:t> </w:t>
      </w:r>
      <w:r>
        <w:rPr/>
        <w:t>registrados</w:t>
      </w:r>
      <w:r>
        <w:rPr>
          <w:spacing w:val="-36"/>
        </w:rPr>
        <w:t> </w:t>
      </w:r>
      <w:r>
        <w:rPr/>
        <w:t>em</w:t>
      </w:r>
      <w:r>
        <w:rPr>
          <w:spacing w:val="-37"/>
        </w:rPr>
        <w:t> </w:t>
      </w:r>
      <w:r>
        <w:rPr/>
        <w:t>ajustes</w:t>
      </w:r>
      <w:r>
        <w:rPr>
          <w:spacing w:val="-36"/>
        </w:rPr>
        <w:t> </w:t>
      </w:r>
      <w:r>
        <w:rPr/>
        <w:t>de</w:t>
      </w:r>
      <w:r>
        <w:rPr>
          <w:spacing w:val="-37"/>
        </w:rPr>
        <w:t> </w:t>
      </w:r>
      <w:r>
        <w:rPr/>
        <w:t>avaliação</w:t>
      </w:r>
      <w:r>
        <w:rPr>
          <w:spacing w:val="-36"/>
        </w:rPr>
        <w:t> </w:t>
      </w:r>
      <w:r>
        <w:rPr/>
        <w:t>patrimonial</w:t>
      </w:r>
      <w:r>
        <w:rPr>
          <w:spacing w:val="-36"/>
        </w:rPr>
        <w:t> </w:t>
      </w:r>
      <w:r>
        <w:rPr/>
        <w:t>são</w:t>
      </w:r>
      <w:r>
        <w:rPr>
          <w:spacing w:val="-37"/>
        </w:rPr>
        <w:t> </w:t>
      </w:r>
      <w:r>
        <w:rPr/>
        <w:t>reclassificados</w:t>
      </w:r>
      <w:r>
        <w:rPr>
          <w:spacing w:val="-36"/>
        </w:rPr>
        <w:t> </w:t>
      </w:r>
      <w:r>
        <w:rPr/>
        <w:t>para</w:t>
      </w:r>
      <w:r>
        <w:rPr>
          <w:spacing w:val="-36"/>
        </w:rPr>
        <w:t> </w:t>
      </w:r>
      <w:r>
        <w:rPr/>
        <w:t>o</w:t>
      </w:r>
      <w:r>
        <w:rPr>
          <w:spacing w:val="-35"/>
        </w:rPr>
        <w:t> </w:t>
      </w:r>
      <w:r>
        <w:rPr/>
        <w:t>resultado</w:t>
      </w:r>
      <w:r>
        <w:rPr>
          <w:spacing w:val="-35"/>
        </w:rPr>
        <w:t> </w:t>
      </w:r>
      <w:r>
        <w:rPr/>
        <w:t>do</w:t>
      </w:r>
      <w:r>
        <w:rPr>
          <w:spacing w:val="-36"/>
        </w:rPr>
        <w:t> </w:t>
      </w:r>
      <w:r>
        <w:rPr/>
        <w:t>exercício</w:t>
      </w:r>
      <w:r>
        <w:rPr>
          <w:spacing w:val="-35"/>
        </w:rPr>
        <w:t> </w:t>
      </w:r>
      <w:r>
        <w:rPr/>
        <w:t>integral ou</w:t>
      </w:r>
      <w:r>
        <w:rPr>
          <w:spacing w:val="-30"/>
        </w:rPr>
        <w:t> </w:t>
      </w:r>
      <w:r>
        <w:rPr/>
        <w:t>parcialmente,</w:t>
      </w:r>
      <w:r>
        <w:rPr>
          <w:spacing w:val="-29"/>
        </w:rPr>
        <w:t> </w:t>
      </w:r>
      <w:r>
        <w:rPr/>
        <w:t>quando</w:t>
      </w:r>
      <w:r>
        <w:rPr>
          <w:spacing w:val="-28"/>
        </w:rPr>
        <w:t> </w:t>
      </w:r>
      <w:r>
        <w:rPr/>
        <w:t>da</w:t>
      </w:r>
      <w:r>
        <w:rPr>
          <w:spacing w:val="-28"/>
        </w:rPr>
        <w:t> </w:t>
      </w:r>
      <w:r>
        <w:rPr/>
        <w:t>alienação</w:t>
      </w:r>
      <w:r>
        <w:rPr>
          <w:spacing w:val="-31"/>
        </w:rPr>
        <w:t> </w:t>
      </w:r>
      <w:r>
        <w:rPr/>
        <w:t>dos</w:t>
      </w:r>
      <w:r>
        <w:rPr>
          <w:spacing w:val="-29"/>
        </w:rPr>
        <w:t> </w:t>
      </w:r>
      <w:r>
        <w:rPr/>
        <w:t>ativos</w:t>
      </w:r>
      <w:r>
        <w:rPr>
          <w:spacing w:val="-30"/>
        </w:rPr>
        <w:t> </w:t>
      </w:r>
      <w:r>
        <w:rPr/>
        <w:t>a</w:t>
      </w:r>
      <w:r>
        <w:rPr>
          <w:spacing w:val="-28"/>
        </w:rPr>
        <w:t> </w:t>
      </w:r>
      <w:r>
        <w:rPr/>
        <w:t>que</w:t>
      </w:r>
      <w:r>
        <w:rPr>
          <w:spacing w:val="-29"/>
        </w:rPr>
        <w:t> </w:t>
      </w:r>
      <w:r>
        <w:rPr/>
        <w:t>elas</w:t>
      </w:r>
      <w:r>
        <w:rPr>
          <w:spacing w:val="-30"/>
        </w:rPr>
        <w:t> </w:t>
      </w:r>
      <w:r>
        <w:rPr/>
        <w:t>se</w:t>
      </w:r>
      <w:r>
        <w:rPr>
          <w:spacing w:val="-29"/>
        </w:rPr>
        <w:t> </w:t>
      </w:r>
      <w:r>
        <w:rPr/>
        <w:t>referem.</w:t>
      </w:r>
      <w:r>
        <w:rPr>
          <w:spacing w:val="-30"/>
        </w:rPr>
        <w:t> </w:t>
      </w:r>
      <w:r>
        <w:rPr/>
        <w:t>Em</w:t>
      </w:r>
      <w:r>
        <w:rPr>
          <w:spacing w:val="-31"/>
        </w:rPr>
        <w:t> </w:t>
      </w:r>
      <w:r>
        <w:rPr/>
        <w:t>2009,</w:t>
      </w:r>
      <w:r>
        <w:rPr>
          <w:spacing w:val="-28"/>
        </w:rPr>
        <w:t> </w:t>
      </w:r>
      <w:r>
        <w:rPr/>
        <w:t>ocorreram</w:t>
      </w:r>
      <w:r>
        <w:rPr>
          <w:spacing w:val="-29"/>
        </w:rPr>
        <w:t> </w:t>
      </w:r>
      <w:r>
        <w:rPr/>
        <w:t>vendas</w:t>
      </w:r>
      <w:r>
        <w:rPr>
          <w:spacing w:val="-30"/>
        </w:rPr>
        <w:t> </w:t>
      </w:r>
      <w:r>
        <w:rPr/>
        <w:t>de</w:t>
      </w:r>
      <w:r>
        <w:rPr>
          <w:spacing w:val="-30"/>
        </w:rPr>
        <w:t> </w:t>
      </w:r>
      <w:r>
        <w:rPr/>
        <w:t>terrenos</w:t>
      </w:r>
      <w:r>
        <w:rPr>
          <w:spacing w:val="-28"/>
        </w:rPr>
        <w:t> </w:t>
      </w:r>
      <w:r>
        <w:rPr/>
        <w:t>e</w:t>
      </w:r>
      <w:r>
        <w:rPr>
          <w:spacing w:val="-31"/>
        </w:rPr>
        <w:t> </w:t>
      </w:r>
      <w:r>
        <w:rPr/>
        <w:t>a reserva</w:t>
      </w:r>
      <w:r>
        <w:rPr>
          <w:spacing w:val="-19"/>
        </w:rPr>
        <w:t> </w:t>
      </w:r>
      <w:r>
        <w:rPr/>
        <w:t>foi</w:t>
      </w:r>
      <w:r>
        <w:rPr>
          <w:spacing w:val="-17"/>
        </w:rPr>
        <w:t> </w:t>
      </w:r>
      <w:r>
        <w:rPr/>
        <w:t>realizada</w:t>
      </w:r>
      <w:r>
        <w:rPr>
          <w:spacing w:val="-19"/>
        </w:rPr>
        <w:t> </w:t>
      </w:r>
      <w:r>
        <w:rPr/>
        <w:t>em</w:t>
      </w:r>
      <w:r>
        <w:rPr>
          <w:spacing w:val="-21"/>
        </w:rPr>
        <w:t> </w:t>
      </w:r>
      <w:r>
        <w:rPr/>
        <w:t>R$</w:t>
      </w:r>
      <w:r>
        <w:rPr>
          <w:spacing w:val="-17"/>
        </w:rPr>
        <w:t> </w:t>
      </w:r>
      <w:r>
        <w:rPr/>
        <w:t>6.374,</w:t>
      </w:r>
      <w:r>
        <w:rPr>
          <w:spacing w:val="-19"/>
        </w:rPr>
        <w:t> </w:t>
      </w:r>
      <w:r>
        <w:rPr/>
        <w:t>líquido</w:t>
      </w:r>
      <w:r>
        <w:rPr>
          <w:spacing w:val="-18"/>
        </w:rPr>
        <w:t> </w:t>
      </w:r>
      <w:r>
        <w:rPr/>
        <w:t>dos</w:t>
      </w:r>
      <w:r>
        <w:rPr>
          <w:spacing w:val="-17"/>
        </w:rPr>
        <w:t> </w:t>
      </w:r>
      <w:r>
        <w:rPr/>
        <w:t>efeitos</w:t>
      </w:r>
      <w:r>
        <w:rPr>
          <w:spacing w:val="-18"/>
        </w:rPr>
        <w:t> </w:t>
      </w:r>
      <w:r>
        <w:rPr/>
        <w:t>tributários.</w:t>
      </w:r>
    </w:p>
    <w:p>
      <w:pPr>
        <w:pStyle w:val="BodyText"/>
        <w:spacing w:before="119"/>
        <w:ind w:left="172"/>
      </w:pPr>
      <w:r>
        <w:rPr/>
        <w:t>Em 2018, outros terrenos foram vendidos e a reserva foi realizada em R$ 489, líquido dos efeitos tributários.</w:t>
      </w:r>
    </w:p>
    <w:p>
      <w:pPr>
        <w:spacing w:after="0"/>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40"/>
        <w:jc w:val="both"/>
      </w:pPr>
      <w:r>
        <w:rPr/>
        <w:t>O</w:t>
      </w:r>
      <w:r>
        <w:rPr>
          <w:spacing w:val="-19"/>
        </w:rPr>
        <w:t> </w:t>
      </w:r>
      <w:r>
        <w:rPr/>
        <w:t>efeito</w:t>
      </w:r>
      <w:r>
        <w:rPr>
          <w:spacing w:val="-19"/>
        </w:rPr>
        <w:t> </w:t>
      </w:r>
      <w:r>
        <w:rPr/>
        <w:t>decorrente</w:t>
      </w:r>
      <w:r>
        <w:rPr>
          <w:spacing w:val="-19"/>
        </w:rPr>
        <w:t> </w:t>
      </w:r>
      <w:r>
        <w:rPr/>
        <w:t>da</w:t>
      </w:r>
      <w:r>
        <w:rPr>
          <w:spacing w:val="-19"/>
        </w:rPr>
        <w:t> </w:t>
      </w:r>
      <w:r>
        <w:rPr/>
        <w:t>adoção</w:t>
      </w:r>
      <w:r>
        <w:rPr>
          <w:spacing w:val="-20"/>
        </w:rPr>
        <w:t> </w:t>
      </w:r>
      <w:r>
        <w:rPr/>
        <w:t>do</w:t>
      </w:r>
      <w:r>
        <w:rPr>
          <w:spacing w:val="-18"/>
        </w:rPr>
        <w:t> </w:t>
      </w:r>
      <w:r>
        <w:rPr/>
        <w:t>custo</w:t>
      </w:r>
      <w:r>
        <w:rPr>
          <w:spacing w:val="-20"/>
        </w:rPr>
        <w:t> </w:t>
      </w:r>
      <w:r>
        <w:rPr/>
        <w:t>atribuído</w:t>
      </w:r>
      <w:r>
        <w:rPr>
          <w:spacing w:val="-17"/>
        </w:rPr>
        <w:t> </w:t>
      </w:r>
      <w:r>
        <w:rPr/>
        <w:t>em</w:t>
      </w:r>
      <w:r>
        <w:rPr>
          <w:spacing w:val="-18"/>
        </w:rPr>
        <w:t> </w:t>
      </w:r>
      <w:r>
        <w:rPr/>
        <w:t>31</w:t>
      </w:r>
      <w:r>
        <w:rPr>
          <w:spacing w:val="-20"/>
        </w:rPr>
        <w:t> </w:t>
      </w:r>
      <w:r>
        <w:rPr/>
        <w:t>de</w:t>
      </w:r>
      <w:r>
        <w:rPr>
          <w:spacing w:val="-18"/>
        </w:rPr>
        <w:t> </w:t>
      </w:r>
      <w:r>
        <w:rPr/>
        <w:t>dezembro</w:t>
      </w:r>
      <w:r>
        <w:rPr>
          <w:spacing w:val="-18"/>
        </w:rPr>
        <w:t> </w:t>
      </w:r>
      <w:r>
        <w:rPr/>
        <w:t>de</w:t>
      </w:r>
      <w:r>
        <w:rPr>
          <w:spacing w:val="-19"/>
        </w:rPr>
        <w:t> </w:t>
      </w:r>
      <w:r>
        <w:rPr>
          <w:spacing w:val="2"/>
        </w:rPr>
        <w:t>2019</w:t>
      </w:r>
      <w:r>
        <w:rPr>
          <w:spacing w:val="-16"/>
        </w:rPr>
        <w:t> </w:t>
      </w:r>
      <w:r>
        <w:rPr/>
        <w:t>é</w:t>
      </w:r>
      <w:r>
        <w:rPr>
          <w:spacing w:val="-21"/>
        </w:rPr>
        <w:t> </w:t>
      </w:r>
      <w:r>
        <w:rPr/>
        <w:t>demonstrado</w:t>
      </w:r>
      <w:r>
        <w:rPr>
          <w:spacing w:val="-18"/>
        </w:rPr>
        <w:t> </w:t>
      </w:r>
      <w:r>
        <w:rPr/>
        <w:t>conforme</w:t>
      </w:r>
      <w:r>
        <w:rPr>
          <w:spacing w:val="-17"/>
        </w:rPr>
        <w:t> </w:t>
      </w:r>
      <w:r>
        <w:rPr/>
        <w:t>quadro</w:t>
      </w:r>
      <w:r>
        <w:rPr>
          <w:spacing w:val="-20"/>
        </w:rPr>
        <w:t> </w:t>
      </w:r>
      <w:r>
        <w:rPr/>
        <w:t>a seguir:</w:t>
      </w:r>
    </w:p>
    <w:p>
      <w:pPr>
        <w:pStyle w:val="BodyText"/>
        <w:spacing w:before="5"/>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07"/>
        <w:gridCol w:w="2309"/>
      </w:tblGrid>
      <w:tr>
        <w:trPr>
          <w:trHeight w:val="642" w:hRule="atLeast"/>
        </w:trPr>
        <w:tc>
          <w:tcPr>
            <w:tcW w:w="7607" w:type="dxa"/>
            <w:shd w:val="clear" w:color="auto" w:fill="D9D9D9"/>
          </w:tcPr>
          <w:p>
            <w:pPr>
              <w:pStyle w:val="TableParagraph"/>
              <w:spacing w:before="6"/>
              <w:rPr>
                <w:sz w:val="20"/>
              </w:rPr>
            </w:pPr>
          </w:p>
          <w:p>
            <w:pPr>
              <w:pStyle w:val="TableParagraph"/>
              <w:ind w:left="72"/>
              <w:rPr>
                <w:rFonts w:ascii="Caladea"/>
                <w:b/>
                <w:sz w:val="14"/>
              </w:rPr>
            </w:pPr>
            <w:r>
              <w:rPr>
                <w:rFonts w:ascii="Caladea"/>
                <w:b/>
                <w:sz w:val="14"/>
              </w:rPr>
              <w:t>Terrenos</w:t>
            </w:r>
          </w:p>
        </w:tc>
        <w:tc>
          <w:tcPr>
            <w:tcW w:w="2309" w:type="dxa"/>
          </w:tcPr>
          <w:p>
            <w:pPr>
              <w:pStyle w:val="TableParagraph"/>
              <w:spacing w:before="6"/>
              <w:rPr>
                <w:sz w:val="20"/>
              </w:rPr>
            </w:pPr>
          </w:p>
          <w:p>
            <w:pPr>
              <w:pStyle w:val="TableParagraph"/>
              <w:ind w:left="257"/>
              <w:rPr>
                <w:rFonts w:ascii="Caladea"/>
                <w:b/>
                <w:sz w:val="14"/>
              </w:rPr>
            </w:pPr>
            <w:r>
              <w:rPr>
                <w:rFonts w:ascii="Caladea"/>
                <w:b/>
                <w:sz w:val="14"/>
              </w:rPr>
              <w:t>Controladora / Consolidado</w:t>
            </w:r>
          </w:p>
        </w:tc>
      </w:tr>
      <w:tr>
        <w:trPr>
          <w:trHeight w:val="165" w:hRule="atLeast"/>
        </w:trPr>
        <w:tc>
          <w:tcPr>
            <w:tcW w:w="7607" w:type="dxa"/>
          </w:tcPr>
          <w:p>
            <w:pPr>
              <w:pStyle w:val="TableParagraph"/>
              <w:spacing w:line="144" w:lineRule="exact" w:before="1"/>
              <w:ind w:left="72"/>
              <w:rPr>
                <w:rFonts w:ascii="Caladea"/>
                <w:b/>
                <w:sz w:val="14"/>
              </w:rPr>
            </w:pPr>
            <w:r>
              <w:rPr>
                <w:rFonts w:ascii="Caladea"/>
                <w:b/>
                <w:sz w:val="14"/>
              </w:rPr>
              <w:t>Saldo em 31 de dezembro de 2008</w:t>
            </w:r>
          </w:p>
        </w:tc>
        <w:tc>
          <w:tcPr>
            <w:tcW w:w="2309" w:type="dxa"/>
          </w:tcPr>
          <w:p>
            <w:pPr>
              <w:pStyle w:val="TableParagraph"/>
              <w:spacing w:line="144" w:lineRule="exact" w:before="1"/>
              <w:ind w:right="59"/>
              <w:jc w:val="right"/>
              <w:rPr>
                <w:rFonts w:ascii="Caladea"/>
                <w:b/>
                <w:sz w:val="14"/>
              </w:rPr>
            </w:pPr>
            <w:r>
              <w:rPr>
                <w:rFonts w:ascii="Caladea"/>
                <w:b/>
                <w:sz w:val="14"/>
              </w:rPr>
              <w:t>1.442</w:t>
            </w:r>
          </w:p>
        </w:tc>
      </w:tr>
      <w:tr>
        <w:trPr>
          <w:trHeight w:val="165" w:hRule="atLeast"/>
        </w:trPr>
        <w:tc>
          <w:tcPr>
            <w:tcW w:w="7607" w:type="dxa"/>
          </w:tcPr>
          <w:p>
            <w:pPr>
              <w:pStyle w:val="TableParagraph"/>
              <w:spacing w:line="142" w:lineRule="exact" w:before="2"/>
              <w:ind w:left="72"/>
              <w:rPr>
                <w:sz w:val="14"/>
              </w:rPr>
            </w:pPr>
            <w:r>
              <w:rPr>
                <w:sz w:val="14"/>
              </w:rPr>
              <w:t>Ajustes por Adoção do Custo Atribuído</w:t>
            </w:r>
          </w:p>
        </w:tc>
        <w:tc>
          <w:tcPr>
            <w:tcW w:w="2309" w:type="dxa"/>
          </w:tcPr>
          <w:p>
            <w:pPr>
              <w:pStyle w:val="TableParagraph"/>
              <w:spacing w:line="142" w:lineRule="exact" w:before="2"/>
              <w:ind w:right="59"/>
              <w:jc w:val="right"/>
              <w:rPr>
                <w:sz w:val="14"/>
              </w:rPr>
            </w:pPr>
            <w:r>
              <w:rPr>
                <w:sz w:val="14"/>
              </w:rPr>
              <w:t>295.744</w:t>
            </w:r>
          </w:p>
        </w:tc>
      </w:tr>
      <w:tr>
        <w:trPr>
          <w:trHeight w:val="165" w:hRule="atLeast"/>
        </w:trPr>
        <w:tc>
          <w:tcPr>
            <w:tcW w:w="7607" w:type="dxa"/>
          </w:tcPr>
          <w:p>
            <w:pPr>
              <w:pStyle w:val="TableParagraph"/>
              <w:spacing w:line="144" w:lineRule="exact" w:before="1"/>
              <w:ind w:left="72"/>
              <w:rPr>
                <w:rFonts w:ascii="Caladea" w:hAnsi="Caladea"/>
                <w:b/>
                <w:sz w:val="14"/>
              </w:rPr>
            </w:pPr>
            <w:r>
              <w:rPr>
                <w:rFonts w:ascii="Caladea" w:hAnsi="Caladea"/>
                <w:b/>
                <w:sz w:val="14"/>
              </w:rPr>
              <w:t>Saldo em 1º de janeiro de 2009</w:t>
            </w:r>
          </w:p>
        </w:tc>
        <w:tc>
          <w:tcPr>
            <w:tcW w:w="2309" w:type="dxa"/>
          </w:tcPr>
          <w:p>
            <w:pPr>
              <w:pStyle w:val="TableParagraph"/>
              <w:spacing w:line="144" w:lineRule="exact" w:before="1"/>
              <w:ind w:right="59"/>
              <w:jc w:val="right"/>
              <w:rPr>
                <w:rFonts w:ascii="Caladea"/>
                <w:b/>
                <w:sz w:val="14"/>
              </w:rPr>
            </w:pPr>
            <w:r>
              <w:rPr>
                <w:rFonts w:ascii="Caladea"/>
                <w:b/>
                <w:sz w:val="14"/>
              </w:rPr>
              <w:t>297.186</w:t>
            </w:r>
          </w:p>
        </w:tc>
      </w:tr>
      <w:tr>
        <w:trPr>
          <w:trHeight w:val="165" w:hRule="atLeast"/>
        </w:trPr>
        <w:tc>
          <w:tcPr>
            <w:tcW w:w="7607" w:type="dxa"/>
          </w:tcPr>
          <w:p>
            <w:pPr>
              <w:pStyle w:val="TableParagraph"/>
              <w:spacing w:line="142" w:lineRule="exact" w:before="2"/>
              <w:ind w:left="72"/>
              <w:rPr>
                <w:sz w:val="14"/>
              </w:rPr>
            </w:pPr>
            <w:r>
              <w:rPr>
                <w:sz w:val="14"/>
              </w:rPr>
              <w:t>Alienação de Terreno </w:t>
            </w:r>
            <w:r>
              <w:rPr>
                <w:w w:val="105"/>
                <w:sz w:val="14"/>
              </w:rPr>
              <w:t>– </w:t>
            </w:r>
            <w:r>
              <w:rPr>
                <w:sz w:val="14"/>
              </w:rPr>
              <w:t>Exercício de 2009</w:t>
            </w:r>
          </w:p>
        </w:tc>
        <w:tc>
          <w:tcPr>
            <w:tcW w:w="2309" w:type="dxa"/>
          </w:tcPr>
          <w:p>
            <w:pPr>
              <w:pStyle w:val="TableParagraph"/>
              <w:spacing w:line="142" w:lineRule="exact" w:before="2"/>
              <w:ind w:right="61"/>
              <w:jc w:val="right"/>
              <w:rPr>
                <w:sz w:val="14"/>
              </w:rPr>
            </w:pPr>
            <w:r>
              <w:rPr>
                <w:sz w:val="14"/>
              </w:rPr>
              <w:t>(11.099)</w:t>
            </w:r>
          </w:p>
        </w:tc>
      </w:tr>
      <w:tr>
        <w:trPr>
          <w:trHeight w:val="165" w:hRule="atLeast"/>
        </w:trPr>
        <w:tc>
          <w:tcPr>
            <w:tcW w:w="7607" w:type="dxa"/>
          </w:tcPr>
          <w:p>
            <w:pPr>
              <w:pStyle w:val="TableParagraph"/>
              <w:spacing w:line="144" w:lineRule="exact" w:before="1"/>
              <w:ind w:left="72"/>
              <w:rPr>
                <w:rFonts w:ascii="Caladea" w:hAnsi="Caladea"/>
                <w:b/>
                <w:sz w:val="14"/>
              </w:rPr>
            </w:pPr>
            <w:r>
              <w:rPr>
                <w:rFonts w:ascii="Caladea" w:hAnsi="Caladea"/>
                <w:b/>
                <w:w w:val="105"/>
                <w:sz w:val="14"/>
              </w:rPr>
              <w:t>Saldo em 31 de dezembro de 2010 e 2011 </w:t>
            </w:r>
            <w:r>
              <w:rPr>
                <w:b/>
                <w:w w:val="105"/>
                <w:sz w:val="14"/>
              </w:rPr>
              <w:t>– </w:t>
            </w:r>
            <w:r>
              <w:rPr>
                <w:rFonts w:ascii="Caladea" w:hAnsi="Caladea"/>
                <w:b/>
                <w:w w:val="105"/>
                <w:sz w:val="14"/>
              </w:rPr>
              <w:t>Valor Bruto</w:t>
            </w:r>
          </w:p>
        </w:tc>
        <w:tc>
          <w:tcPr>
            <w:tcW w:w="2309" w:type="dxa"/>
          </w:tcPr>
          <w:p>
            <w:pPr>
              <w:pStyle w:val="TableParagraph"/>
              <w:spacing w:line="144" w:lineRule="exact" w:before="1"/>
              <w:ind w:right="59"/>
              <w:jc w:val="right"/>
              <w:rPr>
                <w:rFonts w:ascii="Caladea"/>
                <w:b/>
                <w:sz w:val="14"/>
              </w:rPr>
            </w:pPr>
            <w:r>
              <w:rPr>
                <w:rFonts w:ascii="Caladea"/>
                <w:b/>
                <w:sz w:val="14"/>
              </w:rPr>
              <w:t>286.087</w:t>
            </w:r>
          </w:p>
        </w:tc>
      </w:tr>
      <w:tr>
        <w:trPr>
          <w:trHeight w:val="165" w:hRule="atLeast"/>
        </w:trPr>
        <w:tc>
          <w:tcPr>
            <w:tcW w:w="7607" w:type="dxa"/>
          </w:tcPr>
          <w:p>
            <w:pPr>
              <w:pStyle w:val="TableParagraph"/>
              <w:spacing w:line="145" w:lineRule="exact"/>
              <w:ind w:left="72"/>
              <w:rPr>
                <w:sz w:val="14"/>
              </w:rPr>
            </w:pPr>
            <w:r>
              <w:rPr>
                <w:w w:val="105"/>
                <w:sz w:val="14"/>
              </w:rPr>
              <w:t>Efeito Fiscal (IRPJ/CSLL – 34%) em 31 de dezembro de 2017 – Líquido do Efeito Fiscal</w:t>
            </w:r>
          </w:p>
        </w:tc>
        <w:tc>
          <w:tcPr>
            <w:tcW w:w="2309" w:type="dxa"/>
          </w:tcPr>
          <w:p>
            <w:pPr>
              <w:pStyle w:val="TableParagraph"/>
              <w:spacing w:line="145" w:lineRule="exact"/>
              <w:ind w:right="61"/>
              <w:jc w:val="right"/>
              <w:rPr>
                <w:sz w:val="14"/>
              </w:rPr>
            </w:pPr>
            <w:r>
              <w:rPr>
                <w:sz w:val="14"/>
              </w:rPr>
              <w:t>(97.270)</w:t>
            </w:r>
          </w:p>
        </w:tc>
      </w:tr>
      <w:tr>
        <w:trPr>
          <w:trHeight w:val="165" w:hRule="atLeast"/>
        </w:trPr>
        <w:tc>
          <w:tcPr>
            <w:tcW w:w="7607" w:type="dxa"/>
          </w:tcPr>
          <w:p>
            <w:pPr>
              <w:pStyle w:val="TableParagraph"/>
              <w:rPr>
                <w:rFonts w:ascii="Times New Roman"/>
                <w:sz w:val="10"/>
              </w:rPr>
            </w:pPr>
          </w:p>
        </w:tc>
        <w:tc>
          <w:tcPr>
            <w:tcW w:w="2309" w:type="dxa"/>
          </w:tcPr>
          <w:p>
            <w:pPr>
              <w:pStyle w:val="TableParagraph"/>
              <w:rPr>
                <w:rFonts w:ascii="Times New Roman"/>
                <w:sz w:val="10"/>
              </w:rPr>
            </w:pPr>
          </w:p>
        </w:tc>
      </w:tr>
      <w:tr>
        <w:trPr>
          <w:trHeight w:val="165" w:hRule="atLeast"/>
        </w:trPr>
        <w:tc>
          <w:tcPr>
            <w:tcW w:w="7607" w:type="dxa"/>
          </w:tcPr>
          <w:p>
            <w:pPr>
              <w:pStyle w:val="TableParagraph"/>
              <w:spacing w:line="145" w:lineRule="exact"/>
              <w:ind w:left="72"/>
              <w:rPr>
                <w:sz w:val="14"/>
              </w:rPr>
            </w:pPr>
            <w:r>
              <w:rPr>
                <w:sz w:val="14"/>
              </w:rPr>
              <w:t>Alienação de Terreno </w:t>
            </w:r>
            <w:r>
              <w:rPr>
                <w:w w:val="105"/>
                <w:sz w:val="14"/>
              </w:rPr>
              <w:t>– </w:t>
            </w:r>
            <w:r>
              <w:rPr>
                <w:sz w:val="14"/>
              </w:rPr>
              <w:t>Exercício de 2018</w:t>
            </w:r>
          </w:p>
        </w:tc>
        <w:tc>
          <w:tcPr>
            <w:tcW w:w="2309" w:type="dxa"/>
          </w:tcPr>
          <w:p>
            <w:pPr>
              <w:pStyle w:val="TableParagraph"/>
              <w:spacing w:line="145" w:lineRule="exact"/>
              <w:ind w:right="61"/>
              <w:jc w:val="right"/>
              <w:rPr>
                <w:sz w:val="14"/>
              </w:rPr>
            </w:pPr>
            <w:r>
              <w:rPr>
                <w:w w:val="95"/>
                <w:sz w:val="14"/>
              </w:rPr>
              <w:t>(1.437)</w:t>
            </w:r>
          </w:p>
        </w:tc>
      </w:tr>
      <w:tr>
        <w:trPr>
          <w:trHeight w:val="165" w:hRule="atLeast"/>
        </w:trPr>
        <w:tc>
          <w:tcPr>
            <w:tcW w:w="7607" w:type="dxa"/>
          </w:tcPr>
          <w:p>
            <w:pPr>
              <w:pStyle w:val="TableParagraph"/>
              <w:spacing w:line="145" w:lineRule="exact"/>
              <w:ind w:left="72"/>
              <w:rPr>
                <w:rFonts w:ascii="Caladea"/>
                <w:b/>
                <w:sz w:val="14"/>
              </w:rPr>
            </w:pPr>
            <w:r>
              <w:rPr>
                <w:rFonts w:ascii="Caladea"/>
                <w:b/>
                <w:sz w:val="14"/>
              </w:rPr>
              <w:t>Saldo em 31 de dezembro de 2019</w:t>
            </w:r>
          </w:p>
        </w:tc>
        <w:tc>
          <w:tcPr>
            <w:tcW w:w="2309" w:type="dxa"/>
          </w:tcPr>
          <w:p>
            <w:pPr>
              <w:pStyle w:val="TableParagraph"/>
              <w:spacing w:line="145" w:lineRule="exact"/>
              <w:ind w:right="59"/>
              <w:jc w:val="right"/>
              <w:rPr>
                <w:rFonts w:ascii="Caladea"/>
                <w:b/>
                <w:sz w:val="14"/>
              </w:rPr>
            </w:pPr>
            <w:r>
              <w:rPr>
                <w:rFonts w:ascii="Caladea"/>
                <w:b/>
                <w:w w:val="95"/>
                <w:sz w:val="14"/>
              </w:rPr>
              <w:t>286.087</w:t>
            </w:r>
          </w:p>
        </w:tc>
      </w:tr>
      <w:tr>
        <w:trPr>
          <w:trHeight w:val="165" w:hRule="atLeast"/>
        </w:trPr>
        <w:tc>
          <w:tcPr>
            <w:tcW w:w="7607" w:type="dxa"/>
          </w:tcPr>
          <w:p>
            <w:pPr>
              <w:pStyle w:val="TableParagraph"/>
              <w:spacing w:line="145" w:lineRule="exact"/>
              <w:ind w:left="72"/>
              <w:rPr>
                <w:sz w:val="14"/>
              </w:rPr>
            </w:pPr>
            <w:r>
              <w:rPr>
                <w:w w:val="105"/>
                <w:sz w:val="14"/>
              </w:rPr>
              <w:t>Efeito Fiscal (IRPJ/CSLL – 34%)</w:t>
            </w:r>
          </w:p>
        </w:tc>
        <w:tc>
          <w:tcPr>
            <w:tcW w:w="2309" w:type="dxa"/>
          </w:tcPr>
          <w:p>
            <w:pPr>
              <w:pStyle w:val="TableParagraph"/>
              <w:spacing w:line="145" w:lineRule="exact"/>
              <w:ind w:right="61"/>
              <w:jc w:val="right"/>
              <w:rPr>
                <w:sz w:val="14"/>
              </w:rPr>
            </w:pPr>
            <w:r>
              <w:rPr>
                <w:sz w:val="14"/>
              </w:rPr>
              <w:t>(96.781)</w:t>
            </w:r>
          </w:p>
        </w:tc>
      </w:tr>
      <w:tr>
        <w:trPr>
          <w:trHeight w:val="162" w:hRule="atLeast"/>
        </w:trPr>
        <w:tc>
          <w:tcPr>
            <w:tcW w:w="7607" w:type="dxa"/>
          </w:tcPr>
          <w:p>
            <w:pPr>
              <w:pStyle w:val="TableParagraph"/>
              <w:rPr>
                <w:rFonts w:ascii="Times New Roman"/>
                <w:sz w:val="10"/>
              </w:rPr>
            </w:pPr>
          </w:p>
        </w:tc>
        <w:tc>
          <w:tcPr>
            <w:tcW w:w="2309" w:type="dxa"/>
          </w:tcPr>
          <w:p>
            <w:pPr>
              <w:pStyle w:val="TableParagraph"/>
              <w:rPr>
                <w:rFonts w:ascii="Times New Roman"/>
                <w:sz w:val="10"/>
              </w:rPr>
            </w:pPr>
          </w:p>
        </w:tc>
      </w:tr>
      <w:tr>
        <w:trPr>
          <w:trHeight w:val="165" w:hRule="atLeast"/>
        </w:trPr>
        <w:tc>
          <w:tcPr>
            <w:tcW w:w="7607" w:type="dxa"/>
          </w:tcPr>
          <w:p>
            <w:pPr>
              <w:pStyle w:val="TableParagraph"/>
              <w:spacing w:line="144" w:lineRule="exact" w:before="1"/>
              <w:ind w:left="72"/>
              <w:rPr>
                <w:rFonts w:ascii="Caladea" w:hAnsi="Caladea"/>
                <w:b/>
                <w:sz w:val="14"/>
              </w:rPr>
            </w:pPr>
            <w:r>
              <w:rPr>
                <w:rFonts w:ascii="Caladea" w:hAnsi="Caladea"/>
                <w:b/>
                <w:w w:val="105"/>
                <w:sz w:val="14"/>
              </w:rPr>
              <w:t>Saldo em 31 de dezembro de 2018 </w:t>
            </w:r>
            <w:r>
              <w:rPr>
                <w:b/>
                <w:w w:val="105"/>
                <w:sz w:val="14"/>
              </w:rPr>
              <w:t>– </w:t>
            </w:r>
            <w:r>
              <w:rPr>
                <w:rFonts w:ascii="Caladea" w:hAnsi="Caladea"/>
                <w:b/>
                <w:w w:val="105"/>
                <w:sz w:val="14"/>
              </w:rPr>
              <w:t>Líquido do Efeito Fiscal</w:t>
            </w:r>
          </w:p>
        </w:tc>
        <w:tc>
          <w:tcPr>
            <w:tcW w:w="2309" w:type="dxa"/>
          </w:tcPr>
          <w:p>
            <w:pPr>
              <w:pStyle w:val="TableParagraph"/>
              <w:spacing w:line="144" w:lineRule="exact" w:before="1"/>
              <w:ind w:right="62"/>
              <w:jc w:val="right"/>
              <w:rPr>
                <w:rFonts w:ascii="Caladea"/>
                <w:b/>
                <w:sz w:val="14"/>
              </w:rPr>
            </w:pPr>
            <w:r>
              <w:rPr>
                <w:rFonts w:ascii="Caladea"/>
                <w:b/>
                <w:w w:val="95"/>
                <w:sz w:val="14"/>
              </w:rPr>
              <w:t>187.869</w:t>
            </w:r>
          </w:p>
        </w:tc>
      </w:tr>
      <w:tr>
        <w:trPr>
          <w:trHeight w:val="165" w:hRule="atLeast"/>
        </w:trPr>
        <w:tc>
          <w:tcPr>
            <w:tcW w:w="7607" w:type="dxa"/>
          </w:tcPr>
          <w:p>
            <w:pPr>
              <w:pStyle w:val="TableParagraph"/>
              <w:spacing w:line="144" w:lineRule="exact" w:before="1"/>
              <w:ind w:left="72"/>
              <w:rPr>
                <w:rFonts w:ascii="Caladea" w:hAnsi="Caladea"/>
                <w:b/>
                <w:sz w:val="14"/>
              </w:rPr>
            </w:pPr>
            <w:r>
              <w:rPr>
                <w:rFonts w:ascii="Caladea" w:hAnsi="Caladea"/>
                <w:b/>
                <w:w w:val="105"/>
                <w:sz w:val="14"/>
              </w:rPr>
              <w:t>Saldo em 31 de dezembro de 2019 </w:t>
            </w:r>
            <w:r>
              <w:rPr>
                <w:b/>
                <w:w w:val="105"/>
                <w:sz w:val="14"/>
              </w:rPr>
              <w:t>– </w:t>
            </w:r>
            <w:r>
              <w:rPr>
                <w:rFonts w:ascii="Caladea" w:hAnsi="Caladea"/>
                <w:b/>
                <w:w w:val="105"/>
                <w:sz w:val="14"/>
              </w:rPr>
              <w:t>Líquido do Efeito Fiscal</w:t>
            </w:r>
          </w:p>
        </w:tc>
        <w:tc>
          <w:tcPr>
            <w:tcW w:w="2309" w:type="dxa"/>
          </w:tcPr>
          <w:p>
            <w:pPr>
              <w:pStyle w:val="TableParagraph"/>
              <w:spacing w:line="144" w:lineRule="exact" w:before="1"/>
              <w:ind w:right="59"/>
              <w:jc w:val="right"/>
              <w:rPr>
                <w:rFonts w:ascii="Caladea"/>
                <w:b/>
                <w:sz w:val="14"/>
              </w:rPr>
            </w:pPr>
            <w:r>
              <w:rPr>
                <w:rFonts w:ascii="Caladea"/>
                <w:b/>
                <w:w w:val="95"/>
                <w:sz w:val="14"/>
              </w:rPr>
              <w:t>187.869</w:t>
            </w:r>
          </w:p>
        </w:tc>
      </w:tr>
    </w:tbl>
    <w:p>
      <w:pPr>
        <w:pStyle w:val="BodyText"/>
        <w:spacing w:before="10"/>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b/>
          <w:sz w:val="18"/>
        </w:rPr>
      </w:pPr>
      <w:r>
        <w:rPr>
          <w:rFonts w:ascii="Caladea"/>
          <w:b/>
          <w:sz w:val="22"/>
        </w:rPr>
        <w:t>R</w:t>
      </w:r>
      <w:r>
        <w:rPr>
          <w:rFonts w:ascii="Caladea"/>
          <w:b/>
          <w:sz w:val="18"/>
        </w:rPr>
        <w:t>ESERVA DE</w:t>
      </w:r>
      <w:r>
        <w:rPr>
          <w:rFonts w:ascii="Caladea"/>
          <w:b/>
          <w:spacing w:val="1"/>
          <w:sz w:val="18"/>
        </w:rPr>
        <w:t> </w:t>
      </w:r>
      <w:r>
        <w:rPr>
          <w:rFonts w:ascii="Caladea"/>
          <w:b/>
          <w:sz w:val="22"/>
        </w:rPr>
        <w:t>L</w:t>
      </w:r>
      <w:r>
        <w:rPr>
          <w:rFonts w:ascii="Caladea"/>
          <w:b/>
          <w:sz w:val="18"/>
        </w:rPr>
        <w:t>UCROS</w:t>
      </w:r>
    </w:p>
    <w:p>
      <w:pPr>
        <w:pStyle w:val="BodyText"/>
        <w:spacing w:before="10"/>
        <w:rPr>
          <w:rFonts w:ascii="Caladea"/>
          <w:b/>
          <w:sz w:val="23"/>
        </w:rPr>
      </w:pPr>
    </w:p>
    <w:p>
      <w:pPr>
        <w:pStyle w:val="Heading5"/>
        <w:ind w:left="172" w:firstLine="0"/>
      </w:pPr>
      <w:r>
        <w:rPr/>
        <w:t>29.3.1. Reserva Legal</w:t>
      </w:r>
    </w:p>
    <w:p>
      <w:pPr>
        <w:pStyle w:val="BodyText"/>
        <w:spacing w:before="10"/>
        <w:rPr>
          <w:rFonts w:ascii="Caladea"/>
          <w:b/>
          <w:sz w:val="23"/>
        </w:rPr>
      </w:pPr>
    </w:p>
    <w:p>
      <w:pPr>
        <w:pStyle w:val="BodyText"/>
        <w:spacing w:line="242" w:lineRule="auto"/>
        <w:ind w:left="172" w:right="407"/>
        <w:jc w:val="both"/>
      </w:pPr>
      <w:r>
        <w:rPr/>
        <w:t>A</w:t>
      </w:r>
      <w:r>
        <w:rPr>
          <w:spacing w:val="-28"/>
        </w:rPr>
        <w:t> </w:t>
      </w:r>
      <w:r>
        <w:rPr/>
        <w:t>Reserva</w:t>
      </w:r>
      <w:r>
        <w:rPr>
          <w:spacing w:val="-26"/>
        </w:rPr>
        <w:t> </w:t>
      </w:r>
      <w:r>
        <w:rPr/>
        <w:t>Legal</w:t>
      </w:r>
      <w:r>
        <w:rPr>
          <w:spacing w:val="-25"/>
        </w:rPr>
        <w:t> </w:t>
      </w:r>
      <w:r>
        <w:rPr/>
        <w:t>é</w:t>
      </w:r>
      <w:r>
        <w:rPr>
          <w:spacing w:val="-28"/>
        </w:rPr>
        <w:t> </w:t>
      </w:r>
      <w:r>
        <w:rPr/>
        <w:t>constituída</w:t>
      </w:r>
      <w:r>
        <w:rPr>
          <w:spacing w:val="-27"/>
        </w:rPr>
        <w:t> </w:t>
      </w:r>
      <w:r>
        <w:rPr/>
        <w:t>à</w:t>
      </w:r>
      <w:r>
        <w:rPr>
          <w:spacing w:val="-27"/>
        </w:rPr>
        <w:t> </w:t>
      </w:r>
      <w:r>
        <w:rPr/>
        <w:t>razão</w:t>
      </w:r>
      <w:r>
        <w:rPr>
          <w:spacing w:val="-28"/>
        </w:rPr>
        <w:t> </w:t>
      </w:r>
      <w:r>
        <w:rPr/>
        <w:t>de</w:t>
      </w:r>
      <w:r>
        <w:rPr>
          <w:spacing w:val="-27"/>
        </w:rPr>
        <w:t> </w:t>
      </w:r>
      <w:r>
        <w:rPr/>
        <w:t>5%</w:t>
      </w:r>
      <w:r>
        <w:rPr>
          <w:spacing w:val="-26"/>
        </w:rPr>
        <w:t> </w:t>
      </w:r>
      <w:r>
        <w:rPr/>
        <w:t>do</w:t>
      </w:r>
      <w:r>
        <w:rPr>
          <w:spacing w:val="-27"/>
        </w:rPr>
        <w:t> </w:t>
      </w:r>
      <w:r>
        <w:rPr/>
        <w:t>Lucro</w:t>
      </w:r>
      <w:r>
        <w:rPr>
          <w:spacing w:val="-26"/>
        </w:rPr>
        <w:t> </w:t>
      </w:r>
      <w:r>
        <w:rPr/>
        <w:t>Líquido</w:t>
      </w:r>
      <w:r>
        <w:rPr>
          <w:spacing w:val="-25"/>
        </w:rPr>
        <w:t> </w:t>
      </w:r>
      <w:r>
        <w:rPr/>
        <w:t>apurado</w:t>
      </w:r>
      <w:r>
        <w:rPr>
          <w:spacing w:val="-27"/>
        </w:rPr>
        <w:t> </w:t>
      </w:r>
      <w:r>
        <w:rPr/>
        <w:t>a</w:t>
      </w:r>
      <w:r>
        <w:rPr>
          <w:spacing w:val="-27"/>
        </w:rPr>
        <w:t> </w:t>
      </w:r>
      <w:r>
        <w:rPr/>
        <w:t>cada</w:t>
      </w:r>
      <w:r>
        <w:rPr>
          <w:spacing w:val="-27"/>
        </w:rPr>
        <w:t> </w:t>
      </w:r>
      <w:r>
        <w:rPr/>
        <w:t>exercício</w:t>
      </w:r>
      <w:r>
        <w:rPr>
          <w:spacing w:val="-27"/>
        </w:rPr>
        <w:t> </w:t>
      </w:r>
      <w:r>
        <w:rPr/>
        <w:t>nos</w:t>
      </w:r>
      <w:r>
        <w:rPr>
          <w:spacing w:val="-26"/>
        </w:rPr>
        <w:t> </w:t>
      </w:r>
      <w:r>
        <w:rPr/>
        <w:t>termos</w:t>
      </w:r>
      <w:r>
        <w:rPr>
          <w:spacing w:val="-25"/>
        </w:rPr>
        <w:t> </w:t>
      </w:r>
      <w:r>
        <w:rPr/>
        <w:t>do</w:t>
      </w:r>
      <w:r>
        <w:rPr>
          <w:spacing w:val="-28"/>
        </w:rPr>
        <w:t> </w:t>
      </w:r>
      <w:r>
        <w:rPr/>
        <w:t>art.</w:t>
      </w:r>
      <w:r>
        <w:rPr>
          <w:spacing w:val="-28"/>
        </w:rPr>
        <w:t> </w:t>
      </w:r>
      <w:r>
        <w:rPr/>
        <w:t>193</w:t>
      </w:r>
      <w:r>
        <w:rPr>
          <w:spacing w:val="-27"/>
        </w:rPr>
        <w:t> </w:t>
      </w:r>
      <w:r>
        <w:rPr/>
        <w:t>da</w:t>
      </w:r>
      <w:r>
        <w:rPr>
          <w:spacing w:val="-27"/>
        </w:rPr>
        <w:t> </w:t>
      </w:r>
      <w:r>
        <w:rPr/>
        <w:t>Lei nº</w:t>
      </w:r>
      <w:r>
        <w:rPr>
          <w:spacing w:val="-24"/>
        </w:rPr>
        <w:t> </w:t>
      </w:r>
      <w:r>
        <w:rPr/>
        <w:t>6.404/1976,</w:t>
      </w:r>
      <w:r>
        <w:rPr>
          <w:spacing w:val="-22"/>
        </w:rPr>
        <w:t> </w:t>
      </w:r>
      <w:r>
        <w:rPr/>
        <w:t>até</w:t>
      </w:r>
      <w:r>
        <w:rPr>
          <w:spacing w:val="-24"/>
        </w:rPr>
        <w:t> </w:t>
      </w:r>
      <w:r>
        <w:rPr/>
        <w:t>o</w:t>
      </w:r>
      <w:r>
        <w:rPr>
          <w:spacing w:val="-23"/>
        </w:rPr>
        <w:t> </w:t>
      </w:r>
      <w:r>
        <w:rPr/>
        <w:t>limite</w:t>
      </w:r>
      <w:r>
        <w:rPr>
          <w:spacing w:val="-23"/>
        </w:rPr>
        <w:t> </w:t>
      </w:r>
      <w:r>
        <w:rPr/>
        <w:t>de</w:t>
      </w:r>
      <w:r>
        <w:rPr>
          <w:spacing w:val="-25"/>
        </w:rPr>
        <w:t> </w:t>
      </w:r>
      <w:r>
        <w:rPr/>
        <w:t>20%</w:t>
      </w:r>
      <w:r>
        <w:rPr>
          <w:spacing w:val="-22"/>
        </w:rPr>
        <w:t> </w:t>
      </w:r>
      <w:r>
        <w:rPr/>
        <w:t>do</w:t>
      </w:r>
      <w:r>
        <w:rPr>
          <w:spacing w:val="-23"/>
        </w:rPr>
        <w:t> </w:t>
      </w:r>
      <w:r>
        <w:rPr/>
        <w:t>capital</w:t>
      </w:r>
      <w:r>
        <w:rPr>
          <w:spacing w:val="-24"/>
        </w:rPr>
        <w:t> </w:t>
      </w:r>
      <w:r>
        <w:rPr/>
        <w:t>social.</w:t>
      </w:r>
      <w:r>
        <w:rPr>
          <w:spacing w:val="-24"/>
        </w:rPr>
        <w:t> </w:t>
      </w:r>
      <w:r>
        <w:rPr/>
        <w:t>A</w:t>
      </w:r>
      <w:r>
        <w:rPr>
          <w:spacing w:val="-23"/>
        </w:rPr>
        <w:t> </w:t>
      </w:r>
      <w:r>
        <w:rPr/>
        <w:t>destinação</w:t>
      </w:r>
      <w:r>
        <w:rPr>
          <w:spacing w:val="-24"/>
        </w:rPr>
        <w:t> </w:t>
      </w:r>
      <w:r>
        <w:rPr/>
        <w:t>é</w:t>
      </w:r>
      <w:r>
        <w:rPr>
          <w:spacing w:val="-24"/>
        </w:rPr>
        <w:t> </w:t>
      </w:r>
      <w:r>
        <w:rPr/>
        <w:t>facultativa</w:t>
      </w:r>
      <w:r>
        <w:rPr>
          <w:spacing w:val="-24"/>
        </w:rPr>
        <w:t> </w:t>
      </w:r>
      <w:r>
        <w:rPr/>
        <w:t>quando</w:t>
      </w:r>
      <w:r>
        <w:rPr>
          <w:spacing w:val="-24"/>
        </w:rPr>
        <w:t> </w:t>
      </w:r>
      <w:r>
        <w:rPr/>
        <w:t>a</w:t>
      </w:r>
      <w:r>
        <w:rPr>
          <w:spacing w:val="-23"/>
        </w:rPr>
        <w:t> </w:t>
      </w:r>
      <w:r>
        <w:rPr/>
        <w:t>Reserva</w:t>
      </w:r>
      <w:r>
        <w:rPr>
          <w:spacing w:val="-22"/>
        </w:rPr>
        <w:t> </w:t>
      </w:r>
      <w:r>
        <w:rPr/>
        <w:t>Legal,</w:t>
      </w:r>
      <w:r>
        <w:rPr>
          <w:spacing w:val="-24"/>
        </w:rPr>
        <w:t> </w:t>
      </w:r>
      <w:r>
        <w:rPr/>
        <w:t>somada</w:t>
      </w:r>
      <w:r>
        <w:rPr>
          <w:spacing w:val="-24"/>
        </w:rPr>
        <w:t> </w:t>
      </w:r>
      <w:r>
        <w:rPr/>
        <w:t>às Reservas</w:t>
      </w:r>
      <w:r>
        <w:rPr>
          <w:spacing w:val="-37"/>
        </w:rPr>
        <w:t> </w:t>
      </w:r>
      <w:r>
        <w:rPr/>
        <w:t>de</w:t>
      </w:r>
      <w:r>
        <w:rPr>
          <w:spacing w:val="-37"/>
        </w:rPr>
        <w:t> </w:t>
      </w:r>
      <w:r>
        <w:rPr/>
        <w:t>Capital,</w:t>
      </w:r>
      <w:r>
        <w:rPr>
          <w:spacing w:val="-36"/>
        </w:rPr>
        <w:t> </w:t>
      </w:r>
      <w:r>
        <w:rPr/>
        <w:t>excederem</w:t>
      </w:r>
      <w:r>
        <w:rPr>
          <w:spacing w:val="-37"/>
        </w:rPr>
        <w:t> </w:t>
      </w:r>
      <w:r>
        <w:rPr/>
        <w:t>30%</w:t>
      </w:r>
      <w:r>
        <w:rPr>
          <w:spacing w:val="-36"/>
        </w:rPr>
        <w:t> </w:t>
      </w:r>
      <w:r>
        <w:rPr/>
        <w:t>o</w:t>
      </w:r>
      <w:r>
        <w:rPr>
          <w:spacing w:val="-37"/>
        </w:rPr>
        <w:t> </w:t>
      </w:r>
      <w:r>
        <w:rPr/>
        <w:t>Capital</w:t>
      </w:r>
      <w:r>
        <w:rPr>
          <w:spacing w:val="-35"/>
        </w:rPr>
        <w:t> </w:t>
      </w:r>
      <w:r>
        <w:rPr/>
        <w:t>Social.</w:t>
      </w:r>
      <w:r>
        <w:rPr>
          <w:spacing w:val="-37"/>
        </w:rPr>
        <w:t> </w:t>
      </w:r>
      <w:r>
        <w:rPr/>
        <w:t>A</w:t>
      </w:r>
      <w:r>
        <w:rPr>
          <w:spacing w:val="-36"/>
        </w:rPr>
        <w:t> </w:t>
      </w:r>
      <w:r>
        <w:rPr/>
        <w:t>reserva</w:t>
      </w:r>
      <w:r>
        <w:rPr>
          <w:spacing w:val="-36"/>
        </w:rPr>
        <w:t> </w:t>
      </w:r>
      <w:r>
        <w:rPr/>
        <w:t>somente</w:t>
      </w:r>
      <w:r>
        <w:rPr>
          <w:spacing w:val="-37"/>
        </w:rPr>
        <w:t> </w:t>
      </w:r>
      <w:r>
        <w:rPr/>
        <w:t>é</w:t>
      </w:r>
      <w:r>
        <w:rPr>
          <w:spacing w:val="-37"/>
        </w:rPr>
        <w:t> </w:t>
      </w:r>
      <w:r>
        <w:rPr/>
        <w:t>utilizada</w:t>
      </w:r>
      <w:r>
        <w:rPr>
          <w:spacing w:val="-36"/>
        </w:rPr>
        <w:t> </w:t>
      </w:r>
      <w:r>
        <w:rPr/>
        <w:t>para</w:t>
      </w:r>
      <w:r>
        <w:rPr>
          <w:spacing w:val="-35"/>
        </w:rPr>
        <w:t> </w:t>
      </w:r>
      <w:r>
        <w:rPr/>
        <w:t>o</w:t>
      </w:r>
      <w:r>
        <w:rPr>
          <w:spacing w:val="-37"/>
        </w:rPr>
        <w:t> </w:t>
      </w:r>
      <w:r>
        <w:rPr/>
        <w:t>aumento</w:t>
      </w:r>
      <w:r>
        <w:rPr>
          <w:spacing w:val="-36"/>
        </w:rPr>
        <w:t> </w:t>
      </w:r>
      <w:r>
        <w:rPr/>
        <w:t>do</w:t>
      </w:r>
      <w:r>
        <w:rPr>
          <w:spacing w:val="-37"/>
        </w:rPr>
        <w:t> </w:t>
      </w:r>
      <w:r>
        <w:rPr/>
        <w:t>Capital</w:t>
      </w:r>
      <w:r>
        <w:rPr>
          <w:spacing w:val="-36"/>
        </w:rPr>
        <w:t> </w:t>
      </w:r>
      <w:r>
        <w:rPr/>
        <w:t>Social ou</w:t>
      </w:r>
      <w:r>
        <w:rPr>
          <w:spacing w:val="-18"/>
        </w:rPr>
        <w:t> </w:t>
      </w:r>
      <w:r>
        <w:rPr/>
        <w:t>para</w:t>
      </w:r>
      <w:r>
        <w:rPr>
          <w:spacing w:val="-18"/>
        </w:rPr>
        <w:t> </w:t>
      </w:r>
      <w:r>
        <w:rPr/>
        <w:t>absorção</w:t>
      </w:r>
      <w:r>
        <w:rPr>
          <w:spacing w:val="-18"/>
        </w:rPr>
        <w:t> </w:t>
      </w:r>
      <w:r>
        <w:rPr/>
        <w:t>de</w:t>
      </w:r>
      <w:r>
        <w:rPr>
          <w:spacing w:val="-17"/>
        </w:rPr>
        <w:t> </w:t>
      </w:r>
      <w:r>
        <w:rPr/>
        <w:t>prejuízos.</w:t>
      </w:r>
    </w:p>
    <w:p>
      <w:pPr>
        <w:pStyle w:val="BodyText"/>
        <w:spacing w:before="6"/>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R</w:t>
      </w:r>
      <w:r>
        <w:rPr>
          <w:rFonts w:ascii="Caladea" w:hAnsi="Caladea"/>
          <w:b/>
          <w:sz w:val="18"/>
        </w:rPr>
        <w:t>ESULTADO DO </w:t>
      </w:r>
      <w:r>
        <w:rPr>
          <w:rFonts w:ascii="Caladea" w:hAnsi="Caladea"/>
          <w:b/>
          <w:sz w:val="22"/>
        </w:rPr>
        <w:t>E</w:t>
      </w:r>
      <w:r>
        <w:rPr>
          <w:rFonts w:ascii="Caladea" w:hAnsi="Caladea"/>
          <w:b/>
          <w:sz w:val="18"/>
        </w:rPr>
        <w:t>XERCÍCIO</w:t>
      </w:r>
    </w:p>
    <w:p>
      <w:pPr>
        <w:pStyle w:val="BodyText"/>
        <w:spacing w:before="1"/>
        <w:rPr>
          <w:rFonts w:ascii="Caladea"/>
          <w:b/>
          <w:sz w:val="24"/>
        </w:rPr>
      </w:pPr>
    </w:p>
    <w:p>
      <w:pPr>
        <w:pStyle w:val="BodyText"/>
        <w:ind w:left="172"/>
        <w:jc w:val="both"/>
      </w:pPr>
      <w:r>
        <w:rPr/>
        <w:t>A Companhia apurou um Lucro Líquido no exercício de 2019 no montante de R$ 119.045 (R$ 89.972 em 2018).</w:t>
      </w:r>
    </w:p>
    <w:p>
      <w:pPr>
        <w:pStyle w:val="BodyText"/>
        <w:spacing w:before="8"/>
      </w:pPr>
    </w:p>
    <w:p>
      <w:pPr>
        <w:pStyle w:val="Heading5"/>
        <w:ind w:left="172" w:firstLine="0"/>
      </w:pPr>
      <w:r>
        <w:rPr/>
        <w:t>29.4.1. Demonstrativo da Destinação do Resultado de 2019</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590"/>
        <w:gridCol w:w="2326"/>
      </w:tblGrid>
      <w:tr>
        <w:trPr>
          <w:trHeight w:val="282" w:hRule="atLeast"/>
        </w:trPr>
        <w:tc>
          <w:tcPr>
            <w:tcW w:w="7590" w:type="dxa"/>
            <w:shd w:val="clear" w:color="auto" w:fill="D9D9D9"/>
          </w:tcPr>
          <w:p>
            <w:pPr>
              <w:pStyle w:val="TableParagraph"/>
              <w:spacing w:before="58"/>
              <w:ind w:left="72"/>
              <w:rPr>
                <w:rFonts w:ascii="Caladea" w:hAnsi="Caladea"/>
                <w:b/>
                <w:sz w:val="14"/>
              </w:rPr>
            </w:pPr>
            <w:r>
              <w:rPr>
                <w:rFonts w:ascii="Caladea" w:hAnsi="Caladea"/>
                <w:b/>
                <w:sz w:val="14"/>
              </w:rPr>
              <w:t>Distribuição do Lucro do Exercício</w:t>
            </w:r>
          </w:p>
        </w:tc>
        <w:tc>
          <w:tcPr>
            <w:tcW w:w="2326" w:type="dxa"/>
          </w:tcPr>
          <w:p>
            <w:pPr>
              <w:pStyle w:val="TableParagraph"/>
              <w:spacing w:before="58"/>
              <w:ind w:left="977" w:right="966"/>
              <w:jc w:val="center"/>
              <w:rPr>
                <w:rFonts w:ascii="Caladea"/>
                <w:b/>
                <w:sz w:val="14"/>
              </w:rPr>
            </w:pPr>
            <w:r>
              <w:rPr>
                <w:rFonts w:ascii="Caladea"/>
                <w:b/>
                <w:sz w:val="14"/>
              </w:rPr>
              <w:t>2019</w:t>
            </w:r>
          </w:p>
        </w:tc>
      </w:tr>
      <w:tr>
        <w:trPr>
          <w:trHeight w:val="282" w:hRule="atLeast"/>
        </w:trPr>
        <w:tc>
          <w:tcPr>
            <w:tcW w:w="7590" w:type="dxa"/>
          </w:tcPr>
          <w:p>
            <w:pPr>
              <w:pStyle w:val="TableParagraph"/>
              <w:spacing w:before="60"/>
              <w:ind w:left="72"/>
              <w:rPr>
                <w:sz w:val="14"/>
              </w:rPr>
            </w:pPr>
            <w:r>
              <w:rPr>
                <w:sz w:val="14"/>
              </w:rPr>
              <w:t>Lucro do Exercício</w:t>
            </w:r>
          </w:p>
        </w:tc>
        <w:tc>
          <w:tcPr>
            <w:tcW w:w="2326" w:type="dxa"/>
          </w:tcPr>
          <w:p>
            <w:pPr>
              <w:pStyle w:val="TableParagraph"/>
              <w:spacing w:before="60"/>
              <w:ind w:right="59"/>
              <w:jc w:val="right"/>
              <w:rPr>
                <w:sz w:val="14"/>
              </w:rPr>
            </w:pPr>
            <w:r>
              <w:rPr>
                <w:w w:val="95"/>
                <w:sz w:val="14"/>
              </w:rPr>
              <w:t>119.045</w:t>
            </w:r>
          </w:p>
        </w:tc>
      </w:tr>
      <w:tr>
        <w:trPr>
          <w:trHeight w:val="280" w:hRule="atLeast"/>
        </w:trPr>
        <w:tc>
          <w:tcPr>
            <w:tcW w:w="7590" w:type="dxa"/>
          </w:tcPr>
          <w:p>
            <w:pPr>
              <w:pStyle w:val="TableParagraph"/>
              <w:spacing w:before="56"/>
              <w:ind w:left="72"/>
              <w:rPr>
                <w:rFonts w:ascii="Caladea" w:hAnsi="Caladea"/>
                <w:b/>
                <w:sz w:val="14"/>
              </w:rPr>
            </w:pPr>
            <w:r>
              <w:rPr>
                <w:sz w:val="14"/>
              </w:rPr>
              <w:t>Prejuízos Acumulados a Compensar </w:t>
            </w:r>
            <w:r>
              <w:rPr>
                <w:rFonts w:ascii="Caladea" w:hAnsi="Caladea"/>
                <w:b/>
                <w:sz w:val="14"/>
              </w:rPr>
              <w:t>(a)</w:t>
            </w:r>
          </w:p>
        </w:tc>
        <w:tc>
          <w:tcPr>
            <w:tcW w:w="2326" w:type="dxa"/>
          </w:tcPr>
          <w:p>
            <w:pPr>
              <w:pStyle w:val="TableParagraph"/>
              <w:spacing w:before="58"/>
              <w:ind w:right="59"/>
              <w:jc w:val="right"/>
              <w:rPr>
                <w:sz w:val="14"/>
              </w:rPr>
            </w:pPr>
            <w:r>
              <w:rPr>
                <w:sz w:val="14"/>
              </w:rPr>
              <w:t>(1.147)</w:t>
            </w:r>
          </w:p>
        </w:tc>
      </w:tr>
      <w:tr>
        <w:trPr>
          <w:trHeight w:val="282" w:hRule="atLeast"/>
        </w:trPr>
        <w:tc>
          <w:tcPr>
            <w:tcW w:w="7590" w:type="dxa"/>
          </w:tcPr>
          <w:p>
            <w:pPr>
              <w:pStyle w:val="TableParagraph"/>
              <w:spacing w:before="60"/>
              <w:ind w:left="72"/>
              <w:rPr>
                <w:sz w:val="14"/>
              </w:rPr>
            </w:pPr>
            <w:r>
              <w:rPr>
                <w:sz w:val="14"/>
              </w:rPr>
              <w:t>Lucro do Exercício após Compensação de Prejuízo</w:t>
            </w:r>
          </w:p>
        </w:tc>
        <w:tc>
          <w:tcPr>
            <w:tcW w:w="2326" w:type="dxa"/>
          </w:tcPr>
          <w:p>
            <w:pPr>
              <w:pStyle w:val="TableParagraph"/>
              <w:spacing w:before="60"/>
              <w:ind w:right="59"/>
              <w:jc w:val="right"/>
              <w:rPr>
                <w:sz w:val="14"/>
              </w:rPr>
            </w:pPr>
            <w:r>
              <w:rPr>
                <w:w w:val="95"/>
                <w:sz w:val="14"/>
              </w:rPr>
              <w:t>117.898</w:t>
            </w:r>
          </w:p>
        </w:tc>
      </w:tr>
      <w:tr>
        <w:trPr>
          <w:trHeight w:val="282" w:hRule="atLeast"/>
        </w:trPr>
        <w:tc>
          <w:tcPr>
            <w:tcW w:w="7590" w:type="dxa"/>
          </w:tcPr>
          <w:p>
            <w:pPr>
              <w:pStyle w:val="TableParagraph"/>
              <w:spacing w:before="60"/>
              <w:ind w:left="72"/>
              <w:rPr>
                <w:sz w:val="14"/>
              </w:rPr>
            </w:pPr>
            <w:r>
              <w:rPr>
                <w:sz w:val="14"/>
              </w:rPr>
              <w:t>Constituição da Reserva Legal - (5%)</w:t>
            </w:r>
          </w:p>
        </w:tc>
        <w:tc>
          <w:tcPr>
            <w:tcW w:w="2326" w:type="dxa"/>
          </w:tcPr>
          <w:p>
            <w:pPr>
              <w:pStyle w:val="TableParagraph"/>
              <w:spacing w:before="60"/>
              <w:ind w:right="59"/>
              <w:jc w:val="right"/>
              <w:rPr>
                <w:sz w:val="14"/>
              </w:rPr>
            </w:pPr>
            <w:r>
              <w:rPr>
                <w:sz w:val="14"/>
              </w:rPr>
              <w:t>(5.895)</w:t>
            </w:r>
          </w:p>
        </w:tc>
      </w:tr>
      <w:tr>
        <w:trPr>
          <w:trHeight w:val="280" w:hRule="atLeast"/>
        </w:trPr>
        <w:tc>
          <w:tcPr>
            <w:tcW w:w="7590" w:type="dxa"/>
          </w:tcPr>
          <w:p>
            <w:pPr>
              <w:pStyle w:val="TableParagraph"/>
              <w:spacing w:before="58"/>
              <w:ind w:left="72"/>
              <w:rPr>
                <w:sz w:val="14"/>
              </w:rPr>
            </w:pPr>
            <w:r>
              <w:rPr>
                <w:sz w:val="14"/>
              </w:rPr>
              <w:t>Lucro Líquido Ajustado (art. 202 da Lei 6.404/1976)</w:t>
            </w:r>
          </w:p>
        </w:tc>
        <w:tc>
          <w:tcPr>
            <w:tcW w:w="2326" w:type="dxa"/>
          </w:tcPr>
          <w:p>
            <w:pPr>
              <w:pStyle w:val="TableParagraph"/>
              <w:spacing w:before="58"/>
              <w:ind w:right="59"/>
              <w:jc w:val="right"/>
              <w:rPr>
                <w:sz w:val="14"/>
              </w:rPr>
            </w:pPr>
            <w:r>
              <w:rPr>
                <w:w w:val="95"/>
                <w:sz w:val="14"/>
              </w:rPr>
              <w:t>112.003</w:t>
            </w:r>
          </w:p>
        </w:tc>
      </w:tr>
      <w:tr>
        <w:trPr>
          <w:trHeight w:val="282" w:hRule="atLeast"/>
        </w:trPr>
        <w:tc>
          <w:tcPr>
            <w:tcW w:w="7590" w:type="dxa"/>
          </w:tcPr>
          <w:p>
            <w:pPr>
              <w:pStyle w:val="TableParagraph"/>
              <w:spacing w:before="60"/>
              <w:ind w:left="72"/>
              <w:rPr>
                <w:sz w:val="14"/>
              </w:rPr>
            </w:pPr>
            <w:r>
              <w:rPr>
                <w:sz w:val="14"/>
              </w:rPr>
              <w:t>Dividendo Mínimo Obrigatório - (25%)</w:t>
            </w:r>
          </w:p>
        </w:tc>
        <w:tc>
          <w:tcPr>
            <w:tcW w:w="2326" w:type="dxa"/>
          </w:tcPr>
          <w:p>
            <w:pPr>
              <w:pStyle w:val="TableParagraph"/>
              <w:spacing w:before="60"/>
              <w:ind w:right="59"/>
              <w:jc w:val="right"/>
              <w:rPr>
                <w:sz w:val="14"/>
              </w:rPr>
            </w:pPr>
            <w:r>
              <w:rPr>
                <w:w w:val="95"/>
                <w:sz w:val="14"/>
              </w:rPr>
              <w:t>28.001</w:t>
            </w:r>
          </w:p>
        </w:tc>
      </w:tr>
      <w:tr>
        <w:trPr>
          <w:trHeight w:val="282" w:hRule="atLeast"/>
        </w:trPr>
        <w:tc>
          <w:tcPr>
            <w:tcW w:w="7590" w:type="dxa"/>
          </w:tcPr>
          <w:p>
            <w:pPr>
              <w:pStyle w:val="TableParagraph"/>
              <w:spacing w:before="60"/>
              <w:ind w:left="72"/>
              <w:rPr>
                <w:sz w:val="14"/>
              </w:rPr>
            </w:pPr>
            <w:r>
              <w:rPr>
                <w:sz w:val="14"/>
              </w:rPr>
              <w:t>Reserva para Expansão dos Negócios Sociais</w:t>
            </w:r>
          </w:p>
        </w:tc>
        <w:tc>
          <w:tcPr>
            <w:tcW w:w="2326" w:type="dxa"/>
          </w:tcPr>
          <w:p>
            <w:pPr>
              <w:pStyle w:val="TableParagraph"/>
              <w:spacing w:before="60"/>
              <w:ind w:right="59"/>
              <w:jc w:val="right"/>
              <w:rPr>
                <w:sz w:val="14"/>
              </w:rPr>
            </w:pPr>
            <w:r>
              <w:rPr>
                <w:w w:val="95"/>
                <w:sz w:val="14"/>
              </w:rPr>
              <w:t>84.002</w:t>
            </w:r>
          </w:p>
        </w:tc>
      </w:tr>
    </w:tbl>
    <w:p>
      <w:pPr>
        <w:pStyle w:val="BodyText"/>
        <w:spacing w:before="5"/>
        <w:rPr>
          <w:rFonts w:ascii="Caladea"/>
          <w:b/>
        </w:rPr>
      </w:pPr>
    </w:p>
    <w:p>
      <w:pPr>
        <w:pStyle w:val="BodyText"/>
        <w:spacing w:line="242" w:lineRule="auto"/>
        <w:ind w:left="172" w:right="405"/>
        <w:jc w:val="both"/>
      </w:pPr>
      <w:r>
        <w:rPr>
          <w:rFonts w:ascii="Caladea" w:hAnsi="Caladea"/>
          <w:b/>
        </w:rPr>
        <w:t>(a)</w:t>
      </w:r>
      <w:r>
        <w:rPr>
          <w:rFonts w:ascii="Caladea" w:hAnsi="Caladea"/>
          <w:b/>
          <w:spacing w:val="-20"/>
        </w:rPr>
        <w:t> </w:t>
      </w:r>
      <w:r>
        <w:rPr/>
        <w:t>A</w:t>
      </w:r>
      <w:r>
        <w:rPr>
          <w:spacing w:val="-36"/>
        </w:rPr>
        <w:t> </w:t>
      </w:r>
      <w:r>
        <w:rPr/>
        <w:t>Corumbá</w:t>
      </w:r>
      <w:r>
        <w:rPr>
          <w:spacing w:val="-35"/>
        </w:rPr>
        <w:t> </w:t>
      </w:r>
      <w:r>
        <w:rPr/>
        <w:t>Concessões,</w:t>
      </w:r>
      <w:r>
        <w:rPr>
          <w:spacing w:val="-35"/>
        </w:rPr>
        <w:t> </w:t>
      </w:r>
      <w:r>
        <w:rPr/>
        <w:t>durante</w:t>
      </w:r>
      <w:r>
        <w:rPr>
          <w:spacing w:val="-37"/>
        </w:rPr>
        <w:t> </w:t>
      </w:r>
      <w:r>
        <w:rPr/>
        <w:t>o</w:t>
      </w:r>
      <w:r>
        <w:rPr>
          <w:spacing w:val="-35"/>
        </w:rPr>
        <w:t> </w:t>
      </w:r>
      <w:r>
        <w:rPr/>
        <w:t>exercício</w:t>
      </w:r>
      <w:r>
        <w:rPr>
          <w:spacing w:val="-37"/>
        </w:rPr>
        <w:t> </w:t>
      </w:r>
      <w:r>
        <w:rPr/>
        <w:t>de</w:t>
      </w:r>
      <w:r>
        <w:rPr>
          <w:spacing w:val="-36"/>
        </w:rPr>
        <w:t> </w:t>
      </w:r>
      <w:r>
        <w:rPr/>
        <w:t>2019,</w:t>
      </w:r>
      <w:r>
        <w:rPr>
          <w:spacing w:val="-35"/>
        </w:rPr>
        <w:t> </w:t>
      </w:r>
      <w:r>
        <w:rPr/>
        <w:t>foi</w:t>
      </w:r>
      <w:r>
        <w:rPr>
          <w:spacing w:val="-36"/>
        </w:rPr>
        <w:t> </w:t>
      </w:r>
      <w:r>
        <w:rPr/>
        <w:t>efetuando</w:t>
      </w:r>
      <w:r>
        <w:rPr>
          <w:spacing w:val="-36"/>
        </w:rPr>
        <w:t> </w:t>
      </w:r>
      <w:r>
        <w:rPr/>
        <w:t>ajustes</w:t>
      </w:r>
      <w:r>
        <w:rPr>
          <w:spacing w:val="-34"/>
        </w:rPr>
        <w:t> </w:t>
      </w:r>
      <w:r>
        <w:rPr/>
        <w:t>em</w:t>
      </w:r>
      <w:r>
        <w:rPr>
          <w:spacing w:val="-35"/>
        </w:rPr>
        <w:t> </w:t>
      </w:r>
      <w:r>
        <w:rPr/>
        <w:t>cada</w:t>
      </w:r>
      <w:r>
        <w:rPr>
          <w:spacing w:val="-35"/>
        </w:rPr>
        <w:t> </w:t>
      </w:r>
      <w:r>
        <w:rPr/>
        <w:t>uma</w:t>
      </w:r>
      <w:r>
        <w:rPr>
          <w:spacing w:val="-36"/>
        </w:rPr>
        <w:t> </w:t>
      </w:r>
      <w:r>
        <w:rPr/>
        <w:t>das</w:t>
      </w:r>
      <w:r>
        <w:rPr>
          <w:spacing w:val="-36"/>
        </w:rPr>
        <w:t> </w:t>
      </w:r>
      <w:r>
        <w:rPr/>
        <w:t>suas</w:t>
      </w:r>
      <w:r>
        <w:rPr>
          <w:spacing w:val="-36"/>
        </w:rPr>
        <w:t> </w:t>
      </w:r>
      <w:r>
        <w:rPr/>
        <w:t>demonstrações financeiras</w:t>
      </w:r>
      <w:r>
        <w:rPr>
          <w:spacing w:val="-41"/>
        </w:rPr>
        <w:t> </w:t>
      </w:r>
      <w:r>
        <w:rPr/>
        <w:t>trimestrais</w:t>
      </w:r>
      <w:r>
        <w:rPr>
          <w:spacing w:val="-40"/>
        </w:rPr>
        <w:t> </w:t>
      </w:r>
      <w:r>
        <w:rPr/>
        <w:t>e</w:t>
      </w:r>
      <w:r>
        <w:rPr>
          <w:spacing w:val="-40"/>
        </w:rPr>
        <w:t> </w:t>
      </w:r>
      <w:r>
        <w:rPr/>
        <w:t>reapresentando</w:t>
      </w:r>
      <w:r>
        <w:rPr>
          <w:spacing w:val="-41"/>
        </w:rPr>
        <w:t> </w:t>
      </w:r>
      <w:r>
        <w:rPr/>
        <w:t>os</w:t>
      </w:r>
      <w:r>
        <w:rPr>
          <w:spacing w:val="-40"/>
        </w:rPr>
        <w:t> </w:t>
      </w:r>
      <w:r>
        <w:rPr/>
        <w:t>números</w:t>
      </w:r>
      <w:r>
        <w:rPr>
          <w:spacing w:val="-40"/>
        </w:rPr>
        <w:t> </w:t>
      </w:r>
      <w:r>
        <w:rPr/>
        <w:t>comparativos</w:t>
      </w:r>
      <w:r>
        <w:rPr>
          <w:spacing w:val="-40"/>
        </w:rPr>
        <w:t> </w:t>
      </w:r>
      <w:r>
        <w:rPr/>
        <w:t>ao</w:t>
      </w:r>
      <w:r>
        <w:rPr>
          <w:spacing w:val="-41"/>
        </w:rPr>
        <w:t> </w:t>
      </w:r>
      <w:r>
        <w:rPr/>
        <w:t>exercício</w:t>
      </w:r>
      <w:r>
        <w:rPr>
          <w:spacing w:val="-41"/>
        </w:rPr>
        <w:t> </w:t>
      </w:r>
      <w:r>
        <w:rPr/>
        <w:t>corrente.</w:t>
      </w:r>
      <w:r>
        <w:rPr>
          <w:spacing w:val="-40"/>
        </w:rPr>
        <w:t> </w:t>
      </w:r>
      <w:r>
        <w:rPr/>
        <w:t>A</w:t>
      </w:r>
      <w:r>
        <w:rPr>
          <w:spacing w:val="-40"/>
        </w:rPr>
        <w:t> </w:t>
      </w:r>
      <w:r>
        <w:rPr/>
        <w:t>CEB,</w:t>
      </w:r>
      <w:r>
        <w:rPr>
          <w:spacing w:val="-42"/>
        </w:rPr>
        <w:t> </w:t>
      </w:r>
      <w:r>
        <w:rPr/>
        <w:t>com</w:t>
      </w:r>
      <w:r>
        <w:rPr>
          <w:spacing w:val="-41"/>
        </w:rPr>
        <w:t> </w:t>
      </w:r>
      <w:r>
        <w:rPr/>
        <w:t>a</w:t>
      </w:r>
      <w:r>
        <w:rPr>
          <w:spacing w:val="-40"/>
        </w:rPr>
        <w:t> </w:t>
      </w:r>
      <w:r>
        <w:rPr/>
        <w:t>finalidade</w:t>
      </w:r>
      <w:r>
        <w:rPr>
          <w:spacing w:val="-41"/>
        </w:rPr>
        <w:t> </w:t>
      </w:r>
      <w:r>
        <w:rPr/>
        <w:t>de ajustar</w:t>
      </w:r>
      <w:r>
        <w:rPr>
          <w:spacing w:val="-11"/>
        </w:rPr>
        <w:t> </w:t>
      </w:r>
      <w:r>
        <w:rPr/>
        <w:t>a</w:t>
      </w:r>
      <w:r>
        <w:rPr>
          <w:spacing w:val="-10"/>
        </w:rPr>
        <w:t> </w:t>
      </w:r>
      <w:r>
        <w:rPr/>
        <w:t>equivalência</w:t>
      </w:r>
      <w:r>
        <w:rPr>
          <w:spacing w:val="-9"/>
        </w:rPr>
        <w:t> </w:t>
      </w:r>
      <w:r>
        <w:rPr/>
        <w:t>patrimonial,</w:t>
      </w:r>
      <w:r>
        <w:rPr>
          <w:spacing w:val="-9"/>
        </w:rPr>
        <w:t> </w:t>
      </w:r>
      <w:r>
        <w:rPr/>
        <w:t>efetuou</w:t>
      </w:r>
      <w:r>
        <w:rPr>
          <w:spacing w:val="-10"/>
        </w:rPr>
        <w:t> </w:t>
      </w:r>
      <w:r>
        <w:rPr/>
        <w:t>os</w:t>
      </w:r>
      <w:r>
        <w:rPr>
          <w:spacing w:val="-10"/>
        </w:rPr>
        <w:t> </w:t>
      </w:r>
      <w:r>
        <w:rPr/>
        <w:t>lançamentos</w:t>
      </w:r>
      <w:r>
        <w:rPr>
          <w:spacing w:val="-10"/>
        </w:rPr>
        <w:t> </w:t>
      </w:r>
      <w:r>
        <w:rPr/>
        <w:t>contábeis</w:t>
      </w:r>
      <w:r>
        <w:rPr>
          <w:spacing w:val="-10"/>
        </w:rPr>
        <w:t> </w:t>
      </w:r>
      <w:r>
        <w:rPr/>
        <w:t>sobre</w:t>
      </w:r>
      <w:r>
        <w:rPr>
          <w:spacing w:val="-11"/>
        </w:rPr>
        <w:t> </w:t>
      </w:r>
      <w:r>
        <w:rPr/>
        <w:t>os</w:t>
      </w:r>
      <w:r>
        <w:rPr>
          <w:spacing w:val="-8"/>
        </w:rPr>
        <w:t> </w:t>
      </w:r>
      <w:r>
        <w:rPr/>
        <w:t>efeitos</w:t>
      </w:r>
      <w:r>
        <w:rPr>
          <w:spacing w:val="-10"/>
        </w:rPr>
        <w:t> </w:t>
      </w:r>
      <w:r>
        <w:rPr/>
        <w:t>dos</w:t>
      </w:r>
      <w:r>
        <w:rPr>
          <w:spacing w:val="-10"/>
        </w:rPr>
        <w:t> </w:t>
      </w:r>
      <w:r>
        <w:rPr/>
        <w:t>ajustes</w:t>
      </w:r>
      <w:r>
        <w:rPr>
          <w:spacing w:val="-10"/>
        </w:rPr>
        <w:t> </w:t>
      </w:r>
      <w:r>
        <w:rPr/>
        <w:t>de</w:t>
      </w:r>
      <w:r>
        <w:rPr>
          <w:spacing w:val="-10"/>
        </w:rPr>
        <w:t> </w:t>
      </w:r>
      <w:r>
        <w:rPr/>
        <w:t>exercícios anteriores,</w:t>
      </w:r>
      <w:r>
        <w:rPr>
          <w:spacing w:val="-20"/>
        </w:rPr>
        <w:t> </w:t>
      </w:r>
      <w:r>
        <w:rPr/>
        <w:t>contra</w:t>
      </w:r>
      <w:r>
        <w:rPr>
          <w:spacing w:val="-19"/>
        </w:rPr>
        <w:t> </w:t>
      </w:r>
      <w:r>
        <w:rPr/>
        <w:t>a</w:t>
      </w:r>
      <w:r>
        <w:rPr>
          <w:spacing w:val="-16"/>
        </w:rPr>
        <w:t> </w:t>
      </w:r>
      <w:r>
        <w:rPr/>
        <w:t>conta</w:t>
      </w:r>
      <w:r>
        <w:rPr>
          <w:spacing w:val="-17"/>
        </w:rPr>
        <w:t> </w:t>
      </w:r>
      <w:r>
        <w:rPr/>
        <w:t>de</w:t>
      </w:r>
      <w:r>
        <w:rPr>
          <w:spacing w:val="-19"/>
        </w:rPr>
        <w:t> </w:t>
      </w:r>
      <w:r>
        <w:rPr/>
        <w:t>prejuízos</w:t>
      </w:r>
      <w:r>
        <w:rPr>
          <w:spacing w:val="-19"/>
        </w:rPr>
        <w:t> </w:t>
      </w:r>
      <w:r>
        <w:rPr/>
        <w:t>acumulados.</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0" w:lineRule="auto" w:before="12" w:after="0"/>
        <w:ind w:left="953" w:right="0" w:hanging="782"/>
        <w:jc w:val="left"/>
      </w:pPr>
      <w:r>
        <w:rPr/>
        <w:t>DESDOBRAMENTO DAS CONTAS DO</w:t>
      </w:r>
      <w:r>
        <w:rPr>
          <w:spacing w:val="-2"/>
        </w:rPr>
        <w:t> </w:t>
      </w:r>
      <w:r>
        <w:rPr/>
        <w:t>RESULTADO</w:t>
      </w:r>
    </w:p>
    <w:p>
      <w:pPr>
        <w:pStyle w:val="ListParagraph"/>
        <w:numPr>
          <w:ilvl w:val="1"/>
          <w:numId w:val="6"/>
        </w:numPr>
        <w:tabs>
          <w:tab w:pos="1025" w:val="left" w:leader="none"/>
          <w:tab w:pos="1026" w:val="left" w:leader="none"/>
        </w:tabs>
        <w:spacing w:line="240" w:lineRule="auto" w:before="244" w:after="0"/>
        <w:ind w:left="1025" w:right="0" w:hanging="854"/>
        <w:jc w:val="left"/>
        <w:rPr>
          <w:rFonts w:ascii="Caladea" w:hAnsi="Caladea"/>
          <w:b/>
          <w:sz w:val="18"/>
        </w:rPr>
      </w:pPr>
      <w:r>
        <w:rPr>
          <w:rFonts w:ascii="Caladea" w:hAnsi="Caladea"/>
          <w:b/>
          <w:sz w:val="22"/>
        </w:rPr>
        <w:t>R</w:t>
      </w:r>
      <w:r>
        <w:rPr>
          <w:rFonts w:ascii="Caladea" w:hAnsi="Caladea"/>
          <w:b/>
          <w:sz w:val="18"/>
        </w:rPr>
        <w:t>ECEITA </w:t>
      </w:r>
      <w:r>
        <w:rPr>
          <w:rFonts w:ascii="Caladea" w:hAnsi="Caladea"/>
          <w:b/>
          <w:sz w:val="22"/>
        </w:rPr>
        <w:t>O</w:t>
      </w:r>
      <w:r>
        <w:rPr>
          <w:rFonts w:ascii="Caladea" w:hAnsi="Caladea"/>
          <w:b/>
          <w:sz w:val="18"/>
        </w:rPr>
        <w:t>PERACIONAL</w:t>
      </w:r>
      <w:r>
        <w:rPr>
          <w:rFonts w:ascii="Caladea" w:hAnsi="Caladea"/>
          <w:b/>
          <w:spacing w:val="1"/>
          <w:sz w:val="18"/>
        </w:rPr>
        <w:t> </w:t>
      </w:r>
      <w:r>
        <w:rPr>
          <w:rFonts w:ascii="Caladea" w:hAnsi="Caladea"/>
          <w:b/>
          <w:sz w:val="22"/>
        </w:rPr>
        <w:t>L</w:t>
      </w:r>
      <w:r>
        <w:rPr>
          <w:rFonts w:ascii="Caladea" w:hAnsi="Caladea"/>
          <w:b/>
          <w:sz w:val="18"/>
        </w:rPr>
        <w:t>ÍQUIDA</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832"/>
        <w:gridCol w:w="1217"/>
        <w:gridCol w:w="1224"/>
        <w:gridCol w:w="1311"/>
        <w:gridCol w:w="1332"/>
      </w:tblGrid>
      <w:tr>
        <w:trPr>
          <w:trHeight w:val="196" w:hRule="atLeast"/>
        </w:trPr>
        <w:tc>
          <w:tcPr>
            <w:tcW w:w="4832" w:type="dxa"/>
            <w:vMerge w:val="restart"/>
            <w:shd w:val="clear" w:color="auto" w:fill="D9D9D9"/>
          </w:tcPr>
          <w:p>
            <w:pPr>
              <w:pStyle w:val="TableParagraph"/>
              <w:rPr>
                <w:rFonts w:ascii="Times New Roman"/>
                <w:sz w:val="18"/>
              </w:rPr>
            </w:pPr>
          </w:p>
        </w:tc>
        <w:tc>
          <w:tcPr>
            <w:tcW w:w="2441" w:type="dxa"/>
            <w:gridSpan w:val="2"/>
          </w:tcPr>
          <w:p>
            <w:pPr>
              <w:pStyle w:val="TableParagraph"/>
              <w:spacing w:line="161" w:lineRule="exact" w:before="15"/>
              <w:ind w:left="806"/>
              <w:rPr>
                <w:rFonts w:ascii="Caladea"/>
                <w:b/>
                <w:sz w:val="14"/>
              </w:rPr>
            </w:pPr>
            <w:r>
              <w:rPr>
                <w:rFonts w:ascii="Caladea"/>
                <w:b/>
                <w:sz w:val="14"/>
              </w:rPr>
              <w:t>Controladora</w:t>
            </w:r>
          </w:p>
        </w:tc>
        <w:tc>
          <w:tcPr>
            <w:tcW w:w="2643" w:type="dxa"/>
            <w:gridSpan w:val="2"/>
          </w:tcPr>
          <w:p>
            <w:pPr>
              <w:pStyle w:val="TableParagraph"/>
              <w:spacing w:line="161" w:lineRule="exact" w:before="15"/>
              <w:ind w:left="917" w:right="878"/>
              <w:jc w:val="center"/>
              <w:rPr>
                <w:rFonts w:ascii="Caladea"/>
                <w:b/>
                <w:sz w:val="14"/>
              </w:rPr>
            </w:pPr>
            <w:r>
              <w:rPr>
                <w:rFonts w:ascii="Caladea"/>
                <w:b/>
                <w:sz w:val="14"/>
              </w:rPr>
              <w:t>Consolidado</w:t>
            </w:r>
          </w:p>
        </w:tc>
      </w:tr>
      <w:tr>
        <w:trPr>
          <w:trHeight w:val="438" w:hRule="atLeast"/>
        </w:trPr>
        <w:tc>
          <w:tcPr>
            <w:tcW w:w="4832" w:type="dxa"/>
            <w:vMerge/>
            <w:tcBorders>
              <w:top w:val="nil"/>
            </w:tcBorders>
            <w:shd w:val="clear" w:color="auto" w:fill="D9D9D9"/>
          </w:tcPr>
          <w:p>
            <w:pPr>
              <w:rPr>
                <w:sz w:val="2"/>
                <w:szCs w:val="2"/>
              </w:rPr>
            </w:pPr>
          </w:p>
        </w:tc>
        <w:tc>
          <w:tcPr>
            <w:tcW w:w="1217" w:type="dxa"/>
          </w:tcPr>
          <w:p>
            <w:pPr>
              <w:pStyle w:val="TableParagraph"/>
              <w:spacing w:before="135"/>
              <w:ind w:left="208"/>
              <w:rPr>
                <w:rFonts w:ascii="Caladea"/>
                <w:b/>
                <w:sz w:val="14"/>
              </w:rPr>
            </w:pPr>
            <w:r>
              <w:rPr>
                <w:rFonts w:ascii="Caladea"/>
                <w:b/>
                <w:sz w:val="14"/>
              </w:rPr>
              <w:t>31/12/2019</w:t>
            </w:r>
          </w:p>
        </w:tc>
        <w:tc>
          <w:tcPr>
            <w:tcW w:w="1224" w:type="dxa"/>
          </w:tcPr>
          <w:p>
            <w:pPr>
              <w:pStyle w:val="TableParagraph"/>
              <w:spacing w:before="135"/>
              <w:ind w:left="211"/>
              <w:rPr>
                <w:rFonts w:ascii="Caladea"/>
                <w:b/>
                <w:sz w:val="14"/>
              </w:rPr>
            </w:pPr>
            <w:r>
              <w:rPr>
                <w:rFonts w:ascii="Caladea"/>
                <w:b/>
                <w:sz w:val="14"/>
              </w:rPr>
              <w:t>31/12/2018</w:t>
            </w:r>
          </w:p>
        </w:tc>
        <w:tc>
          <w:tcPr>
            <w:tcW w:w="1311" w:type="dxa"/>
          </w:tcPr>
          <w:p>
            <w:pPr>
              <w:pStyle w:val="TableParagraph"/>
              <w:spacing w:before="135"/>
              <w:ind w:left="252"/>
              <w:rPr>
                <w:rFonts w:ascii="Caladea"/>
                <w:b/>
                <w:sz w:val="14"/>
              </w:rPr>
            </w:pPr>
            <w:r>
              <w:rPr>
                <w:rFonts w:ascii="Caladea"/>
                <w:b/>
                <w:sz w:val="14"/>
              </w:rPr>
              <w:t>31/12/2019</w:t>
            </w:r>
          </w:p>
        </w:tc>
        <w:tc>
          <w:tcPr>
            <w:tcW w:w="1332" w:type="dxa"/>
          </w:tcPr>
          <w:p>
            <w:pPr>
              <w:pStyle w:val="TableParagraph"/>
              <w:spacing w:before="135"/>
              <w:ind w:left="264"/>
              <w:rPr>
                <w:rFonts w:ascii="Caladea"/>
                <w:b/>
                <w:sz w:val="14"/>
              </w:rPr>
            </w:pPr>
            <w:r>
              <w:rPr>
                <w:rFonts w:ascii="Caladea"/>
                <w:b/>
                <w:sz w:val="14"/>
              </w:rPr>
              <w:t>31/12/2018</w:t>
            </w:r>
          </w:p>
        </w:tc>
      </w:tr>
      <w:tr>
        <w:trPr>
          <w:trHeight w:val="193" w:hRule="atLeast"/>
        </w:trPr>
        <w:tc>
          <w:tcPr>
            <w:tcW w:w="4832" w:type="dxa"/>
          </w:tcPr>
          <w:p>
            <w:pPr>
              <w:pStyle w:val="TableParagraph"/>
              <w:spacing w:line="159" w:lineRule="exact" w:before="14"/>
              <w:ind w:left="103"/>
              <w:rPr>
                <w:sz w:val="14"/>
              </w:rPr>
            </w:pPr>
            <w:r>
              <w:rPr>
                <w:sz w:val="14"/>
              </w:rPr>
              <w:t>Fornecimento de Energia Elétrica</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7"/>
              <w:jc w:val="right"/>
              <w:rPr>
                <w:sz w:val="14"/>
              </w:rPr>
            </w:pPr>
            <w:r>
              <w:rPr>
                <w:w w:val="95"/>
                <w:sz w:val="14"/>
              </w:rPr>
              <w:t>3.964.515</w:t>
            </w:r>
          </w:p>
        </w:tc>
        <w:tc>
          <w:tcPr>
            <w:tcW w:w="1332" w:type="dxa"/>
          </w:tcPr>
          <w:p>
            <w:pPr>
              <w:pStyle w:val="TableParagraph"/>
              <w:spacing w:line="159" w:lineRule="exact" w:before="14"/>
              <w:ind w:right="56"/>
              <w:jc w:val="right"/>
              <w:rPr>
                <w:sz w:val="14"/>
              </w:rPr>
            </w:pPr>
            <w:r>
              <w:rPr>
                <w:w w:val="95"/>
                <w:sz w:val="14"/>
              </w:rPr>
              <w:t>3.622.738</w:t>
            </w:r>
          </w:p>
        </w:tc>
      </w:tr>
      <w:tr>
        <w:trPr>
          <w:trHeight w:val="193" w:hRule="atLeast"/>
        </w:trPr>
        <w:tc>
          <w:tcPr>
            <w:tcW w:w="4832" w:type="dxa"/>
          </w:tcPr>
          <w:p>
            <w:pPr>
              <w:pStyle w:val="TableParagraph"/>
              <w:spacing w:line="159" w:lineRule="exact" w:before="14"/>
              <w:ind w:left="103"/>
              <w:rPr>
                <w:sz w:val="14"/>
              </w:rPr>
            </w:pPr>
            <w:r>
              <w:rPr>
                <w:sz w:val="14"/>
              </w:rPr>
              <w:t>Energia de Curto Prazo</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7"/>
              <w:jc w:val="right"/>
              <w:rPr>
                <w:sz w:val="14"/>
              </w:rPr>
            </w:pPr>
            <w:r>
              <w:rPr>
                <w:sz w:val="14"/>
              </w:rPr>
              <w:t>386.950</w:t>
            </w:r>
          </w:p>
        </w:tc>
        <w:tc>
          <w:tcPr>
            <w:tcW w:w="1332" w:type="dxa"/>
          </w:tcPr>
          <w:p>
            <w:pPr>
              <w:pStyle w:val="TableParagraph"/>
              <w:spacing w:line="159" w:lineRule="exact" w:before="14"/>
              <w:ind w:right="57"/>
              <w:jc w:val="right"/>
              <w:rPr>
                <w:sz w:val="14"/>
              </w:rPr>
            </w:pPr>
            <w:r>
              <w:rPr>
                <w:w w:val="95"/>
                <w:sz w:val="14"/>
              </w:rPr>
              <w:t>195.879</w:t>
            </w:r>
          </w:p>
        </w:tc>
      </w:tr>
      <w:tr>
        <w:trPr>
          <w:trHeight w:val="194" w:hRule="atLeast"/>
        </w:trPr>
        <w:tc>
          <w:tcPr>
            <w:tcW w:w="4832" w:type="dxa"/>
          </w:tcPr>
          <w:p>
            <w:pPr>
              <w:pStyle w:val="TableParagraph"/>
              <w:spacing w:line="159" w:lineRule="exact" w:before="14"/>
              <w:ind w:left="103"/>
              <w:rPr>
                <w:sz w:val="14"/>
              </w:rPr>
            </w:pPr>
            <w:r>
              <w:rPr>
                <w:sz w:val="14"/>
              </w:rPr>
              <w:t>Recursos de Parcela A e Outros Itens Financeiros</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9"/>
              <w:jc w:val="right"/>
              <w:rPr>
                <w:sz w:val="14"/>
              </w:rPr>
            </w:pPr>
            <w:r>
              <w:rPr>
                <w:sz w:val="14"/>
              </w:rPr>
              <w:t>(230.218)</w:t>
            </w:r>
          </w:p>
        </w:tc>
        <w:tc>
          <w:tcPr>
            <w:tcW w:w="1332" w:type="dxa"/>
          </w:tcPr>
          <w:p>
            <w:pPr>
              <w:pStyle w:val="TableParagraph"/>
              <w:spacing w:line="159" w:lineRule="exact" w:before="14"/>
              <w:ind w:right="59"/>
              <w:jc w:val="right"/>
              <w:rPr>
                <w:sz w:val="14"/>
              </w:rPr>
            </w:pPr>
            <w:r>
              <w:rPr>
                <w:sz w:val="14"/>
              </w:rPr>
              <w:t>(94.548)</w:t>
            </w:r>
          </w:p>
        </w:tc>
      </w:tr>
      <w:tr>
        <w:trPr>
          <w:trHeight w:val="193" w:hRule="atLeast"/>
        </w:trPr>
        <w:tc>
          <w:tcPr>
            <w:tcW w:w="4832" w:type="dxa"/>
          </w:tcPr>
          <w:p>
            <w:pPr>
              <w:pStyle w:val="TableParagraph"/>
              <w:spacing w:line="159" w:lineRule="exact" w:before="14"/>
              <w:ind w:left="103"/>
              <w:rPr>
                <w:sz w:val="14"/>
              </w:rPr>
            </w:pPr>
            <w:r>
              <w:rPr>
                <w:sz w:val="14"/>
              </w:rPr>
              <w:t>Receita de Construção</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6"/>
              <w:jc w:val="right"/>
              <w:rPr>
                <w:sz w:val="14"/>
              </w:rPr>
            </w:pPr>
            <w:r>
              <w:rPr>
                <w:w w:val="95"/>
                <w:sz w:val="14"/>
              </w:rPr>
              <w:t>39.330</w:t>
            </w:r>
          </w:p>
        </w:tc>
        <w:tc>
          <w:tcPr>
            <w:tcW w:w="1332" w:type="dxa"/>
          </w:tcPr>
          <w:p>
            <w:pPr>
              <w:pStyle w:val="TableParagraph"/>
              <w:spacing w:line="159" w:lineRule="exact" w:before="14"/>
              <w:ind w:right="57"/>
              <w:jc w:val="right"/>
              <w:rPr>
                <w:sz w:val="14"/>
              </w:rPr>
            </w:pPr>
            <w:r>
              <w:rPr>
                <w:w w:val="95"/>
                <w:sz w:val="14"/>
              </w:rPr>
              <w:t>83.846</w:t>
            </w:r>
          </w:p>
        </w:tc>
      </w:tr>
      <w:tr>
        <w:trPr>
          <w:trHeight w:val="194" w:hRule="atLeast"/>
        </w:trPr>
        <w:tc>
          <w:tcPr>
            <w:tcW w:w="4832" w:type="dxa"/>
          </w:tcPr>
          <w:p>
            <w:pPr>
              <w:pStyle w:val="TableParagraph"/>
              <w:spacing w:line="159" w:lineRule="exact" w:before="14"/>
              <w:ind w:left="103"/>
              <w:rPr>
                <w:sz w:val="14"/>
              </w:rPr>
            </w:pPr>
            <w:r>
              <w:rPr>
                <w:sz w:val="14"/>
              </w:rPr>
              <w:t>Aporte de Recursos da CDE</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6"/>
              <w:jc w:val="right"/>
              <w:rPr>
                <w:sz w:val="14"/>
              </w:rPr>
            </w:pPr>
            <w:r>
              <w:rPr>
                <w:w w:val="95"/>
                <w:sz w:val="14"/>
              </w:rPr>
              <w:t>49.828</w:t>
            </w:r>
          </w:p>
        </w:tc>
        <w:tc>
          <w:tcPr>
            <w:tcW w:w="1332" w:type="dxa"/>
          </w:tcPr>
          <w:p>
            <w:pPr>
              <w:pStyle w:val="TableParagraph"/>
              <w:spacing w:line="159" w:lineRule="exact" w:before="14"/>
              <w:ind w:right="56"/>
              <w:jc w:val="right"/>
              <w:rPr>
                <w:sz w:val="14"/>
              </w:rPr>
            </w:pPr>
            <w:r>
              <w:rPr>
                <w:w w:val="95"/>
                <w:sz w:val="14"/>
              </w:rPr>
              <w:t>90.542</w:t>
            </w:r>
          </w:p>
        </w:tc>
      </w:tr>
      <w:tr>
        <w:trPr>
          <w:trHeight w:val="193" w:hRule="atLeast"/>
        </w:trPr>
        <w:tc>
          <w:tcPr>
            <w:tcW w:w="4832" w:type="dxa"/>
          </w:tcPr>
          <w:p>
            <w:pPr>
              <w:pStyle w:val="TableParagraph"/>
              <w:spacing w:line="159" w:lineRule="exact" w:before="14"/>
              <w:ind w:left="103"/>
              <w:rPr>
                <w:sz w:val="14"/>
              </w:rPr>
            </w:pPr>
            <w:r>
              <w:rPr>
                <w:sz w:val="14"/>
              </w:rPr>
              <w:t>Receita de Prestação de Serviços</w:t>
            </w:r>
          </w:p>
        </w:tc>
        <w:tc>
          <w:tcPr>
            <w:tcW w:w="1217" w:type="dxa"/>
          </w:tcPr>
          <w:p>
            <w:pPr>
              <w:pStyle w:val="TableParagraph"/>
              <w:spacing w:line="159" w:lineRule="exact" w:before="14"/>
              <w:ind w:right="56"/>
              <w:jc w:val="right"/>
              <w:rPr>
                <w:sz w:val="14"/>
              </w:rPr>
            </w:pPr>
            <w:r>
              <w:rPr>
                <w:w w:val="95"/>
                <w:sz w:val="14"/>
              </w:rPr>
              <w:t>67.939</w:t>
            </w:r>
          </w:p>
        </w:tc>
        <w:tc>
          <w:tcPr>
            <w:tcW w:w="1224" w:type="dxa"/>
          </w:tcPr>
          <w:p>
            <w:pPr>
              <w:pStyle w:val="TableParagraph"/>
              <w:spacing w:line="159" w:lineRule="exact" w:before="14"/>
              <w:ind w:right="59"/>
              <w:jc w:val="right"/>
              <w:rPr>
                <w:sz w:val="14"/>
              </w:rPr>
            </w:pPr>
            <w:r>
              <w:rPr>
                <w:w w:val="95"/>
                <w:sz w:val="14"/>
              </w:rPr>
              <w:t>82.124</w:t>
            </w:r>
          </w:p>
        </w:tc>
        <w:tc>
          <w:tcPr>
            <w:tcW w:w="1311" w:type="dxa"/>
          </w:tcPr>
          <w:p>
            <w:pPr>
              <w:pStyle w:val="TableParagraph"/>
              <w:spacing w:line="159" w:lineRule="exact" w:before="14"/>
              <w:ind w:right="56"/>
              <w:jc w:val="right"/>
              <w:rPr>
                <w:sz w:val="14"/>
              </w:rPr>
            </w:pPr>
            <w:r>
              <w:rPr>
                <w:w w:val="95"/>
                <w:sz w:val="14"/>
              </w:rPr>
              <w:t>69.769</w:t>
            </w:r>
          </w:p>
        </w:tc>
        <w:tc>
          <w:tcPr>
            <w:tcW w:w="1332" w:type="dxa"/>
          </w:tcPr>
          <w:p>
            <w:pPr>
              <w:pStyle w:val="TableParagraph"/>
              <w:spacing w:line="159" w:lineRule="exact" w:before="14"/>
              <w:ind w:right="56"/>
              <w:jc w:val="right"/>
              <w:rPr>
                <w:sz w:val="14"/>
              </w:rPr>
            </w:pPr>
            <w:r>
              <w:rPr>
                <w:w w:val="95"/>
                <w:sz w:val="14"/>
              </w:rPr>
              <w:t>83.937</w:t>
            </w:r>
          </w:p>
        </w:tc>
      </w:tr>
      <w:tr>
        <w:trPr>
          <w:trHeight w:val="193" w:hRule="atLeast"/>
        </w:trPr>
        <w:tc>
          <w:tcPr>
            <w:tcW w:w="4832" w:type="dxa"/>
          </w:tcPr>
          <w:p>
            <w:pPr>
              <w:pStyle w:val="TableParagraph"/>
              <w:spacing w:line="159" w:lineRule="exact" w:before="14"/>
              <w:ind w:left="103"/>
              <w:rPr>
                <w:sz w:val="14"/>
              </w:rPr>
            </w:pPr>
            <w:r>
              <w:rPr>
                <w:sz w:val="14"/>
              </w:rPr>
              <w:t>Suprimento de Energia</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6"/>
              <w:jc w:val="right"/>
              <w:rPr>
                <w:sz w:val="14"/>
              </w:rPr>
            </w:pPr>
            <w:r>
              <w:rPr>
                <w:w w:val="95"/>
                <w:sz w:val="14"/>
              </w:rPr>
              <w:t>22.598</w:t>
            </w:r>
          </w:p>
        </w:tc>
        <w:tc>
          <w:tcPr>
            <w:tcW w:w="1332" w:type="dxa"/>
          </w:tcPr>
          <w:p>
            <w:pPr>
              <w:pStyle w:val="TableParagraph"/>
              <w:spacing w:line="159" w:lineRule="exact" w:before="14"/>
              <w:ind w:right="56"/>
              <w:jc w:val="right"/>
              <w:rPr>
                <w:sz w:val="14"/>
              </w:rPr>
            </w:pPr>
            <w:r>
              <w:rPr>
                <w:w w:val="95"/>
                <w:sz w:val="14"/>
              </w:rPr>
              <w:t>35.632</w:t>
            </w:r>
          </w:p>
        </w:tc>
      </w:tr>
      <w:tr>
        <w:trPr>
          <w:trHeight w:val="194" w:hRule="atLeast"/>
        </w:trPr>
        <w:tc>
          <w:tcPr>
            <w:tcW w:w="4832" w:type="dxa"/>
          </w:tcPr>
          <w:p>
            <w:pPr>
              <w:pStyle w:val="TableParagraph"/>
              <w:spacing w:line="159" w:lineRule="exact" w:before="14"/>
              <w:ind w:left="103"/>
              <w:rPr>
                <w:sz w:val="14"/>
              </w:rPr>
            </w:pPr>
            <w:r>
              <w:rPr>
                <w:sz w:val="14"/>
              </w:rPr>
              <w:t>Disponibilidade do Sistema de Distribuição</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6"/>
              <w:jc w:val="right"/>
              <w:rPr>
                <w:sz w:val="14"/>
              </w:rPr>
            </w:pPr>
            <w:r>
              <w:rPr>
                <w:w w:val="95"/>
                <w:sz w:val="14"/>
              </w:rPr>
              <w:t>51.477</w:t>
            </w:r>
          </w:p>
        </w:tc>
        <w:tc>
          <w:tcPr>
            <w:tcW w:w="1332" w:type="dxa"/>
          </w:tcPr>
          <w:p>
            <w:pPr>
              <w:pStyle w:val="TableParagraph"/>
              <w:spacing w:line="159" w:lineRule="exact" w:before="14"/>
              <w:ind w:right="56"/>
              <w:jc w:val="right"/>
              <w:rPr>
                <w:sz w:val="14"/>
              </w:rPr>
            </w:pPr>
            <w:r>
              <w:rPr>
                <w:w w:val="95"/>
                <w:sz w:val="14"/>
              </w:rPr>
              <w:t>28.667</w:t>
            </w:r>
          </w:p>
        </w:tc>
      </w:tr>
      <w:tr>
        <w:trPr>
          <w:trHeight w:val="193" w:hRule="atLeast"/>
        </w:trPr>
        <w:tc>
          <w:tcPr>
            <w:tcW w:w="4832" w:type="dxa"/>
          </w:tcPr>
          <w:p>
            <w:pPr>
              <w:pStyle w:val="TableParagraph"/>
              <w:spacing w:line="159" w:lineRule="exact" w:before="14"/>
              <w:ind w:left="103"/>
              <w:rPr>
                <w:sz w:val="14"/>
              </w:rPr>
            </w:pPr>
            <w:r>
              <w:rPr>
                <w:sz w:val="14"/>
              </w:rPr>
              <w:t>Arrendamento e Aluguéis</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6"/>
              <w:jc w:val="right"/>
              <w:rPr>
                <w:sz w:val="14"/>
              </w:rPr>
            </w:pPr>
            <w:r>
              <w:rPr>
                <w:w w:val="95"/>
                <w:sz w:val="14"/>
              </w:rPr>
              <w:t>33.273</w:t>
            </w:r>
          </w:p>
        </w:tc>
        <w:tc>
          <w:tcPr>
            <w:tcW w:w="1332" w:type="dxa"/>
          </w:tcPr>
          <w:p>
            <w:pPr>
              <w:pStyle w:val="TableParagraph"/>
              <w:spacing w:line="159" w:lineRule="exact" w:before="14"/>
              <w:ind w:right="56"/>
              <w:jc w:val="right"/>
              <w:rPr>
                <w:sz w:val="14"/>
              </w:rPr>
            </w:pPr>
            <w:r>
              <w:rPr>
                <w:w w:val="95"/>
                <w:sz w:val="14"/>
              </w:rPr>
              <w:t>31.900</w:t>
            </w:r>
          </w:p>
        </w:tc>
      </w:tr>
      <w:tr>
        <w:trPr>
          <w:trHeight w:val="194" w:hRule="atLeast"/>
        </w:trPr>
        <w:tc>
          <w:tcPr>
            <w:tcW w:w="4832" w:type="dxa"/>
          </w:tcPr>
          <w:p>
            <w:pPr>
              <w:pStyle w:val="TableParagraph"/>
              <w:spacing w:line="159" w:lineRule="exact" w:before="14"/>
              <w:ind w:left="103"/>
              <w:rPr>
                <w:sz w:val="14"/>
              </w:rPr>
            </w:pPr>
            <w:r>
              <w:rPr>
                <w:sz w:val="14"/>
              </w:rPr>
              <w:t>Receita de Venda de Gás</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4"/>
              <w:ind w:right="57"/>
              <w:jc w:val="right"/>
              <w:rPr>
                <w:sz w:val="14"/>
              </w:rPr>
            </w:pPr>
            <w:r>
              <w:rPr>
                <w:w w:val="95"/>
                <w:sz w:val="14"/>
              </w:rPr>
              <w:t>6.932</w:t>
            </w:r>
          </w:p>
        </w:tc>
        <w:tc>
          <w:tcPr>
            <w:tcW w:w="1332" w:type="dxa"/>
          </w:tcPr>
          <w:p>
            <w:pPr>
              <w:pStyle w:val="TableParagraph"/>
              <w:spacing w:line="159" w:lineRule="exact" w:before="14"/>
              <w:ind w:right="57"/>
              <w:jc w:val="right"/>
              <w:rPr>
                <w:sz w:val="14"/>
              </w:rPr>
            </w:pPr>
            <w:r>
              <w:rPr>
                <w:w w:val="95"/>
                <w:sz w:val="14"/>
              </w:rPr>
              <w:t>5.242</w:t>
            </w:r>
          </w:p>
        </w:tc>
      </w:tr>
      <w:tr>
        <w:trPr>
          <w:trHeight w:val="194" w:hRule="atLeast"/>
        </w:trPr>
        <w:tc>
          <w:tcPr>
            <w:tcW w:w="4832" w:type="dxa"/>
          </w:tcPr>
          <w:p>
            <w:pPr>
              <w:pStyle w:val="TableParagraph"/>
              <w:spacing w:line="159" w:lineRule="exact" w:before="15"/>
              <w:ind w:left="103"/>
              <w:rPr>
                <w:sz w:val="14"/>
              </w:rPr>
            </w:pPr>
            <w:r>
              <w:rPr>
                <w:sz w:val="14"/>
              </w:rPr>
              <w:t>Outras Receitas</w:t>
            </w:r>
          </w:p>
        </w:tc>
        <w:tc>
          <w:tcPr>
            <w:tcW w:w="1217" w:type="dxa"/>
          </w:tcPr>
          <w:p>
            <w:pPr>
              <w:pStyle w:val="TableParagraph"/>
              <w:rPr>
                <w:rFonts w:ascii="Times New Roman"/>
                <w:sz w:val="12"/>
              </w:rPr>
            </w:pPr>
          </w:p>
        </w:tc>
        <w:tc>
          <w:tcPr>
            <w:tcW w:w="1224" w:type="dxa"/>
          </w:tcPr>
          <w:p>
            <w:pPr>
              <w:pStyle w:val="TableParagraph"/>
              <w:rPr>
                <w:rFonts w:ascii="Times New Roman"/>
                <w:sz w:val="12"/>
              </w:rPr>
            </w:pPr>
          </w:p>
        </w:tc>
        <w:tc>
          <w:tcPr>
            <w:tcW w:w="1311" w:type="dxa"/>
          </w:tcPr>
          <w:p>
            <w:pPr>
              <w:pStyle w:val="TableParagraph"/>
              <w:spacing w:line="159" w:lineRule="exact" w:before="15"/>
              <w:ind w:right="57"/>
              <w:jc w:val="right"/>
              <w:rPr>
                <w:sz w:val="14"/>
              </w:rPr>
            </w:pPr>
            <w:r>
              <w:rPr>
                <w:w w:val="95"/>
                <w:sz w:val="14"/>
              </w:rPr>
              <w:t>9.877</w:t>
            </w:r>
          </w:p>
        </w:tc>
        <w:tc>
          <w:tcPr>
            <w:tcW w:w="1332" w:type="dxa"/>
          </w:tcPr>
          <w:p>
            <w:pPr>
              <w:pStyle w:val="TableParagraph"/>
              <w:spacing w:line="159" w:lineRule="exact" w:before="15"/>
              <w:ind w:right="57"/>
              <w:jc w:val="right"/>
              <w:rPr>
                <w:sz w:val="14"/>
              </w:rPr>
            </w:pPr>
            <w:r>
              <w:rPr>
                <w:w w:val="95"/>
                <w:sz w:val="14"/>
              </w:rPr>
              <w:t>2.377</w:t>
            </w:r>
          </w:p>
        </w:tc>
      </w:tr>
      <w:tr>
        <w:trPr>
          <w:trHeight w:val="193" w:hRule="atLeast"/>
        </w:trPr>
        <w:tc>
          <w:tcPr>
            <w:tcW w:w="4832" w:type="dxa"/>
          </w:tcPr>
          <w:p>
            <w:pPr>
              <w:pStyle w:val="TableParagraph"/>
              <w:spacing w:line="161" w:lineRule="exact" w:before="13"/>
              <w:ind w:left="103"/>
              <w:rPr>
                <w:rFonts w:ascii="Caladea"/>
                <w:b/>
                <w:sz w:val="14"/>
              </w:rPr>
            </w:pPr>
            <w:r>
              <w:rPr>
                <w:rFonts w:ascii="Caladea"/>
                <w:b/>
                <w:sz w:val="14"/>
              </w:rPr>
              <w:t>Receita Operacional Bruta</w:t>
            </w:r>
          </w:p>
        </w:tc>
        <w:tc>
          <w:tcPr>
            <w:tcW w:w="1217" w:type="dxa"/>
          </w:tcPr>
          <w:p>
            <w:pPr>
              <w:pStyle w:val="TableParagraph"/>
              <w:spacing w:line="161" w:lineRule="exact" w:before="13"/>
              <w:ind w:right="57"/>
              <w:jc w:val="right"/>
              <w:rPr>
                <w:rFonts w:ascii="Caladea"/>
                <w:b/>
                <w:sz w:val="14"/>
              </w:rPr>
            </w:pPr>
            <w:r>
              <w:rPr>
                <w:rFonts w:ascii="Caladea"/>
                <w:b/>
                <w:sz w:val="14"/>
              </w:rPr>
              <w:t>67.939</w:t>
            </w:r>
          </w:p>
        </w:tc>
        <w:tc>
          <w:tcPr>
            <w:tcW w:w="1224" w:type="dxa"/>
          </w:tcPr>
          <w:p>
            <w:pPr>
              <w:pStyle w:val="TableParagraph"/>
              <w:spacing w:line="161" w:lineRule="exact" w:before="13"/>
              <w:ind w:right="59"/>
              <w:jc w:val="right"/>
              <w:rPr>
                <w:rFonts w:ascii="Caladea"/>
                <w:b/>
                <w:sz w:val="14"/>
              </w:rPr>
            </w:pPr>
            <w:r>
              <w:rPr>
                <w:rFonts w:ascii="Caladea"/>
                <w:b/>
                <w:sz w:val="14"/>
              </w:rPr>
              <w:t>82.124</w:t>
            </w:r>
          </w:p>
        </w:tc>
        <w:tc>
          <w:tcPr>
            <w:tcW w:w="1311" w:type="dxa"/>
          </w:tcPr>
          <w:p>
            <w:pPr>
              <w:pStyle w:val="TableParagraph"/>
              <w:spacing w:line="161" w:lineRule="exact" w:before="13"/>
              <w:ind w:right="59"/>
              <w:jc w:val="right"/>
              <w:rPr>
                <w:rFonts w:ascii="Caladea"/>
                <w:b/>
                <w:sz w:val="14"/>
              </w:rPr>
            </w:pPr>
            <w:r>
              <w:rPr>
                <w:rFonts w:ascii="Caladea"/>
                <w:b/>
                <w:w w:val="95"/>
                <w:sz w:val="14"/>
              </w:rPr>
              <w:t>4.404.331</w:t>
            </w:r>
          </w:p>
        </w:tc>
        <w:tc>
          <w:tcPr>
            <w:tcW w:w="1332" w:type="dxa"/>
          </w:tcPr>
          <w:p>
            <w:pPr>
              <w:pStyle w:val="TableParagraph"/>
              <w:spacing w:line="161" w:lineRule="exact" w:before="13"/>
              <w:ind w:right="57"/>
              <w:jc w:val="right"/>
              <w:rPr>
                <w:rFonts w:ascii="Caladea"/>
                <w:b/>
                <w:sz w:val="14"/>
              </w:rPr>
            </w:pPr>
            <w:r>
              <w:rPr>
                <w:rFonts w:ascii="Caladea"/>
                <w:b/>
                <w:w w:val="95"/>
                <w:sz w:val="14"/>
              </w:rPr>
              <w:t>4.086.212</w:t>
            </w:r>
          </w:p>
        </w:tc>
      </w:tr>
      <w:tr>
        <w:trPr>
          <w:trHeight w:val="194" w:hRule="atLeast"/>
        </w:trPr>
        <w:tc>
          <w:tcPr>
            <w:tcW w:w="4832" w:type="dxa"/>
          </w:tcPr>
          <w:p>
            <w:pPr>
              <w:pStyle w:val="TableParagraph"/>
              <w:spacing w:line="159" w:lineRule="exact" w:before="14"/>
              <w:ind w:left="103"/>
              <w:rPr>
                <w:sz w:val="14"/>
              </w:rPr>
            </w:pPr>
            <w:r>
              <w:rPr>
                <w:sz w:val="14"/>
              </w:rPr>
              <w:t>Impostos</w:t>
            </w:r>
          </w:p>
        </w:tc>
        <w:tc>
          <w:tcPr>
            <w:tcW w:w="1217" w:type="dxa"/>
          </w:tcPr>
          <w:p>
            <w:pPr>
              <w:pStyle w:val="TableParagraph"/>
              <w:spacing w:line="159" w:lineRule="exact" w:before="14"/>
              <w:ind w:right="57"/>
              <w:jc w:val="right"/>
              <w:rPr>
                <w:sz w:val="14"/>
              </w:rPr>
            </w:pPr>
            <w:r>
              <w:rPr>
                <w:w w:val="95"/>
                <w:sz w:val="14"/>
              </w:rPr>
              <w:t>(1.359)</w:t>
            </w:r>
          </w:p>
        </w:tc>
        <w:tc>
          <w:tcPr>
            <w:tcW w:w="1224" w:type="dxa"/>
          </w:tcPr>
          <w:p>
            <w:pPr>
              <w:pStyle w:val="TableParagraph"/>
              <w:spacing w:line="159" w:lineRule="exact" w:before="14"/>
              <w:ind w:right="59"/>
              <w:jc w:val="right"/>
              <w:rPr>
                <w:sz w:val="14"/>
              </w:rPr>
            </w:pPr>
            <w:r>
              <w:rPr>
                <w:w w:val="95"/>
                <w:sz w:val="14"/>
              </w:rPr>
              <w:t>(1.643)</w:t>
            </w:r>
          </w:p>
        </w:tc>
        <w:tc>
          <w:tcPr>
            <w:tcW w:w="1311" w:type="dxa"/>
          </w:tcPr>
          <w:p>
            <w:pPr>
              <w:pStyle w:val="TableParagraph"/>
              <w:spacing w:line="159" w:lineRule="exact" w:before="14"/>
              <w:ind w:right="59"/>
              <w:jc w:val="right"/>
              <w:rPr>
                <w:sz w:val="14"/>
              </w:rPr>
            </w:pPr>
            <w:r>
              <w:rPr>
                <w:sz w:val="14"/>
              </w:rPr>
              <w:t>(794.802)</w:t>
            </w:r>
          </w:p>
        </w:tc>
        <w:tc>
          <w:tcPr>
            <w:tcW w:w="1332" w:type="dxa"/>
          </w:tcPr>
          <w:p>
            <w:pPr>
              <w:pStyle w:val="TableParagraph"/>
              <w:spacing w:line="159" w:lineRule="exact" w:before="14"/>
              <w:ind w:right="59"/>
              <w:jc w:val="right"/>
              <w:rPr>
                <w:sz w:val="14"/>
              </w:rPr>
            </w:pPr>
            <w:r>
              <w:rPr>
                <w:sz w:val="14"/>
              </w:rPr>
              <w:t>(724.413)</w:t>
            </w:r>
          </w:p>
        </w:tc>
      </w:tr>
      <w:tr>
        <w:trPr>
          <w:trHeight w:val="193" w:hRule="atLeast"/>
        </w:trPr>
        <w:tc>
          <w:tcPr>
            <w:tcW w:w="4832" w:type="dxa"/>
          </w:tcPr>
          <w:p>
            <w:pPr>
              <w:pStyle w:val="TableParagraph"/>
              <w:spacing w:line="159" w:lineRule="exact" w:before="14"/>
              <w:ind w:left="103"/>
              <w:rPr>
                <w:sz w:val="14"/>
              </w:rPr>
            </w:pPr>
            <w:r>
              <w:rPr>
                <w:sz w:val="14"/>
              </w:rPr>
              <w:t>Contribuições</w:t>
            </w:r>
          </w:p>
        </w:tc>
        <w:tc>
          <w:tcPr>
            <w:tcW w:w="1217" w:type="dxa"/>
          </w:tcPr>
          <w:p>
            <w:pPr>
              <w:pStyle w:val="TableParagraph"/>
              <w:spacing w:line="159" w:lineRule="exact" w:before="14"/>
              <w:ind w:right="57"/>
              <w:jc w:val="right"/>
              <w:rPr>
                <w:sz w:val="14"/>
              </w:rPr>
            </w:pPr>
            <w:r>
              <w:rPr>
                <w:sz w:val="14"/>
              </w:rPr>
              <w:t>(6.284)</w:t>
            </w:r>
          </w:p>
        </w:tc>
        <w:tc>
          <w:tcPr>
            <w:tcW w:w="1224" w:type="dxa"/>
          </w:tcPr>
          <w:p>
            <w:pPr>
              <w:pStyle w:val="TableParagraph"/>
              <w:spacing w:line="159" w:lineRule="exact" w:before="14"/>
              <w:ind w:right="59"/>
              <w:jc w:val="right"/>
              <w:rPr>
                <w:sz w:val="14"/>
              </w:rPr>
            </w:pPr>
            <w:r>
              <w:rPr>
                <w:w w:val="95"/>
                <w:sz w:val="14"/>
              </w:rPr>
              <w:t>(7.596)</w:t>
            </w:r>
          </w:p>
        </w:tc>
        <w:tc>
          <w:tcPr>
            <w:tcW w:w="1311" w:type="dxa"/>
          </w:tcPr>
          <w:p>
            <w:pPr>
              <w:pStyle w:val="TableParagraph"/>
              <w:spacing w:line="159" w:lineRule="exact" w:before="14"/>
              <w:ind w:right="59"/>
              <w:jc w:val="right"/>
              <w:rPr>
                <w:sz w:val="14"/>
              </w:rPr>
            </w:pPr>
            <w:r>
              <w:rPr>
                <w:sz w:val="14"/>
              </w:rPr>
              <w:t>(404.509)</w:t>
            </w:r>
          </w:p>
        </w:tc>
        <w:tc>
          <w:tcPr>
            <w:tcW w:w="1332" w:type="dxa"/>
          </w:tcPr>
          <w:p>
            <w:pPr>
              <w:pStyle w:val="TableParagraph"/>
              <w:spacing w:line="159" w:lineRule="exact" w:before="14"/>
              <w:ind w:right="59"/>
              <w:jc w:val="right"/>
              <w:rPr>
                <w:sz w:val="14"/>
              </w:rPr>
            </w:pPr>
            <w:r>
              <w:rPr>
                <w:sz w:val="14"/>
              </w:rPr>
              <w:t>(313.333)</w:t>
            </w:r>
          </w:p>
        </w:tc>
      </w:tr>
      <w:tr>
        <w:trPr>
          <w:trHeight w:val="193" w:hRule="atLeast"/>
        </w:trPr>
        <w:tc>
          <w:tcPr>
            <w:tcW w:w="4832" w:type="dxa"/>
          </w:tcPr>
          <w:p>
            <w:pPr>
              <w:pStyle w:val="TableParagraph"/>
              <w:spacing w:line="159" w:lineRule="exact" w:before="14"/>
              <w:ind w:left="103"/>
              <w:rPr>
                <w:sz w:val="14"/>
              </w:rPr>
            </w:pPr>
            <w:r>
              <w:rPr>
                <w:sz w:val="14"/>
              </w:rPr>
              <w:t>Encargos do Consumidor</w:t>
            </w:r>
          </w:p>
        </w:tc>
        <w:tc>
          <w:tcPr>
            <w:tcW w:w="1217" w:type="dxa"/>
          </w:tcPr>
          <w:p>
            <w:pPr>
              <w:pStyle w:val="TableParagraph"/>
              <w:spacing w:line="159" w:lineRule="exact" w:before="14"/>
              <w:ind w:right="57"/>
              <w:jc w:val="right"/>
              <w:rPr>
                <w:sz w:val="14"/>
              </w:rPr>
            </w:pPr>
            <w:r>
              <w:rPr>
                <w:sz w:val="14"/>
              </w:rPr>
              <w:t>(26)</w:t>
            </w:r>
          </w:p>
        </w:tc>
        <w:tc>
          <w:tcPr>
            <w:tcW w:w="1224" w:type="dxa"/>
          </w:tcPr>
          <w:p>
            <w:pPr>
              <w:pStyle w:val="TableParagraph"/>
              <w:rPr>
                <w:rFonts w:ascii="Times New Roman"/>
                <w:sz w:val="12"/>
              </w:rPr>
            </w:pPr>
          </w:p>
        </w:tc>
        <w:tc>
          <w:tcPr>
            <w:tcW w:w="1311" w:type="dxa"/>
          </w:tcPr>
          <w:p>
            <w:pPr>
              <w:pStyle w:val="TableParagraph"/>
              <w:spacing w:line="159" w:lineRule="exact" w:before="14"/>
              <w:ind w:right="59"/>
              <w:jc w:val="right"/>
              <w:rPr>
                <w:sz w:val="14"/>
              </w:rPr>
            </w:pPr>
            <w:r>
              <w:rPr>
                <w:sz w:val="14"/>
              </w:rPr>
              <w:t>(455.282)</w:t>
            </w:r>
          </w:p>
        </w:tc>
        <w:tc>
          <w:tcPr>
            <w:tcW w:w="1332" w:type="dxa"/>
          </w:tcPr>
          <w:p>
            <w:pPr>
              <w:pStyle w:val="TableParagraph"/>
              <w:spacing w:line="159" w:lineRule="exact" w:before="14"/>
              <w:ind w:right="59"/>
              <w:jc w:val="right"/>
              <w:rPr>
                <w:sz w:val="14"/>
              </w:rPr>
            </w:pPr>
            <w:r>
              <w:rPr>
                <w:sz w:val="14"/>
              </w:rPr>
              <w:t>(458.256)</w:t>
            </w:r>
          </w:p>
        </w:tc>
      </w:tr>
      <w:tr>
        <w:trPr>
          <w:trHeight w:val="194" w:hRule="atLeast"/>
        </w:trPr>
        <w:tc>
          <w:tcPr>
            <w:tcW w:w="4832" w:type="dxa"/>
          </w:tcPr>
          <w:p>
            <w:pPr>
              <w:pStyle w:val="TableParagraph"/>
              <w:spacing w:line="161" w:lineRule="exact" w:before="13"/>
              <w:ind w:left="103"/>
              <w:rPr>
                <w:rFonts w:ascii="Caladea" w:hAnsi="Caladea"/>
                <w:b/>
                <w:sz w:val="14"/>
              </w:rPr>
            </w:pPr>
            <w:r>
              <w:rPr>
                <w:rFonts w:ascii="Caladea" w:hAnsi="Caladea"/>
                <w:b/>
                <w:sz w:val="14"/>
              </w:rPr>
              <w:t>Deduções da Receita Operacional Bruta</w:t>
            </w:r>
          </w:p>
        </w:tc>
        <w:tc>
          <w:tcPr>
            <w:tcW w:w="1217" w:type="dxa"/>
          </w:tcPr>
          <w:p>
            <w:pPr>
              <w:pStyle w:val="TableParagraph"/>
              <w:spacing w:line="161" w:lineRule="exact" w:before="13"/>
              <w:ind w:right="55"/>
              <w:jc w:val="right"/>
              <w:rPr>
                <w:rFonts w:ascii="Caladea"/>
                <w:b/>
                <w:sz w:val="14"/>
              </w:rPr>
            </w:pPr>
            <w:r>
              <w:rPr>
                <w:rFonts w:ascii="Caladea"/>
                <w:b/>
                <w:sz w:val="14"/>
              </w:rPr>
              <w:t>(7.669)</w:t>
            </w:r>
          </w:p>
        </w:tc>
        <w:tc>
          <w:tcPr>
            <w:tcW w:w="1224" w:type="dxa"/>
          </w:tcPr>
          <w:p>
            <w:pPr>
              <w:pStyle w:val="TableParagraph"/>
              <w:spacing w:line="161" w:lineRule="exact" w:before="13"/>
              <w:ind w:right="58"/>
              <w:jc w:val="right"/>
              <w:rPr>
                <w:rFonts w:ascii="Caladea"/>
                <w:b/>
                <w:sz w:val="14"/>
              </w:rPr>
            </w:pPr>
            <w:r>
              <w:rPr>
                <w:rFonts w:ascii="Caladea"/>
                <w:b/>
                <w:sz w:val="14"/>
              </w:rPr>
              <w:t>(9.239)</w:t>
            </w:r>
          </w:p>
        </w:tc>
        <w:tc>
          <w:tcPr>
            <w:tcW w:w="1311" w:type="dxa"/>
          </w:tcPr>
          <w:p>
            <w:pPr>
              <w:pStyle w:val="TableParagraph"/>
              <w:spacing w:line="161" w:lineRule="exact" w:before="13"/>
              <w:ind w:right="60"/>
              <w:jc w:val="right"/>
              <w:rPr>
                <w:rFonts w:ascii="Caladea"/>
                <w:b/>
                <w:sz w:val="14"/>
              </w:rPr>
            </w:pPr>
            <w:r>
              <w:rPr>
                <w:rFonts w:ascii="Caladea"/>
                <w:b/>
                <w:sz w:val="14"/>
              </w:rPr>
              <w:t>(1.654.593)</w:t>
            </w:r>
          </w:p>
        </w:tc>
        <w:tc>
          <w:tcPr>
            <w:tcW w:w="1332" w:type="dxa"/>
          </w:tcPr>
          <w:p>
            <w:pPr>
              <w:pStyle w:val="TableParagraph"/>
              <w:spacing w:line="161" w:lineRule="exact" w:before="13"/>
              <w:ind w:right="59"/>
              <w:jc w:val="right"/>
              <w:rPr>
                <w:rFonts w:ascii="Caladea"/>
                <w:b/>
                <w:sz w:val="14"/>
              </w:rPr>
            </w:pPr>
            <w:r>
              <w:rPr>
                <w:rFonts w:ascii="Caladea"/>
                <w:b/>
                <w:sz w:val="14"/>
              </w:rPr>
              <w:t>(1.496.002)</w:t>
            </w:r>
          </w:p>
        </w:tc>
      </w:tr>
      <w:tr>
        <w:trPr>
          <w:trHeight w:val="193" w:hRule="atLeast"/>
        </w:trPr>
        <w:tc>
          <w:tcPr>
            <w:tcW w:w="4832" w:type="dxa"/>
          </w:tcPr>
          <w:p>
            <w:pPr>
              <w:pStyle w:val="TableParagraph"/>
              <w:spacing w:line="161" w:lineRule="exact" w:before="13"/>
              <w:ind w:left="103"/>
              <w:rPr>
                <w:rFonts w:ascii="Caladea" w:hAnsi="Caladea"/>
                <w:b/>
                <w:sz w:val="14"/>
              </w:rPr>
            </w:pPr>
            <w:r>
              <w:rPr>
                <w:rFonts w:ascii="Caladea" w:hAnsi="Caladea"/>
                <w:b/>
                <w:sz w:val="14"/>
              </w:rPr>
              <w:t>Receita Operacional Líquida</w:t>
            </w:r>
          </w:p>
        </w:tc>
        <w:tc>
          <w:tcPr>
            <w:tcW w:w="1217" w:type="dxa"/>
          </w:tcPr>
          <w:p>
            <w:pPr>
              <w:pStyle w:val="TableParagraph"/>
              <w:spacing w:line="161" w:lineRule="exact" w:before="13"/>
              <w:ind w:right="56"/>
              <w:jc w:val="right"/>
              <w:rPr>
                <w:rFonts w:ascii="Caladea"/>
                <w:b/>
                <w:sz w:val="14"/>
              </w:rPr>
            </w:pPr>
            <w:r>
              <w:rPr>
                <w:rFonts w:ascii="Caladea"/>
                <w:b/>
                <w:sz w:val="14"/>
              </w:rPr>
              <w:t>60.270</w:t>
            </w:r>
          </w:p>
        </w:tc>
        <w:tc>
          <w:tcPr>
            <w:tcW w:w="1224" w:type="dxa"/>
          </w:tcPr>
          <w:p>
            <w:pPr>
              <w:pStyle w:val="TableParagraph"/>
              <w:spacing w:line="161" w:lineRule="exact" w:before="13"/>
              <w:ind w:right="59"/>
              <w:jc w:val="right"/>
              <w:rPr>
                <w:rFonts w:ascii="Caladea"/>
                <w:b/>
                <w:sz w:val="14"/>
              </w:rPr>
            </w:pPr>
            <w:r>
              <w:rPr>
                <w:rFonts w:ascii="Caladea"/>
                <w:b/>
                <w:sz w:val="14"/>
              </w:rPr>
              <w:t>72.885</w:t>
            </w:r>
          </w:p>
        </w:tc>
        <w:tc>
          <w:tcPr>
            <w:tcW w:w="1311" w:type="dxa"/>
          </w:tcPr>
          <w:p>
            <w:pPr>
              <w:pStyle w:val="TableParagraph"/>
              <w:spacing w:line="161" w:lineRule="exact" w:before="13"/>
              <w:ind w:right="58"/>
              <w:jc w:val="right"/>
              <w:rPr>
                <w:rFonts w:ascii="Caladea"/>
                <w:b/>
                <w:sz w:val="14"/>
              </w:rPr>
            </w:pPr>
            <w:r>
              <w:rPr>
                <w:rFonts w:ascii="Caladea"/>
                <w:b/>
                <w:w w:val="95"/>
                <w:sz w:val="14"/>
              </w:rPr>
              <w:t>2.749.738</w:t>
            </w:r>
          </w:p>
        </w:tc>
        <w:tc>
          <w:tcPr>
            <w:tcW w:w="1332" w:type="dxa"/>
          </w:tcPr>
          <w:p>
            <w:pPr>
              <w:pStyle w:val="TableParagraph"/>
              <w:spacing w:line="161" w:lineRule="exact" w:before="13"/>
              <w:ind w:right="59"/>
              <w:jc w:val="right"/>
              <w:rPr>
                <w:rFonts w:ascii="Caladea"/>
                <w:b/>
                <w:sz w:val="14"/>
              </w:rPr>
            </w:pPr>
            <w:r>
              <w:rPr>
                <w:rFonts w:ascii="Caladea"/>
                <w:b/>
                <w:w w:val="95"/>
                <w:sz w:val="14"/>
              </w:rPr>
              <w:t>2.590.210</w:t>
            </w:r>
          </w:p>
        </w:tc>
      </w:tr>
    </w:tbl>
    <w:p>
      <w:pPr>
        <w:pStyle w:val="BodyText"/>
        <w:spacing w:before="9"/>
        <w:rPr>
          <w:rFonts w:ascii="Caladea"/>
          <w:b/>
        </w:rPr>
      </w:pPr>
    </w:p>
    <w:p>
      <w:pPr>
        <w:pStyle w:val="BodyText"/>
        <w:spacing w:before="1"/>
        <w:ind w:left="172"/>
        <w:jc w:val="both"/>
      </w:pPr>
      <w:r>
        <w:rPr/>
        <w:t>Os principais efeitos que influenciaram as variações nas contas de resultado foram:</w:t>
      </w:r>
    </w:p>
    <w:p>
      <w:pPr>
        <w:pStyle w:val="BodyText"/>
        <w:spacing w:before="6"/>
      </w:pPr>
    </w:p>
    <w:p>
      <w:pPr>
        <w:pStyle w:val="Heading5"/>
        <w:numPr>
          <w:ilvl w:val="0"/>
          <w:numId w:val="36"/>
        </w:numPr>
        <w:tabs>
          <w:tab w:pos="894" w:val="left" w:leader="none"/>
        </w:tabs>
        <w:spacing w:line="240" w:lineRule="auto" w:before="0" w:after="0"/>
        <w:ind w:left="893" w:right="0" w:hanging="361"/>
        <w:jc w:val="left"/>
        <w:rPr>
          <w:sz w:val="20"/>
        </w:rPr>
      </w:pPr>
      <w:r>
        <w:rPr>
          <w:w w:val="105"/>
        </w:rPr>
        <w:t>Reajuste Tarifário Anual </w:t>
      </w:r>
      <w:r>
        <w:rPr>
          <w:rFonts w:ascii="Trebuchet MS" w:hAnsi="Trebuchet MS"/>
          <w:w w:val="105"/>
        </w:rPr>
        <w:t>–</w:t>
      </w:r>
      <w:r>
        <w:rPr>
          <w:rFonts w:ascii="Trebuchet MS" w:hAnsi="Trebuchet MS"/>
          <w:spacing w:val="-41"/>
          <w:w w:val="105"/>
        </w:rPr>
        <w:t> </w:t>
      </w:r>
      <w:r>
        <w:rPr>
          <w:w w:val="105"/>
        </w:rPr>
        <w:t>RTA 2019</w:t>
      </w:r>
    </w:p>
    <w:p>
      <w:pPr>
        <w:pStyle w:val="BodyText"/>
        <w:spacing w:before="9"/>
        <w:rPr>
          <w:rFonts w:ascii="Caladea"/>
          <w:b/>
        </w:rPr>
      </w:pPr>
    </w:p>
    <w:p>
      <w:pPr>
        <w:pStyle w:val="BodyText"/>
        <w:spacing w:line="242" w:lineRule="auto"/>
        <w:ind w:left="172" w:right="415"/>
        <w:jc w:val="both"/>
      </w:pPr>
      <w:r>
        <w:rPr/>
        <w:t>A</w:t>
      </w:r>
      <w:r>
        <w:rPr>
          <w:spacing w:val="-22"/>
        </w:rPr>
        <w:t> </w:t>
      </w:r>
      <w:r>
        <w:rPr/>
        <w:t>Aneel</w:t>
      </w:r>
      <w:r>
        <w:rPr>
          <w:spacing w:val="-21"/>
        </w:rPr>
        <w:t> </w:t>
      </w:r>
      <w:r>
        <w:rPr/>
        <w:t>por</w:t>
      </w:r>
      <w:r>
        <w:rPr>
          <w:spacing w:val="-20"/>
        </w:rPr>
        <w:t> </w:t>
      </w:r>
      <w:r>
        <w:rPr/>
        <w:t>meio</w:t>
      </w:r>
      <w:r>
        <w:rPr>
          <w:spacing w:val="-22"/>
        </w:rPr>
        <w:t> </w:t>
      </w:r>
      <w:r>
        <w:rPr/>
        <w:t>da</w:t>
      </w:r>
      <w:r>
        <w:rPr>
          <w:spacing w:val="-22"/>
        </w:rPr>
        <w:t> </w:t>
      </w:r>
      <w:r>
        <w:rPr/>
        <w:t>Resolução</w:t>
      </w:r>
      <w:r>
        <w:rPr>
          <w:spacing w:val="-22"/>
        </w:rPr>
        <w:t> </w:t>
      </w:r>
      <w:r>
        <w:rPr/>
        <w:t>Homologatória</w:t>
      </w:r>
      <w:r>
        <w:rPr>
          <w:spacing w:val="-21"/>
        </w:rPr>
        <w:t> </w:t>
      </w:r>
      <w:r>
        <w:rPr/>
        <w:t>2.625</w:t>
      </w:r>
      <w:r>
        <w:rPr>
          <w:spacing w:val="-21"/>
        </w:rPr>
        <w:t> </w:t>
      </w:r>
      <w:r>
        <w:rPr/>
        <w:t>de</w:t>
      </w:r>
      <w:r>
        <w:rPr>
          <w:spacing w:val="-21"/>
        </w:rPr>
        <w:t> </w:t>
      </w:r>
      <w:r>
        <w:rPr/>
        <w:t>15</w:t>
      </w:r>
      <w:r>
        <w:rPr>
          <w:spacing w:val="-22"/>
        </w:rPr>
        <w:t> </w:t>
      </w:r>
      <w:r>
        <w:rPr/>
        <w:t>de</w:t>
      </w:r>
      <w:r>
        <w:rPr>
          <w:spacing w:val="-22"/>
        </w:rPr>
        <w:t> </w:t>
      </w:r>
      <w:r>
        <w:rPr/>
        <w:t>outubro</w:t>
      </w:r>
      <w:r>
        <w:rPr>
          <w:spacing w:val="-20"/>
        </w:rPr>
        <w:t> </w:t>
      </w:r>
      <w:r>
        <w:rPr/>
        <w:t>de</w:t>
      </w:r>
      <w:r>
        <w:rPr>
          <w:spacing w:val="-21"/>
        </w:rPr>
        <w:t> </w:t>
      </w:r>
      <w:r>
        <w:rPr/>
        <w:t>2019</w:t>
      </w:r>
      <w:r>
        <w:rPr>
          <w:spacing w:val="-20"/>
        </w:rPr>
        <w:t> </w:t>
      </w:r>
      <w:r>
        <w:rPr/>
        <w:t>homologou</w:t>
      </w:r>
      <w:r>
        <w:rPr>
          <w:spacing w:val="-21"/>
        </w:rPr>
        <w:t> </w:t>
      </w:r>
      <w:r>
        <w:rPr/>
        <w:t>o</w:t>
      </w:r>
      <w:r>
        <w:rPr>
          <w:spacing w:val="-21"/>
        </w:rPr>
        <w:t> </w:t>
      </w:r>
      <w:r>
        <w:rPr/>
        <w:t>resultado</w:t>
      </w:r>
      <w:r>
        <w:rPr>
          <w:spacing w:val="-22"/>
        </w:rPr>
        <w:t> </w:t>
      </w:r>
      <w:r>
        <w:rPr/>
        <w:t>do</w:t>
      </w:r>
      <w:r>
        <w:rPr>
          <w:spacing w:val="-22"/>
        </w:rPr>
        <w:t> </w:t>
      </w:r>
      <w:r>
        <w:rPr/>
        <w:t>Reajuste Tarifário</w:t>
      </w:r>
      <w:r>
        <w:rPr>
          <w:spacing w:val="-19"/>
        </w:rPr>
        <w:t> </w:t>
      </w:r>
      <w:r>
        <w:rPr/>
        <w:t>Anual</w:t>
      </w:r>
      <w:r>
        <w:rPr>
          <w:spacing w:val="-19"/>
        </w:rPr>
        <w:t> </w:t>
      </w:r>
      <w:r>
        <w:rPr/>
        <w:t>aplicado</w:t>
      </w:r>
      <w:r>
        <w:rPr>
          <w:spacing w:val="-20"/>
        </w:rPr>
        <w:t> </w:t>
      </w:r>
      <w:r>
        <w:rPr/>
        <w:t>pela</w:t>
      </w:r>
      <w:r>
        <w:rPr>
          <w:spacing w:val="-19"/>
        </w:rPr>
        <w:t> </w:t>
      </w:r>
      <w:r>
        <w:rPr/>
        <w:t>Companhia</w:t>
      </w:r>
      <w:r>
        <w:rPr>
          <w:spacing w:val="-18"/>
        </w:rPr>
        <w:t> </w:t>
      </w:r>
      <w:r>
        <w:rPr/>
        <w:t>a</w:t>
      </w:r>
      <w:r>
        <w:rPr>
          <w:spacing w:val="-16"/>
        </w:rPr>
        <w:t> </w:t>
      </w:r>
      <w:r>
        <w:rPr/>
        <w:t>partir</w:t>
      </w:r>
      <w:r>
        <w:rPr>
          <w:spacing w:val="-20"/>
        </w:rPr>
        <w:t> </w:t>
      </w:r>
      <w:r>
        <w:rPr/>
        <w:t>de</w:t>
      </w:r>
      <w:r>
        <w:rPr>
          <w:spacing w:val="-21"/>
        </w:rPr>
        <w:t> </w:t>
      </w:r>
      <w:r>
        <w:rPr/>
        <w:t>22</w:t>
      </w:r>
      <w:r>
        <w:rPr>
          <w:spacing w:val="-15"/>
        </w:rPr>
        <w:t> </w:t>
      </w:r>
      <w:r>
        <w:rPr/>
        <w:t>de</w:t>
      </w:r>
      <w:r>
        <w:rPr>
          <w:spacing w:val="-21"/>
        </w:rPr>
        <w:t> </w:t>
      </w:r>
      <w:r>
        <w:rPr/>
        <w:t>outubro</w:t>
      </w:r>
      <w:r>
        <w:rPr>
          <w:spacing w:val="-17"/>
        </w:rPr>
        <w:t> </w:t>
      </w:r>
      <w:r>
        <w:rPr/>
        <w:t>de</w:t>
      </w:r>
      <w:r>
        <w:rPr>
          <w:spacing w:val="-19"/>
        </w:rPr>
        <w:t> </w:t>
      </w:r>
      <w:r>
        <w:rPr/>
        <w:t>2019.</w:t>
      </w:r>
    </w:p>
    <w:p>
      <w:pPr>
        <w:pStyle w:val="BodyText"/>
        <w:spacing w:before="6"/>
      </w:pPr>
    </w:p>
    <w:p>
      <w:pPr>
        <w:pStyle w:val="BodyText"/>
        <w:spacing w:line="242" w:lineRule="auto"/>
        <w:ind w:left="172" w:right="407"/>
        <w:jc w:val="both"/>
      </w:pPr>
      <w:r>
        <w:rPr/>
        <w:t>Durante</w:t>
      </w:r>
      <w:r>
        <w:rPr>
          <w:spacing w:val="-36"/>
        </w:rPr>
        <w:t> </w:t>
      </w:r>
      <w:r>
        <w:rPr/>
        <w:t>o</w:t>
      </w:r>
      <w:r>
        <w:rPr>
          <w:spacing w:val="-33"/>
        </w:rPr>
        <w:t> </w:t>
      </w:r>
      <w:r>
        <w:rPr/>
        <w:t>processo</w:t>
      </w:r>
      <w:r>
        <w:rPr>
          <w:spacing w:val="-34"/>
        </w:rPr>
        <w:t> </w:t>
      </w:r>
      <w:r>
        <w:rPr/>
        <w:t>de</w:t>
      </w:r>
      <w:r>
        <w:rPr>
          <w:spacing w:val="-34"/>
        </w:rPr>
        <w:t> </w:t>
      </w:r>
      <w:r>
        <w:rPr/>
        <w:t>reajuste</w:t>
      </w:r>
      <w:r>
        <w:rPr>
          <w:spacing w:val="-35"/>
        </w:rPr>
        <w:t> </w:t>
      </w:r>
      <w:r>
        <w:rPr/>
        <w:t>das</w:t>
      </w:r>
      <w:r>
        <w:rPr>
          <w:spacing w:val="-33"/>
        </w:rPr>
        <w:t> </w:t>
      </w:r>
      <w:r>
        <w:rPr/>
        <w:t>tarifas,</w:t>
      </w:r>
      <w:r>
        <w:rPr>
          <w:spacing w:val="-34"/>
        </w:rPr>
        <w:t> </w:t>
      </w:r>
      <w:r>
        <w:rPr/>
        <w:t>os</w:t>
      </w:r>
      <w:r>
        <w:rPr>
          <w:spacing w:val="-33"/>
        </w:rPr>
        <w:t> </w:t>
      </w:r>
      <w:r>
        <w:rPr/>
        <w:t>custos</w:t>
      </w:r>
      <w:r>
        <w:rPr>
          <w:spacing w:val="-35"/>
        </w:rPr>
        <w:t> </w:t>
      </w:r>
      <w:r>
        <w:rPr/>
        <w:t>regulatórios</w:t>
      </w:r>
      <w:r>
        <w:rPr>
          <w:spacing w:val="-34"/>
        </w:rPr>
        <w:t> </w:t>
      </w:r>
      <w:r>
        <w:rPr/>
        <w:t>não</w:t>
      </w:r>
      <w:r>
        <w:rPr>
          <w:spacing w:val="-33"/>
        </w:rPr>
        <w:t> </w:t>
      </w:r>
      <w:r>
        <w:rPr/>
        <w:t>gerenciáveis</w:t>
      </w:r>
      <w:r>
        <w:rPr>
          <w:spacing w:val="-35"/>
        </w:rPr>
        <w:t> </w:t>
      </w:r>
      <w:r>
        <w:rPr/>
        <w:t>(Parcela</w:t>
      </w:r>
      <w:r>
        <w:rPr>
          <w:spacing w:val="-34"/>
        </w:rPr>
        <w:t> </w:t>
      </w:r>
      <w:r>
        <w:rPr/>
        <w:t>A:</w:t>
      </w:r>
      <w:r>
        <w:rPr>
          <w:spacing w:val="-33"/>
        </w:rPr>
        <w:t> </w:t>
      </w:r>
      <w:r>
        <w:rPr/>
        <w:t>energia,</w:t>
      </w:r>
      <w:r>
        <w:rPr>
          <w:spacing w:val="-35"/>
        </w:rPr>
        <w:t> </w:t>
      </w:r>
      <w:r>
        <w:rPr/>
        <w:t>transporte</w:t>
      </w:r>
      <w:r>
        <w:rPr>
          <w:spacing w:val="-34"/>
        </w:rPr>
        <w:t> </w:t>
      </w:r>
      <w:r>
        <w:rPr/>
        <w:t>e encargos)</w:t>
      </w:r>
      <w:r>
        <w:rPr>
          <w:spacing w:val="-41"/>
        </w:rPr>
        <w:t> </w:t>
      </w:r>
      <w:r>
        <w:rPr/>
        <w:t>e</w:t>
      </w:r>
      <w:r>
        <w:rPr>
          <w:spacing w:val="-43"/>
        </w:rPr>
        <w:t> </w:t>
      </w:r>
      <w:r>
        <w:rPr/>
        <w:t>os</w:t>
      </w:r>
      <w:r>
        <w:rPr>
          <w:spacing w:val="-42"/>
        </w:rPr>
        <w:t> </w:t>
      </w:r>
      <w:r>
        <w:rPr/>
        <w:t>demais</w:t>
      </w:r>
      <w:r>
        <w:rPr>
          <w:spacing w:val="-41"/>
        </w:rPr>
        <w:t> </w:t>
      </w:r>
      <w:r>
        <w:rPr/>
        <w:t>componentes</w:t>
      </w:r>
      <w:r>
        <w:rPr>
          <w:spacing w:val="-42"/>
        </w:rPr>
        <w:t> </w:t>
      </w:r>
      <w:r>
        <w:rPr/>
        <w:t>financeiros</w:t>
      </w:r>
      <w:r>
        <w:rPr>
          <w:spacing w:val="-42"/>
        </w:rPr>
        <w:t> </w:t>
      </w:r>
      <w:r>
        <w:rPr/>
        <w:t>são</w:t>
      </w:r>
      <w:r>
        <w:rPr>
          <w:spacing w:val="-42"/>
        </w:rPr>
        <w:t> </w:t>
      </w:r>
      <w:r>
        <w:rPr/>
        <w:t>atualizados</w:t>
      </w:r>
      <w:r>
        <w:rPr>
          <w:spacing w:val="-43"/>
        </w:rPr>
        <w:t> </w:t>
      </w:r>
      <w:r>
        <w:rPr/>
        <w:t>com</w:t>
      </w:r>
      <w:r>
        <w:rPr>
          <w:spacing w:val="-42"/>
        </w:rPr>
        <w:t> </w:t>
      </w:r>
      <w:r>
        <w:rPr/>
        <w:t>base</w:t>
      </w:r>
      <w:r>
        <w:rPr>
          <w:spacing w:val="-42"/>
        </w:rPr>
        <w:t> </w:t>
      </w:r>
      <w:r>
        <w:rPr/>
        <w:t>na</w:t>
      </w:r>
      <w:r>
        <w:rPr>
          <w:spacing w:val="-41"/>
        </w:rPr>
        <w:t> </w:t>
      </w:r>
      <w:r>
        <w:rPr/>
        <w:t>variação</w:t>
      </w:r>
      <w:r>
        <w:rPr>
          <w:spacing w:val="-42"/>
        </w:rPr>
        <w:t> </w:t>
      </w:r>
      <w:r>
        <w:rPr/>
        <w:t>de</w:t>
      </w:r>
      <w:r>
        <w:rPr>
          <w:spacing w:val="-42"/>
        </w:rPr>
        <w:t> </w:t>
      </w:r>
      <w:r>
        <w:rPr/>
        <w:t>preços</w:t>
      </w:r>
      <w:r>
        <w:rPr>
          <w:spacing w:val="-42"/>
        </w:rPr>
        <w:t> </w:t>
      </w:r>
      <w:r>
        <w:rPr/>
        <w:t>realizada</w:t>
      </w:r>
      <w:r>
        <w:rPr>
          <w:spacing w:val="-41"/>
        </w:rPr>
        <w:t> </w:t>
      </w:r>
      <w:r>
        <w:rPr/>
        <w:t>nos</w:t>
      </w:r>
      <w:r>
        <w:rPr>
          <w:spacing w:val="-42"/>
        </w:rPr>
        <w:t> </w:t>
      </w:r>
      <w:r>
        <w:rPr/>
        <w:t>últimos doze</w:t>
      </w:r>
      <w:r>
        <w:rPr>
          <w:spacing w:val="-37"/>
        </w:rPr>
        <w:t> </w:t>
      </w:r>
      <w:r>
        <w:rPr/>
        <w:t>meses</w:t>
      </w:r>
      <w:r>
        <w:rPr>
          <w:spacing w:val="-36"/>
        </w:rPr>
        <w:t> </w:t>
      </w:r>
      <w:r>
        <w:rPr/>
        <w:t>anteriores</w:t>
      </w:r>
      <w:r>
        <w:rPr>
          <w:spacing w:val="-35"/>
        </w:rPr>
        <w:t> </w:t>
      </w:r>
      <w:r>
        <w:rPr/>
        <w:t>e</w:t>
      </w:r>
      <w:r>
        <w:rPr>
          <w:spacing w:val="-37"/>
        </w:rPr>
        <w:t> </w:t>
      </w:r>
      <w:r>
        <w:rPr/>
        <w:t>a</w:t>
      </w:r>
      <w:r>
        <w:rPr>
          <w:spacing w:val="-36"/>
        </w:rPr>
        <w:t> </w:t>
      </w:r>
      <w:r>
        <w:rPr/>
        <w:t>projeção</w:t>
      </w:r>
      <w:r>
        <w:rPr>
          <w:spacing w:val="-36"/>
        </w:rPr>
        <w:t> </w:t>
      </w:r>
      <w:r>
        <w:rPr/>
        <w:t>para</w:t>
      </w:r>
      <w:r>
        <w:rPr>
          <w:spacing w:val="-35"/>
        </w:rPr>
        <w:t> </w:t>
      </w:r>
      <w:r>
        <w:rPr/>
        <w:t>os</w:t>
      </w:r>
      <w:r>
        <w:rPr>
          <w:spacing w:val="-37"/>
        </w:rPr>
        <w:t> </w:t>
      </w:r>
      <w:r>
        <w:rPr/>
        <w:t>doze</w:t>
      </w:r>
      <w:r>
        <w:rPr>
          <w:spacing w:val="-36"/>
        </w:rPr>
        <w:t> </w:t>
      </w:r>
      <w:r>
        <w:rPr/>
        <w:t>meses</w:t>
      </w:r>
      <w:r>
        <w:rPr>
          <w:spacing w:val="-37"/>
        </w:rPr>
        <w:t> </w:t>
      </w:r>
      <w:r>
        <w:rPr/>
        <w:t>subsequentes,</w:t>
      </w:r>
      <w:r>
        <w:rPr>
          <w:spacing w:val="-36"/>
        </w:rPr>
        <w:t> </w:t>
      </w:r>
      <w:r>
        <w:rPr/>
        <w:t>nesse</w:t>
      </w:r>
      <w:r>
        <w:rPr>
          <w:spacing w:val="-37"/>
        </w:rPr>
        <w:t> </w:t>
      </w:r>
      <w:r>
        <w:rPr/>
        <w:t>último</w:t>
      </w:r>
      <w:r>
        <w:rPr>
          <w:spacing w:val="-36"/>
        </w:rPr>
        <w:t> </w:t>
      </w:r>
      <w:r>
        <w:rPr/>
        <w:t>caso</w:t>
      </w:r>
      <w:r>
        <w:rPr>
          <w:spacing w:val="-36"/>
        </w:rPr>
        <w:t> </w:t>
      </w:r>
      <w:r>
        <w:rPr/>
        <w:t>a</w:t>
      </w:r>
      <w:r>
        <w:rPr>
          <w:spacing w:val="-36"/>
        </w:rPr>
        <w:t> </w:t>
      </w:r>
      <w:r>
        <w:rPr/>
        <w:t>Conta</w:t>
      </w:r>
      <w:r>
        <w:rPr>
          <w:spacing w:val="-36"/>
        </w:rPr>
        <w:t> </w:t>
      </w:r>
      <w:r>
        <w:rPr/>
        <w:t>de</w:t>
      </w:r>
      <w:r>
        <w:rPr>
          <w:spacing w:val="-37"/>
        </w:rPr>
        <w:t> </w:t>
      </w:r>
      <w:r>
        <w:rPr/>
        <w:t>Compensação</w:t>
      </w:r>
      <w:r>
        <w:rPr>
          <w:spacing w:val="-29"/>
        </w:rPr>
        <w:t> </w:t>
      </w:r>
      <w:r>
        <w:rPr/>
        <w:t>de Variação</w:t>
      </w:r>
      <w:r>
        <w:rPr>
          <w:spacing w:val="-21"/>
        </w:rPr>
        <w:t> </w:t>
      </w:r>
      <w:r>
        <w:rPr/>
        <w:t>da</w:t>
      </w:r>
      <w:r>
        <w:rPr>
          <w:spacing w:val="-20"/>
        </w:rPr>
        <w:t> </w:t>
      </w:r>
      <w:r>
        <w:rPr/>
        <w:t>Parcela</w:t>
      </w:r>
      <w:r>
        <w:rPr>
          <w:spacing w:val="-20"/>
        </w:rPr>
        <w:t> </w:t>
      </w:r>
      <w:r>
        <w:rPr/>
        <w:t>A</w:t>
      </w:r>
      <w:r>
        <w:rPr>
          <w:spacing w:val="-18"/>
        </w:rPr>
        <w:t> </w:t>
      </w:r>
      <w:r>
        <w:rPr>
          <w:w w:val="105"/>
        </w:rPr>
        <w:t>–</w:t>
      </w:r>
      <w:r>
        <w:rPr>
          <w:spacing w:val="-22"/>
          <w:w w:val="105"/>
        </w:rPr>
        <w:t> </w:t>
      </w:r>
      <w:r>
        <w:rPr/>
        <w:t>CVA</w:t>
      </w:r>
      <w:r>
        <w:rPr>
          <w:spacing w:val="-21"/>
        </w:rPr>
        <w:t> </w:t>
      </w:r>
      <w:r>
        <w:rPr/>
        <w:t>e</w:t>
      </w:r>
      <w:r>
        <w:rPr>
          <w:spacing w:val="-21"/>
        </w:rPr>
        <w:t> </w:t>
      </w:r>
      <w:r>
        <w:rPr/>
        <w:t>Itens</w:t>
      </w:r>
      <w:r>
        <w:rPr>
          <w:spacing w:val="-21"/>
        </w:rPr>
        <w:t> </w:t>
      </w:r>
      <w:r>
        <w:rPr/>
        <w:t>Financeiros.</w:t>
      </w:r>
      <w:r>
        <w:rPr>
          <w:spacing w:val="-20"/>
        </w:rPr>
        <w:t> </w:t>
      </w:r>
      <w:r>
        <w:rPr/>
        <w:t>Na</w:t>
      </w:r>
      <w:r>
        <w:rPr>
          <w:spacing w:val="-19"/>
        </w:rPr>
        <w:t> </w:t>
      </w:r>
      <w:r>
        <w:rPr/>
        <w:t>Parcela</w:t>
      </w:r>
      <w:r>
        <w:rPr>
          <w:spacing w:val="-20"/>
        </w:rPr>
        <w:t> </w:t>
      </w:r>
      <w:r>
        <w:rPr/>
        <w:t>B,</w:t>
      </w:r>
      <w:r>
        <w:rPr>
          <w:spacing w:val="-20"/>
        </w:rPr>
        <w:t> </w:t>
      </w:r>
      <w:r>
        <w:rPr/>
        <w:t>conhecido</w:t>
      </w:r>
      <w:r>
        <w:rPr>
          <w:spacing w:val="-21"/>
        </w:rPr>
        <w:t> </w:t>
      </w:r>
      <w:r>
        <w:rPr/>
        <w:t>como</w:t>
      </w:r>
      <w:r>
        <w:rPr>
          <w:spacing w:val="-20"/>
        </w:rPr>
        <w:t> </w:t>
      </w:r>
      <w:r>
        <w:rPr/>
        <w:t>custos</w:t>
      </w:r>
      <w:r>
        <w:rPr>
          <w:spacing w:val="-20"/>
        </w:rPr>
        <w:t> </w:t>
      </w:r>
      <w:r>
        <w:rPr/>
        <w:t>gerenciáveis</w:t>
      </w:r>
      <w:r>
        <w:rPr>
          <w:spacing w:val="-20"/>
        </w:rPr>
        <w:t> </w:t>
      </w:r>
      <w:r>
        <w:rPr/>
        <w:t>tem</w:t>
      </w:r>
      <w:r>
        <w:rPr>
          <w:spacing w:val="-19"/>
        </w:rPr>
        <w:t> </w:t>
      </w:r>
      <w:r>
        <w:rPr/>
        <w:t>os</w:t>
      </w:r>
      <w:r>
        <w:rPr>
          <w:spacing w:val="-21"/>
        </w:rPr>
        <w:t> </w:t>
      </w:r>
      <w:r>
        <w:rPr/>
        <w:t>valores recompostos</w:t>
      </w:r>
      <w:r>
        <w:rPr>
          <w:spacing w:val="-26"/>
        </w:rPr>
        <w:t> </w:t>
      </w:r>
      <w:r>
        <w:rPr/>
        <w:t>pelo</w:t>
      </w:r>
      <w:r>
        <w:rPr>
          <w:spacing w:val="-26"/>
        </w:rPr>
        <w:t> </w:t>
      </w:r>
      <w:r>
        <w:rPr/>
        <w:t>IPCA</w:t>
      </w:r>
      <w:r>
        <w:rPr>
          <w:spacing w:val="-26"/>
        </w:rPr>
        <w:t> </w:t>
      </w:r>
      <w:r>
        <w:rPr/>
        <w:t>mais</w:t>
      </w:r>
      <w:r>
        <w:rPr>
          <w:spacing w:val="-27"/>
        </w:rPr>
        <w:t> </w:t>
      </w:r>
      <w:r>
        <w:rPr/>
        <w:t>o</w:t>
      </w:r>
      <w:r>
        <w:rPr>
          <w:spacing w:val="-26"/>
        </w:rPr>
        <w:t> </w:t>
      </w:r>
      <w:r>
        <w:rPr/>
        <w:t>Fator</w:t>
      </w:r>
      <w:r>
        <w:rPr>
          <w:spacing w:val="-27"/>
        </w:rPr>
        <w:t> </w:t>
      </w:r>
      <w:r>
        <w:rPr/>
        <w:t>X</w:t>
      </w:r>
      <w:r>
        <w:rPr>
          <w:spacing w:val="-25"/>
        </w:rPr>
        <w:t> </w:t>
      </w:r>
      <w:r>
        <w:rPr/>
        <w:t>que</w:t>
      </w:r>
      <w:r>
        <w:rPr>
          <w:spacing w:val="-25"/>
        </w:rPr>
        <w:t> </w:t>
      </w:r>
      <w:r>
        <w:rPr/>
        <w:t>é</w:t>
      </w:r>
      <w:r>
        <w:rPr>
          <w:spacing w:val="-27"/>
        </w:rPr>
        <w:t> </w:t>
      </w:r>
      <w:r>
        <w:rPr/>
        <w:t>composto</w:t>
      </w:r>
      <w:r>
        <w:rPr>
          <w:spacing w:val="-24"/>
        </w:rPr>
        <w:t> </w:t>
      </w:r>
      <w:r>
        <w:rPr/>
        <w:t>pelos</w:t>
      </w:r>
      <w:r>
        <w:rPr>
          <w:spacing w:val="-26"/>
        </w:rPr>
        <w:t> </w:t>
      </w:r>
      <w:r>
        <w:rPr/>
        <w:t>índices</w:t>
      </w:r>
      <w:r>
        <w:rPr>
          <w:spacing w:val="-26"/>
        </w:rPr>
        <w:t> </w:t>
      </w:r>
      <w:r>
        <w:rPr/>
        <w:t>de</w:t>
      </w:r>
      <w:r>
        <w:rPr>
          <w:spacing w:val="-25"/>
        </w:rPr>
        <w:t> </w:t>
      </w:r>
      <w:r>
        <w:rPr/>
        <w:t>produtividade,</w:t>
      </w:r>
      <w:r>
        <w:rPr>
          <w:spacing w:val="-26"/>
        </w:rPr>
        <w:t> </w:t>
      </w:r>
      <w:r>
        <w:rPr/>
        <w:t>trajetória</w:t>
      </w:r>
      <w:r>
        <w:rPr>
          <w:spacing w:val="-26"/>
        </w:rPr>
        <w:t> </w:t>
      </w:r>
      <w:r>
        <w:rPr/>
        <w:t>de</w:t>
      </w:r>
      <w:r>
        <w:rPr>
          <w:spacing w:val="-27"/>
        </w:rPr>
        <w:t> </w:t>
      </w:r>
      <w:r>
        <w:rPr/>
        <w:t>adequação</w:t>
      </w:r>
      <w:r>
        <w:rPr>
          <w:spacing w:val="-25"/>
        </w:rPr>
        <w:t> </w:t>
      </w:r>
      <w:r>
        <w:rPr/>
        <w:t>dos custos</w:t>
      </w:r>
      <w:r>
        <w:rPr>
          <w:spacing w:val="-19"/>
        </w:rPr>
        <w:t> </w:t>
      </w:r>
      <w:r>
        <w:rPr/>
        <w:t>operacionais</w:t>
      </w:r>
      <w:r>
        <w:rPr>
          <w:spacing w:val="-16"/>
        </w:rPr>
        <w:t> </w:t>
      </w:r>
      <w:r>
        <w:rPr/>
        <w:t>e</w:t>
      </w:r>
      <w:r>
        <w:rPr>
          <w:spacing w:val="-20"/>
        </w:rPr>
        <w:t> </w:t>
      </w:r>
      <w:r>
        <w:rPr/>
        <w:t>incentivo</w:t>
      </w:r>
      <w:r>
        <w:rPr>
          <w:spacing w:val="-18"/>
        </w:rPr>
        <w:t> </w:t>
      </w:r>
      <w:r>
        <w:rPr/>
        <w:t>a</w:t>
      </w:r>
      <w:r>
        <w:rPr>
          <w:spacing w:val="-18"/>
        </w:rPr>
        <w:t> </w:t>
      </w:r>
      <w:r>
        <w:rPr/>
        <w:t>qualidade.</w:t>
      </w:r>
    </w:p>
    <w:p>
      <w:pPr>
        <w:pStyle w:val="BodyText"/>
        <w:spacing w:before="8"/>
      </w:pPr>
    </w:p>
    <w:p>
      <w:pPr>
        <w:pStyle w:val="BodyText"/>
        <w:spacing w:line="242" w:lineRule="auto"/>
        <w:ind w:left="172" w:right="407"/>
        <w:jc w:val="both"/>
      </w:pPr>
      <w:r>
        <w:rPr/>
        <w:t>As</w:t>
      </w:r>
      <w:r>
        <w:rPr>
          <w:spacing w:val="-6"/>
        </w:rPr>
        <w:t> </w:t>
      </w:r>
      <w:r>
        <w:rPr/>
        <w:t>tarifas</w:t>
      </w:r>
      <w:r>
        <w:rPr>
          <w:spacing w:val="-5"/>
        </w:rPr>
        <w:t> </w:t>
      </w:r>
      <w:r>
        <w:rPr/>
        <w:t>praticadas</w:t>
      </w:r>
      <w:r>
        <w:rPr>
          <w:spacing w:val="-5"/>
        </w:rPr>
        <w:t> </w:t>
      </w:r>
      <w:r>
        <w:rPr/>
        <w:t>tiveram</w:t>
      </w:r>
      <w:r>
        <w:rPr>
          <w:spacing w:val="-5"/>
        </w:rPr>
        <w:t> </w:t>
      </w:r>
      <w:r>
        <w:rPr/>
        <w:t>efeito</w:t>
      </w:r>
      <w:r>
        <w:rPr>
          <w:spacing w:val="-5"/>
        </w:rPr>
        <w:t> </w:t>
      </w:r>
      <w:r>
        <w:rPr/>
        <w:t>médio</w:t>
      </w:r>
      <w:r>
        <w:rPr>
          <w:spacing w:val="-6"/>
        </w:rPr>
        <w:t> </w:t>
      </w:r>
      <w:r>
        <w:rPr/>
        <w:t>a</w:t>
      </w:r>
      <w:r>
        <w:rPr>
          <w:spacing w:val="-4"/>
        </w:rPr>
        <w:t> </w:t>
      </w:r>
      <w:r>
        <w:rPr/>
        <w:t>ser</w:t>
      </w:r>
      <w:r>
        <w:rPr>
          <w:spacing w:val="-6"/>
        </w:rPr>
        <w:t> </w:t>
      </w:r>
      <w:r>
        <w:rPr/>
        <w:t>percebido</w:t>
      </w:r>
      <w:r>
        <w:rPr>
          <w:spacing w:val="-3"/>
        </w:rPr>
        <w:t> </w:t>
      </w:r>
      <w:r>
        <w:rPr/>
        <w:t>pelos</w:t>
      </w:r>
      <w:r>
        <w:rPr>
          <w:spacing w:val="-6"/>
        </w:rPr>
        <w:t> </w:t>
      </w:r>
      <w:r>
        <w:rPr/>
        <w:t>consumidores</w:t>
      </w:r>
      <w:r>
        <w:rPr>
          <w:spacing w:val="-5"/>
        </w:rPr>
        <w:t> </w:t>
      </w:r>
      <w:r>
        <w:rPr/>
        <w:t>de</w:t>
      </w:r>
      <w:r>
        <w:rPr>
          <w:spacing w:val="1"/>
        </w:rPr>
        <w:t> </w:t>
      </w:r>
      <w:r>
        <w:rPr/>
        <w:t>-6,79%,</w:t>
      </w:r>
      <w:r>
        <w:rPr>
          <w:spacing w:val="-3"/>
        </w:rPr>
        <w:t> </w:t>
      </w:r>
      <w:r>
        <w:rPr/>
        <w:t>sendo</w:t>
      </w:r>
      <w:r>
        <w:rPr>
          <w:spacing w:val="-5"/>
        </w:rPr>
        <w:t> </w:t>
      </w:r>
      <w:r>
        <w:rPr/>
        <w:t>-6,91%</w:t>
      </w:r>
      <w:r>
        <w:rPr>
          <w:spacing w:val="-5"/>
        </w:rPr>
        <w:t> </w:t>
      </w:r>
      <w:r>
        <w:rPr/>
        <w:t>para</w:t>
      </w:r>
      <w:r>
        <w:rPr>
          <w:spacing w:val="-4"/>
        </w:rPr>
        <w:t> </w:t>
      </w:r>
      <w:r>
        <w:rPr/>
        <w:t>as unidades</w:t>
      </w:r>
      <w:r>
        <w:rPr>
          <w:spacing w:val="-26"/>
        </w:rPr>
        <w:t> </w:t>
      </w:r>
      <w:r>
        <w:rPr/>
        <w:t>consumidoras</w:t>
      </w:r>
      <w:r>
        <w:rPr>
          <w:spacing w:val="-27"/>
        </w:rPr>
        <w:t> </w:t>
      </w:r>
      <w:r>
        <w:rPr/>
        <w:t>atendidas</w:t>
      </w:r>
      <w:r>
        <w:rPr>
          <w:spacing w:val="-28"/>
        </w:rPr>
        <w:t> </w:t>
      </w:r>
      <w:r>
        <w:rPr/>
        <w:t>em</w:t>
      </w:r>
      <w:r>
        <w:rPr>
          <w:spacing w:val="-26"/>
        </w:rPr>
        <w:t> </w:t>
      </w:r>
      <w:r>
        <w:rPr/>
        <w:t>baixa</w:t>
      </w:r>
      <w:r>
        <w:rPr>
          <w:spacing w:val="-28"/>
        </w:rPr>
        <w:t> </w:t>
      </w:r>
      <w:r>
        <w:rPr/>
        <w:t>tensão</w:t>
      </w:r>
      <w:r>
        <w:rPr>
          <w:spacing w:val="-26"/>
        </w:rPr>
        <w:t> </w:t>
      </w:r>
      <w:r>
        <w:rPr/>
        <w:t>e</w:t>
      </w:r>
      <w:r>
        <w:rPr>
          <w:spacing w:val="-25"/>
        </w:rPr>
        <w:t> </w:t>
      </w:r>
      <w:r>
        <w:rPr/>
        <w:t>-6,52%</w:t>
      </w:r>
      <w:r>
        <w:rPr>
          <w:spacing w:val="-28"/>
        </w:rPr>
        <w:t> </w:t>
      </w:r>
      <w:r>
        <w:rPr/>
        <w:t>para</w:t>
      </w:r>
      <w:r>
        <w:rPr>
          <w:spacing w:val="-27"/>
        </w:rPr>
        <w:t> </w:t>
      </w:r>
      <w:r>
        <w:rPr/>
        <w:t>aquelas</w:t>
      </w:r>
      <w:r>
        <w:rPr>
          <w:spacing w:val="-28"/>
        </w:rPr>
        <w:t> </w:t>
      </w:r>
      <w:r>
        <w:rPr/>
        <w:t>unidades</w:t>
      </w:r>
      <w:r>
        <w:rPr>
          <w:spacing w:val="-27"/>
        </w:rPr>
        <w:t> </w:t>
      </w:r>
      <w:r>
        <w:rPr/>
        <w:t>atendidas</w:t>
      </w:r>
      <w:r>
        <w:rPr>
          <w:spacing w:val="-28"/>
        </w:rPr>
        <w:t> </w:t>
      </w:r>
      <w:r>
        <w:rPr/>
        <w:t>em</w:t>
      </w:r>
      <w:r>
        <w:rPr>
          <w:spacing w:val="-28"/>
        </w:rPr>
        <w:t> </w:t>
      </w:r>
      <w:r>
        <w:rPr/>
        <w:t>alta</w:t>
      </w:r>
      <w:r>
        <w:rPr>
          <w:spacing w:val="-28"/>
        </w:rPr>
        <w:t> </w:t>
      </w:r>
      <w:r>
        <w:rPr/>
        <w:t>tensão.</w:t>
      </w:r>
    </w:p>
    <w:p>
      <w:pPr>
        <w:pStyle w:val="BodyText"/>
        <w:spacing w:before="9"/>
      </w:pPr>
    </w:p>
    <w:p>
      <w:pPr>
        <w:pStyle w:val="BodyText"/>
        <w:spacing w:line="242" w:lineRule="auto"/>
        <w:ind w:left="172" w:right="409"/>
        <w:jc w:val="both"/>
      </w:pPr>
      <w:r>
        <w:rPr/>
        <w:t>No</w:t>
      </w:r>
      <w:r>
        <w:rPr>
          <w:spacing w:val="-43"/>
        </w:rPr>
        <w:t> </w:t>
      </w:r>
      <w:r>
        <w:rPr/>
        <w:t>referido</w:t>
      </w:r>
      <w:r>
        <w:rPr>
          <w:spacing w:val="-42"/>
        </w:rPr>
        <w:t> </w:t>
      </w:r>
      <w:r>
        <w:rPr/>
        <w:t>processo</w:t>
      </w:r>
      <w:r>
        <w:rPr>
          <w:spacing w:val="-43"/>
        </w:rPr>
        <w:t> </w:t>
      </w:r>
      <w:r>
        <w:rPr/>
        <w:t>tarifário,</w:t>
      </w:r>
      <w:r>
        <w:rPr>
          <w:spacing w:val="-42"/>
        </w:rPr>
        <w:t> </w:t>
      </w:r>
      <w:r>
        <w:rPr/>
        <w:t>os</w:t>
      </w:r>
      <w:r>
        <w:rPr>
          <w:spacing w:val="-42"/>
        </w:rPr>
        <w:t> </w:t>
      </w:r>
      <w:r>
        <w:rPr/>
        <w:t>itens</w:t>
      </w:r>
      <w:r>
        <w:rPr>
          <w:spacing w:val="-43"/>
        </w:rPr>
        <w:t> </w:t>
      </w:r>
      <w:r>
        <w:rPr/>
        <w:t>de</w:t>
      </w:r>
      <w:r>
        <w:rPr>
          <w:spacing w:val="-42"/>
        </w:rPr>
        <w:t> </w:t>
      </w:r>
      <w:r>
        <w:rPr/>
        <w:t>efeito</w:t>
      </w:r>
      <w:r>
        <w:rPr>
          <w:spacing w:val="-41"/>
        </w:rPr>
        <w:t> </w:t>
      </w:r>
      <w:r>
        <w:rPr/>
        <w:t>relevante</w:t>
      </w:r>
      <w:r>
        <w:rPr>
          <w:spacing w:val="-43"/>
        </w:rPr>
        <w:t> </w:t>
      </w:r>
      <w:r>
        <w:rPr/>
        <w:t>foram</w:t>
      </w:r>
      <w:r>
        <w:rPr>
          <w:spacing w:val="-43"/>
        </w:rPr>
        <w:t> </w:t>
      </w:r>
      <w:r>
        <w:rPr/>
        <w:t>os</w:t>
      </w:r>
      <w:r>
        <w:rPr>
          <w:spacing w:val="-42"/>
        </w:rPr>
        <w:t> </w:t>
      </w:r>
      <w:r>
        <w:rPr/>
        <w:t>encargos</w:t>
      </w:r>
      <w:r>
        <w:rPr>
          <w:spacing w:val="-42"/>
        </w:rPr>
        <w:t> </w:t>
      </w:r>
      <w:r>
        <w:rPr/>
        <w:t>setoriais,</w:t>
      </w:r>
      <w:r>
        <w:rPr>
          <w:spacing w:val="-42"/>
        </w:rPr>
        <w:t> </w:t>
      </w:r>
      <w:r>
        <w:rPr/>
        <w:t>especificamente</w:t>
      </w:r>
      <w:r>
        <w:rPr>
          <w:spacing w:val="-43"/>
        </w:rPr>
        <w:t> </w:t>
      </w:r>
      <w:r>
        <w:rPr/>
        <w:t>a</w:t>
      </w:r>
      <w:r>
        <w:rPr>
          <w:spacing w:val="-42"/>
        </w:rPr>
        <w:t> </w:t>
      </w:r>
      <w:r>
        <w:rPr/>
        <w:t>conta</w:t>
      </w:r>
      <w:r>
        <w:rPr>
          <w:spacing w:val="-42"/>
        </w:rPr>
        <w:t> </w:t>
      </w:r>
      <w:r>
        <w:rPr/>
        <w:t>CDE, com</w:t>
      </w:r>
      <w:r>
        <w:rPr>
          <w:spacing w:val="-32"/>
        </w:rPr>
        <w:t> </w:t>
      </w:r>
      <w:r>
        <w:rPr/>
        <w:t>impacto</w:t>
      </w:r>
      <w:r>
        <w:rPr>
          <w:spacing w:val="-29"/>
        </w:rPr>
        <w:t> </w:t>
      </w:r>
      <w:r>
        <w:rPr/>
        <w:t>médio</w:t>
      </w:r>
      <w:r>
        <w:rPr>
          <w:spacing w:val="-30"/>
        </w:rPr>
        <w:t> </w:t>
      </w:r>
      <w:r>
        <w:rPr/>
        <w:t>de</w:t>
      </w:r>
      <w:r>
        <w:rPr>
          <w:spacing w:val="-29"/>
        </w:rPr>
        <w:t> </w:t>
      </w:r>
      <w:r>
        <w:rPr/>
        <w:t>-7,17%.</w:t>
      </w:r>
      <w:r>
        <w:rPr>
          <w:spacing w:val="-31"/>
        </w:rPr>
        <w:t> </w:t>
      </w:r>
      <w:r>
        <w:rPr/>
        <w:t>Destaca-se</w:t>
      </w:r>
      <w:r>
        <w:rPr>
          <w:spacing w:val="-32"/>
        </w:rPr>
        <w:t> </w:t>
      </w:r>
      <w:r>
        <w:rPr/>
        <w:t>a</w:t>
      </w:r>
      <w:r>
        <w:rPr>
          <w:spacing w:val="-30"/>
        </w:rPr>
        <w:t> </w:t>
      </w:r>
      <w:r>
        <w:rPr/>
        <w:t>revisão</w:t>
      </w:r>
      <w:r>
        <w:rPr>
          <w:spacing w:val="-30"/>
        </w:rPr>
        <w:t> </w:t>
      </w:r>
      <w:r>
        <w:rPr/>
        <w:t>do</w:t>
      </w:r>
      <w:r>
        <w:rPr>
          <w:spacing w:val="-29"/>
        </w:rPr>
        <w:t> </w:t>
      </w:r>
      <w:r>
        <w:rPr/>
        <w:t>orçamento</w:t>
      </w:r>
      <w:r>
        <w:rPr>
          <w:spacing w:val="-30"/>
        </w:rPr>
        <w:t> </w:t>
      </w:r>
      <w:r>
        <w:rPr/>
        <w:t>da</w:t>
      </w:r>
      <w:r>
        <w:rPr>
          <w:spacing w:val="-31"/>
        </w:rPr>
        <w:t> </w:t>
      </w:r>
      <w:r>
        <w:rPr/>
        <w:t>CDE</w:t>
      </w:r>
      <w:r>
        <w:rPr>
          <w:spacing w:val="-26"/>
        </w:rPr>
        <w:t> </w:t>
      </w:r>
      <w:r>
        <w:rPr/>
        <w:t>–USO</w:t>
      </w:r>
      <w:r>
        <w:rPr>
          <w:spacing w:val="-30"/>
        </w:rPr>
        <w:t> </w:t>
      </w:r>
      <w:r>
        <w:rPr/>
        <w:t>que</w:t>
      </w:r>
      <w:r>
        <w:rPr>
          <w:spacing w:val="-28"/>
        </w:rPr>
        <w:t> </w:t>
      </w:r>
      <w:r>
        <w:rPr/>
        <w:t>contribuiu</w:t>
      </w:r>
      <w:r>
        <w:rPr>
          <w:spacing w:val="-29"/>
        </w:rPr>
        <w:t> </w:t>
      </w:r>
      <w:r>
        <w:rPr/>
        <w:t>com</w:t>
      </w:r>
      <w:r>
        <w:rPr>
          <w:spacing w:val="-30"/>
        </w:rPr>
        <w:t> </w:t>
      </w:r>
      <w:r>
        <w:rPr/>
        <w:t>apenas</w:t>
      </w:r>
      <w:r>
        <w:rPr>
          <w:spacing w:val="-30"/>
        </w:rPr>
        <w:t> </w:t>
      </w:r>
      <w:r>
        <w:rPr/>
        <w:t>0,77%.</w:t>
      </w:r>
      <w:r>
        <w:rPr>
          <w:spacing w:val="-31"/>
        </w:rPr>
        <w:t> </w:t>
      </w:r>
      <w:r>
        <w:rPr/>
        <w:t>A retirada dos custos da CONTA ACR das tarifas de fornecimento contribuiu com efeito de -5,92% de variação no reajuste</w:t>
      </w:r>
      <w:r>
        <w:rPr>
          <w:spacing w:val="-26"/>
        </w:rPr>
        <w:t> </w:t>
      </w:r>
      <w:r>
        <w:rPr/>
        <w:t>em</w:t>
      </w:r>
      <w:r>
        <w:rPr>
          <w:spacing w:val="-25"/>
        </w:rPr>
        <w:t> </w:t>
      </w:r>
      <w:r>
        <w:rPr/>
        <w:t>vigor.</w:t>
      </w:r>
      <w:r>
        <w:rPr>
          <w:spacing w:val="-24"/>
        </w:rPr>
        <w:t> </w:t>
      </w:r>
      <w:r>
        <w:rPr/>
        <w:t>Esse</w:t>
      </w:r>
      <w:r>
        <w:rPr>
          <w:spacing w:val="-24"/>
        </w:rPr>
        <w:t> </w:t>
      </w:r>
      <w:r>
        <w:rPr/>
        <w:t>efeito</w:t>
      </w:r>
      <w:r>
        <w:rPr>
          <w:spacing w:val="-26"/>
        </w:rPr>
        <w:t> </w:t>
      </w:r>
      <w:r>
        <w:rPr/>
        <w:t>foi</w:t>
      </w:r>
      <w:r>
        <w:rPr>
          <w:spacing w:val="-25"/>
        </w:rPr>
        <w:t> </w:t>
      </w:r>
      <w:r>
        <w:rPr/>
        <w:t>devido</w:t>
      </w:r>
      <w:r>
        <w:rPr>
          <w:spacing w:val="-25"/>
        </w:rPr>
        <w:t> </w:t>
      </w:r>
      <w:r>
        <w:rPr/>
        <w:t>a</w:t>
      </w:r>
      <w:r>
        <w:rPr>
          <w:spacing w:val="-24"/>
        </w:rPr>
        <w:t> </w:t>
      </w:r>
      <w:r>
        <w:rPr/>
        <w:t>quitação</w:t>
      </w:r>
      <w:r>
        <w:rPr>
          <w:spacing w:val="-25"/>
        </w:rPr>
        <w:t> </w:t>
      </w:r>
      <w:r>
        <w:rPr/>
        <w:t>antecipada</w:t>
      </w:r>
      <w:r>
        <w:rPr>
          <w:spacing w:val="-24"/>
        </w:rPr>
        <w:t> </w:t>
      </w:r>
      <w:r>
        <w:rPr/>
        <w:t>dos</w:t>
      </w:r>
      <w:r>
        <w:rPr>
          <w:spacing w:val="-25"/>
        </w:rPr>
        <w:t> </w:t>
      </w:r>
      <w:r>
        <w:rPr/>
        <w:t>empréstimos</w:t>
      </w:r>
      <w:r>
        <w:rPr>
          <w:spacing w:val="-24"/>
        </w:rPr>
        <w:t> </w:t>
      </w:r>
      <w:r>
        <w:rPr/>
        <w:t>pela</w:t>
      </w:r>
      <w:r>
        <w:rPr>
          <w:spacing w:val="-25"/>
        </w:rPr>
        <w:t> </w:t>
      </w:r>
      <w:r>
        <w:rPr/>
        <w:t>atuação</w:t>
      </w:r>
      <w:r>
        <w:rPr>
          <w:spacing w:val="-24"/>
        </w:rPr>
        <w:t> </w:t>
      </w:r>
      <w:r>
        <w:rPr/>
        <w:t>conjunta</w:t>
      </w:r>
      <w:r>
        <w:rPr>
          <w:spacing w:val="-25"/>
        </w:rPr>
        <w:t> </w:t>
      </w:r>
      <w:r>
        <w:rPr/>
        <w:t>da</w:t>
      </w:r>
      <w:r>
        <w:rPr>
          <w:spacing w:val="-24"/>
        </w:rPr>
        <w:t> </w:t>
      </w:r>
      <w:r>
        <w:rPr/>
        <w:t>Agente Reguladora,</w:t>
      </w:r>
      <w:r>
        <w:rPr>
          <w:spacing w:val="-27"/>
        </w:rPr>
        <w:t> </w:t>
      </w:r>
      <w:r>
        <w:rPr/>
        <w:t>Câmara</w:t>
      </w:r>
      <w:r>
        <w:rPr>
          <w:spacing w:val="-26"/>
        </w:rPr>
        <w:t> </w:t>
      </w:r>
      <w:r>
        <w:rPr/>
        <w:t>de</w:t>
      </w:r>
      <w:r>
        <w:rPr>
          <w:spacing w:val="-27"/>
        </w:rPr>
        <w:t> </w:t>
      </w:r>
      <w:r>
        <w:rPr/>
        <w:t>Comercialização</w:t>
      </w:r>
      <w:r>
        <w:rPr>
          <w:spacing w:val="-27"/>
        </w:rPr>
        <w:t> </w:t>
      </w:r>
      <w:r>
        <w:rPr/>
        <w:t>de</w:t>
      </w:r>
      <w:r>
        <w:rPr>
          <w:spacing w:val="-27"/>
        </w:rPr>
        <w:t> </w:t>
      </w:r>
      <w:r>
        <w:rPr/>
        <w:t>Energia</w:t>
      </w:r>
      <w:r>
        <w:rPr>
          <w:spacing w:val="-26"/>
        </w:rPr>
        <w:t> </w:t>
      </w:r>
      <w:r>
        <w:rPr/>
        <w:t>Elétrica</w:t>
      </w:r>
      <w:r>
        <w:rPr>
          <w:spacing w:val="-20"/>
        </w:rPr>
        <w:t> </w:t>
      </w:r>
      <w:r>
        <w:rPr>
          <w:w w:val="105"/>
        </w:rPr>
        <w:t>–</w:t>
      </w:r>
      <w:r>
        <w:rPr>
          <w:spacing w:val="-28"/>
          <w:w w:val="105"/>
        </w:rPr>
        <w:t> </w:t>
      </w:r>
      <w:r>
        <w:rPr/>
        <w:t>CCEE,</w:t>
      </w:r>
      <w:r>
        <w:rPr>
          <w:spacing w:val="-27"/>
        </w:rPr>
        <w:t> </w:t>
      </w:r>
      <w:r>
        <w:rPr/>
        <w:t>e</w:t>
      </w:r>
      <w:r>
        <w:rPr>
          <w:spacing w:val="-27"/>
        </w:rPr>
        <w:t> </w:t>
      </w:r>
      <w:r>
        <w:rPr/>
        <w:t>do</w:t>
      </w:r>
      <w:r>
        <w:rPr>
          <w:spacing w:val="-26"/>
        </w:rPr>
        <w:t> </w:t>
      </w:r>
      <w:r>
        <w:rPr/>
        <w:t>MME</w:t>
      </w:r>
      <w:r>
        <w:rPr>
          <w:spacing w:val="-26"/>
        </w:rPr>
        <w:t> </w:t>
      </w:r>
      <w:r>
        <w:rPr/>
        <w:t>perante</w:t>
      </w:r>
      <w:r>
        <w:rPr>
          <w:spacing w:val="-28"/>
        </w:rPr>
        <w:t> </w:t>
      </w:r>
      <w:r>
        <w:rPr/>
        <w:t>os</w:t>
      </w:r>
      <w:r>
        <w:rPr>
          <w:spacing w:val="-24"/>
        </w:rPr>
        <w:t> </w:t>
      </w:r>
      <w:r>
        <w:rPr/>
        <w:t>bancos</w:t>
      </w:r>
      <w:r>
        <w:rPr>
          <w:spacing w:val="-26"/>
        </w:rPr>
        <w:t> </w:t>
      </w:r>
      <w:r>
        <w:rPr/>
        <w:t>credores.</w:t>
      </w:r>
    </w:p>
    <w:p>
      <w:pPr>
        <w:pStyle w:val="BodyText"/>
        <w:spacing w:before="6"/>
      </w:pPr>
    </w:p>
    <w:p>
      <w:pPr>
        <w:pStyle w:val="BodyText"/>
        <w:spacing w:line="242" w:lineRule="auto" w:before="1"/>
        <w:ind w:left="172" w:right="408"/>
        <w:jc w:val="both"/>
      </w:pPr>
      <w:r>
        <w:rPr/>
        <w:t>Desse</w:t>
      </w:r>
      <w:r>
        <w:rPr>
          <w:spacing w:val="-7"/>
        </w:rPr>
        <w:t> </w:t>
      </w:r>
      <w:r>
        <w:rPr/>
        <w:t>índice</w:t>
      </w:r>
      <w:r>
        <w:rPr>
          <w:spacing w:val="-7"/>
        </w:rPr>
        <w:t> </w:t>
      </w:r>
      <w:r>
        <w:rPr/>
        <w:t>de</w:t>
      </w:r>
      <w:r>
        <w:rPr>
          <w:spacing w:val="-6"/>
        </w:rPr>
        <w:t> </w:t>
      </w:r>
      <w:r>
        <w:rPr/>
        <w:t>reajuste</w:t>
      </w:r>
      <w:r>
        <w:rPr>
          <w:spacing w:val="-7"/>
        </w:rPr>
        <w:t> </w:t>
      </w:r>
      <w:r>
        <w:rPr/>
        <w:t>tarifário,</w:t>
      </w:r>
      <w:r>
        <w:rPr>
          <w:spacing w:val="-5"/>
        </w:rPr>
        <w:t> </w:t>
      </w:r>
      <w:r>
        <w:rPr/>
        <w:t>a</w:t>
      </w:r>
      <w:r>
        <w:rPr>
          <w:spacing w:val="-7"/>
        </w:rPr>
        <w:t> </w:t>
      </w:r>
      <w:r>
        <w:rPr/>
        <w:t>variação</w:t>
      </w:r>
      <w:r>
        <w:rPr>
          <w:spacing w:val="-7"/>
        </w:rPr>
        <w:t> </w:t>
      </w:r>
      <w:r>
        <w:rPr/>
        <w:t>dos</w:t>
      </w:r>
      <w:r>
        <w:rPr>
          <w:spacing w:val="-5"/>
        </w:rPr>
        <w:t> </w:t>
      </w:r>
      <w:r>
        <w:rPr/>
        <w:t>custos</w:t>
      </w:r>
      <w:r>
        <w:rPr>
          <w:spacing w:val="-8"/>
        </w:rPr>
        <w:t> </w:t>
      </w:r>
      <w:r>
        <w:rPr/>
        <w:t>de</w:t>
      </w:r>
      <w:r>
        <w:rPr>
          <w:spacing w:val="-6"/>
        </w:rPr>
        <w:t> </w:t>
      </w:r>
      <w:r>
        <w:rPr/>
        <w:t>Parcela</w:t>
      </w:r>
      <w:r>
        <w:rPr>
          <w:spacing w:val="-7"/>
        </w:rPr>
        <w:t> </w:t>
      </w:r>
      <w:r>
        <w:rPr/>
        <w:t>A</w:t>
      </w:r>
      <w:r>
        <w:rPr>
          <w:spacing w:val="-5"/>
        </w:rPr>
        <w:t> </w:t>
      </w:r>
      <w:r>
        <w:rPr/>
        <w:t>contribuiu</w:t>
      </w:r>
      <w:r>
        <w:rPr>
          <w:spacing w:val="-5"/>
        </w:rPr>
        <w:t> </w:t>
      </w:r>
      <w:r>
        <w:rPr/>
        <w:t>para</w:t>
      </w:r>
      <w:r>
        <w:rPr>
          <w:spacing w:val="-6"/>
        </w:rPr>
        <w:t> </w:t>
      </w:r>
      <w:r>
        <w:rPr/>
        <w:t>o</w:t>
      </w:r>
      <w:r>
        <w:rPr>
          <w:spacing w:val="-6"/>
        </w:rPr>
        <w:t> </w:t>
      </w:r>
      <w:r>
        <w:rPr/>
        <w:t>efeito</w:t>
      </w:r>
      <w:r>
        <w:rPr>
          <w:spacing w:val="-6"/>
        </w:rPr>
        <w:t> </w:t>
      </w:r>
      <w:r>
        <w:rPr/>
        <w:t>médio</w:t>
      </w:r>
      <w:r>
        <w:rPr>
          <w:spacing w:val="-6"/>
        </w:rPr>
        <w:t> </w:t>
      </w:r>
      <w:r>
        <w:rPr/>
        <w:t>em</w:t>
      </w:r>
      <w:r>
        <w:rPr>
          <w:spacing w:val="4"/>
        </w:rPr>
        <w:t> </w:t>
      </w:r>
      <w:r>
        <w:rPr/>
        <w:t>-4,96% enquanto</w:t>
      </w:r>
      <w:r>
        <w:rPr>
          <w:spacing w:val="-18"/>
        </w:rPr>
        <w:t> </w:t>
      </w:r>
      <w:r>
        <w:rPr/>
        <w:t>a</w:t>
      </w:r>
      <w:r>
        <w:rPr>
          <w:spacing w:val="-19"/>
        </w:rPr>
        <w:t> </w:t>
      </w:r>
      <w:r>
        <w:rPr/>
        <w:t>variação</w:t>
      </w:r>
      <w:r>
        <w:rPr>
          <w:spacing w:val="-19"/>
        </w:rPr>
        <w:t> </w:t>
      </w:r>
      <w:r>
        <w:rPr/>
        <w:t>de</w:t>
      </w:r>
      <w:r>
        <w:rPr>
          <w:spacing w:val="-21"/>
        </w:rPr>
        <w:t> </w:t>
      </w:r>
      <w:r>
        <w:rPr/>
        <w:t>custos</w:t>
      </w:r>
      <w:r>
        <w:rPr>
          <w:spacing w:val="-19"/>
        </w:rPr>
        <w:t> </w:t>
      </w:r>
      <w:r>
        <w:rPr/>
        <w:t>de</w:t>
      </w:r>
      <w:r>
        <w:rPr>
          <w:spacing w:val="-18"/>
        </w:rPr>
        <w:t> </w:t>
      </w:r>
      <w:r>
        <w:rPr/>
        <w:t>Parcela</w:t>
      </w:r>
      <w:r>
        <w:rPr>
          <w:spacing w:val="-19"/>
        </w:rPr>
        <w:t> </w:t>
      </w:r>
      <w:r>
        <w:rPr/>
        <w:t>B</w:t>
      </w:r>
      <w:r>
        <w:rPr>
          <w:spacing w:val="-19"/>
        </w:rPr>
        <w:t> </w:t>
      </w:r>
      <w:r>
        <w:rPr/>
        <w:t>foi</w:t>
      </w:r>
      <w:r>
        <w:rPr>
          <w:spacing w:val="-17"/>
        </w:rPr>
        <w:t> </w:t>
      </w:r>
      <w:r>
        <w:rPr/>
        <w:t>responsável</w:t>
      </w:r>
      <w:r>
        <w:rPr>
          <w:spacing w:val="-19"/>
        </w:rPr>
        <w:t> </w:t>
      </w:r>
      <w:r>
        <w:rPr/>
        <w:t>por</w:t>
      </w:r>
      <w:r>
        <w:rPr>
          <w:spacing w:val="-19"/>
        </w:rPr>
        <w:t> </w:t>
      </w:r>
      <w:r>
        <w:rPr/>
        <w:t>0,65%.</w:t>
      </w:r>
    </w:p>
    <w:p>
      <w:pPr>
        <w:pStyle w:val="BodyText"/>
        <w:spacing w:before="9"/>
      </w:pPr>
    </w:p>
    <w:p>
      <w:pPr>
        <w:pStyle w:val="BodyText"/>
        <w:spacing w:line="242" w:lineRule="auto"/>
        <w:ind w:left="172" w:right="411"/>
        <w:jc w:val="both"/>
      </w:pPr>
      <w:r>
        <w:rPr/>
        <w:t>Nesse</w:t>
      </w:r>
      <w:r>
        <w:rPr>
          <w:spacing w:val="-44"/>
        </w:rPr>
        <w:t> </w:t>
      </w:r>
      <w:r>
        <w:rPr/>
        <w:t>processo,</w:t>
      </w:r>
      <w:r>
        <w:rPr>
          <w:spacing w:val="-43"/>
        </w:rPr>
        <w:t> </w:t>
      </w:r>
      <w:r>
        <w:rPr/>
        <w:t>houve</w:t>
      </w:r>
      <w:r>
        <w:rPr>
          <w:spacing w:val="-43"/>
        </w:rPr>
        <w:t> </w:t>
      </w:r>
      <w:r>
        <w:rPr/>
        <w:t>o</w:t>
      </w:r>
      <w:r>
        <w:rPr>
          <w:spacing w:val="-43"/>
        </w:rPr>
        <w:t> </w:t>
      </w:r>
      <w:r>
        <w:rPr/>
        <w:t>ajuste</w:t>
      </w:r>
      <w:r>
        <w:rPr>
          <w:spacing w:val="-43"/>
        </w:rPr>
        <w:t> </w:t>
      </w:r>
      <w:r>
        <w:rPr/>
        <w:t>dos</w:t>
      </w:r>
      <w:r>
        <w:rPr>
          <w:spacing w:val="-44"/>
        </w:rPr>
        <w:t> </w:t>
      </w:r>
      <w:r>
        <w:rPr/>
        <w:t>itens</w:t>
      </w:r>
      <w:r>
        <w:rPr>
          <w:spacing w:val="-43"/>
        </w:rPr>
        <w:t> </w:t>
      </w:r>
      <w:r>
        <w:rPr/>
        <w:t>financeiros</w:t>
      </w:r>
      <w:r>
        <w:rPr>
          <w:spacing w:val="-42"/>
        </w:rPr>
        <w:t> </w:t>
      </w:r>
      <w:r>
        <w:rPr/>
        <w:t>reconhecidos</w:t>
      </w:r>
      <w:r>
        <w:rPr>
          <w:spacing w:val="-44"/>
        </w:rPr>
        <w:t> </w:t>
      </w:r>
      <w:r>
        <w:rPr/>
        <w:t>pela</w:t>
      </w:r>
      <w:r>
        <w:rPr>
          <w:spacing w:val="-43"/>
        </w:rPr>
        <w:t> </w:t>
      </w:r>
      <w:r>
        <w:rPr/>
        <w:t>Aneel</w:t>
      </w:r>
      <w:r>
        <w:rPr>
          <w:spacing w:val="-42"/>
        </w:rPr>
        <w:t> </w:t>
      </w:r>
      <w:r>
        <w:rPr/>
        <w:t>que</w:t>
      </w:r>
      <w:r>
        <w:rPr>
          <w:spacing w:val="-43"/>
        </w:rPr>
        <w:t> </w:t>
      </w:r>
      <w:r>
        <w:rPr/>
        <w:t>equivale</w:t>
      </w:r>
      <w:r>
        <w:rPr>
          <w:spacing w:val="-44"/>
        </w:rPr>
        <w:t> </w:t>
      </w:r>
      <w:r>
        <w:rPr/>
        <w:t>a</w:t>
      </w:r>
      <w:r>
        <w:rPr>
          <w:spacing w:val="-43"/>
        </w:rPr>
        <w:t> </w:t>
      </w:r>
      <w:r>
        <w:rPr/>
        <w:t>diferença</w:t>
      </w:r>
      <w:r>
        <w:rPr>
          <w:spacing w:val="-43"/>
        </w:rPr>
        <w:t> </w:t>
      </w:r>
      <w:r>
        <w:rPr/>
        <w:t>entre</w:t>
      </w:r>
      <w:r>
        <w:rPr>
          <w:spacing w:val="-43"/>
        </w:rPr>
        <w:t> </w:t>
      </w:r>
      <w:r>
        <w:rPr/>
        <w:t>os</w:t>
      </w:r>
      <w:r>
        <w:rPr>
          <w:spacing w:val="-43"/>
        </w:rPr>
        <w:t> </w:t>
      </w:r>
      <w:r>
        <w:rPr/>
        <w:t>custos não</w:t>
      </w:r>
      <w:r>
        <w:rPr>
          <w:spacing w:val="-25"/>
        </w:rPr>
        <w:t> </w:t>
      </w:r>
      <w:r>
        <w:rPr/>
        <w:t>gerenciáveis</w:t>
      </w:r>
      <w:r>
        <w:rPr>
          <w:spacing w:val="-23"/>
        </w:rPr>
        <w:t> </w:t>
      </w:r>
      <w:r>
        <w:rPr/>
        <w:t>homologados</w:t>
      </w:r>
      <w:r>
        <w:rPr>
          <w:spacing w:val="-23"/>
        </w:rPr>
        <w:t> </w:t>
      </w:r>
      <w:r>
        <w:rPr/>
        <w:t>e</w:t>
      </w:r>
      <w:r>
        <w:rPr>
          <w:spacing w:val="-25"/>
        </w:rPr>
        <w:t> </w:t>
      </w:r>
      <w:r>
        <w:rPr/>
        <w:t>aqueles</w:t>
      </w:r>
      <w:r>
        <w:rPr>
          <w:spacing w:val="-23"/>
        </w:rPr>
        <w:t> </w:t>
      </w:r>
      <w:r>
        <w:rPr/>
        <w:t>efetivamente</w:t>
      </w:r>
      <w:r>
        <w:rPr>
          <w:spacing w:val="-25"/>
        </w:rPr>
        <w:t> </w:t>
      </w:r>
      <w:r>
        <w:rPr/>
        <w:t>praticados</w:t>
      </w:r>
      <w:r>
        <w:rPr>
          <w:spacing w:val="-23"/>
        </w:rPr>
        <w:t> </w:t>
      </w:r>
      <w:r>
        <w:rPr/>
        <w:t>no</w:t>
      </w:r>
      <w:r>
        <w:rPr>
          <w:spacing w:val="-24"/>
        </w:rPr>
        <w:t> </w:t>
      </w:r>
      <w:r>
        <w:rPr/>
        <w:t>ciclo</w:t>
      </w:r>
      <w:r>
        <w:rPr>
          <w:spacing w:val="-24"/>
        </w:rPr>
        <w:t> </w:t>
      </w:r>
      <w:r>
        <w:rPr/>
        <w:t>tarifário</w:t>
      </w:r>
      <w:r>
        <w:rPr>
          <w:spacing w:val="-22"/>
        </w:rPr>
        <w:t> </w:t>
      </w:r>
      <w:r>
        <w:rPr/>
        <w:t>anterior.</w:t>
      </w:r>
    </w:p>
    <w:p>
      <w:pPr>
        <w:pStyle w:val="BodyText"/>
        <w:spacing w:before="6"/>
      </w:pPr>
    </w:p>
    <w:p>
      <w:pPr>
        <w:pStyle w:val="BodyText"/>
        <w:spacing w:line="242" w:lineRule="auto"/>
        <w:ind w:left="172" w:right="406"/>
        <w:jc w:val="both"/>
      </w:pPr>
      <w:r>
        <w:rPr/>
        <w:t>Do</w:t>
      </w:r>
      <w:r>
        <w:rPr>
          <w:spacing w:val="-39"/>
        </w:rPr>
        <w:t> </w:t>
      </w:r>
      <w:r>
        <w:rPr/>
        <w:t>total</w:t>
      </w:r>
      <w:r>
        <w:rPr>
          <w:spacing w:val="-37"/>
        </w:rPr>
        <w:t> </w:t>
      </w:r>
      <w:r>
        <w:rPr/>
        <w:t>dos</w:t>
      </w:r>
      <w:r>
        <w:rPr>
          <w:spacing w:val="-37"/>
        </w:rPr>
        <w:t> </w:t>
      </w:r>
      <w:r>
        <w:rPr/>
        <w:t>Componentes</w:t>
      </w:r>
      <w:r>
        <w:rPr>
          <w:spacing w:val="-37"/>
        </w:rPr>
        <w:t> </w:t>
      </w:r>
      <w:r>
        <w:rPr/>
        <w:t>Financeiros</w:t>
      </w:r>
      <w:r>
        <w:rPr>
          <w:spacing w:val="-37"/>
        </w:rPr>
        <w:t> </w:t>
      </w:r>
      <w:r>
        <w:rPr/>
        <w:t>externos</w:t>
      </w:r>
      <w:r>
        <w:rPr>
          <w:spacing w:val="-38"/>
        </w:rPr>
        <w:t> </w:t>
      </w:r>
      <w:r>
        <w:rPr/>
        <w:t>ao</w:t>
      </w:r>
      <w:r>
        <w:rPr>
          <w:spacing w:val="-37"/>
        </w:rPr>
        <w:t> </w:t>
      </w:r>
      <w:r>
        <w:rPr/>
        <w:t>reajuste</w:t>
      </w:r>
      <w:r>
        <w:rPr>
          <w:spacing w:val="-37"/>
        </w:rPr>
        <w:t> </w:t>
      </w:r>
      <w:r>
        <w:rPr/>
        <w:t>econômico,</w:t>
      </w:r>
      <w:r>
        <w:rPr>
          <w:spacing w:val="-37"/>
        </w:rPr>
        <w:t> </w:t>
      </w:r>
      <w:r>
        <w:rPr/>
        <w:t>cuja</w:t>
      </w:r>
      <w:r>
        <w:rPr>
          <w:spacing w:val="-38"/>
        </w:rPr>
        <w:t> </w:t>
      </w:r>
      <w:r>
        <w:rPr/>
        <w:t>variação</w:t>
      </w:r>
      <w:r>
        <w:rPr>
          <w:spacing w:val="-38"/>
        </w:rPr>
        <w:t> </w:t>
      </w:r>
      <w:r>
        <w:rPr/>
        <w:t>foi</w:t>
      </w:r>
      <w:r>
        <w:rPr>
          <w:spacing w:val="-38"/>
        </w:rPr>
        <w:t> </w:t>
      </w:r>
      <w:r>
        <w:rPr/>
        <w:t>de</w:t>
      </w:r>
      <w:r>
        <w:rPr>
          <w:spacing w:val="-37"/>
        </w:rPr>
        <w:t> </w:t>
      </w:r>
      <w:r>
        <w:rPr/>
        <w:t>9,40%,</w:t>
      </w:r>
      <w:r>
        <w:rPr>
          <w:spacing w:val="-38"/>
        </w:rPr>
        <w:t> </w:t>
      </w:r>
      <w:r>
        <w:rPr/>
        <w:t>destaca-se</w:t>
      </w:r>
      <w:r>
        <w:rPr>
          <w:spacing w:val="-38"/>
        </w:rPr>
        <w:t> </w:t>
      </w:r>
      <w:r>
        <w:rPr/>
        <w:t>a</w:t>
      </w:r>
      <w:r>
        <w:rPr>
          <w:spacing w:val="-38"/>
        </w:rPr>
        <w:t> </w:t>
      </w:r>
      <w:r>
        <w:rPr/>
        <w:t>CVA Energia</w:t>
      </w:r>
      <w:r>
        <w:rPr>
          <w:spacing w:val="-21"/>
        </w:rPr>
        <w:t> </w:t>
      </w:r>
      <w:r>
        <w:rPr/>
        <w:t>com</w:t>
      </w:r>
      <w:r>
        <w:rPr>
          <w:spacing w:val="-21"/>
        </w:rPr>
        <w:t> </w:t>
      </w:r>
      <w:r>
        <w:rPr/>
        <w:t>maior</w:t>
      </w:r>
      <w:r>
        <w:rPr>
          <w:spacing w:val="-21"/>
        </w:rPr>
        <w:t> </w:t>
      </w:r>
      <w:r>
        <w:rPr/>
        <w:t>impacto,</w:t>
      </w:r>
      <w:r>
        <w:rPr>
          <w:spacing w:val="-20"/>
        </w:rPr>
        <w:t> </w:t>
      </w:r>
      <w:r>
        <w:rPr/>
        <w:t>cujo</w:t>
      </w:r>
      <w:r>
        <w:rPr>
          <w:spacing w:val="-21"/>
        </w:rPr>
        <w:t> </w:t>
      </w:r>
      <w:r>
        <w:rPr/>
        <w:t>recursos</w:t>
      </w:r>
      <w:r>
        <w:rPr>
          <w:spacing w:val="-21"/>
        </w:rPr>
        <w:t> </w:t>
      </w:r>
      <w:r>
        <w:rPr/>
        <w:t>das</w:t>
      </w:r>
      <w:r>
        <w:rPr>
          <w:spacing w:val="-20"/>
        </w:rPr>
        <w:t> </w:t>
      </w:r>
      <w:r>
        <w:rPr/>
        <w:t>bandeiras</w:t>
      </w:r>
      <w:r>
        <w:rPr>
          <w:spacing w:val="-21"/>
        </w:rPr>
        <w:t> </w:t>
      </w:r>
      <w:r>
        <w:rPr/>
        <w:t>tarifárias</w:t>
      </w:r>
      <w:r>
        <w:rPr>
          <w:spacing w:val="-20"/>
        </w:rPr>
        <w:t> </w:t>
      </w:r>
      <w:r>
        <w:rPr/>
        <w:t>e</w:t>
      </w:r>
      <w:r>
        <w:rPr>
          <w:spacing w:val="-22"/>
        </w:rPr>
        <w:t> </w:t>
      </w:r>
      <w:r>
        <w:rPr/>
        <w:t>da</w:t>
      </w:r>
      <w:r>
        <w:rPr>
          <w:spacing w:val="-21"/>
        </w:rPr>
        <w:t> </w:t>
      </w:r>
      <w:r>
        <w:rPr/>
        <w:t>cobertura</w:t>
      </w:r>
      <w:r>
        <w:rPr>
          <w:spacing w:val="-20"/>
        </w:rPr>
        <w:t> </w:t>
      </w:r>
      <w:r>
        <w:rPr/>
        <w:t>concedida</w:t>
      </w:r>
      <w:r>
        <w:rPr>
          <w:spacing w:val="-21"/>
        </w:rPr>
        <w:t> </w:t>
      </w:r>
      <w:r>
        <w:rPr/>
        <w:t>no</w:t>
      </w:r>
      <w:r>
        <w:rPr>
          <w:spacing w:val="-21"/>
        </w:rPr>
        <w:t> </w:t>
      </w:r>
      <w:r>
        <w:rPr/>
        <w:t>ciclo</w:t>
      </w:r>
      <w:r>
        <w:rPr>
          <w:spacing w:val="-21"/>
        </w:rPr>
        <w:t> </w:t>
      </w:r>
      <w:r>
        <w:rPr/>
        <w:t>anterior</w:t>
      </w:r>
      <w:r>
        <w:rPr>
          <w:spacing w:val="-21"/>
        </w:rPr>
        <w:t> </w:t>
      </w:r>
      <w:r>
        <w:rPr/>
        <w:t>não foram</w:t>
      </w:r>
      <w:r>
        <w:rPr>
          <w:spacing w:val="-22"/>
        </w:rPr>
        <w:t> </w:t>
      </w:r>
      <w:r>
        <w:rPr/>
        <w:t>suficientes</w:t>
      </w:r>
      <w:r>
        <w:rPr>
          <w:spacing w:val="-17"/>
        </w:rPr>
        <w:t> </w:t>
      </w:r>
      <w:r>
        <w:rPr/>
        <w:t>para</w:t>
      </w:r>
      <w:r>
        <w:rPr>
          <w:spacing w:val="-21"/>
        </w:rPr>
        <w:t> </w:t>
      </w:r>
      <w:r>
        <w:rPr/>
        <w:t>liquidar</w:t>
      </w:r>
      <w:r>
        <w:rPr>
          <w:spacing w:val="-21"/>
        </w:rPr>
        <w:t> </w:t>
      </w:r>
      <w:r>
        <w:rPr/>
        <w:t>os</w:t>
      </w:r>
      <w:r>
        <w:rPr>
          <w:spacing w:val="-21"/>
        </w:rPr>
        <w:t> </w:t>
      </w:r>
      <w:r>
        <w:rPr/>
        <w:t>custos</w:t>
      </w:r>
      <w:r>
        <w:rPr>
          <w:spacing w:val="-20"/>
        </w:rPr>
        <w:t> </w:t>
      </w:r>
      <w:r>
        <w:rPr/>
        <w:t>do</w:t>
      </w:r>
      <w:r>
        <w:rPr>
          <w:spacing w:val="-21"/>
        </w:rPr>
        <w:t> </w:t>
      </w:r>
      <w:r>
        <w:rPr/>
        <w:t>risco</w:t>
      </w:r>
      <w:r>
        <w:rPr>
          <w:spacing w:val="-22"/>
        </w:rPr>
        <w:t> </w:t>
      </w:r>
      <w:r>
        <w:rPr/>
        <w:t>hidrológico</w:t>
      </w:r>
      <w:r>
        <w:rPr>
          <w:spacing w:val="-21"/>
        </w:rPr>
        <w:t> </w:t>
      </w:r>
      <w:r>
        <w:rPr/>
        <w:t>incorridos</w:t>
      </w:r>
      <w:r>
        <w:rPr>
          <w:spacing w:val="-20"/>
        </w:rPr>
        <w:t> </w:t>
      </w:r>
      <w:r>
        <w:rPr/>
        <w:t>pela</w:t>
      </w:r>
      <w:r>
        <w:rPr>
          <w:spacing w:val="-21"/>
        </w:rPr>
        <w:t> </w:t>
      </w:r>
      <w:r>
        <w:rPr/>
        <w:t>companhia.</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5"/>
        <w:numPr>
          <w:ilvl w:val="0"/>
          <w:numId w:val="36"/>
        </w:numPr>
        <w:tabs>
          <w:tab w:pos="894" w:val="left" w:leader="none"/>
        </w:tabs>
        <w:spacing w:line="240" w:lineRule="auto" w:before="12" w:after="0"/>
        <w:ind w:left="893" w:right="0" w:hanging="361"/>
        <w:jc w:val="left"/>
      </w:pPr>
      <w:r>
        <w:rPr>
          <w:w w:val="105"/>
        </w:rPr>
        <w:t>Reajuste Tarifário Anual </w:t>
      </w:r>
      <w:r>
        <w:rPr>
          <w:rFonts w:ascii="Trebuchet MS" w:hAnsi="Trebuchet MS"/>
          <w:w w:val="105"/>
        </w:rPr>
        <w:t>–</w:t>
      </w:r>
      <w:r>
        <w:rPr>
          <w:rFonts w:ascii="Trebuchet MS" w:hAnsi="Trebuchet MS"/>
          <w:spacing w:val="-41"/>
          <w:w w:val="105"/>
        </w:rPr>
        <w:t> </w:t>
      </w:r>
      <w:r>
        <w:rPr>
          <w:w w:val="105"/>
        </w:rPr>
        <w:t>RTA 2018</w:t>
      </w:r>
    </w:p>
    <w:p>
      <w:pPr>
        <w:pStyle w:val="BodyText"/>
        <w:spacing w:before="11"/>
        <w:rPr>
          <w:rFonts w:ascii="Caladea"/>
          <w:b/>
        </w:rPr>
      </w:pPr>
    </w:p>
    <w:p>
      <w:pPr>
        <w:pStyle w:val="BodyText"/>
        <w:spacing w:line="242" w:lineRule="auto"/>
        <w:ind w:left="172" w:right="417"/>
        <w:jc w:val="both"/>
      </w:pPr>
      <w:r>
        <w:rPr/>
        <w:t>Em</w:t>
      </w:r>
      <w:r>
        <w:rPr>
          <w:spacing w:val="-16"/>
        </w:rPr>
        <w:t> </w:t>
      </w:r>
      <w:r>
        <w:rPr/>
        <w:t>reunião</w:t>
      </w:r>
      <w:r>
        <w:rPr>
          <w:spacing w:val="-14"/>
        </w:rPr>
        <w:t> </w:t>
      </w:r>
      <w:r>
        <w:rPr/>
        <w:t>pública</w:t>
      </w:r>
      <w:r>
        <w:rPr>
          <w:spacing w:val="-16"/>
        </w:rPr>
        <w:t> </w:t>
      </w:r>
      <w:r>
        <w:rPr/>
        <w:t>ordinária</w:t>
      </w:r>
      <w:r>
        <w:rPr>
          <w:spacing w:val="-15"/>
        </w:rPr>
        <w:t> </w:t>
      </w:r>
      <w:r>
        <w:rPr/>
        <w:t>de</w:t>
      </w:r>
      <w:r>
        <w:rPr>
          <w:spacing w:val="-17"/>
        </w:rPr>
        <w:t> </w:t>
      </w:r>
      <w:r>
        <w:rPr/>
        <w:t>diretoria,</w:t>
      </w:r>
      <w:r>
        <w:rPr>
          <w:spacing w:val="-16"/>
        </w:rPr>
        <w:t> </w:t>
      </w:r>
      <w:r>
        <w:rPr/>
        <w:t>a</w:t>
      </w:r>
      <w:r>
        <w:rPr>
          <w:spacing w:val="-15"/>
        </w:rPr>
        <w:t> </w:t>
      </w:r>
      <w:r>
        <w:rPr/>
        <w:t>Agência</w:t>
      </w:r>
      <w:r>
        <w:rPr>
          <w:spacing w:val="-15"/>
        </w:rPr>
        <w:t> </w:t>
      </w:r>
      <w:r>
        <w:rPr/>
        <w:t>Nacional</w:t>
      </w:r>
      <w:r>
        <w:rPr>
          <w:spacing w:val="-15"/>
        </w:rPr>
        <w:t> </w:t>
      </w:r>
      <w:r>
        <w:rPr/>
        <w:t>de</w:t>
      </w:r>
      <w:r>
        <w:rPr>
          <w:spacing w:val="-17"/>
        </w:rPr>
        <w:t> </w:t>
      </w:r>
      <w:r>
        <w:rPr/>
        <w:t>Energia</w:t>
      </w:r>
      <w:r>
        <w:rPr>
          <w:spacing w:val="-15"/>
        </w:rPr>
        <w:t> </w:t>
      </w:r>
      <w:r>
        <w:rPr/>
        <w:t>Elétrica</w:t>
      </w:r>
      <w:r>
        <w:rPr>
          <w:spacing w:val="-14"/>
        </w:rPr>
        <w:t> </w:t>
      </w:r>
      <w:r>
        <w:rPr/>
        <w:t>(ANEEL)</w:t>
      </w:r>
      <w:r>
        <w:rPr>
          <w:spacing w:val="-15"/>
        </w:rPr>
        <w:t> </w:t>
      </w:r>
      <w:r>
        <w:rPr/>
        <w:t>homologou</w:t>
      </w:r>
      <w:r>
        <w:rPr>
          <w:spacing w:val="-15"/>
        </w:rPr>
        <w:t> </w:t>
      </w:r>
      <w:r>
        <w:rPr/>
        <w:t>o</w:t>
      </w:r>
      <w:r>
        <w:rPr>
          <w:spacing w:val="-16"/>
        </w:rPr>
        <w:t> </w:t>
      </w:r>
      <w:r>
        <w:rPr/>
        <w:t>Reajuste Tarifário</w:t>
      </w:r>
      <w:r>
        <w:rPr>
          <w:spacing w:val="-20"/>
        </w:rPr>
        <w:t> </w:t>
      </w:r>
      <w:r>
        <w:rPr/>
        <w:t>Anual</w:t>
      </w:r>
      <w:r>
        <w:rPr>
          <w:spacing w:val="-20"/>
        </w:rPr>
        <w:t> </w:t>
      </w:r>
      <w:r>
        <w:rPr/>
        <w:t>da</w:t>
      </w:r>
      <w:r>
        <w:rPr>
          <w:spacing w:val="-20"/>
        </w:rPr>
        <w:t> </w:t>
      </w:r>
      <w:r>
        <w:rPr/>
        <w:t>CEB</w:t>
      </w:r>
      <w:r>
        <w:rPr>
          <w:spacing w:val="-19"/>
        </w:rPr>
        <w:t> </w:t>
      </w:r>
      <w:r>
        <w:rPr/>
        <w:t>Distribuição</w:t>
      </w:r>
      <w:r>
        <w:rPr>
          <w:spacing w:val="-21"/>
        </w:rPr>
        <w:t> </w:t>
      </w:r>
      <w:r>
        <w:rPr/>
        <w:t>S.A.</w:t>
      </w:r>
      <w:r>
        <w:rPr>
          <w:spacing w:val="-18"/>
        </w:rPr>
        <w:t> </w:t>
      </w:r>
      <w:r>
        <w:rPr/>
        <w:t>a</w:t>
      </w:r>
      <w:r>
        <w:rPr>
          <w:spacing w:val="-20"/>
        </w:rPr>
        <w:t> </w:t>
      </w:r>
      <w:r>
        <w:rPr/>
        <w:t>ser</w:t>
      </w:r>
      <w:r>
        <w:rPr>
          <w:spacing w:val="-21"/>
        </w:rPr>
        <w:t> </w:t>
      </w:r>
      <w:r>
        <w:rPr/>
        <w:t>aplicado</w:t>
      </w:r>
      <w:r>
        <w:rPr>
          <w:spacing w:val="-22"/>
        </w:rPr>
        <w:t> </w:t>
      </w:r>
      <w:r>
        <w:rPr/>
        <w:t>a</w:t>
      </w:r>
      <w:r>
        <w:rPr>
          <w:spacing w:val="-17"/>
        </w:rPr>
        <w:t> </w:t>
      </w:r>
      <w:r>
        <w:rPr/>
        <w:t>partir</w:t>
      </w:r>
      <w:r>
        <w:rPr>
          <w:spacing w:val="-20"/>
        </w:rPr>
        <w:t> </w:t>
      </w:r>
      <w:r>
        <w:rPr/>
        <w:t>de</w:t>
      </w:r>
      <w:r>
        <w:rPr>
          <w:spacing w:val="-22"/>
        </w:rPr>
        <w:t> </w:t>
      </w:r>
      <w:r>
        <w:rPr/>
        <w:t>22</w:t>
      </w:r>
      <w:r>
        <w:rPr>
          <w:spacing w:val="-12"/>
        </w:rPr>
        <w:t> </w:t>
      </w:r>
      <w:r>
        <w:rPr/>
        <w:t>de</w:t>
      </w:r>
      <w:r>
        <w:rPr>
          <w:spacing w:val="-20"/>
        </w:rPr>
        <w:t> </w:t>
      </w:r>
      <w:r>
        <w:rPr/>
        <w:t>outubro</w:t>
      </w:r>
      <w:r>
        <w:rPr>
          <w:spacing w:val="-21"/>
        </w:rPr>
        <w:t> </w:t>
      </w:r>
      <w:r>
        <w:rPr/>
        <w:t>de</w:t>
      </w:r>
      <w:r>
        <w:rPr>
          <w:spacing w:val="-22"/>
        </w:rPr>
        <w:t> </w:t>
      </w:r>
      <w:r>
        <w:rPr/>
        <w:t>2018.</w:t>
      </w:r>
    </w:p>
    <w:p>
      <w:pPr>
        <w:pStyle w:val="BodyText"/>
        <w:spacing w:line="242" w:lineRule="auto" w:before="119"/>
        <w:ind w:left="172" w:right="412"/>
        <w:jc w:val="both"/>
      </w:pPr>
      <w:r>
        <w:rPr/>
        <w:t>As tarifas praticadas tiveram efeito médio a ser percebido pelos consumidores de 6,50%, sendo 6,15% para as unidades consumidoras atendidas em baixa tensão e 7,31% para aquelas unidades atendidas em alta tensão.</w:t>
      </w:r>
    </w:p>
    <w:p>
      <w:pPr>
        <w:pStyle w:val="BodyText"/>
        <w:spacing w:line="242" w:lineRule="auto" w:before="119"/>
        <w:ind w:left="172" w:right="409"/>
        <w:jc w:val="both"/>
      </w:pPr>
      <w:r>
        <w:rPr>
          <w:w w:val="95"/>
        </w:rPr>
        <w:t>No</w:t>
      </w:r>
      <w:r>
        <w:rPr>
          <w:spacing w:val="-22"/>
          <w:w w:val="95"/>
        </w:rPr>
        <w:t> </w:t>
      </w:r>
      <w:r>
        <w:rPr>
          <w:w w:val="95"/>
        </w:rPr>
        <w:t>referido</w:t>
      </w:r>
      <w:r>
        <w:rPr>
          <w:spacing w:val="-18"/>
          <w:w w:val="95"/>
        </w:rPr>
        <w:t> </w:t>
      </w:r>
      <w:r>
        <w:rPr>
          <w:w w:val="95"/>
        </w:rPr>
        <w:t>processo</w:t>
      </w:r>
      <w:r>
        <w:rPr>
          <w:spacing w:val="-22"/>
          <w:w w:val="95"/>
        </w:rPr>
        <w:t> </w:t>
      </w:r>
      <w:r>
        <w:rPr>
          <w:w w:val="95"/>
        </w:rPr>
        <w:t>tarifário,</w:t>
      </w:r>
      <w:r>
        <w:rPr>
          <w:spacing w:val="-21"/>
          <w:w w:val="95"/>
        </w:rPr>
        <w:t> </w:t>
      </w:r>
      <w:r>
        <w:rPr>
          <w:w w:val="95"/>
        </w:rPr>
        <w:t>os</w:t>
      </w:r>
      <w:r>
        <w:rPr>
          <w:spacing w:val="-20"/>
          <w:w w:val="95"/>
        </w:rPr>
        <w:t> </w:t>
      </w:r>
      <w:r>
        <w:rPr>
          <w:w w:val="95"/>
        </w:rPr>
        <w:t>itens</w:t>
      </w:r>
      <w:r>
        <w:rPr>
          <w:spacing w:val="-17"/>
          <w:w w:val="95"/>
        </w:rPr>
        <w:t> </w:t>
      </w:r>
      <w:r>
        <w:rPr>
          <w:w w:val="95"/>
        </w:rPr>
        <w:t>mais</w:t>
      </w:r>
      <w:r>
        <w:rPr>
          <w:spacing w:val="-20"/>
          <w:w w:val="95"/>
        </w:rPr>
        <w:t> </w:t>
      </w:r>
      <w:r>
        <w:rPr>
          <w:w w:val="95"/>
        </w:rPr>
        <w:t>representativos</w:t>
      </w:r>
      <w:r>
        <w:rPr>
          <w:spacing w:val="-20"/>
          <w:w w:val="95"/>
        </w:rPr>
        <w:t> </w:t>
      </w:r>
      <w:r>
        <w:rPr>
          <w:w w:val="95"/>
        </w:rPr>
        <w:t>foram</w:t>
      </w:r>
      <w:r>
        <w:rPr>
          <w:spacing w:val="-19"/>
          <w:w w:val="95"/>
        </w:rPr>
        <w:t> </w:t>
      </w:r>
      <w:r>
        <w:rPr>
          <w:w w:val="95"/>
        </w:rPr>
        <w:t>os</w:t>
      </w:r>
      <w:r>
        <w:rPr>
          <w:spacing w:val="-20"/>
          <w:w w:val="95"/>
        </w:rPr>
        <w:t> </w:t>
      </w:r>
      <w:r>
        <w:rPr>
          <w:w w:val="95"/>
        </w:rPr>
        <w:t>encargos</w:t>
      </w:r>
      <w:r>
        <w:rPr>
          <w:spacing w:val="-21"/>
          <w:w w:val="95"/>
        </w:rPr>
        <w:t> </w:t>
      </w:r>
      <w:r>
        <w:rPr>
          <w:w w:val="95"/>
        </w:rPr>
        <w:t>setoriais,</w:t>
      </w:r>
      <w:r>
        <w:rPr>
          <w:spacing w:val="-21"/>
          <w:w w:val="95"/>
        </w:rPr>
        <w:t> </w:t>
      </w:r>
      <w:r>
        <w:rPr>
          <w:w w:val="95"/>
        </w:rPr>
        <w:t>especificamente</w:t>
      </w:r>
      <w:r>
        <w:rPr>
          <w:spacing w:val="-23"/>
          <w:w w:val="95"/>
        </w:rPr>
        <w:t> </w:t>
      </w:r>
      <w:r>
        <w:rPr>
          <w:w w:val="95"/>
        </w:rPr>
        <w:t>a</w:t>
      </w:r>
      <w:r>
        <w:rPr>
          <w:spacing w:val="-20"/>
          <w:w w:val="95"/>
        </w:rPr>
        <w:t> </w:t>
      </w:r>
      <w:r>
        <w:rPr>
          <w:w w:val="95"/>
        </w:rPr>
        <w:t>conta</w:t>
      </w:r>
      <w:r>
        <w:rPr>
          <w:spacing w:val="-20"/>
          <w:w w:val="95"/>
        </w:rPr>
        <w:t> </w:t>
      </w:r>
      <w:r>
        <w:rPr>
          <w:w w:val="95"/>
        </w:rPr>
        <w:t>CDE, </w:t>
      </w:r>
      <w:r>
        <w:rPr/>
        <w:t>com</w:t>
      </w:r>
      <w:r>
        <w:rPr>
          <w:spacing w:val="-23"/>
        </w:rPr>
        <w:t> </w:t>
      </w:r>
      <w:r>
        <w:rPr/>
        <w:t>impacto</w:t>
      </w:r>
      <w:r>
        <w:rPr>
          <w:spacing w:val="-23"/>
        </w:rPr>
        <w:t> </w:t>
      </w:r>
      <w:r>
        <w:rPr/>
        <w:t>médio</w:t>
      </w:r>
      <w:r>
        <w:rPr>
          <w:spacing w:val="-21"/>
        </w:rPr>
        <w:t> </w:t>
      </w:r>
      <w:r>
        <w:rPr/>
        <w:t>de</w:t>
      </w:r>
      <w:r>
        <w:rPr>
          <w:spacing w:val="-23"/>
        </w:rPr>
        <w:t> </w:t>
      </w:r>
      <w:r>
        <w:rPr/>
        <w:t>3,52%,</w:t>
      </w:r>
      <w:r>
        <w:rPr>
          <w:spacing w:val="-22"/>
        </w:rPr>
        <w:t> </w:t>
      </w:r>
      <w:r>
        <w:rPr/>
        <w:t>bem</w:t>
      </w:r>
      <w:r>
        <w:rPr>
          <w:spacing w:val="-21"/>
        </w:rPr>
        <w:t> </w:t>
      </w:r>
      <w:r>
        <w:rPr/>
        <w:t>como</w:t>
      </w:r>
      <w:r>
        <w:rPr>
          <w:spacing w:val="-21"/>
        </w:rPr>
        <w:t> </w:t>
      </w:r>
      <w:r>
        <w:rPr/>
        <w:t>os</w:t>
      </w:r>
      <w:r>
        <w:rPr>
          <w:spacing w:val="-22"/>
        </w:rPr>
        <w:t> </w:t>
      </w:r>
      <w:r>
        <w:rPr/>
        <w:t>custos</w:t>
      </w:r>
      <w:r>
        <w:rPr>
          <w:spacing w:val="-22"/>
        </w:rPr>
        <w:t> </w:t>
      </w:r>
      <w:r>
        <w:rPr/>
        <w:t>com</w:t>
      </w:r>
      <w:r>
        <w:rPr>
          <w:spacing w:val="-18"/>
        </w:rPr>
        <w:t> </w:t>
      </w:r>
      <w:r>
        <w:rPr/>
        <w:t>energia</w:t>
      </w:r>
      <w:r>
        <w:rPr>
          <w:spacing w:val="-22"/>
        </w:rPr>
        <w:t> </w:t>
      </w:r>
      <w:r>
        <w:rPr/>
        <w:t>cujo</w:t>
      </w:r>
      <w:r>
        <w:rPr>
          <w:spacing w:val="-20"/>
        </w:rPr>
        <w:t> </w:t>
      </w:r>
      <w:r>
        <w:rPr/>
        <w:t>reflexo</w:t>
      </w:r>
      <w:r>
        <w:rPr>
          <w:spacing w:val="-21"/>
        </w:rPr>
        <w:t> </w:t>
      </w:r>
      <w:r>
        <w:rPr/>
        <w:t>representou</w:t>
      </w:r>
      <w:r>
        <w:rPr>
          <w:spacing w:val="-22"/>
        </w:rPr>
        <w:t> </w:t>
      </w:r>
      <w:r>
        <w:rPr/>
        <w:t>7,24%.</w:t>
      </w:r>
    </w:p>
    <w:p>
      <w:pPr>
        <w:pStyle w:val="BodyText"/>
        <w:spacing w:line="242" w:lineRule="auto" w:before="122"/>
        <w:ind w:left="172" w:right="417"/>
        <w:jc w:val="both"/>
      </w:pPr>
      <w:r>
        <w:rPr/>
        <w:t>Cabe</w:t>
      </w:r>
      <w:r>
        <w:rPr>
          <w:spacing w:val="-41"/>
        </w:rPr>
        <w:t> </w:t>
      </w:r>
      <w:r>
        <w:rPr/>
        <w:t>ressaltar</w:t>
      </w:r>
      <w:r>
        <w:rPr>
          <w:spacing w:val="-40"/>
        </w:rPr>
        <w:t> </w:t>
      </w:r>
      <w:r>
        <w:rPr/>
        <w:t>a</w:t>
      </w:r>
      <w:r>
        <w:rPr>
          <w:spacing w:val="-39"/>
        </w:rPr>
        <w:t> </w:t>
      </w:r>
      <w:r>
        <w:rPr/>
        <w:t>forte</w:t>
      </w:r>
      <w:r>
        <w:rPr>
          <w:spacing w:val="-40"/>
        </w:rPr>
        <w:t> </w:t>
      </w:r>
      <w:r>
        <w:rPr/>
        <w:t>influência</w:t>
      </w:r>
      <w:r>
        <w:rPr>
          <w:spacing w:val="-40"/>
        </w:rPr>
        <w:t> </w:t>
      </w:r>
      <w:r>
        <w:rPr/>
        <w:t>da</w:t>
      </w:r>
      <w:r>
        <w:rPr>
          <w:spacing w:val="-39"/>
        </w:rPr>
        <w:t> </w:t>
      </w:r>
      <w:r>
        <w:rPr/>
        <w:t>variação</w:t>
      </w:r>
      <w:r>
        <w:rPr>
          <w:spacing w:val="-40"/>
        </w:rPr>
        <w:t> </w:t>
      </w:r>
      <w:r>
        <w:rPr/>
        <w:t>cambial</w:t>
      </w:r>
      <w:r>
        <w:rPr>
          <w:spacing w:val="-39"/>
        </w:rPr>
        <w:t> </w:t>
      </w:r>
      <w:r>
        <w:rPr/>
        <w:t>do</w:t>
      </w:r>
      <w:r>
        <w:rPr>
          <w:spacing w:val="-40"/>
        </w:rPr>
        <w:t> </w:t>
      </w:r>
      <w:r>
        <w:rPr/>
        <w:t>dólar,</w:t>
      </w:r>
      <w:r>
        <w:rPr>
          <w:spacing w:val="-40"/>
        </w:rPr>
        <w:t> </w:t>
      </w:r>
      <w:r>
        <w:rPr/>
        <w:t>em</w:t>
      </w:r>
      <w:r>
        <w:rPr>
          <w:spacing w:val="-39"/>
        </w:rPr>
        <w:t> </w:t>
      </w:r>
      <w:r>
        <w:rPr/>
        <w:t>razão</w:t>
      </w:r>
      <w:r>
        <w:rPr>
          <w:spacing w:val="-39"/>
        </w:rPr>
        <w:t> </w:t>
      </w:r>
      <w:r>
        <w:rPr/>
        <w:t>da</w:t>
      </w:r>
      <w:r>
        <w:rPr>
          <w:spacing w:val="-39"/>
        </w:rPr>
        <w:t> </w:t>
      </w:r>
      <w:r>
        <w:rPr/>
        <w:t>energia</w:t>
      </w:r>
      <w:r>
        <w:rPr>
          <w:spacing w:val="-40"/>
        </w:rPr>
        <w:t> </w:t>
      </w:r>
      <w:r>
        <w:rPr/>
        <w:t>comprada</w:t>
      </w:r>
      <w:r>
        <w:rPr>
          <w:spacing w:val="-39"/>
        </w:rPr>
        <w:t> </w:t>
      </w:r>
      <w:r>
        <w:rPr/>
        <w:t>de</w:t>
      </w:r>
      <w:r>
        <w:rPr>
          <w:spacing w:val="-41"/>
        </w:rPr>
        <w:t> </w:t>
      </w:r>
      <w:r>
        <w:rPr/>
        <w:t>Itaipu,</w:t>
      </w:r>
      <w:r>
        <w:rPr>
          <w:spacing w:val="-39"/>
        </w:rPr>
        <w:t> </w:t>
      </w:r>
      <w:r>
        <w:rPr/>
        <w:t>com</w:t>
      </w:r>
      <w:r>
        <w:rPr>
          <w:spacing w:val="-41"/>
        </w:rPr>
        <w:t> </w:t>
      </w:r>
      <w:r>
        <w:rPr/>
        <w:t>impacto de</w:t>
      </w:r>
      <w:r>
        <w:rPr>
          <w:spacing w:val="-35"/>
        </w:rPr>
        <w:t> </w:t>
      </w:r>
      <w:r>
        <w:rPr/>
        <w:t>2,41</w:t>
      </w:r>
      <w:r>
        <w:rPr>
          <w:spacing w:val="-33"/>
        </w:rPr>
        <w:t> </w:t>
      </w:r>
      <w:r>
        <w:rPr/>
        <w:t>p.p.</w:t>
      </w:r>
      <w:r>
        <w:rPr>
          <w:spacing w:val="-33"/>
        </w:rPr>
        <w:t> </w:t>
      </w:r>
      <w:r>
        <w:rPr/>
        <w:t>e</w:t>
      </w:r>
      <w:r>
        <w:rPr>
          <w:spacing w:val="-35"/>
        </w:rPr>
        <w:t> </w:t>
      </w:r>
      <w:r>
        <w:rPr/>
        <w:t>a</w:t>
      </w:r>
      <w:r>
        <w:rPr>
          <w:spacing w:val="-33"/>
        </w:rPr>
        <w:t> </w:t>
      </w:r>
      <w:r>
        <w:rPr/>
        <w:t>aquisição</w:t>
      </w:r>
      <w:r>
        <w:rPr>
          <w:spacing w:val="-34"/>
        </w:rPr>
        <w:t> </w:t>
      </w:r>
      <w:r>
        <w:rPr/>
        <w:t>da</w:t>
      </w:r>
      <w:r>
        <w:rPr>
          <w:spacing w:val="-32"/>
        </w:rPr>
        <w:t> </w:t>
      </w:r>
      <w:r>
        <w:rPr/>
        <w:t>energia</w:t>
      </w:r>
      <w:r>
        <w:rPr>
          <w:spacing w:val="-34"/>
        </w:rPr>
        <w:t> </w:t>
      </w:r>
      <w:r>
        <w:rPr/>
        <w:t>na</w:t>
      </w:r>
      <w:r>
        <w:rPr>
          <w:spacing w:val="-33"/>
        </w:rPr>
        <w:t> </w:t>
      </w:r>
      <w:r>
        <w:rPr/>
        <w:t>modalidade</w:t>
      </w:r>
      <w:r>
        <w:rPr>
          <w:spacing w:val="-34"/>
        </w:rPr>
        <w:t> </w:t>
      </w:r>
      <w:r>
        <w:rPr/>
        <w:t>“por</w:t>
      </w:r>
      <w:r>
        <w:rPr>
          <w:spacing w:val="-32"/>
        </w:rPr>
        <w:t> </w:t>
      </w:r>
      <w:r>
        <w:rPr/>
        <w:t>quantidade”</w:t>
      </w:r>
      <w:r>
        <w:rPr>
          <w:spacing w:val="-33"/>
        </w:rPr>
        <w:t> </w:t>
      </w:r>
      <w:r>
        <w:rPr/>
        <w:t>e</w:t>
      </w:r>
      <w:r>
        <w:rPr>
          <w:spacing w:val="-34"/>
        </w:rPr>
        <w:t> </w:t>
      </w:r>
      <w:r>
        <w:rPr/>
        <w:t>por</w:t>
      </w:r>
      <w:r>
        <w:rPr>
          <w:spacing w:val="-34"/>
        </w:rPr>
        <w:t> </w:t>
      </w:r>
      <w:r>
        <w:rPr/>
        <w:t>contratos</w:t>
      </w:r>
      <w:r>
        <w:rPr>
          <w:spacing w:val="-32"/>
        </w:rPr>
        <w:t> </w:t>
      </w:r>
      <w:r>
        <w:rPr/>
        <w:t>de</w:t>
      </w:r>
      <w:r>
        <w:rPr>
          <w:spacing w:val="-34"/>
        </w:rPr>
        <w:t> </w:t>
      </w:r>
      <w:r>
        <w:rPr/>
        <w:t>usinas</w:t>
      </w:r>
      <w:r>
        <w:rPr>
          <w:spacing w:val="-33"/>
        </w:rPr>
        <w:t> </w:t>
      </w:r>
      <w:r>
        <w:rPr/>
        <w:t>em</w:t>
      </w:r>
      <w:r>
        <w:rPr>
          <w:spacing w:val="-32"/>
        </w:rPr>
        <w:t> </w:t>
      </w:r>
      <w:r>
        <w:rPr/>
        <w:t>regime</w:t>
      </w:r>
      <w:r>
        <w:rPr>
          <w:spacing w:val="-35"/>
        </w:rPr>
        <w:t> </w:t>
      </w:r>
      <w:r>
        <w:rPr/>
        <w:t>de</w:t>
      </w:r>
      <w:r>
        <w:rPr>
          <w:spacing w:val="-35"/>
        </w:rPr>
        <w:t> </w:t>
      </w:r>
      <w:r>
        <w:rPr/>
        <w:t>cotas, com</w:t>
      </w:r>
      <w:r>
        <w:rPr>
          <w:spacing w:val="-22"/>
        </w:rPr>
        <w:t> </w:t>
      </w:r>
      <w:r>
        <w:rPr/>
        <w:t>incrementos</w:t>
      </w:r>
      <w:r>
        <w:rPr>
          <w:spacing w:val="-18"/>
        </w:rPr>
        <w:t> </w:t>
      </w:r>
      <w:r>
        <w:rPr/>
        <w:t>de</w:t>
      </w:r>
      <w:r>
        <w:rPr>
          <w:spacing w:val="-20"/>
        </w:rPr>
        <w:t> </w:t>
      </w:r>
      <w:r>
        <w:rPr/>
        <w:t>1,70</w:t>
      </w:r>
      <w:r>
        <w:rPr>
          <w:spacing w:val="-19"/>
        </w:rPr>
        <w:t> </w:t>
      </w:r>
      <w:r>
        <w:rPr/>
        <w:t>p.p.</w:t>
      </w:r>
      <w:r>
        <w:rPr>
          <w:spacing w:val="-21"/>
        </w:rPr>
        <w:t> </w:t>
      </w:r>
      <w:r>
        <w:rPr/>
        <w:t>e</w:t>
      </w:r>
      <w:r>
        <w:rPr>
          <w:spacing w:val="-19"/>
        </w:rPr>
        <w:t> </w:t>
      </w:r>
      <w:r>
        <w:rPr/>
        <w:t>1,79</w:t>
      </w:r>
      <w:r>
        <w:rPr>
          <w:spacing w:val="-18"/>
        </w:rPr>
        <w:t> </w:t>
      </w:r>
      <w:r>
        <w:rPr/>
        <w:t>p.p.,</w:t>
      </w:r>
      <w:r>
        <w:rPr>
          <w:spacing w:val="-19"/>
        </w:rPr>
        <w:t> </w:t>
      </w:r>
      <w:r>
        <w:rPr/>
        <w:t>respectivamente.</w:t>
      </w:r>
    </w:p>
    <w:p>
      <w:pPr>
        <w:pStyle w:val="BodyText"/>
        <w:spacing w:line="242" w:lineRule="auto" w:before="119"/>
        <w:ind w:left="172" w:right="407"/>
        <w:jc w:val="both"/>
      </w:pPr>
      <w:r>
        <w:rPr/>
        <w:t>Nesse</w:t>
      </w:r>
      <w:r>
        <w:rPr>
          <w:spacing w:val="-44"/>
        </w:rPr>
        <w:t> </w:t>
      </w:r>
      <w:r>
        <w:rPr/>
        <w:t>processo,</w:t>
      </w:r>
      <w:r>
        <w:rPr>
          <w:spacing w:val="-43"/>
        </w:rPr>
        <w:t> </w:t>
      </w:r>
      <w:r>
        <w:rPr/>
        <w:t>houve</w:t>
      </w:r>
      <w:r>
        <w:rPr>
          <w:spacing w:val="-44"/>
        </w:rPr>
        <w:t> </w:t>
      </w:r>
      <w:r>
        <w:rPr/>
        <w:t>o</w:t>
      </w:r>
      <w:r>
        <w:rPr>
          <w:spacing w:val="-43"/>
        </w:rPr>
        <w:t> </w:t>
      </w:r>
      <w:r>
        <w:rPr/>
        <w:t>ajuste</w:t>
      </w:r>
      <w:r>
        <w:rPr>
          <w:spacing w:val="-43"/>
        </w:rPr>
        <w:t> </w:t>
      </w:r>
      <w:r>
        <w:rPr/>
        <w:t>dos</w:t>
      </w:r>
      <w:r>
        <w:rPr>
          <w:spacing w:val="-44"/>
        </w:rPr>
        <w:t> </w:t>
      </w:r>
      <w:r>
        <w:rPr/>
        <w:t>itens</w:t>
      </w:r>
      <w:r>
        <w:rPr>
          <w:spacing w:val="-44"/>
        </w:rPr>
        <w:t> </w:t>
      </w:r>
      <w:r>
        <w:rPr/>
        <w:t>financeiros</w:t>
      </w:r>
      <w:r>
        <w:rPr>
          <w:spacing w:val="-42"/>
        </w:rPr>
        <w:t> </w:t>
      </w:r>
      <w:r>
        <w:rPr/>
        <w:t>reconhecidos</w:t>
      </w:r>
      <w:r>
        <w:rPr>
          <w:spacing w:val="-44"/>
        </w:rPr>
        <w:t> </w:t>
      </w:r>
      <w:r>
        <w:rPr/>
        <w:t>pela</w:t>
      </w:r>
      <w:r>
        <w:rPr>
          <w:spacing w:val="-43"/>
        </w:rPr>
        <w:t> </w:t>
      </w:r>
      <w:r>
        <w:rPr/>
        <w:t>Aneel</w:t>
      </w:r>
      <w:r>
        <w:rPr>
          <w:spacing w:val="-42"/>
        </w:rPr>
        <w:t> </w:t>
      </w:r>
      <w:r>
        <w:rPr/>
        <w:t>que</w:t>
      </w:r>
      <w:r>
        <w:rPr>
          <w:spacing w:val="-43"/>
        </w:rPr>
        <w:t> </w:t>
      </w:r>
      <w:r>
        <w:rPr/>
        <w:t>equivale</w:t>
      </w:r>
      <w:r>
        <w:rPr>
          <w:spacing w:val="-44"/>
        </w:rPr>
        <w:t> </w:t>
      </w:r>
      <w:r>
        <w:rPr/>
        <w:t>a</w:t>
      </w:r>
      <w:r>
        <w:rPr>
          <w:spacing w:val="-44"/>
        </w:rPr>
        <w:t> </w:t>
      </w:r>
      <w:r>
        <w:rPr/>
        <w:t>diferença</w:t>
      </w:r>
      <w:r>
        <w:rPr>
          <w:spacing w:val="-43"/>
        </w:rPr>
        <w:t> </w:t>
      </w:r>
      <w:r>
        <w:rPr/>
        <w:t>entre</w:t>
      </w:r>
      <w:r>
        <w:rPr>
          <w:spacing w:val="-43"/>
        </w:rPr>
        <w:t> </w:t>
      </w:r>
      <w:r>
        <w:rPr>
          <w:spacing w:val="4"/>
        </w:rPr>
        <w:t>os</w:t>
      </w:r>
      <w:r>
        <w:rPr>
          <w:spacing w:val="-44"/>
        </w:rPr>
        <w:t> </w:t>
      </w:r>
      <w:r>
        <w:rPr/>
        <w:t>custos não</w:t>
      </w:r>
      <w:r>
        <w:rPr>
          <w:spacing w:val="-24"/>
        </w:rPr>
        <w:t> </w:t>
      </w:r>
      <w:r>
        <w:rPr/>
        <w:t>gerenciáveis</w:t>
      </w:r>
      <w:r>
        <w:rPr>
          <w:spacing w:val="-24"/>
        </w:rPr>
        <w:t> </w:t>
      </w:r>
      <w:r>
        <w:rPr/>
        <w:t>homologados</w:t>
      </w:r>
      <w:r>
        <w:rPr>
          <w:spacing w:val="-23"/>
        </w:rPr>
        <w:t> </w:t>
      </w:r>
      <w:r>
        <w:rPr/>
        <w:t>e</w:t>
      </w:r>
      <w:r>
        <w:rPr>
          <w:spacing w:val="-25"/>
        </w:rPr>
        <w:t> </w:t>
      </w:r>
      <w:r>
        <w:rPr/>
        <w:t>aqueles</w:t>
      </w:r>
      <w:r>
        <w:rPr>
          <w:spacing w:val="-23"/>
        </w:rPr>
        <w:t> </w:t>
      </w:r>
      <w:r>
        <w:rPr/>
        <w:t>efetivamente</w:t>
      </w:r>
      <w:r>
        <w:rPr>
          <w:spacing w:val="-25"/>
        </w:rPr>
        <w:t> </w:t>
      </w:r>
      <w:r>
        <w:rPr/>
        <w:t>praticados</w:t>
      </w:r>
      <w:r>
        <w:rPr>
          <w:spacing w:val="-23"/>
        </w:rPr>
        <w:t> </w:t>
      </w:r>
      <w:r>
        <w:rPr/>
        <w:t>no</w:t>
      </w:r>
      <w:r>
        <w:rPr>
          <w:spacing w:val="-24"/>
        </w:rPr>
        <w:t> </w:t>
      </w:r>
      <w:r>
        <w:rPr/>
        <w:t>ciclo</w:t>
      </w:r>
      <w:r>
        <w:rPr>
          <w:spacing w:val="-24"/>
        </w:rPr>
        <w:t> </w:t>
      </w:r>
      <w:r>
        <w:rPr/>
        <w:t>tarifário</w:t>
      </w:r>
      <w:r>
        <w:rPr>
          <w:spacing w:val="-22"/>
        </w:rPr>
        <w:t> </w:t>
      </w:r>
      <w:r>
        <w:rPr/>
        <w:t>anterior.</w:t>
      </w:r>
    </w:p>
    <w:p>
      <w:pPr>
        <w:pStyle w:val="BodyText"/>
        <w:spacing w:line="242" w:lineRule="auto" w:before="120"/>
        <w:ind w:left="172" w:right="411"/>
        <w:jc w:val="both"/>
      </w:pPr>
      <w:r>
        <w:rPr>
          <w:w w:val="93"/>
        </w:rPr>
        <w:t>C</w:t>
      </w:r>
      <w:r>
        <w:rPr>
          <w:w w:val="99"/>
        </w:rPr>
        <w:t>om</w:t>
      </w:r>
      <w:r>
        <w:rPr>
          <w:spacing w:val="-20"/>
        </w:rPr>
        <w:t> </w:t>
      </w:r>
      <w:r>
        <w:rPr>
          <w:spacing w:val="1"/>
          <w:w w:val="105"/>
        </w:rPr>
        <w:t>r</w:t>
      </w:r>
      <w:r>
        <w:rPr>
          <w:spacing w:val="-2"/>
          <w:w w:val="89"/>
        </w:rPr>
        <w:t>e</w:t>
      </w:r>
      <w:r>
        <w:rPr>
          <w:w w:val="91"/>
        </w:rPr>
        <w:t>l</w:t>
      </w:r>
      <w:r>
        <w:rPr>
          <w:w w:val="92"/>
        </w:rPr>
        <w:t>a</w:t>
      </w:r>
      <w:r>
        <w:rPr>
          <w:w w:val="88"/>
        </w:rPr>
        <w:t>ç</w:t>
      </w:r>
      <w:r>
        <w:rPr>
          <w:w w:val="92"/>
        </w:rPr>
        <w:t>ã</w:t>
      </w:r>
      <w:r>
        <w:rPr>
          <w:w w:val="98"/>
        </w:rPr>
        <w:t>o</w:t>
      </w:r>
      <w:r>
        <w:rPr>
          <w:spacing w:val="-20"/>
        </w:rPr>
        <w:t> </w:t>
      </w:r>
      <w:r>
        <w:rPr>
          <w:w w:val="92"/>
        </w:rPr>
        <w:t>a</w:t>
      </w:r>
      <w:r>
        <w:rPr>
          <w:w w:val="101"/>
        </w:rPr>
        <w:t>os</w:t>
      </w:r>
      <w:r>
        <w:rPr>
          <w:spacing w:val="-19"/>
        </w:rPr>
        <w:t> </w:t>
      </w:r>
      <w:r>
        <w:rPr>
          <w:w w:val="89"/>
        </w:rPr>
        <w:t>it</w:t>
      </w:r>
      <w:r>
        <w:rPr>
          <w:spacing w:val="-2"/>
          <w:w w:val="89"/>
        </w:rPr>
        <w:t>e</w:t>
      </w:r>
      <w:r>
        <w:rPr>
          <w:spacing w:val="-1"/>
          <w:w w:val="101"/>
        </w:rPr>
        <w:t>n</w:t>
      </w:r>
      <w:r>
        <w:rPr>
          <w:w w:val="105"/>
        </w:rPr>
        <w:t>s</w:t>
      </w:r>
      <w:r>
        <w:rPr>
          <w:spacing w:val="-19"/>
        </w:rPr>
        <w:t> </w:t>
      </w:r>
      <w:r>
        <w:rPr>
          <w:w w:val="88"/>
        </w:rPr>
        <w:t>f</w:t>
      </w:r>
      <w:r>
        <w:rPr>
          <w:spacing w:val="1"/>
          <w:w w:val="88"/>
        </w:rPr>
        <w:t>i</w:t>
      </w:r>
      <w:r>
        <w:rPr>
          <w:spacing w:val="-1"/>
          <w:w w:val="101"/>
        </w:rPr>
        <w:t>n</w:t>
      </w:r>
      <w:r>
        <w:rPr>
          <w:w w:val="92"/>
        </w:rPr>
        <w:t>a</w:t>
      </w:r>
      <w:r>
        <w:rPr>
          <w:spacing w:val="-1"/>
          <w:w w:val="101"/>
        </w:rPr>
        <w:t>n</w:t>
      </w:r>
      <w:r>
        <w:rPr>
          <w:spacing w:val="3"/>
          <w:w w:val="88"/>
        </w:rPr>
        <w:t>c</w:t>
      </w:r>
      <w:r>
        <w:rPr>
          <w:spacing w:val="-2"/>
          <w:w w:val="89"/>
        </w:rPr>
        <w:t>e</w:t>
      </w:r>
      <w:r>
        <w:rPr>
          <w:w w:val="102"/>
        </w:rPr>
        <w:t>i</w:t>
      </w:r>
      <w:r>
        <w:rPr>
          <w:spacing w:val="1"/>
          <w:w w:val="102"/>
        </w:rPr>
        <w:t>r</w:t>
      </w:r>
      <w:r>
        <w:rPr>
          <w:w w:val="88"/>
        </w:rPr>
        <w:t>os,</w:t>
      </w:r>
      <w:r>
        <w:rPr>
          <w:spacing w:val="-19"/>
        </w:rPr>
        <w:t> </w:t>
      </w:r>
      <w:r>
        <w:rPr>
          <w:w w:val="94"/>
        </w:rPr>
        <w:t>d</w:t>
      </w:r>
      <w:r>
        <w:rPr>
          <w:spacing w:val="-2"/>
          <w:w w:val="94"/>
        </w:rPr>
        <w:t>e</w:t>
      </w:r>
      <w:r>
        <w:rPr>
          <w:w w:val="105"/>
        </w:rPr>
        <w:t>s</w:t>
      </w:r>
      <w:r>
        <w:rPr>
          <w:spacing w:val="-1"/>
          <w:w w:val="89"/>
        </w:rPr>
        <w:t>t</w:t>
      </w:r>
      <w:r>
        <w:rPr>
          <w:w w:val="89"/>
        </w:rPr>
        <w:t>a</w:t>
      </w:r>
      <w:r>
        <w:rPr>
          <w:w w:val="88"/>
        </w:rPr>
        <w:t>c</w:t>
      </w:r>
      <w:r>
        <w:rPr>
          <w:spacing w:val="4"/>
          <w:w w:val="92"/>
        </w:rPr>
        <w:t>a</w:t>
      </w:r>
      <w:r>
        <w:rPr>
          <w:spacing w:val="1"/>
          <w:w w:val="90"/>
        </w:rPr>
        <w:t>-</w:t>
      </w:r>
      <w:r>
        <w:rPr>
          <w:w w:val="105"/>
        </w:rPr>
        <w:t>s</w:t>
      </w:r>
      <w:r>
        <w:rPr>
          <w:w w:val="89"/>
        </w:rPr>
        <w:t>e</w:t>
      </w:r>
      <w:r>
        <w:rPr>
          <w:spacing w:val="-21"/>
        </w:rPr>
        <w:t> </w:t>
      </w:r>
      <w:r>
        <w:rPr>
          <w:w w:val="92"/>
        </w:rPr>
        <w:t>a</w:t>
      </w:r>
      <w:r>
        <w:rPr>
          <w:spacing w:val="-19"/>
        </w:rPr>
        <w:t> </w:t>
      </w:r>
      <w:r>
        <w:rPr>
          <w:w w:val="93"/>
        </w:rPr>
        <w:t>C</w:t>
      </w:r>
      <w:r>
        <w:rPr>
          <w:w w:val="103"/>
        </w:rPr>
        <w:t>VA</w:t>
      </w:r>
      <w:r>
        <w:rPr>
          <w:spacing w:val="-19"/>
        </w:rPr>
        <w:t> </w:t>
      </w:r>
      <w:r>
        <w:rPr>
          <w:w w:val="106"/>
        </w:rPr>
        <w:t>E</w:t>
      </w:r>
      <w:r>
        <w:rPr>
          <w:spacing w:val="1"/>
          <w:w w:val="101"/>
        </w:rPr>
        <w:t>n</w:t>
      </w:r>
      <w:r>
        <w:rPr>
          <w:spacing w:val="-2"/>
          <w:w w:val="89"/>
        </w:rPr>
        <w:t>e</w:t>
      </w:r>
      <w:r>
        <w:rPr>
          <w:spacing w:val="1"/>
          <w:w w:val="105"/>
        </w:rPr>
        <w:t>r</w:t>
      </w:r>
      <w:r>
        <w:rPr>
          <w:spacing w:val="-1"/>
          <w:w w:val="95"/>
        </w:rPr>
        <w:t>gi</w:t>
      </w:r>
      <w:r>
        <w:rPr>
          <w:w w:val="95"/>
        </w:rPr>
        <w:t>a</w:t>
      </w:r>
      <w:r>
        <w:rPr>
          <w:spacing w:val="-19"/>
        </w:rPr>
        <w:t> </w:t>
      </w:r>
      <w:r>
        <w:rPr>
          <w:w w:val="88"/>
        </w:rPr>
        <w:t>c</w:t>
      </w:r>
      <w:r>
        <w:rPr>
          <w:w w:val="99"/>
        </w:rPr>
        <w:t>om</w:t>
      </w:r>
      <w:r>
        <w:rPr>
          <w:spacing w:val="-20"/>
        </w:rPr>
        <w:t> </w:t>
      </w:r>
      <w:r>
        <w:rPr>
          <w:w w:val="97"/>
        </w:rPr>
        <w:t>ma</w:t>
      </w:r>
      <w:r>
        <w:rPr>
          <w:w w:val="100"/>
        </w:rPr>
        <w:t>ior</w:t>
      </w:r>
      <w:r>
        <w:rPr>
          <w:spacing w:val="-21"/>
        </w:rPr>
        <w:t> </w:t>
      </w:r>
      <w:r>
        <w:rPr>
          <w:spacing w:val="2"/>
          <w:w w:val="97"/>
        </w:rPr>
        <w:t>i</w:t>
      </w:r>
      <w:r>
        <w:rPr>
          <w:w w:val="97"/>
        </w:rPr>
        <w:t>mpa</w:t>
      </w:r>
      <w:r>
        <w:rPr>
          <w:w w:val="88"/>
        </w:rPr>
        <w:t>c</w:t>
      </w:r>
      <w:r>
        <w:rPr>
          <w:spacing w:val="-1"/>
          <w:w w:val="92"/>
        </w:rPr>
        <w:t>t</w:t>
      </w:r>
      <w:r>
        <w:rPr>
          <w:w w:val="92"/>
        </w:rPr>
        <w:t>o</w:t>
      </w:r>
      <w:r>
        <w:rPr>
          <w:spacing w:val="-20"/>
        </w:rPr>
        <w:t> </w:t>
      </w:r>
      <w:r>
        <w:rPr>
          <w:w w:val="103"/>
        </w:rPr>
        <w:t>(</w:t>
      </w:r>
      <w:r>
        <w:rPr>
          <w:w w:val="95"/>
        </w:rPr>
        <w:t>16,</w:t>
      </w:r>
      <w:r>
        <w:rPr>
          <w:spacing w:val="2"/>
          <w:w w:val="95"/>
        </w:rPr>
        <w:t>5</w:t>
      </w:r>
      <w:r>
        <w:rPr>
          <w:w w:val="130"/>
        </w:rPr>
        <w:t>%)</w:t>
      </w:r>
      <w:r>
        <w:rPr>
          <w:w w:val="55"/>
        </w:rPr>
        <w:t>,</w:t>
      </w:r>
      <w:r>
        <w:rPr>
          <w:spacing w:val="-20"/>
        </w:rPr>
        <w:t> </w:t>
      </w:r>
      <w:r>
        <w:rPr>
          <w:w w:val="88"/>
        </w:rPr>
        <w:t>c</w:t>
      </w:r>
      <w:r>
        <w:rPr>
          <w:spacing w:val="-1"/>
          <w:w w:val="92"/>
        </w:rPr>
        <w:t>uj</w:t>
      </w:r>
      <w:r>
        <w:rPr>
          <w:w w:val="92"/>
        </w:rPr>
        <w:t>o</w:t>
      </w:r>
      <w:r>
        <w:rPr>
          <w:spacing w:val="-20"/>
        </w:rPr>
        <w:t> </w:t>
      </w:r>
      <w:r>
        <w:rPr>
          <w:spacing w:val="-1"/>
          <w:w w:val="105"/>
        </w:rPr>
        <w:t>r</w:t>
      </w:r>
      <w:r>
        <w:rPr>
          <w:spacing w:val="-2"/>
          <w:w w:val="89"/>
        </w:rPr>
        <w:t>e</w:t>
      </w:r>
      <w:r>
        <w:rPr>
          <w:w w:val="88"/>
        </w:rPr>
        <w:t>c</w:t>
      </w:r>
      <w:r>
        <w:rPr>
          <w:spacing w:val="2"/>
          <w:w w:val="100"/>
        </w:rPr>
        <w:t>u</w:t>
      </w:r>
      <w:r>
        <w:rPr>
          <w:spacing w:val="-1"/>
          <w:w w:val="105"/>
        </w:rPr>
        <w:t>r</w:t>
      </w:r>
      <w:r>
        <w:rPr>
          <w:w w:val="105"/>
        </w:rPr>
        <w:t>s</w:t>
      </w:r>
      <w:r>
        <w:rPr>
          <w:w w:val="101"/>
        </w:rPr>
        <w:t>os</w:t>
      </w:r>
      <w:r>
        <w:rPr>
          <w:spacing w:val="-19"/>
        </w:rPr>
        <w:t> </w:t>
      </w:r>
      <w:r>
        <w:rPr>
          <w:w w:val="95"/>
        </w:rPr>
        <w:t>da</w:t>
      </w:r>
      <w:r>
        <w:rPr>
          <w:w w:val="105"/>
        </w:rPr>
        <w:t>s</w:t>
      </w:r>
      <w:r>
        <w:rPr>
          <w:spacing w:val="-19"/>
        </w:rPr>
        <w:t> </w:t>
      </w:r>
      <w:r>
        <w:rPr>
          <w:spacing w:val="-2"/>
          <w:w w:val="97"/>
        </w:rPr>
        <w:t>b</w:t>
      </w:r>
      <w:r>
        <w:rPr>
          <w:w w:val="92"/>
        </w:rPr>
        <w:t>a</w:t>
      </w:r>
      <w:r>
        <w:rPr>
          <w:spacing w:val="-1"/>
          <w:w w:val="101"/>
        </w:rPr>
        <w:t>n</w:t>
      </w:r>
      <w:r>
        <w:rPr>
          <w:spacing w:val="2"/>
          <w:w w:val="99"/>
        </w:rPr>
        <w:t>d</w:t>
      </w:r>
      <w:r>
        <w:rPr>
          <w:spacing w:val="-2"/>
          <w:w w:val="89"/>
        </w:rPr>
        <w:t>e</w:t>
      </w:r>
      <w:r>
        <w:rPr>
          <w:spacing w:val="2"/>
          <w:w w:val="97"/>
        </w:rPr>
        <w:t>i</w:t>
      </w:r>
      <w:r>
        <w:rPr>
          <w:spacing w:val="-1"/>
          <w:w w:val="105"/>
        </w:rPr>
        <w:t>r</w:t>
      </w:r>
      <w:r>
        <w:rPr>
          <w:w w:val="92"/>
        </w:rPr>
        <w:t>a</w:t>
      </w:r>
      <w:r>
        <w:rPr>
          <w:w w:val="105"/>
        </w:rPr>
        <w:t>s </w:t>
      </w:r>
      <w:r>
        <w:rPr/>
        <w:t>tarifárias</w:t>
      </w:r>
      <w:r>
        <w:rPr>
          <w:spacing w:val="-42"/>
        </w:rPr>
        <w:t> </w:t>
      </w:r>
      <w:r>
        <w:rPr/>
        <w:t>e</w:t>
      </w:r>
      <w:r>
        <w:rPr>
          <w:spacing w:val="-41"/>
        </w:rPr>
        <w:t> </w:t>
      </w:r>
      <w:r>
        <w:rPr/>
        <w:t>da</w:t>
      </w:r>
      <w:r>
        <w:rPr>
          <w:spacing w:val="-41"/>
        </w:rPr>
        <w:t> </w:t>
      </w:r>
      <w:r>
        <w:rPr/>
        <w:t>cobertura</w:t>
      </w:r>
      <w:r>
        <w:rPr>
          <w:spacing w:val="-40"/>
        </w:rPr>
        <w:t> </w:t>
      </w:r>
      <w:r>
        <w:rPr/>
        <w:t>concedida</w:t>
      </w:r>
      <w:r>
        <w:rPr>
          <w:spacing w:val="-42"/>
        </w:rPr>
        <w:t> </w:t>
      </w:r>
      <w:r>
        <w:rPr/>
        <w:t>no</w:t>
      </w:r>
      <w:r>
        <w:rPr>
          <w:spacing w:val="-40"/>
        </w:rPr>
        <w:t> </w:t>
      </w:r>
      <w:r>
        <w:rPr/>
        <w:t>ciclo</w:t>
      </w:r>
      <w:r>
        <w:rPr>
          <w:spacing w:val="-41"/>
        </w:rPr>
        <w:t> </w:t>
      </w:r>
      <w:r>
        <w:rPr/>
        <w:t>anterior</w:t>
      </w:r>
      <w:r>
        <w:rPr>
          <w:spacing w:val="-40"/>
        </w:rPr>
        <w:t> </w:t>
      </w:r>
      <w:r>
        <w:rPr/>
        <w:t>não</w:t>
      </w:r>
      <w:r>
        <w:rPr>
          <w:spacing w:val="-42"/>
        </w:rPr>
        <w:t> </w:t>
      </w:r>
      <w:r>
        <w:rPr/>
        <w:t>foram</w:t>
      </w:r>
      <w:r>
        <w:rPr>
          <w:spacing w:val="-41"/>
        </w:rPr>
        <w:t> </w:t>
      </w:r>
      <w:r>
        <w:rPr/>
        <w:t>suficientes</w:t>
      </w:r>
      <w:r>
        <w:rPr>
          <w:spacing w:val="-41"/>
        </w:rPr>
        <w:t> </w:t>
      </w:r>
      <w:r>
        <w:rPr/>
        <w:t>para</w:t>
      </w:r>
      <w:r>
        <w:rPr>
          <w:spacing w:val="-41"/>
        </w:rPr>
        <w:t> </w:t>
      </w:r>
      <w:r>
        <w:rPr/>
        <w:t>liquidar</w:t>
      </w:r>
      <w:r>
        <w:rPr>
          <w:spacing w:val="-42"/>
        </w:rPr>
        <w:t> </w:t>
      </w:r>
      <w:r>
        <w:rPr/>
        <w:t>os</w:t>
      </w:r>
      <w:r>
        <w:rPr>
          <w:spacing w:val="-41"/>
        </w:rPr>
        <w:t> </w:t>
      </w:r>
      <w:r>
        <w:rPr/>
        <w:t>custos</w:t>
      </w:r>
      <w:r>
        <w:rPr>
          <w:spacing w:val="-41"/>
        </w:rPr>
        <w:t> </w:t>
      </w:r>
      <w:r>
        <w:rPr/>
        <w:t>do</w:t>
      </w:r>
      <w:r>
        <w:rPr>
          <w:spacing w:val="-41"/>
        </w:rPr>
        <w:t> </w:t>
      </w:r>
      <w:r>
        <w:rPr/>
        <w:t>risco</w:t>
      </w:r>
      <w:r>
        <w:rPr>
          <w:spacing w:val="-42"/>
        </w:rPr>
        <w:t> </w:t>
      </w:r>
      <w:r>
        <w:rPr/>
        <w:t>hidrológico incorridos pela</w:t>
      </w:r>
      <w:r>
        <w:rPr>
          <w:spacing w:val="-34"/>
        </w:rPr>
        <w:t> </w:t>
      </w:r>
      <w:r>
        <w:rPr/>
        <w:t>companhia.</w:t>
      </w:r>
    </w:p>
    <w:p>
      <w:pPr>
        <w:pStyle w:val="BodyText"/>
        <w:spacing w:before="5"/>
      </w:pPr>
    </w:p>
    <w:p>
      <w:pPr>
        <w:pStyle w:val="Heading5"/>
        <w:numPr>
          <w:ilvl w:val="0"/>
          <w:numId w:val="36"/>
        </w:numPr>
        <w:tabs>
          <w:tab w:pos="894" w:val="left" w:leader="none"/>
        </w:tabs>
        <w:spacing w:line="240" w:lineRule="auto" w:before="0" w:after="0"/>
        <w:ind w:left="893" w:right="0" w:hanging="361"/>
        <w:jc w:val="left"/>
      </w:pPr>
      <w:r>
        <w:rPr/>
        <w:t>Revisão Tarifária Extraordinária -</w:t>
      </w:r>
      <w:r>
        <w:rPr>
          <w:spacing w:val="-4"/>
        </w:rPr>
        <w:t> </w:t>
      </w:r>
      <w:r>
        <w:rPr/>
        <w:t>RTE</w:t>
      </w:r>
    </w:p>
    <w:p>
      <w:pPr>
        <w:pStyle w:val="BodyText"/>
        <w:spacing w:before="9"/>
        <w:rPr>
          <w:rFonts w:ascii="Caladea"/>
          <w:b/>
        </w:rPr>
      </w:pPr>
    </w:p>
    <w:p>
      <w:pPr>
        <w:pStyle w:val="BodyText"/>
        <w:spacing w:line="242" w:lineRule="auto"/>
        <w:ind w:left="172" w:right="409"/>
        <w:jc w:val="both"/>
      </w:pPr>
      <w:r>
        <w:rPr/>
        <w:t>Conforme</w:t>
      </w:r>
      <w:r>
        <w:rPr>
          <w:spacing w:val="-38"/>
        </w:rPr>
        <w:t> </w:t>
      </w:r>
      <w:r>
        <w:rPr/>
        <w:t>o</w:t>
      </w:r>
      <w:r>
        <w:rPr>
          <w:spacing w:val="-36"/>
        </w:rPr>
        <w:t> </w:t>
      </w:r>
      <w:r>
        <w:rPr/>
        <w:t>Quarto</w:t>
      </w:r>
      <w:r>
        <w:rPr>
          <w:spacing w:val="-36"/>
        </w:rPr>
        <w:t> </w:t>
      </w:r>
      <w:r>
        <w:rPr/>
        <w:t>Termo</w:t>
      </w:r>
      <w:r>
        <w:rPr>
          <w:spacing w:val="-36"/>
        </w:rPr>
        <w:t> </w:t>
      </w:r>
      <w:r>
        <w:rPr/>
        <w:t>Aditivo</w:t>
      </w:r>
      <w:r>
        <w:rPr>
          <w:spacing w:val="-37"/>
        </w:rPr>
        <w:t> </w:t>
      </w:r>
      <w:r>
        <w:rPr/>
        <w:t>ao</w:t>
      </w:r>
      <w:r>
        <w:rPr>
          <w:spacing w:val="-36"/>
        </w:rPr>
        <w:t> </w:t>
      </w:r>
      <w:r>
        <w:rPr/>
        <w:t>Contrato</w:t>
      </w:r>
      <w:r>
        <w:rPr>
          <w:spacing w:val="-36"/>
        </w:rPr>
        <w:t> </w:t>
      </w:r>
      <w:r>
        <w:rPr/>
        <w:t>de</w:t>
      </w:r>
      <w:r>
        <w:rPr>
          <w:spacing w:val="-38"/>
        </w:rPr>
        <w:t> </w:t>
      </w:r>
      <w:r>
        <w:rPr/>
        <w:t>Concessão</w:t>
      </w:r>
      <w:r>
        <w:rPr>
          <w:spacing w:val="-37"/>
        </w:rPr>
        <w:t> </w:t>
      </w:r>
      <w:r>
        <w:rPr/>
        <w:t>de</w:t>
      </w:r>
      <w:r>
        <w:rPr>
          <w:spacing w:val="-36"/>
        </w:rPr>
        <w:t> </w:t>
      </w:r>
      <w:r>
        <w:rPr/>
        <w:t>Serviço</w:t>
      </w:r>
      <w:r>
        <w:rPr>
          <w:spacing w:val="-36"/>
        </w:rPr>
        <w:t> </w:t>
      </w:r>
      <w:r>
        <w:rPr/>
        <w:t>Público</w:t>
      </w:r>
      <w:r>
        <w:rPr>
          <w:spacing w:val="-37"/>
        </w:rPr>
        <w:t> </w:t>
      </w:r>
      <w:r>
        <w:rPr/>
        <w:t>de</w:t>
      </w:r>
      <w:r>
        <w:rPr>
          <w:spacing w:val="-37"/>
        </w:rPr>
        <w:t> </w:t>
      </w:r>
      <w:r>
        <w:rPr/>
        <w:t>Distribuição</w:t>
      </w:r>
      <w:r>
        <w:rPr>
          <w:spacing w:val="-37"/>
        </w:rPr>
        <w:t> </w:t>
      </w:r>
      <w:r>
        <w:rPr/>
        <w:t>de</w:t>
      </w:r>
      <w:r>
        <w:rPr>
          <w:spacing w:val="-38"/>
        </w:rPr>
        <w:t> </w:t>
      </w:r>
      <w:r>
        <w:rPr/>
        <w:t>Energia</w:t>
      </w:r>
      <w:r>
        <w:rPr>
          <w:spacing w:val="-37"/>
        </w:rPr>
        <w:t> </w:t>
      </w:r>
      <w:r>
        <w:rPr/>
        <w:t>Elétrica</w:t>
      </w:r>
      <w:r>
        <w:rPr>
          <w:spacing w:val="-35"/>
        </w:rPr>
        <w:t> </w:t>
      </w:r>
      <w:r>
        <w:rPr/>
        <w:t>nº 66/1999,</w:t>
      </w:r>
      <w:r>
        <w:rPr>
          <w:spacing w:val="-18"/>
        </w:rPr>
        <w:t> </w:t>
      </w:r>
      <w:r>
        <w:rPr/>
        <w:t>é</w:t>
      </w:r>
      <w:r>
        <w:rPr>
          <w:spacing w:val="-20"/>
        </w:rPr>
        <w:t> </w:t>
      </w:r>
      <w:r>
        <w:rPr/>
        <w:t>permitida</w:t>
      </w:r>
      <w:r>
        <w:rPr>
          <w:spacing w:val="-19"/>
        </w:rPr>
        <w:t> </w:t>
      </w:r>
      <w:r>
        <w:rPr/>
        <w:t>a</w:t>
      </w:r>
      <w:r>
        <w:rPr>
          <w:spacing w:val="-18"/>
        </w:rPr>
        <w:t> </w:t>
      </w:r>
      <w:r>
        <w:rPr/>
        <w:t>Companhia</w:t>
      </w:r>
      <w:r>
        <w:rPr>
          <w:spacing w:val="-18"/>
        </w:rPr>
        <w:t> </w:t>
      </w:r>
      <w:r>
        <w:rPr/>
        <w:t>pleitear,</w:t>
      </w:r>
      <w:r>
        <w:rPr>
          <w:spacing w:val="-18"/>
        </w:rPr>
        <w:t> </w:t>
      </w:r>
      <w:r>
        <w:rPr/>
        <w:t>perante</w:t>
      </w:r>
      <w:r>
        <w:rPr>
          <w:spacing w:val="-20"/>
        </w:rPr>
        <w:t> </w:t>
      </w:r>
      <w:r>
        <w:rPr/>
        <w:t>a</w:t>
      </w:r>
      <w:r>
        <w:rPr>
          <w:spacing w:val="-17"/>
        </w:rPr>
        <w:t> </w:t>
      </w:r>
      <w:r>
        <w:rPr/>
        <w:t>Aneel,</w:t>
      </w:r>
      <w:r>
        <w:rPr>
          <w:spacing w:val="-19"/>
        </w:rPr>
        <w:t> </w:t>
      </w:r>
      <w:r>
        <w:rPr/>
        <w:t>processo</w:t>
      </w:r>
      <w:r>
        <w:rPr>
          <w:spacing w:val="-19"/>
        </w:rPr>
        <w:t> </w:t>
      </w:r>
      <w:r>
        <w:rPr/>
        <w:t>tarifário</w:t>
      </w:r>
      <w:r>
        <w:rPr>
          <w:spacing w:val="-18"/>
        </w:rPr>
        <w:t> </w:t>
      </w:r>
      <w:r>
        <w:rPr/>
        <w:t>extraordinário,</w:t>
      </w:r>
      <w:r>
        <w:rPr>
          <w:spacing w:val="-19"/>
        </w:rPr>
        <w:t> </w:t>
      </w:r>
      <w:r>
        <w:rPr/>
        <w:t>cuja</w:t>
      </w:r>
      <w:r>
        <w:rPr>
          <w:spacing w:val="-18"/>
        </w:rPr>
        <w:t> </w:t>
      </w:r>
      <w:r>
        <w:rPr/>
        <w:t>finalidade</w:t>
      </w:r>
      <w:r>
        <w:rPr>
          <w:spacing w:val="-18"/>
        </w:rPr>
        <w:t> </w:t>
      </w:r>
      <w:r>
        <w:rPr/>
        <w:t>é buscar</w:t>
      </w:r>
      <w:r>
        <w:rPr>
          <w:spacing w:val="-21"/>
        </w:rPr>
        <w:t> </w:t>
      </w:r>
      <w:r>
        <w:rPr/>
        <w:t>o</w:t>
      </w:r>
      <w:r>
        <w:rPr>
          <w:spacing w:val="-18"/>
        </w:rPr>
        <w:t> </w:t>
      </w:r>
      <w:r>
        <w:rPr/>
        <w:t>reequilíbrio</w:t>
      </w:r>
      <w:r>
        <w:rPr>
          <w:spacing w:val="-18"/>
        </w:rPr>
        <w:t> </w:t>
      </w:r>
      <w:r>
        <w:rPr/>
        <w:t>econômico-financeiro</w:t>
      </w:r>
      <w:r>
        <w:rPr>
          <w:spacing w:val="-21"/>
        </w:rPr>
        <w:t> </w:t>
      </w:r>
      <w:r>
        <w:rPr/>
        <w:t>do</w:t>
      </w:r>
      <w:r>
        <w:rPr>
          <w:spacing w:val="-18"/>
        </w:rPr>
        <w:t> </w:t>
      </w:r>
      <w:r>
        <w:rPr/>
        <w:t>contrato</w:t>
      </w:r>
      <w:r>
        <w:rPr>
          <w:spacing w:val="-19"/>
        </w:rPr>
        <w:t> </w:t>
      </w:r>
      <w:r>
        <w:rPr/>
        <w:t>de</w:t>
      </w:r>
      <w:r>
        <w:rPr>
          <w:spacing w:val="-21"/>
        </w:rPr>
        <w:t> </w:t>
      </w:r>
      <w:r>
        <w:rPr/>
        <w:t>concessão.</w:t>
      </w:r>
    </w:p>
    <w:p>
      <w:pPr>
        <w:pStyle w:val="BodyText"/>
        <w:spacing w:line="242" w:lineRule="auto" w:before="119"/>
        <w:ind w:left="172" w:right="410"/>
        <w:jc w:val="both"/>
      </w:pPr>
      <w:r>
        <w:rPr/>
        <w:t>Assim,</w:t>
      </w:r>
      <w:r>
        <w:rPr>
          <w:spacing w:val="-6"/>
        </w:rPr>
        <w:t> </w:t>
      </w:r>
      <w:r>
        <w:rPr/>
        <w:t>em</w:t>
      </w:r>
      <w:r>
        <w:rPr>
          <w:spacing w:val="-6"/>
        </w:rPr>
        <w:t> </w:t>
      </w:r>
      <w:r>
        <w:rPr/>
        <w:t>decorrência</w:t>
      </w:r>
      <w:r>
        <w:rPr>
          <w:spacing w:val="-5"/>
        </w:rPr>
        <w:t> </w:t>
      </w:r>
      <w:r>
        <w:rPr/>
        <w:t>da</w:t>
      </w:r>
      <w:r>
        <w:rPr>
          <w:spacing w:val="-5"/>
        </w:rPr>
        <w:t> </w:t>
      </w:r>
      <w:r>
        <w:rPr/>
        <w:t>escalada</w:t>
      </w:r>
      <w:r>
        <w:rPr>
          <w:spacing w:val="-6"/>
        </w:rPr>
        <w:t> </w:t>
      </w:r>
      <w:r>
        <w:rPr/>
        <w:t>do</w:t>
      </w:r>
      <w:r>
        <w:rPr>
          <w:spacing w:val="-5"/>
        </w:rPr>
        <w:t> </w:t>
      </w:r>
      <w:r>
        <w:rPr/>
        <w:t>PLD</w:t>
      </w:r>
      <w:r>
        <w:rPr>
          <w:spacing w:val="-6"/>
        </w:rPr>
        <w:t> </w:t>
      </w:r>
      <w:r>
        <w:rPr/>
        <w:t>a</w:t>
      </w:r>
      <w:r>
        <w:rPr>
          <w:spacing w:val="-5"/>
        </w:rPr>
        <w:t> </w:t>
      </w:r>
      <w:r>
        <w:rPr/>
        <w:t>partir</w:t>
      </w:r>
      <w:r>
        <w:rPr>
          <w:spacing w:val="-7"/>
        </w:rPr>
        <w:t> </w:t>
      </w:r>
      <w:r>
        <w:rPr/>
        <w:t>do</w:t>
      </w:r>
      <w:r>
        <w:rPr>
          <w:spacing w:val="-4"/>
        </w:rPr>
        <w:t> </w:t>
      </w:r>
      <w:r>
        <w:rPr/>
        <w:t>2º</w:t>
      </w:r>
      <w:r>
        <w:rPr>
          <w:spacing w:val="-5"/>
        </w:rPr>
        <w:t> </w:t>
      </w:r>
      <w:r>
        <w:rPr/>
        <w:t>Semestre</w:t>
      </w:r>
      <w:r>
        <w:rPr>
          <w:spacing w:val="-7"/>
        </w:rPr>
        <w:t> </w:t>
      </w:r>
      <w:r>
        <w:rPr>
          <w:spacing w:val="5"/>
        </w:rPr>
        <w:t>de</w:t>
      </w:r>
      <w:r>
        <w:rPr>
          <w:spacing w:val="-7"/>
        </w:rPr>
        <w:t> </w:t>
      </w:r>
      <w:r>
        <w:rPr/>
        <w:t>2017,</w:t>
      </w:r>
      <w:r>
        <w:rPr>
          <w:spacing w:val="-6"/>
        </w:rPr>
        <w:t> </w:t>
      </w:r>
      <w:r>
        <w:rPr/>
        <w:t>tal</w:t>
      </w:r>
      <w:r>
        <w:rPr>
          <w:spacing w:val="-5"/>
        </w:rPr>
        <w:t> </w:t>
      </w:r>
      <w:r>
        <w:rPr/>
        <w:t>oscilação</w:t>
      </w:r>
      <w:r>
        <w:rPr>
          <w:spacing w:val="-6"/>
        </w:rPr>
        <w:t> </w:t>
      </w:r>
      <w:r>
        <w:rPr/>
        <w:t>resultou</w:t>
      </w:r>
      <w:r>
        <w:rPr>
          <w:spacing w:val="-5"/>
        </w:rPr>
        <w:t> </w:t>
      </w:r>
      <w:r>
        <w:rPr/>
        <w:t>na</w:t>
      </w:r>
      <w:r>
        <w:rPr>
          <w:spacing w:val="-6"/>
        </w:rPr>
        <w:t> </w:t>
      </w:r>
      <w:r>
        <w:rPr/>
        <w:t>Exposição Financeira</w:t>
      </w:r>
      <w:r>
        <w:rPr>
          <w:spacing w:val="-26"/>
        </w:rPr>
        <w:t> </w:t>
      </w:r>
      <w:r>
        <w:rPr/>
        <w:t>no</w:t>
      </w:r>
      <w:r>
        <w:rPr>
          <w:spacing w:val="-26"/>
        </w:rPr>
        <w:t> </w:t>
      </w:r>
      <w:r>
        <w:rPr/>
        <w:t>Mercado</w:t>
      </w:r>
      <w:r>
        <w:rPr>
          <w:spacing w:val="-26"/>
        </w:rPr>
        <w:t> </w:t>
      </w:r>
      <w:r>
        <w:rPr/>
        <w:t>de</w:t>
      </w:r>
      <w:r>
        <w:rPr>
          <w:spacing w:val="-26"/>
        </w:rPr>
        <w:t> </w:t>
      </w:r>
      <w:r>
        <w:rPr/>
        <w:t>Curto</w:t>
      </w:r>
      <w:r>
        <w:rPr>
          <w:spacing w:val="-27"/>
        </w:rPr>
        <w:t> </w:t>
      </w:r>
      <w:r>
        <w:rPr/>
        <w:t>Prazo</w:t>
      </w:r>
      <w:r>
        <w:rPr>
          <w:spacing w:val="-25"/>
        </w:rPr>
        <w:t> </w:t>
      </w:r>
      <w:r>
        <w:rPr/>
        <w:t>e</w:t>
      </w:r>
      <w:r>
        <w:rPr>
          <w:spacing w:val="-27"/>
        </w:rPr>
        <w:t> </w:t>
      </w:r>
      <w:r>
        <w:rPr/>
        <w:t>no</w:t>
      </w:r>
      <w:r>
        <w:rPr>
          <w:spacing w:val="-26"/>
        </w:rPr>
        <w:t> </w:t>
      </w:r>
      <w:r>
        <w:rPr/>
        <w:t>aumento</w:t>
      </w:r>
      <w:r>
        <w:rPr>
          <w:spacing w:val="-24"/>
        </w:rPr>
        <w:t> </w:t>
      </w:r>
      <w:r>
        <w:rPr/>
        <w:t>expressivo</w:t>
      </w:r>
      <w:r>
        <w:rPr>
          <w:spacing w:val="-25"/>
        </w:rPr>
        <w:t> </w:t>
      </w:r>
      <w:r>
        <w:rPr/>
        <w:t>das</w:t>
      </w:r>
      <w:r>
        <w:rPr>
          <w:spacing w:val="-27"/>
        </w:rPr>
        <w:t> </w:t>
      </w:r>
      <w:r>
        <w:rPr/>
        <w:t>despesas</w:t>
      </w:r>
      <w:r>
        <w:rPr>
          <w:spacing w:val="-28"/>
        </w:rPr>
        <w:t> </w:t>
      </w:r>
      <w:r>
        <w:rPr/>
        <w:t>do</w:t>
      </w:r>
      <w:r>
        <w:rPr>
          <w:spacing w:val="-26"/>
        </w:rPr>
        <w:t> </w:t>
      </w:r>
      <w:r>
        <w:rPr/>
        <w:t>Risco</w:t>
      </w:r>
      <w:r>
        <w:rPr>
          <w:spacing w:val="-27"/>
        </w:rPr>
        <w:t> </w:t>
      </w:r>
      <w:r>
        <w:rPr/>
        <w:t>Hidrológico</w:t>
      </w:r>
      <w:r>
        <w:rPr>
          <w:spacing w:val="-26"/>
        </w:rPr>
        <w:t> </w:t>
      </w:r>
      <w:r>
        <w:rPr/>
        <w:t>dos</w:t>
      </w:r>
      <w:r>
        <w:rPr>
          <w:spacing w:val="-26"/>
        </w:rPr>
        <w:t> </w:t>
      </w:r>
      <w:r>
        <w:rPr/>
        <w:t>contratos</w:t>
      </w:r>
      <w:r>
        <w:rPr>
          <w:spacing w:val="-25"/>
        </w:rPr>
        <w:t> </w:t>
      </w:r>
      <w:r>
        <w:rPr/>
        <w:t>de Cotas</w:t>
      </w:r>
      <w:r>
        <w:rPr>
          <w:spacing w:val="-17"/>
        </w:rPr>
        <w:t> </w:t>
      </w:r>
      <w:r>
        <w:rPr/>
        <w:t>de</w:t>
      </w:r>
      <w:r>
        <w:rPr>
          <w:spacing w:val="-17"/>
        </w:rPr>
        <w:t> </w:t>
      </w:r>
      <w:r>
        <w:rPr/>
        <w:t>Garantia</w:t>
      </w:r>
      <w:r>
        <w:rPr>
          <w:spacing w:val="-17"/>
        </w:rPr>
        <w:t> </w:t>
      </w:r>
      <w:r>
        <w:rPr/>
        <w:t>Física,</w:t>
      </w:r>
      <w:r>
        <w:rPr>
          <w:spacing w:val="-16"/>
        </w:rPr>
        <w:t> </w:t>
      </w:r>
      <w:r>
        <w:rPr/>
        <w:t>Itaipu</w:t>
      </w:r>
      <w:r>
        <w:rPr>
          <w:spacing w:val="-16"/>
        </w:rPr>
        <w:t> </w:t>
      </w:r>
      <w:r>
        <w:rPr/>
        <w:t>e</w:t>
      </w:r>
      <w:r>
        <w:rPr>
          <w:spacing w:val="-17"/>
        </w:rPr>
        <w:t> </w:t>
      </w:r>
      <w:r>
        <w:rPr/>
        <w:t>CCEARs</w:t>
      </w:r>
      <w:r>
        <w:rPr>
          <w:spacing w:val="-17"/>
        </w:rPr>
        <w:t> </w:t>
      </w:r>
      <w:r>
        <w:rPr/>
        <w:t>de</w:t>
      </w:r>
      <w:r>
        <w:rPr>
          <w:spacing w:val="-18"/>
        </w:rPr>
        <w:t> </w:t>
      </w:r>
      <w:r>
        <w:rPr/>
        <w:t>Usinas</w:t>
      </w:r>
      <w:r>
        <w:rPr>
          <w:spacing w:val="-17"/>
        </w:rPr>
        <w:t> </w:t>
      </w:r>
      <w:r>
        <w:rPr/>
        <w:t>Repactuadas.</w:t>
      </w:r>
      <w:r>
        <w:rPr>
          <w:spacing w:val="-18"/>
        </w:rPr>
        <w:t> </w:t>
      </w:r>
      <w:r>
        <w:rPr/>
        <w:t>Além</w:t>
      </w:r>
      <w:r>
        <w:rPr>
          <w:spacing w:val="-16"/>
        </w:rPr>
        <w:t> </w:t>
      </w:r>
      <w:r>
        <w:rPr/>
        <w:t>disso,</w:t>
      </w:r>
      <w:r>
        <w:rPr>
          <w:spacing w:val="-16"/>
        </w:rPr>
        <w:t> </w:t>
      </w:r>
      <w:r>
        <w:rPr/>
        <w:t>o</w:t>
      </w:r>
      <w:r>
        <w:rPr>
          <w:spacing w:val="-16"/>
        </w:rPr>
        <w:t> </w:t>
      </w:r>
      <w:r>
        <w:rPr/>
        <w:t>descasamento</w:t>
      </w:r>
      <w:r>
        <w:rPr>
          <w:spacing w:val="-18"/>
        </w:rPr>
        <w:t> </w:t>
      </w:r>
      <w:r>
        <w:rPr/>
        <w:t>acentuado</w:t>
      </w:r>
      <w:r>
        <w:rPr>
          <w:spacing w:val="-14"/>
        </w:rPr>
        <w:t> </w:t>
      </w:r>
      <w:r>
        <w:rPr/>
        <w:t>entre</w:t>
      </w:r>
      <w:r>
        <w:rPr>
          <w:spacing w:val="-18"/>
        </w:rPr>
        <w:t> </w:t>
      </w:r>
      <w:r>
        <w:rPr/>
        <w:t>a cobertura</w:t>
      </w:r>
      <w:r>
        <w:rPr>
          <w:spacing w:val="-20"/>
        </w:rPr>
        <w:t> </w:t>
      </w:r>
      <w:r>
        <w:rPr/>
        <w:t>tarifária</w:t>
      </w:r>
      <w:r>
        <w:rPr>
          <w:spacing w:val="-21"/>
        </w:rPr>
        <w:t> </w:t>
      </w:r>
      <w:r>
        <w:rPr/>
        <w:t>e</w:t>
      </w:r>
      <w:r>
        <w:rPr>
          <w:spacing w:val="-20"/>
        </w:rPr>
        <w:t> </w:t>
      </w:r>
      <w:r>
        <w:rPr/>
        <w:t>os</w:t>
      </w:r>
      <w:r>
        <w:rPr>
          <w:spacing w:val="-21"/>
        </w:rPr>
        <w:t> </w:t>
      </w:r>
      <w:r>
        <w:rPr/>
        <w:t>custos</w:t>
      </w:r>
      <w:r>
        <w:rPr>
          <w:spacing w:val="-21"/>
        </w:rPr>
        <w:t> </w:t>
      </w:r>
      <w:r>
        <w:rPr/>
        <w:t>incorridos</w:t>
      </w:r>
      <w:r>
        <w:rPr>
          <w:spacing w:val="-21"/>
        </w:rPr>
        <w:t> </w:t>
      </w:r>
      <w:r>
        <w:rPr/>
        <w:t>pós</w:t>
      </w:r>
      <w:r>
        <w:rPr>
          <w:spacing w:val="-19"/>
        </w:rPr>
        <w:t> </w:t>
      </w:r>
      <w:r>
        <w:rPr/>
        <w:t>RTA</w:t>
      </w:r>
      <w:r>
        <w:rPr>
          <w:spacing w:val="-21"/>
        </w:rPr>
        <w:t> </w:t>
      </w:r>
      <w:r>
        <w:rPr/>
        <w:t>2017</w:t>
      </w:r>
      <w:r>
        <w:rPr>
          <w:spacing w:val="-19"/>
        </w:rPr>
        <w:t> </w:t>
      </w:r>
      <w:r>
        <w:rPr/>
        <w:t>alavancou</w:t>
      </w:r>
      <w:r>
        <w:rPr>
          <w:spacing w:val="-21"/>
        </w:rPr>
        <w:t> </w:t>
      </w:r>
      <w:r>
        <w:rPr/>
        <w:t>o</w:t>
      </w:r>
      <w:r>
        <w:rPr>
          <w:spacing w:val="-22"/>
        </w:rPr>
        <w:t> </w:t>
      </w:r>
      <w:r>
        <w:rPr/>
        <w:t>saldo</w:t>
      </w:r>
      <w:r>
        <w:rPr>
          <w:spacing w:val="-22"/>
        </w:rPr>
        <w:t> </w:t>
      </w:r>
      <w:r>
        <w:rPr/>
        <w:t>ativo</w:t>
      </w:r>
      <w:r>
        <w:rPr>
          <w:spacing w:val="-22"/>
        </w:rPr>
        <w:t> </w:t>
      </w:r>
      <w:r>
        <w:rPr/>
        <w:t>de</w:t>
      </w:r>
      <w:r>
        <w:rPr>
          <w:spacing w:val="-23"/>
        </w:rPr>
        <w:t> </w:t>
      </w:r>
      <w:r>
        <w:rPr/>
        <w:t>CVA</w:t>
      </w:r>
      <w:r>
        <w:rPr>
          <w:spacing w:val="-21"/>
        </w:rPr>
        <w:t> </w:t>
      </w:r>
      <w:r>
        <w:rPr/>
        <w:t>de</w:t>
      </w:r>
      <w:r>
        <w:rPr>
          <w:spacing w:val="-21"/>
        </w:rPr>
        <w:t> </w:t>
      </w:r>
      <w:r>
        <w:rPr/>
        <w:t>Energia.</w:t>
      </w:r>
    </w:p>
    <w:p>
      <w:pPr>
        <w:pStyle w:val="BodyText"/>
        <w:spacing w:line="242" w:lineRule="auto" w:before="121"/>
        <w:ind w:left="172" w:right="408"/>
        <w:jc w:val="both"/>
      </w:pPr>
      <w:r>
        <w:rPr/>
        <w:t>A combinação desses fatores motivou o pleito da RTE que foi apreciado e aprovado pela diretoria da Agência Reguladora</w:t>
      </w:r>
      <w:r>
        <w:rPr>
          <w:spacing w:val="-18"/>
        </w:rPr>
        <w:t> </w:t>
      </w:r>
      <w:r>
        <w:rPr/>
        <w:t>na</w:t>
      </w:r>
      <w:r>
        <w:rPr>
          <w:spacing w:val="-18"/>
        </w:rPr>
        <w:t> </w:t>
      </w:r>
      <w:r>
        <w:rPr/>
        <w:t>21º</w:t>
      </w:r>
      <w:r>
        <w:rPr>
          <w:spacing w:val="-20"/>
        </w:rPr>
        <w:t> </w:t>
      </w:r>
      <w:r>
        <w:rPr/>
        <w:t>Reunião</w:t>
      </w:r>
      <w:r>
        <w:rPr>
          <w:spacing w:val="-17"/>
        </w:rPr>
        <w:t> </w:t>
      </w:r>
      <w:r>
        <w:rPr/>
        <w:t>Pública</w:t>
      </w:r>
      <w:r>
        <w:rPr>
          <w:spacing w:val="-20"/>
        </w:rPr>
        <w:t> </w:t>
      </w:r>
      <w:r>
        <w:rPr/>
        <w:t>Ordinária</w:t>
      </w:r>
      <w:r>
        <w:rPr>
          <w:spacing w:val="-18"/>
        </w:rPr>
        <w:t> </w:t>
      </w:r>
      <w:r>
        <w:rPr/>
        <w:t>ocorrida</w:t>
      </w:r>
      <w:r>
        <w:rPr>
          <w:spacing w:val="-18"/>
        </w:rPr>
        <w:t> </w:t>
      </w:r>
      <w:r>
        <w:rPr/>
        <w:t>em</w:t>
      </w:r>
      <w:r>
        <w:rPr>
          <w:spacing w:val="-20"/>
        </w:rPr>
        <w:t> </w:t>
      </w:r>
      <w:r>
        <w:rPr/>
        <w:t>19</w:t>
      </w:r>
      <w:r>
        <w:rPr>
          <w:spacing w:val="-17"/>
        </w:rPr>
        <w:t> </w:t>
      </w:r>
      <w:r>
        <w:rPr/>
        <w:t>de</w:t>
      </w:r>
      <w:r>
        <w:rPr>
          <w:spacing w:val="-20"/>
        </w:rPr>
        <w:t> </w:t>
      </w:r>
      <w:r>
        <w:rPr/>
        <w:t>junho</w:t>
      </w:r>
      <w:r>
        <w:rPr>
          <w:spacing w:val="-19"/>
        </w:rPr>
        <w:t> </w:t>
      </w:r>
      <w:r>
        <w:rPr/>
        <w:t>de</w:t>
      </w:r>
      <w:r>
        <w:rPr>
          <w:spacing w:val="-18"/>
        </w:rPr>
        <w:t> </w:t>
      </w:r>
      <w:r>
        <w:rPr/>
        <w:t>2018,</w:t>
      </w:r>
      <w:r>
        <w:rPr>
          <w:spacing w:val="-18"/>
        </w:rPr>
        <w:t> </w:t>
      </w:r>
      <w:r>
        <w:rPr/>
        <w:t>autorizando</w:t>
      </w:r>
      <w:r>
        <w:rPr>
          <w:spacing w:val="-19"/>
        </w:rPr>
        <w:t> </w:t>
      </w:r>
      <w:r>
        <w:rPr/>
        <w:t>a</w:t>
      </w:r>
      <w:r>
        <w:rPr>
          <w:spacing w:val="-18"/>
        </w:rPr>
        <w:t> </w:t>
      </w:r>
      <w:r>
        <w:rPr/>
        <w:t>aplicação</w:t>
      </w:r>
      <w:r>
        <w:rPr>
          <w:spacing w:val="-20"/>
        </w:rPr>
        <w:t> </w:t>
      </w:r>
      <w:r>
        <w:rPr/>
        <w:t>das</w:t>
      </w:r>
      <w:r>
        <w:rPr>
          <w:spacing w:val="-18"/>
        </w:rPr>
        <w:t> </w:t>
      </w:r>
      <w:r>
        <w:rPr/>
        <w:t>novas tarifas</w:t>
      </w:r>
      <w:r>
        <w:rPr>
          <w:spacing w:val="-21"/>
        </w:rPr>
        <w:t> </w:t>
      </w:r>
      <w:r>
        <w:rPr/>
        <w:t>para</w:t>
      </w:r>
      <w:r>
        <w:rPr>
          <w:spacing w:val="-20"/>
        </w:rPr>
        <w:t> </w:t>
      </w:r>
      <w:r>
        <w:rPr/>
        <w:t>o</w:t>
      </w:r>
      <w:r>
        <w:rPr>
          <w:spacing w:val="-20"/>
        </w:rPr>
        <w:t> </w:t>
      </w:r>
      <w:r>
        <w:rPr/>
        <w:t>período</w:t>
      </w:r>
      <w:r>
        <w:rPr>
          <w:spacing w:val="-20"/>
        </w:rPr>
        <w:t> </w:t>
      </w:r>
      <w:r>
        <w:rPr/>
        <w:t>de</w:t>
      </w:r>
      <w:r>
        <w:rPr>
          <w:spacing w:val="-20"/>
        </w:rPr>
        <w:t> </w:t>
      </w:r>
      <w:r>
        <w:rPr/>
        <w:t>22</w:t>
      </w:r>
      <w:r>
        <w:rPr>
          <w:spacing w:val="-14"/>
        </w:rPr>
        <w:t> </w:t>
      </w:r>
      <w:r>
        <w:rPr/>
        <w:t>de</w:t>
      </w:r>
      <w:r>
        <w:rPr>
          <w:spacing w:val="-20"/>
        </w:rPr>
        <w:t> </w:t>
      </w:r>
      <w:r>
        <w:rPr/>
        <w:t>junho</w:t>
      </w:r>
      <w:r>
        <w:rPr>
          <w:spacing w:val="-20"/>
        </w:rPr>
        <w:t> </w:t>
      </w:r>
      <w:r>
        <w:rPr/>
        <w:t>de</w:t>
      </w:r>
      <w:r>
        <w:rPr>
          <w:spacing w:val="-19"/>
        </w:rPr>
        <w:t> </w:t>
      </w:r>
      <w:r>
        <w:rPr/>
        <w:t>2018</w:t>
      </w:r>
      <w:r>
        <w:rPr>
          <w:spacing w:val="-21"/>
        </w:rPr>
        <w:t> </w:t>
      </w:r>
      <w:r>
        <w:rPr/>
        <w:t>a</w:t>
      </w:r>
      <w:r>
        <w:rPr>
          <w:spacing w:val="-19"/>
        </w:rPr>
        <w:t> </w:t>
      </w:r>
      <w:r>
        <w:rPr/>
        <w:t>21</w:t>
      </w:r>
      <w:r>
        <w:rPr>
          <w:spacing w:val="-18"/>
        </w:rPr>
        <w:t> </w:t>
      </w:r>
      <w:r>
        <w:rPr/>
        <w:t>de</w:t>
      </w:r>
      <w:r>
        <w:rPr>
          <w:spacing w:val="-20"/>
        </w:rPr>
        <w:t> </w:t>
      </w:r>
      <w:r>
        <w:rPr/>
        <w:t>outubro</w:t>
      </w:r>
      <w:r>
        <w:rPr>
          <w:spacing w:val="-20"/>
        </w:rPr>
        <w:t> </w:t>
      </w:r>
      <w:r>
        <w:rPr/>
        <w:t>de</w:t>
      </w:r>
      <w:r>
        <w:rPr>
          <w:spacing w:val="-19"/>
        </w:rPr>
        <w:t> </w:t>
      </w:r>
      <w:r>
        <w:rPr/>
        <w:t>2018,</w:t>
      </w:r>
      <w:r>
        <w:rPr>
          <w:spacing w:val="-19"/>
        </w:rPr>
        <w:t> </w:t>
      </w:r>
      <w:r>
        <w:rPr/>
        <w:t>nos</w:t>
      </w:r>
      <w:r>
        <w:rPr>
          <w:spacing w:val="-19"/>
        </w:rPr>
        <w:t> </w:t>
      </w:r>
      <w:r>
        <w:rPr/>
        <w:t>termos</w:t>
      </w:r>
      <w:r>
        <w:rPr>
          <w:spacing w:val="-20"/>
        </w:rPr>
        <w:t> </w:t>
      </w:r>
      <w:r>
        <w:rPr/>
        <w:t>da</w:t>
      </w:r>
      <w:r>
        <w:rPr>
          <w:spacing w:val="-21"/>
        </w:rPr>
        <w:t> </w:t>
      </w:r>
      <w:r>
        <w:rPr/>
        <w:t>Resolução</w:t>
      </w:r>
      <w:r>
        <w:rPr>
          <w:spacing w:val="-21"/>
        </w:rPr>
        <w:t> </w:t>
      </w:r>
      <w:r>
        <w:rPr/>
        <w:t>Homologatória</w:t>
      </w:r>
      <w:r>
        <w:rPr>
          <w:spacing w:val="-19"/>
        </w:rPr>
        <w:t> </w:t>
      </w:r>
      <w:r>
        <w:rPr/>
        <w:t>nº 2.406/18. O efeito médio a ser percebido pelos consumidores nas tarifas é de 8,81%, sendo 8,88% para os consumidores</w:t>
      </w:r>
      <w:r>
        <w:rPr>
          <w:spacing w:val="-16"/>
        </w:rPr>
        <w:t> </w:t>
      </w:r>
      <w:r>
        <w:rPr/>
        <w:t>de</w:t>
      </w:r>
      <w:r>
        <w:rPr>
          <w:spacing w:val="-18"/>
        </w:rPr>
        <w:t> </w:t>
      </w:r>
      <w:r>
        <w:rPr/>
        <w:t>Alta</w:t>
      </w:r>
      <w:r>
        <w:rPr>
          <w:spacing w:val="-18"/>
        </w:rPr>
        <w:t> </w:t>
      </w:r>
      <w:r>
        <w:rPr/>
        <w:t>Tensão</w:t>
      </w:r>
      <w:r>
        <w:rPr>
          <w:spacing w:val="-19"/>
        </w:rPr>
        <w:t> </w:t>
      </w:r>
      <w:r>
        <w:rPr/>
        <w:t>e</w:t>
      </w:r>
      <w:r>
        <w:rPr>
          <w:spacing w:val="-17"/>
        </w:rPr>
        <w:t> </w:t>
      </w:r>
      <w:r>
        <w:rPr/>
        <w:t>8,78%</w:t>
      </w:r>
      <w:r>
        <w:rPr>
          <w:spacing w:val="-16"/>
        </w:rPr>
        <w:t> </w:t>
      </w:r>
      <w:r>
        <w:rPr/>
        <w:t>para</w:t>
      </w:r>
      <w:r>
        <w:rPr>
          <w:spacing w:val="-18"/>
        </w:rPr>
        <w:t> </w:t>
      </w:r>
      <w:r>
        <w:rPr/>
        <w:t>os</w:t>
      </w:r>
      <w:r>
        <w:rPr>
          <w:spacing w:val="-16"/>
        </w:rPr>
        <w:t> </w:t>
      </w:r>
      <w:r>
        <w:rPr/>
        <w:t>de</w:t>
      </w:r>
      <w:r>
        <w:rPr>
          <w:spacing w:val="-18"/>
        </w:rPr>
        <w:t> </w:t>
      </w:r>
      <w:r>
        <w:rPr/>
        <w:t>Baixa</w:t>
      </w:r>
      <w:r>
        <w:rPr>
          <w:spacing w:val="-18"/>
        </w:rPr>
        <w:t> </w:t>
      </w:r>
      <w:r>
        <w:rPr/>
        <w:t>Tensão.</w:t>
      </w:r>
    </w:p>
    <w:p>
      <w:pPr>
        <w:pStyle w:val="BodyText"/>
        <w:spacing w:before="2"/>
      </w:pPr>
    </w:p>
    <w:p>
      <w:pPr>
        <w:pStyle w:val="Heading5"/>
        <w:numPr>
          <w:ilvl w:val="0"/>
          <w:numId w:val="36"/>
        </w:numPr>
        <w:tabs>
          <w:tab w:pos="894" w:val="left" w:leader="none"/>
        </w:tabs>
        <w:spacing w:line="240" w:lineRule="auto" w:before="0" w:after="0"/>
        <w:ind w:left="893" w:right="0" w:hanging="361"/>
        <w:jc w:val="left"/>
      </w:pPr>
      <w:r>
        <w:rPr/>
        <w:t>Bandeiras</w:t>
      </w:r>
      <w:r>
        <w:rPr>
          <w:spacing w:val="-2"/>
        </w:rPr>
        <w:t> </w:t>
      </w:r>
      <w:r>
        <w:rPr/>
        <w:t>Tarifárias</w:t>
      </w:r>
    </w:p>
    <w:p>
      <w:pPr>
        <w:pStyle w:val="BodyText"/>
        <w:spacing w:before="11"/>
        <w:rPr>
          <w:rFonts w:ascii="Caladea"/>
          <w:b/>
        </w:rPr>
      </w:pPr>
    </w:p>
    <w:p>
      <w:pPr>
        <w:pStyle w:val="BodyText"/>
        <w:spacing w:line="242" w:lineRule="auto"/>
        <w:ind w:left="172" w:right="420"/>
        <w:jc w:val="both"/>
      </w:pPr>
      <w:r>
        <w:rPr/>
        <w:t>O</w:t>
      </w:r>
      <w:r>
        <w:rPr>
          <w:spacing w:val="-29"/>
        </w:rPr>
        <w:t> </w:t>
      </w:r>
      <w:r>
        <w:rPr/>
        <w:t>sistema</w:t>
      </w:r>
      <w:r>
        <w:rPr>
          <w:spacing w:val="-28"/>
        </w:rPr>
        <w:t> </w:t>
      </w:r>
      <w:r>
        <w:rPr/>
        <w:t>de</w:t>
      </w:r>
      <w:r>
        <w:rPr>
          <w:spacing w:val="-29"/>
        </w:rPr>
        <w:t> </w:t>
      </w:r>
      <w:r>
        <w:rPr/>
        <w:t>Bandeiras</w:t>
      </w:r>
      <w:r>
        <w:rPr>
          <w:spacing w:val="-28"/>
        </w:rPr>
        <w:t> </w:t>
      </w:r>
      <w:r>
        <w:rPr/>
        <w:t>Tarifárias</w:t>
      </w:r>
      <w:r>
        <w:rPr>
          <w:spacing w:val="-28"/>
        </w:rPr>
        <w:t> </w:t>
      </w:r>
      <w:r>
        <w:rPr/>
        <w:t>foi</w:t>
      </w:r>
      <w:r>
        <w:rPr>
          <w:spacing w:val="-29"/>
        </w:rPr>
        <w:t> </w:t>
      </w:r>
      <w:r>
        <w:rPr/>
        <w:t>criado</w:t>
      </w:r>
      <w:r>
        <w:rPr>
          <w:spacing w:val="-26"/>
        </w:rPr>
        <w:t> </w:t>
      </w:r>
      <w:r>
        <w:rPr/>
        <w:t>para</w:t>
      </w:r>
      <w:r>
        <w:rPr>
          <w:spacing w:val="-28"/>
        </w:rPr>
        <w:t> </w:t>
      </w:r>
      <w:r>
        <w:rPr/>
        <w:t>substituir</w:t>
      </w:r>
      <w:r>
        <w:rPr>
          <w:spacing w:val="-29"/>
        </w:rPr>
        <w:t> </w:t>
      </w:r>
      <w:r>
        <w:rPr/>
        <w:t>a</w:t>
      </w:r>
      <w:r>
        <w:rPr>
          <w:spacing w:val="-28"/>
        </w:rPr>
        <w:t> </w:t>
      </w:r>
      <w:r>
        <w:rPr/>
        <w:t>tarifa</w:t>
      </w:r>
      <w:r>
        <w:rPr>
          <w:spacing w:val="-28"/>
        </w:rPr>
        <w:t> </w:t>
      </w:r>
      <w:r>
        <w:rPr/>
        <w:t>do</w:t>
      </w:r>
      <w:r>
        <w:rPr>
          <w:spacing w:val="-26"/>
        </w:rPr>
        <w:t> </w:t>
      </w:r>
      <w:r>
        <w:rPr/>
        <w:t>período</w:t>
      </w:r>
      <w:r>
        <w:rPr>
          <w:spacing w:val="-29"/>
        </w:rPr>
        <w:t> </w:t>
      </w:r>
      <w:r>
        <w:rPr/>
        <w:t>seco</w:t>
      </w:r>
      <w:r>
        <w:rPr>
          <w:spacing w:val="-26"/>
        </w:rPr>
        <w:t> </w:t>
      </w:r>
      <w:r>
        <w:rPr/>
        <w:t>e</w:t>
      </w:r>
      <w:r>
        <w:rPr>
          <w:spacing w:val="-30"/>
        </w:rPr>
        <w:t> </w:t>
      </w:r>
      <w:r>
        <w:rPr/>
        <w:t>úmido,</w:t>
      </w:r>
      <w:r>
        <w:rPr>
          <w:spacing w:val="-28"/>
        </w:rPr>
        <w:t> </w:t>
      </w:r>
      <w:r>
        <w:rPr/>
        <w:t>buscando</w:t>
      </w:r>
      <w:r>
        <w:rPr>
          <w:spacing w:val="-29"/>
        </w:rPr>
        <w:t> </w:t>
      </w:r>
      <w:r>
        <w:rPr/>
        <w:t>fornecer</w:t>
      </w:r>
      <w:r>
        <w:rPr>
          <w:spacing w:val="-27"/>
        </w:rPr>
        <w:t> </w:t>
      </w:r>
      <w:r>
        <w:rPr/>
        <w:t>um sinal</w:t>
      </w:r>
      <w:r>
        <w:rPr>
          <w:spacing w:val="-31"/>
        </w:rPr>
        <w:t> </w:t>
      </w:r>
      <w:r>
        <w:rPr/>
        <w:t>de</w:t>
      </w:r>
      <w:r>
        <w:rPr>
          <w:spacing w:val="-30"/>
        </w:rPr>
        <w:t> </w:t>
      </w:r>
      <w:r>
        <w:rPr/>
        <w:t>preços</w:t>
      </w:r>
      <w:r>
        <w:rPr>
          <w:spacing w:val="-31"/>
        </w:rPr>
        <w:t> </w:t>
      </w:r>
      <w:r>
        <w:rPr/>
        <w:t>mais</w:t>
      </w:r>
      <w:r>
        <w:rPr>
          <w:spacing w:val="-30"/>
        </w:rPr>
        <w:t> </w:t>
      </w:r>
      <w:r>
        <w:rPr/>
        <w:t>adequado</w:t>
      </w:r>
      <w:r>
        <w:rPr>
          <w:spacing w:val="-31"/>
        </w:rPr>
        <w:t> </w:t>
      </w:r>
      <w:r>
        <w:rPr/>
        <w:t>ao</w:t>
      </w:r>
      <w:r>
        <w:rPr>
          <w:spacing w:val="-31"/>
        </w:rPr>
        <w:t> </w:t>
      </w:r>
      <w:r>
        <w:rPr/>
        <w:t>consumidor</w:t>
      </w:r>
      <w:r>
        <w:rPr>
          <w:spacing w:val="-30"/>
        </w:rPr>
        <w:t> </w:t>
      </w:r>
      <w:r>
        <w:rPr/>
        <w:t>e</w:t>
      </w:r>
      <w:r>
        <w:rPr>
          <w:spacing w:val="-30"/>
        </w:rPr>
        <w:t> </w:t>
      </w:r>
      <w:r>
        <w:rPr/>
        <w:t>mais</w:t>
      </w:r>
      <w:r>
        <w:rPr>
          <w:spacing w:val="-30"/>
        </w:rPr>
        <w:t> </w:t>
      </w:r>
      <w:r>
        <w:rPr/>
        <w:t>próximo</w:t>
      </w:r>
      <w:r>
        <w:rPr>
          <w:spacing w:val="-29"/>
        </w:rPr>
        <w:t> </w:t>
      </w:r>
      <w:r>
        <w:rPr/>
        <w:t>do</w:t>
      </w:r>
      <w:r>
        <w:rPr>
          <w:spacing w:val="-31"/>
        </w:rPr>
        <w:t> </w:t>
      </w:r>
      <w:r>
        <w:rPr/>
        <w:t>contexto</w:t>
      </w:r>
      <w:r>
        <w:rPr>
          <w:spacing w:val="-30"/>
        </w:rPr>
        <w:t> </w:t>
      </w:r>
      <w:r>
        <w:rPr/>
        <w:t>atual</w:t>
      </w:r>
      <w:r>
        <w:rPr>
          <w:spacing w:val="-30"/>
        </w:rPr>
        <w:t> </w:t>
      </w:r>
      <w:r>
        <w:rPr/>
        <w:t>de</w:t>
      </w:r>
      <w:r>
        <w:rPr>
          <w:spacing w:val="-31"/>
        </w:rPr>
        <w:t> </w:t>
      </w:r>
      <w:r>
        <w:rPr/>
        <w:t>custos</w:t>
      </w:r>
      <w:r>
        <w:rPr>
          <w:spacing w:val="-30"/>
        </w:rPr>
        <w:t> </w:t>
      </w:r>
      <w:r>
        <w:rPr/>
        <w:t>de</w:t>
      </w:r>
      <w:r>
        <w:rPr>
          <w:spacing w:val="-31"/>
        </w:rPr>
        <w:t> </w:t>
      </w:r>
      <w:r>
        <w:rPr/>
        <w:t>geração</w:t>
      </w:r>
      <w:r>
        <w:rPr>
          <w:spacing w:val="-31"/>
        </w:rPr>
        <w:t> </w:t>
      </w:r>
      <w:r>
        <w:rPr/>
        <w:t>de</w:t>
      </w:r>
      <w:r>
        <w:rPr>
          <w:spacing w:val="-29"/>
        </w:rPr>
        <w:t> </w:t>
      </w:r>
      <w:r>
        <w:rPr/>
        <w:t>energia.</w:t>
      </w:r>
    </w:p>
    <w:p>
      <w:pPr>
        <w:pStyle w:val="BodyText"/>
        <w:spacing w:before="7"/>
      </w:pPr>
    </w:p>
    <w:p>
      <w:pPr>
        <w:pStyle w:val="BodyText"/>
        <w:spacing w:line="242" w:lineRule="auto"/>
        <w:ind w:left="172" w:right="406"/>
        <w:jc w:val="both"/>
      </w:pPr>
      <w:r>
        <w:rPr/>
        <w:t>Desde</w:t>
      </w:r>
      <w:r>
        <w:rPr>
          <w:spacing w:val="-33"/>
        </w:rPr>
        <w:t> </w:t>
      </w:r>
      <w:r>
        <w:rPr/>
        <w:t>2015,</w:t>
      </w:r>
      <w:r>
        <w:rPr>
          <w:spacing w:val="-32"/>
        </w:rPr>
        <w:t> </w:t>
      </w:r>
      <w:r>
        <w:rPr/>
        <w:t>as</w:t>
      </w:r>
      <w:r>
        <w:rPr>
          <w:spacing w:val="-32"/>
        </w:rPr>
        <w:t> </w:t>
      </w:r>
      <w:r>
        <w:rPr/>
        <w:t>Bandeiras</w:t>
      </w:r>
      <w:r>
        <w:rPr>
          <w:spacing w:val="-32"/>
        </w:rPr>
        <w:t> </w:t>
      </w:r>
      <w:r>
        <w:rPr/>
        <w:t>Tarifárias</w:t>
      </w:r>
      <w:r>
        <w:rPr>
          <w:spacing w:val="-32"/>
        </w:rPr>
        <w:t> </w:t>
      </w:r>
      <w:r>
        <w:rPr/>
        <w:t>são</w:t>
      </w:r>
      <w:r>
        <w:rPr>
          <w:spacing w:val="-32"/>
        </w:rPr>
        <w:t> </w:t>
      </w:r>
      <w:r>
        <w:rPr/>
        <w:t>acionadas</w:t>
      </w:r>
      <w:r>
        <w:rPr>
          <w:spacing w:val="-33"/>
        </w:rPr>
        <w:t> </w:t>
      </w:r>
      <w:r>
        <w:rPr/>
        <w:t>tendo</w:t>
      </w:r>
      <w:r>
        <w:rPr>
          <w:spacing w:val="-30"/>
        </w:rPr>
        <w:t> </w:t>
      </w:r>
      <w:r>
        <w:rPr/>
        <w:t>como</w:t>
      </w:r>
      <w:r>
        <w:rPr>
          <w:spacing w:val="-32"/>
        </w:rPr>
        <w:t> </w:t>
      </w:r>
      <w:r>
        <w:rPr/>
        <w:t>base</w:t>
      </w:r>
      <w:r>
        <w:rPr>
          <w:spacing w:val="-33"/>
        </w:rPr>
        <w:t> </w:t>
      </w:r>
      <w:r>
        <w:rPr/>
        <w:t>o</w:t>
      </w:r>
      <w:r>
        <w:rPr>
          <w:spacing w:val="-31"/>
        </w:rPr>
        <w:t> </w:t>
      </w:r>
      <w:r>
        <w:rPr/>
        <w:t>Custo</w:t>
      </w:r>
      <w:r>
        <w:rPr>
          <w:spacing w:val="-32"/>
        </w:rPr>
        <w:t> </w:t>
      </w:r>
      <w:r>
        <w:rPr/>
        <w:t>Unitário</w:t>
      </w:r>
      <w:r>
        <w:rPr>
          <w:spacing w:val="-31"/>
        </w:rPr>
        <w:t> </w:t>
      </w:r>
      <w:r>
        <w:rPr/>
        <w:t>Variável</w:t>
      </w:r>
      <w:r>
        <w:rPr>
          <w:spacing w:val="-31"/>
        </w:rPr>
        <w:t> </w:t>
      </w:r>
      <w:r>
        <w:rPr>
          <w:w w:val="105"/>
        </w:rPr>
        <w:t>–</w:t>
      </w:r>
      <w:r>
        <w:rPr>
          <w:spacing w:val="-34"/>
          <w:w w:val="105"/>
        </w:rPr>
        <w:t> </w:t>
      </w:r>
      <w:r>
        <w:rPr/>
        <w:t>CUV</w:t>
      </w:r>
      <w:r>
        <w:rPr>
          <w:spacing w:val="-31"/>
        </w:rPr>
        <w:t> </w:t>
      </w:r>
      <w:r>
        <w:rPr/>
        <w:t>relativo</w:t>
      </w:r>
      <w:r>
        <w:rPr>
          <w:spacing w:val="-34"/>
        </w:rPr>
        <w:t> </w:t>
      </w:r>
      <w:r>
        <w:rPr/>
        <w:t>à</w:t>
      </w:r>
      <w:r>
        <w:rPr>
          <w:spacing w:val="-31"/>
        </w:rPr>
        <w:t> </w:t>
      </w:r>
      <w:r>
        <w:rPr/>
        <w:t>última usina</w:t>
      </w:r>
      <w:r>
        <w:rPr>
          <w:spacing w:val="-40"/>
        </w:rPr>
        <w:t> </w:t>
      </w:r>
      <w:r>
        <w:rPr/>
        <w:t>despachada</w:t>
      </w:r>
      <w:r>
        <w:rPr>
          <w:spacing w:val="-40"/>
        </w:rPr>
        <w:t> </w:t>
      </w:r>
      <w:r>
        <w:rPr/>
        <w:t>pelo</w:t>
      </w:r>
      <w:r>
        <w:rPr>
          <w:spacing w:val="-39"/>
        </w:rPr>
        <w:t> </w:t>
      </w:r>
      <w:r>
        <w:rPr/>
        <w:t>Operador</w:t>
      </w:r>
      <w:r>
        <w:rPr>
          <w:spacing w:val="-40"/>
        </w:rPr>
        <w:t> </w:t>
      </w:r>
      <w:r>
        <w:rPr/>
        <w:t>Nacional</w:t>
      </w:r>
      <w:r>
        <w:rPr>
          <w:spacing w:val="-40"/>
        </w:rPr>
        <w:t> </w:t>
      </w:r>
      <w:r>
        <w:rPr/>
        <w:t>do</w:t>
      </w:r>
      <w:r>
        <w:rPr>
          <w:spacing w:val="-40"/>
        </w:rPr>
        <w:t> </w:t>
      </w:r>
      <w:r>
        <w:rPr/>
        <w:t>Sistema</w:t>
      </w:r>
      <w:r>
        <w:rPr>
          <w:spacing w:val="-40"/>
        </w:rPr>
        <w:t> </w:t>
      </w:r>
      <w:r>
        <w:rPr/>
        <w:t>Elétrico</w:t>
      </w:r>
      <w:r>
        <w:rPr>
          <w:spacing w:val="-39"/>
        </w:rPr>
        <w:t> </w:t>
      </w:r>
      <w:r>
        <w:rPr>
          <w:w w:val="105"/>
        </w:rPr>
        <w:t>–</w:t>
      </w:r>
      <w:r>
        <w:rPr>
          <w:spacing w:val="-41"/>
          <w:w w:val="105"/>
        </w:rPr>
        <w:t> </w:t>
      </w:r>
      <w:r>
        <w:rPr/>
        <w:t>ONS,</w:t>
      </w:r>
      <w:r>
        <w:rPr>
          <w:spacing w:val="-39"/>
        </w:rPr>
        <w:t> </w:t>
      </w:r>
      <w:r>
        <w:rPr/>
        <w:t>por</w:t>
      </w:r>
      <w:r>
        <w:rPr>
          <w:spacing w:val="-40"/>
        </w:rPr>
        <w:t> </w:t>
      </w:r>
      <w:r>
        <w:rPr/>
        <w:t>ordem</w:t>
      </w:r>
      <w:r>
        <w:rPr>
          <w:spacing w:val="-39"/>
        </w:rPr>
        <w:t> </w:t>
      </w:r>
      <w:r>
        <w:rPr/>
        <w:t>de</w:t>
      </w:r>
      <w:r>
        <w:rPr>
          <w:spacing w:val="-41"/>
        </w:rPr>
        <w:t> </w:t>
      </w:r>
      <w:r>
        <w:rPr/>
        <w:t>mérito.</w:t>
      </w:r>
      <w:r>
        <w:rPr>
          <w:spacing w:val="-40"/>
        </w:rPr>
        <w:t> </w:t>
      </w:r>
      <w:r>
        <w:rPr/>
        <w:t>Isso</w:t>
      </w:r>
      <w:r>
        <w:rPr>
          <w:spacing w:val="-39"/>
        </w:rPr>
        <w:t> </w:t>
      </w:r>
      <w:r>
        <w:rPr/>
        <w:t>ocorre</w:t>
      </w:r>
      <w:r>
        <w:rPr>
          <w:spacing w:val="-41"/>
        </w:rPr>
        <w:t> </w:t>
      </w:r>
      <w:r>
        <w:rPr/>
        <w:t>para</w:t>
      </w:r>
      <w:r>
        <w:rPr>
          <w:spacing w:val="-39"/>
        </w:rPr>
        <w:t> </w:t>
      </w:r>
      <w:r>
        <w:rPr/>
        <w:t>arrecadar recursos</w:t>
      </w:r>
      <w:r>
        <w:rPr>
          <w:spacing w:val="-29"/>
        </w:rPr>
        <w:t> </w:t>
      </w:r>
      <w:r>
        <w:rPr/>
        <w:t>necessários</w:t>
      </w:r>
      <w:r>
        <w:rPr>
          <w:spacing w:val="-29"/>
        </w:rPr>
        <w:t> </w:t>
      </w:r>
      <w:r>
        <w:rPr/>
        <w:t>para</w:t>
      </w:r>
      <w:r>
        <w:rPr>
          <w:spacing w:val="-31"/>
        </w:rPr>
        <w:t> </w:t>
      </w:r>
      <w:r>
        <w:rPr/>
        <w:t>cobrir</w:t>
      </w:r>
      <w:r>
        <w:rPr>
          <w:spacing w:val="-31"/>
        </w:rPr>
        <w:t> </w:t>
      </w:r>
      <w:r>
        <w:rPr/>
        <w:t>custos</w:t>
      </w:r>
      <w:r>
        <w:rPr>
          <w:spacing w:val="-28"/>
        </w:rPr>
        <w:t> </w:t>
      </w:r>
      <w:r>
        <w:rPr/>
        <w:t>extras</w:t>
      </w:r>
      <w:r>
        <w:rPr>
          <w:spacing w:val="-31"/>
        </w:rPr>
        <w:t> </w:t>
      </w:r>
      <w:r>
        <w:rPr/>
        <w:t>com</w:t>
      </w:r>
      <w:r>
        <w:rPr>
          <w:spacing w:val="-31"/>
        </w:rPr>
        <w:t> </w:t>
      </w:r>
      <w:r>
        <w:rPr/>
        <w:t>a</w:t>
      </w:r>
      <w:r>
        <w:rPr>
          <w:spacing w:val="-28"/>
        </w:rPr>
        <w:t> </w:t>
      </w:r>
      <w:r>
        <w:rPr/>
        <w:t>produção</w:t>
      </w:r>
      <w:r>
        <w:rPr>
          <w:spacing w:val="-31"/>
        </w:rPr>
        <w:t> </w:t>
      </w:r>
      <w:r>
        <w:rPr/>
        <w:t>de</w:t>
      </w:r>
      <w:r>
        <w:rPr>
          <w:spacing w:val="-30"/>
        </w:rPr>
        <w:t> </w:t>
      </w:r>
      <w:r>
        <w:rPr/>
        <w:t>energia</w:t>
      </w:r>
      <w:r>
        <w:rPr>
          <w:spacing w:val="-29"/>
        </w:rPr>
        <w:t> </w:t>
      </w:r>
      <w:r>
        <w:rPr/>
        <w:t>mais</w:t>
      </w:r>
      <w:r>
        <w:rPr>
          <w:spacing w:val="-30"/>
        </w:rPr>
        <w:t> </w:t>
      </w:r>
      <w:r>
        <w:rPr/>
        <w:t>cara,</w:t>
      </w:r>
      <w:r>
        <w:rPr>
          <w:spacing w:val="-29"/>
        </w:rPr>
        <w:t> </w:t>
      </w:r>
      <w:r>
        <w:rPr/>
        <w:t>gerada</w:t>
      </w:r>
      <w:r>
        <w:rPr>
          <w:spacing w:val="-28"/>
        </w:rPr>
        <w:t> </w:t>
      </w:r>
      <w:r>
        <w:rPr/>
        <w:t>por</w:t>
      </w:r>
      <w:r>
        <w:rPr>
          <w:spacing w:val="-31"/>
        </w:rPr>
        <w:t> </w:t>
      </w:r>
      <w:r>
        <w:rPr/>
        <w:t>termelétricas.</w:t>
      </w:r>
    </w:p>
    <w:p>
      <w:pPr>
        <w:pStyle w:val="BodyText"/>
        <w:spacing w:before="7"/>
      </w:pPr>
    </w:p>
    <w:p>
      <w:pPr>
        <w:pStyle w:val="BodyText"/>
        <w:spacing w:line="242" w:lineRule="auto"/>
        <w:ind w:left="172" w:right="409"/>
        <w:jc w:val="both"/>
      </w:pPr>
      <w:r>
        <w:rPr/>
        <w:t>A</w:t>
      </w:r>
      <w:r>
        <w:rPr>
          <w:spacing w:val="-23"/>
        </w:rPr>
        <w:t> </w:t>
      </w:r>
      <w:r>
        <w:rPr/>
        <w:t>partir</w:t>
      </w:r>
      <w:r>
        <w:rPr>
          <w:spacing w:val="-22"/>
        </w:rPr>
        <w:t> </w:t>
      </w:r>
      <w:r>
        <w:rPr/>
        <w:t>de</w:t>
      </w:r>
      <w:r>
        <w:rPr>
          <w:spacing w:val="-22"/>
        </w:rPr>
        <w:t> </w:t>
      </w:r>
      <w:r>
        <w:rPr/>
        <w:t>20</w:t>
      </w:r>
      <w:r>
        <w:rPr>
          <w:spacing w:val="-21"/>
        </w:rPr>
        <w:t> </w:t>
      </w:r>
      <w:r>
        <w:rPr/>
        <w:t>de</w:t>
      </w:r>
      <w:r>
        <w:rPr>
          <w:spacing w:val="-22"/>
        </w:rPr>
        <w:t> </w:t>
      </w:r>
      <w:r>
        <w:rPr/>
        <w:t>fevereiro</w:t>
      </w:r>
      <w:r>
        <w:rPr>
          <w:spacing w:val="-21"/>
        </w:rPr>
        <w:t> </w:t>
      </w:r>
      <w:r>
        <w:rPr/>
        <w:t>de</w:t>
      </w:r>
      <w:r>
        <w:rPr>
          <w:spacing w:val="-24"/>
        </w:rPr>
        <w:t> </w:t>
      </w:r>
      <w:r>
        <w:rPr/>
        <w:t>2017</w:t>
      </w:r>
      <w:r>
        <w:rPr>
          <w:spacing w:val="-21"/>
        </w:rPr>
        <w:t> </w:t>
      </w:r>
      <w:r>
        <w:rPr/>
        <w:t>entrou</w:t>
      </w:r>
      <w:r>
        <w:rPr>
          <w:spacing w:val="-19"/>
        </w:rPr>
        <w:t> </w:t>
      </w:r>
      <w:r>
        <w:rPr/>
        <w:t>em</w:t>
      </w:r>
      <w:r>
        <w:rPr>
          <w:spacing w:val="-23"/>
        </w:rPr>
        <w:t> </w:t>
      </w:r>
      <w:r>
        <w:rPr/>
        <w:t>vigor</w:t>
      </w:r>
      <w:r>
        <w:rPr>
          <w:spacing w:val="-22"/>
        </w:rPr>
        <w:t> </w:t>
      </w:r>
      <w:r>
        <w:rPr/>
        <w:t>a</w:t>
      </w:r>
      <w:r>
        <w:rPr>
          <w:spacing w:val="-22"/>
        </w:rPr>
        <w:t> </w:t>
      </w:r>
      <w:r>
        <w:rPr/>
        <w:t>Resolução</w:t>
      </w:r>
      <w:r>
        <w:rPr>
          <w:spacing w:val="-24"/>
        </w:rPr>
        <w:t> </w:t>
      </w:r>
      <w:r>
        <w:rPr/>
        <w:t>Normativa</w:t>
      </w:r>
      <w:r>
        <w:rPr>
          <w:spacing w:val="-22"/>
        </w:rPr>
        <w:t> </w:t>
      </w:r>
      <w:r>
        <w:rPr/>
        <w:t>nº</w:t>
      </w:r>
      <w:r>
        <w:rPr>
          <w:spacing w:val="-20"/>
        </w:rPr>
        <w:t> </w:t>
      </w:r>
      <w:r>
        <w:rPr/>
        <w:t>760/2017</w:t>
      </w:r>
      <w:r>
        <w:rPr>
          <w:spacing w:val="-16"/>
        </w:rPr>
        <w:t> </w:t>
      </w:r>
      <w:r>
        <w:rPr/>
        <w:t>da</w:t>
      </w:r>
      <w:r>
        <w:rPr>
          <w:spacing w:val="-23"/>
        </w:rPr>
        <w:t> </w:t>
      </w:r>
      <w:r>
        <w:rPr/>
        <w:t>ANEEL,</w:t>
      </w:r>
      <w:r>
        <w:rPr>
          <w:spacing w:val="-23"/>
        </w:rPr>
        <w:t> </w:t>
      </w:r>
      <w:r>
        <w:rPr/>
        <w:t>introduzindo</w:t>
      </w:r>
      <w:r>
        <w:rPr>
          <w:spacing w:val="-22"/>
        </w:rPr>
        <w:t> </w:t>
      </w:r>
      <w:r>
        <w:rPr/>
        <w:t>as seguintes alterações: manutenção dos patamares de acionamento das Bandeiras Verde; Amarela; e Vermelha (patamares</w:t>
      </w:r>
      <w:r>
        <w:rPr>
          <w:spacing w:val="-19"/>
        </w:rPr>
        <w:t> </w:t>
      </w:r>
      <w:r>
        <w:rPr/>
        <w:t>1</w:t>
      </w:r>
      <w:r>
        <w:rPr>
          <w:spacing w:val="-16"/>
        </w:rPr>
        <w:t> </w:t>
      </w:r>
      <w:r>
        <w:rPr/>
        <w:t>e</w:t>
      </w:r>
      <w:r>
        <w:rPr>
          <w:spacing w:val="-20"/>
        </w:rPr>
        <w:t> </w:t>
      </w:r>
      <w:r>
        <w:rPr/>
        <w:t>2).</w:t>
      </w:r>
      <w:r>
        <w:rPr>
          <w:spacing w:val="-17"/>
        </w:rPr>
        <w:t> </w:t>
      </w:r>
      <w:r>
        <w:rPr/>
        <w:t>Os</w:t>
      </w:r>
      <w:r>
        <w:rPr>
          <w:spacing w:val="-18"/>
        </w:rPr>
        <w:t> </w:t>
      </w:r>
      <w:r>
        <w:rPr/>
        <w:t>valores</w:t>
      </w:r>
      <w:r>
        <w:rPr>
          <w:spacing w:val="-19"/>
        </w:rPr>
        <w:t> </w:t>
      </w:r>
      <w:r>
        <w:rPr/>
        <w:t>correspondentes</w:t>
      </w:r>
      <w:r>
        <w:rPr>
          <w:spacing w:val="-18"/>
        </w:rPr>
        <w:t> </w:t>
      </w:r>
      <w:r>
        <w:rPr/>
        <w:t>foram</w:t>
      </w:r>
      <w:r>
        <w:rPr>
          <w:spacing w:val="-18"/>
        </w:rPr>
        <w:t> </w:t>
      </w:r>
      <w:r>
        <w:rPr/>
        <w:t>os</w:t>
      </w:r>
      <w:r>
        <w:rPr>
          <w:spacing w:val="-18"/>
        </w:rPr>
        <w:t> </w:t>
      </w:r>
      <w:r>
        <w:rPr/>
        <w:t>seguintes:</w:t>
      </w:r>
      <w:r>
        <w:rPr>
          <w:spacing w:val="-19"/>
        </w:rPr>
        <w:t> </w:t>
      </w:r>
      <w:r>
        <w:rPr/>
        <w:t>Bandeira</w:t>
      </w:r>
      <w:r>
        <w:rPr>
          <w:spacing w:val="-19"/>
        </w:rPr>
        <w:t> </w:t>
      </w:r>
      <w:r>
        <w:rPr/>
        <w:t>Amarela,</w:t>
      </w:r>
      <w:r>
        <w:rPr>
          <w:spacing w:val="-19"/>
        </w:rPr>
        <w:t> </w:t>
      </w:r>
      <w:r>
        <w:rPr/>
        <w:t>R$</w:t>
      </w:r>
      <w:r>
        <w:rPr>
          <w:spacing w:val="-19"/>
        </w:rPr>
        <w:t> </w:t>
      </w:r>
      <w:r>
        <w:rPr/>
        <w:t>20,00/MWh;</w:t>
      </w:r>
      <w:r>
        <w:rPr>
          <w:spacing w:val="-16"/>
        </w:rPr>
        <w:t> </w:t>
      </w:r>
      <w:r>
        <w:rPr/>
        <w:t>e</w:t>
      </w:r>
      <w:r>
        <w:rPr>
          <w:spacing w:val="-20"/>
        </w:rPr>
        <w:t> </w:t>
      </w:r>
      <w:r>
        <w:rPr/>
        <w:t>Bandeira Vermelha</w:t>
      </w:r>
      <w:r>
        <w:rPr>
          <w:spacing w:val="-18"/>
        </w:rPr>
        <w:t> </w:t>
      </w:r>
      <w:r>
        <w:rPr/>
        <w:t>Patamar</w:t>
      </w:r>
      <w:r>
        <w:rPr>
          <w:spacing w:val="-17"/>
        </w:rPr>
        <w:t> </w:t>
      </w:r>
      <w:r>
        <w:rPr/>
        <w:t>1,</w:t>
      </w:r>
      <w:r>
        <w:rPr>
          <w:spacing w:val="-20"/>
        </w:rPr>
        <w:t> </w:t>
      </w:r>
      <w:r>
        <w:rPr/>
        <w:t>R$</w:t>
      </w:r>
      <w:r>
        <w:rPr>
          <w:spacing w:val="-16"/>
        </w:rPr>
        <w:t> </w:t>
      </w:r>
      <w:r>
        <w:rPr/>
        <w:t>30,00/MWh</w:t>
      </w:r>
      <w:r>
        <w:rPr>
          <w:spacing w:val="-17"/>
        </w:rPr>
        <w:t> </w:t>
      </w:r>
      <w:r>
        <w:rPr/>
        <w:t>e</w:t>
      </w:r>
      <w:r>
        <w:rPr>
          <w:spacing w:val="-17"/>
        </w:rPr>
        <w:t> </w:t>
      </w:r>
      <w:r>
        <w:rPr/>
        <w:t>Patamar</w:t>
      </w:r>
      <w:r>
        <w:rPr>
          <w:spacing w:val="-20"/>
        </w:rPr>
        <w:t> </w:t>
      </w:r>
      <w:r>
        <w:rPr/>
        <w:t>2,</w:t>
      </w:r>
      <w:r>
        <w:rPr>
          <w:spacing w:val="-16"/>
        </w:rPr>
        <w:t> </w:t>
      </w:r>
      <w:r>
        <w:rPr/>
        <w:t>R$</w:t>
      </w:r>
      <w:r>
        <w:rPr>
          <w:spacing w:val="-18"/>
        </w:rPr>
        <w:t> </w:t>
      </w:r>
      <w:r>
        <w:rPr/>
        <w:t>35,00/MWh.</w:t>
      </w:r>
    </w:p>
    <w:p>
      <w:pPr>
        <w:pStyle w:val="BodyText"/>
        <w:spacing w:before="9"/>
      </w:pPr>
    </w:p>
    <w:p>
      <w:pPr>
        <w:pStyle w:val="BodyText"/>
        <w:spacing w:line="242" w:lineRule="auto"/>
        <w:ind w:left="172" w:right="409"/>
        <w:jc w:val="both"/>
      </w:pPr>
      <w:r>
        <w:rPr/>
        <w:t>Em</w:t>
      </w:r>
      <w:r>
        <w:rPr>
          <w:spacing w:val="-14"/>
        </w:rPr>
        <w:t> </w:t>
      </w:r>
      <w:r>
        <w:rPr/>
        <w:t>24</w:t>
      </w:r>
      <w:r>
        <w:rPr>
          <w:spacing w:val="-11"/>
        </w:rPr>
        <w:t> </w:t>
      </w:r>
      <w:r>
        <w:rPr/>
        <w:t>de</w:t>
      </w:r>
      <w:r>
        <w:rPr>
          <w:spacing w:val="-14"/>
        </w:rPr>
        <w:t> </w:t>
      </w:r>
      <w:r>
        <w:rPr/>
        <w:t>outubro</w:t>
      </w:r>
      <w:r>
        <w:rPr>
          <w:spacing w:val="-12"/>
        </w:rPr>
        <w:t> </w:t>
      </w:r>
      <w:r>
        <w:rPr/>
        <w:t>de</w:t>
      </w:r>
      <w:r>
        <w:rPr>
          <w:spacing w:val="-14"/>
        </w:rPr>
        <w:t> </w:t>
      </w:r>
      <w:r>
        <w:rPr/>
        <w:t>2017,</w:t>
      </w:r>
      <w:r>
        <w:rPr>
          <w:spacing w:val="-11"/>
        </w:rPr>
        <w:t> </w:t>
      </w:r>
      <w:r>
        <w:rPr/>
        <w:t>a</w:t>
      </w:r>
      <w:r>
        <w:rPr>
          <w:spacing w:val="-12"/>
        </w:rPr>
        <w:t> </w:t>
      </w:r>
      <w:r>
        <w:rPr/>
        <w:t>Agência</w:t>
      </w:r>
      <w:r>
        <w:rPr>
          <w:spacing w:val="-12"/>
        </w:rPr>
        <w:t> </w:t>
      </w:r>
      <w:r>
        <w:rPr/>
        <w:t>Nacional</w:t>
      </w:r>
      <w:r>
        <w:rPr>
          <w:spacing w:val="-13"/>
        </w:rPr>
        <w:t> </w:t>
      </w:r>
      <w:r>
        <w:rPr/>
        <w:t>de</w:t>
      </w:r>
      <w:r>
        <w:rPr>
          <w:spacing w:val="-14"/>
        </w:rPr>
        <w:t> </w:t>
      </w:r>
      <w:r>
        <w:rPr/>
        <w:t>Energia</w:t>
      </w:r>
      <w:r>
        <w:rPr>
          <w:spacing w:val="-12"/>
        </w:rPr>
        <w:t> </w:t>
      </w:r>
      <w:r>
        <w:rPr/>
        <w:t>Elétrica</w:t>
      </w:r>
      <w:r>
        <w:rPr>
          <w:spacing w:val="-13"/>
        </w:rPr>
        <w:t> </w:t>
      </w:r>
      <w:r>
        <w:rPr/>
        <w:t>instaurou</w:t>
      </w:r>
      <w:r>
        <w:rPr>
          <w:spacing w:val="-12"/>
        </w:rPr>
        <w:t> </w:t>
      </w:r>
      <w:r>
        <w:rPr/>
        <w:t>a</w:t>
      </w:r>
      <w:r>
        <w:rPr>
          <w:spacing w:val="-10"/>
        </w:rPr>
        <w:t> </w:t>
      </w:r>
      <w:r>
        <w:rPr/>
        <w:t>Audiência</w:t>
      </w:r>
      <w:r>
        <w:rPr>
          <w:spacing w:val="-10"/>
        </w:rPr>
        <w:t> </w:t>
      </w:r>
      <w:r>
        <w:rPr/>
        <w:t>Pública</w:t>
      </w:r>
      <w:r>
        <w:rPr>
          <w:spacing w:val="-2"/>
        </w:rPr>
        <w:t> </w:t>
      </w:r>
      <w:r>
        <w:rPr>
          <w:w w:val="105"/>
        </w:rPr>
        <w:t>–</w:t>
      </w:r>
      <w:r>
        <w:rPr>
          <w:spacing w:val="-12"/>
          <w:w w:val="105"/>
        </w:rPr>
        <w:t> </w:t>
      </w:r>
      <w:r>
        <w:rPr/>
        <w:t>AP</w:t>
      </w:r>
      <w:r>
        <w:rPr>
          <w:spacing w:val="-12"/>
        </w:rPr>
        <w:t> </w:t>
      </w:r>
      <w:r>
        <w:rPr/>
        <w:t>nº</w:t>
      </w:r>
      <w:r>
        <w:rPr>
          <w:spacing w:val="-12"/>
        </w:rPr>
        <w:t> </w:t>
      </w:r>
      <w:r>
        <w:rPr/>
        <w:t>61/2017 com</w:t>
      </w:r>
      <w:r>
        <w:rPr>
          <w:spacing w:val="-24"/>
        </w:rPr>
        <w:t> </w:t>
      </w:r>
      <w:r>
        <w:rPr/>
        <w:t>o</w:t>
      </w:r>
      <w:r>
        <w:rPr>
          <w:spacing w:val="-23"/>
        </w:rPr>
        <w:t> </w:t>
      </w:r>
      <w:r>
        <w:rPr/>
        <w:t>objetivo</w:t>
      </w:r>
      <w:r>
        <w:rPr>
          <w:spacing w:val="-23"/>
        </w:rPr>
        <w:t> </w:t>
      </w:r>
      <w:r>
        <w:rPr/>
        <w:t>de</w:t>
      </w:r>
      <w:r>
        <w:rPr>
          <w:spacing w:val="-24"/>
        </w:rPr>
        <w:t> </w:t>
      </w:r>
      <w:r>
        <w:rPr/>
        <w:t>coletar</w:t>
      </w:r>
      <w:r>
        <w:rPr>
          <w:spacing w:val="-24"/>
        </w:rPr>
        <w:t> </w:t>
      </w:r>
      <w:r>
        <w:rPr/>
        <w:t>subsídios</w:t>
      </w:r>
      <w:r>
        <w:rPr>
          <w:spacing w:val="-20"/>
        </w:rPr>
        <w:t> </w:t>
      </w:r>
      <w:r>
        <w:rPr/>
        <w:t>para</w:t>
      </w:r>
      <w:r>
        <w:rPr>
          <w:spacing w:val="-23"/>
        </w:rPr>
        <w:t> </w:t>
      </w:r>
      <w:r>
        <w:rPr/>
        <w:t>redefinição</w:t>
      </w:r>
      <w:r>
        <w:rPr>
          <w:spacing w:val="-23"/>
        </w:rPr>
        <w:t> </w:t>
      </w:r>
      <w:r>
        <w:rPr/>
        <w:t>da</w:t>
      </w:r>
      <w:r>
        <w:rPr>
          <w:spacing w:val="-20"/>
        </w:rPr>
        <w:t> </w:t>
      </w:r>
      <w:r>
        <w:rPr/>
        <w:t>metodologia</w:t>
      </w:r>
      <w:r>
        <w:rPr>
          <w:spacing w:val="-22"/>
        </w:rPr>
        <w:t> </w:t>
      </w:r>
      <w:r>
        <w:rPr/>
        <w:t>das</w:t>
      </w:r>
      <w:r>
        <w:rPr>
          <w:spacing w:val="-23"/>
        </w:rPr>
        <w:t> </w:t>
      </w:r>
      <w:r>
        <w:rPr/>
        <w:t>Bandeiras</w:t>
      </w:r>
      <w:r>
        <w:rPr>
          <w:spacing w:val="-20"/>
        </w:rPr>
        <w:t> </w:t>
      </w:r>
      <w:r>
        <w:rPr/>
        <w:t>Tarifárias.</w:t>
      </w:r>
    </w:p>
    <w:p>
      <w:pPr>
        <w:pStyle w:val="BodyText"/>
        <w:spacing w:before="6"/>
      </w:pPr>
    </w:p>
    <w:p>
      <w:pPr>
        <w:pStyle w:val="BodyText"/>
        <w:spacing w:line="242" w:lineRule="auto"/>
        <w:ind w:left="172" w:right="416"/>
        <w:jc w:val="both"/>
      </w:pPr>
      <w:r>
        <w:rPr/>
        <w:t>Como</w:t>
      </w:r>
      <w:r>
        <w:rPr>
          <w:spacing w:val="-47"/>
        </w:rPr>
        <w:t> </w:t>
      </w:r>
      <w:r>
        <w:rPr/>
        <w:t>resultado,</w:t>
      </w:r>
      <w:r>
        <w:rPr>
          <w:spacing w:val="-47"/>
        </w:rPr>
        <w:t> </w:t>
      </w:r>
      <w:r>
        <w:rPr/>
        <w:t>por</w:t>
      </w:r>
      <w:r>
        <w:rPr>
          <w:spacing w:val="-46"/>
        </w:rPr>
        <w:t> </w:t>
      </w:r>
      <w:r>
        <w:rPr/>
        <w:t>meio</w:t>
      </w:r>
      <w:r>
        <w:rPr>
          <w:spacing w:val="-47"/>
        </w:rPr>
        <w:t> </w:t>
      </w:r>
      <w:r>
        <w:rPr/>
        <w:t>da</w:t>
      </w:r>
      <w:r>
        <w:rPr>
          <w:spacing w:val="-47"/>
        </w:rPr>
        <w:t> </w:t>
      </w:r>
      <w:r>
        <w:rPr/>
        <w:t>Resolução</w:t>
      </w:r>
      <w:r>
        <w:rPr>
          <w:spacing w:val="-46"/>
        </w:rPr>
        <w:t> </w:t>
      </w:r>
      <w:r>
        <w:rPr/>
        <w:t>Homologatória</w:t>
      </w:r>
      <w:r>
        <w:rPr>
          <w:spacing w:val="-46"/>
        </w:rPr>
        <w:t> </w:t>
      </w:r>
      <w:r>
        <w:rPr/>
        <w:t>nº</w:t>
      </w:r>
      <w:r>
        <w:rPr>
          <w:spacing w:val="-47"/>
        </w:rPr>
        <w:t> </w:t>
      </w:r>
      <w:r>
        <w:rPr/>
        <w:t>2.392,</w:t>
      </w:r>
      <w:r>
        <w:rPr>
          <w:spacing w:val="-47"/>
        </w:rPr>
        <w:t> </w:t>
      </w:r>
      <w:r>
        <w:rPr/>
        <w:t>a</w:t>
      </w:r>
      <w:r>
        <w:rPr>
          <w:spacing w:val="-46"/>
        </w:rPr>
        <w:t> </w:t>
      </w:r>
      <w:r>
        <w:rPr/>
        <w:t>sistemática</w:t>
      </w:r>
      <w:r>
        <w:rPr>
          <w:spacing w:val="-47"/>
        </w:rPr>
        <w:t> </w:t>
      </w:r>
      <w:r>
        <w:rPr/>
        <w:t>de</w:t>
      </w:r>
      <w:r>
        <w:rPr>
          <w:spacing w:val="-47"/>
        </w:rPr>
        <w:t> </w:t>
      </w:r>
      <w:r>
        <w:rPr/>
        <w:t>definição</w:t>
      </w:r>
      <w:r>
        <w:rPr>
          <w:spacing w:val="-47"/>
        </w:rPr>
        <w:t> </w:t>
      </w:r>
      <w:r>
        <w:rPr/>
        <w:t>das</w:t>
      </w:r>
      <w:r>
        <w:rPr>
          <w:spacing w:val="-47"/>
        </w:rPr>
        <w:t> </w:t>
      </w:r>
      <w:r>
        <w:rPr/>
        <w:t>faixas</w:t>
      </w:r>
      <w:r>
        <w:rPr>
          <w:spacing w:val="-46"/>
        </w:rPr>
        <w:t> </w:t>
      </w:r>
      <w:r>
        <w:rPr/>
        <w:t>de</w:t>
      </w:r>
      <w:r>
        <w:rPr>
          <w:spacing w:val="-47"/>
        </w:rPr>
        <w:t> </w:t>
      </w:r>
      <w:r>
        <w:rPr/>
        <w:t>acionamento das</w:t>
      </w:r>
      <w:r>
        <w:rPr>
          <w:spacing w:val="-34"/>
        </w:rPr>
        <w:t> </w:t>
      </w:r>
      <w:r>
        <w:rPr/>
        <w:t>bandeiras</w:t>
      </w:r>
      <w:r>
        <w:rPr>
          <w:spacing w:val="-33"/>
        </w:rPr>
        <w:t> </w:t>
      </w:r>
      <w:r>
        <w:rPr/>
        <w:t>teve</w:t>
      </w:r>
      <w:r>
        <w:rPr>
          <w:spacing w:val="-32"/>
        </w:rPr>
        <w:t> </w:t>
      </w:r>
      <w:r>
        <w:rPr/>
        <w:t>como</w:t>
      </w:r>
      <w:r>
        <w:rPr>
          <w:spacing w:val="-31"/>
        </w:rPr>
        <w:t> </w:t>
      </w:r>
      <w:r>
        <w:rPr/>
        <w:t>base</w:t>
      </w:r>
      <w:r>
        <w:rPr>
          <w:spacing w:val="-34"/>
        </w:rPr>
        <w:t> </w:t>
      </w:r>
      <w:r>
        <w:rPr/>
        <w:t>o</w:t>
      </w:r>
      <w:r>
        <w:rPr>
          <w:spacing w:val="-31"/>
        </w:rPr>
        <w:t> </w:t>
      </w:r>
      <w:r>
        <w:rPr/>
        <w:t>realinhamento</w:t>
      </w:r>
      <w:r>
        <w:rPr>
          <w:spacing w:val="-32"/>
        </w:rPr>
        <w:t> </w:t>
      </w:r>
      <w:r>
        <w:rPr/>
        <w:t>da</w:t>
      </w:r>
      <w:r>
        <w:rPr>
          <w:spacing w:val="-32"/>
        </w:rPr>
        <w:t> </w:t>
      </w:r>
      <w:r>
        <w:rPr/>
        <w:t>regra</w:t>
      </w:r>
      <w:r>
        <w:rPr>
          <w:spacing w:val="-31"/>
        </w:rPr>
        <w:t> </w:t>
      </w:r>
      <w:r>
        <w:rPr/>
        <w:t>em</w:t>
      </w:r>
      <w:r>
        <w:rPr>
          <w:spacing w:val="-32"/>
        </w:rPr>
        <w:t> </w:t>
      </w:r>
      <w:r>
        <w:rPr/>
        <w:t>que</w:t>
      </w:r>
      <w:r>
        <w:rPr>
          <w:spacing w:val="-33"/>
        </w:rPr>
        <w:t> </w:t>
      </w:r>
      <w:r>
        <w:rPr/>
        <w:t>passou</w:t>
      </w:r>
      <w:r>
        <w:rPr>
          <w:spacing w:val="-33"/>
        </w:rPr>
        <w:t> </w:t>
      </w:r>
      <w:r>
        <w:rPr/>
        <w:t>a</w:t>
      </w:r>
      <w:r>
        <w:rPr>
          <w:spacing w:val="-33"/>
        </w:rPr>
        <w:t> </w:t>
      </w:r>
      <w:r>
        <w:rPr/>
        <w:t>considerar</w:t>
      </w:r>
      <w:r>
        <w:rPr>
          <w:spacing w:val="-30"/>
        </w:rPr>
        <w:t> </w:t>
      </w:r>
      <w:r>
        <w:rPr/>
        <w:t>o</w:t>
      </w:r>
      <w:r>
        <w:rPr>
          <w:spacing w:val="-34"/>
        </w:rPr>
        <w:t> </w:t>
      </w:r>
      <w:r>
        <w:rPr/>
        <w:t>déficit</w:t>
      </w:r>
      <w:r>
        <w:rPr>
          <w:spacing w:val="-32"/>
        </w:rPr>
        <w:t> </w:t>
      </w:r>
      <w:r>
        <w:rPr/>
        <w:t>de</w:t>
      </w:r>
      <w:r>
        <w:rPr>
          <w:spacing w:val="-33"/>
        </w:rPr>
        <w:t> </w:t>
      </w:r>
      <w:r>
        <w:rPr/>
        <w:t>geração</w:t>
      </w:r>
      <w:r>
        <w:rPr>
          <w:spacing w:val="-33"/>
        </w:rPr>
        <w:t> </w:t>
      </w:r>
      <w:r>
        <w:rPr/>
        <w:t>hidrológica</w:t>
      </w:r>
    </w:p>
    <w:p>
      <w:pPr>
        <w:pStyle w:val="ListParagraph"/>
        <w:numPr>
          <w:ilvl w:val="0"/>
          <w:numId w:val="37"/>
        </w:numPr>
        <w:tabs>
          <w:tab w:pos="318" w:val="left" w:leader="none"/>
        </w:tabs>
        <w:spacing w:line="240" w:lineRule="auto" w:before="2" w:after="0"/>
        <w:ind w:left="317" w:right="0" w:hanging="146"/>
        <w:jc w:val="left"/>
        <w:rPr>
          <w:sz w:val="20"/>
        </w:rPr>
      </w:pPr>
      <w:r>
        <w:rPr>
          <w:sz w:val="20"/>
        </w:rPr>
        <w:t>GSF</w:t>
      </w:r>
      <w:r>
        <w:rPr>
          <w:spacing w:val="-41"/>
          <w:sz w:val="20"/>
        </w:rPr>
        <w:t> </w:t>
      </w:r>
      <w:r>
        <w:rPr>
          <w:sz w:val="20"/>
        </w:rPr>
        <w:t>(relação</w:t>
      </w:r>
      <w:r>
        <w:rPr>
          <w:spacing w:val="-41"/>
          <w:sz w:val="20"/>
        </w:rPr>
        <w:t> </w:t>
      </w:r>
      <w:r>
        <w:rPr>
          <w:sz w:val="20"/>
        </w:rPr>
        <w:t>entre</w:t>
      </w:r>
      <w:r>
        <w:rPr>
          <w:spacing w:val="-40"/>
          <w:sz w:val="20"/>
        </w:rPr>
        <w:t> </w:t>
      </w:r>
      <w:r>
        <w:rPr>
          <w:sz w:val="20"/>
        </w:rPr>
        <w:t>geração</w:t>
      </w:r>
      <w:r>
        <w:rPr>
          <w:spacing w:val="-40"/>
          <w:sz w:val="20"/>
        </w:rPr>
        <w:t> </w:t>
      </w:r>
      <w:r>
        <w:rPr>
          <w:sz w:val="20"/>
        </w:rPr>
        <w:t>hidráulica</w:t>
      </w:r>
      <w:r>
        <w:rPr>
          <w:spacing w:val="-41"/>
          <w:sz w:val="20"/>
        </w:rPr>
        <w:t> </w:t>
      </w:r>
      <w:r>
        <w:rPr>
          <w:sz w:val="20"/>
        </w:rPr>
        <w:t>total</w:t>
      </w:r>
      <w:r>
        <w:rPr>
          <w:spacing w:val="-40"/>
          <w:sz w:val="20"/>
        </w:rPr>
        <w:t> </w:t>
      </w:r>
      <w:r>
        <w:rPr>
          <w:sz w:val="20"/>
        </w:rPr>
        <w:t>e</w:t>
      </w:r>
      <w:r>
        <w:rPr>
          <w:spacing w:val="-40"/>
          <w:sz w:val="20"/>
        </w:rPr>
        <w:t> </w:t>
      </w:r>
      <w:r>
        <w:rPr>
          <w:sz w:val="20"/>
        </w:rPr>
        <w:t>a</w:t>
      </w:r>
      <w:r>
        <w:rPr>
          <w:spacing w:val="-41"/>
          <w:sz w:val="20"/>
        </w:rPr>
        <w:t> </w:t>
      </w:r>
      <w:r>
        <w:rPr>
          <w:sz w:val="20"/>
        </w:rPr>
        <w:t>garantia</w:t>
      </w:r>
      <w:r>
        <w:rPr>
          <w:spacing w:val="-39"/>
          <w:sz w:val="20"/>
        </w:rPr>
        <w:t> </w:t>
      </w:r>
      <w:r>
        <w:rPr>
          <w:sz w:val="20"/>
        </w:rPr>
        <w:t>física)</w:t>
      </w:r>
      <w:r>
        <w:rPr>
          <w:spacing w:val="-40"/>
          <w:sz w:val="20"/>
        </w:rPr>
        <w:t> </w:t>
      </w:r>
      <w:r>
        <w:rPr>
          <w:sz w:val="20"/>
        </w:rPr>
        <w:t>e</w:t>
      </w:r>
      <w:r>
        <w:rPr>
          <w:spacing w:val="-42"/>
          <w:sz w:val="20"/>
        </w:rPr>
        <w:t> </w:t>
      </w:r>
      <w:r>
        <w:rPr>
          <w:sz w:val="20"/>
        </w:rPr>
        <w:t>o</w:t>
      </w:r>
      <w:r>
        <w:rPr>
          <w:spacing w:val="-39"/>
          <w:sz w:val="20"/>
        </w:rPr>
        <w:t> </w:t>
      </w:r>
      <w:r>
        <w:rPr>
          <w:sz w:val="20"/>
        </w:rPr>
        <w:t>preço</w:t>
      </w:r>
      <w:r>
        <w:rPr>
          <w:spacing w:val="-40"/>
          <w:sz w:val="20"/>
        </w:rPr>
        <w:t> </w:t>
      </w:r>
      <w:r>
        <w:rPr>
          <w:sz w:val="20"/>
        </w:rPr>
        <w:t>da</w:t>
      </w:r>
      <w:r>
        <w:rPr>
          <w:spacing w:val="-40"/>
          <w:sz w:val="20"/>
        </w:rPr>
        <w:t> </w:t>
      </w:r>
      <w:r>
        <w:rPr>
          <w:sz w:val="20"/>
        </w:rPr>
        <w:t>energia</w:t>
      </w:r>
      <w:r>
        <w:rPr>
          <w:spacing w:val="-39"/>
          <w:sz w:val="20"/>
        </w:rPr>
        <w:t> </w:t>
      </w:r>
      <w:r>
        <w:rPr>
          <w:sz w:val="20"/>
        </w:rPr>
        <w:t>elétrica</w:t>
      </w:r>
      <w:r>
        <w:rPr>
          <w:spacing w:val="-41"/>
          <w:sz w:val="20"/>
        </w:rPr>
        <w:t> </w:t>
      </w:r>
      <w:r>
        <w:rPr>
          <w:sz w:val="20"/>
        </w:rPr>
        <w:t>de</w:t>
      </w:r>
      <w:r>
        <w:rPr>
          <w:spacing w:val="-41"/>
          <w:sz w:val="20"/>
        </w:rPr>
        <w:t> </w:t>
      </w:r>
      <w:r>
        <w:rPr>
          <w:sz w:val="20"/>
        </w:rPr>
        <w:t>curto</w:t>
      </w:r>
      <w:r>
        <w:rPr>
          <w:spacing w:val="-41"/>
          <w:sz w:val="20"/>
        </w:rPr>
        <w:t> </w:t>
      </w:r>
      <w:r>
        <w:rPr>
          <w:sz w:val="20"/>
        </w:rPr>
        <w:t>prazo</w:t>
      </w:r>
      <w:r>
        <w:rPr>
          <w:spacing w:val="-37"/>
          <w:sz w:val="20"/>
        </w:rPr>
        <w:t> </w:t>
      </w:r>
      <w:r>
        <w:rPr>
          <w:sz w:val="20"/>
        </w:rPr>
        <w:t>-</w:t>
      </w:r>
      <w:r>
        <w:rPr>
          <w:spacing w:val="-40"/>
          <w:sz w:val="20"/>
        </w:rPr>
        <w:t> </w:t>
      </w:r>
      <w:r>
        <w:rPr>
          <w:sz w:val="20"/>
        </w:rPr>
        <w:t>PLD.</w:t>
      </w:r>
    </w:p>
    <w:p>
      <w:pPr>
        <w:pStyle w:val="BodyText"/>
        <w:spacing w:before="8"/>
      </w:pPr>
    </w:p>
    <w:p>
      <w:pPr>
        <w:pStyle w:val="BodyText"/>
        <w:spacing w:line="242" w:lineRule="auto"/>
        <w:ind w:left="172" w:right="408"/>
        <w:jc w:val="both"/>
      </w:pPr>
      <w:r>
        <w:rPr/>
        <w:t>Dessa</w:t>
      </w:r>
      <w:r>
        <w:rPr>
          <w:spacing w:val="-18"/>
        </w:rPr>
        <w:t> </w:t>
      </w:r>
      <w:r>
        <w:rPr/>
        <w:t>forma,</w:t>
      </w:r>
      <w:r>
        <w:rPr>
          <w:spacing w:val="-18"/>
        </w:rPr>
        <w:t> </w:t>
      </w:r>
      <w:r>
        <w:rPr/>
        <w:t>os</w:t>
      </w:r>
      <w:r>
        <w:rPr>
          <w:spacing w:val="-17"/>
        </w:rPr>
        <w:t> </w:t>
      </w:r>
      <w:r>
        <w:rPr/>
        <w:t>valores</w:t>
      </w:r>
      <w:r>
        <w:rPr>
          <w:spacing w:val="-16"/>
        </w:rPr>
        <w:t> </w:t>
      </w:r>
      <w:r>
        <w:rPr/>
        <w:t>dos</w:t>
      </w:r>
      <w:r>
        <w:rPr>
          <w:spacing w:val="-16"/>
        </w:rPr>
        <w:t> </w:t>
      </w:r>
      <w:r>
        <w:rPr/>
        <w:t>patamares</w:t>
      </w:r>
      <w:r>
        <w:rPr>
          <w:spacing w:val="-19"/>
        </w:rPr>
        <w:t> </w:t>
      </w:r>
      <w:r>
        <w:rPr/>
        <w:t>foram</w:t>
      </w:r>
      <w:r>
        <w:rPr>
          <w:spacing w:val="-16"/>
        </w:rPr>
        <w:t> </w:t>
      </w:r>
      <w:r>
        <w:rPr/>
        <w:t>definidos</w:t>
      </w:r>
      <w:r>
        <w:rPr>
          <w:spacing w:val="-16"/>
        </w:rPr>
        <w:t> </w:t>
      </w:r>
      <w:r>
        <w:rPr/>
        <w:t>em</w:t>
      </w:r>
      <w:r>
        <w:rPr>
          <w:spacing w:val="-17"/>
        </w:rPr>
        <w:t> </w:t>
      </w:r>
      <w:r>
        <w:rPr/>
        <w:t>bandeira</w:t>
      </w:r>
      <w:r>
        <w:rPr>
          <w:spacing w:val="-17"/>
        </w:rPr>
        <w:t> </w:t>
      </w:r>
      <w:r>
        <w:rPr/>
        <w:t>amarela</w:t>
      </w:r>
      <w:r>
        <w:rPr>
          <w:spacing w:val="-18"/>
        </w:rPr>
        <w:t> </w:t>
      </w:r>
      <w:r>
        <w:rPr/>
        <w:t>R$</w:t>
      </w:r>
      <w:r>
        <w:rPr>
          <w:spacing w:val="-18"/>
        </w:rPr>
        <w:t> </w:t>
      </w:r>
      <w:r>
        <w:rPr/>
        <w:t>1,00</w:t>
      </w:r>
      <w:r>
        <w:rPr>
          <w:spacing w:val="-18"/>
        </w:rPr>
        <w:t> </w:t>
      </w:r>
      <w:r>
        <w:rPr/>
        <w:t>a</w:t>
      </w:r>
      <w:r>
        <w:rPr>
          <w:spacing w:val="-17"/>
        </w:rPr>
        <w:t> </w:t>
      </w:r>
      <w:r>
        <w:rPr/>
        <w:t>cada</w:t>
      </w:r>
      <w:r>
        <w:rPr>
          <w:spacing w:val="-19"/>
        </w:rPr>
        <w:t> </w:t>
      </w:r>
      <w:r>
        <w:rPr/>
        <w:t>100</w:t>
      </w:r>
      <w:r>
        <w:rPr>
          <w:spacing w:val="-16"/>
        </w:rPr>
        <w:t> </w:t>
      </w:r>
      <w:r>
        <w:rPr/>
        <w:t>KWh;</w:t>
      </w:r>
      <w:r>
        <w:rPr>
          <w:spacing w:val="-18"/>
        </w:rPr>
        <w:t> </w:t>
      </w:r>
      <w:r>
        <w:rPr/>
        <w:t>a</w:t>
      </w:r>
      <w:r>
        <w:rPr>
          <w:spacing w:val="-16"/>
        </w:rPr>
        <w:t> </w:t>
      </w:r>
      <w:r>
        <w:rPr/>
        <w:t>bandeira vermelha</w:t>
      </w:r>
      <w:r>
        <w:rPr>
          <w:spacing w:val="-34"/>
        </w:rPr>
        <w:t> </w:t>
      </w:r>
      <w:r>
        <w:rPr/>
        <w:t>patamar</w:t>
      </w:r>
      <w:r>
        <w:rPr>
          <w:spacing w:val="-34"/>
        </w:rPr>
        <w:t> </w:t>
      </w:r>
      <w:r>
        <w:rPr/>
        <w:t>1</w:t>
      </w:r>
      <w:r>
        <w:rPr>
          <w:spacing w:val="-36"/>
        </w:rPr>
        <w:t> </w:t>
      </w:r>
      <w:r>
        <w:rPr/>
        <w:t>R$</w:t>
      </w:r>
      <w:r>
        <w:rPr>
          <w:spacing w:val="-33"/>
        </w:rPr>
        <w:t> </w:t>
      </w:r>
      <w:r>
        <w:rPr/>
        <w:t>3,00</w:t>
      </w:r>
      <w:r>
        <w:rPr>
          <w:spacing w:val="-33"/>
        </w:rPr>
        <w:t> </w:t>
      </w:r>
      <w:r>
        <w:rPr/>
        <w:t>para</w:t>
      </w:r>
      <w:r>
        <w:rPr>
          <w:spacing w:val="-35"/>
        </w:rPr>
        <w:t> </w:t>
      </w:r>
      <w:r>
        <w:rPr/>
        <w:t>cada</w:t>
      </w:r>
      <w:r>
        <w:rPr>
          <w:spacing w:val="-34"/>
        </w:rPr>
        <w:t> </w:t>
      </w:r>
      <w:r>
        <w:rPr/>
        <w:t>100</w:t>
      </w:r>
      <w:r>
        <w:rPr>
          <w:spacing w:val="-34"/>
        </w:rPr>
        <w:t> </w:t>
      </w:r>
      <w:r>
        <w:rPr/>
        <w:t>KWh</w:t>
      </w:r>
      <w:r>
        <w:rPr>
          <w:spacing w:val="-33"/>
        </w:rPr>
        <w:t> </w:t>
      </w:r>
      <w:r>
        <w:rPr/>
        <w:t>e</w:t>
      </w:r>
      <w:r>
        <w:rPr>
          <w:spacing w:val="-35"/>
        </w:rPr>
        <w:t> </w:t>
      </w:r>
      <w:r>
        <w:rPr/>
        <w:t>bandeira</w:t>
      </w:r>
      <w:r>
        <w:rPr>
          <w:spacing w:val="-34"/>
        </w:rPr>
        <w:t> </w:t>
      </w:r>
      <w:r>
        <w:rPr/>
        <w:t>vermelha</w:t>
      </w:r>
      <w:r>
        <w:rPr>
          <w:spacing w:val="-31"/>
        </w:rPr>
        <w:t> </w:t>
      </w:r>
      <w:r>
        <w:rPr/>
        <w:t>patamar</w:t>
      </w:r>
      <w:r>
        <w:rPr>
          <w:spacing w:val="-35"/>
        </w:rPr>
        <w:t> </w:t>
      </w:r>
      <w:r>
        <w:rPr/>
        <w:t>2</w:t>
      </w:r>
      <w:r>
        <w:rPr>
          <w:spacing w:val="-33"/>
        </w:rPr>
        <w:t> </w:t>
      </w:r>
      <w:r>
        <w:rPr/>
        <w:t>R$</w:t>
      </w:r>
      <w:r>
        <w:rPr>
          <w:spacing w:val="-36"/>
        </w:rPr>
        <w:t> </w:t>
      </w:r>
      <w:r>
        <w:rPr/>
        <w:t>5,00</w:t>
      </w:r>
      <w:r>
        <w:rPr>
          <w:spacing w:val="-35"/>
        </w:rPr>
        <w:t> </w:t>
      </w:r>
      <w:r>
        <w:rPr/>
        <w:t>a</w:t>
      </w:r>
      <w:r>
        <w:rPr>
          <w:spacing w:val="-35"/>
        </w:rPr>
        <w:t> </w:t>
      </w:r>
      <w:r>
        <w:rPr/>
        <w:t>cada</w:t>
      </w:r>
      <w:r>
        <w:rPr>
          <w:spacing w:val="-34"/>
        </w:rPr>
        <w:t> </w:t>
      </w:r>
      <w:r>
        <w:rPr/>
        <w:t>100</w:t>
      </w:r>
      <w:r>
        <w:rPr>
          <w:spacing w:val="-33"/>
        </w:rPr>
        <w:t> </w:t>
      </w:r>
      <w:r>
        <w:rPr/>
        <w:t>KWh</w:t>
      </w:r>
      <w:r>
        <w:rPr>
          <w:spacing w:val="-34"/>
        </w:rPr>
        <w:t> </w:t>
      </w:r>
      <w:r>
        <w:rPr/>
        <w:t>consumidos.</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09"/>
        <w:jc w:val="both"/>
      </w:pPr>
      <w:r>
        <w:rPr/>
        <w:t>Em</w:t>
      </w:r>
      <w:r>
        <w:rPr>
          <w:spacing w:val="-17"/>
        </w:rPr>
        <w:t> </w:t>
      </w:r>
      <w:r>
        <w:rPr/>
        <w:t>27</w:t>
      </w:r>
      <w:r>
        <w:rPr>
          <w:spacing w:val="-13"/>
        </w:rPr>
        <w:t> </w:t>
      </w:r>
      <w:r>
        <w:rPr/>
        <w:t>de</w:t>
      </w:r>
      <w:r>
        <w:rPr>
          <w:spacing w:val="-15"/>
        </w:rPr>
        <w:t> </w:t>
      </w:r>
      <w:r>
        <w:rPr/>
        <w:t>fevereiro</w:t>
      </w:r>
      <w:r>
        <w:rPr>
          <w:spacing w:val="-14"/>
        </w:rPr>
        <w:t> </w:t>
      </w:r>
      <w:r>
        <w:rPr/>
        <w:t>de</w:t>
      </w:r>
      <w:r>
        <w:rPr>
          <w:spacing w:val="-14"/>
        </w:rPr>
        <w:t> </w:t>
      </w:r>
      <w:r>
        <w:rPr/>
        <w:t>2019,</w:t>
      </w:r>
      <w:r>
        <w:rPr>
          <w:spacing w:val="-15"/>
        </w:rPr>
        <w:t> </w:t>
      </w:r>
      <w:r>
        <w:rPr/>
        <w:t>foi</w:t>
      </w:r>
      <w:r>
        <w:rPr>
          <w:spacing w:val="-15"/>
        </w:rPr>
        <w:t> </w:t>
      </w:r>
      <w:r>
        <w:rPr/>
        <w:t>instaurada</w:t>
      </w:r>
      <w:r>
        <w:rPr>
          <w:spacing w:val="-15"/>
        </w:rPr>
        <w:t> </w:t>
      </w:r>
      <w:r>
        <w:rPr/>
        <w:t>Audiência</w:t>
      </w:r>
      <w:r>
        <w:rPr>
          <w:spacing w:val="-16"/>
        </w:rPr>
        <w:t> </w:t>
      </w:r>
      <w:r>
        <w:rPr/>
        <w:t>Pública</w:t>
      </w:r>
      <w:r>
        <w:rPr>
          <w:spacing w:val="-14"/>
        </w:rPr>
        <w:t> </w:t>
      </w:r>
      <w:r>
        <w:rPr/>
        <w:t>08/2019</w:t>
      </w:r>
      <w:r>
        <w:rPr>
          <w:spacing w:val="-14"/>
        </w:rPr>
        <w:t> </w:t>
      </w:r>
      <w:r>
        <w:rPr/>
        <w:t>com</w:t>
      </w:r>
      <w:r>
        <w:rPr>
          <w:spacing w:val="-14"/>
        </w:rPr>
        <w:t> </w:t>
      </w:r>
      <w:r>
        <w:rPr/>
        <w:t>a</w:t>
      </w:r>
      <w:r>
        <w:rPr>
          <w:spacing w:val="-13"/>
        </w:rPr>
        <w:t> </w:t>
      </w:r>
      <w:r>
        <w:rPr/>
        <w:t>finalidade</w:t>
      </w:r>
      <w:r>
        <w:rPr>
          <w:spacing w:val="-16"/>
        </w:rPr>
        <w:t> </w:t>
      </w:r>
      <w:r>
        <w:rPr/>
        <w:t>de</w:t>
      </w:r>
      <w:r>
        <w:rPr>
          <w:spacing w:val="-15"/>
        </w:rPr>
        <w:t> </w:t>
      </w:r>
      <w:r>
        <w:rPr/>
        <w:t>aprimorar</w:t>
      </w:r>
      <w:r>
        <w:rPr>
          <w:spacing w:val="-14"/>
        </w:rPr>
        <w:t> </w:t>
      </w:r>
      <w:r>
        <w:rPr/>
        <w:t>e</w:t>
      </w:r>
      <w:r>
        <w:rPr>
          <w:spacing w:val="-13"/>
        </w:rPr>
        <w:t> </w:t>
      </w:r>
      <w:r>
        <w:rPr/>
        <w:t>revisar</w:t>
      </w:r>
      <w:r>
        <w:rPr>
          <w:spacing w:val="-15"/>
        </w:rPr>
        <w:t> </w:t>
      </w:r>
      <w:r>
        <w:rPr/>
        <w:t>as faixas</w:t>
      </w:r>
      <w:r>
        <w:rPr>
          <w:spacing w:val="-35"/>
        </w:rPr>
        <w:t> </w:t>
      </w:r>
      <w:r>
        <w:rPr/>
        <w:t>de</w:t>
      </w:r>
      <w:r>
        <w:rPr>
          <w:spacing w:val="-35"/>
        </w:rPr>
        <w:t> </w:t>
      </w:r>
      <w:r>
        <w:rPr/>
        <w:t>acionamento</w:t>
      </w:r>
      <w:r>
        <w:rPr>
          <w:spacing w:val="-33"/>
        </w:rPr>
        <w:t> </w:t>
      </w:r>
      <w:r>
        <w:rPr/>
        <w:t>das</w:t>
      </w:r>
      <w:r>
        <w:rPr>
          <w:spacing w:val="-33"/>
        </w:rPr>
        <w:t> </w:t>
      </w:r>
      <w:r>
        <w:rPr/>
        <w:t>bandeiras</w:t>
      </w:r>
      <w:r>
        <w:rPr>
          <w:spacing w:val="-34"/>
        </w:rPr>
        <w:t> </w:t>
      </w:r>
      <w:r>
        <w:rPr/>
        <w:t>tarifárias.</w:t>
      </w:r>
      <w:r>
        <w:rPr>
          <w:spacing w:val="-35"/>
        </w:rPr>
        <w:t> </w:t>
      </w:r>
      <w:r>
        <w:rPr/>
        <w:t>Em</w:t>
      </w:r>
      <w:r>
        <w:rPr>
          <w:spacing w:val="-33"/>
        </w:rPr>
        <w:t> </w:t>
      </w:r>
      <w:r>
        <w:rPr/>
        <w:t>21</w:t>
      </w:r>
      <w:r>
        <w:rPr>
          <w:spacing w:val="-33"/>
        </w:rPr>
        <w:t> </w:t>
      </w:r>
      <w:r>
        <w:rPr/>
        <w:t>de</w:t>
      </w:r>
      <w:r>
        <w:rPr>
          <w:spacing w:val="-34"/>
        </w:rPr>
        <w:t> </w:t>
      </w:r>
      <w:r>
        <w:rPr/>
        <w:t>maio</w:t>
      </w:r>
      <w:r>
        <w:rPr>
          <w:spacing w:val="-34"/>
        </w:rPr>
        <w:t> </w:t>
      </w:r>
      <w:r>
        <w:rPr/>
        <w:t>de</w:t>
      </w:r>
      <w:r>
        <w:rPr>
          <w:spacing w:val="-33"/>
        </w:rPr>
        <w:t> </w:t>
      </w:r>
      <w:r>
        <w:rPr/>
        <w:t>2019,</w:t>
      </w:r>
      <w:r>
        <w:rPr>
          <w:spacing w:val="-33"/>
        </w:rPr>
        <w:t> </w:t>
      </w:r>
      <w:r>
        <w:rPr/>
        <w:t>a</w:t>
      </w:r>
      <w:r>
        <w:rPr>
          <w:spacing w:val="-32"/>
        </w:rPr>
        <w:t> </w:t>
      </w:r>
      <w:r>
        <w:rPr/>
        <w:t>Aneel</w:t>
      </w:r>
      <w:r>
        <w:rPr>
          <w:spacing w:val="-33"/>
        </w:rPr>
        <w:t> </w:t>
      </w:r>
      <w:r>
        <w:rPr/>
        <w:t>aprovou</w:t>
      </w:r>
      <w:r>
        <w:rPr>
          <w:spacing w:val="-34"/>
        </w:rPr>
        <w:t> </w:t>
      </w:r>
      <w:r>
        <w:rPr/>
        <w:t>a</w:t>
      </w:r>
      <w:r>
        <w:rPr>
          <w:spacing w:val="-32"/>
        </w:rPr>
        <w:t> </w:t>
      </w:r>
      <w:r>
        <w:rPr/>
        <w:t>Resolução</w:t>
      </w:r>
      <w:r>
        <w:rPr>
          <w:spacing w:val="-28"/>
        </w:rPr>
        <w:t> </w:t>
      </w:r>
      <w:r>
        <w:rPr/>
        <w:t>Homologatória nº</w:t>
      </w:r>
      <w:r>
        <w:rPr>
          <w:spacing w:val="-31"/>
        </w:rPr>
        <w:t> </w:t>
      </w:r>
      <w:r>
        <w:rPr/>
        <w:t>2.551/2019</w:t>
      </w:r>
      <w:r>
        <w:rPr>
          <w:spacing w:val="-28"/>
        </w:rPr>
        <w:t> </w:t>
      </w:r>
      <w:r>
        <w:rPr/>
        <w:t>estabelecendo</w:t>
      </w:r>
      <w:r>
        <w:rPr>
          <w:spacing w:val="-31"/>
        </w:rPr>
        <w:t> </w:t>
      </w:r>
      <w:r>
        <w:rPr/>
        <w:t>as</w:t>
      </w:r>
      <w:r>
        <w:rPr>
          <w:spacing w:val="-30"/>
        </w:rPr>
        <w:t> </w:t>
      </w:r>
      <w:r>
        <w:rPr/>
        <w:t>novas</w:t>
      </w:r>
      <w:r>
        <w:rPr>
          <w:spacing w:val="-29"/>
        </w:rPr>
        <w:t> </w:t>
      </w:r>
      <w:r>
        <w:rPr/>
        <w:t>faixas</w:t>
      </w:r>
      <w:r>
        <w:rPr>
          <w:spacing w:val="-31"/>
        </w:rPr>
        <w:t> </w:t>
      </w:r>
      <w:r>
        <w:rPr/>
        <w:t>de</w:t>
      </w:r>
      <w:r>
        <w:rPr>
          <w:spacing w:val="-30"/>
        </w:rPr>
        <w:t> </w:t>
      </w:r>
      <w:r>
        <w:rPr/>
        <w:t>acionamentos</w:t>
      </w:r>
      <w:r>
        <w:rPr>
          <w:spacing w:val="-29"/>
        </w:rPr>
        <w:t> </w:t>
      </w:r>
      <w:r>
        <w:rPr/>
        <w:t>e</w:t>
      </w:r>
      <w:r>
        <w:rPr>
          <w:spacing w:val="-31"/>
        </w:rPr>
        <w:t> </w:t>
      </w:r>
      <w:r>
        <w:rPr/>
        <w:t>os</w:t>
      </w:r>
      <w:r>
        <w:rPr>
          <w:spacing w:val="-29"/>
        </w:rPr>
        <w:t> </w:t>
      </w:r>
      <w:r>
        <w:rPr/>
        <w:t>adicionais</w:t>
      </w:r>
      <w:r>
        <w:rPr>
          <w:spacing w:val="-31"/>
        </w:rPr>
        <w:t> </w:t>
      </w:r>
      <w:r>
        <w:rPr/>
        <w:t>das</w:t>
      </w:r>
      <w:r>
        <w:rPr>
          <w:spacing w:val="-29"/>
        </w:rPr>
        <w:t> </w:t>
      </w:r>
      <w:r>
        <w:rPr/>
        <w:t>bandeiras</w:t>
      </w:r>
      <w:r>
        <w:rPr>
          <w:spacing w:val="-31"/>
        </w:rPr>
        <w:t> </w:t>
      </w:r>
      <w:r>
        <w:rPr/>
        <w:t>tarifarias</w:t>
      </w:r>
      <w:r>
        <w:rPr>
          <w:spacing w:val="-30"/>
        </w:rPr>
        <w:t> </w:t>
      </w:r>
      <w:r>
        <w:rPr/>
        <w:t>com</w:t>
      </w:r>
      <w:r>
        <w:rPr>
          <w:spacing w:val="-30"/>
        </w:rPr>
        <w:t> </w:t>
      </w:r>
      <w:r>
        <w:rPr/>
        <w:t>vigência a</w:t>
      </w:r>
      <w:r>
        <w:rPr>
          <w:spacing w:val="-18"/>
        </w:rPr>
        <w:t> </w:t>
      </w:r>
      <w:r>
        <w:rPr/>
        <w:t>partir</w:t>
      </w:r>
      <w:r>
        <w:rPr>
          <w:spacing w:val="-17"/>
        </w:rPr>
        <w:t> </w:t>
      </w:r>
      <w:r>
        <w:rPr/>
        <w:t>de</w:t>
      </w:r>
      <w:r>
        <w:rPr>
          <w:spacing w:val="-20"/>
        </w:rPr>
        <w:t> </w:t>
      </w:r>
      <w:r>
        <w:rPr/>
        <w:t>junho</w:t>
      </w:r>
      <w:r>
        <w:rPr>
          <w:spacing w:val="-17"/>
        </w:rPr>
        <w:t> </w:t>
      </w:r>
      <w:r>
        <w:rPr/>
        <w:t>de</w:t>
      </w:r>
      <w:r>
        <w:rPr>
          <w:spacing w:val="-17"/>
        </w:rPr>
        <w:t> </w:t>
      </w:r>
      <w:r>
        <w:rPr/>
        <w:t>2019.</w:t>
      </w:r>
    </w:p>
    <w:p>
      <w:pPr>
        <w:pStyle w:val="BodyText"/>
        <w:spacing w:before="8"/>
      </w:pPr>
    </w:p>
    <w:p>
      <w:pPr>
        <w:pStyle w:val="BodyText"/>
        <w:spacing w:line="242" w:lineRule="auto"/>
        <w:ind w:left="172" w:right="406"/>
        <w:jc w:val="both"/>
      </w:pPr>
      <w:r>
        <w:rPr/>
        <w:t>Os</w:t>
      </w:r>
      <w:r>
        <w:rPr>
          <w:spacing w:val="-37"/>
        </w:rPr>
        <w:t> </w:t>
      </w:r>
      <w:r>
        <w:rPr/>
        <w:t>valores</w:t>
      </w:r>
      <w:r>
        <w:rPr>
          <w:spacing w:val="-35"/>
        </w:rPr>
        <w:t> </w:t>
      </w:r>
      <w:r>
        <w:rPr/>
        <w:t>definidos</w:t>
      </w:r>
      <w:r>
        <w:rPr>
          <w:spacing w:val="-36"/>
        </w:rPr>
        <w:t> </w:t>
      </w:r>
      <w:r>
        <w:rPr/>
        <w:t>foram</w:t>
      </w:r>
      <w:r>
        <w:rPr>
          <w:spacing w:val="-36"/>
        </w:rPr>
        <w:t> </w:t>
      </w:r>
      <w:r>
        <w:rPr/>
        <w:t>para</w:t>
      </w:r>
      <w:r>
        <w:rPr>
          <w:spacing w:val="-36"/>
        </w:rPr>
        <w:t> </w:t>
      </w:r>
      <w:r>
        <w:rPr/>
        <w:t>bandeira</w:t>
      </w:r>
      <w:r>
        <w:rPr>
          <w:spacing w:val="-36"/>
        </w:rPr>
        <w:t> </w:t>
      </w:r>
      <w:r>
        <w:rPr/>
        <w:t>amarela</w:t>
      </w:r>
      <w:r>
        <w:rPr>
          <w:spacing w:val="-36"/>
        </w:rPr>
        <w:t> </w:t>
      </w:r>
      <w:r>
        <w:rPr/>
        <w:t>(R$</w:t>
      </w:r>
      <w:r>
        <w:rPr>
          <w:spacing w:val="-37"/>
        </w:rPr>
        <w:t> </w:t>
      </w:r>
      <w:r>
        <w:rPr/>
        <w:t>1,30</w:t>
      </w:r>
      <w:r>
        <w:rPr>
          <w:spacing w:val="-37"/>
        </w:rPr>
        <w:t> </w:t>
      </w:r>
      <w:r>
        <w:rPr/>
        <w:t>para</w:t>
      </w:r>
      <w:r>
        <w:rPr>
          <w:spacing w:val="-36"/>
        </w:rPr>
        <w:t> </w:t>
      </w:r>
      <w:r>
        <w:rPr/>
        <w:t>cada</w:t>
      </w:r>
      <w:r>
        <w:rPr>
          <w:spacing w:val="-36"/>
        </w:rPr>
        <w:t> </w:t>
      </w:r>
      <w:r>
        <w:rPr/>
        <w:t>100</w:t>
      </w:r>
      <w:r>
        <w:rPr>
          <w:spacing w:val="-35"/>
        </w:rPr>
        <w:t> </w:t>
      </w:r>
      <w:r>
        <w:rPr/>
        <w:t>KWh</w:t>
      </w:r>
      <w:r>
        <w:rPr>
          <w:spacing w:val="-35"/>
        </w:rPr>
        <w:t> </w:t>
      </w:r>
      <w:r>
        <w:rPr/>
        <w:t>consumidos),</w:t>
      </w:r>
      <w:r>
        <w:rPr>
          <w:spacing w:val="-37"/>
        </w:rPr>
        <w:t> </w:t>
      </w:r>
      <w:r>
        <w:rPr/>
        <w:t>vermelha</w:t>
      </w:r>
      <w:r>
        <w:rPr>
          <w:spacing w:val="-35"/>
        </w:rPr>
        <w:t> </w:t>
      </w:r>
      <w:r>
        <w:rPr/>
        <w:t>patamar</w:t>
      </w:r>
      <w:r>
        <w:rPr>
          <w:spacing w:val="-36"/>
        </w:rPr>
        <w:t> </w:t>
      </w:r>
      <w:r>
        <w:rPr/>
        <w:t>1</w:t>
      </w:r>
      <w:r>
        <w:rPr>
          <w:spacing w:val="-35"/>
        </w:rPr>
        <w:t> </w:t>
      </w:r>
      <w:r>
        <w:rPr/>
        <w:t>(R$ 4,00</w:t>
      </w:r>
      <w:r>
        <w:rPr>
          <w:spacing w:val="-21"/>
        </w:rPr>
        <w:t> </w:t>
      </w:r>
      <w:r>
        <w:rPr/>
        <w:t>para</w:t>
      </w:r>
      <w:r>
        <w:rPr>
          <w:spacing w:val="-21"/>
        </w:rPr>
        <w:t> </w:t>
      </w:r>
      <w:r>
        <w:rPr/>
        <w:t>cada</w:t>
      </w:r>
      <w:r>
        <w:rPr>
          <w:spacing w:val="-20"/>
        </w:rPr>
        <w:t> </w:t>
      </w:r>
      <w:r>
        <w:rPr/>
        <w:t>100</w:t>
      </w:r>
      <w:r>
        <w:rPr>
          <w:spacing w:val="-21"/>
        </w:rPr>
        <w:t> </w:t>
      </w:r>
      <w:r>
        <w:rPr/>
        <w:t>KWh</w:t>
      </w:r>
      <w:r>
        <w:rPr>
          <w:spacing w:val="-18"/>
        </w:rPr>
        <w:t> </w:t>
      </w:r>
      <w:r>
        <w:rPr/>
        <w:t>consumidos)</w:t>
      </w:r>
      <w:r>
        <w:rPr>
          <w:spacing w:val="-21"/>
        </w:rPr>
        <w:t> </w:t>
      </w:r>
      <w:r>
        <w:rPr/>
        <w:t>e</w:t>
      </w:r>
      <w:r>
        <w:rPr>
          <w:spacing w:val="-20"/>
        </w:rPr>
        <w:t> </w:t>
      </w:r>
      <w:r>
        <w:rPr/>
        <w:t>vermelha</w:t>
      </w:r>
      <w:r>
        <w:rPr>
          <w:spacing w:val="-19"/>
        </w:rPr>
        <w:t> </w:t>
      </w:r>
      <w:r>
        <w:rPr/>
        <w:t>patamar</w:t>
      </w:r>
      <w:r>
        <w:rPr>
          <w:spacing w:val="-22"/>
        </w:rPr>
        <w:t> </w:t>
      </w:r>
      <w:r>
        <w:rPr/>
        <w:t>2</w:t>
      </w:r>
      <w:r>
        <w:rPr>
          <w:spacing w:val="-20"/>
        </w:rPr>
        <w:t> </w:t>
      </w:r>
      <w:r>
        <w:rPr/>
        <w:t>(R$6,00</w:t>
      </w:r>
      <w:r>
        <w:rPr>
          <w:spacing w:val="-19"/>
        </w:rPr>
        <w:t> </w:t>
      </w:r>
      <w:r>
        <w:rPr/>
        <w:t>para</w:t>
      </w:r>
      <w:r>
        <w:rPr>
          <w:spacing w:val="-21"/>
        </w:rPr>
        <w:t> </w:t>
      </w:r>
      <w:r>
        <w:rPr/>
        <w:t>cada</w:t>
      </w:r>
      <w:r>
        <w:rPr>
          <w:spacing w:val="-20"/>
        </w:rPr>
        <w:t> </w:t>
      </w:r>
      <w:r>
        <w:rPr/>
        <w:t>100</w:t>
      </w:r>
      <w:r>
        <w:rPr>
          <w:spacing w:val="-17"/>
        </w:rPr>
        <w:t> </w:t>
      </w:r>
      <w:r>
        <w:rPr/>
        <w:t>KWh</w:t>
      </w:r>
      <w:r>
        <w:rPr>
          <w:spacing w:val="-19"/>
        </w:rPr>
        <w:t> </w:t>
      </w:r>
      <w:r>
        <w:rPr/>
        <w:t>de</w:t>
      </w:r>
      <w:r>
        <w:rPr>
          <w:spacing w:val="-20"/>
        </w:rPr>
        <w:t> </w:t>
      </w:r>
      <w:r>
        <w:rPr/>
        <w:t>consumo).</w:t>
      </w:r>
    </w:p>
    <w:p>
      <w:pPr>
        <w:pStyle w:val="BodyText"/>
        <w:spacing w:before="7"/>
      </w:pPr>
    </w:p>
    <w:p>
      <w:pPr>
        <w:pStyle w:val="BodyText"/>
        <w:spacing w:line="242" w:lineRule="auto"/>
        <w:ind w:left="172" w:right="410"/>
        <w:jc w:val="both"/>
      </w:pPr>
      <w:r>
        <w:rPr/>
        <w:t>Após decisão da ANEEL, a partir de novembro, os valores das bandeiras foram aplicados sem a regra de arredondamento</w:t>
      </w:r>
      <w:r>
        <w:rPr>
          <w:spacing w:val="-25"/>
        </w:rPr>
        <w:t> </w:t>
      </w:r>
      <w:r>
        <w:rPr/>
        <w:t>passando</w:t>
      </w:r>
      <w:r>
        <w:rPr>
          <w:spacing w:val="-22"/>
        </w:rPr>
        <w:t> </w:t>
      </w:r>
      <w:r>
        <w:rPr/>
        <w:t>para</w:t>
      </w:r>
      <w:r>
        <w:rPr>
          <w:spacing w:val="-24"/>
        </w:rPr>
        <w:t> </w:t>
      </w:r>
      <w:r>
        <w:rPr/>
        <w:t>R$</w:t>
      </w:r>
      <w:r>
        <w:rPr>
          <w:spacing w:val="-24"/>
        </w:rPr>
        <w:t> </w:t>
      </w:r>
      <w:r>
        <w:rPr/>
        <w:t>1,343</w:t>
      </w:r>
      <w:r>
        <w:rPr>
          <w:spacing w:val="-24"/>
        </w:rPr>
        <w:t> </w:t>
      </w:r>
      <w:r>
        <w:rPr/>
        <w:t>para</w:t>
      </w:r>
      <w:r>
        <w:rPr>
          <w:spacing w:val="-24"/>
        </w:rPr>
        <w:t> </w:t>
      </w:r>
      <w:r>
        <w:rPr/>
        <w:t>cada</w:t>
      </w:r>
      <w:r>
        <w:rPr>
          <w:spacing w:val="-20"/>
        </w:rPr>
        <w:t> </w:t>
      </w:r>
      <w:r>
        <w:rPr/>
        <w:t>100</w:t>
      </w:r>
      <w:r>
        <w:rPr>
          <w:spacing w:val="-24"/>
        </w:rPr>
        <w:t> </w:t>
      </w:r>
      <w:r>
        <w:rPr/>
        <w:t>KWh</w:t>
      </w:r>
      <w:r>
        <w:rPr>
          <w:spacing w:val="-23"/>
        </w:rPr>
        <w:t> </w:t>
      </w:r>
      <w:r>
        <w:rPr/>
        <w:t>consumidos</w:t>
      </w:r>
      <w:r>
        <w:rPr>
          <w:spacing w:val="-24"/>
        </w:rPr>
        <w:t> </w:t>
      </w:r>
      <w:r>
        <w:rPr/>
        <w:t>na</w:t>
      </w:r>
      <w:r>
        <w:rPr>
          <w:spacing w:val="-24"/>
        </w:rPr>
        <w:t> </w:t>
      </w:r>
      <w:r>
        <w:rPr/>
        <w:t>bandeira</w:t>
      </w:r>
      <w:r>
        <w:rPr>
          <w:spacing w:val="-24"/>
        </w:rPr>
        <w:t> </w:t>
      </w:r>
      <w:r>
        <w:rPr/>
        <w:t>amarela,</w:t>
      </w:r>
      <w:r>
        <w:rPr>
          <w:spacing w:val="-24"/>
        </w:rPr>
        <w:t> </w:t>
      </w:r>
      <w:r>
        <w:rPr/>
        <w:t>R$</w:t>
      </w:r>
      <w:r>
        <w:rPr>
          <w:spacing w:val="-24"/>
        </w:rPr>
        <w:t> </w:t>
      </w:r>
      <w:r>
        <w:rPr/>
        <w:t>4,169</w:t>
      </w:r>
      <w:r>
        <w:rPr>
          <w:spacing w:val="-24"/>
        </w:rPr>
        <w:t> </w:t>
      </w:r>
      <w:r>
        <w:rPr/>
        <w:t>para</w:t>
      </w:r>
      <w:r>
        <w:rPr>
          <w:spacing w:val="-22"/>
        </w:rPr>
        <w:t> </w:t>
      </w:r>
      <w:r>
        <w:rPr/>
        <w:t>cada 100</w:t>
      </w:r>
      <w:r>
        <w:rPr>
          <w:spacing w:val="-24"/>
        </w:rPr>
        <w:t> </w:t>
      </w:r>
      <w:r>
        <w:rPr/>
        <w:t>KWh</w:t>
      </w:r>
      <w:r>
        <w:rPr>
          <w:spacing w:val="-24"/>
        </w:rPr>
        <w:t> </w:t>
      </w:r>
      <w:r>
        <w:rPr/>
        <w:t>consumidos</w:t>
      </w:r>
      <w:r>
        <w:rPr>
          <w:spacing w:val="-23"/>
        </w:rPr>
        <w:t> </w:t>
      </w:r>
      <w:r>
        <w:rPr/>
        <w:t>na</w:t>
      </w:r>
      <w:r>
        <w:rPr>
          <w:spacing w:val="-24"/>
        </w:rPr>
        <w:t> </w:t>
      </w:r>
      <w:r>
        <w:rPr/>
        <w:t>vermelha</w:t>
      </w:r>
      <w:r>
        <w:rPr>
          <w:spacing w:val="-22"/>
        </w:rPr>
        <w:t> </w:t>
      </w:r>
      <w:r>
        <w:rPr/>
        <w:t>patamar</w:t>
      </w:r>
      <w:r>
        <w:rPr>
          <w:spacing w:val="-23"/>
        </w:rPr>
        <w:t> </w:t>
      </w:r>
      <w:r>
        <w:rPr/>
        <w:t>1</w:t>
      </w:r>
      <w:r>
        <w:rPr>
          <w:spacing w:val="-22"/>
        </w:rPr>
        <w:t> </w:t>
      </w:r>
      <w:r>
        <w:rPr/>
        <w:t>e</w:t>
      </w:r>
      <w:r>
        <w:rPr>
          <w:spacing w:val="-25"/>
        </w:rPr>
        <w:t> </w:t>
      </w:r>
      <w:r>
        <w:rPr/>
        <w:t>R$6,243</w:t>
      </w:r>
      <w:r>
        <w:rPr>
          <w:spacing w:val="-22"/>
        </w:rPr>
        <w:t> </w:t>
      </w:r>
      <w:r>
        <w:rPr/>
        <w:t>para</w:t>
      </w:r>
      <w:r>
        <w:rPr>
          <w:spacing w:val="-23"/>
        </w:rPr>
        <w:t> </w:t>
      </w:r>
      <w:r>
        <w:rPr/>
        <w:t>cada</w:t>
      </w:r>
      <w:r>
        <w:rPr>
          <w:spacing w:val="-24"/>
        </w:rPr>
        <w:t> </w:t>
      </w:r>
      <w:r>
        <w:rPr/>
        <w:t>100</w:t>
      </w:r>
      <w:r>
        <w:rPr>
          <w:spacing w:val="-22"/>
        </w:rPr>
        <w:t> </w:t>
      </w:r>
      <w:r>
        <w:rPr/>
        <w:t>KWh</w:t>
      </w:r>
      <w:r>
        <w:rPr>
          <w:spacing w:val="-21"/>
        </w:rPr>
        <w:t> </w:t>
      </w:r>
      <w:r>
        <w:rPr/>
        <w:t>de</w:t>
      </w:r>
      <w:r>
        <w:rPr>
          <w:spacing w:val="-26"/>
        </w:rPr>
        <w:t> </w:t>
      </w:r>
      <w:r>
        <w:rPr/>
        <w:t>consumo</w:t>
      </w:r>
      <w:r>
        <w:rPr>
          <w:spacing w:val="-23"/>
        </w:rPr>
        <w:t> </w:t>
      </w:r>
      <w:r>
        <w:rPr/>
        <w:t>na</w:t>
      </w:r>
      <w:r>
        <w:rPr>
          <w:spacing w:val="-21"/>
        </w:rPr>
        <w:t> </w:t>
      </w:r>
      <w:r>
        <w:rPr/>
        <w:t>vermelha</w:t>
      </w:r>
      <w:r>
        <w:rPr>
          <w:spacing w:val="-23"/>
        </w:rPr>
        <w:t> </w:t>
      </w:r>
      <w:r>
        <w:rPr/>
        <w:t>patamar</w:t>
      </w:r>
      <w:r>
        <w:rPr>
          <w:spacing w:val="-24"/>
        </w:rPr>
        <w:t> </w:t>
      </w:r>
      <w:r>
        <w:rPr/>
        <w:t>2.</w:t>
      </w:r>
    </w:p>
    <w:p>
      <w:pPr>
        <w:pStyle w:val="BodyText"/>
        <w:spacing w:before="5" w:after="1"/>
      </w:pPr>
    </w:p>
    <w:tbl>
      <w:tblPr>
        <w:tblW w:w="0" w:type="auto"/>
        <w:jc w:val="left"/>
        <w:tblInd w:w="18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2144"/>
        <w:gridCol w:w="2816"/>
        <w:gridCol w:w="2141"/>
        <w:gridCol w:w="2816"/>
      </w:tblGrid>
      <w:tr>
        <w:trPr>
          <w:trHeight w:val="225" w:hRule="atLeast"/>
        </w:trPr>
        <w:tc>
          <w:tcPr>
            <w:tcW w:w="2144" w:type="dxa"/>
            <w:shd w:val="clear" w:color="auto" w:fill="D9D9D9"/>
          </w:tcPr>
          <w:p>
            <w:pPr>
              <w:pStyle w:val="TableParagraph"/>
              <w:spacing w:line="168" w:lineRule="exact" w:before="37"/>
              <w:ind w:right="868"/>
              <w:jc w:val="right"/>
              <w:rPr>
                <w:rFonts w:ascii="Caladea"/>
                <w:b/>
                <w:sz w:val="16"/>
              </w:rPr>
            </w:pPr>
            <w:r>
              <w:rPr>
                <w:rFonts w:ascii="Caladea"/>
                <w:b/>
                <w:sz w:val="16"/>
              </w:rPr>
              <w:t>2018</w:t>
            </w:r>
          </w:p>
        </w:tc>
        <w:tc>
          <w:tcPr>
            <w:tcW w:w="2816" w:type="dxa"/>
            <w:shd w:val="clear" w:color="auto" w:fill="D9D9D9"/>
          </w:tcPr>
          <w:p>
            <w:pPr>
              <w:pStyle w:val="TableParagraph"/>
              <w:spacing w:line="168" w:lineRule="exact" w:before="37"/>
              <w:ind w:left="1070"/>
              <w:rPr>
                <w:rFonts w:ascii="Caladea"/>
                <w:b/>
                <w:sz w:val="16"/>
              </w:rPr>
            </w:pPr>
            <w:r>
              <w:rPr>
                <w:rFonts w:ascii="Caladea"/>
                <w:b/>
                <w:sz w:val="16"/>
              </w:rPr>
              <w:t>Bandeira</w:t>
            </w:r>
          </w:p>
        </w:tc>
        <w:tc>
          <w:tcPr>
            <w:tcW w:w="2141" w:type="dxa"/>
            <w:shd w:val="clear" w:color="auto" w:fill="D9D9D9"/>
          </w:tcPr>
          <w:p>
            <w:pPr>
              <w:pStyle w:val="TableParagraph"/>
              <w:spacing w:line="168" w:lineRule="exact" w:before="37"/>
              <w:ind w:right="868"/>
              <w:jc w:val="right"/>
              <w:rPr>
                <w:rFonts w:ascii="Caladea"/>
                <w:b/>
                <w:sz w:val="16"/>
              </w:rPr>
            </w:pPr>
            <w:r>
              <w:rPr>
                <w:rFonts w:ascii="Caladea"/>
                <w:b/>
                <w:sz w:val="16"/>
              </w:rPr>
              <w:t>2019</w:t>
            </w:r>
          </w:p>
        </w:tc>
        <w:tc>
          <w:tcPr>
            <w:tcW w:w="2816" w:type="dxa"/>
            <w:shd w:val="clear" w:color="auto" w:fill="D9D9D9"/>
          </w:tcPr>
          <w:p>
            <w:pPr>
              <w:pStyle w:val="TableParagraph"/>
              <w:spacing w:line="168" w:lineRule="exact" w:before="37"/>
              <w:ind w:left="1070"/>
              <w:rPr>
                <w:rFonts w:ascii="Caladea"/>
                <w:b/>
                <w:sz w:val="16"/>
              </w:rPr>
            </w:pPr>
            <w:r>
              <w:rPr>
                <w:rFonts w:ascii="Caladea"/>
                <w:b/>
                <w:sz w:val="16"/>
              </w:rPr>
              <w:t>Bandeira</w:t>
            </w:r>
          </w:p>
        </w:tc>
      </w:tr>
      <w:tr>
        <w:trPr>
          <w:trHeight w:val="227" w:hRule="atLeast"/>
        </w:trPr>
        <w:tc>
          <w:tcPr>
            <w:tcW w:w="2144" w:type="dxa"/>
          </w:tcPr>
          <w:p>
            <w:pPr>
              <w:pStyle w:val="TableParagraph"/>
              <w:spacing w:line="185" w:lineRule="exact" w:before="22"/>
              <w:ind w:right="823"/>
              <w:jc w:val="right"/>
              <w:rPr>
                <w:sz w:val="16"/>
              </w:rPr>
            </w:pPr>
            <w:r>
              <w:rPr>
                <w:w w:val="95"/>
                <w:sz w:val="16"/>
              </w:rPr>
              <w:t>jan/18</w:t>
            </w:r>
          </w:p>
        </w:tc>
        <w:tc>
          <w:tcPr>
            <w:tcW w:w="2816" w:type="dxa"/>
          </w:tcPr>
          <w:p>
            <w:pPr>
              <w:pStyle w:val="TableParagraph"/>
              <w:spacing w:line="185" w:lineRule="exact" w:before="22"/>
              <w:ind w:left="984" w:right="971"/>
              <w:jc w:val="center"/>
              <w:rPr>
                <w:sz w:val="16"/>
              </w:rPr>
            </w:pPr>
            <w:r>
              <w:rPr>
                <w:sz w:val="16"/>
              </w:rPr>
              <w:t>Verde</w:t>
            </w:r>
          </w:p>
        </w:tc>
        <w:tc>
          <w:tcPr>
            <w:tcW w:w="2141" w:type="dxa"/>
          </w:tcPr>
          <w:p>
            <w:pPr>
              <w:pStyle w:val="TableParagraph"/>
              <w:spacing w:line="185" w:lineRule="exact" w:before="22"/>
              <w:ind w:right="824"/>
              <w:jc w:val="right"/>
              <w:rPr>
                <w:sz w:val="16"/>
              </w:rPr>
            </w:pPr>
            <w:r>
              <w:rPr>
                <w:w w:val="95"/>
                <w:sz w:val="16"/>
              </w:rPr>
              <w:t>jan/19</w:t>
            </w:r>
          </w:p>
        </w:tc>
        <w:tc>
          <w:tcPr>
            <w:tcW w:w="2816" w:type="dxa"/>
          </w:tcPr>
          <w:p>
            <w:pPr>
              <w:pStyle w:val="TableParagraph"/>
              <w:spacing w:line="185" w:lineRule="exact" w:before="22"/>
              <w:ind w:left="984" w:right="971"/>
              <w:jc w:val="center"/>
              <w:rPr>
                <w:sz w:val="16"/>
              </w:rPr>
            </w:pPr>
            <w:r>
              <w:rPr>
                <w:sz w:val="16"/>
              </w:rPr>
              <w:t>Verde</w:t>
            </w:r>
          </w:p>
        </w:tc>
      </w:tr>
      <w:tr>
        <w:trPr>
          <w:trHeight w:val="227" w:hRule="atLeast"/>
        </w:trPr>
        <w:tc>
          <w:tcPr>
            <w:tcW w:w="2144" w:type="dxa"/>
          </w:tcPr>
          <w:p>
            <w:pPr>
              <w:pStyle w:val="TableParagraph"/>
              <w:spacing w:line="185" w:lineRule="exact" w:before="22"/>
              <w:ind w:right="823"/>
              <w:jc w:val="right"/>
              <w:rPr>
                <w:sz w:val="16"/>
              </w:rPr>
            </w:pPr>
            <w:r>
              <w:rPr>
                <w:w w:val="95"/>
                <w:sz w:val="16"/>
              </w:rPr>
              <w:t>fev/18</w:t>
            </w:r>
          </w:p>
        </w:tc>
        <w:tc>
          <w:tcPr>
            <w:tcW w:w="2816" w:type="dxa"/>
          </w:tcPr>
          <w:p>
            <w:pPr>
              <w:pStyle w:val="TableParagraph"/>
              <w:spacing w:line="185" w:lineRule="exact" w:before="22"/>
              <w:ind w:left="984" w:right="971"/>
              <w:jc w:val="center"/>
              <w:rPr>
                <w:sz w:val="16"/>
              </w:rPr>
            </w:pPr>
            <w:r>
              <w:rPr>
                <w:sz w:val="16"/>
              </w:rPr>
              <w:t>Verde</w:t>
            </w:r>
          </w:p>
        </w:tc>
        <w:tc>
          <w:tcPr>
            <w:tcW w:w="2141" w:type="dxa"/>
          </w:tcPr>
          <w:p>
            <w:pPr>
              <w:pStyle w:val="TableParagraph"/>
              <w:spacing w:line="185" w:lineRule="exact" w:before="22"/>
              <w:ind w:right="824"/>
              <w:jc w:val="right"/>
              <w:rPr>
                <w:sz w:val="16"/>
              </w:rPr>
            </w:pPr>
            <w:r>
              <w:rPr>
                <w:w w:val="95"/>
                <w:sz w:val="16"/>
              </w:rPr>
              <w:t>fev/19</w:t>
            </w:r>
          </w:p>
        </w:tc>
        <w:tc>
          <w:tcPr>
            <w:tcW w:w="2816" w:type="dxa"/>
          </w:tcPr>
          <w:p>
            <w:pPr>
              <w:pStyle w:val="TableParagraph"/>
              <w:spacing w:line="185" w:lineRule="exact" w:before="22"/>
              <w:ind w:left="984" w:right="971"/>
              <w:jc w:val="center"/>
              <w:rPr>
                <w:sz w:val="16"/>
              </w:rPr>
            </w:pPr>
            <w:r>
              <w:rPr>
                <w:sz w:val="16"/>
              </w:rPr>
              <w:t>Verde</w:t>
            </w:r>
          </w:p>
        </w:tc>
      </w:tr>
      <w:tr>
        <w:trPr>
          <w:trHeight w:val="227" w:hRule="atLeast"/>
        </w:trPr>
        <w:tc>
          <w:tcPr>
            <w:tcW w:w="2144" w:type="dxa"/>
          </w:tcPr>
          <w:p>
            <w:pPr>
              <w:pStyle w:val="TableParagraph"/>
              <w:spacing w:before="20"/>
              <w:ind w:right="790"/>
              <w:jc w:val="right"/>
              <w:rPr>
                <w:sz w:val="16"/>
              </w:rPr>
            </w:pPr>
            <w:r>
              <w:rPr>
                <w:sz w:val="16"/>
              </w:rPr>
              <w:t>mar/18</w:t>
            </w:r>
          </w:p>
        </w:tc>
        <w:tc>
          <w:tcPr>
            <w:tcW w:w="2816" w:type="dxa"/>
          </w:tcPr>
          <w:p>
            <w:pPr>
              <w:pStyle w:val="TableParagraph"/>
              <w:spacing w:before="20"/>
              <w:ind w:left="984" w:right="972"/>
              <w:jc w:val="center"/>
              <w:rPr>
                <w:sz w:val="16"/>
              </w:rPr>
            </w:pPr>
            <w:r>
              <w:rPr>
                <w:sz w:val="16"/>
              </w:rPr>
              <w:t>Verde</w:t>
            </w:r>
          </w:p>
        </w:tc>
        <w:tc>
          <w:tcPr>
            <w:tcW w:w="2141" w:type="dxa"/>
          </w:tcPr>
          <w:p>
            <w:pPr>
              <w:pStyle w:val="TableParagraph"/>
              <w:spacing w:before="20"/>
              <w:ind w:right="790"/>
              <w:jc w:val="right"/>
              <w:rPr>
                <w:sz w:val="16"/>
              </w:rPr>
            </w:pPr>
            <w:r>
              <w:rPr>
                <w:sz w:val="16"/>
              </w:rPr>
              <w:t>mar/19</w:t>
            </w:r>
          </w:p>
        </w:tc>
        <w:tc>
          <w:tcPr>
            <w:tcW w:w="2816" w:type="dxa"/>
          </w:tcPr>
          <w:p>
            <w:pPr>
              <w:pStyle w:val="TableParagraph"/>
              <w:spacing w:before="20"/>
              <w:ind w:left="984" w:right="971"/>
              <w:jc w:val="center"/>
              <w:rPr>
                <w:sz w:val="16"/>
              </w:rPr>
            </w:pPr>
            <w:r>
              <w:rPr>
                <w:sz w:val="16"/>
              </w:rPr>
              <w:t>Verde</w:t>
            </w:r>
          </w:p>
        </w:tc>
      </w:tr>
      <w:tr>
        <w:trPr>
          <w:trHeight w:val="225" w:hRule="atLeast"/>
        </w:trPr>
        <w:tc>
          <w:tcPr>
            <w:tcW w:w="2144" w:type="dxa"/>
          </w:tcPr>
          <w:p>
            <w:pPr>
              <w:pStyle w:val="TableParagraph"/>
              <w:spacing w:line="185" w:lineRule="exact" w:before="20"/>
              <w:ind w:right="812"/>
              <w:jc w:val="right"/>
              <w:rPr>
                <w:sz w:val="16"/>
              </w:rPr>
            </w:pPr>
            <w:r>
              <w:rPr>
                <w:sz w:val="16"/>
              </w:rPr>
              <w:t>abr/18</w:t>
            </w:r>
          </w:p>
        </w:tc>
        <w:tc>
          <w:tcPr>
            <w:tcW w:w="2816" w:type="dxa"/>
          </w:tcPr>
          <w:p>
            <w:pPr>
              <w:pStyle w:val="TableParagraph"/>
              <w:spacing w:line="185" w:lineRule="exact" w:before="20"/>
              <w:ind w:left="984" w:right="971"/>
              <w:jc w:val="center"/>
              <w:rPr>
                <w:sz w:val="16"/>
              </w:rPr>
            </w:pPr>
            <w:r>
              <w:rPr>
                <w:sz w:val="16"/>
              </w:rPr>
              <w:t>Verde</w:t>
            </w:r>
          </w:p>
        </w:tc>
        <w:tc>
          <w:tcPr>
            <w:tcW w:w="2141" w:type="dxa"/>
          </w:tcPr>
          <w:p>
            <w:pPr>
              <w:pStyle w:val="TableParagraph"/>
              <w:spacing w:line="185" w:lineRule="exact" w:before="20"/>
              <w:ind w:right="812"/>
              <w:jc w:val="right"/>
              <w:rPr>
                <w:sz w:val="16"/>
              </w:rPr>
            </w:pPr>
            <w:r>
              <w:rPr>
                <w:sz w:val="16"/>
              </w:rPr>
              <w:t>abr/19</w:t>
            </w:r>
          </w:p>
        </w:tc>
        <w:tc>
          <w:tcPr>
            <w:tcW w:w="2816" w:type="dxa"/>
          </w:tcPr>
          <w:p>
            <w:pPr>
              <w:pStyle w:val="TableParagraph"/>
              <w:spacing w:line="185" w:lineRule="exact" w:before="20"/>
              <w:ind w:left="984" w:right="971"/>
              <w:jc w:val="center"/>
              <w:rPr>
                <w:sz w:val="16"/>
              </w:rPr>
            </w:pPr>
            <w:r>
              <w:rPr>
                <w:sz w:val="16"/>
              </w:rPr>
              <w:t>Verde</w:t>
            </w:r>
          </w:p>
        </w:tc>
      </w:tr>
      <w:tr>
        <w:trPr>
          <w:trHeight w:val="227" w:hRule="atLeast"/>
        </w:trPr>
        <w:tc>
          <w:tcPr>
            <w:tcW w:w="2144" w:type="dxa"/>
          </w:tcPr>
          <w:p>
            <w:pPr>
              <w:pStyle w:val="TableParagraph"/>
              <w:spacing w:line="185" w:lineRule="exact" w:before="22"/>
              <w:ind w:right="799"/>
              <w:jc w:val="right"/>
              <w:rPr>
                <w:sz w:val="16"/>
              </w:rPr>
            </w:pPr>
            <w:r>
              <w:rPr>
                <w:sz w:val="16"/>
              </w:rPr>
              <w:t>mai/18</w:t>
            </w:r>
          </w:p>
        </w:tc>
        <w:tc>
          <w:tcPr>
            <w:tcW w:w="2816" w:type="dxa"/>
          </w:tcPr>
          <w:p>
            <w:pPr>
              <w:pStyle w:val="TableParagraph"/>
              <w:spacing w:line="185" w:lineRule="exact" w:before="22"/>
              <w:ind w:left="984" w:right="972"/>
              <w:jc w:val="center"/>
              <w:rPr>
                <w:sz w:val="16"/>
              </w:rPr>
            </w:pPr>
            <w:r>
              <w:rPr>
                <w:sz w:val="16"/>
              </w:rPr>
              <w:t>Amarela</w:t>
            </w:r>
          </w:p>
        </w:tc>
        <w:tc>
          <w:tcPr>
            <w:tcW w:w="2141" w:type="dxa"/>
          </w:tcPr>
          <w:p>
            <w:pPr>
              <w:pStyle w:val="TableParagraph"/>
              <w:spacing w:line="185" w:lineRule="exact" w:before="22"/>
              <w:ind w:right="799"/>
              <w:jc w:val="right"/>
              <w:rPr>
                <w:sz w:val="16"/>
              </w:rPr>
            </w:pPr>
            <w:r>
              <w:rPr>
                <w:sz w:val="16"/>
              </w:rPr>
              <w:t>mai/19</w:t>
            </w:r>
          </w:p>
        </w:tc>
        <w:tc>
          <w:tcPr>
            <w:tcW w:w="2816" w:type="dxa"/>
          </w:tcPr>
          <w:p>
            <w:pPr>
              <w:pStyle w:val="TableParagraph"/>
              <w:spacing w:line="185" w:lineRule="exact" w:before="22"/>
              <w:ind w:left="1120"/>
              <w:rPr>
                <w:sz w:val="16"/>
              </w:rPr>
            </w:pPr>
            <w:r>
              <w:rPr>
                <w:sz w:val="16"/>
              </w:rPr>
              <w:t>Amarela</w:t>
            </w:r>
          </w:p>
        </w:tc>
      </w:tr>
      <w:tr>
        <w:trPr>
          <w:trHeight w:val="227" w:hRule="atLeast"/>
        </w:trPr>
        <w:tc>
          <w:tcPr>
            <w:tcW w:w="2144" w:type="dxa"/>
          </w:tcPr>
          <w:p>
            <w:pPr>
              <w:pStyle w:val="TableParagraph"/>
              <w:spacing w:line="185" w:lineRule="exact" w:before="22"/>
              <w:ind w:right="818"/>
              <w:jc w:val="right"/>
              <w:rPr>
                <w:sz w:val="16"/>
              </w:rPr>
            </w:pPr>
            <w:r>
              <w:rPr>
                <w:w w:val="95"/>
                <w:sz w:val="16"/>
              </w:rPr>
              <w:t>jun/18</w:t>
            </w:r>
          </w:p>
        </w:tc>
        <w:tc>
          <w:tcPr>
            <w:tcW w:w="2816" w:type="dxa"/>
          </w:tcPr>
          <w:p>
            <w:pPr>
              <w:pStyle w:val="TableParagraph"/>
              <w:spacing w:line="185" w:lineRule="exact" w:before="22"/>
              <w:ind w:left="1015"/>
              <w:rPr>
                <w:sz w:val="16"/>
              </w:rPr>
            </w:pPr>
            <w:r>
              <w:rPr>
                <w:sz w:val="16"/>
              </w:rPr>
              <w:t>Vermelha 2</w:t>
            </w:r>
          </w:p>
        </w:tc>
        <w:tc>
          <w:tcPr>
            <w:tcW w:w="2141" w:type="dxa"/>
          </w:tcPr>
          <w:p>
            <w:pPr>
              <w:pStyle w:val="TableParagraph"/>
              <w:spacing w:line="185" w:lineRule="exact" w:before="22"/>
              <w:ind w:right="818"/>
              <w:jc w:val="right"/>
              <w:rPr>
                <w:sz w:val="16"/>
              </w:rPr>
            </w:pPr>
            <w:r>
              <w:rPr>
                <w:w w:val="95"/>
                <w:sz w:val="16"/>
              </w:rPr>
              <w:t>jun/19</w:t>
            </w:r>
          </w:p>
        </w:tc>
        <w:tc>
          <w:tcPr>
            <w:tcW w:w="2816" w:type="dxa"/>
          </w:tcPr>
          <w:p>
            <w:pPr>
              <w:pStyle w:val="TableParagraph"/>
              <w:spacing w:line="185" w:lineRule="exact" w:before="22"/>
              <w:ind w:left="984" w:right="971"/>
              <w:jc w:val="center"/>
              <w:rPr>
                <w:sz w:val="16"/>
              </w:rPr>
            </w:pPr>
            <w:r>
              <w:rPr>
                <w:sz w:val="16"/>
              </w:rPr>
              <w:t>Verde</w:t>
            </w:r>
          </w:p>
        </w:tc>
      </w:tr>
      <w:tr>
        <w:trPr>
          <w:trHeight w:val="227" w:hRule="atLeast"/>
        </w:trPr>
        <w:tc>
          <w:tcPr>
            <w:tcW w:w="2144" w:type="dxa"/>
          </w:tcPr>
          <w:p>
            <w:pPr>
              <w:pStyle w:val="TableParagraph"/>
              <w:spacing w:before="20"/>
              <w:ind w:right="840"/>
              <w:jc w:val="right"/>
              <w:rPr>
                <w:sz w:val="16"/>
              </w:rPr>
            </w:pPr>
            <w:r>
              <w:rPr>
                <w:w w:val="95"/>
                <w:sz w:val="16"/>
              </w:rPr>
              <w:t>jul/18</w:t>
            </w:r>
          </w:p>
        </w:tc>
        <w:tc>
          <w:tcPr>
            <w:tcW w:w="2816" w:type="dxa"/>
          </w:tcPr>
          <w:p>
            <w:pPr>
              <w:pStyle w:val="TableParagraph"/>
              <w:spacing w:before="20"/>
              <w:ind w:left="1015"/>
              <w:rPr>
                <w:sz w:val="16"/>
              </w:rPr>
            </w:pPr>
            <w:r>
              <w:rPr>
                <w:sz w:val="16"/>
              </w:rPr>
              <w:t>Vermelha 2</w:t>
            </w:r>
          </w:p>
        </w:tc>
        <w:tc>
          <w:tcPr>
            <w:tcW w:w="2141" w:type="dxa"/>
          </w:tcPr>
          <w:p>
            <w:pPr>
              <w:pStyle w:val="TableParagraph"/>
              <w:spacing w:before="20"/>
              <w:ind w:right="840"/>
              <w:jc w:val="right"/>
              <w:rPr>
                <w:sz w:val="16"/>
              </w:rPr>
            </w:pPr>
            <w:r>
              <w:rPr>
                <w:w w:val="95"/>
                <w:sz w:val="16"/>
              </w:rPr>
              <w:t>jul/19</w:t>
            </w:r>
          </w:p>
        </w:tc>
        <w:tc>
          <w:tcPr>
            <w:tcW w:w="2816" w:type="dxa"/>
          </w:tcPr>
          <w:p>
            <w:pPr>
              <w:pStyle w:val="TableParagraph"/>
              <w:spacing w:before="20"/>
              <w:ind w:left="1120"/>
              <w:rPr>
                <w:sz w:val="16"/>
              </w:rPr>
            </w:pPr>
            <w:r>
              <w:rPr>
                <w:sz w:val="16"/>
              </w:rPr>
              <w:t>Amarela</w:t>
            </w:r>
          </w:p>
        </w:tc>
      </w:tr>
      <w:tr>
        <w:trPr>
          <w:trHeight w:val="225" w:hRule="atLeast"/>
        </w:trPr>
        <w:tc>
          <w:tcPr>
            <w:tcW w:w="2144" w:type="dxa"/>
          </w:tcPr>
          <w:p>
            <w:pPr>
              <w:pStyle w:val="TableParagraph"/>
              <w:spacing w:line="185" w:lineRule="exact" w:before="20"/>
              <w:ind w:right="806"/>
              <w:jc w:val="right"/>
              <w:rPr>
                <w:sz w:val="16"/>
              </w:rPr>
            </w:pPr>
            <w:r>
              <w:rPr>
                <w:sz w:val="16"/>
              </w:rPr>
              <w:t>ago/18</w:t>
            </w:r>
          </w:p>
        </w:tc>
        <w:tc>
          <w:tcPr>
            <w:tcW w:w="2816" w:type="dxa"/>
          </w:tcPr>
          <w:p>
            <w:pPr>
              <w:pStyle w:val="TableParagraph"/>
              <w:spacing w:line="185" w:lineRule="exact" w:before="20"/>
              <w:ind w:left="1015"/>
              <w:rPr>
                <w:sz w:val="16"/>
              </w:rPr>
            </w:pPr>
            <w:r>
              <w:rPr>
                <w:sz w:val="16"/>
              </w:rPr>
              <w:t>Vermelha 2</w:t>
            </w:r>
          </w:p>
        </w:tc>
        <w:tc>
          <w:tcPr>
            <w:tcW w:w="2141" w:type="dxa"/>
          </w:tcPr>
          <w:p>
            <w:pPr>
              <w:pStyle w:val="TableParagraph"/>
              <w:spacing w:line="185" w:lineRule="exact" w:before="20"/>
              <w:ind w:right="806"/>
              <w:jc w:val="right"/>
              <w:rPr>
                <w:sz w:val="16"/>
              </w:rPr>
            </w:pPr>
            <w:r>
              <w:rPr>
                <w:sz w:val="16"/>
              </w:rPr>
              <w:t>ago/19</w:t>
            </w:r>
          </w:p>
        </w:tc>
        <w:tc>
          <w:tcPr>
            <w:tcW w:w="2816" w:type="dxa"/>
          </w:tcPr>
          <w:p>
            <w:pPr>
              <w:pStyle w:val="TableParagraph"/>
              <w:spacing w:line="185" w:lineRule="exact" w:before="20"/>
              <w:ind w:left="1015"/>
              <w:rPr>
                <w:sz w:val="16"/>
              </w:rPr>
            </w:pPr>
            <w:r>
              <w:rPr>
                <w:sz w:val="16"/>
              </w:rPr>
              <w:t>Vermelha 1</w:t>
            </w:r>
          </w:p>
        </w:tc>
      </w:tr>
      <w:tr>
        <w:trPr>
          <w:trHeight w:val="227" w:hRule="atLeast"/>
        </w:trPr>
        <w:tc>
          <w:tcPr>
            <w:tcW w:w="2144" w:type="dxa"/>
          </w:tcPr>
          <w:p>
            <w:pPr>
              <w:pStyle w:val="TableParagraph"/>
              <w:spacing w:line="185" w:lineRule="exact" w:before="22"/>
              <w:ind w:right="828"/>
              <w:jc w:val="right"/>
              <w:rPr>
                <w:sz w:val="16"/>
              </w:rPr>
            </w:pPr>
            <w:r>
              <w:rPr>
                <w:w w:val="95"/>
                <w:sz w:val="16"/>
              </w:rPr>
              <w:t>set/18</w:t>
            </w:r>
          </w:p>
        </w:tc>
        <w:tc>
          <w:tcPr>
            <w:tcW w:w="2816" w:type="dxa"/>
          </w:tcPr>
          <w:p>
            <w:pPr>
              <w:pStyle w:val="TableParagraph"/>
              <w:spacing w:line="185" w:lineRule="exact" w:before="22"/>
              <w:ind w:left="1015"/>
              <w:rPr>
                <w:sz w:val="16"/>
              </w:rPr>
            </w:pPr>
            <w:r>
              <w:rPr>
                <w:sz w:val="16"/>
              </w:rPr>
              <w:t>Vermelha 2</w:t>
            </w:r>
          </w:p>
        </w:tc>
        <w:tc>
          <w:tcPr>
            <w:tcW w:w="2141" w:type="dxa"/>
          </w:tcPr>
          <w:p>
            <w:pPr>
              <w:pStyle w:val="TableParagraph"/>
              <w:spacing w:line="185" w:lineRule="exact" w:before="22"/>
              <w:ind w:right="828"/>
              <w:jc w:val="right"/>
              <w:rPr>
                <w:sz w:val="16"/>
              </w:rPr>
            </w:pPr>
            <w:r>
              <w:rPr>
                <w:w w:val="95"/>
                <w:sz w:val="16"/>
              </w:rPr>
              <w:t>set/19</w:t>
            </w:r>
          </w:p>
        </w:tc>
        <w:tc>
          <w:tcPr>
            <w:tcW w:w="2816" w:type="dxa"/>
          </w:tcPr>
          <w:p>
            <w:pPr>
              <w:pStyle w:val="TableParagraph"/>
              <w:spacing w:line="185" w:lineRule="exact" w:before="22"/>
              <w:ind w:left="1015"/>
              <w:rPr>
                <w:sz w:val="16"/>
              </w:rPr>
            </w:pPr>
            <w:r>
              <w:rPr>
                <w:sz w:val="16"/>
              </w:rPr>
              <w:t>Vermelha 1</w:t>
            </w:r>
          </w:p>
        </w:tc>
      </w:tr>
      <w:tr>
        <w:trPr>
          <w:trHeight w:val="227" w:hRule="atLeast"/>
        </w:trPr>
        <w:tc>
          <w:tcPr>
            <w:tcW w:w="2144" w:type="dxa"/>
          </w:tcPr>
          <w:p>
            <w:pPr>
              <w:pStyle w:val="TableParagraph"/>
              <w:spacing w:line="185" w:lineRule="exact" w:before="22"/>
              <w:ind w:right="814"/>
              <w:jc w:val="right"/>
              <w:rPr>
                <w:sz w:val="16"/>
              </w:rPr>
            </w:pPr>
            <w:r>
              <w:rPr>
                <w:w w:val="95"/>
                <w:sz w:val="16"/>
              </w:rPr>
              <w:t>out/18</w:t>
            </w:r>
          </w:p>
        </w:tc>
        <w:tc>
          <w:tcPr>
            <w:tcW w:w="2816" w:type="dxa"/>
          </w:tcPr>
          <w:p>
            <w:pPr>
              <w:pStyle w:val="TableParagraph"/>
              <w:spacing w:line="185" w:lineRule="exact" w:before="22"/>
              <w:ind w:left="1015"/>
              <w:rPr>
                <w:sz w:val="16"/>
              </w:rPr>
            </w:pPr>
            <w:r>
              <w:rPr>
                <w:sz w:val="16"/>
              </w:rPr>
              <w:t>Vermelha 2</w:t>
            </w:r>
          </w:p>
        </w:tc>
        <w:tc>
          <w:tcPr>
            <w:tcW w:w="2141" w:type="dxa"/>
          </w:tcPr>
          <w:p>
            <w:pPr>
              <w:pStyle w:val="TableParagraph"/>
              <w:spacing w:line="185" w:lineRule="exact" w:before="22"/>
              <w:ind w:right="814"/>
              <w:jc w:val="right"/>
              <w:rPr>
                <w:sz w:val="16"/>
              </w:rPr>
            </w:pPr>
            <w:r>
              <w:rPr>
                <w:w w:val="95"/>
                <w:sz w:val="16"/>
              </w:rPr>
              <w:t>out/19</w:t>
            </w:r>
          </w:p>
        </w:tc>
        <w:tc>
          <w:tcPr>
            <w:tcW w:w="2816" w:type="dxa"/>
          </w:tcPr>
          <w:p>
            <w:pPr>
              <w:pStyle w:val="TableParagraph"/>
              <w:spacing w:line="185" w:lineRule="exact" w:before="22"/>
              <w:ind w:left="1120"/>
              <w:rPr>
                <w:sz w:val="16"/>
              </w:rPr>
            </w:pPr>
            <w:r>
              <w:rPr>
                <w:sz w:val="16"/>
              </w:rPr>
              <w:t>Amarela</w:t>
            </w:r>
          </w:p>
        </w:tc>
      </w:tr>
      <w:tr>
        <w:trPr>
          <w:trHeight w:val="227" w:hRule="atLeast"/>
        </w:trPr>
        <w:tc>
          <w:tcPr>
            <w:tcW w:w="2144" w:type="dxa"/>
          </w:tcPr>
          <w:p>
            <w:pPr>
              <w:pStyle w:val="TableParagraph"/>
              <w:spacing w:before="20"/>
              <w:ind w:right="800"/>
              <w:jc w:val="right"/>
              <w:rPr>
                <w:sz w:val="16"/>
              </w:rPr>
            </w:pPr>
            <w:r>
              <w:rPr>
                <w:sz w:val="16"/>
              </w:rPr>
              <w:t>nov/18</w:t>
            </w:r>
          </w:p>
        </w:tc>
        <w:tc>
          <w:tcPr>
            <w:tcW w:w="2816" w:type="dxa"/>
          </w:tcPr>
          <w:p>
            <w:pPr>
              <w:pStyle w:val="TableParagraph"/>
              <w:spacing w:before="20"/>
              <w:ind w:left="984" w:right="972"/>
              <w:jc w:val="center"/>
              <w:rPr>
                <w:sz w:val="16"/>
              </w:rPr>
            </w:pPr>
            <w:r>
              <w:rPr>
                <w:sz w:val="16"/>
              </w:rPr>
              <w:t>Amarela</w:t>
            </w:r>
          </w:p>
        </w:tc>
        <w:tc>
          <w:tcPr>
            <w:tcW w:w="2141" w:type="dxa"/>
          </w:tcPr>
          <w:p>
            <w:pPr>
              <w:pStyle w:val="TableParagraph"/>
              <w:spacing w:before="20"/>
              <w:ind w:right="800"/>
              <w:jc w:val="right"/>
              <w:rPr>
                <w:sz w:val="16"/>
              </w:rPr>
            </w:pPr>
            <w:r>
              <w:rPr>
                <w:sz w:val="16"/>
              </w:rPr>
              <w:t>nov/19</w:t>
            </w:r>
          </w:p>
        </w:tc>
        <w:tc>
          <w:tcPr>
            <w:tcW w:w="2816" w:type="dxa"/>
          </w:tcPr>
          <w:p>
            <w:pPr>
              <w:pStyle w:val="TableParagraph"/>
              <w:spacing w:before="20"/>
              <w:ind w:left="1015"/>
              <w:rPr>
                <w:sz w:val="16"/>
              </w:rPr>
            </w:pPr>
            <w:r>
              <w:rPr>
                <w:sz w:val="16"/>
              </w:rPr>
              <w:t>Vermelha 1</w:t>
            </w:r>
          </w:p>
        </w:tc>
      </w:tr>
      <w:tr>
        <w:trPr>
          <w:trHeight w:val="227" w:hRule="atLeast"/>
        </w:trPr>
        <w:tc>
          <w:tcPr>
            <w:tcW w:w="2144" w:type="dxa"/>
          </w:tcPr>
          <w:p>
            <w:pPr>
              <w:pStyle w:val="TableParagraph"/>
              <w:spacing w:before="20"/>
              <w:ind w:right="809"/>
              <w:jc w:val="right"/>
              <w:rPr>
                <w:sz w:val="16"/>
              </w:rPr>
            </w:pPr>
            <w:r>
              <w:rPr>
                <w:w w:val="95"/>
                <w:sz w:val="16"/>
              </w:rPr>
              <w:t>dez/18</w:t>
            </w:r>
          </w:p>
        </w:tc>
        <w:tc>
          <w:tcPr>
            <w:tcW w:w="2816" w:type="dxa"/>
          </w:tcPr>
          <w:p>
            <w:pPr>
              <w:pStyle w:val="TableParagraph"/>
              <w:spacing w:before="20"/>
              <w:ind w:left="984" w:right="971"/>
              <w:jc w:val="center"/>
              <w:rPr>
                <w:sz w:val="16"/>
              </w:rPr>
            </w:pPr>
            <w:r>
              <w:rPr>
                <w:sz w:val="16"/>
              </w:rPr>
              <w:t>Verde</w:t>
            </w:r>
          </w:p>
        </w:tc>
        <w:tc>
          <w:tcPr>
            <w:tcW w:w="2141" w:type="dxa"/>
          </w:tcPr>
          <w:p>
            <w:pPr>
              <w:pStyle w:val="TableParagraph"/>
              <w:spacing w:before="20"/>
              <w:ind w:right="809"/>
              <w:jc w:val="right"/>
              <w:rPr>
                <w:sz w:val="16"/>
              </w:rPr>
            </w:pPr>
            <w:r>
              <w:rPr>
                <w:w w:val="95"/>
                <w:sz w:val="16"/>
              </w:rPr>
              <w:t>dez/19</w:t>
            </w:r>
          </w:p>
        </w:tc>
        <w:tc>
          <w:tcPr>
            <w:tcW w:w="2816" w:type="dxa"/>
          </w:tcPr>
          <w:p>
            <w:pPr>
              <w:pStyle w:val="TableParagraph"/>
              <w:spacing w:before="20"/>
              <w:ind w:left="1120"/>
              <w:rPr>
                <w:sz w:val="16"/>
              </w:rPr>
            </w:pPr>
            <w:r>
              <w:rPr>
                <w:sz w:val="16"/>
              </w:rPr>
              <w:t>Amarela</w:t>
            </w:r>
          </w:p>
        </w:tc>
      </w:tr>
    </w:tbl>
    <w:p>
      <w:pPr>
        <w:pStyle w:val="BodyText"/>
        <w:spacing w:before="9"/>
      </w:pPr>
    </w:p>
    <w:p>
      <w:pPr>
        <w:pStyle w:val="BodyText"/>
        <w:spacing w:line="242" w:lineRule="auto"/>
        <w:ind w:left="172" w:right="405"/>
        <w:jc w:val="both"/>
      </w:pPr>
      <w:r>
        <w:rPr/>
        <w:t>Os</w:t>
      </w:r>
      <w:r>
        <w:rPr>
          <w:spacing w:val="-38"/>
        </w:rPr>
        <w:t> </w:t>
      </w:r>
      <w:r>
        <w:rPr/>
        <w:t>valores</w:t>
      </w:r>
      <w:r>
        <w:rPr>
          <w:spacing w:val="-37"/>
        </w:rPr>
        <w:t> </w:t>
      </w:r>
      <w:r>
        <w:rPr/>
        <w:t>arrecadados</w:t>
      </w:r>
      <w:r>
        <w:rPr>
          <w:spacing w:val="-36"/>
        </w:rPr>
        <w:t> </w:t>
      </w:r>
      <w:r>
        <w:rPr/>
        <w:t>são</w:t>
      </w:r>
      <w:r>
        <w:rPr>
          <w:spacing w:val="-36"/>
        </w:rPr>
        <w:t> </w:t>
      </w:r>
      <w:r>
        <w:rPr/>
        <w:t>repassados</w:t>
      </w:r>
      <w:r>
        <w:rPr>
          <w:spacing w:val="-37"/>
        </w:rPr>
        <w:t> </w:t>
      </w:r>
      <w:r>
        <w:rPr/>
        <w:t>para</w:t>
      </w:r>
      <w:r>
        <w:rPr>
          <w:spacing w:val="-36"/>
        </w:rPr>
        <w:t> </w:t>
      </w:r>
      <w:r>
        <w:rPr/>
        <w:t>a</w:t>
      </w:r>
      <w:r>
        <w:rPr>
          <w:spacing w:val="-37"/>
        </w:rPr>
        <w:t> </w:t>
      </w:r>
      <w:r>
        <w:rPr/>
        <w:t>Conta</w:t>
      </w:r>
      <w:r>
        <w:rPr>
          <w:spacing w:val="-37"/>
        </w:rPr>
        <w:t> </w:t>
      </w:r>
      <w:r>
        <w:rPr/>
        <w:t>Centralizadora</w:t>
      </w:r>
      <w:r>
        <w:rPr>
          <w:spacing w:val="-37"/>
        </w:rPr>
        <w:t> </w:t>
      </w:r>
      <w:r>
        <w:rPr/>
        <w:t>de</w:t>
      </w:r>
      <w:r>
        <w:rPr>
          <w:spacing w:val="-37"/>
        </w:rPr>
        <w:t> </w:t>
      </w:r>
      <w:r>
        <w:rPr/>
        <w:t>Recursos</w:t>
      </w:r>
      <w:r>
        <w:rPr>
          <w:spacing w:val="-36"/>
        </w:rPr>
        <w:t> </w:t>
      </w:r>
      <w:r>
        <w:rPr/>
        <w:t>da</w:t>
      </w:r>
      <w:r>
        <w:rPr>
          <w:spacing w:val="-37"/>
        </w:rPr>
        <w:t> </w:t>
      </w:r>
      <w:r>
        <w:rPr/>
        <w:t>Bandeira</w:t>
      </w:r>
      <w:r>
        <w:rPr>
          <w:spacing w:val="-35"/>
        </w:rPr>
        <w:t> </w:t>
      </w:r>
      <w:r>
        <w:rPr/>
        <w:t>Tarifária-</w:t>
      </w:r>
      <w:r>
        <w:rPr>
          <w:spacing w:val="-37"/>
        </w:rPr>
        <w:t> </w:t>
      </w:r>
      <w:r>
        <w:rPr/>
        <w:t>CCRBT</w:t>
      </w:r>
      <w:r>
        <w:rPr>
          <w:spacing w:val="-38"/>
        </w:rPr>
        <w:t> </w:t>
      </w:r>
      <w:r>
        <w:rPr/>
        <w:t>gerida pela</w:t>
      </w:r>
      <w:r>
        <w:rPr>
          <w:spacing w:val="-26"/>
        </w:rPr>
        <w:t> </w:t>
      </w:r>
      <w:r>
        <w:rPr/>
        <w:t>CCEE.</w:t>
      </w:r>
      <w:r>
        <w:rPr>
          <w:spacing w:val="-26"/>
        </w:rPr>
        <w:t> </w:t>
      </w:r>
      <w:r>
        <w:rPr/>
        <w:t>Esses</w:t>
      </w:r>
      <w:r>
        <w:rPr>
          <w:spacing w:val="-23"/>
        </w:rPr>
        <w:t> </w:t>
      </w:r>
      <w:r>
        <w:rPr/>
        <w:t>recursos</w:t>
      </w:r>
      <w:r>
        <w:rPr>
          <w:spacing w:val="-26"/>
        </w:rPr>
        <w:t> </w:t>
      </w:r>
      <w:r>
        <w:rPr/>
        <w:t>são</w:t>
      </w:r>
      <w:r>
        <w:rPr>
          <w:spacing w:val="-26"/>
        </w:rPr>
        <w:t> </w:t>
      </w:r>
      <w:r>
        <w:rPr/>
        <w:t>homologados</w:t>
      </w:r>
      <w:r>
        <w:rPr>
          <w:spacing w:val="-24"/>
        </w:rPr>
        <w:t> </w:t>
      </w:r>
      <w:r>
        <w:rPr/>
        <w:t>mensalmente</w:t>
      </w:r>
      <w:r>
        <w:rPr>
          <w:spacing w:val="-26"/>
        </w:rPr>
        <w:t> </w:t>
      </w:r>
      <w:r>
        <w:rPr/>
        <w:t>pela</w:t>
      </w:r>
      <w:r>
        <w:rPr>
          <w:spacing w:val="-25"/>
        </w:rPr>
        <w:t> </w:t>
      </w:r>
      <w:r>
        <w:rPr/>
        <w:t>Aneel</w:t>
      </w:r>
      <w:r>
        <w:rPr>
          <w:spacing w:val="-23"/>
        </w:rPr>
        <w:t> </w:t>
      </w:r>
      <w:r>
        <w:rPr/>
        <w:t>e</w:t>
      </w:r>
      <w:r>
        <w:rPr>
          <w:spacing w:val="-27"/>
        </w:rPr>
        <w:t> </w:t>
      </w:r>
      <w:r>
        <w:rPr/>
        <w:t>são</w:t>
      </w:r>
      <w:r>
        <w:rPr>
          <w:spacing w:val="-26"/>
        </w:rPr>
        <w:t> </w:t>
      </w:r>
      <w:r>
        <w:rPr/>
        <w:t>destinados</w:t>
      </w:r>
      <w:r>
        <w:rPr>
          <w:spacing w:val="-26"/>
        </w:rPr>
        <w:t> </w:t>
      </w:r>
      <w:r>
        <w:rPr/>
        <w:t>a</w:t>
      </w:r>
      <w:r>
        <w:rPr>
          <w:spacing w:val="-25"/>
        </w:rPr>
        <w:t> </w:t>
      </w:r>
      <w:r>
        <w:rPr/>
        <w:t>cobrir</w:t>
      </w:r>
      <w:r>
        <w:rPr>
          <w:spacing w:val="-25"/>
        </w:rPr>
        <w:t> </w:t>
      </w:r>
      <w:r>
        <w:rPr/>
        <w:t>custos</w:t>
      </w:r>
      <w:r>
        <w:rPr>
          <w:spacing w:val="-24"/>
        </w:rPr>
        <w:t> </w:t>
      </w:r>
      <w:r>
        <w:rPr/>
        <w:t>não</w:t>
      </w:r>
      <w:r>
        <w:rPr>
          <w:spacing w:val="-26"/>
        </w:rPr>
        <w:t> </w:t>
      </w:r>
      <w:r>
        <w:rPr/>
        <w:t>previstos nas</w:t>
      </w:r>
      <w:r>
        <w:rPr>
          <w:spacing w:val="-37"/>
        </w:rPr>
        <w:t> </w:t>
      </w:r>
      <w:r>
        <w:rPr/>
        <w:t>tarifas</w:t>
      </w:r>
      <w:r>
        <w:rPr>
          <w:spacing w:val="-36"/>
        </w:rPr>
        <w:t> </w:t>
      </w:r>
      <w:r>
        <w:rPr/>
        <w:t>das</w:t>
      </w:r>
      <w:r>
        <w:rPr>
          <w:spacing w:val="-37"/>
        </w:rPr>
        <w:t> </w:t>
      </w:r>
      <w:r>
        <w:rPr/>
        <w:t>distribuidoras,</w:t>
      </w:r>
      <w:r>
        <w:rPr>
          <w:spacing w:val="-37"/>
        </w:rPr>
        <w:t> </w:t>
      </w:r>
      <w:r>
        <w:rPr/>
        <w:t>tais</w:t>
      </w:r>
      <w:r>
        <w:rPr>
          <w:spacing w:val="-36"/>
        </w:rPr>
        <w:t> </w:t>
      </w:r>
      <w:r>
        <w:rPr/>
        <w:t>como:</w:t>
      </w:r>
      <w:r>
        <w:rPr>
          <w:spacing w:val="-37"/>
        </w:rPr>
        <w:t> </w:t>
      </w:r>
      <w:r>
        <w:rPr/>
        <w:t>Encargos</w:t>
      </w:r>
      <w:r>
        <w:rPr>
          <w:spacing w:val="-37"/>
        </w:rPr>
        <w:t> </w:t>
      </w:r>
      <w:r>
        <w:rPr/>
        <w:t>de</w:t>
      </w:r>
      <w:r>
        <w:rPr>
          <w:spacing w:val="-37"/>
        </w:rPr>
        <w:t> </w:t>
      </w:r>
      <w:r>
        <w:rPr/>
        <w:t>Serviço</w:t>
      </w:r>
      <w:r>
        <w:rPr>
          <w:spacing w:val="-37"/>
        </w:rPr>
        <w:t> </w:t>
      </w:r>
      <w:r>
        <w:rPr/>
        <w:t>do</w:t>
      </w:r>
      <w:r>
        <w:rPr>
          <w:spacing w:val="-37"/>
        </w:rPr>
        <w:t> </w:t>
      </w:r>
      <w:r>
        <w:rPr/>
        <w:t>Sistema,</w:t>
      </w:r>
      <w:r>
        <w:rPr>
          <w:spacing w:val="-37"/>
        </w:rPr>
        <w:t> </w:t>
      </w:r>
      <w:r>
        <w:rPr/>
        <w:t>despacho</w:t>
      </w:r>
      <w:r>
        <w:rPr>
          <w:spacing w:val="-37"/>
        </w:rPr>
        <w:t> </w:t>
      </w:r>
      <w:r>
        <w:rPr/>
        <w:t>térmico,</w:t>
      </w:r>
      <w:r>
        <w:rPr>
          <w:spacing w:val="-37"/>
        </w:rPr>
        <w:t> </w:t>
      </w:r>
      <w:r>
        <w:rPr/>
        <w:t>risco</w:t>
      </w:r>
      <w:r>
        <w:rPr>
          <w:spacing w:val="-37"/>
        </w:rPr>
        <w:t> </w:t>
      </w:r>
      <w:r>
        <w:rPr/>
        <w:t>hidrológico,</w:t>
      </w:r>
      <w:r>
        <w:rPr>
          <w:spacing w:val="-36"/>
        </w:rPr>
        <w:t> </w:t>
      </w:r>
      <w:r>
        <w:rPr>
          <w:spacing w:val="2"/>
        </w:rPr>
        <w:t>cotas </w:t>
      </w:r>
      <w:r>
        <w:rPr/>
        <w:t>de</w:t>
      </w:r>
      <w:r>
        <w:rPr>
          <w:spacing w:val="-33"/>
        </w:rPr>
        <w:t> </w:t>
      </w:r>
      <w:r>
        <w:rPr/>
        <w:t>Itaipu,</w:t>
      </w:r>
      <w:r>
        <w:rPr>
          <w:spacing w:val="-30"/>
        </w:rPr>
        <w:t> </w:t>
      </w:r>
      <w:r>
        <w:rPr/>
        <w:t>exposição</w:t>
      </w:r>
      <w:r>
        <w:rPr>
          <w:spacing w:val="-32"/>
        </w:rPr>
        <w:t> </w:t>
      </w:r>
      <w:r>
        <w:rPr/>
        <w:t>ao</w:t>
      </w:r>
      <w:r>
        <w:rPr>
          <w:spacing w:val="-32"/>
        </w:rPr>
        <w:t> </w:t>
      </w:r>
      <w:r>
        <w:rPr/>
        <w:t>mercado</w:t>
      </w:r>
      <w:r>
        <w:rPr>
          <w:spacing w:val="-31"/>
        </w:rPr>
        <w:t> </w:t>
      </w:r>
      <w:r>
        <w:rPr/>
        <w:t>de</w:t>
      </w:r>
      <w:r>
        <w:rPr>
          <w:spacing w:val="-32"/>
        </w:rPr>
        <w:t> </w:t>
      </w:r>
      <w:r>
        <w:rPr/>
        <w:t>curto</w:t>
      </w:r>
      <w:r>
        <w:rPr>
          <w:spacing w:val="-33"/>
        </w:rPr>
        <w:t> </w:t>
      </w:r>
      <w:r>
        <w:rPr/>
        <w:t>prazo.</w:t>
      </w:r>
      <w:r>
        <w:rPr>
          <w:spacing w:val="-31"/>
        </w:rPr>
        <w:t> </w:t>
      </w:r>
      <w:r>
        <w:rPr/>
        <w:t>Diante</w:t>
      </w:r>
      <w:r>
        <w:rPr>
          <w:spacing w:val="-32"/>
        </w:rPr>
        <w:t> </w:t>
      </w:r>
      <w:r>
        <w:rPr/>
        <w:t>disso,</w:t>
      </w:r>
      <w:r>
        <w:rPr>
          <w:spacing w:val="-32"/>
        </w:rPr>
        <w:t> </w:t>
      </w:r>
      <w:r>
        <w:rPr/>
        <w:t>caso</w:t>
      </w:r>
      <w:r>
        <w:rPr>
          <w:spacing w:val="-32"/>
        </w:rPr>
        <w:t> </w:t>
      </w:r>
      <w:r>
        <w:rPr/>
        <w:t>os</w:t>
      </w:r>
      <w:r>
        <w:rPr>
          <w:spacing w:val="-31"/>
        </w:rPr>
        <w:t> </w:t>
      </w:r>
      <w:r>
        <w:rPr/>
        <w:t>recursos</w:t>
      </w:r>
      <w:r>
        <w:rPr>
          <w:spacing w:val="-32"/>
        </w:rPr>
        <w:t> </w:t>
      </w:r>
      <w:r>
        <w:rPr/>
        <w:t>das</w:t>
      </w:r>
      <w:r>
        <w:rPr>
          <w:spacing w:val="-31"/>
        </w:rPr>
        <w:t> </w:t>
      </w:r>
      <w:r>
        <w:rPr/>
        <w:t>bandeiras</w:t>
      </w:r>
      <w:r>
        <w:rPr>
          <w:spacing w:val="-31"/>
        </w:rPr>
        <w:t> </w:t>
      </w:r>
      <w:r>
        <w:rPr/>
        <w:t>não</w:t>
      </w:r>
      <w:r>
        <w:rPr>
          <w:spacing w:val="-31"/>
        </w:rPr>
        <w:t> </w:t>
      </w:r>
      <w:r>
        <w:rPr/>
        <w:t>sejam</w:t>
      </w:r>
      <w:r>
        <w:rPr>
          <w:spacing w:val="-32"/>
        </w:rPr>
        <w:t> </w:t>
      </w:r>
      <w:r>
        <w:rPr/>
        <w:t>suficientes, estes</w:t>
      </w:r>
      <w:r>
        <w:rPr>
          <w:spacing w:val="-20"/>
        </w:rPr>
        <w:t> </w:t>
      </w:r>
      <w:r>
        <w:rPr/>
        <w:t>custos</w:t>
      </w:r>
      <w:r>
        <w:rPr>
          <w:spacing w:val="-18"/>
        </w:rPr>
        <w:t> </w:t>
      </w:r>
      <w:r>
        <w:rPr/>
        <w:t>não</w:t>
      </w:r>
      <w:r>
        <w:rPr>
          <w:spacing w:val="-21"/>
        </w:rPr>
        <w:t> </w:t>
      </w:r>
      <w:r>
        <w:rPr/>
        <w:t>cobertos</w:t>
      </w:r>
      <w:r>
        <w:rPr>
          <w:spacing w:val="-20"/>
        </w:rPr>
        <w:t> </w:t>
      </w:r>
      <w:r>
        <w:rPr/>
        <w:t>são</w:t>
      </w:r>
      <w:r>
        <w:rPr>
          <w:spacing w:val="-21"/>
        </w:rPr>
        <w:t> </w:t>
      </w:r>
      <w:r>
        <w:rPr/>
        <w:t>considerados</w:t>
      </w:r>
      <w:r>
        <w:rPr>
          <w:spacing w:val="-20"/>
        </w:rPr>
        <w:t> </w:t>
      </w:r>
      <w:r>
        <w:rPr/>
        <w:t>no</w:t>
      </w:r>
      <w:r>
        <w:rPr>
          <w:spacing w:val="-18"/>
        </w:rPr>
        <w:t> </w:t>
      </w:r>
      <w:r>
        <w:rPr/>
        <w:t>processo</w:t>
      </w:r>
      <w:r>
        <w:rPr>
          <w:spacing w:val="-18"/>
        </w:rPr>
        <w:t> </w:t>
      </w:r>
      <w:r>
        <w:rPr/>
        <w:t>tarifário</w:t>
      </w:r>
      <w:r>
        <w:rPr>
          <w:spacing w:val="-19"/>
        </w:rPr>
        <w:t> </w:t>
      </w:r>
      <w:r>
        <w:rPr/>
        <w:t>subsequente.</w:t>
      </w:r>
    </w:p>
    <w:p>
      <w:pPr>
        <w:pStyle w:val="BodyText"/>
        <w:spacing w:before="9"/>
      </w:pPr>
    </w:p>
    <w:p>
      <w:pPr>
        <w:pStyle w:val="BodyText"/>
        <w:spacing w:line="242" w:lineRule="auto"/>
        <w:ind w:left="172" w:right="409"/>
        <w:jc w:val="both"/>
      </w:pPr>
      <w:r>
        <w:rPr/>
        <w:t>Em</w:t>
      </w:r>
      <w:r>
        <w:rPr>
          <w:spacing w:val="-28"/>
        </w:rPr>
        <w:t> </w:t>
      </w:r>
      <w:r>
        <w:rPr/>
        <w:t>2019,</w:t>
      </w:r>
      <w:r>
        <w:rPr>
          <w:spacing w:val="-26"/>
        </w:rPr>
        <w:t> </w:t>
      </w:r>
      <w:r>
        <w:rPr/>
        <w:t>a</w:t>
      </w:r>
      <w:r>
        <w:rPr>
          <w:spacing w:val="-26"/>
        </w:rPr>
        <w:t> </w:t>
      </w:r>
      <w:r>
        <w:rPr/>
        <w:t>Companhia</w:t>
      </w:r>
      <w:r>
        <w:rPr>
          <w:spacing w:val="-25"/>
        </w:rPr>
        <w:t> </w:t>
      </w:r>
      <w:r>
        <w:rPr/>
        <w:t>recebeu</w:t>
      </w:r>
      <w:r>
        <w:rPr>
          <w:spacing w:val="-26"/>
        </w:rPr>
        <w:t> </w:t>
      </w:r>
      <w:r>
        <w:rPr/>
        <w:t>R$</w:t>
      </w:r>
      <w:r>
        <w:rPr>
          <w:spacing w:val="-27"/>
        </w:rPr>
        <w:t> </w:t>
      </w:r>
      <w:r>
        <w:rPr/>
        <w:t>82,8</w:t>
      </w:r>
      <w:r>
        <w:rPr>
          <w:spacing w:val="-26"/>
        </w:rPr>
        <w:t> </w:t>
      </w:r>
      <w:r>
        <w:rPr/>
        <w:t>milhões,</w:t>
      </w:r>
      <w:r>
        <w:rPr>
          <w:spacing w:val="-26"/>
        </w:rPr>
        <w:t> </w:t>
      </w:r>
      <w:r>
        <w:rPr/>
        <w:t>através</w:t>
      </w:r>
      <w:r>
        <w:rPr>
          <w:spacing w:val="-27"/>
        </w:rPr>
        <w:t> </w:t>
      </w:r>
      <w:r>
        <w:rPr/>
        <w:t>do</w:t>
      </w:r>
      <w:r>
        <w:rPr>
          <w:spacing w:val="-27"/>
        </w:rPr>
        <w:t> </w:t>
      </w:r>
      <w:r>
        <w:rPr/>
        <w:t>faturamento</w:t>
      </w:r>
      <w:r>
        <w:rPr>
          <w:spacing w:val="-26"/>
        </w:rPr>
        <w:t> </w:t>
      </w:r>
      <w:r>
        <w:rPr/>
        <w:t>das</w:t>
      </w:r>
      <w:r>
        <w:rPr>
          <w:spacing w:val="-26"/>
        </w:rPr>
        <w:t> </w:t>
      </w:r>
      <w:r>
        <w:rPr/>
        <w:t>contas</w:t>
      </w:r>
      <w:r>
        <w:rPr>
          <w:spacing w:val="-27"/>
        </w:rPr>
        <w:t> </w:t>
      </w:r>
      <w:r>
        <w:rPr/>
        <w:t>de</w:t>
      </w:r>
      <w:r>
        <w:rPr>
          <w:spacing w:val="-26"/>
        </w:rPr>
        <w:t> </w:t>
      </w:r>
      <w:r>
        <w:rPr/>
        <w:t>energia,</w:t>
      </w:r>
      <w:r>
        <w:rPr>
          <w:spacing w:val="-26"/>
        </w:rPr>
        <w:t> </w:t>
      </w:r>
      <w:r>
        <w:rPr/>
        <w:t>R$</w:t>
      </w:r>
      <w:r>
        <w:rPr>
          <w:spacing w:val="-27"/>
        </w:rPr>
        <w:t> </w:t>
      </w:r>
      <w:r>
        <w:rPr/>
        <w:t>2,1</w:t>
      </w:r>
      <w:r>
        <w:rPr>
          <w:spacing w:val="-28"/>
        </w:rPr>
        <w:t> </w:t>
      </w:r>
      <w:r>
        <w:rPr/>
        <w:t>milhões</w:t>
      </w:r>
      <w:r>
        <w:rPr>
          <w:spacing w:val="-25"/>
        </w:rPr>
        <w:t> </w:t>
      </w:r>
      <w:r>
        <w:rPr/>
        <w:t>por meio</w:t>
      </w:r>
      <w:r>
        <w:rPr>
          <w:spacing w:val="-32"/>
        </w:rPr>
        <w:t> </w:t>
      </w:r>
      <w:r>
        <w:rPr/>
        <w:t>de</w:t>
      </w:r>
      <w:r>
        <w:rPr>
          <w:spacing w:val="-32"/>
        </w:rPr>
        <w:t> </w:t>
      </w:r>
      <w:r>
        <w:rPr/>
        <w:t>repasse</w:t>
      </w:r>
      <w:r>
        <w:rPr>
          <w:spacing w:val="-33"/>
        </w:rPr>
        <w:t> </w:t>
      </w:r>
      <w:r>
        <w:rPr/>
        <w:t>da</w:t>
      </w:r>
      <w:r>
        <w:rPr>
          <w:spacing w:val="-32"/>
        </w:rPr>
        <w:t> </w:t>
      </w:r>
      <w:r>
        <w:rPr/>
        <w:t>CCRBT</w:t>
      </w:r>
      <w:r>
        <w:rPr>
          <w:spacing w:val="-31"/>
        </w:rPr>
        <w:t> </w:t>
      </w:r>
      <w:r>
        <w:rPr/>
        <w:t>e</w:t>
      </w:r>
      <w:r>
        <w:rPr>
          <w:spacing w:val="-32"/>
        </w:rPr>
        <w:t> </w:t>
      </w:r>
      <w:r>
        <w:rPr/>
        <w:t>repassou</w:t>
      </w:r>
      <w:r>
        <w:rPr>
          <w:spacing w:val="-32"/>
        </w:rPr>
        <w:t> </w:t>
      </w:r>
      <w:r>
        <w:rPr/>
        <w:t>R$</w:t>
      </w:r>
      <w:r>
        <w:rPr>
          <w:spacing w:val="-32"/>
        </w:rPr>
        <w:t> </w:t>
      </w:r>
      <w:r>
        <w:rPr/>
        <w:t>23,1</w:t>
      </w:r>
      <w:r>
        <w:rPr>
          <w:spacing w:val="-32"/>
        </w:rPr>
        <w:t> </w:t>
      </w:r>
      <w:r>
        <w:rPr/>
        <w:t>milhões</w:t>
      </w:r>
      <w:r>
        <w:rPr>
          <w:spacing w:val="-32"/>
        </w:rPr>
        <w:t> </w:t>
      </w:r>
      <w:r>
        <w:rPr/>
        <w:t>para</w:t>
      </w:r>
      <w:r>
        <w:rPr>
          <w:spacing w:val="-32"/>
        </w:rPr>
        <w:t> </w:t>
      </w:r>
      <w:r>
        <w:rPr/>
        <w:t>a</w:t>
      </w:r>
      <w:r>
        <w:rPr>
          <w:spacing w:val="-32"/>
        </w:rPr>
        <w:t> </w:t>
      </w:r>
      <w:r>
        <w:rPr/>
        <w:t>CCRBT,</w:t>
      </w:r>
      <w:r>
        <w:rPr>
          <w:spacing w:val="-32"/>
        </w:rPr>
        <w:t> </w:t>
      </w:r>
      <w:r>
        <w:rPr/>
        <w:t>perfazendo</w:t>
      </w:r>
      <w:r>
        <w:rPr>
          <w:spacing w:val="-33"/>
        </w:rPr>
        <w:t> </w:t>
      </w:r>
      <w:r>
        <w:rPr/>
        <w:t>um</w:t>
      </w:r>
      <w:r>
        <w:rPr>
          <w:spacing w:val="-33"/>
        </w:rPr>
        <w:t> </w:t>
      </w:r>
      <w:r>
        <w:rPr/>
        <w:t>total</w:t>
      </w:r>
      <w:r>
        <w:rPr>
          <w:spacing w:val="-32"/>
        </w:rPr>
        <w:t> </w:t>
      </w:r>
      <w:r>
        <w:rPr/>
        <w:t>retido</w:t>
      </w:r>
      <w:r>
        <w:rPr>
          <w:spacing w:val="-32"/>
        </w:rPr>
        <w:t> </w:t>
      </w:r>
      <w:r>
        <w:rPr/>
        <w:t>pela</w:t>
      </w:r>
      <w:r>
        <w:rPr>
          <w:spacing w:val="-32"/>
        </w:rPr>
        <w:t> </w:t>
      </w:r>
      <w:r>
        <w:rPr/>
        <w:t>empresa</w:t>
      </w:r>
      <w:r>
        <w:rPr>
          <w:spacing w:val="-32"/>
        </w:rPr>
        <w:t> </w:t>
      </w:r>
      <w:r>
        <w:rPr/>
        <w:t>de</w:t>
      </w:r>
      <w:r>
        <w:rPr>
          <w:spacing w:val="-32"/>
        </w:rPr>
        <w:t> </w:t>
      </w:r>
      <w:r>
        <w:rPr/>
        <w:t>R$ 61,8</w:t>
      </w:r>
      <w:r>
        <w:rPr>
          <w:spacing w:val="-30"/>
        </w:rPr>
        <w:t> </w:t>
      </w:r>
      <w:r>
        <w:rPr/>
        <w:t>milhões</w:t>
      </w:r>
      <w:r>
        <w:rPr>
          <w:spacing w:val="-30"/>
        </w:rPr>
        <w:t> </w:t>
      </w:r>
      <w:r>
        <w:rPr/>
        <w:t>para</w:t>
      </w:r>
      <w:r>
        <w:rPr>
          <w:spacing w:val="-30"/>
        </w:rPr>
        <w:t> </w:t>
      </w:r>
      <w:r>
        <w:rPr/>
        <w:t>fazer</w:t>
      </w:r>
      <w:r>
        <w:rPr>
          <w:spacing w:val="-31"/>
        </w:rPr>
        <w:t> </w:t>
      </w:r>
      <w:r>
        <w:rPr/>
        <w:t>frente</w:t>
      </w:r>
      <w:r>
        <w:rPr>
          <w:spacing w:val="-31"/>
        </w:rPr>
        <w:t> </w:t>
      </w:r>
      <w:r>
        <w:rPr/>
        <w:t>aos</w:t>
      </w:r>
      <w:r>
        <w:rPr>
          <w:spacing w:val="-30"/>
        </w:rPr>
        <w:t> </w:t>
      </w:r>
      <w:r>
        <w:rPr/>
        <w:t>custos</w:t>
      </w:r>
      <w:r>
        <w:rPr>
          <w:spacing w:val="-29"/>
        </w:rPr>
        <w:t> </w:t>
      </w:r>
      <w:r>
        <w:rPr/>
        <w:t>extras</w:t>
      </w:r>
      <w:r>
        <w:rPr>
          <w:spacing w:val="-30"/>
        </w:rPr>
        <w:t> </w:t>
      </w:r>
      <w:r>
        <w:rPr/>
        <w:t>de</w:t>
      </w:r>
      <w:r>
        <w:rPr>
          <w:spacing w:val="-29"/>
        </w:rPr>
        <w:t> </w:t>
      </w:r>
      <w:r>
        <w:rPr/>
        <w:t>energia</w:t>
      </w:r>
      <w:r>
        <w:rPr>
          <w:spacing w:val="-30"/>
        </w:rPr>
        <w:t> </w:t>
      </w:r>
      <w:r>
        <w:rPr/>
        <w:t>que</w:t>
      </w:r>
      <w:r>
        <w:rPr>
          <w:spacing w:val="-32"/>
        </w:rPr>
        <w:t> </w:t>
      </w:r>
      <w:r>
        <w:rPr/>
        <w:t>foi</w:t>
      </w:r>
      <w:r>
        <w:rPr>
          <w:spacing w:val="-30"/>
        </w:rPr>
        <w:t> </w:t>
      </w:r>
      <w:r>
        <w:rPr/>
        <w:t>alocada</w:t>
      </w:r>
      <w:r>
        <w:rPr>
          <w:spacing w:val="-30"/>
        </w:rPr>
        <w:t> </w:t>
      </w:r>
      <w:r>
        <w:rPr/>
        <w:t>na</w:t>
      </w:r>
      <w:r>
        <w:rPr>
          <w:spacing w:val="-30"/>
        </w:rPr>
        <w:t> </w:t>
      </w:r>
      <w:r>
        <w:rPr/>
        <w:t>Conta</w:t>
      </w:r>
      <w:r>
        <w:rPr>
          <w:spacing w:val="-28"/>
        </w:rPr>
        <w:t> </w:t>
      </w:r>
      <w:r>
        <w:rPr/>
        <w:t>de</w:t>
      </w:r>
      <w:r>
        <w:rPr>
          <w:spacing w:val="-30"/>
        </w:rPr>
        <w:t> </w:t>
      </w:r>
      <w:r>
        <w:rPr/>
        <w:t>Compensação</w:t>
      </w:r>
      <w:r>
        <w:rPr>
          <w:spacing w:val="-31"/>
        </w:rPr>
        <w:t> </w:t>
      </w:r>
      <w:r>
        <w:rPr/>
        <w:t>de</w:t>
      </w:r>
      <w:r>
        <w:rPr>
          <w:spacing w:val="-30"/>
        </w:rPr>
        <w:t> </w:t>
      </w:r>
      <w:r>
        <w:rPr/>
        <w:t>Valores</w:t>
      </w:r>
      <w:r>
        <w:rPr>
          <w:spacing w:val="-30"/>
        </w:rPr>
        <w:t> </w:t>
      </w:r>
      <w:r>
        <w:rPr/>
        <w:t>da “Parcela</w:t>
      </w:r>
      <w:r>
        <w:rPr>
          <w:spacing w:val="-19"/>
        </w:rPr>
        <w:t> </w:t>
      </w:r>
      <w:r>
        <w:rPr/>
        <w:t>A”</w:t>
      </w:r>
      <w:r>
        <w:rPr>
          <w:spacing w:val="-19"/>
        </w:rPr>
        <w:t> </w:t>
      </w:r>
      <w:r>
        <w:rPr>
          <w:w w:val="105"/>
        </w:rPr>
        <w:t>–</w:t>
      </w:r>
      <w:r>
        <w:rPr>
          <w:spacing w:val="-21"/>
          <w:w w:val="105"/>
        </w:rPr>
        <w:t> </w:t>
      </w:r>
      <w:r>
        <w:rPr/>
        <w:t>CVA,</w:t>
      </w:r>
      <w:r>
        <w:rPr>
          <w:spacing w:val="-19"/>
        </w:rPr>
        <w:t> </w:t>
      </w:r>
      <w:r>
        <w:rPr/>
        <w:t>para</w:t>
      </w:r>
      <w:r>
        <w:rPr>
          <w:spacing w:val="-16"/>
        </w:rPr>
        <w:t> </w:t>
      </w:r>
      <w:r>
        <w:rPr/>
        <w:t>reversão</w:t>
      </w:r>
      <w:r>
        <w:rPr>
          <w:spacing w:val="-20"/>
        </w:rPr>
        <w:t> </w:t>
      </w:r>
      <w:r>
        <w:rPr/>
        <w:t>no</w:t>
      </w:r>
      <w:r>
        <w:rPr>
          <w:spacing w:val="-17"/>
        </w:rPr>
        <w:t> </w:t>
      </w:r>
      <w:r>
        <w:rPr/>
        <w:t>próximo</w:t>
      </w:r>
      <w:r>
        <w:rPr>
          <w:spacing w:val="-20"/>
        </w:rPr>
        <w:t> </w:t>
      </w:r>
      <w:r>
        <w:rPr/>
        <w:t>processo</w:t>
      </w:r>
      <w:r>
        <w:rPr>
          <w:spacing w:val="-20"/>
        </w:rPr>
        <w:t> </w:t>
      </w:r>
      <w:r>
        <w:rPr/>
        <w:t>tarifário.</w:t>
      </w:r>
    </w:p>
    <w:p>
      <w:pPr>
        <w:pStyle w:val="BodyText"/>
        <w:spacing w:before="4"/>
      </w:pPr>
    </w:p>
    <w:tbl>
      <w:tblPr>
        <w:tblW w:w="0" w:type="auto"/>
        <w:jc w:val="left"/>
        <w:tblInd w:w="18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1978"/>
        <w:gridCol w:w="2290"/>
        <w:gridCol w:w="1978"/>
        <w:gridCol w:w="1765"/>
        <w:gridCol w:w="1906"/>
      </w:tblGrid>
      <w:tr>
        <w:trPr>
          <w:trHeight w:val="563" w:hRule="atLeast"/>
        </w:trPr>
        <w:tc>
          <w:tcPr>
            <w:tcW w:w="1978" w:type="dxa"/>
            <w:shd w:val="clear" w:color="auto" w:fill="D9D9D9"/>
          </w:tcPr>
          <w:p>
            <w:pPr>
              <w:pStyle w:val="TableParagraph"/>
              <w:rPr>
                <w:sz w:val="16"/>
              </w:rPr>
            </w:pPr>
          </w:p>
          <w:p>
            <w:pPr>
              <w:pStyle w:val="TableParagraph"/>
              <w:ind w:left="230"/>
              <w:rPr>
                <w:rFonts w:ascii="Caladea"/>
                <w:b/>
                <w:sz w:val="16"/>
              </w:rPr>
            </w:pPr>
            <w:r>
              <w:rPr>
                <w:rFonts w:ascii="Caladea"/>
                <w:b/>
                <w:sz w:val="16"/>
              </w:rPr>
              <w:t>Receita Faturada (A)</w:t>
            </w:r>
          </w:p>
        </w:tc>
        <w:tc>
          <w:tcPr>
            <w:tcW w:w="2290" w:type="dxa"/>
            <w:shd w:val="clear" w:color="auto" w:fill="D9D9D9"/>
          </w:tcPr>
          <w:p>
            <w:pPr>
              <w:pStyle w:val="TableParagraph"/>
              <w:spacing w:before="92"/>
              <w:ind w:left="1027" w:right="439" w:hanging="558"/>
              <w:rPr>
                <w:rFonts w:ascii="Caladea"/>
                <w:b/>
                <w:sz w:val="16"/>
              </w:rPr>
            </w:pPr>
            <w:r>
              <w:rPr>
                <w:rFonts w:ascii="Caladea"/>
                <w:b/>
                <w:sz w:val="16"/>
              </w:rPr>
              <w:t>Repasse da CCRBT (B)</w:t>
            </w:r>
          </w:p>
        </w:tc>
        <w:tc>
          <w:tcPr>
            <w:tcW w:w="1978" w:type="dxa"/>
            <w:shd w:val="clear" w:color="auto" w:fill="D9D9D9"/>
          </w:tcPr>
          <w:p>
            <w:pPr>
              <w:pStyle w:val="TableParagraph"/>
              <w:rPr>
                <w:sz w:val="16"/>
              </w:rPr>
            </w:pPr>
          </w:p>
          <w:p>
            <w:pPr>
              <w:pStyle w:val="TableParagraph"/>
              <w:ind w:left="230"/>
              <w:rPr>
                <w:rFonts w:ascii="Caladea" w:hAnsi="Caladea"/>
                <w:b/>
                <w:sz w:val="16"/>
              </w:rPr>
            </w:pPr>
            <w:r>
              <w:rPr>
                <w:rFonts w:ascii="Caladea" w:hAnsi="Caladea"/>
                <w:b/>
                <w:sz w:val="16"/>
              </w:rPr>
              <w:t>Repasse à CCRBT (C)</w:t>
            </w:r>
          </w:p>
        </w:tc>
        <w:tc>
          <w:tcPr>
            <w:tcW w:w="1765" w:type="dxa"/>
            <w:shd w:val="clear" w:color="auto" w:fill="D9D9D9"/>
          </w:tcPr>
          <w:p>
            <w:pPr>
              <w:pStyle w:val="TableParagraph"/>
              <w:spacing w:line="188" w:lineRule="exact"/>
              <w:ind w:left="379" w:right="225" w:hanging="128"/>
              <w:rPr>
                <w:rFonts w:ascii="Caladea"/>
                <w:b/>
                <w:sz w:val="16"/>
              </w:rPr>
            </w:pPr>
            <w:r>
              <w:rPr>
                <w:rFonts w:ascii="Caladea"/>
                <w:b/>
                <w:sz w:val="16"/>
              </w:rPr>
              <w:t>Total Retido pela Distribuidora (D = A+B+C)</w:t>
            </w:r>
          </w:p>
        </w:tc>
        <w:tc>
          <w:tcPr>
            <w:tcW w:w="1906" w:type="dxa"/>
            <w:shd w:val="clear" w:color="auto" w:fill="D9D9D9"/>
          </w:tcPr>
          <w:p>
            <w:pPr>
              <w:pStyle w:val="TableParagraph"/>
              <w:spacing w:before="92"/>
              <w:ind w:left="801" w:right="160" w:hanging="634"/>
              <w:rPr>
                <w:rFonts w:ascii="Caladea"/>
                <w:b/>
                <w:sz w:val="16"/>
              </w:rPr>
            </w:pPr>
            <w:r>
              <w:rPr>
                <w:rFonts w:ascii="Caladea"/>
                <w:b/>
                <w:sz w:val="16"/>
              </w:rPr>
              <w:t>Total Alocado na CVA (-D)</w:t>
            </w:r>
          </w:p>
        </w:tc>
      </w:tr>
      <w:tr>
        <w:trPr>
          <w:trHeight w:val="186" w:hRule="atLeast"/>
        </w:trPr>
        <w:tc>
          <w:tcPr>
            <w:tcW w:w="1978" w:type="dxa"/>
          </w:tcPr>
          <w:p>
            <w:pPr>
              <w:pStyle w:val="TableParagraph"/>
              <w:spacing w:line="166" w:lineRule="exact"/>
              <w:ind w:right="53"/>
              <w:jc w:val="right"/>
              <w:rPr>
                <w:sz w:val="16"/>
              </w:rPr>
            </w:pPr>
            <w:r>
              <w:rPr>
                <w:w w:val="95"/>
                <w:sz w:val="16"/>
              </w:rPr>
              <w:t>82.873</w:t>
            </w:r>
          </w:p>
        </w:tc>
        <w:tc>
          <w:tcPr>
            <w:tcW w:w="2290" w:type="dxa"/>
          </w:tcPr>
          <w:p>
            <w:pPr>
              <w:pStyle w:val="TableParagraph"/>
              <w:spacing w:line="166" w:lineRule="exact"/>
              <w:ind w:right="57"/>
              <w:jc w:val="right"/>
              <w:rPr>
                <w:sz w:val="16"/>
              </w:rPr>
            </w:pPr>
            <w:r>
              <w:rPr>
                <w:w w:val="95"/>
                <w:sz w:val="16"/>
              </w:rPr>
              <w:t>2.108</w:t>
            </w:r>
          </w:p>
        </w:tc>
        <w:tc>
          <w:tcPr>
            <w:tcW w:w="1978" w:type="dxa"/>
          </w:tcPr>
          <w:p>
            <w:pPr>
              <w:pStyle w:val="TableParagraph"/>
              <w:spacing w:line="166" w:lineRule="exact"/>
              <w:ind w:left="1310"/>
              <w:rPr>
                <w:sz w:val="16"/>
              </w:rPr>
            </w:pPr>
            <w:r>
              <w:rPr>
                <w:sz w:val="16"/>
              </w:rPr>
              <w:t>(23.158)</w:t>
            </w:r>
          </w:p>
        </w:tc>
        <w:tc>
          <w:tcPr>
            <w:tcW w:w="1765" w:type="dxa"/>
          </w:tcPr>
          <w:p>
            <w:pPr>
              <w:pStyle w:val="TableParagraph"/>
              <w:spacing w:line="166" w:lineRule="exact"/>
              <w:ind w:right="58"/>
              <w:jc w:val="right"/>
              <w:rPr>
                <w:sz w:val="16"/>
              </w:rPr>
            </w:pPr>
            <w:r>
              <w:rPr>
                <w:sz w:val="16"/>
              </w:rPr>
              <w:t>61.823</w:t>
            </w:r>
          </w:p>
        </w:tc>
        <w:tc>
          <w:tcPr>
            <w:tcW w:w="1906" w:type="dxa"/>
          </w:tcPr>
          <w:p>
            <w:pPr>
              <w:pStyle w:val="TableParagraph"/>
              <w:spacing w:line="166" w:lineRule="exact"/>
              <w:ind w:left="1237"/>
              <w:rPr>
                <w:sz w:val="16"/>
              </w:rPr>
            </w:pPr>
            <w:r>
              <w:rPr>
                <w:sz w:val="16"/>
              </w:rPr>
              <w:t>(61.823)</w:t>
            </w:r>
          </w:p>
        </w:tc>
      </w:tr>
    </w:tbl>
    <w:p>
      <w:pPr>
        <w:pStyle w:val="BodyText"/>
        <w:spacing w:before="7"/>
      </w:pPr>
    </w:p>
    <w:p>
      <w:pPr>
        <w:pStyle w:val="Heading5"/>
        <w:numPr>
          <w:ilvl w:val="0"/>
          <w:numId w:val="36"/>
        </w:numPr>
        <w:tabs>
          <w:tab w:pos="894" w:val="left" w:leader="none"/>
        </w:tabs>
        <w:spacing w:line="240" w:lineRule="auto" w:before="0" w:after="0"/>
        <w:ind w:left="893" w:right="0" w:hanging="361"/>
        <w:jc w:val="left"/>
      </w:pPr>
      <w:r>
        <w:rPr/>
        <w:t>Sobrecontratação</w:t>
      </w:r>
    </w:p>
    <w:p>
      <w:pPr>
        <w:pStyle w:val="BodyText"/>
        <w:spacing w:before="9"/>
        <w:rPr>
          <w:rFonts w:ascii="Caladea"/>
          <w:b/>
        </w:rPr>
      </w:pPr>
    </w:p>
    <w:p>
      <w:pPr>
        <w:pStyle w:val="BodyText"/>
        <w:spacing w:line="242" w:lineRule="auto"/>
        <w:ind w:left="172" w:right="406"/>
        <w:jc w:val="both"/>
      </w:pPr>
      <w:r>
        <w:rPr/>
        <w:t>O</w:t>
      </w:r>
      <w:r>
        <w:rPr>
          <w:spacing w:val="-33"/>
        </w:rPr>
        <w:t> </w:t>
      </w:r>
      <w:r>
        <w:rPr/>
        <w:t>Decreto</w:t>
      </w:r>
      <w:r>
        <w:rPr>
          <w:spacing w:val="-33"/>
        </w:rPr>
        <w:t> </w:t>
      </w:r>
      <w:r>
        <w:rPr/>
        <w:t>5.163/2004</w:t>
      </w:r>
      <w:r>
        <w:rPr>
          <w:spacing w:val="-31"/>
        </w:rPr>
        <w:t> </w:t>
      </w:r>
      <w:r>
        <w:rPr/>
        <w:t>e</w:t>
      </w:r>
      <w:r>
        <w:rPr>
          <w:spacing w:val="-32"/>
        </w:rPr>
        <w:t> </w:t>
      </w:r>
      <w:r>
        <w:rPr/>
        <w:t>a</w:t>
      </w:r>
      <w:r>
        <w:rPr>
          <w:spacing w:val="-32"/>
        </w:rPr>
        <w:t> </w:t>
      </w:r>
      <w:r>
        <w:rPr/>
        <w:t>regulamentação</w:t>
      </w:r>
      <w:r>
        <w:rPr>
          <w:spacing w:val="-33"/>
        </w:rPr>
        <w:t> </w:t>
      </w:r>
      <w:r>
        <w:rPr/>
        <w:t>vigente</w:t>
      </w:r>
      <w:r>
        <w:rPr>
          <w:spacing w:val="-32"/>
        </w:rPr>
        <w:t> </w:t>
      </w:r>
      <w:r>
        <w:rPr/>
        <w:t>do</w:t>
      </w:r>
      <w:r>
        <w:rPr>
          <w:spacing w:val="-32"/>
        </w:rPr>
        <w:t> </w:t>
      </w:r>
      <w:r>
        <w:rPr/>
        <w:t>setor</w:t>
      </w:r>
      <w:r>
        <w:rPr>
          <w:spacing w:val="-31"/>
        </w:rPr>
        <w:t> </w:t>
      </w:r>
      <w:r>
        <w:rPr/>
        <w:t>estabelecem</w:t>
      </w:r>
      <w:r>
        <w:rPr>
          <w:spacing w:val="-32"/>
        </w:rPr>
        <w:t> </w:t>
      </w:r>
      <w:r>
        <w:rPr/>
        <w:t>que</w:t>
      </w:r>
      <w:r>
        <w:rPr>
          <w:spacing w:val="-32"/>
        </w:rPr>
        <w:t> </w:t>
      </w:r>
      <w:r>
        <w:rPr/>
        <w:t>as</w:t>
      </w:r>
      <w:r>
        <w:rPr>
          <w:spacing w:val="-32"/>
        </w:rPr>
        <w:t> </w:t>
      </w:r>
      <w:r>
        <w:rPr/>
        <w:t>empresas</w:t>
      </w:r>
      <w:r>
        <w:rPr>
          <w:spacing w:val="-33"/>
        </w:rPr>
        <w:t> </w:t>
      </w:r>
      <w:r>
        <w:rPr/>
        <w:t>podem</w:t>
      </w:r>
      <w:r>
        <w:rPr>
          <w:spacing w:val="-31"/>
        </w:rPr>
        <w:t> </w:t>
      </w:r>
      <w:r>
        <w:rPr/>
        <w:t>repassar</w:t>
      </w:r>
      <w:r>
        <w:rPr>
          <w:spacing w:val="-33"/>
        </w:rPr>
        <w:t> </w:t>
      </w:r>
      <w:r>
        <w:rPr/>
        <w:t>os</w:t>
      </w:r>
      <w:r>
        <w:rPr>
          <w:spacing w:val="-33"/>
        </w:rPr>
        <w:t> </w:t>
      </w:r>
      <w:r>
        <w:rPr/>
        <w:t>custos de</w:t>
      </w:r>
      <w:r>
        <w:rPr>
          <w:spacing w:val="-43"/>
        </w:rPr>
        <w:t> </w:t>
      </w:r>
      <w:r>
        <w:rPr/>
        <w:t>repasse</w:t>
      </w:r>
      <w:r>
        <w:rPr>
          <w:spacing w:val="-43"/>
        </w:rPr>
        <w:t> </w:t>
      </w:r>
      <w:r>
        <w:rPr/>
        <w:t>de</w:t>
      </w:r>
      <w:r>
        <w:rPr>
          <w:spacing w:val="-43"/>
        </w:rPr>
        <w:t> </w:t>
      </w:r>
      <w:r>
        <w:rPr/>
        <w:t>aquisição</w:t>
      </w:r>
      <w:r>
        <w:rPr>
          <w:spacing w:val="-43"/>
        </w:rPr>
        <w:t> </w:t>
      </w:r>
      <w:r>
        <w:rPr/>
        <w:t>do</w:t>
      </w:r>
      <w:r>
        <w:rPr>
          <w:spacing w:val="-42"/>
        </w:rPr>
        <w:t> </w:t>
      </w:r>
      <w:r>
        <w:rPr/>
        <w:t>montante</w:t>
      </w:r>
      <w:r>
        <w:rPr>
          <w:spacing w:val="-41"/>
        </w:rPr>
        <w:t> </w:t>
      </w:r>
      <w:r>
        <w:rPr/>
        <w:t>de</w:t>
      </w:r>
      <w:r>
        <w:rPr>
          <w:spacing w:val="-43"/>
        </w:rPr>
        <w:t> </w:t>
      </w:r>
      <w:r>
        <w:rPr/>
        <w:t>sobrecontratação</w:t>
      </w:r>
      <w:r>
        <w:rPr>
          <w:spacing w:val="-42"/>
        </w:rPr>
        <w:t> </w:t>
      </w:r>
      <w:r>
        <w:rPr/>
        <w:t>limitado</w:t>
      </w:r>
      <w:r>
        <w:rPr>
          <w:spacing w:val="-43"/>
        </w:rPr>
        <w:t> </w:t>
      </w:r>
      <w:r>
        <w:rPr/>
        <w:t>a</w:t>
      </w:r>
      <w:r>
        <w:rPr>
          <w:spacing w:val="-42"/>
        </w:rPr>
        <w:t> </w:t>
      </w:r>
      <w:r>
        <w:rPr/>
        <w:t>105%</w:t>
      </w:r>
      <w:r>
        <w:rPr>
          <w:spacing w:val="-42"/>
        </w:rPr>
        <w:t> </w:t>
      </w:r>
      <w:r>
        <w:rPr/>
        <w:t>para</w:t>
      </w:r>
      <w:r>
        <w:rPr>
          <w:spacing w:val="-42"/>
        </w:rPr>
        <w:t> </w:t>
      </w:r>
      <w:r>
        <w:rPr/>
        <w:t>as</w:t>
      </w:r>
      <w:r>
        <w:rPr>
          <w:spacing w:val="-43"/>
        </w:rPr>
        <w:t> </w:t>
      </w:r>
      <w:r>
        <w:rPr/>
        <w:t>tarifas.</w:t>
      </w:r>
      <w:r>
        <w:rPr>
          <w:spacing w:val="-42"/>
        </w:rPr>
        <w:t> </w:t>
      </w:r>
      <w:r>
        <w:rPr/>
        <w:t>A</w:t>
      </w:r>
      <w:r>
        <w:rPr>
          <w:spacing w:val="-43"/>
        </w:rPr>
        <w:t> </w:t>
      </w:r>
      <w:r>
        <w:rPr/>
        <w:t>variação</w:t>
      </w:r>
      <w:r>
        <w:rPr>
          <w:spacing w:val="-42"/>
        </w:rPr>
        <w:t> </w:t>
      </w:r>
      <w:r>
        <w:rPr/>
        <w:t>financeira</w:t>
      </w:r>
      <w:r>
        <w:rPr>
          <w:spacing w:val="-41"/>
        </w:rPr>
        <w:t> </w:t>
      </w:r>
      <w:r>
        <w:rPr/>
        <w:t>desse item</w:t>
      </w:r>
      <w:r>
        <w:rPr>
          <w:spacing w:val="-36"/>
        </w:rPr>
        <w:t> </w:t>
      </w:r>
      <w:r>
        <w:rPr/>
        <w:t>é</w:t>
      </w:r>
      <w:r>
        <w:rPr>
          <w:spacing w:val="-36"/>
        </w:rPr>
        <w:t> </w:t>
      </w:r>
      <w:r>
        <w:rPr/>
        <w:t>originada</w:t>
      </w:r>
      <w:r>
        <w:rPr>
          <w:spacing w:val="-37"/>
        </w:rPr>
        <w:t> </w:t>
      </w:r>
      <w:r>
        <w:rPr/>
        <w:t>das</w:t>
      </w:r>
      <w:r>
        <w:rPr>
          <w:spacing w:val="-36"/>
        </w:rPr>
        <w:t> </w:t>
      </w:r>
      <w:r>
        <w:rPr/>
        <w:t>sobras</w:t>
      </w:r>
      <w:r>
        <w:rPr>
          <w:spacing w:val="-36"/>
        </w:rPr>
        <w:t> </w:t>
      </w:r>
      <w:r>
        <w:rPr/>
        <w:t>de</w:t>
      </w:r>
      <w:r>
        <w:rPr>
          <w:spacing w:val="-36"/>
        </w:rPr>
        <w:t> </w:t>
      </w:r>
      <w:r>
        <w:rPr/>
        <w:t>energia</w:t>
      </w:r>
      <w:r>
        <w:rPr>
          <w:spacing w:val="-35"/>
        </w:rPr>
        <w:t> </w:t>
      </w:r>
      <w:r>
        <w:rPr/>
        <w:t>elétrica</w:t>
      </w:r>
      <w:r>
        <w:rPr>
          <w:spacing w:val="-37"/>
        </w:rPr>
        <w:t> </w:t>
      </w:r>
      <w:r>
        <w:rPr/>
        <w:t>valorada</w:t>
      </w:r>
      <w:r>
        <w:rPr>
          <w:spacing w:val="-35"/>
        </w:rPr>
        <w:t> </w:t>
      </w:r>
      <w:r>
        <w:rPr/>
        <w:t>pela</w:t>
      </w:r>
      <w:r>
        <w:rPr>
          <w:spacing w:val="-36"/>
        </w:rPr>
        <w:t> </w:t>
      </w:r>
      <w:r>
        <w:rPr/>
        <w:t>diferença</w:t>
      </w:r>
      <w:r>
        <w:rPr>
          <w:spacing w:val="-37"/>
        </w:rPr>
        <w:t> </w:t>
      </w:r>
      <w:r>
        <w:rPr/>
        <w:t>entre</w:t>
      </w:r>
      <w:r>
        <w:rPr>
          <w:spacing w:val="-35"/>
        </w:rPr>
        <w:t> </w:t>
      </w:r>
      <w:r>
        <w:rPr/>
        <w:t>o</w:t>
      </w:r>
      <w:r>
        <w:rPr>
          <w:spacing w:val="-37"/>
        </w:rPr>
        <w:t> </w:t>
      </w:r>
      <w:r>
        <w:rPr/>
        <w:t>Preço</w:t>
      </w:r>
      <w:r>
        <w:rPr>
          <w:spacing w:val="-36"/>
        </w:rPr>
        <w:t> </w:t>
      </w:r>
      <w:r>
        <w:rPr/>
        <w:t>Médio</w:t>
      </w:r>
      <w:r>
        <w:rPr>
          <w:spacing w:val="-36"/>
        </w:rPr>
        <w:t> </w:t>
      </w:r>
      <w:r>
        <w:rPr/>
        <w:t>de</w:t>
      </w:r>
      <w:r>
        <w:rPr>
          <w:spacing w:val="-37"/>
        </w:rPr>
        <w:t> </w:t>
      </w:r>
      <w:r>
        <w:rPr/>
        <w:t>aquisição</w:t>
      </w:r>
      <w:r>
        <w:rPr>
          <w:spacing w:val="-36"/>
        </w:rPr>
        <w:t> </w:t>
      </w:r>
      <w:r>
        <w:rPr/>
        <w:t>de</w:t>
      </w:r>
      <w:r>
        <w:rPr>
          <w:spacing w:val="-36"/>
        </w:rPr>
        <w:t> </w:t>
      </w:r>
      <w:r>
        <w:rPr/>
        <w:t>energia</w:t>
      </w:r>
      <w:r>
        <w:rPr>
          <w:spacing w:val="-30"/>
        </w:rPr>
        <w:t> </w:t>
      </w:r>
      <w:r>
        <w:rPr/>
        <w:t>- PMIX</w:t>
      </w:r>
      <w:r>
        <w:rPr>
          <w:spacing w:val="-17"/>
        </w:rPr>
        <w:t> </w:t>
      </w:r>
      <w:r>
        <w:rPr/>
        <w:t>e</w:t>
      </w:r>
      <w:r>
        <w:rPr>
          <w:spacing w:val="-16"/>
        </w:rPr>
        <w:t> </w:t>
      </w:r>
      <w:r>
        <w:rPr/>
        <w:t>o</w:t>
      </w:r>
      <w:r>
        <w:rPr>
          <w:spacing w:val="-17"/>
        </w:rPr>
        <w:t> </w:t>
      </w:r>
      <w:r>
        <w:rPr/>
        <w:t>Preço</w:t>
      </w:r>
      <w:r>
        <w:rPr>
          <w:spacing w:val="-15"/>
        </w:rPr>
        <w:t> </w:t>
      </w:r>
      <w:r>
        <w:rPr/>
        <w:t>de</w:t>
      </w:r>
      <w:r>
        <w:rPr>
          <w:spacing w:val="-18"/>
        </w:rPr>
        <w:t> </w:t>
      </w:r>
      <w:r>
        <w:rPr/>
        <w:t>Liquidação</w:t>
      </w:r>
      <w:r>
        <w:rPr>
          <w:spacing w:val="-17"/>
        </w:rPr>
        <w:t> </w:t>
      </w:r>
      <w:r>
        <w:rPr/>
        <w:t>das</w:t>
      </w:r>
      <w:r>
        <w:rPr>
          <w:spacing w:val="-16"/>
        </w:rPr>
        <w:t> </w:t>
      </w:r>
      <w:r>
        <w:rPr/>
        <w:t>Diferenças</w:t>
      </w:r>
      <w:r>
        <w:rPr>
          <w:spacing w:val="-12"/>
        </w:rPr>
        <w:t> </w:t>
      </w:r>
      <w:r>
        <w:rPr>
          <w:w w:val="105"/>
        </w:rPr>
        <w:t>–</w:t>
      </w:r>
      <w:r>
        <w:rPr>
          <w:spacing w:val="-19"/>
          <w:w w:val="105"/>
        </w:rPr>
        <w:t> </w:t>
      </w:r>
      <w:r>
        <w:rPr/>
        <w:t>PLD.</w:t>
      </w:r>
      <w:r>
        <w:rPr>
          <w:spacing w:val="-15"/>
        </w:rPr>
        <w:t> </w:t>
      </w:r>
      <w:r>
        <w:rPr/>
        <w:t>Com</w:t>
      </w:r>
      <w:r>
        <w:rPr>
          <w:spacing w:val="-17"/>
        </w:rPr>
        <w:t> </w:t>
      </w:r>
      <w:r>
        <w:rPr/>
        <w:t>isso,</w:t>
      </w:r>
      <w:r>
        <w:rPr>
          <w:spacing w:val="-17"/>
        </w:rPr>
        <w:t> </w:t>
      </w:r>
      <w:r>
        <w:rPr/>
        <w:t>se</w:t>
      </w:r>
      <w:r>
        <w:rPr>
          <w:spacing w:val="-18"/>
        </w:rPr>
        <w:t> </w:t>
      </w:r>
      <w:r>
        <w:rPr/>
        <w:t>o</w:t>
      </w:r>
      <w:r>
        <w:rPr>
          <w:spacing w:val="-15"/>
        </w:rPr>
        <w:t> </w:t>
      </w:r>
      <w:r>
        <w:rPr/>
        <w:t>PLD</w:t>
      </w:r>
      <w:r>
        <w:rPr>
          <w:spacing w:val="-15"/>
        </w:rPr>
        <w:t> </w:t>
      </w:r>
      <w:r>
        <w:rPr/>
        <w:t>for</w:t>
      </w:r>
      <w:r>
        <w:rPr>
          <w:spacing w:val="-16"/>
        </w:rPr>
        <w:t> </w:t>
      </w:r>
      <w:r>
        <w:rPr/>
        <w:t>maior</w:t>
      </w:r>
      <w:r>
        <w:rPr>
          <w:spacing w:val="-15"/>
        </w:rPr>
        <w:t> </w:t>
      </w:r>
      <w:r>
        <w:rPr/>
        <w:t>que</w:t>
      </w:r>
      <w:r>
        <w:rPr>
          <w:spacing w:val="-18"/>
        </w:rPr>
        <w:t> </w:t>
      </w:r>
      <w:r>
        <w:rPr/>
        <w:t>o</w:t>
      </w:r>
      <w:r>
        <w:rPr>
          <w:spacing w:val="-15"/>
        </w:rPr>
        <w:t> </w:t>
      </w:r>
      <w:r>
        <w:rPr/>
        <w:t>PMIX,</w:t>
      </w:r>
      <w:r>
        <w:rPr>
          <w:spacing w:val="-17"/>
        </w:rPr>
        <w:t> </w:t>
      </w:r>
      <w:r>
        <w:rPr/>
        <w:t>o</w:t>
      </w:r>
      <w:r>
        <w:rPr>
          <w:spacing w:val="-16"/>
        </w:rPr>
        <w:t> </w:t>
      </w:r>
      <w:r>
        <w:rPr/>
        <w:t>impacto</w:t>
      </w:r>
      <w:r>
        <w:rPr>
          <w:spacing w:val="-17"/>
        </w:rPr>
        <w:t> </w:t>
      </w:r>
      <w:r>
        <w:rPr/>
        <w:t>financeiro será</w:t>
      </w:r>
      <w:r>
        <w:rPr>
          <w:spacing w:val="-33"/>
        </w:rPr>
        <w:t> </w:t>
      </w:r>
      <w:r>
        <w:rPr/>
        <w:t>positivo</w:t>
      </w:r>
      <w:r>
        <w:rPr>
          <w:spacing w:val="-31"/>
        </w:rPr>
        <w:t> </w:t>
      </w:r>
      <w:r>
        <w:rPr/>
        <w:t>na</w:t>
      </w:r>
      <w:r>
        <w:rPr>
          <w:spacing w:val="-34"/>
        </w:rPr>
        <w:t> </w:t>
      </w:r>
      <w:r>
        <w:rPr/>
        <w:t>liquidação</w:t>
      </w:r>
      <w:r>
        <w:rPr>
          <w:spacing w:val="-32"/>
        </w:rPr>
        <w:t> </w:t>
      </w:r>
      <w:r>
        <w:rPr/>
        <w:t>do</w:t>
      </w:r>
      <w:r>
        <w:rPr>
          <w:spacing w:val="-35"/>
        </w:rPr>
        <w:t> </w:t>
      </w:r>
      <w:r>
        <w:rPr/>
        <w:t>mercado</w:t>
      </w:r>
      <w:r>
        <w:rPr>
          <w:spacing w:val="-34"/>
        </w:rPr>
        <w:t> </w:t>
      </w:r>
      <w:r>
        <w:rPr/>
        <w:t>de</w:t>
      </w:r>
      <w:r>
        <w:rPr>
          <w:spacing w:val="-33"/>
        </w:rPr>
        <w:t> </w:t>
      </w:r>
      <w:r>
        <w:rPr/>
        <w:t>curto</w:t>
      </w:r>
      <w:r>
        <w:rPr>
          <w:spacing w:val="-32"/>
        </w:rPr>
        <w:t> </w:t>
      </w:r>
      <w:r>
        <w:rPr/>
        <w:t>prazo,</w:t>
      </w:r>
      <w:r>
        <w:rPr>
          <w:spacing w:val="-31"/>
        </w:rPr>
        <w:t> </w:t>
      </w:r>
      <w:r>
        <w:rPr/>
        <w:t>caso</w:t>
      </w:r>
      <w:r>
        <w:rPr>
          <w:spacing w:val="-35"/>
        </w:rPr>
        <w:t> </w:t>
      </w:r>
      <w:r>
        <w:rPr/>
        <w:t>contrário,</w:t>
      </w:r>
      <w:r>
        <w:rPr>
          <w:spacing w:val="-33"/>
        </w:rPr>
        <w:t> </w:t>
      </w:r>
      <w:r>
        <w:rPr/>
        <w:t>resultará</w:t>
      </w:r>
      <w:r>
        <w:rPr>
          <w:spacing w:val="-32"/>
        </w:rPr>
        <w:t> </w:t>
      </w:r>
      <w:r>
        <w:rPr/>
        <w:t>em</w:t>
      </w:r>
      <w:r>
        <w:rPr>
          <w:spacing w:val="-33"/>
        </w:rPr>
        <w:t> </w:t>
      </w:r>
      <w:r>
        <w:rPr/>
        <w:t>impacto</w:t>
      </w:r>
      <w:r>
        <w:rPr>
          <w:spacing w:val="-33"/>
        </w:rPr>
        <w:t> </w:t>
      </w:r>
      <w:r>
        <w:rPr/>
        <w:t>negativo</w:t>
      </w:r>
      <w:r>
        <w:rPr>
          <w:spacing w:val="-33"/>
        </w:rPr>
        <w:t> </w:t>
      </w:r>
      <w:r>
        <w:rPr/>
        <w:t>na</w:t>
      </w:r>
      <w:r>
        <w:rPr>
          <w:spacing w:val="-33"/>
        </w:rPr>
        <w:t> </w:t>
      </w:r>
      <w:r>
        <w:rPr/>
        <w:t>liquidação financeira</w:t>
      </w:r>
      <w:r>
        <w:rPr>
          <w:spacing w:val="-18"/>
        </w:rPr>
        <w:t> </w:t>
      </w:r>
      <w:r>
        <w:rPr/>
        <w:t>do</w:t>
      </w:r>
      <w:r>
        <w:rPr>
          <w:spacing w:val="-19"/>
        </w:rPr>
        <w:t> </w:t>
      </w:r>
      <w:r>
        <w:rPr/>
        <w:t>mercado</w:t>
      </w:r>
      <w:r>
        <w:rPr>
          <w:spacing w:val="-17"/>
        </w:rPr>
        <w:t> </w:t>
      </w:r>
      <w:r>
        <w:rPr/>
        <w:t>de</w:t>
      </w:r>
      <w:r>
        <w:rPr>
          <w:spacing w:val="-20"/>
        </w:rPr>
        <w:t> </w:t>
      </w:r>
      <w:r>
        <w:rPr/>
        <w:t>curto</w:t>
      </w:r>
      <w:r>
        <w:rPr>
          <w:spacing w:val="-17"/>
        </w:rPr>
        <w:t> </w:t>
      </w:r>
      <w:r>
        <w:rPr/>
        <w:t>prazo.</w:t>
      </w:r>
    </w:p>
    <w:p>
      <w:pPr>
        <w:pStyle w:val="BodyText"/>
        <w:spacing w:before="8"/>
      </w:pPr>
    </w:p>
    <w:p>
      <w:pPr>
        <w:pStyle w:val="BodyText"/>
        <w:spacing w:line="242" w:lineRule="auto"/>
        <w:ind w:left="172" w:right="407"/>
        <w:jc w:val="both"/>
      </w:pPr>
      <w:r>
        <w:rPr/>
        <w:t>Nos</w:t>
      </w:r>
      <w:r>
        <w:rPr>
          <w:spacing w:val="-39"/>
        </w:rPr>
        <w:t> </w:t>
      </w:r>
      <w:r>
        <w:rPr/>
        <w:t>Reajustes</w:t>
      </w:r>
      <w:r>
        <w:rPr>
          <w:spacing w:val="-39"/>
        </w:rPr>
        <w:t> </w:t>
      </w:r>
      <w:r>
        <w:rPr/>
        <w:t>e</w:t>
      </w:r>
      <w:r>
        <w:rPr>
          <w:spacing w:val="-39"/>
        </w:rPr>
        <w:t> </w:t>
      </w:r>
      <w:r>
        <w:rPr/>
        <w:t>Revisões</w:t>
      </w:r>
      <w:r>
        <w:rPr>
          <w:spacing w:val="-38"/>
        </w:rPr>
        <w:t> </w:t>
      </w:r>
      <w:r>
        <w:rPr/>
        <w:t>Tarifárias,</w:t>
      </w:r>
      <w:r>
        <w:rPr>
          <w:spacing w:val="-39"/>
        </w:rPr>
        <w:t> </w:t>
      </w:r>
      <w:r>
        <w:rPr/>
        <w:t>a</w:t>
      </w:r>
      <w:r>
        <w:rPr>
          <w:spacing w:val="-39"/>
        </w:rPr>
        <w:t> </w:t>
      </w:r>
      <w:r>
        <w:rPr/>
        <w:t>Aneel</w:t>
      </w:r>
      <w:r>
        <w:rPr>
          <w:spacing w:val="-38"/>
        </w:rPr>
        <w:t> </w:t>
      </w:r>
      <w:r>
        <w:rPr/>
        <w:t>apura</w:t>
      </w:r>
      <w:r>
        <w:rPr>
          <w:spacing w:val="-39"/>
        </w:rPr>
        <w:t> </w:t>
      </w:r>
      <w:r>
        <w:rPr/>
        <w:t>o</w:t>
      </w:r>
      <w:r>
        <w:rPr>
          <w:spacing w:val="-38"/>
        </w:rPr>
        <w:t> </w:t>
      </w:r>
      <w:r>
        <w:rPr/>
        <w:t>montante</w:t>
      </w:r>
      <w:r>
        <w:rPr>
          <w:spacing w:val="-40"/>
        </w:rPr>
        <w:t> </w:t>
      </w:r>
      <w:r>
        <w:rPr/>
        <w:t>do</w:t>
      </w:r>
      <w:r>
        <w:rPr>
          <w:spacing w:val="-39"/>
        </w:rPr>
        <w:t> </w:t>
      </w:r>
      <w:r>
        <w:rPr/>
        <w:t>repasse</w:t>
      </w:r>
      <w:r>
        <w:rPr>
          <w:spacing w:val="-39"/>
        </w:rPr>
        <w:t> </w:t>
      </w:r>
      <w:r>
        <w:rPr/>
        <w:t>da</w:t>
      </w:r>
      <w:r>
        <w:rPr>
          <w:spacing w:val="-39"/>
        </w:rPr>
        <w:t> </w:t>
      </w:r>
      <w:r>
        <w:rPr/>
        <w:t>sobrecontratação</w:t>
      </w:r>
      <w:r>
        <w:rPr>
          <w:spacing w:val="-39"/>
        </w:rPr>
        <w:t> </w:t>
      </w:r>
      <w:r>
        <w:rPr/>
        <w:t>e</w:t>
      </w:r>
      <w:r>
        <w:rPr>
          <w:spacing w:val="-40"/>
        </w:rPr>
        <w:t> </w:t>
      </w:r>
      <w:r>
        <w:rPr/>
        <w:t>homologa</w:t>
      </w:r>
      <w:r>
        <w:rPr>
          <w:spacing w:val="-38"/>
        </w:rPr>
        <w:t> </w:t>
      </w:r>
      <w:r>
        <w:rPr/>
        <w:t>os</w:t>
      </w:r>
      <w:r>
        <w:rPr>
          <w:spacing w:val="-39"/>
        </w:rPr>
        <w:t> </w:t>
      </w:r>
      <w:r>
        <w:rPr/>
        <w:t>valores a</w:t>
      </w:r>
      <w:r>
        <w:rPr>
          <w:spacing w:val="-39"/>
        </w:rPr>
        <w:t> </w:t>
      </w:r>
      <w:r>
        <w:rPr/>
        <w:t>serem</w:t>
      </w:r>
      <w:r>
        <w:rPr>
          <w:spacing w:val="-38"/>
        </w:rPr>
        <w:t> </w:t>
      </w:r>
      <w:r>
        <w:rPr/>
        <w:t>alocados</w:t>
      </w:r>
      <w:r>
        <w:rPr>
          <w:spacing w:val="-39"/>
        </w:rPr>
        <w:t> </w:t>
      </w:r>
      <w:r>
        <w:rPr/>
        <w:t>nas</w:t>
      </w:r>
      <w:r>
        <w:rPr>
          <w:spacing w:val="-38"/>
        </w:rPr>
        <w:t> </w:t>
      </w:r>
      <w:r>
        <w:rPr/>
        <w:t>tarifas</w:t>
      </w:r>
      <w:r>
        <w:rPr>
          <w:spacing w:val="-38"/>
        </w:rPr>
        <w:t> </w:t>
      </w:r>
      <w:r>
        <w:rPr/>
        <w:t>da</w:t>
      </w:r>
      <w:r>
        <w:rPr>
          <w:spacing w:val="-38"/>
        </w:rPr>
        <w:t> </w:t>
      </w:r>
      <w:r>
        <w:rPr/>
        <w:t>CEB</w:t>
      </w:r>
      <w:r>
        <w:rPr>
          <w:spacing w:val="-39"/>
        </w:rPr>
        <w:t> </w:t>
      </w:r>
      <w:r>
        <w:rPr/>
        <w:t>DIS.</w:t>
      </w:r>
      <w:r>
        <w:rPr>
          <w:spacing w:val="-38"/>
        </w:rPr>
        <w:t> </w:t>
      </w:r>
      <w:r>
        <w:rPr/>
        <w:t>Entretanto,</w:t>
      </w:r>
      <w:r>
        <w:rPr>
          <w:spacing w:val="-39"/>
        </w:rPr>
        <w:t> </w:t>
      </w:r>
      <w:r>
        <w:rPr/>
        <w:t>desde</w:t>
      </w:r>
      <w:r>
        <w:rPr>
          <w:spacing w:val="-39"/>
        </w:rPr>
        <w:t> </w:t>
      </w:r>
      <w:r>
        <w:rPr/>
        <w:t>2016,</w:t>
      </w:r>
      <w:r>
        <w:rPr>
          <w:spacing w:val="-39"/>
        </w:rPr>
        <w:t> </w:t>
      </w:r>
      <w:r>
        <w:rPr/>
        <w:t>a</w:t>
      </w:r>
      <w:r>
        <w:rPr>
          <w:spacing w:val="-38"/>
        </w:rPr>
        <w:t> </w:t>
      </w:r>
      <w:r>
        <w:rPr/>
        <w:t>Agência</w:t>
      </w:r>
      <w:r>
        <w:rPr>
          <w:spacing w:val="-39"/>
        </w:rPr>
        <w:t> </w:t>
      </w:r>
      <w:r>
        <w:rPr/>
        <w:t>Reguladora</w:t>
      </w:r>
      <w:r>
        <w:rPr>
          <w:spacing w:val="-38"/>
        </w:rPr>
        <w:t> </w:t>
      </w:r>
      <w:r>
        <w:rPr/>
        <w:t>vem</w:t>
      </w:r>
      <w:r>
        <w:rPr>
          <w:spacing w:val="-38"/>
        </w:rPr>
        <w:t> </w:t>
      </w:r>
      <w:r>
        <w:rPr/>
        <w:t>calculando</w:t>
      </w:r>
      <w:r>
        <w:rPr>
          <w:spacing w:val="-39"/>
        </w:rPr>
        <w:t> </w:t>
      </w:r>
      <w:r>
        <w:rPr/>
        <w:t>os</w:t>
      </w:r>
      <w:r>
        <w:rPr>
          <w:spacing w:val="-39"/>
        </w:rPr>
        <w:t> </w:t>
      </w:r>
      <w:r>
        <w:rPr/>
        <w:t>montantes financeiros</w:t>
      </w:r>
      <w:r>
        <w:rPr>
          <w:spacing w:val="-4"/>
        </w:rPr>
        <w:t> </w:t>
      </w:r>
      <w:r>
        <w:rPr/>
        <w:t>da</w:t>
      </w:r>
      <w:r>
        <w:rPr>
          <w:spacing w:val="-5"/>
        </w:rPr>
        <w:t> </w:t>
      </w:r>
      <w:r>
        <w:rPr/>
        <w:t>sobrecontratação</w:t>
      </w:r>
      <w:r>
        <w:rPr>
          <w:spacing w:val="-6"/>
        </w:rPr>
        <w:t> </w:t>
      </w:r>
      <w:r>
        <w:rPr/>
        <w:t>e</w:t>
      </w:r>
      <w:r>
        <w:rPr>
          <w:spacing w:val="-7"/>
        </w:rPr>
        <w:t> </w:t>
      </w:r>
      <w:r>
        <w:rPr/>
        <w:t>considerando</w:t>
      </w:r>
      <w:r>
        <w:rPr>
          <w:spacing w:val="-4"/>
        </w:rPr>
        <w:t> </w:t>
      </w:r>
      <w:r>
        <w:rPr/>
        <w:t>100%</w:t>
      </w:r>
      <w:r>
        <w:rPr>
          <w:spacing w:val="-4"/>
        </w:rPr>
        <w:t> </w:t>
      </w:r>
      <w:r>
        <w:rPr/>
        <w:t>do</w:t>
      </w:r>
      <w:r>
        <w:rPr>
          <w:spacing w:val="-6"/>
        </w:rPr>
        <w:t> </w:t>
      </w:r>
      <w:r>
        <w:rPr/>
        <w:t>resultado</w:t>
      </w:r>
      <w:r>
        <w:rPr>
          <w:spacing w:val="-6"/>
        </w:rPr>
        <w:t> </w:t>
      </w:r>
      <w:r>
        <w:rPr/>
        <w:t>(lucro/prejuízo)</w:t>
      </w:r>
      <w:r>
        <w:rPr>
          <w:spacing w:val="-5"/>
        </w:rPr>
        <w:t> </w:t>
      </w:r>
      <w:r>
        <w:rPr/>
        <w:t>do</w:t>
      </w:r>
      <w:r>
        <w:rPr>
          <w:spacing w:val="-6"/>
        </w:rPr>
        <w:t> </w:t>
      </w:r>
      <w:r>
        <w:rPr/>
        <w:t>mercado</w:t>
      </w:r>
      <w:r>
        <w:rPr>
          <w:spacing w:val="-6"/>
        </w:rPr>
        <w:t> </w:t>
      </w:r>
      <w:r>
        <w:rPr/>
        <w:t>de</w:t>
      </w:r>
      <w:r>
        <w:rPr>
          <w:spacing w:val="-6"/>
        </w:rPr>
        <w:t> </w:t>
      </w:r>
      <w:r>
        <w:rPr/>
        <w:t>curto</w:t>
      </w:r>
      <w:r>
        <w:rPr>
          <w:spacing w:val="-6"/>
        </w:rPr>
        <w:t> </w:t>
      </w:r>
      <w:r>
        <w:rPr/>
        <w:t>prazo apurado como componente financeiro de forma provisória nos processos tarifários, independente do patamar regulatório</w:t>
      </w:r>
      <w:r>
        <w:rPr>
          <w:spacing w:val="-14"/>
        </w:rPr>
        <w:t> </w:t>
      </w:r>
      <w:r>
        <w:rPr/>
        <w:t>de</w:t>
      </w:r>
      <w:r>
        <w:rPr>
          <w:spacing w:val="-14"/>
        </w:rPr>
        <w:t> </w:t>
      </w:r>
      <w:r>
        <w:rPr/>
        <w:t>105%</w:t>
      </w:r>
      <w:r>
        <w:rPr>
          <w:spacing w:val="-12"/>
        </w:rPr>
        <w:t> </w:t>
      </w:r>
      <w:r>
        <w:rPr/>
        <w:t>do</w:t>
      </w:r>
      <w:r>
        <w:rPr>
          <w:spacing w:val="-13"/>
        </w:rPr>
        <w:t> </w:t>
      </w:r>
      <w:r>
        <w:rPr/>
        <w:t>mercado</w:t>
      </w:r>
      <w:r>
        <w:rPr>
          <w:spacing w:val="-14"/>
        </w:rPr>
        <w:t> </w:t>
      </w:r>
      <w:r>
        <w:rPr/>
        <w:t>regulatório.</w:t>
      </w:r>
      <w:r>
        <w:rPr>
          <w:spacing w:val="-14"/>
        </w:rPr>
        <w:t> </w:t>
      </w:r>
      <w:r>
        <w:rPr/>
        <w:t>Essa</w:t>
      </w:r>
      <w:r>
        <w:rPr>
          <w:spacing w:val="-13"/>
        </w:rPr>
        <w:t> </w:t>
      </w:r>
      <w:r>
        <w:rPr/>
        <w:t>situação</w:t>
      </w:r>
      <w:r>
        <w:rPr>
          <w:spacing w:val="-13"/>
        </w:rPr>
        <w:t> </w:t>
      </w:r>
      <w:r>
        <w:rPr/>
        <w:t>decorre</w:t>
      </w:r>
      <w:r>
        <w:rPr>
          <w:spacing w:val="-14"/>
        </w:rPr>
        <w:t> </w:t>
      </w:r>
      <w:r>
        <w:rPr/>
        <w:t>da</w:t>
      </w:r>
      <w:r>
        <w:rPr>
          <w:spacing w:val="-13"/>
        </w:rPr>
        <w:t> </w:t>
      </w:r>
      <w:r>
        <w:rPr/>
        <w:t>indefinição</w:t>
      </w:r>
      <w:r>
        <w:rPr>
          <w:spacing w:val="-12"/>
        </w:rPr>
        <w:t> </w:t>
      </w:r>
      <w:r>
        <w:rPr/>
        <w:t>da</w:t>
      </w:r>
      <w:r>
        <w:rPr>
          <w:spacing w:val="-13"/>
        </w:rPr>
        <w:t> </w:t>
      </w:r>
      <w:r>
        <w:rPr/>
        <w:t>própria</w:t>
      </w:r>
      <w:r>
        <w:rPr>
          <w:spacing w:val="-13"/>
        </w:rPr>
        <w:t> </w:t>
      </w:r>
      <w:r>
        <w:rPr/>
        <w:t>Agência</w:t>
      </w:r>
      <w:r>
        <w:rPr>
          <w:spacing w:val="-13"/>
        </w:rPr>
        <w:t> </w:t>
      </w:r>
      <w:r>
        <w:rPr/>
        <w:t>acerca</w:t>
      </w:r>
      <w:r>
        <w:rPr>
          <w:spacing w:val="-11"/>
        </w:rPr>
        <w:t> </w:t>
      </w:r>
      <w:r>
        <w:rPr/>
        <w:t>dos critérios</w:t>
      </w:r>
      <w:r>
        <w:rPr>
          <w:spacing w:val="-40"/>
        </w:rPr>
        <w:t> </w:t>
      </w:r>
      <w:r>
        <w:rPr/>
        <w:t>a</w:t>
      </w:r>
      <w:r>
        <w:rPr>
          <w:spacing w:val="-40"/>
        </w:rPr>
        <w:t> </w:t>
      </w:r>
      <w:r>
        <w:rPr/>
        <w:t>serem</w:t>
      </w:r>
      <w:r>
        <w:rPr>
          <w:spacing w:val="-40"/>
        </w:rPr>
        <w:t> </w:t>
      </w:r>
      <w:r>
        <w:rPr/>
        <w:t>considerados</w:t>
      </w:r>
      <w:r>
        <w:rPr>
          <w:spacing w:val="-40"/>
        </w:rPr>
        <w:t> </w:t>
      </w:r>
      <w:r>
        <w:rPr/>
        <w:t>nos</w:t>
      </w:r>
      <w:r>
        <w:rPr>
          <w:spacing w:val="-38"/>
        </w:rPr>
        <w:t> </w:t>
      </w:r>
      <w:r>
        <w:rPr/>
        <w:t>montantes</w:t>
      </w:r>
      <w:r>
        <w:rPr>
          <w:spacing w:val="-40"/>
        </w:rPr>
        <w:t> </w:t>
      </w:r>
      <w:r>
        <w:rPr/>
        <w:t>de</w:t>
      </w:r>
      <w:r>
        <w:rPr>
          <w:spacing w:val="-39"/>
        </w:rPr>
        <w:t> </w:t>
      </w:r>
      <w:r>
        <w:rPr/>
        <w:t>energias</w:t>
      </w:r>
      <w:r>
        <w:rPr>
          <w:spacing w:val="-40"/>
        </w:rPr>
        <w:t> </w:t>
      </w:r>
      <w:r>
        <w:rPr/>
        <w:t>relativos</w:t>
      </w:r>
      <w:r>
        <w:rPr>
          <w:spacing w:val="-39"/>
        </w:rPr>
        <w:t> </w:t>
      </w:r>
      <w:r>
        <w:rPr/>
        <w:t>à</w:t>
      </w:r>
      <w:r>
        <w:rPr>
          <w:spacing w:val="-40"/>
        </w:rPr>
        <w:t> </w:t>
      </w:r>
      <w:r>
        <w:rPr/>
        <w:t>Exposição/Sobrecontratação</w:t>
      </w:r>
      <w:r>
        <w:rPr>
          <w:spacing w:val="-35"/>
        </w:rPr>
        <w:t> </w:t>
      </w:r>
      <w:r>
        <w:rPr/>
        <w:t>Involuntárias</w:t>
      </w:r>
      <w:r>
        <w:rPr>
          <w:spacing w:val="-40"/>
        </w:rPr>
        <w:t> </w:t>
      </w:r>
      <w:r>
        <w:rPr/>
        <w:t>das distribuidoras.</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07"/>
        <w:jc w:val="both"/>
      </w:pPr>
      <w:r>
        <w:rPr/>
        <w:t>No</w:t>
      </w:r>
      <w:r>
        <w:rPr>
          <w:spacing w:val="-41"/>
        </w:rPr>
        <w:t> </w:t>
      </w:r>
      <w:r>
        <w:rPr/>
        <w:t>entanto,</w:t>
      </w:r>
      <w:r>
        <w:rPr>
          <w:spacing w:val="-41"/>
        </w:rPr>
        <w:t> </w:t>
      </w:r>
      <w:r>
        <w:rPr/>
        <w:t>a</w:t>
      </w:r>
      <w:r>
        <w:rPr>
          <w:spacing w:val="-39"/>
        </w:rPr>
        <w:t> </w:t>
      </w:r>
      <w:r>
        <w:rPr/>
        <w:t>CEB</w:t>
      </w:r>
      <w:r>
        <w:rPr>
          <w:spacing w:val="-40"/>
        </w:rPr>
        <w:t> </w:t>
      </w:r>
      <w:r>
        <w:rPr/>
        <w:t>DIS</w:t>
      </w:r>
      <w:r>
        <w:rPr>
          <w:spacing w:val="-39"/>
        </w:rPr>
        <w:t> </w:t>
      </w:r>
      <w:r>
        <w:rPr/>
        <w:t>vem</w:t>
      </w:r>
      <w:r>
        <w:rPr>
          <w:spacing w:val="-39"/>
        </w:rPr>
        <w:t> </w:t>
      </w:r>
      <w:r>
        <w:rPr/>
        <w:t>registrando</w:t>
      </w:r>
      <w:r>
        <w:rPr>
          <w:spacing w:val="-40"/>
        </w:rPr>
        <w:t> </w:t>
      </w:r>
      <w:r>
        <w:rPr/>
        <w:t>contabilmente</w:t>
      </w:r>
      <w:r>
        <w:rPr>
          <w:spacing w:val="-40"/>
        </w:rPr>
        <w:t> </w:t>
      </w:r>
      <w:r>
        <w:rPr/>
        <w:t>de</w:t>
      </w:r>
      <w:r>
        <w:rPr>
          <w:spacing w:val="-40"/>
        </w:rPr>
        <w:t> </w:t>
      </w:r>
      <w:r>
        <w:rPr/>
        <w:t>forma</w:t>
      </w:r>
      <w:r>
        <w:rPr>
          <w:spacing w:val="-40"/>
        </w:rPr>
        <w:t> </w:t>
      </w:r>
      <w:r>
        <w:rPr/>
        <w:t>prudencial</w:t>
      </w:r>
      <w:r>
        <w:rPr>
          <w:spacing w:val="-41"/>
        </w:rPr>
        <w:t> </w:t>
      </w:r>
      <w:r>
        <w:rPr/>
        <w:t>os</w:t>
      </w:r>
      <w:r>
        <w:rPr>
          <w:spacing w:val="-39"/>
        </w:rPr>
        <w:t> </w:t>
      </w:r>
      <w:r>
        <w:rPr/>
        <w:t>valores</w:t>
      </w:r>
      <w:r>
        <w:rPr>
          <w:spacing w:val="-39"/>
        </w:rPr>
        <w:t> </w:t>
      </w:r>
      <w:r>
        <w:rPr/>
        <w:t>de</w:t>
      </w:r>
      <w:r>
        <w:rPr>
          <w:spacing w:val="-40"/>
        </w:rPr>
        <w:t> </w:t>
      </w:r>
      <w:r>
        <w:rPr/>
        <w:t>ajustes</w:t>
      </w:r>
      <w:r>
        <w:rPr>
          <w:spacing w:val="-40"/>
        </w:rPr>
        <w:t> </w:t>
      </w:r>
      <w:r>
        <w:rPr/>
        <w:t>da</w:t>
      </w:r>
      <w:r>
        <w:rPr>
          <w:spacing w:val="-40"/>
        </w:rPr>
        <w:t> </w:t>
      </w:r>
      <w:r>
        <w:rPr/>
        <w:t>sobrecontratação considerando</w:t>
      </w:r>
      <w:r>
        <w:rPr>
          <w:spacing w:val="-27"/>
        </w:rPr>
        <w:t> </w:t>
      </w:r>
      <w:r>
        <w:rPr/>
        <w:t>o</w:t>
      </w:r>
      <w:r>
        <w:rPr>
          <w:spacing w:val="-26"/>
        </w:rPr>
        <w:t> </w:t>
      </w:r>
      <w:r>
        <w:rPr/>
        <w:t>patamar</w:t>
      </w:r>
      <w:r>
        <w:rPr>
          <w:spacing w:val="-27"/>
        </w:rPr>
        <w:t> </w:t>
      </w:r>
      <w:r>
        <w:rPr/>
        <w:t>de</w:t>
      </w:r>
      <w:r>
        <w:rPr>
          <w:spacing w:val="-25"/>
        </w:rPr>
        <w:t> </w:t>
      </w:r>
      <w:r>
        <w:rPr/>
        <w:t>105%,</w:t>
      </w:r>
      <w:r>
        <w:rPr>
          <w:spacing w:val="-26"/>
        </w:rPr>
        <w:t> </w:t>
      </w:r>
      <w:r>
        <w:rPr/>
        <w:t>na</w:t>
      </w:r>
      <w:r>
        <w:rPr>
          <w:spacing w:val="-25"/>
        </w:rPr>
        <w:t> </w:t>
      </w:r>
      <w:r>
        <w:rPr/>
        <w:t>mesma</w:t>
      </w:r>
      <w:r>
        <w:rPr>
          <w:spacing w:val="-24"/>
        </w:rPr>
        <w:t> </w:t>
      </w:r>
      <w:r>
        <w:rPr/>
        <w:t>regra</w:t>
      </w:r>
      <w:r>
        <w:rPr>
          <w:spacing w:val="-27"/>
        </w:rPr>
        <w:t> </w:t>
      </w:r>
      <w:r>
        <w:rPr/>
        <w:t>praticada</w:t>
      </w:r>
      <w:r>
        <w:rPr>
          <w:spacing w:val="-27"/>
        </w:rPr>
        <w:t> </w:t>
      </w:r>
      <w:r>
        <w:rPr/>
        <w:t>até</w:t>
      </w:r>
      <w:r>
        <w:rPr>
          <w:spacing w:val="-27"/>
        </w:rPr>
        <w:t> </w:t>
      </w:r>
      <w:r>
        <w:rPr/>
        <w:t>2015,</w:t>
      </w:r>
      <w:r>
        <w:rPr>
          <w:spacing w:val="-26"/>
        </w:rPr>
        <w:t> </w:t>
      </w:r>
      <w:r>
        <w:rPr/>
        <w:t>respeitando</w:t>
      </w:r>
      <w:r>
        <w:rPr>
          <w:spacing w:val="-25"/>
        </w:rPr>
        <w:t> </w:t>
      </w:r>
      <w:r>
        <w:rPr/>
        <w:t>o</w:t>
      </w:r>
      <w:r>
        <w:rPr>
          <w:spacing w:val="-26"/>
        </w:rPr>
        <w:t> </w:t>
      </w:r>
      <w:r>
        <w:rPr/>
        <w:t>efeito</w:t>
      </w:r>
      <w:r>
        <w:rPr>
          <w:spacing w:val="-26"/>
        </w:rPr>
        <w:t> </w:t>
      </w:r>
      <w:r>
        <w:rPr/>
        <w:t>no</w:t>
      </w:r>
      <w:r>
        <w:rPr>
          <w:spacing w:val="-24"/>
        </w:rPr>
        <w:t> </w:t>
      </w:r>
      <w:r>
        <w:rPr/>
        <w:t>resultado</w:t>
      </w:r>
      <w:r>
        <w:rPr>
          <w:spacing w:val="-26"/>
        </w:rPr>
        <w:t> </w:t>
      </w:r>
      <w:r>
        <w:rPr/>
        <w:t>de</w:t>
      </w:r>
      <w:r>
        <w:rPr>
          <w:spacing w:val="-28"/>
        </w:rPr>
        <w:t> </w:t>
      </w:r>
      <w:r>
        <w:rPr>
          <w:spacing w:val="2"/>
        </w:rPr>
        <w:t>acordo </w:t>
      </w:r>
      <w:r>
        <w:rPr/>
        <w:t>com</w:t>
      </w:r>
      <w:r>
        <w:rPr>
          <w:spacing w:val="-30"/>
        </w:rPr>
        <w:t> </w:t>
      </w:r>
      <w:r>
        <w:rPr/>
        <w:t>o</w:t>
      </w:r>
      <w:r>
        <w:rPr>
          <w:spacing w:val="-29"/>
        </w:rPr>
        <w:t> </w:t>
      </w:r>
      <w:r>
        <w:rPr/>
        <w:t>princípio</w:t>
      </w:r>
      <w:r>
        <w:rPr>
          <w:spacing w:val="-29"/>
        </w:rPr>
        <w:t> </w:t>
      </w:r>
      <w:r>
        <w:rPr/>
        <w:t>da</w:t>
      </w:r>
      <w:r>
        <w:rPr>
          <w:spacing w:val="-29"/>
        </w:rPr>
        <w:t> </w:t>
      </w:r>
      <w:r>
        <w:rPr/>
        <w:t>competência</w:t>
      </w:r>
      <w:r>
        <w:rPr>
          <w:spacing w:val="-29"/>
        </w:rPr>
        <w:t> </w:t>
      </w:r>
      <w:r>
        <w:rPr/>
        <w:t>além</w:t>
      </w:r>
      <w:r>
        <w:rPr>
          <w:spacing w:val="-29"/>
        </w:rPr>
        <w:t> </w:t>
      </w:r>
      <w:r>
        <w:rPr/>
        <w:t>de</w:t>
      </w:r>
      <w:r>
        <w:rPr>
          <w:spacing w:val="-30"/>
        </w:rPr>
        <w:t> </w:t>
      </w:r>
      <w:r>
        <w:rPr/>
        <w:t>minimizar</w:t>
      </w:r>
      <w:r>
        <w:rPr>
          <w:spacing w:val="-30"/>
        </w:rPr>
        <w:t> </w:t>
      </w:r>
      <w:r>
        <w:rPr/>
        <w:t>eventual</w:t>
      </w:r>
      <w:r>
        <w:rPr>
          <w:spacing w:val="-29"/>
        </w:rPr>
        <w:t> </w:t>
      </w:r>
      <w:r>
        <w:rPr/>
        <w:t>ajuste</w:t>
      </w:r>
      <w:r>
        <w:rPr>
          <w:spacing w:val="-29"/>
        </w:rPr>
        <w:t> </w:t>
      </w:r>
      <w:r>
        <w:rPr/>
        <w:t>quando</w:t>
      </w:r>
      <w:r>
        <w:rPr>
          <w:spacing w:val="-30"/>
        </w:rPr>
        <w:t> </w:t>
      </w:r>
      <w:r>
        <w:rPr/>
        <w:t>a</w:t>
      </w:r>
      <w:r>
        <w:rPr>
          <w:spacing w:val="-28"/>
        </w:rPr>
        <w:t> </w:t>
      </w:r>
      <w:r>
        <w:rPr/>
        <w:t>agência</w:t>
      </w:r>
      <w:r>
        <w:rPr>
          <w:spacing w:val="-29"/>
        </w:rPr>
        <w:t> </w:t>
      </w:r>
      <w:r>
        <w:rPr/>
        <w:t>definir</w:t>
      </w:r>
      <w:r>
        <w:rPr>
          <w:spacing w:val="-29"/>
        </w:rPr>
        <w:t> </w:t>
      </w:r>
      <w:r>
        <w:rPr/>
        <w:t>a</w:t>
      </w:r>
      <w:r>
        <w:rPr>
          <w:spacing w:val="-29"/>
        </w:rPr>
        <w:t> </w:t>
      </w:r>
      <w:r>
        <w:rPr/>
        <w:t>regra</w:t>
      </w:r>
      <w:r>
        <w:rPr>
          <w:spacing w:val="-28"/>
        </w:rPr>
        <w:t> </w:t>
      </w:r>
      <w:r>
        <w:rPr/>
        <w:t>e</w:t>
      </w:r>
      <w:r>
        <w:rPr>
          <w:spacing w:val="-28"/>
        </w:rPr>
        <w:t> </w:t>
      </w:r>
      <w:r>
        <w:rPr/>
        <w:t>recalcular</w:t>
      </w:r>
      <w:r>
        <w:rPr>
          <w:spacing w:val="-30"/>
        </w:rPr>
        <w:t> </w:t>
      </w:r>
      <w:r>
        <w:rPr/>
        <w:t>os valores</w:t>
      </w:r>
      <w:r>
        <w:rPr>
          <w:spacing w:val="-18"/>
        </w:rPr>
        <w:t> </w:t>
      </w:r>
      <w:r>
        <w:rPr/>
        <w:t>a</w:t>
      </w:r>
      <w:r>
        <w:rPr>
          <w:spacing w:val="-17"/>
        </w:rPr>
        <w:t> </w:t>
      </w:r>
      <w:r>
        <w:rPr/>
        <w:t>partir</w:t>
      </w:r>
      <w:r>
        <w:rPr>
          <w:spacing w:val="-18"/>
        </w:rPr>
        <w:t> </w:t>
      </w:r>
      <w:r>
        <w:rPr/>
        <w:t>de</w:t>
      </w:r>
      <w:r>
        <w:rPr>
          <w:spacing w:val="-17"/>
        </w:rPr>
        <w:t> </w:t>
      </w:r>
      <w:r>
        <w:rPr/>
        <w:t>2016.</w:t>
      </w:r>
    </w:p>
    <w:p>
      <w:pPr>
        <w:pStyle w:val="BodyText"/>
        <w:spacing w:before="8"/>
      </w:pPr>
    </w:p>
    <w:p>
      <w:pPr>
        <w:pStyle w:val="BodyText"/>
        <w:spacing w:line="242" w:lineRule="auto"/>
        <w:ind w:left="172" w:right="410"/>
        <w:jc w:val="both"/>
      </w:pPr>
      <w:r>
        <w:rPr/>
        <w:t>Considerando</w:t>
      </w:r>
      <w:r>
        <w:rPr>
          <w:spacing w:val="-47"/>
        </w:rPr>
        <w:t> </w:t>
      </w:r>
      <w:r>
        <w:rPr/>
        <w:t>as</w:t>
      </w:r>
      <w:r>
        <w:rPr>
          <w:spacing w:val="-46"/>
        </w:rPr>
        <w:t> </w:t>
      </w:r>
      <w:r>
        <w:rPr/>
        <w:t>ações</w:t>
      </w:r>
      <w:r>
        <w:rPr>
          <w:spacing w:val="-45"/>
        </w:rPr>
        <w:t> </w:t>
      </w:r>
      <w:r>
        <w:rPr/>
        <w:t>gerenciais</w:t>
      </w:r>
      <w:r>
        <w:rPr>
          <w:spacing w:val="-47"/>
        </w:rPr>
        <w:t> </w:t>
      </w:r>
      <w:r>
        <w:rPr/>
        <w:t>implementadas</w:t>
      </w:r>
      <w:r>
        <w:rPr>
          <w:spacing w:val="-46"/>
        </w:rPr>
        <w:t> </w:t>
      </w:r>
      <w:r>
        <w:rPr/>
        <w:t>em</w:t>
      </w:r>
      <w:r>
        <w:rPr>
          <w:spacing w:val="-46"/>
        </w:rPr>
        <w:t> </w:t>
      </w:r>
      <w:r>
        <w:rPr/>
        <w:t>2019,</w:t>
      </w:r>
      <w:r>
        <w:rPr>
          <w:spacing w:val="-47"/>
        </w:rPr>
        <w:t> </w:t>
      </w:r>
      <w:r>
        <w:rPr/>
        <w:t>incluindo</w:t>
      </w:r>
      <w:r>
        <w:rPr>
          <w:spacing w:val="-46"/>
        </w:rPr>
        <w:t> </w:t>
      </w:r>
      <w:r>
        <w:rPr/>
        <w:t>as</w:t>
      </w:r>
      <w:r>
        <w:rPr>
          <w:spacing w:val="-46"/>
        </w:rPr>
        <w:t> </w:t>
      </w:r>
      <w:r>
        <w:rPr/>
        <w:t>declarações</w:t>
      </w:r>
      <w:r>
        <w:rPr>
          <w:spacing w:val="-45"/>
        </w:rPr>
        <w:t> </w:t>
      </w:r>
      <w:r>
        <w:rPr/>
        <w:t>de</w:t>
      </w:r>
      <w:r>
        <w:rPr>
          <w:spacing w:val="-47"/>
        </w:rPr>
        <w:t> </w:t>
      </w:r>
      <w:r>
        <w:rPr/>
        <w:t>Mecanismos</w:t>
      </w:r>
      <w:r>
        <w:rPr>
          <w:spacing w:val="-45"/>
        </w:rPr>
        <w:t> </w:t>
      </w:r>
      <w:r>
        <w:rPr/>
        <w:t>de</w:t>
      </w:r>
      <w:r>
        <w:rPr>
          <w:spacing w:val="-46"/>
        </w:rPr>
        <w:t> </w:t>
      </w:r>
      <w:r>
        <w:rPr/>
        <w:t>Compensação de</w:t>
      </w:r>
      <w:r>
        <w:rPr>
          <w:spacing w:val="-15"/>
        </w:rPr>
        <w:t> </w:t>
      </w:r>
      <w:r>
        <w:rPr/>
        <w:t>Sobras</w:t>
      </w:r>
      <w:r>
        <w:rPr>
          <w:spacing w:val="-13"/>
        </w:rPr>
        <w:t> </w:t>
      </w:r>
      <w:r>
        <w:rPr/>
        <w:t>e</w:t>
      </w:r>
      <w:r>
        <w:rPr>
          <w:spacing w:val="-14"/>
        </w:rPr>
        <w:t> </w:t>
      </w:r>
      <w:r>
        <w:rPr/>
        <w:t>Déficits</w:t>
      </w:r>
      <w:r>
        <w:rPr>
          <w:spacing w:val="-13"/>
        </w:rPr>
        <w:t> </w:t>
      </w:r>
      <w:r>
        <w:rPr>
          <w:w w:val="105"/>
        </w:rPr>
        <w:t>–</w:t>
      </w:r>
      <w:r>
        <w:rPr>
          <w:spacing w:val="-15"/>
          <w:w w:val="105"/>
        </w:rPr>
        <w:t> </w:t>
      </w:r>
      <w:r>
        <w:rPr/>
        <w:t>MCSD</w:t>
      </w:r>
      <w:r>
        <w:rPr>
          <w:spacing w:val="-13"/>
        </w:rPr>
        <w:t> </w:t>
      </w:r>
      <w:r>
        <w:rPr/>
        <w:t>e</w:t>
      </w:r>
      <w:r>
        <w:rPr>
          <w:spacing w:val="-15"/>
        </w:rPr>
        <w:t> </w:t>
      </w:r>
      <w:r>
        <w:rPr/>
        <w:t>o</w:t>
      </w:r>
      <w:r>
        <w:rPr>
          <w:spacing w:val="-13"/>
        </w:rPr>
        <w:t> </w:t>
      </w:r>
      <w:r>
        <w:rPr/>
        <w:t>Mecanismo</w:t>
      </w:r>
      <w:r>
        <w:rPr>
          <w:spacing w:val="-15"/>
        </w:rPr>
        <w:t> </w:t>
      </w:r>
      <w:r>
        <w:rPr/>
        <w:t>de</w:t>
      </w:r>
      <w:r>
        <w:rPr>
          <w:spacing w:val="-15"/>
        </w:rPr>
        <w:t> </w:t>
      </w:r>
      <w:r>
        <w:rPr/>
        <w:t>Venda</w:t>
      </w:r>
      <w:r>
        <w:rPr>
          <w:spacing w:val="-13"/>
        </w:rPr>
        <w:t> </w:t>
      </w:r>
      <w:r>
        <w:rPr/>
        <w:t>de</w:t>
      </w:r>
      <w:r>
        <w:rPr>
          <w:spacing w:val="-16"/>
        </w:rPr>
        <w:t> </w:t>
      </w:r>
      <w:r>
        <w:rPr/>
        <w:t>Excedentes</w:t>
      </w:r>
      <w:r>
        <w:rPr>
          <w:spacing w:val="-7"/>
        </w:rPr>
        <w:t> </w:t>
      </w:r>
      <w:r>
        <w:rPr/>
        <w:t>-</w:t>
      </w:r>
      <w:r>
        <w:rPr>
          <w:spacing w:val="-13"/>
        </w:rPr>
        <w:t> </w:t>
      </w:r>
      <w:r>
        <w:rPr/>
        <w:t>MVE,</w:t>
      </w:r>
      <w:r>
        <w:rPr>
          <w:spacing w:val="-14"/>
        </w:rPr>
        <w:t> </w:t>
      </w:r>
      <w:r>
        <w:rPr/>
        <w:t>a</w:t>
      </w:r>
      <w:r>
        <w:rPr>
          <w:spacing w:val="-13"/>
        </w:rPr>
        <w:t> </w:t>
      </w:r>
      <w:r>
        <w:rPr/>
        <w:t>CEB</w:t>
      </w:r>
      <w:r>
        <w:rPr>
          <w:spacing w:val="-12"/>
        </w:rPr>
        <w:t> </w:t>
      </w:r>
      <w:r>
        <w:rPr/>
        <w:t>DIS</w:t>
      </w:r>
      <w:r>
        <w:rPr>
          <w:spacing w:val="-14"/>
        </w:rPr>
        <w:t> </w:t>
      </w:r>
      <w:r>
        <w:rPr/>
        <w:t>fechou</w:t>
      </w:r>
      <w:r>
        <w:rPr>
          <w:spacing w:val="-14"/>
        </w:rPr>
        <w:t> </w:t>
      </w:r>
      <w:r>
        <w:rPr/>
        <w:t>posição</w:t>
      </w:r>
      <w:r>
        <w:rPr>
          <w:spacing w:val="-14"/>
        </w:rPr>
        <w:t> </w:t>
      </w:r>
      <w:r>
        <w:rPr/>
        <w:t>de</w:t>
      </w:r>
      <w:r>
        <w:rPr>
          <w:spacing w:val="-16"/>
        </w:rPr>
        <w:t> </w:t>
      </w:r>
      <w:r>
        <w:rPr/>
        <w:t>sobras</w:t>
      </w:r>
      <w:r>
        <w:rPr>
          <w:spacing w:val="-13"/>
        </w:rPr>
        <w:t> </w:t>
      </w:r>
      <w:r>
        <w:rPr/>
        <w:t>de energia</w:t>
      </w:r>
      <w:r>
        <w:rPr>
          <w:spacing w:val="-37"/>
        </w:rPr>
        <w:t> </w:t>
      </w:r>
      <w:r>
        <w:rPr/>
        <w:t>elétrica</w:t>
      </w:r>
      <w:r>
        <w:rPr>
          <w:spacing w:val="-36"/>
        </w:rPr>
        <w:t> </w:t>
      </w:r>
      <w:r>
        <w:rPr/>
        <w:t>no</w:t>
      </w:r>
      <w:r>
        <w:rPr>
          <w:spacing w:val="-37"/>
        </w:rPr>
        <w:t> </w:t>
      </w:r>
      <w:r>
        <w:rPr/>
        <w:t>patamar</w:t>
      </w:r>
      <w:r>
        <w:rPr>
          <w:spacing w:val="-35"/>
        </w:rPr>
        <w:t> </w:t>
      </w:r>
      <w:r>
        <w:rPr/>
        <w:t>de</w:t>
      </w:r>
      <w:r>
        <w:rPr>
          <w:spacing w:val="-38"/>
        </w:rPr>
        <w:t> </w:t>
      </w:r>
      <w:r>
        <w:rPr/>
        <w:t>28,6%</w:t>
      </w:r>
      <w:r>
        <w:rPr>
          <w:spacing w:val="-35"/>
        </w:rPr>
        <w:t> </w:t>
      </w:r>
      <w:r>
        <w:rPr/>
        <w:t>no</w:t>
      </w:r>
      <w:r>
        <w:rPr>
          <w:spacing w:val="-33"/>
        </w:rPr>
        <w:t> </w:t>
      </w:r>
      <w:r>
        <w:rPr/>
        <w:t>exercício,</w:t>
      </w:r>
      <w:r>
        <w:rPr>
          <w:spacing w:val="-37"/>
        </w:rPr>
        <w:t> </w:t>
      </w:r>
      <w:r>
        <w:rPr/>
        <w:t>o</w:t>
      </w:r>
      <w:r>
        <w:rPr>
          <w:spacing w:val="-35"/>
        </w:rPr>
        <w:t> </w:t>
      </w:r>
      <w:r>
        <w:rPr/>
        <w:t>que</w:t>
      </w:r>
      <w:r>
        <w:rPr>
          <w:spacing w:val="-36"/>
        </w:rPr>
        <w:t> </w:t>
      </w:r>
      <w:r>
        <w:rPr/>
        <w:t>corresponde</w:t>
      </w:r>
      <w:r>
        <w:rPr>
          <w:spacing w:val="-37"/>
        </w:rPr>
        <w:t> </w:t>
      </w:r>
      <w:r>
        <w:rPr/>
        <w:t>a</w:t>
      </w:r>
      <w:r>
        <w:rPr>
          <w:spacing w:val="-36"/>
        </w:rPr>
        <w:t> </w:t>
      </w:r>
      <w:r>
        <w:rPr/>
        <w:t>R$</w:t>
      </w:r>
      <w:r>
        <w:rPr>
          <w:spacing w:val="-37"/>
        </w:rPr>
        <w:t> </w:t>
      </w:r>
      <w:r>
        <w:rPr/>
        <w:t>36,7</w:t>
      </w:r>
      <w:r>
        <w:rPr>
          <w:spacing w:val="-36"/>
        </w:rPr>
        <w:t> </w:t>
      </w:r>
      <w:r>
        <w:rPr/>
        <w:t>milhões,</w:t>
      </w:r>
      <w:r>
        <w:rPr>
          <w:spacing w:val="-37"/>
        </w:rPr>
        <w:t> </w:t>
      </w:r>
      <w:r>
        <w:rPr/>
        <w:t>com</w:t>
      </w:r>
      <w:r>
        <w:rPr>
          <w:spacing w:val="-36"/>
        </w:rPr>
        <w:t> </w:t>
      </w:r>
      <w:r>
        <w:rPr/>
        <w:t>23,6</w:t>
      </w:r>
      <w:r>
        <w:rPr>
          <w:spacing w:val="-35"/>
        </w:rPr>
        <w:t> </w:t>
      </w:r>
      <w:r>
        <w:rPr/>
        <w:t>p.p</w:t>
      </w:r>
      <w:r>
        <w:rPr>
          <w:spacing w:val="-37"/>
        </w:rPr>
        <w:t> </w:t>
      </w:r>
      <w:r>
        <w:rPr/>
        <w:t>acima</w:t>
      </w:r>
      <w:r>
        <w:rPr>
          <w:spacing w:val="-36"/>
        </w:rPr>
        <w:t> </w:t>
      </w:r>
      <w:r>
        <w:rPr/>
        <w:t>do</w:t>
      </w:r>
      <w:r>
        <w:rPr>
          <w:spacing w:val="-37"/>
        </w:rPr>
        <w:t> </w:t>
      </w:r>
      <w:r>
        <w:rPr/>
        <w:t>nível regulatório.</w:t>
      </w:r>
    </w:p>
    <w:p>
      <w:pPr>
        <w:pStyle w:val="BodyText"/>
        <w:spacing w:before="4"/>
      </w:pPr>
    </w:p>
    <w:p>
      <w:pPr>
        <w:pStyle w:val="Heading5"/>
        <w:numPr>
          <w:ilvl w:val="0"/>
          <w:numId w:val="36"/>
        </w:numPr>
        <w:tabs>
          <w:tab w:pos="894" w:val="left" w:leader="none"/>
        </w:tabs>
        <w:spacing w:line="240" w:lineRule="auto" w:before="0" w:after="0"/>
        <w:ind w:left="893" w:right="0" w:hanging="361"/>
        <w:jc w:val="left"/>
      </w:pPr>
      <w:r>
        <w:rPr/>
        <w:t>Repasse de recursos da</w:t>
      </w:r>
      <w:r>
        <w:rPr>
          <w:spacing w:val="-4"/>
        </w:rPr>
        <w:t> </w:t>
      </w:r>
      <w:r>
        <w:rPr/>
        <w:t>CDE</w:t>
      </w:r>
    </w:p>
    <w:p>
      <w:pPr>
        <w:pStyle w:val="BodyText"/>
        <w:spacing w:before="9"/>
        <w:rPr>
          <w:rFonts w:ascii="Caladea"/>
          <w:b/>
        </w:rPr>
      </w:pPr>
    </w:p>
    <w:p>
      <w:pPr>
        <w:pStyle w:val="BodyText"/>
        <w:spacing w:line="242" w:lineRule="auto"/>
        <w:ind w:left="172" w:right="405"/>
        <w:jc w:val="both"/>
      </w:pPr>
      <w:r>
        <w:rPr/>
        <w:t>A</w:t>
      </w:r>
      <w:r>
        <w:rPr>
          <w:spacing w:val="-18"/>
        </w:rPr>
        <w:t> </w:t>
      </w:r>
      <w:r>
        <w:rPr/>
        <w:t>Conta</w:t>
      </w:r>
      <w:r>
        <w:rPr>
          <w:spacing w:val="-17"/>
        </w:rPr>
        <w:t> </w:t>
      </w:r>
      <w:r>
        <w:rPr/>
        <w:t>de</w:t>
      </w:r>
      <w:r>
        <w:rPr>
          <w:spacing w:val="-20"/>
        </w:rPr>
        <w:t> </w:t>
      </w:r>
      <w:r>
        <w:rPr/>
        <w:t>Desenvolvimento</w:t>
      </w:r>
      <w:r>
        <w:rPr>
          <w:spacing w:val="-18"/>
        </w:rPr>
        <w:t> </w:t>
      </w:r>
      <w:r>
        <w:rPr/>
        <w:t>Energético</w:t>
      </w:r>
      <w:r>
        <w:rPr>
          <w:spacing w:val="-15"/>
        </w:rPr>
        <w:t> </w:t>
      </w:r>
      <w:r>
        <w:rPr>
          <w:w w:val="105"/>
        </w:rPr>
        <w:t>–</w:t>
      </w:r>
      <w:r>
        <w:rPr>
          <w:spacing w:val="-19"/>
          <w:w w:val="105"/>
        </w:rPr>
        <w:t> </w:t>
      </w:r>
      <w:r>
        <w:rPr/>
        <w:t>CDE</w:t>
      </w:r>
      <w:r>
        <w:rPr>
          <w:spacing w:val="-18"/>
        </w:rPr>
        <w:t> </w:t>
      </w:r>
      <w:r>
        <w:rPr/>
        <w:t>foi</w:t>
      </w:r>
      <w:r>
        <w:rPr>
          <w:spacing w:val="-19"/>
        </w:rPr>
        <w:t> </w:t>
      </w:r>
      <w:r>
        <w:rPr/>
        <w:t>criada</w:t>
      </w:r>
      <w:r>
        <w:rPr>
          <w:spacing w:val="-18"/>
        </w:rPr>
        <w:t> </w:t>
      </w:r>
      <w:r>
        <w:rPr/>
        <w:t>originalmente</w:t>
      </w:r>
      <w:r>
        <w:rPr>
          <w:spacing w:val="-18"/>
        </w:rPr>
        <w:t> </w:t>
      </w:r>
      <w:r>
        <w:rPr/>
        <w:t>pela</w:t>
      </w:r>
      <w:r>
        <w:rPr>
          <w:spacing w:val="-18"/>
        </w:rPr>
        <w:t> </w:t>
      </w:r>
      <w:r>
        <w:rPr/>
        <w:t>Lei</w:t>
      </w:r>
      <w:r>
        <w:rPr>
          <w:spacing w:val="-17"/>
        </w:rPr>
        <w:t> </w:t>
      </w:r>
      <w:r>
        <w:rPr/>
        <w:t>nº</w:t>
      </w:r>
      <w:r>
        <w:rPr>
          <w:spacing w:val="-16"/>
        </w:rPr>
        <w:t> </w:t>
      </w:r>
      <w:r>
        <w:rPr/>
        <w:t>10.438,</w:t>
      </w:r>
      <w:r>
        <w:rPr>
          <w:spacing w:val="-16"/>
        </w:rPr>
        <w:t> </w:t>
      </w:r>
      <w:r>
        <w:rPr/>
        <w:t>de</w:t>
      </w:r>
      <w:r>
        <w:rPr>
          <w:spacing w:val="-18"/>
        </w:rPr>
        <w:t> </w:t>
      </w:r>
      <w:r>
        <w:rPr/>
        <w:t>26</w:t>
      </w:r>
      <w:r>
        <w:rPr>
          <w:spacing w:val="-11"/>
        </w:rPr>
        <w:t> </w:t>
      </w:r>
      <w:r>
        <w:rPr/>
        <w:t>de</w:t>
      </w:r>
      <w:r>
        <w:rPr>
          <w:spacing w:val="-18"/>
        </w:rPr>
        <w:t> </w:t>
      </w:r>
      <w:r>
        <w:rPr/>
        <w:t>abril</w:t>
      </w:r>
      <w:r>
        <w:rPr>
          <w:spacing w:val="-18"/>
        </w:rPr>
        <w:t> </w:t>
      </w:r>
      <w:r>
        <w:rPr/>
        <w:t>de</w:t>
      </w:r>
      <w:r>
        <w:rPr>
          <w:spacing w:val="-18"/>
        </w:rPr>
        <w:t> </w:t>
      </w:r>
      <w:r>
        <w:rPr/>
        <w:t>2002, visando</w:t>
      </w:r>
      <w:r>
        <w:rPr>
          <w:spacing w:val="-15"/>
        </w:rPr>
        <w:t> </w:t>
      </w:r>
      <w:r>
        <w:rPr/>
        <w:t>o</w:t>
      </w:r>
      <w:r>
        <w:rPr>
          <w:spacing w:val="-13"/>
        </w:rPr>
        <w:t> </w:t>
      </w:r>
      <w:r>
        <w:rPr/>
        <w:t>desenvolvimento</w:t>
      </w:r>
      <w:r>
        <w:rPr>
          <w:spacing w:val="-14"/>
        </w:rPr>
        <w:t> </w:t>
      </w:r>
      <w:r>
        <w:rPr/>
        <w:t>energético</w:t>
      </w:r>
      <w:r>
        <w:rPr>
          <w:spacing w:val="-13"/>
        </w:rPr>
        <w:t> </w:t>
      </w:r>
      <w:r>
        <w:rPr/>
        <w:t>dos</w:t>
      </w:r>
      <w:r>
        <w:rPr>
          <w:spacing w:val="-13"/>
        </w:rPr>
        <w:t> </w:t>
      </w:r>
      <w:r>
        <w:rPr/>
        <w:t>estados,</w:t>
      </w:r>
      <w:r>
        <w:rPr>
          <w:spacing w:val="-13"/>
        </w:rPr>
        <w:t> </w:t>
      </w:r>
      <w:r>
        <w:rPr/>
        <w:t>cuja</w:t>
      </w:r>
      <w:r>
        <w:rPr>
          <w:spacing w:val="-14"/>
        </w:rPr>
        <w:t> </w:t>
      </w:r>
      <w:r>
        <w:rPr/>
        <w:t>finalidade</w:t>
      </w:r>
      <w:r>
        <w:rPr>
          <w:spacing w:val="-15"/>
        </w:rPr>
        <w:t> </w:t>
      </w:r>
      <w:r>
        <w:rPr/>
        <w:t>precípua</w:t>
      </w:r>
      <w:r>
        <w:rPr>
          <w:spacing w:val="-14"/>
        </w:rPr>
        <w:t> </w:t>
      </w:r>
      <w:r>
        <w:rPr/>
        <w:t>constitui</w:t>
      </w:r>
      <w:r>
        <w:rPr>
          <w:spacing w:val="-13"/>
        </w:rPr>
        <w:t> </w:t>
      </w:r>
      <w:r>
        <w:rPr/>
        <w:t>em</w:t>
      </w:r>
      <w:r>
        <w:rPr>
          <w:spacing w:val="-13"/>
        </w:rPr>
        <w:t> </w:t>
      </w:r>
      <w:r>
        <w:rPr/>
        <w:t>prover</w:t>
      </w:r>
      <w:r>
        <w:rPr>
          <w:spacing w:val="-14"/>
        </w:rPr>
        <w:t> </w:t>
      </w:r>
      <w:r>
        <w:rPr/>
        <w:t>recursos</w:t>
      </w:r>
      <w:r>
        <w:rPr>
          <w:spacing w:val="-14"/>
        </w:rPr>
        <w:t> </w:t>
      </w:r>
      <w:r>
        <w:rPr/>
        <w:t>para</w:t>
      </w:r>
      <w:r>
        <w:rPr>
          <w:spacing w:val="-14"/>
        </w:rPr>
        <w:t> </w:t>
      </w:r>
      <w:r>
        <w:rPr/>
        <w:t>o custeio</w:t>
      </w:r>
      <w:r>
        <w:rPr>
          <w:spacing w:val="-20"/>
        </w:rPr>
        <w:t> </w:t>
      </w:r>
      <w:r>
        <w:rPr/>
        <w:t>de</w:t>
      </w:r>
      <w:r>
        <w:rPr>
          <w:spacing w:val="-17"/>
        </w:rPr>
        <w:t> </w:t>
      </w:r>
      <w:r>
        <w:rPr/>
        <w:t>políticas</w:t>
      </w:r>
      <w:r>
        <w:rPr>
          <w:spacing w:val="-19"/>
        </w:rPr>
        <w:t> </w:t>
      </w:r>
      <w:r>
        <w:rPr/>
        <w:t>públicas</w:t>
      </w:r>
      <w:r>
        <w:rPr>
          <w:spacing w:val="-18"/>
        </w:rPr>
        <w:t> </w:t>
      </w:r>
      <w:r>
        <w:rPr/>
        <w:t>do</w:t>
      </w:r>
      <w:r>
        <w:rPr>
          <w:spacing w:val="-20"/>
        </w:rPr>
        <w:t> </w:t>
      </w:r>
      <w:r>
        <w:rPr/>
        <w:t>setor</w:t>
      </w:r>
      <w:r>
        <w:rPr>
          <w:spacing w:val="-17"/>
        </w:rPr>
        <w:t> </w:t>
      </w:r>
      <w:r>
        <w:rPr/>
        <w:t>elétrico.</w:t>
      </w:r>
    </w:p>
    <w:p>
      <w:pPr>
        <w:pStyle w:val="BodyText"/>
        <w:spacing w:before="8"/>
      </w:pPr>
    </w:p>
    <w:p>
      <w:pPr>
        <w:pStyle w:val="BodyText"/>
        <w:spacing w:line="242" w:lineRule="auto"/>
        <w:ind w:left="172" w:right="415"/>
        <w:jc w:val="both"/>
      </w:pPr>
      <w:r>
        <w:rPr/>
        <w:t>A CDE tem como finalidade promover a universalização do serviço de energia elétrica; garantir recursos para atendimento</w:t>
      </w:r>
      <w:r>
        <w:rPr>
          <w:spacing w:val="-40"/>
        </w:rPr>
        <w:t> </w:t>
      </w:r>
      <w:r>
        <w:rPr/>
        <w:t>da</w:t>
      </w:r>
      <w:r>
        <w:rPr>
          <w:spacing w:val="-41"/>
        </w:rPr>
        <w:t> </w:t>
      </w:r>
      <w:r>
        <w:rPr/>
        <w:t>subvenção</w:t>
      </w:r>
      <w:r>
        <w:rPr>
          <w:spacing w:val="-41"/>
        </w:rPr>
        <w:t> </w:t>
      </w:r>
      <w:r>
        <w:rPr/>
        <w:t>econômica</w:t>
      </w:r>
      <w:r>
        <w:rPr>
          <w:spacing w:val="-40"/>
        </w:rPr>
        <w:t> </w:t>
      </w:r>
      <w:r>
        <w:rPr/>
        <w:t>destinada</w:t>
      </w:r>
      <w:r>
        <w:rPr>
          <w:spacing w:val="-40"/>
        </w:rPr>
        <w:t> </w:t>
      </w:r>
      <w:r>
        <w:rPr/>
        <w:t>à</w:t>
      </w:r>
      <w:r>
        <w:rPr>
          <w:spacing w:val="-41"/>
        </w:rPr>
        <w:t> </w:t>
      </w:r>
      <w:r>
        <w:rPr/>
        <w:t>modicidade</w:t>
      </w:r>
      <w:r>
        <w:rPr>
          <w:spacing w:val="-41"/>
        </w:rPr>
        <w:t> </w:t>
      </w:r>
      <w:r>
        <w:rPr/>
        <w:t>da</w:t>
      </w:r>
      <w:r>
        <w:rPr>
          <w:spacing w:val="-40"/>
        </w:rPr>
        <w:t> </w:t>
      </w:r>
      <w:r>
        <w:rPr/>
        <w:t>tarifa</w:t>
      </w:r>
      <w:r>
        <w:rPr>
          <w:spacing w:val="-41"/>
        </w:rPr>
        <w:t> </w:t>
      </w:r>
      <w:r>
        <w:rPr/>
        <w:t>dos</w:t>
      </w:r>
      <w:r>
        <w:rPr>
          <w:spacing w:val="-41"/>
        </w:rPr>
        <w:t> </w:t>
      </w:r>
      <w:r>
        <w:rPr/>
        <w:t>consumidores</w:t>
      </w:r>
      <w:r>
        <w:rPr>
          <w:spacing w:val="-41"/>
        </w:rPr>
        <w:t> </w:t>
      </w:r>
      <w:r>
        <w:rPr/>
        <w:t>residenciais</w:t>
      </w:r>
      <w:r>
        <w:rPr>
          <w:spacing w:val="-41"/>
        </w:rPr>
        <w:t> </w:t>
      </w:r>
      <w:r>
        <w:rPr/>
        <w:t>Baixa</w:t>
      </w:r>
      <w:r>
        <w:rPr>
          <w:spacing w:val="-40"/>
        </w:rPr>
        <w:t> </w:t>
      </w:r>
      <w:r>
        <w:rPr/>
        <w:t>Renda; prover recursos para os dispêndios da Conta de Consumo de Combustíveis (CCC); prover recursos e permitir a amortização</w:t>
      </w:r>
      <w:r>
        <w:rPr>
          <w:spacing w:val="-9"/>
        </w:rPr>
        <w:t> </w:t>
      </w:r>
      <w:r>
        <w:rPr/>
        <w:t>de</w:t>
      </w:r>
      <w:r>
        <w:rPr>
          <w:spacing w:val="-8"/>
        </w:rPr>
        <w:t> </w:t>
      </w:r>
      <w:r>
        <w:rPr/>
        <w:t>operações</w:t>
      </w:r>
      <w:r>
        <w:rPr>
          <w:spacing w:val="-9"/>
        </w:rPr>
        <w:t> </w:t>
      </w:r>
      <w:r>
        <w:rPr/>
        <w:t>financeiras</w:t>
      </w:r>
      <w:r>
        <w:rPr>
          <w:spacing w:val="-8"/>
        </w:rPr>
        <w:t> </w:t>
      </w:r>
      <w:r>
        <w:rPr/>
        <w:t>vinculados</w:t>
      </w:r>
      <w:r>
        <w:rPr>
          <w:spacing w:val="-8"/>
        </w:rPr>
        <w:t> </w:t>
      </w:r>
      <w:r>
        <w:rPr/>
        <w:t>à</w:t>
      </w:r>
      <w:r>
        <w:rPr>
          <w:spacing w:val="-8"/>
        </w:rPr>
        <w:t> </w:t>
      </w:r>
      <w:r>
        <w:rPr/>
        <w:t>indenização</w:t>
      </w:r>
      <w:r>
        <w:rPr>
          <w:spacing w:val="-9"/>
        </w:rPr>
        <w:t> </w:t>
      </w:r>
      <w:r>
        <w:rPr/>
        <w:t>por</w:t>
      </w:r>
      <w:r>
        <w:rPr>
          <w:spacing w:val="-9"/>
        </w:rPr>
        <w:t> </w:t>
      </w:r>
      <w:r>
        <w:rPr/>
        <w:t>ocasião</w:t>
      </w:r>
      <w:r>
        <w:rPr>
          <w:spacing w:val="-8"/>
        </w:rPr>
        <w:t> </w:t>
      </w:r>
      <w:r>
        <w:rPr/>
        <w:t>da</w:t>
      </w:r>
      <w:r>
        <w:rPr>
          <w:spacing w:val="-9"/>
        </w:rPr>
        <w:t> </w:t>
      </w:r>
      <w:r>
        <w:rPr/>
        <w:t>reversão</w:t>
      </w:r>
      <w:r>
        <w:rPr>
          <w:spacing w:val="-8"/>
        </w:rPr>
        <w:t> </w:t>
      </w:r>
      <w:r>
        <w:rPr/>
        <w:t>das</w:t>
      </w:r>
      <w:r>
        <w:rPr>
          <w:spacing w:val="-9"/>
        </w:rPr>
        <w:t> </w:t>
      </w:r>
      <w:r>
        <w:rPr/>
        <w:t>concessões</w:t>
      </w:r>
      <w:r>
        <w:rPr>
          <w:spacing w:val="-8"/>
        </w:rPr>
        <w:t> </w:t>
      </w:r>
      <w:r>
        <w:rPr/>
        <w:t>ou</w:t>
      </w:r>
      <w:r>
        <w:rPr>
          <w:spacing w:val="-8"/>
        </w:rPr>
        <w:t> </w:t>
      </w:r>
      <w:r>
        <w:rPr/>
        <w:t>para atender</w:t>
      </w:r>
      <w:r>
        <w:rPr>
          <w:spacing w:val="-33"/>
        </w:rPr>
        <w:t> </w:t>
      </w:r>
      <w:r>
        <w:rPr/>
        <w:t>à</w:t>
      </w:r>
      <w:r>
        <w:rPr>
          <w:spacing w:val="-32"/>
        </w:rPr>
        <w:t> </w:t>
      </w:r>
      <w:r>
        <w:rPr/>
        <w:t>finalidade</w:t>
      </w:r>
      <w:r>
        <w:rPr>
          <w:spacing w:val="-34"/>
        </w:rPr>
        <w:t> </w:t>
      </w:r>
      <w:r>
        <w:rPr/>
        <w:t>de</w:t>
      </w:r>
      <w:r>
        <w:rPr>
          <w:spacing w:val="-33"/>
        </w:rPr>
        <w:t> </w:t>
      </w:r>
      <w:r>
        <w:rPr/>
        <w:t>modicidade</w:t>
      </w:r>
      <w:r>
        <w:rPr>
          <w:spacing w:val="-34"/>
        </w:rPr>
        <w:t> </w:t>
      </w:r>
      <w:r>
        <w:rPr/>
        <w:t>tarifária;</w:t>
      </w:r>
      <w:r>
        <w:rPr>
          <w:spacing w:val="-31"/>
        </w:rPr>
        <w:t> </w:t>
      </w:r>
      <w:r>
        <w:rPr/>
        <w:t>e</w:t>
      </w:r>
      <w:r>
        <w:rPr>
          <w:spacing w:val="-34"/>
        </w:rPr>
        <w:t> </w:t>
      </w:r>
      <w:r>
        <w:rPr/>
        <w:t>promover</w:t>
      </w:r>
      <w:r>
        <w:rPr>
          <w:spacing w:val="-33"/>
        </w:rPr>
        <w:t> </w:t>
      </w:r>
      <w:r>
        <w:rPr/>
        <w:t>a</w:t>
      </w:r>
      <w:r>
        <w:rPr>
          <w:spacing w:val="-33"/>
        </w:rPr>
        <w:t> </w:t>
      </w:r>
      <w:r>
        <w:rPr/>
        <w:t>competitividade</w:t>
      </w:r>
      <w:r>
        <w:rPr>
          <w:spacing w:val="-32"/>
        </w:rPr>
        <w:t> </w:t>
      </w:r>
      <w:r>
        <w:rPr/>
        <w:t>da</w:t>
      </w:r>
      <w:r>
        <w:rPr>
          <w:spacing w:val="-33"/>
        </w:rPr>
        <w:t> </w:t>
      </w:r>
      <w:r>
        <w:rPr/>
        <w:t>energia</w:t>
      </w:r>
      <w:r>
        <w:rPr>
          <w:spacing w:val="-32"/>
        </w:rPr>
        <w:t> </w:t>
      </w:r>
      <w:r>
        <w:rPr/>
        <w:t>produzida</w:t>
      </w:r>
      <w:r>
        <w:rPr>
          <w:spacing w:val="-33"/>
        </w:rPr>
        <w:t> </w:t>
      </w:r>
      <w:r>
        <w:rPr/>
        <w:t>a</w:t>
      </w:r>
      <w:r>
        <w:rPr>
          <w:spacing w:val="-33"/>
        </w:rPr>
        <w:t> </w:t>
      </w:r>
      <w:r>
        <w:rPr/>
        <w:t>partir</w:t>
      </w:r>
      <w:r>
        <w:rPr>
          <w:spacing w:val="-33"/>
        </w:rPr>
        <w:t> </w:t>
      </w:r>
      <w:r>
        <w:rPr/>
        <w:t>de</w:t>
      </w:r>
      <w:r>
        <w:rPr>
          <w:spacing w:val="-34"/>
        </w:rPr>
        <w:t> </w:t>
      </w:r>
      <w:r>
        <w:rPr/>
        <w:t>fontes eólica,</w:t>
      </w:r>
      <w:r>
        <w:rPr>
          <w:spacing w:val="-34"/>
        </w:rPr>
        <w:t> </w:t>
      </w:r>
      <w:r>
        <w:rPr/>
        <w:t>pequenas</w:t>
      </w:r>
      <w:r>
        <w:rPr>
          <w:spacing w:val="-33"/>
        </w:rPr>
        <w:t> </w:t>
      </w:r>
      <w:r>
        <w:rPr/>
        <w:t>centrais</w:t>
      </w:r>
      <w:r>
        <w:rPr>
          <w:spacing w:val="-33"/>
        </w:rPr>
        <w:t> </w:t>
      </w:r>
      <w:r>
        <w:rPr/>
        <w:t>hidrelétricas,</w:t>
      </w:r>
      <w:r>
        <w:rPr>
          <w:spacing w:val="-32"/>
        </w:rPr>
        <w:t> </w:t>
      </w:r>
      <w:r>
        <w:rPr/>
        <w:t>biomassa,</w:t>
      </w:r>
      <w:r>
        <w:rPr>
          <w:spacing w:val="-34"/>
        </w:rPr>
        <w:t> </w:t>
      </w:r>
      <w:r>
        <w:rPr/>
        <w:t>gás</w:t>
      </w:r>
      <w:r>
        <w:rPr>
          <w:spacing w:val="-33"/>
        </w:rPr>
        <w:t> </w:t>
      </w:r>
      <w:r>
        <w:rPr/>
        <w:t>natural</w:t>
      </w:r>
      <w:r>
        <w:rPr>
          <w:spacing w:val="-33"/>
        </w:rPr>
        <w:t> </w:t>
      </w:r>
      <w:r>
        <w:rPr/>
        <w:t>e</w:t>
      </w:r>
      <w:r>
        <w:rPr>
          <w:spacing w:val="-34"/>
        </w:rPr>
        <w:t> </w:t>
      </w:r>
      <w:r>
        <w:rPr/>
        <w:t>carvão</w:t>
      </w:r>
      <w:r>
        <w:rPr>
          <w:spacing w:val="-33"/>
        </w:rPr>
        <w:t> </w:t>
      </w:r>
      <w:r>
        <w:rPr/>
        <w:t>mineral</w:t>
      </w:r>
      <w:r>
        <w:rPr>
          <w:spacing w:val="-33"/>
        </w:rPr>
        <w:t> </w:t>
      </w:r>
      <w:r>
        <w:rPr/>
        <w:t>nacional,</w:t>
      </w:r>
      <w:r>
        <w:rPr>
          <w:spacing w:val="-34"/>
        </w:rPr>
        <w:t> </w:t>
      </w:r>
      <w:r>
        <w:rPr/>
        <w:t>nas</w:t>
      </w:r>
      <w:r>
        <w:rPr>
          <w:spacing w:val="-33"/>
        </w:rPr>
        <w:t> </w:t>
      </w:r>
      <w:r>
        <w:rPr/>
        <w:t>áreas</w:t>
      </w:r>
      <w:r>
        <w:rPr>
          <w:spacing w:val="-33"/>
        </w:rPr>
        <w:t> </w:t>
      </w:r>
      <w:r>
        <w:rPr/>
        <w:t>atendidas</w:t>
      </w:r>
      <w:r>
        <w:rPr>
          <w:spacing w:val="-33"/>
        </w:rPr>
        <w:t> </w:t>
      </w:r>
      <w:r>
        <w:rPr/>
        <w:t>pelos sistemas</w:t>
      </w:r>
      <w:r>
        <w:rPr>
          <w:spacing w:val="-18"/>
        </w:rPr>
        <w:t> </w:t>
      </w:r>
      <w:r>
        <w:rPr/>
        <w:t>interligados.</w:t>
      </w:r>
    </w:p>
    <w:p>
      <w:pPr>
        <w:pStyle w:val="BodyText"/>
        <w:spacing w:before="7"/>
      </w:pPr>
    </w:p>
    <w:p>
      <w:pPr>
        <w:pStyle w:val="BodyText"/>
        <w:spacing w:line="242" w:lineRule="auto"/>
        <w:ind w:left="172" w:right="406"/>
        <w:jc w:val="both"/>
      </w:pPr>
      <w:r>
        <w:rPr/>
        <w:t>Com</w:t>
      </w:r>
      <w:r>
        <w:rPr>
          <w:spacing w:val="-15"/>
        </w:rPr>
        <w:t> </w:t>
      </w:r>
      <w:r>
        <w:rPr/>
        <w:t>a</w:t>
      </w:r>
      <w:r>
        <w:rPr>
          <w:spacing w:val="-15"/>
        </w:rPr>
        <w:t> </w:t>
      </w:r>
      <w:r>
        <w:rPr/>
        <w:t>publicação</w:t>
      </w:r>
      <w:r>
        <w:rPr>
          <w:spacing w:val="-14"/>
        </w:rPr>
        <w:t> </w:t>
      </w:r>
      <w:r>
        <w:rPr/>
        <w:t>da</w:t>
      </w:r>
      <w:r>
        <w:rPr>
          <w:spacing w:val="-15"/>
        </w:rPr>
        <w:t> </w:t>
      </w:r>
      <w:r>
        <w:rPr/>
        <w:t>Medida</w:t>
      </w:r>
      <w:r>
        <w:rPr>
          <w:spacing w:val="-14"/>
        </w:rPr>
        <w:t> </w:t>
      </w:r>
      <w:r>
        <w:rPr/>
        <w:t>Provisória</w:t>
      </w:r>
      <w:r>
        <w:rPr>
          <w:spacing w:val="-12"/>
        </w:rPr>
        <w:t> </w:t>
      </w:r>
      <w:r>
        <w:rPr/>
        <w:t>nº</w:t>
      </w:r>
      <w:r>
        <w:rPr>
          <w:spacing w:val="-14"/>
        </w:rPr>
        <w:t> </w:t>
      </w:r>
      <w:r>
        <w:rPr/>
        <w:t>579,</w:t>
      </w:r>
      <w:r>
        <w:rPr>
          <w:spacing w:val="-13"/>
        </w:rPr>
        <w:t> </w:t>
      </w:r>
      <w:r>
        <w:rPr/>
        <w:t>de</w:t>
      </w:r>
      <w:r>
        <w:rPr>
          <w:spacing w:val="-14"/>
        </w:rPr>
        <w:t> </w:t>
      </w:r>
      <w:r>
        <w:rPr/>
        <w:t>11</w:t>
      </w:r>
      <w:r>
        <w:rPr>
          <w:spacing w:val="-7"/>
        </w:rPr>
        <w:t> </w:t>
      </w:r>
      <w:r>
        <w:rPr/>
        <w:t>de</w:t>
      </w:r>
      <w:r>
        <w:rPr>
          <w:spacing w:val="-16"/>
        </w:rPr>
        <w:t> </w:t>
      </w:r>
      <w:r>
        <w:rPr/>
        <w:t>setembro</w:t>
      </w:r>
      <w:r>
        <w:rPr>
          <w:spacing w:val="-12"/>
        </w:rPr>
        <w:t> </w:t>
      </w:r>
      <w:r>
        <w:rPr/>
        <w:t>de</w:t>
      </w:r>
      <w:r>
        <w:rPr>
          <w:spacing w:val="-13"/>
        </w:rPr>
        <w:t> </w:t>
      </w:r>
      <w:r>
        <w:rPr/>
        <w:t>2012</w:t>
      </w:r>
      <w:r>
        <w:rPr>
          <w:spacing w:val="-12"/>
        </w:rPr>
        <w:t> </w:t>
      </w:r>
      <w:r>
        <w:rPr/>
        <w:t>(convertida</w:t>
      </w:r>
      <w:r>
        <w:rPr>
          <w:spacing w:val="-14"/>
        </w:rPr>
        <w:t> </w:t>
      </w:r>
      <w:r>
        <w:rPr/>
        <w:t>na</w:t>
      </w:r>
      <w:r>
        <w:rPr>
          <w:spacing w:val="-14"/>
        </w:rPr>
        <w:t> </w:t>
      </w:r>
      <w:r>
        <w:rPr/>
        <w:t>Lei</w:t>
      </w:r>
      <w:r>
        <w:rPr>
          <w:spacing w:val="-14"/>
        </w:rPr>
        <w:t> </w:t>
      </w:r>
      <w:r>
        <w:rPr/>
        <w:t>nº</w:t>
      </w:r>
      <w:r>
        <w:rPr>
          <w:spacing w:val="-14"/>
        </w:rPr>
        <w:t> </w:t>
      </w:r>
      <w:r>
        <w:rPr/>
        <w:t>12.783,</w:t>
      </w:r>
      <w:r>
        <w:rPr>
          <w:spacing w:val="-15"/>
        </w:rPr>
        <w:t> </w:t>
      </w:r>
      <w:r>
        <w:rPr/>
        <w:t>de</w:t>
      </w:r>
      <w:r>
        <w:rPr>
          <w:spacing w:val="-14"/>
        </w:rPr>
        <w:t> </w:t>
      </w:r>
      <w:r>
        <w:rPr/>
        <w:t>11</w:t>
      </w:r>
      <w:r>
        <w:rPr>
          <w:spacing w:val="-9"/>
        </w:rPr>
        <w:t> </w:t>
      </w:r>
      <w:r>
        <w:rPr/>
        <w:t>de janeiro</w:t>
      </w:r>
      <w:r>
        <w:rPr>
          <w:spacing w:val="-18"/>
        </w:rPr>
        <w:t> </w:t>
      </w:r>
      <w:r>
        <w:rPr/>
        <w:t>de</w:t>
      </w:r>
      <w:r>
        <w:rPr>
          <w:spacing w:val="-18"/>
        </w:rPr>
        <w:t> </w:t>
      </w:r>
      <w:r>
        <w:rPr/>
        <w:t>2013),</w:t>
      </w:r>
      <w:r>
        <w:rPr>
          <w:spacing w:val="-17"/>
        </w:rPr>
        <w:t> </w:t>
      </w:r>
      <w:r>
        <w:rPr/>
        <w:t>e</w:t>
      </w:r>
      <w:r>
        <w:rPr>
          <w:spacing w:val="-17"/>
        </w:rPr>
        <w:t> </w:t>
      </w:r>
      <w:r>
        <w:rPr/>
        <w:t>da</w:t>
      </w:r>
      <w:r>
        <w:rPr>
          <w:spacing w:val="-17"/>
        </w:rPr>
        <w:t> </w:t>
      </w:r>
      <w:r>
        <w:rPr/>
        <w:t>Medida</w:t>
      </w:r>
      <w:r>
        <w:rPr>
          <w:spacing w:val="-17"/>
        </w:rPr>
        <w:t> </w:t>
      </w:r>
      <w:r>
        <w:rPr/>
        <w:t>Provisória</w:t>
      </w:r>
      <w:r>
        <w:rPr>
          <w:spacing w:val="-17"/>
        </w:rPr>
        <w:t> </w:t>
      </w:r>
      <w:r>
        <w:rPr/>
        <w:t>nº</w:t>
      </w:r>
      <w:r>
        <w:rPr>
          <w:spacing w:val="-17"/>
        </w:rPr>
        <w:t> </w:t>
      </w:r>
      <w:r>
        <w:rPr/>
        <w:t>605,</w:t>
      </w:r>
      <w:r>
        <w:rPr>
          <w:spacing w:val="-16"/>
        </w:rPr>
        <w:t> </w:t>
      </w:r>
      <w:r>
        <w:rPr/>
        <w:t>vigente</w:t>
      </w:r>
      <w:r>
        <w:rPr>
          <w:spacing w:val="-18"/>
        </w:rPr>
        <w:t> </w:t>
      </w:r>
      <w:r>
        <w:rPr/>
        <w:t>no</w:t>
      </w:r>
      <w:r>
        <w:rPr>
          <w:spacing w:val="-18"/>
        </w:rPr>
        <w:t> </w:t>
      </w:r>
      <w:r>
        <w:rPr/>
        <w:t>período</w:t>
      </w:r>
      <w:r>
        <w:rPr>
          <w:spacing w:val="-17"/>
        </w:rPr>
        <w:t> </w:t>
      </w:r>
      <w:r>
        <w:rPr/>
        <w:t>de</w:t>
      </w:r>
      <w:r>
        <w:rPr>
          <w:spacing w:val="-19"/>
        </w:rPr>
        <w:t> </w:t>
      </w:r>
      <w:r>
        <w:rPr/>
        <w:t>23</w:t>
      </w:r>
      <w:r>
        <w:rPr>
          <w:spacing w:val="-10"/>
        </w:rPr>
        <w:t> </w:t>
      </w:r>
      <w:r>
        <w:rPr/>
        <w:t>de</w:t>
      </w:r>
      <w:r>
        <w:rPr>
          <w:spacing w:val="-17"/>
        </w:rPr>
        <w:t> </w:t>
      </w:r>
      <w:r>
        <w:rPr/>
        <w:t>janeiro</w:t>
      </w:r>
      <w:r>
        <w:rPr>
          <w:spacing w:val="-17"/>
        </w:rPr>
        <w:t> </w:t>
      </w:r>
      <w:r>
        <w:rPr/>
        <w:t>a</w:t>
      </w:r>
      <w:r>
        <w:rPr>
          <w:spacing w:val="-16"/>
        </w:rPr>
        <w:t> </w:t>
      </w:r>
      <w:r>
        <w:rPr/>
        <w:t>03</w:t>
      </w:r>
      <w:r>
        <w:rPr>
          <w:spacing w:val="-17"/>
        </w:rPr>
        <w:t> </w:t>
      </w:r>
      <w:r>
        <w:rPr/>
        <w:t>de</w:t>
      </w:r>
      <w:r>
        <w:rPr>
          <w:spacing w:val="-17"/>
        </w:rPr>
        <w:t> </w:t>
      </w:r>
      <w:r>
        <w:rPr/>
        <w:t>junho</w:t>
      </w:r>
      <w:r>
        <w:rPr>
          <w:spacing w:val="-16"/>
        </w:rPr>
        <w:t> </w:t>
      </w:r>
      <w:r>
        <w:rPr/>
        <w:t>de</w:t>
      </w:r>
      <w:r>
        <w:rPr>
          <w:spacing w:val="-16"/>
        </w:rPr>
        <w:t> </w:t>
      </w:r>
      <w:r>
        <w:rPr/>
        <w:t>2013,</w:t>
      </w:r>
      <w:r>
        <w:rPr>
          <w:spacing w:val="-18"/>
        </w:rPr>
        <w:t> </w:t>
      </w:r>
      <w:r>
        <w:rPr/>
        <w:t>a</w:t>
      </w:r>
      <w:r>
        <w:rPr>
          <w:spacing w:val="-17"/>
        </w:rPr>
        <w:t> </w:t>
      </w:r>
      <w:r>
        <w:rPr/>
        <w:t>CDE teve</w:t>
      </w:r>
      <w:r>
        <w:rPr>
          <w:spacing w:val="-32"/>
        </w:rPr>
        <w:t> </w:t>
      </w:r>
      <w:r>
        <w:rPr/>
        <w:t>seu</w:t>
      </w:r>
      <w:r>
        <w:rPr>
          <w:spacing w:val="-31"/>
        </w:rPr>
        <w:t> </w:t>
      </w:r>
      <w:r>
        <w:rPr/>
        <w:t>rol</w:t>
      </w:r>
      <w:r>
        <w:rPr>
          <w:spacing w:val="-31"/>
        </w:rPr>
        <w:t> </w:t>
      </w:r>
      <w:r>
        <w:rPr/>
        <w:t>de</w:t>
      </w:r>
      <w:r>
        <w:rPr>
          <w:spacing w:val="-32"/>
        </w:rPr>
        <w:t> </w:t>
      </w:r>
      <w:r>
        <w:rPr/>
        <w:t>destinações</w:t>
      </w:r>
      <w:r>
        <w:rPr>
          <w:spacing w:val="-30"/>
        </w:rPr>
        <w:t> </w:t>
      </w:r>
      <w:r>
        <w:rPr/>
        <w:t>ampliado,</w:t>
      </w:r>
      <w:r>
        <w:rPr>
          <w:spacing w:val="-31"/>
        </w:rPr>
        <w:t> </w:t>
      </w:r>
      <w:r>
        <w:rPr/>
        <w:t>quais</w:t>
      </w:r>
      <w:r>
        <w:rPr>
          <w:spacing w:val="-31"/>
        </w:rPr>
        <w:t> </w:t>
      </w:r>
      <w:r>
        <w:rPr/>
        <w:t>sejam:</w:t>
      </w:r>
      <w:r>
        <w:rPr>
          <w:spacing w:val="-31"/>
        </w:rPr>
        <w:t> </w:t>
      </w:r>
      <w:r>
        <w:rPr/>
        <w:t>prover</w:t>
      </w:r>
      <w:r>
        <w:rPr>
          <w:spacing w:val="-32"/>
        </w:rPr>
        <w:t> </w:t>
      </w:r>
      <w:r>
        <w:rPr/>
        <w:t>recursos</w:t>
      </w:r>
      <w:r>
        <w:rPr>
          <w:spacing w:val="-31"/>
        </w:rPr>
        <w:t> </w:t>
      </w:r>
      <w:r>
        <w:rPr/>
        <w:t>para</w:t>
      </w:r>
      <w:r>
        <w:rPr>
          <w:spacing w:val="-30"/>
        </w:rPr>
        <w:t> </w:t>
      </w:r>
      <w:r>
        <w:rPr/>
        <w:t>compensar</w:t>
      </w:r>
      <w:r>
        <w:rPr>
          <w:spacing w:val="-31"/>
        </w:rPr>
        <w:t> </w:t>
      </w:r>
      <w:r>
        <w:rPr/>
        <w:t>descontos</w:t>
      </w:r>
      <w:r>
        <w:rPr>
          <w:spacing w:val="-31"/>
        </w:rPr>
        <w:t> </w:t>
      </w:r>
      <w:r>
        <w:rPr/>
        <w:t>aplicados</w:t>
      </w:r>
      <w:r>
        <w:rPr>
          <w:spacing w:val="-31"/>
        </w:rPr>
        <w:t> </w:t>
      </w:r>
      <w:r>
        <w:rPr/>
        <w:t>nas</w:t>
      </w:r>
      <w:r>
        <w:rPr>
          <w:spacing w:val="-31"/>
        </w:rPr>
        <w:t> </w:t>
      </w:r>
      <w:r>
        <w:rPr/>
        <w:t>tarifas de</w:t>
      </w:r>
      <w:r>
        <w:rPr>
          <w:spacing w:val="-34"/>
        </w:rPr>
        <w:t> </w:t>
      </w:r>
      <w:r>
        <w:rPr/>
        <w:t>uso</w:t>
      </w:r>
      <w:r>
        <w:rPr>
          <w:spacing w:val="-32"/>
        </w:rPr>
        <w:t> </w:t>
      </w:r>
      <w:r>
        <w:rPr/>
        <w:t>dos</w:t>
      </w:r>
      <w:r>
        <w:rPr>
          <w:spacing w:val="-33"/>
        </w:rPr>
        <w:t> </w:t>
      </w:r>
      <w:r>
        <w:rPr/>
        <w:t>sistemas</w:t>
      </w:r>
      <w:r>
        <w:rPr>
          <w:spacing w:val="-32"/>
        </w:rPr>
        <w:t> </w:t>
      </w:r>
      <w:r>
        <w:rPr/>
        <w:t>elétricos</w:t>
      </w:r>
      <w:r>
        <w:rPr>
          <w:spacing w:val="-33"/>
        </w:rPr>
        <w:t> </w:t>
      </w:r>
      <w:r>
        <w:rPr/>
        <w:t>de</w:t>
      </w:r>
      <w:r>
        <w:rPr>
          <w:spacing w:val="-33"/>
        </w:rPr>
        <w:t> </w:t>
      </w:r>
      <w:r>
        <w:rPr/>
        <w:t>distribuição</w:t>
      </w:r>
      <w:r>
        <w:rPr>
          <w:spacing w:val="-32"/>
        </w:rPr>
        <w:t> </w:t>
      </w:r>
      <w:r>
        <w:rPr/>
        <w:t>e</w:t>
      </w:r>
      <w:r>
        <w:rPr>
          <w:spacing w:val="-33"/>
        </w:rPr>
        <w:t> </w:t>
      </w:r>
      <w:r>
        <w:rPr/>
        <w:t>nas</w:t>
      </w:r>
      <w:r>
        <w:rPr>
          <w:spacing w:val="-32"/>
        </w:rPr>
        <w:t> </w:t>
      </w:r>
      <w:r>
        <w:rPr/>
        <w:t>tarifas</w:t>
      </w:r>
      <w:r>
        <w:rPr>
          <w:spacing w:val="-33"/>
        </w:rPr>
        <w:t> </w:t>
      </w:r>
      <w:r>
        <w:rPr/>
        <w:t>de</w:t>
      </w:r>
      <w:r>
        <w:rPr>
          <w:spacing w:val="-32"/>
        </w:rPr>
        <w:t> </w:t>
      </w:r>
      <w:r>
        <w:rPr/>
        <w:t>energia</w:t>
      </w:r>
      <w:r>
        <w:rPr>
          <w:spacing w:val="-32"/>
        </w:rPr>
        <w:t> </w:t>
      </w:r>
      <w:r>
        <w:rPr/>
        <w:t>elétrica</w:t>
      </w:r>
      <w:r>
        <w:rPr>
          <w:spacing w:val="-33"/>
        </w:rPr>
        <w:t> </w:t>
      </w:r>
      <w:r>
        <w:rPr/>
        <w:t>(na</w:t>
      </w:r>
      <w:r>
        <w:rPr>
          <w:spacing w:val="-32"/>
        </w:rPr>
        <w:t> </w:t>
      </w:r>
      <w:r>
        <w:rPr/>
        <w:t>vigência</w:t>
      </w:r>
      <w:r>
        <w:rPr>
          <w:spacing w:val="-33"/>
        </w:rPr>
        <w:t> </w:t>
      </w:r>
      <w:r>
        <w:rPr/>
        <w:t>da</w:t>
      </w:r>
      <w:r>
        <w:rPr>
          <w:spacing w:val="-33"/>
        </w:rPr>
        <w:t> </w:t>
      </w:r>
      <w:r>
        <w:rPr/>
        <w:t>MP</w:t>
      </w:r>
      <w:r>
        <w:rPr>
          <w:spacing w:val="-32"/>
        </w:rPr>
        <w:t> </w:t>
      </w:r>
      <w:r>
        <w:rPr/>
        <w:t>605/2013);</w:t>
      </w:r>
      <w:r>
        <w:rPr>
          <w:spacing w:val="-32"/>
        </w:rPr>
        <w:t> </w:t>
      </w:r>
      <w:r>
        <w:rPr/>
        <w:t>e</w:t>
      </w:r>
      <w:r>
        <w:rPr>
          <w:spacing w:val="-33"/>
        </w:rPr>
        <w:t> </w:t>
      </w:r>
      <w:r>
        <w:rPr/>
        <w:t>prover recursos para compensar o efeito da não adesão à prorrogação de concessões de geração de energia elétrica, assegurando</w:t>
      </w:r>
      <w:r>
        <w:rPr>
          <w:spacing w:val="-36"/>
        </w:rPr>
        <w:t> </w:t>
      </w:r>
      <w:r>
        <w:rPr/>
        <w:t>o</w:t>
      </w:r>
      <w:r>
        <w:rPr>
          <w:spacing w:val="-35"/>
        </w:rPr>
        <w:t> </w:t>
      </w:r>
      <w:r>
        <w:rPr/>
        <w:t>equilíbrio</w:t>
      </w:r>
      <w:r>
        <w:rPr>
          <w:spacing w:val="-35"/>
        </w:rPr>
        <w:t> </w:t>
      </w:r>
      <w:r>
        <w:rPr/>
        <w:t>da</w:t>
      </w:r>
      <w:r>
        <w:rPr>
          <w:spacing w:val="-32"/>
        </w:rPr>
        <w:t> </w:t>
      </w:r>
      <w:r>
        <w:rPr/>
        <w:t>redução</w:t>
      </w:r>
      <w:r>
        <w:rPr>
          <w:spacing w:val="-35"/>
        </w:rPr>
        <w:t> </w:t>
      </w:r>
      <w:r>
        <w:rPr/>
        <w:t>das</w:t>
      </w:r>
      <w:r>
        <w:rPr>
          <w:spacing w:val="-36"/>
        </w:rPr>
        <w:t> </w:t>
      </w:r>
      <w:r>
        <w:rPr/>
        <w:t>tarifas</w:t>
      </w:r>
      <w:r>
        <w:rPr>
          <w:spacing w:val="-36"/>
        </w:rPr>
        <w:t> </w:t>
      </w:r>
      <w:r>
        <w:rPr/>
        <w:t>das</w:t>
      </w:r>
      <w:r>
        <w:rPr>
          <w:spacing w:val="-35"/>
        </w:rPr>
        <w:t> </w:t>
      </w:r>
      <w:r>
        <w:rPr/>
        <w:t>concessionárias</w:t>
      </w:r>
      <w:r>
        <w:rPr>
          <w:spacing w:val="-35"/>
        </w:rPr>
        <w:t> </w:t>
      </w:r>
      <w:r>
        <w:rPr/>
        <w:t>de</w:t>
      </w:r>
      <w:r>
        <w:rPr>
          <w:spacing w:val="-37"/>
        </w:rPr>
        <w:t> </w:t>
      </w:r>
      <w:r>
        <w:rPr/>
        <w:t>distribuição</w:t>
      </w:r>
      <w:r>
        <w:rPr>
          <w:spacing w:val="-36"/>
        </w:rPr>
        <w:t> </w:t>
      </w:r>
      <w:r>
        <w:rPr/>
        <w:t>(na</w:t>
      </w:r>
      <w:r>
        <w:rPr>
          <w:spacing w:val="-36"/>
        </w:rPr>
        <w:t> </w:t>
      </w:r>
      <w:r>
        <w:rPr/>
        <w:t>vigência</w:t>
      </w:r>
      <w:r>
        <w:rPr>
          <w:spacing w:val="-34"/>
        </w:rPr>
        <w:t> </w:t>
      </w:r>
      <w:r>
        <w:rPr/>
        <w:t>da</w:t>
      </w:r>
      <w:r>
        <w:rPr>
          <w:spacing w:val="-35"/>
        </w:rPr>
        <w:t> </w:t>
      </w:r>
      <w:r>
        <w:rPr/>
        <w:t>MP</w:t>
      </w:r>
      <w:r>
        <w:rPr>
          <w:spacing w:val="-33"/>
        </w:rPr>
        <w:t> </w:t>
      </w:r>
      <w:r>
        <w:rPr/>
        <w:t>nº</w:t>
      </w:r>
      <w:r>
        <w:rPr>
          <w:spacing w:val="-36"/>
        </w:rPr>
        <w:t> </w:t>
      </w:r>
      <w:r>
        <w:rPr/>
        <w:t>605/2013).</w:t>
      </w:r>
    </w:p>
    <w:p>
      <w:pPr>
        <w:pStyle w:val="BodyText"/>
        <w:spacing w:before="8"/>
      </w:pPr>
    </w:p>
    <w:p>
      <w:pPr>
        <w:pStyle w:val="BodyText"/>
        <w:spacing w:line="242" w:lineRule="auto"/>
        <w:ind w:left="172" w:right="406"/>
        <w:jc w:val="both"/>
      </w:pPr>
      <w:r>
        <w:rPr/>
        <w:t>Em</w:t>
      </w:r>
      <w:r>
        <w:rPr>
          <w:spacing w:val="-11"/>
        </w:rPr>
        <w:t> </w:t>
      </w:r>
      <w:r>
        <w:rPr/>
        <w:t>caráter</w:t>
      </w:r>
      <w:r>
        <w:rPr>
          <w:spacing w:val="-10"/>
        </w:rPr>
        <w:t> </w:t>
      </w:r>
      <w:r>
        <w:rPr/>
        <w:t>excepcional,</w:t>
      </w:r>
      <w:r>
        <w:rPr>
          <w:spacing w:val="-10"/>
        </w:rPr>
        <w:t> </w:t>
      </w:r>
      <w:r>
        <w:rPr/>
        <w:t>visando</w:t>
      </w:r>
      <w:r>
        <w:rPr>
          <w:spacing w:val="-11"/>
        </w:rPr>
        <w:t> </w:t>
      </w:r>
      <w:r>
        <w:rPr/>
        <w:t>atenuar</w:t>
      </w:r>
      <w:r>
        <w:rPr>
          <w:spacing w:val="-10"/>
        </w:rPr>
        <w:t> </w:t>
      </w:r>
      <w:r>
        <w:rPr/>
        <w:t>os</w:t>
      </w:r>
      <w:r>
        <w:rPr>
          <w:spacing w:val="-9"/>
        </w:rPr>
        <w:t> </w:t>
      </w:r>
      <w:r>
        <w:rPr/>
        <w:t>efeitos</w:t>
      </w:r>
      <w:r>
        <w:rPr>
          <w:spacing w:val="-10"/>
        </w:rPr>
        <w:t> </w:t>
      </w:r>
      <w:r>
        <w:rPr/>
        <w:t>da</w:t>
      </w:r>
      <w:r>
        <w:rPr>
          <w:spacing w:val="-8"/>
        </w:rPr>
        <w:t> </w:t>
      </w:r>
      <w:r>
        <w:rPr/>
        <w:t>conjuntura</w:t>
      </w:r>
      <w:r>
        <w:rPr>
          <w:spacing w:val="-10"/>
        </w:rPr>
        <w:t> </w:t>
      </w:r>
      <w:r>
        <w:rPr/>
        <w:t>hidrológica</w:t>
      </w:r>
      <w:r>
        <w:rPr>
          <w:spacing w:val="-9"/>
        </w:rPr>
        <w:t> </w:t>
      </w:r>
      <w:r>
        <w:rPr/>
        <w:t>desfavorável,</w:t>
      </w:r>
      <w:r>
        <w:rPr>
          <w:spacing w:val="-11"/>
        </w:rPr>
        <w:t> </w:t>
      </w:r>
      <w:r>
        <w:rPr/>
        <w:t>diante</w:t>
      </w:r>
      <w:r>
        <w:rPr>
          <w:spacing w:val="-11"/>
        </w:rPr>
        <w:t> </w:t>
      </w:r>
      <w:r>
        <w:rPr/>
        <w:t>das</w:t>
      </w:r>
      <w:r>
        <w:rPr>
          <w:spacing w:val="-9"/>
        </w:rPr>
        <w:t> </w:t>
      </w:r>
      <w:r>
        <w:rPr/>
        <w:t>medidas empreendidas</w:t>
      </w:r>
      <w:r>
        <w:rPr>
          <w:spacing w:val="-45"/>
        </w:rPr>
        <w:t> </w:t>
      </w:r>
      <w:r>
        <w:rPr/>
        <w:t>pelo</w:t>
      </w:r>
      <w:r>
        <w:rPr>
          <w:spacing w:val="-46"/>
        </w:rPr>
        <w:t> </w:t>
      </w:r>
      <w:r>
        <w:rPr/>
        <w:t>Governo</w:t>
      </w:r>
      <w:r>
        <w:rPr>
          <w:spacing w:val="-44"/>
        </w:rPr>
        <w:t> </w:t>
      </w:r>
      <w:r>
        <w:rPr/>
        <w:t>Federal</w:t>
      </w:r>
      <w:r>
        <w:rPr>
          <w:spacing w:val="-44"/>
        </w:rPr>
        <w:t> </w:t>
      </w:r>
      <w:r>
        <w:rPr/>
        <w:t>em</w:t>
      </w:r>
      <w:r>
        <w:rPr>
          <w:spacing w:val="-45"/>
        </w:rPr>
        <w:t> </w:t>
      </w:r>
      <w:r>
        <w:rPr/>
        <w:t>prol</w:t>
      </w:r>
      <w:r>
        <w:rPr>
          <w:spacing w:val="-46"/>
        </w:rPr>
        <w:t> </w:t>
      </w:r>
      <w:r>
        <w:rPr/>
        <w:t>da</w:t>
      </w:r>
      <w:r>
        <w:rPr>
          <w:spacing w:val="-44"/>
        </w:rPr>
        <w:t> </w:t>
      </w:r>
      <w:r>
        <w:rPr/>
        <w:t>modicidade</w:t>
      </w:r>
      <w:r>
        <w:rPr>
          <w:spacing w:val="-45"/>
        </w:rPr>
        <w:t> </w:t>
      </w:r>
      <w:r>
        <w:rPr/>
        <w:t>tarifária,</w:t>
      </w:r>
      <w:r>
        <w:rPr>
          <w:spacing w:val="-45"/>
        </w:rPr>
        <w:t> </w:t>
      </w:r>
      <w:r>
        <w:rPr/>
        <w:t>foi</w:t>
      </w:r>
      <w:r>
        <w:rPr>
          <w:spacing w:val="-46"/>
        </w:rPr>
        <w:t> </w:t>
      </w:r>
      <w:r>
        <w:rPr/>
        <w:t>publicado</w:t>
      </w:r>
      <w:r>
        <w:rPr>
          <w:spacing w:val="-45"/>
        </w:rPr>
        <w:t> </w:t>
      </w:r>
      <w:r>
        <w:rPr/>
        <w:t>o</w:t>
      </w:r>
      <w:r>
        <w:rPr>
          <w:spacing w:val="-45"/>
        </w:rPr>
        <w:t> </w:t>
      </w:r>
      <w:r>
        <w:rPr/>
        <w:t>Decreto</w:t>
      </w:r>
      <w:r>
        <w:rPr>
          <w:spacing w:val="-44"/>
        </w:rPr>
        <w:t> </w:t>
      </w:r>
      <w:r>
        <w:rPr/>
        <w:t>nº</w:t>
      </w:r>
      <w:r>
        <w:rPr>
          <w:spacing w:val="-45"/>
        </w:rPr>
        <w:t> </w:t>
      </w:r>
      <w:r>
        <w:rPr/>
        <w:t>7.945,</w:t>
      </w:r>
      <w:r>
        <w:rPr>
          <w:spacing w:val="-45"/>
        </w:rPr>
        <w:t> </w:t>
      </w:r>
      <w:r>
        <w:rPr/>
        <w:t>de</w:t>
      </w:r>
      <w:r>
        <w:rPr>
          <w:spacing w:val="-45"/>
        </w:rPr>
        <w:t> </w:t>
      </w:r>
      <w:r>
        <w:rPr/>
        <w:t>07</w:t>
      </w:r>
      <w:r>
        <w:rPr>
          <w:spacing w:val="-43"/>
        </w:rPr>
        <w:t> </w:t>
      </w:r>
      <w:r>
        <w:rPr/>
        <w:t>de</w:t>
      </w:r>
      <w:r>
        <w:rPr>
          <w:spacing w:val="-45"/>
        </w:rPr>
        <w:t> </w:t>
      </w:r>
      <w:r>
        <w:rPr/>
        <w:t>março de</w:t>
      </w:r>
      <w:r>
        <w:rPr>
          <w:spacing w:val="-22"/>
        </w:rPr>
        <w:t> </w:t>
      </w:r>
      <w:r>
        <w:rPr/>
        <w:t>2013,</w:t>
      </w:r>
      <w:r>
        <w:rPr>
          <w:spacing w:val="-18"/>
        </w:rPr>
        <w:t> </w:t>
      </w:r>
      <w:r>
        <w:rPr/>
        <w:t>que</w:t>
      </w:r>
      <w:r>
        <w:rPr>
          <w:spacing w:val="-22"/>
        </w:rPr>
        <w:t> </w:t>
      </w:r>
      <w:r>
        <w:rPr/>
        <w:t>introduziu</w:t>
      </w:r>
      <w:r>
        <w:rPr>
          <w:spacing w:val="-19"/>
        </w:rPr>
        <w:t> </w:t>
      </w:r>
      <w:r>
        <w:rPr/>
        <w:t>novas</w:t>
      </w:r>
      <w:r>
        <w:rPr>
          <w:spacing w:val="-20"/>
        </w:rPr>
        <w:t> </w:t>
      </w:r>
      <w:r>
        <w:rPr/>
        <w:t>alterações</w:t>
      </w:r>
      <w:r>
        <w:rPr>
          <w:spacing w:val="-21"/>
        </w:rPr>
        <w:t> </w:t>
      </w:r>
      <w:r>
        <w:rPr/>
        <w:t>nos</w:t>
      </w:r>
      <w:r>
        <w:rPr>
          <w:spacing w:val="-20"/>
        </w:rPr>
        <w:t> </w:t>
      </w:r>
      <w:r>
        <w:rPr/>
        <w:t>instrumentos</w:t>
      </w:r>
      <w:r>
        <w:rPr>
          <w:spacing w:val="-20"/>
        </w:rPr>
        <w:t> </w:t>
      </w:r>
      <w:r>
        <w:rPr/>
        <w:t>de</w:t>
      </w:r>
      <w:r>
        <w:rPr>
          <w:spacing w:val="-21"/>
        </w:rPr>
        <w:t> </w:t>
      </w:r>
      <w:r>
        <w:rPr/>
        <w:t>repasse</w:t>
      </w:r>
      <w:r>
        <w:rPr>
          <w:spacing w:val="-19"/>
        </w:rPr>
        <w:t> </w:t>
      </w:r>
      <w:r>
        <w:rPr/>
        <w:t>de</w:t>
      </w:r>
      <w:r>
        <w:rPr>
          <w:spacing w:val="-21"/>
        </w:rPr>
        <w:t> </w:t>
      </w:r>
      <w:r>
        <w:rPr/>
        <w:t>recursos</w:t>
      </w:r>
      <w:r>
        <w:rPr>
          <w:spacing w:val="-20"/>
        </w:rPr>
        <w:t> </w:t>
      </w:r>
      <w:r>
        <w:rPr/>
        <w:t>da</w:t>
      </w:r>
      <w:r>
        <w:rPr>
          <w:spacing w:val="-18"/>
        </w:rPr>
        <w:t> </w:t>
      </w:r>
      <w:r>
        <w:rPr/>
        <w:t>CDE.</w:t>
      </w:r>
    </w:p>
    <w:p>
      <w:pPr>
        <w:pStyle w:val="BodyText"/>
        <w:spacing w:before="7"/>
      </w:pPr>
    </w:p>
    <w:p>
      <w:pPr>
        <w:pStyle w:val="BodyText"/>
        <w:spacing w:line="242" w:lineRule="auto"/>
        <w:ind w:left="172" w:right="406"/>
        <w:jc w:val="both"/>
      </w:pPr>
      <w:r>
        <w:rPr>
          <w:w w:val="105"/>
        </w:rPr>
        <w:t>Assim,</w:t>
      </w:r>
      <w:r>
        <w:rPr>
          <w:spacing w:val="-44"/>
          <w:w w:val="105"/>
        </w:rPr>
        <w:t> </w:t>
      </w:r>
      <w:r>
        <w:rPr>
          <w:w w:val="105"/>
        </w:rPr>
        <w:t>a</w:t>
      </w:r>
      <w:r>
        <w:rPr>
          <w:spacing w:val="-43"/>
          <w:w w:val="105"/>
        </w:rPr>
        <w:t> </w:t>
      </w:r>
      <w:r>
        <w:rPr>
          <w:w w:val="105"/>
        </w:rPr>
        <w:t>CDE</w:t>
      </w:r>
      <w:r>
        <w:rPr>
          <w:spacing w:val="-42"/>
          <w:w w:val="105"/>
        </w:rPr>
        <w:t> </w:t>
      </w:r>
      <w:r>
        <w:rPr>
          <w:w w:val="105"/>
        </w:rPr>
        <w:t>passou</w:t>
      </w:r>
      <w:r>
        <w:rPr>
          <w:spacing w:val="-43"/>
          <w:w w:val="105"/>
        </w:rPr>
        <w:t> </w:t>
      </w:r>
      <w:r>
        <w:rPr>
          <w:w w:val="105"/>
        </w:rPr>
        <w:t>a</w:t>
      </w:r>
      <w:r>
        <w:rPr>
          <w:spacing w:val="-43"/>
          <w:w w:val="105"/>
        </w:rPr>
        <w:t> </w:t>
      </w:r>
      <w:r>
        <w:rPr>
          <w:w w:val="105"/>
        </w:rPr>
        <w:t>prover</w:t>
      </w:r>
      <w:r>
        <w:rPr>
          <w:spacing w:val="-43"/>
          <w:w w:val="105"/>
        </w:rPr>
        <w:t> </w:t>
      </w:r>
      <w:r>
        <w:rPr>
          <w:w w:val="105"/>
        </w:rPr>
        <w:t>ainda:</w:t>
      </w:r>
      <w:r>
        <w:rPr>
          <w:spacing w:val="-43"/>
          <w:w w:val="105"/>
        </w:rPr>
        <w:t> </w:t>
      </w:r>
      <w:r>
        <w:rPr>
          <w:w w:val="105"/>
        </w:rPr>
        <w:t>recursos</w:t>
      </w:r>
      <w:r>
        <w:rPr>
          <w:spacing w:val="-42"/>
          <w:w w:val="105"/>
        </w:rPr>
        <w:t> </w:t>
      </w:r>
      <w:r>
        <w:rPr>
          <w:w w:val="105"/>
        </w:rPr>
        <w:t>para</w:t>
      </w:r>
      <w:r>
        <w:rPr>
          <w:spacing w:val="-43"/>
          <w:w w:val="105"/>
        </w:rPr>
        <w:t> </w:t>
      </w:r>
      <w:r>
        <w:rPr>
          <w:w w:val="105"/>
        </w:rPr>
        <w:t>o</w:t>
      </w:r>
      <w:r>
        <w:rPr>
          <w:spacing w:val="-42"/>
          <w:w w:val="105"/>
        </w:rPr>
        <w:t> </w:t>
      </w:r>
      <w:r>
        <w:rPr>
          <w:w w:val="105"/>
        </w:rPr>
        <w:t>risco</w:t>
      </w:r>
      <w:r>
        <w:rPr>
          <w:spacing w:val="-44"/>
          <w:w w:val="105"/>
        </w:rPr>
        <w:t> </w:t>
      </w:r>
      <w:r>
        <w:rPr>
          <w:w w:val="105"/>
        </w:rPr>
        <w:t>hidrológico;</w:t>
      </w:r>
      <w:r>
        <w:rPr>
          <w:spacing w:val="-42"/>
          <w:w w:val="105"/>
        </w:rPr>
        <w:t> </w:t>
      </w:r>
      <w:r>
        <w:rPr>
          <w:w w:val="105"/>
        </w:rPr>
        <w:t>exposição</w:t>
      </w:r>
      <w:r>
        <w:rPr>
          <w:spacing w:val="-43"/>
          <w:w w:val="105"/>
        </w:rPr>
        <w:t> </w:t>
      </w:r>
      <w:r>
        <w:rPr>
          <w:w w:val="105"/>
        </w:rPr>
        <w:t>involuntária;</w:t>
      </w:r>
      <w:r>
        <w:rPr>
          <w:spacing w:val="-43"/>
          <w:w w:val="105"/>
        </w:rPr>
        <w:t> </w:t>
      </w:r>
      <w:r>
        <w:rPr>
          <w:w w:val="105"/>
        </w:rPr>
        <w:t>ESS</w:t>
      </w:r>
      <w:r>
        <w:rPr>
          <w:spacing w:val="-42"/>
          <w:w w:val="105"/>
        </w:rPr>
        <w:t> </w:t>
      </w:r>
      <w:r>
        <w:rPr>
          <w:w w:val="105"/>
        </w:rPr>
        <w:t>por</w:t>
      </w:r>
      <w:r>
        <w:rPr>
          <w:spacing w:val="-43"/>
          <w:w w:val="105"/>
        </w:rPr>
        <w:t> </w:t>
      </w:r>
      <w:r>
        <w:rPr>
          <w:w w:val="105"/>
        </w:rPr>
        <w:t>segurança </w:t>
      </w:r>
      <w:r>
        <w:rPr/>
        <w:t>energética;</w:t>
      </w:r>
      <w:r>
        <w:rPr>
          <w:spacing w:val="-24"/>
        </w:rPr>
        <w:t> </w:t>
      </w:r>
      <w:r>
        <w:rPr/>
        <w:t>e</w:t>
      </w:r>
      <w:r>
        <w:rPr>
          <w:spacing w:val="-26"/>
        </w:rPr>
        <w:t> </w:t>
      </w:r>
      <w:r>
        <w:rPr/>
        <w:t>o</w:t>
      </w:r>
      <w:r>
        <w:rPr>
          <w:spacing w:val="-26"/>
        </w:rPr>
        <w:t> </w:t>
      </w:r>
      <w:r>
        <w:rPr/>
        <w:t>valor</w:t>
      </w:r>
      <w:r>
        <w:rPr>
          <w:spacing w:val="-26"/>
        </w:rPr>
        <w:t> </w:t>
      </w:r>
      <w:r>
        <w:rPr/>
        <w:t>integral</w:t>
      </w:r>
      <w:r>
        <w:rPr>
          <w:spacing w:val="-25"/>
        </w:rPr>
        <w:t> </w:t>
      </w:r>
      <w:r>
        <w:rPr/>
        <w:t>ou</w:t>
      </w:r>
      <w:r>
        <w:rPr>
          <w:spacing w:val="-25"/>
        </w:rPr>
        <w:t> </w:t>
      </w:r>
      <w:r>
        <w:rPr/>
        <w:t>parcial</w:t>
      </w:r>
      <w:r>
        <w:rPr>
          <w:spacing w:val="-24"/>
        </w:rPr>
        <w:t> </w:t>
      </w:r>
      <w:r>
        <w:rPr/>
        <w:t>do</w:t>
      </w:r>
      <w:r>
        <w:rPr>
          <w:spacing w:val="-26"/>
        </w:rPr>
        <w:t> </w:t>
      </w:r>
      <w:r>
        <w:rPr/>
        <w:t>saldo</w:t>
      </w:r>
      <w:r>
        <w:rPr>
          <w:spacing w:val="-25"/>
        </w:rPr>
        <w:t> </w:t>
      </w:r>
      <w:r>
        <w:rPr/>
        <w:t>positivo</w:t>
      </w:r>
      <w:r>
        <w:rPr>
          <w:spacing w:val="-26"/>
        </w:rPr>
        <w:t> </w:t>
      </w:r>
      <w:r>
        <w:rPr/>
        <w:t>acumulado</w:t>
      </w:r>
      <w:r>
        <w:rPr>
          <w:spacing w:val="-25"/>
        </w:rPr>
        <w:t> </w:t>
      </w:r>
      <w:r>
        <w:rPr/>
        <w:t>pela</w:t>
      </w:r>
      <w:r>
        <w:rPr>
          <w:spacing w:val="-25"/>
        </w:rPr>
        <w:t> </w:t>
      </w:r>
      <w:r>
        <w:rPr/>
        <w:t>Conta</w:t>
      </w:r>
      <w:r>
        <w:rPr>
          <w:spacing w:val="-25"/>
        </w:rPr>
        <w:t> </w:t>
      </w:r>
      <w:r>
        <w:rPr/>
        <w:t>de</w:t>
      </w:r>
      <w:r>
        <w:rPr>
          <w:spacing w:val="-25"/>
        </w:rPr>
        <w:t> </w:t>
      </w:r>
      <w:r>
        <w:rPr/>
        <w:t>Variação</w:t>
      </w:r>
      <w:r>
        <w:rPr>
          <w:spacing w:val="-25"/>
        </w:rPr>
        <w:t> </w:t>
      </w:r>
      <w:r>
        <w:rPr/>
        <w:t>de</w:t>
      </w:r>
      <w:r>
        <w:rPr>
          <w:spacing w:val="-26"/>
        </w:rPr>
        <w:t> </w:t>
      </w:r>
      <w:r>
        <w:rPr/>
        <w:t>Valores</w:t>
      </w:r>
      <w:r>
        <w:rPr>
          <w:spacing w:val="-25"/>
        </w:rPr>
        <w:t> </w:t>
      </w:r>
      <w:r>
        <w:rPr/>
        <w:t>de</w:t>
      </w:r>
      <w:r>
        <w:rPr>
          <w:spacing w:val="-26"/>
        </w:rPr>
        <w:t> </w:t>
      </w:r>
      <w:r>
        <w:rPr/>
        <w:t>Itens</w:t>
      </w:r>
      <w:r>
        <w:rPr>
          <w:spacing w:val="-25"/>
        </w:rPr>
        <w:t> </w:t>
      </w:r>
      <w:r>
        <w:rPr/>
        <w:t>da </w:t>
      </w:r>
      <w:r>
        <w:rPr>
          <w:w w:val="105"/>
        </w:rPr>
        <w:t>“Parcela</w:t>
      </w:r>
      <w:r>
        <w:rPr>
          <w:spacing w:val="-24"/>
          <w:w w:val="105"/>
        </w:rPr>
        <w:t> </w:t>
      </w:r>
      <w:r>
        <w:rPr>
          <w:w w:val="105"/>
        </w:rPr>
        <w:t>A”</w:t>
      </w:r>
      <w:r>
        <w:rPr>
          <w:spacing w:val="-22"/>
          <w:w w:val="105"/>
        </w:rPr>
        <w:t> </w:t>
      </w:r>
      <w:r>
        <w:rPr>
          <w:w w:val="105"/>
        </w:rPr>
        <w:t>–</w:t>
      </w:r>
      <w:r>
        <w:rPr>
          <w:spacing w:val="-24"/>
          <w:w w:val="105"/>
        </w:rPr>
        <w:t> </w:t>
      </w:r>
      <w:r>
        <w:rPr>
          <w:w w:val="105"/>
        </w:rPr>
        <w:t>CVA,</w:t>
      </w:r>
      <w:r>
        <w:rPr>
          <w:spacing w:val="-23"/>
          <w:w w:val="105"/>
        </w:rPr>
        <w:t> </w:t>
      </w:r>
      <w:r>
        <w:rPr>
          <w:w w:val="105"/>
        </w:rPr>
        <w:t>de</w:t>
      </w:r>
      <w:r>
        <w:rPr>
          <w:spacing w:val="-24"/>
          <w:w w:val="105"/>
        </w:rPr>
        <w:t> </w:t>
      </w:r>
      <w:r>
        <w:rPr>
          <w:w w:val="105"/>
        </w:rPr>
        <w:t>que</w:t>
      </w:r>
      <w:r>
        <w:rPr>
          <w:spacing w:val="-23"/>
          <w:w w:val="105"/>
        </w:rPr>
        <w:t> </w:t>
      </w:r>
      <w:r>
        <w:rPr>
          <w:w w:val="105"/>
        </w:rPr>
        <w:t>trata</w:t>
      </w:r>
      <w:r>
        <w:rPr>
          <w:spacing w:val="-24"/>
          <w:w w:val="105"/>
        </w:rPr>
        <w:t> </w:t>
      </w:r>
      <w:r>
        <w:rPr>
          <w:w w:val="105"/>
        </w:rPr>
        <w:t>a</w:t>
      </w:r>
      <w:r>
        <w:rPr>
          <w:spacing w:val="-23"/>
          <w:w w:val="105"/>
        </w:rPr>
        <w:t> </w:t>
      </w:r>
      <w:r>
        <w:rPr>
          <w:w w:val="105"/>
        </w:rPr>
        <w:t>Portaria</w:t>
      </w:r>
      <w:r>
        <w:rPr>
          <w:spacing w:val="-24"/>
          <w:w w:val="105"/>
        </w:rPr>
        <w:t> </w:t>
      </w:r>
      <w:r>
        <w:rPr>
          <w:w w:val="105"/>
        </w:rPr>
        <w:t>Interministerial</w:t>
      </w:r>
      <w:r>
        <w:rPr>
          <w:spacing w:val="-23"/>
          <w:w w:val="105"/>
        </w:rPr>
        <w:t> </w:t>
      </w:r>
      <w:r>
        <w:rPr>
          <w:w w:val="105"/>
        </w:rPr>
        <w:t>nº</w:t>
      </w:r>
      <w:r>
        <w:rPr>
          <w:spacing w:val="-24"/>
          <w:w w:val="105"/>
        </w:rPr>
        <w:t> </w:t>
      </w:r>
      <w:r>
        <w:rPr>
          <w:w w:val="105"/>
        </w:rPr>
        <w:t>MME/MF</w:t>
      </w:r>
      <w:r>
        <w:rPr>
          <w:spacing w:val="-22"/>
          <w:w w:val="105"/>
        </w:rPr>
        <w:t> </w:t>
      </w:r>
      <w:r>
        <w:rPr>
          <w:w w:val="105"/>
        </w:rPr>
        <w:t>nº</w:t>
      </w:r>
      <w:r>
        <w:rPr>
          <w:spacing w:val="-24"/>
          <w:w w:val="105"/>
        </w:rPr>
        <w:t> </w:t>
      </w:r>
      <w:r>
        <w:rPr>
          <w:w w:val="105"/>
        </w:rPr>
        <w:t>25/2002,</w:t>
      </w:r>
      <w:r>
        <w:rPr>
          <w:spacing w:val="-24"/>
          <w:w w:val="105"/>
        </w:rPr>
        <w:t> </w:t>
      </w:r>
      <w:r>
        <w:rPr>
          <w:w w:val="105"/>
        </w:rPr>
        <w:t>relativo</w:t>
      </w:r>
      <w:r>
        <w:rPr>
          <w:spacing w:val="-23"/>
          <w:w w:val="105"/>
        </w:rPr>
        <w:t> </w:t>
      </w:r>
      <w:r>
        <w:rPr>
          <w:w w:val="105"/>
        </w:rPr>
        <w:t>ao</w:t>
      </w:r>
      <w:r>
        <w:rPr>
          <w:spacing w:val="-24"/>
          <w:w w:val="105"/>
        </w:rPr>
        <w:t> </w:t>
      </w:r>
      <w:r>
        <w:rPr>
          <w:w w:val="105"/>
        </w:rPr>
        <w:t>ESS</w:t>
      </w:r>
      <w:r>
        <w:rPr>
          <w:spacing w:val="-23"/>
          <w:w w:val="105"/>
        </w:rPr>
        <w:t> </w:t>
      </w:r>
      <w:r>
        <w:rPr>
          <w:w w:val="105"/>
        </w:rPr>
        <w:t>e</w:t>
      </w:r>
      <w:r>
        <w:rPr>
          <w:spacing w:val="-24"/>
          <w:w w:val="105"/>
        </w:rPr>
        <w:t> </w:t>
      </w:r>
      <w:r>
        <w:rPr>
          <w:w w:val="105"/>
        </w:rPr>
        <w:t>à</w:t>
      </w:r>
      <w:r>
        <w:rPr>
          <w:spacing w:val="-22"/>
          <w:w w:val="105"/>
        </w:rPr>
        <w:t> </w:t>
      </w:r>
      <w:r>
        <w:rPr>
          <w:w w:val="105"/>
        </w:rPr>
        <w:t>energia comprada</w:t>
      </w:r>
      <w:r>
        <w:rPr>
          <w:spacing w:val="-23"/>
          <w:w w:val="105"/>
        </w:rPr>
        <w:t> </w:t>
      </w:r>
      <w:r>
        <w:rPr>
          <w:w w:val="105"/>
        </w:rPr>
        <w:t>para</w:t>
      </w:r>
      <w:r>
        <w:rPr>
          <w:spacing w:val="-22"/>
          <w:w w:val="105"/>
        </w:rPr>
        <w:t> </w:t>
      </w:r>
      <w:r>
        <w:rPr>
          <w:w w:val="105"/>
        </w:rPr>
        <w:t>revenda</w:t>
      </w:r>
      <w:r>
        <w:rPr>
          <w:spacing w:val="-22"/>
          <w:w w:val="105"/>
        </w:rPr>
        <w:t> </w:t>
      </w:r>
      <w:r>
        <w:rPr>
          <w:w w:val="105"/>
        </w:rPr>
        <w:t>(CVA</w:t>
      </w:r>
      <w:r>
        <w:rPr>
          <w:spacing w:val="-22"/>
          <w:w w:val="105"/>
        </w:rPr>
        <w:t> </w:t>
      </w:r>
      <w:r>
        <w:rPr>
          <w:w w:val="105"/>
        </w:rPr>
        <w:t>Energia</w:t>
      </w:r>
      <w:r>
        <w:rPr>
          <w:spacing w:val="-20"/>
          <w:w w:val="105"/>
        </w:rPr>
        <w:t> </w:t>
      </w:r>
      <w:r>
        <w:rPr>
          <w:w w:val="105"/>
        </w:rPr>
        <w:t>e</w:t>
      </w:r>
      <w:r>
        <w:rPr>
          <w:spacing w:val="-25"/>
          <w:w w:val="105"/>
        </w:rPr>
        <w:t> </w:t>
      </w:r>
      <w:r>
        <w:rPr>
          <w:w w:val="105"/>
        </w:rPr>
        <w:t>CVA</w:t>
      </w:r>
      <w:r>
        <w:rPr>
          <w:spacing w:val="-20"/>
          <w:w w:val="105"/>
        </w:rPr>
        <w:t> </w:t>
      </w:r>
      <w:r>
        <w:rPr>
          <w:w w:val="105"/>
        </w:rPr>
        <w:t>ESS).</w:t>
      </w:r>
    </w:p>
    <w:p>
      <w:pPr>
        <w:pStyle w:val="BodyText"/>
        <w:spacing w:before="8"/>
      </w:pPr>
    </w:p>
    <w:p>
      <w:pPr>
        <w:pStyle w:val="BodyText"/>
        <w:spacing w:line="242" w:lineRule="auto"/>
        <w:ind w:left="172" w:right="408"/>
        <w:jc w:val="both"/>
      </w:pPr>
      <w:r>
        <w:rPr/>
        <w:t>Conforme</w:t>
      </w:r>
      <w:r>
        <w:rPr>
          <w:spacing w:val="-15"/>
        </w:rPr>
        <w:t> </w:t>
      </w:r>
      <w:r>
        <w:rPr/>
        <w:t>dispõe</w:t>
      </w:r>
      <w:r>
        <w:rPr>
          <w:spacing w:val="-15"/>
        </w:rPr>
        <w:t> </w:t>
      </w:r>
      <w:r>
        <w:rPr/>
        <w:t>o</w:t>
      </w:r>
      <w:r>
        <w:rPr>
          <w:spacing w:val="-12"/>
        </w:rPr>
        <w:t> </w:t>
      </w:r>
      <w:r>
        <w:rPr/>
        <w:t>inciso</w:t>
      </w:r>
      <w:r>
        <w:rPr>
          <w:spacing w:val="-14"/>
        </w:rPr>
        <w:t> </w:t>
      </w:r>
      <w:r>
        <w:rPr/>
        <w:t>VII</w:t>
      </w:r>
      <w:r>
        <w:rPr>
          <w:spacing w:val="-14"/>
        </w:rPr>
        <w:t> </w:t>
      </w:r>
      <w:r>
        <w:rPr/>
        <w:t>do</w:t>
      </w:r>
      <w:r>
        <w:rPr>
          <w:spacing w:val="-14"/>
        </w:rPr>
        <w:t> </w:t>
      </w:r>
      <w:r>
        <w:rPr/>
        <w:t>artigo</w:t>
      </w:r>
      <w:r>
        <w:rPr>
          <w:spacing w:val="-14"/>
        </w:rPr>
        <w:t> </w:t>
      </w:r>
      <w:r>
        <w:rPr/>
        <w:t>13º</w:t>
      </w:r>
      <w:r>
        <w:rPr>
          <w:spacing w:val="-13"/>
        </w:rPr>
        <w:t> </w:t>
      </w:r>
      <w:r>
        <w:rPr/>
        <w:t>da</w:t>
      </w:r>
      <w:r>
        <w:rPr>
          <w:spacing w:val="-13"/>
        </w:rPr>
        <w:t> </w:t>
      </w:r>
      <w:r>
        <w:rPr/>
        <w:t>Lei</w:t>
      </w:r>
      <w:r>
        <w:rPr>
          <w:spacing w:val="-12"/>
        </w:rPr>
        <w:t> </w:t>
      </w:r>
      <w:r>
        <w:rPr/>
        <w:t>nº</w:t>
      </w:r>
      <w:r>
        <w:rPr>
          <w:spacing w:val="-13"/>
        </w:rPr>
        <w:t> </w:t>
      </w:r>
      <w:r>
        <w:rPr/>
        <w:t>10.438/2002</w:t>
      </w:r>
      <w:r>
        <w:rPr>
          <w:spacing w:val="-14"/>
        </w:rPr>
        <w:t> </w:t>
      </w:r>
      <w:r>
        <w:rPr/>
        <w:t>combinado</w:t>
      </w:r>
      <w:r>
        <w:rPr>
          <w:spacing w:val="-14"/>
        </w:rPr>
        <w:t> </w:t>
      </w:r>
      <w:r>
        <w:rPr/>
        <w:t>com</w:t>
      </w:r>
      <w:r>
        <w:rPr>
          <w:spacing w:val="-13"/>
        </w:rPr>
        <w:t> </w:t>
      </w:r>
      <w:r>
        <w:rPr/>
        <w:t>o</w:t>
      </w:r>
      <w:r>
        <w:rPr>
          <w:spacing w:val="-13"/>
        </w:rPr>
        <w:t> </w:t>
      </w:r>
      <w:r>
        <w:rPr/>
        <w:t>Decreto</w:t>
      </w:r>
      <w:r>
        <w:rPr>
          <w:spacing w:val="-12"/>
        </w:rPr>
        <w:t> </w:t>
      </w:r>
      <w:r>
        <w:rPr/>
        <w:t>nº</w:t>
      </w:r>
      <w:r>
        <w:rPr>
          <w:spacing w:val="-13"/>
        </w:rPr>
        <w:t> </w:t>
      </w:r>
      <w:r>
        <w:rPr/>
        <w:t>7.891/2013,</w:t>
      </w:r>
      <w:r>
        <w:rPr>
          <w:spacing w:val="-14"/>
        </w:rPr>
        <w:t> </w:t>
      </w:r>
      <w:r>
        <w:rPr/>
        <w:t>a</w:t>
      </w:r>
      <w:r>
        <w:rPr>
          <w:spacing w:val="-13"/>
        </w:rPr>
        <w:t> </w:t>
      </w:r>
      <w:r>
        <w:rPr/>
        <w:t>CDE tem dentre suas finalidades, custear os descontos incidentes sobre as tarifas aplicáveis aos consumidores que possuem benefício</w:t>
      </w:r>
      <w:r>
        <w:rPr>
          <w:spacing w:val="-36"/>
        </w:rPr>
        <w:t> </w:t>
      </w:r>
      <w:r>
        <w:rPr/>
        <w:t>tarifário.</w:t>
      </w:r>
    </w:p>
    <w:p>
      <w:pPr>
        <w:pStyle w:val="BodyText"/>
        <w:spacing w:before="7"/>
      </w:pPr>
    </w:p>
    <w:p>
      <w:pPr>
        <w:pStyle w:val="BodyText"/>
        <w:spacing w:line="242" w:lineRule="auto"/>
        <w:ind w:left="172" w:right="409"/>
        <w:jc w:val="both"/>
      </w:pPr>
      <w:r>
        <w:rPr/>
        <w:t>No</w:t>
      </w:r>
      <w:r>
        <w:rPr>
          <w:spacing w:val="-26"/>
        </w:rPr>
        <w:t> </w:t>
      </w:r>
      <w:r>
        <w:rPr/>
        <w:t>Reajuste</w:t>
      </w:r>
      <w:r>
        <w:rPr>
          <w:spacing w:val="-25"/>
        </w:rPr>
        <w:t> </w:t>
      </w:r>
      <w:r>
        <w:rPr/>
        <w:t>Tarifário</w:t>
      </w:r>
      <w:r>
        <w:rPr>
          <w:spacing w:val="-25"/>
        </w:rPr>
        <w:t> </w:t>
      </w:r>
      <w:r>
        <w:rPr/>
        <w:t>Anual</w:t>
      </w:r>
      <w:r>
        <w:rPr>
          <w:spacing w:val="-22"/>
        </w:rPr>
        <w:t> </w:t>
      </w:r>
      <w:r>
        <w:rPr/>
        <w:t>da</w:t>
      </w:r>
      <w:r>
        <w:rPr>
          <w:spacing w:val="-25"/>
        </w:rPr>
        <w:t> </w:t>
      </w:r>
      <w:r>
        <w:rPr/>
        <w:t>CEB</w:t>
      </w:r>
      <w:r>
        <w:rPr>
          <w:spacing w:val="-25"/>
        </w:rPr>
        <w:t> </w:t>
      </w:r>
      <w:r>
        <w:rPr/>
        <w:t>DIS</w:t>
      </w:r>
      <w:r>
        <w:rPr>
          <w:spacing w:val="-24"/>
        </w:rPr>
        <w:t> </w:t>
      </w:r>
      <w:r>
        <w:rPr/>
        <w:t>de</w:t>
      </w:r>
      <w:r>
        <w:rPr>
          <w:spacing w:val="-27"/>
        </w:rPr>
        <w:t> </w:t>
      </w:r>
      <w:r>
        <w:rPr/>
        <w:t>2019,</w:t>
      </w:r>
      <w:r>
        <w:rPr>
          <w:spacing w:val="-23"/>
        </w:rPr>
        <w:t> </w:t>
      </w:r>
      <w:r>
        <w:rPr/>
        <w:t>a</w:t>
      </w:r>
      <w:r>
        <w:rPr>
          <w:spacing w:val="-24"/>
        </w:rPr>
        <w:t> </w:t>
      </w:r>
      <w:r>
        <w:rPr/>
        <w:t>cobertura</w:t>
      </w:r>
      <w:r>
        <w:rPr>
          <w:spacing w:val="-25"/>
        </w:rPr>
        <w:t> </w:t>
      </w:r>
      <w:r>
        <w:rPr/>
        <w:t>tarifária</w:t>
      </w:r>
      <w:r>
        <w:rPr>
          <w:spacing w:val="-25"/>
        </w:rPr>
        <w:t> </w:t>
      </w:r>
      <w:r>
        <w:rPr/>
        <w:t>relativa</w:t>
      </w:r>
      <w:r>
        <w:rPr>
          <w:spacing w:val="-24"/>
        </w:rPr>
        <w:t> </w:t>
      </w:r>
      <w:r>
        <w:rPr/>
        <w:t>ao</w:t>
      </w:r>
      <w:r>
        <w:rPr>
          <w:spacing w:val="-26"/>
        </w:rPr>
        <w:t> </w:t>
      </w:r>
      <w:r>
        <w:rPr/>
        <w:t>encargo</w:t>
      </w:r>
      <w:r>
        <w:rPr>
          <w:spacing w:val="-25"/>
        </w:rPr>
        <w:t> </w:t>
      </w:r>
      <w:r>
        <w:rPr/>
        <w:t>de</w:t>
      </w:r>
      <w:r>
        <w:rPr>
          <w:spacing w:val="-26"/>
        </w:rPr>
        <w:t> </w:t>
      </w:r>
      <w:r>
        <w:rPr/>
        <w:t>CDE</w:t>
      </w:r>
      <w:r>
        <w:rPr>
          <w:spacing w:val="-25"/>
        </w:rPr>
        <w:t> </w:t>
      </w:r>
      <w:r>
        <w:rPr/>
        <w:t>incorpora</w:t>
      </w:r>
      <w:r>
        <w:rPr>
          <w:spacing w:val="-25"/>
        </w:rPr>
        <w:t> </w:t>
      </w:r>
      <w:r>
        <w:rPr/>
        <w:t>a</w:t>
      </w:r>
      <w:r>
        <w:rPr>
          <w:spacing w:val="-24"/>
        </w:rPr>
        <w:t> </w:t>
      </w:r>
      <w:r>
        <w:rPr/>
        <w:t>quota </w:t>
      </w:r>
      <w:r>
        <w:rPr>
          <w:w w:val="92"/>
        </w:rPr>
        <w:t>a</w:t>
      </w:r>
      <w:r>
        <w:rPr>
          <w:spacing w:val="-1"/>
          <w:w w:val="101"/>
        </w:rPr>
        <w:t>n</w:t>
      </w:r>
      <w:r>
        <w:rPr>
          <w:spacing w:val="-1"/>
          <w:w w:val="96"/>
        </w:rPr>
        <w:t>u</w:t>
      </w:r>
      <w:r>
        <w:rPr>
          <w:spacing w:val="1"/>
          <w:w w:val="96"/>
        </w:rPr>
        <w:t>a</w:t>
      </w:r>
      <w:r>
        <w:rPr>
          <w:w w:val="91"/>
        </w:rPr>
        <w:t>l</w:t>
      </w:r>
      <w:r>
        <w:rPr>
          <w:spacing w:val="-12"/>
        </w:rPr>
        <w:t> </w:t>
      </w:r>
      <w:r>
        <w:rPr>
          <w:w w:val="95"/>
        </w:rPr>
        <w:t>da</w:t>
      </w:r>
      <w:r>
        <w:rPr>
          <w:spacing w:val="-12"/>
        </w:rPr>
        <w:t> </w:t>
      </w:r>
      <w:r>
        <w:rPr>
          <w:w w:val="93"/>
        </w:rPr>
        <w:t>C</w:t>
      </w:r>
      <w:r>
        <w:rPr>
          <w:w w:val="107"/>
        </w:rPr>
        <w:t>DE</w:t>
      </w:r>
      <w:r>
        <w:rPr>
          <w:spacing w:val="-10"/>
        </w:rPr>
        <w:t> </w:t>
      </w:r>
      <w:r>
        <w:rPr>
          <w:w w:val="91"/>
        </w:rPr>
        <w:t>USO,</w:t>
      </w:r>
      <w:r>
        <w:rPr>
          <w:spacing w:val="-11"/>
        </w:rPr>
        <w:t> </w:t>
      </w:r>
      <w:r>
        <w:rPr>
          <w:w w:val="93"/>
        </w:rPr>
        <w:t>C</w:t>
      </w:r>
      <w:r>
        <w:rPr>
          <w:w w:val="107"/>
        </w:rPr>
        <w:t>DE</w:t>
      </w:r>
      <w:r>
        <w:rPr>
          <w:spacing w:val="-10"/>
        </w:rPr>
        <w:t> </w:t>
      </w:r>
      <w:r>
        <w:rPr>
          <w:w w:val="106"/>
        </w:rPr>
        <w:t>E</w:t>
      </w:r>
      <w:r>
        <w:rPr>
          <w:spacing w:val="1"/>
          <w:w w:val="101"/>
        </w:rPr>
        <w:t>n</w:t>
      </w:r>
      <w:r>
        <w:rPr>
          <w:spacing w:val="-2"/>
          <w:w w:val="89"/>
        </w:rPr>
        <w:t>e</w:t>
      </w:r>
      <w:r>
        <w:rPr>
          <w:spacing w:val="1"/>
          <w:w w:val="105"/>
        </w:rPr>
        <w:t>r</w:t>
      </w:r>
      <w:r>
        <w:rPr>
          <w:spacing w:val="-1"/>
          <w:w w:val="95"/>
        </w:rPr>
        <w:t>gi</w:t>
      </w:r>
      <w:r>
        <w:rPr>
          <w:w w:val="95"/>
        </w:rPr>
        <w:t>a</w:t>
      </w:r>
      <w:r>
        <w:rPr>
          <w:spacing w:val="-12"/>
        </w:rPr>
        <w:t> </w:t>
      </w:r>
      <w:r>
        <w:rPr>
          <w:w w:val="103"/>
        </w:rPr>
        <w:t>(</w:t>
      </w:r>
      <w:r>
        <w:rPr>
          <w:w w:val="98"/>
        </w:rPr>
        <w:t>D</w:t>
      </w:r>
      <w:r>
        <w:rPr>
          <w:spacing w:val="-1"/>
          <w:w w:val="98"/>
        </w:rPr>
        <w:t>e</w:t>
      </w:r>
      <w:r>
        <w:rPr>
          <w:spacing w:val="3"/>
          <w:w w:val="88"/>
        </w:rPr>
        <w:t>c</w:t>
      </w:r>
      <w:r>
        <w:rPr>
          <w:spacing w:val="-1"/>
          <w:w w:val="105"/>
        </w:rPr>
        <w:t>r</w:t>
      </w:r>
      <w:r>
        <w:rPr>
          <w:spacing w:val="-2"/>
          <w:w w:val="89"/>
        </w:rPr>
        <w:t>e</w:t>
      </w:r>
      <w:r>
        <w:rPr>
          <w:spacing w:val="1"/>
          <w:w w:val="85"/>
        </w:rPr>
        <w:t>t</w:t>
      </w:r>
      <w:r>
        <w:rPr>
          <w:w w:val="98"/>
        </w:rPr>
        <w:t>o</w:t>
      </w:r>
      <w:r>
        <w:rPr>
          <w:spacing w:val="-11"/>
        </w:rPr>
        <w:t> </w:t>
      </w:r>
      <w:r>
        <w:rPr>
          <w:w w:val="96"/>
        </w:rPr>
        <w:t>7.891/</w:t>
      </w:r>
      <w:r>
        <w:rPr>
          <w:w w:val="104"/>
        </w:rPr>
        <w:t>13)</w:t>
      </w:r>
      <w:r>
        <w:rPr>
          <w:spacing w:val="-10"/>
        </w:rPr>
        <w:t> </w:t>
      </w:r>
      <w:r>
        <w:rPr>
          <w:w w:val="89"/>
        </w:rPr>
        <w:t>e</w:t>
      </w:r>
      <w:r>
        <w:rPr>
          <w:spacing w:val="-12"/>
        </w:rPr>
        <w:t> </w:t>
      </w:r>
      <w:r>
        <w:rPr>
          <w:w w:val="92"/>
        </w:rPr>
        <w:t>a</w:t>
      </w:r>
      <w:r>
        <w:rPr>
          <w:spacing w:val="-10"/>
        </w:rPr>
        <w:t> </w:t>
      </w:r>
      <w:r>
        <w:rPr>
          <w:spacing w:val="1"/>
          <w:w w:val="97"/>
        </w:rPr>
        <w:t>q</w:t>
      </w:r>
      <w:r>
        <w:rPr>
          <w:spacing w:val="-1"/>
          <w:w w:val="94"/>
        </w:rPr>
        <w:t>uot</w:t>
      </w:r>
      <w:r>
        <w:rPr>
          <w:w w:val="94"/>
        </w:rPr>
        <w:t>a</w:t>
      </w:r>
      <w:r>
        <w:rPr>
          <w:spacing w:val="-12"/>
        </w:rPr>
        <w:t> </w:t>
      </w:r>
      <w:r>
        <w:rPr>
          <w:w w:val="92"/>
        </w:rPr>
        <w:t>a</w:t>
      </w:r>
      <w:r>
        <w:rPr>
          <w:spacing w:val="-1"/>
          <w:w w:val="101"/>
        </w:rPr>
        <w:t>n</w:t>
      </w:r>
      <w:r>
        <w:rPr>
          <w:spacing w:val="-1"/>
          <w:w w:val="96"/>
        </w:rPr>
        <w:t>u</w:t>
      </w:r>
      <w:r>
        <w:rPr>
          <w:spacing w:val="1"/>
          <w:w w:val="96"/>
        </w:rPr>
        <w:t>a</w:t>
      </w:r>
      <w:r>
        <w:rPr>
          <w:w w:val="91"/>
        </w:rPr>
        <w:t>l</w:t>
      </w:r>
      <w:r>
        <w:rPr>
          <w:spacing w:val="-12"/>
        </w:rPr>
        <w:t> </w:t>
      </w:r>
      <w:r>
        <w:rPr>
          <w:w w:val="95"/>
        </w:rPr>
        <w:t>da</w:t>
      </w:r>
      <w:r>
        <w:rPr>
          <w:spacing w:val="-10"/>
        </w:rPr>
        <w:t> </w:t>
      </w:r>
      <w:r>
        <w:rPr>
          <w:w w:val="93"/>
        </w:rPr>
        <w:t>C</w:t>
      </w:r>
      <w:r>
        <w:rPr>
          <w:w w:val="107"/>
        </w:rPr>
        <w:t>D</w:t>
      </w:r>
      <w:r>
        <w:rPr>
          <w:spacing w:val="9"/>
          <w:w w:val="107"/>
        </w:rPr>
        <w:t>E</w:t>
      </w:r>
      <w:r>
        <w:rPr>
          <w:spacing w:val="1"/>
          <w:w w:val="90"/>
        </w:rPr>
        <w:t>-</w:t>
      </w:r>
      <w:r>
        <w:rPr>
          <w:w w:val="93"/>
        </w:rPr>
        <w:t>C</w:t>
      </w:r>
      <w:r>
        <w:rPr>
          <w:w w:val="100"/>
        </w:rPr>
        <w:t>o</w:t>
      </w:r>
      <w:r>
        <w:rPr>
          <w:spacing w:val="-1"/>
          <w:w w:val="100"/>
        </w:rPr>
        <w:t>n</w:t>
      </w:r>
      <w:r>
        <w:rPr>
          <w:spacing w:val="-1"/>
          <w:w w:val="89"/>
        </w:rPr>
        <w:t>t</w:t>
      </w:r>
      <w:r>
        <w:rPr>
          <w:w w:val="89"/>
        </w:rPr>
        <w:t>a</w:t>
      </w:r>
      <w:r>
        <w:rPr>
          <w:spacing w:val="-9"/>
        </w:rPr>
        <w:t> </w:t>
      </w:r>
      <w:r>
        <w:rPr>
          <w:spacing w:val="1"/>
          <w:w w:val="135"/>
        </w:rPr>
        <w:t>–</w:t>
      </w:r>
      <w:r>
        <w:rPr>
          <w:w w:val="105"/>
        </w:rPr>
        <w:t>A</w:t>
      </w:r>
      <w:r>
        <w:rPr>
          <w:w w:val="93"/>
        </w:rPr>
        <w:t>C</w:t>
      </w:r>
      <w:r>
        <w:rPr>
          <w:w w:val="106"/>
        </w:rPr>
        <w:t>R</w:t>
      </w:r>
      <w:r>
        <w:rPr>
          <w:w w:val="55"/>
        </w:rPr>
        <w:t>.</w:t>
      </w:r>
      <w:r>
        <w:rPr>
          <w:spacing w:val="-13"/>
        </w:rPr>
        <w:t> </w:t>
      </w:r>
      <w:r>
        <w:rPr>
          <w:w w:val="93"/>
        </w:rPr>
        <w:t>C</w:t>
      </w:r>
      <w:r>
        <w:rPr>
          <w:w w:val="92"/>
        </w:rPr>
        <w:t>a</w:t>
      </w:r>
      <w:r>
        <w:rPr>
          <w:spacing w:val="-2"/>
          <w:w w:val="97"/>
        </w:rPr>
        <w:t>b</w:t>
      </w:r>
      <w:r>
        <w:rPr>
          <w:w w:val="89"/>
        </w:rPr>
        <w:t>e</w:t>
      </w:r>
      <w:r>
        <w:rPr>
          <w:spacing w:val="-12"/>
        </w:rPr>
        <w:t> </w:t>
      </w:r>
      <w:r>
        <w:rPr>
          <w:spacing w:val="2"/>
          <w:w w:val="99"/>
        </w:rPr>
        <w:t>d</w:t>
      </w:r>
      <w:r>
        <w:rPr>
          <w:spacing w:val="-2"/>
          <w:w w:val="89"/>
        </w:rPr>
        <w:t>e</w:t>
      </w:r>
      <w:r>
        <w:rPr>
          <w:w w:val="105"/>
        </w:rPr>
        <w:t>s</w:t>
      </w:r>
      <w:r>
        <w:rPr>
          <w:spacing w:val="-1"/>
          <w:w w:val="89"/>
        </w:rPr>
        <w:t>t</w:t>
      </w:r>
      <w:r>
        <w:rPr>
          <w:w w:val="89"/>
        </w:rPr>
        <w:t>a</w:t>
      </w:r>
      <w:r>
        <w:rPr>
          <w:w w:val="88"/>
        </w:rPr>
        <w:t>c</w:t>
      </w:r>
      <w:r>
        <w:rPr>
          <w:spacing w:val="4"/>
          <w:w w:val="92"/>
        </w:rPr>
        <w:t>a</w:t>
      </w:r>
      <w:r>
        <w:rPr>
          <w:w w:val="105"/>
        </w:rPr>
        <w:t>r</w:t>
      </w:r>
      <w:r>
        <w:rPr>
          <w:spacing w:val="-14"/>
        </w:rPr>
        <w:t> </w:t>
      </w:r>
      <w:r>
        <w:rPr>
          <w:w w:val="101"/>
        </w:rPr>
        <w:t>os</w:t>
      </w:r>
      <w:r>
        <w:rPr>
          <w:spacing w:val="-10"/>
        </w:rPr>
        <w:t> </w:t>
      </w:r>
      <w:r>
        <w:rPr>
          <w:w w:val="105"/>
        </w:rPr>
        <w:t>s</w:t>
      </w:r>
      <w:r>
        <w:rPr>
          <w:spacing w:val="1"/>
          <w:w w:val="89"/>
        </w:rPr>
        <w:t>e</w:t>
      </w:r>
      <w:r>
        <w:rPr>
          <w:spacing w:val="-1"/>
          <w:w w:val="99"/>
        </w:rPr>
        <w:t>gui</w:t>
      </w:r>
      <w:r>
        <w:rPr>
          <w:spacing w:val="1"/>
          <w:w w:val="99"/>
        </w:rPr>
        <w:t>n</w:t>
      </w:r>
      <w:r>
        <w:rPr>
          <w:spacing w:val="1"/>
          <w:w w:val="85"/>
        </w:rPr>
        <w:t>t</w:t>
      </w:r>
      <w:r>
        <w:rPr>
          <w:spacing w:val="-2"/>
          <w:w w:val="89"/>
        </w:rPr>
        <w:t>e</w:t>
      </w:r>
      <w:r>
        <w:rPr>
          <w:w w:val="105"/>
        </w:rPr>
        <w:t>s </w:t>
      </w:r>
      <w:r>
        <w:rPr/>
        <w:t>fatos:</w:t>
      </w:r>
      <w:r>
        <w:rPr>
          <w:spacing w:val="-29"/>
        </w:rPr>
        <w:t> </w:t>
      </w:r>
      <w:r>
        <w:rPr/>
        <w:t>(i)</w:t>
      </w:r>
      <w:r>
        <w:rPr>
          <w:spacing w:val="-26"/>
        </w:rPr>
        <w:t> </w:t>
      </w:r>
      <w:r>
        <w:rPr/>
        <w:t>em</w:t>
      </w:r>
      <w:r>
        <w:rPr>
          <w:spacing w:val="-27"/>
        </w:rPr>
        <w:t> </w:t>
      </w:r>
      <w:r>
        <w:rPr/>
        <w:t>março</w:t>
      </w:r>
      <w:r>
        <w:rPr>
          <w:spacing w:val="-28"/>
        </w:rPr>
        <w:t> </w:t>
      </w:r>
      <w:r>
        <w:rPr/>
        <w:t>de</w:t>
      </w:r>
      <w:r>
        <w:rPr>
          <w:spacing w:val="-27"/>
        </w:rPr>
        <w:t> </w:t>
      </w:r>
      <w:r>
        <w:rPr/>
        <w:t>2019</w:t>
      </w:r>
      <w:r>
        <w:rPr>
          <w:spacing w:val="-26"/>
        </w:rPr>
        <w:t> </w:t>
      </w:r>
      <w:r>
        <w:rPr/>
        <w:t>findou</w:t>
      </w:r>
      <w:r>
        <w:rPr>
          <w:spacing w:val="-27"/>
        </w:rPr>
        <w:t> </w:t>
      </w:r>
      <w:r>
        <w:rPr/>
        <w:t>o</w:t>
      </w:r>
      <w:r>
        <w:rPr>
          <w:spacing w:val="-27"/>
        </w:rPr>
        <w:t> </w:t>
      </w:r>
      <w:r>
        <w:rPr/>
        <w:t>recolhimento</w:t>
      </w:r>
      <w:r>
        <w:rPr>
          <w:spacing w:val="-27"/>
        </w:rPr>
        <w:t> </w:t>
      </w:r>
      <w:r>
        <w:rPr/>
        <w:t>da</w:t>
      </w:r>
      <w:r>
        <w:rPr>
          <w:spacing w:val="-28"/>
        </w:rPr>
        <w:t> </w:t>
      </w:r>
      <w:r>
        <w:rPr/>
        <w:t>CDE-Energia</w:t>
      </w:r>
      <w:r>
        <w:rPr>
          <w:spacing w:val="-28"/>
        </w:rPr>
        <w:t> </w:t>
      </w:r>
      <w:r>
        <w:rPr/>
        <w:t>(Decreto</w:t>
      </w:r>
      <w:r>
        <w:rPr>
          <w:spacing w:val="-28"/>
        </w:rPr>
        <w:t> </w:t>
      </w:r>
      <w:r>
        <w:rPr/>
        <w:t>7.891/13);</w:t>
      </w:r>
      <w:r>
        <w:rPr>
          <w:spacing w:val="-28"/>
        </w:rPr>
        <w:t> </w:t>
      </w:r>
      <w:r>
        <w:rPr/>
        <w:t>(ii)</w:t>
      </w:r>
      <w:r>
        <w:rPr>
          <w:spacing w:val="-28"/>
        </w:rPr>
        <w:t> </w:t>
      </w:r>
      <w:r>
        <w:rPr/>
        <w:t>adicionalmente,</w:t>
      </w:r>
      <w:r>
        <w:rPr>
          <w:spacing w:val="-29"/>
        </w:rPr>
        <w:t> </w:t>
      </w:r>
      <w:r>
        <w:rPr/>
        <w:t>a</w:t>
      </w:r>
      <w:r>
        <w:rPr>
          <w:spacing w:val="-26"/>
        </w:rPr>
        <w:t> </w:t>
      </w:r>
      <w:r>
        <w:rPr/>
        <w:t>CCEE em</w:t>
      </w:r>
      <w:r>
        <w:rPr>
          <w:spacing w:val="-31"/>
        </w:rPr>
        <w:t> </w:t>
      </w:r>
      <w:r>
        <w:rPr/>
        <w:t>conjunto</w:t>
      </w:r>
      <w:r>
        <w:rPr>
          <w:spacing w:val="-30"/>
        </w:rPr>
        <w:t> </w:t>
      </w:r>
      <w:r>
        <w:rPr/>
        <w:t>com</w:t>
      </w:r>
      <w:r>
        <w:rPr>
          <w:spacing w:val="-30"/>
        </w:rPr>
        <w:t> </w:t>
      </w:r>
      <w:r>
        <w:rPr/>
        <w:t>MME</w:t>
      </w:r>
      <w:r>
        <w:rPr>
          <w:spacing w:val="-29"/>
        </w:rPr>
        <w:t> </w:t>
      </w:r>
      <w:r>
        <w:rPr/>
        <w:t>e</w:t>
      </w:r>
      <w:r>
        <w:rPr>
          <w:spacing w:val="-32"/>
        </w:rPr>
        <w:t> </w:t>
      </w:r>
      <w:r>
        <w:rPr/>
        <w:t>a</w:t>
      </w:r>
      <w:r>
        <w:rPr>
          <w:spacing w:val="-29"/>
        </w:rPr>
        <w:t> </w:t>
      </w:r>
      <w:r>
        <w:rPr/>
        <w:t>Aneel</w:t>
      </w:r>
      <w:r>
        <w:rPr>
          <w:spacing w:val="-30"/>
        </w:rPr>
        <w:t> </w:t>
      </w:r>
      <w:r>
        <w:rPr/>
        <w:t>efetivaram</w:t>
      </w:r>
      <w:r>
        <w:rPr>
          <w:spacing w:val="-30"/>
        </w:rPr>
        <w:t> </w:t>
      </w:r>
      <w:r>
        <w:rPr/>
        <w:t>a</w:t>
      </w:r>
      <w:r>
        <w:rPr>
          <w:spacing w:val="-29"/>
        </w:rPr>
        <w:t> </w:t>
      </w:r>
      <w:r>
        <w:rPr/>
        <w:t>quitação</w:t>
      </w:r>
      <w:r>
        <w:rPr>
          <w:spacing w:val="-31"/>
        </w:rPr>
        <w:t> </w:t>
      </w:r>
      <w:r>
        <w:rPr/>
        <w:t>antecipada</w:t>
      </w:r>
      <w:r>
        <w:rPr>
          <w:spacing w:val="-31"/>
        </w:rPr>
        <w:t> </w:t>
      </w:r>
      <w:r>
        <w:rPr/>
        <w:t>do</w:t>
      </w:r>
      <w:r>
        <w:rPr>
          <w:spacing w:val="-30"/>
        </w:rPr>
        <w:t> </w:t>
      </w:r>
      <w:r>
        <w:rPr/>
        <w:t>saldo</w:t>
      </w:r>
      <w:r>
        <w:rPr>
          <w:spacing w:val="-31"/>
        </w:rPr>
        <w:t> </w:t>
      </w:r>
      <w:r>
        <w:rPr/>
        <w:t>dos</w:t>
      </w:r>
      <w:r>
        <w:rPr>
          <w:spacing w:val="-30"/>
        </w:rPr>
        <w:t> </w:t>
      </w:r>
      <w:r>
        <w:rPr/>
        <w:t>empréstimos</w:t>
      </w:r>
      <w:r>
        <w:rPr>
          <w:spacing w:val="-31"/>
        </w:rPr>
        <w:t> </w:t>
      </w:r>
      <w:r>
        <w:rPr/>
        <w:t>da</w:t>
      </w:r>
      <w:r>
        <w:rPr>
          <w:spacing w:val="-29"/>
        </w:rPr>
        <w:t> </w:t>
      </w:r>
      <w:r>
        <w:rPr/>
        <w:t>Conta</w:t>
      </w:r>
      <w:r>
        <w:rPr>
          <w:spacing w:val="-31"/>
        </w:rPr>
        <w:t> </w:t>
      </w:r>
      <w:r>
        <w:rPr/>
        <w:t>Ambiente</w:t>
      </w:r>
      <w:r>
        <w:rPr>
          <w:spacing w:val="-31"/>
        </w:rPr>
        <w:t> </w:t>
      </w:r>
      <w:r>
        <w:rPr/>
        <w:t>de Contratação</w:t>
      </w:r>
      <w:r>
        <w:rPr>
          <w:spacing w:val="-25"/>
        </w:rPr>
        <w:t> </w:t>
      </w:r>
      <w:r>
        <w:rPr/>
        <w:t>Regulada</w:t>
      </w:r>
      <w:r>
        <w:rPr>
          <w:spacing w:val="-23"/>
        </w:rPr>
        <w:t> </w:t>
      </w:r>
      <w:r>
        <w:rPr>
          <w:w w:val="105"/>
        </w:rPr>
        <w:t>–</w:t>
      </w:r>
      <w:r>
        <w:rPr>
          <w:spacing w:val="-25"/>
          <w:w w:val="105"/>
        </w:rPr>
        <w:t> </w:t>
      </w:r>
      <w:r>
        <w:rPr/>
        <w:t>Conta-ACR</w:t>
      </w:r>
      <w:r>
        <w:rPr>
          <w:spacing w:val="-24"/>
        </w:rPr>
        <w:t> </w:t>
      </w:r>
      <w:r>
        <w:rPr/>
        <w:t>com</w:t>
      </w:r>
      <w:r>
        <w:rPr>
          <w:spacing w:val="-24"/>
        </w:rPr>
        <w:t> </w:t>
      </w:r>
      <w:r>
        <w:rPr/>
        <w:t>os</w:t>
      </w:r>
      <w:r>
        <w:rPr>
          <w:spacing w:val="-24"/>
        </w:rPr>
        <w:t> </w:t>
      </w:r>
      <w:r>
        <w:rPr/>
        <w:t>bancos</w:t>
      </w:r>
      <w:r>
        <w:rPr>
          <w:spacing w:val="-22"/>
        </w:rPr>
        <w:t> </w:t>
      </w:r>
      <w:r>
        <w:rPr/>
        <w:t>cujo</w:t>
      </w:r>
      <w:r>
        <w:rPr>
          <w:spacing w:val="-23"/>
        </w:rPr>
        <w:t> </w:t>
      </w:r>
      <w:r>
        <w:rPr/>
        <w:t>prazo</w:t>
      </w:r>
      <w:r>
        <w:rPr>
          <w:spacing w:val="-24"/>
        </w:rPr>
        <w:t> </w:t>
      </w:r>
      <w:r>
        <w:rPr/>
        <w:t>para</w:t>
      </w:r>
      <w:r>
        <w:rPr>
          <w:spacing w:val="-23"/>
        </w:rPr>
        <w:t> </w:t>
      </w:r>
      <w:r>
        <w:rPr/>
        <w:t>amortização</w:t>
      </w:r>
      <w:r>
        <w:rPr>
          <w:spacing w:val="-25"/>
        </w:rPr>
        <w:t> </w:t>
      </w:r>
      <w:r>
        <w:rPr/>
        <w:t>iria</w:t>
      </w:r>
      <w:r>
        <w:rPr>
          <w:spacing w:val="-23"/>
        </w:rPr>
        <w:t> </w:t>
      </w:r>
      <w:r>
        <w:rPr/>
        <w:t>até</w:t>
      </w:r>
      <w:r>
        <w:rPr>
          <w:spacing w:val="-26"/>
        </w:rPr>
        <w:t> </w:t>
      </w:r>
      <w:r>
        <w:rPr/>
        <w:t>abril</w:t>
      </w:r>
      <w:r>
        <w:rPr>
          <w:spacing w:val="-23"/>
        </w:rPr>
        <w:t> </w:t>
      </w:r>
      <w:r>
        <w:rPr/>
        <w:t>de</w:t>
      </w:r>
      <w:r>
        <w:rPr>
          <w:spacing w:val="-26"/>
        </w:rPr>
        <w:t> </w:t>
      </w:r>
      <w:r>
        <w:rPr/>
        <w:t>2020.</w:t>
      </w:r>
    </w:p>
    <w:p>
      <w:pPr>
        <w:pStyle w:val="BodyText"/>
        <w:spacing w:before="9"/>
      </w:pPr>
    </w:p>
    <w:p>
      <w:pPr>
        <w:pStyle w:val="BodyText"/>
        <w:spacing w:line="242" w:lineRule="auto" w:before="1"/>
        <w:ind w:left="172" w:right="408"/>
        <w:jc w:val="both"/>
      </w:pPr>
      <w:r>
        <w:rPr/>
        <w:t>Com</w:t>
      </w:r>
      <w:r>
        <w:rPr>
          <w:spacing w:val="-45"/>
        </w:rPr>
        <w:t> </w:t>
      </w:r>
      <w:r>
        <w:rPr/>
        <w:t>a</w:t>
      </w:r>
      <w:r>
        <w:rPr>
          <w:spacing w:val="-43"/>
        </w:rPr>
        <w:t> </w:t>
      </w:r>
      <w:r>
        <w:rPr/>
        <w:t>quitação</w:t>
      </w:r>
      <w:r>
        <w:rPr>
          <w:spacing w:val="-44"/>
        </w:rPr>
        <w:t> </w:t>
      </w:r>
      <w:r>
        <w:rPr/>
        <w:t>antecipada</w:t>
      </w:r>
      <w:r>
        <w:rPr>
          <w:spacing w:val="-43"/>
        </w:rPr>
        <w:t> </w:t>
      </w:r>
      <w:r>
        <w:rPr/>
        <w:t>da</w:t>
      </w:r>
      <w:r>
        <w:rPr>
          <w:spacing w:val="-43"/>
        </w:rPr>
        <w:t> </w:t>
      </w:r>
      <w:r>
        <w:rPr/>
        <w:t>CDE</w:t>
      </w:r>
      <w:r>
        <w:rPr>
          <w:spacing w:val="-44"/>
        </w:rPr>
        <w:t> </w:t>
      </w:r>
      <w:r>
        <w:rPr/>
        <w:t>Conta</w:t>
      </w:r>
      <w:r>
        <w:rPr>
          <w:spacing w:val="-44"/>
        </w:rPr>
        <w:t> </w:t>
      </w:r>
      <w:r>
        <w:rPr/>
        <w:t>ACR,</w:t>
      </w:r>
      <w:r>
        <w:rPr>
          <w:spacing w:val="-43"/>
        </w:rPr>
        <w:t> </w:t>
      </w:r>
      <w:r>
        <w:rPr/>
        <w:t>finalizada</w:t>
      </w:r>
      <w:r>
        <w:rPr>
          <w:spacing w:val="-44"/>
        </w:rPr>
        <w:t> </w:t>
      </w:r>
      <w:r>
        <w:rPr/>
        <w:t>em</w:t>
      </w:r>
      <w:r>
        <w:rPr>
          <w:spacing w:val="-44"/>
        </w:rPr>
        <w:t> </w:t>
      </w:r>
      <w:r>
        <w:rPr/>
        <w:t>setembro</w:t>
      </w:r>
      <w:r>
        <w:rPr>
          <w:spacing w:val="-43"/>
        </w:rPr>
        <w:t> </w:t>
      </w:r>
      <w:r>
        <w:rPr/>
        <w:t>de</w:t>
      </w:r>
      <w:r>
        <w:rPr>
          <w:spacing w:val="-43"/>
        </w:rPr>
        <w:t> </w:t>
      </w:r>
      <w:r>
        <w:rPr/>
        <w:t>2019,</w:t>
      </w:r>
      <w:r>
        <w:rPr>
          <w:spacing w:val="-43"/>
        </w:rPr>
        <w:t> </w:t>
      </w:r>
      <w:r>
        <w:rPr/>
        <w:t>resultou</w:t>
      </w:r>
      <w:r>
        <w:rPr>
          <w:spacing w:val="-43"/>
        </w:rPr>
        <w:t> </w:t>
      </w:r>
      <w:r>
        <w:rPr/>
        <w:t>um</w:t>
      </w:r>
      <w:r>
        <w:rPr>
          <w:spacing w:val="-44"/>
        </w:rPr>
        <w:t> </w:t>
      </w:r>
      <w:r>
        <w:rPr/>
        <w:t>saldo</w:t>
      </w:r>
      <w:r>
        <w:rPr>
          <w:spacing w:val="-43"/>
        </w:rPr>
        <w:t> </w:t>
      </w:r>
      <w:r>
        <w:rPr/>
        <w:t>remanescente</w:t>
      </w:r>
      <w:r>
        <w:rPr>
          <w:spacing w:val="-43"/>
        </w:rPr>
        <w:t> </w:t>
      </w:r>
      <w:r>
        <w:rPr/>
        <w:t>para rateio</w:t>
      </w:r>
      <w:r>
        <w:rPr>
          <w:spacing w:val="-42"/>
        </w:rPr>
        <w:t> </w:t>
      </w:r>
      <w:r>
        <w:rPr/>
        <w:t>entre</w:t>
      </w:r>
      <w:r>
        <w:rPr>
          <w:spacing w:val="-43"/>
        </w:rPr>
        <w:t> </w:t>
      </w:r>
      <w:r>
        <w:rPr/>
        <w:t>as</w:t>
      </w:r>
      <w:r>
        <w:rPr>
          <w:spacing w:val="-42"/>
        </w:rPr>
        <w:t> </w:t>
      </w:r>
      <w:r>
        <w:rPr/>
        <w:t>distribuidoras</w:t>
      </w:r>
      <w:r>
        <w:rPr>
          <w:spacing w:val="-42"/>
        </w:rPr>
        <w:t> </w:t>
      </w:r>
      <w:r>
        <w:rPr/>
        <w:t>de</w:t>
      </w:r>
      <w:r>
        <w:rPr>
          <w:spacing w:val="-42"/>
        </w:rPr>
        <w:t> </w:t>
      </w:r>
      <w:r>
        <w:rPr/>
        <w:t>energia</w:t>
      </w:r>
      <w:r>
        <w:rPr>
          <w:spacing w:val="-42"/>
        </w:rPr>
        <w:t> </w:t>
      </w:r>
      <w:r>
        <w:rPr/>
        <w:t>elétrica.</w:t>
      </w:r>
      <w:r>
        <w:rPr>
          <w:spacing w:val="-43"/>
        </w:rPr>
        <w:t> </w:t>
      </w:r>
      <w:r>
        <w:rPr/>
        <w:t>O</w:t>
      </w:r>
      <w:r>
        <w:rPr>
          <w:spacing w:val="-42"/>
        </w:rPr>
        <w:t> </w:t>
      </w:r>
      <w:r>
        <w:rPr/>
        <w:t>montante</w:t>
      </w:r>
      <w:r>
        <w:rPr>
          <w:spacing w:val="-40"/>
        </w:rPr>
        <w:t> </w:t>
      </w:r>
      <w:r>
        <w:rPr/>
        <w:t>do</w:t>
      </w:r>
      <w:r>
        <w:rPr>
          <w:spacing w:val="-42"/>
        </w:rPr>
        <w:t> </w:t>
      </w:r>
      <w:r>
        <w:rPr/>
        <w:t>saldo</w:t>
      </w:r>
      <w:r>
        <w:rPr>
          <w:spacing w:val="-42"/>
        </w:rPr>
        <w:t> </w:t>
      </w:r>
      <w:r>
        <w:rPr/>
        <w:t>remanescente</w:t>
      </w:r>
      <w:r>
        <w:rPr>
          <w:spacing w:val="-41"/>
        </w:rPr>
        <w:t> </w:t>
      </w:r>
      <w:r>
        <w:rPr/>
        <w:t>totalizou</w:t>
      </w:r>
      <w:r>
        <w:rPr>
          <w:spacing w:val="-42"/>
        </w:rPr>
        <w:t> </w:t>
      </w:r>
      <w:r>
        <w:rPr/>
        <w:t>em</w:t>
      </w:r>
      <w:r>
        <w:rPr>
          <w:spacing w:val="-42"/>
        </w:rPr>
        <w:t> </w:t>
      </w:r>
      <w:r>
        <w:rPr/>
        <w:t>R$</w:t>
      </w:r>
      <w:r>
        <w:rPr>
          <w:spacing w:val="-43"/>
        </w:rPr>
        <w:t> </w:t>
      </w:r>
      <w:r>
        <w:rPr/>
        <w:t>641,95</w:t>
      </w:r>
      <w:r>
        <w:rPr>
          <w:spacing w:val="-41"/>
        </w:rPr>
        <w:t> </w:t>
      </w:r>
      <w:r>
        <w:rPr/>
        <w:t>milhões para</w:t>
      </w:r>
      <w:r>
        <w:rPr>
          <w:spacing w:val="-35"/>
        </w:rPr>
        <w:t> </w:t>
      </w:r>
      <w:r>
        <w:rPr/>
        <w:t>ser</w:t>
      </w:r>
      <w:r>
        <w:rPr>
          <w:spacing w:val="-33"/>
        </w:rPr>
        <w:t> </w:t>
      </w:r>
      <w:r>
        <w:rPr/>
        <w:t>divido</w:t>
      </w:r>
      <w:r>
        <w:rPr>
          <w:spacing w:val="-34"/>
        </w:rPr>
        <w:t> </w:t>
      </w:r>
      <w:r>
        <w:rPr/>
        <w:t>para</w:t>
      </w:r>
      <w:r>
        <w:rPr>
          <w:spacing w:val="-33"/>
        </w:rPr>
        <w:t> </w:t>
      </w:r>
      <w:r>
        <w:rPr/>
        <w:t>cada</w:t>
      </w:r>
      <w:r>
        <w:rPr>
          <w:spacing w:val="-34"/>
        </w:rPr>
        <w:t> </w:t>
      </w:r>
      <w:r>
        <w:rPr/>
        <w:t>distribuidora</w:t>
      </w:r>
      <w:r>
        <w:rPr>
          <w:spacing w:val="-34"/>
        </w:rPr>
        <w:t> </w:t>
      </w:r>
      <w:r>
        <w:rPr/>
        <w:t>de</w:t>
      </w:r>
      <w:r>
        <w:rPr>
          <w:spacing w:val="-35"/>
        </w:rPr>
        <w:t> </w:t>
      </w:r>
      <w:r>
        <w:rPr/>
        <w:t>acordo</w:t>
      </w:r>
      <w:r>
        <w:rPr>
          <w:spacing w:val="-33"/>
        </w:rPr>
        <w:t> </w:t>
      </w:r>
      <w:r>
        <w:rPr/>
        <w:t>o</w:t>
      </w:r>
      <w:r>
        <w:rPr>
          <w:spacing w:val="-34"/>
        </w:rPr>
        <w:t> </w:t>
      </w:r>
      <w:r>
        <w:rPr/>
        <w:t>Despacho</w:t>
      </w:r>
      <w:r>
        <w:rPr>
          <w:spacing w:val="-35"/>
        </w:rPr>
        <w:t> </w:t>
      </w:r>
      <w:r>
        <w:rPr/>
        <w:t>nº</w:t>
      </w:r>
      <w:r>
        <w:rPr>
          <w:spacing w:val="-32"/>
        </w:rPr>
        <w:t> </w:t>
      </w:r>
      <w:r>
        <w:rPr/>
        <w:t>2.755/2019.</w:t>
      </w:r>
      <w:r>
        <w:rPr>
          <w:spacing w:val="-35"/>
        </w:rPr>
        <w:t> </w:t>
      </w:r>
      <w:r>
        <w:rPr/>
        <w:t>Assim,</w:t>
      </w:r>
      <w:r>
        <w:rPr>
          <w:spacing w:val="-34"/>
        </w:rPr>
        <w:t> </w:t>
      </w:r>
      <w:r>
        <w:rPr/>
        <w:t>a</w:t>
      </w:r>
      <w:r>
        <w:rPr>
          <w:spacing w:val="-34"/>
        </w:rPr>
        <w:t> </w:t>
      </w:r>
      <w:r>
        <w:rPr/>
        <w:t>Companhia</w:t>
      </w:r>
      <w:r>
        <w:rPr>
          <w:spacing w:val="-32"/>
        </w:rPr>
        <w:t> </w:t>
      </w:r>
      <w:r>
        <w:rPr/>
        <w:t>recebeu</w:t>
      </w:r>
      <w:r>
        <w:rPr>
          <w:spacing w:val="-33"/>
        </w:rPr>
        <w:t> </w:t>
      </w:r>
      <w:r>
        <w:rPr/>
        <w:t>conforme o</w:t>
      </w:r>
      <w:r>
        <w:rPr>
          <w:spacing w:val="-22"/>
        </w:rPr>
        <w:t> </w:t>
      </w:r>
      <w:r>
        <w:rPr/>
        <w:t>percentual</w:t>
      </w:r>
      <w:r>
        <w:rPr>
          <w:spacing w:val="-20"/>
        </w:rPr>
        <w:t> </w:t>
      </w:r>
      <w:r>
        <w:rPr/>
        <w:t>de</w:t>
      </w:r>
      <w:r>
        <w:rPr>
          <w:spacing w:val="-22"/>
        </w:rPr>
        <w:t> </w:t>
      </w:r>
      <w:r>
        <w:rPr/>
        <w:t>rateio</w:t>
      </w:r>
      <w:r>
        <w:rPr>
          <w:spacing w:val="-21"/>
        </w:rPr>
        <w:t> </w:t>
      </w:r>
      <w:r>
        <w:rPr/>
        <w:t>o</w:t>
      </w:r>
      <w:r>
        <w:rPr>
          <w:spacing w:val="-20"/>
        </w:rPr>
        <w:t> </w:t>
      </w:r>
      <w:r>
        <w:rPr/>
        <w:t>valor</w:t>
      </w:r>
      <w:r>
        <w:rPr>
          <w:spacing w:val="-21"/>
        </w:rPr>
        <w:t> </w:t>
      </w:r>
      <w:r>
        <w:rPr/>
        <w:t>de</w:t>
      </w:r>
      <w:r>
        <w:rPr>
          <w:spacing w:val="-22"/>
        </w:rPr>
        <w:t> </w:t>
      </w:r>
      <w:r>
        <w:rPr/>
        <w:t>R$11,55</w:t>
      </w:r>
      <w:r>
        <w:rPr>
          <w:spacing w:val="-20"/>
        </w:rPr>
        <w:t> </w:t>
      </w:r>
      <w:r>
        <w:rPr/>
        <w:t>milhões</w:t>
      </w:r>
      <w:r>
        <w:rPr>
          <w:spacing w:val="-20"/>
        </w:rPr>
        <w:t> </w:t>
      </w:r>
      <w:r>
        <w:rPr/>
        <w:t>que</w:t>
      </w:r>
      <w:r>
        <w:rPr>
          <w:spacing w:val="-21"/>
        </w:rPr>
        <w:t> </w:t>
      </w:r>
      <w:r>
        <w:rPr/>
        <w:t>foram</w:t>
      </w:r>
      <w:r>
        <w:rPr>
          <w:spacing w:val="-20"/>
        </w:rPr>
        <w:t> </w:t>
      </w:r>
      <w:r>
        <w:rPr/>
        <w:t>devidamente</w:t>
      </w:r>
      <w:r>
        <w:rPr>
          <w:spacing w:val="-21"/>
        </w:rPr>
        <w:t> </w:t>
      </w:r>
      <w:r>
        <w:rPr/>
        <w:t>registrados</w:t>
      </w:r>
      <w:r>
        <w:rPr>
          <w:spacing w:val="-22"/>
        </w:rPr>
        <w:t> </w:t>
      </w:r>
      <w:r>
        <w:rPr/>
        <w:t>como</w:t>
      </w:r>
      <w:r>
        <w:rPr>
          <w:spacing w:val="-21"/>
        </w:rPr>
        <w:t> </w:t>
      </w:r>
      <w:r>
        <w:rPr/>
        <w:t>um</w:t>
      </w:r>
      <w:r>
        <w:rPr>
          <w:spacing w:val="-11"/>
        </w:rPr>
        <w:t> </w:t>
      </w:r>
      <w:r>
        <w:rPr/>
        <w:t>ressarcimento</w:t>
      </w:r>
      <w:r>
        <w:rPr>
          <w:spacing w:val="-20"/>
        </w:rPr>
        <w:t> </w:t>
      </w:r>
      <w:r>
        <w:rPr/>
        <w:t>de encargo</w:t>
      </w:r>
      <w:r>
        <w:rPr>
          <w:spacing w:val="-11"/>
        </w:rPr>
        <w:t> </w:t>
      </w:r>
      <w:r>
        <w:rPr/>
        <w:t>do</w:t>
      </w:r>
      <w:r>
        <w:rPr>
          <w:spacing w:val="-11"/>
        </w:rPr>
        <w:t> </w:t>
      </w:r>
      <w:r>
        <w:rPr/>
        <w:t>consumidor</w:t>
      </w:r>
      <w:r>
        <w:rPr>
          <w:spacing w:val="-10"/>
        </w:rPr>
        <w:t> </w:t>
      </w:r>
      <w:r>
        <w:rPr/>
        <w:t>e</w:t>
      </w:r>
      <w:r>
        <w:rPr>
          <w:spacing w:val="-11"/>
        </w:rPr>
        <w:t> </w:t>
      </w:r>
      <w:r>
        <w:rPr/>
        <w:t>teve</w:t>
      </w:r>
      <w:r>
        <w:rPr>
          <w:spacing w:val="-9"/>
        </w:rPr>
        <w:t> </w:t>
      </w:r>
      <w:r>
        <w:rPr/>
        <w:t>em</w:t>
      </w:r>
      <w:r>
        <w:rPr>
          <w:spacing w:val="-11"/>
        </w:rPr>
        <w:t> </w:t>
      </w:r>
      <w:r>
        <w:rPr/>
        <w:t>contrapartida</w:t>
      </w:r>
      <w:r>
        <w:rPr>
          <w:spacing w:val="-11"/>
        </w:rPr>
        <w:t> </w:t>
      </w:r>
      <w:r>
        <w:rPr/>
        <w:t>a</w:t>
      </w:r>
      <w:r>
        <w:rPr>
          <w:spacing w:val="-10"/>
        </w:rPr>
        <w:t> </w:t>
      </w:r>
      <w:r>
        <w:rPr/>
        <w:t>constituição</w:t>
      </w:r>
      <w:r>
        <w:rPr>
          <w:spacing w:val="-11"/>
        </w:rPr>
        <w:t> </w:t>
      </w:r>
      <w:r>
        <w:rPr/>
        <w:t>na</w:t>
      </w:r>
      <w:r>
        <w:rPr>
          <w:spacing w:val="-10"/>
        </w:rPr>
        <w:t> </w:t>
      </w:r>
      <w:r>
        <w:rPr/>
        <w:t>conta</w:t>
      </w:r>
      <w:r>
        <w:rPr>
          <w:spacing w:val="-11"/>
        </w:rPr>
        <w:t> </w:t>
      </w:r>
      <w:r>
        <w:rPr/>
        <w:t>CVA</w:t>
      </w:r>
      <w:r>
        <w:rPr>
          <w:spacing w:val="-9"/>
        </w:rPr>
        <w:t> </w:t>
      </w:r>
      <w:r>
        <w:rPr/>
        <w:t>encargos</w:t>
      </w:r>
      <w:r>
        <w:rPr>
          <w:spacing w:val="-9"/>
        </w:rPr>
        <w:t> </w:t>
      </w:r>
      <w:r>
        <w:rPr/>
        <w:t>para</w:t>
      </w:r>
      <w:r>
        <w:rPr>
          <w:spacing w:val="-10"/>
        </w:rPr>
        <w:t> </w:t>
      </w:r>
      <w:r>
        <w:rPr/>
        <w:t>devolução</w:t>
      </w:r>
      <w:r>
        <w:rPr>
          <w:spacing w:val="-11"/>
        </w:rPr>
        <w:t> </w:t>
      </w:r>
      <w:r>
        <w:rPr/>
        <w:t>futura</w:t>
      </w:r>
      <w:r>
        <w:rPr>
          <w:spacing w:val="-10"/>
        </w:rPr>
        <w:t> </w:t>
      </w:r>
      <w:r>
        <w:rPr/>
        <w:t>no processo.</w:t>
      </w:r>
    </w:p>
    <w:p>
      <w:pPr>
        <w:pStyle w:val="BodyText"/>
        <w:spacing w:before="6"/>
      </w:pPr>
    </w:p>
    <w:p>
      <w:pPr>
        <w:pStyle w:val="BodyText"/>
        <w:spacing w:line="242" w:lineRule="auto"/>
        <w:ind w:left="172" w:right="412"/>
        <w:jc w:val="both"/>
      </w:pPr>
      <w:r>
        <w:rPr/>
        <w:t>Com</w:t>
      </w:r>
      <w:r>
        <w:rPr>
          <w:spacing w:val="-6"/>
        </w:rPr>
        <w:t> </w:t>
      </w:r>
      <w:r>
        <w:rPr/>
        <w:t>a</w:t>
      </w:r>
      <w:r>
        <w:rPr>
          <w:spacing w:val="-5"/>
        </w:rPr>
        <w:t> </w:t>
      </w:r>
      <w:r>
        <w:rPr/>
        <w:t>finalização</w:t>
      </w:r>
      <w:r>
        <w:rPr>
          <w:spacing w:val="-6"/>
        </w:rPr>
        <w:t> </w:t>
      </w:r>
      <w:r>
        <w:rPr/>
        <w:t>da</w:t>
      </w:r>
      <w:r>
        <w:rPr>
          <w:spacing w:val="-5"/>
        </w:rPr>
        <w:t> </w:t>
      </w:r>
      <w:r>
        <w:rPr/>
        <w:t>CDE</w:t>
      </w:r>
      <w:r>
        <w:rPr>
          <w:spacing w:val="-5"/>
        </w:rPr>
        <w:t> </w:t>
      </w:r>
      <w:r>
        <w:rPr/>
        <w:t>Energia</w:t>
      </w:r>
      <w:r>
        <w:rPr>
          <w:spacing w:val="-3"/>
        </w:rPr>
        <w:t> </w:t>
      </w:r>
      <w:r>
        <w:rPr/>
        <w:t>e</w:t>
      </w:r>
      <w:r>
        <w:rPr>
          <w:spacing w:val="-7"/>
        </w:rPr>
        <w:t> </w:t>
      </w:r>
      <w:r>
        <w:rPr/>
        <w:t>Conta</w:t>
      </w:r>
      <w:r>
        <w:rPr>
          <w:spacing w:val="-4"/>
        </w:rPr>
        <w:t> </w:t>
      </w:r>
      <w:r>
        <w:rPr/>
        <w:t>ACR,</w:t>
      </w:r>
      <w:r>
        <w:rPr>
          <w:spacing w:val="-5"/>
        </w:rPr>
        <w:t> </w:t>
      </w:r>
      <w:r>
        <w:rPr/>
        <w:t>restou</w:t>
      </w:r>
      <w:r>
        <w:rPr>
          <w:spacing w:val="-4"/>
        </w:rPr>
        <w:t> </w:t>
      </w:r>
      <w:r>
        <w:rPr/>
        <w:t>apenas</w:t>
      </w:r>
      <w:r>
        <w:rPr>
          <w:spacing w:val="-5"/>
        </w:rPr>
        <w:t> </w:t>
      </w:r>
      <w:r>
        <w:rPr/>
        <w:t>a</w:t>
      </w:r>
      <w:r>
        <w:rPr>
          <w:spacing w:val="-5"/>
        </w:rPr>
        <w:t> </w:t>
      </w:r>
      <w:r>
        <w:rPr/>
        <w:t>CDE-USO</w:t>
      </w:r>
      <w:r>
        <w:rPr>
          <w:spacing w:val="-6"/>
        </w:rPr>
        <w:t> </w:t>
      </w:r>
      <w:r>
        <w:rPr/>
        <w:t>contabilizada</w:t>
      </w:r>
      <w:r>
        <w:rPr>
          <w:spacing w:val="-5"/>
        </w:rPr>
        <w:t> </w:t>
      </w:r>
      <w:r>
        <w:rPr/>
        <w:t>na</w:t>
      </w:r>
      <w:r>
        <w:rPr>
          <w:spacing w:val="-5"/>
        </w:rPr>
        <w:t> </w:t>
      </w:r>
      <w:r>
        <w:rPr/>
        <w:t>conta</w:t>
      </w:r>
      <w:r>
        <w:rPr>
          <w:spacing w:val="-3"/>
        </w:rPr>
        <w:t> </w:t>
      </w:r>
      <w:r>
        <w:rPr/>
        <w:t>de</w:t>
      </w:r>
      <w:r>
        <w:rPr>
          <w:spacing w:val="-5"/>
        </w:rPr>
        <w:t> </w:t>
      </w:r>
      <w:r>
        <w:rPr/>
        <w:t>Encargo</w:t>
      </w:r>
      <w:r>
        <w:rPr>
          <w:spacing w:val="-4"/>
        </w:rPr>
        <w:t> </w:t>
      </w:r>
      <w:r>
        <w:rPr/>
        <w:t>do Consumidor</w:t>
      </w:r>
      <w:r>
        <w:rPr>
          <w:spacing w:val="-17"/>
        </w:rPr>
        <w:t> </w:t>
      </w:r>
      <w:r>
        <w:rPr/>
        <w:t>e</w:t>
      </w:r>
      <w:r>
        <w:rPr>
          <w:spacing w:val="-17"/>
        </w:rPr>
        <w:t> </w:t>
      </w:r>
      <w:r>
        <w:rPr/>
        <w:t>repassada</w:t>
      </w:r>
      <w:r>
        <w:rPr>
          <w:spacing w:val="-17"/>
        </w:rPr>
        <w:t> </w:t>
      </w:r>
      <w:r>
        <w:rPr/>
        <w:t>nas</w:t>
      </w:r>
      <w:r>
        <w:rPr>
          <w:spacing w:val="-18"/>
        </w:rPr>
        <w:t> </w:t>
      </w:r>
      <w:r>
        <w:rPr/>
        <w:t>tarifas</w:t>
      </w:r>
      <w:r>
        <w:rPr>
          <w:spacing w:val="-18"/>
        </w:rPr>
        <w:t> </w:t>
      </w:r>
      <w:r>
        <w:rPr/>
        <w:t>dos</w:t>
      </w:r>
      <w:r>
        <w:rPr>
          <w:spacing w:val="-16"/>
        </w:rPr>
        <w:t> </w:t>
      </w:r>
      <w:r>
        <w:rPr/>
        <w:t>consumidores.</w:t>
      </w:r>
    </w:p>
    <w:p>
      <w:pPr>
        <w:spacing w:after="0" w:line="242"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BodyText"/>
        <w:spacing w:line="242" w:lineRule="auto" w:before="16"/>
        <w:ind w:left="172" w:right="413"/>
        <w:jc w:val="both"/>
      </w:pPr>
      <w:r>
        <w:rPr/>
        <w:t>Na conta Aporte de Recursos CDE é contabilizado os subsídios CDE, conforme a Resolução Homologatória n° 2.625/2019</w:t>
      </w:r>
      <w:r>
        <w:rPr>
          <w:spacing w:val="-14"/>
        </w:rPr>
        <w:t> </w:t>
      </w:r>
      <w:r>
        <w:rPr/>
        <w:t>que</w:t>
      </w:r>
      <w:r>
        <w:rPr>
          <w:spacing w:val="-16"/>
        </w:rPr>
        <w:t> </w:t>
      </w:r>
      <w:r>
        <w:rPr/>
        <w:t>homologou</w:t>
      </w:r>
      <w:r>
        <w:rPr>
          <w:spacing w:val="-14"/>
        </w:rPr>
        <w:t> </w:t>
      </w:r>
      <w:r>
        <w:rPr/>
        <w:t>o</w:t>
      </w:r>
      <w:r>
        <w:rPr>
          <w:spacing w:val="-15"/>
        </w:rPr>
        <w:t> </w:t>
      </w:r>
      <w:r>
        <w:rPr/>
        <w:t>RTA</w:t>
      </w:r>
      <w:r>
        <w:rPr>
          <w:spacing w:val="-15"/>
        </w:rPr>
        <w:t> </w:t>
      </w:r>
      <w:r>
        <w:rPr/>
        <w:t>2019</w:t>
      </w:r>
      <w:r>
        <w:rPr>
          <w:spacing w:val="-15"/>
        </w:rPr>
        <w:t> </w:t>
      </w:r>
      <w:r>
        <w:rPr/>
        <w:t>que</w:t>
      </w:r>
      <w:r>
        <w:rPr>
          <w:spacing w:val="-16"/>
        </w:rPr>
        <w:t> </w:t>
      </w:r>
      <w:r>
        <w:rPr/>
        <w:t>reconheceu</w:t>
      </w:r>
      <w:r>
        <w:rPr>
          <w:spacing w:val="-15"/>
        </w:rPr>
        <w:t> </w:t>
      </w:r>
      <w:r>
        <w:rPr/>
        <w:t>o</w:t>
      </w:r>
      <w:r>
        <w:rPr>
          <w:spacing w:val="-16"/>
        </w:rPr>
        <w:t> </w:t>
      </w:r>
      <w:r>
        <w:rPr/>
        <w:t>montante</w:t>
      </w:r>
      <w:r>
        <w:rPr>
          <w:spacing w:val="-14"/>
        </w:rPr>
        <w:t> </w:t>
      </w:r>
      <w:r>
        <w:rPr/>
        <w:t>mensal</w:t>
      </w:r>
      <w:r>
        <w:rPr>
          <w:spacing w:val="-15"/>
        </w:rPr>
        <w:t> </w:t>
      </w:r>
      <w:r>
        <w:rPr/>
        <w:t>a</w:t>
      </w:r>
      <w:r>
        <w:rPr>
          <w:spacing w:val="-15"/>
        </w:rPr>
        <w:t> </w:t>
      </w:r>
      <w:r>
        <w:rPr/>
        <w:t>ser</w:t>
      </w:r>
      <w:r>
        <w:rPr>
          <w:spacing w:val="-16"/>
        </w:rPr>
        <w:t> </w:t>
      </w:r>
      <w:r>
        <w:rPr/>
        <w:t>repassado</w:t>
      </w:r>
      <w:r>
        <w:rPr>
          <w:spacing w:val="-15"/>
        </w:rPr>
        <w:t> </w:t>
      </w:r>
      <w:r>
        <w:rPr/>
        <w:t>da</w:t>
      </w:r>
      <w:r>
        <w:rPr>
          <w:spacing w:val="-15"/>
        </w:rPr>
        <w:t> </w:t>
      </w:r>
      <w:r>
        <w:rPr/>
        <w:t>conta</w:t>
      </w:r>
      <w:r>
        <w:rPr>
          <w:spacing w:val="-15"/>
        </w:rPr>
        <w:t> </w:t>
      </w:r>
      <w:r>
        <w:rPr/>
        <w:t>CDE</w:t>
      </w:r>
      <w:r>
        <w:rPr>
          <w:spacing w:val="-14"/>
        </w:rPr>
        <w:t> </w:t>
      </w:r>
      <w:r>
        <w:rPr/>
        <w:t>USO</w:t>
      </w:r>
      <w:r>
        <w:rPr>
          <w:spacing w:val="-14"/>
        </w:rPr>
        <w:t> </w:t>
      </w:r>
      <w:r>
        <w:rPr/>
        <w:t>no período</w:t>
      </w:r>
      <w:r>
        <w:rPr>
          <w:spacing w:val="-12"/>
        </w:rPr>
        <w:t> </w:t>
      </w:r>
      <w:r>
        <w:rPr/>
        <w:t>de</w:t>
      </w:r>
      <w:r>
        <w:rPr>
          <w:spacing w:val="-13"/>
        </w:rPr>
        <w:t> </w:t>
      </w:r>
      <w:r>
        <w:rPr/>
        <w:t>outubro</w:t>
      </w:r>
      <w:r>
        <w:rPr>
          <w:spacing w:val="-11"/>
        </w:rPr>
        <w:t> </w:t>
      </w:r>
      <w:r>
        <w:rPr/>
        <w:t>de</w:t>
      </w:r>
      <w:r>
        <w:rPr>
          <w:spacing w:val="-12"/>
        </w:rPr>
        <w:t> </w:t>
      </w:r>
      <w:r>
        <w:rPr/>
        <w:t>2019</w:t>
      </w:r>
      <w:r>
        <w:rPr>
          <w:spacing w:val="-13"/>
        </w:rPr>
        <w:t> </w:t>
      </w:r>
      <w:r>
        <w:rPr/>
        <w:t>a</w:t>
      </w:r>
      <w:r>
        <w:rPr>
          <w:spacing w:val="-11"/>
        </w:rPr>
        <w:t> </w:t>
      </w:r>
      <w:r>
        <w:rPr/>
        <w:t>outubro</w:t>
      </w:r>
      <w:r>
        <w:rPr>
          <w:spacing w:val="-13"/>
        </w:rPr>
        <w:t> </w:t>
      </w:r>
      <w:r>
        <w:rPr/>
        <w:t>de</w:t>
      </w:r>
      <w:r>
        <w:rPr>
          <w:spacing w:val="-12"/>
        </w:rPr>
        <w:t> </w:t>
      </w:r>
      <w:r>
        <w:rPr/>
        <w:t>2020,</w:t>
      </w:r>
      <w:r>
        <w:rPr>
          <w:spacing w:val="-11"/>
        </w:rPr>
        <w:t> </w:t>
      </w:r>
      <w:r>
        <w:rPr/>
        <w:t>de</w:t>
      </w:r>
      <w:r>
        <w:rPr>
          <w:spacing w:val="-14"/>
        </w:rPr>
        <w:t> </w:t>
      </w:r>
      <w:r>
        <w:rPr/>
        <w:t>R$</w:t>
      </w:r>
      <w:r>
        <w:rPr>
          <w:spacing w:val="-11"/>
        </w:rPr>
        <w:t> </w:t>
      </w:r>
      <w:r>
        <w:rPr/>
        <w:t>3.370,</w:t>
      </w:r>
      <w:r>
        <w:rPr>
          <w:spacing w:val="-11"/>
        </w:rPr>
        <w:t> </w:t>
      </w:r>
      <w:r>
        <w:rPr/>
        <w:t>e</w:t>
      </w:r>
      <w:r>
        <w:rPr>
          <w:spacing w:val="-14"/>
        </w:rPr>
        <w:t> </w:t>
      </w:r>
      <w:r>
        <w:rPr/>
        <w:t>a</w:t>
      </w:r>
      <w:r>
        <w:rPr>
          <w:spacing w:val="-10"/>
        </w:rPr>
        <w:t> </w:t>
      </w:r>
      <w:r>
        <w:rPr/>
        <w:t>Diferença</w:t>
      </w:r>
      <w:r>
        <w:rPr>
          <w:spacing w:val="-13"/>
        </w:rPr>
        <w:t> </w:t>
      </w:r>
      <w:r>
        <w:rPr/>
        <w:t>Mensal</w:t>
      </w:r>
      <w:r>
        <w:rPr>
          <w:spacing w:val="-10"/>
        </w:rPr>
        <w:t> </w:t>
      </w:r>
      <w:r>
        <w:rPr/>
        <w:t>de</w:t>
      </w:r>
      <w:r>
        <w:rPr>
          <w:spacing w:val="-12"/>
        </w:rPr>
        <w:t> </w:t>
      </w:r>
      <w:r>
        <w:rPr/>
        <w:t>Receita</w:t>
      </w:r>
      <w:r>
        <w:rPr>
          <w:spacing w:val="-13"/>
        </w:rPr>
        <w:t> </w:t>
      </w:r>
      <w:r>
        <w:rPr/>
        <w:t>(DMR),</w:t>
      </w:r>
      <w:r>
        <w:rPr>
          <w:spacing w:val="-13"/>
        </w:rPr>
        <w:t> </w:t>
      </w:r>
      <w:r>
        <w:rPr/>
        <w:t>ambos</w:t>
      </w:r>
      <w:r>
        <w:rPr>
          <w:spacing w:val="-10"/>
        </w:rPr>
        <w:t> </w:t>
      </w:r>
      <w:r>
        <w:rPr/>
        <w:t>para suportar</w:t>
      </w:r>
      <w:r>
        <w:rPr>
          <w:spacing w:val="-20"/>
        </w:rPr>
        <w:t> </w:t>
      </w:r>
      <w:r>
        <w:rPr/>
        <w:t>os</w:t>
      </w:r>
      <w:r>
        <w:rPr>
          <w:spacing w:val="-20"/>
        </w:rPr>
        <w:t> </w:t>
      </w:r>
      <w:r>
        <w:rPr/>
        <w:t>descontos</w:t>
      </w:r>
      <w:r>
        <w:rPr>
          <w:spacing w:val="-20"/>
        </w:rPr>
        <w:t> </w:t>
      </w:r>
      <w:r>
        <w:rPr/>
        <w:t>e</w:t>
      </w:r>
      <w:r>
        <w:rPr>
          <w:spacing w:val="-19"/>
        </w:rPr>
        <w:t> </w:t>
      </w:r>
      <w:r>
        <w:rPr/>
        <w:t>subvenções</w:t>
      </w:r>
      <w:r>
        <w:rPr>
          <w:spacing w:val="-20"/>
        </w:rPr>
        <w:t> </w:t>
      </w:r>
      <w:r>
        <w:rPr/>
        <w:t>tarifárias</w:t>
      </w:r>
      <w:r>
        <w:rPr>
          <w:spacing w:val="-20"/>
        </w:rPr>
        <w:t> </w:t>
      </w:r>
      <w:r>
        <w:rPr/>
        <w:t>que</w:t>
      </w:r>
      <w:r>
        <w:rPr>
          <w:spacing w:val="-22"/>
        </w:rPr>
        <w:t> </w:t>
      </w:r>
      <w:r>
        <w:rPr/>
        <w:t>a</w:t>
      </w:r>
      <w:r>
        <w:rPr>
          <w:spacing w:val="-17"/>
        </w:rPr>
        <w:t> </w:t>
      </w:r>
      <w:r>
        <w:rPr/>
        <w:t>CEB</w:t>
      </w:r>
      <w:r>
        <w:rPr>
          <w:spacing w:val="-20"/>
        </w:rPr>
        <w:t> </w:t>
      </w:r>
      <w:r>
        <w:rPr/>
        <w:t>DIS</w:t>
      </w:r>
      <w:r>
        <w:rPr>
          <w:spacing w:val="-20"/>
        </w:rPr>
        <w:t> </w:t>
      </w:r>
      <w:r>
        <w:rPr/>
        <w:t>aplica</w:t>
      </w:r>
      <w:r>
        <w:rPr>
          <w:spacing w:val="-20"/>
        </w:rPr>
        <w:t> </w:t>
      </w:r>
      <w:r>
        <w:rPr/>
        <w:t>aos</w:t>
      </w:r>
      <w:r>
        <w:rPr>
          <w:spacing w:val="-20"/>
        </w:rPr>
        <w:t> </w:t>
      </w:r>
      <w:r>
        <w:rPr/>
        <w:t>seus</w:t>
      </w:r>
      <w:r>
        <w:rPr>
          <w:spacing w:val="-17"/>
        </w:rPr>
        <w:t> </w:t>
      </w:r>
      <w:r>
        <w:rPr/>
        <w:t>clientes.</w:t>
      </w:r>
    </w:p>
    <w:p>
      <w:pPr>
        <w:pStyle w:val="BodyText"/>
        <w:spacing w:before="4"/>
      </w:pPr>
    </w:p>
    <w:p>
      <w:pPr>
        <w:pStyle w:val="Heading5"/>
        <w:numPr>
          <w:ilvl w:val="0"/>
          <w:numId w:val="36"/>
        </w:numPr>
        <w:tabs>
          <w:tab w:pos="894" w:val="left" w:leader="none"/>
        </w:tabs>
        <w:spacing w:line="240" w:lineRule="auto" w:before="0" w:after="0"/>
        <w:ind w:left="893" w:right="0" w:hanging="361"/>
        <w:jc w:val="left"/>
      </w:pPr>
      <w:r>
        <w:rPr>
          <w:w w:val="105"/>
        </w:rPr>
        <w:t>Mecanismos de Vendas de Excedentes </w:t>
      </w:r>
      <w:r>
        <w:rPr>
          <w:rFonts w:ascii="Trebuchet MS" w:hAnsi="Trebuchet MS"/>
          <w:w w:val="105"/>
        </w:rPr>
        <w:t>–</w:t>
      </w:r>
      <w:r>
        <w:rPr>
          <w:rFonts w:ascii="Trebuchet MS" w:hAnsi="Trebuchet MS"/>
          <w:spacing w:val="-50"/>
          <w:w w:val="105"/>
        </w:rPr>
        <w:t> </w:t>
      </w:r>
      <w:r>
        <w:rPr>
          <w:w w:val="105"/>
        </w:rPr>
        <w:t>MVE</w:t>
      </w:r>
    </w:p>
    <w:p>
      <w:pPr>
        <w:pStyle w:val="BodyText"/>
        <w:spacing w:before="9"/>
        <w:rPr>
          <w:rFonts w:ascii="Caladea"/>
          <w:b/>
        </w:rPr>
      </w:pPr>
    </w:p>
    <w:p>
      <w:pPr>
        <w:pStyle w:val="BodyText"/>
        <w:spacing w:line="242" w:lineRule="auto"/>
        <w:ind w:left="172" w:right="407"/>
        <w:jc w:val="both"/>
      </w:pPr>
      <w:r>
        <w:rPr/>
        <w:t>A</w:t>
      </w:r>
      <w:r>
        <w:rPr>
          <w:spacing w:val="-36"/>
        </w:rPr>
        <w:t> </w:t>
      </w:r>
      <w:r>
        <w:rPr/>
        <w:t>participação</w:t>
      </w:r>
      <w:r>
        <w:rPr>
          <w:spacing w:val="-37"/>
        </w:rPr>
        <w:t> </w:t>
      </w:r>
      <w:r>
        <w:rPr/>
        <w:t>no</w:t>
      </w:r>
      <w:r>
        <w:rPr>
          <w:spacing w:val="-35"/>
        </w:rPr>
        <w:t> </w:t>
      </w:r>
      <w:r>
        <w:rPr/>
        <w:t>Mecanismo</w:t>
      </w:r>
      <w:r>
        <w:rPr>
          <w:spacing w:val="-36"/>
        </w:rPr>
        <w:t> </w:t>
      </w:r>
      <w:r>
        <w:rPr/>
        <w:t>de</w:t>
      </w:r>
      <w:r>
        <w:rPr>
          <w:spacing w:val="-36"/>
        </w:rPr>
        <w:t> </w:t>
      </w:r>
      <w:r>
        <w:rPr/>
        <w:t>Venda</w:t>
      </w:r>
      <w:r>
        <w:rPr>
          <w:spacing w:val="-34"/>
        </w:rPr>
        <w:t> </w:t>
      </w:r>
      <w:r>
        <w:rPr/>
        <w:t>de</w:t>
      </w:r>
      <w:r>
        <w:rPr>
          <w:spacing w:val="-36"/>
        </w:rPr>
        <w:t> </w:t>
      </w:r>
      <w:r>
        <w:rPr/>
        <w:t>Excedentes</w:t>
      </w:r>
      <w:r>
        <w:rPr>
          <w:spacing w:val="-34"/>
        </w:rPr>
        <w:t> </w:t>
      </w:r>
      <w:r>
        <w:rPr/>
        <w:t>-</w:t>
      </w:r>
      <w:r>
        <w:rPr>
          <w:spacing w:val="-33"/>
        </w:rPr>
        <w:t> </w:t>
      </w:r>
      <w:r>
        <w:rPr/>
        <w:t>MVE</w:t>
      </w:r>
      <w:r>
        <w:rPr>
          <w:spacing w:val="-36"/>
        </w:rPr>
        <w:t> </w:t>
      </w:r>
      <w:r>
        <w:rPr/>
        <w:t>deve</w:t>
      </w:r>
      <w:r>
        <w:rPr>
          <w:spacing w:val="-35"/>
        </w:rPr>
        <w:t> </w:t>
      </w:r>
      <w:r>
        <w:rPr/>
        <w:t>obedecer</w:t>
      </w:r>
      <w:r>
        <w:rPr>
          <w:spacing w:val="-36"/>
        </w:rPr>
        <w:t> </w:t>
      </w:r>
      <w:r>
        <w:rPr/>
        <w:t>aos</w:t>
      </w:r>
      <w:r>
        <w:rPr>
          <w:spacing w:val="-36"/>
        </w:rPr>
        <w:t> </w:t>
      </w:r>
      <w:r>
        <w:rPr/>
        <w:t>critérios</w:t>
      </w:r>
      <w:r>
        <w:rPr>
          <w:spacing w:val="-34"/>
        </w:rPr>
        <w:t> </w:t>
      </w:r>
      <w:r>
        <w:rPr/>
        <w:t>estabelecidos</w:t>
      </w:r>
      <w:r>
        <w:rPr>
          <w:spacing w:val="-35"/>
        </w:rPr>
        <w:t> </w:t>
      </w:r>
      <w:r>
        <w:rPr/>
        <w:t>na</w:t>
      </w:r>
      <w:r>
        <w:rPr>
          <w:spacing w:val="-35"/>
        </w:rPr>
        <w:t> </w:t>
      </w:r>
      <w:r>
        <w:rPr/>
        <w:t>Resolução Normativa</w:t>
      </w:r>
      <w:r>
        <w:rPr>
          <w:spacing w:val="-30"/>
        </w:rPr>
        <w:t> </w:t>
      </w:r>
      <w:r>
        <w:rPr/>
        <w:t>nº</w:t>
      </w:r>
      <w:r>
        <w:rPr>
          <w:spacing w:val="-30"/>
        </w:rPr>
        <w:t> </w:t>
      </w:r>
      <w:r>
        <w:rPr/>
        <w:t>824,</w:t>
      </w:r>
      <w:r>
        <w:rPr>
          <w:spacing w:val="-30"/>
        </w:rPr>
        <w:t> </w:t>
      </w:r>
      <w:r>
        <w:rPr/>
        <w:t>de</w:t>
      </w:r>
      <w:r>
        <w:rPr>
          <w:spacing w:val="-31"/>
        </w:rPr>
        <w:t> </w:t>
      </w:r>
      <w:r>
        <w:rPr/>
        <w:t>10</w:t>
      </w:r>
      <w:r>
        <w:rPr>
          <w:spacing w:val="-31"/>
        </w:rPr>
        <w:t> </w:t>
      </w:r>
      <w:r>
        <w:rPr/>
        <w:t>de</w:t>
      </w:r>
      <w:r>
        <w:rPr>
          <w:spacing w:val="-30"/>
        </w:rPr>
        <w:t> </w:t>
      </w:r>
      <w:r>
        <w:rPr/>
        <w:t>julho</w:t>
      </w:r>
      <w:r>
        <w:rPr>
          <w:spacing w:val="-30"/>
        </w:rPr>
        <w:t> </w:t>
      </w:r>
      <w:r>
        <w:rPr/>
        <w:t>de</w:t>
      </w:r>
      <w:r>
        <w:rPr>
          <w:spacing w:val="-31"/>
        </w:rPr>
        <w:t> </w:t>
      </w:r>
      <w:r>
        <w:rPr/>
        <w:t>2018,</w:t>
      </w:r>
      <w:r>
        <w:rPr>
          <w:spacing w:val="-31"/>
        </w:rPr>
        <w:t> </w:t>
      </w:r>
      <w:r>
        <w:rPr/>
        <w:t>a</w:t>
      </w:r>
      <w:r>
        <w:rPr>
          <w:spacing w:val="-29"/>
        </w:rPr>
        <w:t> </w:t>
      </w:r>
      <w:r>
        <w:rPr/>
        <w:t>qual</w:t>
      </w:r>
      <w:r>
        <w:rPr>
          <w:spacing w:val="-30"/>
        </w:rPr>
        <w:t> </w:t>
      </w:r>
      <w:r>
        <w:rPr/>
        <w:t>estabelece</w:t>
      </w:r>
      <w:r>
        <w:rPr>
          <w:spacing w:val="-30"/>
        </w:rPr>
        <w:t> </w:t>
      </w:r>
      <w:r>
        <w:rPr/>
        <w:t>que</w:t>
      </w:r>
      <w:r>
        <w:rPr>
          <w:spacing w:val="-31"/>
        </w:rPr>
        <w:t> </w:t>
      </w:r>
      <w:r>
        <w:rPr/>
        <w:t>poderão</w:t>
      </w:r>
      <w:r>
        <w:rPr>
          <w:spacing w:val="-30"/>
        </w:rPr>
        <w:t> </w:t>
      </w:r>
      <w:r>
        <w:rPr/>
        <w:t>participar</w:t>
      </w:r>
      <w:r>
        <w:rPr>
          <w:spacing w:val="-31"/>
        </w:rPr>
        <w:t> </w:t>
      </w:r>
      <w:r>
        <w:rPr/>
        <w:t>como</w:t>
      </w:r>
      <w:r>
        <w:rPr>
          <w:spacing w:val="-31"/>
        </w:rPr>
        <w:t> </w:t>
      </w:r>
      <w:r>
        <w:rPr/>
        <w:t>vendedores</w:t>
      </w:r>
      <w:r>
        <w:rPr>
          <w:spacing w:val="-29"/>
        </w:rPr>
        <w:t> </w:t>
      </w:r>
      <w:r>
        <w:rPr/>
        <w:t>os</w:t>
      </w:r>
      <w:r>
        <w:rPr>
          <w:spacing w:val="-30"/>
        </w:rPr>
        <w:t> </w:t>
      </w:r>
      <w:r>
        <w:rPr/>
        <w:t>agentes</w:t>
      </w:r>
      <w:r>
        <w:rPr>
          <w:spacing w:val="-29"/>
        </w:rPr>
        <w:t> </w:t>
      </w:r>
      <w:r>
        <w:rPr/>
        <w:t>de distribuição</w:t>
      </w:r>
      <w:r>
        <w:rPr>
          <w:spacing w:val="-21"/>
        </w:rPr>
        <w:t> </w:t>
      </w:r>
      <w:r>
        <w:rPr/>
        <w:t>que</w:t>
      </w:r>
      <w:r>
        <w:rPr>
          <w:spacing w:val="-19"/>
        </w:rPr>
        <w:t> </w:t>
      </w:r>
      <w:r>
        <w:rPr/>
        <w:t>declararem</w:t>
      </w:r>
      <w:r>
        <w:rPr>
          <w:spacing w:val="-18"/>
        </w:rPr>
        <w:t> </w:t>
      </w:r>
      <w:r>
        <w:rPr/>
        <w:t>sobras</w:t>
      </w:r>
      <w:r>
        <w:rPr>
          <w:spacing w:val="-20"/>
        </w:rPr>
        <w:t> </w:t>
      </w:r>
      <w:r>
        <w:rPr/>
        <w:t>contratuais</w:t>
      </w:r>
      <w:r>
        <w:rPr>
          <w:spacing w:val="-20"/>
        </w:rPr>
        <w:t> </w:t>
      </w:r>
      <w:r>
        <w:rPr/>
        <w:t>de</w:t>
      </w:r>
      <w:r>
        <w:rPr>
          <w:spacing w:val="-18"/>
        </w:rPr>
        <w:t> </w:t>
      </w:r>
      <w:r>
        <w:rPr/>
        <w:t>energia</w:t>
      </w:r>
      <w:r>
        <w:rPr>
          <w:spacing w:val="-14"/>
        </w:rPr>
        <w:t> </w:t>
      </w:r>
      <w:r>
        <w:rPr/>
        <w:t>elétrica.</w:t>
      </w:r>
    </w:p>
    <w:p>
      <w:pPr>
        <w:pStyle w:val="BodyText"/>
        <w:spacing w:before="7"/>
      </w:pPr>
    </w:p>
    <w:p>
      <w:pPr>
        <w:pStyle w:val="BodyText"/>
        <w:spacing w:line="242" w:lineRule="auto"/>
        <w:ind w:left="172" w:right="405"/>
        <w:jc w:val="both"/>
      </w:pPr>
      <w:r>
        <w:rPr/>
        <w:t>O</w:t>
      </w:r>
      <w:r>
        <w:rPr>
          <w:spacing w:val="-22"/>
        </w:rPr>
        <w:t> </w:t>
      </w:r>
      <w:r>
        <w:rPr/>
        <w:t>processamento</w:t>
      </w:r>
      <w:r>
        <w:rPr>
          <w:spacing w:val="-20"/>
        </w:rPr>
        <w:t> </w:t>
      </w:r>
      <w:r>
        <w:rPr/>
        <w:t>do</w:t>
      </w:r>
      <w:r>
        <w:rPr>
          <w:spacing w:val="-20"/>
        </w:rPr>
        <w:t> </w:t>
      </w:r>
      <w:r>
        <w:rPr/>
        <w:t>MVE</w:t>
      </w:r>
      <w:r>
        <w:rPr>
          <w:spacing w:val="-19"/>
        </w:rPr>
        <w:t> </w:t>
      </w:r>
      <w:r>
        <w:rPr/>
        <w:t>ocorrerá</w:t>
      </w:r>
      <w:r>
        <w:rPr>
          <w:spacing w:val="-20"/>
        </w:rPr>
        <w:t> </w:t>
      </w:r>
      <w:r>
        <w:rPr/>
        <w:t>anualmente,</w:t>
      </w:r>
      <w:r>
        <w:rPr>
          <w:spacing w:val="-20"/>
        </w:rPr>
        <w:t> </w:t>
      </w:r>
      <w:r>
        <w:rPr/>
        <w:t>semestralmente</w:t>
      </w:r>
      <w:r>
        <w:rPr>
          <w:spacing w:val="-20"/>
        </w:rPr>
        <w:t> </w:t>
      </w:r>
      <w:r>
        <w:rPr/>
        <w:t>e</w:t>
      </w:r>
      <w:r>
        <w:rPr>
          <w:spacing w:val="-20"/>
        </w:rPr>
        <w:t> </w:t>
      </w:r>
      <w:r>
        <w:rPr/>
        <w:t>trimestralmente,</w:t>
      </w:r>
      <w:r>
        <w:rPr>
          <w:spacing w:val="-20"/>
        </w:rPr>
        <w:t> </w:t>
      </w:r>
      <w:r>
        <w:rPr/>
        <w:t>estando</w:t>
      </w:r>
      <w:r>
        <w:rPr>
          <w:spacing w:val="-21"/>
        </w:rPr>
        <w:t> </w:t>
      </w:r>
      <w:r>
        <w:rPr/>
        <w:t>o</w:t>
      </w:r>
      <w:r>
        <w:rPr>
          <w:spacing w:val="-20"/>
        </w:rPr>
        <w:t> </w:t>
      </w:r>
      <w:r>
        <w:rPr/>
        <w:t>montante</w:t>
      </w:r>
      <w:r>
        <w:rPr>
          <w:spacing w:val="-20"/>
        </w:rPr>
        <w:t> </w:t>
      </w:r>
      <w:r>
        <w:rPr/>
        <w:t>total</w:t>
      </w:r>
      <w:r>
        <w:rPr>
          <w:spacing w:val="-19"/>
        </w:rPr>
        <w:t> </w:t>
      </w:r>
      <w:r>
        <w:rPr/>
        <w:t>de energia</w:t>
      </w:r>
      <w:r>
        <w:rPr>
          <w:spacing w:val="-42"/>
        </w:rPr>
        <w:t> </w:t>
      </w:r>
      <w:r>
        <w:rPr/>
        <w:t>elétrica</w:t>
      </w:r>
      <w:r>
        <w:rPr>
          <w:spacing w:val="-42"/>
        </w:rPr>
        <w:t> </w:t>
      </w:r>
      <w:r>
        <w:rPr/>
        <w:t>declarado</w:t>
      </w:r>
      <w:r>
        <w:rPr>
          <w:spacing w:val="-42"/>
        </w:rPr>
        <w:t> </w:t>
      </w:r>
      <w:r>
        <w:rPr/>
        <w:t>pelo</w:t>
      </w:r>
      <w:r>
        <w:rPr>
          <w:spacing w:val="-43"/>
        </w:rPr>
        <w:t> </w:t>
      </w:r>
      <w:r>
        <w:rPr/>
        <w:t>agente</w:t>
      </w:r>
      <w:r>
        <w:rPr>
          <w:spacing w:val="-42"/>
        </w:rPr>
        <w:t> </w:t>
      </w:r>
      <w:r>
        <w:rPr/>
        <w:t>de</w:t>
      </w:r>
      <w:r>
        <w:rPr>
          <w:spacing w:val="-42"/>
        </w:rPr>
        <w:t> </w:t>
      </w:r>
      <w:r>
        <w:rPr/>
        <w:t>distribuição</w:t>
      </w:r>
      <w:r>
        <w:rPr>
          <w:spacing w:val="-42"/>
        </w:rPr>
        <w:t> </w:t>
      </w:r>
      <w:r>
        <w:rPr/>
        <w:t>limitado</w:t>
      </w:r>
      <w:r>
        <w:rPr>
          <w:spacing w:val="-42"/>
        </w:rPr>
        <w:t> </w:t>
      </w:r>
      <w:r>
        <w:rPr/>
        <w:t>a</w:t>
      </w:r>
      <w:r>
        <w:rPr>
          <w:spacing w:val="-42"/>
        </w:rPr>
        <w:t> </w:t>
      </w:r>
      <w:r>
        <w:rPr/>
        <w:t>15%</w:t>
      </w:r>
      <w:r>
        <w:rPr>
          <w:spacing w:val="-42"/>
        </w:rPr>
        <w:t> </w:t>
      </w:r>
      <w:r>
        <w:rPr/>
        <w:t>da</w:t>
      </w:r>
      <w:r>
        <w:rPr>
          <w:spacing w:val="-41"/>
        </w:rPr>
        <w:t> </w:t>
      </w:r>
      <w:r>
        <w:rPr/>
        <w:t>sua</w:t>
      </w:r>
      <w:r>
        <w:rPr>
          <w:spacing w:val="-43"/>
        </w:rPr>
        <w:t> </w:t>
      </w:r>
      <w:r>
        <w:rPr/>
        <w:t>respectiva</w:t>
      </w:r>
      <w:r>
        <w:rPr>
          <w:spacing w:val="-42"/>
        </w:rPr>
        <w:t> </w:t>
      </w:r>
      <w:r>
        <w:rPr/>
        <w:t>carga</w:t>
      </w:r>
      <w:r>
        <w:rPr>
          <w:spacing w:val="-41"/>
        </w:rPr>
        <w:t> </w:t>
      </w:r>
      <w:r>
        <w:rPr/>
        <w:t>no</w:t>
      </w:r>
      <w:r>
        <w:rPr>
          <w:spacing w:val="-42"/>
        </w:rPr>
        <w:t> </w:t>
      </w:r>
      <w:r>
        <w:rPr/>
        <w:t>centro</w:t>
      </w:r>
      <w:r>
        <w:rPr>
          <w:spacing w:val="-42"/>
        </w:rPr>
        <w:t> </w:t>
      </w:r>
      <w:r>
        <w:rPr/>
        <w:t>de</w:t>
      </w:r>
      <w:r>
        <w:rPr>
          <w:spacing w:val="-42"/>
        </w:rPr>
        <w:t> </w:t>
      </w:r>
      <w:r>
        <w:rPr/>
        <w:t>gravidade, apurada</w:t>
      </w:r>
      <w:r>
        <w:rPr>
          <w:spacing w:val="-7"/>
        </w:rPr>
        <w:t> </w:t>
      </w:r>
      <w:r>
        <w:rPr/>
        <w:t>nos</w:t>
      </w:r>
      <w:r>
        <w:rPr>
          <w:spacing w:val="-7"/>
        </w:rPr>
        <w:t> </w:t>
      </w:r>
      <w:r>
        <w:rPr/>
        <w:t>12</w:t>
      </w:r>
      <w:r>
        <w:rPr>
          <w:spacing w:val="-5"/>
        </w:rPr>
        <w:t> </w:t>
      </w:r>
      <w:r>
        <w:rPr/>
        <w:t>meses</w:t>
      </w:r>
      <w:r>
        <w:rPr>
          <w:spacing w:val="-2"/>
        </w:rPr>
        <w:t> </w:t>
      </w:r>
      <w:r>
        <w:rPr/>
        <w:t>anteriores</w:t>
      </w:r>
      <w:r>
        <w:rPr>
          <w:spacing w:val="-5"/>
        </w:rPr>
        <w:t> </w:t>
      </w:r>
      <w:r>
        <w:rPr/>
        <w:t>de</w:t>
      </w:r>
      <w:r>
        <w:rPr>
          <w:spacing w:val="-7"/>
        </w:rPr>
        <w:t> </w:t>
      </w:r>
      <w:r>
        <w:rPr/>
        <w:t>dados</w:t>
      </w:r>
      <w:r>
        <w:rPr>
          <w:spacing w:val="-5"/>
        </w:rPr>
        <w:t> </w:t>
      </w:r>
      <w:r>
        <w:rPr/>
        <w:t>disponíveis</w:t>
      </w:r>
      <w:r>
        <w:rPr>
          <w:spacing w:val="-5"/>
        </w:rPr>
        <w:t> </w:t>
      </w:r>
      <w:r>
        <w:rPr/>
        <w:t>(montante</w:t>
      </w:r>
      <w:r>
        <w:rPr>
          <w:spacing w:val="-6"/>
        </w:rPr>
        <w:t> </w:t>
      </w:r>
      <w:r>
        <w:rPr/>
        <w:t>divulgado</w:t>
      </w:r>
      <w:r>
        <w:rPr>
          <w:spacing w:val="-5"/>
        </w:rPr>
        <w:t> </w:t>
      </w:r>
      <w:r>
        <w:rPr/>
        <w:t>pela</w:t>
      </w:r>
      <w:r>
        <w:rPr>
          <w:spacing w:val="-5"/>
        </w:rPr>
        <w:t> </w:t>
      </w:r>
      <w:r>
        <w:rPr/>
        <w:t>CCEE).</w:t>
      </w:r>
      <w:r>
        <w:rPr>
          <w:spacing w:val="-7"/>
        </w:rPr>
        <w:t> </w:t>
      </w:r>
      <w:r>
        <w:rPr/>
        <w:t>Nesse</w:t>
      </w:r>
      <w:r>
        <w:rPr>
          <w:spacing w:val="-8"/>
        </w:rPr>
        <w:t> </w:t>
      </w:r>
      <w:r>
        <w:rPr/>
        <w:t>sentido,</w:t>
      </w:r>
      <w:r>
        <w:rPr>
          <w:spacing w:val="-5"/>
        </w:rPr>
        <w:t> </w:t>
      </w:r>
      <w:r>
        <w:rPr/>
        <w:t>a</w:t>
      </w:r>
      <w:r>
        <w:rPr>
          <w:spacing w:val="-6"/>
        </w:rPr>
        <w:t> </w:t>
      </w:r>
      <w:r>
        <w:rPr>
          <w:spacing w:val="2"/>
        </w:rPr>
        <w:t>CEB-D </w:t>
      </w:r>
      <w:r>
        <w:rPr/>
        <w:t>vendeu</w:t>
      </w:r>
      <w:r>
        <w:rPr>
          <w:spacing w:val="-12"/>
        </w:rPr>
        <w:t> </w:t>
      </w:r>
      <w:r>
        <w:rPr/>
        <w:t>73,9</w:t>
      </w:r>
      <w:r>
        <w:rPr>
          <w:spacing w:val="-12"/>
        </w:rPr>
        <w:t> </w:t>
      </w:r>
      <w:r>
        <w:rPr/>
        <w:t>MWmédios</w:t>
      </w:r>
      <w:r>
        <w:rPr>
          <w:spacing w:val="-12"/>
        </w:rPr>
        <w:t> </w:t>
      </w:r>
      <w:r>
        <w:rPr/>
        <w:t>no</w:t>
      </w:r>
      <w:r>
        <w:rPr>
          <w:spacing w:val="-11"/>
        </w:rPr>
        <w:t> </w:t>
      </w:r>
      <w:r>
        <w:rPr/>
        <w:t>mecanismo</w:t>
      </w:r>
      <w:r>
        <w:rPr>
          <w:spacing w:val="-12"/>
        </w:rPr>
        <w:t> </w:t>
      </w:r>
      <w:r>
        <w:rPr/>
        <w:t>semestral,</w:t>
      </w:r>
      <w:r>
        <w:rPr>
          <w:spacing w:val="-13"/>
        </w:rPr>
        <w:t> </w:t>
      </w:r>
      <w:r>
        <w:rPr/>
        <w:t>com</w:t>
      </w:r>
      <w:r>
        <w:rPr>
          <w:spacing w:val="-11"/>
        </w:rPr>
        <w:t> </w:t>
      </w:r>
      <w:r>
        <w:rPr/>
        <w:t>validade</w:t>
      </w:r>
      <w:r>
        <w:rPr>
          <w:spacing w:val="-13"/>
        </w:rPr>
        <w:t> </w:t>
      </w:r>
      <w:r>
        <w:rPr/>
        <w:t>de</w:t>
      </w:r>
      <w:r>
        <w:rPr>
          <w:spacing w:val="-14"/>
        </w:rPr>
        <w:t> </w:t>
      </w:r>
      <w:r>
        <w:rPr/>
        <w:t>julho</w:t>
      </w:r>
      <w:r>
        <w:rPr>
          <w:spacing w:val="-12"/>
        </w:rPr>
        <w:t> </w:t>
      </w:r>
      <w:r>
        <w:rPr/>
        <w:t>a</w:t>
      </w:r>
      <w:r>
        <w:rPr>
          <w:spacing w:val="-11"/>
        </w:rPr>
        <w:t> </w:t>
      </w:r>
      <w:r>
        <w:rPr/>
        <w:t>dezembro</w:t>
      </w:r>
      <w:r>
        <w:rPr>
          <w:spacing w:val="-11"/>
        </w:rPr>
        <w:t> </w:t>
      </w:r>
      <w:r>
        <w:rPr/>
        <w:t>de</w:t>
      </w:r>
      <w:r>
        <w:rPr>
          <w:spacing w:val="-13"/>
        </w:rPr>
        <w:t> </w:t>
      </w:r>
      <w:r>
        <w:rPr/>
        <w:t>2019,</w:t>
      </w:r>
      <w:r>
        <w:rPr>
          <w:spacing w:val="-12"/>
        </w:rPr>
        <w:t> </w:t>
      </w:r>
      <w:r>
        <w:rPr/>
        <w:t>na</w:t>
      </w:r>
      <w:r>
        <w:rPr>
          <w:spacing w:val="-12"/>
        </w:rPr>
        <w:t> </w:t>
      </w:r>
      <w:r>
        <w:rPr/>
        <w:t>modalidade</w:t>
      </w:r>
      <w:r>
        <w:rPr>
          <w:spacing w:val="-13"/>
        </w:rPr>
        <w:t> </w:t>
      </w:r>
      <w:r>
        <w:rPr/>
        <w:t>de Energia</w:t>
      </w:r>
      <w:r>
        <w:rPr>
          <w:spacing w:val="-19"/>
        </w:rPr>
        <w:t> </w:t>
      </w:r>
      <w:r>
        <w:rPr/>
        <w:t>Convencional</w:t>
      </w:r>
      <w:r>
        <w:rPr>
          <w:spacing w:val="-19"/>
        </w:rPr>
        <w:t> </w:t>
      </w:r>
      <w:r>
        <w:rPr/>
        <w:t>Especial</w:t>
      </w:r>
      <w:r>
        <w:rPr>
          <w:spacing w:val="-19"/>
        </w:rPr>
        <w:t> </w:t>
      </w:r>
      <w:r>
        <w:rPr/>
        <w:t>ao</w:t>
      </w:r>
      <w:r>
        <w:rPr>
          <w:spacing w:val="-19"/>
        </w:rPr>
        <w:t> </w:t>
      </w:r>
      <w:r>
        <w:rPr/>
        <w:t>preço</w:t>
      </w:r>
      <w:r>
        <w:rPr>
          <w:spacing w:val="-17"/>
        </w:rPr>
        <w:t> </w:t>
      </w:r>
      <w:r>
        <w:rPr/>
        <w:t>de</w:t>
      </w:r>
      <w:r>
        <w:rPr>
          <w:spacing w:val="-21"/>
        </w:rPr>
        <w:t> </w:t>
      </w:r>
      <w:r>
        <w:rPr/>
        <w:t>“PLD</w:t>
      </w:r>
      <w:r>
        <w:rPr>
          <w:spacing w:val="-19"/>
        </w:rPr>
        <w:t> </w:t>
      </w:r>
      <w:r>
        <w:rPr/>
        <w:t>+</w:t>
      </w:r>
      <w:r>
        <w:rPr>
          <w:spacing w:val="-17"/>
        </w:rPr>
        <w:t> </w:t>
      </w:r>
      <w:r>
        <w:rPr/>
        <w:t>Spread”.</w:t>
      </w:r>
    </w:p>
    <w:p>
      <w:pPr>
        <w:pStyle w:val="BodyText"/>
        <w:spacing w:before="5"/>
      </w:pPr>
    </w:p>
    <w:p>
      <w:pPr>
        <w:pStyle w:val="Heading5"/>
        <w:numPr>
          <w:ilvl w:val="0"/>
          <w:numId w:val="36"/>
        </w:numPr>
        <w:tabs>
          <w:tab w:pos="894" w:val="left" w:leader="none"/>
        </w:tabs>
        <w:spacing w:line="240" w:lineRule="auto" w:before="0" w:after="0"/>
        <w:ind w:left="893" w:right="0" w:hanging="361"/>
        <w:jc w:val="left"/>
      </w:pPr>
      <w:r>
        <w:rPr>
          <w:w w:val="105"/>
        </w:rPr>
        <w:t>Mecanismos</w:t>
      </w:r>
      <w:r>
        <w:rPr>
          <w:spacing w:val="-11"/>
          <w:w w:val="105"/>
        </w:rPr>
        <w:t> </w:t>
      </w:r>
      <w:r>
        <w:rPr>
          <w:w w:val="105"/>
        </w:rPr>
        <w:t>de</w:t>
      </w:r>
      <w:r>
        <w:rPr>
          <w:spacing w:val="-9"/>
          <w:w w:val="105"/>
        </w:rPr>
        <w:t> </w:t>
      </w:r>
      <w:r>
        <w:rPr>
          <w:w w:val="105"/>
        </w:rPr>
        <w:t>Compensação</w:t>
      </w:r>
      <w:r>
        <w:rPr>
          <w:spacing w:val="-10"/>
          <w:w w:val="105"/>
        </w:rPr>
        <w:t> </w:t>
      </w:r>
      <w:r>
        <w:rPr>
          <w:w w:val="105"/>
        </w:rPr>
        <w:t>de</w:t>
      </w:r>
      <w:r>
        <w:rPr>
          <w:spacing w:val="-10"/>
          <w:w w:val="105"/>
        </w:rPr>
        <w:t> </w:t>
      </w:r>
      <w:r>
        <w:rPr>
          <w:w w:val="105"/>
        </w:rPr>
        <w:t>Sobras</w:t>
      </w:r>
      <w:r>
        <w:rPr>
          <w:spacing w:val="-10"/>
          <w:w w:val="105"/>
        </w:rPr>
        <w:t> </w:t>
      </w:r>
      <w:r>
        <w:rPr>
          <w:w w:val="105"/>
        </w:rPr>
        <w:t>e</w:t>
      </w:r>
      <w:r>
        <w:rPr>
          <w:spacing w:val="-10"/>
          <w:w w:val="105"/>
        </w:rPr>
        <w:t> </w:t>
      </w:r>
      <w:r>
        <w:rPr>
          <w:w w:val="105"/>
        </w:rPr>
        <w:t>Déficits</w:t>
      </w:r>
      <w:r>
        <w:rPr>
          <w:spacing w:val="-10"/>
          <w:w w:val="105"/>
        </w:rPr>
        <w:t> </w:t>
      </w:r>
      <w:r>
        <w:rPr>
          <w:w w:val="105"/>
        </w:rPr>
        <w:t>de</w:t>
      </w:r>
      <w:r>
        <w:rPr>
          <w:spacing w:val="-9"/>
          <w:w w:val="105"/>
        </w:rPr>
        <w:t> </w:t>
      </w:r>
      <w:r>
        <w:rPr>
          <w:w w:val="105"/>
        </w:rPr>
        <w:t>Energia</w:t>
      </w:r>
      <w:r>
        <w:rPr>
          <w:spacing w:val="-11"/>
          <w:w w:val="105"/>
        </w:rPr>
        <w:t> </w:t>
      </w:r>
      <w:r>
        <w:rPr>
          <w:w w:val="105"/>
        </w:rPr>
        <w:t>Nova</w:t>
      </w:r>
      <w:r>
        <w:rPr>
          <w:spacing w:val="-10"/>
          <w:w w:val="105"/>
        </w:rPr>
        <w:t> </w:t>
      </w:r>
      <w:r>
        <w:rPr>
          <w:rFonts w:ascii="Trebuchet MS" w:hAnsi="Trebuchet MS"/>
          <w:w w:val="105"/>
        </w:rPr>
        <w:t>–</w:t>
      </w:r>
      <w:r>
        <w:rPr>
          <w:rFonts w:ascii="Trebuchet MS" w:hAnsi="Trebuchet MS"/>
          <w:spacing w:val="-29"/>
          <w:w w:val="105"/>
        </w:rPr>
        <w:t> </w:t>
      </w:r>
      <w:r>
        <w:rPr>
          <w:w w:val="105"/>
        </w:rPr>
        <w:t>MCSD</w:t>
      </w:r>
      <w:r>
        <w:rPr>
          <w:spacing w:val="-10"/>
          <w:w w:val="105"/>
        </w:rPr>
        <w:t> </w:t>
      </w:r>
      <w:r>
        <w:rPr>
          <w:w w:val="105"/>
        </w:rPr>
        <w:t>EN</w:t>
      </w:r>
    </w:p>
    <w:p>
      <w:pPr>
        <w:pStyle w:val="BodyText"/>
        <w:spacing w:before="9"/>
        <w:rPr>
          <w:rFonts w:ascii="Caladea"/>
          <w:b/>
        </w:rPr>
      </w:pPr>
    </w:p>
    <w:p>
      <w:pPr>
        <w:pStyle w:val="BodyText"/>
        <w:spacing w:line="242" w:lineRule="auto"/>
        <w:ind w:left="172" w:right="411"/>
        <w:jc w:val="both"/>
      </w:pPr>
      <w:r>
        <w:rPr/>
        <w:t>A</w:t>
      </w:r>
      <w:r>
        <w:rPr>
          <w:spacing w:val="-38"/>
        </w:rPr>
        <w:t> </w:t>
      </w:r>
      <w:r>
        <w:rPr/>
        <w:t>participação</w:t>
      </w:r>
      <w:r>
        <w:rPr>
          <w:spacing w:val="-36"/>
        </w:rPr>
        <w:t> </w:t>
      </w:r>
      <w:r>
        <w:rPr/>
        <w:t>nos</w:t>
      </w:r>
      <w:r>
        <w:rPr>
          <w:spacing w:val="-37"/>
        </w:rPr>
        <w:t> </w:t>
      </w:r>
      <w:r>
        <w:rPr/>
        <w:t>Mecanismos</w:t>
      </w:r>
      <w:r>
        <w:rPr>
          <w:spacing w:val="-38"/>
        </w:rPr>
        <w:t> </w:t>
      </w:r>
      <w:r>
        <w:rPr/>
        <w:t>de</w:t>
      </w:r>
      <w:r>
        <w:rPr>
          <w:spacing w:val="-38"/>
        </w:rPr>
        <w:t> </w:t>
      </w:r>
      <w:r>
        <w:rPr/>
        <w:t>Compensação</w:t>
      </w:r>
      <w:r>
        <w:rPr>
          <w:spacing w:val="-38"/>
        </w:rPr>
        <w:t> </w:t>
      </w:r>
      <w:r>
        <w:rPr/>
        <w:t>de</w:t>
      </w:r>
      <w:r>
        <w:rPr>
          <w:spacing w:val="-37"/>
        </w:rPr>
        <w:t> </w:t>
      </w:r>
      <w:r>
        <w:rPr/>
        <w:t>Sobras</w:t>
      </w:r>
      <w:r>
        <w:rPr>
          <w:spacing w:val="-37"/>
        </w:rPr>
        <w:t> </w:t>
      </w:r>
      <w:r>
        <w:rPr/>
        <w:t>e</w:t>
      </w:r>
      <w:r>
        <w:rPr>
          <w:spacing w:val="-37"/>
        </w:rPr>
        <w:t> </w:t>
      </w:r>
      <w:r>
        <w:rPr/>
        <w:t>Déficits</w:t>
      </w:r>
      <w:r>
        <w:rPr>
          <w:spacing w:val="-38"/>
        </w:rPr>
        <w:t> </w:t>
      </w:r>
      <w:r>
        <w:rPr/>
        <w:t>de</w:t>
      </w:r>
      <w:r>
        <w:rPr>
          <w:spacing w:val="-37"/>
        </w:rPr>
        <w:t> </w:t>
      </w:r>
      <w:r>
        <w:rPr/>
        <w:t>Energia</w:t>
      </w:r>
      <w:r>
        <w:rPr>
          <w:spacing w:val="-38"/>
        </w:rPr>
        <w:t> </w:t>
      </w:r>
      <w:r>
        <w:rPr/>
        <w:t>Nova</w:t>
      </w:r>
      <w:r>
        <w:rPr>
          <w:spacing w:val="-37"/>
        </w:rPr>
        <w:t> </w:t>
      </w:r>
      <w:r>
        <w:rPr/>
        <w:t>(MCSD</w:t>
      </w:r>
      <w:r>
        <w:rPr>
          <w:spacing w:val="-38"/>
        </w:rPr>
        <w:t> </w:t>
      </w:r>
      <w:r>
        <w:rPr/>
        <w:t>EN)</w:t>
      </w:r>
      <w:r>
        <w:rPr>
          <w:spacing w:val="-36"/>
        </w:rPr>
        <w:t> </w:t>
      </w:r>
      <w:r>
        <w:rPr/>
        <w:t>é</w:t>
      </w:r>
      <w:r>
        <w:rPr>
          <w:spacing w:val="-37"/>
        </w:rPr>
        <w:t> </w:t>
      </w:r>
      <w:r>
        <w:rPr/>
        <w:t>definida</w:t>
      </w:r>
      <w:r>
        <w:rPr>
          <w:spacing w:val="-36"/>
        </w:rPr>
        <w:t> </w:t>
      </w:r>
      <w:r>
        <w:rPr/>
        <w:t>de</w:t>
      </w:r>
      <w:r>
        <w:rPr>
          <w:spacing w:val="-38"/>
        </w:rPr>
        <w:t> </w:t>
      </w:r>
      <w:r>
        <w:rPr/>
        <w:t>acordo com</w:t>
      </w:r>
      <w:r>
        <w:rPr>
          <w:spacing w:val="-4"/>
        </w:rPr>
        <w:t> </w:t>
      </w:r>
      <w:r>
        <w:rPr/>
        <w:t>a</w:t>
      </w:r>
      <w:r>
        <w:rPr>
          <w:spacing w:val="-3"/>
        </w:rPr>
        <w:t> </w:t>
      </w:r>
      <w:r>
        <w:rPr/>
        <w:t>Resolução</w:t>
      </w:r>
      <w:r>
        <w:rPr>
          <w:spacing w:val="-3"/>
        </w:rPr>
        <w:t> </w:t>
      </w:r>
      <w:r>
        <w:rPr/>
        <w:t>Normativa</w:t>
      </w:r>
      <w:r>
        <w:rPr>
          <w:spacing w:val="-3"/>
        </w:rPr>
        <w:t> </w:t>
      </w:r>
      <w:r>
        <w:rPr/>
        <w:t>Nº</w:t>
      </w:r>
      <w:r>
        <w:rPr>
          <w:spacing w:val="-3"/>
        </w:rPr>
        <w:t> </w:t>
      </w:r>
      <w:r>
        <w:rPr/>
        <w:t>693,</w:t>
      </w:r>
      <w:r>
        <w:rPr>
          <w:spacing w:val="-2"/>
        </w:rPr>
        <w:t> </w:t>
      </w:r>
      <w:r>
        <w:rPr/>
        <w:t>de</w:t>
      </w:r>
      <w:r>
        <w:rPr>
          <w:spacing w:val="-5"/>
        </w:rPr>
        <w:t> </w:t>
      </w:r>
      <w:r>
        <w:rPr/>
        <w:t>15</w:t>
      </w:r>
      <w:r>
        <w:rPr>
          <w:spacing w:val="-1"/>
        </w:rPr>
        <w:t> </w:t>
      </w:r>
      <w:r>
        <w:rPr/>
        <w:t>de</w:t>
      </w:r>
      <w:r>
        <w:rPr>
          <w:spacing w:val="-3"/>
        </w:rPr>
        <w:t> </w:t>
      </w:r>
      <w:r>
        <w:rPr/>
        <w:t>Dezembro</w:t>
      </w:r>
      <w:r>
        <w:rPr>
          <w:spacing w:val="-1"/>
        </w:rPr>
        <w:t> </w:t>
      </w:r>
      <w:r>
        <w:rPr/>
        <w:t>de</w:t>
      </w:r>
      <w:r>
        <w:rPr>
          <w:spacing w:val="-2"/>
        </w:rPr>
        <w:t> </w:t>
      </w:r>
      <w:r>
        <w:rPr/>
        <w:t>2015,</w:t>
      </w:r>
      <w:r>
        <w:rPr>
          <w:spacing w:val="-2"/>
        </w:rPr>
        <w:t> </w:t>
      </w:r>
      <w:r>
        <w:rPr/>
        <w:t>que</w:t>
      </w:r>
      <w:r>
        <w:rPr>
          <w:spacing w:val="-4"/>
        </w:rPr>
        <w:t> </w:t>
      </w:r>
      <w:r>
        <w:rPr/>
        <w:t>estabelece</w:t>
      </w:r>
      <w:r>
        <w:rPr>
          <w:spacing w:val="-4"/>
        </w:rPr>
        <w:t> </w:t>
      </w:r>
      <w:r>
        <w:rPr>
          <w:spacing w:val="4"/>
        </w:rPr>
        <w:t>os</w:t>
      </w:r>
      <w:r>
        <w:rPr>
          <w:spacing w:val="-3"/>
        </w:rPr>
        <w:t> </w:t>
      </w:r>
      <w:r>
        <w:rPr/>
        <w:t>critérios</w:t>
      </w:r>
      <w:r>
        <w:rPr>
          <w:spacing w:val="-3"/>
        </w:rPr>
        <w:t> </w:t>
      </w:r>
      <w:r>
        <w:rPr/>
        <w:t>para</w:t>
      </w:r>
      <w:r>
        <w:rPr>
          <w:spacing w:val="-2"/>
        </w:rPr>
        <w:t> </w:t>
      </w:r>
      <w:r>
        <w:rPr/>
        <w:t>aplicação</w:t>
      </w:r>
      <w:r>
        <w:rPr>
          <w:spacing w:val="-4"/>
        </w:rPr>
        <w:t> </w:t>
      </w:r>
      <w:r>
        <w:rPr/>
        <w:t>do mecanismo</w:t>
      </w:r>
      <w:r>
        <w:rPr>
          <w:spacing w:val="-39"/>
        </w:rPr>
        <w:t> </w:t>
      </w:r>
      <w:r>
        <w:rPr/>
        <w:t>de</w:t>
      </w:r>
      <w:r>
        <w:rPr>
          <w:spacing w:val="-40"/>
        </w:rPr>
        <w:t> </w:t>
      </w:r>
      <w:r>
        <w:rPr/>
        <w:t>compensação</w:t>
      </w:r>
      <w:r>
        <w:rPr>
          <w:spacing w:val="-40"/>
        </w:rPr>
        <w:t> </w:t>
      </w:r>
      <w:r>
        <w:rPr/>
        <w:t>de</w:t>
      </w:r>
      <w:r>
        <w:rPr>
          <w:spacing w:val="-40"/>
        </w:rPr>
        <w:t> </w:t>
      </w:r>
      <w:r>
        <w:rPr/>
        <w:t>sobras</w:t>
      </w:r>
      <w:r>
        <w:rPr>
          <w:spacing w:val="-40"/>
        </w:rPr>
        <w:t> </w:t>
      </w:r>
      <w:r>
        <w:rPr/>
        <w:t>e</w:t>
      </w:r>
      <w:r>
        <w:rPr>
          <w:spacing w:val="-39"/>
        </w:rPr>
        <w:t> </w:t>
      </w:r>
      <w:r>
        <w:rPr/>
        <w:t>déficits</w:t>
      </w:r>
      <w:r>
        <w:rPr>
          <w:spacing w:val="-39"/>
        </w:rPr>
        <w:t> </w:t>
      </w:r>
      <w:r>
        <w:rPr/>
        <w:t>de</w:t>
      </w:r>
      <w:r>
        <w:rPr>
          <w:spacing w:val="-39"/>
        </w:rPr>
        <w:t> </w:t>
      </w:r>
      <w:r>
        <w:rPr/>
        <w:t>energia</w:t>
      </w:r>
      <w:r>
        <w:rPr>
          <w:spacing w:val="-40"/>
        </w:rPr>
        <w:t> </w:t>
      </w:r>
      <w:r>
        <w:rPr/>
        <w:t>elétrica</w:t>
      </w:r>
      <w:r>
        <w:rPr>
          <w:spacing w:val="-39"/>
        </w:rPr>
        <w:t> </w:t>
      </w:r>
      <w:r>
        <w:rPr/>
        <w:t>e</w:t>
      </w:r>
      <w:r>
        <w:rPr>
          <w:spacing w:val="-39"/>
        </w:rPr>
        <w:t> </w:t>
      </w:r>
      <w:r>
        <w:rPr/>
        <w:t>de</w:t>
      </w:r>
      <w:r>
        <w:rPr>
          <w:spacing w:val="-40"/>
        </w:rPr>
        <w:t> </w:t>
      </w:r>
      <w:r>
        <w:rPr/>
        <w:t>potência</w:t>
      </w:r>
      <w:r>
        <w:rPr>
          <w:spacing w:val="-40"/>
        </w:rPr>
        <w:t> </w:t>
      </w:r>
      <w:r>
        <w:rPr/>
        <w:t>de</w:t>
      </w:r>
      <w:r>
        <w:rPr>
          <w:spacing w:val="-39"/>
        </w:rPr>
        <w:t> </w:t>
      </w:r>
      <w:r>
        <w:rPr/>
        <w:t>contrato</w:t>
      </w:r>
      <w:r>
        <w:rPr>
          <w:spacing w:val="-39"/>
        </w:rPr>
        <w:t> </w:t>
      </w:r>
      <w:r>
        <w:rPr/>
        <w:t>de</w:t>
      </w:r>
      <w:r>
        <w:rPr>
          <w:spacing w:val="-39"/>
        </w:rPr>
        <w:t> </w:t>
      </w:r>
      <w:r>
        <w:rPr/>
        <w:t>comercialização</w:t>
      </w:r>
      <w:r>
        <w:rPr>
          <w:spacing w:val="-40"/>
        </w:rPr>
        <w:t> </w:t>
      </w:r>
      <w:r>
        <w:rPr/>
        <w:t>de energia</w:t>
      </w:r>
      <w:r>
        <w:rPr>
          <w:spacing w:val="-20"/>
        </w:rPr>
        <w:t> </w:t>
      </w:r>
      <w:r>
        <w:rPr/>
        <w:t>elétrica</w:t>
      </w:r>
      <w:r>
        <w:rPr>
          <w:spacing w:val="-17"/>
        </w:rPr>
        <w:t> </w:t>
      </w:r>
      <w:r>
        <w:rPr/>
        <w:t>proveniente</w:t>
      </w:r>
      <w:r>
        <w:rPr>
          <w:spacing w:val="-19"/>
        </w:rPr>
        <w:t> </w:t>
      </w:r>
      <w:r>
        <w:rPr/>
        <w:t>de</w:t>
      </w:r>
      <w:r>
        <w:rPr>
          <w:spacing w:val="-20"/>
        </w:rPr>
        <w:t> </w:t>
      </w:r>
      <w:r>
        <w:rPr/>
        <w:t>novos</w:t>
      </w:r>
      <w:r>
        <w:rPr>
          <w:spacing w:val="-18"/>
        </w:rPr>
        <w:t> </w:t>
      </w:r>
      <w:r>
        <w:rPr/>
        <w:t>empreendimentos</w:t>
      </w:r>
      <w:r>
        <w:rPr>
          <w:spacing w:val="-17"/>
        </w:rPr>
        <w:t> </w:t>
      </w:r>
      <w:r>
        <w:rPr/>
        <w:t>de</w:t>
      </w:r>
      <w:r>
        <w:rPr>
          <w:spacing w:val="-22"/>
        </w:rPr>
        <w:t> </w:t>
      </w:r>
      <w:r>
        <w:rPr/>
        <w:t>geração.</w:t>
      </w:r>
    </w:p>
    <w:p>
      <w:pPr>
        <w:pStyle w:val="BodyText"/>
        <w:spacing w:before="8"/>
      </w:pPr>
    </w:p>
    <w:p>
      <w:pPr>
        <w:pStyle w:val="BodyText"/>
        <w:spacing w:line="242" w:lineRule="auto"/>
        <w:ind w:left="172" w:right="411"/>
        <w:jc w:val="both"/>
      </w:pPr>
      <w:r>
        <w:rPr/>
        <w:t>A</w:t>
      </w:r>
      <w:r>
        <w:rPr>
          <w:spacing w:val="-42"/>
        </w:rPr>
        <w:t> </w:t>
      </w:r>
      <w:r>
        <w:rPr/>
        <w:t>regra</w:t>
      </w:r>
      <w:r>
        <w:rPr>
          <w:spacing w:val="-40"/>
        </w:rPr>
        <w:t> </w:t>
      </w:r>
      <w:r>
        <w:rPr/>
        <w:t>prevê</w:t>
      </w:r>
      <w:r>
        <w:rPr>
          <w:spacing w:val="-43"/>
        </w:rPr>
        <w:t> </w:t>
      </w:r>
      <w:r>
        <w:rPr/>
        <w:t>a</w:t>
      </w:r>
      <w:r>
        <w:rPr>
          <w:spacing w:val="-40"/>
        </w:rPr>
        <w:t> </w:t>
      </w:r>
      <w:r>
        <w:rPr/>
        <w:t>ocorrência</w:t>
      </w:r>
      <w:r>
        <w:rPr>
          <w:spacing w:val="-41"/>
        </w:rPr>
        <w:t> </w:t>
      </w:r>
      <w:r>
        <w:rPr/>
        <w:t>dos</w:t>
      </w:r>
      <w:r>
        <w:rPr>
          <w:spacing w:val="-42"/>
        </w:rPr>
        <w:t> </w:t>
      </w:r>
      <w:r>
        <w:rPr/>
        <w:t>mecanismos</w:t>
      </w:r>
      <w:r>
        <w:rPr>
          <w:spacing w:val="-40"/>
        </w:rPr>
        <w:t> </w:t>
      </w:r>
      <w:r>
        <w:rPr/>
        <w:t>A0:</w:t>
      </w:r>
      <w:r>
        <w:rPr>
          <w:spacing w:val="-40"/>
        </w:rPr>
        <w:t> </w:t>
      </w:r>
      <w:r>
        <w:rPr/>
        <w:t>abr-dez,</w:t>
      </w:r>
      <w:r>
        <w:rPr>
          <w:spacing w:val="-42"/>
        </w:rPr>
        <w:t> </w:t>
      </w:r>
      <w:r>
        <w:rPr/>
        <w:t>jul-dez</w:t>
      </w:r>
      <w:r>
        <w:rPr>
          <w:spacing w:val="-41"/>
        </w:rPr>
        <w:t> </w:t>
      </w:r>
      <w:r>
        <w:rPr/>
        <w:t>e</w:t>
      </w:r>
      <w:r>
        <w:rPr>
          <w:spacing w:val="-42"/>
        </w:rPr>
        <w:t> </w:t>
      </w:r>
      <w:r>
        <w:rPr/>
        <w:t>out-dez.</w:t>
      </w:r>
      <w:r>
        <w:rPr>
          <w:spacing w:val="-40"/>
        </w:rPr>
        <w:t> </w:t>
      </w:r>
      <w:r>
        <w:rPr/>
        <w:t>Os</w:t>
      </w:r>
      <w:r>
        <w:rPr>
          <w:spacing w:val="-41"/>
        </w:rPr>
        <w:t> </w:t>
      </w:r>
      <w:r>
        <w:rPr/>
        <w:t>mecanismos</w:t>
      </w:r>
      <w:r>
        <w:rPr>
          <w:spacing w:val="-41"/>
        </w:rPr>
        <w:t> </w:t>
      </w:r>
      <w:r>
        <w:rPr/>
        <w:t>A-1</w:t>
      </w:r>
      <w:r>
        <w:rPr>
          <w:spacing w:val="-41"/>
        </w:rPr>
        <w:t> </w:t>
      </w:r>
      <w:r>
        <w:rPr/>
        <w:t>ocorrem</w:t>
      </w:r>
      <w:r>
        <w:rPr>
          <w:spacing w:val="-40"/>
        </w:rPr>
        <w:t> </w:t>
      </w:r>
      <w:r>
        <w:rPr/>
        <w:t>em</w:t>
      </w:r>
      <w:r>
        <w:rPr>
          <w:spacing w:val="-41"/>
        </w:rPr>
        <w:t> </w:t>
      </w:r>
      <w:r>
        <w:rPr/>
        <w:t>dezembro para</w:t>
      </w:r>
      <w:r>
        <w:rPr>
          <w:spacing w:val="-19"/>
        </w:rPr>
        <w:t> </w:t>
      </w:r>
      <w:r>
        <w:rPr/>
        <w:t>vigência</w:t>
      </w:r>
      <w:r>
        <w:rPr>
          <w:spacing w:val="-18"/>
        </w:rPr>
        <w:t> </w:t>
      </w:r>
      <w:r>
        <w:rPr/>
        <w:t>de</w:t>
      </w:r>
      <w:r>
        <w:rPr>
          <w:spacing w:val="-20"/>
        </w:rPr>
        <w:t> </w:t>
      </w:r>
      <w:r>
        <w:rPr/>
        <w:t>jan-dez</w:t>
      </w:r>
      <w:r>
        <w:rPr>
          <w:spacing w:val="-16"/>
        </w:rPr>
        <w:t> </w:t>
      </w:r>
      <w:r>
        <w:rPr/>
        <w:t>do</w:t>
      </w:r>
      <w:r>
        <w:rPr>
          <w:spacing w:val="-18"/>
        </w:rPr>
        <w:t> </w:t>
      </w:r>
      <w:r>
        <w:rPr/>
        <w:t>ano</w:t>
      </w:r>
      <w:r>
        <w:rPr>
          <w:spacing w:val="-19"/>
        </w:rPr>
        <w:t> </w:t>
      </w:r>
      <w:r>
        <w:rPr/>
        <w:t>seguinte.</w:t>
      </w:r>
    </w:p>
    <w:p>
      <w:pPr>
        <w:pStyle w:val="BodyText"/>
        <w:spacing w:before="9"/>
      </w:pPr>
    </w:p>
    <w:p>
      <w:pPr>
        <w:pStyle w:val="BodyText"/>
        <w:spacing w:line="242" w:lineRule="auto"/>
        <w:ind w:left="172" w:right="407"/>
        <w:jc w:val="both"/>
      </w:pPr>
      <w:r>
        <w:rPr/>
        <w:t>Em</w:t>
      </w:r>
      <w:r>
        <w:rPr>
          <w:spacing w:val="-21"/>
        </w:rPr>
        <w:t> </w:t>
      </w:r>
      <w:r>
        <w:rPr/>
        <w:t>2019,</w:t>
      </w:r>
      <w:r>
        <w:rPr>
          <w:spacing w:val="-20"/>
        </w:rPr>
        <w:t> </w:t>
      </w:r>
      <w:r>
        <w:rPr/>
        <w:t>a</w:t>
      </w:r>
      <w:r>
        <w:rPr>
          <w:spacing w:val="-20"/>
        </w:rPr>
        <w:t> </w:t>
      </w:r>
      <w:r>
        <w:rPr/>
        <w:t>CEB-DIS</w:t>
      </w:r>
      <w:r>
        <w:rPr>
          <w:spacing w:val="-17"/>
        </w:rPr>
        <w:t> </w:t>
      </w:r>
      <w:r>
        <w:rPr/>
        <w:t>descontratou</w:t>
      </w:r>
      <w:r>
        <w:rPr>
          <w:spacing w:val="-21"/>
        </w:rPr>
        <w:t> </w:t>
      </w:r>
      <w:r>
        <w:rPr/>
        <w:t>via</w:t>
      </w:r>
      <w:r>
        <w:rPr>
          <w:spacing w:val="-19"/>
        </w:rPr>
        <w:t> </w:t>
      </w:r>
      <w:r>
        <w:rPr/>
        <w:t>MCSD</w:t>
      </w:r>
      <w:r>
        <w:rPr>
          <w:spacing w:val="-21"/>
        </w:rPr>
        <w:t> </w:t>
      </w:r>
      <w:r>
        <w:rPr/>
        <w:t>EN</w:t>
      </w:r>
      <w:r>
        <w:rPr>
          <w:spacing w:val="-19"/>
        </w:rPr>
        <w:t> </w:t>
      </w:r>
      <w:r>
        <w:rPr/>
        <w:t>o</w:t>
      </w:r>
      <w:r>
        <w:rPr>
          <w:spacing w:val="-19"/>
        </w:rPr>
        <w:t> </w:t>
      </w:r>
      <w:r>
        <w:rPr/>
        <w:t>montante</w:t>
      </w:r>
      <w:r>
        <w:rPr>
          <w:spacing w:val="-19"/>
        </w:rPr>
        <w:t> </w:t>
      </w:r>
      <w:r>
        <w:rPr/>
        <w:t>de</w:t>
      </w:r>
      <w:r>
        <w:rPr>
          <w:spacing w:val="-20"/>
        </w:rPr>
        <w:t> </w:t>
      </w:r>
      <w:r>
        <w:rPr/>
        <w:t>404</w:t>
      </w:r>
      <w:r>
        <w:rPr>
          <w:spacing w:val="-20"/>
        </w:rPr>
        <w:t> </w:t>
      </w:r>
      <w:r>
        <w:rPr/>
        <w:t>GWh</w:t>
      </w:r>
      <w:r>
        <w:rPr>
          <w:spacing w:val="-20"/>
        </w:rPr>
        <w:t> </w:t>
      </w:r>
      <w:r>
        <w:rPr/>
        <w:t>contra</w:t>
      </w:r>
      <w:r>
        <w:rPr>
          <w:spacing w:val="-19"/>
        </w:rPr>
        <w:t> </w:t>
      </w:r>
      <w:r>
        <w:rPr/>
        <w:t>o</w:t>
      </w:r>
      <w:r>
        <w:rPr>
          <w:spacing w:val="-19"/>
        </w:rPr>
        <w:t> </w:t>
      </w:r>
      <w:r>
        <w:rPr/>
        <w:t>montante</w:t>
      </w:r>
      <w:r>
        <w:rPr>
          <w:spacing w:val="-21"/>
        </w:rPr>
        <w:t> </w:t>
      </w:r>
      <w:r>
        <w:rPr/>
        <w:t>de</w:t>
      </w:r>
      <w:r>
        <w:rPr>
          <w:spacing w:val="-21"/>
        </w:rPr>
        <w:t> </w:t>
      </w:r>
      <w:r>
        <w:rPr/>
        <w:t>1.477</w:t>
      </w:r>
      <w:r>
        <w:rPr>
          <w:spacing w:val="-21"/>
        </w:rPr>
        <w:t> </w:t>
      </w:r>
      <w:r>
        <w:rPr/>
        <w:t>GWh</w:t>
      </w:r>
      <w:r>
        <w:rPr>
          <w:spacing w:val="-17"/>
        </w:rPr>
        <w:t> </w:t>
      </w:r>
      <w:r>
        <w:rPr/>
        <w:t>em</w:t>
      </w:r>
      <w:r>
        <w:rPr>
          <w:spacing w:val="-21"/>
        </w:rPr>
        <w:t> </w:t>
      </w:r>
      <w:r>
        <w:rPr/>
        <w:t>2018, considerando</w:t>
      </w:r>
      <w:r>
        <w:rPr>
          <w:spacing w:val="-35"/>
        </w:rPr>
        <w:t> </w:t>
      </w:r>
      <w:r>
        <w:rPr/>
        <w:t>as</w:t>
      </w:r>
      <w:r>
        <w:rPr>
          <w:spacing w:val="-34"/>
        </w:rPr>
        <w:t> </w:t>
      </w:r>
      <w:r>
        <w:rPr/>
        <w:t>declarações</w:t>
      </w:r>
      <w:r>
        <w:rPr>
          <w:spacing w:val="-33"/>
        </w:rPr>
        <w:t> </w:t>
      </w:r>
      <w:r>
        <w:rPr/>
        <w:t>em</w:t>
      </w:r>
      <w:r>
        <w:rPr>
          <w:spacing w:val="-36"/>
        </w:rPr>
        <w:t> </w:t>
      </w:r>
      <w:r>
        <w:rPr/>
        <w:t>vários</w:t>
      </w:r>
      <w:r>
        <w:rPr>
          <w:spacing w:val="-33"/>
        </w:rPr>
        <w:t> </w:t>
      </w:r>
      <w:r>
        <w:rPr/>
        <w:t>produtos.</w:t>
      </w:r>
      <w:r>
        <w:rPr>
          <w:spacing w:val="-35"/>
        </w:rPr>
        <w:t> </w:t>
      </w:r>
      <w:r>
        <w:rPr/>
        <w:t>Essa</w:t>
      </w:r>
      <w:r>
        <w:rPr>
          <w:spacing w:val="-34"/>
        </w:rPr>
        <w:t> </w:t>
      </w:r>
      <w:r>
        <w:rPr/>
        <w:t>redução</w:t>
      </w:r>
      <w:r>
        <w:rPr>
          <w:spacing w:val="-36"/>
        </w:rPr>
        <w:t> </w:t>
      </w:r>
      <w:r>
        <w:rPr/>
        <w:t>impacta</w:t>
      </w:r>
      <w:r>
        <w:rPr>
          <w:spacing w:val="-34"/>
        </w:rPr>
        <w:t> </w:t>
      </w:r>
      <w:r>
        <w:rPr/>
        <w:t>diretamente</w:t>
      </w:r>
      <w:r>
        <w:rPr>
          <w:spacing w:val="-33"/>
        </w:rPr>
        <w:t> </w:t>
      </w:r>
      <w:r>
        <w:rPr/>
        <w:t>na</w:t>
      </w:r>
      <w:r>
        <w:rPr>
          <w:spacing w:val="-35"/>
        </w:rPr>
        <w:t> </w:t>
      </w:r>
      <w:r>
        <w:rPr/>
        <w:t>Receita</w:t>
      </w:r>
      <w:r>
        <w:rPr>
          <w:spacing w:val="-34"/>
        </w:rPr>
        <w:t> </w:t>
      </w:r>
      <w:r>
        <w:rPr/>
        <w:t>de</w:t>
      </w:r>
      <w:r>
        <w:rPr>
          <w:spacing w:val="-35"/>
        </w:rPr>
        <w:t> </w:t>
      </w:r>
      <w:r>
        <w:rPr/>
        <w:t>Energia</w:t>
      </w:r>
      <w:r>
        <w:rPr>
          <w:spacing w:val="-34"/>
        </w:rPr>
        <w:t> </w:t>
      </w:r>
      <w:r>
        <w:rPr/>
        <w:t>de</w:t>
      </w:r>
      <w:r>
        <w:rPr>
          <w:spacing w:val="-35"/>
        </w:rPr>
        <w:t> </w:t>
      </w:r>
      <w:r>
        <w:rPr/>
        <w:t>Curto Prazo</w:t>
      </w:r>
      <w:r>
        <w:rPr>
          <w:spacing w:val="-24"/>
        </w:rPr>
        <w:t> </w:t>
      </w:r>
      <w:r>
        <w:rPr/>
        <w:t>que</w:t>
      </w:r>
      <w:r>
        <w:rPr>
          <w:spacing w:val="-22"/>
        </w:rPr>
        <w:t> </w:t>
      </w:r>
      <w:r>
        <w:rPr/>
        <w:t>teve</w:t>
      </w:r>
      <w:r>
        <w:rPr>
          <w:spacing w:val="-24"/>
        </w:rPr>
        <w:t> </w:t>
      </w:r>
      <w:r>
        <w:rPr/>
        <w:t>um</w:t>
      </w:r>
      <w:r>
        <w:rPr>
          <w:spacing w:val="-24"/>
        </w:rPr>
        <w:t> </w:t>
      </w:r>
      <w:r>
        <w:rPr/>
        <w:t>aumento</w:t>
      </w:r>
      <w:r>
        <w:rPr>
          <w:spacing w:val="-22"/>
        </w:rPr>
        <w:t> </w:t>
      </w:r>
      <w:r>
        <w:rPr/>
        <w:t>de</w:t>
      </w:r>
      <w:r>
        <w:rPr>
          <w:spacing w:val="-25"/>
        </w:rPr>
        <w:t> </w:t>
      </w:r>
      <w:r>
        <w:rPr/>
        <w:t>R$</w:t>
      </w:r>
      <w:r>
        <w:rPr>
          <w:spacing w:val="-22"/>
        </w:rPr>
        <w:t> </w:t>
      </w:r>
      <w:r>
        <w:rPr/>
        <w:t>146,5</w:t>
      </w:r>
      <w:r>
        <w:rPr>
          <w:spacing w:val="-21"/>
        </w:rPr>
        <w:t> </w:t>
      </w:r>
      <w:r>
        <w:rPr/>
        <w:t>milhões</w:t>
      </w:r>
      <w:r>
        <w:rPr>
          <w:spacing w:val="-23"/>
        </w:rPr>
        <w:t> </w:t>
      </w:r>
      <w:r>
        <w:rPr/>
        <w:t>para</w:t>
      </w:r>
      <w:r>
        <w:rPr>
          <w:spacing w:val="-23"/>
        </w:rPr>
        <w:t> </w:t>
      </w:r>
      <w:r>
        <w:rPr/>
        <w:t>R$</w:t>
      </w:r>
      <w:r>
        <w:rPr>
          <w:spacing w:val="-23"/>
        </w:rPr>
        <w:t> </w:t>
      </w:r>
      <w:r>
        <w:rPr/>
        <w:t>348</w:t>
      </w:r>
      <w:r>
        <w:rPr>
          <w:spacing w:val="-17"/>
        </w:rPr>
        <w:t> </w:t>
      </w:r>
      <w:r>
        <w:rPr/>
        <w:t>milhões.</w:t>
      </w:r>
      <w:r>
        <w:rPr>
          <w:spacing w:val="-23"/>
        </w:rPr>
        <w:t> </w:t>
      </w:r>
      <w:r>
        <w:rPr/>
        <w:t>Em</w:t>
      </w:r>
      <w:r>
        <w:rPr>
          <w:spacing w:val="-24"/>
        </w:rPr>
        <w:t> </w:t>
      </w:r>
      <w:r>
        <w:rPr/>
        <w:t>contrapartida</w:t>
      </w:r>
      <w:r>
        <w:rPr>
          <w:spacing w:val="-23"/>
        </w:rPr>
        <w:t> </w:t>
      </w:r>
      <w:r>
        <w:rPr/>
        <w:t>há</w:t>
      </w:r>
      <w:r>
        <w:rPr>
          <w:spacing w:val="-23"/>
        </w:rPr>
        <w:t> </w:t>
      </w:r>
      <w:r>
        <w:rPr/>
        <w:t>um</w:t>
      </w:r>
      <w:r>
        <w:rPr>
          <w:spacing w:val="-21"/>
        </w:rPr>
        <w:t> </w:t>
      </w:r>
      <w:r>
        <w:rPr/>
        <w:t>aumento</w:t>
      </w:r>
      <w:r>
        <w:rPr>
          <w:spacing w:val="-19"/>
        </w:rPr>
        <w:t> </w:t>
      </w:r>
      <w:r>
        <w:rPr/>
        <w:t>no</w:t>
      </w:r>
      <w:r>
        <w:rPr>
          <w:spacing w:val="-22"/>
        </w:rPr>
        <w:t> </w:t>
      </w:r>
      <w:r>
        <w:rPr/>
        <w:t>Custos de</w:t>
      </w:r>
      <w:r>
        <w:rPr>
          <w:spacing w:val="-20"/>
        </w:rPr>
        <w:t> </w:t>
      </w:r>
      <w:r>
        <w:rPr/>
        <w:t>Energia</w:t>
      </w:r>
      <w:r>
        <w:rPr>
          <w:spacing w:val="-18"/>
        </w:rPr>
        <w:t> </w:t>
      </w:r>
      <w:r>
        <w:rPr/>
        <w:t>Comprada</w:t>
      </w:r>
      <w:r>
        <w:rPr>
          <w:spacing w:val="-15"/>
        </w:rPr>
        <w:t> </w:t>
      </w:r>
      <w:r>
        <w:rPr/>
        <w:t>para</w:t>
      </w:r>
      <w:r>
        <w:rPr>
          <w:spacing w:val="-17"/>
        </w:rPr>
        <w:t> </w:t>
      </w:r>
      <w:r>
        <w:rPr/>
        <w:t>Revenda.</w:t>
      </w:r>
    </w:p>
    <w:p>
      <w:pPr>
        <w:pStyle w:val="BodyText"/>
        <w:spacing w:before="6"/>
      </w:pPr>
    </w:p>
    <w:p>
      <w:pPr>
        <w:pStyle w:val="ListParagraph"/>
        <w:numPr>
          <w:ilvl w:val="1"/>
          <w:numId w:val="6"/>
        </w:numPr>
        <w:tabs>
          <w:tab w:pos="1026" w:val="left" w:leader="none"/>
        </w:tabs>
        <w:spacing w:line="240" w:lineRule="auto" w:before="0" w:after="0"/>
        <w:ind w:left="1025" w:right="0" w:hanging="854"/>
        <w:jc w:val="both"/>
        <w:rPr>
          <w:rFonts w:ascii="Caladea" w:hAnsi="Caladea"/>
          <w:b/>
          <w:sz w:val="18"/>
        </w:rPr>
      </w:pPr>
      <w:r>
        <w:rPr>
          <w:rFonts w:ascii="Caladea" w:hAnsi="Caladea"/>
          <w:b/>
          <w:sz w:val="22"/>
        </w:rPr>
        <w:t>C</w:t>
      </w:r>
      <w:r>
        <w:rPr>
          <w:rFonts w:ascii="Caladea" w:hAnsi="Caladea"/>
          <w:b/>
          <w:sz w:val="18"/>
        </w:rPr>
        <w:t>USTO COM </w:t>
      </w:r>
      <w:r>
        <w:rPr>
          <w:rFonts w:ascii="Caladea" w:hAnsi="Caladea"/>
          <w:b/>
          <w:sz w:val="22"/>
        </w:rPr>
        <w:t>S</w:t>
      </w:r>
      <w:r>
        <w:rPr>
          <w:rFonts w:ascii="Caladea" w:hAnsi="Caladea"/>
          <w:b/>
          <w:sz w:val="18"/>
        </w:rPr>
        <w:t>ERVIÇO DE </w:t>
      </w:r>
      <w:r>
        <w:rPr>
          <w:rFonts w:ascii="Caladea" w:hAnsi="Caladea"/>
          <w:b/>
          <w:sz w:val="22"/>
        </w:rPr>
        <w:t>E</w:t>
      </w:r>
      <w:r>
        <w:rPr>
          <w:rFonts w:ascii="Caladea" w:hAnsi="Caladea"/>
          <w:b/>
          <w:sz w:val="18"/>
        </w:rPr>
        <w:t>NERGIA</w:t>
      </w:r>
      <w:r>
        <w:rPr>
          <w:rFonts w:ascii="Caladea" w:hAnsi="Caladea"/>
          <w:b/>
          <w:spacing w:val="1"/>
          <w:sz w:val="18"/>
        </w:rPr>
        <w:t> </w:t>
      </w:r>
      <w:r>
        <w:rPr>
          <w:rFonts w:ascii="Caladea" w:hAnsi="Caladea"/>
          <w:b/>
          <w:sz w:val="22"/>
        </w:rPr>
        <w:t>E</w:t>
      </w:r>
      <w:r>
        <w:rPr>
          <w:rFonts w:ascii="Caladea" w:hAnsi="Caladea"/>
          <w:b/>
          <w:sz w:val="18"/>
        </w:rPr>
        <w:t>LÉTRICA</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56"/>
        <w:gridCol w:w="1681"/>
        <w:gridCol w:w="1680"/>
      </w:tblGrid>
      <w:tr>
        <w:trPr>
          <w:trHeight w:val="165" w:hRule="atLeast"/>
        </w:trPr>
        <w:tc>
          <w:tcPr>
            <w:tcW w:w="6556" w:type="dxa"/>
            <w:vMerge w:val="restart"/>
            <w:shd w:val="clear" w:color="auto" w:fill="D9D9D9"/>
          </w:tcPr>
          <w:p>
            <w:pPr>
              <w:pStyle w:val="TableParagraph"/>
              <w:rPr>
                <w:rFonts w:ascii="Times New Roman"/>
                <w:sz w:val="18"/>
              </w:rPr>
            </w:pPr>
          </w:p>
        </w:tc>
        <w:tc>
          <w:tcPr>
            <w:tcW w:w="3361" w:type="dxa"/>
            <w:gridSpan w:val="2"/>
          </w:tcPr>
          <w:p>
            <w:pPr>
              <w:pStyle w:val="TableParagraph"/>
              <w:spacing w:line="145" w:lineRule="exact"/>
              <w:ind w:left="1259" w:right="1253"/>
              <w:jc w:val="center"/>
              <w:rPr>
                <w:rFonts w:ascii="Caladea"/>
                <w:b/>
                <w:sz w:val="14"/>
              </w:rPr>
            </w:pPr>
            <w:r>
              <w:rPr>
                <w:rFonts w:ascii="Caladea"/>
                <w:b/>
                <w:sz w:val="14"/>
              </w:rPr>
              <w:t>Consolidado</w:t>
            </w:r>
          </w:p>
        </w:tc>
      </w:tr>
      <w:tr>
        <w:trPr>
          <w:trHeight w:val="446" w:hRule="atLeast"/>
        </w:trPr>
        <w:tc>
          <w:tcPr>
            <w:tcW w:w="6556" w:type="dxa"/>
            <w:vMerge/>
            <w:tcBorders>
              <w:top w:val="nil"/>
            </w:tcBorders>
            <w:shd w:val="clear" w:color="auto" w:fill="D9D9D9"/>
          </w:tcPr>
          <w:p>
            <w:pPr>
              <w:rPr>
                <w:sz w:val="2"/>
                <w:szCs w:val="2"/>
              </w:rPr>
            </w:pPr>
          </w:p>
        </w:tc>
        <w:tc>
          <w:tcPr>
            <w:tcW w:w="1681" w:type="dxa"/>
          </w:tcPr>
          <w:p>
            <w:pPr>
              <w:pStyle w:val="TableParagraph"/>
              <w:spacing w:before="140"/>
              <w:ind w:left="438"/>
              <w:rPr>
                <w:rFonts w:ascii="Caladea"/>
                <w:b/>
                <w:sz w:val="14"/>
              </w:rPr>
            </w:pPr>
            <w:r>
              <w:rPr>
                <w:rFonts w:ascii="Caladea"/>
                <w:b/>
                <w:sz w:val="14"/>
              </w:rPr>
              <w:t>31/12/2019</w:t>
            </w:r>
          </w:p>
        </w:tc>
        <w:tc>
          <w:tcPr>
            <w:tcW w:w="1680" w:type="dxa"/>
          </w:tcPr>
          <w:p>
            <w:pPr>
              <w:pStyle w:val="TableParagraph"/>
              <w:spacing w:before="140"/>
              <w:ind w:left="438"/>
              <w:rPr>
                <w:rFonts w:ascii="Caladea"/>
                <w:b/>
                <w:sz w:val="14"/>
              </w:rPr>
            </w:pPr>
            <w:r>
              <w:rPr>
                <w:rFonts w:ascii="Caladea"/>
                <w:b/>
                <w:sz w:val="14"/>
              </w:rPr>
              <w:t>31/12/2018</w:t>
            </w:r>
          </w:p>
        </w:tc>
      </w:tr>
      <w:tr>
        <w:trPr>
          <w:trHeight w:val="165" w:hRule="atLeast"/>
        </w:trPr>
        <w:tc>
          <w:tcPr>
            <w:tcW w:w="6556" w:type="dxa"/>
          </w:tcPr>
          <w:p>
            <w:pPr>
              <w:pStyle w:val="TableParagraph"/>
              <w:spacing w:line="145" w:lineRule="exact"/>
              <w:ind w:left="72"/>
              <w:rPr>
                <w:sz w:val="14"/>
              </w:rPr>
            </w:pPr>
            <w:r>
              <w:rPr>
                <w:sz w:val="14"/>
              </w:rPr>
              <w:t>Energia Elétrica Comprada Para Revenda</w:t>
            </w:r>
          </w:p>
        </w:tc>
        <w:tc>
          <w:tcPr>
            <w:tcW w:w="1681" w:type="dxa"/>
          </w:tcPr>
          <w:p>
            <w:pPr>
              <w:pStyle w:val="TableParagraph"/>
              <w:spacing w:line="145" w:lineRule="exact"/>
              <w:ind w:right="61"/>
              <w:jc w:val="right"/>
              <w:rPr>
                <w:sz w:val="14"/>
              </w:rPr>
            </w:pPr>
            <w:r>
              <w:rPr>
                <w:w w:val="95"/>
                <w:sz w:val="14"/>
              </w:rPr>
              <w:t>(1.583.239)</w:t>
            </w:r>
          </w:p>
        </w:tc>
        <w:tc>
          <w:tcPr>
            <w:tcW w:w="1680" w:type="dxa"/>
          </w:tcPr>
          <w:p>
            <w:pPr>
              <w:pStyle w:val="TableParagraph"/>
              <w:spacing w:line="145" w:lineRule="exact"/>
              <w:ind w:right="60"/>
              <w:jc w:val="right"/>
              <w:rPr>
                <w:sz w:val="14"/>
              </w:rPr>
            </w:pPr>
            <w:r>
              <w:rPr>
                <w:w w:val="95"/>
                <w:sz w:val="14"/>
              </w:rPr>
              <w:t>(1.441.133)</w:t>
            </w:r>
          </w:p>
        </w:tc>
      </w:tr>
      <w:tr>
        <w:trPr>
          <w:trHeight w:val="162" w:hRule="atLeast"/>
        </w:trPr>
        <w:tc>
          <w:tcPr>
            <w:tcW w:w="6556" w:type="dxa"/>
          </w:tcPr>
          <w:p>
            <w:pPr>
              <w:pStyle w:val="TableParagraph"/>
              <w:spacing w:line="142" w:lineRule="exact"/>
              <w:ind w:left="72"/>
              <w:rPr>
                <w:sz w:val="14"/>
              </w:rPr>
            </w:pPr>
            <w:r>
              <w:rPr>
                <w:w w:val="105"/>
                <w:sz w:val="14"/>
              </w:rPr>
              <w:t>Energia Elétrica Comprada Para Revenda – Curto Prazo</w:t>
            </w:r>
          </w:p>
        </w:tc>
        <w:tc>
          <w:tcPr>
            <w:tcW w:w="1681" w:type="dxa"/>
          </w:tcPr>
          <w:p>
            <w:pPr>
              <w:pStyle w:val="TableParagraph"/>
              <w:spacing w:line="142" w:lineRule="exact"/>
              <w:ind w:right="60"/>
              <w:jc w:val="right"/>
              <w:rPr>
                <w:sz w:val="14"/>
              </w:rPr>
            </w:pPr>
            <w:r>
              <w:rPr>
                <w:sz w:val="14"/>
              </w:rPr>
              <w:t>(51.297)</w:t>
            </w:r>
          </w:p>
        </w:tc>
        <w:tc>
          <w:tcPr>
            <w:tcW w:w="1680" w:type="dxa"/>
          </w:tcPr>
          <w:p>
            <w:pPr>
              <w:pStyle w:val="TableParagraph"/>
              <w:spacing w:line="142" w:lineRule="exact"/>
              <w:ind w:right="60"/>
              <w:jc w:val="right"/>
              <w:rPr>
                <w:sz w:val="14"/>
              </w:rPr>
            </w:pPr>
            <w:r>
              <w:rPr>
                <w:sz w:val="14"/>
              </w:rPr>
              <w:t>(113.464)</w:t>
            </w:r>
          </w:p>
        </w:tc>
      </w:tr>
      <w:tr>
        <w:trPr>
          <w:trHeight w:val="165" w:hRule="atLeast"/>
        </w:trPr>
        <w:tc>
          <w:tcPr>
            <w:tcW w:w="6556" w:type="dxa"/>
          </w:tcPr>
          <w:p>
            <w:pPr>
              <w:pStyle w:val="TableParagraph"/>
              <w:spacing w:line="142" w:lineRule="exact" w:before="2"/>
              <w:ind w:left="72"/>
              <w:rPr>
                <w:sz w:val="14"/>
              </w:rPr>
            </w:pPr>
            <w:r>
              <w:rPr>
                <w:sz w:val="14"/>
              </w:rPr>
              <w:t>Encargos de Uso da Rede Elétrica</w:t>
            </w:r>
          </w:p>
        </w:tc>
        <w:tc>
          <w:tcPr>
            <w:tcW w:w="1681" w:type="dxa"/>
          </w:tcPr>
          <w:p>
            <w:pPr>
              <w:pStyle w:val="TableParagraph"/>
              <w:spacing w:line="142" w:lineRule="exact" w:before="2"/>
              <w:ind w:right="61"/>
              <w:jc w:val="right"/>
              <w:rPr>
                <w:sz w:val="14"/>
              </w:rPr>
            </w:pPr>
            <w:r>
              <w:rPr>
                <w:sz w:val="14"/>
              </w:rPr>
              <w:t>(286.203)</w:t>
            </w:r>
          </w:p>
        </w:tc>
        <w:tc>
          <w:tcPr>
            <w:tcW w:w="1680" w:type="dxa"/>
          </w:tcPr>
          <w:p>
            <w:pPr>
              <w:pStyle w:val="TableParagraph"/>
              <w:spacing w:line="142" w:lineRule="exact" w:before="2"/>
              <w:ind w:right="60"/>
              <w:jc w:val="right"/>
              <w:rPr>
                <w:sz w:val="14"/>
              </w:rPr>
            </w:pPr>
            <w:r>
              <w:rPr>
                <w:sz w:val="14"/>
              </w:rPr>
              <w:t>(284.419)</w:t>
            </w:r>
          </w:p>
        </w:tc>
      </w:tr>
      <w:tr>
        <w:trPr>
          <w:trHeight w:val="162" w:hRule="atLeast"/>
        </w:trPr>
        <w:tc>
          <w:tcPr>
            <w:tcW w:w="6556" w:type="dxa"/>
          </w:tcPr>
          <w:p>
            <w:pPr>
              <w:pStyle w:val="TableParagraph"/>
              <w:spacing w:line="142" w:lineRule="exact"/>
              <w:ind w:left="72"/>
              <w:rPr>
                <w:sz w:val="14"/>
              </w:rPr>
            </w:pPr>
            <w:r>
              <w:rPr>
                <w:sz w:val="14"/>
              </w:rPr>
              <w:t>Repactuação do Risco Hidrológico</w:t>
            </w:r>
          </w:p>
        </w:tc>
        <w:tc>
          <w:tcPr>
            <w:tcW w:w="1681" w:type="dxa"/>
          </w:tcPr>
          <w:p>
            <w:pPr>
              <w:pStyle w:val="TableParagraph"/>
              <w:spacing w:line="142" w:lineRule="exact"/>
              <w:ind w:right="60"/>
              <w:jc w:val="right"/>
              <w:rPr>
                <w:sz w:val="14"/>
              </w:rPr>
            </w:pPr>
            <w:r>
              <w:rPr>
                <w:w w:val="95"/>
                <w:sz w:val="14"/>
              </w:rPr>
              <w:t>(2.217)</w:t>
            </w:r>
          </w:p>
        </w:tc>
        <w:tc>
          <w:tcPr>
            <w:tcW w:w="1680" w:type="dxa"/>
          </w:tcPr>
          <w:p>
            <w:pPr>
              <w:pStyle w:val="TableParagraph"/>
              <w:spacing w:line="142" w:lineRule="exact"/>
              <w:ind w:right="60"/>
              <w:jc w:val="right"/>
              <w:rPr>
                <w:sz w:val="14"/>
              </w:rPr>
            </w:pPr>
            <w:r>
              <w:rPr>
                <w:w w:val="95"/>
                <w:sz w:val="14"/>
              </w:rPr>
              <w:t>(2.216)</w:t>
            </w:r>
          </w:p>
        </w:tc>
      </w:tr>
      <w:tr>
        <w:trPr>
          <w:trHeight w:val="165" w:hRule="atLeast"/>
        </w:trPr>
        <w:tc>
          <w:tcPr>
            <w:tcW w:w="6556" w:type="dxa"/>
          </w:tcPr>
          <w:p>
            <w:pPr>
              <w:pStyle w:val="TableParagraph"/>
              <w:spacing w:line="144" w:lineRule="exact" w:before="1"/>
              <w:ind w:left="72"/>
              <w:rPr>
                <w:rFonts w:ascii="Caladea"/>
                <w:b/>
                <w:sz w:val="14"/>
              </w:rPr>
            </w:pPr>
            <w:r>
              <w:rPr>
                <w:rFonts w:ascii="Caladea"/>
                <w:b/>
                <w:sz w:val="14"/>
              </w:rPr>
              <w:t>Total</w:t>
            </w:r>
          </w:p>
        </w:tc>
        <w:tc>
          <w:tcPr>
            <w:tcW w:w="1681" w:type="dxa"/>
          </w:tcPr>
          <w:p>
            <w:pPr>
              <w:pStyle w:val="TableParagraph"/>
              <w:spacing w:line="144" w:lineRule="exact" w:before="1"/>
              <w:ind w:right="63"/>
              <w:jc w:val="right"/>
              <w:rPr>
                <w:rFonts w:ascii="Caladea"/>
                <w:b/>
                <w:sz w:val="14"/>
              </w:rPr>
            </w:pPr>
            <w:r>
              <w:rPr>
                <w:rFonts w:ascii="Caladea"/>
                <w:b/>
                <w:sz w:val="14"/>
              </w:rPr>
              <w:t>(1.922.956)</w:t>
            </w:r>
          </w:p>
        </w:tc>
        <w:tc>
          <w:tcPr>
            <w:tcW w:w="1680" w:type="dxa"/>
          </w:tcPr>
          <w:p>
            <w:pPr>
              <w:pStyle w:val="TableParagraph"/>
              <w:spacing w:line="144" w:lineRule="exact" w:before="1"/>
              <w:ind w:right="60"/>
              <w:jc w:val="right"/>
              <w:rPr>
                <w:rFonts w:ascii="Caladea"/>
                <w:b/>
                <w:sz w:val="14"/>
              </w:rPr>
            </w:pPr>
            <w:r>
              <w:rPr>
                <w:rFonts w:ascii="Caladea"/>
                <w:b/>
                <w:sz w:val="14"/>
              </w:rPr>
              <w:t>(1.841.232)</w:t>
            </w:r>
          </w:p>
        </w:tc>
      </w:tr>
    </w:tbl>
    <w:p>
      <w:pPr>
        <w:pStyle w:val="BodyText"/>
        <w:spacing w:before="5"/>
        <w:rPr>
          <w:rFonts w:ascii="Caladea"/>
          <w:b/>
        </w:rPr>
      </w:pPr>
    </w:p>
    <w:p>
      <w:pPr>
        <w:pStyle w:val="BodyText"/>
        <w:spacing w:line="242" w:lineRule="auto"/>
        <w:ind w:left="172" w:right="407"/>
        <w:jc w:val="both"/>
      </w:pPr>
      <w:r>
        <w:rPr/>
        <w:t>O</w:t>
      </w:r>
      <w:r>
        <w:rPr>
          <w:spacing w:val="-26"/>
        </w:rPr>
        <w:t> </w:t>
      </w:r>
      <w:r>
        <w:rPr/>
        <w:t>Custo</w:t>
      </w:r>
      <w:r>
        <w:rPr>
          <w:spacing w:val="-25"/>
        </w:rPr>
        <w:t> </w:t>
      </w:r>
      <w:r>
        <w:rPr/>
        <w:t>total</w:t>
      </w:r>
      <w:r>
        <w:rPr>
          <w:spacing w:val="-24"/>
        </w:rPr>
        <w:t> </w:t>
      </w:r>
      <w:r>
        <w:rPr/>
        <w:t>da</w:t>
      </w:r>
      <w:r>
        <w:rPr>
          <w:spacing w:val="-25"/>
        </w:rPr>
        <w:t> </w:t>
      </w:r>
      <w:r>
        <w:rPr/>
        <w:t>Energia</w:t>
      </w:r>
      <w:r>
        <w:rPr>
          <w:spacing w:val="-24"/>
        </w:rPr>
        <w:t> </w:t>
      </w:r>
      <w:r>
        <w:rPr/>
        <w:t>Elétrica</w:t>
      </w:r>
      <w:r>
        <w:rPr>
          <w:spacing w:val="-24"/>
        </w:rPr>
        <w:t> </w:t>
      </w:r>
      <w:r>
        <w:rPr/>
        <w:t>e</w:t>
      </w:r>
      <w:r>
        <w:rPr>
          <w:spacing w:val="-26"/>
        </w:rPr>
        <w:t> </w:t>
      </w:r>
      <w:r>
        <w:rPr/>
        <w:t>Encargos</w:t>
      </w:r>
      <w:r>
        <w:rPr>
          <w:spacing w:val="-25"/>
        </w:rPr>
        <w:t> </w:t>
      </w:r>
      <w:r>
        <w:rPr/>
        <w:t>registrou</w:t>
      </w:r>
      <w:r>
        <w:rPr>
          <w:spacing w:val="-25"/>
        </w:rPr>
        <w:t> </w:t>
      </w:r>
      <w:r>
        <w:rPr/>
        <w:t>um</w:t>
      </w:r>
      <w:r>
        <w:rPr>
          <w:spacing w:val="-25"/>
        </w:rPr>
        <w:t> </w:t>
      </w:r>
      <w:r>
        <w:rPr/>
        <w:t>aumento</w:t>
      </w:r>
      <w:r>
        <w:rPr>
          <w:spacing w:val="-23"/>
        </w:rPr>
        <w:t> </w:t>
      </w:r>
      <w:r>
        <w:rPr/>
        <w:t>de</w:t>
      </w:r>
      <w:r>
        <w:rPr>
          <w:spacing w:val="-25"/>
        </w:rPr>
        <w:t> </w:t>
      </w:r>
      <w:r>
        <w:rPr/>
        <w:t>R$</w:t>
      </w:r>
      <w:r>
        <w:rPr>
          <w:spacing w:val="-25"/>
        </w:rPr>
        <w:t> </w:t>
      </w:r>
      <w:r>
        <w:rPr/>
        <w:t>117.587</w:t>
      </w:r>
      <w:r>
        <w:rPr>
          <w:spacing w:val="-25"/>
        </w:rPr>
        <w:t> </w:t>
      </w:r>
      <w:r>
        <w:rPr/>
        <w:t>(6,15%),</w:t>
      </w:r>
      <w:r>
        <w:rPr>
          <w:spacing w:val="-25"/>
        </w:rPr>
        <w:t> </w:t>
      </w:r>
      <w:r>
        <w:rPr/>
        <w:t>quando</w:t>
      </w:r>
      <w:r>
        <w:rPr>
          <w:spacing w:val="-25"/>
        </w:rPr>
        <w:t> </w:t>
      </w:r>
      <w:r>
        <w:rPr/>
        <w:t>comparado</w:t>
      </w:r>
      <w:r>
        <w:rPr>
          <w:spacing w:val="-23"/>
        </w:rPr>
        <w:t> </w:t>
      </w:r>
      <w:r>
        <w:rPr/>
        <w:t>com o</w:t>
      </w:r>
      <w:r>
        <w:rPr>
          <w:spacing w:val="-20"/>
        </w:rPr>
        <w:t> </w:t>
      </w:r>
      <w:r>
        <w:rPr/>
        <w:t>mesmo</w:t>
      </w:r>
      <w:r>
        <w:rPr>
          <w:spacing w:val="-17"/>
        </w:rPr>
        <w:t> </w:t>
      </w:r>
      <w:r>
        <w:rPr/>
        <w:t>período</w:t>
      </w:r>
      <w:r>
        <w:rPr>
          <w:spacing w:val="-16"/>
        </w:rPr>
        <w:t> </w:t>
      </w:r>
      <w:r>
        <w:rPr/>
        <w:t>do</w:t>
      </w:r>
      <w:r>
        <w:rPr>
          <w:spacing w:val="-19"/>
        </w:rPr>
        <w:t> </w:t>
      </w:r>
      <w:r>
        <w:rPr/>
        <w:t>ano</w:t>
      </w:r>
      <w:r>
        <w:rPr>
          <w:spacing w:val="-16"/>
        </w:rPr>
        <w:t> </w:t>
      </w:r>
      <w:r>
        <w:rPr/>
        <w:t>anterior,</w:t>
      </w:r>
      <w:r>
        <w:rPr>
          <w:spacing w:val="-18"/>
        </w:rPr>
        <w:t> </w:t>
      </w:r>
      <w:r>
        <w:rPr/>
        <w:t>tendo</w:t>
      </w:r>
      <w:r>
        <w:rPr>
          <w:spacing w:val="-19"/>
        </w:rPr>
        <w:t> </w:t>
      </w:r>
      <w:r>
        <w:rPr/>
        <w:t>em</w:t>
      </w:r>
      <w:r>
        <w:rPr>
          <w:spacing w:val="-20"/>
        </w:rPr>
        <w:t> </w:t>
      </w:r>
      <w:r>
        <w:rPr/>
        <w:t>vista:</w:t>
      </w:r>
      <w:r>
        <w:rPr>
          <w:spacing w:val="-19"/>
        </w:rPr>
        <w:t> </w:t>
      </w:r>
      <w:r>
        <w:rPr/>
        <w:t>a)</w:t>
      </w:r>
      <w:r>
        <w:rPr>
          <w:spacing w:val="-18"/>
        </w:rPr>
        <w:t> </w:t>
      </w:r>
      <w:r>
        <w:rPr/>
        <w:t>o</w:t>
      </w:r>
      <w:r>
        <w:rPr>
          <w:spacing w:val="-18"/>
        </w:rPr>
        <w:t> </w:t>
      </w:r>
      <w:r>
        <w:rPr/>
        <w:t>aumento</w:t>
      </w:r>
      <w:r>
        <w:rPr>
          <w:spacing w:val="-18"/>
        </w:rPr>
        <w:t> </w:t>
      </w:r>
      <w:r>
        <w:rPr/>
        <w:t>do</w:t>
      </w:r>
      <w:r>
        <w:rPr>
          <w:spacing w:val="-19"/>
        </w:rPr>
        <w:t> </w:t>
      </w:r>
      <w:r>
        <w:rPr/>
        <w:t>custo</w:t>
      </w:r>
      <w:r>
        <w:rPr>
          <w:spacing w:val="-18"/>
        </w:rPr>
        <w:t> </w:t>
      </w:r>
      <w:r>
        <w:rPr/>
        <w:t>da</w:t>
      </w:r>
      <w:r>
        <w:rPr>
          <w:spacing w:val="-19"/>
        </w:rPr>
        <w:t> </w:t>
      </w:r>
      <w:r>
        <w:rPr/>
        <w:t>Energia</w:t>
      </w:r>
      <w:r>
        <w:rPr>
          <w:spacing w:val="-19"/>
        </w:rPr>
        <w:t> </w:t>
      </w:r>
      <w:r>
        <w:rPr/>
        <w:t>Comprada</w:t>
      </w:r>
      <w:r>
        <w:rPr>
          <w:spacing w:val="-19"/>
        </w:rPr>
        <w:t> </w:t>
      </w:r>
      <w:r>
        <w:rPr/>
        <w:t>para</w:t>
      </w:r>
      <w:r>
        <w:rPr>
          <w:spacing w:val="-19"/>
        </w:rPr>
        <w:t> </w:t>
      </w:r>
      <w:r>
        <w:rPr/>
        <w:t>Revenda,</w:t>
      </w:r>
      <w:r>
        <w:rPr>
          <w:spacing w:val="-16"/>
        </w:rPr>
        <w:t> </w:t>
      </w:r>
      <w:r>
        <w:rPr/>
        <w:t>em razão</w:t>
      </w:r>
      <w:r>
        <w:rPr>
          <w:spacing w:val="-32"/>
        </w:rPr>
        <w:t> </w:t>
      </w:r>
      <w:r>
        <w:rPr/>
        <w:t>do</w:t>
      </w:r>
      <w:r>
        <w:rPr>
          <w:spacing w:val="-31"/>
        </w:rPr>
        <w:t> </w:t>
      </w:r>
      <w:r>
        <w:rPr/>
        <w:t>nível</w:t>
      </w:r>
      <w:r>
        <w:rPr>
          <w:spacing w:val="-31"/>
        </w:rPr>
        <w:t> </w:t>
      </w:r>
      <w:r>
        <w:rPr/>
        <w:t>de</w:t>
      </w:r>
      <w:r>
        <w:rPr>
          <w:spacing w:val="-31"/>
        </w:rPr>
        <w:t> </w:t>
      </w:r>
      <w:r>
        <w:rPr/>
        <w:t>descontratação</w:t>
      </w:r>
      <w:r>
        <w:rPr>
          <w:spacing w:val="-31"/>
        </w:rPr>
        <w:t> </w:t>
      </w:r>
      <w:r>
        <w:rPr/>
        <w:t>via</w:t>
      </w:r>
      <w:r>
        <w:rPr>
          <w:spacing w:val="-30"/>
        </w:rPr>
        <w:t> </w:t>
      </w:r>
      <w:r>
        <w:rPr/>
        <w:t>MCSD</w:t>
      </w:r>
      <w:r>
        <w:rPr>
          <w:spacing w:val="-32"/>
        </w:rPr>
        <w:t> </w:t>
      </w:r>
      <w:r>
        <w:rPr/>
        <w:t>ter</w:t>
      </w:r>
      <w:r>
        <w:rPr>
          <w:spacing w:val="-31"/>
        </w:rPr>
        <w:t> </w:t>
      </w:r>
      <w:r>
        <w:rPr/>
        <w:t>sido</w:t>
      </w:r>
      <w:r>
        <w:rPr>
          <w:spacing w:val="-32"/>
        </w:rPr>
        <w:t> </w:t>
      </w:r>
      <w:r>
        <w:rPr/>
        <w:t>menor</w:t>
      </w:r>
      <w:r>
        <w:rPr>
          <w:spacing w:val="-31"/>
        </w:rPr>
        <w:t> </w:t>
      </w:r>
      <w:r>
        <w:rPr/>
        <w:t>em</w:t>
      </w:r>
      <w:r>
        <w:rPr>
          <w:spacing w:val="-32"/>
        </w:rPr>
        <w:t> </w:t>
      </w:r>
      <w:r>
        <w:rPr/>
        <w:t>2019</w:t>
      </w:r>
      <w:r>
        <w:rPr>
          <w:spacing w:val="-29"/>
        </w:rPr>
        <w:t> </w:t>
      </w:r>
      <w:r>
        <w:rPr/>
        <w:t>em</w:t>
      </w:r>
      <w:r>
        <w:rPr>
          <w:spacing w:val="-30"/>
        </w:rPr>
        <w:t> </w:t>
      </w:r>
      <w:r>
        <w:rPr/>
        <w:t>relação</w:t>
      </w:r>
      <w:r>
        <w:rPr>
          <w:spacing w:val="-31"/>
        </w:rPr>
        <w:t> </w:t>
      </w:r>
      <w:r>
        <w:rPr/>
        <w:t>a</w:t>
      </w:r>
      <w:r>
        <w:rPr>
          <w:spacing w:val="-31"/>
        </w:rPr>
        <w:t> </w:t>
      </w:r>
      <w:r>
        <w:rPr/>
        <w:t>2018,</w:t>
      </w:r>
      <w:r>
        <w:rPr>
          <w:spacing w:val="-31"/>
        </w:rPr>
        <w:t> </w:t>
      </w:r>
      <w:r>
        <w:rPr/>
        <w:t>conforme</w:t>
      </w:r>
      <w:r>
        <w:rPr>
          <w:spacing w:val="-32"/>
        </w:rPr>
        <w:t> </w:t>
      </w:r>
      <w:r>
        <w:rPr/>
        <w:t>Nota</w:t>
      </w:r>
      <w:r>
        <w:rPr>
          <w:spacing w:val="-31"/>
        </w:rPr>
        <w:t> </w:t>
      </w:r>
      <w:r>
        <w:rPr/>
        <w:t>Explicativa</w:t>
      </w:r>
      <w:r>
        <w:rPr>
          <w:spacing w:val="-28"/>
        </w:rPr>
        <w:t> </w:t>
      </w:r>
      <w:r>
        <w:rPr/>
        <w:t>nº</w:t>
      </w:r>
    </w:p>
    <w:p>
      <w:pPr>
        <w:pStyle w:val="BodyText"/>
        <w:spacing w:line="244" w:lineRule="auto"/>
        <w:ind w:left="172" w:right="406"/>
        <w:jc w:val="both"/>
      </w:pPr>
      <w:r>
        <w:rPr/>
        <w:t>30.1.</w:t>
      </w:r>
      <w:r>
        <w:rPr>
          <w:spacing w:val="-49"/>
        </w:rPr>
        <w:t> </w:t>
      </w:r>
      <w:r>
        <w:rPr/>
        <w:t>(f);</w:t>
      </w:r>
      <w:r>
        <w:rPr>
          <w:spacing w:val="-48"/>
        </w:rPr>
        <w:t> </w:t>
      </w:r>
      <w:r>
        <w:rPr/>
        <w:t>e</w:t>
      </w:r>
      <w:r>
        <w:rPr>
          <w:spacing w:val="-49"/>
        </w:rPr>
        <w:t> </w:t>
      </w:r>
      <w:r>
        <w:rPr/>
        <w:t>b)</w:t>
      </w:r>
      <w:r>
        <w:rPr>
          <w:spacing w:val="-48"/>
        </w:rPr>
        <w:t> </w:t>
      </w:r>
      <w:r>
        <w:rPr/>
        <w:t>a</w:t>
      </w:r>
      <w:r>
        <w:rPr>
          <w:spacing w:val="-48"/>
        </w:rPr>
        <w:t> </w:t>
      </w:r>
      <w:r>
        <w:rPr/>
        <w:t>redução</w:t>
      </w:r>
      <w:r>
        <w:rPr>
          <w:spacing w:val="-49"/>
        </w:rPr>
        <w:t> </w:t>
      </w:r>
      <w:r>
        <w:rPr/>
        <w:t>dos</w:t>
      </w:r>
      <w:r>
        <w:rPr>
          <w:spacing w:val="-48"/>
        </w:rPr>
        <w:t> </w:t>
      </w:r>
      <w:r>
        <w:rPr/>
        <w:t>Custos</w:t>
      </w:r>
      <w:r>
        <w:rPr>
          <w:spacing w:val="-49"/>
        </w:rPr>
        <w:t> </w:t>
      </w:r>
      <w:r>
        <w:rPr/>
        <w:t>Variáveis</w:t>
      </w:r>
      <w:r>
        <w:rPr>
          <w:spacing w:val="-48"/>
        </w:rPr>
        <w:t> </w:t>
      </w:r>
      <w:r>
        <w:rPr/>
        <w:t>do</w:t>
      </w:r>
      <w:r>
        <w:rPr>
          <w:spacing w:val="-48"/>
        </w:rPr>
        <w:t> </w:t>
      </w:r>
      <w:r>
        <w:rPr/>
        <w:t>Mercado</w:t>
      </w:r>
      <w:r>
        <w:rPr>
          <w:spacing w:val="-48"/>
        </w:rPr>
        <w:t> </w:t>
      </w:r>
      <w:r>
        <w:rPr/>
        <w:t>de</w:t>
      </w:r>
      <w:r>
        <w:rPr>
          <w:spacing w:val="-48"/>
        </w:rPr>
        <w:t> </w:t>
      </w:r>
      <w:r>
        <w:rPr/>
        <w:t>Curto</w:t>
      </w:r>
      <w:r>
        <w:rPr>
          <w:spacing w:val="-49"/>
        </w:rPr>
        <w:t> </w:t>
      </w:r>
      <w:r>
        <w:rPr/>
        <w:t>Prazo,</w:t>
      </w:r>
      <w:r>
        <w:rPr>
          <w:spacing w:val="-47"/>
        </w:rPr>
        <w:t> </w:t>
      </w:r>
      <w:r>
        <w:rPr/>
        <w:t>relativo,</w:t>
      </w:r>
      <w:r>
        <w:rPr>
          <w:spacing w:val="-49"/>
        </w:rPr>
        <w:t> </w:t>
      </w:r>
      <w:r>
        <w:rPr/>
        <w:t>principalmente,</w:t>
      </w:r>
      <w:r>
        <w:rPr>
          <w:spacing w:val="-48"/>
        </w:rPr>
        <w:t> </w:t>
      </w:r>
      <w:r>
        <w:rPr/>
        <w:t>ao</w:t>
      </w:r>
      <w:r>
        <w:rPr>
          <w:spacing w:val="-49"/>
        </w:rPr>
        <w:t> </w:t>
      </w:r>
      <w:r>
        <w:rPr/>
        <w:t>Risco</w:t>
      </w:r>
      <w:r>
        <w:rPr>
          <w:spacing w:val="-48"/>
        </w:rPr>
        <w:t> </w:t>
      </w:r>
      <w:r>
        <w:rPr/>
        <w:t>Hidrológico que</w:t>
      </w:r>
      <w:r>
        <w:rPr>
          <w:spacing w:val="-18"/>
        </w:rPr>
        <w:t> </w:t>
      </w:r>
      <w:r>
        <w:rPr/>
        <w:t>é</w:t>
      </w:r>
      <w:r>
        <w:rPr>
          <w:spacing w:val="-18"/>
        </w:rPr>
        <w:t> </w:t>
      </w:r>
      <w:r>
        <w:rPr/>
        <w:t>precificado</w:t>
      </w:r>
      <w:r>
        <w:rPr>
          <w:spacing w:val="-18"/>
        </w:rPr>
        <w:t> </w:t>
      </w:r>
      <w:r>
        <w:rPr/>
        <w:t>pelo</w:t>
      </w:r>
      <w:r>
        <w:rPr>
          <w:spacing w:val="-20"/>
        </w:rPr>
        <w:t> </w:t>
      </w:r>
      <w:r>
        <w:rPr/>
        <w:t>Preço</w:t>
      </w:r>
      <w:r>
        <w:rPr>
          <w:spacing w:val="-15"/>
        </w:rPr>
        <w:t> </w:t>
      </w:r>
      <w:r>
        <w:rPr/>
        <w:t>de</w:t>
      </w:r>
      <w:r>
        <w:rPr>
          <w:spacing w:val="-21"/>
        </w:rPr>
        <w:t> </w:t>
      </w:r>
      <w:r>
        <w:rPr/>
        <w:t>Liquidação</w:t>
      </w:r>
      <w:r>
        <w:rPr>
          <w:spacing w:val="-19"/>
        </w:rPr>
        <w:t> </w:t>
      </w:r>
      <w:r>
        <w:rPr/>
        <w:t>das</w:t>
      </w:r>
      <w:r>
        <w:rPr>
          <w:spacing w:val="-19"/>
        </w:rPr>
        <w:t> </w:t>
      </w:r>
      <w:r>
        <w:rPr/>
        <w:t>Diferenças</w:t>
      </w:r>
      <w:r>
        <w:rPr>
          <w:spacing w:val="-13"/>
        </w:rPr>
        <w:t> </w:t>
      </w:r>
      <w:r>
        <w:rPr>
          <w:w w:val="105"/>
        </w:rPr>
        <w:t>–</w:t>
      </w:r>
      <w:r>
        <w:rPr>
          <w:spacing w:val="-21"/>
          <w:w w:val="105"/>
        </w:rPr>
        <w:t> </w:t>
      </w:r>
      <w:r>
        <w:rPr/>
        <w:t>PLD.</w:t>
      </w:r>
    </w:p>
    <w:p>
      <w:pPr>
        <w:spacing w:after="0" w:line="244" w:lineRule="auto"/>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38"/>
        </w:numPr>
        <w:tabs>
          <w:tab w:pos="1025" w:val="left" w:leader="none"/>
          <w:tab w:pos="1026" w:val="left" w:leader="none"/>
        </w:tabs>
        <w:spacing w:line="240" w:lineRule="auto" w:before="14" w:after="0"/>
        <w:ind w:left="1025" w:right="0" w:hanging="854"/>
        <w:jc w:val="left"/>
        <w:rPr>
          <w:rFonts w:ascii="Caladea"/>
          <w:b/>
          <w:sz w:val="18"/>
        </w:rPr>
      </w:pPr>
      <w:r>
        <w:rPr>
          <w:rFonts w:ascii="Caladea"/>
          <w:b/>
          <w:sz w:val="22"/>
        </w:rPr>
        <w:t>C</w:t>
      </w:r>
      <w:r>
        <w:rPr>
          <w:rFonts w:ascii="Caladea"/>
          <w:b/>
          <w:sz w:val="18"/>
        </w:rPr>
        <w:t>USTOS E </w:t>
      </w:r>
      <w:r>
        <w:rPr>
          <w:rFonts w:ascii="Caladea"/>
          <w:b/>
          <w:sz w:val="22"/>
        </w:rPr>
        <w:t>D</w:t>
      </w:r>
      <w:r>
        <w:rPr>
          <w:rFonts w:ascii="Caladea"/>
          <w:b/>
          <w:sz w:val="18"/>
        </w:rPr>
        <w:t>ESPESAS </w:t>
      </w:r>
      <w:r>
        <w:rPr>
          <w:rFonts w:ascii="Caladea"/>
          <w:b/>
          <w:sz w:val="22"/>
        </w:rPr>
        <w:t>O</w:t>
      </w:r>
      <w:r>
        <w:rPr>
          <w:rFonts w:ascii="Caladea"/>
          <w:b/>
          <w:sz w:val="18"/>
        </w:rPr>
        <w:t>PERACIONAIS POR</w:t>
      </w:r>
      <w:r>
        <w:rPr>
          <w:rFonts w:ascii="Caladea"/>
          <w:b/>
          <w:spacing w:val="-2"/>
          <w:sz w:val="18"/>
        </w:rPr>
        <w:t> </w:t>
      </w:r>
      <w:r>
        <w:rPr>
          <w:rFonts w:ascii="Caladea"/>
          <w:b/>
          <w:sz w:val="18"/>
        </w:rPr>
        <w:t>NATUREZA</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91"/>
        <w:gridCol w:w="1097"/>
        <w:gridCol w:w="1098"/>
        <w:gridCol w:w="1095"/>
        <w:gridCol w:w="1097"/>
      </w:tblGrid>
      <w:tr>
        <w:trPr>
          <w:trHeight w:val="249" w:hRule="atLeast"/>
        </w:trPr>
        <w:tc>
          <w:tcPr>
            <w:tcW w:w="5591" w:type="dxa"/>
            <w:vMerge w:val="restart"/>
            <w:shd w:val="clear" w:color="auto" w:fill="D9D9D9"/>
          </w:tcPr>
          <w:p>
            <w:pPr>
              <w:pStyle w:val="TableParagraph"/>
              <w:rPr>
                <w:rFonts w:ascii="Times New Roman"/>
                <w:sz w:val="14"/>
              </w:rPr>
            </w:pPr>
          </w:p>
        </w:tc>
        <w:tc>
          <w:tcPr>
            <w:tcW w:w="2195" w:type="dxa"/>
            <w:gridSpan w:val="2"/>
          </w:tcPr>
          <w:p>
            <w:pPr>
              <w:pStyle w:val="TableParagraph"/>
              <w:spacing w:before="42"/>
              <w:ind w:left="664"/>
              <w:rPr>
                <w:rFonts w:ascii="Caladea"/>
                <w:b/>
                <w:sz w:val="14"/>
              </w:rPr>
            </w:pPr>
            <w:r>
              <w:rPr>
                <w:rFonts w:ascii="Caladea"/>
                <w:b/>
                <w:sz w:val="14"/>
              </w:rPr>
              <w:t>Controladora</w:t>
            </w:r>
          </w:p>
        </w:tc>
        <w:tc>
          <w:tcPr>
            <w:tcW w:w="2192" w:type="dxa"/>
            <w:gridSpan w:val="2"/>
          </w:tcPr>
          <w:p>
            <w:pPr>
              <w:pStyle w:val="TableParagraph"/>
              <w:spacing w:before="42"/>
              <w:ind w:left="695"/>
              <w:rPr>
                <w:rFonts w:ascii="Caladea"/>
                <w:b/>
                <w:sz w:val="14"/>
              </w:rPr>
            </w:pPr>
            <w:r>
              <w:rPr>
                <w:rFonts w:ascii="Caladea"/>
                <w:b/>
                <w:sz w:val="14"/>
              </w:rPr>
              <w:t>Consolidado</w:t>
            </w:r>
          </w:p>
        </w:tc>
      </w:tr>
      <w:tr>
        <w:trPr>
          <w:trHeight w:val="246" w:hRule="atLeast"/>
        </w:trPr>
        <w:tc>
          <w:tcPr>
            <w:tcW w:w="5591" w:type="dxa"/>
            <w:vMerge/>
            <w:tcBorders>
              <w:top w:val="nil"/>
            </w:tcBorders>
            <w:shd w:val="clear" w:color="auto" w:fill="D9D9D9"/>
          </w:tcPr>
          <w:p>
            <w:pPr>
              <w:rPr>
                <w:sz w:val="2"/>
                <w:szCs w:val="2"/>
              </w:rPr>
            </w:pPr>
          </w:p>
        </w:tc>
        <w:tc>
          <w:tcPr>
            <w:tcW w:w="1097" w:type="dxa"/>
          </w:tcPr>
          <w:p>
            <w:pPr>
              <w:pStyle w:val="TableParagraph"/>
              <w:spacing w:before="39"/>
              <w:ind w:left="146"/>
              <w:rPr>
                <w:rFonts w:ascii="Caladea"/>
                <w:b/>
                <w:sz w:val="14"/>
              </w:rPr>
            </w:pPr>
            <w:r>
              <w:rPr>
                <w:rFonts w:ascii="Caladea"/>
                <w:b/>
                <w:sz w:val="14"/>
              </w:rPr>
              <w:t>31/12/2019</w:t>
            </w:r>
          </w:p>
        </w:tc>
        <w:tc>
          <w:tcPr>
            <w:tcW w:w="1098" w:type="dxa"/>
          </w:tcPr>
          <w:p>
            <w:pPr>
              <w:pStyle w:val="TableParagraph"/>
              <w:spacing w:before="39"/>
              <w:ind w:left="145"/>
              <w:rPr>
                <w:rFonts w:ascii="Caladea"/>
                <w:b/>
                <w:sz w:val="14"/>
              </w:rPr>
            </w:pPr>
            <w:r>
              <w:rPr>
                <w:rFonts w:ascii="Caladea"/>
                <w:b/>
                <w:sz w:val="14"/>
              </w:rPr>
              <w:t>31/12/2018</w:t>
            </w:r>
          </w:p>
        </w:tc>
        <w:tc>
          <w:tcPr>
            <w:tcW w:w="1095" w:type="dxa"/>
          </w:tcPr>
          <w:p>
            <w:pPr>
              <w:pStyle w:val="TableParagraph"/>
              <w:spacing w:before="39"/>
              <w:ind w:left="142"/>
              <w:rPr>
                <w:rFonts w:ascii="Caladea"/>
                <w:b/>
                <w:sz w:val="14"/>
              </w:rPr>
            </w:pPr>
            <w:r>
              <w:rPr>
                <w:rFonts w:ascii="Caladea"/>
                <w:b/>
                <w:sz w:val="14"/>
              </w:rPr>
              <w:t>31/12/2019</w:t>
            </w:r>
          </w:p>
        </w:tc>
        <w:tc>
          <w:tcPr>
            <w:tcW w:w="1097" w:type="dxa"/>
          </w:tcPr>
          <w:p>
            <w:pPr>
              <w:pStyle w:val="TableParagraph"/>
              <w:spacing w:before="39"/>
              <w:ind w:left="144"/>
              <w:rPr>
                <w:rFonts w:ascii="Caladea"/>
                <w:b/>
                <w:sz w:val="14"/>
              </w:rPr>
            </w:pPr>
            <w:r>
              <w:rPr>
                <w:rFonts w:ascii="Caladea"/>
                <w:b/>
                <w:sz w:val="14"/>
              </w:rPr>
              <w:t>31/12/2018</w:t>
            </w:r>
          </w:p>
        </w:tc>
      </w:tr>
      <w:tr>
        <w:trPr>
          <w:trHeight w:val="246" w:hRule="atLeast"/>
        </w:trPr>
        <w:tc>
          <w:tcPr>
            <w:tcW w:w="5591" w:type="dxa"/>
          </w:tcPr>
          <w:p>
            <w:pPr>
              <w:pStyle w:val="TableParagraph"/>
              <w:spacing w:before="43"/>
              <w:ind w:left="72"/>
              <w:rPr>
                <w:sz w:val="14"/>
              </w:rPr>
            </w:pPr>
            <w:r>
              <w:rPr>
                <w:sz w:val="14"/>
              </w:rPr>
              <w:t>Pessoal e Administradores</w:t>
            </w:r>
          </w:p>
        </w:tc>
        <w:tc>
          <w:tcPr>
            <w:tcW w:w="1097" w:type="dxa"/>
          </w:tcPr>
          <w:p>
            <w:pPr>
              <w:pStyle w:val="TableParagraph"/>
              <w:spacing w:before="43"/>
              <w:ind w:right="60"/>
              <w:jc w:val="right"/>
              <w:rPr>
                <w:sz w:val="14"/>
              </w:rPr>
            </w:pPr>
            <w:r>
              <w:rPr>
                <w:sz w:val="14"/>
              </w:rPr>
              <w:t>(16.519)</w:t>
            </w:r>
          </w:p>
        </w:tc>
        <w:tc>
          <w:tcPr>
            <w:tcW w:w="1098" w:type="dxa"/>
          </w:tcPr>
          <w:p>
            <w:pPr>
              <w:pStyle w:val="TableParagraph"/>
              <w:spacing w:before="43"/>
              <w:ind w:right="61"/>
              <w:jc w:val="right"/>
              <w:rPr>
                <w:sz w:val="14"/>
              </w:rPr>
            </w:pPr>
            <w:r>
              <w:rPr>
                <w:sz w:val="14"/>
              </w:rPr>
              <w:t>(13.742)</w:t>
            </w:r>
          </w:p>
        </w:tc>
        <w:tc>
          <w:tcPr>
            <w:tcW w:w="1095" w:type="dxa"/>
          </w:tcPr>
          <w:p>
            <w:pPr>
              <w:pStyle w:val="TableParagraph"/>
              <w:spacing w:before="43"/>
              <w:ind w:right="61"/>
              <w:jc w:val="right"/>
              <w:rPr>
                <w:sz w:val="14"/>
              </w:rPr>
            </w:pPr>
            <w:r>
              <w:rPr>
                <w:sz w:val="14"/>
              </w:rPr>
              <w:t>(224.368)</w:t>
            </w:r>
          </w:p>
        </w:tc>
        <w:tc>
          <w:tcPr>
            <w:tcW w:w="1097" w:type="dxa"/>
          </w:tcPr>
          <w:p>
            <w:pPr>
              <w:pStyle w:val="TableParagraph"/>
              <w:spacing w:before="43"/>
              <w:ind w:right="61"/>
              <w:jc w:val="right"/>
              <w:rPr>
                <w:sz w:val="14"/>
              </w:rPr>
            </w:pPr>
            <w:r>
              <w:rPr>
                <w:sz w:val="14"/>
              </w:rPr>
              <w:t>(207.443)</w:t>
            </w:r>
          </w:p>
        </w:tc>
      </w:tr>
      <w:tr>
        <w:trPr>
          <w:trHeight w:val="249" w:hRule="atLeast"/>
        </w:trPr>
        <w:tc>
          <w:tcPr>
            <w:tcW w:w="5591" w:type="dxa"/>
          </w:tcPr>
          <w:p>
            <w:pPr>
              <w:pStyle w:val="TableParagraph"/>
              <w:spacing w:before="43"/>
              <w:ind w:left="72"/>
              <w:rPr>
                <w:sz w:val="14"/>
              </w:rPr>
            </w:pPr>
            <w:r>
              <w:rPr>
                <w:sz w:val="14"/>
              </w:rPr>
              <w:t>Serviço de Terceiros</w:t>
            </w:r>
          </w:p>
        </w:tc>
        <w:tc>
          <w:tcPr>
            <w:tcW w:w="1097" w:type="dxa"/>
          </w:tcPr>
          <w:p>
            <w:pPr>
              <w:pStyle w:val="TableParagraph"/>
              <w:spacing w:before="43"/>
              <w:ind w:right="60"/>
              <w:jc w:val="right"/>
              <w:rPr>
                <w:sz w:val="14"/>
              </w:rPr>
            </w:pPr>
            <w:r>
              <w:rPr>
                <w:sz w:val="14"/>
              </w:rPr>
              <w:t>(35.749)</w:t>
            </w:r>
          </w:p>
        </w:tc>
        <w:tc>
          <w:tcPr>
            <w:tcW w:w="1098" w:type="dxa"/>
          </w:tcPr>
          <w:p>
            <w:pPr>
              <w:pStyle w:val="TableParagraph"/>
              <w:spacing w:before="43"/>
              <w:ind w:right="61"/>
              <w:jc w:val="right"/>
              <w:rPr>
                <w:sz w:val="14"/>
              </w:rPr>
            </w:pPr>
            <w:r>
              <w:rPr>
                <w:sz w:val="14"/>
              </w:rPr>
              <w:t>(50.487)</w:t>
            </w:r>
          </w:p>
        </w:tc>
        <w:tc>
          <w:tcPr>
            <w:tcW w:w="1095" w:type="dxa"/>
          </w:tcPr>
          <w:p>
            <w:pPr>
              <w:pStyle w:val="TableParagraph"/>
              <w:spacing w:before="43"/>
              <w:ind w:right="61"/>
              <w:jc w:val="right"/>
              <w:rPr>
                <w:sz w:val="14"/>
              </w:rPr>
            </w:pPr>
            <w:r>
              <w:rPr>
                <w:sz w:val="14"/>
              </w:rPr>
              <w:t>(162.941)</w:t>
            </w:r>
          </w:p>
        </w:tc>
        <w:tc>
          <w:tcPr>
            <w:tcW w:w="1097" w:type="dxa"/>
          </w:tcPr>
          <w:p>
            <w:pPr>
              <w:pStyle w:val="TableParagraph"/>
              <w:spacing w:before="43"/>
              <w:ind w:right="61"/>
              <w:jc w:val="right"/>
              <w:rPr>
                <w:sz w:val="14"/>
              </w:rPr>
            </w:pPr>
            <w:r>
              <w:rPr>
                <w:sz w:val="14"/>
              </w:rPr>
              <w:t>(181.756)</w:t>
            </w:r>
          </w:p>
        </w:tc>
      </w:tr>
      <w:tr>
        <w:trPr>
          <w:trHeight w:val="246" w:hRule="atLeast"/>
        </w:trPr>
        <w:tc>
          <w:tcPr>
            <w:tcW w:w="5591" w:type="dxa"/>
          </w:tcPr>
          <w:p>
            <w:pPr>
              <w:pStyle w:val="TableParagraph"/>
              <w:spacing w:before="43"/>
              <w:ind w:left="72"/>
              <w:rPr>
                <w:sz w:val="14"/>
              </w:rPr>
            </w:pPr>
            <w:r>
              <w:rPr>
                <w:sz w:val="14"/>
              </w:rPr>
              <w:t>(Provisão) Estimada/Reversão de Perdas com Crédito de Liquidação Duvidosa</w:t>
            </w:r>
          </w:p>
        </w:tc>
        <w:tc>
          <w:tcPr>
            <w:tcW w:w="1097" w:type="dxa"/>
          </w:tcPr>
          <w:p>
            <w:pPr>
              <w:pStyle w:val="TableParagraph"/>
              <w:spacing w:before="43"/>
              <w:ind w:right="60"/>
              <w:jc w:val="right"/>
              <w:rPr>
                <w:sz w:val="14"/>
              </w:rPr>
            </w:pPr>
            <w:r>
              <w:rPr>
                <w:w w:val="95"/>
                <w:sz w:val="14"/>
              </w:rPr>
              <w:t>2.699</w:t>
            </w:r>
          </w:p>
        </w:tc>
        <w:tc>
          <w:tcPr>
            <w:tcW w:w="1098" w:type="dxa"/>
          </w:tcPr>
          <w:p>
            <w:pPr>
              <w:pStyle w:val="TableParagraph"/>
              <w:spacing w:before="43"/>
              <w:ind w:right="61"/>
              <w:jc w:val="right"/>
              <w:rPr>
                <w:sz w:val="14"/>
              </w:rPr>
            </w:pPr>
            <w:r>
              <w:rPr>
                <w:w w:val="105"/>
                <w:sz w:val="14"/>
              </w:rPr>
              <w:t>294</w:t>
            </w:r>
          </w:p>
        </w:tc>
        <w:tc>
          <w:tcPr>
            <w:tcW w:w="1095" w:type="dxa"/>
          </w:tcPr>
          <w:p>
            <w:pPr>
              <w:pStyle w:val="TableParagraph"/>
              <w:spacing w:before="43"/>
              <w:ind w:right="61"/>
              <w:jc w:val="right"/>
              <w:rPr>
                <w:sz w:val="14"/>
              </w:rPr>
            </w:pPr>
            <w:r>
              <w:rPr>
                <w:sz w:val="14"/>
              </w:rPr>
              <w:t>(136.842)</w:t>
            </w:r>
          </w:p>
        </w:tc>
        <w:tc>
          <w:tcPr>
            <w:tcW w:w="1097" w:type="dxa"/>
          </w:tcPr>
          <w:p>
            <w:pPr>
              <w:pStyle w:val="TableParagraph"/>
              <w:spacing w:before="43"/>
              <w:ind w:right="61"/>
              <w:jc w:val="right"/>
              <w:rPr>
                <w:sz w:val="14"/>
              </w:rPr>
            </w:pPr>
            <w:r>
              <w:rPr>
                <w:sz w:val="14"/>
              </w:rPr>
              <w:t>(127.374)</w:t>
            </w:r>
          </w:p>
        </w:tc>
      </w:tr>
      <w:tr>
        <w:trPr>
          <w:trHeight w:val="249" w:hRule="atLeast"/>
        </w:trPr>
        <w:tc>
          <w:tcPr>
            <w:tcW w:w="5591" w:type="dxa"/>
          </w:tcPr>
          <w:p>
            <w:pPr>
              <w:pStyle w:val="TableParagraph"/>
              <w:spacing w:before="42"/>
              <w:ind w:left="72"/>
              <w:rPr>
                <w:rFonts w:ascii="Caladea" w:hAnsi="Caladea"/>
                <w:b/>
                <w:sz w:val="14"/>
              </w:rPr>
            </w:pPr>
            <w:r>
              <w:rPr>
                <w:sz w:val="14"/>
              </w:rPr>
              <w:t>Custo de Construção </w:t>
            </w:r>
            <w:r>
              <w:rPr>
                <w:w w:val="105"/>
                <w:sz w:val="14"/>
              </w:rPr>
              <w:t>– </w:t>
            </w:r>
            <w:r>
              <w:rPr>
                <w:sz w:val="14"/>
              </w:rPr>
              <w:t>Concessão </w:t>
            </w:r>
            <w:r>
              <w:rPr>
                <w:rFonts w:ascii="Caladea" w:hAnsi="Caladea"/>
                <w:b/>
                <w:sz w:val="14"/>
              </w:rPr>
              <w:t>(a)</w:t>
            </w:r>
          </w:p>
        </w:tc>
        <w:tc>
          <w:tcPr>
            <w:tcW w:w="1097" w:type="dxa"/>
          </w:tcPr>
          <w:p>
            <w:pPr>
              <w:pStyle w:val="TableParagraph"/>
              <w:rPr>
                <w:rFonts w:ascii="Times New Roman"/>
                <w:sz w:val="14"/>
              </w:rPr>
            </w:pPr>
          </w:p>
        </w:tc>
        <w:tc>
          <w:tcPr>
            <w:tcW w:w="1098" w:type="dxa"/>
          </w:tcPr>
          <w:p>
            <w:pPr>
              <w:pStyle w:val="TableParagraph"/>
              <w:rPr>
                <w:rFonts w:ascii="Times New Roman"/>
                <w:sz w:val="14"/>
              </w:rPr>
            </w:pPr>
          </w:p>
        </w:tc>
        <w:tc>
          <w:tcPr>
            <w:tcW w:w="1095" w:type="dxa"/>
          </w:tcPr>
          <w:p>
            <w:pPr>
              <w:pStyle w:val="TableParagraph"/>
              <w:spacing w:before="43"/>
              <w:ind w:right="61"/>
              <w:jc w:val="right"/>
              <w:rPr>
                <w:sz w:val="14"/>
              </w:rPr>
            </w:pPr>
            <w:r>
              <w:rPr>
                <w:sz w:val="14"/>
              </w:rPr>
              <w:t>(39.330)</w:t>
            </w:r>
          </w:p>
        </w:tc>
        <w:tc>
          <w:tcPr>
            <w:tcW w:w="1097" w:type="dxa"/>
          </w:tcPr>
          <w:p>
            <w:pPr>
              <w:pStyle w:val="TableParagraph"/>
              <w:spacing w:before="43"/>
              <w:ind w:right="61"/>
              <w:jc w:val="right"/>
              <w:rPr>
                <w:sz w:val="14"/>
              </w:rPr>
            </w:pPr>
            <w:r>
              <w:rPr>
                <w:sz w:val="14"/>
              </w:rPr>
              <w:t>(83.846)</w:t>
            </w:r>
          </w:p>
        </w:tc>
      </w:tr>
      <w:tr>
        <w:trPr>
          <w:trHeight w:val="246" w:hRule="atLeast"/>
        </w:trPr>
        <w:tc>
          <w:tcPr>
            <w:tcW w:w="5591" w:type="dxa"/>
          </w:tcPr>
          <w:p>
            <w:pPr>
              <w:pStyle w:val="TableParagraph"/>
              <w:spacing w:before="43"/>
              <w:ind w:left="72"/>
              <w:rPr>
                <w:sz w:val="14"/>
              </w:rPr>
            </w:pPr>
            <w:r>
              <w:rPr>
                <w:sz w:val="14"/>
              </w:rPr>
              <w:t>Depreciação e Amortização</w:t>
            </w:r>
          </w:p>
        </w:tc>
        <w:tc>
          <w:tcPr>
            <w:tcW w:w="1097" w:type="dxa"/>
          </w:tcPr>
          <w:p>
            <w:pPr>
              <w:pStyle w:val="TableParagraph"/>
              <w:spacing w:before="43"/>
              <w:ind w:right="60"/>
              <w:jc w:val="right"/>
              <w:rPr>
                <w:sz w:val="14"/>
              </w:rPr>
            </w:pPr>
            <w:r>
              <w:rPr>
                <w:w w:val="95"/>
                <w:sz w:val="14"/>
              </w:rPr>
              <w:t>(1.097)</w:t>
            </w:r>
          </w:p>
        </w:tc>
        <w:tc>
          <w:tcPr>
            <w:tcW w:w="1098" w:type="dxa"/>
          </w:tcPr>
          <w:p>
            <w:pPr>
              <w:pStyle w:val="TableParagraph"/>
              <w:spacing w:before="43"/>
              <w:ind w:right="61"/>
              <w:jc w:val="right"/>
              <w:rPr>
                <w:sz w:val="14"/>
              </w:rPr>
            </w:pPr>
            <w:r>
              <w:rPr>
                <w:w w:val="105"/>
                <w:sz w:val="14"/>
              </w:rPr>
              <w:t>(826)</w:t>
            </w:r>
          </w:p>
        </w:tc>
        <w:tc>
          <w:tcPr>
            <w:tcW w:w="1095" w:type="dxa"/>
          </w:tcPr>
          <w:p>
            <w:pPr>
              <w:pStyle w:val="TableParagraph"/>
              <w:spacing w:before="43"/>
              <w:ind w:right="58"/>
              <w:jc w:val="right"/>
              <w:rPr>
                <w:sz w:val="14"/>
              </w:rPr>
            </w:pPr>
            <w:r>
              <w:rPr>
                <w:sz w:val="14"/>
              </w:rPr>
              <w:t>(58.393)</w:t>
            </w:r>
          </w:p>
        </w:tc>
        <w:tc>
          <w:tcPr>
            <w:tcW w:w="1097" w:type="dxa"/>
          </w:tcPr>
          <w:p>
            <w:pPr>
              <w:pStyle w:val="TableParagraph"/>
              <w:spacing w:before="43"/>
              <w:ind w:right="61"/>
              <w:jc w:val="right"/>
              <w:rPr>
                <w:sz w:val="14"/>
              </w:rPr>
            </w:pPr>
            <w:r>
              <w:rPr>
                <w:sz w:val="14"/>
              </w:rPr>
              <w:t>(56.751)</w:t>
            </w:r>
          </w:p>
        </w:tc>
      </w:tr>
      <w:tr>
        <w:trPr>
          <w:trHeight w:val="249" w:hRule="atLeast"/>
        </w:trPr>
        <w:tc>
          <w:tcPr>
            <w:tcW w:w="5591" w:type="dxa"/>
          </w:tcPr>
          <w:p>
            <w:pPr>
              <w:pStyle w:val="TableParagraph"/>
              <w:spacing w:before="43"/>
              <w:ind w:left="72"/>
              <w:rPr>
                <w:sz w:val="14"/>
              </w:rPr>
            </w:pPr>
            <w:r>
              <w:rPr>
                <w:sz w:val="14"/>
              </w:rPr>
              <w:t>Reembolso de Custos Operacionais Contratuais - Investco</w:t>
            </w:r>
          </w:p>
        </w:tc>
        <w:tc>
          <w:tcPr>
            <w:tcW w:w="1097" w:type="dxa"/>
          </w:tcPr>
          <w:p>
            <w:pPr>
              <w:pStyle w:val="TableParagraph"/>
              <w:rPr>
                <w:rFonts w:ascii="Times New Roman"/>
                <w:sz w:val="14"/>
              </w:rPr>
            </w:pPr>
          </w:p>
        </w:tc>
        <w:tc>
          <w:tcPr>
            <w:tcW w:w="1098" w:type="dxa"/>
          </w:tcPr>
          <w:p>
            <w:pPr>
              <w:pStyle w:val="TableParagraph"/>
              <w:rPr>
                <w:rFonts w:ascii="Times New Roman"/>
                <w:sz w:val="14"/>
              </w:rPr>
            </w:pPr>
          </w:p>
        </w:tc>
        <w:tc>
          <w:tcPr>
            <w:tcW w:w="1095" w:type="dxa"/>
          </w:tcPr>
          <w:p>
            <w:pPr>
              <w:pStyle w:val="TableParagraph"/>
              <w:spacing w:before="43"/>
              <w:ind w:right="61"/>
              <w:jc w:val="right"/>
              <w:rPr>
                <w:sz w:val="14"/>
              </w:rPr>
            </w:pPr>
            <w:r>
              <w:rPr>
                <w:sz w:val="14"/>
              </w:rPr>
              <w:t>(36.106)</w:t>
            </w:r>
          </w:p>
        </w:tc>
        <w:tc>
          <w:tcPr>
            <w:tcW w:w="1097" w:type="dxa"/>
          </w:tcPr>
          <w:p>
            <w:pPr>
              <w:pStyle w:val="TableParagraph"/>
              <w:spacing w:before="43"/>
              <w:ind w:right="61"/>
              <w:jc w:val="right"/>
              <w:rPr>
                <w:sz w:val="14"/>
              </w:rPr>
            </w:pPr>
            <w:r>
              <w:rPr>
                <w:sz w:val="14"/>
              </w:rPr>
              <w:t>(27.622)</w:t>
            </w:r>
          </w:p>
        </w:tc>
      </w:tr>
      <w:tr>
        <w:trPr>
          <w:trHeight w:val="246" w:hRule="atLeast"/>
        </w:trPr>
        <w:tc>
          <w:tcPr>
            <w:tcW w:w="5591" w:type="dxa"/>
          </w:tcPr>
          <w:p>
            <w:pPr>
              <w:pStyle w:val="TableParagraph"/>
              <w:spacing w:before="43"/>
              <w:ind w:left="72"/>
              <w:rPr>
                <w:sz w:val="14"/>
              </w:rPr>
            </w:pPr>
            <w:r>
              <w:rPr>
                <w:sz w:val="14"/>
              </w:rPr>
              <w:t>Material</w:t>
            </w:r>
          </w:p>
        </w:tc>
        <w:tc>
          <w:tcPr>
            <w:tcW w:w="1097" w:type="dxa"/>
          </w:tcPr>
          <w:p>
            <w:pPr>
              <w:pStyle w:val="TableParagraph"/>
              <w:spacing w:before="43"/>
              <w:ind w:right="60"/>
              <w:jc w:val="right"/>
              <w:rPr>
                <w:sz w:val="14"/>
              </w:rPr>
            </w:pPr>
            <w:r>
              <w:rPr>
                <w:sz w:val="14"/>
              </w:rPr>
              <w:t>(12.481)</w:t>
            </w:r>
          </w:p>
        </w:tc>
        <w:tc>
          <w:tcPr>
            <w:tcW w:w="1098" w:type="dxa"/>
          </w:tcPr>
          <w:p>
            <w:pPr>
              <w:pStyle w:val="TableParagraph"/>
              <w:spacing w:before="43"/>
              <w:ind w:right="61"/>
              <w:jc w:val="right"/>
              <w:rPr>
                <w:sz w:val="14"/>
              </w:rPr>
            </w:pPr>
            <w:r>
              <w:rPr>
                <w:w w:val="95"/>
                <w:sz w:val="14"/>
              </w:rPr>
              <w:t>(7.219)</w:t>
            </w:r>
          </w:p>
        </w:tc>
        <w:tc>
          <w:tcPr>
            <w:tcW w:w="1095" w:type="dxa"/>
          </w:tcPr>
          <w:p>
            <w:pPr>
              <w:pStyle w:val="TableParagraph"/>
              <w:spacing w:before="43"/>
              <w:ind w:right="61"/>
              <w:jc w:val="right"/>
              <w:rPr>
                <w:sz w:val="14"/>
              </w:rPr>
            </w:pPr>
            <w:r>
              <w:rPr>
                <w:sz w:val="14"/>
              </w:rPr>
              <w:t>(14.507)</w:t>
            </w:r>
          </w:p>
        </w:tc>
        <w:tc>
          <w:tcPr>
            <w:tcW w:w="1097" w:type="dxa"/>
          </w:tcPr>
          <w:p>
            <w:pPr>
              <w:pStyle w:val="TableParagraph"/>
              <w:spacing w:before="43"/>
              <w:ind w:right="61"/>
              <w:jc w:val="right"/>
              <w:rPr>
                <w:sz w:val="14"/>
              </w:rPr>
            </w:pPr>
            <w:r>
              <w:rPr>
                <w:w w:val="95"/>
                <w:sz w:val="14"/>
              </w:rPr>
              <w:t>(9.255)</w:t>
            </w:r>
          </w:p>
        </w:tc>
      </w:tr>
      <w:tr>
        <w:trPr>
          <w:trHeight w:val="249" w:hRule="atLeast"/>
        </w:trPr>
        <w:tc>
          <w:tcPr>
            <w:tcW w:w="5591" w:type="dxa"/>
          </w:tcPr>
          <w:p>
            <w:pPr>
              <w:pStyle w:val="TableParagraph"/>
              <w:spacing w:before="43"/>
              <w:ind w:left="72"/>
              <w:rPr>
                <w:sz w:val="14"/>
              </w:rPr>
            </w:pPr>
            <w:r>
              <w:rPr>
                <w:sz w:val="14"/>
              </w:rPr>
              <w:t>Outras Despesas, líquidas de recuperação de despesas</w:t>
            </w:r>
          </w:p>
        </w:tc>
        <w:tc>
          <w:tcPr>
            <w:tcW w:w="1097" w:type="dxa"/>
          </w:tcPr>
          <w:p>
            <w:pPr>
              <w:pStyle w:val="TableParagraph"/>
              <w:spacing w:before="43"/>
              <w:ind w:right="60"/>
              <w:jc w:val="right"/>
              <w:rPr>
                <w:sz w:val="14"/>
              </w:rPr>
            </w:pPr>
            <w:r>
              <w:rPr>
                <w:sz w:val="14"/>
              </w:rPr>
              <w:t>(477)</w:t>
            </w:r>
          </w:p>
        </w:tc>
        <w:tc>
          <w:tcPr>
            <w:tcW w:w="1098" w:type="dxa"/>
          </w:tcPr>
          <w:p>
            <w:pPr>
              <w:pStyle w:val="TableParagraph"/>
              <w:spacing w:before="43"/>
              <w:ind w:right="61"/>
              <w:jc w:val="right"/>
              <w:rPr>
                <w:sz w:val="14"/>
              </w:rPr>
            </w:pPr>
            <w:r>
              <w:rPr>
                <w:w w:val="105"/>
                <w:sz w:val="14"/>
              </w:rPr>
              <w:t>(495)</w:t>
            </w:r>
          </w:p>
        </w:tc>
        <w:tc>
          <w:tcPr>
            <w:tcW w:w="1095" w:type="dxa"/>
          </w:tcPr>
          <w:p>
            <w:pPr>
              <w:pStyle w:val="TableParagraph"/>
              <w:spacing w:before="43"/>
              <w:ind w:right="61"/>
              <w:jc w:val="right"/>
              <w:rPr>
                <w:sz w:val="14"/>
              </w:rPr>
            </w:pPr>
            <w:r>
              <w:rPr>
                <w:w w:val="95"/>
                <w:sz w:val="14"/>
              </w:rPr>
              <w:t>57.843</w:t>
            </w:r>
          </w:p>
        </w:tc>
        <w:tc>
          <w:tcPr>
            <w:tcW w:w="1097" w:type="dxa"/>
          </w:tcPr>
          <w:p>
            <w:pPr>
              <w:pStyle w:val="TableParagraph"/>
              <w:spacing w:before="43"/>
              <w:ind w:right="61"/>
              <w:jc w:val="right"/>
              <w:rPr>
                <w:sz w:val="14"/>
              </w:rPr>
            </w:pPr>
            <w:r>
              <w:rPr>
                <w:w w:val="95"/>
                <w:sz w:val="14"/>
              </w:rPr>
              <w:t>18.153</w:t>
            </w:r>
          </w:p>
        </w:tc>
      </w:tr>
      <w:tr>
        <w:trPr>
          <w:trHeight w:val="246" w:hRule="atLeast"/>
        </w:trPr>
        <w:tc>
          <w:tcPr>
            <w:tcW w:w="5591" w:type="dxa"/>
          </w:tcPr>
          <w:p>
            <w:pPr>
              <w:pStyle w:val="TableParagraph"/>
              <w:spacing w:before="42"/>
              <w:ind w:left="72"/>
              <w:rPr>
                <w:rFonts w:ascii="Caladea"/>
                <w:b/>
                <w:sz w:val="14"/>
              </w:rPr>
            </w:pPr>
            <w:r>
              <w:rPr>
                <w:rFonts w:ascii="Caladea"/>
                <w:b/>
                <w:sz w:val="14"/>
              </w:rPr>
              <w:t>Total</w:t>
            </w:r>
          </w:p>
        </w:tc>
        <w:tc>
          <w:tcPr>
            <w:tcW w:w="1097" w:type="dxa"/>
          </w:tcPr>
          <w:p>
            <w:pPr>
              <w:pStyle w:val="TableParagraph"/>
              <w:spacing w:before="42"/>
              <w:ind w:right="61"/>
              <w:jc w:val="right"/>
              <w:rPr>
                <w:rFonts w:ascii="Caladea"/>
                <w:b/>
                <w:sz w:val="14"/>
              </w:rPr>
            </w:pPr>
            <w:r>
              <w:rPr>
                <w:rFonts w:ascii="Caladea"/>
                <w:b/>
                <w:sz w:val="14"/>
              </w:rPr>
              <w:t>(69.022)</w:t>
            </w:r>
          </w:p>
        </w:tc>
        <w:tc>
          <w:tcPr>
            <w:tcW w:w="1098" w:type="dxa"/>
          </w:tcPr>
          <w:p>
            <w:pPr>
              <w:pStyle w:val="TableParagraph"/>
              <w:spacing w:before="42"/>
              <w:ind w:right="64"/>
              <w:jc w:val="right"/>
              <w:rPr>
                <w:rFonts w:ascii="Caladea"/>
                <w:b/>
                <w:sz w:val="14"/>
              </w:rPr>
            </w:pPr>
            <w:r>
              <w:rPr>
                <w:rFonts w:ascii="Caladea"/>
                <w:b/>
                <w:sz w:val="14"/>
              </w:rPr>
              <w:t>(72.475)</w:t>
            </w:r>
          </w:p>
        </w:tc>
        <w:tc>
          <w:tcPr>
            <w:tcW w:w="1095" w:type="dxa"/>
          </w:tcPr>
          <w:p>
            <w:pPr>
              <w:pStyle w:val="TableParagraph"/>
              <w:spacing w:before="42"/>
              <w:ind w:right="59"/>
              <w:jc w:val="right"/>
              <w:rPr>
                <w:rFonts w:ascii="Caladea"/>
                <w:b/>
                <w:sz w:val="14"/>
              </w:rPr>
            </w:pPr>
            <w:r>
              <w:rPr>
                <w:rFonts w:ascii="Caladea"/>
                <w:b/>
                <w:sz w:val="14"/>
              </w:rPr>
              <w:t>(614.644)</w:t>
            </w:r>
          </w:p>
        </w:tc>
        <w:tc>
          <w:tcPr>
            <w:tcW w:w="1097" w:type="dxa"/>
          </w:tcPr>
          <w:p>
            <w:pPr>
              <w:pStyle w:val="TableParagraph"/>
              <w:spacing w:before="42"/>
              <w:ind w:right="60"/>
              <w:jc w:val="right"/>
              <w:rPr>
                <w:rFonts w:ascii="Caladea"/>
                <w:b/>
                <w:sz w:val="14"/>
              </w:rPr>
            </w:pPr>
            <w:r>
              <w:rPr>
                <w:rFonts w:ascii="Caladea"/>
                <w:b/>
                <w:sz w:val="14"/>
              </w:rPr>
              <w:t>(675.894)</w:t>
            </w:r>
          </w:p>
        </w:tc>
      </w:tr>
      <w:tr>
        <w:trPr>
          <w:trHeight w:val="249" w:hRule="atLeast"/>
        </w:trPr>
        <w:tc>
          <w:tcPr>
            <w:tcW w:w="5591" w:type="dxa"/>
          </w:tcPr>
          <w:p>
            <w:pPr>
              <w:pStyle w:val="TableParagraph"/>
              <w:spacing w:before="42"/>
              <w:ind w:left="72"/>
              <w:rPr>
                <w:rFonts w:ascii="Caladea" w:hAnsi="Caladea"/>
                <w:b/>
                <w:sz w:val="14"/>
              </w:rPr>
            </w:pPr>
            <w:r>
              <w:rPr>
                <w:rFonts w:ascii="Caladea" w:hAnsi="Caladea"/>
                <w:b/>
                <w:sz w:val="14"/>
              </w:rPr>
              <w:t>Classificação:</w:t>
            </w:r>
          </w:p>
        </w:tc>
        <w:tc>
          <w:tcPr>
            <w:tcW w:w="1097" w:type="dxa"/>
          </w:tcPr>
          <w:p>
            <w:pPr>
              <w:pStyle w:val="TableParagraph"/>
              <w:rPr>
                <w:rFonts w:ascii="Times New Roman"/>
                <w:sz w:val="14"/>
              </w:rPr>
            </w:pPr>
          </w:p>
        </w:tc>
        <w:tc>
          <w:tcPr>
            <w:tcW w:w="1098" w:type="dxa"/>
          </w:tcPr>
          <w:p>
            <w:pPr>
              <w:pStyle w:val="TableParagraph"/>
              <w:rPr>
                <w:rFonts w:ascii="Times New Roman"/>
                <w:sz w:val="14"/>
              </w:rPr>
            </w:pPr>
          </w:p>
        </w:tc>
        <w:tc>
          <w:tcPr>
            <w:tcW w:w="1095" w:type="dxa"/>
          </w:tcPr>
          <w:p>
            <w:pPr>
              <w:pStyle w:val="TableParagraph"/>
              <w:rPr>
                <w:rFonts w:ascii="Times New Roman"/>
                <w:sz w:val="14"/>
              </w:rPr>
            </w:pPr>
          </w:p>
        </w:tc>
        <w:tc>
          <w:tcPr>
            <w:tcW w:w="1097" w:type="dxa"/>
          </w:tcPr>
          <w:p>
            <w:pPr>
              <w:pStyle w:val="TableParagraph"/>
              <w:rPr>
                <w:rFonts w:ascii="Times New Roman"/>
                <w:sz w:val="14"/>
              </w:rPr>
            </w:pPr>
          </w:p>
        </w:tc>
      </w:tr>
      <w:tr>
        <w:trPr>
          <w:trHeight w:val="247" w:hRule="atLeast"/>
        </w:trPr>
        <w:tc>
          <w:tcPr>
            <w:tcW w:w="5591" w:type="dxa"/>
          </w:tcPr>
          <w:p>
            <w:pPr>
              <w:pStyle w:val="TableParagraph"/>
              <w:spacing w:before="42"/>
              <w:ind w:left="72"/>
              <w:rPr>
                <w:rFonts w:ascii="Caladea" w:hAnsi="Caladea"/>
                <w:b/>
                <w:sz w:val="14"/>
              </w:rPr>
            </w:pPr>
            <w:r>
              <w:rPr>
                <w:rFonts w:ascii="Caladea" w:hAnsi="Caladea"/>
                <w:b/>
                <w:sz w:val="14"/>
              </w:rPr>
              <w:t>Custo da Operação</w:t>
            </w:r>
          </w:p>
        </w:tc>
        <w:tc>
          <w:tcPr>
            <w:tcW w:w="1097" w:type="dxa"/>
          </w:tcPr>
          <w:p>
            <w:pPr>
              <w:pStyle w:val="TableParagraph"/>
              <w:rPr>
                <w:rFonts w:ascii="Times New Roman"/>
                <w:sz w:val="14"/>
              </w:rPr>
            </w:pPr>
          </w:p>
        </w:tc>
        <w:tc>
          <w:tcPr>
            <w:tcW w:w="1098" w:type="dxa"/>
          </w:tcPr>
          <w:p>
            <w:pPr>
              <w:pStyle w:val="TableParagraph"/>
              <w:rPr>
                <w:rFonts w:ascii="Times New Roman"/>
                <w:sz w:val="14"/>
              </w:rPr>
            </w:pPr>
          </w:p>
        </w:tc>
        <w:tc>
          <w:tcPr>
            <w:tcW w:w="1095" w:type="dxa"/>
          </w:tcPr>
          <w:p>
            <w:pPr>
              <w:pStyle w:val="TableParagraph"/>
              <w:spacing w:before="42"/>
              <w:ind w:right="60"/>
              <w:jc w:val="right"/>
              <w:rPr>
                <w:rFonts w:ascii="Caladea"/>
                <w:b/>
                <w:sz w:val="14"/>
              </w:rPr>
            </w:pPr>
            <w:r>
              <w:rPr>
                <w:rFonts w:ascii="Caladea"/>
                <w:b/>
                <w:sz w:val="14"/>
              </w:rPr>
              <w:t>(283.230)</w:t>
            </w:r>
          </w:p>
        </w:tc>
        <w:tc>
          <w:tcPr>
            <w:tcW w:w="1097" w:type="dxa"/>
          </w:tcPr>
          <w:p>
            <w:pPr>
              <w:pStyle w:val="TableParagraph"/>
              <w:spacing w:before="42"/>
              <w:ind w:right="60"/>
              <w:jc w:val="right"/>
              <w:rPr>
                <w:rFonts w:ascii="Caladea"/>
                <w:b/>
                <w:sz w:val="14"/>
              </w:rPr>
            </w:pPr>
            <w:r>
              <w:rPr>
                <w:rFonts w:ascii="Caladea"/>
                <w:b/>
                <w:sz w:val="14"/>
              </w:rPr>
              <w:t>(304.649)</w:t>
            </w:r>
          </w:p>
        </w:tc>
      </w:tr>
      <w:tr>
        <w:trPr>
          <w:trHeight w:val="249" w:hRule="atLeast"/>
        </w:trPr>
        <w:tc>
          <w:tcPr>
            <w:tcW w:w="5591" w:type="dxa"/>
          </w:tcPr>
          <w:p>
            <w:pPr>
              <w:pStyle w:val="TableParagraph"/>
              <w:spacing w:before="42"/>
              <w:ind w:left="72"/>
              <w:rPr>
                <w:rFonts w:ascii="Caladea" w:hAnsi="Caladea"/>
                <w:b/>
                <w:sz w:val="14"/>
              </w:rPr>
            </w:pPr>
            <w:r>
              <w:rPr>
                <w:rFonts w:ascii="Caladea" w:hAnsi="Caladea"/>
                <w:b/>
                <w:sz w:val="14"/>
              </w:rPr>
              <w:t>Custo dos Serviços Prestados a Terceiros</w:t>
            </w:r>
          </w:p>
        </w:tc>
        <w:tc>
          <w:tcPr>
            <w:tcW w:w="1097" w:type="dxa"/>
          </w:tcPr>
          <w:p>
            <w:pPr>
              <w:pStyle w:val="TableParagraph"/>
              <w:spacing w:before="42"/>
              <w:ind w:right="61"/>
              <w:jc w:val="right"/>
              <w:rPr>
                <w:rFonts w:ascii="Caladea"/>
                <w:b/>
                <w:sz w:val="14"/>
              </w:rPr>
            </w:pPr>
            <w:r>
              <w:rPr>
                <w:rFonts w:ascii="Caladea"/>
                <w:b/>
                <w:sz w:val="14"/>
              </w:rPr>
              <w:t>(48.231)</w:t>
            </w:r>
          </w:p>
        </w:tc>
        <w:tc>
          <w:tcPr>
            <w:tcW w:w="1098" w:type="dxa"/>
          </w:tcPr>
          <w:p>
            <w:pPr>
              <w:pStyle w:val="TableParagraph"/>
              <w:spacing w:before="42"/>
              <w:ind w:right="62"/>
              <w:jc w:val="right"/>
              <w:rPr>
                <w:rFonts w:ascii="Caladea"/>
                <w:b/>
                <w:sz w:val="14"/>
              </w:rPr>
            </w:pPr>
            <w:r>
              <w:rPr>
                <w:rFonts w:ascii="Caladea"/>
                <w:b/>
                <w:sz w:val="14"/>
              </w:rPr>
              <w:t>(55.793)</w:t>
            </w:r>
          </w:p>
        </w:tc>
        <w:tc>
          <w:tcPr>
            <w:tcW w:w="1095" w:type="dxa"/>
          </w:tcPr>
          <w:p>
            <w:pPr>
              <w:pStyle w:val="TableParagraph"/>
              <w:spacing w:before="42"/>
              <w:ind w:right="60"/>
              <w:jc w:val="right"/>
              <w:rPr>
                <w:rFonts w:ascii="Caladea"/>
                <w:b/>
                <w:sz w:val="14"/>
              </w:rPr>
            </w:pPr>
            <w:r>
              <w:rPr>
                <w:rFonts w:ascii="Caladea"/>
                <w:b/>
                <w:sz w:val="14"/>
              </w:rPr>
              <w:t>(51.749)</w:t>
            </w:r>
          </w:p>
        </w:tc>
        <w:tc>
          <w:tcPr>
            <w:tcW w:w="1097" w:type="dxa"/>
          </w:tcPr>
          <w:p>
            <w:pPr>
              <w:pStyle w:val="TableParagraph"/>
              <w:spacing w:before="42"/>
              <w:ind w:right="62"/>
              <w:jc w:val="right"/>
              <w:rPr>
                <w:rFonts w:ascii="Caladea"/>
                <w:b/>
                <w:sz w:val="14"/>
              </w:rPr>
            </w:pPr>
            <w:r>
              <w:rPr>
                <w:rFonts w:ascii="Caladea"/>
                <w:b/>
                <w:sz w:val="14"/>
              </w:rPr>
              <w:t>(64.017)</w:t>
            </w:r>
          </w:p>
        </w:tc>
      </w:tr>
      <w:tr>
        <w:trPr>
          <w:trHeight w:val="246" w:hRule="atLeast"/>
        </w:trPr>
        <w:tc>
          <w:tcPr>
            <w:tcW w:w="5591" w:type="dxa"/>
          </w:tcPr>
          <w:p>
            <w:pPr>
              <w:pStyle w:val="TableParagraph"/>
              <w:spacing w:before="42"/>
              <w:ind w:left="72"/>
              <w:rPr>
                <w:rFonts w:ascii="Caladea"/>
                <w:b/>
                <w:sz w:val="14"/>
              </w:rPr>
            </w:pPr>
            <w:r>
              <w:rPr>
                <w:rFonts w:ascii="Caladea"/>
                <w:b/>
                <w:sz w:val="14"/>
              </w:rPr>
              <w:t>Despesas com Vendas</w:t>
            </w:r>
          </w:p>
        </w:tc>
        <w:tc>
          <w:tcPr>
            <w:tcW w:w="1097" w:type="dxa"/>
          </w:tcPr>
          <w:p>
            <w:pPr>
              <w:pStyle w:val="TableParagraph"/>
              <w:spacing w:before="42"/>
              <w:ind w:right="59"/>
              <w:jc w:val="right"/>
              <w:rPr>
                <w:rFonts w:ascii="Caladea"/>
                <w:b/>
                <w:sz w:val="14"/>
              </w:rPr>
            </w:pPr>
            <w:r>
              <w:rPr>
                <w:rFonts w:ascii="Caladea"/>
                <w:b/>
                <w:sz w:val="14"/>
              </w:rPr>
              <w:t>(2.805)</w:t>
            </w:r>
          </w:p>
        </w:tc>
        <w:tc>
          <w:tcPr>
            <w:tcW w:w="1098" w:type="dxa"/>
          </w:tcPr>
          <w:p>
            <w:pPr>
              <w:pStyle w:val="TableParagraph"/>
              <w:spacing w:before="42"/>
              <w:ind w:right="58"/>
              <w:jc w:val="right"/>
              <w:rPr>
                <w:rFonts w:ascii="Caladea"/>
                <w:b/>
                <w:sz w:val="14"/>
              </w:rPr>
            </w:pPr>
            <w:r>
              <w:rPr>
                <w:rFonts w:ascii="Caladea"/>
                <w:b/>
                <w:w w:val="95"/>
                <w:sz w:val="14"/>
              </w:rPr>
              <w:t>284</w:t>
            </w:r>
          </w:p>
        </w:tc>
        <w:tc>
          <w:tcPr>
            <w:tcW w:w="1095" w:type="dxa"/>
          </w:tcPr>
          <w:p>
            <w:pPr>
              <w:pStyle w:val="TableParagraph"/>
              <w:spacing w:before="42"/>
              <w:ind w:right="60"/>
              <w:jc w:val="right"/>
              <w:rPr>
                <w:rFonts w:ascii="Caladea"/>
                <w:b/>
                <w:sz w:val="14"/>
              </w:rPr>
            </w:pPr>
            <w:r>
              <w:rPr>
                <w:rFonts w:ascii="Caladea"/>
                <w:b/>
                <w:sz w:val="14"/>
              </w:rPr>
              <w:t>(119.021)</w:t>
            </w:r>
          </w:p>
        </w:tc>
        <w:tc>
          <w:tcPr>
            <w:tcW w:w="1097" w:type="dxa"/>
          </w:tcPr>
          <w:p>
            <w:pPr>
              <w:pStyle w:val="TableParagraph"/>
              <w:spacing w:before="42"/>
              <w:ind w:right="60"/>
              <w:jc w:val="right"/>
              <w:rPr>
                <w:rFonts w:ascii="Caladea"/>
                <w:b/>
                <w:sz w:val="14"/>
              </w:rPr>
            </w:pPr>
            <w:r>
              <w:rPr>
                <w:rFonts w:ascii="Caladea"/>
                <w:b/>
                <w:sz w:val="14"/>
              </w:rPr>
              <w:t>(137.758)</w:t>
            </w:r>
          </w:p>
        </w:tc>
      </w:tr>
      <w:tr>
        <w:trPr>
          <w:trHeight w:val="249" w:hRule="atLeast"/>
        </w:trPr>
        <w:tc>
          <w:tcPr>
            <w:tcW w:w="5591" w:type="dxa"/>
          </w:tcPr>
          <w:p>
            <w:pPr>
              <w:pStyle w:val="TableParagraph"/>
              <w:spacing w:before="42"/>
              <w:ind w:left="72"/>
              <w:rPr>
                <w:rFonts w:ascii="Caladea"/>
                <w:b/>
                <w:sz w:val="14"/>
              </w:rPr>
            </w:pPr>
            <w:r>
              <w:rPr>
                <w:rFonts w:ascii="Caladea"/>
                <w:b/>
                <w:sz w:val="14"/>
              </w:rPr>
              <w:t>Despesas Gerais e Administrativas</w:t>
            </w:r>
          </w:p>
        </w:tc>
        <w:tc>
          <w:tcPr>
            <w:tcW w:w="1097" w:type="dxa"/>
          </w:tcPr>
          <w:p>
            <w:pPr>
              <w:pStyle w:val="TableParagraph"/>
              <w:spacing w:before="42"/>
              <w:ind w:right="61"/>
              <w:jc w:val="right"/>
              <w:rPr>
                <w:rFonts w:ascii="Caladea"/>
                <w:b/>
                <w:sz w:val="14"/>
              </w:rPr>
            </w:pPr>
            <w:r>
              <w:rPr>
                <w:rFonts w:ascii="Caladea"/>
                <w:b/>
                <w:sz w:val="14"/>
              </w:rPr>
              <w:t>(17.986)</w:t>
            </w:r>
          </w:p>
        </w:tc>
        <w:tc>
          <w:tcPr>
            <w:tcW w:w="1098" w:type="dxa"/>
          </w:tcPr>
          <w:p>
            <w:pPr>
              <w:pStyle w:val="TableParagraph"/>
              <w:spacing w:before="42"/>
              <w:ind w:right="64"/>
              <w:jc w:val="right"/>
              <w:rPr>
                <w:rFonts w:ascii="Caladea"/>
                <w:b/>
                <w:sz w:val="14"/>
              </w:rPr>
            </w:pPr>
            <w:r>
              <w:rPr>
                <w:rFonts w:ascii="Caladea"/>
                <w:b/>
                <w:sz w:val="14"/>
              </w:rPr>
              <w:t>(16.967)</w:t>
            </w:r>
          </w:p>
        </w:tc>
        <w:tc>
          <w:tcPr>
            <w:tcW w:w="1095" w:type="dxa"/>
          </w:tcPr>
          <w:p>
            <w:pPr>
              <w:pStyle w:val="TableParagraph"/>
              <w:spacing w:before="42"/>
              <w:ind w:right="59"/>
              <w:jc w:val="right"/>
              <w:rPr>
                <w:rFonts w:ascii="Caladea"/>
                <w:b/>
                <w:sz w:val="14"/>
              </w:rPr>
            </w:pPr>
            <w:r>
              <w:rPr>
                <w:rFonts w:ascii="Caladea"/>
                <w:b/>
                <w:sz w:val="14"/>
              </w:rPr>
              <w:t>(160.643)</w:t>
            </w:r>
          </w:p>
        </w:tc>
        <w:tc>
          <w:tcPr>
            <w:tcW w:w="1097" w:type="dxa"/>
          </w:tcPr>
          <w:p>
            <w:pPr>
              <w:pStyle w:val="TableParagraph"/>
              <w:spacing w:before="42"/>
              <w:ind w:right="62"/>
              <w:jc w:val="right"/>
              <w:rPr>
                <w:rFonts w:ascii="Caladea"/>
                <w:b/>
                <w:sz w:val="14"/>
              </w:rPr>
            </w:pPr>
            <w:r>
              <w:rPr>
                <w:rFonts w:ascii="Caladea"/>
                <w:b/>
                <w:sz w:val="14"/>
              </w:rPr>
              <w:t>(169.470)</w:t>
            </w:r>
          </w:p>
        </w:tc>
      </w:tr>
    </w:tbl>
    <w:p>
      <w:pPr>
        <w:pStyle w:val="BodyText"/>
        <w:spacing w:before="3"/>
        <w:rPr>
          <w:rFonts w:ascii="Caladea"/>
          <w:b/>
          <w:sz w:val="30"/>
        </w:rPr>
      </w:pPr>
    </w:p>
    <w:p>
      <w:pPr>
        <w:pStyle w:val="ListParagraph"/>
        <w:numPr>
          <w:ilvl w:val="0"/>
          <w:numId w:val="39"/>
        </w:numPr>
        <w:tabs>
          <w:tab w:pos="457" w:val="left" w:leader="none"/>
        </w:tabs>
        <w:spacing w:line="278" w:lineRule="auto" w:before="0" w:after="0"/>
        <w:ind w:left="456" w:right="416" w:hanging="284"/>
        <w:jc w:val="both"/>
        <w:rPr>
          <w:sz w:val="20"/>
        </w:rPr>
      </w:pPr>
      <w:r>
        <w:rPr>
          <w:sz w:val="20"/>
        </w:rPr>
        <w:t>A Companhia contabiliza receitas e custos relativos a serviços de construção ou melhoria da infraestrutura utilizada</w:t>
      </w:r>
      <w:r>
        <w:rPr>
          <w:spacing w:val="-37"/>
          <w:sz w:val="20"/>
        </w:rPr>
        <w:t> </w:t>
      </w:r>
      <w:r>
        <w:rPr>
          <w:sz w:val="20"/>
        </w:rPr>
        <w:t>na</w:t>
      </w:r>
      <w:r>
        <w:rPr>
          <w:spacing w:val="-37"/>
          <w:sz w:val="20"/>
        </w:rPr>
        <w:t> </w:t>
      </w:r>
      <w:r>
        <w:rPr>
          <w:sz w:val="20"/>
        </w:rPr>
        <w:t>prestação</w:t>
      </w:r>
      <w:r>
        <w:rPr>
          <w:spacing w:val="-37"/>
          <w:sz w:val="20"/>
        </w:rPr>
        <w:t> </w:t>
      </w:r>
      <w:r>
        <w:rPr>
          <w:sz w:val="20"/>
        </w:rPr>
        <w:t>dos</w:t>
      </w:r>
      <w:r>
        <w:rPr>
          <w:spacing w:val="-38"/>
          <w:sz w:val="20"/>
        </w:rPr>
        <w:t> </w:t>
      </w:r>
      <w:r>
        <w:rPr>
          <w:sz w:val="20"/>
        </w:rPr>
        <w:t>serviços</w:t>
      </w:r>
      <w:r>
        <w:rPr>
          <w:spacing w:val="-35"/>
          <w:sz w:val="20"/>
        </w:rPr>
        <w:t> </w:t>
      </w:r>
      <w:r>
        <w:rPr>
          <w:sz w:val="20"/>
        </w:rPr>
        <w:t>de</w:t>
      </w:r>
      <w:r>
        <w:rPr>
          <w:spacing w:val="-37"/>
          <w:sz w:val="20"/>
        </w:rPr>
        <w:t> </w:t>
      </w:r>
      <w:r>
        <w:rPr>
          <w:sz w:val="20"/>
        </w:rPr>
        <w:t>distribuição</w:t>
      </w:r>
      <w:r>
        <w:rPr>
          <w:spacing w:val="-38"/>
          <w:sz w:val="20"/>
        </w:rPr>
        <w:t> </w:t>
      </w:r>
      <w:r>
        <w:rPr>
          <w:sz w:val="20"/>
        </w:rPr>
        <w:t>de</w:t>
      </w:r>
      <w:r>
        <w:rPr>
          <w:spacing w:val="-36"/>
          <w:sz w:val="20"/>
        </w:rPr>
        <w:t> </w:t>
      </w:r>
      <w:r>
        <w:rPr>
          <w:sz w:val="20"/>
        </w:rPr>
        <w:t>energia</w:t>
      </w:r>
      <w:r>
        <w:rPr>
          <w:spacing w:val="-36"/>
          <w:sz w:val="20"/>
        </w:rPr>
        <w:t> </w:t>
      </w:r>
      <w:r>
        <w:rPr>
          <w:sz w:val="20"/>
        </w:rPr>
        <w:t>elétrica.</w:t>
      </w:r>
      <w:r>
        <w:rPr>
          <w:spacing w:val="-37"/>
          <w:sz w:val="20"/>
        </w:rPr>
        <w:t> </w:t>
      </w:r>
      <w:r>
        <w:rPr>
          <w:sz w:val="20"/>
        </w:rPr>
        <w:t>A</w:t>
      </w:r>
      <w:r>
        <w:rPr>
          <w:spacing w:val="-36"/>
          <w:sz w:val="20"/>
        </w:rPr>
        <w:t> </w:t>
      </w:r>
      <w:r>
        <w:rPr>
          <w:sz w:val="20"/>
        </w:rPr>
        <w:t>margem</w:t>
      </w:r>
      <w:r>
        <w:rPr>
          <w:spacing w:val="-37"/>
          <w:sz w:val="20"/>
        </w:rPr>
        <w:t> </w:t>
      </w:r>
      <w:r>
        <w:rPr>
          <w:sz w:val="20"/>
        </w:rPr>
        <w:t>de</w:t>
      </w:r>
      <w:r>
        <w:rPr>
          <w:spacing w:val="-36"/>
          <w:sz w:val="20"/>
        </w:rPr>
        <w:t> </w:t>
      </w:r>
      <w:r>
        <w:rPr>
          <w:sz w:val="20"/>
        </w:rPr>
        <w:t>construção</w:t>
      </w:r>
      <w:r>
        <w:rPr>
          <w:spacing w:val="-38"/>
          <w:sz w:val="20"/>
        </w:rPr>
        <w:t> </w:t>
      </w:r>
      <w:r>
        <w:rPr>
          <w:sz w:val="20"/>
        </w:rPr>
        <w:t>adotada</w:t>
      </w:r>
      <w:r>
        <w:rPr>
          <w:spacing w:val="-35"/>
          <w:sz w:val="20"/>
        </w:rPr>
        <w:t> </w:t>
      </w:r>
      <w:r>
        <w:rPr>
          <w:sz w:val="20"/>
        </w:rPr>
        <w:t>é</w:t>
      </w:r>
      <w:r>
        <w:rPr>
          <w:spacing w:val="-37"/>
          <w:sz w:val="20"/>
        </w:rPr>
        <w:t> </w:t>
      </w:r>
      <w:r>
        <w:rPr>
          <w:sz w:val="20"/>
        </w:rPr>
        <w:t>igual</w:t>
      </w:r>
      <w:r>
        <w:rPr>
          <w:spacing w:val="-37"/>
          <w:sz w:val="20"/>
        </w:rPr>
        <w:t> </w:t>
      </w:r>
      <w:r>
        <w:rPr>
          <w:sz w:val="20"/>
        </w:rPr>
        <w:t>a zero, considerando</w:t>
      </w:r>
      <w:r>
        <w:rPr>
          <w:spacing w:val="-33"/>
          <w:sz w:val="20"/>
        </w:rPr>
        <w:t> </w:t>
      </w:r>
      <w:r>
        <w:rPr>
          <w:sz w:val="20"/>
        </w:rPr>
        <w:t>que:</w:t>
      </w:r>
    </w:p>
    <w:p>
      <w:pPr>
        <w:pStyle w:val="ListParagraph"/>
        <w:numPr>
          <w:ilvl w:val="1"/>
          <w:numId w:val="39"/>
        </w:numPr>
        <w:tabs>
          <w:tab w:pos="1166" w:val="left" w:leader="none"/>
          <w:tab w:pos="1167" w:val="left" w:leader="none"/>
        </w:tabs>
        <w:spacing w:line="240" w:lineRule="auto" w:before="119" w:after="0"/>
        <w:ind w:left="1166" w:right="0" w:hanging="428"/>
        <w:jc w:val="left"/>
        <w:rPr>
          <w:sz w:val="20"/>
        </w:rPr>
      </w:pPr>
      <w:r>
        <w:rPr>
          <w:sz w:val="20"/>
        </w:rPr>
        <w:t>A</w:t>
      </w:r>
      <w:r>
        <w:rPr>
          <w:spacing w:val="-19"/>
          <w:sz w:val="20"/>
        </w:rPr>
        <w:t> </w:t>
      </w:r>
      <w:r>
        <w:rPr>
          <w:sz w:val="20"/>
        </w:rPr>
        <w:t>atividade</w:t>
      </w:r>
      <w:r>
        <w:rPr>
          <w:spacing w:val="-19"/>
          <w:sz w:val="20"/>
        </w:rPr>
        <w:t> </w:t>
      </w:r>
      <w:r>
        <w:rPr>
          <w:sz w:val="20"/>
        </w:rPr>
        <w:t>fim</w:t>
      </w:r>
      <w:r>
        <w:rPr>
          <w:spacing w:val="-18"/>
          <w:sz w:val="20"/>
        </w:rPr>
        <w:t> </w:t>
      </w:r>
      <w:r>
        <w:rPr>
          <w:sz w:val="20"/>
        </w:rPr>
        <w:t>é</w:t>
      </w:r>
      <w:r>
        <w:rPr>
          <w:spacing w:val="-18"/>
          <w:sz w:val="20"/>
        </w:rPr>
        <w:t> </w:t>
      </w:r>
      <w:r>
        <w:rPr>
          <w:sz w:val="20"/>
        </w:rPr>
        <w:t>a</w:t>
      </w:r>
      <w:r>
        <w:rPr>
          <w:spacing w:val="-19"/>
          <w:sz w:val="20"/>
        </w:rPr>
        <w:t> </w:t>
      </w:r>
      <w:r>
        <w:rPr>
          <w:sz w:val="20"/>
        </w:rPr>
        <w:t>distribuição</w:t>
      </w:r>
      <w:r>
        <w:rPr>
          <w:spacing w:val="-20"/>
          <w:sz w:val="20"/>
        </w:rPr>
        <w:t> </w:t>
      </w:r>
      <w:r>
        <w:rPr>
          <w:sz w:val="20"/>
        </w:rPr>
        <w:t>de</w:t>
      </w:r>
      <w:r>
        <w:rPr>
          <w:spacing w:val="-19"/>
          <w:sz w:val="20"/>
        </w:rPr>
        <w:t> </w:t>
      </w:r>
      <w:r>
        <w:rPr>
          <w:sz w:val="20"/>
        </w:rPr>
        <w:t>energia</w:t>
      </w:r>
      <w:r>
        <w:rPr>
          <w:spacing w:val="-16"/>
          <w:sz w:val="20"/>
        </w:rPr>
        <w:t> </w:t>
      </w:r>
      <w:r>
        <w:rPr>
          <w:sz w:val="20"/>
        </w:rPr>
        <w:t>elétrica;</w:t>
      </w:r>
    </w:p>
    <w:p>
      <w:pPr>
        <w:pStyle w:val="ListParagraph"/>
        <w:numPr>
          <w:ilvl w:val="1"/>
          <w:numId w:val="39"/>
        </w:numPr>
        <w:tabs>
          <w:tab w:pos="1166" w:val="left" w:leader="none"/>
          <w:tab w:pos="1167" w:val="left" w:leader="none"/>
        </w:tabs>
        <w:spacing w:line="276" w:lineRule="auto" w:before="35" w:after="0"/>
        <w:ind w:left="1166" w:right="420" w:hanging="428"/>
        <w:jc w:val="left"/>
        <w:rPr>
          <w:sz w:val="20"/>
        </w:rPr>
      </w:pPr>
      <w:r>
        <w:rPr>
          <w:sz w:val="20"/>
        </w:rPr>
        <w:t>Toda receita de construção está relacionada com a construção de infraestrutura para o alcance da atividade</w:t>
      </w:r>
      <w:r>
        <w:rPr>
          <w:spacing w:val="-21"/>
          <w:sz w:val="20"/>
        </w:rPr>
        <w:t> </w:t>
      </w:r>
      <w:r>
        <w:rPr>
          <w:sz w:val="20"/>
        </w:rPr>
        <w:t>fim,</w:t>
      </w:r>
      <w:r>
        <w:rPr>
          <w:spacing w:val="-19"/>
          <w:sz w:val="20"/>
        </w:rPr>
        <w:t> </w:t>
      </w:r>
      <w:r>
        <w:rPr>
          <w:sz w:val="20"/>
        </w:rPr>
        <w:t>ou</w:t>
      </w:r>
      <w:r>
        <w:rPr>
          <w:spacing w:val="-20"/>
          <w:sz w:val="20"/>
        </w:rPr>
        <w:t> </w:t>
      </w:r>
      <w:r>
        <w:rPr>
          <w:sz w:val="20"/>
        </w:rPr>
        <w:t>seja,</w:t>
      </w:r>
      <w:r>
        <w:rPr>
          <w:spacing w:val="-22"/>
          <w:sz w:val="20"/>
        </w:rPr>
        <w:t> </w:t>
      </w:r>
      <w:r>
        <w:rPr>
          <w:sz w:val="20"/>
        </w:rPr>
        <w:t>a</w:t>
      </w:r>
      <w:r>
        <w:rPr>
          <w:spacing w:val="-20"/>
          <w:sz w:val="20"/>
        </w:rPr>
        <w:t> </w:t>
      </w:r>
      <w:r>
        <w:rPr>
          <w:sz w:val="20"/>
        </w:rPr>
        <w:t>distribuição</w:t>
      </w:r>
      <w:r>
        <w:rPr>
          <w:spacing w:val="-21"/>
          <w:sz w:val="20"/>
        </w:rPr>
        <w:t> </w:t>
      </w:r>
      <w:r>
        <w:rPr>
          <w:sz w:val="20"/>
        </w:rPr>
        <w:t>de</w:t>
      </w:r>
      <w:r>
        <w:rPr>
          <w:spacing w:val="-20"/>
          <w:sz w:val="20"/>
        </w:rPr>
        <w:t> </w:t>
      </w:r>
      <w:r>
        <w:rPr>
          <w:sz w:val="20"/>
        </w:rPr>
        <w:t>energia</w:t>
      </w:r>
      <w:r>
        <w:rPr>
          <w:spacing w:val="-18"/>
          <w:sz w:val="20"/>
        </w:rPr>
        <w:t> </w:t>
      </w:r>
      <w:r>
        <w:rPr>
          <w:sz w:val="20"/>
        </w:rPr>
        <w:t>elétrica;</w:t>
      </w:r>
      <w:r>
        <w:rPr>
          <w:spacing w:val="-20"/>
          <w:sz w:val="20"/>
        </w:rPr>
        <w:t> </w:t>
      </w:r>
      <w:r>
        <w:rPr>
          <w:sz w:val="20"/>
        </w:rPr>
        <w:t>e</w:t>
      </w:r>
    </w:p>
    <w:p>
      <w:pPr>
        <w:pStyle w:val="ListParagraph"/>
        <w:numPr>
          <w:ilvl w:val="1"/>
          <w:numId w:val="39"/>
        </w:numPr>
        <w:tabs>
          <w:tab w:pos="1166" w:val="left" w:leader="none"/>
          <w:tab w:pos="1167" w:val="left" w:leader="none"/>
        </w:tabs>
        <w:spacing w:line="240" w:lineRule="auto" w:before="0" w:after="0"/>
        <w:ind w:left="1166" w:right="0" w:hanging="428"/>
        <w:jc w:val="left"/>
        <w:rPr>
          <w:sz w:val="20"/>
        </w:rPr>
      </w:pPr>
      <w:r>
        <w:rPr>
          <w:sz w:val="20"/>
        </w:rPr>
        <w:t>A</w:t>
      </w:r>
      <w:r>
        <w:rPr>
          <w:spacing w:val="-19"/>
          <w:sz w:val="20"/>
        </w:rPr>
        <w:t> </w:t>
      </w:r>
      <w:r>
        <w:rPr>
          <w:sz w:val="20"/>
        </w:rPr>
        <w:t>Companhia</w:t>
      </w:r>
      <w:r>
        <w:rPr>
          <w:spacing w:val="-16"/>
          <w:sz w:val="20"/>
        </w:rPr>
        <w:t> </w:t>
      </w:r>
      <w:r>
        <w:rPr>
          <w:sz w:val="20"/>
        </w:rPr>
        <w:t>terceiriza</w:t>
      </w:r>
      <w:r>
        <w:rPr>
          <w:spacing w:val="-18"/>
          <w:sz w:val="20"/>
        </w:rPr>
        <w:t> </w:t>
      </w:r>
      <w:r>
        <w:rPr>
          <w:sz w:val="20"/>
        </w:rPr>
        <w:t>a</w:t>
      </w:r>
      <w:r>
        <w:rPr>
          <w:spacing w:val="-19"/>
          <w:sz w:val="20"/>
        </w:rPr>
        <w:t> </w:t>
      </w:r>
      <w:r>
        <w:rPr>
          <w:sz w:val="20"/>
        </w:rPr>
        <w:t>construção</w:t>
      </w:r>
      <w:r>
        <w:rPr>
          <w:spacing w:val="-20"/>
          <w:sz w:val="20"/>
        </w:rPr>
        <w:t> </w:t>
      </w:r>
      <w:r>
        <w:rPr>
          <w:sz w:val="20"/>
        </w:rPr>
        <w:t>da</w:t>
      </w:r>
      <w:r>
        <w:rPr>
          <w:spacing w:val="-19"/>
          <w:sz w:val="20"/>
        </w:rPr>
        <w:t> </w:t>
      </w:r>
      <w:r>
        <w:rPr>
          <w:sz w:val="20"/>
        </w:rPr>
        <w:t>infraestrutura.</w:t>
      </w:r>
    </w:p>
    <w:p>
      <w:pPr>
        <w:pStyle w:val="BodyText"/>
        <w:spacing w:before="1"/>
        <w:rPr>
          <w:sz w:val="24"/>
        </w:rPr>
      </w:pPr>
    </w:p>
    <w:p>
      <w:pPr>
        <w:pStyle w:val="BodyText"/>
        <w:spacing w:line="242" w:lineRule="auto"/>
        <w:ind w:left="172"/>
      </w:pPr>
      <w:r>
        <w:rPr>
          <w:w w:val="114"/>
        </w:rPr>
        <w:t>M</w:t>
      </w:r>
      <w:r>
        <w:rPr>
          <w:w w:val="89"/>
        </w:rPr>
        <w:t>e</w:t>
      </w:r>
      <w:r>
        <w:rPr>
          <w:w w:val="101"/>
        </w:rPr>
        <w:t>n</w:t>
      </w:r>
      <w:r>
        <w:rPr>
          <w:w w:val="105"/>
        </w:rPr>
        <w:t>s</w:t>
      </w:r>
      <w:r>
        <w:rPr>
          <w:w w:val="92"/>
        </w:rPr>
        <w:t>a</w:t>
      </w:r>
      <w:r>
        <w:rPr>
          <w:w w:val="91"/>
        </w:rPr>
        <w:t>l</w:t>
      </w:r>
      <w:r>
        <w:rPr>
          <w:w w:val="95"/>
        </w:rPr>
        <w:t>me</w:t>
      </w:r>
      <w:r>
        <w:rPr>
          <w:w w:val="101"/>
        </w:rPr>
        <w:t>n</w:t>
      </w:r>
      <w:r>
        <w:rPr>
          <w:w w:val="85"/>
        </w:rPr>
        <w:t>t</w:t>
      </w:r>
      <w:r>
        <w:rPr>
          <w:w w:val="89"/>
        </w:rPr>
        <w:t>e</w:t>
      </w:r>
      <w:r>
        <w:rPr>
          <w:w w:val="55"/>
        </w:rPr>
        <w:t>,</w:t>
      </w:r>
      <w:r>
        <w:rPr/>
        <w:t> </w:t>
      </w:r>
      <w:r>
        <w:rPr>
          <w:w w:val="92"/>
        </w:rPr>
        <w:t>a</w:t>
      </w:r>
      <w:r>
        <w:rPr/>
        <w:t> </w:t>
      </w:r>
      <w:r>
        <w:rPr>
          <w:w w:val="91"/>
        </w:rPr>
        <w:t>tota</w:t>
      </w:r>
      <w:r>
        <w:rPr>
          <w:w w:val="91"/>
        </w:rPr>
        <w:t>l</w:t>
      </w:r>
      <w:r>
        <w:rPr>
          <w:w w:val="96"/>
        </w:rPr>
        <w:t>ida</w:t>
      </w:r>
      <w:r>
        <w:rPr>
          <w:w w:val="94"/>
        </w:rPr>
        <w:t>de</w:t>
      </w:r>
      <w:r>
        <w:rPr/>
        <w:t> </w:t>
      </w:r>
      <w:r>
        <w:rPr>
          <w:w w:val="99"/>
        </w:rPr>
        <w:t>d</w:t>
      </w:r>
      <w:r>
        <w:rPr>
          <w:w w:val="92"/>
        </w:rPr>
        <w:t>a</w:t>
      </w:r>
      <w:r>
        <w:rPr>
          <w:w w:val="105"/>
        </w:rPr>
        <w:t>s</w:t>
      </w:r>
      <w:r>
        <w:rPr/>
        <w:t> </w:t>
      </w:r>
      <w:r>
        <w:rPr>
          <w:w w:val="92"/>
        </w:rPr>
        <w:t>a</w:t>
      </w:r>
      <w:r>
        <w:rPr>
          <w:w w:val="94"/>
        </w:rPr>
        <w:t>diç</w:t>
      </w:r>
      <w:r>
        <w:rPr>
          <w:w w:val="93"/>
        </w:rPr>
        <w:t>õe</w:t>
      </w:r>
      <w:r>
        <w:rPr>
          <w:w w:val="105"/>
        </w:rPr>
        <w:t>s</w:t>
      </w:r>
      <w:r>
        <w:rPr/>
        <w:t> </w:t>
      </w:r>
      <w:r>
        <w:rPr>
          <w:w w:val="89"/>
        </w:rPr>
        <w:t>e</w:t>
      </w:r>
      <w:r>
        <w:rPr>
          <w:w w:val="86"/>
        </w:rPr>
        <w:t>fe</w:t>
      </w:r>
      <w:r>
        <w:rPr>
          <w:w w:val="93"/>
        </w:rPr>
        <w:t>tua</w:t>
      </w:r>
      <w:r>
        <w:rPr>
          <w:w w:val="95"/>
        </w:rPr>
        <w:t>da</w:t>
      </w:r>
      <w:r>
        <w:rPr>
          <w:w w:val="105"/>
        </w:rPr>
        <w:t>s</w:t>
      </w:r>
      <w:r>
        <w:rPr/>
        <w:t> </w:t>
      </w:r>
      <w:r>
        <w:rPr>
          <w:w w:val="92"/>
        </w:rPr>
        <w:t>a</w:t>
      </w:r>
      <w:r>
        <w:rPr>
          <w:w w:val="98"/>
        </w:rPr>
        <w:t>o</w:t>
      </w:r>
      <w:r>
        <w:rPr/>
        <w:t> </w:t>
      </w:r>
      <w:r>
        <w:rPr>
          <w:w w:val="92"/>
        </w:rPr>
        <w:t>a</w:t>
      </w:r>
      <w:r>
        <w:rPr>
          <w:w w:val="96"/>
        </w:rPr>
        <w:t>tivo</w:t>
      </w:r>
      <w:r>
        <w:rPr/>
        <w:t> </w:t>
      </w:r>
      <w:r>
        <w:rPr>
          <w:w w:val="100"/>
        </w:rPr>
        <w:t>in</w:t>
      </w:r>
      <w:r>
        <w:rPr>
          <w:w w:val="89"/>
        </w:rPr>
        <w:t>ta</w:t>
      </w:r>
      <w:r>
        <w:rPr>
          <w:w w:val="101"/>
        </w:rPr>
        <w:t>n</w:t>
      </w:r>
      <w:r>
        <w:rPr>
          <w:w w:val="98"/>
        </w:rPr>
        <w:t>g</w:t>
      </w:r>
      <w:r>
        <w:rPr>
          <w:w w:val="95"/>
        </w:rPr>
        <w:t>íve</w:t>
      </w:r>
      <w:r>
        <w:rPr>
          <w:w w:val="91"/>
        </w:rPr>
        <w:t>l</w:t>
      </w:r>
      <w:r>
        <w:rPr/>
        <w:t> </w:t>
      </w:r>
      <w:r>
        <w:rPr>
          <w:w w:val="89"/>
        </w:rPr>
        <w:t>e</w:t>
      </w:r>
      <w:r>
        <w:rPr>
          <w:w w:val="99"/>
        </w:rPr>
        <w:t>m</w:t>
      </w:r>
      <w:r>
        <w:rPr/>
        <w:t> </w:t>
      </w:r>
      <w:r>
        <w:rPr>
          <w:w w:val="88"/>
        </w:rPr>
        <w:t>c</w:t>
      </w:r>
      <w:r>
        <w:rPr>
          <w:w w:val="102"/>
        </w:rPr>
        <w:t>urso</w:t>
      </w:r>
      <w:r>
        <w:rPr/>
        <w:t> </w:t>
      </w:r>
      <w:r>
        <w:rPr>
          <w:w w:val="89"/>
        </w:rPr>
        <w:t>é</w:t>
      </w:r>
      <w:r>
        <w:rPr/>
        <w:t> </w:t>
      </w:r>
      <w:r>
        <w:rPr>
          <w:w w:val="95"/>
        </w:rPr>
        <w:t>tr</w:t>
      </w:r>
      <w:r>
        <w:rPr>
          <w:w w:val="92"/>
        </w:rPr>
        <w:t>a</w:t>
      </w:r>
      <w:r>
        <w:rPr>
          <w:w w:val="101"/>
        </w:rPr>
        <w:t>n</w:t>
      </w:r>
      <w:r>
        <w:rPr>
          <w:w w:val="105"/>
        </w:rPr>
        <w:t>s</w:t>
      </w:r>
      <w:r>
        <w:rPr>
          <w:w w:val="86"/>
        </w:rPr>
        <w:t>fe</w:t>
      </w:r>
      <w:r>
        <w:rPr>
          <w:w w:val="105"/>
        </w:rPr>
        <w:t>r</w:t>
      </w:r>
      <w:r>
        <w:rPr>
          <w:w w:val="97"/>
        </w:rPr>
        <w:t>i</w:t>
      </w:r>
      <w:r>
        <w:rPr>
          <w:w w:val="95"/>
        </w:rPr>
        <w:t>da</w:t>
      </w:r>
      <w:r>
        <w:rPr/>
        <w:t> </w:t>
      </w:r>
      <w:r>
        <w:rPr>
          <w:w w:val="96"/>
        </w:rPr>
        <w:t>pa</w:t>
      </w:r>
      <w:r>
        <w:rPr>
          <w:w w:val="105"/>
        </w:rPr>
        <w:t>r</w:t>
      </w:r>
      <w:r>
        <w:rPr>
          <w:w w:val="92"/>
        </w:rPr>
        <w:t>a</w:t>
      </w:r>
      <w:r>
        <w:rPr/>
        <w:t> </w:t>
      </w:r>
      <w:r>
        <w:rPr>
          <w:w w:val="98"/>
        </w:rPr>
        <w:t>o</w:t>
      </w:r>
      <w:r>
        <w:rPr/>
        <w:t> </w:t>
      </w:r>
      <w:r>
        <w:rPr>
          <w:w w:val="105"/>
        </w:rPr>
        <w:t>r</w:t>
      </w:r>
      <w:r>
        <w:rPr>
          <w:w w:val="89"/>
        </w:rPr>
        <w:t>e</w:t>
      </w:r>
      <w:r>
        <w:rPr>
          <w:w w:val="105"/>
        </w:rPr>
        <w:t>s</w:t>
      </w:r>
      <w:r>
        <w:rPr>
          <w:w w:val="97"/>
        </w:rPr>
        <w:t>ul</w:t>
      </w:r>
      <w:r>
        <w:rPr>
          <w:w w:val="89"/>
        </w:rPr>
        <w:t>ta</w:t>
      </w:r>
      <w:r>
        <w:rPr>
          <w:w w:val="87"/>
        </w:rPr>
        <w:t>do,</w:t>
      </w:r>
      <w:r>
        <w:rPr/>
        <w:t> </w:t>
      </w:r>
      <w:r>
        <w:rPr>
          <w:w w:val="88"/>
        </w:rPr>
        <w:t>c</w:t>
      </w:r>
      <w:r>
        <w:rPr>
          <w:w w:val="99"/>
        </w:rPr>
        <w:t>om</w:t>
      </w:r>
      <w:r>
        <w:rPr>
          <w:w w:val="98"/>
        </w:rPr>
        <w:t>o </w:t>
      </w:r>
      <w:r>
        <w:rPr/>
        <w:t>custo de construção e receita de construção.</w:t>
      </w:r>
    </w:p>
    <w:p>
      <w:pPr>
        <w:pStyle w:val="BodyText"/>
        <w:spacing w:before="7"/>
      </w:pPr>
    </w:p>
    <w:p>
      <w:pPr>
        <w:pStyle w:val="ListParagraph"/>
        <w:numPr>
          <w:ilvl w:val="1"/>
          <w:numId w:val="38"/>
        </w:numPr>
        <w:tabs>
          <w:tab w:pos="1025" w:val="left" w:leader="none"/>
          <w:tab w:pos="1026" w:val="left" w:leader="none"/>
        </w:tabs>
        <w:spacing w:line="240" w:lineRule="auto" w:before="0" w:after="0"/>
        <w:ind w:left="1025" w:right="0" w:hanging="854"/>
        <w:jc w:val="left"/>
        <w:rPr>
          <w:rFonts w:ascii="Caladea"/>
          <w:b/>
          <w:sz w:val="18"/>
        </w:rPr>
      </w:pPr>
      <w:r>
        <w:rPr>
          <w:rFonts w:ascii="Caladea"/>
          <w:b/>
          <w:sz w:val="22"/>
        </w:rPr>
        <w:t>O</w:t>
      </w:r>
      <w:r>
        <w:rPr>
          <w:rFonts w:ascii="Caladea"/>
          <w:b/>
          <w:sz w:val="18"/>
        </w:rPr>
        <w:t>UTRAS </w:t>
      </w:r>
      <w:r>
        <w:rPr>
          <w:rFonts w:ascii="Caladea"/>
          <w:b/>
          <w:sz w:val="22"/>
        </w:rPr>
        <w:t>R</w:t>
      </w:r>
      <w:r>
        <w:rPr>
          <w:rFonts w:ascii="Caladea"/>
          <w:b/>
          <w:sz w:val="18"/>
        </w:rPr>
        <w:t>ECEITAS</w:t>
      </w:r>
      <w:r>
        <w:rPr>
          <w:rFonts w:ascii="Caladea"/>
          <w:b/>
          <w:sz w:val="22"/>
        </w:rPr>
        <w:t>/(D</w:t>
      </w:r>
      <w:r>
        <w:rPr>
          <w:rFonts w:ascii="Caladea"/>
          <w:b/>
          <w:sz w:val="18"/>
        </w:rPr>
        <w:t>ESPESAS</w:t>
      </w:r>
      <w:r>
        <w:rPr>
          <w:rFonts w:ascii="Caladea"/>
          <w:b/>
          <w:sz w:val="22"/>
        </w:rPr>
        <w:t>)</w:t>
      </w:r>
      <w:r>
        <w:rPr>
          <w:rFonts w:ascii="Caladea"/>
          <w:b/>
          <w:spacing w:val="-8"/>
          <w:sz w:val="22"/>
        </w:rPr>
        <w:t> </w:t>
      </w:r>
      <w:r>
        <w:rPr>
          <w:rFonts w:ascii="Caladea"/>
          <w:b/>
          <w:sz w:val="22"/>
        </w:rPr>
        <w:t>O</w:t>
      </w:r>
      <w:r>
        <w:rPr>
          <w:rFonts w:ascii="Caladea"/>
          <w:b/>
          <w:sz w:val="18"/>
        </w:rPr>
        <w:t>PERACIONAIS</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87"/>
        <w:gridCol w:w="1158"/>
        <w:gridCol w:w="1160"/>
        <w:gridCol w:w="1293"/>
        <w:gridCol w:w="1523"/>
      </w:tblGrid>
      <w:tr>
        <w:trPr>
          <w:trHeight w:val="237" w:hRule="atLeast"/>
        </w:trPr>
        <w:tc>
          <w:tcPr>
            <w:tcW w:w="4787" w:type="dxa"/>
            <w:vMerge w:val="restart"/>
            <w:shd w:val="clear" w:color="auto" w:fill="D9D9D9"/>
          </w:tcPr>
          <w:p>
            <w:pPr>
              <w:pStyle w:val="TableParagraph"/>
              <w:rPr>
                <w:rFonts w:ascii="Times New Roman"/>
                <w:sz w:val="14"/>
              </w:rPr>
            </w:pPr>
          </w:p>
        </w:tc>
        <w:tc>
          <w:tcPr>
            <w:tcW w:w="2318" w:type="dxa"/>
            <w:gridSpan w:val="2"/>
          </w:tcPr>
          <w:p>
            <w:pPr>
              <w:pStyle w:val="TableParagraph"/>
              <w:spacing w:before="37"/>
              <w:ind w:left="726"/>
              <w:rPr>
                <w:rFonts w:ascii="Caladea"/>
                <w:b/>
                <w:sz w:val="14"/>
              </w:rPr>
            </w:pPr>
            <w:r>
              <w:rPr>
                <w:rFonts w:ascii="Caladea"/>
                <w:b/>
                <w:sz w:val="14"/>
              </w:rPr>
              <w:t>Controladora</w:t>
            </w:r>
          </w:p>
        </w:tc>
        <w:tc>
          <w:tcPr>
            <w:tcW w:w="2816" w:type="dxa"/>
            <w:gridSpan w:val="2"/>
          </w:tcPr>
          <w:p>
            <w:pPr>
              <w:pStyle w:val="TableParagraph"/>
              <w:spacing w:before="37"/>
              <w:ind w:left="984" w:right="984"/>
              <w:jc w:val="center"/>
              <w:rPr>
                <w:rFonts w:ascii="Caladea"/>
                <w:b/>
                <w:sz w:val="14"/>
              </w:rPr>
            </w:pPr>
            <w:r>
              <w:rPr>
                <w:rFonts w:ascii="Caladea"/>
                <w:b/>
                <w:sz w:val="14"/>
              </w:rPr>
              <w:t>Consolidado</w:t>
            </w:r>
          </w:p>
        </w:tc>
      </w:tr>
      <w:tr>
        <w:trPr>
          <w:trHeight w:val="398" w:hRule="atLeast"/>
        </w:trPr>
        <w:tc>
          <w:tcPr>
            <w:tcW w:w="4787" w:type="dxa"/>
            <w:vMerge/>
            <w:tcBorders>
              <w:top w:val="nil"/>
            </w:tcBorders>
            <w:shd w:val="clear" w:color="auto" w:fill="D9D9D9"/>
          </w:tcPr>
          <w:p>
            <w:pPr>
              <w:rPr>
                <w:sz w:val="2"/>
                <w:szCs w:val="2"/>
              </w:rPr>
            </w:pPr>
          </w:p>
        </w:tc>
        <w:tc>
          <w:tcPr>
            <w:tcW w:w="1158" w:type="dxa"/>
          </w:tcPr>
          <w:p>
            <w:pPr>
              <w:pStyle w:val="TableParagraph"/>
              <w:spacing w:before="116"/>
              <w:ind w:left="174"/>
              <w:rPr>
                <w:rFonts w:ascii="Caladea"/>
                <w:b/>
                <w:sz w:val="14"/>
              </w:rPr>
            </w:pPr>
            <w:r>
              <w:rPr>
                <w:rFonts w:ascii="Caladea"/>
                <w:b/>
                <w:sz w:val="14"/>
              </w:rPr>
              <w:t>31/12/2019</w:t>
            </w:r>
          </w:p>
        </w:tc>
        <w:tc>
          <w:tcPr>
            <w:tcW w:w="1160" w:type="dxa"/>
          </w:tcPr>
          <w:p>
            <w:pPr>
              <w:pStyle w:val="TableParagraph"/>
              <w:spacing w:before="116"/>
              <w:ind w:left="176"/>
              <w:rPr>
                <w:rFonts w:ascii="Caladea"/>
                <w:b/>
                <w:sz w:val="14"/>
              </w:rPr>
            </w:pPr>
            <w:r>
              <w:rPr>
                <w:rFonts w:ascii="Caladea"/>
                <w:b/>
                <w:sz w:val="14"/>
              </w:rPr>
              <w:t>31/12/2018</w:t>
            </w:r>
          </w:p>
        </w:tc>
        <w:tc>
          <w:tcPr>
            <w:tcW w:w="1293" w:type="dxa"/>
          </w:tcPr>
          <w:p>
            <w:pPr>
              <w:pStyle w:val="TableParagraph"/>
              <w:spacing w:before="116"/>
              <w:ind w:left="242"/>
              <w:rPr>
                <w:rFonts w:ascii="Caladea"/>
                <w:b/>
                <w:sz w:val="14"/>
              </w:rPr>
            </w:pPr>
            <w:r>
              <w:rPr>
                <w:rFonts w:ascii="Caladea"/>
                <w:b/>
                <w:sz w:val="14"/>
              </w:rPr>
              <w:t>31/12/2019</w:t>
            </w:r>
          </w:p>
        </w:tc>
        <w:tc>
          <w:tcPr>
            <w:tcW w:w="1523" w:type="dxa"/>
          </w:tcPr>
          <w:p>
            <w:pPr>
              <w:pStyle w:val="TableParagraph"/>
              <w:spacing w:before="116"/>
              <w:ind w:left="354"/>
              <w:rPr>
                <w:rFonts w:ascii="Caladea"/>
                <w:b/>
                <w:sz w:val="14"/>
              </w:rPr>
            </w:pPr>
            <w:r>
              <w:rPr>
                <w:rFonts w:ascii="Caladea"/>
                <w:b/>
                <w:sz w:val="14"/>
              </w:rPr>
              <w:t>31/12/2018</w:t>
            </w:r>
          </w:p>
        </w:tc>
      </w:tr>
      <w:tr>
        <w:trPr>
          <w:trHeight w:val="237" w:hRule="atLeast"/>
        </w:trPr>
        <w:tc>
          <w:tcPr>
            <w:tcW w:w="4787" w:type="dxa"/>
          </w:tcPr>
          <w:p>
            <w:pPr>
              <w:pStyle w:val="TableParagraph"/>
              <w:spacing w:before="34"/>
              <w:ind w:left="72"/>
              <w:rPr>
                <w:rFonts w:ascii="Caladea"/>
                <w:b/>
                <w:sz w:val="14"/>
              </w:rPr>
            </w:pPr>
            <w:r>
              <w:rPr>
                <w:rFonts w:ascii="Caladea"/>
                <w:b/>
                <w:sz w:val="14"/>
              </w:rPr>
              <w:t>Outras Receitas Operacionais</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rPr>
                <w:rFonts w:ascii="Times New Roman"/>
                <w:sz w:val="14"/>
              </w:rPr>
            </w:pPr>
          </w:p>
        </w:tc>
        <w:tc>
          <w:tcPr>
            <w:tcW w:w="1523" w:type="dxa"/>
          </w:tcPr>
          <w:p>
            <w:pPr>
              <w:pStyle w:val="TableParagraph"/>
              <w:rPr>
                <w:rFonts w:ascii="Times New Roman"/>
                <w:sz w:val="14"/>
              </w:rPr>
            </w:pPr>
          </w:p>
        </w:tc>
      </w:tr>
      <w:tr>
        <w:trPr>
          <w:trHeight w:val="237" w:hRule="atLeast"/>
        </w:trPr>
        <w:tc>
          <w:tcPr>
            <w:tcW w:w="4787" w:type="dxa"/>
          </w:tcPr>
          <w:p>
            <w:pPr>
              <w:pStyle w:val="TableParagraph"/>
              <w:spacing w:before="38"/>
              <w:ind w:left="72"/>
              <w:rPr>
                <w:sz w:val="14"/>
              </w:rPr>
            </w:pPr>
            <w:r>
              <w:rPr>
                <w:sz w:val="14"/>
              </w:rPr>
              <w:t>Reversão de Provisão de Benefícios Pós-Emprego</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8"/>
              <w:ind w:right="91"/>
              <w:jc w:val="right"/>
              <w:rPr>
                <w:sz w:val="14"/>
              </w:rPr>
            </w:pPr>
            <w:r>
              <w:rPr>
                <w:w w:val="95"/>
                <w:sz w:val="14"/>
              </w:rPr>
              <w:t>16.104</w:t>
            </w:r>
          </w:p>
        </w:tc>
        <w:tc>
          <w:tcPr>
            <w:tcW w:w="1523" w:type="dxa"/>
          </w:tcPr>
          <w:p>
            <w:pPr>
              <w:pStyle w:val="TableParagraph"/>
              <w:spacing w:before="38"/>
              <w:ind w:right="97"/>
              <w:jc w:val="right"/>
              <w:rPr>
                <w:sz w:val="14"/>
              </w:rPr>
            </w:pPr>
            <w:r>
              <w:rPr>
                <w:w w:val="95"/>
                <w:sz w:val="14"/>
              </w:rPr>
              <w:t>11.241</w:t>
            </w:r>
          </w:p>
        </w:tc>
      </w:tr>
      <w:tr>
        <w:trPr>
          <w:trHeight w:val="239" w:hRule="atLeast"/>
        </w:trPr>
        <w:tc>
          <w:tcPr>
            <w:tcW w:w="4787" w:type="dxa"/>
          </w:tcPr>
          <w:p>
            <w:pPr>
              <w:pStyle w:val="TableParagraph"/>
              <w:spacing w:before="38"/>
              <w:ind w:left="72"/>
              <w:rPr>
                <w:sz w:val="14"/>
              </w:rPr>
            </w:pPr>
            <w:r>
              <w:rPr>
                <w:w w:val="105"/>
                <w:sz w:val="14"/>
              </w:rPr>
              <w:t>Atualização do Valor Justo do Ativo Financeiro Indenizável – VNR</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8"/>
              <w:ind w:right="60"/>
              <w:jc w:val="right"/>
              <w:rPr>
                <w:sz w:val="14"/>
              </w:rPr>
            </w:pPr>
            <w:r>
              <w:rPr>
                <w:w w:val="95"/>
                <w:sz w:val="14"/>
              </w:rPr>
              <w:t>5.640</w:t>
            </w:r>
          </w:p>
        </w:tc>
        <w:tc>
          <w:tcPr>
            <w:tcW w:w="1523" w:type="dxa"/>
          </w:tcPr>
          <w:p>
            <w:pPr>
              <w:pStyle w:val="TableParagraph"/>
              <w:spacing w:before="38"/>
              <w:ind w:right="98"/>
              <w:jc w:val="right"/>
              <w:rPr>
                <w:sz w:val="14"/>
              </w:rPr>
            </w:pPr>
            <w:r>
              <w:rPr>
                <w:w w:val="95"/>
                <w:sz w:val="14"/>
              </w:rPr>
              <w:t>5.687</w:t>
            </w:r>
          </w:p>
        </w:tc>
      </w:tr>
      <w:tr>
        <w:trPr>
          <w:trHeight w:val="237" w:hRule="atLeast"/>
        </w:trPr>
        <w:tc>
          <w:tcPr>
            <w:tcW w:w="4787" w:type="dxa"/>
          </w:tcPr>
          <w:p>
            <w:pPr>
              <w:pStyle w:val="TableParagraph"/>
              <w:spacing w:before="36"/>
              <w:ind w:left="72"/>
              <w:rPr>
                <w:sz w:val="14"/>
              </w:rPr>
            </w:pPr>
            <w:r>
              <w:rPr>
                <w:sz w:val="14"/>
              </w:rPr>
              <w:t>Recuperação de Créditos Baixados por Perdas</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6"/>
              <w:ind w:right="62"/>
              <w:jc w:val="right"/>
              <w:rPr>
                <w:sz w:val="14"/>
              </w:rPr>
            </w:pPr>
            <w:r>
              <w:rPr>
                <w:w w:val="105"/>
                <w:sz w:val="14"/>
              </w:rPr>
              <w:t>920</w:t>
            </w:r>
          </w:p>
        </w:tc>
        <w:tc>
          <w:tcPr>
            <w:tcW w:w="1523" w:type="dxa"/>
          </w:tcPr>
          <w:p>
            <w:pPr>
              <w:pStyle w:val="TableParagraph"/>
              <w:spacing w:before="36"/>
              <w:ind w:right="98"/>
              <w:jc w:val="right"/>
              <w:rPr>
                <w:sz w:val="14"/>
              </w:rPr>
            </w:pPr>
            <w:r>
              <w:rPr>
                <w:w w:val="95"/>
                <w:sz w:val="14"/>
              </w:rPr>
              <w:t>2.615</w:t>
            </w:r>
          </w:p>
        </w:tc>
      </w:tr>
      <w:tr>
        <w:trPr>
          <w:trHeight w:val="328" w:hRule="atLeast"/>
        </w:trPr>
        <w:tc>
          <w:tcPr>
            <w:tcW w:w="4787" w:type="dxa"/>
          </w:tcPr>
          <w:p>
            <w:pPr>
              <w:pStyle w:val="TableParagraph"/>
              <w:ind w:left="72"/>
              <w:rPr>
                <w:sz w:val="14"/>
              </w:rPr>
            </w:pPr>
            <w:r>
              <w:rPr>
                <w:sz w:val="14"/>
              </w:rPr>
              <w:t>Reversão de Provisão para Riscos Tributários, Cíveis, Trabalhistas e</w:t>
            </w:r>
          </w:p>
          <w:p>
            <w:pPr>
              <w:pStyle w:val="TableParagraph"/>
              <w:spacing w:line="144" w:lineRule="exact" w:before="2"/>
              <w:ind w:left="72"/>
              <w:rPr>
                <w:rFonts w:ascii="Caladea" w:hAnsi="Caladea"/>
                <w:b/>
                <w:sz w:val="14"/>
              </w:rPr>
            </w:pPr>
            <w:r>
              <w:rPr>
                <w:sz w:val="14"/>
              </w:rPr>
              <w:t>Regulatórios </w:t>
            </w:r>
            <w:r>
              <w:rPr>
                <w:rFonts w:ascii="Caladea" w:hAnsi="Caladea"/>
                <w:b/>
                <w:sz w:val="14"/>
              </w:rPr>
              <w:t>(a)</w:t>
            </w:r>
          </w:p>
        </w:tc>
        <w:tc>
          <w:tcPr>
            <w:tcW w:w="1158" w:type="dxa"/>
          </w:tcPr>
          <w:p>
            <w:pPr>
              <w:pStyle w:val="TableParagraph"/>
              <w:spacing w:before="82"/>
              <w:ind w:right="58"/>
              <w:jc w:val="right"/>
              <w:rPr>
                <w:sz w:val="14"/>
              </w:rPr>
            </w:pPr>
            <w:r>
              <w:rPr>
                <w:w w:val="104"/>
                <w:sz w:val="14"/>
              </w:rPr>
              <w:t>1</w:t>
            </w:r>
          </w:p>
        </w:tc>
        <w:tc>
          <w:tcPr>
            <w:tcW w:w="1160" w:type="dxa"/>
          </w:tcPr>
          <w:p>
            <w:pPr>
              <w:pStyle w:val="TableParagraph"/>
              <w:spacing w:before="82"/>
              <w:ind w:right="62"/>
              <w:jc w:val="right"/>
              <w:rPr>
                <w:sz w:val="14"/>
              </w:rPr>
            </w:pPr>
            <w:r>
              <w:rPr>
                <w:sz w:val="14"/>
              </w:rPr>
              <w:t>10</w:t>
            </w:r>
          </w:p>
        </w:tc>
        <w:tc>
          <w:tcPr>
            <w:tcW w:w="1293" w:type="dxa"/>
          </w:tcPr>
          <w:p>
            <w:pPr>
              <w:pStyle w:val="TableParagraph"/>
              <w:spacing w:before="82"/>
              <w:ind w:right="60"/>
              <w:jc w:val="right"/>
              <w:rPr>
                <w:sz w:val="14"/>
              </w:rPr>
            </w:pPr>
            <w:r>
              <w:rPr>
                <w:w w:val="95"/>
                <w:sz w:val="14"/>
              </w:rPr>
              <w:t>7.347</w:t>
            </w:r>
          </w:p>
        </w:tc>
        <w:tc>
          <w:tcPr>
            <w:tcW w:w="1523" w:type="dxa"/>
          </w:tcPr>
          <w:p>
            <w:pPr>
              <w:pStyle w:val="TableParagraph"/>
              <w:spacing w:before="82"/>
              <w:ind w:right="97"/>
              <w:jc w:val="right"/>
              <w:rPr>
                <w:sz w:val="14"/>
              </w:rPr>
            </w:pPr>
            <w:r>
              <w:rPr>
                <w:w w:val="95"/>
                <w:sz w:val="14"/>
              </w:rPr>
              <w:t>40.317</w:t>
            </w:r>
          </w:p>
        </w:tc>
      </w:tr>
      <w:tr>
        <w:trPr>
          <w:trHeight w:val="237" w:hRule="atLeast"/>
        </w:trPr>
        <w:tc>
          <w:tcPr>
            <w:tcW w:w="4787" w:type="dxa"/>
          </w:tcPr>
          <w:p>
            <w:pPr>
              <w:pStyle w:val="TableParagraph"/>
              <w:spacing w:before="35"/>
              <w:ind w:left="72"/>
              <w:rPr>
                <w:rFonts w:ascii="Caladea" w:hAnsi="Caladea"/>
                <w:b/>
                <w:sz w:val="14"/>
              </w:rPr>
            </w:pPr>
            <w:r>
              <w:rPr>
                <w:sz w:val="14"/>
              </w:rPr>
              <w:t>Resultado na Baixa/Alienação de Bens </w:t>
            </w:r>
            <w:r>
              <w:rPr>
                <w:rFonts w:ascii="Caladea" w:hAnsi="Caladea"/>
                <w:b/>
                <w:sz w:val="14"/>
              </w:rPr>
              <w:t>(b)</w:t>
            </w:r>
          </w:p>
        </w:tc>
        <w:tc>
          <w:tcPr>
            <w:tcW w:w="1158" w:type="dxa"/>
          </w:tcPr>
          <w:p>
            <w:pPr>
              <w:pStyle w:val="TableParagraph"/>
              <w:spacing w:before="36"/>
              <w:ind w:right="61"/>
              <w:jc w:val="right"/>
              <w:rPr>
                <w:sz w:val="14"/>
              </w:rPr>
            </w:pPr>
            <w:r>
              <w:rPr>
                <w:sz w:val="14"/>
              </w:rPr>
              <w:t>42</w:t>
            </w:r>
          </w:p>
        </w:tc>
        <w:tc>
          <w:tcPr>
            <w:tcW w:w="1160" w:type="dxa"/>
          </w:tcPr>
          <w:p>
            <w:pPr>
              <w:pStyle w:val="TableParagraph"/>
              <w:spacing w:before="36"/>
              <w:ind w:right="61"/>
              <w:jc w:val="right"/>
              <w:rPr>
                <w:sz w:val="14"/>
              </w:rPr>
            </w:pPr>
            <w:r>
              <w:rPr>
                <w:w w:val="95"/>
                <w:sz w:val="14"/>
              </w:rPr>
              <w:t>3.773</w:t>
            </w:r>
          </w:p>
        </w:tc>
        <w:tc>
          <w:tcPr>
            <w:tcW w:w="1293" w:type="dxa"/>
          </w:tcPr>
          <w:p>
            <w:pPr>
              <w:pStyle w:val="TableParagraph"/>
              <w:spacing w:before="36"/>
              <w:ind w:right="60"/>
              <w:jc w:val="right"/>
              <w:rPr>
                <w:sz w:val="14"/>
              </w:rPr>
            </w:pPr>
            <w:r>
              <w:rPr>
                <w:w w:val="95"/>
                <w:sz w:val="14"/>
              </w:rPr>
              <w:t>10.033</w:t>
            </w:r>
          </w:p>
        </w:tc>
        <w:tc>
          <w:tcPr>
            <w:tcW w:w="1523" w:type="dxa"/>
          </w:tcPr>
          <w:p>
            <w:pPr>
              <w:pStyle w:val="TableParagraph"/>
              <w:spacing w:before="36"/>
              <w:ind w:right="66"/>
              <w:jc w:val="right"/>
              <w:rPr>
                <w:sz w:val="14"/>
              </w:rPr>
            </w:pPr>
            <w:r>
              <w:rPr>
                <w:w w:val="95"/>
                <w:sz w:val="14"/>
              </w:rPr>
              <w:t>78.731</w:t>
            </w:r>
          </w:p>
        </w:tc>
      </w:tr>
      <w:tr>
        <w:trPr>
          <w:trHeight w:val="240" w:hRule="atLeast"/>
        </w:trPr>
        <w:tc>
          <w:tcPr>
            <w:tcW w:w="4787" w:type="dxa"/>
          </w:tcPr>
          <w:p>
            <w:pPr>
              <w:pStyle w:val="TableParagraph"/>
              <w:spacing w:before="39"/>
              <w:ind w:left="72"/>
              <w:rPr>
                <w:sz w:val="14"/>
              </w:rPr>
            </w:pPr>
            <w:r>
              <w:rPr>
                <w:sz w:val="14"/>
              </w:rPr>
              <w:t>Outras Receitas</w:t>
            </w:r>
          </w:p>
        </w:tc>
        <w:tc>
          <w:tcPr>
            <w:tcW w:w="1158" w:type="dxa"/>
          </w:tcPr>
          <w:p>
            <w:pPr>
              <w:pStyle w:val="TableParagraph"/>
              <w:spacing w:before="39"/>
              <w:ind w:right="61"/>
              <w:jc w:val="right"/>
              <w:rPr>
                <w:sz w:val="14"/>
              </w:rPr>
            </w:pPr>
            <w:r>
              <w:rPr>
                <w:w w:val="105"/>
                <w:sz w:val="14"/>
              </w:rPr>
              <w:t>124</w:t>
            </w:r>
          </w:p>
        </w:tc>
        <w:tc>
          <w:tcPr>
            <w:tcW w:w="1160" w:type="dxa"/>
          </w:tcPr>
          <w:p>
            <w:pPr>
              <w:pStyle w:val="TableParagraph"/>
              <w:spacing w:before="39"/>
              <w:ind w:right="61"/>
              <w:jc w:val="right"/>
              <w:rPr>
                <w:sz w:val="14"/>
              </w:rPr>
            </w:pPr>
            <w:r>
              <w:rPr>
                <w:w w:val="95"/>
                <w:sz w:val="14"/>
              </w:rPr>
              <w:t>1.681</w:t>
            </w:r>
          </w:p>
        </w:tc>
        <w:tc>
          <w:tcPr>
            <w:tcW w:w="1293" w:type="dxa"/>
          </w:tcPr>
          <w:p>
            <w:pPr>
              <w:pStyle w:val="TableParagraph"/>
              <w:spacing w:before="39"/>
              <w:ind w:right="60"/>
              <w:jc w:val="right"/>
              <w:rPr>
                <w:sz w:val="14"/>
              </w:rPr>
            </w:pPr>
            <w:r>
              <w:rPr>
                <w:w w:val="95"/>
                <w:sz w:val="14"/>
              </w:rPr>
              <w:t>7.148</w:t>
            </w:r>
          </w:p>
        </w:tc>
        <w:tc>
          <w:tcPr>
            <w:tcW w:w="1523" w:type="dxa"/>
          </w:tcPr>
          <w:p>
            <w:pPr>
              <w:pStyle w:val="TableParagraph"/>
              <w:spacing w:before="39"/>
              <w:ind w:right="66"/>
              <w:jc w:val="right"/>
              <w:rPr>
                <w:sz w:val="14"/>
              </w:rPr>
            </w:pPr>
            <w:r>
              <w:rPr>
                <w:w w:val="95"/>
                <w:sz w:val="14"/>
              </w:rPr>
              <w:t>26.718</w:t>
            </w:r>
          </w:p>
        </w:tc>
      </w:tr>
      <w:tr>
        <w:trPr>
          <w:trHeight w:val="237" w:hRule="atLeast"/>
        </w:trPr>
        <w:tc>
          <w:tcPr>
            <w:tcW w:w="4787" w:type="dxa"/>
          </w:tcPr>
          <w:p>
            <w:pPr>
              <w:pStyle w:val="TableParagraph"/>
              <w:spacing w:before="35"/>
              <w:ind w:left="72"/>
              <w:rPr>
                <w:rFonts w:ascii="Caladea"/>
                <w:b/>
                <w:sz w:val="14"/>
              </w:rPr>
            </w:pPr>
            <w:r>
              <w:rPr>
                <w:rFonts w:ascii="Caladea"/>
                <w:b/>
                <w:sz w:val="14"/>
              </w:rPr>
              <w:t>Subtotal</w:t>
            </w:r>
          </w:p>
        </w:tc>
        <w:tc>
          <w:tcPr>
            <w:tcW w:w="1158" w:type="dxa"/>
          </w:tcPr>
          <w:p>
            <w:pPr>
              <w:pStyle w:val="TableParagraph"/>
              <w:spacing w:before="35"/>
              <w:ind w:right="60"/>
              <w:jc w:val="right"/>
              <w:rPr>
                <w:rFonts w:ascii="Caladea"/>
                <w:b/>
                <w:sz w:val="14"/>
              </w:rPr>
            </w:pPr>
            <w:r>
              <w:rPr>
                <w:rFonts w:ascii="Caladea"/>
                <w:b/>
                <w:sz w:val="14"/>
              </w:rPr>
              <w:t>167</w:t>
            </w:r>
          </w:p>
        </w:tc>
        <w:tc>
          <w:tcPr>
            <w:tcW w:w="1160" w:type="dxa"/>
          </w:tcPr>
          <w:p>
            <w:pPr>
              <w:pStyle w:val="TableParagraph"/>
              <w:spacing w:before="35"/>
              <w:ind w:right="61"/>
              <w:jc w:val="right"/>
              <w:rPr>
                <w:rFonts w:ascii="Caladea"/>
                <w:b/>
                <w:sz w:val="14"/>
              </w:rPr>
            </w:pPr>
            <w:r>
              <w:rPr>
                <w:rFonts w:ascii="Caladea"/>
                <w:b/>
                <w:w w:val="95"/>
                <w:sz w:val="14"/>
              </w:rPr>
              <w:t>5.464</w:t>
            </w:r>
          </w:p>
        </w:tc>
        <w:tc>
          <w:tcPr>
            <w:tcW w:w="1293" w:type="dxa"/>
          </w:tcPr>
          <w:p>
            <w:pPr>
              <w:pStyle w:val="TableParagraph"/>
              <w:spacing w:before="35"/>
              <w:ind w:right="60"/>
              <w:jc w:val="right"/>
              <w:rPr>
                <w:rFonts w:ascii="Caladea"/>
                <w:b/>
                <w:sz w:val="14"/>
              </w:rPr>
            </w:pPr>
            <w:r>
              <w:rPr>
                <w:rFonts w:ascii="Caladea"/>
                <w:b/>
                <w:sz w:val="14"/>
              </w:rPr>
              <w:t>47.192</w:t>
            </w:r>
          </w:p>
        </w:tc>
        <w:tc>
          <w:tcPr>
            <w:tcW w:w="1523" w:type="dxa"/>
          </w:tcPr>
          <w:p>
            <w:pPr>
              <w:pStyle w:val="TableParagraph"/>
              <w:spacing w:before="35"/>
              <w:ind w:right="67"/>
              <w:jc w:val="right"/>
              <w:rPr>
                <w:rFonts w:ascii="Caladea"/>
                <w:b/>
                <w:sz w:val="14"/>
              </w:rPr>
            </w:pPr>
            <w:r>
              <w:rPr>
                <w:rFonts w:ascii="Caladea"/>
                <w:b/>
                <w:w w:val="95"/>
                <w:sz w:val="14"/>
              </w:rPr>
              <w:t>165.309</w:t>
            </w:r>
          </w:p>
        </w:tc>
      </w:tr>
      <w:tr>
        <w:trPr>
          <w:trHeight w:val="237" w:hRule="atLeast"/>
        </w:trPr>
        <w:tc>
          <w:tcPr>
            <w:tcW w:w="4787" w:type="dxa"/>
          </w:tcPr>
          <w:p>
            <w:pPr>
              <w:pStyle w:val="TableParagraph"/>
              <w:spacing w:before="34"/>
              <w:ind w:left="72"/>
              <w:rPr>
                <w:rFonts w:ascii="Caladea"/>
                <w:b/>
                <w:sz w:val="14"/>
              </w:rPr>
            </w:pPr>
            <w:r>
              <w:rPr>
                <w:rFonts w:ascii="Caladea"/>
                <w:b/>
                <w:sz w:val="14"/>
              </w:rPr>
              <w:t>Outras Despesas Operacionais</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rPr>
                <w:rFonts w:ascii="Times New Roman"/>
                <w:sz w:val="14"/>
              </w:rPr>
            </w:pPr>
          </w:p>
        </w:tc>
        <w:tc>
          <w:tcPr>
            <w:tcW w:w="1523" w:type="dxa"/>
          </w:tcPr>
          <w:p>
            <w:pPr>
              <w:pStyle w:val="TableParagraph"/>
              <w:rPr>
                <w:rFonts w:ascii="Times New Roman"/>
                <w:sz w:val="14"/>
              </w:rPr>
            </w:pPr>
          </w:p>
        </w:tc>
      </w:tr>
      <w:tr>
        <w:trPr>
          <w:trHeight w:val="239" w:hRule="atLeast"/>
        </w:trPr>
        <w:tc>
          <w:tcPr>
            <w:tcW w:w="4787" w:type="dxa"/>
          </w:tcPr>
          <w:p>
            <w:pPr>
              <w:pStyle w:val="TableParagraph"/>
              <w:spacing w:before="38"/>
              <w:ind w:left="72"/>
              <w:rPr>
                <w:sz w:val="14"/>
              </w:rPr>
            </w:pPr>
            <w:r>
              <w:rPr>
                <w:sz w:val="14"/>
              </w:rPr>
              <w:t>Provisão de Benefícios Pós-Emprego</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8"/>
              <w:ind w:right="60"/>
              <w:jc w:val="right"/>
              <w:rPr>
                <w:sz w:val="14"/>
              </w:rPr>
            </w:pPr>
            <w:r>
              <w:rPr>
                <w:sz w:val="14"/>
              </w:rPr>
              <w:t>(16.425)</w:t>
            </w:r>
          </w:p>
        </w:tc>
        <w:tc>
          <w:tcPr>
            <w:tcW w:w="1523" w:type="dxa"/>
          </w:tcPr>
          <w:p>
            <w:pPr>
              <w:pStyle w:val="TableParagraph"/>
              <w:spacing w:before="38"/>
              <w:ind w:right="66"/>
              <w:jc w:val="right"/>
              <w:rPr>
                <w:sz w:val="14"/>
              </w:rPr>
            </w:pPr>
            <w:r>
              <w:rPr>
                <w:sz w:val="14"/>
              </w:rPr>
              <w:t>(11.569)</w:t>
            </w:r>
          </w:p>
        </w:tc>
      </w:tr>
      <w:tr>
        <w:trPr>
          <w:trHeight w:val="237" w:hRule="atLeast"/>
        </w:trPr>
        <w:tc>
          <w:tcPr>
            <w:tcW w:w="4787" w:type="dxa"/>
          </w:tcPr>
          <w:p>
            <w:pPr>
              <w:pStyle w:val="TableParagraph"/>
              <w:spacing w:before="34"/>
              <w:ind w:left="72"/>
              <w:rPr>
                <w:rFonts w:ascii="Caladea" w:hAnsi="Caladea"/>
                <w:b/>
                <w:sz w:val="14"/>
              </w:rPr>
            </w:pPr>
            <w:r>
              <w:rPr>
                <w:sz w:val="14"/>
              </w:rPr>
              <w:t>Provisão Para Riscos Tributários, Cíveis, Trabalhistas e Regulatórios </w:t>
            </w:r>
            <w:r>
              <w:rPr>
                <w:rFonts w:ascii="Caladea" w:hAnsi="Caladea"/>
                <w:b/>
                <w:sz w:val="14"/>
              </w:rPr>
              <w:t>(c)</w:t>
            </w:r>
          </w:p>
        </w:tc>
        <w:tc>
          <w:tcPr>
            <w:tcW w:w="1158" w:type="dxa"/>
          </w:tcPr>
          <w:p>
            <w:pPr>
              <w:pStyle w:val="TableParagraph"/>
              <w:spacing w:before="36"/>
              <w:ind w:right="61"/>
              <w:jc w:val="right"/>
              <w:rPr>
                <w:sz w:val="14"/>
              </w:rPr>
            </w:pPr>
            <w:r>
              <w:rPr>
                <w:w w:val="105"/>
                <w:sz w:val="14"/>
              </w:rPr>
              <w:t>(100)</w:t>
            </w:r>
          </w:p>
        </w:tc>
        <w:tc>
          <w:tcPr>
            <w:tcW w:w="1160" w:type="dxa"/>
          </w:tcPr>
          <w:p>
            <w:pPr>
              <w:pStyle w:val="TableParagraph"/>
              <w:rPr>
                <w:rFonts w:ascii="Times New Roman"/>
                <w:sz w:val="14"/>
              </w:rPr>
            </w:pPr>
          </w:p>
        </w:tc>
        <w:tc>
          <w:tcPr>
            <w:tcW w:w="1293" w:type="dxa"/>
          </w:tcPr>
          <w:p>
            <w:pPr>
              <w:pStyle w:val="TableParagraph"/>
              <w:spacing w:before="36"/>
              <w:ind w:right="60"/>
              <w:jc w:val="right"/>
              <w:rPr>
                <w:sz w:val="14"/>
              </w:rPr>
            </w:pPr>
            <w:r>
              <w:rPr>
                <w:sz w:val="14"/>
              </w:rPr>
              <w:t>(19.931)</w:t>
            </w:r>
          </w:p>
        </w:tc>
        <w:tc>
          <w:tcPr>
            <w:tcW w:w="1523" w:type="dxa"/>
          </w:tcPr>
          <w:p>
            <w:pPr>
              <w:pStyle w:val="TableParagraph"/>
              <w:spacing w:before="36"/>
              <w:ind w:right="66"/>
              <w:jc w:val="right"/>
              <w:rPr>
                <w:sz w:val="14"/>
              </w:rPr>
            </w:pPr>
            <w:r>
              <w:rPr>
                <w:sz w:val="14"/>
              </w:rPr>
              <w:t>(13.619)</w:t>
            </w:r>
          </w:p>
        </w:tc>
      </w:tr>
      <w:tr>
        <w:trPr>
          <w:trHeight w:val="237" w:hRule="atLeast"/>
        </w:trPr>
        <w:tc>
          <w:tcPr>
            <w:tcW w:w="4787" w:type="dxa"/>
          </w:tcPr>
          <w:p>
            <w:pPr>
              <w:pStyle w:val="TableParagraph"/>
              <w:spacing w:before="35"/>
              <w:ind w:left="72"/>
              <w:rPr>
                <w:rFonts w:ascii="Caladea" w:hAnsi="Caladea"/>
                <w:b/>
                <w:sz w:val="14"/>
              </w:rPr>
            </w:pPr>
            <w:r>
              <w:rPr>
                <w:sz w:val="14"/>
              </w:rPr>
              <w:t>Provisão Para Participação nos Lucros e Resultados </w:t>
            </w:r>
            <w:r>
              <w:rPr>
                <w:rFonts w:ascii="Caladea" w:hAnsi="Caladea"/>
                <w:b/>
                <w:sz w:val="14"/>
              </w:rPr>
              <w:t>(d)</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6"/>
              <w:ind w:right="61"/>
              <w:jc w:val="right"/>
              <w:rPr>
                <w:sz w:val="14"/>
              </w:rPr>
            </w:pPr>
            <w:r>
              <w:rPr>
                <w:w w:val="95"/>
                <w:sz w:val="14"/>
              </w:rPr>
              <w:t>(1.564)</w:t>
            </w:r>
          </w:p>
        </w:tc>
        <w:tc>
          <w:tcPr>
            <w:tcW w:w="1523" w:type="dxa"/>
          </w:tcPr>
          <w:p>
            <w:pPr>
              <w:pStyle w:val="TableParagraph"/>
              <w:spacing w:before="36"/>
              <w:ind w:right="67"/>
              <w:jc w:val="right"/>
              <w:rPr>
                <w:sz w:val="14"/>
              </w:rPr>
            </w:pPr>
            <w:r>
              <w:rPr>
                <w:w w:val="95"/>
                <w:sz w:val="14"/>
              </w:rPr>
              <w:t>(4.006)</w:t>
            </w:r>
          </w:p>
        </w:tc>
      </w:tr>
      <w:tr>
        <w:trPr>
          <w:trHeight w:val="239" w:hRule="atLeast"/>
        </w:trPr>
        <w:tc>
          <w:tcPr>
            <w:tcW w:w="4787" w:type="dxa"/>
          </w:tcPr>
          <w:p>
            <w:pPr>
              <w:pStyle w:val="TableParagraph"/>
              <w:spacing w:before="38"/>
              <w:ind w:left="72"/>
              <w:rPr>
                <w:sz w:val="14"/>
              </w:rPr>
            </w:pPr>
            <w:r>
              <w:rPr>
                <w:sz w:val="14"/>
              </w:rPr>
              <w:t>Condenações Judiciais</w:t>
            </w:r>
          </w:p>
        </w:tc>
        <w:tc>
          <w:tcPr>
            <w:tcW w:w="1158" w:type="dxa"/>
          </w:tcPr>
          <w:p>
            <w:pPr>
              <w:pStyle w:val="TableParagraph"/>
              <w:rPr>
                <w:rFonts w:ascii="Times New Roman"/>
                <w:sz w:val="14"/>
              </w:rPr>
            </w:pPr>
          </w:p>
        </w:tc>
        <w:tc>
          <w:tcPr>
            <w:tcW w:w="1160" w:type="dxa"/>
          </w:tcPr>
          <w:p>
            <w:pPr>
              <w:pStyle w:val="TableParagraph"/>
              <w:rPr>
                <w:rFonts w:ascii="Times New Roman"/>
                <w:sz w:val="14"/>
              </w:rPr>
            </w:pPr>
          </w:p>
        </w:tc>
        <w:tc>
          <w:tcPr>
            <w:tcW w:w="1293" w:type="dxa"/>
          </w:tcPr>
          <w:p>
            <w:pPr>
              <w:pStyle w:val="TableParagraph"/>
              <w:spacing w:before="38"/>
              <w:ind w:right="61"/>
              <w:jc w:val="right"/>
              <w:rPr>
                <w:sz w:val="14"/>
              </w:rPr>
            </w:pPr>
            <w:r>
              <w:rPr>
                <w:w w:val="95"/>
                <w:sz w:val="14"/>
              </w:rPr>
              <w:t>(1.569)</w:t>
            </w:r>
          </w:p>
        </w:tc>
        <w:tc>
          <w:tcPr>
            <w:tcW w:w="1523" w:type="dxa"/>
          </w:tcPr>
          <w:p>
            <w:pPr>
              <w:pStyle w:val="TableParagraph"/>
              <w:spacing w:before="38"/>
              <w:ind w:right="67"/>
              <w:jc w:val="right"/>
              <w:rPr>
                <w:sz w:val="14"/>
              </w:rPr>
            </w:pPr>
            <w:r>
              <w:rPr>
                <w:w w:val="95"/>
                <w:sz w:val="14"/>
              </w:rPr>
              <w:t>(3.413)</w:t>
            </w:r>
          </w:p>
        </w:tc>
      </w:tr>
      <w:tr>
        <w:trPr>
          <w:trHeight w:val="237" w:hRule="atLeast"/>
        </w:trPr>
        <w:tc>
          <w:tcPr>
            <w:tcW w:w="4787" w:type="dxa"/>
          </w:tcPr>
          <w:p>
            <w:pPr>
              <w:pStyle w:val="TableParagraph"/>
              <w:spacing w:before="36"/>
              <w:ind w:left="72"/>
              <w:rPr>
                <w:sz w:val="14"/>
              </w:rPr>
            </w:pPr>
            <w:r>
              <w:rPr>
                <w:sz w:val="14"/>
              </w:rPr>
              <w:t>Outras Despesas</w:t>
            </w:r>
          </w:p>
        </w:tc>
        <w:tc>
          <w:tcPr>
            <w:tcW w:w="1158" w:type="dxa"/>
          </w:tcPr>
          <w:p>
            <w:pPr>
              <w:pStyle w:val="TableParagraph"/>
              <w:rPr>
                <w:rFonts w:ascii="Times New Roman"/>
                <w:sz w:val="14"/>
              </w:rPr>
            </w:pPr>
          </w:p>
        </w:tc>
        <w:tc>
          <w:tcPr>
            <w:tcW w:w="1160" w:type="dxa"/>
          </w:tcPr>
          <w:p>
            <w:pPr>
              <w:pStyle w:val="TableParagraph"/>
              <w:spacing w:before="36"/>
              <w:ind w:right="62"/>
              <w:jc w:val="right"/>
              <w:rPr>
                <w:sz w:val="14"/>
              </w:rPr>
            </w:pPr>
            <w:r>
              <w:rPr>
                <w:w w:val="105"/>
                <w:sz w:val="14"/>
              </w:rPr>
              <w:t>(10)</w:t>
            </w:r>
          </w:p>
        </w:tc>
        <w:tc>
          <w:tcPr>
            <w:tcW w:w="1293" w:type="dxa"/>
          </w:tcPr>
          <w:p>
            <w:pPr>
              <w:pStyle w:val="TableParagraph"/>
              <w:spacing w:before="36"/>
              <w:ind w:right="60"/>
              <w:jc w:val="right"/>
              <w:rPr>
                <w:sz w:val="14"/>
              </w:rPr>
            </w:pPr>
            <w:r>
              <w:rPr>
                <w:w w:val="95"/>
                <w:sz w:val="14"/>
              </w:rPr>
              <w:t>4.470</w:t>
            </w:r>
          </w:p>
        </w:tc>
        <w:tc>
          <w:tcPr>
            <w:tcW w:w="1523" w:type="dxa"/>
          </w:tcPr>
          <w:p>
            <w:pPr>
              <w:pStyle w:val="TableParagraph"/>
              <w:spacing w:before="36"/>
              <w:ind w:right="67"/>
              <w:jc w:val="right"/>
              <w:rPr>
                <w:sz w:val="14"/>
              </w:rPr>
            </w:pPr>
            <w:r>
              <w:rPr>
                <w:w w:val="95"/>
                <w:sz w:val="14"/>
              </w:rPr>
              <w:t>(1.103)</w:t>
            </w:r>
          </w:p>
        </w:tc>
      </w:tr>
      <w:tr>
        <w:trPr>
          <w:trHeight w:val="237" w:hRule="atLeast"/>
        </w:trPr>
        <w:tc>
          <w:tcPr>
            <w:tcW w:w="4787" w:type="dxa"/>
          </w:tcPr>
          <w:p>
            <w:pPr>
              <w:pStyle w:val="TableParagraph"/>
              <w:spacing w:before="34"/>
              <w:ind w:left="72"/>
              <w:rPr>
                <w:rFonts w:ascii="Caladea"/>
                <w:b/>
                <w:sz w:val="14"/>
              </w:rPr>
            </w:pPr>
            <w:r>
              <w:rPr>
                <w:rFonts w:ascii="Caladea"/>
                <w:b/>
                <w:sz w:val="14"/>
              </w:rPr>
              <w:t>Subtotal</w:t>
            </w:r>
          </w:p>
        </w:tc>
        <w:tc>
          <w:tcPr>
            <w:tcW w:w="1158" w:type="dxa"/>
          </w:tcPr>
          <w:p>
            <w:pPr>
              <w:pStyle w:val="TableParagraph"/>
              <w:spacing w:before="34"/>
              <w:ind w:right="62"/>
              <w:jc w:val="right"/>
              <w:rPr>
                <w:rFonts w:ascii="Caladea"/>
                <w:b/>
                <w:sz w:val="14"/>
              </w:rPr>
            </w:pPr>
            <w:r>
              <w:rPr>
                <w:rFonts w:ascii="Caladea"/>
                <w:b/>
                <w:sz w:val="14"/>
              </w:rPr>
              <w:t>(100)</w:t>
            </w:r>
          </w:p>
        </w:tc>
        <w:tc>
          <w:tcPr>
            <w:tcW w:w="1160" w:type="dxa"/>
          </w:tcPr>
          <w:p>
            <w:pPr>
              <w:pStyle w:val="TableParagraph"/>
              <w:spacing w:before="34"/>
              <w:ind w:right="63"/>
              <w:jc w:val="right"/>
              <w:rPr>
                <w:rFonts w:ascii="Caladea"/>
                <w:b/>
                <w:sz w:val="14"/>
              </w:rPr>
            </w:pPr>
            <w:r>
              <w:rPr>
                <w:rFonts w:ascii="Caladea"/>
                <w:b/>
                <w:sz w:val="14"/>
              </w:rPr>
              <w:t>(10)</w:t>
            </w:r>
          </w:p>
        </w:tc>
        <w:tc>
          <w:tcPr>
            <w:tcW w:w="1293" w:type="dxa"/>
          </w:tcPr>
          <w:p>
            <w:pPr>
              <w:pStyle w:val="TableParagraph"/>
              <w:spacing w:before="34"/>
              <w:ind w:right="61"/>
              <w:jc w:val="right"/>
              <w:rPr>
                <w:rFonts w:ascii="Caladea"/>
                <w:b/>
                <w:sz w:val="14"/>
              </w:rPr>
            </w:pPr>
            <w:r>
              <w:rPr>
                <w:rFonts w:ascii="Caladea"/>
                <w:b/>
                <w:sz w:val="14"/>
              </w:rPr>
              <w:t>(35.019)</w:t>
            </w:r>
          </w:p>
        </w:tc>
        <w:tc>
          <w:tcPr>
            <w:tcW w:w="1523" w:type="dxa"/>
          </w:tcPr>
          <w:p>
            <w:pPr>
              <w:pStyle w:val="TableParagraph"/>
              <w:spacing w:before="34"/>
              <w:ind w:right="68"/>
              <w:jc w:val="right"/>
              <w:rPr>
                <w:rFonts w:ascii="Caladea"/>
                <w:b/>
                <w:sz w:val="14"/>
              </w:rPr>
            </w:pPr>
            <w:r>
              <w:rPr>
                <w:rFonts w:ascii="Caladea"/>
                <w:b/>
                <w:sz w:val="14"/>
              </w:rPr>
              <w:t>(33.710)</w:t>
            </w:r>
          </w:p>
        </w:tc>
      </w:tr>
      <w:tr>
        <w:trPr>
          <w:trHeight w:val="239" w:hRule="atLeast"/>
        </w:trPr>
        <w:tc>
          <w:tcPr>
            <w:tcW w:w="4787" w:type="dxa"/>
          </w:tcPr>
          <w:p>
            <w:pPr>
              <w:pStyle w:val="TableParagraph"/>
              <w:spacing w:before="37"/>
              <w:ind w:left="72"/>
              <w:rPr>
                <w:rFonts w:ascii="Caladea" w:hAnsi="Caladea"/>
                <w:b/>
                <w:sz w:val="14"/>
              </w:rPr>
            </w:pPr>
            <w:r>
              <w:rPr>
                <w:rFonts w:ascii="Caladea" w:hAnsi="Caladea"/>
                <w:b/>
                <w:sz w:val="14"/>
              </w:rPr>
              <w:t>Outras Receitas (Despesas) Operacionais, Líquidas</w:t>
            </w:r>
          </w:p>
        </w:tc>
        <w:tc>
          <w:tcPr>
            <w:tcW w:w="1158" w:type="dxa"/>
          </w:tcPr>
          <w:p>
            <w:pPr>
              <w:pStyle w:val="TableParagraph"/>
              <w:spacing w:before="37"/>
              <w:ind w:right="61"/>
              <w:jc w:val="right"/>
              <w:rPr>
                <w:rFonts w:ascii="Caladea"/>
                <w:b/>
                <w:sz w:val="14"/>
              </w:rPr>
            </w:pPr>
            <w:r>
              <w:rPr>
                <w:rFonts w:ascii="Caladea"/>
                <w:b/>
                <w:w w:val="95"/>
                <w:sz w:val="14"/>
              </w:rPr>
              <w:t>67</w:t>
            </w:r>
          </w:p>
        </w:tc>
        <w:tc>
          <w:tcPr>
            <w:tcW w:w="1160" w:type="dxa"/>
          </w:tcPr>
          <w:p>
            <w:pPr>
              <w:pStyle w:val="TableParagraph"/>
              <w:spacing w:before="37"/>
              <w:ind w:right="61"/>
              <w:jc w:val="right"/>
              <w:rPr>
                <w:rFonts w:ascii="Caladea"/>
                <w:b/>
                <w:sz w:val="14"/>
              </w:rPr>
            </w:pPr>
            <w:r>
              <w:rPr>
                <w:rFonts w:ascii="Caladea"/>
                <w:b/>
                <w:w w:val="95"/>
                <w:sz w:val="14"/>
              </w:rPr>
              <w:t>5.454</w:t>
            </w:r>
          </w:p>
        </w:tc>
        <w:tc>
          <w:tcPr>
            <w:tcW w:w="1293" w:type="dxa"/>
          </w:tcPr>
          <w:p>
            <w:pPr>
              <w:pStyle w:val="TableParagraph"/>
              <w:spacing w:before="37"/>
              <w:ind w:right="60"/>
              <w:jc w:val="right"/>
              <w:rPr>
                <w:rFonts w:ascii="Caladea"/>
                <w:b/>
                <w:sz w:val="14"/>
              </w:rPr>
            </w:pPr>
            <w:r>
              <w:rPr>
                <w:rFonts w:ascii="Caladea"/>
                <w:b/>
                <w:sz w:val="14"/>
              </w:rPr>
              <w:t>12.173</w:t>
            </w:r>
          </w:p>
        </w:tc>
        <w:tc>
          <w:tcPr>
            <w:tcW w:w="1523" w:type="dxa"/>
          </w:tcPr>
          <w:p>
            <w:pPr>
              <w:pStyle w:val="TableParagraph"/>
              <w:spacing w:before="37"/>
              <w:ind w:right="67"/>
              <w:jc w:val="right"/>
              <w:rPr>
                <w:rFonts w:ascii="Caladea"/>
                <w:b/>
                <w:sz w:val="14"/>
              </w:rPr>
            </w:pPr>
            <w:r>
              <w:rPr>
                <w:rFonts w:ascii="Caladea"/>
                <w:b/>
                <w:w w:val="95"/>
                <w:sz w:val="14"/>
              </w:rPr>
              <w:t>131.599</w:t>
            </w:r>
          </w:p>
        </w:tc>
      </w:tr>
    </w:tbl>
    <w:p>
      <w:pPr>
        <w:spacing w:after="0"/>
        <w:jc w:val="right"/>
        <w:rPr>
          <w:rFonts w:ascii="Caladea"/>
          <w:sz w:val="14"/>
        </w:rPr>
        <w:sectPr>
          <w:pgSz w:w="11910" w:h="16850"/>
          <w:pgMar w:header="792" w:footer="1029"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ListParagraph"/>
        <w:numPr>
          <w:ilvl w:val="0"/>
          <w:numId w:val="40"/>
        </w:numPr>
        <w:tabs>
          <w:tab w:pos="510" w:val="left" w:leader="none"/>
        </w:tabs>
        <w:spacing w:line="242" w:lineRule="auto" w:before="13" w:after="0"/>
        <w:ind w:left="172" w:right="405" w:firstLine="0"/>
        <w:jc w:val="both"/>
        <w:rPr>
          <w:sz w:val="20"/>
        </w:rPr>
      </w:pPr>
      <w:r>
        <w:rPr>
          <w:sz w:val="20"/>
        </w:rPr>
        <w:t>A</w:t>
      </w:r>
      <w:r>
        <w:rPr>
          <w:spacing w:val="-11"/>
          <w:sz w:val="20"/>
        </w:rPr>
        <w:t> </w:t>
      </w:r>
      <w:r>
        <w:rPr>
          <w:sz w:val="20"/>
        </w:rPr>
        <w:t>variação</w:t>
      </w:r>
      <w:r>
        <w:rPr>
          <w:spacing w:val="-12"/>
          <w:sz w:val="20"/>
        </w:rPr>
        <w:t> </w:t>
      </w:r>
      <w:r>
        <w:rPr>
          <w:sz w:val="20"/>
        </w:rPr>
        <w:t>se</w:t>
      </w:r>
      <w:r>
        <w:rPr>
          <w:spacing w:val="-12"/>
          <w:sz w:val="20"/>
        </w:rPr>
        <w:t> </w:t>
      </w:r>
      <w:r>
        <w:rPr>
          <w:sz w:val="20"/>
        </w:rPr>
        <w:t>refere</w:t>
      </w:r>
      <w:r>
        <w:rPr>
          <w:spacing w:val="-12"/>
          <w:sz w:val="20"/>
        </w:rPr>
        <w:t> </w:t>
      </w:r>
      <w:r>
        <w:rPr>
          <w:sz w:val="20"/>
        </w:rPr>
        <w:t>principalmente</w:t>
      </w:r>
      <w:r>
        <w:rPr>
          <w:spacing w:val="-13"/>
          <w:sz w:val="20"/>
        </w:rPr>
        <w:t> </w:t>
      </w:r>
      <w:r>
        <w:rPr>
          <w:sz w:val="20"/>
        </w:rPr>
        <w:t>à</w:t>
      </w:r>
      <w:r>
        <w:rPr>
          <w:spacing w:val="-10"/>
          <w:sz w:val="20"/>
        </w:rPr>
        <w:t> </w:t>
      </w:r>
      <w:r>
        <w:rPr>
          <w:sz w:val="20"/>
        </w:rPr>
        <w:t>reversão</w:t>
      </w:r>
      <w:r>
        <w:rPr>
          <w:spacing w:val="-11"/>
          <w:sz w:val="20"/>
        </w:rPr>
        <w:t> </w:t>
      </w:r>
      <w:r>
        <w:rPr>
          <w:sz w:val="20"/>
        </w:rPr>
        <w:t>da</w:t>
      </w:r>
      <w:r>
        <w:rPr>
          <w:spacing w:val="-10"/>
          <w:sz w:val="20"/>
        </w:rPr>
        <w:t> </w:t>
      </w:r>
      <w:r>
        <w:rPr>
          <w:sz w:val="20"/>
        </w:rPr>
        <w:t>provisão</w:t>
      </w:r>
      <w:r>
        <w:rPr>
          <w:spacing w:val="-12"/>
          <w:sz w:val="20"/>
        </w:rPr>
        <w:t> </w:t>
      </w:r>
      <w:r>
        <w:rPr>
          <w:sz w:val="20"/>
        </w:rPr>
        <w:t>para</w:t>
      </w:r>
      <w:r>
        <w:rPr>
          <w:spacing w:val="-10"/>
          <w:sz w:val="20"/>
        </w:rPr>
        <w:t> </w:t>
      </w:r>
      <w:r>
        <w:rPr>
          <w:sz w:val="20"/>
        </w:rPr>
        <w:t>contingência,</w:t>
      </w:r>
      <w:r>
        <w:rPr>
          <w:spacing w:val="-12"/>
          <w:sz w:val="20"/>
        </w:rPr>
        <w:t> </w:t>
      </w:r>
      <w:r>
        <w:rPr>
          <w:sz w:val="20"/>
        </w:rPr>
        <w:t>em</w:t>
      </w:r>
      <w:r>
        <w:rPr>
          <w:spacing w:val="-11"/>
          <w:sz w:val="20"/>
        </w:rPr>
        <w:t> </w:t>
      </w:r>
      <w:r>
        <w:rPr>
          <w:sz w:val="20"/>
        </w:rPr>
        <w:t>2018,</w:t>
      </w:r>
      <w:r>
        <w:rPr>
          <w:spacing w:val="-10"/>
          <w:sz w:val="20"/>
        </w:rPr>
        <w:t> </w:t>
      </w:r>
      <w:r>
        <w:rPr>
          <w:sz w:val="20"/>
        </w:rPr>
        <w:t>do</w:t>
      </w:r>
      <w:r>
        <w:rPr>
          <w:spacing w:val="-13"/>
          <w:sz w:val="20"/>
        </w:rPr>
        <w:t> </w:t>
      </w:r>
      <w:r>
        <w:rPr>
          <w:sz w:val="20"/>
        </w:rPr>
        <w:t>Auto</w:t>
      </w:r>
      <w:r>
        <w:rPr>
          <w:spacing w:val="-11"/>
          <w:sz w:val="20"/>
        </w:rPr>
        <w:t> </w:t>
      </w:r>
      <w:r>
        <w:rPr>
          <w:sz w:val="20"/>
        </w:rPr>
        <w:t>de</w:t>
      </w:r>
      <w:r>
        <w:rPr>
          <w:spacing w:val="-12"/>
          <w:sz w:val="20"/>
        </w:rPr>
        <w:t> </w:t>
      </w:r>
      <w:r>
        <w:rPr>
          <w:sz w:val="20"/>
        </w:rPr>
        <w:t>Infração ANEEL</w:t>
      </w:r>
      <w:r>
        <w:rPr>
          <w:spacing w:val="-26"/>
          <w:sz w:val="20"/>
        </w:rPr>
        <w:t> </w:t>
      </w:r>
      <w:r>
        <w:rPr>
          <w:sz w:val="20"/>
        </w:rPr>
        <w:t>nº</w:t>
      </w:r>
      <w:r>
        <w:rPr>
          <w:spacing w:val="-25"/>
          <w:sz w:val="20"/>
        </w:rPr>
        <w:t> </w:t>
      </w:r>
      <w:r>
        <w:rPr>
          <w:sz w:val="20"/>
        </w:rPr>
        <w:t>18/2003,</w:t>
      </w:r>
      <w:r>
        <w:rPr>
          <w:spacing w:val="-25"/>
          <w:sz w:val="20"/>
        </w:rPr>
        <w:t> </w:t>
      </w:r>
      <w:r>
        <w:rPr>
          <w:sz w:val="20"/>
        </w:rPr>
        <w:t>tendo</w:t>
      </w:r>
      <w:r>
        <w:rPr>
          <w:spacing w:val="-24"/>
          <w:sz w:val="20"/>
        </w:rPr>
        <w:t> </w:t>
      </w:r>
      <w:r>
        <w:rPr>
          <w:sz w:val="20"/>
        </w:rPr>
        <w:t>em</w:t>
      </w:r>
      <w:r>
        <w:rPr>
          <w:spacing w:val="-26"/>
          <w:sz w:val="20"/>
        </w:rPr>
        <w:t> </w:t>
      </w:r>
      <w:r>
        <w:rPr>
          <w:sz w:val="20"/>
        </w:rPr>
        <w:t>vista</w:t>
      </w:r>
      <w:r>
        <w:rPr>
          <w:spacing w:val="-26"/>
          <w:sz w:val="20"/>
        </w:rPr>
        <w:t> </w:t>
      </w:r>
      <w:r>
        <w:rPr>
          <w:sz w:val="20"/>
        </w:rPr>
        <w:t>a</w:t>
      </w:r>
      <w:r>
        <w:rPr>
          <w:spacing w:val="-24"/>
          <w:sz w:val="20"/>
        </w:rPr>
        <w:t> </w:t>
      </w:r>
      <w:r>
        <w:rPr>
          <w:sz w:val="20"/>
        </w:rPr>
        <w:t>mudança</w:t>
      </w:r>
      <w:r>
        <w:rPr>
          <w:spacing w:val="-25"/>
          <w:sz w:val="20"/>
        </w:rPr>
        <w:t> </w:t>
      </w:r>
      <w:r>
        <w:rPr>
          <w:sz w:val="20"/>
        </w:rPr>
        <w:t>de</w:t>
      </w:r>
      <w:r>
        <w:rPr>
          <w:spacing w:val="-27"/>
          <w:sz w:val="20"/>
        </w:rPr>
        <w:t> </w:t>
      </w:r>
      <w:r>
        <w:rPr>
          <w:sz w:val="20"/>
        </w:rPr>
        <w:t>classificação</w:t>
      </w:r>
      <w:r>
        <w:rPr>
          <w:spacing w:val="-27"/>
          <w:sz w:val="20"/>
        </w:rPr>
        <w:t> </w:t>
      </w:r>
      <w:r>
        <w:rPr>
          <w:sz w:val="20"/>
        </w:rPr>
        <w:t>de</w:t>
      </w:r>
      <w:r>
        <w:rPr>
          <w:spacing w:val="-27"/>
          <w:sz w:val="20"/>
        </w:rPr>
        <w:t> </w:t>
      </w:r>
      <w:r>
        <w:rPr>
          <w:sz w:val="20"/>
        </w:rPr>
        <w:t>provável</w:t>
      </w:r>
      <w:r>
        <w:rPr>
          <w:spacing w:val="-26"/>
          <w:sz w:val="20"/>
        </w:rPr>
        <w:t> </w:t>
      </w:r>
      <w:r>
        <w:rPr>
          <w:sz w:val="20"/>
        </w:rPr>
        <w:t>para</w:t>
      </w:r>
      <w:r>
        <w:rPr>
          <w:spacing w:val="-23"/>
          <w:sz w:val="20"/>
        </w:rPr>
        <w:t> </w:t>
      </w:r>
      <w:r>
        <w:rPr>
          <w:sz w:val="20"/>
        </w:rPr>
        <w:t>possível</w:t>
      </w:r>
      <w:r>
        <w:rPr>
          <w:spacing w:val="-26"/>
          <w:sz w:val="20"/>
        </w:rPr>
        <w:t> </w:t>
      </w:r>
      <w:r>
        <w:rPr>
          <w:sz w:val="20"/>
        </w:rPr>
        <w:t>realizada</w:t>
      </w:r>
      <w:r>
        <w:rPr>
          <w:spacing w:val="-16"/>
          <w:sz w:val="20"/>
        </w:rPr>
        <w:t> </w:t>
      </w:r>
      <w:r>
        <w:rPr>
          <w:sz w:val="20"/>
        </w:rPr>
        <w:t>pela</w:t>
      </w:r>
      <w:r>
        <w:rPr>
          <w:spacing w:val="-26"/>
          <w:sz w:val="20"/>
        </w:rPr>
        <w:t> </w:t>
      </w:r>
      <w:r>
        <w:rPr>
          <w:sz w:val="20"/>
        </w:rPr>
        <w:t>Consultoria Jurídica</w:t>
      </w:r>
      <w:r>
        <w:rPr>
          <w:spacing w:val="-19"/>
          <w:sz w:val="20"/>
        </w:rPr>
        <w:t> </w:t>
      </w:r>
      <w:r>
        <w:rPr>
          <w:sz w:val="20"/>
        </w:rPr>
        <w:t>da</w:t>
      </w:r>
      <w:r>
        <w:rPr>
          <w:spacing w:val="-18"/>
          <w:sz w:val="20"/>
        </w:rPr>
        <w:t> </w:t>
      </w:r>
      <w:r>
        <w:rPr>
          <w:sz w:val="20"/>
        </w:rPr>
        <w:t>CEB</w:t>
      </w:r>
      <w:r>
        <w:rPr>
          <w:spacing w:val="-18"/>
          <w:sz w:val="20"/>
        </w:rPr>
        <w:t> </w:t>
      </w:r>
      <w:r>
        <w:rPr>
          <w:sz w:val="20"/>
        </w:rPr>
        <w:t>Distribuição</w:t>
      </w:r>
      <w:r>
        <w:rPr>
          <w:spacing w:val="-14"/>
          <w:sz w:val="20"/>
        </w:rPr>
        <w:t> </w:t>
      </w:r>
      <w:r>
        <w:rPr>
          <w:sz w:val="20"/>
        </w:rPr>
        <w:t>S.A..</w:t>
      </w:r>
    </w:p>
    <w:p>
      <w:pPr>
        <w:pStyle w:val="ListParagraph"/>
        <w:numPr>
          <w:ilvl w:val="0"/>
          <w:numId w:val="40"/>
        </w:numPr>
        <w:tabs>
          <w:tab w:pos="498" w:val="left" w:leader="none"/>
        </w:tabs>
        <w:spacing w:line="240" w:lineRule="auto" w:before="0" w:after="0"/>
        <w:ind w:left="497" w:right="0" w:hanging="326"/>
        <w:jc w:val="both"/>
        <w:rPr>
          <w:sz w:val="20"/>
        </w:rPr>
      </w:pPr>
      <w:r>
        <w:rPr>
          <w:sz w:val="20"/>
        </w:rPr>
        <w:t>Em</w:t>
      </w:r>
      <w:r>
        <w:rPr>
          <w:spacing w:val="-22"/>
          <w:sz w:val="20"/>
        </w:rPr>
        <w:t> </w:t>
      </w:r>
      <w:r>
        <w:rPr>
          <w:sz w:val="20"/>
        </w:rPr>
        <w:t>2018,</w:t>
      </w:r>
      <w:r>
        <w:rPr>
          <w:spacing w:val="-21"/>
          <w:sz w:val="20"/>
        </w:rPr>
        <w:t> </w:t>
      </w:r>
      <w:r>
        <w:rPr>
          <w:sz w:val="20"/>
        </w:rPr>
        <w:t>a</w:t>
      </w:r>
      <w:r>
        <w:rPr>
          <w:spacing w:val="-20"/>
          <w:sz w:val="20"/>
        </w:rPr>
        <w:t> </w:t>
      </w:r>
      <w:r>
        <w:rPr>
          <w:sz w:val="20"/>
        </w:rPr>
        <w:t>CEB</w:t>
      </w:r>
      <w:r>
        <w:rPr>
          <w:spacing w:val="-21"/>
          <w:sz w:val="20"/>
        </w:rPr>
        <w:t> </w:t>
      </w:r>
      <w:r>
        <w:rPr>
          <w:sz w:val="20"/>
        </w:rPr>
        <w:t>Geração</w:t>
      </w:r>
      <w:r>
        <w:rPr>
          <w:spacing w:val="-22"/>
          <w:sz w:val="20"/>
        </w:rPr>
        <w:t> </w:t>
      </w:r>
      <w:r>
        <w:rPr>
          <w:sz w:val="20"/>
        </w:rPr>
        <w:t>S.A.</w:t>
      </w:r>
      <w:r>
        <w:rPr>
          <w:spacing w:val="-20"/>
          <w:sz w:val="20"/>
        </w:rPr>
        <w:t> </w:t>
      </w:r>
      <w:r>
        <w:rPr>
          <w:sz w:val="20"/>
        </w:rPr>
        <w:t>efetuou</w:t>
      </w:r>
      <w:r>
        <w:rPr>
          <w:spacing w:val="-21"/>
          <w:sz w:val="20"/>
        </w:rPr>
        <w:t> </w:t>
      </w:r>
      <w:r>
        <w:rPr>
          <w:sz w:val="20"/>
        </w:rPr>
        <w:t>a</w:t>
      </w:r>
      <w:r>
        <w:rPr>
          <w:spacing w:val="-21"/>
          <w:sz w:val="20"/>
        </w:rPr>
        <w:t> </w:t>
      </w:r>
      <w:r>
        <w:rPr>
          <w:sz w:val="20"/>
        </w:rPr>
        <w:t>alienação</w:t>
      </w:r>
      <w:r>
        <w:rPr>
          <w:spacing w:val="-21"/>
          <w:sz w:val="20"/>
        </w:rPr>
        <w:t> </w:t>
      </w:r>
      <w:r>
        <w:rPr>
          <w:sz w:val="20"/>
        </w:rPr>
        <w:t>de</w:t>
      </w:r>
      <w:r>
        <w:rPr>
          <w:spacing w:val="-21"/>
          <w:sz w:val="20"/>
        </w:rPr>
        <w:t> </w:t>
      </w:r>
      <w:r>
        <w:rPr>
          <w:sz w:val="20"/>
        </w:rPr>
        <w:t>um</w:t>
      </w:r>
      <w:r>
        <w:rPr>
          <w:spacing w:val="-22"/>
          <w:sz w:val="20"/>
        </w:rPr>
        <w:t> </w:t>
      </w:r>
      <w:r>
        <w:rPr>
          <w:sz w:val="20"/>
        </w:rPr>
        <w:t>imóvel</w:t>
      </w:r>
      <w:r>
        <w:rPr>
          <w:spacing w:val="-18"/>
          <w:sz w:val="20"/>
        </w:rPr>
        <w:t> </w:t>
      </w:r>
      <w:r>
        <w:rPr>
          <w:sz w:val="20"/>
        </w:rPr>
        <w:t>no</w:t>
      </w:r>
      <w:r>
        <w:rPr>
          <w:spacing w:val="-21"/>
          <w:sz w:val="20"/>
        </w:rPr>
        <w:t> </w:t>
      </w:r>
      <w:r>
        <w:rPr>
          <w:sz w:val="20"/>
        </w:rPr>
        <w:t>valor</w:t>
      </w:r>
      <w:r>
        <w:rPr>
          <w:spacing w:val="-20"/>
          <w:sz w:val="20"/>
        </w:rPr>
        <w:t> </w:t>
      </w:r>
      <w:r>
        <w:rPr>
          <w:sz w:val="20"/>
        </w:rPr>
        <w:t>de</w:t>
      </w:r>
      <w:r>
        <w:rPr>
          <w:spacing w:val="-21"/>
          <w:sz w:val="20"/>
        </w:rPr>
        <w:t> </w:t>
      </w:r>
      <w:r>
        <w:rPr>
          <w:sz w:val="20"/>
        </w:rPr>
        <w:t>R$</w:t>
      </w:r>
      <w:r>
        <w:rPr>
          <w:spacing w:val="-20"/>
          <w:sz w:val="20"/>
        </w:rPr>
        <w:t> </w:t>
      </w:r>
      <w:r>
        <w:rPr>
          <w:sz w:val="20"/>
        </w:rPr>
        <w:t>76.100.</w:t>
      </w:r>
    </w:p>
    <w:p>
      <w:pPr>
        <w:pStyle w:val="BodyText"/>
        <w:spacing w:line="242" w:lineRule="auto" w:before="121"/>
        <w:ind w:left="172"/>
      </w:pPr>
      <w:r>
        <w:rPr/>
        <w:t>Como</w:t>
      </w:r>
      <w:r>
        <w:rPr>
          <w:spacing w:val="-19"/>
        </w:rPr>
        <w:t> </w:t>
      </w:r>
      <w:r>
        <w:rPr/>
        <w:t>medida</w:t>
      </w:r>
      <w:r>
        <w:rPr>
          <w:spacing w:val="-18"/>
        </w:rPr>
        <w:t> </w:t>
      </w:r>
      <w:r>
        <w:rPr/>
        <w:t>de</w:t>
      </w:r>
      <w:r>
        <w:rPr>
          <w:spacing w:val="-19"/>
        </w:rPr>
        <w:t> </w:t>
      </w:r>
      <w:r>
        <w:rPr/>
        <w:t>flexibilização</w:t>
      </w:r>
      <w:r>
        <w:rPr>
          <w:spacing w:val="-20"/>
        </w:rPr>
        <w:t> </w:t>
      </w:r>
      <w:r>
        <w:rPr/>
        <w:t>para</w:t>
      </w:r>
      <w:r>
        <w:rPr>
          <w:spacing w:val="-18"/>
        </w:rPr>
        <w:t> </w:t>
      </w:r>
      <w:r>
        <w:rPr/>
        <w:t>mitigar</w:t>
      </w:r>
      <w:r>
        <w:rPr>
          <w:spacing w:val="-19"/>
        </w:rPr>
        <w:t> </w:t>
      </w:r>
      <w:r>
        <w:rPr/>
        <w:t>o</w:t>
      </w:r>
      <w:r>
        <w:rPr>
          <w:spacing w:val="-19"/>
        </w:rPr>
        <w:t> </w:t>
      </w:r>
      <w:r>
        <w:rPr/>
        <w:t>desequilíbrio</w:t>
      </w:r>
      <w:r>
        <w:rPr>
          <w:spacing w:val="-17"/>
        </w:rPr>
        <w:t> </w:t>
      </w:r>
      <w:r>
        <w:rPr/>
        <w:t>financeiro</w:t>
      </w:r>
      <w:r>
        <w:rPr>
          <w:spacing w:val="-18"/>
        </w:rPr>
        <w:t> </w:t>
      </w:r>
      <w:r>
        <w:rPr/>
        <w:t>da</w:t>
      </w:r>
      <w:r>
        <w:rPr>
          <w:spacing w:val="-20"/>
        </w:rPr>
        <w:t> </w:t>
      </w:r>
      <w:r>
        <w:rPr/>
        <w:t>CEB</w:t>
      </w:r>
      <w:r>
        <w:rPr>
          <w:spacing w:val="-17"/>
        </w:rPr>
        <w:t> </w:t>
      </w:r>
      <w:r>
        <w:rPr/>
        <w:t>DIS,</w:t>
      </w:r>
      <w:r>
        <w:rPr>
          <w:spacing w:val="-17"/>
        </w:rPr>
        <w:t> </w:t>
      </w:r>
      <w:r>
        <w:rPr/>
        <w:t>a</w:t>
      </w:r>
      <w:r>
        <w:rPr>
          <w:spacing w:val="-12"/>
        </w:rPr>
        <w:t> </w:t>
      </w:r>
      <w:r>
        <w:rPr/>
        <w:t>Distribuidora</w:t>
      </w:r>
      <w:r>
        <w:rPr>
          <w:spacing w:val="-17"/>
        </w:rPr>
        <w:t> </w:t>
      </w:r>
      <w:r>
        <w:rPr/>
        <w:t>vem</w:t>
      </w:r>
      <w:r>
        <w:rPr>
          <w:spacing w:val="-18"/>
        </w:rPr>
        <w:t> </w:t>
      </w:r>
      <w:r>
        <w:rPr/>
        <w:t>realizando licitações</w:t>
      </w:r>
      <w:r>
        <w:rPr>
          <w:spacing w:val="-20"/>
        </w:rPr>
        <w:t> </w:t>
      </w:r>
      <w:r>
        <w:rPr/>
        <w:t>para</w:t>
      </w:r>
      <w:r>
        <w:rPr>
          <w:spacing w:val="-20"/>
        </w:rPr>
        <w:t> </w:t>
      </w:r>
      <w:r>
        <w:rPr/>
        <w:t>alienação</w:t>
      </w:r>
      <w:r>
        <w:rPr>
          <w:spacing w:val="-21"/>
        </w:rPr>
        <w:t> </w:t>
      </w:r>
      <w:r>
        <w:rPr/>
        <w:t>de</w:t>
      </w:r>
      <w:r>
        <w:rPr>
          <w:spacing w:val="-20"/>
        </w:rPr>
        <w:t> </w:t>
      </w:r>
      <w:r>
        <w:rPr/>
        <w:t>terrenos,</w:t>
      </w:r>
      <w:r>
        <w:rPr>
          <w:spacing w:val="-20"/>
        </w:rPr>
        <w:t> </w:t>
      </w:r>
      <w:r>
        <w:rPr/>
        <w:t>conforme</w:t>
      </w:r>
      <w:r>
        <w:rPr>
          <w:spacing w:val="-22"/>
        </w:rPr>
        <w:t> </w:t>
      </w:r>
      <w:r>
        <w:rPr/>
        <w:t>demonstrado</w:t>
      </w:r>
      <w:r>
        <w:rPr>
          <w:spacing w:val="-20"/>
        </w:rPr>
        <w:t> </w:t>
      </w:r>
      <w:r>
        <w:rPr/>
        <w:t>a</w:t>
      </w:r>
      <w:r>
        <w:rPr>
          <w:spacing w:val="-20"/>
        </w:rPr>
        <w:t> </w:t>
      </w:r>
      <w:r>
        <w:rPr/>
        <w:t>seguir:</w:t>
      </w:r>
    </w:p>
    <w:p>
      <w:pPr>
        <w:pStyle w:val="BodyText"/>
        <w:spacing w:before="8"/>
        <w:rPr>
          <w:sz w:val="11"/>
        </w:rPr>
      </w:pPr>
    </w:p>
    <w:tbl>
      <w:tblPr>
        <w:tblW w:w="0" w:type="auto"/>
        <w:jc w:val="left"/>
        <w:tblInd w:w="17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top w:w="0" w:type="dxa"/>
          <w:left w:w="0" w:type="dxa"/>
          <w:bottom w:w="0" w:type="dxa"/>
          <w:right w:w="0" w:type="dxa"/>
        </w:tblCellMar>
        <w:tblLook w:val="01E0"/>
      </w:tblPr>
      <w:tblGrid>
        <w:gridCol w:w="3510"/>
        <w:gridCol w:w="3308"/>
        <w:gridCol w:w="3097"/>
      </w:tblGrid>
      <w:tr>
        <w:trPr>
          <w:trHeight w:val="1501" w:hRule="atLeast"/>
        </w:trPr>
        <w:tc>
          <w:tcPr>
            <w:tcW w:w="3510" w:type="dxa"/>
          </w:tcPr>
          <w:p>
            <w:pPr>
              <w:pStyle w:val="TableParagraph"/>
              <w:spacing w:before="92"/>
              <w:ind w:left="72"/>
              <w:rPr>
                <w:rFonts w:ascii="Caladea" w:hAnsi="Caladea"/>
                <w:b/>
                <w:sz w:val="16"/>
              </w:rPr>
            </w:pPr>
            <w:r>
              <w:rPr>
                <w:rFonts w:ascii="Caladea" w:hAnsi="Caladea"/>
                <w:b/>
                <w:sz w:val="16"/>
              </w:rPr>
              <w:t>1) IMÓVEL LAGO SUL (LIC Nº 1144/2019):</w:t>
            </w:r>
          </w:p>
          <w:p>
            <w:pPr>
              <w:pStyle w:val="TableParagraph"/>
              <w:spacing w:before="5"/>
              <w:rPr>
                <w:sz w:val="16"/>
              </w:rPr>
            </w:pPr>
          </w:p>
          <w:p>
            <w:pPr>
              <w:pStyle w:val="TableParagraph"/>
              <w:numPr>
                <w:ilvl w:val="0"/>
                <w:numId w:val="41"/>
              </w:numPr>
              <w:tabs>
                <w:tab w:pos="162" w:val="left" w:leader="none"/>
              </w:tabs>
              <w:spacing w:line="240" w:lineRule="auto" w:before="1" w:after="0"/>
              <w:ind w:left="161" w:right="0" w:hanging="90"/>
              <w:jc w:val="left"/>
              <w:rPr>
                <w:sz w:val="16"/>
              </w:rPr>
            </w:pPr>
            <w:r>
              <w:rPr>
                <w:sz w:val="16"/>
              </w:rPr>
              <w:t>A</w:t>
            </w:r>
            <w:r>
              <w:rPr>
                <w:spacing w:val="-17"/>
                <w:sz w:val="16"/>
              </w:rPr>
              <w:t> </w:t>
            </w:r>
            <w:r>
              <w:rPr>
                <w:sz w:val="16"/>
              </w:rPr>
              <w:t>licitação</w:t>
            </w:r>
            <w:r>
              <w:rPr>
                <w:spacing w:val="-18"/>
                <w:sz w:val="16"/>
              </w:rPr>
              <w:t> </w:t>
            </w:r>
            <w:r>
              <w:rPr>
                <w:sz w:val="16"/>
              </w:rPr>
              <w:t>ocorreu</w:t>
            </w:r>
            <w:r>
              <w:rPr>
                <w:spacing w:val="-18"/>
                <w:sz w:val="16"/>
              </w:rPr>
              <w:t> </w:t>
            </w:r>
            <w:r>
              <w:rPr>
                <w:sz w:val="16"/>
              </w:rPr>
              <w:t>no</w:t>
            </w:r>
            <w:r>
              <w:rPr>
                <w:spacing w:val="-18"/>
                <w:sz w:val="16"/>
              </w:rPr>
              <w:t> </w:t>
            </w:r>
            <w:r>
              <w:rPr>
                <w:sz w:val="16"/>
              </w:rPr>
              <w:t>dia</w:t>
            </w:r>
            <w:r>
              <w:rPr>
                <w:spacing w:val="-17"/>
                <w:sz w:val="16"/>
              </w:rPr>
              <w:t> </w:t>
            </w:r>
            <w:r>
              <w:rPr>
                <w:sz w:val="16"/>
              </w:rPr>
              <w:t>30/09/2019</w:t>
            </w:r>
            <w:r>
              <w:rPr>
                <w:spacing w:val="-17"/>
                <w:sz w:val="16"/>
              </w:rPr>
              <w:t> </w:t>
            </w:r>
            <w:r>
              <w:rPr>
                <w:sz w:val="16"/>
              </w:rPr>
              <w:t>às</w:t>
            </w:r>
            <w:r>
              <w:rPr>
                <w:spacing w:val="-19"/>
                <w:sz w:val="16"/>
              </w:rPr>
              <w:t> </w:t>
            </w:r>
            <w:r>
              <w:rPr>
                <w:sz w:val="16"/>
              </w:rPr>
              <w:t>15h;</w:t>
            </w:r>
          </w:p>
          <w:p>
            <w:pPr>
              <w:pStyle w:val="TableParagraph"/>
              <w:numPr>
                <w:ilvl w:val="0"/>
                <w:numId w:val="41"/>
              </w:numPr>
              <w:tabs>
                <w:tab w:pos="162" w:val="left" w:leader="none"/>
              </w:tabs>
              <w:spacing w:line="240" w:lineRule="auto" w:before="95" w:after="0"/>
              <w:ind w:left="161" w:right="0" w:hanging="90"/>
              <w:jc w:val="left"/>
              <w:rPr>
                <w:sz w:val="16"/>
              </w:rPr>
            </w:pPr>
            <w:r>
              <w:rPr>
                <w:sz w:val="16"/>
              </w:rPr>
              <w:t>Valor</w:t>
            </w:r>
            <w:r>
              <w:rPr>
                <w:spacing w:val="-21"/>
                <w:sz w:val="16"/>
              </w:rPr>
              <w:t> </w:t>
            </w:r>
            <w:r>
              <w:rPr>
                <w:sz w:val="16"/>
              </w:rPr>
              <w:t>mínimo</w:t>
            </w:r>
            <w:r>
              <w:rPr>
                <w:spacing w:val="-18"/>
                <w:sz w:val="16"/>
              </w:rPr>
              <w:t> </w:t>
            </w:r>
            <w:r>
              <w:rPr>
                <w:sz w:val="16"/>
              </w:rPr>
              <w:t>do</w:t>
            </w:r>
            <w:r>
              <w:rPr>
                <w:spacing w:val="-20"/>
                <w:sz w:val="16"/>
              </w:rPr>
              <w:t> </w:t>
            </w:r>
            <w:r>
              <w:rPr>
                <w:sz w:val="16"/>
              </w:rPr>
              <w:t>terreno:</w:t>
            </w:r>
            <w:r>
              <w:rPr>
                <w:spacing w:val="-20"/>
                <w:sz w:val="16"/>
              </w:rPr>
              <w:t> </w:t>
            </w:r>
            <w:r>
              <w:rPr>
                <w:sz w:val="16"/>
              </w:rPr>
              <w:t>R$</w:t>
            </w:r>
            <w:r>
              <w:rPr>
                <w:spacing w:val="-19"/>
                <w:sz w:val="16"/>
              </w:rPr>
              <w:t> </w:t>
            </w:r>
            <w:r>
              <w:rPr>
                <w:sz w:val="16"/>
              </w:rPr>
              <w:t>3.350.000,00;</w:t>
            </w:r>
          </w:p>
          <w:p>
            <w:pPr>
              <w:pStyle w:val="TableParagraph"/>
              <w:numPr>
                <w:ilvl w:val="0"/>
                <w:numId w:val="41"/>
              </w:numPr>
              <w:tabs>
                <w:tab w:pos="162" w:val="left" w:leader="none"/>
              </w:tabs>
              <w:spacing w:line="240" w:lineRule="auto" w:before="1" w:after="0"/>
              <w:ind w:left="161" w:right="0" w:hanging="90"/>
              <w:jc w:val="left"/>
              <w:rPr>
                <w:sz w:val="16"/>
              </w:rPr>
            </w:pPr>
            <w:r>
              <w:rPr>
                <w:sz w:val="16"/>
              </w:rPr>
              <w:t>Valor</w:t>
            </w:r>
            <w:r>
              <w:rPr>
                <w:spacing w:val="-19"/>
                <w:sz w:val="16"/>
              </w:rPr>
              <w:t> </w:t>
            </w:r>
            <w:r>
              <w:rPr>
                <w:sz w:val="16"/>
              </w:rPr>
              <w:t>adjudicado:</w:t>
            </w:r>
            <w:r>
              <w:rPr>
                <w:spacing w:val="-18"/>
                <w:sz w:val="16"/>
              </w:rPr>
              <w:t> </w:t>
            </w:r>
            <w:r>
              <w:rPr>
                <w:sz w:val="16"/>
              </w:rPr>
              <w:t>R$</w:t>
            </w:r>
            <w:r>
              <w:rPr>
                <w:spacing w:val="-18"/>
                <w:sz w:val="16"/>
              </w:rPr>
              <w:t> </w:t>
            </w:r>
            <w:r>
              <w:rPr>
                <w:sz w:val="16"/>
              </w:rPr>
              <w:t>3.551.100,00;</w:t>
            </w:r>
          </w:p>
          <w:p>
            <w:pPr>
              <w:pStyle w:val="TableParagraph"/>
              <w:numPr>
                <w:ilvl w:val="0"/>
                <w:numId w:val="41"/>
              </w:numPr>
              <w:tabs>
                <w:tab w:pos="162" w:val="left" w:leader="none"/>
              </w:tabs>
              <w:spacing w:line="240" w:lineRule="auto" w:before="1" w:after="0"/>
              <w:ind w:left="161" w:right="0" w:hanging="90"/>
              <w:jc w:val="left"/>
              <w:rPr>
                <w:sz w:val="16"/>
              </w:rPr>
            </w:pPr>
            <w:r>
              <w:rPr>
                <w:w w:val="105"/>
                <w:sz w:val="16"/>
              </w:rPr>
              <w:t>Ágio:</w:t>
            </w:r>
            <w:r>
              <w:rPr>
                <w:spacing w:val="-17"/>
                <w:w w:val="105"/>
                <w:sz w:val="16"/>
              </w:rPr>
              <w:t> </w:t>
            </w:r>
            <w:r>
              <w:rPr>
                <w:w w:val="105"/>
                <w:sz w:val="16"/>
              </w:rPr>
              <w:t>6%;</w:t>
            </w:r>
          </w:p>
        </w:tc>
        <w:tc>
          <w:tcPr>
            <w:tcW w:w="3308" w:type="dxa"/>
          </w:tcPr>
          <w:p>
            <w:pPr>
              <w:pStyle w:val="TableParagraph"/>
              <w:tabs>
                <w:tab w:pos="445" w:val="left" w:leader="none"/>
              </w:tabs>
              <w:spacing w:before="92"/>
              <w:ind w:left="71"/>
              <w:rPr>
                <w:rFonts w:ascii="Caladea" w:hAnsi="Caladea"/>
                <w:b/>
                <w:sz w:val="16"/>
              </w:rPr>
            </w:pPr>
            <w:r>
              <w:rPr>
                <w:rFonts w:ascii="Caladea" w:hAnsi="Caladea"/>
                <w:b/>
                <w:sz w:val="16"/>
              </w:rPr>
              <w:t>2)</w:t>
              <w:tab/>
              <w:t>IMÓVEL GUARÁ (LIC Nº</w:t>
            </w:r>
            <w:r>
              <w:rPr>
                <w:rFonts w:ascii="Caladea" w:hAnsi="Caladea"/>
                <w:b/>
                <w:spacing w:val="-8"/>
                <w:sz w:val="16"/>
              </w:rPr>
              <w:t> </w:t>
            </w:r>
            <w:r>
              <w:rPr>
                <w:rFonts w:ascii="Caladea" w:hAnsi="Caladea"/>
                <w:b/>
                <w:sz w:val="16"/>
              </w:rPr>
              <w:t>1144/2019):</w:t>
            </w:r>
          </w:p>
          <w:p>
            <w:pPr>
              <w:pStyle w:val="TableParagraph"/>
              <w:numPr>
                <w:ilvl w:val="0"/>
                <w:numId w:val="42"/>
              </w:numPr>
              <w:tabs>
                <w:tab w:pos="161" w:val="left" w:leader="none"/>
              </w:tabs>
              <w:spacing w:line="240" w:lineRule="auto" w:before="98" w:after="0"/>
              <w:ind w:left="71" w:right="318" w:firstLine="0"/>
              <w:jc w:val="left"/>
              <w:rPr>
                <w:sz w:val="16"/>
              </w:rPr>
            </w:pPr>
            <w:r>
              <w:rPr>
                <w:sz w:val="16"/>
              </w:rPr>
              <w:t>A</w:t>
            </w:r>
            <w:r>
              <w:rPr>
                <w:spacing w:val="-20"/>
                <w:sz w:val="16"/>
              </w:rPr>
              <w:t> </w:t>
            </w:r>
            <w:r>
              <w:rPr>
                <w:sz w:val="16"/>
              </w:rPr>
              <w:t>licitação</w:t>
            </w:r>
            <w:r>
              <w:rPr>
                <w:spacing w:val="-21"/>
                <w:sz w:val="16"/>
              </w:rPr>
              <w:t> </w:t>
            </w:r>
            <w:r>
              <w:rPr>
                <w:sz w:val="16"/>
              </w:rPr>
              <w:t>ocorreu</w:t>
            </w:r>
            <w:r>
              <w:rPr>
                <w:spacing w:val="-20"/>
                <w:sz w:val="16"/>
              </w:rPr>
              <w:t> </w:t>
            </w:r>
            <w:r>
              <w:rPr>
                <w:sz w:val="16"/>
              </w:rPr>
              <w:t>no</w:t>
            </w:r>
            <w:r>
              <w:rPr>
                <w:spacing w:val="-21"/>
                <w:sz w:val="16"/>
              </w:rPr>
              <w:t> </w:t>
            </w:r>
            <w:r>
              <w:rPr>
                <w:sz w:val="16"/>
              </w:rPr>
              <w:t>dia</w:t>
            </w:r>
            <w:r>
              <w:rPr>
                <w:spacing w:val="-20"/>
                <w:sz w:val="16"/>
              </w:rPr>
              <w:t> </w:t>
            </w:r>
            <w:r>
              <w:rPr>
                <w:sz w:val="16"/>
              </w:rPr>
              <w:t>30/09/2019</w:t>
            </w:r>
            <w:r>
              <w:rPr>
                <w:spacing w:val="-20"/>
                <w:sz w:val="16"/>
              </w:rPr>
              <w:t> </w:t>
            </w:r>
            <w:r>
              <w:rPr>
                <w:sz w:val="16"/>
              </w:rPr>
              <w:t>às 15h;</w:t>
            </w:r>
          </w:p>
          <w:p>
            <w:pPr>
              <w:pStyle w:val="TableParagraph"/>
              <w:numPr>
                <w:ilvl w:val="0"/>
                <w:numId w:val="42"/>
              </w:numPr>
              <w:tabs>
                <w:tab w:pos="161" w:val="left" w:leader="none"/>
              </w:tabs>
              <w:spacing w:line="240" w:lineRule="auto" w:before="3" w:after="0"/>
              <w:ind w:left="160" w:right="0" w:hanging="90"/>
              <w:jc w:val="left"/>
              <w:rPr>
                <w:sz w:val="16"/>
              </w:rPr>
            </w:pPr>
            <w:r>
              <w:rPr>
                <w:sz w:val="16"/>
              </w:rPr>
              <w:t>Valor</w:t>
            </w:r>
            <w:r>
              <w:rPr>
                <w:spacing w:val="-24"/>
                <w:sz w:val="16"/>
              </w:rPr>
              <w:t> </w:t>
            </w:r>
            <w:r>
              <w:rPr>
                <w:sz w:val="16"/>
              </w:rPr>
              <w:t>mínimo</w:t>
            </w:r>
            <w:r>
              <w:rPr>
                <w:spacing w:val="-21"/>
                <w:sz w:val="16"/>
              </w:rPr>
              <w:t> </w:t>
            </w:r>
            <w:r>
              <w:rPr>
                <w:sz w:val="16"/>
              </w:rPr>
              <w:t>do</w:t>
            </w:r>
            <w:r>
              <w:rPr>
                <w:spacing w:val="-23"/>
                <w:sz w:val="16"/>
              </w:rPr>
              <w:t> </w:t>
            </w:r>
            <w:r>
              <w:rPr>
                <w:sz w:val="16"/>
              </w:rPr>
              <w:t>terreno:</w:t>
            </w:r>
            <w:r>
              <w:rPr>
                <w:spacing w:val="-23"/>
                <w:sz w:val="16"/>
              </w:rPr>
              <w:t> </w:t>
            </w:r>
            <w:r>
              <w:rPr>
                <w:sz w:val="16"/>
              </w:rPr>
              <w:t>R$</w:t>
            </w:r>
            <w:r>
              <w:rPr>
                <w:spacing w:val="-22"/>
                <w:sz w:val="16"/>
              </w:rPr>
              <w:t> </w:t>
            </w:r>
            <w:r>
              <w:rPr>
                <w:sz w:val="16"/>
              </w:rPr>
              <w:t>2.470.000,00;</w:t>
            </w:r>
          </w:p>
          <w:p>
            <w:pPr>
              <w:pStyle w:val="TableParagraph"/>
              <w:numPr>
                <w:ilvl w:val="0"/>
                <w:numId w:val="42"/>
              </w:numPr>
              <w:tabs>
                <w:tab w:pos="161" w:val="left" w:leader="none"/>
              </w:tabs>
              <w:spacing w:line="240" w:lineRule="auto" w:before="1" w:after="0"/>
              <w:ind w:left="160" w:right="0" w:hanging="90"/>
              <w:jc w:val="left"/>
              <w:rPr>
                <w:sz w:val="16"/>
              </w:rPr>
            </w:pPr>
            <w:r>
              <w:rPr>
                <w:sz w:val="16"/>
              </w:rPr>
              <w:t>Valor</w:t>
            </w:r>
            <w:r>
              <w:rPr>
                <w:spacing w:val="-20"/>
                <w:sz w:val="16"/>
              </w:rPr>
              <w:t> </w:t>
            </w:r>
            <w:r>
              <w:rPr>
                <w:sz w:val="16"/>
              </w:rPr>
              <w:t>adjudicado:</w:t>
            </w:r>
            <w:r>
              <w:rPr>
                <w:spacing w:val="-19"/>
                <w:sz w:val="16"/>
              </w:rPr>
              <w:t> </w:t>
            </w:r>
            <w:r>
              <w:rPr>
                <w:sz w:val="16"/>
              </w:rPr>
              <w:t>R$</w:t>
            </w:r>
            <w:r>
              <w:rPr>
                <w:spacing w:val="-19"/>
                <w:sz w:val="16"/>
              </w:rPr>
              <w:t> </w:t>
            </w:r>
            <w:r>
              <w:rPr>
                <w:sz w:val="16"/>
              </w:rPr>
              <w:t>6.661.000,00;</w:t>
            </w:r>
          </w:p>
          <w:p>
            <w:pPr>
              <w:pStyle w:val="TableParagraph"/>
              <w:spacing w:before="1"/>
              <w:ind w:left="71"/>
              <w:rPr>
                <w:sz w:val="16"/>
              </w:rPr>
            </w:pPr>
            <w:r>
              <w:rPr>
                <w:w w:val="90"/>
                <w:sz w:val="16"/>
              </w:rPr>
              <w:t>-</w:t>
            </w:r>
            <w:r>
              <w:rPr>
                <w:spacing w:val="-13"/>
                <w:sz w:val="16"/>
              </w:rPr>
              <w:t> </w:t>
            </w:r>
            <w:r>
              <w:rPr>
                <w:w w:val="106"/>
                <w:sz w:val="16"/>
              </w:rPr>
              <w:t>Á</w:t>
            </w:r>
            <w:r>
              <w:rPr>
                <w:spacing w:val="-1"/>
                <w:w w:val="98"/>
                <w:sz w:val="16"/>
              </w:rPr>
              <w:t>g</w:t>
            </w:r>
            <w:r>
              <w:rPr>
                <w:spacing w:val="-2"/>
                <w:w w:val="98"/>
                <w:sz w:val="16"/>
              </w:rPr>
              <w:t>i</w:t>
            </w:r>
            <w:r>
              <w:rPr>
                <w:w w:val="99"/>
                <w:sz w:val="16"/>
              </w:rPr>
              <w:t>o</w:t>
            </w:r>
            <w:r>
              <w:rPr>
                <w:w w:val="72"/>
                <w:sz w:val="16"/>
              </w:rPr>
              <w:t>:</w:t>
            </w:r>
            <w:r>
              <w:rPr>
                <w:spacing w:val="-14"/>
                <w:sz w:val="16"/>
              </w:rPr>
              <w:t> </w:t>
            </w:r>
            <w:r>
              <w:rPr>
                <w:w w:val="106"/>
                <w:sz w:val="16"/>
              </w:rPr>
              <w:t>1</w:t>
            </w:r>
            <w:r>
              <w:rPr>
                <w:spacing w:val="-1"/>
                <w:w w:val="106"/>
                <w:sz w:val="16"/>
              </w:rPr>
              <w:t>6</w:t>
            </w:r>
            <w:r>
              <w:rPr>
                <w:w w:val="96"/>
                <w:sz w:val="16"/>
              </w:rPr>
              <w:t>9,6</w:t>
            </w:r>
            <w:r>
              <w:rPr>
                <w:spacing w:val="-3"/>
                <w:w w:val="96"/>
                <w:sz w:val="16"/>
              </w:rPr>
              <w:t>7</w:t>
            </w:r>
            <w:r>
              <w:rPr>
                <w:w w:val="148"/>
                <w:sz w:val="16"/>
              </w:rPr>
              <w:t>%</w:t>
            </w:r>
            <w:r>
              <w:rPr>
                <w:w w:val="72"/>
                <w:sz w:val="16"/>
              </w:rPr>
              <w:t>;</w:t>
            </w:r>
          </w:p>
        </w:tc>
        <w:tc>
          <w:tcPr>
            <w:tcW w:w="3097" w:type="dxa"/>
          </w:tcPr>
          <w:p>
            <w:pPr>
              <w:pStyle w:val="TableParagraph"/>
              <w:tabs>
                <w:tab w:pos="443" w:val="left" w:leader="none"/>
              </w:tabs>
              <w:spacing w:line="242" w:lineRule="auto"/>
              <w:ind w:left="68" w:right="324"/>
              <w:rPr>
                <w:rFonts w:ascii="Caladea" w:hAnsi="Caladea"/>
                <w:b/>
                <w:sz w:val="16"/>
              </w:rPr>
            </w:pPr>
            <w:r>
              <w:rPr>
                <w:rFonts w:ascii="Caladea" w:hAnsi="Caladea"/>
                <w:b/>
                <w:sz w:val="16"/>
              </w:rPr>
              <w:t>3)</w:t>
              <w:tab/>
              <w:t>IMÓVEL RIACHO FUNDO (LIC</w:t>
            </w:r>
            <w:r>
              <w:rPr>
                <w:rFonts w:ascii="Caladea" w:hAnsi="Caladea"/>
                <w:b/>
                <w:spacing w:val="-10"/>
                <w:sz w:val="16"/>
              </w:rPr>
              <w:t> </w:t>
            </w:r>
            <w:r>
              <w:rPr>
                <w:rFonts w:ascii="Caladea" w:hAnsi="Caladea"/>
                <w:b/>
                <w:sz w:val="16"/>
              </w:rPr>
              <w:t>Nº 1145/2019):</w:t>
            </w:r>
          </w:p>
          <w:p>
            <w:pPr>
              <w:pStyle w:val="TableParagraph"/>
              <w:numPr>
                <w:ilvl w:val="0"/>
                <w:numId w:val="43"/>
              </w:numPr>
              <w:tabs>
                <w:tab w:pos="158" w:val="left" w:leader="none"/>
              </w:tabs>
              <w:spacing w:line="240" w:lineRule="auto" w:before="0" w:after="0"/>
              <w:ind w:left="68" w:right="110" w:firstLine="0"/>
              <w:jc w:val="left"/>
              <w:rPr>
                <w:sz w:val="16"/>
              </w:rPr>
            </w:pPr>
            <w:r>
              <w:rPr>
                <w:sz w:val="16"/>
              </w:rPr>
              <w:t>A</w:t>
            </w:r>
            <w:r>
              <w:rPr>
                <w:spacing w:val="-20"/>
                <w:sz w:val="16"/>
              </w:rPr>
              <w:t> </w:t>
            </w:r>
            <w:r>
              <w:rPr>
                <w:sz w:val="16"/>
              </w:rPr>
              <w:t>licitação</w:t>
            </w:r>
            <w:r>
              <w:rPr>
                <w:spacing w:val="-21"/>
                <w:sz w:val="16"/>
              </w:rPr>
              <w:t> </w:t>
            </w:r>
            <w:r>
              <w:rPr>
                <w:sz w:val="16"/>
              </w:rPr>
              <w:t>ocorreu</w:t>
            </w:r>
            <w:r>
              <w:rPr>
                <w:spacing w:val="-20"/>
                <w:sz w:val="16"/>
              </w:rPr>
              <w:t> </w:t>
            </w:r>
            <w:r>
              <w:rPr>
                <w:sz w:val="16"/>
              </w:rPr>
              <w:t>no</w:t>
            </w:r>
            <w:r>
              <w:rPr>
                <w:spacing w:val="-21"/>
                <w:sz w:val="16"/>
              </w:rPr>
              <w:t> </w:t>
            </w:r>
            <w:r>
              <w:rPr>
                <w:sz w:val="16"/>
              </w:rPr>
              <w:t>dia</w:t>
            </w:r>
            <w:r>
              <w:rPr>
                <w:spacing w:val="-20"/>
                <w:sz w:val="16"/>
              </w:rPr>
              <w:t> </w:t>
            </w:r>
            <w:r>
              <w:rPr>
                <w:sz w:val="16"/>
              </w:rPr>
              <w:t>25/09/2019</w:t>
            </w:r>
            <w:r>
              <w:rPr>
                <w:spacing w:val="-20"/>
                <w:sz w:val="16"/>
              </w:rPr>
              <w:t> </w:t>
            </w:r>
            <w:r>
              <w:rPr>
                <w:sz w:val="16"/>
              </w:rPr>
              <w:t>às 10h;</w:t>
            </w:r>
          </w:p>
          <w:p>
            <w:pPr>
              <w:pStyle w:val="TableParagraph"/>
              <w:numPr>
                <w:ilvl w:val="0"/>
                <w:numId w:val="43"/>
              </w:numPr>
              <w:tabs>
                <w:tab w:pos="158" w:val="left" w:leader="none"/>
              </w:tabs>
              <w:spacing w:line="240" w:lineRule="auto" w:before="1" w:after="0"/>
              <w:ind w:left="157" w:right="0" w:hanging="90"/>
              <w:jc w:val="left"/>
              <w:rPr>
                <w:sz w:val="16"/>
              </w:rPr>
            </w:pPr>
            <w:r>
              <w:rPr>
                <w:sz w:val="16"/>
              </w:rPr>
              <w:t>Valor</w:t>
            </w:r>
            <w:r>
              <w:rPr>
                <w:spacing w:val="-24"/>
                <w:sz w:val="16"/>
              </w:rPr>
              <w:t> </w:t>
            </w:r>
            <w:r>
              <w:rPr>
                <w:sz w:val="16"/>
              </w:rPr>
              <w:t>mínimo</w:t>
            </w:r>
            <w:r>
              <w:rPr>
                <w:spacing w:val="-21"/>
                <w:sz w:val="16"/>
              </w:rPr>
              <w:t> </w:t>
            </w:r>
            <w:r>
              <w:rPr>
                <w:sz w:val="16"/>
              </w:rPr>
              <w:t>do</w:t>
            </w:r>
            <w:r>
              <w:rPr>
                <w:spacing w:val="-23"/>
                <w:sz w:val="16"/>
              </w:rPr>
              <w:t> </w:t>
            </w:r>
            <w:r>
              <w:rPr>
                <w:sz w:val="16"/>
              </w:rPr>
              <w:t>terreno:</w:t>
            </w:r>
            <w:r>
              <w:rPr>
                <w:spacing w:val="-22"/>
                <w:sz w:val="16"/>
              </w:rPr>
              <w:t> </w:t>
            </w:r>
            <w:r>
              <w:rPr>
                <w:sz w:val="16"/>
              </w:rPr>
              <w:t>R$</w:t>
            </w:r>
            <w:r>
              <w:rPr>
                <w:spacing w:val="-22"/>
                <w:sz w:val="16"/>
              </w:rPr>
              <w:t> </w:t>
            </w:r>
            <w:r>
              <w:rPr>
                <w:sz w:val="16"/>
              </w:rPr>
              <w:t>293.000,00;</w:t>
            </w:r>
          </w:p>
          <w:p>
            <w:pPr>
              <w:pStyle w:val="TableParagraph"/>
              <w:numPr>
                <w:ilvl w:val="0"/>
                <w:numId w:val="43"/>
              </w:numPr>
              <w:tabs>
                <w:tab w:pos="158" w:val="left" w:leader="none"/>
              </w:tabs>
              <w:spacing w:line="240" w:lineRule="auto" w:before="2" w:after="0"/>
              <w:ind w:left="157" w:right="0" w:hanging="90"/>
              <w:jc w:val="left"/>
              <w:rPr>
                <w:sz w:val="16"/>
              </w:rPr>
            </w:pPr>
            <w:r>
              <w:rPr>
                <w:sz w:val="16"/>
              </w:rPr>
              <w:t>Valor</w:t>
            </w:r>
            <w:r>
              <w:rPr>
                <w:spacing w:val="-20"/>
                <w:sz w:val="16"/>
              </w:rPr>
              <w:t> </w:t>
            </w:r>
            <w:r>
              <w:rPr>
                <w:sz w:val="16"/>
              </w:rPr>
              <w:t>adjudicado:</w:t>
            </w:r>
            <w:r>
              <w:rPr>
                <w:spacing w:val="-18"/>
                <w:sz w:val="16"/>
              </w:rPr>
              <w:t> </w:t>
            </w:r>
            <w:r>
              <w:rPr>
                <w:sz w:val="16"/>
              </w:rPr>
              <w:t>R$</w:t>
            </w:r>
            <w:r>
              <w:rPr>
                <w:spacing w:val="-19"/>
                <w:sz w:val="16"/>
              </w:rPr>
              <w:t> </w:t>
            </w:r>
            <w:r>
              <w:rPr>
                <w:sz w:val="16"/>
              </w:rPr>
              <w:t>350.000,00;</w:t>
            </w:r>
          </w:p>
          <w:p>
            <w:pPr>
              <w:pStyle w:val="TableParagraph"/>
              <w:spacing w:before="1"/>
              <w:ind w:left="68"/>
              <w:rPr>
                <w:sz w:val="16"/>
              </w:rPr>
            </w:pPr>
            <w:r>
              <w:rPr>
                <w:w w:val="90"/>
                <w:sz w:val="16"/>
              </w:rPr>
              <w:t>-</w:t>
            </w:r>
            <w:r>
              <w:rPr>
                <w:spacing w:val="-13"/>
                <w:sz w:val="16"/>
              </w:rPr>
              <w:t> </w:t>
            </w:r>
            <w:r>
              <w:rPr>
                <w:w w:val="106"/>
                <w:sz w:val="16"/>
              </w:rPr>
              <w:t>Á</w:t>
            </w:r>
            <w:r>
              <w:rPr>
                <w:spacing w:val="-1"/>
                <w:w w:val="98"/>
                <w:sz w:val="16"/>
              </w:rPr>
              <w:t>g</w:t>
            </w:r>
            <w:r>
              <w:rPr>
                <w:spacing w:val="-2"/>
                <w:w w:val="98"/>
                <w:sz w:val="16"/>
              </w:rPr>
              <w:t>i</w:t>
            </w:r>
            <w:r>
              <w:rPr>
                <w:w w:val="99"/>
                <w:sz w:val="16"/>
              </w:rPr>
              <w:t>o</w:t>
            </w:r>
            <w:r>
              <w:rPr>
                <w:w w:val="72"/>
                <w:sz w:val="16"/>
              </w:rPr>
              <w:t>:</w:t>
            </w:r>
            <w:r>
              <w:rPr>
                <w:spacing w:val="-14"/>
                <w:sz w:val="16"/>
              </w:rPr>
              <w:t> </w:t>
            </w:r>
            <w:r>
              <w:rPr>
                <w:w w:val="106"/>
                <w:sz w:val="16"/>
              </w:rPr>
              <w:t>1</w:t>
            </w:r>
            <w:r>
              <w:rPr>
                <w:spacing w:val="-1"/>
                <w:w w:val="106"/>
                <w:sz w:val="16"/>
              </w:rPr>
              <w:t>9</w:t>
            </w:r>
            <w:r>
              <w:rPr>
                <w:w w:val="56"/>
                <w:sz w:val="16"/>
              </w:rPr>
              <w:t>,</w:t>
            </w:r>
            <w:r>
              <w:rPr>
                <w:w w:val="106"/>
                <w:sz w:val="16"/>
              </w:rPr>
              <w:t>4</w:t>
            </w:r>
            <w:r>
              <w:rPr>
                <w:spacing w:val="-3"/>
                <w:w w:val="106"/>
                <w:sz w:val="16"/>
              </w:rPr>
              <w:t>5</w:t>
            </w:r>
            <w:r>
              <w:rPr>
                <w:w w:val="148"/>
                <w:sz w:val="16"/>
              </w:rPr>
              <w:t>%</w:t>
            </w:r>
            <w:r>
              <w:rPr>
                <w:w w:val="72"/>
                <w:sz w:val="16"/>
              </w:rPr>
              <w:t>;</w:t>
            </w:r>
          </w:p>
        </w:tc>
      </w:tr>
      <w:tr>
        <w:trPr>
          <w:trHeight w:val="1877" w:hRule="atLeast"/>
        </w:trPr>
        <w:tc>
          <w:tcPr>
            <w:tcW w:w="3510" w:type="dxa"/>
          </w:tcPr>
          <w:p>
            <w:pPr>
              <w:pStyle w:val="TableParagraph"/>
              <w:rPr>
                <w:sz w:val="16"/>
              </w:rPr>
            </w:pPr>
          </w:p>
          <w:p>
            <w:pPr>
              <w:pStyle w:val="TableParagraph"/>
              <w:tabs>
                <w:tab w:pos="446" w:val="left" w:leader="none"/>
              </w:tabs>
              <w:ind w:left="72" w:right="886"/>
              <w:rPr>
                <w:rFonts w:ascii="Caladea" w:hAnsi="Caladea"/>
                <w:b/>
                <w:sz w:val="16"/>
              </w:rPr>
            </w:pPr>
            <w:r>
              <w:rPr>
                <w:rFonts w:ascii="Caladea" w:hAnsi="Caladea"/>
                <w:b/>
                <w:sz w:val="16"/>
              </w:rPr>
              <w:t>4)</w:t>
              <w:tab/>
              <w:t>IMÓVEL TAGUATINGA (LIC</w:t>
            </w:r>
            <w:r>
              <w:rPr>
                <w:rFonts w:ascii="Caladea" w:hAnsi="Caladea"/>
                <w:b/>
                <w:spacing w:val="-10"/>
                <w:sz w:val="16"/>
              </w:rPr>
              <w:t> </w:t>
            </w:r>
            <w:r>
              <w:rPr>
                <w:rFonts w:ascii="Caladea" w:hAnsi="Caladea"/>
                <w:b/>
                <w:sz w:val="16"/>
              </w:rPr>
              <w:t>Nº 1148/2019)</w:t>
            </w:r>
          </w:p>
          <w:p>
            <w:pPr>
              <w:pStyle w:val="TableParagraph"/>
              <w:numPr>
                <w:ilvl w:val="0"/>
                <w:numId w:val="44"/>
              </w:numPr>
              <w:tabs>
                <w:tab w:pos="162" w:val="left" w:leader="none"/>
              </w:tabs>
              <w:spacing w:line="240" w:lineRule="auto" w:before="2" w:after="0"/>
              <w:ind w:left="72" w:right="112" w:firstLine="0"/>
              <w:jc w:val="left"/>
              <w:rPr>
                <w:sz w:val="16"/>
              </w:rPr>
            </w:pPr>
            <w:r>
              <w:rPr>
                <w:sz w:val="16"/>
              </w:rPr>
              <w:t>Licitação</w:t>
            </w:r>
            <w:r>
              <w:rPr>
                <w:spacing w:val="-20"/>
                <w:sz w:val="16"/>
              </w:rPr>
              <w:t> </w:t>
            </w:r>
            <w:r>
              <w:rPr>
                <w:sz w:val="16"/>
              </w:rPr>
              <w:t>prorrogada</w:t>
            </w:r>
            <w:r>
              <w:rPr>
                <w:spacing w:val="-22"/>
                <w:sz w:val="16"/>
              </w:rPr>
              <w:t> </w:t>
            </w:r>
            <w:r>
              <w:rPr>
                <w:sz w:val="16"/>
              </w:rPr>
              <w:t>para</w:t>
            </w:r>
            <w:r>
              <w:rPr>
                <w:spacing w:val="-22"/>
                <w:sz w:val="16"/>
              </w:rPr>
              <w:t> </w:t>
            </w:r>
            <w:r>
              <w:rPr>
                <w:sz w:val="16"/>
              </w:rPr>
              <w:t>o</w:t>
            </w:r>
            <w:r>
              <w:rPr>
                <w:spacing w:val="-19"/>
                <w:sz w:val="16"/>
              </w:rPr>
              <w:t> </w:t>
            </w:r>
            <w:r>
              <w:rPr>
                <w:sz w:val="16"/>
              </w:rPr>
              <w:t>dia</w:t>
            </w:r>
            <w:r>
              <w:rPr>
                <w:spacing w:val="-20"/>
                <w:sz w:val="16"/>
              </w:rPr>
              <w:t> </w:t>
            </w:r>
            <w:r>
              <w:rPr>
                <w:sz w:val="16"/>
              </w:rPr>
              <w:t>20/11/2019</w:t>
            </w:r>
            <w:r>
              <w:rPr>
                <w:spacing w:val="-22"/>
                <w:sz w:val="16"/>
              </w:rPr>
              <w:t> </w:t>
            </w:r>
            <w:r>
              <w:rPr>
                <w:sz w:val="16"/>
              </w:rPr>
              <w:t>às 15h;</w:t>
            </w:r>
          </w:p>
          <w:p>
            <w:pPr>
              <w:pStyle w:val="TableParagraph"/>
              <w:numPr>
                <w:ilvl w:val="0"/>
                <w:numId w:val="44"/>
              </w:numPr>
              <w:tabs>
                <w:tab w:pos="162" w:val="left" w:leader="none"/>
              </w:tabs>
              <w:spacing w:line="240" w:lineRule="auto" w:before="99" w:after="0"/>
              <w:ind w:left="161" w:right="0" w:hanging="90"/>
              <w:jc w:val="left"/>
              <w:rPr>
                <w:sz w:val="16"/>
              </w:rPr>
            </w:pPr>
            <w:r>
              <w:rPr>
                <w:sz w:val="16"/>
              </w:rPr>
              <w:t>Valor</w:t>
            </w:r>
            <w:r>
              <w:rPr>
                <w:spacing w:val="-21"/>
                <w:sz w:val="16"/>
              </w:rPr>
              <w:t> </w:t>
            </w:r>
            <w:r>
              <w:rPr>
                <w:sz w:val="16"/>
              </w:rPr>
              <w:t>mínimo</w:t>
            </w:r>
            <w:r>
              <w:rPr>
                <w:spacing w:val="-18"/>
                <w:sz w:val="16"/>
              </w:rPr>
              <w:t> </w:t>
            </w:r>
            <w:r>
              <w:rPr>
                <w:sz w:val="16"/>
              </w:rPr>
              <w:t>do</w:t>
            </w:r>
            <w:r>
              <w:rPr>
                <w:spacing w:val="-19"/>
                <w:sz w:val="16"/>
              </w:rPr>
              <w:t> </w:t>
            </w:r>
            <w:r>
              <w:rPr>
                <w:sz w:val="16"/>
              </w:rPr>
              <w:t>imóvel:</w:t>
            </w:r>
            <w:r>
              <w:rPr>
                <w:spacing w:val="-20"/>
                <w:sz w:val="16"/>
              </w:rPr>
              <w:t> </w:t>
            </w:r>
            <w:r>
              <w:rPr>
                <w:sz w:val="16"/>
              </w:rPr>
              <w:t>R$</w:t>
            </w:r>
            <w:r>
              <w:rPr>
                <w:spacing w:val="-21"/>
                <w:sz w:val="16"/>
              </w:rPr>
              <w:t> </w:t>
            </w:r>
            <w:r>
              <w:rPr>
                <w:sz w:val="16"/>
              </w:rPr>
              <w:t>26.641.000,00;</w:t>
            </w:r>
          </w:p>
          <w:p>
            <w:pPr>
              <w:pStyle w:val="TableParagraph"/>
              <w:numPr>
                <w:ilvl w:val="0"/>
                <w:numId w:val="44"/>
              </w:numPr>
              <w:tabs>
                <w:tab w:pos="162" w:val="left" w:leader="none"/>
              </w:tabs>
              <w:spacing w:line="240" w:lineRule="auto" w:before="95" w:after="0"/>
              <w:ind w:left="72" w:right="59" w:firstLine="0"/>
              <w:jc w:val="left"/>
              <w:rPr>
                <w:sz w:val="16"/>
              </w:rPr>
            </w:pPr>
            <w:r>
              <w:rPr>
                <w:sz w:val="16"/>
              </w:rPr>
              <w:t>Valor</w:t>
            </w:r>
            <w:r>
              <w:rPr>
                <w:spacing w:val="-20"/>
                <w:sz w:val="16"/>
              </w:rPr>
              <w:t> </w:t>
            </w:r>
            <w:r>
              <w:rPr>
                <w:sz w:val="16"/>
              </w:rPr>
              <w:t>da</w:t>
            </w:r>
            <w:r>
              <w:rPr>
                <w:spacing w:val="-19"/>
                <w:sz w:val="16"/>
              </w:rPr>
              <w:t> </w:t>
            </w:r>
            <w:r>
              <w:rPr>
                <w:sz w:val="16"/>
              </w:rPr>
              <w:t>caução:</w:t>
            </w:r>
            <w:r>
              <w:rPr>
                <w:spacing w:val="-18"/>
                <w:sz w:val="16"/>
              </w:rPr>
              <w:t> </w:t>
            </w:r>
            <w:r>
              <w:rPr>
                <w:sz w:val="16"/>
              </w:rPr>
              <w:t>R$</w:t>
            </w:r>
            <w:r>
              <w:rPr>
                <w:spacing w:val="-17"/>
                <w:sz w:val="16"/>
              </w:rPr>
              <w:t> </w:t>
            </w:r>
            <w:r>
              <w:rPr>
                <w:sz w:val="16"/>
              </w:rPr>
              <w:t>266.410,00</w:t>
            </w:r>
            <w:r>
              <w:rPr>
                <w:spacing w:val="-18"/>
                <w:sz w:val="16"/>
              </w:rPr>
              <w:t> </w:t>
            </w:r>
            <w:r>
              <w:rPr>
                <w:sz w:val="16"/>
              </w:rPr>
              <w:t>(1%</w:t>
            </w:r>
            <w:r>
              <w:rPr>
                <w:spacing w:val="-16"/>
                <w:sz w:val="16"/>
              </w:rPr>
              <w:t> </w:t>
            </w:r>
            <w:r>
              <w:rPr>
                <w:sz w:val="16"/>
              </w:rPr>
              <w:t>do</w:t>
            </w:r>
            <w:r>
              <w:rPr>
                <w:spacing w:val="-16"/>
                <w:sz w:val="16"/>
              </w:rPr>
              <w:t> </w:t>
            </w:r>
            <w:r>
              <w:rPr>
                <w:sz w:val="16"/>
              </w:rPr>
              <w:t>valor</w:t>
            </w:r>
            <w:r>
              <w:rPr>
                <w:spacing w:val="-17"/>
                <w:sz w:val="16"/>
              </w:rPr>
              <w:t> </w:t>
            </w:r>
            <w:r>
              <w:rPr>
                <w:sz w:val="16"/>
              </w:rPr>
              <w:t>do imóvel);</w:t>
            </w:r>
          </w:p>
        </w:tc>
        <w:tc>
          <w:tcPr>
            <w:tcW w:w="3308" w:type="dxa"/>
          </w:tcPr>
          <w:p>
            <w:pPr>
              <w:pStyle w:val="TableParagraph"/>
              <w:rPr>
                <w:sz w:val="16"/>
              </w:rPr>
            </w:pPr>
          </w:p>
          <w:p>
            <w:pPr>
              <w:pStyle w:val="TableParagraph"/>
              <w:tabs>
                <w:tab w:pos="445" w:val="left" w:leader="none"/>
              </w:tabs>
              <w:ind w:left="71" w:right="918"/>
              <w:rPr>
                <w:rFonts w:ascii="Caladea" w:hAnsi="Caladea"/>
                <w:b/>
                <w:sz w:val="16"/>
              </w:rPr>
            </w:pPr>
            <w:r>
              <w:rPr>
                <w:rFonts w:ascii="Caladea" w:hAnsi="Caladea"/>
                <w:b/>
                <w:sz w:val="16"/>
              </w:rPr>
              <w:t>5)</w:t>
              <w:tab/>
              <w:t>IMÓVEL CRUZEIRO (LIC Nº 1210/2019):</w:t>
            </w:r>
          </w:p>
          <w:p>
            <w:pPr>
              <w:pStyle w:val="TableParagraph"/>
              <w:numPr>
                <w:ilvl w:val="0"/>
                <w:numId w:val="45"/>
              </w:numPr>
              <w:tabs>
                <w:tab w:pos="161" w:val="left" w:leader="none"/>
              </w:tabs>
              <w:spacing w:line="240" w:lineRule="auto" w:before="2" w:after="0"/>
              <w:ind w:left="71" w:right="92" w:firstLine="0"/>
              <w:jc w:val="left"/>
              <w:rPr>
                <w:sz w:val="16"/>
              </w:rPr>
            </w:pPr>
            <w:r>
              <w:rPr>
                <w:sz w:val="16"/>
              </w:rPr>
              <w:t>Licitação</w:t>
            </w:r>
            <w:r>
              <w:rPr>
                <w:spacing w:val="-21"/>
                <w:sz w:val="16"/>
              </w:rPr>
              <w:t> </w:t>
            </w:r>
            <w:r>
              <w:rPr>
                <w:sz w:val="16"/>
              </w:rPr>
              <w:t>prorrogada</w:t>
            </w:r>
            <w:r>
              <w:rPr>
                <w:spacing w:val="-23"/>
                <w:sz w:val="16"/>
              </w:rPr>
              <w:t> </w:t>
            </w:r>
            <w:r>
              <w:rPr>
                <w:sz w:val="16"/>
              </w:rPr>
              <w:t>para</w:t>
            </w:r>
            <w:r>
              <w:rPr>
                <w:spacing w:val="-23"/>
                <w:sz w:val="16"/>
              </w:rPr>
              <w:t> </w:t>
            </w:r>
            <w:r>
              <w:rPr>
                <w:sz w:val="16"/>
              </w:rPr>
              <w:t>o</w:t>
            </w:r>
            <w:r>
              <w:rPr>
                <w:spacing w:val="-21"/>
                <w:sz w:val="16"/>
              </w:rPr>
              <w:t> </w:t>
            </w:r>
            <w:r>
              <w:rPr>
                <w:sz w:val="16"/>
              </w:rPr>
              <w:t>dia</w:t>
            </w:r>
            <w:r>
              <w:rPr>
                <w:spacing w:val="-20"/>
                <w:sz w:val="16"/>
              </w:rPr>
              <w:t> </w:t>
            </w:r>
            <w:r>
              <w:rPr>
                <w:sz w:val="16"/>
              </w:rPr>
              <w:t>22/11/2019 às</w:t>
            </w:r>
            <w:r>
              <w:rPr>
                <w:spacing w:val="-13"/>
                <w:sz w:val="16"/>
              </w:rPr>
              <w:t> </w:t>
            </w:r>
            <w:r>
              <w:rPr>
                <w:sz w:val="16"/>
              </w:rPr>
              <w:t>10h;</w:t>
            </w:r>
          </w:p>
          <w:p>
            <w:pPr>
              <w:pStyle w:val="TableParagraph"/>
              <w:numPr>
                <w:ilvl w:val="0"/>
                <w:numId w:val="45"/>
              </w:numPr>
              <w:tabs>
                <w:tab w:pos="161" w:val="left" w:leader="none"/>
              </w:tabs>
              <w:spacing w:line="240" w:lineRule="auto" w:before="99" w:after="0"/>
              <w:ind w:left="160" w:right="0" w:hanging="90"/>
              <w:jc w:val="left"/>
              <w:rPr>
                <w:sz w:val="16"/>
              </w:rPr>
            </w:pPr>
            <w:r>
              <w:rPr>
                <w:sz w:val="16"/>
              </w:rPr>
              <w:t>Valor</w:t>
            </w:r>
            <w:r>
              <w:rPr>
                <w:spacing w:val="-20"/>
                <w:sz w:val="16"/>
              </w:rPr>
              <w:t> </w:t>
            </w:r>
            <w:r>
              <w:rPr>
                <w:sz w:val="16"/>
              </w:rPr>
              <w:t>mínimo</w:t>
            </w:r>
            <w:r>
              <w:rPr>
                <w:spacing w:val="-18"/>
                <w:sz w:val="16"/>
              </w:rPr>
              <w:t> </w:t>
            </w:r>
            <w:r>
              <w:rPr>
                <w:sz w:val="16"/>
              </w:rPr>
              <w:t>do</w:t>
            </w:r>
            <w:r>
              <w:rPr>
                <w:spacing w:val="-19"/>
                <w:sz w:val="16"/>
              </w:rPr>
              <w:t> </w:t>
            </w:r>
            <w:r>
              <w:rPr>
                <w:sz w:val="16"/>
              </w:rPr>
              <w:t>terreno:</w:t>
            </w:r>
            <w:r>
              <w:rPr>
                <w:spacing w:val="-19"/>
                <w:sz w:val="16"/>
              </w:rPr>
              <w:t> </w:t>
            </w:r>
            <w:r>
              <w:rPr>
                <w:sz w:val="16"/>
              </w:rPr>
              <w:t>R$</w:t>
            </w:r>
            <w:r>
              <w:rPr>
                <w:spacing w:val="-18"/>
                <w:sz w:val="16"/>
              </w:rPr>
              <w:t> </w:t>
            </w:r>
            <w:r>
              <w:rPr>
                <w:sz w:val="16"/>
              </w:rPr>
              <w:t>430.000,00;</w:t>
            </w:r>
          </w:p>
          <w:p>
            <w:pPr>
              <w:pStyle w:val="TableParagraph"/>
              <w:numPr>
                <w:ilvl w:val="0"/>
                <w:numId w:val="45"/>
              </w:numPr>
              <w:tabs>
                <w:tab w:pos="161" w:val="left" w:leader="none"/>
              </w:tabs>
              <w:spacing w:line="240" w:lineRule="auto" w:before="95" w:after="0"/>
              <w:ind w:left="71" w:right="243" w:firstLine="0"/>
              <w:jc w:val="left"/>
              <w:rPr>
                <w:sz w:val="16"/>
              </w:rPr>
            </w:pPr>
            <w:r>
              <w:rPr>
                <w:sz w:val="16"/>
              </w:rPr>
              <w:t>Valor</w:t>
            </w:r>
            <w:r>
              <w:rPr>
                <w:spacing w:val="-20"/>
                <w:sz w:val="16"/>
              </w:rPr>
              <w:t> </w:t>
            </w:r>
            <w:r>
              <w:rPr>
                <w:sz w:val="16"/>
              </w:rPr>
              <w:t>da</w:t>
            </w:r>
            <w:r>
              <w:rPr>
                <w:spacing w:val="-20"/>
                <w:sz w:val="16"/>
              </w:rPr>
              <w:t> </w:t>
            </w:r>
            <w:r>
              <w:rPr>
                <w:sz w:val="16"/>
              </w:rPr>
              <w:t>caução:</w:t>
            </w:r>
            <w:r>
              <w:rPr>
                <w:spacing w:val="-19"/>
                <w:sz w:val="16"/>
              </w:rPr>
              <w:t> </w:t>
            </w:r>
            <w:r>
              <w:rPr>
                <w:sz w:val="16"/>
              </w:rPr>
              <w:t>R$</w:t>
            </w:r>
            <w:r>
              <w:rPr>
                <w:spacing w:val="-18"/>
                <w:sz w:val="16"/>
              </w:rPr>
              <w:t> </w:t>
            </w:r>
            <w:r>
              <w:rPr>
                <w:sz w:val="16"/>
              </w:rPr>
              <w:t>4.300,00</w:t>
            </w:r>
            <w:r>
              <w:rPr>
                <w:spacing w:val="-20"/>
                <w:sz w:val="16"/>
              </w:rPr>
              <w:t> </w:t>
            </w:r>
            <w:r>
              <w:rPr>
                <w:sz w:val="16"/>
              </w:rPr>
              <w:t>(1%</w:t>
            </w:r>
            <w:r>
              <w:rPr>
                <w:spacing w:val="-19"/>
                <w:sz w:val="16"/>
              </w:rPr>
              <w:t> </w:t>
            </w:r>
            <w:r>
              <w:rPr>
                <w:sz w:val="16"/>
              </w:rPr>
              <w:t>do</w:t>
            </w:r>
            <w:r>
              <w:rPr>
                <w:spacing w:val="-17"/>
                <w:sz w:val="16"/>
              </w:rPr>
              <w:t> </w:t>
            </w:r>
            <w:r>
              <w:rPr>
                <w:sz w:val="16"/>
              </w:rPr>
              <w:t>valor do</w:t>
            </w:r>
            <w:r>
              <w:rPr>
                <w:spacing w:val="-13"/>
                <w:sz w:val="16"/>
              </w:rPr>
              <w:t> </w:t>
            </w:r>
            <w:r>
              <w:rPr>
                <w:sz w:val="16"/>
              </w:rPr>
              <w:t>imóvel);</w:t>
            </w:r>
          </w:p>
        </w:tc>
        <w:tc>
          <w:tcPr>
            <w:tcW w:w="3097" w:type="dxa"/>
          </w:tcPr>
          <w:p>
            <w:pPr>
              <w:pStyle w:val="TableParagraph"/>
              <w:rPr>
                <w:sz w:val="16"/>
              </w:rPr>
            </w:pPr>
          </w:p>
          <w:p>
            <w:pPr>
              <w:pStyle w:val="TableParagraph"/>
              <w:tabs>
                <w:tab w:pos="443" w:val="left" w:leader="none"/>
              </w:tabs>
              <w:ind w:left="68" w:right="626"/>
              <w:rPr>
                <w:rFonts w:ascii="Caladea" w:hAnsi="Caladea"/>
                <w:b/>
                <w:sz w:val="16"/>
              </w:rPr>
            </w:pPr>
            <w:r>
              <w:rPr>
                <w:rFonts w:ascii="Caladea" w:hAnsi="Caladea"/>
                <w:b/>
                <w:sz w:val="16"/>
              </w:rPr>
              <w:t>6)</w:t>
              <w:tab/>
              <w:t>IMÓVEL ASA NORTE (LIC</w:t>
            </w:r>
            <w:r>
              <w:rPr>
                <w:rFonts w:ascii="Caladea" w:hAnsi="Caladea"/>
                <w:b/>
                <w:spacing w:val="-11"/>
                <w:sz w:val="16"/>
              </w:rPr>
              <w:t> </w:t>
            </w:r>
            <w:r>
              <w:rPr>
                <w:rFonts w:ascii="Caladea" w:hAnsi="Caladea"/>
                <w:b/>
                <w:sz w:val="16"/>
              </w:rPr>
              <w:t>Nº 1146/2019)</w:t>
            </w:r>
          </w:p>
          <w:p>
            <w:pPr>
              <w:pStyle w:val="TableParagraph"/>
              <w:numPr>
                <w:ilvl w:val="0"/>
                <w:numId w:val="46"/>
              </w:numPr>
              <w:tabs>
                <w:tab w:pos="158" w:val="left" w:leader="none"/>
              </w:tabs>
              <w:spacing w:line="240" w:lineRule="auto" w:before="2" w:after="0"/>
              <w:ind w:left="68" w:right="786" w:firstLine="0"/>
              <w:jc w:val="left"/>
              <w:rPr>
                <w:sz w:val="16"/>
              </w:rPr>
            </w:pPr>
            <w:r>
              <w:rPr>
                <w:sz w:val="16"/>
              </w:rPr>
              <w:t>Licitação</w:t>
            </w:r>
            <w:r>
              <w:rPr>
                <w:spacing w:val="-29"/>
                <w:sz w:val="16"/>
              </w:rPr>
              <w:t> </w:t>
            </w:r>
            <w:r>
              <w:rPr>
                <w:sz w:val="16"/>
              </w:rPr>
              <w:t>prorrogada</w:t>
            </w:r>
            <w:r>
              <w:rPr>
                <w:spacing w:val="-29"/>
                <w:sz w:val="16"/>
              </w:rPr>
              <w:t> </w:t>
            </w:r>
            <w:r>
              <w:rPr>
                <w:sz w:val="16"/>
              </w:rPr>
              <w:t>para</w:t>
            </w:r>
            <w:r>
              <w:rPr>
                <w:spacing w:val="-29"/>
                <w:sz w:val="16"/>
              </w:rPr>
              <w:t> </w:t>
            </w:r>
            <w:r>
              <w:rPr>
                <w:sz w:val="16"/>
              </w:rPr>
              <w:t>o</w:t>
            </w:r>
            <w:r>
              <w:rPr>
                <w:spacing w:val="-28"/>
                <w:sz w:val="16"/>
              </w:rPr>
              <w:t> </w:t>
            </w:r>
            <w:r>
              <w:rPr>
                <w:sz w:val="16"/>
              </w:rPr>
              <w:t>dia 25/11/2019 às</w:t>
            </w:r>
            <w:r>
              <w:rPr>
                <w:spacing w:val="-31"/>
                <w:sz w:val="16"/>
              </w:rPr>
              <w:t> </w:t>
            </w:r>
            <w:r>
              <w:rPr>
                <w:sz w:val="16"/>
              </w:rPr>
              <w:t>10h;</w:t>
            </w:r>
          </w:p>
          <w:p>
            <w:pPr>
              <w:pStyle w:val="TableParagraph"/>
              <w:numPr>
                <w:ilvl w:val="0"/>
                <w:numId w:val="46"/>
              </w:numPr>
              <w:tabs>
                <w:tab w:pos="158" w:val="left" w:leader="none"/>
              </w:tabs>
              <w:spacing w:line="240" w:lineRule="auto" w:before="5" w:after="0"/>
              <w:ind w:left="68" w:right="1026" w:firstLine="0"/>
              <w:jc w:val="left"/>
              <w:rPr>
                <w:sz w:val="16"/>
              </w:rPr>
            </w:pPr>
            <w:r>
              <w:rPr>
                <w:sz w:val="16"/>
              </w:rPr>
              <w:t>Valor</w:t>
            </w:r>
            <w:r>
              <w:rPr>
                <w:spacing w:val="-24"/>
                <w:sz w:val="16"/>
              </w:rPr>
              <w:t> </w:t>
            </w:r>
            <w:r>
              <w:rPr>
                <w:sz w:val="16"/>
              </w:rPr>
              <w:t>mínimo</w:t>
            </w:r>
            <w:r>
              <w:rPr>
                <w:spacing w:val="-21"/>
                <w:sz w:val="16"/>
              </w:rPr>
              <w:t> </w:t>
            </w:r>
            <w:r>
              <w:rPr>
                <w:sz w:val="16"/>
              </w:rPr>
              <w:t>do</w:t>
            </w:r>
            <w:r>
              <w:rPr>
                <w:spacing w:val="-23"/>
                <w:sz w:val="16"/>
              </w:rPr>
              <w:t> </w:t>
            </w:r>
            <w:r>
              <w:rPr>
                <w:sz w:val="16"/>
              </w:rPr>
              <w:t>imóvel:</w:t>
            </w:r>
            <w:r>
              <w:rPr>
                <w:spacing w:val="-24"/>
                <w:sz w:val="16"/>
              </w:rPr>
              <w:t> </w:t>
            </w:r>
            <w:r>
              <w:rPr>
                <w:sz w:val="16"/>
              </w:rPr>
              <w:t>R$ 10.200.000,00;</w:t>
            </w:r>
          </w:p>
          <w:p>
            <w:pPr>
              <w:pStyle w:val="TableParagraph"/>
              <w:numPr>
                <w:ilvl w:val="0"/>
                <w:numId w:val="46"/>
              </w:numPr>
              <w:tabs>
                <w:tab w:pos="158" w:val="left" w:leader="none"/>
              </w:tabs>
              <w:spacing w:line="240" w:lineRule="auto" w:before="3" w:after="0"/>
              <w:ind w:left="68" w:right="158" w:firstLine="0"/>
              <w:jc w:val="left"/>
              <w:rPr>
                <w:sz w:val="16"/>
              </w:rPr>
            </w:pPr>
            <w:r>
              <w:rPr>
                <w:sz w:val="16"/>
              </w:rPr>
              <w:t>Valor</w:t>
            </w:r>
            <w:r>
              <w:rPr>
                <w:spacing w:val="-19"/>
                <w:sz w:val="16"/>
              </w:rPr>
              <w:t> </w:t>
            </w:r>
            <w:r>
              <w:rPr>
                <w:sz w:val="16"/>
              </w:rPr>
              <w:t>da</w:t>
            </w:r>
            <w:r>
              <w:rPr>
                <w:spacing w:val="-18"/>
                <w:sz w:val="16"/>
              </w:rPr>
              <w:t> </w:t>
            </w:r>
            <w:r>
              <w:rPr>
                <w:sz w:val="16"/>
              </w:rPr>
              <w:t>caução:</w:t>
            </w:r>
            <w:r>
              <w:rPr>
                <w:spacing w:val="-17"/>
                <w:sz w:val="16"/>
              </w:rPr>
              <w:t> </w:t>
            </w:r>
            <w:r>
              <w:rPr>
                <w:sz w:val="16"/>
              </w:rPr>
              <w:t>R$</w:t>
            </w:r>
            <w:r>
              <w:rPr>
                <w:spacing w:val="-16"/>
                <w:sz w:val="16"/>
              </w:rPr>
              <w:t> </w:t>
            </w:r>
            <w:r>
              <w:rPr>
                <w:sz w:val="16"/>
              </w:rPr>
              <w:t>102.000,000</w:t>
            </w:r>
            <w:r>
              <w:rPr>
                <w:spacing w:val="-16"/>
                <w:sz w:val="16"/>
              </w:rPr>
              <w:t> </w:t>
            </w:r>
            <w:r>
              <w:rPr>
                <w:sz w:val="16"/>
              </w:rPr>
              <w:t>(1%</w:t>
            </w:r>
            <w:r>
              <w:rPr>
                <w:spacing w:val="-16"/>
                <w:sz w:val="16"/>
              </w:rPr>
              <w:t> </w:t>
            </w:r>
            <w:r>
              <w:rPr>
                <w:sz w:val="16"/>
              </w:rPr>
              <w:t>do valor do</w:t>
            </w:r>
            <w:r>
              <w:rPr>
                <w:spacing w:val="-28"/>
                <w:sz w:val="16"/>
              </w:rPr>
              <w:t> </w:t>
            </w:r>
            <w:r>
              <w:rPr>
                <w:sz w:val="16"/>
              </w:rPr>
              <w:t>imóvel);</w:t>
            </w:r>
          </w:p>
        </w:tc>
      </w:tr>
    </w:tbl>
    <w:p>
      <w:pPr>
        <w:pStyle w:val="ListParagraph"/>
        <w:numPr>
          <w:ilvl w:val="0"/>
          <w:numId w:val="40"/>
        </w:numPr>
        <w:tabs>
          <w:tab w:pos="474" w:val="left" w:leader="none"/>
        </w:tabs>
        <w:spacing w:line="242" w:lineRule="auto" w:before="119" w:after="0"/>
        <w:ind w:left="172" w:right="410" w:firstLine="0"/>
        <w:jc w:val="both"/>
        <w:rPr>
          <w:sz w:val="20"/>
        </w:rPr>
      </w:pPr>
      <w:r>
        <w:rPr>
          <w:sz w:val="20"/>
        </w:rPr>
        <w:t>A</w:t>
      </w:r>
      <w:r>
        <w:rPr>
          <w:spacing w:val="-42"/>
          <w:sz w:val="20"/>
        </w:rPr>
        <w:t> </w:t>
      </w:r>
      <w:r>
        <w:rPr>
          <w:sz w:val="20"/>
        </w:rPr>
        <w:t>variação</w:t>
      </w:r>
      <w:r>
        <w:rPr>
          <w:spacing w:val="-40"/>
          <w:sz w:val="20"/>
        </w:rPr>
        <w:t> </w:t>
      </w:r>
      <w:r>
        <w:rPr>
          <w:sz w:val="20"/>
        </w:rPr>
        <w:t>trata-se,</w:t>
      </w:r>
      <w:r>
        <w:rPr>
          <w:spacing w:val="-42"/>
          <w:sz w:val="20"/>
        </w:rPr>
        <w:t> </w:t>
      </w:r>
      <w:r>
        <w:rPr>
          <w:sz w:val="20"/>
        </w:rPr>
        <w:t>substancialmente,</w:t>
      </w:r>
      <w:r>
        <w:rPr>
          <w:spacing w:val="-40"/>
          <w:sz w:val="20"/>
        </w:rPr>
        <w:t> </w:t>
      </w:r>
      <w:r>
        <w:rPr>
          <w:sz w:val="20"/>
        </w:rPr>
        <w:t>de</w:t>
      </w:r>
      <w:r>
        <w:rPr>
          <w:spacing w:val="-41"/>
          <w:sz w:val="20"/>
        </w:rPr>
        <w:t> </w:t>
      </w:r>
      <w:r>
        <w:rPr>
          <w:sz w:val="20"/>
        </w:rPr>
        <w:t>ação</w:t>
      </w:r>
      <w:r>
        <w:rPr>
          <w:spacing w:val="-42"/>
          <w:sz w:val="20"/>
        </w:rPr>
        <w:t> </w:t>
      </w:r>
      <w:r>
        <w:rPr>
          <w:sz w:val="20"/>
        </w:rPr>
        <w:t>indenizatória</w:t>
      </w:r>
      <w:r>
        <w:rPr>
          <w:spacing w:val="-41"/>
          <w:sz w:val="20"/>
        </w:rPr>
        <w:t> </w:t>
      </w:r>
      <w:r>
        <w:rPr>
          <w:sz w:val="20"/>
        </w:rPr>
        <w:t>movida</w:t>
      </w:r>
      <w:r>
        <w:rPr>
          <w:spacing w:val="-40"/>
          <w:sz w:val="20"/>
        </w:rPr>
        <w:t> </w:t>
      </w:r>
      <w:r>
        <w:rPr>
          <w:sz w:val="20"/>
        </w:rPr>
        <w:t>pela</w:t>
      </w:r>
      <w:r>
        <w:rPr>
          <w:spacing w:val="-42"/>
          <w:sz w:val="20"/>
        </w:rPr>
        <w:t> </w:t>
      </w:r>
      <w:r>
        <w:rPr>
          <w:sz w:val="20"/>
        </w:rPr>
        <w:t>Eletronorte</w:t>
      </w:r>
      <w:r>
        <w:rPr>
          <w:spacing w:val="-40"/>
          <w:sz w:val="20"/>
        </w:rPr>
        <w:t> </w:t>
      </w:r>
      <w:r>
        <w:rPr>
          <w:sz w:val="20"/>
        </w:rPr>
        <w:t>em</w:t>
      </w:r>
      <w:r>
        <w:rPr>
          <w:spacing w:val="-41"/>
          <w:sz w:val="20"/>
        </w:rPr>
        <w:t> </w:t>
      </w:r>
      <w:r>
        <w:rPr>
          <w:sz w:val="20"/>
        </w:rPr>
        <w:t>desfavor</w:t>
      </w:r>
      <w:r>
        <w:rPr>
          <w:spacing w:val="-41"/>
          <w:sz w:val="20"/>
        </w:rPr>
        <w:t> </w:t>
      </w:r>
      <w:r>
        <w:rPr>
          <w:sz w:val="20"/>
        </w:rPr>
        <w:t>da</w:t>
      </w:r>
      <w:r>
        <w:rPr>
          <w:spacing w:val="-41"/>
          <w:sz w:val="20"/>
        </w:rPr>
        <w:t> </w:t>
      </w:r>
      <w:r>
        <w:rPr>
          <w:sz w:val="20"/>
        </w:rPr>
        <w:t>CEB</w:t>
      </w:r>
      <w:r>
        <w:rPr>
          <w:spacing w:val="-42"/>
          <w:sz w:val="20"/>
        </w:rPr>
        <w:t> </w:t>
      </w:r>
      <w:r>
        <w:rPr>
          <w:sz w:val="20"/>
        </w:rPr>
        <w:t>DIS</w:t>
      </w:r>
      <w:r>
        <w:rPr>
          <w:spacing w:val="-40"/>
          <w:sz w:val="20"/>
        </w:rPr>
        <w:t> </w:t>
      </w:r>
      <w:r>
        <w:rPr>
          <w:sz w:val="20"/>
        </w:rPr>
        <w:t>em razão</w:t>
      </w:r>
      <w:r>
        <w:rPr>
          <w:spacing w:val="-25"/>
          <w:sz w:val="20"/>
        </w:rPr>
        <w:t> </w:t>
      </w:r>
      <w:r>
        <w:rPr>
          <w:sz w:val="20"/>
        </w:rPr>
        <w:t>de</w:t>
      </w:r>
      <w:r>
        <w:rPr>
          <w:spacing w:val="-25"/>
          <w:sz w:val="20"/>
        </w:rPr>
        <w:t> </w:t>
      </w:r>
      <w:r>
        <w:rPr>
          <w:sz w:val="20"/>
        </w:rPr>
        <w:t>aquisição</w:t>
      </w:r>
      <w:r>
        <w:rPr>
          <w:spacing w:val="-24"/>
          <w:sz w:val="20"/>
        </w:rPr>
        <w:t> </w:t>
      </w:r>
      <w:r>
        <w:rPr>
          <w:sz w:val="20"/>
        </w:rPr>
        <w:t>do</w:t>
      </w:r>
      <w:r>
        <w:rPr>
          <w:spacing w:val="-24"/>
          <w:sz w:val="20"/>
        </w:rPr>
        <w:t> </w:t>
      </w:r>
      <w:r>
        <w:rPr>
          <w:sz w:val="20"/>
        </w:rPr>
        <w:t>imóvel</w:t>
      </w:r>
      <w:r>
        <w:rPr>
          <w:spacing w:val="-24"/>
          <w:sz w:val="20"/>
        </w:rPr>
        <w:t> </w:t>
      </w:r>
      <w:r>
        <w:rPr>
          <w:sz w:val="20"/>
        </w:rPr>
        <w:t>situado</w:t>
      </w:r>
      <w:r>
        <w:rPr>
          <w:spacing w:val="-24"/>
          <w:sz w:val="20"/>
        </w:rPr>
        <w:t> </w:t>
      </w:r>
      <w:r>
        <w:rPr>
          <w:sz w:val="20"/>
        </w:rPr>
        <w:t>na</w:t>
      </w:r>
      <w:r>
        <w:rPr>
          <w:spacing w:val="-23"/>
          <w:sz w:val="20"/>
        </w:rPr>
        <w:t> </w:t>
      </w:r>
      <w:r>
        <w:rPr>
          <w:sz w:val="20"/>
        </w:rPr>
        <w:t>SGAS</w:t>
      </w:r>
      <w:r>
        <w:rPr>
          <w:spacing w:val="-25"/>
          <w:sz w:val="20"/>
        </w:rPr>
        <w:t> </w:t>
      </w:r>
      <w:r>
        <w:rPr>
          <w:sz w:val="20"/>
        </w:rPr>
        <w:t>904</w:t>
      </w:r>
      <w:r>
        <w:rPr>
          <w:spacing w:val="-22"/>
          <w:sz w:val="20"/>
        </w:rPr>
        <w:t> </w:t>
      </w:r>
      <w:r>
        <w:rPr>
          <w:sz w:val="20"/>
        </w:rPr>
        <w:t>no</w:t>
      </w:r>
      <w:r>
        <w:rPr>
          <w:spacing w:val="-24"/>
          <w:sz w:val="20"/>
        </w:rPr>
        <w:t> </w:t>
      </w:r>
      <w:r>
        <w:rPr>
          <w:sz w:val="20"/>
        </w:rPr>
        <w:t>ano</w:t>
      </w:r>
      <w:r>
        <w:rPr>
          <w:spacing w:val="-24"/>
          <w:sz w:val="20"/>
        </w:rPr>
        <w:t> </w:t>
      </w:r>
      <w:r>
        <w:rPr>
          <w:sz w:val="20"/>
        </w:rPr>
        <w:t>de</w:t>
      </w:r>
      <w:r>
        <w:rPr>
          <w:spacing w:val="-25"/>
          <w:sz w:val="20"/>
        </w:rPr>
        <w:t> </w:t>
      </w:r>
      <w:r>
        <w:rPr>
          <w:sz w:val="20"/>
        </w:rPr>
        <w:t>2006.</w:t>
      </w:r>
      <w:r>
        <w:rPr>
          <w:spacing w:val="-24"/>
          <w:sz w:val="20"/>
        </w:rPr>
        <w:t> </w:t>
      </w:r>
      <w:r>
        <w:rPr>
          <w:sz w:val="20"/>
        </w:rPr>
        <w:t>Parte</w:t>
      </w:r>
      <w:r>
        <w:rPr>
          <w:spacing w:val="-23"/>
          <w:sz w:val="20"/>
        </w:rPr>
        <w:t> </w:t>
      </w:r>
      <w:r>
        <w:rPr>
          <w:sz w:val="20"/>
        </w:rPr>
        <w:t>do</w:t>
      </w:r>
      <w:r>
        <w:rPr>
          <w:spacing w:val="-24"/>
          <w:sz w:val="20"/>
        </w:rPr>
        <w:t> </w:t>
      </w:r>
      <w:r>
        <w:rPr>
          <w:sz w:val="20"/>
        </w:rPr>
        <w:t>imóvel</w:t>
      </w:r>
      <w:r>
        <w:rPr>
          <w:spacing w:val="-22"/>
          <w:sz w:val="20"/>
        </w:rPr>
        <w:t> </w:t>
      </w:r>
      <w:r>
        <w:rPr>
          <w:sz w:val="20"/>
        </w:rPr>
        <w:t>ainda</w:t>
      </w:r>
      <w:r>
        <w:rPr>
          <w:spacing w:val="-23"/>
          <w:sz w:val="20"/>
        </w:rPr>
        <w:t> </w:t>
      </w:r>
      <w:r>
        <w:rPr>
          <w:sz w:val="20"/>
        </w:rPr>
        <w:t>está</w:t>
      </w:r>
      <w:r>
        <w:rPr>
          <w:spacing w:val="-24"/>
          <w:sz w:val="20"/>
        </w:rPr>
        <w:t> </w:t>
      </w:r>
      <w:r>
        <w:rPr>
          <w:sz w:val="20"/>
        </w:rPr>
        <w:t>ocupada</w:t>
      </w:r>
      <w:r>
        <w:rPr>
          <w:spacing w:val="-23"/>
          <w:sz w:val="20"/>
        </w:rPr>
        <w:t> </w:t>
      </w:r>
      <w:r>
        <w:rPr>
          <w:sz w:val="20"/>
        </w:rPr>
        <w:t>pela</w:t>
      </w:r>
      <w:r>
        <w:rPr>
          <w:spacing w:val="-24"/>
          <w:sz w:val="20"/>
        </w:rPr>
        <w:t> </w:t>
      </w:r>
      <w:r>
        <w:rPr>
          <w:sz w:val="20"/>
        </w:rPr>
        <w:t>ASCEB, impossibilitando</w:t>
      </w:r>
      <w:r>
        <w:rPr>
          <w:spacing w:val="-30"/>
          <w:sz w:val="20"/>
        </w:rPr>
        <w:t> </w:t>
      </w:r>
      <w:r>
        <w:rPr>
          <w:sz w:val="20"/>
        </w:rPr>
        <w:t>a</w:t>
      </w:r>
      <w:r>
        <w:rPr>
          <w:spacing w:val="-26"/>
          <w:sz w:val="20"/>
        </w:rPr>
        <w:t> </w:t>
      </w:r>
      <w:r>
        <w:rPr>
          <w:sz w:val="20"/>
        </w:rPr>
        <w:t>transferência</w:t>
      </w:r>
      <w:r>
        <w:rPr>
          <w:spacing w:val="-29"/>
          <w:sz w:val="20"/>
        </w:rPr>
        <w:t> </w:t>
      </w:r>
      <w:r>
        <w:rPr>
          <w:sz w:val="20"/>
        </w:rPr>
        <w:t>total</w:t>
      </w:r>
      <w:r>
        <w:rPr>
          <w:spacing w:val="-28"/>
          <w:sz w:val="20"/>
        </w:rPr>
        <w:t> </w:t>
      </w:r>
      <w:r>
        <w:rPr>
          <w:sz w:val="20"/>
        </w:rPr>
        <w:t>da</w:t>
      </w:r>
      <w:r>
        <w:rPr>
          <w:spacing w:val="-29"/>
          <w:sz w:val="20"/>
        </w:rPr>
        <w:t> </w:t>
      </w:r>
      <w:r>
        <w:rPr>
          <w:sz w:val="20"/>
        </w:rPr>
        <w:t>posse</w:t>
      </w:r>
      <w:r>
        <w:rPr>
          <w:spacing w:val="-28"/>
          <w:sz w:val="20"/>
        </w:rPr>
        <w:t> </w:t>
      </w:r>
      <w:r>
        <w:rPr>
          <w:sz w:val="20"/>
        </w:rPr>
        <w:t>deste</w:t>
      </w:r>
      <w:r>
        <w:rPr>
          <w:spacing w:val="-30"/>
          <w:sz w:val="20"/>
        </w:rPr>
        <w:t> </w:t>
      </w:r>
      <w:r>
        <w:rPr>
          <w:sz w:val="20"/>
        </w:rPr>
        <w:t>à</w:t>
      </w:r>
      <w:r>
        <w:rPr>
          <w:spacing w:val="-28"/>
          <w:sz w:val="20"/>
        </w:rPr>
        <w:t> </w:t>
      </w:r>
      <w:r>
        <w:rPr>
          <w:sz w:val="20"/>
        </w:rPr>
        <w:t>adquirente.</w:t>
      </w:r>
      <w:r>
        <w:rPr>
          <w:spacing w:val="-29"/>
          <w:sz w:val="20"/>
        </w:rPr>
        <w:t> </w:t>
      </w:r>
      <w:r>
        <w:rPr>
          <w:sz w:val="20"/>
        </w:rPr>
        <w:t>O</w:t>
      </w:r>
      <w:r>
        <w:rPr>
          <w:spacing w:val="-28"/>
          <w:sz w:val="20"/>
        </w:rPr>
        <w:t> </w:t>
      </w:r>
      <w:r>
        <w:rPr>
          <w:sz w:val="20"/>
        </w:rPr>
        <w:t>pedido</w:t>
      </w:r>
      <w:r>
        <w:rPr>
          <w:spacing w:val="-28"/>
          <w:sz w:val="20"/>
        </w:rPr>
        <w:t> </w:t>
      </w:r>
      <w:r>
        <w:rPr>
          <w:sz w:val="20"/>
        </w:rPr>
        <w:t>indenizatório</w:t>
      </w:r>
      <w:r>
        <w:rPr>
          <w:spacing w:val="-29"/>
          <w:sz w:val="20"/>
        </w:rPr>
        <w:t> </w:t>
      </w:r>
      <w:r>
        <w:rPr>
          <w:sz w:val="20"/>
        </w:rPr>
        <w:t>fora</w:t>
      </w:r>
      <w:r>
        <w:rPr>
          <w:spacing w:val="-27"/>
          <w:sz w:val="20"/>
        </w:rPr>
        <w:t> </w:t>
      </w:r>
      <w:r>
        <w:rPr>
          <w:sz w:val="20"/>
        </w:rPr>
        <w:t>negado</w:t>
      </w:r>
      <w:r>
        <w:rPr>
          <w:spacing w:val="-29"/>
          <w:sz w:val="20"/>
        </w:rPr>
        <w:t> </w:t>
      </w:r>
      <w:r>
        <w:rPr>
          <w:sz w:val="20"/>
        </w:rPr>
        <w:t>em</w:t>
      </w:r>
      <w:r>
        <w:rPr>
          <w:spacing w:val="-29"/>
          <w:sz w:val="20"/>
        </w:rPr>
        <w:t> </w:t>
      </w:r>
      <w:r>
        <w:rPr>
          <w:sz w:val="20"/>
        </w:rPr>
        <w:t>1º</w:t>
      </w:r>
      <w:r>
        <w:rPr>
          <w:spacing w:val="-28"/>
          <w:sz w:val="20"/>
        </w:rPr>
        <w:t> </w:t>
      </w:r>
      <w:r>
        <w:rPr>
          <w:sz w:val="20"/>
        </w:rPr>
        <w:t>grau, </w:t>
      </w:r>
      <w:r>
        <w:rPr>
          <w:w w:val="95"/>
          <w:sz w:val="20"/>
        </w:rPr>
        <w:t>com</w:t>
      </w:r>
      <w:r>
        <w:rPr>
          <w:spacing w:val="-18"/>
          <w:w w:val="95"/>
          <w:sz w:val="20"/>
        </w:rPr>
        <w:t> </w:t>
      </w:r>
      <w:r>
        <w:rPr>
          <w:w w:val="95"/>
          <w:sz w:val="20"/>
        </w:rPr>
        <w:t>reversão</w:t>
      </w:r>
      <w:r>
        <w:rPr>
          <w:spacing w:val="-18"/>
          <w:w w:val="95"/>
          <w:sz w:val="20"/>
        </w:rPr>
        <w:t> </w:t>
      </w:r>
      <w:r>
        <w:rPr>
          <w:w w:val="95"/>
          <w:sz w:val="20"/>
        </w:rPr>
        <w:t>de</w:t>
      </w:r>
      <w:r>
        <w:rPr>
          <w:spacing w:val="-19"/>
          <w:w w:val="95"/>
          <w:sz w:val="20"/>
        </w:rPr>
        <w:t> </w:t>
      </w:r>
      <w:r>
        <w:rPr>
          <w:w w:val="95"/>
          <w:sz w:val="20"/>
        </w:rPr>
        <w:t>entendimento</w:t>
      </w:r>
      <w:r>
        <w:rPr>
          <w:spacing w:val="-18"/>
          <w:w w:val="95"/>
          <w:sz w:val="20"/>
        </w:rPr>
        <w:t> </w:t>
      </w:r>
      <w:r>
        <w:rPr>
          <w:w w:val="95"/>
          <w:sz w:val="20"/>
        </w:rPr>
        <w:t>pelo</w:t>
      </w:r>
      <w:r>
        <w:rPr>
          <w:spacing w:val="-17"/>
          <w:w w:val="95"/>
          <w:sz w:val="20"/>
        </w:rPr>
        <w:t> </w:t>
      </w:r>
      <w:r>
        <w:rPr>
          <w:w w:val="95"/>
          <w:sz w:val="20"/>
        </w:rPr>
        <w:t>TJDFT.</w:t>
      </w:r>
      <w:r>
        <w:rPr>
          <w:spacing w:val="-19"/>
          <w:w w:val="95"/>
          <w:sz w:val="20"/>
        </w:rPr>
        <w:t> </w:t>
      </w:r>
      <w:r>
        <w:rPr>
          <w:w w:val="95"/>
          <w:sz w:val="20"/>
        </w:rPr>
        <w:t>Atualmente</w:t>
      </w:r>
      <w:r>
        <w:rPr>
          <w:spacing w:val="-17"/>
          <w:w w:val="95"/>
          <w:sz w:val="20"/>
        </w:rPr>
        <w:t> </w:t>
      </w:r>
      <w:r>
        <w:rPr>
          <w:w w:val="95"/>
          <w:sz w:val="20"/>
        </w:rPr>
        <w:t>o</w:t>
      </w:r>
      <w:r>
        <w:rPr>
          <w:spacing w:val="-20"/>
          <w:w w:val="95"/>
          <w:sz w:val="20"/>
        </w:rPr>
        <w:t> </w:t>
      </w:r>
      <w:r>
        <w:rPr>
          <w:w w:val="95"/>
          <w:sz w:val="20"/>
        </w:rPr>
        <w:t>processo</w:t>
      </w:r>
      <w:r>
        <w:rPr>
          <w:spacing w:val="-18"/>
          <w:w w:val="95"/>
          <w:sz w:val="20"/>
        </w:rPr>
        <w:t> </w:t>
      </w:r>
      <w:r>
        <w:rPr>
          <w:w w:val="95"/>
          <w:sz w:val="20"/>
        </w:rPr>
        <w:t>pende</w:t>
      </w:r>
      <w:r>
        <w:rPr>
          <w:spacing w:val="-18"/>
          <w:w w:val="95"/>
          <w:sz w:val="20"/>
        </w:rPr>
        <w:t> </w:t>
      </w:r>
      <w:r>
        <w:rPr>
          <w:w w:val="95"/>
          <w:sz w:val="20"/>
        </w:rPr>
        <w:t>de</w:t>
      </w:r>
      <w:r>
        <w:rPr>
          <w:spacing w:val="-19"/>
          <w:w w:val="95"/>
          <w:sz w:val="20"/>
        </w:rPr>
        <w:t> </w:t>
      </w:r>
      <w:r>
        <w:rPr>
          <w:w w:val="95"/>
          <w:sz w:val="20"/>
        </w:rPr>
        <w:t>julgamento</w:t>
      </w:r>
      <w:r>
        <w:rPr>
          <w:spacing w:val="-18"/>
          <w:w w:val="95"/>
          <w:sz w:val="20"/>
        </w:rPr>
        <w:t> </w:t>
      </w:r>
      <w:r>
        <w:rPr>
          <w:w w:val="95"/>
          <w:sz w:val="20"/>
        </w:rPr>
        <w:t>de</w:t>
      </w:r>
      <w:r>
        <w:rPr>
          <w:spacing w:val="-19"/>
          <w:w w:val="95"/>
          <w:sz w:val="20"/>
        </w:rPr>
        <w:t> </w:t>
      </w:r>
      <w:r>
        <w:rPr>
          <w:w w:val="95"/>
          <w:sz w:val="20"/>
        </w:rPr>
        <w:t>recurso</w:t>
      </w:r>
      <w:r>
        <w:rPr>
          <w:spacing w:val="-18"/>
          <w:w w:val="95"/>
          <w:sz w:val="20"/>
        </w:rPr>
        <w:t> </w:t>
      </w:r>
      <w:r>
        <w:rPr>
          <w:w w:val="95"/>
          <w:sz w:val="20"/>
        </w:rPr>
        <w:t>especial</w:t>
      </w:r>
      <w:r>
        <w:rPr>
          <w:spacing w:val="-16"/>
          <w:w w:val="95"/>
          <w:sz w:val="20"/>
        </w:rPr>
        <w:t> </w:t>
      </w:r>
      <w:r>
        <w:rPr>
          <w:w w:val="95"/>
          <w:sz w:val="20"/>
        </w:rPr>
        <w:t>pelo</w:t>
      </w:r>
      <w:r>
        <w:rPr>
          <w:spacing w:val="-16"/>
          <w:w w:val="95"/>
          <w:sz w:val="20"/>
        </w:rPr>
        <w:t> </w:t>
      </w:r>
      <w:r>
        <w:rPr>
          <w:w w:val="95"/>
          <w:sz w:val="20"/>
        </w:rPr>
        <w:t>STJ. </w:t>
      </w:r>
      <w:r>
        <w:rPr>
          <w:sz w:val="20"/>
        </w:rPr>
        <w:t>Diante</w:t>
      </w:r>
      <w:r>
        <w:rPr>
          <w:spacing w:val="-24"/>
          <w:sz w:val="20"/>
        </w:rPr>
        <w:t> </w:t>
      </w:r>
      <w:r>
        <w:rPr>
          <w:sz w:val="20"/>
        </w:rPr>
        <w:t>disso,</w:t>
      </w:r>
      <w:r>
        <w:rPr>
          <w:spacing w:val="-21"/>
          <w:sz w:val="20"/>
        </w:rPr>
        <w:t> </w:t>
      </w:r>
      <w:r>
        <w:rPr>
          <w:sz w:val="20"/>
        </w:rPr>
        <w:t>em</w:t>
      </w:r>
      <w:r>
        <w:rPr>
          <w:spacing w:val="-23"/>
          <w:sz w:val="20"/>
        </w:rPr>
        <w:t> </w:t>
      </w:r>
      <w:r>
        <w:rPr>
          <w:sz w:val="20"/>
        </w:rPr>
        <w:t>outubro</w:t>
      </w:r>
      <w:r>
        <w:rPr>
          <w:spacing w:val="-24"/>
          <w:sz w:val="20"/>
        </w:rPr>
        <w:t> </w:t>
      </w:r>
      <w:r>
        <w:rPr>
          <w:sz w:val="20"/>
        </w:rPr>
        <w:t>de</w:t>
      </w:r>
      <w:r>
        <w:rPr>
          <w:spacing w:val="-22"/>
          <w:sz w:val="20"/>
        </w:rPr>
        <w:t> </w:t>
      </w:r>
      <w:r>
        <w:rPr>
          <w:sz w:val="20"/>
        </w:rPr>
        <w:t>2019,</w:t>
      </w:r>
      <w:r>
        <w:rPr>
          <w:spacing w:val="-23"/>
          <w:sz w:val="20"/>
        </w:rPr>
        <w:t> </w:t>
      </w:r>
      <w:r>
        <w:rPr>
          <w:sz w:val="20"/>
        </w:rPr>
        <w:t>foi</w:t>
      </w:r>
      <w:r>
        <w:rPr>
          <w:spacing w:val="-24"/>
          <w:sz w:val="20"/>
        </w:rPr>
        <w:t> </w:t>
      </w:r>
      <w:r>
        <w:rPr>
          <w:sz w:val="20"/>
        </w:rPr>
        <w:t>constituída</w:t>
      </w:r>
      <w:r>
        <w:rPr>
          <w:spacing w:val="-22"/>
          <w:sz w:val="20"/>
        </w:rPr>
        <w:t> </w:t>
      </w:r>
      <w:r>
        <w:rPr>
          <w:sz w:val="20"/>
        </w:rPr>
        <w:t>provisão</w:t>
      </w:r>
      <w:r>
        <w:rPr>
          <w:spacing w:val="-24"/>
          <w:sz w:val="20"/>
        </w:rPr>
        <w:t> </w:t>
      </w:r>
      <w:r>
        <w:rPr>
          <w:sz w:val="20"/>
        </w:rPr>
        <w:t>contingencial</w:t>
      </w:r>
      <w:r>
        <w:rPr>
          <w:spacing w:val="-23"/>
          <w:sz w:val="20"/>
        </w:rPr>
        <w:t> </w:t>
      </w:r>
      <w:r>
        <w:rPr>
          <w:sz w:val="20"/>
        </w:rPr>
        <w:t>no</w:t>
      </w:r>
      <w:r>
        <w:rPr>
          <w:spacing w:val="-24"/>
          <w:sz w:val="20"/>
        </w:rPr>
        <w:t> </w:t>
      </w:r>
      <w:r>
        <w:rPr>
          <w:sz w:val="20"/>
        </w:rPr>
        <w:t>montante</w:t>
      </w:r>
      <w:r>
        <w:rPr>
          <w:spacing w:val="-23"/>
          <w:sz w:val="20"/>
        </w:rPr>
        <w:t> </w:t>
      </w:r>
      <w:r>
        <w:rPr>
          <w:sz w:val="20"/>
        </w:rPr>
        <w:t>de</w:t>
      </w:r>
      <w:r>
        <w:rPr>
          <w:spacing w:val="-18"/>
          <w:sz w:val="20"/>
        </w:rPr>
        <w:t> </w:t>
      </w:r>
      <w:r>
        <w:rPr>
          <w:sz w:val="20"/>
        </w:rPr>
        <w:t>R$</w:t>
      </w:r>
      <w:r>
        <w:rPr>
          <w:spacing w:val="-23"/>
          <w:sz w:val="20"/>
        </w:rPr>
        <w:t> </w:t>
      </w:r>
      <w:r>
        <w:rPr>
          <w:sz w:val="20"/>
        </w:rPr>
        <w:t>9.303.</w:t>
      </w:r>
    </w:p>
    <w:p>
      <w:pPr>
        <w:pStyle w:val="ListParagraph"/>
        <w:numPr>
          <w:ilvl w:val="0"/>
          <w:numId w:val="40"/>
        </w:numPr>
        <w:tabs>
          <w:tab w:pos="500" w:val="left" w:leader="none"/>
        </w:tabs>
        <w:spacing w:line="242" w:lineRule="auto" w:before="119" w:after="0"/>
        <w:ind w:left="172" w:right="416" w:firstLine="0"/>
        <w:jc w:val="both"/>
        <w:rPr>
          <w:sz w:val="20"/>
        </w:rPr>
      </w:pPr>
      <w:r>
        <w:rPr>
          <w:sz w:val="20"/>
        </w:rPr>
        <w:t>Decorre</w:t>
      </w:r>
      <w:r>
        <w:rPr>
          <w:spacing w:val="-38"/>
          <w:sz w:val="20"/>
        </w:rPr>
        <w:t> </w:t>
      </w:r>
      <w:r>
        <w:rPr>
          <w:sz w:val="20"/>
        </w:rPr>
        <w:t>de</w:t>
      </w:r>
      <w:r>
        <w:rPr>
          <w:spacing w:val="-38"/>
          <w:sz w:val="20"/>
        </w:rPr>
        <w:t> </w:t>
      </w:r>
      <w:r>
        <w:rPr>
          <w:sz w:val="20"/>
        </w:rPr>
        <w:t>participação</w:t>
      </w:r>
      <w:r>
        <w:rPr>
          <w:spacing w:val="-36"/>
          <w:sz w:val="20"/>
        </w:rPr>
        <w:t> </w:t>
      </w:r>
      <w:r>
        <w:rPr>
          <w:sz w:val="20"/>
        </w:rPr>
        <w:t>dos</w:t>
      </w:r>
      <w:r>
        <w:rPr>
          <w:spacing w:val="-38"/>
          <w:sz w:val="20"/>
        </w:rPr>
        <w:t> </w:t>
      </w:r>
      <w:r>
        <w:rPr>
          <w:sz w:val="20"/>
        </w:rPr>
        <w:t>empregados</w:t>
      </w:r>
      <w:r>
        <w:rPr>
          <w:spacing w:val="-37"/>
          <w:sz w:val="20"/>
        </w:rPr>
        <w:t> </w:t>
      </w:r>
      <w:r>
        <w:rPr>
          <w:sz w:val="20"/>
        </w:rPr>
        <w:t>no</w:t>
      </w:r>
      <w:r>
        <w:rPr>
          <w:spacing w:val="-37"/>
          <w:sz w:val="20"/>
        </w:rPr>
        <w:t> </w:t>
      </w:r>
      <w:r>
        <w:rPr>
          <w:sz w:val="20"/>
        </w:rPr>
        <w:t>resultado</w:t>
      </w:r>
      <w:r>
        <w:rPr>
          <w:spacing w:val="-39"/>
          <w:sz w:val="20"/>
        </w:rPr>
        <w:t> </w:t>
      </w:r>
      <w:r>
        <w:rPr>
          <w:sz w:val="20"/>
        </w:rPr>
        <w:t>atribuído</w:t>
      </w:r>
      <w:r>
        <w:rPr>
          <w:spacing w:val="-38"/>
          <w:sz w:val="20"/>
        </w:rPr>
        <w:t> </w:t>
      </w:r>
      <w:r>
        <w:rPr>
          <w:sz w:val="20"/>
        </w:rPr>
        <w:t>pela</w:t>
      </w:r>
      <w:r>
        <w:rPr>
          <w:spacing w:val="-38"/>
          <w:sz w:val="20"/>
        </w:rPr>
        <w:t> </w:t>
      </w:r>
      <w:r>
        <w:rPr>
          <w:sz w:val="20"/>
        </w:rPr>
        <w:t>CEB</w:t>
      </w:r>
      <w:r>
        <w:rPr>
          <w:spacing w:val="-39"/>
          <w:sz w:val="20"/>
        </w:rPr>
        <w:t> </w:t>
      </w:r>
      <w:r>
        <w:rPr>
          <w:sz w:val="20"/>
        </w:rPr>
        <w:t>Distribuição</w:t>
      </w:r>
      <w:r>
        <w:rPr>
          <w:spacing w:val="-39"/>
          <w:sz w:val="20"/>
        </w:rPr>
        <w:t> </w:t>
      </w:r>
      <w:r>
        <w:rPr>
          <w:sz w:val="20"/>
        </w:rPr>
        <w:t>S.A.,</w:t>
      </w:r>
      <w:r>
        <w:rPr>
          <w:spacing w:val="-36"/>
          <w:sz w:val="20"/>
        </w:rPr>
        <w:t> </w:t>
      </w:r>
      <w:r>
        <w:rPr>
          <w:sz w:val="20"/>
        </w:rPr>
        <w:t>em</w:t>
      </w:r>
      <w:r>
        <w:rPr>
          <w:spacing w:val="-38"/>
          <w:sz w:val="20"/>
        </w:rPr>
        <w:t> </w:t>
      </w:r>
      <w:r>
        <w:rPr>
          <w:sz w:val="20"/>
        </w:rPr>
        <w:t>função</w:t>
      </w:r>
      <w:r>
        <w:rPr>
          <w:spacing w:val="-37"/>
          <w:sz w:val="20"/>
        </w:rPr>
        <w:t> </w:t>
      </w:r>
      <w:r>
        <w:rPr>
          <w:sz w:val="20"/>
        </w:rPr>
        <w:t>do</w:t>
      </w:r>
      <w:r>
        <w:rPr>
          <w:spacing w:val="-38"/>
          <w:sz w:val="20"/>
        </w:rPr>
        <w:t> </w:t>
      </w:r>
      <w:r>
        <w:rPr>
          <w:sz w:val="20"/>
        </w:rPr>
        <w:t>Acordo Coletivo</w:t>
      </w:r>
      <w:r>
        <w:rPr>
          <w:spacing w:val="-16"/>
          <w:sz w:val="20"/>
        </w:rPr>
        <w:t> </w:t>
      </w:r>
      <w:r>
        <w:rPr>
          <w:sz w:val="20"/>
        </w:rPr>
        <w:t>de</w:t>
      </w:r>
      <w:r>
        <w:rPr>
          <w:spacing w:val="-17"/>
          <w:sz w:val="20"/>
        </w:rPr>
        <w:t> </w:t>
      </w:r>
      <w:r>
        <w:rPr>
          <w:sz w:val="20"/>
        </w:rPr>
        <w:t>Trabalho</w:t>
      </w:r>
      <w:r>
        <w:rPr>
          <w:spacing w:val="-16"/>
          <w:sz w:val="20"/>
        </w:rPr>
        <w:t> </w:t>
      </w:r>
      <w:r>
        <w:rPr>
          <w:w w:val="105"/>
          <w:sz w:val="20"/>
        </w:rPr>
        <w:t>–</w:t>
      </w:r>
      <w:r>
        <w:rPr>
          <w:spacing w:val="-19"/>
          <w:w w:val="105"/>
          <w:sz w:val="20"/>
        </w:rPr>
        <w:t> </w:t>
      </w:r>
      <w:r>
        <w:rPr>
          <w:sz w:val="20"/>
        </w:rPr>
        <w:t>ACT.</w:t>
      </w:r>
    </w:p>
    <w:p>
      <w:pPr>
        <w:pStyle w:val="BodyText"/>
        <w:spacing w:before="5"/>
      </w:pPr>
    </w:p>
    <w:p>
      <w:pPr>
        <w:pStyle w:val="ListParagraph"/>
        <w:numPr>
          <w:ilvl w:val="1"/>
          <w:numId w:val="38"/>
        </w:numPr>
        <w:tabs>
          <w:tab w:pos="1026" w:val="left" w:leader="none"/>
        </w:tabs>
        <w:spacing w:line="240" w:lineRule="auto" w:before="0" w:after="0"/>
        <w:ind w:left="1025" w:right="0" w:hanging="854"/>
        <w:jc w:val="both"/>
        <w:rPr>
          <w:rFonts w:ascii="Caladea"/>
          <w:b/>
          <w:sz w:val="18"/>
        </w:rPr>
      </w:pPr>
      <w:r>
        <w:rPr>
          <w:rFonts w:ascii="Caladea"/>
          <w:b/>
          <w:sz w:val="22"/>
        </w:rPr>
        <w:t>R</w:t>
      </w:r>
      <w:r>
        <w:rPr>
          <w:rFonts w:ascii="Caladea"/>
          <w:b/>
          <w:sz w:val="18"/>
        </w:rPr>
        <w:t>ESULTADO </w:t>
      </w:r>
      <w:r>
        <w:rPr>
          <w:rFonts w:ascii="Caladea"/>
          <w:b/>
          <w:sz w:val="22"/>
        </w:rPr>
        <w:t>F</w:t>
      </w:r>
      <w:r>
        <w:rPr>
          <w:rFonts w:ascii="Caladea"/>
          <w:b/>
          <w:sz w:val="18"/>
        </w:rPr>
        <w:t>INANCEIRO</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44"/>
        <w:gridCol w:w="1260"/>
        <w:gridCol w:w="1262"/>
        <w:gridCol w:w="1587"/>
        <w:gridCol w:w="1262"/>
      </w:tblGrid>
      <w:tr>
        <w:trPr>
          <w:trHeight w:val="249" w:hRule="atLeast"/>
        </w:trPr>
        <w:tc>
          <w:tcPr>
            <w:tcW w:w="4544" w:type="dxa"/>
            <w:vMerge w:val="restart"/>
            <w:shd w:val="clear" w:color="auto" w:fill="D9D9D9"/>
          </w:tcPr>
          <w:p>
            <w:pPr>
              <w:pStyle w:val="TableParagraph"/>
              <w:rPr>
                <w:rFonts w:ascii="Times New Roman"/>
                <w:sz w:val="16"/>
              </w:rPr>
            </w:pPr>
          </w:p>
        </w:tc>
        <w:tc>
          <w:tcPr>
            <w:tcW w:w="2522" w:type="dxa"/>
            <w:gridSpan w:val="2"/>
          </w:tcPr>
          <w:p>
            <w:pPr>
              <w:pStyle w:val="TableParagraph"/>
              <w:spacing w:before="42"/>
              <w:ind w:left="847"/>
              <w:rPr>
                <w:rFonts w:ascii="Caladea"/>
                <w:b/>
                <w:sz w:val="14"/>
              </w:rPr>
            </w:pPr>
            <w:r>
              <w:rPr>
                <w:rFonts w:ascii="Caladea"/>
                <w:b/>
                <w:sz w:val="14"/>
              </w:rPr>
              <w:t>Controladora</w:t>
            </w:r>
          </w:p>
        </w:tc>
        <w:tc>
          <w:tcPr>
            <w:tcW w:w="2849" w:type="dxa"/>
            <w:gridSpan w:val="2"/>
          </w:tcPr>
          <w:p>
            <w:pPr>
              <w:pStyle w:val="TableParagraph"/>
              <w:spacing w:before="42"/>
              <w:ind w:left="1023" w:right="978"/>
              <w:jc w:val="center"/>
              <w:rPr>
                <w:rFonts w:ascii="Caladea"/>
                <w:b/>
                <w:sz w:val="14"/>
              </w:rPr>
            </w:pPr>
            <w:r>
              <w:rPr>
                <w:rFonts w:ascii="Caladea"/>
                <w:b/>
                <w:sz w:val="14"/>
              </w:rPr>
              <w:t>Consolidado</w:t>
            </w:r>
          </w:p>
        </w:tc>
      </w:tr>
      <w:tr>
        <w:trPr>
          <w:trHeight w:val="246" w:hRule="atLeast"/>
        </w:trPr>
        <w:tc>
          <w:tcPr>
            <w:tcW w:w="4544" w:type="dxa"/>
            <w:vMerge/>
            <w:tcBorders>
              <w:top w:val="nil"/>
            </w:tcBorders>
            <w:shd w:val="clear" w:color="auto" w:fill="D9D9D9"/>
          </w:tcPr>
          <w:p>
            <w:pPr>
              <w:rPr>
                <w:sz w:val="2"/>
                <w:szCs w:val="2"/>
              </w:rPr>
            </w:pPr>
          </w:p>
        </w:tc>
        <w:tc>
          <w:tcPr>
            <w:tcW w:w="1260" w:type="dxa"/>
          </w:tcPr>
          <w:p>
            <w:pPr>
              <w:pStyle w:val="TableParagraph"/>
              <w:spacing w:before="39"/>
              <w:ind w:left="228"/>
              <w:rPr>
                <w:rFonts w:ascii="Caladea"/>
                <w:b/>
                <w:sz w:val="14"/>
              </w:rPr>
            </w:pPr>
            <w:r>
              <w:rPr>
                <w:rFonts w:ascii="Caladea"/>
                <w:b/>
                <w:sz w:val="14"/>
              </w:rPr>
              <w:t>31/12/2019</w:t>
            </w:r>
          </w:p>
        </w:tc>
        <w:tc>
          <w:tcPr>
            <w:tcW w:w="1262" w:type="dxa"/>
          </w:tcPr>
          <w:p>
            <w:pPr>
              <w:pStyle w:val="TableParagraph"/>
              <w:spacing w:before="39"/>
              <w:ind w:left="230"/>
              <w:rPr>
                <w:rFonts w:ascii="Caladea"/>
                <w:b/>
                <w:sz w:val="14"/>
              </w:rPr>
            </w:pPr>
            <w:r>
              <w:rPr>
                <w:rFonts w:ascii="Caladea"/>
                <w:b/>
                <w:sz w:val="14"/>
              </w:rPr>
              <w:t>31/12/2018</w:t>
            </w:r>
          </w:p>
        </w:tc>
        <w:tc>
          <w:tcPr>
            <w:tcW w:w="1587" w:type="dxa"/>
          </w:tcPr>
          <w:p>
            <w:pPr>
              <w:pStyle w:val="TableParagraph"/>
              <w:spacing w:before="39"/>
              <w:ind w:left="394"/>
              <w:rPr>
                <w:rFonts w:ascii="Caladea"/>
                <w:b/>
                <w:sz w:val="14"/>
              </w:rPr>
            </w:pPr>
            <w:r>
              <w:rPr>
                <w:rFonts w:ascii="Caladea"/>
                <w:b/>
                <w:sz w:val="14"/>
              </w:rPr>
              <w:t>31/12/2019</w:t>
            </w:r>
          </w:p>
        </w:tc>
        <w:tc>
          <w:tcPr>
            <w:tcW w:w="1262" w:type="dxa"/>
          </w:tcPr>
          <w:p>
            <w:pPr>
              <w:pStyle w:val="TableParagraph"/>
              <w:spacing w:before="39"/>
              <w:ind w:left="231"/>
              <w:rPr>
                <w:rFonts w:ascii="Caladea"/>
                <w:b/>
                <w:sz w:val="14"/>
              </w:rPr>
            </w:pPr>
            <w:r>
              <w:rPr>
                <w:rFonts w:ascii="Caladea"/>
                <w:b/>
                <w:sz w:val="14"/>
              </w:rPr>
              <w:t>31/12/2018</w:t>
            </w:r>
          </w:p>
        </w:tc>
      </w:tr>
      <w:tr>
        <w:trPr>
          <w:trHeight w:val="249" w:hRule="atLeast"/>
        </w:trPr>
        <w:tc>
          <w:tcPr>
            <w:tcW w:w="4544" w:type="dxa"/>
          </w:tcPr>
          <w:p>
            <w:pPr>
              <w:pStyle w:val="TableParagraph"/>
              <w:spacing w:before="42"/>
              <w:ind w:left="103"/>
              <w:rPr>
                <w:rFonts w:ascii="Caladea"/>
                <w:b/>
                <w:sz w:val="14"/>
              </w:rPr>
            </w:pPr>
            <w:r>
              <w:rPr>
                <w:rFonts w:ascii="Caladea"/>
                <w:b/>
                <w:sz w:val="14"/>
              </w:rPr>
              <w:t>Receitas Financeiras</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rPr>
                <w:rFonts w:ascii="Times New Roman"/>
                <w:sz w:val="16"/>
              </w:rPr>
            </w:pPr>
          </w:p>
        </w:tc>
        <w:tc>
          <w:tcPr>
            <w:tcW w:w="1262" w:type="dxa"/>
          </w:tcPr>
          <w:p>
            <w:pPr>
              <w:pStyle w:val="TableParagraph"/>
              <w:rPr>
                <w:rFonts w:ascii="Times New Roman"/>
                <w:sz w:val="16"/>
              </w:rPr>
            </w:pPr>
          </w:p>
        </w:tc>
      </w:tr>
      <w:tr>
        <w:trPr>
          <w:trHeight w:val="246" w:hRule="atLeast"/>
        </w:trPr>
        <w:tc>
          <w:tcPr>
            <w:tcW w:w="4544" w:type="dxa"/>
          </w:tcPr>
          <w:p>
            <w:pPr>
              <w:pStyle w:val="TableParagraph"/>
              <w:spacing w:before="41"/>
              <w:ind w:left="103"/>
              <w:rPr>
                <w:sz w:val="14"/>
              </w:rPr>
            </w:pPr>
            <w:r>
              <w:rPr>
                <w:sz w:val="14"/>
              </w:rPr>
              <w:t>Juros/Variações Monetárias Sobre Ativos</w:t>
            </w:r>
          </w:p>
        </w:tc>
        <w:tc>
          <w:tcPr>
            <w:tcW w:w="1260" w:type="dxa"/>
          </w:tcPr>
          <w:p>
            <w:pPr>
              <w:pStyle w:val="TableParagraph"/>
              <w:spacing w:before="41"/>
              <w:ind w:right="56"/>
              <w:jc w:val="right"/>
              <w:rPr>
                <w:sz w:val="14"/>
              </w:rPr>
            </w:pPr>
            <w:r>
              <w:rPr>
                <w:w w:val="95"/>
                <w:sz w:val="14"/>
              </w:rPr>
              <w:t>11.150</w:t>
            </w:r>
          </w:p>
        </w:tc>
        <w:tc>
          <w:tcPr>
            <w:tcW w:w="1262" w:type="dxa"/>
          </w:tcPr>
          <w:p>
            <w:pPr>
              <w:pStyle w:val="TableParagraph"/>
              <w:spacing w:before="41"/>
              <w:ind w:right="56"/>
              <w:jc w:val="right"/>
              <w:rPr>
                <w:sz w:val="14"/>
              </w:rPr>
            </w:pPr>
            <w:r>
              <w:rPr>
                <w:w w:val="95"/>
                <w:sz w:val="14"/>
              </w:rPr>
              <w:t>1.656</w:t>
            </w:r>
          </w:p>
        </w:tc>
        <w:tc>
          <w:tcPr>
            <w:tcW w:w="1587" w:type="dxa"/>
          </w:tcPr>
          <w:p>
            <w:pPr>
              <w:pStyle w:val="TableParagraph"/>
              <w:spacing w:before="41"/>
              <w:ind w:right="53"/>
              <w:jc w:val="right"/>
              <w:rPr>
                <w:sz w:val="14"/>
              </w:rPr>
            </w:pPr>
            <w:r>
              <w:rPr>
                <w:w w:val="95"/>
                <w:sz w:val="14"/>
              </w:rPr>
              <w:t>33.260</w:t>
            </w:r>
          </w:p>
        </w:tc>
        <w:tc>
          <w:tcPr>
            <w:tcW w:w="1262" w:type="dxa"/>
          </w:tcPr>
          <w:p>
            <w:pPr>
              <w:pStyle w:val="TableParagraph"/>
              <w:spacing w:before="41"/>
              <w:ind w:right="55"/>
              <w:jc w:val="right"/>
              <w:rPr>
                <w:sz w:val="14"/>
              </w:rPr>
            </w:pPr>
            <w:r>
              <w:rPr>
                <w:w w:val="95"/>
                <w:sz w:val="14"/>
              </w:rPr>
              <w:t>24.239</w:t>
            </w:r>
          </w:p>
        </w:tc>
      </w:tr>
      <w:tr>
        <w:trPr>
          <w:trHeight w:val="249" w:hRule="atLeast"/>
        </w:trPr>
        <w:tc>
          <w:tcPr>
            <w:tcW w:w="4544" w:type="dxa"/>
          </w:tcPr>
          <w:p>
            <w:pPr>
              <w:pStyle w:val="TableParagraph"/>
              <w:spacing w:before="43"/>
              <w:ind w:left="103"/>
              <w:rPr>
                <w:sz w:val="14"/>
              </w:rPr>
            </w:pPr>
            <w:r>
              <w:rPr>
                <w:w w:val="105"/>
                <w:sz w:val="14"/>
              </w:rPr>
              <w:t>Atualização Monetária – Ativos Regulatórios</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3"/>
              <w:ind w:right="53"/>
              <w:jc w:val="right"/>
              <w:rPr>
                <w:sz w:val="14"/>
              </w:rPr>
            </w:pPr>
            <w:r>
              <w:rPr>
                <w:w w:val="95"/>
                <w:sz w:val="14"/>
              </w:rPr>
              <w:t>22.038</w:t>
            </w:r>
          </w:p>
        </w:tc>
        <w:tc>
          <w:tcPr>
            <w:tcW w:w="1262" w:type="dxa"/>
          </w:tcPr>
          <w:p>
            <w:pPr>
              <w:pStyle w:val="TableParagraph"/>
              <w:spacing w:before="43"/>
              <w:ind w:right="55"/>
              <w:jc w:val="right"/>
              <w:rPr>
                <w:sz w:val="14"/>
              </w:rPr>
            </w:pPr>
            <w:r>
              <w:rPr>
                <w:w w:val="95"/>
                <w:sz w:val="14"/>
              </w:rPr>
              <w:t>33.531</w:t>
            </w:r>
          </w:p>
        </w:tc>
      </w:tr>
      <w:tr>
        <w:trPr>
          <w:trHeight w:val="246" w:hRule="atLeast"/>
        </w:trPr>
        <w:tc>
          <w:tcPr>
            <w:tcW w:w="4544" w:type="dxa"/>
          </w:tcPr>
          <w:p>
            <w:pPr>
              <w:pStyle w:val="TableParagraph"/>
              <w:spacing w:before="39"/>
              <w:ind w:left="103"/>
              <w:rPr>
                <w:rFonts w:ascii="Caladea" w:hAnsi="Caladea"/>
                <w:b/>
                <w:sz w:val="14"/>
              </w:rPr>
            </w:pPr>
            <w:r>
              <w:rPr>
                <w:sz w:val="14"/>
              </w:rPr>
              <w:t>Acréscimos Moratórios em Conta de Energia </w:t>
            </w:r>
            <w:r>
              <w:rPr>
                <w:rFonts w:ascii="Caladea" w:hAnsi="Caladea"/>
                <w:b/>
                <w:sz w:val="14"/>
              </w:rPr>
              <w:t>(a)</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1"/>
              <w:ind w:right="53"/>
              <w:jc w:val="right"/>
              <w:rPr>
                <w:sz w:val="14"/>
              </w:rPr>
            </w:pPr>
            <w:r>
              <w:rPr>
                <w:w w:val="95"/>
                <w:sz w:val="14"/>
              </w:rPr>
              <w:t>38.450</w:t>
            </w:r>
          </w:p>
        </w:tc>
        <w:tc>
          <w:tcPr>
            <w:tcW w:w="1262" w:type="dxa"/>
          </w:tcPr>
          <w:p>
            <w:pPr>
              <w:pStyle w:val="TableParagraph"/>
              <w:spacing w:before="41"/>
              <w:ind w:right="55"/>
              <w:jc w:val="right"/>
              <w:rPr>
                <w:sz w:val="14"/>
              </w:rPr>
            </w:pPr>
            <w:r>
              <w:rPr>
                <w:w w:val="95"/>
                <w:sz w:val="14"/>
              </w:rPr>
              <w:t>27.518</w:t>
            </w:r>
          </w:p>
        </w:tc>
      </w:tr>
      <w:tr>
        <w:trPr>
          <w:trHeight w:val="249" w:hRule="atLeast"/>
        </w:trPr>
        <w:tc>
          <w:tcPr>
            <w:tcW w:w="4544" w:type="dxa"/>
          </w:tcPr>
          <w:p>
            <w:pPr>
              <w:pStyle w:val="TableParagraph"/>
              <w:spacing w:before="43"/>
              <w:ind w:left="103"/>
              <w:rPr>
                <w:sz w:val="14"/>
              </w:rPr>
            </w:pPr>
            <w:r>
              <w:rPr>
                <w:sz w:val="14"/>
              </w:rPr>
              <w:t>Rendimentos de Aplicações Financeiras</w:t>
            </w:r>
          </w:p>
        </w:tc>
        <w:tc>
          <w:tcPr>
            <w:tcW w:w="1260" w:type="dxa"/>
          </w:tcPr>
          <w:p>
            <w:pPr>
              <w:pStyle w:val="TableParagraph"/>
              <w:spacing w:before="43"/>
              <w:ind w:right="57"/>
              <w:jc w:val="right"/>
              <w:rPr>
                <w:sz w:val="14"/>
              </w:rPr>
            </w:pPr>
            <w:r>
              <w:rPr>
                <w:w w:val="105"/>
                <w:sz w:val="14"/>
              </w:rPr>
              <w:t>886</w:t>
            </w:r>
          </w:p>
        </w:tc>
        <w:tc>
          <w:tcPr>
            <w:tcW w:w="1262" w:type="dxa"/>
          </w:tcPr>
          <w:p>
            <w:pPr>
              <w:pStyle w:val="TableParagraph"/>
              <w:spacing w:before="43"/>
              <w:ind w:right="56"/>
              <w:jc w:val="right"/>
              <w:rPr>
                <w:sz w:val="14"/>
              </w:rPr>
            </w:pPr>
            <w:r>
              <w:rPr>
                <w:w w:val="105"/>
                <w:sz w:val="14"/>
              </w:rPr>
              <w:t>599</w:t>
            </w:r>
          </w:p>
        </w:tc>
        <w:tc>
          <w:tcPr>
            <w:tcW w:w="1587" w:type="dxa"/>
          </w:tcPr>
          <w:p>
            <w:pPr>
              <w:pStyle w:val="TableParagraph"/>
              <w:spacing w:before="43"/>
              <w:ind w:right="54"/>
              <w:jc w:val="right"/>
              <w:rPr>
                <w:sz w:val="14"/>
              </w:rPr>
            </w:pPr>
            <w:r>
              <w:rPr>
                <w:w w:val="95"/>
                <w:sz w:val="14"/>
              </w:rPr>
              <w:t>9.997</w:t>
            </w:r>
          </w:p>
        </w:tc>
        <w:tc>
          <w:tcPr>
            <w:tcW w:w="1262" w:type="dxa"/>
          </w:tcPr>
          <w:p>
            <w:pPr>
              <w:pStyle w:val="TableParagraph"/>
              <w:spacing w:before="43"/>
              <w:ind w:right="56"/>
              <w:jc w:val="right"/>
              <w:rPr>
                <w:sz w:val="14"/>
              </w:rPr>
            </w:pPr>
            <w:r>
              <w:rPr>
                <w:w w:val="95"/>
                <w:sz w:val="14"/>
              </w:rPr>
              <w:t>6.117</w:t>
            </w:r>
          </w:p>
        </w:tc>
      </w:tr>
      <w:tr>
        <w:trPr>
          <w:trHeight w:val="246" w:hRule="atLeast"/>
        </w:trPr>
        <w:tc>
          <w:tcPr>
            <w:tcW w:w="4544" w:type="dxa"/>
          </w:tcPr>
          <w:p>
            <w:pPr>
              <w:pStyle w:val="TableParagraph"/>
              <w:spacing w:before="41"/>
              <w:ind w:left="103"/>
              <w:rPr>
                <w:sz w:val="14"/>
              </w:rPr>
            </w:pPr>
            <w:r>
              <w:rPr>
                <w:sz w:val="14"/>
              </w:rPr>
              <w:t>Receita de Dividendos e Juros sobre Capital Próprio</w:t>
            </w:r>
          </w:p>
        </w:tc>
        <w:tc>
          <w:tcPr>
            <w:tcW w:w="1260" w:type="dxa"/>
          </w:tcPr>
          <w:p>
            <w:pPr>
              <w:pStyle w:val="TableParagraph"/>
              <w:spacing w:before="41"/>
              <w:ind w:right="56"/>
              <w:jc w:val="right"/>
              <w:rPr>
                <w:sz w:val="14"/>
              </w:rPr>
            </w:pPr>
            <w:r>
              <w:rPr>
                <w:w w:val="95"/>
                <w:sz w:val="14"/>
              </w:rPr>
              <w:t>12.967</w:t>
            </w:r>
          </w:p>
        </w:tc>
        <w:tc>
          <w:tcPr>
            <w:tcW w:w="1262" w:type="dxa"/>
          </w:tcPr>
          <w:p>
            <w:pPr>
              <w:pStyle w:val="TableParagraph"/>
              <w:spacing w:before="41"/>
              <w:ind w:right="56"/>
              <w:jc w:val="right"/>
              <w:rPr>
                <w:sz w:val="14"/>
              </w:rPr>
            </w:pPr>
            <w:r>
              <w:rPr>
                <w:w w:val="95"/>
                <w:sz w:val="14"/>
              </w:rPr>
              <w:t>8.388</w:t>
            </w:r>
          </w:p>
        </w:tc>
        <w:tc>
          <w:tcPr>
            <w:tcW w:w="1587" w:type="dxa"/>
          </w:tcPr>
          <w:p>
            <w:pPr>
              <w:pStyle w:val="TableParagraph"/>
              <w:spacing w:before="41"/>
              <w:ind w:right="56"/>
              <w:jc w:val="right"/>
              <w:rPr>
                <w:sz w:val="14"/>
              </w:rPr>
            </w:pPr>
            <w:r>
              <w:rPr>
                <w:w w:val="95"/>
                <w:sz w:val="14"/>
              </w:rPr>
              <w:t>28.115</w:t>
            </w:r>
          </w:p>
        </w:tc>
        <w:tc>
          <w:tcPr>
            <w:tcW w:w="1262" w:type="dxa"/>
          </w:tcPr>
          <w:p>
            <w:pPr>
              <w:pStyle w:val="TableParagraph"/>
              <w:spacing w:before="41"/>
              <w:ind w:right="55"/>
              <w:jc w:val="right"/>
              <w:rPr>
                <w:sz w:val="14"/>
              </w:rPr>
            </w:pPr>
            <w:r>
              <w:rPr>
                <w:w w:val="95"/>
                <w:sz w:val="14"/>
              </w:rPr>
              <w:t>23.495</w:t>
            </w:r>
          </w:p>
        </w:tc>
      </w:tr>
      <w:tr>
        <w:trPr>
          <w:trHeight w:val="249" w:hRule="atLeast"/>
        </w:trPr>
        <w:tc>
          <w:tcPr>
            <w:tcW w:w="4544" w:type="dxa"/>
          </w:tcPr>
          <w:p>
            <w:pPr>
              <w:pStyle w:val="TableParagraph"/>
              <w:spacing w:before="43"/>
              <w:ind w:left="103"/>
              <w:rPr>
                <w:sz w:val="14"/>
              </w:rPr>
            </w:pPr>
            <w:r>
              <w:rPr>
                <w:sz w:val="14"/>
              </w:rPr>
              <w:t>Reversão de Juros Sobre Capital Próprio</w:t>
            </w:r>
          </w:p>
        </w:tc>
        <w:tc>
          <w:tcPr>
            <w:tcW w:w="1260" w:type="dxa"/>
          </w:tcPr>
          <w:p>
            <w:pPr>
              <w:pStyle w:val="TableParagraph"/>
              <w:spacing w:before="43"/>
              <w:ind w:right="57"/>
              <w:jc w:val="right"/>
              <w:rPr>
                <w:sz w:val="14"/>
              </w:rPr>
            </w:pPr>
            <w:r>
              <w:rPr>
                <w:w w:val="95"/>
                <w:sz w:val="14"/>
              </w:rPr>
              <w:t>(8.388)</w:t>
            </w:r>
          </w:p>
        </w:tc>
        <w:tc>
          <w:tcPr>
            <w:tcW w:w="1262" w:type="dxa"/>
          </w:tcPr>
          <w:p>
            <w:pPr>
              <w:pStyle w:val="TableParagraph"/>
              <w:spacing w:before="43"/>
              <w:ind w:right="56"/>
              <w:jc w:val="right"/>
              <w:rPr>
                <w:sz w:val="14"/>
              </w:rPr>
            </w:pPr>
            <w:r>
              <w:rPr>
                <w:w w:val="95"/>
                <w:sz w:val="14"/>
              </w:rPr>
              <w:t>(8.388)</w:t>
            </w:r>
          </w:p>
        </w:tc>
        <w:tc>
          <w:tcPr>
            <w:tcW w:w="1587" w:type="dxa"/>
          </w:tcPr>
          <w:p>
            <w:pPr>
              <w:pStyle w:val="TableParagraph"/>
              <w:spacing w:before="43"/>
              <w:ind w:right="56"/>
              <w:jc w:val="right"/>
              <w:rPr>
                <w:sz w:val="14"/>
              </w:rPr>
            </w:pPr>
            <w:r>
              <w:rPr>
                <w:sz w:val="14"/>
              </w:rPr>
              <w:t>(23.338)</w:t>
            </w:r>
          </w:p>
        </w:tc>
        <w:tc>
          <w:tcPr>
            <w:tcW w:w="1262" w:type="dxa"/>
          </w:tcPr>
          <w:p>
            <w:pPr>
              <w:pStyle w:val="TableParagraph"/>
              <w:spacing w:before="43"/>
              <w:ind w:right="55"/>
              <w:jc w:val="right"/>
              <w:rPr>
                <w:sz w:val="14"/>
              </w:rPr>
            </w:pPr>
            <w:r>
              <w:rPr>
                <w:sz w:val="14"/>
              </w:rPr>
              <w:t>(23.388)</w:t>
            </w:r>
          </w:p>
        </w:tc>
      </w:tr>
      <w:tr>
        <w:trPr>
          <w:trHeight w:val="246" w:hRule="atLeast"/>
        </w:trPr>
        <w:tc>
          <w:tcPr>
            <w:tcW w:w="4544" w:type="dxa"/>
          </w:tcPr>
          <w:p>
            <w:pPr>
              <w:pStyle w:val="TableParagraph"/>
              <w:spacing w:before="41"/>
              <w:ind w:left="103"/>
              <w:rPr>
                <w:sz w:val="14"/>
              </w:rPr>
            </w:pPr>
            <w:r>
              <w:rPr>
                <w:sz w:val="14"/>
              </w:rPr>
              <w:t>Multas e Penalidades Aplicadas</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1"/>
              <w:ind w:right="56"/>
              <w:jc w:val="right"/>
              <w:rPr>
                <w:sz w:val="14"/>
              </w:rPr>
            </w:pPr>
            <w:r>
              <w:rPr>
                <w:sz w:val="14"/>
              </w:rPr>
              <w:t>758</w:t>
            </w:r>
          </w:p>
        </w:tc>
        <w:tc>
          <w:tcPr>
            <w:tcW w:w="1262" w:type="dxa"/>
          </w:tcPr>
          <w:p>
            <w:pPr>
              <w:pStyle w:val="TableParagraph"/>
              <w:spacing w:before="41"/>
              <w:ind w:right="56"/>
              <w:jc w:val="right"/>
              <w:rPr>
                <w:sz w:val="14"/>
              </w:rPr>
            </w:pPr>
            <w:r>
              <w:rPr>
                <w:w w:val="95"/>
                <w:sz w:val="14"/>
              </w:rPr>
              <w:t>2.505</w:t>
            </w:r>
          </w:p>
        </w:tc>
      </w:tr>
      <w:tr>
        <w:trPr>
          <w:trHeight w:val="249" w:hRule="atLeast"/>
        </w:trPr>
        <w:tc>
          <w:tcPr>
            <w:tcW w:w="4544" w:type="dxa"/>
          </w:tcPr>
          <w:p>
            <w:pPr>
              <w:pStyle w:val="TableParagraph"/>
              <w:spacing w:before="43"/>
              <w:ind w:left="103"/>
              <w:rPr>
                <w:sz w:val="14"/>
              </w:rPr>
            </w:pPr>
            <w:r>
              <w:rPr>
                <w:sz w:val="14"/>
              </w:rPr>
              <w:t>Tributos Sobre Receitas Financeiras</w:t>
            </w:r>
          </w:p>
        </w:tc>
        <w:tc>
          <w:tcPr>
            <w:tcW w:w="1260" w:type="dxa"/>
          </w:tcPr>
          <w:p>
            <w:pPr>
              <w:pStyle w:val="TableParagraph"/>
              <w:spacing w:before="43"/>
              <w:ind w:right="56"/>
              <w:jc w:val="right"/>
              <w:rPr>
                <w:sz w:val="14"/>
              </w:rPr>
            </w:pPr>
            <w:r>
              <w:rPr>
                <w:w w:val="95"/>
                <w:sz w:val="14"/>
              </w:rPr>
              <w:t>(1.336)</w:t>
            </w:r>
          </w:p>
        </w:tc>
        <w:tc>
          <w:tcPr>
            <w:tcW w:w="1262" w:type="dxa"/>
          </w:tcPr>
          <w:p>
            <w:pPr>
              <w:pStyle w:val="TableParagraph"/>
              <w:spacing w:before="43"/>
              <w:ind w:right="57"/>
              <w:jc w:val="right"/>
              <w:rPr>
                <w:sz w:val="14"/>
              </w:rPr>
            </w:pPr>
            <w:r>
              <w:rPr>
                <w:sz w:val="14"/>
              </w:rPr>
              <w:t>(885)</w:t>
            </w:r>
          </w:p>
        </w:tc>
        <w:tc>
          <w:tcPr>
            <w:tcW w:w="1587" w:type="dxa"/>
          </w:tcPr>
          <w:p>
            <w:pPr>
              <w:pStyle w:val="TableParagraph"/>
              <w:spacing w:before="43"/>
              <w:ind w:right="56"/>
              <w:jc w:val="right"/>
              <w:rPr>
                <w:sz w:val="14"/>
              </w:rPr>
            </w:pPr>
            <w:r>
              <w:rPr>
                <w:w w:val="95"/>
                <w:sz w:val="14"/>
              </w:rPr>
              <w:t>(4.768)</w:t>
            </w:r>
          </w:p>
        </w:tc>
        <w:tc>
          <w:tcPr>
            <w:tcW w:w="1262" w:type="dxa"/>
          </w:tcPr>
          <w:p>
            <w:pPr>
              <w:pStyle w:val="TableParagraph"/>
              <w:spacing w:before="43"/>
              <w:ind w:right="56"/>
              <w:jc w:val="right"/>
              <w:rPr>
                <w:sz w:val="14"/>
              </w:rPr>
            </w:pPr>
            <w:r>
              <w:rPr>
                <w:w w:val="95"/>
                <w:sz w:val="14"/>
              </w:rPr>
              <w:t>(3.718)</w:t>
            </w:r>
          </w:p>
        </w:tc>
      </w:tr>
      <w:tr>
        <w:trPr>
          <w:trHeight w:val="246" w:hRule="atLeast"/>
        </w:trPr>
        <w:tc>
          <w:tcPr>
            <w:tcW w:w="4544" w:type="dxa"/>
          </w:tcPr>
          <w:p>
            <w:pPr>
              <w:pStyle w:val="TableParagraph"/>
              <w:spacing w:before="41"/>
              <w:ind w:left="103"/>
              <w:rPr>
                <w:sz w:val="14"/>
              </w:rPr>
            </w:pPr>
            <w:r>
              <w:rPr>
                <w:sz w:val="14"/>
              </w:rPr>
              <w:t>Outras Receitas Financeiras</w:t>
            </w:r>
          </w:p>
        </w:tc>
        <w:tc>
          <w:tcPr>
            <w:tcW w:w="1260" w:type="dxa"/>
          </w:tcPr>
          <w:p>
            <w:pPr>
              <w:pStyle w:val="TableParagraph"/>
              <w:rPr>
                <w:rFonts w:ascii="Times New Roman"/>
                <w:sz w:val="16"/>
              </w:rPr>
            </w:pPr>
          </w:p>
        </w:tc>
        <w:tc>
          <w:tcPr>
            <w:tcW w:w="1262" w:type="dxa"/>
          </w:tcPr>
          <w:p>
            <w:pPr>
              <w:pStyle w:val="TableParagraph"/>
              <w:spacing w:before="41"/>
              <w:ind w:right="56"/>
              <w:jc w:val="right"/>
              <w:rPr>
                <w:sz w:val="14"/>
              </w:rPr>
            </w:pPr>
            <w:r>
              <w:rPr>
                <w:sz w:val="14"/>
              </w:rPr>
              <w:t>74</w:t>
            </w:r>
          </w:p>
        </w:tc>
        <w:tc>
          <w:tcPr>
            <w:tcW w:w="1587" w:type="dxa"/>
          </w:tcPr>
          <w:p>
            <w:pPr>
              <w:pStyle w:val="TableParagraph"/>
              <w:spacing w:before="41"/>
              <w:ind w:right="56"/>
              <w:jc w:val="right"/>
              <w:rPr>
                <w:sz w:val="14"/>
              </w:rPr>
            </w:pPr>
            <w:r>
              <w:rPr>
                <w:sz w:val="14"/>
              </w:rPr>
              <w:t>52</w:t>
            </w:r>
          </w:p>
        </w:tc>
        <w:tc>
          <w:tcPr>
            <w:tcW w:w="1262" w:type="dxa"/>
          </w:tcPr>
          <w:p>
            <w:pPr>
              <w:pStyle w:val="TableParagraph"/>
              <w:spacing w:before="41"/>
              <w:ind w:right="56"/>
              <w:jc w:val="right"/>
              <w:rPr>
                <w:sz w:val="14"/>
              </w:rPr>
            </w:pPr>
            <w:r>
              <w:rPr>
                <w:w w:val="95"/>
                <w:sz w:val="14"/>
              </w:rPr>
              <w:t>1.632</w:t>
            </w:r>
          </w:p>
        </w:tc>
      </w:tr>
      <w:tr>
        <w:trPr>
          <w:trHeight w:val="249" w:hRule="atLeast"/>
        </w:trPr>
        <w:tc>
          <w:tcPr>
            <w:tcW w:w="4544" w:type="dxa"/>
          </w:tcPr>
          <w:p>
            <w:pPr>
              <w:pStyle w:val="TableParagraph"/>
              <w:spacing w:before="42"/>
              <w:ind w:left="103"/>
              <w:rPr>
                <w:rFonts w:ascii="Caladea"/>
                <w:b/>
                <w:sz w:val="14"/>
              </w:rPr>
            </w:pPr>
            <w:r>
              <w:rPr>
                <w:rFonts w:ascii="Caladea"/>
                <w:b/>
                <w:sz w:val="14"/>
              </w:rPr>
              <w:t>Subtotal</w:t>
            </w:r>
          </w:p>
        </w:tc>
        <w:tc>
          <w:tcPr>
            <w:tcW w:w="1260" w:type="dxa"/>
          </w:tcPr>
          <w:p>
            <w:pPr>
              <w:pStyle w:val="TableParagraph"/>
              <w:spacing w:before="42"/>
              <w:ind w:right="56"/>
              <w:jc w:val="right"/>
              <w:rPr>
                <w:rFonts w:ascii="Caladea"/>
                <w:b/>
                <w:sz w:val="14"/>
              </w:rPr>
            </w:pPr>
            <w:r>
              <w:rPr>
                <w:rFonts w:ascii="Caladea"/>
                <w:b/>
                <w:sz w:val="14"/>
              </w:rPr>
              <w:t>15.279</w:t>
            </w:r>
          </w:p>
        </w:tc>
        <w:tc>
          <w:tcPr>
            <w:tcW w:w="1262" w:type="dxa"/>
          </w:tcPr>
          <w:p>
            <w:pPr>
              <w:pStyle w:val="TableParagraph"/>
              <w:spacing w:before="42"/>
              <w:ind w:right="56"/>
              <w:jc w:val="right"/>
              <w:rPr>
                <w:rFonts w:ascii="Caladea"/>
                <w:b/>
                <w:sz w:val="14"/>
              </w:rPr>
            </w:pPr>
            <w:r>
              <w:rPr>
                <w:rFonts w:ascii="Caladea"/>
                <w:b/>
                <w:w w:val="95"/>
                <w:sz w:val="14"/>
              </w:rPr>
              <w:t>1.444</w:t>
            </w:r>
          </w:p>
        </w:tc>
        <w:tc>
          <w:tcPr>
            <w:tcW w:w="1587" w:type="dxa"/>
          </w:tcPr>
          <w:p>
            <w:pPr>
              <w:pStyle w:val="TableParagraph"/>
              <w:spacing w:before="42"/>
              <w:ind w:right="56"/>
              <w:jc w:val="right"/>
              <w:rPr>
                <w:rFonts w:ascii="Caladea"/>
                <w:b/>
                <w:sz w:val="14"/>
              </w:rPr>
            </w:pPr>
            <w:r>
              <w:rPr>
                <w:rFonts w:ascii="Caladea"/>
                <w:b/>
                <w:w w:val="95"/>
                <w:sz w:val="14"/>
              </w:rPr>
              <w:t>104.514</w:t>
            </w:r>
          </w:p>
        </w:tc>
        <w:tc>
          <w:tcPr>
            <w:tcW w:w="1262" w:type="dxa"/>
          </w:tcPr>
          <w:p>
            <w:pPr>
              <w:pStyle w:val="TableParagraph"/>
              <w:spacing w:before="42"/>
              <w:ind w:right="56"/>
              <w:jc w:val="right"/>
              <w:rPr>
                <w:rFonts w:ascii="Caladea"/>
                <w:b/>
                <w:sz w:val="14"/>
              </w:rPr>
            </w:pPr>
            <w:r>
              <w:rPr>
                <w:rFonts w:ascii="Caladea"/>
                <w:b/>
                <w:sz w:val="14"/>
              </w:rPr>
              <w:t>91.931</w:t>
            </w:r>
          </w:p>
        </w:tc>
      </w:tr>
      <w:tr>
        <w:trPr>
          <w:trHeight w:val="246" w:hRule="atLeast"/>
        </w:trPr>
        <w:tc>
          <w:tcPr>
            <w:tcW w:w="4544" w:type="dxa"/>
          </w:tcPr>
          <w:p>
            <w:pPr>
              <w:pStyle w:val="TableParagraph"/>
              <w:spacing w:before="39"/>
              <w:ind w:left="103"/>
              <w:rPr>
                <w:rFonts w:ascii="Caladea"/>
                <w:b/>
                <w:sz w:val="14"/>
              </w:rPr>
            </w:pPr>
            <w:r>
              <w:rPr>
                <w:rFonts w:ascii="Caladea"/>
                <w:b/>
                <w:sz w:val="14"/>
              </w:rPr>
              <w:t>Despesas Financeiras</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rPr>
                <w:rFonts w:ascii="Times New Roman"/>
                <w:sz w:val="16"/>
              </w:rPr>
            </w:pPr>
          </w:p>
        </w:tc>
        <w:tc>
          <w:tcPr>
            <w:tcW w:w="1262" w:type="dxa"/>
          </w:tcPr>
          <w:p>
            <w:pPr>
              <w:pStyle w:val="TableParagraph"/>
              <w:rPr>
                <w:rFonts w:ascii="Times New Roman"/>
                <w:sz w:val="16"/>
              </w:rPr>
            </w:pPr>
          </w:p>
        </w:tc>
      </w:tr>
      <w:tr>
        <w:trPr>
          <w:trHeight w:val="249" w:hRule="atLeast"/>
        </w:trPr>
        <w:tc>
          <w:tcPr>
            <w:tcW w:w="4544" w:type="dxa"/>
          </w:tcPr>
          <w:p>
            <w:pPr>
              <w:pStyle w:val="TableParagraph"/>
              <w:spacing w:before="42"/>
              <w:ind w:left="103"/>
              <w:rPr>
                <w:rFonts w:ascii="Caladea" w:hAnsi="Caladea"/>
                <w:b/>
                <w:sz w:val="14"/>
              </w:rPr>
            </w:pPr>
            <w:r>
              <w:rPr>
                <w:sz w:val="14"/>
              </w:rPr>
              <w:t>Juros/Variações Monetárias Sobre Passivos </w:t>
            </w:r>
            <w:r>
              <w:rPr>
                <w:rFonts w:ascii="Caladea" w:hAnsi="Caladea"/>
                <w:b/>
                <w:sz w:val="14"/>
              </w:rPr>
              <w:t>(b)</w:t>
            </w:r>
          </w:p>
        </w:tc>
        <w:tc>
          <w:tcPr>
            <w:tcW w:w="1260" w:type="dxa"/>
          </w:tcPr>
          <w:p>
            <w:pPr>
              <w:pStyle w:val="TableParagraph"/>
              <w:spacing w:before="43"/>
              <w:ind w:right="56"/>
              <w:jc w:val="right"/>
              <w:rPr>
                <w:sz w:val="14"/>
              </w:rPr>
            </w:pPr>
            <w:r>
              <w:rPr>
                <w:sz w:val="14"/>
              </w:rPr>
              <w:t>(237)</w:t>
            </w:r>
          </w:p>
        </w:tc>
        <w:tc>
          <w:tcPr>
            <w:tcW w:w="1262" w:type="dxa"/>
          </w:tcPr>
          <w:p>
            <w:pPr>
              <w:pStyle w:val="TableParagraph"/>
              <w:spacing w:before="43"/>
              <w:ind w:right="56"/>
              <w:jc w:val="right"/>
              <w:rPr>
                <w:sz w:val="14"/>
              </w:rPr>
            </w:pPr>
            <w:r>
              <w:rPr>
                <w:w w:val="105"/>
                <w:sz w:val="14"/>
              </w:rPr>
              <w:t>(79)</w:t>
            </w:r>
          </w:p>
        </w:tc>
        <w:tc>
          <w:tcPr>
            <w:tcW w:w="1587" w:type="dxa"/>
          </w:tcPr>
          <w:p>
            <w:pPr>
              <w:pStyle w:val="TableParagraph"/>
              <w:spacing w:before="43"/>
              <w:ind w:right="56"/>
              <w:jc w:val="right"/>
              <w:rPr>
                <w:sz w:val="14"/>
              </w:rPr>
            </w:pPr>
            <w:r>
              <w:rPr>
                <w:sz w:val="14"/>
              </w:rPr>
              <w:t>(35.883)</w:t>
            </w:r>
          </w:p>
        </w:tc>
        <w:tc>
          <w:tcPr>
            <w:tcW w:w="1262" w:type="dxa"/>
          </w:tcPr>
          <w:p>
            <w:pPr>
              <w:pStyle w:val="TableParagraph"/>
              <w:spacing w:before="43"/>
              <w:ind w:right="55"/>
              <w:jc w:val="right"/>
              <w:rPr>
                <w:sz w:val="14"/>
              </w:rPr>
            </w:pPr>
            <w:r>
              <w:rPr>
                <w:sz w:val="14"/>
              </w:rPr>
              <w:t>(69.132)</w:t>
            </w:r>
          </w:p>
        </w:tc>
      </w:tr>
      <w:tr>
        <w:trPr>
          <w:trHeight w:val="246" w:hRule="atLeast"/>
        </w:trPr>
        <w:tc>
          <w:tcPr>
            <w:tcW w:w="4544" w:type="dxa"/>
          </w:tcPr>
          <w:p>
            <w:pPr>
              <w:pStyle w:val="TableParagraph"/>
              <w:spacing w:before="39"/>
              <w:ind w:left="103"/>
              <w:rPr>
                <w:rFonts w:ascii="Caladea" w:hAnsi="Caladea"/>
                <w:b/>
                <w:sz w:val="14"/>
              </w:rPr>
            </w:pPr>
            <w:r>
              <w:rPr>
                <w:sz w:val="14"/>
              </w:rPr>
              <w:t>Encargos de Dívidas </w:t>
            </w:r>
            <w:r>
              <w:rPr>
                <w:rFonts w:ascii="Caladea" w:hAnsi="Caladea"/>
                <w:b/>
                <w:sz w:val="14"/>
              </w:rPr>
              <w:t>(c)</w:t>
            </w:r>
          </w:p>
        </w:tc>
        <w:tc>
          <w:tcPr>
            <w:tcW w:w="1260" w:type="dxa"/>
          </w:tcPr>
          <w:p>
            <w:pPr>
              <w:pStyle w:val="TableParagraph"/>
              <w:spacing w:before="41"/>
              <w:ind w:right="57"/>
              <w:jc w:val="right"/>
              <w:rPr>
                <w:sz w:val="14"/>
              </w:rPr>
            </w:pPr>
            <w:r>
              <w:rPr>
                <w:w w:val="105"/>
                <w:sz w:val="14"/>
              </w:rPr>
              <w:t>(572)</w:t>
            </w:r>
          </w:p>
        </w:tc>
        <w:tc>
          <w:tcPr>
            <w:tcW w:w="1262" w:type="dxa"/>
          </w:tcPr>
          <w:p>
            <w:pPr>
              <w:pStyle w:val="TableParagraph"/>
              <w:rPr>
                <w:rFonts w:ascii="Times New Roman"/>
                <w:sz w:val="16"/>
              </w:rPr>
            </w:pPr>
          </w:p>
        </w:tc>
        <w:tc>
          <w:tcPr>
            <w:tcW w:w="1587" w:type="dxa"/>
          </w:tcPr>
          <w:p>
            <w:pPr>
              <w:pStyle w:val="TableParagraph"/>
              <w:spacing w:before="41"/>
              <w:ind w:right="56"/>
              <w:jc w:val="right"/>
              <w:rPr>
                <w:sz w:val="14"/>
              </w:rPr>
            </w:pPr>
            <w:r>
              <w:rPr>
                <w:sz w:val="14"/>
              </w:rPr>
              <w:t>(45.841)</w:t>
            </w:r>
          </w:p>
        </w:tc>
        <w:tc>
          <w:tcPr>
            <w:tcW w:w="1262" w:type="dxa"/>
          </w:tcPr>
          <w:p>
            <w:pPr>
              <w:pStyle w:val="TableParagraph"/>
              <w:spacing w:before="41"/>
              <w:ind w:right="56"/>
              <w:jc w:val="right"/>
              <w:rPr>
                <w:sz w:val="14"/>
              </w:rPr>
            </w:pPr>
            <w:r>
              <w:rPr>
                <w:sz w:val="14"/>
              </w:rPr>
              <w:t>(56.465)</w:t>
            </w:r>
          </w:p>
        </w:tc>
      </w:tr>
      <w:tr>
        <w:trPr>
          <w:trHeight w:val="249" w:hRule="atLeast"/>
        </w:trPr>
        <w:tc>
          <w:tcPr>
            <w:tcW w:w="4544" w:type="dxa"/>
          </w:tcPr>
          <w:p>
            <w:pPr>
              <w:pStyle w:val="TableParagraph"/>
              <w:spacing w:before="43"/>
              <w:ind w:left="103"/>
              <w:rPr>
                <w:sz w:val="14"/>
              </w:rPr>
            </w:pPr>
            <w:r>
              <w:rPr>
                <w:w w:val="105"/>
                <w:sz w:val="14"/>
              </w:rPr>
              <w:t>Atualização Monetária – Passivos Regulatórios</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3"/>
              <w:ind w:right="56"/>
              <w:jc w:val="right"/>
              <w:rPr>
                <w:sz w:val="14"/>
              </w:rPr>
            </w:pPr>
            <w:r>
              <w:rPr>
                <w:sz w:val="14"/>
              </w:rPr>
              <w:t>(27.652)</w:t>
            </w:r>
          </w:p>
        </w:tc>
        <w:tc>
          <w:tcPr>
            <w:tcW w:w="1262" w:type="dxa"/>
          </w:tcPr>
          <w:p>
            <w:pPr>
              <w:pStyle w:val="TableParagraph"/>
              <w:spacing w:before="43"/>
              <w:ind w:right="55"/>
              <w:jc w:val="right"/>
              <w:rPr>
                <w:sz w:val="14"/>
              </w:rPr>
            </w:pPr>
            <w:r>
              <w:rPr>
                <w:sz w:val="14"/>
              </w:rPr>
              <w:t>(53.770)</w:t>
            </w:r>
          </w:p>
        </w:tc>
      </w:tr>
      <w:tr>
        <w:trPr>
          <w:trHeight w:val="246" w:hRule="atLeast"/>
        </w:trPr>
        <w:tc>
          <w:tcPr>
            <w:tcW w:w="4544" w:type="dxa"/>
          </w:tcPr>
          <w:p>
            <w:pPr>
              <w:pStyle w:val="TableParagraph"/>
              <w:spacing w:before="41"/>
              <w:ind w:left="103"/>
              <w:rPr>
                <w:sz w:val="14"/>
              </w:rPr>
            </w:pPr>
            <w:r>
              <w:rPr>
                <w:sz w:val="14"/>
              </w:rPr>
              <w:t>Atualização de Benefício Pós-Emprego</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rPr>
                <w:rFonts w:ascii="Times New Roman"/>
                <w:sz w:val="16"/>
              </w:rPr>
            </w:pPr>
          </w:p>
        </w:tc>
        <w:tc>
          <w:tcPr>
            <w:tcW w:w="1262" w:type="dxa"/>
          </w:tcPr>
          <w:p>
            <w:pPr>
              <w:pStyle w:val="TableParagraph"/>
              <w:spacing w:before="41"/>
              <w:ind w:right="56"/>
              <w:jc w:val="right"/>
              <w:rPr>
                <w:sz w:val="14"/>
              </w:rPr>
            </w:pPr>
            <w:r>
              <w:rPr>
                <w:w w:val="95"/>
                <w:sz w:val="14"/>
              </w:rPr>
              <w:t>(1.014)</w:t>
            </w:r>
          </w:p>
        </w:tc>
      </w:tr>
      <w:tr>
        <w:trPr>
          <w:trHeight w:val="249" w:hRule="atLeast"/>
        </w:trPr>
        <w:tc>
          <w:tcPr>
            <w:tcW w:w="4544" w:type="dxa"/>
          </w:tcPr>
          <w:p>
            <w:pPr>
              <w:pStyle w:val="TableParagraph"/>
              <w:spacing w:before="42"/>
              <w:ind w:left="103"/>
              <w:rPr>
                <w:rFonts w:ascii="Caladea" w:hAnsi="Caladea"/>
                <w:b/>
                <w:sz w:val="14"/>
              </w:rPr>
            </w:pPr>
            <w:r>
              <w:rPr>
                <w:sz w:val="14"/>
              </w:rPr>
              <w:t>Recuperação de Despesas </w:t>
            </w:r>
            <w:r>
              <w:rPr>
                <w:rFonts w:ascii="Caladea" w:hAnsi="Caladea"/>
                <w:b/>
                <w:sz w:val="14"/>
              </w:rPr>
              <w:t>(d)</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3"/>
              <w:ind w:right="56"/>
              <w:jc w:val="right"/>
              <w:rPr>
                <w:sz w:val="14"/>
              </w:rPr>
            </w:pPr>
            <w:r>
              <w:rPr>
                <w:sz w:val="14"/>
              </w:rPr>
              <w:t>30</w:t>
            </w:r>
          </w:p>
        </w:tc>
        <w:tc>
          <w:tcPr>
            <w:tcW w:w="1262" w:type="dxa"/>
          </w:tcPr>
          <w:p>
            <w:pPr>
              <w:pStyle w:val="TableParagraph"/>
              <w:spacing w:before="43"/>
              <w:ind w:right="55"/>
              <w:jc w:val="right"/>
              <w:rPr>
                <w:sz w:val="14"/>
              </w:rPr>
            </w:pPr>
            <w:r>
              <w:rPr>
                <w:w w:val="95"/>
                <w:sz w:val="14"/>
              </w:rPr>
              <w:t>27.268</w:t>
            </w:r>
          </w:p>
        </w:tc>
      </w:tr>
      <w:tr>
        <w:trPr>
          <w:trHeight w:val="246" w:hRule="atLeast"/>
        </w:trPr>
        <w:tc>
          <w:tcPr>
            <w:tcW w:w="4544" w:type="dxa"/>
          </w:tcPr>
          <w:p>
            <w:pPr>
              <w:pStyle w:val="TableParagraph"/>
              <w:spacing w:before="39"/>
              <w:ind w:left="103"/>
              <w:rPr>
                <w:rFonts w:ascii="Caladea"/>
                <w:b/>
                <w:sz w:val="14"/>
              </w:rPr>
            </w:pPr>
            <w:r>
              <w:rPr>
                <w:sz w:val="14"/>
              </w:rPr>
              <w:t>Juros e multa por atraso de pagamento </w:t>
            </w:r>
            <w:r>
              <w:rPr>
                <w:rFonts w:ascii="Caladea"/>
                <w:b/>
                <w:sz w:val="14"/>
              </w:rPr>
              <w:t>(e)</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1"/>
              <w:ind w:right="56"/>
              <w:jc w:val="right"/>
              <w:rPr>
                <w:sz w:val="14"/>
              </w:rPr>
            </w:pPr>
            <w:r>
              <w:rPr>
                <w:sz w:val="14"/>
              </w:rPr>
              <w:t>(21.820)</w:t>
            </w:r>
          </w:p>
        </w:tc>
        <w:tc>
          <w:tcPr>
            <w:tcW w:w="1262" w:type="dxa"/>
          </w:tcPr>
          <w:p>
            <w:pPr>
              <w:pStyle w:val="TableParagraph"/>
              <w:rPr>
                <w:rFonts w:ascii="Times New Roman"/>
                <w:sz w:val="16"/>
              </w:rPr>
            </w:pPr>
          </w:p>
        </w:tc>
      </w:tr>
      <w:tr>
        <w:trPr>
          <w:trHeight w:val="246" w:hRule="atLeast"/>
        </w:trPr>
        <w:tc>
          <w:tcPr>
            <w:tcW w:w="4544" w:type="dxa"/>
          </w:tcPr>
          <w:p>
            <w:pPr>
              <w:pStyle w:val="TableParagraph"/>
              <w:spacing w:before="43"/>
              <w:ind w:left="103"/>
              <w:rPr>
                <w:sz w:val="14"/>
              </w:rPr>
            </w:pPr>
            <w:r>
              <w:rPr>
                <w:sz w:val="14"/>
              </w:rPr>
              <w:t>Outras Despesas Financeiras</w:t>
            </w:r>
          </w:p>
        </w:tc>
        <w:tc>
          <w:tcPr>
            <w:tcW w:w="1260" w:type="dxa"/>
          </w:tcPr>
          <w:p>
            <w:pPr>
              <w:pStyle w:val="TableParagraph"/>
              <w:spacing w:before="43"/>
              <w:ind w:right="56"/>
              <w:jc w:val="right"/>
              <w:rPr>
                <w:sz w:val="14"/>
              </w:rPr>
            </w:pPr>
            <w:r>
              <w:rPr>
                <w:w w:val="95"/>
                <w:sz w:val="14"/>
              </w:rPr>
              <w:t>(2.887)</w:t>
            </w:r>
          </w:p>
        </w:tc>
        <w:tc>
          <w:tcPr>
            <w:tcW w:w="1262" w:type="dxa"/>
          </w:tcPr>
          <w:p>
            <w:pPr>
              <w:pStyle w:val="TableParagraph"/>
              <w:spacing w:before="43"/>
              <w:ind w:right="57"/>
              <w:jc w:val="right"/>
              <w:rPr>
                <w:sz w:val="14"/>
              </w:rPr>
            </w:pPr>
            <w:r>
              <w:rPr>
                <w:sz w:val="14"/>
              </w:rPr>
              <w:t>(145)</w:t>
            </w:r>
          </w:p>
        </w:tc>
        <w:tc>
          <w:tcPr>
            <w:tcW w:w="1587" w:type="dxa"/>
          </w:tcPr>
          <w:p>
            <w:pPr>
              <w:pStyle w:val="TableParagraph"/>
              <w:spacing w:before="43"/>
              <w:ind w:right="56"/>
              <w:jc w:val="right"/>
              <w:rPr>
                <w:sz w:val="14"/>
              </w:rPr>
            </w:pPr>
            <w:r>
              <w:rPr>
                <w:sz w:val="14"/>
              </w:rPr>
              <w:t>(19.501)</w:t>
            </w:r>
          </w:p>
        </w:tc>
        <w:tc>
          <w:tcPr>
            <w:tcW w:w="1262" w:type="dxa"/>
          </w:tcPr>
          <w:p>
            <w:pPr>
              <w:pStyle w:val="TableParagraph"/>
              <w:spacing w:before="43"/>
              <w:ind w:right="56"/>
              <w:jc w:val="right"/>
              <w:rPr>
                <w:sz w:val="14"/>
              </w:rPr>
            </w:pPr>
            <w:r>
              <w:rPr>
                <w:sz w:val="14"/>
              </w:rPr>
              <w:t>(47.646)</w:t>
            </w:r>
          </w:p>
        </w:tc>
      </w:tr>
      <w:tr>
        <w:trPr>
          <w:trHeight w:val="249" w:hRule="atLeast"/>
        </w:trPr>
        <w:tc>
          <w:tcPr>
            <w:tcW w:w="4544" w:type="dxa"/>
          </w:tcPr>
          <w:p>
            <w:pPr>
              <w:pStyle w:val="TableParagraph"/>
              <w:spacing w:before="42"/>
              <w:ind w:left="103"/>
              <w:rPr>
                <w:rFonts w:ascii="Caladea"/>
                <w:b/>
                <w:sz w:val="14"/>
              </w:rPr>
            </w:pPr>
            <w:r>
              <w:rPr>
                <w:rFonts w:ascii="Caladea"/>
                <w:b/>
                <w:sz w:val="14"/>
              </w:rPr>
              <w:t>Subtotal</w:t>
            </w:r>
          </w:p>
        </w:tc>
        <w:tc>
          <w:tcPr>
            <w:tcW w:w="1260" w:type="dxa"/>
          </w:tcPr>
          <w:p>
            <w:pPr>
              <w:pStyle w:val="TableParagraph"/>
              <w:spacing w:before="42"/>
              <w:ind w:right="55"/>
              <w:jc w:val="right"/>
              <w:rPr>
                <w:rFonts w:ascii="Caladea"/>
                <w:b/>
                <w:sz w:val="14"/>
              </w:rPr>
            </w:pPr>
            <w:r>
              <w:rPr>
                <w:rFonts w:ascii="Caladea"/>
                <w:b/>
                <w:sz w:val="14"/>
              </w:rPr>
              <w:t>(3.696)</w:t>
            </w:r>
          </w:p>
        </w:tc>
        <w:tc>
          <w:tcPr>
            <w:tcW w:w="1262" w:type="dxa"/>
          </w:tcPr>
          <w:p>
            <w:pPr>
              <w:pStyle w:val="TableParagraph"/>
              <w:spacing w:before="42"/>
              <w:ind w:right="57"/>
              <w:jc w:val="right"/>
              <w:rPr>
                <w:rFonts w:ascii="Caladea"/>
                <w:b/>
                <w:sz w:val="14"/>
              </w:rPr>
            </w:pPr>
            <w:r>
              <w:rPr>
                <w:rFonts w:ascii="Caladea"/>
                <w:b/>
                <w:sz w:val="14"/>
              </w:rPr>
              <w:t>(224)</w:t>
            </w:r>
          </w:p>
        </w:tc>
        <w:tc>
          <w:tcPr>
            <w:tcW w:w="1587" w:type="dxa"/>
          </w:tcPr>
          <w:p>
            <w:pPr>
              <w:pStyle w:val="TableParagraph"/>
              <w:spacing w:before="42"/>
              <w:ind w:right="55"/>
              <w:jc w:val="right"/>
              <w:rPr>
                <w:rFonts w:ascii="Caladea"/>
                <w:b/>
                <w:sz w:val="14"/>
              </w:rPr>
            </w:pPr>
            <w:r>
              <w:rPr>
                <w:rFonts w:ascii="Caladea"/>
                <w:b/>
                <w:w w:val="95"/>
                <w:sz w:val="14"/>
              </w:rPr>
              <w:t>(150.667)</w:t>
            </w:r>
          </w:p>
        </w:tc>
        <w:tc>
          <w:tcPr>
            <w:tcW w:w="1262" w:type="dxa"/>
          </w:tcPr>
          <w:p>
            <w:pPr>
              <w:pStyle w:val="TableParagraph"/>
              <w:spacing w:before="42"/>
              <w:ind w:right="55"/>
              <w:jc w:val="right"/>
              <w:rPr>
                <w:rFonts w:ascii="Caladea"/>
                <w:b/>
                <w:sz w:val="14"/>
              </w:rPr>
            </w:pPr>
            <w:r>
              <w:rPr>
                <w:rFonts w:ascii="Caladea"/>
                <w:b/>
                <w:sz w:val="14"/>
              </w:rPr>
              <w:t>(200.759)</w:t>
            </w:r>
          </w:p>
        </w:tc>
      </w:tr>
      <w:tr>
        <w:trPr>
          <w:trHeight w:val="246" w:hRule="atLeast"/>
        </w:trPr>
        <w:tc>
          <w:tcPr>
            <w:tcW w:w="4544" w:type="dxa"/>
          </w:tcPr>
          <w:p>
            <w:pPr>
              <w:pStyle w:val="TableParagraph"/>
              <w:spacing w:before="42"/>
              <w:ind w:left="103"/>
              <w:rPr>
                <w:rFonts w:ascii="Caladea" w:hAnsi="Caladea"/>
                <w:b/>
                <w:sz w:val="14"/>
              </w:rPr>
            </w:pPr>
            <w:r>
              <w:rPr>
                <w:rFonts w:ascii="Caladea" w:hAnsi="Caladea"/>
                <w:b/>
                <w:sz w:val="14"/>
              </w:rPr>
              <w:t>Variação Cambial Sobre Fatura de Energia Elétrica</w:t>
            </w:r>
          </w:p>
        </w:tc>
        <w:tc>
          <w:tcPr>
            <w:tcW w:w="1260" w:type="dxa"/>
          </w:tcPr>
          <w:p>
            <w:pPr>
              <w:pStyle w:val="TableParagraph"/>
              <w:rPr>
                <w:rFonts w:ascii="Times New Roman"/>
                <w:sz w:val="16"/>
              </w:rPr>
            </w:pPr>
          </w:p>
        </w:tc>
        <w:tc>
          <w:tcPr>
            <w:tcW w:w="1262" w:type="dxa"/>
          </w:tcPr>
          <w:p>
            <w:pPr>
              <w:pStyle w:val="TableParagraph"/>
              <w:rPr>
                <w:rFonts w:ascii="Times New Roman"/>
                <w:sz w:val="16"/>
              </w:rPr>
            </w:pPr>
          </w:p>
        </w:tc>
        <w:tc>
          <w:tcPr>
            <w:tcW w:w="1587" w:type="dxa"/>
          </w:tcPr>
          <w:p>
            <w:pPr>
              <w:pStyle w:val="TableParagraph"/>
              <w:spacing w:before="42"/>
              <w:ind w:right="55"/>
              <w:jc w:val="right"/>
              <w:rPr>
                <w:rFonts w:ascii="Caladea"/>
                <w:b/>
                <w:sz w:val="14"/>
              </w:rPr>
            </w:pPr>
            <w:r>
              <w:rPr>
                <w:rFonts w:ascii="Caladea"/>
                <w:b/>
                <w:sz w:val="14"/>
              </w:rPr>
              <w:t>(1.214)</w:t>
            </w:r>
          </w:p>
        </w:tc>
        <w:tc>
          <w:tcPr>
            <w:tcW w:w="1262" w:type="dxa"/>
          </w:tcPr>
          <w:p>
            <w:pPr>
              <w:pStyle w:val="TableParagraph"/>
              <w:spacing w:before="42"/>
              <w:ind w:right="55"/>
              <w:jc w:val="right"/>
              <w:rPr>
                <w:rFonts w:ascii="Caladea"/>
                <w:b/>
                <w:sz w:val="14"/>
              </w:rPr>
            </w:pPr>
            <w:r>
              <w:rPr>
                <w:rFonts w:ascii="Caladea"/>
                <w:b/>
                <w:sz w:val="14"/>
              </w:rPr>
              <w:t>(4.223)</w:t>
            </w:r>
          </w:p>
        </w:tc>
      </w:tr>
      <w:tr>
        <w:trPr>
          <w:trHeight w:val="249" w:hRule="atLeast"/>
        </w:trPr>
        <w:tc>
          <w:tcPr>
            <w:tcW w:w="4544" w:type="dxa"/>
          </w:tcPr>
          <w:p>
            <w:pPr>
              <w:pStyle w:val="TableParagraph"/>
              <w:spacing w:before="42"/>
              <w:ind w:left="103"/>
              <w:rPr>
                <w:rFonts w:ascii="Caladea"/>
                <w:b/>
                <w:sz w:val="14"/>
              </w:rPr>
            </w:pPr>
            <w:r>
              <w:rPr>
                <w:rFonts w:ascii="Caladea"/>
                <w:b/>
                <w:sz w:val="14"/>
              </w:rPr>
              <w:t>Resultado Financeiro</w:t>
            </w:r>
          </w:p>
        </w:tc>
        <w:tc>
          <w:tcPr>
            <w:tcW w:w="1260" w:type="dxa"/>
          </w:tcPr>
          <w:p>
            <w:pPr>
              <w:pStyle w:val="TableParagraph"/>
              <w:spacing w:before="42"/>
              <w:ind w:right="56"/>
              <w:jc w:val="right"/>
              <w:rPr>
                <w:rFonts w:ascii="Caladea"/>
                <w:b/>
                <w:sz w:val="14"/>
              </w:rPr>
            </w:pPr>
            <w:r>
              <w:rPr>
                <w:rFonts w:ascii="Caladea"/>
                <w:b/>
                <w:sz w:val="14"/>
              </w:rPr>
              <w:t>11.583</w:t>
            </w:r>
          </w:p>
        </w:tc>
        <w:tc>
          <w:tcPr>
            <w:tcW w:w="1262" w:type="dxa"/>
          </w:tcPr>
          <w:p>
            <w:pPr>
              <w:pStyle w:val="TableParagraph"/>
              <w:spacing w:before="42"/>
              <w:ind w:right="56"/>
              <w:jc w:val="right"/>
              <w:rPr>
                <w:rFonts w:ascii="Caladea"/>
                <w:b/>
                <w:sz w:val="14"/>
              </w:rPr>
            </w:pPr>
            <w:r>
              <w:rPr>
                <w:rFonts w:ascii="Caladea"/>
                <w:b/>
                <w:w w:val="95"/>
                <w:sz w:val="14"/>
              </w:rPr>
              <w:t>1.220</w:t>
            </w:r>
          </w:p>
        </w:tc>
        <w:tc>
          <w:tcPr>
            <w:tcW w:w="1587" w:type="dxa"/>
          </w:tcPr>
          <w:p>
            <w:pPr>
              <w:pStyle w:val="TableParagraph"/>
              <w:spacing w:before="42"/>
              <w:ind w:right="57"/>
              <w:jc w:val="right"/>
              <w:rPr>
                <w:rFonts w:ascii="Caladea"/>
                <w:b/>
                <w:sz w:val="14"/>
              </w:rPr>
            </w:pPr>
            <w:r>
              <w:rPr>
                <w:rFonts w:ascii="Caladea"/>
                <w:b/>
                <w:sz w:val="14"/>
              </w:rPr>
              <w:t>(47.367)</w:t>
            </w:r>
          </w:p>
        </w:tc>
        <w:tc>
          <w:tcPr>
            <w:tcW w:w="1262" w:type="dxa"/>
          </w:tcPr>
          <w:p>
            <w:pPr>
              <w:pStyle w:val="TableParagraph"/>
              <w:spacing w:before="42"/>
              <w:ind w:right="55"/>
              <w:jc w:val="right"/>
              <w:rPr>
                <w:rFonts w:ascii="Caladea"/>
                <w:b/>
                <w:sz w:val="14"/>
              </w:rPr>
            </w:pPr>
            <w:r>
              <w:rPr>
                <w:rFonts w:ascii="Caladea"/>
                <w:b/>
                <w:sz w:val="14"/>
              </w:rPr>
              <w:t>(113.051)</w:t>
            </w:r>
          </w:p>
        </w:tc>
      </w:tr>
    </w:tbl>
    <w:p>
      <w:pPr>
        <w:spacing w:after="0"/>
        <w:jc w:val="right"/>
        <w:rPr>
          <w:rFonts w:ascii="Caladea"/>
          <w:sz w:val="14"/>
        </w:rPr>
        <w:sectPr>
          <w:pgSz w:w="11910" w:h="16850"/>
          <w:pgMar w:header="792" w:footer="1029"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rFonts w:ascii="Caladea"/>
          <w:sz w:val="2"/>
        </w:rPr>
      </w:r>
    </w:p>
    <w:p>
      <w:pPr>
        <w:pStyle w:val="ListParagraph"/>
        <w:numPr>
          <w:ilvl w:val="0"/>
          <w:numId w:val="47"/>
        </w:numPr>
        <w:tabs>
          <w:tab w:pos="476" w:val="left" w:leader="none"/>
        </w:tabs>
        <w:spacing w:line="242" w:lineRule="auto" w:before="13" w:after="0"/>
        <w:ind w:left="172" w:right="408" w:firstLine="0"/>
        <w:jc w:val="both"/>
        <w:rPr>
          <w:sz w:val="20"/>
        </w:rPr>
      </w:pPr>
      <w:r>
        <w:rPr>
          <w:w w:val="95"/>
          <w:sz w:val="20"/>
        </w:rPr>
        <w:t>Reflexo</w:t>
      </w:r>
      <w:r>
        <w:rPr>
          <w:spacing w:val="-20"/>
          <w:w w:val="95"/>
          <w:sz w:val="20"/>
        </w:rPr>
        <w:t> </w:t>
      </w:r>
      <w:r>
        <w:rPr>
          <w:w w:val="95"/>
          <w:sz w:val="20"/>
        </w:rPr>
        <w:t>das</w:t>
      </w:r>
      <w:r>
        <w:rPr>
          <w:spacing w:val="-18"/>
          <w:w w:val="95"/>
          <w:sz w:val="20"/>
        </w:rPr>
        <w:t> </w:t>
      </w:r>
      <w:r>
        <w:rPr>
          <w:w w:val="95"/>
          <w:sz w:val="20"/>
        </w:rPr>
        <w:t>ações</w:t>
      </w:r>
      <w:r>
        <w:rPr>
          <w:spacing w:val="-18"/>
          <w:w w:val="95"/>
          <w:sz w:val="20"/>
        </w:rPr>
        <w:t> </w:t>
      </w:r>
      <w:r>
        <w:rPr>
          <w:w w:val="95"/>
          <w:sz w:val="20"/>
        </w:rPr>
        <w:t>adotadas</w:t>
      </w:r>
      <w:r>
        <w:rPr>
          <w:spacing w:val="-18"/>
          <w:w w:val="95"/>
          <w:sz w:val="20"/>
        </w:rPr>
        <w:t> </w:t>
      </w:r>
      <w:r>
        <w:rPr>
          <w:w w:val="95"/>
          <w:sz w:val="20"/>
        </w:rPr>
        <w:t>pela</w:t>
      </w:r>
      <w:r>
        <w:rPr>
          <w:spacing w:val="-17"/>
          <w:w w:val="95"/>
          <w:sz w:val="20"/>
        </w:rPr>
        <w:t> </w:t>
      </w:r>
      <w:r>
        <w:rPr>
          <w:w w:val="95"/>
          <w:sz w:val="20"/>
        </w:rPr>
        <w:t>Companhia</w:t>
      </w:r>
      <w:r>
        <w:rPr>
          <w:spacing w:val="-18"/>
          <w:w w:val="95"/>
          <w:sz w:val="20"/>
        </w:rPr>
        <w:t> </w:t>
      </w:r>
      <w:r>
        <w:rPr>
          <w:w w:val="95"/>
          <w:sz w:val="20"/>
        </w:rPr>
        <w:t>para</w:t>
      </w:r>
      <w:r>
        <w:rPr>
          <w:spacing w:val="-18"/>
          <w:w w:val="95"/>
          <w:sz w:val="20"/>
        </w:rPr>
        <w:t> </w:t>
      </w:r>
      <w:r>
        <w:rPr>
          <w:w w:val="95"/>
          <w:sz w:val="20"/>
        </w:rPr>
        <w:t>redução</w:t>
      </w:r>
      <w:r>
        <w:rPr>
          <w:spacing w:val="-18"/>
          <w:w w:val="95"/>
          <w:sz w:val="20"/>
        </w:rPr>
        <w:t> </w:t>
      </w:r>
      <w:r>
        <w:rPr>
          <w:w w:val="95"/>
          <w:sz w:val="20"/>
        </w:rPr>
        <w:t>da</w:t>
      </w:r>
      <w:r>
        <w:rPr>
          <w:spacing w:val="-18"/>
          <w:w w:val="95"/>
          <w:sz w:val="20"/>
        </w:rPr>
        <w:t> </w:t>
      </w:r>
      <w:r>
        <w:rPr>
          <w:w w:val="95"/>
          <w:sz w:val="20"/>
        </w:rPr>
        <w:t>inadimplência</w:t>
      </w:r>
      <w:r>
        <w:rPr>
          <w:spacing w:val="-18"/>
          <w:w w:val="95"/>
          <w:sz w:val="20"/>
        </w:rPr>
        <w:t> </w:t>
      </w:r>
      <w:r>
        <w:rPr>
          <w:w w:val="95"/>
          <w:sz w:val="20"/>
        </w:rPr>
        <w:t>e</w:t>
      </w:r>
      <w:r>
        <w:rPr>
          <w:spacing w:val="-20"/>
          <w:w w:val="95"/>
          <w:sz w:val="20"/>
        </w:rPr>
        <w:t> </w:t>
      </w:r>
      <w:r>
        <w:rPr>
          <w:w w:val="95"/>
          <w:sz w:val="20"/>
        </w:rPr>
        <w:t>melhora</w:t>
      </w:r>
      <w:r>
        <w:rPr>
          <w:spacing w:val="-18"/>
          <w:w w:val="95"/>
          <w:sz w:val="20"/>
        </w:rPr>
        <w:t> </w:t>
      </w:r>
      <w:r>
        <w:rPr>
          <w:w w:val="95"/>
          <w:sz w:val="20"/>
        </w:rPr>
        <w:t>na</w:t>
      </w:r>
      <w:r>
        <w:rPr>
          <w:spacing w:val="-17"/>
          <w:w w:val="95"/>
          <w:sz w:val="20"/>
        </w:rPr>
        <w:t> </w:t>
      </w:r>
      <w:r>
        <w:rPr>
          <w:w w:val="95"/>
          <w:sz w:val="20"/>
        </w:rPr>
        <w:t>performance</w:t>
      </w:r>
      <w:r>
        <w:rPr>
          <w:spacing w:val="-20"/>
          <w:w w:val="95"/>
          <w:sz w:val="20"/>
        </w:rPr>
        <w:t> </w:t>
      </w:r>
      <w:r>
        <w:rPr>
          <w:w w:val="95"/>
          <w:sz w:val="20"/>
        </w:rPr>
        <w:t>operacional </w:t>
      </w:r>
      <w:r>
        <w:rPr>
          <w:sz w:val="20"/>
        </w:rPr>
        <w:t>da</w:t>
      </w:r>
      <w:r>
        <w:rPr>
          <w:spacing w:val="-31"/>
          <w:sz w:val="20"/>
        </w:rPr>
        <w:t> </w:t>
      </w:r>
      <w:r>
        <w:rPr>
          <w:sz w:val="20"/>
        </w:rPr>
        <w:t>empresa,</w:t>
      </w:r>
      <w:r>
        <w:rPr>
          <w:spacing w:val="-31"/>
          <w:sz w:val="20"/>
        </w:rPr>
        <w:t> </w:t>
      </w:r>
      <w:r>
        <w:rPr>
          <w:sz w:val="20"/>
        </w:rPr>
        <w:t>com</w:t>
      </w:r>
      <w:r>
        <w:rPr>
          <w:spacing w:val="-31"/>
          <w:sz w:val="20"/>
        </w:rPr>
        <w:t> </w:t>
      </w:r>
      <w:r>
        <w:rPr>
          <w:sz w:val="20"/>
        </w:rPr>
        <w:t>a</w:t>
      </w:r>
      <w:r>
        <w:rPr>
          <w:spacing w:val="-30"/>
          <w:sz w:val="20"/>
        </w:rPr>
        <w:t> </w:t>
      </w:r>
      <w:r>
        <w:rPr>
          <w:sz w:val="20"/>
        </w:rPr>
        <w:t>intensificação</w:t>
      </w:r>
      <w:r>
        <w:rPr>
          <w:spacing w:val="-31"/>
          <w:sz w:val="20"/>
        </w:rPr>
        <w:t> </w:t>
      </w:r>
      <w:r>
        <w:rPr>
          <w:sz w:val="20"/>
        </w:rPr>
        <w:t>das</w:t>
      </w:r>
      <w:r>
        <w:rPr>
          <w:spacing w:val="-30"/>
          <w:sz w:val="20"/>
        </w:rPr>
        <w:t> </w:t>
      </w:r>
      <w:r>
        <w:rPr>
          <w:sz w:val="20"/>
        </w:rPr>
        <w:t>suspensões</w:t>
      </w:r>
      <w:r>
        <w:rPr>
          <w:spacing w:val="-31"/>
          <w:sz w:val="20"/>
        </w:rPr>
        <w:t> </w:t>
      </w:r>
      <w:r>
        <w:rPr>
          <w:sz w:val="20"/>
        </w:rPr>
        <w:t>dos</w:t>
      </w:r>
      <w:r>
        <w:rPr>
          <w:spacing w:val="-30"/>
          <w:sz w:val="20"/>
        </w:rPr>
        <w:t> </w:t>
      </w:r>
      <w:r>
        <w:rPr>
          <w:sz w:val="20"/>
        </w:rPr>
        <w:t>fornecimentos</w:t>
      </w:r>
      <w:r>
        <w:rPr>
          <w:spacing w:val="-30"/>
          <w:sz w:val="20"/>
        </w:rPr>
        <w:t> </w:t>
      </w:r>
      <w:r>
        <w:rPr>
          <w:sz w:val="20"/>
        </w:rPr>
        <w:t>aos</w:t>
      </w:r>
      <w:r>
        <w:rPr>
          <w:spacing w:val="-30"/>
          <w:sz w:val="20"/>
        </w:rPr>
        <w:t> </w:t>
      </w:r>
      <w:r>
        <w:rPr>
          <w:sz w:val="20"/>
        </w:rPr>
        <w:t>consumidores</w:t>
      </w:r>
      <w:r>
        <w:rPr>
          <w:spacing w:val="-31"/>
          <w:sz w:val="20"/>
        </w:rPr>
        <w:t> </w:t>
      </w:r>
      <w:r>
        <w:rPr>
          <w:sz w:val="20"/>
        </w:rPr>
        <w:t>inadimplentes</w:t>
      </w:r>
      <w:r>
        <w:rPr>
          <w:spacing w:val="-28"/>
          <w:sz w:val="20"/>
        </w:rPr>
        <w:t> </w:t>
      </w:r>
      <w:r>
        <w:rPr>
          <w:sz w:val="20"/>
        </w:rPr>
        <w:t>e</w:t>
      </w:r>
      <w:r>
        <w:rPr>
          <w:spacing w:val="-32"/>
          <w:sz w:val="20"/>
        </w:rPr>
        <w:t> </w:t>
      </w:r>
      <w:r>
        <w:rPr>
          <w:sz w:val="20"/>
        </w:rPr>
        <w:t>o</w:t>
      </w:r>
      <w:r>
        <w:rPr>
          <w:spacing w:val="-29"/>
          <w:sz w:val="20"/>
        </w:rPr>
        <w:t> </w:t>
      </w:r>
      <w:r>
        <w:rPr>
          <w:sz w:val="20"/>
        </w:rPr>
        <w:t>programa de</w:t>
      </w:r>
      <w:r>
        <w:rPr>
          <w:spacing w:val="-38"/>
          <w:sz w:val="20"/>
        </w:rPr>
        <w:t> </w:t>
      </w:r>
      <w:r>
        <w:rPr>
          <w:sz w:val="20"/>
        </w:rPr>
        <w:t>recuperação</w:t>
      </w:r>
      <w:r>
        <w:rPr>
          <w:spacing w:val="-38"/>
          <w:sz w:val="20"/>
        </w:rPr>
        <w:t> </w:t>
      </w:r>
      <w:r>
        <w:rPr>
          <w:sz w:val="20"/>
        </w:rPr>
        <w:t>de</w:t>
      </w:r>
      <w:r>
        <w:rPr>
          <w:spacing w:val="-38"/>
          <w:sz w:val="20"/>
        </w:rPr>
        <w:t> </w:t>
      </w:r>
      <w:r>
        <w:rPr>
          <w:sz w:val="20"/>
        </w:rPr>
        <w:t>receita</w:t>
      </w:r>
      <w:r>
        <w:rPr>
          <w:spacing w:val="-36"/>
          <w:sz w:val="20"/>
        </w:rPr>
        <w:t> </w:t>
      </w:r>
      <w:r>
        <w:rPr>
          <w:w w:val="105"/>
          <w:sz w:val="20"/>
        </w:rPr>
        <w:t>–</w:t>
      </w:r>
      <w:r>
        <w:rPr>
          <w:spacing w:val="-38"/>
          <w:w w:val="105"/>
          <w:sz w:val="20"/>
        </w:rPr>
        <w:t> </w:t>
      </w:r>
      <w:r>
        <w:rPr>
          <w:sz w:val="20"/>
        </w:rPr>
        <w:t>RECUPERA,</w:t>
      </w:r>
      <w:r>
        <w:rPr>
          <w:spacing w:val="-39"/>
          <w:sz w:val="20"/>
        </w:rPr>
        <w:t> </w:t>
      </w:r>
      <w:r>
        <w:rPr>
          <w:sz w:val="20"/>
        </w:rPr>
        <w:t>o</w:t>
      </w:r>
      <w:r>
        <w:rPr>
          <w:spacing w:val="-38"/>
          <w:sz w:val="20"/>
        </w:rPr>
        <w:t> </w:t>
      </w:r>
      <w:r>
        <w:rPr>
          <w:sz w:val="20"/>
        </w:rPr>
        <w:t>qual</w:t>
      </w:r>
      <w:r>
        <w:rPr>
          <w:spacing w:val="-37"/>
          <w:sz w:val="20"/>
        </w:rPr>
        <w:t> </w:t>
      </w:r>
      <w:r>
        <w:rPr>
          <w:sz w:val="20"/>
        </w:rPr>
        <w:t>foi</w:t>
      </w:r>
      <w:r>
        <w:rPr>
          <w:spacing w:val="-37"/>
          <w:sz w:val="20"/>
        </w:rPr>
        <w:t> </w:t>
      </w:r>
      <w:r>
        <w:rPr>
          <w:sz w:val="20"/>
        </w:rPr>
        <w:t>criado</w:t>
      </w:r>
      <w:r>
        <w:rPr>
          <w:spacing w:val="-38"/>
          <w:sz w:val="20"/>
        </w:rPr>
        <w:t> </w:t>
      </w:r>
      <w:r>
        <w:rPr>
          <w:sz w:val="20"/>
        </w:rPr>
        <w:t>para</w:t>
      </w:r>
      <w:r>
        <w:rPr>
          <w:spacing w:val="-37"/>
          <w:sz w:val="20"/>
        </w:rPr>
        <w:t> </w:t>
      </w:r>
      <w:r>
        <w:rPr>
          <w:sz w:val="20"/>
        </w:rPr>
        <w:t>incentivar</w:t>
      </w:r>
      <w:r>
        <w:rPr>
          <w:spacing w:val="-38"/>
          <w:sz w:val="20"/>
        </w:rPr>
        <w:t> </w:t>
      </w:r>
      <w:r>
        <w:rPr>
          <w:sz w:val="20"/>
        </w:rPr>
        <w:t>a</w:t>
      </w:r>
      <w:r>
        <w:rPr>
          <w:spacing w:val="-36"/>
          <w:sz w:val="20"/>
        </w:rPr>
        <w:t> </w:t>
      </w:r>
      <w:r>
        <w:rPr>
          <w:sz w:val="20"/>
        </w:rPr>
        <w:t>recuperação</w:t>
      </w:r>
      <w:r>
        <w:rPr>
          <w:spacing w:val="-38"/>
          <w:sz w:val="20"/>
        </w:rPr>
        <w:t> </w:t>
      </w:r>
      <w:r>
        <w:rPr>
          <w:sz w:val="20"/>
        </w:rPr>
        <w:t>de</w:t>
      </w:r>
      <w:r>
        <w:rPr>
          <w:spacing w:val="-38"/>
          <w:sz w:val="20"/>
        </w:rPr>
        <w:t> </w:t>
      </w:r>
      <w:r>
        <w:rPr>
          <w:sz w:val="20"/>
        </w:rPr>
        <w:t>créditos</w:t>
      </w:r>
      <w:r>
        <w:rPr>
          <w:spacing w:val="-38"/>
          <w:sz w:val="20"/>
        </w:rPr>
        <w:t> </w:t>
      </w:r>
      <w:r>
        <w:rPr>
          <w:sz w:val="20"/>
        </w:rPr>
        <w:t>com</w:t>
      </w:r>
      <w:r>
        <w:rPr>
          <w:spacing w:val="-38"/>
          <w:sz w:val="20"/>
        </w:rPr>
        <w:t> </w:t>
      </w:r>
      <w:r>
        <w:rPr>
          <w:sz w:val="20"/>
        </w:rPr>
        <w:t>vencimentos anteriores</w:t>
      </w:r>
      <w:r>
        <w:rPr>
          <w:spacing w:val="-18"/>
          <w:sz w:val="20"/>
        </w:rPr>
        <w:t> </w:t>
      </w:r>
      <w:r>
        <w:rPr>
          <w:sz w:val="20"/>
        </w:rPr>
        <w:t>a</w:t>
      </w:r>
      <w:r>
        <w:rPr>
          <w:spacing w:val="-18"/>
          <w:sz w:val="20"/>
        </w:rPr>
        <w:t> </w:t>
      </w:r>
      <w:r>
        <w:rPr>
          <w:sz w:val="20"/>
        </w:rPr>
        <w:t>31</w:t>
      </w:r>
      <w:r>
        <w:rPr>
          <w:spacing w:val="-17"/>
          <w:sz w:val="20"/>
        </w:rPr>
        <w:t> </w:t>
      </w:r>
      <w:r>
        <w:rPr>
          <w:sz w:val="20"/>
        </w:rPr>
        <w:t>de</w:t>
      </w:r>
      <w:r>
        <w:rPr>
          <w:spacing w:val="-20"/>
          <w:sz w:val="20"/>
        </w:rPr>
        <w:t> </w:t>
      </w:r>
      <w:r>
        <w:rPr>
          <w:sz w:val="20"/>
        </w:rPr>
        <w:t>dezembro</w:t>
      </w:r>
      <w:r>
        <w:rPr>
          <w:spacing w:val="-15"/>
          <w:sz w:val="20"/>
        </w:rPr>
        <w:t> </w:t>
      </w:r>
      <w:r>
        <w:rPr>
          <w:sz w:val="20"/>
        </w:rPr>
        <w:t>de</w:t>
      </w:r>
      <w:r>
        <w:rPr>
          <w:spacing w:val="-18"/>
          <w:sz w:val="20"/>
        </w:rPr>
        <w:t> </w:t>
      </w:r>
      <w:r>
        <w:rPr>
          <w:sz w:val="20"/>
        </w:rPr>
        <w:t>2018.</w:t>
      </w:r>
    </w:p>
    <w:p>
      <w:pPr>
        <w:pStyle w:val="BodyText"/>
        <w:spacing w:before="6"/>
      </w:pPr>
    </w:p>
    <w:p>
      <w:pPr>
        <w:pStyle w:val="ListParagraph"/>
        <w:numPr>
          <w:ilvl w:val="0"/>
          <w:numId w:val="47"/>
        </w:numPr>
        <w:tabs>
          <w:tab w:pos="527" w:val="left" w:leader="none"/>
        </w:tabs>
        <w:spacing w:line="242" w:lineRule="auto" w:before="0" w:after="0"/>
        <w:ind w:left="172" w:right="404" w:firstLine="0"/>
        <w:jc w:val="both"/>
        <w:rPr>
          <w:sz w:val="20"/>
        </w:rPr>
      </w:pPr>
      <w:r>
        <w:rPr>
          <w:sz w:val="20"/>
        </w:rPr>
        <w:t>Juros/Variações</w:t>
      </w:r>
      <w:r>
        <w:rPr>
          <w:spacing w:val="-18"/>
          <w:sz w:val="20"/>
        </w:rPr>
        <w:t> </w:t>
      </w:r>
      <w:r>
        <w:rPr>
          <w:sz w:val="20"/>
        </w:rPr>
        <w:t>Monetárias</w:t>
      </w:r>
      <w:r>
        <w:rPr>
          <w:spacing w:val="-18"/>
          <w:sz w:val="20"/>
        </w:rPr>
        <w:t> </w:t>
      </w:r>
      <w:r>
        <w:rPr>
          <w:sz w:val="20"/>
        </w:rPr>
        <w:t>Sobre</w:t>
      </w:r>
      <w:r>
        <w:rPr>
          <w:spacing w:val="-20"/>
          <w:sz w:val="20"/>
        </w:rPr>
        <w:t> </w:t>
      </w:r>
      <w:r>
        <w:rPr>
          <w:sz w:val="20"/>
        </w:rPr>
        <w:t>Passivos:</w:t>
      </w:r>
      <w:r>
        <w:rPr>
          <w:spacing w:val="-18"/>
          <w:sz w:val="20"/>
        </w:rPr>
        <w:t> </w:t>
      </w:r>
      <w:r>
        <w:rPr>
          <w:sz w:val="20"/>
        </w:rPr>
        <w:t>a</w:t>
      </w:r>
      <w:r>
        <w:rPr>
          <w:spacing w:val="-18"/>
          <w:sz w:val="20"/>
        </w:rPr>
        <w:t> </w:t>
      </w:r>
      <w:r>
        <w:rPr>
          <w:sz w:val="20"/>
        </w:rPr>
        <w:t>redução</w:t>
      </w:r>
      <w:r>
        <w:rPr>
          <w:spacing w:val="-19"/>
          <w:sz w:val="20"/>
        </w:rPr>
        <w:t> </w:t>
      </w:r>
      <w:r>
        <w:rPr>
          <w:sz w:val="20"/>
        </w:rPr>
        <w:t>se</w:t>
      </w:r>
      <w:r>
        <w:rPr>
          <w:spacing w:val="-19"/>
          <w:sz w:val="20"/>
        </w:rPr>
        <w:t> </w:t>
      </w:r>
      <w:r>
        <w:rPr>
          <w:sz w:val="20"/>
        </w:rPr>
        <w:t>deve,</w:t>
      </w:r>
      <w:r>
        <w:rPr>
          <w:spacing w:val="-18"/>
          <w:sz w:val="20"/>
        </w:rPr>
        <w:t> </w:t>
      </w:r>
      <w:r>
        <w:rPr>
          <w:sz w:val="20"/>
        </w:rPr>
        <w:t>substancialmente,</w:t>
      </w:r>
      <w:r>
        <w:rPr>
          <w:spacing w:val="-18"/>
          <w:sz w:val="20"/>
        </w:rPr>
        <w:t> </w:t>
      </w:r>
      <w:r>
        <w:rPr>
          <w:sz w:val="20"/>
        </w:rPr>
        <w:t>às</w:t>
      </w:r>
      <w:r>
        <w:rPr>
          <w:spacing w:val="-18"/>
          <w:sz w:val="20"/>
        </w:rPr>
        <w:t> </w:t>
      </w:r>
      <w:r>
        <w:rPr>
          <w:sz w:val="20"/>
        </w:rPr>
        <w:t>amortizações</w:t>
      </w:r>
      <w:r>
        <w:rPr>
          <w:spacing w:val="-18"/>
          <w:sz w:val="20"/>
        </w:rPr>
        <w:t> </w:t>
      </w:r>
      <w:r>
        <w:rPr>
          <w:sz w:val="20"/>
        </w:rPr>
        <w:t>durante</w:t>
      </w:r>
      <w:r>
        <w:rPr>
          <w:spacing w:val="-19"/>
          <w:sz w:val="20"/>
        </w:rPr>
        <w:t> </w:t>
      </w:r>
      <w:r>
        <w:rPr>
          <w:sz w:val="20"/>
        </w:rPr>
        <w:t>o </w:t>
      </w:r>
      <w:r>
        <w:rPr>
          <w:w w:val="95"/>
          <w:sz w:val="20"/>
        </w:rPr>
        <w:t>exercício</w:t>
      </w:r>
      <w:r>
        <w:rPr>
          <w:spacing w:val="-18"/>
          <w:w w:val="95"/>
          <w:sz w:val="20"/>
        </w:rPr>
        <w:t> </w:t>
      </w:r>
      <w:r>
        <w:rPr>
          <w:w w:val="95"/>
          <w:sz w:val="20"/>
        </w:rPr>
        <w:t>de</w:t>
      </w:r>
      <w:r>
        <w:rPr>
          <w:spacing w:val="-19"/>
          <w:w w:val="95"/>
          <w:sz w:val="20"/>
        </w:rPr>
        <w:t> </w:t>
      </w:r>
      <w:r>
        <w:rPr>
          <w:w w:val="95"/>
          <w:sz w:val="20"/>
        </w:rPr>
        <w:t>2019</w:t>
      </w:r>
      <w:r>
        <w:rPr>
          <w:spacing w:val="-17"/>
          <w:w w:val="95"/>
          <w:sz w:val="20"/>
        </w:rPr>
        <w:t> </w:t>
      </w:r>
      <w:r>
        <w:rPr>
          <w:w w:val="95"/>
          <w:sz w:val="20"/>
        </w:rPr>
        <w:t>de</w:t>
      </w:r>
      <w:r>
        <w:rPr>
          <w:spacing w:val="-21"/>
          <w:w w:val="95"/>
          <w:sz w:val="20"/>
        </w:rPr>
        <w:t> </w:t>
      </w:r>
      <w:r>
        <w:rPr>
          <w:w w:val="95"/>
          <w:sz w:val="20"/>
        </w:rPr>
        <w:t>relevantes</w:t>
      </w:r>
      <w:r>
        <w:rPr>
          <w:spacing w:val="-19"/>
          <w:w w:val="95"/>
          <w:sz w:val="20"/>
        </w:rPr>
        <w:t> </w:t>
      </w:r>
      <w:r>
        <w:rPr>
          <w:w w:val="95"/>
          <w:sz w:val="20"/>
        </w:rPr>
        <w:t>passivos</w:t>
      </w:r>
      <w:r>
        <w:rPr>
          <w:spacing w:val="-16"/>
          <w:w w:val="95"/>
          <w:sz w:val="20"/>
        </w:rPr>
        <w:t> </w:t>
      </w:r>
      <w:r>
        <w:rPr>
          <w:w w:val="95"/>
          <w:sz w:val="20"/>
        </w:rPr>
        <w:t>que</w:t>
      </w:r>
      <w:r>
        <w:rPr>
          <w:spacing w:val="-21"/>
          <w:w w:val="95"/>
          <w:sz w:val="20"/>
        </w:rPr>
        <w:t> </w:t>
      </w:r>
      <w:r>
        <w:rPr>
          <w:w w:val="95"/>
          <w:sz w:val="20"/>
        </w:rPr>
        <w:t>haviam</w:t>
      </w:r>
      <w:r>
        <w:rPr>
          <w:spacing w:val="-20"/>
          <w:w w:val="95"/>
          <w:sz w:val="20"/>
        </w:rPr>
        <w:t> </w:t>
      </w:r>
      <w:r>
        <w:rPr>
          <w:w w:val="95"/>
          <w:sz w:val="20"/>
        </w:rPr>
        <w:t>sidos</w:t>
      </w:r>
      <w:r>
        <w:rPr>
          <w:spacing w:val="-19"/>
          <w:w w:val="95"/>
          <w:sz w:val="20"/>
        </w:rPr>
        <w:t> </w:t>
      </w:r>
      <w:r>
        <w:rPr>
          <w:w w:val="95"/>
          <w:sz w:val="20"/>
        </w:rPr>
        <w:t>renegociados</w:t>
      </w:r>
      <w:r>
        <w:rPr>
          <w:spacing w:val="-17"/>
          <w:w w:val="95"/>
          <w:sz w:val="20"/>
        </w:rPr>
        <w:t> </w:t>
      </w:r>
      <w:r>
        <w:rPr>
          <w:w w:val="95"/>
          <w:sz w:val="20"/>
        </w:rPr>
        <w:t>e</w:t>
      </w:r>
      <w:r>
        <w:rPr>
          <w:spacing w:val="-19"/>
          <w:w w:val="95"/>
          <w:sz w:val="20"/>
        </w:rPr>
        <w:t> </w:t>
      </w:r>
      <w:r>
        <w:rPr>
          <w:w w:val="95"/>
          <w:sz w:val="20"/>
        </w:rPr>
        <w:t>parcelados</w:t>
      </w:r>
      <w:r>
        <w:rPr>
          <w:spacing w:val="-16"/>
          <w:w w:val="95"/>
          <w:sz w:val="20"/>
        </w:rPr>
        <w:t> </w:t>
      </w:r>
      <w:r>
        <w:rPr>
          <w:w w:val="95"/>
          <w:sz w:val="20"/>
        </w:rPr>
        <w:t>e,</w:t>
      </w:r>
      <w:r>
        <w:rPr>
          <w:spacing w:val="-20"/>
          <w:w w:val="95"/>
          <w:sz w:val="20"/>
        </w:rPr>
        <w:t> </w:t>
      </w:r>
      <w:r>
        <w:rPr>
          <w:w w:val="95"/>
          <w:sz w:val="20"/>
        </w:rPr>
        <w:t>consequentemente,</w:t>
      </w:r>
      <w:r>
        <w:rPr>
          <w:spacing w:val="-18"/>
          <w:w w:val="95"/>
          <w:sz w:val="20"/>
        </w:rPr>
        <w:t> </w:t>
      </w:r>
      <w:r>
        <w:rPr>
          <w:w w:val="95"/>
          <w:sz w:val="20"/>
        </w:rPr>
        <w:t>à</w:t>
      </w:r>
      <w:r>
        <w:rPr>
          <w:spacing w:val="-19"/>
          <w:w w:val="95"/>
          <w:sz w:val="20"/>
        </w:rPr>
        <w:t> </w:t>
      </w:r>
      <w:r>
        <w:rPr>
          <w:w w:val="95"/>
          <w:sz w:val="20"/>
        </w:rPr>
        <w:t>redução </w:t>
      </w:r>
      <w:r>
        <w:rPr>
          <w:sz w:val="20"/>
        </w:rPr>
        <w:t>dos</w:t>
      </w:r>
      <w:r>
        <w:rPr>
          <w:spacing w:val="-41"/>
          <w:sz w:val="20"/>
        </w:rPr>
        <w:t> </w:t>
      </w:r>
      <w:r>
        <w:rPr>
          <w:sz w:val="20"/>
        </w:rPr>
        <w:t>juros</w:t>
      </w:r>
      <w:r>
        <w:rPr>
          <w:spacing w:val="-39"/>
          <w:sz w:val="20"/>
        </w:rPr>
        <w:t> </w:t>
      </w:r>
      <w:r>
        <w:rPr>
          <w:sz w:val="20"/>
        </w:rPr>
        <w:t>e</w:t>
      </w:r>
      <w:r>
        <w:rPr>
          <w:spacing w:val="-42"/>
          <w:sz w:val="20"/>
        </w:rPr>
        <w:t> </w:t>
      </w:r>
      <w:r>
        <w:rPr>
          <w:sz w:val="20"/>
        </w:rPr>
        <w:t>variações</w:t>
      </w:r>
      <w:r>
        <w:rPr>
          <w:spacing w:val="-41"/>
          <w:sz w:val="20"/>
        </w:rPr>
        <w:t> </w:t>
      </w:r>
      <w:r>
        <w:rPr>
          <w:sz w:val="20"/>
        </w:rPr>
        <w:t>monetárias</w:t>
      </w:r>
      <w:r>
        <w:rPr>
          <w:spacing w:val="-40"/>
          <w:sz w:val="20"/>
        </w:rPr>
        <w:t> </w:t>
      </w:r>
      <w:r>
        <w:rPr>
          <w:sz w:val="20"/>
        </w:rPr>
        <w:t>se</w:t>
      </w:r>
      <w:r>
        <w:rPr>
          <w:spacing w:val="-42"/>
          <w:sz w:val="20"/>
        </w:rPr>
        <w:t> </w:t>
      </w:r>
      <w:r>
        <w:rPr>
          <w:sz w:val="20"/>
        </w:rPr>
        <w:t>comparado</w:t>
      </w:r>
      <w:r>
        <w:rPr>
          <w:spacing w:val="-40"/>
          <w:sz w:val="20"/>
        </w:rPr>
        <w:t> </w:t>
      </w:r>
      <w:r>
        <w:rPr>
          <w:sz w:val="20"/>
        </w:rPr>
        <w:t>os</w:t>
      </w:r>
      <w:r>
        <w:rPr>
          <w:spacing w:val="-39"/>
          <w:sz w:val="20"/>
        </w:rPr>
        <w:t> </w:t>
      </w:r>
      <w:r>
        <w:rPr>
          <w:sz w:val="20"/>
        </w:rPr>
        <w:t>períodos,</w:t>
      </w:r>
      <w:r>
        <w:rPr>
          <w:spacing w:val="-41"/>
          <w:sz w:val="20"/>
        </w:rPr>
        <w:t> </w:t>
      </w:r>
      <w:r>
        <w:rPr>
          <w:sz w:val="20"/>
        </w:rPr>
        <w:t>fato</w:t>
      </w:r>
      <w:r>
        <w:rPr>
          <w:spacing w:val="-40"/>
          <w:sz w:val="20"/>
        </w:rPr>
        <w:t> </w:t>
      </w:r>
      <w:r>
        <w:rPr>
          <w:sz w:val="20"/>
        </w:rPr>
        <w:t>este</w:t>
      </w:r>
      <w:r>
        <w:rPr>
          <w:spacing w:val="-40"/>
          <w:sz w:val="20"/>
        </w:rPr>
        <w:t> </w:t>
      </w:r>
      <w:r>
        <w:rPr>
          <w:sz w:val="20"/>
        </w:rPr>
        <w:t>que</w:t>
      </w:r>
      <w:r>
        <w:rPr>
          <w:spacing w:val="-40"/>
          <w:sz w:val="20"/>
        </w:rPr>
        <w:t> </w:t>
      </w:r>
      <w:r>
        <w:rPr>
          <w:sz w:val="20"/>
        </w:rPr>
        <w:t>não</w:t>
      </w:r>
      <w:r>
        <w:rPr>
          <w:spacing w:val="-36"/>
          <w:sz w:val="20"/>
        </w:rPr>
        <w:t> </w:t>
      </w:r>
      <w:r>
        <w:rPr>
          <w:sz w:val="20"/>
        </w:rPr>
        <w:t>ocorreu</w:t>
      </w:r>
      <w:r>
        <w:rPr>
          <w:spacing w:val="-40"/>
          <w:sz w:val="20"/>
        </w:rPr>
        <w:t> </w:t>
      </w:r>
      <w:r>
        <w:rPr>
          <w:sz w:val="20"/>
        </w:rPr>
        <w:t>em</w:t>
      </w:r>
      <w:r>
        <w:rPr>
          <w:spacing w:val="-40"/>
          <w:sz w:val="20"/>
        </w:rPr>
        <w:t> </w:t>
      </w:r>
      <w:r>
        <w:rPr>
          <w:sz w:val="20"/>
        </w:rPr>
        <w:t>2018,</w:t>
      </w:r>
      <w:r>
        <w:rPr>
          <w:spacing w:val="-40"/>
          <w:sz w:val="20"/>
        </w:rPr>
        <w:t> </w:t>
      </w:r>
      <w:r>
        <w:rPr>
          <w:sz w:val="20"/>
        </w:rPr>
        <w:t>sendo</w:t>
      </w:r>
      <w:r>
        <w:rPr>
          <w:spacing w:val="-41"/>
          <w:sz w:val="20"/>
        </w:rPr>
        <w:t> </w:t>
      </w:r>
      <w:r>
        <w:rPr>
          <w:sz w:val="20"/>
        </w:rPr>
        <w:t>agravado</w:t>
      </w:r>
      <w:r>
        <w:rPr>
          <w:spacing w:val="-41"/>
          <w:sz w:val="20"/>
        </w:rPr>
        <w:t> </w:t>
      </w:r>
      <w:r>
        <w:rPr>
          <w:sz w:val="20"/>
        </w:rPr>
        <w:t>pelos seguidos</w:t>
      </w:r>
      <w:r>
        <w:rPr>
          <w:spacing w:val="-20"/>
          <w:sz w:val="20"/>
        </w:rPr>
        <w:t> </w:t>
      </w:r>
      <w:r>
        <w:rPr>
          <w:sz w:val="20"/>
        </w:rPr>
        <w:t>atrasos</w:t>
      </w:r>
      <w:r>
        <w:rPr>
          <w:spacing w:val="-20"/>
          <w:sz w:val="20"/>
        </w:rPr>
        <w:t> </w:t>
      </w:r>
      <w:r>
        <w:rPr>
          <w:sz w:val="20"/>
        </w:rPr>
        <w:t>por</w:t>
      </w:r>
      <w:r>
        <w:rPr>
          <w:spacing w:val="-21"/>
          <w:sz w:val="20"/>
        </w:rPr>
        <w:t> </w:t>
      </w:r>
      <w:r>
        <w:rPr>
          <w:sz w:val="20"/>
        </w:rPr>
        <w:t>falta</w:t>
      </w:r>
      <w:r>
        <w:rPr>
          <w:spacing w:val="-19"/>
          <w:sz w:val="20"/>
        </w:rPr>
        <w:t> </w:t>
      </w:r>
      <w:r>
        <w:rPr>
          <w:sz w:val="20"/>
        </w:rPr>
        <w:t>de</w:t>
      </w:r>
      <w:r>
        <w:rPr>
          <w:spacing w:val="-19"/>
          <w:sz w:val="20"/>
        </w:rPr>
        <w:t> </w:t>
      </w:r>
      <w:r>
        <w:rPr>
          <w:sz w:val="20"/>
        </w:rPr>
        <w:t>caixa</w:t>
      </w:r>
      <w:r>
        <w:rPr>
          <w:spacing w:val="-20"/>
          <w:sz w:val="20"/>
        </w:rPr>
        <w:t> </w:t>
      </w:r>
      <w:r>
        <w:rPr>
          <w:sz w:val="20"/>
        </w:rPr>
        <w:t>da</w:t>
      </w:r>
      <w:r>
        <w:rPr>
          <w:spacing w:val="-20"/>
          <w:sz w:val="20"/>
        </w:rPr>
        <w:t> </w:t>
      </w:r>
      <w:r>
        <w:rPr>
          <w:sz w:val="20"/>
        </w:rPr>
        <w:t>CEB</w:t>
      </w:r>
      <w:r>
        <w:rPr>
          <w:spacing w:val="-20"/>
          <w:sz w:val="20"/>
        </w:rPr>
        <w:t> </w:t>
      </w:r>
      <w:r>
        <w:rPr>
          <w:sz w:val="20"/>
        </w:rPr>
        <w:t>Distribuição</w:t>
      </w:r>
      <w:r>
        <w:rPr>
          <w:spacing w:val="-17"/>
          <w:sz w:val="20"/>
        </w:rPr>
        <w:t> </w:t>
      </w:r>
      <w:r>
        <w:rPr>
          <w:sz w:val="20"/>
        </w:rPr>
        <w:t>S.A.</w:t>
      </w:r>
      <w:r>
        <w:rPr>
          <w:spacing w:val="-15"/>
          <w:sz w:val="20"/>
        </w:rPr>
        <w:t> </w:t>
      </w:r>
      <w:r>
        <w:rPr>
          <w:sz w:val="20"/>
        </w:rPr>
        <w:t>naquele</w:t>
      </w:r>
      <w:r>
        <w:rPr>
          <w:spacing w:val="-21"/>
          <w:sz w:val="20"/>
        </w:rPr>
        <w:t> </w:t>
      </w:r>
      <w:r>
        <w:rPr>
          <w:sz w:val="20"/>
        </w:rPr>
        <w:t>ano.</w:t>
      </w:r>
    </w:p>
    <w:p>
      <w:pPr>
        <w:pStyle w:val="BodyText"/>
        <w:spacing w:before="6"/>
      </w:pPr>
    </w:p>
    <w:p>
      <w:pPr>
        <w:pStyle w:val="ListParagraph"/>
        <w:numPr>
          <w:ilvl w:val="0"/>
          <w:numId w:val="47"/>
        </w:numPr>
        <w:tabs>
          <w:tab w:pos="474" w:val="left" w:leader="none"/>
        </w:tabs>
        <w:spacing w:line="240" w:lineRule="auto" w:before="0" w:after="0"/>
        <w:ind w:left="473" w:right="0" w:hanging="302"/>
        <w:jc w:val="both"/>
        <w:rPr>
          <w:sz w:val="20"/>
        </w:rPr>
      </w:pPr>
      <w:r>
        <w:rPr>
          <w:sz w:val="20"/>
        </w:rPr>
        <w:t>A</w:t>
      </w:r>
      <w:r>
        <w:rPr>
          <w:spacing w:val="-33"/>
          <w:sz w:val="20"/>
        </w:rPr>
        <w:t> </w:t>
      </w:r>
      <w:r>
        <w:rPr>
          <w:sz w:val="20"/>
        </w:rPr>
        <w:t>redução</w:t>
      </w:r>
      <w:r>
        <w:rPr>
          <w:spacing w:val="-34"/>
          <w:sz w:val="20"/>
        </w:rPr>
        <w:t> </w:t>
      </w:r>
      <w:r>
        <w:rPr>
          <w:sz w:val="20"/>
        </w:rPr>
        <w:t>se</w:t>
      </w:r>
      <w:r>
        <w:rPr>
          <w:spacing w:val="-33"/>
          <w:sz w:val="20"/>
        </w:rPr>
        <w:t> </w:t>
      </w:r>
      <w:r>
        <w:rPr>
          <w:sz w:val="20"/>
        </w:rPr>
        <w:t>deve,</w:t>
      </w:r>
      <w:r>
        <w:rPr>
          <w:spacing w:val="-34"/>
          <w:sz w:val="20"/>
        </w:rPr>
        <w:t> </w:t>
      </w:r>
      <w:r>
        <w:rPr>
          <w:sz w:val="20"/>
        </w:rPr>
        <w:t>substancialmente,</w:t>
      </w:r>
      <w:r>
        <w:rPr>
          <w:spacing w:val="-33"/>
          <w:sz w:val="20"/>
        </w:rPr>
        <w:t> </w:t>
      </w:r>
      <w:r>
        <w:rPr>
          <w:sz w:val="20"/>
        </w:rPr>
        <w:t>às</w:t>
      </w:r>
      <w:r>
        <w:rPr>
          <w:spacing w:val="-33"/>
          <w:sz w:val="20"/>
        </w:rPr>
        <w:t> </w:t>
      </w:r>
      <w:r>
        <w:rPr>
          <w:sz w:val="20"/>
        </w:rPr>
        <w:t>amortizações</w:t>
      </w:r>
      <w:r>
        <w:rPr>
          <w:spacing w:val="-33"/>
          <w:sz w:val="20"/>
        </w:rPr>
        <w:t> </w:t>
      </w:r>
      <w:r>
        <w:rPr>
          <w:sz w:val="20"/>
        </w:rPr>
        <w:t>e</w:t>
      </w:r>
      <w:r>
        <w:rPr>
          <w:spacing w:val="-34"/>
          <w:sz w:val="20"/>
        </w:rPr>
        <w:t> </w:t>
      </w:r>
      <w:r>
        <w:rPr>
          <w:sz w:val="20"/>
        </w:rPr>
        <w:t>trocas</w:t>
      </w:r>
      <w:r>
        <w:rPr>
          <w:spacing w:val="-32"/>
          <w:sz w:val="20"/>
        </w:rPr>
        <w:t> </w:t>
      </w:r>
      <w:r>
        <w:rPr>
          <w:sz w:val="20"/>
        </w:rPr>
        <w:t>de</w:t>
      </w:r>
      <w:r>
        <w:rPr>
          <w:spacing w:val="-34"/>
          <w:sz w:val="20"/>
        </w:rPr>
        <w:t> </w:t>
      </w:r>
      <w:r>
        <w:rPr>
          <w:sz w:val="20"/>
        </w:rPr>
        <w:t>dívidas</w:t>
      </w:r>
      <w:r>
        <w:rPr>
          <w:spacing w:val="-29"/>
          <w:sz w:val="20"/>
        </w:rPr>
        <w:t> </w:t>
      </w:r>
      <w:r>
        <w:rPr>
          <w:sz w:val="20"/>
        </w:rPr>
        <w:t>realizadas</w:t>
      </w:r>
      <w:r>
        <w:rPr>
          <w:spacing w:val="-32"/>
          <w:sz w:val="20"/>
        </w:rPr>
        <w:t> </w:t>
      </w:r>
      <w:r>
        <w:rPr>
          <w:sz w:val="20"/>
        </w:rPr>
        <w:t>durante</w:t>
      </w:r>
      <w:r>
        <w:rPr>
          <w:spacing w:val="-34"/>
          <w:sz w:val="20"/>
        </w:rPr>
        <w:t> </w:t>
      </w:r>
      <w:r>
        <w:rPr>
          <w:sz w:val="20"/>
        </w:rPr>
        <w:t>o</w:t>
      </w:r>
      <w:r>
        <w:rPr>
          <w:spacing w:val="-32"/>
          <w:sz w:val="20"/>
        </w:rPr>
        <w:t> </w:t>
      </w:r>
      <w:r>
        <w:rPr>
          <w:sz w:val="20"/>
        </w:rPr>
        <w:t>exercício</w:t>
      </w:r>
      <w:r>
        <w:rPr>
          <w:spacing w:val="-33"/>
          <w:sz w:val="20"/>
        </w:rPr>
        <w:t> </w:t>
      </w:r>
      <w:r>
        <w:rPr>
          <w:sz w:val="20"/>
        </w:rPr>
        <w:t>de</w:t>
      </w:r>
      <w:r>
        <w:rPr>
          <w:spacing w:val="-34"/>
          <w:sz w:val="20"/>
        </w:rPr>
        <w:t> </w:t>
      </w:r>
      <w:r>
        <w:rPr>
          <w:sz w:val="20"/>
        </w:rPr>
        <w:t>2019.</w:t>
      </w:r>
    </w:p>
    <w:p>
      <w:pPr>
        <w:pStyle w:val="BodyText"/>
        <w:spacing w:before="8"/>
      </w:pPr>
    </w:p>
    <w:p>
      <w:pPr>
        <w:pStyle w:val="ListParagraph"/>
        <w:numPr>
          <w:ilvl w:val="0"/>
          <w:numId w:val="47"/>
        </w:numPr>
        <w:tabs>
          <w:tab w:pos="500" w:val="left" w:leader="none"/>
        </w:tabs>
        <w:spacing w:line="240" w:lineRule="auto" w:before="1" w:after="0"/>
        <w:ind w:left="499" w:right="0" w:hanging="328"/>
        <w:jc w:val="both"/>
        <w:rPr>
          <w:sz w:val="20"/>
        </w:rPr>
      </w:pPr>
      <w:r>
        <w:rPr>
          <w:sz w:val="20"/>
        </w:rPr>
        <w:t>Em</w:t>
      </w:r>
      <w:r>
        <w:rPr>
          <w:spacing w:val="-24"/>
          <w:sz w:val="20"/>
        </w:rPr>
        <w:t> </w:t>
      </w:r>
      <w:r>
        <w:rPr>
          <w:sz w:val="20"/>
        </w:rPr>
        <w:t>2018,</w:t>
      </w:r>
      <w:r>
        <w:rPr>
          <w:spacing w:val="-21"/>
          <w:sz w:val="20"/>
        </w:rPr>
        <w:t> </w:t>
      </w:r>
      <w:r>
        <w:rPr>
          <w:sz w:val="20"/>
        </w:rPr>
        <w:t>ocorreu</w:t>
      </w:r>
      <w:r>
        <w:rPr>
          <w:spacing w:val="-23"/>
          <w:sz w:val="20"/>
        </w:rPr>
        <w:t> </w:t>
      </w:r>
      <w:r>
        <w:rPr>
          <w:sz w:val="20"/>
        </w:rPr>
        <w:t>a</w:t>
      </w:r>
      <w:r>
        <w:rPr>
          <w:spacing w:val="-21"/>
          <w:sz w:val="20"/>
        </w:rPr>
        <w:t> </w:t>
      </w:r>
      <w:r>
        <w:rPr>
          <w:sz w:val="20"/>
        </w:rPr>
        <w:t>reversão</w:t>
      </w:r>
      <w:r>
        <w:rPr>
          <w:spacing w:val="-23"/>
          <w:sz w:val="20"/>
        </w:rPr>
        <w:t> </w:t>
      </w:r>
      <w:r>
        <w:rPr>
          <w:sz w:val="20"/>
        </w:rPr>
        <w:t>de</w:t>
      </w:r>
      <w:r>
        <w:rPr>
          <w:spacing w:val="-23"/>
          <w:sz w:val="20"/>
        </w:rPr>
        <w:t> </w:t>
      </w:r>
      <w:r>
        <w:rPr>
          <w:sz w:val="20"/>
        </w:rPr>
        <w:t>uma</w:t>
      </w:r>
      <w:r>
        <w:rPr>
          <w:spacing w:val="-22"/>
          <w:sz w:val="20"/>
        </w:rPr>
        <w:t> </w:t>
      </w:r>
      <w:r>
        <w:rPr>
          <w:sz w:val="20"/>
        </w:rPr>
        <w:t>atualização</w:t>
      </w:r>
      <w:r>
        <w:rPr>
          <w:spacing w:val="-23"/>
          <w:sz w:val="20"/>
        </w:rPr>
        <w:t> </w:t>
      </w:r>
      <w:r>
        <w:rPr>
          <w:sz w:val="20"/>
        </w:rPr>
        <w:t>monetária</w:t>
      </w:r>
      <w:r>
        <w:rPr>
          <w:spacing w:val="-23"/>
          <w:sz w:val="20"/>
        </w:rPr>
        <w:t> </w:t>
      </w:r>
      <w:r>
        <w:rPr>
          <w:sz w:val="20"/>
        </w:rPr>
        <w:t>sobre</w:t>
      </w:r>
      <w:r>
        <w:rPr>
          <w:spacing w:val="-24"/>
          <w:sz w:val="20"/>
        </w:rPr>
        <w:t> </w:t>
      </w:r>
      <w:r>
        <w:rPr>
          <w:sz w:val="20"/>
        </w:rPr>
        <w:t>uma</w:t>
      </w:r>
      <w:r>
        <w:rPr>
          <w:spacing w:val="-22"/>
          <w:sz w:val="20"/>
        </w:rPr>
        <w:t> </w:t>
      </w:r>
      <w:r>
        <w:rPr>
          <w:sz w:val="20"/>
        </w:rPr>
        <w:t>contingência</w:t>
      </w:r>
      <w:r>
        <w:rPr>
          <w:spacing w:val="-23"/>
          <w:sz w:val="20"/>
        </w:rPr>
        <w:t> </w:t>
      </w:r>
      <w:r>
        <w:rPr>
          <w:sz w:val="20"/>
        </w:rPr>
        <w:t>regulatória.</w:t>
      </w:r>
    </w:p>
    <w:p>
      <w:pPr>
        <w:pStyle w:val="BodyText"/>
        <w:spacing w:before="6"/>
      </w:pPr>
    </w:p>
    <w:p>
      <w:pPr>
        <w:pStyle w:val="ListParagraph"/>
        <w:numPr>
          <w:ilvl w:val="0"/>
          <w:numId w:val="47"/>
        </w:numPr>
        <w:tabs>
          <w:tab w:pos="491" w:val="left" w:leader="none"/>
        </w:tabs>
        <w:spacing w:line="242" w:lineRule="auto" w:before="0" w:after="0"/>
        <w:ind w:left="172" w:right="411" w:firstLine="0"/>
        <w:jc w:val="both"/>
        <w:rPr>
          <w:sz w:val="20"/>
        </w:rPr>
      </w:pPr>
      <w:r>
        <w:rPr>
          <w:sz w:val="20"/>
        </w:rPr>
        <w:t>Encargos</w:t>
      </w:r>
      <w:r>
        <w:rPr>
          <w:spacing w:val="-29"/>
          <w:sz w:val="20"/>
        </w:rPr>
        <w:t> </w:t>
      </w:r>
      <w:r>
        <w:rPr>
          <w:sz w:val="20"/>
        </w:rPr>
        <w:t>aplicados</w:t>
      </w:r>
      <w:r>
        <w:rPr>
          <w:spacing w:val="-28"/>
          <w:sz w:val="20"/>
        </w:rPr>
        <w:t> </w:t>
      </w:r>
      <w:r>
        <w:rPr>
          <w:sz w:val="20"/>
        </w:rPr>
        <w:t>pela</w:t>
      </w:r>
      <w:r>
        <w:rPr>
          <w:spacing w:val="-27"/>
          <w:sz w:val="20"/>
        </w:rPr>
        <w:t> </w:t>
      </w:r>
      <w:r>
        <w:rPr>
          <w:sz w:val="20"/>
        </w:rPr>
        <w:t>Secretaria</w:t>
      </w:r>
      <w:r>
        <w:rPr>
          <w:spacing w:val="-29"/>
          <w:sz w:val="20"/>
        </w:rPr>
        <w:t> </w:t>
      </w:r>
      <w:r>
        <w:rPr>
          <w:sz w:val="20"/>
        </w:rPr>
        <w:t>da</w:t>
      </w:r>
      <w:r>
        <w:rPr>
          <w:spacing w:val="-28"/>
          <w:sz w:val="20"/>
        </w:rPr>
        <w:t> </w:t>
      </w:r>
      <w:r>
        <w:rPr>
          <w:sz w:val="20"/>
        </w:rPr>
        <w:t>Fazenda</w:t>
      </w:r>
      <w:r>
        <w:rPr>
          <w:spacing w:val="-28"/>
          <w:sz w:val="20"/>
        </w:rPr>
        <w:t> </w:t>
      </w:r>
      <w:r>
        <w:rPr>
          <w:sz w:val="20"/>
        </w:rPr>
        <w:t>do</w:t>
      </w:r>
      <w:r>
        <w:rPr>
          <w:spacing w:val="-29"/>
          <w:sz w:val="20"/>
        </w:rPr>
        <w:t> </w:t>
      </w:r>
      <w:r>
        <w:rPr>
          <w:sz w:val="20"/>
        </w:rPr>
        <w:t>Distrito</w:t>
      </w:r>
      <w:r>
        <w:rPr>
          <w:spacing w:val="-29"/>
          <w:sz w:val="20"/>
        </w:rPr>
        <w:t> </w:t>
      </w:r>
      <w:r>
        <w:rPr>
          <w:sz w:val="20"/>
        </w:rPr>
        <w:t>Federal</w:t>
      </w:r>
      <w:r>
        <w:rPr>
          <w:spacing w:val="-24"/>
          <w:sz w:val="20"/>
        </w:rPr>
        <w:t> </w:t>
      </w:r>
      <w:r>
        <w:rPr>
          <w:w w:val="105"/>
          <w:sz w:val="20"/>
        </w:rPr>
        <w:t>–</w:t>
      </w:r>
      <w:r>
        <w:rPr>
          <w:spacing w:val="-31"/>
          <w:w w:val="105"/>
          <w:sz w:val="20"/>
        </w:rPr>
        <w:t> </w:t>
      </w:r>
      <w:r>
        <w:rPr>
          <w:sz w:val="20"/>
        </w:rPr>
        <w:t>SEFAZ,</w:t>
      </w:r>
      <w:r>
        <w:rPr>
          <w:spacing w:val="-29"/>
          <w:sz w:val="20"/>
        </w:rPr>
        <w:t> </w:t>
      </w:r>
      <w:r>
        <w:rPr>
          <w:sz w:val="20"/>
        </w:rPr>
        <w:t>relativo</w:t>
      </w:r>
      <w:r>
        <w:rPr>
          <w:spacing w:val="-29"/>
          <w:sz w:val="20"/>
        </w:rPr>
        <w:t> </w:t>
      </w:r>
      <w:r>
        <w:rPr>
          <w:sz w:val="20"/>
        </w:rPr>
        <w:t>ao</w:t>
      </w:r>
      <w:r>
        <w:rPr>
          <w:spacing w:val="-30"/>
          <w:sz w:val="20"/>
        </w:rPr>
        <w:t> </w:t>
      </w:r>
      <w:r>
        <w:rPr>
          <w:sz w:val="20"/>
        </w:rPr>
        <w:t>não</w:t>
      </w:r>
      <w:r>
        <w:rPr>
          <w:spacing w:val="-29"/>
          <w:sz w:val="20"/>
        </w:rPr>
        <w:t> </w:t>
      </w:r>
      <w:r>
        <w:rPr>
          <w:sz w:val="20"/>
        </w:rPr>
        <w:t>repasse</w:t>
      </w:r>
      <w:r>
        <w:rPr>
          <w:spacing w:val="-29"/>
          <w:sz w:val="20"/>
        </w:rPr>
        <w:t> </w:t>
      </w:r>
      <w:r>
        <w:rPr>
          <w:sz w:val="20"/>
        </w:rPr>
        <w:t>do</w:t>
      </w:r>
      <w:r>
        <w:rPr>
          <w:spacing w:val="-29"/>
          <w:sz w:val="20"/>
        </w:rPr>
        <w:t> </w:t>
      </w:r>
      <w:r>
        <w:rPr>
          <w:sz w:val="20"/>
        </w:rPr>
        <w:t>ICMS,</w:t>
      </w:r>
      <w:r>
        <w:rPr>
          <w:spacing w:val="-28"/>
          <w:sz w:val="20"/>
        </w:rPr>
        <w:t> </w:t>
      </w:r>
      <w:r>
        <w:rPr>
          <w:sz w:val="20"/>
        </w:rPr>
        <w:t>das competências</w:t>
      </w:r>
      <w:r>
        <w:rPr>
          <w:spacing w:val="-21"/>
          <w:sz w:val="20"/>
        </w:rPr>
        <w:t> </w:t>
      </w:r>
      <w:r>
        <w:rPr>
          <w:sz w:val="20"/>
        </w:rPr>
        <w:t>de</w:t>
      </w:r>
      <w:r>
        <w:rPr>
          <w:spacing w:val="-20"/>
          <w:sz w:val="20"/>
        </w:rPr>
        <w:t> </w:t>
      </w:r>
      <w:r>
        <w:rPr>
          <w:sz w:val="20"/>
        </w:rPr>
        <w:t>dezembro</w:t>
      </w:r>
      <w:r>
        <w:rPr>
          <w:spacing w:val="-18"/>
          <w:sz w:val="20"/>
        </w:rPr>
        <w:t> </w:t>
      </w:r>
      <w:r>
        <w:rPr>
          <w:sz w:val="20"/>
        </w:rPr>
        <w:t>de</w:t>
      </w:r>
      <w:r>
        <w:rPr>
          <w:spacing w:val="-22"/>
          <w:sz w:val="20"/>
        </w:rPr>
        <w:t> </w:t>
      </w:r>
      <w:r>
        <w:rPr>
          <w:sz w:val="20"/>
        </w:rPr>
        <w:t>2018,</w:t>
      </w:r>
      <w:r>
        <w:rPr>
          <w:spacing w:val="-19"/>
          <w:sz w:val="20"/>
        </w:rPr>
        <w:t> </w:t>
      </w:r>
      <w:r>
        <w:rPr>
          <w:sz w:val="20"/>
        </w:rPr>
        <w:t>bem</w:t>
      </w:r>
      <w:r>
        <w:rPr>
          <w:spacing w:val="-21"/>
          <w:sz w:val="20"/>
        </w:rPr>
        <w:t> </w:t>
      </w:r>
      <w:r>
        <w:rPr>
          <w:sz w:val="20"/>
        </w:rPr>
        <w:t>como</w:t>
      </w:r>
      <w:r>
        <w:rPr>
          <w:spacing w:val="-21"/>
          <w:sz w:val="20"/>
        </w:rPr>
        <w:t> </w:t>
      </w:r>
      <w:r>
        <w:rPr>
          <w:sz w:val="20"/>
        </w:rPr>
        <w:t>de</w:t>
      </w:r>
      <w:r>
        <w:rPr>
          <w:spacing w:val="-19"/>
          <w:sz w:val="20"/>
        </w:rPr>
        <w:t> </w:t>
      </w:r>
      <w:r>
        <w:rPr>
          <w:sz w:val="20"/>
        </w:rPr>
        <w:t>janeiro</w:t>
      </w:r>
      <w:r>
        <w:rPr>
          <w:spacing w:val="-18"/>
          <w:sz w:val="20"/>
        </w:rPr>
        <w:t> </w:t>
      </w:r>
      <w:r>
        <w:rPr>
          <w:sz w:val="20"/>
        </w:rPr>
        <w:t>e</w:t>
      </w:r>
      <w:r>
        <w:rPr>
          <w:spacing w:val="-22"/>
          <w:sz w:val="20"/>
        </w:rPr>
        <w:t> </w:t>
      </w:r>
      <w:r>
        <w:rPr>
          <w:sz w:val="20"/>
        </w:rPr>
        <w:t>fevereiro</w:t>
      </w:r>
      <w:r>
        <w:rPr>
          <w:spacing w:val="-22"/>
          <w:sz w:val="20"/>
        </w:rPr>
        <w:t> </w:t>
      </w:r>
      <w:r>
        <w:rPr>
          <w:sz w:val="20"/>
        </w:rPr>
        <w:t>de</w:t>
      </w:r>
      <w:r>
        <w:rPr>
          <w:spacing w:val="-22"/>
          <w:sz w:val="20"/>
        </w:rPr>
        <w:t> </w:t>
      </w:r>
      <w:r>
        <w:rPr>
          <w:sz w:val="20"/>
        </w:rPr>
        <w:t>2019.</w:t>
      </w:r>
    </w:p>
    <w:p>
      <w:pPr>
        <w:pStyle w:val="BodyText"/>
        <w:spacing w:before="5"/>
      </w:pPr>
    </w:p>
    <w:p>
      <w:pPr>
        <w:pStyle w:val="Heading3"/>
        <w:numPr>
          <w:ilvl w:val="0"/>
          <w:numId w:val="6"/>
        </w:numPr>
        <w:tabs>
          <w:tab w:pos="953" w:val="left" w:leader="none"/>
          <w:tab w:pos="954" w:val="left" w:leader="none"/>
        </w:tabs>
        <w:spacing w:line="240" w:lineRule="auto" w:before="0" w:after="0"/>
        <w:ind w:left="953" w:right="0" w:hanging="782"/>
        <w:jc w:val="left"/>
      </w:pPr>
      <w:r>
        <w:rPr/>
        <w:t>LUCRO (PREJUÍZO) POR AÇÃO BÁSICO E</w:t>
      </w:r>
      <w:r>
        <w:rPr>
          <w:spacing w:val="-2"/>
        </w:rPr>
        <w:t> </w:t>
      </w:r>
      <w:r>
        <w:rPr/>
        <w:t>DILUÍDO</w:t>
      </w:r>
    </w:p>
    <w:p>
      <w:pPr>
        <w:pStyle w:val="BodyText"/>
        <w:spacing w:line="242" w:lineRule="auto" w:before="244"/>
        <w:ind w:left="172" w:right="416"/>
        <w:jc w:val="both"/>
      </w:pPr>
      <w:r>
        <w:rPr/>
        <w:t>Os</w:t>
      </w:r>
      <w:r>
        <w:rPr>
          <w:spacing w:val="-47"/>
        </w:rPr>
        <w:t> </w:t>
      </w:r>
      <w:r>
        <w:rPr/>
        <w:t>acionistas</w:t>
      </w:r>
      <w:r>
        <w:rPr>
          <w:spacing w:val="-46"/>
        </w:rPr>
        <w:t> </w:t>
      </w:r>
      <w:r>
        <w:rPr/>
        <w:t>ordinaristas</w:t>
      </w:r>
      <w:r>
        <w:rPr>
          <w:spacing w:val="-45"/>
        </w:rPr>
        <w:t> </w:t>
      </w:r>
      <w:r>
        <w:rPr/>
        <w:t>e</w:t>
      </w:r>
      <w:r>
        <w:rPr>
          <w:spacing w:val="-45"/>
        </w:rPr>
        <w:t> </w:t>
      </w:r>
      <w:r>
        <w:rPr/>
        <w:t>preferencialistas</w:t>
      </w:r>
      <w:r>
        <w:rPr>
          <w:spacing w:val="-46"/>
        </w:rPr>
        <w:t> </w:t>
      </w:r>
      <w:r>
        <w:rPr/>
        <w:t>possuem</w:t>
      </w:r>
      <w:r>
        <w:rPr>
          <w:spacing w:val="-46"/>
        </w:rPr>
        <w:t> </w:t>
      </w:r>
      <w:r>
        <w:rPr/>
        <w:t>direitos</w:t>
      </w:r>
      <w:r>
        <w:rPr>
          <w:spacing w:val="-46"/>
        </w:rPr>
        <w:t> </w:t>
      </w:r>
      <w:r>
        <w:rPr/>
        <w:t>diferentes</w:t>
      </w:r>
      <w:r>
        <w:rPr>
          <w:spacing w:val="-45"/>
        </w:rPr>
        <w:t> </w:t>
      </w:r>
      <w:r>
        <w:rPr/>
        <w:t>em</w:t>
      </w:r>
      <w:r>
        <w:rPr>
          <w:spacing w:val="-45"/>
        </w:rPr>
        <w:t> </w:t>
      </w:r>
      <w:r>
        <w:rPr/>
        <w:t>relação</w:t>
      </w:r>
      <w:r>
        <w:rPr>
          <w:spacing w:val="-45"/>
        </w:rPr>
        <w:t> </w:t>
      </w:r>
      <w:r>
        <w:rPr/>
        <w:t>a</w:t>
      </w:r>
      <w:r>
        <w:rPr>
          <w:spacing w:val="-46"/>
        </w:rPr>
        <w:t> </w:t>
      </w:r>
      <w:r>
        <w:rPr/>
        <w:t>dividendos,</w:t>
      </w:r>
      <w:r>
        <w:rPr>
          <w:spacing w:val="-45"/>
        </w:rPr>
        <w:t> </w:t>
      </w:r>
      <w:r>
        <w:rPr/>
        <w:t>direito</w:t>
      </w:r>
      <w:r>
        <w:rPr>
          <w:spacing w:val="-47"/>
        </w:rPr>
        <w:t> </w:t>
      </w:r>
      <w:r>
        <w:rPr/>
        <w:t>a</w:t>
      </w:r>
      <w:r>
        <w:rPr>
          <w:spacing w:val="-44"/>
        </w:rPr>
        <w:t> </w:t>
      </w:r>
      <w:r>
        <w:rPr/>
        <w:t>voto</w:t>
      </w:r>
      <w:r>
        <w:rPr>
          <w:spacing w:val="-45"/>
        </w:rPr>
        <w:t> </w:t>
      </w:r>
      <w:r>
        <w:rPr/>
        <w:t>e</w:t>
      </w:r>
      <w:r>
        <w:rPr>
          <w:spacing w:val="-45"/>
        </w:rPr>
        <w:t> </w:t>
      </w:r>
      <w:r>
        <w:rPr/>
        <w:t>em caso</w:t>
      </w:r>
      <w:r>
        <w:rPr>
          <w:spacing w:val="-17"/>
        </w:rPr>
        <w:t> </w:t>
      </w:r>
      <w:r>
        <w:rPr/>
        <w:t>de</w:t>
      </w:r>
      <w:r>
        <w:rPr>
          <w:spacing w:val="-18"/>
        </w:rPr>
        <w:t> </w:t>
      </w:r>
      <w:r>
        <w:rPr/>
        <w:t>liquidação,</w:t>
      </w:r>
      <w:r>
        <w:rPr>
          <w:spacing w:val="-17"/>
        </w:rPr>
        <w:t> </w:t>
      </w:r>
      <w:r>
        <w:rPr/>
        <w:t>conforme</w:t>
      </w:r>
      <w:r>
        <w:rPr>
          <w:spacing w:val="-17"/>
        </w:rPr>
        <w:t> </w:t>
      </w:r>
      <w:r>
        <w:rPr/>
        <w:t>determina</w:t>
      </w:r>
      <w:r>
        <w:rPr>
          <w:spacing w:val="-16"/>
        </w:rPr>
        <w:t> </w:t>
      </w:r>
      <w:r>
        <w:rPr/>
        <w:t>o</w:t>
      </w:r>
      <w:r>
        <w:rPr>
          <w:spacing w:val="-16"/>
        </w:rPr>
        <w:t> </w:t>
      </w:r>
      <w:r>
        <w:rPr/>
        <w:t>estatuto</w:t>
      </w:r>
      <w:r>
        <w:rPr>
          <w:spacing w:val="-17"/>
        </w:rPr>
        <w:t> </w:t>
      </w:r>
      <w:r>
        <w:rPr/>
        <w:t>social</w:t>
      </w:r>
      <w:r>
        <w:rPr>
          <w:spacing w:val="-16"/>
        </w:rPr>
        <w:t> </w:t>
      </w:r>
      <w:r>
        <w:rPr/>
        <w:t>da</w:t>
      </w:r>
      <w:r>
        <w:rPr>
          <w:spacing w:val="-16"/>
        </w:rPr>
        <w:t> </w:t>
      </w:r>
      <w:r>
        <w:rPr/>
        <w:t>Companhia.</w:t>
      </w:r>
      <w:r>
        <w:rPr>
          <w:spacing w:val="-17"/>
        </w:rPr>
        <w:t> </w:t>
      </w:r>
      <w:r>
        <w:rPr/>
        <w:t>Desta</w:t>
      </w:r>
      <w:r>
        <w:rPr>
          <w:spacing w:val="-16"/>
        </w:rPr>
        <w:t> </w:t>
      </w:r>
      <w:r>
        <w:rPr/>
        <w:t>forma,</w:t>
      </w:r>
      <w:r>
        <w:rPr>
          <w:spacing w:val="-17"/>
        </w:rPr>
        <w:t> </w:t>
      </w:r>
      <w:r>
        <w:rPr/>
        <w:t>o</w:t>
      </w:r>
      <w:r>
        <w:rPr>
          <w:spacing w:val="-17"/>
        </w:rPr>
        <w:t> </w:t>
      </w:r>
      <w:r>
        <w:rPr/>
        <w:t>lucro</w:t>
      </w:r>
      <w:r>
        <w:rPr>
          <w:spacing w:val="-15"/>
        </w:rPr>
        <w:t> </w:t>
      </w:r>
      <w:r>
        <w:rPr/>
        <w:t>por</w:t>
      </w:r>
      <w:r>
        <w:rPr>
          <w:spacing w:val="-17"/>
        </w:rPr>
        <w:t> </w:t>
      </w:r>
      <w:r>
        <w:rPr/>
        <w:t>ação,</w:t>
      </w:r>
      <w:r>
        <w:rPr>
          <w:spacing w:val="-17"/>
        </w:rPr>
        <w:t> </w:t>
      </w:r>
      <w:r>
        <w:rPr/>
        <w:t>básico</w:t>
      </w:r>
      <w:r>
        <w:rPr>
          <w:spacing w:val="-16"/>
        </w:rPr>
        <w:t> </w:t>
      </w:r>
      <w:r>
        <w:rPr/>
        <w:t>e diluído,</w:t>
      </w:r>
      <w:r>
        <w:rPr>
          <w:spacing w:val="-22"/>
        </w:rPr>
        <w:t> </w:t>
      </w:r>
      <w:r>
        <w:rPr/>
        <w:t>foi</w:t>
      </w:r>
      <w:r>
        <w:rPr>
          <w:spacing w:val="-20"/>
        </w:rPr>
        <w:t> </w:t>
      </w:r>
      <w:r>
        <w:rPr/>
        <w:t>calculado</w:t>
      </w:r>
      <w:r>
        <w:rPr>
          <w:spacing w:val="-21"/>
        </w:rPr>
        <w:t> </w:t>
      </w:r>
      <w:r>
        <w:rPr/>
        <w:t>com</w:t>
      </w:r>
      <w:r>
        <w:rPr>
          <w:spacing w:val="-22"/>
        </w:rPr>
        <w:t> </w:t>
      </w:r>
      <w:r>
        <w:rPr/>
        <w:t>base</w:t>
      </w:r>
      <w:r>
        <w:rPr>
          <w:spacing w:val="-23"/>
        </w:rPr>
        <w:t> </w:t>
      </w:r>
      <w:r>
        <w:rPr/>
        <w:t>no</w:t>
      </w:r>
      <w:r>
        <w:rPr>
          <w:spacing w:val="-21"/>
        </w:rPr>
        <w:t> </w:t>
      </w:r>
      <w:r>
        <w:rPr/>
        <w:t>lucro</w:t>
      </w:r>
      <w:r>
        <w:rPr>
          <w:spacing w:val="-19"/>
        </w:rPr>
        <w:t> </w:t>
      </w:r>
      <w:r>
        <w:rPr/>
        <w:t>do</w:t>
      </w:r>
      <w:r>
        <w:rPr>
          <w:spacing w:val="-20"/>
        </w:rPr>
        <w:t> </w:t>
      </w:r>
      <w:r>
        <w:rPr/>
        <w:t>exercício</w:t>
      </w:r>
      <w:r>
        <w:rPr>
          <w:spacing w:val="-20"/>
        </w:rPr>
        <w:t> </w:t>
      </w:r>
      <w:r>
        <w:rPr/>
        <w:t>disponível</w:t>
      </w:r>
      <w:r>
        <w:rPr>
          <w:spacing w:val="-20"/>
        </w:rPr>
        <w:t> </w:t>
      </w:r>
      <w:r>
        <w:rPr/>
        <w:t>para</w:t>
      </w:r>
      <w:r>
        <w:rPr>
          <w:spacing w:val="-21"/>
        </w:rPr>
        <w:t> </w:t>
      </w:r>
      <w:r>
        <w:rPr/>
        <w:t>os</w:t>
      </w:r>
      <w:r>
        <w:rPr>
          <w:spacing w:val="-21"/>
        </w:rPr>
        <w:t> </w:t>
      </w:r>
      <w:r>
        <w:rPr/>
        <w:t>acionistas.</w:t>
      </w:r>
    </w:p>
    <w:p>
      <w:pPr>
        <w:pStyle w:val="BodyText"/>
        <w:spacing w:before="5"/>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B</w:t>
      </w:r>
      <w:r>
        <w:rPr>
          <w:rFonts w:ascii="Caladea" w:hAnsi="Caladea"/>
          <w:b/>
          <w:sz w:val="18"/>
        </w:rPr>
        <w:t>ÁSICO</w:t>
      </w:r>
    </w:p>
    <w:p>
      <w:pPr>
        <w:pStyle w:val="BodyText"/>
        <w:spacing w:before="10"/>
        <w:rPr>
          <w:rFonts w:ascii="Caladea"/>
          <w:b/>
          <w:sz w:val="23"/>
        </w:rPr>
      </w:pPr>
    </w:p>
    <w:p>
      <w:pPr>
        <w:pStyle w:val="BodyText"/>
        <w:spacing w:line="242" w:lineRule="auto"/>
        <w:ind w:left="172" w:right="411"/>
        <w:jc w:val="both"/>
      </w:pPr>
      <w:r>
        <w:rPr/>
        <w:t>O</w:t>
      </w:r>
      <w:r>
        <w:rPr>
          <w:spacing w:val="-26"/>
        </w:rPr>
        <w:t> </w:t>
      </w:r>
      <w:r>
        <w:rPr/>
        <w:t>lucro</w:t>
      </w:r>
      <w:r>
        <w:rPr>
          <w:spacing w:val="-23"/>
        </w:rPr>
        <w:t> </w:t>
      </w:r>
      <w:r>
        <w:rPr/>
        <w:t>básico</w:t>
      </w:r>
      <w:r>
        <w:rPr>
          <w:spacing w:val="-26"/>
        </w:rPr>
        <w:t> </w:t>
      </w:r>
      <w:r>
        <w:rPr/>
        <w:t>por</w:t>
      </w:r>
      <w:r>
        <w:rPr>
          <w:spacing w:val="-24"/>
        </w:rPr>
        <w:t> </w:t>
      </w:r>
      <w:r>
        <w:rPr/>
        <w:t>ação</w:t>
      </w:r>
      <w:r>
        <w:rPr>
          <w:spacing w:val="-26"/>
        </w:rPr>
        <w:t> </w:t>
      </w:r>
      <w:r>
        <w:rPr/>
        <w:t>é</w:t>
      </w:r>
      <w:r>
        <w:rPr>
          <w:spacing w:val="-25"/>
        </w:rPr>
        <w:t> </w:t>
      </w:r>
      <w:r>
        <w:rPr/>
        <w:t>calculado</w:t>
      </w:r>
      <w:r>
        <w:rPr>
          <w:spacing w:val="-25"/>
        </w:rPr>
        <w:t> </w:t>
      </w:r>
      <w:r>
        <w:rPr/>
        <w:t>mediante</w:t>
      </w:r>
      <w:r>
        <w:rPr>
          <w:spacing w:val="-25"/>
        </w:rPr>
        <w:t> </w:t>
      </w:r>
      <w:r>
        <w:rPr/>
        <w:t>a</w:t>
      </w:r>
      <w:r>
        <w:rPr>
          <w:spacing w:val="-24"/>
        </w:rPr>
        <w:t> </w:t>
      </w:r>
      <w:r>
        <w:rPr/>
        <w:t>divisão</w:t>
      </w:r>
      <w:r>
        <w:rPr>
          <w:spacing w:val="-24"/>
        </w:rPr>
        <w:t> </w:t>
      </w:r>
      <w:r>
        <w:rPr/>
        <w:t>do</w:t>
      </w:r>
      <w:r>
        <w:rPr>
          <w:spacing w:val="-25"/>
        </w:rPr>
        <w:t> </w:t>
      </w:r>
      <w:r>
        <w:rPr/>
        <w:t>lucro</w:t>
      </w:r>
      <w:r>
        <w:rPr>
          <w:spacing w:val="-26"/>
        </w:rPr>
        <w:t> </w:t>
      </w:r>
      <w:r>
        <w:rPr/>
        <w:t>atribuível</w:t>
      </w:r>
      <w:r>
        <w:rPr>
          <w:spacing w:val="-24"/>
        </w:rPr>
        <w:t> </w:t>
      </w:r>
      <w:r>
        <w:rPr/>
        <w:t>aos</w:t>
      </w:r>
      <w:r>
        <w:rPr>
          <w:spacing w:val="-24"/>
        </w:rPr>
        <w:t> </w:t>
      </w:r>
      <w:r>
        <w:rPr/>
        <w:t>acionistas</w:t>
      </w:r>
      <w:r>
        <w:rPr>
          <w:spacing w:val="-25"/>
        </w:rPr>
        <w:t> </w:t>
      </w:r>
      <w:r>
        <w:rPr/>
        <w:t>da</w:t>
      </w:r>
      <w:r>
        <w:rPr>
          <w:spacing w:val="-24"/>
        </w:rPr>
        <w:t> </w:t>
      </w:r>
      <w:r>
        <w:rPr/>
        <w:t>Companhia,</w:t>
      </w:r>
      <w:r>
        <w:rPr>
          <w:spacing w:val="-24"/>
        </w:rPr>
        <w:t> </w:t>
      </w:r>
      <w:r>
        <w:rPr/>
        <w:t>disponível aos portadores de ações ordinárias e preferenciais, pela quantidade média ponderada de ações ordinárias e preferenciais</w:t>
      </w:r>
      <w:r>
        <w:rPr>
          <w:spacing w:val="-17"/>
        </w:rPr>
        <w:t> </w:t>
      </w:r>
      <w:r>
        <w:rPr/>
        <w:t>em</w:t>
      </w:r>
      <w:r>
        <w:rPr>
          <w:spacing w:val="-20"/>
        </w:rPr>
        <w:t> </w:t>
      </w:r>
      <w:r>
        <w:rPr/>
        <w:t>circulação</w:t>
      </w:r>
      <w:r>
        <w:rPr>
          <w:spacing w:val="-20"/>
        </w:rPr>
        <w:t> </w:t>
      </w:r>
      <w:r>
        <w:rPr/>
        <w:t>durante</w:t>
      </w:r>
      <w:r>
        <w:rPr>
          <w:spacing w:val="-20"/>
        </w:rPr>
        <w:t> </w:t>
      </w:r>
      <w:r>
        <w:rPr/>
        <w:t>o</w:t>
      </w:r>
      <w:r>
        <w:rPr>
          <w:spacing w:val="-17"/>
        </w:rPr>
        <w:t> </w:t>
      </w:r>
      <w:r>
        <w:rPr/>
        <w:t>exercício.</w:t>
      </w:r>
    </w:p>
    <w:p>
      <w:pPr>
        <w:pStyle w:val="BodyText"/>
        <w:spacing w:before="8"/>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D</w:t>
      </w:r>
      <w:r>
        <w:rPr>
          <w:rFonts w:ascii="Caladea" w:hAnsi="Caladea"/>
          <w:b/>
          <w:sz w:val="18"/>
        </w:rPr>
        <w:t>ILUÍDO</w:t>
      </w:r>
    </w:p>
    <w:p>
      <w:pPr>
        <w:pStyle w:val="BodyText"/>
        <w:spacing w:before="10"/>
        <w:rPr>
          <w:rFonts w:ascii="Caladea"/>
          <w:b/>
          <w:sz w:val="23"/>
        </w:rPr>
      </w:pPr>
    </w:p>
    <w:p>
      <w:pPr>
        <w:pStyle w:val="BodyText"/>
        <w:spacing w:line="242" w:lineRule="auto"/>
        <w:ind w:left="172" w:right="414"/>
        <w:jc w:val="both"/>
      </w:pPr>
      <w:r>
        <w:rPr/>
        <w:t>O lucro diluído por ação é calculado mediante o ajuste da quantidade média ponderada de ações ordinárias e preferenciais</w:t>
      </w:r>
      <w:r>
        <w:rPr>
          <w:spacing w:val="-46"/>
        </w:rPr>
        <w:t> </w:t>
      </w:r>
      <w:r>
        <w:rPr/>
        <w:t>em</w:t>
      </w:r>
      <w:r>
        <w:rPr>
          <w:spacing w:val="-47"/>
        </w:rPr>
        <w:t> </w:t>
      </w:r>
      <w:r>
        <w:rPr/>
        <w:t>circulação,</w:t>
      </w:r>
      <w:r>
        <w:rPr>
          <w:spacing w:val="-47"/>
        </w:rPr>
        <w:t> </w:t>
      </w:r>
      <w:r>
        <w:rPr/>
        <w:t>para</w:t>
      </w:r>
      <w:r>
        <w:rPr>
          <w:spacing w:val="-46"/>
        </w:rPr>
        <w:t> </w:t>
      </w:r>
      <w:r>
        <w:rPr/>
        <w:t>presumir</w:t>
      </w:r>
      <w:r>
        <w:rPr>
          <w:spacing w:val="-47"/>
        </w:rPr>
        <w:t> </w:t>
      </w:r>
      <w:r>
        <w:rPr/>
        <w:t>a</w:t>
      </w:r>
      <w:r>
        <w:rPr>
          <w:spacing w:val="-46"/>
        </w:rPr>
        <w:t> </w:t>
      </w:r>
      <w:r>
        <w:rPr/>
        <w:t>conversão</w:t>
      </w:r>
      <w:r>
        <w:rPr>
          <w:spacing w:val="-46"/>
        </w:rPr>
        <w:t> </w:t>
      </w:r>
      <w:r>
        <w:rPr/>
        <w:t>de</w:t>
      </w:r>
      <w:r>
        <w:rPr>
          <w:spacing w:val="-47"/>
        </w:rPr>
        <w:t> </w:t>
      </w:r>
      <w:r>
        <w:rPr/>
        <w:t>todas</w:t>
      </w:r>
      <w:r>
        <w:rPr>
          <w:spacing w:val="-46"/>
        </w:rPr>
        <w:t> </w:t>
      </w:r>
      <w:r>
        <w:rPr/>
        <w:t>as</w:t>
      </w:r>
      <w:r>
        <w:rPr>
          <w:spacing w:val="-46"/>
        </w:rPr>
        <w:t> </w:t>
      </w:r>
      <w:r>
        <w:rPr/>
        <w:t>ações</w:t>
      </w:r>
      <w:r>
        <w:rPr>
          <w:spacing w:val="-46"/>
        </w:rPr>
        <w:t> </w:t>
      </w:r>
      <w:r>
        <w:rPr/>
        <w:t>potenciais</w:t>
      </w:r>
      <w:r>
        <w:rPr>
          <w:spacing w:val="-46"/>
        </w:rPr>
        <w:t> </w:t>
      </w:r>
      <w:r>
        <w:rPr/>
        <w:t>diluídas.</w:t>
      </w:r>
      <w:r>
        <w:rPr>
          <w:spacing w:val="-47"/>
        </w:rPr>
        <w:t> </w:t>
      </w:r>
      <w:r>
        <w:rPr/>
        <w:t>A</w:t>
      </w:r>
      <w:r>
        <w:rPr>
          <w:spacing w:val="-47"/>
        </w:rPr>
        <w:t> </w:t>
      </w:r>
      <w:r>
        <w:rPr/>
        <w:t>Companhia</w:t>
      </w:r>
      <w:r>
        <w:rPr>
          <w:spacing w:val="-46"/>
        </w:rPr>
        <w:t> </w:t>
      </w:r>
      <w:r>
        <w:rPr/>
        <w:t>não</w:t>
      </w:r>
      <w:r>
        <w:rPr>
          <w:spacing w:val="-46"/>
        </w:rPr>
        <w:t> </w:t>
      </w:r>
      <w:r>
        <w:rPr/>
        <w:t>possui categoria</w:t>
      </w:r>
      <w:r>
        <w:rPr>
          <w:spacing w:val="-16"/>
        </w:rPr>
        <w:t> </w:t>
      </w:r>
      <w:r>
        <w:rPr/>
        <w:t>de</w:t>
      </w:r>
      <w:r>
        <w:rPr>
          <w:spacing w:val="-18"/>
        </w:rPr>
        <w:t> </w:t>
      </w:r>
      <w:r>
        <w:rPr/>
        <w:t>ações</w:t>
      </w:r>
      <w:r>
        <w:rPr>
          <w:spacing w:val="-18"/>
        </w:rPr>
        <w:t> </w:t>
      </w:r>
      <w:r>
        <w:rPr/>
        <w:t>potenciais</w:t>
      </w:r>
      <w:r>
        <w:rPr>
          <w:spacing w:val="-18"/>
        </w:rPr>
        <w:t> </w:t>
      </w:r>
      <w:r>
        <w:rPr/>
        <w:t>diluídas.</w:t>
      </w:r>
    </w:p>
    <w:p>
      <w:pPr>
        <w:pStyle w:val="BodyText"/>
        <w:spacing w:before="120"/>
        <w:ind w:left="172"/>
        <w:jc w:val="both"/>
      </w:pPr>
      <w:r>
        <w:rPr/>
        <w:t>A seguir são apresentados os cálculos do lucro por ação, básico e diluído:</w:t>
      </w:r>
    </w:p>
    <w:p>
      <w:pPr>
        <w:pStyle w:val="BodyText"/>
        <w:spacing w:before="2"/>
        <w:rPr>
          <w:sz w:val="10"/>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32"/>
        <w:gridCol w:w="1734"/>
        <w:gridCol w:w="1736"/>
      </w:tblGrid>
      <w:tr>
        <w:trPr>
          <w:trHeight w:val="405" w:hRule="atLeast"/>
        </w:trPr>
        <w:tc>
          <w:tcPr>
            <w:tcW w:w="6532" w:type="dxa"/>
            <w:shd w:val="clear" w:color="auto" w:fill="D9D9D9"/>
          </w:tcPr>
          <w:p>
            <w:pPr>
              <w:pStyle w:val="TableParagraph"/>
              <w:rPr>
                <w:rFonts w:ascii="Times New Roman"/>
                <w:sz w:val="18"/>
              </w:rPr>
            </w:pPr>
          </w:p>
        </w:tc>
        <w:tc>
          <w:tcPr>
            <w:tcW w:w="1734" w:type="dxa"/>
          </w:tcPr>
          <w:p>
            <w:pPr>
              <w:pStyle w:val="TableParagraph"/>
              <w:spacing w:before="119"/>
              <w:ind w:left="462"/>
              <w:rPr>
                <w:rFonts w:ascii="Caladea"/>
                <w:b/>
                <w:sz w:val="14"/>
              </w:rPr>
            </w:pPr>
            <w:r>
              <w:rPr>
                <w:rFonts w:ascii="Caladea"/>
                <w:b/>
                <w:sz w:val="14"/>
              </w:rPr>
              <w:t>31/12/2019</w:t>
            </w:r>
          </w:p>
        </w:tc>
        <w:tc>
          <w:tcPr>
            <w:tcW w:w="1736" w:type="dxa"/>
          </w:tcPr>
          <w:p>
            <w:pPr>
              <w:pStyle w:val="TableParagraph"/>
              <w:spacing w:before="119"/>
              <w:ind w:left="464"/>
              <w:rPr>
                <w:rFonts w:ascii="Caladea"/>
                <w:b/>
                <w:sz w:val="14"/>
              </w:rPr>
            </w:pPr>
            <w:r>
              <w:rPr>
                <w:rFonts w:ascii="Caladea"/>
                <w:b/>
                <w:sz w:val="14"/>
              </w:rPr>
              <w:t>31/12/2018</w:t>
            </w:r>
          </w:p>
        </w:tc>
      </w:tr>
      <w:tr>
        <w:trPr>
          <w:trHeight w:val="237" w:hRule="atLeast"/>
        </w:trPr>
        <w:tc>
          <w:tcPr>
            <w:tcW w:w="6532" w:type="dxa"/>
          </w:tcPr>
          <w:p>
            <w:pPr>
              <w:pStyle w:val="TableParagraph"/>
              <w:spacing w:before="35"/>
              <w:ind w:left="72"/>
              <w:rPr>
                <w:rFonts w:ascii="Caladea" w:hAnsi="Caladea"/>
                <w:b/>
                <w:sz w:val="14"/>
              </w:rPr>
            </w:pPr>
            <w:r>
              <w:rPr>
                <w:rFonts w:ascii="Caladea" w:hAnsi="Caladea"/>
                <w:b/>
                <w:sz w:val="14"/>
              </w:rPr>
              <w:t>Lucro Atribuível aos Acionistas da Companhia</w:t>
            </w:r>
          </w:p>
        </w:tc>
        <w:tc>
          <w:tcPr>
            <w:tcW w:w="1734" w:type="dxa"/>
          </w:tcPr>
          <w:p>
            <w:pPr>
              <w:pStyle w:val="TableParagraph"/>
              <w:spacing w:before="35"/>
              <w:ind w:right="60"/>
              <w:jc w:val="right"/>
              <w:rPr>
                <w:rFonts w:ascii="Caladea"/>
                <w:b/>
                <w:sz w:val="14"/>
              </w:rPr>
            </w:pPr>
            <w:r>
              <w:rPr>
                <w:rFonts w:ascii="Caladea"/>
                <w:b/>
                <w:w w:val="95"/>
                <w:sz w:val="14"/>
              </w:rPr>
              <w:t>119.045</w:t>
            </w:r>
          </w:p>
        </w:tc>
        <w:tc>
          <w:tcPr>
            <w:tcW w:w="1736" w:type="dxa"/>
          </w:tcPr>
          <w:p>
            <w:pPr>
              <w:pStyle w:val="TableParagraph"/>
              <w:spacing w:before="35"/>
              <w:ind w:right="61"/>
              <w:jc w:val="right"/>
              <w:rPr>
                <w:rFonts w:ascii="Caladea"/>
                <w:b/>
                <w:sz w:val="14"/>
              </w:rPr>
            </w:pPr>
            <w:r>
              <w:rPr>
                <w:rFonts w:ascii="Caladea"/>
                <w:b/>
                <w:sz w:val="14"/>
              </w:rPr>
              <w:t>89.972</w:t>
            </w:r>
          </w:p>
        </w:tc>
      </w:tr>
      <w:tr>
        <w:trPr>
          <w:trHeight w:val="239" w:hRule="atLeast"/>
        </w:trPr>
        <w:tc>
          <w:tcPr>
            <w:tcW w:w="6532" w:type="dxa"/>
          </w:tcPr>
          <w:p>
            <w:pPr>
              <w:pStyle w:val="TableParagraph"/>
              <w:rPr>
                <w:rFonts w:ascii="Times New Roman"/>
                <w:sz w:val="16"/>
              </w:rPr>
            </w:pPr>
          </w:p>
        </w:tc>
        <w:tc>
          <w:tcPr>
            <w:tcW w:w="1734" w:type="dxa"/>
          </w:tcPr>
          <w:p>
            <w:pPr>
              <w:pStyle w:val="TableParagraph"/>
              <w:rPr>
                <w:rFonts w:ascii="Times New Roman"/>
                <w:sz w:val="16"/>
              </w:rPr>
            </w:pPr>
          </w:p>
        </w:tc>
        <w:tc>
          <w:tcPr>
            <w:tcW w:w="1736" w:type="dxa"/>
          </w:tcPr>
          <w:p>
            <w:pPr>
              <w:pStyle w:val="TableParagraph"/>
              <w:rPr>
                <w:rFonts w:ascii="Times New Roman"/>
                <w:sz w:val="16"/>
              </w:rPr>
            </w:pPr>
          </w:p>
        </w:tc>
      </w:tr>
      <w:tr>
        <w:trPr>
          <w:trHeight w:val="239" w:hRule="atLeast"/>
        </w:trPr>
        <w:tc>
          <w:tcPr>
            <w:tcW w:w="6532" w:type="dxa"/>
          </w:tcPr>
          <w:p>
            <w:pPr>
              <w:pStyle w:val="TableParagraph"/>
              <w:spacing w:before="38"/>
              <w:ind w:left="72"/>
              <w:rPr>
                <w:sz w:val="14"/>
              </w:rPr>
            </w:pPr>
            <w:r>
              <w:rPr>
                <w:w w:val="105"/>
                <w:sz w:val="14"/>
              </w:rPr>
              <w:t>Lucro Alocado às Ações Ordinárias – Básicas e Diluídas</w:t>
            </w:r>
          </w:p>
        </w:tc>
        <w:tc>
          <w:tcPr>
            <w:tcW w:w="1734" w:type="dxa"/>
          </w:tcPr>
          <w:p>
            <w:pPr>
              <w:pStyle w:val="TableParagraph"/>
              <w:spacing w:before="38"/>
              <w:ind w:right="58"/>
              <w:jc w:val="right"/>
              <w:rPr>
                <w:sz w:val="14"/>
              </w:rPr>
            </w:pPr>
            <w:r>
              <w:rPr>
                <w:w w:val="95"/>
                <w:sz w:val="14"/>
              </w:rPr>
              <w:t>56.490</w:t>
            </w:r>
          </w:p>
        </w:tc>
        <w:tc>
          <w:tcPr>
            <w:tcW w:w="1736" w:type="dxa"/>
          </w:tcPr>
          <w:p>
            <w:pPr>
              <w:pStyle w:val="TableParagraph"/>
              <w:spacing w:before="38"/>
              <w:ind w:right="58"/>
              <w:jc w:val="right"/>
              <w:rPr>
                <w:sz w:val="14"/>
              </w:rPr>
            </w:pPr>
            <w:r>
              <w:rPr>
                <w:w w:val="95"/>
                <w:sz w:val="14"/>
              </w:rPr>
              <w:t>42.694</w:t>
            </w:r>
          </w:p>
        </w:tc>
      </w:tr>
      <w:tr>
        <w:trPr>
          <w:trHeight w:val="239" w:hRule="atLeast"/>
        </w:trPr>
        <w:tc>
          <w:tcPr>
            <w:tcW w:w="6532" w:type="dxa"/>
          </w:tcPr>
          <w:p>
            <w:pPr>
              <w:pStyle w:val="TableParagraph"/>
              <w:spacing w:before="38"/>
              <w:ind w:left="72"/>
              <w:rPr>
                <w:sz w:val="14"/>
              </w:rPr>
            </w:pPr>
            <w:r>
              <w:rPr>
                <w:sz w:val="14"/>
              </w:rPr>
              <w:t>Lucro Alocado às Ações Preferenciais </w:t>
            </w:r>
            <w:r>
              <w:rPr>
                <w:w w:val="105"/>
                <w:sz w:val="14"/>
              </w:rPr>
              <w:t>– </w:t>
            </w:r>
            <w:r>
              <w:rPr>
                <w:sz w:val="14"/>
              </w:rPr>
              <w:t>Básicas e Diluídas</w:t>
            </w:r>
          </w:p>
        </w:tc>
        <w:tc>
          <w:tcPr>
            <w:tcW w:w="1734" w:type="dxa"/>
          </w:tcPr>
          <w:p>
            <w:pPr>
              <w:pStyle w:val="TableParagraph"/>
              <w:spacing w:before="38"/>
              <w:ind w:right="58"/>
              <w:jc w:val="right"/>
              <w:rPr>
                <w:sz w:val="14"/>
              </w:rPr>
            </w:pPr>
            <w:r>
              <w:rPr>
                <w:w w:val="95"/>
                <w:sz w:val="14"/>
              </w:rPr>
              <w:t>62.555</w:t>
            </w:r>
          </w:p>
        </w:tc>
        <w:tc>
          <w:tcPr>
            <w:tcW w:w="1736" w:type="dxa"/>
          </w:tcPr>
          <w:p>
            <w:pPr>
              <w:pStyle w:val="TableParagraph"/>
              <w:spacing w:before="38"/>
              <w:ind w:right="59"/>
              <w:jc w:val="right"/>
              <w:rPr>
                <w:sz w:val="14"/>
              </w:rPr>
            </w:pPr>
            <w:r>
              <w:rPr>
                <w:w w:val="95"/>
                <w:sz w:val="14"/>
              </w:rPr>
              <w:t>47.278</w:t>
            </w:r>
          </w:p>
        </w:tc>
      </w:tr>
      <w:tr>
        <w:trPr>
          <w:trHeight w:val="237" w:hRule="atLeast"/>
        </w:trPr>
        <w:tc>
          <w:tcPr>
            <w:tcW w:w="6532" w:type="dxa"/>
          </w:tcPr>
          <w:p>
            <w:pPr>
              <w:pStyle w:val="TableParagraph"/>
              <w:rPr>
                <w:rFonts w:ascii="Times New Roman"/>
                <w:sz w:val="16"/>
              </w:rPr>
            </w:pPr>
          </w:p>
        </w:tc>
        <w:tc>
          <w:tcPr>
            <w:tcW w:w="1734" w:type="dxa"/>
          </w:tcPr>
          <w:p>
            <w:pPr>
              <w:pStyle w:val="TableParagraph"/>
              <w:rPr>
                <w:rFonts w:ascii="Times New Roman"/>
                <w:sz w:val="16"/>
              </w:rPr>
            </w:pPr>
          </w:p>
        </w:tc>
        <w:tc>
          <w:tcPr>
            <w:tcW w:w="1736" w:type="dxa"/>
          </w:tcPr>
          <w:p>
            <w:pPr>
              <w:pStyle w:val="TableParagraph"/>
              <w:rPr>
                <w:rFonts w:ascii="Times New Roman"/>
                <w:sz w:val="16"/>
              </w:rPr>
            </w:pPr>
          </w:p>
        </w:tc>
      </w:tr>
      <w:tr>
        <w:trPr>
          <w:trHeight w:val="239" w:hRule="atLeast"/>
        </w:trPr>
        <w:tc>
          <w:tcPr>
            <w:tcW w:w="6532" w:type="dxa"/>
          </w:tcPr>
          <w:p>
            <w:pPr>
              <w:pStyle w:val="TableParagraph"/>
              <w:spacing w:before="37"/>
              <w:ind w:left="103"/>
              <w:rPr>
                <w:rFonts w:ascii="Caladea" w:hAnsi="Caladea"/>
                <w:b/>
                <w:sz w:val="14"/>
              </w:rPr>
            </w:pPr>
            <w:r>
              <w:rPr>
                <w:rFonts w:ascii="Caladea" w:hAnsi="Caladea"/>
                <w:b/>
                <w:sz w:val="14"/>
              </w:rPr>
              <w:t>Média Ponderada das Ações em Circulação</w:t>
            </w:r>
          </w:p>
        </w:tc>
        <w:tc>
          <w:tcPr>
            <w:tcW w:w="1734" w:type="dxa"/>
          </w:tcPr>
          <w:p>
            <w:pPr>
              <w:pStyle w:val="TableParagraph"/>
              <w:rPr>
                <w:rFonts w:ascii="Times New Roman"/>
                <w:sz w:val="16"/>
              </w:rPr>
            </w:pPr>
          </w:p>
        </w:tc>
        <w:tc>
          <w:tcPr>
            <w:tcW w:w="1736" w:type="dxa"/>
          </w:tcPr>
          <w:p>
            <w:pPr>
              <w:pStyle w:val="TableParagraph"/>
              <w:rPr>
                <w:rFonts w:ascii="Times New Roman"/>
                <w:sz w:val="16"/>
              </w:rPr>
            </w:pPr>
          </w:p>
        </w:tc>
      </w:tr>
      <w:tr>
        <w:trPr>
          <w:trHeight w:val="239" w:hRule="atLeast"/>
        </w:trPr>
        <w:tc>
          <w:tcPr>
            <w:tcW w:w="6532" w:type="dxa"/>
          </w:tcPr>
          <w:p>
            <w:pPr>
              <w:pStyle w:val="TableParagraph"/>
              <w:spacing w:before="38"/>
              <w:ind w:left="103"/>
              <w:rPr>
                <w:sz w:val="14"/>
              </w:rPr>
            </w:pPr>
            <w:r>
              <w:rPr>
                <w:w w:val="105"/>
                <w:sz w:val="14"/>
              </w:rPr>
              <w:t>Ações Ordinárias – Básicas e Diluídas</w:t>
            </w:r>
          </w:p>
        </w:tc>
        <w:tc>
          <w:tcPr>
            <w:tcW w:w="1734" w:type="dxa"/>
          </w:tcPr>
          <w:p>
            <w:pPr>
              <w:pStyle w:val="TableParagraph"/>
              <w:spacing w:before="38"/>
              <w:ind w:right="60"/>
              <w:jc w:val="right"/>
              <w:rPr>
                <w:sz w:val="14"/>
              </w:rPr>
            </w:pPr>
            <w:r>
              <w:rPr>
                <w:w w:val="95"/>
                <w:sz w:val="14"/>
              </w:rPr>
              <w:t>7.184</w:t>
            </w:r>
          </w:p>
        </w:tc>
        <w:tc>
          <w:tcPr>
            <w:tcW w:w="1736" w:type="dxa"/>
          </w:tcPr>
          <w:p>
            <w:pPr>
              <w:pStyle w:val="TableParagraph"/>
              <w:spacing w:before="38"/>
              <w:ind w:right="61"/>
              <w:jc w:val="right"/>
              <w:rPr>
                <w:sz w:val="14"/>
              </w:rPr>
            </w:pPr>
            <w:r>
              <w:rPr>
                <w:w w:val="95"/>
                <w:sz w:val="14"/>
              </w:rPr>
              <w:t>7.184</w:t>
            </w:r>
          </w:p>
        </w:tc>
      </w:tr>
      <w:tr>
        <w:trPr>
          <w:trHeight w:val="240" w:hRule="atLeast"/>
        </w:trPr>
        <w:tc>
          <w:tcPr>
            <w:tcW w:w="6532" w:type="dxa"/>
          </w:tcPr>
          <w:p>
            <w:pPr>
              <w:pStyle w:val="TableParagraph"/>
              <w:spacing w:before="39"/>
              <w:ind w:left="103"/>
              <w:rPr>
                <w:sz w:val="14"/>
              </w:rPr>
            </w:pPr>
            <w:r>
              <w:rPr>
                <w:w w:val="105"/>
                <w:sz w:val="14"/>
              </w:rPr>
              <w:t>Ações Preferenciais – Básicas e Diluídas</w:t>
            </w:r>
          </w:p>
        </w:tc>
        <w:tc>
          <w:tcPr>
            <w:tcW w:w="1734" w:type="dxa"/>
          </w:tcPr>
          <w:p>
            <w:pPr>
              <w:pStyle w:val="TableParagraph"/>
              <w:spacing w:before="39"/>
              <w:ind w:right="60"/>
              <w:jc w:val="right"/>
              <w:rPr>
                <w:sz w:val="14"/>
              </w:rPr>
            </w:pPr>
            <w:r>
              <w:rPr>
                <w:w w:val="95"/>
                <w:sz w:val="14"/>
              </w:rPr>
              <w:t>7.232</w:t>
            </w:r>
          </w:p>
        </w:tc>
        <w:tc>
          <w:tcPr>
            <w:tcW w:w="1736" w:type="dxa"/>
          </w:tcPr>
          <w:p>
            <w:pPr>
              <w:pStyle w:val="TableParagraph"/>
              <w:spacing w:before="39"/>
              <w:ind w:right="61"/>
              <w:jc w:val="right"/>
              <w:rPr>
                <w:sz w:val="14"/>
              </w:rPr>
            </w:pPr>
            <w:r>
              <w:rPr>
                <w:w w:val="95"/>
                <w:sz w:val="14"/>
              </w:rPr>
              <w:t>7.232</w:t>
            </w:r>
          </w:p>
        </w:tc>
      </w:tr>
      <w:tr>
        <w:trPr>
          <w:trHeight w:val="237" w:hRule="atLeast"/>
        </w:trPr>
        <w:tc>
          <w:tcPr>
            <w:tcW w:w="6532" w:type="dxa"/>
          </w:tcPr>
          <w:p>
            <w:pPr>
              <w:pStyle w:val="TableParagraph"/>
              <w:rPr>
                <w:rFonts w:ascii="Times New Roman"/>
                <w:sz w:val="16"/>
              </w:rPr>
            </w:pPr>
          </w:p>
        </w:tc>
        <w:tc>
          <w:tcPr>
            <w:tcW w:w="1734" w:type="dxa"/>
          </w:tcPr>
          <w:p>
            <w:pPr>
              <w:pStyle w:val="TableParagraph"/>
              <w:rPr>
                <w:rFonts w:ascii="Times New Roman"/>
                <w:sz w:val="16"/>
              </w:rPr>
            </w:pPr>
          </w:p>
        </w:tc>
        <w:tc>
          <w:tcPr>
            <w:tcW w:w="1736" w:type="dxa"/>
          </w:tcPr>
          <w:p>
            <w:pPr>
              <w:pStyle w:val="TableParagraph"/>
              <w:rPr>
                <w:rFonts w:ascii="Times New Roman"/>
                <w:sz w:val="16"/>
              </w:rPr>
            </w:pPr>
          </w:p>
        </w:tc>
      </w:tr>
      <w:tr>
        <w:trPr>
          <w:trHeight w:val="191" w:hRule="atLeast"/>
        </w:trPr>
        <w:tc>
          <w:tcPr>
            <w:tcW w:w="6532" w:type="dxa"/>
          </w:tcPr>
          <w:p>
            <w:pPr>
              <w:pStyle w:val="TableParagraph"/>
              <w:spacing w:line="158" w:lineRule="exact" w:before="13"/>
              <w:ind w:left="72"/>
              <w:rPr>
                <w:rFonts w:ascii="Caladea" w:hAnsi="Caladea"/>
                <w:b/>
                <w:sz w:val="14"/>
              </w:rPr>
            </w:pPr>
            <w:r>
              <w:rPr>
                <w:rFonts w:ascii="Caladea" w:hAnsi="Caladea"/>
                <w:b/>
                <w:w w:val="105"/>
                <w:sz w:val="14"/>
              </w:rPr>
              <w:t>Lucro por Ação </w:t>
            </w:r>
            <w:r>
              <w:rPr>
                <w:b/>
                <w:w w:val="105"/>
                <w:sz w:val="14"/>
              </w:rPr>
              <w:t>– </w:t>
            </w:r>
            <w:r>
              <w:rPr>
                <w:rFonts w:ascii="Caladea" w:hAnsi="Caladea"/>
                <w:b/>
                <w:w w:val="105"/>
                <w:sz w:val="14"/>
              </w:rPr>
              <w:t>R$</w:t>
            </w:r>
          </w:p>
        </w:tc>
        <w:tc>
          <w:tcPr>
            <w:tcW w:w="1734" w:type="dxa"/>
          </w:tcPr>
          <w:p>
            <w:pPr>
              <w:pStyle w:val="TableParagraph"/>
              <w:rPr>
                <w:rFonts w:ascii="Times New Roman"/>
                <w:sz w:val="12"/>
              </w:rPr>
            </w:pPr>
          </w:p>
        </w:tc>
        <w:tc>
          <w:tcPr>
            <w:tcW w:w="1736" w:type="dxa"/>
          </w:tcPr>
          <w:p>
            <w:pPr>
              <w:pStyle w:val="TableParagraph"/>
              <w:rPr>
                <w:rFonts w:ascii="Times New Roman"/>
                <w:sz w:val="12"/>
              </w:rPr>
            </w:pPr>
          </w:p>
        </w:tc>
      </w:tr>
      <w:tr>
        <w:trPr>
          <w:trHeight w:val="239" w:hRule="atLeast"/>
        </w:trPr>
        <w:tc>
          <w:tcPr>
            <w:tcW w:w="6532" w:type="dxa"/>
          </w:tcPr>
          <w:p>
            <w:pPr>
              <w:pStyle w:val="TableParagraph"/>
              <w:spacing w:before="38"/>
              <w:ind w:left="103"/>
              <w:rPr>
                <w:sz w:val="14"/>
              </w:rPr>
            </w:pPr>
            <w:r>
              <w:rPr>
                <w:w w:val="105"/>
                <w:sz w:val="14"/>
              </w:rPr>
              <w:t>Ações Ordinárias – Básicas e Diluídas</w:t>
            </w:r>
          </w:p>
        </w:tc>
        <w:tc>
          <w:tcPr>
            <w:tcW w:w="1734" w:type="dxa"/>
          </w:tcPr>
          <w:p>
            <w:pPr>
              <w:pStyle w:val="TableParagraph"/>
              <w:spacing w:before="38"/>
              <w:ind w:right="62"/>
              <w:jc w:val="right"/>
              <w:rPr>
                <w:sz w:val="14"/>
              </w:rPr>
            </w:pPr>
            <w:r>
              <w:rPr>
                <w:w w:val="95"/>
                <w:sz w:val="14"/>
              </w:rPr>
              <w:t>7,8634</w:t>
            </w:r>
          </w:p>
        </w:tc>
        <w:tc>
          <w:tcPr>
            <w:tcW w:w="1736" w:type="dxa"/>
          </w:tcPr>
          <w:p>
            <w:pPr>
              <w:pStyle w:val="TableParagraph"/>
              <w:spacing w:before="38"/>
              <w:ind w:right="58"/>
              <w:jc w:val="right"/>
              <w:rPr>
                <w:sz w:val="14"/>
              </w:rPr>
            </w:pPr>
            <w:r>
              <w:rPr>
                <w:sz w:val="14"/>
              </w:rPr>
              <w:t>5,9430</w:t>
            </w:r>
          </w:p>
        </w:tc>
      </w:tr>
      <w:tr>
        <w:trPr>
          <w:trHeight w:val="239" w:hRule="atLeast"/>
        </w:trPr>
        <w:tc>
          <w:tcPr>
            <w:tcW w:w="6532" w:type="dxa"/>
          </w:tcPr>
          <w:p>
            <w:pPr>
              <w:pStyle w:val="TableParagraph"/>
              <w:spacing w:before="38"/>
              <w:ind w:left="103"/>
              <w:rPr>
                <w:sz w:val="14"/>
              </w:rPr>
            </w:pPr>
            <w:r>
              <w:rPr>
                <w:w w:val="105"/>
                <w:sz w:val="14"/>
              </w:rPr>
              <w:t>Ações Preferenciais – Básicas e Diluídas</w:t>
            </w:r>
          </w:p>
        </w:tc>
        <w:tc>
          <w:tcPr>
            <w:tcW w:w="1734" w:type="dxa"/>
          </w:tcPr>
          <w:p>
            <w:pPr>
              <w:pStyle w:val="TableParagraph"/>
              <w:spacing w:before="38"/>
              <w:ind w:right="58"/>
              <w:jc w:val="right"/>
              <w:rPr>
                <w:sz w:val="14"/>
              </w:rPr>
            </w:pPr>
            <w:r>
              <w:rPr>
                <w:w w:val="95"/>
                <w:sz w:val="14"/>
              </w:rPr>
              <w:t>8,6497</w:t>
            </w:r>
          </w:p>
        </w:tc>
        <w:tc>
          <w:tcPr>
            <w:tcW w:w="1736" w:type="dxa"/>
          </w:tcPr>
          <w:p>
            <w:pPr>
              <w:pStyle w:val="TableParagraph"/>
              <w:spacing w:before="38"/>
              <w:ind w:right="58"/>
              <w:jc w:val="right"/>
              <w:rPr>
                <w:sz w:val="14"/>
              </w:rPr>
            </w:pPr>
            <w:r>
              <w:rPr>
                <w:sz w:val="14"/>
              </w:rPr>
              <w:t>6,5373</w:t>
            </w:r>
          </w:p>
        </w:tc>
      </w:tr>
    </w:tbl>
    <w:p>
      <w:pPr>
        <w:pStyle w:val="BodyText"/>
        <w:spacing w:before="7"/>
      </w:pPr>
    </w:p>
    <w:p>
      <w:pPr>
        <w:pStyle w:val="Heading3"/>
        <w:numPr>
          <w:ilvl w:val="0"/>
          <w:numId w:val="6"/>
        </w:numPr>
        <w:tabs>
          <w:tab w:pos="953" w:val="left" w:leader="none"/>
          <w:tab w:pos="954" w:val="left" w:leader="none"/>
        </w:tabs>
        <w:spacing w:line="240" w:lineRule="auto" w:before="0" w:after="0"/>
        <w:ind w:left="953" w:right="0" w:hanging="782"/>
        <w:jc w:val="left"/>
      </w:pPr>
      <w:r>
        <w:rPr/>
        <w:t>TRANSAÇÕES COM PARTES</w:t>
      </w:r>
      <w:r>
        <w:rPr>
          <w:spacing w:val="-2"/>
        </w:rPr>
        <w:t> </w:t>
      </w:r>
      <w:r>
        <w:rPr/>
        <w:t>RELACIONADAS</w:t>
      </w:r>
    </w:p>
    <w:p>
      <w:pPr>
        <w:pStyle w:val="ListParagraph"/>
        <w:numPr>
          <w:ilvl w:val="1"/>
          <w:numId w:val="6"/>
        </w:numPr>
        <w:tabs>
          <w:tab w:pos="1025" w:val="left" w:leader="none"/>
          <w:tab w:pos="1026" w:val="left" w:leader="none"/>
        </w:tabs>
        <w:spacing w:line="240" w:lineRule="auto" w:before="242" w:after="0"/>
        <w:ind w:left="1025" w:right="0" w:hanging="854"/>
        <w:jc w:val="left"/>
        <w:rPr>
          <w:rFonts w:ascii="Caladea"/>
          <w:b/>
          <w:sz w:val="18"/>
        </w:rPr>
      </w:pPr>
      <w:r>
        <w:rPr>
          <w:rFonts w:ascii="Caladea"/>
          <w:b/>
          <w:sz w:val="22"/>
        </w:rPr>
        <w:t>C</w:t>
      </w:r>
      <w:r>
        <w:rPr>
          <w:rFonts w:ascii="Caladea"/>
          <w:b/>
          <w:sz w:val="18"/>
        </w:rPr>
        <w:t>ONTROLADORA</w:t>
      </w:r>
      <w:r>
        <w:rPr>
          <w:rFonts w:ascii="Caladea"/>
          <w:b/>
          <w:spacing w:val="-2"/>
          <w:sz w:val="18"/>
        </w:rPr>
        <w:t> </w:t>
      </w:r>
      <w:r>
        <w:rPr>
          <w:rFonts w:ascii="Caladea"/>
          <w:b/>
          <w:sz w:val="22"/>
        </w:rPr>
        <w:t>F</w:t>
      </w:r>
      <w:r>
        <w:rPr>
          <w:rFonts w:ascii="Caladea"/>
          <w:b/>
          <w:sz w:val="18"/>
        </w:rPr>
        <w:t>INAL</w:t>
      </w:r>
    </w:p>
    <w:p>
      <w:pPr>
        <w:pStyle w:val="BodyText"/>
        <w:rPr>
          <w:rFonts w:ascii="Caladea"/>
          <w:b/>
          <w:sz w:val="24"/>
        </w:rPr>
      </w:pPr>
    </w:p>
    <w:p>
      <w:pPr>
        <w:pStyle w:val="BodyText"/>
        <w:spacing w:before="1"/>
        <w:ind w:left="172"/>
        <w:jc w:val="both"/>
      </w:pPr>
      <w:r>
        <w:rPr/>
        <w:t>A Companhia é controlada pelo Governo do Distrito Federal </w:t>
      </w:r>
      <w:r>
        <w:rPr>
          <w:w w:val="105"/>
        </w:rPr>
        <w:t>– </w:t>
      </w:r>
      <w:r>
        <w:rPr/>
        <w:t>GDF.</w:t>
      </w:r>
    </w:p>
    <w:p>
      <w:pPr>
        <w:spacing w:after="0"/>
        <w:jc w:val="both"/>
        <w:sectPr>
          <w:pgSz w:w="11910" w:h="16850"/>
          <w:pgMar w:header="792" w:footer="1029"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R</w:t>
      </w:r>
      <w:r>
        <w:rPr>
          <w:rFonts w:ascii="Caladea" w:hAnsi="Caladea"/>
          <w:b/>
          <w:sz w:val="18"/>
        </w:rPr>
        <w:t>EMUNERAÇÃO DO </w:t>
      </w:r>
      <w:r>
        <w:rPr>
          <w:rFonts w:ascii="Caladea" w:hAnsi="Caladea"/>
          <w:b/>
          <w:sz w:val="22"/>
        </w:rPr>
        <w:t>P</w:t>
      </w:r>
      <w:r>
        <w:rPr>
          <w:rFonts w:ascii="Caladea" w:hAnsi="Caladea"/>
          <w:b/>
          <w:sz w:val="18"/>
        </w:rPr>
        <w:t>ESSOAL</w:t>
      </w:r>
      <w:r>
        <w:rPr>
          <w:rFonts w:ascii="Caladea" w:hAnsi="Caladea"/>
          <w:b/>
          <w:sz w:val="22"/>
        </w:rPr>
        <w:t>-C</w:t>
      </w:r>
      <w:r>
        <w:rPr>
          <w:rFonts w:ascii="Caladea" w:hAnsi="Caladea"/>
          <w:b/>
          <w:sz w:val="18"/>
        </w:rPr>
        <w:t>HAVE DA </w:t>
      </w:r>
      <w:r>
        <w:rPr>
          <w:rFonts w:ascii="Caladea" w:hAnsi="Caladea"/>
          <w:b/>
          <w:sz w:val="22"/>
        </w:rPr>
        <w:t>A</w:t>
      </w:r>
      <w:r>
        <w:rPr>
          <w:rFonts w:ascii="Caladea" w:hAnsi="Caladea"/>
          <w:b/>
          <w:sz w:val="18"/>
        </w:rPr>
        <w:t>DMINISTRAÇÃO</w:t>
      </w:r>
    </w:p>
    <w:p>
      <w:pPr>
        <w:pStyle w:val="BodyText"/>
        <w:spacing w:before="1"/>
        <w:rPr>
          <w:rFonts w:ascii="Caladea"/>
          <w:b/>
          <w:sz w:val="24"/>
        </w:rPr>
      </w:pPr>
    </w:p>
    <w:p>
      <w:pPr>
        <w:pStyle w:val="BodyText"/>
        <w:spacing w:line="242" w:lineRule="auto"/>
        <w:ind w:left="172" w:right="409"/>
        <w:jc w:val="both"/>
      </w:pPr>
      <w:r>
        <w:rPr/>
        <w:t>O Grupo não possui transações de empréstimos ou outras transações com diretores/conselheiros ou familiares imediatos.</w:t>
      </w:r>
    </w:p>
    <w:p>
      <w:pPr>
        <w:pStyle w:val="BodyText"/>
        <w:spacing w:line="242" w:lineRule="auto" w:before="119"/>
        <w:ind w:left="172" w:right="348"/>
        <w:jc w:val="both"/>
      </w:pPr>
      <w:r>
        <w:rPr/>
        <w:t>As remunerações dos administradores, responsáveis pelo planejamento, direção e controle das atividades da Companhia</w:t>
      </w:r>
      <w:r>
        <w:rPr>
          <w:spacing w:val="-42"/>
        </w:rPr>
        <w:t> </w:t>
      </w:r>
      <w:r>
        <w:rPr/>
        <w:t>e</w:t>
      </w:r>
      <w:r>
        <w:rPr>
          <w:spacing w:val="-42"/>
        </w:rPr>
        <w:t> </w:t>
      </w:r>
      <w:r>
        <w:rPr/>
        <w:t>de</w:t>
      </w:r>
      <w:r>
        <w:rPr>
          <w:spacing w:val="-44"/>
        </w:rPr>
        <w:t> </w:t>
      </w:r>
      <w:r>
        <w:rPr/>
        <w:t>suas</w:t>
      </w:r>
      <w:r>
        <w:rPr>
          <w:spacing w:val="-43"/>
        </w:rPr>
        <w:t> </w:t>
      </w:r>
      <w:r>
        <w:rPr/>
        <w:t>controladas,</w:t>
      </w:r>
      <w:r>
        <w:rPr>
          <w:spacing w:val="-43"/>
        </w:rPr>
        <w:t> </w:t>
      </w:r>
      <w:r>
        <w:rPr/>
        <w:t>que</w:t>
      </w:r>
      <w:r>
        <w:rPr>
          <w:spacing w:val="-42"/>
        </w:rPr>
        <w:t> </w:t>
      </w:r>
      <w:r>
        <w:rPr/>
        <w:t>incluem</w:t>
      </w:r>
      <w:r>
        <w:rPr>
          <w:spacing w:val="-42"/>
        </w:rPr>
        <w:t> </w:t>
      </w:r>
      <w:r>
        <w:rPr/>
        <w:t>os</w:t>
      </w:r>
      <w:r>
        <w:rPr>
          <w:spacing w:val="-41"/>
        </w:rPr>
        <w:t> </w:t>
      </w:r>
      <w:r>
        <w:rPr/>
        <w:t>membros</w:t>
      </w:r>
      <w:r>
        <w:rPr>
          <w:spacing w:val="-43"/>
        </w:rPr>
        <w:t> </w:t>
      </w:r>
      <w:r>
        <w:rPr/>
        <w:t>do</w:t>
      </w:r>
      <w:r>
        <w:rPr>
          <w:spacing w:val="-42"/>
        </w:rPr>
        <w:t> </w:t>
      </w:r>
      <w:r>
        <w:rPr/>
        <w:t>Conselho</w:t>
      </w:r>
      <w:r>
        <w:rPr>
          <w:spacing w:val="-42"/>
        </w:rPr>
        <w:t> </w:t>
      </w:r>
      <w:r>
        <w:rPr/>
        <w:t>de</w:t>
      </w:r>
      <w:r>
        <w:rPr>
          <w:spacing w:val="-43"/>
        </w:rPr>
        <w:t> </w:t>
      </w:r>
      <w:r>
        <w:rPr/>
        <w:t>Administração,</w:t>
      </w:r>
      <w:r>
        <w:rPr>
          <w:spacing w:val="-43"/>
        </w:rPr>
        <w:t> </w:t>
      </w:r>
      <w:r>
        <w:rPr/>
        <w:t>Conselho</w:t>
      </w:r>
      <w:r>
        <w:rPr>
          <w:spacing w:val="-42"/>
        </w:rPr>
        <w:t> </w:t>
      </w:r>
      <w:r>
        <w:rPr/>
        <w:t>Fiscal,</w:t>
      </w:r>
      <w:r>
        <w:rPr>
          <w:spacing w:val="-42"/>
        </w:rPr>
        <w:t> </w:t>
      </w:r>
      <w:r>
        <w:rPr/>
        <w:t>Comitê</w:t>
      </w:r>
      <w:r>
        <w:rPr>
          <w:spacing w:val="-43"/>
        </w:rPr>
        <w:t> </w:t>
      </w:r>
      <w:r>
        <w:rPr/>
        <w:t>de Auditoria</w:t>
      </w:r>
      <w:r>
        <w:rPr>
          <w:spacing w:val="-17"/>
        </w:rPr>
        <w:t> </w:t>
      </w:r>
      <w:r>
        <w:rPr/>
        <w:t>e</w:t>
      </w:r>
      <w:r>
        <w:rPr>
          <w:spacing w:val="-18"/>
        </w:rPr>
        <w:t> </w:t>
      </w:r>
      <w:r>
        <w:rPr/>
        <w:t>diretores</w:t>
      </w:r>
      <w:r>
        <w:rPr>
          <w:spacing w:val="-17"/>
        </w:rPr>
        <w:t> </w:t>
      </w:r>
      <w:r>
        <w:rPr/>
        <w:t>estatutários,</w:t>
      </w:r>
      <w:r>
        <w:rPr>
          <w:spacing w:val="-19"/>
        </w:rPr>
        <w:t> </w:t>
      </w:r>
      <w:r>
        <w:rPr/>
        <w:t>estão</w:t>
      </w:r>
      <w:r>
        <w:rPr>
          <w:spacing w:val="-18"/>
        </w:rPr>
        <w:t> </w:t>
      </w:r>
      <w:r>
        <w:rPr/>
        <w:t>apresentadas</w:t>
      </w:r>
      <w:r>
        <w:rPr>
          <w:spacing w:val="-19"/>
        </w:rPr>
        <w:t> </w:t>
      </w:r>
      <w:r>
        <w:rPr/>
        <w:t>a</w:t>
      </w:r>
      <w:r>
        <w:rPr>
          <w:spacing w:val="-19"/>
        </w:rPr>
        <w:t> </w:t>
      </w:r>
      <w:r>
        <w:rPr/>
        <w:t>seguir:</w:t>
      </w:r>
    </w:p>
    <w:p>
      <w:pPr>
        <w:pStyle w:val="BodyText"/>
        <w:spacing w:before="11"/>
        <w:rPr>
          <w:sz w:val="9"/>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28"/>
        <w:gridCol w:w="1474"/>
        <w:gridCol w:w="1474"/>
        <w:gridCol w:w="1475"/>
        <w:gridCol w:w="1467"/>
      </w:tblGrid>
      <w:tr>
        <w:trPr>
          <w:trHeight w:val="239" w:hRule="atLeast"/>
        </w:trPr>
        <w:tc>
          <w:tcPr>
            <w:tcW w:w="4028" w:type="dxa"/>
            <w:vMerge w:val="restart"/>
            <w:shd w:val="clear" w:color="auto" w:fill="D9D9D9"/>
          </w:tcPr>
          <w:p>
            <w:pPr>
              <w:pStyle w:val="TableParagraph"/>
              <w:rPr>
                <w:rFonts w:ascii="Times New Roman"/>
                <w:sz w:val="16"/>
              </w:rPr>
            </w:pPr>
          </w:p>
        </w:tc>
        <w:tc>
          <w:tcPr>
            <w:tcW w:w="2948" w:type="dxa"/>
            <w:gridSpan w:val="2"/>
          </w:tcPr>
          <w:p>
            <w:pPr>
              <w:pStyle w:val="TableParagraph"/>
              <w:spacing w:before="37"/>
              <w:ind w:left="1022" w:right="1014"/>
              <w:jc w:val="center"/>
              <w:rPr>
                <w:rFonts w:ascii="Caladea"/>
                <w:b/>
                <w:sz w:val="14"/>
              </w:rPr>
            </w:pPr>
            <w:r>
              <w:rPr>
                <w:rFonts w:ascii="Caladea"/>
                <w:b/>
                <w:sz w:val="14"/>
              </w:rPr>
              <w:t>Controladora</w:t>
            </w:r>
          </w:p>
        </w:tc>
        <w:tc>
          <w:tcPr>
            <w:tcW w:w="2942" w:type="dxa"/>
            <w:gridSpan w:val="2"/>
          </w:tcPr>
          <w:p>
            <w:pPr>
              <w:pStyle w:val="TableParagraph"/>
              <w:spacing w:before="37"/>
              <w:ind w:left="1050" w:right="1043"/>
              <w:jc w:val="center"/>
              <w:rPr>
                <w:rFonts w:ascii="Caladea"/>
                <w:b/>
                <w:sz w:val="14"/>
              </w:rPr>
            </w:pPr>
            <w:r>
              <w:rPr>
                <w:rFonts w:ascii="Caladea"/>
                <w:b/>
                <w:sz w:val="14"/>
              </w:rPr>
              <w:t>Consolidado</w:t>
            </w:r>
          </w:p>
        </w:tc>
      </w:tr>
      <w:tr>
        <w:trPr>
          <w:trHeight w:val="395" w:hRule="atLeast"/>
        </w:trPr>
        <w:tc>
          <w:tcPr>
            <w:tcW w:w="4028" w:type="dxa"/>
            <w:vMerge/>
            <w:tcBorders>
              <w:top w:val="nil"/>
            </w:tcBorders>
            <w:shd w:val="clear" w:color="auto" w:fill="D9D9D9"/>
          </w:tcPr>
          <w:p>
            <w:pPr>
              <w:rPr>
                <w:sz w:val="2"/>
                <w:szCs w:val="2"/>
              </w:rPr>
            </w:pPr>
          </w:p>
        </w:tc>
        <w:tc>
          <w:tcPr>
            <w:tcW w:w="1474" w:type="dxa"/>
          </w:tcPr>
          <w:p>
            <w:pPr>
              <w:pStyle w:val="TableParagraph"/>
              <w:spacing w:before="114"/>
              <w:ind w:left="335"/>
              <w:rPr>
                <w:rFonts w:ascii="Caladea"/>
                <w:b/>
                <w:sz w:val="14"/>
              </w:rPr>
            </w:pPr>
            <w:r>
              <w:rPr>
                <w:rFonts w:ascii="Caladea"/>
                <w:b/>
                <w:sz w:val="14"/>
              </w:rPr>
              <w:t>31/12/2019</w:t>
            </w:r>
          </w:p>
        </w:tc>
        <w:tc>
          <w:tcPr>
            <w:tcW w:w="1474" w:type="dxa"/>
          </w:tcPr>
          <w:p>
            <w:pPr>
              <w:pStyle w:val="TableParagraph"/>
              <w:spacing w:before="114"/>
              <w:ind w:left="333"/>
              <w:rPr>
                <w:rFonts w:ascii="Caladea"/>
                <w:b/>
                <w:sz w:val="14"/>
              </w:rPr>
            </w:pPr>
            <w:r>
              <w:rPr>
                <w:rFonts w:ascii="Caladea"/>
                <w:b/>
                <w:sz w:val="14"/>
              </w:rPr>
              <w:t>31/12/2018</w:t>
            </w:r>
          </w:p>
        </w:tc>
        <w:tc>
          <w:tcPr>
            <w:tcW w:w="1475" w:type="dxa"/>
          </w:tcPr>
          <w:p>
            <w:pPr>
              <w:pStyle w:val="TableParagraph"/>
              <w:spacing w:before="114"/>
              <w:ind w:left="335"/>
              <w:rPr>
                <w:rFonts w:ascii="Caladea"/>
                <w:b/>
                <w:sz w:val="14"/>
              </w:rPr>
            </w:pPr>
            <w:r>
              <w:rPr>
                <w:rFonts w:ascii="Caladea"/>
                <w:b/>
                <w:sz w:val="14"/>
              </w:rPr>
              <w:t>31/12/2019</w:t>
            </w:r>
          </w:p>
        </w:tc>
        <w:tc>
          <w:tcPr>
            <w:tcW w:w="1467" w:type="dxa"/>
          </w:tcPr>
          <w:p>
            <w:pPr>
              <w:pStyle w:val="TableParagraph"/>
              <w:spacing w:before="114"/>
              <w:ind w:left="330"/>
              <w:rPr>
                <w:rFonts w:ascii="Caladea"/>
                <w:b/>
                <w:sz w:val="14"/>
              </w:rPr>
            </w:pPr>
            <w:r>
              <w:rPr>
                <w:rFonts w:ascii="Caladea"/>
                <w:b/>
                <w:sz w:val="14"/>
              </w:rPr>
              <w:t>31/12/2018</w:t>
            </w:r>
          </w:p>
        </w:tc>
      </w:tr>
      <w:tr>
        <w:trPr>
          <w:trHeight w:val="237" w:hRule="atLeast"/>
        </w:trPr>
        <w:tc>
          <w:tcPr>
            <w:tcW w:w="4028" w:type="dxa"/>
          </w:tcPr>
          <w:p>
            <w:pPr>
              <w:pStyle w:val="TableParagraph"/>
              <w:spacing w:before="38"/>
              <w:ind w:left="72"/>
              <w:rPr>
                <w:sz w:val="14"/>
              </w:rPr>
            </w:pPr>
            <w:r>
              <w:rPr>
                <w:sz w:val="14"/>
              </w:rPr>
              <w:t>Remuneração</w:t>
            </w:r>
          </w:p>
        </w:tc>
        <w:tc>
          <w:tcPr>
            <w:tcW w:w="1474" w:type="dxa"/>
          </w:tcPr>
          <w:p>
            <w:pPr>
              <w:pStyle w:val="TableParagraph"/>
              <w:spacing w:before="38"/>
              <w:ind w:right="60"/>
              <w:jc w:val="right"/>
              <w:rPr>
                <w:sz w:val="14"/>
              </w:rPr>
            </w:pPr>
            <w:r>
              <w:rPr>
                <w:w w:val="95"/>
                <w:sz w:val="14"/>
              </w:rPr>
              <w:t>4.015</w:t>
            </w:r>
          </w:p>
        </w:tc>
        <w:tc>
          <w:tcPr>
            <w:tcW w:w="1474" w:type="dxa"/>
          </w:tcPr>
          <w:p>
            <w:pPr>
              <w:pStyle w:val="TableParagraph"/>
              <w:spacing w:before="38"/>
              <w:ind w:right="60"/>
              <w:jc w:val="right"/>
              <w:rPr>
                <w:sz w:val="14"/>
              </w:rPr>
            </w:pPr>
            <w:r>
              <w:rPr>
                <w:w w:val="95"/>
                <w:sz w:val="14"/>
              </w:rPr>
              <w:t>2.952</w:t>
            </w:r>
          </w:p>
        </w:tc>
        <w:tc>
          <w:tcPr>
            <w:tcW w:w="1475" w:type="dxa"/>
          </w:tcPr>
          <w:p>
            <w:pPr>
              <w:pStyle w:val="TableParagraph"/>
              <w:spacing w:before="38"/>
              <w:ind w:right="60"/>
              <w:jc w:val="right"/>
              <w:rPr>
                <w:sz w:val="14"/>
              </w:rPr>
            </w:pPr>
            <w:r>
              <w:rPr>
                <w:w w:val="95"/>
                <w:sz w:val="14"/>
              </w:rPr>
              <w:t>10.605</w:t>
            </w:r>
          </w:p>
        </w:tc>
        <w:tc>
          <w:tcPr>
            <w:tcW w:w="1467" w:type="dxa"/>
          </w:tcPr>
          <w:p>
            <w:pPr>
              <w:pStyle w:val="TableParagraph"/>
              <w:spacing w:before="38"/>
              <w:ind w:right="61"/>
              <w:jc w:val="right"/>
              <w:rPr>
                <w:sz w:val="14"/>
              </w:rPr>
            </w:pPr>
            <w:r>
              <w:rPr>
                <w:w w:val="95"/>
                <w:sz w:val="14"/>
              </w:rPr>
              <w:t>8.698</w:t>
            </w:r>
          </w:p>
        </w:tc>
      </w:tr>
      <w:tr>
        <w:trPr>
          <w:trHeight w:val="239" w:hRule="atLeast"/>
        </w:trPr>
        <w:tc>
          <w:tcPr>
            <w:tcW w:w="4028" w:type="dxa"/>
          </w:tcPr>
          <w:p>
            <w:pPr>
              <w:pStyle w:val="TableParagraph"/>
              <w:spacing w:before="38"/>
              <w:ind w:left="72"/>
              <w:rPr>
                <w:sz w:val="14"/>
              </w:rPr>
            </w:pPr>
            <w:r>
              <w:rPr>
                <w:sz w:val="14"/>
              </w:rPr>
              <w:t>Demais Benefícios de Curto Prazo</w:t>
            </w:r>
          </w:p>
        </w:tc>
        <w:tc>
          <w:tcPr>
            <w:tcW w:w="1474" w:type="dxa"/>
          </w:tcPr>
          <w:p>
            <w:pPr>
              <w:pStyle w:val="TableParagraph"/>
              <w:spacing w:before="38"/>
              <w:ind w:right="61"/>
              <w:jc w:val="right"/>
              <w:rPr>
                <w:sz w:val="14"/>
              </w:rPr>
            </w:pPr>
            <w:r>
              <w:rPr>
                <w:sz w:val="14"/>
              </w:rPr>
              <w:t>98</w:t>
            </w:r>
          </w:p>
        </w:tc>
        <w:tc>
          <w:tcPr>
            <w:tcW w:w="1474" w:type="dxa"/>
          </w:tcPr>
          <w:p>
            <w:pPr>
              <w:pStyle w:val="TableParagraph"/>
              <w:spacing w:before="38"/>
              <w:ind w:right="60"/>
              <w:jc w:val="right"/>
              <w:rPr>
                <w:sz w:val="14"/>
              </w:rPr>
            </w:pPr>
            <w:r>
              <w:rPr>
                <w:sz w:val="14"/>
              </w:rPr>
              <w:t>83</w:t>
            </w:r>
          </w:p>
        </w:tc>
        <w:tc>
          <w:tcPr>
            <w:tcW w:w="1475" w:type="dxa"/>
          </w:tcPr>
          <w:p>
            <w:pPr>
              <w:pStyle w:val="TableParagraph"/>
              <w:spacing w:before="38"/>
              <w:ind w:right="61"/>
              <w:jc w:val="right"/>
              <w:rPr>
                <w:sz w:val="14"/>
              </w:rPr>
            </w:pPr>
            <w:r>
              <w:rPr>
                <w:sz w:val="14"/>
              </w:rPr>
              <w:t>261</w:t>
            </w:r>
          </w:p>
        </w:tc>
        <w:tc>
          <w:tcPr>
            <w:tcW w:w="1467" w:type="dxa"/>
          </w:tcPr>
          <w:p>
            <w:pPr>
              <w:pStyle w:val="TableParagraph"/>
              <w:spacing w:before="38"/>
              <w:ind w:right="61"/>
              <w:jc w:val="right"/>
              <w:rPr>
                <w:sz w:val="14"/>
              </w:rPr>
            </w:pPr>
            <w:r>
              <w:rPr>
                <w:sz w:val="14"/>
              </w:rPr>
              <w:t>386</w:t>
            </w:r>
          </w:p>
        </w:tc>
      </w:tr>
      <w:tr>
        <w:trPr>
          <w:trHeight w:val="237" w:hRule="atLeast"/>
        </w:trPr>
        <w:tc>
          <w:tcPr>
            <w:tcW w:w="4028" w:type="dxa"/>
          </w:tcPr>
          <w:p>
            <w:pPr>
              <w:pStyle w:val="TableParagraph"/>
              <w:spacing w:before="35"/>
              <w:ind w:left="72"/>
              <w:rPr>
                <w:rFonts w:ascii="Caladea"/>
                <w:b/>
                <w:sz w:val="14"/>
              </w:rPr>
            </w:pPr>
            <w:r>
              <w:rPr>
                <w:rFonts w:ascii="Caladea"/>
                <w:b/>
                <w:sz w:val="14"/>
              </w:rPr>
              <w:t>Total</w:t>
            </w:r>
          </w:p>
        </w:tc>
        <w:tc>
          <w:tcPr>
            <w:tcW w:w="1474" w:type="dxa"/>
          </w:tcPr>
          <w:p>
            <w:pPr>
              <w:pStyle w:val="TableParagraph"/>
              <w:spacing w:before="35"/>
              <w:ind w:right="60"/>
              <w:jc w:val="right"/>
              <w:rPr>
                <w:rFonts w:ascii="Caladea"/>
                <w:b/>
                <w:sz w:val="14"/>
              </w:rPr>
            </w:pPr>
            <w:r>
              <w:rPr>
                <w:rFonts w:ascii="Caladea"/>
                <w:b/>
                <w:w w:val="95"/>
                <w:sz w:val="14"/>
              </w:rPr>
              <w:t>4.113</w:t>
            </w:r>
          </w:p>
        </w:tc>
        <w:tc>
          <w:tcPr>
            <w:tcW w:w="1474" w:type="dxa"/>
          </w:tcPr>
          <w:p>
            <w:pPr>
              <w:pStyle w:val="TableParagraph"/>
              <w:spacing w:before="35"/>
              <w:ind w:right="60"/>
              <w:jc w:val="right"/>
              <w:rPr>
                <w:rFonts w:ascii="Caladea"/>
                <w:b/>
                <w:sz w:val="14"/>
              </w:rPr>
            </w:pPr>
            <w:r>
              <w:rPr>
                <w:rFonts w:ascii="Caladea"/>
                <w:b/>
                <w:w w:val="95"/>
                <w:sz w:val="14"/>
              </w:rPr>
              <w:t>3.035</w:t>
            </w:r>
          </w:p>
        </w:tc>
        <w:tc>
          <w:tcPr>
            <w:tcW w:w="1475" w:type="dxa"/>
          </w:tcPr>
          <w:p>
            <w:pPr>
              <w:pStyle w:val="TableParagraph"/>
              <w:spacing w:before="35"/>
              <w:ind w:right="60"/>
              <w:jc w:val="right"/>
              <w:rPr>
                <w:rFonts w:ascii="Caladea"/>
                <w:b/>
                <w:sz w:val="14"/>
              </w:rPr>
            </w:pPr>
            <w:r>
              <w:rPr>
                <w:rFonts w:ascii="Caladea"/>
                <w:b/>
                <w:sz w:val="14"/>
              </w:rPr>
              <w:t>10.866</w:t>
            </w:r>
          </w:p>
        </w:tc>
        <w:tc>
          <w:tcPr>
            <w:tcW w:w="1467" w:type="dxa"/>
          </w:tcPr>
          <w:p>
            <w:pPr>
              <w:pStyle w:val="TableParagraph"/>
              <w:spacing w:before="35"/>
              <w:ind w:right="61"/>
              <w:jc w:val="right"/>
              <w:rPr>
                <w:rFonts w:ascii="Caladea"/>
                <w:b/>
                <w:sz w:val="14"/>
              </w:rPr>
            </w:pPr>
            <w:r>
              <w:rPr>
                <w:rFonts w:ascii="Caladea"/>
                <w:b/>
                <w:w w:val="95"/>
                <w:sz w:val="14"/>
              </w:rPr>
              <w:t>9.084</w:t>
            </w:r>
          </w:p>
        </w:tc>
      </w:tr>
    </w:tbl>
    <w:p>
      <w:pPr>
        <w:pStyle w:val="BodyText"/>
        <w:rPr>
          <w:sz w:val="21"/>
        </w:rPr>
      </w:pPr>
    </w:p>
    <w:p>
      <w:pPr>
        <w:pStyle w:val="BodyText"/>
        <w:spacing w:line="242" w:lineRule="auto"/>
        <w:ind w:left="172" w:right="408"/>
        <w:jc w:val="both"/>
      </w:pPr>
      <w:r>
        <w:rPr/>
        <w:t>O</w:t>
      </w:r>
      <w:r>
        <w:rPr>
          <w:spacing w:val="-28"/>
        </w:rPr>
        <w:t> </w:t>
      </w:r>
      <w:r>
        <w:rPr/>
        <w:t>Grupo</w:t>
      </w:r>
      <w:r>
        <w:rPr>
          <w:spacing w:val="-26"/>
        </w:rPr>
        <w:t> </w:t>
      </w:r>
      <w:r>
        <w:rPr/>
        <w:t>pratica</w:t>
      </w:r>
      <w:r>
        <w:rPr>
          <w:spacing w:val="-27"/>
        </w:rPr>
        <w:t> </w:t>
      </w:r>
      <w:r>
        <w:rPr/>
        <w:t>a</w:t>
      </w:r>
      <w:r>
        <w:rPr>
          <w:spacing w:val="-25"/>
        </w:rPr>
        <w:t> </w:t>
      </w:r>
      <w:r>
        <w:rPr/>
        <w:t>concessão</w:t>
      </w:r>
      <w:r>
        <w:rPr>
          <w:spacing w:val="-27"/>
        </w:rPr>
        <w:t> </w:t>
      </w:r>
      <w:r>
        <w:rPr/>
        <w:t>de</w:t>
      </w:r>
      <w:r>
        <w:rPr>
          <w:spacing w:val="-27"/>
        </w:rPr>
        <w:t> </w:t>
      </w:r>
      <w:r>
        <w:rPr/>
        <w:t>empréstimo</w:t>
      </w:r>
      <w:r>
        <w:rPr>
          <w:spacing w:val="-27"/>
        </w:rPr>
        <w:t> </w:t>
      </w:r>
      <w:r>
        <w:rPr/>
        <w:t>no</w:t>
      </w:r>
      <w:r>
        <w:rPr>
          <w:spacing w:val="-26"/>
        </w:rPr>
        <w:t> </w:t>
      </w:r>
      <w:r>
        <w:rPr/>
        <w:t>valor</w:t>
      </w:r>
      <w:r>
        <w:rPr>
          <w:spacing w:val="-27"/>
        </w:rPr>
        <w:t> </w:t>
      </w:r>
      <w:r>
        <w:rPr/>
        <w:t>de</w:t>
      </w:r>
      <w:r>
        <w:rPr>
          <w:spacing w:val="-28"/>
        </w:rPr>
        <w:t> </w:t>
      </w:r>
      <w:r>
        <w:rPr/>
        <w:t>uma</w:t>
      </w:r>
      <w:r>
        <w:rPr>
          <w:spacing w:val="-26"/>
        </w:rPr>
        <w:t> </w:t>
      </w:r>
      <w:r>
        <w:rPr/>
        <w:t>remuneração,</w:t>
      </w:r>
      <w:r>
        <w:rPr>
          <w:spacing w:val="-26"/>
        </w:rPr>
        <w:t> </w:t>
      </w:r>
      <w:r>
        <w:rPr/>
        <w:t>quando</w:t>
      </w:r>
      <w:r>
        <w:rPr>
          <w:spacing w:val="-28"/>
        </w:rPr>
        <w:t> </w:t>
      </w:r>
      <w:r>
        <w:rPr/>
        <w:t>solicitado,</w:t>
      </w:r>
      <w:r>
        <w:rPr>
          <w:spacing w:val="-25"/>
        </w:rPr>
        <w:t> </w:t>
      </w:r>
      <w:r>
        <w:rPr/>
        <w:t>em</w:t>
      </w:r>
      <w:r>
        <w:rPr>
          <w:spacing w:val="-26"/>
        </w:rPr>
        <w:t> </w:t>
      </w:r>
      <w:r>
        <w:rPr/>
        <w:t>razão</w:t>
      </w:r>
      <w:r>
        <w:rPr>
          <w:spacing w:val="-26"/>
        </w:rPr>
        <w:t> </w:t>
      </w:r>
      <w:r>
        <w:rPr/>
        <w:t>da</w:t>
      </w:r>
      <w:r>
        <w:rPr>
          <w:spacing w:val="-27"/>
        </w:rPr>
        <w:t> </w:t>
      </w:r>
      <w:r>
        <w:rPr/>
        <w:t>licença remunerada</w:t>
      </w:r>
      <w:r>
        <w:rPr>
          <w:spacing w:val="-39"/>
        </w:rPr>
        <w:t> </w:t>
      </w:r>
      <w:r>
        <w:rPr/>
        <w:t>anual</w:t>
      </w:r>
      <w:r>
        <w:rPr>
          <w:spacing w:val="-38"/>
        </w:rPr>
        <w:t> </w:t>
      </w:r>
      <w:r>
        <w:rPr/>
        <w:t>apenas</w:t>
      </w:r>
      <w:r>
        <w:rPr>
          <w:spacing w:val="-38"/>
        </w:rPr>
        <w:t> </w:t>
      </w:r>
      <w:r>
        <w:rPr/>
        <w:t>para</w:t>
      </w:r>
      <w:r>
        <w:rPr>
          <w:spacing w:val="-39"/>
        </w:rPr>
        <w:t> </w:t>
      </w:r>
      <w:r>
        <w:rPr/>
        <w:t>os</w:t>
      </w:r>
      <w:r>
        <w:rPr>
          <w:spacing w:val="-38"/>
        </w:rPr>
        <w:t> </w:t>
      </w:r>
      <w:r>
        <w:rPr/>
        <w:t>diretores,</w:t>
      </w:r>
      <w:r>
        <w:rPr>
          <w:spacing w:val="-39"/>
        </w:rPr>
        <w:t> </w:t>
      </w:r>
      <w:r>
        <w:rPr/>
        <w:t>não</w:t>
      </w:r>
      <w:r>
        <w:rPr>
          <w:spacing w:val="-38"/>
        </w:rPr>
        <w:t> </w:t>
      </w:r>
      <w:r>
        <w:rPr/>
        <w:t>incluindo</w:t>
      </w:r>
      <w:r>
        <w:rPr>
          <w:spacing w:val="-39"/>
        </w:rPr>
        <w:t> </w:t>
      </w:r>
      <w:r>
        <w:rPr/>
        <w:t>conselheiros</w:t>
      </w:r>
      <w:r>
        <w:rPr>
          <w:spacing w:val="-38"/>
        </w:rPr>
        <w:t> </w:t>
      </w:r>
      <w:r>
        <w:rPr/>
        <w:t>ou</w:t>
      </w:r>
      <w:r>
        <w:rPr>
          <w:spacing w:val="-38"/>
        </w:rPr>
        <w:t> </w:t>
      </w:r>
      <w:r>
        <w:rPr/>
        <w:t>familiares</w:t>
      </w:r>
      <w:r>
        <w:rPr>
          <w:spacing w:val="-39"/>
        </w:rPr>
        <w:t> </w:t>
      </w:r>
      <w:r>
        <w:rPr/>
        <w:t>imediatos,</w:t>
      </w:r>
      <w:r>
        <w:rPr>
          <w:spacing w:val="-38"/>
        </w:rPr>
        <w:t> </w:t>
      </w:r>
      <w:r>
        <w:rPr/>
        <w:t>porém</w:t>
      </w:r>
      <w:r>
        <w:rPr>
          <w:spacing w:val="-36"/>
        </w:rPr>
        <w:t> </w:t>
      </w:r>
      <w:r>
        <w:rPr/>
        <w:t>não</w:t>
      </w:r>
      <w:r>
        <w:rPr>
          <w:spacing w:val="-39"/>
        </w:rPr>
        <w:t> </w:t>
      </w:r>
      <w:r>
        <w:rPr/>
        <w:t>concede remuneração</w:t>
      </w:r>
      <w:r>
        <w:rPr>
          <w:spacing w:val="-24"/>
        </w:rPr>
        <w:t> </w:t>
      </w:r>
      <w:r>
        <w:rPr/>
        <w:t>variável</w:t>
      </w:r>
      <w:r>
        <w:rPr>
          <w:spacing w:val="-20"/>
        </w:rPr>
        <w:t> </w:t>
      </w:r>
      <w:r>
        <w:rPr/>
        <w:t>e</w:t>
      </w:r>
      <w:r>
        <w:rPr>
          <w:spacing w:val="-22"/>
        </w:rPr>
        <w:t> </w:t>
      </w:r>
      <w:r>
        <w:rPr/>
        <w:t>tampouco</w:t>
      </w:r>
      <w:r>
        <w:rPr>
          <w:spacing w:val="-21"/>
        </w:rPr>
        <w:t> </w:t>
      </w:r>
      <w:r>
        <w:rPr/>
        <w:t>benefícios</w:t>
      </w:r>
      <w:r>
        <w:rPr>
          <w:spacing w:val="-22"/>
        </w:rPr>
        <w:t> </w:t>
      </w:r>
      <w:r>
        <w:rPr/>
        <w:t>pós-emprego</w:t>
      </w:r>
      <w:r>
        <w:rPr>
          <w:spacing w:val="-24"/>
        </w:rPr>
        <w:t> </w:t>
      </w:r>
      <w:r>
        <w:rPr/>
        <w:t>aos</w:t>
      </w:r>
      <w:r>
        <w:rPr>
          <w:spacing w:val="-23"/>
        </w:rPr>
        <w:t> </w:t>
      </w:r>
      <w:r>
        <w:rPr/>
        <w:t>administradores</w:t>
      </w:r>
      <w:r>
        <w:rPr>
          <w:spacing w:val="-20"/>
        </w:rPr>
        <w:t> </w:t>
      </w:r>
      <w:r>
        <w:rPr/>
        <w:t>e</w:t>
      </w:r>
      <w:r>
        <w:rPr>
          <w:spacing w:val="-25"/>
        </w:rPr>
        <w:t> </w:t>
      </w:r>
      <w:r>
        <w:rPr/>
        <w:t>conselheiros.</w:t>
      </w:r>
    </w:p>
    <w:p>
      <w:pPr>
        <w:pStyle w:val="BodyText"/>
        <w:spacing w:before="6"/>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T</w:t>
      </w:r>
      <w:r>
        <w:rPr>
          <w:rFonts w:ascii="Caladea" w:hAnsi="Caladea"/>
          <w:b/>
          <w:sz w:val="18"/>
        </w:rPr>
        <w:t>RANSAÇÕES </w:t>
      </w:r>
      <w:r>
        <w:rPr>
          <w:rFonts w:ascii="Caladea" w:hAnsi="Caladea"/>
          <w:b/>
          <w:sz w:val="22"/>
        </w:rPr>
        <w:t>C</w:t>
      </w:r>
      <w:r>
        <w:rPr>
          <w:rFonts w:ascii="Caladea" w:hAnsi="Caladea"/>
          <w:b/>
          <w:sz w:val="18"/>
        </w:rPr>
        <w:t>OM </w:t>
      </w:r>
      <w:r>
        <w:rPr>
          <w:rFonts w:ascii="Caladea" w:hAnsi="Caladea"/>
          <w:b/>
          <w:sz w:val="22"/>
        </w:rPr>
        <w:t>P</w:t>
      </w:r>
      <w:r>
        <w:rPr>
          <w:rFonts w:ascii="Caladea" w:hAnsi="Caladea"/>
          <w:b/>
          <w:sz w:val="18"/>
        </w:rPr>
        <w:t>ARTES</w:t>
      </w:r>
      <w:r>
        <w:rPr>
          <w:rFonts w:ascii="Caladea" w:hAnsi="Caladea"/>
          <w:b/>
          <w:spacing w:val="-3"/>
          <w:sz w:val="18"/>
        </w:rPr>
        <w:t> </w:t>
      </w:r>
      <w:r>
        <w:rPr>
          <w:rFonts w:ascii="Caladea" w:hAnsi="Caladea"/>
          <w:b/>
          <w:sz w:val="22"/>
        </w:rPr>
        <w:t>R</w:t>
      </w:r>
      <w:r>
        <w:rPr>
          <w:rFonts w:ascii="Caladea" w:hAnsi="Caladea"/>
          <w:b/>
          <w:sz w:val="18"/>
        </w:rPr>
        <w:t>ELACIONADAS</w:t>
      </w:r>
    </w:p>
    <w:p>
      <w:pPr>
        <w:pStyle w:val="BodyText"/>
        <w:rPr>
          <w:rFonts w:ascii="Caladea"/>
          <w:b/>
          <w:sz w:val="24"/>
        </w:rPr>
      </w:pPr>
    </w:p>
    <w:p>
      <w:pPr>
        <w:pStyle w:val="BodyText"/>
        <w:ind w:left="172"/>
        <w:jc w:val="both"/>
      </w:pPr>
      <w:r>
        <w:rPr/>
        <w:t>Os saldos e as transações com partes relacionadas da Companhia estão demonstrados conforme a seguir:</w:t>
      </w:r>
    </w:p>
    <w:p>
      <w:pPr>
        <w:pStyle w:val="BodyText"/>
        <w:spacing w:before="9"/>
      </w:pPr>
    </w:p>
    <w:p>
      <w:pPr>
        <w:pStyle w:val="Heading5"/>
        <w:numPr>
          <w:ilvl w:val="2"/>
          <w:numId w:val="48"/>
        </w:numPr>
        <w:tabs>
          <w:tab w:pos="1026" w:val="left" w:leader="none"/>
        </w:tabs>
        <w:spacing w:line="240" w:lineRule="auto" w:before="0" w:after="0"/>
        <w:ind w:left="1025" w:right="0" w:hanging="854"/>
        <w:jc w:val="left"/>
      </w:pPr>
      <w:r>
        <w:rPr/>
        <w:t>Operações da Controladora com seus acionistas controladores e suas</w:t>
      </w:r>
      <w:r>
        <w:rPr>
          <w:spacing w:val="-10"/>
        </w:rPr>
        <w:t> </w:t>
      </w:r>
      <w:r>
        <w:rPr/>
        <w:t>controladas</w:t>
      </w:r>
    </w:p>
    <w:p>
      <w:pPr>
        <w:pStyle w:val="BodyText"/>
        <w:spacing w:before="6"/>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74"/>
        <w:gridCol w:w="626"/>
        <w:gridCol w:w="1258"/>
        <w:gridCol w:w="1257"/>
      </w:tblGrid>
      <w:tr>
        <w:trPr>
          <w:trHeight w:val="237" w:hRule="atLeast"/>
        </w:trPr>
        <w:tc>
          <w:tcPr>
            <w:tcW w:w="6774" w:type="dxa"/>
            <w:vMerge w:val="restart"/>
            <w:shd w:val="clear" w:color="auto" w:fill="D9D9D9"/>
          </w:tcPr>
          <w:p>
            <w:pPr>
              <w:pStyle w:val="TableParagraph"/>
              <w:spacing w:before="4"/>
              <w:rPr>
                <w:rFonts w:ascii="Caladea"/>
                <w:b/>
                <w:sz w:val="20"/>
              </w:rPr>
            </w:pPr>
          </w:p>
          <w:p>
            <w:pPr>
              <w:pStyle w:val="TableParagraph"/>
              <w:ind w:left="72"/>
              <w:rPr>
                <w:rFonts w:ascii="Caladea" w:hAnsi="Caladea"/>
                <w:b/>
                <w:sz w:val="14"/>
              </w:rPr>
            </w:pPr>
            <w:r>
              <w:rPr>
                <w:rFonts w:ascii="Caladea" w:hAnsi="Caladea"/>
                <w:b/>
                <w:sz w:val="14"/>
              </w:rPr>
              <w:t>Transações Com Partes Relacionadas (Balanço Patrimonial)</w:t>
            </w:r>
          </w:p>
        </w:tc>
        <w:tc>
          <w:tcPr>
            <w:tcW w:w="626" w:type="dxa"/>
            <w:vMerge w:val="restart"/>
          </w:tcPr>
          <w:p>
            <w:pPr>
              <w:pStyle w:val="TableParagraph"/>
              <w:spacing w:before="4"/>
              <w:rPr>
                <w:rFonts w:ascii="Caladea"/>
                <w:b/>
                <w:sz w:val="20"/>
              </w:rPr>
            </w:pPr>
          </w:p>
          <w:p>
            <w:pPr>
              <w:pStyle w:val="TableParagraph"/>
              <w:ind w:left="129"/>
              <w:rPr>
                <w:rFonts w:ascii="Caladea"/>
                <w:b/>
                <w:sz w:val="14"/>
              </w:rPr>
            </w:pPr>
            <w:r>
              <w:rPr>
                <w:rFonts w:ascii="Caladea"/>
                <w:b/>
                <w:sz w:val="14"/>
              </w:rPr>
              <w:t>Notas</w:t>
            </w:r>
          </w:p>
        </w:tc>
        <w:tc>
          <w:tcPr>
            <w:tcW w:w="2515" w:type="dxa"/>
            <w:gridSpan w:val="2"/>
          </w:tcPr>
          <w:p>
            <w:pPr>
              <w:pStyle w:val="TableParagraph"/>
              <w:spacing w:before="37"/>
              <w:ind w:left="828"/>
              <w:rPr>
                <w:rFonts w:ascii="Caladea"/>
                <w:b/>
                <w:sz w:val="14"/>
              </w:rPr>
            </w:pPr>
            <w:r>
              <w:rPr>
                <w:rFonts w:ascii="Caladea"/>
                <w:b/>
                <w:sz w:val="14"/>
              </w:rPr>
              <w:t>Controladora</w:t>
            </w:r>
          </w:p>
        </w:tc>
      </w:tr>
      <w:tr>
        <w:trPr>
          <w:trHeight w:val="398" w:hRule="atLeast"/>
        </w:trPr>
        <w:tc>
          <w:tcPr>
            <w:tcW w:w="6774" w:type="dxa"/>
            <w:vMerge/>
            <w:tcBorders>
              <w:top w:val="nil"/>
            </w:tcBorders>
            <w:shd w:val="clear" w:color="auto" w:fill="D9D9D9"/>
          </w:tcPr>
          <w:p>
            <w:pPr>
              <w:rPr>
                <w:sz w:val="2"/>
                <w:szCs w:val="2"/>
              </w:rPr>
            </w:pPr>
          </w:p>
        </w:tc>
        <w:tc>
          <w:tcPr>
            <w:tcW w:w="626" w:type="dxa"/>
            <w:vMerge/>
            <w:tcBorders>
              <w:top w:val="nil"/>
            </w:tcBorders>
          </w:tcPr>
          <w:p>
            <w:pPr>
              <w:rPr>
                <w:sz w:val="2"/>
                <w:szCs w:val="2"/>
              </w:rPr>
            </w:pPr>
          </w:p>
        </w:tc>
        <w:tc>
          <w:tcPr>
            <w:tcW w:w="1258" w:type="dxa"/>
          </w:tcPr>
          <w:p>
            <w:pPr>
              <w:pStyle w:val="TableParagraph"/>
              <w:spacing w:before="116"/>
              <w:ind w:left="228"/>
              <w:rPr>
                <w:rFonts w:ascii="Caladea"/>
                <w:b/>
                <w:sz w:val="14"/>
              </w:rPr>
            </w:pPr>
            <w:r>
              <w:rPr>
                <w:rFonts w:ascii="Caladea"/>
                <w:b/>
                <w:sz w:val="14"/>
              </w:rPr>
              <w:t>31/12/2019</w:t>
            </w:r>
          </w:p>
        </w:tc>
        <w:tc>
          <w:tcPr>
            <w:tcW w:w="1257" w:type="dxa"/>
          </w:tcPr>
          <w:p>
            <w:pPr>
              <w:pStyle w:val="TableParagraph"/>
              <w:spacing w:before="116"/>
              <w:ind w:left="226"/>
              <w:rPr>
                <w:rFonts w:ascii="Caladea"/>
                <w:b/>
                <w:sz w:val="14"/>
              </w:rPr>
            </w:pPr>
            <w:r>
              <w:rPr>
                <w:rFonts w:ascii="Caladea"/>
                <w:b/>
                <w:sz w:val="14"/>
              </w:rPr>
              <w:t>31/12/2018</w:t>
            </w:r>
          </w:p>
        </w:tc>
      </w:tr>
      <w:tr>
        <w:trPr>
          <w:trHeight w:val="237" w:hRule="atLeast"/>
        </w:trPr>
        <w:tc>
          <w:tcPr>
            <w:tcW w:w="6774" w:type="dxa"/>
          </w:tcPr>
          <w:p>
            <w:pPr>
              <w:pStyle w:val="TableParagraph"/>
              <w:spacing w:before="35"/>
              <w:ind w:left="72"/>
              <w:rPr>
                <w:rFonts w:ascii="Caladea"/>
                <w:b/>
                <w:sz w:val="14"/>
              </w:rPr>
            </w:pPr>
            <w:r>
              <w:rPr>
                <w:rFonts w:ascii="Caladea"/>
                <w:b/>
                <w:sz w:val="14"/>
              </w:rPr>
              <w:t>Ativo</w:t>
            </w:r>
          </w:p>
        </w:tc>
        <w:tc>
          <w:tcPr>
            <w:tcW w:w="626" w:type="dxa"/>
          </w:tcPr>
          <w:p>
            <w:pPr>
              <w:pStyle w:val="TableParagraph"/>
              <w:rPr>
                <w:rFonts w:ascii="Times New Roman"/>
                <w:sz w:val="16"/>
              </w:rPr>
            </w:pPr>
          </w:p>
        </w:tc>
        <w:tc>
          <w:tcPr>
            <w:tcW w:w="1258" w:type="dxa"/>
          </w:tcPr>
          <w:p>
            <w:pPr>
              <w:pStyle w:val="TableParagraph"/>
              <w:spacing w:before="35"/>
              <w:ind w:right="58"/>
              <w:jc w:val="right"/>
              <w:rPr>
                <w:rFonts w:ascii="Caladea"/>
                <w:b/>
                <w:sz w:val="14"/>
              </w:rPr>
            </w:pPr>
            <w:r>
              <w:rPr>
                <w:rFonts w:ascii="Caladea"/>
                <w:b/>
                <w:sz w:val="14"/>
              </w:rPr>
              <w:t>48.629</w:t>
            </w:r>
          </w:p>
        </w:tc>
        <w:tc>
          <w:tcPr>
            <w:tcW w:w="1257" w:type="dxa"/>
          </w:tcPr>
          <w:p>
            <w:pPr>
              <w:pStyle w:val="TableParagraph"/>
              <w:spacing w:before="35"/>
              <w:ind w:right="60"/>
              <w:jc w:val="right"/>
              <w:rPr>
                <w:rFonts w:ascii="Caladea"/>
                <w:b/>
                <w:sz w:val="14"/>
              </w:rPr>
            </w:pPr>
            <w:r>
              <w:rPr>
                <w:rFonts w:ascii="Caladea"/>
                <w:b/>
                <w:sz w:val="14"/>
              </w:rPr>
              <w:t>64.528</w:t>
            </w:r>
          </w:p>
        </w:tc>
      </w:tr>
      <w:tr>
        <w:trPr>
          <w:trHeight w:val="237" w:hRule="atLeast"/>
        </w:trPr>
        <w:tc>
          <w:tcPr>
            <w:tcW w:w="6774" w:type="dxa"/>
          </w:tcPr>
          <w:p>
            <w:pPr>
              <w:pStyle w:val="TableParagraph"/>
              <w:spacing w:before="37"/>
              <w:ind w:left="72"/>
              <w:rPr>
                <w:rFonts w:ascii="Caladea" w:hAnsi="Caladea"/>
                <w:b/>
                <w:sz w:val="14"/>
              </w:rPr>
            </w:pPr>
            <w:r>
              <w:rPr>
                <w:rFonts w:ascii="Caladea" w:hAnsi="Caladea"/>
                <w:b/>
                <w:sz w:val="14"/>
              </w:rPr>
              <w:t>Contas a Receber, Líquido da PECLD</w:t>
            </w:r>
          </w:p>
        </w:tc>
        <w:tc>
          <w:tcPr>
            <w:tcW w:w="626" w:type="dxa"/>
          </w:tcPr>
          <w:p>
            <w:pPr>
              <w:pStyle w:val="TableParagraph"/>
              <w:rPr>
                <w:rFonts w:ascii="Times New Roman"/>
                <w:sz w:val="16"/>
              </w:rPr>
            </w:pPr>
          </w:p>
        </w:tc>
        <w:tc>
          <w:tcPr>
            <w:tcW w:w="1258" w:type="dxa"/>
          </w:tcPr>
          <w:p>
            <w:pPr>
              <w:pStyle w:val="TableParagraph"/>
              <w:spacing w:before="37"/>
              <w:ind w:right="59"/>
              <w:jc w:val="right"/>
              <w:rPr>
                <w:rFonts w:ascii="Caladea"/>
                <w:b/>
                <w:sz w:val="14"/>
              </w:rPr>
            </w:pPr>
            <w:r>
              <w:rPr>
                <w:rFonts w:ascii="Caladea"/>
                <w:b/>
                <w:sz w:val="14"/>
              </w:rPr>
              <w:t>18.526</w:t>
            </w:r>
          </w:p>
        </w:tc>
        <w:tc>
          <w:tcPr>
            <w:tcW w:w="1257" w:type="dxa"/>
          </w:tcPr>
          <w:p>
            <w:pPr>
              <w:pStyle w:val="TableParagraph"/>
              <w:spacing w:before="37"/>
              <w:ind w:right="60"/>
              <w:jc w:val="right"/>
              <w:rPr>
                <w:rFonts w:ascii="Caladea"/>
                <w:b/>
                <w:sz w:val="14"/>
              </w:rPr>
            </w:pPr>
            <w:r>
              <w:rPr>
                <w:rFonts w:ascii="Caladea"/>
                <w:b/>
                <w:sz w:val="14"/>
              </w:rPr>
              <w:t>26.994</w:t>
            </w:r>
          </w:p>
        </w:tc>
      </w:tr>
      <w:tr>
        <w:trPr>
          <w:trHeight w:val="240" w:hRule="atLeast"/>
        </w:trPr>
        <w:tc>
          <w:tcPr>
            <w:tcW w:w="6774" w:type="dxa"/>
          </w:tcPr>
          <w:p>
            <w:pPr>
              <w:pStyle w:val="TableParagraph"/>
              <w:spacing w:before="39"/>
              <w:ind w:left="72"/>
              <w:rPr>
                <w:sz w:val="14"/>
              </w:rPr>
            </w:pPr>
            <w:r>
              <w:rPr>
                <w:sz w:val="14"/>
              </w:rPr>
              <w:t>Governo do Distrito Federal</w:t>
            </w:r>
          </w:p>
        </w:tc>
        <w:tc>
          <w:tcPr>
            <w:tcW w:w="626" w:type="dxa"/>
          </w:tcPr>
          <w:p>
            <w:pPr>
              <w:pStyle w:val="TableParagraph"/>
              <w:spacing w:before="37"/>
              <w:ind w:left="276"/>
              <w:rPr>
                <w:rFonts w:ascii="Caladea"/>
                <w:b/>
                <w:sz w:val="14"/>
              </w:rPr>
            </w:pPr>
            <w:r>
              <w:rPr>
                <w:rFonts w:ascii="Caladea"/>
                <w:b/>
                <w:w w:val="99"/>
                <w:sz w:val="14"/>
              </w:rPr>
              <w:t>a</w:t>
            </w:r>
          </w:p>
        </w:tc>
        <w:tc>
          <w:tcPr>
            <w:tcW w:w="1258" w:type="dxa"/>
          </w:tcPr>
          <w:p>
            <w:pPr>
              <w:pStyle w:val="TableParagraph"/>
              <w:spacing w:before="39"/>
              <w:ind w:right="58"/>
              <w:jc w:val="right"/>
              <w:rPr>
                <w:sz w:val="14"/>
              </w:rPr>
            </w:pPr>
            <w:r>
              <w:rPr>
                <w:w w:val="95"/>
                <w:sz w:val="14"/>
              </w:rPr>
              <w:t>18.526</w:t>
            </w:r>
          </w:p>
        </w:tc>
        <w:tc>
          <w:tcPr>
            <w:tcW w:w="1257" w:type="dxa"/>
          </w:tcPr>
          <w:p>
            <w:pPr>
              <w:pStyle w:val="TableParagraph"/>
              <w:spacing w:before="39"/>
              <w:ind w:right="60"/>
              <w:jc w:val="right"/>
              <w:rPr>
                <w:sz w:val="14"/>
              </w:rPr>
            </w:pPr>
            <w:r>
              <w:rPr>
                <w:w w:val="95"/>
                <w:sz w:val="14"/>
              </w:rPr>
              <w:t>26.994</w:t>
            </w:r>
          </w:p>
        </w:tc>
      </w:tr>
      <w:tr>
        <w:trPr>
          <w:trHeight w:val="237" w:hRule="atLeast"/>
        </w:trPr>
        <w:tc>
          <w:tcPr>
            <w:tcW w:w="6774" w:type="dxa"/>
          </w:tcPr>
          <w:p>
            <w:pPr>
              <w:pStyle w:val="TableParagraph"/>
              <w:spacing w:before="35"/>
              <w:ind w:left="72"/>
              <w:rPr>
                <w:rFonts w:ascii="Caladea"/>
                <w:b/>
                <w:sz w:val="14"/>
              </w:rPr>
            </w:pPr>
            <w:r>
              <w:rPr>
                <w:rFonts w:ascii="Caladea"/>
                <w:b/>
                <w:sz w:val="14"/>
              </w:rPr>
              <w:t>Demais Ativos</w:t>
            </w:r>
          </w:p>
        </w:tc>
        <w:tc>
          <w:tcPr>
            <w:tcW w:w="626" w:type="dxa"/>
          </w:tcPr>
          <w:p>
            <w:pPr>
              <w:pStyle w:val="TableParagraph"/>
              <w:rPr>
                <w:rFonts w:ascii="Times New Roman"/>
                <w:sz w:val="16"/>
              </w:rPr>
            </w:pPr>
          </w:p>
        </w:tc>
        <w:tc>
          <w:tcPr>
            <w:tcW w:w="1258" w:type="dxa"/>
          </w:tcPr>
          <w:p>
            <w:pPr>
              <w:pStyle w:val="TableParagraph"/>
              <w:spacing w:before="35"/>
              <w:ind w:right="58"/>
              <w:jc w:val="right"/>
              <w:rPr>
                <w:rFonts w:ascii="Caladea"/>
                <w:b/>
                <w:sz w:val="14"/>
              </w:rPr>
            </w:pPr>
            <w:r>
              <w:rPr>
                <w:rFonts w:ascii="Caladea"/>
                <w:b/>
                <w:sz w:val="14"/>
              </w:rPr>
              <w:t>30.103</w:t>
            </w:r>
          </w:p>
        </w:tc>
        <w:tc>
          <w:tcPr>
            <w:tcW w:w="1257" w:type="dxa"/>
          </w:tcPr>
          <w:p>
            <w:pPr>
              <w:pStyle w:val="TableParagraph"/>
              <w:spacing w:before="35"/>
              <w:ind w:right="60"/>
              <w:jc w:val="right"/>
              <w:rPr>
                <w:rFonts w:ascii="Caladea"/>
                <w:b/>
                <w:sz w:val="14"/>
              </w:rPr>
            </w:pPr>
            <w:r>
              <w:rPr>
                <w:rFonts w:ascii="Caladea"/>
                <w:b/>
                <w:sz w:val="14"/>
              </w:rPr>
              <w:t>37.534</w:t>
            </w:r>
          </w:p>
        </w:tc>
      </w:tr>
      <w:tr>
        <w:trPr>
          <w:trHeight w:val="237" w:hRule="atLeast"/>
        </w:trPr>
        <w:tc>
          <w:tcPr>
            <w:tcW w:w="6774" w:type="dxa"/>
          </w:tcPr>
          <w:p>
            <w:pPr>
              <w:pStyle w:val="TableParagraph"/>
              <w:spacing w:before="37"/>
              <w:ind w:left="72"/>
              <w:rPr>
                <w:rFonts w:ascii="Caladea"/>
                <w:b/>
                <w:sz w:val="14"/>
              </w:rPr>
            </w:pPr>
            <w:r>
              <w:rPr>
                <w:rFonts w:ascii="Caladea"/>
                <w:b/>
                <w:sz w:val="14"/>
              </w:rPr>
              <w:t>Dividendos/JSCP</w:t>
            </w:r>
          </w:p>
        </w:tc>
        <w:tc>
          <w:tcPr>
            <w:tcW w:w="626" w:type="dxa"/>
          </w:tcPr>
          <w:p>
            <w:pPr>
              <w:pStyle w:val="TableParagraph"/>
              <w:spacing w:before="37"/>
              <w:ind w:left="271"/>
              <w:rPr>
                <w:rFonts w:ascii="Caladea"/>
                <w:b/>
                <w:sz w:val="14"/>
              </w:rPr>
            </w:pPr>
            <w:r>
              <w:rPr>
                <w:rFonts w:ascii="Caladea"/>
                <w:b/>
                <w:w w:val="99"/>
                <w:sz w:val="14"/>
              </w:rPr>
              <w:t>b</w:t>
            </w:r>
          </w:p>
        </w:tc>
        <w:tc>
          <w:tcPr>
            <w:tcW w:w="1258" w:type="dxa"/>
          </w:tcPr>
          <w:p>
            <w:pPr>
              <w:pStyle w:val="TableParagraph"/>
              <w:spacing w:before="37"/>
              <w:ind w:right="58"/>
              <w:jc w:val="right"/>
              <w:rPr>
                <w:rFonts w:ascii="Caladea"/>
                <w:b/>
                <w:sz w:val="14"/>
              </w:rPr>
            </w:pPr>
            <w:r>
              <w:rPr>
                <w:rFonts w:ascii="Caladea"/>
                <w:b/>
                <w:sz w:val="14"/>
              </w:rPr>
              <w:t>18.681</w:t>
            </w:r>
          </w:p>
        </w:tc>
        <w:tc>
          <w:tcPr>
            <w:tcW w:w="1257" w:type="dxa"/>
          </w:tcPr>
          <w:p>
            <w:pPr>
              <w:pStyle w:val="TableParagraph"/>
              <w:spacing w:before="37"/>
              <w:ind w:right="60"/>
              <w:jc w:val="right"/>
              <w:rPr>
                <w:rFonts w:ascii="Caladea"/>
                <w:b/>
                <w:sz w:val="14"/>
              </w:rPr>
            </w:pPr>
            <w:r>
              <w:rPr>
                <w:rFonts w:ascii="Caladea"/>
                <w:b/>
                <w:sz w:val="14"/>
              </w:rPr>
              <w:t>24.119</w:t>
            </w:r>
          </w:p>
        </w:tc>
      </w:tr>
      <w:tr>
        <w:trPr>
          <w:trHeight w:val="239" w:hRule="atLeast"/>
        </w:trPr>
        <w:tc>
          <w:tcPr>
            <w:tcW w:w="6774" w:type="dxa"/>
          </w:tcPr>
          <w:p>
            <w:pPr>
              <w:pStyle w:val="TableParagraph"/>
              <w:spacing w:before="38"/>
              <w:ind w:left="72"/>
              <w:rPr>
                <w:sz w:val="14"/>
              </w:rPr>
            </w:pPr>
            <w:r>
              <w:rPr>
                <w:sz w:val="14"/>
              </w:rPr>
              <w:t>CEB Lajeado S.A.</w:t>
            </w:r>
          </w:p>
        </w:tc>
        <w:tc>
          <w:tcPr>
            <w:tcW w:w="626" w:type="dxa"/>
          </w:tcPr>
          <w:p>
            <w:pPr>
              <w:pStyle w:val="TableParagraph"/>
              <w:rPr>
                <w:rFonts w:ascii="Times New Roman"/>
                <w:sz w:val="16"/>
              </w:rPr>
            </w:pPr>
          </w:p>
        </w:tc>
        <w:tc>
          <w:tcPr>
            <w:tcW w:w="1258" w:type="dxa"/>
          </w:tcPr>
          <w:p>
            <w:pPr>
              <w:pStyle w:val="TableParagraph"/>
              <w:spacing w:before="38"/>
              <w:ind w:right="59"/>
              <w:jc w:val="right"/>
              <w:rPr>
                <w:sz w:val="14"/>
              </w:rPr>
            </w:pPr>
            <w:r>
              <w:rPr>
                <w:w w:val="95"/>
                <w:sz w:val="14"/>
              </w:rPr>
              <w:t>7.131</w:t>
            </w:r>
          </w:p>
        </w:tc>
        <w:tc>
          <w:tcPr>
            <w:tcW w:w="1257" w:type="dxa"/>
          </w:tcPr>
          <w:p>
            <w:pPr>
              <w:pStyle w:val="TableParagraph"/>
              <w:spacing w:before="38"/>
              <w:ind w:right="60"/>
              <w:jc w:val="right"/>
              <w:rPr>
                <w:sz w:val="14"/>
              </w:rPr>
            </w:pPr>
            <w:r>
              <w:rPr>
                <w:w w:val="95"/>
                <w:sz w:val="14"/>
              </w:rPr>
              <w:t>7.131</w:t>
            </w:r>
          </w:p>
        </w:tc>
      </w:tr>
      <w:tr>
        <w:trPr>
          <w:trHeight w:val="237" w:hRule="atLeast"/>
        </w:trPr>
        <w:tc>
          <w:tcPr>
            <w:tcW w:w="6774" w:type="dxa"/>
          </w:tcPr>
          <w:p>
            <w:pPr>
              <w:pStyle w:val="TableParagraph"/>
              <w:spacing w:before="36"/>
              <w:ind w:left="72"/>
              <w:rPr>
                <w:sz w:val="14"/>
              </w:rPr>
            </w:pPr>
            <w:r>
              <w:rPr>
                <w:sz w:val="14"/>
              </w:rPr>
              <w:t>CEB Geração S.A.</w:t>
            </w:r>
          </w:p>
        </w:tc>
        <w:tc>
          <w:tcPr>
            <w:tcW w:w="626" w:type="dxa"/>
          </w:tcPr>
          <w:p>
            <w:pPr>
              <w:pStyle w:val="TableParagraph"/>
              <w:rPr>
                <w:rFonts w:ascii="Times New Roman"/>
                <w:sz w:val="16"/>
              </w:rPr>
            </w:pPr>
          </w:p>
        </w:tc>
        <w:tc>
          <w:tcPr>
            <w:tcW w:w="1258" w:type="dxa"/>
          </w:tcPr>
          <w:p>
            <w:pPr>
              <w:pStyle w:val="TableParagraph"/>
              <w:spacing w:before="36"/>
              <w:ind w:right="59"/>
              <w:jc w:val="right"/>
              <w:rPr>
                <w:sz w:val="14"/>
              </w:rPr>
            </w:pPr>
            <w:r>
              <w:rPr>
                <w:w w:val="95"/>
                <w:sz w:val="14"/>
              </w:rPr>
              <w:t>2.324</w:t>
            </w:r>
          </w:p>
        </w:tc>
        <w:tc>
          <w:tcPr>
            <w:tcW w:w="1257" w:type="dxa"/>
          </w:tcPr>
          <w:p>
            <w:pPr>
              <w:pStyle w:val="TableParagraph"/>
              <w:spacing w:before="36"/>
              <w:ind w:right="60"/>
              <w:jc w:val="right"/>
              <w:rPr>
                <w:sz w:val="14"/>
              </w:rPr>
            </w:pPr>
            <w:r>
              <w:rPr>
                <w:w w:val="95"/>
                <w:sz w:val="14"/>
              </w:rPr>
              <w:t>10.002</w:t>
            </w:r>
          </w:p>
        </w:tc>
      </w:tr>
      <w:tr>
        <w:trPr>
          <w:trHeight w:val="237" w:hRule="atLeast"/>
        </w:trPr>
        <w:tc>
          <w:tcPr>
            <w:tcW w:w="6774" w:type="dxa"/>
          </w:tcPr>
          <w:p>
            <w:pPr>
              <w:pStyle w:val="TableParagraph"/>
              <w:spacing w:before="38"/>
              <w:ind w:left="72"/>
              <w:rPr>
                <w:sz w:val="14"/>
              </w:rPr>
            </w:pPr>
            <w:r>
              <w:rPr>
                <w:sz w:val="14"/>
              </w:rPr>
              <w:t>CEB Participações S.A.</w:t>
            </w:r>
          </w:p>
        </w:tc>
        <w:tc>
          <w:tcPr>
            <w:tcW w:w="626" w:type="dxa"/>
          </w:tcPr>
          <w:p>
            <w:pPr>
              <w:pStyle w:val="TableParagraph"/>
              <w:rPr>
                <w:rFonts w:ascii="Times New Roman"/>
                <w:sz w:val="16"/>
              </w:rPr>
            </w:pPr>
          </w:p>
        </w:tc>
        <w:tc>
          <w:tcPr>
            <w:tcW w:w="1258" w:type="dxa"/>
          </w:tcPr>
          <w:p>
            <w:pPr>
              <w:pStyle w:val="TableParagraph"/>
              <w:spacing w:before="38"/>
              <w:ind w:right="59"/>
              <w:jc w:val="right"/>
              <w:rPr>
                <w:sz w:val="14"/>
              </w:rPr>
            </w:pPr>
            <w:r>
              <w:rPr>
                <w:w w:val="95"/>
                <w:sz w:val="14"/>
              </w:rPr>
              <w:t>6.409</w:t>
            </w:r>
          </w:p>
        </w:tc>
        <w:tc>
          <w:tcPr>
            <w:tcW w:w="1257" w:type="dxa"/>
          </w:tcPr>
          <w:p>
            <w:pPr>
              <w:pStyle w:val="TableParagraph"/>
              <w:spacing w:before="38"/>
              <w:ind w:right="60"/>
              <w:jc w:val="right"/>
              <w:rPr>
                <w:sz w:val="14"/>
              </w:rPr>
            </w:pPr>
            <w:r>
              <w:rPr>
                <w:w w:val="95"/>
                <w:sz w:val="14"/>
              </w:rPr>
              <w:t>3.945</w:t>
            </w:r>
          </w:p>
        </w:tc>
      </w:tr>
      <w:tr>
        <w:trPr>
          <w:trHeight w:val="239" w:hRule="atLeast"/>
        </w:trPr>
        <w:tc>
          <w:tcPr>
            <w:tcW w:w="6774" w:type="dxa"/>
          </w:tcPr>
          <w:p>
            <w:pPr>
              <w:pStyle w:val="TableParagraph"/>
              <w:spacing w:before="38"/>
              <w:ind w:left="72"/>
              <w:rPr>
                <w:sz w:val="14"/>
              </w:rPr>
            </w:pPr>
            <w:r>
              <w:rPr>
                <w:sz w:val="14"/>
              </w:rPr>
              <w:t>Corumbá Concessões S.A.</w:t>
            </w:r>
          </w:p>
        </w:tc>
        <w:tc>
          <w:tcPr>
            <w:tcW w:w="626" w:type="dxa"/>
          </w:tcPr>
          <w:p>
            <w:pPr>
              <w:pStyle w:val="TableParagraph"/>
              <w:rPr>
                <w:rFonts w:ascii="Times New Roman"/>
                <w:sz w:val="16"/>
              </w:rPr>
            </w:pPr>
          </w:p>
        </w:tc>
        <w:tc>
          <w:tcPr>
            <w:tcW w:w="1258" w:type="dxa"/>
          </w:tcPr>
          <w:p>
            <w:pPr>
              <w:pStyle w:val="TableParagraph"/>
              <w:spacing w:before="38"/>
              <w:ind w:right="59"/>
              <w:jc w:val="right"/>
              <w:rPr>
                <w:sz w:val="14"/>
              </w:rPr>
            </w:pPr>
            <w:r>
              <w:rPr>
                <w:w w:val="105"/>
                <w:sz w:val="14"/>
              </w:rPr>
              <w:t>889</w:t>
            </w:r>
          </w:p>
        </w:tc>
        <w:tc>
          <w:tcPr>
            <w:tcW w:w="1257" w:type="dxa"/>
          </w:tcPr>
          <w:p>
            <w:pPr>
              <w:pStyle w:val="TableParagraph"/>
              <w:spacing w:before="38"/>
              <w:ind w:right="60"/>
              <w:jc w:val="right"/>
              <w:rPr>
                <w:sz w:val="14"/>
              </w:rPr>
            </w:pPr>
            <w:r>
              <w:rPr>
                <w:w w:val="95"/>
                <w:sz w:val="14"/>
              </w:rPr>
              <w:t>1.718</w:t>
            </w:r>
          </w:p>
        </w:tc>
      </w:tr>
      <w:tr>
        <w:trPr>
          <w:trHeight w:val="237" w:hRule="atLeast"/>
        </w:trPr>
        <w:tc>
          <w:tcPr>
            <w:tcW w:w="6774" w:type="dxa"/>
          </w:tcPr>
          <w:p>
            <w:pPr>
              <w:pStyle w:val="TableParagraph"/>
              <w:spacing w:before="36"/>
              <w:ind w:left="72"/>
              <w:rPr>
                <w:sz w:val="14"/>
              </w:rPr>
            </w:pPr>
            <w:r>
              <w:rPr>
                <w:sz w:val="14"/>
              </w:rPr>
              <w:t>Energética Corumbá III S.A.</w:t>
            </w:r>
          </w:p>
        </w:tc>
        <w:tc>
          <w:tcPr>
            <w:tcW w:w="626" w:type="dxa"/>
          </w:tcPr>
          <w:p>
            <w:pPr>
              <w:pStyle w:val="TableParagraph"/>
              <w:rPr>
                <w:rFonts w:ascii="Times New Roman"/>
                <w:sz w:val="16"/>
              </w:rPr>
            </w:pPr>
          </w:p>
        </w:tc>
        <w:tc>
          <w:tcPr>
            <w:tcW w:w="1258" w:type="dxa"/>
          </w:tcPr>
          <w:p>
            <w:pPr>
              <w:pStyle w:val="TableParagraph"/>
              <w:spacing w:before="36"/>
              <w:ind w:right="59"/>
              <w:jc w:val="right"/>
              <w:rPr>
                <w:sz w:val="14"/>
              </w:rPr>
            </w:pPr>
            <w:r>
              <w:rPr>
                <w:w w:val="95"/>
                <w:sz w:val="14"/>
              </w:rPr>
              <w:t>1.928</w:t>
            </w:r>
          </w:p>
        </w:tc>
        <w:tc>
          <w:tcPr>
            <w:tcW w:w="1257" w:type="dxa"/>
          </w:tcPr>
          <w:p>
            <w:pPr>
              <w:pStyle w:val="TableParagraph"/>
              <w:spacing w:before="36"/>
              <w:ind w:right="60"/>
              <w:jc w:val="right"/>
              <w:rPr>
                <w:sz w:val="14"/>
              </w:rPr>
            </w:pPr>
            <w:r>
              <w:rPr>
                <w:w w:val="95"/>
                <w:sz w:val="14"/>
              </w:rPr>
              <w:t>1.323</w:t>
            </w:r>
          </w:p>
        </w:tc>
      </w:tr>
      <w:tr>
        <w:trPr>
          <w:trHeight w:val="237" w:hRule="atLeast"/>
        </w:trPr>
        <w:tc>
          <w:tcPr>
            <w:tcW w:w="6774" w:type="dxa"/>
          </w:tcPr>
          <w:p>
            <w:pPr>
              <w:pStyle w:val="TableParagraph"/>
              <w:spacing w:before="37"/>
              <w:ind w:left="72"/>
              <w:rPr>
                <w:rFonts w:ascii="Caladea" w:hAnsi="Caladea"/>
                <w:b/>
                <w:sz w:val="14"/>
              </w:rPr>
            </w:pPr>
            <w:r>
              <w:rPr>
                <w:rFonts w:ascii="Caladea" w:hAnsi="Caladea"/>
                <w:b/>
                <w:sz w:val="14"/>
              </w:rPr>
              <w:t>Empréstimos e Financiamentos (Mútuos)</w:t>
            </w:r>
          </w:p>
        </w:tc>
        <w:tc>
          <w:tcPr>
            <w:tcW w:w="626" w:type="dxa"/>
          </w:tcPr>
          <w:p>
            <w:pPr>
              <w:pStyle w:val="TableParagraph"/>
              <w:rPr>
                <w:rFonts w:ascii="Times New Roman"/>
                <w:sz w:val="16"/>
              </w:rPr>
            </w:pPr>
          </w:p>
        </w:tc>
        <w:tc>
          <w:tcPr>
            <w:tcW w:w="1258" w:type="dxa"/>
          </w:tcPr>
          <w:p>
            <w:pPr>
              <w:pStyle w:val="TableParagraph"/>
              <w:spacing w:before="37"/>
              <w:ind w:right="59"/>
              <w:jc w:val="right"/>
              <w:rPr>
                <w:rFonts w:ascii="Caladea"/>
                <w:b/>
                <w:sz w:val="14"/>
              </w:rPr>
            </w:pPr>
            <w:r>
              <w:rPr>
                <w:rFonts w:ascii="Caladea"/>
                <w:b/>
                <w:sz w:val="14"/>
              </w:rPr>
              <w:t>11.399</w:t>
            </w:r>
          </w:p>
        </w:tc>
        <w:tc>
          <w:tcPr>
            <w:tcW w:w="1257" w:type="dxa"/>
          </w:tcPr>
          <w:p>
            <w:pPr>
              <w:pStyle w:val="TableParagraph"/>
              <w:spacing w:before="37"/>
              <w:ind w:right="60"/>
              <w:jc w:val="right"/>
              <w:rPr>
                <w:rFonts w:ascii="Caladea"/>
                <w:b/>
                <w:sz w:val="14"/>
              </w:rPr>
            </w:pPr>
            <w:r>
              <w:rPr>
                <w:rFonts w:ascii="Caladea"/>
                <w:b/>
                <w:sz w:val="14"/>
              </w:rPr>
              <w:t>13.414</w:t>
            </w:r>
          </w:p>
        </w:tc>
      </w:tr>
      <w:tr>
        <w:trPr>
          <w:trHeight w:val="239" w:hRule="atLeast"/>
        </w:trPr>
        <w:tc>
          <w:tcPr>
            <w:tcW w:w="6774" w:type="dxa"/>
          </w:tcPr>
          <w:p>
            <w:pPr>
              <w:pStyle w:val="TableParagraph"/>
              <w:spacing w:before="38"/>
              <w:ind w:left="72"/>
              <w:rPr>
                <w:sz w:val="14"/>
              </w:rPr>
            </w:pPr>
            <w:r>
              <w:rPr>
                <w:sz w:val="14"/>
              </w:rPr>
              <w:t>Corumbá Concessões S.A.</w:t>
            </w:r>
          </w:p>
        </w:tc>
        <w:tc>
          <w:tcPr>
            <w:tcW w:w="626" w:type="dxa"/>
          </w:tcPr>
          <w:p>
            <w:pPr>
              <w:pStyle w:val="TableParagraph"/>
              <w:rPr>
                <w:rFonts w:ascii="Times New Roman"/>
                <w:sz w:val="16"/>
              </w:rPr>
            </w:pPr>
          </w:p>
        </w:tc>
        <w:tc>
          <w:tcPr>
            <w:tcW w:w="1258" w:type="dxa"/>
          </w:tcPr>
          <w:p>
            <w:pPr>
              <w:pStyle w:val="TableParagraph"/>
              <w:spacing w:before="38"/>
              <w:ind w:right="58"/>
              <w:jc w:val="right"/>
              <w:rPr>
                <w:sz w:val="14"/>
              </w:rPr>
            </w:pPr>
            <w:r>
              <w:rPr>
                <w:w w:val="95"/>
                <w:sz w:val="14"/>
              </w:rPr>
              <w:t>11.399</w:t>
            </w:r>
          </w:p>
        </w:tc>
        <w:tc>
          <w:tcPr>
            <w:tcW w:w="1257" w:type="dxa"/>
          </w:tcPr>
          <w:p>
            <w:pPr>
              <w:pStyle w:val="TableParagraph"/>
              <w:spacing w:before="38"/>
              <w:ind w:right="60"/>
              <w:jc w:val="right"/>
              <w:rPr>
                <w:sz w:val="14"/>
              </w:rPr>
            </w:pPr>
            <w:r>
              <w:rPr>
                <w:w w:val="95"/>
                <w:sz w:val="14"/>
              </w:rPr>
              <w:t>13.414</w:t>
            </w:r>
          </w:p>
        </w:tc>
      </w:tr>
      <w:tr>
        <w:trPr>
          <w:trHeight w:val="237" w:hRule="atLeast"/>
        </w:trPr>
        <w:tc>
          <w:tcPr>
            <w:tcW w:w="6774" w:type="dxa"/>
          </w:tcPr>
          <w:p>
            <w:pPr>
              <w:pStyle w:val="TableParagraph"/>
              <w:spacing w:before="34"/>
              <w:ind w:left="72"/>
              <w:rPr>
                <w:rFonts w:ascii="Caladea" w:hAnsi="Caladea"/>
                <w:b/>
                <w:sz w:val="14"/>
              </w:rPr>
            </w:pPr>
            <w:r>
              <w:rPr>
                <w:rFonts w:ascii="Caladea" w:hAnsi="Caladea"/>
                <w:b/>
                <w:sz w:val="14"/>
              </w:rPr>
              <w:t>Outras Operações</w:t>
            </w:r>
          </w:p>
        </w:tc>
        <w:tc>
          <w:tcPr>
            <w:tcW w:w="626" w:type="dxa"/>
          </w:tcPr>
          <w:p>
            <w:pPr>
              <w:pStyle w:val="TableParagraph"/>
              <w:rPr>
                <w:rFonts w:ascii="Times New Roman"/>
                <w:sz w:val="16"/>
              </w:rPr>
            </w:pPr>
          </w:p>
        </w:tc>
        <w:tc>
          <w:tcPr>
            <w:tcW w:w="1258" w:type="dxa"/>
          </w:tcPr>
          <w:p>
            <w:pPr>
              <w:pStyle w:val="TableParagraph"/>
              <w:spacing w:before="34"/>
              <w:ind w:right="59"/>
              <w:jc w:val="right"/>
              <w:rPr>
                <w:rFonts w:ascii="Caladea"/>
                <w:b/>
                <w:sz w:val="14"/>
              </w:rPr>
            </w:pPr>
            <w:r>
              <w:rPr>
                <w:rFonts w:ascii="Caladea"/>
                <w:b/>
                <w:w w:val="95"/>
                <w:sz w:val="14"/>
              </w:rPr>
              <w:t>23</w:t>
            </w:r>
          </w:p>
        </w:tc>
        <w:tc>
          <w:tcPr>
            <w:tcW w:w="1257" w:type="dxa"/>
          </w:tcPr>
          <w:p>
            <w:pPr>
              <w:pStyle w:val="TableParagraph"/>
              <w:spacing w:before="34"/>
              <w:ind w:right="60"/>
              <w:jc w:val="right"/>
              <w:rPr>
                <w:rFonts w:ascii="Caladea"/>
                <w:b/>
                <w:sz w:val="14"/>
              </w:rPr>
            </w:pPr>
            <w:r>
              <w:rPr>
                <w:rFonts w:ascii="Caladea"/>
                <w:b/>
                <w:w w:val="99"/>
                <w:sz w:val="14"/>
              </w:rPr>
              <w:t>1</w:t>
            </w:r>
          </w:p>
        </w:tc>
      </w:tr>
      <w:tr>
        <w:trPr>
          <w:trHeight w:val="237" w:hRule="atLeast"/>
        </w:trPr>
        <w:tc>
          <w:tcPr>
            <w:tcW w:w="6774" w:type="dxa"/>
          </w:tcPr>
          <w:p>
            <w:pPr>
              <w:pStyle w:val="TableParagraph"/>
              <w:spacing w:before="38"/>
              <w:ind w:left="72"/>
              <w:rPr>
                <w:sz w:val="14"/>
              </w:rPr>
            </w:pPr>
            <w:r>
              <w:rPr>
                <w:sz w:val="14"/>
              </w:rPr>
              <w:t>CEB Distribuição S.A.</w:t>
            </w:r>
          </w:p>
        </w:tc>
        <w:tc>
          <w:tcPr>
            <w:tcW w:w="626" w:type="dxa"/>
          </w:tcPr>
          <w:p>
            <w:pPr>
              <w:pStyle w:val="TableParagraph"/>
              <w:rPr>
                <w:rFonts w:ascii="Times New Roman"/>
                <w:sz w:val="16"/>
              </w:rPr>
            </w:pPr>
          </w:p>
        </w:tc>
        <w:tc>
          <w:tcPr>
            <w:tcW w:w="1258" w:type="dxa"/>
          </w:tcPr>
          <w:p>
            <w:pPr>
              <w:pStyle w:val="TableParagraph"/>
              <w:spacing w:before="38"/>
              <w:ind w:right="59"/>
              <w:jc w:val="right"/>
              <w:rPr>
                <w:sz w:val="14"/>
              </w:rPr>
            </w:pPr>
            <w:r>
              <w:rPr>
                <w:sz w:val="14"/>
              </w:rPr>
              <w:t>23</w:t>
            </w:r>
          </w:p>
        </w:tc>
        <w:tc>
          <w:tcPr>
            <w:tcW w:w="1257" w:type="dxa"/>
          </w:tcPr>
          <w:p>
            <w:pPr>
              <w:pStyle w:val="TableParagraph"/>
              <w:spacing w:before="38"/>
              <w:ind w:right="58"/>
              <w:jc w:val="right"/>
              <w:rPr>
                <w:sz w:val="14"/>
              </w:rPr>
            </w:pPr>
            <w:r>
              <w:rPr>
                <w:w w:val="104"/>
                <w:sz w:val="14"/>
              </w:rPr>
              <w:t>1</w:t>
            </w:r>
          </w:p>
        </w:tc>
      </w:tr>
      <w:tr>
        <w:trPr>
          <w:trHeight w:val="239" w:hRule="atLeast"/>
        </w:trPr>
        <w:tc>
          <w:tcPr>
            <w:tcW w:w="6774" w:type="dxa"/>
          </w:tcPr>
          <w:p>
            <w:pPr>
              <w:pStyle w:val="TableParagraph"/>
              <w:spacing w:before="37"/>
              <w:ind w:left="72"/>
              <w:rPr>
                <w:rFonts w:ascii="Caladea"/>
                <w:b/>
                <w:sz w:val="14"/>
              </w:rPr>
            </w:pPr>
            <w:r>
              <w:rPr>
                <w:rFonts w:ascii="Caladea"/>
                <w:b/>
                <w:sz w:val="14"/>
              </w:rPr>
              <w:t>Passivo</w:t>
            </w:r>
          </w:p>
        </w:tc>
        <w:tc>
          <w:tcPr>
            <w:tcW w:w="626" w:type="dxa"/>
          </w:tcPr>
          <w:p>
            <w:pPr>
              <w:pStyle w:val="TableParagraph"/>
              <w:rPr>
                <w:rFonts w:ascii="Times New Roman"/>
                <w:sz w:val="16"/>
              </w:rPr>
            </w:pPr>
          </w:p>
        </w:tc>
        <w:tc>
          <w:tcPr>
            <w:tcW w:w="1258" w:type="dxa"/>
          </w:tcPr>
          <w:p>
            <w:pPr>
              <w:pStyle w:val="TableParagraph"/>
              <w:spacing w:before="37"/>
              <w:ind w:right="59"/>
              <w:jc w:val="right"/>
              <w:rPr>
                <w:rFonts w:ascii="Caladea"/>
                <w:b/>
                <w:sz w:val="14"/>
              </w:rPr>
            </w:pPr>
            <w:r>
              <w:rPr>
                <w:rFonts w:ascii="Caladea"/>
                <w:b/>
                <w:sz w:val="14"/>
              </w:rPr>
              <w:t>67.157</w:t>
            </w:r>
          </w:p>
        </w:tc>
        <w:tc>
          <w:tcPr>
            <w:tcW w:w="1257" w:type="dxa"/>
          </w:tcPr>
          <w:p>
            <w:pPr>
              <w:pStyle w:val="TableParagraph"/>
              <w:spacing w:before="37"/>
              <w:ind w:right="60"/>
              <w:jc w:val="right"/>
              <w:rPr>
                <w:rFonts w:ascii="Caladea"/>
                <w:b/>
                <w:sz w:val="14"/>
              </w:rPr>
            </w:pPr>
            <w:r>
              <w:rPr>
                <w:rFonts w:ascii="Caladea"/>
                <w:b/>
                <w:sz w:val="14"/>
              </w:rPr>
              <w:t>645</w:t>
            </w:r>
          </w:p>
        </w:tc>
      </w:tr>
      <w:tr>
        <w:trPr>
          <w:trHeight w:val="237" w:hRule="atLeast"/>
        </w:trPr>
        <w:tc>
          <w:tcPr>
            <w:tcW w:w="6774" w:type="dxa"/>
          </w:tcPr>
          <w:p>
            <w:pPr>
              <w:pStyle w:val="TableParagraph"/>
              <w:spacing w:before="34"/>
              <w:ind w:left="72"/>
              <w:rPr>
                <w:rFonts w:ascii="Caladea"/>
                <w:b/>
                <w:sz w:val="14"/>
              </w:rPr>
            </w:pPr>
            <w:r>
              <w:rPr>
                <w:rFonts w:ascii="Caladea"/>
                <w:b/>
                <w:sz w:val="14"/>
              </w:rPr>
              <w:t>Dividendos</w:t>
            </w:r>
          </w:p>
        </w:tc>
        <w:tc>
          <w:tcPr>
            <w:tcW w:w="626" w:type="dxa"/>
          </w:tcPr>
          <w:p>
            <w:pPr>
              <w:pStyle w:val="TableParagraph"/>
              <w:spacing w:before="34"/>
              <w:ind w:left="295"/>
              <w:rPr>
                <w:rFonts w:ascii="Caladea"/>
                <w:b/>
                <w:sz w:val="14"/>
              </w:rPr>
            </w:pPr>
            <w:r>
              <w:rPr>
                <w:rFonts w:ascii="Caladea"/>
                <w:b/>
                <w:w w:val="99"/>
                <w:sz w:val="14"/>
              </w:rPr>
              <w:t>c</w:t>
            </w:r>
          </w:p>
        </w:tc>
        <w:tc>
          <w:tcPr>
            <w:tcW w:w="1258" w:type="dxa"/>
          </w:tcPr>
          <w:p>
            <w:pPr>
              <w:pStyle w:val="TableParagraph"/>
              <w:spacing w:before="34"/>
              <w:ind w:right="59"/>
              <w:jc w:val="right"/>
              <w:rPr>
                <w:rFonts w:ascii="Caladea"/>
                <w:b/>
                <w:sz w:val="14"/>
              </w:rPr>
            </w:pPr>
            <w:r>
              <w:rPr>
                <w:rFonts w:ascii="Caladea"/>
                <w:b/>
                <w:sz w:val="14"/>
              </w:rPr>
              <w:t>20.670</w:t>
            </w:r>
          </w:p>
        </w:tc>
        <w:tc>
          <w:tcPr>
            <w:tcW w:w="1257" w:type="dxa"/>
          </w:tcPr>
          <w:p>
            <w:pPr>
              <w:pStyle w:val="TableParagraph"/>
              <w:spacing w:before="34"/>
              <w:ind w:right="60"/>
              <w:jc w:val="right"/>
              <w:rPr>
                <w:rFonts w:ascii="Caladea"/>
                <w:b/>
                <w:sz w:val="14"/>
              </w:rPr>
            </w:pPr>
            <w:r>
              <w:rPr>
                <w:rFonts w:ascii="Caladea"/>
                <w:b/>
                <w:sz w:val="14"/>
              </w:rPr>
              <w:t>583</w:t>
            </w:r>
          </w:p>
        </w:tc>
      </w:tr>
      <w:tr>
        <w:trPr>
          <w:trHeight w:val="237" w:hRule="atLeast"/>
        </w:trPr>
        <w:tc>
          <w:tcPr>
            <w:tcW w:w="6774" w:type="dxa"/>
          </w:tcPr>
          <w:p>
            <w:pPr>
              <w:pStyle w:val="TableParagraph"/>
              <w:spacing w:before="38"/>
              <w:ind w:left="72"/>
              <w:rPr>
                <w:sz w:val="14"/>
              </w:rPr>
            </w:pPr>
            <w:r>
              <w:rPr>
                <w:sz w:val="14"/>
              </w:rPr>
              <w:t>Governo do Distrito Federal</w:t>
            </w:r>
          </w:p>
        </w:tc>
        <w:tc>
          <w:tcPr>
            <w:tcW w:w="626" w:type="dxa"/>
          </w:tcPr>
          <w:p>
            <w:pPr>
              <w:pStyle w:val="TableParagraph"/>
              <w:rPr>
                <w:rFonts w:ascii="Times New Roman"/>
                <w:sz w:val="16"/>
              </w:rPr>
            </w:pPr>
          </w:p>
        </w:tc>
        <w:tc>
          <w:tcPr>
            <w:tcW w:w="1258" w:type="dxa"/>
          </w:tcPr>
          <w:p>
            <w:pPr>
              <w:pStyle w:val="TableParagraph"/>
              <w:spacing w:before="38"/>
              <w:ind w:right="58"/>
              <w:jc w:val="right"/>
              <w:rPr>
                <w:sz w:val="14"/>
              </w:rPr>
            </w:pPr>
            <w:r>
              <w:rPr>
                <w:w w:val="95"/>
                <w:sz w:val="14"/>
              </w:rPr>
              <w:t>20.670</w:t>
            </w:r>
          </w:p>
        </w:tc>
        <w:tc>
          <w:tcPr>
            <w:tcW w:w="1257" w:type="dxa"/>
          </w:tcPr>
          <w:p>
            <w:pPr>
              <w:pStyle w:val="TableParagraph"/>
              <w:spacing w:before="38"/>
              <w:ind w:right="61"/>
              <w:jc w:val="right"/>
              <w:rPr>
                <w:sz w:val="14"/>
              </w:rPr>
            </w:pPr>
            <w:r>
              <w:rPr>
                <w:w w:val="105"/>
                <w:sz w:val="14"/>
              </w:rPr>
              <w:t>583</w:t>
            </w:r>
          </w:p>
        </w:tc>
      </w:tr>
      <w:tr>
        <w:trPr>
          <w:trHeight w:val="239" w:hRule="atLeast"/>
        </w:trPr>
        <w:tc>
          <w:tcPr>
            <w:tcW w:w="6774" w:type="dxa"/>
          </w:tcPr>
          <w:p>
            <w:pPr>
              <w:pStyle w:val="TableParagraph"/>
              <w:spacing w:before="37"/>
              <w:ind w:left="72"/>
              <w:rPr>
                <w:rFonts w:ascii="Caladea" w:hAnsi="Caladea"/>
                <w:b/>
                <w:sz w:val="14"/>
              </w:rPr>
            </w:pPr>
            <w:r>
              <w:rPr>
                <w:rFonts w:ascii="Caladea" w:hAnsi="Caladea"/>
                <w:b/>
                <w:sz w:val="14"/>
              </w:rPr>
              <w:t>Empréstimos e Financiamentos</w:t>
            </w:r>
          </w:p>
        </w:tc>
        <w:tc>
          <w:tcPr>
            <w:tcW w:w="626" w:type="dxa"/>
          </w:tcPr>
          <w:p>
            <w:pPr>
              <w:pStyle w:val="TableParagraph"/>
              <w:rPr>
                <w:rFonts w:ascii="Times New Roman"/>
                <w:sz w:val="16"/>
              </w:rPr>
            </w:pPr>
          </w:p>
        </w:tc>
        <w:tc>
          <w:tcPr>
            <w:tcW w:w="1258" w:type="dxa"/>
          </w:tcPr>
          <w:p>
            <w:pPr>
              <w:pStyle w:val="TableParagraph"/>
              <w:spacing w:before="37"/>
              <w:ind w:right="59"/>
              <w:jc w:val="right"/>
              <w:rPr>
                <w:rFonts w:ascii="Caladea"/>
                <w:b/>
                <w:sz w:val="14"/>
              </w:rPr>
            </w:pPr>
            <w:r>
              <w:rPr>
                <w:rFonts w:ascii="Caladea"/>
                <w:b/>
                <w:sz w:val="14"/>
              </w:rPr>
              <w:t>45.633</w:t>
            </w:r>
          </w:p>
        </w:tc>
        <w:tc>
          <w:tcPr>
            <w:tcW w:w="1257" w:type="dxa"/>
          </w:tcPr>
          <w:p>
            <w:pPr>
              <w:pStyle w:val="TableParagraph"/>
              <w:rPr>
                <w:rFonts w:ascii="Times New Roman"/>
                <w:sz w:val="16"/>
              </w:rPr>
            </w:pPr>
          </w:p>
        </w:tc>
      </w:tr>
      <w:tr>
        <w:trPr>
          <w:trHeight w:val="237" w:hRule="atLeast"/>
        </w:trPr>
        <w:tc>
          <w:tcPr>
            <w:tcW w:w="6774" w:type="dxa"/>
          </w:tcPr>
          <w:p>
            <w:pPr>
              <w:pStyle w:val="TableParagraph"/>
              <w:spacing w:before="36"/>
              <w:ind w:left="72"/>
              <w:rPr>
                <w:sz w:val="14"/>
              </w:rPr>
            </w:pPr>
            <w:r>
              <w:rPr>
                <w:w w:val="105"/>
                <w:sz w:val="14"/>
              </w:rPr>
              <w:t>Banco de Brasília – BRB</w:t>
            </w:r>
          </w:p>
        </w:tc>
        <w:tc>
          <w:tcPr>
            <w:tcW w:w="626" w:type="dxa"/>
          </w:tcPr>
          <w:p>
            <w:pPr>
              <w:pStyle w:val="TableParagraph"/>
              <w:rPr>
                <w:rFonts w:ascii="Times New Roman"/>
                <w:sz w:val="16"/>
              </w:rPr>
            </w:pPr>
          </w:p>
        </w:tc>
        <w:tc>
          <w:tcPr>
            <w:tcW w:w="1258" w:type="dxa"/>
          </w:tcPr>
          <w:p>
            <w:pPr>
              <w:pStyle w:val="TableParagraph"/>
              <w:spacing w:before="36"/>
              <w:ind w:right="58"/>
              <w:jc w:val="right"/>
              <w:rPr>
                <w:sz w:val="14"/>
              </w:rPr>
            </w:pPr>
            <w:r>
              <w:rPr>
                <w:w w:val="95"/>
                <w:sz w:val="14"/>
              </w:rPr>
              <w:t>45.633</w:t>
            </w:r>
          </w:p>
        </w:tc>
        <w:tc>
          <w:tcPr>
            <w:tcW w:w="1257" w:type="dxa"/>
          </w:tcPr>
          <w:p>
            <w:pPr>
              <w:pStyle w:val="TableParagraph"/>
              <w:rPr>
                <w:rFonts w:ascii="Times New Roman"/>
                <w:sz w:val="16"/>
              </w:rPr>
            </w:pPr>
          </w:p>
        </w:tc>
      </w:tr>
      <w:tr>
        <w:trPr>
          <w:trHeight w:val="237" w:hRule="atLeast"/>
        </w:trPr>
        <w:tc>
          <w:tcPr>
            <w:tcW w:w="6774" w:type="dxa"/>
          </w:tcPr>
          <w:p>
            <w:pPr>
              <w:pStyle w:val="TableParagraph"/>
              <w:spacing w:before="37"/>
              <w:ind w:left="72"/>
              <w:rPr>
                <w:rFonts w:ascii="Caladea" w:hAnsi="Caladea"/>
                <w:b/>
                <w:sz w:val="14"/>
              </w:rPr>
            </w:pPr>
            <w:r>
              <w:rPr>
                <w:rFonts w:ascii="Caladea" w:hAnsi="Caladea"/>
                <w:b/>
                <w:sz w:val="14"/>
              </w:rPr>
              <w:t>Demais Obrigações</w:t>
            </w:r>
          </w:p>
        </w:tc>
        <w:tc>
          <w:tcPr>
            <w:tcW w:w="626" w:type="dxa"/>
          </w:tcPr>
          <w:p>
            <w:pPr>
              <w:pStyle w:val="TableParagraph"/>
              <w:rPr>
                <w:rFonts w:ascii="Times New Roman"/>
                <w:sz w:val="16"/>
              </w:rPr>
            </w:pPr>
          </w:p>
        </w:tc>
        <w:tc>
          <w:tcPr>
            <w:tcW w:w="1258" w:type="dxa"/>
          </w:tcPr>
          <w:p>
            <w:pPr>
              <w:pStyle w:val="TableParagraph"/>
              <w:spacing w:before="37"/>
              <w:ind w:right="58"/>
              <w:jc w:val="right"/>
              <w:rPr>
                <w:rFonts w:ascii="Caladea"/>
                <w:b/>
                <w:sz w:val="14"/>
              </w:rPr>
            </w:pPr>
            <w:r>
              <w:rPr>
                <w:rFonts w:ascii="Caladea"/>
                <w:b/>
                <w:w w:val="95"/>
                <w:sz w:val="14"/>
              </w:rPr>
              <w:t>854</w:t>
            </w:r>
          </w:p>
        </w:tc>
        <w:tc>
          <w:tcPr>
            <w:tcW w:w="1257" w:type="dxa"/>
          </w:tcPr>
          <w:p>
            <w:pPr>
              <w:pStyle w:val="TableParagraph"/>
              <w:spacing w:before="37"/>
              <w:ind w:right="61"/>
              <w:jc w:val="right"/>
              <w:rPr>
                <w:rFonts w:ascii="Caladea"/>
                <w:b/>
                <w:sz w:val="14"/>
              </w:rPr>
            </w:pPr>
            <w:r>
              <w:rPr>
                <w:rFonts w:ascii="Caladea"/>
                <w:b/>
                <w:w w:val="95"/>
                <w:sz w:val="14"/>
              </w:rPr>
              <w:t>62</w:t>
            </w:r>
          </w:p>
        </w:tc>
      </w:tr>
      <w:tr>
        <w:trPr>
          <w:trHeight w:val="239" w:hRule="atLeast"/>
        </w:trPr>
        <w:tc>
          <w:tcPr>
            <w:tcW w:w="6774" w:type="dxa"/>
          </w:tcPr>
          <w:p>
            <w:pPr>
              <w:pStyle w:val="TableParagraph"/>
              <w:spacing w:before="38"/>
              <w:ind w:left="72"/>
              <w:rPr>
                <w:sz w:val="14"/>
              </w:rPr>
            </w:pPr>
            <w:r>
              <w:rPr>
                <w:sz w:val="14"/>
              </w:rPr>
              <w:t>CEB Distribuição S.A.</w:t>
            </w:r>
          </w:p>
        </w:tc>
        <w:tc>
          <w:tcPr>
            <w:tcW w:w="626" w:type="dxa"/>
          </w:tcPr>
          <w:p>
            <w:pPr>
              <w:pStyle w:val="TableParagraph"/>
              <w:spacing w:before="37"/>
              <w:ind w:left="271"/>
              <w:rPr>
                <w:rFonts w:ascii="Caladea"/>
                <w:b/>
                <w:sz w:val="14"/>
              </w:rPr>
            </w:pPr>
            <w:r>
              <w:rPr>
                <w:rFonts w:ascii="Caladea"/>
                <w:b/>
                <w:w w:val="99"/>
                <w:sz w:val="14"/>
              </w:rPr>
              <w:t>d</w:t>
            </w:r>
          </w:p>
        </w:tc>
        <w:tc>
          <w:tcPr>
            <w:tcW w:w="1258" w:type="dxa"/>
          </w:tcPr>
          <w:p>
            <w:pPr>
              <w:pStyle w:val="TableParagraph"/>
              <w:spacing w:before="38"/>
              <w:ind w:right="59"/>
              <w:jc w:val="right"/>
              <w:rPr>
                <w:sz w:val="14"/>
              </w:rPr>
            </w:pPr>
            <w:r>
              <w:rPr>
                <w:w w:val="105"/>
                <w:sz w:val="14"/>
              </w:rPr>
              <w:t>791</w:t>
            </w:r>
          </w:p>
        </w:tc>
        <w:tc>
          <w:tcPr>
            <w:tcW w:w="1257" w:type="dxa"/>
          </w:tcPr>
          <w:p>
            <w:pPr>
              <w:pStyle w:val="TableParagraph"/>
              <w:spacing w:before="38"/>
              <w:ind w:right="61"/>
              <w:jc w:val="right"/>
              <w:rPr>
                <w:sz w:val="14"/>
              </w:rPr>
            </w:pPr>
            <w:r>
              <w:rPr>
                <w:sz w:val="14"/>
              </w:rPr>
              <w:t>62</w:t>
            </w:r>
          </w:p>
        </w:tc>
      </w:tr>
      <w:tr>
        <w:trPr>
          <w:trHeight w:val="237" w:hRule="atLeast"/>
        </w:trPr>
        <w:tc>
          <w:tcPr>
            <w:tcW w:w="6774" w:type="dxa"/>
          </w:tcPr>
          <w:p>
            <w:pPr>
              <w:pStyle w:val="TableParagraph"/>
              <w:spacing w:before="36"/>
              <w:ind w:left="72"/>
              <w:rPr>
                <w:sz w:val="14"/>
              </w:rPr>
            </w:pPr>
            <w:r>
              <w:rPr>
                <w:sz w:val="14"/>
              </w:rPr>
              <w:t>CEB Distribuição S.A.</w:t>
            </w:r>
          </w:p>
        </w:tc>
        <w:tc>
          <w:tcPr>
            <w:tcW w:w="626" w:type="dxa"/>
          </w:tcPr>
          <w:p>
            <w:pPr>
              <w:pStyle w:val="TableParagraph"/>
              <w:spacing w:before="34"/>
              <w:ind w:left="276"/>
              <w:rPr>
                <w:rFonts w:ascii="Caladea"/>
                <w:b/>
                <w:sz w:val="14"/>
              </w:rPr>
            </w:pPr>
            <w:r>
              <w:rPr>
                <w:rFonts w:ascii="Caladea"/>
                <w:b/>
                <w:w w:val="99"/>
                <w:sz w:val="14"/>
              </w:rPr>
              <w:t>e</w:t>
            </w:r>
          </w:p>
        </w:tc>
        <w:tc>
          <w:tcPr>
            <w:tcW w:w="1258" w:type="dxa"/>
          </w:tcPr>
          <w:p>
            <w:pPr>
              <w:pStyle w:val="TableParagraph"/>
              <w:spacing w:before="36"/>
              <w:ind w:right="59"/>
              <w:jc w:val="right"/>
              <w:rPr>
                <w:sz w:val="14"/>
              </w:rPr>
            </w:pPr>
            <w:r>
              <w:rPr>
                <w:sz w:val="14"/>
              </w:rPr>
              <w:t>63</w:t>
            </w:r>
          </w:p>
        </w:tc>
        <w:tc>
          <w:tcPr>
            <w:tcW w:w="1257" w:type="dxa"/>
          </w:tcPr>
          <w:p>
            <w:pPr>
              <w:pStyle w:val="TableParagraph"/>
              <w:rPr>
                <w:rFonts w:ascii="Times New Roman"/>
                <w:sz w:val="16"/>
              </w:rPr>
            </w:pPr>
          </w:p>
        </w:tc>
      </w:tr>
    </w:tbl>
    <w:p>
      <w:pPr>
        <w:spacing w:after="0"/>
        <w:rPr>
          <w:rFonts w:ascii="Times New Roman"/>
          <w:sz w:val="16"/>
        </w:rPr>
        <w:sectPr>
          <w:pgSz w:w="11910" w:h="16850"/>
          <w:pgMar w:header="792" w:footer="1029" w:top="1280" w:bottom="1220" w:left="960" w:right="440"/>
        </w:sectPr>
      </w:pPr>
    </w:p>
    <w:p>
      <w:pPr>
        <w:pStyle w:val="BodyText"/>
        <w:spacing w:before="11"/>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760"/>
        <w:gridCol w:w="720"/>
        <w:gridCol w:w="1217"/>
        <w:gridCol w:w="1219"/>
      </w:tblGrid>
      <w:tr>
        <w:trPr>
          <w:trHeight w:val="237" w:hRule="atLeast"/>
        </w:trPr>
        <w:tc>
          <w:tcPr>
            <w:tcW w:w="6760" w:type="dxa"/>
            <w:vMerge w:val="restart"/>
            <w:shd w:val="clear" w:color="auto" w:fill="D9D9D9"/>
          </w:tcPr>
          <w:p>
            <w:pPr>
              <w:pStyle w:val="TableParagraph"/>
              <w:spacing w:before="7"/>
              <w:rPr>
                <w:rFonts w:ascii="Caladea"/>
                <w:b/>
                <w:sz w:val="13"/>
              </w:rPr>
            </w:pPr>
          </w:p>
          <w:p>
            <w:pPr>
              <w:pStyle w:val="TableParagraph"/>
              <w:ind w:left="72"/>
              <w:rPr>
                <w:rFonts w:ascii="Caladea" w:hAnsi="Caladea"/>
                <w:b/>
                <w:sz w:val="14"/>
              </w:rPr>
            </w:pPr>
            <w:r>
              <w:rPr>
                <w:rFonts w:ascii="Caladea" w:hAnsi="Caladea"/>
                <w:b/>
                <w:sz w:val="14"/>
              </w:rPr>
              <w:t>Transações Com Partes Relacionadas (Resultado)</w:t>
            </w:r>
          </w:p>
        </w:tc>
        <w:tc>
          <w:tcPr>
            <w:tcW w:w="720" w:type="dxa"/>
            <w:vMerge w:val="restart"/>
          </w:tcPr>
          <w:p>
            <w:pPr>
              <w:pStyle w:val="TableParagraph"/>
              <w:spacing w:before="7"/>
              <w:rPr>
                <w:rFonts w:ascii="Caladea"/>
                <w:b/>
                <w:sz w:val="13"/>
              </w:rPr>
            </w:pPr>
          </w:p>
          <w:p>
            <w:pPr>
              <w:pStyle w:val="TableParagraph"/>
              <w:ind w:left="179"/>
              <w:rPr>
                <w:rFonts w:ascii="Caladea"/>
                <w:b/>
                <w:sz w:val="14"/>
              </w:rPr>
            </w:pPr>
            <w:r>
              <w:rPr>
                <w:rFonts w:ascii="Caladea"/>
                <w:b/>
                <w:sz w:val="14"/>
              </w:rPr>
              <w:t>Notas</w:t>
            </w:r>
          </w:p>
        </w:tc>
        <w:tc>
          <w:tcPr>
            <w:tcW w:w="2436" w:type="dxa"/>
            <w:gridSpan w:val="2"/>
          </w:tcPr>
          <w:p>
            <w:pPr>
              <w:pStyle w:val="TableParagraph"/>
              <w:spacing w:before="35"/>
              <w:ind w:left="787"/>
              <w:rPr>
                <w:rFonts w:ascii="Caladea"/>
                <w:b/>
                <w:sz w:val="14"/>
              </w:rPr>
            </w:pPr>
            <w:r>
              <w:rPr>
                <w:rFonts w:ascii="Caladea"/>
                <w:b/>
                <w:sz w:val="14"/>
              </w:rPr>
              <w:t>Controladora</w:t>
            </w:r>
          </w:p>
        </w:tc>
      </w:tr>
      <w:tr>
        <w:trPr>
          <w:trHeight w:val="239" w:hRule="atLeast"/>
        </w:trPr>
        <w:tc>
          <w:tcPr>
            <w:tcW w:w="6760" w:type="dxa"/>
            <w:vMerge/>
            <w:tcBorders>
              <w:top w:val="nil"/>
            </w:tcBorders>
            <w:shd w:val="clear" w:color="auto" w:fill="D9D9D9"/>
          </w:tcPr>
          <w:p>
            <w:pPr>
              <w:rPr>
                <w:sz w:val="2"/>
                <w:szCs w:val="2"/>
              </w:rPr>
            </w:pPr>
          </w:p>
        </w:tc>
        <w:tc>
          <w:tcPr>
            <w:tcW w:w="720" w:type="dxa"/>
            <w:vMerge/>
            <w:tcBorders>
              <w:top w:val="nil"/>
            </w:tcBorders>
          </w:tcPr>
          <w:p>
            <w:pPr>
              <w:rPr>
                <w:sz w:val="2"/>
                <w:szCs w:val="2"/>
              </w:rPr>
            </w:pPr>
          </w:p>
        </w:tc>
        <w:tc>
          <w:tcPr>
            <w:tcW w:w="1217" w:type="dxa"/>
          </w:tcPr>
          <w:p>
            <w:pPr>
              <w:pStyle w:val="TableParagraph"/>
              <w:spacing w:before="37"/>
              <w:ind w:left="208"/>
              <w:rPr>
                <w:rFonts w:ascii="Caladea"/>
                <w:b/>
                <w:sz w:val="14"/>
              </w:rPr>
            </w:pPr>
            <w:r>
              <w:rPr>
                <w:rFonts w:ascii="Caladea"/>
                <w:b/>
                <w:sz w:val="14"/>
              </w:rPr>
              <w:t>31/12/2019</w:t>
            </w:r>
          </w:p>
        </w:tc>
        <w:tc>
          <w:tcPr>
            <w:tcW w:w="1219" w:type="dxa"/>
          </w:tcPr>
          <w:p>
            <w:pPr>
              <w:pStyle w:val="TableParagraph"/>
              <w:spacing w:before="37"/>
              <w:ind w:left="208"/>
              <w:rPr>
                <w:rFonts w:ascii="Caladea"/>
                <w:b/>
                <w:sz w:val="14"/>
              </w:rPr>
            </w:pPr>
            <w:r>
              <w:rPr>
                <w:rFonts w:ascii="Caladea"/>
                <w:b/>
                <w:sz w:val="14"/>
              </w:rPr>
              <w:t>31/12/2018</w:t>
            </w:r>
          </w:p>
        </w:tc>
      </w:tr>
      <w:tr>
        <w:trPr>
          <w:trHeight w:val="237" w:hRule="atLeast"/>
        </w:trPr>
        <w:tc>
          <w:tcPr>
            <w:tcW w:w="6760" w:type="dxa"/>
          </w:tcPr>
          <w:p>
            <w:pPr>
              <w:pStyle w:val="TableParagraph"/>
              <w:spacing w:before="35"/>
              <w:ind w:left="72"/>
              <w:rPr>
                <w:rFonts w:ascii="Caladea"/>
                <w:b/>
                <w:sz w:val="14"/>
              </w:rPr>
            </w:pPr>
            <w:r>
              <w:rPr>
                <w:rFonts w:ascii="Caladea"/>
                <w:b/>
                <w:sz w:val="14"/>
              </w:rPr>
              <w:t>Receitas</w:t>
            </w:r>
          </w:p>
        </w:tc>
        <w:tc>
          <w:tcPr>
            <w:tcW w:w="720" w:type="dxa"/>
          </w:tcPr>
          <w:p>
            <w:pPr>
              <w:pStyle w:val="TableParagraph"/>
              <w:rPr>
                <w:rFonts w:ascii="Times New Roman"/>
                <w:sz w:val="16"/>
              </w:rPr>
            </w:pPr>
          </w:p>
        </w:tc>
        <w:tc>
          <w:tcPr>
            <w:tcW w:w="1217" w:type="dxa"/>
          </w:tcPr>
          <w:p>
            <w:pPr>
              <w:pStyle w:val="TableParagraph"/>
              <w:spacing w:before="35"/>
              <w:ind w:right="57"/>
              <w:jc w:val="right"/>
              <w:rPr>
                <w:rFonts w:ascii="Caladea"/>
                <w:b/>
                <w:sz w:val="14"/>
              </w:rPr>
            </w:pPr>
            <w:r>
              <w:rPr>
                <w:rFonts w:ascii="Caladea"/>
                <w:b/>
                <w:sz w:val="14"/>
              </w:rPr>
              <w:t>61.760</w:t>
            </w:r>
          </w:p>
        </w:tc>
        <w:tc>
          <w:tcPr>
            <w:tcW w:w="1219" w:type="dxa"/>
          </w:tcPr>
          <w:p>
            <w:pPr>
              <w:pStyle w:val="TableParagraph"/>
              <w:spacing w:before="35"/>
              <w:ind w:right="59"/>
              <w:jc w:val="right"/>
              <w:rPr>
                <w:rFonts w:ascii="Caladea"/>
                <w:b/>
                <w:sz w:val="14"/>
              </w:rPr>
            </w:pPr>
            <w:r>
              <w:rPr>
                <w:rFonts w:ascii="Caladea"/>
                <w:b/>
                <w:sz w:val="14"/>
              </w:rPr>
              <w:t>74.473</w:t>
            </w:r>
          </w:p>
        </w:tc>
      </w:tr>
      <w:tr>
        <w:trPr>
          <w:trHeight w:val="237" w:hRule="atLeast"/>
        </w:trPr>
        <w:tc>
          <w:tcPr>
            <w:tcW w:w="6760" w:type="dxa"/>
          </w:tcPr>
          <w:p>
            <w:pPr>
              <w:pStyle w:val="TableParagraph"/>
              <w:spacing w:before="34"/>
              <w:ind w:left="72"/>
              <w:rPr>
                <w:rFonts w:ascii="Caladea" w:hAnsi="Caladea"/>
                <w:b/>
                <w:sz w:val="14"/>
              </w:rPr>
            </w:pPr>
            <w:r>
              <w:rPr>
                <w:rFonts w:ascii="Caladea" w:hAnsi="Caladea"/>
                <w:b/>
                <w:sz w:val="14"/>
              </w:rPr>
              <w:t>Receita de Prestação de Serviços</w:t>
            </w:r>
          </w:p>
        </w:tc>
        <w:tc>
          <w:tcPr>
            <w:tcW w:w="720" w:type="dxa"/>
          </w:tcPr>
          <w:p>
            <w:pPr>
              <w:pStyle w:val="TableParagraph"/>
              <w:rPr>
                <w:rFonts w:ascii="Times New Roman"/>
                <w:sz w:val="16"/>
              </w:rPr>
            </w:pPr>
          </w:p>
        </w:tc>
        <w:tc>
          <w:tcPr>
            <w:tcW w:w="1217" w:type="dxa"/>
          </w:tcPr>
          <w:p>
            <w:pPr>
              <w:pStyle w:val="TableParagraph"/>
              <w:spacing w:before="34"/>
              <w:ind w:right="57"/>
              <w:jc w:val="right"/>
              <w:rPr>
                <w:rFonts w:ascii="Caladea"/>
                <w:b/>
                <w:sz w:val="14"/>
              </w:rPr>
            </w:pPr>
            <w:r>
              <w:rPr>
                <w:rFonts w:ascii="Caladea"/>
                <w:b/>
                <w:sz w:val="14"/>
              </w:rPr>
              <w:t>60.270</w:t>
            </w:r>
          </w:p>
        </w:tc>
        <w:tc>
          <w:tcPr>
            <w:tcW w:w="1219" w:type="dxa"/>
          </w:tcPr>
          <w:p>
            <w:pPr>
              <w:pStyle w:val="TableParagraph"/>
              <w:spacing w:before="34"/>
              <w:ind w:right="59"/>
              <w:jc w:val="right"/>
              <w:rPr>
                <w:rFonts w:ascii="Caladea"/>
                <w:b/>
                <w:sz w:val="14"/>
              </w:rPr>
            </w:pPr>
            <w:r>
              <w:rPr>
                <w:rFonts w:ascii="Caladea"/>
                <w:b/>
                <w:sz w:val="14"/>
              </w:rPr>
              <w:t>72.885</w:t>
            </w:r>
          </w:p>
        </w:tc>
      </w:tr>
      <w:tr>
        <w:trPr>
          <w:trHeight w:val="239" w:hRule="atLeast"/>
        </w:trPr>
        <w:tc>
          <w:tcPr>
            <w:tcW w:w="6760" w:type="dxa"/>
          </w:tcPr>
          <w:p>
            <w:pPr>
              <w:pStyle w:val="TableParagraph"/>
              <w:spacing w:before="38"/>
              <w:ind w:left="72"/>
              <w:rPr>
                <w:sz w:val="14"/>
              </w:rPr>
            </w:pPr>
            <w:r>
              <w:rPr>
                <w:sz w:val="14"/>
              </w:rPr>
              <w:t>Governo do Distrito Federal</w:t>
            </w:r>
          </w:p>
        </w:tc>
        <w:tc>
          <w:tcPr>
            <w:tcW w:w="720" w:type="dxa"/>
          </w:tcPr>
          <w:p>
            <w:pPr>
              <w:pStyle w:val="TableParagraph"/>
              <w:spacing w:before="37"/>
              <w:ind w:left="11"/>
              <w:jc w:val="center"/>
              <w:rPr>
                <w:rFonts w:ascii="Caladea"/>
                <w:b/>
                <w:sz w:val="14"/>
              </w:rPr>
            </w:pPr>
            <w:r>
              <w:rPr>
                <w:rFonts w:ascii="Caladea"/>
                <w:b/>
                <w:w w:val="99"/>
                <w:sz w:val="14"/>
              </w:rPr>
              <w:t>f</w:t>
            </w:r>
          </w:p>
        </w:tc>
        <w:tc>
          <w:tcPr>
            <w:tcW w:w="1217" w:type="dxa"/>
          </w:tcPr>
          <w:p>
            <w:pPr>
              <w:pStyle w:val="TableParagraph"/>
              <w:spacing w:before="38"/>
              <w:ind w:right="57"/>
              <w:jc w:val="right"/>
              <w:rPr>
                <w:sz w:val="14"/>
              </w:rPr>
            </w:pPr>
            <w:r>
              <w:rPr>
                <w:w w:val="95"/>
                <w:sz w:val="14"/>
              </w:rPr>
              <w:t>60.270</w:t>
            </w:r>
          </w:p>
        </w:tc>
        <w:tc>
          <w:tcPr>
            <w:tcW w:w="1219" w:type="dxa"/>
          </w:tcPr>
          <w:p>
            <w:pPr>
              <w:pStyle w:val="TableParagraph"/>
              <w:spacing w:before="38"/>
              <w:ind w:right="59"/>
              <w:jc w:val="right"/>
              <w:rPr>
                <w:sz w:val="14"/>
              </w:rPr>
            </w:pPr>
            <w:r>
              <w:rPr>
                <w:w w:val="95"/>
                <w:sz w:val="14"/>
              </w:rPr>
              <w:t>72.885</w:t>
            </w:r>
          </w:p>
        </w:tc>
      </w:tr>
      <w:tr>
        <w:trPr>
          <w:trHeight w:val="237" w:hRule="atLeast"/>
        </w:trPr>
        <w:tc>
          <w:tcPr>
            <w:tcW w:w="6760" w:type="dxa"/>
          </w:tcPr>
          <w:p>
            <w:pPr>
              <w:pStyle w:val="TableParagraph"/>
              <w:spacing w:before="35"/>
              <w:ind w:left="72"/>
              <w:rPr>
                <w:rFonts w:ascii="Caladea" w:hAnsi="Caladea"/>
                <w:b/>
                <w:sz w:val="14"/>
              </w:rPr>
            </w:pPr>
            <w:r>
              <w:rPr>
                <w:rFonts w:ascii="Caladea" w:hAnsi="Caladea"/>
                <w:b/>
                <w:sz w:val="14"/>
              </w:rPr>
              <w:t>Encargos de Mútuo</w:t>
            </w:r>
          </w:p>
        </w:tc>
        <w:tc>
          <w:tcPr>
            <w:tcW w:w="720" w:type="dxa"/>
          </w:tcPr>
          <w:p>
            <w:pPr>
              <w:pStyle w:val="TableParagraph"/>
              <w:rPr>
                <w:rFonts w:ascii="Times New Roman"/>
                <w:sz w:val="16"/>
              </w:rPr>
            </w:pPr>
          </w:p>
        </w:tc>
        <w:tc>
          <w:tcPr>
            <w:tcW w:w="1217" w:type="dxa"/>
          </w:tcPr>
          <w:p>
            <w:pPr>
              <w:pStyle w:val="TableParagraph"/>
              <w:spacing w:before="35"/>
              <w:ind w:right="56"/>
              <w:jc w:val="right"/>
              <w:rPr>
                <w:rFonts w:ascii="Caladea"/>
                <w:b/>
                <w:sz w:val="14"/>
              </w:rPr>
            </w:pPr>
            <w:r>
              <w:rPr>
                <w:rFonts w:ascii="Caladea"/>
                <w:b/>
                <w:w w:val="95"/>
                <w:sz w:val="14"/>
              </w:rPr>
              <w:t>1.490</w:t>
            </w:r>
          </w:p>
        </w:tc>
        <w:tc>
          <w:tcPr>
            <w:tcW w:w="1219" w:type="dxa"/>
          </w:tcPr>
          <w:p>
            <w:pPr>
              <w:pStyle w:val="TableParagraph"/>
              <w:spacing w:before="35"/>
              <w:ind w:right="59"/>
              <w:jc w:val="right"/>
              <w:rPr>
                <w:rFonts w:ascii="Caladea"/>
                <w:b/>
                <w:sz w:val="14"/>
              </w:rPr>
            </w:pPr>
            <w:r>
              <w:rPr>
                <w:rFonts w:ascii="Caladea"/>
                <w:b/>
                <w:w w:val="95"/>
                <w:sz w:val="14"/>
              </w:rPr>
              <w:t>1.588</w:t>
            </w:r>
          </w:p>
        </w:tc>
      </w:tr>
      <w:tr>
        <w:trPr>
          <w:trHeight w:val="237" w:hRule="atLeast"/>
        </w:trPr>
        <w:tc>
          <w:tcPr>
            <w:tcW w:w="6760" w:type="dxa"/>
          </w:tcPr>
          <w:p>
            <w:pPr>
              <w:pStyle w:val="TableParagraph"/>
              <w:spacing w:before="36"/>
              <w:ind w:left="72"/>
              <w:rPr>
                <w:sz w:val="14"/>
              </w:rPr>
            </w:pPr>
            <w:r>
              <w:rPr>
                <w:sz w:val="14"/>
              </w:rPr>
              <w:t>Corumbá Concessões S.A.</w:t>
            </w:r>
          </w:p>
        </w:tc>
        <w:tc>
          <w:tcPr>
            <w:tcW w:w="720" w:type="dxa"/>
          </w:tcPr>
          <w:p>
            <w:pPr>
              <w:pStyle w:val="TableParagraph"/>
              <w:spacing w:before="35"/>
              <w:ind w:left="14"/>
              <w:jc w:val="center"/>
              <w:rPr>
                <w:rFonts w:ascii="Caladea"/>
                <w:b/>
                <w:sz w:val="14"/>
              </w:rPr>
            </w:pPr>
            <w:r>
              <w:rPr>
                <w:rFonts w:ascii="Caladea"/>
                <w:b/>
                <w:w w:val="99"/>
                <w:sz w:val="14"/>
              </w:rPr>
              <w:t>g</w:t>
            </w:r>
          </w:p>
        </w:tc>
        <w:tc>
          <w:tcPr>
            <w:tcW w:w="1217" w:type="dxa"/>
          </w:tcPr>
          <w:p>
            <w:pPr>
              <w:pStyle w:val="TableParagraph"/>
              <w:spacing w:before="36"/>
              <w:ind w:right="57"/>
              <w:jc w:val="right"/>
              <w:rPr>
                <w:sz w:val="14"/>
              </w:rPr>
            </w:pPr>
            <w:r>
              <w:rPr>
                <w:w w:val="95"/>
                <w:sz w:val="14"/>
              </w:rPr>
              <w:t>1.490</w:t>
            </w:r>
          </w:p>
        </w:tc>
        <w:tc>
          <w:tcPr>
            <w:tcW w:w="1219" w:type="dxa"/>
          </w:tcPr>
          <w:p>
            <w:pPr>
              <w:pStyle w:val="TableParagraph"/>
              <w:spacing w:before="36"/>
              <w:ind w:right="59"/>
              <w:jc w:val="right"/>
              <w:rPr>
                <w:sz w:val="14"/>
              </w:rPr>
            </w:pPr>
            <w:r>
              <w:rPr>
                <w:w w:val="95"/>
                <w:sz w:val="14"/>
              </w:rPr>
              <w:t>1.588</w:t>
            </w:r>
          </w:p>
        </w:tc>
      </w:tr>
      <w:tr>
        <w:trPr>
          <w:trHeight w:val="239" w:hRule="atLeast"/>
        </w:trPr>
        <w:tc>
          <w:tcPr>
            <w:tcW w:w="6760" w:type="dxa"/>
          </w:tcPr>
          <w:p>
            <w:pPr>
              <w:pStyle w:val="TableParagraph"/>
              <w:spacing w:before="37"/>
              <w:ind w:left="72"/>
              <w:rPr>
                <w:rFonts w:ascii="Caladea"/>
                <w:b/>
                <w:sz w:val="14"/>
              </w:rPr>
            </w:pPr>
            <w:r>
              <w:rPr>
                <w:rFonts w:ascii="Caladea"/>
                <w:b/>
                <w:sz w:val="14"/>
              </w:rPr>
              <w:t>Despesas</w:t>
            </w:r>
          </w:p>
        </w:tc>
        <w:tc>
          <w:tcPr>
            <w:tcW w:w="720" w:type="dxa"/>
          </w:tcPr>
          <w:p>
            <w:pPr>
              <w:pStyle w:val="TableParagraph"/>
              <w:rPr>
                <w:rFonts w:ascii="Times New Roman"/>
                <w:sz w:val="16"/>
              </w:rPr>
            </w:pPr>
          </w:p>
        </w:tc>
        <w:tc>
          <w:tcPr>
            <w:tcW w:w="1217" w:type="dxa"/>
          </w:tcPr>
          <w:p>
            <w:pPr>
              <w:pStyle w:val="TableParagraph"/>
              <w:spacing w:before="37"/>
              <w:ind w:right="55"/>
              <w:jc w:val="right"/>
              <w:rPr>
                <w:rFonts w:ascii="Caladea"/>
                <w:b/>
                <w:sz w:val="14"/>
              </w:rPr>
            </w:pPr>
            <w:r>
              <w:rPr>
                <w:rFonts w:ascii="Caladea"/>
                <w:b/>
                <w:sz w:val="14"/>
              </w:rPr>
              <w:t>(4.382)</w:t>
            </w:r>
          </w:p>
        </w:tc>
        <w:tc>
          <w:tcPr>
            <w:tcW w:w="1219" w:type="dxa"/>
          </w:tcPr>
          <w:p>
            <w:pPr>
              <w:pStyle w:val="TableParagraph"/>
              <w:spacing w:before="37"/>
              <w:ind w:right="59"/>
              <w:jc w:val="right"/>
              <w:rPr>
                <w:rFonts w:ascii="Caladea"/>
                <w:b/>
                <w:sz w:val="14"/>
              </w:rPr>
            </w:pPr>
            <w:r>
              <w:rPr>
                <w:rFonts w:ascii="Caladea"/>
                <w:b/>
                <w:w w:val="95"/>
                <w:sz w:val="14"/>
              </w:rPr>
              <w:t>294</w:t>
            </w:r>
          </w:p>
        </w:tc>
      </w:tr>
      <w:tr>
        <w:trPr>
          <w:trHeight w:val="237" w:hRule="atLeast"/>
        </w:trPr>
        <w:tc>
          <w:tcPr>
            <w:tcW w:w="6760" w:type="dxa"/>
          </w:tcPr>
          <w:p>
            <w:pPr>
              <w:pStyle w:val="TableParagraph"/>
              <w:spacing w:before="34"/>
              <w:ind w:left="72"/>
              <w:rPr>
                <w:rFonts w:ascii="Caladea" w:hAnsi="Caladea"/>
                <w:b/>
                <w:sz w:val="14"/>
              </w:rPr>
            </w:pPr>
            <w:r>
              <w:rPr>
                <w:rFonts w:ascii="Caladea" w:hAnsi="Caladea"/>
                <w:b/>
                <w:sz w:val="14"/>
              </w:rPr>
              <w:t>(Provisão)/Reversão Estimada de Perdas com Créditos de Liquidação Duvidosa</w:t>
            </w:r>
          </w:p>
        </w:tc>
        <w:tc>
          <w:tcPr>
            <w:tcW w:w="720" w:type="dxa"/>
          </w:tcPr>
          <w:p>
            <w:pPr>
              <w:pStyle w:val="TableParagraph"/>
              <w:rPr>
                <w:rFonts w:ascii="Times New Roman"/>
                <w:sz w:val="16"/>
              </w:rPr>
            </w:pPr>
          </w:p>
        </w:tc>
        <w:tc>
          <w:tcPr>
            <w:tcW w:w="1217" w:type="dxa"/>
          </w:tcPr>
          <w:p>
            <w:pPr>
              <w:pStyle w:val="TableParagraph"/>
              <w:spacing w:before="34"/>
              <w:ind w:right="56"/>
              <w:jc w:val="right"/>
              <w:rPr>
                <w:rFonts w:ascii="Caladea"/>
                <w:b/>
                <w:sz w:val="14"/>
              </w:rPr>
            </w:pPr>
            <w:r>
              <w:rPr>
                <w:rFonts w:ascii="Caladea"/>
                <w:b/>
                <w:sz w:val="14"/>
              </w:rPr>
              <w:t>(2.699)</w:t>
            </w:r>
          </w:p>
        </w:tc>
        <w:tc>
          <w:tcPr>
            <w:tcW w:w="1219" w:type="dxa"/>
          </w:tcPr>
          <w:p>
            <w:pPr>
              <w:pStyle w:val="TableParagraph"/>
              <w:spacing w:before="34"/>
              <w:ind w:right="59"/>
              <w:jc w:val="right"/>
              <w:rPr>
                <w:rFonts w:ascii="Caladea"/>
                <w:b/>
                <w:sz w:val="14"/>
              </w:rPr>
            </w:pPr>
            <w:r>
              <w:rPr>
                <w:rFonts w:ascii="Caladea"/>
                <w:b/>
                <w:w w:val="95"/>
                <w:sz w:val="14"/>
              </w:rPr>
              <w:t>294</w:t>
            </w:r>
          </w:p>
        </w:tc>
      </w:tr>
      <w:tr>
        <w:trPr>
          <w:trHeight w:val="237" w:hRule="atLeast"/>
        </w:trPr>
        <w:tc>
          <w:tcPr>
            <w:tcW w:w="6760" w:type="dxa"/>
          </w:tcPr>
          <w:p>
            <w:pPr>
              <w:pStyle w:val="TableParagraph"/>
              <w:spacing w:before="36"/>
              <w:ind w:left="72"/>
              <w:rPr>
                <w:sz w:val="14"/>
              </w:rPr>
            </w:pPr>
            <w:r>
              <w:rPr>
                <w:sz w:val="14"/>
              </w:rPr>
              <w:t>Governo do Distrito Federal</w:t>
            </w:r>
          </w:p>
        </w:tc>
        <w:tc>
          <w:tcPr>
            <w:tcW w:w="720" w:type="dxa"/>
          </w:tcPr>
          <w:p>
            <w:pPr>
              <w:pStyle w:val="TableParagraph"/>
              <w:spacing w:before="35"/>
              <w:ind w:left="10"/>
              <w:jc w:val="center"/>
              <w:rPr>
                <w:rFonts w:ascii="Caladea"/>
                <w:b/>
                <w:sz w:val="14"/>
              </w:rPr>
            </w:pPr>
            <w:r>
              <w:rPr>
                <w:rFonts w:ascii="Caladea"/>
                <w:b/>
                <w:w w:val="99"/>
                <w:sz w:val="14"/>
              </w:rPr>
              <w:t>h</w:t>
            </w:r>
          </w:p>
        </w:tc>
        <w:tc>
          <w:tcPr>
            <w:tcW w:w="1217" w:type="dxa"/>
          </w:tcPr>
          <w:p>
            <w:pPr>
              <w:pStyle w:val="TableParagraph"/>
              <w:spacing w:before="36"/>
              <w:ind w:right="57"/>
              <w:jc w:val="right"/>
              <w:rPr>
                <w:sz w:val="14"/>
              </w:rPr>
            </w:pPr>
            <w:r>
              <w:rPr>
                <w:w w:val="95"/>
                <w:sz w:val="14"/>
              </w:rPr>
              <w:t>(2.699)</w:t>
            </w:r>
          </w:p>
        </w:tc>
        <w:tc>
          <w:tcPr>
            <w:tcW w:w="1219" w:type="dxa"/>
          </w:tcPr>
          <w:p>
            <w:pPr>
              <w:pStyle w:val="TableParagraph"/>
              <w:spacing w:before="36"/>
              <w:ind w:right="59"/>
              <w:jc w:val="right"/>
              <w:rPr>
                <w:sz w:val="14"/>
              </w:rPr>
            </w:pPr>
            <w:r>
              <w:rPr>
                <w:sz w:val="14"/>
              </w:rPr>
              <w:t>294</w:t>
            </w:r>
          </w:p>
        </w:tc>
      </w:tr>
      <w:tr>
        <w:trPr>
          <w:trHeight w:val="239" w:hRule="atLeast"/>
        </w:trPr>
        <w:tc>
          <w:tcPr>
            <w:tcW w:w="6760" w:type="dxa"/>
          </w:tcPr>
          <w:p>
            <w:pPr>
              <w:pStyle w:val="TableParagraph"/>
              <w:spacing w:before="37"/>
              <w:ind w:left="72"/>
              <w:rPr>
                <w:rFonts w:ascii="Caladea" w:hAnsi="Caladea"/>
                <w:b/>
                <w:sz w:val="14"/>
              </w:rPr>
            </w:pPr>
            <w:r>
              <w:rPr>
                <w:rFonts w:ascii="Caladea" w:hAnsi="Caladea"/>
                <w:b/>
                <w:sz w:val="14"/>
              </w:rPr>
              <w:t>Despesas de Juros e Correção Monetária</w:t>
            </w:r>
          </w:p>
        </w:tc>
        <w:tc>
          <w:tcPr>
            <w:tcW w:w="720" w:type="dxa"/>
          </w:tcPr>
          <w:p>
            <w:pPr>
              <w:pStyle w:val="TableParagraph"/>
              <w:rPr>
                <w:rFonts w:ascii="Times New Roman"/>
                <w:sz w:val="16"/>
              </w:rPr>
            </w:pPr>
          </w:p>
        </w:tc>
        <w:tc>
          <w:tcPr>
            <w:tcW w:w="1217" w:type="dxa"/>
          </w:tcPr>
          <w:p>
            <w:pPr>
              <w:pStyle w:val="TableParagraph"/>
              <w:spacing w:before="37"/>
              <w:ind w:right="55"/>
              <w:jc w:val="right"/>
              <w:rPr>
                <w:rFonts w:ascii="Caladea"/>
                <w:b/>
                <w:sz w:val="14"/>
              </w:rPr>
            </w:pPr>
            <w:r>
              <w:rPr>
                <w:rFonts w:ascii="Caladea"/>
                <w:b/>
                <w:sz w:val="14"/>
              </w:rPr>
              <w:t>(1.683)</w:t>
            </w:r>
          </w:p>
        </w:tc>
        <w:tc>
          <w:tcPr>
            <w:tcW w:w="1219" w:type="dxa"/>
          </w:tcPr>
          <w:p>
            <w:pPr>
              <w:pStyle w:val="TableParagraph"/>
              <w:rPr>
                <w:rFonts w:ascii="Times New Roman"/>
                <w:sz w:val="16"/>
              </w:rPr>
            </w:pPr>
          </w:p>
        </w:tc>
      </w:tr>
      <w:tr>
        <w:trPr>
          <w:trHeight w:val="237" w:hRule="atLeast"/>
        </w:trPr>
        <w:tc>
          <w:tcPr>
            <w:tcW w:w="6760" w:type="dxa"/>
          </w:tcPr>
          <w:p>
            <w:pPr>
              <w:pStyle w:val="TableParagraph"/>
              <w:spacing w:before="36"/>
              <w:ind w:left="72"/>
              <w:rPr>
                <w:sz w:val="14"/>
              </w:rPr>
            </w:pPr>
            <w:r>
              <w:rPr>
                <w:w w:val="105"/>
                <w:sz w:val="14"/>
              </w:rPr>
              <w:t>Banco de Brasília – BRB</w:t>
            </w:r>
          </w:p>
        </w:tc>
        <w:tc>
          <w:tcPr>
            <w:tcW w:w="720" w:type="dxa"/>
          </w:tcPr>
          <w:p>
            <w:pPr>
              <w:pStyle w:val="TableParagraph"/>
              <w:rPr>
                <w:rFonts w:ascii="Times New Roman"/>
                <w:sz w:val="16"/>
              </w:rPr>
            </w:pPr>
          </w:p>
        </w:tc>
        <w:tc>
          <w:tcPr>
            <w:tcW w:w="1217" w:type="dxa"/>
          </w:tcPr>
          <w:p>
            <w:pPr>
              <w:pStyle w:val="TableParagraph"/>
              <w:spacing w:before="36"/>
              <w:ind w:right="57"/>
              <w:jc w:val="right"/>
              <w:rPr>
                <w:sz w:val="14"/>
              </w:rPr>
            </w:pPr>
            <w:r>
              <w:rPr>
                <w:w w:val="95"/>
                <w:sz w:val="14"/>
              </w:rPr>
              <w:t>(1.683)</w:t>
            </w:r>
          </w:p>
        </w:tc>
        <w:tc>
          <w:tcPr>
            <w:tcW w:w="1219" w:type="dxa"/>
          </w:tcPr>
          <w:p>
            <w:pPr>
              <w:pStyle w:val="TableParagraph"/>
              <w:rPr>
                <w:rFonts w:ascii="Times New Roman"/>
                <w:sz w:val="16"/>
              </w:rPr>
            </w:pPr>
          </w:p>
        </w:tc>
      </w:tr>
    </w:tbl>
    <w:p>
      <w:pPr>
        <w:pStyle w:val="BodyText"/>
        <w:spacing w:before="9"/>
        <w:rPr>
          <w:rFonts w:ascii="Caladea"/>
          <w:b/>
          <w:sz w:val="21"/>
        </w:rPr>
      </w:pPr>
    </w:p>
    <w:p>
      <w:pPr>
        <w:pStyle w:val="ListParagraph"/>
        <w:numPr>
          <w:ilvl w:val="0"/>
          <w:numId w:val="49"/>
        </w:numPr>
        <w:tabs>
          <w:tab w:pos="428" w:val="left" w:leader="none"/>
        </w:tabs>
        <w:spacing w:line="244" w:lineRule="auto" w:before="99" w:after="0"/>
        <w:ind w:left="172" w:right="419" w:firstLine="0"/>
        <w:jc w:val="both"/>
        <w:rPr>
          <w:sz w:val="20"/>
        </w:rPr>
      </w:pPr>
      <w:r>
        <w:rPr>
          <w:sz w:val="20"/>
        </w:rPr>
        <w:t>Representa</w:t>
      </w:r>
      <w:r>
        <w:rPr>
          <w:spacing w:val="-13"/>
          <w:sz w:val="20"/>
        </w:rPr>
        <w:t> </w:t>
      </w:r>
      <w:r>
        <w:rPr>
          <w:sz w:val="20"/>
        </w:rPr>
        <w:t>valores</w:t>
      </w:r>
      <w:r>
        <w:rPr>
          <w:spacing w:val="-12"/>
          <w:sz w:val="20"/>
        </w:rPr>
        <w:t> </w:t>
      </w:r>
      <w:r>
        <w:rPr>
          <w:sz w:val="20"/>
        </w:rPr>
        <w:t>a</w:t>
      </w:r>
      <w:r>
        <w:rPr>
          <w:spacing w:val="-10"/>
          <w:sz w:val="20"/>
        </w:rPr>
        <w:t> </w:t>
      </w:r>
      <w:r>
        <w:rPr>
          <w:sz w:val="20"/>
        </w:rPr>
        <w:t>receber</w:t>
      </w:r>
      <w:r>
        <w:rPr>
          <w:spacing w:val="-11"/>
          <w:sz w:val="20"/>
        </w:rPr>
        <w:t> </w:t>
      </w:r>
      <w:r>
        <w:rPr>
          <w:sz w:val="20"/>
        </w:rPr>
        <w:t>por</w:t>
      </w:r>
      <w:r>
        <w:rPr>
          <w:spacing w:val="-12"/>
          <w:sz w:val="20"/>
        </w:rPr>
        <w:t> </w:t>
      </w:r>
      <w:r>
        <w:rPr>
          <w:sz w:val="20"/>
        </w:rPr>
        <w:t>serviços</w:t>
      </w:r>
      <w:r>
        <w:rPr>
          <w:spacing w:val="-13"/>
          <w:sz w:val="20"/>
        </w:rPr>
        <w:t> </w:t>
      </w:r>
      <w:r>
        <w:rPr>
          <w:sz w:val="20"/>
        </w:rPr>
        <w:t>prestados</w:t>
      </w:r>
      <w:r>
        <w:rPr>
          <w:spacing w:val="-12"/>
          <w:sz w:val="20"/>
        </w:rPr>
        <w:t> </w:t>
      </w:r>
      <w:r>
        <w:rPr>
          <w:sz w:val="20"/>
        </w:rPr>
        <w:t>de</w:t>
      </w:r>
      <w:r>
        <w:rPr>
          <w:spacing w:val="-12"/>
          <w:sz w:val="20"/>
        </w:rPr>
        <w:t> </w:t>
      </w:r>
      <w:r>
        <w:rPr>
          <w:sz w:val="20"/>
        </w:rPr>
        <w:t>obras</w:t>
      </w:r>
      <w:r>
        <w:rPr>
          <w:spacing w:val="-11"/>
          <w:sz w:val="20"/>
        </w:rPr>
        <w:t> </w:t>
      </w:r>
      <w:r>
        <w:rPr>
          <w:sz w:val="20"/>
        </w:rPr>
        <w:t>e</w:t>
      </w:r>
      <w:r>
        <w:rPr>
          <w:spacing w:val="-12"/>
          <w:sz w:val="20"/>
        </w:rPr>
        <w:t> </w:t>
      </w:r>
      <w:r>
        <w:rPr>
          <w:sz w:val="20"/>
        </w:rPr>
        <w:t>manutenção</w:t>
      </w:r>
      <w:r>
        <w:rPr>
          <w:spacing w:val="-11"/>
          <w:sz w:val="20"/>
        </w:rPr>
        <w:t> </w:t>
      </w:r>
      <w:r>
        <w:rPr>
          <w:sz w:val="20"/>
        </w:rPr>
        <w:t>da</w:t>
      </w:r>
      <w:r>
        <w:rPr>
          <w:spacing w:val="-11"/>
          <w:sz w:val="20"/>
        </w:rPr>
        <w:t> </w:t>
      </w:r>
      <w:r>
        <w:rPr>
          <w:sz w:val="20"/>
        </w:rPr>
        <w:t>rede</w:t>
      </w:r>
      <w:r>
        <w:rPr>
          <w:spacing w:val="-13"/>
          <w:sz w:val="20"/>
        </w:rPr>
        <w:t> </w:t>
      </w:r>
      <w:r>
        <w:rPr>
          <w:sz w:val="20"/>
        </w:rPr>
        <w:t>de</w:t>
      </w:r>
      <w:r>
        <w:rPr>
          <w:spacing w:val="-13"/>
          <w:sz w:val="20"/>
        </w:rPr>
        <w:t> </w:t>
      </w:r>
      <w:r>
        <w:rPr>
          <w:sz w:val="20"/>
        </w:rPr>
        <w:t>iluminação</w:t>
      </w:r>
      <w:r>
        <w:rPr>
          <w:spacing w:val="-10"/>
          <w:sz w:val="20"/>
        </w:rPr>
        <w:t> </w:t>
      </w:r>
      <w:r>
        <w:rPr>
          <w:sz w:val="20"/>
        </w:rPr>
        <w:t>púbica</w:t>
      </w:r>
      <w:r>
        <w:rPr>
          <w:spacing w:val="-10"/>
          <w:sz w:val="20"/>
        </w:rPr>
        <w:t> </w:t>
      </w:r>
      <w:r>
        <w:rPr>
          <w:sz w:val="20"/>
        </w:rPr>
        <w:t>ao Governo</w:t>
      </w:r>
      <w:r>
        <w:rPr>
          <w:spacing w:val="-26"/>
          <w:sz w:val="20"/>
        </w:rPr>
        <w:t> </w:t>
      </w:r>
      <w:r>
        <w:rPr>
          <w:sz w:val="20"/>
        </w:rPr>
        <w:t>do</w:t>
      </w:r>
      <w:r>
        <w:rPr>
          <w:spacing w:val="-28"/>
          <w:sz w:val="20"/>
        </w:rPr>
        <w:t> </w:t>
      </w:r>
      <w:r>
        <w:rPr>
          <w:sz w:val="20"/>
        </w:rPr>
        <w:t>Distrito</w:t>
      </w:r>
      <w:r>
        <w:rPr>
          <w:spacing w:val="-27"/>
          <w:sz w:val="20"/>
        </w:rPr>
        <w:t> </w:t>
      </w:r>
      <w:r>
        <w:rPr>
          <w:sz w:val="20"/>
        </w:rPr>
        <w:t>Federal.</w:t>
      </w:r>
      <w:r>
        <w:rPr>
          <w:spacing w:val="-28"/>
          <w:sz w:val="20"/>
        </w:rPr>
        <w:t> </w:t>
      </w:r>
      <w:r>
        <w:rPr>
          <w:sz w:val="20"/>
        </w:rPr>
        <w:t>Estes</w:t>
      </w:r>
      <w:r>
        <w:rPr>
          <w:spacing w:val="-27"/>
          <w:sz w:val="20"/>
        </w:rPr>
        <w:t> </w:t>
      </w:r>
      <w:r>
        <w:rPr>
          <w:sz w:val="20"/>
        </w:rPr>
        <w:t>serviços</w:t>
      </w:r>
      <w:r>
        <w:rPr>
          <w:spacing w:val="-27"/>
          <w:sz w:val="20"/>
        </w:rPr>
        <w:t> </w:t>
      </w:r>
      <w:r>
        <w:rPr>
          <w:sz w:val="20"/>
        </w:rPr>
        <w:t>são</w:t>
      </w:r>
      <w:r>
        <w:rPr>
          <w:spacing w:val="-26"/>
          <w:sz w:val="20"/>
        </w:rPr>
        <w:t> </w:t>
      </w:r>
      <w:r>
        <w:rPr>
          <w:sz w:val="20"/>
        </w:rPr>
        <w:t>prestados</w:t>
      </w:r>
      <w:r>
        <w:rPr>
          <w:spacing w:val="-27"/>
          <w:sz w:val="20"/>
        </w:rPr>
        <w:t> </w:t>
      </w:r>
      <w:r>
        <w:rPr>
          <w:sz w:val="20"/>
        </w:rPr>
        <w:t>conforme</w:t>
      </w:r>
      <w:r>
        <w:rPr>
          <w:spacing w:val="-28"/>
          <w:sz w:val="20"/>
        </w:rPr>
        <w:t> </w:t>
      </w:r>
      <w:r>
        <w:rPr>
          <w:sz w:val="20"/>
        </w:rPr>
        <w:t>contratos</w:t>
      </w:r>
      <w:r>
        <w:rPr>
          <w:spacing w:val="-26"/>
          <w:sz w:val="20"/>
        </w:rPr>
        <w:t> </w:t>
      </w:r>
      <w:r>
        <w:rPr>
          <w:sz w:val="20"/>
        </w:rPr>
        <w:t>realizados</w:t>
      </w:r>
      <w:r>
        <w:rPr>
          <w:spacing w:val="-27"/>
          <w:sz w:val="20"/>
        </w:rPr>
        <w:t> </w:t>
      </w:r>
      <w:r>
        <w:rPr>
          <w:sz w:val="20"/>
        </w:rPr>
        <w:t>entre</w:t>
      </w:r>
      <w:r>
        <w:rPr>
          <w:spacing w:val="-28"/>
          <w:sz w:val="20"/>
        </w:rPr>
        <w:t> </w:t>
      </w:r>
      <w:r>
        <w:rPr>
          <w:sz w:val="20"/>
        </w:rPr>
        <w:t>a</w:t>
      </w:r>
      <w:r>
        <w:rPr>
          <w:spacing w:val="-25"/>
          <w:sz w:val="20"/>
        </w:rPr>
        <w:t> </w:t>
      </w:r>
      <w:r>
        <w:rPr>
          <w:sz w:val="20"/>
        </w:rPr>
        <w:t>CEB</w:t>
      </w:r>
      <w:r>
        <w:rPr>
          <w:spacing w:val="-27"/>
          <w:sz w:val="20"/>
        </w:rPr>
        <w:t> </w:t>
      </w:r>
      <w:r>
        <w:rPr>
          <w:sz w:val="20"/>
        </w:rPr>
        <w:t>e</w:t>
      </w:r>
      <w:r>
        <w:rPr>
          <w:spacing w:val="-26"/>
          <w:sz w:val="20"/>
        </w:rPr>
        <w:t> </w:t>
      </w:r>
      <w:r>
        <w:rPr>
          <w:sz w:val="20"/>
        </w:rPr>
        <w:t>o</w:t>
      </w:r>
      <w:r>
        <w:rPr>
          <w:spacing w:val="-28"/>
          <w:sz w:val="20"/>
        </w:rPr>
        <w:t> </w:t>
      </w:r>
      <w:r>
        <w:rPr>
          <w:sz w:val="20"/>
        </w:rPr>
        <w:t>GDF;</w:t>
      </w:r>
    </w:p>
    <w:p>
      <w:pPr>
        <w:pStyle w:val="ListParagraph"/>
        <w:numPr>
          <w:ilvl w:val="0"/>
          <w:numId w:val="49"/>
        </w:numPr>
        <w:tabs>
          <w:tab w:pos="411" w:val="left" w:leader="none"/>
        </w:tabs>
        <w:spacing w:line="242" w:lineRule="auto" w:before="115" w:after="0"/>
        <w:ind w:left="172" w:right="415" w:firstLine="0"/>
        <w:jc w:val="both"/>
        <w:rPr>
          <w:sz w:val="20"/>
        </w:rPr>
      </w:pPr>
      <w:r>
        <w:rPr>
          <w:sz w:val="20"/>
        </w:rPr>
        <w:t>Representa</w:t>
      </w:r>
      <w:r>
        <w:rPr>
          <w:spacing w:val="-37"/>
          <w:sz w:val="20"/>
        </w:rPr>
        <w:t> </w:t>
      </w:r>
      <w:r>
        <w:rPr>
          <w:sz w:val="20"/>
        </w:rPr>
        <w:t>valores</w:t>
      </w:r>
      <w:r>
        <w:rPr>
          <w:spacing w:val="-34"/>
          <w:sz w:val="20"/>
        </w:rPr>
        <w:t> </w:t>
      </w:r>
      <w:r>
        <w:rPr>
          <w:sz w:val="20"/>
        </w:rPr>
        <w:t>a</w:t>
      </w:r>
      <w:r>
        <w:rPr>
          <w:spacing w:val="-36"/>
          <w:sz w:val="20"/>
        </w:rPr>
        <w:t> </w:t>
      </w:r>
      <w:r>
        <w:rPr>
          <w:sz w:val="20"/>
        </w:rPr>
        <w:t>receber</w:t>
      </w:r>
      <w:r>
        <w:rPr>
          <w:spacing w:val="-37"/>
          <w:sz w:val="20"/>
        </w:rPr>
        <w:t> </w:t>
      </w:r>
      <w:r>
        <w:rPr>
          <w:sz w:val="20"/>
        </w:rPr>
        <w:t>de</w:t>
      </w:r>
      <w:r>
        <w:rPr>
          <w:spacing w:val="-36"/>
          <w:sz w:val="20"/>
        </w:rPr>
        <w:t> </w:t>
      </w:r>
      <w:r>
        <w:rPr>
          <w:sz w:val="20"/>
        </w:rPr>
        <w:t>dividendos</w:t>
      </w:r>
      <w:r>
        <w:rPr>
          <w:spacing w:val="-36"/>
          <w:sz w:val="20"/>
        </w:rPr>
        <w:t> </w:t>
      </w:r>
      <w:r>
        <w:rPr>
          <w:sz w:val="20"/>
        </w:rPr>
        <w:t>declarados</w:t>
      </w:r>
      <w:r>
        <w:rPr>
          <w:spacing w:val="-36"/>
          <w:sz w:val="20"/>
        </w:rPr>
        <w:t> </w:t>
      </w:r>
      <w:r>
        <w:rPr>
          <w:sz w:val="20"/>
        </w:rPr>
        <w:t>e</w:t>
      </w:r>
      <w:r>
        <w:rPr>
          <w:spacing w:val="-37"/>
          <w:sz w:val="20"/>
        </w:rPr>
        <w:t> </w:t>
      </w:r>
      <w:r>
        <w:rPr>
          <w:sz w:val="20"/>
        </w:rPr>
        <w:t>juros</w:t>
      </w:r>
      <w:r>
        <w:rPr>
          <w:spacing w:val="-36"/>
          <w:sz w:val="20"/>
        </w:rPr>
        <w:t> </w:t>
      </w:r>
      <w:r>
        <w:rPr>
          <w:sz w:val="20"/>
        </w:rPr>
        <w:t>sobre</w:t>
      </w:r>
      <w:r>
        <w:rPr>
          <w:spacing w:val="-36"/>
          <w:sz w:val="20"/>
        </w:rPr>
        <w:t> </w:t>
      </w:r>
      <w:r>
        <w:rPr>
          <w:sz w:val="20"/>
        </w:rPr>
        <w:t>o</w:t>
      </w:r>
      <w:r>
        <w:rPr>
          <w:spacing w:val="-37"/>
          <w:sz w:val="20"/>
        </w:rPr>
        <w:t> </w:t>
      </w:r>
      <w:r>
        <w:rPr>
          <w:sz w:val="20"/>
        </w:rPr>
        <w:t>capital</w:t>
      </w:r>
      <w:r>
        <w:rPr>
          <w:spacing w:val="-36"/>
          <w:sz w:val="20"/>
        </w:rPr>
        <w:t> </w:t>
      </w:r>
      <w:r>
        <w:rPr>
          <w:sz w:val="20"/>
        </w:rPr>
        <w:t>próprio</w:t>
      </w:r>
      <w:r>
        <w:rPr>
          <w:spacing w:val="-35"/>
          <w:sz w:val="20"/>
        </w:rPr>
        <w:t> </w:t>
      </w:r>
      <w:r>
        <w:rPr>
          <w:sz w:val="20"/>
        </w:rPr>
        <w:t>decorrentes</w:t>
      </w:r>
      <w:r>
        <w:rPr>
          <w:spacing w:val="-35"/>
          <w:sz w:val="20"/>
        </w:rPr>
        <w:t> </w:t>
      </w:r>
      <w:r>
        <w:rPr>
          <w:sz w:val="20"/>
        </w:rPr>
        <w:t>dos</w:t>
      </w:r>
      <w:r>
        <w:rPr>
          <w:spacing w:val="-35"/>
          <w:sz w:val="20"/>
        </w:rPr>
        <w:t> </w:t>
      </w:r>
      <w:r>
        <w:rPr>
          <w:sz w:val="20"/>
        </w:rPr>
        <w:t>resultados das</w:t>
      </w:r>
      <w:r>
        <w:rPr>
          <w:spacing w:val="-18"/>
          <w:sz w:val="20"/>
        </w:rPr>
        <w:t> </w:t>
      </w:r>
      <w:r>
        <w:rPr>
          <w:sz w:val="20"/>
        </w:rPr>
        <w:t>investidas;</w:t>
      </w:r>
    </w:p>
    <w:p>
      <w:pPr>
        <w:pStyle w:val="ListParagraph"/>
        <w:numPr>
          <w:ilvl w:val="0"/>
          <w:numId w:val="49"/>
        </w:numPr>
        <w:tabs>
          <w:tab w:pos="392" w:val="left" w:leader="none"/>
        </w:tabs>
        <w:spacing w:line="240" w:lineRule="auto" w:before="119" w:after="0"/>
        <w:ind w:left="391" w:right="0" w:hanging="220"/>
        <w:jc w:val="both"/>
        <w:rPr>
          <w:sz w:val="20"/>
        </w:rPr>
      </w:pPr>
      <w:r>
        <w:rPr>
          <w:sz w:val="20"/>
        </w:rPr>
        <w:t>Trata-se</w:t>
      </w:r>
      <w:r>
        <w:rPr>
          <w:spacing w:val="-18"/>
          <w:sz w:val="20"/>
        </w:rPr>
        <w:t> </w:t>
      </w:r>
      <w:r>
        <w:rPr>
          <w:sz w:val="20"/>
        </w:rPr>
        <w:t>de</w:t>
      </w:r>
      <w:r>
        <w:rPr>
          <w:spacing w:val="-18"/>
          <w:sz w:val="20"/>
        </w:rPr>
        <w:t> </w:t>
      </w:r>
      <w:r>
        <w:rPr>
          <w:sz w:val="20"/>
        </w:rPr>
        <w:t>dividendos</w:t>
      </w:r>
      <w:r>
        <w:rPr>
          <w:spacing w:val="-19"/>
          <w:sz w:val="20"/>
        </w:rPr>
        <w:t> </w:t>
      </w:r>
      <w:r>
        <w:rPr>
          <w:sz w:val="20"/>
        </w:rPr>
        <w:t>a</w:t>
      </w:r>
      <w:r>
        <w:rPr>
          <w:spacing w:val="-16"/>
          <w:sz w:val="20"/>
        </w:rPr>
        <w:t> </w:t>
      </w:r>
      <w:r>
        <w:rPr>
          <w:sz w:val="20"/>
        </w:rPr>
        <w:t>pagar</w:t>
      </w:r>
      <w:r>
        <w:rPr>
          <w:spacing w:val="-19"/>
          <w:sz w:val="20"/>
        </w:rPr>
        <w:t> </w:t>
      </w:r>
      <w:r>
        <w:rPr>
          <w:sz w:val="20"/>
        </w:rPr>
        <w:t>ao</w:t>
      </w:r>
      <w:r>
        <w:rPr>
          <w:spacing w:val="-20"/>
          <w:sz w:val="20"/>
        </w:rPr>
        <w:t> </w:t>
      </w:r>
      <w:r>
        <w:rPr>
          <w:sz w:val="20"/>
        </w:rPr>
        <w:t>acionista</w:t>
      </w:r>
      <w:r>
        <w:rPr>
          <w:spacing w:val="-17"/>
          <w:sz w:val="20"/>
        </w:rPr>
        <w:t> </w:t>
      </w:r>
      <w:r>
        <w:rPr>
          <w:sz w:val="20"/>
        </w:rPr>
        <w:t>controlador;</w:t>
      </w:r>
    </w:p>
    <w:p>
      <w:pPr>
        <w:pStyle w:val="ListParagraph"/>
        <w:numPr>
          <w:ilvl w:val="0"/>
          <w:numId w:val="49"/>
        </w:numPr>
        <w:tabs>
          <w:tab w:pos="447" w:val="left" w:leader="none"/>
        </w:tabs>
        <w:spacing w:line="242" w:lineRule="auto" w:before="119" w:after="0"/>
        <w:ind w:left="172" w:right="412" w:firstLine="0"/>
        <w:jc w:val="both"/>
        <w:rPr>
          <w:sz w:val="20"/>
        </w:rPr>
      </w:pPr>
      <w:r>
        <w:rPr>
          <w:sz w:val="20"/>
        </w:rPr>
        <w:t>A CEB DIS possui empregados cedidos à Companhia Energética de Brasília </w:t>
      </w:r>
      <w:r>
        <w:rPr>
          <w:w w:val="105"/>
          <w:sz w:val="20"/>
        </w:rPr>
        <w:t>– </w:t>
      </w:r>
      <w:r>
        <w:rPr>
          <w:sz w:val="20"/>
        </w:rPr>
        <w:t>CEB, que efetua mensalmente o ressarcimento do custo efetivo dos salários e dos benefícios dos empregados cedidos. A cessão é por tempo indeterminado</w:t>
      </w:r>
      <w:r>
        <w:rPr>
          <w:spacing w:val="-18"/>
          <w:sz w:val="20"/>
        </w:rPr>
        <w:t> </w:t>
      </w:r>
      <w:r>
        <w:rPr>
          <w:sz w:val="20"/>
        </w:rPr>
        <w:t>e</w:t>
      </w:r>
      <w:r>
        <w:rPr>
          <w:spacing w:val="-17"/>
          <w:sz w:val="20"/>
        </w:rPr>
        <w:t> </w:t>
      </w:r>
      <w:r>
        <w:rPr>
          <w:sz w:val="20"/>
        </w:rPr>
        <w:t>não</w:t>
      </w:r>
      <w:r>
        <w:rPr>
          <w:spacing w:val="-19"/>
          <w:sz w:val="20"/>
        </w:rPr>
        <w:t> </w:t>
      </w:r>
      <w:r>
        <w:rPr>
          <w:sz w:val="20"/>
        </w:rPr>
        <w:t>há</w:t>
      </w:r>
      <w:r>
        <w:rPr>
          <w:spacing w:val="-18"/>
          <w:sz w:val="20"/>
        </w:rPr>
        <w:t> </w:t>
      </w:r>
      <w:r>
        <w:rPr>
          <w:sz w:val="20"/>
        </w:rPr>
        <w:t>cobrança</w:t>
      </w:r>
      <w:r>
        <w:rPr>
          <w:spacing w:val="-18"/>
          <w:sz w:val="20"/>
        </w:rPr>
        <w:t> </w:t>
      </w:r>
      <w:r>
        <w:rPr>
          <w:sz w:val="20"/>
        </w:rPr>
        <w:t>de</w:t>
      </w:r>
      <w:r>
        <w:rPr>
          <w:spacing w:val="-21"/>
          <w:sz w:val="20"/>
        </w:rPr>
        <w:t> </w:t>
      </w:r>
      <w:r>
        <w:rPr>
          <w:sz w:val="20"/>
        </w:rPr>
        <w:t>taxas</w:t>
      </w:r>
      <w:r>
        <w:rPr>
          <w:spacing w:val="-18"/>
          <w:sz w:val="20"/>
        </w:rPr>
        <w:t> </w:t>
      </w:r>
      <w:r>
        <w:rPr>
          <w:sz w:val="20"/>
        </w:rPr>
        <w:t>adicionais;</w:t>
      </w:r>
    </w:p>
    <w:p>
      <w:pPr>
        <w:pStyle w:val="ListParagraph"/>
        <w:numPr>
          <w:ilvl w:val="0"/>
          <w:numId w:val="49"/>
        </w:numPr>
        <w:tabs>
          <w:tab w:pos="409" w:val="left" w:leader="none"/>
        </w:tabs>
        <w:spacing w:line="242" w:lineRule="auto" w:before="117" w:after="0"/>
        <w:ind w:left="172" w:right="421" w:firstLine="0"/>
        <w:jc w:val="both"/>
        <w:rPr>
          <w:sz w:val="20"/>
        </w:rPr>
      </w:pPr>
      <w:r>
        <w:rPr>
          <w:sz w:val="20"/>
        </w:rPr>
        <w:t>Refere-se</w:t>
      </w:r>
      <w:r>
        <w:rPr>
          <w:spacing w:val="-34"/>
          <w:sz w:val="20"/>
        </w:rPr>
        <w:t> </w:t>
      </w:r>
      <w:r>
        <w:rPr>
          <w:sz w:val="20"/>
        </w:rPr>
        <w:t>a</w:t>
      </w:r>
      <w:r>
        <w:rPr>
          <w:spacing w:val="-32"/>
          <w:sz w:val="20"/>
        </w:rPr>
        <w:t> </w:t>
      </w:r>
      <w:r>
        <w:rPr>
          <w:sz w:val="20"/>
        </w:rPr>
        <w:t>valores</w:t>
      </w:r>
      <w:r>
        <w:rPr>
          <w:spacing w:val="-32"/>
          <w:sz w:val="20"/>
        </w:rPr>
        <w:t> </w:t>
      </w:r>
      <w:r>
        <w:rPr>
          <w:sz w:val="20"/>
        </w:rPr>
        <w:t>a</w:t>
      </w:r>
      <w:r>
        <w:rPr>
          <w:spacing w:val="-32"/>
          <w:sz w:val="20"/>
        </w:rPr>
        <w:t> </w:t>
      </w:r>
      <w:r>
        <w:rPr>
          <w:sz w:val="20"/>
        </w:rPr>
        <w:t>pagar</w:t>
      </w:r>
      <w:r>
        <w:rPr>
          <w:spacing w:val="-33"/>
          <w:sz w:val="20"/>
        </w:rPr>
        <w:t> </w:t>
      </w:r>
      <w:r>
        <w:rPr>
          <w:sz w:val="20"/>
        </w:rPr>
        <w:t>de</w:t>
      </w:r>
      <w:r>
        <w:rPr>
          <w:spacing w:val="-32"/>
          <w:sz w:val="20"/>
        </w:rPr>
        <w:t> </w:t>
      </w:r>
      <w:r>
        <w:rPr>
          <w:sz w:val="20"/>
        </w:rPr>
        <w:t>depósitos</w:t>
      </w:r>
      <w:r>
        <w:rPr>
          <w:spacing w:val="-31"/>
          <w:sz w:val="20"/>
        </w:rPr>
        <w:t> </w:t>
      </w:r>
      <w:r>
        <w:rPr>
          <w:sz w:val="20"/>
        </w:rPr>
        <w:t>de</w:t>
      </w:r>
      <w:r>
        <w:rPr>
          <w:spacing w:val="-32"/>
          <w:sz w:val="20"/>
        </w:rPr>
        <w:t> </w:t>
      </w:r>
      <w:r>
        <w:rPr>
          <w:sz w:val="20"/>
        </w:rPr>
        <w:t>faturas</w:t>
      </w:r>
      <w:r>
        <w:rPr>
          <w:spacing w:val="-33"/>
          <w:sz w:val="20"/>
        </w:rPr>
        <w:t> </w:t>
      </w:r>
      <w:r>
        <w:rPr>
          <w:sz w:val="20"/>
        </w:rPr>
        <w:t>de</w:t>
      </w:r>
      <w:r>
        <w:rPr>
          <w:spacing w:val="-33"/>
          <w:sz w:val="20"/>
        </w:rPr>
        <w:t> </w:t>
      </w:r>
      <w:r>
        <w:rPr>
          <w:sz w:val="20"/>
        </w:rPr>
        <w:t>órgãos</w:t>
      </w:r>
      <w:r>
        <w:rPr>
          <w:spacing w:val="-32"/>
          <w:sz w:val="20"/>
        </w:rPr>
        <w:t> </w:t>
      </w:r>
      <w:r>
        <w:rPr>
          <w:sz w:val="20"/>
        </w:rPr>
        <w:t>públicos</w:t>
      </w:r>
      <w:r>
        <w:rPr>
          <w:spacing w:val="-32"/>
          <w:sz w:val="20"/>
        </w:rPr>
        <w:t> </w:t>
      </w:r>
      <w:r>
        <w:rPr>
          <w:sz w:val="20"/>
        </w:rPr>
        <w:t>realizado</w:t>
      </w:r>
      <w:r>
        <w:rPr>
          <w:spacing w:val="-31"/>
          <w:sz w:val="20"/>
        </w:rPr>
        <w:t> </w:t>
      </w:r>
      <w:r>
        <w:rPr>
          <w:sz w:val="20"/>
        </w:rPr>
        <w:t>na</w:t>
      </w:r>
      <w:r>
        <w:rPr>
          <w:spacing w:val="-33"/>
          <w:sz w:val="20"/>
        </w:rPr>
        <w:t> </w:t>
      </w:r>
      <w:r>
        <w:rPr>
          <w:sz w:val="20"/>
        </w:rPr>
        <w:t>conta</w:t>
      </w:r>
      <w:r>
        <w:rPr>
          <w:spacing w:val="-32"/>
          <w:sz w:val="20"/>
        </w:rPr>
        <w:t> </w:t>
      </w:r>
      <w:r>
        <w:rPr>
          <w:sz w:val="20"/>
        </w:rPr>
        <w:t>corrente</w:t>
      </w:r>
      <w:r>
        <w:rPr>
          <w:spacing w:val="-32"/>
          <w:sz w:val="20"/>
        </w:rPr>
        <w:t> </w:t>
      </w:r>
      <w:r>
        <w:rPr>
          <w:sz w:val="20"/>
        </w:rPr>
        <w:t>da</w:t>
      </w:r>
      <w:r>
        <w:rPr>
          <w:spacing w:val="-32"/>
          <w:sz w:val="20"/>
        </w:rPr>
        <w:t> </w:t>
      </w:r>
      <w:r>
        <w:rPr>
          <w:sz w:val="20"/>
        </w:rPr>
        <w:t>Companhia Energética</w:t>
      </w:r>
      <w:r>
        <w:rPr>
          <w:spacing w:val="-22"/>
          <w:sz w:val="20"/>
        </w:rPr>
        <w:t> </w:t>
      </w:r>
      <w:r>
        <w:rPr>
          <w:sz w:val="20"/>
        </w:rPr>
        <w:t>de</w:t>
      </w:r>
      <w:r>
        <w:rPr>
          <w:spacing w:val="-21"/>
          <w:sz w:val="20"/>
        </w:rPr>
        <w:t> </w:t>
      </w:r>
      <w:r>
        <w:rPr>
          <w:sz w:val="20"/>
        </w:rPr>
        <w:t>Brasília</w:t>
      </w:r>
      <w:r>
        <w:rPr>
          <w:spacing w:val="-19"/>
          <w:sz w:val="20"/>
        </w:rPr>
        <w:t> </w:t>
      </w:r>
      <w:r>
        <w:rPr>
          <w:w w:val="105"/>
          <w:sz w:val="20"/>
        </w:rPr>
        <w:t>–</w:t>
      </w:r>
      <w:r>
        <w:rPr>
          <w:spacing w:val="-24"/>
          <w:w w:val="105"/>
          <w:sz w:val="20"/>
        </w:rPr>
        <w:t> </w:t>
      </w:r>
      <w:r>
        <w:rPr>
          <w:sz w:val="20"/>
        </w:rPr>
        <w:t>CEB,</w:t>
      </w:r>
      <w:r>
        <w:rPr>
          <w:spacing w:val="-19"/>
          <w:sz w:val="20"/>
        </w:rPr>
        <w:t> </w:t>
      </w:r>
      <w:r>
        <w:rPr>
          <w:sz w:val="20"/>
        </w:rPr>
        <w:t>que</w:t>
      </w:r>
      <w:r>
        <w:rPr>
          <w:spacing w:val="-24"/>
          <w:sz w:val="20"/>
        </w:rPr>
        <w:t> </w:t>
      </w:r>
      <w:r>
        <w:rPr>
          <w:sz w:val="20"/>
        </w:rPr>
        <w:t>serão</w:t>
      </w:r>
      <w:r>
        <w:rPr>
          <w:spacing w:val="-19"/>
          <w:sz w:val="20"/>
        </w:rPr>
        <w:t> </w:t>
      </w:r>
      <w:r>
        <w:rPr>
          <w:sz w:val="20"/>
        </w:rPr>
        <w:t>repassados,</w:t>
      </w:r>
      <w:r>
        <w:rPr>
          <w:spacing w:val="-22"/>
          <w:sz w:val="20"/>
        </w:rPr>
        <w:t> </w:t>
      </w:r>
      <w:r>
        <w:rPr>
          <w:sz w:val="20"/>
        </w:rPr>
        <w:t>através</w:t>
      </w:r>
      <w:r>
        <w:rPr>
          <w:spacing w:val="-21"/>
          <w:sz w:val="20"/>
        </w:rPr>
        <w:t> </w:t>
      </w:r>
      <w:r>
        <w:rPr>
          <w:sz w:val="20"/>
        </w:rPr>
        <w:t>de</w:t>
      </w:r>
      <w:r>
        <w:rPr>
          <w:spacing w:val="-21"/>
          <w:sz w:val="20"/>
        </w:rPr>
        <w:t> </w:t>
      </w:r>
      <w:r>
        <w:rPr>
          <w:sz w:val="20"/>
        </w:rPr>
        <w:t>encontro</w:t>
      </w:r>
      <w:r>
        <w:rPr>
          <w:spacing w:val="-22"/>
          <w:sz w:val="20"/>
        </w:rPr>
        <w:t> </w:t>
      </w:r>
      <w:r>
        <w:rPr>
          <w:sz w:val="20"/>
        </w:rPr>
        <w:t>de</w:t>
      </w:r>
      <w:r>
        <w:rPr>
          <w:spacing w:val="-23"/>
          <w:sz w:val="20"/>
        </w:rPr>
        <w:t> </w:t>
      </w:r>
      <w:r>
        <w:rPr>
          <w:sz w:val="20"/>
        </w:rPr>
        <w:t>contas,</w:t>
      </w:r>
      <w:r>
        <w:rPr>
          <w:spacing w:val="-23"/>
          <w:sz w:val="20"/>
        </w:rPr>
        <w:t> </w:t>
      </w:r>
      <w:r>
        <w:rPr>
          <w:sz w:val="20"/>
        </w:rPr>
        <w:t>à</w:t>
      </w:r>
      <w:r>
        <w:rPr>
          <w:spacing w:val="-21"/>
          <w:sz w:val="20"/>
        </w:rPr>
        <w:t> </w:t>
      </w:r>
      <w:r>
        <w:rPr>
          <w:sz w:val="20"/>
        </w:rPr>
        <w:t>CEB</w:t>
      </w:r>
      <w:r>
        <w:rPr>
          <w:spacing w:val="-22"/>
          <w:sz w:val="20"/>
        </w:rPr>
        <w:t> </w:t>
      </w:r>
      <w:r>
        <w:rPr>
          <w:sz w:val="20"/>
        </w:rPr>
        <w:t>DIS;</w:t>
      </w:r>
    </w:p>
    <w:p>
      <w:pPr>
        <w:pStyle w:val="ListParagraph"/>
        <w:numPr>
          <w:ilvl w:val="0"/>
          <w:numId w:val="49"/>
        </w:numPr>
        <w:tabs>
          <w:tab w:pos="368" w:val="left" w:leader="none"/>
        </w:tabs>
        <w:spacing w:line="242" w:lineRule="auto" w:before="117" w:after="0"/>
        <w:ind w:left="172" w:right="416" w:firstLine="0"/>
        <w:jc w:val="both"/>
        <w:rPr>
          <w:sz w:val="20"/>
        </w:rPr>
      </w:pPr>
      <w:r>
        <w:rPr>
          <w:sz w:val="20"/>
        </w:rPr>
        <w:t>Representa</w:t>
      </w:r>
      <w:r>
        <w:rPr>
          <w:spacing w:val="-33"/>
          <w:sz w:val="20"/>
        </w:rPr>
        <w:t> </w:t>
      </w:r>
      <w:r>
        <w:rPr>
          <w:sz w:val="20"/>
        </w:rPr>
        <w:t>a</w:t>
      </w:r>
      <w:r>
        <w:rPr>
          <w:spacing w:val="-31"/>
          <w:sz w:val="20"/>
        </w:rPr>
        <w:t> </w:t>
      </w:r>
      <w:r>
        <w:rPr>
          <w:sz w:val="20"/>
        </w:rPr>
        <w:t>receita</w:t>
      </w:r>
      <w:r>
        <w:rPr>
          <w:spacing w:val="-32"/>
          <w:sz w:val="20"/>
        </w:rPr>
        <w:t> </w:t>
      </w:r>
      <w:r>
        <w:rPr>
          <w:sz w:val="20"/>
        </w:rPr>
        <w:t>pelos</w:t>
      </w:r>
      <w:r>
        <w:rPr>
          <w:spacing w:val="-32"/>
          <w:sz w:val="20"/>
        </w:rPr>
        <w:t> </w:t>
      </w:r>
      <w:r>
        <w:rPr>
          <w:sz w:val="20"/>
        </w:rPr>
        <w:t>serviços</w:t>
      </w:r>
      <w:r>
        <w:rPr>
          <w:spacing w:val="-31"/>
          <w:sz w:val="20"/>
        </w:rPr>
        <w:t> </w:t>
      </w:r>
      <w:r>
        <w:rPr>
          <w:sz w:val="20"/>
        </w:rPr>
        <w:t>de</w:t>
      </w:r>
      <w:r>
        <w:rPr>
          <w:spacing w:val="-33"/>
          <w:sz w:val="20"/>
        </w:rPr>
        <w:t> </w:t>
      </w:r>
      <w:r>
        <w:rPr>
          <w:sz w:val="20"/>
        </w:rPr>
        <w:t>iluminação</w:t>
      </w:r>
      <w:r>
        <w:rPr>
          <w:spacing w:val="-33"/>
          <w:sz w:val="20"/>
        </w:rPr>
        <w:t> </w:t>
      </w:r>
      <w:r>
        <w:rPr>
          <w:sz w:val="20"/>
        </w:rPr>
        <w:t>pública</w:t>
      </w:r>
      <w:r>
        <w:rPr>
          <w:spacing w:val="-32"/>
          <w:sz w:val="20"/>
        </w:rPr>
        <w:t> </w:t>
      </w:r>
      <w:r>
        <w:rPr>
          <w:sz w:val="20"/>
        </w:rPr>
        <w:t>(obras</w:t>
      </w:r>
      <w:r>
        <w:rPr>
          <w:spacing w:val="-33"/>
          <w:sz w:val="20"/>
        </w:rPr>
        <w:t> </w:t>
      </w:r>
      <w:r>
        <w:rPr>
          <w:sz w:val="20"/>
        </w:rPr>
        <w:t>e</w:t>
      </w:r>
      <w:r>
        <w:rPr>
          <w:spacing w:val="-32"/>
          <w:sz w:val="20"/>
        </w:rPr>
        <w:t> </w:t>
      </w:r>
      <w:r>
        <w:rPr>
          <w:sz w:val="20"/>
        </w:rPr>
        <w:t>manutenção</w:t>
      </w:r>
      <w:r>
        <w:rPr>
          <w:spacing w:val="-33"/>
          <w:sz w:val="20"/>
        </w:rPr>
        <w:t> </w:t>
      </w:r>
      <w:r>
        <w:rPr>
          <w:sz w:val="20"/>
        </w:rPr>
        <w:t>do</w:t>
      </w:r>
      <w:r>
        <w:rPr>
          <w:spacing w:val="-33"/>
          <w:sz w:val="20"/>
        </w:rPr>
        <w:t> </w:t>
      </w:r>
      <w:r>
        <w:rPr>
          <w:sz w:val="20"/>
        </w:rPr>
        <w:t>parque)</w:t>
      </w:r>
      <w:r>
        <w:rPr>
          <w:spacing w:val="-33"/>
          <w:sz w:val="20"/>
        </w:rPr>
        <w:t> </w:t>
      </w:r>
      <w:r>
        <w:rPr>
          <w:sz w:val="20"/>
        </w:rPr>
        <w:t>prestados</w:t>
      </w:r>
      <w:r>
        <w:rPr>
          <w:spacing w:val="-32"/>
          <w:sz w:val="20"/>
        </w:rPr>
        <w:t> </w:t>
      </w:r>
      <w:r>
        <w:rPr>
          <w:sz w:val="20"/>
        </w:rPr>
        <w:t>ao</w:t>
      </w:r>
      <w:r>
        <w:rPr>
          <w:spacing w:val="-32"/>
          <w:sz w:val="20"/>
        </w:rPr>
        <w:t> </w:t>
      </w:r>
      <w:r>
        <w:rPr>
          <w:sz w:val="20"/>
        </w:rPr>
        <w:t>Governo do</w:t>
      </w:r>
      <w:r>
        <w:rPr>
          <w:spacing w:val="-16"/>
          <w:sz w:val="20"/>
        </w:rPr>
        <w:t> </w:t>
      </w:r>
      <w:r>
        <w:rPr>
          <w:sz w:val="20"/>
        </w:rPr>
        <w:t>Distrito</w:t>
      </w:r>
      <w:r>
        <w:rPr>
          <w:spacing w:val="-16"/>
          <w:sz w:val="20"/>
        </w:rPr>
        <w:t> </w:t>
      </w:r>
      <w:r>
        <w:rPr>
          <w:sz w:val="20"/>
        </w:rPr>
        <w:t>Federal</w:t>
      </w:r>
      <w:r>
        <w:rPr>
          <w:spacing w:val="-13"/>
          <w:sz w:val="20"/>
        </w:rPr>
        <w:t> </w:t>
      </w:r>
      <w:r>
        <w:rPr>
          <w:sz w:val="20"/>
        </w:rPr>
        <w:t>–</w:t>
      </w:r>
      <w:r>
        <w:rPr>
          <w:spacing w:val="-14"/>
          <w:sz w:val="20"/>
        </w:rPr>
        <w:t> </w:t>
      </w:r>
      <w:r>
        <w:rPr>
          <w:sz w:val="20"/>
        </w:rPr>
        <w:t>GDF</w:t>
      </w:r>
      <w:r>
        <w:rPr>
          <w:spacing w:val="-15"/>
          <w:sz w:val="20"/>
        </w:rPr>
        <w:t> </w:t>
      </w:r>
      <w:r>
        <w:rPr>
          <w:sz w:val="20"/>
        </w:rPr>
        <w:t>(Administrações</w:t>
      </w:r>
      <w:r>
        <w:rPr>
          <w:spacing w:val="-15"/>
          <w:sz w:val="20"/>
        </w:rPr>
        <w:t> </w:t>
      </w:r>
      <w:r>
        <w:rPr>
          <w:sz w:val="20"/>
        </w:rPr>
        <w:t>Regionais,</w:t>
      </w:r>
      <w:r>
        <w:rPr>
          <w:spacing w:val="-13"/>
          <w:sz w:val="20"/>
        </w:rPr>
        <w:t> </w:t>
      </w:r>
      <w:r>
        <w:rPr>
          <w:sz w:val="20"/>
        </w:rPr>
        <w:t>Empresas</w:t>
      </w:r>
      <w:r>
        <w:rPr>
          <w:spacing w:val="-16"/>
          <w:sz w:val="20"/>
        </w:rPr>
        <w:t> </w:t>
      </w:r>
      <w:r>
        <w:rPr>
          <w:sz w:val="20"/>
        </w:rPr>
        <w:t>Públicas,</w:t>
      </w:r>
      <w:r>
        <w:rPr>
          <w:spacing w:val="-15"/>
          <w:sz w:val="20"/>
        </w:rPr>
        <w:t> </w:t>
      </w:r>
      <w:r>
        <w:rPr>
          <w:sz w:val="20"/>
        </w:rPr>
        <w:t>Secretarias</w:t>
      </w:r>
      <w:r>
        <w:rPr>
          <w:spacing w:val="-15"/>
          <w:sz w:val="20"/>
        </w:rPr>
        <w:t> </w:t>
      </w:r>
      <w:r>
        <w:rPr>
          <w:sz w:val="20"/>
        </w:rPr>
        <w:t>de</w:t>
      </w:r>
      <w:r>
        <w:rPr>
          <w:spacing w:val="-17"/>
          <w:sz w:val="20"/>
        </w:rPr>
        <w:t> </w:t>
      </w:r>
      <w:r>
        <w:rPr>
          <w:sz w:val="20"/>
        </w:rPr>
        <w:t>Governo</w:t>
      </w:r>
      <w:r>
        <w:rPr>
          <w:spacing w:val="-14"/>
          <w:sz w:val="20"/>
        </w:rPr>
        <w:t> </w:t>
      </w:r>
      <w:r>
        <w:rPr>
          <w:sz w:val="20"/>
        </w:rPr>
        <w:t>e</w:t>
      </w:r>
      <w:r>
        <w:rPr>
          <w:spacing w:val="-14"/>
          <w:sz w:val="20"/>
        </w:rPr>
        <w:t> </w:t>
      </w:r>
      <w:r>
        <w:rPr>
          <w:sz w:val="20"/>
        </w:rPr>
        <w:t>Outros).</w:t>
      </w:r>
      <w:r>
        <w:rPr>
          <w:spacing w:val="-16"/>
          <w:sz w:val="20"/>
        </w:rPr>
        <w:t> </w:t>
      </w:r>
      <w:r>
        <w:rPr>
          <w:sz w:val="20"/>
        </w:rPr>
        <w:t>Estes </w:t>
      </w:r>
      <w:r>
        <w:rPr>
          <w:w w:val="105"/>
          <w:sz w:val="20"/>
        </w:rPr>
        <w:t>serviços</w:t>
      </w:r>
      <w:r>
        <w:rPr>
          <w:spacing w:val="-43"/>
          <w:w w:val="105"/>
          <w:sz w:val="20"/>
        </w:rPr>
        <w:t> </w:t>
      </w:r>
      <w:r>
        <w:rPr>
          <w:w w:val="105"/>
          <w:sz w:val="20"/>
        </w:rPr>
        <w:t>são</w:t>
      </w:r>
      <w:r>
        <w:rPr>
          <w:spacing w:val="-41"/>
          <w:w w:val="105"/>
          <w:sz w:val="20"/>
        </w:rPr>
        <w:t> </w:t>
      </w:r>
      <w:r>
        <w:rPr>
          <w:w w:val="105"/>
          <w:sz w:val="20"/>
        </w:rPr>
        <w:t>faturados</w:t>
      </w:r>
      <w:r>
        <w:rPr>
          <w:spacing w:val="-43"/>
          <w:w w:val="105"/>
          <w:sz w:val="20"/>
        </w:rPr>
        <w:t> </w:t>
      </w:r>
      <w:r>
        <w:rPr>
          <w:w w:val="105"/>
          <w:sz w:val="20"/>
        </w:rPr>
        <w:t>de</w:t>
      </w:r>
      <w:r>
        <w:rPr>
          <w:spacing w:val="-43"/>
          <w:w w:val="105"/>
          <w:sz w:val="20"/>
        </w:rPr>
        <w:t> </w:t>
      </w:r>
      <w:r>
        <w:rPr>
          <w:w w:val="105"/>
          <w:sz w:val="20"/>
        </w:rPr>
        <w:t>acordo</w:t>
      </w:r>
      <w:r>
        <w:rPr>
          <w:spacing w:val="-42"/>
          <w:w w:val="105"/>
          <w:sz w:val="20"/>
        </w:rPr>
        <w:t> </w:t>
      </w:r>
      <w:r>
        <w:rPr>
          <w:w w:val="105"/>
          <w:sz w:val="20"/>
        </w:rPr>
        <w:t>com</w:t>
      </w:r>
      <w:r>
        <w:rPr>
          <w:spacing w:val="-43"/>
          <w:w w:val="105"/>
          <w:sz w:val="20"/>
        </w:rPr>
        <w:t> </w:t>
      </w:r>
      <w:r>
        <w:rPr>
          <w:w w:val="105"/>
          <w:sz w:val="20"/>
        </w:rPr>
        <w:t>os</w:t>
      </w:r>
      <w:r>
        <w:rPr>
          <w:spacing w:val="-40"/>
          <w:w w:val="105"/>
          <w:sz w:val="20"/>
        </w:rPr>
        <w:t> </w:t>
      </w:r>
      <w:r>
        <w:rPr>
          <w:w w:val="105"/>
          <w:sz w:val="20"/>
        </w:rPr>
        <w:t>contratos</w:t>
      </w:r>
      <w:r>
        <w:rPr>
          <w:spacing w:val="-42"/>
          <w:w w:val="105"/>
          <w:sz w:val="20"/>
        </w:rPr>
        <w:t> </w:t>
      </w:r>
      <w:r>
        <w:rPr>
          <w:w w:val="105"/>
          <w:sz w:val="20"/>
        </w:rPr>
        <w:t>firmados</w:t>
      </w:r>
      <w:r>
        <w:rPr>
          <w:spacing w:val="-43"/>
          <w:w w:val="105"/>
          <w:sz w:val="20"/>
        </w:rPr>
        <w:t> </w:t>
      </w:r>
      <w:r>
        <w:rPr>
          <w:w w:val="105"/>
          <w:sz w:val="20"/>
        </w:rPr>
        <w:t>entre</w:t>
      </w:r>
      <w:r>
        <w:rPr>
          <w:spacing w:val="-43"/>
          <w:w w:val="105"/>
          <w:sz w:val="20"/>
        </w:rPr>
        <w:t> </w:t>
      </w:r>
      <w:r>
        <w:rPr>
          <w:w w:val="105"/>
          <w:sz w:val="20"/>
        </w:rPr>
        <w:t>a</w:t>
      </w:r>
      <w:r>
        <w:rPr>
          <w:spacing w:val="-41"/>
          <w:w w:val="105"/>
          <w:sz w:val="20"/>
        </w:rPr>
        <w:t> </w:t>
      </w:r>
      <w:r>
        <w:rPr>
          <w:w w:val="105"/>
          <w:sz w:val="20"/>
        </w:rPr>
        <w:t>CEB</w:t>
      </w:r>
      <w:r>
        <w:rPr>
          <w:spacing w:val="-43"/>
          <w:w w:val="105"/>
          <w:sz w:val="20"/>
        </w:rPr>
        <w:t> </w:t>
      </w:r>
      <w:r>
        <w:rPr>
          <w:w w:val="105"/>
          <w:sz w:val="20"/>
        </w:rPr>
        <w:t>e</w:t>
      </w:r>
      <w:r>
        <w:rPr>
          <w:spacing w:val="-42"/>
          <w:w w:val="105"/>
          <w:sz w:val="20"/>
        </w:rPr>
        <w:t> </w:t>
      </w:r>
      <w:r>
        <w:rPr>
          <w:w w:val="105"/>
          <w:sz w:val="20"/>
        </w:rPr>
        <w:t>o</w:t>
      </w:r>
      <w:r>
        <w:rPr>
          <w:spacing w:val="-43"/>
          <w:w w:val="105"/>
          <w:sz w:val="20"/>
        </w:rPr>
        <w:t> </w:t>
      </w:r>
      <w:r>
        <w:rPr>
          <w:w w:val="105"/>
          <w:sz w:val="20"/>
        </w:rPr>
        <w:t>Governo</w:t>
      </w:r>
      <w:r>
        <w:rPr>
          <w:spacing w:val="-40"/>
          <w:w w:val="105"/>
          <w:sz w:val="20"/>
        </w:rPr>
        <w:t> </w:t>
      </w:r>
      <w:r>
        <w:rPr>
          <w:w w:val="105"/>
          <w:sz w:val="20"/>
        </w:rPr>
        <w:t>de</w:t>
      </w:r>
      <w:r>
        <w:rPr>
          <w:spacing w:val="-44"/>
          <w:w w:val="105"/>
          <w:sz w:val="20"/>
        </w:rPr>
        <w:t> </w:t>
      </w:r>
      <w:r>
        <w:rPr>
          <w:w w:val="105"/>
          <w:sz w:val="20"/>
        </w:rPr>
        <w:t>Distrito</w:t>
      </w:r>
      <w:r>
        <w:rPr>
          <w:spacing w:val="-42"/>
          <w:w w:val="105"/>
          <w:sz w:val="20"/>
        </w:rPr>
        <w:t> </w:t>
      </w:r>
      <w:r>
        <w:rPr>
          <w:w w:val="105"/>
          <w:sz w:val="20"/>
        </w:rPr>
        <w:t>Federal</w:t>
      </w:r>
      <w:r>
        <w:rPr>
          <w:spacing w:val="-40"/>
          <w:w w:val="105"/>
          <w:sz w:val="20"/>
        </w:rPr>
        <w:t> </w:t>
      </w:r>
      <w:r>
        <w:rPr>
          <w:w w:val="105"/>
          <w:sz w:val="20"/>
        </w:rPr>
        <w:t>–</w:t>
      </w:r>
      <w:r>
        <w:rPr>
          <w:spacing w:val="-42"/>
          <w:w w:val="105"/>
          <w:sz w:val="20"/>
        </w:rPr>
        <w:t> </w:t>
      </w:r>
      <w:r>
        <w:rPr>
          <w:w w:val="105"/>
          <w:sz w:val="20"/>
        </w:rPr>
        <w:t>GDF.</w:t>
      </w:r>
    </w:p>
    <w:p>
      <w:pPr>
        <w:pStyle w:val="ListParagraph"/>
        <w:numPr>
          <w:ilvl w:val="0"/>
          <w:numId w:val="49"/>
        </w:numPr>
        <w:tabs>
          <w:tab w:pos="395" w:val="left" w:leader="none"/>
        </w:tabs>
        <w:spacing w:line="242" w:lineRule="auto" w:before="118" w:after="0"/>
        <w:ind w:left="172" w:right="411" w:firstLine="0"/>
        <w:jc w:val="both"/>
        <w:rPr>
          <w:sz w:val="20"/>
        </w:rPr>
      </w:pPr>
      <w:r>
        <w:rPr>
          <w:sz w:val="20"/>
        </w:rPr>
        <w:t>Diz</w:t>
      </w:r>
      <w:r>
        <w:rPr>
          <w:spacing w:val="-41"/>
          <w:sz w:val="20"/>
        </w:rPr>
        <w:t> </w:t>
      </w:r>
      <w:r>
        <w:rPr>
          <w:sz w:val="20"/>
        </w:rPr>
        <w:t>respeito</w:t>
      </w:r>
      <w:r>
        <w:rPr>
          <w:spacing w:val="-41"/>
          <w:sz w:val="20"/>
        </w:rPr>
        <w:t> </w:t>
      </w:r>
      <w:r>
        <w:rPr>
          <w:sz w:val="20"/>
        </w:rPr>
        <w:t>aos</w:t>
      </w:r>
      <w:r>
        <w:rPr>
          <w:spacing w:val="-41"/>
          <w:sz w:val="20"/>
        </w:rPr>
        <w:t> </w:t>
      </w:r>
      <w:r>
        <w:rPr>
          <w:sz w:val="20"/>
        </w:rPr>
        <w:t>encargos</w:t>
      </w:r>
      <w:r>
        <w:rPr>
          <w:spacing w:val="-40"/>
          <w:sz w:val="20"/>
        </w:rPr>
        <w:t> </w:t>
      </w:r>
      <w:r>
        <w:rPr>
          <w:sz w:val="20"/>
        </w:rPr>
        <w:t>dos</w:t>
      </w:r>
      <w:r>
        <w:rPr>
          <w:spacing w:val="-40"/>
          <w:sz w:val="20"/>
        </w:rPr>
        <w:t> </w:t>
      </w:r>
      <w:r>
        <w:rPr>
          <w:sz w:val="20"/>
        </w:rPr>
        <w:t>empréstimos</w:t>
      </w:r>
      <w:r>
        <w:rPr>
          <w:spacing w:val="-41"/>
          <w:sz w:val="20"/>
        </w:rPr>
        <w:t> </w:t>
      </w:r>
      <w:r>
        <w:rPr>
          <w:sz w:val="20"/>
        </w:rPr>
        <w:t>(mútuos)</w:t>
      </w:r>
      <w:r>
        <w:rPr>
          <w:spacing w:val="-40"/>
          <w:sz w:val="20"/>
        </w:rPr>
        <w:t> </w:t>
      </w:r>
      <w:r>
        <w:rPr>
          <w:sz w:val="20"/>
        </w:rPr>
        <w:t>realizados</w:t>
      </w:r>
      <w:r>
        <w:rPr>
          <w:spacing w:val="-41"/>
          <w:sz w:val="20"/>
        </w:rPr>
        <w:t> </w:t>
      </w:r>
      <w:r>
        <w:rPr>
          <w:sz w:val="20"/>
        </w:rPr>
        <w:t>com</w:t>
      </w:r>
      <w:r>
        <w:rPr>
          <w:spacing w:val="-41"/>
          <w:sz w:val="20"/>
        </w:rPr>
        <w:t> </w:t>
      </w:r>
      <w:r>
        <w:rPr>
          <w:sz w:val="20"/>
        </w:rPr>
        <w:t>a</w:t>
      </w:r>
      <w:r>
        <w:rPr>
          <w:spacing w:val="-41"/>
          <w:sz w:val="20"/>
        </w:rPr>
        <w:t> </w:t>
      </w:r>
      <w:r>
        <w:rPr>
          <w:sz w:val="20"/>
        </w:rPr>
        <w:t>investida</w:t>
      </w:r>
      <w:r>
        <w:rPr>
          <w:spacing w:val="-41"/>
          <w:sz w:val="20"/>
        </w:rPr>
        <w:t> </w:t>
      </w:r>
      <w:r>
        <w:rPr>
          <w:sz w:val="20"/>
        </w:rPr>
        <w:t>Corumbá</w:t>
      </w:r>
      <w:r>
        <w:rPr>
          <w:spacing w:val="-40"/>
          <w:sz w:val="20"/>
        </w:rPr>
        <w:t> </w:t>
      </w:r>
      <w:r>
        <w:rPr>
          <w:sz w:val="20"/>
        </w:rPr>
        <w:t>Concessões</w:t>
      </w:r>
      <w:r>
        <w:rPr>
          <w:spacing w:val="-41"/>
          <w:sz w:val="20"/>
        </w:rPr>
        <w:t> </w:t>
      </w:r>
      <w:r>
        <w:rPr>
          <w:sz w:val="20"/>
        </w:rPr>
        <w:t>S.A.</w:t>
      </w:r>
      <w:r>
        <w:rPr>
          <w:spacing w:val="-41"/>
          <w:sz w:val="20"/>
        </w:rPr>
        <w:t> </w:t>
      </w:r>
      <w:r>
        <w:rPr>
          <w:sz w:val="20"/>
        </w:rPr>
        <w:t>em</w:t>
      </w:r>
      <w:r>
        <w:rPr>
          <w:spacing w:val="-41"/>
          <w:sz w:val="20"/>
        </w:rPr>
        <w:t> </w:t>
      </w:r>
      <w:r>
        <w:rPr>
          <w:sz w:val="20"/>
        </w:rPr>
        <w:t>2016 e</w:t>
      </w:r>
      <w:r>
        <w:rPr>
          <w:spacing w:val="-29"/>
          <w:sz w:val="20"/>
        </w:rPr>
        <w:t> </w:t>
      </w:r>
      <w:r>
        <w:rPr>
          <w:sz w:val="20"/>
        </w:rPr>
        <w:t>2017,</w:t>
      </w:r>
      <w:r>
        <w:rPr>
          <w:spacing w:val="-27"/>
          <w:sz w:val="20"/>
        </w:rPr>
        <w:t> </w:t>
      </w:r>
      <w:r>
        <w:rPr>
          <w:sz w:val="20"/>
        </w:rPr>
        <w:t>cujas</w:t>
      </w:r>
      <w:r>
        <w:rPr>
          <w:spacing w:val="-26"/>
          <w:sz w:val="20"/>
        </w:rPr>
        <w:t> </w:t>
      </w:r>
      <w:r>
        <w:rPr>
          <w:sz w:val="20"/>
        </w:rPr>
        <w:t>remunerações</w:t>
      </w:r>
      <w:r>
        <w:rPr>
          <w:spacing w:val="-25"/>
          <w:sz w:val="20"/>
        </w:rPr>
        <w:t> </w:t>
      </w:r>
      <w:r>
        <w:rPr>
          <w:sz w:val="20"/>
        </w:rPr>
        <w:t>correspondem</w:t>
      </w:r>
      <w:r>
        <w:rPr>
          <w:spacing w:val="-27"/>
          <w:sz w:val="20"/>
        </w:rPr>
        <w:t> </w:t>
      </w:r>
      <w:r>
        <w:rPr>
          <w:sz w:val="20"/>
        </w:rPr>
        <w:t>a</w:t>
      </w:r>
      <w:r>
        <w:rPr>
          <w:spacing w:val="-25"/>
          <w:sz w:val="20"/>
        </w:rPr>
        <w:t> </w:t>
      </w:r>
      <w:r>
        <w:rPr>
          <w:sz w:val="20"/>
        </w:rPr>
        <w:t>juros</w:t>
      </w:r>
      <w:r>
        <w:rPr>
          <w:spacing w:val="-25"/>
          <w:sz w:val="20"/>
        </w:rPr>
        <w:t> </w:t>
      </w:r>
      <w:r>
        <w:rPr>
          <w:sz w:val="20"/>
        </w:rPr>
        <w:t>de</w:t>
      </w:r>
      <w:r>
        <w:rPr>
          <w:spacing w:val="-29"/>
          <w:sz w:val="20"/>
        </w:rPr>
        <w:t> </w:t>
      </w:r>
      <w:r>
        <w:rPr>
          <w:sz w:val="20"/>
        </w:rPr>
        <w:t>1%</w:t>
      </w:r>
      <w:r>
        <w:rPr>
          <w:spacing w:val="-25"/>
          <w:sz w:val="20"/>
        </w:rPr>
        <w:t> </w:t>
      </w:r>
      <w:r>
        <w:rPr>
          <w:sz w:val="20"/>
        </w:rPr>
        <w:t>+</w:t>
      </w:r>
      <w:r>
        <w:rPr>
          <w:spacing w:val="-27"/>
          <w:sz w:val="20"/>
        </w:rPr>
        <w:t> </w:t>
      </w:r>
      <w:r>
        <w:rPr>
          <w:sz w:val="20"/>
        </w:rPr>
        <w:t>IGP-M</w:t>
      </w:r>
      <w:r>
        <w:rPr>
          <w:spacing w:val="-27"/>
          <w:sz w:val="20"/>
        </w:rPr>
        <w:t> </w:t>
      </w:r>
      <w:r>
        <w:rPr>
          <w:sz w:val="20"/>
        </w:rPr>
        <w:t>e</w:t>
      </w:r>
      <w:r>
        <w:rPr>
          <w:spacing w:val="-27"/>
          <w:sz w:val="20"/>
        </w:rPr>
        <w:t> </w:t>
      </w:r>
      <w:r>
        <w:rPr>
          <w:sz w:val="20"/>
        </w:rPr>
        <w:t>a</w:t>
      </w:r>
      <w:r>
        <w:rPr>
          <w:spacing w:val="-27"/>
          <w:sz w:val="20"/>
        </w:rPr>
        <w:t> </w:t>
      </w:r>
      <w:r>
        <w:rPr>
          <w:sz w:val="20"/>
        </w:rPr>
        <w:t>128%</w:t>
      </w:r>
      <w:r>
        <w:rPr>
          <w:spacing w:val="-26"/>
          <w:sz w:val="20"/>
        </w:rPr>
        <w:t> </w:t>
      </w:r>
      <w:r>
        <w:rPr>
          <w:sz w:val="20"/>
        </w:rPr>
        <w:t>do</w:t>
      </w:r>
      <w:r>
        <w:rPr>
          <w:spacing w:val="-28"/>
          <w:sz w:val="20"/>
        </w:rPr>
        <w:t> </w:t>
      </w:r>
      <w:r>
        <w:rPr>
          <w:sz w:val="20"/>
        </w:rPr>
        <w:t>Certificado</w:t>
      </w:r>
      <w:r>
        <w:rPr>
          <w:spacing w:val="-27"/>
          <w:sz w:val="20"/>
        </w:rPr>
        <w:t> </w:t>
      </w:r>
      <w:r>
        <w:rPr>
          <w:sz w:val="20"/>
        </w:rPr>
        <w:t>de</w:t>
      </w:r>
      <w:r>
        <w:rPr>
          <w:spacing w:val="-27"/>
          <w:sz w:val="20"/>
        </w:rPr>
        <w:t> </w:t>
      </w:r>
      <w:r>
        <w:rPr>
          <w:sz w:val="20"/>
        </w:rPr>
        <w:t>Depósito</w:t>
      </w:r>
      <w:r>
        <w:rPr>
          <w:spacing w:val="-28"/>
          <w:sz w:val="20"/>
        </w:rPr>
        <w:t> </w:t>
      </w:r>
      <w:r>
        <w:rPr>
          <w:sz w:val="20"/>
        </w:rPr>
        <w:t>Interbancário</w:t>
      </w:r>
    </w:p>
    <w:p>
      <w:pPr>
        <w:pStyle w:val="ListParagraph"/>
        <w:numPr>
          <w:ilvl w:val="0"/>
          <w:numId w:val="37"/>
        </w:numPr>
        <w:tabs>
          <w:tab w:pos="318" w:val="left" w:leader="none"/>
        </w:tabs>
        <w:spacing w:line="240" w:lineRule="auto" w:before="1" w:after="0"/>
        <w:ind w:left="317" w:right="0" w:hanging="146"/>
        <w:jc w:val="both"/>
        <w:rPr>
          <w:sz w:val="20"/>
        </w:rPr>
      </w:pPr>
      <w:r>
        <w:rPr>
          <w:sz w:val="20"/>
        </w:rPr>
        <w:t>CDI, respectivamente;</w:t>
      </w:r>
      <w:r>
        <w:rPr>
          <w:spacing w:val="-34"/>
          <w:sz w:val="20"/>
        </w:rPr>
        <w:t> </w:t>
      </w:r>
      <w:r>
        <w:rPr>
          <w:sz w:val="20"/>
        </w:rPr>
        <w:t>e</w:t>
      </w:r>
    </w:p>
    <w:p>
      <w:pPr>
        <w:pStyle w:val="ListParagraph"/>
        <w:numPr>
          <w:ilvl w:val="0"/>
          <w:numId w:val="49"/>
        </w:numPr>
        <w:tabs>
          <w:tab w:pos="447" w:val="left" w:leader="none"/>
        </w:tabs>
        <w:spacing w:line="242" w:lineRule="auto" w:before="121" w:after="0"/>
        <w:ind w:left="172" w:right="411" w:firstLine="0"/>
        <w:jc w:val="both"/>
        <w:rPr>
          <w:sz w:val="20"/>
        </w:rPr>
      </w:pPr>
      <w:r>
        <w:rPr>
          <w:sz w:val="20"/>
        </w:rPr>
        <w:t>Representa as variações sobre as Perdas Estimadas com Créditos de Liquidação Duvidosa com o Governo do Distrito</w:t>
      </w:r>
      <w:r>
        <w:rPr>
          <w:spacing w:val="-35"/>
          <w:sz w:val="20"/>
        </w:rPr>
        <w:t> </w:t>
      </w:r>
      <w:r>
        <w:rPr>
          <w:sz w:val="20"/>
        </w:rPr>
        <w:t>Federal</w:t>
      </w:r>
      <w:r>
        <w:rPr>
          <w:spacing w:val="-34"/>
          <w:sz w:val="20"/>
        </w:rPr>
        <w:t> </w:t>
      </w:r>
      <w:r>
        <w:rPr>
          <w:w w:val="105"/>
          <w:sz w:val="20"/>
        </w:rPr>
        <w:t>–</w:t>
      </w:r>
      <w:r>
        <w:rPr>
          <w:spacing w:val="-37"/>
          <w:w w:val="105"/>
          <w:sz w:val="20"/>
        </w:rPr>
        <w:t> </w:t>
      </w:r>
      <w:r>
        <w:rPr>
          <w:sz w:val="20"/>
        </w:rPr>
        <w:t>GDF,</w:t>
      </w:r>
      <w:r>
        <w:rPr>
          <w:spacing w:val="-34"/>
          <w:sz w:val="20"/>
        </w:rPr>
        <w:t> </w:t>
      </w:r>
      <w:r>
        <w:rPr>
          <w:sz w:val="20"/>
        </w:rPr>
        <w:t>pelos</w:t>
      </w:r>
      <w:r>
        <w:rPr>
          <w:spacing w:val="-35"/>
          <w:sz w:val="20"/>
        </w:rPr>
        <w:t> </w:t>
      </w:r>
      <w:r>
        <w:rPr>
          <w:sz w:val="20"/>
        </w:rPr>
        <w:t>serviços</w:t>
      </w:r>
      <w:r>
        <w:rPr>
          <w:spacing w:val="-34"/>
          <w:sz w:val="20"/>
        </w:rPr>
        <w:t> </w:t>
      </w:r>
      <w:r>
        <w:rPr>
          <w:sz w:val="20"/>
        </w:rPr>
        <w:t>de</w:t>
      </w:r>
      <w:r>
        <w:rPr>
          <w:spacing w:val="-34"/>
          <w:sz w:val="20"/>
        </w:rPr>
        <w:t> </w:t>
      </w:r>
      <w:r>
        <w:rPr>
          <w:sz w:val="20"/>
        </w:rPr>
        <w:t>manutenção</w:t>
      </w:r>
      <w:r>
        <w:rPr>
          <w:spacing w:val="-34"/>
          <w:sz w:val="20"/>
        </w:rPr>
        <w:t> </w:t>
      </w:r>
      <w:r>
        <w:rPr>
          <w:sz w:val="20"/>
        </w:rPr>
        <w:t>e</w:t>
      </w:r>
      <w:r>
        <w:rPr>
          <w:spacing w:val="-36"/>
          <w:sz w:val="20"/>
        </w:rPr>
        <w:t> </w:t>
      </w:r>
      <w:r>
        <w:rPr>
          <w:sz w:val="20"/>
        </w:rPr>
        <w:t>obras</w:t>
      </w:r>
      <w:r>
        <w:rPr>
          <w:spacing w:val="-34"/>
          <w:sz w:val="20"/>
        </w:rPr>
        <w:t> </w:t>
      </w:r>
      <w:r>
        <w:rPr>
          <w:sz w:val="20"/>
        </w:rPr>
        <w:t>de</w:t>
      </w:r>
      <w:r>
        <w:rPr>
          <w:spacing w:val="-35"/>
          <w:sz w:val="20"/>
        </w:rPr>
        <w:t> </w:t>
      </w:r>
      <w:r>
        <w:rPr>
          <w:sz w:val="20"/>
        </w:rPr>
        <w:t>Iluminação</w:t>
      </w:r>
      <w:r>
        <w:rPr>
          <w:spacing w:val="-36"/>
          <w:sz w:val="20"/>
        </w:rPr>
        <w:t> </w:t>
      </w:r>
      <w:r>
        <w:rPr>
          <w:sz w:val="20"/>
        </w:rPr>
        <w:t>Pública</w:t>
      </w:r>
      <w:r>
        <w:rPr>
          <w:spacing w:val="-32"/>
          <w:sz w:val="20"/>
        </w:rPr>
        <w:t> </w:t>
      </w:r>
      <w:r>
        <w:rPr>
          <w:sz w:val="20"/>
        </w:rPr>
        <w:t>por</w:t>
      </w:r>
      <w:r>
        <w:rPr>
          <w:spacing w:val="-35"/>
          <w:sz w:val="20"/>
        </w:rPr>
        <w:t> </w:t>
      </w:r>
      <w:r>
        <w:rPr>
          <w:sz w:val="20"/>
        </w:rPr>
        <w:t>serviços</w:t>
      </w:r>
      <w:r>
        <w:rPr>
          <w:spacing w:val="-34"/>
          <w:sz w:val="20"/>
        </w:rPr>
        <w:t> </w:t>
      </w:r>
      <w:r>
        <w:rPr>
          <w:sz w:val="20"/>
        </w:rPr>
        <w:t>prestados</w:t>
      </w:r>
      <w:r>
        <w:rPr>
          <w:spacing w:val="-34"/>
          <w:sz w:val="20"/>
        </w:rPr>
        <w:t> </w:t>
      </w:r>
      <w:r>
        <w:rPr>
          <w:sz w:val="20"/>
        </w:rPr>
        <w:t>pela</w:t>
      </w:r>
      <w:r>
        <w:rPr>
          <w:spacing w:val="-34"/>
          <w:sz w:val="20"/>
        </w:rPr>
        <w:t> </w:t>
      </w:r>
      <w:r>
        <w:rPr>
          <w:sz w:val="20"/>
        </w:rPr>
        <w:t>CEB.</w:t>
      </w:r>
    </w:p>
    <w:p>
      <w:pPr>
        <w:pStyle w:val="BodyText"/>
        <w:spacing w:before="4"/>
      </w:pPr>
    </w:p>
    <w:p>
      <w:pPr>
        <w:pStyle w:val="Heading5"/>
        <w:numPr>
          <w:ilvl w:val="2"/>
          <w:numId w:val="48"/>
        </w:numPr>
        <w:tabs>
          <w:tab w:pos="1026" w:val="left" w:leader="none"/>
        </w:tabs>
        <w:spacing w:line="240" w:lineRule="auto" w:before="0" w:after="0"/>
        <w:ind w:left="1025" w:right="0" w:hanging="854"/>
        <w:jc w:val="both"/>
      </w:pPr>
      <w:r>
        <w:rPr/>
        <w:t>Operações do Grupo e seus acionistas controladores e</w:t>
      </w:r>
      <w:r>
        <w:rPr>
          <w:spacing w:val="-8"/>
        </w:rPr>
        <w:t> </w:t>
      </w:r>
      <w:r>
        <w:rPr/>
        <w:t>coligadas</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13"/>
        <w:gridCol w:w="650"/>
        <w:gridCol w:w="1176"/>
        <w:gridCol w:w="1175"/>
      </w:tblGrid>
      <w:tr>
        <w:trPr>
          <w:trHeight w:val="237" w:hRule="atLeast"/>
        </w:trPr>
        <w:tc>
          <w:tcPr>
            <w:tcW w:w="6913" w:type="dxa"/>
            <w:vMerge w:val="restart"/>
            <w:shd w:val="clear" w:color="auto" w:fill="D9D9D9"/>
          </w:tcPr>
          <w:p>
            <w:pPr>
              <w:pStyle w:val="TableParagraph"/>
              <w:spacing w:before="9"/>
              <w:rPr>
                <w:rFonts w:ascii="Caladea"/>
                <w:b/>
                <w:sz w:val="12"/>
              </w:rPr>
            </w:pPr>
          </w:p>
          <w:p>
            <w:pPr>
              <w:pStyle w:val="TableParagraph"/>
              <w:tabs>
                <w:tab w:pos="732" w:val="left" w:leader="none"/>
              </w:tabs>
              <w:ind w:left="72"/>
              <w:rPr>
                <w:rFonts w:ascii="Caladea" w:hAnsi="Caladea"/>
                <w:b/>
                <w:sz w:val="14"/>
              </w:rPr>
            </w:pPr>
            <w:r>
              <w:rPr>
                <w:rFonts w:ascii="Caladea" w:hAnsi="Caladea"/>
                <w:b/>
                <w:sz w:val="14"/>
              </w:rPr>
              <w:t>17.</w:t>
              <w:tab/>
              <w:t>Transações Com Partes Relacionadas (Balanço</w:t>
            </w:r>
            <w:r>
              <w:rPr>
                <w:rFonts w:ascii="Caladea" w:hAnsi="Caladea"/>
                <w:b/>
                <w:spacing w:val="3"/>
                <w:sz w:val="14"/>
              </w:rPr>
              <w:t> </w:t>
            </w:r>
            <w:r>
              <w:rPr>
                <w:rFonts w:ascii="Caladea" w:hAnsi="Caladea"/>
                <w:b/>
                <w:sz w:val="14"/>
              </w:rPr>
              <w:t>Patrimonial)</w:t>
            </w:r>
          </w:p>
        </w:tc>
        <w:tc>
          <w:tcPr>
            <w:tcW w:w="650" w:type="dxa"/>
            <w:vMerge w:val="restart"/>
          </w:tcPr>
          <w:p>
            <w:pPr>
              <w:pStyle w:val="TableParagraph"/>
              <w:spacing w:before="7"/>
              <w:rPr>
                <w:rFonts w:ascii="Caladea"/>
                <w:b/>
                <w:sz w:val="13"/>
              </w:rPr>
            </w:pPr>
          </w:p>
          <w:p>
            <w:pPr>
              <w:pStyle w:val="TableParagraph"/>
              <w:ind w:left="141"/>
              <w:rPr>
                <w:rFonts w:ascii="Caladea"/>
                <w:b/>
                <w:sz w:val="14"/>
              </w:rPr>
            </w:pPr>
            <w:r>
              <w:rPr>
                <w:rFonts w:ascii="Caladea"/>
                <w:b/>
                <w:sz w:val="14"/>
              </w:rPr>
              <w:t>Notas</w:t>
            </w:r>
          </w:p>
        </w:tc>
        <w:tc>
          <w:tcPr>
            <w:tcW w:w="2351" w:type="dxa"/>
            <w:gridSpan w:val="2"/>
          </w:tcPr>
          <w:p>
            <w:pPr>
              <w:pStyle w:val="TableParagraph"/>
              <w:spacing w:before="34"/>
              <w:ind w:left="778"/>
              <w:rPr>
                <w:rFonts w:ascii="Caladea"/>
                <w:b/>
                <w:sz w:val="14"/>
              </w:rPr>
            </w:pPr>
            <w:r>
              <w:rPr>
                <w:rFonts w:ascii="Caladea"/>
                <w:b/>
                <w:sz w:val="14"/>
              </w:rPr>
              <w:t>Consolidado</w:t>
            </w:r>
          </w:p>
        </w:tc>
      </w:tr>
      <w:tr>
        <w:trPr>
          <w:trHeight w:val="239" w:hRule="atLeast"/>
        </w:trPr>
        <w:tc>
          <w:tcPr>
            <w:tcW w:w="6913" w:type="dxa"/>
            <w:vMerge/>
            <w:tcBorders>
              <w:top w:val="nil"/>
            </w:tcBorders>
            <w:shd w:val="clear" w:color="auto" w:fill="D9D9D9"/>
          </w:tcPr>
          <w:p>
            <w:pPr>
              <w:rPr>
                <w:sz w:val="2"/>
                <w:szCs w:val="2"/>
              </w:rPr>
            </w:pPr>
          </w:p>
        </w:tc>
        <w:tc>
          <w:tcPr>
            <w:tcW w:w="650" w:type="dxa"/>
            <w:vMerge/>
            <w:tcBorders>
              <w:top w:val="nil"/>
            </w:tcBorders>
          </w:tcPr>
          <w:p>
            <w:pPr>
              <w:rPr>
                <w:sz w:val="2"/>
                <w:szCs w:val="2"/>
              </w:rPr>
            </w:pPr>
          </w:p>
        </w:tc>
        <w:tc>
          <w:tcPr>
            <w:tcW w:w="1176" w:type="dxa"/>
          </w:tcPr>
          <w:p>
            <w:pPr>
              <w:pStyle w:val="TableParagraph"/>
              <w:spacing w:before="37"/>
              <w:ind w:left="188"/>
              <w:rPr>
                <w:rFonts w:ascii="Caladea"/>
                <w:b/>
                <w:sz w:val="14"/>
              </w:rPr>
            </w:pPr>
            <w:r>
              <w:rPr>
                <w:rFonts w:ascii="Caladea"/>
                <w:b/>
                <w:sz w:val="14"/>
              </w:rPr>
              <w:t>31/12/2019</w:t>
            </w:r>
          </w:p>
        </w:tc>
        <w:tc>
          <w:tcPr>
            <w:tcW w:w="1175" w:type="dxa"/>
          </w:tcPr>
          <w:p>
            <w:pPr>
              <w:pStyle w:val="TableParagraph"/>
              <w:spacing w:before="37"/>
              <w:ind w:left="188"/>
              <w:rPr>
                <w:rFonts w:ascii="Caladea"/>
                <w:b/>
                <w:sz w:val="14"/>
              </w:rPr>
            </w:pPr>
            <w:r>
              <w:rPr>
                <w:rFonts w:ascii="Caladea"/>
                <w:b/>
                <w:sz w:val="14"/>
              </w:rPr>
              <w:t>31/12/2018</w:t>
            </w:r>
          </w:p>
        </w:tc>
      </w:tr>
      <w:tr>
        <w:trPr>
          <w:trHeight w:val="237" w:hRule="atLeast"/>
        </w:trPr>
        <w:tc>
          <w:tcPr>
            <w:tcW w:w="6913" w:type="dxa"/>
          </w:tcPr>
          <w:p>
            <w:pPr>
              <w:pStyle w:val="TableParagraph"/>
              <w:spacing w:before="35"/>
              <w:ind w:left="72"/>
              <w:rPr>
                <w:rFonts w:ascii="Caladea"/>
                <w:b/>
                <w:sz w:val="14"/>
              </w:rPr>
            </w:pPr>
            <w:r>
              <w:rPr>
                <w:rFonts w:ascii="Caladea"/>
                <w:b/>
                <w:sz w:val="14"/>
              </w:rPr>
              <w:t>Ativo</w:t>
            </w:r>
          </w:p>
        </w:tc>
        <w:tc>
          <w:tcPr>
            <w:tcW w:w="650" w:type="dxa"/>
          </w:tcPr>
          <w:p>
            <w:pPr>
              <w:pStyle w:val="TableParagraph"/>
              <w:rPr>
                <w:rFonts w:ascii="Times New Roman"/>
                <w:sz w:val="16"/>
              </w:rPr>
            </w:pPr>
          </w:p>
        </w:tc>
        <w:tc>
          <w:tcPr>
            <w:tcW w:w="1176" w:type="dxa"/>
          </w:tcPr>
          <w:p>
            <w:pPr>
              <w:pStyle w:val="TableParagraph"/>
              <w:spacing w:before="35"/>
              <w:ind w:right="56"/>
              <w:jc w:val="right"/>
              <w:rPr>
                <w:rFonts w:ascii="Caladea"/>
                <w:b/>
                <w:sz w:val="14"/>
              </w:rPr>
            </w:pPr>
            <w:r>
              <w:rPr>
                <w:rFonts w:ascii="Caladea"/>
                <w:b/>
                <w:sz w:val="14"/>
              </w:rPr>
              <w:t>91.025</w:t>
            </w:r>
          </w:p>
        </w:tc>
        <w:tc>
          <w:tcPr>
            <w:tcW w:w="1175" w:type="dxa"/>
          </w:tcPr>
          <w:p>
            <w:pPr>
              <w:pStyle w:val="TableParagraph"/>
              <w:spacing w:before="35"/>
              <w:ind w:right="57"/>
              <w:jc w:val="right"/>
              <w:rPr>
                <w:rFonts w:ascii="Caladea"/>
                <w:b/>
                <w:sz w:val="14"/>
              </w:rPr>
            </w:pPr>
            <w:r>
              <w:rPr>
                <w:rFonts w:ascii="Caladea"/>
                <w:b/>
                <w:w w:val="95"/>
                <w:sz w:val="14"/>
              </w:rPr>
              <w:t>116.915</w:t>
            </w:r>
          </w:p>
        </w:tc>
      </w:tr>
      <w:tr>
        <w:trPr>
          <w:trHeight w:val="237" w:hRule="atLeast"/>
        </w:trPr>
        <w:tc>
          <w:tcPr>
            <w:tcW w:w="6913" w:type="dxa"/>
          </w:tcPr>
          <w:p>
            <w:pPr>
              <w:pStyle w:val="TableParagraph"/>
              <w:spacing w:before="35"/>
              <w:ind w:left="72"/>
              <w:rPr>
                <w:rFonts w:ascii="Caladea" w:hAnsi="Caladea"/>
                <w:b/>
                <w:sz w:val="14"/>
              </w:rPr>
            </w:pPr>
            <w:r>
              <w:rPr>
                <w:rFonts w:ascii="Caladea" w:hAnsi="Caladea"/>
                <w:b/>
                <w:sz w:val="14"/>
              </w:rPr>
              <w:t>Contas a Receber, Líquida da PECLD</w:t>
            </w:r>
          </w:p>
        </w:tc>
        <w:tc>
          <w:tcPr>
            <w:tcW w:w="650" w:type="dxa"/>
          </w:tcPr>
          <w:p>
            <w:pPr>
              <w:pStyle w:val="TableParagraph"/>
              <w:rPr>
                <w:rFonts w:ascii="Times New Roman"/>
                <w:sz w:val="16"/>
              </w:rPr>
            </w:pPr>
          </w:p>
        </w:tc>
        <w:tc>
          <w:tcPr>
            <w:tcW w:w="1176" w:type="dxa"/>
          </w:tcPr>
          <w:p>
            <w:pPr>
              <w:pStyle w:val="TableParagraph"/>
              <w:spacing w:before="35"/>
              <w:ind w:right="56"/>
              <w:jc w:val="right"/>
              <w:rPr>
                <w:rFonts w:ascii="Caladea"/>
                <w:b/>
                <w:sz w:val="14"/>
              </w:rPr>
            </w:pPr>
            <w:r>
              <w:rPr>
                <w:rFonts w:ascii="Caladea"/>
                <w:b/>
                <w:sz w:val="14"/>
              </w:rPr>
              <w:t>75.625</w:t>
            </w:r>
          </w:p>
        </w:tc>
        <w:tc>
          <w:tcPr>
            <w:tcW w:w="1175" w:type="dxa"/>
          </w:tcPr>
          <w:p>
            <w:pPr>
              <w:pStyle w:val="TableParagraph"/>
              <w:spacing w:before="35"/>
              <w:ind w:right="57"/>
              <w:jc w:val="right"/>
              <w:rPr>
                <w:rFonts w:ascii="Caladea"/>
                <w:b/>
                <w:sz w:val="14"/>
              </w:rPr>
            </w:pPr>
            <w:r>
              <w:rPr>
                <w:rFonts w:ascii="Caladea"/>
                <w:b/>
                <w:sz w:val="14"/>
              </w:rPr>
              <w:t>95.822</w:t>
            </w:r>
          </w:p>
        </w:tc>
      </w:tr>
      <w:tr>
        <w:trPr>
          <w:trHeight w:val="239" w:hRule="atLeast"/>
        </w:trPr>
        <w:tc>
          <w:tcPr>
            <w:tcW w:w="6913" w:type="dxa"/>
          </w:tcPr>
          <w:p>
            <w:pPr>
              <w:pStyle w:val="TableParagraph"/>
              <w:spacing w:before="38"/>
              <w:ind w:left="72"/>
              <w:rPr>
                <w:sz w:val="14"/>
              </w:rPr>
            </w:pPr>
            <w:r>
              <w:rPr>
                <w:sz w:val="14"/>
              </w:rPr>
              <w:t>Corumbá Concessões S.A.</w:t>
            </w:r>
          </w:p>
        </w:tc>
        <w:tc>
          <w:tcPr>
            <w:tcW w:w="650" w:type="dxa"/>
          </w:tcPr>
          <w:p>
            <w:pPr>
              <w:pStyle w:val="TableParagraph"/>
              <w:spacing w:before="37"/>
              <w:ind w:left="288"/>
              <w:rPr>
                <w:rFonts w:ascii="Caladea"/>
                <w:b/>
                <w:sz w:val="14"/>
              </w:rPr>
            </w:pPr>
            <w:r>
              <w:rPr>
                <w:rFonts w:ascii="Caladea"/>
                <w:b/>
                <w:w w:val="99"/>
                <w:sz w:val="14"/>
              </w:rPr>
              <w:t>a</w:t>
            </w:r>
          </w:p>
        </w:tc>
        <w:tc>
          <w:tcPr>
            <w:tcW w:w="1176" w:type="dxa"/>
          </w:tcPr>
          <w:p>
            <w:pPr>
              <w:pStyle w:val="TableParagraph"/>
              <w:spacing w:before="38"/>
              <w:ind w:right="56"/>
              <w:jc w:val="right"/>
              <w:rPr>
                <w:sz w:val="14"/>
              </w:rPr>
            </w:pPr>
            <w:r>
              <w:rPr>
                <w:sz w:val="14"/>
              </w:rPr>
              <w:t>460</w:t>
            </w:r>
          </w:p>
        </w:tc>
        <w:tc>
          <w:tcPr>
            <w:tcW w:w="1175" w:type="dxa"/>
          </w:tcPr>
          <w:p>
            <w:pPr>
              <w:pStyle w:val="TableParagraph"/>
              <w:spacing w:before="38"/>
              <w:ind w:right="57"/>
              <w:jc w:val="right"/>
              <w:rPr>
                <w:sz w:val="14"/>
              </w:rPr>
            </w:pPr>
            <w:r>
              <w:rPr>
                <w:w w:val="105"/>
                <w:sz w:val="14"/>
              </w:rPr>
              <w:t>416</w:t>
            </w:r>
          </w:p>
        </w:tc>
      </w:tr>
      <w:tr>
        <w:trPr>
          <w:trHeight w:val="237" w:hRule="atLeast"/>
        </w:trPr>
        <w:tc>
          <w:tcPr>
            <w:tcW w:w="6913" w:type="dxa"/>
          </w:tcPr>
          <w:p>
            <w:pPr>
              <w:pStyle w:val="TableParagraph"/>
              <w:spacing w:before="36"/>
              <w:ind w:left="72"/>
              <w:rPr>
                <w:sz w:val="14"/>
              </w:rPr>
            </w:pPr>
            <w:r>
              <w:rPr>
                <w:sz w:val="14"/>
              </w:rPr>
              <w:t>Energética Corumbá III S.A.</w:t>
            </w:r>
          </w:p>
        </w:tc>
        <w:tc>
          <w:tcPr>
            <w:tcW w:w="650" w:type="dxa"/>
          </w:tcPr>
          <w:p>
            <w:pPr>
              <w:pStyle w:val="TableParagraph"/>
              <w:spacing w:before="34"/>
              <w:ind w:left="288"/>
              <w:rPr>
                <w:rFonts w:ascii="Caladea"/>
                <w:b/>
                <w:sz w:val="14"/>
              </w:rPr>
            </w:pPr>
            <w:r>
              <w:rPr>
                <w:rFonts w:ascii="Caladea"/>
                <w:b/>
                <w:w w:val="99"/>
                <w:sz w:val="14"/>
              </w:rPr>
              <w:t>a</w:t>
            </w:r>
          </w:p>
        </w:tc>
        <w:tc>
          <w:tcPr>
            <w:tcW w:w="1176" w:type="dxa"/>
          </w:tcPr>
          <w:p>
            <w:pPr>
              <w:pStyle w:val="TableParagraph"/>
              <w:spacing w:before="36"/>
              <w:ind w:right="56"/>
              <w:jc w:val="right"/>
              <w:rPr>
                <w:sz w:val="14"/>
              </w:rPr>
            </w:pPr>
            <w:r>
              <w:rPr>
                <w:sz w:val="14"/>
              </w:rPr>
              <w:t>112</w:t>
            </w:r>
          </w:p>
        </w:tc>
        <w:tc>
          <w:tcPr>
            <w:tcW w:w="1175" w:type="dxa"/>
          </w:tcPr>
          <w:p>
            <w:pPr>
              <w:pStyle w:val="TableParagraph"/>
              <w:spacing w:before="36"/>
              <w:ind w:right="57"/>
              <w:jc w:val="right"/>
              <w:rPr>
                <w:sz w:val="14"/>
              </w:rPr>
            </w:pPr>
            <w:r>
              <w:rPr>
                <w:w w:val="105"/>
                <w:sz w:val="14"/>
              </w:rPr>
              <w:t>102</w:t>
            </w:r>
          </w:p>
        </w:tc>
      </w:tr>
      <w:tr>
        <w:trPr>
          <w:trHeight w:val="237" w:hRule="atLeast"/>
        </w:trPr>
        <w:tc>
          <w:tcPr>
            <w:tcW w:w="6913" w:type="dxa"/>
          </w:tcPr>
          <w:p>
            <w:pPr>
              <w:pStyle w:val="TableParagraph"/>
              <w:spacing w:before="37"/>
              <w:ind w:left="72"/>
              <w:rPr>
                <w:sz w:val="14"/>
              </w:rPr>
            </w:pPr>
            <w:r>
              <w:rPr>
                <w:sz w:val="14"/>
              </w:rPr>
              <w:t>Governo do Distrito Federal</w:t>
            </w:r>
          </w:p>
        </w:tc>
        <w:tc>
          <w:tcPr>
            <w:tcW w:w="650" w:type="dxa"/>
          </w:tcPr>
          <w:p>
            <w:pPr>
              <w:pStyle w:val="TableParagraph"/>
              <w:spacing w:before="35"/>
              <w:ind w:left="283"/>
              <w:rPr>
                <w:rFonts w:ascii="Caladea"/>
                <w:b/>
                <w:sz w:val="14"/>
              </w:rPr>
            </w:pPr>
            <w:r>
              <w:rPr>
                <w:rFonts w:ascii="Caladea"/>
                <w:b/>
                <w:w w:val="99"/>
                <w:sz w:val="14"/>
              </w:rPr>
              <w:t>b</w:t>
            </w:r>
          </w:p>
        </w:tc>
        <w:tc>
          <w:tcPr>
            <w:tcW w:w="1176" w:type="dxa"/>
          </w:tcPr>
          <w:p>
            <w:pPr>
              <w:pStyle w:val="TableParagraph"/>
              <w:spacing w:before="37"/>
              <w:ind w:right="55"/>
              <w:jc w:val="right"/>
              <w:rPr>
                <w:sz w:val="14"/>
              </w:rPr>
            </w:pPr>
            <w:r>
              <w:rPr>
                <w:w w:val="95"/>
                <w:sz w:val="14"/>
              </w:rPr>
              <w:t>75.053</w:t>
            </w:r>
          </w:p>
        </w:tc>
        <w:tc>
          <w:tcPr>
            <w:tcW w:w="1175" w:type="dxa"/>
          </w:tcPr>
          <w:p>
            <w:pPr>
              <w:pStyle w:val="TableParagraph"/>
              <w:spacing w:before="37"/>
              <w:ind w:right="57"/>
              <w:jc w:val="right"/>
              <w:rPr>
                <w:sz w:val="14"/>
              </w:rPr>
            </w:pPr>
            <w:r>
              <w:rPr>
                <w:w w:val="95"/>
                <w:sz w:val="14"/>
              </w:rPr>
              <w:t>95.304</w:t>
            </w:r>
          </w:p>
        </w:tc>
      </w:tr>
      <w:tr>
        <w:trPr>
          <w:trHeight w:val="239" w:hRule="atLeast"/>
        </w:trPr>
        <w:tc>
          <w:tcPr>
            <w:tcW w:w="6913" w:type="dxa"/>
          </w:tcPr>
          <w:p>
            <w:pPr>
              <w:pStyle w:val="TableParagraph"/>
              <w:spacing w:before="37"/>
              <w:ind w:left="72"/>
              <w:rPr>
                <w:rFonts w:ascii="Caladea"/>
                <w:b/>
                <w:sz w:val="14"/>
              </w:rPr>
            </w:pPr>
            <w:r>
              <w:rPr>
                <w:rFonts w:ascii="Caladea"/>
                <w:b/>
                <w:sz w:val="14"/>
              </w:rPr>
              <w:t>Demais Ativos</w:t>
            </w:r>
          </w:p>
        </w:tc>
        <w:tc>
          <w:tcPr>
            <w:tcW w:w="650" w:type="dxa"/>
          </w:tcPr>
          <w:p>
            <w:pPr>
              <w:pStyle w:val="TableParagraph"/>
              <w:rPr>
                <w:rFonts w:ascii="Times New Roman"/>
                <w:sz w:val="16"/>
              </w:rPr>
            </w:pPr>
          </w:p>
        </w:tc>
        <w:tc>
          <w:tcPr>
            <w:tcW w:w="1176" w:type="dxa"/>
          </w:tcPr>
          <w:p>
            <w:pPr>
              <w:pStyle w:val="TableParagraph"/>
              <w:spacing w:before="37"/>
              <w:ind w:right="56"/>
              <w:jc w:val="right"/>
              <w:rPr>
                <w:rFonts w:ascii="Caladea"/>
                <w:b/>
                <w:sz w:val="14"/>
              </w:rPr>
            </w:pPr>
            <w:r>
              <w:rPr>
                <w:rFonts w:ascii="Caladea"/>
                <w:b/>
                <w:sz w:val="14"/>
              </w:rPr>
              <w:t>15.400</w:t>
            </w:r>
          </w:p>
        </w:tc>
        <w:tc>
          <w:tcPr>
            <w:tcW w:w="1175" w:type="dxa"/>
          </w:tcPr>
          <w:p>
            <w:pPr>
              <w:pStyle w:val="TableParagraph"/>
              <w:spacing w:before="37"/>
              <w:ind w:right="57"/>
              <w:jc w:val="right"/>
              <w:rPr>
                <w:rFonts w:ascii="Caladea"/>
                <w:b/>
                <w:sz w:val="14"/>
              </w:rPr>
            </w:pPr>
            <w:r>
              <w:rPr>
                <w:rFonts w:ascii="Caladea"/>
                <w:b/>
                <w:sz w:val="14"/>
              </w:rPr>
              <w:t>21.093</w:t>
            </w:r>
          </w:p>
        </w:tc>
      </w:tr>
      <w:tr>
        <w:trPr>
          <w:trHeight w:val="237" w:hRule="atLeast"/>
        </w:trPr>
        <w:tc>
          <w:tcPr>
            <w:tcW w:w="6913" w:type="dxa"/>
          </w:tcPr>
          <w:p>
            <w:pPr>
              <w:pStyle w:val="TableParagraph"/>
              <w:spacing w:before="34"/>
              <w:ind w:left="72"/>
              <w:rPr>
                <w:rFonts w:ascii="Caladea"/>
                <w:b/>
                <w:sz w:val="14"/>
              </w:rPr>
            </w:pPr>
            <w:r>
              <w:rPr>
                <w:rFonts w:ascii="Caladea"/>
                <w:b/>
                <w:sz w:val="14"/>
              </w:rPr>
              <w:t>Dividendos/JSCP</w:t>
            </w:r>
          </w:p>
        </w:tc>
        <w:tc>
          <w:tcPr>
            <w:tcW w:w="650" w:type="dxa"/>
          </w:tcPr>
          <w:p>
            <w:pPr>
              <w:pStyle w:val="TableParagraph"/>
              <w:spacing w:before="34"/>
              <w:ind w:left="293"/>
              <w:rPr>
                <w:rFonts w:ascii="Caladea"/>
                <w:b/>
                <w:sz w:val="14"/>
              </w:rPr>
            </w:pPr>
            <w:r>
              <w:rPr>
                <w:rFonts w:ascii="Caladea"/>
                <w:b/>
                <w:w w:val="99"/>
                <w:sz w:val="14"/>
              </w:rPr>
              <w:t>c</w:t>
            </w:r>
          </w:p>
        </w:tc>
        <w:tc>
          <w:tcPr>
            <w:tcW w:w="1176" w:type="dxa"/>
          </w:tcPr>
          <w:p>
            <w:pPr>
              <w:pStyle w:val="TableParagraph"/>
              <w:spacing w:before="34"/>
              <w:ind w:right="56"/>
              <w:jc w:val="right"/>
              <w:rPr>
                <w:rFonts w:ascii="Caladea"/>
                <w:b/>
                <w:sz w:val="14"/>
              </w:rPr>
            </w:pPr>
            <w:r>
              <w:rPr>
                <w:rFonts w:ascii="Caladea"/>
                <w:b/>
                <w:w w:val="95"/>
                <w:sz w:val="14"/>
              </w:rPr>
              <w:t>4.001</w:t>
            </w:r>
          </w:p>
        </w:tc>
        <w:tc>
          <w:tcPr>
            <w:tcW w:w="1175" w:type="dxa"/>
          </w:tcPr>
          <w:p>
            <w:pPr>
              <w:pStyle w:val="TableParagraph"/>
              <w:spacing w:before="34"/>
              <w:ind w:right="57"/>
              <w:jc w:val="right"/>
              <w:rPr>
                <w:rFonts w:ascii="Caladea"/>
                <w:b/>
                <w:sz w:val="14"/>
              </w:rPr>
            </w:pPr>
            <w:r>
              <w:rPr>
                <w:rFonts w:ascii="Caladea"/>
                <w:b/>
                <w:w w:val="95"/>
                <w:sz w:val="14"/>
              </w:rPr>
              <w:t>7.142</w:t>
            </w:r>
          </w:p>
        </w:tc>
      </w:tr>
      <w:tr>
        <w:trPr>
          <w:trHeight w:val="237" w:hRule="atLeast"/>
        </w:trPr>
        <w:tc>
          <w:tcPr>
            <w:tcW w:w="6913" w:type="dxa"/>
          </w:tcPr>
          <w:p>
            <w:pPr>
              <w:pStyle w:val="TableParagraph"/>
              <w:spacing w:before="36"/>
              <w:ind w:left="72"/>
              <w:rPr>
                <w:sz w:val="14"/>
              </w:rPr>
            </w:pPr>
            <w:r>
              <w:rPr>
                <w:sz w:val="14"/>
              </w:rPr>
              <w:t>Corumbá Concessões S.A.</w:t>
            </w:r>
          </w:p>
        </w:tc>
        <w:tc>
          <w:tcPr>
            <w:tcW w:w="650" w:type="dxa"/>
          </w:tcPr>
          <w:p>
            <w:pPr>
              <w:pStyle w:val="TableParagraph"/>
              <w:rPr>
                <w:rFonts w:ascii="Times New Roman"/>
                <w:sz w:val="16"/>
              </w:rPr>
            </w:pPr>
          </w:p>
        </w:tc>
        <w:tc>
          <w:tcPr>
            <w:tcW w:w="1176" w:type="dxa"/>
          </w:tcPr>
          <w:p>
            <w:pPr>
              <w:pStyle w:val="TableParagraph"/>
              <w:spacing w:before="36"/>
              <w:ind w:right="56"/>
              <w:jc w:val="right"/>
              <w:rPr>
                <w:sz w:val="14"/>
              </w:rPr>
            </w:pPr>
            <w:r>
              <w:rPr>
                <w:sz w:val="14"/>
              </w:rPr>
              <w:t>889</w:t>
            </w:r>
          </w:p>
        </w:tc>
        <w:tc>
          <w:tcPr>
            <w:tcW w:w="1175" w:type="dxa"/>
          </w:tcPr>
          <w:p>
            <w:pPr>
              <w:pStyle w:val="TableParagraph"/>
              <w:spacing w:before="36"/>
              <w:ind w:right="57"/>
              <w:jc w:val="right"/>
              <w:rPr>
                <w:sz w:val="14"/>
              </w:rPr>
            </w:pPr>
            <w:r>
              <w:rPr>
                <w:w w:val="95"/>
                <w:sz w:val="14"/>
              </w:rPr>
              <w:t>1.718</w:t>
            </w:r>
          </w:p>
        </w:tc>
      </w:tr>
      <w:tr>
        <w:trPr>
          <w:trHeight w:val="239" w:hRule="atLeast"/>
        </w:trPr>
        <w:tc>
          <w:tcPr>
            <w:tcW w:w="6913" w:type="dxa"/>
          </w:tcPr>
          <w:p>
            <w:pPr>
              <w:pStyle w:val="TableParagraph"/>
              <w:spacing w:before="38"/>
              <w:ind w:left="72"/>
              <w:rPr>
                <w:sz w:val="14"/>
              </w:rPr>
            </w:pPr>
            <w:r>
              <w:rPr>
                <w:sz w:val="14"/>
              </w:rPr>
              <w:t>Energética Corumbá III S.A.</w:t>
            </w:r>
          </w:p>
        </w:tc>
        <w:tc>
          <w:tcPr>
            <w:tcW w:w="650" w:type="dxa"/>
          </w:tcPr>
          <w:p>
            <w:pPr>
              <w:pStyle w:val="TableParagraph"/>
              <w:rPr>
                <w:rFonts w:ascii="Times New Roman"/>
                <w:sz w:val="16"/>
              </w:rPr>
            </w:pPr>
          </w:p>
        </w:tc>
        <w:tc>
          <w:tcPr>
            <w:tcW w:w="1176" w:type="dxa"/>
          </w:tcPr>
          <w:p>
            <w:pPr>
              <w:pStyle w:val="TableParagraph"/>
              <w:spacing w:before="38"/>
              <w:ind w:right="56"/>
              <w:jc w:val="right"/>
              <w:rPr>
                <w:sz w:val="14"/>
              </w:rPr>
            </w:pPr>
            <w:r>
              <w:rPr>
                <w:w w:val="95"/>
                <w:sz w:val="14"/>
              </w:rPr>
              <w:t>1.928</w:t>
            </w:r>
          </w:p>
        </w:tc>
        <w:tc>
          <w:tcPr>
            <w:tcW w:w="1175" w:type="dxa"/>
          </w:tcPr>
          <w:p>
            <w:pPr>
              <w:pStyle w:val="TableParagraph"/>
              <w:spacing w:before="38"/>
              <w:ind w:right="57"/>
              <w:jc w:val="right"/>
              <w:rPr>
                <w:sz w:val="14"/>
              </w:rPr>
            </w:pPr>
            <w:r>
              <w:rPr>
                <w:w w:val="95"/>
                <w:sz w:val="14"/>
              </w:rPr>
              <w:t>1.323</w:t>
            </w:r>
          </w:p>
        </w:tc>
      </w:tr>
      <w:tr>
        <w:trPr>
          <w:trHeight w:val="237" w:hRule="atLeast"/>
        </w:trPr>
        <w:tc>
          <w:tcPr>
            <w:tcW w:w="6913" w:type="dxa"/>
          </w:tcPr>
          <w:p>
            <w:pPr>
              <w:pStyle w:val="TableParagraph"/>
              <w:spacing w:before="36"/>
              <w:ind w:left="72"/>
              <w:rPr>
                <w:sz w:val="14"/>
              </w:rPr>
            </w:pPr>
            <w:r>
              <w:rPr>
                <w:sz w:val="14"/>
              </w:rPr>
              <w:t>Investco S.A.</w:t>
            </w:r>
          </w:p>
        </w:tc>
        <w:tc>
          <w:tcPr>
            <w:tcW w:w="650" w:type="dxa"/>
          </w:tcPr>
          <w:p>
            <w:pPr>
              <w:pStyle w:val="TableParagraph"/>
              <w:rPr>
                <w:rFonts w:ascii="Times New Roman"/>
                <w:sz w:val="16"/>
              </w:rPr>
            </w:pPr>
          </w:p>
        </w:tc>
        <w:tc>
          <w:tcPr>
            <w:tcW w:w="1176" w:type="dxa"/>
          </w:tcPr>
          <w:p>
            <w:pPr>
              <w:pStyle w:val="TableParagraph"/>
              <w:spacing w:before="36"/>
              <w:ind w:right="56"/>
              <w:jc w:val="right"/>
              <w:rPr>
                <w:sz w:val="14"/>
              </w:rPr>
            </w:pPr>
            <w:r>
              <w:rPr>
                <w:w w:val="95"/>
                <w:sz w:val="14"/>
              </w:rPr>
              <w:t>1.184</w:t>
            </w:r>
          </w:p>
        </w:tc>
        <w:tc>
          <w:tcPr>
            <w:tcW w:w="1175" w:type="dxa"/>
          </w:tcPr>
          <w:p>
            <w:pPr>
              <w:pStyle w:val="TableParagraph"/>
              <w:spacing w:before="36"/>
              <w:ind w:right="57"/>
              <w:jc w:val="right"/>
              <w:rPr>
                <w:sz w:val="14"/>
              </w:rPr>
            </w:pPr>
            <w:r>
              <w:rPr>
                <w:w w:val="95"/>
                <w:sz w:val="14"/>
              </w:rPr>
              <w:t>4.101</w:t>
            </w:r>
          </w:p>
        </w:tc>
      </w:tr>
      <w:tr>
        <w:trPr>
          <w:trHeight w:val="237" w:hRule="atLeast"/>
        </w:trPr>
        <w:tc>
          <w:tcPr>
            <w:tcW w:w="6913" w:type="dxa"/>
          </w:tcPr>
          <w:p>
            <w:pPr>
              <w:pStyle w:val="TableParagraph"/>
              <w:spacing w:before="34"/>
              <w:ind w:left="72"/>
              <w:rPr>
                <w:rFonts w:ascii="Caladea" w:hAnsi="Caladea"/>
                <w:b/>
                <w:sz w:val="14"/>
              </w:rPr>
            </w:pPr>
            <w:r>
              <w:rPr>
                <w:rFonts w:ascii="Caladea" w:hAnsi="Caladea"/>
                <w:b/>
                <w:sz w:val="14"/>
              </w:rPr>
              <w:t>Empréstimos e Financiamentos (Mútuos)</w:t>
            </w:r>
          </w:p>
        </w:tc>
        <w:tc>
          <w:tcPr>
            <w:tcW w:w="650" w:type="dxa"/>
          </w:tcPr>
          <w:p>
            <w:pPr>
              <w:pStyle w:val="TableParagraph"/>
              <w:rPr>
                <w:rFonts w:ascii="Times New Roman"/>
                <w:sz w:val="16"/>
              </w:rPr>
            </w:pPr>
          </w:p>
        </w:tc>
        <w:tc>
          <w:tcPr>
            <w:tcW w:w="1176" w:type="dxa"/>
          </w:tcPr>
          <w:p>
            <w:pPr>
              <w:pStyle w:val="TableParagraph"/>
              <w:spacing w:before="34"/>
              <w:ind w:right="56"/>
              <w:jc w:val="right"/>
              <w:rPr>
                <w:rFonts w:ascii="Caladea"/>
                <w:b/>
                <w:sz w:val="14"/>
              </w:rPr>
            </w:pPr>
            <w:r>
              <w:rPr>
                <w:rFonts w:ascii="Caladea"/>
                <w:b/>
                <w:sz w:val="14"/>
              </w:rPr>
              <w:t>11.399</w:t>
            </w:r>
          </w:p>
        </w:tc>
        <w:tc>
          <w:tcPr>
            <w:tcW w:w="1175" w:type="dxa"/>
          </w:tcPr>
          <w:p>
            <w:pPr>
              <w:pStyle w:val="TableParagraph"/>
              <w:spacing w:before="34"/>
              <w:ind w:right="57"/>
              <w:jc w:val="right"/>
              <w:rPr>
                <w:rFonts w:ascii="Caladea"/>
                <w:b/>
                <w:sz w:val="14"/>
              </w:rPr>
            </w:pPr>
            <w:r>
              <w:rPr>
                <w:rFonts w:ascii="Caladea"/>
                <w:b/>
                <w:sz w:val="14"/>
              </w:rPr>
              <w:t>13.950</w:t>
            </w:r>
          </w:p>
        </w:tc>
      </w:tr>
      <w:tr>
        <w:trPr>
          <w:trHeight w:val="239" w:hRule="atLeast"/>
        </w:trPr>
        <w:tc>
          <w:tcPr>
            <w:tcW w:w="6913" w:type="dxa"/>
          </w:tcPr>
          <w:p>
            <w:pPr>
              <w:pStyle w:val="TableParagraph"/>
              <w:spacing w:before="38"/>
              <w:ind w:left="72"/>
              <w:rPr>
                <w:sz w:val="14"/>
              </w:rPr>
            </w:pPr>
            <w:r>
              <w:rPr>
                <w:sz w:val="14"/>
              </w:rPr>
              <w:t>Corumbá Concessões S.A.</w:t>
            </w:r>
          </w:p>
        </w:tc>
        <w:tc>
          <w:tcPr>
            <w:tcW w:w="650" w:type="dxa"/>
          </w:tcPr>
          <w:p>
            <w:pPr>
              <w:pStyle w:val="TableParagraph"/>
              <w:rPr>
                <w:rFonts w:ascii="Times New Roman"/>
                <w:sz w:val="16"/>
              </w:rPr>
            </w:pPr>
          </w:p>
        </w:tc>
        <w:tc>
          <w:tcPr>
            <w:tcW w:w="1176" w:type="dxa"/>
          </w:tcPr>
          <w:p>
            <w:pPr>
              <w:pStyle w:val="TableParagraph"/>
              <w:spacing w:before="38"/>
              <w:ind w:right="55"/>
              <w:jc w:val="right"/>
              <w:rPr>
                <w:sz w:val="14"/>
              </w:rPr>
            </w:pPr>
            <w:r>
              <w:rPr>
                <w:w w:val="95"/>
                <w:sz w:val="14"/>
              </w:rPr>
              <w:t>11.399</w:t>
            </w:r>
          </w:p>
        </w:tc>
        <w:tc>
          <w:tcPr>
            <w:tcW w:w="1175" w:type="dxa"/>
          </w:tcPr>
          <w:p>
            <w:pPr>
              <w:pStyle w:val="TableParagraph"/>
              <w:spacing w:before="38"/>
              <w:ind w:right="57"/>
              <w:jc w:val="right"/>
              <w:rPr>
                <w:sz w:val="14"/>
              </w:rPr>
            </w:pPr>
            <w:r>
              <w:rPr>
                <w:w w:val="95"/>
                <w:sz w:val="14"/>
              </w:rPr>
              <w:t>13.950</w:t>
            </w:r>
          </w:p>
        </w:tc>
      </w:tr>
      <w:tr>
        <w:trPr>
          <w:trHeight w:val="237" w:hRule="atLeast"/>
        </w:trPr>
        <w:tc>
          <w:tcPr>
            <w:tcW w:w="6913" w:type="dxa"/>
          </w:tcPr>
          <w:p>
            <w:pPr>
              <w:pStyle w:val="TableParagraph"/>
              <w:spacing w:before="34"/>
              <w:ind w:left="72"/>
              <w:rPr>
                <w:rFonts w:ascii="Caladea" w:hAnsi="Caladea"/>
                <w:b/>
                <w:sz w:val="14"/>
              </w:rPr>
            </w:pPr>
            <w:r>
              <w:rPr>
                <w:rFonts w:ascii="Caladea" w:hAnsi="Caladea"/>
                <w:b/>
                <w:sz w:val="14"/>
              </w:rPr>
              <w:t>Outras Operações</w:t>
            </w:r>
          </w:p>
        </w:tc>
        <w:tc>
          <w:tcPr>
            <w:tcW w:w="650" w:type="dxa"/>
          </w:tcPr>
          <w:p>
            <w:pPr>
              <w:pStyle w:val="TableParagraph"/>
              <w:rPr>
                <w:rFonts w:ascii="Times New Roman"/>
                <w:sz w:val="16"/>
              </w:rPr>
            </w:pPr>
          </w:p>
        </w:tc>
        <w:tc>
          <w:tcPr>
            <w:tcW w:w="1176" w:type="dxa"/>
          </w:tcPr>
          <w:p>
            <w:pPr>
              <w:pStyle w:val="TableParagraph"/>
              <w:rPr>
                <w:rFonts w:ascii="Times New Roman"/>
                <w:sz w:val="16"/>
              </w:rPr>
            </w:pPr>
          </w:p>
        </w:tc>
        <w:tc>
          <w:tcPr>
            <w:tcW w:w="1175" w:type="dxa"/>
          </w:tcPr>
          <w:p>
            <w:pPr>
              <w:pStyle w:val="TableParagraph"/>
              <w:spacing w:before="34"/>
              <w:ind w:right="56"/>
              <w:jc w:val="right"/>
              <w:rPr>
                <w:rFonts w:ascii="Caladea"/>
                <w:b/>
                <w:sz w:val="14"/>
              </w:rPr>
            </w:pPr>
            <w:r>
              <w:rPr>
                <w:rFonts w:ascii="Caladea"/>
                <w:b/>
                <w:w w:val="99"/>
                <w:sz w:val="14"/>
              </w:rPr>
              <w:t>1</w:t>
            </w:r>
          </w:p>
        </w:tc>
      </w:tr>
      <w:tr>
        <w:trPr>
          <w:trHeight w:val="237" w:hRule="atLeast"/>
        </w:trPr>
        <w:tc>
          <w:tcPr>
            <w:tcW w:w="6913" w:type="dxa"/>
          </w:tcPr>
          <w:p>
            <w:pPr>
              <w:pStyle w:val="TableParagraph"/>
              <w:spacing w:before="36"/>
              <w:ind w:left="72"/>
              <w:rPr>
                <w:sz w:val="14"/>
              </w:rPr>
            </w:pPr>
            <w:r>
              <w:rPr>
                <w:sz w:val="14"/>
              </w:rPr>
              <w:t>Governo do Distrito Federal</w:t>
            </w:r>
          </w:p>
        </w:tc>
        <w:tc>
          <w:tcPr>
            <w:tcW w:w="650" w:type="dxa"/>
          </w:tcPr>
          <w:p>
            <w:pPr>
              <w:pStyle w:val="TableParagraph"/>
              <w:rPr>
                <w:rFonts w:ascii="Times New Roman"/>
                <w:sz w:val="16"/>
              </w:rPr>
            </w:pPr>
          </w:p>
        </w:tc>
        <w:tc>
          <w:tcPr>
            <w:tcW w:w="1176" w:type="dxa"/>
          </w:tcPr>
          <w:p>
            <w:pPr>
              <w:pStyle w:val="TableParagraph"/>
              <w:rPr>
                <w:rFonts w:ascii="Times New Roman"/>
                <w:sz w:val="16"/>
              </w:rPr>
            </w:pPr>
          </w:p>
        </w:tc>
        <w:tc>
          <w:tcPr>
            <w:tcW w:w="1175" w:type="dxa"/>
          </w:tcPr>
          <w:p>
            <w:pPr>
              <w:pStyle w:val="TableParagraph"/>
              <w:spacing w:before="36"/>
              <w:ind w:right="55"/>
              <w:jc w:val="right"/>
              <w:rPr>
                <w:sz w:val="14"/>
              </w:rPr>
            </w:pPr>
            <w:r>
              <w:rPr>
                <w:w w:val="104"/>
                <w:sz w:val="14"/>
              </w:rPr>
              <w:t>1</w:t>
            </w:r>
          </w:p>
        </w:tc>
      </w:tr>
      <w:tr>
        <w:trPr>
          <w:trHeight w:val="239" w:hRule="atLeast"/>
        </w:trPr>
        <w:tc>
          <w:tcPr>
            <w:tcW w:w="6913" w:type="dxa"/>
          </w:tcPr>
          <w:p>
            <w:pPr>
              <w:pStyle w:val="TableParagraph"/>
              <w:rPr>
                <w:rFonts w:ascii="Times New Roman"/>
                <w:sz w:val="16"/>
              </w:rPr>
            </w:pPr>
          </w:p>
        </w:tc>
        <w:tc>
          <w:tcPr>
            <w:tcW w:w="650" w:type="dxa"/>
          </w:tcPr>
          <w:p>
            <w:pPr>
              <w:pStyle w:val="TableParagraph"/>
              <w:rPr>
                <w:rFonts w:ascii="Times New Roman"/>
                <w:sz w:val="16"/>
              </w:rPr>
            </w:pPr>
          </w:p>
        </w:tc>
        <w:tc>
          <w:tcPr>
            <w:tcW w:w="1176" w:type="dxa"/>
          </w:tcPr>
          <w:p>
            <w:pPr>
              <w:pStyle w:val="TableParagraph"/>
              <w:rPr>
                <w:rFonts w:ascii="Times New Roman"/>
                <w:sz w:val="16"/>
              </w:rPr>
            </w:pPr>
          </w:p>
        </w:tc>
        <w:tc>
          <w:tcPr>
            <w:tcW w:w="1175" w:type="dxa"/>
          </w:tcPr>
          <w:p>
            <w:pPr>
              <w:pStyle w:val="TableParagraph"/>
              <w:rPr>
                <w:rFonts w:ascii="Times New Roman"/>
                <w:sz w:val="16"/>
              </w:rPr>
            </w:pPr>
          </w:p>
        </w:tc>
      </w:tr>
      <w:tr>
        <w:trPr>
          <w:trHeight w:val="237" w:hRule="atLeast"/>
        </w:trPr>
        <w:tc>
          <w:tcPr>
            <w:tcW w:w="6913" w:type="dxa"/>
          </w:tcPr>
          <w:p>
            <w:pPr>
              <w:pStyle w:val="TableParagraph"/>
              <w:spacing w:before="35"/>
              <w:ind w:left="72"/>
              <w:rPr>
                <w:rFonts w:ascii="Caladea"/>
                <w:b/>
                <w:sz w:val="14"/>
              </w:rPr>
            </w:pPr>
            <w:r>
              <w:rPr>
                <w:rFonts w:ascii="Caladea"/>
                <w:b/>
                <w:sz w:val="14"/>
              </w:rPr>
              <w:t>Passivo</w:t>
            </w:r>
          </w:p>
        </w:tc>
        <w:tc>
          <w:tcPr>
            <w:tcW w:w="650" w:type="dxa"/>
          </w:tcPr>
          <w:p>
            <w:pPr>
              <w:pStyle w:val="TableParagraph"/>
              <w:rPr>
                <w:rFonts w:ascii="Times New Roman"/>
                <w:sz w:val="16"/>
              </w:rPr>
            </w:pPr>
          </w:p>
        </w:tc>
        <w:tc>
          <w:tcPr>
            <w:tcW w:w="1176" w:type="dxa"/>
          </w:tcPr>
          <w:p>
            <w:pPr>
              <w:pStyle w:val="TableParagraph"/>
              <w:spacing w:before="35"/>
              <w:ind w:right="56"/>
              <w:jc w:val="right"/>
              <w:rPr>
                <w:rFonts w:ascii="Caladea"/>
                <w:b/>
                <w:sz w:val="14"/>
              </w:rPr>
            </w:pPr>
            <w:r>
              <w:rPr>
                <w:rFonts w:ascii="Caladea"/>
                <w:b/>
                <w:w w:val="95"/>
                <w:sz w:val="14"/>
              </w:rPr>
              <w:t>739.143</w:t>
            </w:r>
          </w:p>
        </w:tc>
        <w:tc>
          <w:tcPr>
            <w:tcW w:w="1175" w:type="dxa"/>
          </w:tcPr>
          <w:p>
            <w:pPr>
              <w:pStyle w:val="TableParagraph"/>
              <w:spacing w:before="35"/>
              <w:ind w:right="57"/>
              <w:jc w:val="right"/>
              <w:rPr>
                <w:rFonts w:ascii="Caladea"/>
                <w:b/>
                <w:sz w:val="14"/>
              </w:rPr>
            </w:pPr>
            <w:r>
              <w:rPr>
                <w:rFonts w:ascii="Caladea"/>
                <w:b/>
                <w:w w:val="95"/>
                <w:sz w:val="14"/>
              </w:rPr>
              <w:t>245.982</w:t>
            </w:r>
          </w:p>
        </w:tc>
      </w:tr>
      <w:tr>
        <w:trPr>
          <w:trHeight w:val="237" w:hRule="atLeast"/>
        </w:trPr>
        <w:tc>
          <w:tcPr>
            <w:tcW w:w="6913" w:type="dxa"/>
          </w:tcPr>
          <w:p>
            <w:pPr>
              <w:pStyle w:val="TableParagraph"/>
              <w:spacing w:before="34"/>
              <w:ind w:left="72"/>
              <w:rPr>
                <w:rFonts w:ascii="Caladea"/>
                <w:b/>
                <w:sz w:val="14"/>
              </w:rPr>
            </w:pPr>
            <w:r>
              <w:rPr>
                <w:rFonts w:ascii="Caladea"/>
                <w:b/>
                <w:sz w:val="14"/>
              </w:rPr>
              <w:t>Fornecedores</w:t>
            </w:r>
          </w:p>
        </w:tc>
        <w:tc>
          <w:tcPr>
            <w:tcW w:w="650" w:type="dxa"/>
          </w:tcPr>
          <w:p>
            <w:pPr>
              <w:pStyle w:val="TableParagraph"/>
              <w:spacing w:before="34"/>
              <w:ind w:left="283"/>
              <w:rPr>
                <w:rFonts w:ascii="Caladea"/>
                <w:b/>
                <w:sz w:val="14"/>
              </w:rPr>
            </w:pPr>
            <w:r>
              <w:rPr>
                <w:rFonts w:ascii="Caladea"/>
                <w:b/>
                <w:w w:val="99"/>
                <w:sz w:val="14"/>
              </w:rPr>
              <w:t>d</w:t>
            </w:r>
          </w:p>
        </w:tc>
        <w:tc>
          <w:tcPr>
            <w:tcW w:w="1176" w:type="dxa"/>
          </w:tcPr>
          <w:p>
            <w:pPr>
              <w:pStyle w:val="TableParagraph"/>
              <w:spacing w:before="34"/>
              <w:ind w:right="56"/>
              <w:jc w:val="right"/>
              <w:rPr>
                <w:rFonts w:ascii="Caladea"/>
                <w:b/>
                <w:sz w:val="14"/>
              </w:rPr>
            </w:pPr>
            <w:r>
              <w:rPr>
                <w:rFonts w:ascii="Caladea"/>
                <w:b/>
                <w:sz w:val="14"/>
              </w:rPr>
              <w:t>20.587</w:t>
            </w:r>
          </w:p>
        </w:tc>
        <w:tc>
          <w:tcPr>
            <w:tcW w:w="1175" w:type="dxa"/>
          </w:tcPr>
          <w:p>
            <w:pPr>
              <w:pStyle w:val="TableParagraph"/>
              <w:spacing w:before="34"/>
              <w:ind w:right="57"/>
              <w:jc w:val="right"/>
              <w:rPr>
                <w:rFonts w:ascii="Caladea"/>
                <w:b/>
                <w:sz w:val="14"/>
              </w:rPr>
            </w:pPr>
            <w:r>
              <w:rPr>
                <w:rFonts w:ascii="Caladea"/>
                <w:b/>
                <w:sz w:val="14"/>
              </w:rPr>
              <w:t>25.998</w:t>
            </w:r>
          </w:p>
        </w:tc>
      </w:tr>
    </w:tbl>
    <w:p>
      <w:pPr>
        <w:spacing w:after="0"/>
        <w:jc w:val="right"/>
        <w:rPr>
          <w:rFonts w:ascii="Caladea"/>
          <w:sz w:val="14"/>
        </w:rPr>
        <w:sectPr>
          <w:headerReference w:type="default" r:id="rId84"/>
          <w:footerReference w:type="default" r:id="rId85"/>
          <w:pgSz w:w="11910" w:h="16850"/>
          <w:pgMar w:header="792" w:footer="1014" w:top="1360" w:bottom="1200" w:left="960" w:right="440"/>
          <w:pgNumType w:start="95"/>
        </w:sect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13"/>
        <w:gridCol w:w="650"/>
        <w:gridCol w:w="1176"/>
        <w:gridCol w:w="1175"/>
      </w:tblGrid>
      <w:tr>
        <w:trPr>
          <w:trHeight w:val="239" w:hRule="atLeast"/>
        </w:trPr>
        <w:tc>
          <w:tcPr>
            <w:tcW w:w="6913" w:type="dxa"/>
            <w:vMerge w:val="restart"/>
            <w:shd w:val="clear" w:color="auto" w:fill="D9D9D9"/>
          </w:tcPr>
          <w:p>
            <w:pPr>
              <w:pStyle w:val="TableParagraph"/>
              <w:spacing w:before="9"/>
              <w:rPr>
                <w:rFonts w:ascii="Caladea"/>
                <w:b/>
                <w:sz w:val="12"/>
              </w:rPr>
            </w:pPr>
          </w:p>
          <w:p>
            <w:pPr>
              <w:pStyle w:val="TableParagraph"/>
              <w:tabs>
                <w:tab w:pos="732" w:val="left" w:leader="none"/>
              </w:tabs>
              <w:ind w:left="72"/>
              <w:rPr>
                <w:rFonts w:ascii="Caladea" w:hAnsi="Caladea"/>
                <w:b/>
                <w:sz w:val="14"/>
              </w:rPr>
            </w:pPr>
            <w:r>
              <w:rPr>
                <w:rFonts w:ascii="Caladea" w:hAnsi="Caladea"/>
                <w:b/>
                <w:sz w:val="14"/>
              </w:rPr>
              <w:t>17.</w:t>
              <w:tab/>
              <w:t>Transações Com Partes Relacionadas (Balanço</w:t>
            </w:r>
            <w:r>
              <w:rPr>
                <w:rFonts w:ascii="Caladea" w:hAnsi="Caladea"/>
                <w:b/>
                <w:spacing w:val="3"/>
                <w:sz w:val="14"/>
              </w:rPr>
              <w:t> </w:t>
            </w:r>
            <w:r>
              <w:rPr>
                <w:rFonts w:ascii="Caladea" w:hAnsi="Caladea"/>
                <w:b/>
                <w:sz w:val="14"/>
              </w:rPr>
              <w:t>Patrimonial)</w:t>
            </w:r>
          </w:p>
        </w:tc>
        <w:tc>
          <w:tcPr>
            <w:tcW w:w="650" w:type="dxa"/>
            <w:vMerge w:val="restart"/>
          </w:tcPr>
          <w:p>
            <w:pPr>
              <w:pStyle w:val="TableParagraph"/>
              <w:spacing w:before="10"/>
              <w:rPr>
                <w:rFonts w:ascii="Caladea"/>
                <w:b/>
                <w:sz w:val="13"/>
              </w:rPr>
            </w:pPr>
          </w:p>
          <w:p>
            <w:pPr>
              <w:pStyle w:val="TableParagraph"/>
              <w:ind w:left="141"/>
              <w:rPr>
                <w:rFonts w:ascii="Caladea"/>
                <w:b/>
                <w:sz w:val="14"/>
              </w:rPr>
            </w:pPr>
            <w:r>
              <w:rPr>
                <w:rFonts w:ascii="Caladea"/>
                <w:b/>
                <w:sz w:val="14"/>
              </w:rPr>
              <w:t>Notas</w:t>
            </w:r>
          </w:p>
        </w:tc>
        <w:tc>
          <w:tcPr>
            <w:tcW w:w="2351" w:type="dxa"/>
            <w:gridSpan w:val="2"/>
          </w:tcPr>
          <w:p>
            <w:pPr>
              <w:pStyle w:val="TableParagraph"/>
              <w:spacing w:before="37"/>
              <w:ind w:left="778"/>
              <w:rPr>
                <w:rFonts w:ascii="Caladea"/>
                <w:b/>
                <w:sz w:val="14"/>
              </w:rPr>
            </w:pPr>
            <w:r>
              <w:rPr>
                <w:rFonts w:ascii="Caladea"/>
                <w:b/>
                <w:sz w:val="14"/>
              </w:rPr>
              <w:t>Consolidado</w:t>
            </w:r>
          </w:p>
        </w:tc>
      </w:tr>
      <w:tr>
        <w:trPr>
          <w:trHeight w:val="237" w:hRule="atLeast"/>
        </w:trPr>
        <w:tc>
          <w:tcPr>
            <w:tcW w:w="6913" w:type="dxa"/>
            <w:vMerge/>
            <w:tcBorders>
              <w:top w:val="nil"/>
            </w:tcBorders>
            <w:shd w:val="clear" w:color="auto" w:fill="D9D9D9"/>
          </w:tcPr>
          <w:p>
            <w:pPr>
              <w:rPr>
                <w:sz w:val="2"/>
                <w:szCs w:val="2"/>
              </w:rPr>
            </w:pPr>
          </w:p>
        </w:tc>
        <w:tc>
          <w:tcPr>
            <w:tcW w:w="650" w:type="dxa"/>
            <w:vMerge/>
            <w:tcBorders>
              <w:top w:val="nil"/>
            </w:tcBorders>
          </w:tcPr>
          <w:p>
            <w:pPr>
              <w:rPr>
                <w:sz w:val="2"/>
                <w:szCs w:val="2"/>
              </w:rPr>
            </w:pPr>
          </w:p>
        </w:tc>
        <w:tc>
          <w:tcPr>
            <w:tcW w:w="1176" w:type="dxa"/>
          </w:tcPr>
          <w:p>
            <w:pPr>
              <w:pStyle w:val="TableParagraph"/>
              <w:spacing w:before="35"/>
              <w:ind w:left="188"/>
              <w:rPr>
                <w:rFonts w:ascii="Caladea"/>
                <w:b/>
                <w:sz w:val="14"/>
              </w:rPr>
            </w:pPr>
            <w:r>
              <w:rPr>
                <w:rFonts w:ascii="Caladea"/>
                <w:b/>
                <w:sz w:val="14"/>
              </w:rPr>
              <w:t>31/12/2019</w:t>
            </w:r>
          </w:p>
        </w:tc>
        <w:tc>
          <w:tcPr>
            <w:tcW w:w="1175" w:type="dxa"/>
          </w:tcPr>
          <w:p>
            <w:pPr>
              <w:pStyle w:val="TableParagraph"/>
              <w:spacing w:before="35"/>
              <w:ind w:left="188"/>
              <w:rPr>
                <w:rFonts w:ascii="Caladea"/>
                <w:b/>
                <w:sz w:val="14"/>
              </w:rPr>
            </w:pPr>
            <w:r>
              <w:rPr>
                <w:rFonts w:ascii="Caladea"/>
                <w:b/>
                <w:sz w:val="14"/>
              </w:rPr>
              <w:t>31/12/2018</w:t>
            </w:r>
          </w:p>
        </w:tc>
      </w:tr>
      <w:tr>
        <w:trPr>
          <w:trHeight w:val="237" w:hRule="atLeast"/>
        </w:trPr>
        <w:tc>
          <w:tcPr>
            <w:tcW w:w="6913" w:type="dxa"/>
          </w:tcPr>
          <w:p>
            <w:pPr>
              <w:pStyle w:val="TableParagraph"/>
              <w:spacing w:before="38"/>
              <w:ind w:left="72"/>
              <w:rPr>
                <w:sz w:val="14"/>
              </w:rPr>
            </w:pPr>
            <w:r>
              <w:rPr>
                <w:sz w:val="14"/>
              </w:rPr>
              <w:t>Corumbá Concessões S.A.</w:t>
            </w:r>
          </w:p>
        </w:tc>
        <w:tc>
          <w:tcPr>
            <w:tcW w:w="650" w:type="dxa"/>
          </w:tcPr>
          <w:p>
            <w:pPr>
              <w:pStyle w:val="TableParagraph"/>
              <w:rPr>
                <w:rFonts w:ascii="Times New Roman"/>
                <w:sz w:val="16"/>
              </w:rPr>
            </w:pPr>
          </w:p>
        </w:tc>
        <w:tc>
          <w:tcPr>
            <w:tcW w:w="1176" w:type="dxa"/>
          </w:tcPr>
          <w:p>
            <w:pPr>
              <w:pStyle w:val="TableParagraph"/>
              <w:spacing w:before="38"/>
              <w:ind w:right="55"/>
              <w:jc w:val="right"/>
              <w:rPr>
                <w:sz w:val="14"/>
              </w:rPr>
            </w:pPr>
            <w:r>
              <w:rPr>
                <w:w w:val="95"/>
                <w:sz w:val="14"/>
              </w:rPr>
              <w:t>15.755</w:t>
            </w:r>
          </w:p>
        </w:tc>
        <w:tc>
          <w:tcPr>
            <w:tcW w:w="1175" w:type="dxa"/>
          </w:tcPr>
          <w:p>
            <w:pPr>
              <w:pStyle w:val="TableParagraph"/>
              <w:spacing w:before="38"/>
              <w:ind w:right="57"/>
              <w:jc w:val="right"/>
              <w:rPr>
                <w:sz w:val="14"/>
              </w:rPr>
            </w:pPr>
            <w:r>
              <w:rPr>
                <w:w w:val="95"/>
                <w:sz w:val="14"/>
              </w:rPr>
              <w:t>18.240</w:t>
            </w:r>
          </w:p>
        </w:tc>
      </w:tr>
      <w:tr>
        <w:trPr>
          <w:trHeight w:val="239" w:hRule="atLeast"/>
        </w:trPr>
        <w:tc>
          <w:tcPr>
            <w:tcW w:w="6913" w:type="dxa"/>
          </w:tcPr>
          <w:p>
            <w:pPr>
              <w:pStyle w:val="TableParagraph"/>
              <w:spacing w:before="38"/>
              <w:ind w:left="72"/>
              <w:rPr>
                <w:sz w:val="14"/>
              </w:rPr>
            </w:pPr>
            <w:r>
              <w:rPr>
                <w:sz w:val="14"/>
              </w:rPr>
              <w:t>Energética Corumbá III S.A.</w:t>
            </w:r>
          </w:p>
        </w:tc>
        <w:tc>
          <w:tcPr>
            <w:tcW w:w="650" w:type="dxa"/>
          </w:tcPr>
          <w:p>
            <w:pPr>
              <w:pStyle w:val="TableParagraph"/>
              <w:rPr>
                <w:rFonts w:ascii="Times New Roman"/>
                <w:sz w:val="16"/>
              </w:rPr>
            </w:pPr>
          </w:p>
        </w:tc>
        <w:tc>
          <w:tcPr>
            <w:tcW w:w="1176" w:type="dxa"/>
          </w:tcPr>
          <w:p>
            <w:pPr>
              <w:pStyle w:val="TableParagraph"/>
              <w:spacing w:before="38"/>
              <w:ind w:right="56"/>
              <w:jc w:val="right"/>
              <w:rPr>
                <w:sz w:val="14"/>
              </w:rPr>
            </w:pPr>
            <w:r>
              <w:rPr>
                <w:w w:val="95"/>
                <w:sz w:val="14"/>
              </w:rPr>
              <w:t>4.832</w:t>
            </w:r>
          </w:p>
        </w:tc>
        <w:tc>
          <w:tcPr>
            <w:tcW w:w="1175" w:type="dxa"/>
          </w:tcPr>
          <w:p>
            <w:pPr>
              <w:pStyle w:val="TableParagraph"/>
              <w:spacing w:before="38"/>
              <w:ind w:right="57"/>
              <w:jc w:val="right"/>
              <w:rPr>
                <w:sz w:val="14"/>
              </w:rPr>
            </w:pPr>
            <w:r>
              <w:rPr>
                <w:w w:val="95"/>
                <w:sz w:val="14"/>
              </w:rPr>
              <w:t>7.758</w:t>
            </w:r>
          </w:p>
        </w:tc>
      </w:tr>
      <w:tr>
        <w:trPr>
          <w:trHeight w:val="237" w:hRule="atLeast"/>
        </w:trPr>
        <w:tc>
          <w:tcPr>
            <w:tcW w:w="6913" w:type="dxa"/>
          </w:tcPr>
          <w:p>
            <w:pPr>
              <w:pStyle w:val="TableParagraph"/>
              <w:spacing w:before="35"/>
              <w:ind w:left="72"/>
              <w:rPr>
                <w:rFonts w:ascii="Caladea" w:hAnsi="Caladea"/>
                <w:b/>
                <w:sz w:val="14"/>
              </w:rPr>
            </w:pPr>
            <w:r>
              <w:rPr>
                <w:rFonts w:ascii="Caladea" w:hAnsi="Caladea"/>
                <w:b/>
                <w:sz w:val="14"/>
              </w:rPr>
              <w:t>Contribuição de Iluminação Pública</w:t>
            </w:r>
          </w:p>
        </w:tc>
        <w:tc>
          <w:tcPr>
            <w:tcW w:w="650" w:type="dxa"/>
          </w:tcPr>
          <w:p>
            <w:pPr>
              <w:pStyle w:val="TableParagraph"/>
              <w:spacing w:before="35"/>
              <w:ind w:left="302"/>
              <w:rPr>
                <w:rFonts w:ascii="Caladea"/>
                <w:b/>
                <w:sz w:val="14"/>
              </w:rPr>
            </w:pPr>
            <w:r>
              <w:rPr>
                <w:rFonts w:ascii="Caladea"/>
                <w:b/>
                <w:w w:val="99"/>
                <w:sz w:val="14"/>
              </w:rPr>
              <w:t>e</w:t>
            </w:r>
          </w:p>
        </w:tc>
        <w:tc>
          <w:tcPr>
            <w:tcW w:w="1176" w:type="dxa"/>
          </w:tcPr>
          <w:p>
            <w:pPr>
              <w:pStyle w:val="TableParagraph"/>
              <w:spacing w:before="35"/>
              <w:ind w:right="56"/>
              <w:jc w:val="right"/>
              <w:rPr>
                <w:rFonts w:ascii="Caladea"/>
                <w:b/>
                <w:sz w:val="14"/>
              </w:rPr>
            </w:pPr>
            <w:r>
              <w:rPr>
                <w:rFonts w:ascii="Caladea"/>
                <w:b/>
                <w:sz w:val="14"/>
              </w:rPr>
              <w:t>44.541</w:t>
            </w:r>
          </w:p>
        </w:tc>
        <w:tc>
          <w:tcPr>
            <w:tcW w:w="1175" w:type="dxa"/>
          </w:tcPr>
          <w:p>
            <w:pPr>
              <w:pStyle w:val="TableParagraph"/>
              <w:spacing w:before="35"/>
              <w:ind w:right="57"/>
              <w:jc w:val="right"/>
              <w:rPr>
                <w:rFonts w:ascii="Caladea"/>
                <w:b/>
                <w:sz w:val="14"/>
              </w:rPr>
            </w:pPr>
            <w:r>
              <w:rPr>
                <w:rFonts w:ascii="Caladea"/>
                <w:b/>
                <w:w w:val="95"/>
                <w:sz w:val="14"/>
              </w:rPr>
              <w:t>108.713</w:t>
            </w:r>
          </w:p>
        </w:tc>
      </w:tr>
      <w:tr>
        <w:trPr>
          <w:trHeight w:val="237" w:hRule="atLeast"/>
        </w:trPr>
        <w:tc>
          <w:tcPr>
            <w:tcW w:w="6913" w:type="dxa"/>
          </w:tcPr>
          <w:p>
            <w:pPr>
              <w:pStyle w:val="TableParagraph"/>
              <w:spacing w:before="38"/>
              <w:ind w:left="72"/>
              <w:rPr>
                <w:sz w:val="14"/>
              </w:rPr>
            </w:pPr>
            <w:r>
              <w:rPr>
                <w:sz w:val="14"/>
              </w:rPr>
              <w:t>Governo do Distrito Federal</w:t>
            </w:r>
          </w:p>
        </w:tc>
        <w:tc>
          <w:tcPr>
            <w:tcW w:w="650" w:type="dxa"/>
          </w:tcPr>
          <w:p>
            <w:pPr>
              <w:pStyle w:val="TableParagraph"/>
              <w:rPr>
                <w:rFonts w:ascii="Times New Roman"/>
                <w:sz w:val="16"/>
              </w:rPr>
            </w:pPr>
          </w:p>
        </w:tc>
        <w:tc>
          <w:tcPr>
            <w:tcW w:w="1176" w:type="dxa"/>
          </w:tcPr>
          <w:p>
            <w:pPr>
              <w:pStyle w:val="TableParagraph"/>
              <w:spacing w:before="38"/>
              <w:ind w:right="55"/>
              <w:jc w:val="right"/>
              <w:rPr>
                <w:sz w:val="14"/>
              </w:rPr>
            </w:pPr>
            <w:r>
              <w:rPr>
                <w:w w:val="95"/>
                <w:sz w:val="14"/>
              </w:rPr>
              <w:t>44.541</w:t>
            </w:r>
          </w:p>
        </w:tc>
        <w:tc>
          <w:tcPr>
            <w:tcW w:w="1175" w:type="dxa"/>
          </w:tcPr>
          <w:p>
            <w:pPr>
              <w:pStyle w:val="TableParagraph"/>
              <w:spacing w:before="38"/>
              <w:ind w:right="57"/>
              <w:jc w:val="right"/>
              <w:rPr>
                <w:sz w:val="14"/>
              </w:rPr>
            </w:pPr>
            <w:r>
              <w:rPr>
                <w:w w:val="95"/>
                <w:sz w:val="14"/>
              </w:rPr>
              <w:t>108.713</w:t>
            </w:r>
          </w:p>
        </w:tc>
      </w:tr>
      <w:tr>
        <w:trPr>
          <w:trHeight w:val="239" w:hRule="atLeast"/>
        </w:trPr>
        <w:tc>
          <w:tcPr>
            <w:tcW w:w="6913" w:type="dxa"/>
          </w:tcPr>
          <w:p>
            <w:pPr>
              <w:pStyle w:val="TableParagraph"/>
              <w:spacing w:before="37"/>
              <w:ind w:left="72"/>
              <w:rPr>
                <w:rFonts w:ascii="Caladea"/>
                <w:b/>
                <w:sz w:val="14"/>
              </w:rPr>
            </w:pPr>
            <w:r>
              <w:rPr>
                <w:rFonts w:ascii="Caladea"/>
                <w:b/>
                <w:sz w:val="14"/>
              </w:rPr>
              <w:t>Dividendos</w:t>
            </w:r>
          </w:p>
        </w:tc>
        <w:tc>
          <w:tcPr>
            <w:tcW w:w="650" w:type="dxa"/>
          </w:tcPr>
          <w:p>
            <w:pPr>
              <w:pStyle w:val="TableParagraph"/>
              <w:spacing w:before="37"/>
              <w:ind w:left="317"/>
              <w:rPr>
                <w:rFonts w:ascii="Caladea"/>
                <w:b/>
                <w:sz w:val="14"/>
              </w:rPr>
            </w:pPr>
            <w:r>
              <w:rPr>
                <w:rFonts w:ascii="Caladea"/>
                <w:b/>
                <w:w w:val="99"/>
                <w:sz w:val="14"/>
              </w:rPr>
              <w:t>f</w:t>
            </w:r>
          </w:p>
        </w:tc>
        <w:tc>
          <w:tcPr>
            <w:tcW w:w="1176" w:type="dxa"/>
          </w:tcPr>
          <w:p>
            <w:pPr>
              <w:pStyle w:val="TableParagraph"/>
              <w:spacing w:before="37"/>
              <w:ind w:right="56"/>
              <w:jc w:val="right"/>
              <w:rPr>
                <w:rFonts w:ascii="Caladea"/>
                <w:b/>
                <w:sz w:val="14"/>
              </w:rPr>
            </w:pPr>
            <w:r>
              <w:rPr>
                <w:rFonts w:ascii="Caladea"/>
                <w:b/>
                <w:sz w:val="14"/>
              </w:rPr>
              <w:t>20.670</w:t>
            </w:r>
          </w:p>
        </w:tc>
        <w:tc>
          <w:tcPr>
            <w:tcW w:w="1175" w:type="dxa"/>
          </w:tcPr>
          <w:p>
            <w:pPr>
              <w:pStyle w:val="TableParagraph"/>
              <w:spacing w:before="37"/>
              <w:ind w:right="57"/>
              <w:jc w:val="right"/>
              <w:rPr>
                <w:rFonts w:ascii="Caladea"/>
                <w:b/>
                <w:sz w:val="14"/>
              </w:rPr>
            </w:pPr>
            <w:r>
              <w:rPr>
                <w:rFonts w:ascii="Caladea"/>
                <w:b/>
                <w:sz w:val="14"/>
              </w:rPr>
              <w:t>583</w:t>
            </w:r>
          </w:p>
        </w:tc>
      </w:tr>
      <w:tr>
        <w:trPr>
          <w:trHeight w:val="237" w:hRule="atLeast"/>
        </w:trPr>
        <w:tc>
          <w:tcPr>
            <w:tcW w:w="6913" w:type="dxa"/>
          </w:tcPr>
          <w:p>
            <w:pPr>
              <w:pStyle w:val="TableParagraph"/>
              <w:spacing w:before="36"/>
              <w:ind w:left="72"/>
              <w:rPr>
                <w:sz w:val="14"/>
              </w:rPr>
            </w:pPr>
            <w:r>
              <w:rPr>
                <w:sz w:val="14"/>
              </w:rPr>
              <w:t>Governo do Distrito Federal</w:t>
            </w:r>
          </w:p>
        </w:tc>
        <w:tc>
          <w:tcPr>
            <w:tcW w:w="650" w:type="dxa"/>
          </w:tcPr>
          <w:p>
            <w:pPr>
              <w:pStyle w:val="TableParagraph"/>
              <w:rPr>
                <w:rFonts w:ascii="Times New Roman"/>
                <w:sz w:val="16"/>
              </w:rPr>
            </w:pPr>
          </w:p>
        </w:tc>
        <w:tc>
          <w:tcPr>
            <w:tcW w:w="1176" w:type="dxa"/>
          </w:tcPr>
          <w:p>
            <w:pPr>
              <w:pStyle w:val="TableParagraph"/>
              <w:spacing w:before="36"/>
              <w:ind w:right="55"/>
              <w:jc w:val="right"/>
              <w:rPr>
                <w:sz w:val="14"/>
              </w:rPr>
            </w:pPr>
            <w:r>
              <w:rPr>
                <w:w w:val="95"/>
                <w:sz w:val="14"/>
              </w:rPr>
              <w:t>20.670</w:t>
            </w:r>
          </w:p>
        </w:tc>
        <w:tc>
          <w:tcPr>
            <w:tcW w:w="1175" w:type="dxa"/>
          </w:tcPr>
          <w:p>
            <w:pPr>
              <w:pStyle w:val="TableParagraph"/>
              <w:spacing w:before="36"/>
              <w:ind w:right="57"/>
              <w:jc w:val="right"/>
              <w:rPr>
                <w:sz w:val="14"/>
              </w:rPr>
            </w:pPr>
            <w:r>
              <w:rPr>
                <w:w w:val="105"/>
                <w:sz w:val="14"/>
              </w:rPr>
              <w:t>583</w:t>
            </w:r>
          </w:p>
        </w:tc>
      </w:tr>
      <w:tr>
        <w:trPr>
          <w:trHeight w:val="237" w:hRule="atLeast"/>
        </w:trPr>
        <w:tc>
          <w:tcPr>
            <w:tcW w:w="6913" w:type="dxa"/>
          </w:tcPr>
          <w:p>
            <w:pPr>
              <w:pStyle w:val="TableParagraph"/>
              <w:spacing w:before="37"/>
              <w:ind w:left="72"/>
              <w:rPr>
                <w:rFonts w:ascii="Caladea" w:hAnsi="Caladea"/>
                <w:b/>
                <w:sz w:val="14"/>
              </w:rPr>
            </w:pPr>
            <w:r>
              <w:rPr>
                <w:rFonts w:ascii="Caladea" w:hAnsi="Caladea"/>
                <w:b/>
                <w:sz w:val="14"/>
              </w:rPr>
              <w:t>Empréstimos e Financiamentos</w:t>
            </w:r>
          </w:p>
        </w:tc>
        <w:tc>
          <w:tcPr>
            <w:tcW w:w="650" w:type="dxa"/>
          </w:tcPr>
          <w:p>
            <w:pPr>
              <w:pStyle w:val="TableParagraph"/>
              <w:rPr>
                <w:rFonts w:ascii="Times New Roman"/>
                <w:sz w:val="16"/>
              </w:rPr>
            </w:pPr>
          </w:p>
        </w:tc>
        <w:tc>
          <w:tcPr>
            <w:tcW w:w="1176" w:type="dxa"/>
          </w:tcPr>
          <w:p>
            <w:pPr>
              <w:pStyle w:val="TableParagraph"/>
              <w:spacing w:before="37"/>
              <w:ind w:right="56"/>
              <w:jc w:val="right"/>
              <w:rPr>
                <w:rFonts w:ascii="Caladea"/>
                <w:b/>
                <w:sz w:val="14"/>
              </w:rPr>
            </w:pPr>
            <w:r>
              <w:rPr>
                <w:rFonts w:ascii="Caladea"/>
                <w:b/>
                <w:sz w:val="14"/>
              </w:rPr>
              <w:t>45.633</w:t>
            </w:r>
          </w:p>
        </w:tc>
        <w:tc>
          <w:tcPr>
            <w:tcW w:w="1175" w:type="dxa"/>
          </w:tcPr>
          <w:p>
            <w:pPr>
              <w:pStyle w:val="TableParagraph"/>
              <w:rPr>
                <w:rFonts w:ascii="Times New Roman"/>
                <w:sz w:val="16"/>
              </w:rPr>
            </w:pPr>
          </w:p>
        </w:tc>
      </w:tr>
      <w:tr>
        <w:trPr>
          <w:trHeight w:val="239" w:hRule="atLeast"/>
        </w:trPr>
        <w:tc>
          <w:tcPr>
            <w:tcW w:w="6913" w:type="dxa"/>
          </w:tcPr>
          <w:p>
            <w:pPr>
              <w:pStyle w:val="TableParagraph"/>
              <w:spacing w:before="38"/>
              <w:ind w:left="72"/>
              <w:rPr>
                <w:sz w:val="14"/>
              </w:rPr>
            </w:pPr>
            <w:r>
              <w:rPr>
                <w:sz w:val="14"/>
              </w:rPr>
              <w:t>Banco de Brasília - BRB</w:t>
            </w:r>
          </w:p>
        </w:tc>
        <w:tc>
          <w:tcPr>
            <w:tcW w:w="650" w:type="dxa"/>
          </w:tcPr>
          <w:p>
            <w:pPr>
              <w:pStyle w:val="TableParagraph"/>
              <w:rPr>
                <w:rFonts w:ascii="Times New Roman"/>
                <w:sz w:val="16"/>
              </w:rPr>
            </w:pPr>
          </w:p>
        </w:tc>
        <w:tc>
          <w:tcPr>
            <w:tcW w:w="1176" w:type="dxa"/>
          </w:tcPr>
          <w:p>
            <w:pPr>
              <w:pStyle w:val="TableParagraph"/>
              <w:spacing w:before="38"/>
              <w:ind w:right="55"/>
              <w:jc w:val="right"/>
              <w:rPr>
                <w:sz w:val="14"/>
              </w:rPr>
            </w:pPr>
            <w:r>
              <w:rPr>
                <w:w w:val="95"/>
                <w:sz w:val="14"/>
              </w:rPr>
              <w:t>45.633</w:t>
            </w:r>
          </w:p>
        </w:tc>
        <w:tc>
          <w:tcPr>
            <w:tcW w:w="1175" w:type="dxa"/>
          </w:tcPr>
          <w:p>
            <w:pPr>
              <w:pStyle w:val="TableParagraph"/>
              <w:rPr>
                <w:rFonts w:ascii="Times New Roman"/>
                <w:sz w:val="16"/>
              </w:rPr>
            </w:pPr>
          </w:p>
        </w:tc>
      </w:tr>
      <w:tr>
        <w:trPr>
          <w:trHeight w:val="237" w:hRule="atLeast"/>
        </w:trPr>
        <w:tc>
          <w:tcPr>
            <w:tcW w:w="6913" w:type="dxa"/>
          </w:tcPr>
          <w:p>
            <w:pPr>
              <w:pStyle w:val="TableParagraph"/>
              <w:spacing w:before="34"/>
              <w:ind w:left="72"/>
              <w:rPr>
                <w:rFonts w:ascii="Caladea"/>
                <w:b/>
                <w:sz w:val="14"/>
              </w:rPr>
            </w:pPr>
            <w:r>
              <w:rPr>
                <w:rFonts w:ascii="Caladea"/>
                <w:b/>
                <w:sz w:val="14"/>
              </w:rPr>
              <w:t>Parcelamento de Tributos (ICMS)</w:t>
            </w:r>
          </w:p>
        </w:tc>
        <w:tc>
          <w:tcPr>
            <w:tcW w:w="650" w:type="dxa"/>
          </w:tcPr>
          <w:p>
            <w:pPr>
              <w:pStyle w:val="TableParagraph"/>
              <w:rPr>
                <w:rFonts w:ascii="Times New Roman"/>
                <w:sz w:val="16"/>
              </w:rPr>
            </w:pPr>
          </w:p>
        </w:tc>
        <w:tc>
          <w:tcPr>
            <w:tcW w:w="1176" w:type="dxa"/>
          </w:tcPr>
          <w:p>
            <w:pPr>
              <w:pStyle w:val="TableParagraph"/>
              <w:spacing w:before="34"/>
              <w:ind w:right="56"/>
              <w:jc w:val="right"/>
              <w:rPr>
                <w:rFonts w:ascii="Caladea"/>
                <w:b/>
                <w:sz w:val="14"/>
              </w:rPr>
            </w:pPr>
            <w:r>
              <w:rPr>
                <w:rFonts w:ascii="Caladea"/>
                <w:b/>
                <w:w w:val="95"/>
                <w:sz w:val="14"/>
              </w:rPr>
              <w:t>604.397</w:t>
            </w:r>
          </w:p>
        </w:tc>
        <w:tc>
          <w:tcPr>
            <w:tcW w:w="1175" w:type="dxa"/>
          </w:tcPr>
          <w:p>
            <w:pPr>
              <w:pStyle w:val="TableParagraph"/>
              <w:spacing w:before="34"/>
              <w:ind w:right="57"/>
              <w:jc w:val="right"/>
              <w:rPr>
                <w:rFonts w:ascii="Caladea"/>
                <w:b/>
                <w:sz w:val="14"/>
              </w:rPr>
            </w:pPr>
            <w:r>
              <w:rPr>
                <w:rFonts w:ascii="Caladea"/>
                <w:b/>
                <w:w w:val="95"/>
                <w:sz w:val="14"/>
              </w:rPr>
              <w:t>108.152</w:t>
            </w:r>
          </w:p>
        </w:tc>
      </w:tr>
      <w:tr>
        <w:trPr>
          <w:trHeight w:val="237" w:hRule="atLeast"/>
        </w:trPr>
        <w:tc>
          <w:tcPr>
            <w:tcW w:w="6913" w:type="dxa"/>
          </w:tcPr>
          <w:p>
            <w:pPr>
              <w:pStyle w:val="TableParagraph"/>
              <w:spacing w:before="38"/>
              <w:ind w:left="72"/>
              <w:rPr>
                <w:sz w:val="14"/>
              </w:rPr>
            </w:pPr>
            <w:r>
              <w:rPr>
                <w:sz w:val="14"/>
              </w:rPr>
              <w:t>Governo do Distrito Federal</w:t>
            </w:r>
          </w:p>
        </w:tc>
        <w:tc>
          <w:tcPr>
            <w:tcW w:w="650" w:type="dxa"/>
          </w:tcPr>
          <w:p>
            <w:pPr>
              <w:pStyle w:val="TableParagraph"/>
              <w:rPr>
                <w:rFonts w:ascii="Times New Roman"/>
                <w:sz w:val="16"/>
              </w:rPr>
            </w:pPr>
          </w:p>
        </w:tc>
        <w:tc>
          <w:tcPr>
            <w:tcW w:w="1176" w:type="dxa"/>
          </w:tcPr>
          <w:p>
            <w:pPr>
              <w:pStyle w:val="TableParagraph"/>
              <w:spacing w:before="38"/>
              <w:ind w:right="56"/>
              <w:jc w:val="right"/>
              <w:rPr>
                <w:sz w:val="14"/>
              </w:rPr>
            </w:pPr>
            <w:r>
              <w:rPr>
                <w:w w:val="95"/>
                <w:sz w:val="14"/>
              </w:rPr>
              <w:t>604.397</w:t>
            </w:r>
          </w:p>
        </w:tc>
        <w:tc>
          <w:tcPr>
            <w:tcW w:w="1175" w:type="dxa"/>
          </w:tcPr>
          <w:p>
            <w:pPr>
              <w:pStyle w:val="TableParagraph"/>
              <w:spacing w:before="38"/>
              <w:ind w:right="57"/>
              <w:jc w:val="right"/>
              <w:rPr>
                <w:sz w:val="14"/>
              </w:rPr>
            </w:pPr>
            <w:r>
              <w:rPr>
                <w:w w:val="95"/>
                <w:sz w:val="14"/>
              </w:rPr>
              <w:t>108.152</w:t>
            </w:r>
          </w:p>
        </w:tc>
      </w:tr>
      <w:tr>
        <w:trPr>
          <w:trHeight w:val="239" w:hRule="atLeast"/>
        </w:trPr>
        <w:tc>
          <w:tcPr>
            <w:tcW w:w="6913" w:type="dxa"/>
          </w:tcPr>
          <w:p>
            <w:pPr>
              <w:pStyle w:val="TableParagraph"/>
              <w:spacing w:before="37"/>
              <w:ind w:left="72"/>
              <w:rPr>
                <w:rFonts w:ascii="Caladea"/>
                <w:b/>
                <w:sz w:val="14"/>
              </w:rPr>
            </w:pPr>
            <w:r>
              <w:rPr>
                <w:rFonts w:ascii="Caladea"/>
                <w:b/>
                <w:sz w:val="14"/>
              </w:rPr>
              <w:t>Arrendamento a Pagar</w:t>
            </w:r>
          </w:p>
        </w:tc>
        <w:tc>
          <w:tcPr>
            <w:tcW w:w="650" w:type="dxa"/>
          </w:tcPr>
          <w:p>
            <w:pPr>
              <w:pStyle w:val="TableParagraph"/>
              <w:rPr>
                <w:rFonts w:ascii="Times New Roman"/>
                <w:sz w:val="16"/>
              </w:rPr>
            </w:pPr>
          </w:p>
        </w:tc>
        <w:tc>
          <w:tcPr>
            <w:tcW w:w="1176" w:type="dxa"/>
          </w:tcPr>
          <w:p>
            <w:pPr>
              <w:pStyle w:val="TableParagraph"/>
              <w:spacing w:before="37"/>
              <w:ind w:right="56"/>
              <w:jc w:val="right"/>
              <w:rPr>
                <w:rFonts w:ascii="Caladea"/>
                <w:b/>
                <w:sz w:val="14"/>
              </w:rPr>
            </w:pPr>
            <w:r>
              <w:rPr>
                <w:rFonts w:ascii="Caladea"/>
                <w:b/>
                <w:w w:val="95"/>
                <w:sz w:val="14"/>
              </w:rPr>
              <w:t>3.315</w:t>
            </w:r>
          </w:p>
        </w:tc>
        <w:tc>
          <w:tcPr>
            <w:tcW w:w="1175" w:type="dxa"/>
          </w:tcPr>
          <w:p>
            <w:pPr>
              <w:pStyle w:val="TableParagraph"/>
              <w:spacing w:before="37"/>
              <w:ind w:right="57"/>
              <w:jc w:val="right"/>
              <w:rPr>
                <w:rFonts w:ascii="Caladea"/>
                <w:b/>
                <w:sz w:val="14"/>
              </w:rPr>
            </w:pPr>
            <w:r>
              <w:rPr>
                <w:rFonts w:ascii="Caladea"/>
                <w:b/>
                <w:w w:val="95"/>
                <w:sz w:val="14"/>
              </w:rPr>
              <w:t>2.536</w:t>
            </w:r>
          </w:p>
        </w:tc>
      </w:tr>
      <w:tr>
        <w:trPr>
          <w:trHeight w:val="237" w:hRule="atLeast"/>
        </w:trPr>
        <w:tc>
          <w:tcPr>
            <w:tcW w:w="6913" w:type="dxa"/>
          </w:tcPr>
          <w:p>
            <w:pPr>
              <w:pStyle w:val="TableParagraph"/>
              <w:spacing w:before="36"/>
              <w:ind w:left="72"/>
              <w:rPr>
                <w:sz w:val="14"/>
              </w:rPr>
            </w:pPr>
            <w:r>
              <w:rPr>
                <w:sz w:val="14"/>
              </w:rPr>
              <w:t>Investco S.A.</w:t>
            </w:r>
          </w:p>
        </w:tc>
        <w:tc>
          <w:tcPr>
            <w:tcW w:w="650" w:type="dxa"/>
          </w:tcPr>
          <w:p>
            <w:pPr>
              <w:pStyle w:val="TableParagraph"/>
              <w:rPr>
                <w:rFonts w:ascii="Times New Roman"/>
                <w:sz w:val="16"/>
              </w:rPr>
            </w:pPr>
          </w:p>
        </w:tc>
        <w:tc>
          <w:tcPr>
            <w:tcW w:w="1176" w:type="dxa"/>
          </w:tcPr>
          <w:p>
            <w:pPr>
              <w:pStyle w:val="TableParagraph"/>
              <w:spacing w:before="36"/>
              <w:ind w:right="56"/>
              <w:jc w:val="right"/>
              <w:rPr>
                <w:sz w:val="14"/>
              </w:rPr>
            </w:pPr>
            <w:r>
              <w:rPr>
                <w:w w:val="95"/>
                <w:sz w:val="14"/>
              </w:rPr>
              <w:t>3.315</w:t>
            </w:r>
          </w:p>
        </w:tc>
        <w:tc>
          <w:tcPr>
            <w:tcW w:w="1175" w:type="dxa"/>
          </w:tcPr>
          <w:p>
            <w:pPr>
              <w:pStyle w:val="TableParagraph"/>
              <w:spacing w:before="36"/>
              <w:ind w:right="57"/>
              <w:jc w:val="right"/>
              <w:rPr>
                <w:sz w:val="14"/>
              </w:rPr>
            </w:pPr>
            <w:r>
              <w:rPr>
                <w:w w:val="95"/>
                <w:sz w:val="14"/>
              </w:rPr>
              <w:t>2.536</w:t>
            </w:r>
          </w:p>
        </w:tc>
      </w:tr>
    </w:tbl>
    <w:p>
      <w:pPr>
        <w:pStyle w:val="BodyText"/>
        <w:spacing w:before="11"/>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23"/>
        <w:gridCol w:w="665"/>
        <w:gridCol w:w="1170"/>
        <w:gridCol w:w="1160"/>
      </w:tblGrid>
      <w:tr>
        <w:trPr>
          <w:trHeight w:val="237" w:hRule="atLeast"/>
        </w:trPr>
        <w:tc>
          <w:tcPr>
            <w:tcW w:w="6923" w:type="dxa"/>
            <w:vMerge w:val="restart"/>
            <w:shd w:val="clear" w:color="auto" w:fill="D9D9D9"/>
          </w:tcPr>
          <w:p>
            <w:pPr>
              <w:pStyle w:val="TableParagraph"/>
              <w:spacing w:before="7"/>
              <w:rPr>
                <w:rFonts w:ascii="Caladea"/>
                <w:b/>
                <w:sz w:val="13"/>
              </w:rPr>
            </w:pPr>
          </w:p>
          <w:p>
            <w:pPr>
              <w:pStyle w:val="TableParagraph"/>
              <w:spacing w:before="1"/>
              <w:ind w:left="72"/>
              <w:rPr>
                <w:rFonts w:ascii="Caladea" w:hAnsi="Caladea"/>
                <w:b/>
                <w:sz w:val="14"/>
              </w:rPr>
            </w:pPr>
            <w:r>
              <w:rPr>
                <w:rFonts w:ascii="Caladea" w:hAnsi="Caladea"/>
                <w:b/>
                <w:sz w:val="14"/>
              </w:rPr>
              <w:t>Transações Com Partes Relacionadas (Resultado)</w:t>
            </w:r>
          </w:p>
        </w:tc>
        <w:tc>
          <w:tcPr>
            <w:tcW w:w="665" w:type="dxa"/>
            <w:vMerge w:val="restart"/>
          </w:tcPr>
          <w:p>
            <w:pPr>
              <w:pStyle w:val="TableParagraph"/>
              <w:spacing w:before="7"/>
              <w:rPr>
                <w:rFonts w:ascii="Caladea"/>
                <w:b/>
                <w:sz w:val="13"/>
              </w:rPr>
            </w:pPr>
          </w:p>
          <w:p>
            <w:pPr>
              <w:pStyle w:val="TableParagraph"/>
              <w:spacing w:before="1"/>
              <w:ind w:left="151"/>
              <w:rPr>
                <w:rFonts w:ascii="Caladea"/>
                <w:b/>
                <w:sz w:val="14"/>
              </w:rPr>
            </w:pPr>
            <w:r>
              <w:rPr>
                <w:rFonts w:ascii="Caladea"/>
                <w:b/>
                <w:sz w:val="14"/>
              </w:rPr>
              <w:t>Notas</w:t>
            </w:r>
          </w:p>
        </w:tc>
        <w:tc>
          <w:tcPr>
            <w:tcW w:w="2330" w:type="dxa"/>
            <w:gridSpan w:val="2"/>
          </w:tcPr>
          <w:p>
            <w:pPr>
              <w:pStyle w:val="TableParagraph"/>
              <w:spacing w:before="35"/>
              <w:ind w:left="765"/>
              <w:rPr>
                <w:rFonts w:ascii="Caladea"/>
                <w:b/>
                <w:sz w:val="14"/>
              </w:rPr>
            </w:pPr>
            <w:r>
              <w:rPr>
                <w:rFonts w:ascii="Caladea"/>
                <w:b/>
                <w:sz w:val="14"/>
              </w:rPr>
              <w:t>Consolidado</w:t>
            </w:r>
          </w:p>
        </w:tc>
      </w:tr>
      <w:tr>
        <w:trPr>
          <w:trHeight w:val="237" w:hRule="atLeast"/>
        </w:trPr>
        <w:tc>
          <w:tcPr>
            <w:tcW w:w="6923" w:type="dxa"/>
            <w:vMerge/>
            <w:tcBorders>
              <w:top w:val="nil"/>
            </w:tcBorders>
            <w:shd w:val="clear" w:color="auto" w:fill="D9D9D9"/>
          </w:tcPr>
          <w:p>
            <w:pPr>
              <w:rPr>
                <w:sz w:val="2"/>
                <w:szCs w:val="2"/>
              </w:rPr>
            </w:pPr>
          </w:p>
        </w:tc>
        <w:tc>
          <w:tcPr>
            <w:tcW w:w="665" w:type="dxa"/>
            <w:vMerge/>
            <w:tcBorders>
              <w:top w:val="nil"/>
            </w:tcBorders>
          </w:tcPr>
          <w:p>
            <w:pPr>
              <w:rPr>
                <w:sz w:val="2"/>
                <w:szCs w:val="2"/>
              </w:rPr>
            </w:pPr>
          </w:p>
        </w:tc>
        <w:tc>
          <w:tcPr>
            <w:tcW w:w="1170" w:type="dxa"/>
          </w:tcPr>
          <w:p>
            <w:pPr>
              <w:pStyle w:val="TableParagraph"/>
              <w:spacing w:before="37"/>
              <w:ind w:left="182"/>
              <w:rPr>
                <w:rFonts w:ascii="Caladea"/>
                <w:b/>
                <w:sz w:val="14"/>
              </w:rPr>
            </w:pPr>
            <w:r>
              <w:rPr>
                <w:rFonts w:ascii="Caladea"/>
                <w:b/>
                <w:sz w:val="14"/>
              </w:rPr>
              <w:t>31/12/2019</w:t>
            </w:r>
          </w:p>
        </w:tc>
        <w:tc>
          <w:tcPr>
            <w:tcW w:w="1160" w:type="dxa"/>
          </w:tcPr>
          <w:p>
            <w:pPr>
              <w:pStyle w:val="TableParagraph"/>
              <w:spacing w:before="37"/>
              <w:ind w:left="176"/>
              <w:rPr>
                <w:rFonts w:ascii="Caladea"/>
                <w:b/>
                <w:sz w:val="14"/>
              </w:rPr>
            </w:pPr>
            <w:r>
              <w:rPr>
                <w:rFonts w:ascii="Caladea"/>
                <w:b/>
                <w:sz w:val="14"/>
              </w:rPr>
              <w:t>31/12/2018</w:t>
            </w:r>
          </w:p>
        </w:tc>
      </w:tr>
      <w:tr>
        <w:trPr>
          <w:trHeight w:val="239" w:hRule="atLeast"/>
        </w:trPr>
        <w:tc>
          <w:tcPr>
            <w:tcW w:w="6923" w:type="dxa"/>
          </w:tcPr>
          <w:p>
            <w:pPr>
              <w:pStyle w:val="TableParagraph"/>
              <w:spacing w:before="37"/>
              <w:ind w:left="72"/>
              <w:rPr>
                <w:rFonts w:ascii="Caladea"/>
                <w:b/>
                <w:sz w:val="14"/>
              </w:rPr>
            </w:pPr>
            <w:r>
              <w:rPr>
                <w:rFonts w:ascii="Caladea"/>
                <w:b/>
                <w:sz w:val="14"/>
              </w:rPr>
              <w:t>Receitas</w:t>
            </w:r>
          </w:p>
        </w:tc>
        <w:tc>
          <w:tcPr>
            <w:tcW w:w="665" w:type="dxa"/>
          </w:tcPr>
          <w:p>
            <w:pPr>
              <w:pStyle w:val="TableParagraph"/>
              <w:rPr>
                <w:rFonts w:ascii="Times New Roman"/>
                <w:sz w:val="16"/>
              </w:rPr>
            </w:pPr>
          </w:p>
        </w:tc>
        <w:tc>
          <w:tcPr>
            <w:tcW w:w="1170" w:type="dxa"/>
          </w:tcPr>
          <w:p>
            <w:pPr>
              <w:pStyle w:val="TableParagraph"/>
              <w:spacing w:before="37"/>
              <w:ind w:right="60"/>
              <w:jc w:val="right"/>
              <w:rPr>
                <w:rFonts w:ascii="Caladea"/>
                <w:b/>
                <w:sz w:val="14"/>
              </w:rPr>
            </w:pPr>
            <w:r>
              <w:rPr>
                <w:rFonts w:ascii="Caladea"/>
                <w:b/>
                <w:w w:val="95"/>
                <w:sz w:val="14"/>
              </w:rPr>
              <w:t>515.797</w:t>
            </w:r>
          </w:p>
        </w:tc>
        <w:tc>
          <w:tcPr>
            <w:tcW w:w="1160" w:type="dxa"/>
          </w:tcPr>
          <w:p>
            <w:pPr>
              <w:pStyle w:val="TableParagraph"/>
              <w:spacing w:before="37"/>
              <w:ind w:right="61"/>
              <w:jc w:val="right"/>
              <w:rPr>
                <w:rFonts w:ascii="Caladea"/>
                <w:b/>
                <w:sz w:val="14"/>
              </w:rPr>
            </w:pPr>
            <w:r>
              <w:rPr>
                <w:rFonts w:ascii="Caladea"/>
                <w:b/>
                <w:w w:val="95"/>
                <w:sz w:val="14"/>
              </w:rPr>
              <w:t>549.555</w:t>
            </w:r>
          </w:p>
        </w:tc>
      </w:tr>
      <w:tr>
        <w:trPr>
          <w:trHeight w:val="237" w:hRule="atLeast"/>
        </w:trPr>
        <w:tc>
          <w:tcPr>
            <w:tcW w:w="6923" w:type="dxa"/>
          </w:tcPr>
          <w:p>
            <w:pPr>
              <w:pStyle w:val="TableParagraph"/>
              <w:spacing w:before="35"/>
              <w:ind w:left="72"/>
              <w:rPr>
                <w:rFonts w:ascii="Caladea"/>
                <w:b/>
                <w:sz w:val="14"/>
              </w:rPr>
            </w:pPr>
            <w:r>
              <w:rPr>
                <w:rFonts w:ascii="Caladea"/>
                <w:b/>
                <w:sz w:val="14"/>
              </w:rPr>
              <w:t>Receita de Disponibilidade da Rede</w:t>
            </w:r>
          </w:p>
        </w:tc>
        <w:tc>
          <w:tcPr>
            <w:tcW w:w="665" w:type="dxa"/>
          </w:tcPr>
          <w:p>
            <w:pPr>
              <w:pStyle w:val="TableParagraph"/>
              <w:spacing w:before="35"/>
              <w:ind w:left="297"/>
              <w:rPr>
                <w:rFonts w:ascii="Caladea"/>
                <w:b/>
                <w:sz w:val="14"/>
              </w:rPr>
            </w:pPr>
            <w:r>
              <w:rPr>
                <w:rFonts w:ascii="Caladea"/>
                <w:b/>
                <w:w w:val="99"/>
                <w:sz w:val="14"/>
              </w:rPr>
              <w:t>a</w:t>
            </w:r>
          </w:p>
        </w:tc>
        <w:tc>
          <w:tcPr>
            <w:tcW w:w="1170" w:type="dxa"/>
          </w:tcPr>
          <w:p>
            <w:pPr>
              <w:pStyle w:val="TableParagraph"/>
              <w:spacing w:before="35"/>
              <w:ind w:right="60"/>
              <w:jc w:val="right"/>
              <w:rPr>
                <w:rFonts w:ascii="Caladea"/>
                <w:b/>
                <w:sz w:val="14"/>
              </w:rPr>
            </w:pPr>
            <w:r>
              <w:rPr>
                <w:rFonts w:ascii="Caladea"/>
                <w:b/>
                <w:w w:val="95"/>
                <w:sz w:val="14"/>
              </w:rPr>
              <w:t>6.382</w:t>
            </w:r>
          </w:p>
        </w:tc>
        <w:tc>
          <w:tcPr>
            <w:tcW w:w="1160" w:type="dxa"/>
          </w:tcPr>
          <w:p>
            <w:pPr>
              <w:pStyle w:val="TableParagraph"/>
              <w:spacing w:before="35"/>
              <w:ind w:right="61"/>
              <w:jc w:val="right"/>
              <w:rPr>
                <w:rFonts w:ascii="Caladea"/>
                <w:b/>
                <w:sz w:val="14"/>
              </w:rPr>
            </w:pPr>
            <w:r>
              <w:rPr>
                <w:rFonts w:ascii="Caladea"/>
                <w:b/>
                <w:w w:val="95"/>
                <w:sz w:val="14"/>
              </w:rPr>
              <w:t>4.883</w:t>
            </w:r>
          </w:p>
        </w:tc>
      </w:tr>
      <w:tr>
        <w:trPr>
          <w:trHeight w:val="237" w:hRule="atLeast"/>
        </w:trPr>
        <w:tc>
          <w:tcPr>
            <w:tcW w:w="6923" w:type="dxa"/>
          </w:tcPr>
          <w:p>
            <w:pPr>
              <w:pStyle w:val="TableParagraph"/>
              <w:spacing w:before="38"/>
              <w:ind w:left="72"/>
              <w:rPr>
                <w:sz w:val="14"/>
              </w:rPr>
            </w:pPr>
            <w:r>
              <w:rPr>
                <w:sz w:val="14"/>
              </w:rPr>
              <w:t>Corumbá Concessões S.A.</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w w:val="95"/>
                <w:sz w:val="14"/>
              </w:rPr>
              <w:t>5.128</w:t>
            </w:r>
          </w:p>
        </w:tc>
        <w:tc>
          <w:tcPr>
            <w:tcW w:w="1160" w:type="dxa"/>
          </w:tcPr>
          <w:p>
            <w:pPr>
              <w:pStyle w:val="TableParagraph"/>
              <w:spacing w:before="38"/>
              <w:ind w:right="61"/>
              <w:jc w:val="right"/>
              <w:rPr>
                <w:sz w:val="14"/>
              </w:rPr>
            </w:pPr>
            <w:r>
              <w:rPr>
                <w:w w:val="95"/>
                <w:sz w:val="14"/>
              </w:rPr>
              <w:t>3.785</w:t>
            </w:r>
          </w:p>
        </w:tc>
      </w:tr>
      <w:tr>
        <w:trPr>
          <w:trHeight w:val="239" w:hRule="atLeast"/>
        </w:trPr>
        <w:tc>
          <w:tcPr>
            <w:tcW w:w="6923" w:type="dxa"/>
          </w:tcPr>
          <w:p>
            <w:pPr>
              <w:pStyle w:val="TableParagraph"/>
              <w:spacing w:before="38"/>
              <w:ind w:left="72"/>
              <w:rPr>
                <w:sz w:val="14"/>
              </w:rPr>
            </w:pPr>
            <w:r>
              <w:rPr>
                <w:sz w:val="14"/>
              </w:rPr>
              <w:t>Energética Corumbá III S.A.</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w w:val="95"/>
                <w:sz w:val="14"/>
              </w:rPr>
              <w:t>1.254</w:t>
            </w:r>
          </w:p>
        </w:tc>
        <w:tc>
          <w:tcPr>
            <w:tcW w:w="1160" w:type="dxa"/>
          </w:tcPr>
          <w:p>
            <w:pPr>
              <w:pStyle w:val="TableParagraph"/>
              <w:spacing w:before="38"/>
              <w:ind w:right="61"/>
              <w:jc w:val="right"/>
              <w:rPr>
                <w:sz w:val="14"/>
              </w:rPr>
            </w:pPr>
            <w:r>
              <w:rPr>
                <w:w w:val="95"/>
                <w:sz w:val="14"/>
              </w:rPr>
              <w:t>1.098</w:t>
            </w:r>
          </w:p>
        </w:tc>
      </w:tr>
      <w:tr>
        <w:trPr>
          <w:trHeight w:val="237" w:hRule="atLeast"/>
        </w:trPr>
        <w:tc>
          <w:tcPr>
            <w:tcW w:w="6923" w:type="dxa"/>
          </w:tcPr>
          <w:p>
            <w:pPr>
              <w:pStyle w:val="TableParagraph"/>
              <w:spacing w:before="35"/>
              <w:ind w:left="72"/>
              <w:rPr>
                <w:rFonts w:ascii="Caladea" w:hAnsi="Caladea"/>
                <w:b/>
                <w:sz w:val="14"/>
              </w:rPr>
            </w:pPr>
            <w:r>
              <w:rPr>
                <w:rFonts w:ascii="Caladea" w:hAnsi="Caladea"/>
                <w:b/>
                <w:sz w:val="14"/>
              </w:rPr>
              <w:t>Receita pela Arrecadação da CIP</w:t>
            </w:r>
          </w:p>
        </w:tc>
        <w:tc>
          <w:tcPr>
            <w:tcW w:w="665" w:type="dxa"/>
          </w:tcPr>
          <w:p>
            <w:pPr>
              <w:pStyle w:val="TableParagraph"/>
              <w:rPr>
                <w:rFonts w:ascii="Times New Roman"/>
                <w:sz w:val="16"/>
              </w:rPr>
            </w:pPr>
          </w:p>
        </w:tc>
        <w:tc>
          <w:tcPr>
            <w:tcW w:w="1170" w:type="dxa"/>
          </w:tcPr>
          <w:p>
            <w:pPr>
              <w:pStyle w:val="TableParagraph"/>
              <w:spacing w:before="35"/>
              <w:ind w:right="60"/>
              <w:jc w:val="right"/>
              <w:rPr>
                <w:rFonts w:ascii="Caladea"/>
                <w:b/>
                <w:sz w:val="14"/>
              </w:rPr>
            </w:pPr>
            <w:r>
              <w:rPr>
                <w:rFonts w:ascii="Caladea"/>
                <w:b/>
                <w:w w:val="95"/>
                <w:sz w:val="14"/>
              </w:rPr>
              <w:t>5.977</w:t>
            </w:r>
          </w:p>
        </w:tc>
        <w:tc>
          <w:tcPr>
            <w:tcW w:w="1160" w:type="dxa"/>
          </w:tcPr>
          <w:p>
            <w:pPr>
              <w:pStyle w:val="TableParagraph"/>
              <w:spacing w:before="35"/>
              <w:ind w:right="61"/>
              <w:jc w:val="right"/>
              <w:rPr>
                <w:rFonts w:ascii="Caladea"/>
                <w:b/>
                <w:sz w:val="14"/>
              </w:rPr>
            </w:pPr>
            <w:r>
              <w:rPr>
                <w:rFonts w:ascii="Caladea"/>
                <w:b/>
                <w:w w:val="95"/>
                <w:sz w:val="14"/>
              </w:rPr>
              <w:t>4.060</w:t>
            </w:r>
          </w:p>
        </w:tc>
      </w:tr>
      <w:tr>
        <w:trPr>
          <w:trHeight w:val="237" w:hRule="atLeast"/>
        </w:trPr>
        <w:tc>
          <w:tcPr>
            <w:tcW w:w="6923" w:type="dxa"/>
          </w:tcPr>
          <w:p>
            <w:pPr>
              <w:pStyle w:val="TableParagraph"/>
              <w:spacing w:before="38"/>
              <w:ind w:left="72"/>
              <w:rPr>
                <w:sz w:val="14"/>
              </w:rPr>
            </w:pPr>
            <w:r>
              <w:rPr>
                <w:sz w:val="14"/>
              </w:rPr>
              <w:t>Governo do Distrito Federal</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w w:val="95"/>
                <w:sz w:val="14"/>
              </w:rPr>
              <w:t>5.977</w:t>
            </w:r>
          </w:p>
        </w:tc>
        <w:tc>
          <w:tcPr>
            <w:tcW w:w="1160" w:type="dxa"/>
          </w:tcPr>
          <w:p>
            <w:pPr>
              <w:pStyle w:val="TableParagraph"/>
              <w:spacing w:before="38"/>
              <w:ind w:right="61"/>
              <w:jc w:val="right"/>
              <w:rPr>
                <w:sz w:val="14"/>
              </w:rPr>
            </w:pPr>
            <w:r>
              <w:rPr>
                <w:w w:val="95"/>
                <w:sz w:val="14"/>
              </w:rPr>
              <w:t>4.060</w:t>
            </w:r>
          </w:p>
        </w:tc>
      </w:tr>
      <w:tr>
        <w:trPr>
          <w:trHeight w:val="239" w:hRule="atLeast"/>
        </w:trPr>
        <w:tc>
          <w:tcPr>
            <w:tcW w:w="6923" w:type="dxa"/>
          </w:tcPr>
          <w:p>
            <w:pPr>
              <w:pStyle w:val="TableParagraph"/>
              <w:spacing w:before="37"/>
              <w:ind w:left="72"/>
              <w:rPr>
                <w:rFonts w:ascii="Caladea" w:hAnsi="Caladea"/>
                <w:b/>
                <w:sz w:val="14"/>
              </w:rPr>
            </w:pPr>
            <w:r>
              <w:rPr>
                <w:rFonts w:ascii="Caladea" w:hAnsi="Caladea"/>
                <w:b/>
                <w:sz w:val="14"/>
              </w:rPr>
              <w:t>Receita de Prestação de Serviços e Fornecimento de Energia Elétrica</w:t>
            </w:r>
          </w:p>
        </w:tc>
        <w:tc>
          <w:tcPr>
            <w:tcW w:w="665" w:type="dxa"/>
          </w:tcPr>
          <w:p>
            <w:pPr>
              <w:pStyle w:val="TableParagraph"/>
              <w:spacing w:before="37"/>
              <w:ind w:left="297"/>
              <w:rPr>
                <w:rFonts w:ascii="Caladea"/>
                <w:b/>
                <w:sz w:val="14"/>
              </w:rPr>
            </w:pPr>
            <w:r>
              <w:rPr>
                <w:rFonts w:ascii="Caladea"/>
                <w:b/>
                <w:w w:val="99"/>
                <w:sz w:val="14"/>
              </w:rPr>
              <w:t>g</w:t>
            </w:r>
          </w:p>
        </w:tc>
        <w:tc>
          <w:tcPr>
            <w:tcW w:w="1170" w:type="dxa"/>
          </w:tcPr>
          <w:p>
            <w:pPr>
              <w:pStyle w:val="TableParagraph"/>
              <w:spacing w:before="37"/>
              <w:ind w:right="60"/>
              <w:jc w:val="right"/>
              <w:rPr>
                <w:rFonts w:ascii="Caladea"/>
                <w:b/>
                <w:sz w:val="14"/>
              </w:rPr>
            </w:pPr>
            <w:r>
              <w:rPr>
                <w:rFonts w:ascii="Caladea"/>
                <w:b/>
                <w:w w:val="95"/>
                <w:sz w:val="14"/>
              </w:rPr>
              <w:t>501.948</w:t>
            </w:r>
          </w:p>
        </w:tc>
        <w:tc>
          <w:tcPr>
            <w:tcW w:w="1160" w:type="dxa"/>
          </w:tcPr>
          <w:p>
            <w:pPr>
              <w:pStyle w:val="TableParagraph"/>
              <w:spacing w:before="37"/>
              <w:ind w:right="61"/>
              <w:jc w:val="right"/>
              <w:rPr>
                <w:rFonts w:ascii="Caladea"/>
                <w:b/>
                <w:sz w:val="14"/>
              </w:rPr>
            </w:pPr>
            <w:r>
              <w:rPr>
                <w:rFonts w:ascii="Caladea"/>
                <w:b/>
                <w:w w:val="95"/>
                <w:sz w:val="14"/>
              </w:rPr>
              <w:t>543.084</w:t>
            </w:r>
          </w:p>
        </w:tc>
      </w:tr>
      <w:tr>
        <w:trPr>
          <w:trHeight w:val="237" w:hRule="atLeast"/>
        </w:trPr>
        <w:tc>
          <w:tcPr>
            <w:tcW w:w="6923" w:type="dxa"/>
          </w:tcPr>
          <w:p>
            <w:pPr>
              <w:pStyle w:val="TableParagraph"/>
              <w:spacing w:before="36"/>
              <w:ind w:left="72"/>
              <w:rPr>
                <w:sz w:val="14"/>
              </w:rPr>
            </w:pPr>
            <w:r>
              <w:rPr>
                <w:sz w:val="14"/>
              </w:rPr>
              <w:t>Governo do Distrito Federal</w:t>
            </w:r>
          </w:p>
        </w:tc>
        <w:tc>
          <w:tcPr>
            <w:tcW w:w="665" w:type="dxa"/>
          </w:tcPr>
          <w:p>
            <w:pPr>
              <w:pStyle w:val="TableParagraph"/>
              <w:rPr>
                <w:rFonts w:ascii="Times New Roman"/>
                <w:sz w:val="16"/>
              </w:rPr>
            </w:pPr>
          </w:p>
        </w:tc>
        <w:tc>
          <w:tcPr>
            <w:tcW w:w="1170" w:type="dxa"/>
          </w:tcPr>
          <w:p>
            <w:pPr>
              <w:pStyle w:val="TableParagraph"/>
              <w:spacing w:before="36"/>
              <w:ind w:right="60"/>
              <w:jc w:val="right"/>
              <w:rPr>
                <w:sz w:val="14"/>
              </w:rPr>
            </w:pPr>
            <w:r>
              <w:rPr>
                <w:w w:val="95"/>
                <w:sz w:val="14"/>
              </w:rPr>
              <w:t>501.948</w:t>
            </w:r>
          </w:p>
        </w:tc>
        <w:tc>
          <w:tcPr>
            <w:tcW w:w="1160" w:type="dxa"/>
          </w:tcPr>
          <w:p>
            <w:pPr>
              <w:pStyle w:val="TableParagraph"/>
              <w:spacing w:before="36"/>
              <w:ind w:right="61"/>
              <w:jc w:val="right"/>
              <w:rPr>
                <w:sz w:val="14"/>
              </w:rPr>
            </w:pPr>
            <w:r>
              <w:rPr>
                <w:w w:val="95"/>
                <w:sz w:val="14"/>
              </w:rPr>
              <w:t>543.084</w:t>
            </w:r>
          </w:p>
        </w:tc>
      </w:tr>
      <w:tr>
        <w:trPr>
          <w:trHeight w:val="237" w:hRule="atLeast"/>
        </w:trPr>
        <w:tc>
          <w:tcPr>
            <w:tcW w:w="6923" w:type="dxa"/>
          </w:tcPr>
          <w:p>
            <w:pPr>
              <w:pStyle w:val="TableParagraph"/>
              <w:spacing w:before="37"/>
              <w:ind w:left="72"/>
              <w:rPr>
                <w:rFonts w:ascii="Caladea" w:hAnsi="Caladea"/>
                <w:b/>
                <w:sz w:val="14"/>
              </w:rPr>
            </w:pPr>
            <w:r>
              <w:rPr>
                <w:rFonts w:ascii="Caladea" w:hAnsi="Caladea"/>
                <w:b/>
                <w:sz w:val="14"/>
              </w:rPr>
              <w:t>Encargos de Mútuo</w:t>
            </w:r>
          </w:p>
        </w:tc>
        <w:tc>
          <w:tcPr>
            <w:tcW w:w="665" w:type="dxa"/>
          </w:tcPr>
          <w:p>
            <w:pPr>
              <w:pStyle w:val="TableParagraph"/>
              <w:rPr>
                <w:rFonts w:ascii="Times New Roman"/>
                <w:sz w:val="16"/>
              </w:rPr>
            </w:pPr>
          </w:p>
        </w:tc>
        <w:tc>
          <w:tcPr>
            <w:tcW w:w="1170" w:type="dxa"/>
          </w:tcPr>
          <w:p>
            <w:pPr>
              <w:pStyle w:val="TableParagraph"/>
              <w:spacing w:before="37"/>
              <w:ind w:right="60"/>
              <w:jc w:val="right"/>
              <w:rPr>
                <w:rFonts w:ascii="Caladea"/>
                <w:b/>
                <w:sz w:val="14"/>
              </w:rPr>
            </w:pPr>
            <w:r>
              <w:rPr>
                <w:rFonts w:ascii="Caladea"/>
                <w:b/>
                <w:w w:val="95"/>
                <w:sz w:val="14"/>
              </w:rPr>
              <w:t>1.490</w:t>
            </w:r>
          </w:p>
        </w:tc>
        <w:tc>
          <w:tcPr>
            <w:tcW w:w="1160" w:type="dxa"/>
          </w:tcPr>
          <w:p>
            <w:pPr>
              <w:pStyle w:val="TableParagraph"/>
              <w:spacing w:before="37"/>
              <w:ind w:right="61"/>
              <w:jc w:val="right"/>
              <w:rPr>
                <w:rFonts w:ascii="Caladea"/>
                <w:b/>
                <w:sz w:val="14"/>
              </w:rPr>
            </w:pPr>
            <w:r>
              <w:rPr>
                <w:rFonts w:ascii="Caladea"/>
                <w:b/>
                <w:w w:val="95"/>
                <w:sz w:val="14"/>
              </w:rPr>
              <w:t>1.588</w:t>
            </w:r>
          </w:p>
        </w:tc>
      </w:tr>
      <w:tr>
        <w:trPr>
          <w:trHeight w:val="239" w:hRule="atLeast"/>
        </w:trPr>
        <w:tc>
          <w:tcPr>
            <w:tcW w:w="6923" w:type="dxa"/>
          </w:tcPr>
          <w:p>
            <w:pPr>
              <w:pStyle w:val="TableParagraph"/>
              <w:spacing w:before="38"/>
              <w:ind w:left="72"/>
              <w:rPr>
                <w:sz w:val="14"/>
              </w:rPr>
            </w:pPr>
            <w:r>
              <w:rPr>
                <w:sz w:val="14"/>
              </w:rPr>
              <w:t>Corumbá Concessões S.A.</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w w:val="95"/>
                <w:sz w:val="14"/>
              </w:rPr>
              <w:t>1.490</w:t>
            </w:r>
          </w:p>
        </w:tc>
        <w:tc>
          <w:tcPr>
            <w:tcW w:w="1160" w:type="dxa"/>
          </w:tcPr>
          <w:p>
            <w:pPr>
              <w:pStyle w:val="TableParagraph"/>
              <w:spacing w:before="38"/>
              <w:ind w:right="61"/>
              <w:jc w:val="right"/>
              <w:rPr>
                <w:sz w:val="14"/>
              </w:rPr>
            </w:pPr>
            <w:r>
              <w:rPr>
                <w:w w:val="95"/>
                <w:sz w:val="14"/>
              </w:rPr>
              <w:t>1.588</w:t>
            </w:r>
          </w:p>
        </w:tc>
      </w:tr>
      <w:tr>
        <w:trPr>
          <w:trHeight w:val="237" w:hRule="atLeast"/>
        </w:trPr>
        <w:tc>
          <w:tcPr>
            <w:tcW w:w="6923" w:type="dxa"/>
          </w:tcPr>
          <w:p>
            <w:pPr>
              <w:pStyle w:val="TableParagraph"/>
              <w:spacing w:before="34"/>
              <w:ind w:left="72"/>
              <w:rPr>
                <w:rFonts w:ascii="Caladea"/>
                <w:b/>
                <w:sz w:val="14"/>
              </w:rPr>
            </w:pPr>
            <w:r>
              <w:rPr>
                <w:rFonts w:ascii="Caladea"/>
                <w:b/>
                <w:sz w:val="14"/>
              </w:rPr>
              <w:t>Despesas</w:t>
            </w:r>
          </w:p>
        </w:tc>
        <w:tc>
          <w:tcPr>
            <w:tcW w:w="665" w:type="dxa"/>
          </w:tcPr>
          <w:p>
            <w:pPr>
              <w:pStyle w:val="TableParagraph"/>
              <w:rPr>
                <w:rFonts w:ascii="Times New Roman"/>
                <w:sz w:val="16"/>
              </w:rPr>
            </w:pPr>
          </w:p>
        </w:tc>
        <w:tc>
          <w:tcPr>
            <w:tcW w:w="1170" w:type="dxa"/>
          </w:tcPr>
          <w:p>
            <w:pPr>
              <w:pStyle w:val="TableParagraph"/>
              <w:spacing w:before="34"/>
              <w:ind w:right="59"/>
              <w:jc w:val="right"/>
              <w:rPr>
                <w:rFonts w:ascii="Caladea"/>
                <w:b/>
                <w:sz w:val="14"/>
              </w:rPr>
            </w:pPr>
            <w:r>
              <w:rPr>
                <w:rFonts w:ascii="Caladea"/>
                <w:b/>
                <w:sz w:val="14"/>
              </w:rPr>
              <w:t>(339.877)</w:t>
            </w:r>
          </w:p>
        </w:tc>
        <w:tc>
          <w:tcPr>
            <w:tcW w:w="1160" w:type="dxa"/>
          </w:tcPr>
          <w:p>
            <w:pPr>
              <w:pStyle w:val="TableParagraph"/>
              <w:spacing w:before="34"/>
              <w:ind w:right="62"/>
              <w:jc w:val="right"/>
              <w:rPr>
                <w:rFonts w:ascii="Caladea"/>
                <w:b/>
                <w:sz w:val="14"/>
              </w:rPr>
            </w:pPr>
            <w:r>
              <w:rPr>
                <w:rFonts w:ascii="Caladea"/>
                <w:b/>
                <w:sz w:val="14"/>
              </w:rPr>
              <w:t>(306.596)</w:t>
            </w:r>
          </w:p>
        </w:tc>
      </w:tr>
      <w:tr>
        <w:trPr>
          <w:trHeight w:val="237" w:hRule="atLeast"/>
        </w:trPr>
        <w:tc>
          <w:tcPr>
            <w:tcW w:w="6923" w:type="dxa"/>
          </w:tcPr>
          <w:p>
            <w:pPr>
              <w:pStyle w:val="TableParagraph"/>
              <w:spacing w:before="37"/>
              <w:ind w:left="72"/>
              <w:rPr>
                <w:rFonts w:ascii="Caladea"/>
                <w:b/>
                <w:sz w:val="14"/>
              </w:rPr>
            </w:pPr>
            <w:r>
              <w:rPr>
                <w:rFonts w:ascii="Caladea"/>
                <w:b/>
                <w:sz w:val="14"/>
              </w:rPr>
              <w:t>Energia Comprada Para Revenda</w:t>
            </w:r>
          </w:p>
        </w:tc>
        <w:tc>
          <w:tcPr>
            <w:tcW w:w="665" w:type="dxa"/>
          </w:tcPr>
          <w:p>
            <w:pPr>
              <w:pStyle w:val="TableParagraph"/>
              <w:spacing w:before="37"/>
              <w:ind w:left="292"/>
              <w:rPr>
                <w:rFonts w:ascii="Caladea"/>
                <w:b/>
                <w:sz w:val="14"/>
              </w:rPr>
            </w:pPr>
            <w:r>
              <w:rPr>
                <w:rFonts w:ascii="Caladea"/>
                <w:b/>
                <w:w w:val="99"/>
                <w:sz w:val="14"/>
              </w:rPr>
              <w:t>h</w:t>
            </w:r>
          </w:p>
        </w:tc>
        <w:tc>
          <w:tcPr>
            <w:tcW w:w="1170" w:type="dxa"/>
          </w:tcPr>
          <w:p>
            <w:pPr>
              <w:pStyle w:val="TableParagraph"/>
              <w:spacing w:before="37"/>
              <w:ind w:right="59"/>
              <w:jc w:val="right"/>
              <w:rPr>
                <w:rFonts w:ascii="Caladea"/>
                <w:b/>
                <w:sz w:val="14"/>
              </w:rPr>
            </w:pPr>
            <w:r>
              <w:rPr>
                <w:rFonts w:ascii="Caladea"/>
                <w:b/>
                <w:sz w:val="14"/>
              </w:rPr>
              <w:t>(250.183)</w:t>
            </w:r>
          </w:p>
        </w:tc>
        <w:tc>
          <w:tcPr>
            <w:tcW w:w="1160" w:type="dxa"/>
          </w:tcPr>
          <w:p>
            <w:pPr>
              <w:pStyle w:val="TableParagraph"/>
              <w:spacing w:before="37"/>
              <w:ind w:right="62"/>
              <w:jc w:val="right"/>
              <w:rPr>
                <w:rFonts w:ascii="Caladea"/>
                <w:b/>
                <w:sz w:val="14"/>
              </w:rPr>
            </w:pPr>
            <w:r>
              <w:rPr>
                <w:rFonts w:ascii="Caladea"/>
                <w:b/>
                <w:sz w:val="14"/>
              </w:rPr>
              <w:t>(226.692)</w:t>
            </w:r>
          </w:p>
        </w:tc>
      </w:tr>
      <w:tr>
        <w:trPr>
          <w:trHeight w:val="240" w:hRule="atLeast"/>
        </w:trPr>
        <w:tc>
          <w:tcPr>
            <w:tcW w:w="6923" w:type="dxa"/>
          </w:tcPr>
          <w:p>
            <w:pPr>
              <w:pStyle w:val="TableParagraph"/>
              <w:spacing w:before="39"/>
              <w:ind w:left="72"/>
              <w:rPr>
                <w:sz w:val="14"/>
              </w:rPr>
            </w:pPr>
            <w:r>
              <w:rPr>
                <w:sz w:val="14"/>
              </w:rPr>
              <w:t>Corumbá Concessões S.A.</w:t>
            </w:r>
          </w:p>
        </w:tc>
        <w:tc>
          <w:tcPr>
            <w:tcW w:w="665" w:type="dxa"/>
          </w:tcPr>
          <w:p>
            <w:pPr>
              <w:pStyle w:val="TableParagraph"/>
              <w:rPr>
                <w:rFonts w:ascii="Times New Roman"/>
                <w:sz w:val="16"/>
              </w:rPr>
            </w:pPr>
          </w:p>
        </w:tc>
        <w:tc>
          <w:tcPr>
            <w:tcW w:w="1170" w:type="dxa"/>
          </w:tcPr>
          <w:p>
            <w:pPr>
              <w:pStyle w:val="TableParagraph"/>
              <w:spacing w:before="39"/>
              <w:ind w:right="60"/>
              <w:jc w:val="right"/>
              <w:rPr>
                <w:sz w:val="14"/>
              </w:rPr>
            </w:pPr>
            <w:r>
              <w:rPr>
                <w:sz w:val="14"/>
              </w:rPr>
              <w:t>(199.543)</w:t>
            </w:r>
          </w:p>
        </w:tc>
        <w:tc>
          <w:tcPr>
            <w:tcW w:w="1160" w:type="dxa"/>
          </w:tcPr>
          <w:p>
            <w:pPr>
              <w:pStyle w:val="TableParagraph"/>
              <w:spacing w:before="39"/>
              <w:ind w:right="61"/>
              <w:jc w:val="right"/>
              <w:rPr>
                <w:sz w:val="14"/>
              </w:rPr>
            </w:pPr>
            <w:r>
              <w:rPr>
                <w:sz w:val="14"/>
              </w:rPr>
              <w:t>(181.214)</w:t>
            </w:r>
          </w:p>
        </w:tc>
      </w:tr>
      <w:tr>
        <w:trPr>
          <w:trHeight w:val="237" w:hRule="atLeast"/>
        </w:trPr>
        <w:tc>
          <w:tcPr>
            <w:tcW w:w="6923" w:type="dxa"/>
          </w:tcPr>
          <w:p>
            <w:pPr>
              <w:pStyle w:val="TableParagraph"/>
              <w:spacing w:before="36"/>
              <w:ind w:left="72"/>
              <w:rPr>
                <w:sz w:val="14"/>
              </w:rPr>
            </w:pPr>
            <w:r>
              <w:rPr>
                <w:sz w:val="14"/>
              </w:rPr>
              <w:t>Energética Corumbá III S.A.</w:t>
            </w:r>
          </w:p>
        </w:tc>
        <w:tc>
          <w:tcPr>
            <w:tcW w:w="665" w:type="dxa"/>
          </w:tcPr>
          <w:p>
            <w:pPr>
              <w:pStyle w:val="TableParagraph"/>
              <w:rPr>
                <w:rFonts w:ascii="Times New Roman"/>
                <w:sz w:val="16"/>
              </w:rPr>
            </w:pPr>
          </w:p>
        </w:tc>
        <w:tc>
          <w:tcPr>
            <w:tcW w:w="1170" w:type="dxa"/>
          </w:tcPr>
          <w:p>
            <w:pPr>
              <w:pStyle w:val="TableParagraph"/>
              <w:spacing w:before="36"/>
              <w:ind w:right="60"/>
              <w:jc w:val="right"/>
              <w:rPr>
                <w:sz w:val="14"/>
              </w:rPr>
            </w:pPr>
            <w:r>
              <w:rPr>
                <w:sz w:val="14"/>
              </w:rPr>
              <w:t>(50.640)</w:t>
            </w:r>
          </w:p>
        </w:tc>
        <w:tc>
          <w:tcPr>
            <w:tcW w:w="1160" w:type="dxa"/>
          </w:tcPr>
          <w:p>
            <w:pPr>
              <w:pStyle w:val="TableParagraph"/>
              <w:spacing w:before="36"/>
              <w:ind w:right="61"/>
              <w:jc w:val="right"/>
              <w:rPr>
                <w:sz w:val="14"/>
              </w:rPr>
            </w:pPr>
            <w:r>
              <w:rPr>
                <w:sz w:val="14"/>
              </w:rPr>
              <w:t>(45.478)</w:t>
            </w:r>
          </w:p>
        </w:tc>
      </w:tr>
      <w:tr>
        <w:trPr>
          <w:trHeight w:val="237" w:hRule="atLeast"/>
        </w:trPr>
        <w:tc>
          <w:tcPr>
            <w:tcW w:w="6923" w:type="dxa"/>
          </w:tcPr>
          <w:p>
            <w:pPr>
              <w:pStyle w:val="TableParagraph"/>
              <w:spacing w:before="37"/>
              <w:ind w:left="72"/>
              <w:rPr>
                <w:rFonts w:ascii="Caladea"/>
                <w:b/>
                <w:sz w:val="14"/>
              </w:rPr>
            </w:pPr>
            <w:r>
              <w:rPr>
                <w:rFonts w:ascii="Caladea"/>
                <w:b/>
                <w:sz w:val="14"/>
              </w:rPr>
              <w:t>Despesa com Arrendamento</w:t>
            </w:r>
          </w:p>
        </w:tc>
        <w:tc>
          <w:tcPr>
            <w:tcW w:w="665" w:type="dxa"/>
          </w:tcPr>
          <w:p>
            <w:pPr>
              <w:pStyle w:val="TableParagraph"/>
              <w:rPr>
                <w:rFonts w:ascii="Times New Roman"/>
                <w:sz w:val="16"/>
              </w:rPr>
            </w:pPr>
          </w:p>
        </w:tc>
        <w:tc>
          <w:tcPr>
            <w:tcW w:w="1170" w:type="dxa"/>
          </w:tcPr>
          <w:p>
            <w:pPr>
              <w:pStyle w:val="TableParagraph"/>
              <w:spacing w:before="37"/>
              <w:ind w:right="61"/>
              <w:jc w:val="right"/>
              <w:rPr>
                <w:rFonts w:ascii="Caladea"/>
                <w:b/>
                <w:sz w:val="14"/>
              </w:rPr>
            </w:pPr>
            <w:r>
              <w:rPr>
                <w:rFonts w:ascii="Caladea"/>
                <w:b/>
                <w:sz w:val="14"/>
              </w:rPr>
              <w:t>(39.786)</w:t>
            </w:r>
          </w:p>
        </w:tc>
        <w:tc>
          <w:tcPr>
            <w:tcW w:w="1160" w:type="dxa"/>
          </w:tcPr>
          <w:p>
            <w:pPr>
              <w:pStyle w:val="TableParagraph"/>
              <w:spacing w:before="37"/>
              <w:ind w:right="63"/>
              <w:jc w:val="right"/>
              <w:rPr>
                <w:rFonts w:ascii="Caladea"/>
                <w:b/>
                <w:sz w:val="14"/>
              </w:rPr>
            </w:pPr>
            <w:r>
              <w:rPr>
                <w:rFonts w:ascii="Caladea"/>
                <w:b/>
                <w:sz w:val="14"/>
              </w:rPr>
              <w:t>(30.438)</w:t>
            </w:r>
          </w:p>
        </w:tc>
      </w:tr>
      <w:tr>
        <w:trPr>
          <w:trHeight w:val="239" w:hRule="atLeast"/>
        </w:trPr>
        <w:tc>
          <w:tcPr>
            <w:tcW w:w="6923" w:type="dxa"/>
          </w:tcPr>
          <w:p>
            <w:pPr>
              <w:pStyle w:val="TableParagraph"/>
              <w:spacing w:before="38"/>
              <w:ind w:left="72"/>
              <w:rPr>
                <w:sz w:val="14"/>
              </w:rPr>
            </w:pPr>
            <w:r>
              <w:rPr>
                <w:sz w:val="14"/>
              </w:rPr>
              <w:t>Investco S.A.</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sz w:val="14"/>
              </w:rPr>
              <w:t>(39.786)</w:t>
            </w:r>
          </w:p>
        </w:tc>
        <w:tc>
          <w:tcPr>
            <w:tcW w:w="1160" w:type="dxa"/>
          </w:tcPr>
          <w:p>
            <w:pPr>
              <w:pStyle w:val="TableParagraph"/>
              <w:spacing w:before="38"/>
              <w:ind w:right="61"/>
              <w:jc w:val="right"/>
              <w:rPr>
                <w:sz w:val="14"/>
              </w:rPr>
            </w:pPr>
            <w:r>
              <w:rPr>
                <w:sz w:val="14"/>
              </w:rPr>
              <w:t>(30.438)</w:t>
            </w:r>
          </w:p>
        </w:tc>
      </w:tr>
      <w:tr>
        <w:trPr>
          <w:trHeight w:val="237" w:hRule="atLeast"/>
        </w:trPr>
        <w:tc>
          <w:tcPr>
            <w:tcW w:w="6923" w:type="dxa"/>
          </w:tcPr>
          <w:p>
            <w:pPr>
              <w:pStyle w:val="TableParagraph"/>
              <w:spacing w:before="35"/>
              <w:ind w:left="72"/>
              <w:rPr>
                <w:rFonts w:ascii="Caladea" w:hAnsi="Caladea"/>
                <w:b/>
                <w:sz w:val="14"/>
              </w:rPr>
            </w:pPr>
            <w:r>
              <w:rPr>
                <w:rFonts w:ascii="Caladea" w:hAnsi="Caladea"/>
                <w:b/>
                <w:sz w:val="14"/>
              </w:rPr>
              <w:t>Provisão/Reversão Estimada de Perdas com Créditos de Liquidação Duvidosa, líquidas</w:t>
            </w:r>
          </w:p>
        </w:tc>
        <w:tc>
          <w:tcPr>
            <w:tcW w:w="665" w:type="dxa"/>
          </w:tcPr>
          <w:p>
            <w:pPr>
              <w:pStyle w:val="TableParagraph"/>
              <w:spacing w:before="35"/>
              <w:ind w:left="311"/>
              <w:rPr>
                <w:rFonts w:ascii="Caladea"/>
                <w:b/>
                <w:sz w:val="14"/>
              </w:rPr>
            </w:pPr>
            <w:r>
              <w:rPr>
                <w:rFonts w:ascii="Caladea"/>
                <w:b/>
                <w:w w:val="99"/>
                <w:sz w:val="14"/>
              </w:rPr>
              <w:t>i</w:t>
            </w:r>
          </w:p>
        </w:tc>
        <w:tc>
          <w:tcPr>
            <w:tcW w:w="1170" w:type="dxa"/>
          </w:tcPr>
          <w:p>
            <w:pPr>
              <w:pStyle w:val="TableParagraph"/>
              <w:spacing w:before="35"/>
              <w:ind w:right="61"/>
              <w:jc w:val="right"/>
              <w:rPr>
                <w:rFonts w:ascii="Caladea"/>
                <w:b/>
                <w:sz w:val="14"/>
              </w:rPr>
            </w:pPr>
            <w:r>
              <w:rPr>
                <w:rFonts w:ascii="Caladea"/>
                <w:b/>
                <w:sz w:val="14"/>
              </w:rPr>
              <w:t>(48.225)</w:t>
            </w:r>
          </w:p>
        </w:tc>
        <w:tc>
          <w:tcPr>
            <w:tcW w:w="1160" w:type="dxa"/>
          </w:tcPr>
          <w:p>
            <w:pPr>
              <w:pStyle w:val="TableParagraph"/>
              <w:spacing w:before="35"/>
              <w:ind w:right="63"/>
              <w:jc w:val="right"/>
              <w:rPr>
                <w:rFonts w:ascii="Caladea"/>
                <w:b/>
                <w:sz w:val="14"/>
              </w:rPr>
            </w:pPr>
            <w:r>
              <w:rPr>
                <w:rFonts w:ascii="Caladea"/>
                <w:b/>
                <w:sz w:val="14"/>
              </w:rPr>
              <w:t>(49.466)</w:t>
            </w:r>
          </w:p>
        </w:tc>
      </w:tr>
      <w:tr>
        <w:trPr>
          <w:trHeight w:val="237" w:hRule="atLeast"/>
        </w:trPr>
        <w:tc>
          <w:tcPr>
            <w:tcW w:w="6923" w:type="dxa"/>
          </w:tcPr>
          <w:p>
            <w:pPr>
              <w:pStyle w:val="TableParagraph"/>
              <w:spacing w:before="38"/>
              <w:ind w:left="72"/>
              <w:rPr>
                <w:sz w:val="14"/>
              </w:rPr>
            </w:pPr>
            <w:r>
              <w:rPr>
                <w:sz w:val="14"/>
              </w:rPr>
              <w:t>Governo do Distrito Federal</w:t>
            </w:r>
          </w:p>
        </w:tc>
        <w:tc>
          <w:tcPr>
            <w:tcW w:w="665" w:type="dxa"/>
          </w:tcPr>
          <w:p>
            <w:pPr>
              <w:pStyle w:val="TableParagraph"/>
              <w:rPr>
                <w:rFonts w:ascii="Times New Roman"/>
                <w:sz w:val="16"/>
              </w:rPr>
            </w:pPr>
          </w:p>
        </w:tc>
        <w:tc>
          <w:tcPr>
            <w:tcW w:w="1170" w:type="dxa"/>
          </w:tcPr>
          <w:p>
            <w:pPr>
              <w:pStyle w:val="TableParagraph"/>
              <w:spacing w:before="38"/>
              <w:ind w:right="60"/>
              <w:jc w:val="right"/>
              <w:rPr>
                <w:sz w:val="14"/>
              </w:rPr>
            </w:pPr>
            <w:r>
              <w:rPr>
                <w:sz w:val="14"/>
              </w:rPr>
              <w:t>(48.225)</w:t>
            </w:r>
          </w:p>
        </w:tc>
        <w:tc>
          <w:tcPr>
            <w:tcW w:w="1160" w:type="dxa"/>
          </w:tcPr>
          <w:p>
            <w:pPr>
              <w:pStyle w:val="TableParagraph"/>
              <w:spacing w:before="38"/>
              <w:ind w:right="61"/>
              <w:jc w:val="right"/>
              <w:rPr>
                <w:sz w:val="14"/>
              </w:rPr>
            </w:pPr>
            <w:r>
              <w:rPr>
                <w:sz w:val="14"/>
              </w:rPr>
              <w:t>(49.466)</w:t>
            </w:r>
          </w:p>
        </w:tc>
      </w:tr>
      <w:tr>
        <w:trPr>
          <w:trHeight w:val="239" w:hRule="atLeast"/>
        </w:trPr>
        <w:tc>
          <w:tcPr>
            <w:tcW w:w="6923" w:type="dxa"/>
          </w:tcPr>
          <w:p>
            <w:pPr>
              <w:pStyle w:val="TableParagraph"/>
              <w:spacing w:before="37"/>
              <w:ind w:left="72"/>
              <w:rPr>
                <w:rFonts w:ascii="Caladea" w:hAnsi="Caladea"/>
                <w:b/>
                <w:sz w:val="14"/>
              </w:rPr>
            </w:pPr>
            <w:r>
              <w:rPr>
                <w:rFonts w:ascii="Caladea" w:hAnsi="Caladea"/>
                <w:b/>
                <w:sz w:val="14"/>
              </w:rPr>
              <w:t>Despesas de Juros e Correção Monetária</w:t>
            </w:r>
          </w:p>
        </w:tc>
        <w:tc>
          <w:tcPr>
            <w:tcW w:w="665" w:type="dxa"/>
          </w:tcPr>
          <w:p>
            <w:pPr>
              <w:pStyle w:val="TableParagraph"/>
              <w:rPr>
                <w:rFonts w:ascii="Times New Roman"/>
                <w:sz w:val="16"/>
              </w:rPr>
            </w:pPr>
          </w:p>
        </w:tc>
        <w:tc>
          <w:tcPr>
            <w:tcW w:w="1170" w:type="dxa"/>
          </w:tcPr>
          <w:p>
            <w:pPr>
              <w:pStyle w:val="TableParagraph"/>
              <w:spacing w:before="37"/>
              <w:ind w:right="59"/>
              <w:jc w:val="right"/>
              <w:rPr>
                <w:rFonts w:ascii="Caladea"/>
                <w:b/>
                <w:sz w:val="14"/>
              </w:rPr>
            </w:pPr>
            <w:r>
              <w:rPr>
                <w:rFonts w:ascii="Caladea"/>
                <w:b/>
                <w:sz w:val="14"/>
              </w:rPr>
              <w:t>(1.683)</w:t>
            </w:r>
          </w:p>
        </w:tc>
        <w:tc>
          <w:tcPr>
            <w:tcW w:w="1160" w:type="dxa"/>
          </w:tcPr>
          <w:p>
            <w:pPr>
              <w:pStyle w:val="TableParagraph"/>
              <w:rPr>
                <w:rFonts w:ascii="Times New Roman"/>
                <w:sz w:val="16"/>
              </w:rPr>
            </w:pPr>
          </w:p>
        </w:tc>
      </w:tr>
      <w:tr>
        <w:trPr>
          <w:trHeight w:val="237" w:hRule="atLeast"/>
        </w:trPr>
        <w:tc>
          <w:tcPr>
            <w:tcW w:w="6923" w:type="dxa"/>
          </w:tcPr>
          <w:p>
            <w:pPr>
              <w:pStyle w:val="TableParagraph"/>
              <w:spacing w:before="36"/>
              <w:ind w:left="72"/>
              <w:rPr>
                <w:sz w:val="14"/>
              </w:rPr>
            </w:pPr>
            <w:r>
              <w:rPr>
                <w:w w:val="105"/>
                <w:sz w:val="14"/>
              </w:rPr>
              <w:t>Banco de Brasília – BRB</w:t>
            </w:r>
          </w:p>
        </w:tc>
        <w:tc>
          <w:tcPr>
            <w:tcW w:w="665" w:type="dxa"/>
          </w:tcPr>
          <w:p>
            <w:pPr>
              <w:pStyle w:val="TableParagraph"/>
              <w:rPr>
                <w:rFonts w:ascii="Times New Roman"/>
                <w:sz w:val="16"/>
              </w:rPr>
            </w:pPr>
          </w:p>
        </w:tc>
        <w:tc>
          <w:tcPr>
            <w:tcW w:w="1170" w:type="dxa"/>
          </w:tcPr>
          <w:p>
            <w:pPr>
              <w:pStyle w:val="TableParagraph"/>
              <w:spacing w:before="36"/>
              <w:ind w:right="61"/>
              <w:jc w:val="right"/>
              <w:rPr>
                <w:sz w:val="14"/>
              </w:rPr>
            </w:pPr>
            <w:r>
              <w:rPr>
                <w:w w:val="95"/>
                <w:sz w:val="14"/>
              </w:rPr>
              <w:t>(1.683)</w:t>
            </w:r>
          </w:p>
        </w:tc>
        <w:tc>
          <w:tcPr>
            <w:tcW w:w="1160" w:type="dxa"/>
          </w:tcPr>
          <w:p>
            <w:pPr>
              <w:pStyle w:val="TableParagraph"/>
              <w:rPr>
                <w:rFonts w:ascii="Times New Roman"/>
                <w:sz w:val="16"/>
              </w:rPr>
            </w:pPr>
          </w:p>
        </w:tc>
      </w:tr>
    </w:tbl>
    <w:p>
      <w:pPr>
        <w:pStyle w:val="BodyText"/>
        <w:spacing w:before="2"/>
        <w:rPr>
          <w:rFonts w:ascii="Caladea"/>
          <w:b/>
          <w:sz w:val="12"/>
        </w:rPr>
      </w:pPr>
    </w:p>
    <w:p>
      <w:pPr>
        <w:pStyle w:val="ListParagraph"/>
        <w:numPr>
          <w:ilvl w:val="0"/>
          <w:numId w:val="50"/>
        </w:numPr>
        <w:tabs>
          <w:tab w:pos="409" w:val="left" w:leader="none"/>
        </w:tabs>
        <w:spacing w:line="242" w:lineRule="auto" w:before="99" w:after="0"/>
        <w:ind w:left="172" w:right="419" w:firstLine="0"/>
        <w:jc w:val="both"/>
        <w:rPr>
          <w:sz w:val="20"/>
        </w:rPr>
      </w:pPr>
      <w:r>
        <w:rPr>
          <w:sz w:val="20"/>
        </w:rPr>
        <w:t>As</w:t>
      </w:r>
      <w:r>
        <w:rPr>
          <w:spacing w:val="-34"/>
          <w:sz w:val="20"/>
        </w:rPr>
        <w:t> </w:t>
      </w:r>
      <w:r>
        <w:rPr>
          <w:sz w:val="20"/>
        </w:rPr>
        <w:t>empresas</w:t>
      </w:r>
      <w:r>
        <w:rPr>
          <w:spacing w:val="-34"/>
          <w:sz w:val="20"/>
        </w:rPr>
        <w:t> </w:t>
      </w:r>
      <w:r>
        <w:rPr>
          <w:sz w:val="20"/>
        </w:rPr>
        <w:t>Corumbá</w:t>
      </w:r>
      <w:r>
        <w:rPr>
          <w:spacing w:val="-33"/>
          <w:sz w:val="20"/>
        </w:rPr>
        <w:t> </w:t>
      </w:r>
      <w:r>
        <w:rPr>
          <w:sz w:val="20"/>
        </w:rPr>
        <w:t>Concessões</w:t>
      </w:r>
      <w:r>
        <w:rPr>
          <w:spacing w:val="-34"/>
          <w:sz w:val="20"/>
        </w:rPr>
        <w:t> </w:t>
      </w:r>
      <w:r>
        <w:rPr>
          <w:sz w:val="20"/>
        </w:rPr>
        <w:t>S.A.</w:t>
      </w:r>
      <w:r>
        <w:rPr>
          <w:spacing w:val="-34"/>
          <w:sz w:val="20"/>
        </w:rPr>
        <w:t> </w:t>
      </w:r>
      <w:r>
        <w:rPr>
          <w:sz w:val="20"/>
        </w:rPr>
        <w:t>e</w:t>
      </w:r>
      <w:r>
        <w:rPr>
          <w:spacing w:val="-35"/>
          <w:sz w:val="20"/>
        </w:rPr>
        <w:t> </w:t>
      </w:r>
      <w:r>
        <w:rPr>
          <w:sz w:val="20"/>
        </w:rPr>
        <w:t>Energética</w:t>
      </w:r>
      <w:r>
        <w:rPr>
          <w:spacing w:val="-33"/>
          <w:sz w:val="20"/>
        </w:rPr>
        <w:t> </w:t>
      </w:r>
      <w:r>
        <w:rPr>
          <w:sz w:val="20"/>
        </w:rPr>
        <w:t>Corumbá</w:t>
      </w:r>
      <w:r>
        <w:rPr>
          <w:spacing w:val="-34"/>
          <w:sz w:val="20"/>
        </w:rPr>
        <w:t> </w:t>
      </w:r>
      <w:r>
        <w:rPr>
          <w:sz w:val="20"/>
        </w:rPr>
        <w:t>III</w:t>
      </w:r>
      <w:r>
        <w:rPr>
          <w:spacing w:val="-34"/>
          <w:sz w:val="20"/>
        </w:rPr>
        <w:t> </w:t>
      </w:r>
      <w:r>
        <w:rPr>
          <w:sz w:val="20"/>
        </w:rPr>
        <w:t>S.A.</w:t>
      </w:r>
      <w:r>
        <w:rPr>
          <w:spacing w:val="-34"/>
          <w:sz w:val="20"/>
        </w:rPr>
        <w:t> </w:t>
      </w:r>
      <w:r>
        <w:rPr>
          <w:sz w:val="20"/>
        </w:rPr>
        <w:t>são</w:t>
      </w:r>
      <w:r>
        <w:rPr>
          <w:spacing w:val="-34"/>
          <w:sz w:val="20"/>
        </w:rPr>
        <w:t> </w:t>
      </w:r>
      <w:r>
        <w:rPr>
          <w:sz w:val="20"/>
        </w:rPr>
        <w:t>acessantes</w:t>
      </w:r>
      <w:r>
        <w:rPr>
          <w:spacing w:val="-34"/>
          <w:sz w:val="20"/>
        </w:rPr>
        <w:t> </w:t>
      </w:r>
      <w:r>
        <w:rPr>
          <w:sz w:val="20"/>
        </w:rPr>
        <w:t>do</w:t>
      </w:r>
      <w:r>
        <w:rPr>
          <w:spacing w:val="-34"/>
          <w:sz w:val="20"/>
        </w:rPr>
        <w:t> </w:t>
      </w:r>
      <w:r>
        <w:rPr>
          <w:sz w:val="20"/>
        </w:rPr>
        <w:t>sistema</w:t>
      </w:r>
      <w:r>
        <w:rPr>
          <w:spacing w:val="-33"/>
          <w:sz w:val="20"/>
        </w:rPr>
        <w:t> </w:t>
      </w:r>
      <w:r>
        <w:rPr>
          <w:sz w:val="20"/>
        </w:rPr>
        <w:t>de</w:t>
      </w:r>
      <w:r>
        <w:rPr>
          <w:spacing w:val="-35"/>
          <w:sz w:val="20"/>
        </w:rPr>
        <w:t> </w:t>
      </w:r>
      <w:r>
        <w:rPr>
          <w:sz w:val="20"/>
        </w:rPr>
        <w:t>distribuição</w:t>
      </w:r>
      <w:r>
        <w:rPr>
          <w:spacing w:val="-34"/>
          <w:sz w:val="20"/>
        </w:rPr>
        <w:t> </w:t>
      </w:r>
      <w:r>
        <w:rPr>
          <w:sz w:val="20"/>
        </w:rPr>
        <w:t>de energia</w:t>
      </w:r>
      <w:r>
        <w:rPr>
          <w:spacing w:val="-27"/>
          <w:sz w:val="20"/>
        </w:rPr>
        <w:t> </w:t>
      </w:r>
      <w:r>
        <w:rPr>
          <w:sz w:val="20"/>
        </w:rPr>
        <w:t>elétrica</w:t>
      </w:r>
      <w:r>
        <w:rPr>
          <w:spacing w:val="-26"/>
          <w:sz w:val="20"/>
        </w:rPr>
        <w:t> </w:t>
      </w:r>
      <w:r>
        <w:rPr>
          <w:sz w:val="20"/>
        </w:rPr>
        <w:t>da</w:t>
      </w:r>
      <w:r>
        <w:rPr>
          <w:spacing w:val="-26"/>
          <w:sz w:val="20"/>
        </w:rPr>
        <w:t> </w:t>
      </w:r>
      <w:r>
        <w:rPr>
          <w:sz w:val="20"/>
        </w:rPr>
        <w:t>CEB</w:t>
      </w:r>
      <w:r>
        <w:rPr>
          <w:spacing w:val="-25"/>
          <w:sz w:val="20"/>
        </w:rPr>
        <w:t> </w:t>
      </w:r>
      <w:r>
        <w:rPr>
          <w:sz w:val="20"/>
        </w:rPr>
        <w:t>DIS</w:t>
      </w:r>
      <w:r>
        <w:rPr>
          <w:spacing w:val="-25"/>
          <w:sz w:val="20"/>
        </w:rPr>
        <w:t> </w:t>
      </w:r>
      <w:r>
        <w:rPr>
          <w:sz w:val="20"/>
        </w:rPr>
        <w:t>e</w:t>
      </w:r>
      <w:r>
        <w:rPr>
          <w:spacing w:val="-25"/>
          <w:sz w:val="20"/>
        </w:rPr>
        <w:t> </w:t>
      </w:r>
      <w:r>
        <w:rPr>
          <w:sz w:val="20"/>
        </w:rPr>
        <w:t>pagam</w:t>
      </w:r>
      <w:r>
        <w:rPr>
          <w:spacing w:val="-27"/>
          <w:sz w:val="20"/>
        </w:rPr>
        <w:t> </w:t>
      </w:r>
      <w:r>
        <w:rPr>
          <w:sz w:val="20"/>
        </w:rPr>
        <w:t>pelo</w:t>
      </w:r>
      <w:r>
        <w:rPr>
          <w:spacing w:val="-27"/>
          <w:sz w:val="20"/>
        </w:rPr>
        <w:t> </w:t>
      </w:r>
      <w:r>
        <w:rPr>
          <w:sz w:val="20"/>
        </w:rPr>
        <w:t>seu</w:t>
      </w:r>
      <w:r>
        <w:rPr>
          <w:spacing w:val="-27"/>
          <w:sz w:val="20"/>
        </w:rPr>
        <w:t> </w:t>
      </w:r>
      <w:r>
        <w:rPr>
          <w:sz w:val="20"/>
        </w:rPr>
        <w:t>uso</w:t>
      </w:r>
      <w:r>
        <w:rPr>
          <w:spacing w:val="-24"/>
          <w:sz w:val="20"/>
        </w:rPr>
        <w:t> </w:t>
      </w:r>
      <w:r>
        <w:rPr>
          <w:sz w:val="20"/>
        </w:rPr>
        <w:t>por</w:t>
      </w:r>
      <w:r>
        <w:rPr>
          <w:spacing w:val="-26"/>
          <w:sz w:val="20"/>
        </w:rPr>
        <w:t> </w:t>
      </w:r>
      <w:r>
        <w:rPr>
          <w:sz w:val="20"/>
        </w:rPr>
        <w:t>meio</w:t>
      </w:r>
      <w:r>
        <w:rPr>
          <w:spacing w:val="-27"/>
          <w:sz w:val="20"/>
        </w:rPr>
        <w:t> </w:t>
      </w:r>
      <w:r>
        <w:rPr>
          <w:sz w:val="20"/>
        </w:rPr>
        <w:t>de</w:t>
      </w:r>
      <w:r>
        <w:rPr>
          <w:spacing w:val="-27"/>
          <w:sz w:val="20"/>
        </w:rPr>
        <w:t> </w:t>
      </w:r>
      <w:r>
        <w:rPr>
          <w:sz w:val="20"/>
        </w:rPr>
        <w:t>tarifas</w:t>
      </w:r>
      <w:r>
        <w:rPr>
          <w:spacing w:val="-26"/>
          <w:sz w:val="20"/>
        </w:rPr>
        <w:t> </w:t>
      </w:r>
      <w:r>
        <w:rPr>
          <w:sz w:val="20"/>
        </w:rPr>
        <w:t>regulamentadas</w:t>
      </w:r>
      <w:r>
        <w:rPr>
          <w:spacing w:val="-24"/>
          <w:sz w:val="20"/>
        </w:rPr>
        <w:t> </w:t>
      </w:r>
      <w:r>
        <w:rPr>
          <w:sz w:val="20"/>
        </w:rPr>
        <w:t>pelo</w:t>
      </w:r>
      <w:r>
        <w:rPr>
          <w:spacing w:val="-25"/>
          <w:sz w:val="20"/>
        </w:rPr>
        <w:t> </w:t>
      </w:r>
      <w:r>
        <w:rPr>
          <w:sz w:val="20"/>
        </w:rPr>
        <w:t>Órgão</w:t>
      </w:r>
      <w:r>
        <w:rPr>
          <w:spacing w:val="-25"/>
          <w:sz w:val="20"/>
        </w:rPr>
        <w:t> </w:t>
      </w:r>
      <w:r>
        <w:rPr>
          <w:sz w:val="20"/>
        </w:rPr>
        <w:t>Regulador;</w:t>
      </w:r>
    </w:p>
    <w:p>
      <w:pPr>
        <w:pStyle w:val="BodyText"/>
        <w:spacing w:before="4"/>
      </w:pPr>
    </w:p>
    <w:p>
      <w:pPr>
        <w:pStyle w:val="ListParagraph"/>
        <w:numPr>
          <w:ilvl w:val="0"/>
          <w:numId w:val="50"/>
        </w:numPr>
        <w:tabs>
          <w:tab w:pos="423" w:val="left" w:leader="none"/>
        </w:tabs>
        <w:spacing w:line="242" w:lineRule="auto" w:before="1" w:after="0"/>
        <w:ind w:left="172" w:right="411" w:firstLine="0"/>
        <w:jc w:val="both"/>
        <w:rPr>
          <w:sz w:val="20"/>
        </w:rPr>
      </w:pPr>
      <w:r>
        <w:rPr>
          <w:sz w:val="20"/>
        </w:rPr>
        <w:t>Trata-se</w:t>
      </w:r>
      <w:r>
        <w:rPr>
          <w:spacing w:val="-32"/>
          <w:sz w:val="20"/>
        </w:rPr>
        <w:t> </w:t>
      </w:r>
      <w:r>
        <w:rPr>
          <w:sz w:val="20"/>
        </w:rPr>
        <w:t>do</w:t>
      </w:r>
      <w:r>
        <w:rPr>
          <w:spacing w:val="-30"/>
          <w:sz w:val="20"/>
        </w:rPr>
        <w:t> </w:t>
      </w:r>
      <w:r>
        <w:rPr>
          <w:sz w:val="20"/>
        </w:rPr>
        <w:t>fornecimento</w:t>
      </w:r>
      <w:r>
        <w:rPr>
          <w:spacing w:val="-29"/>
          <w:sz w:val="20"/>
        </w:rPr>
        <w:t> </w:t>
      </w:r>
      <w:r>
        <w:rPr>
          <w:sz w:val="20"/>
        </w:rPr>
        <w:t>de</w:t>
      </w:r>
      <w:r>
        <w:rPr>
          <w:spacing w:val="-31"/>
          <w:sz w:val="20"/>
        </w:rPr>
        <w:t> </w:t>
      </w:r>
      <w:r>
        <w:rPr>
          <w:sz w:val="20"/>
        </w:rPr>
        <w:t>energia</w:t>
      </w:r>
      <w:r>
        <w:rPr>
          <w:spacing w:val="-30"/>
          <w:sz w:val="20"/>
        </w:rPr>
        <w:t> </w:t>
      </w:r>
      <w:r>
        <w:rPr>
          <w:sz w:val="20"/>
        </w:rPr>
        <w:t>elétrica</w:t>
      </w:r>
      <w:r>
        <w:rPr>
          <w:spacing w:val="-30"/>
          <w:sz w:val="20"/>
        </w:rPr>
        <w:t> </w:t>
      </w:r>
      <w:r>
        <w:rPr>
          <w:sz w:val="20"/>
        </w:rPr>
        <w:t>(CEB</w:t>
      </w:r>
      <w:r>
        <w:rPr>
          <w:spacing w:val="-30"/>
          <w:sz w:val="20"/>
        </w:rPr>
        <w:t> </w:t>
      </w:r>
      <w:r>
        <w:rPr>
          <w:sz w:val="20"/>
        </w:rPr>
        <w:t>DIS)</w:t>
      </w:r>
      <w:r>
        <w:rPr>
          <w:spacing w:val="-30"/>
          <w:sz w:val="20"/>
        </w:rPr>
        <w:t> </w:t>
      </w:r>
      <w:r>
        <w:rPr>
          <w:sz w:val="20"/>
        </w:rPr>
        <w:t>e</w:t>
      </w:r>
      <w:r>
        <w:rPr>
          <w:spacing w:val="-31"/>
          <w:sz w:val="20"/>
        </w:rPr>
        <w:t> </w:t>
      </w:r>
      <w:r>
        <w:rPr>
          <w:sz w:val="20"/>
        </w:rPr>
        <w:t>serviços</w:t>
      </w:r>
      <w:r>
        <w:rPr>
          <w:spacing w:val="-30"/>
          <w:sz w:val="20"/>
        </w:rPr>
        <w:t> </w:t>
      </w:r>
      <w:r>
        <w:rPr>
          <w:sz w:val="20"/>
        </w:rPr>
        <w:t>de</w:t>
      </w:r>
      <w:r>
        <w:rPr>
          <w:spacing w:val="-31"/>
          <w:sz w:val="20"/>
        </w:rPr>
        <w:t> </w:t>
      </w:r>
      <w:r>
        <w:rPr>
          <w:sz w:val="20"/>
        </w:rPr>
        <w:t>iluminação</w:t>
      </w:r>
      <w:r>
        <w:rPr>
          <w:spacing w:val="-30"/>
          <w:sz w:val="20"/>
        </w:rPr>
        <w:t> </w:t>
      </w:r>
      <w:r>
        <w:rPr>
          <w:sz w:val="20"/>
        </w:rPr>
        <w:t>pública</w:t>
      </w:r>
      <w:r>
        <w:rPr>
          <w:spacing w:val="-30"/>
          <w:sz w:val="20"/>
        </w:rPr>
        <w:t> </w:t>
      </w:r>
      <w:r>
        <w:rPr>
          <w:sz w:val="20"/>
        </w:rPr>
        <w:t>(obras</w:t>
      </w:r>
      <w:r>
        <w:rPr>
          <w:spacing w:val="-30"/>
          <w:sz w:val="20"/>
        </w:rPr>
        <w:t> </w:t>
      </w:r>
      <w:r>
        <w:rPr>
          <w:sz w:val="20"/>
        </w:rPr>
        <w:t>e</w:t>
      </w:r>
      <w:r>
        <w:rPr>
          <w:spacing w:val="-31"/>
          <w:sz w:val="20"/>
        </w:rPr>
        <w:t> </w:t>
      </w:r>
      <w:r>
        <w:rPr>
          <w:sz w:val="20"/>
        </w:rPr>
        <w:t>manutenção</w:t>
      </w:r>
      <w:r>
        <w:rPr>
          <w:spacing w:val="-30"/>
          <w:sz w:val="20"/>
        </w:rPr>
        <w:t> </w:t>
      </w:r>
      <w:r>
        <w:rPr>
          <w:sz w:val="20"/>
        </w:rPr>
        <w:t>da rede)</w:t>
      </w:r>
      <w:r>
        <w:rPr>
          <w:spacing w:val="-33"/>
          <w:sz w:val="20"/>
        </w:rPr>
        <w:t> </w:t>
      </w:r>
      <w:r>
        <w:rPr>
          <w:sz w:val="20"/>
        </w:rPr>
        <w:t>da</w:t>
      </w:r>
      <w:r>
        <w:rPr>
          <w:spacing w:val="-32"/>
          <w:sz w:val="20"/>
        </w:rPr>
        <w:t> </w:t>
      </w:r>
      <w:r>
        <w:rPr>
          <w:sz w:val="20"/>
        </w:rPr>
        <w:t>Companhia</w:t>
      </w:r>
      <w:r>
        <w:rPr>
          <w:spacing w:val="-31"/>
          <w:sz w:val="20"/>
        </w:rPr>
        <w:t> </w:t>
      </w:r>
      <w:r>
        <w:rPr>
          <w:sz w:val="20"/>
        </w:rPr>
        <w:t>Energética</w:t>
      </w:r>
      <w:r>
        <w:rPr>
          <w:spacing w:val="-32"/>
          <w:sz w:val="20"/>
        </w:rPr>
        <w:t> </w:t>
      </w:r>
      <w:r>
        <w:rPr>
          <w:sz w:val="20"/>
        </w:rPr>
        <w:t>de</w:t>
      </w:r>
      <w:r>
        <w:rPr>
          <w:spacing w:val="-34"/>
          <w:sz w:val="20"/>
        </w:rPr>
        <w:t> </w:t>
      </w:r>
      <w:r>
        <w:rPr>
          <w:sz w:val="20"/>
        </w:rPr>
        <w:t>Brasília</w:t>
      </w:r>
      <w:r>
        <w:rPr>
          <w:spacing w:val="-29"/>
          <w:sz w:val="20"/>
        </w:rPr>
        <w:t> </w:t>
      </w:r>
      <w:r>
        <w:rPr>
          <w:w w:val="105"/>
          <w:sz w:val="20"/>
        </w:rPr>
        <w:t>–</w:t>
      </w:r>
      <w:r>
        <w:rPr>
          <w:spacing w:val="-35"/>
          <w:w w:val="105"/>
          <w:sz w:val="20"/>
        </w:rPr>
        <w:t> </w:t>
      </w:r>
      <w:r>
        <w:rPr>
          <w:sz w:val="20"/>
        </w:rPr>
        <w:t>CEB</w:t>
      </w:r>
      <w:r>
        <w:rPr>
          <w:spacing w:val="-32"/>
          <w:sz w:val="20"/>
        </w:rPr>
        <w:t> </w:t>
      </w:r>
      <w:r>
        <w:rPr>
          <w:sz w:val="20"/>
        </w:rPr>
        <w:t>prestados</w:t>
      </w:r>
      <w:r>
        <w:rPr>
          <w:spacing w:val="-32"/>
          <w:sz w:val="20"/>
        </w:rPr>
        <w:t> </w:t>
      </w:r>
      <w:r>
        <w:rPr>
          <w:sz w:val="20"/>
        </w:rPr>
        <w:t>ao</w:t>
      </w:r>
      <w:r>
        <w:rPr>
          <w:spacing w:val="-32"/>
          <w:sz w:val="20"/>
        </w:rPr>
        <w:t> </w:t>
      </w:r>
      <w:r>
        <w:rPr>
          <w:sz w:val="20"/>
        </w:rPr>
        <w:t>Governo</w:t>
      </w:r>
      <w:r>
        <w:rPr>
          <w:spacing w:val="-33"/>
          <w:sz w:val="20"/>
        </w:rPr>
        <w:t> </w:t>
      </w:r>
      <w:r>
        <w:rPr>
          <w:sz w:val="20"/>
        </w:rPr>
        <w:t>do</w:t>
      </w:r>
      <w:r>
        <w:rPr>
          <w:spacing w:val="-33"/>
          <w:sz w:val="20"/>
        </w:rPr>
        <w:t> </w:t>
      </w:r>
      <w:r>
        <w:rPr>
          <w:sz w:val="20"/>
        </w:rPr>
        <w:t>Distrito</w:t>
      </w:r>
      <w:r>
        <w:rPr>
          <w:spacing w:val="-33"/>
          <w:sz w:val="20"/>
        </w:rPr>
        <w:t> </w:t>
      </w:r>
      <w:r>
        <w:rPr>
          <w:sz w:val="20"/>
        </w:rPr>
        <w:t>Federal</w:t>
      </w:r>
      <w:r>
        <w:rPr>
          <w:spacing w:val="-28"/>
          <w:sz w:val="20"/>
        </w:rPr>
        <w:t> </w:t>
      </w:r>
      <w:r>
        <w:rPr>
          <w:w w:val="105"/>
          <w:sz w:val="20"/>
        </w:rPr>
        <w:t>–</w:t>
      </w:r>
      <w:r>
        <w:rPr>
          <w:spacing w:val="-35"/>
          <w:w w:val="105"/>
          <w:sz w:val="20"/>
        </w:rPr>
        <w:t> </w:t>
      </w:r>
      <w:r>
        <w:rPr>
          <w:sz w:val="20"/>
        </w:rPr>
        <w:t>GDF.</w:t>
      </w:r>
      <w:r>
        <w:rPr>
          <w:spacing w:val="-33"/>
          <w:sz w:val="20"/>
        </w:rPr>
        <w:t> </w:t>
      </w:r>
      <w:r>
        <w:rPr>
          <w:sz w:val="20"/>
        </w:rPr>
        <w:t>Pelo</w:t>
      </w:r>
      <w:r>
        <w:rPr>
          <w:spacing w:val="-32"/>
          <w:sz w:val="20"/>
        </w:rPr>
        <w:t> </w:t>
      </w:r>
      <w:r>
        <w:rPr>
          <w:sz w:val="20"/>
        </w:rPr>
        <w:t>fornecimento de</w:t>
      </w:r>
      <w:r>
        <w:rPr>
          <w:spacing w:val="-29"/>
          <w:sz w:val="20"/>
        </w:rPr>
        <w:t> </w:t>
      </w:r>
      <w:r>
        <w:rPr>
          <w:sz w:val="20"/>
        </w:rPr>
        <w:t>energia</w:t>
      </w:r>
      <w:r>
        <w:rPr>
          <w:spacing w:val="-28"/>
          <w:sz w:val="20"/>
        </w:rPr>
        <w:t> </w:t>
      </w:r>
      <w:r>
        <w:rPr>
          <w:sz w:val="20"/>
        </w:rPr>
        <w:t>elétrica</w:t>
      </w:r>
      <w:r>
        <w:rPr>
          <w:spacing w:val="-29"/>
          <w:sz w:val="20"/>
        </w:rPr>
        <w:t> </w:t>
      </w:r>
      <w:r>
        <w:rPr>
          <w:sz w:val="20"/>
        </w:rPr>
        <w:t>é</w:t>
      </w:r>
      <w:r>
        <w:rPr>
          <w:spacing w:val="-28"/>
          <w:sz w:val="20"/>
        </w:rPr>
        <w:t> </w:t>
      </w:r>
      <w:r>
        <w:rPr>
          <w:sz w:val="20"/>
        </w:rPr>
        <w:t>cobrada</w:t>
      </w:r>
      <w:r>
        <w:rPr>
          <w:spacing w:val="-29"/>
          <w:sz w:val="20"/>
        </w:rPr>
        <w:t> </w:t>
      </w:r>
      <w:r>
        <w:rPr>
          <w:sz w:val="20"/>
        </w:rPr>
        <w:t>a</w:t>
      </w:r>
      <w:r>
        <w:rPr>
          <w:spacing w:val="-29"/>
          <w:sz w:val="20"/>
        </w:rPr>
        <w:t> </w:t>
      </w:r>
      <w:r>
        <w:rPr>
          <w:sz w:val="20"/>
        </w:rPr>
        <w:t>tarifa</w:t>
      </w:r>
      <w:r>
        <w:rPr>
          <w:spacing w:val="-29"/>
          <w:sz w:val="20"/>
        </w:rPr>
        <w:t> </w:t>
      </w:r>
      <w:r>
        <w:rPr>
          <w:sz w:val="20"/>
        </w:rPr>
        <w:t>homologada</w:t>
      </w:r>
      <w:r>
        <w:rPr>
          <w:spacing w:val="-29"/>
          <w:sz w:val="20"/>
        </w:rPr>
        <w:t> </w:t>
      </w:r>
      <w:r>
        <w:rPr>
          <w:sz w:val="20"/>
        </w:rPr>
        <w:t>pelo</w:t>
      </w:r>
      <w:r>
        <w:rPr>
          <w:spacing w:val="-28"/>
          <w:sz w:val="20"/>
        </w:rPr>
        <w:t> </w:t>
      </w:r>
      <w:r>
        <w:rPr>
          <w:sz w:val="20"/>
        </w:rPr>
        <w:t>Órgão</w:t>
      </w:r>
      <w:r>
        <w:rPr>
          <w:spacing w:val="-29"/>
          <w:sz w:val="20"/>
        </w:rPr>
        <w:t> </w:t>
      </w:r>
      <w:r>
        <w:rPr>
          <w:sz w:val="20"/>
        </w:rPr>
        <w:t>Regulador</w:t>
      </w:r>
      <w:r>
        <w:rPr>
          <w:spacing w:val="-29"/>
          <w:sz w:val="20"/>
        </w:rPr>
        <w:t> </w:t>
      </w:r>
      <w:r>
        <w:rPr>
          <w:sz w:val="20"/>
        </w:rPr>
        <w:t>para</w:t>
      </w:r>
      <w:r>
        <w:rPr>
          <w:spacing w:val="-29"/>
          <w:sz w:val="20"/>
        </w:rPr>
        <w:t> </w:t>
      </w:r>
      <w:r>
        <w:rPr>
          <w:sz w:val="20"/>
        </w:rPr>
        <w:t>a</w:t>
      </w:r>
      <w:r>
        <w:rPr>
          <w:spacing w:val="-29"/>
          <w:sz w:val="20"/>
        </w:rPr>
        <w:t> </w:t>
      </w:r>
      <w:r>
        <w:rPr>
          <w:sz w:val="20"/>
        </w:rPr>
        <w:t>classe</w:t>
      </w:r>
      <w:r>
        <w:rPr>
          <w:spacing w:val="-30"/>
          <w:sz w:val="20"/>
        </w:rPr>
        <w:t> </w:t>
      </w:r>
      <w:r>
        <w:rPr>
          <w:sz w:val="20"/>
        </w:rPr>
        <w:t>Poder</w:t>
      </w:r>
      <w:r>
        <w:rPr>
          <w:spacing w:val="-30"/>
          <w:sz w:val="20"/>
        </w:rPr>
        <w:t> </w:t>
      </w:r>
      <w:r>
        <w:rPr>
          <w:sz w:val="20"/>
        </w:rPr>
        <w:t>Público.</w:t>
      </w:r>
      <w:r>
        <w:rPr>
          <w:spacing w:val="-28"/>
          <w:sz w:val="20"/>
        </w:rPr>
        <w:t> </w:t>
      </w:r>
      <w:r>
        <w:rPr>
          <w:sz w:val="20"/>
        </w:rPr>
        <w:t>Pelos</w:t>
      </w:r>
      <w:r>
        <w:rPr>
          <w:spacing w:val="-29"/>
          <w:sz w:val="20"/>
        </w:rPr>
        <w:t> </w:t>
      </w:r>
      <w:r>
        <w:rPr>
          <w:sz w:val="20"/>
        </w:rPr>
        <w:t>serviços de</w:t>
      </w:r>
      <w:r>
        <w:rPr>
          <w:spacing w:val="-42"/>
          <w:sz w:val="20"/>
        </w:rPr>
        <w:t> </w:t>
      </w:r>
      <w:r>
        <w:rPr>
          <w:sz w:val="20"/>
        </w:rPr>
        <w:t>obras</w:t>
      </w:r>
      <w:r>
        <w:rPr>
          <w:spacing w:val="-40"/>
          <w:sz w:val="20"/>
        </w:rPr>
        <w:t> </w:t>
      </w:r>
      <w:r>
        <w:rPr>
          <w:sz w:val="20"/>
        </w:rPr>
        <w:t>e</w:t>
      </w:r>
      <w:r>
        <w:rPr>
          <w:spacing w:val="-42"/>
          <w:sz w:val="20"/>
        </w:rPr>
        <w:t> </w:t>
      </w:r>
      <w:r>
        <w:rPr>
          <w:sz w:val="20"/>
        </w:rPr>
        <w:t>manutenção</w:t>
      </w:r>
      <w:r>
        <w:rPr>
          <w:spacing w:val="-42"/>
          <w:sz w:val="20"/>
        </w:rPr>
        <w:t> </w:t>
      </w:r>
      <w:r>
        <w:rPr>
          <w:sz w:val="20"/>
        </w:rPr>
        <w:t>da</w:t>
      </w:r>
      <w:r>
        <w:rPr>
          <w:spacing w:val="-40"/>
          <w:sz w:val="20"/>
        </w:rPr>
        <w:t> </w:t>
      </w:r>
      <w:r>
        <w:rPr>
          <w:sz w:val="20"/>
        </w:rPr>
        <w:t>rede</w:t>
      </w:r>
      <w:r>
        <w:rPr>
          <w:spacing w:val="-42"/>
          <w:sz w:val="20"/>
        </w:rPr>
        <w:t> </w:t>
      </w:r>
      <w:r>
        <w:rPr>
          <w:sz w:val="20"/>
        </w:rPr>
        <w:t>de</w:t>
      </w:r>
      <w:r>
        <w:rPr>
          <w:spacing w:val="-41"/>
          <w:sz w:val="20"/>
        </w:rPr>
        <w:t> </w:t>
      </w:r>
      <w:r>
        <w:rPr>
          <w:sz w:val="20"/>
        </w:rPr>
        <w:t>iluminação</w:t>
      </w:r>
      <w:r>
        <w:rPr>
          <w:spacing w:val="-41"/>
          <w:sz w:val="20"/>
        </w:rPr>
        <w:t> </w:t>
      </w:r>
      <w:r>
        <w:rPr>
          <w:sz w:val="20"/>
        </w:rPr>
        <w:t>pública,</w:t>
      </w:r>
      <w:r>
        <w:rPr>
          <w:spacing w:val="-41"/>
          <w:sz w:val="20"/>
        </w:rPr>
        <w:t> </w:t>
      </w:r>
      <w:r>
        <w:rPr>
          <w:sz w:val="20"/>
        </w:rPr>
        <w:t>a</w:t>
      </w:r>
      <w:r>
        <w:rPr>
          <w:spacing w:val="-42"/>
          <w:sz w:val="20"/>
        </w:rPr>
        <w:t> </w:t>
      </w:r>
      <w:r>
        <w:rPr>
          <w:sz w:val="20"/>
        </w:rPr>
        <w:t>cobrança</w:t>
      </w:r>
      <w:r>
        <w:rPr>
          <w:spacing w:val="-41"/>
          <w:sz w:val="20"/>
        </w:rPr>
        <w:t> </w:t>
      </w:r>
      <w:r>
        <w:rPr>
          <w:sz w:val="20"/>
        </w:rPr>
        <w:t>é</w:t>
      </w:r>
      <w:r>
        <w:rPr>
          <w:spacing w:val="-42"/>
          <w:sz w:val="20"/>
        </w:rPr>
        <w:t> </w:t>
      </w:r>
      <w:r>
        <w:rPr>
          <w:sz w:val="20"/>
        </w:rPr>
        <w:t>feita</w:t>
      </w:r>
      <w:r>
        <w:rPr>
          <w:spacing w:val="-40"/>
          <w:sz w:val="20"/>
        </w:rPr>
        <w:t> </w:t>
      </w:r>
      <w:r>
        <w:rPr>
          <w:sz w:val="20"/>
        </w:rPr>
        <w:t>com</w:t>
      </w:r>
      <w:r>
        <w:rPr>
          <w:spacing w:val="-40"/>
          <w:sz w:val="20"/>
        </w:rPr>
        <w:t> </w:t>
      </w:r>
      <w:r>
        <w:rPr>
          <w:sz w:val="20"/>
        </w:rPr>
        <w:t>base</w:t>
      </w:r>
      <w:r>
        <w:rPr>
          <w:spacing w:val="-42"/>
          <w:sz w:val="20"/>
        </w:rPr>
        <w:t> </w:t>
      </w:r>
      <w:r>
        <w:rPr>
          <w:sz w:val="20"/>
        </w:rPr>
        <w:t>em</w:t>
      </w:r>
      <w:r>
        <w:rPr>
          <w:spacing w:val="-40"/>
          <w:sz w:val="20"/>
        </w:rPr>
        <w:t> </w:t>
      </w:r>
      <w:r>
        <w:rPr>
          <w:sz w:val="20"/>
        </w:rPr>
        <w:t>contratos</w:t>
      </w:r>
      <w:r>
        <w:rPr>
          <w:spacing w:val="-41"/>
          <w:sz w:val="20"/>
        </w:rPr>
        <w:t> </w:t>
      </w:r>
      <w:r>
        <w:rPr>
          <w:sz w:val="20"/>
        </w:rPr>
        <w:t>firmados</w:t>
      </w:r>
      <w:r>
        <w:rPr>
          <w:spacing w:val="-40"/>
          <w:sz w:val="20"/>
        </w:rPr>
        <w:t> </w:t>
      </w:r>
      <w:r>
        <w:rPr>
          <w:sz w:val="20"/>
        </w:rPr>
        <w:t>entre</w:t>
      </w:r>
      <w:r>
        <w:rPr>
          <w:spacing w:val="-41"/>
          <w:sz w:val="20"/>
        </w:rPr>
        <w:t> </w:t>
      </w:r>
      <w:r>
        <w:rPr>
          <w:sz w:val="20"/>
        </w:rPr>
        <w:t>a</w:t>
      </w:r>
      <w:r>
        <w:rPr>
          <w:spacing w:val="-41"/>
          <w:sz w:val="20"/>
        </w:rPr>
        <w:t> </w:t>
      </w:r>
      <w:r>
        <w:rPr>
          <w:sz w:val="20"/>
        </w:rPr>
        <w:t>CEB e</w:t>
      </w:r>
      <w:r>
        <w:rPr>
          <w:spacing w:val="-20"/>
          <w:sz w:val="20"/>
        </w:rPr>
        <w:t> </w:t>
      </w:r>
      <w:r>
        <w:rPr>
          <w:sz w:val="20"/>
        </w:rPr>
        <w:t>o</w:t>
      </w:r>
      <w:r>
        <w:rPr>
          <w:spacing w:val="-15"/>
          <w:sz w:val="20"/>
        </w:rPr>
        <w:t> </w:t>
      </w:r>
      <w:r>
        <w:rPr>
          <w:sz w:val="20"/>
        </w:rPr>
        <w:t>Governo</w:t>
      </w:r>
      <w:r>
        <w:rPr>
          <w:spacing w:val="-19"/>
          <w:sz w:val="20"/>
        </w:rPr>
        <w:t> </w:t>
      </w:r>
      <w:r>
        <w:rPr>
          <w:sz w:val="20"/>
        </w:rPr>
        <w:t>do</w:t>
      </w:r>
      <w:r>
        <w:rPr>
          <w:spacing w:val="-16"/>
          <w:sz w:val="20"/>
        </w:rPr>
        <w:t> </w:t>
      </w:r>
      <w:r>
        <w:rPr>
          <w:sz w:val="20"/>
        </w:rPr>
        <w:t>Distrito</w:t>
      </w:r>
      <w:r>
        <w:rPr>
          <w:spacing w:val="-19"/>
          <w:sz w:val="20"/>
        </w:rPr>
        <w:t> </w:t>
      </w:r>
      <w:r>
        <w:rPr>
          <w:sz w:val="20"/>
        </w:rPr>
        <w:t>Federal</w:t>
      </w:r>
      <w:r>
        <w:rPr>
          <w:spacing w:val="-13"/>
          <w:sz w:val="20"/>
        </w:rPr>
        <w:t> </w:t>
      </w:r>
      <w:r>
        <w:rPr>
          <w:w w:val="105"/>
          <w:sz w:val="20"/>
        </w:rPr>
        <w:t>–</w:t>
      </w:r>
      <w:r>
        <w:rPr>
          <w:spacing w:val="-20"/>
          <w:w w:val="105"/>
          <w:sz w:val="20"/>
        </w:rPr>
        <w:t> </w:t>
      </w:r>
      <w:r>
        <w:rPr>
          <w:sz w:val="20"/>
        </w:rPr>
        <w:t>GDF;</w:t>
      </w:r>
    </w:p>
    <w:p>
      <w:pPr>
        <w:pStyle w:val="BodyText"/>
        <w:spacing w:before="6"/>
      </w:pPr>
    </w:p>
    <w:p>
      <w:pPr>
        <w:pStyle w:val="ListParagraph"/>
        <w:numPr>
          <w:ilvl w:val="0"/>
          <w:numId w:val="50"/>
        </w:numPr>
        <w:tabs>
          <w:tab w:pos="423" w:val="left" w:leader="none"/>
        </w:tabs>
        <w:spacing w:line="242" w:lineRule="auto" w:before="1" w:after="0"/>
        <w:ind w:left="172" w:right="410" w:firstLine="0"/>
        <w:jc w:val="both"/>
        <w:rPr>
          <w:sz w:val="20"/>
        </w:rPr>
      </w:pPr>
      <w:r>
        <w:rPr>
          <w:sz w:val="20"/>
        </w:rPr>
        <w:t>Representa</w:t>
      </w:r>
      <w:r>
        <w:rPr>
          <w:spacing w:val="-4"/>
          <w:sz w:val="20"/>
        </w:rPr>
        <w:t> </w:t>
      </w:r>
      <w:r>
        <w:rPr>
          <w:sz w:val="20"/>
        </w:rPr>
        <w:t>valores</w:t>
      </w:r>
      <w:r>
        <w:rPr>
          <w:spacing w:val="-4"/>
          <w:sz w:val="20"/>
        </w:rPr>
        <w:t> </w:t>
      </w:r>
      <w:r>
        <w:rPr>
          <w:sz w:val="20"/>
        </w:rPr>
        <w:t>a</w:t>
      </w:r>
      <w:r>
        <w:rPr>
          <w:spacing w:val="-3"/>
          <w:sz w:val="20"/>
        </w:rPr>
        <w:t> </w:t>
      </w:r>
      <w:r>
        <w:rPr>
          <w:sz w:val="20"/>
        </w:rPr>
        <w:t>receber</w:t>
      </w:r>
      <w:r>
        <w:rPr>
          <w:spacing w:val="-3"/>
          <w:sz w:val="20"/>
        </w:rPr>
        <w:t> </w:t>
      </w:r>
      <w:r>
        <w:rPr>
          <w:sz w:val="20"/>
        </w:rPr>
        <w:t>de</w:t>
      </w:r>
      <w:r>
        <w:rPr>
          <w:spacing w:val="-2"/>
          <w:sz w:val="20"/>
        </w:rPr>
        <w:t> </w:t>
      </w:r>
      <w:r>
        <w:rPr>
          <w:sz w:val="20"/>
        </w:rPr>
        <w:t>dividendos</w:t>
      </w:r>
      <w:r>
        <w:rPr>
          <w:spacing w:val="-4"/>
          <w:sz w:val="20"/>
        </w:rPr>
        <w:t> </w:t>
      </w:r>
      <w:r>
        <w:rPr>
          <w:sz w:val="20"/>
        </w:rPr>
        <w:t>declarados</w:t>
      </w:r>
      <w:r>
        <w:rPr>
          <w:spacing w:val="-4"/>
          <w:sz w:val="20"/>
        </w:rPr>
        <w:t> </w:t>
      </w:r>
      <w:r>
        <w:rPr>
          <w:sz w:val="20"/>
        </w:rPr>
        <w:t>e</w:t>
      </w:r>
      <w:r>
        <w:rPr>
          <w:spacing w:val="-5"/>
          <w:sz w:val="20"/>
        </w:rPr>
        <w:t> </w:t>
      </w:r>
      <w:r>
        <w:rPr>
          <w:sz w:val="20"/>
        </w:rPr>
        <w:t>juros</w:t>
      </w:r>
      <w:r>
        <w:rPr>
          <w:spacing w:val="-4"/>
          <w:sz w:val="20"/>
        </w:rPr>
        <w:t> </w:t>
      </w:r>
      <w:r>
        <w:rPr>
          <w:sz w:val="20"/>
        </w:rPr>
        <w:t>sobre</w:t>
      </w:r>
      <w:r>
        <w:rPr>
          <w:spacing w:val="-5"/>
          <w:sz w:val="20"/>
        </w:rPr>
        <w:t> </w:t>
      </w:r>
      <w:r>
        <w:rPr>
          <w:sz w:val="20"/>
        </w:rPr>
        <w:t>o</w:t>
      </w:r>
      <w:r>
        <w:rPr>
          <w:spacing w:val="-4"/>
          <w:sz w:val="20"/>
        </w:rPr>
        <w:t> </w:t>
      </w:r>
      <w:r>
        <w:rPr>
          <w:sz w:val="20"/>
        </w:rPr>
        <w:t>capital</w:t>
      </w:r>
      <w:r>
        <w:rPr>
          <w:spacing w:val="-2"/>
          <w:sz w:val="20"/>
        </w:rPr>
        <w:t> </w:t>
      </w:r>
      <w:r>
        <w:rPr>
          <w:sz w:val="20"/>
        </w:rPr>
        <w:t>próprio</w:t>
      </w:r>
      <w:r>
        <w:rPr>
          <w:spacing w:val="-4"/>
          <w:sz w:val="20"/>
        </w:rPr>
        <w:t> </w:t>
      </w:r>
      <w:r>
        <w:rPr>
          <w:sz w:val="20"/>
        </w:rPr>
        <w:t>sobre</w:t>
      </w:r>
      <w:r>
        <w:rPr>
          <w:spacing w:val="-5"/>
          <w:sz w:val="20"/>
        </w:rPr>
        <w:t> </w:t>
      </w:r>
      <w:r>
        <w:rPr>
          <w:sz w:val="20"/>
        </w:rPr>
        <w:t>o</w:t>
      </w:r>
      <w:r>
        <w:rPr>
          <w:spacing w:val="-5"/>
          <w:sz w:val="20"/>
        </w:rPr>
        <w:t> </w:t>
      </w:r>
      <w:r>
        <w:rPr>
          <w:sz w:val="20"/>
        </w:rPr>
        <w:t>resultado</w:t>
      </w:r>
      <w:r>
        <w:rPr>
          <w:spacing w:val="-2"/>
          <w:sz w:val="20"/>
        </w:rPr>
        <w:t> </w:t>
      </w:r>
      <w:r>
        <w:rPr>
          <w:sz w:val="20"/>
        </w:rPr>
        <w:t>das coligadas;</w:t>
      </w:r>
    </w:p>
    <w:p>
      <w:pPr>
        <w:pStyle w:val="BodyText"/>
        <w:spacing w:before="4"/>
      </w:pPr>
    </w:p>
    <w:p>
      <w:pPr>
        <w:pStyle w:val="ListParagraph"/>
        <w:numPr>
          <w:ilvl w:val="0"/>
          <w:numId w:val="50"/>
        </w:numPr>
        <w:tabs>
          <w:tab w:pos="457" w:val="left" w:leader="none"/>
        </w:tabs>
        <w:spacing w:line="242" w:lineRule="auto" w:before="0" w:after="0"/>
        <w:ind w:left="172" w:right="419" w:firstLine="0"/>
        <w:jc w:val="both"/>
        <w:rPr>
          <w:sz w:val="20"/>
        </w:rPr>
      </w:pPr>
      <w:r>
        <w:rPr>
          <w:sz w:val="20"/>
        </w:rPr>
        <w:t>A CEB DIS tem contratos bilaterais de suprimento de energia com as empresas Corumbá Concessões S.A. e Energética</w:t>
      </w:r>
      <w:r>
        <w:rPr>
          <w:spacing w:val="-18"/>
          <w:sz w:val="20"/>
        </w:rPr>
        <w:t> </w:t>
      </w:r>
      <w:r>
        <w:rPr>
          <w:sz w:val="20"/>
        </w:rPr>
        <w:t>Corumbá</w:t>
      </w:r>
      <w:r>
        <w:rPr>
          <w:spacing w:val="-18"/>
          <w:sz w:val="20"/>
        </w:rPr>
        <w:t> </w:t>
      </w:r>
      <w:r>
        <w:rPr>
          <w:sz w:val="20"/>
        </w:rPr>
        <w:t>III</w:t>
      </w:r>
      <w:r>
        <w:rPr>
          <w:spacing w:val="-16"/>
          <w:sz w:val="20"/>
        </w:rPr>
        <w:t> </w:t>
      </w:r>
      <w:r>
        <w:rPr>
          <w:sz w:val="20"/>
        </w:rPr>
        <w:t>S.A.;</w:t>
      </w:r>
    </w:p>
    <w:p>
      <w:pPr>
        <w:pStyle w:val="BodyText"/>
        <w:spacing w:before="7"/>
      </w:pPr>
    </w:p>
    <w:p>
      <w:pPr>
        <w:pStyle w:val="ListParagraph"/>
        <w:numPr>
          <w:ilvl w:val="0"/>
          <w:numId w:val="50"/>
        </w:numPr>
        <w:tabs>
          <w:tab w:pos="407" w:val="left" w:leader="none"/>
        </w:tabs>
        <w:spacing w:line="242" w:lineRule="auto" w:before="0" w:after="0"/>
        <w:ind w:left="172" w:right="413" w:firstLine="0"/>
        <w:jc w:val="both"/>
        <w:rPr>
          <w:sz w:val="20"/>
        </w:rPr>
      </w:pPr>
      <w:r>
        <w:rPr>
          <w:sz w:val="20"/>
        </w:rPr>
        <w:t>A</w:t>
      </w:r>
      <w:r>
        <w:rPr>
          <w:spacing w:val="-31"/>
          <w:sz w:val="20"/>
        </w:rPr>
        <w:t> </w:t>
      </w:r>
      <w:r>
        <w:rPr>
          <w:sz w:val="20"/>
        </w:rPr>
        <w:t>Contribuição</w:t>
      </w:r>
      <w:r>
        <w:rPr>
          <w:spacing w:val="-30"/>
          <w:sz w:val="20"/>
        </w:rPr>
        <w:t> </w:t>
      </w:r>
      <w:r>
        <w:rPr>
          <w:sz w:val="20"/>
        </w:rPr>
        <w:t>de</w:t>
      </w:r>
      <w:r>
        <w:rPr>
          <w:spacing w:val="-31"/>
          <w:sz w:val="20"/>
        </w:rPr>
        <w:t> </w:t>
      </w:r>
      <w:r>
        <w:rPr>
          <w:sz w:val="20"/>
        </w:rPr>
        <w:t>Iluminação</w:t>
      </w:r>
      <w:r>
        <w:rPr>
          <w:spacing w:val="-30"/>
          <w:sz w:val="20"/>
        </w:rPr>
        <w:t> </w:t>
      </w:r>
      <w:r>
        <w:rPr>
          <w:sz w:val="20"/>
        </w:rPr>
        <w:t>Pública</w:t>
      </w:r>
      <w:r>
        <w:rPr>
          <w:spacing w:val="-29"/>
          <w:sz w:val="20"/>
        </w:rPr>
        <w:t> </w:t>
      </w:r>
      <w:r>
        <w:rPr>
          <w:w w:val="105"/>
          <w:sz w:val="20"/>
        </w:rPr>
        <w:t>–</w:t>
      </w:r>
      <w:r>
        <w:rPr>
          <w:spacing w:val="-33"/>
          <w:w w:val="105"/>
          <w:sz w:val="20"/>
        </w:rPr>
        <w:t> </w:t>
      </w:r>
      <w:r>
        <w:rPr>
          <w:sz w:val="20"/>
        </w:rPr>
        <w:t>CIP</w:t>
      </w:r>
      <w:r>
        <w:rPr>
          <w:spacing w:val="-31"/>
          <w:sz w:val="20"/>
        </w:rPr>
        <w:t> </w:t>
      </w:r>
      <w:r>
        <w:rPr>
          <w:sz w:val="20"/>
        </w:rPr>
        <w:t>foi</w:t>
      </w:r>
      <w:r>
        <w:rPr>
          <w:spacing w:val="-29"/>
          <w:sz w:val="20"/>
        </w:rPr>
        <w:t> </w:t>
      </w:r>
      <w:r>
        <w:rPr>
          <w:sz w:val="20"/>
        </w:rPr>
        <w:t>instituída</w:t>
      </w:r>
      <w:r>
        <w:rPr>
          <w:spacing w:val="-30"/>
          <w:sz w:val="20"/>
        </w:rPr>
        <w:t> </w:t>
      </w:r>
      <w:r>
        <w:rPr>
          <w:sz w:val="20"/>
        </w:rPr>
        <w:t>no</w:t>
      </w:r>
      <w:r>
        <w:rPr>
          <w:spacing w:val="-29"/>
          <w:sz w:val="20"/>
        </w:rPr>
        <w:t> </w:t>
      </w:r>
      <w:r>
        <w:rPr>
          <w:sz w:val="20"/>
        </w:rPr>
        <w:t>Distrito</w:t>
      </w:r>
      <w:r>
        <w:rPr>
          <w:spacing w:val="-31"/>
          <w:sz w:val="20"/>
        </w:rPr>
        <w:t> </w:t>
      </w:r>
      <w:r>
        <w:rPr>
          <w:sz w:val="20"/>
        </w:rPr>
        <w:t>Federal</w:t>
      </w:r>
      <w:r>
        <w:rPr>
          <w:spacing w:val="-30"/>
          <w:sz w:val="20"/>
        </w:rPr>
        <w:t> </w:t>
      </w:r>
      <w:r>
        <w:rPr>
          <w:sz w:val="20"/>
        </w:rPr>
        <w:t>pela</w:t>
      </w:r>
      <w:r>
        <w:rPr>
          <w:spacing w:val="-29"/>
          <w:sz w:val="20"/>
        </w:rPr>
        <w:t> </w:t>
      </w:r>
      <w:r>
        <w:rPr>
          <w:sz w:val="20"/>
        </w:rPr>
        <w:t>Lei</w:t>
      </w:r>
      <w:r>
        <w:rPr>
          <w:spacing w:val="-30"/>
          <w:sz w:val="20"/>
        </w:rPr>
        <w:t> </w:t>
      </w:r>
      <w:r>
        <w:rPr>
          <w:sz w:val="20"/>
        </w:rPr>
        <w:t>Complementar</w:t>
      </w:r>
      <w:r>
        <w:rPr>
          <w:spacing w:val="-30"/>
          <w:sz w:val="20"/>
        </w:rPr>
        <w:t> </w:t>
      </w:r>
      <w:r>
        <w:rPr>
          <w:sz w:val="20"/>
        </w:rPr>
        <w:t>n°</w:t>
      </w:r>
      <w:r>
        <w:rPr>
          <w:spacing w:val="-31"/>
          <w:sz w:val="20"/>
        </w:rPr>
        <w:t> </w:t>
      </w:r>
      <w:r>
        <w:rPr>
          <w:sz w:val="20"/>
        </w:rPr>
        <w:t>673,</w:t>
      </w:r>
      <w:r>
        <w:rPr>
          <w:spacing w:val="-30"/>
          <w:sz w:val="20"/>
        </w:rPr>
        <w:t> </w:t>
      </w:r>
      <w:r>
        <w:rPr>
          <w:sz w:val="20"/>
        </w:rPr>
        <w:t>de</w:t>
      </w:r>
      <w:r>
        <w:rPr>
          <w:spacing w:val="-31"/>
          <w:sz w:val="20"/>
        </w:rPr>
        <w:t> </w:t>
      </w:r>
      <w:r>
        <w:rPr>
          <w:sz w:val="20"/>
        </w:rPr>
        <w:t>27 de</w:t>
      </w:r>
      <w:r>
        <w:rPr>
          <w:spacing w:val="-24"/>
          <w:sz w:val="20"/>
        </w:rPr>
        <w:t> </w:t>
      </w:r>
      <w:r>
        <w:rPr>
          <w:sz w:val="20"/>
        </w:rPr>
        <w:t>dezembro</w:t>
      </w:r>
      <w:r>
        <w:rPr>
          <w:spacing w:val="-23"/>
          <w:sz w:val="20"/>
        </w:rPr>
        <w:t> </w:t>
      </w:r>
      <w:r>
        <w:rPr>
          <w:sz w:val="20"/>
        </w:rPr>
        <w:t>de</w:t>
      </w:r>
      <w:r>
        <w:rPr>
          <w:spacing w:val="-24"/>
          <w:sz w:val="20"/>
        </w:rPr>
        <w:t> </w:t>
      </w:r>
      <w:r>
        <w:rPr>
          <w:sz w:val="20"/>
        </w:rPr>
        <w:t>2002,</w:t>
      </w:r>
      <w:r>
        <w:rPr>
          <w:spacing w:val="-21"/>
          <w:sz w:val="20"/>
        </w:rPr>
        <w:t> </w:t>
      </w:r>
      <w:r>
        <w:rPr>
          <w:sz w:val="20"/>
        </w:rPr>
        <w:t>para</w:t>
      </w:r>
      <w:r>
        <w:rPr>
          <w:spacing w:val="-22"/>
          <w:sz w:val="20"/>
        </w:rPr>
        <w:t> </w:t>
      </w:r>
      <w:r>
        <w:rPr>
          <w:sz w:val="20"/>
        </w:rPr>
        <w:t>o</w:t>
      </w:r>
      <w:r>
        <w:rPr>
          <w:spacing w:val="-23"/>
          <w:sz w:val="20"/>
        </w:rPr>
        <w:t> </w:t>
      </w:r>
      <w:r>
        <w:rPr>
          <w:sz w:val="20"/>
        </w:rPr>
        <w:t>custeio</w:t>
      </w:r>
      <w:r>
        <w:rPr>
          <w:spacing w:val="-23"/>
          <w:sz w:val="20"/>
        </w:rPr>
        <w:t> </w:t>
      </w:r>
      <w:r>
        <w:rPr>
          <w:sz w:val="20"/>
        </w:rPr>
        <w:t>dos</w:t>
      </w:r>
      <w:r>
        <w:rPr>
          <w:spacing w:val="-23"/>
          <w:sz w:val="20"/>
        </w:rPr>
        <w:t> </w:t>
      </w:r>
      <w:r>
        <w:rPr>
          <w:sz w:val="20"/>
        </w:rPr>
        <w:t>serviços</w:t>
      </w:r>
      <w:r>
        <w:rPr>
          <w:spacing w:val="-23"/>
          <w:sz w:val="20"/>
        </w:rPr>
        <w:t> </w:t>
      </w:r>
      <w:r>
        <w:rPr>
          <w:sz w:val="20"/>
        </w:rPr>
        <w:t>de</w:t>
      </w:r>
      <w:r>
        <w:rPr>
          <w:spacing w:val="-23"/>
          <w:sz w:val="20"/>
        </w:rPr>
        <w:t> </w:t>
      </w:r>
      <w:r>
        <w:rPr>
          <w:sz w:val="20"/>
        </w:rPr>
        <w:t>iluminação</w:t>
      </w:r>
      <w:r>
        <w:rPr>
          <w:spacing w:val="-24"/>
          <w:sz w:val="20"/>
        </w:rPr>
        <w:t> </w:t>
      </w:r>
      <w:r>
        <w:rPr>
          <w:sz w:val="20"/>
        </w:rPr>
        <w:t>pública</w:t>
      </w:r>
      <w:r>
        <w:rPr>
          <w:spacing w:val="-22"/>
          <w:sz w:val="20"/>
        </w:rPr>
        <w:t> </w:t>
      </w:r>
      <w:r>
        <w:rPr>
          <w:sz w:val="20"/>
        </w:rPr>
        <w:t>prestados</w:t>
      </w:r>
      <w:r>
        <w:rPr>
          <w:spacing w:val="-23"/>
          <w:sz w:val="20"/>
        </w:rPr>
        <w:t> </w:t>
      </w:r>
      <w:r>
        <w:rPr>
          <w:sz w:val="20"/>
        </w:rPr>
        <w:t>aos</w:t>
      </w:r>
      <w:r>
        <w:rPr>
          <w:spacing w:val="-22"/>
          <w:sz w:val="20"/>
        </w:rPr>
        <w:t> </w:t>
      </w:r>
      <w:r>
        <w:rPr>
          <w:sz w:val="20"/>
        </w:rPr>
        <w:t>contribuintes</w:t>
      </w:r>
      <w:r>
        <w:rPr>
          <w:spacing w:val="-21"/>
          <w:sz w:val="20"/>
        </w:rPr>
        <w:t> </w:t>
      </w:r>
      <w:r>
        <w:rPr>
          <w:sz w:val="20"/>
        </w:rPr>
        <w:t>nas</w:t>
      </w:r>
      <w:r>
        <w:rPr>
          <w:spacing w:val="-22"/>
          <w:sz w:val="20"/>
        </w:rPr>
        <w:t> </w:t>
      </w:r>
      <w:r>
        <w:rPr>
          <w:sz w:val="20"/>
        </w:rPr>
        <w:t>vias</w:t>
      </w:r>
      <w:r>
        <w:rPr>
          <w:spacing w:val="-23"/>
          <w:sz w:val="20"/>
        </w:rPr>
        <w:t> </w:t>
      </w:r>
      <w:r>
        <w:rPr>
          <w:sz w:val="20"/>
        </w:rPr>
        <w:t>e</w:t>
      </w:r>
      <w:r>
        <w:rPr>
          <w:spacing w:val="-24"/>
          <w:sz w:val="20"/>
        </w:rPr>
        <w:t> </w:t>
      </w:r>
      <w:r>
        <w:rPr>
          <w:sz w:val="20"/>
        </w:rPr>
        <w:t>nos logradouros</w:t>
      </w:r>
      <w:r>
        <w:rPr>
          <w:spacing w:val="-29"/>
          <w:sz w:val="20"/>
        </w:rPr>
        <w:t> </w:t>
      </w:r>
      <w:r>
        <w:rPr>
          <w:sz w:val="20"/>
        </w:rPr>
        <w:t>públicos</w:t>
      </w:r>
      <w:r>
        <w:rPr>
          <w:spacing w:val="-31"/>
          <w:sz w:val="20"/>
        </w:rPr>
        <w:t> </w:t>
      </w:r>
      <w:r>
        <w:rPr>
          <w:sz w:val="20"/>
        </w:rPr>
        <w:t>do</w:t>
      </w:r>
      <w:r>
        <w:rPr>
          <w:spacing w:val="-29"/>
          <w:sz w:val="20"/>
        </w:rPr>
        <w:t> </w:t>
      </w:r>
      <w:r>
        <w:rPr>
          <w:sz w:val="20"/>
        </w:rPr>
        <w:t>Distrito</w:t>
      </w:r>
      <w:r>
        <w:rPr>
          <w:spacing w:val="-31"/>
          <w:sz w:val="20"/>
        </w:rPr>
        <w:t> </w:t>
      </w:r>
      <w:r>
        <w:rPr>
          <w:sz w:val="20"/>
        </w:rPr>
        <w:t>Federal.</w:t>
      </w:r>
      <w:r>
        <w:rPr>
          <w:spacing w:val="-31"/>
          <w:sz w:val="20"/>
        </w:rPr>
        <w:t> </w:t>
      </w:r>
      <w:r>
        <w:rPr>
          <w:sz w:val="20"/>
        </w:rPr>
        <w:t>A</w:t>
      </w:r>
      <w:r>
        <w:rPr>
          <w:spacing w:val="-30"/>
          <w:sz w:val="20"/>
        </w:rPr>
        <w:t> </w:t>
      </w:r>
      <w:r>
        <w:rPr>
          <w:sz w:val="20"/>
        </w:rPr>
        <w:t>cobrança</w:t>
      </w:r>
      <w:r>
        <w:rPr>
          <w:spacing w:val="-31"/>
          <w:sz w:val="20"/>
        </w:rPr>
        <w:t> </w:t>
      </w:r>
      <w:r>
        <w:rPr>
          <w:sz w:val="20"/>
        </w:rPr>
        <w:t>da</w:t>
      </w:r>
      <w:r>
        <w:rPr>
          <w:spacing w:val="-30"/>
          <w:sz w:val="20"/>
        </w:rPr>
        <w:t> </w:t>
      </w:r>
      <w:r>
        <w:rPr>
          <w:sz w:val="20"/>
        </w:rPr>
        <w:t>CIP</w:t>
      </w:r>
      <w:r>
        <w:rPr>
          <w:spacing w:val="-28"/>
          <w:sz w:val="20"/>
        </w:rPr>
        <w:t> </w:t>
      </w:r>
      <w:r>
        <w:rPr>
          <w:sz w:val="20"/>
        </w:rPr>
        <w:t>é</w:t>
      </w:r>
      <w:r>
        <w:rPr>
          <w:spacing w:val="-30"/>
          <w:sz w:val="20"/>
        </w:rPr>
        <w:t> </w:t>
      </w:r>
      <w:r>
        <w:rPr>
          <w:sz w:val="20"/>
        </w:rPr>
        <w:t>efetuada</w:t>
      </w:r>
      <w:r>
        <w:rPr>
          <w:spacing w:val="-30"/>
          <w:sz w:val="20"/>
        </w:rPr>
        <w:t> </w:t>
      </w:r>
      <w:r>
        <w:rPr>
          <w:sz w:val="20"/>
        </w:rPr>
        <w:t>na</w:t>
      </w:r>
      <w:r>
        <w:rPr>
          <w:spacing w:val="-31"/>
          <w:sz w:val="20"/>
        </w:rPr>
        <w:t> </w:t>
      </w:r>
      <w:r>
        <w:rPr>
          <w:sz w:val="20"/>
        </w:rPr>
        <w:t>fatura</w:t>
      </w:r>
      <w:r>
        <w:rPr>
          <w:spacing w:val="-30"/>
          <w:sz w:val="20"/>
        </w:rPr>
        <w:t> </w:t>
      </w:r>
      <w:r>
        <w:rPr>
          <w:sz w:val="20"/>
        </w:rPr>
        <w:t>de</w:t>
      </w:r>
      <w:r>
        <w:rPr>
          <w:spacing w:val="-32"/>
          <w:sz w:val="20"/>
        </w:rPr>
        <w:t> </w:t>
      </w:r>
      <w:r>
        <w:rPr>
          <w:sz w:val="20"/>
        </w:rPr>
        <w:t>consumo</w:t>
      </w:r>
      <w:r>
        <w:rPr>
          <w:spacing w:val="-30"/>
          <w:sz w:val="20"/>
        </w:rPr>
        <w:t> </w:t>
      </w:r>
      <w:r>
        <w:rPr>
          <w:sz w:val="20"/>
        </w:rPr>
        <w:t>de</w:t>
      </w:r>
      <w:r>
        <w:rPr>
          <w:spacing w:val="-30"/>
          <w:sz w:val="20"/>
        </w:rPr>
        <w:t> </w:t>
      </w:r>
      <w:r>
        <w:rPr>
          <w:sz w:val="20"/>
        </w:rPr>
        <w:t>energia</w:t>
      </w:r>
      <w:r>
        <w:rPr>
          <w:spacing w:val="-31"/>
          <w:sz w:val="20"/>
        </w:rPr>
        <w:t> </w:t>
      </w:r>
      <w:r>
        <w:rPr>
          <w:sz w:val="20"/>
        </w:rPr>
        <w:t>elétrica</w:t>
      </w:r>
      <w:r>
        <w:rPr>
          <w:spacing w:val="-28"/>
          <w:sz w:val="20"/>
        </w:rPr>
        <w:t> </w:t>
      </w:r>
      <w:r>
        <w:rPr>
          <w:sz w:val="20"/>
        </w:rPr>
        <w:t>e</w:t>
      </w:r>
      <w:r>
        <w:rPr>
          <w:spacing w:val="-32"/>
          <w:sz w:val="20"/>
        </w:rPr>
        <w:t> </w:t>
      </w:r>
      <w:r>
        <w:rPr>
          <w:sz w:val="20"/>
        </w:rPr>
        <w:t>é devida</w:t>
      </w:r>
      <w:r>
        <w:rPr>
          <w:spacing w:val="-18"/>
          <w:sz w:val="20"/>
        </w:rPr>
        <w:t> </w:t>
      </w:r>
      <w:r>
        <w:rPr>
          <w:sz w:val="20"/>
        </w:rPr>
        <w:t>ao</w:t>
      </w:r>
      <w:r>
        <w:rPr>
          <w:spacing w:val="-16"/>
          <w:sz w:val="20"/>
        </w:rPr>
        <w:t> </w:t>
      </w:r>
      <w:r>
        <w:rPr>
          <w:sz w:val="20"/>
        </w:rPr>
        <w:t>Governo</w:t>
      </w:r>
      <w:r>
        <w:rPr>
          <w:spacing w:val="-18"/>
          <w:sz w:val="20"/>
        </w:rPr>
        <w:t> </w:t>
      </w:r>
      <w:r>
        <w:rPr>
          <w:sz w:val="20"/>
        </w:rPr>
        <w:t>do</w:t>
      </w:r>
      <w:r>
        <w:rPr>
          <w:spacing w:val="-17"/>
          <w:sz w:val="20"/>
        </w:rPr>
        <w:t> </w:t>
      </w:r>
      <w:r>
        <w:rPr>
          <w:sz w:val="20"/>
        </w:rPr>
        <w:t>Distrito</w:t>
      </w:r>
      <w:r>
        <w:rPr>
          <w:spacing w:val="-19"/>
          <w:sz w:val="20"/>
        </w:rPr>
        <w:t> </w:t>
      </w:r>
      <w:r>
        <w:rPr>
          <w:sz w:val="20"/>
        </w:rPr>
        <w:t>Federal</w:t>
      </w:r>
      <w:r>
        <w:rPr>
          <w:spacing w:val="-13"/>
          <w:sz w:val="20"/>
        </w:rPr>
        <w:t> </w:t>
      </w:r>
      <w:r>
        <w:rPr>
          <w:w w:val="105"/>
          <w:sz w:val="20"/>
        </w:rPr>
        <w:t>–</w:t>
      </w:r>
      <w:r>
        <w:rPr>
          <w:spacing w:val="-20"/>
          <w:w w:val="105"/>
          <w:sz w:val="20"/>
        </w:rPr>
        <w:t> </w:t>
      </w:r>
      <w:r>
        <w:rPr>
          <w:sz w:val="20"/>
        </w:rPr>
        <w:t>GDF;</w:t>
      </w:r>
    </w:p>
    <w:p>
      <w:pPr>
        <w:spacing w:after="0" w:line="242" w:lineRule="auto"/>
        <w:jc w:val="both"/>
        <w:rPr>
          <w:sz w:val="20"/>
        </w:rPr>
        <w:sectPr>
          <w:pgSz w:w="11910" w:h="16850"/>
          <w:pgMar w:header="792" w:footer="1014" w:top="136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0"/>
          <w:numId w:val="50"/>
        </w:numPr>
        <w:tabs>
          <w:tab w:pos="363" w:val="left" w:leader="none"/>
        </w:tabs>
        <w:spacing w:line="240" w:lineRule="auto" w:before="14" w:after="0"/>
        <w:ind w:left="362" w:right="0" w:hanging="191"/>
        <w:jc w:val="both"/>
        <w:rPr>
          <w:sz w:val="20"/>
        </w:rPr>
      </w:pPr>
      <w:r>
        <w:rPr>
          <w:sz w:val="20"/>
        </w:rPr>
        <w:t>Trata-se</w:t>
      </w:r>
      <w:r>
        <w:rPr>
          <w:spacing w:val="-18"/>
          <w:sz w:val="20"/>
        </w:rPr>
        <w:t> </w:t>
      </w:r>
      <w:r>
        <w:rPr>
          <w:sz w:val="20"/>
        </w:rPr>
        <w:t>de</w:t>
      </w:r>
      <w:r>
        <w:rPr>
          <w:spacing w:val="-18"/>
          <w:sz w:val="20"/>
        </w:rPr>
        <w:t> </w:t>
      </w:r>
      <w:r>
        <w:rPr>
          <w:sz w:val="20"/>
        </w:rPr>
        <w:t>dividendos</w:t>
      </w:r>
      <w:r>
        <w:rPr>
          <w:spacing w:val="-19"/>
          <w:sz w:val="20"/>
        </w:rPr>
        <w:t> </w:t>
      </w:r>
      <w:r>
        <w:rPr>
          <w:sz w:val="20"/>
        </w:rPr>
        <w:t>a</w:t>
      </w:r>
      <w:r>
        <w:rPr>
          <w:spacing w:val="-16"/>
          <w:sz w:val="20"/>
        </w:rPr>
        <w:t> </w:t>
      </w:r>
      <w:r>
        <w:rPr>
          <w:sz w:val="20"/>
        </w:rPr>
        <w:t>pagar</w:t>
      </w:r>
      <w:r>
        <w:rPr>
          <w:spacing w:val="-19"/>
          <w:sz w:val="20"/>
        </w:rPr>
        <w:t> </w:t>
      </w:r>
      <w:r>
        <w:rPr>
          <w:sz w:val="20"/>
        </w:rPr>
        <w:t>ao</w:t>
      </w:r>
      <w:r>
        <w:rPr>
          <w:spacing w:val="-20"/>
          <w:sz w:val="20"/>
        </w:rPr>
        <w:t> </w:t>
      </w:r>
      <w:r>
        <w:rPr>
          <w:sz w:val="20"/>
        </w:rPr>
        <w:t>acionista</w:t>
      </w:r>
      <w:r>
        <w:rPr>
          <w:spacing w:val="-17"/>
          <w:sz w:val="20"/>
        </w:rPr>
        <w:t> </w:t>
      </w:r>
      <w:r>
        <w:rPr>
          <w:sz w:val="20"/>
        </w:rPr>
        <w:t>controlador;</w:t>
      </w:r>
    </w:p>
    <w:p>
      <w:pPr>
        <w:pStyle w:val="BodyText"/>
        <w:spacing w:before="9"/>
      </w:pPr>
    </w:p>
    <w:p>
      <w:pPr>
        <w:pStyle w:val="ListParagraph"/>
        <w:numPr>
          <w:ilvl w:val="0"/>
          <w:numId w:val="50"/>
        </w:numPr>
        <w:tabs>
          <w:tab w:pos="407" w:val="left" w:leader="none"/>
        </w:tabs>
        <w:spacing w:line="242" w:lineRule="auto" w:before="0" w:after="0"/>
        <w:ind w:left="172" w:right="407" w:firstLine="0"/>
        <w:jc w:val="both"/>
        <w:rPr>
          <w:sz w:val="20"/>
        </w:rPr>
      </w:pPr>
      <w:r>
        <w:rPr>
          <w:sz w:val="20"/>
        </w:rPr>
        <w:t>Representa</w:t>
      </w:r>
      <w:r>
        <w:rPr>
          <w:spacing w:val="-39"/>
          <w:sz w:val="20"/>
        </w:rPr>
        <w:t> </w:t>
      </w:r>
      <w:r>
        <w:rPr>
          <w:sz w:val="20"/>
        </w:rPr>
        <w:t>a</w:t>
      </w:r>
      <w:r>
        <w:rPr>
          <w:spacing w:val="-38"/>
          <w:sz w:val="20"/>
        </w:rPr>
        <w:t> </w:t>
      </w:r>
      <w:r>
        <w:rPr>
          <w:sz w:val="20"/>
        </w:rPr>
        <w:t>receita</w:t>
      </w:r>
      <w:r>
        <w:rPr>
          <w:spacing w:val="-38"/>
          <w:sz w:val="20"/>
        </w:rPr>
        <w:t> </w:t>
      </w:r>
      <w:r>
        <w:rPr>
          <w:sz w:val="20"/>
        </w:rPr>
        <w:t>decorrente</w:t>
      </w:r>
      <w:r>
        <w:rPr>
          <w:spacing w:val="-40"/>
          <w:sz w:val="20"/>
        </w:rPr>
        <w:t> </w:t>
      </w:r>
      <w:r>
        <w:rPr>
          <w:sz w:val="20"/>
        </w:rPr>
        <w:t>do</w:t>
      </w:r>
      <w:r>
        <w:rPr>
          <w:spacing w:val="-38"/>
          <w:sz w:val="20"/>
        </w:rPr>
        <w:t> </w:t>
      </w:r>
      <w:r>
        <w:rPr>
          <w:sz w:val="20"/>
        </w:rPr>
        <w:t>fornecimento</w:t>
      </w:r>
      <w:r>
        <w:rPr>
          <w:spacing w:val="-39"/>
          <w:sz w:val="20"/>
        </w:rPr>
        <w:t> </w:t>
      </w:r>
      <w:r>
        <w:rPr>
          <w:sz w:val="20"/>
        </w:rPr>
        <w:t>de</w:t>
      </w:r>
      <w:r>
        <w:rPr>
          <w:spacing w:val="-39"/>
          <w:sz w:val="20"/>
        </w:rPr>
        <w:t> </w:t>
      </w:r>
      <w:r>
        <w:rPr>
          <w:sz w:val="20"/>
        </w:rPr>
        <w:t>energia,</w:t>
      </w:r>
      <w:r>
        <w:rPr>
          <w:spacing w:val="-38"/>
          <w:sz w:val="20"/>
        </w:rPr>
        <w:t> </w:t>
      </w:r>
      <w:r>
        <w:rPr>
          <w:sz w:val="20"/>
        </w:rPr>
        <w:t>prestação</w:t>
      </w:r>
      <w:r>
        <w:rPr>
          <w:spacing w:val="-39"/>
          <w:sz w:val="20"/>
        </w:rPr>
        <w:t> </w:t>
      </w:r>
      <w:r>
        <w:rPr>
          <w:sz w:val="20"/>
        </w:rPr>
        <w:t>de</w:t>
      </w:r>
      <w:r>
        <w:rPr>
          <w:spacing w:val="-39"/>
          <w:sz w:val="20"/>
        </w:rPr>
        <w:t> </w:t>
      </w:r>
      <w:r>
        <w:rPr>
          <w:sz w:val="20"/>
        </w:rPr>
        <w:t>serviços</w:t>
      </w:r>
      <w:r>
        <w:rPr>
          <w:spacing w:val="-39"/>
          <w:sz w:val="20"/>
        </w:rPr>
        <w:t> </w:t>
      </w:r>
      <w:r>
        <w:rPr>
          <w:sz w:val="20"/>
        </w:rPr>
        <w:t>pela</w:t>
      </w:r>
      <w:r>
        <w:rPr>
          <w:spacing w:val="-38"/>
          <w:sz w:val="20"/>
        </w:rPr>
        <w:t> </w:t>
      </w:r>
      <w:r>
        <w:rPr>
          <w:sz w:val="20"/>
        </w:rPr>
        <w:t>arrecadação</w:t>
      </w:r>
      <w:r>
        <w:rPr>
          <w:spacing w:val="-39"/>
          <w:sz w:val="20"/>
        </w:rPr>
        <w:t> </w:t>
      </w:r>
      <w:r>
        <w:rPr>
          <w:sz w:val="20"/>
        </w:rPr>
        <w:t>da</w:t>
      </w:r>
      <w:r>
        <w:rPr>
          <w:spacing w:val="-38"/>
          <w:sz w:val="20"/>
        </w:rPr>
        <w:t> </w:t>
      </w:r>
      <w:r>
        <w:rPr>
          <w:sz w:val="20"/>
        </w:rPr>
        <w:t>CIP</w:t>
      </w:r>
      <w:r>
        <w:rPr>
          <w:spacing w:val="-38"/>
          <w:sz w:val="20"/>
        </w:rPr>
        <w:t> </w:t>
      </w:r>
      <w:r>
        <w:rPr>
          <w:sz w:val="20"/>
        </w:rPr>
        <w:t>e</w:t>
      </w:r>
      <w:r>
        <w:rPr>
          <w:spacing w:val="-38"/>
          <w:sz w:val="20"/>
        </w:rPr>
        <w:t> </w:t>
      </w:r>
      <w:r>
        <w:rPr>
          <w:sz w:val="20"/>
        </w:rPr>
        <w:t>dos </w:t>
      </w:r>
      <w:r>
        <w:rPr>
          <w:w w:val="105"/>
          <w:sz w:val="20"/>
        </w:rPr>
        <w:t>serviços</w:t>
      </w:r>
      <w:r>
        <w:rPr>
          <w:spacing w:val="-38"/>
          <w:w w:val="105"/>
          <w:sz w:val="20"/>
        </w:rPr>
        <w:t> </w:t>
      </w:r>
      <w:r>
        <w:rPr>
          <w:w w:val="105"/>
          <w:sz w:val="20"/>
        </w:rPr>
        <w:t>de</w:t>
      </w:r>
      <w:r>
        <w:rPr>
          <w:spacing w:val="-39"/>
          <w:w w:val="105"/>
          <w:sz w:val="20"/>
        </w:rPr>
        <w:t> </w:t>
      </w:r>
      <w:r>
        <w:rPr>
          <w:w w:val="105"/>
          <w:sz w:val="20"/>
        </w:rPr>
        <w:t>iluminação</w:t>
      </w:r>
      <w:r>
        <w:rPr>
          <w:spacing w:val="-38"/>
          <w:w w:val="105"/>
          <w:sz w:val="20"/>
        </w:rPr>
        <w:t> </w:t>
      </w:r>
      <w:r>
        <w:rPr>
          <w:w w:val="105"/>
          <w:sz w:val="20"/>
        </w:rPr>
        <w:t>pública</w:t>
      </w:r>
      <w:r>
        <w:rPr>
          <w:spacing w:val="-38"/>
          <w:w w:val="105"/>
          <w:sz w:val="20"/>
        </w:rPr>
        <w:t> </w:t>
      </w:r>
      <w:r>
        <w:rPr>
          <w:w w:val="105"/>
          <w:sz w:val="20"/>
        </w:rPr>
        <w:t>(obras</w:t>
      </w:r>
      <w:r>
        <w:rPr>
          <w:spacing w:val="-38"/>
          <w:w w:val="105"/>
          <w:sz w:val="20"/>
        </w:rPr>
        <w:t> </w:t>
      </w:r>
      <w:r>
        <w:rPr>
          <w:w w:val="105"/>
          <w:sz w:val="20"/>
        </w:rPr>
        <w:t>e</w:t>
      </w:r>
      <w:r>
        <w:rPr>
          <w:spacing w:val="-39"/>
          <w:w w:val="105"/>
          <w:sz w:val="20"/>
        </w:rPr>
        <w:t> </w:t>
      </w:r>
      <w:r>
        <w:rPr>
          <w:w w:val="105"/>
          <w:sz w:val="20"/>
        </w:rPr>
        <w:t>manutenção</w:t>
      </w:r>
      <w:r>
        <w:rPr>
          <w:spacing w:val="-38"/>
          <w:w w:val="105"/>
          <w:sz w:val="20"/>
        </w:rPr>
        <w:t> </w:t>
      </w:r>
      <w:r>
        <w:rPr>
          <w:w w:val="105"/>
          <w:sz w:val="20"/>
        </w:rPr>
        <w:t>do</w:t>
      </w:r>
      <w:r>
        <w:rPr>
          <w:spacing w:val="-37"/>
          <w:w w:val="105"/>
          <w:sz w:val="20"/>
        </w:rPr>
        <w:t> </w:t>
      </w:r>
      <w:r>
        <w:rPr>
          <w:w w:val="105"/>
          <w:sz w:val="20"/>
        </w:rPr>
        <w:t>parque)</w:t>
      </w:r>
      <w:r>
        <w:rPr>
          <w:spacing w:val="-38"/>
          <w:w w:val="105"/>
          <w:sz w:val="20"/>
        </w:rPr>
        <w:t> </w:t>
      </w:r>
      <w:r>
        <w:rPr>
          <w:w w:val="105"/>
          <w:sz w:val="20"/>
        </w:rPr>
        <w:t>prestados</w:t>
      </w:r>
      <w:r>
        <w:rPr>
          <w:spacing w:val="-38"/>
          <w:w w:val="105"/>
          <w:sz w:val="20"/>
        </w:rPr>
        <w:t> </w:t>
      </w:r>
      <w:r>
        <w:rPr>
          <w:w w:val="105"/>
          <w:sz w:val="20"/>
        </w:rPr>
        <w:t>ao</w:t>
      </w:r>
      <w:r>
        <w:rPr>
          <w:spacing w:val="-38"/>
          <w:w w:val="105"/>
          <w:sz w:val="20"/>
        </w:rPr>
        <w:t> </w:t>
      </w:r>
      <w:r>
        <w:rPr>
          <w:w w:val="105"/>
          <w:sz w:val="20"/>
        </w:rPr>
        <w:t>Governo</w:t>
      </w:r>
      <w:r>
        <w:rPr>
          <w:spacing w:val="-38"/>
          <w:w w:val="105"/>
          <w:sz w:val="20"/>
        </w:rPr>
        <w:t> </w:t>
      </w:r>
      <w:r>
        <w:rPr>
          <w:w w:val="105"/>
          <w:sz w:val="20"/>
        </w:rPr>
        <w:t>do</w:t>
      </w:r>
      <w:r>
        <w:rPr>
          <w:spacing w:val="-39"/>
          <w:w w:val="105"/>
          <w:sz w:val="20"/>
        </w:rPr>
        <w:t> </w:t>
      </w:r>
      <w:r>
        <w:rPr>
          <w:w w:val="105"/>
          <w:sz w:val="20"/>
        </w:rPr>
        <w:t>Distrito</w:t>
      </w:r>
      <w:r>
        <w:rPr>
          <w:spacing w:val="-38"/>
          <w:w w:val="105"/>
          <w:sz w:val="20"/>
        </w:rPr>
        <w:t> </w:t>
      </w:r>
      <w:r>
        <w:rPr>
          <w:w w:val="105"/>
          <w:sz w:val="20"/>
        </w:rPr>
        <w:t>Federal</w:t>
      </w:r>
      <w:r>
        <w:rPr>
          <w:spacing w:val="-33"/>
          <w:w w:val="105"/>
          <w:sz w:val="20"/>
        </w:rPr>
        <w:t> </w:t>
      </w:r>
      <w:r>
        <w:rPr>
          <w:w w:val="105"/>
          <w:sz w:val="20"/>
        </w:rPr>
        <w:t>–</w:t>
      </w:r>
      <w:r>
        <w:rPr>
          <w:spacing w:val="-37"/>
          <w:w w:val="105"/>
          <w:sz w:val="20"/>
        </w:rPr>
        <w:t> </w:t>
      </w:r>
      <w:r>
        <w:rPr>
          <w:w w:val="105"/>
          <w:sz w:val="20"/>
        </w:rPr>
        <w:t>GDF </w:t>
      </w:r>
      <w:r>
        <w:rPr>
          <w:sz w:val="20"/>
        </w:rPr>
        <w:t>(Administrações</w:t>
      </w:r>
      <w:r>
        <w:rPr>
          <w:spacing w:val="-17"/>
          <w:sz w:val="20"/>
        </w:rPr>
        <w:t> </w:t>
      </w:r>
      <w:r>
        <w:rPr>
          <w:sz w:val="20"/>
        </w:rPr>
        <w:t>Regionais,</w:t>
      </w:r>
      <w:r>
        <w:rPr>
          <w:spacing w:val="-16"/>
          <w:sz w:val="20"/>
        </w:rPr>
        <w:t> </w:t>
      </w:r>
      <w:r>
        <w:rPr>
          <w:sz w:val="20"/>
        </w:rPr>
        <w:t>Empresas</w:t>
      </w:r>
      <w:r>
        <w:rPr>
          <w:spacing w:val="-17"/>
          <w:sz w:val="20"/>
        </w:rPr>
        <w:t> </w:t>
      </w:r>
      <w:r>
        <w:rPr>
          <w:sz w:val="20"/>
        </w:rPr>
        <w:t>Públicas,</w:t>
      </w:r>
      <w:r>
        <w:rPr>
          <w:spacing w:val="-18"/>
          <w:sz w:val="20"/>
        </w:rPr>
        <w:t> </w:t>
      </w:r>
      <w:r>
        <w:rPr>
          <w:sz w:val="20"/>
        </w:rPr>
        <w:t>Secretarias</w:t>
      </w:r>
      <w:r>
        <w:rPr>
          <w:spacing w:val="-17"/>
          <w:sz w:val="20"/>
        </w:rPr>
        <w:t> </w:t>
      </w:r>
      <w:r>
        <w:rPr>
          <w:sz w:val="20"/>
        </w:rPr>
        <w:t>de</w:t>
      </w:r>
      <w:r>
        <w:rPr>
          <w:spacing w:val="-18"/>
          <w:sz w:val="20"/>
        </w:rPr>
        <w:t> </w:t>
      </w:r>
      <w:r>
        <w:rPr>
          <w:sz w:val="20"/>
        </w:rPr>
        <w:t>Governo</w:t>
      </w:r>
      <w:r>
        <w:rPr>
          <w:spacing w:val="-16"/>
          <w:sz w:val="20"/>
        </w:rPr>
        <w:t> </w:t>
      </w:r>
      <w:r>
        <w:rPr>
          <w:sz w:val="20"/>
        </w:rPr>
        <w:t>e</w:t>
      </w:r>
      <w:r>
        <w:rPr>
          <w:spacing w:val="-18"/>
          <w:sz w:val="20"/>
        </w:rPr>
        <w:t> </w:t>
      </w:r>
      <w:r>
        <w:rPr>
          <w:sz w:val="20"/>
        </w:rPr>
        <w:t>Outros).</w:t>
      </w:r>
      <w:r>
        <w:rPr>
          <w:spacing w:val="-18"/>
          <w:sz w:val="20"/>
        </w:rPr>
        <w:t> </w:t>
      </w:r>
      <w:r>
        <w:rPr>
          <w:sz w:val="20"/>
        </w:rPr>
        <w:t>Estes</w:t>
      </w:r>
      <w:r>
        <w:rPr>
          <w:spacing w:val="-17"/>
          <w:sz w:val="20"/>
        </w:rPr>
        <w:t> </w:t>
      </w:r>
      <w:r>
        <w:rPr>
          <w:sz w:val="20"/>
        </w:rPr>
        <w:t>serviços</w:t>
      </w:r>
      <w:r>
        <w:rPr>
          <w:spacing w:val="-17"/>
          <w:sz w:val="20"/>
        </w:rPr>
        <w:t> </w:t>
      </w:r>
      <w:r>
        <w:rPr>
          <w:sz w:val="20"/>
        </w:rPr>
        <w:t>são</w:t>
      </w:r>
      <w:r>
        <w:rPr>
          <w:spacing w:val="-17"/>
          <w:sz w:val="20"/>
        </w:rPr>
        <w:t> </w:t>
      </w:r>
      <w:r>
        <w:rPr>
          <w:sz w:val="20"/>
        </w:rPr>
        <w:t>faturados</w:t>
      </w:r>
      <w:r>
        <w:rPr>
          <w:spacing w:val="-16"/>
          <w:sz w:val="20"/>
        </w:rPr>
        <w:t> </w:t>
      </w:r>
      <w:r>
        <w:rPr>
          <w:sz w:val="20"/>
        </w:rPr>
        <w:t>de </w:t>
      </w:r>
      <w:r>
        <w:rPr>
          <w:w w:val="105"/>
          <w:sz w:val="20"/>
        </w:rPr>
        <w:t>acordo</w:t>
      </w:r>
      <w:r>
        <w:rPr>
          <w:spacing w:val="-28"/>
          <w:w w:val="105"/>
          <w:sz w:val="20"/>
        </w:rPr>
        <w:t> </w:t>
      </w:r>
      <w:r>
        <w:rPr>
          <w:w w:val="105"/>
          <w:sz w:val="20"/>
        </w:rPr>
        <w:t>com</w:t>
      </w:r>
      <w:r>
        <w:rPr>
          <w:spacing w:val="-26"/>
          <w:w w:val="105"/>
          <w:sz w:val="20"/>
        </w:rPr>
        <w:t> </w:t>
      </w:r>
      <w:r>
        <w:rPr>
          <w:w w:val="105"/>
          <w:sz w:val="20"/>
        </w:rPr>
        <w:t>os</w:t>
      </w:r>
      <w:r>
        <w:rPr>
          <w:spacing w:val="-26"/>
          <w:w w:val="105"/>
          <w:sz w:val="20"/>
        </w:rPr>
        <w:t> </w:t>
      </w:r>
      <w:r>
        <w:rPr>
          <w:w w:val="105"/>
          <w:sz w:val="20"/>
        </w:rPr>
        <w:t>contratos</w:t>
      </w:r>
      <w:r>
        <w:rPr>
          <w:spacing w:val="-26"/>
          <w:w w:val="105"/>
          <w:sz w:val="20"/>
        </w:rPr>
        <w:t> </w:t>
      </w:r>
      <w:r>
        <w:rPr>
          <w:w w:val="105"/>
          <w:sz w:val="20"/>
        </w:rPr>
        <w:t>firmados</w:t>
      </w:r>
      <w:r>
        <w:rPr>
          <w:spacing w:val="-27"/>
          <w:w w:val="105"/>
          <w:sz w:val="20"/>
        </w:rPr>
        <w:t> </w:t>
      </w:r>
      <w:r>
        <w:rPr>
          <w:w w:val="105"/>
          <w:sz w:val="20"/>
        </w:rPr>
        <w:t>entre</w:t>
      </w:r>
      <w:r>
        <w:rPr>
          <w:spacing w:val="-28"/>
          <w:w w:val="105"/>
          <w:sz w:val="20"/>
        </w:rPr>
        <w:t> </w:t>
      </w:r>
      <w:r>
        <w:rPr>
          <w:w w:val="105"/>
          <w:sz w:val="20"/>
        </w:rPr>
        <w:t>a</w:t>
      </w:r>
      <w:r>
        <w:rPr>
          <w:spacing w:val="-25"/>
          <w:w w:val="105"/>
          <w:sz w:val="20"/>
        </w:rPr>
        <w:t> </w:t>
      </w:r>
      <w:r>
        <w:rPr>
          <w:w w:val="105"/>
          <w:sz w:val="20"/>
        </w:rPr>
        <w:t>CEB</w:t>
      </w:r>
      <w:r>
        <w:rPr>
          <w:spacing w:val="-26"/>
          <w:w w:val="105"/>
          <w:sz w:val="20"/>
        </w:rPr>
        <w:t> </w:t>
      </w:r>
      <w:r>
        <w:rPr>
          <w:w w:val="105"/>
          <w:sz w:val="20"/>
        </w:rPr>
        <w:t>e</w:t>
      </w:r>
      <w:r>
        <w:rPr>
          <w:spacing w:val="-27"/>
          <w:w w:val="105"/>
          <w:sz w:val="20"/>
        </w:rPr>
        <w:t> </w:t>
      </w:r>
      <w:r>
        <w:rPr>
          <w:w w:val="105"/>
          <w:sz w:val="20"/>
        </w:rPr>
        <w:t>o</w:t>
      </w:r>
      <w:r>
        <w:rPr>
          <w:spacing w:val="-27"/>
          <w:w w:val="105"/>
          <w:sz w:val="20"/>
        </w:rPr>
        <w:t> </w:t>
      </w:r>
      <w:r>
        <w:rPr>
          <w:w w:val="105"/>
          <w:sz w:val="20"/>
        </w:rPr>
        <w:t>Governo</w:t>
      </w:r>
      <w:r>
        <w:rPr>
          <w:spacing w:val="-28"/>
          <w:w w:val="105"/>
          <w:sz w:val="20"/>
        </w:rPr>
        <w:t> </w:t>
      </w:r>
      <w:r>
        <w:rPr>
          <w:w w:val="105"/>
          <w:sz w:val="20"/>
        </w:rPr>
        <w:t>de</w:t>
      </w:r>
      <w:r>
        <w:rPr>
          <w:spacing w:val="-29"/>
          <w:w w:val="105"/>
          <w:sz w:val="20"/>
        </w:rPr>
        <w:t> </w:t>
      </w:r>
      <w:r>
        <w:rPr>
          <w:w w:val="105"/>
          <w:sz w:val="20"/>
        </w:rPr>
        <w:t>Distrito</w:t>
      </w:r>
      <w:r>
        <w:rPr>
          <w:spacing w:val="-27"/>
          <w:w w:val="105"/>
          <w:sz w:val="20"/>
        </w:rPr>
        <w:t> </w:t>
      </w:r>
      <w:r>
        <w:rPr>
          <w:w w:val="105"/>
          <w:sz w:val="20"/>
        </w:rPr>
        <w:t>Federal</w:t>
      </w:r>
      <w:r>
        <w:rPr>
          <w:spacing w:val="-22"/>
          <w:w w:val="105"/>
          <w:sz w:val="20"/>
        </w:rPr>
        <w:t> </w:t>
      </w:r>
      <w:r>
        <w:rPr>
          <w:w w:val="105"/>
          <w:sz w:val="20"/>
        </w:rPr>
        <w:t>–</w:t>
      </w:r>
      <w:r>
        <w:rPr>
          <w:spacing w:val="-26"/>
          <w:w w:val="105"/>
          <w:sz w:val="20"/>
        </w:rPr>
        <w:t> </w:t>
      </w:r>
      <w:r>
        <w:rPr>
          <w:w w:val="105"/>
          <w:sz w:val="20"/>
        </w:rPr>
        <w:t>GDF.</w:t>
      </w:r>
    </w:p>
    <w:p>
      <w:pPr>
        <w:pStyle w:val="BodyText"/>
        <w:spacing w:before="5"/>
      </w:pPr>
    </w:p>
    <w:p>
      <w:pPr>
        <w:pStyle w:val="ListParagraph"/>
        <w:numPr>
          <w:ilvl w:val="0"/>
          <w:numId w:val="50"/>
        </w:numPr>
        <w:tabs>
          <w:tab w:pos="457" w:val="left" w:leader="none"/>
        </w:tabs>
        <w:spacing w:line="242" w:lineRule="auto" w:before="1" w:after="0"/>
        <w:ind w:left="172" w:right="419" w:firstLine="0"/>
        <w:jc w:val="both"/>
        <w:rPr>
          <w:sz w:val="20"/>
        </w:rPr>
      </w:pPr>
      <w:r>
        <w:rPr>
          <w:sz w:val="20"/>
        </w:rPr>
        <w:t>A CEB DIS tem contratos bilaterais de suprimento de energia com as empresas Corumbá Concessões S.A. e Energética</w:t>
      </w:r>
      <w:r>
        <w:rPr>
          <w:spacing w:val="-18"/>
          <w:sz w:val="20"/>
        </w:rPr>
        <w:t> </w:t>
      </w:r>
      <w:r>
        <w:rPr>
          <w:sz w:val="20"/>
        </w:rPr>
        <w:t>Corumbá</w:t>
      </w:r>
      <w:r>
        <w:rPr>
          <w:spacing w:val="-18"/>
          <w:sz w:val="20"/>
        </w:rPr>
        <w:t> </w:t>
      </w:r>
      <w:r>
        <w:rPr>
          <w:sz w:val="20"/>
        </w:rPr>
        <w:t>III</w:t>
      </w:r>
      <w:r>
        <w:rPr>
          <w:spacing w:val="-16"/>
          <w:sz w:val="20"/>
        </w:rPr>
        <w:t> </w:t>
      </w:r>
      <w:r>
        <w:rPr>
          <w:sz w:val="20"/>
        </w:rPr>
        <w:t>S.A.;</w:t>
      </w:r>
      <w:r>
        <w:rPr>
          <w:spacing w:val="-16"/>
          <w:sz w:val="20"/>
        </w:rPr>
        <w:t> </w:t>
      </w:r>
      <w:r>
        <w:rPr>
          <w:sz w:val="20"/>
        </w:rPr>
        <w:t>e</w:t>
      </w:r>
    </w:p>
    <w:p>
      <w:pPr>
        <w:pStyle w:val="BodyText"/>
        <w:spacing w:before="4"/>
      </w:pPr>
    </w:p>
    <w:p>
      <w:pPr>
        <w:pStyle w:val="ListParagraph"/>
        <w:numPr>
          <w:ilvl w:val="0"/>
          <w:numId w:val="50"/>
        </w:numPr>
        <w:tabs>
          <w:tab w:pos="359" w:val="left" w:leader="none"/>
        </w:tabs>
        <w:spacing w:line="242" w:lineRule="auto" w:before="0" w:after="0"/>
        <w:ind w:left="172" w:right="409" w:firstLine="0"/>
        <w:jc w:val="both"/>
        <w:rPr>
          <w:sz w:val="20"/>
        </w:rPr>
      </w:pPr>
      <w:r>
        <w:rPr>
          <w:sz w:val="20"/>
        </w:rPr>
        <w:t>Representam</w:t>
      </w:r>
      <w:r>
        <w:rPr>
          <w:spacing w:val="-32"/>
          <w:sz w:val="20"/>
        </w:rPr>
        <w:t> </w:t>
      </w:r>
      <w:r>
        <w:rPr>
          <w:sz w:val="20"/>
        </w:rPr>
        <w:t>as</w:t>
      </w:r>
      <w:r>
        <w:rPr>
          <w:spacing w:val="-32"/>
          <w:sz w:val="20"/>
        </w:rPr>
        <w:t> </w:t>
      </w:r>
      <w:r>
        <w:rPr>
          <w:sz w:val="20"/>
        </w:rPr>
        <w:t>provisões/reversões</w:t>
      </w:r>
      <w:r>
        <w:rPr>
          <w:spacing w:val="-33"/>
          <w:sz w:val="20"/>
        </w:rPr>
        <w:t> </w:t>
      </w:r>
      <w:r>
        <w:rPr>
          <w:sz w:val="20"/>
        </w:rPr>
        <w:t>das</w:t>
      </w:r>
      <w:r>
        <w:rPr>
          <w:spacing w:val="-31"/>
          <w:sz w:val="20"/>
        </w:rPr>
        <w:t> </w:t>
      </w:r>
      <w:r>
        <w:rPr>
          <w:sz w:val="20"/>
        </w:rPr>
        <w:t>Perdas</w:t>
      </w:r>
      <w:r>
        <w:rPr>
          <w:spacing w:val="-31"/>
          <w:sz w:val="20"/>
        </w:rPr>
        <w:t> </w:t>
      </w:r>
      <w:r>
        <w:rPr>
          <w:sz w:val="20"/>
        </w:rPr>
        <w:t>Estimadas</w:t>
      </w:r>
      <w:r>
        <w:rPr>
          <w:spacing w:val="-32"/>
          <w:sz w:val="20"/>
        </w:rPr>
        <w:t> </w:t>
      </w:r>
      <w:r>
        <w:rPr>
          <w:sz w:val="20"/>
        </w:rPr>
        <w:t>de</w:t>
      </w:r>
      <w:r>
        <w:rPr>
          <w:spacing w:val="-33"/>
          <w:sz w:val="20"/>
        </w:rPr>
        <w:t> </w:t>
      </w:r>
      <w:r>
        <w:rPr>
          <w:sz w:val="20"/>
        </w:rPr>
        <w:t>Créditos</w:t>
      </w:r>
      <w:r>
        <w:rPr>
          <w:spacing w:val="-31"/>
          <w:sz w:val="20"/>
        </w:rPr>
        <w:t> </w:t>
      </w:r>
      <w:r>
        <w:rPr>
          <w:sz w:val="20"/>
        </w:rPr>
        <w:t>de</w:t>
      </w:r>
      <w:r>
        <w:rPr>
          <w:spacing w:val="-32"/>
          <w:sz w:val="20"/>
        </w:rPr>
        <w:t> </w:t>
      </w:r>
      <w:r>
        <w:rPr>
          <w:sz w:val="20"/>
        </w:rPr>
        <w:t>Liquidação</w:t>
      </w:r>
      <w:r>
        <w:rPr>
          <w:spacing w:val="-34"/>
          <w:sz w:val="20"/>
        </w:rPr>
        <w:t> </w:t>
      </w:r>
      <w:r>
        <w:rPr>
          <w:sz w:val="20"/>
        </w:rPr>
        <w:t>Duvidosa</w:t>
      </w:r>
      <w:r>
        <w:rPr>
          <w:spacing w:val="-30"/>
          <w:sz w:val="20"/>
        </w:rPr>
        <w:t> </w:t>
      </w:r>
      <w:r>
        <w:rPr>
          <w:sz w:val="20"/>
        </w:rPr>
        <w:t>com</w:t>
      </w:r>
      <w:r>
        <w:rPr>
          <w:spacing w:val="-32"/>
          <w:sz w:val="20"/>
        </w:rPr>
        <w:t> </w:t>
      </w:r>
      <w:r>
        <w:rPr>
          <w:sz w:val="20"/>
        </w:rPr>
        <w:t>o</w:t>
      </w:r>
      <w:r>
        <w:rPr>
          <w:spacing w:val="-33"/>
          <w:sz w:val="20"/>
        </w:rPr>
        <w:t> </w:t>
      </w:r>
      <w:r>
        <w:rPr>
          <w:sz w:val="20"/>
        </w:rPr>
        <w:t>Governo</w:t>
      </w:r>
      <w:r>
        <w:rPr>
          <w:spacing w:val="-30"/>
          <w:sz w:val="20"/>
        </w:rPr>
        <w:t> </w:t>
      </w:r>
      <w:r>
        <w:rPr>
          <w:sz w:val="20"/>
        </w:rPr>
        <w:t>do </w:t>
      </w:r>
      <w:r>
        <w:rPr>
          <w:w w:val="105"/>
          <w:sz w:val="20"/>
        </w:rPr>
        <w:t>Distrito</w:t>
      </w:r>
      <w:r>
        <w:rPr>
          <w:spacing w:val="-38"/>
          <w:w w:val="105"/>
          <w:sz w:val="20"/>
        </w:rPr>
        <w:t> </w:t>
      </w:r>
      <w:r>
        <w:rPr>
          <w:w w:val="105"/>
          <w:sz w:val="20"/>
        </w:rPr>
        <w:t>Federal</w:t>
      </w:r>
      <w:r>
        <w:rPr>
          <w:spacing w:val="-36"/>
          <w:w w:val="105"/>
          <w:sz w:val="20"/>
        </w:rPr>
        <w:t> </w:t>
      </w:r>
      <w:r>
        <w:rPr>
          <w:w w:val="105"/>
          <w:sz w:val="20"/>
        </w:rPr>
        <w:t>–</w:t>
      </w:r>
      <w:r>
        <w:rPr>
          <w:spacing w:val="-38"/>
          <w:w w:val="105"/>
          <w:sz w:val="20"/>
        </w:rPr>
        <w:t> </w:t>
      </w:r>
      <w:r>
        <w:rPr>
          <w:w w:val="105"/>
          <w:sz w:val="20"/>
        </w:rPr>
        <w:t>GDF</w:t>
      </w:r>
      <w:r>
        <w:rPr>
          <w:spacing w:val="-38"/>
          <w:w w:val="105"/>
          <w:sz w:val="20"/>
        </w:rPr>
        <w:t> </w:t>
      </w:r>
      <w:r>
        <w:rPr>
          <w:w w:val="105"/>
          <w:sz w:val="20"/>
        </w:rPr>
        <w:t>(vencidos</w:t>
      </w:r>
      <w:r>
        <w:rPr>
          <w:spacing w:val="-38"/>
          <w:w w:val="105"/>
          <w:sz w:val="20"/>
        </w:rPr>
        <w:t> </w:t>
      </w:r>
      <w:r>
        <w:rPr>
          <w:w w:val="105"/>
          <w:sz w:val="20"/>
        </w:rPr>
        <w:t>há</w:t>
      </w:r>
      <w:r>
        <w:rPr>
          <w:spacing w:val="-37"/>
          <w:w w:val="105"/>
          <w:sz w:val="20"/>
        </w:rPr>
        <w:t> </w:t>
      </w:r>
      <w:r>
        <w:rPr>
          <w:w w:val="105"/>
          <w:sz w:val="20"/>
        </w:rPr>
        <w:t>mais</w:t>
      </w:r>
      <w:r>
        <w:rPr>
          <w:spacing w:val="-38"/>
          <w:w w:val="105"/>
          <w:sz w:val="20"/>
        </w:rPr>
        <w:t> </w:t>
      </w:r>
      <w:r>
        <w:rPr>
          <w:w w:val="105"/>
          <w:sz w:val="20"/>
        </w:rPr>
        <w:t>de</w:t>
      </w:r>
      <w:r>
        <w:rPr>
          <w:spacing w:val="-39"/>
          <w:w w:val="105"/>
          <w:sz w:val="20"/>
        </w:rPr>
        <w:t> </w:t>
      </w:r>
      <w:r>
        <w:rPr>
          <w:w w:val="105"/>
          <w:sz w:val="20"/>
        </w:rPr>
        <w:t>360</w:t>
      </w:r>
      <w:r>
        <w:rPr>
          <w:spacing w:val="-38"/>
          <w:w w:val="105"/>
          <w:sz w:val="20"/>
        </w:rPr>
        <w:t> </w:t>
      </w:r>
      <w:r>
        <w:rPr>
          <w:w w:val="105"/>
          <w:sz w:val="20"/>
        </w:rPr>
        <w:t>dias),</w:t>
      </w:r>
      <w:r>
        <w:rPr>
          <w:spacing w:val="-37"/>
          <w:w w:val="105"/>
          <w:sz w:val="20"/>
        </w:rPr>
        <w:t> </w:t>
      </w:r>
      <w:r>
        <w:rPr>
          <w:w w:val="105"/>
          <w:sz w:val="20"/>
        </w:rPr>
        <w:t>cuja</w:t>
      </w:r>
      <w:r>
        <w:rPr>
          <w:spacing w:val="-37"/>
          <w:w w:val="105"/>
          <w:sz w:val="20"/>
        </w:rPr>
        <w:t> </w:t>
      </w:r>
      <w:r>
        <w:rPr>
          <w:w w:val="105"/>
          <w:sz w:val="20"/>
        </w:rPr>
        <w:t>natureza</w:t>
      </w:r>
      <w:r>
        <w:rPr>
          <w:spacing w:val="-38"/>
          <w:w w:val="105"/>
          <w:sz w:val="20"/>
        </w:rPr>
        <w:t> </w:t>
      </w:r>
      <w:r>
        <w:rPr>
          <w:w w:val="105"/>
          <w:sz w:val="20"/>
        </w:rPr>
        <w:t>do</w:t>
      </w:r>
      <w:r>
        <w:rPr>
          <w:spacing w:val="-37"/>
          <w:w w:val="105"/>
          <w:sz w:val="20"/>
        </w:rPr>
        <w:t> </w:t>
      </w:r>
      <w:r>
        <w:rPr>
          <w:w w:val="105"/>
          <w:sz w:val="20"/>
        </w:rPr>
        <w:t>serviço</w:t>
      </w:r>
      <w:r>
        <w:rPr>
          <w:spacing w:val="-38"/>
          <w:w w:val="105"/>
          <w:sz w:val="20"/>
        </w:rPr>
        <w:t> </w:t>
      </w:r>
      <w:r>
        <w:rPr>
          <w:w w:val="105"/>
          <w:sz w:val="20"/>
        </w:rPr>
        <w:t>inclui</w:t>
      </w:r>
      <w:r>
        <w:rPr>
          <w:spacing w:val="-38"/>
          <w:w w:val="105"/>
          <w:sz w:val="20"/>
        </w:rPr>
        <w:t> </w:t>
      </w:r>
      <w:r>
        <w:rPr>
          <w:w w:val="105"/>
          <w:sz w:val="20"/>
        </w:rPr>
        <w:t>o</w:t>
      </w:r>
      <w:r>
        <w:rPr>
          <w:spacing w:val="-38"/>
          <w:w w:val="105"/>
          <w:sz w:val="20"/>
        </w:rPr>
        <w:t> </w:t>
      </w:r>
      <w:r>
        <w:rPr>
          <w:w w:val="105"/>
          <w:sz w:val="20"/>
        </w:rPr>
        <w:t>fornecimento</w:t>
      </w:r>
      <w:r>
        <w:rPr>
          <w:spacing w:val="-37"/>
          <w:w w:val="105"/>
          <w:sz w:val="20"/>
        </w:rPr>
        <w:t> </w:t>
      </w:r>
      <w:r>
        <w:rPr>
          <w:w w:val="105"/>
          <w:sz w:val="20"/>
        </w:rPr>
        <w:t>de</w:t>
      </w:r>
      <w:r>
        <w:rPr>
          <w:spacing w:val="-38"/>
          <w:w w:val="105"/>
          <w:sz w:val="20"/>
        </w:rPr>
        <w:t> </w:t>
      </w:r>
      <w:r>
        <w:rPr>
          <w:w w:val="105"/>
          <w:sz w:val="20"/>
        </w:rPr>
        <w:t>energia elétrica</w:t>
      </w:r>
      <w:r>
        <w:rPr>
          <w:spacing w:val="-41"/>
          <w:w w:val="105"/>
          <w:sz w:val="20"/>
        </w:rPr>
        <w:t> </w:t>
      </w:r>
      <w:r>
        <w:rPr>
          <w:w w:val="105"/>
          <w:sz w:val="20"/>
        </w:rPr>
        <w:t>registrado</w:t>
      </w:r>
      <w:r>
        <w:rPr>
          <w:spacing w:val="-41"/>
          <w:w w:val="105"/>
          <w:sz w:val="20"/>
        </w:rPr>
        <w:t> </w:t>
      </w:r>
      <w:r>
        <w:rPr>
          <w:w w:val="105"/>
          <w:sz w:val="20"/>
        </w:rPr>
        <w:t>na</w:t>
      </w:r>
      <w:r>
        <w:rPr>
          <w:spacing w:val="-39"/>
          <w:w w:val="105"/>
          <w:sz w:val="20"/>
        </w:rPr>
        <w:t> </w:t>
      </w:r>
      <w:r>
        <w:rPr>
          <w:w w:val="105"/>
          <w:sz w:val="20"/>
        </w:rPr>
        <w:t>CEB</w:t>
      </w:r>
      <w:r>
        <w:rPr>
          <w:spacing w:val="-40"/>
          <w:w w:val="105"/>
          <w:sz w:val="20"/>
        </w:rPr>
        <w:t> </w:t>
      </w:r>
      <w:r>
        <w:rPr>
          <w:w w:val="105"/>
          <w:sz w:val="20"/>
        </w:rPr>
        <w:t>DIS</w:t>
      </w:r>
      <w:r>
        <w:rPr>
          <w:spacing w:val="-41"/>
          <w:w w:val="105"/>
          <w:sz w:val="20"/>
        </w:rPr>
        <w:t> </w:t>
      </w:r>
      <w:r>
        <w:rPr>
          <w:w w:val="105"/>
          <w:sz w:val="20"/>
        </w:rPr>
        <w:t>e</w:t>
      </w:r>
      <w:r>
        <w:rPr>
          <w:spacing w:val="-40"/>
          <w:w w:val="105"/>
          <w:sz w:val="20"/>
        </w:rPr>
        <w:t> </w:t>
      </w:r>
      <w:r>
        <w:rPr>
          <w:w w:val="105"/>
          <w:sz w:val="20"/>
        </w:rPr>
        <w:t>serviços</w:t>
      </w:r>
      <w:r>
        <w:rPr>
          <w:spacing w:val="-40"/>
          <w:w w:val="105"/>
          <w:sz w:val="20"/>
        </w:rPr>
        <w:t> </w:t>
      </w:r>
      <w:r>
        <w:rPr>
          <w:w w:val="105"/>
          <w:sz w:val="20"/>
        </w:rPr>
        <w:t>de</w:t>
      </w:r>
      <w:r>
        <w:rPr>
          <w:spacing w:val="-40"/>
          <w:w w:val="105"/>
          <w:sz w:val="20"/>
        </w:rPr>
        <w:t> </w:t>
      </w:r>
      <w:r>
        <w:rPr>
          <w:w w:val="105"/>
          <w:sz w:val="20"/>
        </w:rPr>
        <w:t>manutenção</w:t>
      </w:r>
      <w:r>
        <w:rPr>
          <w:spacing w:val="-39"/>
          <w:w w:val="105"/>
          <w:sz w:val="20"/>
        </w:rPr>
        <w:t> </w:t>
      </w:r>
      <w:r>
        <w:rPr>
          <w:w w:val="105"/>
          <w:sz w:val="20"/>
        </w:rPr>
        <w:t>e</w:t>
      </w:r>
      <w:r>
        <w:rPr>
          <w:spacing w:val="-42"/>
          <w:w w:val="105"/>
          <w:sz w:val="20"/>
        </w:rPr>
        <w:t> </w:t>
      </w:r>
      <w:r>
        <w:rPr>
          <w:w w:val="105"/>
          <w:sz w:val="20"/>
        </w:rPr>
        <w:t>obras</w:t>
      </w:r>
      <w:r>
        <w:rPr>
          <w:spacing w:val="-40"/>
          <w:w w:val="105"/>
          <w:sz w:val="20"/>
        </w:rPr>
        <w:t> </w:t>
      </w:r>
      <w:r>
        <w:rPr>
          <w:w w:val="105"/>
          <w:sz w:val="20"/>
        </w:rPr>
        <w:t>de</w:t>
      </w:r>
      <w:r>
        <w:rPr>
          <w:spacing w:val="-40"/>
          <w:w w:val="105"/>
          <w:sz w:val="20"/>
        </w:rPr>
        <w:t> </w:t>
      </w:r>
      <w:r>
        <w:rPr>
          <w:w w:val="105"/>
          <w:sz w:val="20"/>
        </w:rPr>
        <w:t>iluminação</w:t>
      </w:r>
      <w:r>
        <w:rPr>
          <w:spacing w:val="-41"/>
          <w:w w:val="105"/>
          <w:sz w:val="20"/>
        </w:rPr>
        <w:t> </w:t>
      </w:r>
      <w:r>
        <w:rPr>
          <w:w w:val="105"/>
          <w:sz w:val="20"/>
        </w:rPr>
        <w:t>pública</w:t>
      </w:r>
      <w:r>
        <w:rPr>
          <w:spacing w:val="-41"/>
          <w:w w:val="105"/>
          <w:sz w:val="20"/>
        </w:rPr>
        <w:t> </w:t>
      </w:r>
      <w:r>
        <w:rPr>
          <w:w w:val="105"/>
          <w:sz w:val="20"/>
        </w:rPr>
        <w:t>prestados</w:t>
      </w:r>
      <w:r>
        <w:rPr>
          <w:spacing w:val="-40"/>
          <w:w w:val="105"/>
          <w:sz w:val="20"/>
        </w:rPr>
        <w:t> </w:t>
      </w:r>
      <w:r>
        <w:rPr>
          <w:w w:val="105"/>
          <w:sz w:val="20"/>
        </w:rPr>
        <w:t>pela</w:t>
      </w:r>
      <w:r>
        <w:rPr>
          <w:spacing w:val="-41"/>
          <w:w w:val="105"/>
          <w:sz w:val="20"/>
        </w:rPr>
        <w:t> </w:t>
      </w:r>
      <w:r>
        <w:rPr>
          <w:w w:val="105"/>
          <w:sz w:val="20"/>
        </w:rPr>
        <w:t>CEB.</w:t>
      </w:r>
    </w:p>
    <w:p>
      <w:pPr>
        <w:pStyle w:val="BodyText"/>
        <w:spacing w:before="5"/>
      </w:pPr>
    </w:p>
    <w:p>
      <w:pPr>
        <w:pStyle w:val="Heading5"/>
        <w:numPr>
          <w:ilvl w:val="2"/>
          <w:numId w:val="48"/>
        </w:numPr>
        <w:tabs>
          <w:tab w:pos="1026" w:val="left" w:leader="none"/>
        </w:tabs>
        <w:spacing w:line="240" w:lineRule="auto" w:before="0" w:after="0"/>
        <w:ind w:left="1025" w:right="0" w:hanging="854"/>
        <w:jc w:val="left"/>
      </w:pPr>
      <w:r>
        <w:rPr/>
        <w:t>Operações com a</w:t>
      </w:r>
      <w:r>
        <w:rPr>
          <w:spacing w:val="-3"/>
        </w:rPr>
        <w:t> </w:t>
      </w:r>
      <w:r>
        <w:rPr/>
        <w:t>FACEB</w:t>
      </w:r>
    </w:p>
    <w:p>
      <w:pPr>
        <w:pStyle w:val="BodyText"/>
        <w:spacing w:before="1"/>
        <w:rPr>
          <w:rFonts w:ascii="Caladea"/>
          <w:b/>
          <w:sz w:val="24"/>
        </w:rPr>
      </w:pPr>
    </w:p>
    <w:p>
      <w:pPr>
        <w:pStyle w:val="BodyText"/>
        <w:spacing w:line="242" w:lineRule="auto"/>
        <w:ind w:left="172" w:right="406"/>
        <w:jc w:val="both"/>
      </w:pPr>
      <w:r>
        <w:rPr/>
        <w:t>A</w:t>
      </w:r>
      <w:r>
        <w:rPr>
          <w:spacing w:val="-22"/>
        </w:rPr>
        <w:t> </w:t>
      </w:r>
      <w:r>
        <w:rPr/>
        <w:t>Companhia</w:t>
      </w:r>
      <w:r>
        <w:rPr>
          <w:spacing w:val="-18"/>
        </w:rPr>
        <w:t> </w:t>
      </w:r>
      <w:r>
        <w:rPr/>
        <w:t>e</w:t>
      </w:r>
      <w:r>
        <w:rPr>
          <w:spacing w:val="-21"/>
        </w:rPr>
        <w:t> </w:t>
      </w:r>
      <w:r>
        <w:rPr/>
        <w:t>suas</w:t>
      </w:r>
      <w:r>
        <w:rPr>
          <w:spacing w:val="-21"/>
        </w:rPr>
        <w:t> </w:t>
      </w:r>
      <w:r>
        <w:rPr/>
        <w:t>controladas</w:t>
      </w:r>
      <w:r>
        <w:rPr>
          <w:spacing w:val="-21"/>
        </w:rPr>
        <w:t> </w:t>
      </w:r>
      <w:r>
        <w:rPr/>
        <w:t>são</w:t>
      </w:r>
      <w:r>
        <w:rPr>
          <w:spacing w:val="-22"/>
        </w:rPr>
        <w:t> </w:t>
      </w:r>
      <w:r>
        <w:rPr/>
        <w:t>patrocinadoras</w:t>
      </w:r>
      <w:r>
        <w:rPr>
          <w:spacing w:val="-21"/>
        </w:rPr>
        <w:t> </w:t>
      </w:r>
      <w:r>
        <w:rPr/>
        <w:t>da</w:t>
      </w:r>
      <w:r>
        <w:rPr>
          <w:spacing w:val="-17"/>
        </w:rPr>
        <w:t> </w:t>
      </w:r>
      <w:r>
        <w:rPr/>
        <w:t>Fundação</w:t>
      </w:r>
      <w:r>
        <w:rPr>
          <w:spacing w:val="-22"/>
        </w:rPr>
        <w:t> </w:t>
      </w:r>
      <w:r>
        <w:rPr/>
        <w:t>de</w:t>
      </w:r>
      <w:r>
        <w:rPr>
          <w:spacing w:val="-19"/>
        </w:rPr>
        <w:t> </w:t>
      </w:r>
      <w:r>
        <w:rPr/>
        <w:t>Previdência</w:t>
      </w:r>
      <w:r>
        <w:rPr>
          <w:spacing w:val="-18"/>
        </w:rPr>
        <w:t> </w:t>
      </w:r>
      <w:r>
        <w:rPr/>
        <w:t>dos</w:t>
      </w:r>
      <w:r>
        <w:rPr>
          <w:spacing w:val="-21"/>
        </w:rPr>
        <w:t> </w:t>
      </w:r>
      <w:r>
        <w:rPr/>
        <w:t>Empregados</w:t>
      </w:r>
      <w:r>
        <w:rPr>
          <w:spacing w:val="-21"/>
        </w:rPr>
        <w:t> </w:t>
      </w:r>
      <w:r>
        <w:rPr/>
        <w:t>da</w:t>
      </w:r>
      <w:r>
        <w:rPr>
          <w:spacing w:val="-19"/>
        </w:rPr>
        <w:t> </w:t>
      </w:r>
      <w:r>
        <w:rPr/>
        <w:t>CEB</w:t>
      </w:r>
      <w:r>
        <w:rPr>
          <w:spacing w:val="-11"/>
        </w:rPr>
        <w:t> </w:t>
      </w:r>
      <w:r>
        <w:rPr>
          <w:w w:val="105"/>
        </w:rPr>
        <w:t>–</w:t>
      </w:r>
      <w:r>
        <w:rPr>
          <w:spacing w:val="-22"/>
          <w:w w:val="105"/>
        </w:rPr>
        <w:t> </w:t>
      </w:r>
      <w:r>
        <w:rPr/>
        <w:t>FACEB. Vide</w:t>
      </w:r>
      <w:r>
        <w:rPr>
          <w:spacing w:val="-18"/>
        </w:rPr>
        <w:t> </w:t>
      </w:r>
      <w:r>
        <w:rPr/>
        <w:t>detalhes</w:t>
      </w:r>
      <w:r>
        <w:rPr>
          <w:spacing w:val="-18"/>
        </w:rPr>
        <w:t> </w:t>
      </w:r>
      <w:r>
        <w:rPr/>
        <w:t>das</w:t>
      </w:r>
      <w:r>
        <w:rPr>
          <w:spacing w:val="-19"/>
        </w:rPr>
        <w:t> </w:t>
      </w:r>
      <w:r>
        <w:rPr/>
        <w:t>transações</w:t>
      </w:r>
      <w:r>
        <w:rPr>
          <w:spacing w:val="-15"/>
        </w:rPr>
        <w:t> </w:t>
      </w:r>
      <w:r>
        <w:rPr/>
        <w:t>na</w:t>
      </w:r>
      <w:r>
        <w:rPr>
          <w:spacing w:val="-18"/>
        </w:rPr>
        <w:t> </w:t>
      </w:r>
      <w:r>
        <w:rPr/>
        <w:t>Nota</w:t>
      </w:r>
      <w:r>
        <w:rPr>
          <w:spacing w:val="-19"/>
        </w:rPr>
        <w:t> </w:t>
      </w:r>
      <w:r>
        <w:rPr/>
        <w:t>Explicativa</w:t>
      </w:r>
      <w:r>
        <w:rPr>
          <w:spacing w:val="-18"/>
        </w:rPr>
        <w:t> </w:t>
      </w:r>
      <w:r>
        <w:rPr/>
        <w:t>nº</w:t>
      </w:r>
      <w:r>
        <w:rPr>
          <w:spacing w:val="-17"/>
        </w:rPr>
        <w:t> </w:t>
      </w:r>
      <w:r>
        <w:rPr/>
        <w:t>25.</w:t>
      </w:r>
    </w:p>
    <w:p>
      <w:pPr>
        <w:pStyle w:val="BodyText"/>
        <w:spacing w:before="5"/>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A</w:t>
      </w:r>
      <w:r>
        <w:rPr>
          <w:rFonts w:ascii="Caladea" w:hAnsi="Caladea"/>
          <w:b/>
          <w:sz w:val="18"/>
        </w:rPr>
        <w:t>CORDO DE </w:t>
      </w:r>
      <w:r>
        <w:rPr>
          <w:rFonts w:ascii="Caladea" w:hAnsi="Caladea"/>
          <w:b/>
          <w:sz w:val="22"/>
        </w:rPr>
        <w:t>C</w:t>
      </w:r>
      <w:r>
        <w:rPr>
          <w:rFonts w:ascii="Caladea" w:hAnsi="Caladea"/>
          <w:b/>
          <w:sz w:val="18"/>
        </w:rPr>
        <w:t>OOPERAÇÃO</w:t>
      </w:r>
      <w:r>
        <w:rPr>
          <w:rFonts w:ascii="Caladea" w:hAnsi="Caladea"/>
          <w:b/>
          <w:spacing w:val="-1"/>
          <w:sz w:val="18"/>
        </w:rPr>
        <w:t> </w:t>
      </w:r>
      <w:r>
        <w:rPr>
          <w:rFonts w:ascii="Caladea" w:hAnsi="Caladea"/>
          <w:b/>
          <w:sz w:val="22"/>
        </w:rPr>
        <w:t>T</w:t>
      </w:r>
      <w:r>
        <w:rPr>
          <w:rFonts w:ascii="Caladea" w:hAnsi="Caladea"/>
          <w:b/>
          <w:sz w:val="18"/>
        </w:rPr>
        <w:t>ÉCNICA</w:t>
      </w:r>
    </w:p>
    <w:p>
      <w:pPr>
        <w:pStyle w:val="BodyText"/>
        <w:rPr>
          <w:rFonts w:ascii="Caladea"/>
          <w:b/>
          <w:sz w:val="24"/>
        </w:rPr>
      </w:pPr>
    </w:p>
    <w:p>
      <w:pPr>
        <w:pStyle w:val="BodyText"/>
        <w:spacing w:line="242" w:lineRule="auto" w:before="1"/>
        <w:ind w:left="172" w:right="408"/>
        <w:jc w:val="both"/>
      </w:pPr>
      <w:r>
        <w:rPr/>
        <w:t>Em</w:t>
      </w:r>
      <w:r>
        <w:rPr>
          <w:spacing w:val="-13"/>
        </w:rPr>
        <w:t> </w:t>
      </w:r>
      <w:r>
        <w:rPr/>
        <w:t>outubro</w:t>
      </w:r>
      <w:r>
        <w:rPr>
          <w:spacing w:val="-10"/>
        </w:rPr>
        <w:t> </w:t>
      </w:r>
      <w:r>
        <w:rPr/>
        <w:t>de</w:t>
      </w:r>
      <w:r>
        <w:rPr>
          <w:spacing w:val="-12"/>
        </w:rPr>
        <w:t> </w:t>
      </w:r>
      <w:r>
        <w:rPr/>
        <w:t>2012,</w:t>
      </w:r>
      <w:r>
        <w:rPr>
          <w:spacing w:val="-10"/>
        </w:rPr>
        <w:t> </w:t>
      </w:r>
      <w:r>
        <w:rPr/>
        <w:t>a</w:t>
      </w:r>
      <w:r>
        <w:rPr>
          <w:spacing w:val="-12"/>
        </w:rPr>
        <w:t> </w:t>
      </w:r>
      <w:r>
        <w:rPr/>
        <w:t>Diretoria</w:t>
      </w:r>
      <w:r>
        <w:rPr>
          <w:spacing w:val="-10"/>
        </w:rPr>
        <w:t> </w:t>
      </w:r>
      <w:r>
        <w:rPr/>
        <w:t>da</w:t>
      </w:r>
      <w:r>
        <w:rPr>
          <w:spacing w:val="-11"/>
        </w:rPr>
        <w:t> </w:t>
      </w:r>
      <w:r>
        <w:rPr/>
        <w:t>CEB</w:t>
      </w:r>
      <w:r>
        <w:rPr>
          <w:spacing w:val="-12"/>
        </w:rPr>
        <w:t> </w:t>
      </w:r>
      <w:r>
        <w:rPr/>
        <w:t>DIS,</w:t>
      </w:r>
      <w:r>
        <w:rPr>
          <w:spacing w:val="-11"/>
        </w:rPr>
        <w:t> </w:t>
      </w:r>
      <w:r>
        <w:rPr/>
        <w:t>por</w:t>
      </w:r>
      <w:r>
        <w:rPr>
          <w:spacing w:val="-12"/>
        </w:rPr>
        <w:t> </w:t>
      </w:r>
      <w:r>
        <w:rPr/>
        <w:t>meio</w:t>
      </w:r>
      <w:r>
        <w:rPr>
          <w:spacing w:val="-9"/>
        </w:rPr>
        <w:t> </w:t>
      </w:r>
      <w:r>
        <w:rPr/>
        <w:t>da</w:t>
      </w:r>
      <w:r>
        <w:rPr>
          <w:spacing w:val="-11"/>
        </w:rPr>
        <w:t> </w:t>
      </w:r>
      <w:r>
        <w:rPr/>
        <w:t>Resolução</w:t>
      </w:r>
      <w:r>
        <w:rPr>
          <w:spacing w:val="-12"/>
        </w:rPr>
        <w:t> </w:t>
      </w:r>
      <w:r>
        <w:rPr/>
        <w:t>nº</w:t>
      </w:r>
      <w:r>
        <w:rPr>
          <w:spacing w:val="-10"/>
        </w:rPr>
        <w:t> </w:t>
      </w:r>
      <w:r>
        <w:rPr/>
        <w:t>378,</w:t>
      </w:r>
      <w:r>
        <w:rPr>
          <w:spacing w:val="-11"/>
        </w:rPr>
        <w:t> </w:t>
      </w:r>
      <w:r>
        <w:rPr/>
        <w:t>autorizou</w:t>
      </w:r>
      <w:r>
        <w:rPr>
          <w:spacing w:val="-11"/>
        </w:rPr>
        <w:t> </w:t>
      </w:r>
      <w:r>
        <w:rPr/>
        <w:t>a</w:t>
      </w:r>
      <w:r>
        <w:rPr>
          <w:spacing w:val="-12"/>
        </w:rPr>
        <w:t> </w:t>
      </w:r>
      <w:r>
        <w:rPr/>
        <w:t>celebração</w:t>
      </w:r>
      <w:r>
        <w:rPr>
          <w:spacing w:val="-12"/>
        </w:rPr>
        <w:t> </w:t>
      </w:r>
      <w:r>
        <w:rPr/>
        <w:t>de</w:t>
      </w:r>
      <w:r>
        <w:rPr>
          <w:spacing w:val="-13"/>
        </w:rPr>
        <w:t> </w:t>
      </w:r>
      <w:r>
        <w:rPr/>
        <w:t>Acordo</w:t>
      </w:r>
      <w:r>
        <w:rPr>
          <w:spacing w:val="-11"/>
        </w:rPr>
        <w:t> </w:t>
      </w:r>
      <w:r>
        <w:rPr/>
        <w:t>de Cooperação Técnica com a Secretaria de Planejamento e Orçamento do Distrito Federal </w:t>
      </w:r>
      <w:r>
        <w:rPr>
          <w:w w:val="105"/>
        </w:rPr>
        <w:t>– </w:t>
      </w:r>
      <w:r>
        <w:rPr/>
        <w:t>SEPLAN, órgão que administra</w:t>
      </w:r>
      <w:r>
        <w:rPr>
          <w:spacing w:val="-34"/>
        </w:rPr>
        <w:t> </w:t>
      </w:r>
      <w:r>
        <w:rPr/>
        <w:t>o</w:t>
      </w:r>
      <w:r>
        <w:rPr>
          <w:spacing w:val="-32"/>
        </w:rPr>
        <w:t> </w:t>
      </w:r>
      <w:r>
        <w:rPr/>
        <w:t>parque</w:t>
      </w:r>
      <w:r>
        <w:rPr>
          <w:spacing w:val="-35"/>
        </w:rPr>
        <w:t> </w:t>
      </w:r>
      <w:r>
        <w:rPr/>
        <w:t>tecnológico</w:t>
      </w:r>
      <w:r>
        <w:rPr>
          <w:spacing w:val="-33"/>
        </w:rPr>
        <w:t> </w:t>
      </w:r>
      <w:r>
        <w:rPr/>
        <w:t>do</w:t>
      </w:r>
      <w:r>
        <w:rPr>
          <w:spacing w:val="-34"/>
        </w:rPr>
        <w:t> </w:t>
      </w:r>
      <w:r>
        <w:rPr/>
        <w:t>Governo</w:t>
      </w:r>
      <w:r>
        <w:rPr>
          <w:spacing w:val="-32"/>
        </w:rPr>
        <w:t> </w:t>
      </w:r>
      <w:r>
        <w:rPr/>
        <w:t>do</w:t>
      </w:r>
      <w:r>
        <w:rPr>
          <w:spacing w:val="-33"/>
        </w:rPr>
        <w:t> </w:t>
      </w:r>
      <w:r>
        <w:rPr/>
        <w:t>Distrito</w:t>
      </w:r>
      <w:r>
        <w:rPr>
          <w:spacing w:val="-33"/>
        </w:rPr>
        <w:t> </w:t>
      </w:r>
      <w:r>
        <w:rPr/>
        <w:t>Federal</w:t>
      </w:r>
      <w:r>
        <w:rPr>
          <w:spacing w:val="-32"/>
        </w:rPr>
        <w:t> </w:t>
      </w:r>
      <w:r>
        <w:rPr>
          <w:w w:val="105"/>
        </w:rPr>
        <w:t>–</w:t>
      </w:r>
      <w:r>
        <w:rPr>
          <w:spacing w:val="-36"/>
          <w:w w:val="105"/>
        </w:rPr>
        <w:t> </w:t>
      </w:r>
      <w:r>
        <w:rPr/>
        <w:t>GDF,</w:t>
      </w:r>
      <w:r>
        <w:rPr>
          <w:spacing w:val="-34"/>
        </w:rPr>
        <w:t> </w:t>
      </w:r>
      <w:r>
        <w:rPr/>
        <w:t>a</w:t>
      </w:r>
      <w:r>
        <w:rPr>
          <w:spacing w:val="-33"/>
        </w:rPr>
        <w:t> </w:t>
      </w:r>
      <w:r>
        <w:rPr/>
        <w:t>fim</w:t>
      </w:r>
      <w:r>
        <w:rPr>
          <w:spacing w:val="-33"/>
        </w:rPr>
        <w:t> </w:t>
      </w:r>
      <w:r>
        <w:rPr/>
        <w:t>de</w:t>
      </w:r>
      <w:r>
        <w:rPr>
          <w:spacing w:val="-34"/>
        </w:rPr>
        <w:t> </w:t>
      </w:r>
      <w:r>
        <w:rPr/>
        <w:t>migrar</w:t>
      </w:r>
      <w:r>
        <w:rPr>
          <w:spacing w:val="-35"/>
        </w:rPr>
        <w:t> </w:t>
      </w:r>
      <w:r>
        <w:rPr/>
        <w:t>os</w:t>
      </w:r>
      <w:r>
        <w:rPr>
          <w:spacing w:val="-33"/>
        </w:rPr>
        <w:t> </w:t>
      </w:r>
      <w:r>
        <w:rPr/>
        <w:t>serviços</w:t>
      </w:r>
      <w:r>
        <w:rPr>
          <w:spacing w:val="-33"/>
        </w:rPr>
        <w:t> </w:t>
      </w:r>
      <w:r>
        <w:rPr/>
        <w:t>de</w:t>
      </w:r>
      <w:r>
        <w:rPr>
          <w:spacing w:val="-34"/>
        </w:rPr>
        <w:t> </w:t>
      </w:r>
      <w:r>
        <w:rPr/>
        <w:t>processamento e</w:t>
      </w:r>
      <w:r>
        <w:rPr>
          <w:spacing w:val="-40"/>
        </w:rPr>
        <w:t> </w:t>
      </w:r>
      <w:r>
        <w:rPr/>
        <w:t>armazenamento</w:t>
      </w:r>
      <w:r>
        <w:rPr>
          <w:spacing w:val="-37"/>
        </w:rPr>
        <w:t> </w:t>
      </w:r>
      <w:r>
        <w:rPr/>
        <w:t>de</w:t>
      </w:r>
      <w:r>
        <w:rPr>
          <w:spacing w:val="-39"/>
        </w:rPr>
        <w:t> </w:t>
      </w:r>
      <w:r>
        <w:rPr/>
        <w:t>dados</w:t>
      </w:r>
      <w:r>
        <w:rPr>
          <w:spacing w:val="-37"/>
        </w:rPr>
        <w:t> </w:t>
      </w:r>
      <w:r>
        <w:rPr/>
        <w:t>da</w:t>
      </w:r>
      <w:r>
        <w:rPr>
          <w:spacing w:val="-38"/>
        </w:rPr>
        <w:t> </w:t>
      </w:r>
      <w:r>
        <w:rPr/>
        <w:t>Companhia</w:t>
      </w:r>
      <w:r>
        <w:rPr>
          <w:spacing w:val="-38"/>
        </w:rPr>
        <w:t> </w:t>
      </w:r>
      <w:r>
        <w:rPr/>
        <w:t>para</w:t>
      </w:r>
      <w:r>
        <w:rPr>
          <w:spacing w:val="-38"/>
        </w:rPr>
        <w:t> </w:t>
      </w:r>
      <w:r>
        <w:rPr/>
        <w:t>o</w:t>
      </w:r>
      <w:r>
        <w:rPr>
          <w:spacing w:val="-37"/>
        </w:rPr>
        <w:t> </w:t>
      </w:r>
      <w:r>
        <w:rPr/>
        <w:t>Data</w:t>
      </w:r>
      <w:r>
        <w:rPr>
          <w:spacing w:val="-38"/>
        </w:rPr>
        <w:t> </w:t>
      </w:r>
      <w:r>
        <w:rPr/>
        <w:t>Center</w:t>
      </w:r>
      <w:r>
        <w:rPr>
          <w:spacing w:val="-37"/>
        </w:rPr>
        <w:t> </w:t>
      </w:r>
      <w:r>
        <w:rPr/>
        <w:t>da</w:t>
      </w:r>
      <w:r>
        <w:rPr>
          <w:spacing w:val="-37"/>
        </w:rPr>
        <w:t> </w:t>
      </w:r>
      <w:r>
        <w:rPr/>
        <w:t>SEPLAN.</w:t>
      </w:r>
      <w:r>
        <w:rPr>
          <w:spacing w:val="-38"/>
        </w:rPr>
        <w:t> </w:t>
      </w:r>
      <w:r>
        <w:rPr/>
        <w:t>O</w:t>
      </w:r>
      <w:r>
        <w:rPr>
          <w:spacing w:val="-37"/>
        </w:rPr>
        <w:t> </w:t>
      </w:r>
      <w:r>
        <w:rPr/>
        <w:t>referido</w:t>
      </w:r>
      <w:r>
        <w:rPr>
          <w:spacing w:val="-36"/>
        </w:rPr>
        <w:t> </w:t>
      </w:r>
      <w:r>
        <w:rPr/>
        <w:t>Acordo</w:t>
      </w:r>
      <w:r>
        <w:rPr>
          <w:spacing w:val="-38"/>
        </w:rPr>
        <w:t> </w:t>
      </w:r>
      <w:r>
        <w:rPr/>
        <w:t>prevê</w:t>
      </w:r>
      <w:r>
        <w:rPr>
          <w:spacing w:val="-39"/>
        </w:rPr>
        <w:t> </w:t>
      </w:r>
      <w:r>
        <w:rPr/>
        <w:t>ainda,</w:t>
      </w:r>
      <w:r>
        <w:rPr>
          <w:spacing w:val="-38"/>
        </w:rPr>
        <w:t> </w:t>
      </w:r>
      <w:r>
        <w:rPr/>
        <w:t>a</w:t>
      </w:r>
      <w:r>
        <w:rPr>
          <w:spacing w:val="-38"/>
        </w:rPr>
        <w:t> </w:t>
      </w:r>
      <w:r>
        <w:rPr/>
        <w:t>utilização pela</w:t>
      </w:r>
      <w:r>
        <w:rPr>
          <w:spacing w:val="-23"/>
        </w:rPr>
        <w:t> </w:t>
      </w:r>
      <w:r>
        <w:rPr/>
        <w:t>SEPLAN,</w:t>
      </w:r>
      <w:r>
        <w:rPr>
          <w:spacing w:val="-24"/>
        </w:rPr>
        <w:t> </w:t>
      </w:r>
      <w:r>
        <w:rPr/>
        <w:t>dos</w:t>
      </w:r>
      <w:r>
        <w:rPr>
          <w:spacing w:val="-22"/>
        </w:rPr>
        <w:t> </w:t>
      </w:r>
      <w:r>
        <w:rPr/>
        <w:t>dutos</w:t>
      </w:r>
      <w:r>
        <w:rPr>
          <w:spacing w:val="-21"/>
        </w:rPr>
        <w:t> </w:t>
      </w:r>
      <w:r>
        <w:rPr/>
        <w:t>da</w:t>
      </w:r>
      <w:r>
        <w:rPr>
          <w:spacing w:val="-23"/>
        </w:rPr>
        <w:t> </w:t>
      </w:r>
      <w:r>
        <w:rPr/>
        <w:t>CEB</w:t>
      </w:r>
      <w:r>
        <w:rPr>
          <w:spacing w:val="-23"/>
        </w:rPr>
        <w:t> </w:t>
      </w:r>
      <w:r>
        <w:rPr/>
        <w:t>DIS</w:t>
      </w:r>
      <w:r>
        <w:rPr>
          <w:spacing w:val="-23"/>
        </w:rPr>
        <w:t> </w:t>
      </w:r>
      <w:r>
        <w:rPr/>
        <w:t>para</w:t>
      </w:r>
      <w:r>
        <w:rPr>
          <w:spacing w:val="-23"/>
        </w:rPr>
        <w:t> </w:t>
      </w:r>
      <w:r>
        <w:rPr/>
        <w:t>fazer</w:t>
      </w:r>
      <w:r>
        <w:rPr>
          <w:spacing w:val="-23"/>
        </w:rPr>
        <w:t> </w:t>
      </w:r>
      <w:r>
        <w:rPr/>
        <w:t>o</w:t>
      </w:r>
      <w:r>
        <w:rPr>
          <w:spacing w:val="-21"/>
        </w:rPr>
        <w:t> </w:t>
      </w:r>
      <w:r>
        <w:rPr/>
        <w:t>cabeamento</w:t>
      </w:r>
      <w:r>
        <w:rPr>
          <w:spacing w:val="-22"/>
        </w:rPr>
        <w:t> </w:t>
      </w:r>
      <w:r>
        <w:rPr/>
        <w:t>de</w:t>
      </w:r>
      <w:r>
        <w:rPr>
          <w:spacing w:val="-23"/>
        </w:rPr>
        <w:t> </w:t>
      </w:r>
      <w:r>
        <w:rPr/>
        <w:t>fibra</w:t>
      </w:r>
      <w:r>
        <w:rPr>
          <w:spacing w:val="-22"/>
        </w:rPr>
        <w:t> </w:t>
      </w:r>
      <w:r>
        <w:rPr/>
        <w:t>ótica,</w:t>
      </w:r>
      <w:r>
        <w:rPr>
          <w:spacing w:val="-24"/>
        </w:rPr>
        <w:t> </w:t>
      </w:r>
      <w:r>
        <w:rPr/>
        <w:t>sem</w:t>
      </w:r>
      <w:r>
        <w:rPr>
          <w:spacing w:val="-22"/>
        </w:rPr>
        <w:t> </w:t>
      </w:r>
      <w:r>
        <w:rPr/>
        <w:t>custos</w:t>
      </w:r>
      <w:r>
        <w:rPr>
          <w:spacing w:val="-22"/>
        </w:rPr>
        <w:t> </w:t>
      </w:r>
      <w:r>
        <w:rPr/>
        <w:t>recíprocos.</w:t>
      </w:r>
    </w:p>
    <w:p>
      <w:pPr>
        <w:pStyle w:val="BodyText"/>
        <w:spacing w:before="1"/>
      </w:pPr>
    </w:p>
    <w:p>
      <w:pPr>
        <w:pStyle w:val="Heading3"/>
        <w:numPr>
          <w:ilvl w:val="0"/>
          <w:numId w:val="6"/>
        </w:numPr>
        <w:tabs>
          <w:tab w:pos="953" w:val="left" w:leader="none"/>
          <w:tab w:pos="954" w:val="left" w:leader="none"/>
        </w:tabs>
        <w:spacing w:line="240" w:lineRule="auto" w:before="1" w:after="0"/>
        <w:ind w:left="953" w:right="0" w:hanging="782"/>
        <w:jc w:val="left"/>
      </w:pPr>
      <w:r>
        <w:rPr/>
        <w:t>SEGUROS</w:t>
      </w:r>
    </w:p>
    <w:p>
      <w:pPr>
        <w:pStyle w:val="BodyText"/>
        <w:spacing w:line="242" w:lineRule="auto" w:before="243"/>
        <w:ind w:left="172" w:right="408"/>
        <w:jc w:val="both"/>
      </w:pPr>
      <w:r>
        <w:rPr/>
        <w:t>Em</w:t>
      </w:r>
      <w:r>
        <w:rPr>
          <w:spacing w:val="-26"/>
        </w:rPr>
        <w:t> </w:t>
      </w:r>
      <w:r>
        <w:rPr/>
        <w:t>31</w:t>
      </w:r>
      <w:r>
        <w:rPr>
          <w:spacing w:val="-23"/>
        </w:rPr>
        <w:t> </w:t>
      </w:r>
      <w:r>
        <w:rPr/>
        <w:t>de</w:t>
      </w:r>
      <w:r>
        <w:rPr>
          <w:spacing w:val="-25"/>
        </w:rPr>
        <w:t> </w:t>
      </w:r>
      <w:r>
        <w:rPr/>
        <w:t>dezembro</w:t>
      </w:r>
      <w:r>
        <w:rPr>
          <w:spacing w:val="-24"/>
        </w:rPr>
        <w:t> </w:t>
      </w:r>
      <w:r>
        <w:rPr/>
        <w:t>de</w:t>
      </w:r>
      <w:r>
        <w:rPr>
          <w:spacing w:val="-24"/>
        </w:rPr>
        <w:t> </w:t>
      </w:r>
      <w:r>
        <w:rPr/>
        <w:t>2019,</w:t>
      </w:r>
      <w:r>
        <w:rPr>
          <w:spacing w:val="-25"/>
        </w:rPr>
        <w:t> </w:t>
      </w:r>
      <w:r>
        <w:rPr/>
        <w:t>a</w:t>
      </w:r>
      <w:r>
        <w:rPr>
          <w:spacing w:val="-23"/>
        </w:rPr>
        <w:t> </w:t>
      </w:r>
      <w:r>
        <w:rPr/>
        <w:t>cobertura</w:t>
      </w:r>
      <w:r>
        <w:rPr>
          <w:spacing w:val="-23"/>
        </w:rPr>
        <w:t> </w:t>
      </w:r>
      <w:r>
        <w:rPr/>
        <w:t>de</w:t>
      </w:r>
      <w:r>
        <w:rPr>
          <w:spacing w:val="-25"/>
        </w:rPr>
        <w:t> </w:t>
      </w:r>
      <w:r>
        <w:rPr/>
        <w:t>seguros</w:t>
      </w:r>
      <w:r>
        <w:rPr>
          <w:spacing w:val="-22"/>
        </w:rPr>
        <w:t> </w:t>
      </w:r>
      <w:r>
        <w:rPr/>
        <w:t>contra</w:t>
      </w:r>
      <w:r>
        <w:rPr>
          <w:spacing w:val="-23"/>
        </w:rPr>
        <w:t> </w:t>
      </w:r>
      <w:r>
        <w:rPr/>
        <w:t>riscos</w:t>
      </w:r>
      <w:r>
        <w:rPr>
          <w:spacing w:val="-23"/>
        </w:rPr>
        <w:t> </w:t>
      </w:r>
      <w:r>
        <w:rPr/>
        <w:t>operacionais</w:t>
      </w:r>
      <w:r>
        <w:rPr>
          <w:spacing w:val="-25"/>
        </w:rPr>
        <w:t> </w:t>
      </w:r>
      <w:r>
        <w:rPr/>
        <w:t>da</w:t>
      </w:r>
      <w:r>
        <w:rPr>
          <w:spacing w:val="-21"/>
        </w:rPr>
        <w:t> </w:t>
      </w:r>
      <w:r>
        <w:rPr/>
        <w:t>CEB</w:t>
      </w:r>
      <w:r>
        <w:rPr>
          <w:spacing w:val="-25"/>
        </w:rPr>
        <w:t> </w:t>
      </w:r>
      <w:r>
        <w:rPr>
          <w:spacing w:val="2"/>
        </w:rPr>
        <w:t>DIS</w:t>
      </w:r>
      <w:r>
        <w:rPr>
          <w:spacing w:val="-23"/>
        </w:rPr>
        <w:t> </w:t>
      </w:r>
      <w:r>
        <w:rPr/>
        <w:t>incluía</w:t>
      </w:r>
      <w:r>
        <w:rPr>
          <w:spacing w:val="-25"/>
        </w:rPr>
        <w:t> </w:t>
      </w:r>
      <w:r>
        <w:rPr/>
        <w:t>danos</w:t>
      </w:r>
      <w:r>
        <w:rPr>
          <w:spacing w:val="-23"/>
        </w:rPr>
        <w:t> </w:t>
      </w:r>
      <w:r>
        <w:rPr/>
        <w:t>materiais, não</w:t>
      </w:r>
      <w:r>
        <w:rPr>
          <w:spacing w:val="-21"/>
        </w:rPr>
        <w:t> </w:t>
      </w:r>
      <w:r>
        <w:rPr/>
        <w:t>havendo</w:t>
      </w:r>
      <w:r>
        <w:rPr>
          <w:spacing w:val="-20"/>
        </w:rPr>
        <w:t> </w:t>
      </w:r>
      <w:r>
        <w:rPr/>
        <w:t>cobertura</w:t>
      </w:r>
      <w:r>
        <w:rPr>
          <w:spacing w:val="-19"/>
        </w:rPr>
        <w:t> </w:t>
      </w:r>
      <w:r>
        <w:rPr/>
        <w:t>para</w:t>
      </w:r>
      <w:r>
        <w:rPr>
          <w:spacing w:val="-17"/>
        </w:rPr>
        <w:t> </w:t>
      </w:r>
      <w:r>
        <w:rPr/>
        <w:t>lucros</w:t>
      </w:r>
      <w:r>
        <w:rPr>
          <w:spacing w:val="-19"/>
        </w:rPr>
        <w:t> </w:t>
      </w:r>
      <w:r>
        <w:rPr/>
        <w:t>cessantes</w:t>
      </w:r>
      <w:r>
        <w:rPr>
          <w:spacing w:val="-17"/>
        </w:rPr>
        <w:t> </w:t>
      </w:r>
      <w:r>
        <w:rPr/>
        <w:t>e</w:t>
      </w:r>
      <w:r>
        <w:rPr>
          <w:spacing w:val="-21"/>
        </w:rPr>
        <w:t> </w:t>
      </w:r>
      <w:r>
        <w:rPr/>
        <w:t>responsabilidade</w:t>
      </w:r>
      <w:r>
        <w:rPr>
          <w:spacing w:val="-20"/>
        </w:rPr>
        <w:t> </w:t>
      </w:r>
      <w:r>
        <w:rPr/>
        <w:t>civil.</w:t>
      </w:r>
    </w:p>
    <w:p>
      <w:pPr>
        <w:pStyle w:val="BodyText"/>
        <w:spacing w:before="10"/>
      </w:pPr>
    </w:p>
    <w:p>
      <w:pPr>
        <w:pStyle w:val="BodyText"/>
        <w:spacing w:line="242" w:lineRule="auto"/>
        <w:ind w:left="172" w:right="405"/>
        <w:jc w:val="both"/>
      </w:pPr>
      <w:r>
        <w:rPr/>
        <w:t>Os bens móveis e imóveis compostos por equipamentos, máquinas, ferramentas, móveis e utensílios e demais instalações relacionadas aos prédios administrativos, operacionais, laboratórios e subestações de distribuição, componentes</w:t>
      </w:r>
      <w:r>
        <w:rPr>
          <w:spacing w:val="-30"/>
        </w:rPr>
        <w:t> </w:t>
      </w:r>
      <w:r>
        <w:rPr/>
        <w:t>do</w:t>
      </w:r>
      <w:r>
        <w:rPr>
          <w:spacing w:val="-30"/>
        </w:rPr>
        <w:t> </w:t>
      </w:r>
      <w:r>
        <w:rPr/>
        <w:t>ativo</w:t>
      </w:r>
      <w:r>
        <w:rPr>
          <w:spacing w:val="-29"/>
        </w:rPr>
        <w:t> </w:t>
      </w:r>
      <w:r>
        <w:rPr/>
        <w:t>imobilizado,</w:t>
      </w:r>
      <w:r>
        <w:rPr>
          <w:spacing w:val="-32"/>
        </w:rPr>
        <w:t> </w:t>
      </w:r>
      <w:r>
        <w:rPr/>
        <w:t>estão</w:t>
      </w:r>
      <w:r>
        <w:rPr>
          <w:spacing w:val="-30"/>
        </w:rPr>
        <w:t> </w:t>
      </w:r>
      <w:r>
        <w:rPr/>
        <w:t>cobertos,</w:t>
      </w:r>
      <w:r>
        <w:rPr>
          <w:spacing w:val="-31"/>
        </w:rPr>
        <w:t> </w:t>
      </w:r>
      <w:r>
        <w:rPr/>
        <w:t>até</w:t>
      </w:r>
      <w:r>
        <w:rPr>
          <w:spacing w:val="-32"/>
        </w:rPr>
        <w:t> </w:t>
      </w:r>
      <w:r>
        <w:rPr/>
        <w:t>30</w:t>
      </w:r>
      <w:r>
        <w:rPr>
          <w:spacing w:val="-30"/>
        </w:rPr>
        <w:t> </w:t>
      </w:r>
      <w:r>
        <w:rPr/>
        <w:t>de</w:t>
      </w:r>
      <w:r>
        <w:rPr>
          <w:spacing w:val="-32"/>
        </w:rPr>
        <w:t> </w:t>
      </w:r>
      <w:r>
        <w:rPr/>
        <w:t>dezembro</w:t>
      </w:r>
      <w:r>
        <w:rPr>
          <w:spacing w:val="-30"/>
        </w:rPr>
        <w:t> </w:t>
      </w:r>
      <w:r>
        <w:rPr/>
        <w:t>de</w:t>
      </w:r>
      <w:r>
        <w:rPr>
          <w:spacing w:val="-32"/>
        </w:rPr>
        <w:t> </w:t>
      </w:r>
      <w:r>
        <w:rPr>
          <w:spacing w:val="2"/>
        </w:rPr>
        <w:t>2020,</w:t>
      </w:r>
      <w:r>
        <w:rPr>
          <w:spacing w:val="-30"/>
        </w:rPr>
        <w:t> </w:t>
      </w:r>
      <w:r>
        <w:rPr/>
        <w:t>por</w:t>
      </w:r>
      <w:r>
        <w:rPr>
          <w:spacing w:val="-30"/>
        </w:rPr>
        <w:t> </w:t>
      </w:r>
      <w:r>
        <w:rPr/>
        <w:t>contrato</w:t>
      </w:r>
      <w:r>
        <w:rPr>
          <w:spacing w:val="-30"/>
        </w:rPr>
        <w:t> </w:t>
      </w:r>
      <w:r>
        <w:rPr/>
        <w:t>de</w:t>
      </w:r>
      <w:r>
        <w:rPr>
          <w:spacing w:val="-29"/>
        </w:rPr>
        <w:t> </w:t>
      </w:r>
      <w:r>
        <w:rPr/>
        <w:t>seguro</w:t>
      </w:r>
      <w:r>
        <w:rPr>
          <w:spacing w:val="-31"/>
        </w:rPr>
        <w:t> </w:t>
      </w:r>
      <w:r>
        <w:rPr/>
        <w:t>para</w:t>
      </w:r>
      <w:r>
        <w:rPr>
          <w:spacing w:val="-29"/>
        </w:rPr>
        <w:t> </w:t>
      </w:r>
      <w:r>
        <w:rPr/>
        <w:t>riscos nomeados</w:t>
      </w:r>
      <w:r>
        <w:rPr>
          <w:spacing w:val="-6"/>
        </w:rPr>
        <w:t> </w:t>
      </w:r>
      <w:r>
        <w:rPr/>
        <w:t>contra</w:t>
      </w:r>
      <w:r>
        <w:rPr>
          <w:spacing w:val="-4"/>
        </w:rPr>
        <w:t> </w:t>
      </w:r>
      <w:r>
        <w:rPr/>
        <w:t>incêndio,</w:t>
      </w:r>
      <w:r>
        <w:rPr>
          <w:spacing w:val="-3"/>
        </w:rPr>
        <w:t> </w:t>
      </w:r>
      <w:r>
        <w:rPr/>
        <w:t>raio,</w:t>
      </w:r>
      <w:r>
        <w:rPr>
          <w:spacing w:val="-5"/>
        </w:rPr>
        <w:t> </w:t>
      </w:r>
      <w:r>
        <w:rPr/>
        <w:t>explosão</w:t>
      </w:r>
      <w:r>
        <w:rPr>
          <w:spacing w:val="-5"/>
        </w:rPr>
        <w:t> </w:t>
      </w:r>
      <w:r>
        <w:rPr/>
        <w:t>e</w:t>
      </w:r>
      <w:r>
        <w:rPr>
          <w:spacing w:val="-6"/>
        </w:rPr>
        <w:t> </w:t>
      </w:r>
      <w:r>
        <w:rPr/>
        <w:t>danos</w:t>
      </w:r>
      <w:r>
        <w:rPr>
          <w:spacing w:val="-5"/>
        </w:rPr>
        <w:t> </w:t>
      </w:r>
      <w:r>
        <w:rPr/>
        <w:t>elétricos.</w:t>
      </w:r>
      <w:r>
        <w:rPr>
          <w:spacing w:val="-5"/>
        </w:rPr>
        <w:t> </w:t>
      </w:r>
      <w:r>
        <w:rPr/>
        <w:t>O</w:t>
      </w:r>
      <w:r>
        <w:rPr>
          <w:spacing w:val="-6"/>
        </w:rPr>
        <w:t> </w:t>
      </w:r>
      <w:r>
        <w:rPr/>
        <w:t>custo</w:t>
      </w:r>
      <w:r>
        <w:rPr>
          <w:spacing w:val="-6"/>
        </w:rPr>
        <w:t> </w:t>
      </w:r>
      <w:r>
        <w:rPr/>
        <w:t>do</w:t>
      </w:r>
      <w:r>
        <w:rPr>
          <w:spacing w:val="-5"/>
        </w:rPr>
        <w:t> </w:t>
      </w:r>
      <w:r>
        <w:rPr/>
        <w:t>prêmio</w:t>
      </w:r>
      <w:r>
        <w:rPr>
          <w:spacing w:val="-6"/>
        </w:rPr>
        <w:t> </w:t>
      </w:r>
      <w:r>
        <w:rPr/>
        <w:t>foi</w:t>
      </w:r>
      <w:r>
        <w:rPr>
          <w:spacing w:val="-3"/>
        </w:rPr>
        <w:t> </w:t>
      </w:r>
      <w:r>
        <w:rPr/>
        <w:t>de</w:t>
      </w:r>
      <w:r>
        <w:rPr>
          <w:spacing w:val="-6"/>
        </w:rPr>
        <w:t> </w:t>
      </w:r>
      <w:r>
        <w:rPr/>
        <w:t>R$</w:t>
      </w:r>
      <w:r>
        <w:rPr>
          <w:spacing w:val="-5"/>
        </w:rPr>
        <w:t> </w:t>
      </w:r>
      <w:r>
        <w:rPr/>
        <w:t>1.699</w:t>
      </w:r>
      <w:r>
        <w:rPr>
          <w:spacing w:val="-3"/>
        </w:rPr>
        <w:t> </w:t>
      </w:r>
      <w:r>
        <w:rPr/>
        <w:t>e</w:t>
      </w:r>
      <w:r>
        <w:rPr>
          <w:spacing w:val="-6"/>
        </w:rPr>
        <w:t> </w:t>
      </w:r>
      <w:r>
        <w:rPr/>
        <w:t>a</w:t>
      </w:r>
      <w:r>
        <w:rPr>
          <w:spacing w:val="-4"/>
        </w:rPr>
        <w:t> </w:t>
      </w:r>
      <w:r>
        <w:rPr/>
        <w:t>importância segurada</w:t>
      </w:r>
      <w:r>
        <w:rPr>
          <w:spacing w:val="-16"/>
        </w:rPr>
        <w:t> </w:t>
      </w:r>
      <w:r>
        <w:rPr/>
        <w:t>é</w:t>
      </w:r>
      <w:r>
        <w:rPr>
          <w:spacing w:val="-19"/>
        </w:rPr>
        <w:t> </w:t>
      </w:r>
      <w:r>
        <w:rPr/>
        <w:t>de</w:t>
      </w:r>
      <w:r>
        <w:rPr>
          <w:spacing w:val="-18"/>
        </w:rPr>
        <w:t> </w:t>
      </w:r>
      <w:r>
        <w:rPr/>
        <w:t>aproximadamente</w:t>
      </w:r>
      <w:r>
        <w:rPr>
          <w:spacing w:val="-18"/>
        </w:rPr>
        <w:t> </w:t>
      </w:r>
      <w:r>
        <w:rPr/>
        <w:t>R$</w:t>
      </w:r>
      <w:r>
        <w:rPr>
          <w:spacing w:val="-16"/>
        </w:rPr>
        <w:t> </w:t>
      </w:r>
      <w:r>
        <w:rPr/>
        <w:t>50.000.</w:t>
      </w:r>
    </w:p>
    <w:p>
      <w:pPr>
        <w:pStyle w:val="BodyText"/>
        <w:spacing w:before="6"/>
      </w:pPr>
    </w:p>
    <w:p>
      <w:pPr>
        <w:pStyle w:val="BodyText"/>
        <w:spacing w:line="242" w:lineRule="auto"/>
        <w:ind w:left="172" w:right="406"/>
        <w:jc w:val="both"/>
      </w:pPr>
      <w:r>
        <w:rPr/>
        <w:t>Os</w:t>
      </w:r>
      <w:r>
        <w:rPr>
          <w:spacing w:val="-18"/>
        </w:rPr>
        <w:t> </w:t>
      </w:r>
      <w:r>
        <w:rPr/>
        <w:t>bens</w:t>
      </w:r>
      <w:r>
        <w:rPr>
          <w:spacing w:val="-17"/>
        </w:rPr>
        <w:t> </w:t>
      </w:r>
      <w:r>
        <w:rPr/>
        <w:t>das</w:t>
      </w:r>
      <w:r>
        <w:rPr>
          <w:spacing w:val="-17"/>
        </w:rPr>
        <w:t> </w:t>
      </w:r>
      <w:r>
        <w:rPr/>
        <w:t>Usinas</w:t>
      </w:r>
      <w:r>
        <w:rPr>
          <w:spacing w:val="-17"/>
        </w:rPr>
        <w:t> </w:t>
      </w:r>
      <w:r>
        <w:rPr/>
        <w:t>Hidrelétricas</w:t>
      </w:r>
      <w:r>
        <w:rPr>
          <w:spacing w:val="-18"/>
        </w:rPr>
        <w:t> </w:t>
      </w:r>
      <w:r>
        <w:rPr/>
        <w:t>Luís</w:t>
      </w:r>
      <w:r>
        <w:rPr>
          <w:spacing w:val="-17"/>
        </w:rPr>
        <w:t> </w:t>
      </w:r>
      <w:r>
        <w:rPr/>
        <w:t>Eduardo</w:t>
      </w:r>
      <w:r>
        <w:rPr>
          <w:spacing w:val="-17"/>
        </w:rPr>
        <w:t> </w:t>
      </w:r>
      <w:r>
        <w:rPr/>
        <w:t>Magalhães</w:t>
      </w:r>
      <w:r>
        <w:rPr>
          <w:spacing w:val="-18"/>
        </w:rPr>
        <w:t> </w:t>
      </w:r>
      <w:r>
        <w:rPr/>
        <w:t>(CEB</w:t>
      </w:r>
      <w:r>
        <w:rPr>
          <w:spacing w:val="-17"/>
        </w:rPr>
        <w:t> </w:t>
      </w:r>
      <w:r>
        <w:rPr/>
        <w:t>Lajeado</w:t>
      </w:r>
      <w:r>
        <w:rPr>
          <w:spacing w:val="-17"/>
        </w:rPr>
        <w:t> </w:t>
      </w:r>
      <w:r>
        <w:rPr/>
        <w:t>S.A.),</w:t>
      </w:r>
      <w:r>
        <w:rPr>
          <w:spacing w:val="-18"/>
        </w:rPr>
        <w:t> </w:t>
      </w:r>
      <w:r>
        <w:rPr/>
        <w:t>Queimado</w:t>
      </w:r>
      <w:r>
        <w:rPr>
          <w:spacing w:val="-11"/>
        </w:rPr>
        <w:t> </w:t>
      </w:r>
      <w:r>
        <w:rPr/>
        <w:t>(CEB</w:t>
      </w:r>
      <w:r>
        <w:rPr>
          <w:spacing w:val="-17"/>
        </w:rPr>
        <w:t> </w:t>
      </w:r>
      <w:r>
        <w:rPr/>
        <w:t>Participações</w:t>
      </w:r>
      <w:r>
        <w:rPr>
          <w:spacing w:val="-17"/>
        </w:rPr>
        <w:t> </w:t>
      </w:r>
      <w:r>
        <w:rPr/>
        <w:t>S.A.), Corumbá</w:t>
      </w:r>
      <w:r>
        <w:rPr>
          <w:spacing w:val="-14"/>
        </w:rPr>
        <w:t> </w:t>
      </w:r>
      <w:r>
        <w:rPr/>
        <w:t>III</w:t>
      </w:r>
      <w:r>
        <w:rPr>
          <w:spacing w:val="-14"/>
        </w:rPr>
        <w:t> </w:t>
      </w:r>
      <w:r>
        <w:rPr/>
        <w:t>(Energética</w:t>
      </w:r>
      <w:r>
        <w:rPr>
          <w:spacing w:val="-14"/>
        </w:rPr>
        <w:t> </w:t>
      </w:r>
      <w:r>
        <w:rPr/>
        <w:t>Corumbá</w:t>
      </w:r>
      <w:r>
        <w:rPr>
          <w:spacing w:val="-12"/>
        </w:rPr>
        <w:t> </w:t>
      </w:r>
      <w:r>
        <w:rPr/>
        <w:t>III</w:t>
      </w:r>
      <w:r>
        <w:rPr>
          <w:spacing w:val="-14"/>
        </w:rPr>
        <w:t> </w:t>
      </w:r>
      <w:r>
        <w:rPr/>
        <w:t>S.A.)</w:t>
      </w:r>
      <w:r>
        <w:rPr>
          <w:spacing w:val="-13"/>
        </w:rPr>
        <w:t> </w:t>
      </w:r>
      <w:r>
        <w:rPr/>
        <w:t>e</w:t>
      </w:r>
      <w:r>
        <w:rPr>
          <w:spacing w:val="-13"/>
        </w:rPr>
        <w:t> </w:t>
      </w:r>
      <w:r>
        <w:rPr/>
        <w:t>Corumbá</w:t>
      </w:r>
      <w:r>
        <w:rPr>
          <w:spacing w:val="-14"/>
        </w:rPr>
        <w:t> </w:t>
      </w:r>
      <w:r>
        <w:rPr/>
        <w:t>IV</w:t>
      </w:r>
      <w:r>
        <w:rPr>
          <w:spacing w:val="-14"/>
        </w:rPr>
        <w:t> </w:t>
      </w:r>
      <w:r>
        <w:rPr/>
        <w:t>(Corumbá</w:t>
      </w:r>
      <w:r>
        <w:rPr>
          <w:spacing w:val="-14"/>
        </w:rPr>
        <w:t> </w:t>
      </w:r>
      <w:r>
        <w:rPr/>
        <w:t>Concessões</w:t>
      </w:r>
      <w:r>
        <w:rPr>
          <w:spacing w:val="-14"/>
        </w:rPr>
        <w:t> </w:t>
      </w:r>
      <w:r>
        <w:rPr/>
        <w:t>S.A.),</w:t>
      </w:r>
      <w:r>
        <w:rPr>
          <w:spacing w:val="-14"/>
        </w:rPr>
        <w:t> </w:t>
      </w:r>
      <w:r>
        <w:rPr/>
        <w:t>também</w:t>
      </w:r>
      <w:r>
        <w:rPr>
          <w:spacing w:val="-13"/>
        </w:rPr>
        <w:t> </w:t>
      </w:r>
      <w:r>
        <w:rPr/>
        <w:t>estão</w:t>
      </w:r>
      <w:r>
        <w:rPr>
          <w:spacing w:val="-13"/>
        </w:rPr>
        <w:t> </w:t>
      </w:r>
      <w:r>
        <w:rPr/>
        <w:t>devidamente segurados.</w:t>
      </w:r>
    </w:p>
    <w:p>
      <w:pPr>
        <w:pStyle w:val="BodyText"/>
        <w:spacing w:before="7"/>
      </w:pPr>
    </w:p>
    <w:p>
      <w:pPr>
        <w:pStyle w:val="BodyText"/>
        <w:spacing w:line="242" w:lineRule="auto"/>
        <w:ind w:left="172" w:right="407"/>
        <w:jc w:val="both"/>
      </w:pPr>
      <w:r>
        <w:rPr/>
        <w:t>Em</w:t>
      </w:r>
      <w:r>
        <w:rPr>
          <w:spacing w:val="-29"/>
        </w:rPr>
        <w:t> </w:t>
      </w:r>
      <w:r>
        <w:rPr/>
        <w:t>2019,</w:t>
      </w:r>
      <w:r>
        <w:rPr>
          <w:spacing w:val="-28"/>
        </w:rPr>
        <w:t> </w:t>
      </w:r>
      <w:r>
        <w:rPr/>
        <w:t>o</w:t>
      </w:r>
      <w:r>
        <w:rPr>
          <w:spacing w:val="-26"/>
        </w:rPr>
        <w:t> </w:t>
      </w:r>
      <w:r>
        <w:rPr/>
        <w:t>Grupo</w:t>
      </w:r>
      <w:r>
        <w:rPr>
          <w:spacing w:val="-26"/>
        </w:rPr>
        <w:t> </w:t>
      </w:r>
      <w:r>
        <w:rPr/>
        <w:t>contratou</w:t>
      </w:r>
      <w:r>
        <w:rPr>
          <w:spacing w:val="-26"/>
        </w:rPr>
        <w:t> </w:t>
      </w:r>
      <w:r>
        <w:rPr/>
        <w:t>seguro</w:t>
      </w:r>
      <w:r>
        <w:rPr>
          <w:spacing w:val="-27"/>
        </w:rPr>
        <w:t> </w:t>
      </w:r>
      <w:r>
        <w:rPr/>
        <w:t>de</w:t>
      </w:r>
      <w:r>
        <w:rPr>
          <w:spacing w:val="-27"/>
        </w:rPr>
        <w:t> </w:t>
      </w:r>
      <w:r>
        <w:rPr/>
        <w:t>responsabilidade</w:t>
      </w:r>
      <w:r>
        <w:rPr>
          <w:spacing w:val="-25"/>
        </w:rPr>
        <w:t> </w:t>
      </w:r>
      <w:r>
        <w:rPr/>
        <w:t>para</w:t>
      </w:r>
      <w:r>
        <w:rPr>
          <w:spacing w:val="-27"/>
        </w:rPr>
        <w:t> </w:t>
      </w:r>
      <w:r>
        <w:rPr/>
        <w:t>os</w:t>
      </w:r>
      <w:r>
        <w:rPr>
          <w:spacing w:val="-26"/>
        </w:rPr>
        <w:t> </w:t>
      </w:r>
      <w:r>
        <w:rPr/>
        <w:t>Administradores</w:t>
      </w:r>
      <w:r>
        <w:rPr>
          <w:spacing w:val="-27"/>
        </w:rPr>
        <w:t> </w:t>
      </w:r>
      <w:r>
        <w:rPr/>
        <w:t>(D&amp;O)</w:t>
      </w:r>
      <w:r>
        <w:rPr>
          <w:spacing w:val="-28"/>
        </w:rPr>
        <w:t> </w:t>
      </w:r>
      <w:r>
        <w:rPr/>
        <w:t>com</w:t>
      </w:r>
      <w:r>
        <w:rPr>
          <w:spacing w:val="-29"/>
        </w:rPr>
        <w:t> </w:t>
      </w:r>
      <w:r>
        <w:rPr/>
        <w:t>importância</w:t>
      </w:r>
      <w:r>
        <w:rPr>
          <w:spacing w:val="-27"/>
        </w:rPr>
        <w:t> </w:t>
      </w:r>
      <w:r>
        <w:rPr/>
        <w:t>segurada de</w:t>
      </w:r>
      <w:r>
        <w:rPr>
          <w:spacing w:val="-35"/>
        </w:rPr>
        <w:t> </w:t>
      </w:r>
      <w:r>
        <w:rPr/>
        <w:t>R$</w:t>
      </w:r>
      <w:r>
        <w:rPr>
          <w:spacing w:val="-34"/>
        </w:rPr>
        <w:t> </w:t>
      </w:r>
      <w:r>
        <w:rPr/>
        <w:t>15.660,</w:t>
      </w:r>
      <w:r>
        <w:rPr>
          <w:spacing w:val="-33"/>
        </w:rPr>
        <w:t> </w:t>
      </w:r>
      <w:r>
        <w:rPr/>
        <w:t>em</w:t>
      </w:r>
      <w:r>
        <w:rPr>
          <w:spacing w:val="-33"/>
        </w:rPr>
        <w:t> </w:t>
      </w:r>
      <w:r>
        <w:rPr/>
        <w:t>garantia</w:t>
      </w:r>
      <w:r>
        <w:rPr>
          <w:spacing w:val="-34"/>
        </w:rPr>
        <w:t> </w:t>
      </w:r>
      <w:r>
        <w:rPr/>
        <w:t>única,</w:t>
      </w:r>
      <w:r>
        <w:rPr>
          <w:spacing w:val="-34"/>
        </w:rPr>
        <w:t> </w:t>
      </w:r>
      <w:r>
        <w:rPr/>
        <w:t>com</w:t>
      </w:r>
      <w:r>
        <w:rPr>
          <w:spacing w:val="-34"/>
        </w:rPr>
        <w:t> </w:t>
      </w:r>
      <w:r>
        <w:rPr/>
        <w:t>prêmio</w:t>
      </w:r>
      <w:r>
        <w:rPr>
          <w:spacing w:val="-35"/>
        </w:rPr>
        <w:t> </w:t>
      </w:r>
      <w:r>
        <w:rPr/>
        <w:t>de</w:t>
      </w:r>
      <w:r>
        <w:rPr>
          <w:spacing w:val="-35"/>
        </w:rPr>
        <w:t> </w:t>
      </w:r>
      <w:r>
        <w:rPr/>
        <w:t>R$</w:t>
      </w:r>
      <w:r>
        <w:rPr>
          <w:spacing w:val="-34"/>
        </w:rPr>
        <w:t> </w:t>
      </w:r>
      <w:r>
        <w:rPr/>
        <w:t>103.</w:t>
      </w:r>
      <w:r>
        <w:rPr>
          <w:spacing w:val="-33"/>
        </w:rPr>
        <w:t> </w:t>
      </w:r>
      <w:r>
        <w:rPr/>
        <w:t>O</w:t>
      </w:r>
      <w:r>
        <w:rPr>
          <w:spacing w:val="-35"/>
        </w:rPr>
        <w:t> </w:t>
      </w:r>
      <w:r>
        <w:rPr/>
        <w:t>contrato</w:t>
      </w:r>
      <w:r>
        <w:rPr>
          <w:spacing w:val="-32"/>
        </w:rPr>
        <w:t> </w:t>
      </w:r>
      <w:r>
        <w:rPr/>
        <w:t>é</w:t>
      </w:r>
      <w:r>
        <w:rPr>
          <w:spacing w:val="-35"/>
        </w:rPr>
        <w:t> </w:t>
      </w:r>
      <w:r>
        <w:rPr/>
        <w:t>de</w:t>
      </w:r>
      <w:r>
        <w:rPr>
          <w:spacing w:val="-35"/>
        </w:rPr>
        <w:t> </w:t>
      </w:r>
      <w:r>
        <w:rPr/>
        <w:t>1</w:t>
      </w:r>
      <w:r>
        <w:rPr>
          <w:spacing w:val="-34"/>
        </w:rPr>
        <w:t> </w:t>
      </w:r>
      <w:r>
        <w:rPr/>
        <w:t>ano</w:t>
      </w:r>
      <w:r>
        <w:rPr>
          <w:spacing w:val="-34"/>
        </w:rPr>
        <w:t> </w:t>
      </w:r>
      <w:r>
        <w:rPr/>
        <w:t>e</w:t>
      </w:r>
      <w:r>
        <w:rPr>
          <w:spacing w:val="-34"/>
        </w:rPr>
        <w:t> </w:t>
      </w:r>
      <w:r>
        <w:rPr/>
        <w:t>é</w:t>
      </w:r>
      <w:r>
        <w:rPr>
          <w:spacing w:val="-35"/>
        </w:rPr>
        <w:t> </w:t>
      </w:r>
      <w:r>
        <w:rPr/>
        <w:t>válido</w:t>
      </w:r>
      <w:r>
        <w:rPr>
          <w:spacing w:val="-34"/>
        </w:rPr>
        <w:t> </w:t>
      </w:r>
      <w:r>
        <w:rPr/>
        <w:t>até</w:t>
      </w:r>
      <w:r>
        <w:rPr>
          <w:spacing w:val="-35"/>
        </w:rPr>
        <w:t> </w:t>
      </w:r>
      <w:r>
        <w:rPr/>
        <w:t>07</w:t>
      </w:r>
      <w:r>
        <w:rPr>
          <w:spacing w:val="-34"/>
        </w:rPr>
        <w:t> </w:t>
      </w:r>
      <w:r>
        <w:rPr/>
        <w:t>de</w:t>
      </w:r>
      <w:r>
        <w:rPr>
          <w:spacing w:val="-35"/>
        </w:rPr>
        <w:t> </w:t>
      </w:r>
      <w:r>
        <w:rPr/>
        <w:t>dezembro</w:t>
      </w:r>
      <w:r>
        <w:rPr>
          <w:spacing w:val="-34"/>
        </w:rPr>
        <w:t> </w:t>
      </w:r>
      <w:r>
        <w:rPr/>
        <w:t>de</w:t>
      </w:r>
      <w:r>
        <w:rPr>
          <w:spacing w:val="-35"/>
        </w:rPr>
        <w:t> </w:t>
      </w:r>
      <w:r>
        <w:rPr/>
        <w:t>2020.</w:t>
      </w:r>
    </w:p>
    <w:p>
      <w:pPr>
        <w:spacing w:after="0" w:line="242" w:lineRule="auto"/>
        <w:jc w:val="both"/>
        <w:sectPr>
          <w:headerReference w:type="default" r:id="rId86"/>
          <w:footerReference w:type="default" r:id="rId87"/>
          <w:pgSz w:w="11910" w:h="16850"/>
          <w:pgMar w:header="792" w:footer="982" w:top="1280" w:bottom="1180" w:left="960" w:right="440"/>
          <w:pgNumType w:start="97"/>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Heading3"/>
        <w:numPr>
          <w:ilvl w:val="0"/>
          <w:numId w:val="6"/>
        </w:numPr>
        <w:tabs>
          <w:tab w:pos="953" w:val="left" w:leader="none"/>
          <w:tab w:pos="954" w:val="left" w:leader="none"/>
        </w:tabs>
        <w:spacing w:line="242" w:lineRule="auto" w:before="12" w:after="0"/>
        <w:ind w:left="953" w:right="408" w:hanging="781"/>
        <w:jc w:val="left"/>
      </w:pPr>
      <w:r>
        <w:rPr/>
        <w:t>CONCILIAÇÃO DO RESULTADO DO PERÍODO E O FLUXO DE CAIXA DAS ATIVIDADES OPERACIONAS</w:t>
      </w:r>
    </w:p>
    <w:p>
      <w:pPr>
        <w:pStyle w:val="BodyText"/>
        <w:rPr>
          <w:rFonts w:ascii="Caladea"/>
          <w:b/>
          <w:sz w:val="27"/>
        </w:rPr>
      </w:pPr>
    </w:p>
    <w:p>
      <w:pPr>
        <w:tabs>
          <w:tab w:pos="6030" w:val="left" w:leader="none"/>
          <w:tab w:pos="7544" w:val="left" w:leader="none"/>
          <w:tab w:pos="7755" w:val="left" w:leader="none"/>
          <w:tab w:pos="8617" w:val="left" w:leader="none"/>
          <w:tab w:pos="10278" w:val="left" w:leader="none"/>
        </w:tabs>
        <w:spacing w:before="0"/>
        <w:ind w:left="5372" w:right="0" w:firstLine="0"/>
        <w:jc w:val="left"/>
        <w:rPr>
          <w:rFonts w:ascii="Caladea"/>
          <w:b/>
          <w:sz w:val="14"/>
        </w:rPr>
      </w:pPr>
      <w:r>
        <w:rPr>
          <w:rFonts w:ascii="Caladea"/>
          <w:b/>
          <w:w w:val="99"/>
          <w:sz w:val="14"/>
          <w:u w:val="single"/>
        </w:rPr>
        <w:t> </w:t>
      </w:r>
      <w:r>
        <w:rPr>
          <w:rFonts w:ascii="Caladea"/>
          <w:b/>
          <w:sz w:val="14"/>
          <w:u w:val="single"/>
        </w:rPr>
        <w:tab/>
        <w:t>Controladora</w:t>
        <w:tab/>
      </w:r>
      <w:r>
        <w:rPr>
          <w:rFonts w:ascii="Caladea"/>
          <w:b/>
          <w:sz w:val="14"/>
        </w:rPr>
        <w:tab/>
      </w:r>
      <w:r>
        <w:rPr>
          <w:rFonts w:ascii="Caladea"/>
          <w:b/>
          <w:sz w:val="14"/>
          <w:u w:val="single"/>
        </w:rPr>
        <w:t> </w:t>
        <w:tab/>
        <w:t>Consolidado</w:t>
        <w:tab/>
      </w:r>
    </w:p>
    <w:p>
      <w:pPr>
        <w:pStyle w:val="BodyText"/>
        <w:spacing w:before="9"/>
        <w:rPr>
          <w:rFonts w:ascii="Caladea"/>
          <w:b/>
          <w:sz w:val="7"/>
        </w:rPr>
      </w:pPr>
    </w:p>
    <w:tbl>
      <w:tblPr>
        <w:tblW w:w="0" w:type="auto"/>
        <w:jc w:val="left"/>
        <w:tblInd w:w="2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01"/>
        <w:gridCol w:w="1037"/>
        <w:gridCol w:w="139"/>
        <w:gridCol w:w="1003"/>
        <w:gridCol w:w="204"/>
        <w:gridCol w:w="1229"/>
        <w:gridCol w:w="141"/>
        <w:gridCol w:w="1158"/>
      </w:tblGrid>
      <w:tr>
        <w:trPr>
          <w:trHeight w:val="310" w:hRule="atLeast"/>
        </w:trPr>
        <w:tc>
          <w:tcPr>
            <w:tcW w:w="5101" w:type="dxa"/>
          </w:tcPr>
          <w:p>
            <w:pPr>
              <w:pStyle w:val="TableParagraph"/>
              <w:rPr>
                <w:rFonts w:ascii="Times New Roman"/>
                <w:sz w:val="14"/>
              </w:rPr>
            </w:pPr>
          </w:p>
        </w:tc>
        <w:tc>
          <w:tcPr>
            <w:tcW w:w="1037" w:type="dxa"/>
          </w:tcPr>
          <w:p>
            <w:pPr>
              <w:pStyle w:val="TableParagraph"/>
              <w:spacing w:line="163" w:lineRule="exact"/>
              <w:jc w:val="right"/>
              <w:rPr>
                <w:rFonts w:ascii="Caladea"/>
                <w:b/>
                <w:sz w:val="14"/>
              </w:rPr>
            </w:pPr>
            <w:r>
              <w:rPr>
                <w:rFonts w:ascii="Caladea"/>
                <w:b/>
                <w:w w:val="99"/>
                <w:sz w:val="14"/>
                <w:u w:val="single"/>
              </w:rPr>
              <w:t> </w:t>
            </w:r>
            <w:r>
              <w:rPr>
                <w:rFonts w:ascii="Caladea"/>
                <w:b/>
                <w:sz w:val="14"/>
                <w:u w:val="single"/>
              </w:rPr>
              <w:t>   31/12/2019 </w:t>
            </w:r>
          </w:p>
        </w:tc>
        <w:tc>
          <w:tcPr>
            <w:tcW w:w="139" w:type="dxa"/>
          </w:tcPr>
          <w:p>
            <w:pPr>
              <w:pStyle w:val="TableParagraph"/>
              <w:rPr>
                <w:rFonts w:ascii="Times New Roman"/>
                <w:sz w:val="14"/>
              </w:rPr>
            </w:pPr>
          </w:p>
        </w:tc>
        <w:tc>
          <w:tcPr>
            <w:tcW w:w="1003" w:type="dxa"/>
          </w:tcPr>
          <w:p>
            <w:pPr>
              <w:pStyle w:val="TableParagraph"/>
              <w:spacing w:line="163" w:lineRule="exact"/>
              <w:jc w:val="right"/>
              <w:rPr>
                <w:rFonts w:ascii="Caladea"/>
                <w:b/>
                <w:sz w:val="14"/>
              </w:rPr>
            </w:pPr>
            <w:r>
              <w:rPr>
                <w:rFonts w:ascii="Caladea"/>
                <w:b/>
                <w:w w:val="99"/>
                <w:sz w:val="14"/>
                <w:u w:val="single"/>
              </w:rPr>
              <w:t> </w:t>
            </w:r>
            <w:r>
              <w:rPr>
                <w:rFonts w:ascii="Caladea"/>
                <w:b/>
                <w:sz w:val="14"/>
                <w:u w:val="single"/>
              </w:rPr>
              <w:t>  31/12/2018 </w:t>
            </w:r>
          </w:p>
        </w:tc>
        <w:tc>
          <w:tcPr>
            <w:tcW w:w="204" w:type="dxa"/>
          </w:tcPr>
          <w:p>
            <w:pPr>
              <w:pStyle w:val="TableParagraph"/>
              <w:rPr>
                <w:rFonts w:ascii="Times New Roman"/>
                <w:sz w:val="14"/>
              </w:rPr>
            </w:pPr>
          </w:p>
        </w:tc>
        <w:tc>
          <w:tcPr>
            <w:tcW w:w="1229" w:type="dxa"/>
          </w:tcPr>
          <w:p>
            <w:pPr>
              <w:pStyle w:val="TableParagraph"/>
              <w:tabs>
                <w:tab w:pos="1221" w:val="left" w:leader="none"/>
              </w:tabs>
              <w:spacing w:line="163" w:lineRule="exact"/>
              <w:ind w:right="-15"/>
              <w:jc w:val="right"/>
              <w:rPr>
                <w:rFonts w:ascii="Caladea"/>
                <w:b/>
                <w:sz w:val="14"/>
              </w:rPr>
            </w:pPr>
            <w:r>
              <w:rPr>
                <w:rFonts w:ascii="Caladea"/>
                <w:b/>
                <w:w w:val="99"/>
                <w:sz w:val="14"/>
                <w:u w:val="single"/>
              </w:rPr>
              <w:t> </w:t>
            </w:r>
            <w:r>
              <w:rPr>
                <w:rFonts w:ascii="Caladea"/>
                <w:b/>
                <w:sz w:val="14"/>
                <w:u w:val="single"/>
              </w:rPr>
              <w:t>     </w:t>
            </w:r>
            <w:r>
              <w:rPr>
                <w:rFonts w:ascii="Caladea"/>
                <w:b/>
                <w:spacing w:val="-7"/>
                <w:sz w:val="14"/>
                <w:u w:val="single"/>
              </w:rPr>
              <w:t> </w:t>
            </w:r>
            <w:r>
              <w:rPr>
                <w:rFonts w:ascii="Caladea"/>
                <w:b/>
                <w:sz w:val="14"/>
                <w:u w:val="single"/>
              </w:rPr>
              <w:t>31/12/2019</w:t>
              <w:tab/>
            </w:r>
          </w:p>
        </w:tc>
        <w:tc>
          <w:tcPr>
            <w:tcW w:w="141" w:type="dxa"/>
          </w:tcPr>
          <w:p>
            <w:pPr>
              <w:pStyle w:val="TableParagraph"/>
              <w:rPr>
                <w:rFonts w:ascii="Times New Roman"/>
                <w:sz w:val="14"/>
              </w:rPr>
            </w:pPr>
          </w:p>
        </w:tc>
        <w:tc>
          <w:tcPr>
            <w:tcW w:w="1158" w:type="dxa"/>
          </w:tcPr>
          <w:p>
            <w:pPr>
              <w:pStyle w:val="TableParagraph"/>
              <w:spacing w:line="163" w:lineRule="exact"/>
              <w:ind w:right="-15"/>
              <w:jc w:val="right"/>
              <w:rPr>
                <w:rFonts w:ascii="Caladea"/>
                <w:b/>
                <w:sz w:val="14"/>
              </w:rPr>
            </w:pPr>
            <w:r>
              <w:rPr>
                <w:rFonts w:ascii="Caladea"/>
                <w:b/>
                <w:w w:val="99"/>
                <w:sz w:val="14"/>
                <w:u w:val="single"/>
              </w:rPr>
              <w:t> </w:t>
            </w:r>
            <w:r>
              <w:rPr>
                <w:rFonts w:ascii="Caladea"/>
                <w:b/>
                <w:sz w:val="14"/>
                <w:u w:val="single"/>
              </w:rPr>
              <w:t>     31/12/2018 </w:t>
            </w:r>
          </w:p>
        </w:tc>
      </w:tr>
      <w:tr>
        <w:trPr>
          <w:trHeight w:val="351" w:hRule="atLeast"/>
        </w:trPr>
        <w:tc>
          <w:tcPr>
            <w:tcW w:w="5101" w:type="dxa"/>
          </w:tcPr>
          <w:p>
            <w:pPr>
              <w:pStyle w:val="TableParagraph"/>
              <w:spacing w:before="6"/>
              <w:rPr>
                <w:rFonts w:ascii="Caladea"/>
                <w:b/>
                <w:sz w:val="12"/>
              </w:rPr>
            </w:pPr>
          </w:p>
          <w:p>
            <w:pPr>
              <w:pStyle w:val="TableParagraph"/>
              <w:ind w:left="50"/>
              <w:rPr>
                <w:rFonts w:ascii="Caladea" w:hAnsi="Caladea"/>
                <w:b/>
                <w:sz w:val="14"/>
              </w:rPr>
            </w:pPr>
            <w:r>
              <w:rPr>
                <w:rFonts w:ascii="Caladea" w:hAnsi="Caladea"/>
                <w:b/>
                <w:sz w:val="14"/>
              </w:rPr>
              <w:t>Resultado Antes do Imposto de Renda e da Contribuição Social</w:t>
            </w:r>
          </w:p>
        </w:tc>
        <w:tc>
          <w:tcPr>
            <w:tcW w:w="1037" w:type="dxa"/>
          </w:tcPr>
          <w:p>
            <w:pPr>
              <w:pStyle w:val="TableParagraph"/>
              <w:spacing w:before="6"/>
              <w:rPr>
                <w:rFonts w:ascii="Caladea"/>
                <w:b/>
                <w:sz w:val="12"/>
              </w:rPr>
            </w:pPr>
          </w:p>
          <w:p>
            <w:pPr>
              <w:pStyle w:val="TableParagraph"/>
              <w:ind w:right="68"/>
              <w:jc w:val="right"/>
              <w:rPr>
                <w:rFonts w:ascii="Caladea"/>
                <w:b/>
                <w:sz w:val="14"/>
              </w:rPr>
            </w:pPr>
            <w:r>
              <w:rPr>
                <w:rFonts w:ascii="Caladea"/>
                <w:b/>
                <w:w w:val="95"/>
                <w:sz w:val="14"/>
              </w:rPr>
              <w:t>122.154</w:t>
            </w:r>
          </w:p>
        </w:tc>
        <w:tc>
          <w:tcPr>
            <w:tcW w:w="139" w:type="dxa"/>
          </w:tcPr>
          <w:p>
            <w:pPr>
              <w:pStyle w:val="TableParagraph"/>
              <w:rPr>
                <w:rFonts w:ascii="Times New Roman"/>
                <w:sz w:val="14"/>
              </w:rPr>
            </w:pPr>
          </w:p>
        </w:tc>
        <w:tc>
          <w:tcPr>
            <w:tcW w:w="1003" w:type="dxa"/>
          </w:tcPr>
          <w:p>
            <w:pPr>
              <w:pStyle w:val="TableParagraph"/>
              <w:spacing w:before="6"/>
              <w:rPr>
                <w:rFonts w:ascii="Caladea"/>
                <w:b/>
                <w:sz w:val="12"/>
              </w:rPr>
            </w:pPr>
          </w:p>
          <w:p>
            <w:pPr>
              <w:pStyle w:val="TableParagraph"/>
              <w:ind w:right="67"/>
              <w:jc w:val="right"/>
              <w:rPr>
                <w:rFonts w:ascii="Caladea"/>
                <w:b/>
                <w:sz w:val="14"/>
              </w:rPr>
            </w:pPr>
            <w:r>
              <w:rPr>
                <w:rFonts w:ascii="Caladea"/>
                <w:b/>
                <w:sz w:val="14"/>
              </w:rPr>
              <w:t>93.643</w:t>
            </w:r>
          </w:p>
        </w:tc>
        <w:tc>
          <w:tcPr>
            <w:tcW w:w="204" w:type="dxa"/>
          </w:tcPr>
          <w:p>
            <w:pPr>
              <w:pStyle w:val="TableParagraph"/>
              <w:rPr>
                <w:rFonts w:ascii="Times New Roman"/>
                <w:sz w:val="14"/>
              </w:rPr>
            </w:pPr>
          </w:p>
        </w:tc>
        <w:tc>
          <w:tcPr>
            <w:tcW w:w="1229" w:type="dxa"/>
          </w:tcPr>
          <w:p>
            <w:pPr>
              <w:pStyle w:val="TableParagraph"/>
              <w:spacing w:before="6"/>
              <w:rPr>
                <w:rFonts w:ascii="Caladea"/>
                <w:b/>
                <w:sz w:val="12"/>
              </w:rPr>
            </w:pPr>
          </w:p>
          <w:p>
            <w:pPr>
              <w:pStyle w:val="TableParagraph"/>
              <w:ind w:right="67"/>
              <w:jc w:val="right"/>
              <w:rPr>
                <w:rFonts w:ascii="Caladea"/>
                <w:b/>
                <w:sz w:val="14"/>
              </w:rPr>
            </w:pPr>
            <w:r>
              <w:rPr>
                <w:rFonts w:ascii="Caladea"/>
                <w:b/>
                <w:w w:val="95"/>
                <w:sz w:val="14"/>
              </w:rPr>
              <w:t>205.909</w:t>
            </w:r>
          </w:p>
        </w:tc>
        <w:tc>
          <w:tcPr>
            <w:tcW w:w="141" w:type="dxa"/>
          </w:tcPr>
          <w:p>
            <w:pPr>
              <w:pStyle w:val="TableParagraph"/>
              <w:rPr>
                <w:rFonts w:ascii="Times New Roman"/>
                <w:sz w:val="14"/>
              </w:rPr>
            </w:pPr>
          </w:p>
        </w:tc>
        <w:tc>
          <w:tcPr>
            <w:tcW w:w="1158" w:type="dxa"/>
          </w:tcPr>
          <w:p>
            <w:pPr>
              <w:pStyle w:val="TableParagraph"/>
              <w:spacing w:before="6"/>
              <w:rPr>
                <w:rFonts w:ascii="Caladea"/>
                <w:b/>
                <w:sz w:val="12"/>
              </w:rPr>
            </w:pPr>
          </w:p>
          <w:p>
            <w:pPr>
              <w:pStyle w:val="TableParagraph"/>
              <w:ind w:right="65"/>
              <w:jc w:val="right"/>
              <w:rPr>
                <w:rFonts w:ascii="Caladea"/>
                <w:b/>
                <w:sz w:val="14"/>
              </w:rPr>
            </w:pPr>
            <w:r>
              <w:rPr>
                <w:rFonts w:ascii="Caladea"/>
                <w:b/>
                <w:w w:val="95"/>
                <w:sz w:val="14"/>
              </w:rPr>
              <w:t>123.305</w:t>
            </w:r>
          </w:p>
        </w:tc>
      </w:tr>
      <w:tr>
        <w:trPr>
          <w:trHeight w:val="244" w:hRule="atLeast"/>
        </w:trPr>
        <w:tc>
          <w:tcPr>
            <w:tcW w:w="5101" w:type="dxa"/>
          </w:tcPr>
          <w:p>
            <w:pPr>
              <w:pStyle w:val="TableParagraph"/>
              <w:spacing w:before="40"/>
              <w:ind w:left="50"/>
              <w:rPr>
                <w:rFonts w:ascii="Caladea" w:hAnsi="Caladea"/>
                <w:b/>
                <w:sz w:val="14"/>
              </w:rPr>
            </w:pPr>
            <w:r>
              <w:rPr>
                <w:rFonts w:ascii="Caladea" w:hAnsi="Caladea"/>
                <w:b/>
                <w:sz w:val="14"/>
              </w:rPr>
              <w:t>Ajustes ao Lucro/ (Prejuízo) do Período</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rPr>
                <w:rFonts w:ascii="Times New Roman"/>
                <w:sz w:val="14"/>
              </w:rPr>
            </w:pPr>
          </w:p>
        </w:tc>
        <w:tc>
          <w:tcPr>
            <w:tcW w:w="141" w:type="dxa"/>
          </w:tcPr>
          <w:p>
            <w:pPr>
              <w:pStyle w:val="TableParagraph"/>
              <w:rPr>
                <w:rFonts w:ascii="Times New Roman"/>
                <w:sz w:val="14"/>
              </w:rPr>
            </w:pPr>
          </w:p>
        </w:tc>
        <w:tc>
          <w:tcPr>
            <w:tcW w:w="1158" w:type="dxa"/>
          </w:tcPr>
          <w:p>
            <w:pPr>
              <w:pStyle w:val="TableParagraph"/>
              <w:rPr>
                <w:rFonts w:ascii="Times New Roman"/>
                <w:sz w:val="14"/>
              </w:rPr>
            </w:pPr>
          </w:p>
        </w:tc>
      </w:tr>
      <w:tr>
        <w:trPr>
          <w:trHeight w:val="246" w:hRule="atLeast"/>
        </w:trPr>
        <w:tc>
          <w:tcPr>
            <w:tcW w:w="5101" w:type="dxa"/>
          </w:tcPr>
          <w:p>
            <w:pPr>
              <w:pStyle w:val="TableParagraph"/>
              <w:spacing w:before="41"/>
              <w:ind w:left="81"/>
              <w:rPr>
                <w:sz w:val="14"/>
              </w:rPr>
            </w:pPr>
            <w:r>
              <w:rPr>
                <w:sz w:val="14"/>
              </w:rPr>
              <w:t>Depreciação e Amortização</w:t>
            </w:r>
          </w:p>
        </w:tc>
        <w:tc>
          <w:tcPr>
            <w:tcW w:w="1037" w:type="dxa"/>
          </w:tcPr>
          <w:p>
            <w:pPr>
              <w:pStyle w:val="TableParagraph"/>
              <w:spacing w:before="41"/>
              <w:ind w:right="67"/>
              <w:jc w:val="right"/>
              <w:rPr>
                <w:sz w:val="14"/>
              </w:rPr>
            </w:pPr>
            <w:r>
              <w:rPr>
                <w:w w:val="95"/>
                <w:sz w:val="14"/>
              </w:rPr>
              <w:t>1.097</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sz w:val="14"/>
              </w:rPr>
              <w:t>826</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58.393</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105"/>
                <w:sz w:val="14"/>
              </w:rPr>
              <w:t>208</w:t>
            </w:r>
          </w:p>
        </w:tc>
      </w:tr>
      <w:tr>
        <w:trPr>
          <w:trHeight w:val="245" w:hRule="atLeast"/>
        </w:trPr>
        <w:tc>
          <w:tcPr>
            <w:tcW w:w="5101" w:type="dxa"/>
          </w:tcPr>
          <w:p>
            <w:pPr>
              <w:pStyle w:val="TableParagraph"/>
              <w:spacing w:before="43"/>
              <w:ind w:left="81"/>
              <w:rPr>
                <w:sz w:val="14"/>
              </w:rPr>
            </w:pPr>
            <w:r>
              <w:rPr>
                <w:sz w:val="14"/>
              </w:rPr>
              <w:t>Resultado de Equivalência Patrimonial</w:t>
            </w:r>
          </w:p>
        </w:tc>
        <w:tc>
          <w:tcPr>
            <w:tcW w:w="1037" w:type="dxa"/>
          </w:tcPr>
          <w:p>
            <w:pPr>
              <w:pStyle w:val="TableParagraph"/>
              <w:spacing w:before="43"/>
              <w:ind w:left="369"/>
              <w:rPr>
                <w:sz w:val="14"/>
              </w:rPr>
            </w:pPr>
            <w:r>
              <w:rPr>
                <w:sz w:val="14"/>
              </w:rPr>
              <w:t>(119.256)</w:t>
            </w:r>
          </w:p>
        </w:tc>
        <w:tc>
          <w:tcPr>
            <w:tcW w:w="139" w:type="dxa"/>
          </w:tcPr>
          <w:p>
            <w:pPr>
              <w:pStyle w:val="TableParagraph"/>
              <w:rPr>
                <w:rFonts w:ascii="Times New Roman"/>
                <w:sz w:val="14"/>
              </w:rPr>
            </w:pPr>
          </w:p>
        </w:tc>
        <w:tc>
          <w:tcPr>
            <w:tcW w:w="1003" w:type="dxa"/>
          </w:tcPr>
          <w:p>
            <w:pPr>
              <w:pStyle w:val="TableParagraph"/>
              <w:spacing w:before="43"/>
              <w:ind w:left="412"/>
              <w:rPr>
                <w:sz w:val="14"/>
              </w:rPr>
            </w:pPr>
            <w:r>
              <w:rPr>
                <w:sz w:val="14"/>
              </w:rPr>
              <w:t>(86.560)</w:t>
            </w:r>
          </w:p>
        </w:tc>
        <w:tc>
          <w:tcPr>
            <w:tcW w:w="204" w:type="dxa"/>
          </w:tcPr>
          <w:p>
            <w:pPr>
              <w:pStyle w:val="TableParagraph"/>
              <w:rPr>
                <w:rFonts w:ascii="Times New Roman"/>
                <w:sz w:val="14"/>
              </w:rPr>
            </w:pPr>
          </w:p>
        </w:tc>
        <w:tc>
          <w:tcPr>
            <w:tcW w:w="1229" w:type="dxa"/>
          </w:tcPr>
          <w:p>
            <w:pPr>
              <w:pStyle w:val="TableParagraph"/>
              <w:spacing w:before="43"/>
              <w:ind w:right="69"/>
              <w:jc w:val="right"/>
              <w:rPr>
                <w:sz w:val="14"/>
              </w:rPr>
            </w:pPr>
            <w:r>
              <w:rPr>
                <w:sz w:val="14"/>
              </w:rPr>
              <w:t>(28.964)</w:t>
            </w:r>
          </w:p>
        </w:tc>
        <w:tc>
          <w:tcPr>
            <w:tcW w:w="141" w:type="dxa"/>
          </w:tcPr>
          <w:p>
            <w:pPr>
              <w:pStyle w:val="TableParagraph"/>
              <w:rPr>
                <w:rFonts w:ascii="Times New Roman"/>
                <w:sz w:val="14"/>
              </w:rPr>
            </w:pPr>
          </w:p>
        </w:tc>
        <w:tc>
          <w:tcPr>
            <w:tcW w:w="1158" w:type="dxa"/>
          </w:tcPr>
          <w:p>
            <w:pPr>
              <w:pStyle w:val="TableParagraph"/>
              <w:spacing w:before="43"/>
              <w:ind w:right="67"/>
              <w:jc w:val="right"/>
              <w:rPr>
                <w:sz w:val="14"/>
              </w:rPr>
            </w:pPr>
            <w:r>
              <w:rPr>
                <w:sz w:val="14"/>
              </w:rPr>
              <w:t>(31.673)</w:t>
            </w:r>
          </w:p>
        </w:tc>
      </w:tr>
      <w:tr>
        <w:trPr>
          <w:trHeight w:val="244" w:hRule="atLeast"/>
        </w:trPr>
        <w:tc>
          <w:tcPr>
            <w:tcW w:w="5101" w:type="dxa"/>
          </w:tcPr>
          <w:p>
            <w:pPr>
              <w:pStyle w:val="TableParagraph"/>
              <w:spacing w:before="41"/>
              <w:ind w:left="81"/>
              <w:rPr>
                <w:sz w:val="14"/>
              </w:rPr>
            </w:pPr>
            <w:r>
              <w:rPr>
                <w:sz w:val="14"/>
              </w:rPr>
              <w:t>Receita de Construção</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(39.330)</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sz w:val="14"/>
              </w:rPr>
              <w:t>(83.846)</w:t>
            </w:r>
          </w:p>
        </w:tc>
      </w:tr>
      <w:tr>
        <w:trPr>
          <w:trHeight w:val="244" w:hRule="atLeast"/>
        </w:trPr>
        <w:tc>
          <w:tcPr>
            <w:tcW w:w="5101" w:type="dxa"/>
          </w:tcPr>
          <w:p>
            <w:pPr>
              <w:pStyle w:val="TableParagraph"/>
              <w:spacing w:before="41"/>
              <w:ind w:left="81"/>
              <w:rPr>
                <w:sz w:val="14"/>
              </w:rPr>
            </w:pPr>
            <w:r>
              <w:rPr>
                <w:sz w:val="14"/>
              </w:rPr>
              <w:t>Custo de Construção - Concessão</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w w:val="95"/>
                <w:sz w:val="14"/>
              </w:rPr>
              <w:t>39.330</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83.846</w:t>
            </w:r>
          </w:p>
        </w:tc>
      </w:tr>
      <w:tr>
        <w:trPr>
          <w:trHeight w:val="244" w:hRule="atLeast"/>
        </w:trPr>
        <w:tc>
          <w:tcPr>
            <w:tcW w:w="5101" w:type="dxa"/>
          </w:tcPr>
          <w:p>
            <w:pPr>
              <w:pStyle w:val="TableParagraph"/>
              <w:spacing w:before="41"/>
              <w:ind w:left="81"/>
              <w:rPr>
                <w:sz w:val="14"/>
              </w:rPr>
            </w:pPr>
            <w:r>
              <w:rPr>
                <w:sz w:val="14"/>
              </w:rPr>
              <w:t>Constituição/(Reversão)</w:t>
            </w:r>
            <w:r>
              <w:rPr>
                <w:spacing w:val="-25"/>
                <w:sz w:val="14"/>
              </w:rPr>
              <w:t> </w:t>
            </w:r>
            <w:r>
              <w:rPr>
                <w:sz w:val="14"/>
              </w:rPr>
              <w:t>Estimativa</w:t>
            </w:r>
            <w:r>
              <w:rPr>
                <w:spacing w:val="-25"/>
                <w:sz w:val="14"/>
              </w:rPr>
              <w:t> </w:t>
            </w:r>
            <w:r>
              <w:rPr>
                <w:sz w:val="14"/>
              </w:rPr>
              <w:t>de</w:t>
            </w:r>
            <w:r>
              <w:rPr>
                <w:spacing w:val="-24"/>
                <w:sz w:val="14"/>
              </w:rPr>
              <w:t> </w:t>
            </w:r>
            <w:r>
              <w:rPr>
                <w:sz w:val="14"/>
              </w:rPr>
              <w:t>Perda</w:t>
            </w:r>
            <w:r>
              <w:rPr>
                <w:spacing w:val="-25"/>
                <w:sz w:val="14"/>
              </w:rPr>
              <w:t> </w:t>
            </w:r>
            <w:r>
              <w:rPr>
                <w:sz w:val="14"/>
              </w:rPr>
              <w:t>com</w:t>
            </w:r>
            <w:r>
              <w:rPr>
                <w:spacing w:val="-25"/>
                <w:sz w:val="14"/>
              </w:rPr>
              <w:t> </w:t>
            </w:r>
            <w:r>
              <w:rPr>
                <w:sz w:val="14"/>
              </w:rPr>
              <w:t>créditos</w:t>
            </w:r>
            <w:r>
              <w:rPr>
                <w:spacing w:val="-24"/>
                <w:sz w:val="14"/>
              </w:rPr>
              <w:t> </w:t>
            </w:r>
            <w:r>
              <w:rPr>
                <w:sz w:val="14"/>
              </w:rPr>
              <w:t>de</w:t>
            </w:r>
            <w:r>
              <w:rPr>
                <w:spacing w:val="-25"/>
                <w:sz w:val="14"/>
              </w:rPr>
              <w:t> </w:t>
            </w:r>
            <w:r>
              <w:rPr>
                <w:sz w:val="14"/>
              </w:rPr>
              <w:t>liquidação</w:t>
            </w:r>
            <w:r>
              <w:rPr>
                <w:spacing w:val="-24"/>
                <w:sz w:val="14"/>
              </w:rPr>
              <w:t> </w:t>
            </w:r>
            <w:r>
              <w:rPr>
                <w:sz w:val="14"/>
              </w:rPr>
              <w:t>duvidosa</w:t>
            </w:r>
          </w:p>
        </w:tc>
        <w:tc>
          <w:tcPr>
            <w:tcW w:w="1037" w:type="dxa"/>
          </w:tcPr>
          <w:p>
            <w:pPr>
              <w:pStyle w:val="TableParagraph"/>
              <w:spacing w:before="41"/>
              <w:ind w:right="70"/>
              <w:jc w:val="right"/>
              <w:rPr>
                <w:sz w:val="14"/>
              </w:rPr>
            </w:pPr>
            <w:r>
              <w:rPr>
                <w:w w:val="95"/>
                <w:sz w:val="14"/>
              </w:rPr>
              <w:t>(2.699)</w:t>
            </w:r>
          </w:p>
        </w:tc>
        <w:tc>
          <w:tcPr>
            <w:tcW w:w="139" w:type="dxa"/>
          </w:tcPr>
          <w:p>
            <w:pPr>
              <w:pStyle w:val="TableParagraph"/>
              <w:rPr>
                <w:rFonts w:ascii="Times New Roman"/>
                <w:sz w:val="14"/>
              </w:rPr>
            </w:pPr>
          </w:p>
        </w:tc>
        <w:tc>
          <w:tcPr>
            <w:tcW w:w="1003" w:type="dxa"/>
          </w:tcPr>
          <w:p>
            <w:pPr>
              <w:pStyle w:val="TableParagraph"/>
              <w:spacing w:before="41"/>
              <w:ind w:right="70"/>
              <w:jc w:val="right"/>
              <w:rPr>
                <w:sz w:val="14"/>
              </w:rPr>
            </w:pPr>
            <w:r>
              <w:rPr>
                <w:w w:val="105"/>
                <w:sz w:val="14"/>
              </w:rPr>
              <w:t>294</w:t>
            </w: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136.842</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sz w:val="14"/>
              </w:rPr>
              <w:t>127.374</w:t>
            </w:r>
          </w:p>
        </w:tc>
      </w:tr>
      <w:tr>
        <w:trPr>
          <w:trHeight w:val="244" w:hRule="atLeast"/>
        </w:trPr>
        <w:tc>
          <w:tcPr>
            <w:tcW w:w="5101" w:type="dxa"/>
          </w:tcPr>
          <w:p>
            <w:pPr>
              <w:pStyle w:val="TableParagraph"/>
              <w:spacing w:before="41"/>
              <w:ind w:left="81"/>
              <w:rPr>
                <w:sz w:val="14"/>
              </w:rPr>
            </w:pPr>
            <w:r>
              <w:rPr>
                <w:sz w:val="14"/>
              </w:rPr>
              <w:t>Encargos da Dívida</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w w:val="95"/>
                <w:sz w:val="14"/>
              </w:rPr>
              <w:t>19.406</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56.465</w:t>
            </w:r>
          </w:p>
        </w:tc>
      </w:tr>
      <w:tr>
        <w:trPr>
          <w:trHeight w:val="245" w:hRule="atLeast"/>
        </w:trPr>
        <w:tc>
          <w:tcPr>
            <w:tcW w:w="5101" w:type="dxa"/>
          </w:tcPr>
          <w:p>
            <w:pPr>
              <w:pStyle w:val="TableParagraph"/>
              <w:spacing w:before="41"/>
              <w:ind w:left="81"/>
              <w:rPr>
                <w:sz w:val="14"/>
              </w:rPr>
            </w:pPr>
            <w:r>
              <w:rPr>
                <w:sz w:val="14"/>
              </w:rPr>
              <w:t>Atualização a Valor Justo do Ativo Financeiro Indenizável</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w w:val="95"/>
                <w:sz w:val="14"/>
              </w:rPr>
              <w:t>(5.460)</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w w:val="95"/>
                <w:sz w:val="14"/>
              </w:rPr>
              <w:t>(1.968)</w:t>
            </w:r>
          </w:p>
        </w:tc>
      </w:tr>
      <w:tr>
        <w:trPr>
          <w:trHeight w:val="245" w:hRule="atLeast"/>
        </w:trPr>
        <w:tc>
          <w:tcPr>
            <w:tcW w:w="5101" w:type="dxa"/>
          </w:tcPr>
          <w:p>
            <w:pPr>
              <w:pStyle w:val="TableParagraph"/>
              <w:spacing w:before="42"/>
              <w:ind w:left="81"/>
              <w:rPr>
                <w:sz w:val="14"/>
              </w:rPr>
            </w:pPr>
            <w:r>
              <w:rPr>
                <w:w w:val="105"/>
                <w:sz w:val="14"/>
              </w:rPr>
              <w:t>Atualização Monetária – Mútuo</w:t>
            </w:r>
          </w:p>
        </w:tc>
        <w:tc>
          <w:tcPr>
            <w:tcW w:w="1037" w:type="dxa"/>
          </w:tcPr>
          <w:p>
            <w:pPr>
              <w:pStyle w:val="TableParagraph"/>
              <w:spacing w:before="42"/>
              <w:ind w:right="70"/>
              <w:jc w:val="right"/>
              <w:rPr>
                <w:sz w:val="14"/>
              </w:rPr>
            </w:pPr>
            <w:r>
              <w:rPr>
                <w:w w:val="95"/>
                <w:sz w:val="14"/>
              </w:rPr>
              <w:t>(1.490)</w:t>
            </w:r>
          </w:p>
        </w:tc>
        <w:tc>
          <w:tcPr>
            <w:tcW w:w="139" w:type="dxa"/>
          </w:tcPr>
          <w:p>
            <w:pPr>
              <w:pStyle w:val="TableParagraph"/>
              <w:rPr>
                <w:rFonts w:ascii="Times New Roman"/>
                <w:sz w:val="14"/>
              </w:rPr>
            </w:pPr>
          </w:p>
        </w:tc>
        <w:tc>
          <w:tcPr>
            <w:tcW w:w="1003" w:type="dxa"/>
          </w:tcPr>
          <w:p>
            <w:pPr>
              <w:pStyle w:val="TableParagraph"/>
              <w:spacing w:before="42"/>
              <w:ind w:right="70"/>
              <w:jc w:val="right"/>
              <w:rPr>
                <w:sz w:val="14"/>
              </w:rPr>
            </w:pPr>
            <w:r>
              <w:rPr>
                <w:w w:val="95"/>
                <w:sz w:val="14"/>
              </w:rPr>
              <w:t>(1.588)</w:t>
            </w:r>
          </w:p>
        </w:tc>
        <w:tc>
          <w:tcPr>
            <w:tcW w:w="204" w:type="dxa"/>
          </w:tcPr>
          <w:p>
            <w:pPr>
              <w:pStyle w:val="TableParagraph"/>
              <w:rPr>
                <w:rFonts w:ascii="Times New Roman"/>
                <w:sz w:val="14"/>
              </w:rPr>
            </w:pPr>
          </w:p>
        </w:tc>
        <w:tc>
          <w:tcPr>
            <w:tcW w:w="1229" w:type="dxa"/>
          </w:tcPr>
          <w:p>
            <w:pPr>
              <w:pStyle w:val="TableParagraph"/>
              <w:spacing w:before="42"/>
              <w:ind w:right="69"/>
              <w:jc w:val="right"/>
              <w:rPr>
                <w:sz w:val="14"/>
              </w:rPr>
            </w:pPr>
            <w:r>
              <w:rPr>
                <w:w w:val="95"/>
                <w:sz w:val="14"/>
              </w:rPr>
              <w:t>(1.490)</w:t>
            </w:r>
          </w:p>
        </w:tc>
        <w:tc>
          <w:tcPr>
            <w:tcW w:w="141" w:type="dxa"/>
          </w:tcPr>
          <w:p>
            <w:pPr>
              <w:pStyle w:val="TableParagraph"/>
              <w:rPr>
                <w:rFonts w:ascii="Times New Roman"/>
                <w:sz w:val="14"/>
              </w:rPr>
            </w:pPr>
          </w:p>
        </w:tc>
        <w:tc>
          <w:tcPr>
            <w:tcW w:w="1158" w:type="dxa"/>
          </w:tcPr>
          <w:p>
            <w:pPr>
              <w:pStyle w:val="TableParagraph"/>
              <w:spacing w:before="42"/>
              <w:ind w:right="67"/>
              <w:jc w:val="right"/>
              <w:rPr>
                <w:sz w:val="14"/>
              </w:rPr>
            </w:pPr>
            <w:r>
              <w:rPr>
                <w:w w:val="95"/>
                <w:sz w:val="14"/>
              </w:rPr>
              <w:t>(1.588)</w:t>
            </w:r>
          </w:p>
        </w:tc>
      </w:tr>
      <w:tr>
        <w:trPr>
          <w:trHeight w:val="244" w:hRule="atLeast"/>
        </w:trPr>
        <w:tc>
          <w:tcPr>
            <w:tcW w:w="5101" w:type="dxa"/>
          </w:tcPr>
          <w:p>
            <w:pPr>
              <w:pStyle w:val="TableParagraph"/>
              <w:spacing w:before="41"/>
              <w:ind w:left="81"/>
              <w:rPr>
                <w:sz w:val="14"/>
              </w:rPr>
            </w:pPr>
            <w:r>
              <w:rPr>
                <w:sz w:val="14"/>
              </w:rPr>
              <w:t>Atualização Monetária </w:t>
            </w:r>
            <w:r>
              <w:rPr>
                <w:w w:val="105"/>
                <w:sz w:val="14"/>
              </w:rPr>
              <w:t>– </w:t>
            </w:r>
            <w:r>
              <w:rPr>
                <w:sz w:val="14"/>
              </w:rPr>
              <w:t>Contribuição de Iluminação Pública</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862</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2.298</w:t>
            </w:r>
          </w:p>
        </w:tc>
      </w:tr>
      <w:tr>
        <w:trPr>
          <w:trHeight w:val="265" w:hRule="atLeast"/>
        </w:trPr>
        <w:tc>
          <w:tcPr>
            <w:tcW w:w="5101" w:type="dxa"/>
          </w:tcPr>
          <w:p>
            <w:pPr>
              <w:pStyle w:val="TableParagraph"/>
              <w:spacing w:before="41"/>
              <w:ind w:left="81"/>
              <w:rPr>
                <w:sz w:val="14"/>
              </w:rPr>
            </w:pPr>
            <w:r>
              <w:rPr>
                <w:sz w:val="14"/>
              </w:rPr>
              <w:t>Custo de Transação com Empréstimos</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82"/>
              <w:ind w:right="69"/>
              <w:jc w:val="right"/>
              <w:rPr>
                <w:sz w:val="14"/>
              </w:rPr>
            </w:pPr>
            <w:r>
              <w:rPr>
                <w:w w:val="95"/>
                <w:sz w:val="14"/>
              </w:rPr>
              <w:t>2.573</w:t>
            </w:r>
          </w:p>
        </w:tc>
        <w:tc>
          <w:tcPr>
            <w:tcW w:w="141" w:type="dxa"/>
          </w:tcPr>
          <w:p>
            <w:pPr>
              <w:pStyle w:val="TableParagraph"/>
              <w:rPr>
                <w:rFonts w:ascii="Times New Roman"/>
                <w:sz w:val="14"/>
              </w:rPr>
            </w:pPr>
          </w:p>
        </w:tc>
        <w:tc>
          <w:tcPr>
            <w:tcW w:w="1158" w:type="dxa"/>
          </w:tcPr>
          <w:p>
            <w:pPr>
              <w:pStyle w:val="TableParagraph"/>
              <w:spacing w:before="82"/>
              <w:ind w:right="65"/>
              <w:jc w:val="right"/>
              <w:rPr>
                <w:sz w:val="14"/>
              </w:rPr>
            </w:pPr>
            <w:r>
              <w:rPr>
                <w:w w:val="95"/>
                <w:sz w:val="14"/>
              </w:rPr>
              <w:t>1.035</w:t>
            </w:r>
          </w:p>
        </w:tc>
      </w:tr>
      <w:tr>
        <w:trPr>
          <w:trHeight w:val="226" w:hRule="atLeast"/>
        </w:trPr>
        <w:tc>
          <w:tcPr>
            <w:tcW w:w="5101" w:type="dxa"/>
          </w:tcPr>
          <w:p>
            <w:pPr>
              <w:pStyle w:val="TableParagraph"/>
              <w:spacing w:before="21"/>
              <w:ind w:left="81"/>
              <w:rPr>
                <w:sz w:val="14"/>
              </w:rPr>
            </w:pPr>
            <w:r>
              <w:rPr>
                <w:sz w:val="14"/>
              </w:rPr>
              <w:t>Provisões/Reversões de Riscos Trabalhista, Cível e Fiscais</w:t>
            </w:r>
          </w:p>
        </w:tc>
        <w:tc>
          <w:tcPr>
            <w:tcW w:w="1037" w:type="dxa"/>
            <w:tcBorders>
              <w:bottom w:val="single" w:sz="8" w:space="0" w:color="000000"/>
            </w:tcBorders>
          </w:tcPr>
          <w:p>
            <w:pPr>
              <w:pStyle w:val="TableParagraph"/>
              <w:spacing w:before="21"/>
              <w:ind w:right="70"/>
              <w:jc w:val="right"/>
              <w:rPr>
                <w:sz w:val="14"/>
              </w:rPr>
            </w:pPr>
            <w:r>
              <w:rPr>
                <w:w w:val="105"/>
                <w:sz w:val="14"/>
              </w:rPr>
              <w:t>100</w:t>
            </w:r>
          </w:p>
        </w:tc>
        <w:tc>
          <w:tcPr>
            <w:tcW w:w="139" w:type="dxa"/>
          </w:tcPr>
          <w:p>
            <w:pPr>
              <w:pStyle w:val="TableParagraph"/>
              <w:rPr>
                <w:rFonts w:ascii="Times New Roman"/>
                <w:sz w:val="14"/>
              </w:rPr>
            </w:pPr>
          </w:p>
        </w:tc>
        <w:tc>
          <w:tcPr>
            <w:tcW w:w="1003" w:type="dxa"/>
            <w:tcBorders>
              <w:bottom w:val="single" w:sz="8" w:space="0" w:color="000000"/>
            </w:tcBorders>
          </w:tcPr>
          <w:p>
            <w:pPr>
              <w:pStyle w:val="TableParagraph"/>
              <w:spacing w:before="21"/>
              <w:ind w:right="68"/>
              <w:jc w:val="right"/>
              <w:rPr>
                <w:sz w:val="14"/>
              </w:rPr>
            </w:pPr>
            <w:r>
              <w:rPr>
                <w:sz w:val="14"/>
              </w:rPr>
              <w:t>(10)</w:t>
            </w:r>
          </w:p>
        </w:tc>
        <w:tc>
          <w:tcPr>
            <w:tcW w:w="204" w:type="dxa"/>
          </w:tcPr>
          <w:p>
            <w:pPr>
              <w:pStyle w:val="TableParagraph"/>
              <w:rPr>
                <w:rFonts w:ascii="Times New Roman"/>
                <w:sz w:val="14"/>
              </w:rPr>
            </w:pPr>
          </w:p>
        </w:tc>
        <w:tc>
          <w:tcPr>
            <w:tcW w:w="1229" w:type="dxa"/>
            <w:tcBorders>
              <w:bottom w:val="single" w:sz="8" w:space="0" w:color="000000"/>
            </w:tcBorders>
          </w:tcPr>
          <w:p>
            <w:pPr>
              <w:pStyle w:val="TableParagraph"/>
              <w:spacing w:before="21"/>
              <w:ind w:right="67"/>
              <w:jc w:val="right"/>
              <w:rPr>
                <w:sz w:val="14"/>
              </w:rPr>
            </w:pPr>
            <w:r>
              <w:rPr>
                <w:w w:val="95"/>
                <w:sz w:val="14"/>
              </w:rPr>
              <w:t>21.380</w:t>
            </w:r>
          </w:p>
        </w:tc>
        <w:tc>
          <w:tcPr>
            <w:tcW w:w="141" w:type="dxa"/>
          </w:tcPr>
          <w:p>
            <w:pPr>
              <w:pStyle w:val="TableParagraph"/>
              <w:rPr>
                <w:rFonts w:ascii="Times New Roman"/>
                <w:sz w:val="14"/>
              </w:rPr>
            </w:pPr>
          </w:p>
        </w:tc>
        <w:tc>
          <w:tcPr>
            <w:tcW w:w="1158" w:type="dxa"/>
            <w:tcBorders>
              <w:bottom w:val="single" w:sz="8" w:space="0" w:color="000000"/>
            </w:tcBorders>
          </w:tcPr>
          <w:p>
            <w:pPr>
              <w:pStyle w:val="TableParagraph"/>
              <w:spacing w:before="21"/>
              <w:ind w:right="65"/>
              <w:jc w:val="right"/>
              <w:rPr>
                <w:sz w:val="14"/>
              </w:rPr>
            </w:pPr>
            <w:r>
              <w:rPr>
                <w:sz w:val="14"/>
              </w:rPr>
              <w:t>(40.317)</w:t>
            </w:r>
          </w:p>
        </w:tc>
      </w:tr>
      <w:tr>
        <w:trPr>
          <w:trHeight w:val="244" w:hRule="atLeast"/>
        </w:trPr>
        <w:tc>
          <w:tcPr>
            <w:tcW w:w="5101" w:type="dxa"/>
          </w:tcPr>
          <w:p>
            <w:pPr>
              <w:pStyle w:val="TableParagraph"/>
              <w:rPr>
                <w:rFonts w:ascii="Times New Roman"/>
                <w:sz w:val="14"/>
              </w:rPr>
            </w:pPr>
          </w:p>
        </w:tc>
        <w:tc>
          <w:tcPr>
            <w:tcW w:w="1037" w:type="dxa"/>
            <w:tcBorders>
              <w:top w:val="single" w:sz="8" w:space="0" w:color="000000"/>
              <w:bottom w:val="single" w:sz="8" w:space="0" w:color="000000"/>
            </w:tcBorders>
          </w:tcPr>
          <w:p>
            <w:pPr>
              <w:pStyle w:val="TableParagraph"/>
              <w:spacing w:before="39"/>
              <w:ind w:left="323"/>
              <w:rPr>
                <w:rFonts w:ascii="Caladea"/>
                <w:b/>
                <w:sz w:val="14"/>
              </w:rPr>
            </w:pPr>
            <w:r>
              <w:rPr>
                <w:rFonts w:ascii="Caladea"/>
                <w:b/>
                <w:sz w:val="14"/>
              </w:rPr>
              <w:t>(122.248)</w:t>
            </w:r>
          </w:p>
        </w:tc>
        <w:tc>
          <w:tcPr>
            <w:tcW w:w="139" w:type="dxa"/>
          </w:tcPr>
          <w:p>
            <w:pPr>
              <w:pStyle w:val="TableParagraph"/>
              <w:rPr>
                <w:rFonts w:ascii="Times New Roman"/>
                <w:sz w:val="14"/>
              </w:rPr>
            </w:pPr>
          </w:p>
        </w:tc>
        <w:tc>
          <w:tcPr>
            <w:tcW w:w="1003" w:type="dxa"/>
            <w:tcBorders>
              <w:top w:val="single" w:sz="8" w:space="0" w:color="000000"/>
              <w:bottom w:val="single" w:sz="8" w:space="0" w:color="000000"/>
            </w:tcBorders>
          </w:tcPr>
          <w:p>
            <w:pPr>
              <w:pStyle w:val="TableParagraph"/>
              <w:spacing w:before="39"/>
              <w:ind w:left="373"/>
              <w:rPr>
                <w:rFonts w:ascii="Caladea"/>
                <w:b/>
                <w:sz w:val="14"/>
              </w:rPr>
            </w:pPr>
            <w:r>
              <w:rPr>
                <w:rFonts w:ascii="Caladea"/>
                <w:b/>
                <w:sz w:val="14"/>
              </w:rPr>
              <w:t>(87.038)</w:t>
            </w:r>
          </w:p>
        </w:tc>
        <w:tc>
          <w:tcPr>
            <w:tcW w:w="204" w:type="dxa"/>
          </w:tcPr>
          <w:p>
            <w:pPr>
              <w:pStyle w:val="TableParagraph"/>
              <w:rPr>
                <w:rFonts w:ascii="Times New Roman"/>
                <w:sz w:val="14"/>
              </w:rPr>
            </w:pPr>
          </w:p>
        </w:tc>
        <w:tc>
          <w:tcPr>
            <w:tcW w:w="1229" w:type="dxa"/>
            <w:tcBorders>
              <w:top w:val="single" w:sz="8" w:space="0" w:color="000000"/>
              <w:bottom w:val="single" w:sz="8" w:space="0" w:color="000000"/>
            </w:tcBorders>
          </w:tcPr>
          <w:p>
            <w:pPr>
              <w:pStyle w:val="TableParagraph"/>
              <w:spacing w:before="39"/>
              <w:ind w:right="69"/>
              <w:jc w:val="right"/>
              <w:rPr>
                <w:rFonts w:ascii="Caladea"/>
                <w:b/>
                <w:sz w:val="14"/>
              </w:rPr>
            </w:pPr>
            <w:r>
              <w:rPr>
                <w:rFonts w:ascii="Caladea"/>
                <w:b/>
                <w:sz w:val="14"/>
              </w:rPr>
              <w:t>206.069</w:t>
            </w:r>
          </w:p>
        </w:tc>
        <w:tc>
          <w:tcPr>
            <w:tcW w:w="141" w:type="dxa"/>
          </w:tcPr>
          <w:p>
            <w:pPr>
              <w:pStyle w:val="TableParagraph"/>
              <w:rPr>
                <w:rFonts w:ascii="Times New Roman"/>
                <w:sz w:val="14"/>
              </w:rPr>
            </w:pPr>
          </w:p>
        </w:tc>
        <w:tc>
          <w:tcPr>
            <w:tcW w:w="1158" w:type="dxa"/>
            <w:tcBorders>
              <w:top w:val="single" w:sz="8" w:space="0" w:color="000000"/>
              <w:bottom w:val="single" w:sz="8" w:space="0" w:color="000000"/>
            </w:tcBorders>
          </w:tcPr>
          <w:p>
            <w:pPr>
              <w:pStyle w:val="TableParagraph"/>
              <w:spacing w:before="39"/>
              <w:ind w:right="65"/>
              <w:jc w:val="right"/>
              <w:rPr>
                <w:rFonts w:ascii="Caladea"/>
                <w:b/>
                <w:sz w:val="14"/>
              </w:rPr>
            </w:pPr>
            <w:r>
              <w:rPr>
                <w:rFonts w:ascii="Caladea"/>
                <w:b/>
                <w:w w:val="95"/>
                <w:sz w:val="14"/>
              </w:rPr>
              <w:t>111.834</w:t>
            </w:r>
          </w:p>
        </w:tc>
      </w:tr>
      <w:tr>
        <w:trPr>
          <w:trHeight w:val="244" w:hRule="atLeast"/>
        </w:trPr>
        <w:tc>
          <w:tcPr>
            <w:tcW w:w="5101" w:type="dxa"/>
          </w:tcPr>
          <w:p>
            <w:pPr>
              <w:pStyle w:val="TableParagraph"/>
              <w:spacing w:before="39"/>
              <w:ind w:left="50"/>
              <w:rPr>
                <w:rFonts w:ascii="Caladea" w:hAnsi="Caladea"/>
                <w:b/>
                <w:sz w:val="14"/>
              </w:rPr>
            </w:pPr>
            <w:r>
              <w:rPr>
                <w:rFonts w:ascii="Caladea" w:hAnsi="Caladea"/>
                <w:b/>
                <w:sz w:val="14"/>
              </w:rPr>
              <w:t>(Acréscimos)/Decréscimos nos Ativos Operacionais</w:t>
            </w:r>
          </w:p>
        </w:tc>
        <w:tc>
          <w:tcPr>
            <w:tcW w:w="1037" w:type="dxa"/>
            <w:tcBorders>
              <w:top w:val="single" w:sz="8" w:space="0" w:color="000000"/>
            </w:tcBorders>
          </w:tcPr>
          <w:p>
            <w:pPr>
              <w:pStyle w:val="TableParagraph"/>
              <w:rPr>
                <w:rFonts w:ascii="Times New Roman"/>
                <w:sz w:val="14"/>
              </w:rPr>
            </w:pPr>
          </w:p>
        </w:tc>
        <w:tc>
          <w:tcPr>
            <w:tcW w:w="139" w:type="dxa"/>
          </w:tcPr>
          <w:p>
            <w:pPr>
              <w:pStyle w:val="TableParagraph"/>
              <w:rPr>
                <w:rFonts w:ascii="Times New Roman"/>
                <w:sz w:val="14"/>
              </w:rPr>
            </w:pPr>
          </w:p>
        </w:tc>
        <w:tc>
          <w:tcPr>
            <w:tcW w:w="1003" w:type="dxa"/>
            <w:tcBorders>
              <w:top w:val="single" w:sz="8" w:space="0" w:color="000000"/>
            </w:tcBorders>
          </w:tcPr>
          <w:p>
            <w:pPr>
              <w:pStyle w:val="TableParagraph"/>
              <w:rPr>
                <w:rFonts w:ascii="Times New Roman"/>
                <w:sz w:val="14"/>
              </w:rPr>
            </w:pPr>
          </w:p>
        </w:tc>
        <w:tc>
          <w:tcPr>
            <w:tcW w:w="204" w:type="dxa"/>
          </w:tcPr>
          <w:p>
            <w:pPr>
              <w:pStyle w:val="TableParagraph"/>
              <w:rPr>
                <w:rFonts w:ascii="Times New Roman"/>
                <w:sz w:val="14"/>
              </w:rPr>
            </w:pPr>
          </w:p>
        </w:tc>
        <w:tc>
          <w:tcPr>
            <w:tcW w:w="1229" w:type="dxa"/>
            <w:tcBorders>
              <w:top w:val="single" w:sz="8" w:space="0" w:color="000000"/>
            </w:tcBorders>
          </w:tcPr>
          <w:p>
            <w:pPr>
              <w:pStyle w:val="TableParagraph"/>
              <w:rPr>
                <w:rFonts w:ascii="Times New Roman"/>
                <w:sz w:val="14"/>
              </w:rPr>
            </w:pPr>
          </w:p>
        </w:tc>
        <w:tc>
          <w:tcPr>
            <w:tcW w:w="141" w:type="dxa"/>
          </w:tcPr>
          <w:p>
            <w:pPr>
              <w:pStyle w:val="TableParagraph"/>
              <w:rPr>
                <w:rFonts w:ascii="Times New Roman"/>
                <w:sz w:val="14"/>
              </w:rPr>
            </w:pPr>
          </w:p>
        </w:tc>
        <w:tc>
          <w:tcPr>
            <w:tcW w:w="1158" w:type="dxa"/>
            <w:tcBorders>
              <w:top w:val="single" w:sz="8" w:space="0" w:color="000000"/>
            </w:tcBorders>
          </w:tcPr>
          <w:p>
            <w:pPr>
              <w:pStyle w:val="TableParagraph"/>
              <w:rPr>
                <w:rFonts w:ascii="Times New Roman"/>
                <w:sz w:val="14"/>
              </w:rPr>
            </w:pPr>
          </w:p>
        </w:tc>
      </w:tr>
      <w:tr>
        <w:trPr>
          <w:trHeight w:val="244" w:hRule="atLeast"/>
        </w:trPr>
        <w:tc>
          <w:tcPr>
            <w:tcW w:w="5101" w:type="dxa"/>
          </w:tcPr>
          <w:p>
            <w:pPr>
              <w:pStyle w:val="TableParagraph"/>
              <w:spacing w:before="41"/>
              <w:ind w:left="81"/>
              <w:rPr>
                <w:sz w:val="14"/>
              </w:rPr>
            </w:pPr>
            <w:r>
              <w:rPr>
                <w:sz w:val="14"/>
              </w:rPr>
              <w:t>Contas a Receber</w:t>
            </w:r>
          </w:p>
        </w:tc>
        <w:tc>
          <w:tcPr>
            <w:tcW w:w="1037" w:type="dxa"/>
          </w:tcPr>
          <w:p>
            <w:pPr>
              <w:pStyle w:val="TableParagraph"/>
              <w:spacing w:before="41"/>
              <w:ind w:right="67"/>
              <w:jc w:val="right"/>
              <w:rPr>
                <w:sz w:val="14"/>
              </w:rPr>
            </w:pPr>
            <w:r>
              <w:rPr>
                <w:w w:val="95"/>
                <w:sz w:val="14"/>
              </w:rPr>
              <w:t>15.964</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w w:val="95"/>
                <w:sz w:val="14"/>
              </w:rPr>
              <w:t>27.581</w:t>
            </w: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(156.240)</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sz w:val="14"/>
              </w:rPr>
              <w:t>(240.153)</w:t>
            </w:r>
          </w:p>
        </w:tc>
      </w:tr>
      <w:tr>
        <w:trPr>
          <w:trHeight w:val="244" w:hRule="atLeast"/>
        </w:trPr>
        <w:tc>
          <w:tcPr>
            <w:tcW w:w="5101" w:type="dxa"/>
          </w:tcPr>
          <w:p>
            <w:pPr>
              <w:pStyle w:val="TableParagraph"/>
              <w:spacing w:before="41"/>
              <w:ind w:left="81"/>
              <w:rPr>
                <w:sz w:val="14"/>
              </w:rPr>
            </w:pPr>
            <w:r>
              <w:rPr>
                <w:sz w:val="14"/>
              </w:rPr>
              <w:t>Estoques</w:t>
            </w:r>
          </w:p>
        </w:tc>
        <w:tc>
          <w:tcPr>
            <w:tcW w:w="1037" w:type="dxa"/>
          </w:tcPr>
          <w:p>
            <w:pPr>
              <w:pStyle w:val="TableParagraph"/>
              <w:spacing w:before="41"/>
              <w:ind w:right="70"/>
              <w:jc w:val="right"/>
              <w:rPr>
                <w:sz w:val="14"/>
              </w:rPr>
            </w:pPr>
            <w:r>
              <w:rPr>
                <w:sz w:val="14"/>
              </w:rPr>
              <w:t>(110)</w:t>
            </w:r>
          </w:p>
        </w:tc>
        <w:tc>
          <w:tcPr>
            <w:tcW w:w="139" w:type="dxa"/>
          </w:tcPr>
          <w:p>
            <w:pPr>
              <w:pStyle w:val="TableParagraph"/>
              <w:rPr>
                <w:rFonts w:ascii="Times New Roman"/>
                <w:sz w:val="14"/>
              </w:rPr>
            </w:pPr>
          </w:p>
        </w:tc>
        <w:tc>
          <w:tcPr>
            <w:tcW w:w="1003" w:type="dxa"/>
          </w:tcPr>
          <w:p>
            <w:pPr>
              <w:pStyle w:val="TableParagraph"/>
              <w:spacing w:before="41"/>
              <w:ind w:right="65"/>
              <w:jc w:val="right"/>
              <w:rPr>
                <w:sz w:val="14"/>
              </w:rPr>
            </w:pPr>
            <w:r>
              <w:rPr>
                <w:sz w:val="14"/>
              </w:rPr>
              <w:t>30</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1.885</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105"/>
                <w:sz w:val="14"/>
              </w:rPr>
              <w:t>591</w:t>
            </w:r>
          </w:p>
        </w:tc>
      </w:tr>
      <w:tr>
        <w:trPr>
          <w:trHeight w:val="244" w:hRule="atLeast"/>
        </w:trPr>
        <w:tc>
          <w:tcPr>
            <w:tcW w:w="5101" w:type="dxa"/>
          </w:tcPr>
          <w:p>
            <w:pPr>
              <w:pStyle w:val="TableParagraph"/>
              <w:spacing w:before="41"/>
              <w:ind w:left="81"/>
              <w:rPr>
                <w:sz w:val="14"/>
              </w:rPr>
            </w:pPr>
            <w:r>
              <w:rPr>
                <w:sz w:val="14"/>
              </w:rPr>
              <w:t>Aplicações Financeiras</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70"/>
              <w:jc w:val="right"/>
              <w:rPr>
                <w:sz w:val="14"/>
              </w:rPr>
            </w:pPr>
            <w:r>
              <w:rPr>
                <w:sz w:val="14"/>
              </w:rPr>
              <w:t>(531)</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w w:val="95"/>
                <w:sz w:val="14"/>
              </w:rPr>
              <w:t>(2.585)</w:t>
            </w:r>
          </w:p>
        </w:tc>
      </w:tr>
      <w:tr>
        <w:trPr>
          <w:trHeight w:val="245" w:hRule="atLeast"/>
        </w:trPr>
        <w:tc>
          <w:tcPr>
            <w:tcW w:w="5101" w:type="dxa"/>
          </w:tcPr>
          <w:p>
            <w:pPr>
              <w:pStyle w:val="TableParagraph"/>
              <w:spacing w:before="41"/>
              <w:ind w:left="81"/>
              <w:rPr>
                <w:sz w:val="14"/>
              </w:rPr>
            </w:pPr>
            <w:r>
              <w:rPr>
                <w:sz w:val="14"/>
              </w:rPr>
              <w:t>Depósitos e Bloqueios Judiciais</w:t>
            </w:r>
          </w:p>
        </w:tc>
        <w:tc>
          <w:tcPr>
            <w:tcW w:w="1037" w:type="dxa"/>
          </w:tcPr>
          <w:p>
            <w:pPr>
              <w:pStyle w:val="TableParagraph"/>
              <w:spacing w:before="41"/>
              <w:ind w:right="67"/>
              <w:jc w:val="right"/>
              <w:rPr>
                <w:sz w:val="14"/>
              </w:rPr>
            </w:pPr>
            <w:r>
              <w:rPr>
                <w:w w:val="95"/>
                <w:sz w:val="14"/>
              </w:rPr>
              <w:t>(5.743)</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sz w:val="14"/>
              </w:rPr>
              <w:t>(16)</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sz w:val="14"/>
              </w:rPr>
              <w:t>(11.126)</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w w:val="95"/>
                <w:sz w:val="14"/>
              </w:rPr>
              <w:t>(7.105)</w:t>
            </w:r>
          </w:p>
        </w:tc>
      </w:tr>
      <w:tr>
        <w:trPr>
          <w:trHeight w:val="246" w:hRule="atLeast"/>
        </w:trPr>
        <w:tc>
          <w:tcPr>
            <w:tcW w:w="5101" w:type="dxa"/>
          </w:tcPr>
          <w:p>
            <w:pPr>
              <w:pStyle w:val="TableParagraph"/>
              <w:spacing w:before="43"/>
              <w:ind w:left="81"/>
              <w:rPr>
                <w:sz w:val="14"/>
              </w:rPr>
            </w:pPr>
            <w:r>
              <w:rPr>
                <w:sz w:val="14"/>
              </w:rPr>
              <w:t>Valores a Receber de Parcela A e Outros Itens Financeiros</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3"/>
              <w:ind w:right="69"/>
              <w:jc w:val="right"/>
              <w:rPr>
                <w:sz w:val="14"/>
              </w:rPr>
            </w:pPr>
            <w:r>
              <w:rPr>
                <w:w w:val="95"/>
                <w:sz w:val="14"/>
              </w:rPr>
              <w:t>359.543</w:t>
            </w:r>
          </w:p>
        </w:tc>
        <w:tc>
          <w:tcPr>
            <w:tcW w:w="141" w:type="dxa"/>
          </w:tcPr>
          <w:p>
            <w:pPr>
              <w:pStyle w:val="TableParagraph"/>
              <w:rPr>
                <w:rFonts w:ascii="Times New Roman"/>
                <w:sz w:val="14"/>
              </w:rPr>
            </w:pPr>
          </w:p>
        </w:tc>
        <w:tc>
          <w:tcPr>
            <w:tcW w:w="1158" w:type="dxa"/>
          </w:tcPr>
          <w:p>
            <w:pPr>
              <w:pStyle w:val="TableParagraph"/>
              <w:spacing w:before="43"/>
              <w:ind w:right="67"/>
              <w:jc w:val="right"/>
              <w:rPr>
                <w:sz w:val="14"/>
              </w:rPr>
            </w:pPr>
            <w:r>
              <w:rPr>
                <w:w w:val="95"/>
                <w:sz w:val="14"/>
              </w:rPr>
              <w:t>59.965</w:t>
            </w:r>
          </w:p>
        </w:tc>
      </w:tr>
      <w:tr>
        <w:trPr>
          <w:trHeight w:val="244" w:hRule="atLeast"/>
        </w:trPr>
        <w:tc>
          <w:tcPr>
            <w:tcW w:w="5101" w:type="dxa"/>
          </w:tcPr>
          <w:p>
            <w:pPr>
              <w:pStyle w:val="TableParagraph"/>
              <w:spacing w:before="41"/>
              <w:ind w:left="81"/>
              <w:rPr>
                <w:sz w:val="14"/>
              </w:rPr>
            </w:pPr>
            <w:r>
              <w:rPr>
                <w:sz w:val="14"/>
              </w:rPr>
              <w:t>Tributos e Contribuições Compensáveis</w:t>
            </w:r>
          </w:p>
        </w:tc>
        <w:tc>
          <w:tcPr>
            <w:tcW w:w="1037" w:type="dxa"/>
          </w:tcPr>
          <w:p>
            <w:pPr>
              <w:pStyle w:val="TableParagraph"/>
              <w:spacing w:before="41"/>
              <w:ind w:right="68"/>
              <w:jc w:val="right"/>
              <w:rPr>
                <w:sz w:val="14"/>
              </w:rPr>
            </w:pPr>
            <w:r>
              <w:rPr>
                <w:sz w:val="14"/>
              </w:rPr>
              <w:t>712</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w w:val="95"/>
                <w:sz w:val="14"/>
              </w:rPr>
              <w:t>1.239</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75.398</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25.786</w:t>
            </w:r>
          </w:p>
        </w:tc>
      </w:tr>
      <w:tr>
        <w:trPr>
          <w:trHeight w:val="244" w:hRule="atLeast"/>
        </w:trPr>
        <w:tc>
          <w:tcPr>
            <w:tcW w:w="5101" w:type="dxa"/>
          </w:tcPr>
          <w:p>
            <w:pPr>
              <w:pStyle w:val="TableParagraph"/>
              <w:spacing w:before="41"/>
              <w:ind w:left="81"/>
              <w:rPr>
                <w:sz w:val="14"/>
              </w:rPr>
            </w:pPr>
            <w:r>
              <w:rPr>
                <w:sz w:val="14"/>
              </w:rPr>
              <w:t>Demais Créditos</w:t>
            </w:r>
          </w:p>
        </w:tc>
        <w:tc>
          <w:tcPr>
            <w:tcW w:w="1037" w:type="dxa"/>
            <w:tcBorders>
              <w:bottom w:val="single" w:sz="8" w:space="0" w:color="000000"/>
            </w:tcBorders>
          </w:tcPr>
          <w:p>
            <w:pPr>
              <w:pStyle w:val="TableParagraph"/>
              <w:spacing w:before="41"/>
              <w:ind w:right="67"/>
              <w:jc w:val="right"/>
              <w:rPr>
                <w:sz w:val="14"/>
              </w:rPr>
            </w:pPr>
            <w:r>
              <w:rPr>
                <w:w w:val="95"/>
                <w:sz w:val="14"/>
              </w:rPr>
              <w:t>19.443</w:t>
            </w:r>
          </w:p>
        </w:tc>
        <w:tc>
          <w:tcPr>
            <w:tcW w:w="139" w:type="dxa"/>
          </w:tcPr>
          <w:p>
            <w:pPr>
              <w:pStyle w:val="TableParagraph"/>
              <w:rPr>
                <w:rFonts w:ascii="Times New Roman"/>
                <w:sz w:val="14"/>
              </w:rPr>
            </w:pPr>
          </w:p>
        </w:tc>
        <w:tc>
          <w:tcPr>
            <w:tcW w:w="1003" w:type="dxa"/>
            <w:tcBorders>
              <w:bottom w:val="single" w:sz="8" w:space="0" w:color="000000"/>
            </w:tcBorders>
          </w:tcPr>
          <w:p>
            <w:pPr>
              <w:pStyle w:val="TableParagraph"/>
              <w:spacing w:before="41"/>
              <w:ind w:left="412"/>
              <w:rPr>
                <w:sz w:val="14"/>
              </w:rPr>
            </w:pPr>
            <w:r>
              <w:rPr>
                <w:sz w:val="14"/>
              </w:rPr>
              <w:t>(15.372)</w:t>
            </w:r>
          </w:p>
        </w:tc>
        <w:tc>
          <w:tcPr>
            <w:tcW w:w="204" w:type="dxa"/>
          </w:tcPr>
          <w:p>
            <w:pPr>
              <w:pStyle w:val="TableParagraph"/>
              <w:rPr>
                <w:rFonts w:ascii="Times New Roman"/>
                <w:sz w:val="14"/>
              </w:rPr>
            </w:pPr>
          </w:p>
        </w:tc>
        <w:tc>
          <w:tcPr>
            <w:tcW w:w="1229" w:type="dxa"/>
            <w:tcBorders>
              <w:bottom w:val="single" w:sz="8" w:space="0" w:color="000000"/>
            </w:tcBorders>
          </w:tcPr>
          <w:p>
            <w:pPr>
              <w:pStyle w:val="TableParagraph"/>
              <w:spacing w:before="41"/>
              <w:ind w:right="69"/>
              <w:jc w:val="right"/>
              <w:rPr>
                <w:sz w:val="14"/>
              </w:rPr>
            </w:pPr>
            <w:r>
              <w:rPr>
                <w:sz w:val="14"/>
              </w:rPr>
              <w:t>(16.039)</w:t>
            </w:r>
          </w:p>
        </w:tc>
        <w:tc>
          <w:tcPr>
            <w:tcW w:w="141" w:type="dxa"/>
          </w:tcPr>
          <w:p>
            <w:pPr>
              <w:pStyle w:val="TableParagraph"/>
              <w:rPr>
                <w:rFonts w:ascii="Times New Roman"/>
                <w:sz w:val="14"/>
              </w:rPr>
            </w:pPr>
          </w:p>
        </w:tc>
        <w:tc>
          <w:tcPr>
            <w:tcW w:w="1158" w:type="dxa"/>
            <w:tcBorders>
              <w:bottom w:val="single" w:sz="8" w:space="0" w:color="000000"/>
            </w:tcBorders>
          </w:tcPr>
          <w:p>
            <w:pPr>
              <w:pStyle w:val="TableParagraph"/>
              <w:spacing w:before="41"/>
              <w:ind w:right="67"/>
              <w:jc w:val="right"/>
              <w:rPr>
                <w:sz w:val="14"/>
              </w:rPr>
            </w:pPr>
            <w:r>
              <w:rPr>
                <w:w w:val="95"/>
                <w:sz w:val="14"/>
              </w:rPr>
              <w:t>41.641</w:t>
            </w:r>
          </w:p>
        </w:tc>
      </w:tr>
      <w:tr>
        <w:trPr>
          <w:trHeight w:val="243" w:hRule="atLeast"/>
        </w:trPr>
        <w:tc>
          <w:tcPr>
            <w:tcW w:w="5101" w:type="dxa"/>
          </w:tcPr>
          <w:p>
            <w:pPr>
              <w:pStyle w:val="TableParagraph"/>
              <w:rPr>
                <w:rFonts w:ascii="Times New Roman"/>
                <w:sz w:val="14"/>
              </w:rPr>
            </w:pPr>
          </w:p>
        </w:tc>
        <w:tc>
          <w:tcPr>
            <w:tcW w:w="1037"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w w:val="95"/>
                <w:sz w:val="14"/>
              </w:rPr>
              <w:t>30.266</w:t>
            </w:r>
          </w:p>
        </w:tc>
        <w:tc>
          <w:tcPr>
            <w:tcW w:w="139" w:type="dxa"/>
          </w:tcPr>
          <w:p>
            <w:pPr>
              <w:pStyle w:val="TableParagraph"/>
              <w:rPr>
                <w:rFonts w:ascii="Times New Roman"/>
                <w:sz w:val="14"/>
              </w:rPr>
            </w:pPr>
          </w:p>
        </w:tc>
        <w:tc>
          <w:tcPr>
            <w:tcW w:w="1003"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w w:val="95"/>
                <w:sz w:val="14"/>
              </w:rPr>
              <w:t>13.462</w:t>
            </w:r>
          </w:p>
        </w:tc>
        <w:tc>
          <w:tcPr>
            <w:tcW w:w="204" w:type="dxa"/>
          </w:tcPr>
          <w:p>
            <w:pPr>
              <w:pStyle w:val="TableParagraph"/>
              <w:rPr>
                <w:rFonts w:ascii="Times New Roman"/>
                <w:sz w:val="14"/>
              </w:rPr>
            </w:pPr>
          </w:p>
        </w:tc>
        <w:tc>
          <w:tcPr>
            <w:tcW w:w="1229" w:type="dxa"/>
            <w:tcBorders>
              <w:top w:val="single" w:sz="8" w:space="0" w:color="000000"/>
              <w:bottom w:val="single" w:sz="8" w:space="0" w:color="000000"/>
            </w:tcBorders>
          </w:tcPr>
          <w:p>
            <w:pPr>
              <w:pStyle w:val="TableParagraph"/>
              <w:spacing w:before="39"/>
              <w:ind w:right="66"/>
              <w:jc w:val="right"/>
              <w:rPr>
                <w:rFonts w:ascii="Caladea"/>
                <w:b/>
                <w:sz w:val="14"/>
              </w:rPr>
            </w:pPr>
            <w:r>
              <w:rPr>
                <w:rFonts w:ascii="Caladea"/>
                <w:b/>
                <w:w w:val="95"/>
                <w:sz w:val="14"/>
              </w:rPr>
              <w:t>33.184</w:t>
            </w:r>
          </w:p>
        </w:tc>
        <w:tc>
          <w:tcPr>
            <w:tcW w:w="141" w:type="dxa"/>
          </w:tcPr>
          <w:p>
            <w:pPr>
              <w:pStyle w:val="TableParagraph"/>
              <w:rPr>
                <w:rFonts w:ascii="Times New Roman"/>
                <w:sz w:val="14"/>
              </w:rPr>
            </w:pPr>
          </w:p>
        </w:tc>
        <w:tc>
          <w:tcPr>
            <w:tcW w:w="1158" w:type="dxa"/>
            <w:tcBorders>
              <w:top w:val="single" w:sz="8" w:space="0" w:color="000000"/>
              <w:bottom w:val="single" w:sz="8" w:space="0" w:color="000000"/>
            </w:tcBorders>
          </w:tcPr>
          <w:p>
            <w:pPr>
              <w:pStyle w:val="TableParagraph"/>
              <w:spacing w:before="39"/>
              <w:ind w:right="68"/>
              <w:jc w:val="right"/>
              <w:rPr>
                <w:rFonts w:ascii="Caladea"/>
                <w:b/>
                <w:sz w:val="14"/>
              </w:rPr>
            </w:pPr>
            <w:r>
              <w:rPr>
                <w:rFonts w:ascii="Caladea"/>
                <w:b/>
                <w:sz w:val="14"/>
              </w:rPr>
              <w:t>(121.860)</w:t>
            </w:r>
          </w:p>
        </w:tc>
      </w:tr>
      <w:tr>
        <w:trPr>
          <w:trHeight w:val="246" w:hRule="atLeast"/>
        </w:trPr>
        <w:tc>
          <w:tcPr>
            <w:tcW w:w="5101" w:type="dxa"/>
          </w:tcPr>
          <w:p>
            <w:pPr>
              <w:pStyle w:val="TableParagraph"/>
              <w:spacing w:before="42"/>
              <w:ind w:left="50"/>
              <w:rPr>
                <w:rFonts w:ascii="Caladea" w:hAnsi="Caladea"/>
                <w:b/>
                <w:sz w:val="14"/>
              </w:rPr>
            </w:pPr>
            <w:r>
              <w:rPr>
                <w:rFonts w:ascii="Caladea" w:hAnsi="Caladea"/>
                <w:b/>
                <w:sz w:val="14"/>
              </w:rPr>
              <w:t>Acréscimos/(Decréscimos) nos Passivos Operacionais</w:t>
            </w:r>
          </w:p>
        </w:tc>
        <w:tc>
          <w:tcPr>
            <w:tcW w:w="1037" w:type="dxa"/>
            <w:tcBorders>
              <w:top w:val="single" w:sz="8" w:space="0" w:color="000000"/>
            </w:tcBorders>
          </w:tcPr>
          <w:p>
            <w:pPr>
              <w:pStyle w:val="TableParagraph"/>
              <w:rPr>
                <w:rFonts w:ascii="Times New Roman"/>
                <w:sz w:val="14"/>
              </w:rPr>
            </w:pPr>
          </w:p>
        </w:tc>
        <w:tc>
          <w:tcPr>
            <w:tcW w:w="139" w:type="dxa"/>
          </w:tcPr>
          <w:p>
            <w:pPr>
              <w:pStyle w:val="TableParagraph"/>
              <w:rPr>
                <w:rFonts w:ascii="Times New Roman"/>
                <w:sz w:val="14"/>
              </w:rPr>
            </w:pPr>
          </w:p>
        </w:tc>
        <w:tc>
          <w:tcPr>
            <w:tcW w:w="1003" w:type="dxa"/>
            <w:tcBorders>
              <w:top w:val="single" w:sz="8" w:space="0" w:color="000000"/>
            </w:tcBorders>
          </w:tcPr>
          <w:p>
            <w:pPr>
              <w:pStyle w:val="TableParagraph"/>
              <w:rPr>
                <w:rFonts w:ascii="Times New Roman"/>
                <w:sz w:val="14"/>
              </w:rPr>
            </w:pPr>
          </w:p>
        </w:tc>
        <w:tc>
          <w:tcPr>
            <w:tcW w:w="204" w:type="dxa"/>
          </w:tcPr>
          <w:p>
            <w:pPr>
              <w:pStyle w:val="TableParagraph"/>
              <w:rPr>
                <w:rFonts w:ascii="Times New Roman"/>
                <w:sz w:val="14"/>
              </w:rPr>
            </w:pPr>
          </w:p>
        </w:tc>
        <w:tc>
          <w:tcPr>
            <w:tcW w:w="1229" w:type="dxa"/>
            <w:tcBorders>
              <w:top w:val="single" w:sz="8" w:space="0" w:color="000000"/>
            </w:tcBorders>
          </w:tcPr>
          <w:p>
            <w:pPr>
              <w:pStyle w:val="TableParagraph"/>
              <w:rPr>
                <w:rFonts w:ascii="Times New Roman"/>
                <w:sz w:val="14"/>
              </w:rPr>
            </w:pPr>
          </w:p>
        </w:tc>
        <w:tc>
          <w:tcPr>
            <w:tcW w:w="141" w:type="dxa"/>
          </w:tcPr>
          <w:p>
            <w:pPr>
              <w:pStyle w:val="TableParagraph"/>
              <w:rPr>
                <w:rFonts w:ascii="Times New Roman"/>
                <w:sz w:val="14"/>
              </w:rPr>
            </w:pPr>
          </w:p>
        </w:tc>
        <w:tc>
          <w:tcPr>
            <w:tcW w:w="1158" w:type="dxa"/>
            <w:tcBorders>
              <w:top w:val="single" w:sz="8" w:space="0" w:color="000000"/>
            </w:tcBorders>
          </w:tcPr>
          <w:p>
            <w:pPr>
              <w:pStyle w:val="TableParagraph"/>
              <w:rPr>
                <w:rFonts w:ascii="Times New Roman"/>
                <w:sz w:val="14"/>
              </w:rPr>
            </w:pPr>
          </w:p>
        </w:tc>
      </w:tr>
      <w:tr>
        <w:trPr>
          <w:trHeight w:val="244" w:hRule="atLeast"/>
        </w:trPr>
        <w:tc>
          <w:tcPr>
            <w:tcW w:w="5101" w:type="dxa"/>
          </w:tcPr>
          <w:p>
            <w:pPr>
              <w:pStyle w:val="TableParagraph"/>
              <w:spacing w:before="41"/>
              <w:ind w:left="81"/>
              <w:rPr>
                <w:sz w:val="14"/>
              </w:rPr>
            </w:pPr>
            <w:r>
              <w:rPr>
                <w:sz w:val="14"/>
              </w:rPr>
              <w:t>Fornecedores</w:t>
            </w:r>
          </w:p>
        </w:tc>
        <w:tc>
          <w:tcPr>
            <w:tcW w:w="1037" w:type="dxa"/>
          </w:tcPr>
          <w:p>
            <w:pPr>
              <w:pStyle w:val="TableParagraph"/>
              <w:spacing w:before="41"/>
              <w:ind w:right="68"/>
              <w:jc w:val="right"/>
              <w:rPr>
                <w:sz w:val="14"/>
              </w:rPr>
            </w:pPr>
            <w:r>
              <w:rPr>
                <w:w w:val="95"/>
                <w:sz w:val="14"/>
              </w:rPr>
              <w:t>(4.577)</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w w:val="95"/>
                <w:sz w:val="14"/>
              </w:rPr>
              <w:t>6.442</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sz w:val="14"/>
              </w:rPr>
              <w:t>(328.394)</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121.246</w:t>
            </w:r>
          </w:p>
        </w:tc>
      </w:tr>
      <w:tr>
        <w:trPr>
          <w:trHeight w:val="244" w:hRule="atLeast"/>
        </w:trPr>
        <w:tc>
          <w:tcPr>
            <w:tcW w:w="5101" w:type="dxa"/>
          </w:tcPr>
          <w:p>
            <w:pPr>
              <w:pStyle w:val="TableParagraph"/>
              <w:spacing w:before="41"/>
              <w:ind w:left="81"/>
              <w:rPr>
                <w:sz w:val="14"/>
              </w:rPr>
            </w:pPr>
            <w:r>
              <w:rPr>
                <w:sz w:val="14"/>
              </w:rPr>
              <w:t>Obrigações Tributárias</w:t>
            </w:r>
          </w:p>
        </w:tc>
        <w:tc>
          <w:tcPr>
            <w:tcW w:w="1037" w:type="dxa"/>
          </w:tcPr>
          <w:p>
            <w:pPr>
              <w:pStyle w:val="TableParagraph"/>
              <w:spacing w:before="41"/>
              <w:ind w:right="67"/>
              <w:jc w:val="right"/>
              <w:rPr>
                <w:sz w:val="14"/>
              </w:rPr>
            </w:pPr>
            <w:r>
              <w:rPr>
                <w:sz w:val="14"/>
              </w:rPr>
              <w:t>(148)</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w w:val="95"/>
                <w:sz w:val="14"/>
              </w:rPr>
              <w:t>(1.511)</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304.021</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47.296</w:t>
            </w:r>
          </w:p>
        </w:tc>
      </w:tr>
      <w:tr>
        <w:trPr>
          <w:trHeight w:val="244" w:hRule="atLeast"/>
        </w:trPr>
        <w:tc>
          <w:tcPr>
            <w:tcW w:w="5101" w:type="dxa"/>
          </w:tcPr>
          <w:p>
            <w:pPr>
              <w:pStyle w:val="TableParagraph"/>
              <w:spacing w:before="41"/>
              <w:ind w:left="81"/>
              <w:rPr>
                <w:sz w:val="14"/>
              </w:rPr>
            </w:pPr>
            <w:r>
              <w:rPr>
                <w:sz w:val="14"/>
              </w:rPr>
              <w:t>Contribuição de Iluminação Pública</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(58.361)</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sz w:val="14"/>
              </w:rPr>
              <w:t>(95.361)</w:t>
            </w:r>
          </w:p>
        </w:tc>
      </w:tr>
      <w:tr>
        <w:trPr>
          <w:trHeight w:val="244" w:hRule="atLeast"/>
        </w:trPr>
        <w:tc>
          <w:tcPr>
            <w:tcW w:w="5101" w:type="dxa"/>
          </w:tcPr>
          <w:p>
            <w:pPr>
              <w:pStyle w:val="TableParagraph"/>
              <w:spacing w:before="41"/>
              <w:ind w:left="81"/>
              <w:rPr>
                <w:sz w:val="14"/>
              </w:rPr>
            </w:pPr>
            <w:r>
              <w:rPr>
                <w:sz w:val="14"/>
              </w:rPr>
              <w:t>Encargos Regulatórios</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(38.100)</w:t>
            </w:r>
          </w:p>
        </w:tc>
        <w:tc>
          <w:tcPr>
            <w:tcW w:w="141" w:type="dxa"/>
          </w:tcPr>
          <w:p>
            <w:pPr>
              <w:pStyle w:val="TableParagraph"/>
              <w:rPr>
                <w:rFonts w:ascii="Times New Roman"/>
                <w:sz w:val="14"/>
              </w:rPr>
            </w:pPr>
          </w:p>
        </w:tc>
        <w:tc>
          <w:tcPr>
            <w:tcW w:w="1158" w:type="dxa"/>
          </w:tcPr>
          <w:p>
            <w:pPr>
              <w:pStyle w:val="TableParagraph"/>
              <w:spacing w:before="41"/>
              <w:ind w:right="68"/>
              <w:jc w:val="right"/>
              <w:rPr>
                <w:sz w:val="14"/>
              </w:rPr>
            </w:pPr>
            <w:r>
              <w:rPr>
                <w:sz w:val="14"/>
              </w:rPr>
              <w:t>(756)</w:t>
            </w:r>
          </w:p>
        </w:tc>
      </w:tr>
      <w:tr>
        <w:trPr>
          <w:trHeight w:val="244" w:hRule="atLeast"/>
        </w:trPr>
        <w:tc>
          <w:tcPr>
            <w:tcW w:w="5101" w:type="dxa"/>
          </w:tcPr>
          <w:p>
            <w:pPr>
              <w:pStyle w:val="TableParagraph"/>
              <w:spacing w:before="41"/>
              <w:ind w:left="81"/>
              <w:rPr>
                <w:sz w:val="14"/>
              </w:rPr>
            </w:pPr>
            <w:r>
              <w:rPr>
                <w:sz w:val="14"/>
              </w:rPr>
              <w:t>Obrigações Sociais e Trabalhistas</w:t>
            </w:r>
          </w:p>
        </w:tc>
        <w:tc>
          <w:tcPr>
            <w:tcW w:w="1037" w:type="dxa"/>
          </w:tcPr>
          <w:p>
            <w:pPr>
              <w:pStyle w:val="TableParagraph"/>
              <w:spacing w:before="41"/>
              <w:ind w:right="68"/>
              <w:jc w:val="right"/>
              <w:rPr>
                <w:sz w:val="14"/>
              </w:rPr>
            </w:pPr>
            <w:r>
              <w:rPr>
                <w:sz w:val="14"/>
              </w:rPr>
              <w:t>96</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sz w:val="14"/>
              </w:rPr>
              <w:t>27</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(2.550)</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(7.763)</w:t>
            </w:r>
          </w:p>
        </w:tc>
      </w:tr>
      <w:tr>
        <w:trPr>
          <w:trHeight w:val="244" w:hRule="atLeast"/>
        </w:trPr>
        <w:tc>
          <w:tcPr>
            <w:tcW w:w="5101" w:type="dxa"/>
          </w:tcPr>
          <w:p>
            <w:pPr>
              <w:pStyle w:val="TableParagraph"/>
              <w:spacing w:before="41"/>
              <w:ind w:left="81"/>
              <w:rPr>
                <w:sz w:val="14"/>
              </w:rPr>
            </w:pPr>
            <w:r>
              <w:rPr>
                <w:sz w:val="14"/>
              </w:rPr>
              <w:t>Obrigações Societárias</w:t>
            </w:r>
          </w:p>
        </w:tc>
        <w:tc>
          <w:tcPr>
            <w:tcW w:w="1037" w:type="dxa"/>
          </w:tcPr>
          <w:p>
            <w:pPr>
              <w:pStyle w:val="TableParagraph"/>
              <w:spacing w:before="41"/>
              <w:ind w:right="70"/>
              <w:jc w:val="right"/>
              <w:rPr>
                <w:sz w:val="14"/>
              </w:rPr>
            </w:pPr>
            <w:r>
              <w:rPr>
                <w:w w:val="95"/>
                <w:sz w:val="14"/>
              </w:rPr>
              <w:t>27.933</w:t>
            </w:r>
          </w:p>
        </w:tc>
        <w:tc>
          <w:tcPr>
            <w:tcW w:w="139" w:type="dxa"/>
          </w:tcPr>
          <w:p>
            <w:pPr>
              <w:pStyle w:val="TableParagraph"/>
              <w:rPr>
                <w:rFonts w:ascii="Times New Roman"/>
                <w:sz w:val="14"/>
              </w:rPr>
            </w:pPr>
          </w:p>
        </w:tc>
        <w:tc>
          <w:tcPr>
            <w:tcW w:w="1003" w:type="dxa"/>
          </w:tcPr>
          <w:p>
            <w:pPr>
              <w:pStyle w:val="TableParagraph"/>
              <w:spacing w:before="41"/>
              <w:ind w:right="69"/>
              <w:jc w:val="right"/>
              <w:rPr>
                <w:sz w:val="14"/>
              </w:rPr>
            </w:pPr>
            <w:r>
              <w:rPr>
                <w:w w:val="95"/>
                <w:sz w:val="14"/>
              </w:rPr>
              <w:t>(1.856)</w:t>
            </w: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w w:val="95"/>
                <w:sz w:val="14"/>
              </w:rPr>
              <w:t>30.318</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105"/>
                <w:sz w:val="14"/>
              </w:rPr>
              <w:t>(22)</w:t>
            </w:r>
          </w:p>
        </w:tc>
      </w:tr>
      <w:tr>
        <w:trPr>
          <w:trHeight w:val="244" w:hRule="atLeast"/>
        </w:trPr>
        <w:tc>
          <w:tcPr>
            <w:tcW w:w="5101" w:type="dxa"/>
          </w:tcPr>
          <w:p>
            <w:pPr>
              <w:pStyle w:val="TableParagraph"/>
              <w:spacing w:before="41"/>
              <w:ind w:left="81"/>
              <w:rPr>
                <w:sz w:val="14"/>
              </w:rPr>
            </w:pPr>
            <w:r>
              <w:rPr>
                <w:sz w:val="14"/>
              </w:rPr>
              <w:t>Valores a Pagar de Parcela A e Outros Itens Financeiros</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(111.561)</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3.044</w:t>
            </w:r>
          </w:p>
        </w:tc>
      </w:tr>
      <w:tr>
        <w:trPr>
          <w:trHeight w:val="244" w:hRule="atLeast"/>
        </w:trPr>
        <w:tc>
          <w:tcPr>
            <w:tcW w:w="5101" w:type="dxa"/>
          </w:tcPr>
          <w:p>
            <w:pPr>
              <w:pStyle w:val="TableParagraph"/>
              <w:spacing w:before="41"/>
              <w:ind w:left="81"/>
              <w:rPr>
                <w:sz w:val="14"/>
              </w:rPr>
            </w:pPr>
            <w:r>
              <w:rPr>
                <w:sz w:val="14"/>
              </w:rPr>
              <w:t>Benefícios Pós-Emprego</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sz w:val="14"/>
              </w:rPr>
              <w:t>(40.760)</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sz w:val="14"/>
              </w:rPr>
              <w:t>(35.941)</w:t>
            </w:r>
          </w:p>
        </w:tc>
      </w:tr>
      <w:tr>
        <w:trPr>
          <w:trHeight w:val="244" w:hRule="atLeast"/>
        </w:trPr>
        <w:tc>
          <w:tcPr>
            <w:tcW w:w="5101" w:type="dxa"/>
          </w:tcPr>
          <w:p>
            <w:pPr>
              <w:pStyle w:val="TableParagraph"/>
              <w:spacing w:before="41"/>
              <w:ind w:left="81"/>
              <w:rPr>
                <w:sz w:val="14"/>
              </w:rPr>
            </w:pPr>
            <w:r>
              <w:rPr>
                <w:sz w:val="14"/>
              </w:rPr>
              <w:t>Obrigações Vinculadas a Concessão</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spacing w:before="41"/>
              <w:ind w:right="69"/>
              <w:jc w:val="right"/>
              <w:rPr>
                <w:sz w:val="14"/>
              </w:rPr>
            </w:pPr>
            <w:r>
              <w:rPr>
                <w:w w:val="95"/>
                <w:sz w:val="14"/>
              </w:rPr>
              <w:t>5.761</w:t>
            </w:r>
          </w:p>
        </w:tc>
        <w:tc>
          <w:tcPr>
            <w:tcW w:w="141" w:type="dxa"/>
          </w:tcPr>
          <w:p>
            <w:pPr>
              <w:pStyle w:val="TableParagraph"/>
              <w:rPr>
                <w:rFonts w:ascii="Times New Roman"/>
                <w:sz w:val="14"/>
              </w:rPr>
            </w:pPr>
          </w:p>
        </w:tc>
        <w:tc>
          <w:tcPr>
            <w:tcW w:w="1158" w:type="dxa"/>
          </w:tcPr>
          <w:p>
            <w:pPr>
              <w:pStyle w:val="TableParagraph"/>
              <w:spacing w:before="41"/>
              <w:ind w:right="67"/>
              <w:jc w:val="right"/>
              <w:rPr>
                <w:sz w:val="14"/>
              </w:rPr>
            </w:pPr>
            <w:r>
              <w:rPr>
                <w:sz w:val="14"/>
              </w:rPr>
              <w:t>(14.920)</w:t>
            </w:r>
          </w:p>
        </w:tc>
      </w:tr>
      <w:tr>
        <w:trPr>
          <w:trHeight w:val="247" w:hRule="atLeast"/>
        </w:trPr>
        <w:tc>
          <w:tcPr>
            <w:tcW w:w="5101" w:type="dxa"/>
          </w:tcPr>
          <w:p>
            <w:pPr>
              <w:pStyle w:val="TableParagraph"/>
              <w:spacing w:before="41"/>
              <w:ind w:left="81"/>
              <w:rPr>
                <w:sz w:val="14"/>
              </w:rPr>
            </w:pPr>
            <w:r>
              <w:rPr>
                <w:sz w:val="14"/>
              </w:rPr>
              <w:t>Demais Obrigações</w:t>
            </w:r>
          </w:p>
        </w:tc>
        <w:tc>
          <w:tcPr>
            <w:tcW w:w="1037" w:type="dxa"/>
            <w:tcBorders>
              <w:bottom w:val="single" w:sz="8" w:space="0" w:color="000000"/>
            </w:tcBorders>
          </w:tcPr>
          <w:p>
            <w:pPr>
              <w:pStyle w:val="TableParagraph"/>
              <w:spacing w:before="41"/>
              <w:ind w:right="68"/>
              <w:jc w:val="right"/>
              <w:rPr>
                <w:sz w:val="14"/>
              </w:rPr>
            </w:pPr>
            <w:r>
              <w:rPr>
                <w:sz w:val="14"/>
              </w:rPr>
              <w:t>758</w:t>
            </w:r>
          </w:p>
        </w:tc>
        <w:tc>
          <w:tcPr>
            <w:tcW w:w="139" w:type="dxa"/>
          </w:tcPr>
          <w:p>
            <w:pPr>
              <w:pStyle w:val="TableParagraph"/>
              <w:rPr>
                <w:rFonts w:ascii="Times New Roman"/>
                <w:sz w:val="14"/>
              </w:rPr>
            </w:pPr>
          </w:p>
        </w:tc>
        <w:tc>
          <w:tcPr>
            <w:tcW w:w="1003" w:type="dxa"/>
            <w:tcBorders>
              <w:bottom w:val="single" w:sz="8" w:space="0" w:color="000000"/>
            </w:tcBorders>
          </w:tcPr>
          <w:p>
            <w:pPr>
              <w:pStyle w:val="TableParagraph"/>
              <w:spacing w:before="41"/>
              <w:ind w:right="67"/>
              <w:jc w:val="right"/>
              <w:rPr>
                <w:sz w:val="14"/>
              </w:rPr>
            </w:pPr>
            <w:r>
              <w:rPr>
                <w:sz w:val="14"/>
              </w:rPr>
              <w:t>(305)</w:t>
            </w:r>
          </w:p>
        </w:tc>
        <w:tc>
          <w:tcPr>
            <w:tcW w:w="204" w:type="dxa"/>
          </w:tcPr>
          <w:p>
            <w:pPr>
              <w:pStyle w:val="TableParagraph"/>
              <w:rPr>
                <w:rFonts w:ascii="Times New Roman"/>
                <w:sz w:val="14"/>
              </w:rPr>
            </w:pPr>
          </w:p>
        </w:tc>
        <w:tc>
          <w:tcPr>
            <w:tcW w:w="1229" w:type="dxa"/>
            <w:tcBorders>
              <w:bottom w:val="single" w:sz="8" w:space="0" w:color="000000"/>
            </w:tcBorders>
          </w:tcPr>
          <w:p>
            <w:pPr>
              <w:pStyle w:val="TableParagraph"/>
              <w:spacing w:before="41"/>
              <w:ind w:right="66"/>
              <w:jc w:val="right"/>
              <w:rPr>
                <w:sz w:val="14"/>
              </w:rPr>
            </w:pPr>
            <w:r>
              <w:rPr>
                <w:sz w:val="14"/>
              </w:rPr>
              <w:t>(57.232)</w:t>
            </w:r>
          </w:p>
        </w:tc>
        <w:tc>
          <w:tcPr>
            <w:tcW w:w="141" w:type="dxa"/>
          </w:tcPr>
          <w:p>
            <w:pPr>
              <w:pStyle w:val="TableParagraph"/>
              <w:rPr>
                <w:rFonts w:ascii="Times New Roman"/>
                <w:sz w:val="14"/>
              </w:rPr>
            </w:pPr>
          </w:p>
        </w:tc>
        <w:tc>
          <w:tcPr>
            <w:tcW w:w="1158" w:type="dxa"/>
            <w:tcBorders>
              <w:bottom w:val="single" w:sz="8" w:space="0" w:color="000000"/>
            </w:tcBorders>
          </w:tcPr>
          <w:p>
            <w:pPr>
              <w:pStyle w:val="TableParagraph"/>
              <w:spacing w:before="41"/>
              <w:ind w:right="65"/>
              <w:jc w:val="right"/>
              <w:rPr>
                <w:sz w:val="14"/>
              </w:rPr>
            </w:pPr>
            <w:r>
              <w:rPr>
                <w:w w:val="105"/>
                <w:sz w:val="14"/>
              </w:rPr>
              <w:t>261</w:t>
            </w:r>
          </w:p>
        </w:tc>
      </w:tr>
      <w:tr>
        <w:trPr>
          <w:trHeight w:val="243" w:hRule="atLeast"/>
        </w:trPr>
        <w:tc>
          <w:tcPr>
            <w:tcW w:w="5101" w:type="dxa"/>
          </w:tcPr>
          <w:p>
            <w:pPr>
              <w:pStyle w:val="TableParagraph"/>
              <w:rPr>
                <w:rFonts w:ascii="Times New Roman"/>
                <w:sz w:val="14"/>
              </w:rPr>
            </w:pPr>
          </w:p>
        </w:tc>
        <w:tc>
          <w:tcPr>
            <w:tcW w:w="1037"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w w:val="95"/>
                <w:sz w:val="14"/>
              </w:rPr>
              <w:t>24.062</w:t>
            </w:r>
          </w:p>
        </w:tc>
        <w:tc>
          <w:tcPr>
            <w:tcW w:w="139" w:type="dxa"/>
          </w:tcPr>
          <w:p>
            <w:pPr>
              <w:pStyle w:val="TableParagraph"/>
              <w:rPr>
                <w:rFonts w:ascii="Times New Roman"/>
                <w:sz w:val="14"/>
              </w:rPr>
            </w:pPr>
          </w:p>
        </w:tc>
        <w:tc>
          <w:tcPr>
            <w:tcW w:w="1003"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sz w:val="14"/>
              </w:rPr>
              <w:t>2.797</w:t>
            </w:r>
          </w:p>
        </w:tc>
        <w:tc>
          <w:tcPr>
            <w:tcW w:w="204" w:type="dxa"/>
          </w:tcPr>
          <w:p>
            <w:pPr>
              <w:pStyle w:val="TableParagraph"/>
              <w:rPr>
                <w:rFonts w:ascii="Times New Roman"/>
                <w:sz w:val="14"/>
              </w:rPr>
            </w:pPr>
          </w:p>
        </w:tc>
        <w:tc>
          <w:tcPr>
            <w:tcW w:w="1229" w:type="dxa"/>
            <w:tcBorders>
              <w:top w:val="single" w:sz="8" w:space="0" w:color="000000"/>
              <w:bottom w:val="single" w:sz="8" w:space="0" w:color="000000"/>
            </w:tcBorders>
          </w:tcPr>
          <w:p>
            <w:pPr>
              <w:pStyle w:val="TableParagraph"/>
              <w:spacing w:before="39"/>
              <w:ind w:right="69"/>
              <w:jc w:val="right"/>
              <w:rPr>
                <w:rFonts w:ascii="Caladea"/>
                <w:b/>
                <w:sz w:val="14"/>
              </w:rPr>
            </w:pPr>
            <w:r>
              <w:rPr>
                <w:rFonts w:ascii="Caladea"/>
                <w:b/>
                <w:sz w:val="14"/>
              </w:rPr>
              <w:t>(296.858)</w:t>
            </w:r>
          </w:p>
        </w:tc>
        <w:tc>
          <w:tcPr>
            <w:tcW w:w="141" w:type="dxa"/>
          </w:tcPr>
          <w:p>
            <w:pPr>
              <w:pStyle w:val="TableParagraph"/>
              <w:rPr>
                <w:rFonts w:ascii="Times New Roman"/>
                <w:sz w:val="14"/>
              </w:rPr>
            </w:pPr>
          </w:p>
        </w:tc>
        <w:tc>
          <w:tcPr>
            <w:tcW w:w="1158"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w w:val="95"/>
                <w:sz w:val="14"/>
              </w:rPr>
              <w:t>17.084</w:t>
            </w:r>
          </w:p>
        </w:tc>
      </w:tr>
      <w:tr>
        <w:trPr>
          <w:trHeight w:val="244" w:hRule="atLeast"/>
        </w:trPr>
        <w:tc>
          <w:tcPr>
            <w:tcW w:w="5101" w:type="dxa"/>
          </w:tcPr>
          <w:p>
            <w:pPr>
              <w:pStyle w:val="TableParagraph"/>
              <w:spacing w:before="39"/>
              <w:ind w:left="50"/>
              <w:rPr>
                <w:rFonts w:ascii="Caladea"/>
                <w:b/>
                <w:sz w:val="14"/>
              </w:rPr>
            </w:pPr>
            <w:r>
              <w:rPr>
                <w:rFonts w:ascii="Caladea"/>
                <w:b/>
                <w:sz w:val="14"/>
              </w:rPr>
              <w:t>Caixa Proveniente das Atividades Operacionais</w:t>
            </w:r>
          </w:p>
        </w:tc>
        <w:tc>
          <w:tcPr>
            <w:tcW w:w="1037" w:type="dxa"/>
            <w:tcBorders>
              <w:top w:val="single" w:sz="8" w:space="0" w:color="000000"/>
            </w:tcBorders>
          </w:tcPr>
          <w:p>
            <w:pPr>
              <w:pStyle w:val="TableParagraph"/>
              <w:rPr>
                <w:rFonts w:ascii="Times New Roman"/>
                <w:sz w:val="14"/>
              </w:rPr>
            </w:pPr>
          </w:p>
        </w:tc>
        <w:tc>
          <w:tcPr>
            <w:tcW w:w="139" w:type="dxa"/>
          </w:tcPr>
          <w:p>
            <w:pPr>
              <w:pStyle w:val="TableParagraph"/>
              <w:rPr>
                <w:rFonts w:ascii="Times New Roman"/>
                <w:sz w:val="14"/>
              </w:rPr>
            </w:pPr>
          </w:p>
        </w:tc>
        <w:tc>
          <w:tcPr>
            <w:tcW w:w="1003" w:type="dxa"/>
            <w:tcBorders>
              <w:top w:val="single" w:sz="8" w:space="0" w:color="000000"/>
            </w:tcBorders>
          </w:tcPr>
          <w:p>
            <w:pPr>
              <w:pStyle w:val="TableParagraph"/>
              <w:rPr>
                <w:rFonts w:ascii="Times New Roman"/>
                <w:sz w:val="14"/>
              </w:rPr>
            </w:pPr>
          </w:p>
        </w:tc>
        <w:tc>
          <w:tcPr>
            <w:tcW w:w="204" w:type="dxa"/>
          </w:tcPr>
          <w:p>
            <w:pPr>
              <w:pStyle w:val="TableParagraph"/>
              <w:rPr>
                <w:rFonts w:ascii="Times New Roman"/>
                <w:sz w:val="14"/>
              </w:rPr>
            </w:pPr>
          </w:p>
        </w:tc>
        <w:tc>
          <w:tcPr>
            <w:tcW w:w="1229" w:type="dxa"/>
            <w:tcBorders>
              <w:top w:val="single" w:sz="8" w:space="0" w:color="000000"/>
            </w:tcBorders>
          </w:tcPr>
          <w:p>
            <w:pPr>
              <w:pStyle w:val="TableParagraph"/>
              <w:rPr>
                <w:rFonts w:ascii="Times New Roman"/>
                <w:sz w:val="14"/>
              </w:rPr>
            </w:pPr>
          </w:p>
        </w:tc>
        <w:tc>
          <w:tcPr>
            <w:tcW w:w="141" w:type="dxa"/>
          </w:tcPr>
          <w:p>
            <w:pPr>
              <w:pStyle w:val="TableParagraph"/>
              <w:rPr>
                <w:rFonts w:ascii="Times New Roman"/>
                <w:sz w:val="14"/>
              </w:rPr>
            </w:pPr>
          </w:p>
        </w:tc>
        <w:tc>
          <w:tcPr>
            <w:tcW w:w="1158" w:type="dxa"/>
            <w:tcBorders>
              <w:top w:val="single" w:sz="8" w:space="0" w:color="000000"/>
            </w:tcBorders>
          </w:tcPr>
          <w:p>
            <w:pPr>
              <w:pStyle w:val="TableParagraph"/>
              <w:rPr>
                <w:rFonts w:ascii="Times New Roman"/>
                <w:sz w:val="14"/>
              </w:rPr>
            </w:pPr>
          </w:p>
        </w:tc>
      </w:tr>
      <w:tr>
        <w:trPr>
          <w:trHeight w:val="244" w:hRule="atLeast"/>
        </w:trPr>
        <w:tc>
          <w:tcPr>
            <w:tcW w:w="5101" w:type="dxa"/>
          </w:tcPr>
          <w:p>
            <w:pPr>
              <w:pStyle w:val="TableParagraph"/>
              <w:spacing w:before="41"/>
              <w:ind w:left="81"/>
              <w:rPr>
                <w:sz w:val="14"/>
              </w:rPr>
            </w:pPr>
            <w:r>
              <w:rPr>
                <w:sz w:val="14"/>
              </w:rPr>
              <w:t>Recebimento de Dividendos/Juros Sobre Capital Próprio</w:t>
            </w:r>
          </w:p>
        </w:tc>
        <w:tc>
          <w:tcPr>
            <w:tcW w:w="1037" w:type="dxa"/>
          </w:tcPr>
          <w:p>
            <w:pPr>
              <w:pStyle w:val="TableParagraph"/>
              <w:spacing w:before="41"/>
              <w:ind w:right="67"/>
              <w:jc w:val="right"/>
              <w:rPr>
                <w:sz w:val="14"/>
              </w:rPr>
            </w:pPr>
            <w:r>
              <w:rPr>
                <w:w w:val="95"/>
                <w:sz w:val="14"/>
              </w:rPr>
              <w:t>12.967</w:t>
            </w:r>
          </w:p>
        </w:tc>
        <w:tc>
          <w:tcPr>
            <w:tcW w:w="139" w:type="dxa"/>
          </w:tcPr>
          <w:p>
            <w:pPr>
              <w:pStyle w:val="TableParagraph"/>
              <w:rPr>
                <w:rFonts w:ascii="Times New Roman"/>
                <w:sz w:val="14"/>
              </w:rPr>
            </w:pPr>
          </w:p>
        </w:tc>
        <w:tc>
          <w:tcPr>
            <w:tcW w:w="1003" w:type="dxa"/>
          </w:tcPr>
          <w:p>
            <w:pPr>
              <w:pStyle w:val="TableParagraph"/>
              <w:spacing w:before="41"/>
              <w:ind w:right="67"/>
              <w:jc w:val="right"/>
              <w:rPr>
                <w:sz w:val="14"/>
              </w:rPr>
            </w:pPr>
            <w:r>
              <w:rPr>
                <w:w w:val="95"/>
                <w:sz w:val="14"/>
              </w:rPr>
              <w:t>8.388</w:t>
            </w:r>
          </w:p>
        </w:tc>
        <w:tc>
          <w:tcPr>
            <w:tcW w:w="204" w:type="dxa"/>
          </w:tcPr>
          <w:p>
            <w:pPr>
              <w:pStyle w:val="TableParagraph"/>
              <w:rPr>
                <w:rFonts w:ascii="Times New Roman"/>
                <w:sz w:val="14"/>
              </w:rPr>
            </w:pPr>
          </w:p>
        </w:tc>
        <w:tc>
          <w:tcPr>
            <w:tcW w:w="1229" w:type="dxa"/>
          </w:tcPr>
          <w:p>
            <w:pPr>
              <w:pStyle w:val="TableParagraph"/>
              <w:spacing w:before="41"/>
              <w:ind w:right="67"/>
              <w:jc w:val="right"/>
              <w:rPr>
                <w:sz w:val="14"/>
              </w:rPr>
            </w:pPr>
            <w:r>
              <w:rPr>
                <w:w w:val="95"/>
                <w:sz w:val="14"/>
              </w:rPr>
              <w:t>28.115</w:t>
            </w:r>
          </w:p>
        </w:tc>
        <w:tc>
          <w:tcPr>
            <w:tcW w:w="141" w:type="dxa"/>
          </w:tcPr>
          <w:p>
            <w:pPr>
              <w:pStyle w:val="TableParagraph"/>
              <w:rPr>
                <w:rFonts w:ascii="Times New Roman"/>
                <w:sz w:val="14"/>
              </w:rPr>
            </w:pPr>
          </w:p>
        </w:tc>
        <w:tc>
          <w:tcPr>
            <w:tcW w:w="1158" w:type="dxa"/>
          </w:tcPr>
          <w:p>
            <w:pPr>
              <w:pStyle w:val="TableParagraph"/>
              <w:spacing w:before="41"/>
              <w:ind w:right="65"/>
              <w:jc w:val="right"/>
              <w:rPr>
                <w:sz w:val="14"/>
              </w:rPr>
            </w:pPr>
            <w:r>
              <w:rPr>
                <w:w w:val="95"/>
                <w:sz w:val="14"/>
              </w:rPr>
              <w:t>23.495</w:t>
            </w:r>
          </w:p>
        </w:tc>
      </w:tr>
      <w:tr>
        <w:trPr>
          <w:trHeight w:val="245" w:hRule="atLeast"/>
        </w:trPr>
        <w:tc>
          <w:tcPr>
            <w:tcW w:w="5101" w:type="dxa"/>
          </w:tcPr>
          <w:p>
            <w:pPr>
              <w:pStyle w:val="TableParagraph"/>
              <w:spacing w:before="41"/>
              <w:ind w:left="81"/>
              <w:rPr>
                <w:sz w:val="14"/>
              </w:rPr>
            </w:pPr>
            <w:r>
              <w:rPr>
                <w:sz w:val="14"/>
              </w:rPr>
              <w:t>Pagamento de Imposto Renda e Contribuição Social</w:t>
            </w:r>
          </w:p>
        </w:tc>
        <w:tc>
          <w:tcPr>
            <w:tcW w:w="1037" w:type="dxa"/>
          </w:tcPr>
          <w:p>
            <w:pPr>
              <w:pStyle w:val="TableParagraph"/>
              <w:rPr>
                <w:rFonts w:ascii="Times New Roman"/>
                <w:sz w:val="14"/>
              </w:rPr>
            </w:pPr>
          </w:p>
        </w:tc>
        <w:tc>
          <w:tcPr>
            <w:tcW w:w="139" w:type="dxa"/>
          </w:tcPr>
          <w:p>
            <w:pPr>
              <w:pStyle w:val="TableParagraph"/>
              <w:rPr>
                <w:rFonts w:ascii="Times New Roman"/>
                <w:sz w:val="14"/>
              </w:rPr>
            </w:pPr>
          </w:p>
        </w:tc>
        <w:tc>
          <w:tcPr>
            <w:tcW w:w="1003" w:type="dxa"/>
          </w:tcPr>
          <w:p>
            <w:pPr>
              <w:pStyle w:val="TableParagraph"/>
              <w:rPr>
                <w:rFonts w:ascii="Times New Roman"/>
                <w:sz w:val="14"/>
              </w:rPr>
            </w:pPr>
          </w:p>
        </w:tc>
        <w:tc>
          <w:tcPr>
            <w:tcW w:w="204" w:type="dxa"/>
          </w:tcPr>
          <w:p>
            <w:pPr>
              <w:pStyle w:val="TableParagraph"/>
              <w:rPr>
                <w:rFonts w:ascii="Times New Roman"/>
                <w:sz w:val="14"/>
              </w:rPr>
            </w:pPr>
          </w:p>
        </w:tc>
        <w:tc>
          <w:tcPr>
            <w:tcW w:w="1229" w:type="dxa"/>
          </w:tcPr>
          <w:p>
            <w:pPr>
              <w:pStyle w:val="TableParagraph"/>
              <w:rPr>
                <w:rFonts w:ascii="Times New Roman"/>
                <w:sz w:val="14"/>
              </w:rPr>
            </w:pPr>
          </w:p>
        </w:tc>
        <w:tc>
          <w:tcPr>
            <w:tcW w:w="141" w:type="dxa"/>
          </w:tcPr>
          <w:p>
            <w:pPr>
              <w:pStyle w:val="TableParagraph"/>
              <w:rPr>
                <w:rFonts w:ascii="Times New Roman"/>
                <w:sz w:val="14"/>
              </w:rPr>
            </w:pPr>
          </w:p>
        </w:tc>
        <w:tc>
          <w:tcPr>
            <w:tcW w:w="1158" w:type="dxa"/>
          </w:tcPr>
          <w:p>
            <w:pPr>
              <w:pStyle w:val="TableParagraph"/>
              <w:rPr>
                <w:rFonts w:ascii="Times New Roman"/>
                <w:sz w:val="14"/>
              </w:rPr>
            </w:pPr>
          </w:p>
        </w:tc>
      </w:tr>
      <w:tr>
        <w:trPr>
          <w:trHeight w:val="492" w:hRule="atLeast"/>
        </w:trPr>
        <w:tc>
          <w:tcPr>
            <w:tcW w:w="5101" w:type="dxa"/>
          </w:tcPr>
          <w:p>
            <w:pPr>
              <w:pStyle w:val="TableParagraph"/>
              <w:spacing w:before="42"/>
              <w:ind w:left="81"/>
              <w:rPr>
                <w:sz w:val="14"/>
              </w:rPr>
            </w:pPr>
            <w:r>
              <w:rPr>
                <w:sz w:val="14"/>
              </w:rPr>
              <w:t>Pagamento de Encargos da Dívida</w:t>
            </w:r>
          </w:p>
        </w:tc>
        <w:tc>
          <w:tcPr>
            <w:tcW w:w="1037" w:type="dxa"/>
            <w:tcBorders>
              <w:bottom w:val="single" w:sz="8" w:space="0" w:color="000000"/>
            </w:tcBorders>
          </w:tcPr>
          <w:p>
            <w:pPr>
              <w:pStyle w:val="TableParagraph"/>
              <w:spacing w:before="42"/>
              <w:ind w:right="70"/>
              <w:jc w:val="right"/>
              <w:rPr>
                <w:sz w:val="14"/>
              </w:rPr>
            </w:pPr>
            <w:r>
              <w:rPr>
                <w:sz w:val="14"/>
              </w:rPr>
              <w:t>(511)</w:t>
            </w:r>
          </w:p>
        </w:tc>
        <w:tc>
          <w:tcPr>
            <w:tcW w:w="139" w:type="dxa"/>
          </w:tcPr>
          <w:p>
            <w:pPr>
              <w:pStyle w:val="TableParagraph"/>
              <w:rPr>
                <w:rFonts w:ascii="Times New Roman"/>
                <w:sz w:val="14"/>
              </w:rPr>
            </w:pPr>
          </w:p>
        </w:tc>
        <w:tc>
          <w:tcPr>
            <w:tcW w:w="1003" w:type="dxa"/>
            <w:tcBorders>
              <w:bottom w:val="single" w:sz="8" w:space="0" w:color="000000"/>
            </w:tcBorders>
          </w:tcPr>
          <w:p>
            <w:pPr>
              <w:pStyle w:val="TableParagraph"/>
              <w:rPr>
                <w:rFonts w:ascii="Times New Roman"/>
                <w:sz w:val="14"/>
              </w:rPr>
            </w:pPr>
          </w:p>
        </w:tc>
        <w:tc>
          <w:tcPr>
            <w:tcW w:w="204" w:type="dxa"/>
          </w:tcPr>
          <w:p>
            <w:pPr>
              <w:pStyle w:val="TableParagraph"/>
              <w:rPr>
                <w:rFonts w:ascii="Times New Roman"/>
                <w:sz w:val="14"/>
              </w:rPr>
            </w:pPr>
          </w:p>
        </w:tc>
        <w:tc>
          <w:tcPr>
            <w:tcW w:w="1229" w:type="dxa"/>
            <w:tcBorders>
              <w:bottom w:val="single" w:sz="8" w:space="0" w:color="000000"/>
            </w:tcBorders>
          </w:tcPr>
          <w:p>
            <w:pPr>
              <w:pStyle w:val="TableParagraph"/>
              <w:spacing w:before="42"/>
              <w:ind w:right="69"/>
              <w:jc w:val="right"/>
              <w:rPr>
                <w:sz w:val="14"/>
              </w:rPr>
            </w:pPr>
            <w:r>
              <w:rPr>
                <w:sz w:val="14"/>
              </w:rPr>
              <w:t>(21.919)</w:t>
            </w:r>
          </w:p>
        </w:tc>
        <w:tc>
          <w:tcPr>
            <w:tcW w:w="141" w:type="dxa"/>
          </w:tcPr>
          <w:p>
            <w:pPr>
              <w:pStyle w:val="TableParagraph"/>
              <w:rPr>
                <w:rFonts w:ascii="Times New Roman"/>
                <w:sz w:val="14"/>
              </w:rPr>
            </w:pPr>
          </w:p>
        </w:tc>
        <w:tc>
          <w:tcPr>
            <w:tcW w:w="1158" w:type="dxa"/>
            <w:tcBorders>
              <w:bottom w:val="single" w:sz="8" w:space="0" w:color="000000"/>
            </w:tcBorders>
          </w:tcPr>
          <w:p>
            <w:pPr>
              <w:pStyle w:val="TableParagraph"/>
              <w:spacing w:before="42"/>
              <w:ind w:right="67"/>
              <w:jc w:val="right"/>
              <w:rPr>
                <w:sz w:val="14"/>
              </w:rPr>
            </w:pPr>
            <w:r>
              <w:rPr>
                <w:sz w:val="14"/>
              </w:rPr>
              <w:t>(37.329)</w:t>
            </w:r>
          </w:p>
        </w:tc>
      </w:tr>
      <w:tr>
        <w:trPr>
          <w:trHeight w:val="244" w:hRule="atLeast"/>
        </w:trPr>
        <w:tc>
          <w:tcPr>
            <w:tcW w:w="5101" w:type="dxa"/>
          </w:tcPr>
          <w:p>
            <w:pPr>
              <w:pStyle w:val="TableParagraph"/>
              <w:rPr>
                <w:rFonts w:ascii="Times New Roman"/>
                <w:sz w:val="14"/>
              </w:rPr>
            </w:pPr>
          </w:p>
        </w:tc>
        <w:tc>
          <w:tcPr>
            <w:tcW w:w="1037"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sz w:val="14"/>
              </w:rPr>
              <w:t>12.456</w:t>
            </w:r>
          </w:p>
        </w:tc>
        <w:tc>
          <w:tcPr>
            <w:tcW w:w="139" w:type="dxa"/>
          </w:tcPr>
          <w:p>
            <w:pPr>
              <w:pStyle w:val="TableParagraph"/>
              <w:rPr>
                <w:rFonts w:ascii="Times New Roman"/>
                <w:sz w:val="14"/>
              </w:rPr>
            </w:pPr>
          </w:p>
        </w:tc>
        <w:tc>
          <w:tcPr>
            <w:tcW w:w="1003" w:type="dxa"/>
            <w:tcBorders>
              <w:top w:val="single" w:sz="8" w:space="0" w:color="000000"/>
              <w:bottom w:val="single" w:sz="8" w:space="0" w:color="000000"/>
            </w:tcBorders>
          </w:tcPr>
          <w:p>
            <w:pPr>
              <w:pStyle w:val="TableParagraph"/>
              <w:spacing w:before="39"/>
              <w:ind w:right="67"/>
              <w:jc w:val="right"/>
              <w:rPr>
                <w:rFonts w:ascii="Caladea"/>
                <w:b/>
                <w:sz w:val="14"/>
              </w:rPr>
            </w:pPr>
            <w:r>
              <w:rPr>
                <w:rFonts w:ascii="Caladea"/>
                <w:b/>
                <w:w w:val="95"/>
                <w:sz w:val="14"/>
              </w:rPr>
              <w:t>8.388</w:t>
            </w:r>
          </w:p>
        </w:tc>
        <w:tc>
          <w:tcPr>
            <w:tcW w:w="204" w:type="dxa"/>
          </w:tcPr>
          <w:p>
            <w:pPr>
              <w:pStyle w:val="TableParagraph"/>
              <w:rPr>
                <w:rFonts w:ascii="Times New Roman"/>
                <w:sz w:val="14"/>
              </w:rPr>
            </w:pPr>
          </w:p>
        </w:tc>
        <w:tc>
          <w:tcPr>
            <w:tcW w:w="1229" w:type="dxa"/>
            <w:tcBorders>
              <w:top w:val="single" w:sz="8" w:space="0" w:color="000000"/>
              <w:bottom w:val="single" w:sz="8" w:space="0" w:color="000000"/>
            </w:tcBorders>
          </w:tcPr>
          <w:p>
            <w:pPr>
              <w:pStyle w:val="TableParagraph"/>
              <w:spacing w:before="39"/>
              <w:ind w:right="69"/>
              <w:jc w:val="right"/>
              <w:rPr>
                <w:rFonts w:ascii="Caladea"/>
                <w:b/>
                <w:sz w:val="14"/>
              </w:rPr>
            </w:pPr>
            <w:r>
              <w:rPr>
                <w:rFonts w:ascii="Caladea"/>
                <w:b/>
                <w:w w:val="95"/>
                <w:sz w:val="14"/>
              </w:rPr>
              <w:t>6.196</w:t>
            </w:r>
          </w:p>
        </w:tc>
        <w:tc>
          <w:tcPr>
            <w:tcW w:w="141" w:type="dxa"/>
          </w:tcPr>
          <w:p>
            <w:pPr>
              <w:pStyle w:val="TableParagraph"/>
              <w:rPr>
                <w:rFonts w:ascii="Times New Roman"/>
                <w:sz w:val="14"/>
              </w:rPr>
            </w:pPr>
          </w:p>
        </w:tc>
        <w:tc>
          <w:tcPr>
            <w:tcW w:w="1158" w:type="dxa"/>
            <w:tcBorders>
              <w:top w:val="single" w:sz="8" w:space="0" w:color="000000"/>
              <w:bottom w:val="single" w:sz="8" w:space="0" w:color="000000"/>
            </w:tcBorders>
          </w:tcPr>
          <w:p>
            <w:pPr>
              <w:pStyle w:val="TableParagraph"/>
              <w:spacing w:before="39"/>
              <w:ind w:right="69"/>
              <w:jc w:val="right"/>
              <w:rPr>
                <w:rFonts w:ascii="Caladea"/>
                <w:b/>
                <w:sz w:val="14"/>
              </w:rPr>
            </w:pPr>
            <w:r>
              <w:rPr>
                <w:rFonts w:ascii="Caladea"/>
                <w:b/>
                <w:sz w:val="14"/>
              </w:rPr>
              <w:t>(13.834)</w:t>
            </w:r>
          </w:p>
        </w:tc>
      </w:tr>
      <w:tr>
        <w:trPr>
          <w:trHeight w:val="246" w:hRule="atLeast"/>
        </w:trPr>
        <w:tc>
          <w:tcPr>
            <w:tcW w:w="5101" w:type="dxa"/>
          </w:tcPr>
          <w:p>
            <w:pPr>
              <w:pStyle w:val="TableParagraph"/>
              <w:spacing w:before="39"/>
              <w:ind w:left="50"/>
              <w:rPr>
                <w:rFonts w:ascii="Caladea" w:hAnsi="Caladea"/>
                <w:b/>
                <w:sz w:val="14"/>
              </w:rPr>
            </w:pPr>
            <w:r>
              <w:rPr>
                <w:rFonts w:ascii="Caladea" w:hAnsi="Caladea"/>
                <w:b/>
                <w:sz w:val="14"/>
              </w:rPr>
              <w:t>Caixa Líquido Proveniente das (Usado nas) Atividades Operacionais</w:t>
            </w:r>
          </w:p>
        </w:tc>
        <w:tc>
          <w:tcPr>
            <w:tcW w:w="1037" w:type="dxa"/>
            <w:tcBorders>
              <w:top w:val="single" w:sz="8" w:space="0" w:color="000000"/>
              <w:bottom w:val="single" w:sz="4" w:space="0" w:color="000000"/>
            </w:tcBorders>
          </w:tcPr>
          <w:p>
            <w:pPr>
              <w:pStyle w:val="TableParagraph"/>
              <w:spacing w:before="39"/>
              <w:ind w:right="67"/>
              <w:jc w:val="right"/>
              <w:rPr>
                <w:rFonts w:ascii="Caladea"/>
                <w:b/>
                <w:sz w:val="14"/>
              </w:rPr>
            </w:pPr>
            <w:r>
              <w:rPr>
                <w:rFonts w:ascii="Caladea"/>
                <w:b/>
                <w:sz w:val="14"/>
              </w:rPr>
              <w:t>66.690</w:t>
            </w:r>
          </w:p>
        </w:tc>
        <w:tc>
          <w:tcPr>
            <w:tcW w:w="139" w:type="dxa"/>
          </w:tcPr>
          <w:p>
            <w:pPr>
              <w:pStyle w:val="TableParagraph"/>
              <w:rPr>
                <w:rFonts w:ascii="Times New Roman"/>
                <w:sz w:val="14"/>
              </w:rPr>
            </w:pPr>
          </w:p>
        </w:tc>
        <w:tc>
          <w:tcPr>
            <w:tcW w:w="1003" w:type="dxa"/>
            <w:tcBorders>
              <w:top w:val="single" w:sz="8" w:space="0" w:color="000000"/>
              <w:bottom w:val="single" w:sz="4" w:space="0" w:color="000000"/>
            </w:tcBorders>
          </w:tcPr>
          <w:p>
            <w:pPr>
              <w:pStyle w:val="TableParagraph"/>
              <w:spacing w:before="39"/>
              <w:ind w:right="67"/>
              <w:jc w:val="right"/>
              <w:rPr>
                <w:rFonts w:ascii="Caladea"/>
                <w:b/>
                <w:sz w:val="14"/>
              </w:rPr>
            </w:pPr>
            <w:r>
              <w:rPr>
                <w:rFonts w:ascii="Caladea"/>
                <w:b/>
                <w:sz w:val="14"/>
              </w:rPr>
              <w:t>31.252</w:t>
            </w:r>
          </w:p>
        </w:tc>
        <w:tc>
          <w:tcPr>
            <w:tcW w:w="204" w:type="dxa"/>
          </w:tcPr>
          <w:p>
            <w:pPr>
              <w:pStyle w:val="TableParagraph"/>
              <w:rPr>
                <w:rFonts w:ascii="Times New Roman"/>
                <w:sz w:val="14"/>
              </w:rPr>
            </w:pPr>
          </w:p>
        </w:tc>
        <w:tc>
          <w:tcPr>
            <w:tcW w:w="1229" w:type="dxa"/>
            <w:tcBorders>
              <w:top w:val="single" w:sz="8" w:space="0" w:color="000000"/>
              <w:bottom w:val="single" w:sz="4" w:space="0" w:color="000000"/>
            </w:tcBorders>
          </w:tcPr>
          <w:p>
            <w:pPr>
              <w:pStyle w:val="TableParagraph"/>
              <w:spacing w:before="39"/>
              <w:ind w:right="67"/>
              <w:jc w:val="right"/>
              <w:rPr>
                <w:rFonts w:ascii="Caladea"/>
                <w:b/>
                <w:sz w:val="14"/>
              </w:rPr>
            </w:pPr>
            <w:r>
              <w:rPr>
                <w:rFonts w:ascii="Caladea"/>
                <w:b/>
                <w:sz w:val="14"/>
              </w:rPr>
              <w:t>374.206</w:t>
            </w:r>
          </w:p>
        </w:tc>
        <w:tc>
          <w:tcPr>
            <w:tcW w:w="141" w:type="dxa"/>
          </w:tcPr>
          <w:p>
            <w:pPr>
              <w:pStyle w:val="TableParagraph"/>
              <w:rPr>
                <w:rFonts w:ascii="Times New Roman"/>
                <w:sz w:val="14"/>
              </w:rPr>
            </w:pPr>
          </w:p>
        </w:tc>
        <w:tc>
          <w:tcPr>
            <w:tcW w:w="1158" w:type="dxa"/>
            <w:tcBorders>
              <w:top w:val="single" w:sz="8" w:space="0" w:color="000000"/>
              <w:bottom w:val="single" w:sz="4" w:space="0" w:color="000000"/>
            </w:tcBorders>
          </w:tcPr>
          <w:p>
            <w:pPr>
              <w:pStyle w:val="TableParagraph"/>
              <w:spacing w:before="39"/>
              <w:ind w:right="65"/>
              <w:jc w:val="right"/>
              <w:rPr>
                <w:rFonts w:ascii="Caladea"/>
                <w:b/>
                <w:sz w:val="14"/>
              </w:rPr>
            </w:pPr>
            <w:r>
              <w:rPr>
                <w:rFonts w:ascii="Caladea"/>
                <w:b/>
                <w:w w:val="95"/>
                <w:sz w:val="14"/>
              </w:rPr>
              <w:t>116.529</w:t>
            </w:r>
          </w:p>
        </w:tc>
      </w:tr>
    </w:tbl>
    <w:p>
      <w:pPr>
        <w:pStyle w:val="BodyText"/>
        <w:spacing w:before="3"/>
        <w:rPr>
          <w:rFonts w:ascii="Caladea"/>
          <w:b/>
          <w:sz w:val="19"/>
        </w:rPr>
      </w:pPr>
    </w:p>
    <w:p>
      <w:pPr>
        <w:pStyle w:val="Heading5"/>
        <w:ind w:left="172" w:firstLine="0"/>
        <w:jc w:val="both"/>
      </w:pPr>
      <w:r>
        <w:rPr/>
        <w:t>Evento não caixa relevante</w:t>
      </w:r>
    </w:p>
    <w:p>
      <w:pPr>
        <w:spacing w:line="242" w:lineRule="auto" w:before="121"/>
        <w:ind w:left="172" w:right="405" w:firstLine="0"/>
        <w:jc w:val="both"/>
        <w:rPr>
          <w:sz w:val="22"/>
        </w:rPr>
      </w:pPr>
      <w:r>
        <w:rPr>
          <w:sz w:val="22"/>
        </w:rPr>
        <w:t>A</w:t>
      </w:r>
      <w:r>
        <w:rPr>
          <w:spacing w:val="-31"/>
          <w:sz w:val="22"/>
        </w:rPr>
        <w:t> </w:t>
      </w:r>
      <w:r>
        <w:rPr>
          <w:sz w:val="22"/>
        </w:rPr>
        <w:t>Companhia</w:t>
      </w:r>
      <w:r>
        <w:rPr>
          <w:spacing w:val="-31"/>
          <w:sz w:val="22"/>
        </w:rPr>
        <w:t> </w:t>
      </w:r>
      <w:r>
        <w:rPr>
          <w:sz w:val="22"/>
        </w:rPr>
        <w:t>recebeu</w:t>
      </w:r>
      <w:r>
        <w:rPr>
          <w:spacing w:val="-30"/>
          <w:sz w:val="22"/>
        </w:rPr>
        <w:t> </w:t>
      </w:r>
      <w:r>
        <w:rPr>
          <w:sz w:val="22"/>
        </w:rPr>
        <w:t>da</w:t>
      </w:r>
      <w:r>
        <w:rPr>
          <w:spacing w:val="-33"/>
          <w:sz w:val="22"/>
        </w:rPr>
        <w:t> </w:t>
      </w:r>
      <w:r>
        <w:rPr>
          <w:sz w:val="22"/>
        </w:rPr>
        <w:t>CEB</w:t>
      </w:r>
      <w:r>
        <w:rPr>
          <w:spacing w:val="-30"/>
          <w:sz w:val="22"/>
        </w:rPr>
        <w:t> </w:t>
      </w:r>
      <w:r>
        <w:rPr>
          <w:sz w:val="22"/>
        </w:rPr>
        <w:t>Geração</w:t>
      </w:r>
      <w:r>
        <w:rPr>
          <w:spacing w:val="-30"/>
          <w:sz w:val="22"/>
        </w:rPr>
        <w:t> </w:t>
      </w:r>
      <w:r>
        <w:rPr>
          <w:sz w:val="22"/>
        </w:rPr>
        <w:t>S.A.</w:t>
      </w:r>
      <w:r>
        <w:rPr>
          <w:spacing w:val="-30"/>
          <w:sz w:val="22"/>
        </w:rPr>
        <w:t> </w:t>
      </w:r>
      <w:r>
        <w:rPr>
          <w:sz w:val="22"/>
        </w:rPr>
        <w:t>a</w:t>
      </w:r>
      <w:r>
        <w:rPr>
          <w:spacing w:val="-32"/>
          <w:sz w:val="22"/>
        </w:rPr>
        <w:t> </w:t>
      </w:r>
      <w:r>
        <w:rPr>
          <w:sz w:val="22"/>
        </w:rPr>
        <w:t>cessão</w:t>
      </w:r>
      <w:r>
        <w:rPr>
          <w:spacing w:val="-32"/>
          <w:sz w:val="22"/>
        </w:rPr>
        <w:t> </w:t>
      </w:r>
      <w:r>
        <w:rPr>
          <w:sz w:val="22"/>
        </w:rPr>
        <w:t>de</w:t>
      </w:r>
      <w:r>
        <w:rPr>
          <w:spacing w:val="-31"/>
          <w:sz w:val="22"/>
        </w:rPr>
        <w:t> </w:t>
      </w:r>
      <w:r>
        <w:rPr>
          <w:sz w:val="22"/>
        </w:rPr>
        <w:t>crédito</w:t>
      </w:r>
      <w:r>
        <w:rPr>
          <w:spacing w:val="-30"/>
          <w:sz w:val="22"/>
        </w:rPr>
        <w:t> </w:t>
      </w:r>
      <w:r>
        <w:rPr>
          <w:sz w:val="22"/>
        </w:rPr>
        <w:t>no</w:t>
      </w:r>
      <w:r>
        <w:rPr>
          <w:spacing w:val="-30"/>
          <w:sz w:val="22"/>
        </w:rPr>
        <w:t> </w:t>
      </w:r>
      <w:r>
        <w:rPr>
          <w:sz w:val="22"/>
        </w:rPr>
        <w:t>valor</w:t>
      </w:r>
      <w:r>
        <w:rPr>
          <w:spacing w:val="-30"/>
          <w:sz w:val="22"/>
        </w:rPr>
        <w:t> </w:t>
      </w:r>
      <w:r>
        <w:rPr>
          <w:sz w:val="22"/>
        </w:rPr>
        <w:t>de</w:t>
      </w:r>
      <w:r>
        <w:rPr>
          <w:spacing w:val="-29"/>
          <w:sz w:val="22"/>
        </w:rPr>
        <w:t> </w:t>
      </w:r>
      <w:r>
        <w:rPr>
          <w:sz w:val="22"/>
        </w:rPr>
        <w:t>R$</w:t>
      </w:r>
      <w:r>
        <w:rPr>
          <w:spacing w:val="-31"/>
          <w:sz w:val="22"/>
        </w:rPr>
        <w:t> </w:t>
      </w:r>
      <w:r>
        <w:rPr>
          <w:sz w:val="22"/>
        </w:rPr>
        <w:t>35.414</w:t>
      </w:r>
      <w:r>
        <w:rPr>
          <w:spacing w:val="-31"/>
          <w:sz w:val="22"/>
        </w:rPr>
        <w:t> </w:t>
      </w:r>
      <w:r>
        <w:rPr>
          <w:sz w:val="22"/>
        </w:rPr>
        <w:t>pela</w:t>
      </w:r>
      <w:r>
        <w:rPr>
          <w:spacing w:val="-32"/>
          <w:sz w:val="22"/>
        </w:rPr>
        <w:t> </w:t>
      </w:r>
      <w:r>
        <w:rPr>
          <w:sz w:val="22"/>
        </w:rPr>
        <w:t>sub-rogação</w:t>
      </w:r>
      <w:r>
        <w:rPr>
          <w:spacing w:val="-32"/>
          <w:sz w:val="22"/>
        </w:rPr>
        <w:t> </w:t>
      </w:r>
      <w:r>
        <w:rPr>
          <w:sz w:val="22"/>
        </w:rPr>
        <w:t>do contrato dos direitos creditórios. Tal operação movimentou apenas contas do ativo e não compõe as movimentações</w:t>
      </w:r>
      <w:r>
        <w:rPr>
          <w:spacing w:val="-19"/>
          <w:sz w:val="22"/>
        </w:rPr>
        <w:t> </w:t>
      </w:r>
      <w:r>
        <w:rPr>
          <w:sz w:val="22"/>
        </w:rPr>
        <w:t>do</w:t>
      </w:r>
      <w:r>
        <w:rPr>
          <w:spacing w:val="-19"/>
          <w:sz w:val="22"/>
        </w:rPr>
        <w:t> </w:t>
      </w:r>
      <w:r>
        <w:rPr>
          <w:sz w:val="22"/>
        </w:rPr>
        <w:t>fluxo</w:t>
      </w:r>
      <w:r>
        <w:rPr>
          <w:spacing w:val="-22"/>
          <w:sz w:val="22"/>
        </w:rPr>
        <w:t> </w:t>
      </w:r>
      <w:r>
        <w:rPr>
          <w:sz w:val="22"/>
        </w:rPr>
        <w:t>de</w:t>
      </w:r>
      <w:r>
        <w:rPr>
          <w:spacing w:val="-19"/>
          <w:sz w:val="22"/>
        </w:rPr>
        <w:t> </w:t>
      </w:r>
      <w:r>
        <w:rPr>
          <w:sz w:val="22"/>
        </w:rPr>
        <w:t>caixa.</w:t>
      </w:r>
    </w:p>
    <w:p>
      <w:pPr>
        <w:spacing w:after="0" w:line="242" w:lineRule="auto"/>
        <w:jc w:val="both"/>
        <w:rPr>
          <w:sz w:val="22"/>
        </w:rPr>
        <w:sectPr>
          <w:pgSz w:w="11910" w:h="16850"/>
          <w:pgMar w:header="792" w:footer="982" w:top="1280" w:bottom="122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0"/>
          <w:numId w:val="6"/>
        </w:numPr>
        <w:tabs>
          <w:tab w:pos="953" w:val="left" w:leader="none"/>
          <w:tab w:pos="954" w:val="left" w:leader="none"/>
        </w:tabs>
        <w:spacing w:line="240" w:lineRule="auto" w:before="12" w:after="0"/>
        <w:ind w:left="953" w:right="0" w:hanging="782"/>
        <w:jc w:val="left"/>
        <w:rPr>
          <w:rFonts w:ascii="Caladea" w:hAnsi="Caladea"/>
          <w:b/>
          <w:sz w:val="24"/>
        </w:rPr>
      </w:pPr>
      <w:r>
        <w:rPr>
          <w:rFonts w:ascii="Caladea" w:hAnsi="Caladea"/>
          <w:b/>
          <w:sz w:val="24"/>
        </w:rPr>
        <w:t>INFORMAÇÕES POR SEGMENTO DE</w:t>
      </w:r>
      <w:r>
        <w:rPr>
          <w:rFonts w:ascii="Caladea" w:hAnsi="Caladea"/>
          <w:b/>
          <w:spacing w:val="-1"/>
          <w:sz w:val="24"/>
        </w:rPr>
        <w:t> </w:t>
      </w:r>
      <w:r>
        <w:rPr>
          <w:rFonts w:ascii="Caladea" w:hAnsi="Caladea"/>
          <w:b/>
          <w:sz w:val="24"/>
        </w:rPr>
        <w:t>NEGÓCIO</w:t>
      </w:r>
    </w:p>
    <w:p>
      <w:pPr>
        <w:pStyle w:val="BodyText"/>
        <w:spacing w:line="242" w:lineRule="auto" w:before="244"/>
        <w:ind w:left="172" w:right="409"/>
        <w:jc w:val="both"/>
      </w:pPr>
      <w:r>
        <w:rPr/>
        <w:t>O Grupo possui quatro segmentos divulgáveis de unidades de negócios estratégicas. Para cada uma delas, a Administração analisa os relatórios internos periodicamente. O resumo seguinte descreve as operações dos segmentos reportáveis:</w:t>
      </w:r>
    </w:p>
    <w:p>
      <w:pPr>
        <w:pStyle w:val="BodyText"/>
        <w:spacing w:before="6"/>
      </w:pPr>
    </w:p>
    <w:p>
      <w:pPr>
        <w:pStyle w:val="ListParagraph"/>
        <w:numPr>
          <w:ilvl w:val="0"/>
          <w:numId w:val="14"/>
        </w:numPr>
        <w:tabs>
          <w:tab w:pos="740" w:val="left" w:leader="none"/>
        </w:tabs>
        <w:spacing w:line="242" w:lineRule="auto" w:before="0" w:after="0"/>
        <w:ind w:left="739" w:right="410" w:hanging="567"/>
        <w:jc w:val="both"/>
        <w:rPr>
          <w:rFonts w:ascii="Symbol" w:hAnsi="Symbol"/>
          <w:sz w:val="20"/>
        </w:rPr>
      </w:pPr>
      <w:r>
        <w:rPr>
          <w:sz w:val="20"/>
        </w:rPr>
        <w:t>Distribuição</w:t>
      </w:r>
      <w:r>
        <w:rPr>
          <w:spacing w:val="-25"/>
          <w:sz w:val="20"/>
        </w:rPr>
        <w:t> </w:t>
      </w:r>
      <w:r>
        <w:rPr>
          <w:sz w:val="20"/>
        </w:rPr>
        <w:t>e</w:t>
      </w:r>
      <w:r>
        <w:rPr>
          <w:spacing w:val="-25"/>
          <w:sz w:val="20"/>
        </w:rPr>
        <w:t> </w:t>
      </w:r>
      <w:r>
        <w:rPr>
          <w:sz w:val="20"/>
        </w:rPr>
        <w:t>comercialização</w:t>
      </w:r>
      <w:r>
        <w:rPr>
          <w:spacing w:val="-25"/>
          <w:sz w:val="20"/>
        </w:rPr>
        <w:t> </w:t>
      </w:r>
      <w:r>
        <w:rPr>
          <w:sz w:val="20"/>
        </w:rPr>
        <w:t>de</w:t>
      </w:r>
      <w:r>
        <w:rPr>
          <w:spacing w:val="-25"/>
          <w:sz w:val="20"/>
        </w:rPr>
        <w:t> </w:t>
      </w:r>
      <w:r>
        <w:rPr>
          <w:sz w:val="20"/>
        </w:rPr>
        <w:t>energia</w:t>
      </w:r>
      <w:r>
        <w:rPr>
          <w:spacing w:val="-23"/>
          <w:sz w:val="20"/>
        </w:rPr>
        <w:t> </w:t>
      </w:r>
      <w:r>
        <w:rPr>
          <w:sz w:val="20"/>
        </w:rPr>
        <w:t>elétrica:</w:t>
      </w:r>
      <w:r>
        <w:rPr>
          <w:spacing w:val="-24"/>
          <w:sz w:val="20"/>
        </w:rPr>
        <w:t> </w:t>
      </w:r>
      <w:r>
        <w:rPr>
          <w:sz w:val="20"/>
        </w:rPr>
        <w:t>tem</w:t>
      </w:r>
      <w:r>
        <w:rPr>
          <w:spacing w:val="-24"/>
          <w:sz w:val="20"/>
        </w:rPr>
        <w:t> </w:t>
      </w:r>
      <w:r>
        <w:rPr>
          <w:sz w:val="20"/>
        </w:rPr>
        <w:t>como</w:t>
      </w:r>
      <w:r>
        <w:rPr>
          <w:spacing w:val="-24"/>
          <w:sz w:val="20"/>
        </w:rPr>
        <w:t> </w:t>
      </w:r>
      <w:r>
        <w:rPr>
          <w:sz w:val="20"/>
        </w:rPr>
        <w:t>atribuição</w:t>
      </w:r>
      <w:r>
        <w:rPr>
          <w:spacing w:val="-25"/>
          <w:sz w:val="20"/>
        </w:rPr>
        <w:t> </w:t>
      </w:r>
      <w:r>
        <w:rPr>
          <w:sz w:val="20"/>
        </w:rPr>
        <w:t>distribuir</w:t>
      </w:r>
      <w:r>
        <w:rPr>
          <w:spacing w:val="-23"/>
          <w:sz w:val="20"/>
        </w:rPr>
        <w:t> </w:t>
      </w:r>
      <w:r>
        <w:rPr>
          <w:sz w:val="20"/>
        </w:rPr>
        <w:t>e</w:t>
      </w:r>
      <w:r>
        <w:rPr>
          <w:spacing w:val="-25"/>
          <w:sz w:val="20"/>
        </w:rPr>
        <w:t> </w:t>
      </w:r>
      <w:r>
        <w:rPr>
          <w:sz w:val="20"/>
        </w:rPr>
        <w:t>comercializar</w:t>
      </w:r>
      <w:r>
        <w:rPr>
          <w:spacing w:val="-26"/>
          <w:sz w:val="20"/>
        </w:rPr>
        <w:t> </w:t>
      </w:r>
      <w:r>
        <w:rPr>
          <w:sz w:val="20"/>
        </w:rPr>
        <w:t>energia, sendo</w:t>
      </w:r>
      <w:r>
        <w:rPr>
          <w:spacing w:val="-4"/>
          <w:sz w:val="20"/>
        </w:rPr>
        <w:t> </w:t>
      </w:r>
      <w:r>
        <w:rPr>
          <w:sz w:val="20"/>
        </w:rPr>
        <w:t>responsável</w:t>
      </w:r>
      <w:r>
        <w:rPr>
          <w:spacing w:val="-5"/>
          <w:sz w:val="20"/>
        </w:rPr>
        <w:t> </w:t>
      </w:r>
      <w:r>
        <w:rPr>
          <w:sz w:val="20"/>
        </w:rPr>
        <w:t>por</w:t>
      </w:r>
      <w:r>
        <w:rPr>
          <w:spacing w:val="-5"/>
          <w:sz w:val="20"/>
        </w:rPr>
        <w:t> </w:t>
      </w:r>
      <w:r>
        <w:rPr>
          <w:sz w:val="20"/>
        </w:rPr>
        <w:t>operar</w:t>
      </w:r>
      <w:r>
        <w:rPr>
          <w:spacing w:val="-4"/>
          <w:sz w:val="20"/>
        </w:rPr>
        <w:t> </w:t>
      </w:r>
      <w:r>
        <w:rPr>
          <w:sz w:val="20"/>
        </w:rPr>
        <w:t>e</w:t>
      </w:r>
      <w:r>
        <w:rPr>
          <w:spacing w:val="-6"/>
          <w:sz w:val="20"/>
        </w:rPr>
        <w:t> </w:t>
      </w:r>
      <w:r>
        <w:rPr>
          <w:sz w:val="20"/>
        </w:rPr>
        <w:t>manter</w:t>
      </w:r>
      <w:r>
        <w:rPr>
          <w:spacing w:val="-6"/>
          <w:sz w:val="20"/>
        </w:rPr>
        <w:t> </w:t>
      </w:r>
      <w:r>
        <w:rPr>
          <w:sz w:val="20"/>
        </w:rPr>
        <w:t>a</w:t>
      </w:r>
      <w:r>
        <w:rPr>
          <w:spacing w:val="-4"/>
          <w:sz w:val="20"/>
        </w:rPr>
        <w:t> </w:t>
      </w:r>
      <w:r>
        <w:rPr>
          <w:sz w:val="20"/>
        </w:rPr>
        <w:t>infraestrutura,</w:t>
      </w:r>
      <w:r>
        <w:rPr>
          <w:spacing w:val="-5"/>
          <w:sz w:val="20"/>
        </w:rPr>
        <w:t> </w:t>
      </w:r>
      <w:r>
        <w:rPr>
          <w:sz w:val="20"/>
        </w:rPr>
        <w:t>bem</w:t>
      </w:r>
      <w:r>
        <w:rPr>
          <w:spacing w:val="-5"/>
          <w:sz w:val="20"/>
        </w:rPr>
        <w:t> </w:t>
      </w:r>
      <w:r>
        <w:rPr>
          <w:sz w:val="20"/>
        </w:rPr>
        <w:t>como</w:t>
      </w:r>
      <w:r>
        <w:rPr>
          <w:spacing w:val="-4"/>
          <w:sz w:val="20"/>
        </w:rPr>
        <w:t> </w:t>
      </w:r>
      <w:r>
        <w:rPr>
          <w:sz w:val="20"/>
        </w:rPr>
        <w:t>prestar</w:t>
      </w:r>
      <w:r>
        <w:rPr>
          <w:spacing w:val="-6"/>
          <w:sz w:val="20"/>
        </w:rPr>
        <w:t> </w:t>
      </w:r>
      <w:r>
        <w:rPr>
          <w:sz w:val="20"/>
        </w:rPr>
        <w:t>serviços</w:t>
      </w:r>
      <w:r>
        <w:rPr>
          <w:spacing w:val="-5"/>
          <w:sz w:val="20"/>
        </w:rPr>
        <w:t> </w:t>
      </w:r>
      <w:r>
        <w:rPr>
          <w:sz w:val="20"/>
        </w:rPr>
        <w:t>correlatos.</w:t>
      </w:r>
      <w:r>
        <w:rPr>
          <w:spacing w:val="-5"/>
          <w:sz w:val="20"/>
        </w:rPr>
        <w:t> </w:t>
      </w:r>
      <w:r>
        <w:rPr>
          <w:sz w:val="20"/>
        </w:rPr>
        <w:t>Atua</w:t>
      </w:r>
      <w:r>
        <w:rPr>
          <w:spacing w:val="-5"/>
          <w:sz w:val="20"/>
        </w:rPr>
        <w:t> </w:t>
      </w:r>
      <w:r>
        <w:rPr>
          <w:sz w:val="20"/>
        </w:rPr>
        <w:t>por intermédio</w:t>
      </w:r>
      <w:r>
        <w:rPr>
          <w:spacing w:val="-19"/>
          <w:sz w:val="20"/>
        </w:rPr>
        <w:t> </w:t>
      </w:r>
      <w:r>
        <w:rPr>
          <w:sz w:val="20"/>
        </w:rPr>
        <w:t>da</w:t>
      </w:r>
      <w:r>
        <w:rPr>
          <w:spacing w:val="-18"/>
          <w:sz w:val="20"/>
        </w:rPr>
        <w:t> </w:t>
      </w:r>
      <w:r>
        <w:rPr>
          <w:sz w:val="20"/>
        </w:rPr>
        <w:t>CEB</w:t>
      </w:r>
      <w:r>
        <w:rPr>
          <w:spacing w:val="-18"/>
          <w:sz w:val="20"/>
        </w:rPr>
        <w:t> </w:t>
      </w:r>
      <w:r>
        <w:rPr>
          <w:sz w:val="20"/>
        </w:rPr>
        <w:t>Distribuição</w:t>
      </w:r>
      <w:r>
        <w:rPr>
          <w:spacing w:val="-19"/>
          <w:sz w:val="20"/>
        </w:rPr>
        <w:t> </w:t>
      </w:r>
      <w:r>
        <w:rPr>
          <w:sz w:val="20"/>
        </w:rPr>
        <w:t>S.A.;</w:t>
      </w:r>
    </w:p>
    <w:p>
      <w:pPr>
        <w:pStyle w:val="ListParagraph"/>
        <w:numPr>
          <w:ilvl w:val="0"/>
          <w:numId w:val="14"/>
        </w:numPr>
        <w:tabs>
          <w:tab w:pos="740" w:val="left" w:leader="none"/>
        </w:tabs>
        <w:spacing w:line="242" w:lineRule="auto" w:before="0" w:after="0"/>
        <w:ind w:left="739" w:right="410" w:hanging="567"/>
        <w:jc w:val="both"/>
        <w:rPr>
          <w:rFonts w:ascii="Symbol" w:hAnsi="Symbol"/>
          <w:sz w:val="20"/>
        </w:rPr>
      </w:pPr>
      <w:r>
        <w:rPr>
          <w:sz w:val="20"/>
        </w:rPr>
        <w:t>Geração</w:t>
      </w:r>
      <w:r>
        <w:rPr>
          <w:spacing w:val="-22"/>
          <w:sz w:val="20"/>
        </w:rPr>
        <w:t> </w:t>
      </w:r>
      <w:r>
        <w:rPr>
          <w:sz w:val="20"/>
        </w:rPr>
        <w:t>de</w:t>
      </w:r>
      <w:r>
        <w:rPr>
          <w:spacing w:val="-22"/>
          <w:sz w:val="20"/>
        </w:rPr>
        <w:t> </w:t>
      </w:r>
      <w:r>
        <w:rPr>
          <w:sz w:val="20"/>
        </w:rPr>
        <w:t>energia:</w:t>
      </w:r>
      <w:r>
        <w:rPr>
          <w:spacing w:val="-19"/>
          <w:sz w:val="20"/>
        </w:rPr>
        <w:t> </w:t>
      </w:r>
      <w:r>
        <w:rPr>
          <w:sz w:val="20"/>
        </w:rPr>
        <w:t>tem</w:t>
      </w:r>
      <w:r>
        <w:rPr>
          <w:spacing w:val="-22"/>
          <w:sz w:val="20"/>
        </w:rPr>
        <w:t> </w:t>
      </w:r>
      <w:r>
        <w:rPr>
          <w:sz w:val="20"/>
        </w:rPr>
        <w:t>como</w:t>
      </w:r>
      <w:r>
        <w:rPr>
          <w:spacing w:val="-21"/>
          <w:sz w:val="20"/>
        </w:rPr>
        <w:t> </w:t>
      </w:r>
      <w:r>
        <w:rPr>
          <w:sz w:val="20"/>
        </w:rPr>
        <w:t>atribuição</w:t>
      </w:r>
      <w:r>
        <w:rPr>
          <w:spacing w:val="-21"/>
          <w:sz w:val="20"/>
        </w:rPr>
        <w:t> </w:t>
      </w:r>
      <w:r>
        <w:rPr>
          <w:sz w:val="20"/>
        </w:rPr>
        <w:t>produzir</w:t>
      </w:r>
      <w:r>
        <w:rPr>
          <w:spacing w:val="-21"/>
          <w:sz w:val="20"/>
        </w:rPr>
        <w:t> </w:t>
      </w:r>
      <w:r>
        <w:rPr>
          <w:sz w:val="20"/>
        </w:rPr>
        <w:t>energia</w:t>
      </w:r>
      <w:r>
        <w:rPr>
          <w:spacing w:val="-20"/>
          <w:sz w:val="20"/>
        </w:rPr>
        <w:t> </w:t>
      </w:r>
      <w:r>
        <w:rPr>
          <w:sz w:val="20"/>
        </w:rPr>
        <w:t>elétrica</w:t>
      </w:r>
      <w:r>
        <w:rPr>
          <w:spacing w:val="-21"/>
          <w:sz w:val="20"/>
        </w:rPr>
        <w:t> </w:t>
      </w:r>
      <w:r>
        <w:rPr>
          <w:sz w:val="20"/>
        </w:rPr>
        <w:t>a</w:t>
      </w:r>
      <w:r>
        <w:rPr>
          <w:spacing w:val="-21"/>
          <w:sz w:val="20"/>
        </w:rPr>
        <w:t> </w:t>
      </w:r>
      <w:r>
        <w:rPr>
          <w:sz w:val="20"/>
        </w:rPr>
        <w:t>partir</w:t>
      </w:r>
      <w:r>
        <w:rPr>
          <w:spacing w:val="-22"/>
          <w:sz w:val="20"/>
        </w:rPr>
        <w:t> </w:t>
      </w:r>
      <w:r>
        <w:rPr>
          <w:sz w:val="20"/>
        </w:rPr>
        <w:t>de</w:t>
      </w:r>
      <w:r>
        <w:rPr>
          <w:spacing w:val="-21"/>
          <w:sz w:val="20"/>
        </w:rPr>
        <w:t> </w:t>
      </w:r>
      <w:r>
        <w:rPr>
          <w:sz w:val="20"/>
        </w:rPr>
        <w:t>empreendimentos</w:t>
      </w:r>
      <w:r>
        <w:rPr>
          <w:spacing w:val="-20"/>
          <w:sz w:val="20"/>
        </w:rPr>
        <w:t> </w:t>
      </w:r>
      <w:r>
        <w:rPr>
          <w:sz w:val="20"/>
        </w:rPr>
        <w:t>de</w:t>
      </w:r>
      <w:r>
        <w:rPr>
          <w:spacing w:val="-22"/>
          <w:sz w:val="20"/>
        </w:rPr>
        <w:t> </w:t>
      </w:r>
      <w:r>
        <w:rPr>
          <w:sz w:val="20"/>
        </w:rPr>
        <w:t>fontes hidráulicas.</w:t>
      </w:r>
      <w:r>
        <w:rPr>
          <w:spacing w:val="-25"/>
          <w:sz w:val="20"/>
        </w:rPr>
        <w:t> </w:t>
      </w:r>
      <w:r>
        <w:rPr>
          <w:sz w:val="20"/>
        </w:rPr>
        <w:t>Atua</w:t>
      </w:r>
      <w:r>
        <w:rPr>
          <w:spacing w:val="-24"/>
          <w:sz w:val="20"/>
        </w:rPr>
        <w:t> </w:t>
      </w:r>
      <w:r>
        <w:rPr>
          <w:sz w:val="20"/>
        </w:rPr>
        <w:t>por</w:t>
      </w:r>
      <w:r>
        <w:rPr>
          <w:spacing w:val="-24"/>
          <w:sz w:val="20"/>
        </w:rPr>
        <w:t> </w:t>
      </w:r>
      <w:r>
        <w:rPr>
          <w:sz w:val="20"/>
        </w:rPr>
        <w:t>intermédio</w:t>
      </w:r>
      <w:r>
        <w:rPr>
          <w:spacing w:val="-23"/>
          <w:sz w:val="20"/>
        </w:rPr>
        <w:t> </w:t>
      </w:r>
      <w:r>
        <w:rPr>
          <w:sz w:val="20"/>
        </w:rPr>
        <w:t>da</w:t>
      </w:r>
      <w:r>
        <w:rPr>
          <w:spacing w:val="-22"/>
          <w:sz w:val="20"/>
        </w:rPr>
        <w:t> </w:t>
      </w:r>
      <w:r>
        <w:rPr>
          <w:sz w:val="20"/>
        </w:rPr>
        <w:t>empresa</w:t>
      </w:r>
      <w:r>
        <w:rPr>
          <w:spacing w:val="-24"/>
          <w:sz w:val="20"/>
        </w:rPr>
        <w:t> </w:t>
      </w:r>
      <w:r>
        <w:rPr>
          <w:sz w:val="20"/>
        </w:rPr>
        <w:t>CEB</w:t>
      </w:r>
      <w:r>
        <w:rPr>
          <w:spacing w:val="-24"/>
          <w:sz w:val="20"/>
        </w:rPr>
        <w:t> </w:t>
      </w:r>
      <w:r>
        <w:rPr>
          <w:sz w:val="20"/>
        </w:rPr>
        <w:t>Geração</w:t>
      </w:r>
      <w:r>
        <w:rPr>
          <w:spacing w:val="-25"/>
          <w:sz w:val="20"/>
        </w:rPr>
        <w:t> </w:t>
      </w:r>
      <w:r>
        <w:rPr>
          <w:sz w:val="20"/>
        </w:rPr>
        <w:t>S.A.</w:t>
      </w:r>
      <w:r>
        <w:rPr>
          <w:spacing w:val="-23"/>
          <w:sz w:val="20"/>
        </w:rPr>
        <w:t> </w:t>
      </w:r>
      <w:r>
        <w:rPr>
          <w:sz w:val="20"/>
        </w:rPr>
        <w:t>e</w:t>
      </w:r>
      <w:r>
        <w:rPr>
          <w:spacing w:val="-25"/>
          <w:sz w:val="20"/>
        </w:rPr>
        <w:t> </w:t>
      </w:r>
      <w:r>
        <w:rPr>
          <w:sz w:val="20"/>
        </w:rPr>
        <w:t>a</w:t>
      </w:r>
      <w:r>
        <w:rPr>
          <w:spacing w:val="-25"/>
          <w:sz w:val="20"/>
        </w:rPr>
        <w:t> </w:t>
      </w:r>
      <w:r>
        <w:rPr>
          <w:sz w:val="20"/>
        </w:rPr>
        <w:t>CEB</w:t>
      </w:r>
      <w:r>
        <w:rPr>
          <w:spacing w:val="-22"/>
          <w:sz w:val="20"/>
        </w:rPr>
        <w:t> </w:t>
      </w:r>
      <w:r>
        <w:rPr>
          <w:sz w:val="20"/>
        </w:rPr>
        <w:t>Participações</w:t>
      </w:r>
      <w:r>
        <w:rPr>
          <w:spacing w:val="-23"/>
          <w:sz w:val="20"/>
        </w:rPr>
        <w:t> </w:t>
      </w:r>
      <w:r>
        <w:rPr>
          <w:sz w:val="20"/>
        </w:rPr>
        <w:t>S.A.;</w:t>
      </w:r>
    </w:p>
    <w:p>
      <w:pPr>
        <w:pStyle w:val="ListParagraph"/>
        <w:numPr>
          <w:ilvl w:val="0"/>
          <w:numId w:val="14"/>
        </w:numPr>
        <w:tabs>
          <w:tab w:pos="740" w:val="left" w:leader="none"/>
        </w:tabs>
        <w:spacing w:line="242" w:lineRule="auto" w:before="0" w:after="0"/>
        <w:ind w:left="739" w:right="419" w:hanging="567"/>
        <w:jc w:val="both"/>
        <w:rPr>
          <w:rFonts w:ascii="Symbol" w:hAnsi="Symbol"/>
          <w:sz w:val="20"/>
        </w:rPr>
      </w:pPr>
      <w:r>
        <w:rPr>
          <w:sz w:val="20"/>
        </w:rPr>
        <w:t>Comercialização</w:t>
      </w:r>
      <w:r>
        <w:rPr>
          <w:spacing w:val="-41"/>
          <w:sz w:val="20"/>
        </w:rPr>
        <w:t> </w:t>
      </w:r>
      <w:r>
        <w:rPr>
          <w:sz w:val="20"/>
        </w:rPr>
        <w:t>de</w:t>
      </w:r>
      <w:r>
        <w:rPr>
          <w:spacing w:val="-40"/>
          <w:sz w:val="20"/>
        </w:rPr>
        <w:t> </w:t>
      </w:r>
      <w:r>
        <w:rPr>
          <w:sz w:val="20"/>
        </w:rPr>
        <w:t>energia</w:t>
      </w:r>
      <w:r>
        <w:rPr>
          <w:spacing w:val="-40"/>
          <w:sz w:val="20"/>
        </w:rPr>
        <w:t> </w:t>
      </w:r>
      <w:r>
        <w:rPr>
          <w:sz w:val="20"/>
        </w:rPr>
        <w:t>elétrica:</w:t>
      </w:r>
      <w:r>
        <w:rPr>
          <w:spacing w:val="-40"/>
          <w:sz w:val="20"/>
        </w:rPr>
        <w:t> </w:t>
      </w:r>
      <w:r>
        <w:rPr>
          <w:sz w:val="20"/>
        </w:rPr>
        <w:t>tem</w:t>
      </w:r>
      <w:r>
        <w:rPr>
          <w:spacing w:val="-41"/>
          <w:sz w:val="20"/>
        </w:rPr>
        <w:t> </w:t>
      </w:r>
      <w:r>
        <w:rPr>
          <w:sz w:val="20"/>
        </w:rPr>
        <w:t>como</w:t>
      </w:r>
      <w:r>
        <w:rPr>
          <w:spacing w:val="-41"/>
          <w:sz w:val="20"/>
        </w:rPr>
        <w:t> </w:t>
      </w:r>
      <w:r>
        <w:rPr>
          <w:sz w:val="20"/>
        </w:rPr>
        <w:t>atribuição</w:t>
      </w:r>
      <w:r>
        <w:rPr>
          <w:spacing w:val="-40"/>
          <w:sz w:val="20"/>
        </w:rPr>
        <w:t> </w:t>
      </w:r>
      <w:r>
        <w:rPr>
          <w:sz w:val="20"/>
        </w:rPr>
        <w:t>a</w:t>
      </w:r>
      <w:r>
        <w:rPr>
          <w:spacing w:val="-41"/>
          <w:sz w:val="20"/>
        </w:rPr>
        <w:t> </w:t>
      </w:r>
      <w:r>
        <w:rPr>
          <w:sz w:val="20"/>
        </w:rPr>
        <w:t>comercialização</w:t>
      </w:r>
      <w:r>
        <w:rPr>
          <w:spacing w:val="-40"/>
          <w:sz w:val="20"/>
        </w:rPr>
        <w:t> </w:t>
      </w:r>
      <w:r>
        <w:rPr>
          <w:sz w:val="20"/>
        </w:rPr>
        <w:t>de</w:t>
      </w:r>
      <w:r>
        <w:rPr>
          <w:spacing w:val="-41"/>
          <w:sz w:val="20"/>
        </w:rPr>
        <w:t> </w:t>
      </w:r>
      <w:r>
        <w:rPr>
          <w:sz w:val="20"/>
        </w:rPr>
        <w:t>energia.</w:t>
      </w:r>
      <w:r>
        <w:rPr>
          <w:spacing w:val="-40"/>
          <w:sz w:val="20"/>
        </w:rPr>
        <w:t> </w:t>
      </w:r>
      <w:r>
        <w:rPr>
          <w:sz w:val="20"/>
        </w:rPr>
        <w:t>Atua</w:t>
      </w:r>
      <w:r>
        <w:rPr>
          <w:spacing w:val="-40"/>
          <w:sz w:val="20"/>
        </w:rPr>
        <w:t> </w:t>
      </w:r>
      <w:r>
        <w:rPr>
          <w:sz w:val="20"/>
        </w:rPr>
        <w:t>por</w:t>
      </w:r>
      <w:r>
        <w:rPr>
          <w:spacing w:val="-40"/>
          <w:sz w:val="20"/>
        </w:rPr>
        <w:t> </w:t>
      </w:r>
      <w:r>
        <w:rPr>
          <w:sz w:val="20"/>
        </w:rPr>
        <w:t>intermédio da</w:t>
      </w:r>
      <w:r>
        <w:rPr>
          <w:spacing w:val="-18"/>
          <w:sz w:val="20"/>
        </w:rPr>
        <w:t> </w:t>
      </w:r>
      <w:r>
        <w:rPr>
          <w:sz w:val="20"/>
        </w:rPr>
        <w:t>CEB</w:t>
      </w:r>
      <w:r>
        <w:rPr>
          <w:spacing w:val="-18"/>
          <w:sz w:val="20"/>
        </w:rPr>
        <w:t> </w:t>
      </w:r>
      <w:r>
        <w:rPr>
          <w:sz w:val="20"/>
        </w:rPr>
        <w:t>Lajeado</w:t>
      </w:r>
      <w:r>
        <w:rPr>
          <w:spacing w:val="-19"/>
          <w:sz w:val="20"/>
        </w:rPr>
        <w:t> </w:t>
      </w:r>
      <w:r>
        <w:rPr>
          <w:sz w:val="20"/>
        </w:rPr>
        <w:t>S.A.;</w:t>
      </w:r>
      <w:r>
        <w:rPr>
          <w:spacing w:val="-16"/>
          <w:sz w:val="20"/>
        </w:rPr>
        <w:t> </w:t>
      </w:r>
      <w:r>
        <w:rPr>
          <w:sz w:val="20"/>
        </w:rPr>
        <w:t>e</w:t>
      </w:r>
    </w:p>
    <w:p>
      <w:pPr>
        <w:pStyle w:val="ListParagraph"/>
        <w:numPr>
          <w:ilvl w:val="0"/>
          <w:numId w:val="14"/>
        </w:numPr>
        <w:tabs>
          <w:tab w:pos="740" w:val="left" w:leader="none"/>
        </w:tabs>
        <w:spacing w:line="242" w:lineRule="auto" w:before="0" w:after="0"/>
        <w:ind w:left="739" w:right="411" w:hanging="567"/>
        <w:jc w:val="both"/>
        <w:rPr>
          <w:rFonts w:ascii="Symbol" w:hAnsi="Symbol"/>
          <w:sz w:val="20"/>
        </w:rPr>
      </w:pPr>
      <w:r>
        <w:rPr>
          <w:sz w:val="20"/>
        </w:rPr>
        <w:t>Outros </w:t>
      </w:r>
      <w:r>
        <w:rPr>
          <w:w w:val="105"/>
          <w:sz w:val="20"/>
        </w:rPr>
        <w:t>– </w:t>
      </w:r>
      <w:r>
        <w:rPr>
          <w:sz w:val="20"/>
        </w:rPr>
        <w:t>Neste segmento está a Companhia Energética de Brasília </w:t>
      </w:r>
      <w:r>
        <w:rPr>
          <w:w w:val="105"/>
          <w:sz w:val="20"/>
        </w:rPr>
        <w:t>– </w:t>
      </w:r>
      <w:r>
        <w:rPr>
          <w:sz w:val="20"/>
        </w:rPr>
        <w:t>CEB, que tem como atribuições a participação</w:t>
      </w:r>
      <w:r>
        <w:rPr>
          <w:spacing w:val="-28"/>
          <w:sz w:val="20"/>
        </w:rPr>
        <w:t> </w:t>
      </w:r>
      <w:r>
        <w:rPr>
          <w:sz w:val="20"/>
        </w:rPr>
        <w:t>em</w:t>
      </w:r>
      <w:r>
        <w:rPr>
          <w:spacing w:val="-28"/>
          <w:sz w:val="20"/>
        </w:rPr>
        <w:t> </w:t>
      </w:r>
      <w:r>
        <w:rPr>
          <w:sz w:val="20"/>
        </w:rPr>
        <w:t>outras</w:t>
      </w:r>
      <w:r>
        <w:rPr>
          <w:spacing w:val="-29"/>
          <w:sz w:val="20"/>
        </w:rPr>
        <w:t> </w:t>
      </w:r>
      <w:r>
        <w:rPr>
          <w:sz w:val="20"/>
        </w:rPr>
        <w:t>sociedades</w:t>
      </w:r>
      <w:r>
        <w:rPr>
          <w:spacing w:val="-27"/>
          <w:sz w:val="20"/>
        </w:rPr>
        <w:t> </w:t>
      </w:r>
      <w:r>
        <w:rPr>
          <w:sz w:val="20"/>
        </w:rPr>
        <w:t>como</w:t>
      </w:r>
      <w:r>
        <w:rPr>
          <w:spacing w:val="-28"/>
          <w:sz w:val="20"/>
        </w:rPr>
        <w:t> </w:t>
      </w:r>
      <w:r>
        <w:rPr>
          <w:sz w:val="20"/>
        </w:rPr>
        <w:t>sócia-quotista</w:t>
      </w:r>
      <w:r>
        <w:rPr>
          <w:spacing w:val="-28"/>
          <w:sz w:val="20"/>
        </w:rPr>
        <w:t> </w:t>
      </w:r>
      <w:r>
        <w:rPr>
          <w:sz w:val="20"/>
        </w:rPr>
        <w:t>ou</w:t>
      </w:r>
      <w:r>
        <w:rPr>
          <w:spacing w:val="-28"/>
          <w:sz w:val="20"/>
        </w:rPr>
        <w:t> </w:t>
      </w:r>
      <w:r>
        <w:rPr>
          <w:sz w:val="20"/>
        </w:rPr>
        <w:t>acionista</w:t>
      </w:r>
      <w:r>
        <w:rPr>
          <w:spacing w:val="-27"/>
          <w:sz w:val="20"/>
        </w:rPr>
        <w:t> </w:t>
      </w:r>
      <w:r>
        <w:rPr>
          <w:sz w:val="20"/>
        </w:rPr>
        <w:t>e</w:t>
      </w:r>
      <w:r>
        <w:rPr>
          <w:spacing w:val="-29"/>
          <w:sz w:val="20"/>
        </w:rPr>
        <w:t> </w:t>
      </w:r>
      <w:r>
        <w:rPr>
          <w:sz w:val="20"/>
        </w:rPr>
        <w:t>a</w:t>
      </w:r>
      <w:r>
        <w:rPr>
          <w:spacing w:val="-27"/>
          <w:sz w:val="20"/>
        </w:rPr>
        <w:t> </w:t>
      </w:r>
      <w:r>
        <w:rPr>
          <w:sz w:val="20"/>
        </w:rPr>
        <w:t>prestação</w:t>
      </w:r>
      <w:r>
        <w:rPr>
          <w:spacing w:val="-29"/>
          <w:sz w:val="20"/>
        </w:rPr>
        <w:t> </w:t>
      </w:r>
      <w:r>
        <w:rPr>
          <w:sz w:val="20"/>
        </w:rPr>
        <w:t>de</w:t>
      </w:r>
      <w:r>
        <w:rPr>
          <w:spacing w:val="-30"/>
          <w:sz w:val="20"/>
        </w:rPr>
        <w:t> </w:t>
      </w:r>
      <w:r>
        <w:rPr>
          <w:sz w:val="20"/>
        </w:rPr>
        <w:t>serviços</w:t>
      </w:r>
      <w:r>
        <w:rPr>
          <w:spacing w:val="-27"/>
          <w:sz w:val="20"/>
        </w:rPr>
        <w:t> </w:t>
      </w:r>
      <w:r>
        <w:rPr>
          <w:sz w:val="20"/>
        </w:rPr>
        <w:t>de</w:t>
      </w:r>
      <w:r>
        <w:rPr>
          <w:spacing w:val="-29"/>
          <w:sz w:val="20"/>
        </w:rPr>
        <w:t> </w:t>
      </w:r>
      <w:r>
        <w:rPr>
          <w:sz w:val="20"/>
        </w:rPr>
        <w:t>expansão</w:t>
      </w:r>
      <w:r>
        <w:rPr>
          <w:spacing w:val="-26"/>
          <w:sz w:val="20"/>
        </w:rPr>
        <w:t> </w:t>
      </w:r>
      <w:r>
        <w:rPr>
          <w:sz w:val="20"/>
        </w:rPr>
        <w:t>e manutenção</w:t>
      </w:r>
      <w:r>
        <w:rPr>
          <w:spacing w:val="-33"/>
          <w:sz w:val="20"/>
        </w:rPr>
        <w:t> </w:t>
      </w:r>
      <w:r>
        <w:rPr>
          <w:sz w:val="20"/>
        </w:rPr>
        <w:t>do</w:t>
      </w:r>
      <w:r>
        <w:rPr>
          <w:spacing w:val="-31"/>
          <w:sz w:val="20"/>
        </w:rPr>
        <w:t> </w:t>
      </w:r>
      <w:r>
        <w:rPr>
          <w:sz w:val="20"/>
        </w:rPr>
        <w:t>parque</w:t>
      </w:r>
      <w:r>
        <w:rPr>
          <w:spacing w:val="-32"/>
          <w:sz w:val="20"/>
        </w:rPr>
        <w:t> </w:t>
      </w:r>
      <w:r>
        <w:rPr>
          <w:sz w:val="20"/>
        </w:rPr>
        <w:t>de</w:t>
      </w:r>
      <w:r>
        <w:rPr>
          <w:spacing w:val="-33"/>
          <w:sz w:val="20"/>
        </w:rPr>
        <w:t> </w:t>
      </w:r>
      <w:r>
        <w:rPr>
          <w:sz w:val="20"/>
        </w:rPr>
        <w:t>iluminação</w:t>
      </w:r>
      <w:r>
        <w:rPr>
          <w:spacing w:val="-33"/>
          <w:sz w:val="20"/>
        </w:rPr>
        <w:t> </w:t>
      </w:r>
      <w:r>
        <w:rPr>
          <w:sz w:val="20"/>
        </w:rPr>
        <w:t>pública</w:t>
      </w:r>
      <w:r>
        <w:rPr>
          <w:spacing w:val="-32"/>
          <w:sz w:val="20"/>
        </w:rPr>
        <w:t> </w:t>
      </w:r>
      <w:r>
        <w:rPr>
          <w:sz w:val="20"/>
        </w:rPr>
        <w:t>do</w:t>
      </w:r>
      <w:r>
        <w:rPr>
          <w:spacing w:val="-32"/>
          <w:sz w:val="20"/>
        </w:rPr>
        <w:t> </w:t>
      </w:r>
      <w:r>
        <w:rPr>
          <w:sz w:val="20"/>
        </w:rPr>
        <w:t>Distrito</w:t>
      </w:r>
      <w:r>
        <w:rPr>
          <w:spacing w:val="-32"/>
          <w:sz w:val="20"/>
        </w:rPr>
        <w:t> </w:t>
      </w:r>
      <w:r>
        <w:rPr>
          <w:sz w:val="20"/>
        </w:rPr>
        <w:t>Federal;</w:t>
      </w:r>
      <w:r>
        <w:rPr>
          <w:spacing w:val="-32"/>
          <w:sz w:val="20"/>
        </w:rPr>
        <w:t> </w:t>
      </w:r>
      <w:r>
        <w:rPr>
          <w:sz w:val="20"/>
        </w:rPr>
        <w:t>e</w:t>
      </w:r>
      <w:r>
        <w:rPr>
          <w:spacing w:val="-33"/>
          <w:sz w:val="20"/>
        </w:rPr>
        <w:t> </w:t>
      </w:r>
      <w:r>
        <w:rPr>
          <w:sz w:val="20"/>
        </w:rPr>
        <w:t>a</w:t>
      </w:r>
      <w:r>
        <w:rPr>
          <w:spacing w:val="-32"/>
          <w:sz w:val="20"/>
        </w:rPr>
        <w:t> </w:t>
      </w:r>
      <w:r>
        <w:rPr>
          <w:sz w:val="20"/>
        </w:rPr>
        <w:t>Companhia</w:t>
      </w:r>
      <w:r>
        <w:rPr>
          <w:spacing w:val="-31"/>
          <w:sz w:val="20"/>
        </w:rPr>
        <w:t> </w:t>
      </w:r>
      <w:r>
        <w:rPr>
          <w:sz w:val="20"/>
        </w:rPr>
        <w:t>Brasiliense</w:t>
      </w:r>
      <w:r>
        <w:rPr>
          <w:spacing w:val="-33"/>
          <w:sz w:val="20"/>
        </w:rPr>
        <w:t> </w:t>
      </w:r>
      <w:r>
        <w:rPr>
          <w:sz w:val="20"/>
        </w:rPr>
        <w:t>de</w:t>
      </w:r>
      <w:r>
        <w:rPr>
          <w:spacing w:val="-33"/>
          <w:sz w:val="20"/>
        </w:rPr>
        <w:t> </w:t>
      </w:r>
      <w:r>
        <w:rPr>
          <w:sz w:val="20"/>
        </w:rPr>
        <w:t>Gás,</w:t>
      </w:r>
      <w:r>
        <w:rPr>
          <w:spacing w:val="-32"/>
          <w:sz w:val="20"/>
        </w:rPr>
        <w:t> </w:t>
      </w:r>
      <w:r>
        <w:rPr>
          <w:sz w:val="20"/>
        </w:rPr>
        <w:t>que</w:t>
      </w:r>
      <w:r>
        <w:rPr>
          <w:spacing w:val="-33"/>
          <w:sz w:val="20"/>
        </w:rPr>
        <w:t> </w:t>
      </w:r>
      <w:r>
        <w:rPr>
          <w:sz w:val="20"/>
        </w:rPr>
        <w:t>tem como</w:t>
      </w:r>
      <w:r>
        <w:rPr>
          <w:spacing w:val="-23"/>
          <w:sz w:val="20"/>
        </w:rPr>
        <w:t> </w:t>
      </w:r>
      <w:r>
        <w:rPr>
          <w:sz w:val="20"/>
        </w:rPr>
        <w:t>atribuição</w:t>
      </w:r>
      <w:r>
        <w:rPr>
          <w:spacing w:val="-22"/>
          <w:sz w:val="20"/>
        </w:rPr>
        <w:t> </w:t>
      </w:r>
      <w:r>
        <w:rPr>
          <w:sz w:val="20"/>
        </w:rPr>
        <w:t>a</w:t>
      </w:r>
      <w:r>
        <w:rPr>
          <w:spacing w:val="-19"/>
          <w:sz w:val="20"/>
        </w:rPr>
        <w:t> </w:t>
      </w:r>
      <w:r>
        <w:rPr>
          <w:sz w:val="20"/>
        </w:rPr>
        <w:t>exploração</w:t>
      </w:r>
      <w:r>
        <w:rPr>
          <w:spacing w:val="-22"/>
          <w:sz w:val="20"/>
        </w:rPr>
        <w:t> </w:t>
      </w:r>
      <w:r>
        <w:rPr>
          <w:sz w:val="20"/>
        </w:rPr>
        <w:t>do</w:t>
      </w:r>
      <w:r>
        <w:rPr>
          <w:spacing w:val="-23"/>
          <w:sz w:val="20"/>
        </w:rPr>
        <w:t> </w:t>
      </w:r>
      <w:r>
        <w:rPr>
          <w:sz w:val="20"/>
        </w:rPr>
        <w:t>serviço</w:t>
      </w:r>
      <w:r>
        <w:rPr>
          <w:spacing w:val="-19"/>
          <w:sz w:val="20"/>
        </w:rPr>
        <w:t> </w:t>
      </w:r>
      <w:r>
        <w:rPr>
          <w:sz w:val="20"/>
        </w:rPr>
        <w:t>público</w:t>
      </w:r>
      <w:r>
        <w:rPr>
          <w:spacing w:val="-23"/>
          <w:sz w:val="20"/>
        </w:rPr>
        <w:t> </w:t>
      </w:r>
      <w:r>
        <w:rPr>
          <w:sz w:val="20"/>
        </w:rPr>
        <w:t>de</w:t>
      </w:r>
      <w:r>
        <w:rPr>
          <w:spacing w:val="-23"/>
          <w:sz w:val="20"/>
        </w:rPr>
        <w:t> </w:t>
      </w:r>
      <w:r>
        <w:rPr>
          <w:sz w:val="20"/>
        </w:rPr>
        <w:t>distribuição</w:t>
      </w:r>
      <w:r>
        <w:rPr>
          <w:spacing w:val="-22"/>
          <w:sz w:val="20"/>
        </w:rPr>
        <w:t> </w:t>
      </w:r>
      <w:r>
        <w:rPr>
          <w:sz w:val="20"/>
        </w:rPr>
        <w:t>de</w:t>
      </w:r>
      <w:r>
        <w:rPr>
          <w:spacing w:val="-23"/>
          <w:sz w:val="20"/>
        </w:rPr>
        <w:t> </w:t>
      </w:r>
      <w:r>
        <w:rPr>
          <w:sz w:val="20"/>
        </w:rPr>
        <w:t>gás</w:t>
      </w:r>
      <w:r>
        <w:rPr>
          <w:spacing w:val="-22"/>
          <w:sz w:val="20"/>
        </w:rPr>
        <w:t> </w:t>
      </w:r>
      <w:r>
        <w:rPr>
          <w:sz w:val="20"/>
        </w:rPr>
        <w:t>canalizado.</w:t>
      </w:r>
    </w:p>
    <w:p>
      <w:pPr>
        <w:pStyle w:val="BodyText"/>
        <w:spacing w:before="11"/>
        <w:rPr>
          <w:sz w:val="19"/>
        </w:rPr>
      </w:pPr>
    </w:p>
    <w:p>
      <w:pPr>
        <w:pStyle w:val="BodyText"/>
        <w:spacing w:line="242" w:lineRule="auto"/>
        <w:ind w:left="172" w:right="408"/>
        <w:jc w:val="both"/>
      </w:pPr>
      <w:r>
        <w:rPr/>
        <w:t>As</w:t>
      </w:r>
      <w:r>
        <w:rPr>
          <w:spacing w:val="-36"/>
        </w:rPr>
        <w:t> </w:t>
      </w:r>
      <w:r>
        <w:rPr/>
        <w:t>informações</w:t>
      </w:r>
      <w:r>
        <w:rPr>
          <w:spacing w:val="-35"/>
        </w:rPr>
        <w:t> </w:t>
      </w:r>
      <w:r>
        <w:rPr/>
        <w:t>referentes</w:t>
      </w:r>
      <w:r>
        <w:rPr>
          <w:spacing w:val="-35"/>
        </w:rPr>
        <w:t> </w:t>
      </w:r>
      <w:r>
        <w:rPr/>
        <w:t>a</w:t>
      </w:r>
      <w:r>
        <w:rPr>
          <w:spacing w:val="-35"/>
        </w:rPr>
        <w:t> </w:t>
      </w:r>
      <w:r>
        <w:rPr/>
        <w:t>cada</w:t>
      </w:r>
      <w:r>
        <w:rPr>
          <w:spacing w:val="-35"/>
        </w:rPr>
        <w:t> </w:t>
      </w:r>
      <w:r>
        <w:rPr/>
        <w:t>segmento</w:t>
      </w:r>
      <w:r>
        <w:rPr>
          <w:spacing w:val="-36"/>
        </w:rPr>
        <w:t> </w:t>
      </w:r>
      <w:r>
        <w:rPr/>
        <w:t>reportável</w:t>
      </w:r>
      <w:r>
        <w:rPr>
          <w:spacing w:val="-31"/>
        </w:rPr>
        <w:t> </w:t>
      </w:r>
      <w:r>
        <w:rPr/>
        <w:t>para</w:t>
      </w:r>
      <w:r>
        <w:rPr>
          <w:spacing w:val="-35"/>
        </w:rPr>
        <w:t> </w:t>
      </w:r>
      <w:r>
        <w:rPr/>
        <w:t>os</w:t>
      </w:r>
      <w:r>
        <w:rPr>
          <w:spacing w:val="-35"/>
        </w:rPr>
        <w:t> </w:t>
      </w:r>
      <w:r>
        <w:rPr/>
        <w:t>períodos</w:t>
      </w:r>
      <w:r>
        <w:rPr>
          <w:spacing w:val="-35"/>
        </w:rPr>
        <w:t> </w:t>
      </w:r>
      <w:r>
        <w:rPr/>
        <w:t>findos</w:t>
      </w:r>
      <w:r>
        <w:rPr>
          <w:spacing w:val="-34"/>
        </w:rPr>
        <w:t> </w:t>
      </w:r>
      <w:r>
        <w:rPr/>
        <w:t>em</w:t>
      </w:r>
      <w:r>
        <w:rPr>
          <w:spacing w:val="-36"/>
        </w:rPr>
        <w:t> </w:t>
      </w:r>
      <w:r>
        <w:rPr/>
        <w:t>31</w:t>
      </w:r>
      <w:r>
        <w:rPr>
          <w:spacing w:val="-34"/>
        </w:rPr>
        <w:t> </w:t>
      </w:r>
      <w:r>
        <w:rPr/>
        <w:t>de</w:t>
      </w:r>
      <w:r>
        <w:rPr>
          <w:spacing w:val="-36"/>
        </w:rPr>
        <w:t> </w:t>
      </w:r>
      <w:r>
        <w:rPr/>
        <w:t>dezembro</w:t>
      </w:r>
      <w:r>
        <w:rPr>
          <w:spacing w:val="-36"/>
        </w:rPr>
        <w:t> </w:t>
      </w:r>
      <w:r>
        <w:rPr/>
        <w:t>de</w:t>
      </w:r>
      <w:r>
        <w:rPr>
          <w:spacing w:val="-36"/>
        </w:rPr>
        <w:t> </w:t>
      </w:r>
      <w:r>
        <w:rPr/>
        <w:t>2019</w:t>
      </w:r>
      <w:r>
        <w:rPr>
          <w:spacing w:val="-34"/>
        </w:rPr>
        <w:t> </w:t>
      </w:r>
      <w:r>
        <w:rPr/>
        <w:t>e</w:t>
      </w:r>
      <w:r>
        <w:rPr>
          <w:spacing w:val="-36"/>
        </w:rPr>
        <w:t> </w:t>
      </w:r>
      <w:r>
        <w:rPr/>
        <w:t>de</w:t>
      </w:r>
      <w:r>
        <w:rPr>
          <w:spacing w:val="-36"/>
        </w:rPr>
        <w:t> </w:t>
      </w:r>
      <w:r>
        <w:rPr/>
        <w:t>2018 estão</w:t>
      </w:r>
      <w:r>
        <w:rPr>
          <w:spacing w:val="-19"/>
        </w:rPr>
        <w:t> </w:t>
      </w:r>
      <w:r>
        <w:rPr/>
        <w:t>contempladas</w:t>
      </w:r>
      <w:r>
        <w:rPr>
          <w:spacing w:val="-18"/>
        </w:rPr>
        <w:t> </w:t>
      </w:r>
      <w:r>
        <w:rPr/>
        <w:t>no</w:t>
      </w:r>
      <w:r>
        <w:rPr>
          <w:spacing w:val="-16"/>
        </w:rPr>
        <w:t> </w:t>
      </w:r>
      <w:r>
        <w:rPr/>
        <w:t>quadro</w:t>
      </w:r>
      <w:r>
        <w:rPr>
          <w:spacing w:val="-19"/>
        </w:rPr>
        <w:t> </w:t>
      </w:r>
      <w:r>
        <w:rPr/>
        <w:t>seguinte:</w:t>
      </w:r>
    </w:p>
    <w:p>
      <w:pPr>
        <w:pStyle w:val="BodyText"/>
        <w:spacing w:before="7"/>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D</w:t>
      </w:r>
      <w:r>
        <w:rPr>
          <w:rFonts w:ascii="Caladea" w:hAnsi="Caladea"/>
          <w:b/>
          <w:sz w:val="18"/>
        </w:rPr>
        <w:t>EMONSTRAÇÃO DE </w:t>
      </w:r>
      <w:r>
        <w:rPr>
          <w:rFonts w:ascii="Caladea" w:hAnsi="Caladea"/>
          <w:b/>
          <w:sz w:val="22"/>
        </w:rPr>
        <w:t>R</w:t>
      </w:r>
      <w:r>
        <w:rPr>
          <w:rFonts w:ascii="Caladea" w:hAnsi="Caladea"/>
          <w:b/>
          <w:sz w:val="18"/>
        </w:rPr>
        <w:t>ESULTADO POR </w:t>
      </w:r>
      <w:r>
        <w:rPr>
          <w:rFonts w:ascii="Caladea" w:hAnsi="Caladea"/>
          <w:b/>
          <w:sz w:val="22"/>
        </w:rPr>
        <w:t>S</w:t>
      </w:r>
      <w:r>
        <w:rPr>
          <w:rFonts w:ascii="Caladea" w:hAnsi="Caladea"/>
          <w:b/>
          <w:sz w:val="18"/>
        </w:rPr>
        <w:t>EGMENTO DE</w:t>
      </w:r>
      <w:r>
        <w:rPr>
          <w:rFonts w:ascii="Caladea" w:hAnsi="Caladea"/>
          <w:b/>
          <w:spacing w:val="4"/>
          <w:sz w:val="18"/>
        </w:rPr>
        <w:t> </w:t>
      </w:r>
      <w:r>
        <w:rPr>
          <w:rFonts w:ascii="Caladea" w:hAnsi="Caladea"/>
          <w:b/>
          <w:sz w:val="22"/>
        </w:rPr>
        <w:t>N</w:t>
      </w:r>
      <w:r>
        <w:rPr>
          <w:rFonts w:ascii="Caladea" w:hAnsi="Caladea"/>
          <w:b/>
          <w:sz w:val="18"/>
        </w:rPr>
        <w:t>EGÓCIO</w:t>
      </w:r>
    </w:p>
    <w:p>
      <w:pPr>
        <w:pStyle w:val="BodyText"/>
        <w:spacing w:before="8"/>
        <w:rPr>
          <w:rFonts w:ascii="Caladea"/>
          <w:b/>
          <w:sz w:val="23"/>
        </w:rPr>
      </w:pP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83"/>
        <w:gridCol w:w="1060"/>
        <w:gridCol w:w="1060"/>
        <w:gridCol w:w="1057"/>
        <w:gridCol w:w="1060"/>
        <w:gridCol w:w="1059"/>
        <w:gridCol w:w="1061"/>
      </w:tblGrid>
      <w:tr>
        <w:trPr>
          <w:trHeight w:val="251" w:hRule="atLeast"/>
        </w:trPr>
        <w:tc>
          <w:tcPr>
            <w:tcW w:w="3783" w:type="dxa"/>
            <w:shd w:val="clear" w:color="auto" w:fill="D9D9D9"/>
          </w:tcPr>
          <w:p>
            <w:pPr>
              <w:pStyle w:val="TableParagraph"/>
              <w:rPr>
                <w:rFonts w:ascii="Times New Roman"/>
                <w:sz w:val="14"/>
              </w:rPr>
            </w:pPr>
          </w:p>
        </w:tc>
        <w:tc>
          <w:tcPr>
            <w:tcW w:w="6357" w:type="dxa"/>
            <w:gridSpan w:val="6"/>
          </w:tcPr>
          <w:p>
            <w:pPr>
              <w:pStyle w:val="TableParagraph"/>
              <w:spacing w:before="56"/>
              <w:ind w:left="2294" w:right="2276"/>
              <w:jc w:val="center"/>
              <w:rPr>
                <w:rFonts w:ascii="Caladea" w:hAnsi="Caladea"/>
                <w:b/>
                <w:sz w:val="12"/>
              </w:rPr>
            </w:pPr>
            <w:r>
              <w:rPr>
                <w:rFonts w:ascii="Caladea" w:hAnsi="Caladea"/>
                <w:b/>
                <w:sz w:val="12"/>
              </w:rPr>
              <w:t>Exercício findo em 31/12/2019</w:t>
            </w:r>
          </w:p>
        </w:tc>
      </w:tr>
      <w:tr>
        <w:trPr>
          <w:trHeight w:val="249" w:hRule="atLeast"/>
        </w:trPr>
        <w:tc>
          <w:tcPr>
            <w:tcW w:w="3783" w:type="dxa"/>
          </w:tcPr>
          <w:p>
            <w:pPr>
              <w:pStyle w:val="TableParagraph"/>
              <w:rPr>
                <w:rFonts w:ascii="Times New Roman"/>
                <w:sz w:val="14"/>
              </w:rPr>
            </w:pPr>
          </w:p>
        </w:tc>
        <w:tc>
          <w:tcPr>
            <w:tcW w:w="1060" w:type="dxa"/>
          </w:tcPr>
          <w:p>
            <w:pPr>
              <w:pStyle w:val="TableParagraph"/>
              <w:spacing w:before="53"/>
              <w:ind w:left="189"/>
              <w:rPr>
                <w:rFonts w:ascii="Caladea" w:hAnsi="Caladea"/>
                <w:b/>
                <w:sz w:val="12"/>
              </w:rPr>
            </w:pPr>
            <w:r>
              <w:rPr>
                <w:rFonts w:ascii="Caladea" w:hAnsi="Caladea"/>
                <w:b/>
                <w:sz w:val="12"/>
              </w:rPr>
              <w:t>Distribuição</w:t>
            </w:r>
          </w:p>
        </w:tc>
        <w:tc>
          <w:tcPr>
            <w:tcW w:w="1060" w:type="dxa"/>
          </w:tcPr>
          <w:p>
            <w:pPr>
              <w:pStyle w:val="TableParagraph"/>
              <w:spacing w:before="53"/>
              <w:ind w:left="308"/>
              <w:rPr>
                <w:rFonts w:ascii="Caladea" w:hAnsi="Caladea"/>
                <w:b/>
                <w:sz w:val="12"/>
              </w:rPr>
            </w:pPr>
            <w:r>
              <w:rPr>
                <w:rFonts w:ascii="Caladea" w:hAnsi="Caladea"/>
                <w:b/>
                <w:sz w:val="12"/>
              </w:rPr>
              <w:t>Geração</w:t>
            </w:r>
          </w:p>
        </w:tc>
        <w:tc>
          <w:tcPr>
            <w:tcW w:w="1057" w:type="dxa"/>
          </w:tcPr>
          <w:p>
            <w:pPr>
              <w:pStyle w:val="TableParagraph"/>
              <w:spacing w:before="53"/>
              <w:ind w:right="61"/>
              <w:jc w:val="right"/>
              <w:rPr>
                <w:rFonts w:ascii="Caladea" w:hAnsi="Caladea"/>
                <w:b/>
                <w:sz w:val="12"/>
              </w:rPr>
            </w:pPr>
            <w:r>
              <w:rPr>
                <w:rFonts w:ascii="Caladea" w:hAnsi="Caladea"/>
                <w:b/>
                <w:sz w:val="12"/>
              </w:rPr>
              <w:t>Comercialização</w:t>
            </w:r>
          </w:p>
        </w:tc>
        <w:tc>
          <w:tcPr>
            <w:tcW w:w="1060" w:type="dxa"/>
          </w:tcPr>
          <w:p>
            <w:pPr>
              <w:pStyle w:val="TableParagraph"/>
              <w:spacing w:before="53"/>
              <w:ind w:left="346"/>
              <w:rPr>
                <w:rFonts w:ascii="Caladea"/>
                <w:b/>
                <w:sz w:val="12"/>
              </w:rPr>
            </w:pPr>
            <w:r>
              <w:rPr>
                <w:rFonts w:ascii="Caladea"/>
                <w:b/>
                <w:sz w:val="12"/>
              </w:rPr>
              <w:t>Outros</w:t>
            </w:r>
          </w:p>
        </w:tc>
        <w:tc>
          <w:tcPr>
            <w:tcW w:w="1059" w:type="dxa"/>
          </w:tcPr>
          <w:p>
            <w:pPr>
              <w:pStyle w:val="TableParagraph"/>
              <w:spacing w:before="53"/>
              <w:ind w:left="201"/>
              <w:rPr>
                <w:rFonts w:ascii="Caladea" w:hAnsi="Caladea"/>
                <w:b/>
                <w:sz w:val="12"/>
              </w:rPr>
            </w:pPr>
            <w:r>
              <w:rPr>
                <w:rFonts w:ascii="Caladea" w:hAnsi="Caladea"/>
                <w:b/>
                <w:sz w:val="12"/>
              </w:rPr>
              <w:t>Eliminações</w:t>
            </w:r>
          </w:p>
        </w:tc>
        <w:tc>
          <w:tcPr>
            <w:tcW w:w="1061" w:type="dxa"/>
          </w:tcPr>
          <w:p>
            <w:pPr>
              <w:pStyle w:val="TableParagraph"/>
              <w:spacing w:before="53"/>
              <w:ind w:left="196"/>
              <w:rPr>
                <w:rFonts w:ascii="Caladea"/>
                <w:b/>
                <w:sz w:val="12"/>
              </w:rPr>
            </w:pPr>
            <w:r>
              <w:rPr>
                <w:rFonts w:ascii="Caladea"/>
                <w:b/>
                <w:sz w:val="12"/>
              </w:rPr>
              <w:t>Consolidado</w:t>
            </w:r>
          </w:p>
        </w:tc>
      </w:tr>
      <w:tr>
        <w:trPr>
          <w:trHeight w:val="251" w:hRule="atLeast"/>
        </w:trPr>
        <w:tc>
          <w:tcPr>
            <w:tcW w:w="3783" w:type="dxa"/>
          </w:tcPr>
          <w:p>
            <w:pPr>
              <w:pStyle w:val="TableParagraph"/>
              <w:spacing w:before="56"/>
              <w:ind w:left="98"/>
              <w:rPr>
                <w:rFonts w:ascii="Caladea"/>
                <w:b/>
                <w:sz w:val="12"/>
              </w:rPr>
            </w:pPr>
            <w:r>
              <w:rPr>
                <w:rFonts w:ascii="Caladea"/>
                <w:b/>
                <w:sz w:val="12"/>
              </w:rPr>
              <w:t>ATIVOS DO SEGMENTO</w:t>
            </w:r>
          </w:p>
        </w:tc>
        <w:tc>
          <w:tcPr>
            <w:tcW w:w="1060" w:type="dxa"/>
          </w:tcPr>
          <w:p>
            <w:pPr>
              <w:pStyle w:val="TableParagraph"/>
              <w:spacing w:before="56"/>
              <w:ind w:right="58"/>
              <w:jc w:val="right"/>
              <w:rPr>
                <w:rFonts w:ascii="Caladea"/>
                <w:b/>
                <w:sz w:val="12"/>
              </w:rPr>
            </w:pPr>
            <w:r>
              <w:rPr>
                <w:rFonts w:ascii="Caladea"/>
                <w:b/>
                <w:sz w:val="12"/>
              </w:rPr>
              <w:t>1.157.398</w:t>
            </w:r>
          </w:p>
        </w:tc>
        <w:tc>
          <w:tcPr>
            <w:tcW w:w="1060" w:type="dxa"/>
          </w:tcPr>
          <w:p>
            <w:pPr>
              <w:pStyle w:val="TableParagraph"/>
              <w:spacing w:before="56"/>
              <w:ind w:right="56"/>
              <w:jc w:val="right"/>
              <w:rPr>
                <w:rFonts w:ascii="Caladea"/>
                <w:b/>
                <w:sz w:val="12"/>
              </w:rPr>
            </w:pPr>
            <w:r>
              <w:rPr>
                <w:rFonts w:ascii="Caladea"/>
                <w:b/>
                <w:sz w:val="12"/>
              </w:rPr>
              <w:t>9.138</w:t>
            </w:r>
          </w:p>
        </w:tc>
        <w:tc>
          <w:tcPr>
            <w:tcW w:w="1057" w:type="dxa"/>
          </w:tcPr>
          <w:p>
            <w:pPr>
              <w:pStyle w:val="TableParagraph"/>
              <w:spacing w:before="56"/>
              <w:ind w:right="55"/>
              <w:jc w:val="right"/>
              <w:rPr>
                <w:rFonts w:ascii="Caladea"/>
                <w:b/>
                <w:sz w:val="12"/>
              </w:rPr>
            </w:pPr>
            <w:r>
              <w:rPr>
                <w:rFonts w:ascii="Caladea"/>
                <w:b/>
                <w:sz w:val="12"/>
              </w:rPr>
              <w:t>96.319</w:t>
            </w:r>
          </w:p>
        </w:tc>
        <w:tc>
          <w:tcPr>
            <w:tcW w:w="1060" w:type="dxa"/>
          </w:tcPr>
          <w:p>
            <w:pPr>
              <w:pStyle w:val="TableParagraph"/>
              <w:spacing w:before="56"/>
              <w:ind w:right="54"/>
              <w:jc w:val="right"/>
              <w:rPr>
                <w:rFonts w:ascii="Caladea"/>
                <w:b/>
                <w:sz w:val="12"/>
              </w:rPr>
            </w:pPr>
            <w:r>
              <w:rPr>
                <w:rFonts w:ascii="Caladea"/>
                <w:b/>
                <w:sz w:val="12"/>
              </w:rPr>
              <w:t>16.232</w:t>
            </w:r>
          </w:p>
        </w:tc>
        <w:tc>
          <w:tcPr>
            <w:tcW w:w="1059" w:type="dxa"/>
          </w:tcPr>
          <w:p>
            <w:pPr>
              <w:pStyle w:val="TableParagraph"/>
              <w:rPr>
                <w:rFonts w:ascii="Times New Roman"/>
                <w:sz w:val="14"/>
              </w:rPr>
            </w:pPr>
          </w:p>
        </w:tc>
        <w:tc>
          <w:tcPr>
            <w:tcW w:w="1061" w:type="dxa"/>
          </w:tcPr>
          <w:p>
            <w:pPr>
              <w:pStyle w:val="TableParagraph"/>
              <w:spacing w:before="56"/>
              <w:ind w:right="50"/>
              <w:jc w:val="right"/>
              <w:rPr>
                <w:rFonts w:ascii="Caladea"/>
                <w:b/>
                <w:sz w:val="12"/>
              </w:rPr>
            </w:pPr>
            <w:r>
              <w:rPr>
                <w:rFonts w:ascii="Caladea"/>
                <w:b/>
                <w:sz w:val="12"/>
              </w:rPr>
              <w:t>1.279.087</w:t>
            </w:r>
          </w:p>
        </w:tc>
      </w:tr>
      <w:tr>
        <w:trPr>
          <w:trHeight w:val="251" w:hRule="atLeast"/>
        </w:trPr>
        <w:tc>
          <w:tcPr>
            <w:tcW w:w="3783" w:type="dxa"/>
          </w:tcPr>
          <w:p>
            <w:pPr>
              <w:pStyle w:val="TableParagraph"/>
              <w:spacing w:before="57"/>
              <w:ind w:left="151"/>
              <w:rPr>
                <w:sz w:val="12"/>
              </w:rPr>
            </w:pPr>
            <w:r>
              <w:rPr>
                <w:sz w:val="12"/>
              </w:rPr>
              <w:t>Adições (reduções) Aos Ativos do Segmento no Exercício</w:t>
            </w:r>
          </w:p>
        </w:tc>
        <w:tc>
          <w:tcPr>
            <w:tcW w:w="1060" w:type="dxa"/>
          </w:tcPr>
          <w:p>
            <w:pPr>
              <w:pStyle w:val="TableParagraph"/>
              <w:spacing w:before="57"/>
              <w:ind w:right="58"/>
              <w:jc w:val="right"/>
              <w:rPr>
                <w:sz w:val="12"/>
              </w:rPr>
            </w:pPr>
            <w:r>
              <w:rPr>
                <w:sz w:val="12"/>
              </w:rPr>
              <w:t>(12.156)</w:t>
            </w:r>
          </w:p>
        </w:tc>
        <w:tc>
          <w:tcPr>
            <w:tcW w:w="1060" w:type="dxa"/>
          </w:tcPr>
          <w:p>
            <w:pPr>
              <w:pStyle w:val="TableParagraph"/>
              <w:spacing w:before="57"/>
              <w:ind w:right="54"/>
              <w:jc w:val="right"/>
              <w:rPr>
                <w:sz w:val="12"/>
              </w:rPr>
            </w:pPr>
            <w:r>
              <w:rPr>
                <w:w w:val="95"/>
                <w:sz w:val="12"/>
              </w:rPr>
              <w:t>1.574</w:t>
            </w:r>
          </w:p>
        </w:tc>
        <w:tc>
          <w:tcPr>
            <w:tcW w:w="1057" w:type="dxa"/>
          </w:tcPr>
          <w:p>
            <w:pPr>
              <w:pStyle w:val="TableParagraph"/>
              <w:spacing w:before="57"/>
              <w:ind w:right="51"/>
              <w:jc w:val="right"/>
              <w:rPr>
                <w:sz w:val="12"/>
              </w:rPr>
            </w:pPr>
            <w:r>
              <w:rPr>
                <w:w w:val="95"/>
                <w:sz w:val="12"/>
              </w:rPr>
              <w:t>(6.221)</w:t>
            </w:r>
          </w:p>
        </w:tc>
        <w:tc>
          <w:tcPr>
            <w:tcW w:w="1060" w:type="dxa"/>
          </w:tcPr>
          <w:p>
            <w:pPr>
              <w:pStyle w:val="TableParagraph"/>
              <w:spacing w:before="57"/>
              <w:ind w:right="51"/>
              <w:jc w:val="right"/>
              <w:rPr>
                <w:sz w:val="12"/>
              </w:rPr>
            </w:pPr>
            <w:r>
              <w:rPr>
                <w:w w:val="95"/>
                <w:sz w:val="12"/>
              </w:rPr>
              <w:t>(1.047)</w:t>
            </w:r>
          </w:p>
        </w:tc>
        <w:tc>
          <w:tcPr>
            <w:tcW w:w="1059" w:type="dxa"/>
          </w:tcPr>
          <w:p>
            <w:pPr>
              <w:pStyle w:val="TableParagraph"/>
              <w:rPr>
                <w:rFonts w:ascii="Times New Roman"/>
                <w:sz w:val="14"/>
              </w:rPr>
            </w:pPr>
          </w:p>
        </w:tc>
        <w:tc>
          <w:tcPr>
            <w:tcW w:w="1061" w:type="dxa"/>
          </w:tcPr>
          <w:p>
            <w:pPr>
              <w:pStyle w:val="TableParagraph"/>
              <w:spacing w:before="57"/>
              <w:ind w:right="50"/>
              <w:jc w:val="right"/>
              <w:rPr>
                <w:sz w:val="12"/>
              </w:rPr>
            </w:pPr>
            <w:r>
              <w:rPr>
                <w:sz w:val="12"/>
              </w:rPr>
              <w:t>(17.850)</w:t>
            </w:r>
          </w:p>
        </w:tc>
      </w:tr>
      <w:tr>
        <w:trPr>
          <w:trHeight w:val="251" w:hRule="atLeast"/>
        </w:trPr>
        <w:tc>
          <w:tcPr>
            <w:tcW w:w="3783" w:type="dxa"/>
          </w:tcPr>
          <w:p>
            <w:pPr>
              <w:pStyle w:val="TableParagraph"/>
              <w:spacing w:before="56"/>
              <w:ind w:left="98"/>
              <w:rPr>
                <w:rFonts w:ascii="Caladea"/>
                <w:b/>
                <w:sz w:val="12"/>
              </w:rPr>
            </w:pPr>
            <w:r>
              <w:rPr>
                <w:rFonts w:ascii="Caladea"/>
                <w:b/>
                <w:sz w:val="12"/>
              </w:rPr>
              <w:t>INVESTIMENTOS EM SOCIEDADES</w:t>
            </w:r>
          </w:p>
        </w:tc>
        <w:tc>
          <w:tcPr>
            <w:tcW w:w="1060" w:type="dxa"/>
          </w:tcPr>
          <w:p>
            <w:pPr>
              <w:pStyle w:val="TableParagraph"/>
              <w:rPr>
                <w:rFonts w:ascii="Times New Roman"/>
                <w:sz w:val="14"/>
              </w:rPr>
            </w:pPr>
          </w:p>
        </w:tc>
        <w:tc>
          <w:tcPr>
            <w:tcW w:w="1060" w:type="dxa"/>
          </w:tcPr>
          <w:p>
            <w:pPr>
              <w:pStyle w:val="TableParagraph"/>
              <w:rPr>
                <w:rFonts w:ascii="Times New Roman"/>
                <w:sz w:val="14"/>
              </w:rPr>
            </w:pPr>
          </w:p>
        </w:tc>
        <w:tc>
          <w:tcPr>
            <w:tcW w:w="1057" w:type="dxa"/>
          </w:tcPr>
          <w:p>
            <w:pPr>
              <w:pStyle w:val="TableParagraph"/>
              <w:spacing w:before="56"/>
              <w:ind w:right="53"/>
              <w:jc w:val="right"/>
              <w:rPr>
                <w:rFonts w:ascii="Caladea"/>
                <w:b/>
                <w:sz w:val="12"/>
              </w:rPr>
            </w:pPr>
            <w:r>
              <w:rPr>
                <w:rFonts w:ascii="Caladea"/>
                <w:b/>
                <w:sz w:val="12"/>
              </w:rPr>
              <w:t>177.931</w:t>
            </w:r>
          </w:p>
        </w:tc>
        <w:tc>
          <w:tcPr>
            <w:tcW w:w="1060" w:type="dxa"/>
          </w:tcPr>
          <w:p>
            <w:pPr>
              <w:pStyle w:val="TableParagraph"/>
              <w:spacing w:before="56"/>
              <w:ind w:right="52"/>
              <w:jc w:val="right"/>
              <w:rPr>
                <w:rFonts w:ascii="Caladea"/>
                <w:b/>
                <w:sz w:val="12"/>
              </w:rPr>
            </w:pPr>
            <w:r>
              <w:rPr>
                <w:rFonts w:ascii="Caladea"/>
                <w:b/>
                <w:sz w:val="12"/>
              </w:rPr>
              <w:t>561.806</w:t>
            </w:r>
          </w:p>
        </w:tc>
        <w:tc>
          <w:tcPr>
            <w:tcW w:w="1059" w:type="dxa"/>
          </w:tcPr>
          <w:p>
            <w:pPr>
              <w:pStyle w:val="TableParagraph"/>
              <w:spacing w:before="56"/>
              <w:ind w:right="48"/>
              <w:jc w:val="right"/>
              <w:rPr>
                <w:rFonts w:ascii="Caladea"/>
                <w:b/>
                <w:sz w:val="12"/>
              </w:rPr>
            </w:pPr>
            <w:r>
              <w:rPr>
                <w:rFonts w:ascii="Caladea"/>
                <w:b/>
                <w:sz w:val="12"/>
              </w:rPr>
              <w:t>(421.362)</w:t>
            </w:r>
          </w:p>
        </w:tc>
        <w:tc>
          <w:tcPr>
            <w:tcW w:w="1061" w:type="dxa"/>
          </w:tcPr>
          <w:p>
            <w:pPr>
              <w:pStyle w:val="TableParagraph"/>
              <w:spacing w:before="56"/>
              <w:ind w:right="50"/>
              <w:jc w:val="right"/>
              <w:rPr>
                <w:rFonts w:ascii="Caladea"/>
                <w:b/>
                <w:sz w:val="12"/>
              </w:rPr>
            </w:pPr>
            <w:r>
              <w:rPr>
                <w:rFonts w:ascii="Caladea"/>
                <w:b/>
                <w:sz w:val="12"/>
              </w:rPr>
              <w:t>318.375</w:t>
            </w:r>
          </w:p>
        </w:tc>
      </w:tr>
      <w:tr>
        <w:trPr>
          <w:trHeight w:val="249" w:hRule="atLeast"/>
        </w:trPr>
        <w:tc>
          <w:tcPr>
            <w:tcW w:w="3783" w:type="dxa"/>
          </w:tcPr>
          <w:p>
            <w:pPr>
              <w:pStyle w:val="TableParagraph"/>
              <w:rPr>
                <w:rFonts w:ascii="Times New Roman"/>
                <w:sz w:val="14"/>
              </w:rPr>
            </w:pPr>
          </w:p>
        </w:tc>
        <w:tc>
          <w:tcPr>
            <w:tcW w:w="1060" w:type="dxa"/>
          </w:tcPr>
          <w:p>
            <w:pPr>
              <w:pStyle w:val="TableParagraph"/>
              <w:rPr>
                <w:rFonts w:ascii="Times New Roman"/>
                <w:sz w:val="14"/>
              </w:rPr>
            </w:pPr>
          </w:p>
        </w:tc>
        <w:tc>
          <w:tcPr>
            <w:tcW w:w="1060" w:type="dxa"/>
          </w:tcPr>
          <w:p>
            <w:pPr>
              <w:pStyle w:val="TableParagraph"/>
              <w:rPr>
                <w:rFonts w:ascii="Times New Roman"/>
                <w:sz w:val="14"/>
              </w:rPr>
            </w:pPr>
          </w:p>
        </w:tc>
        <w:tc>
          <w:tcPr>
            <w:tcW w:w="1057" w:type="dxa"/>
          </w:tcPr>
          <w:p>
            <w:pPr>
              <w:pStyle w:val="TableParagraph"/>
              <w:rPr>
                <w:rFonts w:ascii="Times New Roman"/>
                <w:sz w:val="14"/>
              </w:rPr>
            </w:pPr>
          </w:p>
        </w:tc>
        <w:tc>
          <w:tcPr>
            <w:tcW w:w="1060" w:type="dxa"/>
          </w:tcPr>
          <w:p>
            <w:pPr>
              <w:pStyle w:val="TableParagraph"/>
              <w:rPr>
                <w:rFonts w:ascii="Times New Roman"/>
                <w:sz w:val="14"/>
              </w:rPr>
            </w:pPr>
          </w:p>
        </w:tc>
        <w:tc>
          <w:tcPr>
            <w:tcW w:w="1059" w:type="dxa"/>
          </w:tcPr>
          <w:p>
            <w:pPr>
              <w:pStyle w:val="TableParagraph"/>
              <w:rPr>
                <w:rFonts w:ascii="Times New Roman"/>
                <w:sz w:val="14"/>
              </w:rPr>
            </w:pPr>
          </w:p>
        </w:tc>
        <w:tc>
          <w:tcPr>
            <w:tcW w:w="1061" w:type="dxa"/>
          </w:tcPr>
          <w:p>
            <w:pPr>
              <w:pStyle w:val="TableParagraph"/>
              <w:rPr>
                <w:rFonts w:ascii="Times New Roman"/>
                <w:sz w:val="14"/>
              </w:rPr>
            </w:pPr>
          </w:p>
        </w:tc>
      </w:tr>
      <w:tr>
        <w:trPr>
          <w:trHeight w:val="252" w:hRule="atLeast"/>
        </w:trPr>
        <w:tc>
          <w:tcPr>
            <w:tcW w:w="3783" w:type="dxa"/>
          </w:tcPr>
          <w:p>
            <w:pPr>
              <w:pStyle w:val="TableParagraph"/>
              <w:spacing w:before="56"/>
              <w:ind w:left="72"/>
              <w:rPr>
                <w:rFonts w:ascii="Caladea" w:hAnsi="Caladea"/>
                <w:b/>
                <w:sz w:val="12"/>
              </w:rPr>
            </w:pPr>
            <w:r>
              <w:rPr>
                <w:rFonts w:ascii="Caladea" w:hAnsi="Caladea"/>
                <w:b/>
                <w:sz w:val="12"/>
              </w:rPr>
              <w:t>RECEITA OPERACIONAL LÍQUIDA</w:t>
            </w:r>
          </w:p>
        </w:tc>
        <w:tc>
          <w:tcPr>
            <w:tcW w:w="1060" w:type="dxa"/>
          </w:tcPr>
          <w:p>
            <w:pPr>
              <w:pStyle w:val="TableParagraph"/>
              <w:spacing w:before="56"/>
              <w:ind w:right="58"/>
              <w:jc w:val="right"/>
              <w:rPr>
                <w:rFonts w:ascii="Caladea"/>
                <w:b/>
                <w:sz w:val="12"/>
              </w:rPr>
            </w:pPr>
            <w:r>
              <w:rPr>
                <w:rFonts w:ascii="Caladea"/>
                <w:b/>
                <w:sz w:val="12"/>
              </w:rPr>
              <w:t>2.615.629</w:t>
            </w:r>
          </w:p>
        </w:tc>
        <w:tc>
          <w:tcPr>
            <w:tcW w:w="1060" w:type="dxa"/>
          </w:tcPr>
          <w:p>
            <w:pPr>
              <w:pStyle w:val="TableParagraph"/>
              <w:spacing w:before="56"/>
              <w:ind w:right="56"/>
              <w:jc w:val="right"/>
              <w:rPr>
                <w:rFonts w:ascii="Caladea"/>
                <w:b/>
                <w:sz w:val="12"/>
              </w:rPr>
            </w:pPr>
            <w:r>
              <w:rPr>
                <w:rFonts w:ascii="Caladea"/>
                <w:b/>
                <w:sz w:val="12"/>
              </w:rPr>
              <w:t>23.478</w:t>
            </w:r>
          </w:p>
        </w:tc>
        <w:tc>
          <w:tcPr>
            <w:tcW w:w="1057" w:type="dxa"/>
          </w:tcPr>
          <w:p>
            <w:pPr>
              <w:pStyle w:val="TableParagraph"/>
              <w:spacing w:before="56"/>
              <w:ind w:right="55"/>
              <w:jc w:val="right"/>
              <w:rPr>
                <w:rFonts w:ascii="Caladea"/>
                <w:b/>
                <w:sz w:val="12"/>
              </w:rPr>
            </w:pPr>
            <w:r>
              <w:rPr>
                <w:rFonts w:ascii="Caladea"/>
                <w:b/>
                <w:sz w:val="12"/>
              </w:rPr>
              <w:t>215.630</w:t>
            </w:r>
          </w:p>
        </w:tc>
        <w:tc>
          <w:tcPr>
            <w:tcW w:w="1060" w:type="dxa"/>
          </w:tcPr>
          <w:p>
            <w:pPr>
              <w:pStyle w:val="TableParagraph"/>
              <w:spacing w:before="56"/>
              <w:ind w:right="54"/>
              <w:jc w:val="right"/>
              <w:rPr>
                <w:rFonts w:ascii="Caladea"/>
                <w:b/>
                <w:sz w:val="12"/>
              </w:rPr>
            </w:pPr>
            <w:r>
              <w:rPr>
                <w:rFonts w:ascii="Caladea"/>
                <w:b/>
                <w:sz w:val="12"/>
              </w:rPr>
              <w:t>65.629</w:t>
            </w:r>
          </w:p>
        </w:tc>
        <w:tc>
          <w:tcPr>
            <w:tcW w:w="1059" w:type="dxa"/>
          </w:tcPr>
          <w:p>
            <w:pPr>
              <w:pStyle w:val="TableParagraph"/>
              <w:spacing w:before="56"/>
              <w:ind w:right="48"/>
              <w:jc w:val="right"/>
              <w:rPr>
                <w:rFonts w:ascii="Caladea"/>
                <w:b/>
                <w:sz w:val="12"/>
              </w:rPr>
            </w:pPr>
            <w:r>
              <w:rPr>
                <w:rFonts w:ascii="Caladea"/>
                <w:b/>
                <w:sz w:val="12"/>
              </w:rPr>
              <w:t>(170.627)</w:t>
            </w:r>
          </w:p>
        </w:tc>
        <w:tc>
          <w:tcPr>
            <w:tcW w:w="1061" w:type="dxa"/>
          </w:tcPr>
          <w:p>
            <w:pPr>
              <w:pStyle w:val="TableParagraph"/>
              <w:spacing w:before="56"/>
              <w:ind w:right="50"/>
              <w:jc w:val="right"/>
              <w:rPr>
                <w:rFonts w:ascii="Caladea"/>
                <w:b/>
                <w:sz w:val="12"/>
              </w:rPr>
            </w:pPr>
            <w:r>
              <w:rPr>
                <w:rFonts w:ascii="Caladea"/>
                <w:b/>
                <w:sz w:val="12"/>
              </w:rPr>
              <w:t>2.749.738</w:t>
            </w:r>
          </w:p>
        </w:tc>
      </w:tr>
      <w:tr>
        <w:trPr>
          <w:trHeight w:val="251" w:hRule="atLeast"/>
        </w:trPr>
        <w:tc>
          <w:tcPr>
            <w:tcW w:w="3783" w:type="dxa"/>
          </w:tcPr>
          <w:p>
            <w:pPr>
              <w:pStyle w:val="TableParagraph"/>
              <w:spacing w:before="57"/>
              <w:ind w:left="125"/>
              <w:rPr>
                <w:sz w:val="12"/>
              </w:rPr>
            </w:pPr>
            <w:r>
              <w:rPr>
                <w:sz w:val="12"/>
              </w:rPr>
              <w:t>Custo com Energia Elétrica</w:t>
            </w:r>
          </w:p>
        </w:tc>
        <w:tc>
          <w:tcPr>
            <w:tcW w:w="1060" w:type="dxa"/>
          </w:tcPr>
          <w:p>
            <w:pPr>
              <w:pStyle w:val="TableParagraph"/>
              <w:spacing w:before="57"/>
              <w:ind w:right="57"/>
              <w:jc w:val="right"/>
              <w:rPr>
                <w:sz w:val="12"/>
              </w:rPr>
            </w:pPr>
            <w:r>
              <w:rPr>
                <w:w w:val="95"/>
                <w:sz w:val="12"/>
              </w:rPr>
              <w:t>(2.029.977)</w:t>
            </w:r>
          </w:p>
        </w:tc>
        <w:tc>
          <w:tcPr>
            <w:tcW w:w="1060" w:type="dxa"/>
          </w:tcPr>
          <w:p>
            <w:pPr>
              <w:pStyle w:val="TableParagraph"/>
              <w:spacing w:before="57"/>
              <w:ind w:right="53"/>
              <w:jc w:val="right"/>
              <w:rPr>
                <w:sz w:val="12"/>
              </w:rPr>
            </w:pPr>
            <w:r>
              <w:rPr>
                <w:w w:val="95"/>
                <w:sz w:val="12"/>
              </w:rPr>
              <w:t>(5.086)</w:t>
            </w:r>
          </w:p>
        </w:tc>
        <w:tc>
          <w:tcPr>
            <w:tcW w:w="1057" w:type="dxa"/>
          </w:tcPr>
          <w:p>
            <w:pPr>
              <w:pStyle w:val="TableParagraph"/>
              <w:spacing w:before="57"/>
              <w:ind w:right="53"/>
              <w:jc w:val="right"/>
              <w:rPr>
                <w:sz w:val="12"/>
              </w:rPr>
            </w:pPr>
            <w:r>
              <w:rPr>
                <w:sz w:val="12"/>
              </w:rPr>
              <w:t>(58.520)</w:t>
            </w:r>
          </w:p>
        </w:tc>
        <w:tc>
          <w:tcPr>
            <w:tcW w:w="1060" w:type="dxa"/>
          </w:tcPr>
          <w:p>
            <w:pPr>
              <w:pStyle w:val="TableParagraph"/>
              <w:rPr>
                <w:rFonts w:ascii="Times New Roman"/>
                <w:sz w:val="14"/>
              </w:rPr>
            </w:pPr>
          </w:p>
        </w:tc>
        <w:tc>
          <w:tcPr>
            <w:tcW w:w="1059" w:type="dxa"/>
          </w:tcPr>
          <w:p>
            <w:pPr>
              <w:pStyle w:val="TableParagraph"/>
              <w:spacing w:before="57"/>
              <w:ind w:right="52"/>
              <w:jc w:val="right"/>
              <w:rPr>
                <w:sz w:val="12"/>
              </w:rPr>
            </w:pPr>
            <w:r>
              <w:rPr>
                <w:w w:val="95"/>
                <w:sz w:val="12"/>
              </w:rPr>
              <w:t>170.627</w:t>
            </w:r>
          </w:p>
        </w:tc>
        <w:tc>
          <w:tcPr>
            <w:tcW w:w="1061" w:type="dxa"/>
          </w:tcPr>
          <w:p>
            <w:pPr>
              <w:pStyle w:val="TableParagraph"/>
              <w:spacing w:before="57"/>
              <w:ind w:right="49"/>
              <w:jc w:val="right"/>
              <w:rPr>
                <w:sz w:val="12"/>
              </w:rPr>
            </w:pPr>
            <w:r>
              <w:rPr>
                <w:w w:val="95"/>
                <w:sz w:val="12"/>
              </w:rPr>
              <w:t>(1.922.956)</w:t>
            </w:r>
          </w:p>
        </w:tc>
      </w:tr>
      <w:tr>
        <w:trPr>
          <w:trHeight w:val="251" w:hRule="atLeast"/>
        </w:trPr>
        <w:tc>
          <w:tcPr>
            <w:tcW w:w="3783" w:type="dxa"/>
          </w:tcPr>
          <w:p>
            <w:pPr>
              <w:pStyle w:val="TableParagraph"/>
              <w:spacing w:before="57"/>
              <w:ind w:left="125"/>
              <w:rPr>
                <w:sz w:val="12"/>
              </w:rPr>
            </w:pPr>
            <w:r>
              <w:rPr>
                <w:sz w:val="12"/>
              </w:rPr>
              <w:t>Custo de Operação</w:t>
            </w:r>
          </w:p>
        </w:tc>
        <w:tc>
          <w:tcPr>
            <w:tcW w:w="1060" w:type="dxa"/>
          </w:tcPr>
          <w:p>
            <w:pPr>
              <w:pStyle w:val="TableParagraph"/>
              <w:spacing w:before="57"/>
              <w:ind w:right="58"/>
              <w:jc w:val="right"/>
              <w:rPr>
                <w:sz w:val="12"/>
              </w:rPr>
            </w:pPr>
            <w:r>
              <w:rPr>
                <w:sz w:val="12"/>
              </w:rPr>
              <w:t>(232.342)</w:t>
            </w:r>
          </w:p>
        </w:tc>
        <w:tc>
          <w:tcPr>
            <w:tcW w:w="1060" w:type="dxa"/>
          </w:tcPr>
          <w:p>
            <w:pPr>
              <w:pStyle w:val="TableParagraph"/>
              <w:spacing w:before="57"/>
              <w:ind w:right="53"/>
              <w:jc w:val="right"/>
              <w:rPr>
                <w:sz w:val="12"/>
              </w:rPr>
            </w:pPr>
            <w:r>
              <w:rPr>
                <w:w w:val="105"/>
                <w:sz w:val="12"/>
              </w:rPr>
              <w:t>(765)</w:t>
            </w:r>
          </w:p>
        </w:tc>
        <w:tc>
          <w:tcPr>
            <w:tcW w:w="1057" w:type="dxa"/>
          </w:tcPr>
          <w:p>
            <w:pPr>
              <w:pStyle w:val="TableParagraph"/>
              <w:spacing w:before="57"/>
              <w:ind w:right="53"/>
              <w:jc w:val="right"/>
              <w:rPr>
                <w:sz w:val="12"/>
              </w:rPr>
            </w:pPr>
            <w:r>
              <w:rPr>
                <w:sz w:val="12"/>
              </w:rPr>
              <w:t>(45.087)</w:t>
            </w:r>
          </w:p>
        </w:tc>
        <w:tc>
          <w:tcPr>
            <w:tcW w:w="1060" w:type="dxa"/>
          </w:tcPr>
          <w:p>
            <w:pPr>
              <w:pStyle w:val="TableParagraph"/>
              <w:spacing w:before="57"/>
              <w:ind w:right="51"/>
              <w:jc w:val="right"/>
              <w:rPr>
                <w:sz w:val="12"/>
              </w:rPr>
            </w:pPr>
            <w:r>
              <w:rPr>
                <w:w w:val="95"/>
                <w:sz w:val="12"/>
              </w:rPr>
              <w:t>(5.036)</w:t>
            </w:r>
          </w:p>
        </w:tc>
        <w:tc>
          <w:tcPr>
            <w:tcW w:w="1059" w:type="dxa"/>
          </w:tcPr>
          <w:p>
            <w:pPr>
              <w:pStyle w:val="TableParagraph"/>
              <w:rPr>
                <w:rFonts w:ascii="Times New Roman"/>
                <w:sz w:val="14"/>
              </w:rPr>
            </w:pPr>
          </w:p>
        </w:tc>
        <w:tc>
          <w:tcPr>
            <w:tcW w:w="1061" w:type="dxa"/>
          </w:tcPr>
          <w:p>
            <w:pPr>
              <w:pStyle w:val="TableParagraph"/>
              <w:spacing w:before="57"/>
              <w:ind w:right="50"/>
              <w:jc w:val="right"/>
              <w:rPr>
                <w:sz w:val="12"/>
              </w:rPr>
            </w:pPr>
            <w:r>
              <w:rPr>
                <w:sz w:val="12"/>
              </w:rPr>
              <w:t>(283.230)</w:t>
            </w:r>
          </w:p>
        </w:tc>
      </w:tr>
      <w:tr>
        <w:trPr>
          <w:trHeight w:val="249" w:hRule="atLeast"/>
        </w:trPr>
        <w:tc>
          <w:tcPr>
            <w:tcW w:w="3783" w:type="dxa"/>
          </w:tcPr>
          <w:p>
            <w:pPr>
              <w:pStyle w:val="TableParagraph"/>
              <w:spacing w:before="55"/>
              <w:ind w:left="125"/>
              <w:rPr>
                <w:sz w:val="12"/>
              </w:rPr>
            </w:pPr>
            <w:r>
              <w:rPr>
                <w:sz w:val="12"/>
              </w:rPr>
              <w:t>Custo do Serviço Prestado a Terceiros</w:t>
            </w:r>
          </w:p>
        </w:tc>
        <w:tc>
          <w:tcPr>
            <w:tcW w:w="1060" w:type="dxa"/>
          </w:tcPr>
          <w:p>
            <w:pPr>
              <w:pStyle w:val="TableParagraph"/>
              <w:spacing w:before="55"/>
              <w:ind w:right="54"/>
              <w:jc w:val="right"/>
              <w:rPr>
                <w:sz w:val="12"/>
              </w:rPr>
            </w:pPr>
            <w:r>
              <w:rPr>
                <w:w w:val="105"/>
                <w:sz w:val="12"/>
              </w:rPr>
              <w:t>(394)</w:t>
            </w:r>
          </w:p>
        </w:tc>
        <w:tc>
          <w:tcPr>
            <w:tcW w:w="1060" w:type="dxa"/>
          </w:tcPr>
          <w:p>
            <w:pPr>
              <w:pStyle w:val="TableParagraph"/>
              <w:spacing w:before="55"/>
              <w:ind w:right="53"/>
              <w:jc w:val="right"/>
              <w:rPr>
                <w:sz w:val="12"/>
              </w:rPr>
            </w:pPr>
            <w:r>
              <w:rPr>
                <w:w w:val="95"/>
                <w:sz w:val="12"/>
              </w:rPr>
              <w:t>(3.095)</w:t>
            </w:r>
          </w:p>
        </w:tc>
        <w:tc>
          <w:tcPr>
            <w:tcW w:w="1057" w:type="dxa"/>
          </w:tcPr>
          <w:p>
            <w:pPr>
              <w:pStyle w:val="TableParagraph"/>
              <w:spacing w:before="55"/>
              <w:ind w:right="53"/>
              <w:jc w:val="right"/>
              <w:rPr>
                <w:sz w:val="12"/>
              </w:rPr>
            </w:pPr>
            <w:r>
              <w:rPr>
                <w:w w:val="105"/>
                <w:sz w:val="12"/>
              </w:rPr>
              <w:t>(29)</w:t>
            </w:r>
          </w:p>
        </w:tc>
        <w:tc>
          <w:tcPr>
            <w:tcW w:w="1060" w:type="dxa"/>
          </w:tcPr>
          <w:p>
            <w:pPr>
              <w:pStyle w:val="TableParagraph"/>
              <w:spacing w:before="55"/>
              <w:ind w:right="51"/>
              <w:jc w:val="right"/>
              <w:rPr>
                <w:sz w:val="12"/>
              </w:rPr>
            </w:pPr>
            <w:r>
              <w:rPr>
                <w:sz w:val="12"/>
              </w:rPr>
              <w:t>(48.231)</w:t>
            </w:r>
          </w:p>
        </w:tc>
        <w:tc>
          <w:tcPr>
            <w:tcW w:w="1059" w:type="dxa"/>
          </w:tcPr>
          <w:p>
            <w:pPr>
              <w:pStyle w:val="TableParagraph"/>
              <w:rPr>
                <w:rFonts w:ascii="Times New Roman"/>
                <w:sz w:val="14"/>
              </w:rPr>
            </w:pPr>
          </w:p>
        </w:tc>
        <w:tc>
          <w:tcPr>
            <w:tcW w:w="1061" w:type="dxa"/>
          </w:tcPr>
          <w:p>
            <w:pPr>
              <w:pStyle w:val="TableParagraph"/>
              <w:spacing w:before="55"/>
              <w:ind w:right="46"/>
              <w:jc w:val="right"/>
              <w:rPr>
                <w:sz w:val="12"/>
              </w:rPr>
            </w:pPr>
            <w:r>
              <w:rPr>
                <w:sz w:val="12"/>
              </w:rPr>
              <w:t>(51.749)</w:t>
            </w:r>
          </w:p>
        </w:tc>
      </w:tr>
      <w:tr>
        <w:trPr>
          <w:trHeight w:val="251" w:hRule="atLeast"/>
        </w:trPr>
        <w:tc>
          <w:tcPr>
            <w:tcW w:w="3783" w:type="dxa"/>
          </w:tcPr>
          <w:p>
            <w:pPr>
              <w:pStyle w:val="TableParagraph"/>
              <w:spacing w:before="56"/>
              <w:ind w:left="72"/>
              <w:rPr>
                <w:rFonts w:ascii="Caladea"/>
                <w:b/>
                <w:sz w:val="12"/>
              </w:rPr>
            </w:pPr>
            <w:r>
              <w:rPr>
                <w:rFonts w:ascii="Caladea"/>
                <w:b/>
                <w:sz w:val="12"/>
              </w:rPr>
              <w:t>Lucro Bruto</w:t>
            </w:r>
          </w:p>
        </w:tc>
        <w:tc>
          <w:tcPr>
            <w:tcW w:w="1060" w:type="dxa"/>
          </w:tcPr>
          <w:p>
            <w:pPr>
              <w:pStyle w:val="TableParagraph"/>
              <w:spacing w:before="56"/>
              <w:ind w:right="58"/>
              <w:jc w:val="right"/>
              <w:rPr>
                <w:rFonts w:ascii="Caladea"/>
                <w:b/>
                <w:sz w:val="12"/>
              </w:rPr>
            </w:pPr>
            <w:r>
              <w:rPr>
                <w:rFonts w:ascii="Caladea"/>
                <w:b/>
                <w:sz w:val="12"/>
              </w:rPr>
              <w:t>352.916</w:t>
            </w:r>
          </w:p>
        </w:tc>
        <w:tc>
          <w:tcPr>
            <w:tcW w:w="1060" w:type="dxa"/>
          </w:tcPr>
          <w:p>
            <w:pPr>
              <w:pStyle w:val="TableParagraph"/>
              <w:spacing w:before="56"/>
              <w:ind w:right="56"/>
              <w:jc w:val="right"/>
              <w:rPr>
                <w:rFonts w:ascii="Caladea"/>
                <w:b/>
                <w:sz w:val="12"/>
              </w:rPr>
            </w:pPr>
            <w:r>
              <w:rPr>
                <w:rFonts w:ascii="Caladea"/>
                <w:b/>
                <w:sz w:val="12"/>
              </w:rPr>
              <w:t>14.531</w:t>
            </w:r>
          </w:p>
        </w:tc>
        <w:tc>
          <w:tcPr>
            <w:tcW w:w="1057" w:type="dxa"/>
          </w:tcPr>
          <w:p>
            <w:pPr>
              <w:pStyle w:val="TableParagraph"/>
              <w:spacing w:before="56"/>
              <w:ind w:right="55"/>
              <w:jc w:val="right"/>
              <w:rPr>
                <w:rFonts w:ascii="Caladea"/>
                <w:b/>
                <w:sz w:val="12"/>
              </w:rPr>
            </w:pPr>
            <w:r>
              <w:rPr>
                <w:rFonts w:ascii="Caladea"/>
                <w:b/>
                <w:sz w:val="12"/>
              </w:rPr>
              <w:t>111.994</w:t>
            </w:r>
          </w:p>
        </w:tc>
        <w:tc>
          <w:tcPr>
            <w:tcW w:w="1060" w:type="dxa"/>
          </w:tcPr>
          <w:p>
            <w:pPr>
              <w:pStyle w:val="TableParagraph"/>
              <w:spacing w:before="56"/>
              <w:ind w:right="54"/>
              <w:jc w:val="right"/>
              <w:rPr>
                <w:rFonts w:ascii="Caladea"/>
                <w:b/>
                <w:sz w:val="12"/>
              </w:rPr>
            </w:pPr>
            <w:r>
              <w:rPr>
                <w:rFonts w:ascii="Caladea"/>
                <w:b/>
                <w:sz w:val="12"/>
              </w:rPr>
              <w:t>12.362</w:t>
            </w:r>
          </w:p>
        </w:tc>
        <w:tc>
          <w:tcPr>
            <w:tcW w:w="1059" w:type="dxa"/>
          </w:tcPr>
          <w:p>
            <w:pPr>
              <w:pStyle w:val="TableParagraph"/>
              <w:rPr>
                <w:rFonts w:ascii="Times New Roman"/>
                <w:sz w:val="14"/>
              </w:rPr>
            </w:pPr>
          </w:p>
        </w:tc>
        <w:tc>
          <w:tcPr>
            <w:tcW w:w="1061" w:type="dxa"/>
          </w:tcPr>
          <w:p>
            <w:pPr>
              <w:pStyle w:val="TableParagraph"/>
              <w:spacing w:before="56"/>
              <w:ind w:right="50"/>
              <w:jc w:val="right"/>
              <w:rPr>
                <w:rFonts w:ascii="Caladea"/>
                <w:b/>
                <w:sz w:val="12"/>
              </w:rPr>
            </w:pPr>
            <w:r>
              <w:rPr>
                <w:rFonts w:ascii="Caladea"/>
                <w:b/>
                <w:sz w:val="12"/>
              </w:rPr>
              <w:t>491.803</w:t>
            </w:r>
          </w:p>
        </w:tc>
      </w:tr>
      <w:tr>
        <w:trPr>
          <w:trHeight w:val="251" w:hRule="atLeast"/>
        </w:trPr>
        <w:tc>
          <w:tcPr>
            <w:tcW w:w="3783" w:type="dxa"/>
          </w:tcPr>
          <w:p>
            <w:pPr>
              <w:pStyle w:val="TableParagraph"/>
              <w:spacing w:before="56"/>
              <w:ind w:left="72"/>
              <w:rPr>
                <w:rFonts w:ascii="Caladea"/>
                <w:b/>
                <w:sz w:val="12"/>
              </w:rPr>
            </w:pPr>
            <w:r>
              <w:rPr>
                <w:rFonts w:ascii="Caladea"/>
                <w:b/>
                <w:sz w:val="12"/>
              </w:rPr>
              <w:t>Receitas/ (Despesas) Operacionais</w:t>
            </w:r>
          </w:p>
        </w:tc>
        <w:tc>
          <w:tcPr>
            <w:tcW w:w="1060" w:type="dxa"/>
          </w:tcPr>
          <w:p>
            <w:pPr>
              <w:pStyle w:val="TableParagraph"/>
              <w:spacing w:before="56"/>
              <w:ind w:right="53"/>
              <w:jc w:val="right"/>
              <w:rPr>
                <w:rFonts w:ascii="Caladea"/>
                <w:b/>
                <w:sz w:val="12"/>
              </w:rPr>
            </w:pPr>
            <w:r>
              <w:rPr>
                <w:rFonts w:ascii="Caladea"/>
                <w:b/>
                <w:sz w:val="12"/>
              </w:rPr>
              <w:t>(235.500)</w:t>
            </w:r>
          </w:p>
        </w:tc>
        <w:tc>
          <w:tcPr>
            <w:tcW w:w="1060" w:type="dxa"/>
          </w:tcPr>
          <w:p>
            <w:pPr>
              <w:pStyle w:val="TableParagraph"/>
              <w:spacing w:before="56"/>
              <w:ind w:right="54"/>
              <w:jc w:val="right"/>
              <w:rPr>
                <w:rFonts w:ascii="Caladea"/>
                <w:b/>
                <w:sz w:val="12"/>
              </w:rPr>
            </w:pPr>
            <w:r>
              <w:rPr>
                <w:rFonts w:ascii="Caladea"/>
                <w:b/>
                <w:sz w:val="12"/>
              </w:rPr>
              <w:t>(5.078)</w:t>
            </w:r>
          </w:p>
        </w:tc>
        <w:tc>
          <w:tcPr>
            <w:tcW w:w="1057" w:type="dxa"/>
          </w:tcPr>
          <w:p>
            <w:pPr>
              <w:pStyle w:val="TableParagraph"/>
              <w:spacing w:before="56"/>
              <w:ind w:right="55"/>
              <w:jc w:val="right"/>
              <w:rPr>
                <w:rFonts w:ascii="Caladea"/>
                <w:b/>
                <w:sz w:val="12"/>
              </w:rPr>
            </w:pPr>
            <w:r>
              <w:rPr>
                <w:rFonts w:ascii="Caladea"/>
                <w:b/>
                <w:sz w:val="12"/>
              </w:rPr>
              <w:t>7.722</w:t>
            </w:r>
          </w:p>
        </w:tc>
        <w:tc>
          <w:tcPr>
            <w:tcW w:w="1060" w:type="dxa"/>
          </w:tcPr>
          <w:p>
            <w:pPr>
              <w:pStyle w:val="TableParagraph"/>
              <w:spacing w:before="56"/>
              <w:ind w:right="54"/>
              <w:jc w:val="right"/>
              <w:rPr>
                <w:rFonts w:ascii="Caladea"/>
                <w:b/>
                <w:sz w:val="12"/>
              </w:rPr>
            </w:pPr>
            <w:r>
              <w:rPr>
                <w:rFonts w:ascii="Caladea"/>
                <w:b/>
                <w:sz w:val="12"/>
              </w:rPr>
              <w:t>97.845</w:t>
            </w:r>
          </w:p>
        </w:tc>
        <w:tc>
          <w:tcPr>
            <w:tcW w:w="1059" w:type="dxa"/>
          </w:tcPr>
          <w:p>
            <w:pPr>
              <w:pStyle w:val="TableParagraph"/>
              <w:spacing w:before="56"/>
              <w:ind w:right="48"/>
              <w:jc w:val="right"/>
              <w:rPr>
                <w:rFonts w:ascii="Caladea"/>
                <w:b/>
                <w:sz w:val="12"/>
              </w:rPr>
            </w:pPr>
            <w:r>
              <w:rPr>
                <w:rFonts w:ascii="Caladea"/>
                <w:b/>
                <w:sz w:val="12"/>
              </w:rPr>
              <w:t>(103.517)</w:t>
            </w:r>
          </w:p>
        </w:tc>
        <w:tc>
          <w:tcPr>
            <w:tcW w:w="1061" w:type="dxa"/>
          </w:tcPr>
          <w:p>
            <w:pPr>
              <w:pStyle w:val="TableParagraph"/>
              <w:spacing w:before="56"/>
              <w:ind w:right="45"/>
              <w:jc w:val="right"/>
              <w:rPr>
                <w:rFonts w:ascii="Caladea"/>
                <w:b/>
                <w:sz w:val="12"/>
              </w:rPr>
            </w:pPr>
            <w:r>
              <w:rPr>
                <w:rFonts w:ascii="Caladea"/>
                <w:b/>
                <w:sz w:val="12"/>
              </w:rPr>
              <w:t>(238.528)</w:t>
            </w:r>
          </w:p>
        </w:tc>
      </w:tr>
      <w:tr>
        <w:trPr>
          <w:trHeight w:val="251" w:hRule="atLeast"/>
        </w:trPr>
        <w:tc>
          <w:tcPr>
            <w:tcW w:w="3783" w:type="dxa"/>
          </w:tcPr>
          <w:p>
            <w:pPr>
              <w:pStyle w:val="TableParagraph"/>
              <w:spacing w:before="57"/>
              <w:ind w:left="72"/>
              <w:rPr>
                <w:sz w:val="12"/>
              </w:rPr>
            </w:pPr>
            <w:r>
              <w:rPr>
                <w:sz w:val="12"/>
              </w:rPr>
              <w:t>Despesas com Vendas</w:t>
            </w:r>
          </w:p>
        </w:tc>
        <w:tc>
          <w:tcPr>
            <w:tcW w:w="1060" w:type="dxa"/>
          </w:tcPr>
          <w:p>
            <w:pPr>
              <w:pStyle w:val="TableParagraph"/>
              <w:spacing w:before="57"/>
              <w:ind w:right="58"/>
              <w:jc w:val="right"/>
              <w:rPr>
                <w:sz w:val="12"/>
              </w:rPr>
            </w:pPr>
            <w:r>
              <w:rPr>
                <w:sz w:val="12"/>
              </w:rPr>
              <w:t>(116.216)</w:t>
            </w:r>
          </w:p>
        </w:tc>
        <w:tc>
          <w:tcPr>
            <w:tcW w:w="1060" w:type="dxa"/>
          </w:tcPr>
          <w:p>
            <w:pPr>
              <w:pStyle w:val="TableParagraph"/>
              <w:rPr>
                <w:rFonts w:ascii="Times New Roman"/>
                <w:sz w:val="14"/>
              </w:rPr>
            </w:pPr>
          </w:p>
        </w:tc>
        <w:tc>
          <w:tcPr>
            <w:tcW w:w="1057" w:type="dxa"/>
          </w:tcPr>
          <w:p>
            <w:pPr>
              <w:pStyle w:val="TableParagraph"/>
              <w:rPr>
                <w:rFonts w:ascii="Times New Roman"/>
                <w:sz w:val="14"/>
              </w:rPr>
            </w:pPr>
          </w:p>
        </w:tc>
        <w:tc>
          <w:tcPr>
            <w:tcW w:w="1060" w:type="dxa"/>
          </w:tcPr>
          <w:p>
            <w:pPr>
              <w:pStyle w:val="TableParagraph"/>
              <w:spacing w:before="57"/>
              <w:ind w:right="51"/>
              <w:jc w:val="right"/>
              <w:rPr>
                <w:sz w:val="12"/>
              </w:rPr>
            </w:pPr>
            <w:r>
              <w:rPr>
                <w:w w:val="95"/>
                <w:sz w:val="12"/>
              </w:rPr>
              <w:t>(2.805)</w:t>
            </w:r>
          </w:p>
        </w:tc>
        <w:tc>
          <w:tcPr>
            <w:tcW w:w="1059" w:type="dxa"/>
          </w:tcPr>
          <w:p>
            <w:pPr>
              <w:pStyle w:val="TableParagraph"/>
              <w:rPr>
                <w:rFonts w:ascii="Times New Roman"/>
                <w:sz w:val="14"/>
              </w:rPr>
            </w:pPr>
          </w:p>
        </w:tc>
        <w:tc>
          <w:tcPr>
            <w:tcW w:w="1061" w:type="dxa"/>
          </w:tcPr>
          <w:p>
            <w:pPr>
              <w:pStyle w:val="TableParagraph"/>
              <w:spacing w:before="57"/>
              <w:ind w:right="50"/>
              <w:jc w:val="right"/>
              <w:rPr>
                <w:sz w:val="12"/>
              </w:rPr>
            </w:pPr>
            <w:r>
              <w:rPr>
                <w:sz w:val="12"/>
              </w:rPr>
              <w:t>(119.021)</w:t>
            </w:r>
          </w:p>
        </w:tc>
      </w:tr>
      <w:tr>
        <w:trPr>
          <w:trHeight w:val="249" w:hRule="atLeast"/>
        </w:trPr>
        <w:tc>
          <w:tcPr>
            <w:tcW w:w="3783" w:type="dxa"/>
          </w:tcPr>
          <w:p>
            <w:pPr>
              <w:pStyle w:val="TableParagraph"/>
              <w:spacing w:before="55"/>
              <w:ind w:left="72"/>
              <w:rPr>
                <w:sz w:val="12"/>
              </w:rPr>
            </w:pPr>
            <w:r>
              <w:rPr>
                <w:sz w:val="12"/>
              </w:rPr>
              <w:t>Despesas Gerais e Administrativas</w:t>
            </w:r>
          </w:p>
        </w:tc>
        <w:tc>
          <w:tcPr>
            <w:tcW w:w="1060" w:type="dxa"/>
          </w:tcPr>
          <w:p>
            <w:pPr>
              <w:pStyle w:val="TableParagraph"/>
              <w:spacing w:before="55"/>
              <w:ind w:right="58"/>
              <w:jc w:val="right"/>
              <w:rPr>
                <w:sz w:val="12"/>
              </w:rPr>
            </w:pPr>
            <w:r>
              <w:rPr>
                <w:sz w:val="12"/>
              </w:rPr>
              <w:t>(130.899)</w:t>
            </w:r>
          </w:p>
        </w:tc>
        <w:tc>
          <w:tcPr>
            <w:tcW w:w="1060" w:type="dxa"/>
          </w:tcPr>
          <w:p>
            <w:pPr>
              <w:pStyle w:val="TableParagraph"/>
              <w:spacing w:before="55"/>
              <w:ind w:right="53"/>
              <w:jc w:val="right"/>
              <w:rPr>
                <w:sz w:val="12"/>
              </w:rPr>
            </w:pPr>
            <w:r>
              <w:rPr>
                <w:w w:val="95"/>
                <w:sz w:val="12"/>
              </w:rPr>
              <w:t>(4.658)</w:t>
            </w:r>
          </w:p>
        </w:tc>
        <w:tc>
          <w:tcPr>
            <w:tcW w:w="1057" w:type="dxa"/>
          </w:tcPr>
          <w:p>
            <w:pPr>
              <w:pStyle w:val="TableParagraph"/>
              <w:spacing w:before="55"/>
              <w:ind w:right="51"/>
              <w:jc w:val="right"/>
              <w:rPr>
                <w:sz w:val="12"/>
              </w:rPr>
            </w:pPr>
            <w:r>
              <w:rPr>
                <w:w w:val="95"/>
                <w:sz w:val="12"/>
              </w:rPr>
              <w:t>(6.414)</w:t>
            </w:r>
          </w:p>
        </w:tc>
        <w:tc>
          <w:tcPr>
            <w:tcW w:w="1060" w:type="dxa"/>
          </w:tcPr>
          <w:p>
            <w:pPr>
              <w:pStyle w:val="TableParagraph"/>
              <w:spacing w:before="55"/>
              <w:ind w:right="51"/>
              <w:jc w:val="right"/>
              <w:rPr>
                <w:sz w:val="12"/>
              </w:rPr>
            </w:pPr>
            <w:r>
              <w:rPr>
                <w:sz w:val="12"/>
              </w:rPr>
              <w:t>(18.672)</w:t>
            </w:r>
          </w:p>
        </w:tc>
        <w:tc>
          <w:tcPr>
            <w:tcW w:w="1059" w:type="dxa"/>
          </w:tcPr>
          <w:p>
            <w:pPr>
              <w:pStyle w:val="TableParagraph"/>
              <w:rPr>
                <w:rFonts w:ascii="Times New Roman"/>
                <w:sz w:val="14"/>
              </w:rPr>
            </w:pPr>
          </w:p>
        </w:tc>
        <w:tc>
          <w:tcPr>
            <w:tcW w:w="1061" w:type="dxa"/>
          </w:tcPr>
          <w:p>
            <w:pPr>
              <w:pStyle w:val="TableParagraph"/>
              <w:spacing w:before="55"/>
              <w:ind w:right="50"/>
              <w:jc w:val="right"/>
              <w:rPr>
                <w:sz w:val="12"/>
              </w:rPr>
            </w:pPr>
            <w:r>
              <w:rPr>
                <w:sz w:val="12"/>
              </w:rPr>
              <w:t>(160.643)</w:t>
            </w:r>
          </w:p>
        </w:tc>
      </w:tr>
      <w:tr>
        <w:trPr>
          <w:trHeight w:val="251" w:hRule="atLeast"/>
        </w:trPr>
        <w:tc>
          <w:tcPr>
            <w:tcW w:w="3783" w:type="dxa"/>
          </w:tcPr>
          <w:p>
            <w:pPr>
              <w:pStyle w:val="TableParagraph"/>
              <w:spacing w:before="57"/>
              <w:ind w:left="72"/>
              <w:rPr>
                <w:sz w:val="12"/>
              </w:rPr>
            </w:pPr>
            <w:r>
              <w:rPr>
                <w:sz w:val="12"/>
              </w:rPr>
              <w:t>Resultado de Equivalência Patrimonial</w:t>
            </w:r>
          </w:p>
        </w:tc>
        <w:tc>
          <w:tcPr>
            <w:tcW w:w="1060" w:type="dxa"/>
          </w:tcPr>
          <w:p>
            <w:pPr>
              <w:pStyle w:val="TableParagraph"/>
              <w:rPr>
                <w:rFonts w:ascii="Times New Roman"/>
                <w:sz w:val="14"/>
              </w:rPr>
            </w:pPr>
          </w:p>
        </w:tc>
        <w:tc>
          <w:tcPr>
            <w:tcW w:w="1060" w:type="dxa"/>
          </w:tcPr>
          <w:p>
            <w:pPr>
              <w:pStyle w:val="TableParagraph"/>
              <w:rPr>
                <w:rFonts w:ascii="Times New Roman"/>
                <w:sz w:val="14"/>
              </w:rPr>
            </w:pPr>
          </w:p>
        </w:tc>
        <w:tc>
          <w:tcPr>
            <w:tcW w:w="1057" w:type="dxa"/>
          </w:tcPr>
          <w:p>
            <w:pPr>
              <w:pStyle w:val="TableParagraph"/>
              <w:spacing w:before="57"/>
              <w:ind w:right="55"/>
              <w:jc w:val="right"/>
              <w:rPr>
                <w:sz w:val="12"/>
              </w:rPr>
            </w:pPr>
            <w:r>
              <w:rPr>
                <w:w w:val="95"/>
                <w:sz w:val="12"/>
              </w:rPr>
              <w:t>14.804</w:t>
            </w:r>
          </w:p>
        </w:tc>
        <w:tc>
          <w:tcPr>
            <w:tcW w:w="1060" w:type="dxa"/>
          </w:tcPr>
          <w:p>
            <w:pPr>
              <w:pStyle w:val="TableParagraph"/>
              <w:spacing w:before="57"/>
              <w:ind w:right="54"/>
              <w:jc w:val="right"/>
              <w:rPr>
                <w:sz w:val="12"/>
              </w:rPr>
            </w:pPr>
            <w:r>
              <w:rPr>
                <w:w w:val="95"/>
                <w:sz w:val="12"/>
              </w:rPr>
              <w:t>119.256</w:t>
            </w:r>
          </w:p>
        </w:tc>
        <w:tc>
          <w:tcPr>
            <w:tcW w:w="1059" w:type="dxa"/>
          </w:tcPr>
          <w:p>
            <w:pPr>
              <w:pStyle w:val="TableParagraph"/>
              <w:spacing w:before="57"/>
              <w:ind w:right="51"/>
              <w:jc w:val="right"/>
              <w:rPr>
                <w:sz w:val="12"/>
              </w:rPr>
            </w:pPr>
            <w:r>
              <w:rPr>
                <w:sz w:val="12"/>
              </w:rPr>
              <w:t>(105.097)</w:t>
            </w:r>
          </w:p>
        </w:tc>
        <w:tc>
          <w:tcPr>
            <w:tcW w:w="1061" w:type="dxa"/>
          </w:tcPr>
          <w:p>
            <w:pPr>
              <w:pStyle w:val="TableParagraph"/>
              <w:spacing w:before="57"/>
              <w:ind w:right="49"/>
              <w:jc w:val="right"/>
              <w:rPr>
                <w:sz w:val="12"/>
              </w:rPr>
            </w:pPr>
            <w:r>
              <w:rPr>
                <w:w w:val="95"/>
                <w:sz w:val="12"/>
              </w:rPr>
              <w:t>28.964</w:t>
            </w:r>
          </w:p>
        </w:tc>
      </w:tr>
      <w:tr>
        <w:trPr>
          <w:trHeight w:val="251" w:hRule="atLeast"/>
        </w:trPr>
        <w:tc>
          <w:tcPr>
            <w:tcW w:w="3783" w:type="dxa"/>
          </w:tcPr>
          <w:p>
            <w:pPr>
              <w:pStyle w:val="TableParagraph"/>
              <w:spacing w:before="57"/>
              <w:ind w:left="72"/>
              <w:rPr>
                <w:sz w:val="12"/>
              </w:rPr>
            </w:pPr>
            <w:r>
              <w:rPr>
                <w:sz w:val="12"/>
              </w:rPr>
              <w:t>Outras Receitas (Despesas) Operacionais</w:t>
            </w:r>
          </w:p>
        </w:tc>
        <w:tc>
          <w:tcPr>
            <w:tcW w:w="1060" w:type="dxa"/>
          </w:tcPr>
          <w:p>
            <w:pPr>
              <w:pStyle w:val="TableParagraph"/>
              <w:spacing w:before="57"/>
              <w:ind w:right="57"/>
              <w:jc w:val="right"/>
              <w:rPr>
                <w:sz w:val="12"/>
              </w:rPr>
            </w:pPr>
            <w:r>
              <w:rPr>
                <w:w w:val="95"/>
                <w:sz w:val="12"/>
              </w:rPr>
              <w:t>11.615</w:t>
            </w:r>
          </w:p>
        </w:tc>
        <w:tc>
          <w:tcPr>
            <w:tcW w:w="1060" w:type="dxa"/>
          </w:tcPr>
          <w:p>
            <w:pPr>
              <w:pStyle w:val="TableParagraph"/>
              <w:spacing w:before="57"/>
              <w:ind w:right="53"/>
              <w:jc w:val="right"/>
              <w:rPr>
                <w:sz w:val="12"/>
              </w:rPr>
            </w:pPr>
            <w:r>
              <w:rPr>
                <w:w w:val="105"/>
                <w:sz w:val="12"/>
              </w:rPr>
              <w:t>(420)</w:t>
            </w:r>
          </w:p>
        </w:tc>
        <w:tc>
          <w:tcPr>
            <w:tcW w:w="1057" w:type="dxa"/>
          </w:tcPr>
          <w:p>
            <w:pPr>
              <w:pStyle w:val="TableParagraph"/>
              <w:spacing w:before="57"/>
              <w:ind w:right="51"/>
              <w:jc w:val="right"/>
              <w:rPr>
                <w:sz w:val="12"/>
              </w:rPr>
            </w:pPr>
            <w:r>
              <w:rPr>
                <w:w w:val="105"/>
                <w:sz w:val="12"/>
              </w:rPr>
              <w:t>(669)</w:t>
            </w:r>
          </w:p>
        </w:tc>
        <w:tc>
          <w:tcPr>
            <w:tcW w:w="1060" w:type="dxa"/>
          </w:tcPr>
          <w:p>
            <w:pPr>
              <w:pStyle w:val="TableParagraph"/>
              <w:spacing w:before="57"/>
              <w:ind w:right="52"/>
              <w:jc w:val="right"/>
              <w:rPr>
                <w:sz w:val="12"/>
              </w:rPr>
            </w:pPr>
            <w:r>
              <w:rPr>
                <w:w w:val="105"/>
                <w:sz w:val="12"/>
              </w:rPr>
              <w:t>67</w:t>
            </w:r>
          </w:p>
        </w:tc>
        <w:tc>
          <w:tcPr>
            <w:tcW w:w="1059" w:type="dxa"/>
          </w:tcPr>
          <w:p>
            <w:pPr>
              <w:pStyle w:val="TableParagraph"/>
              <w:spacing w:before="57"/>
              <w:ind w:right="51"/>
              <w:jc w:val="right"/>
              <w:rPr>
                <w:sz w:val="12"/>
              </w:rPr>
            </w:pPr>
            <w:r>
              <w:rPr>
                <w:w w:val="95"/>
                <w:sz w:val="12"/>
              </w:rPr>
              <w:t>1.580</w:t>
            </w:r>
          </w:p>
        </w:tc>
        <w:tc>
          <w:tcPr>
            <w:tcW w:w="1061" w:type="dxa"/>
          </w:tcPr>
          <w:p>
            <w:pPr>
              <w:pStyle w:val="TableParagraph"/>
              <w:spacing w:before="57"/>
              <w:ind w:right="49"/>
              <w:jc w:val="right"/>
              <w:rPr>
                <w:sz w:val="12"/>
              </w:rPr>
            </w:pPr>
            <w:r>
              <w:rPr>
                <w:w w:val="95"/>
                <w:sz w:val="12"/>
              </w:rPr>
              <w:t>12.173</w:t>
            </w:r>
          </w:p>
        </w:tc>
      </w:tr>
      <w:tr>
        <w:trPr>
          <w:trHeight w:val="251" w:hRule="atLeast"/>
        </w:trPr>
        <w:tc>
          <w:tcPr>
            <w:tcW w:w="3783" w:type="dxa"/>
          </w:tcPr>
          <w:p>
            <w:pPr>
              <w:pStyle w:val="TableParagraph"/>
              <w:spacing w:before="56"/>
              <w:ind w:left="72"/>
              <w:rPr>
                <w:rFonts w:ascii="Caladea" w:hAnsi="Caladea"/>
                <w:b/>
                <w:sz w:val="12"/>
              </w:rPr>
            </w:pPr>
            <w:r>
              <w:rPr>
                <w:rFonts w:ascii="Caladea" w:hAnsi="Caladea"/>
                <w:b/>
                <w:sz w:val="12"/>
              </w:rPr>
              <w:t>Lucro (Prejuízo) Operacional antes do Resultado Financeiro</w:t>
            </w:r>
          </w:p>
        </w:tc>
        <w:tc>
          <w:tcPr>
            <w:tcW w:w="1060" w:type="dxa"/>
          </w:tcPr>
          <w:p>
            <w:pPr>
              <w:pStyle w:val="TableParagraph"/>
              <w:spacing w:before="56"/>
              <w:ind w:right="58"/>
              <w:jc w:val="right"/>
              <w:rPr>
                <w:rFonts w:ascii="Caladea"/>
                <w:b/>
                <w:sz w:val="12"/>
              </w:rPr>
            </w:pPr>
            <w:r>
              <w:rPr>
                <w:rFonts w:ascii="Caladea"/>
                <w:b/>
                <w:sz w:val="12"/>
              </w:rPr>
              <w:t>117.416</w:t>
            </w:r>
          </w:p>
        </w:tc>
        <w:tc>
          <w:tcPr>
            <w:tcW w:w="1060" w:type="dxa"/>
          </w:tcPr>
          <w:p>
            <w:pPr>
              <w:pStyle w:val="TableParagraph"/>
              <w:spacing w:before="56"/>
              <w:ind w:right="56"/>
              <w:jc w:val="right"/>
              <w:rPr>
                <w:rFonts w:ascii="Caladea"/>
                <w:b/>
                <w:sz w:val="12"/>
              </w:rPr>
            </w:pPr>
            <w:r>
              <w:rPr>
                <w:rFonts w:ascii="Caladea"/>
                <w:b/>
                <w:sz w:val="12"/>
              </w:rPr>
              <w:t>9.454</w:t>
            </w:r>
          </w:p>
        </w:tc>
        <w:tc>
          <w:tcPr>
            <w:tcW w:w="1057" w:type="dxa"/>
          </w:tcPr>
          <w:p>
            <w:pPr>
              <w:pStyle w:val="TableParagraph"/>
              <w:spacing w:before="56"/>
              <w:ind w:right="55"/>
              <w:jc w:val="right"/>
              <w:rPr>
                <w:rFonts w:ascii="Caladea"/>
                <w:b/>
                <w:sz w:val="12"/>
              </w:rPr>
            </w:pPr>
            <w:r>
              <w:rPr>
                <w:rFonts w:ascii="Caladea"/>
                <w:b/>
                <w:sz w:val="12"/>
              </w:rPr>
              <w:t>119.715</w:t>
            </w:r>
          </w:p>
        </w:tc>
        <w:tc>
          <w:tcPr>
            <w:tcW w:w="1060" w:type="dxa"/>
          </w:tcPr>
          <w:p>
            <w:pPr>
              <w:pStyle w:val="TableParagraph"/>
              <w:spacing w:before="56"/>
              <w:ind w:right="54"/>
              <w:jc w:val="right"/>
              <w:rPr>
                <w:rFonts w:ascii="Caladea"/>
                <w:b/>
                <w:sz w:val="12"/>
              </w:rPr>
            </w:pPr>
            <w:r>
              <w:rPr>
                <w:rFonts w:ascii="Caladea"/>
                <w:b/>
                <w:sz w:val="12"/>
              </w:rPr>
              <w:t>110.207</w:t>
            </w:r>
          </w:p>
        </w:tc>
        <w:tc>
          <w:tcPr>
            <w:tcW w:w="1059" w:type="dxa"/>
          </w:tcPr>
          <w:p>
            <w:pPr>
              <w:pStyle w:val="TableParagraph"/>
              <w:spacing w:before="56"/>
              <w:ind w:right="48"/>
              <w:jc w:val="right"/>
              <w:rPr>
                <w:rFonts w:ascii="Caladea"/>
                <w:b/>
                <w:sz w:val="12"/>
              </w:rPr>
            </w:pPr>
            <w:r>
              <w:rPr>
                <w:rFonts w:ascii="Caladea"/>
                <w:b/>
                <w:sz w:val="12"/>
              </w:rPr>
              <w:t>(103.517)</w:t>
            </w:r>
          </w:p>
        </w:tc>
        <w:tc>
          <w:tcPr>
            <w:tcW w:w="1061" w:type="dxa"/>
          </w:tcPr>
          <w:p>
            <w:pPr>
              <w:pStyle w:val="TableParagraph"/>
              <w:spacing w:before="56"/>
              <w:ind w:right="50"/>
              <w:jc w:val="right"/>
              <w:rPr>
                <w:rFonts w:ascii="Caladea"/>
                <w:b/>
                <w:sz w:val="12"/>
              </w:rPr>
            </w:pPr>
            <w:r>
              <w:rPr>
                <w:rFonts w:ascii="Caladea"/>
                <w:b/>
                <w:sz w:val="12"/>
              </w:rPr>
              <w:t>253.275</w:t>
            </w:r>
          </w:p>
        </w:tc>
      </w:tr>
      <w:tr>
        <w:trPr>
          <w:trHeight w:val="249" w:hRule="atLeast"/>
        </w:trPr>
        <w:tc>
          <w:tcPr>
            <w:tcW w:w="3783" w:type="dxa"/>
          </w:tcPr>
          <w:p>
            <w:pPr>
              <w:pStyle w:val="TableParagraph"/>
              <w:spacing w:before="53"/>
              <w:ind w:left="72"/>
              <w:rPr>
                <w:rFonts w:ascii="Caladea"/>
                <w:b/>
                <w:sz w:val="12"/>
              </w:rPr>
            </w:pPr>
            <w:r>
              <w:rPr>
                <w:rFonts w:ascii="Caladea"/>
                <w:b/>
                <w:sz w:val="12"/>
              </w:rPr>
              <w:t>Receitas (Despesas) Financeiras</w:t>
            </w:r>
          </w:p>
        </w:tc>
        <w:tc>
          <w:tcPr>
            <w:tcW w:w="1060" w:type="dxa"/>
          </w:tcPr>
          <w:p>
            <w:pPr>
              <w:pStyle w:val="TableParagraph"/>
              <w:spacing w:before="53"/>
              <w:ind w:right="56"/>
              <w:jc w:val="right"/>
              <w:rPr>
                <w:rFonts w:ascii="Caladea"/>
                <w:b/>
                <w:sz w:val="12"/>
              </w:rPr>
            </w:pPr>
            <w:r>
              <w:rPr>
                <w:rFonts w:ascii="Caladea"/>
                <w:b/>
                <w:sz w:val="12"/>
              </w:rPr>
              <w:t>(62.164)</w:t>
            </w:r>
          </w:p>
        </w:tc>
        <w:tc>
          <w:tcPr>
            <w:tcW w:w="1060" w:type="dxa"/>
          </w:tcPr>
          <w:p>
            <w:pPr>
              <w:pStyle w:val="TableParagraph"/>
              <w:spacing w:before="53"/>
              <w:ind w:right="56"/>
              <w:jc w:val="right"/>
              <w:rPr>
                <w:rFonts w:ascii="Caladea"/>
                <w:b/>
                <w:sz w:val="12"/>
              </w:rPr>
            </w:pPr>
            <w:r>
              <w:rPr>
                <w:rFonts w:ascii="Caladea"/>
                <w:b/>
                <w:sz w:val="12"/>
              </w:rPr>
              <w:t>1.415</w:t>
            </w:r>
          </w:p>
        </w:tc>
        <w:tc>
          <w:tcPr>
            <w:tcW w:w="1057" w:type="dxa"/>
          </w:tcPr>
          <w:p>
            <w:pPr>
              <w:pStyle w:val="TableParagraph"/>
              <w:spacing w:before="53"/>
              <w:ind w:right="55"/>
              <w:jc w:val="right"/>
              <w:rPr>
                <w:rFonts w:ascii="Caladea"/>
                <w:b/>
                <w:sz w:val="12"/>
              </w:rPr>
            </w:pPr>
            <w:r>
              <w:rPr>
                <w:rFonts w:ascii="Caladea"/>
                <w:b/>
                <w:sz w:val="12"/>
              </w:rPr>
              <w:t>1.778</w:t>
            </w:r>
          </w:p>
        </w:tc>
        <w:tc>
          <w:tcPr>
            <w:tcW w:w="1060" w:type="dxa"/>
          </w:tcPr>
          <w:p>
            <w:pPr>
              <w:pStyle w:val="TableParagraph"/>
              <w:spacing w:before="53"/>
              <w:ind w:right="54"/>
              <w:jc w:val="right"/>
              <w:rPr>
                <w:rFonts w:ascii="Caladea"/>
                <w:b/>
                <w:sz w:val="12"/>
              </w:rPr>
            </w:pPr>
            <w:r>
              <w:rPr>
                <w:rFonts w:ascii="Caladea"/>
                <w:b/>
                <w:sz w:val="12"/>
              </w:rPr>
              <w:t>11.605</w:t>
            </w:r>
          </w:p>
        </w:tc>
        <w:tc>
          <w:tcPr>
            <w:tcW w:w="1059" w:type="dxa"/>
          </w:tcPr>
          <w:p>
            <w:pPr>
              <w:pStyle w:val="TableParagraph"/>
              <w:rPr>
                <w:rFonts w:ascii="Times New Roman"/>
                <w:sz w:val="14"/>
              </w:rPr>
            </w:pPr>
          </w:p>
        </w:tc>
        <w:tc>
          <w:tcPr>
            <w:tcW w:w="1061" w:type="dxa"/>
          </w:tcPr>
          <w:p>
            <w:pPr>
              <w:pStyle w:val="TableParagraph"/>
              <w:spacing w:before="53"/>
              <w:ind w:right="48"/>
              <w:jc w:val="right"/>
              <w:rPr>
                <w:rFonts w:ascii="Caladea"/>
                <w:b/>
                <w:sz w:val="12"/>
              </w:rPr>
            </w:pPr>
            <w:r>
              <w:rPr>
                <w:rFonts w:ascii="Caladea"/>
                <w:b/>
                <w:sz w:val="12"/>
              </w:rPr>
              <w:t>(47.366)</w:t>
            </w:r>
          </w:p>
        </w:tc>
      </w:tr>
      <w:tr>
        <w:trPr>
          <w:trHeight w:val="251" w:hRule="atLeast"/>
        </w:trPr>
        <w:tc>
          <w:tcPr>
            <w:tcW w:w="3783" w:type="dxa"/>
          </w:tcPr>
          <w:p>
            <w:pPr>
              <w:pStyle w:val="TableParagraph"/>
              <w:spacing w:before="57"/>
              <w:ind w:left="72"/>
              <w:rPr>
                <w:sz w:val="12"/>
              </w:rPr>
            </w:pPr>
            <w:r>
              <w:rPr>
                <w:sz w:val="12"/>
              </w:rPr>
              <w:t>Receitas Financeiras</w:t>
            </w:r>
          </w:p>
        </w:tc>
        <w:tc>
          <w:tcPr>
            <w:tcW w:w="1060" w:type="dxa"/>
          </w:tcPr>
          <w:p>
            <w:pPr>
              <w:pStyle w:val="TableParagraph"/>
              <w:spacing w:before="57"/>
              <w:ind w:right="57"/>
              <w:jc w:val="right"/>
              <w:rPr>
                <w:sz w:val="12"/>
              </w:rPr>
            </w:pPr>
            <w:r>
              <w:rPr>
                <w:w w:val="95"/>
                <w:sz w:val="12"/>
              </w:rPr>
              <w:t>82.197</w:t>
            </w:r>
          </w:p>
        </w:tc>
        <w:tc>
          <w:tcPr>
            <w:tcW w:w="1060" w:type="dxa"/>
          </w:tcPr>
          <w:p>
            <w:pPr>
              <w:pStyle w:val="TableParagraph"/>
              <w:spacing w:before="57"/>
              <w:ind w:right="56"/>
              <w:jc w:val="right"/>
              <w:rPr>
                <w:sz w:val="12"/>
              </w:rPr>
            </w:pPr>
            <w:r>
              <w:rPr>
                <w:w w:val="95"/>
                <w:sz w:val="12"/>
              </w:rPr>
              <w:t>2.115</w:t>
            </w:r>
          </w:p>
        </w:tc>
        <w:tc>
          <w:tcPr>
            <w:tcW w:w="1057" w:type="dxa"/>
          </w:tcPr>
          <w:p>
            <w:pPr>
              <w:pStyle w:val="TableParagraph"/>
              <w:spacing w:before="57"/>
              <w:ind w:right="55"/>
              <w:jc w:val="right"/>
              <w:rPr>
                <w:sz w:val="12"/>
              </w:rPr>
            </w:pPr>
            <w:r>
              <w:rPr>
                <w:w w:val="95"/>
                <w:sz w:val="12"/>
              </w:rPr>
              <w:t>4.902</w:t>
            </w:r>
          </w:p>
        </w:tc>
        <w:tc>
          <w:tcPr>
            <w:tcW w:w="1060" w:type="dxa"/>
          </w:tcPr>
          <w:p>
            <w:pPr>
              <w:pStyle w:val="TableParagraph"/>
              <w:spacing w:before="57"/>
              <w:ind w:right="54"/>
              <w:jc w:val="right"/>
              <w:rPr>
                <w:sz w:val="12"/>
              </w:rPr>
            </w:pPr>
            <w:r>
              <w:rPr>
                <w:w w:val="95"/>
                <w:sz w:val="12"/>
              </w:rPr>
              <w:t>15.300</w:t>
            </w:r>
          </w:p>
        </w:tc>
        <w:tc>
          <w:tcPr>
            <w:tcW w:w="1059" w:type="dxa"/>
          </w:tcPr>
          <w:p>
            <w:pPr>
              <w:pStyle w:val="TableParagraph"/>
              <w:rPr>
                <w:rFonts w:ascii="Times New Roman"/>
                <w:sz w:val="14"/>
              </w:rPr>
            </w:pPr>
          </w:p>
        </w:tc>
        <w:tc>
          <w:tcPr>
            <w:tcW w:w="1061" w:type="dxa"/>
          </w:tcPr>
          <w:p>
            <w:pPr>
              <w:pStyle w:val="TableParagraph"/>
              <w:spacing w:before="57"/>
              <w:ind w:right="49"/>
              <w:jc w:val="right"/>
              <w:rPr>
                <w:sz w:val="12"/>
              </w:rPr>
            </w:pPr>
            <w:r>
              <w:rPr>
                <w:w w:val="95"/>
                <w:sz w:val="12"/>
              </w:rPr>
              <w:t>104.514</w:t>
            </w:r>
          </w:p>
        </w:tc>
      </w:tr>
      <w:tr>
        <w:trPr>
          <w:trHeight w:val="251" w:hRule="atLeast"/>
        </w:trPr>
        <w:tc>
          <w:tcPr>
            <w:tcW w:w="3783" w:type="dxa"/>
          </w:tcPr>
          <w:p>
            <w:pPr>
              <w:pStyle w:val="TableParagraph"/>
              <w:spacing w:before="57"/>
              <w:ind w:left="72"/>
              <w:rPr>
                <w:sz w:val="12"/>
              </w:rPr>
            </w:pPr>
            <w:r>
              <w:rPr>
                <w:sz w:val="12"/>
              </w:rPr>
              <w:t>Despesas Financeiras</w:t>
            </w:r>
          </w:p>
        </w:tc>
        <w:tc>
          <w:tcPr>
            <w:tcW w:w="1060" w:type="dxa"/>
          </w:tcPr>
          <w:p>
            <w:pPr>
              <w:pStyle w:val="TableParagraph"/>
              <w:spacing w:before="57"/>
              <w:ind w:right="58"/>
              <w:jc w:val="right"/>
              <w:rPr>
                <w:sz w:val="12"/>
              </w:rPr>
            </w:pPr>
            <w:r>
              <w:rPr>
                <w:sz w:val="12"/>
              </w:rPr>
              <w:t>(143.148)</w:t>
            </w:r>
          </w:p>
        </w:tc>
        <w:tc>
          <w:tcPr>
            <w:tcW w:w="1060" w:type="dxa"/>
          </w:tcPr>
          <w:p>
            <w:pPr>
              <w:pStyle w:val="TableParagraph"/>
              <w:spacing w:before="57"/>
              <w:ind w:right="53"/>
              <w:jc w:val="right"/>
              <w:rPr>
                <w:sz w:val="12"/>
              </w:rPr>
            </w:pPr>
            <w:r>
              <w:rPr>
                <w:w w:val="105"/>
                <w:sz w:val="12"/>
              </w:rPr>
              <w:t>(700)</w:t>
            </w:r>
          </w:p>
        </w:tc>
        <w:tc>
          <w:tcPr>
            <w:tcW w:w="1057" w:type="dxa"/>
          </w:tcPr>
          <w:p>
            <w:pPr>
              <w:pStyle w:val="TableParagraph"/>
              <w:spacing w:before="57"/>
              <w:ind w:right="51"/>
              <w:jc w:val="right"/>
              <w:rPr>
                <w:sz w:val="12"/>
              </w:rPr>
            </w:pPr>
            <w:r>
              <w:rPr>
                <w:w w:val="95"/>
                <w:sz w:val="12"/>
              </w:rPr>
              <w:t>(3.122)</w:t>
            </w:r>
          </w:p>
        </w:tc>
        <w:tc>
          <w:tcPr>
            <w:tcW w:w="1060" w:type="dxa"/>
          </w:tcPr>
          <w:p>
            <w:pPr>
              <w:pStyle w:val="TableParagraph"/>
              <w:spacing w:before="57"/>
              <w:ind w:right="51"/>
              <w:jc w:val="right"/>
              <w:rPr>
                <w:sz w:val="12"/>
              </w:rPr>
            </w:pPr>
            <w:r>
              <w:rPr>
                <w:w w:val="95"/>
                <w:sz w:val="12"/>
              </w:rPr>
              <w:t>(3.696)</w:t>
            </w:r>
          </w:p>
        </w:tc>
        <w:tc>
          <w:tcPr>
            <w:tcW w:w="1059" w:type="dxa"/>
          </w:tcPr>
          <w:p>
            <w:pPr>
              <w:pStyle w:val="TableParagraph"/>
              <w:rPr>
                <w:rFonts w:ascii="Times New Roman"/>
                <w:sz w:val="14"/>
              </w:rPr>
            </w:pPr>
          </w:p>
        </w:tc>
        <w:tc>
          <w:tcPr>
            <w:tcW w:w="1061" w:type="dxa"/>
          </w:tcPr>
          <w:p>
            <w:pPr>
              <w:pStyle w:val="TableParagraph"/>
              <w:spacing w:before="57"/>
              <w:ind w:right="48"/>
              <w:jc w:val="right"/>
              <w:rPr>
                <w:sz w:val="12"/>
              </w:rPr>
            </w:pPr>
            <w:r>
              <w:rPr>
                <w:sz w:val="12"/>
              </w:rPr>
              <w:t>(150.666)</w:t>
            </w:r>
          </w:p>
        </w:tc>
      </w:tr>
      <w:tr>
        <w:trPr>
          <w:trHeight w:val="252" w:hRule="atLeast"/>
        </w:trPr>
        <w:tc>
          <w:tcPr>
            <w:tcW w:w="3783" w:type="dxa"/>
          </w:tcPr>
          <w:p>
            <w:pPr>
              <w:pStyle w:val="TableParagraph"/>
              <w:spacing w:before="58"/>
              <w:ind w:left="72"/>
              <w:rPr>
                <w:sz w:val="12"/>
              </w:rPr>
            </w:pPr>
            <w:r>
              <w:rPr>
                <w:sz w:val="12"/>
              </w:rPr>
              <w:t>Variação Cambial</w:t>
            </w:r>
          </w:p>
        </w:tc>
        <w:tc>
          <w:tcPr>
            <w:tcW w:w="1060" w:type="dxa"/>
          </w:tcPr>
          <w:p>
            <w:pPr>
              <w:pStyle w:val="TableParagraph"/>
              <w:spacing w:before="58"/>
              <w:ind w:right="54"/>
              <w:jc w:val="right"/>
              <w:rPr>
                <w:sz w:val="12"/>
              </w:rPr>
            </w:pPr>
            <w:r>
              <w:rPr>
                <w:w w:val="95"/>
                <w:sz w:val="12"/>
              </w:rPr>
              <w:t>(1.214)</w:t>
            </w:r>
          </w:p>
        </w:tc>
        <w:tc>
          <w:tcPr>
            <w:tcW w:w="1060" w:type="dxa"/>
          </w:tcPr>
          <w:p>
            <w:pPr>
              <w:pStyle w:val="TableParagraph"/>
              <w:rPr>
                <w:rFonts w:ascii="Times New Roman"/>
                <w:sz w:val="14"/>
              </w:rPr>
            </w:pPr>
          </w:p>
        </w:tc>
        <w:tc>
          <w:tcPr>
            <w:tcW w:w="1057" w:type="dxa"/>
          </w:tcPr>
          <w:p>
            <w:pPr>
              <w:pStyle w:val="TableParagraph"/>
              <w:rPr>
                <w:rFonts w:ascii="Times New Roman"/>
                <w:sz w:val="14"/>
              </w:rPr>
            </w:pPr>
          </w:p>
        </w:tc>
        <w:tc>
          <w:tcPr>
            <w:tcW w:w="1060" w:type="dxa"/>
          </w:tcPr>
          <w:p>
            <w:pPr>
              <w:pStyle w:val="TableParagraph"/>
              <w:rPr>
                <w:rFonts w:ascii="Times New Roman"/>
                <w:sz w:val="14"/>
              </w:rPr>
            </w:pPr>
          </w:p>
        </w:tc>
        <w:tc>
          <w:tcPr>
            <w:tcW w:w="1059" w:type="dxa"/>
          </w:tcPr>
          <w:p>
            <w:pPr>
              <w:pStyle w:val="TableParagraph"/>
              <w:rPr>
                <w:rFonts w:ascii="Times New Roman"/>
                <w:sz w:val="14"/>
              </w:rPr>
            </w:pPr>
          </w:p>
        </w:tc>
        <w:tc>
          <w:tcPr>
            <w:tcW w:w="1061" w:type="dxa"/>
          </w:tcPr>
          <w:p>
            <w:pPr>
              <w:pStyle w:val="TableParagraph"/>
              <w:spacing w:before="58"/>
              <w:ind w:right="46"/>
              <w:jc w:val="right"/>
              <w:rPr>
                <w:sz w:val="12"/>
              </w:rPr>
            </w:pPr>
            <w:r>
              <w:rPr>
                <w:w w:val="95"/>
                <w:sz w:val="12"/>
              </w:rPr>
              <w:t>(1.214)</w:t>
            </w:r>
          </w:p>
        </w:tc>
      </w:tr>
      <w:tr>
        <w:trPr>
          <w:trHeight w:val="249" w:hRule="atLeast"/>
        </w:trPr>
        <w:tc>
          <w:tcPr>
            <w:tcW w:w="3783" w:type="dxa"/>
          </w:tcPr>
          <w:p>
            <w:pPr>
              <w:pStyle w:val="TableParagraph"/>
              <w:spacing w:before="53"/>
              <w:ind w:left="72"/>
              <w:rPr>
                <w:rFonts w:ascii="Caladea" w:hAnsi="Caladea"/>
                <w:b/>
                <w:sz w:val="12"/>
              </w:rPr>
            </w:pPr>
            <w:r>
              <w:rPr>
                <w:rFonts w:ascii="Caladea" w:hAnsi="Caladea"/>
                <w:b/>
                <w:sz w:val="12"/>
              </w:rPr>
              <w:t>Lucro (Prejuízo) Operacional Antes dos Tributos</w:t>
            </w:r>
          </w:p>
        </w:tc>
        <w:tc>
          <w:tcPr>
            <w:tcW w:w="1060" w:type="dxa"/>
          </w:tcPr>
          <w:p>
            <w:pPr>
              <w:pStyle w:val="TableParagraph"/>
              <w:spacing w:before="53"/>
              <w:ind w:right="58"/>
              <w:jc w:val="right"/>
              <w:rPr>
                <w:rFonts w:ascii="Caladea"/>
                <w:b/>
                <w:sz w:val="12"/>
              </w:rPr>
            </w:pPr>
            <w:r>
              <w:rPr>
                <w:rFonts w:ascii="Caladea"/>
                <w:b/>
                <w:sz w:val="12"/>
              </w:rPr>
              <w:t>55.251</w:t>
            </w:r>
          </w:p>
        </w:tc>
        <w:tc>
          <w:tcPr>
            <w:tcW w:w="1060" w:type="dxa"/>
          </w:tcPr>
          <w:p>
            <w:pPr>
              <w:pStyle w:val="TableParagraph"/>
              <w:spacing w:before="53"/>
              <w:ind w:right="56"/>
              <w:jc w:val="right"/>
              <w:rPr>
                <w:rFonts w:ascii="Caladea"/>
                <w:b/>
                <w:sz w:val="12"/>
              </w:rPr>
            </w:pPr>
            <w:r>
              <w:rPr>
                <w:rFonts w:ascii="Caladea"/>
                <w:b/>
                <w:sz w:val="12"/>
              </w:rPr>
              <w:t>10.869</w:t>
            </w:r>
          </w:p>
        </w:tc>
        <w:tc>
          <w:tcPr>
            <w:tcW w:w="1057" w:type="dxa"/>
          </w:tcPr>
          <w:p>
            <w:pPr>
              <w:pStyle w:val="TableParagraph"/>
              <w:spacing w:before="53"/>
              <w:ind w:right="55"/>
              <w:jc w:val="right"/>
              <w:rPr>
                <w:rFonts w:ascii="Caladea"/>
                <w:b/>
                <w:sz w:val="12"/>
              </w:rPr>
            </w:pPr>
            <w:r>
              <w:rPr>
                <w:rFonts w:ascii="Caladea"/>
                <w:b/>
                <w:sz w:val="12"/>
              </w:rPr>
              <w:t>121.494</w:t>
            </w:r>
          </w:p>
        </w:tc>
        <w:tc>
          <w:tcPr>
            <w:tcW w:w="1060" w:type="dxa"/>
          </w:tcPr>
          <w:p>
            <w:pPr>
              <w:pStyle w:val="TableParagraph"/>
              <w:spacing w:before="53"/>
              <w:ind w:right="54"/>
              <w:jc w:val="right"/>
              <w:rPr>
                <w:rFonts w:ascii="Caladea"/>
                <w:b/>
                <w:sz w:val="12"/>
              </w:rPr>
            </w:pPr>
            <w:r>
              <w:rPr>
                <w:rFonts w:ascii="Caladea"/>
                <w:b/>
                <w:sz w:val="12"/>
              </w:rPr>
              <w:t>121.812</w:t>
            </w:r>
          </w:p>
        </w:tc>
        <w:tc>
          <w:tcPr>
            <w:tcW w:w="1059" w:type="dxa"/>
          </w:tcPr>
          <w:p>
            <w:pPr>
              <w:pStyle w:val="TableParagraph"/>
              <w:spacing w:before="53"/>
              <w:ind w:right="48"/>
              <w:jc w:val="right"/>
              <w:rPr>
                <w:rFonts w:ascii="Caladea"/>
                <w:b/>
                <w:sz w:val="12"/>
              </w:rPr>
            </w:pPr>
            <w:r>
              <w:rPr>
                <w:rFonts w:ascii="Caladea"/>
                <w:b/>
                <w:sz w:val="12"/>
              </w:rPr>
              <w:t>(103.517)</w:t>
            </w:r>
          </w:p>
        </w:tc>
        <w:tc>
          <w:tcPr>
            <w:tcW w:w="1061" w:type="dxa"/>
          </w:tcPr>
          <w:p>
            <w:pPr>
              <w:pStyle w:val="TableParagraph"/>
              <w:spacing w:before="53"/>
              <w:ind w:right="50"/>
              <w:jc w:val="right"/>
              <w:rPr>
                <w:rFonts w:ascii="Caladea"/>
                <w:b/>
                <w:sz w:val="12"/>
              </w:rPr>
            </w:pPr>
            <w:r>
              <w:rPr>
                <w:rFonts w:ascii="Caladea"/>
                <w:b/>
                <w:sz w:val="12"/>
              </w:rPr>
              <w:t>205.909</w:t>
            </w:r>
          </w:p>
        </w:tc>
      </w:tr>
      <w:tr>
        <w:trPr>
          <w:trHeight w:val="251" w:hRule="atLeast"/>
        </w:trPr>
        <w:tc>
          <w:tcPr>
            <w:tcW w:w="3783" w:type="dxa"/>
          </w:tcPr>
          <w:p>
            <w:pPr>
              <w:pStyle w:val="TableParagraph"/>
              <w:spacing w:before="56"/>
              <w:ind w:left="72"/>
              <w:rPr>
                <w:rFonts w:ascii="Caladea" w:hAnsi="Caladea"/>
                <w:b/>
                <w:sz w:val="12"/>
              </w:rPr>
            </w:pPr>
            <w:r>
              <w:rPr>
                <w:rFonts w:ascii="Caladea" w:hAnsi="Caladea"/>
                <w:b/>
                <w:sz w:val="12"/>
              </w:rPr>
              <w:t>Imposto de Renda e Contribuição Social</w:t>
            </w:r>
          </w:p>
        </w:tc>
        <w:tc>
          <w:tcPr>
            <w:tcW w:w="1060" w:type="dxa"/>
          </w:tcPr>
          <w:p>
            <w:pPr>
              <w:pStyle w:val="TableParagraph"/>
              <w:spacing w:before="56"/>
              <w:ind w:right="56"/>
              <w:jc w:val="right"/>
              <w:rPr>
                <w:rFonts w:ascii="Caladea"/>
                <w:b/>
                <w:sz w:val="12"/>
              </w:rPr>
            </w:pPr>
            <w:r>
              <w:rPr>
                <w:rFonts w:ascii="Caladea"/>
                <w:b/>
                <w:sz w:val="12"/>
              </w:rPr>
              <w:t>(13.360)</w:t>
            </w:r>
          </w:p>
        </w:tc>
        <w:tc>
          <w:tcPr>
            <w:tcW w:w="1060" w:type="dxa"/>
          </w:tcPr>
          <w:p>
            <w:pPr>
              <w:pStyle w:val="TableParagraph"/>
              <w:spacing w:before="56"/>
              <w:ind w:right="54"/>
              <w:jc w:val="right"/>
              <w:rPr>
                <w:rFonts w:ascii="Caladea"/>
                <w:b/>
                <w:sz w:val="12"/>
              </w:rPr>
            </w:pPr>
            <w:r>
              <w:rPr>
                <w:rFonts w:ascii="Caladea"/>
                <w:b/>
                <w:sz w:val="12"/>
              </w:rPr>
              <w:t>(1.573)</w:t>
            </w:r>
          </w:p>
        </w:tc>
        <w:tc>
          <w:tcPr>
            <w:tcW w:w="1057" w:type="dxa"/>
          </w:tcPr>
          <w:p>
            <w:pPr>
              <w:pStyle w:val="TableParagraph"/>
              <w:spacing w:before="56"/>
              <w:ind w:right="53"/>
              <w:jc w:val="right"/>
              <w:rPr>
                <w:rFonts w:ascii="Caladea"/>
                <w:b/>
                <w:sz w:val="12"/>
              </w:rPr>
            </w:pPr>
            <w:r>
              <w:rPr>
                <w:rFonts w:ascii="Caladea"/>
                <w:b/>
                <w:sz w:val="12"/>
              </w:rPr>
              <w:t>(31.239)</w:t>
            </w:r>
          </w:p>
        </w:tc>
        <w:tc>
          <w:tcPr>
            <w:tcW w:w="1060" w:type="dxa"/>
          </w:tcPr>
          <w:p>
            <w:pPr>
              <w:pStyle w:val="TableParagraph"/>
              <w:spacing w:before="56"/>
              <w:ind w:right="52"/>
              <w:jc w:val="right"/>
              <w:rPr>
                <w:rFonts w:ascii="Caladea"/>
                <w:b/>
                <w:sz w:val="12"/>
              </w:rPr>
            </w:pPr>
            <w:r>
              <w:rPr>
                <w:rFonts w:ascii="Caladea"/>
                <w:b/>
                <w:sz w:val="12"/>
              </w:rPr>
              <w:t>(3.108)</w:t>
            </w:r>
          </w:p>
        </w:tc>
        <w:tc>
          <w:tcPr>
            <w:tcW w:w="1059" w:type="dxa"/>
          </w:tcPr>
          <w:p>
            <w:pPr>
              <w:pStyle w:val="TableParagraph"/>
              <w:rPr>
                <w:rFonts w:ascii="Times New Roman"/>
                <w:sz w:val="14"/>
              </w:rPr>
            </w:pPr>
          </w:p>
        </w:tc>
        <w:tc>
          <w:tcPr>
            <w:tcW w:w="1061" w:type="dxa"/>
          </w:tcPr>
          <w:p>
            <w:pPr>
              <w:pStyle w:val="TableParagraph"/>
              <w:spacing w:before="56"/>
              <w:ind w:right="46"/>
              <w:jc w:val="right"/>
              <w:rPr>
                <w:rFonts w:ascii="Caladea"/>
                <w:b/>
                <w:sz w:val="12"/>
              </w:rPr>
            </w:pPr>
            <w:r>
              <w:rPr>
                <w:rFonts w:ascii="Caladea"/>
                <w:b/>
                <w:sz w:val="12"/>
              </w:rPr>
              <w:t>(49.280)</w:t>
            </w:r>
          </w:p>
        </w:tc>
      </w:tr>
      <w:tr>
        <w:trPr>
          <w:trHeight w:val="251" w:hRule="atLeast"/>
        </w:trPr>
        <w:tc>
          <w:tcPr>
            <w:tcW w:w="3783" w:type="dxa"/>
          </w:tcPr>
          <w:p>
            <w:pPr>
              <w:pStyle w:val="TableParagraph"/>
              <w:spacing w:before="57"/>
              <w:ind w:left="72"/>
              <w:rPr>
                <w:sz w:val="12"/>
              </w:rPr>
            </w:pPr>
            <w:r>
              <w:rPr>
                <w:sz w:val="12"/>
              </w:rPr>
              <w:t>Imposto de Renda e Contribuição Social </w:t>
            </w:r>
            <w:r>
              <w:rPr>
                <w:w w:val="105"/>
                <w:sz w:val="12"/>
              </w:rPr>
              <w:t>– </w:t>
            </w:r>
            <w:r>
              <w:rPr>
                <w:sz w:val="12"/>
              </w:rPr>
              <w:t>Corrente</w:t>
            </w:r>
          </w:p>
        </w:tc>
        <w:tc>
          <w:tcPr>
            <w:tcW w:w="1060" w:type="dxa"/>
          </w:tcPr>
          <w:p>
            <w:pPr>
              <w:pStyle w:val="TableParagraph"/>
              <w:spacing w:before="57"/>
              <w:ind w:right="54"/>
              <w:jc w:val="right"/>
              <w:rPr>
                <w:sz w:val="12"/>
              </w:rPr>
            </w:pPr>
            <w:r>
              <w:rPr>
                <w:sz w:val="12"/>
              </w:rPr>
              <w:t>(91.895)</w:t>
            </w:r>
          </w:p>
        </w:tc>
        <w:tc>
          <w:tcPr>
            <w:tcW w:w="1060" w:type="dxa"/>
          </w:tcPr>
          <w:p>
            <w:pPr>
              <w:pStyle w:val="TableParagraph"/>
              <w:spacing w:before="57"/>
              <w:ind w:right="53"/>
              <w:jc w:val="right"/>
              <w:rPr>
                <w:sz w:val="12"/>
              </w:rPr>
            </w:pPr>
            <w:r>
              <w:rPr>
                <w:w w:val="95"/>
                <w:sz w:val="12"/>
              </w:rPr>
              <w:t>(1.428)</w:t>
            </w:r>
          </w:p>
        </w:tc>
        <w:tc>
          <w:tcPr>
            <w:tcW w:w="1057" w:type="dxa"/>
          </w:tcPr>
          <w:p>
            <w:pPr>
              <w:pStyle w:val="TableParagraph"/>
              <w:spacing w:before="57"/>
              <w:ind w:right="53"/>
              <w:jc w:val="right"/>
              <w:rPr>
                <w:sz w:val="12"/>
              </w:rPr>
            </w:pPr>
            <w:r>
              <w:rPr>
                <w:sz w:val="12"/>
              </w:rPr>
              <w:t>(30.647)</w:t>
            </w:r>
          </w:p>
        </w:tc>
        <w:tc>
          <w:tcPr>
            <w:tcW w:w="1060" w:type="dxa"/>
          </w:tcPr>
          <w:p>
            <w:pPr>
              <w:pStyle w:val="TableParagraph"/>
              <w:spacing w:before="57"/>
              <w:ind w:right="51"/>
              <w:jc w:val="right"/>
              <w:rPr>
                <w:sz w:val="12"/>
              </w:rPr>
            </w:pPr>
            <w:r>
              <w:rPr>
                <w:w w:val="95"/>
                <w:sz w:val="12"/>
              </w:rPr>
              <w:t>(2.252)</w:t>
            </w:r>
          </w:p>
        </w:tc>
        <w:tc>
          <w:tcPr>
            <w:tcW w:w="1059" w:type="dxa"/>
          </w:tcPr>
          <w:p>
            <w:pPr>
              <w:pStyle w:val="TableParagraph"/>
              <w:rPr>
                <w:rFonts w:ascii="Times New Roman"/>
                <w:sz w:val="14"/>
              </w:rPr>
            </w:pPr>
          </w:p>
        </w:tc>
        <w:tc>
          <w:tcPr>
            <w:tcW w:w="1061" w:type="dxa"/>
          </w:tcPr>
          <w:p>
            <w:pPr>
              <w:pStyle w:val="TableParagraph"/>
              <w:spacing w:before="57"/>
              <w:ind w:right="50"/>
              <w:jc w:val="right"/>
              <w:rPr>
                <w:sz w:val="12"/>
              </w:rPr>
            </w:pPr>
            <w:r>
              <w:rPr>
                <w:sz w:val="12"/>
              </w:rPr>
              <w:t>(126.221)</w:t>
            </w:r>
          </w:p>
        </w:tc>
      </w:tr>
      <w:tr>
        <w:trPr>
          <w:trHeight w:val="251" w:hRule="atLeast"/>
        </w:trPr>
        <w:tc>
          <w:tcPr>
            <w:tcW w:w="3783" w:type="dxa"/>
          </w:tcPr>
          <w:p>
            <w:pPr>
              <w:pStyle w:val="TableParagraph"/>
              <w:spacing w:before="57"/>
              <w:ind w:left="72"/>
              <w:rPr>
                <w:sz w:val="12"/>
              </w:rPr>
            </w:pPr>
            <w:r>
              <w:rPr>
                <w:sz w:val="12"/>
              </w:rPr>
              <w:t>Imposto de Renda e Contribuição Social </w:t>
            </w:r>
            <w:r>
              <w:rPr>
                <w:w w:val="105"/>
                <w:sz w:val="12"/>
              </w:rPr>
              <w:t>– </w:t>
            </w:r>
            <w:r>
              <w:rPr>
                <w:sz w:val="12"/>
              </w:rPr>
              <w:t>Diferido</w:t>
            </w:r>
          </w:p>
        </w:tc>
        <w:tc>
          <w:tcPr>
            <w:tcW w:w="1060" w:type="dxa"/>
          </w:tcPr>
          <w:p>
            <w:pPr>
              <w:pStyle w:val="TableParagraph"/>
              <w:spacing w:before="57"/>
              <w:ind w:right="57"/>
              <w:jc w:val="right"/>
              <w:rPr>
                <w:sz w:val="12"/>
              </w:rPr>
            </w:pPr>
            <w:r>
              <w:rPr>
                <w:w w:val="95"/>
                <w:sz w:val="12"/>
              </w:rPr>
              <w:t>78.535</w:t>
            </w:r>
          </w:p>
        </w:tc>
        <w:tc>
          <w:tcPr>
            <w:tcW w:w="1060" w:type="dxa"/>
          </w:tcPr>
          <w:p>
            <w:pPr>
              <w:pStyle w:val="TableParagraph"/>
              <w:spacing w:before="57"/>
              <w:ind w:right="53"/>
              <w:jc w:val="right"/>
              <w:rPr>
                <w:sz w:val="12"/>
              </w:rPr>
            </w:pPr>
            <w:r>
              <w:rPr>
                <w:w w:val="105"/>
                <w:sz w:val="12"/>
              </w:rPr>
              <w:t>(146)</w:t>
            </w:r>
          </w:p>
        </w:tc>
        <w:tc>
          <w:tcPr>
            <w:tcW w:w="1057" w:type="dxa"/>
          </w:tcPr>
          <w:p>
            <w:pPr>
              <w:pStyle w:val="TableParagraph"/>
              <w:spacing w:before="57"/>
              <w:ind w:right="51"/>
              <w:jc w:val="right"/>
              <w:rPr>
                <w:sz w:val="12"/>
              </w:rPr>
            </w:pPr>
            <w:r>
              <w:rPr>
                <w:w w:val="105"/>
                <w:sz w:val="12"/>
              </w:rPr>
              <w:t>(592)</w:t>
            </w:r>
          </w:p>
        </w:tc>
        <w:tc>
          <w:tcPr>
            <w:tcW w:w="1060" w:type="dxa"/>
          </w:tcPr>
          <w:p>
            <w:pPr>
              <w:pStyle w:val="TableParagraph"/>
              <w:spacing w:before="57"/>
              <w:ind w:right="50"/>
              <w:jc w:val="right"/>
              <w:rPr>
                <w:sz w:val="12"/>
              </w:rPr>
            </w:pPr>
            <w:r>
              <w:rPr>
                <w:w w:val="105"/>
                <w:sz w:val="12"/>
              </w:rPr>
              <w:t>(856)</w:t>
            </w:r>
          </w:p>
        </w:tc>
        <w:tc>
          <w:tcPr>
            <w:tcW w:w="1059" w:type="dxa"/>
          </w:tcPr>
          <w:p>
            <w:pPr>
              <w:pStyle w:val="TableParagraph"/>
              <w:rPr>
                <w:rFonts w:ascii="Times New Roman"/>
                <w:sz w:val="14"/>
              </w:rPr>
            </w:pPr>
          </w:p>
        </w:tc>
        <w:tc>
          <w:tcPr>
            <w:tcW w:w="1061" w:type="dxa"/>
          </w:tcPr>
          <w:p>
            <w:pPr>
              <w:pStyle w:val="TableParagraph"/>
              <w:spacing w:before="57"/>
              <w:ind w:right="49"/>
              <w:jc w:val="right"/>
              <w:rPr>
                <w:sz w:val="12"/>
              </w:rPr>
            </w:pPr>
            <w:r>
              <w:rPr>
                <w:w w:val="95"/>
                <w:sz w:val="12"/>
              </w:rPr>
              <w:t>76.941</w:t>
            </w:r>
          </w:p>
        </w:tc>
      </w:tr>
      <w:tr>
        <w:trPr>
          <w:trHeight w:val="249" w:hRule="atLeast"/>
        </w:trPr>
        <w:tc>
          <w:tcPr>
            <w:tcW w:w="3783" w:type="dxa"/>
          </w:tcPr>
          <w:p>
            <w:pPr>
              <w:pStyle w:val="TableParagraph"/>
              <w:spacing w:before="53"/>
              <w:ind w:left="72"/>
              <w:rPr>
                <w:rFonts w:ascii="Caladea" w:hAnsi="Caladea"/>
                <w:b/>
                <w:sz w:val="12"/>
              </w:rPr>
            </w:pPr>
            <w:r>
              <w:rPr>
                <w:rFonts w:ascii="Caladea" w:hAnsi="Caladea"/>
                <w:b/>
                <w:sz w:val="12"/>
              </w:rPr>
              <w:t>Lucro do Período</w:t>
            </w:r>
          </w:p>
        </w:tc>
        <w:tc>
          <w:tcPr>
            <w:tcW w:w="1060" w:type="dxa"/>
          </w:tcPr>
          <w:p>
            <w:pPr>
              <w:pStyle w:val="TableParagraph"/>
              <w:spacing w:before="53"/>
              <w:ind w:right="58"/>
              <w:jc w:val="right"/>
              <w:rPr>
                <w:rFonts w:ascii="Caladea"/>
                <w:b/>
                <w:sz w:val="12"/>
              </w:rPr>
            </w:pPr>
            <w:r>
              <w:rPr>
                <w:rFonts w:ascii="Caladea"/>
                <w:b/>
                <w:sz w:val="12"/>
              </w:rPr>
              <w:t>41.891</w:t>
            </w:r>
          </w:p>
        </w:tc>
        <w:tc>
          <w:tcPr>
            <w:tcW w:w="1060" w:type="dxa"/>
          </w:tcPr>
          <w:p>
            <w:pPr>
              <w:pStyle w:val="TableParagraph"/>
              <w:spacing w:before="53"/>
              <w:ind w:right="56"/>
              <w:jc w:val="right"/>
              <w:rPr>
                <w:rFonts w:ascii="Caladea"/>
                <w:b/>
                <w:sz w:val="12"/>
              </w:rPr>
            </w:pPr>
            <w:r>
              <w:rPr>
                <w:rFonts w:ascii="Caladea"/>
                <w:b/>
                <w:sz w:val="12"/>
              </w:rPr>
              <w:t>9.295</w:t>
            </w:r>
          </w:p>
        </w:tc>
        <w:tc>
          <w:tcPr>
            <w:tcW w:w="1057" w:type="dxa"/>
          </w:tcPr>
          <w:p>
            <w:pPr>
              <w:pStyle w:val="TableParagraph"/>
              <w:spacing w:before="53"/>
              <w:ind w:right="55"/>
              <w:jc w:val="right"/>
              <w:rPr>
                <w:rFonts w:ascii="Caladea"/>
                <w:b/>
                <w:sz w:val="12"/>
              </w:rPr>
            </w:pPr>
            <w:r>
              <w:rPr>
                <w:rFonts w:ascii="Caladea"/>
                <w:b/>
                <w:sz w:val="12"/>
              </w:rPr>
              <w:t>90.255</w:t>
            </w:r>
          </w:p>
        </w:tc>
        <w:tc>
          <w:tcPr>
            <w:tcW w:w="1060" w:type="dxa"/>
          </w:tcPr>
          <w:p>
            <w:pPr>
              <w:pStyle w:val="TableParagraph"/>
              <w:spacing w:before="53"/>
              <w:ind w:right="54"/>
              <w:jc w:val="right"/>
              <w:rPr>
                <w:rFonts w:ascii="Caladea"/>
                <w:b/>
                <w:sz w:val="12"/>
              </w:rPr>
            </w:pPr>
            <w:r>
              <w:rPr>
                <w:rFonts w:ascii="Caladea"/>
                <w:b/>
                <w:sz w:val="12"/>
              </w:rPr>
              <w:t>118.704</w:t>
            </w:r>
          </w:p>
        </w:tc>
        <w:tc>
          <w:tcPr>
            <w:tcW w:w="1059" w:type="dxa"/>
          </w:tcPr>
          <w:p>
            <w:pPr>
              <w:pStyle w:val="TableParagraph"/>
              <w:spacing w:before="53"/>
              <w:ind w:right="48"/>
              <w:jc w:val="right"/>
              <w:rPr>
                <w:rFonts w:ascii="Caladea"/>
                <w:b/>
                <w:sz w:val="12"/>
              </w:rPr>
            </w:pPr>
            <w:r>
              <w:rPr>
                <w:rFonts w:ascii="Caladea"/>
                <w:b/>
                <w:sz w:val="12"/>
              </w:rPr>
              <w:t>(103.517)</w:t>
            </w:r>
          </w:p>
        </w:tc>
        <w:tc>
          <w:tcPr>
            <w:tcW w:w="1061" w:type="dxa"/>
          </w:tcPr>
          <w:p>
            <w:pPr>
              <w:pStyle w:val="TableParagraph"/>
              <w:spacing w:before="53"/>
              <w:ind w:right="49"/>
              <w:jc w:val="right"/>
              <w:rPr>
                <w:rFonts w:ascii="Caladea"/>
                <w:b/>
                <w:sz w:val="12"/>
              </w:rPr>
            </w:pPr>
            <w:r>
              <w:rPr>
                <w:rFonts w:ascii="Caladea"/>
                <w:b/>
                <w:sz w:val="12"/>
              </w:rPr>
              <w:t>156.629</w:t>
            </w:r>
          </w:p>
        </w:tc>
      </w:tr>
      <w:tr>
        <w:trPr>
          <w:trHeight w:val="251" w:hRule="atLeast"/>
        </w:trPr>
        <w:tc>
          <w:tcPr>
            <w:tcW w:w="3783" w:type="dxa"/>
          </w:tcPr>
          <w:p>
            <w:pPr>
              <w:pStyle w:val="TableParagraph"/>
              <w:spacing w:before="56"/>
              <w:ind w:left="72"/>
              <w:rPr>
                <w:rFonts w:ascii="Caladea" w:hAnsi="Caladea"/>
                <w:b/>
                <w:sz w:val="12"/>
              </w:rPr>
            </w:pPr>
            <w:r>
              <w:rPr>
                <w:rFonts w:ascii="Caladea" w:hAnsi="Caladea"/>
                <w:b/>
                <w:sz w:val="12"/>
              </w:rPr>
              <w:t>Atribuído aos Acionistas Controladores</w:t>
            </w:r>
          </w:p>
        </w:tc>
        <w:tc>
          <w:tcPr>
            <w:tcW w:w="1060" w:type="dxa"/>
          </w:tcPr>
          <w:p>
            <w:pPr>
              <w:pStyle w:val="TableParagraph"/>
              <w:rPr>
                <w:rFonts w:ascii="Times New Roman"/>
                <w:sz w:val="14"/>
              </w:rPr>
            </w:pPr>
          </w:p>
        </w:tc>
        <w:tc>
          <w:tcPr>
            <w:tcW w:w="1060" w:type="dxa"/>
          </w:tcPr>
          <w:p>
            <w:pPr>
              <w:pStyle w:val="TableParagraph"/>
              <w:rPr>
                <w:rFonts w:ascii="Times New Roman"/>
                <w:sz w:val="14"/>
              </w:rPr>
            </w:pPr>
          </w:p>
        </w:tc>
        <w:tc>
          <w:tcPr>
            <w:tcW w:w="1057" w:type="dxa"/>
          </w:tcPr>
          <w:p>
            <w:pPr>
              <w:pStyle w:val="TableParagraph"/>
              <w:rPr>
                <w:rFonts w:ascii="Times New Roman"/>
                <w:sz w:val="14"/>
              </w:rPr>
            </w:pPr>
          </w:p>
        </w:tc>
        <w:tc>
          <w:tcPr>
            <w:tcW w:w="1060" w:type="dxa"/>
          </w:tcPr>
          <w:p>
            <w:pPr>
              <w:pStyle w:val="TableParagraph"/>
              <w:rPr>
                <w:rFonts w:ascii="Times New Roman"/>
                <w:sz w:val="14"/>
              </w:rPr>
            </w:pPr>
          </w:p>
        </w:tc>
        <w:tc>
          <w:tcPr>
            <w:tcW w:w="1059" w:type="dxa"/>
          </w:tcPr>
          <w:p>
            <w:pPr>
              <w:pStyle w:val="TableParagraph"/>
              <w:rPr>
                <w:rFonts w:ascii="Times New Roman"/>
                <w:sz w:val="14"/>
              </w:rPr>
            </w:pPr>
          </w:p>
        </w:tc>
        <w:tc>
          <w:tcPr>
            <w:tcW w:w="1061" w:type="dxa"/>
          </w:tcPr>
          <w:p>
            <w:pPr>
              <w:pStyle w:val="TableParagraph"/>
              <w:spacing w:before="56"/>
              <w:ind w:right="47"/>
              <w:jc w:val="right"/>
              <w:rPr>
                <w:rFonts w:ascii="Caladea"/>
                <w:b/>
                <w:sz w:val="12"/>
              </w:rPr>
            </w:pPr>
            <w:r>
              <w:rPr>
                <w:rFonts w:ascii="Caladea"/>
                <w:b/>
                <w:sz w:val="12"/>
              </w:rPr>
              <w:t>119.045</w:t>
            </w:r>
          </w:p>
        </w:tc>
      </w:tr>
      <w:tr>
        <w:trPr>
          <w:trHeight w:val="251" w:hRule="atLeast"/>
        </w:trPr>
        <w:tc>
          <w:tcPr>
            <w:tcW w:w="3783" w:type="dxa"/>
          </w:tcPr>
          <w:p>
            <w:pPr>
              <w:pStyle w:val="TableParagraph"/>
              <w:spacing w:before="56"/>
              <w:ind w:left="72"/>
              <w:rPr>
                <w:rFonts w:ascii="Caladea" w:hAnsi="Caladea"/>
                <w:b/>
                <w:sz w:val="12"/>
              </w:rPr>
            </w:pPr>
            <w:r>
              <w:rPr>
                <w:rFonts w:ascii="Caladea" w:hAnsi="Caladea"/>
                <w:b/>
                <w:sz w:val="12"/>
              </w:rPr>
              <w:t>Atribuído aos Acionistas não Controladores</w:t>
            </w:r>
          </w:p>
        </w:tc>
        <w:tc>
          <w:tcPr>
            <w:tcW w:w="1060" w:type="dxa"/>
          </w:tcPr>
          <w:p>
            <w:pPr>
              <w:pStyle w:val="TableParagraph"/>
              <w:rPr>
                <w:rFonts w:ascii="Times New Roman"/>
                <w:sz w:val="14"/>
              </w:rPr>
            </w:pPr>
          </w:p>
        </w:tc>
        <w:tc>
          <w:tcPr>
            <w:tcW w:w="1060" w:type="dxa"/>
          </w:tcPr>
          <w:p>
            <w:pPr>
              <w:pStyle w:val="TableParagraph"/>
              <w:rPr>
                <w:rFonts w:ascii="Times New Roman"/>
                <w:sz w:val="14"/>
              </w:rPr>
            </w:pPr>
          </w:p>
        </w:tc>
        <w:tc>
          <w:tcPr>
            <w:tcW w:w="1057" w:type="dxa"/>
          </w:tcPr>
          <w:p>
            <w:pPr>
              <w:pStyle w:val="TableParagraph"/>
              <w:rPr>
                <w:rFonts w:ascii="Times New Roman"/>
                <w:sz w:val="14"/>
              </w:rPr>
            </w:pPr>
          </w:p>
        </w:tc>
        <w:tc>
          <w:tcPr>
            <w:tcW w:w="1060" w:type="dxa"/>
          </w:tcPr>
          <w:p>
            <w:pPr>
              <w:pStyle w:val="TableParagraph"/>
              <w:rPr>
                <w:rFonts w:ascii="Times New Roman"/>
                <w:sz w:val="14"/>
              </w:rPr>
            </w:pPr>
          </w:p>
        </w:tc>
        <w:tc>
          <w:tcPr>
            <w:tcW w:w="1059" w:type="dxa"/>
          </w:tcPr>
          <w:p>
            <w:pPr>
              <w:pStyle w:val="TableParagraph"/>
              <w:rPr>
                <w:rFonts w:ascii="Times New Roman"/>
                <w:sz w:val="14"/>
              </w:rPr>
            </w:pPr>
          </w:p>
        </w:tc>
        <w:tc>
          <w:tcPr>
            <w:tcW w:w="1061" w:type="dxa"/>
          </w:tcPr>
          <w:p>
            <w:pPr>
              <w:pStyle w:val="TableParagraph"/>
              <w:spacing w:before="56"/>
              <w:ind w:right="50"/>
              <w:jc w:val="right"/>
              <w:rPr>
                <w:rFonts w:ascii="Caladea"/>
                <w:b/>
                <w:sz w:val="12"/>
              </w:rPr>
            </w:pPr>
            <w:r>
              <w:rPr>
                <w:rFonts w:ascii="Caladea"/>
                <w:b/>
                <w:sz w:val="12"/>
              </w:rPr>
              <w:t>37.584</w:t>
            </w:r>
          </w:p>
        </w:tc>
      </w:tr>
    </w:tbl>
    <w:p>
      <w:pPr>
        <w:spacing w:after="0"/>
        <w:jc w:val="right"/>
        <w:rPr>
          <w:rFonts w:ascii="Caladea"/>
          <w:sz w:val="12"/>
        </w:rPr>
        <w:sectPr>
          <w:pgSz w:w="11910" w:h="16850"/>
          <w:pgMar w:header="792" w:footer="982" w:top="1280" w:bottom="1220" w:left="960" w:right="440"/>
        </w:sectPr>
      </w:pPr>
    </w:p>
    <w:p>
      <w:pPr>
        <w:pStyle w:val="BodyText"/>
        <w:spacing w:before="4"/>
        <w:rPr>
          <w:rFonts w:ascii="Caladea"/>
          <w:b/>
          <w:sz w:val="6"/>
        </w:rPr>
      </w:pPr>
    </w:p>
    <w:p>
      <w:pPr>
        <w:pStyle w:val="BodyText"/>
        <w:spacing w:line="20" w:lineRule="exact"/>
        <w:ind w:left="91"/>
        <w:rPr>
          <w:rFonts w:ascii="Caladea"/>
          <w:sz w:val="2"/>
        </w:rPr>
      </w:pPr>
      <w:r>
        <w:rPr>
          <w:rFonts w:ascii="Caladea"/>
          <w:sz w:val="2"/>
        </w:rPr>
        <w:pict>
          <v:group style="width:8.7pt;height:.5pt;mso-position-horizontal-relative:char;mso-position-vertical-relative:line" coordorigin="0,0" coordsize="174,10">
            <v:rect style="position:absolute;left:0;top:0;width:174;height:10" filled="true" fillcolor="#000080" stroked="false">
              <v:fill type="solid"/>
            </v:rect>
          </v:group>
        </w:pict>
      </w:r>
      <w:r>
        <w:rPr>
          <w:rFonts w:ascii="Caladea"/>
          <w:sz w:val="2"/>
        </w:rPr>
      </w:r>
    </w:p>
    <w:tbl>
      <w:tblPr>
        <w:tblW w:w="0" w:type="auto"/>
        <w:jc w:val="left"/>
        <w:tblInd w:w="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79"/>
        <w:gridCol w:w="1034"/>
        <w:gridCol w:w="753"/>
        <w:gridCol w:w="1271"/>
        <w:gridCol w:w="760"/>
        <w:gridCol w:w="983"/>
        <w:gridCol w:w="997"/>
      </w:tblGrid>
      <w:tr>
        <w:trPr>
          <w:trHeight w:val="271" w:hRule="atLeast"/>
        </w:trPr>
        <w:tc>
          <w:tcPr>
            <w:tcW w:w="4179" w:type="dxa"/>
            <w:vMerge w:val="restart"/>
            <w:shd w:val="clear" w:color="auto" w:fill="D9D9D9"/>
          </w:tcPr>
          <w:p>
            <w:pPr>
              <w:pStyle w:val="TableParagraph"/>
              <w:rPr>
                <w:rFonts w:ascii="Times New Roman"/>
                <w:sz w:val="14"/>
              </w:rPr>
            </w:pPr>
          </w:p>
        </w:tc>
        <w:tc>
          <w:tcPr>
            <w:tcW w:w="5798" w:type="dxa"/>
            <w:gridSpan w:val="6"/>
          </w:tcPr>
          <w:p>
            <w:pPr>
              <w:pStyle w:val="TableParagraph"/>
              <w:spacing w:before="65"/>
              <w:ind w:left="2016" w:right="1995"/>
              <w:jc w:val="center"/>
              <w:rPr>
                <w:rFonts w:ascii="Caladea" w:hAnsi="Caladea"/>
                <w:b/>
                <w:sz w:val="12"/>
              </w:rPr>
            </w:pPr>
            <w:r>
              <w:rPr>
                <w:rFonts w:ascii="Caladea" w:hAnsi="Caladea"/>
                <w:b/>
                <w:sz w:val="12"/>
              </w:rPr>
              <w:t>Exercício findo em 31/12/2018</w:t>
            </w:r>
          </w:p>
        </w:tc>
      </w:tr>
      <w:tr>
        <w:trPr>
          <w:trHeight w:val="270" w:hRule="atLeast"/>
        </w:trPr>
        <w:tc>
          <w:tcPr>
            <w:tcW w:w="4179" w:type="dxa"/>
            <w:vMerge/>
            <w:tcBorders>
              <w:top w:val="nil"/>
            </w:tcBorders>
            <w:shd w:val="clear" w:color="auto" w:fill="D9D9D9"/>
          </w:tcPr>
          <w:p>
            <w:pPr>
              <w:rPr>
                <w:sz w:val="2"/>
                <w:szCs w:val="2"/>
              </w:rPr>
            </w:pPr>
          </w:p>
        </w:tc>
        <w:tc>
          <w:tcPr>
            <w:tcW w:w="1034" w:type="dxa"/>
          </w:tcPr>
          <w:p>
            <w:pPr>
              <w:pStyle w:val="TableParagraph"/>
              <w:spacing w:before="65"/>
              <w:ind w:left="175"/>
              <w:rPr>
                <w:rFonts w:ascii="Caladea" w:hAnsi="Caladea"/>
                <w:b/>
                <w:sz w:val="12"/>
              </w:rPr>
            </w:pPr>
            <w:r>
              <w:rPr>
                <w:rFonts w:ascii="Caladea" w:hAnsi="Caladea"/>
                <w:b/>
                <w:sz w:val="12"/>
              </w:rPr>
              <w:t>Distribuição</w:t>
            </w:r>
          </w:p>
        </w:tc>
        <w:tc>
          <w:tcPr>
            <w:tcW w:w="753" w:type="dxa"/>
          </w:tcPr>
          <w:p>
            <w:pPr>
              <w:pStyle w:val="TableParagraph"/>
              <w:spacing w:before="65"/>
              <w:ind w:left="152"/>
              <w:rPr>
                <w:rFonts w:ascii="Caladea" w:hAnsi="Caladea"/>
                <w:b/>
                <w:sz w:val="12"/>
              </w:rPr>
            </w:pPr>
            <w:r>
              <w:rPr>
                <w:rFonts w:ascii="Caladea" w:hAnsi="Caladea"/>
                <w:b/>
                <w:sz w:val="12"/>
              </w:rPr>
              <w:t>Geração</w:t>
            </w:r>
          </w:p>
        </w:tc>
        <w:tc>
          <w:tcPr>
            <w:tcW w:w="1271" w:type="dxa"/>
          </w:tcPr>
          <w:p>
            <w:pPr>
              <w:pStyle w:val="TableParagraph"/>
              <w:spacing w:before="65"/>
              <w:ind w:left="184"/>
              <w:rPr>
                <w:rFonts w:ascii="Caladea" w:hAnsi="Caladea"/>
                <w:b/>
                <w:sz w:val="12"/>
              </w:rPr>
            </w:pPr>
            <w:r>
              <w:rPr>
                <w:rFonts w:ascii="Caladea" w:hAnsi="Caladea"/>
                <w:b/>
                <w:sz w:val="12"/>
              </w:rPr>
              <w:t>Comercialização</w:t>
            </w:r>
          </w:p>
        </w:tc>
        <w:tc>
          <w:tcPr>
            <w:tcW w:w="760" w:type="dxa"/>
          </w:tcPr>
          <w:p>
            <w:pPr>
              <w:pStyle w:val="TableParagraph"/>
              <w:spacing w:before="65"/>
              <w:ind w:left="197"/>
              <w:rPr>
                <w:rFonts w:ascii="Caladea"/>
                <w:b/>
                <w:sz w:val="12"/>
              </w:rPr>
            </w:pPr>
            <w:r>
              <w:rPr>
                <w:rFonts w:ascii="Caladea"/>
                <w:b/>
                <w:sz w:val="12"/>
              </w:rPr>
              <w:t>Outros</w:t>
            </w:r>
          </w:p>
        </w:tc>
        <w:tc>
          <w:tcPr>
            <w:tcW w:w="983" w:type="dxa"/>
          </w:tcPr>
          <w:p>
            <w:pPr>
              <w:pStyle w:val="TableParagraph"/>
              <w:spacing w:before="65"/>
              <w:ind w:left="162"/>
              <w:rPr>
                <w:rFonts w:ascii="Caladea" w:hAnsi="Caladea"/>
                <w:b/>
                <w:sz w:val="12"/>
              </w:rPr>
            </w:pPr>
            <w:r>
              <w:rPr>
                <w:rFonts w:ascii="Caladea" w:hAnsi="Caladea"/>
                <w:b/>
                <w:sz w:val="12"/>
              </w:rPr>
              <w:t>Eliminações</w:t>
            </w:r>
          </w:p>
        </w:tc>
        <w:tc>
          <w:tcPr>
            <w:tcW w:w="997" w:type="dxa"/>
          </w:tcPr>
          <w:p>
            <w:pPr>
              <w:pStyle w:val="TableParagraph"/>
              <w:spacing w:before="65"/>
              <w:ind w:left="161"/>
              <w:rPr>
                <w:rFonts w:ascii="Caladea"/>
                <w:b/>
                <w:sz w:val="12"/>
              </w:rPr>
            </w:pPr>
            <w:r>
              <w:rPr>
                <w:rFonts w:ascii="Caladea"/>
                <w:b/>
                <w:sz w:val="12"/>
              </w:rPr>
              <w:t>Consolidado</w:t>
            </w:r>
          </w:p>
        </w:tc>
      </w:tr>
      <w:tr>
        <w:trPr>
          <w:trHeight w:val="246" w:hRule="atLeast"/>
        </w:trPr>
        <w:tc>
          <w:tcPr>
            <w:tcW w:w="4179" w:type="dxa"/>
          </w:tcPr>
          <w:p>
            <w:pPr>
              <w:pStyle w:val="TableParagraph"/>
              <w:spacing w:before="53"/>
              <w:ind w:left="98"/>
              <w:rPr>
                <w:rFonts w:ascii="Caladea"/>
                <w:b/>
                <w:sz w:val="12"/>
              </w:rPr>
            </w:pPr>
            <w:r>
              <w:rPr>
                <w:rFonts w:ascii="Caladea"/>
                <w:b/>
                <w:sz w:val="12"/>
              </w:rPr>
              <w:t>ATIVOS DO SEGMENTO</w:t>
            </w:r>
          </w:p>
        </w:tc>
        <w:tc>
          <w:tcPr>
            <w:tcW w:w="1034" w:type="dxa"/>
          </w:tcPr>
          <w:p>
            <w:pPr>
              <w:pStyle w:val="TableParagraph"/>
              <w:spacing w:before="55"/>
              <w:ind w:right="58"/>
              <w:jc w:val="right"/>
              <w:rPr>
                <w:sz w:val="12"/>
              </w:rPr>
            </w:pPr>
            <w:r>
              <w:rPr>
                <w:w w:val="95"/>
                <w:sz w:val="12"/>
              </w:rPr>
              <w:t>1.169.554</w:t>
            </w:r>
          </w:p>
        </w:tc>
        <w:tc>
          <w:tcPr>
            <w:tcW w:w="753" w:type="dxa"/>
          </w:tcPr>
          <w:p>
            <w:pPr>
              <w:pStyle w:val="TableParagraph"/>
              <w:spacing w:before="55"/>
              <w:ind w:right="57"/>
              <w:jc w:val="right"/>
              <w:rPr>
                <w:sz w:val="12"/>
              </w:rPr>
            </w:pPr>
            <w:r>
              <w:rPr>
                <w:w w:val="95"/>
                <w:sz w:val="12"/>
              </w:rPr>
              <w:t>7.564</w:t>
            </w:r>
          </w:p>
        </w:tc>
        <w:tc>
          <w:tcPr>
            <w:tcW w:w="1271" w:type="dxa"/>
          </w:tcPr>
          <w:p>
            <w:pPr>
              <w:pStyle w:val="TableParagraph"/>
              <w:spacing w:before="55"/>
              <w:ind w:right="56"/>
              <w:jc w:val="right"/>
              <w:rPr>
                <w:sz w:val="12"/>
              </w:rPr>
            </w:pPr>
            <w:r>
              <w:rPr>
                <w:sz w:val="12"/>
              </w:rPr>
              <w:t>102.540</w:t>
            </w:r>
          </w:p>
        </w:tc>
        <w:tc>
          <w:tcPr>
            <w:tcW w:w="760" w:type="dxa"/>
          </w:tcPr>
          <w:p>
            <w:pPr>
              <w:pStyle w:val="TableParagraph"/>
              <w:spacing w:before="55"/>
              <w:ind w:right="53"/>
              <w:jc w:val="right"/>
              <w:rPr>
                <w:sz w:val="12"/>
              </w:rPr>
            </w:pPr>
            <w:r>
              <w:rPr>
                <w:w w:val="95"/>
                <w:sz w:val="12"/>
              </w:rPr>
              <w:t>17.279</w:t>
            </w:r>
          </w:p>
        </w:tc>
        <w:tc>
          <w:tcPr>
            <w:tcW w:w="983" w:type="dxa"/>
          </w:tcPr>
          <w:p>
            <w:pPr>
              <w:pStyle w:val="TableParagraph"/>
              <w:rPr>
                <w:rFonts w:ascii="Times New Roman"/>
                <w:sz w:val="14"/>
              </w:rPr>
            </w:pPr>
          </w:p>
        </w:tc>
        <w:tc>
          <w:tcPr>
            <w:tcW w:w="997" w:type="dxa"/>
          </w:tcPr>
          <w:p>
            <w:pPr>
              <w:pStyle w:val="TableParagraph"/>
              <w:spacing w:before="55"/>
              <w:ind w:right="52"/>
              <w:jc w:val="right"/>
              <w:rPr>
                <w:sz w:val="12"/>
              </w:rPr>
            </w:pPr>
            <w:r>
              <w:rPr>
                <w:w w:val="95"/>
                <w:sz w:val="12"/>
              </w:rPr>
              <w:t>1.296.937</w:t>
            </w:r>
          </w:p>
        </w:tc>
      </w:tr>
      <w:tr>
        <w:trPr>
          <w:trHeight w:val="249" w:hRule="atLeast"/>
        </w:trPr>
        <w:tc>
          <w:tcPr>
            <w:tcW w:w="4179" w:type="dxa"/>
          </w:tcPr>
          <w:p>
            <w:pPr>
              <w:pStyle w:val="TableParagraph"/>
              <w:spacing w:before="55"/>
              <w:ind w:left="151"/>
              <w:rPr>
                <w:sz w:val="12"/>
              </w:rPr>
            </w:pPr>
            <w:r>
              <w:rPr>
                <w:sz w:val="12"/>
              </w:rPr>
              <w:t>Adições (Reduções) Aos Ativos do Segmento no Exercício</w:t>
            </w:r>
          </w:p>
        </w:tc>
        <w:tc>
          <w:tcPr>
            <w:tcW w:w="1034" w:type="dxa"/>
          </w:tcPr>
          <w:p>
            <w:pPr>
              <w:pStyle w:val="TableParagraph"/>
              <w:spacing w:before="55"/>
              <w:ind w:right="54"/>
              <w:jc w:val="right"/>
              <w:rPr>
                <w:sz w:val="12"/>
              </w:rPr>
            </w:pPr>
            <w:r>
              <w:rPr>
                <w:w w:val="95"/>
                <w:sz w:val="12"/>
              </w:rPr>
              <w:t>(6.785)</w:t>
            </w:r>
          </w:p>
        </w:tc>
        <w:tc>
          <w:tcPr>
            <w:tcW w:w="753" w:type="dxa"/>
          </w:tcPr>
          <w:p>
            <w:pPr>
              <w:pStyle w:val="TableParagraph"/>
              <w:spacing w:before="55"/>
              <w:ind w:right="56"/>
              <w:jc w:val="right"/>
              <w:rPr>
                <w:sz w:val="12"/>
              </w:rPr>
            </w:pPr>
            <w:r>
              <w:rPr>
                <w:sz w:val="12"/>
              </w:rPr>
              <w:t>(32)</w:t>
            </w:r>
          </w:p>
        </w:tc>
        <w:tc>
          <w:tcPr>
            <w:tcW w:w="1271" w:type="dxa"/>
          </w:tcPr>
          <w:p>
            <w:pPr>
              <w:pStyle w:val="TableParagraph"/>
              <w:spacing w:before="55"/>
              <w:ind w:right="52"/>
              <w:jc w:val="right"/>
              <w:rPr>
                <w:sz w:val="12"/>
              </w:rPr>
            </w:pPr>
            <w:r>
              <w:rPr>
                <w:w w:val="95"/>
                <w:sz w:val="12"/>
              </w:rPr>
              <w:t>(3.588)</w:t>
            </w:r>
          </w:p>
        </w:tc>
        <w:tc>
          <w:tcPr>
            <w:tcW w:w="760" w:type="dxa"/>
          </w:tcPr>
          <w:p>
            <w:pPr>
              <w:pStyle w:val="TableParagraph"/>
              <w:spacing w:before="55"/>
              <w:ind w:right="49"/>
              <w:jc w:val="right"/>
              <w:rPr>
                <w:sz w:val="12"/>
              </w:rPr>
            </w:pPr>
            <w:r>
              <w:rPr>
                <w:w w:val="95"/>
                <w:sz w:val="12"/>
              </w:rPr>
              <w:t>(1.489)</w:t>
            </w:r>
          </w:p>
        </w:tc>
        <w:tc>
          <w:tcPr>
            <w:tcW w:w="983" w:type="dxa"/>
          </w:tcPr>
          <w:p>
            <w:pPr>
              <w:pStyle w:val="TableParagraph"/>
              <w:rPr>
                <w:rFonts w:ascii="Times New Roman"/>
                <w:sz w:val="14"/>
              </w:rPr>
            </w:pPr>
          </w:p>
        </w:tc>
        <w:tc>
          <w:tcPr>
            <w:tcW w:w="997" w:type="dxa"/>
          </w:tcPr>
          <w:p>
            <w:pPr>
              <w:pStyle w:val="TableParagraph"/>
              <w:spacing w:before="55"/>
              <w:ind w:right="49"/>
              <w:jc w:val="right"/>
              <w:rPr>
                <w:sz w:val="12"/>
              </w:rPr>
            </w:pPr>
            <w:r>
              <w:rPr>
                <w:sz w:val="12"/>
              </w:rPr>
              <w:t>(11.894)</w:t>
            </w:r>
          </w:p>
        </w:tc>
      </w:tr>
      <w:tr>
        <w:trPr>
          <w:trHeight w:val="246" w:hRule="atLeast"/>
        </w:trPr>
        <w:tc>
          <w:tcPr>
            <w:tcW w:w="4179" w:type="dxa"/>
          </w:tcPr>
          <w:p>
            <w:pPr>
              <w:pStyle w:val="TableParagraph"/>
              <w:spacing w:before="54"/>
              <w:ind w:left="98"/>
              <w:rPr>
                <w:rFonts w:ascii="Caladea"/>
                <w:b/>
                <w:sz w:val="12"/>
              </w:rPr>
            </w:pPr>
            <w:r>
              <w:rPr>
                <w:rFonts w:ascii="Caladea"/>
                <w:b/>
                <w:sz w:val="12"/>
              </w:rPr>
              <w:t>INVESTIMENTOS EM SOCIEDADES</w:t>
            </w:r>
          </w:p>
        </w:tc>
        <w:tc>
          <w:tcPr>
            <w:tcW w:w="1034" w:type="dxa"/>
          </w:tcPr>
          <w:p>
            <w:pPr>
              <w:pStyle w:val="TableParagraph"/>
              <w:rPr>
                <w:rFonts w:ascii="Times New Roman"/>
                <w:sz w:val="14"/>
              </w:rPr>
            </w:pPr>
          </w:p>
        </w:tc>
        <w:tc>
          <w:tcPr>
            <w:tcW w:w="753" w:type="dxa"/>
          </w:tcPr>
          <w:p>
            <w:pPr>
              <w:pStyle w:val="TableParagraph"/>
              <w:rPr>
                <w:rFonts w:ascii="Times New Roman"/>
                <w:sz w:val="14"/>
              </w:rPr>
            </w:pPr>
          </w:p>
        </w:tc>
        <w:tc>
          <w:tcPr>
            <w:tcW w:w="1271" w:type="dxa"/>
          </w:tcPr>
          <w:p>
            <w:pPr>
              <w:pStyle w:val="TableParagraph"/>
              <w:spacing w:before="54"/>
              <w:ind w:right="54"/>
              <w:jc w:val="right"/>
              <w:rPr>
                <w:rFonts w:ascii="Caladea"/>
                <w:b/>
                <w:sz w:val="12"/>
              </w:rPr>
            </w:pPr>
            <w:r>
              <w:rPr>
                <w:rFonts w:ascii="Caladea"/>
                <w:b/>
                <w:sz w:val="12"/>
              </w:rPr>
              <w:t>183.734</w:t>
            </w:r>
          </w:p>
        </w:tc>
        <w:tc>
          <w:tcPr>
            <w:tcW w:w="760" w:type="dxa"/>
          </w:tcPr>
          <w:p>
            <w:pPr>
              <w:pStyle w:val="TableParagraph"/>
              <w:spacing w:before="54"/>
              <w:ind w:right="50"/>
              <w:jc w:val="right"/>
              <w:rPr>
                <w:rFonts w:ascii="Caladea"/>
                <w:b/>
                <w:sz w:val="12"/>
              </w:rPr>
            </w:pPr>
            <w:r>
              <w:rPr>
                <w:rFonts w:ascii="Caladea"/>
                <w:b/>
                <w:sz w:val="12"/>
              </w:rPr>
              <w:t>564.307</w:t>
            </w:r>
          </w:p>
        </w:tc>
        <w:tc>
          <w:tcPr>
            <w:tcW w:w="983" w:type="dxa"/>
          </w:tcPr>
          <w:p>
            <w:pPr>
              <w:pStyle w:val="TableParagraph"/>
              <w:spacing w:before="54"/>
              <w:ind w:right="49"/>
              <w:jc w:val="right"/>
              <w:rPr>
                <w:rFonts w:ascii="Caladea"/>
                <w:b/>
                <w:sz w:val="12"/>
              </w:rPr>
            </w:pPr>
            <w:r>
              <w:rPr>
                <w:rFonts w:ascii="Caladea"/>
                <w:b/>
                <w:sz w:val="12"/>
              </w:rPr>
              <w:t>(413.884)</w:t>
            </w:r>
          </w:p>
        </w:tc>
        <w:tc>
          <w:tcPr>
            <w:tcW w:w="997" w:type="dxa"/>
          </w:tcPr>
          <w:p>
            <w:pPr>
              <w:pStyle w:val="TableParagraph"/>
              <w:spacing w:before="54"/>
              <w:ind w:right="50"/>
              <w:jc w:val="right"/>
              <w:rPr>
                <w:rFonts w:ascii="Caladea"/>
                <w:b/>
                <w:sz w:val="12"/>
              </w:rPr>
            </w:pPr>
            <w:r>
              <w:rPr>
                <w:rFonts w:ascii="Caladea"/>
                <w:b/>
                <w:sz w:val="12"/>
              </w:rPr>
              <w:t>334.157</w:t>
            </w:r>
          </w:p>
        </w:tc>
      </w:tr>
      <w:tr>
        <w:trPr>
          <w:trHeight w:val="249" w:hRule="atLeast"/>
        </w:trPr>
        <w:tc>
          <w:tcPr>
            <w:tcW w:w="4179" w:type="dxa"/>
          </w:tcPr>
          <w:p>
            <w:pPr>
              <w:pStyle w:val="TableParagraph"/>
              <w:rPr>
                <w:rFonts w:ascii="Times New Roman"/>
                <w:sz w:val="14"/>
              </w:rPr>
            </w:pPr>
          </w:p>
        </w:tc>
        <w:tc>
          <w:tcPr>
            <w:tcW w:w="1034" w:type="dxa"/>
          </w:tcPr>
          <w:p>
            <w:pPr>
              <w:pStyle w:val="TableParagraph"/>
              <w:spacing w:before="53"/>
              <w:ind w:left="175"/>
              <w:rPr>
                <w:rFonts w:ascii="Caladea" w:hAnsi="Caladea"/>
                <w:b/>
                <w:sz w:val="12"/>
              </w:rPr>
            </w:pPr>
            <w:r>
              <w:rPr>
                <w:rFonts w:ascii="Caladea" w:hAnsi="Caladea"/>
                <w:b/>
                <w:sz w:val="12"/>
              </w:rPr>
              <w:t>Distribuição</w:t>
            </w:r>
          </w:p>
        </w:tc>
        <w:tc>
          <w:tcPr>
            <w:tcW w:w="753" w:type="dxa"/>
          </w:tcPr>
          <w:p>
            <w:pPr>
              <w:pStyle w:val="TableParagraph"/>
              <w:spacing w:before="53"/>
              <w:ind w:left="152"/>
              <w:rPr>
                <w:rFonts w:ascii="Caladea" w:hAnsi="Caladea"/>
                <w:b/>
                <w:sz w:val="12"/>
              </w:rPr>
            </w:pPr>
            <w:r>
              <w:rPr>
                <w:rFonts w:ascii="Caladea" w:hAnsi="Caladea"/>
                <w:b/>
                <w:sz w:val="12"/>
              </w:rPr>
              <w:t>Geração</w:t>
            </w:r>
          </w:p>
        </w:tc>
        <w:tc>
          <w:tcPr>
            <w:tcW w:w="1271" w:type="dxa"/>
          </w:tcPr>
          <w:p>
            <w:pPr>
              <w:pStyle w:val="TableParagraph"/>
              <w:spacing w:before="53"/>
              <w:ind w:left="184"/>
              <w:rPr>
                <w:rFonts w:ascii="Caladea" w:hAnsi="Caladea"/>
                <w:b/>
                <w:sz w:val="12"/>
              </w:rPr>
            </w:pPr>
            <w:r>
              <w:rPr>
                <w:rFonts w:ascii="Caladea" w:hAnsi="Caladea"/>
                <w:b/>
                <w:sz w:val="12"/>
              </w:rPr>
              <w:t>Comercialização</w:t>
            </w:r>
          </w:p>
        </w:tc>
        <w:tc>
          <w:tcPr>
            <w:tcW w:w="760" w:type="dxa"/>
          </w:tcPr>
          <w:p>
            <w:pPr>
              <w:pStyle w:val="TableParagraph"/>
              <w:spacing w:before="53"/>
              <w:ind w:left="197"/>
              <w:rPr>
                <w:rFonts w:ascii="Caladea"/>
                <w:b/>
                <w:sz w:val="12"/>
              </w:rPr>
            </w:pPr>
            <w:r>
              <w:rPr>
                <w:rFonts w:ascii="Caladea"/>
                <w:b/>
                <w:sz w:val="12"/>
              </w:rPr>
              <w:t>Outros</w:t>
            </w:r>
          </w:p>
        </w:tc>
        <w:tc>
          <w:tcPr>
            <w:tcW w:w="983" w:type="dxa"/>
          </w:tcPr>
          <w:p>
            <w:pPr>
              <w:pStyle w:val="TableParagraph"/>
              <w:spacing w:before="53"/>
              <w:ind w:left="162"/>
              <w:rPr>
                <w:rFonts w:ascii="Caladea" w:hAnsi="Caladea"/>
                <w:b/>
                <w:sz w:val="12"/>
              </w:rPr>
            </w:pPr>
            <w:r>
              <w:rPr>
                <w:rFonts w:ascii="Caladea" w:hAnsi="Caladea"/>
                <w:b/>
                <w:sz w:val="12"/>
              </w:rPr>
              <w:t>Eliminações</w:t>
            </w:r>
          </w:p>
        </w:tc>
        <w:tc>
          <w:tcPr>
            <w:tcW w:w="997" w:type="dxa"/>
          </w:tcPr>
          <w:p>
            <w:pPr>
              <w:pStyle w:val="TableParagraph"/>
              <w:spacing w:before="53"/>
              <w:ind w:left="161"/>
              <w:rPr>
                <w:rFonts w:ascii="Caladea"/>
                <w:b/>
                <w:sz w:val="12"/>
              </w:rPr>
            </w:pPr>
            <w:r>
              <w:rPr>
                <w:rFonts w:ascii="Caladea"/>
                <w:b/>
                <w:sz w:val="12"/>
              </w:rPr>
              <w:t>Consolidado</w:t>
            </w:r>
          </w:p>
        </w:tc>
      </w:tr>
      <w:tr>
        <w:trPr>
          <w:trHeight w:val="246" w:hRule="atLeast"/>
        </w:trPr>
        <w:tc>
          <w:tcPr>
            <w:tcW w:w="4179" w:type="dxa"/>
          </w:tcPr>
          <w:p>
            <w:pPr>
              <w:pStyle w:val="TableParagraph"/>
              <w:spacing w:before="54"/>
              <w:ind w:left="72"/>
              <w:rPr>
                <w:rFonts w:ascii="Caladea" w:hAnsi="Caladea"/>
                <w:b/>
                <w:sz w:val="12"/>
              </w:rPr>
            </w:pPr>
            <w:r>
              <w:rPr>
                <w:rFonts w:ascii="Caladea" w:hAnsi="Caladea"/>
                <w:b/>
                <w:sz w:val="12"/>
              </w:rPr>
              <w:t>RECEITA OPERACIONAL LÍQUIDA</w:t>
            </w:r>
          </w:p>
        </w:tc>
        <w:tc>
          <w:tcPr>
            <w:tcW w:w="1034" w:type="dxa"/>
          </w:tcPr>
          <w:p>
            <w:pPr>
              <w:pStyle w:val="TableParagraph"/>
              <w:spacing w:before="54"/>
              <w:ind w:right="56"/>
              <w:jc w:val="right"/>
              <w:rPr>
                <w:rFonts w:ascii="Caladea"/>
                <w:b/>
                <w:sz w:val="12"/>
              </w:rPr>
            </w:pPr>
            <w:r>
              <w:rPr>
                <w:rFonts w:ascii="Caladea"/>
                <w:b/>
                <w:sz w:val="12"/>
              </w:rPr>
              <w:t>2.456.209</w:t>
            </w:r>
          </w:p>
        </w:tc>
        <w:tc>
          <w:tcPr>
            <w:tcW w:w="753" w:type="dxa"/>
          </w:tcPr>
          <w:p>
            <w:pPr>
              <w:pStyle w:val="TableParagraph"/>
              <w:spacing w:before="54"/>
              <w:ind w:right="55"/>
              <w:jc w:val="right"/>
              <w:rPr>
                <w:rFonts w:ascii="Caladea"/>
                <w:b/>
                <w:sz w:val="12"/>
              </w:rPr>
            </w:pPr>
            <w:r>
              <w:rPr>
                <w:rFonts w:ascii="Caladea"/>
                <w:b/>
                <w:sz w:val="12"/>
              </w:rPr>
              <w:t>18.306</w:t>
            </w:r>
          </w:p>
        </w:tc>
        <w:tc>
          <w:tcPr>
            <w:tcW w:w="1271" w:type="dxa"/>
          </w:tcPr>
          <w:p>
            <w:pPr>
              <w:pStyle w:val="TableParagraph"/>
              <w:spacing w:before="54"/>
              <w:ind w:right="54"/>
              <w:jc w:val="right"/>
              <w:rPr>
                <w:rFonts w:ascii="Caladea"/>
                <w:b/>
                <w:sz w:val="12"/>
              </w:rPr>
            </w:pPr>
            <w:r>
              <w:rPr>
                <w:rFonts w:ascii="Caladea"/>
                <w:b/>
                <w:sz w:val="12"/>
              </w:rPr>
              <w:t>187.817</w:t>
            </w:r>
          </w:p>
        </w:tc>
        <w:tc>
          <w:tcPr>
            <w:tcW w:w="760" w:type="dxa"/>
          </w:tcPr>
          <w:p>
            <w:pPr>
              <w:pStyle w:val="TableParagraph"/>
              <w:spacing w:before="54"/>
              <w:ind w:right="50"/>
              <w:jc w:val="right"/>
              <w:rPr>
                <w:rFonts w:ascii="Caladea"/>
                <w:b/>
                <w:sz w:val="12"/>
              </w:rPr>
            </w:pPr>
            <w:r>
              <w:rPr>
                <w:rFonts w:ascii="Caladea"/>
                <w:b/>
                <w:sz w:val="12"/>
              </w:rPr>
              <w:t>76.938</w:t>
            </w:r>
          </w:p>
        </w:tc>
        <w:tc>
          <w:tcPr>
            <w:tcW w:w="983" w:type="dxa"/>
          </w:tcPr>
          <w:p>
            <w:pPr>
              <w:pStyle w:val="TableParagraph"/>
              <w:spacing w:before="54"/>
              <w:ind w:right="49"/>
              <w:jc w:val="right"/>
              <w:rPr>
                <w:rFonts w:ascii="Caladea"/>
                <w:b/>
                <w:sz w:val="12"/>
              </w:rPr>
            </w:pPr>
            <w:r>
              <w:rPr>
                <w:rFonts w:ascii="Caladea"/>
                <w:b/>
                <w:sz w:val="12"/>
              </w:rPr>
              <w:t>(149.060)</w:t>
            </w:r>
          </w:p>
        </w:tc>
        <w:tc>
          <w:tcPr>
            <w:tcW w:w="997" w:type="dxa"/>
          </w:tcPr>
          <w:p>
            <w:pPr>
              <w:pStyle w:val="TableParagraph"/>
              <w:spacing w:before="54"/>
              <w:ind w:right="50"/>
              <w:jc w:val="right"/>
              <w:rPr>
                <w:rFonts w:ascii="Caladea"/>
                <w:b/>
                <w:sz w:val="12"/>
              </w:rPr>
            </w:pPr>
            <w:r>
              <w:rPr>
                <w:rFonts w:ascii="Caladea"/>
                <w:b/>
                <w:sz w:val="12"/>
              </w:rPr>
              <w:t>2.590.210</w:t>
            </w:r>
          </w:p>
        </w:tc>
      </w:tr>
      <w:tr>
        <w:trPr>
          <w:trHeight w:val="249" w:hRule="atLeast"/>
        </w:trPr>
        <w:tc>
          <w:tcPr>
            <w:tcW w:w="4179" w:type="dxa"/>
          </w:tcPr>
          <w:p>
            <w:pPr>
              <w:pStyle w:val="TableParagraph"/>
              <w:spacing w:before="55"/>
              <w:ind w:left="125"/>
              <w:rPr>
                <w:sz w:val="12"/>
              </w:rPr>
            </w:pPr>
            <w:r>
              <w:rPr>
                <w:sz w:val="12"/>
              </w:rPr>
              <w:t>Custo com Energia Elétrica</w:t>
            </w:r>
          </w:p>
        </w:tc>
        <w:tc>
          <w:tcPr>
            <w:tcW w:w="1034" w:type="dxa"/>
          </w:tcPr>
          <w:p>
            <w:pPr>
              <w:pStyle w:val="TableParagraph"/>
              <w:spacing w:before="55"/>
              <w:ind w:right="57"/>
              <w:jc w:val="right"/>
              <w:rPr>
                <w:sz w:val="12"/>
              </w:rPr>
            </w:pPr>
            <w:r>
              <w:rPr>
                <w:w w:val="95"/>
                <w:sz w:val="12"/>
              </w:rPr>
              <w:t>(1.912.391)</w:t>
            </w:r>
          </w:p>
        </w:tc>
        <w:tc>
          <w:tcPr>
            <w:tcW w:w="753" w:type="dxa"/>
          </w:tcPr>
          <w:p>
            <w:pPr>
              <w:pStyle w:val="TableParagraph"/>
              <w:spacing w:before="55"/>
              <w:ind w:right="53"/>
              <w:jc w:val="right"/>
              <w:rPr>
                <w:sz w:val="12"/>
              </w:rPr>
            </w:pPr>
            <w:r>
              <w:rPr>
                <w:w w:val="95"/>
                <w:sz w:val="12"/>
              </w:rPr>
              <w:t>(6.266)</w:t>
            </w:r>
          </w:p>
        </w:tc>
        <w:tc>
          <w:tcPr>
            <w:tcW w:w="1271" w:type="dxa"/>
          </w:tcPr>
          <w:p>
            <w:pPr>
              <w:pStyle w:val="TableParagraph"/>
              <w:spacing w:before="55"/>
              <w:ind w:right="54"/>
              <w:jc w:val="right"/>
              <w:rPr>
                <w:sz w:val="12"/>
              </w:rPr>
            </w:pPr>
            <w:r>
              <w:rPr>
                <w:sz w:val="12"/>
              </w:rPr>
              <w:t>(71.635)</w:t>
            </w:r>
          </w:p>
        </w:tc>
        <w:tc>
          <w:tcPr>
            <w:tcW w:w="760" w:type="dxa"/>
          </w:tcPr>
          <w:p>
            <w:pPr>
              <w:pStyle w:val="TableParagraph"/>
              <w:rPr>
                <w:rFonts w:ascii="Times New Roman"/>
                <w:sz w:val="14"/>
              </w:rPr>
            </w:pPr>
          </w:p>
        </w:tc>
        <w:tc>
          <w:tcPr>
            <w:tcW w:w="983" w:type="dxa"/>
          </w:tcPr>
          <w:p>
            <w:pPr>
              <w:pStyle w:val="TableParagraph"/>
              <w:spacing w:before="55"/>
              <w:ind w:right="51"/>
              <w:jc w:val="right"/>
              <w:rPr>
                <w:sz w:val="12"/>
              </w:rPr>
            </w:pPr>
            <w:r>
              <w:rPr>
                <w:w w:val="95"/>
                <w:sz w:val="12"/>
              </w:rPr>
              <w:t>149.060</w:t>
            </w:r>
          </w:p>
        </w:tc>
        <w:tc>
          <w:tcPr>
            <w:tcW w:w="997" w:type="dxa"/>
          </w:tcPr>
          <w:p>
            <w:pPr>
              <w:pStyle w:val="TableParagraph"/>
              <w:spacing w:before="55"/>
              <w:ind w:right="51"/>
              <w:jc w:val="right"/>
              <w:rPr>
                <w:sz w:val="12"/>
              </w:rPr>
            </w:pPr>
            <w:r>
              <w:rPr>
                <w:w w:val="95"/>
                <w:sz w:val="12"/>
              </w:rPr>
              <w:t>(1.841.232)</w:t>
            </w:r>
          </w:p>
        </w:tc>
      </w:tr>
      <w:tr>
        <w:trPr>
          <w:trHeight w:val="246" w:hRule="atLeast"/>
        </w:trPr>
        <w:tc>
          <w:tcPr>
            <w:tcW w:w="4179" w:type="dxa"/>
          </w:tcPr>
          <w:p>
            <w:pPr>
              <w:pStyle w:val="TableParagraph"/>
              <w:spacing w:before="55"/>
              <w:ind w:left="125"/>
              <w:rPr>
                <w:sz w:val="12"/>
              </w:rPr>
            </w:pPr>
            <w:r>
              <w:rPr>
                <w:sz w:val="12"/>
              </w:rPr>
              <w:t>Custo de Operação</w:t>
            </w:r>
          </w:p>
        </w:tc>
        <w:tc>
          <w:tcPr>
            <w:tcW w:w="1034" w:type="dxa"/>
          </w:tcPr>
          <w:p>
            <w:pPr>
              <w:pStyle w:val="TableParagraph"/>
              <w:spacing w:before="55"/>
              <w:ind w:right="55"/>
              <w:jc w:val="right"/>
              <w:rPr>
                <w:sz w:val="12"/>
              </w:rPr>
            </w:pPr>
            <w:r>
              <w:rPr>
                <w:sz w:val="12"/>
              </w:rPr>
              <w:t>(266.141)</w:t>
            </w:r>
          </w:p>
        </w:tc>
        <w:tc>
          <w:tcPr>
            <w:tcW w:w="753" w:type="dxa"/>
          </w:tcPr>
          <w:p>
            <w:pPr>
              <w:pStyle w:val="TableParagraph"/>
              <w:spacing w:before="55"/>
              <w:ind w:right="53"/>
              <w:jc w:val="right"/>
              <w:rPr>
                <w:sz w:val="12"/>
              </w:rPr>
            </w:pPr>
            <w:r>
              <w:rPr>
                <w:w w:val="105"/>
                <w:sz w:val="12"/>
              </w:rPr>
              <w:t>(708)</w:t>
            </w:r>
          </w:p>
        </w:tc>
        <w:tc>
          <w:tcPr>
            <w:tcW w:w="1271" w:type="dxa"/>
          </w:tcPr>
          <w:p>
            <w:pPr>
              <w:pStyle w:val="TableParagraph"/>
              <w:spacing w:before="55"/>
              <w:ind w:right="54"/>
              <w:jc w:val="right"/>
              <w:rPr>
                <w:sz w:val="12"/>
              </w:rPr>
            </w:pPr>
            <w:r>
              <w:rPr>
                <w:sz w:val="12"/>
              </w:rPr>
              <w:t>(34.026)</w:t>
            </w:r>
          </w:p>
        </w:tc>
        <w:tc>
          <w:tcPr>
            <w:tcW w:w="760" w:type="dxa"/>
          </w:tcPr>
          <w:p>
            <w:pPr>
              <w:pStyle w:val="TableParagraph"/>
              <w:spacing w:before="55"/>
              <w:ind w:right="49"/>
              <w:jc w:val="right"/>
              <w:rPr>
                <w:sz w:val="12"/>
              </w:rPr>
            </w:pPr>
            <w:r>
              <w:rPr>
                <w:w w:val="95"/>
                <w:sz w:val="12"/>
              </w:rPr>
              <w:t>(3.774)</w:t>
            </w:r>
          </w:p>
        </w:tc>
        <w:tc>
          <w:tcPr>
            <w:tcW w:w="983" w:type="dxa"/>
          </w:tcPr>
          <w:p>
            <w:pPr>
              <w:pStyle w:val="TableParagraph"/>
              <w:rPr>
                <w:rFonts w:ascii="Times New Roman"/>
                <w:sz w:val="14"/>
              </w:rPr>
            </w:pPr>
          </w:p>
        </w:tc>
        <w:tc>
          <w:tcPr>
            <w:tcW w:w="997" w:type="dxa"/>
          </w:tcPr>
          <w:p>
            <w:pPr>
              <w:pStyle w:val="TableParagraph"/>
              <w:spacing w:before="55"/>
              <w:ind w:right="50"/>
              <w:jc w:val="right"/>
              <w:rPr>
                <w:sz w:val="12"/>
              </w:rPr>
            </w:pPr>
            <w:r>
              <w:rPr>
                <w:sz w:val="12"/>
              </w:rPr>
              <w:t>(304.649)</w:t>
            </w:r>
          </w:p>
        </w:tc>
      </w:tr>
      <w:tr>
        <w:trPr>
          <w:trHeight w:val="249" w:hRule="atLeast"/>
        </w:trPr>
        <w:tc>
          <w:tcPr>
            <w:tcW w:w="4179" w:type="dxa"/>
          </w:tcPr>
          <w:p>
            <w:pPr>
              <w:pStyle w:val="TableParagraph"/>
              <w:spacing w:before="55"/>
              <w:ind w:left="125"/>
              <w:rPr>
                <w:sz w:val="12"/>
              </w:rPr>
            </w:pPr>
            <w:r>
              <w:rPr>
                <w:sz w:val="12"/>
              </w:rPr>
              <w:t>Custo do Serviço Prestado a Terceiros</w:t>
            </w:r>
          </w:p>
        </w:tc>
        <w:tc>
          <w:tcPr>
            <w:tcW w:w="1034" w:type="dxa"/>
          </w:tcPr>
          <w:p>
            <w:pPr>
              <w:pStyle w:val="TableParagraph"/>
              <w:spacing w:before="55"/>
              <w:ind w:right="54"/>
              <w:jc w:val="right"/>
              <w:rPr>
                <w:sz w:val="12"/>
              </w:rPr>
            </w:pPr>
            <w:r>
              <w:rPr>
                <w:w w:val="95"/>
                <w:sz w:val="12"/>
              </w:rPr>
              <w:t>(3.565)</w:t>
            </w:r>
          </w:p>
        </w:tc>
        <w:tc>
          <w:tcPr>
            <w:tcW w:w="753" w:type="dxa"/>
          </w:tcPr>
          <w:p>
            <w:pPr>
              <w:pStyle w:val="TableParagraph"/>
              <w:spacing w:before="55"/>
              <w:ind w:right="53"/>
              <w:jc w:val="right"/>
              <w:rPr>
                <w:sz w:val="12"/>
              </w:rPr>
            </w:pPr>
            <w:r>
              <w:rPr>
                <w:w w:val="95"/>
                <w:sz w:val="12"/>
              </w:rPr>
              <w:t>(3.112)</w:t>
            </w:r>
          </w:p>
        </w:tc>
        <w:tc>
          <w:tcPr>
            <w:tcW w:w="1271" w:type="dxa"/>
          </w:tcPr>
          <w:p>
            <w:pPr>
              <w:pStyle w:val="TableParagraph"/>
              <w:spacing w:before="55"/>
              <w:ind w:right="52"/>
              <w:jc w:val="right"/>
              <w:rPr>
                <w:sz w:val="12"/>
              </w:rPr>
            </w:pPr>
            <w:r>
              <w:rPr>
                <w:w w:val="95"/>
                <w:sz w:val="12"/>
              </w:rPr>
              <w:t>(1.548)</w:t>
            </w:r>
          </w:p>
        </w:tc>
        <w:tc>
          <w:tcPr>
            <w:tcW w:w="760" w:type="dxa"/>
          </w:tcPr>
          <w:p>
            <w:pPr>
              <w:pStyle w:val="TableParagraph"/>
              <w:spacing w:before="55"/>
              <w:ind w:right="49"/>
              <w:jc w:val="right"/>
              <w:rPr>
                <w:sz w:val="12"/>
              </w:rPr>
            </w:pPr>
            <w:r>
              <w:rPr>
                <w:sz w:val="12"/>
              </w:rPr>
              <w:t>(55.792)</w:t>
            </w:r>
          </w:p>
        </w:tc>
        <w:tc>
          <w:tcPr>
            <w:tcW w:w="983" w:type="dxa"/>
          </w:tcPr>
          <w:p>
            <w:pPr>
              <w:pStyle w:val="TableParagraph"/>
              <w:rPr>
                <w:rFonts w:ascii="Times New Roman"/>
                <w:sz w:val="14"/>
              </w:rPr>
            </w:pPr>
          </w:p>
        </w:tc>
        <w:tc>
          <w:tcPr>
            <w:tcW w:w="997" w:type="dxa"/>
          </w:tcPr>
          <w:p>
            <w:pPr>
              <w:pStyle w:val="TableParagraph"/>
              <w:spacing w:before="55"/>
              <w:ind w:right="48"/>
              <w:jc w:val="right"/>
              <w:rPr>
                <w:sz w:val="12"/>
              </w:rPr>
            </w:pPr>
            <w:r>
              <w:rPr>
                <w:sz w:val="12"/>
              </w:rPr>
              <w:t>(64.017)</w:t>
            </w:r>
          </w:p>
        </w:tc>
      </w:tr>
      <w:tr>
        <w:trPr>
          <w:trHeight w:val="246" w:hRule="atLeast"/>
        </w:trPr>
        <w:tc>
          <w:tcPr>
            <w:tcW w:w="4179" w:type="dxa"/>
          </w:tcPr>
          <w:p>
            <w:pPr>
              <w:pStyle w:val="TableParagraph"/>
              <w:spacing w:before="53"/>
              <w:ind w:left="72"/>
              <w:rPr>
                <w:rFonts w:ascii="Caladea"/>
                <w:b/>
                <w:sz w:val="12"/>
              </w:rPr>
            </w:pPr>
            <w:r>
              <w:rPr>
                <w:rFonts w:ascii="Caladea"/>
                <w:b/>
                <w:sz w:val="12"/>
              </w:rPr>
              <w:t>Lucro Bruto</w:t>
            </w:r>
          </w:p>
        </w:tc>
        <w:tc>
          <w:tcPr>
            <w:tcW w:w="1034" w:type="dxa"/>
          </w:tcPr>
          <w:p>
            <w:pPr>
              <w:pStyle w:val="TableParagraph"/>
              <w:spacing w:before="53"/>
              <w:ind w:right="58"/>
              <w:jc w:val="right"/>
              <w:rPr>
                <w:rFonts w:ascii="Caladea"/>
                <w:b/>
                <w:sz w:val="12"/>
              </w:rPr>
            </w:pPr>
            <w:r>
              <w:rPr>
                <w:rFonts w:ascii="Caladea"/>
                <w:b/>
                <w:sz w:val="12"/>
              </w:rPr>
              <w:t>274.112</w:t>
            </w:r>
          </w:p>
        </w:tc>
        <w:tc>
          <w:tcPr>
            <w:tcW w:w="753" w:type="dxa"/>
          </w:tcPr>
          <w:p>
            <w:pPr>
              <w:pStyle w:val="TableParagraph"/>
              <w:spacing w:before="53"/>
              <w:ind w:right="54"/>
              <w:jc w:val="right"/>
              <w:rPr>
                <w:rFonts w:ascii="Caladea"/>
                <w:b/>
                <w:sz w:val="12"/>
              </w:rPr>
            </w:pPr>
            <w:r>
              <w:rPr>
                <w:rFonts w:ascii="Caladea"/>
                <w:b/>
                <w:sz w:val="12"/>
              </w:rPr>
              <w:t>8.220</w:t>
            </w:r>
          </w:p>
        </w:tc>
        <w:tc>
          <w:tcPr>
            <w:tcW w:w="1271" w:type="dxa"/>
          </w:tcPr>
          <w:p>
            <w:pPr>
              <w:pStyle w:val="TableParagraph"/>
              <w:spacing w:before="53"/>
              <w:ind w:right="52"/>
              <w:jc w:val="right"/>
              <w:rPr>
                <w:rFonts w:ascii="Caladea"/>
                <w:b/>
                <w:sz w:val="12"/>
              </w:rPr>
            </w:pPr>
            <w:r>
              <w:rPr>
                <w:rFonts w:ascii="Caladea"/>
                <w:b/>
                <w:sz w:val="12"/>
              </w:rPr>
              <w:t>80.608</w:t>
            </w:r>
          </w:p>
        </w:tc>
        <w:tc>
          <w:tcPr>
            <w:tcW w:w="760" w:type="dxa"/>
          </w:tcPr>
          <w:p>
            <w:pPr>
              <w:pStyle w:val="TableParagraph"/>
              <w:spacing w:before="53"/>
              <w:ind w:right="50"/>
              <w:jc w:val="right"/>
              <w:rPr>
                <w:rFonts w:ascii="Caladea"/>
                <w:b/>
                <w:sz w:val="12"/>
              </w:rPr>
            </w:pPr>
            <w:r>
              <w:rPr>
                <w:rFonts w:ascii="Caladea"/>
                <w:b/>
                <w:sz w:val="12"/>
              </w:rPr>
              <w:t>17.372</w:t>
            </w:r>
          </w:p>
        </w:tc>
        <w:tc>
          <w:tcPr>
            <w:tcW w:w="983" w:type="dxa"/>
          </w:tcPr>
          <w:p>
            <w:pPr>
              <w:pStyle w:val="TableParagraph"/>
              <w:rPr>
                <w:rFonts w:ascii="Times New Roman"/>
                <w:sz w:val="14"/>
              </w:rPr>
            </w:pPr>
          </w:p>
        </w:tc>
        <w:tc>
          <w:tcPr>
            <w:tcW w:w="997" w:type="dxa"/>
          </w:tcPr>
          <w:p>
            <w:pPr>
              <w:pStyle w:val="TableParagraph"/>
              <w:spacing w:before="53"/>
              <w:ind w:right="50"/>
              <w:jc w:val="right"/>
              <w:rPr>
                <w:rFonts w:ascii="Caladea"/>
                <w:b/>
                <w:sz w:val="12"/>
              </w:rPr>
            </w:pPr>
            <w:r>
              <w:rPr>
                <w:rFonts w:ascii="Caladea"/>
                <w:b/>
                <w:sz w:val="12"/>
              </w:rPr>
              <w:t>380.312</w:t>
            </w:r>
          </w:p>
        </w:tc>
      </w:tr>
      <w:tr>
        <w:trPr>
          <w:trHeight w:val="249" w:hRule="atLeast"/>
        </w:trPr>
        <w:tc>
          <w:tcPr>
            <w:tcW w:w="4179" w:type="dxa"/>
          </w:tcPr>
          <w:p>
            <w:pPr>
              <w:pStyle w:val="TableParagraph"/>
              <w:spacing w:before="54"/>
              <w:ind w:left="72"/>
              <w:rPr>
                <w:rFonts w:ascii="Caladea"/>
                <w:b/>
                <w:sz w:val="12"/>
              </w:rPr>
            </w:pPr>
            <w:r>
              <w:rPr>
                <w:rFonts w:ascii="Caladea"/>
                <w:b/>
                <w:sz w:val="12"/>
              </w:rPr>
              <w:t>Receitas/ (Despesas) Operacionais</w:t>
            </w:r>
          </w:p>
        </w:tc>
        <w:tc>
          <w:tcPr>
            <w:tcW w:w="1034" w:type="dxa"/>
          </w:tcPr>
          <w:p>
            <w:pPr>
              <w:pStyle w:val="TableParagraph"/>
              <w:spacing w:before="54"/>
              <w:ind w:right="54"/>
              <w:jc w:val="right"/>
              <w:rPr>
                <w:rFonts w:ascii="Caladea"/>
                <w:b/>
                <w:sz w:val="12"/>
              </w:rPr>
            </w:pPr>
            <w:r>
              <w:rPr>
                <w:rFonts w:ascii="Caladea"/>
                <w:b/>
                <w:sz w:val="12"/>
              </w:rPr>
              <w:t>(233.098)</w:t>
            </w:r>
          </w:p>
        </w:tc>
        <w:tc>
          <w:tcPr>
            <w:tcW w:w="753" w:type="dxa"/>
          </w:tcPr>
          <w:p>
            <w:pPr>
              <w:pStyle w:val="TableParagraph"/>
              <w:spacing w:before="54"/>
              <w:ind w:right="55"/>
              <w:jc w:val="right"/>
              <w:rPr>
                <w:rFonts w:ascii="Caladea"/>
                <w:b/>
                <w:sz w:val="12"/>
              </w:rPr>
            </w:pPr>
            <w:r>
              <w:rPr>
                <w:rFonts w:ascii="Caladea"/>
                <w:b/>
                <w:sz w:val="12"/>
              </w:rPr>
              <w:t>73.540</w:t>
            </w:r>
          </w:p>
        </w:tc>
        <w:tc>
          <w:tcPr>
            <w:tcW w:w="1271" w:type="dxa"/>
          </w:tcPr>
          <w:p>
            <w:pPr>
              <w:pStyle w:val="TableParagraph"/>
              <w:spacing w:before="54"/>
              <w:ind w:right="53"/>
              <w:jc w:val="right"/>
              <w:rPr>
                <w:rFonts w:ascii="Caladea"/>
                <w:b/>
                <w:sz w:val="12"/>
              </w:rPr>
            </w:pPr>
            <w:r>
              <w:rPr>
                <w:rFonts w:ascii="Caladea"/>
                <w:b/>
                <w:sz w:val="12"/>
              </w:rPr>
              <w:t>4.188</w:t>
            </w:r>
          </w:p>
        </w:tc>
        <w:tc>
          <w:tcPr>
            <w:tcW w:w="760" w:type="dxa"/>
          </w:tcPr>
          <w:p>
            <w:pPr>
              <w:pStyle w:val="TableParagraph"/>
              <w:spacing w:before="54"/>
              <w:ind w:right="50"/>
              <w:jc w:val="right"/>
              <w:rPr>
                <w:rFonts w:ascii="Caladea"/>
                <w:b/>
                <w:sz w:val="12"/>
              </w:rPr>
            </w:pPr>
            <w:r>
              <w:rPr>
                <w:rFonts w:ascii="Caladea"/>
                <w:b/>
                <w:sz w:val="12"/>
              </w:rPr>
              <w:t>68.260</w:t>
            </w:r>
          </w:p>
        </w:tc>
        <w:tc>
          <w:tcPr>
            <w:tcW w:w="983" w:type="dxa"/>
          </w:tcPr>
          <w:p>
            <w:pPr>
              <w:pStyle w:val="TableParagraph"/>
              <w:spacing w:before="54"/>
              <w:ind w:right="52"/>
              <w:jc w:val="right"/>
              <w:rPr>
                <w:rFonts w:ascii="Caladea"/>
                <w:b/>
                <w:sz w:val="12"/>
              </w:rPr>
            </w:pPr>
            <w:r>
              <w:rPr>
                <w:rFonts w:ascii="Caladea"/>
                <w:b/>
                <w:sz w:val="12"/>
              </w:rPr>
              <w:t>(56.846)</w:t>
            </w:r>
          </w:p>
        </w:tc>
        <w:tc>
          <w:tcPr>
            <w:tcW w:w="997" w:type="dxa"/>
          </w:tcPr>
          <w:p>
            <w:pPr>
              <w:pStyle w:val="TableParagraph"/>
              <w:spacing w:before="54"/>
              <w:ind w:right="47"/>
              <w:jc w:val="right"/>
              <w:rPr>
                <w:rFonts w:ascii="Caladea"/>
                <w:b/>
                <w:sz w:val="12"/>
              </w:rPr>
            </w:pPr>
            <w:r>
              <w:rPr>
                <w:rFonts w:ascii="Caladea"/>
                <w:b/>
                <w:sz w:val="12"/>
              </w:rPr>
              <w:t>(143.956)</w:t>
            </w:r>
          </w:p>
        </w:tc>
      </w:tr>
      <w:tr>
        <w:trPr>
          <w:trHeight w:val="246" w:hRule="atLeast"/>
        </w:trPr>
        <w:tc>
          <w:tcPr>
            <w:tcW w:w="4179" w:type="dxa"/>
          </w:tcPr>
          <w:p>
            <w:pPr>
              <w:pStyle w:val="TableParagraph"/>
              <w:spacing w:before="55"/>
              <w:ind w:left="72"/>
              <w:rPr>
                <w:sz w:val="12"/>
              </w:rPr>
            </w:pPr>
            <w:r>
              <w:rPr>
                <w:sz w:val="12"/>
              </w:rPr>
              <w:t>Despesas com Vendas</w:t>
            </w:r>
          </w:p>
        </w:tc>
        <w:tc>
          <w:tcPr>
            <w:tcW w:w="1034" w:type="dxa"/>
          </w:tcPr>
          <w:p>
            <w:pPr>
              <w:pStyle w:val="TableParagraph"/>
              <w:spacing w:before="55"/>
              <w:ind w:right="55"/>
              <w:jc w:val="right"/>
              <w:rPr>
                <w:sz w:val="12"/>
              </w:rPr>
            </w:pPr>
            <w:r>
              <w:rPr>
                <w:sz w:val="12"/>
              </w:rPr>
              <w:t>(137.938)</w:t>
            </w:r>
          </w:p>
        </w:tc>
        <w:tc>
          <w:tcPr>
            <w:tcW w:w="753" w:type="dxa"/>
          </w:tcPr>
          <w:p>
            <w:pPr>
              <w:pStyle w:val="TableParagraph"/>
              <w:rPr>
                <w:rFonts w:ascii="Times New Roman"/>
                <w:sz w:val="14"/>
              </w:rPr>
            </w:pPr>
          </w:p>
        </w:tc>
        <w:tc>
          <w:tcPr>
            <w:tcW w:w="1271" w:type="dxa"/>
          </w:tcPr>
          <w:p>
            <w:pPr>
              <w:pStyle w:val="TableParagraph"/>
              <w:spacing w:before="55"/>
              <w:ind w:right="52"/>
              <w:jc w:val="right"/>
              <w:rPr>
                <w:sz w:val="12"/>
              </w:rPr>
            </w:pPr>
            <w:r>
              <w:rPr>
                <w:w w:val="105"/>
                <w:sz w:val="12"/>
              </w:rPr>
              <w:t>(104)</w:t>
            </w:r>
          </w:p>
        </w:tc>
        <w:tc>
          <w:tcPr>
            <w:tcW w:w="760" w:type="dxa"/>
          </w:tcPr>
          <w:p>
            <w:pPr>
              <w:pStyle w:val="TableParagraph"/>
              <w:spacing w:before="55"/>
              <w:ind w:right="48"/>
              <w:jc w:val="right"/>
              <w:rPr>
                <w:sz w:val="12"/>
              </w:rPr>
            </w:pPr>
            <w:r>
              <w:rPr>
                <w:w w:val="105"/>
                <w:sz w:val="12"/>
              </w:rPr>
              <w:t>284</w:t>
            </w:r>
          </w:p>
        </w:tc>
        <w:tc>
          <w:tcPr>
            <w:tcW w:w="983" w:type="dxa"/>
          </w:tcPr>
          <w:p>
            <w:pPr>
              <w:pStyle w:val="TableParagraph"/>
              <w:rPr>
                <w:rFonts w:ascii="Times New Roman"/>
                <w:sz w:val="14"/>
              </w:rPr>
            </w:pPr>
          </w:p>
        </w:tc>
        <w:tc>
          <w:tcPr>
            <w:tcW w:w="997" w:type="dxa"/>
          </w:tcPr>
          <w:p>
            <w:pPr>
              <w:pStyle w:val="TableParagraph"/>
              <w:spacing w:before="55"/>
              <w:ind w:right="50"/>
              <w:jc w:val="right"/>
              <w:rPr>
                <w:sz w:val="12"/>
              </w:rPr>
            </w:pPr>
            <w:r>
              <w:rPr>
                <w:sz w:val="12"/>
              </w:rPr>
              <w:t>(137.758)</w:t>
            </w:r>
          </w:p>
        </w:tc>
      </w:tr>
      <w:tr>
        <w:trPr>
          <w:trHeight w:val="249" w:hRule="atLeast"/>
        </w:trPr>
        <w:tc>
          <w:tcPr>
            <w:tcW w:w="4179" w:type="dxa"/>
          </w:tcPr>
          <w:p>
            <w:pPr>
              <w:pStyle w:val="TableParagraph"/>
              <w:spacing w:before="55"/>
              <w:ind w:left="72"/>
              <w:rPr>
                <w:sz w:val="12"/>
              </w:rPr>
            </w:pPr>
            <w:r>
              <w:rPr>
                <w:sz w:val="12"/>
              </w:rPr>
              <w:t>Despesas Gerais e Administrativas</w:t>
            </w:r>
          </w:p>
        </w:tc>
        <w:tc>
          <w:tcPr>
            <w:tcW w:w="1034" w:type="dxa"/>
          </w:tcPr>
          <w:p>
            <w:pPr>
              <w:pStyle w:val="TableParagraph"/>
              <w:spacing w:before="55"/>
              <w:ind w:right="55"/>
              <w:jc w:val="right"/>
              <w:rPr>
                <w:sz w:val="12"/>
              </w:rPr>
            </w:pPr>
            <w:r>
              <w:rPr>
                <w:sz w:val="12"/>
              </w:rPr>
              <w:t>(144.903)</w:t>
            </w:r>
          </w:p>
        </w:tc>
        <w:tc>
          <w:tcPr>
            <w:tcW w:w="753" w:type="dxa"/>
          </w:tcPr>
          <w:p>
            <w:pPr>
              <w:pStyle w:val="TableParagraph"/>
              <w:spacing w:before="55"/>
              <w:ind w:right="53"/>
              <w:jc w:val="right"/>
              <w:rPr>
                <w:sz w:val="12"/>
              </w:rPr>
            </w:pPr>
            <w:r>
              <w:rPr>
                <w:w w:val="95"/>
                <w:sz w:val="12"/>
              </w:rPr>
              <w:t>(2.095)</w:t>
            </w:r>
          </w:p>
        </w:tc>
        <w:tc>
          <w:tcPr>
            <w:tcW w:w="1271" w:type="dxa"/>
          </w:tcPr>
          <w:p>
            <w:pPr>
              <w:pStyle w:val="TableParagraph"/>
              <w:spacing w:before="55"/>
              <w:ind w:right="52"/>
              <w:jc w:val="right"/>
              <w:rPr>
                <w:sz w:val="12"/>
              </w:rPr>
            </w:pPr>
            <w:r>
              <w:rPr>
                <w:w w:val="95"/>
                <w:sz w:val="12"/>
              </w:rPr>
              <w:t>(4.851)</w:t>
            </w:r>
          </w:p>
        </w:tc>
        <w:tc>
          <w:tcPr>
            <w:tcW w:w="760" w:type="dxa"/>
          </w:tcPr>
          <w:p>
            <w:pPr>
              <w:pStyle w:val="TableParagraph"/>
              <w:spacing w:before="55"/>
              <w:ind w:right="49"/>
              <w:jc w:val="right"/>
              <w:rPr>
                <w:sz w:val="12"/>
              </w:rPr>
            </w:pPr>
            <w:r>
              <w:rPr>
                <w:sz w:val="12"/>
              </w:rPr>
              <w:t>(17.621)</w:t>
            </w:r>
          </w:p>
        </w:tc>
        <w:tc>
          <w:tcPr>
            <w:tcW w:w="983" w:type="dxa"/>
          </w:tcPr>
          <w:p>
            <w:pPr>
              <w:pStyle w:val="TableParagraph"/>
              <w:rPr>
                <w:rFonts w:ascii="Times New Roman"/>
                <w:sz w:val="14"/>
              </w:rPr>
            </w:pPr>
          </w:p>
        </w:tc>
        <w:tc>
          <w:tcPr>
            <w:tcW w:w="997" w:type="dxa"/>
          </w:tcPr>
          <w:p>
            <w:pPr>
              <w:pStyle w:val="TableParagraph"/>
              <w:spacing w:before="55"/>
              <w:ind w:right="51"/>
              <w:jc w:val="right"/>
              <w:rPr>
                <w:sz w:val="12"/>
              </w:rPr>
            </w:pPr>
            <w:r>
              <w:rPr>
                <w:sz w:val="12"/>
              </w:rPr>
              <w:t>(169.470)</w:t>
            </w:r>
          </w:p>
        </w:tc>
      </w:tr>
      <w:tr>
        <w:trPr>
          <w:trHeight w:val="247" w:hRule="atLeast"/>
        </w:trPr>
        <w:tc>
          <w:tcPr>
            <w:tcW w:w="4179" w:type="dxa"/>
          </w:tcPr>
          <w:p>
            <w:pPr>
              <w:pStyle w:val="TableParagraph"/>
              <w:spacing w:before="55"/>
              <w:ind w:left="72"/>
              <w:rPr>
                <w:sz w:val="12"/>
              </w:rPr>
            </w:pPr>
            <w:r>
              <w:rPr>
                <w:sz w:val="12"/>
              </w:rPr>
              <w:t>Resultado de Equivalência Patrimonial</w:t>
            </w:r>
          </w:p>
        </w:tc>
        <w:tc>
          <w:tcPr>
            <w:tcW w:w="1034" w:type="dxa"/>
          </w:tcPr>
          <w:p>
            <w:pPr>
              <w:pStyle w:val="TableParagraph"/>
              <w:rPr>
                <w:rFonts w:ascii="Times New Roman"/>
                <w:sz w:val="14"/>
              </w:rPr>
            </w:pPr>
          </w:p>
        </w:tc>
        <w:tc>
          <w:tcPr>
            <w:tcW w:w="753" w:type="dxa"/>
          </w:tcPr>
          <w:p>
            <w:pPr>
              <w:pStyle w:val="TableParagraph"/>
              <w:rPr>
                <w:rFonts w:ascii="Times New Roman"/>
                <w:sz w:val="14"/>
              </w:rPr>
            </w:pPr>
          </w:p>
        </w:tc>
        <w:tc>
          <w:tcPr>
            <w:tcW w:w="1271" w:type="dxa"/>
          </w:tcPr>
          <w:p>
            <w:pPr>
              <w:pStyle w:val="TableParagraph"/>
              <w:spacing w:before="55"/>
              <w:ind w:right="53"/>
              <w:jc w:val="right"/>
              <w:rPr>
                <w:sz w:val="12"/>
              </w:rPr>
            </w:pPr>
            <w:r>
              <w:rPr>
                <w:w w:val="95"/>
                <w:sz w:val="12"/>
              </w:rPr>
              <w:t>8.375</w:t>
            </w:r>
          </w:p>
        </w:tc>
        <w:tc>
          <w:tcPr>
            <w:tcW w:w="760" w:type="dxa"/>
          </w:tcPr>
          <w:p>
            <w:pPr>
              <w:pStyle w:val="TableParagraph"/>
              <w:spacing w:before="55"/>
              <w:ind w:right="50"/>
              <w:jc w:val="right"/>
              <w:rPr>
                <w:sz w:val="12"/>
              </w:rPr>
            </w:pPr>
            <w:r>
              <w:rPr>
                <w:w w:val="95"/>
                <w:sz w:val="12"/>
              </w:rPr>
              <w:t>80.144</w:t>
            </w:r>
          </w:p>
        </w:tc>
        <w:tc>
          <w:tcPr>
            <w:tcW w:w="983" w:type="dxa"/>
          </w:tcPr>
          <w:p>
            <w:pPr>
              <w:pStyle w:val="TableParagraph"/>
              <w:spacing w:before="55"/>
              <w:ind w:right="50"/>
              <w:jc w:val="right"/>
              <w:rPr>
                <w:sz w:val="12"/>
              </w:rPr>
            </w:pPr>
            <w:r>
              <w:rPr>
                <w:sz w:val="12"/>
              </w:rPr>
              <w:t>(56.846)</w:t>
            </w:r>
          </w:p>
        </w:tc>
        <w:tc>
          <w:tcPr>
            <w:tcW w:w="997" w:type="dxa"/>
          </w:tcPr>
          <w:p>
            <w:pPr>
              <w:pStyle w:val="TableParagraph"/>
              <w:spacing w:before="55"/>
              <w:ind w:right="50"/>
              <w:jc w:val="right"/>
              <w:rPr>
                <w:sz w:val="12"/>
              </w:rPr>
            </w:pPr>
            <w:r>
              <w:rPr>
                <w:w w:val="95"/>
                <w:sz w:val="12"/>
              </w:rPr>
              <w:t>31.673</w:t>
            </w:r>
          </w:p>
        </w:tc>
      </w:tr>
      <w:tr>
        <w:trPr>
          <w:trHeight w:val="249" w:hRule="atLeast"/>
        </w:trPr>
        <w:tc>
          <w:tcPr>
            <w:tcW w:w="4179" w:type="dxa"/>
          </w:tcPr>
          <w:p>
            <w:pPr>
              <w:pStyle w:val="TableParagraph"/>
              <w:spacing w:before="55"/>
              <w:ind w:left="72"/>
              <w:rPr>
                <w:sz w:val="12"/>
              </w:rPr>
            </w:pPr>
            <w:r>
              <w:rPr>
                <w:sz w:val="12"/>
              </w:rPr>
              <w:t>Outras Receitas (Despesas) Operacionais</w:t>
            </w:r>
          </w:p>
        </w:tc>
        <w:tc>
          <w:tcPr>
            <w:tcW w:w="1034" w:type="dxa"/>
          </w:tcPr>
          <w:p>
            <w:pPr>
              <w:pStyle w:val="TableParagraph"/>
              <w:spacing w:before="55"/>
              <w:ind w:right="58"/>
              <w:jc w:val="right"/>
              <w:rPr>
                <w:sz w:val="12"/>
              </w:rPr>
            </w:pPr>
            <w:r>
              <w:rPr>
                <w:w w:val="95"/>
                <w:sz w:val="12"/>
              </w:rPr>
              <w:t>49.743</w:t>
            </w:r>
          </w:p>
        </w:tc>
        <w:tc>
          <w:tcPr>
            <w:tcW w:w="753" w:type="dxa"/>
          </w:tcPr>
          <w:p>
            <w:pPr>
              <w:pStyle w:val="TableParagraph"/>
              <w:spacing w:before="55"/>
              <w:ind w:right="54"/>
              <w:jc w:val="right"/>
              <w:rPr>
                <w:sz w:val="12"/>
              </w:rPr>
            </w:pPr>
            <w:r>
              <w:rPr>
                <w:w w:val="95"/>
                <w:sz w:val="12"/>
              </w:rPr>
              <w:t>75.635</w:t>
            </w:r>
          </w:p>
        </w:tc>
        <w:tc>
          <w:tcPr>
            <w:tcW w:w="1271" w:type="dxa"/>
          </w:tcPr>
          <w:p>
            <w:pPr>
              <w:pStyle w:val="TableParagraph"/>
              <w:spacing w:before="55"/>
              <w:ind w:right="52"/>
              <w:jc w:val="right"/>
              <w:rPr>
                <w:sz w:val="12"/>
              </w:rPr>
            </w:pPr>
            <w:r>
              <w:rPr>
                <w:w w:val="105"/>
                <w:sz w:val="12"/>
              </w:rPr>
              <w:t>768</w:t>
            </w:r>
          </w:p>
        </w:tc>
        <w:tc>
          <w:tcPr>
            <w:tcW w:w="760" w:type="dxa"/>
          </w:tcPr>
          <w:p>
            <w:pPr>
              <w:pStyle w:val="TableParagraph"/>
              <w:spacing w:before="55"/>
              <w:ind w:right="50"/>
              <w:jc w:val="right"/>
              <w:rPr>
                <w:sz w:val="12"/>
              </w:rPr>
            </w:pPr>
            <w:r>
              <w:rPr>
                <w:w w:val="95"/>
                <w:sz w:val="12"/>
              </w:rPr>
              <w:t>5.453</w:t>
            </w:r>
          </w:p>
        </w:tc>
        <w:tc>
          <w:tcPr>
            <w:tcW w:w="983" w:type="dxa"/>
          </w:tcPr>
          <w:p>
            <w:pPr>
              <w:pStyle w:val="TableParagraph"/>
              <w:rPr>
                <w:rFonts w:ascii="Times New Roman"/>
                <w:sz w:val="14"/>
              </w:rPr>
            </w:pPr>
          </w:p>
        </w:tc>
        <w:tc>
          <w:tcPr>
            <w:tcW w:w="997" w:type="dxa"/>
          </w:tcPr>
          <w:p>
            <w:pPr>
              <w:pStyle w:val="TableParagraph"/>
              <w:spacing w:before="55"/>
              <w:ind w:right="50"/>
              <w:jc w:val="right"/>
              <w:rPr>
                <w:sz w:val="12"/>
              </w:rPr>
            </w:pPr>
            <w:r>
              <w:rPr>
                <w:w w:val="95"/>
                <w:sz w:val="12"/>
              </w:rPr>
              <w:t>131.599</w:t>
            </w:r>
          </w:p>
        </w:tc>
      </w:tr>
      <w:tr>
        <w:trPr>
          <w:trHeight w:val="246" w:hRule="atLeast"/>
        </w:trPr>
        <w:tc>
          <w:tcPr>
            <w:tcW w:w="4179" w:type="dxa"/>
          </w:tcPr>
          <w:p>
            <w:pPr>
              <w:pStyle w:val="TableParagraph"/>
              <w:spacing w:before="53"/>
              <w:ind w:left="72"/>
              <w:rPr>
                <w:rFonts w:ascii="Caladea" w:hAnsi="Caladea"/>
                <w:b/>
                <w:sz w:val="12"/>
              </w:rPr>
            </w:pPr>
            <w:r>
              <w:rPr>
                <w:rFonts w:ascii="Caladea" w:hAnsi="Caladea"/>
                <w:b/>
                <w:sz w:val="12"/>
              </w:rPr>
              <w:t>Lucro (Prejuízo) Operacional antes do Resultado Financeiro</w:t>
            </w:r>
          </w:p>
        </w:tc>
        <w:tc>
          <w:tcPr>
            <w:tcW w:w="1034" w:type="dxa"/>
          </w:tcPr>
          <w:p>
            <w:pPr>
              <w:pStyle w:val="TableParagraph"/>
              <w:spacing w:before="53"/>
              <w:ind w:right="56"/>
              <w:jc w:val="right"/>
              <w:rPr>
                <w:rFonts w:ascii="Caladea"/>
                <w:b/>
                <w:sz w:val="12"/>
              </w:rPr>
            </w:pPr>
            <w:r>
              <w:rPr>
                <w:rFonts w:ascii="Caladea"/>
                <w:b/>
                <w:sz w:val="12"/>
              </w:rPr>
              <w:t>41.014</w:t>
            </w:r>
          </w:p>
        </w:tc>
        <w:tc>
          <w:tcPr>
            <w:tcW w:w="753" w:type="dxa"/>
          </w:tcPr>
          <w:p>
            <w:pPr>
              <w:pStyle w:val="TableParagraph"/>
              <w:spacing w:before="53"/>
              <w:ind w:right="55"/>
              <w:jc w:val="right"/>
              <w:rPr>
                <w:rFonts w:ascii="Caladea"/>
                <w:b/>
                <w:sz w:val="12"/>
              </w:rPr>
            </w:pPr>
            <w:r>
              <w:rPr>
                <w:rFonts w:ascii="Caladea"/>
                <w:b/>
                <w:sz w:val="12"/>
              </w:rPr>
              <w:t>81.760</w:t>
            </w:r>
          </w:p>
        </w:tc>
        <w:tc>
          <w:tcPr>
            <w:tcW w:w="1271" w:type="dxa"/>
          </w:tcPr>
          <w:p>
            <w:pPr>
              <w:pStyle w:val="TableParagraph"/>
              <w:spacing w:before="53"/>
              <w:ind w:right="54"/>
              <w:jc w:val="right"/>
              <w:rPr>
                <w:rFonts w:ascii="Caladea"/>
                <w:b/>
                <w:sz w:val="12"/>
              </w:rPr>
            </w:pPr>
            <w:r>
              <w:rPr>
                <w:rFonts w:ascii="Caladea"/>
                <w:b/>
                <w:sz w:val="12"/>
              </w:rPr>
              <w:t>84.796</w:t>
            </w:r>
          </w:p>
        </w:tc>
        <w:tc>
          <w:tcPr>
            <w:tcW w:w="760" w:type="dxa"/>
          </w:tcPr>
          <w:p>
            <w:pPr>
              <w:pStyle w:val="TableParagraph"/>
              <w:spacing w:before="53"/>
              <w:ind w:right="50"/>
              <w:jc w:val="right"/>
              <w:rPr>
                <w:rFonts w:ascii="Caladea"/>
                <w:b/>
                <w:sz w:val="12"/>
              </w:rPr>
            </w:pPr>
            <w:r>
              <w:rPr>
                <w:rFonts w:ascii="Caladea"/>
                <w:b/>
                <w:sz w:val="12"/>
              </w:rPr>
              <w:t>85.632</w:t>
            </w:r>
          </w:p>
        </w:tc>
        <w:tc>
          <w:tcPr>
            <w:tcW w:w="983" w:type="dxa"/>
          </w:tcPr>
          <w:p>
            <w:pPr>
              <w:pStyle w:val="TableParagraph"/>
              <w:spacing w:before="53"/>
              <w:ind w:right="52"/>
              <w:jc w:val="right"/>
              <w:rPr>
                <w:rFonts w:ascii="Caladea"/>
                <w:b/>
                <w:sz w:val="12"/>
              </w:rPr>
            </w:pPr>
            <w:r>
              <w:rPr>
                <w:rFonts w:ascii="Caladea"/>
                <w:b/>
                <w:sz w:val="12"/>
              </w:rPr>
              <w:t>(56.846)</w:t>
            </w:r>
          </w:p>
        </w:tc>
        <w:tc>
          <w:tcPr>
            <w:tcW w:w="997" w:type="dxa"/>
          </w:tcPr>
          <w:p>
            <w:pPr>
              <w:pStyle w:val="TableParagraph"/>
              <w:spacing w:before="53"/>
              <w:ind w:right="49"/>
              <w:jc w:val="right"/>
              <w:rPr>
                <w:rFonts w:ascii="Caladea"/>
                <w:b/>
                <w:sz w:val="12"/>
              </w:rPr>
            </w:pPr>
            <w:r>
              <w:rPr>
                <w:rFonts w:ascii="Caladea"/>
                <w:b/>
                <w:sz w:val="12"/>
              </w:rPr>
              <w:t>236.356</w:t>
            </w:r>
          </w:p>
        </w:tc>
      </w:tr>
      <w:tr>
        <w:trPr>
          <w:trHeight w:val="249" w:hRule="atLeast"/>
        </w:trPr>
        <w:tc>
          <w:tcPr>
            <w:tcW w:w="4179" w:type="dxa"/>
          </w:tcPr>
          <w:p>
            <w:pPr>
              <w:pStyle w:val="TableParagraph"/>
              <w:spacing w:before="54"/>
              <w:ind w:left="72"/>
              <w:rPr>
                <w:rFonts w:ascii="Caladea"/>
                <w:b/>
                <w:sz w:val="12"/>
              </w:rPr>
            </w:pPr>
            <w:r>
              <w:rPr>
                <w:rFonts w:ascii="Caladea"/>
                <w:b/>
                <w:sz w:val="12"/>
              </w:rPr>
              <w:t>Receitas (Despesas) Financeiras</w:t>
            </w:r>
          </w:p>
        </w:tc>
        <w:tc>
          <w:tcPr>
            <w:tcW w:w="1034" w:type="dxa"/>
          </w:tcPr>
          <w:p>
            <w:pPr>
              <w:pStyle w:val="TableParagraph"/>
              <w:spacing w:before="54"/>
              <w:ind w:right="54"/>
              <w:jc w:val="right"/>
              <w:rPr>
                <w:rFonts w:ascii="Caladea"/>
                <w:b/>
                <w:sz w:val="12"/>
              </w:rPr>
            </w:pPr>
            <w:r>
              <w:rPr>
                <w:rFonts w:ascii="Caladea"/>
                <w:b/>
                <w:sz w:val="12"/>
              </w:rPr>
              <w:t>(118.134)</w:t>
            </w:r>
          </w:p>
        </w:tc>
        <w:tc>
          <w:tcPr>
            <w:tcW w:w="753" w:type="dxa"/>
          </w:tcPr>
          <w:p>
            <w:pPr>
              <w:pStyle w:val="TableParagraph"/>
              <w:spacing w:before="54"/>
              <w:ind w:right="54"/>
              <w:jc w:val="right"/>
              <w:rPr>
                <w:rFonts w:ascii="Caladea"/>
                <w:b/>
                <w:sz w:val="12"/>
              </w:rPr>
            </w:pPr>
            <w:r>
              <w:rPr>
                <w:rFonts w:ascii="Caladea"/>
                <w:b/>
                <w:sz w:val="12"/>
              </w:rPr>
              <w:t>1.188</w:t>
            </w:r>
          </w:p>
        </w:tc>
        <w:tc>
          <w:tcPr>
            <w:tcW w:w="1271" w:type="dxa"/>
          </w:tcPr>
          <w:p>
            <w:pPr>
              <w:pStyle w:val="TableParagraph"/>
              <w:spacing w:before="54"/>
              <w:ind w:right="53"/>
              <w:jc w:val="right"/>
              <w:rPr>
                <w:rFonts w:ascii="Caladea"/>
                <w:b/>
                <w:sz w:val="12"/>
              </w:rPr>
            </w:pPr>
            <w:r>
              <w:rPr>
                <w:rFonts w:ascii="Caladea"/>
                <w:b/>
                <w:sz w:val="12"/>
              </w:rPr>
              <w:t>2.642</w:t>
            </w:r>
          </w:p>
        </w:tc>
        <w:tc>
          <w:tcPr>
            <w:tcW w:w="760" w:type="dxa"/>
          </w:tcPr>
          <w:p>
            <w:pPr>
              <w:pStyle w:val="TableParagraph"/>
              <w:spacing w:before="54"/>
              <w:ind w:right="50"/>
              <w:jc w:val="right"/>
              <w:rPr>
                <w:rFonts w:ascii="Caladea"/>
                <w:b/>
                <w:sz w:val="12"/>
              </w:rPr>
            </w:pPr>
            <w:r>
              <w:rPr>
                <w:rFonts w:ascii="Caladea"/>
                <w:b/>
                <w:sz w:val="12"/>
              </w:rPr>
              <w:t>1.253</w:t>
            </w:r>
          </w:p>
        </w:tc>
        <w:tc>
          <w:tcPr>
            <w:tcW w:w="983" w:type="dxa"/>
          </w:tcPr>
          <w:p>
            <w:pPr>
              <w:pStyle w:val="TableParagraph"/>
              <w:rPr>
                <w:rFonts w:ascii="Times New Roman"/>
                <w:sz w:val="14"/>
              </w:rPr>
            </w:pPr>
          </w:p>
        </w:tc>
        <w:tc>
          <w:tcPr>
            <w:tcW w:w="997" w:type="dxa"/>
          </w:tcPr>
          <w:p>
            <w:pPr>
              <w:pStyle w:val="TableParagraph"/>
              <w:spacing w:before="54"/>
              <w:ind w:right="48"/>
              <w:jc w:val="right"/>
              <w:rPr>
                <w:rFonts w:ascii="Caladea"/>
                <w:b/>
                <w:sz w:val="12"/>
              </w:rPr>
            </w:pPr>
            <w:r>
              <w:rPr>
                <w:rFonts w:ascii="Caladea"/>
                <w:b/>
                <w:sz w:val="12"/>
              </w:rPr>
              <w:t>(113.051)</w:t>
            </w:r>
          </w:p>
        </w:tc>
      </w:tr>
      <w:tr>
        <w:trPr>
          <w:trHeight w:val="246" w:hRule="atLeast"/>
        </w:trPr>
        <w:tc>
          <w:tcPr>
            <w:tcW w:w="4179" w:type="dxa"/>
          </w:tcPr>
          <w:p>
            <w:pPr>
              <w:pStyle w:val="TableParagraph"/>
              <w:spacing w:before="55"/>
              <w:ind w:left="72"/>
              <w:rPr>
                <w:sz w:val="12"/>
              </w:rPr>
            </w:pPr>
            <w:r>
              <w:rPr>
                <w:sz w:val="12"/>
              </w:rPr>
              <w:t>Receitas Financeiras</w:t>
            </w:r>
          </w:p>
        </w:tc>
        <w:tc>
          <w:tcPr>
            <w:tcW w:w="1034" w:type="dxa"/>
          </w:tcPr>
          <w:p>
            <w:pPr>
              <w:pStyle w:val="TableParagraph"/>
              <w:spacing w:before="55"/>
              <w:ind w:right="55"/>
              <w:jc w:val="right"/>
              <w:rPr>
                <w:sz w:val="12"/>
              </w:rPr>
            </w:pPr>
            <w:r>
              <w:rPr>
                <w:w w:val="95"/>
                <w:sz w:val="12"/>
              </w:rPr>
              <w:t>84.594</w:t>
            </w:r>
          </w:p>
        </w:tc>
        <w:tc>
          <w:tcPr>
            <w:tcW w:w="753" w:type="dxa"/>
          </w:tcPr>
          <w:p>
            <w:pPr>
              <w:pStyle w:val="TableParagraph"/>
              <w:spacing w:before="55"/>
              <w:ind w:right="54"/>
              <w:jc w:val="right"/>
              <w:rPr>
                <w:sz w:val="12"/>
              </w:rPr>
            </w:pPr>
            <w:r>
              <w:rPr>
                <w:w w:val="95"/>
                <w:sz w:val="12"/>
              </w:rPr>
              <w:t>1.353</w:t>
            </w:r>
          </w:p>
        </w:tc>
        <w:tc>
          <w:tcPr>
            <w:tcW w:w="1271" w:type="dxa"/>
          </w:tcPr>
          <w:p>
            <w:pPr>
              <w:pStyle w:val="TableParagraph"/>
              <w:spacing w:before="55"/>
              <w:ind w:right="53"/>
              <w:jc w:val="right"/>
              <w:rPr>
                <w:sz w:val="12"/>
              </w:rPr>
            </w:pPr>
            <w:r>
              <w:rPr>
                <w:w w:val="95"/>
                <w:sz w:val="12"/>
              </w:rPr>
              <w:t>4.507</w:t>
            </w:r>
          </w:p>
        </w:tc>
        <w:tc>
          <w:tcPr>
            <w:tcW w:w="760" w:type="dxa"/>
          </w:tcPr>
          <w:p>
            <w:pPr>
              <w:pStyle w:val="TableParagraph"/>
              <w:spacing w:before="55"/>
              <w:ind w:right="50"/>
              <w:jc w:val="right"/>
              <w:rPr>
                <w:sz w:val="12"/>
              </w:rPr>
            </w:pPr>
            <w:r>
              <w:rPr>
                <w:w w:val="95"/>
                <w:sz w:val="12"/>
              </w:rPr>
              <w:t>1.477</w:t>
            </w:r>
          </w:p>
        </w:tc>
        <w:tc>
          <w:tcPr>
            <w:tcW w:w="983" w:type="dxa"/>
          </w:tcPr>
          <w:p>
            <w:pPr>
              <w:pStyle w:val="TableParagraph"/>
              <w:rPr>
                <w:rFonts w:ascii="Times New Roman"/>
                <w:sz w:val="14"/>
              </w:rPr>
            </w:pPr>
          </w:p>
        </w:tc>
        <w:tc>
          <w:tcPr>
            <w:tcW w:w="997" w:type="dxa"/>
          </w:tcPr>
          <w:p>
            <w:pPr>
              <w:pStyle w:val="TableParagraph"/>
              <w:spacing w:before="55"/>
              <w:ind w:right="50"/>
              <w:jc w:val="right"/>
              <w:rPr>
                <w:sz w:val="12"/>
              </w:rPr>
            </w:pPr>
            <w:r>
              <w:rPr>
                <w:w w:val="95"/>
                <w:sz w:val="12"/>
              </w:rPr>
              <w:t>91.931</w:t>
            </w:r>
          </w:p>
        </w:tc>
      </w:tr>
      <w:tr>
        <w:trPr>
          <w:trHeight w:val="249" w:hRule="atLeast"/>
        </w:trPr>
        <w:tc>
          <w:tcPr>
            <w:tcW w:w="4179" w:type="dxa"/>
          </w:tcPr>
          <w:p>
            <w:pPr>
              <w:pStyle w:val="TableParagraph"/>
              <w:spacing w:before="55"/>
              <w:ind w:left="72"/>
              <w:rPr>
                <w:sz w:val="12"/>
              </w:rPr>
            </w:pPr>
            <w:r>
              <w:rPr>
                <w:sz w:val="12"/>
              </w:rPr>
              <w:t>Despesas Financeiras</w:t>
            </w:r>
          </w:p>
        </w:tc>
        <w:tc>
          <w:tcPr>
            <w:tcW w:w="1034" w:type="dxa"/>
          </w:tcPr>
          <w:p>
            <w:pPr>
              <w:pStyle w:val="TableParagraph"/>
              <w:spacing w:before="55"/>
              <w:ind w:right="57"/>
              <w:jc w:val="right"/>
              <w:rPr>
                <w:sz w:val="12"/>
              </w:rPr>
            </w:pPr>
            <w:r>
              <w:rPr>
                <w:sz w:val="12"/>
              </w:rPr>
              <w:t>(198.505)</w:t>
            </w:r>
          </w:p>
        </w:tc>
        <w:tc>
          <w:tcPr>
            <w:tcW w:w="753" w:type="dxa"/>
          </w:tcPr>
          <w:p>
            <w:pPr>
              <w:pStyle w:val="TableParagraph"/>
              <w:spacing w:before="55"/>
              <w:ind w:right="53"/>
              <w:jc w:val="right"/>
              <w:rPr>
                <w:sz w:val="12"/>
              </w:rPr>
            </w:pPr>
            <w:r>
              <w:rPr>
                <w:w w:val="105"/>
                <w:sz w:val="12"/>
              </w:rPr>
              <w:t>(165)</w:t>
            </w:r>
          </w:p>
        </w:tc>
        <w:tc>
          <w:tcPr>
            <w:tcW w:w="1271" w:type="dxa"/>
          </w:tcPr>
          <w:p>
            <w:pPr>
              <w:pStyle w:val="TableParagraph"/>
              <w:spacing w:before="55"/>
              <w:ind w:right="52"/>
              <w:jc w:val="right"/>
              <w:rPr>
                <w:sz w:val="12"/>
              </w:rPr>
            </w:pPr>
            <w:r>
              <w:rPr>
                <w:w w:val="95"/>
                <w:sz w:val="12"/>
              </w:rPr>
              <w:t>(1.865)</w:t>
            </w:r>
          </w:p>
        </w:tc>
        <w:tc>
          <w:tcPr>
            <w:tcW w:w="760" w:type="dxa"/>
          </w:tcPr>
          <w:p>
            <w:pPr>
              <w:pStyle w:val="TableParagraph"/>
              <w:spacing w:before="55"/>
              <w:ind w:right="49"/>
              <w:jc w:val="right"/>
              <w:rPr>
                <w:sz w:val="12"/>
              </w:rPr>
            </w:pPr>
            <w:r>
              <w:rPr>
                <w:w w:val="105"/>
                <w:sz w:val="12"/>
              </w:rPr>
              <w:t>(224)</w:t>
            </w:r>
          </w:p>
        </w:tc>
        <w:tc>
          <w:tcPr>
            <w:tcW w:w="983" w:type="dxa"/>
          </w:tcPr>
          <w:p>
            <w:pPr>
              <w:pStyle w:val="TableParagraph"/>
              <w:rPr>
                <w:rFonts w:ascii="Times New Roman"/>
                <w:sz w:val="14"/>
              </w:rPr>
            </w:pPr>
          </w:p>
        </w:tc>
        <w:tc>
          <w:tcPr>
            <w:tcW w:w="997" w:type="dxa"/>
          </w:tcPr>
          <w:p>
            <w:pPr>
              <w:pStyle w:val="TableParagraph"/>
              <w:spacing w:before="55"/>
              <w:ind w:right="51"/>
              <w:jc w:val="right"/>
              <w:rPr>
                <w:sz w:val="12"/>
              </w:rPr>
            </w:pPr>
            <w:r>
              <w:rPr>
                <w:sz w:val="12"/>
              </w:rPr>
              <w:t>(200.759)</w:t>
            </w:r>
          </w:p>
        </w:tc>
      </w:tr>
      <w:tr>
        <w:trPr>
          <w:trHeight w:val="246" w:hRule="atLeast"/>
        </w:trPr>
        <w:tc>
          <w:tcPr>
            <w:tcW w:w="4179" w:type="dxa"/>
          </w:tcPr>
          <w:p>
            <w:pPr>
              <w:pStyle w:val="TableParagraph"/>
              <w:spacing w:before="55"/>
              <w:ind w:left="72"/>
              <w:rPr>
                <w:sz w:val="12"/>
              </w:rPr>
            </w:pPr>
            <w:r>
              <w:rPr>
                <w:sz w:val="12"/>
              </w:rPr>
              <w:t>Variação Cambial</w:t>
            </w:r>
          </w:p>
        </w:tc>
        <w:tc>
          <w:tcPr>
            <w:tcW w:w="1034" w:type="dxa"/>
          </w:tcPr>
          <w:p>
            <w:pPr>
              <w:pStyle w:val="TableParagraph"/>
              <w:spacing w:before="55"/>
              <w:ind w:right="54"/>
              <w:jc w:val="right"/>
              <w:rPr>
                <w:sz w:val="12"/>
              </w:rPr>
            </w:pPr>
            <w:r>
              <w:rPr>
                <w:w w:val="95"/>
                <w:sz w:val="12"/>
              </w:rPr>
              <w:t>(4.223)</w:t>
            </w:r>
          </w:p>
        </w:tc>
        <w:tc>
          <w:tcPr>
            <w:tcW w:w="753" w:type="dxa"/>
          </w:tcPr>
          <w:p>
            <w:pPr>
              <w:pStyle w:val="TableParagraph"/>
              <w:rPr>
                <w:rFonts w:ascii="Times New Roman"/>
                <w:sz w:val="14"/>
              </w:rPr>
            </w:pPr>
          </w:p>
        </w:tc>
        <w:tc>
          <w:tcPr>
            <w:tcW w:w="1271" w:type="dxa"/>
          </w:tcPr>
          <w:p>
            <w:pPr>
              <w:pStyle w:val="TableParagraph"/>
              <w:rPr>
                <w:rFonts w:ascii="Times New Roman"/>
                <w:sz w:val="14"/>
              </w:rPr>
            </w:pPr>
          </w:p>
        </w:tc>
        <w:tc>
          <w:tcPr>
            <w:tcW w:w="760" w:type="dxa"/>
          </w:tcPr>
          <w:p>
            <w:pPr>
              <w:pStyle w:val="TableParagraph"/>
              <w:rPr>
                <w:rFonts w:ascii="Times New Roman"/>
                <w:sz w:val="14"/>
              </w:rPr>
            </w:pPr>
          </w:p>
        </w:tc>
        <w:tc>
          <w:tcPr>
            <w:tcW w:w="983" w:type="dxa"/>
          </w:tcPr>
          <w:p>
            <w:pPr>
              <w:pStyle w:val="TableParagraph"/>
              <w:rPr>
                <w:rFonts w:ascii="Times New Roman"/>
                <w:sz w:val="14"/>
              </w:rPr>
            </w:pPr>
          </w:p>
        </w:tc>
        <w:tc>
          <w:tcPr>
            <w:tcW w:w="997" w:type="dxa"/>
          </w:tcPr>
          <w:p>
            <w:pPr>
              <w:pStyle w:val="TableParagraph"/>
              <w:spacing w:before="55"/>
              <w:ind w:right="49"/>
              <w:jc w:val="right"/>
              <w:rPr>
                <w:sz w:val="12"/>
              </w:rPr>
            </w:pPr>
            <w:r>
              <w:rPr>
                <w:w w:val="95"/>
                <w:sz w:val="12"/>
              </w:rPr>
              <w:t>(4.223)</w:t>
            </w:r>
          </w:p>
        </w:tc>
      </w:tr>
      <w:tr>
        <w:trPr>
          <w:trHeight w:val="249" w:hRule="atLeast"/>
        </w:trPr>
        <w:tc>
          <w:tcPr>
            <w:tcW w:w="4179" w:type="dxa"/>
          </w:tcPr>
          <w:p>
            <w:pPr>
              <w:pStyle w:val="TableParagraph"/>
              <w:spacing w:before="53"/>
              <w:ind w:left="72"/>
              <w:rPr>
                <w:rFonts w:ascii="Caladea" w:hAnsi="Caladea"/>
                <w:b/>
                <w:sz w:val="12"/>
              </w:rPr>
            </w:pPr>
            <w:r>
              <w:rPr>
                <w:rFonts w:ascii="Caladea" w:hAnsi="Caladea"/>
                <w:b/>
                <w:sz w:val="12"/>
              </w:rPr>
              <w:t>Lucro (Prejuízo) Operacional antes dos Tributos</w:t>
            </w:r>
          </w:p>
        </w:tc>
        <w:tc>
          <w:tcPr>
            <w:tcW w:w="1034" w:type="dxa"/>
          </w:tcPr>
          <w:p>
            <w:pPr>
              <w:pStyle w:val="TableParagraph"/>
              <w:spacing w:before="53"/>
              <w:ind w:right="56"/>
              <w:jc w:val="right"/>
              <w:rPr>
                <w:rFonts w:ascii="Caladea"/>
                <w:b/>
                <w:sz w:val="12"/>
              </w:rPr>
            </w:pPr>
            <w:r>
              <w:rPr>
                <w:rFonts w:ascii="Caladea"/>
                <w:b/>
                <w:sz w:val="12"/>
              </w:rPr>
              <w:t>(77.120)</w:t>
            </w:r>
          </w:p>
        </w:tc>
        <w:tc>
          <w:tcPr>
            <w:tcW w:w="753" w:type="dxa"/>
          </w:tcPr>
          <w:p>
            <w:pPr>
              <w:pStyle w:val="TableParagraph"/>
              <w:spacing w:before="53"/>
              <w:ind w:right="55"/>
              <w:jc w:val="right"/>
              <w:rPr>
                <w:rFonts w:ascii="Caladea"/>
                <w:b/>
                <w:sz w:val="12"/>
              </w:rPr>
            </w:pPr>
            <w:r>
              <w:rPr>
                <w:rFonts w:ascii="Caladea"/>
                <w:b/>
                <w:sz w:val="12"/>
              </w:rPr>
              <w:t>82.948</w:t>
            </w:r>
          </w:p>
        </w:tc>
        <w:tc>
          <w:tcPr>
            <w:tcW w:w="1271" w:type="dxa"/>
          </w:tcPr>
          <w:p>
            <w:pPr>
              <w:pStyle w:val="TableParagraph"/>
              <w:spacing w:before="53"/>
              <w:ind w:right="54"/>
              <w:jc w:val="right"/>
              <w:rPr>
                <w:rFonts w:ascii="Caladea"/>
                <w:b/>
                <w:sz w:val="12"/>
              </w:rPr>
            </w:pPr>
            <w:r>
              <w:rPr>
                <w:rFonts w:ascii="Caladea"/>
                <w:b/>
                <w:sz w:val="12"/>
              </w:rPr>
              <w:t>87.438</w:t>
            </w:r>
          </w:p>
        </w:tc>
        <w:tc>
          <w:tcPr>
            <w:tcW w:w="760" w:type="dxa"/>
          </w:tcPr>
          <w:p>
            <w:pPr>
              <w:pStyle w:val="TableParagraph"/>
              <w:spacing w:before="53"/>
              <w:ind w:right="50"/>
              <w:jc w:val="right"/>
              <w:rPr>
                <w:rFonts w:ascii="Caladea"/>
                <w:b/>
                <w:sz w:val="12"/>
              </w:rPr>
            </w:pPr>
            <w:r>
              <w:rPr>
                <w:rFonts w:ascii="Caladea"/>
                <w:b/>
                <w:sz w:val="12"/>
              </w:rPr>
              <w:t>86.885</w:t>
            </w:r>
          </w:p>
        </w:tc>
        <w:tc>
          <w:tcPr>
            <w:tcW w:w="983" w:type="dxa"/>
          </w:tcPr>
          <w:p>
            <w:pPr>
              <w:pStyle w:val="TableParagraph"/>
              <w:spacing w:before="53"/>
              <w:ind w:right="52"/>
              <w:jc w:val="right"/>
              <w:rPr>
                <w:rFonts w:ascii="Caladea"/>
                <w:b/>
                <w:sz w:val="12"/>
              </w:rPr>
            </w:pPr>
            <w:r>
              <w:rPr>
                <w:rFonts w:ascii="Caladea"/>
                <w:b/>
                <w:sz w:val="12"/>
              </w:rPr>
              <w:t>(56.846)</w:t>
            </w:r>
          </w:p>
        </w:tc>
        <w:tc>
          <w:tcPr>
            <w:tcW w:w="997" w:type="dxa"/>
          </w:tcPr>
          <w:p>
            <w:pPr>
              <w:pStyle w:val="TableParagraph"/>
              <w:spacing w:before="53"/>
              <w:ind w:right="50"/>
              <w:jc w:val="right"/>
              <w:rPr>
                <w:rFonts w:ascii="Caladea"/>
                <w:b/>
                <w:sz w:val="12"/>
              </w:rPr>
            </w:pPr>
            <w:r>
              <w:rPr>
                <w:rFonts w:ascii="Caladea"/>
                <w:b/>
                <w:sz w:val="12"/>
              </w:rPr>
              <w:t>123.305</w:t>
            </w:r>
          </w:p>
        </w:tc>
      </w:tr>
      <w:tr>
        <w:trPr>
          <w:trHeight w:val="246" w:hRule="atLeast"/>
        </w:trPr>
        <w:tc>
          <w:tcPr>
            <w:tcW w:w="4179" w:type="dxa"/>
          </w:tcPr>
          <w:p>
            <w:pPr>
              <w:pStyle w:val="TableParagraph"/>
              <w:spacing w:before="54"/>
              <w:ind w:left="72"/>
              <w:rPr>
                <w:rFonts w:ascii="Caladea" w:hAnsi="Caladea"/>
                <w:b/>
                <w:sz w:val="12"/>
              </w:rPr>
            </w:pPr>
            <w:r>
              <w:rPr>
                <w:rFonts w:ascii="Caladea" w:hAnsi="Caladea"/>
                <w:b/>
                <w:sz w:val="12"/>
              </w:rPr>
              <w:t>Imposto de Renda e Contribuição Social</w:t>
            </w:r>
          </w:p>
        </w:tc>
        <w:tc>
          <w:tcPr>
            <w:tcW w:w="1034" w:type="dxa"/>
          </w:tcPr>
          <w:p>
            <w:pPr>
              <w:pStyle w:val="TableParagraph"/>
              <w:spacing w:before="54"/>
              <w:ind w:right="56"/>
              <w:jc w:val="right"/>
              <w:rPr>
                <w:rFonts w:ascii="Caladea"/>
                <w:b/>
                <w:sz w:val="12"/>
              </w:rPr>
            </w:pPr>
            <w:r>
              <w:rPr>
                <w:rFonts w:ascii="Caladea"/>
                <w:b/>
                <w:sz w:val="12"/>
              </w:rPr>
              <w:t>43.442</w:t>
            </w:r>
          </w:p>
        </w:tc>
        <w:tc>
          <w:tcPr>
            <w:tcW w:w="753" w:type="dxa"/>
          </w:tcPr>
          <w:p>
            <w:pPr>
              <w:pStyle w:val="TableParagraph"/>
              <w:spacing w:before="54"/>
              <w:ind w:right="55"/>
              <w:jc w:val="right"/>
              <w:rPr>
                <w:rFonts w:ascii="Caladea"/>
                <w:b/>
                <w:sz w:val="12"/>
              </w:rPr>
            </w:pPr>
            <w:r>
              <w:rPr>
                <w:rFonts w:ascii="Caladea"/>
                <w:b/>
                <w:sz w:val="12"/>
              </w:rPr>
              <w:t>(26.939)</w:t>
            </w:r>
          </w:p>
        </w:tc>
        <w:tc>
          <w:tcPr>
            <w:tcW w:w="1271" w:type="dxa"/>
          </w:tcPr>
          <w:p>
            <w:pPr>
              <w:pStyle w:val="TableParagraph"/>
              <w:spacing w:before="54"/>
              <w:ind w:right="54"/>
              <w:jc w:val="right"/>
              <w:rPr>
                <w:rFonts w:ascii="Caladea"/>
                <w:b/>
                <w:sz w:val="12"/>
              </w:rPr>
            </w:pPr>
            <w:r>
              <w:rPr>
                <w:rFonts w:ascii="Caladea"/>
                <w:b/>
                <w:sz w:val="12"/>
              </w:rPr>
              <w:t>(20.428)</w:t>
            </w:r>
          </w:p>
        </w:tc>
        <w:tc>
          <w:tcPr>
            <w:tcW w:w="760" w:type="dxa"/>
          </w:tcPr>
          <w:p>
            <w:pPr>
              <w:pStyle w:val="TableParagraph"/>
              <w:spacing w:before="54"/>
              <w:ind w:right="51"/>
              <w:jc w:val="right"/>
              <w:rPr>
                <w:rFonts w:ascii="Caladea"/>
                <w:b/>
                <w:sz w:val="12"/>
              </w:rPr>
            </w:pPr>
            <w:r>
              <w:rPr>
                <w:rFonts w:ascii="Caladea"/>
                <w:b/>
                <w:sz w:val="12"/>
              </w:rPr>
              <w:t>(3.670)</w:t>
            </w:r>
          </w:p>
        </w:tc>
        <w:tc>
          <w:tcPr>
            <w:tcW w:w="983" w:type="dxa"/>
          </w:tcPr>
          <w:p>
            <w:pPr>
              <w:pStyle w:val="TableParagraph"/>
              <w:rPr>
                <w:rFonts w:ascii="Times New Roman"/>
                <w:sz w:val="14"/>
              </w:rPr>
            </w:pPr>
          </w:p>
        </w:tc>
        <w:tc>
          <w:tcPr>
            <w:tcW w:w="997" w:type="dxa"/>
          </w:tcPr>
          <w:p>
            <w:pPr>
              <w:pStyle w:val="TableParagraph"/>
              <w:spacing w:before="54"/>
              <w:ind w:right="50"/>
              <w:jc w:val="right"/>
              <w:rPr>
                <w:rFonts w:ascii="Caladea"/>
                <w:b/>
                <w:sz w:val="12"/>
              </w:rPr>
            </w:pPr>
            <w:r>
              <w:rPr>
                <w:rFonts w:ascii="Caladea"/>
                <w:b/>
                <w:sz w:val="12"/>
              </w:rPr>
              <w:t>(7.595)</w:t>
            </w:r>
          </w:p>
        </w:tc>
      </w:tr>
      <w:tr>
        <w:trPr>
          <w:trHeight w:val="249" w:hRule="atLeast"/>
        </w:trPr>
        <w:tc>
          <w:tcPr>
            <w:tcW w:w="4179" w:type="dxa"/>
          </w:tcPr>
          <w:p>
            <w:pPr>
              <w:pStyle w:val="TableParagraph"/>
              <w:spacing w:before="55"/>
              <w:ind w:left="72"/>
              <w:rPr>
                <w:sz w:val="12"/>
              </w:rPr>
            </w:pPr>
            <w:r>
              <w:rPr>
                <w:sz w:val="12"/>
              </w:rPr>
              <w:t>Imposto de Renda e Contribuição Social </w:t>
            </w:r>
            <w:r>
              <w:rPr>
                <w:w w:val="105"/>
                <w:sz w:val="12"/>
              </w:rPr>
              <w:t>– </w:t>
            </w:r>
            <w:r>
              <w:rPr>
                <w:sz w:val="12"/>
              </w:rPr>
              <w:t>Corrente</w:t>
            </w:r>
          </w:p>
        </w:tc>
        <w:tc>
          <w:tcPr>
            <w:tcW w:w="1034" w:type="dxa"/>
          </w:tcPr>
          <w:p>
            <w:pPr>
              <w:pStyle w:val="TableParagraph"/>
              <w:spacing w:before="55"/>
              <w:ind w:right="54"/>
              <w:jc w:val="right"/>
              <w:rPr>
                <w:sz w:val="12"/>
              </w:rPr>
            </w:pPr>
            <w:r>
              <w:rPr>
                <w:w w:val="95"/>
                <w:sz w:val="12"/>
              </w:rPr>
              <w:t>(3.360)</w:t>
            </w:r>
          </w:p>
        </w:tc>
        <w:tc>
          <w:tcPr>
            <w:tcW w:w="753" w:type="dxa"/>
          </w:tcPr>
          <w:p>
            <w:pPr>
              <w:pStyle w:val="TableParagraph"/>
              <w:spacing w:before="55"/>
              <w:ind w:right="55"/>
              <w:jc w:val="right"/>
              <w:rPr>
                <w:sz w:val="12"/>
              </w:rPr>
            </w:pPr>
            <w:r>
              <w:rPr>
                <w:sz w:val="12"/>
              </w:rPr>
              <w:t>(26.939)</w:t>
            </w:r>
          </w:p>
        </w:tc>
        <w:tc>
          <w:tcPr>
            <w:tcW w:w="1271" w:type="dxa"/>
          </w:tcPr>
          <w:p>
            <w:pPr>
              <w:pStyle w:val="TableParagraph"/>
              <w:spacing w:before="55"/>
              <w:ind w:right="54"/>
              <w:jc w:val="right"/>
              <w:rPr>
                <w:sz w:val="12"/>
              </w:rPr>
            </w:pPr>
            <w:r>
              <w:rPr>
                <w:sz w:val="12"/>
              </w:rPr>
              <w:t>(20.305)</w:t>
            </w:r>
          </w:p>
        </w:tc>
        <w:tc>
          <w:tcPr>
            <w:tcW w:w="760" w:type="dxa"/>
          </w:tcPr>
          <w:p>
            <w:pPr>
              <w:pStyle w:val="TableParagraph"/>
              <w:spacing w:before="55"/>
              <w:ind w:right="49"/>
              <w:jc w:val="right"/>
              <w:rPr>
                <w:sz w:val="12"/>
              </w:rPr>
            </w:pPr>
            <w:r>
              <w:rPr>
                <w:w w:val="95"/>
                <w:sz w:val="12"/>
              </w:rPr>
              <w:t>(2.376)</w:t>
            </w:r>
          </w:p>
        </w:tc>
        <w:tc>
          <w:tcPr>
            <w:tcW w:w="983" w:type="dxa"/>
          </w:tcPr>
          <w:p>
            <w:pPr>
              <w:pStyle w:val="TableParagraph"/>
              <w:rPr>
                <w:rFonts w:ascii="Times New Roman"/>
                <w:sz w:val="14"/>
              </w:rPr>
            </w:pPr>
          </w:p>
        </w:tc>
        <w:tc>
          <w:tcPr>
            <w:tcW w:w="997" w:type="dxa"/>
          </w:tcPr>
          <w:p>
            <w:pPr>
              <w:pStyle w:val="TableParagraph"/>
              <w:spacing w:before="55"/>
              <w:ind w:right="49"/>
              <w:jc w:val="right"/>
              <w:rPr>
                <w:sz w:val="12"/>
              </w:rPr>
            </w:pPr>
            <w:r>
              <w:rPr>
                <w:sz w:val="12"/>
              </w:rPr>
              <w:t>(52.980)</w:t>
            </w:r>
          </w:p>
        </w:tc>
      </w:tr>
      <w:tr>
        <w:trPr>
          <w:trHeight w:val="246" w:hRule="atLeast"/>
        </w:trPr>
        <w:tc>
          <w:tcPr>
            <w:tcW w:w="4179" w:type="dxa"/>
          </w:tcPr>
          <w:p>
            <w:pPr>
              <w:pStyle w:val="TableParagraph"/>
              <w:spacing w:before="55"/>
              <w:ind w:left="72"/>
              <w:rPr>
                <w:sz w:val="12"/>
              </w:rPr>
            </w:pPr>
            <w:r>
              <w:rPr>
                <w:sz w:val="12"/>
              </w:rPr>
              <w:t>Imposto de Renda e Contribuição Social </w:t>
            </w:r>
            <w:r>
              <w:rPr>
                <w:w w:val="105"/>
                <w:sz w:val="12"/>
              </w:rPr>
              <w:t>– </w:t>
            </w:r>
            <w:r>
              <w:rPr>
                <w:sz w:val="12"/>
              </w:rPr>
              <w:t>Diferido</w:t>
            </w:r>
          </w:p>
        </w:tc>
        <w:tc>
          <w:tcPr>
            <w:tcW w:w="1034" w:type="dxa"/>
          </w:tcPr>
          <w:p>
            <w:pPr>
              <w:pStyle w:val="TableParagraph"/>
              <w:spacing w:before="55"/>
              <w:ind w:right="55"/>
              <w:jc w:val="right"/>
              <w:rPr>
                <w:sz w:val="12"/>
              </w:rPr>
            </w:pPr>
            <w:r>
              <w:rPr>
                <w:w w:val="95"/>
                <w:sz w:val="12"/>
              </w:rPr>
              <w:t>46.802</w:t>
            </w:r>
          </w:p>
        </w:tc>
        <w:tc>
          <w:tcPr>
            <w:tcW w:w="753" w:type="dxa"/>
          </w:tcPr>
          <w:p>
            <w:pPr>
              <w:pStyle w:val="TableParagraph"/>
              <w:rPr>
                <w:rFonts w:ascii="Times New Roman"/>
                <w:sz w:val="14"/>
              </w:rPr>
            </w:pPr>
          </w:p>
        </w:tc>
        <w:tc>
          <w:tcPr>
            <w:tcW w:w="1271" w:type="dxa"/>
          </w:tcPr>
          <w:p>
            <w:pPr>
              <w:pStyle w:val="TableParagraph"/>
              <w:spacing w:before="55"/>
              <w:ind w:right="52"/>
              <w:jc w:val="right"/>
              <w:rPr>
                <w:sz w:val="12"/>
              </w:rPr>
            </w:pPr>
            <w:r>
              <w:rPr>
                <w:w w:val="105"/>
                <w:sz w:val="12"/>
              </w:rPr>
              <w:t>(123)</w:t>
            </w:r>
          </w:p>
        </w:tc>
        <w:tc>
          <w:tcPr>
            <w:tcW w:w="760" w:type="dxa"/>
          </w:tcPr>
          <w:p>
            <w:pPr>
              <w:pStyle w:val="TableParagraph"/>
              <w:spacing w:before="55"/>
              <w:ind w:right="49"/>
              <w:jc w:val="right"/>
              <w:rPr>
                <w:sz w:val="12"/>
              </w:rPr>
            </w:pPr>
            <w:r>
              <w:rPr>
                <w:w w:val="95"/>
                <w:sz w:val="12"/>
              </w:rPr>
              <w:t>(1.294)</w:t>
            </w:r>
          </w:p>
        </w:tc>
        <w:tc>
          <w:tcPr>
            <w:tcW w:w="983" w:type="dxa"/>
          </w:tcPr>
          <w:p>
            <w:pPr>
              <w:pStyle w:val="TableParagraph"/>
              <w:rPr>
                <w:rFonts w:ascii="Times New Roman"/>
                <w:sz w:val="14"/>
              </w:rPr>
            </w:pPr>
          </w:p>
        </w:tc>
        <w:tc>
          <w:tcPr>
            <w:tcW w:w="997" w:type="dxa"/>
          </w:tcPr>
          <w:p>
            <w:pPr>
              <w:pStyle w:val="TableParagraph"/>
              <w:spacing w:before="55"/>
              <w:ind w:right="50"/>
              <w:jc w:val="right"/>
              <w:rPr>
                <w:sz w:val="12"/>
              </w:rPr>
            </w:pPr>
            <w:r>
              <w:rPr>
                <w:w w:val="95"/>
                <w:sz w:val="12"/>
              </w:rPr>
              <w:t>45.385</w:t>
            </w:r>
          </w:p>
        </w:tc>
      </w:tr>
      <w:tr>
        <w:trPr>
          <w:trHeight w:val="249" w:hRule="atLeast"/>
        </w:trPr>
        <w:tc>
          <w:tcPr>
            <w:tcW w:w="4179" w:type="dxa"/>
          </w:tcPr>
          <w:p>
            <w:pPr>
              <w:pStyle w:val="TableParagraph"/>
              <w:spacing w:before="53"/>
              <w:ind w:left="72"/>
              <w:rPr>
                <w:rFonts w:ascii="Caladea" w:hAnsi="Caladea"/>
                <w:b/>
                <w:sz w:val="12"/>
              </w:rPr>
            </w:pPr>
            <w:r>
              <w:rPr>
                <w:rFonts w:ascii="Caladea" w:hAnsi="Caladea"/>
                <w:b/>
                <w:sz w:val="12"/>
              </w:rPr>
              <w:t>Lucro / (Prejuízo) do Período</w:t>
            </w:r>
          </w:p>
        </w:tc>
        <w:tc>
          <w:tcPr>
            <w:tcW w:w="1034" w:type="dxa"/>
          </w:tcPr>
          <w:p>
            <w:pPr>
              <w:pStyle w:val="TableParagraph"/>
              <w:spacing w:before="53"/>
              <w:ind w:right="56"/>
              <w:jc w:val="right"/>
              <w:rPr>
                <w:rFonts w:ascii="Caladea"/>
                <w:b/>
                <w:sz w:val="12"/>
              </w:rPr>
            </w:pPr>
            <w:r>
              <w:rPr>
                <w:rFonts w:ascii="Caladea"/>
                <w:b/>
                <w:sz w:val="12"/>
              </w:rPr>
              <w:t>(33.678)</w:t>
            </w:r>
          </w:p>
        </w:tc>
        <w:tc>
          <w:tcPr>
            <w:tcW w:w="753" w:type="dxa"/>
          </w:tcPr>
          <w:p>
            <w:pPr>
              <w:pStyle w:val="TableParagraph"/>
              <w:spacing w:before="53"/>
              <w:ind w:right="55"/>
              <w:jc w:val="right"/>
              <w:rPr>
                <w:rFonts w:ascii="Caladea"/>
                <w:b/>
                <w:sz w:val="12"/>
              </w:rPr>
            </w:pPr>
            <w:r>
              <w:rPr>
                <w:rFonts w:ascii="Caladea"/>
                <w:b/>
                <w:sz w:val="12"/>
              </w:rPr>
              <w:t>56.009</w:t>
            </w:r>
          </w:p>
        </w:tc>
        <w:tc>
          <w:tcPr>
            <w:tcW w:w="1271" w:type="dxa"/>
          </w:tcPr>
          <w:p>
            <w:pPr>
              <w:pStyle w:val="TableParagraph"/>
              <w:spacing w:before="53"/>
              <w:ind w:right="54"/>
              <w:jc w:val="right"/>
              <w:rPr>
                <w:rFonts w:ascii="Caladea"/>
                <w:b/>
                <w:sz w:val="12"/>
              </w:rPr>
            </w:pPr>
            <w:r>
              <w:rPr>
                <w:rFonts w:ascii="Caladea"/>
                <w:b/>
                <w:sz w:val="12"/>
              </w:rPr>
              <w:t>67.010</w:t>
            </w:r>
          </w:p>
        </w:tc>
        <w:tc>
          <w:tcPr>
            <w:tcW w:w="760" w:type="dxa"/>
          </w:tcPr>
          <w:p>
            <w:pPr>
              <w:pStyle w:val="TableParagraph"/>
              <w:spacing w:before="53"/>
              <w:ind w:right="50"/>
              <w:jc w:val="right"/>
              <w:rPr>
                <w:rFonts w:ascii="Caladea"/>
                <w:b/>
                <w:sz w:val="12"/>
              </w:rPr>
            </w:pPr>
            <w:r>
              <w:rPr>
                <w:rFonts w:ascii="Caladea"/>
                <w:b/>
                <w:sz w:val="12"/>
              </w:rPr>
              <w:t>83.215</w:t>
            </w:r>
          </w:p>
        </w:tc>
        <w:tc>
          <w:tcPr>
            <w:tcW w:w="983" w:type="dxa"/>
          </w:tcPr>
          <w:p>
            <w:pPr>
              <w:pStyle w:val="TableParagraph"/>
              <w:spacing w:before="53"/>
              <w:ind w:right="52"/>
              <w:jc w:val="right"/>
              <w:rPr>
                <w:rFonts w:ascii="Caladea"/>
                <w:b/>
                <w:sz w:val="12"/>
              </w:rPr>
            </w:pPr>
            <w:r>
              <w:rPr>
                <w:rFonts w:ascii="Caladea"/>
                <w:b/>
                <w:sz w:val="12"/>
              </w:rPr>
              <w:t>(56.846)</w:t>
            </w:r>
          </w:p>
        </w:tc>
        <w:tc>
          <w:tcPr>
            <w:tcW w:w="997" w:type="dxa"/>
          </w:tcPr>
          <w:p>
            <w:pPr>
              <w:pStyle w:val="TableParagraph"/>
              <w:spacing w:before="53"/>
              <w:ind w:right="50"/>
              <w:jc w:val="right"/>
              <w:rPr>
                <w:rFonts w:ascii="Caladea"/>
                <w:b/>
                <w:sz w:val="12"/>
              </w:rPr>
            </w:pPr>
            <w:r>
              <w:rPr>
                <w:rFonts w:ascii="Caladea"/>
                <w:b/>
                <w:sz w:val="12"/>
              </w:rPr>
              <w:t>115.710</w:t>
            </w:r>
          </w:p>
        </w:tc>
      </w:tr>
      <w:tr>
        <w:trPr>
          <w:trHeight w:val="246" w:hRule="atLeast"/>
        </w:trPr>
        <w:tc>
          <w:tcPr>
            <w:tcW w:w="4179" w:type="dxa"/>
          </w:tcPr>
          <w:p>
            <w:pPr>
              <w:pStyle w:val="TableParagraph"/>
              <w:spacing w:before="54"/>
              <w:ind w:left="72"/>
              <w:rPr>
                <w:rFonts w:ascii="Caladea" w:hAnsi="Caladea"/>
                <w:b/>
                <w:sz w:val="12"/>
              </w:rPr>
            </w:pPr>
            <w:r>
              <w:rPr>
                <w:rFonts w:ascii="Caladea" w:hAnsi="Caladea"/>
                <w:b/>
                <w:sz w:val="12"/>
              </w:rPr>
              <w:t>Atribuído aos Acionistas Controladores</w:t>
            </w:r>
          </w:p>
        </w:tc>
        <w:tc>
          <w:tcPr>
            <w:tcW w:w="1034" w:type="dxa"/>
          </w:tcPr>
          <w:p>
            <w:pPr>
              <w:pStyle w:val="TableParagraph"/>
              <w:rPr>
                <w:rFonts w:ascii="Times New Roman"/>
                <w:sz w:val="14"/>
              </w:rPr>
            </w:pPr>
          </w:p>
        </w:tc>
        <w:tc>
          <w:tcPr>
            <w:tcW w:w="753" w:type="dxa"/>
          </w:tcPr>
          <w:p>
            <w:pPr>
              <w:pStyle w:val="TableParagraph"/>
              <w:rPr>
                <w:rFonts w:ascii="Times New Roman"/>
                <w:sz w:val="14"/>
              </w:rPr>
            </w:pPr>
          </w:p>
        </w:tc>
        <w:tc>
          <w:tcPr>
            <w:tcW w:w="1271" w:type="dxa"/>
          </w:tcPr>
          <w:p>
            <w:pPr>
              <w:pStyle w:val="TableParagraph"/>
              <w:rPr>
                <w:rFonts w:ascii="Times New Roman"/>
                <w:sz w:val="14"/>
              </w:rPr>
            </w:pPr>
          </w:p>
        </w:tc>
        <w:tc>
          <w:tcPr>
            <w:tcW w:w="760" w:type="dxa"/>
          </w:tcPr>
          <w:p>
            <w:pPr>
              <w:pStyle w:val="TableParagraph"/>
              <w:rPr>
                <w:rFonts w:ascii="Times New Roman"/>
                <w:sz w:val="14"/>
              </w:rPr>
            </w:pPr>
          </w:p>
        </w:tc>
        <w:tc>
          <w:tcPr>
            <w:tcW w:w="983" w:type="dxa"/>
          </w:tcPr>
          <w:p>
            <w:pPr>
              <w:pStyle w:val="TableParagraph"/>
              <w:rPr>
                <w:rFonts w:ascii="Times New Roman"/>
                <w:sz w:val="14"/>
              </w:rPr>
            </w:pPr>
          </w:p>
        </w:tc>
        <w:tc>
          <w:tcPr>
            <w:tcW w:w="997" w:type="dxa"/>
          </w:tcPr>
          <w:p>
            <w:pPr>
              <w:pStyle w:val="TableParagraph"/>
              <w:spacing w:before="54"/>
              <w:ind w:right="50"/>
              <w:jc w:val="right"/>
              <w:rPr>
                <w:rFonts w:ascii="Caladea"/>
                <w:b/>
                <w:sz w:val="12"/>
              </w:rPr>
            </w:pPr>
            <w:r>
              <w:rPr>
                <w:rFonts w:ascii="Caladea"/>
                <w:b/>
                <w:sz w:val="12"/>
              </w:rPr>
              <w:t>89.972</w:t>
            </w:r>
          </w:p>
        </w:tc>
      </w:tr>
      <w:tr>
        <w:trPr>
          <w:trHeight w:val="249" w:hRule="atLeast"/>
        </w:trPr>
        <w:tc>
          <w:tcPr>
            <w:tcW w:w="4179" w:type="dxa"/>
          </w:tcPr>
          <w:p>
            <w:pPr>
              <w:pStyle w:val="TableParagraph"/>
              <w:spacing w:before="54"/>
              <w:ind w:left="72"/>
              <w:rPr>
                <w:rFonts w:ascii="Caladea" w:hAnsi="Caladea"/>
                <w:b/>
                <w:sz w:val="12"/>
              </w:rPr>
            </w:pPr>
            <w:r>
              <w:rPr>
                <w:rFonts w:ascii="Caladea" w:hAnsi="Caladea"/>
                <w:b/>
                <w:sz w:val="12"/>
              </w:rPr>
              <w:t>Atribuído aos Acionistas não Controladores</w:t>
            </w:r>
          </w:p>
        </w:tc>
        <w:tc>
          <w:tcPr>
            <w:tcW w:w="1034" w:type="dxa"/>
          </w:tcPr>
          <w:p>
            <w:pPr>
              <w:pStyle w:val="TableParagraph"/>
              <w:rPr>
                <w:rFonts w:ascii="Times New Roman"/>
                <w:sz w:val="14"/>
              </w:rPr>
            </w:pPr>
          </w:p>
        </w:tc>
        <w:tc>
          <w:tcPr>
            <w:tcW w:w="753" w:type="dxa"/>
          </w:tcPr>
          <w:p>
            <w:pPr>
              <w:pStyle w:val="TableParagraph"/>
              <w:rPr>
                <w:rFonts w:ascii="Times New Roman"/>
                <w:sz w:val="14"/>
              </w:rPr>
            </w:pPr>
          </w:p>
        </w:tc>
        <w:tc>
          <w:tcPr>
            <w:tcW w:w="1271" w:type="dxa"/>
          </w:tcPr>
          <w:p>
            <w:pPr>
              <w:pStyle w:val="TableParagraph"/>
              <w:rPr>
                <w:rFonts w:ascii="Times New Roman"/>
                <w:sz w:val="14"/>
              </w:rPr>
            </w:pPr>
          </w:p>
        </w:tc>
        <w:tc>
          <w:tcPr>
            <w:tcW w:w="760" w:type="dxa"/>
          </w:tcPr>
          <w:p>
            <w:pPr>
              <w:pStyle w:val="TableParagraph"/>
              <w:rPr>
                <w:rFonts w:ascii="Times New Roman"/>
                <w:sz w:val="14"/>
              </w:rPr>
            </w:pPr>
          </w:p>
        </w:tc>
        <w:tc>
          <w:tcPr>
            <w:tcW w:w="983" w:type="dxa"/>
          </w:tcPr>
          <w:p>
            <w:pPr>
              <w:pStyle w:val="TableParagraph"/>
              <w:rPr>
                <w:rFonts w:ascii="Times New Roman"/>
                <w:sz w:val="14"/>
              </w:rPr>
            </w:pPr>
          </w:p>
        </w:tc>
        <w:tc>
          <w:tcPr>
            <w:tcW w:w="997" w:type="dxa"/>
          </w:tcPr>
          <w:p>
            <w:pPr>
              <w:pStyle w:val="TableParagraph"/>
              <w:spacing w:before="54"/>
              <w:ind w:right="50"/>
              <w:jc w:val="right"/>
              <w:rPr>
                <w:rFonts w:ascii="Caladea"/>
                <w:b/>
                <w:sz w:val="12"/>
              </w:rPr>
            </w:pPr>
            <w:r>
              <w:rPr>
                <w:rFonts w:ascii="Caladea"/>
                <w:b/>
                <w:sz w:val="12"/>
              </w:rPr>
              <w:t>25.738</w:t>
            </w:r>
          </w:p>
        </w:tc>
      </w:tr>
    </w:tbl>
    <w:p>
      <w:pPr>
        <w:pStyle w:val="Heading3"/>
        <w:numPr>
          <w:ilvl w:val="0"/>
          <w:numId w:val="6"/>
        </w:numPr>
        <w:tabs>
          <w:tab w:pos="955" w:val="left" w:leader="none"/>
          <w:tab w:pos="956" w:val="left" w:leader="none"/>
        </w:tabs>
        <w:spacing w:line="240" w:lineRule="auto" w:before="132" w:after="0"/>
        <w:ind w:left="955" w:right="0" w:hanging="784"/>
        <w:jc w:val="left"/>
      </w:pPr>
      <w:r>
        <w:rPr/>
        <w:t>EVENTO SUBSEQUENTE</w:t>
      </w:r>
    </w:p>
    <w:p>
      <w:pPr>
        <w:pStyle w:val="ListParagraph"/>
        <w:numPr>
          <w:ilvl w:val="1"/>
          <w:numId w:val="6"/>
        </w:numPr>
        <w:tabs>
          <w:tab w:pos="1025" w:val="left" w:leader="none"/>
          <w:tab w:pos="1026" w:val="left" w:leader="none"/>
        </w:tabs>
        <w:spacing w:line="240" w:lineRule="auto" w:before="121" w:after="0"/>
        <w:ind w:left="1025" w:right="0" w:hanging="854"/>
        <w:jc w:val="left"/>
        <w:rPr>
          <w:rFonts w:ascii="Caladea" w:hAnsi="Caladea"/>
          <w:b/>
          <w:sz w:val="22"/>
        </w:rPr>
      </w:pPr>
      <w:r>
        <w:rPr>
          <w:rFonts w:ascii="Caladea" w:hAnsi="Caladea"/>
          <w:b/>
          <w:sz w:val="22"/>
        </w:rPr>
        <w:t>T</w:t>
      </w:r>
      <w:r>
        <w:rPr>
          <w:rFonts w:ascii="Caladea" w:hAnsi="Caladea"/>
          <w:b/>
          <w:sz w:val="18"/>
        </w:rPr>
        <w:t>ERCEIRO </w:t>
      </w:r>
      <w:r>
        <w:rPr>
          <w:rFonts w:ascii="Caladea" w:hAnsi="Caladea"/>
          <w:b/>
          <w:sz w:val="22"/>
        </w:rPr>
        <w:t>E</w:t>
      </w:r>
      <w:r>
        <w:rPr>
          <w:rFonts w:ascii="Caladea" w:hAnsi="Caladea"/>
          <w:b/>
          <w:sz w:val="18"/>
        </w:rPr>
        <w:t>QUACIONAMENTO DO </w:t>
      </w:r>
      <w:r>
        <w:rPr>
          <w:rFonts w:ascii="Caladea" w:hAnsi="Caladea"/>
          <w:b/>
          <w:sz w:val="22"/>
        </w:rPr>
        <w:t>D</w:t>
      </w:r>
      <w:r>
        <w:rPr>
          <w:rFonts w:ascii="Caladea" w:hAnsi="Caladea"/>
          <w:b/>
          <w:sz w:val="18"/>
        </w:rPr>
        <w:t>ÉFICIT DO </w:t>
      </w:r>
      <w:r>
        <w:rPr>
          <w:rFonts w:ascii="Caladea" w:hAnsi="Caladea"/>
          <w:b/>
          <w:sz w:val="22"/>
        </w:rPr>
        <w:t>P</w:t>
      </w:r>
      <w:r>
        <w:rPr>
          <w:rFonts w:ascii="Caladea" w:hAnsi="Caladea"/>
          <w:b/>
          <w:sz w:val="18"/>
        </w:rPr>
        <w:t>LANO DE </w:t>
      </w:r>
      <w:r>
        <w:rPr>
          <w:rFonts w:ascii="Caladea" w:hAnsi="Caladea"/>
          <w:b/>
          <w:sz w:val="22"/>
        </w:rPr>
        <w:t>B</w:t>
      </w:r>
      <w:r>
        <w:rPr>
          <w:rFonts w:ascii="Caladea" w:hAnsi="Caladea"/>
          <w:b/>
          <w:sz w:val="18"/>
        </w:rPr>
        <w:t>ENEFÍCIO </w:t>
      </w:r>
      <w:r>
        <w:rPr>
          <w:rFonts w:ascii="Caladea" w:hAnsi="Caladea"/>
          <w:b/>
          <w:sz w:val="22"/>
        </w:rPr>
        <w:t>D</w:t>
      </w:r>
      <w:r>
        <w:rPr>
          <w:rFonts w:ascii="Caladea" w:hAnsi="Caladea"/>
          <w:b/>
          <w:sz w:val="18"/>
        </w:rPr>
        <w:t>EFINIDO </w:t>
      </w:r>
      <w:r>
        <w:rPr>
          <w:rFonts w:ascii="Caladea" w:hAnsi="Caladea"/>
          <w:b/>
          <w:sz w:val="22"/>
        </w:rPr>
        <w:t>-</w:t>
      </w:r>
      <w:r>
        <w:rPr>
          <w:rFonts w:ascii="Caladea" w:hAnsi="Caladea"/>
          <w:b/>
          <w:spacing w:val="-6"/>
          <w:sz w:val="22"/>
        </w:rPr>
        <w:t> </w:t>
      </w:r>
      <w:r>
        <w:rPr>
          <w:rFonts w:ascii="Caladea" w:hAnsi="Caladea"/>
          <w:b/>
          <w:sz w:val="22"/>
        </w:rPr>
        <w:t>BD</w:t>
      </w:r>
    </w:p>
    <w:p>
      <w:pPr>
        <w:pStyle w:val="BodyText"/>
        <w:spacing w:before="10"/>
        <w:rPr>
          <w:rFonts w:ascii="Caladea"/>
          <w:b/>
          <w:sz w:val="23"/>
        </w:rPr>
      </w:pPr>
    </w:p>
    <w:p>
      <w:pPr>
        <w:pStyle w:val="BodyText"/>
        <w:spacing w:line="242" w:lineRule="auto"/>
        <w:ind w:left="172" w:right="407"/>
        <w:jc w:val="both"/>
      </w:pPr>
      <w:r>
        <w:rPr/>
        <w:t>O</w:t>
      </w:r>
      <w:r>
        <w:rPr>
          <w:spacing w:val="-31"/>
        </w:rPr>
        <w:t> </w:t>
      </w:r>
      <w:r>
        <w:rPr/>
        <w:t>Terceiro</w:t>
      </w:r>
      <w:r>
        <w:rPr>
          <w:spacing w:val="-30"/>
        </w:rPr>
        <w:t> </w:t>
      </w:r>
      <w:r>
        <w:rPr/>
        <w:t>Equacionamento</w:t>
      </w:r>
      <w:r>
        <w:rPr>
          <w:spacing w:val="-29"/>
        </w:rPr>
        <w:t> </w:t>
      </w:r>
      <w:r>
        <w:rPr/>
        <w:t>do</w:t>
      </w:r>
      <w:r>
        <w:rPr>
          <w:spacing w:val="-30"/>
        </w:rPr>
        <w:t> </w:t>
      </w:r>
      <w:r>
        <w:rPr/>
        <w:t>Déficit</w:t>
      </w:r>
      <w:r>
        <w:rPr>
          <w:spacing w:val="-28"/>
        </w:rPr>
        <w:t> </w:t>
      </w:r>
      <w:r>
        <w:rPr/>
        <w:t>do</w:t>
      </w:r>
      <w:r>
        <w:rPr>
          <w:spacing w:val="-29"/>
        </w:rPr>
        <w:t> </w:t>
      </w:r>
      <w:r>
        <w:rPr/>
        <w:t>Plano</w:t>
      </w:r>
      <w:r>
        <w:rPr>
          <w:spacing w:val="-29"/>
        </w:rPr>
        <w:t> </w:t>
      </w:r>
      <w:r>
        <w:rPr/>
        <w:t>de</w:t>
      </w:r>
      <w:r>
        <w:rPr>
          <w:spacing w:val="-30"/>
        </w:rPr>
        <w:t> </w:t>
      </w:r>
      <w:r>
        <w:rPr/>
        <w:t>Benefício</w:t>
      </w:r>
      <w:r>
        <w:rPr>
          <w:spacing w:val="-30"/>
        </w:rPr>
        <w:t> </w:t>
      </w:r>
      <w:r>
        <w:rPr/>
        <w:t>Definido</w:t>
      </w:r>
      <w:r>
        <w:rPr>
          <w:spacing w:val="-24"/>
        </w:rPr>
        <w:t> </w:t>
      </w:r>
      <w:r>
        <w:rPr>
          <w:w w:val="105"/>
        </w:rPr>
        <w:t>–</w:t>
      </w:r>
      <w:r>
        <w:rPr>
          <w:spacing w:val="-32"/>
          <w:w w:val="105"/>
        </w:rPr>
        <w:t> </w:t>
      </w:r>
      <w:r>
        <w:rPr/>
        <w:t>BD,</w:t>
      </w:r>
      <w:r>
        <w:rPr>
          <w:spacing w:val="-28"/>
        </w:rPr>
        <w:t> </w:t>
      </w:r>
      <w:r>
        <w:rPr/>
        <w:t>relativo</w:t>
      </w:r>
      <w:r>
        <w:rPr>
          <w:spacing w:val="-30"/>
        </w:rPr>
        <w:t> </w:t>
      </w:r>
      <w:r>
        <w:rPr/>
        <w:t>ao</w:t>
      </w:r>
      <w:r>
        <w:rPr>
          <w:spacing w:val="-31"/>
        </w:rPr>
        <w:t> </w:t>
      </w:r>
      <w:r>
        <w:rPr/>
        <w:t>exercício</w:t>
      </w:r>
      <w:r>
        <w:rPr>
          <w:spacing w:val="-28"/>
        </w:rPr>
        <w:t> </w:t>
      </w:r>
      <w:r>
        <w:rPr/>
        <w:t>de</w:t>
      </w:r>
      <w:r>
        <w:rPr>
          <w:spacing w:val="-29"/>
        </w:rPr>
        <w:t> </w:t>
      </w:r>
      <w:r>
        <w:rPr/>
        <w:t>2018,</w:t>
      </w:r>
      <w:r>
        <w:rPr>
          <w:spacing w:val="-32"/>
        </w:rPr>
        <w:t> </w:t>
      </w:r>
      <w:r>
        <w:rPr/>
        <w:t>conforme contrato</w:t>
      </w:r>
      <w:r>
        <w:rPr>
          <w:spacing w:val="-28"/>
        </w:rPr>
        <w:t> </w:t>
      </w:r>
      <w:r>
        <w:rPr/>
        <w:t>celebrado</w:t>
      </w:r>
      <w:r>
        <w:rPr>
          <w:spacing w:val="-25"/>
        </w:rPr>
        <w:t> </w:t>
      </w:r>
      <w:r>
        <w:rPr/>
        <w:t>entre</w:t>
      </w:r>
      <w:r>
        <w:rPr>
          <w:spacing w:val="-28"/>
        </w:rPr>
        <w:t> </w:t>
      </w:r>
      <w:r>
        <w:rPr/>
        <w:t>a</w:t>
      </w:r>
      <w:r>
        <w:rPr>
          <w:spacing w:val="-27"/>
        </w:rPr>
        <w:t> </w:t>
      </w:r>
      <w:r>
        <w:rPr/>
        <w:t>CEB</w:t>
      </w:r>
      <w:r>
        <w:rPr>
          <w:spacing w:val="-27"/>
        </w:rPr>
        <w:t> </w:t>
      </w:r>
      <w:r>
        <w:rPr/>
        <w:t>DIS</w:t>
      </w:r>
      <w:r>
        <w:rPr>
          <w:spacing w:val="-27"/>
        </w:rPr>
        <w:t> </w:t>
      </w:r>
      <w:r>
        <w:rPr/>
        <w:t>e</w:t>
      </w:r>
      <w:r>
        <w:rPr>
          <w:spacing w:val="-28"/>
        </w:rPr>
        <w:t> </w:t>
      </w:r>
      <w:r>
        <w:rPr/>
        <w:t>a</w:t>
      </w:r>
      <w:r>
        <w:rPr>
          <w:spacing w:val="-27"/>
        </w:rPr>
        <w:t> </w:t>
      </w:r>
      <w:r>
        <w:rPr/>
        <w:t>FACEB,</w:t>
      </w:r>
      <w:r>
        <w:rPr>
          <w:spacing w:val="-27"/>
        </w:rPr>
        <w:t> </w:t>
      </w:r>
      <w:r>
        <w:rPr/>
        <w:t>será</w:t>
      </w:r>
      <w:r>
        <w:rPr>
          <w:spacing w:val="-27"/>
        </w:rPr>
        <w:t> </w:t>
      </w:r>
      <w:r>
        <w:rPr/>
        <w:t>implantado</w:t>
      </w:r>
      <w:r>
        <w:rPr>
          <w:spacing w:val="-27"/>
        </w:rPr>
        <w:t> </w:t>
      </w:r>
      <w:r>
        <w:rPr/>
        <w:t>até</w:t>
      </w:r>
      <w:r>
        <w:rPr>
          <w:spacing w:val="-29"/>
        </w:rPr>
        <w:t> </w:t>
      </w:r>
      <w:r>
        <w:rPr/>
        <w:t>o</w:t>
      </w:r>
      <w:r>
        <w:rPr>
          <w:spacing w:val="-27"/>
        </w:rPr>
        <w:t> </w:t>
      </w:r>
      <w:r>
        <w:rPr/>
        <w:t>final</w:t>
      </w:r>
      <w:r>
        <w:rPr>
          <w:spacing w:val="-27"/>
        </w:rPr>
        <w:t> </w:t>
      </w:r>
      <w:r>
        <w:rPr/>
        <w:t>de</w:t>
      </w:r>
      <w:r>
        <w:rPr>
          <w:spacing w:val="-28"/>
        </w:rPr>
        <w:t> </w:t>
      </w:r>
      <w:r>
        <w:rPr/>
        <w:t>abril</w:t>
      </w:r>
      <w:r>
        <w:rPr>
          <w:spacing w:val="-27"/>
        </w:rPr>
        <w:t> </w:t>
      </w:r>
      <w:r>
        <w:rPr/>
        <w:t>de</w:t>
      </w:r>
      <w:r>
        <w:rPr>
          <w:spacing w:val="-28"/>
        </w:rPr>
        <w:t> </w:t>
      </w:r>
      <w:r>
        <w:rPr/>
        <w:t>2020,</w:t>
      </w:r>
      <w:r>
        <w:rPr>
          <w:spacing w:val="-25"/>
        </w:rPr>
        <w:t> </w:t>
      </w:r>
      <w:r>
        <w:rPr/>
        <w:t>em</w:t>
      </w:r>
      <w:r>
        <w:rPr>
          <w:spacing w:val="-28"/>
        </w:rPr>
        <w:t> </w:t>
      </w:r>
      <w:r>
        <w:rPr/>
        <w:t>atendimento</w:t>
      </w:r>
      <w:r>
        <w:rPr>
          <w:spacing w:val="-27"/>
        </w:rPr>
        <w:t> </w:t>
      </w:r>
      <w:r>
        <w:rPr/>
        <w:t>às</w:t>
      </w:r>
      <w:r>
        <w:rPr>
          <w:spacing w:val="-25"/>
        </w:rPr>
        <w:t> </w:t>
      </w:r>
      <w:r>
        <w:rPr/>
        <w:t>Leis Complementares nº 108 e 109/2001, além da Resolução CGPC nº 30/2018, de 10/10/2018. De acordo com as diretrizes</w:t>
      </w:r>
      <w:r>
        <w:rPr>
          <w:spacing w:val="-25"/>
        </w:rPr>
        <w:t> </w:t>
      </w:r>
      <w:r>
        <w:rPr/>
        <w:t>do</w:t>
      </w:r>
      <w:r>
        <w:rPr>
          <w:spacing w:val="-26"/>
        </w:rPr>
        <w:t> </w:t>
      </w:r>
      <w:r>
        <w:rPr/>
        <w:t>Plano</w:t>
      </w:r>
      <w:r>
        <w:rPr>
          <w:spacing w:val="-26"/>
        </w:rPr>
        <w:t> </w:t>
      </w:r>
      <w:r>
        <w:rPr/>
        <w:t>de</w:t>
      </w:r>
      <w:r>
        <w:rPr>
          <w:spacing w:val="-26"/>
        </w:rPr>
        <w:t> </w:t>
      </w:r>
      <w:r>
        <w:rPr/>
        <w:t>Equacionamento,</w:t>
      </w:r>
      <w:r>
        <w:rPr>
          <w:spacing w:val="-26"/>
        </w:rPr>
        <w:t> </w:t>
      </w:r>
      <w:r>
        <w:rPr/>
        <w:t>o</w:t>
      </w:r>
      <w:r>
        <w:rPr>
          <w:spacing w:val="-26"/>
        </w:rPr>
        <w:t> </w:t>
      </w:r>
      <w:r>
        <w:rPr/>
        <w:t>valor</w:t>
      </w:r>
      <w:r>
        <w:rPr>
          <w:spacing w:val="-26"/>
        </w:rPr>
        <w:t> </w:t>
      </w:r>
      <w:r>
        <w:rPr/>
        <w:t>mínimo</w:t>
      </w:r>
      <w:r>
        <w:rPr>
          <w:spacing w:val="-26"/>
        </w:rPr>
        <w:t> </w:t>
      </w:r>
      <w:r>
        <w:rPr/>
        <w:t>legal,</w:t>
      </w:r>
      <w:r>
        <w:rPr>
          <w:spacing w:val="-25"/>
        </w:rPr>
        <w:t> </w:t>
      </w:r>
      <w:r>
        <w:rPr/>
        <w:t>que</w:t>
      </w:r>
      <w:r>
        <w:rPr>
          <w:spacing w:val="-28"/>
        </w:rPr>
        <w:t> </w:t>
      </w:r>
      <w:r>
        <w:rPr/>
        <w:t>caberá</w:t>
      </w:r>
      <w:r>
        <w:rPr>
          <w:spacing w:val="-25"/>
        </w:rPr>
        <w:t> </w:t>
      </w:r>
      <w:r>
        <w:rPr/>
        <w:t>à</w:t>
      </w:r>
      <w:r>
        <w:rPr>
          <w:spacing w:val="-26"/>
        </w:rPr>
        <w:t> </w:t>
      </w:r>
      <w:r>
        <w:rPr/>
        <w:t>CEB</w:t>
      </w:r>
      <w:r>
        <w:rPr>
          <w:spacing w:val="-25"/>
        </w:rPr>
        <w:t> </w:t>
      </w:r>
      <w:r>
        <w:rPr/>
        <w:t>Distribuição</w:t>
      </w:r>
      <w:r>
        <w:rPr>
          <w:spacing w:val="-26"/>
        </w:rPr>
        <w:t> </w:t>
      </w:r>
      <w:r>
        <w:rPr/>
        <w:t>é</w:t>
      </w:r>
      <w:r>
        <w:rPr>
          <w:spacing w:val="-27"/>
        </w:rPr>
        <w:t> </w:t>
      </w:r>
      <w:r>
        <w:rPr/>
        <w:t>da</w:t>
      </w:r>
      <w:r>
        <w:rPr>
          <w:spacing w:val="-24"/>
        </w:rPr>
        <w:t> </w:t>
      </w:r>
      <w:r>
        <w:rPr/>
        <w:t>ordem</w:t>
      </w:r>
      <w:r>
        <w:rPr>
          <w:spacing w:val="-26"/>
        </w:rPr>
        <w:t> </w:t>
      </w:r>
      <w:r>
        <w:rPr/>
        <w:t>de</w:t>
      </w:r>
      <w:r>
        <w:rPr>
          <w:spacing w:val="-26"/>
        </w:rPr>
        <w:t> </w:t>
      </w:r>
      <w:r>
        <w:rPr/>
        <w:t>R$</w:t>
      </w:r>
      <w:r>
        <w:rPr>
          <w:spacing w:val="-25"/>
        </w:rPr>
        <w:t> </w:t>
      </w:r>
      <w:r>
        <w:rPr/>
        <w:t>28,1 milhões,</w:t>
      </w:r>
      <w:r>
        <w:rPr>
          <w:spacing w:val="-7"/>
        </w:rPr>
        <w:t> </w:t>
      </w:r>
      <w:r>
        <w:rPr/>
        <w:t>à</w:t>
      </w:r>
      <w:r>
        <w:rPr>
          <w:spacing w:val="-6"/>
        </w:rPr>
        <w:t> </w:t>
      </w:r>
      <w:r>
        <w:rPr/>
        <w:t>FACEB</w:t>
      </w:r>
      <w:r>
        <w:rPr>
          <w:spacing w:val="-6"/>
        </w:rPr>
        <w:t> </w:t>
      </w:r>
      <w:r>
        <w:rPr/>
        <w:t>o</w:t>
      </w:r>
      <w:r>
        <w:rPr>
          <w:spacing w:val="-7"/>
        </w:rPr>
        <w:t> </w:t>
      </w:r>
      <w:r>
        <w:rPr/>
        <w:t>montante</w:t>
      </w:r>
      <w:r>
        <w:rPr>
          <w:spacing w:val="-8"/>
        </w:rPr>
        <w:t> </w:t>
      </w:r>
      <w:r>
        <w:rPr/>
        <w:t>é</w:t>
      </w:r>
      <w:r>
        <w:rPr>
          <w:spacing w:val="-5"/>
        </w:rPr>
        <w:t> </w:t>
      </w:r>
      <w:r>
        <w:rPr/>
        <w:t>de</w:t>
      </w:r>
      <w:r>
        <w:rPr>
          <w:spacing w:val="-8"/>
        </w:rPr>
        <w:t> </w:t>
      </w:r>
      <w:r>
        <w:rPr/>
        <w:t>R$</w:t>
      </w:r>
      <w:r>
        <w:rPr>
          <w:spacing w:val="-7"/>
        </w:rPr>
        <w:t> </w:t>
      </w:r>
      <w:r>
        <w:rPr/>
        <w:t>201</w:t>
      </w:r>
      <w:r>
        <w:rPr>
          <w:spacing w:val="-5"/>
        </w:rPr>
        <w:t> </w:t>
      </w:r>
      <w:r>
        <w:rPr/>
        <w:t>mil</w:t>
      </w:r>
      <w:r>
        <w:rPr>
          <w:spacing w:val="-6"/>
        </w:rPr>
        <w:t> </w:t>
      </w:r>
      <w:r>
        <w:rPr/>
        <w:t>e,</w:t>
      </w:r>
      <w:r>
        <w:rPr>
          <w:spacing w:val="-6"/>
        </w:rPr>
        <w:t> </w:t>
      </w:r>
      <w:r>
        <w:rPr/>
        <w:t>aos</w:t>
      </w:r>
      <w:r>
        <w:rPr>
          <w:spacing w:val="-7"/>
        </w:rPr>
        <w:t> </w:t>
      </w:r>
      <w:r>
        <w:rPr/>
        <w:t>Participantes</w:t>
      </w:r>
      <w:r>
        <w:rPr>
          <w:spacing w:val="-6"/>
        </w:rPr>
        <w:t> </w:t>
      </w:r>
      <w:r>
        <w:rPr/>
        <w:t>e</w:t>
      </w:r>
      <w:r>
        <w:rPr>
          <w:spacing w:val="-8"/>
        </w:rPr>
        <w:t> </w:t>
      </w:r>
      <w:r>
        <w:rPr/>
        <w:t>Assistidos,</w:t>
      </w:r>
      <w:r>
        <w:rPr>
          <w:spacing w:val="-7"/>
        </w:rPr>
        <w:t> </w:t>
      </w:r>
      <w:r>
        <w:rPr/>
        <w:t>o</w:t>
      </w:r>
      <w:r>
        <w:rPr>
          <w:spacing w:val="-5"/>
        </w:rPr>
        <w:t> </w:t>
      </w:r>
      <w:r>
        <w:rPr/>
        <w:t>valor</w:t>
      </w:r>
      <w:r>
        <w:rPr>
          <w:spacing w:val="-7"/>
        </w:rPr>
        <w:t> </w:t>
      </w:r>
      <w:r>
        <w:rPr/>
        <w:t>de</w:t>
      </w:r>
      <w:r>
        <w:rPr>
          <w:spacing w:val="-8"/>
        </w:rPr>
        <w:t> </w:t>
      </w:r>
      <w:r>
        <w:rPr/>
        <w:t>R$</w:t>
      </w:r>
      <w:r>
        <w:rPr>
          <w:spacing w:val="-6"/>
        </w:rPr>
        <w:t> </w:t>
      </w:r>
      <w:r>
        <w:rPr/>
        <w:t>71,1</w:t>
      </w:r>
      <w:r>
        <w:rPr>
          <w:spacing w:val="-7"/>
        </w:rPr>
        <w:t> </w:t>
      </w:r>
      <w:r>
        <w:rPr/>
        <w:t>milhões,</w:t>
      </w:r>
      <w:r>
        <w:rPr>
          <w:spacing w:val="-6"/>
        </w:rPr>
        <w:t> </w:t>
      </w:r>
      <w:r>
        <w:rPr/>
        <w:t>com amortização</w:t>
      </w:r>
      <w:r>
        <w:rPr>
          <w:spacing w:val="-20"/>
        </w:rPr>
        <w:t> </w:t>
      </w:r>
      <w:r>
        <w:rPr/>
        <w:t>no</w:t>
      </w:r>
      <w:r>
        <w:rPr>
          <w:spacing w:val="-17"/>
        </w:rPr>
        <w:t> </w:t>
      </w:r>
      <w:r>
        <w:rPr/>
        <w:t>prazo</w:t>
      </w:r>
      <w:r>
        <w:rPr>
          <w:spacing w:val="-19"/>
        </w:rPr>
        <w:t> </w:t>
      </w:r>
      <w:r>
        <w:rPr/>
        <w:t>máximo</w:t>
      </w:r>
      <w:r>
        <w:rPr>
          <w:spacing w:val="-20"/>
        </w:rPr>
        <w:t> </w:t>
      </w:r>
      <w:r>
        <w:rPr/>
        <w:t>de</w:t>
      </w:r>
      <w:r>
        <w:rPr>
          <w:spacing w:val="-20"/>
        </w:rPr>
        <w:t> </w:t>
      </w:r>
      <w:r>
        <w:rPr/>
        <w:t>223</w:t>
      </w:r>
      <w:r>
        <w:rPr>
          <w:spacing w:val="-19"/>
        </w:rPr>
        <w:t> </w:t>
      </w:r>
      <w:r>
        <w:rPr/>
        <w:t>(duzentos</w:t>
      </w:r>
      <w:r>
        <w:rPr>
          <w:spacing w:val="-19"/>
        </w:rPr>
        <w:t> </w:t>
      </w:r>
      <w:r>
        <w:rPr/>
        <w:t>e</w:t>
      </w:r>
      <w:r>
        <w:rPr>
          <w:spacing w:val="-18"/>
        </w:rPr>
        <w:t> </w:t>
      </w:r>
      <w:r>
        <w:rPr/>
        <w:t>vinte</w:t>
      </w:r>
      <w:r>
        <w:rPr>
          <w:spacing w:val="-19"/>
        </w:rPr>
        <w:t> </w:t>
      </w:r>
      <w:r>
        <w:rPr/>
        <w:t>três)</w:t>
      </w:r>
      <w:r>
        <w:rPr>
          <w:spacing w:val="-19"/>
        </w:rPr>
        <w:t> </w:t>
      </w:r>
      <w:r>
        <w:rPr/>
        <w:t>meses.</w:t>
      </w:r>
    </w:p>
    <w:p>
      <w:pPr>
        <w:pStyle w:val="BodyText"/>
        <w:spacing w:before="7"/>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b/>
          <w:sz w:val="22"/>
        </w:rPr>
      </w:pPr>
      <w:r>
        <w:rPr>
          <w:rFonts w:ascii="Caladea"/>
          <w:b/>
          <w:sz w:val="22"/>
        </w:rPr>
        <w:t>P</w:t>
      </w:r>
      <w:r>
        <w:rPr>
          <w:rFonts w:ascii="Caladea"/>
          <w:b/>
          <w:sz w:val="18"/>
        </w:rPr>
        <w:t>ARCELAMENTO </w:t>
      </w:r>
      <w:r>
        <w:rPr>
          <w:rFonts w:ascii="Caladea"/>
          <w:b/>
          <w:sz w:val="22"/>
        </w:rPr>
        <w:t>CIP</w:t>
      </w:r>
    </w:p>
    <w:p>
      <w:pPr>
        <w:pStyle w:val="BodyText"/>
        <w:spacing w:before="10"/>
        <w:rPr>
          <w:rFonts w:ascii="Caladea"/>
          <w:b/>
          <w:sz w:val="23"/>
        </w:rPr>
      </w:pPr>
    </w:p>
    <w:p>
      <w:pPr>
        <w:pStyle w:val="BodyText"/>
        <w:spacing w:line="244" w:lineRule="auto"/>
        <w:ind w:left="172" w:right="408"/>
        <w:jc w:val="both"/>
      </w:pPr>
      <w:r>
        <w:rPr/>
        <w:t>Em</w:t>
      </w:r>
      <w:r>
        <w:rPr>
          <w:spacing w:val="-13"/>
        </w:rPr>
        <w:t> </w:t>
      </w:r>
      <w:r>
        <w:rPr/>
        <w:t>janeiro</w:t>
      </w:r>
      <w:r>
        <w:rPr>
          <w:spacing w:val="-12"/>
        </w:rPr>
        <w:t> </w:t>
      </w:r>
      <w:r>
        <w:rPr/>
        <w:t>de</w:t>
      </w:r>
      <w:r>
        <w:rPr>
          <w:spacing w:val="-12"/>
        </w:rPr>
        <w:t> </w:t>
      </w:r>
      <w:r>
        <w:rPr/>
        <w:t>2020,</w:t>
      </w:r>
      <w:r>
        <w:rPr>
          <w:spacing w:val="-11"/>
        </w:rPr>
        <w:t> </w:t>
      </w:r>
      <w:r>
        <w:rPr/>
        <w:t>a</w:t>
      </w:r>
      <w:r>
        <w:rPr>
          <w:spacing w:val="-13"/>
        </w:rPr>
        <w:t> </w:t>
      </w:r>
      <w:r>
        <w:rPr/>
        <w:t>CEB</w:t>
      </w:r>
      <w:r>
        <w:rPr>
          <w:spacing w:val="-9"/>
        </w:rPr>
        <w:t> </w:t>
      </w:r>
      <w:r>
        <w:rPr/>
        <w:t>DIS</w:t>
      </w:r>
      <w:r>
        <w:rPr>
          <w:spacing w:val="-13"/>
        </w:rPr>
        <w:t> </w:t>
      </w:r>
      <w:r>
        <w:rPr/>
        <w:t>liquidou</w:t>
      </w:r>
      <w:r>
        <w:rPr>
          <w:spacing w:val="-11"/>
        </w:rPr>
        <w:t> </w:t>
      </w:r>
      <w:r>
        <w:rPr/>
        <w:t>o</w:t>
      </w:r>
      <w:r>
        <w:rPr>
          <w:spacing w:val="-12"/>
        </w:rPr>
        <w:t> </w:t>
      </w:r>
      <w:r>
        <w:rPr/>
        <w:t>parcelamento</w:t>
      </w:r>
      <w:r>
        <w:rPr>
          <w:spacing w:val="-12"/>
        </w:rPr>
        <w:t> </w:t>
      </w:r>
      <w:r>
        <w:rPr/>
        <w:t>referente</w:t>
      </w:r>
      <w:r>
        <w:rPr>
          <w:spacing w:val="-13"/>
        </w:rPr>
        <w:t> </w:t>
      </w:r>
      <w:r>
        <w:rPr/>
        <w:t>à</w:t>
      </w:r>
      <w:r>
        <w:rPr>
          <w:spacing w:val="-10"/>
        </w:rPr>
        <w:t> </w:t>
      </w:r>
      <w:r>
        <w:rPr/>
        <w:t>Contribuição</w:t>
      </w:r>
      <w:r>
        <w:rPr>
          <w:spacing w:val="-12"/>
        </w:rPr>
        <w:t> </w:t>
      </w:r>
      <w:r>
        <w:rPr/>
        <w:t>de</w:t>
      </w:r>
      <w:r>
        <w:rPr>
          <w:spacing w:val="-12"/>
        </w:rPr>
        <w:t> </w:t>
      </w:r>
      <w:r>
        <w:rPr/>
        <w:t>Iluminação</w:t>
      </w:r>
      <w:r>
        <w:rPr>
          <w:spacing w:val="-11"/>
        </w:rPr>
        <w:t> </w:t>
      </w:r>
      <w:r>
        <w:rPr/>
        <w:t>Pública</w:t>
      </w:r>
      <w:r>
        <w:rPr>
          <w:spacing w:val="-6"/>
        </w:rPr>
        <w:t> </w:t>
      </w:r>
      <w:r>
        <w:rPr/>
        <w:t>-</w:t>
      </w:r>
      <w:r>
        <w:rPr>
          <w:spacing w:val="-10"/>
        </w:rPr>
        <w:t> </w:t>
      </w:r>
      <w:r>
        <w:rPr/>
        <w:t>CIP,</w:t>
      </w:r>
      <w:r>
        <w:rPr>
          <w:spacing w:val="-10"/>
        </w:rPr>
        <w:t> </w:t>
      </w:r>
      <w:r>
        <w:rPr/>
        <w:t>no pagamento</w:t>
      </w:r>
      <w:r>
        <w:rPr>
          <w:spacing w:val="-20"/>
        </w:rPr>
        <w:t> </w:t>
      </w:r>
      <w:r>
        <w:rPr/>
        <w:t>da</w:t>
      </w:r>
      <w:r>
        <w:rPr>
          <w:spacing w:val="-15"/>
        </w:rPr>
        <w:t> </w:t>
      </w:r>
      <w:r>
        <w:rPr/>
        <w:t>última</w:t>
      </w:r>
      <w:r>
        <w:rPr>
          <w:spacing w:val="-19"/>
        </w:rPr>
        <w:t> </w:t>
      </w:r>
      <w:r>
        <w:rPr/>
        <w:t>parcela</w:t>
      </w:r>
      <w:r>
        <w:rPr>
          <w:spacing w:val="-15"/>
        </w:rPr>
        <w:t> </w:t>
      </w:r>
      <w:r>
        <w:rPr/>
        <w:t>no</w:t>
      </w:r>
      <w:r>
        <w:rPr>
          <w:spacing w:val="-20"/>
        </w:rPr>
        <w:t> </w:t>
      </w:r>
      <w:r>
        <w:rPr/>
        <w:t>valor</w:t>
      </w:r>
      <w:r>
        <w:rPr>
          <w:spacing w:val="-17"/>
        </w:rPr>
        <w:t> </w:t>
      </w:r>
      <w:r>
        <w:rPr/>
        <w:t>de</w:t>
      </w:r>
      <w:r>
        <w:rPr>
          <w:spacing w:val="-18"/>
        </w:rPr>
        <w:t> </w:t>
      </w:r>
      <w:r>
        <w:rPr/>
        <w:t>R$</w:t>
      </w:r>
      <w:r>
        <w:rPr>
          <w:spacing w:val="-19"/>
        </w:rPr>
        <w:t> </w:t>
      </w:r>
      <w:r>
        <w:rPr/>
        <w:t>R$</w:t>
      </w:r>
      <w:r>
        <w:rPr>
          <w:spacing w:val="-18"/>
        </w:rPr>
        <w:t> </w:t>
      </w:r>
      <w:r>
        <w:rPr/>
        <w:t>3.623.</w:t>
      </w:r>
    </w:p>
    <w:p>
      <w:pPr>
        <w:pStyle w:val="BodyText"/>
        <w:spacing w:before="3"/>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18"/>
        </w:rPr>
      </w:pPr>
      <w:r>
        <w:rPr>
          <w:rFonts w:ascii="Caladea" w:hAnsi="Caladea"/>
          <w:b/>
          <w:sz w:val="22"/>
        </w:rPr>
        <w:t>A</w:t>
      </w:r>
      <w:r>
        <w:rPr>
          <w:rFonts w:ascii="Caladea" w:hAnsi="Caladea"/>
          <w:b/>
          <w:sz w:val="18"/>
        </w:rPr>
        <w:t>LIENAÇÃO DE </w:t>
      </w:r>
      <w:r>
        <w:rPr>
          <w:rFonts w:ascii="Caladea" w:hAnsi="Caladea"/>
          <w:b/>
          <w:sz w:val="22"/>
        </w:rPr>
        <w:t>S</w:t>
      </w:r>
      <w:r>
        <w:rPr>
          <w:rFonts w:ascii="Caladea" w:hAnsi="Caladea"/>
          <w:b/>
          <w:sz w:val="18"/>
        </w:rPr>
        <w:t>UCATAS</w:t>
      </w:r>
    </w:p>
    <w:p>
      <w:pPr>
        <w:pStyle w:val="BodyText"/>
        <w:spacing w:before="10"/>
        <w:rPr>
          <w:rFonts w:ascii="Caladea"/>
          <w:b/>
          <w:sz w:val="23"/>
        </w:rPr>
      </w:pPr>
    </w:p>
    <w:p>
      <w:pPr>
        <w:pStyle w:val="BodyText"/>
        <w:spacing w:line="242" w:lineRule="auto"/>
        <w:ind w:left="172" w:right="409"/>
        <w:jc w:val="both"/>
      </w:pPr>
      <w:r>
        <w:rPr/>
        <w:t>Foram</w:t>
      </w:r>
      <w:r>
        <w:rPr>
          <w:spacing w:val="-36"/>
        </w:rPr>
        <w:t> </w:t>
      </w:r>
      <w:r>
        <w:rPr/>
        <w:t>realizados,</w:t>
      </w:r>
      <w:r>
        <w:rPr>
          <w:spacing w:val="-35"/>
        </w:rPr>
        <w:t> </w:t>
      </w:r>
      <w:r>
        <w:rPr/>
        <w:t>no</w:t>
      </w:r>
      <w:r>
        <w:rPr>
          <w:spacing w:val="-34"/>
        </w:rPr>
        <w:t> </w:t>
      </w:r>
      <w:r>
        <w:rPr/>
        <w:t>primeiro</w:t>
      </w:r>
      <w:r>
        <w:rPr>
          <w:spacing w:val="-34"/>
        </w:rPr>
        <w:t> </w:t>
      </w:r>
      <w:r>
        <w:rPr/>
        <w:t>trimestre</w:t>
      </w:r>
      <w:r>
        <w:rPr>
          <w:spacing w:val="-36"/>
        </w:rPr>
        <w:t> </w:t>
      </w:r>
      <w:r>
        <w:rPr/>
        <w:t>de</w:t>
      </w:r>
      <w:r>
        <w:rPr>
          <w:spacing w:val="-35"/>
        </w:rPr>
        <w:t> </w:t>
      </w:r>
      <w:r>
        <w:rPr/>
        <w:t>2020,</w:t>
      </w:r>
      <w:r>
        <w:rPr>
          <w:spacing w:val="-33"/>
        </w:rPr>
        <w:t> </w:t>
      </w:r>
      <w:r>
        <w:rPr/>
        <w:t>05</w:t>
      </w:r>
      <w:r>
        <w:rPr>
          <w:spacing w:val="-34"/>
        </w:rPr>
        <w:t> </w:t>
      </w:r>
      <w:r>
        <w:rPr/>
        <w:t>certames</w:t>
      </w:r>
      <w:r>
        <w:rPr>
          <w:spacing w:val="-35"/>
        </w:rPr>
        <w:t> </w:t>
      </w:r>
      <w:r>
        <w:rPr/>
        <w:t>licitatórios</w:t>
      </w:r>
      <w:r>
        <w:rPr>
          <w:spacing w:val="-35"/>
        </w:rPr>
        <w:t> </w:t>
      </w:r>
      <w:r>
        <w:rPr/>
        <w:t>para</w:t>
      </w:r>
      <w:r>
        <w:rPr>
          <w:spacing w:val="-34"/>
        </w:rPr>
        <w:t> </w:t>
      </w:r>
      <w:r>
        <w:rPr/>
        <w:t>alienação</w:t>
      </w:r>
      <w:r>
        <w:rPr>
          <w:spacing w:val="-35"/>
        </w:rPr>
        <w:t> </w:t>
      </w:r>
      <w:r>
        <w:rPr/>
        <w:t>de</w:t>
      </w:r>
      <w:r>
        <w:rPr>
          <w:spacing w:val="-36"/>
        </w:rPr>
        <w:t> </w:t>
      </w:r>
      <w:r>
        <w:rPr/>
        <w:t>bens</w:t>
      </w:r>
      <w:r>
        <w:rPr>
          <w:spacing w:val="-33"/>
        </w:rPr>
        <w:t> </w:t>
      </w:r>
      <w:r>
        <w:rPr/>
        <w:t>móveis</w:t>
      </w:r>
      <w:r>
        <w:rPr>
          <w:spacing w:val="-31"/>
        </w:rPr>
        <w:t> </w:t>
      </w:r>
      <w:r>
        <w:rPr/>
        <w:t>inservíveis (veículos,</w:t>
      </w:r>
      <w:r>
        <w:rPr>
          <w:spacing w:val="-30"/>
        </w:rPr>
        <w:t> </w:t>
      </w:r>
      <w:r>
        <w:rPr/>
        <w:t>sucatas,</w:t>
      </w:r>
      <w:r>
        <w:rPr>
          <w:spacing w:val="-30"/>
        </w:rPr>
        <w:t> </w:t>
      </w:r>
      <w:r>
        <w:rPr/>
        <w:t>entre</w:t>
      </w:r>
      <w:r>
        <w:rPr>
          <w:spacing w:val="-28"/>
        </w:rPr>
        <w:t> </w:t>
      </w:r>
      <w:r>
        <w:rPr/>
        <w:t>outros).</w:t>
      </w:r>
      <w:r>
        <w:rPr>
          <w:spacing w:val="-31"/>
        </w:rPr>
        <w:t> </w:t>
      </w:r>
      <w:r>
        <w:rPr/>
        <w:t>O</w:t>
      </w:r>
      <w:r>
        <w:rPr>
          <w:spacing w:val="-30"/>
        </w:rPr>
        <w:t> </w:t>
      </w:r>
      <w:r>
        <w:rPr/>
        <w:t>produto</w:t>
      </w:r>
      <w:r>
        <w:rPr>
          <w:spacing w:val="-30"/>
        </w:rPr>
        <w:t> </w:t>
      </w:r>
      <w:r>
        <w:rPr/>
        <w:t>da</w:t>
      </w:r>
      <w:r>
        <w:rPr>
          <w:spacing w:val="-29"/>
        </w:rPr>
        <w:t> </w:t>
      </w:r>
      <w:r>
        <w:rPr/>
        <w:t>arrecadação</w:t>
      </w:r>
      <w:r>
        <w:rPr>
          <w:spacing w:val="-30"/>
        </w:rPr>
        <w:t> </w:t>
      </w:r>
      <w:r>
        <w:rPr/>
        <w:t>foi</w:t>
      </w:r>
      <w:r>
        <w:rPr>
          <w:spacing w:val="-30"/>
        </w:rPr>
        <w:t> </w:t>
      </w:r>
      <w:r>
        <w:rPr/>
        <w:t>de</w:t>
      </w:r>
      <w:r>
        <w:rPr>
          <w:spacing w:val="-29"/>
        </w:rPr>
        <w:t> </w:t>
      </w:r>
      <w:r>
        <w:rPr/>
        <w:t>8,7</w:t>
      </w:r>
      <w:r>
        <w:rPr>
          <w:spacing w:val="-27"/>
        </w:rPr>
        <w:t> </w:t>
      </w:r>
      <w:r>
        <w:rPr/>
        <w:t>milhões</w:t>
      </w:r>
      <w:r>
        <w:rPr>
          <w:spacing w:val="-28"/>
        </w:rPr>
        <w:t> </w:t>
      </w:r>
      <w:r>
        <w:rPr/>
        <w:t>de</w:t>
      </w:r>
      <w:r>
        <w:rPr>
          <w:spacing w:val="-30"/>
        </w:rPr>
        <w:t> </w:t>
      </w:r>
      <w:r>
        <w:rPr/>
        <w:t>reais,</w:t>
      </w:r>
      <w:r>
        <w:rPr>
          <w:spacing w:val="-25"/>
        </w:rPr>
        <w:t> </w:t>
      </w:r>
      <w:r>
        <w:rPr/>
        <w:t>obtendo</w:t>
      </w:r>
      <w:r>
        <w:rPr>
          <w:spacing w:val="-29"/>
        </w:rPr>
        <w:t> </w:t>
      </w:r>
      <w:r>
        <w:rPr/>
        <w:t>ágio</w:t>
      </w:r>
      <w:r>
        <w:rPr>
          <w:spacing w:val="-30"/>
        </w:rPr>
        <w:t> </w:t>
      </w:r>
      <w:r>
        <w:rPr/>
        <w:t>de</w:t>
      </w:r>
      <w:r>
        <w:rPr>
          <w:spacing w:val="-31"/>
        </w:rPr>
        <w:t> </w:t>
      </w:r>
      <w:r>
        <w:rPr/>
        <w:t>108%.</w:t>
      </w:r>
    </w:p>
    <w:p>
      <w:pPr>
        <w:pStyle w:val="BodyText"/>
        <w:spacing w:before="7"/>
      </w:pPr>
    </w:p>
    <w:p>
      <w:pPr>
        <w:pStyle w:val="ListParagraph"/>
        <w:numPr>
          <w:ilvl w:val="1"/>
          <w:numId w:val="6"/>
        </w:numPr>
        <w:tabs>
          <w:tab w:pos="1025" w:val="left" w:leader="none"/>
          <w:tab w:pos="1026" w:val="left" w:leader="none"/>
        </w:tabs>
        <w:spacing w:line="240" w:lineRule="auto" w:before="0" w:after="0"/>
        <w:ind w:left="1025" w:right="0" w:hanging="854"/>
        <w:jc w:val="left"/>
        <w:rPr>
          <w:rFonts w:ascii="Caladea" w:hAnsi="Caladea"/>
          <w:b/>
          <w:sz w:val="22"/>
        </w:rPr>
      </w:pPr>
      <w:r>
        <w:rPr>
          <w:rFonts w:ascii="Caladea" w:hAnsi="Caladea"/>
          <w:b/>
          <w:sz w:val="22"/>
        </w:rPr>
        <w:t>A</w:t>
      </w:r>
      <w:r>
        <w:rPr>
          <w:rFonts w:ascii="Caladea" w:hAnsi="Caladea"/>
          <w:b/>
          <w:sz w:val="18"/>
        </w:rPr>
        <w:t>LTERAÇÕES NOS </w:t>
      </w:r>
      <w:r>
        <w:rPr>
          <w:rFonts w:ascii="Caladea" w:hAnsi="Caladea"/>
          <w:b/>
          <w:sz w:val="22"/>
        </w:rPr>
        <w:t>P</w:t>
      </w:r>
      <w:r>
        <w:rPr>
          <w:rFonts w:ascii="Caladea" w:hAnsi="Caladea"/>
          <w:b/>
          <w:sz w:val="18"/>
        </w:rPr>
        <w:t>LANOS DE </w:t>
      </w:r>
      <w:r>
        <w:rPr>
          <w:rFonts w:ascii="Caladea" w:hAnsi="Caladea"/>
          <w:b/>
          <w:sz w:val="22"/>
        </w:rPr>
        <w:t>B</w:t>
      </w:r>
      <w:r>
        <w:rPr>
          <w:rFonts w:ascii="Caladea" w:hAnsi="Caladea"/>
          <w:b/>
          <w:sz w:val="18"/>
        </w:rPr>
        <w:t>ENEFÍCIOS </w:t>
      </w:r>
      <w:r>
        <w:rPr>
          <w:rFonts w:ascii="Caladea" w:hAnsi="Caladea"/>
          <w:b/>
          <w:sz w:val="22"/>
        </w:rPr>
        <w:t>P</w:t>
      </w:r>
      <w:r>
        <w:rPr>
          <w:rFonts w:ascii="Caladea" w:hAnsi="Caladea"/>
          <w:b/>
          <w:sz w:val="18"/>
        </w:rPr>
        <w:t>ROVIDENCIAIS</w:t>
      </w:r>
      <w:r>
        <w:rPr>
          <w:rFonts w:ascii="Caladea" w:hAnsi="Caladea"/>
          <w:b/>
          <w:spacing w:val="-2"/>
          <w:sz w:val="18"/>
        </w:rPr>
        <w:t> </w:t>
      </w:r>
      <w:r>
        <w:rPr>
          <w:rFonts w:ascii="Caladea" w:hAnsi="Caladea"/>
          <w:b/>
          <w:sz w:val="22"/>
        </w:rPr>
        <w:t>FACEB</w:t>
      </w:r>
    </w:p>
    <w:p>
      <w:pPr>
        <w:pStyle w:val="BodyText"/>
        <w:spacing w:before="10"/>
        <w:rPr>
          <w:rFonts w:ascii="Caladea"/>
          <w:b/>
          <w:sz w:val="23"/>
        </w:rPr>
      </w:pPr>
    </w:p>
    <w:p>
      <w:pPr>
        <w:pStyle w:val="BodyText"/>
        <w:spacing w:line="242" w:lineRule="auto"/>
        <w:ind w:left="172" w:right="405"/>
        <w:jc w:val="both"/>
      </w:pPr>
      <w:r>
        <w:rPr/>
        <w:t>Em</w:t>
      </w:r>
      <w:r>
        <w:rPr>
          <w:spacing w:val="-25"/>
        </w:rPr>
        <w:t> </w:t>
      </w:r>
      <w:r>
        <w:rPr/>
        <w:t>17</w:t>
      </w:r>
      <w:r>
        <w:rPr>
          <w:spacing w:val="-25"/>
        </w:rPr>
        <w:t> </w:t>
      </w:r>
      <w:r>
        <w:rPr/>
        <w:t>de</w:t>
      </w:r>
      <w:r>
        <w:rPr>
          <w:spacing w:val="-26"/>
        </w:rPr>
        <w:t> </w:t>
      </w:r>
      <w:r>
        <w:rPr/>
        <w:t>março</w:t>
      </w:r>
      <w:r>
        <w:rPr>
          <w:spacing w:val="-25"/>
        </w:rPr>
        <w:t> </w:t>
      </w:r>
      <w:r>
        <w:rPr/>
        <w:t>de</w:t>
      </w:r>
      <w:r>
        <w:rPr>
          <w:spacing w:val="-26"/>
        </w:rPr>
        <w:t> </w:t>
      </w:r>
      <w:r>
        <w:rPr/>
        <w:t>2020,</w:t>
      </w:r>
      <w:r>
        <w:rPr>
          <w:spacing w:val="-25"/>
        </w:rPr>
        <w:t> </w:t>
      </w:r>
      <w:r>
        <w:rPr/>
        <w:t>foi</w:t>
      </w:r>
      <w:r>
        <w:rPr>
          <w:spacing w:val="-24"/>
        </w:rPr>
        <w:t> </w:t>
      </w:r>
      <w:r>
        <w:rPr/>
        <w:t>publicado</w:t>
      </w:r>
      <w:r>
        <w:rPr>
          <w:spacing w:val="-25"/>
        </w:rPr>
        <w:t> </w:t>
      </w:r>
      <w:r>
        <w:rPr/>
        <w:t>no</w:t>
      </w:r>
      <w:r>
        <w:rPr>
          <w:spacing w:val="-25"/>
        </w:rPr>
        <w:t> </w:t>
      </w:r>
      <w:r>
        <w:rPr/>
        <w:t>Diário</w:t>
      </w:r>
      <w:r>
        <w:rPr>
          <w:spacing w:val="-26"/>
        </w:rPr>
        <w:t> </w:t>
      </w:r>
      <w:r>
        <w:rPr/>
        <w:t>Oficial</w:t>
      </w:r>
      <w:r>
        <w:rPr>
          <w:spacing w:val="-24"/>
        </w:rPr>
        <w:t> </w:t>
      </w:r>
      <w:r>
        <w:rPr/>
        <w:t>da</w:t>
      </w:r>
      <w:r>
        <w:rPr>
          <w:spacing w:val="-24"/>
        </w:rPr>
        <w:t> </w:t>
      </w:r>
      <w:r>
        <w:rPr/>
        <w:t>União,</w:t>
      </w:r>
      <w:r>
        <w:rPr>
          <w:spacing w:val="-24"/>
        </w:rPr>
        <w:t> </w:t>
      </w:r>
      <w:r>
        <w:rPr/>
        <w:t>Portaria</w:t>
      </w:r>
      <w:r>
        <w:rPr>
          <w:spacing w:val="-24"/>
        </w:rPr>
        <w:t> </w:t>
      </w:r>
      <w:r>
        <w:rPr/>
        <w:t>nº</w:t>
      </w:r>
      <w:r>
        <w:rPr>
          <w:spacing w:val="-24"/>
        </w:rPr>
        <w:t> </w:t>
      </w:r>
      <w:r>
        <w:rPr/>
        <w:t>196</w:t>
      </w:r>
      <w:r>
        <w:rPr>
          <w:spacing w:val="-25"/>
        </w:rPr>
        <w:t> </w:t>
      </w:r>
      <w:r>
        <w:rPr/>
        <w:t>de</w:t>
      </w:r>
      <w:r>
        <w:rPr>
          <w:spacing w:val="-24"/>
        </w:rPr>
        <w:t> </w:t>
      </w:r>
      <w:r>
        <w:rPr/>
        <w:t>13</w:t>
      </w:r>
      <w:r>
        <w:rPr>
          <w:spacing w:val="-25"/>
        </w:rPr>
        <w:t> </w:t>
      </w:r>
      <w:r>
        <w:rPr/>
        <w:t>de</w:t>
      </w:r>
      <w:r>
        <w:rPr>
          <w:spacing w:val="-26"/>
        </w:rPr>
        <w:t> </w:t>
      </w:r>
      <w:r>
        <w:rPr/>
        <w:t>março</w:t>
      </w:r>
      <w:r>
        <w:rPr>
          <w:spacing w:val="-25"/>
        </w:rPr>
        <w:t> </w:t>
      </w:r>
      <w:r>
        <w:rPr/>
        <w:t>de</w:t>
      </w:r>
      <w:r>
        <w:rPr>
          <w:spacing w:val="-25"/>
        </w:rPr>
        <w:t> </w:t>
      </w:r>
      <w:r>
        <w:rPr/>
        <w:t>2020,</w:t>
      </w:r>
      <w:r>
        <w:rPr>
          <w:spacing w:val="-23"/>
        </w:rPr>
        <w:t> </w:t>
      </w:r>
      <w:r>
        <w:rPr/>
        <w:t>na</w:t>
      </w:r>
      <w:r>
        <w:rPr>
          <w:spacing w:val="-23"/>
        </w:rPr>
        <w:t> </w:t>
      </w:r>
      <w:r>
        <w:rPr/>
        <w:t>qual</w:t>
      </w:r>
      <w:r>
        <w:rPr>
          <w:spacing w:val="-24"/>
        </w:rPr>
        <w:t> </w:t>
      </w:r>
      <w:r>
        <w:rPr/>
        <w:t>a Diretoria</w:t>
      </w:r>
      <w:r>
        <w:rPr>
          <w:spacing w:val="-29"/>
        </w:rPr>
        <w:t> </w:t>
      </w:r>
      <w:r>
        <w:rPr/>
        <w:t>de</w:t>
      </w:r>
      <w:r>
        <w:rPr>
          <w:spacing w:val="-30"/>
        </w:rPr>
        <w:t> </w:t>
      </w:r>
      <w:r>
        <w:rPr/>
        <w:t>Licenciamento</w:t>
      </w:r>
      <w:r>
        <w:rPr>
          <w:spacing w:val="-29"/>
        </w:rPr>
        <w:t> </w:t>
      </w:r>
      <w:r>
        <w:rPr/>
        <w:t>da</w:t>
      </w:r>
      <w:r>
        <w:rPr>
          <w:spacing w:val="-30"/>
        </w:rPr>
        <w:t> </w:t>
      </w:r>
      <w:r>
        <w:rPr/>
        <w:t>Superintendência</w:t>
      </w:r>
      <w:r>
        <w:rPr>
          <w:spacing w:val="-30"/>
        </w:rPr>
        <w:t> </w:t>
      </w:r>
      <w:r>
        <w:rPr/>
        <w:t>Nacional</w:t>
      </w:r>
      <w:r>
        <w:rPr>
          <w:spacing w:val="-30"/>
        </w:rPr>
        <w:t> </w:t>
      </w:r>
      <w:r>
        <w:rPr/>
        <w:t>de</w:t>
      </w:r>
      <w:r>
        <w:rPr>
          <w:spacing w:val="-31"/>
        </w:rPr>
        <w:t> </w:t>
      </w:r>
      <w:r>
        <w:rPr/>
        <w:t>Previdência</w:t>
      </w:r>
      <w:r>
        <w:rPr>
          <w:spacing w:val="-30"/>
        </w:rPr>
        <w:t> </w:t>
      </w:r>
      <w:r>
        <w:rPr/>
        <w:t>Complementar,</w:t>
      </w:r>
      <w:r>
        <w:rPr>
          <w:spacing w:val="-30"/>
        </w:rPr>
        <w:t> </w:t>
      </w:r>
      <w:r>
        <w:rPr/>
        <w:t>face</w:t>
      </w:r>
      <w:r>
        <w:rPr>
          <w:spacing w:val="-31"/>
        </w:rPr>
        <w:t> </w:t>
      </w:r>
      <w:r>
        <w:rPr/>
        <w:t>às</w:t>
      </w:r>
      <w:r>
        <w:rPr>
          <w:spacing w:val="-30"/>
        </w:rPr>
        <w:t> </w:t>
      </w:r>
      <w:r>
        <w:rPr/>
        <w:t>suas</w:t>
      </w:r>
      <w:r>
        <w:rPr>
          <w:spacing w:val="-30"/>
        </w:rPr>
        <w:t> </w:t>
      </w:r>
      <w:r>
        <w:rPr/>
        <w:t>atribuições, autoriza</w:t>
      </w:r>
      <w:r>
        <w:rPr>
          <w:spacing w:val="-41"/>
        </w:rPr>
        <w:t> </w:t>
      </w:r>
      <w:r>
        <w:rPr/>
        <w:t>as</w:t>
      </w:r>
      <w:r>
        <w:rPr>
          <w:spacing w:val="-41"/>
        </w:rPr>
        <w:t> </w:t>
      </w:r>
      <w:r>
        <w:rPr/>
        <w:t>alterações</w:t>
      </w:r>
      <w:r>
        <w:rPr>
          <w:spacing w:val="-41"/>
        </w:rPr>
        <w:t> </w:t>
      </w:r>
      <w:r>
        <w:rPr/>
        <w:t>propostas</w:t>
      </w:r>
      <w:r>
        <w:rPr>
          <w:spacing w:val="-41"/>
        </w:rPr>
        <w:t> </w:t>
      </w:r>
      <w:r>
        <w:rPr/>
        <w:t>aos</w:t>
      </w:r>
      <w:r>
        <w:rPr>
          <w:spacing w:val="-41"/>
        </w:rPr>
        <w:t> </w:t>
      </w:r>
      <w:r>
        <w:rPr/>
        <w:t>regulamentos</w:t>
      </w:r>
      <w:r>
        <w:rPr>
          <w:spacing w:val="-41"/>
        </w:rPr>
        <w:t> </w:t>
      </w:r>
      <w:r>
        <w:rPr/>
        <w:t>do</w:t>
      </w:r>
      <w:r>
        <w:rPr>
          <w:spacing w:val="-42"/>
        </w:rPr>
        <w:t> </w:t>
      </w:r>
      <w:r>
        <w:rPr/>
        <w:t>Plano</w:t>
      </w:r>
      <w:r>
        <w:rPr>
          <w:spacing w:val="-41"/>
        </w:rPr>
        <w:t> </w:t>
      </w:r>
      <w:r>
        <w:rPr/>
        <w:t>Complementar</w:t>
      </w:r>
      <w:r>
        <w:rPr>
          <w:spacing w:val="-42"/>
        </w:rPr>
        <w:t> </w:t>
      </w:r>
      <w:r>
        <w:rPr/>
        <w:t>de</w:t>
      </w:r>
      <w:r>
        <w:rPr>
          <w:spacing w:val="-42"/>
        </w:rPr>
        <w:t> </w:t>
      </w:r>
      <w:r>
        <w:rPr/>
        <w:t>Benefícios</w:t>
      </w:r>
      <w:r>
        <w:rPr>
          <w:spacing w:val="-41"/>
        </w:rPr>
        <w:t> </w:t>
      </w:r>
      <w:r>
        <w:rPr/>
        <w:t>Previdenciais</w:t>
      </w:r>
      <w:r>
        <w:rPr>
          <w:spacing w:val="-42"/>
        </w:rPr>
        <w:t> </w:t>
      </w:r>
      <w:r>
        <w:rPr/>
        <w:t>da</w:t>
      </w:r>
      <w:r>
        <w:rPr>
          <w:spacing w:val="-41"/>
        </w:rPr>
        <w:t> </w:t>
      </w:r>
      <w:r>
        <w:rPr/>
        <w:t>FACEB,</w:t>
      </w:r>
      <w:r>
        <w:rPr>
          <w:spacing w:val="-41"/>
        </w:rPr>
        <w:t> </w:t>
      </w:r>
      <w:r>
        <w:rPr/>
        <w:t>do Plano</w:t>
      </w:r>
      <w:r>
        <w:rPr>
          <w:spacing w:val="-16"/>
        </w:rPr>
        <w:t> </w:t>
      </w:r>
      <w:r>
        <w:rPr/>
        <w:t>de</w:t>
      </w:r>
      <w:r>
        <w:rPr>
          <w:spacing w:val="-14"/>
        </w:rPr>
        <w:t> </w:t>
      </w:r>
      <w:r>
        <w:rPr/>
        <w:t>Benefícios</w:t>
      </w:r>
      <w:r>
        <w:rPr>
          <w:spacing w:val="-13"/>
        </w:rPr>
        <w:t> </w:t>
      </w:r>
      <w:r>
        <w:rPr/>
        <w:t>CEBPREV</w:t>
      </w:r>
      <w:r>
        <w:rPr>
          <w:spacing w:val="-14"/>
        </w:rPr>
        <w:t> </w:t>
      </w:r>
      <w:r>
        <w:rPr/>
        <w:t>e</w:t>
      </w:r>
      <w:r>
        <w:rPr>
          <w:spacing w:val="-11"/>
        </w:rPr>
        <w:t> </w:t>
      </w:r>
      <w:r>
        <w:rPr/>
        <w:t>a</w:t>
      </w:r>
      <w:r>
        <w:rPr>
          <w:spacing w:val="-14"/>
        </w:rPr>
        <w:t> </w:t>
      </w:r>
      <w:r>
        <w:rPr/>
        <w:t>aplicação</w:t>
      </w:r>
      <w:r>
        <w:rPr>
          <w:spacing w:val="-15"/>
        </w:rPr>
        <w:t> </w:t>
      </w:r>
      <w:r>
        <w:rPr/>
        <w:t>do</w:t>
      </w:r>
      <w:r>
        <w:rPr>
          <w:spacing w:val="-12"/>
        </w:rPr>
        <w:t> </w:t>
      </w:r>
      <w:r>
        <w:rPr/>
        <w:t>regulamento</w:t>
      </w:r>
      <w:r>
        <w:rPr>
          <w:spacing w:val="-12"/>
        </w:rPr>
        <w:t> </w:t>
      </w:r>
      <w:r>
        <w:rPr/>
        <w:t>do</w:t>
      </w:r>
      <w:r>
        <w:rPr>
          <w:spacing w:val="-14"/>
        </w:rPr>
        <w:t> </w:t>
      </w:r>
      <w:r>
        <w:rPr/>
        <w:t>Plano</w:t>
      </w:r>
      <w:r>
        <w:rPr>
          <w:spacing w:val="-13"/>
        </w:rPr>
        <w:t> </w:t>
      </w:r>
      <w:r>
        <w:rPr/>
        <w:t>Complementar</w:t>
      </w:r>
      <w:r>
        <w:rPr>
          <w:spacing w:val="-15"/>
        </w:rPr>
        <w:t> </w:t>
      </w:r>
      <w:r>
        <w:rPr/>
        <w:t>de</w:t>
      </w:r>
      <w:r>
        <w:rPr>
          <w:spacing w:val="-16"/>
        </w:rPr>
        <w:t> </w:t>
      </w:r>
      <w:r>
        <w:rPr/>
        <w:t>Benefícios</w:t>
      </w:r>
      <w:r>
        <w:rPr>
          <w:spacing w:val="-12"/>
        </w:rPr>
        <w:t> </w:t>
      </w:r>
      <w:r>
        <w:rPr/>
        <w:t>Previdências</w:t>
      </w:r>
      <w:r>
        <w:rPr>
          <w:spacing w:val="-11"/>
        </w:rPr>
        <w:t> </w:t>
      </w:r>
      <w:r>
        <w:rPr/>
        <w:t>- FACEB-SALDADO.</w:t>
      </w:r>
    </w:p>
    <w:p>
      <w:pPr>
        <w:spacing w:after="0" w:line="242" w:lineRule="auto"/>
        <w:jc w:val="both"/>
        <w:sectPr>
          <w:pgSz w:w="11910" w:h="16850"/>
          <w:pgMar w:header="792" w:footer="982" w:top="1280" w:bottom="1180" w:left="960" w:right="440"/>
        </w:sectPr>
      </w:pPr>
    </w:p>
    <w:p>
      <w:pPr>
        <w:pStyle w:val="BodyText"/>
        <w:spacing w:before="4"/>
        <w:rPr>
          <w:sz w:val="6"/>
        </w:rPr>
      </w:pPr>
    </w:p>
    <w:p>
      <w:pPr>
        <w:pStyle w:val="BodyText"/>
        <w:spacing w:line="20" w:lineRule="exact"/>
        <w:ind w:left="91"/>
        <w:rPr>
          <w:sz w:val="2"/>
        </w:rPr>
      </w:pPr>
      <w:r>
        <w:rPr>
          <w:sz w:val="2"/>
        </w:rPr>
        <w:pict>
          <v:group style="width:503.9pt;height:.5pt;mso-position-horizontal-relative:char;mso-position-vertical-relative:line" coordorigin="0,0" coordsize="10078,10">
            <v:rect style="position:absolute;left:0;top:0;width:10078;height:10" filled="true" fillcolor="#000080" stroked="false">
              <v:fill type="solid"/>
            </v:rect>
          </v:group>
        </w:pict>
      </w:r>
      <w:r>
        <w:rPr>
          <w:sz w:val="2"/>
        </w:rPr>
      </w:r>
    </w:p>
    <w:p>
      <w:pPr>
        <w:pStyle w:val="ListParagraph"/>
        <w:numPr>
          <w:ilvl w:val="1"/>
          <w:numId w:val="6"/>
        </w:numPr>
        <w:tabs>
          <w:tab w:pos="1025" w:val="left" w:leader="none"/>
          <w:tab w:pos="1026" w:val="left" w:leader="none"/>
        </w:tabs>
        <w:spacing w:line="240" w:lineRule="auto" w:before="14" w:after="0"/>
        <w:ind w:left="1025" w:right="0" w:hanging="854"/>
        <w:jc w:val="left"/>
        <w:rPr>
          <w:rFonts w:ascii="Caladea" w:hAnsi="Caladea"/>
          <w:b/>
          <w:sz w:val="18"/>
        </w:rPr>
      </w:pPr>
      <w:r>
        <w:rPr>
          <w:rFonts w:ascii="Caladea" w:hAnsi="Caladea"/>
          <w:b/>
          <w:sz w:val="22"/>
        </w:rPr>
        <w:t>E</w:t>
      </w:r>
      <w:r>
        <w:rPr>
          <w:rFonts w:ascii="Caladea" w:hAnsi="Caladea"/>
          <w:b/>
          <w:sz w:val="18"/>
        </w:rPr>
        <w:t>FEITO DO </w:t>
      </w:r>
      <w:r>
        <w:rPr>
          <w:rFonts w:ascii="Caladea" w:hAnsi="Caladea"/>
          <w:b/>
          <w:sz w:val="22"/>
        </w:rPr>
        <w:t>C</w:t>
      </w:r>
      <w:r>
        <w:rPr>
          <w:rFonts w:ascii="Caladea" w:hAnsi="Caladea"/>
          <w:b/>
          <w:sz w:val="18"/>
        </w:rPr>
        <w:t>ORONAVÍRUS NAS </w:t>
      </w:r>
      <w:r>
        <w:rPr>
          <w:rFonts w:ascii="Caladea" w:hAnsi="Caladea"/>
          <w:b/>
          <w:sz w:val="22"/>
        </w:rPr>
        <w:t>D</w:t>
      </w:r>
      <w:r>
        <w:rPr>
          <w:rFonts w:ascii="Caladea" w:hAnsi="Caladea"/>
          <w:b/>
          <w:sz w:val="18"/>
        </w:rPr>
        <w:t>EMONSTRAÇÕES</w:t>
      </w:r>
      <w:r>
        <w:rPr>
          <w:rFonts w:ascii="Caladea" w:hAnsi="Caladea"/>
          <w:b/>
          <w:spacing w:val="-2"/>
          <w:sz w:val="18"/>
        </w:rPr>
        <w:t> </w:t>
      </w:r>
      <w:r>
        <w:rPr>
          <w:rFonts w:ascii="Caladea" w:hAnsi="Caladea"/>
          <w:b/>
          <w:sz w:val="22"/>
        </w:rPr>
        <w:t>F</w:t>
      </w:r>
      <w:r>
        <w:rPr>
          <w:rFonts w:ascii="Caladea" w:hAnsi="Caladea"/>
          <w:b/>
          <w:sz w:val="18"/>
        </w:rPr>
        <w:t>INANCEIRAS</w:t>
      </w:r>
    </w:p>
    <w:p>
      <w:pPr>
        <w:pStyle w:val="BodyText"/>
        <w:spacing w:before="1"/>
        <w:rPr>
          <w:rFonts w:ascii="Caladea"/>
          <w:b/>
          <w:sz w:val="24"/>
        </w:rPr>
      </w:pPr>
    </w:p>
    <w:p>
      <w:pPr>
        <w:pStyle w:val="BodyText"/>
        <w:spacing w:line="242" w:lineRule="auto"/>
        <w:ind w:left="172" w:right="405"/>
        <w:jc w:val="both"/>
      </w:pPr>
      <w:r>
        <w:rPr>
          <w:w w:val="105"/>
        </w:rPr>
        <w:t>Em</w:t>
      </w:r>
      <w:r>
        <w:rPr>
          <w:spacing w:val="-39"/>
          <w:w w:val="105"/>
        </w:rPr>
        <w:t> </w:t>
      </w:r>
      <w:r>
        <w:rPr>
          <w:w w:val="105"/>
        </w:rPr>
        <w:t>10</w:t>
      </w:r>
      <w:r>
        <w:rPr>
          <w:spacing w:val="-38"/>
          <w:w w:val="105"/>
        </w:rPr>
        <w:t> </w:t>
      </w:r>
      <w:r>
        <w:rPr>
          <w:w w:val="105"/>
        </w:rPr>
        <w:t>de</w:t>
      </w:r>
      <w:r>
        <w:rPr>
          <w:spacing w:val="-39"/>
          <w:w w:val="105"/>
        </w:rPr>
        <w:t> </w:t>
      </w:r>
      <w:r>
        <w:rPr>
          <w:w w:val="105"/>
        </w:rPr>
        <w:t>março</w:t>
      </w:r>
      <w:r>
        <w:rPr>
          <w:spacing w:val="-37"/>
          <w:w w:val="105"/>
        </w:rPr>
        <w:t> </w:t>
      </w:r>
      <w:r>
        <w:rPr>
          <w:w w:val="105"/>
        </w:rPr>
        <w:t>de</w:t>
      </w:r>
      <w:r>
        <w:rPr>
          <w:spacing w:val="-38"/>
          <w:w w:val="105"/>
        </w:rPr>
        <w:t> </w:t>
      </w:r>
      <w:r>
        <w:rPr>
          <w:w w:val="105"/>
        </w:rPr>
        <w:t>2020,</w:t>
      </w:r>
      <w:r>
        <w:rPr>
          <w:spacing w:val="-38"/>
          <w:w w:val="105"/>
        </w:rPr>
        <w:t> </w:t>
      </w:r>
      <w:r>
        <w:rPr>
          <w:w w:val="105"/>
        </w:rPr>
        <w:t>a</w:t>
      </w:r>
      <w:r>
        <w:rPr>
          <w:spacing w:val="-37"/>
          <w:w w:val="105"/>
        </w:rPr>
        <w:t> </w:t>
      </w:r>
      <w:r>
        <w:rPr>
          <w:w w:val="105"/>
        </w:rPr>
        <w:t>Comissão</w:t>
      </w:r>
      <w:r>
        <w:rPr>
          <w:spacing w:val="-38"/>
          <w:w w:val="105"/>
        </w:rPr>
        <w:t> </w:t>
      </w:r>
      <w:r>
        <w:rPr>
          <w:w w:val="105"/>
        </w:rPr>
        <w:t>de</w:t>
      </w:r>
      <w:r>
        <w:rPr>
          <w:spacing w:val="-38"/>
          <w:w w:val="105"/>
        </w:rPr>
        <w:t> </w:t>
      </w:r>
      <w:r>
        <w:rPr>
          <w:w w:val="105"/>
        </w:rPr>
        <w:t>Valores</w:t>
      </w:r>
      <w:r>
        <w:rPr>
          <w:spacing w:val="-38"/>
          <w:w w:val="105"/>
        </w:rPr>
        <w:t> </w:t>
      </w:r>
      <w:r>
        <w:rPr>
          <w:w w:val="105"/>
        </w:rPr>
        <w:t>Mobiliários</w:t>
      </w:r>
      <w:r>
        <w:rPr>
          <w:spacing w:val="-35"/>
          <w:w w:val="105"/>
        </w:rPr>
        <w:t> </w:t>
      </w:r>
      <w:r>
        <w:rPr>
          <w:w w:val="105"/>
        </w:rPr>
        <w:t>–</w:t>
      </w:r>
      <w:r>
        <w:rPr>
          <w:spacing w:val="-38"/>
          <w:w w:val="105"/>
        </w:rPr>
        <w:t> </w:t>
      </w:r>
      <w:r>
        <w:rPr>
          <w:w w:val="105"/>
        </w:rPr>
        <w:t>CVM</w:t>
      </w:r>
      <w:r>
        <w:rPr>
          <w:spacing w:val="-38"/>
          <w:w w:val="105"/>
        </w:rPr>
        <w:t> </w:t>
      </w:r>
      <w:r>
        <w:rPr>
          <w:w w:val="105"/>
        </w:rPr>
        <w:t>emitiu</w:t>
      </w:r>
      <w:r>
        <w:rPr>
          <w:spacing w:val="-37"/>
          <w:w w:val="105"/>
        </w:rPr>
        <w:t> </w:t>
      </w:r>
      <w:r>
        <w:rPr>
          <w:w w:val="105"/>
        </w:rPr>
        <w:t>o</w:t>
      </w:r>
      <w:r>
        <w:rPr>
          <w:spacing w:val="-38"/>
          <w:w w:val="105"/>
        </w:rPr>
        <w:t> </w:t>
      </w:r>
      <w:r>
        <w:rPr>
          <w:w w:val="105"/>
        </w:rPr>
        <w:t>OFÍCIOCIRCULAR/CVM/SNC/SEP/n.º </w:t>
      </w:r>
      <w:r>
        <w:rPr/>
        <w:t>02/2020</w:t>
      </w:r>
      <w:r>
        <w:rPr>
          <w:spacing w:val="-14"/>
        </w:rPr>
        <w:t> </w:t>
      </w:r>
      <w:r>
        <w:rPr/>
        <w:t>no</w:t>
      </w:r>
      <w:r>
        <w:rPr>
          <w:spacing w:val="-13"/>
        </w:rPr>
        <w:t> </w:t>
      </w:r>
      <w:r>
        <w:rPr/>
        <w:t>qual</w:t>
      </w:r>
      <w:r>
        <w:rPr>
          <w:spacing w:val="-15"/>
        </w:rPr>
        <w:t> </w:t>
      </w:r>
      <w:r>
        <w:rPr/>
        <w:t>destaca</w:t>
      </w:r>
      <w:r>
        <w:rPr>
          <w:spacing w:val="-16"/>
        </w:rPr>
        <w:t> </w:t>
      </w:r>
      <w:r>
        <w:rPr/>
        <w:t>a</w:t>
      </w:r>
      <w:r>
        <w:rPr>
          <w:spacing w:val="-13"/>
        </w:rPr>
        <w:t> </w:t>
      </w:r>
      <w:r>
        <w:rPr/>
        <w:t>importância</w:t>
      </w:r>
      <w:r>
        <w:rPr>
          <w:spacing w:val="-13"/>
        </w:rPr>
        <w:t> </w:t>
      </w:r>
      <w:r>
        <w:rPr/>
        <w:t>de</w:t>
      </w:r>
      <w:r>
        <w:rPr>
          <w:spacing w:val="-15"/>
        </w:rPr>
        <w:t> </w:t>
      </w:r>
      <w:r>
        <w:rPr/>
        <w:t>as</w:t>
      </w:r>
      <w:r>
        <w:rPr>
          <w:spacing w:val="-11"/>
        </w:rPr>
        <w:t> </w:t>
      </w:r>
      <w:r>
        <w:rPr/>
        <w:t>Companhias</w:t>
      </w:r>
      <w:r>
        <w:rPr>
          <w:spacing w:val="-16"/>
        </w:rPr>
        <w:t> </w:t>
      </w:r>
      <w:r>
        <w:rPr/>
        <w:t>Abertas</w:t>
      </w:r>
      <w:r>
        <w:rPr>
          <w:spacing w:val="-14"/>
        </w:rPr>
        <w:t> </w:t>
      </w:r>
      <w:r>
        <w:rPr/>
        <w:t>considerarem</w:t>
      </w:r>
      <w:r>
        <w:rPr>
          <w:spacing w:val="-16"/>
        </w:rPr>
        <w:t> </w:t>
      </w:r>
      <w:r>
        <w:rPr/>
        <w:t>cuidadosamente</w:t>
      </w:r>
      <w:r>
        <w:rPr>
          <w:spacing w:val="-15"/>
        </w:rPr>
        <w:t> </w:t>
      </w:r>
      <w:r>
        <w:rPr/>
        <w:t>os</w:t>
      </w:r>
      <w:r>
        <w:rPr>
          <w:spacing w:val="-14"/>
        </w:rPr>
        <w:t> </w:t>
      </w:r>
      <w:r>
        <w:rPr/>
        <w:t>impactos</w:t>
      </w:r>
      <w:r>
        <w:rPr>
          <w:spacing w:val="-14"/>
        </w:rPr>
        <w:t> </w:t>
      </w:r>
      <w:r>
        <w:rPr/>
        <w:t>do COVID19</w:t>
      </w:r>
      <w:r>
        <w:rPr>
          <w:spacing w:val="-17"/>
        </w:rPr>
        <w:t> </w:t>
      </w:r>
      <w:r>
        <w:rPr/>
        <w:t>em</w:t>
      </w:r>
      <w:r>
        <w:rPr>
          <w:spacing w:val="-20"/>
        </w:rPr>
        <w:t> </w:t>
      </w:r>
      <w:r>
        <w:rPr/>
        <w:t>seus</w:t>
      </w:r>
      <w:r>
        <w:rPr>
          <w:spacing w:val="-17"/>
        </w:rPr>
        <w:t> </w:t>
      </w:r>
      <w:r>
        <w:rPr/>
        <w:t>negócios</w:t>
      </w:r>
      <w:r>
        <w:rPr>
          <w:spacing w:val="-17"/>
        </w:rPr>
        <w:t> </w:t>
      </w:r>
      <w:r>
        <w:rPr/>
        <w:t>e</w:t>
      </w:r>
      <w:r>
        <w:rPr>
          <w:spacing w:val="-21"/>
        </w:rPr>
        <w:t> </w:t>
      </w:r>
      <w:r>
        <w:rPr/>
        <w:t>reportarem</w:t>
      </w:r>
      <w:r>
        <w:rPr>
          <w:spacing w:val="-17"/>
        </w:rPr>
        <w:t> </w:t>
      </w:r>
      <w:r>
        <w:rPr/>
        <w:t>nas</w:t>
      </w:r>
      <w:r>
        <w:rPr>
          <w:spacing w:val="-19"/>
        </w:rPr>
        <w:t> </w:t>
      </w:r>
      <w:r>
        <w:rPr/>
        <w:t>demonstrações</w:t>
      </w:r>
      <w:r>
        <w:rPr>
          <w:spacing w:val="-19"/>
        </w:rPr>
        <w:t> </w:t>
      </w:r>
      <w:r>
        <w:rPr/>
        <w:t>financeiras</w:t>
      </w:r>
      <w:r>
        <w:rPr>
          <w:spacing w:val="-19"/>
        </w:rPr>
        <w:t> </w:t>
      </w:r>
      <w:r>
        <w:rPr/>
        <w:t>os</w:t>
      </w:r>
      <w:r>
        <w:rPr>
          <w:spacing w:val="-19"/>
        </w:rPr>
        <w:t> </w:t>
      </w:r>
      <w:r>
        <w:rPr/>
        <w:t>principais</w:t>
      </w:r>
      <w:r>
        <w:rPr>
          <w:spacing w:val="-19"/>
        </w:rPr>
        <w:t> </w:t>
      </w:r>
      <w:r>
        <w:rPr/>
        <w:t>riscos</w:t>
      </w:r>
      <w:r>
        <w:rPr>
          <w:spacing w:val="-19"/>
        </w:rPr>
        <w:t> </w:t>
      </w:r>
      <w:r>
        <w:rPr/>
        <w:t>e</w:t>
      </w:r>
      <w:r>
        <w:rPr>
          <w:spacing w:val="-21"/>
        </w:rPr>
        <w:t> </w:t>
      </w:r>
      <w:r>
        <w:rPr/>
        <w:t>incertezas</w:t>
      </w:r>
      <w:r>
        <w:rPr>
          <w:spacing w:val="-12"/>
        </w:rPr>
        <w:t> </w:t>
      </w:r>
      <w:r>
        <w:rPr/>
        <w:t>advindos </w:t>
      </w:r>
      <w:r>
        <w:rPr>
          <w:w w:val="105"/>
        </w:rPr>
        <w:t>dessa</w:t>
      </w:r>
      <w:r>
        <w:rPr>
          <w:spacing w:val="-24"/>
          <w:w w:val="105"/>
        </w:rPr>
        <w:t> </w:t>
      </w:r>
      <w:r>
        <w:rPr>
          <w:w w:val="105"/>
        </w:rPr>
        <w:t>análise,</w:t>
      </w:r>
      <w:r>
        <w:rPr>
          <w:spacing w:val="-25"/>
          <w:w w:val="105"/>
        </w:rPr>
        <w:t> </w:t>
      </w:r>
      <w:r>
        <w:rPr>
          <w:w w:val="105"/>
        </w:rPr>
        <w:t>observadas</w:t>
      </w:r>
      <w:r>
        <w:rPr>
          <w:spacing w:val="-23"/>
          <w:w w:val="105"/>
        </w:rPr>
        <w:t> </w:t>
      </w:r>
      <w:r>
        <w:rPr>
          <w:w w:val="105"/>
        </w:rPr>
        <w:t>as</w:t>
      </w:r>
      <w:r>
        <w:rPr>
          <w:spacing w:val="-22"/>
          <w:w w:val="105"/>
        </w:rPr>
        <w:t> </w:t>
      </w:r>
      <w:r>
        <w:rPr>
          <w:w w:val="105"/>
        </w:rPr>
        <w:t>normas</w:t>
      </w:r>
      <w:r>
        <w:rPr>
          <w:spacing w:val="-24"/>
          <w:w w:val="105"/>
        </w:rPr>
        <w:t> </w:t>
      </w:r>
      <w:r>
        <w:rPr>
          <w:w w:val="105"/>
        </w:rPr>
        <w:t>contábeis</w:t>
      </w:r>
      <w:r>
        <w:rPr>
          <w:spacing w:val="-24"/>
          <w:w w:val="105"/>
        </w:rPr>
        <w:t> </w:t>
      </w:r>
      <w:r>
        <w:rPr>
          <w:w w:val="105"/>
        </w:rPr>
        <w:t>aplicáveis.</w:t>
      </w:r>
    </w:p>
    <w:p>
      <w:pPr>
        <w:pStyle w:val="BodyText"/>
        <w:spacing w:line="242" w:lineRule="auto" w:before="118"/>
        <w:ind w:left="172" w:right="409"/>
        <w:jc w:val="both"/>
      </w:pPr>
      <w:r>
        <w:rPr/>
        <w:t>Na</w:t>
      </w:r>
      <w:r>
        <w:rPr>
          <w:spacing w:val="-8"/>
        </w:rPr>
        <w:t> </w:t>
      </w:r>
      <w:r>
        <w:rPr/>
        <w:t>data</w:t>
      </w:r>
      <w:r>
        <w:rPr>
          <w:spacing w:val="-7"/>
        </w:rPr>
        <w:t> </w:t>
      </w:r>
      <w:r>
        <w:rPr/>
        <w:t>de</w:t>
      </w:r>
      <w:r>
        <w:rPr>
          <w:spacing w:val="-7"/>
        </w:rPr>
        <w:t> </w:t>
      </w:r>
      <w:r>
        <w:rPr/>
        <w:t>emissão</w:t>
      </w:r>
      <w:r>
        <w:rPr>
          <w:spacing w:val="-7"/>
        </w:rPr>
        <w:t> </w:t>
      </w:r>
      <w:r>
        <w:rPr/>
        <w:t>destas</w:t>
      </w:r>
      <w:r>
        <w:rPr>
          <w:spacing w:val="-6"/>
        </w:rPr>
        <w:t> </w:t>
      </w:r>
      <w:r>
        <w:rPr/>
        <w:t>Demonstrações</w:t>
      </w:r>
      <w:r>
        <w:rPr>
          <w:spacing w:val="-7"/>
        </w:rPr>
        <w:t> </w:t>
      </w:r>
      <w:r>
        <w:rPr/>
        <w:t>Contábeis,</w:t>
      </w:r>
      <w:r>
        <w:rPr>
          <w:spacing w:val="-8"/>
        </w:rPr>
        <w:t> </w:t>
      </w:r>
      <w:r>
        <w:rPr/>
        <w:t>a</w:t>
      </w:r>
      <w:r>
        <w:rPr>
          <w:spacing w:val="-5"/>
        </w:rPr>
        <w:t> </w:t>
      </w:r>
      <w:r>
        <w:rPr/>
        <w:t>Companhia</w:t>
      </w:r>
      <w:r>
        <w:rPr>
          <w:spacing w:val="-7"/>
        </w:rPr>
        <w:t> </w:t>
      </w:r>
      <w:r>
        <w:rPr/>
        <w:t>não</w:t>
      </w:r>
      <w:r>
        <w:rPr>
          <w:spacing w:val="-7"/>
        </w:rPr>
        <w:t> </w:t>
      </w:r>
      <w:r>
        <w:rPr/>
        <w:t>vislumbra</w:t>
      </w:r>
      <w:r>
        <w:rPr>
          <w:spacing w:val="-5"/>
        </w:rPr>
        <w:t> </w:t>
      </w:r>
      <w:r>
        <w:rPr/>
        <w:t>riscos</w:t>
      </w:r>
      <w:r>
        <w:rPr>
          <w:spacing w:val="-7"/>
        </w:rPr>
        <w:t> </w:t>
      </w:r>
      <w:r>
        <w:rPr/>
        <w:t>à</w:t>
      </w:r>
      <w:r>
        <w:rPr>
          <w:spacing w:val="-4"/>
        </w:rPr>
        <w:t> </w:t>
      </w:r>
      <w:r>
        <w:rPr/>
        <w:t>continuidade</w:t>
      </w:r>
      <w:r>
        <w:rPr>
          <w:spacing w:val="-7"/>
        </w:rPr>
        <w:t> </w:t>
      </w:r>
      <w:r>
        <w:rPr/>
        <w:t>de</w:t>
      </w:r>
      <w:r>
        <w:rPr>
          <w:spacing w:val="-7"/>
        </w:rPr>
        <w:t> </w:t>
      </w:r>
      <w:r>
        <w:rPr/>
        <w:t>seus negócios</w:t>
      </w:r>
      <w:r>
        <w:rPr>
          <w:spacing w:val="-20"/>
        </w:rPr>
        <w:t> </w:t>
      </w:r>
      <w:r>
        <w:rPr/>
        <w:t>tampouco</w:t>
      </w:r>
      <w:r>
        <w:rPr>
          <w:spacing w:val="-20"/>
        </w:rPr>
        <w:t> </w:t>
      </w:r>
      <w:r>
        <w:rPr/>
        <w:t>às</w:t>
      </w:r>
      <w:r>
        <w:rPr>
          <w:spacing w:val="-17"/>
        </w:rPr>
        <w:t> </w:t>
      </w:r>
      <w:r>
        <w:rPr/>
        <w:t>estimativas</w:t>
      </w:r>
      <w:r>
        <w:rPr>
          <w:spacing w:val="-19"/>
        </w:rPr>
        <w:t> </w:t>
      </w:r>
      <w:r>
        <w:rPr/>
        <w:t>e</w:t>
      </w:r>
      <w:r>
        <w:rPr>
          <w:spacing w:val="-21"/>
        </w:rPr>
        <w:t> </w:t>
      </w:r>
      <w:r>
        <w:rPr/>
        <w:t>julgamentos</w:t>
      </w:r>
      <w:r>
        <w:rPr>
          <w:spacing w:val="-19"/>
        </w:rPr>
        <w:t> </w:t>
      </w:r>
      <w:r>
        <w:rPr/>
        <w:t>contábeis.</w:t>
      </w:r>
    </w:p>
    <w:p>
      <w:pPr>
        <w:pStyle w:val="BodyText"/>
        <w:spacing w:line="242" w:lineRule="auto" w:before="121"/>
        <w:ind w:left="172" w:right="413"/>
        <w:jc w:val="both"/>
      </w:pPr>
      <w:r>
        <w:rPr/>
        <w:t>Não</w:t>
      </w:r>
      <w:r>
        <w:rPr>
          <w:spacing w:val="-30"/>
        </w:rPr>
        <w:t> </w:t>
      </w:r>
      <w:r>
        <w:rPr/>
        <w:t>é</w:t>
      </w:r>
      <w:r>
        <w:rPr>
          <w:spacing w:val="-31"/>
        </w:rPr>
        <w:t> </w:t>
      </w:r>
      <w:r>
        <w:rPr/>
        <w:t>possível</w:t>
      </w:r>
      <w:r>
        <w:rPr>
          <w:spacing w:val="-29"/>
        </w:rPr>
        <w:t> </w:t>
      </w:r>
      <w:r>
        <w:rPr/>
        <w:t>neste</w:t>
      </w:r>
      <w:r>
        <w:rPr>
          <w:spacing w:val="-30"/>
        </w:rPr>
        <w:t> </w:t>
      </w:r>
      <w:r>
        <w:rPr/>
        <w:t>momento</w:t>
      </w:r>
      <w:r>
        <w:rPr>
          <w:spacing w:val="-29"/>
        </w:rPr>
        <w:t> </w:t>
      </w:r>
      <w:r>
        <w:rPr/>
        <w:t>mensurar</w:t>
      </w:r>
      <w:r>
        <w:rPr>
          <w:spacing w:val="-30"/>
        </w:rPr>
        <w:t> </w:t>
      </w:r>
      <w:r>
        <w:rPr/>
        <w:t>ou</w:t>
      </w:r>
      <w:r>
        <w:rPr>
          <w:spacing w:val="-26"/>
        </w:rPr>
        <w:t> </w:t>
      </w:r>
      <w:r>
        <w:rPr/>
        <w:t>antecipar</w:t>
      </w:r>
      <w:r>
        <w:rPr>
          <w:spacing w:val="-30"/>
        </w:rPr>
        <w:t> </w:t>
      </w:r>
      <w:r>
        <w:rPr/>
        <w:t>os</w:t>
      </w:r>
      <w:r>
        <w:rPr>
          <w:spacing w:val="-28"/>
        </w:rPr>
        <w:t> </w:t>
      </w:r>
      <w:r>
        <w:rPr/>
        <w:t>eventuais</w:t>
      </w:r>
      <w:r>
        <w:rPr>
          <w:spacing w:val="-29"/>
        </w:rPr>
        <w:t> </w:t>
      </w:r>
      <w:r>
        <w:rPr/>
        <w:t>impactos</w:t>
      </w:r>
      <w:r>
        <w:rPr>
          <w:spacing w:val="-30"/>
        </w:rPr>
        <w:t> </w:t>
      </w:r>
      <w:r>
        <w:rPr/>
        <w:t>futuros</w:t>
      </w:r>
      <w:r>
        <w:rPr>
          <w:spacing w:val="-27"/>
        </w:rPr>
        <w:t> </w:t>
      </w:r>
      <w:r>
        <w:rPr/>
        <w:t>decorrentes</w:t>
      </w:r>
      <w:r>
        <w:rPr>
          <w:spacing w:val="-29"/>
        </w:rPr>
        <w:t> </w:t>
      </w:r>
      <w:r>
        <w:rPr/>
        <w:t>de</w:t>
      </w:r>
      <w:r>
        <w:rPr>
          <w:spacing w:val="-31"/>
        </w:rPr>
        <w:t> </w:t>
      </w:r>
      <w:r>
        <w:rPr/>
        <w:t>uma</w:t>
      </w:r>
      <w:r>
        <w:rPr>
          <w:spacing w:val="-27"/>
        </w:rPr>
        <w:t> </w:t>
      </w:r>
      <w:r>
        <w:rPr/>
        <w:t>pandemia do COVID‐19. Estima-se apenas, no limite extremo, que serviços de atendimento ao público poderão provocar impactos</w:t>
      </w:r>
      <w:r>
        <w:rPr>
          <w:spacing w:val="-25"/>
        </w:rPr>
        <w:t> </w:t>
      </w:r>
      <w:r>
        <w:rPr/>
        <w:t>nas</w:t>
      </w:r>
      <w:r>
        <w:rPr>
          <w:spacing w:val="-25"/>
        </w:rPr>
        <w:t> </w:t>
      </w:r>
      <w:r>
        <w:rPr/>
        <w:t>operações,</w:t>
      </w:r>
      <w:r>
        <w:rPr>
          <w:spacing w:val="-23"/>
        </w:rPr>
        <w:t> </w:t>
      </w:r>
      <w:r>
        <w:rPr/>
        <w:t>porém</w:t>
      </w:r>
      <w:r>
        <w:rPr>
          <w:spacing w:val="-26"/>
        </w:rPr>
        <w:t> </w:t>
      </w:r>
      <w:r>
        <w:rPr/>
        <w:t>sem</w:t>
      </w:r>
      <w:r>
        <w:rPr>
          <w:spacing w:val="-24"/>
        </w:rPr>
        <w:t> </w:t>
      </w:r>
      <w:r>
        <w:rPr/>
        <w:t>possibilidade</w:t>
      </w:r>
      <w:r>
        <w:rPr>
          <w:spacing w:val="-24"/>
        </w:rPr>
        <w:t> </w:t>
      </w:r>
      <w:r>
        <w:rPr/>
        <w:t>de</w:t>
      </w:r>
      <w:r>
        <w:rPr>
          <w:spacing w:val="-25"/>
        </w:rPr>
        <w:t> </w:t>
      </w:r>
      <w:r>
        <w:rPr/>
        <w:t>se</w:t>
      </w:r>
      <w:r>
        <w:rPr>
          <w:spacing w:val="-22"/>
        </w:rPr>
        <w:t> </w:t>
      </w:r>
      <w:r>
        <w:rPr/>
        <w:t>avaliar</w:t>
      </w:r>
      <w:r>
        <w:rPr>
          <w:spacing w:val="-26"/>
        </w:rPr>
        <w:t> </w:t>
      </w:r>
      <w:r>
        <w:rPr/>
        <w:t>seus</w:t>
      </w:r>
      <w:r>
        <w:rPr>
          <w:spacing w:val="-25"/>
        </w:rPr>
        <w:t> </w:t>
      </w:r>
      <w:r>
        <w:rPr/>
        <w:t>respectivos</w:t>
      </w:r>
      <w:r>
        <w:rPr>
          <w:spacing w:val="-24"/>
        </w:rPr>
        <w:t> </w:t>
      </w:r>
      <w:r>
        <w:rPr/>
        <w:t>reflexos</w:t>
      </w:r>
      <w:r>
        <w:rPr>
          <w:spacing w:val="-24"/>
        </w:rPr>
        <w:t> </w:t>
      </w:r>
      <w:r>
        <w:rPr/>
        <w:t>financeiros.</w:t>
      </w:r>
    </w:p>
    <w:p>
      <w:pPr>
        <w:pStyle w:val="BodyText"/>
        <w:spacing w:line="242" w:lineRule="auto" w:before="120"/>
        <w:ind w:left="172" w:right="412"/>
        <w:jc w:val="both"/>
      </w:pPr>
      <w:r>
        <w:rPr/>
        <w:t>Internamente,</w:t>
      </w:r>
      <w:r>
        <w:rPr>
          <w:spacing w:val="-46"/>
        </w:rPr>
        <w:t> </w:t>
      </w:r>
      <w:r>
        <w:rPr/>
        <w:t>o</w:t>
      </w:r>
      <w:r>
        <w:rPr>
          <w:spacing w:val="-46"/>
        </w:rPr>
        <w:t> </w:t>
      </w:r>
      <w:r>
        <w:rPr/>
        <w:t>Grupo</w:t>
      </w:r>
      <w:r>
        <w:rPr>
          <w:spacing w:val="-45"/>
        </w:rPr>
        <w:t> </w:t>
      </w:r>
      <w:r>
        <w:rPr/>
        <w:t>vêm</w:t>
      </w:r>
      <w:r>
        <w:rPr>
          <w:spacing w:val="-45"/>
        </w:rPr>
        <w:t> </w:t>
      </w:r>
      <w:r>
        <w:rPr/>
        <w:t>adotando</w:t>
      </w:r>
      <w:r>
        <w:rPr>
          <w:spacing w:val="-46"/>
        </w:rPr>
        <w:t> </w:t>
      </w:r>
      <w:r>
        <w:rPr/>
        <w:t>medidas</w:t>
      </w:r>
      <w:r>
        <w:rPr>
          <w:spacing w:val="-45"/>
        </w:rPr>
        <w:t> </w:t>
      </w:r>
      <w:r>
        <w:rPr/>
        <w:t>de</w:t>
      </w:r>
      <w:r>
        <w:rPr>
          <w:spacing w:val="-46"/>
        </w:rPr>
        <w:t> </w:t>
      </w:r>
      <w:r>
        <w:rPr/>
        <w:t>precaução</w:t>
      </w:r>
      <w:r>
        <w:rPr>
          <w:spacing w:val="-45"/>
        </w:rPr>
        <w:t> </w:t>
      </w:r>
      <w:r>
        <w:rPr/>
        <w:t>para</w:t>
      </w:r>
      <w:r>
        <w:rPr>
          <w:spacing w:val="-45"/>
        </w:rPr>
        <w:t> </w:t>
      </w:r>
      <w:r>
        <w:rPr/>
        <w:t>evitar</w:t>
      </w:r>
      <w:r>
        <w:rPr>
          <w:spacing w:val="-46"/>
        </w:rPr>
        <w:t> </w:t>
      </w:r>
      <w:r>
        <w:rPr/>
        <w:t>a</w:t>
      </w:r>
      <w:r>
        <w:rPr>
          <w:spacing w:val="-45"/>
        </w:rPr>
        <w:t> </w:t>
      </w:r>
      <w:r>
        <w:rPr/>
        <w:t>disseminação</w:t>
      </w:r>
      <w:r>
        <w:rPr>
          <w:spacing w:val="-46"/>
        </w:rPr>
        <w:t> </w:t>
      </w:r>
      <w:r>
        <w:rPr/>
        <w:t>do</w:t>
      </w:r>
      <w:r>
        <w:rPr>
          <w:spacing w:val="-45"/>
        </w:rPr>
        <w:t> </w:t>
      </w:r>
      <w:r>
        <w:rPr/>
        <w:t>vírus.</w:t>
      </w:r>
      <w:r>
        <w:rPr>
          <w:spacing w:val="-46"/>
        </w:rPr>
        <w:t> </w:t>
      </w:r>
      <w:r>
        <w:rPr/>
        <w:t>Até</w:t>
      </w:r>
      <w:r>
        <w:rPr>
          <w:spacing w:val="-46"/>
        </w:rPr>
        <w:t> </w:t>
      </w:r>
      <w:r>
        <w:rPr/>
        <w:t>a</w:t>
      </w:r>
      <w:r>
        <w:rPr>
          <w:spacing w:val="-45"/>
        </w:rPr>
        <w:t> </w:t>
      </w:r>
      <w:r>
        <w:rPr/>
        <w:t>emissão</w:t>
      </w:r>
      <w:r>
        <w:rPr>
          <w:spacing w:val="-46"/>
        </w:rPr>
        <w:t> </w:t>
      </w:r>
      <w:r>
        <w:rPr/>
        <w:t>destas demonstrações,</w:t>
      </w:r>
      <w:r>
        <w:rPr>
          <w:spacing w:val="-22"/>
        </w:rPr>
        <w:t> </w:t>
      </w:r>
      <w:r>
        <w:rPr/>
        <w:t>as</w:t>
      </w:r>
      <w:r>
        <w:rPr>
          <w:spacing w:val="-21"/>
        </w:rPr>
        <w:t> </w:t>
      </w:r>
      <w:r>
        <w:rPr/>
        <w:t>ações</w:t>
      </w:r>
      <w:r>
        <w:rPr>
          <w:spacing w:val="-19"/>
        </w:rPr>
        <w:t> </w:t>
      </w:r>
      <w:r>
        <w:rPr/>
        <w:t>tomadas</w:t>
      </w:r>
      <w:r>
        <w:rPr>
          <w:spacing w:val="-21"/>
        </w:rPr>
        <w:t> </w:t>
      </w:r>
      <w:r>
        <w:rPr/>
        <w:t>não</w:t>
      </w:r>
      <w:r>
        <w:rPr>
          <w:spacing w:val="-21"/>
        </w:rPr>
        <w:t> </w:t>
      </w:r>
      <w:r>
        <w:rPr/>
        <w:t>afetam</w:t>
      </w:r>
      <w:r>
        <w:rPr>
          <w:spacing w:val="-22"/>
        </w:rPr>
        <w:t> </w:t>
      </w:r>
      <w:r>
        <w:rPr/>
        <w:t>ou</w:t>
      </w:r>
      <w:r>
        <w:rPr>
          <w:spacing w:val="-19"/>
        </w:rPr>
        <w:t> </w:t>
      </w:r>
      <w:r>
        <w:rPr/>
        <w:t>comprometem</w:t>
      </w:r>
      <w:r>
        <w:rPr>
          <w:spacing w:val="-20"/>
        </w:rPr>
        <w:t> </w:t>
      </w:r>
      <w:r>
        <w:rPr/>
        <w:t>as</w:t>
      </w:r>
      <w:r>
        <w:rPr>
          <w:spacing w:val="-21"/>
        </w:rPr>
        <w:t> </w:t>
      </w:r>
      <w:r>
        <w:rPr/>
        <w:t>operações.</w:t>
      </w:r>
    </w:p>
    <w:p>
      <w:pPr>
        <w:pStyle w:val="BodyText"/>
        <w:spacing w:before="121"/>
        <w:ind w:left="172"/>
        <w:jc w:val="both"/>
      </w:pPr>
      <w:r>
        <w:rPr/>
        <w:t>A Companhia seguirá observando atentamente o desenvolvimento desta situação.</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Heading5"/>
        <w:spacing w:before="167"/>
        <w:ind w:left="613" w:right="422" w:firstLine="0"/>
        <w:jc w:val="center"/>
      </w:pPr>
      <w:r>
        <w:rPr/>
        <w:t>Brasília, 23 de março de 2020.</w:t>
      </w:r>
    </w:p>
    <w:p>
      <w:pPr>
        <w:pStyle w:val="BodyText"/>
        <w:rPr>
          <w:rFonts w:ascii="Caladea"/>
          <w:b/>
          <w:sz w:val="26"/>
        </w:rPr>
      </w:pPr>
    </w:p>
    <w:p>
      <w:pPr>
        <w:pStyle w:val="BodyText"/>
        <w:rPr>
          <w:rFonts w:ascii="Caladea"/>
          <w:b/>
          <w:sz w:val="26"/>
        </w:rPr>
      </w:pPr>
    </w:p>
    <w:p>
      <w:pPr>
        <w:pStyle w:val="BodyText"/>
        <w:spacing w:before="4"/>
        <w:rPr>
          <w:rFonts w:ascii="Caladea"/>
          <w:b/>
          <w:sz w:val="36"/>
        </w:rPr>
      </w:pPr>
    </w:p>
    <w:p>
      <w:pPr>
        <w:tabs>
          <w:tab w:pos="6188" w:val="left" w:leader="none"/>
        </w:tabs>
        <w:spacing w:before="0"/>
        <w:ind w:left="929" w:right="0" w:firstLine="0"/>
        <w:jc w:val="left"/>
        <w:rPr>
          <w:rFonts w:ascii="Caladea"/>
          <w:b/>
          <w:sz w:val="20"/>
        </w:rPr>
      </w:pPr>
      <w:r>
        <w:rPr>
          <w:rFonts w:ascii="Caladea"/>
          <w:b/>
          <w:sz w:val="20"/>
        </w:rPr>
        <w:t>EDISON ANTONIO COSTA</w:t>
      </w:r>
      <w:r>
        <w:rPr>
          <w:rFonts w:ascii="Caladea"/>
          <w:b/>
          <w:spacing w:val="-10"/>
          <w:sz w:val="20"/>
        </w:rPr>
        <w:t> </w:t>
      </w:r>
      <w:r>
        <w:rPr>
          <w:rFonts w:ascii="Caladea"/>
          <w:b/>
          <w:sz w:val="20"/>
        </w:rPr>
        <w:t>BRITTO</w:t>
      </w:r>
      <w:r>
        <w:rPr>
          <w:rFonts w:ascii="Caladea"/>
          <w:b/>
          <w:spacing w:val="-4"/>
          <w:sz w:val="20"/>
        </w:rPr>
        <w:t> </w:t>
      </w:r>
      <w:r>
        <w:rPr>
          <w:rFonts w:ascii="Caladea"/>
          <w:b/>
          <w:sz w:val="20"/>
        </w:rPr>
        <w:t>GARCIA</w:t>
        <w:tab/>
        <w:t>FABIANO CARDOSO</w:t>
      </w:r>
      <w:r>
        <w:rPr>
          <w:rFonts w:ascii="Caladea"/>
          <w:b/>
          <w:spacing w:val="-3"/>
          <w:sz w:val="20"/>
        </w:rPr>
        <w:t> </w:t>
      </w:r>
      <w:r>
        <w:rPr>
          <w:rFonts w:ascii="Caladea"/>
          <w:b/>
          <w:sz w:val="20"/>
        </w:rPr>
        <w:t>PINTO</w:t>
      </w:r>
    </w:p>
    <w:p>
      <w:pPr>
        <w:tabs>
          <w:tab w:pos="4721" w:val="left" w:leader="none"/>
        </w:tabs>
        <w:spacing w:before="70"/>
        <w:ind w:left="0" w:right="422" w:firstLine="0"/>
        <w:jc w:val="center"/>
        <w:rPr>
          <w:rFonts w:ascii="Caladea" w:hAnsi="Caladea"/>
          <w:b/>
          <w:sz w:val="20"/>
        </w:rPr>
      </w:pPr>
      <w:r>
        <w:rPr>
          <w:rFonts w:ascii="Caladea" w:hAnsi="Caladea"/>
          <w:b/>
          <w:sz w:val="20"/>
        </w:rPr>
        <w:t>Diretor-Presidente</w:t>
        <w:tab/>
        <w:t>Diretor</w:t>
      </w:r>
      <w:r>
        <w:rPr>
          <w:rFonts w:ascii="Caladea" w:hAnsi="Caladea"/>
          <w:b/>
          <w:spacing w:val="-1"/>
          <w:sz w:val="20"/>
        </w:rPr>
        <w:t> </w:t>
      </w:r>
      <w:r>
        <w:rPr>
          <w:rFonts w:ascii="Caladea" w:hAnsi="Caladea"/>
          <w:b/>
          <w:sz w:val="20"/>
        </w:rPr>
        <w:t>Técnico</w:t>
      </w:r>
    </w:p>
    <w:p>
      <w:pPr>
        <w:pStyle w:val="BodyText"/>
        <w:rPr>
          <w:rFonts w:ascii="Caladea"/>
          <w:b/>
          <w:sz w:val="22"/>
        </w:rPr>
      </w:pPr>
    </w:p>
    <w:p>
      <w:pPr>
        <w:pStyle w:val="BodyText"/>
        <w:rPr>
          <w:rFonts w:ascii="Caladea"/>
          <w:b/>
          <w:sz w:val="22"/>
        </w:rPr>
      </w:pPr>
    </w:p>
    <w:p>
      <w:pPr>
        <w:pStyle w:val="BodyText"/>
        <w:rPr>
          <w:rFonts w:ascii="Caladea"/>
          <w:b/>
          <w:sz w:val="22"/>
        </w:rPr>
      </w:pPr>
    </w:p>
    <w:p>
      <w:pPr>
        <w:pStyle w:val="BodyText"/>
        <w:rPr>
          <w:rFonts w:ascii="Caladea"/>
          <w:b/>
          <w:sz w:val="22"/>
        </w:rPr>
      </w:pPr>
    </w:p>
    <w:p>
      <w:pPr>
        <w:pStyle w:val="BodyText"/>
        <w:spacing w:before="7"/>
        <w:rPr>
          <w:rFonts w:ascii="Caladea"/>
          <w:b/>
          <w:sz w:val="26"/>
        </w:rPr>
      </w:pPr>
    </w:p>
    <w:p>
      <w:pPr>
        <w:tabs>
          <w:tab w:pos="6255" w:val="left" w:leader="none"/>
        </w:tabs>
        <w:spacing w:before="0"/>
        <w:ind w:left="1003" w:right="0" w:firstLine="0"/>
        <w:jc w:val="left"/>
        <w:rPr>
          <w:rFonts w:ascii="Caladea" w:hAnsi="Caladea"/>
          <w:b/>
          <w:sz w:val="20"/>
        </w:rPr>
      </w:pPr>
      <w:r>
        <w:rPr>
          <w:rFonts w:ascii="Caladea" w:hAnsi="Caladea"/>
          <w:b/>
          <w:sz w:val="20"/>
        </w:rPr>
        <w:t>FAUSTO DE PAULA</w:t>
      </w:r>
      <w:r>
        <w:rPr>
          <w:rFonts w:ascii="Caladea" w:hAnsi="Caladea"/>
          <w:b/>
          <w:spacing w:val="-6"/>
          <w:sz w:val="20"/>
        </w:rPr>
        <w:t> </w:t>
      </w:r>
      <w:r>
        <w:rPr>
          <w:rFonts w:ascii="Caladea" w:hAnsi="Caladea"/>
          <w:b/>
          <w:sz w:val="20"/>
        </w:rPr>
        <w:t>MENEZES</w:t>
      </w:r>
      <w:r>
        <w:rPr>
          <w:rFonts w:ascii="Caladea" w:hAnsi="Caladea"/>
          <w:b/>
          <w:spacing w:val="-2"/>
          <w:sz w:val="20"/>
        </w:rPr>
        <w:t> </w:t>
      </w:r>
      <w:r>
        <w:rPr>
          <w:rFonts w:ascii="Caladea" w:hAnsi="Caladea"/>
          <w:b/>
          <w:sz w:val="20"/>
        </w:rPr>
        <w:t>BANDEIRA</w:t>
        <w:tab/>
        <w:t>ALEXANDRE</w:t>
      </w:r>
      <w:r>
        <w:rPr>
          <w:rFonts w:ascii="Caladea" w:hAnsi="Caladea"/>
          <w:b/>
          <w:spacing w:val="-1"/>
          <w:sz w:val="20"/>
        </w:rPr>
        <w:t> </w:t>
      </w:r>
      <w:r>
        <w:rPr>
          <w:rFonts w:ascii="Caladea" w:hAnsi="Caladea"/>
          <w:b/>
          <w:sz w:val="20"/>
        </w:rPr>
        <w:t>GUIMARÃES</w:t>
      </w:r>
    </w:p>
    <w:p>
      <w:pPr>
        <w:tabs>
          <w:tab w:pos="5605" w:val="left" w:leader="none"/>
        </w:tabs>
        <w:spacing w:before="70"/>
        <w:ind w:left="703" w:right="0" w:firstLine="0"/>
        <w:jc w:val="left"/>
        <w:rPr>
          <w:rFonts w:ascii="Caladea" w:hAnsi="Caladea"/>
          <w:b/>
          <w:sz w:val="20"/>
        </w:rPr>
      </w:pPr>
      <w:r>
        <w:rPr>
          <w:rFonts w:ascii="Caladea" w:hAnsi="Caladea"/>
          <w:b/>
          <w:sz w:val="20"/>
        </w:rPr>
        <w:t>Diretor de Planejamento e de Gestão</w:t>
      </w:r>
      <w:r>
        <w:rPr>
          <w:rFonts w:ascii="Caladea" w:hAnsi="Caladea"/>
          <w:b/>
          <w:spacing w:val="-13"/>
          <w:sz w:val="20"/>
        </w:rPr>
        <w:t> </w:t>
      </w:r>
      <w:r>
        <w:rPr>
          <w:rFonts w:ascii="Caladea" w:hAnsi="Caladea"/>
          <w:b/>
          <w:sz w:val="20"/>
        </w:rPr>
        <w:t>de</w:t>
      </w:r>
      <w:r>
        <w:rPr>
          <w:rFonts w:ascii="Caladea" w:hAnsi="Caladea"/>
          <w:b/>
          <w:spacing w:val="-3"/>
          <w:sz w:val="20"/>
        </w:rPr>
        <w:t> </w:t>
      </w:r>
      <w:r>
        <w:rPr>
          <w:rFonts w:ascii="Caladea" w:hAnsi="Caladea"/>
          <w:b/>
          <w:sz w:val="20"/>
        </w:rPr>
        <w:t>Riscos</w:t>
        <w:tab/>
        <w:t>Diretor Administrativo-Financeiro e</w:t>
      </w:r>
      <w:r>
        <w:rPr>
          <w:rFonts w:ascii="Caladea" w:hAnsi="Caladea"/>
          <w:b/>
          <w:spacing w:val="-2"/>
          <w:sz w:val="20"/>
        </w:rPr>
        <w:t> </w:t>
      </w:r>
      <w:r>
        <w:rPr>
          <w:rFonts w:ascii="Caladea" w:hAnsi="Caladea"/>
          <w:b/>
          <w:sz w:val="20"/>
        </w:rPr>
        <w:t>de</w:t>
      </w:r>
    </w:p>
    <w:p>
      <w:pPr>
        <w:spacing w:before="71"/>
        <w:ind w:left="6183" w:right="0" w:firstLine="0"/>
        <w:jc w:val="left"/>
        <w:rPr>
          <w:rFonts w:ascii="Caladea" w:hAnsi="Caladea"/>
          <w:b/>
          <w:sz w:val="20"/>
        </w:rPr>
      </w:pPr>
      <w:r>
        <w:rPr>
          <w:rFonts w:ascii="Caladea" w:hAnsi="Caladea"/>
          <w:b/>
          <w:sz w:val="20"/>
        </w:rPr>
        <w:t>Relações com Investidores</w:t>
      </w:r>
    </w:p>
    <w:p>
      <w:pPr>
        <w:pStyle w:val="BodyText"/>
        <w:rPr>
          <w:rFonts w:ascii="Caladea"/>
          <w:b/>
          <w:sz w:val="22"/>
        </w:rPr>
      </w:pPr>
    </w:p>
    <w:p>
      <w:pPr>
        <w:pStyle w:val="BodyText"/>
        <w:rPr>
          <w:rFonts w:ascii="Caladea"/>
          <w:b/>
          <w:sz w:val="22"/>
        </w:rPr>
      </w:pPr>
    </w:p>
    <w:p>
      <w:pPr>
        <w:pStyle w:val="BodyText"/>
        <w:rPr>
          <w:rFonts w:ascii="Caladea"/>
          <w:b/>
          <w:sz w:val="22"/>
        </w:rPr>
      </w:pPr>
    </w:p>
    <w:p>
      <w:pPr>
        <w:pStyle w:val="BodyText"/>
        <w:rPr>
          <w:rFonts w:ascii="Caladea"/>
          <w:b/>
          <w:sz w:val="18"/>
        </w:rPr>
      </w:pPr>
    </w:p>
    <w:p>
      <w:pPr>
        <w:spacing w:before="0"/>
        <w:ind w:left="185" w:right="422" w:firstLine="0"/>
        <w:jc w:val="center"/>
        <w:rPr>
          <w:rFonts w:ascii="Caladea" w:hAnsi="Caladea"/>
          <w:b/>
          <w:sz w:val="20"/>
        </w:rPr>
      </w:pPr>
      <w:r>
        <w:rPr>
          <w:rFonts w:ascii="Caladea" w:hAnsi="Caladea"/>
          <w:b/>
          <w:sz w:val="20"/>
        </w:rPr>
        <w:t>MARLY GOMES ARAÚJO</w:t>
      </w:r>
    </w:p>
    <w:p>
      <w:pPr>
        <w:spacing w:line="312" w:lineRule="auto" w:before="70"/>
        <w:ind w:left="4263" w:right="4486" w:firstLine="391"/>
        <w:jc w:val="left"/>
        <w:rPr>
          <w:rFonts w:ascii="Caladea" w:hAnsi="Caladea"/>
          <w:b/>
          <w:sz w:val="20"/>
        </w:rPr>
      </w:pPr>
      <w:r>
        <w:rPr>
          <w:rFonts w:ascii="Caladea" w:hAnsi="Caladea"/>
          <w:b/>
          <w:w w:val="105"/>
          <w:sz w:val="20"/>
        </w:rPr>
        <w:t>Contadora CRC</w:t>
      </w:r>
      <w:r>
        <w:rPr>
          <w:rFonts w:ascii="Caladea" w:hAnsi="Caladea"/>
          <w:b/>
          <w:spacing w:val="-21"/>
          <w:w w:val="105"/>
          <w:sz w:val="20"/>
        </w:rPr>
        <w:t> </w:t>
      </w:r>
      <w:r>
        <w:rPr>
          <w:b/>
          <w:w w:val="105"/>
          <w:sz w:val="20"/>
        </w:rPr>
        <w:t>–</w:t>
      </w:r>
      <w:r>
        <w:rPr>
          <w:b/>
          <w:spacing w:val="-37"/>
          <w:w w:val="105"/>
          <w:sz w:val="20"/>
        </w:rPr>
        <w:t> </w:t>
      </w:r>
      <w:r>
        <w:rPr>
          <w:rFonts w:ascii="Caladea" w:hAnsi="Caladea"/>
          <w:b/>
          <w:w w:val="105"/>
          <w:sz w:val="20"/>
        </w:rPr>
        <w:t>DF</w:t>
      </w:r>
      <w:r>
        <w:rPr>
          <w:rFonts w:ascii="Caladea" w:hAnsi="Caladea"/>
          <w:b/>
          <w:spacing w:val="-22"/>
          <w:w w:val="105"/>
          <w:sz w:val="20"/>
        </w:rPr>
        <w:t> </w:t>
      </w:r>
      <w:r>
        <w:rPr>
          <w:rFonts w:ascii="Caladea" w:hAnsi="Caladea"/>
          <w:b/>
          <w:w w:val="105"/>
          <w:sz w:val="20"/>
        </w:rPr>
        <w:t>7901/O-8</w:t>
      </w:r>
    </w:p>
    <w:p>
      <w:pPr>
        <w:spacing w:after="0" w:line="312" w:lineRule="auto"/>
        <w:jc w:val="left"/>
        <w:rPr>
          <w:rFonts w:ascii="Caladea" w:hAnsi="Caladea"/>
          <w:sz w:val="20"/>
        </w:rPr>
        <w:sectPr>
          <w:pgSz w:w="11910" w:h="16850"/>
          <w:pgMar w:header="792" w:footer="982" w:top="1280" w:bottom="1220" w:left="960" w:right="440"/>
        </w:sectPr>
      </w:pPr>
    </w:p>
    <w:p>
      <w:pPr>
        <w:pStyle w:val="BodyText"/>
        <w:spacing w:before="5"/>
        <w:rPr>
          <w:rFonts w:ascii="Caladea"/>
          <w:b/>
          <w:sz w:val="29"/>
        </w:rPr>
      </w:pPr>
    </w:p>
    <w:p>
      <w:pPr>
        <w:pStyle w:val="BodyText"/>
        <w:spacing w:line="151" w:lineRule="exact"/>
        <w:ind w:left="172"/>
        <w:rPr>
          <w:rFonts w:ascii="Caladea"/>
          <w:sz w:val="15"/>
        </w:rPr>
      </w:pPr>
      <w:r>
        <w:rPr>
          <w:rFonts w:ascii="Caladea"/>
          <w:position w:val="-2"/>
          <w:sz w:val="15"/>
        </w:rPr>
        <w:pict>
          <v:group style="width:510.5pt;height:7.6pt;mso-position-horizontal-relative:char;mso-position-vertical-relative:line" coordorigin="0,0" coordsize="10210,152">
            <v:rect style="position:absolute;left:0;top:0;width:10210;height:152" filled="true" fillcolor="#bebebe" stroked="false">
              <v:fill type="solid"/>
            </v:rect>
          </v:group>
        </w:pict>
      </w:r>
      <w:r>
        <w:rPr>
          <w:rFonts w:ascii="Caladea"/>
          <w:position w:val="-2"/>
          <w:sz w:val="15"/>
        </w:rPr>
      </w:r>
    </w:p>
    <w:p>
      <w:pPr>
        <w:spacing w:before="61"/>
        <w:ind w:left="244" w:right="0" w:firstLine="0"/>
        <w:jc w:val="left"/>
        <w:rPr>
          <w:rFonts w:ascii="Arial" w:hAnsi="Arial"/>
          <w:sz w:val="24"/>
        </w:rPr>
      </w:pPr>
      <w:r>
        <w:rPr>
          <w:rFonts w:ascii="Arial" w:hAnsi="Arial"/>
          <w:sz w:val="24"/>
        </w:rPr>
        <w:t>REFERÊNCIA:</w:t>
      </w:r>
    </w:p>
    <w:p>
      <w:pPr>
        <w:spacing w:before="120"/>
        <w:ind w:left="244" w:right="0" w:firstLine="0"/>
        <w:jc w:val="left"/>
        <w:rPr>
          <w:rFonts w:ascii="Arial" w:hAnsi="Arial"/>
          <w:sz w:val="24"/>
        </w:rPr>
      </w:pPr>
      <w:r>
        <w:rPr>
          <w:rFonts w:ascii="Arial" w:hAnsi="Arial"/>
          <w:sz w:val="24"/>
        </w:rPr>
        <w:t>2.533ª REUNIÃO ORDINÁRIA</w:t>
      </w:r>
    </w:p>
    <w:p>
      <w:pPr>
        <w:spacing w:before="120"/>
        <w:ind w:left="244" w:right="0" w:firstLine="0"/>
        <w:jc w:val="left"/>
        <w:rPr>
          <w:rFonts w:ascii="Arial" w:hAnsi="Arial"/>
          <w:sz w:val="24"/>
        </w:rPr>
      </w:pPr>
      <w:r>
        <w:rPr/>
        <w:pict>
          <v:rect style="position:absolute;margin-left:56.040001pt;margin-top:36.575871pt;width:511.08pt;height:.72pt;mso-position-horizontal-relative:page;mso-position-vertical-relative:paragraph;z-index:-15667712;mso-wrap-distance-left:0;mso-wrap-distance-right:0" filled="true" fillcolor="#000000" stroked="false">
            <v:fill type="solid"/>
            <w10:wrap type="topAndBottom"/>
          </v:rect>
        </w:pict>
      </w:r>
      <w:r>
        <w:rPr>
          <w:rFonts w:ascii="Arial" w:hAnsi="Arial"/>
          <w:sz w:val="24"/>
        </w:rPr>
        <w:t>RELATOR: Alexandre Guimarães, Diretor Administrativo-Financeiro e de Relações com Investidores</w:t>
      </w:r>
    </w:p>
    <w:p>
      <w:pPr>
        <w:tabs>
          <w:tab w:pos="2184" w:val="left" w:leader="none"/>
        </w:tabs>
        <w:spacing w:line="264" w:lineRule="auto" w:before="114"/>
        <w:ind w:left="2184" w:right="231" w:hanging="1897"/>
        <w:jc w:val="both"/>
        <w:rPr>
          <w:rFonts w:ascii="Arial" w:hAnsi="Arial"/>
          <w:sz w:val="24"/>
        </w:rPr>
      </w:pPr>
      <w:r>
        <w:rPr>
          <w:rFonts w:ascii="Arial" w:hAnsi="Arial"/>
          <w:position w:val="2"/>
          <w:sz w:val="22"/>
        </w:rPr>
        <w:t>ASSUNTO:</w:t>
        <w:tab/>
      </w:r>
      <w:r>
        <w:rPr>
          <w:rFonts w:ascii="Arial" w:hAnsi="Arial"/>
          <w:sz w:val="24"/>
        </w:rPr>
        <w:t>Demonstrações Financeiras e Parecer do Auditor Independente do exercício findo em 31 de dezembro de</w:t>
      </w:r>
      <w:r>
        <w:rPr>
          <w:rFonts w:ascii="Arial" w:hAnsi="Arial"/>
          <w:spacing w:val="-12"/>
          <w:sz w:val="24"/>
        </w:rPr>
        <w:t> </w:t>
      </w:r>
      <w:r>
        <w:rPr>
          <w:rFonts w:ascii="Arial" w:hAnsi="Arial"/>
          <w:sz w:val="24"/>
        </w:rPr>
        <w:t>2019.</w:t>
      </w:r>
    </w:p>
    <w:p>
      <w:pPr>
        <w:pStyle w:val="BodyText"/>
        <w:spacing w:before="9"/>
        <w:rPr>
          <w:rFonts w:ascii="Arial"/>
        </w:rPr>
      </w:pPr>
    </w:p>
    <w:p>
      <w:pPr>
        <w:spacing w:line="264" w:lineRule="auto" w:before="0"/>
        <w:ind w:left="2184" w:right="231" w:hanging="1897"/>
        <w:jc w:val="both"/>
        <w:rPr>
          <w:rFonts w:ascii="Arial" w:hAnsi="Arial"/>
          <w:sz w:val="24"/>
        </w:rPr>
      </w:pPr>
      <w:r>
        <w:rPr>
          <w:rFonts w:ascii="Arial" w:hAnsi="Arial"/>
          <w:position w:val="2"/>
          <w:sz w:val="22"/>
        </w:rPr>
        <w:t>RESOLUÇÃO:     </w:t>
      </w:r>
      <w:r>
        <w:rPr>
          <w:rFonts w:ascii="Arial" w:hAnsi="Arial"/>
          <w:sz w:val="24"/>
        </w:rPr>
        <w:t>A Diretoria, com fundamento no inciso X art. 27 do Estatuto Social da CEB,  e em consonância com o disposto na Instrução nº 480/2009, art. 25, inciso V e VI da Comissão de Valores Mobiliários – CVM, </w:t>
      </w:r>
      <w:r>
        <w:rPr>
          <w:rFonts w:ascii="Arial" w:hAnsi="Arial"/>
          <w:b/>
          <w:sz w:val="24"/>
        </w:rPr>
        <w:t>RESOLVE </w:t>
      </w:r>
      <w:r>
        <w:rPr>
          <w:rFonts w:ascii="Arial" w:hAnsi="Arial"/>
          <w:sz w:val="24"/>
        </w:rPr>
        <w:t>registrar que reviram, discutiram e concordam com as demonstrações financeiras da CEB relativas ao exercício social findo em 31 de dezembro de 2019, bem como com as opiniões expressas no Relatório de Auditoria da MACIEL AUDITORES S.S, relativamente às demonstrações financeiras da CEB referentes ao exercício social findo em 31 de dezembro de</w:t>
      </w:r>
      <w:r>
        <w:rPr>
          <w:rFonts w:ascii="Arial" w:hAnsi="Arial"/>
          <w:spacing w:val="-14"/>
          <w:sz w:val="24"/>
        </w:rPr>
        <w:t> </w:t>
      </w:r>
      <w:r>
        <w:rPr>
          <w:rFonts w:ascii="Arial" w:hAnsi="Arial"/>
          <w:sz w:val="24"/>
        </w:rPr>
        <w:t>2019.</w: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spacing w:before="10"/>
        <w:rPr>
          <w:rFonts w:ascii="Arial"/>
          <w:sz w:val="16"/>
        </w:rPr>
      </w:pPr>
    </w:p>
    <w:p>
      <w:pPr>
        <w:spacing w:after="0"/>
        <w:rPr>
          <w:rFonts w:ascii="Arial"/>
          <w:sz w:val="16"/>
        </w:rPr>
        <w:sectPr>
          <w:headerReference w:type="default" r:id="rId88"/>
          <w:footerReference w:type="default" r:id="rId89"/>
          <w:pgSz w:w="11910" w:h="16850"/>
          <w:pgMar w:header="403" w:footer="902" w:top="1060" w:bottom="1100" w:left="960" w:right="440"/>
        </w:sectPr>
      </w:pPr>
    </w:p>
    <w:p>
      <w:pPr>
        <w:spacing w:line="252" w:lineRule="exact" w:before="93"/>
        <w:ind w:left="426" w:right="20" w:firstLine="0"/>
        <w:jc w:val="center"/>
        <w:rPr>
          <w:rFonts w:ascii="Arial" w:hAnsi="Arial"/>
          <w:b/>
          <w:sz w:val="22"/>
        </w:rPr>
      </w:pPr>
      <w:r>
        <w:rPr>
          <w:rFonts w:ascii="Arial" w:hAnsi="Arial"/>
          <w:b/>
          <w:sz w:val="22"/>
        </w:rPr>
        <w:t>EDISON ANTÔNIO COSTA BRITTO GARCIA</w:t>
      </w:r>
    </w:p>
    <w:p>
      <w:pPr>
        <w:spacing w:line="241" w:lineRule="exact" w:before="0"/>
        <w:ind w:left="426" w:right="17" w:firstLine="0"/>
        <w:jc w:val="center"/>
        <w:rPr>
          <w:rFonts w:ascii="Arial"/>
          <w:i/>
          <w:sz w:val="21"/>
        </w:rPr>
      </w:pPr>
      <w:r>
        <w:rPr>
          <w:rFonts w:ascii="Arial"/>
          <w:i/>
          <w:sz w:val="21"/>
        </w:rPr>
        <w:t>Diretor-Presidente</w:t>
      </w:r>
    </w:p>
    <w:p>
      <w:pPr>
        <w:spacing w:line="252" w:lineRule="exact" w:before="93"/>
        <w:ind w:left="446" w:right="443" w:firstLine="0"/>
        <w:jc w:val="center"/>
        <w:rPr>
          <w:rFonts w:ascii="Arial" w:hAnsi="Arial"/>
          <w:b/>
          <w:sz w:val="22"/>
        </w:rPr>
      </w:pPr>
      <w:r>
        <w:rPr/>
        <w:br w:type="column"/>
      </w:r>
      <w:r>
        <w:rPr>
          <w:rFonts w:ascii="Arial" w:hAnsi="Arial"/>
          <w:b/>
          <w:sz w:val="22"/>
        </w:rPr>
        <w:t>ALEXANDRE GUIMARÃES</w:t>
      </w:r>
    </w:p>
    <w:p>
      <w:pPr>
        <w:spacing w:before="0"/>
        <w:ind w:left="446" w:right="443" w:firstLine="0"/>
        <w:jc w:val="center"/>
        <w:rPr>
          <w:rFonts w:ascii="Arial" w:hAnsi="Arial"/>
          <w:i/>
          <w:sz w:val="21"/>
        </w:rPr>
      </w:pPr>
      <w:r>
        <w:rPr>
          <w:rFonts w:ascii="Arial" w:hAnsi="Arial"/>
          <w:i/>
          <w:sz w:val="21"/>
        </w:rPr>
        <w:t>Diretor Administrativo-Financeiro e de Relações </w:t>
      </w:r>
      <w:r>
        <w:rPr>
          <w:rFonts w:ascii="Arial" w:hAnsi="Arial"/>
          <w:i/>
          <w:sz w:val="21"/>
        </w:rPr>
        <w:t>com Investidores</w:t>
      </w:r>
    </w:p>
    <w:p>
      <w:pPr>
        <w:spacing w:after="0"/>
        <w:jc w:val="center"/>
        <w:rPr>
          <w:rFonts w:ascii="Arial" w:hAnsi="Arial"/>
          <w:sz w:val="21"/>
        </w:rPr>
        <w:sectPr>
          <w:type w:val="continuous"/>
          <w:pgSz w:w="11910" w:h="16850"/>
          <w:pgMar w:top="1600" w:bottom="280" w:left="960" w:right="440"/>
          <w:cols w:num="2" w:equalWidth="0">
            <w:col w:w="5046" w:space="107"/>
            <w:col w:w="5357"/>
          </w:cols>
        </w:sectPr>
      </w:pPr>
    </w:p>
    <w:p>
      <w:pPr>
        <w:pStyle w:val="BodyText"/>
        <w:rPr>
          <w:rFonts w:ascii="Arial"/>
          <w:i/>
        </w:rPr>
      </w:pPr>
    </w:p>
    <w:p>
      <w:pPr>
        <w:pStyle w:val="BodyText"/>
        <w:rPr>
          <w:rFonts w:ascii="Arial"/>
          <w:i/>
        </w:rPr>
      </w:pPr>
    </w:p>
    <w:p>
      <w:pPr>
        <w:pStyle w:val="BodyText"/>
        <w:rPr>
          <w:rFonts w:ascii="Arial"/>
          <w:i/>
        </w:rPr>
      </w:pPr>
    </w:p>
    <w:p>
      <w:pPr>
        <w:pStyle w:val="BodyText"/>
        <w:spacing w:before="10"/>
        <w:rPr>
          <w:rFonts w:ascii="Arial"/>
          <w:i/>
          <w:sz w:val="27"/>
        </w:rPr>
      </w:pPr>
    </w:p>
    <w:p>
      <w:pPr>
        <w:spacing w:after="0"/>
        <w:rPr>
          <w:rFonts w:ascii="Arial"/>
          <w:sz w:val="27"/>
        </w:rPr>
        <w:sectPr>
          <w:type w:val="continuous"/>
          <w:pgSz w:w="11910" w:h="16850"/>
          <w:pgMar w:top="1600" w:bottom="280" w:left="960" w:right="440"/>
        </w:sectPr>
      </w:pPr>
    </w:p>
    <w:p>
      <w:pPr>
        <w:spacing w:line="252" w:lineRule="exact" w:before="93"/>
        <w:ind w:left="1245" w:right="20" w:firstLine="0"/>
        <w:jc w:val="center"/>
        <w:rPr>
          <w:rFonts w:ascii="Arial"/>
          <w:b/>
          <w:sz w:val="22"/>
        </w:rPr>
      </w:pPr>
      <w:r>
        <w:rPr/>
        <w:drawing>
          <wp:anchor distT="0" distB="0" distL="0" distR="0" allowOverlap="1" layoutInCell="1" locked="0" behindDoc="0" simplePos="0" relativeHeight="15790080">
            <wp:simplePos x="0" y="0"/>
            <wp:positionH relativeFrom="page">
              <wp:posOffset>921573</wp:posOffset>
            </wp:positionH>
            <wp:positionV relativeFrom="page">
              <wp:posOffset>259798</wp:posOffset>
            </wp:positionV>
            <wp:extent cx="1346716" cy="541236"/>
            <wp:effectExtent l="0" t="0" r="0" b="0"/>
            <wp:wrapNone/>
            <wp:docPr id="83" name="image16.png"/>
            <wp:cNvGraphicFramePr>
              <a:graphicFrameLocks noChangeAspect="1"/>
            </wp:cNvGraphicFramePr>
            <a:graphic>
              <a:graphicData uri="http://schemas.openxmlformats.org/drawingml/2006/picture">
                <pic:pic>
                  <pic:nvPicPr>
                    <pic:cNvPr id="84" name="image16.png"/>
                    <pic:cNvPicPr/>
                  </pic:nvPicPr>
                  <pic:blipFill>
                    <a:blip r:embed="rId90" cstate="print"/>
                    <a:stretch>
                      <a:fillRect/>
                    </a:stretch>
                  </pic:blipFill>
                  <pic:spPr>
                    <a:xfrm>
                      <a:off x="0" y="0"/>
                      <a:ext cx="1346716" cy="541236"/>
                    </a:xfrm>
                    <a:prstGeom prst="rect">
                      <a:avLst/>
                    </a:prstGeom>
                  </pic:spPr>
                </pic:pic>
              </a:graphicData>
            </a:graphic>
          </wp:anchor>
        </w:drawing>
      </w:r>
      <w:r>
        <w:rPr>
          <w:rFonts w:ascii="Arial"/>
          <w:b/>
          <w:sz w:val="22"/>
        </w:rPr>
        <w:t>FABIANO CARDOSO PINTO</w:t>
      </w:r>
    </w:p>
    <w:p>
      <w:pPr>
        <w:spacing w:line="241" w:lineRule="exact" w:before="0"/>
        <w:ind w:left="1245" w:right="19" w:firstLine="0"/>
        <w:jc w:val="center"/>
        <w:rPr>
          <w:rFonts w:ascii="Arial" w:hAnsi="Arial"/>
          <w:i/>
          <w:sz w:val="21"/>
        </w:rPr>
      </w:pPr>
      <w:r>
        <w:rPr>
          <w:rFonts w:ascii="Arial" w:hAnsi="Arial"/>
          <w:i/>
          <w:sz w:val="21"/>
        </w:rPr>
        <w:t>Diretor Técnico</w:t>
      </w:r>
    </w:p>
    <w:p>
      <w:pPr>
        <w:spacing w:line="252" w:lineRule="exact" w:before="93"/>
        <w:ind w:left="1272" w:right="0" w:firstLine="0"/>
        <w:jc w:val="left"/>
        <w:rPr>
          <w:rFonts w:ascii="Arial"/>
          <w:b/>
          <w:sz w:val="22"/>
        </w:rPr>
      </w:pPr>
      <w:r>
        <w:rPr/>
        <w:br w:type="column"/>
      </w:r>
      <w:r>
        <w:rPr>
          <w:rFonts w:ascii="Arial"/>
          <w:b/>
          <w:sz w:val="22"/>
        </w:rPr>
        <w:t>FAUSTO DE PAULA MENEZES</w:t>
      </w:r>
      <w:r>
        <w:rPr>
          <w:rFonts w:ascii="Arial"/>
          <w:b/>
          <w:spacing w:val="-14"/>
          <w:sz w:val="22"/>
        </w:rPr>
        <w:t> </w:t>
      </w:r>
      <w:r>
        <w:rPr>
          <w:rFonts w:ascii="Arial"/>
          <w:b/>
          <w:sz w:val="22"/>
        </w:rPr>
        <w:t>BANDEIRA</w:t>
      </w:r>
    </w:p>
    <w:p>
      <w:pPr>
        <w:spacing w:line="241" w:lineRule="exact" w:before="0"/>
        <w:ind w:left="1265" w:right="0" w:firstLine="0"/>
        <w:jc w:val="left"/>
        <w:rPr>
          <w:rFonts w:ascii="Arial" w:hAnsi="Arial"/>
          <w:i/>
          <w:sz w:val="21"/>
        </w:rPr>
      </w:pPr>
      <w:r>
        <w:rPr>
          <w:rFonts w:ascii="Arial" w:hAnsi="Arial"/>
          <w:i/>
          <w:sz w:val="21"/>
        </w:rPr>
        <w:t>Diretor de Planejamento e de Gestão de</w:t>
      </w:r>
      <w:r>
        <w:rPr>
          <w:rFonts w:ascii="Arial" w:hAnsi="Arial"/>
          <w:i/>
          <w:spacing w:val="-10"/>
          <w:sz w:val="21"/>
        </w:rPr>
        <w:t> </w:t>
      </w:r>
      <w:r>
        <w:rPr>
          <w:rFonts w:ascii="Arial" w:hAnsi="Arial"/>
          <w:i/>
          <w:sz w:val="21"/>
        </w:rPr>
        <w:t>Riscos</w:t>
      </w:r>
    </w:p>
    <w:p>
      <w:pPr>
        <w:spacing w:after="0" w:line="241" w:lineRule="exact"/>
        <w:jc w:val="left"/>
        <w:rPr>
          <w:rFonts w:ascii="Arial" w:hAnsi="Arial"/>
          <w:sz w:val="21"/>
        </w:rPr>
        <w:sectPr>
          <w:type w:val="continuous"/>
          <w:pgSz w:w="11910" w:h="16850"/>
          <w:pgMar w:top="1600" w:bottom="280" w:left="960" w:right="440"/>
          <w:cols w:num="2" w:equalWidth="0">
            <w:col w:w="4227" w:space="113"/>
            <w:col w:w="6170"/>
          </w:cols>
        </w:sectPr>
      </w:pPr>
    </w:p>
    <w:p>
      <w:pPr>
        <w:pStyle w:val="BodyText"/>
        <w:spacing w:before="9"/>
        <w:rPr>
          <w:rFonts w:ascii="Arial"/>
          <w:i/>
          <w:sz w:val="18"/>
        </w:rPr>
      </w:pPr>
    </w:p>
    <w:p>
      <w:pPr>
        <w:pStyle w:val="BodyText"/>
        <w:spacing w:line="148" w:lineRule="exact"/>
        <w:ind w:left="172"/>
        <w:rPr>
          <w:rFonts w:ascii="Arial"/>
          <w:sz w:val="14"/>
        </w:rPr>
      </w:pPr>
      <w:r>
        <w:rPr>
          <w:rFonts w:ascii="Arial"/>
          <w:position w:val="-2"/>
          <w:sz w:val="14"/>
        </w:rPr>
        <w:pict>
          <v:group style="width:496.3pt;height:7.45pt;mso-position-horizontal-relative:char;mso-position-vertical-relative:line" coordorigin="0,0" coordsize="9926,149">
            <v:rect style="position:absolute;left:0;top:0;width:9926;height:149" filled="true" fillcolor="#bebebe" stroked="false">
              <v:fill type="solid"/>
            </v:rect>
          </v:group>
        </w:pict>
      </w:r>
      <w:r>
        <w:rPr>
          <w:rFonts w:ascii="Arial"/>
          <w:position w:val="-2"/>
          <w:sz w:val="14"/>
        </w:rPr>
      </w:r>
    </w:p>
    <w:p>
      <w:pPr>
        <w:spacing w:before="61"/>
        <w:ind w:left="319" w:right="0" w:firstLine="0"/>
        <w:jc w:val="left"/>
        <w:rPr>
          <w:rFonts w:ascii="Arial" w:hAnsi="Arial"/>
          <w:sz w:val="24"/>
        </w:rPr>
      </w:pPr>
      <w:r>
        <w:rPr>
          <w:rFonts w:ascii="Arial" w:hAnsi="Arial"/>
          <w:sz w:val="24"/>
        </w:rPr>
        <w:t>REFERÊNCIA:</w:t>
      </w:r>
    </w:p>
    <w:p>
      <w:pPr>
        <w:spacing w:before="120"/>
        <w:ind w:left="319" w:right="0" w:firstLine="0"/>
        <w:jc w:val="left"/>
        <w:rPr>
          <w:rFonts w:ascii="Arial" w:hAnsi="Arial"/>
          <w:sz w:val="24"/>
        </w:rPr>
      </w:pPr>
      <w:r>
        <w:rPr>
          <w:rFonts w:ascii="Arial" w:hAnsi="Arial"/>
          <w:sz w:val="24"/>
        </w:rPr>
        <w:t>90ª REUNIÃO EXTRAORDINÁRIA</w:t>
      </w:r>
    </w:p>
    <w:p>
      <w:pPr>
        <w:spacing w:before="120"/>
        <w:ind w:left="319" w:right="477" w:firstLine="0"/>
        <w:jc w:val="both"/>
        <w:rPr>
          <w:rFonts w:ascii="Arial" w:hAnsi="Arial"/>
          <w:sz w:val="24"/>
        </w:rPr>
      </w:pPr>
      <w:r>
        <w:rPr/>
        <w:pict>
          <v:rect style="position:absolute;margin-left:56.040001pt;margin-top:36.69585pt;width:496.9pt;height:.72pt;mso-position-horizontal-relative:page;mso-position-vertical-relative:paragraph;z-index:-15666176;mso-wrap-distance-left:0;mso-wrap-distance-right:0" filled="true" fillcolor="#000000" stroked="false">
            <v:fill type="solid"/>
            <w10:wrap type="topAndBottom"/>
          </v:rect>
        </w:pict>
      </w:r>
      <w:r>
        <w:rPr>
          <w:rFonts w:ascii="Arial" w:hAnsi="Arial"/>
          <w:sz w:val="24"/>
        </w:rPr>
        <w:t>RELATOR: Alexandre Guimarães, Diretor Administrativo-Financeiro e de Relações com Investidores</w:t>
      </w:r>
    </w:p>
    <w:p>
      <w:pPr>
        <w:tabs>
          <w:tab w:pos="2273" w:val="left" w:leader="none"/>
        </w:tabs>
        <w:spacing w:before="51"/>
        <w:ind w:left="287" w:right="0" w:firstLine="0"/>
        <w:jc w:val="both"/>
        <w:rPr>
          <w:rFonts w:ascii="Arial" w:hAnsi="Arial"/>
          <w:sz w:val="25"/>
        </w:rPr>
      </w:pPr>
      <w:r>
        <w:rPr>
          <w:rFonts w:ascii="Arial" w:hAnsi="Arial"/>
          <w:position w:val="3"/>
          <w:sz w:val="22"/>
        </w:rPr>
        <w:t>ASSUNTO:</w:t>
        <w:tab/>
      </w:r>
      <w:r>
        <w:rPr>
          <w:rFonts w:ascii="Arial" w:hAnsi="Arial"/>
          <w:sz w:val="25"/>
        </w:rPr>
        <w:t>Proposta de destinação do resultado do exercício de</w:t>
      </w:r>
      <w:r>
        <w:rPr>
          <w:rFonts w:ascii="Arial" w:hAnsi="Arial"/>
          <w:spacing w:val="-6"/>
          <w:sz w:val="25"/>
        </w:rPr>
        <w:t> </w:t>
      </w:r>
      <w:r>
        <w:rPr>
          <w:rFonts w:ascii="Arial" w:hAnsi="Arial"/>
          <w:sz w:val="25"/>
        </w:rPr>
        <w:t>2019.</w:t>
      </w:r>
    </w:p>
    <w:p>
      <w:pPr>
        <w:spacing w:line="276" w:lineRule="auto" w:before="119"/>
        <w:ind w:left="2302" w:right="517" w:hanging="2014"/>
        <w:jc w:val="both"/>
        <w:rPr>
          <w:rFonts w:ascii="Arial" w:hAnsi="Arial"/>
          <w:sz w:val="24"/>
        </w:rPr>
      </w:pPr>
      <w:r>
        <w:rPr>
          <w:rFonts w:ascii="Arial" w:hAnsi="Arial"/>
          <w:position w:val="2"/>
          <w:sz w:val="22"/>
        </w:rPr>
        <w:t>RESOLUÇÃO: </w:t>
      </w:r>
      <w:r>
        <w:rPr>
          <w:rFonts w:ascii="Arial" w:hAnsi="Arial"/>
          <w:sz w:val="24"/>
        </w:rPr>
        <w:t>A Diretoria, em conformidade com a Lei nº 6.404/1976 e atualizações, o Estatuto Social da Companhia e as normas emanadas pela Comissão de Valores Mobiliários - CVM; e considerando as Demonstrações Financeiras do exercício de 2019, </w:t>
      </w:r>
      <w:r>
        <w:rPr>
          <w:rFonts w:ascii="Arial" w:hAnsi="Arial"/>
          <w:b/>
          <w:sz w:val="24"/>
        </w:rPr>
        <w:t>RESOLVE </w:t>
      </w:r>
      <w:r>
        <w:rPr>
          <w:rFonts w:ascii="Arial" w:hAnsi="Arial"/>
          <w:sz w:val="24"/>
        </w:rPr>
        <w:t>apresentar proposta de destinação do resultado apurado no exercício de 2019, assim constituída:</w:t>
      </w:r>
    </w:p>
    <w:p>
      <w:pPr>
        <w:pStyle w:val="BodyText"/>
        <w:spacing w:before="1"/>
        <w:rPr>
          <w:rFonts w:ascii="Arial"/>
          <w:sz w:val="11"/>
        </w:rPr>
      </w:pPr>
    </w:p>
    <w:tbl>
      <w:tblPr>
        <w:tblW w:w="0" w:type="auto"/>
        <w:jc w:val="left"/>
        <w:tblInd w:w="22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94"/>
        <w:gridCol w:w="635"/>
        <w:gridCol w:w="2005"/>
      </w:tblGrid>
      <w:tr>
        <w:trPr>
          <w:trHeight w:val="387" w:hRule="atLeast"/>
        </w:trPr>
        <w:tc>
          <w:tcPr>
            <w:tcW w:w="7834" w:type="dxa"/>
            <w:gridSpan w:val="3"/>
          </w:tcPr>
          <w:p>
            <w:pPr>
              <w:pStyle w:val="TableParagraph"/>
              <w:spacing w:line="268" w:lineRule="exact"/>
              <w:ind w:left="280"/>
              <w:rPr>
                <w:rFonts w:ascii="Arial" w:hAnsi="Arial"/>
                <w:b/>
                <w:sz w:val="24"/>
              </w:rPr>
            </w:pPr>
            <w:r>
              <w:rPr>
                <w:rFonts w:ascii="Arial" w:hAnsi="Arial"/>
                <w:b/>
                <w:sz w:val="24"/>
              </w:rPr>
              <w:t>DEMONSTRATIVO DA DESTINAÇÃO DO RESULTADO DE 2019</w:t>
            </w:r>
          </w:p>
        </w:tc>
      </w:tr>
      <w:tr>
        <w:trPr>
          <w:trHeight w:val="374" w:hRule="atLeast"/>
        </w:trPr>
        <w:tc>
          <w:tcPr>
            <w:tcW w:w="5194" w:type="dxa"/>
            <w:tcBorders>
              <w:top w:val="single" w:sz="4" w:space="0" w:color="000000"/>
              <w:bottom w:val="dotted" w:sz="4" w:space="0" w:color="000000"/>
            </w:tcBorders>
          </w:tcPr>
          <w:p>
            <w:pPr>
              <w:pStyle w:val="TableParagraph"/>
              <w:spacing w:before="60"/>
              <w:ind w:left="177"/>
              <w:rPr>
                <w:rFonts w:ascii="Arial" w:hAnsi="Arial"/>
                <w:sz w:val="22"/>
              </w:rPr>
            </w:pPr>
            <w:r>
              <w:rPr>
                <w:rFonts w:ascii="Arial" w:hAnsi="Arial"/>
                <w:sz w:val="22"/>
              </w:rPr>
              <w:t>Lucro Líquido do Exercício</w:t>
            </w:r>
          </w:p>
        </w:tc>
        <w:tc>
          <w:tcPr>
            <w:tcW w:w="635" w:type="dxa"/>
            <w:tcBorders>
              <w:top w:val="single" w:sz="4" w:space="0" w:color="000000"/>
              <w:bottom w:val="dotted" w:sz="4" w:space="0" w:color="000000"/>
            </w:tcBorders>
          </w:tcPr>
          <w:p>
            <w:pPr>
              <w:pStyle w:val="TableParagraph"/>
              <w:spacing w:before="60"/>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0"/>
              <w:ind w:left="221" w:right="210"/>
              <w:jc w:val="center"/>
              <w:rPr>
                <w:rFonts w:ascii="Arial"/>
                <w:sz w:val="22"/>
              </w:rPr>
            </w:pPr>
            <w:r>
              <w:rPr>
                <w:rFonts w:ascii="Arial"/>
                <w:sz w:val="22"/>
              </w:rPr>
              <w:t>119.046.788,19</w:t>
            </w:r>
          </w:p>
        </w:tc>
      </w:tr>
      <w:tr>
        <w:trPr>
          <w:trHeight w:val="371" w:hRule="atLeast"/>
        </w:trPr>
        <w:tc>
          <w:tcPr>
            <w:tcW w:w="5194" w:type="dxa"/>
            <w:tcBorders>
              <w:top w:val="dotted" w:sz="4" w:space="0" w:color="000000"/>
              <w:bottom w:val="dotted" w:sz="4" w:space="0" w:color="000000"/>
            </w:tcBorders>
          </w:tcPr>
          <w:p>
            <w:pPr>
              <w:pStyle w:val="TableParagraph"/>
              <w:spacing w:before="60"/>
              <w:ind w:left="177"/>
              <w:rPr>
                <w:rFonts w:ascii="Arial" w:hAnsi="Arial"/>
                <w:sz w:val="22"/>
              </w:rPr>
            </w:pPr>
            <w:r>
              <w:rPr>
                <w:rFonts w:ascii="Arial" w:hAnsi="Arial"/>
                <w:sz w:val="22"/>
              </w:rPr>
              <w:t>Prejuízos Acumulados a Compensar</w:t>
            </w:r>
          </w:p>
        </w:tc>
        <w:tc>
          <w:tcPr>
            <w:tcW w:w="635" w:type="dxa"/>
            <w:tcBorders>
              <w:top w:val="dotted" w:sz="4" w:space="0" w:color="000000"/>
              <w:bottom w:val="dotted" w:sz="4" w:space="0" w:color="000000"/>
            </w:tcBorders>
          </w:tcPr>
          <w:p>
            <w:pPr>
              <w:pStyle w:val="TableParagraph"/>
              <w:spacing w:before="60"/>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0"/>
              <w:ind w:left="223" w:right="111"/>
              <w:jc w:val="center"/>
              <w:rPr>
                <w:rFonts w:ascii="Arial"/>
                <w:sz w:val="22"/>
              </w:rPr>
            </w:pPr>
            <w:r>
              <w:rPr>
                <w:rFonts w:ascii="Arial"/>
                <w:sz w:val="22"/>
              </w:rPr>
              <w:t>(1.148.130,33)</w:t>
            </w:r>
          </w:p>
        </w:tc>
      </w:tr>
      <w:tr>
        <w:trPr>
          <w:trHeight w:val="320" w:hRule="atLeast"/>
        </w:trPr>
        <w:tc>
          <w:tcPr>
            <w:tcW w:w="7834" w:type="dxa"/>
            <w:gridSpan w:val="3"/>
          </w:tcPr>
          <w:p>
            <w:pPr>
              <w:pStyle w:val="TableParagraph"/>
              <w:tabs>
                <w:tab w:pos="6071" w:val="left" w:leader="none"/>
              </w:tabs>
              <w:spacing w:line="238" w:lineRule="exact" w:before="62"/>
              <w:ind w:left="177"/>
              <w:rPr>
                <w:rFonts w:ascii="Arial" w:hAnsi="Arial"/>
                <w:sz w:val="22"/>
              </w:rPr>
            </w:pPr>
            <w:r>
              <w:rPr>
                <w:rFonts w:ascii="Arial" w:hAnsi="Arial"/>
                <w:sz w:val="22"/>
              </w:rPr>
              <w:t>Lucro Líquido do Exercício após Compensação</w:t>
            </w:r>
            <w:r>
              <w:rPr>
                <w:rFonts w:ascii="Arial" w:hAnsi="Arial"/>
                <w:spacing w:val="36"/>
                <w:sz w:val="22"/>
              </w:rPr>
              <w:t> </w:t>
            </w:r>
            <w:r>
              <w:rPr>
                <w:rFonts w:ascii="Arial" w:hAnsi="Arial"/>
                <w:sz w:val="22"/>
              </w:rPr>
              <w:t>de </w:t>
            </w:r>
            <w:r>
              <w:rPr>
                <w:rFonts w:ascii="Arial" w:hAnsi="Arial"/>
                <w:spacing w:val="29"/>
                <w:sz w:val="22"/>
              </w:rPr>
              <w:t> </w:t>
            </w:r>
            <w:r>
              <w:rPr>
                <w:rFonts w:ascii="Arial" w:hAnsi="Arial"/>
                <w:sz w:val="22"/>
              </w:rPr>
              <w:t>R$</w:t>
              <w:tab/>
            </w:r>
            <w:r>
              <w:rPr>
                <w:rFonts w:ascii="Arial" w:hAnsi="Arial"/>
                <w:position w:val="-11"/>
                <w:sz w:val="22"/>
              </w:rPr>
              <w:t>117.898.657,86</w:t>
            </w:r>
          </w:p>
        </w:tc>
      </w:tr>
      <w:tr>
        <w:trPr>
          <w:trHeight w:val="305" w:hRule="atLeast"/>
        </w:trPr>
        <w:tc>
          <w:tcPr>
            <w:tcW w:w="5194" w:type="dxa"/>
            <w:tcBorders>
              <w:bottom w:val="dotted" w:sz="4" w:space="0" w:color="000000"/>
            </w:tcBorders>
          </w:tcPr>
          <w:p>
            <w:pPr>
              <w:pStyle w:val="TableParagraph"/>
              <w:spacing w:line="247" w:lineRule="exact"/>
              <w:ind w:left="177"/>
              <w:rPr>
                <w:rFonts w:ascii="Arial" w:hAnsi="Arial"/>
                <w:sz w:val="22"/>
              </w:rPr>
            </w:pPr>
            <w:r>
              <w:rPr>
                <w:rFonts w:ascii="Arial" w:hAnsi="Arial"/>
                <w:sz w:val="22"/>
              </w:rPr>
              <w:t>Prejuízo</w:t>
            </w:r>
          </w:p>
        </w:tc>
        <w:tc>
          <w:tcPr>
            <w:tcW w:w="635" w:type="dxa"/>
            <w:tcBorders>
              <w:bottom w:val="dotted" w:sz="4" w:space="0" w:color="000000"/>
            </w:tcBorders>
          </w:tcPr>
          <w:p>
            <w:pPr>
              <w:pStyle w:val="TableParagraph"/>
              <w:rPr>
                <w:rFonts w:ascii="Times New Roman"/>
                <w:sz w:val="22"/>
              </w:rPr>
            </w:pPr>
          </w:p>
        </w:tc>
        <w:tc>
          <w:tcPr>
            <w:tcW w:w="2005" w:type="dxa"/>
            <w:tcBorders>
              <w:bottom w:val="single" w:sz="4" w:space="0" w:color="000000"/>
            </w:tcBorders>
          </w:tcPr>
          <w:p>
            <w:pPr>
              <w:pStyle w:val="TableParagraph"/>
              <w:rPr>
                <w:rFonts w:ascii="Times New Roman"/>
                <w:sz w:val="22"/>
              </w:rPr>
            </w:pPr>
          </w:p>
        </w:tc>
      </w:tr>
      <w:tr>
        <w:trPr>
          <w:trHeight w:val="374" w:hRule="atLeast"/>
        </w:trPr>
        <w:tc>
          <w:tcPr>
            <w:tcW w:w="5194" w:type="dxa"/>
            <w:tcBorders>
              <w:top w:val="dotted" w:sz="4" w:space="0" w:color="000000"/>
              <w:bottom w:val="dotted" w:sz="4" w:space="0" w:color="000000"/>
            </w:tcBorders>
          </w:tcPr>
          <w:p>
            <w:pPr>
              <w:pStyle w:val="TableParagraph"/>
              <w:spacing w:before="62"/>
              <w:ind w:left="177"/>
              <w:rPr>
                <w:rFonts w:ascii="Arial"/>
                <w:sz w:val="22"/>
              </w:rPr>
            </w:pPr>
            <w:r>
              <w:rPr>
                <w:rFonts w:ascii="Arial"/>
                <w:sz w:val="22"/>
              </w:rPr>
              <w:t>Reserva Legal - (5%)</w:t>
            </w:r>
          </w:p>
        </w:tc>
        <w:tc>
          <w:tcPr>
            <w:tcW w:w="635" w:type="dxa"/>
            <w:tcBorders>
              <w:top w:val="dotted" w:sz="4" w:space="0" w:color="000000"/>
              <w:bottom w:val="dotted" w:sz="4" w:space="0" w:color="000000"/>
            </w:tcBorders>
          </w:tcPr>
          <w:p>
            <w:pPr>
              <w:pStyle w:val="TableParagraph"/>
              <w:spacing w:before="62"/>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2"/>
              <w:ind w:left="223" w:right="111"/>
              <w:jc w:val="center"/>
              <w:rPr>
                <w:rFonts w:ascii="Arial"/>
                <w:sz w:val="22"/>
              </w:rPr>
            </w:pPr>
            <w:r>
              <w:rPr>
                <w:rFonts w:ascii="Arial"/>
                <w:sz w:val="22"/>
              </w:rPr>
              <w:t>(5.894.932,89)</w:t>
            </w:r>
          </w:p>
        </w:tc>
      </w:tr>
      <w:tr>
        <w:trPr>
          <w:trHeight w:val="374" w:hRule="atLeast"/>
        </w:trPr>
        <w:tc>
          <w:tcPr>
            <w:tcW w:w="5194" w:type="dxa"/>
            <w:tcBorders>
              <w:top w:val="dotted" w:sz="4" w:space="0" w:color="000000"/>
              <w:bottom w:val="single" w:sz="4" w:space="0" w:color="000000"/>
            </w:tcBorders>
          </w:tcPr>
          <w:p>
            <w:pPr>
              <w:pStyle w:val="TableParagraph"/>
              <w:spacing w:before="60"/>
              <w:ind w:left="177"/>
              <w:rPr>
                <w:rFonts w:ascii="Arial" w:hAnsi="Arial"/>
                <w:sz w:val="22"/>
              </w:rPr>
            </w:pPr>
            <w:r>
              <w:rPr>
                <w:rFonts w:ascii="Arial" w:hAnsi="Arial"/>
                <w:sz w:val="22"/>
              </w:rPr>
              <w:t>Lucro Líquido Ajustado (art. 202 Lei 6.404/1976)</w:t>
            </w:r>
          </w:p>
        </w:tc>
        <w:tc>
          <w:tcPr>
            <w:tcW w:w="635" w:type="dxa"/>
            <w:tcBorders>
              <w:top w:val="dotted" w:sz="4" w:space="0" w:color="000000"/>
              <w:bottom w:val="single" w:sz="4" w:space="0" w:color="000000"/>
            </w:tcBorders>
          </w:tcPr>
          <w:p>
            <w:pPr>
              <w:pStyle w:val="TableParagraph"/>
              <w:spacing w:before="60"/>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0"/>
              <w:ind w:left="223" w:right="208"/>
              <w:jc w:val="center"/>
              <w:rPr>
                <w:rFonts w:ascii="Arial"/>
                <w:sz w:val="22"/>
              </w:rPr>
            </w:pPr>
            <w:r>
              <w:rPr>
                <w:rFonts w:ascii="Arial"/>
                <w:sz w:val="22"/>
              </w:rPr>
              <w:t>112.003.724,97</w:t>
            </w:r>
          </w:p>
        </w:tc>
      </w:tr>
      <w:tr>
        <w:trPr>
          <w:trHeight w:val="371" w:hRule="atLeast"/>
        </w:trPr>
        <w:tc>
          <w:tcPr>
            <w:tcW w:w="5194" w:type="dxa"/>
            <w:tcBorders>
              <w:top w:val="single" w:sz="4" w:space="0" w:color="000000"/>
              <w:bottom w:val="dotted" w:sz="4" w:space="0" w:color="000000"/>
            </w:tcBorders>
          </w:tcPr>
          <w:p>
            <w:pPr>
              <w:pStyle w:val="TableParagraph"/>
              <w:spacing w:before="60"/>
              <w:ind w:left="177"/>
              <w:rPr>
                <w:rFonts w:ascii="Arial" w:hAnsi="Arial"/>
                <w:sz w:val="22"/>
              </w:rPr>
            </w:pPr>
            <w:r>
              <w:rPr>
                <w:rFonts w:ascii="Arial" w:hAnsi="Arial"/>
                <w:sz w:val="22"/>
              </w:rPr>
              <w:t>Dividendo Mínimo Obrigatório (*)</w:t>
            </w:r>
          </w:p>
        </w:tc>
        <w:tc>
          <w:tcPr>
            <w:tcW w:w="635" w:type="dxa"/>
            <w:tcBorders>
              <w:top w:val="single" w:sz="4" w:space="0" w:color="000000"/>
              <w:bottom w:val="dotted" w:sz="4" w:space="0" w:color="000000"/>
            </w:tcBorders>
          </w:tcPr>
          <w:p>
            <w:pPr>
              <w:pStyle w:val="TableParagraph"/>
              <w:spacing w:before="60"/>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0"/>
              <w:ind w:left="223" w:right="85"/>
              <w:jc w:val="center"/>
              <w:rPr>
                <w:rFonts w:ascii="Arial"/>
                <w:sz w:val="22"/>
              </w:rPr>
            </w:pPr>
            <w:r>
              <w:rPr>
                <w:rFonts w:ascii="Arial"/>
                <w:sz w:val="22"/>
              </w:rPr>
              <w:t>28.000.931,24</w:t>
            </w:r>
          </w:p>
        </w:tc>
      </w:tr>
      <w:tr>
        <w:trPr>
          <w:trHeight w:val="373" w:hRule="atLeast"/>
        </w:trPr>
        <w:tc>
          <w:tcPr>
            <w:tcW w:w="5194" w:type="dxa"/>
            <w:tcBorders>
              <w:top w:val="dotted" w:sz="4" w:space="0" w:color="000000"/>
              <w:bottom w:val="single" w:sz="4" w:space="0" w:color="000000"/>
            </w:tcBorders>
          </w:tcPr>
          <w:p>
            <w:pPr>
              <w:pStyle w:val="TableParagraph"/>
              <w:spacing w:before="60"/>
              <w:ind w:left="177"/>
              <w:rPr>
                <w:rFonts w:ascii="Arial" w:hAnsi="Arial"/>
                <w:sz w:val="22"/>
              </w:rPr>
            </w:pPr>
            <w:r>
              <w:rPr>
                <w:rFonts w:ascii="Arial" w:hAnsi="Arial"/>
                <w:sz w:val="22"/>
              </w:rPr>
              <w:t>Reserva para Expansão dos Negócios Sociais (**)</w:t>
            </w:r>
          </w:p>
        </w:tc>
        <w:tc>
          <w:tcPr>
            <w:tcW w:w="635" w:type="dxa"/>
            <w:tcBorders>
              <w:top w:val="dotted" w:sz="4" w:space="0" w:color="000000"/>
              <w:bottom w:val="single" w:sz="4" w:space="0" w:color="000000"/>
            </w:tcBorders>
          </w:tcPr>
          <w:p>
            <w:pPr>
              <w:pStyle w:val="TableParagraph"/>
              <w:spacing w:before="60"/>
              <w:ind w:left="111"/>
              <w:rPr>
                <w:rFonts w:ascii="Arial"/>
                <w:sz w:val="22"/>
              </w:rPr>
            </w:pPr>
            <w:r>
              <w:rPr>
                <w:rFonts w:ascii="Arial"/>
                <w:sz w:val="22"/>
              </w:rPr>
              <w:t>R$</w:t>
            </w:r>
          </w:p>
        </w:tc>
        <w:tc>
          <w:tcPr>
            <w:tcW w:w="2005" w:type="dxa"/>
            <w:tcBorders>
              <w:top w:val="single" w:sz="4" w:space="0" w:color="000000"/>
              <w:bottom w:val="single" w:sz="4" w:space="0" w:color="000000"/>
            </w:tcBorders>
          </w:tcPr>
          <w:p>
            <w:pPr>
              <w:pStyle w:val="TableParagraph"/>
              <w:spacing w:before="60"/>
              <w:ind w:left="223" w:right="85"/>
              <w:jc w:val="center"/>
              <w:rPr>
                <w:rFonts w:ascii="Arial"/>
                <w:sz w:val="22"/>
              </w:rPr>
            </w:pPr>
            <w:r>
              <w:rPr>
                <w:rFonts w:ascii="Arial"/>
                <w:sz w:val="22"/>
              </w:rPr>
              <w:t>84.002.793,73</w:t>
            </w:r>
          </w:p>
        </w:tc>
      </w:tr>
    </w:tbl>
    <w:p>
      <w:pPr>
        <w:pStyle w:val="BodyText"/>
        <w:spacing w:before="6"/>
        <w:rPr>
          <w:rFonts w:ascii="Arial"/>
          <w:sz w:val="35"/>
        </w:rPr>
      </w:pPr>
    </w:p>
    <w:p>
      <w:pPr>
        <w:spacing w:line="276" w:lineRule="auto" w:before="0"/>
        <w:ind w:left="2273" w:right="515" w:firstLine="0"/>
        <w:jc w:val="both"/>
        <w:rPr>
          <w:rFonts w:ascii="Arial" w:hAnsi="Arial"/>
          <w:sz w:val="24"/>
        </w:rPr>
      </w:pPr>
      <w:r>
        <w:rPr>
          <w:rFonts w:ascii="Arial" w:hAnsi="Arial"/>
          <w:sz w:val="24"/>
        </w:rPr>
        <w:t>(*) O Estatuto Social da Companhia determina a distribuição de dividendo mínimo obrigatório de 25% do resultado do período, ajustado na forma da lei.</w:t>
      </w:r>
    </w:p>
    <w:p>
      <w:pPr>
        <w:spacing w:line="276" w:lineRule="auto" w:before="0"/>
        <w:ind w:left="2273" w:right="516" w:firstLine="0"/>
        <w:jc w:val="both"/>
        <w:rPr>
          <w:rFonts w:ascii="Arial" w:hAnsi="Arial"/>
          <w:sz w:val="24"/>
        </w:rPr>
      </w:pPr>
      <w:r>
        <w:rPr>
          <w:rFonts w:ascii="Arial" w:hAnsi="Arial"/>
          <w:sz w:val="24"/>
        </w:rPr>
        <w:t>(**) O saldo remanescente do lucro líquido ajustado não distribuído aos acionistas será destinado como Reserva para Expansão dos Negócios Sociais e posteriormente, será aportado na CEB Distribuição S.A, de acordo com o Plano de Negócios 2020/2024.</w:t>
      </w:r>
    </w:p>
    <w:p>
      <w:pPr>
        <w:pStyle w:val="BodyText"/>
        <w:spacing w:before="7"/>
        <w:rPr>
          <w:rFonts w:ascii="Arial"/>
          <w:sz w:val="27"/>
        </w:rPr>
      </w:pPr>
    </w:p>
    <w:p>
      <w:pPr>
        <w:spacing w:before="0"/>
        <w:ind w:left="2813" w:right="0" w:firstLine="0"/>
        <w:jc w:val="left"/>
        <w:rPr>
          <w:rFonts w:ascii="Arial" w:hAnsi="Arial"/>
          <w:b/>
          <w:sz w:val="24"/>
        </w:rPr>
      </w:pPr>
      <w:r>
        <w:rPr>
          <w:rFonts w:ascii="Arial" w:hAnsi="Arial"/>
          <w:b/>
          <w:sz w:val="24"/>
        </w:rPr>
        <w:t>DEMONSTRATIVO DO VALOR DO DIVIDENDO POR AÇÃO</w:t>
      </w:r>
    </w:p>
    <w:p>
      <w:pPr>
        <w:pStyle w:val="BodyText"/>
        <w:spacing w:line="20" w:lineRule="exact"/>
        <w:ind w:left="2273"/>
        <w:rPr>
          <w:rFonts w:ascii="Arial"/>
          <w:sz w:val="2"/>
        </w:rPr>
      </w:pPr>
      <w:r>
        <w:rPr>
          <w:rFonts w:ascii="Arial"/>
          <w:sz w:val="2"/>
        </w:rPr>
        <w:pict>
          <v:group style="width:391.3pt;height:.5pt;mso-position-horizontal-relative:char;mso-position-vertical-relative:line" coordorigin="0,0" coordsize="7826,10">
            <v:shape style="position:absolute;left:0;top:0;width:7826;height:10" coordorigin="0,0" coordsize="7826,10" path="m4659,0l4650,0,4081,0,4071,0,0,0,0,10,4071,10,4081,10,4650,10,4659,10,4659,0xm6395,0l4659,0,4659,10,6395,10,6395,0xm6405,0l6395,0,6395,10,6405,10,6405,0xm7825,0l6405,0,6405,10,7825,10,7825,0xe" filled="true" fillcolor="#000000" stroked="false">
              <v:path arrowok="t"/>
              <v:fill type="solid"/>
            </v:shape>
          </v:group>
        </w:pict>
      </w:r>
      <w:r>
        <w:rPr>
          <w:rFonts w:ascii="Arial"/>
          <w:sz w:val="2"/>
        </w:rPr>
      </w:r>
    </w:p>
    <w:p>
      <w:pPr>
        <w:tabs>
          <w:tab w:pos="7419" w:val="left" w:leader="none"/>
          <w:tab w:pos="8946" w:val="left" w:leader="none"/>
        </w:tabs>
        <w:spacing w:line="120" w:lineRule="auto" w:before="135"/>
        <w:ind w:left="9155" w:right="663" w:hanging="5728"/>
        <w:jc w:val="left"/>
        <w:rPr>
          <w:rFonts w:ascii="Arial" w:hAnsi="Arial"/>
          <w:sz w:val="22"/>
        </w:rPr>
      </w:pPr>
      <w:r>
        <w:rPr>
          <w:rFonts w:ascii="Arial" w:hAnsi="Arial"/>
          <w:sz w:val="22"/>
        </w:rPr>
        <w:t>Classes de Ações</w:t>
        <w:tab/>
        <w:t>Valores</w:t>
        <w:tab/>
      </w:r>
      <w:r>
        <w:rPr>
          <w:rFonts w:ascii="Arial" w:hAnsi="Arial"/>
          <w:position w:val="13"/>
          <w:sz w:val="22"/>
        </w:rPr>
        <w:t>Valor </w:t>
      </w:r>
      <w:r>
        <w:rPr>
          <w:rFonts w:ascii="Arial" w:hAnsi="Arial"/>
          <w:spacing w:val="-7"/>
          <w:position w:val="13"/>
          <w:sz w:val="22"/>
        </w:rPr>
        <w:t>por </w:t>
      </w:r>
      <w:r>
        <w:rPr>
          <w:rFonts w:ascii="Arial" w:hAnsi="Arial"/>
          <w:sz w:val="22"/>
        </w:rPr>
        <w:t>ação</w:t>
      </w:r>
    </w:p>
    <w:p>
      <w:pPr>
        <w:pStyle w:val="BodyText"/>
        <w:spacing w:before="5"/>
        <w:rPr>
          <w:rFonts w:ascii="Arial"/>
          <w:sz w:val="6"/>
        </w:rPr>
      </w:pPr>
    </w:p>
    <w:tbl>
      <w:tblPr>
        <w:tblW w:w="0" w:type="auto"/>
        <w:jc w:val="left"/>
        <w:tblInd w:w="22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45"/>
        <w:gridCol w:w="670"/>
        <w:gridCol w:w="1970"/>
        <w:gridCol w:w="1147"/>
      </w:tblGrid>
      <w:tr>
        <w:trPr>
          <w:trHeight w:val="282" w:hRule="atLeast"/>
        </w:trPr>
        <w:tc>
          <w:tcPr>
            <w:tcW w:w="4045" w:type="dxa"/>
            <w:tcBorders>
              <w:top w:val="single" w:sz="4" w:space="0" w:color="000000"/>
              <w:bottom w:val="dotted" w:sz="4" w:space="0" w:color="000000"/>
            </w:tcBorders>
          </w:tcPr>
          <w:p>
            <w:pPr>
              <w:pStyle w:val="TableParagraph"/>
              <w:spacing w:line="249" w:lineRule="exact" w:before="14"/>
              <w:ind w:left="115"/>
              <w:rPr>
                <w:rFonts w:ascii="Arial" w:hAnsi="Arial"/>
                <w:sz w:val="22"/>
              </w:rPr>
            </w:pPr>
            <w:r>
              <w:rPr>
                <w:rFonts w:ascii="Arial" w:hAnsi="Arial"/>
                <w:sz w:val="22"/>
              </w:rPr>
              <w:t>Ações Ordinárias Nominativas</w:t>
            </w:r>
          </w:p>
        </w:tc>
        <w:tc>
          <w:tcPr>
            <w:tcW w:w="670" w:type="dxa"/>
            <w:tcBorders>
              <w:top w:val="single" w:sz="4" w:space="0" w:color="000000"/>
              <w:bottom w:val="dotted" w:sz="4" w:space="0" w:color="000000"/>
            </w:tcBorders>
          </w:tcPr>
          <w:p>
            <w:pPr>
              <w:pStyle w:val="TableParagraph"/>
              <w:spacing w:line="249" w:lineRule="exact" w:before="14"/>
              <w:ind w:right="167"/>
              <w:jc w:val="right"/>
              <w:rPr>
                <w:rFonts w:ascii="Arial"/>
                <w:sz w:val="22"/>
              </w:rPr>
            </w:pPr>
            <w:r>
              <w:rPr>
                <w:rFonts w:ascii="Arial"/>
                <w:sz w:val="22"/>
              </w:rPr>
              <w:t>R$</w:t>
            </w:r>
          </w:p>
        </w:tc>
        <w:tc>
          <w:tcPr>
            <w:tcW w:w="1970" w:type="dxa"/>
            <w:tcBorders>
              <w:top w:val="single" w:sz="4" w:space="0" w:color="000000"/>
              <w:bottom w:val="single" w:sz="4" w:space="0" w:color="000000"/>
            </w:tcBorders>
          </w:tcPr>
          <w:p>
            <w:pPr>
              <w:pStyle w:val="TableParagraph"/>
              <w:spacing w:line="249" w:lineRule="exact" w:before="14"/>
              <w:ind w:right="388"/>
              <w:jc w:val="right"/>
              <w:rPr>
                <w:rFonts w:ascii="Arial"/>
                <w:sz w:val="22"/>
              </w:rPr>
            </w:pPr>
            <w:r>
              <w:rPr>
                <w:rFonts w:ascii="Arial"/>
                <w:sz w:val="22"/>
              </w:rPr>
              <w:t>11.984.245,08</w:t>
            </w:r>
          </w:p>
        </w:tc>
        <w:tc>
          <w:tcPr>
            <w:tcW w:w="1147" w:type="dxa"/>
            <w:tcBorders>
              <w:top w:val="single" w:sz="4" w:space="0" w:color="000000"/>
              <w:bottom w:val="single" w:sz="4" w:space="0" w:color="000000"/>
            </w:tcBorders>
          </w:tcPr>
          <w:p>
            <w:pPr>
              <w:pStyle w:val="TableParagraph"/>
              <w:spacing w:line="249" w:lineRule="exact" w:before="14"/>
              <w:ind w:right="78"/>
              <w:jc w:val="right"/>
              <w:rPr>
                <w:rFonts w:ascii="Arial"/>
                <w:sz w:val="22"/>
              </w:rPr>
            </w:pPr>
            <w:r>
              <w:rPr>
                <w:rFonts w:ascii="Arial"/>
                <w:sz w:val="22"/>
              </w:rPr>
              <w:t>1,6681</w:t>
            </w:r>
          </w:p>
        </w:tc>
      </w:tr>
      <w:tr>
        <w:trPr>
          <w:trHeight w:val="285" w:hRule="atLeast"/>
        </w:trPr>
        <w:tc>
          <w:tcPr>
            <w:tcW w:w="4045" w:type="dxa"/>
            <w:tcBorders>
              <w:top w:val="dotted" w:sz="4" w:space="0" w:color="000000"/>
              <w:bottom w:val="dotted" w:sz="4" w:space="0" w:color="000000"/>
            </w:tcBorders>
          </w:tcPr>
          <w:p>
            <w:pPr>
              <w:pStyle w:val="TableParagraph"/>
              <w:spacing w:line="249" w:lineRule="exact" w:before="16"/>
              <w:ind w:left="115"/>
              <w:rPr>
                <w:rFonts w:ascii="Arial" w:hAnsi="Arial"/>
                <w:sz w:val="22"/>
              </w:rPr>
            </w:pPr>
            <w:r>
              <w:rPr>
                <w:rFonts w:ascii="Arial" w:hAnsi="Arial"/>
                <w:sz w:val="22"/>
              </w:rPr>
              <w:t>Ações Preferenciais Classe "A"</w:t>
            </w:r>
          </w:p>
        </w:tc>
        <w:tc>
          <w:tcPr>
            <w:tcW w:w="670" w:type="dxa"/>
            <w:tcBorders>
              <w:top w:val="dotted" w:sz="4" w:space="0" w:color="000000"/>
              <w:bottom w:val="dotted" w:sz="4" w:space="0" w:color="000000"/>
            </w:tcBorders>
          </w:tcPr>
          <w:p>
            <w:pPr>
              <w:pStyle w:val="TableParagraph"/>
              <w:spacing w:line="249" w:lineRule="exact" w:before="16"/>
              <w:ind w:right="167"/>
              <w:jc w:val="right"/>
              <w:rPr>
                <w:rFonts w:ascii="Arial"/>
                <w:sz w:val="22"/>
              </w:rPr>
            </w:pPr>
            <w:r>
              <w:rPr>
                <w:rFonts w:ascii="Arial"/>
                <w:sz w:val="22"/>
              </w:rPr>
              <w:t>R$</w:t>
            </w:r>
          </w:p>
        </w:tc>
        <w:tc>
          <w:tcPr>
            <w:tcW w:w="1970" w:type="dxa"/>
            <w:tcBorders>
              <w:top w:val="single" w:sz="4" w:space="0" w:color="000000"/>
              <w:bottom w:val="single" w:sz="4" w:space="0" w:color="000000"/>
            </w:tcBorders>
          </w:tcPr>
          <w:p>
            <w:pPr>
              <w:pStyle w:val="TableParagraph"/>
              <w:spacing w:line="249" w:lineRule="exact" w:before="16"/>
              <w:ind w:right="388"/>
              <w:jc w:val="right"/>
              <w:rPr>
                <w:rFonts w:ascii="Arial"/>
                <w:sz w:val="22"/>
              </w:rPr>
            </w:pPr>
            <w:r>
              <w:rPr>
                <w:rFonts w:ascii="Arial"/>
                <w:sz w:val="22"/>
              </w:rPr>
              <w:t>5.155.193,39</w:t>
            </w:r>
          </w:p>
        </w:tc>
        <w:tc>
          <w:tcPr>
            <w:tcW w:w="1147" w:type="dxa"/>
            <w:tcBorders>
              <w:top w:val="single" w:sz="4" w:space="0" w:color="000000"/>
              <w:bottom w:val="single" w:sz="4" w:space="0" w:color="000000"/>
            </w:tcBorders>
          </w:tcPr>
          <w:p>
            <w:pPr>
              <w:pStyle w:val="TableParagraph"/>
              <w:spacing w:line="249" w:lineRule="exact" w:before="16"/>
              <w:ind w:right="79"/>
              <w:jc w:val="right"/>
              <w:rPr>
                <w:rFonts w:ascii="Arial"/>
                <w:sz w:val="22"/>
              </w:rPr>
            </w:pPr>
            <w:r>
              <w:rPr>
                <w:rFonts w:ascii="Arial"/>
                <w:sz w:val="22"/>
              </w:rPr>
              <w:t>3,9263</w:t>
            </w:r>
          </w:p>
        </w:tc>
      </w:tr>
      <w:tr>
        <w:trPr>
          <w:trHeight w:val="282" w:hRule="atLeast"/>
        </w:trPr>
        <w:tc>
          <w:tcPr>
            <w:tcW w:w="4045" w:type="dxa"/>
            <w:tcBorders>
              <w:top w:val="dotted" w:sz="4" w:space="0" w:color="000000"/>
              <w:bottom w:val="single" w:sz="4" w:space="0" w:color="000000"/>
            </w:tcBorders>
          </w:tcPr>
          <w:p>
            <w:pPr>
              <w:pStyle w:val="TableParagraph"/>
              <w:spacing w:line="249" w:lineRule="exact" w:before="14"/>
              <w:ind w:left="115"/>
              <w:rPr>
                <w:rFonts w:ascii="Arial" w:hAnsi="Arial"/>
                <w:sz w:val="22"/>
              </w:rPr>
            </w:pPr>
            <w:r>
              <w:rPr>
                <w:rFonts w:ascii="Arial" w:hAnsi="Arial"/>
                <w:sz w:val="22"/>
              </w:rPr>
              <w:t>Ações Preferenciais Classe "B"</w:t>
            </w:r>
          </w:p>
        </w:tc>
        <w:tc>
          <w:tcPr>
            <w:tcW w:w="670" w:type="dxa"/>
            <w:tcBorders>
              <w:top w:val="dotted" w:sz="4" w:space="0" w:color="000000"/>
              <w:bottom w:val="single" w:sz="4" w:space="0" w:color="000000"/>
            </w:tcBorders>
          </w:tcPr>
          <w:p>
            <w:pPr>
              <w:pStyle w:val="TableParagraph"/>
              <w:spacing w:line="249" w:lineRule="exact" w:before="14"/>
              <w:ind w:right="167"/>
              <w:jc w:val="right"/>
              <w:rPr>
                <w:rFonts w:ascii="Arial"/>
                <w:sz w:val="22"/>
              </w:rPr>
            </w:pPr>
            <w:r>
              <w:rPr>
                <w:rFonts w:ascii="Arial"/>
                <w:sz w:val="22"/>
              </w:rPr>
              <w:t>R$</w:t>
            </w:r>
          </w:p>
        </w:tc>
        <w:tc>
          <w:tcPr>
            <w:tcW w:w="1970" w:type="dxa"/>
            <w:tcBorders>
              <w:top w:val="single" w:sz="4" w:space="0" w:color="000000"/>
              <w:bottom w:val="single" w:sz="4" w:space="0" w:color="000000"/>
            </w:tcBorders>
          </w:tcPr>
          <w:p>
            <w:pPr>
              <w:pStyle w:val="TableParagraph"/>
              <w:spacing w:line="249" w:lineRule="exact" w:before="14"/>
              <w:ind w:right="388"/>
              <w:jc w:val="right"/>
              <w:rPr>
                <w:rFonts w:ascii="Arial"/>
                <w:sz w:val="22"/>
              </w:rPr>
            </w:pPr>
            <w:r>
              <w:rPr>
                <w:rFonts w:ascii="Arial"/>
                <w:sz w:val="22"/>
              </w:rPr>
              <w:t>10.861.492,77</w:t>
            </w:r>
          </w:p>
        </w:tc>
        <w:tc>
          <w:tcPr>
            <w:tcW w:w="1147" w:type="dxa"/>
            <w:tcBorders>
              <w:top w:val="single" w:sz="4" w:space="0" w:color="000000"/>
              <w:bottom w:val="single" w:sz="4" w:space="0" w:color="000000"/>
            </w:tcBorders>
          </w:tcPr>
          <w:p>
            <w:pPr>
              <w:pStyle w:val="TableParagraph"/>
              <w:spacing w:line="249" w:lineRule="exact" w:before="14"/>
              <w:ind w:right="78"/>
              <w:jc w:val="right"/>
              <w:rPr>
                <w:rFonts w:ascii="Arial"/>
                <w:sz w:val="22"/>
              </w:rPr>
            </w:pPr>
            <w:r>
              <w:rPr>
                <w:rFonts w:ascii="Arial"/>
                <w:sz w:val="22"/>
              </w:rPr>
              <w:t>1,8350</w:t>
            </w:r>
          </w:p>
        </w:tc>
      </w:tr>
      <w:tr>
        <w:trPr>
          <w:trHeight w:val="285" w:hRule="atLeast"/>
        </w:trPr>
        <w:tc>
          <w:tcPr>
            <w:tcW w:w="4045" w:type="dxa"/>
            <w:tcBorders>
              <w:top w:val="single" w:sz="4" w:space="0" w:color="000000"/>
              <w:bottom w:val="single" w:sz="4" w:space="0" w:color="000000"/>
            </w:tcBorders>
          </w:tcPr>
          <w:p>
            <w:pPr>
              <w:pStyle w:val="TableParagraph"/>
              <w:spacing w:line="249" w:lineRule="exact" w:before="16"/>
              <w:ind w:left="115"/>
              <w:rPr>
                <w:rFonts w:ascii="Arial" w:hAnsi="Arial"/>
                <w:sz w:val="22"/>
              </w:rPr>
            </w:pPr>
            <w:r>
              <w:rPr>
                <w:rFonts w:ascii="Arial" w:hAnsi="Arial"/>
                <w:sz w:val="22"/>
              </w:rPr>
              <w:t>Total dos Dividendos - Exercício 2018</w:t>
            </w:r>
          </w:p>
        </w:tc>
        <w:tc>
          <w:tcPr>
            <w:tcW w:w="670" w:type="dxa"/>
            <w:tcBorders>
              <w:top w:val="single" w:sz="4" w:space="0" w:color="000000"/>
              <w:bottom w:val="single" w:sz="4" w:space="0" w:color="000000"/>
            </w:tcBorders>
          </w:tcPr>
          <w:p>
            <w:pPr>
              <w:pStyle w:val="TableParagraph"/>
              <w:spacing w:line="249" w:lineRule="exact" w:before="16"/>
              <w:ind w:right="167"/>
              <w:jc w:val="right"/>
              <w:rPr>
                <w:rFonts w:ascii="Arial"/>
                <w:sz w:val="22"/>
              </w:rPr>
            </w:pPr>
            <w:r>
              <w:rPr>
                <w:rFonts w:ascii="Arial"/>
                <w:sz w:val="22"/>
              </w:rPr>
              <w:t>R$</w:t>
            </w:r>
          </w:p>
        </w:tc>
        <w:tc>
          <w:tcPr>
            <w:tcW w:w="1970" w:type="dxa"/>
            <w:tcBorders>
              <w:top w:val="single" w:sz="4" w:space="0" w:color="000000"/>
              <w:bottom w:val="single" w:sz="4" w:space="0" w:color="000000"/>
            </w:tcBorders>
          </w:tcPr>
          <w:p>
            <w:pPr>
              <w:pStyle w:val="TableParagraph"/>
              <w:spacing w:line="249" w:lineRule="exact" w:before="16"/>
              <w:ind w:right="388"/>
              <w:jc w:val="right"/>
              <w:rPr>
                <w:rFonts w:ascii="Arial"/>
                <w:sz w:val="22"/>
              </w:rPr>
            </w:pPr>
            <w:r>
              <w:rPr>
                <w:rFonts w:ascii="Arial"/>
                <w:sz w:val="22"/>
              </w:rPr>
              <w:t>28.000.931,24</w:t>
            </w:r>
          </w:p>
        </w:tc>
        <w:tc>
          <w:tcPr>
            <w:tcW w:w="1147" w:type="dxa"/>
            <w:tcBorders>
              <w:top w:val="single" w:sz="4" w:space="0" w:color="000000"/>
              <w:bottom w:val="single" w:sz="4" w:space="0" w:color="000000"/>
            </w:tcBorders>
          </w:tcPr>
          <w:p>
            <w:pPr>
              <w:pStyle w:val="TableParagraph"/>
              <w:rPr>
                <w:rFonts w:ascii="Times New Roman"/>
                <w:sz w:val="20"/>
              </w:rPr>
            </w:pPr>
          </w:p>
        </w:tc>
      </w:tr>
    </w:tbl>
    <w:p>
      <w:pPr>
        <w:pStyle w:val="BodyText"/>
        <w:rPr>
          <w:rFonts w:ascii="Arial"/>
          <w:sz w:val="24"/>
        </w:rPr>
      </w:pPr>
    </w:p>
    <w:p>
      <w:pPr>
        <w:pStyle w:val="BodyText"/>
        <w:rPr>
          <w:rFonts w:ascii="Arial"/>
          <w:sz w:val="34"/>
        </w:rPr>
      </w:pPr>
    </w:p>
    <w:p>
      <w:pPr>
        <w:spacing w:before="1"/>
        <w:ind w:left="2302" w:right="0" w:firstLine="0"/>
        <w:jc w:val="both"/>
        <w:rPr>
          <w:rFonts w:ascii="Arial" w:hAnsi="Arial"/>
          <w:sz w:val="25"/>
        </w:rPr>
      </w:pPr>
      <w:r>
        <w:rPr>
          <w:rFonts w:ascii="Arial" w:hAnsi="Arial"/>
          <w:sz w:val="25"/>
        </w:rPr>
        <w:t>Em seguida, a Diretoria determinou o encaminhamento da matéria à</w:t>
      </w:r>
    </w:p>
    <w:p>
      <w:pPr>
        <w:spacing w:after="0"/>
        <w:jc w:val="both"/>
        <w:rPr>
          <w:rFonts w:ascii="Arial" w:hAnsi="Arial"/>
          <w:sz w:val="25"/>
        </w:rPr>
        <w:sectPr>
          <w:headerReference w:type="default" r:id="rId91"/>
          <w:footerReference w:type="default" r:id="rId92"/>
          <w:pgSz w:w="11910" w:h="16850"/>
          <w:pgMar w:header="573" w:footer="773" w:top="1500" w:bottom="960" w:left="960" w:right="440"/>
        </w:sectPr>
      </w:pPr>
    </w:p>
    <w:p>
      <w:pPr>
        <w:pStyle w:val="BodyText"/>
        <w:spacing w:before="9"/>
        <w:rPr>
          <w:rFonts w:ascii="Arial"/>
          <w:sz w:val="18"/>
        </w:rPr>
      </w:pPr>
    </w:p>
    <w:p>
      <w:pPr>
        <w:pStyle w:val="BodyText"/>
        <w:spacing w:line="148" w:lineRule="exact"/>
        <w:ind w:left="172"/>
        <w:rPr>
          <w:rFonts w:ascii="Arial"/>
          <w:sz w:val="14"/>
        </w:rPr>
      </w:pPr>
      <w:r>
        <w:rPr>
          <w:rFonts w:ascii="Arial"/>
          <w:position w:val="-2"/>
          <w:sz w:val="14"/>
        </w:rPr>
        <w:pict>
          <v:group style="width:496.3pt;height:7.45pt;mso-position-horizontal-relative:char;mso-position-vertical-relative:line" coordorigin="0,0" coordsize="9926,149">
            <v:rect style="position:absolute;left:0;top:0;width:9926;height:149" filled="true" fillcolor="#bebebe" stroked="false">
              <v:fill type="solid"/>
            </v:rect>
          </v:group>
        </w:pict>
      </w:r>
      <w:r>
        <w:rPr>
          <w:rFonts w:ascii="Arial"/>
          <w:position w:val="-2"/>
          <w:sz w:val="14"/>
        </w:rPr>
      </w:r>
    </w:p>
    <w:p>
      <w:pPr>
        <w:spacing w:before="61"/>
        <w:ind w:left="319" w:right="0" w:firstLine="0"/>
        <w:jc w:val="left"/>
        <w:rPr>
          <w:rFonts w:ascii="Arial" w:hAnsi="Arial"/>
          <w:sz w:val="24"/>
        </w:rPr>
      </w:pPr>
      <w:r>
        <w:rPr>
          <w:rFonts w:ascii="Arial" w:hAnsi="Arial"/>
          <w:sz w:val="24"/>
        </w:rPr>
        <w:t>REFERÊNCIA:</w:t>
      </w:r>
    </w:p>
    <w:p>
      <w:pPr>
        <w:spacing w:before="120"/>
        <w:ind w:left="319" w:right="0" w:firstLine="0"/>
        <w:jc w:val="left"/>
        <w:rPr>
          <w:rFonts w:ascii="Arial" w:hAnsi="Arial"/>
          <w:sz w:val="24"/>
        </w:rPr>
      </w:pPr>
      <w:r>
        <w:rPr>
          <w:rFonts w:ascii="Arial" w:hAnsi="Arial"/>
          <w:sz w:val="24"/>
        </w:rPr>
        <w:t>90ª REUNIÃO EXTRAORDINÁRIA</w:t>
      </w:r>
    </w:p>
    <w:p>
      <w:pPr>
        <w:spacing w:before="120"/>
        <w:ind w:left="319" w:right="0" w:firstLine="0"/>
        <w:jc w:val="left"/>
        <w:rPr>
          <w:rFonts w:ascii="Arial" w:hAnsi="Arial"/>
          <w:sz w:val="24"/>
        </w:rPr>
      </w:pPr>
      <w:r>
        <w:rPr/>
        <w:pict>
          <v:rect style="position:absolute;margin-left:56.040001pt;margin-top:36.69585pt;width:496.9pt;height:.72pt;mso-position-horizontal-relative:page;mso-position-vertical-relative:paragraph;z-index:-15664640;mso-wrap-distance-left:0;mso-wrap-distance-right:0" filled="true" fillcolor="#000000" stroked="false">
            <v:fill type="solid"/>
            <w10:wrap type="topAndBottom"/>
          </v:rect>
        </w:pict>
      </w:r>
      <w:r>
        <w:rPr>
          <w:rFonts w:ascii="Arial" w:hAnsi="Arial"/>
          <w:sz w:val="24"/>
        </w:rPr>
        <w:t>RELATOR: Alexandre Guimarães, Diretor Administrativo-Financeiro e de Relações com Investidores</w:t>
      </w:r>
    </w:p>
    <w:p>
      <w:pPr>
        <w:pStyle w:val="BodyText"/>
        <w:spacing w:before="3"/>
        <w:rPr>
          <w:rFonts w:ascii="Arial"/>
          <w:sz w:val="12"/>
        </w:rPr>
      </w:pPr>
    </w:p>
    <w:p>
      <w:pPr>
        <w:spacing w:line="360" w:lineRule="auto" w:before="92"/>
        <w:ind w:left="2302" w:right="517" w:firstLine="0"/>
        <w:jc w:val="both"/>
        <w:rPr>
          <w:rFonts w:ascii="Arial" w:hAnsi="Arial"/>
          <w:sz w:val="24"/>
        </w:rPr>
      </w:pPr>
      <w:r>
        <w:rPr>
          <w:rFonts w:ascii="Arial" w:hAnsi="Arial"/>
          <w:sz w:val="25"/>
        </w:rPr>
        <w:t>apreciação do Conselho de Administração e do Conselho Fiscal da CEB, com vistas à deliberação da Assembleia Geral Ordinária dos acionistas</w:t>
      </w:r>
      <w:r>
        <w:rPr>
          <w:rFonts w:ascii="Arial" w:hAnsi="Arial"/>
          <w:sz w:val="24"/>
        </w:rPr>
        <w:t>.</w: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spacing w:after="0"/>
        <w:rPr>
          <w:rFonts w:ascii="Arial"/>
        </w:rPr>
        <w:sectPr>
          <w:pgSz w:w="11910" w:h="16850"/>
          <w:pgMar w:header="573" w:footer="773" w:top="1500" w:bottom="960" w:left="960" w:right="440"/>
        </w:sectPr>
      </w:pPr>
    </w:p>
    <w:p>
      <w:pPr>
        <w:pStyle w:val="BodyText"/>
        <w:spacing w:before="1"/>
        <w:rPr>
          <w:rFonts w:ascii="Arial"/>
          <w:sz w:val="22"/>
        </w:rPr>
      </w:pPr>
    </w:p>
    <w:p>
      <w:pPr>
        <w:spacing w:before="0"/>
        <w:ind w:left="289" w:right="19" w:firstLine="0"/>
        <w:jc w:val="center"/>
        <w:rPr>
          <w:rFonts w:ascii="Arial" w:hAnsi="Arial"/>
          <w:b/>
          <w:sz w:val="24"/>
        </w:rPr>
      </w:pPr>
      <w:r>
        <w:rPr>
          <w:rFonts w:ascii="Arial" w:hAnsi="Arial"/>
          <w:b/>
          <w:sz w:val="24"/>
        </w:rPr>
        <w:t>EDISON ANTÔNIO COSTA BRITTO GARCIA</w:t>
      </w:r>
    </w:p>
    <w:p>
      <w:pPr>
        <w:spacing w:before="41"/>
        <w:ind w:left="289" w:right="16" w:firstLine="0"/>
        <w:jc w:val="center"/>
        <w:rPr>
          <w:rFonts w:ascii="Arial"/>
          <w:i/>
          <w:sz w:val="21"/>
        </w:rPr>
      </w:pPr>
      <w:r>
        <w:rPr>
          <w:rFonts w:ascii="Arial"/>
          <w:i/>
          <w:sz w:val="21"/>
        </w:rPr>
        <w:t>Diretor-Presidente</w:t>
      </w:r>
    </w:p>
    <w:p>
      <w:pPr>
        <w:pStyle w:val="BodyText"/>
        <w:spacing w:before="1"/>
        <w:rPr>
          <w:rFonts w:ascii="Arial"/>
          <w:i/>
          <w:sz w:val="22"/>
        </w:rPr>
      </w:pPr>
      <w:r>
        <w:rPr/>
        <w:br w:type="column"/>
      </w:r>
      <w:r>
        <w:rPr>
          <w:rFonts w:ascii="Arial"/>
          <w:i/>
          <w:sz w:val="22"/>
        </w:rPr>
      </w:r>
    </w:p>
    <w:p>
      <w:pPr>
        <w:spacing w:before="0"/>
        <w:ind w:left="310" w:right="981" w:firstLine="0"/>
        <w:jc w:val="center"/>
        <w:rPr>
          <w:rFonts w:ascii="Arial" w:hAnsi="Arial"/>
          <w:b/>
          <w:sz w:val="24"/>
        </w:rPr>
      </w:pPr>
      <w:r>
        <w:rPr>
          <w:rFonts w:ascii="Arial" w:hAnsi="Arial"/>
          <w:b/>
          <w:sz w:val="24"/>
        </w:rPr>
        <w:t>ALEXANDRE GUIMARÃES</w:t>
      </w:r>
    </w:p>
    <w:p>
      <w:pPr>
        <w:spacing w:line="276" w:lineRule="auto" w:before="41"/>
        <w:ind w:left="310" w:right="982" w:firstLine="0"/>
        <w:jc w:val="center"/>
        <w:rPr>
          <w:rFonts w:ascii="Arial" w:hAnsi="Arial"/>
          <w:i/>
          <w:sz w:val="21"/>
        </w:rPr>
      </w:pPr>
      <w:r>
        <w:rPr>
          <w:rFonts w:ascii="Arial" w:hAnsi="Arial"/>
          <w:i/>
          <w:sz w:val="21"/>
        </w:rPr>
        <w:t>Diretor Administrativo-Financeiro e de </w:t>
      </w:r>
      <w:r>
        <w:rPr>
          <w:rFonts w:ascii="Arial" w:hAnsi="Arial"/>
          <w:i/>
          <w:sz w:val="21"/>
        </w:rPr>
        <w:t>Relações com Investidores</w:t>
      </w:r>
    </w:p>
    <w:p>
      <w:pPr>
        <w:spacing w:after="0" w:line="276" w:lineRule="auto"/>
        <w:jc w:val="center"/>
        <w:rPr>
          <w:rFonts w:ascii="Arial" w:hAnsi="Arial"/>
          <w:sz w:val="21"/>
        </w:rPr>
        <w:sectPr>
          <w:type w:val="continuous"/>
          <w:pgSz w:w="11910" w:h="16850"/>
          <w:pgMar w:top="1600" w:bottom="280" w:left="960" w:right="440"/>
          <w:cols w:num="2" w:equalWidth="0">
            <w:col w:w="5322" w:space="362"/>
            <w:col w:w="4826"/>
          </w:cols>
        </w:sectPr>
      </w:pPr>
    </w:p>
    <w:p>
      <w:pPr>
        <w:pStyle w:val="BodyText"/>
        <w:rPr>
          <w:rFonts w:ascii="Arial"/>
          <w:i/>
        </w:rPr>
      </w:pPr>
    </w:p>
    <w:p>
      <w:pPr>
        <w:pStyle w:val="BodyText"/>
        <w:rPr>
          <w:rFonts w:ascii="Arial"/>
          <w:i/>
        </w:rPr>
      </w:pPr>
    </w:p>
    <w:p>
      <w:pPr>
        <w:pStyle w:val="BodyText"/>
        <w:rPr>
          <w:rFonts w:ascii="Arial"/>
          <w:i/>
        </w:rPr>
      </w:pPr>
    </w:p>
    <w:p>
      <w:pPr>
        <w:pStyle w:val="BodyText"/>
        <w:rPr>
          <w:rFonts w:ascii="Arial"/>
          <w:i/>
        </w:rPr>
      </w:pPr>
    </w:p>
    <w:p>
      <w:pPr>
        <w:spacing w:after="0"/>
        <w:rPr>
          <w:rFonts w:ascii="Arial"/>
        </w:rPr>
        <w:sectPr>
          <w:type w:val="continuous"/>
          <w:pgSz w:w="11910" w:h="16850"/>
          <w:pgMar w:top="1600" w:bottom="280" w:left="960" w:right="440"/>
        </w:sectPr>
      </w:pPr>
    </w:p>
    <w:p>
      <w:pPr>
        <w:spacing w:before="225"/>
        <w:ind w:left="357" w:right="20" w:firstLine="0"/>
        <w:jc w:val="center"/>
        <w:rPr>
          <w:rFonts w:ascii="Arial"/>
          <w:b/>
          <w:sz w:val="24"/>
        </w:rPr>
      </w:pPr>
      <w:r>
        <w:rPr>
          <w:rFonts w:ascii="Arial"/>
          <w:b/>
          <w:sz w:val="24"/>
        </w:rPr>
        <w:t>FAUSTO DE PAULA MENEZES BANDEIRA</w:t>
      </w:r>
    </w:p>
    <w:p>
      <w:pPr>
        <w:spacing w:before="40"/>
        <w:ind w:left="356" w:right="20" w:firstLine="0"/>
        <w:jc w:val="center"/>
        <w:rPr>
          <w:rFonts w:ascii="Arial" w:hAnsi="Arial"/>
          <w:i/>
          <w:sz w:val="21"/>
        </w:rPr>
      </w:pPr>
      <w:r>
        <w:rPr>
          <w:rFonts w:ascii="Arial" w:hAnsi="Arial"/>
          <w:i/>
          <w:sz w:val="21"/>
        </w:rPr>
        <w:t>Diretor de Planejamento e de Gestão de Riscos</w:t>
      </w:r>
    </w:p>
    <w:p>
      <w:pPr>
        <w:spacing w:before="225"/>
        <w:ind w:left="360" w:right="1134" w:firstLine="0"/>
        <w:jc w:val="center"/>
        <w:rPr>
          <w:rFonts w:ascii="Arial"/>
          <w:b/>
          <w:sz w:val="24"/>
        </w:rPr>
      </w:pPr>
      <w:r>
        <w:rPr/>
        <w:br w:type="column"/>
      </w:r>
      <w:r>
        <w:rPr>
          <w:rFonts w:ascii="Arial"/>
          <w:b/>
          <w:sz w:val="24"/>
        </w:rPr>
        <w:t>FABIANO CARDOSO PINTO</w:t>
      </w:r>
    </w:p>
    <w:p>
      <w:pPr>
        <w:spacing w:before="40"/>
        <w:ind w:left="358" w:right="1134" w:firstLine="0"/>
        <w:jc w:val="center"/>
        <w:rPr>
          <w:rFonts w:ascii="Arial" w:hAnsi="Arial"/>
          <w:i/>
          <w:sz w:val="21"/>
        </w:rPr>
      </w:pPr>
      <w:r>
        <w:rPr>
          <w:rFonts w:ascii="Arial" w:hAnsi="Arial"/>
          <w:i/>
          <w:sz w:val="21"/>
        </w:rPr>
        <w:t>Diretor Técnico</w:t>
      </w:r>
    </w:p>
    <w:p>
      <w:pPr>
        <w:spacing w:after="0"/>
        <w:jc w:val="center"/>
        <w:rPr>
          <w:rFonts w:ascii="Arial" w:hAnsi="Arial"/>
          <w:sz w:val="21"/>
        </w:rPr>
        <w:sectPr>
          <w:type w:val="continuous"/>
          <w:pgSz w:w="11910" w:h="16850"/>
          <w:pgMar w:top="1600" w:bottom="280" w:left="960" w:right="440"/>
          <w:cols w:num="2" w:equalWidth="0">
            <w:col w:w="5259" w:space="529"/>
            <w:col w:w="4722"/>
          </w:cols>
        </w:sectPr>
      </w:pPr>
    </w:p>
    <w:p>
      <w:pPr>
        <w:spacing w:before="64"/>
        <w:ind w:left="2870" w:right="0" w:firstLine="0"/>
        <w:jc w:val="left"/>
        <w:rPr>
          <w:rFonts w:ascii="Arial"/>
          <w:sz w:val="23"/>
        </w:rPr>
      </w:pPr>
      <w:r>
        <w:rPr/>
        <w:drawing>
          <wp:anchor distT="0" distB="0" distL="0" distR="0" allowOverlap="1" layoutInCell="1" locked="0" behindDoc="0" simplePos="0" relativeHeight="15793152">
            <wp:simplePos x="0" y="0"/>
            <wp:positionH relativeFrom="page">
              <wp:posOffset>859305</wp:posOffset>
            </wp:positionH>
            <wp:positionV relativeFrom="paragraph">
              <wp:posOffset>3888</wp:posOffset>
            </wp:positionV>
            <wp:extent cx="1192971" cy="585243"/>
            <wp:effectExtent l="0" t="0" r="0" b="0"/>
            <wp:wrapNone/>
            <wp:docPr id="87" name="image17.png"/>
            <wp:cNvGraphicFramePr>
              <a:graphicFrameLocks noChangeAspect="1"/>
            </wp:cNvGraphicFramePr>
            <a:graphic>
              <a:graphicData uri="http://schemas.openxmlformats.org/drawingml/2006/picture">
                <pic:pic>
                  <pic:nvPicPr>
                    <pic:cNvPr id="88" name="image17.png"/>
                    <pic:cNvPicPr/>
                  </pic:nvPicPr>
                  <pic:blipFill>
                    <a:blip r:embed="rId95" cstate="print"/>
                    <a:stretch>
                      <a:fillRect/>
                    </a:stretch>
                  </pic:blipFill>
                  <pic:spPr>
                    <a:xfrm>
                      <a:off x="0" y="0"/>
                      <a:ext cx="1192971" cy="585243"/>
                    </a:xfrm>
                    <a:prstGeom prst="rect">
                      <a:avLst/>
                    </a:prstGeom>
                  </pic:spPr>
                </pic:pic>
              </a:graphicData>
            </a:graphic>
          </wp:anchor>
        </w:drawing>
      </w:r>
      <w:r>
        <w:rPr>
          <w:rFonts w:ascii="Arial"/>
          <w:sz w:val="23"/>
        </w:rPr>
        <w:t>C O M P A N H I A E N E R G E </w:t>
      </w:r>
      <w:r>
        <w:rPr>
          <w:rFonts w:ascii="Arial"/>
          <w:spacing w:val="13"/>
          <w:sz w:val="23"/>
        </w:rPr>
        <w:t>TI </w:t>
      </w:r>
      <w:r>
        <w:rPr>
          <w:rFonts w:ascii="Arial"/>
          <w:sz w:val="23"/>
        </w:rPr>
        <w:t>CA D E</w:t>
      </w:r>
      <w:r>
        <w:rPr>
          <w:rFonts w:ascii="Arial"/>
          <w:spacing w:val="61"/>
          <w:sz w:val="23"/>
        </w:rPr>
        <w:t> </w:t>
      </w:r>
      <w:r>
        <w:rPr>
          <w:rFonts w:ascii="Arial"/>
          <w:sz w:val="23"/>
        </w:rPr>
        <w:t>B R A S I LI A - C E B</w:t>
      </w:r>
    </w:p>
    <w:p>
      <w:pPr>
        <w:pStyle w:val="BodyText"/>
        <w:spacing w:before="5"/>
        <w:rPr>
          <w:rFonts w:ascii="Arial"/>
          <w:sz w:val="27"/>
        </w:rPr>
      </w:pPr>
    </w:p>
    <w:p>
      <w:pPr>
        <w:spacing w:before="0"/>
        <w:ind w:left="2866" w:right="0" w:firstLine="0"/>
        <w:jc w:val="left"/>
        <w:rPr>
          <w:rFonts w:ascii="Arial"/>
          <w:sz w:val="31"/>
        </w:rPr>
      </w:pPr>
      <w:r>
        <w:rPr>
          <w:rFonts w:ascii="Arial"/>
          <w:sz w:val="31"/>
        </w:rPr>
        <w:t>C 0 </w:t>
      </w:r>
      <w:r>
        <w:rPr>
          <w:rFonts w:ascii="Arial"/>
          <w:spacing w:val="7"/>
          <w:sz w:val="31"/>
        </w:rPr>
        <w:t>MIT </w:t>
      </w:r>
      <w:r>
        <w:rPr>
          <w:rFonts w:ascii="Arial"/>
          <w:sz w:val="31"/>
        </w:rPr>
        <w:t>E </w:t>
      </w:r>
      <w:r>
        <w:rPr>
          <w:rFonts w:ascii="Arial"/>
          <w:spacing w:val="18"/>
          <w:sz w:val="31"/>
        </w:rPr>
        <w:t>DE </w:t>
      </w:r>
      <w:r>
        <w:rPr>
          <w:rFonts w:ascii="Arial"/>
          <w:sz w:val="31"/>
        </w:rPr>
        <w:t>AU DIT 0 RIA E STAT U TA RI</w:t>
      </w:r>
      <w:r>
        <w:rPr>
          <w:rFonts w:ascii="Arial"/>
          <w:spacing w:val="-74"/>
          <w:sz w:val="31"/>
        </w:rPr>
        <w:t> </w:t>
      </w:r>
      <w:r>
        <w:rPr>
          <w:rFonts w:ascii="Arial"/>
          <w:sz w:val="31"/>
        </w:rPr>
        <w:t>0</w:t>
      </w:r>
    </w:p>
    <w:p>
      <w:pPr>
        <w:pStyle w:val="BodyText"/>
        <w:rPr>
          <w:rFonts w:ascii="Arial"/>
        </w:rPr>
      </w:pPr>
    </w:p>
    <w:p>
      <w:pPr>
        <w:pStyle w:val="BodyText"/>
        <w:rPr>
          <w:rFonts w:ascii="Arial"/>
        </w:rPr>
      </w:pPr>
    </w:p>
    <w:p>
      <w:pPr>
        <w:spacing w:before="227"/>
        <w:ind w:left="1616" w:right="1543" w:firstLine="0"/>
        <w:jc w:val="center"/>
        <w:rPr>
          <w:rFonts w:ascii="Arial"/>
          <w:b/>
          <w:sz w:val="28"/>
        </w:rPr>
      </w:pPr>
      <w:r>
        <w:rPr>
          <w:rFonts w:ascii="Arial"/>
          <w:sz w:val="28"/>
        </w:rPr>
        <w:t>PARECER DO COMITE DE </w:t>
      </w:r>
      <w:r>
        <w:rPr>
          <w:rFonts w:ascii="Arial"/>
          <w:b/>
          <w:sz w:val="28"/>
        </w:rPr>
        <w:t>AUDITORIA</w:t>
      </w:r>
      <w:r>
        <w:rPr>
          <w:rFonts w:ascii="Arial"/>
          <w:b/>
          <w:spacing w:val="54"/>
          <w:sz w:val="28"/>
        </w:rPr>
        <w:t> </w:t>
      </w:r>
      <w:r>
        <w:rPr>
          <w:rFonts w:ascii="Arial"/>
          <w:b/>
          <w:sz w:val="28"/>
        </w:rPr>
        <w:t>ESTATUTARIO</w:t>
      </w:r>
    </w:p>
    <w:p>
      <w:pPr>
        <w:pStyle w:val="BodyText"/>
        <w:rPr>
          <w:rFonts w:ascii="Arial"/>
          <w:b/>
          <w:sz w:val="30"/>
        </w:rPr>
      </w:pPr>
    </w:p>
    <w:p>
      <w:pPr>
        <w:spacing w:line="348" w:lineRule="auto" w:before="211"/>
        <w:ind w:left="243" w:right="130" w:firstLine="704"/>
        <w:jc w:val="both"/>
        <w:rPr>
          <w:rFonts w:ascii="Arial" w:hAnsi="Arial"/>
          <w:sz w:val="25"/>
        </w:rPr>
      </w:pPr>
      <w:r>
        <w:rPr>
          <w:rFonts w:ascii="Arial" w:hAnsi="Arial"/>
          <w:sz w:val="25"/>
        </w:rPr>
        <w:t>O Comité de Auditoria Estatutârio da Companhia Energética de Brasilia </w:t>
      </w:r>
      <w:r>
        <w:rPr>
          <w:rFonts w:ascii="Arial" w:hAnsi="Arial"/>
          <w:w w:val="95"/>
          <w:sz w:val="25"/>
        </w:rPr>
        <w:t>— </w:t>
      </w:r>
      <w:r>
        <w:rPr>
          <w:rFonts w:ascii="Arial" w:hAnsi="Arial"/>
          <w:sz w:val="25"/>
        </w:rPr>
        <w:t>CEB-H, orgâo</w:t>
      </w:r>
      <w:r>
        <w:rPr>
          <w:rFonts w:ascii="Arial" w:hAnsi="Arial"/>
          <w:spacing w:val="-8"/>
          <w:sz w:val="25"/>
        </w:rPr>
        <w:t> </w:t>
      </w:r>
      <w:r>
        <w:rPr>
          <w:rFonts w:ascii="Arial" w:hAnsi="Arial"/>
          <w:sz w:val="25"/>
        </w:rPr>
        <w:t>assessor</w:t>
      </w:r>
      <w:r>
        <w:rPr>
          <w:rFonts w:ascii="Arial" w:hAnsi="Arial"/>
          <w:spacing w:val="3"/>
          <w:sz w:val="25"/>
        </w:rPr>
        <w:t> </w:t>
      </w:r>
      <w:r>
        <w:rPr>
          <w:rFonts w:ascii="Arial" w:hAnsi="Arial"/>
          <w:sz w:val="25"/>
        </w:rPr>
        <w:t>do</w:t>
      </w:r>
      <w:r>
        <w:rPr>
          <w:rFonts w:ascii="Arial" w:hAnsi="Arial"/>
          <w:spacing w:val="-10"/>
          <w:sz w:val="25"/>
        </w:rPr>
        <w:t> </w:t>
      </w:r>
      <w:r>
        <w:rPr>
          <w:rFonts w:ascii="Arial" w:hAnsi="Arial"/>
          <w:sz w:val="25"/>
        </w:rPr>
        <w:t>Conselho</w:t>
      </w:r>
      <w:r>
        <w:rPr>
          <w:rFonts w:ascii="Arial" w:hAnsi="Arial"/>
          <w:spacing w:val="-2"/>
          <w:sz w:val="25"/>
        </w:rPr>
        <w:t> </w:t>
      </w:r>
      <w:r>
        <w:rPr>
          <w:rFonts w:ascii="Arial" w:hAnsi="Arial"/>
          <w:sz w:val="25"/>
        </w:rPr>
        <w:t>de</w:t>
      </w:r>
      <w:r>
        <w:rPr>
          <w:rFonts w:ascii="Arial" w:hAnsi="Arial"/>
          <w:spacing w:val="-16"/>
          <w:sz w:val="25"/>
        </w:rPr>
        <w:t> </w:t>
      </w:r>
      <w:r>
        <w:rPr>
          <w:rFonts w:ascii="Arial" w:hAnsi="Arial"/>
          <w:sz w:val="25"/>
        </w:rPr>
        <w:t>Administragâo</w:t>
      </w:r>
      <w:r>
        <w:rPr>
          <w:rFonts w:ascii="Arial" w:hAnsi="Arial"/>
          <w:spacing w:val="7"/>
          <w:sz w:val="25"/>
        </w:rPr>
        <w:t> </w:t>
      </w:r>
      <w:r>
        <w:rPr>
          <w:rFonts w:ascii="Arial" w:hAnsi="Arial"/>
          <w:sz w:val="25"/>
        </w:rPr>
        <w:t>da</w:t>
      </w:r>
      <w:r>
        <w:rPr>
          <w:rFonts w:ascii="Arial" w:hAnsi="Arial"/>
          <w:spacing w:val="-5"/>
          <w:sz w:val="25"/>
        </w:rPr>
        <w:t> </w:t>
      </w:r>
      <w:r>
        <w:rPr>
          <w:rFonts w:ascii="Arial" w:hAnsi="Arial"/>
          <w:sz w:val="25"/>
        </w:rPr>
        <w:t>CEB,</w:t>
      </w:r>
      <w:r>
        <w:rPr>
          <w:rFonts w:ascii="Arial" w:hAnsi="Arial"/>
          <w:spacing w:val="-8"/>
          <w:sz w:val="25"/>
        </w:rPr>
        <w:t> </w:t>
      </w:r>
      <w:r>
        <w:rPr>
          <w:rFonts w:ascii="Arial" w:hAnsi="Arial"/>
          <w:sz w:val="25"/>
        </w:rPr>
        <w:t>no</w:t>
      </w:r>
      <w:r>
        <w:rPr>
          <w:rFonts w:ascii="Arial" w:hAnsi="Arial"/>
          <w:spacing w:val="-12"/>
          <w:sz w:val="25"/>
        </w:rPr>
        <w:t> </w:t>
      </w:r>
      <w:r>
        <w:rPr>
          <w:rFonts w:ascii="Arial" w:hAnsi="Arial"/>
          <w:sz w:val="25"/>
        </w:rPr>
        <w:t>exercicio de</w:t>
      </w:r>
      <w:r>
        <w:rPr>
          <w:rFonts w:ascii="Arial" w:hAnsi="Arial"/>
          <w:spacing w:val="-12"/>
          <w:sz w:val="25"/>
        </w:rPr>
        <w:t> </w:t>
      </w:r>
      <w:r>
        <w:rPr>
          <w:rFonts w:ascii="Arial" w:hAnsi="Arial"/>
          <w:sz w:val="25"/>
        </w:rPr>
        <w:t>suas</w:t>
      </w:r>
      <w:r>
        <w:rPr>
          <w:rFonts w:ascii="Arial" w:hAnsi="Arial"/>
          <w:spacing w:val="-3"/>
          <w:sz w:val="25"/>
        </w:rPr>
        <w:t> </w:t>
      </w:r>
      <w:r>
        <w:rPr>
          <w:rFonts w:ascii="Arial" w:hAnsi="Arial"/>
          <w:sz w:val="25"/>
        </w:rPr>
        <w:t>atividades de revisâo,</w:t>
      </w:r>
      <w:r>
        <w:rPr>
          <w:rFonts w:ascii="Arial" w:hAnsi="Arial"/>
          <w:spacing w:val="-20"/>
          <w:sz w:val="25"/>
        </w:rPr>
        <w:t> </w:t>
      </w:r>
      <w:r>
        <w:rPr>
          <w:rFonts w:ascii="Arial" w:hAnsi="Arial"/>
          <w:sz w:val="25"/>
        </w:rPr>
        <w:t>monitoramento</w:t>
      </w:r>
      <w:r>
        <w:rPr>
          <w:rFonts w:ascii="Arial" w:hAnsi="Arial"/>
          <w:spacing w:val="-14"/>
          <w:sz w:val="25"/>
        </w:rPr>
        <w:t> </w:t>
      </w:r>
      <w:r>
        <w:rPr>
          <w:rFonts w:ascii="Arial" w:hAnsi="Arial"/>
          <w:sz w:val="25"/>
        </w:rPr>
        <w:t>e</w:t>
      </w:r>
      <w:r>
        <w:rPr>
          <w:rFonts w:ascii="Arial" w:hAnsi="Arial"/>
          <w:spacing w:val="-26"/>
          <w:sz w:val="25"/>
        </w:rPr>
        <w:t> </w:t>
      </w:r>
      <w:r>
        <w:rPr>
          <w:rFonts w:ascii="Arial" w:hAnsi="Arial"/>
          <w:sz w:val="25"/>
        </w:rPr>
        <w:t>avaliagâo</w:t>
      </w:r>
      <w:r>
        <w:rPr>
          <w:rFonts w:ascii="Arial" w:hAnsi="Arial"/>
          <w:spacing w:val="-15"/>
          <w:sz w:val="25"/>
        </w:rPr>
        <w:t> </w:t>
      </w:r>
      <w:r>
        <w:rPr>
          <w:rFonts w:ascii="Arial" w:hAnsi="Arial"/>
          <w:sz w:val="25"/>
        </w:rPr>
        <w:t>dos</w:t>
      </w:r>
      <w:r>
        <w:rPr>
          <w:rFonts w:ascii="Arial" w:hAnsi="Arial"/>
          <w:spacing w:val="-19"/>
          <w:sz w:val="25"/>
        </w:rPr>
        <w:t> </w:t>
      </w:r>
      <w:r>
        <w:rPr>
          <w:rFonts w:ascii="Arial" w:hAnsi="Arial"/>
          <w:sz w:val="25"/>
        </w:rPr>
        <w:t>controles</w:t>
      </w:r>
      <w:r>
        <w:rPr>
          <w:rFonts w:ascii="Arial" w:hAnsi="Arial"/>
          <w:spacing w:val="-16"/>
          <w:sz w:val="25"/>
        </w:rPr>
        <w:t> </w:t>
      </w:r>
      <w:r>
        <w:rPr>
          <w:rFonts w:ascii="Arial" w:hAnsi="Arial"/>
          <w:sz w:val="25"/>
        </w:rPr>
        <w:t>internos</w:t>
      </w:r>
      <w:r>
        <w:rPr>
          <w:rFonts w:ascii="Arial" w:hAnsi="Arial"/>
          <w:spacing w:val="-22"/>
          <w:sz w:val="25"/>
        </w:rPr>
        <w:t> </w:t>
      </w:r>
      <w:r>
        <w:rPr>
          <w:rFonts w:ascii="Arial" w:hAnsi="Arial"/>
          <w:sz w:val="25"/>
        </w:rPr>
        <w:t>e</w:t>
      </w:r>
      <w:r>
        <w:rPr>
          <w:rFonts w:ascii="Arial" w:hAnsi="Arial"/>
          <w:spacing w:val="-29"/>
          <w:sz w:val="25"/>
        </w:rPr>
        <w:t> </w:t>
      </w:r>
      <w:r>
        <w:rPr>
          <w:rFonts w:ascii="Arial" w:hAnsi="Arial"/>
          <w:sz w:val="25"/>
        </w:rPr>
        <w:t>das</w:t>
      </w:r>
      <w:r>
        <w:rPr>
          <w:rFonts w:ascii="Arial" w:hAnsi="Arial"/>
          <w:spacing w:val="-22"/>
          <w:sz w:val="25"/>
        </w:rPr>
        <w:t> </w:t>
      </w:r>
      <w:r>
        <w:rPr>
          <w:rFonts w:ascii="Arial" w:hAnsi="Arial"/>
          <w:sz w:val="25"/>
        </w:rPr>
        <w:t>demonstragoes</w:t>
      </w:r>
      <w:r>
        <w:rPr>
          <w:rFonts w:ascii="Arial" w:hAnsi="Arial"/>
          <w:spacing w:val="-15"/>
          <w:sz w:val="25"/>
        </w:rPr>
        <w:t> </w:t>
      </w:r>
      <w:r>
        <w:rPr>
          <w:rFonts w:ascii="Arial" w:hAnsi="Arial"/>
          <w:sz w:val="25"/>
        </w:rPr>
        <w:t>financeiras do exercicio de 2019, e tendo em vista as informagoes recebidas dos representantes da MACIEL AUDITORES INDEPENDENTES S/S, sobre o exercicio referido, considerando o disposto</w:t>
      </w:r>
      <w:r>
        <w:rPr>
          <w:rFonts w:ascii="Arial" w:hAnsi="Arial"/>
          <w:spacing w:val="-16"/>
          <w:sz w:val="25"/>
        </w:rPr>
        <w:t> </w:t>
      </w:r>
      <w:r>
        <w:rPr>
          <w:rFonts w:ascii="Arial" w:hAnsi="Arial"/>
          <w:sz w:val="25"/>
        </w:rPr>
        <w:t>no</w:t>
      </w:r>
      <w:r>
        <w:rPr>
          <w:rFonts w:ascii="Arial" w:hAnsi="Arial"/>
          <w:spacing w:val="-20"/>
          <w:sz w:val="25"/>
        </w:rPr>
        <w:t> </w:t>
      </w:r>
      <w:r>
        <w:rPr>
          <w:rFonts w:ascii="Arial" w:hAnsi="Arial"/>
          <w:sz w:val="25"/>
        </w:rPr>
        <w:t>art.</w:t>
      </w:r>
      <w:r>
        <w:rPr>
          <w:rFonts w:ascii="Arial" w:hAnsi="Arial"/>
          <w:spacing w:val="-26"/>
          <w:sz w:val="25"/>
        </w:rPr>
        <w:t> </w:t>
      </w:r>
      <w:r>
        <w:rPr>
          <w:rFonts w:ascii="Arial" w:hAnsi="Arial"/>
          <w:sz w:val="25"/>
        </w:rPr>
        <w:t>24</w:t>
      </w:r>
      <w:r>
        <w:rPr>
          <w:rFonts w:ascii="Arial" w:hAnsi="Arial"/>
          <w:spacing w:val="-26"/>
          <w:sz w:val="25"/>
        </w:rPr>
        <w:t> </w:t>
      </w:r>
      <w:r>
        <w:rPr>
          <w:rFonts w:ascii="Arial" w:hAnsi="Arial"/>
          <w:sz w:val="25"/>
        </w:rPr>
        <w:t>da</w:t>
      </w:r>
      <w:r>
        <w:rPr>
          <w:rFonts w:ascii="Arial" w:hAnsi="Arial"/>
          <w:spacing w:val="-22"/>
          <w:sz w:val="25"/>
        </w:rPr>
        <w:t> </w:t>
      </w:r>
      <w:r>
        <w:rPr>
          <w:rFonts w:ascii="Arial" w:hAnsi="Arial"/>
          <w:sz w:val="25"/>
        </w:rPr>
        <w:t>Lei</w:t>
      </w:r>
      <w:r>
        <w:rPr>
          <w:rFonts w:ascii="Arial" w:hAnsi="Arial"/>
          <w:spacing w:val="-22"/>
          <w:sz w:val="25"/>
        </w:rPr>
        <w:t> </w:t>
      </w:r>
      <w:r>
        <w:rPr>
          <w:rFonts w:ascii="Arial" w:hAnsi="Arial"/>
          <w:sz w:val="25"/>
        </w:rPr>
        <w:t>13.303/2016</w:t>
      </w:r>
      <w:r>
        <w:rPr>
          <w:rFonts w:ascii="Arial" w:hAnsi="Arial"/>
          <w:spacing w:val="-9"/>
          <w:sz w:val="25"/>
        </w:rPr>
        <w:t> </w:t>
      </w:r>
      <w:r>
        <w:rPr>
          <w:rFonts w:ascii="Arial" w:hAnsi="Arial"/>
          <w:sz w:val="25"/>
        </w:rPr>
        <w:t>e</w:t>
      </w:r>
      <w:r>
        <w:rPr>
          <w:rFonts w:ascii="Arial" w:hAnsi="Arial"/>
          <w:spacing w:val="-28"/>
          <w:sz w:val="25"/>
        </w:rPr>
        <w:t> </w:t>
      </w:r>
      <w:r>
        <w:rPr>
          <w:rFonts w:ascii="Arial" w:hAnsi="Arial"/>
          <w:sz w:val="25"/>
        </w:rPr>
        <w:t>no</w:t>
      </w:r>
      <w:r>
        <w:rPr>
          <w:rFonts w:ascii="Arial" w:hAnsi="Arial"/>
          <w:spacing w:val="-26"/>
          <w:sz w:val="25"/>
        </w:rPr>
        <w:t> </w:t>
      </w:r>
      <w:r>
        <w:rPr>
          <w:rFonts w:ascii="Arial" w:hAnsi="Arial"/>
          <w:sz w:val="25"/>
        </w:rPr>
        <w:t>art.</w:t>
      </w:r>
      <w:r>
        <w:rPr>
          <w:rFonts w:ascii="Arial" w:hAnsi="Arial"/>
          <w:spacing w:val="-19"/>
          <w:sz w:val="25"/>
        </w:rPr>
        <w:t> </w:t>
      </w:r>
      <w:r>
        <w:rPr>
          <w:rFonts w:ascii="Arial" w:hAnsi="Arial"/>
          <w:sz w:val="25"/>
        </w:rPr>
        <w:t>8°,</w:t>
      </w:r>
      <w:r>
        <w:rPr>
          <w:rFonts w:ascii="Arial" w:hAnsi="Arial"/>
          <w:spacing w:val="-21"/>
          <w:sz w:val="25"/>
        </w:rPr>
        <w:t> </w:t>
      </w:r>
      <w:r>
        <w:rPr>
          <w:rFonts w:ascii="Arial" w:hAnsi="Arial"/>
          <w:sz w:val="25"/>
        </w:rPr>
        <w:t>inciso</w:t>
      </w:r>
      <w:r>
        <w:rPr>
          <w:rFonts w:ascii="Arial" w:hAnsi="Arial"/>
          <w:spacing w:val="-19"/>
          <w:sz w:val="25"/>
        </w:rPr>
        <w:t> </w:t>
      </w:r>
      <w:r>
        <w:rPr>
          <w:rFonts w:ascii="Arial" w:hAnsi="Arial"/>
          <w:sz w:val="25"/>
        </w:rPr>
        <w:t>III,</w:t>
      </w:r>
      <w:r>
        <w:rPr>
          <w:rFonts w:ascii="Arial" w:hAnsi="Arial"/>
          <w:spacing w:val="-23"/>
          <w:sz w:val="25"/>
        </w:rPr>
        <w:t> </w:t>
      </w:r>
      <w:r>
        <w:rPr>
          <w:rFonts w:ascii="Arial" w:hAnsi="Arial"/>
          <w:sz w:val="25"/>
        </w:rPr>
        <w:t>do</w:t>
      </w:r>
      <w:r>
        <w:rPr>
          <w:rFonts w:ascii="Arial" w:hAnsi="Arial"/>
          <w:spacing w:val="-27"/>
          <w:sz w:val="25"/>
        </w:rPr>
        <w:t> </w:t>
      </w:r>
      <w:r>
        <w:rPr>
          <w:rFonts w:ascii="Arial" w:hAnsi="Arial"/>
          <w:sz w:val="25"/>
        </w:rPr>
        <w:t>Regimento</w:t>
      </w:r>
      <w:r>
        <w:rPr>
          <w:rFonts w:ascii="Arial" w:hAnsi="Arial"/>
          <w:spacing w:val="-10"/>
          <w:sz w:val="25"/>
        </w:rPr>
        <w:t> </w:t>
      </w:r>
      <w:r>
        <w:rPr>
          <w:rFonts w:ascii="Arial" w:hAnsi="Arial"/>
          <w:sz w:val="25"/>
        </w:rPr>
        <w:t>Interno</w:t>
      </w:r>
      <w:r>
        <w:rPr>
          <w:rFonts w:ascii="Arial" w:hAnsi="Arial"/>
          <w:spacing w:val="-24"/>
          <w:sz w:val="25"/>
        </w:rPr>
        <w:t> </w:t>
      </w:r>
      <w:r>
        <w:rPr>
          <w:rFonts w:ascii="Arial" w:hAnsi="Arial"/>
          <w:sz w:val="25"/>
        </w:rPr>
        <w:t>do</w:t>
      </w:r>
      <w:r>
        <w:rPr>
          <w:rFonts w:ascii="Arial" w:hAnsi="Arial"/>
          <w:spacing w:val="-23"/>
          <w:sz w:val="25"/>
        </w:rPr>
        <w:t> </w:t>
      </w:r>
      <w:r>
        <w:rPr>
          <w:rFonts w:ascii="Arial" w:hAnsi="Arial"/>
          <w:sz w:val="25"/>
        </w:rPr>
        <w:t>Comité e com base nos documentos apresentados pela CEB, concluiu, por unanimidade, que as demonstragoes foram elaboradas de acordo com a legislagâo vigente, principios técnicos formais</w:t>
      </w:r>
      <w:r>
        <w:rPr>
          <w:rFonts w:ascii="Arial" w:hAnsi="Arial"/>
          <w:spacing w:val="-13"/>
          <w:sz w:val="25"/>
        </w:rPr>
        <w:t> </w:t>
      </w:r>
      <w:r>
        <w:rPr>
          <w:rFonts w:ascii="Arial" w:hAnsi="Arial"/>
          <w:sz w:val="25"/>
        </w:rPr>
        <w:t>e</w:t>
      </w:r>
      <w:r>
        <w:rPr>
          <w:rFonts w:ascii="Arial" w:hAnsi="Arial"/>
          <w:spacing w:val="-24"/>
          <w:sz w:val="25"/>
        </w:rPr>
        <w:t> </w:t>
      </w:r>
      <w:r>
        <w:rPr>
          <w:rFonts w:ascii="Arial" w:hAnsi="Arial"/>
          <w:sz w:val="25"/>
        </w:rPr>
        <w:t>estâo</w:t>
      </w:r>
      <w:r>
        <w:rPr>
          <w:rFonts w:ascii="Arial" w:hAnsi="Arial"/>
          <w:spacing w:val="-16"/>
          <w:sz w:val="25"/>
        </w:rPr>
        <w:t> </w:t>
      </w:r>
      <w:r>
        <w:rPr>
          <w:rFonts w:ascii="Arial" w:hAnsi="Arial"/>
          <w:sz w:val="25"/>
        </w:rPr>
        <w:t>em</w:t>
      </w:r>
      <w:r>
        <w:rPr>
          <w:rFonts w:ascii="Arial" w:hAnsi="Arial"/>
          <w:spacing w:val="-14"/>
          <w:sz w:val="25"/>
        </w:rPr>
        <w:t> </w:t>
      </w:r>
      <w:r>
        <w:rPr>
          <w:rFonts w:ascii="Arial" w:hAnsi="Arial"/>
          <w:sz w:val="25"/>
        </w:rPr>
        <w:t>ordem</w:t>
      </w:r>
      <w:r>
        <w:rPr>
          <w:rFonts w:ascii="Arial" w:hAnsi="Arial"/>
          <w:spacing w:val="-12"/>
          <w:sz w:val="25"/>
        </w:rPr>
        <w:t> </w:t>
      </w:r>
      <w:r>
        <w:rPr>
          <w:rFonts w:ascii="Arial" w:hAnsi="Arial"/>
          <w:sz w:val="25"/>
        </w:rPr>
        <w:t>e</w:t>
      </w:r>
      <w:r>
        <w:rPr>
          <w:rFonts w:ascii="Arial" w:hAnsi="Arial"/>
          <w:spacing w:val="-19"/>
          <w:sz w:val="25"/>
        </w:rPr>
        <w:t> </w:t>
      </w:r>
      <w:r>
        <w:rPr>
          <w:rFonts w:ascii="Arial" w:hAnsi="Arial"/>
          <w:sz w:val="25"/>
        </w:rPr>
        <w:t>adequadas</w:t>
      </w:r>
      <w:r>
        <w:rPr>
          <w:rFonts w:ascii="Arial" w:hAnsi="Arial"/>
          <w:spacing w:val="-3"/>
          <w:sz w:val="25"/>
        </w:rPr>
        <w:t> </w:t>
      </w:r>
      <w:r>
        <w:rPr>
          <w:rFonts w:ascii="Arial" w:hAnsi="Arial"/>
          <w:sz w:val="25"/>
        </w:rPr>
        <w:t>em</w:t>
      </w:r>
      <w:r>
        <w:rPr>
          <w:rFonts w:ascii="Arial" w:hAnsi="Arial"/>
          <w:spacing w:val="-18"/>
          <w:sz w:val="25"/>
        </w:rPr>
        <w:t> </w:t>
      </w:r>
      <w:r>
        <w:rPr>
          <w:rFonts w:ascii="Arial" w:hAnsi="Arial"/>
          <w:sz w:val="25"/>
        </w:rPr>
        <w:t>seus</w:t>
      </w:r>
      <w:r>
        <w:rPr>
          <w:rFonts w:ascii="Arial" w:hAnsi="Arial"/>
          <w:spacing w:val="-14"/>
          <w:sz w:val="25"/>
        </w:rPr>
        <w:t> </w:t>
      </w:r>
      <w:r>
        <w:rPr>
          <w:rFonts w:ascii="Arial" w:hAnsi="Arial"/>
          <w:sz w:val="25"/>
        </w:rPr>
        <w:t>aspectos</w:t>
      </w:r>
      <w:r>
        <w:rPr>
          <w:rFonts w:ascii="Arial" w:hAnsi="Arial"/>
          <w:spacing w:val="-12"/>
          <w:sz w:val="25"/>
        </w:rPr>
        <w:t> </w:t>
      </w:r>
      <w:r>
        <w:rPr>
          <w:rFonts w:ascii="Arial" w:hAnsi="Arial"/>
          <w:sz w:val="25"/>
        </w:rPr>
        <w:t>relevantes.</w:t>
      </w:r>
      <w:r>
        <w:rPr>
          <w:rFonts w:ascii="Arial" w:hAnsi="Arial"/>
          <w:spacing w:val="-8"/>
          <w:sz w:val="25"/>
        </w:rPr>
        <w:t> </w:t>
      </w:r>
      <w:r>
        <w:rPr>
          <w:rFonts w:ascii="Arial" w:hAnsi="Arial"/>
          <w:sz w:val="25"/>
        </w:rPr>
        <w:t>Assim,</w:t>
      </w:r>
      <w:r>
        <w:rPr>
          <w:rFonts w:ascii="Arial" w:hAnsi="Arial"/>
          <w:spacing w:val="-19"/>
          <w:sz w:val="25"/>
        </w:rPr>
        <w:t> </w:t>
      </w:r>
      <w:r>
        <w:rPr>
          <w:rFonts w:ascii="Arial" w:hAnsi="Arial"/>
          <w:sz w:val="25"/>
        </w:rPr>
        <w:t>com</w:t>
      </w:r>
      <w:r>
        <w:rPr>
          <w:rFonts w:ascii="Arial" w:hAnsi="Arial"/>
          <w:spacing w:val="-22"/>
          <w:sz w:val="25"/>
        </w:rPr>
        <w:t> </w:t>
      </w:r>
      <w:r>
        <w:rPr>
          <w:rFonts w:ascii="Arial" w:hAnsi="Arial"/>
          <w:sz w:val="25"/>
        </w:rPr>
        <w:t>base</w:t>
      </w:r>
      <w:r>
        <w:rPr>
          <w:rFonts w:ascii="Arial" w:hAnsi="Arial"/>
          <w:spacing w:val="-19"/>
          <w:sz w:val="25"/>
        </w:rPr>
        <w:t> </w:t>
      </w:r>
      <w:r>
        <w:rPr>
          <w:rFonts w:ascii="Arial" w:hAnsi="Arial"/>
          <w:sz w:val="25"/>
        </w:rPr>
        <w:t>nas revisoes</w:t>
      </w:r>
      <w:r>
        <w:rPr>
          <w:rFonts w:ascii="Arial" w:hAnsi="Arial"/>
          <w:spacing w:val="-16"/>
          <w:sz w:val="25"/>
        </w:rPr>
        <w:t> </w:t>
      </w:r>
      <w:r>
        <w:rPr>
          <w:rFonts w:ascii="Arial" w:hAnsi="Arial"/>
          <w:sz w:val="25"/>
        </w:rPr>
        <w:t>e</w:t>
      </w:r>
      <w:r>
        <w:rPr>
          <w:rFonts w:ascii="Arial" w:hAnsi="Arial"/>
          <w:spacing w:val="-26"/>
          <w:sz w:val="25"/>
        </w:rPr>
        <w:t> </w:t>
      </w:r>
      <w:r>
        <w:rPr>
          <w:rFonts w:ascii="Arial" w:hAnsi="Arial"/>
          <w:sz w:val="25"/>
        </w:rPr>
        <w:t>discussoes</w:t>
      </w:r>
      <w:r>
        <w:rPr>
          <w:rFonts w:ascii="Arial" w:hAnsi="Arial"/>
          <w:spacing w:val="-8"/>
          <w:sz w:val="25"/>
        </w:rPr>
        <w:t> </w:t>
      </w:r>
      <w:r>
        <w:rPr>
          <w:rFonts w:ascii="Arial" w:hAnsi="Arial"/>
          <w:sz w:val="25"/>
        </w:rPr>
        <w:t>acima</w:t>
      </w:r>
      <w:r>
        <w:rPr>
          <w:rFonts w:ascii="Arial" w:hAnsi="Arial"/>
          <w:spacing w:val="-21"/>
          <w:sz w:val="25"/>
        </w:rPr>
        <w:t> </w:t>
      </w:r>
      <w:r>
        <w:rPr>
          <w:rFonts w:ascii="Arial" w:hAnsi="Arial"/>
          <w:sz w:val="25"/>
        </w:rPr>
        <w:t>mencionadas,</w:t>
      </w:r>
      <w:r>
        <w:rPr>
          <w:rFonts w:ascii="Arial" w:hAnsi="Arial"/>
          <w:spacing w:val="-11"/>
          <w:sz w:val="25"/>
        </w:rPr>
        <w:t> </w:t>
      </w:r>
      <w:r>
        <w:rPr>
          <w:rFonts w:ascii="Arial" w:hAnsi="Arial"/>
          <w:sz w:val="25"/>
        </w:rPr>
        <w:t>o</w:t>
      </w:r>
      <w:r>
        <w:rPr>
          <w:rFonts w:ascii="Arial" w:hAnsi="Arial"/>
          <w:spacing w:val="-23"/>
          <w:sz w:val="25"/>
        </w:rPr>
        <w:t> </w:t>
      </w:r>
      <w:r>
        <w:rPr>
          <w:rFonts w:ascii="Arial" w:hAnsi="Arial"/>
          <w:sz w:val="25"/>
        </w:rPr>
        <w:t>Comité</w:t>
      </w:r>
      <w:r>
        <w:rPr>
          <w:rFonts w:ascii="Arial" w:hAnsi="Arial"/>
          <w:spacing w:val="-16"/>
          <w:sz w:val="25"/>
        </w:rPr>
        <w:t> </w:t>
      </w:r>
      <w:r>
        <w:rPr>
          <w:rFonts w:ascii="Arial" w:hAnsi="Arial"/>
          <w:sz w:val="25"/>
        </w:rPr>
        <w:t>de</w:t>
      </w:r>
      <w:r>
        <w:rPr>
          <w:rFonts w:ascii="Arial" w:hAnsi="Arial"/>
          <w:spacing w:val="-19"/>
          <w:sz w:val="25"/>
        </w:rPr>
        <w:t> </w:t>
      </w:r>
      <w:r>
        <w:rPr>
          <w:rFonts w:ascii="Arial" w:hAnsi="Arial"/>
          <w:sz w:val="25"/>
        </w:rPr>
        <w:t>Auditoria</w:t>
      </w:r>
      <w:r>
        <w:rPr>
          <w:rFonts w:ascii="Arial" w:hAnsi="Arial"/>
          <w:spacing w:val="-15"/>
          <w:sz w:val="25"/>
        </w:rPr>
        <w:t> </w:t>
      </w:r>
      <w:r>
        <w:rPr>
          <w:rFonts w:ascii="Arial" w:hAnsi="Arial"/>
          <w:sz w:val="25"/>
        </w:rPr>
        <w:t>Estatutario</w:t>
      </w:r>
      <w:r>
        <w:rPr>
          <w:rFonts w:ascii="Arial" w:hAnsi="Arial"/>
          <w:spacing w:val="-13"/>
          <w:sz w:val="25"/>
        </w:rPr>
        <w:t> </w:t>
      </w:r>
      <w:r>
        <w:rPr>
          <w:rFonts w:ascii="Arial" w:hAnsi="Arial"/>
          <w:sz w:val="25"/>
        </w:rPr>
        <w:t>recomenda</w:t>
      </w:r>
      <w:r>
        <w:rPr>
          <w:rFonts w:ascii="Arial" w:hAnsi="Arial"/>
          <w:spacing w:val="-7"/>
          <w:sz w:val="25"/>
        </w:rPr>
        <w:t> </w:t>
      </w:r>
      <w:r>
        <w:rPr>
          <w:rFonts w:ascii="Arial" w:hAnsi="Arial"/>
          <w:sz w:val="25"/>
        </w:rPr>
        <w:t>ao Conselho</w:t>
      </w:r>
      <w:r>
        <w:rPr>
          <w:rFonts w:ascii="Arial" w:hAnsi="Arial"/>
          <w:spacing w:val="-18"/>
          <w:sz w:val="25"/>
        </w:rPr>
        <w:t> </w:t>
      </w:r>
      <w:r>
        <w:rPr>
          <w:rFonts w:ascii="Arial" w:hAnsi="Arial"/>
          <w:sz w:val="25"/>
        </w:rPr>
        <w:t>de</w:t>
      </w:r>
      <w:r>
        <w:rPr>
          <w:rFonts w:ascii="Arial" w:hAnsi="Arial"/>
          <w:spacing w:val="-30"/>
          <w:sz w:val="25"/>
        </w:rPr>
        <w:t> </w:t>
      </w:r>
      <w:r>
        <w:rPr>
          <w:rFonts w:ascii="Arial" w:hAnsi="Arial"/>
          <w:sz w:val="25"/>
        </w:rPr>
        <w:t>Administragâo</w:t>
      </w:r>
      <w:r>
        <w:rPr>
          <w:rFonts w:ascii="Arial" w:hAnsi="Arial"/>
          <w:spacing w:val="-18"/>
          <w:sz w:val="25"/>
        </w:rPr>
        <w:t> </w:t>
      </w:r>
      <w:r>
        <w:rPr>
          <w:rFonts w:ascii="Arial" w:hAnsi="Arial"/>
          <w:sz w:val="25"/>
        </w:rPr>
        <w:t>da</w:t>
      </w:r>
      <w:r>
        <w:rPr>
          <w:rFonts w:ascii="Arial" w:hAnsi="Arial"/>
          <w:spacing w:val="-25"/>
          <w:sz w:val="25"/>
        </w:rPr>
        <w:t> </w:t>
      </w:r>
      <w:r>
        <w:rPr>
          <w:rFonts w:ascii="Arial" w:hAnsi="Arial"/>
          <w:sz w:val="25"/>
        </w:rPr>
        <w:t>CEB</w:t>
      </w:r>
      <w:r>
        <w:rPr>
          <w:rFonts w:ascii="Arial" w:hAnsi="Arial"/>
          <w:spacing w:val="-25"/>
          <w:sz w:val="25"/>
        </w:rPr>
        <w:t> </w:t>
      </w:r>
      <w:r>
        <w:rPr>
          <w:rFonts w:ascii="Arial" w:hAnsi="Arial"/>
          <w:sz w:val="25"/>
        </w:rPr>
        <w:t>a</w:t>
      </w:r>
      <w:r>
        <w:rPr>
          <w:rFonts w:ascii="Arial" w:hAnsi="Arial"/>
          <w:spacing w:val="-24"/>
          <w:sz w:val="25"/>
        </w:rPr>
        <w:t> </w:t>
      </w:r>
      <w:r>
        <w:rPr>
          <w:rFonts w:ascii="Arial" w:hAnsi="Arial"/>
          <w:sz w:val="25"/>
        </w:rPr>
        <w:t>aprovagâo</w:t>
      </w:r>
      <w:r>
        <w:rPr>
          <w:rFonts w:ascii="Arial" w:hAnsi="Arial"/>
          <w:spacing w:val="-19"/>
          <w:sz w:val="25"/>
        </w:rPr>
        <w:t> </w:t>
      </w:r>
      <w:r>
        <w:rPr>
          <w:rFonts w:ascii="Arial" w:hAnsi="Arial"/>
          <w:sz w:val="25"/>
        </w:rPr>
        <w:t>das</w:t>
      </w:r>
      <w:r>
        <w:rPr>
          <w:rFonts w:ascii="Arial" w:hAnsi="Arial"/>
          <w:spacing w:val="-24"/>
          <w:sz w:val="25"/>
        </w:rPr>
        <w:t> </w:t>
      </w:r>
      <w:r>
        <w:rPr>
          <w:rFonts w:ascii="Arial" w:hAnsi="Arial"/>
          <w:sz w:val="25"/>
        </w:rPr>
        <w:t>demonstragoes</w:t>
      </w:r>
      <w:r>
        <w:rPr>
          <w:rFonts w:ascii="Arial" w:hAnsi="Arial"/>
          <w:spacing w:val="-11"/>
          <w:sz w:val="25"/>
        </w:rPr>
        <w:t> </w:t>
      </w:r>
      <w:r>
        <w:rPr>
          <w:rFonts w:ascii="Arial" w:hAnsi="Arial"/>
          <w:sz w:val="25"/>
        </w:rPr>
        <w:t>financeiras</w:t>
      </w:r>
      <w:r>
        <w:rPr>
          <w:rFonts w:ascii="Arial" w:hAnsi="Arial"/>
          <w:spacing w:val="-15"/>
          <w:sz w:val="25"/>
        </w:rPr>
        <w:t> </w:t>
      </w:r>
      <w:r>
        <w:rPr>
          <w:rFonts w:ascii="Arial" w:hAnsi="Arial"/>
          <w:sz w:val="25"/>
        </w:rPr>
        <w:t>auditadas, relativas ao exercicio findo em 31 de dezembro de</w:t>
      </w:r>
      <w:r>
        <w:rPr>
          <w:rFonts w:ascii="Arial" w:hAnsi="Arial"/>
          <w:spacing w:val="5"/>
          <w:sz w:val="25"/>
        </w:rPr>
        <w:t> </w:t>
      </w:r>
      <w:r>
        <w:rPr>
          <w:rFonts w:ascii="Arial" w:hAnsi="Arial"/>
          <w:sz w:val="25"/>
        </w:rPr>
        <w:t>2019.</w:t>
      </w:r>
    </w:p>
    <w:p>
      <w:pPr>
        <w:pStyle w:val="BodyText"/>
        <w:rPr>
          <w:rFonts w:ascii="Arial"/>
          <w:sz w:val="28"/>
        </w:rPr>
      </w:pPr>
    </w:p>
    <w:p>
      <w:pPr>
        <w:pStyle w:val="BodyText"/>
        <w:rPr>
          <w:rFonts w:ascii="Arial"/>
          <w:sz w:val="28"/>
        </w:rPr>
      </w:pPr>
    </w:p>
    <w:p>
      <w:pPr>
        <w:pStyle w:val="BodyText"/>
        <w:spacing w:before="7"/>
        <w:rPr>
          <w:rFonts w:ascii="Arial"/>
          <w:sz w:val="30"/>
        </w:rPr>
      </w:pPr>
    </w:p>
    <w:p>
      <w:pPr>
        <w:spacing w:before="0"/>
        <w:ind w:left="1616" w:right="1491" w:firstLine="0"/>
        <w:jc w:val="center"/>
        <w:rPr>
          <w:rFonts w:ascii="Arial"/>
          <w:sz w:val="25"/>
        </w:rPr>
      </w:pPr>
      <w:r>
        <w:rPr>
          <w:rFonts w:ascii="Arial"/>
          <w:sz w:val="25"/>
        </w:rPr>
        <w:t>Brasilia, 23 de marqo de 2020.</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1"/>
        <w:rPr>
          <w:rFonts w:ascii="Arial"/>
          <w:sz w:val="35"/>
        </w:rPr>
      </w:pPr>
    </w:p>
    <w:p>
      <w:pPr>
        <w:spacing w:before="1"/>
        <w:ind w:left="1616" w:right="1504" w:firstLine="0"/>
        <w:jc w:val="center"/>
        <w:rPr>
          <w:rFonts w:ascii="Arial"/>
          <w:sz w:val="21"/>
        </w:rPr>
      </w:pPr>
      <w:r>
        <w:rPr>
          <w:rFonts w:ascii="Arial"/>
          <w:w w:val="115"/>
          <w:sz w:val="21"/>
        </w:rPr>
        <w:t>WALTER LUIS BERNARDES ALBERTONI</w:t>
      </w: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pStyle w:val="BodyText"/>
        <w:rPr>
          <w:rFonts w:ascii="Arial"/>
        </w:rPr>
      </w:pPr>
    </w:p>
    <w:p>
      <w:pPr>
        <w:spacing w:after="0"/>
        <w:rPr>
          <w:rFonts w:ascii="Arial"/>
        </w:rPr>
        <w:sectPr>
          <w:headerReference w:type="default" r:id="rId93"/>
          <w:footerReference w:type="default" r:id="rId94"/>
          <w:pgSz w:w="11920" w:h="16820"/>
          <w:pgMar w:header="0" w:footer="0" w:top="800" w:bottom="280" w:left="940" w:right="540"/>
        </w:sectPr>
      </w:pPr>
    </w:p>
    <w:p>
      <w:pPr>
        <w:pStyle w:val="Heading2"/>
        <w:spacing w:before="248"/>
        <w:ind w:left="956" w:right="30"/>
      </w:pPr>
      <w:r>
        <w:rPr/>
        <w:t>JOAO CARLOS DE OLIVEIRA</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9"/>
        <w:rPr>
          <w:rFonts w:ascii="Arial"/>
          <w:sz w:val="33"/>
        </w:rPr>
      </w:pPr>
    </w:p>
    <w:p>
      <w:pPr>
        <w:spacing w:before="0"/>
        <w:ind w:left="960" w:right="30" w:firstLine="0"/>
        <w:jc w:val="center"/>
        <w:rPr>
          <w:rFonts w:ascii="Arial"/>
          <w:sz w:val="25"/>
        </w:rPr>
      </w:pPr>
      <w:r>
        <w:rPr>
          <w:rFonts w:ascii="Arial"/>
          <w:w w:val="95"/>
          <w:sz w:val="25"/>
        </w:rPr>
        <w:t>MARCELLO JOAQUIM PACHECO</w:t>
      </w:r>
    </w:p>
    <w:p>
      <w:pPr>
        <w:spacing w:before="227"/>
        <w:ind w:left="864" w:right="463" w:firstLine="0"/>
        <w:jc w:val="center"/>
        <w:rPr>
          <w:rFonts w:ascii="Arial"/>
          <w:sz w:val="25"/>
        </w:rPr>
      </w:pPr>
      <w:r>
        <w:rPr/>
        <w:br w:type="column"/>
      </w:r>
      <w:r>
        <w:rPr>
          <w:rFonts w:ascii="Arial"/>
          <w:sz w:val="25"/>
        </w:rPr>
        <w:t>JOSE ANTONIO CORR3A COIMBRA</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1"/>
        <w:rPr>
          <w:rFonts w:ascii="Arial"/>
          <w:sz w:val="33"/>
        </w:rPr>
      </w:pPr>
    </w:p>
    <w:p>
      <w:pPr>
        <w:spacing w:before="0"/>
        <w:ind w:left="864" w:right="439" w:firstLine="0"/>
        <w:jc w:val="center"/>
        <w:rPr>
          <w:rFonts w:ascii="Arial"/>
          <w:sz w:val="25"/>
        </w:rPr>
      </w:pPr>
      <w:r>
        <w:rPr>
          <w:rFonts w:ascii="Arial"/>
          <w:sz w:val="25"/>
        </w:rPr>
        <w:t>WILMAR MOREIRA DA SILVA</w:t>
      </w:r>
    </w:p>
    <w:p>
      <w:pPr>
        <w:spacing w:after="0"/>
        <w:jc w:val="center"/>
        <w:rPr>
          <w:rFonts w:ascii="Arial"/>
          <w:sz w:val="25"/>
        </w:rPr>
        <w:sectPr>
          <w:type w:val="continuous"/>
          <w:pgSz w:w="11920" w:h="16820"/>
          <w:pgMar w:top="1600" w:bottom="280" w:left="940" w:right="540"/>
          <w:cols w:num="2" w:equalWidth="0">
            <w:col w:w="4726" w:space="137"/>
            <w:col w:w="5577"/>
          </w:cols>
        </w:sectPr>
      </w:pPr>
    </w:p>
    <w:p>
      <w:pPr>
        <w:pStyle w:val="BodyText"/>
        <w:ind w:left="571"/>
        <w:rPr>
          <w:rFonts w:ascii="Arial"/>
        </w:rPr>
      </w:pPr>
      <w:r>
        <w:rPr>
          <w:rFonts w:ascii="Arial"/>
        </w:rPr>
        <w:drawing>
          <wp:inline distT="0" distB="0" distL="0" distR="0">
            <wp:extent cx="1348313" cy="571500"/>
            <wp:effectExtent l="0" t="0" r="0" b="0"/>
            <wp:docPr id="89" name="image18.png"/>
            <wp:cNvGraphicFramePr>
              <a:graphicFrameLocks noChangeAspect="1"/>
            </wp:cNvGraphicFramePr>
            <a:graphic>
              <a:graphicData uri="http://schemas.openxmlformats.org/drawingml/2006/picture">
                <pic:pic>
                  <pic:nvPicPr>
                    <pic:cNvPr id="90" name="image18.png"/>
                    <pic:cNvPicPr/>
                  </pic:nvPicPr>
                  <pic:blipFill>
                    <a:blip r:embed="rId98" cstate="print"/>
                    <a:stretch>
                      <a:fillRect/>
                    </a:stretch>
                  </pic:blipFill>
                  <pic:spPr>
                    <a:xfrm>
                      <a:off x="0" y="0"/>
                      <a:ext cx="1348313" cy="571500"/>
                    </a:xfrm>
                    <a:prstGeom prst="rect">
                      <a:avLst/>
                    </a:prstGeom>
                  </pic:spPr>
                </pic:pic>
              </a:graphicData>
            </a:graphic>
          </wp:inline>
        </w:drawing>
      </w:r>
      <w:r>
        <w:rPr>
          <w:rFonts w:ascii="Arial"/>
        </w:rPr>
      </w:r>
    </w:p>
    <w:p>
      <w:pPr>
        <w:pStyle w:val="BodyText"/>
        <w:rPr>
          <w:rFonts w:ascii="Arial"/>
          <w:sz w:val="26"/>
        </w:rPr>
      </w:pPr>
    </w:p>
    <w:p>
      <w:pPr>
        <w:pStyle w:val="Heading4"/>
        <w:spacing w:before="158"/>
      </w:pPr>
      <w:r>
        <w:rPr/>
        <w:drawing>
          <wp:anchor distT="0" distB="0" distL="0" distR="0" allowOverlap="1" layoutInCell="1" locked="0" behindDoc="0" simplePos="0" relativeHeight="15793664">
            <wp:simplePos x="0" y="0"/>
            <wp:positionH relativeFrom="page">
              <wp:posOffset>763319</wp:posOffset>
            </wp:positionH>
            <wp:positionV relativeFrom="paragraph">
              <wp:posOffset>-105594</wp:posOffset>
            </wp:positionV>
            <wp:extent cx="6389940" cy="178316"/>
            <wp:effectExtent l="0" t="0" r="0" b="0"/>
            <wp:wrapNone/>
            <wp:docPr id="91" name="image19.png"/>
            <wp:cNvGraphicFramePr>
              <a:graphicFrameLocks noChangeAspect="1"/>
            </wp:cNvGraphicFramePr>
            <a:graphic>
              <a:graphicData uri="http://schemas.openxmlformats.org/drawingml/2006/picture">
                <pic:pic>
                  <pic:nvPicPr>
                    <pic:cNvPr id="92" name="image19.png"/>
                    <pic:cNvPicPr/>
                  </pic:nvPicPr>
                  <pic:blipFill>
                    <a:blip r:embed="rId99" cstate="print"/>
                    <a:stretch>
                      <a:fillRect/>
                    </a:stretch>
                  </pic:blipFill>
                  <pic:spPr>
                    <a:xfrm>
                      <a:off x="0" y="0"/>
                      <a:ext cx="6389940" cy="178316"/>
                    </a:xfrm>
                    <a:prstGeom prst="rect">
                      <a:avLst/>
                    </a:prstGeom>
                  </pic:spPr>
                </pic:pic>
              </a:graphicData>
            </a:graphic>
          </wp:anchor>
        </w:drawing>
      </w:r>
      <w:r>
        <w:rPr>
          <w:w w:val="95"/>
        </w:rPr>
        <w:t>591</w:t>
      </w:r>
      <w:r>
        <w:rPr>
          <w:w w:val="95"/>
          <w:vertAlign w:val="superscript"/>
        </w:rPr>
        <w:t>a</w:t>
      </w:r>
      <w:r>
        <w:rPr>
          <w:w w:val="95"/>
          <w:vertAlign w:val="baseline"/>
        </w:rPr>
        <w:t> REUNIAO ORDINARIA</w:t>
      </w:r>
    </w:p>
    <w:p>
      <w:pPr>
        <w:spacing w:line="259" w:lineRule="auto" w:before="114"/>
        <w:ind w:left="590" w:right="810" w:hanging="209"/>
        <w:jc w:val="left"/>
        <w:rPr>
          <w:rFonts w:ascii="Arial"/>
          <w:sz w:val="25"/>
        </w:rPr>
      </w:pPr>
      <w:r>
        <w:rPr/>
        <w:br w:type="column"/>
      </w:r>
      <w:r>
        <w:rPr>
          <w:rFonts w:ascii="Arial"/>
          <w:b/>
          <w:sz w:val="25"/>
        </w:rPr>
        <w:t>DECISAO</w:t>
      </w:r>
      <w:r>
        <w:rPr>
          <w:rFonts w:ascii="Arial"/>
          <w:b/>
          <w:spacing w:val="-38"/>
          <w:sz w:val="25"/>
        </w:rPr>
        <w:t> </w:t>
      </w:r>
      <w:r>
        <w:rPr>
          <w:rFonts w:ascii="Arial"/>
          <w:b/>
          <w:sz w:val="25"/>
        </w:rPr>
        <w:t>DO</w:t>
      </w:r>
      <w:r>
        <w:rPr>
          <w:rFonts w:ascii="Arial"/>
          <w:b/>
          <w:spacing w:val="-42"/>
          <w:sz w:val="25"/>
        </w:rPr>
        <w:t> </w:t>
      </w:r>
      <w:r>
        <w:rPr>
          <w:rFonts w:ascii="Arial"/>
          <w:b/>
          <w:sz w:val="25"/>
        </w:rPr>
        <w:t>CONSELHO</w:t>
      </w:r>
      <w:r>
        <w:rPr>
          <w:rFonts w:ascii="Arial"/>
          <w:b/>
          <w:spacing w:val="-33"/>
          <w:sz w:val="25"/>
        </w:rPr>
        <w:t> </w:t>
      </w:r>
      <w:r>
        <w:rPr>
          <w:rFonts w:ascii="Arial"/>
          <w:b/>
          <w:sz w:val="25"/>
        </w:rPr>
        <w:t>DE</w:t>
      </w:r>
      <w:r>
        <w:rPr>
          <w:rFonts w:ascii="Arial"/>
          <w:b/>
          <w:spacing w:val="-43"/>
          <w:sz w:val="25"/>
        </w:rPr>
        <w:t> </w:t>
      </w:r>
      <w:r>
        <w:rPr>
          <w:rFonts w:ascii="Arial"/>
          <w:b/>
          <w:sz w:val="25"/>
        </w:rPr>
        <w:t>ADMINISTRA/AO</w:t>
      </w:r>
      <w:r>
        <w:rPr>
          <w:rFonts w:ascii="Arial"/>
          <w:b/>
          <w:spacing w:val="-27"/>
          <w:sz w:val="25"/>
        </w:rPr>
        <w:t> </w:t>
      </w:r>
      <w:r>
        <w:rPr>
          <w:rFonts w:ascii="Arial"/>
          <w:b/>
          <w:sz w:val="25"/>
        </w:rPr>
        <w:t>DA COMPANHIA</w:t>
      </w:r>
      <w:r>
        <w:rPr>
          <w:rFonts w:ascii="Arial"/>
          <w:b/>
          <w:spacing w:val="-22"/>
          <w:sz w:val="25"/>
        </w:rPr>
        <w:t> </w:t>
      </w:r>
      <w:r>
        <w:rPr>
          <w:rFonts w:ascii="Arial"/>
          <w:b/>
          <w:sz w:val="25"/>
        </w:rPr>
        <w:t>ENERGETICA</w:t>
      </w:r>
      <w:r>
        <w:rPr>
          <w:rFonts w:ascii="Arial"/>
          <w:b/>
          <w:spacing w:val="-24"/>
          <w:sz w:val="25"/>
        </w:rPr>
        <w:t> </w:t>
      </w:r>
      <w:r>
        <w:rPr>
          <w:rFonts w:ascii="Arial"/>
          <w:b/>
          <w:sz w:val="25"/>
        </w:rPr>
        <w:t>DE</w:t>
      </w:r>
      <w:r>
        <w:rPr>
          <w:rFonts w:ascii="Arial"/>
          <w:b/>
          <w:spacing w:val="-37"/>
          <w:sz w:val="25"/>
        </w:rPr>
        <w:t> </w:t>
      </w:r>
      <w:r>
        <w:rPr>
          <w:rFonts w:ascii="Arial"/>
          <w:b/>
          <w:sz w:val="25"/>
        </w:rPr>
        <w:t>BRASILIA</w:t>
      </w:r>
      <w:r>
        <w:rPr>
          <w:rFonts w:ascii="Arial"/>
          <w:b/>
          <w:spacing w:val="-25"/>
          <w:sz w:val="25"/>
        </w:rPr>
        <w:t> </w:t>
      </w:r>
      <w:r>
        <w:rPr>
          <w:rFonts w:ascii="Arial"/>
          <w:sz w:val="25"/>
        </w:rPr>
        <w:t>-</w:t>
      </w:r>
      <w:r>
        <w:rPr>
          <w:rFonts w:ascii="Arial"/>
          <w:spacing w:val="-40"/>
          <w:sz w:val="25"/>
        </w:rPr>
        <w:t> </w:t>
      </w:r>
      <w:r>
        <w:rPr>
          <w:rFonts w:ascii="Arial"/>
          <w:sz w:val="25"/>
        </w:rPr>
        <w:t>CEB</w:t>
      </w:r>
    </w:p>
    <w:p>
      <w:pPr>
        <w:pStyle w:val="BodyText"/>
        <w:rPr>
          <w:rFonts w:ascii="Arial"/>
          <w:sz w:val="28"/>
        </w:rPr>
      </w:pPr>
    </w:p>
    <w:p>
      <w:pPr>
        <w:pStyle w:val="BodyText"/>
        <w:spacing w:before="10"/>
        <w:rPr>
          <w:rFonts w:ascii="Arial"/>
          <w:sz w:val="26"/>
        </w:rPr>
      </w:pPr>
    </w:p>
    <w:p>
      <w:pPr>
        <w:spacing w:before="0"/>
        <w:ind w:left="4025" w:right="0" w:firstLine="0"/>
        <w:jc w:val="left"/>
        <w:rPr>
          <w:rFonts w:ascii="Arial"/>
          <w:sz w:val="22"/>
        </w:rPr>
      </w:pPr>
      <w:r>
        <w:rPr>
          <w:rFonts w:ascii="Arial"/>
          <w:sz w:val="22"/>
        </w:rPr>
        <w:t>REALIZADA EM 23.03.2020</w:t>
      </w:r>
    </w:p>
    <w:p>
      <w:pPr>
        <w:spacing w:after="0"/>
        <w:jc w:val="left"/>
        <w:rPr>
          <w:rFonts w:ascii="Arial"/>
          <w:sz w:val="22"/>
        </w:rPr>
        <w:sectPr>
          <w:headerReference w:type="default" r:id="rId96"/>
          <w:footerReference w:type="default" r:id="rId97"/>
          <w:pgSz w:w="11920" w:h="16820"/>
          <w:pgMar w:header="0" w:footer="0" w:top="760" w:bottom="280" w:left="940" w:right="540"/>
          <w:cols w:num="2" w:equalWidth="0">
            <w:col w:w="3190" w:space="221"/>
            <w:col w:w="7029"/>
          </w:cols>
        </w:sectPr>
      </w:pPr>
    </w:p>
    <w:p>
      <w:pPr>
        <w:pStyle w:val="BodyText"/>
        <w:spacing w:before="9"/>
        <w:rPr>
          <w:rFonts w:ascii="Arial"/>
          <w:sz w:val="11"/>
        </w:rPr>
      </w:pPr>
    </w:p>
    <w:p>
      <w:pPr>
        <w:spacing w:after="0"/>
        <w:rPr>
          <w:rFonts w:ascii="Arial"/>
          <w:sz w:val="11"/>
        </w:rPr>
        <w:sectPr>
          <w:type w:val="continuous"/>
          <w:pgSz w:w="11920" w:h="16820"/>
          <w:pgMar w:top="1600" w:bottom="280" w:left="940" w:right="540"/>
        </w:sectPr>
      </w:pPr>
    </w:p>
    <w:p>
      <w:pPr>
        <w:spacing w:line="607" w:lineRule="auto" w:before="207"/>
        <w:ind w:left="374" w:right="0" w:firstLine="10"/>
        <w:jc w:val="left"/>
        <w:rPr>
          <w:rFonts w:ascii="Arial"/>
          <w:sz w:val="22"/>
        </w:rPr>
      </w:pPr>
      <w:r>
        <w:rPr>
          <w:rFonts w:ascii="Arial"/>
          <w:w w:val="95"/>
          <w:sz w:val="22"/>
        </w:rPr>
        <w:t>ASSUNTO: </w:t>
      </w:r>
      <w:r>
        <w:rPr>
          <w:rFonts w:ascii="Arial"/>
          <w:sz w:val="22"/>
        </w:rPr>
        <w:t>DECISAO:</w:t>
      </w:r>
    </w:p>
    <w:p>
      <w:pPr>
        <w:spacing w:line="252" w:lineRule="auto" w:before="92"/>
        <w:ind w:left="268" w:right="217" w:firstLine="3"/>
        <w:jc w:val="both"/>
        <w:rPr>
          <w:rFonts w:ascii="Arial" w:hAnsi="Arial"/>
          <w:sz w:val="25"/>
        </w:rPr>
      </w:pPr>
      <w:r>
        <w:rPr/>
        <w:br w:type="column"/>
      </w:r>
      <w:r>
        <w:rPr>
          <w:rFonts w:ascii="Arial" w:hAnsi="Arial"/>
          <w:sz w:val="25"/>
        </w:rPr>
        <w:t>Relatério da Administragâo e Demonstragoes Financeiras referentes ao exercicio de 2019, acompanhados das notas explicativas.</w:t>
      </w:r>
    </w:p>
    <w:p>
      <w:pPr>
        <w:spacing w:line="256" w:lineRule="auto" w:before="146"/>
        <w:ind w:left="267" w:right="195" w:firstLine="5"/>
        <w:jc w:val="both"/>
        <w:rPr>
          <w:rFonts w:ascii="Arial" w:hAnsi="Arial"/>
          <w:sz w:val="25"/>
        </w:rPr>
      </w:pPr>
      <w:r>
        <w:rPr>
          <w:rFonts w:ascii="Arial" w:hAnsi="Arial"/>
          <w:sz w:val="25"/>
        </w:rPr>
        <w:t>O Conselho de Administragâo da Companhia Energética de Brasilia - CEB, com amparo</w:t>
      </w:r>
      <w:r>
        <w:rPr>
          <w:rFonts w:ascii="Arial" w:hAnsi="Arial"/>
          <w:spacing w:val="3"/>
          <w:sz w:val="25"/>
        </w:rPr>
        <w:t> </w:t>
      </w:r>
      <w:r>
        <w:rPr>
          <w:rFonts w:ascii="Arial" w:hAnsi="Arial"/>
          <w:sz w:val="25"/>
        </w:rPr>
        <w:t>na</w:t>
      </w:r>
      <w:r>
        <w:rPr>
          <w:rFonts w:ascii="Arial" w:hAnsi="Arial"/>
          <w:spacing w:val="-6"/>
          <w:sz w:val="25"/>
        </w:rPr>
        <w:t> </w:t>
      </w:r>
      <w:r>
        <w:rPr>
          <w:rFonts w:ascii="Arial" w:hAnsi="Arial"/>
          <w:sz w:val="25"/>
        </w:rPr>
        <w:t>Lei</w:t>
      </w:r>
      <w:r>
        <w:rPr>
          <w:rFonts w:ascii="Arial" w:hAnsi="Arial"/>
          <w:spacing w:val="-12"/>
          <w:sz w:val="25"/>
        </w:rPr>
        <w:t> </w:t>
      </w:r>
      <w:r>
        <w:rPr>
          <w:rFonts w:ascii="Arial" w:hAnsi="Arial"/>
          <w:sz w:val="25"/>
        </w:rPr>
        <w:t>6.404,</w:t>
      </w:r>
      <w:r>
        <w:rPr>
          <w:rFonts w:ascii="Arial" w:hAnsi="Arial"/>
          <w:spacing w:val="3"/>
          <w:sz w:val="25"/>
        </w:rPr>
        <w:t> </w:t>
      </w:r>
      <w:r>
        <w:rPr>
          <w:rFonts w:ascii="Arial" w:hAnsi="Arial"/>
          <w:sz w:val="25"/>
        </w:rPr>
        <w:t>de</w:t>
      </w:r>
      <w:r>
        <w:rPr>
          <w:rFonts w:ascii="Arial" w:hAnsi="Arial"/>
          <w:spacing w:val="-10"/>
          <w:sz w:val="25"/>
        </w:rPr>
        <w:t> </w:t>
      </w:r>
      <w:r>
        <w:rPr>
          <w:rFonts w:ascii="Arial" w:hAnsi="Arial"/>
          <w:sz w:val="25"/>
        </w:rPr>
        <w:t>15</w:t>
      </w:r>
      <w:r>
        <w:rPr>
          <w:rFonts w:ascii="Arial" w:hAnsi="Arial"/>
          <w:spacing w:val="-9"/>
          <w:sz w:val="25"/>
        </w:rPr>
        <w:t> </w:t>
      </w:r>
      <w:r>
        <w:rPr>
          <w:rFonts w:ascii="Arial" w:hAnsi="Arial"/>
          <w:sz w:val="25"/>
        </w:rPr>
        <w:t>de</w:t>
      </w:r>
      <w:r>
        <w:rPr>
          <w:rFonts w:ascii="Arial" w:hAnsi="Arial"/>
          <w:spacing w:val="-7"/>
          <w:sz w:val="25"/>
        </w:rPr>
        <w:t> </w:t>
      </w:r>
      <w:r>
        <w:rPr>
          <w:rFonts w:ascii="Arial" w:hAnsi="Arial"/>
          <w:sz w:val="25"/>
        </w:rPr>
        <w:t>dezembro</w:t>
      </w:r>
      <w:r>
        <w:rPr>
          <w:rFonts w:ascii="Arial" w:hAnsi="Arial"/>
          <w:spacing w:val="-2"/>
          <w:sz w:val="25"/>
        </w:rPr>
        <w:t> </w:t>
      </w:r>
      <w:r>
        <w:rPr>
          <w:rFonts w:ascii="Arial" w:hAnsi="Arial"/>
          <w:sz w:val="25"/>
        </w:rPr>
        <w:t>de</w:t>
      </w:r>
      <w:r>
        <w:rPr>
          <w:rFonts w:ascii="Arial" w:hAnsi="Arial"/>
          <w:spacing w:val="-11"/>
          <w:sz w:val="25"/>
        </w:rPr>
        <w:t> </w:t>
      </w:r>
      <w:r>
        <w:rPr>
          <w:rFonts w:ascii="Arial" w:hAnsi="Arial"/>
          <w:sz w:val="25"/>
        </w:rPr>
        <w:t>1976, e</w:t>
      </w:r>
      <w:r>
        <w:rPr>
          <w:rFonts w:ascii="Arial" w:hAnsi="Arial"/>
          <w:spacing w:val="-12"/>
          <w:sz w:val="25"/>
        </w:rPr>
        <w:t> </w:t>
      </w:r>
      <w:r>
        <w:rPr>
          <w:rFonts w:ascii="Arial" w:hAnsi="Arial"/>
          <w:sz w:val="25"/>
        </w:rPr>
        <w:t>no</w:t>
      </w:r>
      <w:r>
        <w:rPr>
          <w:rFonts w:ascii="Arial" w:hAnsi="Arial"/>
          <w:spacing w:val="-9"/>
          <w:sz w:val="25"/>
        </w:rPr>
        <w:t> </w:t>
      </w:r>
      <w:r>
        <w:rPr>
          <w:rFonts w:ascii="Arial" w:hAnsi="Arial"/>
          <w:sz w:val="25"/>
        </w:rPr>
        <w:t>Estatuto</w:t>
      </w:r>
      <w:r>
        <w:rPr>
          <w:rFonts w:ascii="Arial" w:hAnsi="Arial"/>
          <w:spacing w:val="2"/>
          <w:sz w:val="25"/>
        </w:rPr>
        <w:t> </w:t>
      </w:r>
      <w:r>
        <w:rPr>
          <w:rFonts w:ascii="Arial" w:hAnsi="Arial"/>
          <w:sz w:val="25"/>
        </w:rPr>
        <w:t>Social da Companhia, art. 19, inciso I, examinou o Relatorio da Administragâo da Empresa</w:t>
      </w:r>
      <w:r>
        <w:rPr>
          <w:rFonts w:ascii="Arial" w:hAnsi="Arial"/>
          <w:spacing w:val="-30"/>
          <w:sz w:val="25"/>
        </w:rPr>
        <w:t> </w:t>
      </w:r>
      <w:r>
        <w:rPr>
          <w:rFonts w:ascii="Arial" w:hAnsi="Arial"/>
          <w:sz w:val="25"/>
        </w:rPr>
        <w:t>e</w:t>
      </w:r>
      <w:r>
        <w:rPr>
          <w:rFonts w:ascii="Arial" w:hAnsi="Arial"/>
          <w:spacing w:val="-37"/>
          <w:sz w:val="25"/>
        </w:rPr>
        <w:t> </w:t>
      </w:r>
      <w:r>
        <w:rPr>
          <w:rFonts w:ascii="Arial" w:hAnsi="Arial"/>
          <w:sz w:val="25"/>
        </w:rPr>
        <w:t>as</w:t>
      </w:r>
      <w:r>
        <w:rPr>
          <w:rFonts w:ascii="Arial" w:hAnsi="Arial"/>
          <w:spacing w:val="-32"/>
          <w:sz w:val="25"/>
        </w:rPr>
        <w:t> </w:t>
      </w:r>
      <w:r>
        <w:rPr>
          <w:rFonts w:ascii="Arial" w:hAnsi="Arial"/>
          <w:sz w:val="25"/>
        </w:rPr>
        <w:t>Demonstragoes</w:t>
      </w:r>
      <w:r>
        <w:rPr>
          <w:rFonts w:ascii="Arial" w:hAnsi="Arial"/>
          <w:spacing w:val="-23"/>
          <w:sz w:val="25"/>
        </w:rPr>
        <w:t> </w:t>
      </w:r>
      <w:r>
        <w:rPr>
          <w:rFonts w:ascii="Arial" w:hAnsi="Arial"/>
          <w:sz w:val="25"/>
        </w:rPr>
        <w:t>Financeiras</w:t>
      </w:r>
      <w:r>
        <w:rPr>
          <w:rFonts w:ascii="Arial" w:hAnsi="Arial"/>
          <w:spacing w:val="-21"/>
          <w:sz w:val="25"/>
        </w:rPr>
        <w:t> </w:t>
      </w:r>
      <w:r>
        <w:rPr>
          <w:rFonts w:ascii="Arial" w:hAnsi="Arial"/>
          <w:sz w:val="25"/>
        </w:rPr>
        <w:t>referentes</w:t>
      </w:r>
      <w:r>
        <w:rPr>
          <w:rFonts w:ascii="Arial" w:hAnsi="Arial"/>
          <w:spacing w:val="-27"/>
          <w:sz w:val="25"/>
        </w:rPr>
        <w:t> </w:t>
      </w:r>
      <w:r>
        <w:rPr>
          <w:rFonts w:ascii="Arial" w:hAnsi="Arial"/>
          <w:sz w:val="25"/>
        </w:rPr>
        <w:t>ao</w:t>
      </w:r>
      <w:r>
        <w:rPr>
          <w:rFonts w:ascii="Arial" w:hAnsi="Arial"/>
          <w:spacing w:val="-34"/>
          <w:sz w:val="25"/>
        </w:rPr>
        <w:t> </w:t>
      </w:r>
      <w:r>
        <w:rPr>
          <w:rFonts w:ascii="Arial" w:hAnsi="Arial"/>
          <w:sz w:val="25"/>
        </w:rPr>
        <w:t>exercicio</w:t>
      </w:r>
      <w:r>
        <w:rPr>
          <w:rFonts w:ascii="Arial" w:hAnsi="Arial"/>
          <w:spacing w:val="-25"/>
          <w:sz w:val="25"/>
        </w:rPr>
        <w:t> </w:t>
      </w:r>
      <w:r>
        <w:rPr>
          <w:rFonts w:ascii="Arial" w:hAnsi="Arial"/>
          <w:sz w:val="25"/>
        </w:rPr>
        <w:t>findo</w:t>
      </w:r>
      <w:r>
        <w:rPr>
          <w:rFonts w:ascii="Arial" w:hAnsi="Arial"/>
          <w:spacing w:val="-33"/>
          <w:sz w:val="25"/>
        </w:rPr>
        <w:t> </w:t>
      </w:r>
      <w:r>
        <w:rPr>
          <w:rFonts w:ascii="Arial" w:hAnsi="Arial"/>
          <w:sz w:val="25"/>
        </w:rPr>
        <w:t>em</w:t>
      </w:r>
      <w:r>
        <w:rPr>
          <w:rFonts w:ascii="Arial" w:hAnsi="Arial"/>
          <w:spacing w:val="-30"/>
          <w:sz w:val="25"/>
        </w:rPr>
        <w:t> </w:t>
      </w:r>
      <w:r>
        <w:rPr>
          <w:rFonts w:ascii="Arial" w:hAnsi="Arial"/>
          <w:sz w:val="25"/>
        </w:rPr>
        <w:t>31 de dezembro de 2019, acompanhados das notas explicativas e da proposta de</w:t>
      </w:r>
      <w:r>
        <w:rPr>
          <w:rFonts w:ascii="Arial" w:hAnsi="Arial"/>
          <w:spacing w:val="-22"/>
          <w:sz w:val="25"/>
        </w:rPr>
        <w:t> </w:t>
      </w:r>
      <w:r>
        <w:rPr>
          <w:rFonts w:ascii="Arial" w:hAnsi="Arial"/>
          <w:sz w:val="25"/>
        </w:rPr>
        <w:t>destina§âo</w:t>
      </w:r>
      <w:r>
        <w:rPr>
          <w:rFonts w:ascii="Arial" w:hAnsi="Arial"/>
          <w:spacing w:val="-9"/>
          <w:sz w:val="25"/>
        </w:rPr>
        <w:t> </w:t>
      </w:r>
      <w:r>
        <w:rPr>
          <w:rFonts w:ascii="Arial" w:hAnsi="Arial"/>
          <w:sz w:val="25"/>
        </w:rPr>
        <w:t>do</w:t>
      </w:r>
      <w:r>
        <w:rPr>
          <w:rFonts w:ascii="Arial" w:hAnsi="Arial"/>
          <w:spacing w:val="-22"/>
          <w:sz w:val="25"/>
        </w:rPr>
        <w:t> </w:t>
      </w:r>
      <w:r>
        <w:rPr>
          <w:rFonts w:ascii="Arial" w:hAnsi="Arial"/>
          <w:sz w:val="25"/>
        </w:rPr>
        <w:t>resultado</w:t>
      </w:r>
      <w:r>
        <w:rPr>
          <w:rFonts w:ascii="Arial" w:hAnsi="Arial"/>
          <w:spacing w:val="-12"/>
          <w:sz w:val="25"/>
        </w:rPr>
        <w:t> </w:t>
      </w:r>
      <w:r>
        <w:rPr>
          <w:rFonts w:ascii="Arial" w:hAnsi="Arial"/>
          <w:sz w:val="25"/>
        </w:rPr>
        <w:t>do</w:t>
      </w:r>
      <w:r>
        <w:rPr>
          <w:rFonts w:ascii="Arial" w:hAnsi="Arial"/>
          <w:spacing w:val="-23"/>
          <w:sz w:val="25"/>
        </w:rPr>
        <w:t> </w:t>
      </w:r>
      <w:r>
        <w:rPr>
          <w:rFonts w:ascii="Arial" w:hAnsi="Arial"/>
          <w:sz w:val="25"/>
        </w:rPr>
        <w:t>exercicio,</w:t>
      </w:r>
      <w:r>
        <w:rPr>
          <w:rFonts w:ascii="Arial" w:hAnsi="Arial"/>
          <w:spacing w:val="-11"/>
          <w:sz w:val="25"/>
        </w:rPr>
        <w:t> </w:t>
      </w:r>
      <w:r>
        <w:rPr>
          <w:rFonts w:ascii="Arial" w:hAnsi="Arial"/>
          <w:sz w:val="25"/>
        </w:rPr>
        <w:t>em</w:t>
      </w:r>
      <w:r>
        <w:rPr>
          <w:rFonts w:ascii="Arial" w:hAnsi="Arial"/>
          <w:spacing w:val="-16"/>
          <w:sz w:val="25"/>
        </w:rPr>
        <w:t> </w:t>
      </w:r>
      <w:r>
        <w:rPr>
          <w:rFonts w:ascii="Arial" w:hAnsi="Arial"/>
          <w:sz w:val="25"/>
        </w:rPr>
        <w:t>conformidade</w:t>
      </w:r>
      <w:r>
        <w:rPr>
          <w:rFonts w:ascii="Arial" w:hAnsi="Arial"/>
          <w:spacing w:val="-9"/>
          <w:sz w:val="25"/>
        </w:rPr>
        <w:t> </w:t>
      </w:r>
      <w:r>
        <w:rPr>
          <w:rFonts w:ascii="Arial" w:hAnsi="Arial"/>
          <w:sz w:val="25"/>
        </w:rPr>
        <w:t>com</w:t>
      </w:r>
      <w:r>
        <w:rPr>
          <w:rFonts w:ascii="Arial" w:hAnsi="Arial"/>
          <w:spacing w:val="-15"/>
          <w:sz w:val="25"/>
        </w:rPr>
        <w:t> </w:t>
      </w:r>
      <w:r>
        <w:rPr>
          <w:rFonts w:ascii="Arial" w:hAnsi="Arial"/>
          <w:sz w:val="25"/>
        </w:rPr>
        <w:t>o</w:t>
      </w:r>
      <w:r>
        <w:rPr>
          <w:rFonts w:ascii="Arial" w:hAnsi="Arial"/>
          <w:spacing w:val="-22"/>
          <w:sz w:val="25"/>
        </w:rPr>
        <w:t> </w:t>
      </w:r>
      <w:r>
        <w:rPr>
          <w:rFonts w:ascii="Arial" w:hAnsi="Arial"/>
          <w:sz w:val="25"/>
        </w:rPr>
        <w:t>disposto</w:t>
      </w:r>
      <w:r>
        <w:rPr>
          <w:rFonts w:ascii="Arial" w:hAnsi="Arial"/>
          <w:spacing w:val="-15"/>
          <w:sz w:val="25"/>
        </w:rPr>
        <w:t> </w:t>
      </w:r>
      <w:r>
        <w:rPr>
          <w:rFonts w:ascii="Arial" w:hAnsi="Arial"/>
          <w:sz w:val="25"/>
        </w:rPr>
        <w:t>na Resolugâo de Diretoria n° 020, de 13.03.2020, e tomou conhecimento do relatorio da MACIEL AUDITORES INDEPENDENTES S/S, emitido sem ressalvas.</w:t>
      </w:r>
      <w:r>
        <w:rPr>
          <w:rFonts w:ascii="Arial" w:hAnsi="Arial"/>
          <w:spacing w:val="-27"/>
          <w:sz w:val="25"/>
        </w:rPr>
        <w:t> </w:t>
      </w:r>
      <w:r>
        <w:rPr>
          <w:rFonts w:ascii="Arial" w:hAnsi="Arial"/>
          <w:sz w:val="25"/>
        </w:rPr>
        <w:t>0</w:t>
      </w:r>
      <w:r>
        <w:rPr>
          <w:rFonts w:ascii="Arial" w:hAnsi="Arial"/>
          <w:spacing w:val="-17"/>
          <w:sz w:val="25"/>
        </w:rPr>
        <w:t> </w:t>
      </w:r>
      <w:r>
        <w:rPr>
          <w:rFonts w:ascii="Arial" w:hAnsi="Arial"/>
          <w:sz w:val="25"/>
        </w:rPr>
        <w:t>Conselho</w:t>
      </w:r>
      <w:r>
        <w:rPr>
          <w:rFonts w:ascii="Arial" w:hAnsi="Arial"/>
          <w:spacing w:val="-31"/>
          <w:sz w:val="25"/>
        </w:rPr>
        <w:t> </w:t>
      </w:r>
      <w:r>
        <w:rPr>
          <w:rFonts w:ascii="Arial" w:hAnsi="Arial"/>
          <w:sz w:val="25"/>
        </w:rPr>
        <w:t>de</w:t>
      </w:r>
      <w:r>
        <w:rPr>
          <w:rFonts w:ascii="Arial" w:hAnsi="Arial"/>
          <w:spacing w:val="-38"/>
          <w:sz w:val="25"/>
        </w:rPr>
        <w:t> </w:t>
      </w:r>
      <w:r>
        <w:rPr>
          <w:rFonts w:ascii="Arial" w:hAnsi="Arial"/>
          <w:sz w:val="25"/>
        </w:rPr>
        <w:t>Administragâo</w:t>
      </w:r>
      <w:r>
        <w:rPr>
          <w:rFonts w:ascii="Arial" w:hAnsi="Arial"/>
          <w:spacing w:val="-30"/>
          <w:sz w:val="25"/>
        </w:rPr>
        <w:t> </w:t>
      </w:r>
      <w:r>
        <w:rPr>
          <w:rFonts w:ascii="Arial" w:hAnsi="Arial"/>
          <w:sz w:val="25"/>
        </w:rPr>
        <w:t>manifestou-se,</w:t>
      </w:r>
      <w:r>
        <w:rPr>
          <w:rFonts w:ascii="Arial" w:hAnsi="Arial"/>
          <w:spacing w:val="-42"/>
          <w:sz w:val="25"/>
        </w:rPr>
        <w:t> </w:t>
      </w:r>
      <w:r>
        <w:rPr>
          <w:rFonts w:ascii="Arial" w:hAnsi="Arial"/>
          <w:sz w:val="25"/>
        </w:rPr>
        <w:t>por</w:t>
      </w:r>
      <w:r>
        <w:rPr>
          <w:rFonts w:ascii="Arial" w:hAnsi="Arial"/>
          <w:spacing w:val="-38"/>
          <w:sz w:val="25"/>
        </w:rPr>
        <w:t> </w:t>
      </w:r>
      <w:r>
        <w:rPr>
          <w:rFonts w:ascii="Arial" w:hAnsi="Arial"/>
          <w:sz w:val="25"/>
        </w:rPr>
        <w:t>unanimidade,</w:t>
      </w:r>
      <w:r>
        <w:rPr>
          <w:rFonts w:ascii="Arial" w:hAnsi="Arial"/>
          <w:spacing w:val="-25"/>
          <w:sz w:val="25"/>
        </w:rPr>
        <w:t> </w:t>
      </w:r>
      <w:r>
        <w:rPr>
          <w:rFonts w:ascii="Arial" w:hAnsi="Arial"/>
          <w:sz w:val="25"/>
        </w:rPr>
        <w:t>que as pegas estâo em ordem e adequadas, em seus aspectos relevantes, aprovando-as. Registra-se que o Conselheiro Edison Anténio Costa Britto Garcia, se absteve de votar quanto ao item 1, porém quanto ao item 2 aprovou a proposta de Destinagâo dos Resultados, quanto â forma e prazo apontados pelo Conselheiro Marcello Pacheco, acompanhado dos demais membros do Colegiado. Dessa forma, o Conselho DECIDIU convocar a Assembleia Geral Ordinaria e submeter o Relatério da Administragâo da Empresa</w:t>
      </w:r>
      <w:r>
        <w:rPr>
          <w:rFonts w:ascii="Arial" w:hAnsi="Arial"/>
          <w:spacing w:val="-29"/>
          <w:sz w:val="25"/>
        </w:rPr>
        <w:t> </w:t>
      </w:r>
      <w:r>
        <w:rPr>
          <w:rFonts w:ascii="Arial" w:hAnsi="Arial"/>
          <w:sz w:val="25"/>
        </w:rPr>
        <w:t>e</w:t>
      </w:r>
      <w:r>
        <w:rPr>
          <w:rFonts w:ascii="Arial" w:hAnsi="Arial"/>
          <w:spacing w:val="-35"/>
          <w:sz w:val="25"/>
        </w:rPr>
        <w:t> </w:t>
      </w:r>
      <w:r>
        <w:rPr>
          <w:rFonts w:ascii="Arial" w:hAnsi="Arial"/>
          <w:sz w:val="25"/>
        </w:rPr>
        <w:t>as</w:t>
      </w:r>
      <w:r>
        <w:rPr>
          <w:rFonts w:ascii="Arial" w:hAnsi="Arial"/>
          <w:spacing w:val="-35"/>
          <w:sz w:val="25"/>
        </w:rPr>
        <w:t> </w:t>
      </w:r>
      <w:r>
        <w:rPr>
          <w:rFonts w:ascii="Arial" w:hAnsi="Arial"/>
          <w:sz w:val="25"/>
        </w:rPr>
        <w:t>Demonstragoes</w:t>
      </w:r>
      <w:r>
        <w:rPr>
          <w:rFonts w:ascii="Arial" w:hAnsi="Arial"/>
          <w:spacing w:val="-22"/>
          <w:sz w:val="25"/>
        </w:rPr>
        <w:t> </w:t>
      </w:r>
      <w:r>
        <w:rPr>
          <w:rFonts w:ascii="Arial" w:hAnsi="Arial"/>
          <w:sz w:val="25"/>
        </w:rPr>
        <w:t>Financeiras</w:t>
      </w:r>
      <w:r>
        <w:rPr>
          <w:rFonts w:ascii="Arial" w:hAnsi="Arial"/>
          <w:spacing w:val="-25"/>
          <w:sz w:val="25"/>
        </w:rPr>
        <w:t> </w:t>
      </w:r>
      <w:r>
        <w:rPr>
          <w:rFonts w:ascii="Arial" w:hAnsi="Arial"/>
          <w:sz w:val="25"/>
        </w:rPr>
        <w:t>referentes</w:t>
      </w:r>
      <w:r>
        <w:rPr>
          <w:rFonts w:ascii="Arial" w:hAnsi="Arial"/>
          <w:spacing w:val="-27"/>
          <w:sz w:val="25"/>
        </w:rPr>
        <w:t> </w:t>
      </w:r>
      <w:r>
        <w:rPr>
          <w:rFonts w:ascii="Arial" w:hAnsi="Arial"/>
          <w:sz w:val="25"/>
        </w:rPr>
        <w:t>ao</w:t>
      </w:r>
      <w:r>
        <w:rPr>
          <w:rFonts w:ascii="Arial" w:hAnsi="Arial"/>
          <w:spacing w:val="-33"/>
          <w:sz w:val="25"/>
        </w:rPr>
        <w:t> </w:t>
      </w:r>
      <w:r>
        <w:rPr>
          <w:rFonts w:ascii="Arial" w:hAnsi="Arial"/>
          <w:sz w:val="25"/>
        </w:rPr>
        <w:t>exercicio</w:t>
      </w:r>
      <w:r>
        <w:rPr>
          <w:rFonts w:ascii="Arial" w:hAnsi="Arial"/>
          <w:spacing w:val="-24"/>
          <w:sz w:val="25"/>
        </w:rPr>
        <w:t> </w:t>
      </w:r>
      <w:r>
        <w:rPr>
          <w:rFonts w:ascii="Arial" w:hAnsi="Arial"/>
          <w:sz w:val="25"/>
        </w:rPr>
        <w:t>findo</w:t>
      </w:r>
      <w:r>
        <w:rPr>
          <w:rFonts w:ascii="Arial" w:hAnsi="Arial"/>
          <w:spacing w:val="-31"/>
          <w:sz w:val="25"/>
        </w:rPr>
        <w:t> </w:t>
      </w:r>
      <w:r>
        <w:rPr>
          <w:rFonts w:ascii="Arial" w:hAnsi="Arial"/>
          <w:sz w:val="25"/>
        </w:rPr>
        <w:t>em</w:t>
      </w:r>
      <w:r>
        <w:rPr>
          <w:rFonts w:ascii="Arial" w:hAnsi="Arial"/>
          <w:spacing w:val="-28"/>
          <w:sz w:val="25"/>
        </w:rPr>
        <w:t> </w:t>
      </w:r>
      <w:r>
        <w:rPr>
          <w:rFonts w:ascii="Arial" w:hAnsi="Arial"/>
          <w:sz w:val="25"/>
        </w:rPr>
        <w:t>31 de dezembro de 2019, acompanhados das notas explicativas, Parecer do Comité</w:t>
      </w:r>
      <w:r>
        <w:rPr>
          <w:rFonts w:ascii="Arial" w:hAnsi="Arial"/>
          <w:spacing w:val="-22"/>
          <w:sz w:val="25"/>
        </w:rPr>
        <w:t> </w:t>
      </w:r>
      <w:r>
        <w:rPr>
          <w:rFonts w:ascii="Arial" w:hAnsi="Arial"/>
          <w:sz w:val="25"/>
        </w:rPr>
        <w:t>de</w:t>
      </w:r>
      <w:r>
        <w:rPr>
          <w:rFonts w:ascii="Arial" w:hAnsi="Arial"/>
          <w:spacing w:val="-29"/>
          <w:sz w:val="25"/>
        </w:rPr>
        <w:t> </w:t>
      </w:r>
      <w:r>
        <w:rPr>
          <w:rFonts w:ascii="Arial" w:hAnsi="Arial"/>
          <w:sz w:val="25"/>
        </w:rPr>
        <w:t>Auditoria</w:t>
      </w:r>
      <w:r>
        <w:rPr>
          <w:rFonts w:ascii="Arial" w:hAnsi="Arial"/>
          <w:spacing w:val="-25"/>
          <w:sz w:val="25"/>
        </w:rPr>
        <w:t> </w:t>
      </w:r>
      <w:r>
        <w:rPr>
          <w:rFonts w:ascii="Arial" w:hAnsi="Arial"/>
          <w:sz w:val="25"/>
        </w:rPr>
        <w:t>Estatutario,</w:t>
      </w:r>
      <w:r>
        <w:rPr>
          <w:rFonts w:ascii="Arial" w:hAnsi="Arial"/>
          <w:spacing w:val="-18"/>
          <w:sz w:val="25"/>
        </w:rPr>
        <w:t> </w:t>
      </w:r>
      <w:r>
        <w:rPr>
          <w:rFonts w:ascii="Arial" w:hAnsi="Arial"/>
          <w:sz w:val="25"/>
        </w:rPr>
        <w:t>e</w:t>
      </w:r>
      <w:r>
        <w:rPr>
          <w:rFonts w:ascii="Arial" w:hAnsi="Arial"/>
          <w:spacing w:val="-32"/>
          <w:sz w:val="25"/>
        </w:rPr>
        <w:t> </w:t>
      </w:r>
      <w:r>
        <w:rPr>
          <w:rFonts w:ascii="Arial" w:hAnsi="Arial"/>
          <w:sz w:val="25"/>
        </w:rPr>
        <w:t>da</w:t>
      </w:r>
      <w:r>
        <w:rPr>
          <w:rFonts w:ascii="Arial" w:hAnsi="Arial"/>
          <w:spacing w:val="-34"/>
          <w:sz w:val="25"/>
        </w:rPr>
        <w:t> </w:t>
      </w:r>
      <w:r>
        <w:rPr>
          <w:rFonts w:ascii="Arial" w:hAnsi="Arial"/>
          <w:sz w:val="25"/>
        </w:rPr>
        <w:t>proposta</w:t>
      </w:r>
      <w:r>
        <w:rPr>
          <w:rFonts w:ascii="Arial" w:hAnsi="Arial"/>
          <w:spacing w:val="-15"/>
          <w:sz w:val="25"/>
        </w:rPr>
        <w:t> </w:t>
      </w:r>
      <w:r>
        <w:rPr>
          <w:rFonts w:ascii="Arial" w:hAnsi="Arial"/>
          <w:sz w:val="25"/>
        </w:rPr>
        <w:t>de</w:t>
      </w:r>
      <w:r>
        <w:rPr>
          <w:rFonts w:ascii="Arial" w:hAnsi="Arial"/>
          <w:spacing w:val="-29"/>
          <w:sz w:val="25"/>
        </w:rPr>
        <w:t> </w:t>
      </w:r>
      <w:r>
        <w:rPr>
          <w:rFonts w:ascii="Arial" w:hAnsi="Arial"/>
          <w:sz w:val="25"/>
        </w:rPr>
        <w:t>destinagâo</w:t>
      </w:r>
      <w:r>
        <w:rPr>
          <w:rFonts w:ascii="Arial" w:hAnsi="Arial"/>
          <w:spacing w:val="-21"/>
          <w:sz w:val="25"/>
        </w:rPr>
        <w:t> </w:t>
      </w:r>
      <w:r>
        <w:rPr>
          <w:rFonts w:ascii="Arial" w:hAnsi="Arial"/>
          <w:sz w:val="25"/>
        </w:rPr>
        <w:t>do</w:t>
      </w:r>
      <w:r>
        <w:rPr>
          <w:rFonts w:ascii="Arial" w:hAnsi="Arial"/>
          <w:spacing w:val="-30"/>
          <w:sz w:val="25"/>
        </w:rPr>
        <w:t> </w:t>
      </w:r>
      <w:r>
        <w:rPr>
          <w:rFonts w:ascii="Arial" w:hAnsi="Arial"/>
          <w:sz w:val="25"/>
        </w:rPr>
        <w:t>resultado</w:t>
      </w:r>
      <w:r>
        <w:rPr>
          <w:rFonts w:ascii="Arial" w:hAnsi="Arial"/>
          <w:spacing w:val="-20"/>
          <w:sz w:val="25"/>
        </w:rPr>
        <w:t> </w:t>
      </w:r>
      <w:r>
        <w:rPr>
          <w:rFonts w:ascii="Arial" w:hAnsi="Arial"/>
          <w:sz w:val="25"/>
        </w:rPr>
        <w:t>dos exercicios a sua</w:t>
      </w:r>
      <w:r>
        <w:rPr>
          <w:rFonts w:ascii="Arial" w:hAnsi="Arial"/>
          <w:spacing w:val="17"/>
          <w:sz w:val="25"/>
        </w:rPr>
        <w:t> </w:t>
      </w:r>
      <w:r>
        <w:rPr>
          <w:rFonts w:ascii="Arial" w:hAnsi="Arial"/>
          <w:sz w:val="25"/>
        </w:rPr>
        <w:t>deliberagâo.</w:t>
      </w:r>
    </w:p>
    <w:p>
      <w:pPr>
        <w:spacing w:after="0" w:line="256" w:lineRule="auto"/>
        <w:jc w:val="both"/>
        <w:rPr>
          <w:rFonts w:ascii="Arial" w:hAnsi="Arial"/>
          <w:sz w:val="25"/>
        </w:rPr>
        <w:sectPr>
          <w:type w:val="continuous"/>
          <w:pgSz w:w="11920" w:h="16820"/>
          <w:pgMar w:top="1600" w:bottom="280" w:left="940" w:right="540"/>
          <w:cols w:num="2" w:equalWidth="0">
            <w:col w:w="1485" w:space="40"/>
            <w:col w:w="8915"/>
          </w:cols>
        </w:sectPr>
      </w:pPr>
    </w:p>
    <w:p>
      <w:pPr>
        <w:pStyle w:val="BodyText"/>
        <w:rPr>
          <w:rFonts w:ascii="Arial"/>
        </w:rPr>
      </w:pPr>
    </w:p>
    <w:p>
      <w:pPr>
        <w:pStyle w:val="BodyText"/>
        <w:rPr>
          <w:rFonts w:ascii="Arial"/>
        </w:rPr>
      </w:pPr>
    </w:p>
    <w:p>
      <w:pPr>
        <w:pStyle w:val="BodyText"/>
        <w:spacing w:before="4"/>
        <w:rPr>
          <w:rFonts w:ascii="Arial"/>
          <w:sz w:val="19"/>
        </w:rPr>
      </w:pPr>
    </w:p>
    <w:p>
      <w:pPr>
        <w:tabs>
          <w:tab w:pos="5446" w:val="left" w:leader="none"/>
        </w:tabs>
        <w:spacing w:before="92"/>
        <w:ind w:left="354" w:right="0" w:firstLine="0"/>
        <w:jc w:val="left"/>
        <w:rPr>
          <w:rFonts w:ascii="Arial"/>
          <w:sz w:val="25"/>
        </w:rPr>
      </w:pPr>
      <w:r>
        <w:rPr>
          <w:rFonts w:ascii="Arial"/>
          <w:sz w:val="25"/>
        </w:rPr>
        <w:t>IVAN</w:t>
      </w:r>
      <w:r>
        <w:rPr>
          <w:rFonts w:ascii="Arial"/>
          <w:spacing w:val="-43"/>
          <w:sz w:val="25"/>
        </w:rPr>
        <w:t> </w:t>
      </w:r>
      <w:r>
        <w:rPr>
          <w:rFonts w:ascii="Arial"/>
          <w:sz w:val="25"/>
        </w:rPr>
        <w:t>MARQUES</w:t>
      </w:r>
      <w:r>
        <w:rPr>
          <w:rFonts w:ascii="Arial"/>
          <w:spacing w:val="-28"/>
          <w:sz w:val="25"/>
        </w:rPr>
        <w:t> </w:t>
      </w:r>
      <w:r>
        <w:rPr>
          <w:rFonts w:ascii="Arial"/>
          <w:sz w:val="25"/>
        </w:rPr>
        <w:t>DE</w:t>
      </w:r>
      <w:r>
        <w:rPr>
          <w:rFonts w:ascii="Arial"/>
          <w:spacing w:val="-38"/>
          <w:sz w:val="25"/>
        </w:rPr>
        <w:t> </w:t>
      </w:r>
      <w:r>
        <w:rPr>
          <w:rFonts w:ascii="Arial"/>
          <w:sz w:val="25"/>
        </w:rPr>
        <w:t>TOLEDO</w:t>
      </w:r>
      <w:r>
        <w:rPr>
          <w:rFonts w:ascii="Arial"/>
          <w:spacing w:val="-30"/>
          <w:sz w:val="25"/>
        </w:rPr>
        <w:t> </w:t>
      </w:r>
      <w:r>
        <w:rPr>
          <w:rFonts w:ascii="Arial"/>
          <w:sz w:val="25"/>
        </w:rPr>
        <w:t>CAMARGO</w:t>
        <w:tab/>
        <w:t>EDISON</w:t>
      </w:r>
      <w:r>
        <w:rPr>
          <w:rFonts w:ascii="Arial"/>
          <w:spacing w:val="-26"/>
          <w:sz w:val="25"/>
        </w:rPr>
        <w:t> </w:t>
      </w:r>
      <w:r>
        <w:rPr>
          <w:rFonts w:ascii="Arial"/>
          <w:sz w:val="25"/>
        </w:rPr>
        <w:t>ANTONIO</w:t>
      </w:r>
      <w:r>
        <w:rPr>
          <w:rFonts w:ascii="Arial"/>
          <w:spacing w:val="-22"/>
          <w:sz w:val="25"/>
        </w:rPr>
        <w:t> </w:t>
      </w:r>
      <w:r>
        <w:rPr>
          <w:rFonts w:ascii="Arial"/>
          <w:sz w:val="25"/>
        </w:rPr>
        <w:t>COSTA</w:t>
      </w:r>
      <w:r>
        <w:rPr>
          <w:rFonts w:ascii="Arial"/>
          <w:spacing w:val="-22"/>
          <w:sz w:val="25"/>
        </w:rPr>
        <w:t> </w:t>
      </w:r>
      <w:r>
        <w:rPr>
          <w:rFonts w:ascii="Arial"/>
          <w:sz w:val="25"/>
        </w:rPr>
        <w:t>BRITO</w:t>
      </w:r>
      <w:r>
        <w:rPr>
          <w:rFonts w:ascii="Arial"/>
          <w:spacing w:val="-28"/>
          <w:sz w:val="25"/>
        </w:rPr>
        <w:t> </w:t>
      </w:r>
      <w:r>
        <w:rPr>
          <w:rFonts w:ascii="Arial"/>
          <w:sz w:val="25"/>
        </w:rPr>
        <w:t>GARCIA</w:t>
      </w:r>
    </w:p>
    <w:p>
      <w:pPr>
        <w:pStyle w:val="BodyText"/>
        <w:rPr>
          <w:rFonts w:ascii="Arial"/>
        </w:rPr>
      </w:pPr>
    </w:p>
    <w:p>
      <w:pPr>
        <w:pStyle w:val="BodyText"/>
        <w:rPr>
          <w:rFonts w:ascii="Arial"/>
        </w:rPr>
      </w:pPr>
    </w:p>
    <w:p>
      <w:pPr>
        <w:spacing w:after="0"/>
        <w:rPr>
          <w:rFonts w:ascii="Arial"/>
        </w:rPr>
        <w:sectPr>
          <w:type w:val="continuous"/>
          <w:pgSz w:w="11920" w:h="16820"/>
          <w:pgMar w:top="1600" w:bottom="280" w:left="940" w:right="540"/>
        </w:sectPr>
      </w:pPr>
    </w:p>
    <w:p>
      <w:pPr>
        <w:pStyle w:val="BodyText"/>
        <w:spacing w:before="3"/>
        <w:rPr>
          <w:rFonts w:ascii="Arial"/>
          <w:sz w:val="23"/>
        </w:rPr>
      </w:pPr>
    </w:p>
    <w:p>
      <w:pPr>
        <w:spacing w:before="0"/>
        <w:ind w:left="423" w:right="0" w:firstLine="0"/>
        <w:jc w:val="left"/>
        <w:rPr>
          <w:rFonts w:ascii="Arial"/>
          <w:sz w:val="25"/>
        </w:rPr>
      </w:pPr>
      <w:r>
        <w:rPr>
          <w:rFonts w:ascii="Arial"/>
          <w:w w:val="95"/>
          <w:sz w:val="25"/>
        </w:rPr>
        <w:t>BOLIVAR TARRAGO MOURA NETO</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3"/>
        <w:rPr>
          <w:rFonts w:ascii="Arial"/>
          <w:sz w:val="26"/>
        </w:rPr>
      </w:pPr>
    </w:p>
    <w:p>
      <w:pPr>
        <w:spacing w:before="0"/>
        <w:ind w:left="365" w:right="0" w:firstLine="0"/>
        <w:jc w:val="left"/>
        <w:rPr>
          <w:rFonts w:ascii="Arial"/>
          <w:sz w:val="25"/>
        </w:rPr>
      </w:pPr>
      <w:r>
        <w:rPr>
          <w:rFonts w:ascii="Arial"/>
          <w:sz w:val="25"/>
        </w:rPr>
        <w:t>MARCELLO JOAQUIM PACHECO</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4"/>
        <w:rPr>
          <w:rFonts w:ascii="Arial"/>
          <w:sz w:val="24"/>
        </w:rPr>
      </w:pPr>
    </w:p>
    <w:p>
      <w:pPr>
        <w:spacing w:before="0"/>
        <w:ind w:left="371" w:right="0" w:firstLine="0"/>
        <w:jc w:val="left"/>
        <w:rPr>
          <w:rFonts w:ascii="Arial"/>
          <w:sz w:val="25"/>
        </w:rPr>
      </w:pPr>
      <w:r>
        <w:rPr>
          <w:rFonts w:ascii="Arial"/>
          <w:sz w:val="25"/>
        </w:rPr>
        <w:t>RICARDO BERNARDO DA SILVA</w:t>
      </w:r>
    </w:p>
    <w:p>
      <w:pPr>
        <w:spacing w:before="246"/>
        <w:ind w:left="295" w:right="175" w:firstLine="0"/>
        <w:jc w:val="center"/>
        <w:rPr>
          <w:rFonts w:ascii="Arial"/>
          <w:sz w:val="25"/>
        </w:rPr>
      </w:pPr>
      <w:r>
        <w:rPr/>
        <w:br w:type="column"/>
      </w:r>
      <w:r>
        <w:rPr>
          <w:rFonts w:ascii="Arial"/>
          <w:sz w:val="25"/>
        </w:rPr>
        <w:t>HANDERSON CABRAL</w:t>
      </w:r>
      <w:r>
        <w:rPr>
          <w:rFonts w:ascii="Arial"/>
          <w:spacing w:val="-52"/>
          <w:sz w:val="25"/>
        </w:rPr>
        <w:t> </w:t>
      </w:r>
      <w:r>
        <w:rPr>
          <w:rFonts w:ascii="Arial"/>
          <w:sz w:val="25"/>
        </w:rPr>
        <w:t>RIBEIRO</w:t>
      </w:r>
    </w:p>
    <w:p>
      <w:pPr>
        <w:pStyle w:val="BodyText"/>
        <w:rPr>
          <w:rFonts w:ascii="Arial"/>
          <w:sz w:val="28"/>
        </w:rPr>
      </w:pPr>
    </w:p>
    <w:p>
      <w:pPr>
        <w:pStyle w:val="BodyText"/>
        <w:rPr>
          <w:rFonts w:ascii="Arial"/>
          <w:sz w:val="28"/>
        </w:rPr>
      </w:pPr>
    </w:p>
    <w:p>
      <w:pPr>
        <w:pStyle w:val="BodyText"/>
        <w:rPr>
          <w:rFonts w:ascii="Arial"/>
          <w:sz w:val="28"/>
        </w:rPr>
      </w:pPr>
    </w:p>
    <w:p>
      <w:pPr>
        <w:pStyle w:val="BodyText"/>
        <w:rPr>
          <w:rFonts w:ascii="Arial"/>
          <w:sz w:val="25"/>
        </w:rPr>
      </w:pPr>
    </w:p>
    <w:p>
      <w:pPr>
        <w:spacing w:before="0"/>
        <w:ind w:left="295" w:right="159" w:firstLine="0"/>
        <w:jc w:val="center"/>
        <w:rPr>
          <w:rFonts w:ascii="Arial"/>
          <w:sz w:val="25"/>
        </w:rPr>
      </w:pPr>
      <w:r>
        <w:rPr>
          <w:rFonts w:ascii="Arial"/>
          <w:sz w:val="25"/>
        </w:rPr>
        <w:t>RAFAEL LYCURGO LEITE</w:t>
      </w:r>
    </w:p>
    <w:p>
      <w:pPr>
        <w:pStyle w:val="BodyText"/>
        <w:rPr>
          <w:rFonts w:ascii="Arial"/>
          <w:sz w:val="28"/>
        </w:rPr>
      </w:pPr>
    </w:p>
    <w:p>
      <w:pPr>
        <w:pStyle w:val="BodyText"/>
        <w:rPr>
          <w:rFonts w:ascii="Arial"/>
          <w:sz w:val="28"/>
        </w:rPr>
      </w:pPr>
    </w:p>
    <w:p>
      <w:pPr>
        <w:pStyle w:val="BodyText"/>
        <w:rPr>
          <w:rFonts w:ascii="Arial"/>
          <w:sz w:val="28"/>
        </w:rPr>
      </w:pPr>
    </w:p>
    <w:p>
      <w:pPr>
        <w:pStyle w:val="BodyText"/>
        <w:spacing w:before="4"/>
        <w:rPr>
          <w:rFonts w:ascii="Arial"/>
          <w:sz w:val="24"/>
        </w:rPr>
      </w:pPr>
    </w:p>
    <w:p>
      <w:pPr>
        <w:spacing w:before="0"/>
        <w:ind w:left="1064" w:right="0" w:firstLine="0"/>
        <w:jc w:val="left"/>
        <w:rPr>
          <w:rFonts w:ascii="Arial"/>
          <w:sz w:val="25"/>
        </w:rPr>
      </w:pPr>
      <w:r>
        <w:rPr>
          <w:rFonts w:ascii="Arial"/>
          <w:sz w:val="25"/>
        </w:rPr>
        <w:t>TIAGO MODESTO COSTA</w:t>
      </w:r>
    </w:p>
    <w:p>
      <w:pPr>
        <w:spacing w:after="0"/>
        <w:jc w:val="left"/>
        <w:rPr>
          <w:rFonts w:ascii="Arial"/>
          <w:sz w:val="25"/>
        </w:rPr>
        <w:sectPr>
          <w:type w:val="continuous"/>
          <w:pgSz w:w="11920" w:h="16820"/>
          <w:pgMar w:top="1600" w:bottom="280" w:left="940" w:right="540"/>
          <w:cols w:num="2" w:equalWidth="0">
            <w:col w:w="4455" w:space="1762"/>
            <w:col w:w="4223"/>
          </w:cols>
        </w:sectPr>
      </w:pPr>
    </w:p>
    <w:p>
      <w:pPr>
        <w:pStyle w:val="BodyText"/>
        <w:rPr>
          <w:rFonts w:ascii="Arial"/>
        </w:rPr>
      </w:pPr>
    </w:p>
    <w:p>
      <w:pPr>
        <w:pStyle w:val="BodyText"/>
        <w:rPr>
          <w:rFonts w:ascii="Arial"/>
        </w:rPr>
      </w:pPr>
    </w:p>
    <w:p>
      <w:pPr>
        <w:pStyle w:val="BodyText"/>
        <w:spacing w:before="8"/>
        <w:rPr>
          <w:rFonts w:ascii="Arial"/>
          <w:sz w:val="22"/>
        </w:rPr>
      </w:pPr>
    </w:p>
    <w:p>
      <w:pPr>
        <w:spacing w:before="0"/>
        <w:ind w:left="3642" w:right="0" w:firstLine="0"/>
        <w:jc w:val="left"/>
        <w:rPr>
          <w:rFonts w:ascii="Arial"/>
          <w:sz w:val="25"/>
        </w:rPr>
      </w:pPr>
      <w:r>
        <w:rPr>
          <w:rFonts w:ascii="Arial"/>
          <w:sz w:val="25"/>
        </w:rPr>
        <w:t>WALTER LUIS BERNARDES ALBERTONI</w:t>
      </w:r>
    </w:p>
    <w:p>
      <w:pPr>
        <w:spacing w:after="0"/>
        <w:jc w:val="left"/>
        <w:rPr>
          <w:rFonts w:ascii="Arial"/>
          <w:sz w:val="25"/>
        </w:rPr>
        <w:sectPr>
          <w:type w:val="continuous"/>
          <w:pgSz w:w="11920" w:h="16820"/>
          <w:pgMar w:top="1600" w:bottom="280" w:left="940" w:right="540"/>
        </w:sectPr>
      </w:pPr>
    </w:p>
    <w:p>
      <w:pPr>
        <w:tabs>
          <w:tab w:pos="4819" w:val="left" w:leader="none"/>
        </w:tabs>
        <w:spacing w:before="71"/>
        <w:ind w:left="2746" w:right="0" w:firstLine="0"/>
        <w:jc w:val="left"/>
        <w:rPr>
          <w:rFonts w:ascii="Arial"/>
          <w:sz w:val="27"/>
        </w:rPr>
      </w:pPr>
      <w:r>
        <w:rPr/>
        <w:drawing>
          <wp:anchor distT="0" distB="0" distL="0" distR="0" allowOverlap="1" layoutInCell="1" locked="0" behindDoc="0" simplePos="0" relativeHeight="15794176">
            <wp:simplePos x="0" y="0"/>
            <wp:positionH relativeFrom="page">
              <wp:posOffset>827309</wp:posOffset>
            </wp:positionH>
            <wp:positionV relativeFrom="paragraph">
              <wp:posOffset>59592</wp:posOffset>
            </wp:positionV>
            <wp:extent cx="1192971" cy="589816"/>
            <wp:effectExtent l="0" t="0" r="0" b="0"/>
            <wp:wrapNone/>
            <wp:docPr id="93" name="image20.png"/>
            <wp:cNvGraphicFramePr>
              <a:graphicFrameLocks noChangeAspect="1"/>
            </wp:cNvGraphicFramePr>
            <a:graphic>
              <a:graphicData uri="http://schemas.openxmlformats.org/drawingml/2006/picture">
                <pic:pic>
                  <pic:nvPicPr>
                    <pic:cNvPr id="94" name="image20.png"/>
                    <pic:cNvPicPr/>
                  </pic:nvPicPr>
                  <pic:blipFill>
                    <a:blip r:embed="rId102" cstate="print"/>
                    <a:stretch>
                      <a:fillRect/>
                    </a:stretch>
                  </pic:blipFill>
                  <pic:spPr>
                    <a:xfrm>
                      <a:off x="0" y="0"/>
                      <a:ext cx="1192971" cy="589816"/>
                    </a:xfrm>
                    <a:prstGeom prst="rect">
                      <a:avLst/>
                    </a:prstGeom>
                  </pic:spPr>
                </pic:pic>
              </a:graphicData>
            </a:graphic>
          </wp:anchor>
        </w:drawing>
      </w:r>
      <w:r>
        <w:rPr>
          <w:rFonts w:ascii="Arial"/>
          <w:sz w:val="27"/>
        </w:rPr>
        <w:t>C</w:t>
      </w:r>
      <w:r>
        <w:rPr>
          <w:rFonts w:ascii="Arial"/>
          <w:spacing w:val="-49"/>
          <w:sz w:val="27"/>
        </w:rPr>
        <w:t> </w:t>
      </w:r>
      <w:r>
        <w:rPr>
          <w:rFonts w:ascii="Arial"/>
          <w:sz w:val="27"/>
        </w:rPr>
        <w:t>0</w:t>
      </w:r>
      <w:r>
        <w:rPr>
          <w:rFonts w:ascii="Arial"/>
          <w:spacing w:val="-34"/>
          <w:sz w:val="27"/>
        </w:rPr>
        <w:t> </w:t>
      </w:r>
      <w:r>
        <w:rPr>
          <w:rFonts w:ascii="Arial"/>
          <w:sz w:val="27"/>
        </w:rPr>
        <w:t>M</w:t>
      </w:r>
      <w:r>
        <w:rPr>
          <w:rFonts w:ascii="Arial"/>
          <w:spacing w:val="-41"/>
          <w:sz w:val="27"/>
        </w:rPr>
        <w:t> </w:t>
      </w:r>
      <w:r>
        <w:rPr>
          <w:rFonts w:ascii="Arial"/>
          <w:sz w:val="27"/>
        </w:rPr>
        <w:t>PAN</w:t>
      </w:r>
      <w:r>
        <w:rPr>
          <w:rFonts w:ascii="Arial"/>
          <w:spacing w:val="-51"/>
          <w:sz w:val="27"/>
        </w:rPr>
        <w:t> </w:t>
      </w:r>
      <w:r>
        <w:rPr>
          <w:rFonts w:ascii="Arial"/>
          <w:sz w:val="27"/>
        </w:rPr>
        <w:t>H</w:t>
      </w:r>
      <w:r>
        <w:rPr>
          <w:rFonts w:ascii="Arial"/>
          <w:spacing w:val="-56"/>
          <w:sz w:val="27"/>
        </w:rPr>
        <w:t> </w:t>
      </w:r>
      <w:r>
        <w:rPr>
          <w:rFonts w:ascii="Arial"/>
          <w:sz w:val="27"/>
        </w:rPr>
        <w:t>I</w:t>
      </w:r>
      <w:r>
        <w:rPr>
          <w:rFonts w:ascii="Arial"/>
          <w:spacing w:val="-36"/>
          <w:sz w:val="27"/>
        </w:rPr>
        <w:t> </w:t>
      </w:r>
      <w:r>
        <w:rPr>
          <w:rFonts w:ascii="Arial"/>
          <w:sz w:val="27"/>
        </w:rPr>
        <w:t>A</w:t>
        <w:tab/>
      </w:r>
      <w:r>
        <w:rPr>
          <w:rFonts w:ascii="Arial"/>
          <w:spacing w:val="9"/>
          <w:sz w:val="27"/>
        </w:rPr>
        <w:t>NE</w:t>
      </w:r>
      <w:r>
        <w:rPr>
          <w:rFonts w:ascii="Arial"/>
          <w:spacing w:val="-42"/>
          <w:sz w:val="27"/>
        </w:rPr>
        <w:t> </w:t>
      </w:r>
      <w:r>
        <w:rPr>
          <w:rFonts w:ascii="Arial"/>
          <w:sz w:val="27"/>
        </w:rPr>
        <w:t>RG</w:t>
      </w:r>
      <w:r>
        <w:rPr>
          <w:rFonts w:ascii="Arial"/>
          <w:spacing w:val="-34"/>
          <w:sz w:val="27"/>
        </w:rPr>
        <w:t> </w:t>
      </w:r>
      <w:r>
        <w:rPr>
          <w:rFonts w:ascii="Arial"/>
          <w:sz w:val="27"/>
        </w:rPr>
        <w:t>ET</w:t>
      </w:r>
      <w:r>
        <w:rPr>
          <w:rFonts w:ascii="Arial"/>
          <w:spacing w:val="-44"/>
          <w:sz w:val="27"/>
        </w:rPr>
        <w:t> </w:t>
      </w:r>
      <w:r>
        <w:rPr>
          <w:rFonts w:ascii="Arial"/>
          <w:spacing w:val="7"/>
          <w:sz w:val="27"/>
        </w:rPr>
        <w:t>ICA</w:t>
      </w:r>
      <w:r>
        <w:rPr>
          <w:rFonts w:ascii="Arial"/>
          <w:spacing w:val="57"/>
          <w:sz w:val="27"/>
        </w:rPr>
        <w:t> </w:t>
      </w:r>
      <w:r>
        <w:rPr>
          <w:rFonts w:ascii="Arial"/>
          <w:sz w:val="27"/>
        </w:rPr>
        <w:t>DE</w:t>
      </w:r>
      <w:r>
        <w:rPr>
          <w:rFonts w:ascii="Arial"/>
          <w:spacing w:val="52"/>
          <w:sz w:val="27"/>
        </w:rPr>
        <w:t> </w:t>
      </w:r>
      <w:r>
        <w:rPr>
          <w:rFonts w:ascii="Arial"/>
          <w:sz w:val="27"/>
        </w:rPr>
        <w:t>B</w:t>
      </w:r>
      <w:r>
        <w:rPr>
          <w:rFonts w:ascii="Arial"/>
          <w:spacing w:val="-14"/>
          <w:sz w:val="27"/>
        </w:rPr>
        <w:t> </w:t>
      </w:r>
      <w:r>
        <w:rPr>
          <w:rFonts w:ascii="Arial"/>
          <w:sz w:val="27"/>
        </w:rPr>
        <w:t>RAS</w:t>
      </w:r>
      <w:r>
        <w:rPr>
          <w:rFonts w:ascii="Arial"/>
          <w:spacing w:val="-44"/>
          <w:sz w:val="27"/>
        </w:rPr>
        <w:t> </w:t>
      </w:r>
      <w:r>
        <w:rPr>
          <w:rFonts w:ascii="Arial"/>
          <w:sz w:val="27"/>
        </w:rPr>
        <w:t>I</w:t>
      </w:r>
      <w:r>
        <w:rPr>
          <w:rFonts w:ascii="Arial"/>
          <w:spacing w:val="-46"/>
          <w:sz w:val="27"/>
        </w:rPr>
        <w:t> </w:t>
      </w:r>
      <w:r>
        <w:rPr>
          <w:rFonts w:ascii="Arial"/>
          <w:sz w:val="27"/>
        </w:rPr>
        <w:t>LI</w:t>
      </w:r>
      <w:r>
        <w:rPr>
          <w:rFonts w:ascii="Arial"/>
          <w:spacing w:val="-9"/>
          <w:sz w:val="27"/>
        </w:rPr>
        <w:t> </w:t>
      </w:r>
      <w:r>
        <w:rPr>
          <w:rFonts w:ascii="Arial"/>
          <w:sz w:val="27"/>
        </w:rPr>
        <w:t>A</w:t>
      </w:r>
      <w:r>
        <w:rPr>
          <w:rFonts w:ascii="Arial"/>
          <w:spacing w:val="62"/>
          <w:sz w:val="27"/>
        </w:rPr>
        <w:t> </w:t>
      </w:r>
      <w:r>
        <w:rPr>
          <w:rFonts w:ascii="Arial"/>
          <w:sz w:val="27"/>
        </w:rPr>
        <w:t>-</w:t>
      </w:r>
      <w:r>
        <w:rPr>
          <w:rFonts w:ascii="Arial"/>
          <w:spacing w:val="48"/>
          <w:sz w:val="27"/>
        </w:rPr>
        <w:t> </w:t>
      </w:r>
      <w:r>
        <w:rPr>
          <w:rFonts w:ascii="Arial"/>
          <w:sz w:val="27"/>
        </w:rPr>
        <w:t>C</w:t>
      </w:r>
      <w:r>
        <w:rPr>
          <w:rFonts w:ascii="Arial"/>
          <w:spacing w:val="-29"/>
          <w:sz w:val="27"/>
        </w:rPr>
        <w:t> </w:t>
      </w:r>
      <w:r>
        <w:rPr>
          <w:rFonts w:ascii="Arial"/>
          <w:sz w:val="27"/>
        </w:rPr>
        <w:t>E</w:t>
      </w:r>
      <w:r>
        <w:rPr>
          <w:rFonts w:ascii="Arial"/>
          <w:spacing w:val="-40"/>
          <w:sz w:val="27"/>
        </w:rPr>
        <w:t> </w:t>
      </w:r>
      <w:r>
        <w:rPr>
          <w:rFonts w:ascii="Arial"/>
          <w:sz w:val="27"/>
        </w:rPr>
        <w:t>B</w:t>
      </w:r>
    </w:p>
    <w:p>
      <w:pPr>
        <w:pStyle w:val="BodyText"/>
        <w:spacing w:before="10"/>
        <w:rPr>
          <w:rFonts w:ascii="Arial"/>
          <w:sz w:val="23"/>
        </w:rPr>
      </w:pPr>
    </w:p>
    <w:p>
      <w:pPr>
        <w:spacing w:before="0"/>
        <w:ind w:left="966" w:right="1543" w:firstLine="0"/>
        <w:jc w:val="center"/>
        <w:rPr>
          <w:rFonts w:ascii="Arial"/>
          <w:sz w:val="43"/>
        </w:rPr>
      </w:pPr>
      <w:r>
        <w:rPr>
          <w:rFonts w:ascii="Arial"/>
          <w:sz w:val="43"/>
        </w:rPr>
        <w:t>ONSEL HO FISCAL</w:t>
      </w:r>
    </w:p>
    <w:p>
      <w:pPr>
        <w:pStyle w:val="BodyText"/>
        <w:spacing w:before="5"/>
        <w:rPr>
          <w:rFonts w:ascii="Arial"/>
          <w:sz w:val="55"/>
        </w:rPr>
      </w:pPr>
    </w:p>
    <w:p>
      <w:pPr>
        <w:spacing w:before="1"/>
        <w:ind w:left="2843" w:right="0" w:firstLine="0"/>
        <w:jc w:val="left"/>
        <w:rPr>
          <w:rFonts w:ascii="Arial"/>
          <w:sz w:val="32"/>
        </w:rPr>
      </w:pPr>
      <w:r>
        <w:rPr>
          <w:rFonts w:ascii="Arial"/>
          <w:w w:val="95"/>
          <w:sz w:val="32"/>
        </w:rPr>
        <w:t>PARECER DO CONSELHO FISCAL</w:t>
      </w:r>
    </w:p>
    <w:p>
      <w:pPr>
        <w:pStyle w:val="BodyText"/>
        <w:rPr>
          <w:rFonts w:ascii="Arial"/>
        </w:rPr>
      </w:pPr>
    </w:p>
    <w:p>
      <w:pPr>
        <w:pStyle w:val="BodyText"/>
        <w:rPr>
          <w:rFonts w:ascii="Arial"/>
          <w:sz w:val="18"/>
        </w:rPr>
      </w:pPr>
    </w:p>
    <w:p>
      <w:pPr>
        <w:spacing w:line="244" w:lineRule="auto" w:before="91"/>
        <w:ind w:left="112" w:right="253" w:firstLine="1426"/>
        <w:jc w:val="both"/>
        <w:rPr>
          <w:rFonts w:ascii="Arial" w:hAnsi="Arial"/>
          <w:sz w:val="27"/>
        </w:rPr>
      </w:pPr>
      <w:r>
        <w:rPr>
          <w:rFonts w:ascii="Arial" w:hAnsi="Arial"/>
          <w:w w:val="75"/>
          <w:sz w:val="27"/>
        </w:rPr>
        <w:t>0 Conselho Fiscal da Companhia Energética de Brasilia - CEB, no âmbito das suas atribui§âes legais</w:t>
      </w:r>
      <w:r>
        <w:rPr>
          <w:rFonts w:ascii="Arial" w:hAnsi="Arial"/>
          <w:spacing w:val="-5"/>
          <w:w w:val="75"/>
          <w:sz w:val="27"/>
        </w:rPr>
        <w:t> </w:t>
      </w:r>
      <w:r>
        <w:rPr>
          <w:rFonts w:ascii="Arial" w:hAnsi="Arial"/>
          <w:w w:val="75"/>
          <w:sz w:val="27"/>
        </w:rPr>
        <w:t>e</w:t>
      </w:r>
      <w:r>
        <w:rPr>
          <w:rFonts w:ascii="Arial" w:hAnsi="Arial"/>
          <w:spacing w:val="-15"/>
          <w:w w:val="75"/>
          <w:sz w:val="27"/>
        </w:rPr>
        <w:t> </w:t>
      </w:r>
      <w:r>
        <w:rPr>
          <w:rFonts w:ascii="Arial" w:hAnsi="Arial"/>
          <w:w w:val="75"/>
          <w:sz w:val="27"/>
        </w:rPr>
        <w:t>estatutanas,</w:t>
      </w:r>
      <w:r>
        <w:rPr>
          <w:rFonts w:ascii="Arial" w:hAnsi="Arial"/>
          <w:spacing w:val="-7"/>
          <w:w w:val="75"/>
          <w:sz w:val="27"/>
        </w:rPr>
        <w:t> </w:t>
      </w:r>
      <w:r>
        <w:rPr>
          <w:rFonts w:ascii="Arial" w:hAnsi="Arial"/>
          <w:w w:val="75"/>
          <w:sz w:val="27"/>
        </w:rPr>
        <w:t>conheceu</w:t>
      </w:r>
      <w:r>
        <w:rPr>
          <w:rFonts w:ascii="Arial" w:hAnsi="Arial"/>
          <w:spacing w:val="-9"/>
          <w:w w:val="75"/>
          <w:sz w:val="27"/>
        </w:rPr>
        <w:t> </w:t>
      </w:r>
      <w:r>
        <w:rPr>
          <w:rFonts w:ascii="Arial" w:hAnsi="Arial"/>
          <w:w w:val="75"/>
          <w:sz w:val="27"/>
        </w:rPr>
        <w:t>o</w:t>
      </w:r>
      <w:r>
        <w:rPr>
          <w:rFonts w:ascii="Arial" w:hAnsi="Arial"/>
          <w:spacing w:val="-17"/>
          <w:w w:val="75"/>
          <w:sz w:val="27"/>
        </w:rPr>
        <w:t> </w:t>
      </w:r>
      <w:r>
        <w:rPr>
          <w:rFonts w:ascii="Arial" w:hAnsi="Arial"/>
          <w:w w:val="75"/>
          <w:sz w:val="27"/>
        </w:rPr>
        <w:t>Relatorio</w:t>
      </w:r>
      <w:r>
        <w:rPr>
          <w:rFonts w:ascii="Arial" w:hAnsi="Arial"/>
          <w:spacing w:val="-2"/>
          <w:w w:val="75"/>
          <w:sz w:val="27"/>
        </w:rPr>
        <w:t> </w:t>
      </w:r>
      <w:r>
        <w:rPr>
          <w:rFonts w:ascii="Arial" w:hAnsi="Arial"/>
          <w:w w:val="75"/>
          <w:sz w:val="27"/>
        </w:rPr>
        <w:t>Anual</w:t>
      </w:r>
      <w:r>
        <w:rPr>
          <w:rFonts w:ascii="Arial" w:hAnsi="Arial"/>
          <w:spacing w:val="-16"/>
          <w:w w:val="75"/>
          <w:sz w:val="27"/>
        </w:rPr>
        <w:t> </w:t>
      </w:r>
      <w:r>
        <w:rPr>
          <w:rFonts w:ascii="Arial" w:hAnsi="Arial"/>
          <w:w w:val="75"/>
          <w:sz w:val="27"/>
        </w:rPr>
        <w:t>da</w:t>
      </w:r>
      <w:r>
        <w:rPr>
          <w:rFonts w:ascii="Arial" w:hAnsi="Arial"/>
          <w:spacing w:val="-7"/>
          <w:w w:val="75"/>
          <w:sz w:val="27"/>
        </w:rPr>
        <w:t> </w:t>
      </w:r>
      <w:r>
        <w:rPr>
          <w:rFonts w:ascii="Arial" w:hAnsi="Arial"/>
          <w:w w:val="75"/>
          <w:sz w:val="27"/>
        </w:rPr>
        <w:t>Administragâo</w:t>
      </w:r>
      <w:r>
        <w:rPr>
          <w:rFonts w:ascii="Arial" w:hAnsi="Arial"/>
          <w:spacing w:val="6"/>
          <w:w w:val="75"/>
          <w:sz w:val="27"/>
        </w:rPr>
        <w:t> </w:t>
      </w:r>
      <w:r>
        <w:rPr>
          <w:rFonts w:ascii="Arial" w:hAnsi="Arial"/>
          <w:w w:val="75"/>
          <w:sz w:val="27"/>
        </w:rPr>
        <w:t>referente</w:t>
      </w:r>
      <w:r>
        <w:rPr>
          <w:rFonts w:ascii="Arial" w:hAnsi="Arial"/>
          <w:spacing w:val="5"/>
          <w:w w:val="75"/>
          <w:sz w:val="27"/>
        </w:rPr>
        <w:t> </w:t>
      </w:r>
      <w:r>
        <w:rPr>
          <w:rFonts w:ascii="Arial" w:hAnsi="Arial"/>
          <w:w w:val="75"/>
          <w:sz w:val="27"/>
        </w:rPr>
        <w:t>ao</w:t>
      </w:r>
      <w:r>
        <w:rPr>
          <w:rFonts w:ascii="Arial" w:hAnsi="Arial"/>
          <w:spacing w:val="-12"/>
          <w:w w:val="75"/>
          <w:sz w:val="27"/>
        </w:rPr>
        <w:t> </w:t>
      </w:r>
      <w:r>
        <w:rPr>
          <w:rFonts w:ascii="Arial" w:hAnsi="Arial"/>
          <w:w w:val="75"/>
          <w:sz w:val="27"/>
        </w:rPr>
        <w:t>exercicio</w:t>
      </w:r>
      <w:r>
        <w:rPr>
          <w:rFonts w:ascii="Arial" w:hAnsi="Arial"/>
          <w:spacing w:val="-4"/>
          <w:w w:val="75"/>
          <w:sz w:val="27"/>
        </w:rPr>
        <w:t> </w:t>
      </w:r>
      <w:r>
        <w:rPr>
          <w:rFonts w:ascii="Arial" w:hAnsi="Arial"/>
          <w:w w:val="75"/>
          <w:sz w:val="27"/>
        </w:rPr>
        <w:t>de</w:t>
      </w:r>
      <w:r>
        <w:rPr>
          <w:rFonts w:ascii="Arial" w:hAnsi="Arial"/>
          <w:spacing w:val="-12"/>
          <w:w w:val="75"/>
          <w:sz w:val="27"/>
        </w:rPr>
        <w:t> </w:t>
      </w:r>
      <w:r>
        <w:rPr>
          <w:rFonts w:ascii="Arial" w:hAnsi="Arial"/>
          <w:w w:val="75"/>
          <w:sz w:val="27"/>
        </w:rPr>
        <w:t>2019,</w:t>
      </w:r>
      <w:r>
        <w:rPr>
          <w:rFonts w:ascii="Arial" w:hAnsi="Arial"/>
          <w:spacing w:val="-11"/>
          <w:w w:val="75"/>
          <w:sz w:val="27"/>
        </w:rPr>
        <w:t> </w:t>
      </w:r>
      <w:r>
        <w:rPr>
          <w:rFonts w:ascii="Arial" w:hAnsi="Arial"/>
          <w:w w:val="75"/>
          <w:sz w:val="27"/>
        </w:rPr>
        <w:t>e</w:t>
      </w:r>
      <w:r>
        <w:rPr>
          <w:rFonts w:ascii="Arial" w:hAnsi="Arial"/>
          <w:spacing w:val="-14"/>
          <w:w w:val="75"/>
          <w:sz w:val="27"/>
        </w:rPr>
        <w:t> </w:t>
      </w:r>
      <w:r>
        <w:rPr>
          <w:rFonts w:ascii="Arial" w:hAnsi="Arial"/>
          <w:w w:val="75"/>
          <w:sz w:val="27"/>
        </w:rPr>
        <w:t>examinou</w:t>
      </w:r>
      <w:r>
        <w:rPr>
          <w:rFonts w:ascii="Arial" w:hAnsi="Arial"/>
          <w:spacing w:val="-7"/>
          <w:w w:val="75"/>
          <w:sz w:val="27"/>
        </w:rPr>
        <w:t> </w:t>
      </w:r>
      <w:r>
        <w:rPr>
          <w:rFonts w:ascii="Arial" w:hAnsi="Arial"/>
          <w:w w:val="75"/>
          <w:sz w:val="27"/>
        </w:rPr>
        <w:t>o Balanpo Patrimonial Individual e Consolidado da Companhia Energética de Brasilia - CEB, levantados em 31 de dezembro de 2019, as respectivas Demonstraqoes de Resultados, das mutapoes do patrimânio liquido e dos fluxos</w:t>
      </w:r>
      <w:r>
        <w:rPr>
          <w:rFonts w:ascii="Arial" w:hAnsi="Arial"/>
          <w:spacing w:val="-15"/>
          <w:w w:val="75"/>
          <w:sz w:val="27"/>
        </w:rPr>
        <w:t> </w:t>
      </w:r>
      <w:r>
        <w:rPr>
          <w:rFonts w:ascii="Arial" w:hAnsi="Arial"/>
          <w:w w:val="75"/>
          <w:sz w:val="27"/>
        </w:rPr>
        <w:t>de</w:t>
      </w:r>
      <w:r>
        <w:rPr>
          <w:rFonts w:ascii="Arial" w:hAnsi="Arial"/>
          <w:spacing w:val="-19"/>
          <w:w w:val="75"/>
          <w:sz w:val="27"/>
        </w:rPr>
        <w:t> </w:t>
      </w:r>
      <w:r>
        <w:rPr>
          <w:rFonts w:ascii="Arial" w:hAnsi="Arial"/>
          <w:w w:val="75"/>
          <w:sz w:val="27"/>
        </w:rPr>
        <w:t>caixa</w:t>
      </w:r>
      <w:r>
        <w:rPr>
          <w:rFonts w:ascii="Arial" w:hAnsi="Arial"/>
          <w:spacing w:val="21"/>
          <w:w w:val="75"/>
          <w:sz w:val="27"/>
        </w:rPr>
        <w:t> </w:t>
      </w:r>
      <w:r>
        <w:rPr>
          <w:rFonts w:ascii="Arial" w:hAnsi="Arial"/>
          <w:w w:val="75"/>
          <w:sz w:val="27"/>
        </w:rPr>
        <w:t>As</w:t>
      </w:r>
      <w:r>
        <w:rPr>
          <w:rFonts w:ascii="Arial" w:hAnsi="Arial"/>
          <w:spacing w:val="-20"/>
          <w:w w:val="75"/>
          <w:sz w:val="27"/>
        </w:rPr>
        <w:t> </w:t>
      </w:r>
      <w:r>
        <w:rPr>
          <w:rFonts w:ascii="Arial" w:hAnsi="Arial"/>
          <w:w w:val="75"/>
          <w:sz w:val="27"/>
        </w:rPr>
        <w:t>pepas</w:t>
      </w:r>
      <w:r>
        <w:rPr>
          <w:rFonts w:ascii="Arial" w:hAnsi="Arial"/>
          <w:spacing w:val="-6"/>
          <w:w w:val="75"/>
          <w:sz w:val="27"/>
        </w:rPr>
        <w:t> </w:t>
      </w:r>
      <w:r>
        <w:rPr>
          <w:rFonts w:ascii="Arial" w:hAnsi="Arial"/>
          <w:w w:val="75"/>
          <w:sz w:val="27"/>
        </w:rPr>
        <w:t>foram</w:t>
      </w:r>
      <w:r>
        <w:rPr>
          <w:rFonts w:ascii="Arial" w:hAnsi="Arial"/>
          <w:spacing w:val="-13"/>
          <w:w w:val="75"/>
          <w:sz w:val="27"/>
        </w:rPr>
        <w:t> </w:t>
      </w:r>
      <w:r>
        <w:rPr>
          <w:rFonts w:ascii="Arial" w:hAnsi="Arial"/>
          <w:w w:val="75"/>
          <w:sz w:val="27"/>
        </w:rPr>
        <w:t>apresentadas</w:t>
      </w:r>
      <w:r>
        <w:rPr>
          <w:rFonts w:ascii="Arial" w:hAnsi="Arial"/>
          <w:spacing w:val="-10"/>
          <w:w w:val="75"/>
          <w:sz w:val="27"/>
        </w:rPr>
        <w:t> </w:t>
      </w:r>
      <w:r>
        <w:rPr>
          <w:rFonts w:ascii="Arial" w:hAnsi="Arial"/>
          <w:w w:val="75"/>
          <w:sz w:val="27"/>
        </w:rPr>
        <w:t>de</w:t>
      </w:r>
      <w:r>
        <w:rPr>
          <w:rFonts w:ascii="Arial" w:hAnsi="Arial"/>
          <w:spacing w:val="-15"/>
          <w:w w:val="75"/>
          <w:sz w:val="27"/>
        </w:rPr>
        <w:t> </w:t>
      </w:r>
      <w:r>
        <w:rPr>
          <w:rFonts w:ascii="Arial" w:hAnsi="Arial"/>
          <w:w w:val="75"/>
          <w:sz w:val="27"/>
        </w:rPr>
        <w:t>forma</w:t>
      </w:r>
      <w:r>
        <w:rPr>
          <w:rFonts w:ascii="Arial" w:hAnsi="Arial"/>
          <w:spacing w:val="-14"/>
          <w:w w:val="75"/>
          <w:sz w:val="27"/>
        </w:rPr>
        <w:t> </w:t>
      </w:r>
      <w:r>
        <w:rPr>
          <w:rFonts w:ascii="Arial" w:hAnsi="Arial"/>
          <w:w w:val="75"/>
          <w:sz w:val="27"/>
        </w:rPr>
        <w:t>comparativa</w:t>
      </w:r>
      <w:r>
        <w:rPr>
          <w:rFonts w:ascii="Arial" w:hAnsi="Arial"/>
          <w:spacing w:val="-9"/>
          <w:w w:val="75"/>
          <w:sz w:val="27"/>
        </w:rPr>
        <w:t> </w:t>
      </w:r>
      <w:r>
        <w:rPr>
          <w:rFonts w:ascii="Arial" w:hAnsi="Arial"/>
          <w:w w:val="75"/>
          <w:sz w:val="27"/>
        </w:rPr>
        <w:t>aquelas</w:t>
      </w:r>
      <w:r>
        <w:rPr>
          <w:rFonts w:ascii="Arial" w:hAnsi="Arial"/>
          <w:spacing w:val="-9"/>
          <w:w w:val="75"/>
          <w:sz w:val="27"/>
        </w:rPr>
        <w:t> </w:t>
      </w:r>
      <w:r>
        <w:rPr>
          <w:rFonts w:ascii="Arial" w:hAnsi="Arial"/>
          <w:w w:val="75"/>
          <w:sz w:val="27"/>
        </w:rPr>
        <w:t>encerradas</w:t>
      </w:r>
      <w:r>
        <w:rPr>
          <w:rFonts w:ascii="Arial" w:hAnsi="Arial"/>
          <w:spacing w:val="-9"/>
          <w:w w:val="75"/>
          <w:sz w:val="27"/>
        </w:rPr>
        <w:t> </w:t>
      </w:r>
      <w:r>
        <w:rPr>
          <w:rFonts w:ascii="Arial" w:hAnsi="Arial"/>
          <w:w w:val="75"/>
          <w:sz w:val="27"/>
        </w:rPr>
        <w:t>no</w:t>
      </w:r>
      <w:r>
        <w:rPr>
          <w:rFonts w:ascii="Arial" w:hAnsi="Arial"/>
          <w:spacing w:val="-16"/>
          <w:w w:val="75"/>
          <w:sz w:val="27"/>
        </w:rPr>
        <w:t> </w:t>
      </w:r>
      <w:r>
        <w:rPr>
          <w:rFonts w:ascii="Arial" w:hAnsi="Arial"/>
          <w:w w:val="75"/>
          <w:sz w:val="27"/>
        </w:rPr>
        <w:t>exercicio</w:t>
      </w:r>
      <w:r>
        <w:rPr>
          <w:rFonts w:ascii="Arial" w:hAnsi="Arial"/>
          <w:spacing w:val="-6"/>
          <w:w w:val="75"/>
          <w:sz w:val="27"/>
        </w:rPr>
        <w:t> </w:t>
      </w:r>
      <w:r>
        <w:rPr>
          <w:rFonts w:ascii="Arial" w:hAnsi="Arial"/>
          <w:w w:val="75"/>
          <w:sz w:val="27"/>
        </w:rPr>
        <w:t>findo</w:t>
      </w:r>
      <w:r>
        <w:rPr>
          <w:rFonts w:ascii="Arial" w:hAnsi="Arial"/>
          <w:spacing w:val="-15"/>
          <w:w w:val="75"/>
          <w:sz w:val="27"/>
        </w:rPr>
        <w:t> </w:t>
      </w:r>
      <w:r>
        <w:rPr>
          <w:rFonts w:ascii="Arial" w:hAnsi="Arial"/>
          <w:w w:val="75"/>
          <w:sz w:val="27"/>
        </w:rPr>
        <w:t>em</w:t>
      </w:r>
      <w:r>
        <w:rPr>
          <w:rFonts w:ascii="Arial" w:hAnsi="Arial"/>
          <w:spacing w:val="-20"/>
          <w:w w:val="75"/>
          <w:sz w:val="27"/>
        </w:rPr>
        <w:t> </w:t>
      </w:r>
      <w:r>
        <w:rPr>
          <w:rFonts w:ascii="Arial" w:hAnsi="Arial"/>
          <w:w w:val="75"/>
          <w:sz w:val="27"/>
        </w:rPr>
        <w:t>31 de dezembro de 2018, todas elaboradas de acordo com a Lei das Sociedades Anonimas, instrugoes da CVM e Normas Internacionais de Relatorio Financeiro (IFRS) emitidas pelo International Accouting Standards Board </w:t>
      </w:r>
      <w:r>
        <w:rPr>
          <w:rFonts w:ascii="Arial" w:hAnsi="Arial"/>
          <w:w w:val="80"/>
          <w:sz w:val="27"/>
        </w:rPr>
        <w:t>(IASB).</w:t>
      </w:r>
    </w:p>
    <w:p>
      <w:pPr>
        <w:spacing w:line="242" w:lineRule="auto" w:before="116"/>
        <w:ind w:left="122" w:right="246" w:firstLine="1424"/>
        <w:jc w:val="both"/>
        <w:rPr>
          <w:rFonts w:ascii="Arial" w:hAnsi="Arial"/>
          <w:sz w:val="27"/>
        </w:rPr>
      </w:pPr>
      <w:r>
        <w:rPr>
          <w:rFonts w:ascii="Arial" w:hAnsi="Arial"/>
          <w:w w:val="90"/>
          <w:sz w:val="27"/>
        </w:rPr>
        <w:t>0 </w:t>
      </w:r>
      <w:r>
        <w:rPr>
          <w:rFonts w:ascii="Arial" w:hAnsi="Arial"/>
          <w:w w:val="80"/>
          <w:sz w:val="27"/>
        </w:rPr>
        <w:t>Colegiado tomou conhecimento do parecer da MACIEL AUDITORES S/S, emitido see </w:t>
      </w:r>
      <w:r>
        <w:rPr>
          <w:rFonts w:ascii="Arial" w:hAnsi="Arial"/>
          <w:w w:val="75"/>
          <w:sz w:val="27"/>
        </w:rPr>
        <w:t>ressalvas</w:t>
      </w:r>
      <w:r>
        <w:rPr>
          <w:rFonts w:ascii="Arial" w:hAnsi="Arial"/>
          <w:spacing w:val="-8"/>
          <w:w w:val="75"/>
          <w:sz w:val="27"/>
        </w:rPr>
        <w:t> </w:t>
      </w:r>
      <w:r>
        <w:rPr>
          <w:rFonts w:ascii="Arial" w:hAnsi="Arial"/>
          <w:w w:val="75"/>
          <w:sz w:val="27"/>
        </w:rPr>
        <w:t>e</w:t>
      </w:r>
      <w:r>
        <w:rPr>
          <w:rFonts w:ascii="Arial" w:hAnsi="Arial"/>
          <w:spacing w:val="-23"/>
          <w:w w:val="75"/>
          <w:sz w:val="27"/>
        </w:rPr>
        <w:t> </w:t>
      </w:r>
      <w:r>
        <w:rPr>
          <w:rFonts w:ascii="Arial" w:hAnsi="Arial"/>
          <w:w w:val="75"/>
          <w:sz w:val="27"/>
        </w:rPr>
        <w:t>do</w:t>
      </w:r>
      <w:r>
        <w:rPr>
          <w:rFonts w:ascii="Arial" w:hAnsi="Arial"/>
          <w:spacing w:val="-25"/>
          <w:w w:val="75"/>
          <w:sz w:val="27"/>
        </w:rPr>
        <w:t> </w:t>
      </w:r>
      <w:r>
        <w:rPr>
          <w:rFonts w:ascii="Arial" w:hAnsi="Arial"/>
          <w:w w:val="75"/>
          <w:sz w:val="27"/>
        </w:rPr>
        <w:t>parecer</w:t>
      </w:r>
      <w:r>
        <w:rPr>
          <w:rFonts w:ascii="Arial" w:hAnsi="Arial"/>
          <w:spacing w:val="-18"/>
          <w:w w:val="75"/>
          <w:sz w:val="27"/>
        </w:rPr>
        <w:t> </w:t>
      </w:r>
      <w:r>
        <w:rPr>
          <w:rFonts w:ascii="Arial" w:hAnsi="Arial"/>
          <w:w w:val="75"/>
          <w:sz w:val="27"/>
        </w:rPr>
        <w:t>do</w:t>
      </w:r>
      <w:r>
        <w:rPr>
          <w:rFonts w:ascii="Arial" w:hAnsi="Arial"/>
          <w:spacing w:val="-19"/>
          <w:w w:val="75"/>
          <w:sz w:val="27"/>
        </w:rPr>
        <w:t> </w:t>
      </w:r>
      <w:r>
        <w:rPr>
          <w:rFonts w:ascii="Arial" w:hAnsi="Arial"/>
          <w:w w:val="75"/>
          <w:sz w:val="27"/>
        </w:rPr>
        <w:t>Comité</w:t>
      </w:r>
      <w:r>
        <w:rPr>
          <w:rFonts w:ascii="Arial" w:hAnsi="Arial"/>
          <w:spacing w:val="-14"/>
          <w:w w:val="75"/>
          <w:sz w:val="27"/>
        </w:rPr>
        <w:t> </w:t>
      </w:r>
      <w:r>
        <w:rPr>
          <w:rFonts w:ascii="Arial" w:hAnsi="Arial"/>
          <w:w w:val="75"/>
          <w:sz w:val="27"/>
        </w:rPr>
        <w:t>de</w:t>
      </w:r>
      <w:r>
        <w:rPr>
          <w:rFonts w:ascii="Arial" w:hAnsi="Arial"/>
          <w:spacing w:val="-21"/>
          <w:w w:val="75"/>
          <w:sz w:val="27"/>
        </w:rPr>
        <w:t> </w:t>
      </w:r>
      <w:r>
        <w:rPr>
          <w:rFonts w:ascii="Arial" w:hAnsi="Arial"/>
          <w:w w:val="75"/>
          <w:sz w:val="27"/>
        </w:rPr>
        <w:t>Auditoria</w:t>
      </w:r>
      <w:r>
        <w:rPr>
          <w:rFonts w:ascii="Arial" w:hAnsi="Arial"/>
          <w:spacing w:val="-16"/>
          <w:w w:val="75"/>
          <w:sz w:val="27"/>
        </w:rPr>
        <w:t> </w:t>
      </w:r>
      <w:r>
        <w:rPr>
          <w:rFonts w:ascii="Arial" w:hAnsi="Arial"/>
          <w:w w:val="75"/>
          <w:sz w:val="27"/>
        </w:rPr>
        <w:t>Estatutario.</w:t>
      </w:r>
      <w:r>
        <w:rPr>
          <w:rFonts w:ascii="Arial" w:hAnsi="Arial"/>
          <w:spacing w:val="-5"/>
          <w:w w:val="75"/>
          <w:sz w:val="27"/>
        </w:rPr>
        <w:t> </w:t>
      </w:r>
      <w:r>
        <w:rPr>
          <w:rFonts w:ascii="Arial" w:hAnsi="Arial"/>
          <w:w w:val="75"/>
          <w:sz w:val="27"/>
        </w:rPr>
        <w:t>Com</w:t>
      </w:r>
      <w:r>
        <w:rPr>
          <w:rFonts w:ascii="Arial" w:hAnsi="Arial"/>
          <w:spacing w:val="-19"/>
          <w:w w:val="75"/>
          <w:sz w:val="27"/>
        </w:rPr>
        <w:t> </w:t>
      </w:r>
      <w:r>
        <w:rPr>
          <w:rFonts w:ascii="Arial" w:hAnsi="Arial"/>
          <w:w w:val="75"/>
          <w:sz w:val="27"/>
        </w:rPr>
        <w:t>base</w:t>
      </w:r>
      <w:r>
        <w:rPr>
          <w:rFonts w:ascii="Arial" w:hAnsi="Arial"/>
          <w:spacing w:val="-23"/>
          <w:w w:val="75"/>
          <w:sz w:val="27"/>
        </w:rPr>
        <w:t> </w:t>
      </w:r>
      <w:r>
        <w:rPr>
          <w:rFonts w:ascii="Arial" w:hAnsi="Arial"/>
          <w:w w:val="75"/>
          <w:sz w:val="27"/>
        </w:rPr>
        <w:t>nos</w:t>
      </w:r>
      <w:r>
        <w:rPr>
          <w:rFonts w:ascii="Arial" w:hAnsi="Arial"/>
          <w:spacing w:val="-21"/>
          <w:w w:val="75"/>
          <w:sz w:val="27"/>
        </w:rPr>
        <w:t> </w:t>
      </w:r>
      <w:r>
        <w:rPr>
          <w:rFonts w:ascii="Arial" w:hAnsi="Arial"/>
          <w:w w:val="75"/>
          <w:sz w:val="27"/>
        </w:rPr>
        <w:t>documentos</w:t>
      </w:r>
      <w:r>
        <w:rPr>
          <w:rFonts w:ascii="Arial" w:hAnsi="Arial"/>
          <w:spacing w:val="-1"/>
          <w:w w:val="75"/>
          <w:sz w:val="27"/>
        </w:rPr>
        <w:t> </w:t>
      </w:r>
      <w:r>
        <w:rPr>
          <w:rFonts w:ascii="Arial" w:hAnsi="Arial"/>
          <w:w w:val="75"/>
          <w:sz w:val="27"/>
        </w:rPr>
        <w:t>apresentados</w:t>
      </w:r>
      <w:r>
        <w:rPr>
          <w:rFonts w:ascii="Arial" w:hAnsi="Arial"/>
          <w:spacing w:val="-5"/>
          <w:w w:val="75"/>
          <w:sz w:val="27"/>
        </w:rPr>
        <w:t> </w:t>
      </w:r>
      <w:r>
        <w:rPr>
          <w:rFonts w:ascii="Arial" w:hAnsi="Arial"/>
          <w:w w:val="75"/>
          <w:sz w:val="27"/>
        </w:rPr>
        <w:t>e</w:t>
      </w:r>
      <w:r>
        <w:rPr>
          <w:rFonts w:ascii="Arial" w:hAnsi="Arial"/>
          <w:spacing w:val="-28"/>
          <w:w w:val="75"/>
          <w:sz w:val="27"/>
        </w:rPr>
        <w:t> </w:t>
      </w:r>
      <w:r>
        <w:rPr>
          <w:rFonts w:ascii="Arial" w:hAnsi="Arial"/>
          <w:w w:val="75"/>
          <w:sz w:val="27"/>
        </w:rPr>
        <w:t>no</w:t>
      </w:r>
      <w:r>
        <w:rPr>
          <w:rFonts w:ascii="Arial" w:hAnsi="Arial"/>
          <w:spacing w:val="-20"/>
          <w:w w:val="75"/>
          <w:sz w:val="27"/>
        </w:rPr>
        <w:t> </w:t>
      </w:r>
      <w:r>
        <w:rPr>
          <w:rFonts w:ascii="Arial" w:hAnsi="Arial"/>
          <w:w w:val="75"/>
          <w:sz w:val="27"/>
        </w:rPr>
        <w:t>relatorio dos auditores independentes sobre as demonstragoes financeiras, o Conselho Fiscal concluiu, por maioria, a excepâo</w:t>
      </w:r>
      <w:r>
        <w:rPr>
          <w:rFonts w:ascii="Arial" w:hAnsi="Arial"/>
          <w:spacing w:val="-2"/>
          <w:w w:val="75"/>
          <w:sz w:val="27"/>
        </w:rPr>
        <w:t> </w:t>
      </w:r>
      <w:r>
        <w:rPr>
          <w:rFonts w:ascii="Arial" w:hAnsi="Arial"/>
          <w:w w:val="75"/>
          <w:sz w:val="27"/>
        </w:rPr>
        <w:t>dos</w:t>
      </w:r>
      <w:r>
        <w:rPr>
          <w:rFonts w:ascii="Arial" w:hAnsi="Arial"/>
          <w:spacing w:val="-10"/>
          <w:w w:val="75"/>
          <w:sz w:val="27"/>
        </w:rPr>
        <w:t> </w:t>
      </w:r>
      <w:r>
        <w:rPr>
          <w:rFonts w:ascii="Arial" w:hAnsi="Arial"/>
          <w:w w:val="75"/>
          <w:sz w:val="27"/>
        </w:rPr>
        <w:t>Conselheiros</w:t>
      </w:r>
      <w:r>
        <w:rPr>
          <w:rFonts w:ascii="Arial" w:hAnsi="Arial"/>
          <w:spacing w:val="6"/>
          <w:w w:val="75"/>
          <w:sz w:val="27"/>
        </w:rPr>
        <w:t> </w:t>
      </w:r>
      <w:r>
        <w:rPr>
          <w:rFonts w:ascii="Arial" w:hAnsi="Arial"/>
          <w:w w:val="75"/>
          <w:sz w:val="27"/>
        </w:rPr>
        <w:t>Luis</w:t>
      </w:r>
      <w:r>
        <w:rPr>
          <w:rFonts w:ascii="Arial" w:hAnsi="Arial"/>
          <w:spacing w:val="-2"/>
          <w:w w:val="75"/>
          <w:sz w:val="27"/>
        </w:rPr>
        <w:t> </w:t>
      </w:r>
      <w:r>
        <w:rPr>
          <w:rFonts w:ascii="Arial" w:hAnsi="Arial"/>
          <w:w w:val="75"/>
          <w:sz w:val="27"/>
        </w:rPr>
        <w:t>Antonio</w:t>
      </w:r>
      <w:r>
        <w:rPr>
          <w:rFonts w:ascii="Arial" w:hAnsi="Arial"/>
          <w:spacing w:val="-6"/>
          <w:w w:val="75"/>
          <w:sz w:val="27"/>
        </w:rPr>
        <w:t> </w:t>
      </w:r>
      <w:r>
        <w:rPr>
          <w:rFonts w:ascii="Arial" w:hAnsi="Arial"/>
          <w:w w:val="75"/>
          <w:sz w:val="27"/>
        </w:rPr>
        <w:t>Esteves</w:t>
      </w:r>
      <w:r>
        <w:rPr>
          <w:rFonts w:ascii="Arial" w:hAnsi="Arial"/>
          <w:spacing w:val="-5"/>
          <w:w w:val="75"/>
          <w:sz w:val="27"/>
        </w:rPr>
        <w:t> </w:t>
      </w:r>
      <w:r>
        <w:rPr>
          <w:rFonts w:ascii="Arial" w:hAnsi="Arial"/>
          <w:w w:val="75"/>
          <w:sz w:val="27"/>
        </w:rPr>
        <w:t>Noel</w:t>
      </w:r>
      <w:r>
        <w:rPr>
          <w:rFonts w:ascii="Arial" w:hAnsi="Arial"/>
          <w:spacing w:val="-10"/>
          <w:w w:val="75"/>
          <w:sz w:val="27"/>
        </w:rPr>
        <w:t> </w:t>
      </w:r>
      <w:r>
        <w:rPr>
          <w:rFonts w:ascii="Arial" w:hAnsi="Arial"/>
          <w:w w:val="75"/>
          <w:sz w:val="27"/>
        </w:rPr>
        <w:t>e</w:t>
      </w:r>
      <w:r>
        <w:rPr>
          <w:rFonts w:ascii="Arial" w:hAnsi="Arial"/>
          <w:spacing w:val="-11"/>
          <w:w w:val="75"/>
          <w:sz w:val="27"/>
        </w:rPr>
        <w:t> </w:t>
      </w:r>
      <w:r>
        <w:rPr>
          <w:rFonts w:ascii="Arial" w:hAnsi="Arial"/>
          <w:w w:val="75"/>
          <w:sz w:val="27"/>
        </w:rPr>
        <w:t>Oldair</w:t>
      </w:r>
      <w:r>
        <w:rPr>
          <w:rFonts w:ascii="Arial" w:hAnsi="Arial"/>
          <w:spacing w:val="-7"/>
          <w:w w:val="75"/>
          <w:sz w:val="27"/>
        </w:rPr>
        <w:t> </w:t>
      </w:r>
      <w:r>
        <w:rPr>
          <w:rFonts w:ascii="Arial" w:hAnsi="Arial"/>
          <w:w w:val="75"/>
          <w:sz w:val="27"/>
        </w:rPr>
        <w:t>Geraldo</w:t>
      </w:r>
      <w:r>
        <w:rPr>
          <w:rFonts w:ascii="Arial" w:hAnsi="Arial"/>
          <w:spacing w:val="1"/>
          <w:w w:val="75"/>
          <w:sz w:val="27"/>
        </w:rPr>
        <w:t> </w:t>
      </w:r>
      <w:r>
        <w:rPr>
          <w:rFonts w:ascii="Arial" w:hAnsi="Arial"/>
          <w:w w:val="75"/>
          <w:sz w:val="27"/>
        </w:rPr>
        <w:t>Gomes,</w:t>
      </w:r>
      <w:r>
        <w:rPr>
          <w:rFonts w:ascii="Arial" w:hAnsi="Arial"/>
          <w:spacing w:val="-4"/>
          <w:w w:val="75"/>
          <w:sz w:val="27"/>
        </w:rPr>
        <w:t> </w:t>
      </w:r>
      <w:r>
        <w:rPr>
          <w:rFonts w:ascii="Arial" w:hAnsi="Arial"/>
          <w:w w:val="75"/>
          <w:sz w:val="27"/>
        </w:rPr>
        <w:t>que</w:t>
      </w:r>
      <w:r>
        <w:rPr>
          <w:rFonts w:ascii="Arial" w:hAnsi="Arial"/>
          <w:spacing w:val="-8"/>
          <w:w w:val="75"/>
          <w:sz w:val="27"/>
        </w:rPr>
        <w:t> </w:t>
      </w:r>
      <w:r>
        <w:rPr>
          <w:rFonts w:ascii="Arial" w:hAnsi="Arial"/>
          <w:w w:val="75"/>
          <w:sz w:val="27"/>
        </w:rPr>
        <w:t>apresentaram</w:t>
      </w:r>
      <w:r>
        <w:rPr>
          <w:rFonts w:ascii="Arial" w:hAnsi="Arial"/>
          <w:spacing w:val="9"/>
          <w:w w:val="75"/>
          <w:sz w:val="27"/>
        </w:rPr>
        <w:t> </w:t>
      </w:r>
      <w:r>
        <w:rPr>
          <w:rFonts w:ascii="Arial" w:hAnsi="Arial"/>
          <w:w w:val="75"/>
          <w:sz w:val="27"/>
        </w:rPr>
        <w:t>voto</w:t>
      </w:r>
      <w:r>
        <w:rPr>
          <w:rFonts w:ascii="Arial" w:hAnsi="Arial"/>
          <w:spacing w:val="-9"/>
          <w:w w:val="75"/>
          <w:sz w:val="27"/>
        </w:rPr>
        <w:t> </w:t>
      </w:r>
      <w:r>
        <w:rPr>
          <w:rFonts w:ascii="Arial" w:hAnsi="Arial"/>
          <w:w w:val="75"/>
          <w:sz w:val="27"/>
        </w:rPr>
        <w:t>conjunto apartado, que as pegas eslâo em ordem e adequadas, em seus aspectos relevantes, sendo de opiniâo que se encontram</w:t>
      </w:r>
      <w:r>
        <w:rPr>
          <w:rFonts w:ascii="Arial" w:hAnsi="Arial"/>
          <w:spacing w:val="-8"/>
          <w:w w:val="75"/>
          <w:sz w:val="27"/>
        </w:rPr>
        <w:t> </w:t>
      </w:r>
      <w:r>
        <w:rPr>
          <w:rFonts w:ascii="Arial" w:hAnsi="Arial"/>
          <w:w w:val="75"/>
          <w:sz w:val="27"/>
        </w:rPr>
        <w:t>em</w:t>
      </w:r>
      <w:r>
        <w:rPr>
          <w:rFonts w:ascii="Arial" w:hAnsi="Arial"/>
          <w:spacing w:val="-16"/>
          <w:w w:val="75"/>
          <w:sz w:val="27"/>
        </w:rPr>
        <w:t> </w:t>
      </w:r>
      <w:r>
        <w:rPr>
          <w:rFonts w:ascii="Arial" w:hAnsi="Arial"/>
          <w:w w:val="75"/>
          <w:sz w:val="27"/>
        </w:rPr>
        <w:t>condipoes</w:t>
      </w:r>
      <w:r>
        <w:rPr>
          <w:rFonts w:ascii="Arial" w:hAnsi="Arial"/>
          <w:spacing w:val="-6"/>
          <w:w w:val="75"/>
          <w:sz w:val="27"/>
        </w:rPr>
        <w:t> </w:t>
      </w:r>
      <w:r>
        <w:rPr>
          <w:rFonts w:ascii="Arial" w:hAnsi="Arial"/>
          <w:w w:val="75"/>
          <w:sz w:val="27"/>
        </w:rPr>
        <w:t>de</w:t>
      </w:r>
      <w:r>
        <w:rPr>
          <w:rFonts w:ascii="Arial" w:hAnsi="Arial"/>
          <w:spacing w:val="-14"/>
          <w:w w:val="75"/>
          <w:sz w:val="27"/>
        </w:rPr>
        <w:t> </w:t>
      </w:r>
      <w:r>
        <w:rPr>
          <w:rFonts w:ascii="Arial" w:hAnsi="Arial"/>
          <w:w w:val="75"/>
          <w:sz w:val="27"/>
        </w:rPr>
        <w:t>serem</w:t>
      </w:r>
      <w:r>
        <w:rPr>
          <w:rFonts w:ascii="Arial" w:hAnsi="Arial"/>
          <w:spacing w:val="-9"/>
          <w:w w:val="75"/>
          <w:sz w:val="27"/>
        </w:rPr>
        <w:t> </w:t>
      </w:r>
      <w:r>
        <w:rPr>
          <w:rFonts w:ascii="Arial" w:hAnsi="Arial"/>
          <w:w w:val="75"/>
          <w:sz w:val="27"/>
        </w:rPr>
        <w:t>submetidas</w:t>
      </w:r>
      <w:r>
        <w:rPr>
          <w:rFonts w:ascii="Arial" w:hAnsi="Arial"/>
          <w:spacing w:val="-6"/>
          <w:w w:val="75"/>
          <w:sz w:val="27"/>
        </w:rPr>
        <w:t> </w:t>
      </w:r>
      <w:r>
        <w:rPr>
          <w:rFonts w:ascii="Arial" w:hAnsi="Arial"/>
          <w:w w:val="75"/>
          <w:sz w:val="27"/>
        </w:rPr>
        <w:t>a</w:t>
      </w:r>
      <w:r>
        <w:rPr>
          <w:rFonts w:ascii="Arial" w:hAnsi="Arial"/>
          <w:spacing w:val="-17"/>
          <w:w w:val="75"/>
          <w:sz w:val="27"/>
        </w:rPr>
        <w:t> </w:t>
      </w:r>
      <w:r>
        <w:rPr>
          <w:rFonts w:ascii="Arial" w:hAnsi="Arial"/>
          <w:w w:val="75"/>
          <w:sz w:val="27"/>
        </w:rPr>
        <w:t>deliberapâo</w:t>
      </w:r>
      <w:r>
        <w:rPr>
          <w:rFonts w:ascii="Arial" w:hAnsi="Arial"/>
          <w:spacing w:val="-2"/>
          <w:w w:val="75"/>
          <w:sz w:val="27"/>
        </w:rPr>
        <w:t> </w:t>
      </w:r>
      <w:r>
        <w:rPr>
          <w:rFonts w:ascii="Arial" w:hAnsi="Arial"/>
          <w:w w:val="75"/>
          <w:sz w:val="27"/>
        </w:rPr>
        <w:t>final</w:t>
      </w:r>
      <w:r>
        <w:rPr>
          <w:rFonts w:ascii="Arial" w:hAnsi="Arial"/>
          <w:spacing w:val="-10"/>
          <w:w w:val="75"/>
          <w:sz w:val="27"/>
        </w:rPr>
        <w:t> </w:t>
      </w:r>
      <w:r>
        <w:rPr>
          <w:rFonts w:ascii="Arial" w:hAnsi="Arial"/>
          <w:w w:val="75"/>
          <w:sz w:val="27"/>
        </w:rPr>
        <w:t>da</w:t>
      </w:r>
      <w:r>
        <w:rPr>
          <w:rFonts w:ascii="Arial" w:hAnsi="Arial"/>
          <w:spacing w:val="-15"/>
          <w:w w:val="75"/>
          <w:sz w:val="27"/>
        </w:rPr>
        <w:t> </w:t>
      </w:r>
      <w:r>
        <w:rPr>
          <w:rFonts w:ascii="Arial" w:hAnsi="Arial"/>
          <w:w w:val="75"/>
          <w:sz w:val="27"/>
        </w:rPr>
        <w:t>Assembleia</w:t>
      </w:r>
      <w:r>
        <w:rPr>
          <w:rFonts w:ascii="Arial" w:hAnsi="Arial"/>
          <w:spacing w:val="-2"/>
          <w:w w:val="75"/>
          <w:sz w:val="27"/>
        </w:rPr>
        <w:t> </w:t>
      </w:r>
      <w:r>
        <w:rPr>
          <w:rFonts w:ascii="Arial" w:hAnsi="Arial"/>
          <w:w w:val="75"/>
          <w:sz w:val="27"/>
        </w:rPr>
        <w:t>Geral</w:t>
      </w:r>
      <w:r>
        <w:rPr>
          <w:rFonts w:ascii="Arial" w:hAnsi="Arial"/>
          <w:spacing w:val="-17"/>
          <w:w w:val="75"/>
          <w:sz w:val="27"/>
        </w:rPr>
        <w:t> </w:t>
      </w:r>
      <w:r>
        <w:rPr>
          <w:rFonts w:ascii="Arial" w:hAnsi="Arial"/>
          <w:w w:val="75"/>
          <w:sz w:val="27"/>
        </w:rPr>
        <w:t>Ordinaria</w:t>
      </w:r>
      <w:r>
        <w:rPr>
          <w:rFonts w:ascii="Arial" w:hAnsi="Arial"/>
          <w:spacing w:val="-11"/>
          <w:w w:val="75"/>
          <w:sz w:val="27"/>
        </w:rPr>
        <w:t> </w:t>
      </w:r>
      <w:r>
        <w:rPr>
          <w:rFonts w:ascii="Arial" w:hAnsi="Arial"/>
          <w:w w:val="75"/>
          <w:sz w:val="27"/>
        </w:rPr>
        <w:t>da</w:t>
      </w:r>
      <w:r>
        <w:rPr>
          <w:rFonts w:ascii="Arial" w:hAnsi="Arial"/>
          <w:spacing w:val="-18"/>
          <w:w w:val="75"/>
          <w:sz w:val="27"/>
        </w:rPr>
        <w:t> </w:t>
      </w:r>
      <w:r>
        <w:rPr>
          <w:rFonts w:ascii="Arial" w:hAnsi="Arial"/>
          <w:w w:val="75"/>
          <w:sz w:val="27"/>
        </w:rPr>
        <w:t>Companhia </w:t>
      </w:r>
      <w:r>
        <w:rPr>
          <w:rFonts w:ascii="Arial" w:hAnsi="Arial"/>
          <w:w w:val="80"/>
          <w:sz w:val="27"/>
        </w:rPr>
        <w:t>Energética de Brasilia —</w:t>
      </w:r>
      <w:r>
        <w:rPr>
          <w:rFonts w:ascii="Arial" w:hAnsi="Arial"/>
          <w:spacing w:val="12"/>
          <w:w w:val="80"/>
          <w:sz w:val="27"/>
        </w:rPr>
        <w:t> </w:t>
      </w:r>
      <w:r>
        <w:rPr>
          <w:rFonts w:ascii="Arial" w:hAnsi="Arial"/>
          <w:w w:val="80"/>
          <w:sz w:val="27"/>
        </w:rPr>
        <w:t>CEB.</w:t>
      </w:r>
    </w:p>
    <w:p>
      <w:pPr>
        <w:spacing w:line="247" w:lineRule="auto" w:before="110"/>
        <w:ind w:left="125" w:right="244" w:firstLine="1428"/>
        <w:jc w:val="both"/>
        <w:rPr>
          <w:rFonts w:ascii="Arial" w:hAnsi="Arial"/>
          <w:sz w:val="27"/>
        </w:rPr>
      </w:pPr>
      <w:r>
        <w:rPr>
          <w:rFonts w:ascii="Arial" w:hAnsi="Arial"/>
          <w:w w:val="80"/>
          <w:sz w:val="27"/>
        </w:rPr>
        <w:t>0 Conselho também tomou conhecimento da Proposta de Destinagâo dos Resultados do Exercicio</w:t>
      </w:r>
      <w:r>
        <w:rPr>
          <w:rFonts w:ascii="Arial" w:hAnsi="Arial"/>
          <w:spacing w:val="-4"/>
          <w:w w:val="80"/>
          <w:sz w:val="27"/>
        </w:rPr>
        <w:t> </w:t>
      </w:r>
      <w:r>
        <w:rPr>
          <w:rFonts w:ascii="Arial" w:hAnsi="Arial"/>
          <w:w w:val="80"/>
          <w:sz w:val="27"/>
        </w:rPr>
        <w:t>de</w:t>
      </w:r>
      <w:r>
        <w:rPr>
          <w:rFonts w:ascii="Arial" w:hAnsi="Arial"/>
          <w:spacing w:val="-16"/>
          <w:w w:val="80"/>
          <w:sz w:val="27"/>
        </w:rPr>
        <w:t> </w:t>
      </w:r>
      <w:r>
        <w:rPr>
          <w:rFonts w:ascii="Arial" w:hAnsi="Arial"/>
          <w:w w:val="80"/>
          <w:sz w:val="27"/>
        </w:rPr>
        <w:t>2019,</w:t>
      </w:r>
      <w:r>
        <w:rPr>
          <w:rFonts w:ascii="Arial" w:hAnsi="Arial"/>
          <w:spacing w:val="-19"/>
          <w:w w:val="80"/>
          <w:sz w:val="27"/>
        </w:rPr>
        <w:t> </w:t>
      </w:r>
      <w:r>
        <w:rPr>
          <w:rFonts w:ascii="Arial" w:hAnsi="Arial"/>
          <w:w w:val="80"/>
          <w:sz w:val="27"/>
        </w:rPr>
        <w:t>nos</w:t>
      </w:r>
      <w:r>
        <w:rPr>
          <w:rFonts w:ascii="Arial" w:hAnsi="Arial"/>
          <w:spacing w:val="-10"/>
          <w:w w:val="80"/>
          <w:sz w:val="27"/>
        </w:rPr>
        <w:t> </w:t>
      </w:r>
      <w:r>
        <w:rPr>
          <w:rFonts w:ascii="Arial" w:hAnsi="Arial"/>
          <w:w w:val="80"/>
          <w:sz w:val="27"/>
        </w:rPr>
        <w:t>termos</w:t>
      </w:r>
      <w:r>
        <w:rPr>
          <w:rFonts w:ascii="Arial" w:hAnsi="Arial"/>
          <w:spacing w:val="-12"/>
          <w:w w:val="80"/>
          <w:sz w:val="27"/>
        </w:rPr>
        <w:t> </w:t>
      </w:r>
      <w:r>
        <w:rPr>
          <w:rFonts w:ascii="Arial" w:hAnsi="Arial"/>
          <w:w w:val="80"/>
          <w:sz w:val="27"/>
        </w:rPr>
        <w:t>da</w:t>
      </w:r>
      <w:r>
        <w:rPr>
          <w:rFonts w:ascii="Arial" w:hAnsi="Arial"/>
          <w:spacing w:val="-18"/>
          <w:w w:val="80"/>
          <w:sz w:val="27"/>
        </w:rPr>
        <w:t> </w:t>
      </w:r>
      <w:r>
        <w:rPr>
          <w:rFonts w:ascii="Arial" w:hAnsi="Arial"/>
          <w:w w:val="80"/>
          <w:sz w:val="27"/>
        </w:rPr>
        <w:t>Resolupâo</w:t>
      </w:r>
      <w:r>
        <w:rPr>
          <w:rFonts w:ascii="Arial" w:hAnsi="Arial"/>
          <w:spacing w:val="-10"/>
          <w:w w:val="80"/>
          <w:sz w:val="27"/>
        </w:rPr>
        <w:t> </w:t>
      </w:r>
      <w:r>
        <w:rPr>
          <w:rFonts w:ascii="Arial" w:hAnsi="Arial"/>
          <w:w w:val="80"/>
          <w:sz w:val="27"/>
        </w:rPr>
        <w:t>de</w:t>
      </w:r>
      <w:r>
        <w:rPr>
          <w:rFonts w:ascii="Arial" w:hAnsi="Arial"/>
          <w:spacing w:val="-19"/>
          <w:w w:val="80"/>
          <w:sz w:val="27"/>
        </w:rPr>
        <w:t> </w:t>
      </w:r>
      <w:r>
        <w:rPr>
          <w:rFonts w:ascii="Arial" w:hAnsi="Arial"/>
          <w:w w:val="80"/>
          <w:sz w:val="27"/>
        </w:rPr>
        <w:t>Diretoria</w:t>
      </w:r>
      <w:r>
        <w:rPr>
          <w:rFonts w:ascii="Arial" w:hAnsi="Arial"/>
          <w:spacing w:val="-14"/>
          <w:w w:val="80"/>
          <w:sz w:val="27"/>
        </w:rPr>
        <w:t> </w:t>
      </w:r>
      <w:r>
        <w:rPr>
          <w:rFonts w:ascii="Arial" w:hAnsi="Arial"/>
          <w:w w:val="80"/>
          <w:sz w:val="27"/>
        </w:rPr>
        <w:t>n°</w:t>
      </w:r>
      <w:r>
        <w:rPr>
          <w:rFonts w:ascii="Arial" w:hAnsi="Arial"/>
          <w:spacing w:val="-22"/>
          <w:w w:val="80"/>
          <w:sz w:val="27"/>
        </w:rPr>
        <w:t> </w:t>
      </w:r>
      <w:r>
        <w:rPr>
          <w:rFonts w:ascii="Arial" w:hAnsi="Arial"/>
          <w:w w:val="80"/>
          <w:sz w:val="27"/>
        </w:rPr>
        <w:t>020,</w:t>
      </w:r>
      <w:r>
        <w:rPr>
          <w:rFonts w:ascii="Arial" w:hAnsi="Arial"/>
          <w:spacing w:val="-18"/>
          <w:w w:val="80"/>
          <w:sz w:val="27"/>
        </w:rPr>
        <w:t> </w:t>
      </w:r>
      <w:r>
        <w:rPr>
          <w:rFonts w:ascii="Arial" w:hAnsi="Arial"/>
          <w:w w:val="80"/>
          <w:sz w:val="27"/>
        </w:rPr>
        <w:t>de</w:t>
      </w:r>
      <w:r>
        <w:rPr>
          <w:rFonts w:ascii="Arial" w:hAnsi="Arial"/>
          <w:spacing w:val="-22"/>
          <w:w w:val="80"/>
          <w:sz w:val="27"/>
        </w:rPr>
        <w:t> </w:t>
      </w:r>
      <w:r>
        <w:rPr>
          <w:rFonts w:ascii="Arial" w:hAnsi="Arial"/>
          <w:w w:val="80"/>
          <w:sz w:val="27"/>
        </w:rPr>
        <w:t>13.03.2020,</w:t>
      </w:r>
      <w:r>
        <w:rPr>
          <w:rFonts w:ascii="Arial" w:hAnsi="Arial"/>
          <w:spacing w:val="-5"/>
          <w:w w:val="80"/>
          <w:sz w:val="27"/>
        </w:rPr>
        <w:t> </w:t>
      </w:r>
      <w:r>
        <w:rPr>
          <w:rFonts w:ascii="Arial" w:hAnsi="Arial"/>
          <w:w w:val="80"/>
          <w:sz w:val="27"/>
        </w:rPr>
        <w:t>e</w:t>
      </w:r>
      <w:r>
        <w:rPr>
          <w:rFonts w:ascii="Arial" w:hAnsi="Arial"/>
          <w:spacing w:val="-17"/>
          <w:w w:val="80"/>
          <w:sz w:val="27"/>
        </w:rPr>
        <w:t> </w:t>
      </w:r>
      <w:r>
        <w:rPr>
          <w:rFonts w:ascii="Arial" w:hAnsi="Arial"/>
          <w:w w:val="80"/>
          <w:sz w:val="27"/>
        </w:rPr>
        <w:t>sobre</w:t>
      </w:r>
      <w:r>
        <w:rPr>
          <w:rFonts w:ascii="Arial" w:hAnsi="Arial"/>
          <w:spacing w:val="-17"/>
          <w:w w:val="80"/>
          <w:sz w:val="27"/>
        </w:rPr>
        <w:t> </w:t>
      </w:r>
      <w:r>
        <w:rPr>
          <w:rFonts w:ascii="Arial" w:hAnsi="Arial"/>
          <w:w w:val="80"/>
          <w:sz w:val="27"/>
        </w:rPr>
        <w:t>ela</w:t>
      </w:r>
      <w:r>
        <w:rPr>
          <w:rFonts w:ascii="Arial" w:hAnsi="Arial"/>
          <w:spacing w:val="-16"/>
          <w:w w:val="80"/>
          <w:sz w:val="27"/>
        </w:rPr>
        <w:t> </w:t>
      </w:r>
      <w:r>
        <w:rPr>
          <w:rFonts w:ascii="Arial" w:hAnsi="Arial"/>
          <w:w w:val="80"/>
          <w:sz w:val="27"/>
        </w:rPr>
        <w:t>emitiu</w:t>
      </w:r>
      <w:r>
        <w:rPr>
          <w:rFonts w:ascii="Arial" w:hAnsi="Arial"/>
          <w:spacing w:val="-11"/>
          <w:w w:val="80"/>
          <w:sz w:val="27"/>
        </w:rPr>
        <w:t> </w:t>
      </w:r>
      <w:r>
        <w:rPr>
          <w:rFonts w:ascii="Arial" w:hAnsi="Arial"/>
          <w:w w:val="80"/>
          <w:sz w:val="27"/>
        </w:rPr>
        <w:t>parecer </w:t>
      </w:r>
      <w:r>
        <w:rPr>
          <w:rFonts w:ascii="Arial" w:hAnsi="Arial"/>
          <w:w w:val="85"/>
          <w:sz w:val="27"/>
        </w:rPr>
        <w:t>fdUorâvel,</w:t>
      </w:r>
      <w:r>
        <w:rPr>
          <w:rFonts w:ascii="Arial" w:hAnsi="Arial"/>
          <w:spacing w:val="-16"/>
          <w:w w:val="85"/>
          <w:sz w:val="27"/>
        </w:rPr>
        <w:t> </w:t>
      </w:r>
      <w:r>
        <w:rPr>
          <w:rFonts w:ascii="Arial" w:hAnsi="Arial"/>
          <w:w w:val="85"/>
          <w:sz w:val="27"/>
        </w:rPr>
        <w:t>porunaNmidade,emaendimeno</w:t>
      </w:r>
      <w:r>
        <w:rPr>
          <w:rFonts w:ascii="Arial" w:hAnsi="Arial"/>
          <w:spacing w:val="-30"/>
          <w:w w:val="85"/>
          <w:sz w:val="27"/>
        </w:rPr>
        <w:t> </w:t>
      </w:r>
      <w:r>
        <w:rPr>
          <w:rFonts w:ascii="Arial" w:hAnsi="Arial"/>
          <w:w w:val="85"/>
          <w:sz w:val="27"/>
        </w:rPr>
        <w:t>ao</w:t>
      </w:r>
      <w:r>
        <w:rPr>
          <w:rFonts w:ascii="Arial" w:hAnsi="Arial"/>
          <w:spacing w:val="-30"/>
          <w:w w:val="85"/>
          <w:sz w:val="27"/>
        </w:rPr>
        <w:t> </w:t>
      </w:r>
      <w:r>
        <w:rPr>
          <w:rFonts w:ascii="Arial" w:hAnsi="Arial"/>
          <w:w w:val="85"/>
          <w:sz w:val="27"/>
        </w:rPr>
        <w:t>dsposo</w:t>
      </w:r>
      <w:r>
        <w:rPr>
          <w:rFonts w:ascii="Arial" w:hAnsi="Arial"/>
          <w:spacing w:val="-25"/>
          <w:w w:val="85"/>
          <w:sz w:val="27"/>
        </w:rPr>
        <w:t> </w:t>
      </w:r>
      <w:r>
        <w:rPr>
          <w:rFonts w:ascii="Arial" w:hAnsi="Arial"/>
          <w:w w:val="85"/>
          <w:sz w:val="27"/>
        </w:rPr>
        <w:t>noincso</w:t>
      </w:r>
      <w:r>
        <w:rPr>
          <w:rFonts w:ascii="Arial" w:hAnsi="Arial"/>
          <w:spacing w:val="-12"/>
          <w:w w:val="85"/>
          <w:sz w:val="27"/>
        </w:rPr>
        <w:t> </w:t>
      </w:r>
      <w:r>
        <w:rPr>
          <w:rFonts w:ascii="Arial" w:hAnsi="Arial"/>
          <w:w w:val="85"/>
          <w:sz w:val="27"/>
        </w:rPr>
        <w:t>Aldo</w:t>
      </w:r>
      <w:r>
        <w:rPr>
          <w:rFonts w:ascii="Arial" w:hAnsi="Arial"/>
          <w:spacing w:val="-27"/>
          <w:w w:val="85"/>
          <w:sz w:val="27"/>
        </w:rPr>
        <w:t> </w:t>
      </w:r>
      <w:r>
        <w:rPr>
          <w:rFonts w:ascii="Arial" w:hAnsi="Arial"/>
          <w:w w:val="85"/>
          <w:sz w:val="27"/>
        </w:rPr>
        <w:t>aR</w:t>
      </w:r>
      <w:r>
        <w:rPr>
          <w:rFonts w:ascii="Arial" w:hAnsi="Arial"/>
          <w:spacing w:val="-1"/>
          <w:w w:val="85"/>
          <w:sz w:val="27"/>
        </w:rPr>
        <w:t> </w:t>
      </w:r>
      <w:r>
        <w:rPr>
          <w:rFonts w:ascii="Arial" w:hAnsi="Arial"/>
          <w:w w:val="85"/>
          <w:sz w:val="27"/>
        </w:rPr>
        <w:t>163</w:t>
      </w:r>
      <w:r>
        <w:rPr>
          <w:rFonts w:ascii="Arial" w:hAnsi="Arial"/>
          <w:spacing w:val="-21"/>
          <w:w w:val="85"/>
          <w:sz w:val="27"/>
        </w:rPr>
        <w:t> </w:t>
      </w:r>
      <w:r>
        <w:rPr>
          <w:rFonts w:ascii="Arial" w:hAnsi="Arial"/>
          <w:w w:val="85"/>
          <w:sz w:val="27"/>
        </w:rPr>
        <w:t>da</w:t>
      </w:r>
      <w:r>
        <w:rPr>
          <w:rFonts w:ascii="Arial" w:hAnsi="Arial"/>
          <w:spacing w:val="-35"/>
          <w:w w:val="85"/>
          <w:sz w:val="27"/>
        </w:rPr>
        <w:t> </w:t>
      </w:r>
      <w:r>
        <w:rPr>
          <w:rFonts w:ascii="Arial" w:hAnsi="Arial"/>
          <w:w w:val="85"/>
          <w:sz w:val="27"/>
        </w:rPr>
        <w:t>Lein°6404/1976</w:t>
      </w:r>
    </w:p>
    <w:p>
      <w:pPr>
        <w:pStyle w:val="BodyText"/>
        <w:rPr>
          <w:rFonts w:ascii="Arial"/>
          <w:sz w:val="30"/>
        </w:rPr>
      </w:pPr>
    </w:p>
    <w:p>
      <w:pPr>
        <w:pStyle w:val="BodyText"/>
        <w:spacing w:before="3"/>
        <w:rPr>
          <w:rFonts w:ascii="Arial"/>
          <w:sz w:val="29"/>
        </w:rPr>
      </w:pPr>
    </w:p>
    <w:p>
      <w:pPr>
        <w:spacing w:line="645" w:lineRule="auto" w:before="0"/>
        <w:ind w:left="3069" w:right="3850" w:firstLine="743"/>
        <w:jc w:val="left"/>
        <w:rPr>
          <w:rFonts w:ascii="Arial"/>
          <w:sz w:val="27"/>
        </w:rPr>
      </w:pPr>
      <w:r>
        <w:rPr>
          <w:rFonts w:ascii="Arial"/>
          <w:w w:val="75"/>
          <w:sz w:val="27"/>
        </w:rPr>
        <w:t>Brasilia, 24 de marpo de 2020. </w:t>
      </w:r>
      <w:r>
        <w:rPr>
          <w:rFonts w:ascii="Arial"/>
          <w:w w:val="70"/>
          <w:sz w:val="27"/>
        </w:rPr>
        <w:t>REGINALDO FERREIRA ALEXANDRE</w:t>
      </w:r>
    </w:p>
    <w:p>
      <w:pPr>
        <w:pStyle w:val="BodyText"/>
        <w:rPr>
          <w:rFonts w:ascii="Arial"/>
        </w:rPr>
      </w:pPr>
    </w:p>
    <w:p>
      <w:pPr>
        <w:pStyle w:val="BodyText"/>
        <w:rPr>
          <w:rFonts w:ascii="Arial"/>
        </w:rPr>
      </w:pPr>
    </w:p>
    <w:p>
      <w:pPr>
        <w:pStyle w:val="BodyText"/>
        <w:spacing w:before="1"/>
        <w:rPr>
          <w:rFonts w:ascii="Arial"/>
          <w:sz w:val="24"/>
        </w:rPr>
      </w:pPr>
    </w:p>
    <w:p>
      <w:pPr>
        <w:spacing w:after="0"/>
        <w:rPr>
          <w:rFonts w:ascii="Arial"/>
          <w:sz w:val="24"/>
        </w:rPr>
        <w:sectPr>
          <w:headerReference w:type="default" r:id="rId100"/>
          <w:footerReference w:type="default" r:id="rId101"/>
          <w:pgSz w:w="11920" w:h="16820"/>
          <w:pgMar w:header="0" w:footer="0" w:top="820" w:bottom="280" w:left="940" w:right="540"/>
        </w:sectPr>
      </w:pPr>
    </w:p>
    <w:p>
      <w:pPr>
        <w:spacing w:before="113"/>
        <w:ind w:left="1104" w:right="0" w:firstLine="0"/>
        <w:jc w:val="left"/>
        <w:rPr>
          <w:rFonts w:ascii="Arial"/>
          <w:sz w:val="27"/>
        </w:rPr>
      </w:pPr>
      <w:r>
        <w:rPr>
          <w:rFonts w:ascii="Arial"/>
          <w:w w:val="75"/>
          <w:sz w:val="27"/>
        </w:rPr>
        <w:t>ANA</w:t>
      </w:r>
      <w:r>
        <w:rPr>
          <w:rFonts w:ascii="Arial"/>
          <w:spacing w:val="-34"/>
          <w:w w:val="75"/>
          <w:sz w:val="27"/>
        </w:rPr>
        <w:t> </w:t>
      </w:r>
      <w:r>
        <w:rPr>
          <w:rFonts w:ascii="Arial"/>
          <w:w w:val="75"/>
          <w:sz w:val="27"/>
        </w:rPr>
        <w:t>PAULA</w:t>
      </w:r>
      <w:r>
        <w:rPr>
          <w:rFonts w:ascii="Arial"/>
          <w:spacing w:val="-23"/>
          <w:w w:val="75"/>
          <w:sz w:val="27"/>
        </w:rPr>
        <w:t> </w:t>
      </w:r>
      <w:r>
        <w:rPr>
          <w:rFonts w:ascii="Arial"/>
          <w:w w:val="75"/>
          <w:sz w:val="27"/>
        </w:rPr>
        <w:t>SOARES</w:t>
      </w:r>
      <w:r>
        <w:rPr>
          <w:rFonts w:ascii="Arial"/>
          <w:spacing w:val="-26"/>
          <w:w w:val="75"/>
          <w:sz w:val="27"/>
        </w:rPr>
        <w:t> </w:t>
      </w:r>
      <w:r>
        <w:rPr>
          <w:rFonts w:ascii="Arial"/>
          <w:w w:val="75"/>
          <w:sz w:val="27"/>
        </w:rPr>
        <w:t>MARRA</w:t>
      </w:r>
    </w:p>
    <w:p>
      <w:pPr>
        <w:pStyle w:val="BodyText"/>
        <w:rPr>
          <w:rFonts w:ascii="Arial"/>
          <w:sz w:val="30"/>
        </w:rPr>
      </w:pPr>
    </w:p>
    <w:p>
      <w:pPr>
        <w:pStyle w:val="BodyText"/>
        <w:rPr>
          <w:rFonts w:ascii="Arial"/>
          <w:sz w:val="30"/>
        </w:rPr>
      </w:pPr>
    </w:p>
    <w:p>
      <w:pPr>
        <w:pStyle w:val="BodyText"/>
        <w:rPr>
          <w:rFonts w:ascii="Arial"/>
          <w:sz w:val="30"/>
        </w:rPr>
      </w:pPr>
    </w:p>
    <w:p>
      <w:pPr>
        <w:pStyle w:val="BodyText"/>
        <w:spacing w:before="3"/>
        <w:rPr>
          <w:rFonts w:ascii="Arial"/>
          <w:sz w:val="28"/>
        </w:rPr>
      </w:pPr>
    </w:p>
    <w:p>
      <w:pPr>
        <w:spacing w:before="0"/>
        <w:ind w:left="1213" w:right="0" w:firstLine="0"/>
        <w:jc w:val="left"/>
        <w:rPr>
          <w:rFonts w:ascii="Arial"/>
          <w:sz w:val="27"/>
        </w:rPr>
      </w:pPr>
      <w:r>
        <w:rPr>
          <w:rFonts w:ascii="Arial"/>
          <w:w w:val="75"/>
          <w:sz w:val="27"/>
        </w:rPr>
        <w:t>OLDAIR GERALDO GOMES</w:t>
      </w:r>
    </w:p>
    <w:p>
      <w:pPr>
        <w:spacing w:before="92"/>
        <w:ind w:left="944" w:right="1437" w:firstLine="0"/>
        <w:jc w:val="center"/>
        <w:rPr>
          <w:rFonts w:ascii="Arial"/>
          <w:sz w:val="27"/>
        </w:rPr>
      </w:pPr>
      <w:r>
        <w:rPr/>
        <w:br w:type="column"/>
      </w:r>
      <w:r>
        <w:rPr>
          <w:rFonts w:ascii="Arial"/>
          <w:w w:val="80"/>
          <w:sz w:val="27"/>
        </w:rPr>
        <w:t>LUIS ANTONIO ESTEVES NOEL</w:t>
      </w:r>
    </w:p>
    <w:p>
      <w:pPr>
        <w:pStyle w:val="BodyText"/>
        <w:rPr>
          <w:rFonts w:ascii="Arial"/>
          <w:sz w:val="30"/>
        </w:rPr>
      </w:pPr>
    </w:p>
    <w:p>
      <w:pPr>
        <w:pStyle w:val="BodyText"/>
        <w:rPr>
          <w:rFonts w:ascii="Arial"/>
          <w:sz w:val="30"/>
        </w:rPr>
      </w:pPr>
    </w:p>
    <w:p>
      <w:pPr>
        <w:pStyle w:val="BodyText"/>
        <w:rPr>
          <w:rFonts w:ascii="Arial"/>
          <w:sz w:val="30"/>
        </w:rPr>
      </w:pPr>
    </w:p>
    <w:p>
      <w:pPr>
        <w:pStyle w:val="BodyText"/>
        <w:spacing w:before="7"/>
        <w:rPr>
          <w:rFonts w:ascii="Arial"/>
          <w:sz w:val="27"/>
        </w:rPr>
      </w:pPr>
    </w:p>
    <w:p>
      <w:pPr>
        <w:spacing w:before="0"/>
        <w:ind w:left="944" w:right="1428" w:firstLine="0"/>
        <w:jc w:val="center"/>
        <w:rPr>
          <w:rFonts w:ascii="Arial"/>
          <w:sz w:val="27"/>
        </w:rPr>
      </w:pPr>
      <w:r>
        <w:rPr>
          <w:rFonts w:ascii="Arial"/>
          <w:w w:val="80"/>
          <w:sz w:val="27"/>
        </w:rPr>
        <w:t>RODRIGO FRANTZ BECKER</w:t>
      </w:r>
    </w:p>
    <w:p>
      <w:pPr>
        <w:spacing w:after="0"/>
        <w:jc w:val="center"/>
        <w:rPr>
          <w:rFonts w:ascii="Arial"/>
          <w:sz w:val="27"/>
        </w:rPr>
        <w:sectPr>
          <w:type w:val="continuous"/>
          <w:pgSz w:w="11920" w:h="16820"/>
          <w:pgMar w:top="1600" w:bottom="280" w:left="940" w:right="540"/>
          <w:cols w:num="2" w:equalWidth="0">
            <w:col w:w="3866" w:space="923"/>
            <w:col w:w="5651"/>
          </w:cols>
        </w:sectPr>
      </w:pPr>
    </w:p>
    <w:p>
      <w:pPr>
        <w:pStyle w:val="BodyText"/>
        <w:rPr>
          <w:rFonts w:ascii="Arial"/>
        </w:rPr>
      </w:pPr>
    </w:p>
    <w:p>
      <w:pPr>
        <w:pStyle w:val="BodyText"/>
        <w:rPr>
          <w:rFonts w:ascii="Arial"/>
        </w:rPr>
      </w:pPr>
    </w:p>
    <w:p>
      <w:pPr>
        <w:pStyle w:val="Heading3"/>
        <w:spacing w:before="210"/>
        <w:ind w:left="102" w:right="47"/>
        <w:rPr>
          <w:rFonts w:ascii="Arial" w:hAnsi="Arial"/>
        </w:rPr>
      </w:pPr>
      <w:r>
        <w:rPr>
          <w:rFonts w:ascii="Arial" w:hAnsi="Arial"/>
        </w:rPr>
        <w:t>RELATÓRIO DO AUDITOR INDEPENDENTE SOBRE AS DEMONSTRAÇÕES CONTÁBEIS</w:t>
      </w:r>
    </w:p>
    <w:p>
      <w:pPr>
        <w:pStyle w:val="BodyText"/>
        <w:rPr>
          <w:rFonts w:ascii="Arial"/>
          <w:b/>
          <w:sz w:val="24"/>
        </w:rPr>
      </w:pPr>
    </w:p>
    <w:p>
      <w:pPr>
        <w:spacing w:before="0"/>
        <w:ind w:left="102" w:right="0" w:firstLine="0"/>
        <w:jc w:val="left"/>
        <w:rPr>
          <w:rFonts w:ascii="Arial"/>
          <w:b/>
          <w:sz w:val="24"/>
        </w:rPr>
      </w:pPr>
      <w:r>
        <w:rPr>
          <w:rFonts w:ascii="Arial"/>
          <w:b/>
          <w:sz w:val="24"/>
        </w:rPr>
        <w:t>Aos</w:t>
      </w:r>
    </w:p>
    <w:p>
      <w:pPr>
        <w:spacing w:before="0"/>
        <w:ind w:left="102" w:right="2259" w:firstLine="0"/>
        <w:jc w:val="left"/>
        <w:rPr>
          <w:rFonts w:ascii="Arial" w:hAnsi="Arial"/>
          <w:b/>
          <w:sz w:val="24"/>
        </w:rPr>
      </w:pPr>
      <w:r>
        <w:rPr>
          <w:rFonts w:ascii="Arial" w:hAnsi="Arial"/>
          <w:b/>
          <w:sz w:val="24"/>
        </w:rPr>
        <w:t>Acionistas, aos Conselheiros e aos Administradores da COMPANHIA ENERGÉTICA DE BRASÍLIA - CEB</w:t>
      </w:r>
    </w:p>
    <w:p>
      <w:pPr>
        <w:spacing w:before="0"/>
        <w:ind w:left="102" w:right="0" w:firstLine="0"/>
        <w:jc w:val="left"/>
        <w:rPr>
          <w:rFonts w:ascii="Arial" w:hAnsi="Arial"/>
          <w:b/>
          <w:sz w:val="24"/>
        </w:rPr>
      </w:pPr>
      <w:r>
        <w:rPr>
          <w:rFonts w:ascii="Arial" w:hAnsi="Arial"/>
          <w:b/>
          <w:sz w:val="24"/>
        </w:rPr>
        <w:t>Brasília - DF</w:t>
      </w:r>
    </w:p>
    <w:p>
      <w:pPr>
        <w:pStyle w:val="BodyText"/>
        <w:rPr>
          <w:rFonts w:ascii="Arial"/>
          <w:b/>
          <w:sz w:val="26"/>
        </w:rPr>
      </w:pPr>
    </w:p>
    <w:p>
      <w:pPr>
        <w:pStyle w:val="BodyText"/>
        <w:rPr>
          <w:rFonts w:ascii="Arial"/>
          <w:b/>
          <w:sz w:val="22"/>
        </w:rPr>
      </w:pPr>
    </w:p>
    <w:p>
      <w:pPr>
        <w:spacing w:before="0"/>
        <w:ind w:left="102" w:right="0" w:firstLine="0"/>
        <w:jc w:val="left"/>
        <w:rPr>
          <w:rFonts w:ascii="Arial" w:hAnsi="Arial"/>
          <w:b/>
          <w:sz w:val="24"/>
        </w:rPr>
      </w:pPr>
      <w:r>
        <w:rPr>
          <w:rFonts w:ascii="Arial" w:hAnsi="Arial"/>
          <w:b/>
          <w:sz w:val="24"/>
        </w:rPr>
        <w:t>Opinião</w:t>
      </w:r>
    </w:p>
    <w:p>
      <w:pPr>
        <w:pStyle w:val="BodyText"/>
        <w:spacing w:before="1"/>
        <w:rPr>
          <w:rFonts w:ascii="Arial"/>
          <w:b/>
          <w:sz w:val="24"/>
        </w:rPr>
      </w:pPr>
    </w:p>
    <w:p>
      <w:pPr>
        <w:spacing w:before="0"/>
        <w:ind w:left="102" w:right="114" w:firstLine="0"/>
        <w:jc w:val="both"/>
        <w:rPr>
          <w:rFonts w:ascii="Arial" w:hAnsi="Arial"/>
          <w:sz w:val="24"/>
        </w:rPr>
      </w:pPr>
      <w:r>
        <w:rPr>
          <w:rFonts w:ascii="Arial" w:hAnsi="Arial"/>
          <w:sz w:val="24"/>
        </w:rPr>
        <w:t>Examinamos as demonstrações contábeis, individuais e consolidadas, da </w:t>
      </w:r>
      <w:r>
        <w:rPr>
          <w:rFonts w:ascii="Arial" w:hAnsi="Arial"/>
          <w:b/>
          <w:sz w:val="24"/>
        </w:rPr>
        <w:t>Companhia</w:t>
      </w:r>
      <w:r>
        <w:rPr>
          <w:rFonts w:ascii="Arial" w:hAnsi="Arial"/>
          <w:b/>
          <w:spacing w:val="-16"/>
          <w:sz w:val="24"/>
        </w:rPr>
        <w:t> </w:t>
      </w:r>
      <w:r>
        <w:rPr>
          <w:rFonts w:ascii="Arial" w:hAnsi="Arial"/>
          <w:b/>
          <w:sz w:val="24"/>
        </w:rPr>
        <w:t>Energética</w:t>
      </w:r>
      <w:r>
        <w:rPr>
          <w:rFonts w:ascii="Arial" w:hAnsi="Arial"/>
          <w:b/>
          <w:spacing w:val="-15"/>
          <w:sz w:val="24"/>
        </w:rPr>
        <w:t> </w:t>
      </w:r>
      <w:r>
        <w:rPr>
          <w:rFonts w:ascii="Arial" w:hAnsi="Arial"/>
          <w:b/>
          <w:sz w:val="24"/>
        </w:rPr>
        <w:t>de</w:t>
      </w:r>
      <w:r>
        <w:rPr>
          <w:rFonts w:ascii="Arial" w:hAnsi="Arial"/>
          <w:b/>
          <w:spacing w:val="-16"/>
          <w:sz w:val="24"/>
        </w:rPr>
        <w:t> </w:t>
      </w:r>
      <w:r>
        <w:rPr>
          <w:rFonts w:ascii="Arial" w:hAnsi="Arial"/>
          <w:b/>
          <w:sz w:val="24"/>
        </w:rPr>
        <w:t>Brasília</w:t>
      </w:r>
      <w:r>
        <w:rPr>
          <w:rFonts w:ascii="Arial" w:hAnsi="Arial"/>
          <w:b/>
          <w:spacing w:val="-12"/>
          <w:sz w:val="24"/>
        </w:rPr>
        <w:t> </w:t>
      </w:r>
      <w:r>
        <w:rPr>
          <w:rFonts w:ascii="Arial" w:hAnsi="Arial"/>
          <w:b/>
          <w:sz w:val="24"/>
        </w:rPr>
        <w:t>-</w:t>
      </w:r>
      <w:r>
        <w:rPr>
          <w:rFonts w:ascii="Arial" w:hAnsi="Arial"/>
          <w:b/>
          <w:spacing w:val="-17"/>
          <w:sz w:val="24"/>
        </w:rPr>
        <w:t> </w:t>
      </w:r>
      <w:r>
        <w:rPr>
          <w:rFonts w:ascii="Arial" w:hAnsi="Arial"/>
          <w:b/>
          <w:sz w:val="24"/>
        </w:rPr>
        <w:t>CEB</w:t>
      </w:r>
      <w:r>
        <w:rPr>
          <w:rFonts w:ascii="Arial" w:hAnsi="Arial"/>
          <w:b/>
          <w:spacing w:val="-16"/>
          <w:sz w:val="24"/>
        </w:rPr>
        <w:t> </w:t>
      </w:r>
      <w:r>
        <w:rPr>
          <w:rFonts w:ascii="Arial" w:hAnsi="Arial"/>
          <w:b/>
          <w:sz w:val="24"/>
        </w:rPr>
        <w:t>(“Companhia”</w:t>
      </w:r>
      <w:r>
        <w:rPr>
          <w:rFonts w:ascii="Arial" w:hAnsi="Arial"/>
          <w:b/>
          <w:spacing w:val="-15"/>
          <w:sz w:val="24"/>
        </w:rPr>
        <w:t> </w:t>
      </w:r>
      <w:r>
        <w:rPr>
          <w:rFonts w:ascii="Arial" w:hAnsi="Arial"/>
          <w:b/>
          <w:sz w:val="24"/>
        </w:rPr>
        <w:t>ou</w:t>
      </w:r>
      <w:r>
        <w:rPr>
          <w:rFonts w:ascii="Arial" w:hAnsi="Arial"/>
          <w:b/>
          <w:spacing w:val="-17"/>
          <w:sz w:val="24"/>
        </w:rPr>
        <w:t> </w:t>
      </w:r>
      <w:r>
        <w:rPr>
          <w:rFonts w:ascii="Arial" w:hAnsi="Arial"/>
          <w:b/>
          <w:sz w:val="24"/>
        </w:rPr>
        <w:t>“Controladora”)</w:t>
      </w:r>
      <w:r>
        <w:rPr>
          <w:rFonts w:ascii="Arial" w:hAnsi="Arial"/>
          <w:sz w:val="24"/>
        </w:rPr>
        <w:t>, que compreendem o balanço patrimonial em 31 de dezembro de 2019 e as respectivas demonstrações do resultado, do resultado abrangente, das mutações</w:t>
      </w:r>
      <w:r>
        <w:rPr>
          <w:rFonts w:ascii="Arial" w:hAnsi="Arial"/>
          <w:spacing w:val="-20"/>
          <w:sz w:val="24"/>
        </w:rPr>
        <w:t> </w:t>
      </w:r>
      <w:r>
        <w:rPr>
          <w:rFonts w:ascii="Arial" w:hAnsi="Arial"/>
          <w:sz w:val="24"/>
        </w:rPr>
        <w:t>do</w:t>
      </w:r>
      <w:r>
        <w:rPr>
          <w:rFonts w:ascii="Arial" w:hAnsi="Arial"/>
          <w:spacing w:val="-17"/>
          <w:sz w:val="24"/>
        </w:rPr>
        <w:t> </w:t>
      </w:r>
      <w:r>
        <w:rPr>
          <w:rFonts w:ascii="Arial" w:hAnsi="Arial"/>
          <w:sz w:val="24"/>
        </w:rPr>
        <w:t>patrimônio</w:t>
      </w:r>
      <w:r>
        <w:rPr>
          <w:rFonts w:ascii="Arial" w:hAnsi="Arial"/>
          <w:spacing w:val="-16"/>
          <w:sz w:val="24"/>
        </w:rPr>
        <w:t> </w:t>
      </w:r>
      <w:r>
        <w:rPr>
          <w:rFonts w:ascii="Arial" w:hAnsi="Arial"/>
          <w:sz w:val="24"/>
        </w:rPr>
        <w:t>líquido</w:t>
      </w:r>
      <w:r>
        <w:rPr>
          <w:rFonts w:ascii="Arial" w:hAnsi="Arial"/>
          <w:spacing w:val="-17"/>
          <w:sz w:val="24"/>
        </w:rPr>
        <w:t> </w:t>
      </w:r>
      <w:r>
        <w:rPr>
          <w:rFonts w:ascii="Arial" w:hAnsi="Arial"/>
          <w:sz w:val="24"/>
        </w:rPr>
        <w:t>e</w:t>
      </w:r>
      <w:r>
        <w:rPr>
          <w:rFonts w:ascii="Arial" w:hAnsi="Arial"/>
          <w:spacing w:val="-17"/>
          <w:sz w:val="24"/>
        </w:rPr>
        <w:t> </w:t>
      </w:r>
      <w:r>
        <w:rPr>
          <w:rFonts w:ascii="Arial" w:hAnsi="Arial"/>
          <w:sz w:val="24"/>
        </w:rPr>
        <w:t>dos</w:t>
      </w:r>
      <w:r>
        <w:rPr>
          <w:rFonts w:ascii="Arial" w:hAnsi="Arial"/>
          <w:spacing w:val="-19"/>
          <w:sz w:val="24"/>
        </w:rPr>
        <w:t> </w:t>
      </w:r>
      <w:r>
        <w:rPr>
          <w:rFonts w:ascii="Arial" w:hAnsi="Arial"/>
          <w:sz w:val="24"/>
        </w:rPr>
        <w:t>fluxos</w:t>
      </w:r>
      <w:r>
        <w:rPr>
          <w:rFonts w:ascii="Arial" w:hAnsi="Arial"/>
          <w:spacing w:val="-18"/>
          <w:sz w:val="24"/>
        </w:rPr>
        <w:t> </w:t>
      </w:r>
      <w:r>
        <w:rPr>
          <w:rFonts w:ascii="Arial" w:hAnsi="Arial"/>
          <w:sz w:val="24"/>
        </w:rPr>
        <w:t>de</w:t>
      </w:r>
      <w:r>
        <w:rPr>
          <w:rFonts w:ascii="Arial" w:hAnsi="Arial"/>
          <w:spacing w:val="-16"/>
          <w:sz w:val="24"/>
        </w:rPr>
        <w:t> </w:t>
      </w:r>
      <w:r>
        <w:rPr>
          <w:rFonts w:ascii="Arial" w:hAnsi="Arial"/>
          <w:sz w:val="24"/>
        </w:rPr>
        <w:t>caixa</w:t>
      </w:r>
      <w:r>
        <w:rPr>
          <w:rFonts w:ascii="Arial" w:hAnsi="Arial"/>
          <w:spacing w:val="-17"/>
          <w:sz w:val="24"/>
        </w:rPr>
        <w:t> </w:t>
      </w:r>
      <w:r>
        <w:rPr>
          <w:rFonts w:ascii="Arial" w:hAnsi="Arial"/>
          <w:sz w:val="24"/>
        </w:rPr>
        <w:t>para</w:t>
      </w:r>
      <w:r>
        <w:rPr>
          <w:rFonts w:ascii="Arial" w:hAnsi="Arial"/>
          <w:spacing w:val="-20"/>
          <w:sz w:val="24"/>
        </w:rPr>
        <w:t> </w:t>
      </w:r>
      <w:r>
        <w:rPr>
          <w:rFonts w:ascii="Arial" w:hAnsi="Arial"/>
          <w:sz w:val="24"/>
        </w:rPr>
        <w:t>o</w:t>
      </w:r>
      <w:r>
        <w:rPr>
          <w:rFonts w:ascii="Arial" w:hAnsi="Arial"/>
          <w:spacing w:val="-16"/>
          <w:sz w:val="24"/>
        </w:rPr>
        <w:t> </w:t>
      </w:r>
      <w:r>
        <w:rPr>
          <w:rFonts w:ascii="Arial" w:hAnsi="Arial"/>
          <w:sz w:val="24"/>
        </w:rPr>
        <w:t>exercício</w:t>
      </w:r>
      <w:r>
        <w:rPr>
          <w:rFonts w:ascii="Arial" w:hAnsi="Arial"/>
          <w:spacing w:val="-17"/>
          <w:sz w:val="24"/>
        </w:rPr>
        <w:t> </w:t>
      </w:r>
      <w:r>
        <w:rPr>
          <w:rFonts w:ascii="Arial" w:hAnsi="Arial"/>
          <w:sz w:val="24"/>
        </w:rPr>
        <w:t>findo</w:t>
      </w:r>
      <w:r>
        <w:rPr>
          <w:rFonts w:ascii="Arial" w:hAnsi="Arial"/>
          <w:spacing w:val="-19"/>
          <w:sz w:val="24"/>
        </w:rPr>
        <w:t> </w:t>
      </w:r>
      <w:r>
        <w:rPr>
          <w:rFonts w:ascii="Arial" w:hAnsi="Arial"/>
          <w:sz w:val="24"/>
        </w:rPr>
        <w:t>nessa data, bem como as correspondentes notas explicativas, incluindo o resumo das principais políticas</w:t>
      </w:r>
      <w:r>
        <w:rPr>
          <w:rFonts w:ascii="Arial" w:hAnsi="Arial"/>
          <w:spacing w:val="-1"/>
          <w:sz w:val="24"/>
        </w:rPr>
        <w:t> </w:t>
      </w:r>
      <w:r>
        <w:rPr>
          <w:rFonts w:ascii="Arial" w:hAnsi="Arial"/>
          <w:sz w:val="24"/>
        </w:rPr>
        <w:t>contábeis.</w:t>
      </w:r>
    </w:p>
    <w:p>
      <w:pPr>
        <w:pStyle w:val="BodyText"/>
        <w:rPr>
          <w:rFonts w:ascii="Arial"/>
          <w:sz w:val="24"/>
        </w:rPr>
      </w:pPr>
    </w:p>
    <w:p>
      <w:pPr>
        <w:spacing w:before="0"/>
        <w:ind w:left="102" w:right="115" w:firstLine="0"/>
        <w:jc w:val="both"/>
        <w:rPr>
          <w:rFonts w:ascii="Arial" w:hAnsi="Arial"/>
          <w:sz w:val="24"/>
        </w:rPr>
      </w:pPr>
      <w:r>
        <w:rPr>
          <w:rFonts w:ascii="Arial" w:hAnsi="Arial"/>
          <w:sz w:val="24"/>
        </w:rPr>
        <w:t>Em nossa opinião, as demonstrações contábeis individuais e consolidadas acima referidas apresentam adequadamente, em todos os aspectos relevantes, a</w:t>
      </w:r>
      <w:r>
        <w:rPr>
          <w:rFonts w:ascii="Arial" w:hAnsi="Arial"/>
          <w:spacing w:val="-12"/>
          <w:sz w:val="24"/>
        </w:rPr>
        <w:t> </w:t>
      </w:r>
      <w:r>
        <w:rPr>
          <w:rFonts w:ascii="Arial" w:hAnsi="Arial"/>
          <w:sz w:val="24"/>
        </w:rPr>
        <w:t>posição</w:t>
      </w:r>
      <w:r>
        <w:rPr>
          <w:rFonts w:ascii="Arial" w:hAnsi="Arial"/>
          <w:spacing w:val="-13"/>
          <w:sz w:val="24"/>
        </w:rPr>
        <w:t> </w:t>
      </w:r>
      <w:r>
        <w:rPr>
          <w:rFonts w:ascii="Arial" w:hAnsi="Arial"/>
          <w:sz w:val="24"/>
        </w:rPr>
        <w:t>patrimonial</w:t>
      </w:r>
      <w:r>
        <w:rPr>
          <w:rFonts w:ascii="Arial" w:hAnsi="Arial"/>
          <w:spacing w:val="-14"/>
          <w:sz w:val="24"/>
        </w:rPr>
        <w:t> </w:t>
      </w:r>
      <w:r>
        <w:rPr>
          <w:rFonts w:ascii="Arial" w:hAnsi="Arial"/>
          <w:sz w:val="24"/>
        </w:rPr>
        <w:t>e</w:t>
      </w:r>
      <w:r>
        <w:rPr>
          <w:rFonts w:ascii="Arial" w:hAnsi="Arial"/>
          <w:spacing w:val="-13"/>
          <w:sz w:val="24"/>
        </w:rPr>
        <w:t> </w:t>
      </w:r>
      <w:r>
        <w:rPr>
          <w:rFonts w:ascii="Arial" w:hAnsi="Arial"/>
          <w:sz w:val="24"/>
        </w:rPr>
        <w:t>financeira,</w:t>
      </w:r>
      <w:r>
        <w:rPr>
          <w:rFonts w:ascii="Arial" w:hAnsi="Arial"/>
          <w:spacing w:val="-13"/>
          <w:sz w:val="24"/>
        </w:rPr>
        <w:t> </w:t>
      </w:r>
      <w:r>
        <w:rPr>
          <w:rFonts w:ascii="Arial" w:hAnsi="Arial"/>
          <w:sz w:val="24"/>
        </w:rPr>
        <w:t>individual</w:t>
      </w:r>
      <w:r>
        <w:rPr>
          <w:rFonts w:ascii="Arial" w:hAnsi="Arial"/>
          <w:spacing w:val="-14"/>
          <w:sz w:val="24"/>
        </w:rPr>
        <w:t> </w:t>
      </w:r>
      <w:r>
        <w:rPr>
          <w:rFonts w:ascii="Arial" w:hAnsi="Arial"/>
          <w:sz w:val="24"/>
        </w:rPr>
        <w:t>e</w:t>
      </w:r>
      <w:r>
        <w:rPr>
          <w:rFonts w:ascii="Arial" w:hAnsi="Arial"/>
          <w:spacing w:val="-13"/>
          <w:sz w:val="24"/>
        </w:rPr>
        <w:t> </w:t>
      </w:r>
      <w:r>
        <w:rPr>
          <w:rFonts w:ascii="Arial" w:hAnsi="Arial"/>
          <w:sz w:val="24"/>
        </w:rPr>
        <w:t>consolidada</w:t>
      </w:r>
      <w:r>
        <w:rPr>
          <w:rFonts w:ascii="Arial" w:hAnsi="Arial"/>
          <w:spacing w:val="-9"/>
          <w:sz w:val="24"/>
        </w:rPr>
        <w:t> </w:t>
      </w:r>
      <w:r>
        <w:rPr>
          <w:rFonts w:ascii="Arial" w:hAnsi="Arial"/>
          <w:sz w:val="24"/>
        </w:rPr>
        <w:t>da</w:t>
      </w:r>
      <w:r>
        <w:rPr>
          <w:rFonts w:ascii="Arial" w:hAnsi="Arial"/>
          <w:spacing w:val="-13"/>
          <w:sz w:val="24"/>
        </w:rPr>
        <w:t> </w:t>
      </w:r>
      <w:r>
        <w:rPr>
          <w:rFonts w:ascii="Arial" w:hAnsi="Arial"/>
          <w:sz w:val="24"/>
        </w:rPr>
        <w:t>Companhia</w:t>
      </w:r>
      <w:r>
        <w:rPr>
          <w:rFonts w:ascii="Arial" w:hAnsi="Arial"/>
          <w:spacing w:val="-12"/>
          <w:sz w:val="24"/>
        </w:rPr>
        <w:t> </w:t>
      </w:r>
      <w:r>
        <w:rPr>
          <w:rFonts w:ascii="Arial" w:hAnsi="Arial"/>
          <w:sz w:val="24"/>
        </w:rPr>
        <w:t>em</w:t>
      </w:r>
      <w:r>
        <w:rPr>
          <w:rFonts w:ascii="Arial" w:hAnsi="Arial"/>
          <w:spacing w:val="-13"/>
          <w:sz w:val="24"/>
        </w:rPr>
        <w:t> </w:t>
      </w:r>
      <w:r>
        <w:rPr>
          <w:rFonts w:ascii="Arial" w:hAnsi="Arial"/>
          <w:sz w:val="24"/>
        </w:rPr>
        <w:t>31 de dezembro de 2019, o desempenho individual e consolidado de suas operações</w:t>
      </w:r>
      <w:r>
        <w:rPr>
          <w:rFonts w:ascii="Arial" w:hAnsi="Arial"/>
          <w:spacing w:val="-7"/>
          <w:sz w:val="24"/>
        </w:rPr>
        <w:t> </w:t>
      </w:r>
      <w:r>
        <w:rPr>
          <w:rFonts w:ascii="Arial" w:hAnsi="Arial"/>
          <w:sz w:val="24"/>
        </w:rPr>
        <w:t>e</w:t>
      </w:r>
      <w:r>
        <w:rPr>
          <w:rFonts w:ascii="Arial" w:hAnsi="Arial"/>
          <w:spacing w:val="-8"/>
          <w:sz w:val="24"/>
        </w:rPr>
        <w:t> </w:t>
      </w:r>
      <w:r>
        <w:rPr>
          <w:rFonts w:ascii="Arial" w:hAnsi="Arial"/>
          <w:sz w:val="24"/>
        </w:rPr>
        <w:t>os</w:t>
      </w:r>
      <w:r>
        <w:rPr>
          <w:rFonts w:ascii="Arial" w:hAnsi="Arial"/>
          <w:spacing w:val="-6"/>
          <w:sz w:val="24"/>
        </w:rPr>
        <w:t> </w:t>
      </w:r>
      <w:r>
        <w:rPr>
          <w:rFonts w:ascii="Arial" w:hAnsi="Arial"/>
          <w:sz w:val="24"/>
        </w:rPr>
        <w:t>seus</w:t>
      </w:r>
      <w:r>
        <w:rPr>
          <w:rFonts w:ascii="Arial" w:hAnsi="Arial"/>
          <w:spacing w:val="-7"/>
          <w:sz w:val="24"/>
        </w:rPr>
        <w:t> </w:t>
      </w:r>
      <w:r>
        <w:rPr>
          <w:rFonts w:ascii="Arial" w:hAnsi="Arial"/>
          <w:sz w:val="24"/>
        </w:rPr>
        <w:t>respectivos</w:t>
      </w:r>
      <w:r>
        <w:rPr>
          <w:rFonts w:ascii="Arial" w:hAnsi="Arial"/>
          <w:spacing w:val="-7"/>
          <w:sz w:val="24"/>
        </w:rPr>
        <w:t> </w:t>
      </w:r>
      <w:r>
        <w:rPr>
          <w:rFonts w:ascii="Arial" w:hAnsi="Arial"/>
          <w:sz w:val="24"/>
        </w:rPr>
        <w:t>fluxos</w:t>
      </w:r>
      <w:r>
        <w:rPr>
          <w:rFonts w:ascii="Arial" w:hAnsi="Arial"/>
          <w:spacing w:val="-8"/>
          <w:sz w:val="24"/>
        </w:rPr>
        <w:t> </w:t>
      </w:r>
      <w:r>
        <w:rPr>
          <w:rFonts w:ascii="Arial" w:hAnsi="Arial"/>
          <w:sz w:val="24"/>
        </w:rPr>
        <w:t>de</w:t>
      </w:r>
      <w:r>
        <w:rPr>
          <w:rFonts w:ascii="Arial" w:hAnsi="Arial"/>
          <w:spacing w:val="-6"/>
          <w:sz w:val="24"/>
        </w:rPr>
        <w:t> </w:t>
      </w:r>
      <w:r>
        <w:rPr>
          <w:rFonts w:ascii="Arial" w:hAnsi="Arial"/>
          <w:sz w:val="24"/>
        </w:rPr>
        <w:t>caixa</w:t>
      </w:r>
      <w:r>
        <w:rPr>
          <w:rFonts w:ascii="Arial" w:hAnsi="Arial"/>
          <w:spacing w:val="-5"/>
          <w:sz w:val="24"/>
        </w:rPr>
        <w:t> </w:t>
      </w:r>
      <w:r>
        <w:rPr>
          <w:rFonts w:ascii="Arial" w:hAnsi="Arial"/>
          <w:sz w:val="24"/>
        </w:rPr>
        <w:t>individuais</w:t>
      </w:r>
      <w:r>
        <w:rPr>
          <w:rFonts w:ascii="Arial" w:hAnsi="Arial"/>
          <w:spacing w:val="-7"/>
          <w:sz w:val="24"/>
        </w:rPr>
        <w:t> </w:t>
      </w:r>
      <w:r>
        <w:rPr>
          <w:rFonts w:ascii="Arial" w:hAnsi="Arial"/>
          <w:sz w:val="24"/>
        </w:rPr>
        <w:t>e</w:t>
      </w:r>
      <w:r>
        <w:rPr>
          <w:rFonts w:ascii="Arial" w:hAnsi="Arial"/>
          <w:spacing w:val="-6"/>
          <w:sz w:val="24"/>
        </w:rPr>
        <w:t> </w:t>
      </w:r>
      <w:r>
        <w:rPr>
          <w:rFonts w:ascii="Arial" w:hAnsi="Arial"/>
          <w:sz w:val="24"/>
        </w:rPr>
        <w:t>consolidados</w:t>
      </w:r>
      <w:r>
        <w:rPr>
          <w:rFonts w:ascii="Arial" w:hAnsi="Arial"/>
          <w:spacing w:val="-8"/>
          <w:sz w:val="24"/>
        </w:rPr>
        <w:t> </w:t>
      </w:r>
      <w:r>
        <w:rPr>
          <w:rFonts w:ascii="Arial" w:hAnsi="Arial"/>
          <w:sz w:val="24"/>
        </w:rPr>
        <w:t>para o exercício findo nessa data, de acordo com as práticas contábeis adotadas no Brasil.</w:t>
      </w:r>
    </w:p>
    <w:p>
      <w:pPr>
        <w:pStyle w:val="BodyText"/>
        <w:spacing w:before="1"/>
        <w:rPr>
          <w:rFonts w:ascii="Arial"/>
          <w:sz w:val="24"/>
        </w:rPr>
      </w:pPr>
    </w:p>
    <w:p>
      <w:pPr>
        <w:spacing w:before="0"/>
        <w:ind w:left="102" w:right="0" w:firstLine="0"/>
        <w:jc w:val="both"/>
        <w:rPr>
          <w:rFonts w:ascii="Arial" w:hAnsi="Arial"/>
          <w:b/>
          <w:sz w:val="24"/>
        </w:rPr>
      </w:pPr>
      <w:r>
        <w:rPr>
          <w:rFonts w:ascii="Arial" w:hAnsi="Arial"/>
          <w:b/>
          <w:sz w:val="24"/>
        </w:rPr>
        <w:t>Base para opinião</w:t>
      </w:r>
    </w:p>
    <w:p>
      <w:pPr>
        <w:pStyle w:val="BodyText"/>
        <w:rPr>
          <w:rFonts w:ascii="Arial"/>
          <w:b/>
          <w:sz w:val="24"/>
        </w:rPr>
      </w:pPr>
    </w:p>
    <w:p>
      <w:pPr>
        <w:spacing w:before="0"/>
        <w:ind w:left="102" w:right="118" w:firstLine="0"/>
        <w:jc w:val="both"/>
        <w:rPr>
          <w:rFonts w:ascii="Arial" w:hAnsi="Arial"/>
          <w:sz w:val="24"/>
        </w:rPr>
      </w:pPr>
      <w:r>
        <w:rPr>
          <w:rFonts w:ascii="Arial" w:hAnsi="Arial"/>
          <w:sz w:val="24"/>
        </w:rPr>
        <w:t>Nossa auditoria foi conduzida de acordo com as normas brasileiras e internacionais de auditoria. Nossas responsabilidades, em conformidade com tais</w:t>
      </w:r>
      <w:r>
        <w:rPr>
          <w:rFonts w:ascii="Arial" w:hAnsi="Arial"/>
          <w:spacing w:val="-9"/>
          <w:sz w:val="24"/>
        </w:rPr>
        <w:t> </w:t>
      </w:r>
      <w:r>
        <w:rPr>
          <w:rFonts w:ascii="Arial" w:hAnsi="Arial"/>
          <w:sz w:val="24"/>
        </w:rPr>
        <w:t>normas,</w:t>
      </w:r>
      <w:r>
        <w:rPr>
          <w:rFonts w:ascii="Arial" w:hAnsi="Arial"/>
          <w:spacing w:val="-10"/>
          <w:sz w:val="24"/>
        </w:rPr>
        <w:t> </w:t>
      </w:r>
      <w:r>
        <w:rPr>
          <w:rFonts w:ascii="Arial" w:hAnsi="Arial"/>
          <w:sz w:val="24"/>
        </w:rPr>
        <w:t>estão</w:t>
      </w:r>
      <w:r>
        <w:rPr>
          <w:rFonts w:ascii="Arial" w:hAnsi="Arial"/>
          <w:spacing w:val="-8"/>
          <w:sz w:val="24"/>
        </w:rPr>
        <w:t> </w:t>
      </w:r>
      <w:r>
        <w:rPr>
          <w:rFonts w:ascii="Arial" w:hAnsi="Arial"/>
          <w:sz w:val="24"/>
        </w:rPr>
        <w:t>descritas</w:t>
      </w:r>
      <w:r>
        <w:rPr>
          <w:rFonts w:ascii="Arial" w:hAnsi="Arial"/>
          <w:spacing w:val="-8"/>
          <w:sz w:val="24"/>
        </w:rPr>
        <w:t> </w:t>
      </w:r>
      <w:r>
        <w:rPr>
          <w:rFonts w:ascii="Arial" w:hAnsi="Arial"/>
          <w:sz w:val="24"/>
        </w:rPr>
        <w:t>na</w:t>
      </w:r>
      <w:r>
        <w:rPr>
          <w:rFonts w:ascii="Arial" w:hAnsi="Arial"/>
          <w:spacing w:val="-7"/>
          <w:sz w:val="24"/>
        </w:rPr>
        <w:t> </w:t>
      </w:r>
      <w:r>
        <w:rPr>
          <w:rFonts w:ascii="Arial" w:hAnsi="Arial"/>
          <w:sz w:val="24"/>
        </w:rPr>
        <w:t>seção</w:t>
      </w:r>
      <w:r>
        <w:rPr>
          <w:rFonts w:ascii="Arial" w:hAnsi="Arial"/>
          <w:spacing w:val="-10"/>
          <w:sz w:val="24"/>
        </w:rPr>
        <w:t> </w:t>
      </w:r>
      <w:r>
        <w:rPr>
          <w:rFonts w:ascii="Arial" w:hAnsi="Arial"/>
          <w:sz w:val="24"/>
        </w:rPr>
        <w:t>a</w:t>
      </w:r>
      <w:r>
        <w:rPr>
          <w:rFonts w:ascii="Arial" w:hAnsi="Arial"/>
          <w:spacing w:val="-7"/>
          <w:sz w:val="24"/>
        </w:rPr>
        <w:t> </w:t>
      </w:r>
      <w:r>
        <w:rPr>
          <w:rFonts w:ascii="Arial" w:hAnsi="Arial"/>
          <w:sz w:val="24"/>
        </w:rPr>
        <w:t>seguir,</w:t>
      </w:r>
      <w:r>
        <w:rPr>
          <w:rFonts w:ascii="Arial" w:hAnsi="Arial"/>
          <w:spacing w:val="-8"/>
          <w:sz w:val="24"/>
        </w:rPr>
        <w:t> </w:t>
      </w:r>
      <w:r>
        <w:rPr>
          <w:rFonts w:ascii="Arial" w:hAnsi="Arial"/>
          <w:sz w:val="24"/>
        </w:rPr>
        <w:t>intitulada</w:t>
      </w:r>
      <w:r>
        <w:rPr>
          <w:rFonts w:ascii="Arial" w:hAnsi="Arial"/>
          <w:spacing w:val="-8"/>
          <w:sz w:val="24"/>
        </w:rPr>
        <w:t> </w:t>
      </w:r>
      <w:r>
        <w:rPr>
          <w:rFonts w:ascii="Arial" w:hAnsi="Arial"/>
          <w:sz w:val="24"/>
        </w:rPr>
        <w:t>“Responsabilidades</w:t>
      </w:r>
      <w:r>
        <w:rPr>
          <w:rFonts w:ascii="Arial" w:hAnsi="Arial"/>
          <w:spacing w:val="-10"/>
          <w:sz w:val="24"/>
        </w:rPr>
        <w:t> </w:t>
      </w:r>
      <w:r>
        <w:rPr>
          <w:rFonts w:ascii="Arial" w:hAnsi="Arial"/>
          <w:sz w:val="24"/>
        </w:rPr>
        <w:t>do auditor pela auditoria das demonstrações contábeis individuais e consolidadas”. Somos independentes em relação à Companhia e suas controladas, de acordo com os princípios éticos relevantes previstos no Código de Ética Profissional do Contador e nas normas profissionais emitidas pelo Conselho Federal de Contabilidade, e cumprimos com as demais responsabilidades éticas de acordo com</w:t>
      </w:r>
      <w:r>
        <w:rPr>
          <w:rFonts w:ascii="Arial" w:hAnsi="Arial"/>
          <w:spacing w:val="-6"/>
          <w:sz w:val="24"/>
        </w:rPr>
        <w:t> </w:t>
      </w:r>
      <w:r>
        <w:rPr>
          <w:rFonts w:ascii="Arial" w:hAnsi="Arial"/>
          <w:sz w:val="24"/>
        </w:rPr>
        <w:t>essas</w:t>
      </w:r>
      <w:r>
        <w:rPr>
          <w:rFonts w:ascii="Arial" w:hAnsi="Arial"/>
          <w:spacing w:val="-7"/>
          <w:sz w:val="24"/>
        </w:rPr>
        <w:t> </w:t>
      </w:r>
      <w:r>
        <w:rPr>
          <w:rFonts w:ascii="Arial" w:hAnsi="Arial"/>
          <w:sz w:val="24"/>
        </w:rPr>
        <w:t>normas.</w:t>
      </w:r>
      <w:r>
        <w:rPr>
          <w:rFonts w:ascii="Arial" w:hAnsi="Arial"/>
          <w:spacing w:val="-7"/>
          <w:sz w:val="24"/>
        </w:rPr>
        <w:t> </w:t>
      </w:r>
      <w:r>
        <w:rPr>
          <w:rFonts w:ascii="Arial" w:hAnsi="Arial"/>
          <w:sz w:val="24"/>
        </w:rPr>
        <w:t>Acreditamos</w:t>
      </w:r>
      <w:r>
        <w:rPr>
          <w:rFonts w:ascii="Arial" w:hAnsi="Arial"/>
          <w:spacing w:val="-7"/>
          <w:sz w:val="24"/>
        </w:rPr>
        <w:t> </w:t>
      </w:r>
      <w:r>
        <w:rPr>
          <w:rFonts w:ascii="Arial" w:hAnsi="Arial"/>
          <w:sz w:val="24"/>
        </w:rPr>
        <w:t>que</w:t>
      </w:r>
      <w:r>
        <w:rPr>
          <w:rFonts w:ascii="Arial" w:hAnsi="Arial"/>
          <w:spacing w:val="-6"/>
          <w:sz w:val="24"/>
        </w:rPr>
        <w:t> </w:t>
      </w:r>
      <w:r>
        <w:rPr>
          <w:rFonts w:ascii="Arial" w:hAnsi="Arial"/>
          <w:sz w:val="24"/>
        </w:rPr>
        <w:t>a</w:t>
      </w:r>
      <w:r>
        <w:rPr>
          <w:rFonts w:ascii="Arial" w:hAnsi="Arial"/>
          <w:spacing w:val="-9"/>
          <w:sz w:val="24"/>
        </w:rPr>
        <w:t> </w:t>
      </w:r>
      <w:r>
        <w:rPr>
          <w:rFonts w:ascii="Arial" w:hAnsi="Arial"/>
          <w:sz w:val="24"/>
        </w:rPr>
        <w:t>evidência</w:t>
      </w:r>
      <w:r>
        <w:rPr>
          <w:rFonts w:ascii="Arial" w:hAnsi="Arial"/>
          <w:spacing w:val="-6"/>
          <w:sz w:val="24"/>
        </w:rPr>
        <w:t> </w:t>
      </w:r>
      <w:r>
        <w:rPr>
          <w:rFonts w:ascii="Arial" w:hAnsi="Arial"/>
          <w:sz w:val="24"/>
        </w:rPr>
        <w:t>de</w:t>
      </w:r>
      <w:r>
        <w:rPr>
          <w:rFonts w:ascii="Arial" w:hAnsi="Arial"/>
          <w:spacing w:val="-8"/>
          <w:sz w:val="24"/>
        </w:rPr>
        <w:t> </w:t>
      </w:r>
      <w:r>
        <w:rPr>
          <w:rFonts w:ascii="Arial" w:hAnsi="Arial"/>
          <w:sz w:val="24"/>
        </w:rPr>
        <w:t>auditoria</w:t>
      </w:r>
      <w:r>
        <w:rPr>
          <w:rFonts w:ascii="Arial" w:hAnsi="Arial"/>
          <w:spacing w:val="-7"/>
          <w:sz w:val="24"/>
        </w:rPr>
        <w:t> </w:t>
      </w:r>
      <w:r>
        <w:rPr>
          <w:rFonts w:ascii="Arial" w:hAnsi="Arial"/>
          <w:sz w:val="24"/>
        </w:rPr>
        <w:t>obtida</w:t>
      </w:r>
      <w:r>
        <w:rPr>
          <w:rFonts w:ascii="Arial" w:hAnsi="Arial"/>
          <w:spacing w:val="-6"/>
          <w:sz w:val="24"/>
        </w:rPr>
        <w:t> </w:t>
      </w:r>
      <w:r>
        <w:rPr>
          <w:rFonts w:ascii="Arial" w:hAnsi="Arial"/>
          <w:sz w:val="24"/>
        </w:rPr>
        <w:t>é</w:t>
      </w:r>
      <w:r>
        <w:rPr>
          <w:rFonts w:ascii="Arial" w:hAnsi="Arial"/>
          <w:spacing w:val="-7"/>
          <w:sz w:val="24"/>
        </w:rPr>
        <w:t> </w:t>
      </w:r>
      <w:r>
        <w:rPr>
          <w:rFonts w:ascii="Arial" w:hAnsi="Arial"/>
          <w:sz w:val="24"/>
        </w:rPr>
        <w:t>suficiente e apropriada para fundamentar nossa</w:t>
      </w:r>
      <w:r>
        <w:rPr>
          <w:rFonts w:ascii="Arial" w:hAnsi="Arial"/>
          <w:spacing w:val="-11"/>
          <w:sz w:val="24"/>
        </w:rPr>
        <w:t> </w:t>
      </w:r>
      <w:r>
        <w:rPr>
          <w:rFonts w:ascii="Arial" w:hAnsi="Arial"/>
          <w:sz w:val="24"/>
        </w:rPr>
        <w:t>opinião.</w:t>
      </w:r>
    </w:p>
    <w:p>
      <w:pPr>
        <w:pStyle w:val="BodyText"/>
        <w:spacing w:before="1"/>
        <w:rPr>
          <w:rFonts w:ascii="Arial"/>
          <w:sz w:val="24"/>
        </w:rPr>
      </w:pPr>
    </w:p>
    <w:p>
      <w:pPr>
        <w:spacing w:before="0"/>
        <w:ind w:left="102" w:right="0" w:firstLine="0"/>
        <w:jc w:val="both"/>
        <w:rPr>
          <w:rFonts w:ascii="Arial"/>
          <w:b/>
          <w:sz w:val="24"/>
        </w:rPr>
      </w:pPr>
      <w:r>
        <w:rPr>
          <w:rFonts w:ascii="Arial"/>
          <w:b/>
          <w:sz w:val="24"/>
        </w:rPr>
        <w:t>Principais assuntos de auditoria</w:t>
      </w:r>
    </w:p>
    <w:p>
      <w:pPr>
        <w:pStyle w:val="BodyText"/>
        <w:rPr>
          <w:rFonts w:ascii="Arial"/>
          <w:b/>
          <w:sz w:val="24"/>
        </w:rPr>
      </w:pPr>
    </w:p>
    <w:p>
      <w:pPr>
        <w:spacing w:before="0"/>
        <w:ind w:left="102" w:right="116" w:firstLine="0"/>
        <w:jc w:val="both"/>
        <w:rPr>
          <w:rFonts w:ascii="Arial" w:hAnsi="Arial"/>
          <w:sz w:val="24"/>
        </w:rPr>
      </w:pPr>
      <w:r>
        <w:rPr>
          <w:rFonts w:ascii="Arial" w:hAnsi="Arial"/>
          <w:sz w:val="24"/>
        </w:rPr>
        <w:t>Os principais assuntos de auditoria são aqueles que, em nosso julgamento profissional, foram os mais significativos em nossa auditoria do exercício corrente. Esses assuntos foram abordados no contexto da auditoria das demonstrações contábeis tomadas em conjunto e, ao formar sua opinião sobre elas, o auditor não fornece uma opinião separada sobre os referidos assuntos.</w:t>
      </w:r>
    </w:p>
    <w:p>
      <w:pPr>
        <w:spacing w:after="0"/>
        <w:jc w:val="both"/>
        <w:rPr>
          <w:rFonts w:ascii="Arial" w:hAnsi="Arial"/>
          <w:sz w:val="24"/>
        </w:rPr>
        <w:sectPr>
          <w:headerReference w:type="default" r:id="rId103"/>
          <w:footerReference w:type="default" r:id="rId104"/>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0" w:firstLine="0"/>
        <w:jc w:val="both"/>
        <w:rPr>
          <w:rFonts w:ascii="Arial" w:hAnsi="Arial"/>
          <w:b/>
          <w:sz w:val="24"/>
        </w:rPr>
      </w:pPr>
      <w:r>
        <w:rPr>
          <w:rFonts w:ascii="Arial" w:hAnsi="Arial"/>
          <w:b/>
          <w:sz w:val="24"/>
        </w:rPr>
        <w:t>Reconhecimento de receita e ambiente de tecnologia da informação</w:t>
      </w:r>
    </w:p>
    <w:p>
      <w:pPr>
        <w:pStyle w:val="BodyText"/>
        <w:rPr>
          <w:rFonts w:ascii="Arial"/>
          <w:b/>
          <w:sz w:val="24"/>
        </w:rPr>
      </w:pPr>
    </w:p>
    <w:p>
      <w:pPr>
        <w:spacing w:before="0"/>
        <w:ind w:left="102" w:right="119" w:firstLine="0"/>
        <w:jc w:val="both"/>
        <w:rPr>
          <w:rFonts w:ascii="Arial" w:hAnsi="Arial"/>
          <w:sz w:val="24"/>
        </w:rPr>
      </w:pPr>
      <w:r>
        <w:rPr>
          <w:rFonts w:ascii="Arial" w:hAnsi="Arial"/>
          <w:sz w:val="24"/>
        </w:rPr>
        <w:t>Conforme descrito na Nota 2.22.2, as receitas oriundas do fornecimento de energia elétrica e atividades associadas aos serviços são reconhecidas quando as obrigações de desempenho são atendidas e o valor justo a receber são passíveis de mensuração. Como o processo de reconhecimento da receita é relevante para o desempenho da Companhia, de forma inerente adiciona componentes de risco de fraude. Também observa-se que as transações de fornecimento</w:t>
      </w:r>
      <w:r>
        <w:rPr>
          <w:rFonts w:ascii="Arial" w:hAnsi="Arial"/>
          <w:spacing w:val="-13"/>
          <w:sz w:val="24"/>
        </w:rPr>
        <w:t> </w:t>
      </w:r>
      <w:r>
        <w:rPr>
          <w:rFonts w:ascii="Arial" w:hAnsi="Arial"/>
          <w:sz w:val="24"/>
        </w:rPr>
        <w:t>de</w:t>
      </w:r>
      <w:r>
        <w:rPr>
          <w:rFonts w:ascii="Arial" w:hAnsi="Arial"/>
          <w:spacing w:val="-12"/>
          <w:sz w:val="24"/>
        </w:rPr>
        <w:t> </w:t>
      </w:r>
      <w:r>
        <w:rPr>
          <w:rFonts w:ascii="Arial" w:hAnsi="Arial"/>
          <w:sz w:val="24"/>
        </w:rPr>
        <w:t>energia</w:t>
      </w:r>
      <w:r>
        <w:rPr>
          <w:rFonts w:ascii="Arial" w:hAnsi="Arial"/>
          <w:spacing w:val="-9"/>
          <w:sz w:val="24"/>
        </w:rPr>
        <w:t> </w:t>
      </w:r>
      <w:r>
        <w:rPr>
          <w:rFonts w:ascii="Arial" w:hAnsi="Arial"/>
          <w:sz w:val="24"/>
        </w:rPr>
        <w:t>elétrica</w:t>
      </w:r>
      <w:r>
        <w:rPr>
          <w:rFonts w:ascii="Arial" w:hAnsi="Arial"/>
          <w:spacing w:val="-10"/>
          <w:sz w:val="24"/>
        </w:rPr>
        <w:t> </w:t>
      </w:r>
      <w:r>
        <w:rPr>
          <w:rFonts w:ascii="Arial" w:hAnsi="Arial"/>
          <w:sz w:val="24"/>
        </w:rPr>
        <w:t>são</w:t>
      </w:r>
      <w:r>
        <w:rPr>
          <w:rFonts w:ascii="Arial" w:hAnsi="Arial"/>
          <w:spacing w:val="-12"/>
          <w:sz w:val="24"/>
        </w:rPr>
        <w:t> </w:t>
      </w:r>
      <w:r>
        <w:rPr>
          <w:rFonts w:ascii="Arial" w:hAnsi="Arial"/>
          <w:sz w:val="24"/>
        </w:rPr>
        <w:t>processadas</w:t>
      </w:r>
      <w:r>
        <w:rPr>
          <w:rFonts w:ascii="Arial" w:hAnsi="Arial"/>
          <w:spacing w:val="-10"/>
          <w:sz w:val="24"/>
        </w:rPr>
        <w:t> </w:t>
      </w:r>
      <w:r>
        <w:rPr>
          <w:rFonts w:ascii="Arial" w:hAnsi="Arial"/>
          <w:sz w:val="24"/>
        </w:rPr>
        <w:t>substancialmente</w:t>
      </w:r>
      <w:r>
        <w:rPr>
          <w:rFonts w:ascii="Arial" w:hAnsi="Arial"/>
          <w:spacing w:val="-14"/>
          <w:sz w:val="24"/>
        </w:rPr>
        <w:t> </w:t>
      </w:r>
      <w:r>
        <w:rPr>
          <w:rFonts w:ascii="Arial" w:hAnsi="Arial"/>
          <w:sz w:val="24"/>
        </w:rPr>
        <w:t>por</w:t>
      </w:r>
      <w:r>
        <w:rPr>
          <w:rFonts w:ascii="Arial" w:hAnsi="Arial"/>
          <w:spacing w:val="-14"/>
          <w:sz w:val="24"/>
        </w:rPr>
        <w:t> </w:t>
      </w:r>
      <w:r>
        <w:rPr>
          <w:rFonts w:ascii="Arial" w:hAnsi="Arial"/>
          <w:sz w:val="24"/>
        </w:rPr>
        <w:t>meio</w:t>
      </w:r>
      <w:r>
        <w:rPr>
          <w:rFonts w:ascii="Arial" w:hAnsi="Arial"/>
          <w:spacing w:val="-12"/>
          <w:sz w:val="24"/>
        </w:rPr>
        <w:t> </w:t>
      </w:r>
      <w:r>
        <w:rPr>
          <w:rFonts w:ascii="Arial" w:hAnsi="Arial"/>
          <w:sz w:val="24"/>
        </w:rPr>
        <w:t>de rotinas e controles automatizados. Consideramos esse um principal assunto de auditoria, tendo em vista o risco de fraude sobre o processo de reconhecimento da receita, além da elevada dependência do ambiente de tecnologia de informação.</w:t>
      </w:r>
    </w:p>
    <w:p>
      <w:pPr>
        <w:pStyle w:val="BodyText"/>
        <w:spacing w:before="1"/>
        <w:rPr>
          <w:rFonts w:ascii="Arial"/>
          <w:sz w:val="24"/>
        </w:rPr>
      </w:pPr>
    </w:p>
    <w:p>
      <w:pPr>
        <w:spacing w:before="0"/>
        <w:ind w:left="102" w:right="0" w:firstLine="0"/>
        <w:jc w:val="both"/>
        <w:rPr>
          <w:rFonts w:ascii="Arial"/>
          <w:b/>
          <w:sz w:val="24"/>
        </w:rPr>
      </w:pPr>
      <w:r>
        <w:rPr>
          <w:rFonts w:ascii="Arial"/>
          <w:b/>
          <w:sz w:val="24"/>
        </w:rPr>
        <w:t>Como nossa auditoria conduziu esse assunto</w:t>
      </w:r>
    </w:p>
    <w:p>
      <w:pPr>
        <w:pStyle w:val="BodyText"/>
        <w:rPr>
          <w:rFonts w:ascii="Arial"/>
          <w:b/>
          <w:sz w:val="24"/>
        </w:rPr>
      </w:pPr>
    </w:p>
    <w:p>
      <w:pPr>
        <w:spacing w:before="0"/>
        <w:ind w:left="102" w:right="117" w:firstLine="0"/>
        <w:jc w:val="both"/>
        <w:rPr>
          <w:rFonts w:ascii="Arial" w:hAnsi="Arial"/>
          <w:sz w:val="24"/>
        </w:rPr>
      </w:pPr>
      <w:r>
        <w:rPr>
          <w:rFonts w:ascii="Arial" w:hAnsi="Arial"/>
          <w:sz w:val="24"/>
        </w:rPr>
        <w:t>Nossos procedimentos de auditoria incluíram, entre outros, o entendimento e teste dos controles relevantes relacionados ao reconhecimento das receitas de serviços e de energia elétrica. Com o auxílio dos nossos especialistas em tecnologia da informação, realizamos o entendimento do desenho do processo operacional e testamos a efetividade dos controles gerais e no ambiente de tecnologia, que incluem segurança da informação, gerenciamento</w:t>
      </w:r>
      <w:r>
        <w:rPr>
          <w:rFonts w:ascii="Arial" w:hAnsi="Arial"/>
          <w:spacing w:val="-49"/>
          <w:sz w:val="24"/>
        </w:rPr>
        <w:t> </w:t>
      </w:r>
      <w:r>
        <w:rPr>
          <w:rFonts w:ascii="Arial" w:hAnsi="Arial"/>
          <w:sz w:val="24"/>
        </w:rPr>
        <w:t>de mudanças sistêmicas e operações de tecnologia da informação. Adicionalmente, inspecionamos a conciliação efetuada pela administração e confrontamos com os saldos contábeis com a posição analítica, além de procedimentos analíticos substantivos e a adequada divulgação em notas</w:t>
      </w:r>
      <w:r>
        <w:rPr>
          <w:rFonts w:ascii="Arial" w:hAnsi="Arial"/>
          <w:spacing w:val="-7"/>
          <w:sz w:val="24"/>
        </w:rPr>
        <w:t> </w:t>
      </w:r>
      <w:r>
        <w:rPr>
          <w:rFonts w:ascii="Arial" w:hAnsi="Arial"/>
          <w:sz w:val="24"/>
        </w:rPr>
        <w:t>explicativas.</w:t>
      </w:r>
    </w:p>
    <w:p>
      <w:pPr>
        <w:pStyle w:val="BodyText"/>
        <w:spacing w:before="1"/>
        <w:rPr>
          <w:rFonts w:ascii="Arial"/>
          <w:sz w:val="24"/>
        </w:rPr>
      </w:pPr>
    </w:p>
    <w:p>
      <w:pPr>
        <w:spacing w:before="0"/>
        <w:ind w:left="102" w:right="117" w:firstLine="0"/>
        <w:jc w:val="both"/>
        <w:rPr>
          <w:rFonts w:ascii="Arial" w:hAnsi="Arial"/>
          <w:sz w:val="24"/>
        </w:rPr>
      </w:pPr>
      <w:r>
        <w:rPr>
          <w:rFonts w:ascii="Arial" w:hAnsi="Arial"/>
          <w:sz w:val="24"/>
        </w:rPr>
        <w:t>Com</w:t>
      </w:r>
      <w:r>
        <w:rPr>
          <w:rFonts w:ascii="Arial" w:hAnsi="Arial"/>
          <w:spacing w:val="-17"/>
          <w:sz w:val="24"/>
        </w:rPr>
        <w:t> </w:t>
      </w:r>
      <w:r>
        <w:rPr>
          <w:rFonts w:ascii="Arial" w:hAnsi="Arial"/>
          <w:sz w:val="24"/>
        </w:rPr>
        <w:t>base</w:t>
      </w:r>
      <w:r>
        <w:rPr>
          <w:rFonts w:ascii="Arial" w:hAnsi="Arial"/>
          <w:spacing w:val="-18"/>
          <w:sz w:val="24"/>
        </w:rPr>
        <w:t> </w:t>
      </w:r>
      <w:r>
        <w:rPr>
          <w:rFonts w:ascii="Arial" w:hAnsi="Arial"/>
          <w:sz w:val="24"/>
        </w:rPr>
        <w:t>no</w:t>
      </w:r>
      <w:r>
        <w:rPr>
          <w:rFonts w:ascii="Arial" w:hAnsi="Arial"/>
          <w:spacing w:val="-18"/>
          <w:sz w:val="24"/>
        </w:rPr>
        <w:t> </w:t>
      </w:r>
      <w:r>
        <w:rPr>
          <w:rFonts w:ascii="Arial" w:hAnsi="Arial"/>
          <w:sz w:val="24"/>
        </w:rPr>
        <w:t>resultado</w:t>
      </w:r>
      <w:r>
        <w:rPr>
          <w:rFonts w:ascii="Arial" w:hAnsi="Arial"/>
          <w:spacing w:val="-20"/>
          <w:sz w:val="24"/>
        </w:rPr>
        <w:t> </w:t>
      </w:r>
      <w:r>
        <w:rPr>
          <w:rFonts w:ascii="Arial" w:hAnsi="Arial"/>
          <w:sz w:val="24"/>
        </w:rPr>
        <w:t>dos</w:t>
      </w:r>
      <w:r>
        <w:rPr>
          <w:rFonts w:ascii="Arial" w:hAnsi="Arial"/>
          <w:spacing w:val="-19"/>
          <w:sz w:val="24"/>
        </w:rPr>
        <w:t> </w:t>
      </w:r>
      <w:r>
        <w:rPr>
          <w:rFonts w:ascii="Arial" w:hAnsi="Arial"/>
          <w:sz w:val="24"/>
        </w:rPr>
        <w:t>procedimentos</w:t>
      </w:r>
      <w:r>
        <w:rPr>
          <w:rFonts w:ascii="Arial" w:hAnsi="Arial"/>
          <w:spacing w:val="-19"/>
          <w:sz w:val="24"/>
        </w:rPr>
        <w:t> </w:t>
      </w:r>
      <w:r>
        <w:rPr>
          <w:rFonts w:ascii="Arial" w:hAnsi="Arial"/>
          <w:sz w:val="24"/>
        </w:rPr>
        <w:t>de</w:t>
      </w:r>
      <w:r>
        <w:rPr>
          <w:rFonts w:ascii="Arial" w:hAnsi="Arial"/>
          <w:spacing w:val="-20"/>
          <w:sz w:val="24"/>
        </w:rPr>
        <w:t> </w:t>
      </w:r>
      <w:r>
        <w:rPr>
          <w:rFonts w:ascii="Arial" w:hAnsi="Arial"/>
          <w:sz w:val="24"/>
        </w:rPr>
        <w:t>auditoria</w:t>
      </w:r>
      <w:r>
        <w:rPr>
          <w:rFonts w:ascii="Arial" w:hAnsi="Arial"/>
          <w:spacing w:val="-18"/>
          <w:sz w:val="24"/>
        </w:rPr>
        <w:t> </w:t>
      </w:r>
      <w:r>
        <w:rPr>
          <w:rFonts w:ascii="Arial" w:hAnsi="Arial"/>
          <w:sz w:val="24"/>
        </w:rPr>
        <w:t>efetuados,</w:t>
      </w:r>
      <w:r>
        <w:rPr>
          <w:rFonts w:ascii="Arial" w:hAnsi="Arial"/>
          <w:spacing w:val="-18"/>
          <w:sz w:val="24"/>
        </w:rPr>
        <w:t> </w:t>
      </w:r>
      <w:r>
        <w:rPr>
          <w:rFonts w:ascii="Arial" w:hAnsi="Arial"/>
          <w:sz w:val="24"/>
        </w:rPr>
        <w:t>consideramos que as políticas de reconhecimento de receitas da Companhia são apropriadas para suportar os julgamentos, estimativas e informações incluídas nas demonstrações contábeis tomadas em</w:t>
      </w:r>
      <w:r>
        <w:rPr>
          <w:rFonts w:ascii="Arial" w:hAnsi="Arial"/>
          <w:spacing w:val="2"/>
          <w:sz w:val="24"/>
        </w:rPr>
        <w:t> </w:t>
      </w:r>
      <w:r>
        <w:rPr>
          <w:rFonts w:ascii="Arial" w:hAnsi="Arial"/>
          <w:sz w:val="24"/>
        </w:rPr>
        <w:t>conjunto.</w:t>
      </w:r>
    </w:p>
    <w:p>
      <w:pPr>
        <w:pStyle w:val="BodyText"/>
        <w:rPr>
          <w:rFonts w:ascii="Arial"/>
          <w:sz w:val="24"/>
        </w:rPr>
      </w:pPr>
    </w:p>
    <w:p>
      <w:pPr>
        <w:spacing w:before="0"/>
        <w:ind w:left="102" w:right="0" w:firstLine="0"/>
        <w:jc w:val="both"/>
        <w:rPr>
          <w:rFonts w:ascii="Arial" w:hAnsi="Arial"/>
          <w:b/>
          <w:sz w:val="24"/>
        </w:rPr>
      </w:pPr>
      <w:r>
        <w:rPr>
          <w:rFonts w:ascii="Arial" w:hAnsi="Arial"/>
          <w:b/>
          <w:sz w:val="24"/>
        </w:rPr>
        <w:t>Provisão Estimada de Créditos de Liquidação Duvidosa (PECLD)</w:t>
      </w:r>
    </w:p>
    <w:p>
      <w:pPr>
        <w:pStyle w:val="BodyText"/>
        <w:rPr>
          <w:rFonts w:ascii="Arial"/>
          <w:b/>
          <w:sz w:val="24"/>
        </w:rPr>
      </w:pPr>
    </w:p>
    <w:p>
      <w:pPr>
        <w:spacing w:before="0"/>
        <w:ind w:left="102" w:right="123" w:firstLine="0"/>
        <w:jc w:val="both"/>
        <w:rPr>
          <w:rFonts w:ascii="Arial" w:hAnsi="Arial"/>
          <w:sz w:val="24"/>
        </w:rPr>
      </w:pPr>
      <w:r>
        <w:rPr>
          <w:rFonts w:ascii="Arial" w:hAnsi="Arial"/>
          <w:sz w:val="24"/>
        </w:rPr>
        <w:t>Conforme descrito nas Notas 2.6.1 e 6.3, a Companhia possui uma estimativa da provisão para créditos de liquidação duvidosa que envolve um elevado nível de julgamento por parte da Administração. A determinação da provisão para créditos de liquidação duvidosa envolve a avaliação de várias premissas e fatores internos e externos, incluindo nível de inadimplência, política de renegociação e de parcelamentos e do cenário econômico atual e prospectivo.</w:t>
      </w:r>
    </w:p>
    <w:p>
      <w:pPr>
        <w:pStyle w:val="BodyText"/>
        <w:spacing w:before="1"/>
        <w:rPr>
          <w:rFonts w:ascii="Arial"/>
          <w:sz w:val="24"/>
        </w:rPr>
      </w:pPr>
    </w:p>
    <w:p>
      <w:pPr>
        <w:spacing w:before="0"/>
        <w:ind w:left="102" w:right="117" w:firstLine="0"/>
        <w:jc w:val="both"/>
        <w:rPr>
          <w:rFonts w:ascii="Arial" w:hAnsi="Arial"/>
          <w:sz w:val="24"/>
        </w:rPr>
      </w:pPr>
      <w:r>
        <w:rPr>
          <w:rFonts w:ascii="Arial" w:hAnsi="Arial"/>
          <w:sz w:val="24"/>
        </w:rPr>
        <w:t>Esse julgamento considera diversas premissas na determinação das provisões. As provisões para crédito de liquidação duvidosa são constituídas levando em consideração as normas regulamentares estabelecidas pela Agência Nacional de Energia Elétrica - ANEEL e são fundamentadas de acordo com política interna da Companhia.</w:t>
      </w:r>
    </w:p>
    <w:p>
      <w:pPr>
        <w:spacing w:after="0"/>
        <w:jc w:val="both"/>
        <w:rPr>
          <w:rFonts w:ascii="Arial" w:hAnsi="Arial"/>
          <w:sz w:val="24"/>
        </w:rPr>
        <w:sectPr>
          <w:headerReference w:type="default" r:id="rId105"/>
          <w:footerReference w:type="default" r:id="rId106"/>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122" w:firstLine="0"/>
        <w:jc w:val="both"/>
        <w:rPr>
          <w:rFonts w:ascii="Arial" w:hAnsi="Arial"/>
          <w:sz w:val="24"/>
        </w:rPr>
      </w:pPr>
      <w:r>
        <w:rPr>
          <w:rFonts w:ascii="Arial" w:hAnsi="Arial"/>
          <w:sz w:val="24"/>
        </w:rPr>
        <w:t>Tratamos esse tema como um principal assunto de auditoria em razão do impacto</w:t>
      </w:r>
      <w:r>
        <w:rPr>
          <w:rFonts w:ascii="Arial" w:hAnsi="Arial"/>
          <w:spacing w:val="-8"/>
          <w:sz w:val="24"/>
        </w:rPr>
        <w:t> </w:t>
      </w:r>
      <w:r>
        <w:rPr>
          <w:rFonts w:ascii="Arial" w:hAnsi="Arial"/>
          <w:sz w:val="24"/>
        </w:rPr>
        <w:t>significativo</w:t>
      </w:r>
      <w:r>
        <w:rPr>
          <w:rFonts w:ascii="Arial" w:hAnsi="Arial"/>
          <w:spacing w:val="-7"/>
          <w:sz w:val="24"/>
        </w:rPr>
        <w:t> </w:t>
      </w:r>
      <w:r>
        <w:rPr>
          <w:rFonts w:ascii="Arial" w:hAnsi="Arial"/>
          <w:sz w:val="24"/>
        </w:rPr>
        <w:t>que</w:t>
      </w:r>
      <w:r>
        <w:rPr>
          <w:rFonts w:ascii="Arial" w:hAnsi="Arial"/>
          <w:spacing w:val="-7"/>
          <w:sz w:val="24"/>
        </w:rPr>
        <w:t> </w:t>
      </w:r>
      <w:r>
        <w:rPr>
          <w:rFonts w:ascii="Arial" w:hAnsi="Arial"/>
          <w:sz w:val="24"/>
        </w:rPr>
        <w:t>diferentes</w:t>
      </w:r>
      <w:r>
        <w:rPr>
          <w:rFonts w:ascii="Arial" w:hAnsi="Arial"/>
          <w:spacing w:val="-8"/>
          <w:sz w:val="24"/>
        </w:rPr>
        <w:t> </w:t>
      </w:r>
      <w:r>
        <w:rPr>
          <w:rFonts w:ascii="Arial" w:hAnsi="Arial"/>
          <w:sz w:val="24"/>
        </w:rPr>
        <w:t>premissas,</w:t>
      </w:r>
      <w:r>
        <w:rPr>
          <w:rFonts w:ascii="Arial" w:hAnsi="Arial"/>
          <w:spacing w:val="-7"/>
          <w:sz w:val="24"/>
        </w:rPr>
        <w:t> </w:t>
      </w:r>
      <w:r>
        <w:rPr>
          <w:rFonts w:ascii="Arial" w:hAnsi="Arial"/>
          <w:sz w:val="24"/>
        </w:rPr>
        <w:t>se</w:t>
      </w:r>
      <w:r>
        <w:rPr>
          <w:rFonts w:ascii="Arial" w:hAnsi="Arial"/>
          <w:spacing w:val="-7"/>
          <w:sz w:val="24"/>
        </w:rPr>
        <w:t> </w:t>
      </w:r>
      <w:r>
        <w:rPr>
          <w:rFonts w:ascii="Arial" w:hAnsi="Arial"/>
          <w:sz w:val="24"/>
        </w:rPr>
        <w:t>consideradas,</w:t>
      </w:r>
      <w:r>
        <w:rPr>
          <w:rFonts w:ascii="Arial" w:hAnsi="Arial"/>
          <w:spacing w:val="-7"/>
          <w:sz w:val="24"/>
        </w:rPr>
        <w:t> </w:t>
      </w:r>
      <w:r>
        <w:rPr>
          <w:rFonts w:ascii="Arial" w:hAnsi="Arial"/>
          <w:sz w:val="24"/>
        </w:rPr>
        <w:t>poderiam</w:t>
      </w:r>
      <w:r>
        <w:rPr>
          <w:rFonts w:ascii="Arial" w:hAnsi="Arial"/>
          <w:spacing w:val="-9"/>
          <w:sz w:val="24"/>
        </w:rPr>
        <w:t> </w:t>
      </w:r>
      <w:r>
        <w:rPr>
          <w:rFonts w:ascii="Arial" w:hAnsi="Arial"/>
          <w:sz w:val="24"/>
        </w:rPr>
        <w:t>gerar nessa</w:t>
      </w:r>
      <w:r>
        <w:rPr>
          <w:rFonts w:ascii="Arial" w:hAnsi="Arial"/>
          <w:spacing w:val="-3"/>
          <w:sz w:val="24"/>
        </w:rPr>
        <w:t> </w:t>
      </w:r>
      <w:r>
        <w:rPr>
          <w:rFonts w:ascii="Arial" w:hAnsi="Arial"/>
          <w:sz w:val="24"/>
        </w:rPr>
        <w:t>estimativa.</w:t>
      </w:r>
    </w:p>
    <w:p>
      <w:pPr>
        <w:pStyle w:val="BodyText"/>
        <w:rPr>
          <w:rFonts w:ascii="Arial"/>
          <w:sz w:val="24"/>
        </w:rPr>
      </w:pPr>
    </w:p>
    <w:p>
      <w:pPr>
        <w:spacing w:before="0"/>
        <w:ind w:left="102" w:right="0" w:firstLine="0"/>
        <w:jc w:val="both"/>
        <w:rPr>
          <w:rFonts w:ascii="Arial"/>
          <w:b/>
          <w:sz w:val="24"/>
        </w:rPr>
      </w:pPr>
      <w:r>
        <w:rPr>
          <w:rFonts w:ascii="Arial"/>
          <w:b/>
          <w:sz w:val="24"/>
        </w:rPr>
        <w:t>Como nossa auditoria conduziu esse assunto</w:t>
      </w:r>
    </w:p>
    <w:p>
      <w:pPr>
        <w:spacing w:before="60"/>
        <w:ind w:left="102" w:right="116" w:firstLine="0"/>
        <w:jc w:val="both"/>
        <w:rPr>
          <w:rFonts w:ascii="Arial" w:hAnsi="Arial"/>
          <w:sz w:val="24"/>
        </w:rPr>
      </w:pPr>
      <w:r>
        <w:rPr>
          <w:rFonts w:ascii="Arial" w:hAnsi="Arial"/>
          <w:sz w:val="24"/>
        </w:rPr>
        <w:t>Nossos procedimentos de auditoria incluíram, dentre outros, avaliação e conciliação dos registros analíticos com a posição registrada, inspecionamos documentos suportes para determinadas operações, realização de recálculo matemático da referida provisão considerando o efeito arrasto, testamos os controles relevantes relacionados a apuração da provisão para perdas de operações de créditos que incluem a integridade da base de dados, sistemas subjacentes, processamento, registro e divulgação.</w:t>
      </w:r>
    </w:p>
    <w:p>
      <w:pPr>
        <w:pStyle w:val="BodyText"/>
        <w:spacing w:before="1"/>
        <w:rPr>
          <w:rFonts w:ascii="Arial"/>
          <w:sz w:val="24"/>
        </w:rPr>
      </w:pPr>
    </w:p>
    <w:p>
      <w:pPr>
        <w:spacing w:before="0"/>
        <w:ind w:left="102" w:right="123" w:firstLine="0"/>
        <w:jc w:val="both"/>
        <w:rPr>
          <w:rFonts w:ascii="Arial" w:hAnsi="Arial"/>
          <w:sz w:val="24"/>
        </w:rPr>
      </w:pPr>
      <w:r>
        <w:rPr>
          <w:rFonts w:ascii="Arial" w:hAnsi="Arial"/>
          <w:sz w:val="24"/>
        </w:rPr>
        <w:t>Consideramos que os critérios e premissas adotados pela Administração para estimar a provisão para créditos de liquidação duvidosa são aceitáveis no contexto das demonstrações contábeis tomadas em conjunto.</w:t>
      </w:r>
    </w:p>
    <w:p>
      <w:pPr>
        <w:pStyle w:val="BodyText"/>
        <w:rPr>
          <w:rFonts w:ascii="Arial"/>
          <w:sz w:val="24"/>
        </w:rPr>
      </w:pPr>
    </w:p>
    <w:p>
      <w:pPr>
        <w:spacing w:before="0"/>
        <w:ind w:left="102" w:right="0" w:firstLine="0"/>
        <w:jc w:val="both"/>
        <w:rPr>
          <w:rFonts w:ascii="Arial" w:hAnsi="Arial"/>
          <w:b/>
          <w:sz w:val="24"/>
        </w:rPr>
      </w:pPr>
      <w:r>
        <w:rPr>
          <w:rFonts w:ascii="Arial" w:hAnsi="Arial"/>
          <w:b/>
          <w:sz w:val="24"/>
        </w:rPr>
        <w:t>Avaliação de </w:t>
      </w:r>
      <w:r>
        <w:rPr>
          <w:rFonts w:ascii="Arial" w:hAnsi="Arial"/>
          <w:b/>
          <w:i/>
          <w:sz w:val="24"/>
        </w:rPr>
        <w:t>Impairment </w:t>
      </w:r>
      <w:r>
        <w:rPr>
          <w:rFonts w:ascii="Arial" w:hAnsi="Arial"/>
          <w:b/>
          <w:sz w:val="24"/>
        </w:rPr>
        <w:t>(Imobilizado e Intangível)</w:t>
      </w:r>
    </w:p>
    <w:p>
      <w:pPr>
        <w:pStyle w:val="BodyText"/>
        <w:rPr>
          <w:rFonts w:ascii="Arial"/>
          <w:b/>
          <w:sz w:val="24"/>
        </w:rPr>
      </w:pPr>
    </w:p>
    <w:p>
      <w:pPr>
        <w:spacing w:before="0"/>
        <w:ind w:left="102" w:right="115" w:firstLine="0"/>
        <w:jc w:val="both"/>
        <w:rPr>
          <w:rFonts w:ascii="Arial" w:hAnsi="Arial"/>
          <w:sz w:val="24"/>
        </w:rPr>
      </w:pPr>
      <w:r>
        <w:rPr>
          <w:rFonts w:ascii="Arial" w:hAnsi="Arial"/>
          <w:sz w:val="24"/>
        </w:rPr>
        <w:t>Conforme descrito nas Notas 2.5.3 e 16, a Companhia, por meio de sua controlada CEB Distribuição S.A, possui a parcela dos investimentos realizados e</w:t>
      </w:r>
      <w:r>
        <w:rPr>
          <w:rFonts w:ascii="Arial" w:hAnsi="Arial"/>
          <w:spacing w:val="-5"/>
          <w:sz w:val="24"/>
        </w:rPr>
        <w:t> </w:t>
      </w:r>
      <w:r>
        <w:rPr>
          <w:rFonts w:ascii="Arial" w:hAnsi="Arial"/>
          <w:sz w:val="24"/>
        </w:rPr>
        <w:t>não</w:t>
      </w:r>
      <w:r>
        <w:rPr>
          <w:rFonts w:ascii="Arial" w:hAnsi="Arial"/>
          <w:spacing w:val="-4"/>
          <w:sz w:val="24"/>
        </w:rPr>
        <w:t> </w:t>
      </w:r>
      <w:r>
        <w:rPr>
          <w:rFonts w:ascii="Arial" w:hAnsi="Arial"/>
          <w:sz w:val="24"/>
        </w:rPr>
        <w:t>amortizados,</w:t>
      </w:r>
      <w:r>
        <w:rPr>
          <w:rFonts w:ascii="Arial" w:hAnsi="Arial"/>
          <w:spacing w:val="-4"/>
          <w:sz w:val="24"/>
        </w:rPr>
        <w:t> </w:t>
      </w:r>
      <w:r>
        <w:rPr>
          <w:rFonts w:ascii="Arial" w:hAnsi="Arial"/>
          <w:sz w:val="24"/>
        </w:rPr>
        <w:t>até</w:t>
      </w:r>
      <w:r>
        <w:rPr>
          <w:rFonts w:ascii="Arial" w:hAnsi="Arial"/>
          <w:spacing w:val="-6"/>
          <w:sz w:val="24"/>
        </w:rPr>
        <w:t> </w:t>
      </w:r>
      <w:r>
        <w:rPr>
          <w:rFonts w:ascii="Arial" w:hAnsi="Arial"/>
          <w:sz w:val="24"/>
        </w:rPr>
        <w:t>o</w:t>
      </w:r>
      <w:r>
        <w:rPr>
          <w:rFonts w:ascii="Arial" w:hAnsi="Arial"/>
          <w:spacing w:val="-4"/>
          <w:sz w:val="24"/>
        </w:rPr>
        <w:t> </w:t>
      </w:r>
      <w:r>
        <w:rPr>
          <w:rFonts w:ascii="Arial" w:hAnsi="Arial"/>
          <w:sz w:val="24"/>
        </w:rPr>
        <w:t>final</w:t>
      </w:r>
      <w:r>
        <w:rPr>
          <w:rFonts w:ascii="Arial" w:hAnsi="Arial"/>
          <w:spacing w:val="-5"/>
          <w:sz w:val="24"/>
        </w:rPr>
        <w:t> </w:t>
      </w:r>
      <w:r>
        <w:rPr>
          <w:rFonts w:ascii="Arial" w:hAnsi="Arial"/>
          <w:sz w:val="24"/>
        </w:rPr>
        <w:t>da</w:t>
      </w:r>
      <w:r>
        <w:rPr>
          <w:rFonts w:ascii="Arial" w:hAnsi="Arial"/>
          <w:spacing w:val="-4"/>
          <w:sz w:val="24"/>
        </w:rPr>
        <w:t> </w:t>
      </w:r>
      <w:r>
        <w:rPr>
          <w:rFonts w:ascii="Arial" w:hAnsi="Arial"/>
          <w:sz w:val="24"/>
        </w:rPr>
        <w:t>concessão,</w:t>
      </w:r>
      <w:r>
        <w:rPr>
          <w:rFonts w:ascii="Arial" w:hAnsi="Arial"/>
          <w:spacing w:val="-7"/>
          <w:sz w:val="24"/>
        </w:rPr>
        <w:t> </w:t>
      </w:r>
      <w:r>
        <w:rPr>
          <w:rFonts w:ascii="Arial" w:hAnsi="Arial"/>
          <w:sz w:val="24"/>
        </w:rPr>
        <w:t>classificados</w:t>
      </w:r>
      <w:r>
        <w:rPr>
          <w:rFonts w:ascii="Arial" w:hAnsi="Arial"/>
          <w:spacing w:val="-4"/>
          <w:sz w:val="24"/>
        </w:rPr>
        <w:t> </w:t>
      </w:r>
      <w:r>
        <w:rPr>
          <w:rFonts w:ascii="Arial" w:hAnsi="Arial"/>
          <w:sz w:val="24"/>
        </w:rPr>
        <w:t>como</w:t>
      </w:r>
      <w:r>
        <w:rPr>
          <w:rFonts w:ascii="Arial" w:hAnsi="Arial"/>
          <w:spacing w:val="-4"/>
          <w:sz w:val="24"/>
        </w:rPr>
        <w:t> </w:t>
      </w:r>
      <w:r>
        <w:rPr>
          <w:rFonts w:ascii="Arial" w:hAnsi="Arial"/>
          <w:sz w:val="24"/>
        </w:rPr>
        <w:t>ativo</w:t>
      </w:r>
      <w:r>
        <w:rPr>
          <w:rFonts w:ascii="Arial" w:hAnsi="Arial"/>
          <w:spacing w:val="-4"/>
          <w:sz w:val="24"/>
        </w:rPr>
        <w:t> </w:t>
      </w:r>
      <w:r>
        <w:rPr>
          <w:rFonts w:ascii="Arial" w:hAnsi="Arial"/>
          <w:sz w:val="24"/>
        </w:rPr>
        <w:t>financeiro da concessão, por ser um direito incondicional de receber caixa ou outro ativo financeiro</w:t>
      </w:r>
      <w:r>
        <w:rPr>
          <w:rFonts w:ascii="Arial" w:hAnsi="Arial"/>
          <w:spacing w:val="-14"/>
          <w:sz w:val="24"/>
        </w:rPr>
        <w:t> </w:t>
      </w:r>
      <w:r>
        <w:rPr>
          <w:rFonts w:ascii="Arial" w:hAnsi="Arial"/>
          <w:sz w:val="24"/>
        </w:rPr>
        <w:t>diretamente</w:t>
      </w:r>
      <w:r>
        <w:rPr>
          <w:rFonts w:ascii="Arial" w:hAnsi="Arial"/>
          <w:spacing w:val="-14"/>
          <w:sz w:val="24"/>
        </w:rPr>
        <w:t> </w:t>
      </w:r>
      <w:r>
        <w:rPr>
          <w:rFonts w:ascii="Arial" w:hAnsi="Arial"/>
          <w:sz w:val="24"/>
        </w:rPr>
        <w:t>do</w:t>
      </w:r>
      <w:r>
        <w:rPr>
          <w:rFonts w:ascii="Arial" w:hAnsi="Arial"/>
          <w:spacing w:val="-14"/>
          <w:sz w:val="24"/>
        </w:rPr>
        <w:t> </w:t>
      </w:r>
      <w:r>
        <w:rPr>
          <w:rFonts w:ascii="Arial" w:hAnsi="Arial"/>
          <w:sz w:val="24"/>
        </w:rPr>
        <w:t>poder</w:t>
      </w:r>
      <w:r>
        <w:rPr>
          <w:rFonts w:ascii="Arial" w:hAnsi="Arial"/>
          <w:spacing w:val="-14"/>
          <w:sz w:val="24"/>
        </w:rPr>
        <w:t> </w:t>
      </w:r>
      <w:r>
        <w:rPr>
          <w:rFonts w:ascii="Arial" w:hAnsi="Arial"/>
          <w:sz w:val="24"/>
        </w:rPr>
        <w:t>concedente.</w:t>
      </w:r>
      <w:r>
        <w:rPr>
          <w:rFonts w:ascii="Arial" w:hAnsi="Arial"/>
          <w:spacing w:val="-16"/>
          <w:sz w:val="24"/>
        </w:rPr>
        <w:t> </w:t>
      </w:r>
      <w:r>
        <w:rPr>
          <w:rFonts w:ascii="Arial" w:hAnsi="Arial"/>
          <w:sz w:val="24"/>
        </w:rPr>
        <w:t>Os</w:t>
      </w:r>
      <w:r>
        <w:rPr>
          <w:rFonts w:ascii="Arial" w:hAnsi="Arial"/>
          <w:spacing w:val="-13"/>
          <w:sz w:val="24"/>
        </w:rPr>
        <w:t> </w:t>
      </w:r>
      <w:r>
        <w:rPr>
          <w:rFonts w:ascii="Arial" w:hAnsi="Arial"/>
          <w:sz w:val="24"/>
        </w:rPr>
        <w:t>saldos</w:t>
      </w:r>
      <w:r>
        <w:rPr>
          <w:rFonts w:ascii="Arial" w:hAnsi="Arial"/>
          <w:spacing w:val="-14"/>
          <w:sz w:val="24"/>
        </w:rPr>
        <w:t> </w:t>
      </w:r>
      <w:r>
        <w:rPr>
          <w:rFonts w:ascii="Arial" w:hAnsi="Arial"/>
          <w:sz w:val="24"/>
        </w:rPr>
        <w:t>compostos</w:t>
      </w:r>
      <w:r>
        <w:rPr>
          <w:rFonts w:ascii="Arial" w:hAnsi="Arial"/>
          <w:spacing w:val="-16"/>
          <w:sz w:val="24"/>
        </w:rPr>
        <w:t> </w:t>
      </w:r>
      <w:r>
        <w:rPr>
          <w:rFonts w:ascii="Arial" w:hAnsi="Arial"/>
          <w:sz w:val="24"/>
        </w:rPr>
        <w:t>pelos</w:t>
      </w:r>
      <w:r>
        <w:rPr>
          <w:rFonts w:ascii="Arial" w:hAnsi="Arial"/>
          <w:spacing w:val="-13"/>
          <w:sz w:val="24"/>
        </w:rPr>
        <w:t> </w:t>
      </w:r>
      <w:r>
        <w:rPr>
          <w:rFonts w:ascii="Arial" w:hAnsi="Arial"/>
          <w:sz w:val="24"/>
        </w:rPr>
        <w:t>direitos de uso dos bens vinculados ao contrato de serviço de concessão amortizáveis até o prazo final da concessão são reconhecidos como ativo intangível na Companhia.</w:t>
      </w:r>
      <w:r>
        <w:rPr>
          <w:rFonts w:ascii="Arial" w:hAnsi="Arial"/>
          <w:spacing w:val="-17"/>
          <w:sz w:val="24"/>
        </w:rPr>
        <w:t> </w:t>
      </w:r>
      <w:r>
        <w:rPr>
          <w:rFonts w:ascii="Arial" w:hAnsi="Arial"/>
          <w:sz w:val="24"/>
        </w:rPr>
        <w:t>Em</w:t>
      </w:r>
      <w:r>
        <w:rPr>
          <w:rFonts w:ascii="Arial" w:hAnsi="Arial"/>
          <w:spacing w:val="-15"/>
          <w:sz w:val="24"/>
        </w:rPr>
        <w:t> </w:t>
      </w:r>
      <w:r>
        <w:rPr>
          <w:rFonts w:ascii="Arial" w:hAnsi="Arial"/>
          <w:sz w:val="24"/>
        </w:rPr>
        <w:t>função</w:t>
      </w:r>
      <w:r>
        <w:rPr>
          <w:rFonts w:ascii="Arial" w:hAnsi="Arial"/>
          <w:spacing w:val="-16"/>
          <w:sz w:val="24"/>
        </w:rPr>
        <w:t> </w:t>
      </w:r>
      <w:r>
        <w:rPr>
          <w:rFonts w:ascii="Arial" w:hAnsi="Arial"/>
          <w:sz w:val="24"/>
        </w:rPr>
        <w:t>desta</w:t>
      </w:r>
      <w:r>
        <w:rPr>
          <w:rFonts w:ascii="Arial" w:hAnsi="Arial"/>
          <w:spacing w:val="-17"/>
          <w:sz w:val="24"/>
        </w:rPr>
        <w:t> </w:t>
      </w:r>
      <w:r>
        <w:rPr>
          <w:rFonts w:ascii="Arial" w:hAnsi="Arial"/>
          <w:sz w:val="24"/>
        </w:rPr>
        <w:t>orientação,</w:t>
      </w:r>
      <w:r>
        <w:rPr>
          <w:rFonts w:ascii="Arial" w:hAnsi="Arial"/>
          <w:spacing w:val="-16"/>
          <w:sz w:val="24"/>
        </w:rPr>
        <w:t> </w:t>
      </w:r>
      <w:r>
        <w:rPr>
          <w:rFonts w:ascii="Arial" w:hAnsi="Arial"/>
          <w:sz w:val="24"/>
        </w:rPr>
        <w:t>existe</w:t>
      </w:r>
      <w:r>
        <w:rPr>
          <w:rFonts w:ascii="Arial" w:hAnsi="Arial"/>
          <w:spacing w:val="-15"/>
          <w:sz w:val="24"/>
        </w:rPr>
        <w:t> </w:t>
      </w:r>
      <w:r>
        <w:rPr>
          <w:rFonts w:ascii="Arial" w:hAnsi="Arial"/>
          <w:sz w:val="24"/>
        </w:rPr>
        <w:t>o</w:t>
      </w:r>
      <w:r>
        <w:rPr>
          <w:rFonts w:ascii="Arial" w:hAnsi="Arial"/>
          <w:spacing w:val="-11"/>
          <w:sz w:val="24"/>
        </w:rPr>
        <w:t> </w:t>
      </w:r>
      <w:r>
        <w:rPr>
          <w:rFonts w:ascii="Arial" w:hAnsi="Arial"/>
          <w:sz w:val="24"/>
        </w:rPr>
        <w:t>risco</w:t>
      </w:r>
      <w:r>
        <w:rPr>
          <w:rFonts w:ascii="Arial" w:hAnsi="Arial"/>
          <w:spacing w:val="-16"/>
          <w:sz w:val="24"/>
        </w:rPr>
        <w:t> </w:t>
      </w:r>
      <w:r>
        <w:rPr>
          <w:rFonts w:ascii="Arial" w:hAnsi="Arial"/>
          <w:sz w:val="24"/>
        </w:rPr>
        <w:t>de</w:t>
      </w:r>
      <w:r>
        <w:rPr>
          <w:rFonts w:ascii="Arial" w:hAnsi="Arial"/>
          <w:spacing w:val="-17"/>
          <w:sz w:val="24"/>
        </w:rPr>
        <w:t> </w:t>
      </w:r>
      <w:r>
        <w:rPr>
          <w:rFonts w:ascii="Arial" w:hAnsi="Arial"/>
          <w:sz w:val="24"/>
        </w:rPr>
        <w:t>que</w:t>
      </w:r>
      <w:r>
        <w:rPr>
          <w:rFonts w:ascii="Arial" w:hAnsi="Arial"/>
          <w:spacing w:val="-16"/>
          <w:sz w:val="24"/>
        </w:rPr>
        <w:t> </w:t>
      </w:r>
      <w:r>
        <w:rPr>
          <w:rFonts w:ascii="Arial" w:hAnsi="Arial"/>
          <w:sz w:val="24"/>
        </w:rPr>
        <w:t>a</w:t>
      </w:r>
      <w:r>
        <w:rPr>
          <w:rFonts w:ascii="Arial" w:hAnsi="Arial"/>
          <w:spacing w:val="-18"/>
          <w:sz w:val="24"/>
        </w:rPr>
        <w:t> </w:t>
      </w:r>
      <w:r>
        <w:rPr>
          <w:rFonts w:ascii="Arial" w:hAnsi="Arial"/>
          <w:sz w:val="24"/>
        </w:rPr>
        <w:t>bifurcação</w:t>
      </w:r>
      <w:r>
        <w:rPr>
          <w:rFonts w:ascii="Arial" w:hAnsi="Arial"/>
          <w:spacing w:val="-18"/>
          <w:sz w:val="24"/>
        </w:rPr>
        <w:t> </w:t>
      </w:r>
      <w:r>
        <w:rPr>
          <w:rFonts w:ascii="Arial" w:hAnsi="Arial"/>
          <w:sz w:val="24"/>
        </w:rPr>
        <w:t>entre ativo financeiro e ativo intangível apresente distorções atribuídas a erros nas estimativas</w:t>
      </w:r>
      <w:r>
        <w:rPr>
          <w:rFonts w:ascii="Arial" w:hAnsi="Arial"/>
          <w:spacing w:val="-20"/>
          <w:sz w:val="24"/>
        </w:rPr>
        <w:t> </w:t>
      </w:r>
      <w:r>
        <w:rPr>
          <w:rFonts w:ascii="Arial" w:hAnsi="Arial"/>
          <w:sz w:val="24"/>
        </w:rPr>
        <w:t>preparadas</w:t>
      </w:r>
      <w:r>
        <w:rPr>
          <w:rFonts w:ascii="Arial" w:hAnsi="Arial"/>
          <w:spacing w:val="-19"/>
          <w:sz w:val="24"/>
        </w:rPr>
        <w:t> </w:t>
      </w:r>
      <w:r>
        <w:rPr>
          <w:rFonts w:ascii="Arial" w:hAnsi="Arial"/>
          <w:sz w:val="24"/>
        </w:rPr>
        <w:t>pela</w:t>
      </w:r>
      <w:r>
        <w:rPr>
          <w:rFonts w:ascii="Arial" w:hAnsi="Arial"/>
          <w:spacing w:val="-18"/>
          <w:sz w:val="24"/>
        </w:rPr>
        <w:t> </w:t>
      </w:r>
      <w:r>
        <w:rPr>
          <w:rFonts w:ascii="Arial" w:hAnsi="Arial"/>
          <w:sz w:val="24"/>
        </w:rPr>
        <w:t>Companhia.</w:t>
      </w:r>
      <w:r>
        <w:rPr>
          <w:rFonts w:ascii="Arial" w:hAnsi="Arial"/>
          <w:spacing w:val="-20"/>
          <w:sz w:val="24"/>
        </w:rPr>
        <w:t> </w:t>
      </w:r>
      <w:r>
        <w:rPr>
          <w:rFonts w:ascii="Arial" w:hAnsi="Arial"/>
          <w:sz w:val="24"/>
        </w:rPr>
        <w:t>Adicionalmente,</w:t>
      </w:r>
      <w:r>
        <w:rPr>
          <w:rFonts w:ascii="Arial" w:hAnsi="Arial"/>
          <w:spacing w:val="-18"/>
          <w:sz w:val="24"/>
        </w:rPr>
        <w:t> </w:t>
      </w:r>
      <w:r>
        <w:rPr>
          <w:rFonts w:ascii="Arial" w:hAnsi="Arial"/>
          <w:sz w:val="24"/>
        </w:rPr>
        <w:t>observa-se</w:t>
      </w:r>
      <w:r>
        <w:rPr>
          <w:rFonts w:ascii="Arial" w:hAnsi="Arial"/>
          <w:spacing w:val="-18"/>
          <w:sz w:val="24"/>
        </w:rPr>
        <w:t> </w:t>
      </w:r>
      <w:r>
        <w:rPr>
          <w:rFonts w:ascii="Arial" w:hAnsi="Arial"/>
          <w:sz w:val="24"/>
        </w:rPr>
        <w:t>que</w:t>
      </w:r>
      <w:r>
        <w:rPr>
          <w:rFonts w:ascii="Arial" w:hAnsi="Arial"/>
          <w:spacing w:val="-20"/>
          <w:sz w:val="24"/>
        </w:rPr>
        <w:t> </w:t>
      </w:r>
      <w:r>
        <w:rPr>
          <w:rFonts w:ascii="Arial" w:hAnsi="Arial"/>
          <w:sz w:val="24"/>
        </w:rPr>
        <w:t>o</w:t>
      </w:r>
      <w:r>
        <w:rPr>
          <w:rFonts w:ascii="Arial" w:hAnsi="Arial"/>
          <w:spacing w:val="-18"/>
          <w:sz w:val="24"/>
        </w:rPr>
        <w:t> </w:t>
      </w:r>
      <w:r>
        <w:rPr>
          <w:rFonts w:ascii="Arial" w:hAnsi="Arial"/>
          <w:sz w:val="24"/>
        </w:rPr>
        <w:t>ativo financeiro, que representa a indenização a ser paga pelo Poder Concedente ao final da concessão para o concessionário, por investimentos de bens não reversíveis e não amortizados, deve ser atualizado conforme orientações do Órgão Regulador. Devido a relevância, complexidade e julgamento envolvido que podem impactar o valor desses ativos nas demonstrações contábeis, consideramos esse assunto significativo para a nossa</w:t>
      </w:r>
      <w:r>
        <w:rPr>
          <w:rFonts w:ascii="Arial" w:hAnsi="Arial"/>
          <w:spacing w:val="-8"/>
          <w:sz w:val="24"/>
        </w:rPr>
        <w:t> </w:t>
      </w:r>
      <w:r>
        <w:rPr>
          <w:rFonts w:ascii="Arial" w:hAnsi="Arial"/>
          <w:sz w:val="24"/>
        </w:rPr>
        <w:t>auditoria.</w:t>
      </w:r>
    </w:p>
    <w:p>
      <w:pPr>
        <w:pStyle w:val="BodyText"/>
        <w:spacing w:before="1"/>
        <w:rPr>
          <w:rFonts w:ascii="Arial"/>
          <w:sz w:val="24"/>
        </w:rPr>
      </w:pPr>
    </w:p>
    <w:p>
      <w:pPr>
        <w:spacing w:before="1"/>
        <w:ind w:left="102" w:right="0" w:firstLine="0"/>
        <w:jc w:val="both"/>
        <w:rPr>
          <w:rFonts w:ascii="Arial"/>
          <w:b/>
          <w:sz w:val="24"/>
        </w:rPr>
      </w:pPr>
      <w:r>
        <w:rPr>
          <w:rFonts w:ascii="Arial"/>
          <w:b/>
          <w:sz w:val="24"/>
        </w:rPr>
        <w:t>Como nossa auditoria conduziu esse assunto</w:t>
      </w:r>
    </w:p>
    <w:p>
      <w:pPr>
        <w:spacing w:before="60"/>
        <w:ind w:left="102" w:right="118" w:firstLine="0"/>
        <w:jc w:val="both"/>
        <w:rPr>
          <w:rFonts w:ascii="Arial" w:hAnsi="Arial"/>
          <w:sz w:val="24"/>
        </w:rPr>
      </w:pPr>
      <w:r>
        <w:rPr>
          <w:rFonts w:ascii="Arial" w:hAnsi="Arial"/>
          <w:sz w:val="24"/>
        </w:rPr>
        <w:t>Nossos procedimentos de auditoria incluíram a avaliação do desenho, implementação e efetividade operacional dos controles internos chave, relacionados</w:t>
      </w:r>
      <w:r>
        <w:rPr>
          <w:rFonts w:ascii="Arial" w:hAnsi="Arial"/>
          <w:spacing w:val="-9"/>
          <w:sz w:val="24"/>
        </w:rPr>
        <w:t> </w:t>
      </w:r>
      <w:r>
        <w:rPr>
          <w:rFonts w:ascii="Arial" w:hAnsi="Arial"/>
          <w:sz w:val="24"/>
        </w:rPr>
        <w:t>à</w:t>
      </w:r>
      <w:r>
        <w:rPr>
          <w:rFonts w:ascii="Arial" w:hAnsi="Arial"/>
          <w:spacing w:val="-7"/>
          <w:sz w:val="24"/>
        </w:rPr>
        <w:t> </w:t>
      </w:r>
      <w:r>
        <w:rPr>
          <w:rFonts w:ascii="Arial" w:hAnsi="Arial"/>
          <w:sz w:val="24"/>
        </w:rPr>
        <w:t>parcela</w:t>
      </w:r>
      <w:r>
        <w:rPr>
          <w:rFonts w:ascii="Arial" w:hAnsi="Arial"/>
          <w:spacing w:val="-11"/>
          <w:sz w:val="24"/>
        </w:rPr>
        <w:t> </w:t>
      </w:r>
      <w:r>
        <w:rPr>
          <w:rFonts w:ascii="Arial" w:hAnsi="Arial"/>
          <w:sz w:val="24"/>
        </w:rPr>
        <w:t>dos</w:t>
      </w:r>
      <w:r>
        <w:rPr>
          <w:rFonts w:ascii="Arial" w:hAnsi="Arial"/>
          <w:spacing w:val="-8"/>
          <w:sz w:val="24"/>
        </w:rPr>
        <w:t> </w:t>
      </w:r>
      <w:r>
        <w:rPr>
          <w:rFonts w:ascii="Arial" w:hAnsi="Arial"/>
          <w:sz w:val="24"/>
        </w:rPr>
        <w:t>investimentos</w:t>
      </w:r>
      <w:r>
        <w:rPr>
          <w:rFonts w:ascii="Arial" w:hAnsi="Arial"/>
          <w:spacing w:val="-8"/>
          <w:sz w:val="24"/>
        </w:rPr>
        <w:t> </w:t>
      </w:r>
      <w:r>
        <w:rPr>
          <w:rFonts w:ascii="Arial" w:hAnsi="Arial"/>
          <w:sz w:val="24"/>
        </w:rPr>
        <w:t>realizados</w:t>
      </w:r>
      <w:r>
        <w:rPr>
          <w:rFonts w:ascii="Arial" w:hAnsi="Arial"/>
          <w:spacing w:val="-9"/>
          <w:sz w:val="24"/>
        </w:rPr>
        <w:t> </w:t>
      </w:r>
      <w:r>
        <w:rPr>
          <w:rFonts w:ascii="Arial" w:hAnsi="Arial"/>
          <w:sz w:val="24"/>
        </w:rPr>
        <w:t>e</w:t>
      </w:r>
      <w:r>
        <w:rPr>
          <w:rFonts w:ascii="Arial" w:hAnsi="Arial"/>
          <w:spacing w:val="-7"/>
          <w:sz w:val="24"/>
        </w:rPr>
        <w:t> </w:t>
      </w:r>
      <w:r>
        <w:rPr>
          <w:rFonts w:ascii="Arial" w:hAnsi="Arial"/>
          <w:sz w:val="24"/>
        </w:rPr>
        <w:t>o</w:t>
      </w:r>
      <w:r>
        <w:rPr>
          <w:rFonts w:ascii="Arial" w:hAnsi="Arial"/>
          <w:spacing w:val="-10"/>
          <w:sz w:val="24"/>
        </w:rPr>
        <w:t> </w:t>
      </w:r>
      <w:r>
        <w:rPr>
          <w:rFonts w:ascii="Arial" w:hAnsi="Arial"/>
          <w:sz w:val="24"/>
        </w:rPr>
        <w:t>montante</w:t>
      </w:r>
      <w:r>
        <w:rPr>
          <w:rFonts w:ascii="Arial" w:hAnsi="Arial"/>
          <w:spacing w:val="-8"/>
          <w:sz w:val="24"/>
        </w:rPr>
        <w:t> </w:t>
      </w:r>
      <w:r>
        <w:rPr>
          <w:rFonts w:ascii="Arial" w:hAnsi="Arial"/>
          <w:sz w:val="24"/>
        </w:rPr>
        <w:t>destes</w:t>
      </w:r>
      <w:r>
        <w:rPr>
          <w:rFonts w:ascii="Arial" w:hAnsi="Arial"/>
          <w:spacing w:val="-8"/>
          <w:sz w:val="24"/>
        </w:rPr>
        <w:t> </w:t>
      </w:r>
      <w:r>
        <w:rPr>
          <w:rFonts w:ascii="Arial" w:hAnsi="Arial"/>
          <w:sz w:val="24"/>
        </w:rPr>
        <w:t>ativos, que não serão amortizados até o final do prazo da concessão. Avaliamos os critérios e metodologia de bifurcação do ativo </w:t>
      </w:r>
      <w:r>
        <w:rPr>
          <w:rFonts w:ascii="Arial" w:hAnsi="Arial"/>
          <w:spacing w:val="3"/>
          <w:sz w:val="24"/>
        </w:rPr>
        <w:t>da </w:t>
      </w:r>
      <w:r>
        <w:rPr>
          <w:rFonts w:ascii="Arial" w:hAnsi="Arial"/>
          <w:sz w:val="24"/>
        </w:rPr>
        <w:t>Companhia e os cálculos efetuados da atualização da base de remuneração associada aos ativos existentes em operação, de acordo com o último ciclo tarifário da Companhia, além de revisarmos a conciliação da base de remuneração regulatória (BRR), homologada pela ANEEL, com os respectivos saldos</w:t>
      </w:r>
      <w:r>
        <w:rPr>
          <w:rFonts w:ascii="Arial" w:hAnsi="Arial"/>
          <w:spacing w:val="-5"/>
          <w:sz w:val="24"/>
        </w:rPr>
        <w:t> </w:t>
      </w:r>
      <w:r>
        <w:rPr>
          <w:rFonts w:ascii="Arial" w:hAnsi="Arial"/>
          <w:sz w:val="24"/>
        </w:rPr>
        <w:t>contábeis.</w:t>
      </w:r>
    </w:p>
    <w:p>
      <w:pPr>
        <w:spacing w:after="0"/>
        <w:jc w:val="both"/>
        <w:rPr>
          <w:rFonts w:ascii="Arial" w:hAnsi="Arial"/>
          <w:sz w:val="24"/>
        </w:rPr>
        <w:sectPr>
          <w:headerReference w:type="default" r:id="rId107"/>
          <w:footerReference w:type="default" r:id="rId108"/>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124" w:firstLine="0"/>
        <w:jc w:val="both"/>
        <w:rPr>
          <w:rFonts w:ascii="Arial" w:hAnsi="Arial"/>
          <w:sz w:val="24"/>
        </w:rPr>
      </w:pPr>
      <w:r>
        <w:rPr>
          <w:rFonts w:ascii="Arial" w:hAnsi="Arial"/>
          <w:sz w:val="24"/>
        </w:rPr>
        <w:t>Consideramos que as premissas e a metodologia de avaliação utilizadas são aceitáveis, considerando as práticas utilizadas no mercado, no contexto das demonstrações contábeis tomadas em conjunto.</w:t>
      </w:r>
    </w:p>
    <w:p>
      <w:pPr>
        <w:pStyle w:val="BodyText"/>
        <w:rPr>
          <w:rFonts w:ascii="Arial"/>
          <w:sz w:val="24"/>
        </w:rPr>
      </w:pPr>
    </w:p>
    <w:p>
      <w:pPr>
        <w:spacing w:before="0"/>
        <w:ind w:left="102" w:right="0" w:firstLine="0"/>
        <w:jc w:val="both"/>
        <w:rPr>
          <w:rFonts w:ascii="Arial" w:hAnsi="Arial"/>
          <w:b/>
          <w:sz w:val="24"/>
        </w:rPr>
      </w:pPr>
      <w:r>
        <w:rPr>
          <w:rFonts w:ascii="Arial" w:hAnsi="Arial"/>
          <w:b/>
          <w:sz w:val="24"/>
        </w:rPr>
        <w:t>Benefícios Pós Emprego</w:t>
      </w:r>
    </w:p>
    <w:p>
      <w:pPr>
        <w:pStyle w:val="BodyText"/>
        <w:rPr>
          <w:rFonts w:ascii="Arial"/>
          <w:b/>
          <w:sz w:val="24"/>
        </w:rPr>
      </w:pPr>
    </w:p>
    <w:p>
      <w:pPr>
        <w:spacing w:before="0"/>
        <w:ind w:left="102" w:right="115" w:firstLine="0"/>
        <w:jc w:val="both"/>
        <w:rPr>
          <w:rFonts w:ascii="Arial" w:hAnsi="Arial"/>
          <w:sz w:val="24"/>
        </w:rPr>
      </w:pPr>
      <w:r>
        <w:rPr>
          <w:rFonts w:ascii="Arial" w:hAnsi="Arial"/>
          <w:sz w:val="24"/>
        </w:rPr>
        <w:t>Conforme descrito na Nota 25, a Companhia e suas controladas são patrocinadoras</w:t>
      </w:r>
      <w:r>
        <w:rPr>
          <w:rFonts w:ascii="Arial" w:hAnsi="Arial"/>
          <w:spacing w:val="-17"/>
          <w:sz w:val="24"/>
        </w:rPr>
        <w:t> </w:t>
      </w:r>
      <w:r>
        <w:rPr>
          <w:rFonts w:ascii="Arial" w:hAnsi="Arial"/>
          <w:sz w:val="24"/>
        </w:rPr>
        <w:t>da</w:t>
      </w:r>
      <w:r>
        <w:rPr>
          <w:rFonts w:ascii="Arial" w:hAnsi="Arial"/>
          <w:spacing w:val="-13"/>
          <w:sz w:val="24"/>
        </w:rPr>
        <w:t> </w:t>
      </w:r>
      <w:r>
        <w:rPr>
          <w:rFonts w:ascii="Arial" w:hAnsi="Arial"/>
          <w:sz w:val="24"/>
        </w:rPr>
        <w:t>FACEB</w:t>
      </w:r>
      <w:r>
        <w:rPr>
          <w:rFonts w:ascii="Arial" w:hAnsi="Arial"/>
          <w:spacing w:val="-11"/>
          <w:sz w:val="24"/>
        </w:rPr>
        <w:t> </w:t>
      </w:r>
      <w:r>
        <w:rPr>
          <w:rFonts w:ascii="Arial" w:hAnsi="Arial"/>
          <w:sz w:val="24"/>
        </w:rPr>
        <w:t>–</w:t>
      </w:r>
      <w:r>
        <w:rPr>
          <w:rFonts w:ascii="Arial" w:hAnsi="Arial"/>
          <w:spacing w:val="-13"/>
          <w:sz w:val="24"/>
        </w:rPr>
        <w:t> </w:t>
      </w:r>
      <w:r>
        <w:rPr>
          <w:rFonts w:ascii="Arial" w:hAnsi="Arial"/>
          <w:sz w:val="24"/>
        </w:rPr>
        <w:t>Fundação</w:t>
      </w:r>
      <w:r>
        <w:rPr>
          <w:rFonts w:ascii="Arial" w:hAnsi="Arial"/>
          <w:spacing w:val="-13"/>
          <w:sz w:val="24"/>
        </w:rPr>
        <w:t> </w:t>
      </w:r>
      <w:r>
        <w:rPr>
          <w:rFonts w:ascii="Arial" w:hAnsi="Arial"/>
          <w:sz w:val="24"/>
        </w:rPr>
        <w:t>de</w:t>
      </w:r>
      <w:r>
        <w:rPr>
          <w:rFonts w:ascii="Arial" w:hAnsi="Arial"/>
          <w:spacing w:val="-14"/>
          <w:sz w:val="24"/>
        </w:rPr>
        <w:t> </w:t>
      </w:r>
      <w:r>
        <w:rPr>
          <w:rFonts w:ascii="Arial" w:hAnsi="Arial"/>
          <w:sz w:val="24"/>
        </w:rPr>
        <w:t>Previdência</w:t>
      </w:r>
      <w:r>
        <w:rPr>
          <w:rFonts w:ascii="Arial" w:hAnsi="Arial"/>
          <w:spacing w:val="-13"/>
          <w:sz w:val="24"/>
        </w:rPr>
        <w:t> </w:t>
      </w:r>
      <w:r>
        <w:rPr>
          <w:rFonts w:ascii="Arial" w:hAnsi="Arial"/>
          <w:sz w:val="24"/>
        </w:rPr>
        <w:t>dos</w:t>
      </w:r>
      <w:r>
        <w:rPr>
          <w:rFonts w:ascii="Arial" w:hAnsi="Arial"/>
          <w:spacing w:val="-14"/>
          <w:sz w:val="24"/>
        </w:rPr>
        <w:t> </w:t>
      </w:r>
      <w:r>
        <w:rPr>
          <w:rFonts w:ascii="Arial" w:hAnsi="Arial"/>
          <w:sz w:val="24"/>
        </w:rPr>
        <w:t>Empregados</w:t>
      </w:r>
      <w:r>
        <w:rPr>
          <w:rFonts w:ascii="Arial" w:hAnsi="Arial"/>
          <w:spacing w:val="-14"/>
          <w:sz w:val="24"/>
        </w:rPr>
        <w:t> </w:t>
      </w:r>
      <w:r>
        <w:rPr>
          <w:rFonts w:ascii="Arial" w:hAnsi="Arial"/>
          <w:sz w:val="24"/>
        </w:rPr>
        <w:t>da</w:t>
      </w:r>
      <w:r>
        <w:rPr>
          <w:rFonts w:ascii="Arial" w:hAnsi="Arial"/>
          <w:spacing w:val="-13"/>
          <w:sz w:val="24"/>
        </w:rPr>
        <w:t> </w:t>
      </w:r>
      <w:r>
        <w:rPr>
          <w:rFonts w:ascii="Arial" w:hAnsi="Arial"/>
          <w:sz w:val="24"/>
        </w:rPr>
        <w:t>CEB, que além do plano assistencial, possui planos de benefícios pós-emprego na modalidade benefício definido, no qual a obrigação é calculada com base na estimativa do valor do benefício futuro que os empregados receberão como retorno pelos serviços</w:t>
      </w:r>
      <w:r>
        <w:rPr>
          <w:rFonts w:ascii="Arial" w:hAnsi="Arial"/>
          <w:spacing w:val="-4"/>
          <w:sz w:val="24"/>
        </w:rPr>
        <w:t> </w:t>
      </w:r>
      <w:r>
        <w:rPr>
          <w:rFonts w:ascii="Arial" w:hAnsi="Arial"/>
          <w:sz w:val="24"/>
        </w:rPr>
        <w:t>prestados.</w:t>
      </w:r>
    </w:p>
    <w:p>
      <w:pPr>
        <w:pStyle w:val="BodyText"/>
        <w:spacing w:before="1"/>
        <w:rPr>
          <w:rFonts w:ascii="Arial"/>
          <w:sz w:val="24"/>
        </w:rPr>
      </w:pPr>
    </w:p>
    <w:p>
      <w:pPr>
        <w:spacing w:before="0"/>
        <w:ind w:left="102" w:right="115" w:firstLine="0"/>
        <w:jc w:val="both"/>
        <w:rPr>
          <w:rFonts w:ascii="Arial" w:hAnsi="Arial"/>
          <w:sz w:val="24"/>
        </w:rPr>
      </w:pPr>
      <w:r>
        <w:rPr>
          <w:rFonts w:ascii="Arial" w:hAnsi="Arial"/>
          <w:sz w:val="24"/>
        </w:rPr>
        <w:t>Foi</w:t>
      </w:r>
      <w:r>
        <w:rPr>
          <w:rFonts w:ascii="Arial" w:hAnsi="Arial"/>
          <w:spacing w:val="-6"/>
          <w:sz w:val="24"/>
        </w:rPr>
        <w:t> </w:t>
      </w:r>
      <w:r>
        <w:rPr>
          <w:rFonts w:ascii="Arial" w:hAnsi="Arial"/>
          <w:sz w:val="24"/>
        </w:rPr>
        <w:t>foco</w:t>
      </w:r>
      <w:r>
        <w:rPr>
          <w:rFonts w:ascii="Arial" w:hAnsi="Arial"/>
          <w:spacing w:val="-6"/>
          <w:sz w:val="24"/>
        </w:rPr>
        <w:t> </w:t>
      </w:r>
      <w:r>
        <w:rPr>
          <w:rFonts w:ascii="Arial" w:hAnsi="Arial"/>
          <w:sz w:val="24"/>
        </w:rPr>
        <w:t>para</w:t>
      </w:r>
      <w:r>
        <w:rPr>
          <w:rFonts w:ascii="Arial" w:hAnsi="Arial"/>
          <w:spacing w:val="-5"/>
          <w:sz w:val="24"/>
        </w:rPr>
        <w:t> </w:t>
      </w:r>
      <w:r>
        <w:rPr>
          <w:rFonts w:ascii="Arial" w:hAnsi="Arial"/>
          <w:sz w:val="24"/>
        </w:rPr>
        <w:t>a</w:t>
      </w:r>
      <w:r>
        <w:rPr>
          <w:rFonts w:ascii="Arial" w:hAnsi="Arial"/>
          <w:spacing w:val="-6"/>
          <w:sz w:val="24"/>
        </w:rPr>
        <w:t> </w:t>
      </w:r>
      <w:r>
        <w:rPr>
          <w:rFonts w:ascii="Arial" w:hAnsi="Arial"/>
          <w:sz w:val="24"/>
        </w:rPr>
        <w:t>auditoria</w:t>
      </w:r>
      <w:r>
        <w:rPr>
          <w:rFonts w:ascii="Arial" w:hAnsi="Arial"/>
          <w:spacing w:val="-4"/>
          <w:sz w:val="24"/>
        </w:rPr>
        <w:t> </w:t>
      </w:r>
      <w:r>
        <w:rPr>
          <w:rFonts w:ascii="Arial" w:hAnsi="Arial"/>
          <w:sz w:val="24"/>
        </w:rPr>
        <w:t>a</w:t>
      </w:r>
      <w:r>
        <w:rPr>
          <w:rFonts w:ascii="Arial" w:hAnsi="Arial"/>
          <w:spacing w:val="-4"/>
          <w:sz w:val="24"/>
        </w:rPr>
        <w:t> </w:t>
      </w:r>
      <w:r>
        <w:rPr>
          <w:rFonts w:ascii="Arial" w:hAnsi="Arial"/>
          <w:sz w:val="24"/>
        </w:rPr>
        <w:t>provisão</w:t>
      </w:r>
      <w:r>
        <w:rPr>
          <w:rFonts w:ascii="Arial" w:hAnsi="Arial"/>
          <w:spacing w:val="-6"/>
          <w:sz w:val="24"/>
        </w:rPr>
        <w:t> </w:t>
      </w:r>
      <w:r>
        <w:rPr>
          <w:rFonts w:ascii="Arial" w:hAnsi="Arial"/>
          <w:sz w:val="24"/>
        </w:rPr>
        <w:t>para</w:t>
      </w:r>
      <w:r>
        <w:rPr>
          <w:rFonts w:ascii="Arial" w:hAnsi="Arial"/>
          <w:spacing w:val="-5"/>
          <w:sz w:val="24"/>
        </w:rPr>
        <w:t> </w:t>
      </w:r>
      <w:r>
        <w:rPr>
          <w:rFonts w:ascii="Arial" w:hAnsi="Arial"/>
          <w:sz w:val="24"/>
        </w:rPr>
        <w:t>déficit</w:t>
      </w:r>
      <w:r>
        <w:rPr>
          <w:rFonts w:ascii="Arial" w:hAnsi="Arial"/>
          <w:spacing w:val="-4"/>
          <w:sz w:val="24"/>
        </w:rPr>
        <w:t> </w:t>
      </w:r>
      <w:r>
        <w:rPr>
          <w:rFonts w:ascii="Arial" w:hAnsi="Arial"/>
          <w:sz w:val="24"/>
        </w:rPr>
        <w:t>atuarial</w:t>
      </w:r>
      <w:r>
        <w:rPr>
          <w:rFonts w:ascii="Arial" w:hAnsi="Arial"/>
          <w:spacing w:val="-5"/>
          <w:sz w:val="24"/>
        </w:rPr>
        <w:t> </w:t>
      </w:r>
      <w:r>
        <w:rPr>
          <w:rFonts w:ascii="Arial" w:hAnsi="Arial"/>
          <w:sz w:val="24"/>
        </w:rPr>
        <w:t>em</w:t>
      </w:r>
      <w:r>
        <w:rPr>
          <w:rFonts w:ascii="Arial" w:hAnsi="Arial"/>
          <w:spacing w:val="-4"/>
          <w:sz w:val="24"/>
        </w:rPr>
        <w:t> </w:t>
      </w:r>
      <w:r>
        <w:rPr>
          <w:rFonts w:ascii="Arial" w:hAnsi="Arial"/>
          <w:sz w:val="24"/>
        </w:rPr>
        <w:t>função</w:t>
      </w:r>
      <w:r>
        <w:rPr>
          <w:rFonts w:ascii="Arial" w:hAnsi="Arial"/>
          <w:spacing w:val="-4"/>
          <w:sz w:val="24"/>
        </w:rPr>
        <w:t> </w:t>
      </w:r>
      <w:r>
        <w:rPr>
          <w:rFonts w:ascii="Arial" w:hAnsi="Arial"/>
          <w:sz w:val="24"/>
        </w:rPr>
        <w:t>da</w:t>
      </w:r>
      <w:r>
        <w:rPr>
          <w:rFonts w:ascii="Arial" w:hAnsi="Arial"/>
          <w:spacing w:val="-5"/>
          <w:sz w:val="24"/>
        </w:rPr>
        <w:t> </w:t>
      </w:r>
      <w:r>
        <w:rPr>
          <w:rFonts w:ascii="Arial" w:hAnsi="Arial"/>
          <w:sz w:val="24"/>
        </w:rPr>
        <w:t>relevância dos valores envolvidos e por envolver estimativas baseadas em premissas complexas e subjetivas por parte da administração, tais como tábuas biométricas, projeções de aumento salarial e taxas de desconto. Variações nessas premissas podem trazer impactos relevantes no que diz respeito ao montante da provisão para déficit</w:t>
      </w:r>
      <w:r>
        <w:rPr>
          <w:rFonts w:ascii="Arial" w:hAnsi="Arial"/>
          <w:spacing w:val="-6"/>
          <w:sz w:val="24"/>
        </w:rPr>
        <w:t> </w:t>
      </w:r>
      <w:r>
        <w:rPr>
          <w:rFonts w:ascii="Arial" w:hAnsi="Arial"/>
          <w:sz w:val="24"/>
        </w:rPr>
        <w:t>atuarial.</w:t>
      </w:r>
    </w:p>
    <w:p>
      <w:pPr>
        <w:pStyle w:val="BodyText"/>
        <w:rPr>
          <w:rFonts w:ascii="Arial"/>
          <w:sz w:val="24"/>
        </w:rPr>
      </w:pPr>
    </w:p>
    <w:p>
      <w:pPr>
        <w:spacing w:before="0"/>
        <w:ind w:left="102" w:right="115" w:firstLine="0"/>
        <w:jc w:val="both"/>
        <w:rPr>
          <w:rFonts w:ascii="Arial" w:hAnsi="Arial"/>
          <w:sz w:val="24"/>
        </w:rPr>
      </w:pPr>
      <w:r>
        <w:rPr>
          <w:rFonts w:ascii="Arial" w:hAnsi="Arial"/>
          <w:sz w:val="24"/>
        </w:rPr>
        <w:t>A provisão para déficit atuarial foi reconhecida de forma proporcional as contribuições normais aportadas pela CEB em 2019, ficando responsável por 26,05% sobre o passivo líquido, que corresponde a R$ 100.582, valor esse registrado no passivo.</w:t>
      </w:r>
    </w:p>
    <w:p>
      <w:pPr>
        <w:pStyle w:val="BodyText"/>
        <w:spacing w:before="1"/>
        <w:rPr>
          <w:rFonts w:ascii="Arial"/>
          <w:sz w:val="24"/>
        </w:rPr>
      </w:pPr>
    </w:p>
    <w:p>
      <w:pPr>
        <w:spacing w:before="0"/>
        <w:ind w:left="102" w:right="0" w:firstLine="0"/>
        <w:jc w:val="both"/>
        <w:rPr>
          <w:rFonts w:ascii="Arial"/>
          <w:b/>
          <w:sz w:val="24"/>
        </w:rPr>
      </w:pPr>
      <w:r>
        <w:rPr>
          <w:rFonts w:ascii="Arial"/>
          <w:b/>
          <w:sz w:val="24"/>
        </w:rPr>
        <w:t>Como nossa auditoria conduziu esse assunto</w:t>
      </w:r>
    </w:p>
    <w:p>
      <w:pPr>
        <w:spacing w:before="60"/>
        <w:ind w:left="102" w:right="117" w:firstLine="0"/>
        <w:jc w:val="both"/>
        <w:rPr>
          <w:rFonts w:ascii="Arial" w:hAnsi="Arial"/>
          <w:sz w:val="24"/>
        </w:rPr>
      </w:pPr>
      <w:r>
        <w:rPr>
          <w:rFonts w:ascii="Arial" w:hAnsi="Arial"/>
          <w:sz w:val="24"/>
        </w:rPr>
        <w:t>Nossos</w:t>
      </w:r>
      <w:r>
        <w:rPr>
          <w:rFonts w:ascii="Arial" w:hAnsi="Arial"/>
          <w:spacing w:val="-8"/>
          <w:sz w:val="24"/>
        </w:rPr>
        <w:t> </w:t>
      </w:r>
      <w:r>
        <w:rPr>
          <w:rFonts w:ascii="Arial" w:hAnsi="Arial"/>
          <w:sz w:val="24"/>
        </w:rPr>
        <w:t>procedimentos</w:t>
      </w:r>
      <w:r>
        <w:rPr>
          <w:rFonts w:ascii="Arial" w:hAnsi="Arial"/>
          <w:spacing w:val="-10"/>
          <w:sz w:val="24"/>
        </w:rPr>
        <w:t> </w:t>
      </w:r>
      <w:r>
        <w:rPr>
          <w:rFonts w:ascii="Arial" w:hAnsi="Arial"/>
          <w:sz w:val="24"/>
        </w:rPr>
        <w:t>de</w:t>
      </w:r>
      <w:r>
        <w:rPr>
          <w:rFonts w:ascii="Arial" w:hAnsi="Arial"/>
          <w:spacing w:val="-8"/>
          <w:sz w:val="24"/>
        </w:rPr>
        <w:t> </w:t>
      </w:r>
      <w:r>
        <w:rPr>
          <w:rFonts w:ascii="Arial" w:hAnsi="Arial"/>
          <w:sz w:val="24"/>
        </w:rPr>
        <w:t>auditoria</w:t>
      </w:r>
      <w:r>
        <w:rPr>
          <w:rFonts w:ascii="Arial" w:hAnsi="Arial"/>
          <w:spacing w:val="-7"/>
          <w:sz w:val="24"/>
        </w:rPr>
        <w:t> </w:t>
      </w:r>
      <w:r>
        <w:rPr>
          <w:rFonts w:ascii="Arial" w:hAnsi="Arial"/>
          <w:sz w:val="24"/>
        </w:rPr>
        <w:t>incluíram,</w:t>
      </w:r>
      <w:r>
        <w:rPr>
          <w:rFonts w:ascii="Arial" w:hAnsi="Arial"/>
          <w:spacing w:val="-9"/>
          <w:sz w:val="24"/>
        </w:rPr>
        <w:t> </w:t>
      </w:r>
      <w:r>
        <w:rPr>
          <w:rFonts w:ascii="Arial" w:hAnsi="Arial"/>
          <w:sz w:val="24"/>
        </w:rPr>
        <w:t>dentre</w:t>
      </w:r>
      <w:r>
        <w:rPr>
          <w:rFonts w:ascii="Arial" w:hAnsi="Arial"/>
          <w:spacing w:val="-10"/>
          <w:sz w:val="24"/>
        </w:rPr>
        <w:t> </w:t>
      </w:r>
      <w:r>
        <w:rPr>
          <w:rFonts w:ascii="Arial" w:hAnsi="Arial"/>
          <w:sz w:val="24"/>
        </w:rPr>
        <w:t>outros,</w:t>
      </w:r>
      <w:r>
        <w:rPr>
          <w:rFonts w:ascii="Arial" w:hAnsi="Arial"/>
          <w:spacing w:val="-3"/>
          <w:sz w:val="24"/>
        </w:rPr>
        <w:t> </w:t>
      </w:r>
      <w:r>
        <w:rPr>
          <w:rFonts w:ascii="Arial" w:hAnsi="Arial"/>
          <w:sz w:val="24"/>
        </w:rPr>
        <w:t>o</w:t>
      </w:r>
      <w:r>
        <w:rPr>
          <w:rFonts w:ascii="Arial" w:hAnsi="Arial"/>
          <w:spacing w:val="-9"/>
          <w:sz w:val="24"/>
        </w:rPr>
        <w:t> </w:t>
      </w:r>
      <w:r>
        <w:rPr>
          <w:rFonts w:ascii="Arial" w:hAnsi="Arial"/>
          <w:sz w:val="24"/>
        </w:rPr>
        <w:t>envolvimento</w:t>
      </w:r>
      <w:r>
        <w:rPr>
          <w:rFonts w:ascii="Arial" w:hAnsi="Arial"/>
          <w:spacing w:val="-8"/>
          <w:sz w:val="24"/>
        </w:rPr>
        <w:t> </w:t>
      </w:r>
      <w:r>
        <w:rPr>
          <w:rFonts w:ascii="Arial" w:hAnsi="Arial"/>
          <w:sz w:val="24"/>
        </w:rPr>
        <w:t>dos nossos especialistas da área atuarial para nos auxiliar na avaliação e entendimento dos procedimentos adotados pela Companhia e a razoabilidade do</w:t>
      </w:r>
      <w:r>
        <w:rPr>
          <w:rFonts w:ascii="Arial" w:hAnsi="Arial"/>
          <w:spacing w:val="-13"/>
          <w:sz w:val="24"/>
        </w:rPr>
        <w:t> </w:t>
      </w:r>
      <w:r>
        <w:rPr>
          <w:rFonts w:ascii="Arial" w:hAnsi="Arial"/>
          <w:sz w:val="24"/>
        </w:rPr>
        <w:t>percentual</w:t>
      </w:r>
      <w:r>
        <w:rPr>
          <w:rFonts w:ascii="Arial" w:hAnsi="Arial"/>
          <w:spacing w:val="-13"/>
          <w:sz w:val="24"/>
        </w:rPr>
        <w:t> </w:t>
      </w:r>
      <w:r>
        <w:rPr>
          <w:rFonts w:ascii="Arial" w:hAnsi="Arial"/>
          <w:sz w:val="24"/>
        </w:rPr>
        <w:t>de</w:t>
      </w:r>
      <w:r>
        <w:rPr>
          <w:rFonts w:ascii="Arial" w:hAnsi="Arial"/>
          <w:spacing w:val="-12"/>
          <w:sz w:val="24"/>
        </w:rPr>
        <w:t> </w:t>
      </w:r>
      <w:r>
        <w:rPr>
          <w:rFonts w:ascii="Arial" w:hAnsi="Arial"/>
          <w:sz w:val="24"/>
        </w:rPr>
        <w:t>responsabilidade</w:t>
      </w:r>
      <w:r>
        <w:rPr>
          <w:rFonts w:ascii="Arial" w:hAnsi="Arial"/>
          <w:spacing w:val="-13"/>
          <w:sz w:val="24"/>
        </w:rPr>
        <w:t> </w:t>
      </w:r>
      <w:r>
        <w:rPr>
          <w:rFonts w:ascii="Arial" w:hAnsi="Arial"/>
          <w:sz w:val="24"/>
        </w:rPr>
        <w:t>da</w:t>
      </w:r>
      <w:r>
        <w:rPr>
          <w:rFonts w:ascii="Arial" w:hAnsi="Arial"/>
          <w:spacing w:val="-12"/>
          <w:sz w:val="24"/>
        </w:rPr>
        <w:t> </w:t>
      </w:r>
      <w:r>
        <w:rPr>
          <w:rFonts w:ascii="Arial" w:hAnsi="Arial"/>
          <w:sz w:val="24"/>
        </w:rPr>
        <w:t>patrocinadora,</w:t>
      </w:r>
      <w:r>
        <w:rPr>
          <w:rFonts w:ascii="Arial" w:hAnsi="Arial"/>
          <w:spacing w:val="-12"/>
          <w:sz w:val="24"/>
        </w:rPr>
        <w:t> </w:t>
      </w:r>
      <w:r>
        <w:rPr>
          <w:rFonts w:ascii="Arial" w:hAnsi="Arial"/>
          <w:sz w:val="24"/>
        </w:rPr>
        <w:t>por</w:t>
      </w:r>
      <w:r>
        <w:rPr>
          <w:rFonts w:ascii="Arial" w:hAnsi="Arial"/>
          <w:spacing w:val="-15"/>
          <w:sz w:val="24"/>
        </w:rPr>
        <w:t> </w:t>
      </w:r>
      <w:r>
        <w:rPr>
          <w:rFonts w:ascii="Arial" w:hAnsi="Arial"/>
          <w:sz w:val="24"/>
        </w:rPr>
        <w:t>meio</w:t>
      </w:r>
      <w:r>
        <w:rPr>
          <w:rFonts w:ascii="Arial" w:hAnsi="Arial"/>
          <w:spacing w:val="-12"/>
          <w:sz w:val="24"/>
        </w:rPr>
        <w:t> </w:t>
      </w:r>
      <w:r>
        <w:rPr>
          <w:rFonts w:ascii="Arial" w:hAnsi="Arial"/>
          <w:sz w:val="24"/>
        </w:rPr>
        <w:t>de</w:t>
      </w:r>
      <w:r>
        <w:rPr>
          <w:rFonts w:ascii="Arial" w:hAnsi="Arial"/>
          <w:spacing w:val="-11"/>
          <w:sz w:val="24"/>
        </w:rPr>
        <w:t> </w:t>
      </w:r>
      <w:r>
        <w:rPr>
          <w:rFonts w:ascii="Arial" w:hAnsi="Arial"/>
          <w:sz w:val="24"/>
        </w:rPr>
        <w:t>evidências</w:t>
      </w:r>
      <w:r>
        <w:rPr>
          <w:rFonts w:ascii="Arial" w:hAnsi="Arial"/>
          <w:spacing w:val="-13"/>
          <w:sz w:val="24"/>
        </w:rPr>
        <w:t> </w:t>
      </w:r>
      <w:r>
        <w:rPr>
          <w:rFonts w:ascii="Arial" w:hAnsi="Arial"/>
          <w:sz w:val="24"/>
        </w:rPr>
        <w:t>que demonstram que as ações de equacionamento do déficit atuarial definidas, vem respeitando o regime de responsabilidade paritária da patrocinadora, assim como a revisão da adequada divulgação em nota explicativa às demonstrações contábeis.</w:t>
      </w:r>
    </w:p>
    <w:p>
      <w:pPr>
        <w:pStyle w:val="BodyText"/>
        <w:rPr>
          <w:rFonts w:ascii="Arial"/>
          <w:sz w:val="24"/>
        </w:rPr>
      </w:pPr>
    </w:p>
    <w:p>
      <w:pPr>
        <w:spacing w:before="0"/>
        <w:ind w:left="102" w:right="121" w:firstLine="0"/>
        <w:jc w:val="both"/>
        <w:rPr>
          <w:rFonts w:ascii="Arial" w:hAnsi="Arial"/>
          <w:sz w:val="24"/>
        </w:rPr>
      </w:pPr>
      <w:r>
        <w:rPr>
          <w:rFonts w:ascii="Arial" w:hAnsi="Arial"/>
          <w:sz w:val="24"/>
        </w:rPr>
        <w:t>Baseados no resultado dos procedimentos de auditoria sumarizados acima, consideramos apropriadas os julgamentos, estimativas e divulgações preparadas pela Administração incluídas em nota explicativa, relacionadas ao reconhecimento e mensuração dos saldos de benefícios pós emprego, no contexto das demonstrações contábeis.</w:t>
      </w:r>
    </w:p>
    <w:p>
      <w:pPr>
        <w:spacing w:after="0"/>
        <w:jc w:val="both"/>
        <w:rPr>
          <w:rFonts w:ascii="Arial" w:hAnsi="Arial"/>
          <w:sz w:val="24"/>
        </w:rPr>
        <w:sectPr>
          <w:headerReference w:type="default" r:id="rId109"/>
          <w:footerReference w:type="default" r:id="rId110"/>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0" w:firstLine="0"/>
        <w:jc w:val="left"/>
        <w:rPr>
          <w:rFonts w:ascii="Arial" w:hAnsi="Arial"/>
          <w:b/>
          <w:sz w:val="24"/>
        </w:rPr>
      </w:pPr>
      <w:r>
        <w:rPr>
          <w:rFonts w:ascii="Arial" w:hAnsi="Arial"/>
          <w:b/>
          <w:sz w:val="24"/>
        </w:rPr>
        <w:t>Ênfases</w:t>
      </w:r>
    </w:p>
    <w:p>
      <w:pPr>
        <w:pStyle w:val="BodyText"/>
        <w:rPr>
          <w:rFonts w:ascii="Arial"/>
          <w:b/>
          <w:sz w:val="24"/>
        </w:rPr>
      </w:pPr>
    </w:p>
    <w:p>
      <w:pPr>
        <w:spacing w:before="0"/>
        <w:ind w:left="102" w:right="0" w:firstLine="0"/>
        <w:jc w:val="both"/>
        <w:rPr>
          <w:rFonts w:ascii="Arial" w:hAnsi="Arial"/>
          <w:b/>
          <w:sz w:val="24"/>
        </w:rPr>
      </w:pPr>
      <w:r>
        <w:rPr>
          <w:rFonts w:ascii="Arial" w:hAnsi="Arial"/>
          <w:b/>
          <w:sz w:val="24"/>
        </w:rPr>
        <w:t>Reapresentação das demonstrações</w:t>
      </w:r>
      <w:r>
        <w:rPr>
          <w:rFonts w:ascii="Arial" w:hAnsi="Arial"/>
          <w:b/>
          <w:spacing w:val="-9"/>
          <w:sz w:val="24"/>
        </w:rPr>
        <w:t> </w:t>
      </w:r>
      <w:r>
        <w:rPr>
          <w:rFonts w:ascii="Arial" w:hAnsi="Arial"/>
          <w:b/>
          <w:sz w:val="24"/>
        </w:rPr>
        <w:t>contábeis</w:t>
      </w:r>
    </w:p>
    <w:p>
      <w:pPr>
        <w:spacing w:before="60"/>
        <w:ind w:left="102" w:right="118" w:firstLine="0"/>
        <w:jc w:val="both"/>
        <w:rPr>
          <w:rFonts w:ascii="Arial" w:hAnsi="Arial"/>
          <w:sz w:val="24"/>
        </w:rPr>
      </w:pPr>
      <w:r>
        <w:rPr>
          <w:rFonts w:ascii="Arial" w:hAnsi="Arial"/>
          <w:sz w:val="24"/>
        </w:rPr>
        <w:t>Conforme descrito na Nota 3, as demonstrações contábeis foram alteradas e estão</w:t>
      </w:r>
      <w:r>
        <w:rPr>
          <w:rFonts w:ascii="Arial" w:hAnsi="Arial"/>
          <w:spacing w:val="-13"/>
          <w:sz w:val="24"/>
        </w:rPr>
        <w:t> </w:t>
      </w:r>
      <w:r>
        <w:rPr>
          <w:rFonts w:ascii="Arial" w:hAnsi="Arial"/>
          <w:sz w:val="24"/>
        </w:rPr>
        <w:t>sendo</w:t>
      </w:r>
      <w:r>
        <w:rPr>
          <w:rFonts w:ascii="Arial" w:hAnsi="Arial"/>
          <w:spacing w:val="-13"/>
          <w:sz w:val="24"/>
        </w:rPr>
        <w:t> </w:t>
      </w:r>
      <w:r>
        <w:rPr>
          <w:rFonts w:ascii="Arial" w:hAnsi="Arial"/>
          <w:sz w:val="24"/>
        </w:rPr>
        <w:t>reapresentadas</w:t>
      </w:r>
      <w:r>
        <w:rPr>
          <w:rFonts w:ascii="Arial" w:hAnsi="Arial"/>
          <w:spacing w:val="-16"/>
          <w:sz w:val="24"/>
        </w:rPr>
        <w:t> </w:t>
      </w:r>
      <w:r>
        <w:rPr>
          <w:rFonts w:ascii="Arial" w:hAnsi="Arial"/>
          <w:sz w:val="24"/>
        </w:rPr>
        <w:t>de</w:t>
      </w:r>
      <w:r>
        <w:rPr>
          <w:rFonts w:ascii="Arial" w:hAnsi="Arial"/>
          <w:spacing w:val="-15"/>
          <w:sz w:val="24"/>
        </w:rPr>
        <w:t> </w:t>
      </w:r>
      <w:r>
        <w:rPr>
          <w:rFonts w:ascii="Arial" w:hAnsi="Arial"/>
          <w:sz w:val="24"/>
        </w:rPr>
        <w:t>modo</w:t>
      </w:r>
      <w:r>
        <w:rPr>
          <w:rFonts w:ascii="Arial" w:hAnsi="Arial"/>
          <w:spacing w:val="-16"/>
          <w:sz w:val="24"/>
        </w:rPr>
        <w:t> </w:t>
      </w:r>
      <w:r>
        <w:rPr>
          <w:rFonts w:ascii="Arial" w:hAnsi="Arial"/>
          <w:sz w:val="24"/>
        </w:rPr>
        <w:t>a</w:t>
      </w:r>
      <w:r>
        <w:rPr>
          <w:rFonts w:ascii="Arial" w:hAnsi="Arial"/>
          <w:spacing w:val="-13"/>
          <w:sz w:val="24"/>
        </w:rPr>
        <w:t> </w:t>
      </w:r>
      <w:r>
        <w:rPr>
          <w:rFonts w:ascii="Arial" w:hAnsi="Arial"/>
          <w:sz w:val="24"/>
        </w:rPr>
        <w:t>corrigir</w:t>
      </w:r>
      <w:r>
        <w:rPr>
          <w:rFonts w:ascii="Arial" w:hAnsi="Arial"/>
          <w:spacing w:val="-9"/>
          <w:sz w:val="24"/>
        </w:rPr>
        <w:t> </w:t>
      </w:r>
      <w:r>
        <w:rPr>
          <w:rFonts w:ascii="Arial" w:hAnsi="Arial"/>
          <w:sz w:val="24"/>
        </w:rPr>
        <w:t>os</w:t>
      </w:r>
      <w:r>
        <w:rPr>
          <w:rFonts w:ascii="Arial" w:hAnsi="Arial"/>
          <w:spacing w:val="-14"/>
          <w:sz w:val="24"/>
        </w:rPr>
        <w:t> </w:t>
      </w:r>
      <w:r>
        <w:rPr>
          <w:rFonts w:ascii="Arial" w:hAnsi="Arial"/>
          <w:sz w:val="24"/>
        </w:rPr>
        <w:t>efeitos</w:t>
      </w:r>
      <w:r>
        <w:rPr>
          <w:rFonts w:ascii="Arial" w:hAnsi="Arial"/>
          <w:spacing w:val="-16"/>
          <w:sz w:val="24"/>
        </w:rPr>
        <w:t> </w:t>
      </w:r>
      <w:r>
        <w:rPr>
          <w:rFonts w:ascii="Arial" w:hAnsi="Arial"/>
          <w:sz w:val="24"/>
        </w:rPr>
        <w:t>da</w:t>
      </w:r>
      <w:r>
        <w:rPr>
          <w:rFonts w:ascii="Arial" w:hAnsi="Arial"/>
          <w:spacing w:val="-15"/>
          <w:sz w:val="24"/>
        </w:rPr>
        <w:t> </w:t>
      </w:r>
      <w:r>
        <w:rPr>
          <w:rFonts w:ascii="Arial" w:hAnsi="Arial"/>
          <w:sz w:val="24"/>
        </w:rPr>
        <w:t>mudança</w:t>
      </w:r>
      <w:r>
        <w:rPr>
          <w:rFonts w:ascii="Arial" w:hAnsi="Arial"/>
          <w:spacing w:val="-13"/>
          <w:sz w:val="24"/>
        </w:rPr>
        <w:t> </w:t>
      </w:r>
      <w:r>
        <w:rPr>
          <w:rFonts w:ascii="Arial" w:hAnsi="Arial"/>
          <w:sz w:val="24"/>
        </w:rPr>
        <w:t>de</w:t>
      </w:r>
      <w:r>
        <w:rPr>
          <w:rFonts w:ascii="Arial" w:hAnsi="Arial"/>
          <w:spacing w:val="-16"/>
          <w:sz w:val="24"/>
        </w:rPr>
        <w:t> </w:t>
      </w:r>
      <w:r>
        <w:rPr>
          <w:rFonts w:ascii="Arial" w:hAnsi="Arial"/>
          <w:sz w:val="24"/>
        </w:rPr>
        <w:t>prática contábil relativa ao registro contábil do déficit atuarial do Plano de Benefício Definido – BD, administrado pela Fundação de Previdência dos Empregados</w:t>
      </w:r>
      <w:r>
        <w:rPr>
          <w:rFonts w:ascii="Arial" w:hAnsi="Arial"/>
          <w:spacing w:val="-35"/>
          <w:sz w:val="24"/>
        </w:rPr>
        <w:t> </w:t>
      </w:r>
      <w:r>
        <w:rPr>
          <w:rFonts w:ascii="Arial" w:hAnsi="Arial"/>
          <w:sz w:val="24"/>
        </w:rPr>
        <w:t>da CEB - FACEB, bem como a reclassificação do Superávit de Baixa Renda para melhor apresentação. Nossa opinião continua sendo sem modificação, uma</w:t>
      </w:r>
      <w:r>
        <w:rPr>
          <w:rFonts w:ascii="Arial" w:hAnsi="Arial"/>
          <w:spacing w:val="-26"/>
          <w:sz w:val="24"/>
        </w:rPr>
        <w:t> </w:t>
      </w:r>
      <w:r>
        <w:rPr>
          <w:rFonts w:ascii="Arial" w:hAnsi="Arial"/>
          <w:sz w:val="24"/>
        </w:rPr>
        <w:t>vez que as demonstrações contábeis e seus valores correspondentes aos períodos anteriores foram ajustados de forma</w:t>
      </w:r>
      <w:r>
        <w:rPr>
          <w:rFonts w:ascii="Arial" w:hAnsi="Arial"/>
          <w:spacing w:val="-6"/>
          <w:sz w:val="24"/>
        </w:rPr>
        <w:t> </w:t>
      </w:r>
      <w:r>
        <w:rPr>
          <w:rFonts w:ascii="Arial" w:hAnsi="Arial"/>
          <w:sz w:val="24"/>
        </w:rPr>
        <w:t>retrospectiva.</w:t>
      </w:r>
    </w:p>
    <w:p>
      <w:pPr>
        <w:pStyle w:val="BodyText"/>
        <w:spacing w:before="1"/>
        <w:rPr>
          <w:rFonts w:ascii="Arial"/>
          <w:sz w:val="24"/>
        </w:rPr>
      </w:pPr>
    </w:p>
    <w:p>
      <w:pPr>
        <w:spacing w:before="0"/>
        <w:ind w:left="102" w:right="0" w:firstLine="0"/>
        <w:jc w:val="both"/>
        <w:rPr>
          <w:rFonts w:ascii="Arial" w:hAnsi="Arial"/>
          <w:b/>
          <w:sz w:val="24"/>
        </w:rPr>
      </w:pPr>
      <w:r>
        <w:rPr>
          <w:rFonts w:ascii="Arial" w:hAnsi="Arial"/>
          <w:b/>
          <w:sz w:val="24"/>
        </w:rPr>
        <w:t>Investigação de Fraude</w:t>
      </w:r>
    </w:p>
    <w:p>
      <w:pPr>
        <w:spacing w:before="60"/>
        <w:ind w:left="102" w:right="112" w:firstLine="0"/>
        <w:jc w:val="both"/>
        <w:rPr>
          <w:rFonts w:ascii="Arial" w:hAnsi="Arial"/>
          <w:sz w:val="24"/>
        </w:rPr>
      </w:pPr>
      <w:r>
        <w:rPr>
          <w:rFonts w:ascii="Arial" w:hAnsi="Arial"/>
          <w:sz w:val="24"/>
        </w:rPr>
        <w:t>Com base na Nota Explicativa nº 1.4, em 31 de outubro de 2019, a Polícia Civil do Distrito Federal realizou a Operação Apate, que apura a suposta prática de furto de energia e fraude no medidor, com prejuízos à Companhia. As investigações estão restritas à suposta participação de terceirizados, ex- empregados</w:t>
      </w:r>
      <w:r>
        <w:rPr>
          <w:rFonts w:ascii="Arial" w:hAnsi="Arial"/>
          <w:spacing w:val="-12"/>
          <w:sz w:val="24"/>
        </w:rPr>
        <w:t> </w:t>
      </w:r>
      <w:r>
        <w:rPr>
          <w:rFonts w:ascii="Arial" w:hAnsi="Arial"/>
          <w:sz w:val="24"/>
        </w:rPr>
        <w:t>e</w:t>
      </w:r>
      <w:r>
        <w:rPr>
          <w:rFonts w:ascii="Arial" w:hAnsi="Arial"/>
          <w:spacing w:val="-13"/>
          <w:sz w:val="24"/>
        </w:rPr>
        <w:t> </w:t>
      </w:r>
      <w:r>
        <w:rPr>
          <w:rFonts w:ascii="Arial" w:hAnsi="Arial"/>
          <w:sz w:val="24"/>
        </w:rPr>
        <w:t>empregados</w:t>
      </w:r>
      <w:r>
        <w:rPr>
          <w:rFonts w:ascii="Arial" w:hAnsi="Arial"/>
          <w:spacing w:val="-12"/>
          <w:sz w:val="24"/>
        </w:rPr>
        <w:t> </w:t>
      </w:r>
      <w:r>
        <w:rPr>
          <w:rFonts w:ascii="Arial" w:hAnsi="Arial"/>
          <w:sz w:val="24"/>
        </w:rPr>
        <w:t>da</w:t>
      </w:r>
      <w:r>
        <w:rPr>
          <w:rFonts w:ascii="Arial" w:hAnsi="Arial"/>
          <w:spacing w:val="-11"/>
          <w:sz w:val="24"/>
        </w:rPr>
        <w:t> </w:t>
      </w:r>
      <w:r>
        <w:rPr>
          <w:rFonts w:ascii="Arial" w:hAnsi="Arial"/>
          <w:sz w:val="24"/>
        </w:rPr>
        <w:t>Companhia.</w:t>
      </w:r>
      <w:r>
        <w:rPr>
          <w:rFonts w:ascii="Arial" w:hAnsi="Arial"/>
          <w:spacing w:val="-11"/>
          <w:sz w:val="24"/>
        </w:rPr>
        <w:t> </w:t>
      </w:r>
      <w:r>
        <w:rPr>
          <w:rFonts w:ascii="Arial" w:hAnsi="Arial"/>
          <w:sz w:val="24"/>
        </w:rPr>
        <w:t>Os</w:t>
      </w:r>
      <w:r>
        <w:rPr>
          <w:rFonts w:ascii="Arial" w:hAnsi="Arial"/>
          <w:spacing w:val="-12"/>
          <w:sz w:val="24"/>
        </w:rPr>
        <w:t> </w:t>
      </w:r>
      <w:r>
        <w:rPr>
          <w:rFonts w:ascii="Arial" w:hAnsi="Arial"/>
          <w:sz w:val="24"/>
        </w:rPr>
        <w:t>efeitos</w:t>
      </w:r>
      <w:r>
        <w:rPr>
          <w:rFonts w:ascii="Arial" w:hAnsi="Arial"/>
          <w:spacing w:val="-12"/>
          <w:sz w:val="24"/>
        </w:rPr>
        <w:t> </w:t>
      </w:r>
      <w:r>
        <w:rPr>
          <w:rFonts w:ascii="Arial" w:hAnsi="Arial"/>
          <w:sz w:val="24"/>
        </w:rPr>
        <w:t>das</w:t>
      </w:r>
      <w:r>
        <w:rPr>
          <w:rFonts w:ascii="Arial" w:hAnsi="Arial"/>
          <w:spacing w:val="-12"/>
          <w:sz w:val="24"/>
        </w:rPr>
        <w:t> </w:t>
      </w:r>
      <w:r>
        <w:rPr>
          <w:rFonts w:ascii="Arial" w:hAnsi="Arial"/>
          <w:sz w:val="24"/>
        </w:rPr>
        <w:t>Perdas</w:t>
      </w:r>
      <w:r>
        <w:rPr>
          <w:rFonts w:ascii="Arial" w:hAnsi="Arial"/>
          <w:spacing w:val="-11"/>
          <w:sz w:val="24"/>
        </w:rPr>
        <w:t> </w:t>
      </w:r>
      <w:r>
        <w:rPr>
          <w:rFonts w:ascii="Arial" w:hAnsi="Arial"/>
          <w:sz w:val="24"/>
        </w:rPr>
        <w:t>Não</w:t>
      </w:r>
      <w:r>
        <w:rPr>
          <w:rFonts w:ascii="Arial" w:hAnsi="Arial"/>
          <w:spacing w:val="-10"/>
          <w:sz w:val="24"/>
        </w:rPr>
        <w:t> </w:t>
      </w:r>
      <w:r>
        <w:rPr>
          <w:rFonts w:ascii="Arial" w:hAnsi="Arial"/>
          <w:sz w:val="24"/>
        </w:rPr>
        <w:t>Técnicas no Resultado, independentemente da causa (furtos de energia elétrica, erros de medição, erros no processo de faturamento, unidades consumidoras sem equipamento</w:t>
      </w:r>
      <w:r>
        <w:rPr>
          <w:rFonts w:ascii="Arial" w:hAnsi="Arial"/>
          <w:spacing w:val="-11"/>
          <w:sz w:val="24"/>
        </w:rPr>
        <w:t> </w:t>
      </w:r>
      <w:r>
        <w:rPr>
          <w:rFonts w:ascii="Arial" w:hAnsi="Arial"/>
          <w:sz w:val="24"/>
        </w:rPr>
        <w:t>de</w:t>
      </w:r>
      <w:r>
        <w:rPr>
          <w:rFonts w:ascii="Arial" w:hAnsi="Arial"/>
          <w:spacing w:val="-11"/>
          <w:sz w:val="24"/>
        </w:rPr>
        <w:t> </w:t>
      </w:r>
      <w:r>
        <w:rPr>
          <w:rFonts w:ascii="Arial" w:hAnsi="Arial"/>
          <w:sz w:val="24"/>
        </w:rPr>
        <w:t>medição</w:t>
      </w:r>
      <w:r>
        <w:rPr>
          <w:rFonts w:ascii="Arial" w:hAnsi="Arial"/>
          <w:spacing w:val="-11"/>
          <w:sz w:val="24"/>
        </w:rPr>
        <w:t> </w:t>
      </w:r>
      <w:r>
        <w:rPr>
          <w:rFonts w:ascii="Arial" w:hAnsi="Arial"/>
          <w:sz w:val="24"/>
        </w:rPr>
        <w:t>e</w:t>
      </w:r>
      <w:r>
        <w:rPr>
          <w:rFonts w:ascii="Arial" w:hAnsi="Arial"/>
          <w:spacing w:val="-11"/>
          <w:sz w:val="24"/>
        </w:rPr>
        <w:t> </w:t>
      </w:r>
      <w:r>
        <w:rPr>
          <w:rFonts w:ascii="Arial" w:hAnsi="Arial"/>
          <w:sz w:val="24"/>
        </w:rPr>
        <w:t>outros),</w:t>
      </w:r>
      <w:r>
        <w:rPr>
          <w:rFonts w:ascii="Arial" w:hAnsi="Arial"/>
          <w:spacing w:val="-12"/>
          <w:sz w:val="24"/>
        </w:rPr>
        <w:t> </w:t>
      </w:r>
      <w:r>
        <w:rPr>
          <w:rFonts w:ascii="Arial" w:hAnsi="Arial"/>
          <w:sz w:val="24"/>
        </w:rPr>
        <w:t>já</w:t>
      </w:r>
      <w:r>
        <w:rPr>
          <w:rFonts w:ascii="Arial" w:hAnsi="Arial"/>
          <w:spacing w:val="-10"/>
          <w:sz w:val="24"/>
        </w:rPr>
        <w:t> </w:t>
      </w:r>
      <w:r>
        <w:rPr>
          <w:rFonts w:ascii="Arial" w:hAnsi="Arial"/>
          <w:sz w:val="24"/>
        </w:rPr>
        <w:t>estão</w:t>
      </w:r>
      <w:r>
        <w:rPr>
          <w:rFonts w:ascii="Arial" w:hAnsi="Arial"/>
          <w:spacing w:val="-8"/>
          <w:sz w:val="24"/>
        </w:rPr>
        <w:t> </w:t>
      </w:r>
      <w:r>
        <w:rPr>
          <w:rFonts w:ascii="Arial" w:hAnsi="Arial"/>
          <w:sz w:val="24"/>
        </w:rPr>
        <w:t>considerados</w:t>
      </w:r>
      <w:r>
        <w:rPr>
          <w:rFonts w:ascii="Arial" w:hAnsi="Arial"/>
          <w:spacing w:val="-12"/>
          <w:sz w:val="24"/>
        </w:rPr>
        <w:t> </w:t>
      </w:r>
      <w:r>
        <w:rPr>
          <w:rFonts w:ascii="Arial" w:hAnsi="Arial"/>
          <w:sz w:val="24"/>
        </w:rPr>
        <w:t>nos</w:t>
      </w:r>
      <w:r>
        <w:rPr>
          <w:rFonts w:ascii="Arial" w:hAnsi="Arial"/>
          <w:spacing w:val="-12"/>
          <w:sz w:val="24"/>
        </w:rPr>
        <w:t> </w:t>
      </w:r>
      <w:r>
        <w:rPr>
          <w:rFonts w:ascii="Arial" w:hAnsi="Arial"/>
          <w:sz w:val="24"/>
        </w:rPr>
        <w:t>custos</w:t>
      </w:r>
      <w:r>
        <w:rPr>
          <w:rFonts w:ascii="Arial" w:hAnsi="Arial"/>
          <w:spacing w:val="-9"/>
          <w:sz w:val="24"/>
        </w:rPr>
        <w:t> </w:t>
      </w:r>
      <w:r>
        <w:rPr>
          <w:rFonts w:ascii="Arial" w:hAnsi="Arial"/>
          <w:sz w:val="24"/>
        </w:rPr>
        <w:t>da</w:t>
      </w:r>
      <w:r>
        <w:rPr>
          <w:rFonts w:ascii="Arial" w:hAnsi="Arial"/>
          <w:spacing w:val="-11"/>
          <w:sz w:val="24"/>
        </w:rPr>
        <w:t> </w:t>
      </w:r>
      <w:r>
        <w:rPr>
          <w:rFonts w:ascii="Arial" w:hAnsi="Arial"/>
          <w:sz w:val="24"/>
        </w:rPr>
        <w:t>compra de</w:t>
      </w:r>
      <w:r>
        <w:rPr>
          <w:rFonts w:ascii="Arial" w:hAnsi="Arial"/>
          <w:spacing w:val="-13"/>
          <w:sz w:val="24"/>
        </w:rPr>
        <w:t> </w:t>
      </w:r>
      <w:r>
        <w:rPr>
          <w:rFonts w:ascii="Arial" w:hAnsi="Arial"/>
          <w:sz w:val="24"/>
        </w:rPr>
        <w:t>energia</w:t>
      </w:r>
      <w:r>
        <w:rPr>
          <w:rFonts w:ascii="Arial" w:hAnsi="Arial"/>
          <w:spacing w:val="-15"/>
          <w:sz w:val="24"/>
        </w:rPr>
        <w:t> </w:t>
      </w:r>
      <w:r>
        <w:rPr>
          <w:rFonts w:ascii="Arial" w:hAnsi="Arial"/>
          <w:sz w:val="24"/>
        </w:rPr>
        <w:t>elétrica.</w:t>
      </w:r>
      <w:r>
        <w:rPr>
          <w:rFonts w:ascii="Arial" w:hAnsi="Arial"/>
          <w:spacing w:val="-13"/>
          <w:sz w:val="24"/>
        </w:rPr>
        <w:t> </w:t>
      </w:r>
      <w:r>
        <w:rPr>
          <w:rFonts w:ascii="Arial" w:hAnsi="Arial"/>
          <w:sz w:val="24"/>
        </w:rPr>
        <w:t>De</w:t>
      </w:r>
      <w:r>
        <w:rPr>
          <w:rFonts w:ascii="Arial" w:hAnsi="Arial"/>
          <w:spacing w:val="-15"/>
          <w:sz w:val="24"/>
        </w:rPr>
        <w:t> </w:t>
      </w:r>
      <w:r>
        <w:rPr>
          <w:rFonts w:ascii="Arial" w:hAnsi="Arial"/>
          <w:sz w:val="24"/>
        </w:rPr>
        <w:t>acordo</w:t>
      </w:r>
      <w:r>
        <w:rPr>
          <w:rFonts w:ascii="Arial" w:hAnsi="Arial"/>
          <w:spacing w:val="-13"/>
          <w:sz w:val="24"/>
        </w:rPr>
        <w:t> </w:t>
      </w:r>
      <w:r>
        <w:rPr>
          <w:rFonts w:ascii="Arial" w:hAnsi="Arial"/>
          <w:sz w:val="24"/>
        </w:rPr>
        <w:t>com</w:t>
      </w:r>
      <w:r>
        <w:rPr>
          <w:rFonts w:ascii="Arial" w:hAnsi="Arial"/>
          <w:spacing w:val="-14"/>
          <w:sz w:val="24"/>
        </w:rPr>
        <w:t> </w:t>
      </w:r>
      <w:r>
        <w:rPr>
          <w:rFonts w:ascii="Arial" w:hAnsi="Arial"/>
          <w:sz w:val="24"/>
        </w:rPr>
        <w:t>a</w:t>
      </w:r>
      <w:r>
        <w:rPr>
          <w:rFonts w:ascii="Arial" w:hAnsi="Arial"/>
          <w:spacing w:val="-13"/>
          <w:sz w:val="24"/>
        </w:rPr>
        <w:t> </w:t>
      </w:r>
      <w:r>
        <w:rPr>
          <w:rFonts w:ascii="Arial" w:hAnsi="Arial"/>
          <w:sz w:val="24"/>
        </w:rPr>
        <w:t>Administração</w:t>
      </w:r>
      <w:r>
        <w:rPr>
          <w:rFonts w:ascii="Arial" w:hAnsi="Arial"/>
          <w:spacing w:val="-12"/>
          <w:sz w:val="24"/>
        </w:rPr>
        <w:t> </w:t>
      </w:r>
      <w:r>
        <w:rPr>
          <w:rFonts w:ascii="Arial" w:hAnsi="Arial"/>
          <w:sz w:val="24"/>
        </w:rPr>
        <w:t>da</w:t>
      </w:r>
      <w:r>
        <w:rPr>
          <w:rFonts w:ascii="Arial" w:hAnsi="Arial"/>
          <w:spacing w:val="-13"/>
          <w:sz w:val="24"/>
        </w:rPr>
        <w:t> </w:t>
      </w:r>
      <w:r>
        <w:rPr>
          <w:rFonts w:ascii="Arial" w:hAnsi="Arial"/>
          <w:sz w:val="24"/>
        </w:rPr>
        <w:t>Companhia,</w:t>
      </w:r>
      <w:r>
        <w:rPr>
          <w:rFonts w:ascii="Arial" w:hAnsi="Arial"/>
          <w:spacing w:val="-15"/>
          <w:sz w:val="24"/>
        </w:rPr>
        <w:t> </w:t>
      </w:r>
      <w:r>
        <w:rPr>
          <w:rFonts w:ascii="Arial" w:hAnsi="Arial"/>
          <w:sz w:val="24"/>
        </w:rPr>
        <w:t>os</w:t>
      </w:r>
      <w:r>
        <w:rPr>
          <w:rFonts w:ascii="Arial" w:hAnsi="Arial"/>
          <w:spacing w:val="-14"/>
          <w:sz w:val="24"/>
        </w:rPr>
        <w:t> </w:t>
      </w:r>
      <w:r>
        <w:rPr>
          <w:rFonts w:ascii="Arial" w:hAnsi="Arial"/>
          <w:sz w:val="24"/>
        </w:rPr>
        <w:t>Controles Internos</w:t>
      </w:r>
      <w:r>
        <w:rPr>
          <w:rFonts w:ascii="Arial" w:hAnsi="Arial"/>
          <w:spacing w:val="-8"/>
          <w:sz w:val="24"/>
        </w:rPr>
        <w:t> </w:t>
      </w:r>
      <w:r>
        <w:rPr>
          <w:rFonts w:ascii="Arial" w:hAnsi="Arial"/>
          <w:sz w:val="24"/>
        </w:rPr>
        <w:t>estão</w:t>
      </w:r>
      <w:r>
        <w:rPr>
          <w:rFonts w:ascii="Arial" w:hAnsi="Arial"/>
          <w:spacing w:val="-8"/>
          <w:sz w:val="24"/>
        </w:rPr>
        <w:t> </w:t>
      </w:r>
      <w:r>
        <w:rPr>
          <w:rFonts w:ascii="Arial" w:hAnsi="Arial"/>
          <w:sz w:val="24"/>
        </w:rPr>
        <w:t>sendo</w:t>
      </w:r>
      <w:r>
        <w:rPr>
          <w:rFonts w:ascii="Arial" w:hAnsi="Arial"/>
          <w:spacing w:val="-6"/>
          <w:sz w:val="24"/>
        </w:rPr>
        <w:t> </w:t>
      </w:r>
      <w:r>
        <w:rPr>
          <w:rFonts w:ascii="Arial" w:hAnsi="Arial"/>
          <w:sz w:val="24"/>
        </w:rPr>
        <w:t>revisados,</w:t>
      </w:r>
      <w:r>
        <w:rPr>
          <w:rFonts w:ascii="Arial" w:hAnsi="Arial"/>
          <w:spacing w:val="-6"/>
          <w:sz w:val="24"/>
        </w:rPr>
        <w:t> </w:t>
      </w:r>
      <w:r>
        <w:rPr>
          <w:rFonts w:ascii="Arial" w:hAnsi="Arial"/>
          <w:sz w:val="24"/>
        </w:rPr>
        <w:t>bem</w:t>
      </w:r>
      <w:r>
        <w:rPr>
          <w:rFonts w:ascii="Arial" w:hAnsi="Arial"/>
          <w:spacing w:val="-7"/>
          <w:sz w:val="24"/>
        </w:rPr>
        <w:t> </w:t>
      </w:r>
      <w:r>
        <w:rPr>
          <w:rFonts w:ascii="Arial" w:hAnsi="Arial"/>
          <w:sz w:val="24"/>
        </w:rPr>
        <w:t>como</w:t>
      </w:r>
      <w:r>
        <w:rPr>
          <w:rFonts w:ascii="Arial" w:hAnsi="Arial"/>
          <w:spacing w:val="-7"/>
          <w:sz w:val="24"/>
        </w:rPr>
        <w:t> </w:t>
      </w:r>
      <w:r>
        <w:rPr>
          <w:rFonts w:ascii="Arial" w:hAnsi="Arial"/>
          <w:sz w:val="24"/>
        </w:rPr>
        <w:t>sua</w:t>
      </w:r>
      <w:r>
        <w:rPr>
          <w:rFonts w:ascii="Arial" w:hAnsi="Arial"/>
          <w:spacing w:val="-6"/>
          <w:sz w:val="24"/>
        </w:rPr>
        <w:t> </w:t>
      </w:r>
      <w:r>
        <w:rPr>
          <w:rFonts w:ascii="Arial" w:hAnsi="Arial"/>
          <w:sz w:val="24"/>
        </w:rPr>
        <w:t>análise</w:t>
      </w:r>
      <w:r>
        <w:rPr>
          <w:rFonts w:ascii="Arial" w:hAnsi="Arial"/>
          <w:spacing w:val="-8"/>
          <w:sz w:val="24"/>
        </w:rPr>
        <w:t> </w:t>
      </w:r>
      <w:r>
        <w:rPr>
          <w:rFonts w:ascii="Arial" w:hAnsi="Arial"/>
          <w:sz w:val="24"/>
        </w:rPr>
        <w:t>de</w:t>
      </w:r>
      <w:r>
        <w:rPr>
          <w:rFonts w:ascii="Arial" w:hAnsi="Arial"/>
          <w:spacing w:val="-8"/>
          <w:sz w:val="24"/>
        </w:rPr>
        <w:t> </w:t>
      </w:r>
      <w:r>
        <w:rPr>
          <w:rFonts w:ascii="Arial" w:hAnsi="Arial"/>
          <w:sz w:val="24"/>
        </w:rPr>
        <w:t>Gestão</w:t>
      </w:r>
      <w:r>
        <w:rPr>
          <w:rFonts w:ascii="Arial" w:hAnsi="Arial"/>
          <w:spacing w:val="-8"/>
          <w:sz w:val="24"/>
        </w:rPr>
        <w:t> </w:t>
      </w:r>
      <w:r>
        <w:rPr>
          <w:rFonts w:ascii="Arial" w:hAnsi="Arial"/>
          <w:sz w:val="24"/>
        </w:rPr>
        <w:t>de</w:t>
      </w:r>
      <w:r>
        <w:rPr>
          <w:rFonts w:ascii="Arial" w:hAnsi="Arial"/>
          <w:spacing w:val="-6"/>
          <w:sz w:val="24"/>
        </w:rPr>
        <w:t> </w:t>
      </w:r>
      <w:r>
        <w:rPr>
          <w:rFonts w:ascii="Arial" w:hAnsi="Arial"/>
          <w:sz w:val="24"/>
        </w:rPr>
        <w:t>Riscos,</w:t>
      </w:r>
      <w:r>
        <w:rPr>
          <w:rFonts w:ascii="Arial" w:hAnsi="Arial"/>
          <w:spacing w:val="-9"/>
          <w:sz w:val="24"/>
        </w:rPr>
        <w:t> </w:t>
      </w:r>
      <w:r>
        <w:rPr>
          <w:rFonts w:ascii="Arial" w:hAnsi="Arial"/>
          <w:sz w:val="24"/>
        </w:rPr>
        <w:t>na busca</w:t>
      </w:r>
      <w:r>
        <w:rPr>
          <w:rFonts w:ascii="Arial" w:hAnsi="Arial"/>
          <w:spacing w:val="-14"/>
          <w:sz w:val="24"/>
        </w:rPr>
        <w:t> </w:t>
      </w:r>
      <w:r>
        <w:rPr>
          <w:rFonts w:ascii="Arial" w:hAnsi="Arial"/>
          <w:sz w:val="24"/>
        </w:rPr>
        <w:t>por</w:t>
      </w:r>
      <w:r>
        <w:rPr>
          <w:rFonts w:ascii="Arial" w:hAnsi="Arial"/>
          <w:spacing w:val="-15"/>
          <w:sz w:val="24"/>
        </w:rPr>
        <w:t> </w:t>
      </w:r>
      <w:r>
        <w:rPr>
          <w:rFonts w:ascii="Arial" w:hAnsi="Arial"/>
          <w:sz w:val="24"/>
        </w:rPr>
        <w:t>mitigar</w:t>
      </w:r>
      <w:r>
        <w:rPr>
          <w:rFonts w:ascii="Arial" w:hAnsi="Arial"/>
          <w:spacing w:val="-14"/>
          <w:sz w:val="24"/>
        </w:rPr>
        <w:t> </w:t>
      </w:r>
      <w:r>
        <w:rPr>
          <w:rFonts w:ascii="Arial" w:hAnsi="Arial"/>
          <w:sz w:val="24"/>
        </w:rPr>
        <w:t>novas</w:t>
      </w:r>
      <w:r>
        <w:rPr>
          <w:rFonts w:ascii="Arial" w:hAnsi="Arial"/>
          <w:spacing w:val="-15"/>
          <w:sz w:val="24"/>
        </w:rPr>
        <w:t> </w:t>
      </w:r>
      <w:r>
        <w:rPr>
          <w:rFonts w:ascii="Arial" w:hAnsi="Arial"/>
          <w:sz w:val="24"/>
        </w:rPr>
        <w:t>ocorrências</w:t>
      </w:r>
      <w:r>
        <w:rPr>
          <w:rFonts w:ascii="Arial" w:hAnsi="Arial"/>
          <w:spacing w:val="-13"/>
          <w:sz w:val="24"/>
        </w:rPr>
        <w:t> </w:t>
      </w:r>
      <w:r>
        <w:rPr>
          <w:rFonts w:ascii="Arial" w:hAnsi="Arial"/>
          <w:sz w:val="24"/>
        </w:rPr>
        <w:t>de</w:t>
      </w:r>
      <w:r>
        <w:rPr>
          <w:rFonts w:ascii="Arial" w:hAnsi="Arial"/>
          <w:spacing w:val="-13"/>
          <w:sz w:val="24"/>
        </w:rPr>
        <w:t> </w:t>
      </w:r>
      <w:r>
        <w:rPr>
          <w:rFonts w:ascii="Arial" w:hAnsi="Arial"/>
          <w:sz w:val="24"/>
        </w:rPr>
        <w:t>irregularidades</w:t>
      </w:r>
      <w:r>
        <w:rPr>
          <w:rFonts w:ascii="Arial" w:hAnsi="Arial"/>
          <w:spacing w:val="-14"/>
          <w:sz w:val="24"/>
        </w:rPr>
        <w:t> </w:t>
      </w:r>
      <w:r>
        <w:rPr>
          <w:rFonts w:ascii="Arial" w:hAnsi="Arial"/>
          <w:sz w:val="24"/>
        </w:rPr>
        <w:t>e</w:t>
      </w:r>
      <w:r>
        <w:rPr>
          <w:rFonts w:ascii="Arial" w:hAnsi="Arial"/>
          <w:spacing w:val="-16"/>
          <w:sz w:val="24"/>
        </w:rPr>
        <w:t> </w:t>
      </w:r>
      <w:r>
        <w:rPr>
          <w:rFonts w:ascii="Arial" w:hAnsi="Arial"/>
          <w:sz w:val="24"/>
        </w:rPr>
        <w:t>fraudes.</w:t>
      </w:r>
      <w:r>
        <w:rPr>
          <w:rFonts w:ascii="Arial" w:hAnsi="Arial"/>
          <w:spacing w:val="-13"/>
          <w:sz w:val="24"/>
        </w:rPr>
        <w:t> </w:t>
      </w:r>
      <w:r>
        <w:rPr>
          <w:rFonts w:ascii="Arial" w:hAnsi="Arial"/>
          <w:sz w:val="24"/>
        </w:rPr>
        <w:t>Nossa</w:t>
      </w:r>
      <w:r>
        <w:rPr>
          <w:rFonts w:ascii="Arial" w:hAnsi="Arial"/>
          <w:spacing w:val="-13"/>
          <w:sz w:val="24"/>
        </w:rPr>
        <w:t> </w:t>
      </w:r>
      <w:r>
        <w:rPr>
          <w:rFonts w:ascii="Arial" w:hAnsi="Arial"/>
          <w:sz w:val="24"/>
        </w:rPr>
        <w:t>Opinião não contém modificação sobre esse</w:t>
      </w:r>
      <w:r>
        <w:rPr>
          <w:rFonts w:ascii="Arial" w:hAnsi="Arial"/>
          <w:spacing w:val="-3"/>
          <w:sz w:val="24"/>
        </w:rPr>
        <w:t> </w:t>
      </w:r>
      <w:r>
        <w:rPr>
          <w:rFonts w:ascii="Arial" w:hAnsi="Arial"/>
          <w:sz w:val="24"/>
        </w:rPr>
        <w:t>assunto.</w:t>
      </w:r>
    </w:p>
    <w:p>
      <w:pPr>
        <w:pStyle w:val="BodyText"/>
        <w:spacing w:before="1"/>
        <w:rPr>
          <w:rFonts w:ascii="Arial"/>
          <w:sz w:val="24"/>
        </w:rPr>
      </w:pPr>
    </w:p>
    <w:p>
      <w:pPr>
        <w:spacing w:before="0"/>
        <w:ind w:left="102" w:right="0" w:firstLine="0"/>
        <w:jc w:val="both"/>
        <w:rPr>
          <w:rFonts w:ascii="Arial"/>
          <w:b/>
          <w:sz w:val="24"/>
        </w:rPr>
      </w:pPr>
      <w:r>
        <w:rPr>
          <w:rFonts w:ascii="Arial"/>
          <w:b/>
          <w:sz w:val="24"/>
        </w:rPr>
        <w:t>Outros Assuntos</w:t>
      </w:r>
    </w:p>
    <w:p>
      <w:pPr>
        <w:pStyle w:val="BodyText"/>
        <w:rPr>
          <w:rFonts w:ascii="Arial"/>
          <w:b/>
          <w:sz w:val="24"/>
        </w:rPr>
      </w:pPr>
    </w:p>
    <w:p>
      <w:pPr>
        <w:spacing w:before="0"/>
        <w:ind w:left="102" w:right="0" w:firstLine="0"/>
        <w:jc w:val="both"/>
        <w:rPr>
          <w:rFonts w:ascii="Arial" w:hAnsi="Arial"/>
          <w:b/>
          <w:sz w:val="24"/>
        </w:rPr>
      </w:pPr>
      <w:r>
        <w:rPr>
          <w:rFonts w:ascii="Arial" w:hAnsi="Arial"/>
          <w:b/>
          <w:sz w:val="24"/>
        </w:rPr>
        <w:t>Demonstrações do valor adicionado</w:t>
      </w:r>
    </w:p>
    <w:p>
      <w:pPr>
        <w:spacing w:before="60"/>
        <w:ind w:left="102" w:right="113" w:firstLine="0"/>
        <w:jc w:val="both"/>
        <w:rPr>
          <w:rFonts w:ascii="Arial" w:hAnsi="Arial"/>
          <w:sz w:val="24"/>
        </w:rPr>
      </w:pPr>
      <w:r>
        <w:rPr>
          <w:rFonts w:ascii="Arial" w:hAnsi="Arial"/>
          <w:sz w:val="24"/>
        </w:rPr>
        <w:t>As</w:t>
      </w:r>
      <w:r>
        <w:rPr>
          <w:rFonts w:ascii="Arial" w:hAnsi="Arial"/>
          <w:spacing w:val="-15"/>
          <w:sz w:val="24"/>
        </w:rPr>
        <w:t> </w:t>
      </w:r>
      <w:r>
        <w:rPr>
          <w:rFonts w:ascii="Arial" w:hAnsi="Arial"/>
          <w:sz w:val="24"/>
        </w:rPr>
        <w:t>demonstrações</w:t>
      </w:r>
      <w:r>
        <w:rPr>
          <w:rFonts w:ascii="Arial" w:hAnsi="Arial"/>
          <w:spacing w:val="-17"/>
          <w:sz w:val="24"/>
        </w:rPr>
        <w:t> </w:t>
      </w:r>
      <w:r>
        <w:rPr>
          <w:rFonts w:ascii="Arial" w:hAnsi="Arial"/>
          <w:sz w:val="24"/>
        </w:rPr>
        <w:t>individual</w:t>
      </w:r>
      <w:r>
        <w:rPr>
          <w:rFonts w:ascii="Arial" w:hAnsi="Arial"/>
          <w:spacing w:val="-18"/>
          <w:sz w:val="24"/>
        </w:rPr>
        <w:t> </w:t>
      </w:r>
      <w:r>
        <w:rPr>
          <w:rFonts w:ascii="Arial" w:hAnsi="Arial"/>
          <w:sz w:val="24"/>
        </w:rPr>
        <w:t>e</w:t>
      </w:r>
      <w:r>
        <w:rPr>
          <w:rFonts w:ascii="Arial" w:hAnsi="Arial"/>
          <w:spacing w:val="-14"/>
          <w:sz w:val="24"/>
        </w:rPr>
        <w:t> </w:t>
      </w:r>
      <w:r>
        <w:rPr>
          <w:rFonts w:ascii="Arial" w:hAnsi="Arial"/>
          <w:sz w:val="24"/>
        </w:rPr>
        <w:t>consolidada</w:t>
      </w:r>
      <w:r>
        <w:rPr>
          <w:rFonts w:ascii="Arial" w:hAnsi="Arial"/>
          <w:spacing w:val="-16"/>
          <w:sz w:val="24"/>
        </w:rPr>
        <w:t> </w:t>
      </w:r>
      <w:r>
        <w:rPr>
          <w:rFonts w:ascii="Arial" w:hAnsi="Arial"/>
          <w:sz w:val="24"/>
        </w:rPr>
        <w:t>do</w:t>
      </w:r>
      <w:r>
        <w:rPr>
          <w:rFonts w:ascii="Arial" w:hAnsi="Arial"/>
          <w:spacing w:val="-13"/>
          <w:sz w:val="24"/>
        </w:rPr>
        <w:t> </w:t>
      </w:r>
      <w:r>
        <w:rPr>
          <w:rFonts w:ascii="Arial" w:hAnsi="Arial"/>
          <w:sz w:val="24"/>
        </w:rPr>
        <w:t>valor</w:t>
      </w:r>
      <w:r>
        <w:rPr>
          <w:rFonts w:ascii="Arial" w:hAnsi="Arial"/>
          <w:spacing w:val="-18"/>
          <w:sz w:val="24"/>
        </w:rPr>
        <w:t> </w:t>
      </w:r>
      <w:r>
        <w:rPr>
          <w:rFonts w:ascii="Arial" w:hAnsi="Arial"/>
          <w:sz w:val="24"/>
        </w:rPr>
        <w:t>adicionado</w:t>
      </w:r>
      <w:r>
        <w:rPr>
          <w:rFonts w:ascii="Arial" w:hAnsi="Arial"/>
          <w:spacing w:val="-14"/>
          <w:sz w:val="24"/>
        </w:rPr>
        <w:t> </w:t>
      </w:r>
      <w:r>
        <w:rPr>
          <w:rFonts w:ascii="Arial" w:hAnsi="Arial"/>
          <w:sz w:val="24"/>
        </w:rPr>
        <w:t>(DVA)</w:t>
      </w:r>
      <w:r>
        <w:rPr>
          <w:rFonts w:ascii="Arial" w:hAnsi="Arial"/>
          <w:spacing w:val="-16"/>
          <w:sz w:val="24"/>
        </w:rPr>
        <w:t> </w:t>
      </w:r>
      <w:r>
        <w:rPr>
          <w:rFonts w:ascii="Arial" w:hAnsi="Arial"/>
          <w:sz w:val="24"/>
        </w:rPr>
        <w:t>referentes ao exercício findo em 31 de dezembro de 2019, elaboradas sob a responsabilidade da administração da Companhia, e apresentadas como informação suplementar para fins de IFRS, foram submetidas a procedimentos de auditoria executados em conjunto com a auditoria das demonstrações contábeis</w:t>
      </w:r>
      <w:r>
        <w:rPr>
          <w:rFonts w:ascii="Arial" w:hAnsi="Arial"/>
          <w:spacing w:val="-20"/>
          <w:sz w:val="24"/>
        </w:rPr>
        <w:t> </w:t>
      </w:r>
      <w:r>
        <w:rPr>
          <w:rFonts w:ascii="Arial" w:hAnsi="Arial"/>
          <w:sz w:val="24"/>
        </w:rPr>
        <w:t>da</w:t>
      </w:r>
      <w:r>
        <w:rPr>
          <w:rFonts w:ascii="Arial" w:hAnsi="Arial"/>
          <w:spacing w:val="-18"/>
          <w:sz w:val="24"/>
        </w:rPr>
        <w:t> </w:t>
      </w:r>
      <w:r>
        <w:rPr>
          <w:rFonts w:ascii="Arial" w:hAnsi="Arial"/>
          <w:sz w:val="24"/>
        </w:rPr>
        <w:t>Companhia.</w:t>
      </w:r>
      <w:r>
        <w:rPr>
          <w:rFonts w:ascii="Arial" w:hAnsi="Arial"/>
          <w:spacing w:val="-16"/>
          <w:sz w:val="24"/>
        </w:rPr>
        <w:t> </w:t>
      </w:r>
      <w:r>
        <w:rPr>
          <w:rFonts w:ascii="Arial" w:hAnsi="Arial"/>
          <w:sz w:val="24"/>
        </w:rPr>
        <w:t>Para</w:t>
      </w:r>
      <w:r>
        <w:rPr>
          <w:rFonts w:ascii="Arial" w:hAnsi="Arial"/>
          <w:spacing w:val="-20"/>
          <w:sz w:val="24"/>
        </w:rPr>
        <w:t> </w:t>
      </w:r>
      <w:r>
        <w:rPr>
          <w:rFonts w:ascii="Arial" w:hAnsi="Arial"/>
          <w:sz w:val="24"/>
        </w:rPr>
        <w:t>a</w:t>
      </w:r>
      <w:r>
        <w:rPr>
          <w:rFonts w:ascii="Arial" w:hAnsi="Arial"/>
          <w:spacing w:val="-16"/>
          <w:sz w:val="24"/>
        </w:rPr>
        <w:t> </w:t>
      </w:r>
      <w:r>
        <w:rPr>
          <w:rFonts w:ascii="Arial" w:hAnsi="Arial"/>
          <w:sz w:val="24"/>
        </w:rPr>
        <w:t>formação</w:t>
      </w:r>
      <w:r>
        <w:rPr>
          <w:rFonts w:ascii="Arial" w:hAnsi="Arial"/>
          <w:spacing w:val="-18"/>
          <w:sz w:val="24"/>
        </w:rPr>
        <w:t> </w:t>
      </w:r>
      <w:r>
        <w:rPr>
          <w:rFonts w:ascii="Arial" w:hAnsi="Arial"/>
          <w:sz w:val="24"/>
        </w:rPr>
        <w:t>de</w:t>
      </w:r>
      <w:r>
        <w:rPr>
          <w:rFonts w:ascii="Arial" w:hAnsi="Arial"/>
          <w:spacing w:val="-19"/>
          <w:sz w:val="24"/>
        </w:rPr>
        <w:t> </w:t>
      </w:r>
      <w:r>
        <w:rPr>
          <w:rFonts w:ascii="Arial" w:hAnsi="Arial"/>
          <w:sz w:val="24"/>
        </w:rPr>
        <w:t>nossa</w:t>
      </w:r>
      <w:r>
        <w:rPr>
          <w:rFonts w:ascii="Arial" w:hAnsi="Arial"/>
          <w:spacing w:val="-18"/>
          <w:sz w:val="24"/>
        </w:rPr>
        <w:t> </w:t>
      </w:r>
      <w:r>
        <w:rPr>
          <w:rFonts w:ascii="Arial" w:hAnsi="Arial"/>
          <w:sz w:val="24"/>
        </w:rPr>
        <w:t>opinião,</w:t>
      </w:r>
      <w:r>
        <w:rPr>
          <w:rFonts w:ascii="Arial" w:hAnsi="Arial"/>
          <w:spacing w:val="-18"/>
          <w:sz w:val="24"/>
        </w:rPr>
        <w:t> </w:t>
      </w:r>
      <w:r>
        <w:rPr>
          <w:rFonts w:ascii="Arial" w:hAnsi="Arial"/>
          <w:sz w:val="24"/>
        </w:rPr>
        <w:t>avaliamos</w:t>
      </w:r>
      <w:r>
        <w:rPr>
          <w:rFonts w:ascii="Arial" w:hAnsi="Arial"/>
          <w:spacing w:val="-17"/>
          <w:sz w:val="24"/>
        </w:rPr>
        <w:t> </w:t>
      </w:r>
      <w:r>
        <w:rPr>
          <w:rFonts w:ascii="Arial" w:hAnsi="Arial"/>
          <w:sz w:val="24"/>
        </w:rPr>
        <w:t>se</w:t>
      </w:r>
      <w:r>
        <w:rPr>
          <w:rFonts w:ascii="Arial" w:hAnsi="Arial"/>
          <w:spacing w:val="-18"/>
          <w:sz w:val="24"/>
        </w:rPr>
        <w:t> </w:t>
      </w:r>
      <w:r>
        <w:rPr>
          <w:rFonts w:ascii="Arial" w:hAnsi="Arial"/>
          <w:sz w:val="24"/>
        </w:rPr>
        <w:t>essas demonstrações estão conciliadas com as demonstrações contábeis e registros contábeis,</w:t>
      </w:r>
      <w:r>
        <w:rPr>
          <w:rFonts w:ascii="Arial" w:hAnsi="Arial"/>
          <w:spacing w:val="-14"/>
          <w:sz w:val="24"/>
        </w:rPr>
        <w:t> </w:t>
      </w:r>
      <w:r>
        <w:rPr>
          <w:rFonts w:ascii="Arial" w:hAnsi="Arial"/>
          <w:sz w:val="24"/>
        </w:rPr>
        <w:t>conforme</w:t>
      </w:r>
      <w:r>
        <w:rPr>
          <w:rFonts w:ascii="Arial" w:hAnsi="Arial"/>
          <w:spacing w:val="-13"/>
          <w:sz w:val="24"/>
        </w:rPr>
        <w:t> </w:t>
      </w:r>
      <w:r>
        <w:rPr>
          <w:rFonts w:ascii="Arial" w:hAnsi="Arial"/>
          <w:sz w:val="24"/>
        </w:rPr>
        <w:t>aplicável,</w:t>
      </w:r>
      <w:r>
        <w:rPr>
          <w:rFonts w:ascii="Arial" w:hAnsi="Arial"/>
          <w:spacing w:val="-13"/>
          <w:sz w:val="24"/>
        </w:rPr>
        <w:t> </w:t>
      </w:r>
      <w:r>
        <w:rPr>
          <w:rFonts w:ascii="Arial" w:hAnsi="Arial"/>
          <w:sz w:val="24"/>
        </w:rPr>
        <w:t>e</w:t>
      </w:r>
      <w:r>
        <w:rPr>
          <w:rFonts w:ascii="Arial" w:hAnsi="Arial"/>
          <w:spacing w:val="-13"/>
          <w:sz w:val="24"/>
        </w:rPr>
        <w:t> </w:t>
      </w:r>
      <w:r>
        <w:rPr>
          <w:rFonts w:ascii="Arial" w:hAnsi="Arial"/>
          <w:sz w:val="24"/>
        </w:rPr>
        <w:t>se</w:t>
      </w:r>
      <w:r>
        <w:rPr>
          <w:rFonts w:ascii="Arial" w:hAnsi="Arial"/>
          <w:spacing w:val="-12"/>
          <w:sz w:val="24"/>
        </w:rPr>
        <w:t> </w:t>
      </w:r>
      <w:r>
        <w:rPr>
          <w:rFonts w:ascii="Arial" w:hAnsi="Arial"/>
          <w:sz w:val="24"/>
        </w:rPr>
        <w:t>a</w:t>
      </w:r>
      <w:r>
        <w:rPr>
          <w:rFonts w:ascii="Arial" w:hAnsi="Arial"/>
          <w:spacing w:val="-13"/>
          <w:sz w:val="24"/>
        </w:rPr>
        <w:t> </w:t>
      </w:r>
      <w:r>
        <w:rPr>
          <w:rFonts w:ascii="Arial" w:hAnsi="Arial"/>
          <w:sz w:val="24"/>
        </w:rPr>
        <w:t>sua</w:t>
      </w:r>
      <w:r>
        <w:rPr>
          <w:rFonts w:ascii="Arial" w:hAnsi="Arial"/>
          <w:spacing w:val="-12"/>
          <w:sz w:val="24"/>
        </w:rPr>
        <w:t> </w:t>
      </w:r>
      <w:r>
        <w:rPr>
          <w:rFonts w:ascii="Arial" w:hAnsi="Arial"/>
          <w:sz w:val="24"/>
        </w:rPr>
        <w:t>forma</w:t>
      </w:r>
      <w:r>
        <w:rPr>
          <w:rFonts w:ascii="Arial" w:hAnsi="Arial"/>
          <w:spacing w:val="-13"/>
          <w:sz w:val="24"/>
        </w:rPr>
        <w:t> </w:t>
      </w:r>
      <w:r>
        <w:rPr>
          <w:rFonts w:ascii="Arial" w:hAnsi="Arial"/>
          <w:sz w:val="24"/>
        </w:rPr>
        <w:t>e</w:t>
      </w:r>
      <w:r>
        <w:rPr>
          <w:rFonts w:ascii="Arial" w:hAnsi="Arial"/>
          <w:spacing w:val="-12"/>
          <w:sz w:val="24"/>
        </w:rPr>
        <w:t> </w:t>
      </w:r>
      <w:r>
        <w:rPr>
          <w:rFonts w:ascii="Arial" w:hAnsi="Arial"/>
          <w:sz w:val="24"/>
        </w:rPr>
        <w:t>conteúdo</w:t>
      </w:r>
      <w:r>
        <w:rPr>
          <w:rFonts w:ascii="Arial" w:hAnsi="Arial"/>
          <w:spacing w:val="-16"/>
          <w:sz w:val="24"/>
        </w:rPr>
        <w:t> </w:t>
      </w:r>
      <w:r>
        <w:rPr>
          <w:rFonts w:ascii="Arial" w:hAnsi="Arial"/>
          <w:sz w:val="24"/>
        </w:rPr>
        <w:t>estão</w:t>
      </w:r>
      <w:r>
        <w:rPr>
          <w:rFonts w:ascii="Arial" w:hAnsi="Arial"/>
          <w:spacing w:val="-12"/>
          <w:sz w:val="24"/>
        </w:rPr>
        <w:t> </w:t>
      </w:r>
      <w:r>
        <w:rPr>
          <w:rFonts w:ascii="Arial" w:hAnsi="Arial"/>
          <w:sz w:val="24"/>
        </w:rPr>
        <w:t>de</w:t>
      </w:r>
      <w:r>
        <w:rPr>
          <w:rFonts w:ascii="Arial" w:hAnsi="Arial"/>
          <w:spacing w:val="-13"/>
          <w:sz w:val="24"/>
        </w:rPr>
        <w:t> </w:t>
      </w:r>
      <w:r>
        <w:rPr>
          <w:rFonts w:ascii="Arial" w:hAnsi="Arial"/>
          <w:sz w:val="24"/>
        </w:rPr>
        <w:t>acordo</w:t>
      </w:r>
      <w:r>
        <w:rPr>
          <w:rFonts w:ascii="Arial" w:hAnsi="Arial"/>
          <w:spacing w:val="-13"/>
          <w:sz w:val="24"/>
        </w:rPr>
        <w:t> </w:t>
      </w:r>
      <w:r>
        <w:rPr>
          <w:rFonts w:ascii="Arial" w:hAnsi="Arial"/>
          <w:sz w:val="24"/>
        </w:rPr>
        <w:t>com os critérios definidos na NBC TG 09 - Demonstração do Valor Adicionado. Em nossa</w:t>
      </w:r>
      <w:r>
        <w:rPr>
          <w:rFonts w:ascii="Arial" w:hAnsi="Arial"/>
          <w:spacing w:val="-15"/>
          <w:sz w:val="24"/>
        </w:rPr>
        <w:t> </w:t>
      </w:r>
      <w:r>
        <w:rPr>
          <w:rFonts w:ascii="Arial" w:hAnsi="Arial"/>
          <w:sz w:val="24"/>
        </w:rPr>
        <w:t>opinião,</w:t>
      </w:r>
      <w:r>
        <w:rPr>
          <w:rFonts w:ascii="Arial" w:hAnsi="Arial"/>
          <w:spacing w:val="-12"/>
          <w:sz w:val="24"/>
        </w:rPr>
        <w:t> </w:t>
      </w:r>
      <w:r>
        <w:rPr>
          <w:rFonts w:ascii="Arial" w:hAnsi="Arial"/>
          <w:sz w:val="24"/>
        </w:rPr>
        <w:t>essas</w:t>
      </w:r>
      <w:r>
        <w:rPr>
          <w:rFonts w:ascii="Arial" w:hAnsi="Arial"/>
          <w:spacing w:val="-14"/>
          <w:sz w:val="24"/>
        </w:rPr>
        <w:t> </w:t>
      </w:r>
      <w:r>
        <w:rPr>
          <w:rFonts w:ascii="Arial" w:hAnsi="Arial"/>
          <w:sz w:val="24"/>
        </w:rPr>
        <w:t>demonstrações</w:t>
      </w:r>
      <w:r>
        <w:rPr>
          <w:rFonts w:ascii="Arial" w:hAnsi="Arial"/>
          <w:spacing w:val="-13"/>
          <w:sz w:val="24"/>
        </w:rPr>
        <w:t> </w:t>
      </w:r>
      <w:r>
        <w:rPr>
          <w:rFonts w:ascii="Arial" w:hAnsi="Arial"/>
          <w:sz w:val="24"/>
        </w:rPr>
        <w:t>do</w:t>
      </w:r>
      <w:r>
        <w:rPr>
          <w:rFonts w:ascii="Arial" w:hAnsi="Arial"/>
          <w:spacing w:val="-12"/>
          <w:sz w:val="24"/>
        </w:rPr>
        <w:t> </w:t>
      </w:r>
      <w:r>
        <w:rPr>
          <w:rFonts w:ascii="Arial" w:hAnsi="Arial"/>
          <w:sz w:val="24"/>
        </w:rPr>
        <w:t>valor</w:t>
      </w:r>
      <w:r>
        <w:rPr>
          <w:rFonts w:ascii="Arial" w:hAnsi="Arial"/>
          <w:spacing w:val="-16"/>
          <w:sz w:val="24"/>
        </w:rPr>
        <w:t> </w:t>
      </w:r>
      <w:r>
        <w:rPr>
          <w:rFonts w:ascii="Arial" w:hAnsi="Arial"/>
          <w:sz w:val="24"/>
        </w:rPr>
        <w:t>adicionado</w:t>
      </w:r>
      <w:r>
        <w:rPr>
          <w:rFonts w:ascii="Arial" w:hAnsi="Arial"/>
          <w:spacing w:val="-14"/>
          <w:sz w:val="24"/>
        </w:rPr>
        <w:t> </w:t>
      </w:r>
      <w:r>
        <w:rPr>
          <w:rFonts w:ascii="Arial" w:hAnsi="Arial"/>
          <w:sz w:val="24"/>
        </w:rPr>
        <w:t>foram</w:t>
      </w:r>
      <w:r>
        <w:rPr>
          <w:rFonts w:ascii="Arial" w:hAnsi="Arial"/>
          <w:spacing w:val="-11"/>
          <w:sz w:val="24"/>
        </w:rPr>
        <w:t> </w:t>
      </w:r>
      <w:r>
        <w:rPr>
          <w:rFonts w:ascii="Arial" w:hAnsi="Arial"/>
          <w:sz w:val="24"/>
        </w:rPr>
        <w:t>adequadamente elaboradas, em todos os aspectos relevantes, segundo os critérios definidos nessa Norma e são consistentes em relação às demonstrações contábeis individuais e consolidadas tomadas em</w:t>
      </w:r>
      <w:r>
        <w:rPr>
          <w:rFonts w:ascii="Arial" w:hAnsi="Arial"/>
          <w:spacing w:val="-6"/>
          <w:sz w:val="24"/>
        </w:rPr>
        <w:t> </w:t>
      </w:r>
      <w:r>
        <w:rPr>
          <w:rFonts w:ascii="Arial" w:hAnsi="Arial"/>
          <w:sz w:val="24"/>
        </w:rPr>
        <w:t>conjunto.</w:t>
      </w:r>
    </w:p>
    <w:p>
      <w:pPr>
        <w:pStyle w:val="BodyText"/>
        <w:spacing w:before="1"/>
        <w:rPr>
          <w:rFonts w:ascii="Arial"/>
          <w:sz w:val="24"/>
        </w:rPr>
      </w:pPr>
    </w:p>
    <w:p>
      <w:pPr>
        <w:spacing w:before="0"/>
        <w:ind w:left="102" w:right="0" w:firstLine="0"/>
        <w:jc w:val="both"/>
        <w:rPr>
          <w:rFonts w:ascii="Arial"/>
          <w:b/>
          <w:sz w:val="24"/>
        </w:rPr>
      </w:pPr>
      <w:r>
        <w:rPr>
          <w:rFonts w:ascii="Arial"/>
          <w:b/>
          <w:sz w:val="24"/>
        </w:rPr>
        <w:t>Valores Correspondentes</w:t>
      </w:r>
    </w:p>
    <w:p>
      <w:pPr>
        <w:spacing w:before="60"/>
        <w:ind w:left="102" w:right="117" w:firstLine="0"/>
        <w:jc w:val="both"/>
        <w:rPr>
          <w:rFonts w:ascii="Arial" w:hAnsi="Arial"/>
          <w:sz w:val="24"/>
        </w:rPr>
      </w:pPr>
      <w:r>
        <w:rPr>
          <w:rFonts w:ascii="Arial" w:hAnsi="Arial"/>
          <w:sz w:val="24"/>
        </w:rPr>
        <w:t>Os valores correspondentes ao exercício findo em 31 de dezembro de 2018, apresentados para fins de comparação, foram auditados por outros auditores</w:t>
      </w:r>
    </w:p>
    <w:p>
      <w:pPr>
        <w:spacing w:after="0"/>
        <w:jc w:val="both"/>
        <w:rPr>
          <w:rFonts w:ascii="Arial" w:hAnsi="Arial"/>
          <w:sz w:val="24"/>
        </w:rPr>
        <w:sectPr>
          <w:headerReference w:type="default" r:id="rId111"/>
          <w:footerReference w:type="default" r:id="rId112"/>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116" w:firstLine="0"/>
        <w:jc w:val="both"/>
        <w:rPr>
          <w:rFonts w:ascii="Arial" w:hAnsi="Arial"/>
          <w:sz w:val="24"/>
        </w:rPr>
      </w:pPr>
      <w:r>
        <w:rPr>
          <w:rFonts w:ascii="Arial" w:hAnsi="Arial"/>
          <w:sz w:val="24"/>
        </w:rPr>
        <w:t>independentes que emitiram relatório datado de 29 de março de 2019, que conteve parágrafo de incerteza quanto à continuidade operacional e de ênfase relacionada a reapresentação das demonstrações contábeis. Sobre a continuidade</w:t>
      </w:r>
      <w:r>
        <w:rPr>
          <w:rFonts w:ascii="Arial" w:hAnsi="Arial"/>
          <w:spacing w:val="-17"/>
          <w:sz w:val="24"/>
        </w:rPr>
        <w:t> </w:t>
      </w:r>
      <w:r>
        <w:rPr>
          <w:rFonts w:ascii="Arial" w:hAnsi="Arial"/>
          <w:sz w:val="24"/>
        </w:rPr>
        <w:t>operacional,</w:t>
      </w:r>
      <w:r>
        <w:rPr>
          <w:rFonts w:ascii="Arial" w:hAnsi="Arial"/>
          <w:spacing w:val="-16"/>
          <w:sz w:val="24"/>
        </w:rPr>
        <w:t> </w:t>
      </w:r>
      <w:r>
        <w:rPr>
          <w:rFonts w:ascii="Arial" w:hAnsi="Arial"/>
          <w:sz w:val="24"/>
        </w:rPr>
        <w:t>em</w:t>
      </w:r>
      <w:r>
        <w:rPr>
          <w:rFonts w:ascii="Arial" w:hAnsi="Arial"/>
          <w:spacing w:val="-15"/>
          <w:sz w:val="24"/>
        </w:rPr>
        <w:t> </w:t>
      </w:r>
      <w:r>
        <w:rPr>
          <w:rFonts w:ascii="Arial" w:hAnsi="Arial"/>
          <w:sz w:val="24"/>
        </w:rPr>
        <w:t>2019,</w:t>
      </w:r>
      <w:r>
        <w:rPr>
          <w:rFonts w:ascii="Arial" w:hAnsi="Arial"/>
          <w:spacing w:val="-16"/>
          <w:sz w:val="24"/>
        </w:rPr>
        <w:t> </w:t>
      </w:r>
      <w:r>
        <w:rPr>
          <w:rFonts w:ascii="Arial" w:hAnsi="Arial"/>
          <w:sz w:val="24"/>
        </w:rPr>
        <w:t>a</w:t>
      </w:r>
      <w:r>
        <w:rPr>
          <w:rFonts w:ascii="Arial" w:hAnsi="Arial"/>
          <w:spacing w:val="-13"/>
          <w:sz w:val="24"/>
        </w:rPr>
        <w:t> </w:t>
      </w:r>
      <w:r>
        <w:rPr>
          <w:rFonts w:ascii="Arial" w:hAnsi="Arial"/>
          <w:sz w:val="24"/>
        </w:rPr>
        <w:t>Companhia</w:t>
      </w:r>
      <w:r>
        <w:rPr>
          <w:rFonts w:ascii="Arial" w:hAnsi="Arial"/>
          <w:spacing w:val="-13"/>
          <w:sz w:val="24"/>
        </w:rPr>
        <w:t> </w:t>
      </w:r>
      <w:r>
        <w:rPr>
          <w:rFonts w:ascii="Arial" w:hAnsi="Arial"/>
          <w:sz w:val="24"/>
        </w:rPr>
        <w:t>realizou</w:t>
      </w:r>
      <w:r>
        <w:rPr>
          <w:rFonts w:ascii="Arial" w:hAnsi="Arial"/>
          <w:spacing w:val="-16"/>
          <w:sz w:val="24"/>
        </w:rPr>
        <w:t> </w:t>
      </w:r>
      <w:r>
        <w:rPr>
          <w:rFonts w:ascii="Arial" w:hAnsi="Arial"/>
          <w:sz w:val="24"/>
        </w:rPr>
        <w:t>uma</w:t>
      </w:r>
      <w:r>
        <w:rPr>
          <w:rFonts w:ascii="Arial" w:hAnsi="Arial"/>
          <w:spacing w:val="-15"/>
          <w:sz w:val="24"/>
        </w:rPr>
        <w:t> </w:t>
      </w:r>
      <w:r>
        <w:rPr>
          <w:rFonts w:ascii="Arial" w:hAnsi="Arial"/>
          <w:sz w:val="24"/>
        </w:rPr>
        <w:t>série</w:t>
      </w:r>
      <w:r>
        <w:rPr>
          <w:rFonts w:ascii="Arial" w:hAnsi="Arial"/>
          <w:spacing w:val="-15"/>
          <w:sz w:val="24"/>
        </w:rPr>
        <w:t> </w:t>
      </w:r>
      <w:r>
        <w:rPr>
          <w:rFonts w:ascii="Arial" w:hAnsi="Arial"/>
          <w:sz w:val="24"/>
        </w:rPr>
        <w:t>de</w:t>
      </w:r>
      <w:r>
        <w:rPr>
          <w:rFonts w:ascii="Arial" w:hAnsi="Arial"/>
          <w:spacing w:val="-18"/>
          <w:sz w:val="24"/>
        </w:rPr>
        <w:t> </w:t>
      </w:r>
      <w:r>
        <w:rPr>
          <w:rFonts w:ascii="Arial" w:hAnsi="Arial"/>
          <w:sz w:val="24"/>
        </w:rPr>
        <w:t>medidas para atender a sustentabilidade econômico-financeiro, obtendo êxito no atingimento dos parâmetros mínimos de sustentabilidade econômico-financeiro, exigidos no contrato de concessão, os limites anuais globais de indicadores de continuidade coletivos estão superiores ao estabelecido pela Resolução Autorizativa nº 6.092/2016 e os </w:t>
      </w:r>
      <w:r>
        <w:rPr>
          <w:rFonts w:ascii="Arial" w:hAnsi="Arial"/>
          <w:i/>
          <w:sz w:val="24"/>
        </w:rPr>
        <w:t>covenants </w:t>
      </w:r>
      <w:r>
        <w:rPr>
          <w:rFonts w:ascii="Arial" w:hAnsi="Arial"/>
          <w:sz w:val="24"/>
        </w:rPr>
        <w:t>econômico-financeiros, atendendo aos parâmetros exigidos no referido Termo Aditivo ao Contrato de Concessão, bem como da Resolução Normativa nº 787/2017-ANEEL. Os resultados das inequações obrigatórias para o exercício de 2019 foram apurados pela Companhia, restando avaliação do Órgão</w:t>
      </w:r>
      <w:r>
        <w:rPr>
          <w:rFonts w:ascii="Arial" w:hAnsi="Arial"/>
          <w:spacing w:val="-8"/>
          <w:sz w:val="24"/>
        </w:rPr>
        <w:t> </w:t>
      </w:r>
      <w:r>
        <w:rPr>
          <w:rFonts w:ascii="Arial" w:hAnsi="Arial"/>
          <w:sz w:val="24"/>
        </w:rPr>
        <w:t>Regulador.</w:t>
      </w:r>
    </w:p>
    <w:p>
      <w:pPr>
        <w:pStyle w:val="BodyText"/>
        <w:spacing w:before="1"/>
        <w:rPr>
          <w:rFonts w:ascii="Arial"/>
          <w:sz w:val="24"/>
        </w:rPr>
      </w:pPr>
    </w:p>
    <w:p>
      <w:pPr>
        <w:spacing w:before="0"/>
        <w:ind w:left="102" w:right="122" w:firstLine="0"/>
        <w:jc w:val="both"/>
        <w:rPr>
          <w:rFonts w:ascii="Arial" w:hAnsi="Arial"/>
          <w:b/>
          <w:sz w:val="24"/>
        </w:rPr>
      </w:pPr>
      <w:r>
        <w:rPr>
          <w:rFonts w:ascii="Arial" w:hAnsi="Arial"/>
          <w:b/>
          <w:sz w:val="24"/>
        </w:rPr>
        <w:t>Outras informações que acompanham as demonstrações contábeis e o relatório do auditor</w:t>
      </w:r>
    </w:p>
    <w:p>
      <w:pPr>
        <w:pStyle w:val="BodyText"/>
        <w:rPr>
          <w:rFonts w:ascii="Arial"/>
          <w:b/>
          <w:sz w:val="24"/>
        </w:rPr>
      </w:pPr>
    </w:p>
    <w:p>
      <w:pPr>
        <w:spacing w:before="0"/>
        <w:ind w:left="102" w:right="123" w:firstLine="0"/>
        <w:jc w:val="both"/>
        <w:rPr>
          <w:rFonts w:ascii="Arial" w:hAnsi="Arial"/>
          <w:sz w:val="24"/>
        </w:rPr>
      </w:pPr>
      <w:r>
        <w:rPr>
          <w:rFonts w:ascii="Arial" w:hAnsi="Arial"/>
          <w:sz w:val="24"/>
        </w:rPr>
        <w:t>A</w:t>
      </w:r>
      <w:r>
        <w:rPr>
          <w:rFonts w:ascii="Arial" w:hAnsi="Arial"/>
          <w:spacing w:val="-12"/>
          <w:sz w:val="24"/>
        </w:rPr>
        <w:t> </w:t>
      </w:r>
      <w:r>
        <w:rPr>
          <w:rFonts w:ascii="Arial" w:hAnsi="Arial"/>
          <w:sz w:val="24"/>
        </w:rPr>
        <w:t>administração</w:t>
      </w:r>
      <w:r>
        <w:rPr>
          <w:rFonts w:ascii="Arial" w:hAnsi="Arial"/>
          <w:spacing w:val="-11"/>
          <w:sz w:val="24"/>
        </w:rPr>
        <w:t> </w:t>
      </w:r>
      <w:r>
        <w:rPr>
          <w:rFonts w:ascii="Arial" w:hAnsi="Arial"/>
          <w:sz w:val="24"/>
        </w:rPr>
        <w:t>da</w:t>
      </w:r>
      <w:r>
        <w:rPr>
          <w:rFonts w:ascii="Arial" w:hAnsi="Arial"/>
          <w:spacing w:val="-11"/>
          <w:sz w:val="24"/>
        </w:rPr>
        <w:t> </w:t>
      </w:r>
      <w:r>
        <w:rPr>
          <w:rFonts w:ascii="Arial" w:hAnsi="Arial"/>
          <w:sz w:val="24"/>
        </w:rPr>
        <w:t>Companhia</w:t>
      </w:r>
      <w:r>
        <w:rPr>
          <w:rFonts w:ascii="Arial" w:hAnsi="Arial"/>
          <w:spacing w:val="-13"/>
          <w:sz w:val="24"/>
        </w:rPr>
        <w:t> </w:t>
      </w:r>
      <w:r>
        <w:rPr>
          <w:rFonts w:ascii="Arial" w:hAnsi="Arial"/>
          <w:sz w:val="24"/>
        </w:rPr>
        <w:t>é</w:t>
      </w:r>
      <w:r>
        <w:rPr>
          <w:rFonts w:ascii="Arial" w:hAnsi="Arial"/>
          <w:spacing w:val="-11"/>
          <w:sz w:val="24"/>
        </w:rPr>
        <w:t> </w:t>
      </w:r>
      <w:r>
        <w:rPr>
          <w:rFonts w:ascii="Arial" w:hAnsi="Arial"/>
          <w:sz w:val="24"/>
        </w:rPr>
        <w:t>responsável</w:t>
      </w:r>
      <w:r>
        <w:rPr>
          <w:rFonts w:ascii="Arial" w:hAnsi="Arial"/>
          <w:spacing w:val="-12"/>
          <w:sz w:val="24"/>
        </w:rPr>
        <w:t> </w:t>
      </w:r>
      <w:r>
        <w:rPr>
          <w:rFonts w:ascii="Arial" w:hAnsi="Arial"/>
          <w:sz w:val="24"/>
        </w:rPr>
        <w:t>por</w:t>
      </w:r>
      <w:r>
        <w:rPr>
          <w:rFonts w:ascii="Arial" w:hAnsi="Arial"/>
          <w:spacing w:val="-12"/>
          <w:sz w:val="24"/>
        </w:rPr>
        <w:t> </w:t>
      </w:r>
      <w:r>
        <w:rPr>
          <w:rFonts w:ascii="Arial" w:hAnsi="Arial"/>
          <w:sz w:val="24"/>
        </w:rPr>
        <w:t>essas</w:t>
      </w:r>
      <w:r>
        <w:rPr>
          <w:rFonts w:ascii="Arial" w:hAnsi="Arial"/>
          <w:spacing w:val="-12"/>
          <w:sz w:val="24"/>
        </w:rPr>
        <w:t> </w:t>
      </w:r>
      <w:r>
        <w:rPr>
          <w:rFonts w:ascii="Arial" w:hAnsi="Arial"/>
          <w:sz w:val="24"/>
        </w:rPr>
        <w:t>outras</w:t>
      </w:r>
      <w:r>
        <w:rPr>
          <w:rFonts w:ascii="Arial" w:hAnsi="Arial"/>
          <w:spacing w:val="-12"/>
          <w:sz w:val="24"/>
        </w:rPr>
        <w:t> </w:t>
      </w:r>
      <w:r>
        <w:rPr>
          <w:rFonts w:ascii="Arial" w:hAnsi="Arial"/>
          <w:sz w:val="24"/>
        </w:rPr>
        <w:t>informações</w:t>
      </w:r>
      <w:r>
        <w:rPr>
          <w:rFonts w:ascii="Arial" w:hAnsi="Arial"/>
          <w:spacing w:val="-12"/>
          <w:sz w:val="24"/>
        </w:rPr>
        <w:t> </w:t>
      </w:r>
      <w:r>
        <w:rPr>
          <w:rFonts w:ascii="Arial" w:hAnsi="Arial"/>
          <w:sz w:val="24"/>
        </w:rPr>
        <w:t>que compreendem o Relatório da</w:t>
      </w:r>
      <w:r>
        <w:rPr>
          <w:rFonts w:ascii="Arial" w:hAnsi="Arial"/>
          <w:spacing w:val="-3"/>
          <w:sz w:val="24"/>
        </w:rPr>
        <w:t> </w:t>
      </w:r>
      <w:r>
        <w:rPr>
          <w:rFonts w:ascii="Arial" w:hAnsi="Arial"/>
          <w:sz w:val="24"/>
        </w:rPr>
        <w:t>Administração.</w:t>
      </w:r>
    </w:p>
    <w:p>
      <w:pPr>
        <w:pStyle w:val="BodyText"/>
        <w:rPr>
          <w:rFonts w:ascii="Arial"/>
          <w:sz w:val="24"/>
        </w:rPr>
      </w:pPr>
    </w:p>
    <w:p>
      <w:pPr>
        <w:spacing w:before="0"/>
        <w:ind w:left="102" w:right="116" w:firstLine="0"/>
        <w:jc w:val="both"/>
        <w:rPr>
          <w:rFonts w:ascii="Arial" w:hAnsi="Arial"/>
          <w:sz w:val="24"/>
        </w:rPr>
      </w:pPr>
      <w:r>
        <w:rPr>
          <w:rFonts w:ascii="Arial" w:hAnsi="Arial"/>
          <w:sz w:val="24"/>
        </w:rPr>
        <w:t>Nossa opinião sobre as demonstrações contábeis não abrange o Relatório da Administração e não expressamos qualquer forma de conclusão de auditoria sobre esse relatório.</w:t>
      </w:r>
    </w:p>
    <w:p>
      <w:pPr>
        <w:spacing w:before="0"/>
        <w:ind w:left="102" w:right="116" w:firstLine="0"/>
        <w:jc w:val="both"/>
        <w:rPr>
          <w:rFonts w:ascii="Arial" w:hAnsi="Arial"/>
          <w:sz w:val="24"/>
        </w:rPr>
      </w:pPr>
      <w:r>
        <w:rPr>
          <w:rFonts w:ascii="Arial" w:hAnsi="Arial"/>
          <w:sz w:val="24"/>
        </w:rPr>
        <w:t>Em conexão com a auditoria das demonstrações contábeis, nossa responsabilidade</w:t>
      </w:r>
      <w:r>
        <w:rPr>
          <w:rFonts w:ascii="Arial" w:hAnsi="Arial"/>
          <w:spacing w:val="-16"/>
          <w:sz w:val="24"/>
        </w:rPr>
        <w:t> </w:t>
      </w:r>
      <w:r>
        <w:rPr>
          <w:rFonts w:ascii="Arial" w:hAnsi="Arial"/>
          <w:sz w:val="24"/>
        </w:rPr>
        <w:t>é</w:t>
      </w:r>
      <w:r>
        <w:rPr>
          <w:rFonts w:ascii="Arial" w:hAnsi="Arial"/>
          <w:spacing w:val="-17"/>
          <w:sz w:val="24"/>
        </w:rPr>
        <w:t> </w:t>
      </w:r>
      <w:r>
        <w:rPr>
          <w:rFonts w:ascii="Arial" w:hAnsi="Arial"/>
          <w:sz w:val="24"/>
        </w:rPr>
        <w:t>a</w:t>
      </w:r>
      <w:r>
        <w:rPr>
          <w:rFonts w:ascii="Arial" w:hAnsi="Arial"/>
          <w:spacing w:val="-15"/>
          <w:sz w:val="24"/>
        </w:rPr>
        <w:t> </w:t>
      </w:r>
      <w:r>
        <w:rPr>
          <w:rFonts w:ascii="Arial" w:hAnsi="Arial"/>
          <w:sz w:val="24"/>
        </w:rPr>
        <w:t>de</w:t>
      </w:r>
      <w:r>
        <w:rPr>
          <w:rFonts w:ascii="Arial" w:hAnsi="Arial"/>
          <w:spacing w:val="-16"/>
          <w:sz w:val="24"/>
        </w:rPr>
        <w:t> </w:t>
      </w:r>
      <w:r>
        <w:rPr>
          <w:rFonts w:ascii="Arial" w:hAnsi="Arial"/>
          <w:sz w:val="24"/>
        </w:rPr>
        <w:t>ler</w:t>
      </w:r>
      <w:r>
        <w:rPr>
          <w:rFonts w:ascii="Arial" w:hAnsi="Arial"/>
          <w:spacing w:val="-16"/>
          <w:sz w:val="24"/>
        </w:rPr>
        <w:t> </w:t>
      </w:r>
      <w:r>
        <w:rPr>
          <w:rFonts w:ascii="Arial" w:hAnsi="Arial"/>
          <w:sz w:val="24"/>
        </w:rPr>
        <w:t>o</w:t>
      </w:r>
      <w:r>
        <w:rPr>
          <w:rFonts w:ascii="Arial" w:hAnsi="Arial"/>
          <w:spacing w:val="-15"/>
          <w:sz w:val="24"/>
        </w:rPr>
        <w:t> </w:t>
      </w:r>
      <w:r>
        <w:rPr>
          <w:rFonts w:ascii="Arial" w:hAnsi="Arial"/>
          <w:sz w:val="24"/>
        </w:rPr>
        <w:t>Relatório</w:t>
      </w:r>
      <w:r>
        <w:rPr>
          <w:rFonts w:ascii="Arial" w:hAnsi="Arial"/>
          <w:spacing w:val="-16"/>
          <w:sz w:val="24"/>
        </w:rPr>
        <w:t> </w:t>
      </w:r>
      <w:r>
        <w:rPr>
          <w:rFonts w:ascii="Arial" w:hAnsi="Arial"/>
          <w:sz w:val="24"/>
        </w:rPr>
        <w:t>da</w:t>
      </w:r>
      <w:r>
        <w:rPr>
          <w:rFonts w:ascii="Arial" w:hAnsi="Arial"/>
          <w:spacing w:val="-17"/>
          <w:sz w:val="24"/>
        </w:rPr>
        <w:t> </w:t>
      </w:r>
      <w:r>
        <w:rPr>
          <w:rFonts w:ascii="Arial" w:hAnsi="Arial"/>
          <w:sz w:val="24"/>
        </w:rPr>
        <w:t>Administração</w:t>
      </w:r>
      <w:r>
        <w:rPr>
          <w:rFonts w:ascii="Arial" w:hAnsi="Arial"/>
          <w:spacing w:val="-15"/>
          <w:sz w:val="24"/>
        </w:rPr>
        <w:t> </w:t>
      </w:r>
      <w:r>
        <w:rPr>
          <w:rFonts w:ascii="Arial" w:hAnsi="Arial"/>
          <w:sz w:val="24"/>
        </w:rPr>
        <w:t>e,</w:t>
      </w:r>
      <w:r>
        <w:rPr>
          <w:rFonts w:ascii="Arial" w:hAnsi="Arial"/>
          <w:spacing w:val="-18"/>
          <w:sz w:val="24"/>
        </w:rPr>
        <w:t> </w:t>
      </w:r>
      <w:r>
        <w:rPr>
          <w:rFonts w:ascii="Arial" w:hAnsi="Arial"/>
          <w:sz w:val="24"/>
        </w:rPr>
        <w:t>ao</w:t>
      </w:r>
      <w:r>
        <w:rPr>
          <w:rFonts w:ascii="Arial" w:hAnsi="Arial"/>
          <w:spacing w:val="-15"/>
          <w:sz w:val="24"/>
        </w:rPr>
        <w:t> </w:t>
      </w:r>
      <w:r>
        <w:rPr>
          <w:rFonts w:ascii="Arial" w:hAnsi="Arial"/>
          <w:sz w:val="24"/>
        </w:rPr>
        <w:t>fazê-lo,</w:t>
      </w:r>
      <w:r>
        <w:rPr>
          <w:rFonts w:ascii="Arial" w:hAnsi="Arial"/>
          <w:spacing w:val="-15"/>
          <w:sz w:val="24"/>
        </w:rPr>
        <w:t> </w:t>
      </w:r>
      <w:r>
        <w:rPr>
          <w:rFonts w:ascii="Arial" w:hAnsi="Arial"/>
          <w:sz w:val="24"/>
        </w:rPr>
        <w:t>considerar se esse relatório está, de forma relevante, inconsistente com as demonstrações contábeis ou com nosso conhecimento obtido na auditoria ou, de outra forma, aparenta</w:t>
      </w:r>
      <w:r>
        <w:rPr>
          <w:rFonts w:ascii="Arial" w:hAnsi="Arial"/>
          <w:spacing w:val="-21"/>
          <w:sz w:val="24"/>
        </w:rPr>
        <w:t> </w:t>
      </w:r>
      <w:r>
        <w:rPr>
          <w:rFonts w:ascii="Arial" w:hAnsi="Arial"/>
          <w:sz w:val="24"/>
        </w:rPr>
        <w:t>estar</w:t>
      </w:r>
      <w:r>
        <w:rPr>
          <w:rFonts w:ascii="Arial" w:hAnsi="Arial"/>
          <w:spacing w:val="-20"/>
          <w:sz w:val="24"/>
        </w:rPr>
        <w:t> </w:t>
      </w:r>
      <w:r>
        <w:rPr>
          <w:rFonts w:ascii="Arial" w:hAnsi="Arial"/>
          <w:sz w:val="24"/>
        </w:rPr>
        <w:t>distorcido</w:t>
      </w:r>
      <w:r>
        <w:rPr>
          <w:rFonts w:ascii="Arial" w:hAnsi="Arial"/>
          <w:spacing w:val="-18"/>
          <w:sz w:val="24"/>
        </w:rPr>
        <w:t> </w:t>
      </w:r>
      <w:r>
        <w:rPr>
          <w:rFonts w:ascii="Arial" w:hAnsi="Arial"/>
          <w:sz w:val="24"/>
        </w:rPr>
        <w:t>de</w:t>
      </w:r>
      <w:r>
        <w:rPr>
          <w:rFonts w:ascii="Arial" w:hAnsi="Arial"/>
          <w:spacing w:val="-19"/>
          <w:sz w:val="24"/>
        </w:rPr>
        <w:t> </w:t>
      </w:r>
      <w:r>
        <w:rPr>
          <w:rFonts w:ascii="Arial" w:hAnsi="Arial"/>
          <w:sz w:val="24"/>
        </w:rPr>
        <w:t>forma</w:t>
      </w:r>
      <w:r>
        <w:rPr>
          <w:rFonts w:ascii="Arial" w:hAnsi="Arial"/>
          <w:spacing w:val="-19"/>
          <w:sz w:val="24"/>
        </w:rPr>
        <w:t> </w:t>
      </w:r>
      <w:r>
        <w:rPr>
          <w:rFonts w:ascii="Arial" w:hAnsi="Arial"/>
          <w:sz w:val="24"/>
        </w:rPr>
        <w:t>relevante.</w:t>
      </w:r>
      <w:r>
        <w:rPr>
          <w:rFonts w:ascii="Arial" w:hAnsi="Arial"/>
          <w:spacing w:val="-21"/>
          <w:sz w:val="24"/>
        </w:rPr>
        <w:t> </w:t>
      </w:r>
      <w:r>
        <w:rPr>
          <w:rFonts w:ascii="Arial" w:hAnsi="Arial"/>
          <w:sz w:val="24"/>
        </w:rPr>
        <w:t>Se,</w:t>
      </w:r>
      <w:r>
        <w:rPr>
          <w:rFonts w:ascii="Arial" w:hAnsi="Arial"/>
          <w:spacing w:val="-19"/>
          <w:sz w:val="24"/>
        </w:rPr>
        <w:t> </w:t>
      </w:r>
      <w:r>
        <w:rPr>
          <w:rFonts w:ascii="Arial" w:hAnsi="Arial"/>
          <w:sz w:val="24"/>
        </w:rPr>
        <w:t>com</w:t>
      </w:r>
      <w:r>
        <w:rPr>
          <w:rFonts w:ascii="Arial" w:hAnsi="Arial"/>
          <w:spacing w:val="-18"/>
          <w:sz w:val="24"/>
        </w:rPr>
        <w:t> </w:t>
      </w:r>
      <w:r>
        <w:rPr>
          <w:rFonts w:ascii="Arial" w:hAnsi="Arial"/>
          <w:sz w:val="24"/>
        </w:rPr>
        <w:t>base</w:t>
      </w:r>
      <w:r>
        <w:rPr>
          <w:rFonts w:ascii="Arial" w:hAnsi="Arial"/>
          <w:spacing w:val="-20"/>
          <w:sz w:val="24"/>
        </w:rPr>
        <w:t> </w:t>
      </w:r>
      <w:r>
        <w:rPr>
          <w:rFonts w:ascii="Arial" w:hAnsi="Arial"/>
          <w:sz w:val="24"/>
        </w:rPr>
        <w:t>no</w:t>
      </w:r>
      <w:r>
        <w:rPr>
          <w:rFonts w:ascii="Arial" w:hAnsi="Arial"/>
          <w:spacing w:val="-19"/>
          <w:sz w:val="24"/>
        </w:rPr>
        <w:t> </w:t>
      </w:r>
      <w:r>
        <w:rPr>
          <w:rFonts w:ascii="Arial" w:hAnsi="Arial"/>
          <w:sz w:val="24"/>
        </w:rPr>
        <w:t>trabalho</w:t>
      </w:r>
      <w:r>
        <w:rPr>
          <w:rFonts w:ascii="Arial" w:hAnsi="Arial"/>
          <w:spacing w:val="-19"/>
          <w:sz w:val="24"/>
        </w:rPr>
        <w:t> </w:t>
      </w:r>
      <w:r>
        <w:rPr>
          <w:rFonts w:ascii="Arial" w:hAnsi="Arial"/>
          <w:sz w:val="24"/>
        </w:rPr>
        <w:t>realizado, concluirmos que há distorção relevante no Relatório da Administração, somos requeridos a comunicar esse fato. Não temos nada a relatar a este</w:t>
      </w:r>
      <w:r>
        <w:rPr>
          <w:rFonts w:ascii="Arial" w:hAnsi="Arial"/>
          <w:spacing w:val="-23"/>
          <w:sz w:val="24"/>
        </w:rPr>
        <w:t> </w:t>
      </w:r>
      <w:r>
        <w:rPr>
          <w:rFonts w:ascii="Arial" w:hAnsi="Arial"/>
          <w:sz w:val="24"/>
        </w:rPr>
        <w:t>respeito.</w:t>
      </w:r>
    </w:p>
    <w:p>
      <w:pPr>
        <w:pStyle w:val="BodyText"/>
        <w:spacing w:before="1"/>
        <w:rPr>
          <w:rFonts w:ascii="Arial"/>
          <w:sz w:val="24"/>
        </w:rPr>
      </w:pPr>
    </w:p>
    <w:p>
      <w:pPr>
        <w:spacing w:before="0"/>
        <w:ind w:left="102" w:right="120" w:firstLine="0"/>
        <w:jc w:val="both"/>
        <w:rPr>
          <w:rFonts w:ascii="Arial" w:hAnsi="Arial"/>
          <w:b/>
          <w:sz w:val="24"/>
        </w:rPr>
      </w:pPr>
      <w:r>
        <w:rPr>
          <w:rFonts w:ascii="Arial" w:hAnsi="Arial"/>
          <w:b/>
          <w:sz w:val="24"/>
        </w:rPr>
        <w:t>Responsabilidade</w:t>
      </w:r>
      <w:r>
        <w:rPr>
          <w:rFonts w:ascii="Arial" w:hAnsi="Arial"/>
          <w:b/>
          <w:spacing w:val="-14"/>
          <w:sz w:val="24"/>
        </w:rPr>
        <w:t> </w:t>
      </w:r>
      <w:r>
        <w:rPr>
          <w:rFonts w:ascii="Arial" w:hAnsi="Arial"/>
          <w:b/>
          <w:sz w:val="24"/>
        </w:rPr>
        <w:t>da</w:t>
      </w:r>
      <w:r>
        <w:rPr>
          <w:rFonts w:ascii="Arial" w:hAnsi="Arial"/>
          <w:b/>
          <w:spacing w:val="-16"/>
          <w:sz w:val="24"/>
        </w:rPr>
        <w:t> </w:t>
      </w:r>
      <w:r>
        <w:rPr>
          <w:rFonts w:ascii="Arial" w:hAnsi="Arial"/>
          <w:b/>
          <w:sz w:val="24"/>
        </w:rPr>
        <w:t>administração</w:t>
      </w:r>
      <w:r>
        <w:rPr>
          <w:rFonts w:ascii="Arial" w:hAnsi="Arial"/>
          <w:b/>
          <w:spacing w:val="-15"/>
          <w:sz w:val="24"/>
        </w:rPr>
        <w:t> </w:t>
      </w:r>
      <w:r>
        <w:rPr>
          <w:rFonts w:ascii="Arial" w:hAnsi="Arial"/>
          <w:b/>
          <w:sz w:val="24"/>
        </w:rPr>
        <w:t>e</w:t>
      </w:r>
      <w:r>
        <w:rPr>
          <w:rFonts w:ascii="Arial" w:hAnsi="Arial"/>
          <w:b/>
          <w:spacing w:val="-11"/>
          <w:sz w:val="24"/>
        </w:rPr>
        <w:t> </w:t>
      </w:r>
      <w:r>
        <w:rPr>
          <w:rFonts w:ascii="Arial" w:hAnsi="Arial"/>
          <w:b/>
          <w:sz w:val="24"/>
        </w:rPr>
        <w:t>da</w:t>
      </w:r>
      <w:r>
        <w:rPr>
          <w:rFonts w:ascii="Arial" w:hAnsi="Arial"/>
          <w:b/>
          <w:spacing w:val="-12"/>
          <w:sz w:val="24"/>
        </w:rPr>
        <w:t> </w:t>
      </w:r>
      <w:r>
        <w:rPr>
          <w:rFonts w:ascii="Arial" w:hAnsi="Arial"/>
          <w:b/>
          <w:sz w:val="24"/>
        </w:rPr>
        <w:t>governança</w:t>
      </w:r>
      <w:r>
        <w:rPr>
          <w:rFonts w:ascii="Arial" w:hAnsi="Arial"/>
          <w:b/>
          <w:spacing w:val="-11"/>
          <w:sz w:val="24"/>
        </w:rPr>
        <w:t> </w:t>
      </w:r>
      <w:r>
        <w:rPr>
          <w:rFonts w:ascii="Arial" w:hAnsi="Arial"/>
          <w:b/>
          <w:sz w:val="24"/>
        </w:rPr>
        <w:t>pelas</w:t>
      </w:r>
      <w:r>
        <w:rPr>
          <w:rFonts w:ascii="Arial" w:hAnsi="Arial"/>
          <w:b/>
          <w:spacing w:val="-12"/>
          <w:sz w:val="24"/>
        </w:rPr>
        <w:t> </w:t>
      </w:r>
      <w:r>
        <w:rPr>
          <w:rFonts w:ascii="Arial" w:hAnsi="Arial"/>
          <w:b/>
          <w:sz w:val="24"/>
        </w:rPr>
        <w:t>demonstrações contábeis</w:t>
      </w:r>
    </w:p>
    <w:p>
      <w:pPr>
        <w:pStyle w:val="BodyText"/>
        <w:rPr>
          <w:rFonts w:ascii="Arial"/>
          <w:b/>
          <w:sz w:val="24"/>
        </w:rPr>
      </w:pPr>
    </w:p>
    <w:p>
      <w:pPr>
        <w:spacing w:before="0"/>
        <w:ind w:left="102" w:right="119" w:firstLine="0"/>
        <w:jc w:val="both"/>
        <w:rPr>
          <w:rFonts w:ascii="Arial" w:hAnsi="Arial"/>
          <w:sz w:val="24"/>
        </w:rPr>
      </w:pPr>
      <w:r>
        <w:rPr>
          <w:rFonts w:ascii="Arial" w:hAnsi="Arial"/>
          <w:sz w:val="24"/>
        </w:rPr>
        <w:t>A administração é responsável pela elaboração e adequada apresentação das demonstrações contábeis de acordo com as práticas contábeis adotadas no Brasil e pelos controles internos que ela determinou como necessários para permitir a elaboração de demonstrações contábeis livres de distorção</w:t>
      </w:r>
      <w:r>
        <w:rPr>
          <w:rFonts w:ascii="Arial" w:hAnsi="Arial"/>
          <w:spacing w:val="-37"/>
          <w:sz w:val="24"/>
        </w:rPr>
        <w:t> </w:t>
      </w:r>
      <w:r>
        <w:rPr>
          <w:rFonts w:ascii="Arial" w:hAnsi="Arial"/>
          <w:sz w:val="24"/>
        </w:rPr>
        <w:t>relevante, independentemente se causada por fraude ou</w:t>
      </w:r>
      <w:r>
        <w:rPr>
          <w:rFonts w:ascii="Arial" w:hAnsi="Arial"/>
          <w:spacing w:val="-7"/>
          <w:sz w:val="24"/>
        </w:rPr>
        <w:t> </w:t>
      </w:r>
      <w:r>
        <w:rPr>
          <w:rFonts w:ascii="Arial" w:hAnsi="Arial"/>
          <w:sz w:val="24"/>
        </w:rPr>
        <w:t>erro.</w:t>
      </w:r>
    </w:p>
    <w:p>
      <w:pPr>
        <w:pStyle w:val="BodyText"/>
        <w:spacing w:before="1"/>
        <w:rPr>
          <w:rFonts w:ascii="Arial"/>
          <w:sz w:val="24"/>
        </w:rPr>
      </w:pPr>
    </w:p>
    <w:p>
      <w:pPr>
        <w:spacing w:before="0"/>
        <w:ind w:left="102" w:right="118" w:firstLine="0"/>
        <w:jc w:val="both"/>
        <w:rPr>
          <w:rFonts w:ascii="Arial" w:hAnsi="Arial"/>
          <w:sz w:val="24"/>
        </w:rPr>
      </w:pPr>
      <w:r>
        <w:rPr>
          <w:rFonts w:ascii="Arial" w:hAnsi="Arial"/>
          <w:sz w:val="24"/>
        </w:rPr>
        <w:t>Na elaboração das demonstrações contábeis, a administração é responsável pela avaliação da capacidade da Companhia continuar operando, divulgando, quando</w:t>
      </w:r>
      <w:r>
        <w:rPr>
          <w:rFonts w:ascii="Arial" w:hAnsi="Arial"/>
          <w:spacing w:val="-9"/>
          <w:sz w:val="24"/>
        </w:rPr>
        <w:t> </w:t>
      </w:r>
      <w:r>
        <w:rPr>
          <w:rFonts w:ascii="Arial" w:hAnsi="Arial"/>
          <w:sz w:val="24"/>
        </w:rPr>
        <w:t>aplicável,</w:t>
      </w:r>
      <w:r>
        <w:rPr>
          <w:rFonts w:ascii="Arial" w:hAnsi="Arial"/>
          <w:spacing w:val="-10"/>
          <w:sz w:val="24"/>
        </w:rPr>
        <w:t> </w:t>
      </w:r>
      <w:r>
        <w:rPr>
          <w:rFonts w:ascii="Arial" w:hAnsi="Arial"/>
          <w:sz w:val="24"/>
        </w:rPr>
        <w:t>os</w:t>
      </w:r>
      <w:r>
        <w:rPr>
          <w:rFonts w:ascii="Arial" w:hAnsi="Arial"/>
          <w:spacing w:val="-8"/>
          <w:sz w:val="24"/>
        </w:rPr>
        <w:t> </w:t>
      </w:r>
      <w:r>
        <w:rPr>
          <w:rFonts w:ascii="Arial" w:hAnsi="Arial"/>
          <w:sz w:val="24"/>
        </w:rPr>
        <w:t>assuntos</w:t>
      </w:r>
      <w:r>
        <w:rPr>
          <w:rFonts w:ascii="Arial" w:hAnsi="Arial"/>
          <w:spacing w:val="-10"/>
          <w:sz w:val="24"/>
        </w:rPr>
        <w:t> </w:t>
      </w:r>
      <w:r>
        <w:rPr>
          <w:rFonts w:ascii="Arial" w:hAnsi="Arial"/>
          <w:sz w:val="24"/>
        </w:rPr>
        <w:t>relacionados</w:t>
      </w:r>
      <w:r>
        <w:rPr>
          <w:rFonts w:ascii="Arial" w:hAnsi="Arial"/>
          <w:spacing w:val="-8"/>
          <w:sz w:val="24"/>
        </w:rPr>
        <w:t> </w:t>
      </w:r>
      <w:r>
        <w:rPr>
          <w:rFonts w:ascii="Arial" w:hAnsi="Arial"/>
          <w:sz w:val="24"/>
        </w:rPr>
        <w:t>com</w:t>
      </w:r>
      <w:r>
        <w:rPr>
          <w:rFonts w:ascii="Arial" w:hAnsi="Arial"/>
          <w:spacing w:val="-8"/>
          <w:sz w:val="24"/>
        </w:rPr>
        <w:t> </w:t>
      </w:r>
      <w:r>
        <w:rPr>
          <w:rFonts w:ascii="Arial" w:hAnsi="Arial"/>
          <w:sz w:val="24"/>
        </w:rPr>
        <w:t>a</w:t>
      </w:r>
      <w:r>
        <w:rPr>
          <w:rFonts w:ascii="Arial" w:hAnsi="Arial"/>
          <w:spacing w:val="-7"/>
          <w:sz w:val="24"/>
        </w:rPr>
        <w:t> </w:t>
      </w:r>
      <w:r>
        <w:rPr>
          <w:rFonts w:ascii="Arial" w:hAnsi="Arial"/>
          <w:sz w:val="24"/>
        </w:rPr>
        <w:t>sua</w:t>
      </w:r>
      <w:r>
        <w:rPr>
          <w:rFonts w:ascii="Arial" w:hAnsi="Arial"/>
          <w:spacing w:val="-9"/>
          <w:sz w:val="24"/>
        </w:rPr>
        <w:t> </w:t>
      </w:r>
      <w:r>
        <w:rPr>
          <w:rFonts w:ascii="Arial" w:hAnsi="Arial"/>
          <w:sz w:val="24"/>
        </w:rPr>
        <w:t>continuidade</w:t>
      </w:r>
      <w:r>
        <w:rPr>
          <w:rFonts w:ascii="Arial" w:hAnsi="Arial"/>
          <w:spacing w:val="-9"/>
          <w:sz w:val="24"/>
        </w:rPr>
        <w:t> </w:t>
      </w:r>
      <w:r>
        <w:rPr>
          <w:rFonts w:ascii="Arial" w:hAnsi="Arial"/>
          <w:sz w:val="24"/>
        </w:rPr>
        <w:t>operacional e</w:t>
      </w:r>
      <w:r>
        <w:rPr>
          <w:rFonts w:ascii="Arial" w:hAnsi="Arial"/>
          <w:spacing w:val="-6"/>
          <w:sz w:val="24"/>
        </w:rPr>
        <w:t> </w:t>
      </w:r>
      <w:r>
        <w:rPr>
          <w:rFonts w:ascii="Arial" w:hAnsi="Arial"/>
          <w:sz w:val="24"/>
        </w:rPr>
        <w:t>o</w:t>
      </w:r>
      <w:r>
        <w:rPr>
          <w:rFonts w:ascii="Arial" w:hAnsi="Arial"/>
          <w:spacing w:val="-5"/>
          <w:sz w:val="24"/>
        </w:rPr>
        <w:t> </w:t>
      </w:r>
      <w:r>
        <w:rPr>
          <w:rFonts w:ascii="Arial" w:hAnsi="Arial"/>
          <w:sz w:val="24"/>
        </w:rPr>
        <w:t>uso</w:t>
      </w:r>
      <w:r>
        <w:rPr>
          <w:rFonts w:ascii="Arial" w:hAnsi="Arial"/>
          <w:spacing w:val="-7"/>
          <w:sz w:val="24"/>
        </w:rPr>
        <w:t> </w:t>
      </w:r>
      <w:r>
        <w:rPr>
          <w:rFonts w:ascii="Arial" w:hAnsi="Arial"/>
          <w:sz w:val="24"/>
        </w:rPr>
        <w:t>dessa</w:t>
      </w:r>
      <w:r>
        <w:rPr>
          <w:rFonts w:ascii="Arial" w:hAnsi="Arial"/>
          <w:spacing w:val="-7"/>
          <w:sz w:val="24"/>
        </w:rPr>
        <w:t> </w:t>
      </w:r>
      <w:r>
        <w:rPr>
          <w:rFonts w:ascii="Arial" w:hAnsi="Arial"/>
          <w:sz w:val="24"/>
        </w:rPr>
        <w:t>base</w:t>
      </w:r>
      <w:r>
        <w:rPr>
          <w:rFonts w:ascii="Arial" w:hAnsi="Arial"/>
          <w:spacing w:val="-6"/>
          <w:sz w:val="24"/>
        </w:rPr>
        <w:t> </w:t>
      </w:r>
      <w:r>
        <w:rPr>
          <w:rFonts w:ascii="Arial" w:hAnsi="Arial"/>
          <w:sz w:val="24"/>
        </w:rPr>
        <w:t>contábil</w:t>
      </w:r>
      <w:r>
        <w:rPr>
          <w:rFonts w:ascii="Arial" w:hAnsi="Arial"/>
          <w:spacing w:val="-7"/>
          <w:sz w:val="24"/>
        </w:rPr>
        <w:t> </w:t>
      </w:r>
      <w:r>
        <w:rPr>
          <w:rFonts w:ascii="Arial" w:hAnsi="Arial"/>
          <w:sz w:val="24"/>
        </w:rPr>
        <w:t>na</w:t>
      </w:r>
      <w:r>
        <w:rPr>
          <w:rFonts w:ascii="Arial" w:hAnsi="Arial"/>
          <w:spacing w:val="-5"/>
          <w:sz w:val="24"/>
        </w:rPr>
        <w:t> </w:t>
      </w:r>
      <w:r>
        <w:rPr>
          <w:rFonts w:ascii="Arial" w:hAnsi="Arial"/>
          <w:sz w:val="24"/>
        </w:rPr>
        <w:t>elaboração</w:t>
      </w:r>
      <w:r>
        <w:rPr>
          <w:rFonts w:ascii="Arial" w:hAnsi="Arial"/>
          <w:spacing w:val="-5"/>
          <w:sz w:val="24"/>
        </w:rPr>
        <w:t> </w:t>
      </w:r>
      <w:r>
        <w:rPr>
          <w:rFonts w:ascii="Arial" w:hAnsi="Arial"/>
          <w:sz w:val="24"/>
        </w:rPr>
        <w:t>das</w:t>
      </w:r>
      <w:r>
        <w:rPr>
          <w:rFonts w:ascii="Arial" w:hAnsi="Arial"/>
          <w:spacing w:val="-7"/>
          <w:sz w:val="24"/>
        </w:rPr>
        <w:t> </w:t>
      </w:r>
      <w:r>
        <w:rPr>
          <w:rFonts w:ascii="Arial" w:hAnsi="Arial"/>
          <w:sz w:val="24"/>
        </w:rPr>
        <w:t>demonstrações</w:t>
      </w:r>
      <w:r>
        <w:rPr>
          <w:rFonts w:ascii="Arial" w:hAnsi="Arial"/>
          <w:spacing w:val="-6"/>
          <w:sz w:val="24"/>
        </w:rPr>
        <w:t> </w:t>
      </w:r>
      <w:r>
        <w:rPr>
          <w:rFonts w:ascii="Arial" w:hAnsi="Arial"/>
          <w:sz w:val="24"/>
        </w:rPr>
        <w:t>contábeis,</w:t>
      </w:r>
      <w:r>
        <w:rPr>
          <w:rFonts w:ascii="Arial" w:hAnsi="Arial"/>
          <w:spacing w:val="-8"/>
          <w:sz w:val="24"/>
        </w:rPr>
        <w:t> </w:t>
      </w:r>
      <w:r>
        <w:rPr>
          <w:rFonts w:ascii="Arial" w:hAnsi="Arial"/>
          <w:sz w:val="24"/>
        </w:rPr>
        <w:t>a</w:t>
      </w:r>
      <w:r>
        <w:rPr>
          <w:rFonts w:ascii="Arial" w:hAnsi="Arial"/>
          <w:spacing w:val="-5"/>
          <w:sz w:val="24"/>
        </w:rPr>
        <w:t> </w:t>
      </w:r>
      <w:r>
        <w:rPr>
          <w:rFonts w:ascii="Arial" w:hAnsi="Arial"/>
          <w:sz w:val="24"/>
        </w:rPr>
        <w:t>não ser que a administração pretenda liquidar a Companhia ou cessar suas operações, ou não tenha nenhuma alternativa realista para evitar o encerramento das</w:t>
      </w:r>
      <w:r>
        <w:rPr>
          <w:rFonts w:ascii="Arial" w:hAnsi="Arial"/>
          <w:spacing w:val="-4"/>
          <w:sz w:val="24"/>
        </w:rPr>
        <w:t> </w:t>
      </w:r>
      <w:r>
        <w:rPr>
          <w:rFonts w:ascii="Arial" w:hAnsi="Arial"/>
          <w:sz w:val="24"/>
        </w:rPr>
        <w:t>operações.</w:t>
      </w:r>
    </w:p>
    <w:p>
      <w:pPr>
        <w:spacing w:after="0"/>
        <w:jc w:val="both"/>
        <w:rPr>
          <w:rFonts w:ascii="Arial" w:hAnsi="Arial"/>
          <w:sz w:val="24"/>
        </w:rPr>
        <w:sectPr>
          <w:headerReference w:type="default" r:id="rId113"/>
          <w:footerReference w:type="default" r:id="rId114"/>
          <w:pgSz w:w="11910" w:h="16840"/>
          <w:pgMar w:header="0" w:footer="0" w:top="1580" w:bottom="280" w:left="1600" w:right="1580"/>
        </w:sectPr>
      </w:pPr>
    </w:p>
    <w:p>
      <w:pPr>
        <w:pStyle w:val="BodyText"/>
        <w:rPr>
          <w:rFonts w:ascii="Arial"/>
        </w:rPr>
      </w:pPr>
    </w:p>
    <w:p>
      <w:pPr>
        <w:pStyle w:val="BodyText"/>
        <w:rPr>
          <w:rFonts w:ascii="Arial"/>
        </w:rPr>
      </w:pPr>
    </w:p>
    <w:p>
      <w:pPr>
        <w:pStyle w:val="BodyText"/>
        <w:rPr>
          <w:rFonts w:ascii="Arial"/>
        </w:rPr>
      </w:pPr>
    </w:p>
    <w:p>
      <w:pPr>
        <w:pStyle w:val="BodyText"/>
        <w:spacing w:before="3"/>
        <w:rPr>
          <w:rFonts w:ascii="Arial"/>
          <w:sz w:val="22"/>
        </w:rPr>
      </w:pPr>
    </w:p>
    <w:p>
      <w:pPr>
        <w:spacing w:before="0"/>
        <w:ind w:left="102" w:right="123" w:firstLine="0"/>
        <w:jc w:val="both"/>
        <w:rPr>
          <w:rFonts w:ascii="Arial" w:hAnsi="Arial"/>
          <w:sz w:val="24"/>
        </w:rPr>
      </w:pPr>
      <w:r>
        <w:rPr>
          <w:rFonts w:ascii="Arial" w:hAnsi="Arial"/>
          <w:sz w:val="24"/>
        </w:rPr>
        <w:t>Os responsáveis pela governança da Companhia são aqueles com responsabilidade pela supervisão do processo de elaboração das demonstrações contábeis.</w:t>
      </w:r>
    </w:p>
    <w:p>
      <w:pPr>
        <w:pStyle w:val="BodyText"/>
        <w:rPr>
          <w:rFonts w:ascii="Arial"/>
          <w:sz w:val="24"/>
        </w:rPr>
      </w:pPr>
    </w:p>
    <w:p>
      <w:pPr>
        <w:spacing w:before="0"/>
        <w:ind w:left="102" w:right="0" w:firstLine="0"/>
        <w:jc w:val="both"/>
        <w:rPr>
          <w:rFonts w:ascii="Arial" w:hAnsi="Arial"/>
          <w:b/>
          <w:sz w:val="24"/>
        </w:rPr>
      </w:pPr>
      <w:r>
        <w:rPr>
          <w:rFonts w:ascii="Arial" w:hAnsi="Arial"/>
          <w:b/>
          <w:sz w:val="24"/>
        </w:rPr>
        <w:t>Responsabilidades do auditor pela auditoria das demonstrações contábeis</w:t>
      </w:r>
    </w:p>
    <w:p>
      <w:pPr>
        <w:pStyle w:val="BodyText"/>
        <w:rPr>
          <w:rFonts w:ascii="Arial"/>
          <w:b/>
          <w:sz w:val="24"/>
        </w:rPr>
      </w:pPr>
    </w:p>
    <w:p>
      <w:pPr>
        <w:spacing w:before="0"/>
        <w:ind w:left="102" w:right="117" w:firstLine="0"/>
        <w:jc w:val="both"/>
        <w:rPr>
          <w:rFonts w:ascii="Arial" w:hAnsi="Arial"/>
          <w:sz w:val="24"/>
        </w:rPr>
      </w:pPr>
      <w:r>
        <w:rPr>
          <w:rFonts w:ascii="Arial" w:hAnsi="Arial"/>
          <w:sz w:val="24"/>
        </w:rPr>
        <w:t>Nossos objetivos são obter segurança razoável de que as demonstrações contábeis individuais e consolidadas, tomadas em conjunto, estão livres de distorção relevante, independentemente se causada por fraude ou erro, e emitir relatório</w:t>
      </w:r>
      <w:r>
        <w:rPr>
          <w:rFonts w:ascii="Arial" w:hAnsi="Arial"/>
          <w:spacing w:val="-19"/>
          <w:sz w:val="24"/>
        </w:rPr>
        <w:t> </w:t>
      </w:r>
      <w:r>
        <w:rPr>
          <w:rFonts w:ascii="Arial" w:hAnsi="Arial"/>
          <w:sz w:val="24"/>
        </w:rPr>
        <w:t>de</w:t>
      </w:r>
      <w:r>
        <w:rPr>
          <w:rFonts w:ascii="Arial" w:hAnsi="Arial"/>
          <w:spacing w:val="-19"/>
          <w:sz w:val="24"/>
        </w:rPr>
        <w:t> </w:t>
      </w:r>
      <w:r>
        <w:rPr>
          <w:rFonts w:ascii="Arial" w:hAnsi="Arial"/>
          <w:sz w:val="24"/>
        </w:rPr>
        <w:t>auditoria</w:t>
      </w:r>
      <w:r>
        <w:rPr>
          <w:rFonts w:ascii="Arial" w:hAnsi="Arial"/>
          <w:spacing w:val="-18"/>
          <w:sz w:val="24"/>
        </w:rPr>
        <w:t> </w:t>
      </w:r>
      <w:r>
        <w:rPr>
          <w:rFonts w:ascii="Arial" w:hAnsi="Arial"/>
          <w:sz w:val="24"/>
        </w:rPr>
        <w:t>contendo</w:t>
      </w:r>
      <w:r>
        <w:rPr>
          <w:rFonts w:ascii="Arial" w:hAnsi="Arial"/>
          <w:spacing w:val="-21"/>
          <w:sz w:val="24"/>
        </w:rPr>
        <w:t> </w:t>
      </w:r>
      <w:r>
        <w:rPr>
          <w:rFonts w:ascii="Arial" w:hAnsi="Arial"/>
          <w:sz w:val="24"/>
        </w:rPr>
        <w:t>nossa</w:t>
      </w:r>
      <w:r>
        <w:rPr>
          <w:rFonts w:ascii="Arial" w:hAnsi="Arial"/>
          <w:spacing w:val="-18"/>
          <w:sz w:val="24"/>
        </w:rPr>
        <w:t> </w:t>
      </w:r>
      <w:r>
        <w:rPr>
          <w:rFonts w:ascii="Arial" w:hAnsi="Arial"/>
          <w:sz w:val="24"/>
        </w:rPr>
        <w:t>opinião.</w:t>
      </w:r>
      <w:r>
        <w:rPr>
          <w:rFonts w:ascii="Arial" w:hAnsi="Arial"/>
          <w:spacing w:val="-22"/>
          <w:sz w:val="24"/>
        </w:rPr>
        <w:t> </w:t>
      </w:r>
      <w:r>
        <w:rPr>
          <w:rFonts w:ascii="Arial" w:hAnsi="Arial"/>
          <w:sz w:val="24"/>
        </w:rPr>
        <w:t>Segurança</w:t>
      </w:r>
      <w:r>
        <w:rPr>
          <w:rFonts w:ascii="Arial" w:hAnsi="Arial"/>
          <w:spacing w:val="-18"/>
          <w:sz w:val="24"/>
        </w:rPr>
        <w:t> </w:t>
      </w:r>
      <w:r>
        <w:rPr>
          <w:rFonts w:ascii="Arial" w:hAnsi="Arial"/>
          <w:sz w:val="24"/>
        </w:rPr>
        <w:t>razoável</w:t>
      </w:r>
      <w:r>
        <w:rPr>
          <w:rFonts w:ascii="Arial" w:hAnsi="Arial"/>
          <w:spacing w:val="-20"/>
          <w:sz w:val="24"/>
        </w:rPr>
        <w:t> </w:t>
      </w:r>
      <w:r>
        <w:rPr>
          <w:rFonts w:ascii="Arial" w:hAnsi="Arial"/>
          <w:sz w:val="24"/>
        </w:rPr>
        <w:t>é</w:t>
      </w:r>
      <w:r>
        <w:rPr>
          <w:rFonts w:ascii="Arial" w:hAnsi="Arial"/>
          <w:spacing w:val="-20"/>
          <w:sz w:val="24"/>
        </w:rPr>
        <w:t> </w:t>
      </w:r>
      <w:r>
        <w:rPr>
          <w:rFonts w:ascii="Arial" w:hAnsi="Arial"/>
          <w:sz w:val="24"/>
        </w:rPr>
        <w:t>um</w:t>
      </w:r>
      <w:r>
        <w:rPr>
          <w:rFonts w:ascii="Arial" w:hAnsi="Arial"/>
          <w:spacing w:val="-21"/>
          <w:sz w:val="24"/>
        </w:rPr>
        <w:t> </w:t>
      </w:r>
      <w:r>
        <w:rPr>
          <w:rFonts w:ascii="Arial" w:hAnsi="Arial"/>
          <w:sz w:val="24"/>
        </w:rPr>
        <w:t>alto</w:t>
      </w:r>
      <w:r>
        <w:rPr>
          <w:rFonts w:ascii="Arial" w:hAnsi="Arial"/>
          <w:spacing w:val="-18"/>
          <w:sz w:val="24"/>
        </w:rPr>
        <w:t> </w:t>
      </w:r>
      <w:r>
        <w:rPr>
          <w:rFonts w:ascii="Arial" w:hAnsi="Arial"/>
          <w:sz w:val="24"/>
        </w:rPr>
        <w:t>nível de</w:t>
      </w:r>
      <w:r>
        <w:rPr>
          <w:rFonts w:ascii="Arial" w:hAnsi="Arial"/>
          <w:spacing w:val="-14"/>
          <w:sz w:val="24"/>
        </w:rPr>
        <w:t> </w:t>
      </w:r>
      <w:r>
        <w:rPr>
          <w:rFonts w:ascii="Arial" w:hAnsi="Arial"/>
          <w:sz w:val="24"/>
        </w:rPr>
        <w:t>segurança,</w:t>
      </w:r>
      <w:r>
        <w:rPr>
          <w:rFonts w:ascii="Arial" w:hAnsi="Arial"/>
          <w:spacing w:val="-16"/>
          <w:sz w:val="24"/>
        </w:rPr>
        <w:t> </w:t>
      </w:r>
      <w:r>
        <w:rPr>
          <w:rFonts w:ascii="Arial" w:hAnsi="Arial"/>
          <w:sz w:val="24"/>
        </w:rPr>
        <w:t>mas</w:t>
      </w:r>
      <w:r>
        <w:rPr>
          <w:rFonts w:ascii="Arial" w:hAnsi="Arial"/>
          <w:spacing w:val="-16"/>
          <w:sz w:val="24"/>
        </w:rPr>
        <w:t> </w:t>
      </w:r>
      <w:r>
        <w:rPr>
          <w:rFonts w:ascii="Arial" w:hAnsi="Arial"/>
          <w:sz w:val="24"/>
        </w:rPr>
        <w:t>não</w:t>
      </w:r>
      <w:r>
        <w:rPr>
          <w:rFonts w:ascii="Arial" w:hAnsi="Arial"/>
          <w:spacing w:val="-14"/>
          <w:sz w:val="24"/>
        </w:rPr>
        <w:t> </w:t>
      </w:r>
      <w:r>
        <w:rPr>
          <w:rFonts w:ascii="Arial" w:hAnsi="Arial"/>
          <w:sz w:val="24"/>
        </w:rPr>
        <w:t>uma</w:t>
      </w:r>
      <w:r>
        <w:rPr>
          <w:rFonts w:ascii="Arial" w:hAnsi="Arial"/>
          <w:spacing w:val="-16"/>
          <w:sz w:val="24"/>
        </w:rPr>
        <w:t> </w:t>
      </w:r>
      <w:r>
        <w:rPr>
          <w:rFonts w:ascii="Arial" w:hAnsi="Arial"/>
          <w:sz w:val="24"/>
        </w:rPr>
        <w:t>garantia</w:t>
      </w:r>
      <w:r>
        <w:rPr>
          <w:rFonts w:ascii="Arial" w:hAnsi="Arial"/>
          <w:spacing w:val="-13"/>
          <w:sz w:val="24"/>
        </w:rPr>
        <w:t> </w:t>
      </w:r>
      <w:r>
        <w:rPr>
          <w:rFonts w:ascii="Arial" w:hAnsi="Arial"/>
          <w:sz w:val="24"/>
        </w:rPr>
        <w:t>de</w:t>
      </w:r>
      <w:r>
        <w:rPr>
          <w:rFonts w:ascii="Arial" w:hAnsi="Arial"/>
          <w:spacing w:val="-14"/>
          <w:sz w:val="24"/>
        </w:rPr>
        <w:t> </w:t>
      </w:r>
      <w:r>
        <w:rPr>
          <w:rFonts w:ascii="Arial" w:hAnsi="Arial"/>
          <w:sz w:val="24"/>
        </w:rPr>
        <w:t>que</w:t>
      </w:r>
      <w:r>
        <w:rPr>
          <w:rFonts w:ascii="Arial" w:hAnsi="Arial"/>
          <w:spacing w:val="-16"/>
          <w:sz w:val="24"/>
        </w:rPr>
        <w:t> </w:t>
      </w:r>
      <w:r>
        <w:rPr>
          <w:rFonts w:ascii="Arial" w:hAnsi="Arial"/>
          <w:sz w:val="24"/>
        </w:rPr>
        <w:t>a</w:t>
      </w:r>
      <w:r>
        <w:rPr>
          <w:rFonts w:ascii="Arial" w:hAnsi="Arial"/>
          <w:spacing w:val="-8"/>
          <w:sz w:val="24"/>
        </w:rPr>
        <w:t> </w:t>
      </w:r>
      <w:r>
        <w:rPr>
          <w:rFonts w:ascii="Arial" w:hAnsi="Arial"/>
          <w:sz w:val="24"/>
        </w:rPr>
        <w:t>auditoria</w:t>
      </w:r>
      <w:r>
        <w:rPr>
          <w:rFonts w:ascii="Arial" w:hAnsi="Arial"/>
          <w:spacing w:val="-14"/>
          <w:sz w:val="24"/>
        </w:rPr>
        <w:t> </w:t>
      </w:r>
      <w:r>
        <w:rPr>
          <w:rFonts w:ascii="Arial" w:hAnsi="Arial"/>
          <w:sz w:val="24"/>
        </w:rPr>
        <w:t>realizada</w:t>
      </w:r>
      <w:r>
        <w:rPr>
          <w:rFonts w:ascii="Arial" w:hAnsi="Arial"/>
          <w:spacing w:val="-16"/>
          <w:sz w:val="24"/>
        </w:rPr>
        <w:t> </w:t>
      </w:r>
      <w:r>
        <w:rPr>
          <w:rFonts w:ascii="Arial" w:hAnsi="Arial"/>
          <w:sz w:val="24"/>
        </w:rPr>
        <w:t>de</w:t>
      </w:r>
      <w:r>
        <w:rPr>
          <w:rFonts w:ascii="Arial" w:hAnsi="Arial"/>
          <w:spacing w:val="-13"/>
          <w:sz w:val="24"/>
        </w:rPr>
        <w:t> </w:t>
      </w:r>
      <w:r>
        <w:rPr>
          <w:rFonts w:ascii="Arial" w:hAnsi="Arial"/>
          <w:sz w:val="24"/>
        </w:rPr>
        <w:t>acordo</w:t>
      </w:r>
      <w:r>
        <w:rPr>
          <w:rFonts w:ascii="Arial" w:hAnsi="Arial"/>
          <w:spacing w:val="-14"/>
          <w:sz w:val="24"/>
        </w:rPr>
        <w:t> </w:t>
      </w:r>
      <w:r>
        <w:rPr>
          <w:rFonts w:ascii="Arial" w:hAnsi="Arial"/>
          <w:sz w:val="24"/>
        </w:rPr>
        <w:t>com as normas brasileiras e internacionais de auditoria sempre detectam as eventuais</w:t>
      </w:r>
      <w:r>
        <w:rPr>
          <w:rFonts w:ascii="Arial" w:hAnsi="Arial"/>
          <w:spacing w:val="-18"/>
          <w:sz w:val="24"/>
        </w:rPr>
        <w:t> </w:t>
      </w:r>
      <w:r>
        <w:rPr>
          <w:rFonts w:ascii="Arial" w:hAnsi="Arial"/>
          <w:sz w:val="24"/>
        </w:rPr>
        <w:t>distorções</w:t>
      </w:r>
      <w:r>
        <w:rPr>
          <w:rFonts w:ascii="Arial" w:hAnsi="Arial"/>
          <w:spacing w:val="-17"/>
          <w:sz w:val="24"/>
        </w:rPr>
        <w:t> </w:t>
      </w:r>
      <w:r>
        <w:rPr>
          <w:rFonts w:ascii="Arial" w:hAnsi="Arial"/>
          <w:sz w:val="24"/>
        </w:rPr>
        <w:t>relevantes</w:t>
      </w:r>
      <w:r>
        <w:rPr>
          <w:rFonts w:ascii="Arial" w:hAnsi="Arial"/>
          <w:spacing w:val="-17"/>
          <w:sz w:val="24"/>
        </w:rPr>
        <w:t> </w:t>
      </w:r>
      <w:r>
        <w:rPr>
          <w:rFonts w:ascii="Arial" w:hAnsi="Arial"/>
          <w:sz w:val="24"/>
        </w:rPr>
        <w:t>existentes.</w:t>
      </w:r>
      <w:r>
        <w:rPr>
          <w:rFonts w:ascii="Arial" w:hAnsi="Arial"/>
          <w:spacing w:val="-16"/>
          <w:sz w:val="24"/>
        </w:rPr>
        <w:t> </w:t>
      </w:r>
      <w:r>
        <w:rPr>
          <w:rFonts w:ascii="Arial" w:hAnsi="Arial"/>
          <w:sz w:val="24"/>
        </w:rPr>
        <w:t>As</w:t>
      </w:r>
      <w:r>
        <w:rPr>
          <w:rFonts w:ascii="Arial" w:hAnsi="Arial"/>
          <w:spacing w:val="-20"/>
          <w:sz w:val="24"/>
        </w:rPr>
        <w:t> </w:t>
      </w:r>
      <w:r>
        <w:rPr>
          <w:rFonts w:ascii="Arial" w:hAnsi="Arial"/>
          <w:sz w:val="24"/>
        </w:rPr>
        <w:t>distorções</w:t>
      </w:r>
      <w:r>
        <w:rPr>
          <w:rFonts w:ascii="Arial" w:hAnsi="Arial"/>
          <w:spacing w:val="-19"/>
          <w:sz w:val="24"/>
        </w:rPr>
        <w:t> </w:t>
      </w:r>
      <w:r>
        <w:rPr>
          <w:rFonts w:ascii="Arial" w:hAnsi="Arial"/>
          <w:sz w:val="24"/>
        </w:rPr>
        <w:t>podem</w:t>
      </w:r>
      <w:r>
        <w:rPr>
          <w:rFonts w:ascii="Arial" w:hAnsi="Arial"/>
          <w:spacing w:val="-16"/>
          <w:sz w:val="24"/>
        </w:rPr>
        <w:t> </w:t>
      </w:r>
      <w:r>
        <w:rPr>
          <w:rFonts w:ascii="Arial" w:hAnsi="Arial"/>
          <w:sz w:val="24"/>
        </w:rPr>
        <w:t>ser</w:t>
      </w:r>
      <w:r>
        <w:rPr>
          <w:rFonts w:ascii="Arial" w:hAnsi="Arial"/>
          <w:spacing w:val="-20"/>
          <w:sz w:val="24"/>
        </w:rPr>
        <w:t> </w:t>
      </w:r>
      <w:r>
        <w:rPr>
          <w:rFonts w:ascii="Arial" w:hAnsi="Arial"/>
          <w:sz w:val="24"/>
        </w:rPr>
        <w:t>decorrentes de</w:t>
      </w:r>
      <w:r>
        <w:rPr>
          <w:rFonts w:ascii="Arial" w:hAnsi="Arial"/>
          <w:spacing w:val="-9"/>
          <w:sz w:val="24"/>
        </w:rPr>
        <w:t> </w:t>
      </w:r>
      <w:r>
        <w:rPr>
          <w:rFonts w:ascii="Arial" w:hAnsi="Arial"/>
          <w:sz w:val="24"/>
        </w:rPr>
        <w:t>fraude</w:t>
      </w:r>
      <w:r>
        <w:rPr>
          <w:rFonts w:ascii="Arial" w:hAnsi="Arial"/>
          <w:spacing w:val="-8"/>
          <w:sz w:val="24"/>
        </w:rPr>
        <w:t> </w:t>
      </w:r>
      <w:r>
        <w:rPr>
          <w:rFonts w:ascii="Arial" w:hAnsi="Arial"/>
          <w:sz w:val="24"/>
        </w:rPr>
        <w:t>ou</w:t>
      </w:r>
      <w:r>
        <w:rPr>
          <w:rFonts w:ascii="Arial" w:hAnsi="Arial"/>
          <w:spacing w:val="-9"/>
          <w:sz w:val="24"/>
        </w:rPr>
        <w:t> </w:t>
      </w:r>
      <w:r>
        <w:rPr>
          <w:rFonts w:ascii="Arial" w:hAnsi="Arial"/>
          <w:sz w:val="24"/>
        </w:rPr>
        <w:t>erro</w:t>
      </w:r>
      <w:r>
        <w:rPr>
          <w:rFonts w:ascii="Arial" w:hAnsi="Arial"/>
          <w:spacing w:val="-8"/>
          <w:sz w:val="24"/>
        </w:rPr>
        <w:t> </w:t>
      </w:r>
      <w:r>
        <w:rPr>
          <w:rFonts w:ascii="Arial" w:hAnsi="Arial"/>
          <w:sz w:val="24"/>
        </w:rPr>
        <w:t>e</w:t>
      </w:r>
      <w:r>
        <w:rPr>
          <w:rFonts w:ascii="Arial" w:hAnsi="Arial"/>
          <w:spacing w:val="-6"/>
          <w:sz w:val="24"/>
        </w:rPr>
        <w:t> </w:t>
      </w:r>
      <w:r>
        <w:rPr>
          <w:rFonts w:ascii="Arial" w:hAnsi="Arial"/>
          <w:sz w:val="24"/>
        </w:rPr>
        <w:t>são</w:t>
      </w:r>
      <w:r>
        <w:rPr>
          <w:rFonts w:ascii="Arial" w:hAnsi="Arial"/>
          <w:spacing w:val="-7"/>
          <w:sz w:val="24"/>
        </w:rPr>
        <w:t> </w:t>
      </w:r>
      <w:r>
        <w:rPr>
          <w:rFonts w:ascii="Arial" w:hAnsi="Arial"/>
          <w:sz w:val="24"/>
        </w:rPr>
        <w:t>consideradas</w:t>
      </w:r>
      <w:r>
        <w:rPr>
          <w:rFonts w:ascii="Arial" w:hAnsi="Arial"/>
          <w:spacing w:val="-9"/>
          <w:sz w:val="24"/>
        </w:rPr>
        <w:t> </w:t>
      </w:r>
      <w:r>
        <w:rPr>
          <w:rFonts w:ascii="Arial" w:hAnsi="Arial"/>
          <w:sz w:val="24"/>
        </w:rPr>
        <w:t>relevantes</w:t>
      </w:r>
      <w:r>
        <w:rPr>
          <w:rFonts w:ascii="Arial" w:hAnsi="Arial"/>
          <w:spacing w:val="-10"/>
          <w:sz w:val="24"/>
        </w:rPr>
        <w:t> </w:t>
      </w:r>
      <w:r>
        <w:rPr>
          <w:rFonts w:ascii="Arial" w:hAnsi="Arial"/>
          <w:sz w:val="24"/>
        </w:rPr>
        <w:t>quando,</w:t>
      </w:r>
      <w:r>
        <w:rPr>
          <w:rFonts w:ascii="Arial" w:hAnsi="Arial"/>
          <w:spacing w:val="-9"/>
          <w:sz w:val="24"/>
        </w:rPr>
        <w:t> </w:t>
      </w:r>
      <w:r>
        <w:rPr>
          <w:rFonts w:ascii="Arial" w:hAnsi="Arial"/>
          <w:sz w:val="24"/>
        </w:rPr>
        <w:t>individualmente</w:t>
      </w:r>
      <w:r>
        <w:rPr>
          <w:rFonts w:ascii="Arial" w:hAnsi="Arial"/>
          <w:spacing w:val="-1"/>
          <w:sz w:val="24"/>
        </w:rPr>
        <w:t> </w:t>
      </w:r>
      <w:r>
        <w:rPr>
          <w:rFonts w:ascii="Arial" w:hAnsi="Arial"/>
          <w:sz w:val="24"/>
        </w:rPr>
        <w:t>ou</w:t>
      </w:r>
      <w:r>
        <w:rPr>
          <w:rFonts w:ascii="Arial" w:hAnsi="Arial"/>
          <w:spacing w:val="-8"/>
          <w:sz w:val="24"/>
        </w:rPr>
        <w:t> </w:t>
      </w:r>
      <w:r>
        <w:rPr>
          <w:rFonts w:ascii="Arial" w:hAnsi="Arial"/>
          <w:sz w:val="24"/>
        </w:rPr>
        <w:t>em conjunto, possam influenciar, dentro de uma perspectiva razoável, as decisões econômicas dos usuários tomadas com base nas referidas demonstrações contábeis.</w:t>
      </w:r>
    </w:p>
    <w:p>
      <w:pPr>
        <w:spacing w:after="0"/>
        <w:jc w:val="both"/>
        <w:rPr>
          <w:rFonts w:ascii="Arial" w:hAnsi="Arial"/>
          <w:sz w:val="24"/>
        </w:rPr>
        <w:sectPr>
          <w:headerReference w:type="default" r:id="rId115"/>
          <w:footerReference w:type="default" r:id="rId116"/>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119" w:firstLine="0"/>
        <w:jc w:val="both"/>
        <w:rPr>
          <w:rFonts w:ascii="Arial" w:hAnsi="Arial"/>
          <w:sz w:val="24"/>
        </w:rPr>
      </w:pPr>
      <w:r>
        <w:rPr>
          <w:rFonts w:ascii="Arial" w:hAnsi="Arial"/>
          <w:sz w:val="24"/>
        </w:rPr>
        <w:t>Como parte da auditoria realizada de acordo com as normas brasileiras e internacionais de auditoria, exercemos julgamento profissional e mantemos ceticismo profissional ao longo da auditoria. Além disso:</w:t>
      </w:r>
    </w:p>
    <w:p>
      <w:pPr>
        <w:pStyle w:val="BodyText"/>
        <w:spacing w:before="1"/>
        <w:rPr>
          <w:rFonts w:ascii="Arial"/>
          <w:sz w:val="24"/>
        </w:rPr>
      </w:pPr>
    </w:p>
    <w:p>
      <w:pPr>
        <w:pStyle w:val="ListParagraph"/>
        <w:numPr>
          <w:ilvl w:val="0"/>
          <w:numId w:val="51"/>
        </w:numPr>
        <w:tabs>
          <w:tab w:pos="386" w:val="left" w:leader="none"/>
        </w:tabs>
        <w:spacing w:line="240" w:lineRule="auto" w:before="0" w:after="0"/>
        <w:ind w:left="385" w:right="125" w:hanging="284"/>
        <w:jc w:val="both"/>
        <w:rPr>
          <w:rFonts w:ascii="Arial" w:hAnsi="Arial"/>
          <w:sz w:val="24"/>
        </w:rPr>
      </w:pPr>
      <w:r>
        <w:rPr>
          <w:rFonts w:ascii="Arial" w:hAnsi="Arial"/>
          <w:sz w:val="24"/>
        </w:rPr>
        <w:t>Identificamos e avaliamos os riscos de distorção relevante nas demonstrações contábeis individuais e consolidadas, independentemente se causada por fraude ou erro, planejamos e executamos procedimentos de auditoria em resposta a tais riscos, bem como obtivemos evidência de auditoria apropriada e suficiente para fundamentar nossa opinião. O risco de não detecção de distorção relevante resultante de fraude é maior do que o proveniente</w:t>
      </w:r>
      <w:r>
        <w:rPr>
          <w:rFonts w:ascii="Arial" w:hAnsi="Arial"/>
          <w:spacing w:val="-13"/>
          <w:sz w:val="24"/>
        </w:rPr>
        <w:t> </w:t>
      </w:r>
      <w:r>
        <w:rPr>
          <w:rFonts w:ascii="Arial" w:hAnsi="Arial"/>
          <w:sz w:val="24"/>
        </w:rPr>
        <w:t>de</w:t>
      </w:r>
      <w:r>
        <w:rPr>
          <w:rFonts w:ascii="Arial" w:hAnsi="Arial"/>
          <w:spacing w:val="-12"/>
          <w:sz w:val="24"/>
        </w:rPr>
        <w:t> </w:t>
      </w:r>
      <w:r>
        <w:rPr>
          <w:rFonts w:ascii="Arial" w:hAnsi="Arial"/>
          <w:sz w:val="24"/>
        </w:rPr>
        <w:t>erro,</w:t>
      </w:r>
      <w:r>
        <w:rPr>
          <w:rFonts w:ascii="Arial" w:hAnsi="Arial"/>
          <w:spacing w:val="-12"/>
          <w:sz w:val="24"/>
        </w:rPr>
        <w:t> </w:t>
      </w:r>
      <w:r>
        <w:rPr>
          <w:rFonts w:ascii="Arial" w:hAnsi="Arial"/>
          <w:sz w:val="24"/>
        </w:rPr>
        <w:t>já</w:t>
      </w:r>
      <w:r>
        <w:rPr>
          <w:rFonts w:ascii="Arial" w:hAnsi="Arial"/>
          <w:spacing w:val="-16"/>
          <w:sz w:val="24"/>
        </w:rPr>
        <w:t> </w:t>
      </w:r>
      <w:r>
        <w:rPr>
          <w:rFonts w:ascii="Arial" w:hAnsi="Arial"/>
          <w:sz w:val="24"/>
        </w:rPr>
        <w:t>que</w:t>
      </w:r>
      <w:r>
        <w:rPr>
          <w:rFonts w:ascii="Arial" w:hAnsi="Arial"/>
          <w:spacing w:val="-12"/>
          <w:sz w:val="24"/>
        </w:rPr>
        <w:t> </w:t>
      </w:r>
      <w:r>
        <w:rPr>
          <w:rFonts w:ascii="Arial" w:hAnsi="Arial"/>
          <w:sz w:val="24"/>
        </w:rPr>
        <w:t>a</w:t>
      </w:r>
      <w:r>
        <w:rPr>
          <w:rFonts w:ascii="Arial" w:hAnsi="Arial"/>
          <w:spacing w:val="-12"/>
          <w:sz w:val="24"/>
        </w:rPr>
        <w:t> </w:t>
      </w:r>
      <w:r>
        <w:rPr>
          <w:rFonts w:ascii="Arial" w:hAnsi="Arial"/>
          <w:sz w:val="24"/>
        </w:rPr>
        <w:t>fraude</w:t>
      </w:r>
      <w:r>
        <w:rPr>
          <w:rFonts w:ascii="Arial" w:hAnsi="Arial"/>
          <w:spacing w:val="-15"/>
          <w:sz w:val="24"/>
        </w:rPr>
        <w:t> </w:t>
      </w:r>
      <w:r>
        <w:rPr>
          <w:rFonts w:ascii="Arial" w:hAnsi="Arial"/>
          <w:sz w:val="24"/>
        </w:rPr>
        <w:t>pode</w:t>
      </w:r>
      <w:r>
        <w:rPr>
          <w:rFonts w:ascii="Arial" w:hAnsi="Arial"/>
          <w:spacing w:val="-13"/>
          <w:sz w:val="24"/>
        </w:rPr>
        <w:t> </w:t>
      </w:r>
      <w:r>
        <w:rPr>
          <w:rFonts w:ascii="Arial" w:hAnsi="Arial"/>
          <w:sz w:val="24"/>
        </w:rPr>
        <w:t>envolver</w:t>
      </w:r>
      <w:r>
        <w:rPr>
          <w:rFonts w:ascii="Arial" w:hAnsi="Arial"/>
          <w:spacing w:val="-13"/>
          <w:sz w:val="24"/>
        </w:rPr>
        <w:t> </w:t>
      </w:r>
      <w:r>
        <w:rPr>
          <w:rFonts w:ascii="Arial" w:hAnsi="Arial"/>
          <w:sz w:val="24"/>
        </w:rPr>
        <w:t>o</w:t>
      </w:r>
      <w:r>
        <w:rPr>
          <w:rFonts w:ascii="Arial" w:hAnsi="Arial"/>
          <w:spacing w:val="-12"/>
          <w:sz w:val="24"/>
        </w:rPr>
        <w:t> </w:t>
      </w:r>
      <w:r>
        <w:rPr>
          <w:rFonts w:ascii="Arial" w:hAnsi="Arial"/>
          <w:sz w:val="24"/>
        </w:rPr>
        <w:t>ato</w:t>
      </w:r>
      <w:r>
        <w:rPr>
          <w:rFonts w:ascii="Arial" w:hAnsi="Arial"/>
          <w:spacing w:val="-12"/>
          <w:sz w:val="24"/>
        </w:rPr>
        <w:t> </w:t>
      </w:r>
      <w:r>
        <w:rPr>
          <w:rFonts w:ascii="Arial" w:hAnsi="Arial"/>
          <w:sz w:val="24"/>
        </w:rPr>
        <w:t>de</w:t>
      </w:r>
      <w:r>
        <w:rPr>
          <w:rFonts w:ascii="Arial" w:hAnsi="Arial"/>
          <w:spacing w:val="-13"/>
          <w:sz w:val="24"/>
        </w:rPr>
        <w:t> </w:t>
      </w:r>
      <w:r>
        <w:rPr>
          <w:rFonts w:ascii="Arial" w:hAnsi="Arial"/>
          <w:sz w:val="24"/>
        </w:rPr>
        <w:t>burlar</w:t>
      </w:r>
      <w:r>
        <w:rPr>
          <w:rFonts w:ascii="Arial" w:hAnsi="Arial"/>
          <w:spacing w:val="-14"/>
          <w:sz w:val="24"/>
        </w:rPr>
        <w:t> </w:t>
      </w:r>
      <w:r>
        <w:rPr>
          <w:rFonts w:ascii="Arial" w:hAnsi="Arial"/>
          <w:sz w:val="24"/>
        </w:rPr>
        <w:t>os</w:t>
      </w:r>
      <w:r>
        <w:rPr>
          <w:rFonts w:ascii="Arial" w:hAnsi="Arial"/>
          <w:spacing w:val="-15"/>
          <w:sz w:val="24"/>
        </w:rPr>
        <w:t> </w:t>
      </w:r>
      <w:r>
        <w:rPr>
          <w:rFonts w:ascii="Arial" w:hAnsi="Arial"/>
          <w:sz w:val="24"/>
        </w:rPr>
        <w:t>controles internos,</w:t>
      </w:r>
      <w:r>
        <w:rPr>
          <w:rFonts w:ascii="Arial" w:hAnsi="Arial"/>
          <w:spacing w:val="-8"/>
          <w:sz w:val="24"/>
        </w:rPr>
        <w:t> </w:t>
      </w:r>
      <w:r>
        <w:rPr>
          <w:rFonts w:ascii="Arial" w:hAnsi="Arial"/>
          <w:sz w:val="24"/>
        </w:rPr>
        <w:t>conluio,</w:t>
      </w:r>
      <w:r>
        <w:rPr>
          <w:rFonts w:ascii="Arial" w:hAnsi="Arial"/>
          <w:spacing w:val="-7"/>
          <w:sz w:val="24"/>
        </w:rPr>
        <w:t> </w:t>
      </w:r>
      <w:r>
        <w:rPr>
          <w:rFonts w:ascii="Arial" w:hAnsi="Arial"/>
          <w:sz w:val="24"/>
        </w:rPr>
        <w:t>falsificação,</w:t>
      </w:r>
      <w:r>
        <w:rPr>
          <w:rFonts w:ascii="Arial" w:hAnsi="Arial"/>
          <w:spacing w:val="-10"/>
          <w:sz w:val="24"/>
        </w:rPr>
        <w:t> </w:t>
      </w:r>
      <w:r>
        <w:rPr>
          <w:rFonts w:ascii="Arial" w:hAnsi="Arial"/>
          <w:sz w:val="24"/>
        </w:rPr>
        <w:t>omissão</w:t>
      </w:r>
      <w:r>
        <w:rPr>
          <w:rFonts w:ascii="Arial" w:hAnsi="Arial"/>
          <w:spacing w:val="-7"/>
          <w:sz w:val="24"/>
        </w:rPr>
        <w:t> </w:t>
      </w:r>
      <w:r>
        <w:rPr>
          <w:rFonts w:ascii="Arial" w:hAnsi="Arial"/>
          <w:sz w:val="24"/>
        </w:rPr>
        <w:t>ou</w:t>
      </w:r>
      <w:r>
        <w:rPr>
          <w:rFonts w:ascii="Arial" w:hAnsi="Arial"/>
          <w:spacing w:val="-7"/>
          <w:sz w:val="24"/>
        </w:rPr>
        <w:t> </w:t>
      </w:r>
      <w:r>
        <w:rPr>
          <w:rFonts w:ascii="Arial" w:hAnsi="Arial"/>
          <w:sz w:val="24"/>
        </w:rPr>
        <w:t>representações</w:t>
      </w:r>
      <w:r>
        <w:rPr>
          <w:rFonts w:ascii="Arial" w:hAnsi="Arial"/>
          <w:spacing w:val="-8"/>
          <w:sz w:val="24"/>
        </w:rPr>
        <w:t> </w:t>
      </w:r>
      <w:r>
        <w:rPr>
          <w:rFonts w:ascii="Arial" w:hAnsi="Arial"/>
          <w:sz w:val="24"/>
        </w:rPr>
        <w:t>falsas</w:t>
      </w:r>
      <w:r>
        <w:rPr>
          <w:rFonts w:ascii="Arial" w:hAnsi="Arial"/>
          <w:spacing w:val="-7"/>
          <w:sz w:val="24"/>
        </w:rPr>
        <w:t> </w:t>
      </w:r>
      <w:r>
        <w:rPr>
          <w:rFonts w:ascii="Arial" w:hAnsi="Arial"/>
          <w:sz w:val="24"/>
        </w:rPr>
        <w:t>intencionais;</w:t>
      </w:r>
    </w:p>
    <w:p>
      <w:pPr>
        <w:pStyle w:val="ListParagraph"/>
        <w:numPr>
          <w:ilvl w:val="0"/>
          <w:numId w:val="51"/>
        </w:numPr>
        <w:tabs>
          <w:tab w:pos="386" w:val="left" w:leader="none"/>
        </w:tabs>
        <w:spacing w:line="240" w:lineRule="auto" w:before="57" w:after="0"/>
        <w:ind w:left="385" w:right="121" w:hanging="284"/>
        <w:jc w:val="both"/>
        <w:rPr>
          <w:rFonts w:ascii="Arial" w:hAnsi="Arial"/>
          <w:sz w:val="24"/>
        </w:rPr>
      </w:pPr>
      <w:r>
        <w:rPr>
          <w:rFonts w:ascii="Arial" w:hAnsi="Arial"/>
          <w:sz w:val="24"/>
        </w:rPr>
        <w:t>Obtivemos entendimento dos controles internos relevantes para a auditoria para planejarmos procedimentos de auditoria apropriados às circunstâncias, mas, não, com o objetivo de expressarmos opinião sobre a eficácia dos controles internos da Companhia e suas</w:t>
      </w:r>
      <w:r>
        <w:rPr>
          <w:rFonts w:ascii="Arial" w:hAnsi="Arial"/>
          <w:spacing w:val="-4"/>
          <w:sz w:val="24"/>
        </w:rPr>
        <w:t> </w:t>
      </w:r>
      <w:r>
        <w:rPr>
          <w:rFonts w:ascii="Arial" w:hAnsi="Arial"/>
          <w:sz w:val="24"/>
        </w:rPr>
        <w:t>controladas;</w:t>
      </w:r>
    </w:p>
    <w:p>
      <w:pPr>
        <w:pStyle w:val="ListParagraph"/>
        <w:numPr>
          <w:ilvl w:val="0"/>
          <w:numId w:val="51"/>
        </w:numPr>
        <w:tabs>
          <w:tab w:pos="386" w:val="left" w:leader="none"/>
        </w:tabs>
        <w:spacing w:line="240" w:lineRule="auto" w:before="59" w:after="0"/>
        <w:ind w:left="385" w:right="124" w:hanging="284"/>
        <w:jc w:val="both"/>
        <w:rPr>
          <w:rFonts w:ascii="Arial" w:hAnsi="Arial"/>
          <w:sz w:val="24"/>
        </w:rPr>
      </w:pPr>
      <w:r>
        <w:rPr>
          <w:rFonts w:ascii="Arial" w:hAnsi="Arial"/>
          <w:sz w:val="24"/>
        </w:rPr>
        <w:t>Avaliamos a adequação das políticas contábeis utilizadas e a razoabilidade das estimativas contábeis e respectivas divulgações feitas pela administração;</w:t>
      </w:r>
    </w:p>
    <w:p>
      <w:pPr>
        <w:pStyle w:val="ListParagraph"/>
        <w:numPr>
          <w:ilvl w:val="0"/>
          <w:numId w:val="51"/>
        </w:numPr>
        <w:tabs>
          <w:tab w:pos="386" w:val="left" w:leader="none"/>
        </w:tabs>
        <w:spacing w:line="240" w:lineRule="auto" w:before="59" w:after="0"/>
        <w:ind w:left="385" w:right="122" w:hanging="284"/>
        <w:jc w:val="both"/>
        <w:rPr>
          <w:rFonts w:ascii="Arial" w:hAnsi="Arial"/>
          <w:sz w:val="24"/>
        </w:rPr>
      </w:pPr>
      <w:r>
        <w:rPr>
          <w:rFonts w:ascii="Arial" w:hAnsi="Arial"/>
          <w:sz w:val="24"/>
        </w:rPr>
        <w:t>Concluímos sobre a adequação do uso, pela administração, da base contábil de</w:t>
      </w:r>
      <w:r>
        <w:rPr>
          <w:rFonts w:ascii="Arial" w:hAnsi="Arial"/>
          <w:spacing w:val="-7"/>
          <w:sz w:val="24"/>
        </w:rPr>
        <w:t> </w:t>
      </w:r>
      <w:r>
        <w:rPr>
          <w:rFonts w:ascii="Arial" w:hAnsi="Arial"/>
          <w:sz w:val="24"/>
        </w:rPr>
        <w:t>continuidade</w:t>
      </w:r>
      <w:r>
        <w:rPr>
          <w:rFonts w:ascii="Arial" w:hAnsi="Arial"/>
          <w:spacing w:val="-7"/>
          <w:sz w:val="24"/>
        </w:rPr>
        <w:t> </w:t>
      </w:r>
      <w:r>
        <w:rPr>
          <w:rFonts w:ascii="Arial" w:hAnsi="Arial"/>
          <w:sz w:val="24"/>
        </w:rPr>
        <w:t>operacional</w:t>
      </w:r>
      <w:r>
        <w:rPr>
          <w:rFonts w:ascii="Arial" w:hAnsi="Arial"/>
          <w:spacing w:val="-8"/>
          <w:sz w:val="24"/>
        </w:rPr>
        <w:t> </w:t>
      </w:r>
      <w:r>
        <w:rPr>
          <w:rFonts w:ascii="Arial" w:hAnsi="Arial"/>
          <w:sz w:val="24"/>
        </w:rPr>
        <w:t>e,</w:t>
      </w:r>
      <w:r>
        <w:rPr>
          <w:rFonts w:ascii="Arial" w:hAnsi="Arial"/>
          <w:spacing w:val="-7"/>
          <w:sz w:val="24"/>
        </w:rPr>
        <w:t> </w:t>
      </w:r>
      <w:r>
        <w:rPr>
          <w:rFonts w:ascii="Arial" w:hAnsi="Arial"/>
          <w:sz w:val="24"/>
        </w:rPr>
        <w:t>com</w:t>
      </w:r>
      <w:r>
        <w:rPr>
          <w:rFonts w:ascii="Arial" w:hAnsi="Arial"/>
          <w:spacing w:val="-6"/>
          <w:sz w:val="24"/>
        </w:rPr>
        <w:t> </w:t>
      </w:r>
      <w:r>
        <w:rPr>
          <w:rFonts w:ascii="Arial" w:hAnsi="Arial"/>
          <w:sz w:val="24"/>
        </w:rPr>
        <w:t>base</w:t>
      </w:r>
      <w:r>
        <w:rPr>
          <w:rFonts w:ascii="Arial" w:hAnsi="Arial"/>
          <w:spacing w:val="-7"/>
          <w:sz w:val="24"/>
        </w:rPr>
        <w:t> </w:t>
      </w:r>
      <w:r>
        <w:rPr>
          <w:rFonts w:ascii="Arial" w:hAnsi="Arial"/>
          <w:sz w:val="24"/>
        </w:rPr>
        <w:t>nas</w:t>
      </w:r>
      <w:r>
        <w:rPr>
          <w:rFonts w:ascii="Arial" w:hAnsi="Arial"/>
          <w:spacing w:val="-10"/>
          <w:sz w:val="24"/>
        </w:rPr>
        <w:t> </w:t>
      </w:r>
      <w:r>
        <w:rPr>
          <w:rFonts w:ascii="Arial" w:hAnsi="Arial"/>
          <w:sz w:val="24"/>
        </w:rPr>
        <w:t>evidências</w:t>
      </w:r>
      <w:r>
        <w:rPr>
          <w:rFonts w:ascii="Arial" w:hAnsi="Arial"/>
          <w:spacing w:val="-8"/>
          <w:sz w:val="24"/>
        </w:rPr>
        <w:t> </w:t>
      </w:r>
      <w:r>
        <w:rPr>
          <w:rFonts w:ascii="Arial" w:hAnsi="Arial"/>
          <w:sz w:val="24"/>
        </w:rPr>
        <w:t>de</w:t>
      </w:r>
      <w:r>
        <w:rPr>
          <w:rFonts w:ascii="Arial" w:hAnsi="Arial"/>
          <w:spacing w:val="-9"/>
          <w:sz w:val="24"/>
        </w:rPr>
        <w:t> </w:t>
      </w:r>
      <w:r>
        <w:rPr>
          <w:rFonts w:ascii="Arial" w:hAnsi="Arial"/>
          <w:sz w:val="24"/>
        </w:rPr>
        <w:t>auditoria</w:t>
      </w:r>
      <w:r>
        <w:rPr>
          <w:rFonts w:ascii="Arial" w:hAnsi="Arial"/>
          <w:spacing w:val="-7"/>
          <w:sz w:val="24"/>
        </w:rPr>
        <w:t> </w:t>
      </w:r>
      <w:r>
        <w:rPr>
          <w:rFonts w:ascii="Arial" w:hAnsi="Arial"/>
          <w:sz w:val="24"/>
        </w:rPr>
        <w:t>obtidas, se</w:t>
      </w:r>
      <w:r>
        <w:rPr>
          <w:rFonts w:ascii="Arial" w:hAnsi="Arial"/>
          <w:spacing w:val="-6"/>
          <w:sz w:val="24"/>
        </w:rPr>
        <w:t> </w:t>
      </w:r>
      <w:r>
        <w:rPr>
          <w:rFonts w:ascii="Arial" w:hAnsi="Arial"/>
          <w:sz w:val="24"/>
        </w:rPr>
        <w:t>existe</w:t>
      </w:r>
      <w:r>
        <w:rPr>
          <w:rFonts w:ascii="Arial" w:hAnsi="Arial"/>
          <w:spacing w:val="-6"/>
          <w:sz w:val="24"/>
        </w:rPr>
        <w:t> </w:t>
      </w:r>
      <w:r>
        <w:rPr>
          <w:rFonts w:ascii="Arial" w:hAnsi="Arial"/>
          <w:sz w:val="24"/>
        </w:rPr>
        <w:t>incerteza</w:t>
      </w:r>
      <w:r>
        <w:rPr>
          <w:rFonts w:ascii="Arial" w:hAnsi="Arial"/>
          <w:spacing w:val="-5"/>
          <w:sz w:val="24"/>
        </w:rPr>
        <w:t> </w:t>
      </w:r>
      <w:r>
        <w:rPr>
          <w:rFonts w:ascii="Arial" w:hAnsi="Arial"/>
          <w:sz w:val="24"/>
        </w:rPr>
        <w:t>relevante</w:t>
      </w:r>
      <w:r>
        <w:rPr>
          <w:rFonts w:ascii="Arial" w:hAnsi="Arial"/>
          <w:spacing w:val="-8"/>
          <w:sz w:val="24"/>
        </w:rPr>
        <w:t> </w:t>
      </w:r>
      <w:r>
        <w:rPr>
          <w:rFonts w:ascii="Arial" w:hAnsi="Arial"/>
          <w:sz w:val="24"/>
        </w:rPr>
        <w:t>em</w:t>
      </w:r>
      <w:r>
        <w:rPr>
          <w:rFonts w:ascii="Arial" w:hAnsi="Arial"/>
          <w:spacing w:val="-4"/>
          <w:sz w:val="24"/>
        </w:rPr>
        <w:t> </w:t>
      </w:r>
      <w:r>
        <w:rPr>
          <w:rFonts w:ascii="Arial" w:hAnsi="Arial"/>
          <w:sz w:val="24"/>
        </w:rPr>
        <w:t>relação</w:t>
      </w:r>
      <w:r>
        <w:rPr>
          <w:rFonts w:ascii="Arial" w:hAnsi="Arial"/>
          <w:spacing w:val="-6"/>
          <w:sz w:val="24"/>
        </w:rPr>
        <w:t> </w:t>
      </w:r>
      <w:r>
        <w:rPr>
          <w:rFonts w:ascii="Arial" w:hAnsi="Arial"/>
          <w:sz w:val="24"/>
        </w:rPr>
        <w:t>a</w:t>
      </w:r>
      <w:r>
        <w:rPr>
          <w:rFonts w:ascii="Arial" w:hAnsi="Arial"/>
          <w:spacing w:val="-8"/>
          <w:sz w:val="24"/>
        </w:rPr>
        <w:t> </w:t>
      </w:r>
      <w:r>
        <w:rPr>
          <w:rFonts w:ascii="Arial" w:hAnsi="Arial"/>
          <w:sz w:val="24"/>
        </w:rPr>
        <w:t>eventos</w:t>
      </w:r>
      <w:r>
        <w:rPr>
          <w:rFonts w:ascii="Arial" w:hAnsi="Arial"/>
          <w:spacing w:val="-8"/>
          <w:sz w:val="24"/>
        </w:rPr>
        <w:t> </w:t>
      </w:r>
      <w:r>
        <w:rPr>
          <w:rFonts w:ascii="Arial" w:hAnsi="Arial"/>
          <w:sz w:val="24"/>
        </w:rPr>
        <w:t>ou</w:t>
      </w:r>
      <w:r>
        <w:rPr>
          <w:rFonts w:ascii="Arial" w:hAnsi="Arial"/>
          <w:spacing w:val="-6"/>
          <w:sz w:val="24"/>
        </w:rPr>
        <w:t> </w:t>
      </w:r>
      <w:r>
        <w:rPr>
          <w:rFonts w:ascii="Arial" w:hAnsi="Arial"/>
          <w:sz w:val="24"/>
        </w:rPr>
        <w:t>condições</w:t>
      </w:r>
      <w:r>
        <w:rPr>
          <w:rFonts w:ascii="Arial" w:hAnsi="Arial"/>
          <w:spacing w:val="-6"/>
          <w:sz w:val="24"/>
        </w:rPr>
        <w:t> </w:t>
      </w:r>
      <w:r>
        <w:rPr>
          <w:rFonts w:ascii="Arial" w:hAnsi="Arial"/>
          <w:sz w:val="24"/>
        </w:rPr>
        <w:t>que</w:t>
      </w:r>
      <w:r>
        <w:rPr>
          <w:rFonts w:ascii="Arial" w:hAnsi="Arial"/>
          <w:spacing w:val="-6"/>
          <w:sz w:val="24"/>
        </w:rPr>
        <w:t> </w:t>
      </w:r>
      <w:r>
        <w:rPr>
          <w:rFonts w:ascii="Arial" w:hAnsi="Arial"/>
          <w:sz w:val="24"/>
        </w:rPr>
        <w:t>possam levantar dúvida significativa em relação à capacidade de continuidade operacional da Companhia. Se concluirmos que existe incerteza relevante, devemos</w:t>
      </w:r>
      <w:r>
        <w:rPr>
          <w:rFonts w:ascii="Arial" w:hAnsi="Arial"/>
          <w:spacing w:val="-9"/>
          <w:sz w:val="24"/>
        </w:rPr>
        <w:t> </w:t>
      </w:r>
      <w:r>
        <w:rPr>
          <w:rFonts w:ascii="Arial" w:hAnsi="Arial"/>
          <w:sz w:val="24"/>
        </w:rPr>
        <w:t>chamar</w:t>
      </w:r>
      <w:r>
        <w:rPr>
          <w:rFonts w:ascii="Arial" w:hAnsi="Arial"/>
          <w:spacing w:val="-8"/>
          <w:sz w:val="24"/>
        </w:rPr>
        <w:t> </w:t>
      </w:r>
      <w:r>
        <w:rPr>
          <w:rFonts w:ascii="Arial" w:hAnsi="Arial"/>
          <w:sz w:val="24"/>
        </w:rPr>
        <w:t>atenção</w:t>
      </w:r>
      <w:r>
        <w:rPr>
          <w:rFonts w:ascii="Arial" w:hAnsi="Arial"/>
          <w:spacing w:val="-8"/>
          <w:sz w:val="24"/>
        </w:rPr>
        <w:t> </w:t>
      </w:r>
      <w:r>
        <w:rPr>
          <w:rFonts w:ascii="Arial" w:hAnsi="Arial"/>
          <w:sz w:val="24"/>
        </w:rPr>
        <w:t>em</w:t>
      </w:r>
      <w:r>
        <w:rPr>
          <w:rFonts w:ascii="Arial" w:hAnsi="Arial"/>
          <w:spacing w:val="-7"/>
          <w:sz w:val="24"/>
        </w:rPr>
        <w:t> </w:t>
      </w:r>
      <w:r>
        <w:rPr>
          <w:rFonts w:ascii="Arial" w:hAnsi="Arial"/>
          <w:sz w:val="24"/>
        </w:rPr>
        <w:t>nosso</w:t>
      </w:r>
      <w:r>
        <w:rPr>
          <w:rFonts w:ascii="Arial" w:hAnsi="Arial"/>
          <w:spacing w:val="-8"/>
          <w:sz w:val="24"/>
        </w:rPr>
        <w:t> </w:t>
      </w:r>
      <w:r>
        <w:rPr>
          <w:rFonts w:ascii="Arial" w:hAnsi="Arial"/>
          <w:sz w:val="24"/>
        </w:rPr>
        <w:t>relatório</w:t>
      </w:r>
      <w:r>
        <w:rPr>
          <w:rFonts w:ascii="Arial" w:hAnsi="Arial"/>
          <w:spacing w:val="-6"/>
          <w:sz w:val="24"/>
        </w:rPr>
        <w:t> </w:t>
      </w:r>
      <w:r>
        <w:rPr>
          <w:rFonts w:ascii="Arial" w:hAnsi="Arial"/>
          <w:sz w:val="24"/>
        </w:rPr>
        <w:t>de</w:t>
      </w:r>
      <w:r>
        <w:rPr>
          <w:rFonts w:ascii="Arial" w:hAnsi="Arial"/>
          <w:spacing w:val="-8"/>
          <w:sz w:val="24"/>
        </w:rPr>
        <w:t> </w:t>
      </w:r>
      <w:r>
        <w:rPr>
          <w:rFonts w:ascii="Arial" w:hAnsi="Arial"/>
          <w:sz w:val="24"/>
        </w:rPr>
        <w:t>auditoria</w:t>
      </w:r>
      <w:r>
        <w:rPr>
          <w:rFonts w:ascii="Arial" w:hAnsi="Arial"/>
          <w:spacing w:val="-8"/>
          <w:sz w:val="24"/>
        </w:rPr>
        <w:t> </w:t>
      </w:r>
      <w:r>
        <w:rPr>
          <w:rFonts w:ascii="Arial" w:hAnsi="Arial"/>
          <w:sz w:val="24"/>
        </w:rPr>
        <w:t>para</w:t>
      </w:r>
      <w:r>
        <w:rPr>
          <w:rFonts w:ascii="Arial" w:hAnsi="Arial"/>
          <w:spacing w:val="-9"/>
          <w:sz w:val="24"/>
        </w:rPr>
        <w:t> </w:t>
      </w:r>
      <w:r>
        <w:rPr>
          <w:rFonts w:ascii="Arial" w:hAnsi="Arial"/>
          <w:sz w:val="24"/>
        </w:rPr>
        <w:t>as</w:t>
      </w:r>
      <w:r>
        <w:rPr>
          <w:rFonts w:ascii="Arial" w:hAnsi="Arial"/>
          <w:spacing w:val="-7"/>
          <w:sz w:val="24"/>
        </w:rPr>
        <w:t> </w:t>
      </w:r>
      <w:r>
        <w:rPr>
          <w:rFonts w:ascii="Arial" w:hAnsi="Arial"/>
          <w:sz w:val="24"/>
        </w:rPr>
        <w:t>respectivas divulgações nas demonstrações contábeis individuais e consolidadas ou incluir modificação em nossa opinião, se as divulgações forem inadequadas. Nossas</w:t>
      </w:r>
      <w:r>
        <w:rPr>
          <w:rFonts w:ascii="Arial" w:hAnsi="Arial"/>
          <w:spacing w:val="-8"/>
          <w:sz w:val="24"/>
        </w:rPr>
        <w:t> </w:t>
      </w:r>
      <w:r>
        <w:rPr>
          <w:rFonts w:ascii="Arial" w:hAnsi="Arial"/>
          <w:sz w:val="24"/>
        </w:rPr>
        <w:t>conclusões</w:t>
      </w:r>
      <w:r>
        <w:rPr>
          <w:rFonts w:ascii="Arial" w:hAnsi="Arial"/>
          <w:spacing w:val="-9"/>
          <w:sz w:val="24"/>
        </w:rPr>
        <w:t> </w:t>
      </w:r>
      <w:r>
        <w:rPr>
          <w:rFonts w:ascii="Arial" w:hAnsi="Arial"/>
          <w:sz w:val="24"/>
        </w:rPr>
        <w:t>estão</w:t>
      </w:r>
      <w:r>
        <w:rPr>
          <w:rFonts w:ascii="Arial" w:hAnsi="Arial"/>
          <w:spacing w:val="-8"/>
          <w:sz w:val="24"/>
        </w:rPr>
        <w:t> </w:t>
      </w:r>
      <w:r>
        <w:rPr>
          <w:rFonts w:ascii="Arial" w:hAnsi="Arial"/>
          <w:sz w:val="24"/>
        </w:rPr>
        <w:t>fundamentadas</w:t>
      </w:r>
      <w:r>
        <w:rPr>
          <w:rFonts w:ascii="Arial" w:hAnsi="Arial"/>
          <w:spacing w:val="-10"/>
          <w:sz w:val="24"/>
        </w:rPr>
        <w:t> </w:t>
      </w:r>
      <w:r>
        <w:rPr>
          <w:rFonts w:ascii="Arial" w:hAnsi="Arial"/>
          <w:sz w:val="24"/>
        </w:rPr>
        <w:t>nas</w:t>
      </w:r>
      <w:r>
        <w:rPr>
          <w:rFonts w:ascii="Arial" w:hAnsi="Arial"/>
          <w:spacing w:val="-9"/>
          <w:sz w:val="24"/>
        </w:rPr>
        <w:t> </w:t>
      </w:r>
      <w:r>
        <w:rPr>
          <w:rFonts w:ascii="Arial" w:hAnsi="Arial"/>
          <w:sz w:val="24"/>
        </w:rPr>
        <w:t>evidências</w:t>
      </w:r>
      <w:r>
        <w:rPr>
          <w:rFonts w:ascii="Arial" w:hAnsi="Arial"/>
          <w:spacing w:val="-9"/>
          <w:sz w:val="24"/>
        </w:rPr>
        <w:t> </w:t>
      </w:r>
      <w:r>
        <w:rPr>
          <w:rFonts w:ascii="Arial" w:hAnsi="Arial"/>
          <w:sz w:val="24"/>
        </w:rPr>
        <w:t>de</w:t>
      </w:r>
      <w:r>
        <w:rPr>
          <w:rFonts w:ascii="Arial" w:hAnsi="Arial"/>
          <w:spacing w:val="-8"/>
          <w:sz w:val="24"/>
        </w:rPr>
        <w:t> </w:t>
      </w:r>
      <w:r>
        <w:rPr>
          <w:rFonts w:ascii="Arial" w:hAnsi="Arial"/>
          <w:sz w:val="24"/>
        </w:rPr>
        <w:t>auditoria</w:t>
      </w:r>
      <w:r>
        <w:rPr>
          <w:rFonts w:ascii="Arial" w:hAnsi="Arial"/>
          <w:spacing w:val="-7"/>
          <w:sz w:val="24"/>
        </w:rPr>
        <w:t> </w:t>
      </w:r>
      <w:r>
        <w:rPr>
          <w:rFonts w:ascii="Arial" w:hAnsi="Arial"/>
          <w:sz w:val="24"/>
        </w:rPr>
        <w:t>obtidas até a data de nosso relatório. Todavia, eventos ou condições futuras podem levar a Companhia a não mais se manterem em continuidade</w:t>
      </w:r>
      <w:r>
        <w:rPr>
          <w:rFonts w:ascii="Arial" w:hAnsi="Arial"/>
          <w:spacing w:val="-22"/>
          <w:sz w:val="24"/>
        </w:rPr>
        <w:t> </w:t>
      </w:r>
      <w:r>
        <w:rPr>
          <w:rFonts w:ascii="Arial" w:hAnsi="Arial"/>
          <w:sz w:val="24"/>
        </w:rPr>
        <w:t>operacional;</w:t>
      </w:r>
    </w:p>
    <w:p>
      <w:pPr>
        <w:pStyle w:val="ListParagraph"/>
        <w:numPr>
          <w:ilvl w:val="0"/>
          <w:numId w:val="51"/>
        </w:numPr>
        <w:tabs>
          <w:tab w:pos="386" w:val="left" w:leader="none"/>
        </w:tabs>
        <w:spacing w:line="240" w:lineRule="auto" w:before="57" w:after="0"/>
        <w:ind w:left="385" w:right="126" w:hanging="284"/>
        <w:jc w:val="both"/>
        <w:rPr>
          <w:rFonts w:ascii="Arial" w:hAnsi="Arial"/>
          <w:sz w:val="24"/>
        </w:rPr>
      </w:pPr>
      <w:r>
        <w:rPr>
          <w:rFonts w:ascii="Arial" w:hAnsi="Arial"/>
          <w:sz w:val="24"/>
        </w:rPr>
        <w:t>Avaliamos</w:t>
      </w:r>
      <w:r>
        <w:rPr>
          <w:rFonts w:ascii="Arial" w:hAnsi="Arial"/>
          <w:spacing w:val="-14"/>
          <w:sz w:val="24"/>
        </w:rPr>
        <w:t> </w:t>
      </w:r>
      <w:r>
        <w:rPr>
          <w:rFonts w:ascii="Arial" w:hAnsi="Arial"/>
          <w:sz w:val="24"/>
        </w:rPr>
        <w:t>a</w:t>
      </w:r>
      <w:r>
        <w:rPr>
          <w:rFonts w:ascii="Arial" w:hAnsi="Arial"/>
          <w:spacing w:val="-13"/>
          <w:sz w:val="24"/>
        </w:rPr>
        <w:t> </w:t>
      </w:r>
      <w:r>
        <w:rPr>
          <w:rFonts w:ascii="Arial" w:hAnsi="Arial"/>
          <w:sz w:val="24"/>
        </w:rPr>
        <w:t>apresentação</w:t>
      </w:r>
      <w:r>
        <w:rPr>
          <w:rFonts w:ascii="Arial" w:hAnsi="Arial"/>
          <w:spacing w:val="-13"/>
          <w:sz w:val="24"/>
        </w:rPr>
        <w:t> </w:t>
      </w:r>
      <w:r>
        <w:rPr>
          <w:rFonts w:ascii="Arial" w:hAnsi="Arial"/>
          <w:sz w:val="24"/>
        </w:rPr>
        <w:t>geral,</w:t>
      </w:r>
      <w:r>
        <w:rPr>
          <w:rFonts w:ascii="Arial" w:hAnsi="Arial"/>
          <w:spacing w:val="-15"/>
          <w:sz w:val="24"/>
        </w:rPr>
        <w:t> </w:t>
      </w:r>
      <w:r>
        <w:rPr>
          <w:rFonts w:ascii="Arial" w:hAnsi="Arial"/>
          <w:sz w:val="24"/>
        </w:rPr>
        <w:t>a</w:t>
      </w:r>
      <w:r>
        <w:rPr>
          <w:rFonts w:ascii="Arial" w:hAnsi="Arial"/>
          <w:spacing w:val="-13"/>
          <w:sz w:val="24"/>
        </w:rPr>
        <w:t> </w:t>
      </w:r>
      <w:r>
        <w:rPr>
          <w:rFonts w:ascii="Arial" w:hAnsi="Arial"/>
          <w:sz w:val="24"/>
        </w:rPr>
        <w:t>estrutura</w:t>
      </w:r>
      <w:r>
        <w:rPr>
          <w:rFonts w:ascii="Arial" w:hAnsi="Arial"/>
          <w:spacing w:val="-14"/>
          <w:sz w:val="24"/>
        </w:rPr>
        <w:t> </w:t>
      </w:r>
      <w:r>
        <w:rPr>
          <w:rFonts w:ascii="Arial" w:hAnsi="Arial"/>
          <w:sz w:val="24"/>
        </w:rPr>
        <w:t>e</w:t>
      </w:r>
      <w:r>
        <w:rPr>
          <w:rFonts w:ascii="Arial" w:hAnsi="Arial"/>
          <w:spacing w:val="-15"/>
          <w:sz w:val="24"/>
        </w:rPr>
        <w:t> </w:t>
      </w:r>
      <w:r>
        <w:rPr>
          <w:rFonts w:ascii="Arial" w:hAnsi="Arial"/>
          <w:sz w:val="24"/>
        </w:rPr>
        <w:t>o</w:t>
      </w:r>
      <w:r>
        <w:rPr>
          <w:rFonts w:ascii="Arial" w:hAnsi="Arial"/>
          <w:spacing w:val="-12"/>
          <w:sz w:val="24"/>
        </w:rPr>
        <w:t> </w:t>
      </w:r>
      <w:r>
        <w:rPr>
          <w:rFonts w:ascii="Arial" w:hAnsi="Arial"/>
          <w:sz w:val="24"/>
        </w:rPr>
        <w:t>conteúdo</w:t>
      </w:r>
      <w:r>
        <w:rPr>
          <w:rFonts w:ascii="Arial" w:hAnsi="Arial"/>
          <w:spacing w:val="-13"/>
          <w:sz w:val="24"/>
        </w:rPr>
        <w:t> </w:t>
      </w:r>
      <w:r>
        <w:rPr>
          <w:rFonts w:ascii="Arial" w:hAnsi="Arial"/>
          <w:sz w:val="24"/>
        </w:rPr>
        <w:t>das</w:t>
      </w:r>
      <w:r>
        <w:rPr>
          <w:rFonts w:ascii="Arial" w:hAnsi="Arial"/>
          <w:spacing w:val="-14"/>
          <w:sz w:val="24"/>
        </w:rPr>
        <w:t> </w:t>
      </w:r>
      <w:r>
        <w:rPr>
          <w:rFonts w:ascii="Arial" w:hAnsi="Arial"/>
          <w:sz w:val="24"/>
        </w:rPr>
        <w:t>demonstrações contábeis, inclusive as divulgações e se as demonstrações contábeis individuais e consolidadas representam as correspondentes transações e os eventos de maneira compatível com o objetivo de apresentação</w:t>
      </w:r>
      <w:r>
        <w:rPr>
          <w:rFonts w:ascii="Arial" w:hAnsi="Arial"/>
          <w:spacing w:val="-24"/>
          <w:sz w:val="24"/>
        </w:rPr>
        <w:t> </w:t>
      </w:r>
      <w:r>
        <w:rPr>
          <w:rFonts w:ascii="Arial" w:hAnsi="Arial"/>
          <w:sz w:val="24"/>
        </w:rPr>
        <w:t>adequada;</w:t>
      </w:r>
    </w:p>
    <w:p>
      <w:pPr>
        <w:pStyle w:val="ListParagraph"/>
        <w:numPr>
          <w:ilvl w:val="0"/>
          <w:numId w:val="51"/>
        </w:numPr>
        <w:tabs>
          <w:tab w:pos="386" w:val="left" w:leader="none"/>
        </w:tabs>
        <w:spacing w:line="240" w:lineRule="auto" w:before="59" w:after="0"/>
        <w:ind w:left="385" w:right="127" w:hanging="284"/>
        <w:jc w:val="both"/>
        <w:rPr>
          <w:rFonts w:ascii="Arial" w:hAnsi="Arial"/>
          <w:sz w:val="24"/>
        </w:rPr>
      </w:pPr>
      <w:r>
        <w:rPr>
          <w:rFonts w:ascii="Arial" w:hAnsi="Arial"/>
          <w:sz w:val="24"/>
        </w:rPr>
        <w:t>Obtivemos evidência de auditoria apropriada e suficiente referente às informações</w:t>
      </w:r>
      <w:r>
        <w:rPr>
          <w:rFonts w:ascii="Arial" w:hAnsi="Arial"/>
          <w:spacing w:val="-21"/>
          <w:sz w:val="24"/>
        </w:rPr>
        <w:t> </w:t>
      </w:r>
      <w:r>
        <w:rPr>
          <w:rFonts w:ascii="Arial" w:hAnsi="Arial"/>
          <w:sz w:val="24"/>
        </w:rPr>
        <w:t>financeiras</w:t>
      </w:r>
      <w:r>
        <w:rPr>
          <w:rFonts w:ascii="Arial" w:hAnsi="Arial"/>
          <w:spacing w:val="-20"/>
          <w:sz w:val="24"/>
        </w:rPr>
        <w:t> </w:t>
      </w:r>
      <w:r>
        <w:rPr>
          <w:rFonts w:ascii="Arial" w:hAnsi="Arial"/>
          <w:sz w:val="24"/>
        </w:rPr>
        <w:t>das</w:t>
      </w:r>
      <w:r>
        <w:rPr>
          <w:rFonts w:ascii="Arial" w:hAnsi="Arial"/>
          <w:spacing w:val="-20"/>
          <w:sz w:val="24"/>
        </w:rPr>
        <w:t> </w:t>
      </w:r>
      <w:r>
        <w:rPr>
          <w:rFonts w:ascii="Arial" w:hAnsi="Arial"/>
          <w:sz w:val="24"/>
        </w:rPr>
        <w:t>entidades</w:t>
      </w:r>
      <w:r>
        <w:rPr>
          <w:rFonts w:ascii="Arial" w:hAnsi="Arial"/>
          <w:spacing w:val="-20"/>
          <w:sz w:val="24"/>
        </w:rPr>
        <w:t> </w:t>
      </w:r>
      <w:r>
        <w:rPr>
          <w:rFonts w:ascii="Arial" w:hAnsi="Arial"/>
          <w:sz w:val="24"/>
        </w:rPr>
        <w:t>ou</w:t>
      </w:r>
      <w:r>
        <w:rPr>
          <w:rFonts w:ascii="Arial" w:hAnsi="Arial"/>
          <w:spacing w:val="-19"/>
          <w:sz w:val="24"/>
        </w:rPr>
        <w:t> </w:t>
      </w:r>
      <w:r>
        <w:rPr>
          <w:rFonts w:ascii="Arial" w:hAnsi="Arial"/>
          <w:sz w:val="24"/>
        </w:rPr>
        <w:t>atividades</w:t>
      </w:r>
      <w:r>
        <w:rPr>
          <w:rFonts w:ascii="Arial" w:hAnsi="Arial"/>
          <w:spacing w:val="-20"/>
          <w:sz w:val="24"/>
        </w:rPr>
        <w:t> </w:t>
      </w:r>
      <w:r>
        <w:rPr>
          <w:rFonts w:ascii="Arial" w:hAnsi="Arial"/>
          <w:sz w:val="24"/>
        </w:rPr>
        <w:t>de</w:t>
      </w:r>
      <w:r>
        <w:rPr>
          <w:rFonts w:ascii="Arial" w:hAnsi="Arial"/>
          <w:spacing w:val="-21"/>
          <w:sz w:val="24"/>
        </w:rPr>
        <w:t> </w:t>
      </w:r>
      <w:r>
        <w:rPr>
          <w:rFonts w:ascii="Arial" w:hAnsi="Arial"/>
          <w:sz w:val="24"/>
        </w:rPr>
        <w:t>negócio</w:t>
      </w:r>
      <w:r>
        <w:rPr>
          <w:rFonts w:ascii="Arial" w:hAnsi="Arial"/>
          <w:spacing w:val="-19"/>
          <w:sz w:val="24"/>
        </w:rPr>
        <w:t> </w:t>
      </w:r>
      <w:r>
        <w:rPr>
          <w:rFonts w:ascii="Arial" w:hAnsi="Arial"/>
          <w:sz w:val="24"/>
        </w:rPr>
        <w:t>do</w:t>
      </w:r>
      <w:r>
        <w:rPr>
          <w:rFonts w:ascii="Arial" w:hAnsi="Arial"/>
          <w:spacing w:val="-19"/>
          <w:sz w:val="24"/>
        </w:rPr>
        <w:t> </w:t>
      </w:r>
      <w:r>
        <w:rPr>
          <w:rFonts w:ascii="Arial" w:hAnsi="Arial"/>
          <w:sz w:val="24"/>
        </w:rPr>
        <w:t>grupo</w:t>
      </w:r>
      <w:r>
        <w:rPr>
          <w:rFonts w:ascii="Arial" w:hAnsi="Arial"/>
          <w:spacing w:val="-20"/>
          <w:sz w:val="24"/>
        </w:rPr>
        <w:t> </w:t>
      </w:r>
      <w:r>
        <w:rPr>
          <w:rFonts w:ascii="Arial" w:hAnsi="Arial"/>
          <w:sz w:val="24"/>
        </w:rPr>
        <w:t>para expressar uma opinião sobre as demonstrações contábeis individuais e consolidadas. Somos responsáveis pela direção, supervisão e desempenho da auditoria do grupo e, consequentemente, pela opinião de</w:t>
      </w:r>
      <w:r>
        <w:rPr>
          <w:rFonts w:ascii="Arial" w:hAnsi="Arial"/>
          <w:spacing w:val="-15"/>
          <w:sz w:val="24"/>
        </w:rPr>
        <w:t> </w:t>
      </w:r>
      <w:r>
        <w:rPr>
          <w:rFonts w:ascii="Arial" w:hAnsi="Arial"/>
          <w:sz w:val="24"/>
        </w:rPr>
        <w:t>auditoria.</w:t>
      </w:r>
    </w:p>
    <w:p>
      <w:pPr>
        <w:spacing w:after="0" w:line="240" w:lineRule="auto"/>
        <w:jc w:val="both"/>
        <w:rPr>
          <w:rFonts w:ascii="Arial" w:hAnsi="Arial"/>
          <w:sz w:val="24"/>
        </w:rPr>
        <w:sectPr>
          <w:headerReference w:type="default" r:id="rId117"/>
          <w:footerReference w:type="default" r:id="rId118"/>
          <w:pgSz w:w="11910" w:h="16840"/>
          <w:pgMar w:header="0" w:footer="0" w:top="1580" w:bottom="280" w:left="1600" w:right="1580"/>
        </w:sectPr>
      </w:pPr>
    </w:p>
    <w:p>
      <w:pPr>
        <w:pStyle w:val="BodyText"/>
        <w:rPr>
          <w:rFonts w:ascii="Arial"/>
        </w:rPr>
      </w:pPr>
    </w:p>
    <w:p>
      <w:pPr>
        <w:pStyle w:val="BodyText"/>
        <w:rPr>
          <w:rFonts w:ascii="Arial"/>
        </w:rPr>
      </w:pPr>
    </w:p>
    <w:p>
      <w:pPr>
        <w:spacing w:before="210"/>
        <w:ind w:left="102" w:right="117" w:firstLine="0"/>
        <w:jc w:val="both"/>
        <w:rPr>
          <w:rFonts w:ascii="Arial" w:hAnsi="Arial"/>
          <w:sz w:val="24"/>
        </w:rPr>
      </w:pPr>
      <w:r>
        <w:rPr>
          <w:rFonts w:ascii="Arial" w:hAnsi="Arial"/>
          <w:sz w:val="24"/>
        </w:rPr>
        <w:t>Comunicamo-nos</w:t>
      </w:r>
      <w:r>
        <w:rPr>
          <w:rFonts w:ascii="Arial" w:hAnsi="Arial"/>
          <w:spacing w:val="-12"/>
          <w:sz w:val="24"/>
        </w:rPr>
        <w:t> </w:t>
      </w:r>
      <w:r>
        <w:rPr>
          <w:rFonts w:ascii="Arial" w:hAnsi="Arial"/>
          <w:sz w:val="24"/>
        </w:rPr>
        <w:t>com</w:t>
      </w:r>
      <w:r>
        <w:rPr>
          <w:rFonts w:ascii="Arial" w:hAnsi="Arial"/>
          <w:spacing w:val="-13"/>
          <w:sz w:val="24"/>
        </w:rPr>
        <w:t> </w:t>
      </w:r>
      <w:r>
        <w:rPr>
          <w:rFonts w:ascii="Arial" w:hAnsi="Arial"/>
          <w:sz w:val="24"/>
        </w:rPr>
        <w:t>os</w:t>
      </w:r>
      <w:r>
        <w:rPr>
          <w:rFonts w:ascii="Arial" w:hAnsi="Arial"/>
          <w:spacing w:val="-12"/>
          <w:sz w:val="24"/>
        </w:rPr>
        <w:t> </w:t>
      </w:r>
      <w:r>
        <w:rPr>
          <w:rFonts w:ascii="Arial" w:hAnsi="Arial"/>
          <w:sz w:val="24"/>
        </w:rPr>
        <w:t>responsáveis</w:t>
      </w:r>
      <w:r>
        <w:rPr>
          <w:rFonts w:ascii="Arial" w:hAnsi="Arial"/>
          <w:spacing w:val="-12"/>
          <w:sz w:val="24"/>
        </w:rPr>
        <w:t> </w:t>
      </w:r>
      <w:r>
        <w:rPr>
          <w:rFonts w:ascii="Arial" w:hAnsi="Arial"/>
          <w:sz w:val="24"/>
        </w:rPr>
        <w:t>pela</w:t>
      </w:r>
      <w:r>
        <w:rPr>
          <w:rFonts w:ascii="Arial" w:hAnsi="Arial"/>
          <w:spacing w:val="-11"/>
          <w:sz w:val="24"/>
        </w:rPr>
        <w:t> </w:t>
      </w:r>
      <w:r>
        <w:rPr>
          <w:rFonts w:ascii="Arial" w:hAnsi="Arial"/>
          <w:sz w:val="24"/>
        </w:rPr>
        <w:t>governança</w:t>
      </w:r>
      <w:r>
        <w:rPr>
          <w:rFonts w:ascii="Arial" w:hAnsi="Arial"/>
          <w:spacing w:val="-11"/>
          <w:sz w:val="24"/>
        </w:rPr>
        <w:t> </w:t>
      </w:r>
      <w:r>
        <w:rPr>
          <w:rFonts w:ascii="Arial" w:hAnsi="Arial"/>
          <w:sz w:val="24"/>
        </w:rPr>
        <w:t>a</w:t>
      </w:r>
      <w:r>
        <w:rPr>
          <w:rFonts w:ascii="Arial" w:hAnsi="Arial"/>
          <w:spacing w:val="-11"/>
          <w:sz w:val="24"/>
        </w:rPr>
        <w:t> </w:t>
      </w:r>
      <w:r>
        <w:rPr>
          <w:rFonts w:ascii="Arial" w:hAnsi="Arial"/>
          <w:sz w:val="24"/>
        </w:rPr>
        <w:t>respeito,</w:t>
      </w:r>
      <w:r>
        <w:rPr>
          <w:rFonts w:ascii="Arial" w:hAnsi="Arial"/>
          <w:spacing w:val="-13"/>
          <w:sz w:val="24"/>
        </w:rPr>
        <w:t> </w:t>
      </w:r>
      <w:r>
        <w:rPr>
          <w:rFonts w:ascii="Arial" w:hAnsi="Arial"/>
          <w:sz w:val="24"/>
        </w:rPr>
        <w:t>entre</w:t>
      </w:r>
      <w:r>
        <w:rPr>
          <w:rFonts w:ascii="Arial" w:hAnsi="Arial"/>
          <w:spacing w:val="-11"/>
          <w:sz w:val="24"/>
        </w:rPr>
        <w:t> </w:t>
      </w:r>
      <w:r>
        <w:rPr>
          <w:rFonts w:ascii="Arial" w:hAnsi="Arial"/>
          <w:sz w:val="24"/>
        </w:rPr>
        <w:t>outros aspectos, do alcance e da época dos trabalhos de auditoria planejados e das constatações significativas de auditoria, inclusive as deficiências significativas nos controles internos que, eventualmente, tenham sido identificadas durante nossos</w:t>
      </w:r>
      <w:r>
        <w:rPr>
          <w:rFonts w:ascii="Arial" w:hAnsi="Arial"/>
          <w:spacing w:val="-3"/>
          <w:sz w:val="24"/>
        </w:rPr>
        <w:t> </w:t>
      </w:r>
      <w:r>
        <w:rPr>
          <w:rFonts w:ascii="Arial" w:hAnsi="Arial"/>
          <w:sz w:val="24"/>
        </w:rPr>
        <w:t>trabalhos.</w:t>
      </w:r>
    </w:p>
    <w:p>
      <w:pPr>
        <w:pStyle w:val="BodyText"/>
        <w:rPr>
          <w:rFonts w:ascii="Arial"/>
          <w:sz w:val="26"/>
        </w:rPr>
      </w:pPr>
    </w:p>
    <w:p>
      <w:pPr>
        <w:pStyle w:val="BodyText"/>
        <w:rPr>
          <w:rFonts w:ascii="Arial"/>
          <w:sz w:val="22"/>
        </w:rPr>
      </w:pPr>
    </w:p>
    <w:p>
      <w:pPr>
        <w:spacing w:before="0"/>
        <w:ind w:left="2548" w:right="2566" w:firstLine="0"/>
        <w:jc w:val="center"/>
        <w:rPr>
          <w:rFonts w:ascii="Arial" w:hAnsi="Arial"/>
          <w:sz w:val="24"/>
        </w:rPr>
      </w:pPr>
      <w:r>
        <w:rPr>
          <w:rFonts w:ascii="Arial" w:hAnsi="Arial"/>
          <w:sz w:val="24"/>
        </w:rPr>
        <w:t>São Paulo, 24 de março de 2020.</w:t>
      </w:r>
    </w:p>
    <w:p>
      <w:pPr>
        <w:pStyle w:val="BodyText"/>
        <w:rPr>
          <w:rFonts w:ascii="Arial"/>
          <w:sz w:val="24"/>
        </w:rPr>
      </w:pPr>
    </w:p>
    <w:p>
      <w:pPr>
        <w:spacing w:before="0"/>
        <w:ind w:left="2373" w:right="2390" w:hanging="3"/>
        <w:jc w:val="center"/>
        <w:rPr>
          <w:rFonts w:ascii="Arial" w:hAnsi="Arial"/>
          <w:sz w:val="24"/>
        </w:rPr>
      </w:pPr>
      <w:r>
        <w:rPr>
          <w:rFonts w:ascii="Arial" w:hAnsi="Arial"/>
          <w:sz w:val="24"/>
        </w:rPr>
        <w:t>RUSSELL BEDFORD BRASIL AUDITORES INDEPENDENTES S/S 2 CRCRS 5.460/O-0 “T” SP</w:t>
      </w:r>
    </w:p>
    <w:p>
      <w:pPr>
        <w:pStyle w:val="BodyText"/>
        <w:rPr>
          <w:rFonts w:ascii="Arial"/>
          <w:sz w:val="26"/>
        </w:rPr>
      </w:pPr>
    </w:p>
    <w:p>
      <w:pPr>
        <w:pStyle w:val="BodyText"/>
        <w:rPr>
          <w:rFonts w:ascii="Arial"/>
          <w:sz w:val="26"/>
        </w:rPr>
      </w:pPr>
    </w:p>
    <w:p>
      <w:pPr>
        <w:pStyle w:val="BodyText"/>
        <w:rPr>
          <w:rFonts w:ascii="Arial"/>
          <w:sz w:val="26"/>
        </w:rPr>
      </w:pPr>
    </w:p>
    <w:p>
      <w:pPr>
        <w:pStyle w:val="BodyText"/>
        <w:rPr>
          <w:rFonts w:ascii="Arial"/>
          <w:sz w:val="26"/>
        </w:rPr>
      </w:pPr>
    </w:p>
    <w:p>
      <w:pPr>
        <w:spacing w:before="185"/>
        <w:ind w:left="2286" w:right="2289" w:firstLine="753"/>
        <w:jc w:val="left"/>
        <w:rPr>
          <w:rFonts w:ascii="Arial" w:hAnsi="Arial"/>
          <w:sz w:val="24"/>
        </w:rPr>
      </w:pPr>
      <w:r>
        <w:rPr>
          <w:rFonts w:ascii="Arial" w:hAnsi="Arial"/>
          <w:sz w:val="24"/>
        </w:rPr>
        <w:t>Roger Maciel de Oliveira Contador 1 CRCRS 71.505/O-3 “T” SP</w:t>
      </w:r>
    </w:p>
    <w:p>
      <w:pPr>
        <w:spacing w:before="0"/>
        <w:ind w:left="2548" w:right="2566" w:firstLine="0"/>
        <w:jc w:val="center"/>
        <w:rPr>
          <w:rFonts w:ascii="Arial" w:hAnsi="Arial"/>
          <w:sz w:val="24"/>
        </w:rPr>
      </w:pPr>
      <w:r>
        <w:rPr>
          <w:rFonts w:ascii="Arial" w:hAnsi="Arial"/>
          <w:sz w:val="24"/>
        </w:rPr>
        <w:t>Sócio Responsável Técnico</w:t>
      </w:r>
    </w:p>
    <w:sectPr>
      <w:headerReference w:type="default" r:id="rId119"/>
      <w:footerReference w:type="default" r:id="rId120"/>
      <w:pgSz w:w="11910" w:h="16840"/>
      <w:pgMar w:header="0" w:footer="0" w:top="1580" w:bottom="280" w:left="1600" w:right="1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Trebuchet MS">
    <w:altName w:val="Trebuchet MS"/>
    <w:charset w:val="0"/>
    <w:family w:val="swiss"/>
    <w:pitch w:val="variable"/>
  </w:font>
  <w:font w:name="Georgia">
    <w:altName w:val="Georgia"/>
    <w:charset w:val="0"/>
    <w:family w:val="roman"/>
    <w:pitch w:val="variable"/>
  </w:font>
  <w:font w:name="Verdana">
    <w:altName w:val="Verdana"/>
    <w:charset w:val="0"/>
    <w:family w:val="swiss"/>
    <w:pitch w:val="variable"/>
  </w:font>
  <w:font w:name="Wingdings">
    <w:altName w:val="Wingdings"/>
    <w:charset w:val="2"/>
    <w:family w:val="auto"/>
    <w:pitch w:val="variable"/>
  </w:font>
  <w:font w:name="Caladea">
    <w:altName w:val="Caladea"/>
    <w:charset w:val="0"/>
    <w:family w:val="roman"/>
    <w:pitch w:val="variable"/>
  </w:font>
  <w:font w:name="Caladea">
    <w:altName w:val="Caladea"/>
    <w:charset w:val="0"/>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6.039978pt;margin-top:816.442139pt;width:11.55pt;height:14.25pt;mso-position-horizontal-relative:page;mso-position-vertical-relative:page;z-index:-32487424"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w w:val="100"/>
                    <w:sz w:val="22"/>
                  </w:rPr>
                  <w:instrText> PAGE </w:instrText>
                </w:r>
                <w:r>
                  <w:rPr/>
                  <w:fldChar w:fldCharType="separate"/>
                </w:r>
                <w:r>
                  <w:rPr/>
                  <w:t>3</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5888"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10</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4864"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11</w:t>
                </w:r>
                <w:r>
                  <w:rPr/>
                  <w:fldChar w:fldCharType="end"/>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3328"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13</w:t>
                </w:r>
                <w:r>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2816"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15</w:t>
                </w:r>
                <w:r>
                  <w:rPr/>
                  <w:fldChar w:fldCharType="end"/>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2304"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16</w:t>
                </w:r>
                <w:r>
                  <w:rPr/>
                  <w:fldChar w:fldCharType="end"/>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1792"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17</w:t>
                </w:r>
                <w:r>
                  <w:rPr/>
                  <w:fldChar w:fldCharType="end"/>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1280"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18</w:t>
                </w:r>
                <w:r>
                  <w:rPr/>
                  <w:fldChar w:fldCharType="end"/>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80768"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19</w:t>
                </w:r>
                <w:r>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9232"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20</w:t>
                </w:r>
                <w:r>
                  <w:rPr/>
                  <w:fldChar w:fldCharType="end"/>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8720"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22</w:t>
                </w:r>
                <w:r>
                  <w:rPr/>
                  <w:fldChar w:fldCharType="end"/>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8208"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23</w:t>
                </w:r>
                <w:r>
                  <w:rPr/>
                  <w:fldChar w:fldCharType="end"/>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7696"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24</w:t>
                </w:r>
                <w:r>
                  <w:rPr/>
                  <w:fldChar w:fldCharType="end"/>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6160"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25</w:t>
                </w:r>
                <w:r>
                  <w:rPr/>
                  <w:fldChar w:fldCharType="end"/>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5648"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27</w:t>
                </w:r>
                <w:r>
                  <w:rPr/>
                  <w:fldChar w:fldCharType="end"/>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5136"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28</w:t>
                </w:r>
                <w:r>
                  <w:rPr/>
                  <w:fldChar w:fldCharType="end"/>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4624"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29</w:t>
                </w:r>
                <w:r>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60.520020pt;margin-top:816.442139pt;width:17.05pt;height:14.25pt;mso-position-horizontal-relative:page;mso-position-vertical-relative:page;z-index:-32474112" type="#_x0000_t202" filled="false" stroked="false">
          <v:textbox inset="0,0,0,0">
            <w:txbxContent>
              <w:p>
                <w:pPr>
                  <w:spacing w:before="11"/>
                  <w:ind w:left="60" w:right="0" w:firstLine="0"/>
                  <w:jc w:val="left"/>
                  <w:rPr>
                    <w:rFonts w:ascii="Times New Roman"/>
                    <w:sz w:val="22"/>
                  </w:rPr>
                </w:pPr>
                <w:r>
                  <w:rPr/>
                  <w:fldChar w:fldCharType="begin"/>
                </w:r>
                <w:r>
                  <w:rPr>
                    <w:rFonts w:ascii="Times New Roman"/>
                    <w:sz w:val="22"/>
                  </w:rPr>
                  <w:instrText> PAGE </w:instrText>
                </w:r>
                <w:r>
                  <w:rPr/>
                  <w:fldChar w:fldCharType="separate"/>
                </w:r>
                <w:r>
                  <w:rPr/>
                  <w:t>30</w:t>
                </w:r>
                <w:r>
                  <w:rPr/>
                  <w:fldChar w:fldCharType="end"/>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777.340027pt;margin-top:520.860535pt;width:11pt;height:13.05pt;mso-position-horizontal-relative:page;mso-position-vertical-relative:page;z-index:-32472576" type="#_x0000_t202" filled="false" stroked="false">
          <v:textbox inset="0,0,0,0">
            <w:txbxContent>
              <w:p>
                <w:pPr>
                  <w:pStyle w:val="BodyText"/>
                  <w:spacing w:before="10"/>
                  <w:ind w:left="60"/>
                  <w:rPr>
                    <w:rFonts w:ascii="Times New Roman"/>
                  </w:rPr>
                </w:pPr>
                <w:r>
                  <w:rPr/>
                  <w:fldChar w:fldCharType="begin"/>
                </w:r>
                <w:r>
                  <w:rPr>
                    <w:rFonts w:ascii="Times New Roman"/>
                    <w:w w:val="99"/>
                  </w:rPr>
                  <w:instrText> PAGE </w:instrText>
                </w:r>
                <w:r>
                  <w:rPr/>
                  <w:fldChar w:fldCharType="separate"/>
                </w:r>
                <w:r>
                  <w:rPr/>
                  <w:t>5</w:t>
                </w:r>
                <w:r>
                  <w:rPr/>
                  <w:fldChar w:fldCharType="end"/>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777.340027pt;margin-top:520.860535pt;width:11pt;height:13.05pt;mso-position-horizontal-relative:page;mso-position-vertical-relative:page;z-index:-32471040" type="#_x0000_t202" filled="false" stroked="false">
          <v:textbox inset="0,0,0,0">
            <w:txbxContent>
              <w:p>
                <w:pPr>
                  <w:pStyle w:val="BodyText"/>
                  <w:spacing w:before="10"/>
                  <w:ind w:left="60"/>
                  <w:rPr>
                    <w:rFonts w:ascii="Times New Roman"/>
                  </w:rPr>
                </w:pPr>
                <w:r>
                  <w:rPr/>
                  <w:fldChar w:fldCharType="begin"/>
                </w:r>
                <w:r>
                  <w:rPr>
                    <w:rFonts w:ascii="Times New Roman"/>
                    <w:w w:val="99"/>
                  </w:rPr>
                  <w:instrText> PAGE </w:instrText>
                </w:r>
                <w:r>
                  <w:rPr/>
                  <w:fldChar w:fldCharType="separate"/>
                </w:r>
                <w:r>
                  <w:rPr/>
                  <w:t>6</w:t>
                </w:r>
                <w:r>
                  <w:rPr/>
                  <w:fldChar w:fldCharType="end"/>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44.780029pt;margin-top:767.580505pt;width:11pt;height:13.05pt;mso-position-horizontal-relative:page;mso-position-vertical-relative:page;z-index:-32469504" type="#_x0000_t202" filled="false" stroked="false">
          <v:textbox inset="0,0,0,0">
            <w:txbxContent>
              <w:p>
                <w:pPr>
                  <w:pStyle w:val="BodyText"/>
                  <w:spacing w:before="10"/>
                  <w:ind w:left="60"/>
                  <w:rPr>
                    <w:rFonts w:ascii="Times New Roman"/>
                  </w:rPr>
                </w:pPr>
                <w:r>
                  <w:rPr/>
                  <w:fldChar w:fldCharType="begin"/>
                </w:r>
                <w:r>
                  <w:rPr>
                    <w:rFonts w:ascii="Times New Roman"/>
                    <w:w w:val="99"/>
                  </w:rPr>
                  <w:instrText> PAGE </w:instrText>
                </w:r>
                <w:r>
                  <w:rPr/>
                  <w:fldChar w:fldCharType="separate"/>
                </w:r>
                <w:r>
                  <w:rPr/>
                  <w:t>7</w:t>
                </w:r>
                <w:r>
                  <w:rPr/>
                  <w:fldChar w:fldCharType="end"/>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4"/>
      </w:rPr>
    </w:pPr>
    <w:r>
      <w:rPr/>
      <w:pict>
        <v:shape style="position:absolute;margin-left:539.979980pt;margin-top:767.580505pt;width:16.1pt;height:13.05pt;mso-position-horizontal-relative:page;mso-position-vertical-relative:page;z-index:-32467968"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15</w:t>
                </w:r>
                <w:r>
                  <w:rPr/>
                  <w:fldChar w:fldCharType="end"/>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772.419983pt;margin-top:520.860535pt;width:16.1pt;height:13.05pt;mso-position-horizontal-relative:page;mso-position-vertical-relative:page;z-index:-32466432"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39</w:t>
                </w:r>
                <w:r>
                  <w:rPr/>
                  <w:fldChar w:fldCharType="end"/>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9"/>
      </w:rPr>
    </w:pPr>
    <w:r>
      <w:rPr/>
      <w:pict>
        <v:shape style="position:absolute;margin-left:539.979980pt;margin-top:779.580505pt;width:16.1pt;height:13.05pt;mso-position-horizontal-relative:page;mso-position-vertical-relative:page;z-index:-32465408"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60</w:t>
                </w:r>
                <w:r>
                  <w:rPr/>
                  <w:fldChar w:fldCharType="end"/>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39.979980pt;margin-top:779.580505pt;width:16.1pt;height:13.05pt;mso-position-horizontal-relative:page;mso-position-vertical-relative:page;z-index:-32463872"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78</w:t>
                </w:r>
                <w:r>
                  <w:rPr/>
                  <w:fldChar w:fldCharType="end"/>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39.979980pt;margin-top:779.580505pt;width:16.1pt;height:13.05pt;mso-position-horizontal-relative:page;mso-position-vertical-relative:page;z-index:-32462848"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80</w:t>
                </w:r>
                <w:r>
                  <w:rPr/>
                  <w:fldChar w:fldCharType="end"/>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539.979980pt;margin-top:779.580505pt;width:16.1pt;height:13.05pt;mso-position-horizontal-relative:page;mso-position-vertical-relative:page;z-index:-32461312"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95</w:t>
                </w:r>
                <w:r>
                  <w:rPr/>
                  <w:fldChar w:fldCharType="end"/>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7"/>
      </w:rPr>
    </w:pPr>
    <w:r>
      <w:rPr/>
      <w:pict>
        <v:shape style="position:absolute;margin-left:534.940002pt;margin-top:779.580505pt;width:21.15pt;height:13.05pt;mso-position-horizontal-relative:page;mso-position-vertical-relative:page;z-index:-32460288" type="#_x0000_t202" filled="false" stroked="false">
          <v:textbox inset="0,0,0,0">
            <w:txbxContent>
              <w:p>
                <w:pPr>
                  <w:pStyle w:val="BodyText"/>
                  <w:spacing w:before="10"/>
                  <w:ind w:left="60"/>
                  <w:rPr>
                    <w:rFonts w:ascii="Times New Roman"/>
                  </w:rPr>
                </w:pPr>
                <w:r>
                  <w:rPr/>
                  <w:fldChar w:fldCharType="begin"/>
                </w:r>
                <w:r>
                  <w:rPr>
                    <w:rFonts w:ascii="Times New Roman"/>
                  </w:rPr>
                  <w:instrText> PAGE </w:instrText>
                </w:r>
                <w:r>
                  <w:rPr/>
                  <w:fldChar w:fldCharType="separate"/>
                </w:r>
                <w:r>
                  <w:rPr/>
                  <w:t>100</w:t>
                </w:r>
                <w:r>
                  <w:rPr/>
                  <w:fldChar w:fldCharType="end"/>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84.103996pt;margin-top:785.928345pt;width:241.4pt;height:8.75pt;mso-position-horizontal-relative:page;mso-position-vertical-relative:page;z-index:-32459264" type="#_x0000_t202" filled="false" stroked="false">
          <v:textbox inset="0,0,0,0">
            <w:txbxContent>
              <w:p>
                <w:pPr>
                  <w:spacing w:before="16"/>
                  <w:ind w:left="20" w:right="0" w:firstLine="0"/>
                  <w:jc w:val="left"/>
                  <w:rPr>
                    <w:rFonts w:ascii="Arial" w:hAnsi="Arial"/>
                    <w:sz w:val="12"/>
                  </w:rPr>
                </w:pPr>
                <w:r>
                  <w:rPr>
                    <w:rFonts w:ascii="Arial" w:hAnsi="Arial"/>
                    <w:sz w:val="12"/>
                  </w:rPr>
                  <w:t>Alfr/SOC/H_RD 026_24mar2019_2.533ªRO - Manifestação parecer auditor independente</w:t>
                </w:r>
              </w:p>
            </w:txbxContent>
          </v:textbox>
          <w10:wrap type="non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84.103996pt;margin-top:792.408325pt;width:172.95pt;height:8.75pt;mso-position-horizontal-relative:page;mso-position-vertical-relative:page;z-index:-32457728" type="#_x0000_t202" filled="false" stroked="false">
          <v:textbox inset="0,0,0,0">
            <w:txbxContent>
              <w:p>
                <w:pPr>
                  <w:spacing w:before="16"/>
                  <w:ind w:left="20" w:right="0" w:firstLine="0"/>
                  <w:jc w:val="left"/>
                  <w:rPr>
                    <w:rFonts w:ascii="Arial" w:hAnsi="Arial"/>
                    <w:sz w:val="12"/>
                  </w:rPr>
                </w:pPr>
                <w:r>
                  <w:rPr>
                    <w:rFonts w:ascii="Arial" w:hAnsi="Arial"/>
                    <w:sz w:val="12"/>
                  </w:rPr>
                  <w:t>Alfr/SOC/H_RD 020_90ªRE 2019_ (Destinação resultado 2019)</w:t>
                </w:r>
              </w:p>
            </w:txbxContent>
          </v:textbox>
          <w10:wrap type="non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29568">
          <wp:simplePos x="0" y="0"/>
          <wp:positionH relativeFrom="page">
            <wp:posOffset>822960</wp:posOffset>
          </wp:positionH>
          <wp:positionV relativeFrom="page">
            <wp:posOffset>345440</wp:posOffset>
          </wp:positionV>
          <wp:extent cx="983729" cy="469265"/>
          <wp:effectExtent l="0" t="0" r="0" b="0"/>
          <wp:wrapNone/>
          <wp:docPr id="23" name="image2.jpeg"/>
          <wp:cNvGraphicFramePr>
            <a:graphicFrameLocks noChangeAspect="1"/>
          </wp:cNvGraphicFramePr>
          <a:graphic>
            <a:graphicData uri="http://schemas.openxmlformats.org/drawingml/2006/picture">
              <pic:pic>
                <pic:nvPicPr>
                  <pic:cNvPr id="24" name="image2.jpeg"/>
                  <pic:cNvPicPr/>
                </pic:nvPicPr>
                <pic:blipFill>
                  <a:blip r:embed="rId1" cstate="print"/>
                  <a:stretch>
                    <a:fillRect/>
                  </a:stretch>
                </pic:blipFill>
                <pic:spPr>
                  <a:xfrm>
                    <a:off x="0" y="0"/>
                    <a:ext cx="983729" cy="469265"/>
                  </a:xfrm>
                  <a:prstGeom prst="rect">
                    <a:avLst/>
                  </a:prstGeom>
                </pic:spPr>
              </pic:pic>
            </a:graphicData>
          </a:graphic>
        </wp:anchor>
      </w:drawing>
    </w:r>
    <w:r>
      <w:rPr/>
      <w:pict>
        <v:rect style="position:absolute;margin-left:52.549999pt;margin-top:68.050018pt;width:503.85pt;height:.5pt;mso-position-horizontal-relative:page;mso-position-vertical-relative:page;z-index:-32486400" filled="true" fillcolor="#000080" stroked="false">
          <v:fill type="solid"/>
          <w10:wrap type="non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31104">
          <wp:simplePos x="0" y="0"/>
          <wp:positionH relativeFrom="page">
            <wp:posOffset>822960</wp:posOffset>
          </wp:positionH>
          <wp:positionV relativeFrom="page">
            <wp:posOffset>345440</wp:posOffset>
          </wp:positionV>
          <wp:extent cx="983729" cy="469265"/>
          <wp:effectExtent l="0" t="0" r="0" b="0"/>
          <wp:wrapNone/>
          <wp:docPr id="27" name="image2.jpeg"/>
          <wp:cNvGraphicFramePr>
            <a:graphicFrameLocks noChangeAspect="1"/>
          </wp:cNvGraphicFramePr>
          <a:graphic>
            <a:graphicData uri="http://schemas.openxmlformats.org/drawingml/2006/picture">
              <pic:pic>
                <pic:nvPicPr>
                  <pic:cNvPr id="28" name="image2.jpeg"/>
                  <pic:cNvPicPr/>
                </pic:nvPicPr>
                <pic:blipFill>
                  <a:blip r:embed="rId1" cstate="print"/>
                  <a:stretch>
                    <a:fillRect/>
                  </a:stretch>
                </pic:blipFill>
                <pic:spPr>
                  <a:xfrm>
                    <a:off x="0" y="0"/>
                    <a:ext cx="983729" cy="46926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32128">
          <wp:simplePos x="0" y="0"/>
          <wp:positionH relativeFrom="page">
            <wp:posOffset>822960</wp:posOffset>
          </wp:positionH>
          <wp:positionV relativeFrom="page">
            <wp:posOffset>345440</wp:posOffset>
          </wp:positionV>
          <wp:extent cx="983729" cy="469265"/>
          <wp:effectExtent l="0" t="0" r="0" b="0"/>
          <wp:wrapNone/>
          <wp:docPr id="31" name="image2.jpeg"/>
          <wp:cNvGraphicFramePr>
            <a:graphicFrameLocks noChangeAspect="1"/>
          </wp:cNvGraphicFramePr>
          <a:graphic>
            <a:graphicData uri="http://schemas.openxmlformats.org/drawingml/2006/picture">
              <pic:pic>
                <pic:nvPicPr>
                  <pic:cNvPr id="32" name="image2.jpeg"/>
                  <pic:cNvPicPr/>
                </pic:nvPicPr>
                <pic:blipFill>
                  <a:blip r:embed="rId1" cstate="print"/>
                  <a:stretch>
                    <a:fillRect/>
                  </a:stretch>
                </pic:blipFill>
                <pic:spPr>
                  <a:xfrm>
                    <a:off x="0" y="0"/>
                    <a:ext cx="983729" cy="469265"/>
                  </a:xfrm>
                  <a:prstGeom prst="rect">
                    <a:avLst/>
                  </a:prstGeom>
                </pic:spPr>
              </pic:pic>
            </a:graphicData>
          </a:graphic>
        </wp:anchor>
      </w:drawing>
    </w:r>
    <w:r>
      <w:rPr/>
      <w:pict>
        <v:rect style="position:absolute;margin-left:52.549999pt;margin-top:68.050018pt;width:503.85pt;height:.5pt;mso-position-horizontal-relative:page;mso-position-vertical-relative:page;z-index:-32483840" filled="true" fillcolor="#000080" stroked="false">
          <v:fill type="solid"/>
          <w10:wrap type="none"/>
        </v:rect>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36224">
          <wp:simplePos x="0" y="0"/>
          <wp:positionH relativeFrom="page">
            <wp:posOffset>822960</wp:posOffset>
          </wp:positionH>
          <wp:positionV relativeFrom="page">
            <wp:posOffset>345440</wp:posOffset>
          </wp:positionV>
          <wp:extent cx="983729" cy="469265"/>
          <wp:effectExtent l="0" t="0" r="0" b="0"/>
          <wp:wrapNone/>
          <wp:docPr id="49" name="image2.jpeg"/>
          <wp:cNvGraphicFramePr>
            <a:graphicFrameLocks noChangeAspect="1"/>
          </wp:cNvGraphicFramePr>
          <a:graphic>
            <a:graphicData uri="http://schemas.openxmlformats.org/drawingml/2006/picture">
              <pic:pic>
                <pic:nvPicPr>
                  <pic:cNvPr id="50" name="image2.jpeg"/>
                  <pic:cNvPicPr/>
                </pic:nvPicPr>
                <pic:blipFill>
                  <a:blip r:embed="rId1" cstate="print"/>
                  <a:stretch>
                    <a:fillRect/>
                  </a:stretch>
                </pic:blipFill>
                <pic:spPr>
                  <a:xfrm>
                    <a:off x="0" y="0"/>
                    <a:ext cx="983729" cy="469265"/>
                  </a:xfrm>
                  <a:prstGeom prst="rect">
                    <a:avLst/>
                  </a:prstGeom>
                </pic:spPr>
              </pic:pic>
            </a:graphicData>
          </a:graphic>
        </wp:anchor>
      </w:drawing>
    </w:r>
    <w:r>
      <w:rPr/>
      <w:pict>
        <v:rect style="position:absolute;margin-left:52.549999pt;margin-top:68.050018pt;width:503.85pt;height:.5pt;mso-position-horizontal-relative:page;mso-position-vertical-relative:page;z-index:-32479744" filled="true" fillcolor="#000080" stroked="false">
          <v:fill type="solid"/>
          <w10:wrap type="none"/>
        </v:rect>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39296">
          <wp:simplePos x="0" y="0"/>
          <wp:positionH relativeFrom="page">
            <wp:posOffset>822960</wp:posOffset>
          </wp:positionH>
          <wp:positionV relativeFrom="page">
            <wp:posOffset>345440</wp:posOffset>
          </wp:positionV>
          <wp:extent cx="983729" cy="469265"/>
          <wp:effectExtent l="0" t="0" r="0" b="0"/>
          <wp:wrapNone/>
          <wp:docPr id="59" name="image2.jpeg"/>
          <wp:cNvGraphicFramePr>
            <a:graphicFrameLocks noChangeAspect="1"/>
          </wp:cNvGraphicFramePr>
          <a:graphic>
            <a:graphicData uri="http://schemas.openxmlformats.org/drawingml/2006/picture">
              <pic:pic>
                <pic:nvPicPr>
                  <pic:cNvPr id="60" name="image2.jpeg"/>
                  <pic:cNvPicPr/>
                </pic:nvPicPr>
                <pic:blipFill>
                  <a:blip r:embed="rId1" cstate="print"/>
                  <a:stretch>
                    <a:fillRect/>
                  </a:stretch>
                </pic:blipFill>
                <pic:spPr>
                  <a:xfrm>
                    <a:off x="0" y="0"/>
                    <a:ext cx="983729" cy="469265"/>
                  </a:xfrm>
                  <a:prstGeom prst="rect">
                    <a:avLst/>
                  </a:prstGeom>
                </pic:spPr>
              </pic:pic>
            </a:graphicData>
          </a:graphic>
        </wp:anchor>
      </w:drawing>
    </w:r>
    <w:r>
      <w:rPr/>
      <w:pict>
        <v:rect style="position:absolute;margin-left:52.549999pt;margin-top:68.050018pt;width:503.85pt;height:.5pt;mso-position-horizontal-relative:page;mso-position-vertical-relative:page;z-index:-32476672" filled="true" fillcolor="#000080" stroked="false">
          <v:fill type="solid"/>
          <w10:wrap type="none"/>
        </v:rec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42880">
          <wp:simplePos x="0" y="0"/>
          <wp:positionH relativeFrom="page">
            <wp:posOffset>720090</wp:posOffset>
          </wp:positionH>
          <wp:positionV relativeFrom="page">
            <wp:posOffset>324612</wp:posOffset>
          </wp:positionV>
          <wp:extent cx="466725" cy="323087"/>
          <wp:effectExtent l="0" t="0" r="0" b="0"/>
          <wp:wrapNone/>
          <wp:docPr id="77" name="image15.jpeg"/>
          <wp:cNvGraphicFramePr>
            <a:graphicFrameLocks noChangeAspect="1"/>
          </wp:cNvGraphicFramePr>
          <a:graphic>
            <a:graphicData uri="http://schemas.openxmlformats.org/drawingml/2006/picture">
              <pic:pic>
                <pic:nvPicPr>
                  <pic:cNvPr id="78" name="image15.jpeg"/>
                  <pic:cNvPicPr/>
                </pic:nvPicPr>
                <pic:blipFill>
                  <a:blip r:embed="rId1" cstate="print"/>
                  <a:stretch>
                    <a:fillRect/>
                  </a:stretch>
                </pic:blipFill>
                <pic:spPr>
                  <a:xfrm>
                    <a:off x="0" y="0"/>
                    <a:ext cx="466725" cy="323087"/>
                  </a:xfrm>
                  <a:prstGeom prst="rect">
                    <a:avLst/>
                  </a:prstGeom>
                </pic:spPr>
              </pic:pic>
            </a:graphicData>
          </a:graphic>
        </wp:anchor>
      </w:drawing>
    </w:r>
    <w:r>
      <w:rPr/>
      <w:pict>
        <v:shape style="position:absolute;margin-left:303.489990pt;margin-top:41.44825pt;width:234.85pt;height:39.5pt;mso-position-horizontal-relative:page;mso-position-vertical-relative:page;z-index:-32473088" type="#_x0000_t202" filled="false" stroked="false">
          <v:textbox inset="0,0,0,0">
            <w:txbxContent>
              <w:p>
                <w:pPr>
                  <w:spacing w:before="20"/>
                  <w:ind w:left="506" w:right="696" w:firstLine="0"/>
                  <w:jc w:val="center"/>
                  <w:rPr>
                    <w:rFonts w:ascii="Caladea" w:hAnsi="Caladea"/>
                    <w:b/>
                    <w:sz w:val="18"/>
                  </w:rPr>
                </w:pPr>
                <w:r>
                  <w:rPr>
                    <w:rFonts w:ascii="Caladea" w:hAnsi="Caladea"/>
                    <w:b/>
                    <w:w w:val="105"/>
                    <w:sz w:val="18"/>
                  </w:rPr>
                  <w:t>Companhia Energética de Brasília </w:t>
                </w:r>
                <w:r>
                  <w:rPr>
                    <w:b/>
                    <w:w w:val="105"/>
                    <w:sz w:val="18"/>
                  </w:rPr>
                  <w:t>– </w:t>
                </w:r>
                <w:r>
                  <w:rPr>
                    <w:rFonts w:ascii="Caladea" w:hAnsi="Caladea"/>
                    <w:b/>
                    <w:w w:val="105"/>
                    <w:sz w:val="18"/>
                  </w:rPr>
                  <w:t>CEB</w:t>
                </w:r>
              </w:p>
              <w:p>
                <w:pPr>
                  <w:spacing w:line="187" w:lineRule="exact" w:before="0"/>
                  <w:ind w:left="515" w:right="508" w:firstLine="0"/>
                  <w:jc w:val="center"/>
                  <w:rPr>
                    <w:rFonts w:ascii="Caladea"/>
                    <w:b/>
                    <w:sz w:val="16"/>
                  </w:rPr>
                </w:pPr>
                <w:r>
                  <w:rPr>
                    <w:rFonts w:ascii="Caladea"/>
                    <w:b/>
                    <w:sz w:val="16"/>
                  </w:rPr>
                  <w:t>CNPJ 00.070.698/0001-11</w:t>
                </w:r>
              </w:p>
              <w:p>
                <w:pPr>
                  <w:spacing w:line="187" w:lineRule="exact" w:before="0"/>
                  <w:ind w:left="515" w:right="510" w:firstLine="0"/>
                  <w:jc w:val="center"/>
                  <w:rPr>
                    <w:rFonts w:ascii="Caladea" w:hAnsi="Caladea"/>
                    <w:b/>
                    <w:sz w:val="16"/>
                  </w:rPr>
                </w:pPr>
                <w:r>
                  <w:rPr>
                    <w:rFonts w:ascii="Caladea" w:hAnsi="Caladea"/>
                    <w:b/>
                    <w:sz w:val="16"/>
                  </w:rPr>
                  <w:t>Demonstrações dos Resultados Abrangentes</w:t>
                </w:r>
              </w:p>
              <w:p>
                <w:pPr>
                  <w:spacing w:line="164" w:lineRule="exact" w:before="0"/>
                  <w:ind w:left="0" w:right="0" w:firstLine="0"/>
                  <w:jc w:val="center"/>
                  <w:rPr>
                    <w:rFonts w:ascii="Caladea" w:hAnsi="Caladea"/>
                    <w:b/>
                    <w:sz w:val="14"/>
                  </w:rPr>
                </w:pPr>
                <w:r>
                  <w:rPr>
                    <w:rFonts w:ascii="Caladea" w:hAnsi="Caladea"/>
                    <w:b/>
                    <w:sz w:val="14"/>
                  </w:rPr>
                  <w:t>Exercícios findos em 31 de dezembro de 2019 e 31 de dezembro de 2018</w:t>
                </w:r>
              </w:p>
            </w:txbxContent>
          </v:textbox>
          <w10:wrap type="non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44416">
          <wp:simplePos x="0" y="0"/>
          <wp:positionH relativeFrom="page">
            <wp:posOffset>720090</wp:posOffset>
          </wp:positionH>
          <wp:positionV relativeFrom="page">
            <wp:posOffset>324612</wp:posOffset>
          </wp:positionV>
          <wp:extent cx="466725" cy="323087"/>
          <wp:effectExtent l="0" t="0" r="0" b="0"/>
          <wp:wrapNone/>
          <wp:docPr id="79" name="image15.jpeg"/>
          <wp:cNvGraphicFramePr>
            <a:graphicFrameLocks noChangeAspect="1"/>
          </wp:cNvGraphicFramePr>
          <a:graphic>
            <a:graphicData uri="http://schemas.openxmlformats.org/drawingml/2006/picture">
              <pic:pic>
                <pic:nvPicPr>
                  <pic:cNvPr id="80" name="image15.jpeg"/>
                  <pic:cNvPicPr/>
                </pic:nvPicPr>
                <pic:blipFill>
                  <a:blip r:embed="rId1" cstate="print"/>
                  <a:stretch>
                    <a:fillRect/>
                  </a:stretch>
                </pic:blipFill>
                <pic:spPr>
                  <a:xfrm>
                    <a:off x="0" y="0"/>
                    <a:ext cx="466725" cy="323087"/>
                  </a:xfrm>
                  <a:prstGeom prst="rect">
                    <a:avLst/>
                  </a:prstGeom>
                </pic:spPr>
              </pic:pic>
            </a:graphicData>
          </a:graphic>
        </wp:anchor>
      </w:drawing>
    </w:r>
    <w:r>
      <w:rPr/>
      <w:pict>
        <v:shape style="position:absolute;margin-left:303.489990pt;margin-top:41.44825pt;width:234.9pt;height:39.5pt;mso-position-horizontal-relative:page;mso-position-vertical-relative:page;z-index:-32471552" type="#_x0000_t202" filled="false" stroked="false">
          <v:textbox inset="0,0,0,0">
            <w:txbxContent>
              <w:p>
                <w:pPr>
                  <w:spacing w:before="20"/>
                  <w:ind w:left="241" w:right="432" w:firstLine="0"/>
                  <w:jc w:val="center"/>
                  <w:rPr>
                    <w:rFonts w:ascii="Caladea" w:hAnsi="Caladea"/>
                    <w:b/>
                    <w:sz w:val="18"/>
                  </w:rPr>
                </w:pPr>
                <w:r>
                  <w:rPr>
                    <w:rFonts w:ascii="Caladea" w:hAnsi="Caladea"/>
                    <w:b/>
                    <w:w w:val="105"/>
                    <w:sz w:val="18"/>
                  </w:rPr>
                  <w:t>Companhia Energética de Brasília </w:t>
                </w:r>
                <w:r>
                  <w:rPr>
                    <w:b/>
                    <w:w w:val="105"/>
                    <w:sz w:val="18"/>
                  </w:rPr>
                  <w:t>– </w:t>
                </w:r>
                <w:r>
                  <w:rPr>
                    <w:rFonts w:ascii="Caladea" w:hAnsi="Caladea"/>
                    <w:b/>
                    <w:w w:val="105"/>
                    <w:sz w:val="18"/>
                  </w:rPr>
                  <w:t>CEB</w:t>
                </w:r>
              </w:p>
              <w:p>
                <w:pPr>
                  <w:spacing w:line="187" w:lineRule="exact" w:before="0"/>
                  <w:ind w:left="435" w:right="430" w:firstLine="0"/>
                  <w:jc w:val="center"/>
                  <w:rPr>
                    <w:rFonts w:ascii="Caladea"/>
                    <w:b/>
                    <w:sz w:val="16"/>
                  </w:rPr>
                </w:pPr>
                <w:r>
                  <w:rPr>
                    <w:rFonts w:ascii="Caladea"/>
                    <w:b/>
                    <w:sz w:val="16"/>
                  </w:rPr>
                  <w:t>CNPJ 00.070.698/0001-11</w:t>
                </w:r>
              </w:p>
              <w:p>
                <w:pPr>
                  <w:spacing w:line="187" w:lineRule="exact" w:before="0"/>
                  <w:ind w:left="435" w:right="432" w:firstLine="0"/>
                  <w:jc w:val="center"/>
                  <w:rPr>
                    <w:rFonts w:ascii="Caladea" w:hAnsi="Caladea"/>
                    <w:b/>
                    <w:sz w:val="16"/>
                  </w:rPr>
                </w:pPr>
                <w:r>
                  <w:rPr>
                    <w:rFonts w:ascii="Caladea" w:hAnsi="Caladea"/>
                    <w:b/>
                    <w:sz w:val="16"/>
                  </w:rPr>
                  <w:t>Demonstração das Mutações do Patrimônio Líquido</w:t>
                </w:r>
              </w:p>
              <w:p>
                <w:pPr>
                  <w:spacing w:line="164" w:lineRule="exact" w:before="0"/>
                  <w:ind w:left="0" w:right="0" w:firstLine="0"/>
                  <w:jc w:val="center"/>
                  <w:rPr>
                    <w:rFonts w:ascii="Caladea" w:hAnsi="Caladea"/>
                    <w:b/>
                    <w:sz w:val="14"/>
                  </w:rPr>
                </w:pPr>
                <w:r>
                  <w:rPr>
                    <w:rFonts w:ascii="Caladea" w:hAnsi="Caladea"/>
                    <w:b/>
                    <w:sz w:val="14"/>
                  </w:rPr>
                  <w:t>Exercícios findos em 31 de dezembro de 2019 e 31 de dezembro de 2018</w:t>
                </w:r>
              </w:p>
            </w:txbxContent>
          </v:textbox>
          <w10:wrap type="non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45952">
          <wp:simplePos x="0" y="0"/>
          <wp:positionH relativeFrom="page">
            <wp:posOffset>822960</wp:posOffset>
          </wp:positionH>
          <wp:positionV relativeFrom="page">
            <wp:posOffset>324611</wp:posOffset>
          </wp:positionV>
          <wp:extent cx="466725" cy="323088"/>
          <wp:effectExtent l="0" t="0" r="0" b="0"/>
          <wp:wrapNone/>
          <wp:docPr id="81" name="image15.jpeg"/>
          <wp:cNvGraphicFramePr>
            <a:graphicFrameLocks noChangeAspect="1"/>
          </wp:cNvGraphicFramePr>
          <a:graphic>
            <a:graphicData uri="http://schemas.openxmlformats.org/drawingml/2006/picture">
              <pic:pic>
                <pic:nvPicPr>
                  <pic:cNvPr id="82" name="image15.jpeg"/>
                  <pic:cNvPicPr/>
                </pic:nvPicPr>
                <pic:blipFill>
                  <a:blip r:embed="rId1" cstate="print"/>
                  <a:stretch>
                    <a:fillRect/>
                  </a:stretch>
                </pic:blipFill>
                <pic:spPr>
                  <a:xfrm>
                    <a:off x="0" y="0"/>
                    <a:ext cx="466725" cy="323088"/>
                  </a:xfrm>
                  <a:prstGeom prst="rect">
                    <a:avLst/>
                  </a:prstGeom>
                </pic:spPr>
              </pic:pic>
            </a:graphicData>
          </a:graphic>
        </wp:anchor>
      </w:drawing>
    </w:r>
    <w:r>
      <w:rPr/>
      <w:pict>
        <v:shape style="position:absolute;margin-left:232.330002pt;margin-top:41.448219pt;width:166.05pt;height:21.95pt;mso-position-horizontal-relative:page;mso-position-vertical-relative:page;z-index:-32470016" type="#_x0000_t202" filled="false" stroked="false">
          <v:textbox inset="0,0,0,0">
            <w:txbxContent>
              <w:p>
                <w:pPr>
                  <w:spacing w:before="20"/>
                  <w:ind w:left="20" w:right="0" w:firstLine="0"/>
                  <w:jc w:val="left"/>
                  <w:rPr>
                    <w:rFonts w:ascii="Caladea" w:hAnsi="Caladea"/>
                    <w:b/>
                    <w:sz w:val="18"/>
                  </w:rPr>
                </w:pPr>
                <w:r>
                  <w:rPr>
                    <w:rFonts w:ascii="Caladea" w:hAnsi="Caladea"/>
                    <w:b/>
                    <w:w w:val="105"/>
                    <w:sz w:val="18"/>
                  </w:rPr>
                  <w:t>Companhia</w:t>
                </w:r>
                <w:r>
                  <w:rPr>
                    <w:rFonts w:ascii="Caladea" w:hAnsi="Caladea"/>
                    <w:b/>
                    <w:spacing w:val="-28"/>
                    <w:w w:val="105"/>
                    <w:sz w:val="18"/>
                  </w:rPr>
                  <w:t> </w:t>
                </w:r>
                <w:r>
                  <w:rPr>
                    <w:rFonts w:ascii="Caladea" w:hAnsi="Caladea"/>
                    <w:b/>
                    <w:w w:val="105"/>
                    <w:sz w:val="18"/>
                  </w:rPr>
                  <w:t>Energética</w:t>
                </w:r>
                <w:r>
                  <w:rPr>
                    <w:rFonts w:ascii="Caladea" w:hAnsi="Caladea"/>
                    <w:b/>
                    <w:spacing w:val="-26"/>
                    <w:w w:val="105"/>
                    <w:sz w:val="18"/>
                  </w:rPr>
                  <w:t> </w:t>
                </w:r>
                <w:r>
                  <w:rPr>
                    <w:rFonts w:ascii="Caladea" w:hAnsi="Caladea"/>
                    <w:b/>
                    <w:w w:val="105"/>
                    <w:sz w:val="18"/>
                  </w:rPr>
                  <w:t>de</w:t>
                </w:r>
                <w:r>
                  <w:rPr>
                    <w:rFonts w:ascii="Caladea" w:hAnsi="Caladea"/>
                    <w:b/>
                    <w:spacing w:val="-27"/>
                    <w:w w:val="105"/>
                    <w:sz w:val="18"/>
                  </w:rPr>
                  <w:t> </w:t>
                </w:r>
                <w:r>
                  <w:rPr>
                    <w:rFonts w:ascii="Caladea" w:hAnsi="Caladea"/>
                    <w:b/>
                    <w:w w:val="105"/>
                    <w:sz w:val="18"/>
                  </w:rPr>
                  <w:t>Brasília</w:t>
                </w:r>
                <w:r>
                  <w:rPr>
                    <w:rFonts w:ascii="Caladea" w:hAnsi="Caladea"/>
                    <w:b/>
                    <w:spacing w:val="-26"/>
                    <w:w w:val="105"/>
                    <w:sz w:val="18"/>
                  </w:rPr>
                  <w:t> </w:t>
                </w:r>
                <w:r>
                  <w:rPr>
                    <w:b/>
                    <w:w w:val="105"/>
                    <w:sz w:val="18"/>
                  </w:rPr>
                  <w:t>–</w:t>
                </w:r>
                <w:r>
                  <w:rPr>
                    <w:b/>
                    <w:spacing w:val="-42"/>
                    <w:w w:val="105"/>
                    <w:sz w:val="18"/>
                  </w:rPr>
                  <w:t> </w:t>
                </w:r>
                <w:r>
                  <w:rPr>
                    <w:rFonts w:ascii="Caladea" w:hAnsi="Caladea"/>
                    <w:b/>
                    <w:w w:val="105"/>
                    <w:sz w:val="18"/>
                  </w:rPr>
                  <w:t>CEB</w:t>
                </w:r>
              </w:p>
              <w:p>
                <w:pPr>
                  <w:spacing w:before="0"/>
                  <w:ind w:left="780" w:right="0" w:firstLine="0"/>
                  <w:jc w:val="left"/>
                  <w:rPr>
                    <w:rFonts w:ascii="Caladea"/>
                    <w:b/>
                    <w:sz w:val="16"/>
                  </w:rPr>
                </w:pPr>
                <w:r>
                  <w:rPr>
                    <w:rFonts w:ascii="Caladea"/>
                    <w:b/>
                    <w:sz w:val="16"/>
                  </w:rPr>
                  <w:t>CNPJ 00.070.698/0001-11</w:t>
                </w:r>
              </w:p>
            </w:txbxContent>
          </v:textbox>
          <w10:wrap type="non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rect style="position:absolute;margin-left:52.560001pt;margin-top:68.03994pt;width:503.854024pt;height:.48pt;mso-position-horizontal-relative:page;mso-position-vertical-relative:page;z-index:-32468992" filled="true" fillcolor="#000080" stroked="false">
          <v:fill type="solid"/>
          <w10:wrap type="none"/>
        </v:rect>
      </w:pict>
    </w:r>
    <w:r>
      <w:rPr/>
      <w:pict>
        <v:shape style="position:absolute;margin-left:63.824001pt;margin-top:38.602089pt;width:390.65pt;height:26.75pt;mso-position-horizontal-relative:page;mso-position-vertical-relative:page;z-index:-32468480"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rect style="position:absolute;margin-left:52.560001pt;margin-top:68.059982pt;width:503.830024pt;height:.48pt;mso-position-horizontal-relative:page;mso-position-vertical-relative:page;z-index:-32467456" filled="true" fillcolor="#000080" stroked="false">
          <v:fill type="solid"/>
          <w10:wrap type="none"/>
        </v:rect>
      </w:pict>
    </w:r>
    <w:r>
      <w:rPr/>
      <w:pict>
        <v:shape style="position:absolute;margin-left:63.799999pt;margin-top:38.602116pt;width:390.65pt;height:26.75pt;mso-position-horizontal-relative:page;mso-position-vertical-relative:page;z-index:-32466944"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63.824001pt;margin-top:38.602089pt;width:390.65pt;height:26.75pt;mso-position-horizontal-relative:page;mso-position-vertical-relative:page;z-index:-32465920"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rect style="position:absolute;margin-left:52.560001pt;margin-top:68.03994pt;width:503.854024pt;height:.48pt;mso-position-horizontal-relative:page;mso-position-vertical-relative:page;z-index:-32464896" filled="true" fillcolor="#000080" stroked="false">
          <v:fill type="solid"/>
          <w10:wrap type="none"/>
        </v:rect>
      </w:pict>
    </w:r>
    <w:r>
      <w:rPr/>
      <w:pict>
        <v:shape style="position:absolute;margin-left:63.824001pt;margin-top:38.602089pt;width:390.65pt;height:26.75pt;mso-position-horizontal-relative:page;mso-position-vertical-relative:page;z-index:-32464384"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63.824001pt;margin-top:38.602089pt;width:390.65pt;height:26.75pt;mso-position-horizontal-relative:page;mso-position-vertical-relative:page;z-index:-32463360"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rect style="position:absolute;margin-left:52.560001pt;margin-top:68.03994pt;width:503.854024pt;height:.48pt;mso-position-horizontal-relative:page;mso-position-vertical-relative:page;z-index:-32462336" filled="true" fillcolor="#000080" stroked="false">
          <v:fill type="solid"/>
          <w10:wrap type="none"/>
        </v:rect>
      </w:pict>
    </w:r>
    <w:r>
      <w:rPr/>
      <w:pict>
        <v:shape style="position:absolute;margin-left:63.824001pt;margin-top:38.602089pt;width:390.65pt;height:26.75pt;mso-position-horizontal-relative:page;mso-position-vertical-relative:page;z-index:-32461824"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63.824001pt;margin-top:38.602089pt;width:390.65pt;height:26.75pt;mso-position-horizontal-relative:page;mso-position-vertical-relative:page;z-index:-32460800" type="#_x0000_t202" filled="false" stroked="false">
          <v:textbox inset="0,0,0,0">
            <w:txbxContent>
              <w:p>
                <w:pPr>
                  <w:spacing w:line="251" w:lineRule="exact" w:before="11"/>
                  <w:ind w:left="20" w:right="0" w:firstLine="0"/>
                  <w:jc w:val="left"/>
                  <w:rPr>
                    <w:rFonts w:ascii="Times New Roman" w:hAnsi="Times New Roman"/>
                    <w:b/>
                    <w:sz w:val="22"/>
                  </w:rPr>
                </w:pPr>
                <w:r>
                  <w:rPr>
                    <w:rFonts w:ascii="Times New Roman" w:hAnsi="Times New Roman"/>
                    <w:b/>
                    <w:sz w:val="22"/>
                  </w:rPr>
                  <w:t>Notas explicativas às demonstrações financeiras em 31 de dezembro de 2019 e 2018</w:t>
                </w:r>
              </w:p>
              <w:p>
                <w:pPr>
                  <w:spacing w:line="251" w:lineRule="exact" w:before="0"/>
                  <w:ind w:left="20" w:right="0" w:firstLine="0"/>
                  <w:jc w:val="left"/>
                  <w:rPr>
                    <w:rFonts w:ascii="Times New Roman"/>
                    <w:sz w:val="22"/>
                  </w:rPr>
                </w:pPr>
                <w:r>
                  <w:rPr>
                    <w:rFonts w:ascii="Times New Roman"/>
                    <w:sz w:val="22"/>
                  </w:rPr>
                  <w:t>Em milhares de reais, exceto quando indicado de outra forma.</w:t>
                </w:r>
              </w:p>
            </w:txbxContent>
          </v:textbox>
          <w10:wrap type="non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 style="position:absolute;margin-left:278.049988pt;margin-top:19.135778pt;width:210.2pt;height:34.950pt;mso-position-horizontal-relative:page;mso-position-vertical-relative:page;z-index:-32459776" type="#_x0000_t202" filled="false" stroked="false">
          <v:textbox inset="0,0,0,0">
            <w:txbxContent>
              <w:p>
                <w:pPr>
                  <w:spacing w:line="247" w:lineRule="auto" w:before="27"/>
                  <w:ind w:left="430" w:right="0" w:hanging="411"/>
                  <w:jc w:val="left"/>
                  <w:rPr>
                    <w:rFonts w:ascii="Georgia" w:hAnsi="Georgia"/>
                    <w:b/>
                    <w:sz w:val="28"/>
                  </w:rPr>
                </w:pPr>
                <w:r>
                  <w:rPr>
                    <w:rFonts w:ascii="Georgia" w:hAnsi="Georgia"/>
                    <w:b/>
                    <w:w w:val="95"/>
                    <w:sz w:val="28"/>
                  </w:rPr>
                  <w:t>RESOLUÇÃO DE DIRETORIA </w:t>
                </w:r>
                <w:r>
                  <w:rPr>
                    <w:rFonts w:ascii="Georgia" w:hAnsi="Georgia"/>
                    <w:b/>
                    <w:sz w:val="28"/>
                  </w:rPr>
                  <w:t>Nº 026, DE 24.03.2020</w:t>
                </w:r>
              </w:p>
            </w:txbxContent>
          </v:textbox>
          <w10:wrap type="non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470857728">
          <wp:simplePos x="0" y="0"/>
          <wp:positionH relativeFrom="page">
            <wp:posOffset>919687</wp:posOffset>
          </wp:positionH>
          <wp:positionV relativeFrom="page">
            <wp:posOffset>368753</wp:posOffset>
          </wp:positionV>
          <wp:extent cx="1349813" cy="592723"/>
          <wp:effectExtent l="0" t="0" r="0" b="0"/>
          <wp:wrapNone/>
          <wp:docPr id="85" name="image16.png"/>
          <wp:cNvGraphicFramePr>
            <a:graphicFrameLocks noChangeAspect="1"/>
          </wp:cNvGraphicFramePr>
          <a:graphic>
            <a:graphicData uri="http://schemas.openxmlformats.org/drawingml/2006/picture">
              <pic:pic>
                <pic:nvPicPr>
                  <pic:cNvPr id="86" name="image16.png"/>
                  <pic:cNvPicPr/>
                </pic:nvPicPr>
                <pic:blipFill>
                  <a:blip r:embed="rId1" cstate="print"/>
                  <a:stretch>
                    <a:fillRect/>
                  </a:stretch>
                </pic:blipFill>
                <pic:spPr>
                  <a:xfrm>
                    <a:off x="0" y="0"/>
                    <a:ext cx="1349813" cy="592723"/>
                  </a:xfrm>
                  <a:prstGeom prst="rect">
                    <a:avLst/>
                  </a:prstGeom>
                </pic:spPr>
              </pic:pic>
            </a:graphicData>
          </a:graphic>
        </wp:anchor>
      </w:drawing>
    </w:r>
    <w:r>
      <w:rPr/>
      <w:pict>
        <v:shape style="position:absolute;margin-left:270.970001pt;margin-top:27.655779pt;width:210.2pt;height:34.950pt;mso-position-horizontal-relative:page;mso-position-vertical-relative:page;z-index:-32458240" type="#_x0000_t202" filled="false" stroked="false">
          <v:textbox inset="0,0,0,0">
            <w:txbxContent>
              <w:p>
                <w:pPr>
                  <w:spacing w:line="247" w:lineRule="auto" w:before="27"/>
                  <w:ind w:left="430" w:right="0" w:hanging="411"/>
                  <w:jc w:val="left"/>
                  <w:rPr>
                    <w:rFonts w:ascii="Georgia" w:hAnsi="Georgia"/>
                    <w:b/>
                    <w:sz w:val="28"/>
                  </w:rPr>
                </w:pPr>
                <w:r>
                  <w:rPr>
                    <w:rFonts w:ascii="Georgia" w:hAnsi="Georgia"/>
                    <w:b/>
                    <w:w w:val="95"/>
                    <w:sz w:val="28"/>
                  </w:rPr>
                  <w:t>RESOLUÇÃO DE DIRETORIA </w:t>
                </w:r>
                <w:r>
                  <w:rPr>
                    <w:rFonts w:ascii="Georgia" w:hAnsi="Georgia"/>
                    <w:b/>
                    <w:sz w:val="28"/>
                  </w:rPr>
                  <w:t>Nº 020, DE</w:t>
                </w:r>
                <w:r>
                  <w:rPr>
                    <w:rFonts w:ascii="Georgia" w:hAnsi="Georgia"/>
                    <w:b/>
                    <w:spacing w:val="54"/>
                    <w:sz w:val="28"/>
                  </w:rPr>
                  <w:t> </w:t>
                </w:r>
                <w:r>
                  <w:rPr>
                    <w:rFonts w:ascii="Georgia" w:hAnsi="Georgia"/>
                    <w:b/>
                    <w:sz w:val="28"/>
                  </w:rPr>
                  <w:t>13.03.2020</w:t>
                </w:r>
              </w:p>
            </w:txbxContent>
          </v:textbox>
          <w10:wrap type="non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2">
    <w:multiLevelType w:val="hybridMultilevel"/>
    <w:lvl w:ilvl="0">
      <w:start w:val="1"/>
      <w:numFmt w:val="lowerRoman"/>
      <w:lvlText w:val="%1."/>
      <w:lvlJc w:val="left"/>
      <w:pPr>
        <w:ind w:left="739" w:hanging="140"/>
        <w:jc w:val="left"/>
      </w:pPr>
      <w:rPr>
        <w:rFonts w:hint="default" w:ascii="Trebuchet MS" w:hAnsi="Trebuchet MS" w:eastAsia="Trebuchet MS" w:cs="Trebuchet MS"/>
        <w:w w:val="73"/>
        <w:sz w:val="20"/>
        <w:szCs w:val="20"/>
        <w:lang w:val="pt-PT" w:eastAsia="en-US" w:bidi="ar-SA"/>
      </w:rPr>
    </w:lvl>
    <w:lvl w:ilvl="1">
      <w:start w:val="1"/>
      <w:numFmt w:val="lowerLetter"/>
      <w:lvlText w:val="%2."/>
      <w:lvlJc w:val="left"/>
      <w:pPr>
        <w:ind w:left="1488" w:hanging="183"/>
        <w:jc w:val="left"/>
      </w:pPr>
      <w:rPr>
        <w:rFonts w:hint="default" w:ascii="Trebuchet MS" w:hAnsi="Trebuchet MS" w:eastAsia="Trebuchet MS" w:cs="Trebuchet MS"/>
        <w:w w:val="55"/>
        <w:sz w:val="20"/>
        <w:szCs w:val="20"/>
        <w:lang w:val="pt-PT" w:eastAsia="en-US" w:bidi="ar-SA"/>
      </w:rPr>
    </w:lvl>
    <w:lvl w:ilvl="2">
      <w:start w:val="0"/>
      <w:numFmt w:val="bullet"/>
      <w:lvlText w:val="•"/>
      <w:lvlJc w:val="left"/>
      <w:pPr>
        <w:ind w:left="2482" w:hanging="183"/>
      </w:pPr>
      <w:rPr>
        <w:rFonts w:hint="default"/>
        <w:lang w:val="pt-PT" w:eastAsia="en-US" w:bidi="ar-SA"/>
      </w:rPr>
    </w:lvl>
    <w:lvl w:ilvl="3">
      <w:start w:val="0"/>
      <w:numFmt w:val="bullet"/>
      <w:lvlText w:val="•"/>
      <w:lvlJc w:val="left"/>
      <w:pPr>
        <w:ind w:left="3485" w:hanging="183"/>
      </w:pPr>
      <w:rPr>
        <w:rFonts w:hint="default"/>
        <w:lang w:val="pt-PT" w:eastAsia="en-US" w:bidi="ar-SA"/>
      </w:rPr>
    </w:lvl>
    <w:lvl w:ilvl="4">
      <w:start w:val="0"/>
      <w:numFmt w:val="bullet"/>
      <w:lvlText w:val="•"/>
      <w:lvlJc w:val="left"/>
      <w:pPr>
        <w:ind w:left="4488" w:hanging="183"/>
      </w:pPr>
      <w:rPr>
        <w:rFonts w:hint="default"/>
        <w:lang w:val="pt-PT" w:eastAsia="en-US" w:bidi="ar-SA"/>
      </w:rPr>
    </w:lvl>
    <w:lvl w:ilvl="5">
      <w:start w:val="0"/>
      <w:numFmt w:val="bullet"/>
      <w:lvlText w:val="•"/>
      <w:lvlJc w:val="left"/>
      <w:pPr>
        <w:ind w:left="5491" w:hanging="183"/>
      </w:pPr>
      <w:rPr>
        <w:rFonts w:hint="default"/>
        <w:lang w:val="pt-PT" w:eastAsia="en-US" w:bidi="ar-SA"/>
      </w:rPr>
    </w:lvl>
    <w:lvl w:ilvl="6">
      <w:start w:val="0"/>
      <w:numFmt w:val="bullet"/>
      <w:lvlText w:val="•"/>
      <w:lvlJc w:val="left"/>
      <w:pPr>
        <w:ind w:left="6494" w:hanging="183"/>
      </w:pPr>
      <w:rPr>
        <w:rFonts w:hint="default"/>
        <w:lang w:val="pt-PT" w:eastAsia="en-US" w:bidi="ar-SA"/>
      </w:rPr>
    </w:lvl>
    <w:lvl w:ilvl="7">
      <w:start w:val="0"/>
      <w:numFmt w:val="bullet"/>
      <w:lvlText w:val="•"/>
      <w:lvlJc w:val="left"/>
      <w:pPr>
        <w:ind w:left="7497" w:hanging="183"/>
      </w:pPr>
      <w:rPr>
        <w:rFonts w:hint="default"/>
        <w:lang w:val="pt-PT" w:eastAsia="en-US" w:bidi="ar-SA"/>
      </w:rPr>
    </w:lvl>
    <w:lvl w:ilvl="8">
      <w:start w:val="0"/>
      <w:numFmt w:val="bullet"/>
      <w:lvlText w:val="•"/>
      <w:lvlJc w:val="left"/>
      <w:pPr>
        <w:ind w:left="8500" w:hanging="183"/>
      </w:pPr>
      <w:rPr>
        <w:rFonts w:hint="default"/>
        <w:lang w:val="pt-PT" w:eastAsia="en-US" w:bidi="ar-SA"/>
      </w:rPr>
    </w:lvl>
  </w:abstractNum>
  <w:abstractNum w:abstractNumId="50">
    <w:multiLevelType w:val="hybridMultilevel"/>
    <w:lvl w:ilvl="0">
      <w:start w:val="0"/>
      <w:numFmt w:val="bullet"/>
      <w:lvlText w:val=""/>
      <w:lvlJc w:val="left"/>
      <w:pPr>
        <w:ind w:left="385" w:hanging="284"/>
      </w:pPr>
      <w:rPr>
        <w:rFonts w:hint="default" w:ascii="Symbol" w:hAnsi="Symbol" w:eastAsia="Symbol" w:cs="Symbol"/>
        <w:w w:val="100"/>
        <w:sz w:val="24"/>
        <w:szCs w:val="24"/>
        <w:lang w:val="pt-PT" w:eastAsia="en-US" w:bidi="ar-SA"/>
      </w:rPr>
    </w:lvl>
    <w:lvl w:ilvl="1">
      <w:start w:val="0"/>
      <w:numFmt w:val="bullet"/>
      <w:lvlText w:val="•"/>
      <w:lvlJc w:val="left"/>
      <w:pPr>
        <w:ind w:left="1214" w:hanging="284"/>
      </w:pPr>
      <w:rPr>
        <w:rFonts w:hint="default"/>
        <w:lang w:val="pt-PT" w:eastAsia="en-US" w:bidi="ar-SA"/>
      </w:rPr>
    </w:lvl>
    <w:lvl w:ilvl="2">
      <w:start w:val="0"/>
      <w:numFmt w:val="bullet"/>
      <w:lvlText w:val="•"/>
      <w:lvlJc w:val="left"/>
      <w:pPr>
        <w:ind w:left="2049" w:hanging="284"/>
      </w:pPr>
      <w:rPr>
        <w:rFonts w:hint="default"/>
        <w:lang w:val="pt-PT" w:eastAsia="en-US" w:bidi="ar-SA"/>
      </w:rPr>
    </w:lvl>
    <w:lvl w:ilvl="3">
      <w:start w:val="0"/>
      <w:numFmt w:val="bullet"/>
      <w:lvlText w:val="•"/>
      <w:lvlJc w:val="left"/>
      <w:pPr>
        <w:ind w:left="2883" w:hanging="284"/>
      </w:pPr>
      <w:rPr>
        <w:rFonts w:hint="default"/>
        <w:lang w:val="pt-PT" w:eastAsia="en-US" w:bidi="ar-SA"/>
      </w:rPr>
    </w:lvl>
    <w:lvl w:ilvl="4">
      <w:start w:val="0"/>
      <w:numFmt w:val="bullet"/>
      <w:lvlText w:val="•"/>
      <w:lvlJc w:val="left"/>
      <w:pPr>
        <w:ind w:left="3718" w:hanging="284"/>
      </w:pPr>
      <w:rPr>
        <w:rFonts w:hint="default"/>
        <w:lang w:val="pt-PT" w:eastAsia="en-US" w:bidi="ar-SA"/>
      </w:rPr>
    </w:lvl>
    <w:lvl w:ilvl="5">
      <w:start w:val="0"/>
      <w:numFmt w:val="bullet"/>
      <w:lvlText w:val="•"/>
      <w:lvlJc w:val="left"/>
      <w:pPr>
        <w:ind w:left="4553" w:hanging="284"/>
      </w:pPr>
      <w:rPr>
        <w:rFonts w:hint="default"/>
        <w:lang w:val="pt-PT" w:eastAsia="en-US" w:bidi="ar-SA"/>
      </w:rPr>
    </w:lvl>
    <w:lvl w:ilvl="6">
      <w:start w:val="0"/>
      <w:numFmt w:val="bullet"/>
      <w:lvlText w:val="•"/>
      <w:lvlJc w:val="left"/>
      <w:pPr>
        <w:ind w:left="5387" w:hanging="284"/>
      </w:pPr>
      <w:rPr>
        <w:rFonts w:hint="default"/>
        <w:lang w:val="pt-PT" w:eastAsia="en-US" w:bidi="ar-SA"/>
      </w:rPr>
    </w:lvl>
    <w:lvl w:ilvl="7">
      <w:start w:val="0"/>
      <w:numFmt w:val="bullet"/>
      <w:lvlText w:val="•"/>
      <w:lvlJc w:val="left"/>
      <w:pPr>
        <w:ind w:left="6222" w:hanging="284"/>
      </w:pPr>
      <w:rPr>
        <w:rFonts w:hint="default"/>
        <w:lang w:val="pt-PT" w:eastAsia="en-US" w:bidi="ar-SA"/>
      </w:rPr>
    </w:lvl>
    <w:lvl w:ilvl="8">
      <w:start w:val="0"/>
      <w:numFmt w:val="bullet"/>
      <w:lvlText w:val="•"/>
      <w:lvlJc w:val="left"/>
      <w:pPr>
        <w:ind w:left="7057" w:hanging="284"/>
      </w:pPr>
      <w:rPr>
        <w:rFonts w:hint="default"/>
        <w:lang w:val="pt-PT" w:eastAsia="en-US" w:bidi="ar-SA"/>
      </w:rPr>
    </w:lvl>
  </w:abstractNum>
  <w:abstractNum w:abstractNumId="49">
    <w:multiLevelType w:val="hybridMultilevel"/>
    <w:lvl w:ilvl="0">
      <w:start w:val="1"/>
      <w:numFmt w:val="lowerLetter"/>
      <w:lvlText w:val="%1)"/>
      <w:lvlJc w:val="left"/>
      <w:pPr>
        <w:ind w:left="172" w:hanging="236"/>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212" w:hanging="236"/>
      </w:pPr>
      <w:rPr>
        <w:rFonts w:hint="default"/>
        <w:lang w:val="pt-PT" w:eastAsia="en-US" w:bidi="ar-SA"/>
      </w:rPr>
    </w:lvl>
    <w:lvl w:ilvl="2">
      <w:start w:val="0"/>
      <w:numFmt w:val="bullet"/>
      <w:lvlText w:val="•"/>
      <w:lvlJc w:val="left"/>
      <w:pPr>
        <w:ind w:left="2245" w:hanging="236"/>
      </w:pPr>
      <w:rPr>
        <w:rFonts w:hint="default"/>
        <w:lang w:val="pt-PT" w:eastAsia="en-US" w:bidi="ar-SA"/>
      </w:rPr>
    </w:lvl>
    <w:lvl w:ilvl="3">
      <w:start w:val="0"/>
      <w:numFmt w:val="bullet"/>
      <w:lvlText w:val="•"/>
      <w:lvlJc w:val="left"/>
      <w:pPr>
        <w:ind w:left="3277" w:hanging="236"/>
      </w:pPr>
      <w:rPr>
        <w:rFonts w:hint="default"/>
        <w:lang w:val="pt-PT" w:eastAsia="en-US" w:bidi="ar-SA"/>
      </w:rPr>
    </w:lvl>
    <w:lvl w:ilvl="4">
      <w:start w:val="0"/>
      <w:numFmt w:val="bullet"/>
      <w:lvlText w:val="•"/>
      <w:lvlJc w:val="left"/>
      <w:pPr>
        <w:ind w:left="4310" w:hanging="236"/>
      </w:pPr>
      <w:rPr>
        <w:rFonts w:hint="default"/>
        <w:lang w:val="pt-PT" w:eastAsia="en-US" w:bidi="ar-SA"/>
      </w:rPr>
    </w:lvl>
    <w:lvl w:ilvl="5">
      <w:start w:val="0"/>
      <w:numFmt w:val="bullet"/>
      <w:lvlText w:val="•"/>
      <w:lvlJc w:val="left"/>
      <w:pPr>
        <w:ind w:left="5343" w:hanging="236"/>
      </w:pPr>
      <w:rPr>
        <w:rFonts w:hint="default"/>
        <w:lang w:val="pt-PT" w:eastAsia="en-US" w:bidi="ar-SA"/>
      </w:rPr>
    </w:lvl>
    <w:lvl w:ilvl="6">
      <w:start w:val="0"/>
      <w:numFmt w:val="bullet"/>
      <w:lvlText w:val="•"/>
      <w:lvlJc w:val="left"/>
      <w:pPr>
        <w:ind w:left="6375" w:hanging="236"/>
      </w:pPr>
      <w:rPr>
        <w:rFonts w:hint="default"/>
        <w:lang w:val="pt-PT" w:eastAsia="en-US" w:bidi="ar-SA"/>
      </w:rPr>
    </w:lvl>
    <w:lvl w:ilvl="7">
      <w:start w:val="0"/>
      <w:numFmt w:val="bullet"/>
      <w:lvlText w:val="•"/>
      <w:lvlJc w:val="left"/>
      <w:pPr>
        <w:ind w:left="7408" w:hanging="236"/>
      </w:pPr>
      <w:rPr>
        <w:rFonts w:hint="default"/>
        <w:lang w:val="pt-PT" w:eastAsia="en-US" w:bidi="ar-SA"/>
      </w:rPr>
    </w:lvl>
    <w:lvl w:ilvl="8">
      <w:start w:val="0"/>
      <w:numFmt w:val="bullet"/>
      <w:lvlText w:val="•"/>
      <w:lvlJc w:val="left"/>
      <w:pPr>
        <w:ind w:left="8441" w:hanging="236"/>
      </w:pPr>
      <w:rPr>
        <w:rFonts w:hint="default"/>
        <w:lang w:val="pt-PT" w:eastAsia="en-US" w:bidi="ar-SA"/>
      </w:rPr>
    </w:lvl>
  </w:abstractNum>
  <w:abstractNum w:abstractNumId="48">
    <w:multiLevelType w:val="hybridMultilevel"/>
    <w:lvl w:ilvl="0">
      <w:start w:val="1"/>
      <w:numFmt w:val="lowerLetter"/>
      <w:lvlText w:val="%1)"/>
      <w:lvlJc w:val="left"/>
      <w:pPr>
        <w:ind w:left="172" w:hanging="255"/>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212" w:hanging="255"/>
      </w:pPr>
      <w:rPr>
        <w:rFonts w:hint="default"/>
        <w:lang w:val="pt-PT" w:eastAsia="en-US" w:bidi="ar-SA"/>
      </w:rPr>
    </w:lvl>
    <w:lvl w:ilvl="2">
      <w:start w:val="0"/>
      <w:numFmt w:val="bullet"/>
      <w:lvlText w:val="•"/>
      <w:lvlJc w:val="left"/>
      <w:pPr>
        <w:ind w:left="2245" w:hanging="255"/>
      </w:pPr>
      <w:rPr>
        <w:rFonts w:hint="default"/>
        <w:lang w:val="pt-PT" w:eastAsia="en-US" w:bidi="ar-SA"/>
      </w:rPr>
    </w:lvl>
    <w:lvl w:ilvl="3">
      <w:start w:val="0"/>
      <w:numFmt w:val="bullet"/>
      <w:lvlText w:val="•"/>
      <w:lvlJc w:val="left"/>
      <w:pPr>
        <w:ind w:left="3277" w:hanging="255"/>
      </w:pPr>
      <w:rPr>
        <w:rFonts w:hint="default"/>
        <w:lang w:val="pt-PT" w:eastAsia="en-US" w:bidi="ar-SA"/>
      </w:rPr>
    </w:lvl>
    <w:lvl w:ilvl="4">
      <w:start w:val="0"/>
      <w:numFmt w:val="bullet"/>
      <w:lvlText w:val="•"/>
      <w:lvlJc w:val="left"/>
      <w:pPr>
        <w:ind w:left="4310" w:hanging="255"/>
      </w:pPr>
      <w:rPr>
        <w:rFonts w:hint="default"/>
        <w:lang w:val="pt-PT" w:eastAsia="en-US" w:bidi="ar-SA"/>
      </w:rPr>
    </w:lvl>
    <w:lvl w:ilvl="5">
      <w:start w:val="0"/>
      <w:numFmt w:val="bullet"/>
      <w:lvlText w:val="•"/>
      <w:lvlJc w:val="left"/>
      <w:pPr>
        <w:ind w:left="5343" w:hanging="255"/>
      </w:pPr>
      <w:rPr>
        <w:rFonts w:hint="default"/>
        <w:lang w:val="pt-PT" w:eastAsia="en-US" w:bidi="ar-SA"/>
      </w:rPr>
    </w:lvl>
    <w:lvl w:ilvl="6">
      <w:start w:val="0"/>
      <w:numFmt w:val="bullet"/>
      <w:lvlText w:val="•"/>
      <w:lvlJc w:val="left"/>
      <w:pPr>
        <w:ind w:left="6375" w:hanging="255"/>
      </w:pPr>
      <w:rPr>
        <w:rFonts w:hint="default"/>
        <w:lang w:val="pt-PT" w:eastAsia="en-US" w:bidi="ar-SA"/>
      </w:rPr>
    </w:lvl>
    <w:lvl w:ilvl="7">
      <w:start w:val="0"/>
      <w:numFmt w:val="bullet"/>
      <w:lvlText w:val="•"/>
      <w:lvlJc w:val="left"/>
      <w:pPr>
        <w:ind w:left="7408" w:hanging="255"/>
      </w:pPr>
      <w:rPr>
        <w:rFonts w:hint="default"/>
        <w:lang w:val="pt-PT" w:eastAsia="en-US" w:bidi="ar-SA"/>
      </w:rPr>
    </w:lvl>
    <w:lvl w:ilvl="8">
      <w:start w:val="0"/>
      <w:numFmt w:val="bullet"/>
      <w:lvlText w:val="•"/>
      <w:lvlJc w:val="left"/>
      <w:pPr>
        <w:ind w:left="8441" w:hanging="255"/>
      </w:pPr>
      <w:rPr>
        <w:rFonts w:hint="default"/>
        <w:lang w:val="pt-PT" w:eastAsia="en-US" w:bidi="ar-SA"/>
      </w:rPr>
    </w:lvl>
  </w:abstractNum>
  <w:abstractNum w:abstractNumId="47">
    <w:multiLevelType w:val="hybridMultilevel"/>
    <w:lvl w:ilvl="0">
      <w:start w:val="32"/>
      <w:numFmt w:val="decimal"/>
      <w:lvlText w:val="%1"/>
      <w:lvlJc w:val="left"/>
      <w:pPr>
        <w:ind w:left="1025" w:hanging="853"/>
        <w:jc w:val="left"/>
      </w:pPr>
      <w:rPr>
        <w:rFonts w:hint="default"/>
        <w:lang w:val="pt-PT" w:eastAsia="en-US" w:bidi="ar-SA"/>
      </w:rPr>
    </w:lvl>
    <w:lvl w:ilvl="1">
      <w:start w:val="3"/>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3865" w:hanging="853"/>
      </w:pPr>
      <w:rPr>
        <w:rFonts w:hint="default"/>
        <w:lang w:val="pt-PT" w:eastAsia="en-US" w:bidi="ar-SA"/>
      </w:rPr>
    </w:lvl>
    <w:lvl w:ilvl="4">
      <w:start w:val="0"/>
      <w:numFmt w:val="bullet"/>
      <w:lvlText w:val="•"/>
      <w:lvlJc w:val="left"/>
      <w:pPr>
        <w:ind w:left="4814" w:hanging="853"/>
      </w:pPr>
      <w:rPr>
        <w:rFonts w:hint="default"/>
        <w:lang w:val="pt-PT" w:eastAsia="en-US" w:bidi="ar-SA"/>
      </w:rPr>
    </w:lvl>
    <w:lvl w:ilvl="5">
      <w:start w:val="0"/>
      <w:numFmt w:val="bullet"/>
      <w:lvlText w:val="•"/>
      <w:lvlJc w:val="left"/>
      <w:pPr>
        <w:ind w:left="5763" w:hanging="853"/>
      </w:pPr>
      <w:rPr>
        <w:rFonts w:hint="default"/>
        <w:lang w:val="pt-PT" w:eastAsia="en-US" w:bidi="ar-SA"/>
      </w:rPr>
    </w:lvl>
    <w:lvl w:ilvl="6">
      <w:start w:val="0"/>
      <w:numFmt w:val="bullet"/>
      <w:lvlText w:val="•"/>
      <w:lvlJc w:val="left"/>
      <w:pPr>
        <w:ind w:left="6711" w:hanging="853"/>
      </w:pPr>
      <w:rPr>
        <w:rFonts w:hint="default"/>
        <w:lang w:val="pt-PT" w:eastAsia="en-US" w:bidi="ar-SA"/>
      </w:rPr>
    </w:lvl>
    <w:lvl w:ilvl="7">
      <w:start w:val="0"/>
      <w:numFmt w:val="bullet"/>
      <w:lvlText w:val="•"/>
      <w:lvlJc w:val="left"/>
      <w:pPr>
        <w:ind w:left="7660" w:hanging="853"/>
      </w:pPr>
      <w:rPr>
        <w:rFonts w:hint="default"/>
        <w:lang w:val="pt-PT" w:eastAsia="en-US" w:bidi="ar-SA"/>
      </w:rPr>
    </w:lvl>
    <w:lvl w:ilvl="8">
      <w:start w:val="0"/>
      <w:numFmt w:val="bullet"/>
      <w:lvlText w:val="•"/>
      <w:lvlJc w:val="left"/>
      <w:pPr>
        <w:ind w:left="8609" w:hanging="853"/>
      </w:pPr>
      <w:rPr>
        <w:rFonts w:hint="default"/>
        <w:lang w:val="pt-PT" w:eastAsia="en-US" w:bidi="ar-SA"/>
      </w:rPr>
    </w:lvl>
  </w:abstractNum>
  <w:abstractNum w:abstractNumId="46">
    <w:multiLevelType w:val="hybridMultilevel"/>
    <w:lvl w:ilvl="0">
      <w:start w:val="1"/>
      <w:numFmt w:val="lowerLetter"/>
      <w:lvlText w:val="(%1)"/>
      <w:lvlJc w:val="left"/>
      <w:pPr>
        <w:ind w:left="172" w:hanging="303"/>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212" w:hanging="303"/>
      </w:pPr>
      <w:rPr>
        <w:rFonts w:hint="default"/>
        <w:lang w:val="pt-PT" w:eastAsia="en-US" w:bidi="ar-SA"/>
      </w:rPr>
    </w:lvl>
    <w:lvl w:ilvl="2">
      <w:start w:val="0"/>
      <w:numFmt w:val="bullet"/>
      <w:lvlText w:val="•"/>
      <w:lvlJc w:val="left"/>
      <w:pPr>
        <w:ind w:left="2245" w:hanging="303"/>
      </w:pPr>
      <w:rPr>
        <w:rFonts w:hint="default"/>
        <w:lang w:val="pt-PT" w:eastAsia="en-US" w:bidi="ar-SA"/>
      </w:rPr>
    </w:lvl>
    <w:lvl w:ilvl="3">
      <w:start w:val="0"/>
      <w:numFmt w:val="bullet"/>
      <w:lvlText w:val="•"/>
      <w:lvlJc w:val="left"/>
      <w:pPr>
        <w:ind w:left="3277" w:hanging="303"/>
      </w:pPr>
      <w:rPr>
        <w:rFonts w:hint="default"/>
        <w:lang w:val="pt-PT" w:eastAsia="en-US" w:bidi="ar-SA"/>
      </w:rPr>
    </w:lvl>
    <w:lvl w:ilvl="4">
      <w:start w:val="0"/>
      <w:numFmt w:val="bullet"/>
      <w:lvlText w:val="•"/>
      <w:lvlJc w:val="left"/>
      <w:pPr>
        <w:ind w:left="4310" w:hanging="303"/>
      </w:pPr>
      <w:rPr>
        <w:rFonts w:hint="default"/>
        <w:lang w:val="pt-PT" w:eastAsia="en-US" w:bidi="ar-SA"/>
      </w:rPr>
    </w:lvl>
    <w:lvl w:ilvl="5">
      <w:start w:val="0"/>
      <w:numFmt w:val="bullet"/>
      <w:lvlText w:val="•"/>
      <w:lvlJc w:val="left"/>
      <w:pPr>
        <w:ind w:left="5343" w:hanging="303"/>
      </w:pPr>
      <w:rPr>
        <w:rFonts w:hint="default"/>
        <w:lang w:val="pt-PT" w:eastAsia="en-US" w:bidi="ar-SA"/>
      </w:rPr>
    </w:lvl>
    <w:lvl w:ilvl="6">
      <w:start w:val="0"/>
      <w:numFmt w:val="bullet"/>
      <w:lvlText w:val="•"/>
      <w:lvlJc w:val="left"/>
      <w:pPr>
        <w:ind w:left="6375" w:hanging="303"/>
      </w:pPr>
      <w:rPr>
        <w:rFonts w:hint="default"/>
        <w:lang w:val="pt-PT" w:eastAsia="en-US" w:bidi="ar-SA"/>
      </w:rPr>
    </w:lvl>
    <w:lvl w:ilvl="7">
      <w:start w:val="0"/>
      <w:numFmt w:val="bullet"/>
      <w:lvlText w:val="•"/>
      <w:lvlJc w:val="left"/>
      <w:pPr>
        <w:ind w:left="7408" w:hanging="303"/>
      </w:pPr>
      <w:rPr>
        <w:rFonts w:hint="default"/>
        <w:lang w:val="pt-PT" w:eastAsia="en-US" w:bidi="ar-SA"/>
      </w:rPr>
    </w:lvl>
    <w:lvl w:ilvl="8">
      <w:start w:val="0"/>
      <w:numFmt w:val="bullet"/>
      <w:lvlText w:val="•"/>
      <w:lvlJc w:val="left"/>
      <w:pPr>
        <w:ind w:left="8441" w:hanging="303"/>
      </w:pPr>
      <w:rPr>
        <w:rFonts w:hint="default"/>
        <w:lang w:val="pt-PT" w:eastAsia="en-US" w:bidi="ar-SA"/>
      </w:rPr>
    </w:lvl>
  </w:abstractNum>
  <w:abstractNum w:abstractNumId="45">
    <w:multiLevelType w:val="hybridMultilevel"/>
    <w:lvl w:ilvl="0">
      <w:start w:val="0"/>
      <w:numFmt w:val="bullet"/>
      <w:lvlText w:val="-"/>
      <w:lvlJc w:val="left"/>
      <w:pPr>
        <w:ind w:left="68"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362" w:hanging="89"/>
      </w:pPr>
      <w:rPr>
        <w:rFonts w:hint="default"/>
        <w:lang w:val="pt-PT" w:eastAsia="en-US" w:bidi="ar-SA"/>
      </w:rPr>
    </w:lvl>
    <w:lvl w:ilvl="2">
      <w:start w:val="0"/>
      <w:numFmt w:val="bullet"/>
      <w:lvlText w:val="•"/>
      <w:lvlJc w:val="left"/>
      <w:pPr>
        <w:ind w:left="665" w:hanging="89"/>
      </w:pPr>
      <w:rPr>
        <w:rFonts w:hint="default"/>
        <w:lang w:val="pt-PT" w:eastAsia="en-US" w:bidi="ar-SA"/>
      </w:rPr>
    </w:lvl>
    <w:lvl w:ilvl="3">
      <w:start w:val="0"/>
      <w:numFmt w:val="bullet"/>
      <w:lvlText w:val="•"/>
      <w:lvlJc w:val="left"/>
      <w:pPr>
        <w:ind w:left="968" w:hanging="89"/>
      </w:pPr>
      <w:rPr>
        <w:rFonts w:hint="default"/>
        <w:lang w:val="pt-PT" w:eastAsia="en-US" w:bidi="ar-SA"/>
      </w:rPr>
    </w:lvl>
    <w:lvl w:ilvl="4">
      <w:start w:val="0"/>
      <w:numFmt w:val="bullet"/>
      <w:lvlText w:val="•"/>
      <w:lvlJc w:val="left"/>
      <w:pPr>
        <w:ind w:left="1270" w:hanging="89"/>
      </w:pPr>
      <w:rPr>
        <w:rFonts w:hint="default"/>
        <w:lang w:val="pt-PT" w:eastAsia="en-US" w:bidi="ar-SA"/>
      </w:rPr>
    </w:lvl>
    <w:lvl w:ilvl="5">
      <w:start w:val="0"/>
      <w:numFmt w:val="bullet"/>
      <w:lvlText w:val="•"/>
      <w:lvlJc w:val="left"/>
      <w:pPr>
        <w:ind w:left="1573" w:hanging="89"/>
      </w:pPr>
      <w:rPr>
        <w:rFonts w:hint="default"/>
        <w:lang w:val="pt-PT" w:eastAsia="en-US" w:bidi="ar-SA"/>
      </w:rPr>
    </w:lvl>
    <w:lvl w:ilvl="6">
      <w:start w:val="0"/>
      <w:numFmt w:val="bullet"/>
      <w:lvlText w:val="•"/>
      <w:lvlJc w:val="left"/>
      <w:pPr>
        <w:ind w:left="1876" w:hanging="89"/>
      </w:pPr>
      <w:rPr>
        <w:rFonts w:hint="default"/>
        <w:lang w:val="pt-PT" w:eastAsia="en-US" w:bidi="ar-SA"/>
      </w:rPr>
    </w:lvl>
    <w:lvl w:ilvl="7">
      <w:start w:val="0"/>
      <w:numFmt w:val="bullet"/>
      <w:lvlText w:val="•"/>
      <w:lvlJc w:val="left"/>
      <w:pPr>
        <w:ind w:left="2178" w:hanging="89"/>
      </w:pPr>
      <w:rPr>
        <w:rFonts w:hint="default"/>
        <w:lang w:val="pt-PT" w:eastAsia="en-US" w:bidi="ar-SA"/>
      </w:rPr>
    </w:lvl>
    <w:lvl w:ilvl="8">
      <w:start w:val="0"/>
      <w:numFmt w:val="bullet"/>
      <w:lvlText w:val="•"/>
      <w:lvlJc w:val="left"/>
      <w:pPr>
        <w:ind w:left="2481" w:hanging="89"/>
      </w:pPr>
      <w:rPr>
        <w:rFonts w:hint="default"/>
        <w:lang w:val="pt-PT" w:eastAsia="en-US" w:bidi="ar-SA"/>
      </w:rPr>
    </w:lvl>
  </w:abstractNum>
  <w:abstractNum w:abstractNumId="44">
    <w:multiLevelType w:val="hybridMultilevel"/>
    <w:lvl w:ilvl="0">
      <w:start w:val="0"/>
      <w:numFmt w:val="bullet"/>
      <w:lvlText w:val="-"/>
      <w:lvlJc w:val="left"/>
      <w:pPr>
        <w:ind w:left="71"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401" w:hanging="89"/>
      </w:pPr>
      <w:rPr>
        <w:rFonts w:hint="default"/>
        <w:lang w:val="pt-PT" w:eastAsia="en-US" w:bidi="ar-SA"/>
      </w:rPr>
    </w:lvl>
    <w:lvl w:ilvl="2">
      <w:start w:val="0"/>
      <w:numFmt w:val="bullet"/>
      <w:lvlText w:val="•"/>
      <w:lvlJc w:val="left"/>
      <w:pPr>
        <w:ind w:left="723" w:hanging="89"/>
      </w:pPr>
      <w:rPr>
        <w:rFonts w:hint="default"/>
        <w:lang w:val="pt-PT" w:eastAsia="en-US" w:bidi="ar-SA"/>
      </w:rPr>
    </w:lvl>
    <w:lvl w:ilvl="3">
      <w:start w:val="0"/>
      <w:numFmt w:val="bullet"/>
      <w:lvlText w:val="•"/>
      <w:lvlJc w:val="left"/>
      <w:pPr>
        <w:ind w:left="1045" w:hanging="89"/>
      </w:pPr>
      <w:rPr>
        <w:rFonts w:hint="default"/>
        <w:lang w:val="pt-PT" w:eastAsia="en-US" w:bidi="ar-SA"/>
      </w:rPr>
    </w:lvl>
    <w:lvl w:ilvl="4">
      <w:start w:val="0"/>
      <w:numFmt w:val="bullet"/>
      <w:lvlText w:val="•"/>
      <w:lvlJc w:val="left"/>
      <w:pPr>
        <w:ind w:left="1367" w:hanging="89"/>
      </w:pPr>
      <w:rPr>
        <w:rFonts w:hint="default"/>
        <w:lang w:val="pt-PT" w:eastAsia="en-US" w:bidi="ar-SA"/>
      </w:rPr>
    </w:lvl>
    <w:lvl w:ilvl="5">
      <w:start w:val="0"/>
      <w:numFmt w:val="bullet"/>
      <w:lvlText w:val="•"/>
      <w:lvlJc w:val="left"/>
      <w:pPr>
        <w:ind w:left="1689" w:hanging="89"/>
      </w:pPr>
      <w:rPr>
        <w:rFonts w:hint="default"/>
        <w:lang w:val="pt-PT" w:eastAsia="en-US" w:bidi="ar-SA"/>
      </w:rPr>
    </w:lvl>
    <w:lvl w:ilvl="6">
      <w:start w:val="0"/>
      <w:numFmt w:val="bullet"/>
      <w:lvlText w:val="•"/>
      <w:lvlJc w:val="left"/>
      <w:pPr>
        <w:ind w:left="2010" w:hanging="89"/>
      </w:pPr>
      <w:rPr>
        <w:rFonts w:hint="default"/>
        <w:lang w:val="pt-PT" w:eastAsia="en-US" w:bidi="ar-SA"/>
      </w:rPr>
    </w:lvl>
    <w:lvl w:ilvl="7">
      <w:start w:val="0"/>
      <w:numFmt w:val="bullet"/>
      <w:lvlText w:val="•"/>
      <w:lvlJc w:val="left"/>
      <w:pPr>
        <w:ind w:left="2332" w:hanging="89"/>
      </w:pPr>
      <w:rPr>
        <w:rFonts w:hint="default"/>
        <w:lang w:val="pt-PT" w:eastAsia="en-US" w:bidi="ar-SA"/>
      </w:rPr>
    </w:lvl>
    <w:lvl w:ilvl="8">
      <w:start w:val="0"/>
      <w:numFmt w:val="bullet"/>
      <w:lvlText w:val="•"/>
      <w:lvlJc w:val="left"/>
      <w:pPr>
        <w:ind w:left="2654" w:hanging="89"/>
      </w:pPr>
      <w:rPr>
        <w:rFonts w:hint="default"/>
        <w:lang w:val="pt-PT" w:eastAsia="en-US" w:bidi="ar-SA"/>
      </w:rPr>
    </w:lvl>
  </w:abstractNum>
  <w:abstractNum w:abstractNumId="43">
    <w:multiLevelType w:val="hybridMultilevel"/>
    <w:lvl w:ilvl="0">
      <w:start w:val="0"/>
      <w:numFmt w:val="bullet"/>
      <w:lvlText w:val="-"/>
      <w:lvlJc w:val="left"/>
      <w:pPr>
        <w:ind w:left="72"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422" w:hanging="89"/>
      </w:pPr>
      <w:rPr>
        <w:rFonts w:hint="default"/>
        <w:lang w:val="pt-PT" w:eastAsia="en-US" w:bidi="ar-SA"/>
      </w:rPr>
    </w:lvl>
    <w:lvl w:ilvl="2">
      <w:start w:val="0"/>
      <w:numFmt w:val="bullet"/>
      <w:lvlText w:val="•"/>
      <w:lvlJc w:val="left"/>
      <w:pPr>
        <w:ind w:left="764" w:hanging="89"/>
      </w:pPr>
      <w:rPr>
        <w:rFonts w:hint="default"/>
        <w:lang w:val="pt-PT" w:eastAsia="en-US" w:bidi="ar-SA"/>
      </w:rPr>
    </w:lvl>
    <w:lvl w:ilvl="3">
      <w:start w:val="0"/>
      <w:numFmt w:val="bullet"/>
      <w:lvlText w:val="•"/>
      <w:lvlJc w:val="left"/>
      <w:pPr>
        <w:ind w:left="1106" w:hanging="89"/>
      </w:pPr>
      <w:rPr>
        <w:rFonts w:hint="default"/>
        <w:lang w:val="pt-PT" w:eastAsia="en-US" w:bidi="ar-SA"/>
      </w:rPr>
    </w:lvl>
    <w:lvl w:ilvl="4">
      <w:start w:val="0"/>
      <w:numFmt w:val="bullet"/>
      <w:lvlText w:val="•"/>
      <w:lvlJc w:val="left"/>
      <w:pPr>
        <w:ind w:left="1448" w:hanging="89"/>
      </w:pPr>
      <w:rPr>
        <w:rFonts w:hint="default"/>
        <w:lang w:val="pt-PT" w:eastAsia="en-US" w:bidi="ar-SA"/>
      </w:rPr>
    </w:lvl>
    <w:lvl w:ilvl="5">
      <w:start w:val="0"/>
      <w:numFmt w:val="bullet"/>
      <w:lvlText w:val="•"/>
      <w:lvlJc w:val="left"/>
      <w:pPr>
        <w:ind w:left="1790" w:hanging="89"/>
      </w:pPr>
      <w:rPr>
        <w:rFonts w:hint="default"/>
        <w:lang w:val="pt-PT" w:eastAsia="en-US" w:bidi="ar-SA"/>
      </w:rPr>
    </w:lvl>
    <w:lvl w:ilvl="6">
      <w:start w:val="0"/>
      <w:numFmt w:val="bullet"/>
      <w:lvlText w:val="•"/>
      <w:lvlJc w:val="left"/>
      <w:pPr>
        <w:ind w:left="2132" w:hanging="89"/>
      </w:pPr>
      <w:rPr>
        <w:rFonts w:hint="default"/>
        <w:lang w:val="pt-PT" w:eastAsia="en-US" w:bidi="ar-SA"/>
      </w:rPr>
    </w:lvl>
    <w:lvl w:ilvl="7">
      <w:start w:val="0"/>
      <w:numFmt w:val="bullet"/>
      <w:lvlText w:val="•"/>
      <w:lvlJc w:val="left"/>
      <w:pPr>
        <w:ind w:left="2474" w:hanging="89"/>
      </w:pPr>
      <w:rPr>
        <w:rFonts w:hint="default"/>
        <w:lang w:val="pt-PT" w:eastAsia="en-US" w:bidi="ar-SA"/>
      </w:rPr>
    </w:lvl>
    <w:lvl w:ilvl="8">
      <w:start w:val="0"/>
      <w:numFmt w:val="bullet"/>
      <w:lvlText w:val="•"/>
      <w:lvlJc w:val="left"/>
      <w:pPr>
        <w:ind w:left="2816" w:hanging="89"/>
      </w:pPr>
      <w:rPr>
        <w:rFonts w:hint="default"/>
        <w:lang w:val="pt-PT" w:eastAsia="en-US" w:bidi="ar-SA"/>
      </w:rPr>
    </w:lvl>
  </w:abstractNum>
  <w:abstractNum w:abstractNumId="42">
    <w:multiLevelType w:val="hybridMultilevel"/>
    <w:lvl w:ilvl="0">
      <w:start w:val="0"/>
      <w:numFmt w:val="bullet"/>
      <w:lvlText w:val="-"/>
      <w:lvlJc w:val="left"/>
      <w:pPr>
        <w:ind w:left="68"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362" w:hanging="89"/>
      </w:pPr>
      <w:rPr>
        <w:rFonts w:hint="default"/>
        <w:lang w:val="pt-PT" w:eastAsia="en-US" w:bidi="ar-SA"/>
      </w:rPr>
    </w:lvl>
    <w:lvl w:ilvl="2">
      <w:start w:val="0"/>
      <w:numFmt w:val="bullet"/>
      <w:lvlText w:val="•"/>
      <w:lvlJc w:val="left"/>
      <w:pPr>
        <w:ind w:left="665" w:hanging="89"/>
      </w:pPr>
      <w:rPr>
        <w:rFonts w:hint="default"/>
        <w:lang w:val="pt-PT" w:eastAsia="en-US" w:bidi="ar-SA"/>
      </w:rPr>
    </w:lvl>
    <w:lvl w:ilvl="3">
      <w:start w:val="0"/>
      <w:numFmt w:val="bullet"/>
      <w:lvlText w:val="•"/>
      <w:lvlJc w:val="left"/>
      <w:pPr>
        <w:ind w:left="968" w:hanging="89"/>
      </w:pPr>
      <w:rPr>
        <w:rFonts w:hint="default"/>
        <w:lang w:val="pt-PT" w:eastAsia="en-US" w:bidi="ar-SA"/>
      </w:rPr>
    </w:lvl>
    <w:lvl w:ilvl="4">
      <w:start w:val="0"/>
      <w:numFmt w:val="bullet"/>
      <w:lvlText w:val="•"/>
      <w:lvlJc w:val="left"/>
      <w:pPr>
        <w:ind w:left="1270" w:hanging="89"/>
      </w:pPr>
      <w:rPr>
        <w:rFonts w:hint="default"/>
        <w:lang w:val="pt-PT" w:eastAsia="en-US" w:bidi="ar-SA"/>
      </w:rPr>
    </w:lvl>
    <w:lvl w:ilvl="5">
      <w:start w:val="0"/>
      <w:numFmt w:val="bullet"/>
      <w:lvlText w:val="•"/>
      <w:lvlJc w:val="left"/>
      <w:pPr>
        <w:ind w:left="1573" w:hanging="89"/>
      </w:pPr>
      <w:rPr>
        <w:rFonts w:hint="default"/>
        <w:lang w:val="pt-PT" w:eastAsia="en-US" w:bidi="ar-SA"/>
      </w:rPr>
    </w:lvl>
    <w:lvl w:ilvl="6">
      <w:start w:val="0"/>
      <w:numFmt w:val="bullet"/>
      <w:lvlText w:val="•"/>
      <w:lvlJc w:val="left"/>
      <w:pPr>
        <w:ind w:left="1876" w:hanging="89"/>
      </w:pPr>
      <w:rPr>
        <w:rFonts w:hint="default"/>
        <w:lang w:val="pt-PT" w:eastAsia="en-US" w:bidi="ar-SA"/>
      </w:rPr>
    </w:lvl>
    <w:lvl w:ilvl="7">
      <w:start w:val="0"/>
      <w:numFmt w:val="bullet"/>
      <w:lvlText w:val="•"/>
      <w:lvlJc w:val="left"/>
      <w:pPr>
        <w:ind w:left="2178" w:hanging="89"/>
      </w:pPr>
      <w:rPr>
        <w:rFonts w:hint="default"/>
        <w:lang w:val="pt-PT" w:eastAsia="en-US" w:bidi="ar-SA"/>
      </w:rPr>
    </w:lvl>
    <w:lvl w:ilvl="8">
      <w:start w:val="0"/>
      <w:numFmt w:val="bullet"/>
      <w:lvlText w:val="•"/>
      <w:lvlJc w:val="left"/>
      <w:pPr>
        <w:ind w:left="2481" w:hanging="89"/>
      </w:pPr>
      <w:rPr>
        <w:rFonts w:hint="default"/>
        <w:lang w:val="pt-PT" w:eastAsia="en-US" w:bidi="ar-SA"/>
      </w:rPr>
    </w:lvl>
  </w:abstractNum>
  <w:abstractNum w:abstractNumId="41">
    <w:multiLevelType w:val="hybridMultilevel"/>
    <w:lvl w:ilvl="0">
      <w:start w:val="0"/>
      <w:numFmt w:val="bullet"/>
      <w:lvlText w:val="-"/>
      <w:lvlJc w:val="left"/>
      <w:pPr>
        <w:ind w:left="71"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401" w:hanging="89"/>
      </w:pPr>
      <w:rPr>
        <w:rFonts w:hint="default"/>
        <w:lang w:val="pt-PT" w:eastAsia="en-US" w:bidi="ar-SA"/>
      </w:rPr>
    </w:lvl>
    <w:lvl w:ilvl="2">
      <w:start w:val="0"/>
      <w:numFmt w:val="bullet"/>
      <w:lvlText w:val="•"/>
      <w:lvlJc w:val="left"/>
      <w:pPr>
        <w:ind w:left="723" w:hanging="89"/>
      </w:pPr>
      <w:rPr>
        <w:rFonts w:hint="default"/>
        <w:lang w:val="pt-PT" w:eastAsia="en-US" w:bidi="ar-SA"/>
      </w:rPr>
    </w:lvl>
    <w:lvl w:ilvl="3">
      <w:start w:val="0"/>
      <w:numFmt w:val="bullet"/>
      <w:lvlText w:val="•"/>
      <w:lvlJc w:val="left"/>
      <w:pPr>
        <w:ind w:left="1045" w:hanging="89"/>
      </w:pPr>
      <w:rPr>
        <w:rFonts w:hint="default"/>
        <w:lang w:val="pt-PT" w:eastAsia="en-US" w:bidi="ar-SA"/>
      </w:rPr>
    </w:lvl>
    <w:lvl w:ilvl="4">
      <w:start w:val="0"/>
      <w:numFmt w:val="bullet"/>
      <w:lvlText w:val="•"/>
      <w:lvlJc w:val="left"/>
      <w:pPr>
        <w:ind w:left="1367" w:hanging="89"/>
      </w:pPr>
      <w:rPr>
        <w:rFonts w:hint="default"/>
        <w:lang w:val="pt-PT" w:eastAsia="en-US" w:bidi="ar-SA"/>
      </w:rPr>
    </w:lvl>
    <w:lvl w:ilvl="5">
      <w:start w:val="0"/>
      <w:numFmt w:val="bullet"/>
      <w:lvlText w:val="•"/>
      <w:lvlJc w:val="left"/>
      <w:pPr>
        <w:ind w:left="1689" w:hanging="89"/>
      </w:pPr>
      <w:rPr>
        <w:rFonts w:hint="default"/>
        <w:lang w:val="pt-PT" w:eastAsia="en-US" w:bidi="ar-SA"/>
      </w:rPr>
    </w:lvl>
    <w:lvl w:ilvl="6">
      <w:start w:val="0"/>
      <w:numFmt w:val="bullet"/>
      <w:lvlText w:val="•"/>
      <w:lvlJc w:val="left"/>
      <w:pPr>
        <w:ind w:left="2010" w:hanging="89"/>
      </w:pPr>
      <w:rPr>
        <w:rFonts w:hint="default"/>
        <w:lang w:val="pt-PT" w:eastAsia="en-US" w:bidi="ar-SA"/>
      </w:rPr>
    </w:lvl>
    <w:lvl w:ilvl="7">
      <w:start w:val="0"/>
      <w:numFmt w:val="bullet"/>
      <w:lvlText w:val="•"/>
      <w:lvlJc w:val="left"/>
      <w:pPr>
        <w:ind w:left="2332" w:hanging="89"/>
      </w:pPr>
      <w:rPr>
        <w:rFonts w:hint="default"/>
        <w:lang w:val="pt-PT" w:eastAsia="en-US" w:bidi="ar-SA"/>
      </w:rPr>
    </w:lvl>
    <w:lvl w:ilvl="8">
      <w:start w:val="0"/>
      <w:numFmt w:val="bullet"/>
      <w:lvlText w:val="•"/>
      <w:lvlJc w:val="left"/>
      <w:pPr>
        <w:ind w:left="2654" w:hanging="89"/>
      </w:pPr>
      <w:rPr>
        <w:rFonts w:hint="default"/>
        <w:lang w:val="pt-PT" w:eastAsia="en-US" w:bidi="ar-SA"/>
      </w:rPr>
    </w:lvl>
  </w:abstractNum>
  <w:abstractNum w:abstractNumId="40">
    <w:multiLevelType w:val="hybridMultilevel"/>
    <w:lvl w:ilvl="0">
      <w:start w:val="0"/>
      <w:numFmt w:val="bullet"/>
      <w:lvlText w:val="-"/>
      <w:lvlJc w:val="left"/>
      <w:pPr>
        <w:ind w:left="161" w:hanging="89"/>
      </w:pPr>
      <w:rPr>
        <w:rFonts w:hint="default" w:ascii="Trebuchet MS" w:hAnsi="Trebuchet MS" w:eastAsia="Trebuchet MS" w:cs="Trebuchet MS"/>
        <w:w w:val="90"/>
        <w:sz w:val="16"/>
        <w:szCs w:val="16"/>
        <w:lang w:val="pt-PT" w:eastAsia="en-US" w:bidi="ar-SA"/>
      </w:rPr>
    </w:lvl>
    <w:lvl w:ilvl="1">
      <w:start w:val="0"/>
      <w:numFmt w:val="bullet"/>
      <w:lvlText w:val="•"/>
      <w:lvlJc w:val="left"/>
      <w:pPr>
        <w:ind w:left="494" w:hanging="89"/>
      </w:pPr>
      <w:rPr>
        <w:rFonts w:hint="default"/>
        <w:lang w:val="pt-PT" w:eastAsia="en-US" w:bidi="ar-SA"/>
      </w:rPr>
    </w:lvl>
    <w:lvl w:ilvl="2">
      <w:start w:val="0"/>
      <w:numFmt w:val="bullet"/>
      <w:lvlText w:val="•"/>
      <w:lvlJc w:val="left"/>
      <w:pPr>
        <w:ind w:left="828" w:hanging="89"/>
      </w:pPr>
      <w:rPr>
        <w:rFonts w:hint="default"/>
        <w:lang w:val="pt-PT" w:eastAsia="en-US" w:bidi="ar-SA"/>
      </w:rPr>
    </w:lvl>
    <w:lvl w:ilvl="3">
      <w:start w:val="0"/>
      <w:numFmt w:val="bullet"/>
      <w:lvlText w:val="•"/>
      <w:lvlJc w:val="left"/>
      <w:pPr>
        <w:ind w:left="1162" w:hanging="89"/>
      </w:pPr>
      <w:rPr>
        <w:rFonts w:hint="default"/>
        <w:lang w:val="pt-PT" w:eastAsia="en-US" w:bidi="ar-SA"/>
      </w:rPr>
    </w:lvl>
    <w:lvl w:ilvl="4">
      <w:start w:val="0"/>
      <w:numFmt w:val="bullet"/>
      <w:lvlText w:val="•"/>
      <w:lvlJc w:val="left"/>
      <w:pPr>
        <w:ind w:left="1496" w:hanging="89"/>
      </w:pPr>
      <w:rPr>
        <w:rFonts w:hint="default"/>
        <w:lang w:val="pt-PT" w:eastAsia="en-US" w:bidi="ar-SA"/>
      </w:rPr>
    </w:lvl>
    <w:lvl w:ilvl="5">
      <w:start w:val="0"/>
      <w:numFmt w:val="bullet"/>
      <w:lvlText w:val="•"/>
      <w:lvlJc w:val="left"/>
      <w:pPr>
        <w:ind w:left="1830" w:hanging="89"/>
      </w:pPr>
      <w:rPr>
        <w:rFonts w:hint="default"/>
        <w:lang w:val="pt-PT" w:eastAsia="en-US" w:bidi="ar-SA"/>
      </w:rPr>
    </w:lvl>
    <w:lvl w:ilvl="6">
      <w:start w:val="0"/>
      <w:numFmt w:val="bullet"/>
      <w:lvlText w:val="•"/>
      <w:lvlJc w:val="left"/>
      <w:pPr>
        <w:ind w:left="2164" w:hanging="89"/>
      </w:pPr>
      <w:rPr>
        <w:rFonts w:hint="default"/>
        <w:lang w:val="pt-PT" w:eastAsia="en-US" w:bidi="ar-SA"/>
      </w:rPr>
    </w:lvl>
    <w:lvl w:ilvl="7">
      <w:start w:val="0"/>
      <w:numFmt w:val="bullet"/>
      <w:lvlText w:val="•"/>
      <w:lvlJc w:val="left"/>
      <w:pPr>
        <w:ind w:left="2498" w:hanging="89"/>
      </w:pPr>
      <w:rPr>
        <w:rFonts w:hint="default"/>
        <w:lang w:val="pt-PT" w:eastAsia="en-US" w:bidi="ar-SA"/>
      </w:rPr>
    </w:lvl>
    <w:lvl w:ilvl="8">
      <w:start w:val="0"/>
      <w:numFmt w:val="bullet"/>
      <w:lvlText w:val="•"/>
      <w:lvlJc w:val="left"/>
      <w:pPr>
        <w:ind w:left="2832" w:hanging="89"/>
      </w:pPr>
      <w:rPr>
        <w:rFonts w:hint="default"/>
        <w:lang w:val="pt-PT" w:eastAsia="en-US" w:bidi="ar-SA"/>
      </w:rPr>
    </w:lvl>
  </w:abstractNum>
  <w:abstractNum w:abstractNumId="39">
    <w:multiLevelType w:val="hybridMultilevel"/>
    <w:lvl w:ilvl="0">
      <w:start w:val="1"/>
      <w:numFmt w:val="lowerLetter"/>
      <w:lvlText w:val="(%1)"/>
      <w:lvlJc w:val="left"/>
      <w:pPr>
        <w:ind w:left="172" w:hanging="337"/>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212" w:hanging="337"/>
      </w:pPr>
      <w:rPr>
        <w:rFonts w:hint="default"/>
        <w:lang w:val="pt-PT" w:eastAsia="en-US" w:bidi="ar-SA"/>
      </w:rPr>
    </w:lvl>
    <w:lvl w:ilvl="2">
      <w:start w:val="0"/>
      <w:numFmt w:val="bullet"/>
      <w:lvlText w:val="•"/>
      <w:lvlJc w:val="left"/>
      <w:pPr>
        <w:ind w:left="2245" w:hanging="337"/>
      </w:pPr>
      <w:rPr>
        <w:rFonts w:hint="default"/>
        <w:lang w:val="pt-PT" w:eastAsia="en-US" w:bidi="ar-SA"/>
      </w:rPr>
    </w:lvl>
    <w:lvl w:ilvl="3">
      <w:start w:val="0"/>
      <w:numFmt w:val="bullet"/>
      <w:lvlText w:val="•"/>
      <w:lvlJc w:val="left"/>
      <w:pPr>
        <w:ind w:left="3277" w:hanging="337"/>
      </w:pPr>
      <w:rPr>
        <w:rFonts w:hint="default"/>
        <w:lang w:val="pt-PT" w:eastAsia="en-US" w:bidi="ar-SA"/>
      </w:rPr>
    </w:lvl>
    <w:lvl w:ilvl="4">
      <w:start w:val="0"/>
      <w:numFmt w:val="bullet"/>
      <w:lvlText w:val="•"/>
      <w:lvlJc w:val="left"/>
      <w:pPr>
        <w:ind w:left="4310" w:hanging="337"/>
      </w:pPr>
      <w:rPr>
        <w:rFonts w:hint="default"/>
        <w:lang w:val="pt-PT" w:eastAsia="en-US" w:bidi="ar-SA"/>
      </w:rPr>
    </w:lvl>
    <w:lvl w:ilvl="5">
      <w:start w:val="0"/>
      <w:numFmt w:val="bullet"/>
      <w:lvlText w:val="•"/>
      <w:lvlJc w:val="left"/>
      <w:pPr>
        <w:ind w:left="5343" w:hanging="337"/>
      </w:pPr>
      <w:rPr>
        <w:rFonts w:hint="default"/>
        <w:lang w:val="pt-PT" w:eastAsia="en-US" w:bidi="ar-SA"/>
      </w:rPr>
    </w:lvl>
    <w:lvl w:ilvl="6">
      <w:start w:val="0"/>
      <w:numFmt w:val="bullet"/>
      <w:lvlText w:val="•"/>
      <w:lvlJc w:val="left"/>
      <w:pPr>
        <w:ind w:left="6375" w:hanging="337"/>
      </w:pPr>
      <w:rPr>
        <w:rFonts w:hint="default"/>
        <w:lang w:val="pt-PT" w:eastAsia="en-US" w:bidi="ar-SA"/>
      </w:rPr>
    </w:lvl>
    <w:lvl w:ilvl="7">
      <w:start w:val="0"/>
      <w:numFmt w:val="bullet"/>
      <w:lvlText w:val="•"/>
      <w:lvlJc w:val="left"/>
      <w:pPr>
        <w:ind w:left="7408" w:hanging="337"/>
      </w:pPr>
      <w:rPr>
        <w:rFonts w:hint="default"/>
        <w:lang w:val="pt-PT" w:eastAsia="en-US" w:bidi="ar-SA"/>
      </w:rPr>
    </w:lvl>
    <w:lvl w:ilvl="8">
      <w:start w:val="0"/>
      <w:numFmt w:val="bullet"/>
      <w:lvlText w:val="•"/>
      <w:lvlJc w:val="left"/>
      <w:pPr>
        <w:ind w:left="8441" w:hanging="337"/>
      </w:pPr>
      <w:rPr>
        <w:rFonts w:hint="default"/>
        <w:lang w:val="pt-PT" w:eastAsia="en-US" w:bidi="ar-SA"/>
      </w:rPr>
    </w:lvl>
  </w:abstractNum>
  <w:abstractNum w:abstractNumId="38">
    <w:multiLevelType w:val="hybridMultilevel"/>
    <w:lvl w:ilvl="0">
      <w:start w:val="1"/>
      <w:numFmt w:val="lowerLetter"/>
      <w:lvlText w:val="%1)"/>
      <w:lvlJc w:val="left"/>
      <w:pPr>
        <w:ind w:left="456" w:hanging="284"/>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166" w:hanging="428"/>
      </w:pPr>
      <w:rPr>
        <w:rFonts w:hint="default" w:ascii="Symbol" w:hAnsi="Symbol" w:eastAsia="Symbol" w:cs="Symbol"/>
        <w:w w:val="99"/>
        <w:sz w:val="20"/>
        <w:szCs w:val="20"/>
        <w:lang w:val="pt-PT" w:eastAsia="en-US" w:bidi="ar-SA"/>
      </w:rPr>
    </w:lvl>
    <w:lvl w:ilvl="2">
      <w:start w:val="0"/>
      <w:numFmt w:val="bullet"/>
      <w:lvlText w:val="•"/>
      <w:lvlJc w:val="left"/>
      <w:pPr>
        <w:ind w:left="2198" w:hanging="428"/>
      </w:pPr>
      <w:rPr>
        <w:rFonts w:hint="default"/>
        <w:lang w:val="pt-PT" w:eastAsia="en-US" w:bidi="ar-SA"/>
      </w:rPr>
    </w:lvl>
    <w:lvl w:ilvl="3">
      <w:start w:val="0"/>
      <w:numFmt w:val="bullet"/>
      <w:lvlText w:val="•"/>
      <w:lvlJc w:val="left"/>
      <w:pPr>
        <w:ind w:left="3236" w:hanging="428"/>
      </w:pPr>
      <w:rPr>
        <w:rFonts w:hint="default"/>
        <w:lang w:val="pt-PT" w:eastAsia="en-US" w:bidi="ar-SA"/>
      </w:rPr>
    </w:lvl>
    <w:lvl w:ilvl="4">
      <w:start w:val="0"/>
      <w:numFmt w:val="bullet"/>
      <w:lvlText w:val="•"/>
      <w:lvlJc w:val="left"/>
      <w:pPr>
        <w:ind w:left="4275" w:hanging="428"/>
      </w:pPr>
      <w:rPr>
        <w:rFonts w:hint="default"/>
        <w:lang w:val="pt-PT" w:eastAsia="en-US" w:bidi="ar-SA"/>
      </w:rPr>
    </w:lvl>
    <w:lvl w:ilvl="5">
      <w:start w:val="0"/>
      <w:numFmt w:val="bullet"/>
      <w:lvlText w:val="•"/>
      <w:lvlJc w:val="left"/>
      <w:pPr>
        <w:ind w:left="5313" w:hanging="428"/>
      </w:pPr>
      <w:rPr>
        <w:rFonts w:hint="default"/>
        <w:lang w:val="pt-PT" w:eastAsia="en-US" w:bidi="ar-SA"/>
      </w:rPr>
    </w:lvl>
    <w:lvl w:ilvl="6">
      <w:start w:val="0"/>
      <w:numFmt w:val="bullet"/>
      <w:lvlText w:val="•"/>
      <w:lvlJc w:val="left"/>
      <w:pPr>
        <w:ind w:left="6352" w:hanging="428"/>
      </w:pPr>
      <w:rPr>
        <w:rFonts w:hint="default"/>
        <w:lang w:val="pt-PT" w:eastAsia="en-US" w:bidi="ar-SA"/>
      </w:rPr>
    </w:lvl>
    <w:lvl w:ilvl="7">
      <w:start w:val="0"/>
      <w:numFmt w:val="bullet"/>
      <w:lvlText w:val="•"/>
      <w:lvlJc w:val="left"/>
      <w:pPr>
        <w:ind w:left="7390" w:hanging="428"/>
      </w:pPr>
      <w:rPr>
        <w:rFonts w:hint="default"/>
        <w:lang w:val="pt-PT" w:eastAsia="en-US" w:bidi="ar-SA"/>
      </w:rPr>
    </w:lvl>
    <w:lvl w:ilvl="8">
      <w:start w:val="0"/>
      <w:numFmt w:val="bullet"/>
      <w:lvlText w:val="•"/>
      <w:lvlJc w:val="left"/>
      <w:pPr>
        <w:ind w:left="8429" w:hanging="428"/>
      </w:pPr>
      <w:rPr>
        <w:rFonts w:hint="default"/>
        <w:lang w:val="pt-PT" w:eastAsia="en-US" w:bidi="ar-SA"/>
      </w:rPr>
    </w:lvl>
  </w:abstractNum>
  <w:abstractNum w:abstractNumId="37">
    <w:multiLevelType w:val="hybridMultilevel"/>
    <w:lvl w:ilvl="0">
      <w:start w:val="30"/>
      <w:numFmt w:val="decimal"/>
      <w:lvlText w:val="%1"/>
      <w:lvlJc w:val="left"/>
      <w:pPr>
        <w:ind w:left="1025" w:hanging="853"/>
        <w:jc w:val="left"/>
      </w:pPr>
      <w:rPr>
        <w:rFonts w:hint="default"/>
        <w:lang w:val="pt-PT" w:eastAsia="en-US" w:bidi="ar-SA"/>
      </w:rPr>
    </w:lvl>
    <w:lvl w:ilvl="1">
      <w:start w:val="3"/>
      <w:numFmt w:val="decimal"/>
      <w:lvlText w:val="%1.%2."/>
      <w:lvlJc w:val="left"/>
      <w:pPr>
        <w:ind w:left="1025" w:hanging="853"/>
        <w:jc w:val="left"/>
      </w:pPr>
      <w:rPr>
        <w:rFonts w:hint="default" w:ascii="Caladea" w:hAnsi="Caladea" w:eastAsia="Caladea" w:cs="Caladea"/>
        <w:b/>
        <w:bCs/>
        <w:spacing w:val="-2"/>
        <w:w w:val="100"/>
        <w:sz w:val="22"/>
        <w:szCs w:val="22"/>
        <w:lang w:val="pt-PT" w:eastAsia="en-US" w:bidi="ar-SA"/>
      </w:rPr>
    </w:lvl>
    <w:lvl w:ilvl="2">
      <w:start w:val="0"/>
      <w:numFmt w:val="bullet"/>
      <w:lvlText w:val="•"/>
      <w:lvlJc w:val="left"/>
      <w:pPr>
        <w:ind w:left="2917" w:hanging="853"/>
      </w:pPr>
      <w:rPr>
        <w:rFonts w:hint="default"/>
        <w:lang w:val="pt-PT" w:eastAsia="en-US" w:bidi="ar-SA"/>
      </w:rPr>
    </w:lvl>
    <w:lvl w:ilvl="3">
      <w:start w:val="0"/>
      <w:numFmt w:val="bullet"/>
      <w:lvlText w:val="•"/>
      <w:lvlJc w:val="left"/>
      <w:pPr>
        <w:ind w:left="3865" w:hanging="853"/>
      </w:pPr>
      <w:rPr>
        <w:rFonts w:hint="default"/>
        <w:lang w:val="pt-PT" w:eastAsia="en-US" w:bidi="ar-SA"/>
      </w:rPr>
    </w:lvl>
    <w:lvl w:ilvl="4">
      <w:start w:val="0"/>
      <w:numFmt w:val="bullet"/>
      <w:lvlText w:val="•"/>
      <w:lvlJc w:val="left"/>
      <w:pPr>
        <w:ind w:left="4814" w:hanging="853"/>
      </w:pPr>
      <w:rPr>
        <w:rFonts w:hint="default"/>
        <w:lang w:val="pt-PT" w:eastAsia="en-US" w:bidi="ar-SA"/>
      </w:rPr>
    </w:lvl>
    <w:lvl w:ilvl="5">
      <w:start w:val="0"/>
      <w:numFmt w:val="bullet"/>
      <w:lvlText w:val="•"/>
      <w:lvlJc w:val="left"/>
      <w:pPr>
        <w:ind w:left="5763" w:hanging="853"/>
      </w:pPr>
      <w:rPr>
        <w:rFonts w:hint="default"/>
        <w:lang w:val="pt-PT" w:eastAsia="en-US" w:bidi="ar-SA"/>
      </w:rPr>
    </w:lvl>
    <w:lvl w:ilvl="6">
      <w:start w:val="0"/>
      <w:numFmt w:val="bullet"/>
      <w:lvlText w:val="•"/>
      <w:lvlJc w:val="left"/>
      <w:pPr>
        <w:ind w:left="6711" w:hanging="853"/>
      </w:pPr>
      <w:rPr>
        <w:rFonts w:hint="default"/>
        <w:lang w:val="pt-PT" w:eastAsia="en-US" w:bidi="ar-SA"/>
      </w:rPr>
    </w:lvl>
    <w:lvl w:ilvl="7">
      <w:start w:val="0"/>
      <w:numFmt w:val="bullet"/>
      <w:lvlText w:val="•"/>
      <w:lvlJc w:val="left"/>
      <w:pPr>
        <w:ind w:left="7660" w:hanging="853"/>
      </w:pPr>
      <w:rPr>
        <w:rFonts w:hint="default"/>
        <w:lang w:val="pt-PT" w:eastAsia="en-US" w:bidi="ar-SA"/>
      </w:rPr>
    </w:lvl>
    <w:lvl w:ilvl="8">
      <w:start w:val="0"/>
      <w:numFmt w:val="bullet"/>
      <w:lvlText w:val="•"/>
      <w:lvlJc w:val="left"/>
      <w:pPr>
        <w:ind w:left="8609" w:hanging="853"/>
      </w:pPr>
      <w:rPr>
        <w:rFonts w:hint="default"/>
        <w:lang w:val="pt-PT" w:eastAsia="en-US" w:bidi="ar-SA"/>
      </w:rPr>
    </w:lvl>
  </w:abstractNum>
  <w:abstractNum w:abstractNumId="36">
    <w:multiLevelType w:val="hybridMultilevel"/>
    <w:lvl w:ilvl="0">
      <w:start w:val="0"/>
      <w:numFmt w:val="bullet"/>
      <w:lvlText w:val="–"/>
      <w:lvlJc w:val="left"/>
      <w:pPr>
        <w:ind w:left="317" w:hanging="145"/>
      </w:pPr>
      <w:rPr>
        <w:rFonts w:hint="default" w:ascii="Trebuchet MS" w:hAnsi="Trebuchet MS" w:eastAsia="Trebuchet MS" w:cs="Trebuchet MS"/>
        <w:w w:val="135"/>
        <w:sz w:val="20"/>
        <w:szCs w:val="20"/>
        <w:lang w:val="pt-PT" w:eastAsia="en-US" w:bidi="ar-SA"/>
      </w:rPr>
    </w:lvl>
    <w:lvl w:ilvl="1">
      <w:start w:val="0"/>
      <w:numFmt w:val="bullet"/>
      <w:lvlText w:val="•"/>
      <w:lvlJc w:val="left"/>
      <w:pPr>
        <w:ind w:left="1338" w:hanging="145"/>
      </w:pPr>
      <w:rPr>
        <w:rFonts w:hint="default"/>
        <w:lang w:val="pt-PT" w:eastAsia="en-US" w:bidi="ar-SA"/>
      </w:rPr>
    </w:lvl>
    <w:lvl w:ilvl="2">
      <w:start w:val="0"/>
      <w:numFmt w:val="bullet"/>
      <w:lvlText w:val="•"/>
      <w:lvlJc w:val="left"/>
      <w:pPr>
        <w:ind w:left="2357" w:hanging="145"/>
      </w:pPr>
      <w:rPr>
        <w:rFonts w:hint="default"/>
        <w:lang w:val="pt-PT" w:eastAsia="en-US" w:bidi="ar-SA"/>
      </w:rPr>
    </w:lvl>
    <w:lvl w:ilvl="3">
      <w:start w:val="0"/>
      <w:numFmt w:val="bullet"/>
      <w:lvlText w:val="•"/>
      <w:lvlJc w:val="left"/>
      <w:pPr>
        <w:ind w:left="3375" w:hanging="145"/>
      </w:pPr>
      <w:rPr>
        <w:rFonts w:hint="default"/>
        <w:lang w:val="pt-PT" w:eastAsia="en-US" w:bidi="ar-SA"/>
      </w:rPr>
    </w:lvl>
    <w:lvl w:ilvl="4">
      <w:start w:val="0"/>
      <w:numFmt w:val="bullet"/>
      <w:lvlText w:val="•"/>
      <w:lvlJc w:val="left"/>
      <w:pPr>
        <w:ind w:left="4394" w:hanging="145"/>
      </w:pPr>
      <w:rPr>
        <w:rFonts w:hint="default"/>
        <w:lang w:val="pt-PT" w:eastAsia="en-US" w:bidi="ar-SA"/>
      </w:rPr>
    </w:lvl>
    <w:lvl w:ilvl="5">
      <w:start w:val="0"/>
      <w:numFmt w:val="bullet"/>
      <w:lvlText w:val="•"/>
      <w:lvlJc w:val="left"/>
      <w:pPr>
        <w:ind w:left="5413" w:hanging="145"/>
      </w:pPr>
      <w:rPr>
        <w:rFonts w:hint="default"/>
        <w:lang w:val="pt-PT" w:eastAsia="en-US" w:bidi="ar-SA"/>
      </w:rPr>
    </w:lvl>
    <w:lvl w:ilvl="6">
      <w:start w:val="0"/>
      <w:numFmt w:val="bullet"/>
      <w:lvlText w:val="•"/>
      <w:lvlJc w:val="left"/>
      <w:pPr>
        <w:ind w:left="6431" w:hanging="145"/>
      </w:pPr>
      <w:rPr>
        <w:rFonts w:hint="default"/>
        <w:lang w:val="pt-PT" w:eastAsia="en-US" w:bidi="ar-SA"/>
      </w:rPr>
    </w:lvl>
    <w:lvl w:ilvl="7">
      <w:start w:val="0"/>
      <w:numFmt w:val="bullet"/>
      <w:lvlText w:val="•"/>
      <w:lvlJc w:val="left"/>
      <w:pPr>
        <w:ind w:left="7450" w:hanging="145"/>
      </w:pPr>
      <w:rPr>
        <w:rFonts w:hint="default"/>
        <w:lang w:val="pt-PT" w:eastAsia="en-US" w:bidi="ar-SA"/>
      </w:rPr>
    </w:lvl>
    <w:lvl w:ilvl="8">
      <w:start w:val="0"/>
      <w:numFmt w:val="bullet"/>
      <w:lvlText w:val="•"/>
      <w:lvlJc w:val="left"/>
      <w:pPr>
        <w:ind w:left="8469" w:hanging="145"/>
      </w:pPr>
      <w:rPr>
        <w:rFonts w:hint="default"/>
        <w:lang w:val="pt-PT" w:eastAsia="en-US" w:bidi="ar-SA"/>
      </w:rPr>
    </w:lvl>
  </w:abstractNum>
  <w:abstractNum w:abstractNumId="35">
    <w:multiLevelType w:val="hybridMultilevel"/>
    <w:lvl w:ilvl="0">
      <w:start w:val="1"/>
      <w:numFmt w:val="lowerLetter"/>
      <w:lvlText w:val="%1)"/>
      <w:lvlJc w:val="left"/>
      <w:pPr>
        <w:ind w:left="893" w:hanging="360"/>
        <w:jc w:val="left"/>
      </w:pPr>
      <w:rPr>
        <w:rFonts w:hint="default"/>
        <w:b/>
        <w:bCs/>
        <w:spacing w:val="-1"/>
        <w:w w:val="99"/>
        <w:lang w:val="pt-PT" w:eastAsia="en-US" w:bidi="ar-SA"/>
      </w:rPr>
    </w:lvl>
    <w:lvl w:ilvl="1">
      <w:start w:val="0"/>
      <w:numFmt w:val="bullet"/>
      <w:lvlText w:val="•"/>
      <w:lvlJc w:val="left"/>
      <w:pPr>
        <w:ind w:left="1860" w:hanging="360"/>
      </w:pPr>
      <w:rPr>
        <w:rFonts w:hint="default"/>
        <w:lang w:val="pt-PT" w:eastAsia="en-US" w:bidi="ar-SA"/>
      </w:rPr>
    </w:lvl>
    <w:lvl w:ilvl="2">
      <w:start w:val="0"/>
      <w:numFmt w:val="bullet"/>
      <w:lvlText w:val="•"/>
      <w:lvlJc w:val="left"/>
      <w:pPr>
        <w:ind w:left="2821" w:hanging="360"/>
      </w:pPr>
      <w:rPr>
        <w:rFonts w:hint="default"/>
        <w:lang w:val="pt-PT" w:eastAsia="en-US" w:bidi="ar-SA"/>
      </w:rPr>
    </w:lvl>
    <w:lvl w:ilvl="3">
      <w:start w:val="0"/>
      <w:numFmt w:val="bullet"/>
      <w:lvlText w:val="•"/>
      <w:lvlJc w:val="left"/>
      <w:pPr>
        <w:ind w:left="3781" w:hanging="360"/>
      </w:pPr>
      <w:rPr>
        <w:rFonts w:hint="default"/>
        <w:lang w:val="pt-PT" w:eastAsia="en-US" w:bidi="ar-SA"/>
      </w:rPr>
    </w:lvl>
    <w:lvl w:ilvl="4">
      <w:start w:val="0"/>
      <w:numFmt w:val="bullet"/>
      <w:lvlText w:val="•"/>
      <w:lvlJc w:val="left"/>
      <w:pPr>
        <w:ind w:left="4742" w:hanging="360"/>
      </w:pPr>
      <w:rPr>
        <w:rFonts w:hint="default"/>
        <w:lang w:val="pt-PT" w:eastAsia="en-US" w:bidi="ar-SA"/>
      </w:rPr>
    </w:lvl>
    <w:lvl w:ilvl="5">
      <w:start w:val="0"/>
      <w:numFmt w:val="bullet"/>
      <w:lvlText w:val="•"/>
      <w:lvlJc w:val="left"/>
      <w:pPr>
        <w:ind w:left="5703" w:hanging="360"/>
      </w:pPr>
      <w:rPr>
        <w:rFonts w:hint="default"/>
        <w:lang w:val="pt-PT" w:eastAsia="en-US" w:bidi="ar-SA"/>
      </w:rPr>
    </w:lvl>
    <w:lvl w:ilvl="6">
      <w:start w:val="0"/>
      <w:numFmt w:val="bullet"/>
      <w:lvlText w:val="•"/>
      <w:lvlJc w:val="left"/>
      <w:pPr>
        <w:ind w:left="6663" w:hanging="360"/>
      </w:pPr>
      <w:rPr>
        <w:rFonts w:hint="default"/>
        <w:lang w:val="pt-PT" w:eastAsia="en-US" w:bidi="ar-SA"/>
      </w:rPr>
    </w:lvl>
    <w:lvl w:ilvl="7">
      <w:start w:val="0"/>
      <w:numFmt w:val="bullet"/>
      <w:lvlText w:val="•"/>
      <w:lvlJc w:val="left"/>
      <w:pPr>
        <w:ind w:left="7624" w:hanging="360"/>
      </w:pPr>
      <w:rPr>
        <w:rFonts w:hint="default"/>
        <w:lang w:val="pt-PT" w:eastAsia="en-US" w:bidi="ar-SA"/>
      </w:rPr>
    </w:lvl>
    <w:lvl w:ilvl="8">
      <w:start w:val="0"/>
      <w:numFmt w:val="bullet"/>
      <w:lvlText w:val="•"/>
      <w:lvlJc w:val="left"/>
      <w:pPr>
        <w:ind w:left="8585" w:hanging="360"/>
      </w:pPr>
      <w:rPr>
        <w:rFonts w:hint="default"/>
        <w:lang w:val="pt-PT" w:eastAsia="en-US" w:bidi="ar-SA"/>
      </w:rPr>
    </w:lvl>
  </w:abstractNum>
  <w:abstractNum w:abstractNumId="34">
    <w:multiLevelType w:val="hybridMultilevel"/>
    <w:lvl w:ilvl="0">
      <w:start w:val="1"/>
      <w:numFmt w:val="lowerLetter"/>
      <w:lvlText w:val="%1)"/>
      <w:lvlJc w:val="left"/>
      <w:pPr>
        <w:ind w:left="406" w:hanging="234"/>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410" w:hanging="234"/>
      </w:pPr>
      <w:rPr>
        <w:rFonts w:hint="default"/>
        <w:lang w:val="pt-PT" w:eastAsia="en-US" w:bidi="ar-SA"/>
      </w:rPr>
    </w:lvl>
    <w:lvl w:ilvl="2">
      <w:start w:val="0"/>
      <w:numFmt w:val="bullet"/>
      <w:lvlText w:val="•"/>
      <w:lvlJc w:val="left"/>
      <w:pPr>
        <w:ind w:left="2421" w:hanging="234"/>
      </w:pPr>
      <w:rPr>
        <w:rFonts w:hint="default"/>
        <w:lang w:val="pt-PT" w:eastAsia="en-US" w:bidi="ar-SA"/>
      </w:rPr>
    </w:lvl>
    <w:lvl w:ilvl="3">
      <w:start w:val="0"/>
      <w:numFmt w:val="bullet"/>
      <w:lvlText w:val="•"/>
      <w:lvlJc w:val="left"/>
      <w:pPr>
        <w:ind w:left="3431" w:hanging="234"/>
      </w:pPr>
      <w:rPr>
        <w:rFonts w:hint="default"/>
        <w:lang w:val="pt-PT" w:eastAsia="en-US" w:bidi="ar-SA"/>
      </w:rPr>
    </w:lvl>
    <w:lvl w:ilvl="4">
      <w:start w:val="0"/>
      <w:numFmt w:val="bullet"/>
      <w:lvlText w:val="•"/>
      <w:lvlJc w:val="left"/>
      <w:pPr>
        <w:ind w:left="4442" w:hanging="234"/>
      </w:pPr>
      <w:rPr>
        <w:rFonts w:hint="default"/>
        <w:lang w:val="pt-PT" w:eastAsia="en-US" w:bidi="ar-SA"/>
      </w:rPr>
    </w:lvl>
    <w:lvl w:ilvl="5">
      <w:start w:val="0"/>
      <w:numFmt w:val="bullet"/>
      <w:lvlText w:val="•"/>
      <w:lvlJc w:val="left"/>
      <w:pPr>
        <w:ind w:left="5453" w:hanging="234"/>
      </w:pPr>
      <w:rPr>
        <w:rFonts w:hint="default"/>
        <w:lang w:val="pt-PT" w:eastAsia="en-US" w:bidi="ar-SA"/>
      </w:rPr>
    </w:lvl>
    <w:lvl w:ilvl="6">
      <w:start w:val="0"/>
      <w:numFmt w:val="bullet"/>
      <w:lvlText w:val="•"/>
      <w:lvlJc w:val="left"/>
      <w:pPr>
        <w:ind w:left="6463" w:hanging="234"/>
      </w:pPr>
      <w:rPr>
        <w:rFonts w:hint="default"/>
        <w:lang w:val="pt-PT" w:eastAsia="en-US" w:bidi="ar-SA"/>
      </w:rPr>
    </w:lvl>
    <w:lvl w:ilvl="7">
      <w:start w:val="0"/>
      <w:numFmt w:val="bullet"/>
      <w:lvlText w:val="•"/>
      <w:lvlJc w:val="left"/>
      <w:pPr>
        <w:ind w:left="7474" w:hanging="234"/>
      </w:pPr>
      <w:rPr>
        <w:rFonts w:hint="default"/>
        <w:lang w:val="pt-PT" w:eastAsia="en-US" w:bidi="ar-SA"/>
      </w:rPr>
    </w:lvl>
    <w:lvl w:ilvl="8">
      <w:start w:val="0"/>
      <w:numFmt w:val="bullet"/>
      <w:lvlText w:val="•"/>
      <w:lvlJc w:val="left"/>
      <w:pPr>
        <w:ind w:left="8485" w:hanging="234"/>
      </w:pPr>
      <w:rPr>
        <w:rFonts w:hint="default"/>
        <w:lang w:val="pt-PT" w:eastAsia="en-US" w:bidi="ar-SA"/>
      </w:rPr>
    </w:lvl>
  </w:abstractNum>
  <w:abstractNum w:abstractNumId="33">
    <w:multiLevelType w:val="hybridMultilevel"/>
    <w:lvl w:ilvl="0">
      <w:start w:val="25"/>
      <w:numFmt w:val="decimal"/>
      <w:lvlText w:val="%1"/>
      <w:lvlJc w:val="left"/>
      <w:pPr>
        <w:ind w:left="1025" w:hanging="853"/>
        <w:jc w:val="left"/>
      </w:pPr>
      <w:rPr>
        <w:rFonts w:hint="default"/>
        <w:lang w:val="pt-PT" w:eastAsia="en-US" w:bidi="ar-SA"/>
      </w:rPr>
    </w:lvl>
    <w:lvl w:ilvl="1">
      <w:start w:val="8"/>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1805" w:hanging="555"/>
      </w:pPr>
      <w:rPr>
        <w:rFonts w:hint="default" w:ascii="Trebuchet MS" w:hAnsi="Trebuchet MS" w:eastAsia="Trebuchet MS" w:cs="Trebuchet MS"/>
        <w:w w:val="76"/>
        <w:sz w:val="20"/>
        <w:szCs w:val="20"/>
        <w:lang w:val="pt-PT" w:eastAsia="en-US" w:bidi="ar-SA"/>
      </w:rPr>
    </w:lvl>
    <w:lvl w:ilvl="4">
      <w:start w:val="0"/>
      <w:numFmt w:val="bullet"/>
      <w:lvlText w:val="•"/>
      <w:lvlJc w:val="left"/>
      <w:pPr>
        <w:ind w:left="4702" w:hanging="555"/>
      </w:pPr>
      <w:rPr>
        <w:rFonts w:hint="default"/>
        <w:lang w:val="pt-PT" w:eastAsia="en-US" w:bidi="ar-SA"/>
      </w:rPr>
    </w:lvl>
    <w:lvl w:ilvl="5">
      <w:start w:val="0"/>
      <w:numFmt w:val="bullet"/>
      <w:lvlText w:val="•"/>
      <w:lvlJc w:val="left"/>
      <w:pPr>
        <w:ind w:left="5669" w:hanging="555"/>
      </w:pPr>
      <w:rPr>
        <w:rFonts w:hint="default"/>
        <w:lang w:val="pt-PT" w:eastAsia="en-US" w:bidi="ar-SA"/>
      </w:rPr>
    </w:lvl>
    <w:lvl w:ilvl="6">
      <w:start w:val="0"/>
      <w:numFmt w:val="bullet"/>
      <w:lvlText w:val="•"/>
      <w:lvlJc w:val="left"/>
      <w:pPr>
        <w:ind w:left="6636" w:hanging="555"/>
      </w:pPr>
      <w:rPr>
        <w:rFonts w:hint="default"/>
        <w:lang w:val="pt-PT" w:eastAsia="en-US" w:bidi="ar-SA"/>
      </w:rPr>
    </w:lvl>
    <w:lvl w:ilvl="7">
      <w:start w:val="0"/>
      <w:numFmt w:val="bullet"/>
      <w:lvlText w:val="•"/>
      <w:lvlJc w:val="left"/>
      <w:pPr>
        <w:ind w:left="7604" w:hanging="555"/>
      </w:pPr>
      <w:rPr>
        <w:rFonts w:hint="default"/>
        <w:lang w:val="pt-PT" w:eastAsia="en-US" w:bidi="ar-SA"/>
      </w:rPr>
    </w:lvl>
    <w:lvl w:ilvl="8">
      <w:start w:val="0"/>
      <w:numFmt w:val="bullet"/>
      <w:lvlText w:val="•"/>
      <w:lvlJc w:val="left"/>
      <w:pPr>
        <w:ind w:left="8571" w:hanging="555"/>
      </w:pPr>
      <w:rPr>
        <w:rFonts w:hint="default"/>
        <w:lang w:val="pt-PT" w:eastAsia="en-US" w:bidi="ar-SA"/>
      </w:rPr>
    </w:lvl>
  </w:abstractNum>
  <w:abstractNum w:abstractNumId="31">
    <w:multiLevelType w:val="hybridMultilevel"/>
    <w:lvl w:ilvl="0">
      <w:start w:val="25"/>
      <w:numFmt w:val="decimal"/>
      <w:lvlText w:val="%1"/>
      <w:lvlJc w:val="left"/>
      <w:pPr>
        <w:ind w:left="1025" w:hanging="853"/>
        <w:jc w:val="left"/>
      </w:pPr>
      <w:rPr>
        <w:rFonts w:hint="default"/>
        <w:lang w:val="pt-PT" w:eastAsia="en-US" w:bidi="ar-SA"/>
      </w:rPr>
    </w:lvl>
    <w:lvl w:ilvl="1">
      <w:start w:val="4"/>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1"/>
      <w:numFmt w:val="lowerRoman"/>
      <w:lvlText w:val="%4."/>
      <w:lvlJc w:val="left"/>
      <w:pPr>
        <w:ind w:left="739" w:hanging="140"/>
        <w:jc w:val="left"/>
      </w:pPr>
      <w:rPr>
        <w:rFonts w:hint="default" w:ascii="Trebuchet MS" w:hAnsi="Trebuchet MS" w:eastAsia="Trebuchet MS" w:cs="Trebuchet MS"/>
        <w:w w:val="73"/>
        <w:sz w:val="20"/>
        <w:szCs w:val="20"/>
        <w:lang w:val="pt-PT" w:eastAsia="en-US" w:bidi="ar-SA"/>
      </w:rPr>
    </w:lvl>
    <w:lvl w:ilvl="4">
      <w:start w:val="1"/>
      <w:numFmt w:val="lowerLetter"/>
      <w:lvlText w:val="%5."/>
      <w:lvlJc w:val="left"/>
      <w:pPr>
        <w:ind w:left="1488" w:hanging="183"/>
        <w:jc w:val="left"/>
      </w:pPr>
      <w:rPr>
        <w:rFonts w:hint="default" w:ascii="Trebuchet MS" w:hAnsi="Trebuchet MS" w:eastAsia="Trebuchet MS" w:cs="Trebuchet MS"/>
        <w:w w:val="55"/>
        <w:sz w:val="20"/>
        <w:szCs w:val="20"/>
        <w:lang w:val="pt-PT" w:eastAsia="en-US" w:bidi="ar-SA"/>
      </w:rPr>
    </w:lvl>
    <w:lvl w:ilvl="5">
      <w:start w:val="0"/>
      <w:numFmt w:val="bullet"/>
      <w:lvlText w:val="•"/>
      <w:lvlJc w:val="left"/>
      <w:pPr>
        <w:ind w:left="4864" w:hanging="183"/>
      </w:pPr>
      <w:rPr>
        <w:rFonts w:hint="default"/>
        <w:lang w:val="pt-PT" w:eastAsia="en-US" w:bidi="ar-SA"/>
      </w:rPr>
    </w:lvl>
    <w:lvl w:ilvl="6">
      <w:start w:val="0"/>
      <w:numFmt w:val="bullet"/>
      <w:lvlText w:val="•"/>
      <w:lvlJc w:val="left"/>
      <w:pPr>
        <w:ind w:left="5993" w:hanging="183"/>
      </w:pPr>
      <w:rPr>
        <w:rFonts w:hint="default"/>
        <w:lang w:val="pt-PT" w:eastAsia="en-US" w:bidi="ar-SA"/>
      </w:rPr>
    </w:lvl>
    <w:lvl w:ilvl="7">
      <w:start w:val="0"/>
      <w:numFmt w:val="bullet"/>
      <w:lvlText w:val="•"/>
      <w:lvlJc w:val="left"/>
      <w:pPr>
        <w:ind w:left="7121" w:hanging="183"/>
      </w:pPr>
      <w:rPr>
        <w:rFonts w:hint="default"/>
        <w:lang w:val="pt-PT" w:eastAsia="en-US" w:bidi="ar-SA"/>
      </w:rPr>
    </w:lvl>
    <w:lvl w:ilvl="8">
      <w:start w:val="0"/>
      <w:numFmt w:val="bullet"/>
      <w:lvlText w:val="•"/>
      <w:lvlJc w:val="left"/>
      <w:pPr>
        <w:ind w:left="8249" w:hanging="183"/>
      </w:pPr>
      <w:rPr>
        <w:rFonts w:hint="default"/>
        <w:lang w:val="pt-PT" w:eastAsia="en-US" w:bidi="ar-SA"/>
      </w:rPr>
    </w:lvl>
  </w:abstractNum>
  <w:abstractNum w:abstractNumId="30">
    <w:multiLevelType w:val="hybridMultilevel"/>
    <w:lvl w:ilvl="0">
      <w:start w:val="0"/>
      <w:numFmt w:val="bullet"/>
      <w:lvlText w:val=""/>
      <w:lvlJc w:val="left"/>
      <w:pPr>
        <w:ind w:left="886" w:hanging="356"/>
      </w:pPr>
      <w:rPr>
        <w:rFonts w:hint="default" w:ascii="Symbol" w:hAnsi="Symbol" w:eastAsia="Symbol" w:cs="Symbol"/>
        <w:w w:val="99"/>
        <w:sz w:val="20"/>
        <w:szCs w:val="20"/>
        <w:lang w:val="pt-PT" w:eastAsia="en-US" w:bidi="ar-SA"/>
      </w:rPr>
    </w:lvl>
    <w:lvl w:ilvl="1">
      <w:start w:val="0"/>
      <w:numFmt w:val="bullet"/>
      <w:lvlText w:val="•"/>
      <w:lvlJc w:val="left"/>
      <w:pPr>
        <w:ind w:left="1842" w:hanging="356"/>
      </w:pPr>
      <w:rPr>
        <w:rFonts w:hint="default"/>
        <w:lang w:val="pt-PT" w:eastAsia="en-US" w:bidi="ar-SA"/>
      </w:rPr>
    </w:lvl>
    <w:lvl w:ilvl="2">
      <w:start w:val="0"/>
      <w:numFmt w:val="bullet"/>
      <w:lvlText w:val="•"/>
      <w:lvlJc w:val="left"/>
      <w:pPr>
        <w:ind w:left="2805" w:hanging="356"/>
      </w:pPr>
      <w:rPr>
        <w:rFonts w:hint="default"/>
        <w:lang w:val="pt-PT" w:eastAsia="en-US" w:bidi="ar-SA"/>
      </w:rPr>
    </w:lvl>
    <w:lvl w:ilvl="3">
      <w:start w:val="0"/>
      <w:numFmt w:val="bullet"/>
      <w:lvlText w:val="•"/>
      <w:lvlJc w:val="left"/>
      <w:pPr>
        <w:ind w:left="3767" w:hanging="356"/>
      </w:pPr>
      <w:rPr>
        <w:rFonts w:hint="default"/>
        <w:lang w:val="pt-PT" w:eastAsia="en-US" w:bidi="ar-SA"/>
      </w:rPr>
    </w:lvl>
    <w:lvl w:ilvl="4">
      <w:start w:val="0"/>
      <w:numFmt w:val="bullet"/>
      <w:lvlText w:val="•"/>
      <w:lvlJc w:val="left"/>
      <w:pPr>
        <w:ind w:left="4730" w:hanging="356"/>
      </w:pPr>
      <w:rPr>
        <w:rFonts w:hint="default"/>
        <w:lang w:val="pt-PT" w:eastAsia="en-US" w:bidi="ar-SA"/>
      </w:rPr>
    </w:lvl>
    <w:lvl w:ilvl="5">
      <w:start w:val="0"/>
      <w:numFmt w:val="bullet"/>
      <w:lvlText w:val="•"/>
      <w:lvlJc w:val="left"/>
      <w:pPr>
        <w:ind w:left="5693" w:hanging="356"/>
      </w:pPr>
      <w:rPr>
        <w:rFonts w:hint="default"/>
        <w:lang w:val="pt-PT" w:eastAsia="en-US" w:bidi="ar-SA"/>
      </w:rPr>
    </w:lvl>
    <w:lvl w:ilvl="6">
      <w:start w:val="0"/>
      <w:numFmt w:val="bullet"/>
      <w:lvlText w:val="•"/>
      <w:lvlJc w:val="left"/>
      <w:pPr>
        <w:ind w:left="6655" w:hanging="356"/>
      </w:pPr>
      <w:rPr>
        <w:rFonts w:hint="default"/>
        <w:lang w:val="pt-PT" w:eastAsia="en-US" w:bidi="ar-SA"/>
      </w:rPr>
    </w:lvl>
    <w:lvl w:ilvl="7">
      <w:start w:val="0"/>
      <w:numFmt w:val="bullet"/>
      <w:lvlText w:val="•"/>
      <w:lvlJc w:val="left"/>
      <w:pPr>
        <w:ind w:left="7618" w:hanging="356"/>
      </w:pPr>
      <w:rPr>
        <w:rFonts w:hint="default"/>
        <w:lang w:val="pt-PT" w:eastAsia="en-US" w:bidi="ar-SA"/>
      </w:rPr>
    </w:lvl>
    <w:lvl w:ilvl="8">
      <w:start w:val="0"/>
      <w:numFmt w:val="bullet"/>
      <w:lvlText w:val="•"/>
      <w:lvlJc w:val="left"/>
      <w:pPr>
        <w:ind w:left="8581" w:hanging="356"/>
      </w:pPr>
      <w:rPr>
        <w:rFonts w:hint="default"/>
        <w:lang w:val="pt-PT" w:eastAsia="en-US" w:bidi="ar-SA"/>
      </w:rPr>
    </w:lvl>
  </w:abstractNum>
  <w:abstractNum w:abstractNumId="29">
    <w:multiLevelType w:val="hybridMultilevel"/>
    <w:lvl w:ilvl="0">
      <w:start w:val="1"/>
      <w:numFmt w:val="lowerLetter"/>
      <w:lvlText w:val="(%1)"/>
      <w:lvlJc w:val="left"/>
      <w:pPr>
        <w:ind w:left="172" w:hanging="359"/>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212" w:hanging="359"/>
      </w:pPr>
      <w:rPr>
        <w:rFonts w:hint="default"/>
        <w:lang w:val="pt-PT" w:eastAsia="en-US" w:bidi="ar-SA"/>
      </w:rPr>
    </w:lvl>
    <w:lvl w:ilvl="2">
      <w:start w:val="0"/>
      <w:numFmt w:val="bullet"/>
      <w:lvlText w:val="•"/>
      <w:lvlJc w:val="left"/>
      <w:pPr>
        <w:ind w:left="2245" w:hanging="359"/>
      </w:pPr>
      <w:rPr>
        <w:rFonts w:hint="default"/>
        <w:lang w:val="pt-PT" w:eastAsia="en-US" w:bidi="ar-SA"/>
      </w:rPr>
    </w:lvl>
    <w:lvl w:ilvl="3">
      <w:start w:val="0"/>
      <w:numFmt w:val="bullet"/>
      <w:lvlText w:val="•"/>
      <w:lvlJc w:val="left"/>
      <w:pPr>
        <w:ind w:left="3277" w:hanging="359"/>
      </w:pPr>
      <w:rPr>
        <w:rFonts w:hint="default"/>
        <w:lang w:val="pt-PT" w:eastAsia="en-US" w:bidi="ar-SA"/>
      </w:rPr>
    </w:lvl>
    <w:lvl w:ilvl="4">
      <w:start w:val="0"/>
      <w:numFmt w:val="bullet"/>
      <w:lvlText w:val="•"/>
      <w:lvlJc w:val="left"/>
      <w:pPr>
        <w:ind w:left="4310" w:hanging="359"/>
      </w:pPr>
      <w:rPr>
        <w:rFonts w:hint="default"/>
        <w:lang w:val="pt-PT" w:eastAsia="en-US" w:bidi="ar-SA"/>
      </w:rPr>
    </w:lvl>
    <w:lvl w:ilvl="5">
      <w:start w:val="0"/>
      <w:numFmt w:val="bullet"/>
      <w:lvlText w:val="•"/>
      <w:lvlJc w:val="left"/>
      <w:pPr>
        <w:ind w:left="5343" w:hanging="359"/>
      </w:pPr>
      <w:rPr>
        <w:rFonts w:hint="default"/>
        <w:lang w:val="pt-PT" w:eastAsia="en-US" w:bidi="ar-SA"/>
      </w:rPr>
    </w:lvl>
    <w:lvl w:ilvl="6">
      <w:start w:val="0"/>
      <w:numFmt w:val="bullet"/>
      <w:lvlText w:val="•"/>
      <w:lvlJc w:val="left"/>
      <w:pPr>
        <w:ind w:left="6375" w:hanging="359"/>
      </w:pPr>
      <w:rPr>
        <w:rFonts w:hint="default"/>
        <w:lang w:val="pt-PT" w:eastAsia="en-US" w:bidi="ar-SA"/>
      </w:rPr>
    </w:lvl>
    <w:lvl w:ilvl="7">
      <w:start w:val="0"/>
      <w:numFmt w:val="bullet"/>
      <w:lvlText w:val="•"/>
      <w:lvlJc w:val="left"/>
      <w:pPr>
        <w:ind w:left="7408" w:hanging="359"/>
      </w:pPr>
      <w:rPr>
        <w:rFonts w:hint="default"/>
        <w:lang w:val="pt-PT" w:eastAsia="en-US" w:bidi="ar-SA"/>
      </w:rPr>
    </w:lvl>
    <w:lvl w:ilvl="8">
      <w:start w:val="0"/>
      <w:numFmt w:val="bullet"/>
      <w:lvlText w:val="•"/>
      <w:lvlJc w:val="left"/>
      <w:pPr>
        <w:ind w:left="8441" w:hanging="359"/>
      </w:pPr>
      <w:rPr>
        <w:rFonts w:hint="default"/>
        <w:lang w:val="pt-PT" w:eastAsia="en-US" w:bidi="ar-SA"/>
      </w:rPr>
    </w:lvl>
  </w:abstractNum>
  <w:abstractNum w:abstractNumId="28">
    <w:multiLevelType w:val="hybridMultilevel"/>
    <w:lvl w:ilvl="0">
      <w:start w:val="1"/>
      <w:numFmt w:val="lowerLetter"/>
      <w:lvlText w:val="%1)"/>
      <w:lvlJc w:val="left"/>
      <w:pPr>
        <w:ind w:left="533" w:hanging="361"/>
        <w:jc w:val="left"/>
      </w:pPr>
      <w:rPr>
        <w:rFonts w:hint="default" w:ascii="Trebuchet MS" w:hAnsi="Trebuchet MS" w:eastAsia="Trebuchet MS" w:cs="Trebuchet MS"/>
        <w:spacing w:val="0"/>
        <w:w w:val="97"/>
        <w:sz w:val="20"/>
        <w:szCs w:val="20"/>
        <w:lang w:val="pt-PT" w:eastAsia="en-US" w:bidi="ar-SA"/>
      </w:rPr>
    </w:lvl>
    <w:lvl w:ilvl="1">
      <w:start w:val="0"/>
      <w:numFmt w:val="bullet"/>
      <w:lvlText w:val="•"/>
      <w:lvlJc w:val="left"/>
      <w:pPr>
        <w:ind w:left="1536" w:hanging="361"/>
      </w:pPr>
      <w:rPr>
        <w:rFonts w:hint="default"/>
        <w:lang w:val="pt-PT" w:eastAsia="en-US" w:bidi="ar-SA"/>
      </w:rPr>
    </w:lvl>
    <w:lvl w:ilvl="2">
      <w:start w:val="0"/>
      <w:numFmt w:val="bullet"/>
      <w:lvlText w:val="•"/>
      <w:lvlJc w:val="left"/>
      <w:pPr>
        <w:ind w:left="2533" w:hanging="361"/>
      </w:pPr>
      <w:rPr>
        <w:rFonts w:hint="default"/>
        <w:lang w:val="pt-PT" w:eastAsia="en-US" w:bidi="ar-SA"/>
      </w:rPr>
    </w:lvl>
    <w:lvl w:ilvl="3">
      <w:start w:val="0"/>
      <w:numFmt w:val="bullet"/>
      <w:lvlText w:val="•"/>
      <w:lvlJc w:val="left"/>
      <w:pPr>
        <w:ind w:left="3529" w:hanging="361"/>
      </w:pPr>
      <w:rPr>
        <w:rFonts w:hint="default"/>
        <w:lang w:val="pt-PT" w:eastAsia="en-US" w:bidi="ar-SA"/>
      </w:rPr>
    </w:lvl>
    <w:lvl w:ilvl="4">
      <w:start w:val="0"/>
      <w:numFmt w:val="bullet"/>
      <w:lvlText w:val="•"/>
      <w:lvlJc w:val="left"/>
      <w:pPr>
        <w:ind w:left="4526" w:hanging="361"/>
      </w:pPr>
      <w:rPr>
        <w:rFonts w:hint="default"/>
        <w:lang w:val="pt-PT" w:eastAsia="en-US" w:bidi="ar-SA"/>
      </w:rPr>
    </w:lvl>
    <w:lvl w:ilvl="5">
      <w:start w:val="0"/>
      <w:numFmt w:val="bullet"/>
      <w:lvlText w:val="•"/>
      <w:lvlJc w:val="left"/>
      <w:pPr>
        <w:ind w:left="5523" w:hanging="361"/>
      </w:pPr>
      <w:rPr>
        <w:rFonts w:hint="default"/>
        <w:lang w:val="pt-PT" w:eastAsia="en-US" w:bidi="ar-SA"/>
      </w:rPr>
    </w:lvl>
    <w:lvl w:ilvl="6">
      <w:start w:val="0"/>
      <w:numFmt w:val="bullet"/>
      <w:lvlText w:val="•"/>
      <w:lvlJc w:val="left"/>
      <w:pPr>
        <w:ind w:left="6519" w:hanging="361"/>
      </w:pPr>
      <w:rPr>
        <w:rFonts w:hint="default"/>
        <w:lang w:val="pt-PT" w:eastAsia="en-US" w:bidi="ar-SA"/>
      </w:rPr>
    </w:lvl>
    <w:lvl w:ilvl="7">
      <w:start w:val="0"/>
      <w:numFmt w:val="bullet"/>
      <w:lvlText w:val="•"/>
      <w:lvlJc w:val="left"/>
      <w:pPr>
        <w:ind w:left="7516" w:hanging="361"/>
      </w:pPr>
      <w:rPr>
        <w:rFonts w:hint="default"/>
        <w:lang w:val="pt-PT" w:eastAsia="en-US" w:bidi="ar-SA"/>
      </w:rPr>
    </w:lvl>
    <w:lvl w:ilvl="8">
      <w:start w:val="0"/>
      <w:numFmt w:val="bullet"/>
      <w:lvlText w:val="•"/>
      <w:lvlJc w:val="left"/>
      <w:pPr>
        <w:ind w:left="8513" w:hanging="361"/>
      </w:pPr>
      <w:rPr>
        <w:rFonts w:hint="default"/>
        <w:lang w:val="pt-PT" w:eastAsia="en-US" w:bidi="ar-SA"/>
      </w:rPr>
    </w:lvl>
  </w:abstractNum>
  <w:abstractNum w:abstractNumId="27">
    <w:multiLevelType w:val="hybridMultilevel"/>
    <w:lvl w:ilvl="0">
      <w:start w:val="1"/>
      <w:numFmt w:val="lowerLetter"/>
      <w:lvlText w:val="(%1)"/>
      <w:lvlJc w:val="left"/>
      <w:pPr>
        <w:ind w:left="600" w:hanging="428"/>
        <w:jc w:val="left"/>
      </w:pPr>
      <w:rPr>
        <w:rFonts w:hint="default" w:ascii="Caladea" w:hAnsi="Caladea" w:eastAsia="Caladea" w:cs="Caladea"/>
        <w:b/>
        <w:bCs/>
        <w:spacing w:val="-1"/>
        <w:w w:val="100"/>
        <w:sz w:val="22"/>
        <w:szCs w:val="22"/>
        <w:lang w:val="pt-PT" w:eastAsia="en-US" w:bidi="ar-SA"/>
      </w:rPr>
    </w:lvl>
    <w:lvl w:ilvl="1">
      <w:start w:val="0"/>
      <w:numFmt w:val="bullet"/>
      <w:lvlText w:val="•"/>
      <w:lvlJc w:val="left"/>
      <w:pPr>
        <w:ind w:left="1590" w:hanging="428"/>
      </w:pPr>
      <w:rPr>
        <w:rFonts w:hint="default"/>
        <w:lang w:val="pt-PT" w:eastAsia="en-US" w:bidi="ar-SA"/>
      </w:rPr>
    </w:lvl>
    <w:lvl w:ilvl="2">
      <w:start w:val="0"/>
      <w:numFmt w:val="bullet"/>
      <w:lvlText w:val="•"/>
      <w:lvlJc w:val="left"/>
      <w:pPr>
        <w:ind w:left="2581" w:hanging="428"/>
      </w:pPr>
      <w:rPr>
        <w:rFonts w:hint="default"/>
        <w:lang w:val="pt-PT" w:eastAsia="en-US" w:bidi="ar-SA"/>
      </w:rPr>
    </w:lvl>
    <w:lvl w:ilvl="3">
      <w:start w:val="0"/>
      <w:numFmt w:val="bullet"/>
      <w:lvlText w:val="•"/>
      <w:lvlJc w:val="left"/>
      <w:pPr>
        <w:ind w:left="3571" w:hanging="428"/>
      </w:pPr>
      <w:rPr>
        <w:rFonts w:hint="default"/>
        <w:lang w:val="pt-PT" w:eastAsia="en-US" w:bidi="ar-SA"/>
      </w:rPr>
    </w:lvl>
    <w:lvl w:ilvl="4">
      <w:start w:val="0"/>
      <w:numFmt w:val="bullet"/>
      <w:lvlText w:val="•"/>
      <w:lvlJc w:val="left"/>
      <w:pPr>
        <w:ind w:left="4562" w:hanging="428"/>
      </w:pPr>
      <w:rPr>
        <w:rFonts w:hint="default"/>
        <w:lang w:val="pt-PT" w:eastAsia="en-US" w:bidi="ar-SA"/>
      </w:rPr>
    </w:lvl>
    <w:lvl w:ilvl="5">
      <w:start w:val="0"/>
      <w:numFmt w:val="bullet"/>
      <w:lvlText w:val="•"/>
      <w:lvlJc w:val="left"/>
      <w:pPr>
        <w:ind w:left="5553" w:hanging="428"/>
      </w:pPr>
      <w:rPr>
        <w:rFonts w:hint="default"/>
        <w:lang w:val="pt-PT" w:eastAsia="en-US" w:bidi="ar-SA"/>
      </w:rPr>
    </w:lvl>
    <w:lvl w:ilvl="6">
      <w:start w:val="0"/>
      <w:numFmt w:val="bullet"/>
      <w:lvlText w:val="•"/>
      <w:lvlJc w:val="left"/>
      <w:pPr>
        <w:ind w:left="6543" w:hanging="428"/>
      </w:pPr>
      <w:rPr>
        <w:rFonts w:hint="default"/>
        <w:lang w:val="pt-PT" w:eastAsia="en-US" w:bidi="ar-SA"/>
      </w:rPr>
    </w:lvl>
    <w:lvl w:ilvl="7">
      <w:start w:val="0"/>
      <w:numFmt w:val="bullet"/>
      <w:lvlText w:val="•"/>
      <w:lvlJc w:val="left"/>
      <w:pPr>
        <w:ind w:left="7534" w:hanging="428"/>
      </w:pPr>
      <w:rPr>
        <w:rFonts w:hint="default"/>
        <w:lang w:val="pt-PT" w:eastAsia="en-US" w:bidi="ar-SA"/>
      </w:rPr>
    </w:lvl>
    <w:lvl w:ilvl="8">
      <w:start w:val="0"/>
      <w:numFmt w:val="bullet"/>
      <w:lvlText w:val="•"/>
      <w:lvlJc w:val="left"/>
      <w:pPr>
        <w:ind w:left="8525" w:hanging="428"/>
      </w:pPr>
      <w:rPr>
        <w:rFonts w:hint="default"/>
        <w:lang w:val="pt-PT" w:eastAsia="en-US" w:bidi="ar-SA"/>
      </w:rPr>
    </w:lvl>
  </w:abstractNum>
  <w:abstractNum w:abstractNumId="26">
    <w:multiLevelType w:val="hybridMultilevel"/>
    <w:lvl w:ilvl="0">
      <w:start w:val="1"/>
      <w:numFmt w:val="upperRoman"/>
      <w:lvlText w:val="%1"/>
      <w:lvlJc w:val="left"/>
      <w:pPr>
        <w:ind w:left="281" w:hanging="109"/>
        <w:jc w:val="left"/>
      </w:pPr>
      <w:rPr>
        <w:rFonts w:hint="default" w:ascii="Trebuchet MS" w:hAnsi="Trebuchet MS" w:eastAsia="Trebuchet MS" w:cs="Trebuchet MS"/>
        <w:w w:val="116"/>
        <w:sz w:val="20"/>
        <w:szCs w:val="20"/>
        <w:lang w:val="pt-PT" w:eastAsia="en-US" w:bidi="ar-SA"/>
      </w:rPr>
    </w:lvl>
    <w:lvl w:ilvl="1">
      <w:start w:val="0"/>
      <w:numFmt w:val="bullet"/>
      <w:lvlText w:val="•"/>
      <w:lvlJc w:val="left"/>
      <w:pPr>
        <w:ind w:left="1302" w:hanging="109"/>
      </w:pPr>
      <w:rPr>
        <w:rFonts w:hint="default"/>
        <w:lang w:val="pt-PT" w:eastAsia="en-US" w:bidi="ar-SA"/>
      </w:rPr>
    </w:lvl>
    <w:lvl w:ilvl="2">
      <w:start w:val="0"/>
      <w:numFmt w:val="bullet"/>
      <w:lvlText w:val="•"/>
      <w:lvlJc w:val="left"/>
      <w:pPr>
        <w:ind w:left="2325" w:hanging="109"/>
      </w:pPr>
      <w:rPr>
        <w:rFonts w:hint="default"/>
        <w:lang w:val="pt-PT" w:eastAsia="en-US" w:bidi="ar-SA"/>
      </w:rPr>
    </w:lvl>
    <w:lvl w:ilvl="3">
      <w:start w:val="0"/>
      <w:numFmt w:val="bullet"/>
      <w:lvlText w:val="•"/>
      <w:lvlJc w:val="left"/>
      <w:pPr>
        <w:ind w:left="3347" w:hanging="109"/>
      </w:pPr>
      <w:rPr>
        <w:rFonts w:hint="default"/>
        <w:lang w:val="pt-PT" w:eastAsia="en-US" w:bidi="ar-SA"/>
      </w:rPr>
    </w:lvl>
    <w:lvl w:ilvl="4">
      <w:start w:val="0"/>
      <w:numFmt w:val="bullet"/>
      <w:lvlText w:val="•"/>
      <w:lvlJc w:val="left"/>
      <w:pPr>
        <w:ind w:left="4370" w:hanging="109"/>
      </w:pPr>
      <w:rPr>
        <w:rFonts w:hint="default"/>
        <w:lang w:val="pt-PT" w:eastAsia="en-US" w:bidi="ar-SA"/>
      </w:rPr>
    </w:lvl>
    <w:lvl w:ilvl="5">
      <w:start w:val="0"/>
      <w:numFmt w:val="bullet"/>
      <w:lvlText w:val="•"/>
      <w:lvlJc w:val="left"/>
      <w:pPr>
        <w:ind w:left="5393" w:hanging="109"/>
      </w:pPr>
      <w:rPr>
        <w:rFonts w:hint="default"/>
        <w:lang w:val="pt-PT" w:eastAsia="en-US" w:bidi="ar-SA"/>
      </w:rPr>
    </w:lvl>
    <w:lvl w:ilvl="6">
      <w:start w:val="0"/>
      <w:numFmt w:val="bullet"/>
      <w:lvlText w:val="•"/>
      <w:lvlJc w:val="left"/>
      <w:pPr>
        <w:ind w:left="6415" w:hanging="109"/>
      </w:pPr>
      <w:rPr>
        <w:rFonts w:hint="default"/>
        <w:lang w:val="pt-PT" w:eastAsia="en-US" w:bidi="ar-SA"/>
      </w:rPr>
    </w:lvl>
    <w:lvl w:ilvl="7">
      <w:start w:val="0"/>
      <w:numFmt w:val="bullet"/>
      <w:lvlText w:val="•"/>
      <w:lvlJc w:val="left"/>
      <w:pPr>
        <w:ind w:left="7438" w:hanging="109"/>
      </w:pPr>
      <w:rPr>
        <w:rFonts w:hint="default"/>
        <w:lang w:val="pt-PT" w:eastAsia="en-US" w:bidi="ar-SA"/>
      </w:rPr>
    </w:lvl>
    <w:lvl w:ilvl="8">
      <w:start w:val="0"/>
      <w:numFmt w:val="bullet"/>
      <w:lvlText w:val="•"/>
      <w:lvlJc w:val="left"/>
      <w:pPr>
        <w:ind w:left="8461" w:hanging="109"/>
      </w:pPr>
      <w:rPr>
        <w:rFonts w:hint="default"/>
        <w:lang w:val="pt-PT" w:eastAsia="en-US" w:bidi="ar-SA"/>
      </w:rPr>
    </w:lvl>
  </w:abstractNum>
  <w:abstractNum w:abstractNumId="25">
    <w:multiLevelType w:val="hybridMultilevel"/>
    <w:lvl w:ilvl="0">
      <w:start w:val="1"/>
      <w:numFmt w:val="lowerLetter"/>
      <w:lvlText w:val="(%1)"/>
      <w:lvlJc w:val="left"/>
      <w:pPr>
        <w:ind w:left="521" w:hanging="349"/>
        <w:jc w:val="left"/>
      </w:pPr>
      <w:rPr>
        <w:rFonts w:hint="default"/>
        <w:b/>
        <w:bCs/>
        <w:spacing w:val="-1"/>
        <w:w w:val="100"/>
        <w:lang w:val="pt-PT" w:eastAsia="en-US" w:bidi="ar-SA"/>
      </w:rPr>
    </w:lvl>
    <w:lvl w:ilvl="1">
      <w:start w:val="0"/>
      <w:numFmt w:val="bullet"/>
      <w:lvlText w:val="•"/>
      <w:lvlJc w:val="left"/>
      <w:pPr>
        <w:ind w:left="1518" w:hanging="349"/>
      </w:pPr>
      <w:rPr>
        <w:rFonts w:hint="default"/>
        <w:lang w:val="pt-PT" w:eastAsia="en-US" w:bidi="ar-SA"/>
      </w:rPr>
    </w:lvl>
    <w:lvl w:ilvl="2">
      <w:start w:val="0"/>
      <w:numFmt w:val="bullet"/>
      <w:lvlText w:val="•"/>
      <w:lvlJc w:val="left"/>
      <w:pPr>
        <w:ind w:left="2517" w:hanging="349"/>
      </w:pPr>
      <w:rPr>
        <w:rFonts w:hint="default"/>
        <w:lang w:val="pt-PT" w:eastAsia="en-US" w:bidi="ar-SA"/>
      </w:rPr>
    </w:lvl>
    <w:lvl w:ilvl="3">
      <w:start w:val="0"/>
      <w:numFmt w:val="bullet"/>
      <w:lvlText w:val="•"/>
      <w:lvlJc w:val="left"/>
      <w:pPr>
        <w:ind w:left="3515" w:hanging="349"/>
      </w:pPr>
      <w:rPr>
        <w:rFonts w:hint="default"/>
        <w:lang w:val="pt-PT" w:eastAsia="en-US" w:bidi="ar-SA"/>
      </w:rPr>
    </w:lvl>
    <w:lvl w:ilvl="4">
      <w:start w:val="0"/>
      <w:numFmt w:val="bullet"/>
      <w:lvlText w:val="•"/>
      <w:lvlJc w:val="left"/>
      <w:pPr>
        <w:ind w:left="4514" w:hanging="349"/>
      </w:pPr>
      <w:rPr>
        <w:rFonts w:hint="default"/>
        <w:lang w:val="pt-PT" w:eastAsia="en-US" w:bidi="ar-SA"/>
      </w:rPr>
    </w:lvl>
    <w:lvl w:ilvl="5">
      <w:start w:val="0"/>
      <w:numFmt w:val="bullet"/>
      <w:lvlText w:val="•"/>
      <w:lvlJc w:val="left"/>
      <w:pPr>
        <w:ind w:left="5513" w:hanging="349"/>
      </w:pPr>
      <w:rPr>
        <w:rFonts w:hint="default"/>
        <w:lang w:val="pt-PT" w:eastAsia="en-US" w:bidi="ar-SA"/>
      </w:rPr>
    </w:lvl>
    <w:lvl w:ilvl="6">
      <w:start w:val="0"/>
      <w:numFmt w:val="bullet"/>
      <w:lvlText w:val="•"/>
      <w:lvlJc w:val="left"/>
      <w:pPr>
        <w:ind w:left="6511" w:hanging="349"/>
      </w:pPr>
      <w:rPr>
        <w:rFonts w:hint="default"/>
        <w:lang w:val="pt-PT" w:eastAsia="en-US" w:bidi="ar-SA"/>
      </w:rPr>
    </w:lvl>
    <w:lvl w:ilvl="7">
      <w:start w:val="0"/>
      <w:numFmt w:val="bullet"/>
      <w:lvlText w:val="•"/>
      <w:lvlJc w:val="left"/>
      <w:pPr>
        <w:ind w:left="7510" w:hanging="349"/>
      </w:pPr>
      <w:rPr>
        <w:rFonts w:hint="default"/>
        <w:lang w:val="pt-PT" w:eastAsia="en-US" w:bidi="ar-SA"/>
      </w:rPr>
    </w:lvl>
    <w:lvl w:ilvl="8">
      <w:start w:val="0"/>
      <w:numFmt w:val="bullet"/>
      <w:lvlText w:val="•"/>
      <w:lvlJc w:val="left"/>
      <w:pPr>
        <w:ind w:left="8509" w:hanging="349"/>
      </w:pPr>
      <w:rPr>
        <w:rFonts w:hint="default"/>
        <w:lang w:val="pt-PT" w:eastAsia="en-US" w:bidi="ar-SA"/>
      </w:rPr>
    </w:lvl>
  </w:abstractNum>
  <w:abstractNum w:abstractNumId="24">
    <w:multiLevelType w:val="hybridMultilevel"/>
    <w:lvl w:ilvl="0">
      <w:start w:val="18"/>
      <w:numFmt w:val="decimal"/>
      <w:lvlText w:val="%1"/>
      <w:lvlJc w:val="left"/>
      <w:pPr>
        <w:ind w:left="1025" w:hanging="853"/>
        <w:jc w:val="left"/>
      </w:pPr>
      <w:rPr>
        <w:rFonts w:hint="default"/>
        <w:lang w:val="pt-PT" w:eastAsia="en-US" w:bidi="ar-SA"/>
      </w:rPr>
    </w:lvl>
    <w:lvl w:ilvl="1">
      <w:start w:val="1"/>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1"/>
      <w:numFmt w:val="decimal"/>
      <w:lvlText w:val="%1.%2.%3.%4."/>
      <w:lvlJc w:val="left"/>
      <w:pPr>
        <w:ind w:left="1306" w:hanging="1134"/>
        <w:jc w:val="left"/>
      </w:pPr>
      <w:rPr>
        <w:rFonts w:hint="default" w:ascii="Caladea" w:hAnsi="Caladea" w:eastAsia="Caladea" w:cs="Caladea"/>
        <w:b/>
        <w:bCs/>
        <w:spacing w:val="-2"/>
        <w:w w:val="100"/>
        <w:sz w:val="22"/>
        <w:szCs w:val="22"/>
        <w:lang w:val="pt-PT" w:eastAsia="en-US" w:bidi="ar-SA"/>
      </w:rPr>
    </w:lvl>
    <w:lvl w:ilvl="4">
      <w:start w:val="0"/>
      <w:numFmt w:val="bullet"/>
      <w:lvlText w:val="•"/>
      <w:lvlJc w:val="left"/>
      <w:pPr>
        <w:ind w:left="4368" w:hanging="1134"/>
      </w:pPr>
      <w:rPr>
        <w:rFonts w:hint="default"/>
        <w:lang w:val="pt-PT" w:eastAsia="en-US" w:bidi="ar-SA"/>
      </w:rPr>
    </w:lvl>
    <w:lvl w:ilvl="5">
      <w:start w:val="0"/>
      <w:numFmt w:val="bullet"/>
      <w:lvlText w:val="•"/>
      <w:lvlJc w:val="left"/>
      <w:pPr>
        <w:ind w:left="5391" w:hanging="1134"/>
      </w:pPr>
      <w:rPr>
        <w:rFonts w:hint="default"/>
        <w:lang w:val="pt-PT" w:eastAsia="en-US" w:bidi="ar-SA"/>
      </w:rPr>
    </w:lvl>
    <w:lvl w:ilvl="6">
      <w:start w:val="0"/>
      <w:numFmt w:val="bullet"/>
      <w:lvlText w:val="•"/>
      <w:lvlJc w:val="left"/>
      <w:pPr>
        <w:ind w:left="6414" w:hanging="1134"/>
      </w:pPr>
      <w:rPr>
        <w:rFonts w:hint="default"/>
        <w:lang w:val="pt-PT" w:eastAsia="en-US" w:bidi="ar-SA"/>
      </w:rPr>
    </w:lvl>
    <w:lvl w:ilvl="7">
      <w:start w:val="0"/>
      <w:numFmt w:val="bullet"/>
      <w:lvlText w:val="•"/>
      <w:lvlJc w:val="left"/>
      <w:pPr>
        <w:ind w:left="7437" w:hanging="1134"/>
      </w:pPr>
      <w:rPr>
        <w:rFonts w:hint="default"/>
        <w:lang w:val="pt-PT" w:eastAsia="en-US" w:bidi="ar-SA"/>
      </w:rPr>
    </w:lvl>
    <w:lvl w:ilvl="8">
      <w:start w:val="0"/>
      <w:numFmt w:val="bullet"/>
      <w:lvlText w:val="•"/>
      <w:lvlJc w:val="left"/>
      <w:pPr>
        <w:ind w:left="8460" w:hanging="1134"/>
      </w:pPr>
      <w:rPr>
        <w:rFonts w:hint="default"/>
        <w:lang w:val="pt-PT" w:eastAsia="en-US" w:bidi="ar-SA"/>
      </w:rPr>
    </w:lvl>
  </w:abstractNum>
  <w:abstractNum w:abstractNumId="23">
    <w:multiLevelType w:val="hybridMultilevel"/>
    <w:lvl w:ilvl="0">
      <w:start w:val="14"/>
      <w:numFmt w:val="decimal"/>
      <w:lvlText w:val="%1"/>
      <w:lvlJc w:val="left"/>
      <w:pPr>
        <w:ind w:left="1025" w:hanging="853"/>
        <w:jc w:val="left"/>
      </w:pPr>
      <w:rPr>
        <w:rFonts w:hint="default"/>
        <w:lang w:val="pt-PT" w:eastAsia="en-US" w:bidi="ar-SA"/>
      </w:rPr>
    </w:lvl>
    <w:lvl w:ilvl="1">
      <w:start w:val="2"/>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3865" w:hanging="853"/>
      </w:pPr>
      <w:rPr>
        <w:rFonts w:hint="default"/>
        <w:lang w:val="pt-PT" w:eastAsia="en-US" w:bidi="ar-SA"/>
      </w:rPr>
    </w:lvl>
    <w:lvl w:ilvl="4">
      <w:start w:val="0"/>
      <w:numFmt w:val="bullet"/>
      <w:lvlText w:val="•"/>
      <w:lvlJc w:val="left"/>
      <w:pPr>
        <w:ind w:left="4814" w:hanging="853"/>
      </w:pPr>
      <w:rPr>
        <w:rFonts w:hint="default"/>
        <w:lang w:val="pt-PT" w:eastAsia="en-US" w:bidi="ar-SA"/>
      </w:rPr>
    </w:lvl>
    <w:lvl w:ilvl="5">
      <w:start w:val="0"/>
      <w:numFmt w:val="bullet"/>
      <w:lvlText w:val="•"/>
      <w:lvlJc w:val="left"/>
      <w:pPr>
        <w:ind w:left="5763" w:hanging="853"/>
      </w:pPr>
      <w:rPr>
        <w:rFonts w:hint="default"/>
        <w:lang w:val="pt-PT" w:eastAsia="en-US" w:bidi="ar-SA"/>
      </w:rPr>
    </w:lvl>
    <w:lvl w:ilvl="6">
      <w:start w:val="0"/>
      <w:numFmt w:val="bullet"/>
      <w:lvlText w:val="•"/>
      <w:lvlJc w:val="left"/>
      <w:pPr>
        <w:ind w:left="6711" w:hanging="853"/>
      </w:pPr>
      <w:rPr>
        <w:rFonts w:hint="default"/>
        <w:lang w:val="pt-PT" w:eastAsia="en-US" w:bidi="ar-SA"/>
      </w:rPr>
    </w:lvl>
    <w:lvl w:ilvl="7">
      <w:start w:val="0"/>
      <w:numFmt w:val="bullet"/>
      <w:lvlText w:val="•"/>
      <w:lvlJc w:val="left"/>
      <w:pPr>
        <w:ind w:left="7660" w:hanging="853"/>
      </w:pPr>
      <w:rPr>
        <w:rFonts w:hint="default"/>
        <w:lang w:val="pt-PT" w:eastAsia="en-US" w:bidi="ar-SA"/>
      </w:rPr>
    </w:lvl>
    <w:lvl w:ilvl="8">
      <w:start w:val="0"/>
      <w:numFmt w:val="bullet"/>
      <w:lvlText w:val="•"/>
      <w:lvlJc w:val="left"/>
      <w:pPr>
        <w:ind w:left="8609" w:hanging="853"/>
      </w:pPr>
      <w:rPr>
        <w:rFonts w:hint="default"/>
        <w:lang w:val="pt-PT" w:eastAsia="en-US" w:bidi="ar-SA"/>
      </w:rPr>
    </w:lvl>
  </w:abstractNum>
  <w:abstractNum w:abstractNumId="22">
    <w:multiLevelType w:val="hybridMultilevel"/>
    <w:lvl w:ilvl="0">
      <w:start w:val="1"/>
      <w:numFmt w:val="lowerLetter"/>
      <w:lvlText w:val="%1)"/>
      <w:lvlJc w:val="left"/>
      <w:pPr>
        <w:ind w:left="530" w:hanging="359"/>
        <w:jc w:val="left"/>
      </w:pPr>
      <w:rPr>
        <w:rFonts w:hint="default"/>
        <w:b/>
        <w:bCs/>
        <w:spacing w:val="-1"/>
        <w:w w:val="99"/>
        <w:lang w:val="pt-PT" w:eastAsia="en-US" w:bidi="ar-SA"/>
      </w:rPr>
    </w:lvl>
    <w:lvl w:ilvl="1">
      <w:start w:val="0"/>
      <w:numFmt w:val="bullet"/>
      <w:lvlText w:val="•"/>
      <w:lvlJc w:val="left"/>
      <w:pPr>
        <w:ind w:left="1536" w:hanging="359"/>
      </w:pPr>
      <w:rPr>
        <w:rFonts w:hint="default"/>
        <w:lang w:val="pt-PT" w:eastAsia="en-US" w:bidi="ar-SA"/>
      </w:rPr>
    </w:lvl>
    <w:lvl w:ilvl="2">
      <w:start w:val="0"/>
      <w:numFmt w:val="bullet"/>
      <w:lvlText w:val="•"/>
      <w:lvlJc w:val="left"/>
      <w:pPr>
        <w:ind w:left="2533" w:hanging="359"/>
      </w:pPr>
      <w:rPr>
        <w:rFonts w:hint="default"/>
        <w:lang w:val="pt-PT" w:eastAsia="en-US" w:bidi="ar-SA"/>
      </w:rPr>
    </w:lvl>
    <w:lvl w:ilvl="3">
      <w:start w:val="0"/>
      <w:numFmt w:val="bullet"/>
      <w:lvlText w:val="•"/>
      <w:lvlJc w:val="left"/>
      <w:pPr>
        <w:ind w:left="3529" w:hanging="359"/>
      </w:pPr>
      <w:rPr>
        <w:rFonts w:hint="default"/>
        <w:lang w:val="pt-PT" w:eastAsia="en-US" w:bidi="ar-SA"/>
      </w:rPr>
    </w:lvl>
    <w:lvl w:ilvl="4">
      <w:start w:val="0"/>
      <w:numFmt w:val="bullet"/>
      <w:lvlText w:val="•"/>
      <w:lvlJc w:val="left"/>
      <w:pPr>
        <w:ind w:left="4526" w:hanging="359"/>
      </w:pPr>
      <w:rPr>
        <w:rFonts w:hint="default"/>
        <w:lang w:val="pt-PT" w:eastAsia="en-US" w:bidi="ar-SA"/>
      </w:rPr>
    </w:lvl>
    <w:lvl w:ilvl="5">
      <w:start w:val="0"/>
      <w:numFmt w:val="bullet"/>
      <w:lvlText w:val="•"/>
      <w:lvlJc w:val="left"/>
      <w:pPr>
        <w:ind w:left="5523" w:hanging="359"/>
      </w:pPr>
      <w:rPr>
        <w:rFonts w:hint="default"/>
        <w:lang w:val="pt-PT" w:eastAsia="en-US" w:bidi="ar-SA"/>
      </w:rPr>
    </w:lvl>
    <w:lvl w:ilvl="6">
      <w:start w:val="0"/>
      <w:numFmt w:val="bullet"/>
      <w:lvlText w:val="•"/>
      <w:lvlJc w:val="left"/>
      <w:pPr>
        <w:ind w:left="6519" w:hanging="359"/>
      </w:pPr>
      <w:rPr>
        <w:rFonts w:hint="default"/>
        <w:lang w:val="pt-PT" w:eastAsia="en-US" w:bidi="ar-SA"/>
      </w:rPr>
    </w:lvl>
    <w:lvl w:ilvl="7">
      <w:start w:val="0"/>
      <w:numFmt w:val="bullet"/>
      <w:lvlText w:val="•"/>
      <w:lvlJc w:val="left"/>
      <w:pPr>
        <w:ind w:left="7516" w:hanging="359"/>
      </w:pPr>
      <w:rPr>
        <w:rFonts w:hint="default"/>
        <w:lang w:val="pt-PT" w:eastAsia="en-US" w:bidi="ar-SA"/>
      </w:rPr>
    </w:lvl>
    <w:lvl w:ilvl="8">
      <w:start w:val="0"/>
      <w:numFmt w:val="bullet"/>
      <w:lvlText w:val="•"/>
      <w:lvlJc w:val="left"/>
      <w:pPr>
        <w:ind w:left="8513" w:hanging="359"/>
      </w:pPr>
      <w:rPr>
        <w:rFonts w:hint="default"/>
        <w:lang w:val="pt-PT" w:eastAsia="en-US" w:bidi="ar-SA"/>
      </w:rPr>
    </w:lvl>
  </w:abstractNum>
  <w:abstractNum w:abstractNumId="21">
    <w:multiLevelType w:val="hybridMultilevel"/>
    <w:lvl w:ilvl="0">
      <w:start w:val="7"/>
      <w:numFmt w:val="decimal"/>
      <w:lvlText w:val="%1"/>
      <w:lvlJc w:val="left"/>
      <w:pPr>
        <w:ind w:left="1306" w:hanging="1134"/>
        <w:jc w:val="left"/>
      </w:pPr>
      <w:rPr>
        <w:rFonts w:hint="default"/>
        <w:lang w:val="pt-PT" w:eastAsia="en-US" w:bidi="ar-SA"/>
      </w:rPr>
    </w:lvl>
    <w:lvl w:ilvl="1">
      <w:start w:val="1"/>
      <w:numFmt w:val="decimal"/>
      <w:lvlText w:val="%1.%2"/>
      <w:lvlJc w:val="left"/>
      <w:pPr>
        <w:ind w:left="1306" w:hanging="1134"/>
        <w:jc w:val="left"/>
      </w:pPr>
      <w:rPr>
        <w:rFonts w:hint="default"/>
        <w:lang w:val="pt-PT" w:eastAsia="en-US" w:bidi="ar-SA"/>
      </w:rPr>
    </w:lvl>
    <w:lvl w:ilvl="2">
      <w:start w:val="1"/>
      <w:numFmt w:val="decimal"/>
      <w:lvlText w:val="%1.%2.%3."/>
      <w:lvlJc w:val="left"/>
      <w:pPr>
        <w:ind w:left="1306" w:hanging="1134"/>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4061" w:hanging="1134"/>
      </w:pPr>
      <w:rPr>
        <w:rFonts w:hint="default"/>
        <w:lang w:val="pt-PT" w:eastAsia="en-US" w:bidi="ar-SA"/>
      </w:rPr>
    </w:lvl>
    <w:lvl w:ilvl="4">
      <w:start w:val="0"/>
      <w:numFmt w:val="bullet"/>
      <w:lvlText w:val="•"/>
      <w:lvlJc w:val="left"/>
      <w:pPr>
        <w:ind w:left="4982" w:hanging="1134"/>
      </w:pPr>
      <w:rPr>
        <w:rFonts w:hint="default"/>
        <w:lang w:val="pt-PT" w:eastAsia="en-US" w:bidi="ar-SA"/>
      </w:rPr>
    </w:lvl>
    <w:lvl w:ilvl="5">
      <w:start w:val="0"/>
      <w:numFmt w:val="bullet"/>
      <w:lvlText w:val="•"/>
      <w:lvlJc w:val="left"/>
      <w:pPr>
        <w:ind w:left="5903" w:hanging="1134"/>
      </w:pPr>
      <w:rPr>
        <w:rFonts w:hint="default"/>
        <w:lang w:val="pt-PT" w:eastAsia="en-US" w:bidi="ar-SA"/>
      </w:rPr>
    </w:lvl>
    <w:lvl w:ilvl="6">
      <w:start w:val="0"/>
      <w:numFmt w:val="bullet"/>
      <w:lvlText w:val="•"/>
      <w:lvlJc w:val="left"/>
      <w:pPr>
        <w:ind w:left="6823" w:hanging="1134"/>
      </w:pPr>
      <w:rPr>
        <w:rFonts w:hint="default"/>
        <w:lang w:val="pt-PT" w:eastAsia="en-US" w:bidi="ar-SA"/>
      </w:rPr>
    </w:lvl>
    <w:lvl w:ilvl="7">
      <w:start w:val="0"/>
      <w:numFmt w:val="bullet"/>
      <w:lvlText w:val="•"/>
      <w:lvlJc w:val="left"/>
      <w:pPr>
        <w:ind w:left="7744" w:hanging="1134"/>
      </w:pPr>
      <w:rPr>
        <w:rFonts w:hint="default"/>
        <w:lang w:val="pt-PT" w:eastAsia="en-US" w:bidi="ar-SA"/>
      </w:rPr>
    </w:lvl>
    <w:lvl w:ilvl="8">
      <w:start w:val="0"/>
      <w:numFmt w:val="bullet"/>
      <w:lvlText w:val="•"/>
      <w:lvlJc w:val="left"/>
      <w:pPr>
        <w:ind w:left="8665" w:hanging="1134"/>
      </w:pPr>
      <w:rPr>
        <w:rFonts w:hint="default"/>
        <w:lang w:val="pt-PT" w:eastAsia="en-US" w:bidi="ar-SA"/>
      </w:rPr>
    </w:lvl>
  </w:abstractNum>
  <w:abstractNum w:abstractNumId="20">
    <w:multiLevelType w:val="hybridMultilevel"/>
    <w:lvl w:ilvl="0">
      <w:start w:val="1"/>
      <w:numFmt w:val="lowerLetter"/>
      <w:lvlText w:val="(%1)"/>
      <w:lvlJc w:val="left"/>
      <w:pPr>
        <w:ind w:left="172" w:hanging="309"/>
        <w:jc w:val="left"/>
      </w:pPr>
      <w:rPr>
        <w:rFonts w:hint="default" w:ascii="Trebuchet MS" w:hAnsi="Trebuchet MS" w:eastAsia="Trebuchet MS" w:cs="Trebuchet MS"/>
        <w:w w:val="92"/>
        <w:sz w:val="20"/>
        <w:szCs w:val="20"/>
        <w:lang w:val="pt-PT" w:eastAsia="en-US" w:bidi="ar-SA"/>
      </w:rPr>
    </w:lvl>
    <w:lvl w:ilvl="1">
      <w:start w:val="0"/>
      <w:numFmt w:val="bullet"/>
      <w:lvlText w:val="•"/>
      <w:lvlJc w:val="left"/>
      <w:pPr>
        <w:ind w:left="1212" w:hanging="309"/>
      </w:pPr>
      <w:rPr>
        <w:rFonts w:hint="default"/>
        <w:lang w:val="pt-PT" w:eastAsia="en-US" w:bidi="ar-SA"/>
      </w:rPr>
    </w:lvl>
    <w:lvl w:ilvl="2">
      <w:start w:val="0"/>
      <w:numFmt w:val="bullet"/>
      <w:lvlText w:val="•"/>
      <w:lvlJc w:val="left"/>
      <w:pPr>
        <w:ind w:left="2245" w:hanging="309"/>
      </w:pPr>
      <w:rPr>
        <w:rFonts w:hint="default"/>
        <w:lang w:val="pt-PT" w:eastAsia="en-US" w:bidi="ar-SA"/>
      </w:rPr>
    </w:lvl>
    <w:lvl w:ilvl="3">
      <w:start w:val="0"/>
      <w:numFmt w:val="bullet"/>
      <w:lvlText w:val="•"/>
      <w:lvlJc w:val="left"/>
      <w:pPr>
        <w:ind w:left="3277" w:hanging="309"/>
      </w:pPr>
      <w:rPr>
        <w:rFonts w:hint="default"/>
        <w:lang w:val="pt-PT" w:eastAsia="en-US" w:bidi="ar-SA"/>
      </w:rPr>
    </w:lvl>
    <w:lvl w:ilvl="4">
      <w:start w:val="0"/>
      <w:numFmt w:val="bullet"/>
      <w:lvlText w:val="•"/>
      <w:lvlJc w:val="left"/>
      <w:pPr>
        <w:ind w:left="4310" w:hanging="309"/>
      </w:pPr>
      <w:rPr>
        <w:rFonts w:hint="default"/>
        <w:lang w:val="pt-PT" w:eastAsia="en-US" w:bidi="ar-SA"/>
      </w:rPr>
    </w:lvl>
    <w:lvl w:ilvl="5">
      <w:start w:val="0"/>
      <w:numFmt w:val="bullet"/>
      <w:lvlText w:val="•"/>
      <w:lvlJc w:val="left"/>
      <w:pPr>
        <w:ind w:left="5343" w:hanging="309"/>
      </w:pPr>
      <w:rPr>
        <w:rFonts w:hint="default"/>
        <w:lang w:val="pt-PT" w:eastAsia="en-US" w:bidi="ar-SA"/>
      </w:rPr>
    </w:lvl>
    <w:lvl w:ilvl="6">
      <w:start w:val="0"/>
      <w:numFmt w:val="bullet"/>
      <w:lvlText w:val="•"/>
      <w:lvlJc w:val="left"/>
      <w:pPr>
        <w:ind w:left="6375" w:hanging="309"/>
      </w:pPr>
      <w:rPr>
        <w:rFonts w:hint="default"/>
        <w:lang w:val="pt-PT" w:eastAsia="en-US" w:bidi="ar-SA"/>
      </w:rPr>
    </w:lvl>
    <w:lvl w:ilvl="7">
      <w:start w:val="0"/>
      <w:numFmt w:val="bullet"/>
      <w:lvlText w:val="•"/>
      <w:lvlJc w:val="left"/>
      <w:pPr>
        <w:ind w:left="7408" w:hanging="309"/>
      </w:pPr>
      <w:rPr>
        <w:rFonts w:hint="default"/>
        <w:lang w:val="pt-PT" w:eastAsia="en-US" w:bidi="ar-SA"/>
      </w:rPr>
    </w:lvl>
    <w:lvl w:ilvl="8">
      <w:start w:val="0"/>
      <w:numFmt w:val="bullet"/>
      <w:lvlText w:val="•"/>
      <w:lvlJc w:val="left"/>
      <w:pPr>
        <w:ind w:left="8441" w:hanging="309"/>
      </w:pPr>
      <w:rPr>
        <w:rFonts w:hint="default"/>
        <w:lang w:val="pt-PT" w:eastAsia="en-US" w:bidi="ar-SA"/>
      </w:rPr>
    </w:lvl>
  </w:abstractNum>
  <w:abstractNum w:abstractNumId="19">
    <w:multiLevelType w:val="hybridMultilevel"/>
    <w:lvl w:ilvl="0">
      <w:start w:val="4"/>
      <w:numFmt w:val="decimal"/>
      <w:lvlText w:val="%1"/>
      <w:lvlJc w:val="left"/>
      <w:pPr>
        <w:ind w:left="1025" w:hanging="853"/>
        <w:jc w:val="left"/>
      </w:pPr>
      <w:rPr>
        <w:rFonts w:hint="default"/>
        <w:lang w:val="pt-PT" w:eastAsia="en-US" w:bidi="ar-SA"/>
      </w:rPr>
    </w:lvl>
    <w:lvl w:ilvl="1">
      <w:start w:val="3"/>
      <w:numFmt w:val="decimal"/>
      <w:lvlText w:val="%1.%2."/>
      <w:lvlJc w:val="left"/>
      <w:pPr>
        <w:ind w:left="1025" w:hanging="853"/>
        <w:jc w:val="left"/>
      </w:pPr>
      <w:rPr>
        <w:rFonts w:hint="default" w:ascii="Caladea" w:hAnsi="Caladea" w:eastAsia="Caladea" w:cs="Caladea"/>
        <w:b/>
        <w:bCs/>
        <w:spacing w:val="-2"/>
        <w:w w:val="100"/>
        <w:sz w:val="22"/>
        <w:szCs w:val="22"/>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3865" w:hanging="853"/>
      </w:pPr>
      <w:rPr>
        <w:rFonts w:hint="default"/>
        <w:lang w:val="pt-PT" w:eastAsia="en-US" w:bidi="ar-SA"/>
      </w:rPr>
    </w:lvl>
    <w:lvl w:ilvl="4">
      <w:start w:val="0"/>
      <w:numFmt w:val="bullet"/>
      <w:lvlText w:val="•"/>
      <w:lvlJc w:val="left"/>
      <w:pPr>
        <w:ind w:left="4814" w:hanging="853"/>
      </w:pPr>
      <w:rPr>
        <w:rFonts w:hint="default"/>
        <w:lang w:val="pt-PT" w:eastAsia="en-US" w:bidi="ar-SA"/>
      </w:rPr>
    </w:lvl>
    <w:lvl w:ilvl="5">
      <w:start w:val="0"/>
      <w:numFmt w:val="bullet"/>
      <w:lvlText w:val="•"/>
      <w:lvlJc w:val="left"/>
      <w:pPr>
        <w:ind w:left="5763" w:hanging="853"/>
      </w:pPr>
      <w:rPr>
        <w:rFonts w:hint="default"/>
        <w:lang w:val="pt-PT" w:eastAsia="en-US" w:bidi="ar-SA"/>
      </w:rPr>
    </w:lvl>
    <w:lvl w:ilvl="6">
      <w:start w:val="0"/>
      <w:numFmt w:val="bullet"/>
      <w:lvlText w:val="•"/>
      <w:lvlJc w:val="left"/>
      <w:pPr>
        <w:ind w:left="6711" w:hanging="853"/>
      </w:pPr>
      <w:rPr>
        <w:rFonts w:hint="default"/>
        <w:lang w:val="pt-PT" w:eastAsia="en-US" w:bidi="ar-SA"/>
      </w:rPr>
    </w:lvl>
    <w:lvl w:ilvl="7">
      <w:start w:val="0"/>
      <w:numFmt w:val="bullet"/>
      <w:lvlText w:val="•"/>
      <w:lvlJc w:val="left"/>
      <w:pPr>
        <w:ind w:left="7660" w:hanging="853"/>
      </w:pPr>
      <w:rPr>
        <w:rFonts w:hint="default"/>
        <w:lang w:val="pt-PT" w:eastAsia="en-US" w:bidi="ar-SA"/>
      </w:rPr>
    </w:lvl>
    <w:lvl w:ilvl="8">
      <w:start w:val="0"/>
      <w:numFmt w:val="bullet"/>
      <w:lvlText w:val="•"/>
      <w:lvlJc w:val="left"/>
      <w:pPr>
        <w:ind w:left="8609" w:hanging="853"/>
      </w:pPr>
      <w:rPr>
        <w:rFonts w:hint="default"/>
        <w:lang w:val="pt-PT" w:eastAsia="en-US" w:bidi="ar-SA"/>
      </w:rPr>
    </w:lvl>
  </w:abstractNum>
  <w:abstractNum w:abstractNumId="18">
    <w:multiLevelType w:val="hybridMultilevel"/>
    <w:lvl w:ilvl="0">
      <w:start w:val="4"/>
      <w:numFmt w:val="decimal"/>
      <w:lvlText w:val="%1"/>
      <w:lvlJc w:val="left"/>
      <w:pPr>
        <w:ind w:left="1025" w:hanging="853"/>
        <w:jc w:val="left"/>
      </w:pPr>
      <w:rPr>
        <w:rFonts w:hint="default"/>
        <w:lang w:val="pt-PT" w:eastAsia="en-US" w:bidi="ar-SA"/>
      </w:rPr>
    </w:lvl>
    <w:lvl w:ilvl="1">
      <w:start w:val="2"/>
      <w:numFmt w:val="decimal"/>
      <w:lvlText w:val="%1.%2"/>
      <w:lvlJc w:val="left"/>
      <w:pPr>
        <w:ind w:left="1025" w:hanging="853"/>
        <w:jc w:val="left"/>
      </w:pPr>
      <w:rPr>
        <w:rFonts w:hint="default"/>
        <w:lang w:val="pt-PT" w:eastAsia="en-US" w:bidi="ar-SA"/>
      </w:rPr>
    </w:lvl>
    <w:lvl w:ilvl="2">
      <w:start w:val="1"/>
      <w:numFmt w:val="decimal"/>
      <w:lvlText w:val="%1.%2.%3."/>
      <w:lvlJc w:val="left"/>
      <w:pPr>
        <w:ind w:left="1025" w:hanging="853"/>
        <w:jc w:val="left"/>
      </w:pPr>
      <w:rPr>
        <w:rFonts w:hint="default" w:ascii="Caladea" w:hAnsi="Caladea" w:eastAsia="Caladea" w:cs="Caladea"/>
        <w:b/>
        <w:bCs/>
        <w:spacing w:val="-2"/>
        <w:w w:val="100"/>
        <w:sz w:val="22"/>
        <w:szCs w:val="22"/>
        <w:lang w:val="pt-PT" w:eastAsia="en-US" w:bidi="ar-SA"/>
      </w:rPr>
    </w:lvl>
    <w:lvl w:ilvl="3">
      <w:start w:val="1"/>
      <w:numFmt w:val="decimal"/>
      <w:lvlText w:val="%1.%2.%3.%4."/>
      <w:lvlJc w:val="left"/>
      <w:pPr>
        <w:ind w:left="1306" w:hanging="1134"/>
        <w:jc w:val="left"/>
      </w:pPr>
      <w:rPr>
        <w:rFonts w:hint="default" w:ascii="Caladea" w:hAnsi="Caladea" w:eastAsia="Caladea" w:cs="Caladea"/>
        <w:b/>
        <w:bCs/>
        <w:spacing w:val="-2"/>
        <w:w w:val="100"/>
        <w:sz w:val="22"/>
        <w:szCs w:val="22"/>
        <w:lang w:val="pt-PT" w:eastAsia="en-US" w:bidi="ar-SA"/>
      </w:rPr>
    </w:lvl>
    <w:lvl w:ilvl="4">
      <w:start w:val="0"/>
      <w:numFmt w:val="bullet"/>
      <w:lvlText w:val="•"/>
      <w:lvlJc w:val="left"/>
      <w:pPr>
        <w:ind w:left="4368" w:hanging="1134"/>
      </w:pPr>
      <w:rPr>
        <w:rFonts w:hint="default"/>
        <w:lang w:val="pt-PT" w:eastAsia="en-US" w:bidi="ar-SA"/>
      </w:rPr>
    </w:lvl>
    <w:lvl w:ilvl="5">
      <w:start w:val="0"/>
      <w:numFmt w:val="bullet"/>
      <w:lvlText w:val="•"/>
      <w:lvlJc w:val="left"/>
      <w:pPr>
        <w:ind w:left="5391" w:hanging="1134"/>
      </w:pPr>
      <w:rPr>
        <w:rFonts w:hint="default"/>
        <w:lang w:val="pt-PT" w:eastAsia="en-US" w:bidi="ar-SA"/>
      </w:rPr>
    </w:lvl>
    <w:lvl w:ilvl="6">
      <w:start w:val="0"/>
      <w:numFmt w:val="bullet"/>
      <w:lvlText w:val="•"/>
      <w:lvlJc w:val="left"/>
      <w:pPr>
        <w:ind w:left="6414" w:hanging="1134"/>
      </w:pPr>
      <w:rPr>
        <w:rFonts w:hint="default"/>
        <w:lang w:val="pt-PT" w:eastAsia="en-US" w:bidi="ar-SA"/>
      </w:rPr>
    </w:lvl>
    <w:lvl w:ilvl="7">
      <w:start w:val="0"/>
      <w:numFmt w:val="bullet"/>
      <w:lvlText w:val="•"/>
      <w:lvlJc w:val="left"/>
      <w:pPr>
        <w:ind w:left="7437" w:hanging="1134"/>
      </w:pPr>
      <w:rPr>
        <w:rFonts w:hint="default"/>
        <w:lang w:val="pt-PT" w:eastAsia="en-US" w:bidi="ar-SA"/>
      </w:rPr>
    </w:lvl>
    <w:lvl w:ilvl="8">
      <w:start w:val="0"/>
      <w:numFmt w:val="bullet"/>
      <w:lvlText w:val="•"/>
      <w:lvlJc w:val="left"/>
      <w:pPr>
        <w:ind w:left="8460" w:hanging="1134"/>
      </w:pPr>
      <w:rPr>
        <w:rFonts w:hint="default"/>
        <w:lang w:val="pt-PT" w:eastAsia="en-US" w:bidi="ar-SA"/>
      </w:rPr>
    </w:lvl>
  </w:abstractNum>
  <w:abstractNum w:abstractNumId="17">
    <w:multiLevelType w:val="hybridMultilevel"/>
    <w:lvl w:ilvl="0">
      <w:start w:val="1"/>
      <w:numFmt w:val="lowerLetter"/>
      <w:lvlText w:val="%1)"/>
      <w:lvlJc w:val="left"/>
      <w:pPr>
        <w:ind w:left="403" w:hanging="231"/>
        <w:jc w:val="left"/>
      </w:pPr>
      <w:rPr>
        <w:rFonts w:hint="default" w:ascii="Caladea" w:hAnsi="Caladea" w:eastAsia="Caladea" w:cs="Caladea"/>
        <w:b/>
        <w:bCs/>
        <w:spacing w:val="-2"/>
        <w:w w:val="99"/>
        <w:sz w:val="20"/>
        <w:szCs w:val="20"/>
        <w:lang w:val="pt-PT" w:eastAsia="en-US" w:bidi="ar-SA"/>
      </w:rPr>
    </w:lvl>
    <w:lvl w:ilvl="1">
      <w:start w:val="0"/>
      <w:numFmt w:val="bullet"/>
      <w:lvlText w:val="•"/>
      <w:lvlJc w:val="left"/>
      <w:pPr>
        <w:ind w:left="1410" w:hanging="231"/>
      </w:pPr>
      <w:rPr>
        <w:rFonts w:hint="default"/>
        <w:lang w:val="pt-PT" w:eastAsia="en-US" w:bidi="ar-SA"/>
      </w:rPr>
    </w:lvl>
    <w:lvl w:ilvl="2">
      <w:start w:val="0"/>
      <w:numFmt w:val="bullet"/>
      <w:lvlText w:val="•"/>
      <w:lvlJc w:val="left"/>
      <w:pPr>
        <w:ind w:left="2421" w:hanging="231"/>
      </w:pPr>
      <w:rPr>
        <w:rFonts w:hint="default"/>
        <w:lang w:val="pt-PT" w:eastAsia="en-US" w:bidi="ar-SA"/>
      </w:rPr>
    </w:lvl>
    <w:lvl w:ilvl="3">
      <w:start w:val="0"/>
      <w:numFmt w:val="bullet"/>
      <w:lvlText w:val="•"/>
      <w:lvlJc w:val="left"/>
      <w:pPr>
        <w:ind w:left="3431" w:hanging="231"/>
      </w:pPr>
      <w:rPr>
        <w:rFonts w:hint="default"/>
        <w:lang w:val="pt-PT" w:eastAsia="en-US" w:bidi="ar-SA"/>
      </w:rPr>
    </w:lvl>
    <w:lvl w:ilvl="4">
      <w:start w:val="0"/>
      <w:numFmt w:val="bullet"/>
      <w:lvlText w:val="•"/>
      <w:lvlJc w:val="left"/>
      <w:pPr>
        <w:ind w:left="4442" w:hanging="231"/>
      </w:pPr>
      <w:rPr>
        <w:rFonts w:hint="default"/>
        <w:lang w:val="pt-PT" w:eastAsia="en-US" w:bidi="ar-SA"/>
      </w:rPr>
    </w:lvl>
    <w:lvl w:ilvl="5">
      <w:start w:val="0"/>
      <w:numFmt w:val="bullet"/>
      <w:lvlText w:val="•"/>
      <w:lvlJc w:val="left"/>
      <w:pPr>
        <w:ind w:left="5453" w:hanging="231"/>
      </w:pPr>
      <w:rPr>
        <w:rFonts w:hint="default"/>
        <w:lang w:val="pt-PT" w:eastAsia="en-US" w:bidi="ar-SA"/>
      </w:rPr>
    </w:lvl>
    <w:lvl w:ilvl="6">
      <w:start w:val="0"/>
      <w:numFmt w:val="bullet"/>
      <w:lvlText w:val="•"/>
      <w:lvlJc w:val="left"/>
      <w:pPr>
        <w:ind w:left="6463" w:hanging="231"/>
      </w:pPr>
      <w:rPr>
        <w:rFonts w:hint="default"/>
        <w:lang w:val="pt-PT" w:eastAsia="en-US" w:bidi="ar-SA"/>
      </w:rPr>
    </w:lvl>
    <w:lvl w:ilvl="7">
      <w:start w:val="0"/>
      <w:numFmt w:val="bullet"/>
      <w:lvlText w:val="•"/>
      <w:lvlJc w:val="left"/>
      <w:pPr>
        <w:ind w:left="7474" w:hanging="231"/>
      </w:pPr>
      <w:rPr>
        <w:rFonts w:hint="default"/>
        <w:lang w:val="pt-PT" w:eastAsia="en-US" w:bidi="ar-SA"/>
      </w:rPr>
    </w:lvl>
    <w:lvl w:ilvl="8">
      <w:start w:val="0"/>
      <w:numFmt w:val="bullet"/>
      <w:lvlText w:val="•"/>
      <w:lvlJc w:val="left"/>
      <w:pPr>
        <w:ind w:left="8485" w:hanging="231"/>
      </w:pPr>
      <w:rPr>
        <w:rFonts w:hint="default"/>
        <w:lang w:val="pt-PT" w:eastAsia="en-US" w:bidi="ar-SA"/>
      </w:rPr>
    </w:lvl>
  </w:abstractNum>
  <w:abstractNum w:abstractNumId="16">
    <w:multiLevelType w:val="hybridMultilevel"/>
    <w:lvl w:ilvl="0">
      <w:start w:val="3"/>
      <w:numFmt w:val="decimal"/>
      <w:lvlText w:val="%1"/>
      <w:lvlJc w:val="left"/>
      <w:pPr>
        <w:ind w:left="1008" w:hanging="896"/>
        <w:jc w:val="left"/>
      </w:pPr>
      <w:rPr>
        <w:rFonts w:hint="default"/>
        <w:lang w:val="pt-PT" w:eastAsia="en-US" w:bidi="ar-SA"/>
      </w:rPr>
    </w:lvl>
    <w:lvl w:ilvl="1">
      <w:start w:val="1"/>
      <w:numFmt w:val="decimal"/>
      <w:lvlText w:val="%1.%2."/>
      <w:lvlJc w:val="left"/>
      <w:pPr>
        <w:ind w:left="1008" w:hanging="896"/>
        <w:jc w:val="left"/>
      </w:pPr>
      <w:rPr>
        <w:rFonts w:hint="default" w:ascii="Caladea" w:hAnsi="Caladea" w:eastAsia="Caladea" w:cs="Caladea"/>
        <w:b/>
        <w:bCs/>
        <w:spacing w:val="-2"/>
        <w:w w:val="100"/>
        <w:sz w:val="22"/>
        <w:szCs w:val="22"/>
        <w:lang w:val="pt-PT" w:eastAsia="en-US" w:bidi="ar-SA"/>
      </w:rPr>
    </w:lvl>
    <w:lvl w:ilvl="2">
      <w:start w:val="1"/>
      <w:numFmt w:val="decimal"/>
      <w:lvlText w:val="%1.%2.%3."/>
      <w:lvlJc w:val="left"/>
      <w:pPr>
        <w:ind w:left="965" w:hanging="853"/>
        <w:jc w:val="left"/>
      </w:pPr>
      <w:rPr>
        <w:rFonts w:hint="default" w:ascii="Caladea" w:hAnsi="Caladea" w:eastAsia="Caladea" w:cs="Caladea"/>
        <w:b/>
        <w:bCs/>
        <w:spacing w:val="-2"/>
        <w:w w:val="100"/>
        <w:sz w:val="22"/>
        <w:szCs w:val="22"/>
        <w:lang w:val="pt-PT" w:eastAsia="en-US" w:bidi="ar-SA"/>
      </w:rPr>
    </w:lvl>
    <w:lvl w:ilvl="3">
      <w:start w:val="0"/>
      <w:numFmt w:val="bullet"/>
      <w:lvlText w:val="•"/>
      <w:lvlJc w:val="left"/>
      <w:pPr>
        <w:ind w:left="4066" w:hanging="853"/>
      </w:pPr>
      <w:rPr>
        <w:rFonts w:hint="default"/>
        <w:lang w:val="pt-PT" w:eastAsia="en-US" w:bidi="ar-SA"/>
      </w:rPr>
    </w:lvl>
    <w:lvl w:ilvl="4">
      <w:start w:val="0"/>
      <w:numFmt w:val="bullet"/>
      <w:lvlText w:val="•"/>
      <w:lvlJc w:val="left"/>
      <w:pPr>
        <w:ind w:left="5600" w:hanging="853"/>
      </w:pPr>
      <w:rPr>
        <w:rFonts w:hint="default"/>
        <w:lang w:val="pt-PT" w:eastAsia="en-US" w:bidi="ar-SA"/>
      </w:rPr>
    </w:lvl>
    <w:lvl w:ilvl="5">
      <w:start w:val="0"/>
      <w:numFmt w:val="bullet"/>
      <w:lvlText w:val="•"/>
      <w:lvlJc w:val="left"/>
      <w:pPr>
        <w:ind w:left="7133" w:hanging="853"/>
      </w:pPr>
      <w:rPr>
        <w:rFonts w:hint="default"/>
        <w:lang w:val="pt-PT" w:eastAsia="en-US" w:bidi="ar-SA"/>
      </w:rPr>
    </w:lvl>
    <w:lvl w:ilvl="6">
      <w:start w:val="0"/>
      <w:numFmt w:val="bullet"/>
      <w:lvlText w:val="•"/>
      <w:lvlJc w:val="left"/>
      <w:pPr>
        <w:ind w:left="8667" w:hanging="853"/>
      </w:pPr>
      <w:rPr>
        <w:rFonts w:hint="default"/>
        <w:lang w:val="pt-PT" w:eastAsia="en-US" w:bidi="ar-SA"/>
      </w:rPr>
    </w:lvl>
    <w:lvl w:ilvl="7">
      <w:start w:val="0"/>
      <w:numFmt w:val="bullet"/>
      <w:lvlText w:val="•"/>
      <w:lvlJc w:val="left"/>
      <w:pPr>
        <w:ind w:left="10200" w:hanging="853"/>
      </w:pPr>
      <w:rPr>
        <w:rFonts w:hint="default"/>
        <w:lang w:val="pt-PT" w:eastAsia="en-US" w:bidi="ar-SA"/>
      </w:rPr>
    </w:lvl>
    <w:lvl w:ilvl="8">
      <w:start w:val="0"/>
      <w:numFmt w:val="bullet"/>
      <w:lvlText w:val="•"/>
      <w:lvlJc w:val="left"/>
      <w:pPr>
        <w:ind w:left="11733" w:hanging="853"/>
      </w:pPr>
      <w:rPr>
        <w:rFonts w:hint="default"/>
        <w:lang w:val="pt-PT" w:eastAsia="en-US" w:bidi="ar-SA"/>
      </w:rPr>
    </w:lvl>
  </w:abstractNum>
  <w:abstractNum w:abstractNumId="15">
    <w:multiLevelType w:val="hybridMultilevel"/>
    <w:lvl w:ilvl="0">
      <w:start w:val="2"/>
      <w:numFmt w:val="decimal"/>
      <w:lvlText w:val="%1"/>
      <w:lvlJc w:val="left"/>
      <w:pPr>
        <w:ind w:left="1045" w:hanging="853"/>
        <w:jc w:val="left"/>
      </w:pPr>
      <w:rPr>
        <w:rFonts w:hint="default"/>
        <w:lang w:val="pt-PT" w:eastAsia="en-US" w:bidi="ar-SA"/>
      </w:rPr>
    </w:lvl>
    <w:lvl w:ilvl="1">
      <w:start w:val="3"/>
      <w:numFmt w:val="decimal"/>
      <w:lvlText w:val="%1.%2."/>
      <w:lvlJc w:val="left"/>
      <w:pPr>
        <w:ind w:left="1045" w:hanging="853"/>
        <w:jc w:val="left"/>
      </w:pPr>
      <w:rPr>
        <w:rFonts w:hint="default" w:ascii="Caladea" w:hAnsi="Caladea" w:eastAsia="Caladea" w:cs="Caladea"/>
        <w:b/>
        <w:bCs/>
        <w:spacing w:val="-2"/>
        <w:w w:val="100"/>
        <w:sz w:val="22"/>
        <w:szCs w:val="22"/>
        <w:lang w:val="pt-PT" w:eastAsia="en-US" w:bidi="ar-SA"/>
      </w:rPr>
    </w:lvl>
    <w:lvl w:ilvl="2">
      <w:start w:val="1"/>
      <w:numFmt w:val="decimal"/>
      <w:lvlText w:val="%1.%2.%3."/>
      <w:lvlJc w:val="left"/>
      <w:pPr>
        <w:ind w:left="1045" w:hanging="853"/>
        <w:jc w:val="left"/>
      </w:pPr>
      <w:rPr>
        <w:rFonts w:hint="default" w:ascii="Caladea" w:hAnsi="Caladea" w:eastAsia="Caladea" w:cs="Caladea"/>
        <w:b/>
        <w:bCs/>
        <w:spacing w:val="-2"/>
        <w:w w:val="100"/>
        <w:sz w:val="22"/>
        <w:szCs w:val="22"/>
        <w:lang w:val="pt-PT" w:eastAsia="en-US" w:bidi="ar-SA"/>
      </w:rPr>
    </w:lvl>
    <w:lvl w:ilvl="3">
      <w:start w:val="1"/>
      <w:numFmt w:val="decimal"/>
      <w:lvlText w:val="%1.%2.%3.%4."/>
      <w:lvlJc w:val="left"/>
      <w:pPr>
        <w:ind w:left="1326" w:hanging="1134"/>
        <w:jc w:val="left"/>
      </w:pPr>
      <w:rPr>
        <w:rFonts w:hint="default" w:ascii="Caladea" w:hAnsi="Caladea" w:eastAsia="Caladea" w:cs="Caladea"/>
        <w:b/>
        <w:bCs/>
        <w:spacing w:val="-2"/>
        <w:w w:val="100"/>
        <w:sz w:val="22"/>
        <w:szCs w:val="22"/>
        <w:lang w:val="pt-PT" w:eastAsia="en-US" w:bidi="ar-SA"/>
      </w:rPr>
    </w:lvl>
    <w:lvl w:ilvl="4">
      <w:start w:val="0"/>
      <w:numFmt w:val="bullet"/>
      <w:lvlText w:val=""/>
      <w:lvlJc w:val="left"/>
      <w:pPr>
        <w:ind w:left="913" w:hanging="360"/>
      </w:pPr>
      <w:rPr>
        <w:rFonts w:hint="default" w:ascii="Symbol" w:hAnsi="Symbol" w:eastAsia="Symbol" w:cs="Symbol"/>
        <w:w w:val="99"/>
        <w:sz w:val="20"/>
        <w:szCs w:val="20"/>
        <w:lang w:val="pt-PT" w:eastAsia="en-US" w:bidi="ar-SA"/>
      </w:rPr>
    </w:lvl>
    <w:lvl w:ilvl="5">
      <w:start w:val="0"/>
      <w:numFmt w:val="bullet"/>
      <w:lvlText w:val="•"/>
      <w:lvlJc w:val="left"/>
      <w:pPr>
        <w:ind w:left="4847" w:hanging="360"/>
      </w:pPr>
      <w:rPr>
        <w:rFonts w:hint="default"/>
        <w:lang w:val="pt-PT" w:eastAsia="en-US" w:bidi="ar-SA"/>
      </w:rPr>
    </w:lvl>
    <w:lvl w:ilvl="6">
      <w:start w:val="0"/>
      <w:numFmt w:val="bullet"/>
      <w:lvlText w:val="•"/>
      <w:lvlJc w:val="left"/>
      <w:pPr>
        <w:ind w:left="6023" w:hanging="360"/>
      </w:pPr>
      <w:rPr>
        <w:rFonts w:hint="default"/>
        <w:lang w:val="pt-PT" w:eastAsia="en-US" w:bidi="ar-SA"/>
      </w:rPr>
    </w:lvl>
    <w:lvl w:ilvl="7">
      <w:start w:val="0"/>
      <w:numFmt w:val="bullet"/>
      <w:lvlText w:val="•"/>
      <w:lvlJc w:val="left"/>
      <w:pPr>
        <w:ind w:left="7199" w:hanging="360"/>
      </w:pPr>
      <w:rPr>
        <w:rFonts w:hint="default"/>
        <w:lang w:val="pt-PT" w:eastAsia="en-US" w:bidi="ar-SA"/>
      </w:rPr>
    </w:lvl>
    <w:lvl w:ilvl="8">
      <w:start w:val="0"/>
      <w:numFmt w:val="bullet"/>
      <w:lvlText w:val="•"/>
      <w:lvlJc w:val="left"/>
      <w:pPr>
        <w:ind w:left="8374" w:hanging="360"/>
      </w:pPr>
      <w:rPr>
        <w:rFonts w:hint="default"/>
        <w:lang w:val="pt-PT" w:eastAsia="en-US" w:bidi="ar-SA"/>
      </w:rPr>
    </w:lvl>
  </w:abstractNum>
  <w:abstractNum w:abstractNumId="14">
    <w:multiLevelType w:val="hybridMultilevel"/>
    <w:lvl w:ilvl="0">
      <w:start w:val="1"/>
      <w:numFmt w:val="lowerLetter"/>
      <w:lvlText w:val="%1)"/>
      <w:lvlJc w:val="left"/>
      <w:pPr>
        <w:ind w:left="423" w:hanging="231"/>
        <w:jc w:val="left"/>
      </w:pPr>
      <w:rPr>
        <w:rFonts w:hint="default" w:ascii="Caladea" w:hAnsi="Caladea" w:eastAsia="Caladea" w:cs="Caladea"/>
        <w:b/>
        <w:bCs/>
        <w:spacing w:val="-1"/>
        <w:w w:val="99"/>
        <w:sz w:val="20"/>
        <w:szCs w:val="20"/>
        <w:lang w:val="pt-PT" w:eastAsia="en-US" w:bidi="ar-SA"/>
      </w:rPr>
    </w:lvl>
    <w:lvl w:ilvl="1">
      <w:start w:val="0"/>
      <w:numFmt w:val="bullet"/>
      <w:lvlText w:val="•"/>
      <w:lvlJc w:val="left"/>
      <w:pPr>
        <w:ind w:left="1450" w:hanging="231"/>
      </w:pPr>
      <w:rPr>
        <w:rFonts w:hint="default"/>
        <w:lang w:val="pt-PT" w:eastAsia="en-US" w:bidi="ar-SA"/>
      </w:rPr>
    </w:lvl>
    <w:lvl w:ilvl="2">
      <w:start w:val="0"/>
      <w:numFmt w:val="bullet"/>
      <w:lvlText w:val="•"/>
      <w:lvlJc w:val="left"/>
      <w:pPr>
        <w:ind w:left="2481" w:hanging="231"/>
      </w:pPr>
      <w:rPr>
        <w:rFonts w:hint="default"/>
        <w:lang w:val="pt-PT" w:eastAsia="en-US" w:bidi="ar-SA"/>
      </w:rPr>
    </w:lvl>
    <w:lvl w:ilvl="3">
      <w:start w:val="0"/>
      <w:numFmt w:val="bullet"/>
      <w:lvlText w:val="•"/>
      <w:lvlJc w:val="left"/>
      <w:pPr>
        <w:ind w:left="3511" w:hanging="231"/>
      </w:pPr>
      <w:rPr>
        <w:rFonts w:hint="default"/>
        <w:lang w:val="pt-PT" w:eastAsia="en-US" w:bidi="ar-SA"/>
      </w:rPr>
    </w:lvl>
    <w:lvl w:ilvl="4">
      <w:start w:val="0"/>
      <w:numFmt w:val="bullet"/>
      <w:lvlText w:val="•"/>
      <w:lvlJc w:val="left"/>
      <w:pPr>
        <w:ind w:left="4542" w:hanging="231"/>
      </w:pPr>
      <w:rPr>
        <w:rFonts w:hint="default"/>
        <w:lang w:val="pt-PT" w:eastAsia="en-US" w:bidi="ar-SA"/>
      </w:rPr>
    </w:lvl>
    <w:lvl w:ilvl="5">
      <w:start w:val="0"/>
      <w:numFmt w:val="bullet"/>
      <w:lvlText w:val="•"/>
      <w:lvlJc w:val="left"/>
      <w:pPr>
        <w:ind w:left="5573" w:hanging="231"/>
      </w:pPr>
      <w:rPr>
        <w:rFonts w:hint="default"/>
        <w:lang w:val="pt-PT" w:eastAsia="en-US" w:bidi="ar-SA"/>
      </w:rPr>
    </w:lvl>
    <w:lvl w:ilvl="6">
      <w:start w:val="0"/>
      <w:numFmt w:val="bullet"/>
      <w:lvlText w:val="•"/>
      <w:lvlJc w:val="left"/>
      <w:pPr>
        <w:ind w:left="6603" w:hanging="231"/>
      </w:pPr>
      <w:rPr>
        <w:rFonts w:hint="default"/>
        <w:lang w:val="pt-PT" w:eastAsia="en-US" w:bidi="ar-SA"/>
      </w:rPr>
    </w:lvl>
    <w:lvl w:ilvl="7">
      <w:start w:val="0"/>
      <w:numFmt w:val="bullet"/>
      <w:lvlText w:val="•"/>
      <w:lvlJc w:val="left"/>
      <w:pPr>
        <w:ind w:left="7634" w:hanging="231"/>
      </w:pPr>
      <w:rPr>
        <w:rFonts w:hint="default"/>
        <w:lang w:val="pt-PT" w:eastAsia="en-US" w:bidi="ar-SA"/>
      </w:rPr>
    </w:lvl>
    <w:lvl w:ilvl="8">
      <w:start w:val="0"/>
      <w:numFmt w:val="bullet"/>
      <w:lvlText w:val="•"/>
      <w:lvlJc w:val="left"/>
      <w:pPr>
        <w:ind w:left="8665" w:hanging="231"/>
      </w:pPr>
      <w:rPr>
        <w:rFonts w:hint="default"/>
        <w:lang w:val="pt-PT" w:eastAsia="en-US" w:bidi="ar-SA"/>
      </w:rPr>
    </w:lvl>
  </w:abstractNum>
  <w:abstractNum w:abstractNumId="13">
    <w:multiLevelType w:val="hybridMultilevel"/>
    <w:lvl w:ilvl="0">
      <w:start w:val="0"/>
      <w:numFmt w:val="bullet"/>
      <w:lvlText w:val=""/>
      <w:lvlJc w:val="left"/>
      <w:pPr>
        <w:ind w:left="759" w:hanging="567"/>
      </w:pPr>
      <w:rPr>
        <w:rFonts w:hint="default"/>
        <w:w w:val="99"/>
        <w:lang w:val="pt-PT" w:eastAsia="en-US" w:bidi="ar-SA"/>
      </w:rPr>
    </w:lvl>
    <w:lvl w:ilvl="1">
      <w:start w:val="0"/>
      <w:numFmt w:val="bullet"/>
      <w:lvlText w:val=""/>
      <w:lvlJc w:val="left"/>
      <w:pPr>
        <w:ind w:left="901" w:hanging="281"/>
      </w:pPr>
      <w:rPr>
        <w:rFonts w:hint="default" w:ascii="Wingdings" w:hAnsi="Wingdings" w:eastAsia="Wingdings" w:cs="Wingdings"/>
        <w:w w:val="100"/>
        <w:sz w:val="22"/>
        <w:szCs w:val="22"/>
        <w:lang w:val="pt-PT" w:eastAsia="en-US" w:bidi="ar-SA"/>
      </w:rPr>
    </w:lvl>
    <w:lvl w:ilvl="2">
      <w:start w:val="0"/>
      <w:numFmt w:val="bullet"/>
      <w:lvlText w:val="•"/>
      <w:lvlJc w:val="left"/>
      <w:pPr>
        <w:ind w:left="1991" w:hanging="281"/>
      </w:pPr>
      <w:rPr>
        <w:rFonts w:hint="default"/>
        <w:lang w:val="pt-PT" w:eastAsia="en-US" w:bidi="ar-SA"/>
      </w:rPr>
    </w:lvl>
    <w:lvl w:ilvl="3">
      <w:start w:val="0"/>
      <w:numFmt w:val="bullet"/>
      <w:lvlText w:val="•"/>
      <w:lvlJc w:val="left"/>
      <w:pPr>
        <w:ind w:left="3083" w:hanging="281"/>
      </w:pPr>
      <w:rPr>
        <w:rFonts w:hint="default"/>
        <w:lang w:val="pt-PT" w:eastAsia="en-US" w:bidi="ar-SA"/>
      </w:rPr>
    </w:lvl>
    <w:lvl w:ilvl="4">
      <w:start w:val="0"/>
      <w:numFmt w:val="bullet"/>
      <w:lvlText w:val="•"/>
      <w:lvlJc w:val="left"/>
      <w:pPr>
        <w:ind w:left="4175" w:hanging="281"/>
      </w:pPr>
      <w:rPr>
        <w:rFonts w:hint="default"/>
        <w:lang w:val="pt-PT" w:eastAsia="en-US" w:bidi="ar-SA"/>
      </w:rPr>
    </w:lvl>
    <w:lvl w:ilvl="5">
      <w:start w:val="0"/>
      <w:numFmt w:val="bullet"/>
      <w:lvlText w:val="•"/>
      <w:lvlJc w:val="left"/>
      <w:pPr>
        <w:ind w:left="5267" w:hanging="281"/>
      </w:pPr>
      <w:rPr>
        <w:rFonts w:hint="default"/>
        <w:lang w:val="pt-PT" w:eastAsia="en-US" w:bidi="ar-SA"/>
      </w:rPr>
    </w:lvl>
    <w:lvl w:ilvl="6">
      <w:start w:val="0"/>
      <w:numFmt w:val="bullet"/>
      <w:lvlText w:val="•"/>
      <w:lvlJc w:val="left"/>
      <w:pPr>
        <w:ind w:left="6359" w:hanging="281"/>
      </w:pPr>
      <w:rPr>
        <w:rFonts w:hint="default"/>
        <w:lang w:val="pt-PT" w:eastAsia="en-US" w:bidi="ar-SA"/>
      </w:rPr>
    </w:lvl>
    <w:lvl w:ilvl="7">
      <w:start w:val="0"/>
      <w:numFmt w:val="bullet"/>
      <w:lvlText w:val="•"/>
      <w:lvlJc w:val="left"/>
      <w:pPr>
        <w:ind w:left="7450" w:hanging="281"/>
      </w:pPr>
      <w:rPr>
        <w:rFonts w:hint="default"/>
        <w:lang w:val="pt-PT" w:eastAsia="en-US" w:bidi="ar-SA"/>
      </w:rPr>
    </w:lvl>
    <w:lvl w:ilvl="8">
      <w:start w:val="0"/>
      <w:numFmt w:val="bullet"/>
      <w:lvlText w:val="•"/>
      <w:lvlJc w:val="left"/>
      <w:pPr>
        <w:ind w:left="8542" w:hanging="281"/>
      </w:pPr>
      <w:rPr>
        <w:rFonts w:hint="default"/>
        <w:lang w:val="pt-PT" w:eastAsia="en-US" w:bidi="ar-SA"/>
      </w:rPr>
    </w:lvl>
  </w:abstractNum>
  <w:abstractNum w:abstractNumId="12">
    <w:multiLevelType w:val="hybridMultilevel"/>
    <w:lvl w:ilvl="0">
      <w:start w:val="0"/>
      <w:numFmt w:val="bullet"/>
      <w:lvlText w:val=""/>
      <w:lvlJc w:val="left"/>
      <w:pPr>
        <w:ind w:left="913" w:hanging="360"/>
      </w:pPr>
      <w:rPr>
        <w:rFonts w:hint="default" w:ascii="Symbol" w:hAnsi="Symbol" w:eastAsia="Symbol" w:cs="Symbol"/>
        <w:w w:val="99"/>
        <w:sz w:val="20"/>
        <w:szCs w:val="20"/>
        <w:lang w:val="pt-PT" w:eastAsia="en-US" w:bidi="ar-SA"/>
      </w:rPr>
    </w:lvl>
    <w:lvl w:ilvl="1">
      <w:start w:val="0"/>
      <w:numFmt w:val="bullet"/>
      <w:lvlText w:val="•"/>
      <w:lvlJc w:val="left"/>
      <w:pPr>
        <w:ind w:left="1900" w:hanging="360"/>
      </w:pPr>
      <w:rPr>
        <w:rFonts w:hint="default"/>
        <w:lang w:val="pt-PT" w:eastAsia="en-US" w:bidi="ar-SA"/>
      </w:rPr>
    </w:lvl>
    <w:lvl w:ilvl="2">
      <w:start w:val="0"/>
      <w:numFmt w:val="bullet"/>
      <w:lvlText w:val="•"/>
      <w:lvlJc w:val="left"/>
      <w:pPr>
        <w:ind w:left="2881" w:hanging="360"/>
      </w:pPr>
      <w:rPr>
        <w:rFonts w:hint="default"/>
        <w:lang w:val="pt-PT" w:eastAsia="en-US" w:bidi="ar-SA"/>
      </w:rPr>
    </w:lvl>
    <w:lvl w:ilvl="3">
      <w:start w:val="0"/>
      <w:numFmt w:val="bullet"/>
      <w:lvlText w:val="•"/>
      <w:lvlJc w:val="left"/>
      <w:pPr>
        <w:ind w:left="3861" w:hanging="360"/>
      </w:pPr>
      <w:rPr>
        <w:rFonts w:hint="default"/>
        <w:lang w:val="pt-PT" w:eastAsia="en-US" w:bidi="ar-SA"/>
      </w:rPr>
    </w:lvl>
    <w:lvl w:ilvl="4">
      <w:start w:val="0"/>
      <w:numFmt w:val="bullet"/>
      <w:lvlText w:val="•"/>
      <w:lvlJc w:val="left"/>
      <w:pPr>
        <w:ind w:left="4842" w:hanging="360"/>
      </w:pPr>
      <w:rPr>
        <w:rFonts w:hint="default"/>
        <w:lang w:val="pt-PT" w:eastAsia="en-US" w:bidi="ar-SA"/>
      </w:rPr>
    </w:lvl>
    <w:lvl w:ilvl="5">
      <w:start w:val="0"/>
      <w:numFmt w:val="bullet"/>
      <w:lvlText w:val="•"/>
      <w:lvlJc w:val="left"/>
      <w:pPr>
        <w:ind w:left="5823" w:hanging="360"/>
      </w:pPr>
      <w:rPr>
        <w:rFonts w:hint="default"/>
        <w:lang w:val="pt-PT" w:eastAsia="en-US" w:bidi="ar-SA"/>
      </w:rPr>
    </w:lvl>
    <w:lvl w:ilvl="6">
      <w:start w:val="0"/>
      <w:numFmt w:val="bullet"/>
      <w:lvlText w:val="•"/>
      <w:lvlJc w:val="left"/>
      <w:pPr>
        <w:ind w:left="6803" w:hanging="360"/>
      </w:pPr>
      <w:rPr>
        <w:rFonts w:hint="default"/>
        <w:lang w:val="pt-PT" w:eastAsia="en-US" w:bidi="ar-SA"/>
      </w:rPr>
    </w:lvl>
    <w:lvl w:ilvl="7">
      <w:start w:val="0"/>
      <w:numFmt w:val="bullet"/>
      <w:lvlText w:val="•"/>
      <w:lvlJc w:val="left"/>
      <w:pPr>
        <w:ind w:left="7784" w:hanging="360"/>
      </w:pPr>
      <w:rPr>
        <w:rFonts w:hint="default"/>
        <w:lang w:val="pt-PT" w:eastAsia="en-US" w:bidi="ar-SA"/>
      </w:rPr>
    </w:lvl>
    <w:lvl w:ilvl="8">
      <w:start w:val="0"/>
      <w:numFmt w:val="bullet"/>
      <w:lvlText w:val="•"/>
      <w:lvlJc w:val="left"/>
      <w:pPr>
        <w:ind w:left="8765" w:hanging="360"/>
      </w:pPr>
      <w:rPr>
        <w:rFonts w:hint="default"/>
        <w:lang w:val="pt-PT" w:eastAsia="en-US" w:bidi="ar-SA"/>
      </w:rPr>
    </w:lvl>
  </w:abstractNum>
  <w:abstractNum w:abstractNumId="11">
    <w:multiLevelType w:val="hybridMultilevel"/>
    <w:lvl w:ilvl="0">
      <w:start w:val="1"/>
      <w:numFmt w:val="lowerLetter"/>
      <w:lvlText w:val="%1)"/>
      <w:lvlJc w:val="left"/>
      <w:pPr>
        <w:ind w:left="423" w:hanging="231"/>
        <w:jc w:val="left"/>
      </w:pPr>
      <w:rPr>
        <w:rFonts w:hint="default" w:ascii="Caladea" w:hAnsi="Caladea" w:eastAsia="Caladea" w:cs="Caladea"/>
        <w:b/>
        <w:bCs/>
        <w:spacing w:val="-2"/>
        <w:w w:val="99"/>
        <w:sz w:val="20"/>
        <w:szCs w:val="20"/>
        <w:lang w:val="pt-PT" w:eastAsia="en-US" w:bidi="ar-SA"/>
      </w:rPr>
    </w:lvl>
    <w:lvl w:ilvl="1">
      <w:start w:val="0"/>
      <w:numFmt w:val="bullet"/>
      <w:lvlText w:val="•"/>
      <w:lvlJc w:val="left"/>
      <w:pPr>
        <w:ind w:left="1450" w:hanging="231"/>
      </w:pPr>
      <w:rPr>
        <w:rFonts w:hint="default"/>
        <w:lang w:val="pt-PT" w:eastAsia="en-US" w:bidi="ar-SA"/>
      </w:rPr>
    </w:lvl>
    <w:lvl w:ilvl="2">
      <w:start w:val="0"/>
      <w:numFmt w:val="bullet"/>
      <w:lvlText w:val="•"/>
      <w:lvlJc w:val="left"/>
      <w:pPr>
        <w:ind w:left="2481" w:hanging="231"/>
      </w:pPr>
      <w:rPr>
        <w:rFonts w:hint="default"/>
        <w:lang w:val="pt-PT" w:eastAsia="en-US" w:bidi="ar-SA"/>
      </w:rPr>
    </w:lvl>
    <w:lvl w:ilvl="3">
      <w:start w:val="0"/>
      <w:numFmt w:val="bullet"/>
      <w:lvlText w:val="•"/>
      <w:lvlJc w:val="left"/>
      <w:pPr>
        <w:ind w:left="3511" w:hanging="231"/>
      </w:pPr>
      <w:rPr>
        <w:rFonts w:hint="default"/>
        <w:lang w:val="pt-PT" w:eastAsia="en-US" w:bidi="ar-SA"/>
      </w:rPr>
    </w:lvl>
    <w:lvl w:ilvl="4">
      <w:start w:val="0"/>
      <w:numFmt w:val="bullet"/>
      <w:lvlText w:val="•"/>
      <w:lvlJc w:val="left"/>
      <w:pPr>
        <w:ind w:left="4542" w:hanging="231"/>
      </w:pPr>
      <w:rPr>
        <w:rFonts w:hint="default"/>
        <w:lang w:val="pt-PT" w:eastAsia="en-US" w:bidi="ar-SA"/>
      </w:rPr>
    </w:lvl>
    <w:lvl w:ilvl="5">
      <w:start w:val="0"/>
      <w:numFmt w:val="bullet"/>
      <w:lvlText w:val="•"/>
      <w:lvlJc w:val="left"/>
      <w:pPr>
        <w:ind w:left="5573" w:hanging="231"/>
      </w:pPr>
      <w:rPr>
        <w:rFonts w:hint="default"/>
        <w:lang w:val="pt-PT" w:eastAsia="en-US" w:bidi="ar-SA"/>
      </w:rPr>
    </w:lvl>
    <w:lvl w:ilvl="6">
      <w:start w:val="0"/>
      <w:numFmt w:val="bullet"/>
      <w:lvlText w:val="•"/>
      <w:lvlJc w:val="left"/>
      <w:pPr>
        <w:ind w:left="6603" w:hanging="231"/>
      </w:pPr>
      <w:rPr>
        <w:rFonts w:hint="default"/>
        <w:lang w:val="pt-PT" w:eastAsia="en-US" w:bidi="ar-SA"/>
      </w:rPr>
    </w:lvl>
    <w:lvl w:ilvl="7">
      <w:start w:val="0"/>
      <w:numFmt w:val="bullet"/>
      <w:lvlText w:val="•"/>
      <w:lvlJc w:val="left"/>
      <w:pPr>
        <w:ind w:left="7634" w:hanging="231"/>
      </w:pPr>
      <w:rPr>
        <w:rFonts w:hint="default"/>
        <w:lang w:val="pt-PT" w:eastAsia="en-US" w:bidi="ar-SA"/>
      </w:rPr>
    </w:lvl>
    <w:lvl w:ilvl="8">
      <w:start w:val="0"/>
      <w:numFmt w:val="bullet"/>
      <w:lvlText w:val="•"/>
      <w:lvlJc w:val="left"/>
      <w:pPr>
        <w:ind w:left="8665" w:hanging="231"/>
      </w:pPr>
      <w:rPr>
        <w:rFonts w:hint="default"/>
        <w:lang w:val="pt-PT" w:eastAsia="en-US" w:bidi="ar-SA"/>
      </w:rPr>
    </w:lvl>
  </w:abstractNum>
  <w:abstractNum w:abstractNumId="10">
    <w:multiLevelType w:val="hybridMultilevel"/>
    <w:lvl w:ilvl="0">
      <w:start w:val="0"/>
      <w:numFmt w:val="bullet"/>
      <w:lvlText w:val="-"/>
      <w:lvlJc w:val="left"/>
      <w:pPr>
        <w:ind w:left="192" w:hanging="126"/>
      </w:pPr>
      <w:rPr>
        <w:rFonts w:hint="default" w:ascii="Trebuchet MS" w:hAnsi="Trebuchet MS" w:eastAsia="Trebuchet MS" w:cs="Trebuchet MS"/>
        <w:w w:val="90"/>
        <w:sz w:val="20"/>
        <w:szCs w:val="20"/>
        <w:lang w:val="pt-PT" w:eastAsia="en-US" w:bidi="ar-SA"/>
      </w:rPr>
    </w:lvl>
    <w:lvl w:ilvl="1">
      <w:start w:val="0"/>
      <w:numFmt w:val="bullet"/>
      <w:lvlText w:val="•"/>
      <w:lvlJc w:val="left"/>
      <w:pPr>
        <w:ind w:left="1252" w:hanging="126"/>
      </w:pPr>
      <w:rPr>
        <w:rFonts w:hint="default"/>
        <w:lang w:val="pt-PT" w:eastAsia="en-US" w:bidi="ar-SA"/>
      </w:rPr>
    </w:lvl>
    <w:lvl w:ilvl="2">
      <w:start w:val="0"/>
      <w:numFmt w:val="bullet"/>
      <w:lvlText w:val="•"/>
      <w:lvlJc w:val="left"/>
      <w:pPr>
        <w:ind w:left="2305" w:hanging="126"/>
      </w:pPr>
      <w:rPr>
        <w:rFonts w:hint="default"/>
        <w:lang w:val="pt-PT" w:eastAsia="en-US" w:bidi="ar-SA"/>
      </w:rPr>
    </w:lvl>
    <w:lvl w:ilvl="3">
      <w:start w:val="0"/>
      <w:numFmt w:val="bullet"/>
      <w:lvlText w:val="•"/>
      <w:lvlJc w:val="left"/>
      <w:pPr>
        <w:ind w:left="3357" w:hanging="126"/>
      </w:pPr>
      <w:rPr>
        <w:rFonts w:hint="default"/>
        <w:lang w:val="pt-PT" w:eastAsia="en-US" w:bidi="ar-SA"/>
      </w:rPr>
    </w:lvl>
    <w:lvl w:ilvl="4">
      <w:start w:val="0"/>
      <w:numFmt w:val="bullet"/>
      <w:lvlText w:val="•"/>
      <w:lvlJc w:val="left"/>
      <w:pPr>
        <w:ind w:left="4410" w:hanging="126"/>
      </w:pPr>
      <w:rPr>
        <w:rFonts w:hint="default"/>
        <w:lang w:val="pt-PT" w:eastAsia="en-US" w:bidi="ar-SA"/>
      </w:rPr>
    </w:lvl>
    <w:lvl w:ilvl="5">
      <w:start w:val="0"/>
      <w:numFmt w:val="bullet"/>
      <w:lvlText w:val="•"/>
      <w:lvlJc w:val="left"/>
      <w:pPr>
        <w:ind w:left="5463" w:hanging="126"/>
      </w:pPr>
      <w:rPr>
        <w:rFonts w:hint="default"/>
        <w:lang w:val="pt-PT" w:eastAsia="en-US" w:bidi="ar-SA"/>
      </w:rPr>
    </w:lvl>
    <w:lvl w:ilvl="6">
      <w:start w:val="0"/>
      <w:numFmt w:val="bullet"/>
      <w:lvlText w:val="•"/>
      <w:lvlJc w:val="left"/>
      <w:pPr>
        <w:ind w:left="6515" w:hanging="126"/>
      </w:pPr>
      <w:rPr>
        <w:rFonts w:hint="default"/>
        <w:lang w:val="pt-PT" w:eastAsia="en-US" w:bidi="ar-SA"/>
      </w:rPr>
    </w:lvl>
    <w:lvl w:ilvl="7">
      <w:start w:val="0"/>
      <w:numFmt w:val="bullet"/>
      <w:lvlText w:val="•"/>
      <w:lvlJc w:val="left"/>
      <w:pPr>
        <w:ind w:left="7568" w:hanging="126"/>
      </w:pPr>
      <w:rPr>
        <w:rFonts w:hint="default"/>
        <w:lang w:val="pt-PT" w:eastAsia="en-US" w:bidi="ar-SA"/>
      </w:rPr>
    </w:lvl>
    <w:lvl w:ilvl="8">
      <w:start w:val="0"/>
      <w:numFmt w:val="bullet"/>
      <w:lvlText w:val="•"/>
      <w:lvlJc w:val="left"/>
      <w:pPr>
        <w:ind w:left="8621" w:hanging="126"/>
      </w:pPr>
      <w:rPr>
        <w:rFonts w:hint="default"/>
        <w:lang w:val="pt-PT" w:eastAsia="en-US" w:bidi="ar-SA"/>
      </w:rPr>
    </w:lvl>
  </w:abstractNum>
  <w:abstractNum w:abstractNumId="9">
    <w:multiLevelType w:val="hybridMultilevel"/>
    <w:lvl w:ilvl="0">
      <w:start w:val="2"/>
      <w:numFmt w:val="decimal"/>
      <w:lvlText w:val="%1"/>
      <w:lvlJc w:val="left"/>
      <w:pPr>
        <w:ind w:left="1045" w:hanging="853"/>
        <w:jc w:val="left"/>
      </w:pPr>
      <w:rPr>
        <w:rFonts w:hint="default"/>
        <w:lang w:val="pt-PT" w:eastAsia="en-US" w:bidi="ar-SA"/>
      </w:rPr>
    </w:lvl>
    <w:lvl w:ilvl="1">
      <w:start w:val="2"/>
      <w:numFmt w:val="decimal"/>
      <w:lvlText w:val="%1.%2"/>
      <w:lvlJc w:val="left"/>
      <w:pPr>
        <w:ind w:left="1045" w:hanging="853"/>
        <w:jc w:val="left"/>
      </w:pPr>
      <w:rPr>
        <w:rFonts w:hint="default"/>
        <w:lang w:val="pt-PT" w:eastAsia="en-US" w:bidi="ar-SA"/>
      </w:rPr>
    </w:lvl>
    <w:lvl w:ilvl="2">
      <w:start w:val="1"/>
      <w:numFmt w:val="decimal"/>
      <w:lvlText w:val="%1.%2.%3."/>
      <w:lvlJc w:val="left"/>
      <w:pPr>
        <w:ind w:left="1045" w:hanging="853"/>
        <w:jc w:val="left"/>
      </w:pPr>
      <w:rPr>
        <w:rFonts w:hint="default" w:ascii="Caladea" w:hAnsi="Caladea" w:eastAsia="Caladea" w:cs="Caladea"/>
        <w:b/>
        <w:bCs/>
        <w:spacing w:val="-2"/>
        <w:w w:val="100"/>
        <w:sz w:val="22"/>
        <w:szCs w:val="22"/>
        <w:lang w:val="pt-PT" w:eastAsia="en-US" w:bidi="ar-SA"/>
      </w:rPr>
    </w:lvl>
    <w:lvl w:ilvl="3">
      <w:start w:val="1"/>
      <w:numFmt w:val="decimal"/>
      <w:lvlText w:val="%1.%2.%3.%4."/>
      <w:lvlJc w:val="left"/>
      <w:pPr>
        <w:ind w:left="1326" w:hanging="1134"/>
        <w:jc w:val="left"/>
      </w:pPr>
      <w:rPr>
        <w:rFonts w:hint="default" w:ascii="Caladea" w:hAnsi="Caladea" w:eastAsia="Caladea" w:cs="Caladea"/>
        <w:b/>
        <w:bCs/>
        <w:spacing w:val="-2"/>
        <w:w w:val="100"/>
        <w:sz w:val="22"/>
        <w:szCs w:val="22"/>
        <w:lang w:val="pt-PT" w:eastAsia="en-US" w:bidi="ar-SA"/>
      </w:rPr>
    </w:lvl>
    <w:lvl w:ilvl="4">
      <w:start w:val="1"/>
      <w:numFmt w:val="lowerLetter"/>
      <w:lvlText w:val="(%5)"/>
      <w:lvlJc w:val="left"/>
      <w:pPr>
        <w:ind w:left="901" w:hanging="567"/>
        <w:jc w:val="left"/>
      </w:pPr>
      <w:rPr>
        <w:rFonts w:hint="default" w:ascii="Caladea" w:hAnsi="Caladea" w:eastAsia="Caladea" w:cs="Caladea"/>
        <w:b/>
        <w:bCs/>
        <w:spacing w:val="-1"/>
        <w:w w:val="100"/>
        <w:sz w:val="22"/>
        <w:szCs w:val="22"/>
        <w:lang w:val="pt-PT" w:eastAsia="en-US" w:bidi="ar-SA"/>
      </w:rPr>
    </w:lvl>
    <w:lvl w:ilvl="5">
      <w:start w:val="0"/>
      <w:numFmt w:val="bullet"/>
      <w:lvlText w:val="•"/>
      <w:lvlJc w:val="left"/>
      <w:pPr>
        <w:ind w:left="4847" w:hanging="567"/>
      </w:pPr>
      <w:rPr>
        <w:rFonts w:hint="default"/>
        <w:lang w:val="pt-PT" w:eastAsia="en-US" w:bidi="ar-SA"/>
      </w:rPr>
    </w:lvl>
    <w:lvl w:ilvl="6">
      <w:start w:val="0"/>
      <w:numFmt w:val="bullet"/>
      <w:lvlText w:val="•"/>
      <w:lvlJc w:val="left"/>
      <w:pPr>
        <w:ind w:left="6023" w:hanging="567"/>
      </w:pPr>
      <w:rPr>
        <w:rFonts w:hint="default"/>
        <w:lang w:val="pt-PT" w:eastAsia="en-US" w:bidi="ar-SA"/>
      </w:rPr>
    </w:lvl>
    <w:lvl w:ilvl="7">
      <w:start w:val="0"/>
      <w:numFmt w:val="bullet"/>
      <w:lvlText w:val="•"/>
      <w:lvlJc w:val="left"/>
      <w:pPr>
        <w:ind w:left="7199" w:hanging="567"/>
      </w:pPr>
      <w:rPr>
        <w:rFonts w:hint="default"/>
        <w:lang w:val="pt-PT" w:eastAsia="en-US" w:bidi="ar-SA"/>
      </w:rPr>
    </w:lvl>
    <w:lvl w:ilvl="8">
      <w:start w:val="0"/>
      <w:numFmt w:val="bullet"/>
      <w:lvlText w:val="•"/>
      <w:lvlJc w:val="left"/>
      <w:pPr>
        <w:ind w:left="8374" w:hanging="567"/>
      </w:pPr>
      <w:rPr>
        <w:rFonts w:hint="default"/>
        <w:lang w:val="pt-PT" w:eastAsia="en-US" w:bidi="ar-SA"/>
      </w:rPr>
    </w:lvl>
  </w:abstractNum>
  <w:abstractNum w:abstractNumId="8">
    <w:multiLevelType w:val="hybridMultilevel"/>
    <w:lvl w:ilvl="0">
      <w:start w:val="2"/>
      <w:numFmt w:val="decimal"/>
      <w:lvlText w:val="%1"/>
      <w:lvlJc w:val="left"/>
      <w:pPr>
        <w:ind w:left="1045" w:hanging="853"/>
        <w:jc w:val="left"/>
      </w:pPr>
      <w:rPr>
        <w:rFonts w:hint="default"/>
        <w:lang w:val="pt-PT" w:eastAsia="en-US" w:bidi="ar-SA"/>
      </w:rPr>
    </w:lvl>
    <w:lvl w:ilvl="1">
      <w:start w:val="1"/>
      <w:numFmt w:val="decimal"/>
      <w:lvlText w:val="%1.%2"/>
      <w:lvlJc w:val="left"/>
      <w:pPr>
        <w:ind w:left="1045" w:hanging="853"/>
        <w:jc w:val="left"/>
      </w:pPr>
      <w:rPr>
        <w:rFonts w:hint="default"/>
        <w:lang w:val="pt-PT" w:eastAsia="en-US" w:bidi="ar-SA"/>
      </w:rPr>
    </w:lvl>
    <w:lvl w:ilvl="2">
      <w:start w:val="1"/>
      <w:numFmt w:val="decimal"/>
      <w:lvlText w:val="%1.%2.%3."/>
      <w:lvlJc w:val="left"/>
      <w:pPr>
        <w:ind w:left="1045" w:hanging="853"/>
        <w:jc w:val="left"/>
      </w:pPr>
      <w:rPr>
        <w:rFonts w:hint="default" w:ascii="Caladea" w:hAnsi="Caladea" w:eastAsia="Caladea" w:cs="Caladea"/>
        <w:b/>
        <w:bCs/>
        <w:spacing w:val="-2"/>
        <w:w w:val="100"/>
        <w:sz w:val="22"/>
        <w:szCs w:val="22"/>
        <w:lang w:val="pt-PT" w:eastAsia="en-US" w:bidi="ar-SA"/>
      </w:rPr>
    </w:lvl>
    <w:lvl w:ilvl="3">
      <w:start w:val="1"/>
      <w:numFmt w:val="decimal"/>
      <w:lvlText w:val="%1.%2.%3.%4."/>
      <w:lvlJc w:val="left"/>
      <w:pPr>
        <w:ind w:left="1326" w:hanging="1134"/>
        <w:jc w:val="left"/>
      </w:pPr>
      <w:rPr>
        <w:rFonts w:hint="default" w:ascii="Caladea" w:hAnsi="Caladea" w:eastAsia="Caladea" w:cs="Caladea"/>
        <w:b/>
        <w:bCs/>
        <w:spacing w:val="-2"/>
        <w:w w:val="100"/>
        <w:sz w:val="22"/>
        <w:szCs w:val="22"/>
        <w:lang w:val="pt-PT" w:eastAsia="en-US" w:bidi="ar-SA"/>
      </w:rPr>
    </w:lvl>
    <w:lvl w:ilvl="4">
      <w:start w:val="1"/>
      <w:numFmt w:val="decimal"/>
      <w:lvlText w:val="%1.%2.%3.%4.%5."/>
      <w:lvlJc w:val="left"/>
      <w:pPr>
        <w:ind w:left="1326" w:hanging="1134"/>
        <w:jc w:val="left"/>
      </w:pPr>
      <w:rPr>
        <w:rFonts w:hint="default" w:ascii="Caladea" w:hAnsi="Caladea" w:eastAsia="Caladea" w:cs="Caladea"/>
        <w:b/>
        <w:bCs/>
        <w:spacing w:val="-2"/>
        <w:w w:val="100"/>
        <w:sz w:val="22"/>
        <w:szCs w:val="22"/>
        <w:lang w:val="pt-PT" w:eastAsia="en-US" w:bidi="ar-SA"/>
      </w:rPr>
    </w:lvl>
    <w:lvl w:ilvl="5">
      <w:start w:val="0"/>
      <w:numFmt w:val="bullet"/>
      <w:lvlText w:val="•"/>
      <w:lvlJc w:val="left"/>
      <w:pPr>
        <w:ind w:left="5500" w:hanging="1134"/>
      </w:pPr>
      <w:rPr>
        <w:rFonts w:hint="default"/>
        <w:lang w:val="pt-PT" w:eastAsia="en-US" w:bidi="ar-SA"/>
      </w:rPr>
    </w:lvl>
    <w:lvl w:ilvl="6">
      <w:start w:val="0"/>
      <w:numFmt w:val="bullet"/>
      <w:lvlText w:val="•"/>
      <w:lvlJc w:val="left"/>
      <w:pPr>
        <w:ind w:left="6545" w:hanging="1134"/>
      </w:pPr>
      <w:rPr>
        <w:rFonts w:hint="default"/>
        <w:lang w:val="pt-PT" w:eastAsia="en-US" w:bidi="ar-SA"/>
      </w:rPr>
    </w:lvl>
    <w:lvl w:ilvl="7">
      <w:start w:val="0"/>
      <w:numFmt w:val="bullet"/>
      <w:lvlText w:val="•"/>
      <w:lvlJc w:val="left"/>
      <w:pPr>
        <w:ind w:left="7590" w:hanging="1134"/>
      </w:pPr>
      <w:rPr>
        <w:rFonts w:hint="default"/>
        <w:lang w:val="pt-PT" w:eastAsia="en-US" w:bidi="ar-SA"/>
      </w:rPr>
    </w:lvl>
    <w:lvl w:ilvl="8">
      <w:start w:val="0"/>
      <w:numFmt w:val="bullet"/>
      <w:lvlText w:val="•"/>
      <w:lvlJc w:val="left"/>
      <w:pPr>
        <w:ind w:left="8636" w:hanging="1134"/>
      </w:pPr>
      <w:rPr>
        <w:rFonts w:hint="default"/>
        <w:lang w:val="pt-PT" w:eastAsia="en-US" w:bidi="ar-SA"/>
      </w:rPr>
    </w:lvl>
  </w:abstractNum>
  <w:abstractNum w:abstractNumId="7">
    <w:multiLevelType w:val="hybridMultilevel"/>
    <w:lvl w:ilvl="0">
      <w:start w:val="0"/>
      <w:numFmt w:val="bullet"/>
      <w:lvlText w:val=""/>
      <w:lvlJc w:val="left"/>
      <w:pPr>
        <w:ind w:left="913" w:hanging="360"/>
      </w:pPr>
      <w:rPr>
        <w:rFonts w:hint="default" w:ascii="Symbol" w:hAnsi="Symbol" w:eastAsia="Symbol" w:cs="Symbol"/>
        <w:w w:val="99"/>
        <w:sz w:val="20"/>
        <w:szCs w:val="20"/>
        <w:lang w:val="pt-PT" w:eastAsia="en-US" w:bidi="ar-SA"/>
      </w:rPr>
    </w:lvl>
    <w:lvl w:ilvl="1">
      <w:start w:val="0"/>
      <w:numFmt w:val="bullet"/>
      <w:lvlText w:val="•"/>
      <w:lvlJc w:val="left"/>
      <w:pPr>
        <w:ind w:left="1900" w:hanging="360"/>
      </w:pPr>
      <w:rPr>
        <w:rFonts w:hint="default"/>
        <w:lang w:val="pt-PT" w:eastAsia="en-US" w:bidi="ar-SA"/>
      </w:rPr>
    </w:lvl>
    <w:lvl w:ilvl="2">
      <w:start w:val="0"/>
      <w:numFmt w:val="bullet"/>
      <w:lvlText w:val="•"/>
      <w:lvlJc w:val="left"/>
      <w:pPr>
        <w:ind w:left="2881" w:hanging="360"/>
      </w:pPr>
      <w:rPr>
        <w:rFonts w:hint="default"/>
        <w:lang w:val="pt-PT" w:eastAsia="en-US" w:bidi="ar-SA"/>
      </w:rPr>
    </w:lvl>
    <w:lvl w:ilvl="3">
      <w:start w:val="0"/>
      <w:numFmt w:val="bullet"/>
      <w:lvlText w:val="•"/>
      <w:lvlJc w:val="left"/>
      <w:pPr>
        <w:ind w:left="3861" w:hanging="360"/>
      </w:pPr>
      <w:rPr>
        <w:rFonts w:hint="default"/>
        <w:lang w:val="pt-PT" w:eastAsia="en-US" w:bidi="ar-SA"/>
      </w:rPr>
    </w:lvl>
    <w:lvl w:ilvl="4">
      <w:start w:val="0"/>
      <w:numFmt w:val="bullet"/>
      <w:lvlText w:val="•"/>
      <w:lvlJc w:val="left"/>
      <w:pPr>
        <w:ind w:left="4842" w:hanging="360"/>
      </w:pPr>
      <w:rPr>
        <w:rFonts w:hint="default"/>
        <w:lang w:val="pt-PT" w:eastAsia="en-US" w:bidi="ar-SA"/>
      </w:rPr>
    </w:lvl>
    <w:lvl w:ilvl="5">
      <w:start w:val="0"/>
      <w:numFmt w:val="bullet"/>
      <w:lvlText w:val="•"/>
      <w:lvlJc w:val="left"/>
      <w:pPr>
        <w:ind w:left="5823" w:hanging="360"/>
      </w:pPr>
      <w:rPr>
        <w:rFonts w:hint="default"/>
        <w:lang w:val="pt-PT" w:eastAsia="en-US" w:bidi="ar-SA"/>
      </w:rPr>
    </w:lvl>
    <w:lvl w:ilvl="6">
      <w:start w:val="0"/>
      <w:numFmt w:val="bullet"/>
      <w:lvlText w:val="•"/>
      <w:lvlJc w:val="left"/>
      <w:pPr>
        <w:ind w:left="6803" w:hanging="360"/>
      </w:pPr>
      <w:rPr>
        <w:rFonts w:hint="default"/>
        <w:lang w:val="pt-PT" w:eastAsia="en-US" w:bidi="ar-SA"/>
      </w:rPr>
    </w:lvl>
    <w:lvl w:ilvl="7">
      <w:start w:val="0"/>
      <w:numFmt w:val="bullet"/>
      <w:lvlText w:val="•"/>
      <w:lvlJc w:val="left"/>
      <w:pPr>
        <w:ind w:left="7784" w:hanging="360"/>
      </w:pPr>
      <w:rPr>
        <w:rFonts w:hint="default"/>
        <w:lang w:val="pt-PT" w:eastAsia="en-US" w:bidi="ar-SA"/>
      </w:rPr>
    </w:lvl>
    <w:lvl w:ilvl="8">
      <w:start w:val="0"/>
      <w:numFmt w:val="bullet"/>
      <w:lvlText w:val="•"/>
      <w:lvlJc w:val="left"/>
      <w:pPr>
        <w:ind w:left="8765" w:hanging="360"/>
      </w:pPr>
      <w:rPr>
        <w:rFonts w:hint="default"/>
        <w:lang w:val="pt-PT" w:eastAsia="en-US" w:bidi="ar-SA"/>
      </w:rPr>
    </w:lvl>
  </w:abstractNum>
  <w:abstractNum w:abstractNumId="6">
    <w:multiLevelType w:val="hybridMultilevel"/>
    <w:lvl w:ilvl="0">
      <w:start w:val="1"/>
      <w:numFmt w:val="lowerRoman"/>
      <w:lvlText w:val="(%1)"/>
      <w:lvlJc w:val="left"/>
      <w:pPr>
        <w:ind w:left="192" w:hanging="255"/>
        <w:jc w:val="left"/>
      </w:pPr>
      <w:rPr>
        <w:rFonts w:hint="default" w:ascii="Trebuchet MS" w:hAnsi="Trebuchet MS" w:eastAsia="Trebuchet MS" w:cs="Trebuchet MS"/>
        <w:w w:val="100"/>
        <w:sz w:val="20"/>
        <w:szCs w:val="20"/>
        <w:lang w:val="pt-PT" w:eastAsia="en-US" w:bidi="ar-SA"/>
      </w:rPr>
    </w:lvl>
    <w:lvl w:ilvl="1">
      <w:start w:val="0"/>
      <w:numFmt w:val="bullet"/>
      <w:lvlText w:val="•"/>
      <w:lvlJc w:val="left"/>
      <w:pPr>
        <w:ind w:left="1252" w:hanging="255"/>
      </w:pPr>
      <w:rPr>
        <w:rFonts w:hint="default"/>
        <w:lang w:val="pt-PT" w:eastAsia="en-US" w:bidi="ar-SA"/>
      </w:rPr>
    </w:lvl>
    <w:lvl w:ilvl="2">
      <w:start w:val="0"/>
      <w:numFmt w:val="bullet"/>
      <w:lvlText w:val="•"/>
      <w:lvlJc w:val="left"/>
      <w:pPr>
        <w:ind w:left="2305" w:hanging="255"/>
      </w:pPr>
      <w:rPr>
        <w:rFonts w:hint="default"/>
        <w:lang w:val="pt-PT" w:eastAsia="en-US" w:bidi="ar-SA"/>
      </w:rPr>
    </w:lvl>
    <w:lvl w:ilvl="3">
      <w:start w:val="0"/>
      <w:numFmt w:val="bullet"/>
      <w:lvlText w:val="•"/>
      <w:lvlJc w:val="left"/>
      <w:pPr>
        <w:ind w:left="3357" w:hanging="255"/>
      </w:pPr>
      <w:rPr>
        <w:rFonts w:hint="default"/>
        <w:lang w:val="pt-PT" w:eastAsia="en-US" w:bidi="ar-SA"/>
      </w:rPr>
    </w:lvl>
    <w:lvl w:ilvl="4">
      <w:start w:val="0"/>
      <w:numFmt w:val="bullet"/>
      <w:lvlText w:val="•"/>
      <w:lvlJc w:val="left"/>
      <w:pPr>
        <w:ind w:left="4410" w:hanging="255"/>
      </w:pPr>
      <w:rPr>
        <w:rFonts w:hint="default"/>
        <w:lang w:val="pt-PT" w:eastAsia="en-US" w:bidi="ar-SA"/>
      </w:rPr>
    </w:lvl>
    <w:lvl w:ilvl="5">
      <w:start w:val="0"/>
      <w:numFmt w:val="bullet"/>
      <w:lvlText w:val="•"/>
      <w:lvlJc w:val="left"/>
      <w:pPr>
        <w:ind w:left="5463" w:hanging="255"/>
      </w:pPr>
      <w:rPr>
        <w:rFonts w:hint="default"/>
        <w:lang w:val="pt-PT" w:eastAsia="en-US" w:bidi="ar-SA"/>
      </w:rPr>
    </w:lvl>
    <w:lvl w:ilvl="6">
      <w:start w:val="0"/>
      <w:numFmt w:val="bullet"/>
      <w:lvlText w:val="•"/>
      <w:lvlJc w:val="left"/>
      <w:pPr>
        <w:ind w:left="6515" w:hanging="255"/>
      </w:pPr>
      <w:rPr>
        <w:rFonts w:hint="default"/>
        <w:lang w:val="pt-PT" w:eastAsia="en-US" w:bidi="ar-SA"/>
      </w:rPr>
    </w:lvl>
    <w:lvl w:ilvl="7">
      <w:start w:val="0"/>
      <w:numFmt w:val="bullet"/>
      <w:lvlText w:val="•"/>
      <w:lvlJc w:val="left"/>
      <w:pPr>
        <w:ind w:left="7568" w:hanging="255"/>
      </w:pPr>
      <w:rPr>
        <w:rFonts w:hint="default"/>
        <w:lang w:val="pt-PT" w:eastAsia="en-US" w:bidi="ar-SA"/>
      </w:rPr>
    </w:lvl>
    <w:lvl w:ilvl="8">
      <w:start w:val="0"/>
      <w:numFmt w:val="bullet"/>
      <w:lvlText w:val="•"/>
      <w:lvlJc w:val="left"/>
      <w:pPr>
        <w:ind w:left="8621" w:hanging="255"/>
      </w:pPr>
      <w:rPr>
        <w:rFonts w:hint="default"/>
        <w:lang w:val="pt-PT" w:eastAsia="en-US" w:bidi="ar-SA"/>
      </w:rPr>
    </w:lvl>
  </w:abstractNum>
  <w:abstractNum w:abstractNumId="5">
    <w:multiLevelType w:val="hybridMultilevel"/>
    <w:lvl w:ilvl="0">
      <w:start w:val="1"/>
      <w:numFmt w:val="decimal"/>
      <w:lvlText w:val="%1."/>
      <w:lvlJc w:val="left"/>
      <w:pPr>
        <w:ind w:left="973" w:hanging="781"/>
        <w:jc w:val="left"/>
      </w:pPr>
      <w:rPr>
        <w:rFonts w:hint="default" w:ascii="Caladea" w:hAnsi="Caladea" w:eastAsia="Caladea" w:cs="Caladea"/>
        <w:b/>
        <w:bCs/>
        <w:spacing w:val="-1"/>
        <w:w w:val="100"/>
        <w:sz w:val="24"/>
        <w:szCs w:val="24"/>
        <w:lang w:val="pt-PT" w:eastAsia="en-US" w:bidi="ar-SA"/>
      </w:rPr>
    </w:lvl>
    <w:lvl w:ilvl="1">
      <w:start w:val="1"/>
      <w:numFmt w:val="decimal"/>
      <w:lvlText w:val="%1.%2."/>
      <w:lvlJc w:val="left"/>
      <w:pPr>
        <w:ind w:left="1045" w:hanging="853"/>
        <w:jc w:val="left"/>
      </w:pPr>
      <w:rPr>
        <w:rFonts w:hint="default" w:ascii="Caladea" w:hAnsi="Caladea" w:eastAsia="Caladea" w:cs="Caladea"/>
        <w:b/>
        <w:bCs/>
        <w:spacing w:val="-2"/>
        <w:w w:val="100"/>
        <w:sz w:val="22"/>
        <w:szCs w:val="22"/>
        <w:lang w:val="pt-PT" w:eastAsia="en-US" w:bidi="ar-SA"/>
      </w:rPr>
    </w:lvl>
    <w:lvl w:ilvl="2">
      <w:start w:val="0"/>
      <w:numFmt w:val="bullet"/>
      <w:lvlText w:val="•"/>
      <w:lvlJc w:val="left"/>
      <w:pPr>
        <w:ind w:left="1458" w:hanging="132"/>
      </w:pPr>
      <w:rPr>
        <w:rFonts w:hint="default" w:ascii="Trebuchet MS" w:hAnsi="Trebuchet MS" w:eastAsia="Trebuchet MS" w:cs="Trebuchet MS"/>
        <w:w w:val="84"/>
        <w:sz w:val="20"/>
        <w:szCs w:val="20"/>
        <w:lang w:val="pt-PT" w:eastAsia="en-US" w:bidi="ar-SA"/>
      </w:rPr>
    </w:lvl>
    <w:lvl w:ilvl="3">
      <w:start w:val="0"/>
      <w:numFmt w:val="bullet"/>
      <w:lvlText w:val="•"/>
      <w:lvlJc w:val="left"/>
      <w:pPr>
        <w:ind w:left="1460" w:hanging="132"/>
      </w:pPr>
      <w:rPr>
        <w:rFonts w:hint="default"/>
        <w:lang w:val="pt-PT" w:eastAsia="en-US" w:bidi="ar-SA"/>
      </w:rPr>
    </w:lvl>
    <w:lvl w:ilvl="4">
      <w:start w:val="0"/>
      <w:numFmt w:val="bullet"/>
      <w:lvlText w:val="•"/>
      <w:lvlJc w:val="left"/>
      <w:pPr>
        <w:ind w:left="2752" w:hanging="132"/>
      </w:pPr>
      <w:rPr>
        <w:rFonts w:hint="default"/>
        <w:lang w:val="pt-PT" w:eastAsia="en-US" w:bidi="ar-SA"/>
      </w:rPr>
    </w:lvl>
    <w:lvl w:ilvl="5">
      <w:start w:val="0"/>
      <w:numFmt w:val="bullet"/>
      <w:lvlText w:val="•"/>
      <w:lvlJc w:val="left"/>
      <w:pPr>
        <w:ind w:left="4044" w:hanging="132"/>
      </w:pPr>
      <w:rPr>
        <w:rFonts w:hint="default"/>
        <w:lang w:val="pt-PT" w:eastAsia="en-US" w:bidi="ar-SA"/>
      </w:rPr>
    </w:lvl>
    <w:lvl w:ilvl="6">
      <w:start w:val="0"/>
      <w:numFmt w:val="bullet"/>
      <w:lvlText w:val="•"/>
      <w:lvlJc w:val="left"/>
      <w:pPr>
        <w:ind w:left="5337" w:hanging="132"/>
      </w:pPr>
      <w:rPr>
        <w:rFonts w:hint="default"/>
        <w:lang w:val="pt-PT" w:eastAsia="en-US" w:bidi="ar-SA"/>
      </w:rPr>
    </w:lvl>
    <w:lvl w:ilvl="7">
      <w:start w:val="0"/>
      <w:numFmt w:val="bullet"/>
      <w:lvlText w:val="•"/>
      <w:lvlJc w:val="left"/>
      <w:pPr>
        <w:ind w:left="6629" w:hanging="132"/>
      </w:pPr>
      <w:rPr>
        <w:rFonts w:hint="default"/>
        <w:lang w:val="pt-PT" w:eastAsia="en-US" w:bidi="ar-SA"/>
      </w:rPr>
    </w:lvl>
    <w:lvl w:ilvl="8">
      <w:start w:val="0"/>
      <w:numFmt w:val="bullet"/>
      <w:lvlText w:val="•"/>
      <w:lvlJc w:val="left"/>
      <w:pPr>
        <w:ind w:left="7921" w:hanging="132"/>
      </w:pPr>
      <w:rPr>
        <w:rFonts w:hint="default"/>
        <w:lang w:val="pt-PT" w:eastAsia="en-US" w:bidi="ar-SA"/>
      </w:rPr>
    </w:lvl>
  </w:abstractNum>
  <w:abstractNum w:abstractNumId="4">
    <w:multiLevelType w:val="hybridMultilevel"/>
    <w:lvl w:ilvl="0">
      <w:start w:val="0"/>
      <w:numFmt w:val="bullet"/>
      <w:lvlText w:val="•"/>
      <w:lvlJc w:val="left"/>
      <w:pPr>
        <w:ind w:left="1558" w:hanging="646"/>
      </w:pPr>
      <w:rPr>
        <w:rFonts w:hint="default" w:ascii="Trebuchet MS" w:hAnsi="Trebuchet MS" w:eastAsia="Trebuchet MS" w:cs="Trebuchet MS"/>
        <w:w w:val="84"/>
        <w:sz w:val="22"/>
        <w:szCs w:val="22"/>
        <w:lang w:val="pt-PT" w:eastAsia="en-US" w:bidi="ar-SA"/>
      </w:rPr>
    </w:lvl>
    <w:lvl w:ilvl="1">
      <w:start w:val="0"/>
      <w:numFmt w:val="bullet"/>
      <w:lvlText w:val="•"/>
      <w:lvlJc w:val="left"/>
      <w:pPr>
        <w:ind w:left="2489" w:hanging="646"/>
      </w:pPr>
      <w:rPr>
        <w:rFonts w:hint="default"/>
        <w:lang w:val="pt-PT" w:eastAsia="en-US" w:bidi="ar-SA"/>
      </w:rPr>
    </w:lvl>
    <w:lvl w:ilvl="2">
      <w:start w:val="0"/>
      <w:numFmt w:val="bullet"/>
      <w:lvlText w:val="•"/>
      <w:lvlJc w:val="left"/>
      <w:pPr>
        <w:ind w:left="3418" w:hanging="646"/>
      </w:pPr>
      <w:rPr>
        <w:rFonts w:hint="default"/>
        <w:lang w:val="pt-PT" w:eastAsia="en-US" w:bidi="ar-SA"/>
      </w:rPr>
    </w:lvl>
    <w:lvl w:ilvl="3">
      <w:start w:val="0"/>
      <w:numFmt w:val="bullet"/>
      <w:lvlText w:val="•"/>
      <w:lvlJc w:val="left"/>
      <w:pPr>
        <w:ind w:left="4347" w:hanging="646"/>
      </w:pPr>
      <w:rPr>
        <w:rFonts w:hint="default"/>
        <w:lang w:val="pt-PT" w:eastAsia="en-US" w:bidi="ar-SA"/>
      </w:rPr>
    </w:lvl>
    <w:lvl w:ilvl="4">
      <w:start w:val="0"/>
      <w:numFmt w:val="bullet"/>
      <w:lvlText w:val="•"/>
      <w:lvlJc w:val="left"/>
      <w:pPr>
        <w:ind w:left="5276" w:hanging="646"/>
      </w:pPr>
      <w:rPr>
        <w:rFonts w:hint="default"/>
        <w:lang w:val="pt-PT" w:eastAsia="en-US" w:bidi="ar-SA"/>
      </w:rPr>
    </w:lvl>
    <w:lvl w:ilvl="5">
      <w:start w:val="0"/>
      <w:numFmt w:val="bullet"/>
      <w:lvlText w:val="•"/>
      <w:lvlJc w:val="left"/>
      <w:pPr>
        <w:ind w:left="6205" w:hanging="646"/>
      </w:pPr>
      <w:rPr>
        <w:rFonts w:hint="default"/>
        <w:lang w:val="pt-PT" w:eastAsia="en-US" w:bidi="ar-SA"/>
      </w:rPr>
    </w:lvl>
    <w:lvl w:ilvl="6">
      <w:start w:val="0"/>
      <w:numFmt w:val="bullet"/>
      <w:lvlText w:val="•"/>
      <w:lvlJc w:val="left"/>
      <w:pPr>
        <w:ind w:left="7134" w:hanging="646"/>
      </w:pPr>
      <w:rPr>
        <w:rFonts w:hint="default"/>
        <w:lang w:val="pt-PT" w:eastAsia="en-US" w:bidi="ar-SA"/>
      </w:rPr>
    </w:lvl>
    <w:lvl w:ilvl="7">
      <w:start w:val="0"/>
      <w:numFmt w:val="bullet"/>
      <w:lvlText w:val="•"/>
      <w:lvlJc w:val="left"/>
      <w:pPr>
        <w:ind w:left="8063" w:hanging="646"/>
      </w:pPr>
      <w:rPr>
        <w:rFonts w:hint="default"/>
        <w:lang w:val="pt-PT" w:eastAsia="en-US" w:bidi="ar-SA"/>
      </w:rPr>
    </w:lvl>
    <w:lvl w:ilvl="8">
      <w:start w:val="0"/>
      <w:numFmt w:val="bullet"/>
      <w:lvlText w:val="•"/>
      <w:lvlJc w:val="left"/>
      <w:pPr>
        <w:ind w:left="8992" w:hanging="646"/>
      </w:pPr>
      <w:rPr>
        <w:rFonts w:hint="default"/>
        <w:lang w:val="pt-PT" w:eastAsia="en-US" w:bidi="ar-SA"/>
      </w:rPr>
    </w:lvl>
  </w:abstractNum>
  <w:abstractNum w:abstractNumId="3">
    <w:multiLevelType w:val="hybridMultilevel"/>
    <w:lvl w:ilvl="0">
      <w:start w:val="0"/>
      <w:numFmt w:val="bullet"/>
      <w:lvlText w:val=""/>
      <w:lvlJc w:val="left"/>
      <w:pPr>
        <w:ind w:left="991" w:hanging="360"/>
      </w:pPr>
      <w:rPr>
        <w:rFonts w:hint="default" w:ascii="Symbol" w:hAnsi="Symbol" w:eastAsia="Symbol" w:cs="Symbol"/>
        <w:w w:val="100"/>
        <w:sz w:val="22"/>
        <w:szCs w:val="22"/>
        <w:lang w:val="pt-PT" w:eastAsia="en-US" w:bidi="ar-SA"/>
      </w:rPr>
    </w:lvl>
    <w:lvl w:ilvl="1">
      <w:start w:val="0"/>
      <w:numFmt w:val="bullet"/>
      <w:lvlText w:val=""/>
      <w:lvlJc w:val="left"/>
      <w:pPr>
        <w:ind w:left="1711" w:hanging="360"/>
      </w:pPr>
      <w:rPr>
        <w:rFonts w:hint="default" w:ascii="Wingdings" w:hAnsi="Wingdings" w:eastAsia="Wingdings" w:cs="Wingdings"/>
        <w:w w:val="100"/>
        <w:sz w:val="22"/>
        <w:szCs w:val="22"/>
        <w:lang w:val="pt-PT" w:eastAsia="en-US" w:bidi="ar-SA"/>
      </w:rPr>
    </w:lvl>
    <w:lvl w:ilvl="2">
      <w:start w:val="0"/>
      <w:numFmt w:val="bullet"/>
      <w:lvlText w:val="•"/>
      <w:lvlJc w:val="left"/>
      <w:pPr>
        <w:ind w:left="2734" w:hanging="360"/>
      </w:pPr>
      <w:rPr>
        <w:rFonts w:hint="default"/>
        <w:lang w:val="pt-PT" w:eastAsia="en-US" w:bidi="ar-SA"/>
      </w:rPr>
    </w:lvl>
    <w:lvl w:ilvl="3">
      <w:start w:val="0"/>
      <w:numFmt w:val="bullet"/>
      <w:lvlText w:val="•"/>
      <w:lvlJc w:val="left"/>
      <w:pPr>
        <w:ind w:left="3749" w:hanging="360"/>
      </w:pPr>
      <w:rPr>
        <w:rFonts w:hint="default"/>
        <w:lang w:val="pt-PT" w:eastAsia="en-US" w:bidi="ar-SA"/>
      </w:rPr>
    </w:lvl>
    <w:lvl w:ilvl="4">
      <w:start w:val="0"/>
      <w:numFmt w:val="bullet"/>
      <w:lvlText w:val="•"/>
      <w:lvlJc w:val="left"/>
      <w:pPr>
        <w:ind w:left="4763" w:hanging="360"/>
      </w:pPr>
      <w:rPr>
        <w:rFonts w:hint="default"/>
        <w:lang w:val="pt-PT" w:eastAsia="en-US" w:bidi="ar-SA"/>
      </w:rPr>
    </w:lvl>
    <w:lvl w:ilvl="5">
      <w:start w:val="0"/>
      <w:numFmt w:val="bullet"/>
      <w:lvlText w:val="•"/>
      <w:lvlJc w:val="left"/>
      <w:pPr>
        <w:ind w:left="5778" w:hanging="360"/>
      </w:pPr>
      <w:rPr>
        <w:rFonts w:hint="default"/>
        <w:lang w:val="pt-PT" w:eastAsia="en-US" w:bidi="ar-SA"/>
      </w:rPr>
    </w:lvl>
    <w:lvl w:ilvl="6">
      <w:start w:val="0"/>
      <w:numFmt w:val="bullet"/>
      <w:lvlText w:val="•"/>
      <w:lvlJc w:val="left"/>
      <w:pPr>
        <w:ind w:left="6792" w:hanging="360"/>
      </w:pPr>
      <w:rPr>
        <w:rFonts w:hint="default"/>
        <w:lang w:val="pt-PT" w:eastAsia="en-US" w:bidi="ar-SA"/>
      </w:rPr>
    </w:lvl>
    <w:lvl w:ilvl="7">
      <w:start w:val="0"/>
      <w:numFmt w:val="bullet"/>
      <w:lvlText w:val="•"/>
      <w:lvlJc w:val="left"/>
      <w:pPr>
        <w:ind w:left="7807" w:hanging="360"/>
      </w:pPr>
      <w:rPr>
        <w:rFonts w:hint="default"/>
        <w:lang w:val="pt-PT" w:eastAsia="en-US" w:bidi="ar-SA"/>
      </w:rPr>
    </w:lvl>
    <w:lvl w:ilvl="8">
      <w:start w:val="0"/>
      <w:numFmt w:val="bullet"/>
      <w:lvlText w:val="•"/>
      <w:lvlJc w:val="left"/>
      <w:pPr>
        <w:ind w:left="8822" w:hanging="360"/>
      </w:pPr>
      <w:rPr>
        <w:rFonts w:hint="default"/>
        <w:lang w:val="pt-PT" w:eastAsia="en-US" w:bidi="ar-SA"/>
      </w:rPr>
    </w:lvl>
  </w:abstractNum>
  <w:abstractNum w:abstractNumId="2">
    <w:multiLevelType w:val="hybridMultilevel"/>
    <w:lvl w:ilvl="0">
      <w:start w:val="0"/>
      <w:numFmt w:val="bullet"/>
      <w:lvlText w:val=""/>
      <w:lvlJc w:val="left"/>
      <w:pPr>
        <w:ind w:left="991" w:hanging="286"/>
      </w:pPr>
      <w:rPr>
        <w:rFonts w:hint="default" w:ascii="Symbol" w:hAnsi="Symbol" w:eastAsia="Symbol" w:cs="Symbol"/>
        <w:w w:val="100"/>
        <w:sz w:val="22"/>
        <w:szCs w:val="22"/>
        <w:lang w:val="pt-PT" w:eastAsia="en-US" w:bidi="ar-SA"/>
      </w:rPr>
    </w:lvl>
    <w:lvl w:ilvl="1">
      <w:start w:val="0"/>
      <w:numFmt w:val="bullet"/>
      <w:lvlText w:val="•"/>
      <w:lvlJc w:val="left"/>
      <w:pPr>
        <w:ind w:left="1985" w:hanging="286"/>
      </w:pPr>
      <w:rPr>
        <w:rFonts w:hint="default"/>
        <w:lang w:val="pt-PT" w:eastAsia="en-US" w:bidi="ar-SA"/>
      </w:rPr>
    </w:lvl>
    <w:lvl w:ilvl="2">
      <w:start w:val="0"/>
      <w:numFmt w:val="bullet"/>
      <w:lvlText w:val="•"/>
      <w:lvlJc w:val="left"/>
      <w:pPr>
        <w:ind w:left="2970" w:hanging="286"/>
      </w:pPr>
      <w:rPr>
        <w:rFonts w:hint="default"/>
        <w:lang w:val="pt-PT" w:eastAsia="en-US" w:bidi="ar-SA"/>
      </w:rPr>
    </w:lvl>
    <w:lvl w:ilvl="3">
      <w:start w:val="0"/>
      <w:numFmt w:val="bullet"/>
      <w:lvlText w:val="•"/>
      <w:lvlJc w:val="left"/>
      <w:pPr>
        <w:ind w:left="3955" w:hanging="286"/>
      </w:pPr>
      <w:rPr>
        <w:rFonts w:hint="default"/>
        <w:lang w:val="pt-PT" w:eastAsia="en-US" w:bidi="ar-SA"/>
      </w:rPr>
    </w:lvl>
    <w:lvl w:ilvl="4">
      <w:start w:val="0"/>
      <w:numFmt w:val="bullet"/>
      <w:lvlText w:val="•"/>
      <w:lvlJc w:val="left"/>
      <w:pPr>
        <w:ind w:left="4940" w:hanging="286"/>
      </w:pPr>
      <w:rPr>
        <w:rFonts w:hint="default"/>
        <w:lang w:val="pt-PT" w:eastAsia="en-US" w:bidi="ar-SA"/>
      </w:rPr>
    </w:lvl>
    <w:lvl w:ilvl="5">
      <w:start w:val="0"/>
      <w:numFmt w:val="bullet"/>
      <w:lvlText w:val="•"/>
      <w:lvlJc w:val="left"/>
      <w:pPr>
        <w:ind w:left="5925" w:hanging="286"/>
      </w:pPr>
      <w:rPr>
        <w:rFonts w:hint="default"/>
        <w:lang w:val="pt-PT" w:eastAsia="en-US" w:bidi="ar-SA"/>
      </w:rPr>
    </w:lvl>
    <w:lvl w:ilvl="6">
      <w:start w:val="0"/>
      <w:numFmt w:val="bullet"/>
      <w:lvlText w:val="•"/>
      <w:lvlJc w:val="left"/>
      <w:pPr>
        <w:ind w:left="6910" w:hanging="286"/>
      </w:pPr>
      <w:rPr>
        <w:rFonts w:hint="default"/>
        <w:lang w:val="pt-PT" w:eastAsia="en-US" w:bidi="ar-SA"/>
      </w:rPr>
    </w:lvl>
    <w:lvl w:ilvl="7">
      <w:start w:val="0"/>
      <w:numFmt w:val="bullet"/>
      <w:lvlText w:val="•"/>
      <w:lvlJc w:val="left"/>
      <w:pPr>
        <w:ind w:left="7895" w:hanging="286"/>
      </w:pPr>
      <w:rPr>
        <w:rFonts w:hint="default"/>
        <w:lang w:val="pt-PT" w:eastAsia="en-US" w:bidi="ar-SA"/>
      </w:rPr>
    </w:lvl>
    <w:lvl w:ilvl="8">
      <w:start w:val="0"/>
      <w:numFmt w:val="bullet"/>
      <w:lvlText w:val="•"/>
      <w:lvlJc w:val="left"/>
      <w:pPr>
        <w:ind w:left="8880" w:hanging="286"/>
      </w:pPr>
      <w:rPr>
        <w:rFonts w:hint="default"/>
        <w:lang w:val="pt-PT" w:eastAsia="en-US" w:bidi="ar-SA"/>
      </w:rPr>
    </w:lvl>
  </w:abstractNum>
  <w:abstractNum w:abstractNumId="1">
    <w:multiLevelType w:val="hybridMultilevel"/>
    <w:lvl w:ilvl="0">
      <w:start w:val="19"/>
      <w:numFmt w:val="upperLetter"/>
      <w:lvlText w:val="%1"/>
      <w:lvlJc w:val="left"/>
      <w:pPr>
        <w:ind w:left="139" w:hanging="490"/>
        <w:jc w:val="left"/>
      </w:pPr>
      <w:rPr>
        <w:rFonts w:hint="default"/>
        <w:lang w:val="pt-PT" w:eastAsia="en-US" w:bidi="ar-SA"/>
      </w:rPr>
    </w:lvl>
    <w:lvl w:ilvl="1">
      <w:start w:val="0"/>
      <w:numFmt w:val="bullet"/>
      <w:lvlText w:val=""/>
      <w:lvlJc w:val="left"/>
      <w:pPr>
        <w:ind w:left="1207" w:hanging="360"/>
      </w:pPr>
      <w:rPr>
        <w:rFonts w:hint="default" w:ascii="Symbol" w:hAnsi="Symbol" w:eastAsia="Symbol" w:cs="Symbol"/>
        <w:w w:val="100"/>
        <w:sz w:val="22"/>
        <w:szCs w:val="22"/>
        <w:lang w:val="pt-PT" w:eastAsia="en-US" w:bidi="ar-SA"/>
      </w:rPr>
    </w:lvl>
    <w:lvl w:ilvl="2">
      <w:start w:val="0"/>
      <w:numFmt w:val="bullet"/>
      <w:lvlText w:val="•"/>
      <w:lvlJc w:val="left"/>
      <w:pPr>
        <w:ind w:left="2272" w:hanging="360"/>
      </w:pPr>
      <w:rPr>
        <w:rFonts w:hint="default"/>
        <w:lang w:val="pt-PT" w:eastAsia="en-US" w:bidi="ar-SA"/>
      </w:rPr>
    </w:lvl>
    <w:lvl w:ilvl="3">
      <w:start w:val="0"/>
      <w:numFmt w:val="bullet"/>
      <w:lvlText w:val="•"/>
      <w:lvlJc w:val="left"/>
      <w:pPr>
        <w:ind w:left="3344" w:hanging="360"/>
      </w:pPr>
      <w:rPr>
        <w:rFonts w:hint="default"/>
        <w:lang w:val="pt-PT" w:eastAsia="en-US" w:bidi="ar-SA"/>
      </w:rPr>
    </w:lvl>
    <w:lvl w:ilvl="4">
      <w:start w:val="0"/>
      <w:numFmt w:val="bullet"/>
      <w:lvlText w:val="•"/>
      <w:lvlJc w:val="left"/>
      <w:pPr>
        <w:ind w:left="4417" w:hanging="360"/>
      </w:pPr>
      <w:rPr>
        <w:rFonts w:hint="default"/>
        <w:lang w:val="pt-PT" w:eastAsia="en-US" w:bidi="ar-SA"/>
      </w:rPr>
    </w:lvl>
    <w:lvl w:ilvl="5">
      <w:start w:val="0"/>
      <w:numFmt w:val="bullet"/>
      <w:lvlText w:val="•"/>
      <w:lvlJc w:val="left"/>
      <w:pPr>
        <w:ind w:left="5489" w:hanging="360"/>
      </w:pPr>
      <w:rPr>
        <w:rFonts w:hint="default"/>
        <w:lang w:val="pt-PT" w:eastAsia="en-US" w:bidi="ar-SA"/>
      </w:rPr>
    </w:lvl>
    <w:lvl w:ilvl="6">
      <w:start w:val="0"/>
      <w:numFmt w:val="bullet"/>
      <w:lvlText w:val="•"/>
      <w:lvlJc w:val="left"/>
      <w:pPr>
        <w:ind w:left="6561" w:hanging="360"/>
      </w:pPr>
      <w:rPr>
        <w:rFonts w:hint="default"/>
        <w:lang w:val="pt-PT" w:eastAsia="en-US" w:bidi="ar-SA"/>
      </w:rPr>
    </w:lvl>
    <w:lvl w:ilvl="7">
      <w:start w:val="0"/>
      <w:numFmt w:val="bullet"/>
      <w:lvlText w:val="•"/>
      <w:lvlJc w:val="left"/>
      <w:pPr>
        <w:ind w:left="7634" w:hanging="360"/>
      </w:pPr>
      <w:rPr>
        <w:rFonts w:hint="default"/>
        <w:lang w:val="pt-PT" w:eastAsia="en-US" w:bidi="ar-SA"/>
      </w:rPr>
    </w:lvl>
    <w:lvl w:ilvl="8">
      <w:start w:val="0"/>
      <w:numFmt w:val="bullet"/>
      <w:lvlText w:val="•"/>
      <w:lvlJc w:val="left"/>
      <w:pPr>
        <w:ind w:left="8706" w:hanging="360"/>
      </w:pPr>
      <w:rPr>
        <w:rFonts w:hint="default"/>
        <w:lang w:val="pt-PT" w:eastAsia="en-US" w:bidi="ar-SA"/>
      </w:rPr>
    </w:lvl>
  </w:abstractNum>
  <w:abstractNum w:abstractNumId="0">
    <w:multiLevelType w:val="hybridMultilevel"/>
    <w:lvl w:ilvl="0">
      <w:start w:val="1"/>
      <w:numFmt w:val="lowerLetter"/>
      <w:lvlText w:val="%1)"/>
      <w:lvlJc w:val="left"/>
      <w:pPr>
        <w:ind w:left="1567" w:hanging="360"/>
        <w:jc w:val="left"/>
      </w:pPr>
      <w:rPr>
        <w:rFonts w:hint="default" w:ascii="Times New Roman" w:hAnsi="Times New Roman" w:eastAsia="Times New Roman" w:cs="Times New Roman"/>
        <w:w w:val="100"/>
        <w:sz w:val="22"/>
        <w:szCs w:val="22"/>
        <w:lang w:val="pt-PT" w:eastAsia="en-US" w:bidi="ar-SA"/>
      </w:rPr>
    </w:lvl>
    <w:lvl w:ilvl="1">
      <w:start w:val="0"/>
      <w:numFmt w:val="bullet"/>
      <w:lvlText w:val="•"/>
      <w:lvlJc w:val="left"/>
      <w:pPr>
        <w:ind w:left="2489" w:hanging="360"/>
      </w:pPr>
      <w:rPr>
        <w:rFonts w:hint="default"/>
        <w:lang w:val="pt-PT" w:eastAsia="en-US" w:bidi="ar-SA"/>
      </w:rPr>
    </w:lvl>
    <w:lvl w:ilvl="2">
      <w:start w:val="0"/>
      <w:numFmt w:val="bullet"/>
      <w:lvlText w:val="•"/>
      <w:lvlJc w:val="left"/>
      <w:pPr>
        <w:ind w:left="3418" w:hanging="360"/>
      </w:pPr>
      <w:rPr>
        <w:rFonts w:hint="default"/>
        <w:lang w:val="pt-PT" w:eastAsia="en-US" w:bidi="ar-SA"/>
      </w:rPr>
    </w:lvl>
    <w:lvl w:ilvl="3">
      <w:start w:val="0"/>
      <w:numFmt w:val="bullet"/>
      <w:lvlText w:val="•"/>
      <w:lvlJc w:val="left"/>
      <w:pPr>
        <w:ind w:left="4347" w:hanging="360"/>
      </w:pPr>
      <w:rPr>
        <w:rFonts w:hint="default"/>
        <w:lang w:val="pt-PT" w:eastAsia="en-US" w:bidi="ar-SA"/>
      </w:rPr>
    </w:lvl>
    <w:lvl w:ilvl="4">
      <w:start w:val="0"/>
      <w:numFmt w:val="bullet"/>
      <w:lvlText w:val="•"/>
      <w:lvlJc w:val="left"/>
      <w:pPr>
        <w:ind w:left="5276" w:hanging="360"/>
      </w:pPr>
      <w:rPr>
        <w:rFonts w:hint="default"/>
        <w:lang w:val="pt-PT" w:eastAsia="en-US" w:bidi="ar-SA"/>
      </w:rPr>
    </w:lvl>
    <w:lvl w:ilvl="5">
      <w:start w:val="0"/>
      <w:numFmt w:val="bullet"/>
      <w:lvlText w:val="•"/>
      <w:lvlJc w:val="left"/>
      <w:pPr>
        <w:ind w:left="6205" w:hanging="360"/>
      </w:pPr>
      <w:rPr>
        <w:rFonts w:hint="default"/>
        <w:lang w:val="pt-PT" w:eastAsia="en-US" w:bidi="ar-SA"/>
      </w:rPr>
    </w:lvl>
    <w:lvl w:ilvl="6">
      <w:start w:val="0"/>
      <w:numFmt w:val="bullet"/>
      <w:lvlText w:val="•"/>
      <w:lvlJc w:val="left"/>
      <w:pPr>
        <w:ind w:left="7134" w:hanging="360"/>
      </w:pPr>
      <w:rPr>
        <w:rFonts w:hint="default"/>
        <w:lang w:val="pt-PT" w:eastAsia="en-US" w:bidi="ar-SA"/>
      </w:rPr>
    </w:lvl>
    <w:lvl w:ilvl="7">
      <w:start w:val="0"/>
      <w:numFmt w:val="bullet"/>
      <w:lvlText w:val="•"/>
      <w:lvlJc w:val="left"/>
      <w:pPr>
        <w:ind w:left="8063" w:hanging="360"/>
      </w:pPr>
      <w:rPr>
        <w:rFonts w:hint="default"/>
        <w:lang w:val="pt-PT" w:eastAsia="en-US" w:bidi="ar-SA"/>
      </w:rPr>
    </w:lvl>
    <w:lvl w:ilvl="8">
      <w:start w:val="0"/>
      <w:numFmt w:val="bullet"/>
      <w:lvlText w:val="•"/>
      <w:lvlJc w:val="left"/>
      <w:pPr>
        <w:ind w:left="8992" w:hanging="360"/>
      </w:pPr>
      <w:rPr>
        <w:rFonts w:hint="default"/>
        <w:lang w:val="pt-PT" w:eastAsia="en-US" w:bidi="ar-SA"/>
      </w:rPr>
    </w:lvl>
  </w:abstractNum>
  <w:num w:numId="33">
    <w:abstractNumId w:val="32"/>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rebuchet MS" w:hAnsi="Trebuchet MS" w:eastAsia="Trebuchet MS" w:cs="Trebuchet MS"/>
      <w:lang w:val="pt-PT" w:eastAsia="en-US" w:bidi="ar-SA"/>
    </w:rPr>
  </w:style>
  <w:style w:styleId="BodyText" w:type="paragraph">
    <w:name w:val="Body Text"/>
    <w:basedOn w:val="Normal"/>
    <w:uiPriority w:val="1"/>
    <w:qFormat/>
    <w:pPr/>
    <w:rPr>
      <w:rFonts w:ascii="Trebuchet MS" w:hAnsi="Trebuchet MS" w:eastAsia="Trebuchet MS" w:cs="Trebuchet MS"/>
      <w:sz w:val="20"/>
      <w:szCs w:val="20"/>
      <w:lang w:val="pt-PT" w:eastAsia="en-US" w:bidi="ar-SA"/>
    </w:rPr>
  </w:style>
  <w:style w:styleId="Heading1" w:type="paragraph">
    <w:name w:val="Heading 1"/>
    <w:basedOn w:val="Normal"/>
    <w:uiPriority w:val="1"/>
    <w:qFormat/>
    <w:pPr>
      <w:spacing w:before="100"/>
      <w:ind w:left="592" w:right="1002"/>
      <w:jc w:val="center"/>
      <w:outlineLvl w:val="1"/>
    </w:pPr>
    <w:rPr>
      <w:rFonts w:ascii="Caladea" w:hAnsi="Caladea" w:eastAsia="Caladea" w:cs="Caladea"/>
      <w:b/>
      <w:bCs/>
      <w:sz w:val="72"/>
      <w:szCs w:val="72"/>
      <w:lang w:val="pt-PT" w:eastAsia="en-US" w:bidi="ar-SA"/>
    </w:rPr>
  </w:style>
  <w:style w:styleId="Heading2" w:type="paragraph">
    <w:name w:val="Heading 2"/>
    <w:basedOn w:val="Normal"/>
    <w:uiPriority w:val="1"/>
    <w:qFormat/>
    <w:pPr>
      <w:ind w:left="295"/>
      <w:jc w:val="center"/>
      <w:outlineLvl w:val="2"/>
    </w:pPr>
    <w:rPr>
      <w:rFonts w:ascii="Arial" w:hAnsi="Arial" w:eastAsia="Arial" w:cs="Arial"/>
      <w:sz w:val="25"/>
      <w:szCs w:val="25"/>
      <w:lang w:val="pt-PT" w:eastAsia="en-US" w:bidi="ar-SA"/>
    </w:rPr>
  </w:style>
  <w:style w:styleId="Heading3" w:type="paragraph">
    <w:name w:val="Heading 3"/>
    <w:basedOn w:val="Normal"/>
    <w:uiPriority w:val="1"/>
    <w:qFormat/>
    <w:pPr>
      <w:ind w:left="953"/>
      <w:outlineLvl w:val="3"/>
    </w:pPr>
    <w:rPr>
      <w:rFonts w:ascii="Caladea" w:hAnsi="Caladea" w:eastAsia="Caladea" w:cs="Caladea"/>
      <w:b/>
      <w:bCs/>
      <w:sz w:val="24"/>
      <w:szCs w:val="24"/>
      <w:lang w:val="pt-PT" w:eastAsia="en-US" w:bidi="ar-SA"/>
    </w:rPr>
  </w:style>
  <w:style w:styleId="Heading4" w:type="paragraph">
    <w:name w:val="Heading 4"/>
    <w:basedOn w:val="Normal"/>
    <w:uiPriority w:val="1"/>
    <w:qFormat/>
    <w:pPr>
      <w:spacing w:before="64"/>
      <w:ind w:left="381"/>
      <w:outlineLvl w:val="4"/>
    </w:pPr>
    <w:rPr>
      <w:rFonts w:ascii="Arial" w:hAnsi="Arial" w:eastAsia="Arial" w:cs="Arial"/>
      <w:sz w:val="23"/>
      <w:szCs w:val="23"/>
      <w:lang w:val="pt-PT" w:eastAsia="en-US" w:bidi="ar-SA"/>
    </w:rPr>
  </w:style>
  <w:style w:styleId="Heading5" w:type="paragraph">
    <w:name w:val="Heading 5"/>
    <w:basedOn w:val="Normal"/>
    <w:uiPriority w:val="1"/>
    <w:qFormat/>
    <w:pPr>
      <w:ind w:left="350" w:hanging="854"/>
      <w:outlineLvl w:val="5"/>
    </w:pPr>
    <w:rPr>
      <w:rFonts w:ascii="Caladea" w:hAnsi="Caladea" w:eastAsia="Caladea" w:cs="Caladea"/>
      <w:b/>
      <w:bCs/>
      <w:sz w:val="22"/>
      <w:szCs w:val="22"/>
      <w:lang w:val="pt-PT" w:eastAsia="en-US" w:bidi="ar-SA"/>
    </w:rPr>
  </w:style>
  <w:style w:styleId="ListParagraph" w:type="paragraph">
    <w:name w:val="List Paragraph"/>
    <w:basedOn w:val="Normal"/>
    <w:uiPriority w:val="1"/>
    <w:qFormat/>
    <w:pPr>
      <w:ind w:left="1025" w:hanging="854"/>
    </w:pPr>
    <w:rPr>
      <w:rFonts w:ascii="Trebuchet MS" w:hAnsi="Trebuchet MS" w:eastAsia="Trebuchet MS" w:cs="Trebuchet MS"/>
      <w:lang w:val="pt-PT" w:eastAsia="en-US" w:bidi="ar-SA"/>
    </w:rPr>
  </w:style>
  <w:style w:styleId="TableParagraph" w:type="paragraph">
    <w:name w:val="Table Paragraph"/>
    <w:basedOn w:val="Normal"/>
    <w:uiPriority w:val="1"/>
    <w:qFormat/>
    <w:pPr/>
    <w:rPr>
      <w:rFonts w:ascii="Trebuchet MS" w:hAnsi="Trebuchet MS" w:eastAsia="Trebuchet MS" w:cs="Trebuchet MS"/>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oter" Target="footer1.xml"/><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hyperlink" Target="https://epocanegocios.globo.com/palavrachave/aposentadoria/" TargetMode="External"/><Relationship Id="rId12" Type="http://schemas.openxmlformats.org/officeDocument/2006/relationships/hyperlink" Target="https://epocanegocios.globo.com/palavrachave/congresso/" TargetMode="External"/><Relationship Id="rId13" Type="http://schemas.openxmlformats.org/officeDocument/2006/relationships/hyperlink" Target="https://epocanegocios.globo.com/Brasil/noticia/2019/11/guedes-reforma-e-melhor-com-potencia-fiscal-de-r-800-bilhoes-e-ajuste-em-estados.html" TargetMode="External"/><Relationship Id="rId14" Type="http://schemas.openxmlformats.org/officeDocument/2006/relationships/image" Target="media/image6.png"/><Relationship Id="rId15" Type="http://schemas.openxmlformats.org/officeDocument/2006/relationships/header" Target="header1.xml"/><Relationship Id="rId16" Type="http://schemas.openxmlformats.org/officeDocument/2006/relationships/footer" Target="footer2.xml"/><Relationship Id="rId17" Type="http://schemas.openxmlformats.org/officeDocument/2006/relationships/image" Target="media/image7.jpeg"/><Relationship Id="rId18" Type="http://schemas.openxmlformats.org/officeDocument/2006/relationships/header" Target="header2.xml"/><Relationship Id="rId19" Type="http://schemas.openxmlformats.org/officeDocument/2006/relationships/footer" Target="footer3.xml"/><Relationship Id="rId20" Type="http://schemas.openxmlformats.org/officeDocument/2006/relationships/image" Target="media/image8.png"/><Relationship Id="rId21" Type="http://schemas.openxmlformats.org/officeDocument/2006/relationships/header" Target="header3.xml"/><Relationship Id="rId22" Type="http://schemas.openxmlformats.org/officeDocument/2006/relationships/footer" Target="footer4.xml"/><Relationship Id="rId23" Type="http://schemas.openxmlformats.org/officeDocument/2006/relationships/image" Target="media/image9.jpeg"/><Relationship Id="rId24" Type="http://schemas.openxmlformats.org/officeDocument/2006/relationships/header" Target="header4.xml"/><Relationship Id="rId25" Type="http://schemas.openxmlformats.org/officeDocument/2006/relationships/footer" Target="footer5.xml"/><Relationship Id="rId26" Type="http://schemas.openxmlformats.org/officeDocument/2006/relationships/header" Target="header5.xml"/><Relationship Id="rId27" Type="http://schemas.openxmlformats.org/officeDocument/2006/relationships/footer" Target="footer6.xml"/><Relationship Id="rId28" Type="http://schemas.openxmlformats.org/officeDocument/2006/relationships/image" Target="media/image10.png"/><Relationship Id="rId29" Type="http://schemas.openxmlformats.org/officeDocument/2006/relationships/header" Target="header6.xml"/><Relationship Id="rId30" Type="http://schemas.openxmlformats.org/officeDocument/2006/relationships/footer" Target="footer7.xml"/><Relationship Id="rId31" Type="http://schemas.openxmlformats.org/officeDocument/2006/relationships/header" Target="header7.xml"/><Relationship Id="rId32" Type="http://schemas.openxmlformats.org/officeDocument/2006/relationships/footer" Target="footer8.xml"/><Relationship Id="rId33" Type="http://schemas.openxmlformats.org/officeDocument/2006/relationships/header" Target="header8.xml"/><Relationship Id="rId34" Type="http://schemas.openxmlformats.org/officeDocument/2006/relationships/footer" Target="footer9.xml"/><Relationship Id="rId35" Type="http://schemas.openxmlformats.org/officeDocument/2006/relationships/image" Target="media/image11.jpeg"/><Relationship Id="rId36" Type="http://schemas.openxmlformats.org/officeDocument/2006/relationships/header" Target="header9.xml"/><Relationship Id="rId37" Type="http://schemas.openxmlformats.org/officeDocument/2006/relationships/footer" Target="footer10.xml"/><Relationship Id="rId38" Type="http://schemas.openxmlformats.org/officeDocument/2006/relationships/image" Target="media/image12.jpeg"/><Relationship Id="rId39" Type="http://schemas.openxmlformats.org/officeDocument/2006/relationships/header" Target="header10.xml"/><Relationship Id="rId40" Type="http://schemas.openxmlformats.org/officeDocument/2006/relationships/footer" Target="footer11.xml"/><Relationship Id="rId41" Type="http://schemas.openxmlformats.org/officeDocument/2006/relationships/header" Target="header11.xml"/><Relationship Id="rId42" Type="http://schemas.openxmlformats.org/officeDocument/2006/relationships/footer" Target="footer12.xml"/><Relationship Id="rId43" Type="http://schemas.openxmlformats.org/officeDocument/2006/relationships/header" Target="header12.xml"/><Relationship Id="rId44" Type="http://schemas.openxmlformats.org/officeDocument/2006/relationships/footer" Target="footer13.xml"/><Relationship Id="rId45" Type="http://schemas.openxmlformats.org/officeDocument/2006/relationships/header" Target="header13.xml"/><Relationship Id="rId46" Type="http://schemas.openxmlformats.org/officeDocument/2006/relationships/footer" Target="footer14.xml"/><Relationship Id="rId47" Type="http://schemas.openxmlformats.org/officeDocument/2006/relationships/header" Target="header14.xml"/><Relationship Id="rId48" Type="http://schemas.openxmlformats.org/officeDocument/2006/relationships/footer" Target="footer15.xml"/><Relationship Id="rId49" Type="http://schemas.openxmlformats.org/officeDocument/2006/relationships/header" Target="header15.xml"/><Relationship Id="rId50" Type="http://schemas.openxmlformats.org/officeDocument/2006/relationships/footer" Target="footer16.xml"/><Relationship Id="rId51" Type="http://schemas.openxmlformats.org/officeDocument/2006/relationships/header" Target="header16.xml"/><Relationship Id="rId52" Type="http://schemas.openxmlformats.org/officeDocument/2006/relationships/footer" Target="footer17.xml"/><Relationship Id="rId53" Type="http://schemas.openxmlformats.org/officeDocument/2006/relationships/header" Target="header17.xml"/><Relationship Id="rId54" Type="http://schemas.openxmlformats.org/officeDocument/2006/relationships/footer" Target="footer18.xml"/><Relationship Id="rId55" Type="http://schemas.openxmlformats.org/officeDocument/2006/relationships/header" Target="header18.xml"/><Relationship Id="rId56" Type="http://schemas.openxmlformats.org/officeDocument/2006/relationships/footer" Target="footer19.xml"/><Relationship Id="rId57" Type="http://schemas.openxmlformats.org/officeDocument/2006/relationships/image" Target="media/image13.jpeg"/><Relationship Id="rId58" Type="http://schemas.openxmlformats.org/officeDocument/2006/relationships/image" Target="media/image14.jpeg"/><Relationship Id="rId59" Type="http://schemas.openxmlformats.org/officeDocument/2006/relationships/header" Target="header19.xml"/><Relationship Id="rId60" Type="http://schemas.openxmlformats.org/officeDocument/2006/relationships/footer" Target="footer20.xml"/><Relationship Id="rId61" Type="http://schemas.openxmlformats.org/officeDocument/2006/relationships/header" Target="header20.xml"/><Relationship Id="rId62" Type="http://schemas.openxmlformats.org/officeDocument/2006/relationships/footer" Target="footer21.xml"/><Relationship Id="rId63" Type="http://schemas.openxmlformats.org/officeDocument/2006/relationships/image" Target="media/image15.jpeg"/><Relationship Id="rId64" Type="http://schemas.openxmlformats.org/officeDocument/2006/relationships/header" Target="header21.xml"/><Relationship Id="rId65" Type="http://schemas.openxmlformats.org/officeDocument/2006/relationships/footer" Target="footer22.xml"/><Relationship Id="rId66" Type="http://schemas.openxmlformats.org/officeDocument/2006/relationships/header" Target="header22.xml"/><Relationship Id="rId67" Type="http://schemas.openxmlformats.org/officeDocument/2006/relationships/footer" Target="footer23.xml"/><Relationship Id="rId68" Type="http://schemas.openxmlformats.org/officeDocument/2006/relationships/header" Target="header23.xml"/><Relationship Id="rId69" Type="http://schemas.openxmlformats.org/officeDocument/2006/relationships/footer" Target="footer24.xml"/><Relationship Id="rId70" Type="http://schemas.openxmlformats.org/officeDocument/2006/relationships/header" Target="header24.xml"/><Relationship Id="rId71" Type="http://schemas.openxmlformats.org/officeDocument/2006/relationships/footer" Target="footer25.xml"/><Relationship Id="rId72" Type="http://schemas.openxmlformats.org/officeDocument/2006/relationships/header" Target="header25.xml"/><Relationship Id="rId73" Type="http://schemas.openxmlformats.org/officeDocument/2006/relationships/footer" Target="footer26.xml"/><Relationship Id="rId74" Type="http://schemas.openxmlformats.org/officeDocument/2006/relationships/hyperlink" Target="http://www.ceb.com.br/" TargetMode="External"/><Relationship Id="rId75" Type="http://schemas.openxmlformats.org/officeDocument/2006/relationships/header" Target="header26.xml"/><Relationship Id="rId76" Type="http://schemas.openxmlformats.org/officeDocument/2006/relationships/footer" Target="footer27.xml"/><Relationship Id="rId77" Type="http://schemas.openxmlformats.org/officeDocument/2006/relationships/header" Target="header27.xml"/><Relationship Id="rId78" Type="http://schemas.openxmlformats.org/officeDocument/2006/relationships/footer" Target="footer28.xml"/><Relationship Id="rId79" Type="http://schemas.openxmlformats.org/officeDocument/2006/relationships/hyperlink" Target="https://www.economiaemdia.com.br/SiteEconomiaEmDia/Projecoes/Longo-Prazo" TargetMode="External"/><Relationship Id="rId80" Type="http://schemas.openxmlformats.org/officeDocument/2006/relationships/header" Target="header28.xml"/><Relationship Id="rId81" Type="http://schemas.openxmlformats.org/officeDocument/2006/relationships/footer" Target="footer29.xml"/><Relationship Id="rId82" Type="http://schemas.openxmlformats.org/officeDocument/2006/relationships/header" Target="header29.xml"/><Relationship Id="rId83" Type="http://schemas.openxmlformats.org/officeDocument/2006/relationships/footer" Target="footer30.xml"/><Relationship Id="rId84" Type="http://schemas.openxmlformats.org/officeDocument/2006/relationships/header" Target="header30.xml"/><Relationship Id="rId85" Type="http://schemas.openxmlformats.org/officeDocument/2006/relationships/footer" Target="footer31.xml"/><Relationship Id="rId86" Type="http://schemas.openxmlformats.org/officeDocument/2006/relationships/header" Target="header31.xml"/><Relationship Id="rId87" Type="http://schemas.openxmlformats.org/officeDocument/2006/relationships/footer" Target="footer32.xml"/><Relationship Id="rId88" Type="http://schemas.openxmlformats.org/officeDocument/2006/relationships/header" Target="header32.xml"/><Relationship Id="rId89" Type="http://schemas.openxmlformats.org/officeDocument/2006/relationships/footer" Target="footer33.xml"/><Relationship Id="rId90" Type="http://schemas.openxmlformats.org/officeDocument/2006/relationships/image" Target="media/image16.png"/><Relationship Id="rId91" Type="http://schemas.openxmlformats.org/officeDocument/2006/relationships/header" Target="header33.xml"/><Relationship Id="rId92" Type="http://schemas.openxmlformats.org/officeDocument/2006/relationships/footer" Target="footer34.xml"/><Relationship Id="rId93" Type="http://schemas.openxmlformats.org/officeDocument/2006/relationships/header" Target="header34.xml"/><Relationship Id="rId94" Type="http://schemas.openxmlformats.org/officeDocument/2006/relationships/footer" Target="footer35.xml"/><Relationship Id="rId95" Type="http://schemas.openxmlformats.org/officeDocument/2006/relationships/image" Target="media/image17.png"/><Relationship Id="rId96" Type="http://schemas.openxmlformats.org/officeDocument/2006/relationships/header" Target="header35.xml"/><Relationship Id="rId97" Type="http://schemas.openxmlformats.org/officeDocument/2006/relationships/footer" Target="footer36.xml"/><Relationship Id="rId98" Type="http://schemas.openxmlformats.org/officeDocument/2006/relationships/image" Target="media/image18.png"/><Relationship Id="rId99" Type="http://schemas.openxmlformats.org/officeDocument/2006/relationships/image" Target="media/image19.png"/><Relationship Id="rId100" Type="http://schemas.openxmlformats.org/officeDocument/2006/relationships/header" Target="header36.xml"/><Relationship Id="rId101" Type="http://schemas.openxmlformats.org/officeDocument/2006/relationships/footer" Target="footer37.xml"/><Relationship Id="rId102" Type="http://schemas.openxmlformats.org/officeDocument/2006/relationships/image" Target="media/image20.png"/><Relationship Id="rId103" Type="http://schemas.openxmlformats.org/officeDocument/2006/relationships/header" Target="header37.xml"/><Relationship Id="rId104" Type="http://schemas.openxmlformats.org/officeDocument/2006/relationships/footer" Target="footer38.xml"/><Relationship Id="rId105" Type="http://schemas.openxmlformats.org/officeDocument/2006/relationships/header" Target="header38.xml"/><Relationship Id="rId106" Type="http://schemas.openxmlformats.org/officeDocument/2006/relationships/footer" Target="footer39.xml"/><Relationship Id="rId107" Type="http://schemas.openxmlformats.org/officeDocument/2006/relationships/header" Target="header39.xml"/><Relationship Id="rId108" Type="http://schemas.openxmlformats.org/officeDocument/2006/relationships/footer" Target="footer40.xml"/><Relationship Id="rId109" Type="http://schemas.openxmlformats.org/officeDocument/2006/relationships/header" Target="header40.xml"/><Relationship Id="rId110" Type="http://schemas.openxmlformats.org/officeDocument/2006/relationships/footer" Target="footer41.xml"/><Relationship Id="rId111" Type="http://schemas.openxmlformats.org/officeDocument/2006/relationships/header" Target="header41.xml"/><Relationship Id="rId112" Type="http://schemas.openxmlformats.org/officeDocument/2006/relationships/footer" Target="footer42.xml"/><Relationship Id="rId113" Type="http://schemas.openxmlformats.org/officeDocument/2006/relationships/header" Target="header42.xml"/><Relationship Id="rId114" Type="http://schemas.openxmlformats.org/officeDocument/2006/relationships/footer" Target="footer43.xml"/><Relationship Id="rId115" Type="http://schemas.openxmlformats.org/officeDocument/2006/relationships/header" Target="header43.xml"/><Relationship Id="rId116" Type="http://schemas.openxmlformats.org/officeDocument/2006/relationships/footer" Target="footer44.xml"/><Relationship Id="rId117" Type="http://schemas.openxmlformats.org/officeDocument/2006/relationships/header" Target="header44.xml"/><Relationship Id="rId118" Type="http://schemas.openxmlformats.org/officeDocument/2006/relationships/footer" Target="footer45.xml"/><Relationship Id="rId119" Type="http://schemas.openxmlformats.org/officeDocument/2006/relationships/header" Target="header45.xml"/><Relationship Id="rId120" Type="http://schemas.openxmlformats.org/officeDocument/2006/relationships/footer" Target="footer46.xml"/><Relationship Id="rId12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22.xml.rels><?xml version="1.0" encoding="UTF-8" standalone="yes"?>
<Relationships xmlns="http://schemas.openxmlformats.org/package/2006/relationships"><Relationship Id="rId1" Type="http://schemas.openxmlformats.org/officeDocument/2006/relationships/image" Target="media/image15.jpeg"/></Relationships>

</file>

<file path=word/_rels/header23.xml.rels><?xml version="1.0" encoding="UTF-8" standalone="yes"?>
<Relationships xmlns="http://schemas.openxmlformats.org/package/2006/relationships"><Relationship Id="rId1" Type="http://schemas.openxmlformats.org/officeDocument/2006/relationships/image" Target="media/image15.jpeg"/></Relationships>

</file>

<file path=word/_rels/header24.xml.rels><?xml version="1.0" encoding="UTF-8" standalone="yes"?>
<Relationships xmlns="http://schemas.openxmlformats.org/package/2006/relationships"><Relationship Id="rId1" Type="http://schemas.openxmlformats.org/officeDocument/2006/relationships/image" Target="media/image15.jpeg"/></Relationships>

</file>

<file path=word/_rels/header33.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#38636</dc:creator>
  <dc:subject>COMPANHIA ENERGÉTICA DE BRASÍLIA - CEB</dc:subject>
  <dc:title>RELATÓRIO DA ADMINISTRAÇÃO E DEMONSTRAÇÕES FINANCEIRAS 2015</dc:title>
  <dcterms:created xsi:type="dcterms:W3CDTF">2020-07-16T14:20:45Z</dcterms:created>
  <dcterms:modified xsi:type="dcterms:W3CDTF">2020-07-16T14:20:45Z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2020-03-25T00:00:00Z</vt:filetime>
  </property>
  <property fmtid="{D5CDD505-2E9C-101B-9397-08002B2CF9AE}" pid="3" name="Creator">
    <vt:lpwstr>Microsoft® Word 2016</vt:lpwstr>
  </property>
  <property fmtid="{D5CDD505-2E9C-101B-9397-08002B2CF9AE}" pid="4" name="LastSaved">
    <vt:filetime>2020-07-16T00:00:00Z</vt:filetime>
  </property>
</Properties>
</file>